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9E3A" w14:textId="77777777" w:rsidR="004E051C" w:rsidRPr="00EB39DA" w:rsidRDefault="004E051C" w:rsidP="00FE43DC">
      <w:pPr>
        <w:pStyle w:val="Heading1"/>
      </w:pPr>
      <w:bookmarkStart w:id="0" w:name="_Toc150769142"/>
      <w:bookmarkStart w:id="1" w:name="_Toc150787217"/>
      <w:bookmarkStart w:id="2" w:name="_Toc150950404"/>
      <w:r w:rsidRPr="00EB39DA">
        <w:t>How do ECEC services support children?</w:t>
      </w:r>
      <w:bookmarkEnd w:id="0"/>
      <w:bookmarkEnd w:id="1"/>
      <w:bookmarkEnd w:id="2"/>
    </w:p>
    <w:tbl>
      <w:tblPr>
        <w:tblStyle w:val="Texttable-Paleblue"/>
        <w:tblW w:w="5000" w:type="pct"/>
        <w:shd w:val="clear" w:color="auto" w:fill="E7F6FD"/>
        <w:tblLook w:val="04A0" w:firstRow="1" w:lastRow="0" w:firstColumn="1" w:lastColumn="0" w:noHBand="0" w:noVBand="1"/>
      </w:tblPr>
      <w:tblGrid>
        <w:gridCol w:w="577"/>
        <w:gridCol w:w="9061"/>
      </w:tblGrid>
      <w:tr w:rsidR="004E051C" w:rsidRPr="002F759A" w14:paraId="1EB9987A" w14:textId="77777777">
        <w:tc>
          <w:tcPr>
            <w:tcW w:w="9638" w:type="dxa"/>
            <w:gridSpan w:val="2"/>
            <w:shd w:val="clear" w:color="auto" w:fill="E7F6FD"/>
            <w:tcMar>
              <w:left w:w="170" w:type="dxa"/>
            </w:tcMar>
          </w:tcPr>
          <w:p w14:paraId="47B8FC73" w14:textId="77777777" w:rsidR="004E051C" w:rsidRPr="002F759A" w:rsidRDefault="004E051C">
            <w:pPr>
              <w:pStyle w:val="Keypoints-heading"/>
              <w:keepNext w:val="0"/>
            </w:pPr>
            <w:r w:rsidRPr="002F759A">
              <w:t>Key points</w:t>
            </w:r>
          </w:p>
        </w:tc>
      </w:tr>
      <w:tr w:rsidR="004E051C" w14:paraId="00EC9AF4" w14:textId="77777777">
        <w:tc>
          <w:tcPr>
            <w:tcW w:w="577" w:type="dxa"/>
            <w:shd w:val="clear" w:color="auto" w:fill="E7F6FD"/>
            <w:tcMar>
              <w:top w:w="0" w:type="dxa"/>
              <w:bottom w:w="0" w:type="dxa"/>
              <w:right w:w="113" w:type="dxa"/>
            </w:tcMar>
          </w:tcPr>
          <w:p w14:paraId="511B4BD9" w14:textId="77777777" w:rsidR="004E051C" w:rsidRDefault="004E051C">
            <w:pPr>
              <w:pStyle w:val="KeyPointsicon"/>
            </w:pPr>
            <w:r w:rsidRPr="00A51374">
              <w:rPr>
                <w:noProof/>
              </w:rPr>
              <w:drawing>
                <wp:inline distT="0" distB="0" distL="0" distR="0" wp14:anchorId="79211DDF" wp14:editId="0683DB0B">
                  <wp:extent cx="180000" cy="180000"/>
                  <wp:effectExtent l="0" t="0" r="0" b="0"/>
                  <wp:docPr id="1306153024" name="Picture 1306153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F39A145" w14:textId="1F09E5C6" w:rsidR="004E051C" w:rsidRDefault="004E051C">
            <w:pPr>
              <w:pStyle w:val="KeyPoints-Bold"/>
            </w:pPr>
            <w:r>
              <w:t xml:space="preserve">The children attending </w:t>
            </w:r>
            <w:r w:rsidR="00972777">
              <w:t>e</w:t>
            </w:r>
            <w:r>
              <w:t xml:space="preserve">arly </w:t>
            </w:r>
            <w:r w:rsidR="00972777">
              <w:t xml:space="preserve">childhood education </w:t>
            </w:r>
            <w:r>
              <w:t xml:space="preserve">and </w:t>
            </w:r>
            <w:r w:rsidR="00972777">
              <w:t xml:space="preserve">care </w:t>
            </w:r>
            <w:r>
              <w:t xml:space="preserve">(ECEC) are diverse and have a range of needs. </w:t>
            </w:r>
            <w:r w:rsidRPr="00322D75">
              <w:rPr>
                <w:rFonts w:cstheme="minorHAnsi"/>
              </w:rPr>
              <w:t>Ensuring ECEC services appropr</w:t>
            </w:r>
            <w:r>
              <w:rPr>
                <w:rFonts w:cstheme="minorHAnsi"/>
              </w:rPr>
              <w:t xml:space="preserve">iately </w:t>
            </w:r>
            <w:r w:rsidRPr="00322D75">
              <w:rPr>
                <w:rFonts w:cstheme="minorHAnsi"/>
              </w:rPr>
              <w:t xml:space="preserve">cater to </w:t>
            </w:r>
            <w:r>
              <w:rPr>
                <w:rFonts w:cstheme="minorHAnsi"/>
              </w:rPr>
              <w:t>these needs</w:t>
            </w:r>
            <w:r w:rsidRPr="00322D75">
              <w:rPr>
                <w:rFonts w:cstheme="minorHAnsi"/>
              </w:rPr>
              <w:t xml:space="preserve"> is an integral part of ensuring a high</w:t>
            </w:r>
            <w:r>
              <w:rPr>
                <w:rFonts w:cstheme="minorHAnsi"/>
              </w:rPr>
              <w:noBreakHyphen/>
            </w:r>
            <w:r w:rsidRPr="00322D75">
              <w:rPr>
                <w:rFonts w:cstheme="minorHAnsi"/>
              </w:rPr>
              <w:t>quality system.</w:t>
            </w:r>
          </w:p>
        </w:tc>
      </w:tr>
      <w:tr w:rsidR="004E051C" w14:paraId="60834403" w14:textId="77777777">
        <w:tc>
          <w:tcPr>
            <w:tcW w:w="577" w:type="dxa"/>
            <w:shd w:val="clear" w:color="auto" w:fill="E7F6FD"/>
            <w:tcMar>
              <w:top w:w="0" w:type="dxa"/>
              <w:bottom w:w="0" w:type="dxa"/>
              <w:right w:w="113" w:type="dxa"/>
            </w:tcMar>
          </w:tcPr>
          <w:p w14:paraId="10012FAD" w14:textId="77777777" w:rsidR="004E051C" w:rsidRPr="00A51374" w:rsidRDefault="004E051C">
            <w:pPr>
              <w:pStyle w:val="KeyPointsicon"/>
            </w:pPr>
            <w:r w:rsidRPr="00F31E73">
              <w:rPr>
                <w:noProof/>
              </w:rPr>
              <w:drawing>
                <wp:inline distT="0" distB="0" distL="0" distR="0" wp14:anchorId="0B76DF2F" wp14:editId="6A5CCBAA">
                  <wp:extent cx="180000" cy="180000"/>
                  <wp:effectExtent l="0" t="0" r="0" b="0"/>
                  <wp:docPr id="697697114" name="Picture 697697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88EB9B2" w14:textId="77777777" w:rsidR="004E051C" w:rsidRDefault="004E051C">
            <w:pPr>
              <w:pStyle w:val="KeyPoints-Bold"/>
            </w:pPr>
            <w:r>
              <w:t>ECEC delivered in accordance with the National Quality Framework (NQF) should be sufficient to meet the needs of most children.</w:t>
            </w:r>
          </w:p>
          <w:p w14:paraId="3676A955" w14:textId="77777777" w:rsidR="004E051C" w:rsidRPr="00280C7B" w:rsidRDefault="004E051C">
            <w:pPr>
              <w:pStyle w:val="KeyPoints-Bullet"/>
            </w:pPr>
            <w:r>
              <w:t>The NQF imposes r</w:t>
            </w:r>
            <w:r w:rsidRPr="00CC4805">
              <w:t>atio and qualification requirements</w:t>
            </w:r>
            <w:r>
              <w:t xml:space="preserve"> that were raised by inquiry participants as affecting the supply of ECEC. </w:t>
            </w:r>
            <w:r w:rsidRPr="00280C7B">
              <w:t xml:space="preserve">The literature does not provide a strong case for raising requirements but cannot rule out risks from lowering them. </w:t>
            </w:r>
          </w:p>
          <w:p w14:paraId="014B04E7" w14:textId="77777777" w:rsidR="004E051C" w:rsidRDefault="004E051C">
            <w:pPr>
              <w:pStyle w:val="KeyPoints-Bullet"/>
            </w:pPr>
            <w:r w:rsidRPr="00EF753B">
              <w:t>Some services are not covered by the NQF</w:t>
            </w:r>
            <w:r>
              <w:t xml:space="preserve"> but receive direct funding from the Australian Government</w:t>
            </w:r>
            <w:r w:rsidRPr="00EF753B">
              <w:t xml:space="preserve">. </w:t>
            </w:r>
            <w:r>
              <w:t xml:space="preserve">The standards for these services should be reviewed and the Australian Government should </w:t>
            </w:r>
            <w:r w:rsidRPr="00D50487">
              <w:t xml:space="preserve">ensure </w:t>
            </w:r>
            <w:r>
              <w:t>any future funding model for these services has</w:t>
            </w:r>
            <w:r w:rsidRPr="00D50487">
              <w:t xml:space="preserve"> appropriate mechanisms to ensure the</w:t>
            </w:r>
            <w:r>
              <w:t>ir</w:t>
            </w:r>
            <w:r w:rsidRPr="00D50487">
              <w:t xml:space="preserve"> quality. </w:t>
            </w:r>
          </w:p>
          <w:p w14:paraId="3607B3A3" w14:textId="77777777" w:rsidR="004E051C" w:rsidRPr="002A6584" w:rsidRDefault="004E051C">
            <w:pPr>
              <w:pStyle w:val="KeyPoints-Bullet"/>
            </w:pPr>
            <w:r>
              <w:t>The NQF regulates outside school hours care services</w:t>
            </w:r>
            <w:r w:rsidRPr="00AB533A">
              <w:t xml:space="preserve"> </w:t>
            </w:r>
            <w:r>
              <w:t>in a similar way to</w:t>
            </w:r>
            <w:r w:rsidRPr="00AB533A">
              <w:t xml:space="preserve"> services for </w:t>
            </w:r>
            <w:r>
              <w:t xml:space="preserve">younger </w:t>
            </w:r>
            <w:proofErr w:type="gramStart"/>
            <w:r w:rsidRPr="00AB533A">
              <w:t>children</w:t>
            </w:r>
            <w:proofErr w:type="gramEnd"/>
            <w:r>
              <w:t xml:space="preserve"> but it is unclear if this is appropriate.</w:t>
            </w:r>
            <w:r w:rsidRPr="00AB533A">
              <w:t xml:space="preserve"> </w:t>
            </w:r>
          </w:p>
        </w:tc>
      </w:tr>
      <w:tr w:rsidR="004E051C" w14:paraId="559E2F57" w14:textId="77777777">
        <w:tc>
          <w:tcPr>
            <w:tcW w:w="577" w:type="dxa"/>
            <w:shd w:val="clear" w:color="auto" w:fill="E7F6FD"/>
            <w:tcMar>
              <w:top w:w="0" w:type="dxa"/>
              <w:bottom w:w="0" w:type="dxa"/>
              <w:right w:w="113" w:type="dxa"/>
            </w:tcMar>
          </w:tcPr>
          <w:p w14:paraId="26D51D8E" w14:textId="77777777" w:rsidR="004E051C" w:rsidRPr="00A51374" w:rsidRDefault="004E051C">
            <w:pPr>
              <w:pStyle w:val="KeyPointsicon"/>
            </w:pPr>
            <w:r w:rsidRPr="00F31E73">
              <w:rPr>
                <w:noProof/>
              </w:rPr>
              <w:drawing>
                <wp:inline distT="0" distB="0" distL="0" distR="0" wp14:anchorId="04FE1E70" wp14:editId="23E274D3">
                  <wp:extent cx="180000" cy="180000"/>
                  <wp:effectExtent l="0" t="0" r="0" b="0"/>
                  <wp:docPr id="1110309520" name="Picture 1110309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8DB8ABB" w14:textId="77777777" w:rsidR="004E051C" w:rsidRDefault="004E051C">
            <w:pPr>
              <w:pStyle w:val="KeyPoints-Bold"/>
            </w:pPr>
            <w:r>
              <w:t>Some children require support to ensure their inclusion in a mainstream setting. But some of these children still experience exclusion or environments that are not culturally safe.</w:t>
            </w:r>
          </w:p>
          <w:p w14:paraId="7965FFF9" w14:textId="77777777" w:rsidR="004E051C" w:rsidRPr="005015CB" w:rsidRDefault="004E051C">
            <w:pPr>
              <w:pStyle w:val="KeyPoints-Bullet"/>
            </w:pPr>
            <w:r>
              <w:t>The NQF and anti</w:t>
            </w:r>
            <w:r>
              <w:noBreakHyphen/>
              <w:t xml:space="preserve">discrimination legislation require </w:t>
            </w:r>
            <w:r w:rsidRPr="001D5824">
              <w:t xml:space="preserve">ECEC services </w:t>
            </w:r>
            <w:r>
              <w:t xml:space="preserve">to be </w:t>
            </w:r>
            <w:r w:rsidRPr="001D5824">
              <w:t>inclusive</w:t>
            </w:r>
            <w:r>
              <w:t>. But</w:t>
            </w:r>
            <w:r w:rsidRPr="001D5824">
              <w:t xml:space="preserve"> most ECEC services are excluded from the </w:t>
            </w:r>
            <w:r w:rsidRPr="00545FCF">
              <w:rPr>
                <w:i/>
              </w:rPr>
              <w:t xml:space="preserve">Disability Standards for Education </w:t>
            </w:r>
            <w:proofErr w:type="gramStart"/>
            <w:r w:rsidRPr="00545FCF">
              <w:rPr>
                <w:i/>
              </w:rPr>
              <w:t>2005</w:t>
            </w:r>
            <w:proofErr w:type="gramEnd"/>
            <w:r w:rsidRPr="005015CB">
              <w:t xml:space="preserve"> and </w:t>
            </w:r>
            <w:r w:rsidRPr="006D0801">
              <w:t xml:space="preserve">it is unclear </w:t>
            </w:r>
            <w:r w:rsidRPr="00AB10EB">
              <w:t>if</w:t>
            </w:r>
            <w:r w:rsidRPr="005015CB">
              <w:t xml:space="preserve"> the NQF </w:t>
            </w:r>
            <w:r w:rsidRPr="006D0801">
              <w:t xml:space="preserve">adequately promotes cultural safety or </w:t>
            </w:r>
            <w:r>
              <w:t xml:space="preserve">capability. </w:t>
            </w:r>
          </w:p>
          <w:p w14:paraId="5919DDB4" w14:textId="77777777" w:rsidR="004E051C" w:rsidRPr="00D21C20" w:rsidRDefault="004E051C">
            <w:pPr>
              <w:pStyle w:val="KeyPoints-Bullet"/>
            </w:pPr>
            <w:r w:rsidRPr="001D5824">
              <w:t>The Inclusion Support Program</w:t>
            </w:r>
            <w:r>
              <w:t>, funded by the Australian Government,</w:t>
            </w:r>
            <w:r w:rsidRPr="001D5824">
              <w:t xml:space="preserve"> could better support children with additional needs. </w:t>
            </w:r>
            <w:r w:rsidRPr="00D21C20">
              <w:t>Changes to additional educator subsidies</w:t>
            </w:r>
            <w:r>
              <w:t xml:space="preserve">, </w:t>
            </w:r>
            <w:r w:rsidRPr="000312E3">
              <w:t>eligibility</w:t>
            </w:r>
            <w:r>
              <w:t>,</w:t>
            </w:r>
            <w:r w:rsidRPr="00D21C20">
              <w:t xml:space="preserve"> and </w:t>
            </w:r>
            <w:r w:rsidRPr="00E27254">
              <w:t xml:space="preserve">application </w:t>
            </w:r>
            <w:r>
              <w:t>processes</w:t>
            </w:r>
            <w:r w:rsidRPr="00E27254">
              <w:t xml:space="preserve"> would</w:t>
            </w:r>
            <w:r w:rsidRPr="00D21C20">
              <w:t xml:space="preserve"> </w:t>
            </w:r>
            <w:r>
              <w:t>improve the</w:t>
            </w:r>
            <w:r w:rsidRPr="00D21C20">
              <w:t xml:space="preserve"> support</w:t>
            </w:r>
            <w:r>
              <w:t>s available to</w:t>
            </w:r>
            <w:r w:rsidRPr="00D21C20">
              <w:t xml:space="preserve"> children and services. </w:t>
            </w:r>
          </w:p>
          <w:p w14:paraId="505B321C" w14:textId="77777777" w:rsidR="004E051C" w:rsidRPr="00610627" w:rsidRDefault="004E051C">
            <w:pPr>
              <w:pStyle w:val="KeyPoints-Bullet"/>
            </w:pPr>
            <w:r>
              <w:t>There are examples of poor coordination between governments on inclusion funding, which may</w:t>
            </w:r>
            <w:r w:rsidRPr="001D5824">
              <w:t xml:space="preserve"> lead to gaps, overlaps and confusion for services and families. </w:t>
            </w:r>
          </w:p>
        </w:tc>
      </w:tr>
      <w:tr w:rsidR="004E051C" w14:paraId="1F67BF9D" w14:textId="77777777">
        <w:tc>
          <w:tcPr>
            <w:tcW w:w="577" w:type="dxa"/>
            <w:shd w:val="clear" w:color="auto" w:fill="E7F6FD"/>
            <w:tcMar>
              <w:top w:w="0" w:type="dxa"/>
              <w:bottom w:w="0" w:type="dxa"/>
              <w:right w:w="113" w:type="dxa"/>
            </w:tcMar>
          </w:tcPr>
          <w:p w14:paraId="308B0E46" w14:textId="77777777" w:rsidR="004E051C" w:rsidRPr="00A51374" w:rsidRDefault="004E051C">
            <w:pPr>
              <w:pStyle w:val="KeyPointsicon"/>
            </w:pPr>
            <w:r w:rsidRPr="00F31E73">
              <w:rPr>
                <w:noProof/>
              </w:rPr>
              <w:drawing>
                <wp:inline distT="0" distB="0" distL="0" distR="0" wp14:anchorId="41A876BA" wp14:editId="76DFA09F">
                  <wp:extent cx="180000" cy="180000"/>
                  <wp:effectExtent l="0" t="0" r="0" b="0"/>
                  <wp:docPr id="1198700688" name="Picture 1198700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1AF5BF5" w14:textId="77777777" w:rsidR="004E051C" w:rsidRPr="00EF753B" w:rsidRDefault="004E051C">
            <w:pPr>
              <w:pStyle w:val="KeyPoints-Bold"/>
              <w:rPr>
                <w:highlight w:val="yellow"/>
              </w:rPr>
            </w:pPr>
            <w:r>
              <w:t>F</w:t>
            </w:r>
            <w:r w:rsidRPr="00E91180">
              <w:t xml:space="preserve">or children </w:t>
            </w:r>
            <w:r>
              <w:t xml:space="preserve">requiring or using other services, such as allied health, </w:t>
            </w:r>
            <w:r w:rsidRPr="00E91180">
              <w:t>ECEC services can help identify and connect them</w:t>
            </w:r>
            <w:r>
              <w:t xml:space="preserve">. The Productivity Commission will address findings from the recent review of the National Disability Insurance Scheme and any implications for the ECEC sector in its final report. </w:t>
            </w:r>
          </w:p>
        </w:tc>
      </w:tr>
      <w:tr w:rsidR="004E051C" w14:paraId="3D80F0CB" w14:textId="77777777">
        <w:tc>
          <w:tcPr>
            <w:tcW w:w="577" w:type="dxa"/>
            <w:shd w:val="clear" w:color="auto" w:fill="E7F6FD"/>
            <w:tcMar>
              <w:top w:w="0" w:type="dxa"/>
              <w:bottom w:w="0" w:type="dxa"/>
              <w:right w:w="113" w:type="dxa"/>
            </w:tcMar>
          </w:tcPr>
          <w:p w14:paraId="6A2EBC4E" w14:textId="77777777" w:rsidR="004E051C" w:rsidRPr="00F31E73" w:rsidRDefault="004E051C">
            <w:pPr>
              <w:pStyle w:val="KeyPointsicon"/>
              <w:rPr>
                <w:noProof/>
              </w:rPr>
            </w:pPr>
            <w:r w:rsidRPr="00F31E73">
              <w:rPr>
                <w:noProof/>
              </w:rPr>
              <w:drawing>
                <wp:inline distT="0" distB="0" distL="0" distR="0" wp14:anchorId="7C21F8E8" wp14:editId="3E56D3F1">
                  <wp:extent cx="180000" cy="180000"/>
                  <wp:effectExtent l="0" t="0" r="0" b="0"/>
                  <wp:docPr id="713495790" name="Picture 713495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DFAE71C" w14:textId="77777777" w:rsidR="004E051C" w:rsidRPr="00DA2D35" w:rsidRDefault="004E051C">
            <w:pPr>
              <w:pStyle w:val="KeyPoints-Bold"/>
            </w:pPr>
            <w:r w:rsidRPr="00DA2D35">
              <w:t>A smaller cohort of children may benefit from services tailored to their specific needs. Place</w:t>
            </w:r>
            <w:r>
              <w:noBreakHyphen/>
            </w:r>
            <w:r w:rsidRPr="00DA2D35">
              <w:t xml:space="preserve">based </w:t>
            </w:r>
            <w:r>
              <w:t>approaches</w:t>
            </w:r>
            <w:r w:rsidRPr="00DA2D35">
              <w:t xml:space="preserve"> are one way these children could be supported. </w:t>
            </w:r>
          </w:p>
        </w:tc>
      </w:tr>
    </w:tbl>
    <w:p w14:paraId="6FDC604D" w14:textId="77777777" w:rsidR="004E051C" w:rsidRPr="00783E44" w:rsidRDefault="004E051C">
      <w:pPr>
        <w:pStyle w:val="BodyText"/>
      </w:pPr>
      <w:r w:rsidRPr="31B34DC4">
        <w:lastRenderedPageBreak/>
        <w:t>This</w:t>
      </w:r>
      <w:r w:rsidRPr="31B34DC4" w:rsidDel="005E7306">
        <w:t xml:space="preserve"> </w:t>
      </w:r>
      <w:r w:rsidRPr="31B34DC4">
        <w:t xml:space="preserve">paper considers how well Australian services deliver </w:t>
      </w:r>
      <w:r>
        <w:t xml:space="preserve">early childhood education and care (ECEC) </w:t>
      </w:r>
      <w:r w:rsidRPr="31B34DC4">
        <w:t xml:space="preserve">that </w:t>
      </w:r>
      <w:r>
        <w:t>responds to children’s needs</w:t>
      </w:r>
      <w:r w:rsidRPr="31B34DC4">
        <w:t xml:space="preserve">, given the diversity of the children who attend </w:t>
      </w:r>
      <w:r>
        <w:t xml:space="preserve">ECEC </w:t>
      </w:r>
      <w:r w:rsidRPr="31B34DC4">
        <w:t>and the diversity of Australian children more broadly.</w:t>
      </w:r>
    </w:p>
    <w:p w14:paraId="746765D4" w14:textId="77777777" w:rsidR="004E051C" w:rsidRDefault="004E051C">
      <w:pPr>
        <w:pStyle w:val="BodyText"/>
        <w:rPr>
          <w:rFonts w:cstheme="minorHAnsi"/>
        </w:rPr>
      </w:pPr>
      <w:r w:rsidRPr="00322D75">
        <w:rPr>
          <w:rFonts w:cstheme="minorHAnsi"/>
        </w:rPr>
        <w:t>Th</w:t>
      </w:r>
      <w:r>
        <w:rPr>
          <w:rFonts w:cstheme="minorHAnsi"/>
        </w:rPr>
        <w:t>e</w:t>
      </w:r>
      <w:r w:rsidRPr="00322D75" w:rsidDel="005E7306">
        <w:rPr>
          <w:rFonts w:cstheme="minorHAnsi"/>
        </w:rPr>
        <w:t xml:space="preserve"> </w:t>
      </w:r>
      <w:r w:rsidRPr="00322D75">
        <w:rPr>
          <w:rFonts w:cstheme="minorHAnsi"/>
        </w:rPr>
        <w:t xml:space="preserve">paper begins by </w:t>
      </w:r>
      <w:r>
        <w:rPr>
          <w:rFonts w:cstheme="minorHAnsi"/>
        </w:rPr>
        <w:t xml:space="preserve">considering the </w:t>
      </w:r>
      <w:r w:rsidRPr="004E4099">
        <w:rPr>
          <w:rFonts w:cstheme="minorHAnsi"/>
        </w:rPr>
        <w:t>characteristics of children attending and not attending ECEC and sets out a framework for responding to their needs (section</w:t>
      </w:r>
      <w:r>
        <w:rPr>
          <w:rFonts w:cstheme="minorHAnsi"/>
        </w:rPr>
        <w:t> 2.</w:t>
      </w:r>
      <w:r w:rsidRPr="004E4099">
        <w:rPr>
          <w:rFonts w:cstheme="minorHAnsi"/>
        </w:rPr>
        <w:t xml:space="preserve">1). It then considers </w:t>
      </w:r>
      <w:r w:rsidRPr="008A6065">
        <w:rPr>
          <w:rFonts w:cstheme="minorHAnsi"/>
        </w:rPr>
        <w:t>the performance</w:t>
      </w:r>
      <w:r>
        <w:rPr>
          <w:rFonts w:cstheme="minorHAnsi"/>
        </w:rPr>
        <w:t xml:space="preserve"> of the </w:t>
      </w:r>
      <w:r w:rsidRPr="004E4099">
        <w:rPr>
          <w:rFonts w:cstheme="minorHAnsi"/>
        </w:rPr>
        <w:t>National Quality Framework (</w:t>
      </w:r>
      <w:r w:rsidRPr="007C19C6">
        <w:rPr>
          <w:rFonts w:cstheme="minorHAnsi"/>
        </w:rPr>
        <w:t>NQF) (section</w:t>
      </w:r>
      <w:r>
        <w:rPr>
          <w:rFonts w:cstheme="minorHAnsi"/>
        </w:rPr>
        <w:t> </w:t>
      </w:r>
      <w:r w:rsidRPr="007C19C6">
        <w:rPr>
          <w:rFonts w:cstheme="minorHAnsi"/>
        </w:rPr>
        <w:t>2</w:t>
      </w:r>
      <w:r>
        <w:rPr>
          <w:rFonts w:cstheme="minorHAnsi"/>
        </w:rPr>
        <w:t>.</w:t>
      </w:r>
      <w:r w:rsidRPr="007C19C6">
        <w:rPr>
          <w:rFonts w:cstheme="minorHAnsi"/>
        </w:rPr>
        <w:t>2), inclusion programs (section</w:t>
      </w:r>
      <w:r>
        <w:rPr>
          <w:rFonts w:cstheme="minorHAnsi"/>
        </w:rPr>
        <w:t> 2.</w:t>
      </w:r>
      <w:r w:rsidRPr="007C19C6">
        <w:rPr>
          <w:rFonts w:cstheme="minorHAnsi"/>
        </w:rPr>
        <w:t>3), connections to services (section</w:t>
      </w:r>
      <w:r>
        <w:rPr>
          <w:rFonts w:cstheme="minorHAnsi"/>
        </w:rPr>
        <w:t> 2.</w:t>
      </w:r>
      <w:r w:rsidRPr="007C19C6">
        <w:rPr>
          <w:rFonts w:cstheme="minorHAnsi"/>
        </w:rPr>
        <w:t>4) and tailored supports (section</w:t>
      </w:r>
      <w:r>
        <w:rPr>
          <w:rFonts w:cstheme="minorHAnsi"/>
        </w:rPr>
        <w:t> 2.</w:t>
      </w:r>
      <w:r w:rsidRPr="007C19C6">
        <w:rPr>
          <w:rFonts w:cstheme="minorHAnsi"/>
        </w:rPr>
        <w:t xml:space="preserve">5) in meeting these needs. </w:t>
      </w:r>
    </w:p>
    <w:p w14:paraId="3DBA5999" w14:textId="47542EEE" w:rsidR="004E051C" w:rsidRPr="007C19C6" w:rsidRDefault="004E051C" w:rsidP="0058550C">
      <w:pPr>
        <w:pStyle w:val="Heading2"/>
      </w:pPr>
      <w:bookmarkStart w:id="3" w:name="_Toc150769143"/>
      <w:bookmarkStart w:id="4" w:name="_Toc150787218"/>
      <w:bookmarkStart w:id="5" w:name="_Toc150950405"/>
      <w:r w:rsidRPr="007C19C6">
        <w:rPr>
          <w:rFonts w:cstheme="minorHAnsi"/>
        </w:rPr>
        <w:t>Thinking about the needs of children in ECEC</w:t>
      </w:r>
      <w:bookmarkEnd w:id="3"/>
      <w:bookmarkEnd w:id="4"/>
      <w:bookmarkEnd w:id="5"/>
    </w:p>
    <w:p w14:paraId="310C057F" w14:textId="77777777" w:rsidR="004E051C" w:rsidRDefault="004E051C">
      <w:pPr>
        <w:pStyle w:val="Heading3"/>
      </w:pPr>
      <w:r>
        <w:t>The children who attend ECEC are diverse, but some cohorts are under</w:t>
      </w:r>
      <w:r>
        <w:noBreakHyphen/>
        <w:t>represented</w:t>
      </w:r>
    </w:p>
    <w:p w14:paraId="353B947B" w14:textId="4559E5D8" w:rsidR="004E051C" w:rsidRDefault="004E051C">
      <w:pPr>
        <w:pStyle w:val="BodyText"/>
        <w:rPr>
          <w:rFonts w:cstheme="minorHAnsi"/>
        </w:rPr>
      </w:pPr>
      <w:r>
        <w:rPr>
          <w:rFonts w:cstheme="minorHAnsi"/>
        </w:rPr>
        <w:t>Paper 1 established the important role ECEC can play in supporting children’s developmental and educational outcomes</w:t>
      </w:r>
      <w:r w:rsidRPr="00654161">
        <w:rPr>
          <w:rFonts w:cstheme="minorHAnsi"/>
        </w:rPr>
        <w:t xml:space="preserve">. </w:t>
      </w:r>
      <w:r w:rsidRPr="00654161">
        <w:rPr>
          <w:rStyle w:val="ui-provider"/>
        </w:rPr>
        <w:t>Nearly half of one</w:t>
      </w:r>
      <w:r w:rsidRPr="00654161">
        <w:rPr>
          <w:rStyle w:val="ui-provider"/>
        </w:rPr>
        <w:noBreakHyphen/>
        <w:t>year</w:t>
      </w:r>
      <w:r w:rsidRPr="00654161">
        <w:rPr>
          <w:rStyle w:val="ui-provider"/>
        </w:rPr>
        <w:noBreakHyphen/>
        <w:t>olds attend some form of ECEC and participation rises until children commence school (figure</w:t>
      </w:r>
      <w:r>
        <w:rPr>
          <w:rStyle w:val="ui-provider"/>
        </w:rPr>
        <w:t> 2.1</w:t>
      </w:r>
      <w:r w:rsidRPr="0018117D">
        <w:rPr>
          <w:rStyle w:val="ui-provider"/>
        </w:rPr>
        <w:t>). About 90% of four</w:t>
      </w:r>
      <w:r>
        <w:rPr>
          <w:rStyle w:val="ui-provider"/>
        </w:rPr>
        <w:noBreakHyphen/>
      </w:r>
      <w:r w:rsidRPr="0018117D">
        <w:rPr>
          <w:rStyle w:val="ui-provider"/>
        </w:rPr>
        <w:t>year</w:t>
      </w:r>
      <w:r>
        <w:rPr>
          <w:rStyle w:val="ui-provider"/>
        </w:rPr>
        <w:noBreakHyphen/>
      </w:r>
      <w:r w:rsidRPr="0018117D">
        <w:rPr>
          <w:rStyle w:val="ui-provider"/>
        </w:rPr>
        <w:t>old</w:t>
      </w:r>
      <w:r>
        <w:rPr>
          <w:rStyle w:val="ui-provider"/>
        </w:rPr>
        <w:t>s</w:t>
      </w:r>
      <w:r w:rsidRPr="0018117D">
        <w:rPr>
          <w:rStyle w:val="ui-provider"/>
        </w:rPr>
        <w:t xml:space="preserve"> are enrolled in ECEC and, once in primary school, about 14% of children aged 5–12 spend time each week in outside school hours </w:t>
      </w:r>
      <w:r w:rsidRPr="00A16450">
        <w:rPr>
          <w:rStyle w:val="ui-provider"/>
        </w:rPr>
        <w:t xml:space="preserve">care </w:t>
      </w:r>
      <w:r w:rsidRPr="000B0831">
        <w:rPr>
          <w:rFonts w:ascii="Arial" w:hAnsi="Arial" w:cs="Arial"/>
          <w:szCs w:val="24"/>
        </w:rPr>
        <w:t>(Productivity Commission estimates, based on ABS 2023a, 2023b and DoE administrative data (unpublished))</w:t>
      </w:r>
      <w:r w:rsidRPr="00A16450">
        <w:rPr>
          <w:rStyle w:val="ui-provider"/>
        </w:rPr>
        <w:t>.</w:t>
      </w:r>
      <w:r w:rsidRPr="00D10F0A">
        <w:rPr>
          <w:rStyle w:val="FootnoteReference"/>
        </w:rPr>
        <w:footnoteReference w:id="2"/>
      </w:r>
    </w:p>
    <w:p w14:paraId="49BC0721" w14:textId="77777777" w:rsidR="004E051C" w:rsidRPr="00D00DF3" w:rsidRDefault="004E051C">
      <w:pPr>
        <w:pStyle w:val="BodyText"/>
        <w:rPr>
          <w:rFonts w:cstheme="minorHAnsi"/>
          <w:spacing w:val="-4"/>
        </w:rPr>
      </w:pPr>
      <w:r w:rsidRPr="00D00DF3">
        <w:rPr>
          <w:rFonts w:cstheme="minorHAnsi"/>
          <w:spacing w:val="-4"/>
        </w:rPr>
        <w:t>There is substantial diversity among children who attend ECEC in terms of their age, setting attended, backgrounds and associated needs, and other characteristics (figure 2.1). Ensuring ECEC services and policy appropriately respond to this diversity is a key part of ensuring children experience positive outcomes from ECEC.</w:t>
      </w:r>
    </w:p>
    <w:p w14:paraId="4D6A4BAA" w14:textId="77777777" w:rsidR="004E051C" w:rsidRDefault="004E051C">
      <w:pPr>
        <w:pStyle w:val="BodyText"/>
      </w:pPr>
      <w:r w:rsidRPr="003670AD">
        <w:t xml:space="preserve">The majority of </w:t>
      </w:r>
      <w:r w:rsidRPr="00700BE0">
        <w:t xml:space="preserve">children in Australia thrive in their early years, but many children across the community experience </w:t>
      </w:r>
      <w:r w:rsidRPr="007E3D74">
        <w:t>developmental</w:t>
      </w:r>
      <w:r w:rsidRPr="00700BE0">
        <w:t xml:space="preserve"> vulnerability.</w:t>
      </w:r>
      <w:r>
        <w:t xml:space="preserve"> The three</w:t>
      </w:r>
      <w:r>
        <w:noBreakHyphen/>
        <w:t xml:space="preserve">yearly Australian Early Childhood Development Census (AEDC), which assesses children’s development in their first year of school, shows some cohorts are more likely to be </w:t>
      </w:r>
      <w:r w:rsidRPr="00274596">
        <w:t>developmentally vulnerable</w:t>
      </w:r>
      <w:r>
        <w:t>, including:</w:t>
      </w:r>
    </w:p>
    <w:p w14:paraId="01E587F6" w14:textId="77777777" w:rsidR="004E051C" w:rsidRDefault="004E051C" w:rsidP="00E01114">
      <w:pPr>
        <w:pStyle w:val="ListBullet"/>
      </w:pPr>
      <w:r>
        <w:t>Aboriginal and Torres Strait Islander children</w:t>
      </w:r>
    </w:p>
    <w:p w14:paraId="5D9D9B9E" w14:textId="77777777" w:rsidR="004E051C" w:rsidRDefault="004E051C" w:rsidP="00E01114">
      <w:pPr>
        <w:pStyle w:val="ListBullet"/>
      </w:pPr>
      <w:r>
        <w:t xml:space="preserve">children </w:t>
      </w:r>
      <w:r w:rsidRPr="00955710">
        <w:t>with a language background other than English</w:t>
      </w:r>
    </w:p>
    <w:p w14:paraId="0267DF89" w14:textId="77777777" w:rsidR="004E051C" w:rsidRDefault="004E051C" w:rsidP="00E01114">
      <w:pPr>
        <w:pStyle w:val="ListBullet"/>
      </w:pPr>
      <w:r>
        <w:t>children from regional and remote areas</w:t>
      </w:r>
    </w:p>
    <w:p w14:paraId="65F73ACC" w14:textId="77777777" w:rsidR="004E051C" w:rsidRPr="005B0142" w:rsidRDefault="004E051C" w:rsidP="00E01114">
      <w:pPr>
        <w:pStyle w:val="ListBullet"/>
      </w:pPr>
      <w:r w:rsidRPr="005B0142">
        <w:t>children from low socio</w:t>
      </w:r>
      <w:r>
        <w:noBreakHyphen/>
      </w:r>
      <w:r w:rsidRPr="005B0142">
        <w:t>economic areas</w:t>
      </w:r>
      <w:r w:rsidRPr="00D10F0A">
        <w:rPr>
          <w:rStyle w:val="FootnoteReference"/>
        </w:rPr>
        <w:footnoteReference w:id="3"/>
      </w:r>
      <w:r w:rsidRPr="005B0142">
        <w:t xml:space="preserve"> </w:t>
      </w:r>
      <w:r w:rsidRPr="008C7239">
        <w:rPr>
          <w:rFonts w:ascii="Arial" w:hAnsi="Arial" w:cs="Arial"/>
          <w:szCs w:val="24"/>
        </w:rPr>
        <w:t>(DESE 2022, pp. 29–40)</w:t>
      </w:r>
      <w:r w:rsidRPr="005B0142">
        <w:t>.</w:t>
      </w:r>
    </w:p>
    <w:p w14:paraId="58978E82" w14:textId="77777777" w:rsidR="004E051C" w:rsidRDefault="004E051C">
      <w:pPr>
        <w:pStyle w:val="BodyText"/>
        <w:rPr>
          <w:lang w:val="en-US"/>
        </w:rPr>
      </w:pPr>
      <w:r>
        <w:t>While included in the census,</w:t>
      </w:r>
      <w:r w:rsidRPr="005B0142">
        <w:t xml:space="preserve"> </w:t>
      </w:r>
      <w:r>
        <w:t xml:space="preserve">AEDC results are not </w:t>
      </w:r>
      <w:r w:rsidRPr="000B064D">
        <w:t xml:space="preserve">reported </w:t>
      </w:r>
      <w:r w:rsidRPr="006B18AC">
        <w:t>for</w:t>
      </w:r>
      <w:r w:rsidRPr="000B064D">
        <w:t xml:space="preserve"> </w:t>
      </w:r>
      <w:r w:rsidRPr="000B064D">
        <w:rPr>
          <w:lang w:val="en-US"/>
        </w:rPr>
        <w:t>children with chronic medical, physical or intellectual disabilities that require special assistance, based on medical diagnosis.</w:t>
      </w:r>
      <w:r>
        <w:rPr>
          <w:lang w:val="en-US"/>
        </w:rPr>
        <w:t xml:space="preserve"> </w:t>
      </w:r>
    </w:p>
    <w:p w14:paraId="4942FF5F" w14:textId="71EEE3ED" w:rsidR="004E051C" w:rsidRPr="00146382" w:rsidRDefault="004E051C">
      <w:pPr>
        <w:pStyle w:val="FigureTableHeading"/>
      </w:pPr>
      <w:r>
        <w:lastRenderedPageBreak/>
        <w:t xml:space="preserve">Figure </w:t>
      </w:r>
      <w:r w:rsidR="00DC7EEE">
        <w:rPr>
          <w:noProof/>
        </w:rPr>
        <w:t>2</w:t>
      </w:r>
      <w:r>
        <w:t>.</w:t>
      </w:r>
      <w:r w:rsidR="00DC7EEE">
        <w:rPr>
          <w:noProof/>
        </w:rPr>
        <w:t>1</w:t>
      </w:r>
      <w:r>
        <w:rPr>
          <w:noProof/>
        </w:rPr>
        <w:t xml:space="preserve"> </w:t>
      </w:r>
      <w:r>
        <w:t xml:space="preserve">– </w:t>
      </w:r>
      <w:r w:rsidRPr="00C27241">
        <w:t xml:space="preserve">The children who attend ECEC are </w:t>
      </w:r>
      <w:r w:rsidRPr="00496E10">
        <w:t>diverse</w:t>
      </w:r>
    </w:p>
    <w:p w14:paraId="2A4BB9CD" w14:textId="77777777" w:rsidR="004E051C" w:rsidRPr="0007383E" w:rsidRDefault="004E051C">
      <w:pPr>
        <w:pStyle w:val="FigureTableSubheading"/>
      </w:pPr>
      <w:r>
        <w:t>Characteristics of children attending ECEC</w:t>
      </w:r>
    </w:p>
    <w:p w14:paraId="145BD4E8" w14:textId="1D19E274" w:rsidR="00D00DF3" w:rsidRPr="004B6E25" w:rsidRDefault="00CB15BC" w:rsidP="004B6E25">
      <w:pPr>
        <w:pStyle w:val="BodyText"/>
      </w:pPr>
      <w:r w:rsidRPr="004B6E25">
        <w:rPr>
          <w:noProof/>
        </w:rPr>
        <w:drawing>
          <wp:inline distT="0" distB="0" distL="0" distR="0" wp14:anchorId="6AF3AF2B" wp14:editId="403A44E4">
            <wp:extent cx="6120130" cy="5455285"/>
            <wp:effectExtent l="0" t="0" r="0" b="0"/>
            <wp:docPr id="1002304967" name="Picture 1002304967" descr="Figure 2.1 – An infographic detailing characteristics of children in ECEC in Australia. Of the 1.4 million children in CCS approved ECEC in the December 2022 quarter: 60% attended CBDC, 5.7% family day care, and 37% outside school hours care. A bar chart with blue bars depicts rising engagement in CCS approved services or preschool programs from ages 0-4, declining over ages 5-12. Among the 550,000 children (3-6 years) enrolled in a preschool program in August 2022: 63% were in CBDC only, 27% in dedicated preschool only, and 10% in both. For every 100 children in CCS approved ECEC: 23 live in low-income families, 22 are from regional areas, 19 come from a non-English speaking background, 5 have a disability, 4 are Aboriginal or Torres Strait Islander and 1 is from remote and very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4967" name="Picture 2" descr="Figure 2.1 – An infographic detailing characteristics of children in ECEC in Australia. Of the 1.4 million children in CCS approved ECEC in the December 2022 quarter: 60% attended CBDC, 5.7% family day care, and 37% outside school hours care. A bar chart with blue bars depicts rising engagement in CCS approved services or preschool programs from ages 0-4, declining over ages 5-12. Among the 550,000 children (3-6 years) enrolled in a preschool program in August 2022: 63% were in CBDC only, 27% in dedicated preschool only, and 10% in both. For every 100 children in CCS approved ECEC: 23 live in low-income families, 22 are from regional areas, 19 come from a non-English speaking background, 5 have a disability, 4 are Aboriginal or Torres Strait Islander and 1 is from remote and very remote are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5455285"/>
                    </a:xfrm>
                    <a:prstGeom prst="rect">
                      <a:avLst/>
                    </a:prstGeom>
                    <a:noFill/>
                    <a:ln>
                      <a:noFill/>
                    </a:ln>
                  </pic:spPr>
                </pic:pic>
              </a:graphicData>
            </a:graphic>
          </wp:inline>
        </w:drawing>
      </w:r>
    </w:p>
    <w:p w14:paraId="3623C298" w14:textId="73AE9EA0" w:rsidR="004E051C" w:rsidRPr="00D00DF3" w:rsidRDefault="004E051C">
      <w:pPr>
        <w:pStyle w:val="Note"/>
        <w:keepLines/>
        <w:rPr>
          <w:spacing w:val="-4"/>
        </w:rPr>
      </w:pPr>
      <w:r w:rsidRPr="00D00DF3">
        <w:rPr>
          <w:rFonts w:cstheme="minorHAnsi"/>
          <w:b/>
          <w:spacing w:val="-4"/>
        </w:rPr>
        <w:t>a.</w:t>
      </w:r>
      <w:r w:rsidRPr="00D00DF3">
        <w:rPr>
          <w:rFonts w:cstheme="minorHAnsi"/>
          <w:spacing w:val="-4"/>
        </w:rPr>
        <w:t xml:space="preserve"> Includes children whose family lodged a claim for CCS and have a Customer Reference Number. 2,090 children attended In Home Care in the December 2022 quarter. The sum of percentages exceeds 100% as children can attend multiple CCS service types</w:t>
      </w:r>
      <w:r w:rsidR="003F1E59">
        <w:rPr>
          <w:rFonts w:cstheme="minorHAnsi"/>
          <w:spacing w:val="-4"/>
        </w:rPr>
        <w:t>.</w:t>
      </w:r>
      <w:r w:rsidRPr="00D00DF3">
        <w:rPr>
          <w:rFonts w:cstheme="minorHAnsi"/>
          <w:spacing w:val="-4"/>
        </w:rPr>
        <w:t xml:space="preserve"> </w:t>
      </w:r>
      <w:r w:rsidRPr="00D00DF3">
        <w:rPr>
          <w:rFonts w:cstheme="minorHAnsi"/>
          <w:b/>
          <w:spacing w:val="-4"/>
        </w:rPr>
        <w:t xml:space="preserve">b. </w:t>
      </w:r>
      <w:r w:rsidRPr="00D00DF3">
        <w:rPr>
          <w:rFonts w:cstheme="minorHAnsi"/>
          <w:bCs/>
          <w:spacing w:val="-4"/>
        </w:rPr>
        <w:t xml:space="preserve">The reference period used to calculate the number of children enrolled varied but was generally a period in August 2022. </w:t>
      </w:r>
      <w:r w:rsidRPr="00D00DF3">
        <w:rPr>
          <w:spacing w:val="-4"/>
        </w:rPr>
        <w:t xml:space="preserve">For Australian Government data, it was 1–7 August 2022. For state and territory data, it was generally a period in August 2022. For the NT, it included part of June and July 2022 and in the </w:t>
      </w:r>
      <w:proofErr w:type="gramStart"/>
      <w:r w:rsidRPr="00D00DF3">
        <w:rPr>
          <w:spacing w:val="-4"/>
        </w:rPr>
        <w:t>ACT</w:t>
      </w:r>
      <w:proofErr w:type="gramEnd"/>
      <w:r w:rsidRPr="00D00DF3">
        <w:rPr>
          <w:spacing w:val="-4"/>
        </w:rPr>
        <w:t xml:space="preserve"> it included part of July 2022. </w:t>
      </w:r>
      <w:r w:rsidRPr="00D00DF3">
        <w:rPr>
          <w:b/>
          <w:bCs/>
          <w:spacing w:val="-4"/>
        </w:rPr>
        <w:t xml:space="preserve">c. </w:t>
      </w:r>
      <w:r w:rsidRPr="00D00DF3">
        <w:rPr>
          <w:spacing w:val="-4"/>
        </w:rPr>
        <w:t xml:space="preserve">Data on the overall population of children was </w:t>
      </w:r>
      <w:proofErr w:type="gramStart"/>
      <w:r w:rsidRPr="00D00DF3">
        <w:rPr>
          <w:spacing w:val="-4"/>
        </w:rPr>
        <w:t>at</w:t>
      </w:r>
      <w:proofErr w:type="gramEnd"/>
      <w:r w:rsidRPr="00D00DF3">
        <w:rPr>
          <w:spacing w:val="-4"/>
        </w:rPr>
        <w:t xml:space="preserve"> June 2022. </w:t>
      </w:r>
      <w:r w:rsidRPr="00D00DF3">
        <w:rPr>
          <w:rFonts w:cstheme="minorHAnsi"/>
          <w:b/>
          <w:spacing w:val="-4"/>
        </w:rPr>
        <w:t xml:space="preserve">d. </w:t>
      </w:r>
      <w:r w:rsidRPr="00D00DF3">
        <w:rPr>
          <w:rFonts w:cstheme="minorHAnsi"/>
          <w:spacing w:val="-4"/>
        </w:rPr>
        <w:t>For enrolment by age, there may be some double counting of children aged 3</w:t>
      </w:r>
      <w:r w:rsidRPr="00D00DF3">
        <w:rPr>
          <w:rFonts w:cstheme="minorHAnsi"/>
          <w:spacing w:val="-4"/>
        </w:rPr>
        <w:noBreakHyphen/>
        <w:t>6 years enrolled in both a preschool program (including centre</w:t>
      </w:r>
      <w:r w:rsidRPr="00D00DF3">
        <w:rPr>
          <w:rFonts w:cstheme="minorHAnsi"/>
          <w:spacing w:val="-4"/>
        </w:rPr>
        <w:noBreakHyphen/>
        <w:t xml:space="preserve">based day care) and family day care, outside school hours care or In Home Care. </w:t>
      </w:r>
      <w:r w:rsidRPr="00D00DF3">
        <w:rPr>
          <w:rFonts w:cstheme="minorHAnsi"/>
          <w:b/>
          <w:spacing w:val="-4"/>
        </w:rPr>
        <w:t>e. </w:t>
      </w:r>
      <w:r w:rsidRPr="00D00DF3">
        <w:rPr>
          <w:rFonts w:cstheme="minorHAnsi"/>
          <w:spacing w:val="-4"/>
        </w:rPr>
        <w:t>Children in centre</w:t>
      </w:r>
      <w:r w:rsidRPr="00D00DF3">
        <w:rPr>
          <w:rFonts w:cstheme="minorHAnsi"/>
          <w:spacing w:val="-4"/>
        </w:rPr>
        <w:noBreakHyphen/>
        <w:t xml:space="preserve">based day care of the appropriate age are assumed to be enrolled in a preschool program. </w:t>
      </w:r>
      <w:r w:rsidRPr="00D00DF3">
        <w:rPr>
          <w:rFonts w:cstheme="minorHAnsi"/>
          <w:b/>
          <w:spacing w:val="-4"/>
        </w:rPr>
        <w:t>f.</w:t>
      </w:r>
      <w:r w:rsidRPr="00D00DF3">
        <w:rPr>
          <w:rFonts w:cstheme="minorHAnsi"/>
          <w:spacing w:val="-4"/>
        </w:rPr>
        <w:t xml:space="preserve"> Data on children from regional and remote areas, low</w:t>
      </w:r>
      <w:r w:rsidRPr="00D00DF3">
        <w:rPr>
          <w:rFonts w:cstheme="minorHAnsi"/>
          <w:spacing w:val="-4"/>
        </w:rPr>
        <w:noBreakHyphen/>
        <w:t>income families and Aboriginal and Torres Strait Islander children is at the March 2022 quarter. Data on children with disability and from non</w:t>
      </w:r>
      <w:r w:rsidRPr="00D00DF3">
        <w:rPr>
          <w:rFonts w:cstheme="minorHAnsi"/>
          <w:spacing w:val="-4"/>
        </w:rPr>
        <w:noBreakHyphen/>
        <w:t xml:space="preserve">English speaking backgrounds is </w:t>
      </w:r>
      <w:proofErr w:type="gramStart"/>
      <w:r w:rsidRPr="00D00DF3">
        <w:rPr>
          <w:rFonts w:cstheme="minorHAnsi"/>
          <w:spacing w:val="-4"/>
        </w:rPr>
        <w:t>at</w:t>
      </w:r>
      <w:proofErr w:type="gramEnd"/>
      <w:r w:rsidRPr="00D00DF3">
        <w:rPr>
          <w:rFonts w:cstheme="minorHAnsi"/>
          <w:spacing w:val="-4"/>
        </w:rPr>
        <w:t xml:space="preserve"> 2021; these children </w:t>
      </w:r>
      <w:r w:rsidRPr="00D00DF3">
        <w:rPr>
          <w:rStyle w:val="normaltextrun"/>
          <w:rFonts w:cs="Arial"/>
          <w:spacing w:val="-4"/>
          <w:szCs w:val="18"/>
          <w:shd w:val="clear" w:color="auto" w:fill="FFFFFF"/>
        </w:rPr>
        <w:t>may be counted more than once if attending more than one approved service in the reference period</w:t>
      </w:r>
      <w:r w:rsidR="003F1E59">
        <w:rPr>
          <w:rStyle w:val="normaltextrun"/>
          <w:rFonts w:cs="Arial"/>
          <w:spacing w:val="-4"/>
          <w:szCs w:val="18"/>
          <w:shd w:val="clear" w:color="auto" w:fill="FFFFFF"/>
        </w:rPr>
        <w:t>.</w:t>
      </w:r>
      <w:r w:rsidRPr="00D00DF3">
        <w:rPr>
          <w:rStyle w:val="normaltextrun"/>
          <w:rFonts w:cs="Arial"/>
          <w:spacing w:val="-4"/>
          <w:szCs w:val="18"/>
          <w:shd w:val="clear" w:color="auto" w:fill="FFFFFF"/>
        </w:rPr>
        <w:t xml:space="preserve"> </w:t>
      </w:r>
      <w:r w:rsidRPr="00D00DF3">
        <w:rPr>
          <w:rStyle w:val="normaltextrun"/>
          <w:rFonts w:cs="Arial"/>
          <w:b/>
          <w:bCs/>
          <w:spacing w:val="-4"/>
          <w:szCs w:val="18"/>
          <w:shd w:val="clear" w:color="auto" w:fill="FFFFFF"/>
        </w:rPr>
        <w:t>g.</w:t>
      </w:r>
      <w:r w:rsidR="003F1E59">
        <w:rPr>
          <w:rStyle w:val="normaltextrun"/>
          <w:rFonts w:cs="Arial"/>
          <w:spacing w:val="-4"/>
          <w:szCs w:val="18"/>
          <w:shd w:val="clear" w:color="auto" w:fill="FFFFFF"/>
        </w:rPr>
        <w:t> </w:t>
      </w:r>
      <w:r w:rsidRPr="00D00DF3">
        <w:rPr>
          <w:rStyle w:val="normaltextrun"/>
          <w:rFonts w:cs="Arial"/>
          <w:spacing w:val="-4"/>
          <w:szCs w:val="18"/>
          <w:shd w:val="clear" w:color="auto" w:fill="FFFFFF"/>
        </w:rPr>
        <w:t xml:space="preserve">Children can use ECEC in multiple regions, and may be counted in more than one region. </w:t>
      </w:r>
      <w:r w:rsidR="003F1E59">
        <w:rPr>
          <w:b/>
          <w:bCs/>
          <w:spacing w:val="-4"/>
        </w:rPr>
        <w:t>h.</w:t>
      </w:r>
      <w:r w:rsidRPr="00D00DF3">
        <w:rPr>
          <w:rStyle w:val="normaltextrun"/>
          <w:rFonts w:cs="Arial"/>
          <w:spacing w:val="-4"/>
          <w:szCs w:val="18"/>
          <w:shd w:val="clear" w:color="auto" w:fill="FFFFFF"/>
        </w:rPr>
        <w:t xml:space="preserve"> Data on</w:t>
      </w:r>
      <w:r w:rsidRPr="00D00DF3">
        <w:rPr>
          <w:rStyle w:val="normaltextrun"/>
          <w:rFonts w:cs="Arial"/>
          <w:color w:val="000000"/>
          <w:spacing w:val="-4"/>
          <w:szCs w:val="18"/>
          <w:shd w:val="clear" w:color="auto" w:fill="FFFFFF"/>
        </w:rPr>
        <w:t xml:space="preserve"> Aboriginal and Torres Strait Islander children and children with disability is based on identification by the service</w:t>
      </w:r>
      <w:r w:rsidRPr="00D00DF3">
        <w:rPr>
          <w:spacing w:val="-4"/>
        </w:rPr>
        <w:t>.</w:t>
      </w:r>
    </w:p>
    <w:p w14:paraId="14ED01E3" w14:textId="10458AB3" w:rsidR="004E051C" w:rsidRPr="004B6E25" w:rsidRDefault="004E051C">
      <w:pPr>
        <w:pStyle w:val="Source"/>
        <w:rPr>
          <w:rFonts w:cstheme="minorHAnsi"/>
          <w:spacing w:val="-4"/>
        </w:rPr>
      </w:pPr>
      <w:r w:rsidRPr="004B6E25">
        <w:rPr>
          <w:spacing w:val="-4"/>
        </w:rPr>
        <w:t>Source</w:t>
      </w:r>
      <w:r w:rsidR="00D00DF3" w:rsidRPr="004B6E25">
        <w:rPr>
          <w:spacing w:val="-4"/>
        </w:rPr>
        <w:t>:</w:t>
      </w:r>
      <w:r w:rsidRPr="004B6E25">
        <w:rPr>
          <w:rFonts w:cstheme="minorHAnsi"/>
          <w:spacing w:val="-4"/>
        </w:rPr>
        <w:t xml:space="preserve"> DoE </w:t>
      </w:r>
      <w:r w:rsidRPr="004B6E25">
        <w:rPr>
          <w:rFonts w:cs="Arial"/>
          <w:spacing w:val="-4"/>
        </w:rPr>
        <w:t>(2023a)</w:t>
      </w:r>
      <w:r w:rsidRPr="004B6E25">
        <w:rPr>
          <w:rFonts w:cstheme="minorHAnsi"/>
          <w:spacing w:val="-4"/>
        </w:rPr>
        <w:t xml:space="preserve">, Productivity Commission estimates, based on ABS (2022) </w:t>
      </w:r>
      <w:r w:rsidRPr="004B6E25">
        <w:rPr>
          <w:rFonts w:cstheme="minorHAnsi"/>
          <w:i/>
          <w:iCs/>
          <w:spacing w:val="-4"/>
        </w:rPr>
        <w:t>Preschool Education 2022</w:t>
      </w:r>
      <w:r w:rsidRPr="004B6E25">
        <w:rPr>
          <w:rFonts w:cstheme="minorHAnsi"/>
          <w:spacing w:val="-4"/>
        </w:rPr>
        <w:t xml:space="preserve">, </w:t>
      </w:r>
      <w:proofErr w:type="spellStart"/>
      <w:r w:rsidRPr="004B6E25">
        <w:rPr>
          <w:rFonts w:cstheme="minorHAnsi"/>
          <w:i/>
          <w:iCs/>
          <w:spacing w:val="-4"/>
        </w:rPr>
        <w:t>TableBuilder</w:t>
      </w:r>
      <w:proofErr w:type="spellEnd"/>
      <w:r w:rsidRPr="004B6E25">
        <w:rPr>
          <w:rFonts w:cstheme="minorHAnsi"/>
          <w:spacing w:val="-4"/>
        </w:rPr>
        <w:t xml:space="preserve">, accessed 15 August 2023, ABS (March 2023) ‘Estimated Resident Population by Single Year of Age, Australia’, </w:t>
      </w:r>
      <w:r w:rsidRPr="004B6E25">
        <w:rPr>
          <w:rFonts w:cstheme="minorHAnsi"/>
          <w:i/>
          <w:iCs/>
          <w:spacing w:val="-4"/>
        </w:rPr>
        <w:t xml:space="preserve">National, state and territory population, </w:t>
      </w:r>
      <w:r w:rsidRPr="004B6E25">
        <w:rPr>
          <w:rFonts w:cstheme="minorHAnsi"/>
          <w:spacing w:val="-4"/>
        </w:rPr>
        <w:t xml:space="preserve">accessed 10 September 2023, DoE administrative data (unpublished), SCRGSP </w:t>
      </w:r>
      <w:r w:rsidRPr="004B6E25">
        <w:rPr>
          <w:rFonts w:cs="Arial"/>
          <w:spacing w:val="-4"/>
        </w:rPr>
        <w:t>(2023)</w:t>
      </w:r>
      <w:r w:rsidRPr="004B6E25">
        <w:rPr>
          <w:spacing w:val="-4"/>
        </w:rPr>
        <w:t>.</w:t>
      </w:r>
    </w:p>
    <w:p w14:paraId="636E0B93" w14:textId="77777777" w:rsidR="004E051C" w:rsidRPr="006F628C" w:rsidRDefault="004E051C">
      <w:pPr>
        <w:pStyle w:val="BodyText"/>
      </w:pPr>
      <w:r>
        <w:lastRenderedPageBreak/>
        <w:t>Children from these cohorts as well as children with disability are often less likely to be enrolled in or attend ECEC (figures 2.2 and 2.3).</w:t>
      </w:r>
      <w:r w:rsidRPr="00D10F0A">
        <w:rPr>
          <w:rStyle w:val="FootnoteReference"/>
        </w:rPr>
        <w:footnoteReference w:id="4"/>
      </w:r>
      <w:r>
        <w:t xml:space="preserve"> They</w:t>
      </w:r>
      <w:r w:rsidRPr="00CF44C2">
        <w:t xml:space="preserve"> are typically under</w:t>
      </w:r>
      <w:r>
        <w:noBreakHyphen/>
      </w:r>
      <w:r w:rsidRPr="00CF44C2">
        <w:t xml:space="preserve">represented </w:t>
      </w:r>
      <w:r>
        <w:t xml:space="preserve">both </w:t>
      </w:r>
      <w:r w:rsidRPr="00CF44C2">
        <w:t xml:space="preserve">among children </w:t>
      </w:r>
      <w:r w:rsidRPr="00D2604A">
        <w:t xml:space="preserve">attending </w:t>
      </w:r>
      <w:proofErr w:type="gramStart"/>
      <w:r w:rsidRPr="00656952">
        <w:t xml:space="preserve">Child </w:t>
      </w:r>
      <w:r w:rsidRPr="006F628C">
        <w:t>Care</w:t>
      </w:r>
      <w:proofErr w:type="gramEnd"/>
      <w:r w:rsidRPr="006F628C">
        <w:t xml:space="preserve"> Subsidy (CCS)</w:t>
      </w:r>
      <w:r>
        <w:t xml:space="preserve"> </w:t>
      </w:r>
      <w:r w:rsidRPr="006F628C">
        <w:t>approved services and those enrolled in preschool in the year before</w:t>
      </w:r>
      <w:r w:rsidRPr="006F628C">
        <w:noBreakHyphen/>
        <w:t xml:space="preserve">full time school. </w:t>
      </w:r>
    </w:p>
    <w:p w14:paraId="0FBEE364" w14:textId="226C1FE3" w:rsidR="004E051C" w:rsidRPr="000A480B" w:rsidRDefault="004E051C">
      <w:pPr>
        <w:pStyle w:val="FigureTableHeading"/>
      </w:pPr>
      <w:r>
        <w:t xml:space="preserve">Figure </w:t>
      </w:r>
      <w:bookmarkStart w:id="6" w:name="_Hlk150258115"/>
      <w:r w:rsidR="00DC7EEE">
        <w:rPr>
          <w:noProof/>
        </w:rPr>
        <w:t>2</w:t>
      </w:r>
      <w:r>
        <w:t>.</w:t>
      </w:r>
      <w:r w:rsidR="00DC7EEE">
        <w:rPr>
          <w:noProof/>
        </w:rPr>
        <w:t>2</w:t>
      </w:r>
      <w:bookmarkEnd w:id="6"/>
      <w:r>
        <w:rPr>
          <w:noProof/>
        </w:rPr>
        <w:t xml:space="preserve"> </w:t>
      </w:r>
      <w:r>
        <w:t xml:space="preserve">– </w:t>
      </w:r>
      <w:r w:rsidRPr="006F628C">
        <w:t>Children from some cohorts are under</w:t>
      </w:r>
      <w:r>
        <w:noBreakHyphen/>
      </w:r>
      <w:r w:rsidRPr="006F628C">
        <w:t xml:space="preserve">represented in CCS approved </w:t>
      </w:r>
      <w:proofErr w:type="spellStart"/>
      <w:proofErr w:type="gramStart"/>
      <w:r w:rsidRPr="000A480B">
        <w:t>services</w:t>
      </w:r>
      <w:r w:rsidRPr="000A480B">
        <w:rPr>
          <w:vertAlign w:val="superscript"/>
        </w:rPr>
        <w:t>a,b</w:t>
      </w:r>
      <w:proofErr w:type="gramEnd"/>
      <w:r w:rsidRPr="000A480B">
        <w:rPr>
          <w:vertAlign w:val="superscript"/>
        </w:rPr>
        <w:t>,c,d</w:t>
      </w:r>
      <w:proofErr w:type="spellEnd"/>
    </w:p>
    <w:p w14:paraId="292636C4" w14:textId="77777777" w:rsidR="004E051C" w:rsidRDefault="004E051C">
      <w:pPr>
        <w:pStyle w:val="FigureTableSubheading"/>
        <w:keepLines/>
      </w:pPr>
      <w:r w:rsidRPr="000A480B">
        <w:t xml:space="preserve">Representation of select cohorts </w:t>
      </w:r>
      <w:r w:rsidRPr="00F264F3">
        <w:t xml:space="preserve">among children </w:t>
      </w:r>
      <w:r w:rsidRPr="000A480B">
        <w:t>attending CCS approved services, compared to their representation in the community</w:t>
      </w:r>
    </w:p>
    <w:p w14:paraId="6F355306" w14:textId="77777777" w:rsidR="003F1E59" w:rsidRPr="003F1E59" w:rsidRDefault="004E051C">
      <w:pPr>
        <w:pStyle w:val="Note"/>
        <w:keepNext/>
        <w:keepLines/>
        <w:rPr>
          <w:rStyle w:val="BodyTextChar"/>
        </w:rPr>
      </w:pPr>
      <w:r w:rsidRPr="000819F4">
        <w:rPr>
          <w:noProof/>
        </w:rPr>
        <w:drawing>
          <wp:inline distT="0" distB="0" distL="0" distR="0" wp14:anchorId="6A9F1CCC" wp14:editId="75209C11">
            <wp:extent cx="6120130" cy="2730500"/>
            <wp:effectExtent l="0" t="0" r="0" b="0"/>
            <wp:docPr id="873433561" name="Picture 873433561" descr="This is a bar graph with a series of vertical bars to show the representation of select cohorts in CCS approved services compared to their representation in the community. Cohorts include: Aboriginal and Torres Strait Islander children; children from non-English speaking background; children from regional areas; children from remote and very remote areas; children from low-income families; and children with disability. Separate vertical lines depict their representation among children aged 0-5 years and 6-12 years in CCS approved services, compared to their representation among the population of children aged 0-5 years and 6-12 years. Most cohorts are under-represented in CCS-approved services, with the exception of children with disability aged 0-5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33561" name="Picture 873433561" descr="This is a bar graph with a series of vertical bars to show the representation of select cohorts in CCS approved services compared to their representation in the community. Cohorts include: Aboriginal and Torres Strait Islander children; children from non-English speaking background; children from regional areas; children from remote and very remote areas; children from low-income families; and children with disability. Separate vertical lines depict their representation among children aged 0-5 years and 6-12 years in CCS approved services, compared to their representation among the population of children aged 0-5 years and 6-12 years. Most cohorts are under-represented in CCS-approved services, with the exception of children with disability aged 0-5 year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2730500"/>
                    </a:xfrm>
                    <a:prstGeom prst="rect">
                      <a:avLst/>
                    </a:prstGeom>
                    <a:noFill/>
                    <a:ln>
                      <a:noFill/>
                    </a:ln>
                  </pic:spPr>
                </pic:pic>
              </a:graphicData>
            </a:graphic>
          </wp:inline>
        </w:drawing>
      </w:r>
    </w:p>
    <w:p w14:paraId="3A0FC2F6" w14:textId="539AA83F" w:rsidR="004E051C" w:rsidRDefault="004E051C">
      <w:pPr>
        <w:pStyle w:val="Note"/>
        <w:keepNext/>
        <w:keepLines/>
      </w:pPr>
      <w:r w:rsidRPr="00180E66">
        <w:rPr>
          <w:b/>
          <w:bCs/>
        </w:rPr>
        <w:t>a</w:t>
      </w:r>
      <w:r w:rsidRPr="6AAC5334">
        <w:rPr>
          <w:b/>
        </w:rPr>
        <w:t>.</w:t>
      </w:r>
      <w:r w:rsidRPr="6AAC5334">
        <w:t xml:space="preserve"> For representation in CCS services: data on Aboriginal and Torres Strait Islander children, children from regional, remote and very remote areas and low</w:t>
      </w:r>
      <w:r>
        <w:noBreakHyphen/>
      </w:r>
      <w:r w:rsidRPr="6AAC5334">
        <w:t xml:space="preserve">income families is at </w:t>
      </w:r>
      <w:r>
        <w:t xml:space="preserve">the </w:t>
      </w:r>
      <w:r w:rsidRPr="00DA5DC2">
        <w:t xml:space="preserve">March quarter </w:t>
      </w:r>
      <w:r w:rsidRPr="6AAC5334">
        <w:t>2022; data on children from non</w:t>
      </w:r>
      <w:r>
        <w:noBreakHyphen/>
      </w:r>
      <w:r w:rsidRPr="6AAC5334">
        <w:t>English speaking background and with disability is from 2021. For representation of children in community: data on Aboriginal and Torres Strait Islander children</w:t>
      </w:r>
      <w:r>
        <w:t xml:space="preserve"> </w:t>
      </w:r>
      <w:r w:rsidRPr="6AAC5334">
        <w:t xml:space="preserve">is </w:t>
      </w:r>
      <w:proofErr w:type="gramStart"/>
      <w:r w:rsidRPr="6AAC5334">
        <w:t>at</w:t>
      </w:r>
      <w:proofErr w:type="gramEnd"/>
      <w:r w:rsidRPr="6AAC5334">
        <w:t xml:space="preserve"> 30</w:t>
      </w:r>
      <w:r>
        <w:t> </w:t>
      </w:r>
      <w:r w:rsidRPr="6AAC5334">
        <w:t>June</w:t>
      </w:r>
      <w:r>
        <w:t xml:space="preserve"> 2022</w:t>
      </w:r>
      <w:r w:rsidRPr="6AAC5334">
        <w:t xml:space="preserve">; </w:t>
      </w:r>
      <w:r>
        <w:t xml:space="preserve">data on </w:t>
      </w:r>
      <w:r w:rsidRPr="6AAC5334">
        <w:t>children from regional, remote and very remote areas is at 30</w:t>
      </w:r>
      <w:r>
        <w:t> </w:t>
      </w:r>
      <w:r w:rsidRPr="6AAC5334">
        <w:t>June</w:t>
      </w:r>
      <w:r>
        <w:t xml:space="preserve"> 2021</w:t>
      </w:r>
      <w:r w:rsidRPr="6AAC5334">
        <w:t>; data on children from non</w:t>
      </w:r>
      <w:r w:rsidRPr="00322D75">
        <w:rPr>
          <w:rFonts w:cstheme="minorHAnsi"/>
        </w:rPr>
        <w:noBreakHyphen/>
      </w:r>
      <w:r w:rsidRPr="6AAC5334">
        <w:t>English speaking backgrounds is at 2021; children from low income families is at 2019</w:t>
      </w:r>
      <w:r>
        <w:noBreakHyphen/>
      </w:r>
      <w:r w:rsidRPr="6AAC5334">
        <w:t>20; and children with disability is at 2018</w:t>
      </w:r>
      <w:r w:rsidRPr="6AAC5334">
        <w:rPr>
          <w:lang w:val="en-US"/>
        </w:rPr>
        <w:t xml:space="preserve">. </w:t>
      </w:r>
      <w:r w:rsidRPr="6AAC5334">
        <w:rPr>
          <w:b/>
        </w:rPr>
        <w:t>b.</w:t>
      </w:r>
      <w:r>
        <w:t xml:space="preserve"> Children with disability and those from </w:t>
      </w:r>
      <w:r w:rsidRPr="00D519BC">
        <w:t>non</w:t>
      </w:r>
      <w:r>
        <w:noBreakHyphen/>
        <w:t>English speaking backgrounds</w:t>
      </w:r>
      <w:r>
        <w:rPr>
          <w:rStyle w:val="normaltextrun"/>
          <w:rFonts w:ascii="Arial" w:hAnsi="Arial" w:cs="Arial"/>
          <w:szCs w:val="18"/>
          <w:shd w:val="clear" w:color="auto" w:fill="FFFFFF"/>
        </w:rPr>
        <w:t xml:space="preserve"> </w:t>
      </w:r>
      <w:r w:rsidRPr="00D519BC">
        <w:rPr>
          <w:rStyle w:val="normaltextrun"/>
          <w:rFonts w:ascii="Arial" w:hAnsi="Arial" w:cs="Arial"/>
          <w:szCs w:val="18"/>
          <w:shd w:val="clear" w:color="auto" w:fill="FFFFFF"/>
        </w:rPr>
        <w:t xml:space="preserve">may be counted </w:t>
      </w:r>
      <w:r w:rsidRPr="002C2DAB">
        <w:rPr>
          <w:rStyle w:val="normaltextrun"/>
          <w:rFonts w:ascii="Arial" w:hAnsi="Arial"/>
          <w:shd w:val="clear" w:color="auto" w:fill="FFFFFF"/>
        </w:rPr>
        <w:t xml:space="preserve">more than once if attending more than one </w:t>
      </w:r>
      <w:r w:rsidRPr="00D519BC">
        <w:rPr>
          <w:rStyle w:val="normaltextrun"/>
          <w:rFonts w:ascii="Arial" w:hAnsi="Arial" w:cs="Arial"/>
          <w:szCs w:val="18"/>
          <w:shd w:val="clear" w:color="auto" w:fill="FFFFFF"/>
        </w:rPr>
        <w:t xml:space="preserve">approved </w:t>
      </w:r>
      <w:r w:rsidRPr="002C2DAB">
        <w:rPr>
          <w:rStyle w:val="normaltextrun"/>
          <w:rFonts w:ascii="Arial" w:hAnsi="Arial"/>
          <w:shd w:val="clear" w:color="auto" w:fill="FFFFFF"/>
        </w:rPr>
        <w:t>service</w:t>
      </w:r>
      <w:r w:rsidRPr="00D519BC">
        <w:rPr>
          <w:rStyle w:val="normaltextrun"/>
          <w:rFonts w:ascii="Arial" w:hAnsi="Arial" w:cs="Arial"/>
          <w:szCs w:val="18"/>
          <w:shd w:val="clear" w:color="auto" w:fill="FFFFFF"/>
        </w:rPr>
        <w:t xml:space="preserve"> during the reference period.</w:t>
      </w:r>
      <w:r w:rsidRPr="002C2DAB">
        <w:rPr>
          <w:rStyle w:val="normaltextrun"/>
          <w:rFonts w:ascii="Arial" w:hAnsi="Arial"/>
          <w:shd w:val="clear" w:color="auto" w:fill="FFFFFF"/>
        </w:rPr>
        <w:t xml:space="preserve"> As a result, participation could be over</w:t>
      </w:r>
      <w:r>
        <w:rPr>
          <w:rStyle w:val="normaltextrun"/>
          <w:rFonts w:ascii="Arial" w:hAnsi="Arial"/>
          <w:shd w:val="clear" w:color="auto" w:fill="FFFFFF"/>
        </w:rPr>
        <w:noBreakHyphen/>
      </w:r>
      <w:r w:rsidRPr="006F628C">
        <w:rPr>
          <w:rStyle w:val="normaltextrun"/>
          <w:rFonts w:ascii="Arial" w:hAnsi="Arial"/>
          <w:shd w:val="clear" w:color="auto" w:fill="FFFFFF"/>
        </w:rPr>
        <w:t xml:space="preserve">reported </w:t>
      </w:r>
      <w:r w:rsidRPr="006F628C">
        <w:rPr>
          <w:rStyle w:val="normaltextrun"/>
          <w:rFonts w:ascii="Arial" w:hAnsi="Arial"/>
          <w:b/>
          <w:shd w:val="clear" w:color="auto" w:fill="FFFFFF"/>
        </w:rPr>
        <w:t>c</w:t>
      </w:r>
      <w:r w:rsidRPr="00FC0F6C">
        <w:rPr>
          <w:rStyle w:val="normaltextrun"/>
          <w:rFonts w:ascii="Arial" w:hAnsi="Arial" w:cs="Arial"/>
          <w:b/>
          <w:bCs/>
          <w:szCs w:val="18"/>
          <w:shd w:val="clear" w:color="auto" w:fill="FFFFFF"/>
        </w:rPr>
        <w:t>.</w:t>
      </w:r>
      <w:r w:rsidRPr="00FC0F6C">
        <w:rPr>
          <w:rStyle w:val="normaltextrun"/>
          <w:rFonts w:ascii="Arial" w:hAnsi="Arial" w:cs="Arial"/>
          <w:szCs w:val="18"/>
          <w:shd w:val="clear" w:color="auto" w:fill="FFFFFF"/>
        </w:rPr>
        <w:t xml:space="preserve"> Children can use </w:t>
      </w:r>
      <w:r>
        <w:rPr>
          <w:rStyle w:val="normaltextrun"/>
          <w:rFonts w:ascii="Arial" w:hAnsi="Arial" w:cs="Arial"/>
          <w:szCs w:val="18"/>
          <w:shd w:val="clear" w:color="auto" w:fill="FFFFFF"/>
        </w:rPr>
        <w:t>ECEC</w:t>
      </w:r>
      <w:r w:rsidRPr="00F264F3">
        <w:rPr>
          <w:rStyle w:val="normaltextrun"/>
          <w:rFonts w:ascii="Arial" w:hAnsi="Arial" w:cs="Arial"/>
          <w:szCs w:val="18"/>
          <w:shd w:val="clear" w:color="auto" w:fill="FFFFFF"/>
        </w:rPr>
        <w:t xml:space="preserve"> in multiple regions and may be counted in more than one region. </w:t>
      </w:r>
      <w:r w:rsidRPr="00F264F3">
        <w:rPr>
          <w:rStyle w:val="normaltextrun"/>
          <w:rFonts w:ascii="Arial" w:hAnsi="Arial" w:cs="Arial"/>
          <w:b/>
          <w:bCs/>
          <w:szCs w:val="18"/>
          <w:shd w:val="clear" w:color="auto" w:fill="FFFFFF"/>
        </w:rPr>
        <w:t xml:space="preserve">d. </w:t>
      </w:r>
      <w:r w:rsidRPr="00F264F3">
        <w:rPr>
          <w:rStyle w:val="normaltextrun"/>
          <w:rFonts w:ascii="Arial" w:hAnsi="Arial" w:cs="Arial"/>
          <w:szCs w:val="18"/>
          <w:shd w:val="clear" w:color="auto" w:fill="FFFFFF"/>
        </w:rPr>
        <w:t xml:space="preserve">Data on Aboriginal and Torres Strait </w:t>
      </w:r>
      <w:r w:rsidRPr="006F628C">
        <w:rPr>
          <w:rStyle w:val="normaltextrun"/>
          <w:rFonts w:ascii="Arial" w:hAnsi="Arial" w:cs="Arial"/>
          <w:color w:val="000000"/>
          <w:szCs w:val="18"/>
          <w:shd w:val="clear" w:color="auto" w:fill="FFFFFF"/>
        </w:rPr>
        <w:t>Islander children and children with disability is based on identification from the</w:t>
      </w:r>
      <w:r>
        <w:rPr>
          <w:rStyle w:val="normaltextrun"/>
          <w:rFonts w:ascii="Arial" w:hAnsi="Arial" w:cs="Arial"/>
          <w:color w:val="000000"/>
          <w:szCs w:val="18"/>
          <w:shd w:val="clear" w:color="auto" w:fill="FFFFFF"/>
        </w:rPr>
        <w:t xml:space="preserve"> service.</w:t>
      </w:r>
    </w:p>
    <w:p w14:paraId="09B73555" w14:textId="77777777" w:rsidR="004E051C" w:rsidRDefault="004E051C">
      <w:pPr>
        <w:pStyle w:val="Source"/>
        <w:keepNext/>
        <w:rPr>
          <w:rFonts w:ascii="Arial" w:hAnsi="Arial" w:cs="Arial"/>
        </w:rPr>
      </w:pPr>
      <w:r w:rsidRPr="00696447">
        <w:t xml:space="preserve">Source: </w:t>
      </w:r>
      <w:r>
        <w:t xml:space="preserve">SCRGSP </w:t>
      </w:r>
      <w:r w:rsidRPr="006D19EF">
        <w:rPr>
          <w:rFonts w:ascii="Arial" w:hAnsi="Arial" w:cs="Arial"/>
        </w:rPr>
        <w:t>(2023)</w:t>
      </w:r>
      <w:r>
        <w:rPr>
          <w:rFonts w:ascii="Arial" w:hAnsi="Arial" w:cs="Arial"/>
        </w:rPr>
        <w:t>.</w:t>
      </w:r>
    </w:p>
    <w:p w14:paraId="5485A8D0" w14:textId="77777777" w:rsidR="004E051C" w:rsidRDefault="004E051C" w:rsidP="0054380F">
      <w:pPr>
        <w:pStyle w:val="Source"/>
        <w:keepNext/>
        <w:rPr>
          <w:rFonts w:ascii="Arial Black" w:eastAsia="Times New Roman" w:hAnsi="Arial Black" w:cs="Segoe UI"/>
          <w:color w:val="000000"/>
          <w:lang w:eastAsia="en-AU"/>
        </w:rPr>
      </w:pPr>
      <w:r>
        <w:rPr>
          <w:rFonts w:ascii="Arial Black" w:eastAsia="Times New Roman" w:hAnsi="Arial Black" w:cs="Segoe UI"/>
          <w:color w:val="000000"/>
          <w:lang w:eastAsia="en-AU"/>
        </w:rPr>
        <w:br w:type="page"/>
      </w:r>
    </w:p>
    <w:p w14:paraId="26AA107A" w14:textId="629E7163" w:rsidR="004E051C" w:rsidRPr="004F3DA2" w:rsidRDefault="004E051C">
      <w:pPr>
        <w:spacing w:before="0" w:after="0" w:line="240" w:lineRule="auto"/>
        <w:textAlignment w:val="baseline"/>
        <w:rPr>
          <w:rFonts w:ascii="Segoe UI" w:eastAsia="Times New Roman" w:hAnsi="Segoe UI" w:cs="Segoe UI"/>
          <w:color w:val="000000"/>
          <w:sz w:val="18"/>
          <w:szCs w:val="18"/>
          <w:lang w:eastAsia="en-AU"/>
        </w:rPr>
      </w:pPr>
      <w:r w:rsidRPr="004F3DA2">
        <w:rPr>
          <w:rFonts w:ascii="Arial Black" w:eastAsia="Times New Roman" w:hAnsi="Arial Black" w:cs="Segoe UI"/>
          <w:color w:val="000000"/>
          <w:lang w:eastAsia="en-AU"/>
        </w:rPr>
        <w:lastRenderedPageBreak/>
        <w:t xml:space="preserve">Figure </w:t>
      </w:r>
      <w:r w:rsidR="00DC7EEE">
        <w:rPr>
          <w:rFonts w:ascii="Arial Black" w:eastAsia="Times New Roman" w:hAnsi="Arial Black" w:cs="Segoe UI"/>
          <w:noProof/>
          <w:color w:val="000000"/>
          <w:lang w:eastAsia="en-AU"/>
        </w:rPr>
        <w:t>2</w:t>
      </w:r>
      <w:r w:rsidRPr="00D13110">
        <w:rPr>
          <w:rFonts w:ascii="Arial Black" w:eastAsia="Times New Roman" w:hAnsi="Arial Black" w:cs="Segoe UI"/>
          <w:color w:val="000000"/>
          <w:lang w:eastAsia="en-AU"/>
        </w:rPr>
        <w:t>.</w:t>
      </w:r>
      <w:r w:rsidR="00DC7EEE">
        <w:rPr>
          <w:rFonts w:ascii="Arial Black" w:eastAsia="Times New Roman" w:hAnsi="Arial Black" w:cs="Segoe UI"/>
          <w:noProof/>
          <w:color w:val="000000"/>
          <w:lang w:eastAsia="en-AU"/>
        </w:rPr>
        <w:t>3</w:t>
      </w:r>
      <w:r>
        <w:rPr>
          <w:rFonts w:ascii="Arial Black" w:eastAsia="Times New Roman" w:hAnsi="Arial Black" w:cs="Segoe UI"/>
          <w:color w:val="000000"/>
          <w:lang w:eastAsia="en-AU"/>
        </w:rPr>
        <w:t xml:space="preserve"> </w:t>
      </w:r>
      <w:r w:rsidRPr="004F3DA2">
        <w:rPr>
          <w:rFonts w:ascii="Arial Black" w:eastAsia="Times New Roman" w:hAnsi="Arial Black" w:cs="Segoe UI"/>
          <w:color w:val="000000"/>
          <w:lang w:eastAsia="en-AU"/>
        </w:rPr>
        <w:t>– Some cohorts are also under</w:t>
      </w:r>
      <w:r>
        <w:rPr>
          <w:rFonts w:ascii="Arial Black" w:eastAsia="Times New Roman" w:hAnsi="Arial Black" w:cs="Segoe UI"/>
          <w:color w:val="000000"/>
          <w:lang w:eastAsia="en-AU"/>
        </w:rPr>
        <w:noBreakHyphen/>
      </w:r>
      <w:r w:rsidRPr="004F3DA2">
        <w:rPr>
          <w:rFonts w:ascii="Arial Black" w:eastAsia="Times New Roman" w:hAnsi="Arial Black" w:cs="Segoe UI"/>
          <w:color w:val="000000"/>
          <w:lang w:eastAsia="en-AU"/>
        </w:rPr>
        <w:t xml:space="preserve">represented in </w:t>
      </w:r>
      <w:proofErr w:type="spellStart"/>
      <w:proofErr w:type="gramStart"/>
      <w:r w:rsidRPr="004F3DA2">
        <w:rPr>
          <w:rFonts w:ascii="Arial Black" w:eastAsia="Times New Roman" w:hAnsi="Arial Black" w:cs="Segoe UI"/>
          <w:color w:val="000000"/>
          <w:lang w:eastAsia="en-AU"/>
        </w:rPr>
        <w:t>preschool</w:t>
      </w:r>
      <w:r w:rsidRPr="004F3DA2">
        <w:rPr>
          <w:rFonts w:ascii="Arial Black" w:eastAsia="Times New Roman" w:hAnsi="Arial Black" w:cs="Segoe UI"/>
          <w:color w:val="000000"/>
          <w:sz w:val="16"/>
          <w:szCs w:val="16"/>
          <w:vertAlign w:val="superscript"/>
          <w:lang w:eastAsia="en-AU"/>
        </w:rPr>
        <w:t>a,b</w:t>
      </w:r>
      <w:proofErr w:type="gramEnd"/>
      <w:r>
        <w:rPr>
          <w:rFonts w:ascii="Arial Black" w:eastAsia="Times New Roman" w:hAnsi="Arial Black" w:cs="Segoe UI"/>
          <w:color w:val="000000"/>
          <w:sz w:val="16"/>
          <w:szCs w:val="16"/>
          <w:vertAlign w:val="superscript"/>
          <w:lang w:eastAsia="en-AU"/>
        </w:rPr>
        <w:t>,c,</w:t>
      </w:r>
      <w:r w:rsidRPr="00C32285">
        <w:rPr>
          <w:rFonts w:ascii="Arial Black" w:eastAsia="Times New Roman" w:hAnsi="Arial Black" w:cs="Segoe UI"/>
          <w:color w:val="000000"/>
          <w:sz w:val="16"/>
          <w:szCs w:val="16"/>
          <w:vertAlign w:val="superscript"/>
          <w:lang w:eastAsia="en-AU"/>
        </w:rPr>
        <w:t>d</w:t>
      </w:r>
      <w:proofErr w:type="spellEnd"/>
      <w:r w:rsidRPr="004F3DA2">
        <w:rPr>
          <w:rFonts w:ascii="Arial Black" w:eastAsia="Times New Roman" w:hAnsi="Arial Black" w:cs="Segoe UI"/>
          <w:color w:val="000000"/>
          <w:sz w:val="16"/>
          <w:szCs w:val="16"/>
          <w:lang w:eastAsia="en-AU"/>
        </w:rPr>
        <w:t> </w:t>
      </w:r>
    </w:p>
    <w:p w14:paraId="6546D4C9" w14:textId="77777777" w:rsidR="004E051C" w:rsidRPr="004F3DA2" w:rsidRDefault="004E051C">
      <w:pPr>
        <w:spacing w:before="0" w:after="0" w:line="240" w:lineRule="auto"/>
        <w:textAlignment w:val="baseline"/>
        <w:rPr>
          <w:rFonts w:ascii="Segoe UI" w:eastAsia="Times New Roman" w:hAnsi="Segoe UI" w:cs="Segoe UI"/>
          <w:color w:val="58585B"/>
          <w:sz w:val="18"/>
          <w:szCs w:val="18"/>
          <w:lang w:eastAsia="en-AU"/>
        </w:rPr>
      </w:pPr>
      <w:r w:rsidRPr="004F3DA2">
        <w:rPr>
          <w:rFonts w:ascii="Arial Black" w:eastAsia="Times New Roman" w:hAnsi="Arial Black" w:cs="Segoe UI"/>
          <w:color w:val="58585B"/>
          <w:lang w:eastAsia="en-AU"/>
        </w:rPr>
        <w:t>Representation of select cohorts enrolled in preschool in the year before full</w:t>
      </w:r>
      <w:r>
        <w:rPr>
          <w:rFonts w:ascii="Arial Black" w:eastAsia="Times New Roman" w:hAnsi="Arial Black" w:cs="Segoe UI"/>
          <w:color w:val="58585B"/>
          <w:lang w:eastAsia="en-AU"/>
        </w:rPr>
        <w:noBreakHyphen/>
      </w:r>
      <w:r w:rsidRPr="004F3DA2">
        <w:rPr>
          <w:rFonts w:ascii="Arial Black" w:eastAsia="Times New Roman" w:hAnsi="Arial Black" w:cs="Segoe UI"/>
          <w:color w:val="58585B"/>
          <w:lang w:eastAsia="en-AU"/>
        </w:rPr>
        <w:t xml:space="preserve">time school (YBFS), compared with their representation </w:t>
      </w:r>
      <w:r w:rsidRPr="00310C70">
        <w:rPr>
          <w:rFonts w:ascii="Arial Black" w:eastAsia="Times New Roman" w:hAnsi="Arial Black" w:cs="Segoe UI"/>
          <w:color w:val="58585B"/>
          <w:lang w:eastAsia="en-AU"/>
        </w:rPr>
        <w:t>among children aged 4 to 5 years</w:t>
      </w:r>
      <w:r>
        <w:rPr>
          <w:rFonts w:ascii="Arial" w:eastAsia="Times New Roman" w:hAnsi="Arial" w:cs="Arial"/>
          <w:color w:val="58585B"/>
          <w:lang w:eastAsia="en-AU"/>
        </w:rPr>
        <w:t xml:space="preserve"> </w:t>
      </w:r>
    </w:p>
    <w:p w14:paraId="45400AB9" w14:textId="77777777" w:rsidR="003F1E59" w:rsidRDefault="004E051C" w:rsidP="003F1E59">
      <w:pPr>
        <w:pStyle w:val="BodyText"/>
        <w:rPr>
          <w:b/>
        </w:rPr>
      </w:pPr>
      <w:r w:rsidRPr="00C35287">
        <w:rPr>
          <w:noProof/>
        </w:rPr>
        <w:drawing>
          <wp:inline distT="0" distB="0" distL="0" distR="0" wp14:anchorId="7F102FD5" wp14:editId="2B0801BB">
            <wp:extent cx="6120130" cy="2877185"/>
            <wp:effectExtent l="0" t="0" r="0" b="0"/>
            <wp:docPr id="1622392395" name="Picture 1622392395" descr="This is a bar graph with a series of vertical bars in light blue and dark blue colours. It looks at the representation of select cohorts enrolled in preschool in the year before full-time school, compared with their representation among children aged 4 to 5 years. Cohorts include: Aboriginal and Torres Strait Islander children; children from Non-English speaking background; children from regional areas; children from remote and very remote areas; children from low-income families; and children with disability. Most cohorts are underrepresented in preschool, with the exception of Aboriginal and Torres Strait Islander children and children from regional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92395" name="Picture 1622392395" descr="This is a bar graph with a series of vertical bars in light blue and dark blue colours. It looks at the representation of select cohorts enrolled in preschool in the year before full-time school, compared with their representation among children aged 4 to 5 years. Cohorts include: Aboriginal and Torres Strait Islander children; children from Non-English speaking background; children from regional areas; children from remote and very remote areas; children from low-income families; and children with disability. Most cohorts are underrepresented in preschool, with the exception of Aboriginal and Torres Strait Islander children and children from regional area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p>
    <w:p w14:paraId="695E1343" w14:textId="34874A74" w:rsidR="004E051C" w:rsidRPr="003F1E59" w:rsidRDefault="004E051C">
      <w:pPr>
        <w:pStyle w:val="Note"/>
        <w:rPr>
          <w:rFonts w:ascii="Segoe UI" w:hAnsi="Segoe UI" w:cs="Segoe UI"/>
          <w:spacing w:val="-2"/>
          <w:lang w:eastAsia="en-AU"/>
        </w:rPr>
      </w:pPr>
      <w:r w:rsidRPr="003F1E59">
        <w:rPr>
          <w:b/>
          <w:bCs/>
          <w:spacing w:val="-2"/>
          <w:lang w:eastAsia="en-AU"/>
        </w:rPr>
        <w:t>a.</w:t>
      </w:r>
      <w:r w:rsidRPr="003F1E59">
        <w:rPr>
          <w:spacing w:val="-2"/>
          <w:lang w:eastAsia="en-AU"/>
        </w:rPr>
        <w:t xml:space="preserve"> Data are incomplete. Data is not available on children from non</w:t>
      </w:r>
      <w:r w:rsidRPr="003F1E59">
        <w:rPr>
          <w:spacing w:val="-2"/>
          <w:lang w:eastAsia="en-AU"/>
        </w:rPr>
        <w:noBreakHyphen/>
        <w:t xml:space="preserve">English speaking backgrounds in Western Australia and the Northern Territory. </w:t>
      </w:r>
      <w:r w:rsidRPr="003F1E59">
        <w:rPr>
          <w:b/>
          <w:bCs/>
          <w:spacing w:val="-2"/>
          <w:lang w:eastAsia="en-AU"/>
        </w:rPr>
        <w:t>b.</w:t>
      </w:r>
      <w:r w:rsidRPr="003F1E59">
        <w:rPr>
          <w:spacing w:val="-2"/>
          <w:lang w:eastAsia="en-AU"/>
        </w:rPr>
        <w:t xml:space="preserve"> The ages of the year before full</w:t>
      </w:r>
      <w:r w:rsidRPr="003F1E59">
        <w:rPr>
          <w:spacing w:val="-2"/>
          <w:lang w:eastAsia="en-AU"/>
        </w:rPr>
        <w:noBreakHyphen/>
        <w:t xml:space="preserve">time school cohort varies by state and territory and does not completely align with all children aged 4 to 5 years. </w:t>
      </w:r>
      <w:r w:rsidRPr="003F1E59">
        <w:rPr>
          <w:b/>
          <w:bCs/>
          <w:spacing w:val="-2"/>
          <w:lang w:eastAsia="en-AU"/>
        </w:rPr>
        <w:t>c</w:t>
      </w:r>
      <w:r w:rsidRPr="003F1E59">
        <w:rPr>
          <w:spacing w:val="-2"/>
          <w:lang w:eastAsia="en-AU"/>
        </w:rPr>
        <w:t>.</w:t>
      </w:r>
      <w:r w:rsidRPr="003F1E59">
        <w:rPr>
          <w:spacing w:val="-2"/>
        </w:rPr>
        <w:t xml:space="preserve"> </w:t>
      </w:r>
      <w:r w:rsidRPr="003F1E59">
        <w:rPr>
          <w:spacing w:val="-2"/>
          <w:lang w:eastAsia="en-AU"/>
        </w:rPr>
        <w:t>For representation in preschool programs: data on Aboriginal and Torres Strait Islander children, children from regional, remote and very remote and low socio</w:t>
      </w:r>
      <w:r w:rsidRPr="003F1E59">
        <w:rPr>
          <w:spacing w:val="-2"/>
          <w:lang w:eastAsia="en-AU"/>
        </w:rPr>
        <w:noBreakHyphen/>
        <w:t>economic areas is from 2022 and represents children in the state</w:t>
      </w:r>
      <w:r w:rsidRPr="003F1E59">
        <w:rPr>
          <w:spacing w:val="-2"/>
          <w:lang w:eastAsia="en-AU"/>
        </w:rPr>
        <w:noBreakHyphen/>
        <w:t>specific year before full</w:t>
      </w:r>
      <w:r w:rsidRPr="003F1E59">
        <w:rPr>
          <w:spacing w:val="-2"/>
          <w:lang w:eastAsia="en-AU"/>
        </w:rPr>
        <w:noBreakHyphen/>
        <w:t>time school; data on children from non</w:t>
      </w:r>
      <w:r w:rsidRPr="003F1E59">
        <w:rPr>
          <w:spacing w:val="-2"/>
          <w:lang w:eastAsia="en-AU"/>
        </w:rPr>
        <w:noBreakHyphen/>
        <w:t xml:space="preserve">English speaking background and with disability is from 2022 and represents children aged 4 years plus children aged 5 years who were not repeaters. </w:t>
      </w:r>
      <w:r w:rsidRPr="003F1E59">
        <w:rPr>
          <w:b/>
          <w:bCs/>
          <w:spacing w:val="-2"/>
          <w:lang w:eastAsia="en-AU"/>
        </w:rPr>
        <w:t>d</w:t>
      </w:r>
      <w:r w:rsidRPr="003F1E59">
        <w:rPr>
          <w:spacing w:val="-2"/>
          <w:lang w:eastAsia="en-AU"/>
        </w:rPr>
        <w:t xml:space="preserve">. For representation in the community: data on Aboriginal and Torres Strait Islander children is </w:t>
      </w:r>
      <w:proofErr w:type="gramStart"/>
      <w:r w:rsidRPr="003F1E59">
        <w:rPr>
          <w:spacing w:val="-2"/>
          <w:lang w:eastAsia="en-AU"/>
        </w:rPr>
        <w:t>at</w:t>
      </w:r>
      <w:proofErr w:type="gramEnd"/>
      <w:r w:rsidRPr="003F1E59">
        <w:rPr>
          <w:spacing w:val="-2"/>
          <w:lang w:eastAsia="en-AU"/>
        </w:rPr>
        <w:t xml:space="preserve"> 30 June 2022; data on children from regional, remote and very remote and low socio</w:t>
      </w:r>
      <w:r w:rsidRPr="003F1E59">
        <w:rPr>
          <w:spacing w:val="-2"/>
          <w:lang w:eastAsia="en-AU"/>
        </w:rPr>
        <w:noBreakHyphen/>
        <w:t>economic areas is at 30 June 2021; data on children from non</w:t>
      </w:r>
      <w:r w:rsidRPr="003F1E59">
        <w:rPr>
          <w:spacing w:val="-2"/>
          <w:lang w:eastAsia="en-AU"/>
        </w:rPr>
        <w:noBreakHyphen/>
        <w:t>English speaking backgrounds is from 2021; data on children with disability is from 2018.</w:t>
      </w:r>
    </w:p>
    <w:p w14:paraId="5915CEED" w14:textId="77777777" w:rsidR="004E051C" w:rsidRPr="00604E6E" w:rsidRDefault="004E051C">
      <w:pPr>
        <w:pStyle w:val="Source"/>
        <w:keepNext/>
        <w:rPr>
          <w:rFonts w:ascii="Segoe UI" w:eastAsia="Times New Roman" w:hAnsi="Segoe UI" w:cs="Segoe UI"/>
          <w:szCs w:val="18"/>
          <w:lang w:eastAsia="en-AU"/>
        </w:rPr>
      </w:pPr>
      <w:r w:rsidRPr="00174114">
        <w:t xml:space="preserve">Source: </w:t>
      </w:r>
      <w:r w:rsidRPr="00296A7F">
        <w:rPr>
          <w:rFonts w:ascii="Arial" w:eastAsia="Times New Roman" w:hAnsi="Arial" w:cs="Arial"/>
          <w:szCs w:val="18"/>
          <w:lang w:eastAsia="en-AU"/>
        </w:rPr>
        <w:t xml:space="preserve">SCRGSP </w:t>
      </w:r>
      <w:r w:rsidRPr="00296A7F">
        <w:rPr>
          <w:rFonts w:ascii="Arial" w:hAnsi="Arial" w:cs="Arial"/>
        </w:rPr>
        <w:t>(2023)</w:t>
      </w:r>
      <w:r>
        <w:rPr>
          <w:rFonts w:ascii="Arial" w:hAnsi="Arial" w:cs="Arial"/>
        </w:rPr>
        <w:t>.</w:t>
      </w:r>
    </w:p>
    <w:p w14:paraId="34B02EEB" w14:textId="77777777" w:rsidR="004E051C" w:rsidRPr="004501EB" w:rsidRDefault="004E051C">
      <w:pPr>
        <w:pStyle w:val="BodyText"/>
        <w:rPr>
          <w:rStyle w:val="normaltextrun"/>
          <w:spacing w:val="-2"/>
        </w:rPr>
      </w:pPr>
      <w:r w:rsidRPr="004501EB">
        <w:rPr>
          <w:spacing w:val="-2"/>
        </w:rPr>
        <w:t>But these cohorts are not necessarily under</w:t>
      </w:r>
      <w:r w:rsidRPr="004501EB">
        <w:rPr>
          <w:spacing w:val="-2"/>
        </w:rPr>
        <w:noBreakHyphen/>
        <w:t xml:space="preserve">represented across every age group or service type. </w:t>
      </w:r>
      <w:r w:rsidRPr="004501EB">
        <w:rPr>
          <w:rStyle w:val="normaltextrun"/>
          <w:rFonts w:cs="Arial"/>
          <w:color w:val="000000"/>
          <w:spacing w:val="-2"/>
          <w:shd w:val="clear" w:color="auto" w:fill="FFFFFF"/>
        </w:rPr>
        <w:t>For example, in 2021, children with disability aged 0–5 years were over</w:t>
      </w:r>
      <w:r w:rsidRPr="004501EB">
        <w:rPr>
          <w:rStyle w:val="normaltextrun"/>
          <w:rFonts w:cs="Arial"/>
          <w:color w:val="000000"/>
          <w:spacing w:val="-2"/>
          <w:shd w:val="clear" w:color="auto" w:fill="FFFFFF"/>
        </w:rPr>
        <w:noBreakHyphen/>
        <w:t>represented among children attending CCS approved services, and in 2022, Aboriginal and Torres Strait Islander children and children from regional areas were over</w:t>
      </w:r>
      <w:r w:rsidRPr="004501EB">
        <w:rPr>
          <w:rStyle w:val="normaltextrun"/>
          <w:rFonts w:cs="Arial"/>
          <w:color w:val="000000"/>
          <w:spacing w:val="-2"/>
          <w:shd w:val="clear" w:color="auto" w:fill="FFFFFF"/>
        </w:rPr>
        <w:noBreakHyphen/>
        <w:t>represented in enrolments in preschool programs in the year before full</w:t>
      </w:r>
      <w:r w:rsidRPr="004501EB">
        <w:rPr>
          <w:rStyle w:val="normaltextrun"/>
          <w:rFonts w:cs="Arial"/>
          <w:color w:val="000000"/>
          <w:spacing w:val="-2"/>
          <w:shd w:val="clear" w:color="auto" w:fill="FFFFFF"/>
        </w:rPr>
        <w:noBreakHyphen/>
        <w:t xml:space="preserve">time school. </w:t>
      </w:r>
    </w:p>
    <w:p w14:paraId="6604B886" w14:textId="77777777" w:rsidR="004E051C" w:rsidRPr="006B18AC" w:rsidRDefault="004E051C">
      <w:pPr>
        <w:pStyle w:val="BodyText"/>
        <w:rPr>
          <w:rFonts w:ascii="Arial" w:hAnsi="Arial" w:cs="Arial"/>
          <w:color w:val="000000"/>
          <w:shd w:val="clear" w:color="auto" w:fill="FFFFFF"/>
        </w:rPr>
      </w:pPr>
      <w:r w:rsidRPr="007528D7">
        <w:rPr>
          <w:rStyle w:val="normaltextrun"/>
          <w:rFonts w:ascii="Arial" w:hAnsi="Arial" w:cs="Arial"/>
          <w:color w:val="000000"/>
          <w:shd w:val="clear" w:color="auto" w:fill="FFFFFF"/>
        </w:rPr>
        <w:t>Data issues likely affect measurement of some of these outcomes. For example, identification of children with disability is reliant on identification from services, which may not align with the definition used for data on the prevalence of disability in the community more broadly. And</w:t>
      </w:r>
      <w:r w:rsidRPr="00604E6E">
        <w:rPr>
          <w:rStyle w:val="normaltextrun"/>
          <w:rFonts w:ascii="Arial" w:hAnsi="Arial" w:cs="Arial"/>
          <w:color w:val="000000"/>
          <w:shd w:val="clear" w:color="auto" w:fill="FFFFFF"/>
        </w:rPr>
        <w:t xml:space="preserve"> while some cohorts of children may be over</w:t>
      </w:r>
      <w:r>
        <w:rPr>
          <w:rStyle w:val="normaltextrun"/>
          <w:rFonts w:ascii="Arial" w:hAnsi="Arial" w:cs="Arial"/>
          <w:color w:val="000000"/>
          <w:shd w:val="clear" w:color="auto" w:fill="FFFFFF"/>
        </w:rPr>
        <w:noBreakHyphen/>
      </w:r>
      <w:r w:rsidRPr="00604E6E">
        <w:rPr>
          <w:rStyle w:val="normaltextrun"/>
          <w:rFonts w:ascii="Arial" w:hAnsi="Arial" w:cs="Arial"/>
          <w:color w:val="000000"/>
          <w:shd w:val="clear" w:color="auto" w:fill="FFFFFF"/>
        </w:rPr>
        <w:t>represented in preschool enrolments, this does not necessarily guarantee they are attending for the full 600 hours per year provided under universal access arrangements.</w:t>
      </w:r>
      <w:r>
        <w:rPr>
          <w:rStyle w:val="normaltextrun"/>
          <w:rFonts w:ascii="Arial" w:hAnsi="Arial" w:cs="Arial"/>
          <w:color w:val="000000"/>
          <w:shd w:val="clear" w:color="auto" w:fill="FFFFFF"/>
        </w:rPr>
        <w:t xml:space="preserve"> </w:t>
      </w:r>
    </w:p>
    <w:p w14:paraId="5E27CDA3" w14:textId="77777777" w:rsidR="004E051C" w:rsidRDefault="004E051C">
      <w:pPr>
        <w:pStyle w:val="BodyText"/>
      </w:pPr>
      <w:r w:rsidRPr="007A77DD">
        <w:t>The cohorts who are under</w:t>
      </w:r>
      <w:r>
        <w:noBreakHyphen/>
      </w:r>
      <w:r w:rsidRPr="007A77DD">
        <w:t xml:space="preserve">represented in ECEC are among those often identified as being more likely to experience disadvantage or vulnerability (though it should not be assumed all children from these cohorts are disadvantaged or vulnerable) </w:t>
      </w:r>
      <w:r w:rsidRPr="0097379A">
        <w:rPr>
          <w:rFonts w:ascii="Arial" w:hAnsi="Arial" w:cs="Arial"/>
          <w:szCs w:val="24"/>
        </w:rPr>
        <w:t>(AIHW 2020, p. 8)</w:t>
      </w:r>
      <w:r w:rsidRPr="007A77DD">
        <w:t xml:space="preserve">. </w:t>
      </w:r>
      <w:r>
        <w:t>And i</w:t>
      </w:r>
      <w:r w:rsidRPr="007A77DD">
        <w:t>t is children experiencing disadvantage or vulnerability who are likely to experience the greatest benefit from attending ECEC (paper 1).</w:t>
      </w:r>
      <w:r>
        <w:t xml:space="preserve"> </w:t>
      </w:r>
    </w:p>
    <w:p w14:paraId="3808C1B4" w14:textId="77777777" w:rsidR="004E051C" w:rsidRDefault="004E051C">
      <w:pPr>
        <w:pStyle w:val="BodyText"/>
      </w:pPr>
      <w:r>
        <w:t xml:space="preserve">The reasons for lower levels of engagement among these cohorts are explored in </w:t>
      </w:r>
      <w:r w:rsidRPr="009F16E4">
        <w:t xml:space="preserve">paper </w:t>
      </w:r>
      <w:r w:rsidRPr="003670AD">
        <w:t>7</w:t>
      </w:r>
      <w:r w:rsidRPr="009F16E4">
        <w:t>.</w:t>
      </w:r>
    </w:p>
    <w:p w14:paraId="54FCC776" w14:textId="0A4F3D68" w:rsidR="004E051C" w:rsidRDefault="004E051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43C7B87A" w14:textId="77777777">
        <w:trPr>
          <w:trHeight w:val="765"/>
          <w:tblHeader/>
        </w:trPr>
        <w:tc>
          <w:tcPr>
            <w:tcW w:w="366" w:type="pct"/>
            <w:tcBorders>
              <w:bottom w:val="nil"/>
            </w:tcBorders>
            <w:tcMar>
              <w:bottom w:w="0" w:type="dxa"/>
            </w:tcMar>
            <w:vAlign w:val="center"/>
          </w:tcPr>
          <w:p w14:paraId="007CD057" w14:textId="77777777" w:rsidR="004E051C" w:rsidRDefault="004E051C">
            <w:pPr>
              <w:pStyle w:val="NoSpacing"/>
              <w:keepNext/>
              <w:keepLines/>
              <w:jc w:val="right"/>
            </w:pPr>
            <w:r w:rsidRPr="00A51374">
              <w:rPr>
                <w:noProof/>
              </w:rPr>
              <w:lastRenderedPageBreak/>
              <w:drawing>
                <wp:inline distT="0" distB="0" distL="0" distR="0" wp14:anchorId="6D372671" wp14:editId="77CAB023">
                  <wp:extent cx="288000" cy="288000"/>
                  <wp:effectExtent l="0" t="0" r="0" b="0"/>
                  <wp:docPr id="70835061" name="Picture 70835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F513E3F" w14:textId="56152031" w:rsidR="004E051C" w:rsidRPr="004340D9" w:rsidRDefault="004E051C">
            <w:pPr>
              <w:pStyle w:val="TableHeading"/>
              <w:keepNext/>
              <w:keepLines/>
              <w:spacing w:before="120" w:after="120"/>
              <w:contextualSpacing/>
              <w:rPr>
                <w:sz w:val="20"/>
              </w:rPr>
            </w:pPr>
            <w:r w:rsidRPr="004340D9">
              <w:rPr>
                <w:sz w:val="20"/>
              </w:rPr>
              <w:t xml:space="preserve">Draft finding </w:t>
            </w:r>
            <w:r w:rsidR="00DC7EEE">
              <w:rPr>
                <w:noProof/>
                <w:sz w:val="20"/>
              </w:rPr>
              <w:t>2</w:t>
            </w:r>
            <w:r w:rsidRPr="004340D9">
              <w:rPr>
                <w:sz w:val="20"/>
              </w:rPr>
              <w:t>.</w:t>
            </w:r>
            <w:r w:rsidR="00DC7EEE">
              <w:rPr>
                <w:noProof/>
                <w:sz w:val="20"/>
              </w:rPr>
              <w:t>1</w:t>
            </w:r>
          </w:p>
          <w:p w14:paraId="7ACDC9E8" w14:textId="77777777" w:rsidR="004E051C" w:rsidRDefault="004E051C">
            <w:pPr>
              <w:pStyle w:val="TableHeading"/>
              <w:keepNext/>
              <w:keepLines/>
              <w:spacing w:before="120" w:after="120"/>
              <w:contextualSpacing/>
            </w:pPr>
            <w:r w:rsidRPr="004340D9">
              <w:rPr>
                <w:sz w:val="20"/>
                <w:szCs w:val="22"/>
              </w:rPr>
              <w:t>Many Australian children attend ECEC services</w:t>
            </w:r>
          </w:p>
        </w:tc>
      </w:tr>
      <w:tr w:rsidR="004E051C" w14:paraId="0486660E" w14:textId="77777777">
        <w:tc>
          <w:tcPr>
            <w:tcW w:w="5000" w:type="pct"/>
            <w:gridSpan w:val="2"/>
            <w:tcBorders>
              <w:top w:val="nil"/>
              <w:bottom w:val="single" w:sz="4" w:space="0" w:color="66BCDB" w:themeColor="text2"/>
            </w:tcBorders>
          </w:tcPr>
          <w:p w14:paraId="5FFCE913" w14:textId="77777777" w:rsidR="004E051C" w:rsidRDefault="004E051C">
            <w:pPr>
              <w:pStyle w:val="BodyText"/>
              <w:keepLines/>
            </w:pPr>
            <w:r>
              <w:t xml:space="preserve">Early childhood education and care (ECEC) services play a major role in the lives of young children and their families. </w:t>
            </w:r>
            <w:r w:rsidRPr="00971C48">
              <w:rPr>
                <w:rStyle w:val="ui-provider"/>
              </w:rPr>
              <w:t>Nearly half of one</w:t>
            </w:r>
            <w:r w:rsidRPr="00971C48">
              <w:rPr>
                <w:rStyle w:val="ui-provider"/>
              </w:rPr>
              <w:noBreakHyphen/>
              <w:t>year</w:t>
            </w:r>
            <w:r w:rsidRPr="00971C48">
              <w:rPr>
                <w:rStyle w:val="ui-provider"/>
              </w:rPr>
              <w:noBreakHyphen/>
              <w:t xml:space="preserve">olds attend some form of ECEC and participation rises </w:t>
            </w:r>
            <w:r>
              <w:rPr>
                <w:rStyle w:val="ui-provider"/>
              </w:rPr>
              <w:t>until children start school</w:t>
            </w:r>
            <w:r w:rsidRPr="00971C48">
              <w:rPr>
                <w:rStyle w:val="ui-provider"/>
              </w:rPr>
              <w:t>. About</w:t>
            </w:r>
            <w:r>
              <w:rPr>
                <w:rStyle w:val="ui-provider"/>
              </w:rPr>
              <w:t xml:space="preserve"> 90% of </w:t>
            </w:r>
            <w:r w:rsidRPr="006F628C">
              <w:rPr>
                <w:rStyle w:val="ui-provider"/>
              </w:rPr>
              <w:t>four</w:t>
            </w:r>
            <w:r>
              <w:rPr>
                <w:rStyle w:val="ui-provider"/>
              </w:rPr>
              <w:noBreakHyphen/>
            </w:r>
            <w:r w:rsidRPr="006F628C">
              <w:rPr>
                <w:rStyle w:val="ui-provider"/>
              </w:rPr>
              <w:t>year</w:t>
            </w:r>
            <w:r>
              <w:rPr>
                <w:rStyle w:val="ui-provider"/>
              </w:rPr>
              <w:noBreakHyphen/>
            </w:r>
            <w:r w:rsidRPr="006F628C">
              <w:rPr>
                <w:rStyle w:val="ui-provider"/>
              </w:rPr>
              <w:t>old</w:t>
            </w:r>
            <w:r>
              <w:rPr>
                <w:rStyle w:val="ui-provider"/>
              </w:rPr>
              <w:t>s</w:t>
            </w:r>
            <w:r w:rsidRPr="006F628C">
              <w:rPr>
                <w:rStyle w:val="ui-provider"/>
              </w:rPr>
              <w:t xml:space="preserve"> are enrolled in ECEC and, once in primary school, about 14% of children aged 5–12 years spend time each</w:t>
            </w:r>
            <w:r>
              <w:rPr>
                <w:rStyle w:val="ui-provider"/>
              </w:rPr>
              <w:t xml:space="preserve"> week in outside school hours care.</w:t>
            </w:r>
          </w:p>
        </w:tc>
      </w:tr>
    </w:tbl>
    <w:p w14:paraId="3305ECFF" w14:textId="1ACCFB80" w:rsidR="004E051C" w:rsidRDefault="004E051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1B9AA309" w14:textId="77777777">
        <w:trPr>
          <w:trHeight w:val="765"/>
          <w:tblHeader/>
        </w:trPr>
        <w:tc>
          <w:tcPr>
            <w:tcW w:w="366" w:type="pct"/>
            <w:tcBorders>
              <w:bottom w:val="nil"/>
            </w:tcBorders>
            <w:tcMar>
              <w:bottom w:w="0" w:type="dxa"/>
            </w:tcMar>
            <w:vAlign w:val="center"/>
          </w:tcPr>
          <w:p w14:paraId="0561B82D" w14:textId="77777777" w:rsidR="004E051C" w:rsidRDefault="004E051C">
            <w:pPr>
              <w:pStyle w:val="NoSpacing"/>
              <w:keepNext/>
              <w:keepLines/>
              <w:jc w:val="right"/>
            </w:pPr>
            <w:r w:rsidRPr="00A51374">
              <w:rPr>
                <w:noProof/>
              </w:rPr>
              <w:drawing>
                <wp:inline distT="0" distB="0" distL="0" distR="0" wp14:anchorId="35D42EEB" wp14:editId="2818BF1F">
                  <wp:extent cx="288000" cy="288000"/>
                  <wp:effectExtent l="0" t="0" r="0" b="0"/>
                  <wp:docPr id="1629326774" name="Picture 1629326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0E3390B" w14:textId="6E24665F" w:rsidR="004E051C" w:rsidRPr="00A4395A" w:rsidRDefault="004E051C">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2</w:t>
            </w:r>
            <w:r w:rsidRPr="00A4395A">
              <w:rPr>
                <w:sz w:val="20"/>
              </w:rPr>
              <w:t>.</w:t>
            </w:r>
            <w:r w:rsidR="00DC7EEE">
              <w:rPr>
                <w:noProof/>
                <w:sz w:val="20"/>
              </w:rPr>
              <w:t>2</w:t>
            </w:r>
          </w:p>
          <w:p w14:paraId="7810124A" w14:textId="77777777" w:rsidR="004E051C" w:rsidRDefault="004E051C">
            <w:pPr>
              <w:pStyle w:val="TableHeading"/>
              <w:keepNext/>
              <w:keepLines/>
              <w:spacing w:before="120" w:after="120"/>
              <w:contextualSpacing/>
            </w:pPr>
            <w:r>
              <w:rPr>
                <w:sz w:val="20"/>
                <w:szCs w:val="22"/>
              </w:rPr>
              <w:t>Children who would benefit most from ECEC are less likely to attend</w:t>
            </w:r>
          </w:p>
        </w:tc>
      </w:tr>
      <w:tr w:rsidR="004E051C" w14:paraId="7BBDE62C" w14:textId="77777777">
        <w:tc>
          <w:tcPr>
            <w:tcW w:w="5000" w:type="pct"/>
            <w:gridSpan w:val="2"/>
            <w:tcBorders>
              <w:top w:val="nil"/>
              <w:bottom w:val="single" w:sz="4" w:space="0" w:color="66BCDB" w:themeColor="text2"/>
            </w:tcBorders>
          </w:tcPr>
          <w:p w14:paraId="166D5761" w14:textId="77777777" w:rsidR="004E051C" w:rsidRDefault="004E051C">
            <w:pPr>
              <w:pStyle w:val="BodyText"/>
              <w:keepLines/>
            </w:pPr>
            <w:r>
              <w:t>C</w:t>
            </w:r>
            <w:r w:rsidRPr="00D90A64">
              <w:t xml:space="preserve">hildren experiencing disadvantage and vulnerability – who are likely to benefit most from </w:t>
            </w:r>
            <w:r>
              <w:t xml:space="preserve">ECEC </w:t>
            </w:r>
            <w:r w:rsidRPr="00D90A64">
              <w:t>services – are less likely to attend</w:t>
            </w:r>
            <w:r>
              <w:t xml:space="preserve"> than their more advantaged peers</w:t>
            </w:r>
            <w:r w:rsidRPr="00D90A64">
              <w:t>.</w:t>
            </w:r>
          </w:p>
        </w:tc>
      </w:tr>
      <w:tr w:rsidR="004E051C" w14:paraId="4DC3DB88" w14:textId="77777777">
        <w:tc>
          <w:tcPr>
            <w:tcW w:w="5000" w:type="pct"/>
            <w:gridSpan w:val="2"/>
            <w:tcBorders>
              <w:top w:val="single" w:sz="4" w:space="0" w:color="66BCDB" w:themeColor="text2"/>
              <w:left w:val="nil"/>
              <w:bottom w:val="nil"/>
              <w:right w:val="nil"/>
            </w:tcBorders>
            <w:tcMar>
              <w:bottom w:w="0" w:type="dxa"/>
            </w:tcMar>
          </w:tcPr>
          <w:p w14:paraId="3F342031" w14:textId="44D91B9E" w:rsidR="004E051C" w:rsidRDefault="004E051C">
            <w:pPr>
              <w:pStyle w:val="NoSpacing"/>
              <w:spacing w:line="200" w:lineRule="atLeast"/>
            </w:pPr>
          </w:p>
        </w:tc>
      </w:tr>
    </w:tbl>
    <w:p w14:paraId="6DC9C12D" w14:textId="77777777" w:rsidR="004E051C" w:rsidRPr="00794216" w:rsidRDefault="004E051C">
      <w:pPr>
        <w:pStyle w:val="Heading3"/>
      </w:pPr>
      <w:r w:rsidRPr="00794216">
        <w:t>A framework for responding to the needs of children</w:t>
      </w:r>
    </w:p>
    <w:p w14:paraId="7004D434" w14:textId="77777777" w:rsidR="004E051C" w:rsidRDefault="004E051C">
      <w:pPr>
        <w:pStyle w:val="BodyText"/>
        <w:rPr>
          <w:rFonts w:cstheme="minorHAnsi"/>
        </w:rPr>
      </w:pPr>
      <w:r>
        <w:rPr>
          <w:rFonts w:cstheme="minorHAnsi"/>
        </w:rPr>
        <w:t xml:space="preserve">In considering </w:t>
      </w:r>
      <w:r w:rsidRPr="0007383E">
        <w:rPr>
          <w:rFonts w:cstheme="minorHAnsi"/>
        </w:rPr>
        <w:t>respon</w:t>
      </w:r>
      <w:r>
        <w:rPr>
          <w:rFonts w:cstheme="minorHAnsi"/>
        </w:rPr>
        <w:t>ses</w:t>
      </w:r>
      <w:r w:rsidRPr="0007383E">
        <w:rPr>
          <w:rFonts w:cstheme="minorHAnsi"/>
        </w:rPr>
        <w:t xml:space="preserve"> to </w:t>
      </w:r>
      <w:r>
        <w:rPr>
          <w:rFonts w:cstheme="minorHAnsi"/>
        </w:rPr>
        <w:t>the diversity of children’s needs</w:t>
      </w:r>
      <w:r w:rsidRPr="0007383E">
        <w:rPr>
          <w:rFonts w:cstheme="minorHAnsi"/>
        </w:rPr>
        <w:t>, t</w:t>
      </w:r>
      <w:r w:rsidRPr="00322D75">
        <w:rPr>
          <w:rFonts w:cstheme="minorHAnsi"/>
        </w:rPr>
        <w:t xml:space="preserve">his paper conceptualises ECEC service </w:t>
      </w:r>
      <w:r w:rsidRPr="002D11BE">
        <w:rPr>
          <w:rFonts w:cstheme="minorHAnsi"/>
        </w:rPr>
        <w:t xml:space="preserve">delivery in </w:t>
      </w:r>
      <w:r>
        <w:rPr>
          <w:rFonts w:cstheme="minorHAnsi"/>
        </w:rPr>
        <w:t>four</w:t>
      </w:r>
      <w:r w:rsidRPr="002D11BE">
        <w:rPr>
          <w:rFonts w:cstheme="minorHAnsi"/>
        </w:rPr>
        <w:t xml:space="preserve"> layers</w:t>
      </w:r>
      <w:r w:rsidRPr="00322D75">
        <w:rPr>
          <w:rFonts w:cstheme="minorHAnsi"/>
        </w:rPr>
        <w:t xml:space="preserve"> (figure</w:t>
      </w:r>
      <w:r>
        <w:rPr>
          <w:rFonts w:cstheme="minorHAnsi"/>
        </w:rPr>
        <w:t> 2.4</w:t>
      </w:r>
      <w:r w:rsidRPr="00322D75">
        <w:rPr>
          <w:rFonts w:cstheme="minorHAnsi"/>
        </w:rPr>
        <w:t>)</w:t>
      </w:r>
      <w:r>
        <w:rPr>
          <w:rFonts w:cstheme="minorHAnsi"/>
        </w:rPr>
        <w:t>. Each is discussed in the following sections.</w:t>
      </w:r>
    </w:p>
    <w:p w14:paraId="044DCEA6" w14:textId="77777777" w:rsidR="004E051C" w:rsidRPr="00446FB3" w:rsidRDefault="004E051C" w:rsidP="00E01114">
      <w:pPr>
        <w:pStyle w:val="ListBullet"/>
      </w:pPr>
      <w:r w:rsidRPr="31B34DC4">
        <w:rPr>
          <w:b/>
        </w:rPr>
        <w:t>Broad</w:t>
      </w:r>
      <w:r>
        <w:rPr>
          <w:b/>
        </w:rPr>
        <w:noBreakHyphen/>
      </w:r>
      <w:r w:rsidRPr="31B34DC4">
        <w:rPr>
          <w:b/>
        </w:rPr>
        <w:t xml:space="preserve">based </w:t>
      </w:r>
      <w:r>
        <w:rPr>
          <w:b/>
        </w:rPr>
        <w:t>ECEC</w:t>
      </w:r>
      <w:r w:rsidRPr="31B34DC4">
        <w:rPr>
          <w:b/>
        </w:rPr>
        <w:t xml:space="preserve"> (section</w:t>
      </w:r>
      <w:r>
        <w:rPr>
          <w:b/>
        </w:rPr>
        <w:t> </w:t>
      </w:r>
      <w:r w:rsidRPr="31B34DC4">
        <w:rPr>
          <w:b/>
        </w:rPr>
        <w:t>2</w:t>
      </w:r>
      <w:r>
        <w:rPr>
          <w:b/>
        </w:rPr>
        <w:t>.</w:t>
      </w:r>
      <w:r w:rsidRPr="31B34DC4">
        <w:rPr>
          <w:b/>
        </w:rPr>
        <w:t>2)</w:t>
      </w:r>
      <w:r w:rsidRPr="31B34DC4">
        <w:t xml:space="preserve">: ECEC </w:t>
      </w:r>
      <w:r>
        <w:t xml:space="preserve">services </w:t>
      </w:r>
      <w:r w:rsidRPr="31B34DC4">
        <w:t xml:space="preserve">that meet the requirements of the NQF should be sufficient </w:t>
      </w:r>
      <w:r>
        <w:t>to meet the</w:t>
      </w:r>
      <w:r w:rsidRPr="31B34DC4">
        <w:t xml:space="preserve"> needs</w:t>
      </w:r>
      <w:r>
        <w:t xml:space="preserve"> of most children.</w:t>
      </w:r>
    </w:p>
    <w:p w14:paraId="37FD5E3E" w14:textId="77777777" w:rsidR="004E051C" w:rsidRPr="00570AC4" w:rsidRDefault="004E051C" w:rsidP="00E01114">
      <w:pPr>
        <w:pStyle w:val="ListBullet"/>
      </w:pPr>
      <w:r w:rsidRPr="6AAC5334">
        <w:rPr>
          <w:b/>
        </w:rPr>
        <w:t>Support for inclusion in ECEC settings (section</w:t>
      </w:r>
      <w:r>
        <w:rPr>
          <w:b/>
        </w:rPr>
        <w:t> 2.</w:t>
      </w:r>
      <w:r w:rsidRPr="6AAC5334">
        <w:rPr>
          <w:b/>
        </w:rPr>
        <w:t>3)</w:t>
      </w:r>
      <w:r w:rsidRPr="6AAC5334">
        <w:t xml:space="preserve">: for some children, additional support may be required to support their inclusion in a mainstream </w:t>
      </w:r>
      <w:r w:rsidRPr="00825BA3">
        <w:t>ECEC setting and ensure they receive ECEC in</w:t>
      </w:r>
      <w:r w:rsidRPr="6AAC5334">
        <w:t xml:space="preserve"> accordance with the NQF</w:t>
      </w:r>
      <w:r>
        <w:t>.</w:t>
      </w:r>
    </w:p>
    <w:p w14:paraId="0E15433F" w14:textId="77777777" w:rsidR="004E051C" w:rsidRPr="00CF0386" w:rsidRDefault="004E051C" w:rsidP="00E01114">
      <w:pPr>
        <w:pStyle w:val="ListBullet"/>
      </w:pPr>
      <w:r w:rsidRPr="00CF0386">
        <w:rPr>
          <w:b/>
          <w:bCs/>
        </w:rPr>
        <w:t>Connections to other services (section</w:t>
      </w:r>
      <w:r>
        <w:rPr>
          <w:b/>
          <w:bCs/>
        </w:rPr>
        <w:t> 2.</w:t>
      </w:r>
      <w:r w:rsidRPr="00CF0386">
        <w:rPr>
          <w:b/>
          <w:bCs/>
        </w:rPr>
        <w:t>4)</w:t>
      </w:r>
      <w:r w:rsidRPr="00CF0386">
        <w:t>: for children with needs beyond ECEC, services can help identify and connect them with other services (such as allied health, schools or other ECEC providers)</w:t>
      </w:r>
      <w:r>
        <w:t>.</w:t>
      </w:r>
    </w:p>
    <w:p w14:paraId="60C18FBE" w14:textId="77777777" w:rsidR="004E051C" w:rsidRDefault="004E051C" w:rsidP="00E01114">
      <w:pPr>
        <w:pStyle w:val="ListBullet"/>
        <w:rPr>
          <w:rFonts w:cstheme="minorHAnsi"/>
        </w:rPr>
      </w:pPr>
      <w:r w:rsidRPr="00EF753B">
        <w:rPr>
          <w:b/>
          <w:bCs/>
        </w:rPr>
        <w:t>Tailored support or integrated services</w:t>
      </w:r>
      <w:r w:rsidRPr="00BE06D6">
        <w:rPr>
          <w:b/>
          <w:bCs/>
        </w:rPr>
        <w:t xml:space="preserve"> </w:t>
      </w:r>
      <w:r w:rsidRPr="00BE06D6">
        <w:rPr>
          <w:b/>
        </w:rPr>
        <w:t>(section</w:t>
      </w:r>
      <w:r>
        <w:rPr>
          <w:b/>
        </w:rPr>
        <w:t> 2.5</w:t>
      </w:r>
      <w:r w:rsidRPr="00BE06D6">
        <w:rPr>
          <w:b/>
        </w:rPr>
        <w:t>)</w:t>
      </w:r>
      <w:r w:rsidRPr="00BE06D6">
        <w:t xml:space="preserve">: </w:t>
      </w:r>
      <w:r w:rsidRPr="00EF753B">
        <w:t>a smaller cohort of children with specific needs</w:t>
      </w:r>
      <w:r>
        <w:t xml:space="preserve"> </w:t>
      </w:r>
      <w:r w:rsidRPr="00EF753B">
        <w:t>or experiencing high levels of vulnerability may benefit from place</w:t>
      </w:r>
      <w:r>
        <w:rPr>
          <w:rFonts w:cstheme="minorHAnsi"/>
        </w:rPr>
        <w:noBreakHyphen/>
      </w:r>
      <w:r w:rsidRPr="00EF753B">
        <w:rPr>
          <w:rFonts w:cstheme="minorHAnsi"/>
        </w:rPr>
        <w:t>based</w:t>
      </w:r>
      <w:r>
        <w:rPr>
          <w:rFonts w:cstheme="minorHAnsi"/>
        </w:rPr>
        <w:t>, tailored or</w:t>
      </w:r>
      <w:r w:rsidRPr="00EF753B">
        <w:rPr>
          <w:rFonts w:cstheme="minorHAnsi"/>
        </w:rPr>
        <w:t xml:space="preserve"> integrated support</w:t>
      </w:r>
      <w:r>
        <w:rPr>
          <w:rFonts w:cstheme="minorHAnsi"/>
        </w:rPr>
        <w:t>.</w:t>
      </w:r>
    </w:p>
    <w:p w14:paraId="6B5CE343" w14:textId="77777777" w:rsidR="0015743F" w:rsidRPr="0015743F" w:rsidRDefault="0015743F" w:rsidP="0015743F">
      <w:pPr>
        <w:pStyle w:val="BodyText"/>
      </w:pPr>
      <w:r w:rsidRPr="0015743F">
        <w:t>This model acknowledges that all ECEC services have a responsibility to be inclusive and responsive to the needs of children. However, it recognises that in some circumstances children and their families may prefer or benefit from services tailored to their specific needs. Children may move between these tiers over the course of their time in ECEC. Nonetheless, such a framework is helpful in thinking about how services and policy should respond to children’s needs.</w:t>
      </w:r>
    </w:p>
    <w:p w14:paraId="69BF34B4" w14:textId="77777777" w:rsidR="0054380F" w:rsidRDefault="0054380F" w:rsidP="0015743F">
      <w:pPr>
        <w:pStyle w:val="BodyText"/>
        <w:rPr>
          <w:rFonts w:cstheme="minorHAnsi"/>
        </w:rPr>
      </w:pPr>
    </w:p>
    <w:p w14:paraId="7CB44D47" w14:textId="39576219" w:rsidR="004E051C" w:rsidRPr="00BD7D96" w:rsidRDefault="004E051C">
      <w:pPr>
        <w:pStyle w:val="FigureTableHeading"/>
        <w:rPr>
          <w:vertAlign w:val="superscript"/>
        </w:rPr>
      </w:pPr>
      <w:r w:rsidRPr="0007383E">
        <w:lastRenderedPageBreak/>
        <w:t xml:space="preserve">Figure </w:t>
      </w:r>
      <w:r w:rsidR="00DC7EEE">
        <w:rPr>
          <w:noProof/>
        </w:rPr>
        <w:t>2</w:t>
      </w:r>
      <w:r>
        <w:t>.</w:t>
      </w:r>
      <w:r w:rsidR="00DC7EEE">
        <w:rPr>
          <w:noProof/>
        </w:rPr>
        <w:t>4</w:t>
      </w:r>
      <w:r w:rsidRPr="0007383E">
        <w:t xml:space="preserve"> – </w:t>
      </w:r>
      <w:r>
        <w:t>A conceptual m</w:t>
      </w:r>
      <w:r w:rsidRPr="0007383E">
        <w:t xml:space="preserve">odel of ECEC service </w:t>
      </w:r>
      <w:proofErr w:type="spellStart"/>
      <w:proofErr w:type="gramStart"/>
      <w:r w:rsidRPr="0007383E">
        <w:t>delivery</w:t>
      </w:r>
      <w:r>
        <w:rPr>
          <w:vertAlign w:val="superscript"/>
        </w:rPr>
        <w:t>a,b</w:t>
      </w:r>
      <w:proofErr w:type="gramEnd"/>
      <w:r>
        <w:rPr>
          <w:vertAlign w:val="superscript"/>
        </w:rPr>
        <w:t>,c,d</w:t>
      </w:r>
      <w:proofErr w:type="spellEnd"/>
    </w:p>
    <w:p w14:paraId="2C059428" w14:textId="77777777" w:rsidR="004E051C" w:rsidRDefault="004E051C" w:rsidP="00CA685C">
      <w:pPr>
        <w:pStyle w:val="BodyText"/>
        <w:rPr>
          <w:rFonts w:cstheme="minorHAnsi"/>
        </w:rPr>
      </w:pPr>
      <w:r w:rsidRPr="000444CB">
        <w:rPr>
          <w:noProof/>
        </w:rPr>
        <w:drawing>
          <wp:inline distT="0" distB="0" distL="0" distR="0" wp14:anchorId="5868C241" wp14:editId="45F12815">
            <wp:extent cx="6120130" cy="3119120"/>
            <wp:effectExtent l="0" t="0" r="0" b="5080"/>
            <wp:docPr id="638125311" name="Picture 638125311" descr="A pyramid divided into four horizontal sections, representing a conceptual hierarchy of support provided to different groups of children. &#10;&#10;The broadest base section in dark blue is labelled ‘Broad-based ECEC’ and states ‘All children. 1.4 million children were in Child Care Subsidy approved services in the December 2022 quarter and 550,000 children aged 3-6 years were enrolled in a preschool program in August 2022. The next section, in lighter blue is labelled ‘Support for inclusion.’ It states that ‘Around 17,600 children were supported by the Inclusion Support Program in 2021-22 but this is likely a significant undercount of children requiring support for inclusion.’ The next section, in dark green, is labelled ‘Connections to services,’ and says there is ‘Insufficient data to estimate number of children.’ The narrowest section, in light green, is labelled ‘Tailored or integrated support,’ also notes that there is ‘Insufficient data to estimate number of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25311" name="Picture 638125311" descr="A pyramid divided into four horizontal sections, representing a conceptual hierarchy of support provided to different groups of children. &#10;&#10;The broadest base section in dark blue is labelled ‘Broad-based ECEC’ and states ‘All children. 1.4 million children were in Child Care Subsidy approved services in the December 2022 quarter and 550,000 children aged 3-6 years were enrolled in a preschool program in August 2022. The next section, in lighter blue is labelled ‘Support for inclusion.’ It states that ‘Around 17,600 children were supported by the Inclusion Support Program in 2021-22 but this is likely a significant undercount of children requiring support for inclusion.’ The next section, in dark green, is labelled ‘Connections to services,’ and says there is ‘Insufficient data to estimate number of children.’ The narrowest section, in light green, is labelled ‘Tailored or integrated support,’ also notes that there is ‘Insufficient data to estimate number of childre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3119120"/>
                    </a:xfrm>
                    <a:prstGeom prst="rect">
                      <a:avLst/>
                    </a:prstGeom>
                    <a:noFill/>
                    <a:ln>
                      <a:noFill/>
                    </a:ln>
                  </pic:spPr>
                </pic:pic>
              </a:graphicData>
            </a:graphic>
          </wp:inline>
        </w:drawing>
      </w:r>
    </w:p>
    <w:p w14:paraId="6D1183A4" w14:textId="77777777" w:rsidR="004E051C" w:rsidRPr="002F1DCD" w:rsidRDefault="004E051C">
      <w:pPr>
        <w:pStyle w:val="Note"/>
        <w:rPr>
          <w:b/>
          <w:bCs/>
          <w:lang w:val="en-US"/>
        </w:rPr>
      </w:pPr>
      <w:r w:rsidRPr="00322D75">
        <w:rPr>
          <w:b/>
        </w:rPr>
        <w:t>a.</w:t>
      </w:r>
      <w:r w:rsidRPr="00322D75">
        <w:t xml:space="preserve"> </w:t>
      </w:r>
      <w:r>
        <w:t xml:space="preserve">The number of children supported by the Inclusion Support Program (ISP) represents children from whom a service was in receipt of ISP funding – it does not capture children who may have been assist by the ISP for whom a payment was not made (DoE, personal communication, 3 November 2023). </w:t>
      </w:r>
      <w:r>
        <w:rPr>
          <w:b/>
          <w:bCs/>
        </w:rPr>
        <w:t xml:space="preserve">b. </w:t>
      </w:r>
      <w:r w:rsidRPr="00DC6EC0">
        <w:t>Children may attend both a CCS approved service and a preschool program. Some may also attend a preschool program with</w:t>
      </w:r>
      <w:r>
        <w:t>in</w:t>
      </w:r>
      <w:r w:rsidRPr="00DC6EC0">
        <w:t xml:space="preserve"> a CCS approved centre</w:t>
      </w:r>
      <w:r>
        <w:noBreakHyphen/>
      </w:r>
      <w:r w:rsidRPr="00DC6EC0">
        <w:t xml:space="preserve">based day care service. </w:t>
      </w:r>
      <w:r w:rsidRPr="00DC6EC0">
        <w:rPr>
          <w:b/>
          <w:bCs/>
        </w:rPr>
        <w:t>c. </w:t>
      </w:r>
      <w:r w:rsidRPr="00730A9F">
        <w:rPr>
          <w:rFonts w:cstheme="minorHAnsi"/>
        </w:rPr>
        <w:t xml:space="preserve">The reference period </w:t>
      </w:r>
      <w:r w:rsidRPr="00BD7D96">
        <w:rPr>
          <w:rFonts w:cstheme="minorHAnsi"/>
          <w:bCs/>
        </w:rPr>
        <w:t xml:space="preserve">used to calculate the number </w:t>
      </w:r>
      <w:r w:rsidRPr="00730A9F">
        <w:rPr>
          <w:rFonts w:cstheme="minorHAnsi"/>
        </w:rPr>
        <w:t xml:space="preserve">of </w:t>
      </w:r>
      <w:r w:rsidRPr="00BD7D96">
        <w:rPr>
          <w:rFonts w:cstheme="minorHAnsi"/>
          <w:bCs/>
        </w:rPr>
        <w:t>children enrolled</w:t>
      </w:r>
      <w:r>
        <w:rPr>
          <w:rFonts w:cstheme="minorHAnsi"/>
          <w:bCs/>
        </w:rPr>
        <w:t xml:space="preserve"> in preschool programs</w:t>
      </w:r>
      <w:r w:rsidRPr="00BD7D96">
        <w:rPr>
          <w:rFonts w:cstheme="minorHAnsi"/>
          <w:bCs/>
        </w:rPr>
        <w:t xml:space="preserve"> varied but was generally a period in August 2022. </w:t>
      </w:r>
      <w:r w:rsidRPr="00DE2161">
        <w:t xml:space="preserve">For Australian Government data, </w:t>
      </w:r>
      <w:r w:rsidRPr="00BD7D96">
        <w:t>it</w:t>
      </w:r>
      <w:r w:rsidRPr="00DE2161">
        <w:t xml:space="preserve"> was 1</w:t>
      </w:r>
      <w:r>
        <w:t xml:space="preserve">–7 </w:t>
      </w:r>
      <w:r w:rsidRPr="00DE2161">
        <w:t xml:space="preserve">August 2022. For state and territory data, </w:t>
      </w:r>
      <w:r w:rsidRPr="00BD7D96">
        <w:t>it</w:t>
      </w:r>
      <w:r w:rsidRPr="00DE2161">
        <w:t xml:space="preserve"> was generally a period in August 2022. For the NT, it included part of June and July 2022 and in the </w:t>
      </w:r>
      <w:proofErr w:type="gramStart"/>
      <w:r w:rsidRPr="00DE2161">
        <w:t>ACT</w:t>
      </w:r>
      <w:proofErr w:type="gramEnd"/>
      <w:r w:rsidRPr="00DE2161">
        <w:t xml:space="preserve"> it included part of July 2022. </w:t>
      </w:r>
      <w:r w:rsidRPr="00BD7D96">
        <w:rPr>
          <w:b/>
          <w:bCs/>
        </w:rPr>
        <w:t>d</w:t>
      </w:r>
      <w:r w:rsidRPr="00DE2161">
        <w:rPr>
          <w:b/>
          <w:bCs/>
        </w:rPr>
        <w:t xml:space="preserve">. </w:t>
      </w:r>
      <w:r>
        <w:t xml:space="preserve">The number of children </w:t>
      </w:r>
      <w:r>
        <w:rPr>
          <w:rFonts w:cstheme="minorHAnsi"/>
        </w:rPr>
        <w:t>in CCS approved services represents</w:t>
      </w:r>
      <w:r w:rsidRPr="00480F41">
        <w:rPr>
          <w:rFonts w:cstheme="minorHAnsi"/>
        </w:rPr>
        <w:t xml:space="preserve"> children whose family lodged a claim for CCS and have a Customer Reference Number</w:t>
      </w:r>
      <w:r>
        <w:rPr>
          <w:rFonts w:cstheme="minorHAnsi"/>
        </w:rPr>
        <w:t xml:space="preserve">. </w:t>
      </w:r>
    </w:p>
    <w:p w14:paraId="53F424DC" w14:textId="3DB1BED0" w:rsidR="004E051C" w:rsidRPr="00322D75" w:rsidRDefault="004E051C">
      <w:pPr>
        <w:pStyle w:val="Source"/>
        <w:rPr>
          <w:rFonts w:cstheme="minorHAnsi"/>
        </w:rPr>
      </w:pPr>
      <w:r w:rsidRPr="00322D75">
        <w:rPr>
          <w:rFonts w:cstheme="minorHAnsi"/>
        </w:rPr>
        <w:t xml:space="preserve">Source: </w:t>
      </w:r>
      <w:r w:rsidRPr="00772CC6">
        <w:rPr>
          <w:rFonts w:cstheme="minorHAnsi"/>
        </w:rPr>
        <w:t xml:space="preserve">Aly </w:t>
      </w:r>
      <w:r w:rsidRPr="00772CC6">
        <w:rPr>
          <w:rFonts w:ascii="Arial" w:hAnsi="Arial" w:cs="Arial"/>
        </w:rPr>
        <w:t>(2023)</w:t>
      </w:r>
      <w:r w:rsidRPr="00772CC6">
        <w:rPr>
          <w:rFonts w:cstheme="minorHAnsi"/>
        </w:rPr>
        <w:t xml:space="preserve">; DoE </w:t>
      </w:r>
      <w:r w:rsidRPr="00772CC6">
        <w:rPr>
          <w:rFonts w:ascii="Arial" w:hAnsi="Arial" w:cs="Arial"/>
        </w:rPr>
        <w:t>(2023a)</w:t>
      </w:r>
      <w:r w:rsidRPr="00772CC6">
        <w:rPr>
          <w:rFonts w:cstheme="minorHAnsi"/>
        </w:rPr>
        <w:t xml:space="preserve">; Productivity Commission estimates based on ABS (2022) </w:t>
      </w:r>
      <w:r w:rsidRPr="00772CC6">
        <w:rPr>
          <w:rFonts w:cstheme="minorHAnsi"/>
          <w:i/>
          <w:iCs/>
        </w:rPr>
        <w:t>Preschool Education 2022</w:t>
      </w:r>
      <w:r w:rsidRPr="00772CC6">
        <w:rPr>
          <w:rFonts w:cstheme="minorHAnsi"/>
        </w:rPr>
        <w:t xml:space="preserve">, </w:t>
      </w:r>
      <w:proofErr w:type="spellStart"/>
      <w:r w:rsidRPr="00772CC6">
        <w:rPr>
          <w:rFonts w:cstheme="minorHAnsi"/>
          <w:i/>
          <w:iCs/>
        </w:rPr>
        <w:t>TableBuilder</w:t>
      </w:r>
      <w:proofErr w:type="spellEnd"/>
      <w:r w:rsidRPr="00772CC6">
        <w:rPr>
          <w:rFonts w:cstheme="minorHAnsi"/>
        </w:rPr>
        <w:t>, accessed 15 August 2023</w:t>
      </w:r>
      <w:r>
        <w:rPr>
          <w:rFonts w:cstheme="minorHAnsi"/>
        </w:rPr>
        <w:t>.</w:t>
      </w:r>
    </w:p>
    <w:p w14:paraId="4F9D1E8B" w14:textId="5EEA85F4" w:rsidR="004E051C" w:rsidRPr="00BF2D20" w:rsidRDefault="004E051C" w:rsidP="0058550C">
      <w:pPr>
        <w:pStyle w:val="Heading2"/>
      </w:pPr>
      <w:bookmarkStart w:id="7" w:name="_Toc150769144"/>
      <w:bookmarkStart w:id="8" w:name="_Toc150787219"/>
      <w:bookmarkStart w:id="9" w:name="_Toc150950406"/>
      <w:r>
        <w:t>Services that meet the NQF</w:t>
      </w:r>
      <w:r w:rsidRPr="00BF2D20">
        <w:t xml:space="preserve"> should be sufficient to meet </w:t>
      </w:r>
      <w:r>
        <w:t>the needs of most children</w:t>
      </w:r>
      <w:bookmarkEnd w:id="7"/>
      <w:bookmarkEnd w:id="8"/>
      <w:bookmarkEnd w:id="9"/>
    </w:p>
    <w:p w14:paraId="59A9917D" w14:textId="77777777" w:rsidR="004E051C" w:rsidRPr="00CA685C" w:rsidRDefault="004E051C">
      <w:pPr>
        <w:pStyle w:val="BodyText"/>
        <w:keepNext/>
        <w:rPr>
          <w:spacing w:val="-4"/>
        </w:rPr>
      </w:pPr>
      <w:r w:rsidRPr="00CA685C">
        <w:rPr>
          <w:spacing w:val="-4"/>
        </w:rPr>
        <w:t xml:space="preserve">The quality of ECEC children receive is a key determinant of the benefits they experience from ECEC (paper 1). </w:t>
      </w:r>
    </w:p>
    <w:p w14:paraId="593F3DD4" w14:textId="77777777" w:rsidR="004E051C" w:rsidRDefault="004E051C">
      <w:pPr>
        <w:pStyle w:val="BodyText"/>
      </w:pPr>
      <w:r>
        <w:t>T</w:t>
      </w:r>
      <w:r w:rsidRPr="6AAC5334">
        <w:t>he NQF</w:t>
      </w:r>
      <w:r>
        <w:t xml:space="preserve">, introduced in 2012, is the main way governments regulate the quality of ECEC. The NQF </w:t>
      </w:r>
      <w:r w:rsidRPr="6AAC5334">
        <w:t xml:space="preserve">sets out </w:t>
      </w:r>
      <w:r>
        <w:t>a regulatory</w:t>
      </w:r>
      <w:r w:rsidRPr="6AAC5334">
        <w:t xml:space="preserve"> system for most long day care (LDC),</w:t>
      </w:r>
      <w:r w:rsidRPr="00D10F0A">
        <w:rPr>
          <w:rStyle w:val="FootnoteReference"/>
        </w:rPr>
        <w:footnoteReference w:id="5"/>
      </w:r>
      <w:r w:rsidRPr="6AAC5334">
        <w:t xml:space="preserve"> family day care (FDC), preschool and outside school hours care (OSHC) services</w:t>
      </w:r>
      <w:r>
        <w:t xml:space="preserve"> </w:t>
      </w:r>
      <w:r w:rsidRPr="00053CB4">
        <w:t>(appendix</w:t>
      </w:r>
      <w:r>
        <w:t> </w:t>
      </w:r>
      <w:r w:rsidRPr="00053CB4">
        <w:t>C).</w:t>
      </w:r>
    </w:p>
    <w:p w14:paraId="6A33CA8D" w14:textId="77777777" w:rsidR="004E051C" w:rsidRDefault="004E051C">
      <w:pPr>
        <w:pStyle w:val="BodyText"/>
        <w:rPr>
          <w:rFonts w:cstheme="minorHAnsi"/>
        </w:rPr>
      </w:pPr>
      <w:r>
        <w:rPr>
          <w:rFonts w:cstheme="minorHAnsi"/>
        </w:rPr>
        <w:t>T</w:t>
      </w:r>
      <w:r w:rsidRPr="00322D75">
        <w:rPr>
          <w:rFonts w:cstheme="minorHAnsi"/>
        </w:rPr>
        <w:t>he NQF consists of</w:t>
      </w:r>
      <w:r>
        <w:rPr>
          <w:rFonts w:cstheme="minorHAnsi"/>
        </w:rPr>
        <w:t xml:space="preserve"> the</w:t>
      </w:r>
      <w:r w:rsidRPr="00322D75">
        <w:rPr>
          <w:rFonts w:cstheme="minorHAnsi"/>
        </w:rPr>
        <w:t>:</w:t>
      </w:r>
    </w:p>
    <w:p w14:paraId="5FEE6993" w14:textId="77777777" w:rsidR="004E051C" w:rsidRPr="00570AC4" w:rsidRDefault="004E051C" w:rsidP="00E01114">
      <w:pPr>
        <w:pStyle w:val="ListBullet"/>
      </w:pPr>
      <w:r w:rsidRPr="0007383E">
        <w:t xml:space="preserve">National Law and National </w:t>
      </w:r>
      <w:r w:rsidRPr="00626E23">
        <w:t>Regulations, which set out the minimum standards and requirements that providers must meet, including minimum qualification and ratio requirements</w:t>
      </w:r>
    </w:p>
    <w:p w14:paraId="58550AE3" w14:textId="77777777" w:rsidR="004E051C" w:rsidRPr="0007383E" w:rsidRDefault="004E051C" w:rsidP="00E01114">
      <w:pPr>
        <w:pStyle w:val="ListBullet"/>
      </w:pPr>
      <w:r w:rsidRPr="0007383E">
        <w:t xml:space="preserve">National Quality Standard </w:t>
      </w:r>
      <w:r w:rsidRPr="00570AC4">
        <w:t>(NQS)</w:t>
      </w:r>
      <w:r>
        <w:t>, which set out seven quality areas that are important to children’s outcomes</w:t>
      </w:r>
    </w:p>
    <w:p w14:paraId="518F822D" w14:textId="77777777" w:rsidR="004E051C" w:rsidRDefault="004E051C" w:rsidP="00E01114">
      <w:pPr>
        <w:pStyle w:val="ListBullet"/>
      </w:pPr>
      <w:r w:rsidRPr="0007383E">
        <w:lastRenderedPageBreak/>
        <w:t>assessment and quality rating process</w:t>
      </w:r>
      <w:r>
        <w:t>, through which services are assessed and rated against the NQS</w:t>
      </w:r>
    </w:p>
    <w:p w14:paraId="0981DEC7" w14:textId="77777777" w:rsidR="004E051C" w:rsidRPr="008D74CB" w:rsidRDefault="004E051C" w:rsidP="00E01114">
      <w:pPr>
        <w:pStyle w:val="ListBullet"/>
      </w:pPr>
      <w:r w:rsidRPr="008D74CB">
        <w:t>national approved learning frameworks, upon which services are required to base their educational programs (appendix</w:t>
      </w:r>
      <w:r>
        <w:t> </w:t>
      </w:r>
      <w:r w:rsidRPr="008D74CB">
        <w:t>C).</w:t>
      </w:r>
    </w:p>
    <w:p w14:paraId="564C3762" w14:textId="77777777" w:rsidR="004E051C" w:rsidRPr="00CA685C" w:rsidRDefault="004E051C">
      <w:pPr>
        <w:pStyle w:val="BodyText"/>
        <w:rPr>
          <w:rFonts w:cstheme="minorHAnsi"/>
          <w:spacing w:val="-4"/>
        </w:rPr>
      </w:pPr>
      <w:r w:rsidRPr="00CA685C">
        <w:rPr>
          <w:spacing w:val="-4"/>
        </w:rPr>
        <w:t>For the majority of children, ECEC delivered in accordance with the NQF should be sufficient to meet their needs.</w:t>
      </w:r>
    </w:p>
    <w:p w14:paraId="44F58231" w14:textId="77777777" w:rsidR="004E051C" w:rsidDel="00DC724F" w:rsidRDefault="004E051C">
      <w:pPr>
        <w:pStyle w:val="BodyText"/>
        <w:rPr>
          <w:rFonts w:cstheme="minorHAnsi"/>
        </w:rPr>
      </w:pPr>
      <w:r w:rsidRPr="00257492" w:rsidDel="00DC724F">
        <w:rPr>
          <w:rFonts w:cstheme="minorHAnsi"/>
        </w:rPr>
        <w:t>Inquiry participants were generally supportive of the NQF and highlighted its importance in ensuring a high</w:t>
      </w:r>
      <w:r w:rsidRPr="00257492" w:rsidDel="00DC724F">
        <w:rPr>
          <w:rFonts w:cstheme="minorHAnsi"/>
        </w:rPr>
        <w:noBreakHyphen/>
        <w:t xml:space="preserve">quality sector </w:t>
      </w:r>
      <w:r w:rsidRPr="007664B7" w:rsidDel="00DC724F">
        <w:rPr>
          <w:rFonts w:cstheme="minorHAnsi"/>
        </w:rPr>
        <w:t>(for example,</w:t>
      </w:r>
      <w:r w:rsidDel="00DC724F">
        <w:rPr>
          <w:rFonts w:cstheme="minorHAnsi"/>
        </w:rPr>
        <w:t xml:space="preserve"> </w:t>
      </w:r>
      <w:r>
        <w:rPr>
          <w:rFonts w:cstheme="minorHAnsi"/>
        </w:rPr>
        <w:t xml:space="preserve">The </w:t>
      </w:r>
      <w:r w:rsidRPr="00257492" w:rsidDel="00DC724F">
        <w:rPr>
          <w:rFonts w:cstheme="minorHAnsi"/>
        </w:rPr>
        <w:t>C</w:t>
      </w:r>
      <w:r>
        <w:rPr>
          <w:rFonts w:cstheme="minorHAnsi"/>
        </w:rPr>
        <w:t xml:space="preserve">reche </w:t>
      </w:r>
      <w:r w:rsidRPr="00257492" w:rsidDel="00DC724F">
        <w:rPr>
          <w:rFonts w:cstheme="minorHAnsi"/>
        </w:rPr>
        <w:t>&amp;</w:t>
      </w:r>
      <w:r>
        <w:rPr>
          <w:rFonts w:cstheme="minorHAnsi"/>
        </w:rPr>
        <w:t xml:space="preserve"> </w:t>
      </w:r>
      <w:r w:rsidRPr="00257492" w:rsidDel="00DC724F">
        <w:rPr>
          <w:rFonts w:cstheme="minorHAnsi"/>
        </w:rPr>
        <w:t>K</w:t>
      </w:r>
      <w:r>
        <w:rPr>
          <w:rFonts w:cstheme="minorHAnsi"/>
        </w:rPr>
        <w:t>indergarten Association</w:t>
      </w:r>
      <w:r w:rsidRPr="00257492" w:rsidDel="00DC724F">
        <w:rPr>
          <w:rFonts w:cstheme="minorHAnsi"/>
        </w:rPr>
        <w:t>, sub.</w:t>
      </w:r>
      <w:r>
        <w:rPr>
          <w:rFonts w:cstheme="minorHAnsi"/>
        </w:rPr>
        <w:t> </w:t>
      </w:r>
      <w:r w:rsidRPr="00EF753B" w:rsidDel="00DC724F">
        <w:rPr>
          <w:rFonts w:cstheme="minorHAnsi"/>
        </w:rPr>
        <w:t>155</w:t>
      </w:r>
      <w:r w:rsidRPr="00257492" w:rsidDel="00DC724F">
        <w:rPr>
          <w:rFonts w:cstheme="minorHAnsi"/>
        </w:rPr>
        <w:t>, p.</w:t>
      </w:r>
      <w:r>
        <w:rPr>
          <w:rFonts w:cstheme="minorHAnsi"/>
        </w:rPr>
        <w:t> </w:t>
      </w:r>
      <w:r w:rsidRPr="00016430" w:rsidDel="00DC724F">
        <w:rPr>
          <w:rFonts w:cstheme="minorHAnsi"/>
        </w:rPr>
        <w:t xml:space="preserve">14; </w:t>
      </w:r>
      <w:proofErr w:type="spellStart"/>
      <w:r w:rsidRPr="00016430" w:rsidDel="00DC724F">
        <w:rPr>
          <w:rFonts w:cstheme="minorHAnsi"/>
        </w:rPr>
        <w:t>Goodstart</w:t>
      </w:r>
      <w:proofErr w:type="spellEnd"/>
      <w:r w:rsidRPr="00374E7F">
        <w:rPr>
          <w:rFonts w:cstheme="minorHAnsi"/>
        </w:rPr>
        <w:t xml:space="preserve"> Early Learning</w:t>
      </w:r>
      <w:r w:rsidRPr="00016430" w:rsidDel="00DC724F">
        <w:rPr>
          <w:rFonts w:cstheme="minorHAnsi"/>
        </w:rPr>
        <w:t>, sub.</w:t>
      </w:r>
      <w:r w:rsidRPr="00016430">
        <w:rPr>
          <w:rFonts w:cstheme="minorHAnsi"/>
        </w:rPr>
        <w:t> </w:t>
      </w:r>
      <w:r w:rsidRPr="00016430" w:rsidDel="00DC724F">
        <w:rPr>
          <w:rFonts w:cstheme="minorHAnsi"/>
        </w:rPr>
        <w:t>125, p.</w:t>
      </w:r>
      <w:r w:rsidRPr="00016430">
        <w:rPr>
          <w:rFonts w:cstheme="minorHAnsi"/>
        </w:rPr>
        <w:t> </w:t>
      </w:r>
      <w:r w:rsidRPr="00016430" w:rsidDel="00DC724F">
        <w:rPr>
          <w:rFonts w:cstheme="minorHAnsi"/>
        </w:rPr>
        <w:t>16; KU Children</w:t>
      </w:r>
      <w:r w:rsidRPr="00016430">
        <w:rPr>
          <w:rFonts w:cstheme="minorHAnsi"/>
        </w:rPr>
        <w:t>’</w:t>
      </w:r>
      <w:r w:rsidRPr="00016430" w:rsidDel="00DC724F">
        <w:rPr>
          <w:rFonts w:cstheme="minorHAnsi"/>
        </w:rPr>
        <w:t>s Services, sub.</w:t>
      </w:r>
      <w:r w:rsidRPr="00016430">
        <w:rPr>
          <w:rFonts w:cstheme="minorHAnsi"/>
        </w:rPr>
        <w:t> </w:t>
      </w:r>
      <w:r w:rsidRPr="00016430" w:rsidDel="00DC724F">
        <w:rPr>
          <w:rFonts w:cstheme="minorHAnsi"/>
        </w:rPr>
        <w:t>83, p.</w:t>
      </w:r>
      <w:r w:rsidRPr="00016430">
        <w:rPr>
          <w:rFonts w:cstheme="minorHAnsi"/>
        </w:rPr>
        <w:t> </w:t>
      </w:r>
      <w:r w:rsidRPr="00016430" w:rsidDel="00DC724F">
        <w:rPr>
          <w:rFonts w:cstheme="minorHAnsi"/>
        </w:rPr>
        <w:t>6; Family Day Care Australia</w:t>
      </w:r>
      <w:r w:rsidRPr="007078B8" w:rsidDel="00DC724F">
        <w:rPr>
          <w:rFonts w:cstheme="minorHAnsi"/>
        </w:rPr>
        <w:t>, sub.</w:t>
      </w:r>
      <w:r w:rsidRPr="007078B8">
        <w:rPr>
          <w:rFonts w:cstheme="minorHAnsi"/>
        </w:rPr>
        <w:t> </w:t>
      </w:r>
      <w:r w:rsidRPr="007078B8" w:rsidDel="00DC724F">
        <w:rPr>
          <w:rFonts w:cstheme="minorHAnsi"/>
        </w:rPr>
        <w:t>66, p.</w:t>
      </w:r>
      <w:r w:rsidRPr="007078B8">
        <w:rPr>
          <w:rFonts w:cstheme="minorHAnsi"/>
        </w:rPr>
        <w:t> </w:t>
      </w:r>
      <w:r w:rsidRPr="007078B8" w:rsidDel="00DC724F">
        <w:rPr>
          <w:rFonts w:cstheme="minorHAnsi"/>
        </w:rPr>
        <w:t>6; SDN Children</w:t>
      </w:r>
      <w:r w:rsidRPr="007078B8">
        <w:rPr>
          <w:rFonts w:cstheme="minorHAnsi"/>
        </w:rPr>
        <w:t>’</w:t>
      </w:r>
      <w:r w:rsidRPr="007078B8" w:rsidDel="00DC724F">
        <w:rPr>
          <w:rFonts w:cstheme="minorHAnsi"/>
        </w:rPr>
        <w:t>s Services, sub.</w:t>
      </w:r>
      <w:r w:rsidRPr="007078B8">
        <w:rPr>
          <w:rFonts w:cstheme="minorHAnsi"/>
        </w:rPr>
        <w:t> </w:t>
      </w:r>
      <w:r w:rsidRPr="007078B8" w:rsidDel="00DC724F">
        <w:rPr>
          <w:rFonts w:cstheme="minorHAnsi"/>
        </w:rPr>
        <w:t>63; p.</w:t>
      </w:r>
      <w:r w:rsidRPr="007078B8">
        <w:rPr>
          <w:rFonts w:cstheme="minorHAnsi"/>
        </w:rPr>
        <w:t> </w:t>
      </w:r>
      <w:r w:rsidRPr="007078B8" w:rsidDel="00DC724F">
        <w:rPr>
          <w:rFonts w:cstheme="minorHAnsi"/>
        </w:rPr>
        <w:t>5).</w:t>
      </w:r>
    </w:p>
    <w:p w14:paraId="1990789B" w14:textId="77777777" w:rsidR="004E051C" w:rsidDel="00DC724F" w:rsidRDefault="004E051C">
      <w:pPr>
        <w:pStyle w:val="BodyText"/>
        <w:rPr>
          <w:rFonts w:cstheme="minorHAnsi"/>
        </w:rPr>
      </w:pPr>
      <w:r w:rsidRPr="006456A9">
        <w:rPr>
          <w:rFonts w:cstheme="minorHAnsi"/>
        </w:rPr>
        <w:t xml:space="preserve">While </w:t>
      </w:r>
      <w:r w:rsidRPr="00374E7F">
        <w:rPr>
          <w:rFonts w:cstheme="minorHAnsi"/>
        </w:rPr>
        <w:t xml:space="preserve">many were </w:t>
      </w:r>
      <w:r w:rsidRPr="006456A9">
        <w:rPr>
          <w:rFonts w:cstheme="minorHAnsi"/>
        </w:rPr>
        <w:t>supportive,</w:t>
      </w:r>
      <w:r w:rsidRPr="006456A9" w:rsidDel="00DC724F">
        <w:rPr>
          <w:rFonts w:cstheme="minorHAnsi"/>
        </w:rPr>
        <w:t xml:space="preserve"> </w:t>
      </w:r>
      <w:r w:rsidRPr="006456A9">
        <w:rPr>
          <w:rFonts w:cstheme="minorHAnsi"/>
        </w:rPr>
        <w:t>i</w:t>
      </w:r>
      <w:r w:rsidRPr="006456A9" w:rsidDel="00DC724F">
        <w:rPr>
          <w:rFonts w:cstheme="minorHAnsi"/>
        </w:rPr>
        <w:t>nquiry participants raised a range of issues</w:t>
      </w:r>
      <w:r w:rsidDel="00DC724F">
        <w:rPr>
          <w:rFonts w:cstheme="minorHAnsi"/>
        </w:rPr>
        <w:t xml:space="preserve"> related to the NQF, including educator ratio and qualification requirements, the scope of services covered by the NQF, requirements for OSHC </w:t>
      </w:r>
      <w:r w:rsidRPr="00E16B38" w:rsidDel="00DC724F">
        <w:rPr>
          <w:rFonts w:cstheme="minorHAnsi"/>
        </w:rPr>
        <w:t xml:space="preserve">and the </w:t>
      </w:r>
      <w:r w:rsidRPr="002F1DCD" w:rsidDel="00DC724F">
        <w:rPr>
          <w:rFonts w:cstheme="minorHAnsi"/>
        </w:rPr>
        <w:t xml:space="preserve">cultural suitability </w:t>
      </w:r>
      <w:r w:rsidRPr="00E16B38" w:rsidDel="00DC724F">
        <w:rPr>
          <w:rFonts w:cstheme="minorHAnsi"/>
        </w:rPr>
        <w:t>of</w:t>
      </w:r>
      <w:r w:rsidDel="00DC724F">
        <w:rPr>
          <w:rFonts w:cstheme="minorHAnsi"/>
        </w:rPr>
        <w:t xml:space="preserve"> the NQF (</w:t>
      </w:r>
      <w:r>
        <w:rPr>
          <w:rFonts w:cstheme="minorHAnsi"/>
        </w:rPr>
        <w:t xml:space="preserve">for </w:t>
      </w:r>
      <w:r w:rsidRPr="00F957DD">
        <w:rPr>
          <w:rFonts w:cstheme="minorHAnsi"/>
        </w:rPr>
        <w:t>example, Regional Development Australia Kimberley, sub. 1, p. 6; Berry Cottage Childcare and Pre-school, sub</w:t>
      </w:r>
      <w:r w:rsidRPr="00E70ED9">
        <w:rPr>
          <w:rFonts w:cstheme="minorHAnsi"/>
        </w:rPr>
        <w:t xml:space="preserve">. 41, p. 2; </w:t>
      </w:r>
      <w:r>
        <w:rPr>
          <w:rFonts w:cstheme="minorHAnsi"/>
        </w:rPr>
        <w:t>Early Learning and Care Council of Australia</w:t>
      </w:r>
      <w:r w:rsidRPr="00E70ED9">
        <w:rPr>
          <w:rFonts w:cstheme="minorHAnsi"/>
        </w:rPr>
        <w:t>, sub. 153, p. 12; Outside School Hours Council of Australia, sub</w:t>
      </w:r>
      <w:r>
        <w:rPr>
          <w:rFonts w:cstheme="minorHAnsi"/>
        </w:rPr>
        <w:t>. 82, p. 2; SNAICC, sub. 133, pp. 16–17</w:t>
      </w:r>
      <w:r w:rsidDel="00DC724F">
        <w:rPr>
          <w:rFonts w:cstheme="minorHAnsi"/>
        </w:rPr>
        <w:t>)</w:t>
      </w:r>
      <w:r>
        <w:rPr>
          <w:rFonts w:cstheme="minorHAnsi"/>
        </w:rPr>
        <w:t>, which are discussed in this paper</w:t>
      </w:r>
      <w:r w:rsidDel="00DC724F">
        <w:rPr>
          <w:rFonts w:cstheme="minorHAnsi"/>
        </w:rPr>
        <w:t>.</w:t>
      </w:r>
      <w:r>
        <w:rPr>
          <w:rFonts w:cstheme="minorHAnsi"/>
        </w:rPr>
        <w:t xml:space="preserve"> </w:t>
      </w:r>
      <w:r w:rsidRPr="009C2966">
        <w:rPr>
          <w:rFonts w:cstheme="minorHAnsi"/>
        </w:rPr>
        <w:t xml:space="preserve">Concerns raised regarding the </w:t>
      </w:r>
      <w:r w:rsidRPr="009C2966" w:rsidDel="00DC724F">
        <w:rPr>
          <w:rFonts w:cstheme="minorHAnsi"/>
        </w:rPr>
        <w:t>administrative burden for services,</w:t>
      </w:r>
      <w:r w:rsidRPr="009C2966">
        <w:rPr>
          <w:rFonts w:cstheme="minorHAnsi"/>
        </w:rPr>
        <w:t xml:space="preserve"> </w:t>
      </w:r>
      <w:r>
        <w:rPr>
          <w:rFonts w:cstheme="minorHAnsi"/>
        </w:rPr>
        <w:t>inconsistency</w:t>
      </w:r>
      <w:r w:rsidRPr="00A55E4E">
        <w:rPr>
          <w:rFonts w:cstheme="minorHAnsi"/>
        </w:rPr>
        <w:t xml:space="preserve"> </w:t>
      </w:r>
      <w:r w:rsidRPr="009C2966" w:rsidDel="00DC724F">
        <w:rPr>
          <w:rFonts w:cstheme="minorHAnsi"/>
        </w:rPr>
        <w:t>between states and territories, inadequate</w:t>
      </w:r>
      <w:r w:rsidDel="00DC724F">
        <w:rPr>
          <w:rFonts w:cstheme="minorHAnsi"/>
        </w:rPr>
        <w:t xml:space="preserve"> incentives for services to improve</w:t>
      </w:r>
      <w:r>
        <w:rPr>
          <w:rFonts w:cstheme="minorHAnsi"/>
        </w:rPr>
        <w:t xml:space="preserve"> and</w:t>
      </w:r>
      <w:r w:rsidDel="00DC724F">
        <w:rPr>
          <w:rFonts w:cstheme="minorHAnsi"/>
        </w:rPr>
        <w:t xml:space="preserve"> inadequate funding to states and territories for implementation</w:t>
      </w:r>
      <w:r>
        <w:rPr>
          <w:rFonts w:cstheme="minorHAnsi"/>
        </w:rPr>
        <w:t xml:space="preserve"> are discussed in paper 8.</w:t>
      </w:r>
    </w:p>
    <w:p w14:paraId="566F8DE0" w14:textId="77777777" w:rsidR="004E051C" w:rsidRPr="00725AAA" w:rsidDel="00DC724F" w:rsidRDefault="004E051C">
      <w:pPr>
        <w:pStyle w:val="BodyText"/>
        <w:rPr>
          <w:rFonts w:cstheme="minorHAnsi"/>
        </w:rPr>
      </w:pPr>
      <w:r w:rsidDel="00DC724F">
        <w:rPr>
          <w:rFonts w:cstheme="minorHAnsi"/>
        </w:rPr>
        <w:t>Two major r</w:t>
      </w:r>
      <w:r w:rsidRPr="00EF753B" w:rsidDel="00DC724F">
        <w:rPr>
          <w:rFonts w:cstheme="minorHAnsi"/>
        </w:rPr>
        <w:t>eviews of the NQF</w:t>
      </w:r>
      <w:r w:rsidDel="00DC724F">
        <w:rPr>
          <w:rFonts w:cstheme="minorHAnsi"/>
        </w:rPr>
        <w:t xml:space="preserve"> have been completed to date, with the first</w:t>
      </w:r>
      <w:r w:rsidRPr="005979AA" w:rsidDel="00DC724F">
        <w:rPr>
          <w:rFonts w:cstheme="minorHAnsi"/>
        </w:rPr>
        <w:t xml:space="preserve"> commencing in 2014</w:t>
      </w:r>
      <w:r w:rsidRPr="00054751" w:rsidDel="00DC724F">
        <w:rPr>
          <w:rFonts w:cstheme="minorHAnsi"/>
        </w:rPr>
        <w:t xml:space="preserve"> and </w:t>
      </w:r>
      <w:r w:rsidDel="00DC724F">
        <w:rPr>
          <w:rFonts w:cstheme="minorHAnsi"/>
        </w:rPr>
        <w:t xml:space="preserve">the second </w:t>
      </w:r>
      <w:r w:rsidRPr="00054751" w:rsidDel="00DC724F">
        <w:rPr>
          <w:rFonts w:cstheme="minorHAnsi"/>
        </w:rPr>
        <w:t>in 2019. In response</w:t>
      </w:r>
      <w:r w:rsidRPr="00725AAA" w:rsidDel="00DC724F">
        <w:rPr>
          <w:rFonts w:cstheme="minorHAnsi"/>
        </w:rPr>
        <w:t xml:space="preserve"> to the 2019 review, a range of changes were agreed, with the majority coming into effect from mid</w:t>
      </w:r>
      <w:r>
        <w:rPr>
          <w:rFonts w:cstheme="minorHAnsi"/>
        </w:rPr>
        <w:noBreakHyphen/>
      </w:r>
      <w:r w:rsidRPr="00725AAA" w:rsidDel="00DC724F">
        <w:rPr>
          <w:rFonts w:cstheme="minorHAnsi"/>
        </w:rPr>
        <w:t xml:space="preserve">2023. In addition, </w:t>
      </w:r>
      <w:r w:rsidDel="00DC724F">
        <w:rPr>
          <w:rFonts w:cstheme="minorHAnsi"/>
        </w:rPr>
        <w:t>updated versions of</w:t>
      </w:r>
      <w:r w:rsidRPr="00725AAA" w:rsidDel="00DC724F">
        <w:rPr>
          <w:rFonts w:cstheme="minorHAnsi"/>
        </w:rPr>
        <w:t xml:space="preserve"> </w:t>
      </w:r>
      <w:r w:rsidRPr="00943271" w:rsidDel="00DC724F">
        <w:rPr>
          <w:rFonts w:cstheme="minorHAnsi"/>
        </w:rPr>
        <w:t xml:space="preserve">the </w:t>
      </w:r>
      <w:r w:rsidRPr="00943271">
        <w:rPr>
          <w:rFonts w:cstheme="minorHAnsi"/>
        </w:rPr>
        <w:t>national a</w:t>
      </w:r>
      <w:r w:rsidRPr="00943271" w:rsidDel="00DC724F">
        <w:rPr>
          <w:rFonts w:cstheme="minorHAnsi"/>
        </w:rPr>
        <w:t xml:space="preserve">pproved </w:t>
      </w:r>
      <w:r w:rsidRPr="00943271">
        <w:rPr>
          <w:rFonts w:cstheme="minorHAnsi"/>
        </w:rPr>
        <w:t>l</w:t>
      </w:r>
      <w:r w:rsidRPr="00943271" w:rsidDel="00DC724F">
        <w:rPr>
          <w:rFonts w:cstheme="minorHAnsi"/>
        </w:rPr>
        <w:t xml:space="preserve">earning </w:t>
      </w:r>
      <w:r w:rsidRPr="00943271">
        <w:rPr>
          <w:rFonts w:cstheme="minorHAnsi"/>
        </w:rPr>
        <w:t>f</w:t>
      </w:r>
      <w:r w:rsidRPr="00943271" w:rsidDel="00DC724F">
        <w:rPr>
          <w:rFonts w:cstheme="minorHAnsi"/>
        </w:rPr>
        <w:t>rameworks</w:t>
      </w:r>
      <w:r w:rsidRPr="00725AAA" w:rsidDel="00DC724F">
        <w:rPr>
          <w:rFonts w:cstheme="minorHAnsi"/>
        </w:rPr>
        <w:t xml:space="preserve"> were released in early 2023. The original versions will remain in operation alongside the updated versions until early 2024.</w:t>
      </w:r>
    </w:p>
    <w:p w14:paraId="10A2B3BA" w14:textId="6621CA17" w:rsidR="004E051C" w:rsidDel="00DC724F" w:rsidRDefault="004E051C" w:rsidP="0015743F">
      <w:pPr>
        <w:pStyle w:val="BodyText"/>
        <w:rPr>
          <w:rFonts w:cstheme="minorHAnsi"/>
        </w:rPr>
      </w:pPr>
      <w:r w:rsidRPr="00725AAA" w:rsidDel="00DC724F">
        <w:rPr>
          <w:rFonts w:cstheme="minorHAnsi"/>
        </w:rPr>
        <w:t>Given this</w:t>
      </w:r>
      <w:r w:rsidDel="00DC724F">
        <w:rPr>
          <w:rFonts w:cstheme="minorHAnsi"/>
        </w:rPr>
        <w:t xml:space="preserve"> review activity</w:t>
      </w:r>
      <w:r w:rsidRPr="00725AAA" w:rsidDel="00DC724F">
        <w:rPr>
          <w:rFonts w:cstheme="minorHAnsi"/>
        </w:rPr>
        <w:t xml:space="preserve">, the </w:t>
      </w:r>
      <w:r>
        <w:rPr>
          <w:rFonts w:cstheme="minorHAnsi"/>
        </w:rPr>
        <w:t xml:space="preserve">Productivity </w:t>
      </w:r>
      <w:r w:rsidRPr="00725AAA" w:rsidDel="00DC724F">
        <w:rPr>
          <w:rFonts w:cstheme="minorHAnsi"/>
        </w:rPr>
        <w:t>Commission has focussed on key issue</w:t>
      </w:r>
      <w:r w:rsidDel="00DC724F">
        <w:rPr>
          <w:rFonts w:cstheme="minorHAnsi"/>
        </w:rPr>
        <w:t>s</w:t>
      </w:r>
      <w:r>
        <w:rPr>
          <w:rFonts w:cstheme="minorHAnsi"/>
        </w:rPr>
        <w:t xml:space="preserve"> </w:t>
      </w:r>
      <w:r w:rsidRPr="001479A5">
        <w:rPr>
          <w:rFonts w:cstheme="minorHAnsi"/>
        </w:rPr>
        <w:t>raised by inquiry participants</w:t>
      </w:r>
      <w:r w:rsidDel="00DC724F">
        <w:rPr>
          <w:rFonts w:cstheme="minorHAnsi"/>
        </w:rPr>
        <w:t>. This section considers:</w:t>
      </w:r>
    </w:p>
    <w:p w14:paraId="4CD5A8E2" w14:textId="77777777" w:rsidR="004E051C" w:rsidRPr="00857D1F" w:rsidDel="00DC724F" w:rsidRDefault="004E051C" w:rsidP="00E01114">
      <w:pPr>
        <w:pStyle w:val="ListBullet"/>
      </w:pPr>
      <w:r w:rsidRPr="00857D1F" w:rsidDel="00DC724F">
        <w:t>the performance of services against the NQF</w:t>
      </w:r>
    </w:p>
    <w:p w14:paraId="3BBCB66D" w14:textId="77777777" w:rsidR="004E051C" w:rsidRPr="00857D1F" w:rsidDel="00DC724F" w:rsidRDefault="004E051C" w:rsidP="00E01114">
      <w:pPr>
        <w:pStyle w:val="ListBullet"/>
      </w:pPr>
      <w:r w:rsidRPr="00857D1F" w:rsidDel="00DC724F">
        <w:t>ratio and qualification requirements</w:t>
      </w:r>
    </w:p>
    <w:p w14:paraId="51AF42A5" w14:textId="77777777" w:rsidR="004E051C" w:rsidRPr="00857D1F" w:rsidDel="00DC724F" w:rsidRDefault="004E051C" w:rsidP="00E01114">
      <w:pPr>
        <w:pStyle w:val="ListBullet"/>
      </w:pPr>
      <w:r w:rsidRPr="00857D1F" w:rsidDel="00DC724F">
        <w:t>the scope of services covered by the NQF</w:t>
      </w:r>
    </w:p>
    <w:p w14:paraId="4B9CA5FB" w14:textId="77777777" w:rsidR="004E051C" w:rsidDel="00DC724F" w:rsidRDefault="004E051C" w:rsidP="00E01114">
      <w:pPr>
        <w:pStyle w:val="ListBullet"/>
        <w:rPr>
          <w:rFonts w:cstheme="minorHAnsi"/>
        </w:rPr>
      </w:pPr>
      <w:r w:rsidRPr="00857D1F" w:rsidDel="00DC724F">
        <w:t>whether the NQF appropriately reflects the operating environment in OSHC.</w:t>
      </w:r>
    </w:p>
    <w:p w14:paraId="5398798E" w14:textId="77777777" w:rsidR="004E051C" w:rsidRPr="00725AAA" w:rsidDel="00DC724F" w:rsidRDefault="004E051C" w:rsidP="0015743F">
      <w:pPr>
        <w:pStyle w:val="BodyText"/>
      </w:pPr>
      <w:r>
        <w:rPr>
          <w:rStyle w:val="ui-provider"/>
        </w:rPr>
        <w:t>The performance of the regulatory system, including the assessment and rating of services against the NQS, is covered separately in paper 8</w:t>
      </w:r>
      <w:r w:rsidDel="00DC724F">
        <w:t>.</w:t>
      </w:r>
    </w:p>
    <w:p w14:paraId="1B7C2198" w14:textId="77777777" w:rsidR="004E051C" w:rsidRPr="00575A4B" w:rsidRDefault="004E051C">
      <w:pPr>
        <w:pStyle w:val="Heading3"/>
      </w:pPr>
      <w:r>
        <w:t xml:space="preserve">Most services meet or exceed the </w:t>
      </w:r>
      <w:proofErr w:type="gramStart"/>
      <w:r>
        <w:t>NQS</w:t>
      </w:r>
      <w:proofErr w:type="gramEnd"/>
      <w:r w:rsidRPr="00575A4B">
        <w:t xml:space="preserve"> but some are still below standard</w:t>
      </w:r>
    </w:p>
    <w:p w14:paraId="04217201" w14:textId="77777777" w:rsidR="004E051C" w:rsidRDefault="004E051C">
      <w:pPr>
        <w:pStyle w:val="BodyText"/>
        <w:rPr>
          <w:rFonts w:cstheme="minorHAnsi"/>
        </w:rPr>
      </w:pPr>
      <w:r>
        <w:rPr>
          <w:rFonts w:cstheme="minorHAnsi"/>
        </w:rPr>
        <w:t>Most Australian ECEC services meet the quality standard as set out in the NQF. An outline of the ratings and assessment process is detailed in appendix C.</w:t>
      </w:r>
    </w:p>
    <w:p w14:paraId="121F432B" w14:textId="77777777" w:rsidR="004E051C" w:rsidRDefault="004E051C">
      <w:pPr>
        <w:pStyle w:val="BodyText"/>
        <w:rPr>
          <w:rFonts w:cstheme="minorHAnsi"/>
        </w:rPr>
      </w:pPr>
      <w:r w:rsidRPr="00725AAA">
        <w:rPr>
          <w:rFonts w:cstheme="minorHAnsi"/>
        </w:rPr>
        <w:t>While NQF quality ratings are the best available data set to examine quality in Australia’s ECEC sector, caution should be used when interpreting this data (box</w:t>
      </w:r>
      <w:r>
        <w:rPr>
          <w:rFonts w:cstheme="minorHAnsi"/>
        </w:rPr>
        <w:t> 2.1</w:t>
      </w:r>
      <w:r w:rsidRPr="00725AAA">
        <w:rPr>
          <w:rFonts w:cstheme="minorHAnsi"/>
        </w:rPr>
        <w:t xml:space="preserve">). </w:t>
      </w:r>
      <w:r>
        <w:rPr>
          <w:rFonts w:cstheme="minorHAnsi"/>
        </w:rPr>
        <w:t>Issues</w:t>
      </w:r>
      <w:r w:rsidRPr="00725AAA">
        <w:rPr>
          <w:rFonts w:cstheme="minorHAnsi"/>
        </w:rPr>
        <w:t xml:space="preserve"> include long</w:t>
      </w:r>
      <w:r>
        <w:rPr>
          <w:rFonts w:cstheme="minorHAnsi"/>
        </w:rPr>
        <w:t xml:space="preserve"> </w:t>
      </w:r>
      <w:r w:rsidRPr="00725AAA">
        <w:rPr>
          <w:rFonts w:cstheme="minorHAnsi"/>
        </w:rPr>
        <w:t>times between reassessments of services, the fact that quality can change between assessments and the fact that the NQF has been revised over time and some services have only been assessed against previous versions.</w:t>
      </w:r>
    </w:p>
    <w:p w14:paraId="546081F1" w14:textId="5D602FA3" w:rsidR="004E051C" w:rsidRPr="00725AAA" w:rsidRDefault="004E051C">
      <w:pPr>
        <w:pStyle w:val="NoSpacing"/>
      </w:pPr>
    </w:p>
    <w:tbl>
      <w:tblPr>
        <w:tblStyle w:val="Boxtable"/>
        <w:tblW w:w="5000" w:type="pct"/>
        <w:tblLook w:val="04A0" w:firstRow="1" w:lastRow="0" w:firstColumn="1" w:lastColumn="0" w:noHBand="0" w:noVBand="1"/>
      </w:tblPr>
      <w:tblGrid>
        <w:gridCol w:w="9638"/>
      </w:tblGrid>
      <w:tr w:rsidR="004E051C" w:rsidRPr="00F20A94" w14:paraId="7E4FB4F9" w14:textId="77777777">
        <w:trPr>
          <w:tblHeader/>
        </w:trPr>
        <w:tc>
          <w:tcPr>
            <w:tcW w:w="9638" w:type="dxa"/>
            <w:shd w:val="clear" w:color="auto" w:fill="EBEBEB"/>
            <w:tcMar>
              <w:top w:w="170" w:type="dxa"/>
              <w:left w:w="170" w:type="dxa"/>
              <w:bottom w:w="113" w:type="dxa"/>
              <w:right w:w="170" w:type="dxa"/>
            </w:tcMar>
            <w:hideMark/>
          </w:tcPr>
          <w:p w14:paraId="1565D2AB" w14:textId="39E812E0" w:rsidR="004E051C" w:rsidRPr="007A58C6" w:rsidRDefault="004E051C">
            <w:pPr>
              <w:pStyle w:val="BoxHeading1"/>
            </w:pPr>
            <w:r w:rsidRPr="007A58C6">
              <w:lastRenderedPageBreak/>
              <w:t xml:space="preserve">Box </w:t>
            </w:r>
            <w:r w:rsidR="00DC7EEE">
              <w:rPr>
                <w:iCs w:val="0"/>
                <w:noProof/>
              </w:rPr>
              <w:t>2</w:t>
            </w:r>
            <w:r w:rsidRPr="007A58C6">
              <w:t>.</w:t>
            </w:r>
            <w:r w:rsidR="00DC7EEE">
              <w:rPr>
                <w:iCs w:val="0"/>
                <w:noProof/>
              </w:rPr>
              <w:t>1</w:t>
            </w:r>
            <w:r w:rsidRPr="007A58C6">
              <w:rPr>
                <w:noProof/>
              </w:rPr>
              <w:t xml:space="preserve"> </w:t>
            </w:r>
            <w:r w:rsidRPr="007A58C6">
              <w:t>– Reliability of National Quality Framework quality ratings</w:t>
            </w:r>
          </w:p>
        </w:tc>
      </w:tr>
      <w:tr w:rsidR="004E051C" w:rsidRPr="00F20A94" w14:paraId="03AB6AC1" w14:textId="77777777">
        <w:tc>
          <w:tcPr>
            <w:tcW w:w="9638" w:type="dxa"/>
            <w:shd w:val="clear" w:color="auto" w:fill="EBEBEB"/>
            <w:tcMar>
              <w:top w:w="28" w:type="dxa"/>
              <w:left w:w="170" w:type="dxa"/>
              <w:bottom w:w="170" w:type="dxa"/>
              <w:right w:w="170" w:type="dxa"/>
            </w:tcMar>
            <w:hideMark/>
          </w:tcPr>
          <w:p w14:paraId="52DE9FE7" w14:textId="77777777" w:rsidR="004E051C" w:rsidRPr="007A58C6" w:rsidRDefault="004E051C">
            <w:pPr>
              <w:pStyle w:val="BodyText"/>
            </w:pPr>
            <w:r w:rsidRPr="007A58C6">
              <w:t>A range of factors should be taken into consideration when interpreting National Quality Framework (NQF) ratings data.</w:t>
            </w:r>
          </w:p>
          <w:p w14:paraId="41A94D0A" w14:textId="77777777" w:rsidR="004E051C" w:rsidRPr="007A58C6" w:rsidRDefault="004E051C" w:rsidP="00E01114">
            <w:pPr>
              <w:pStyle w:val="ListBullet"/>
            </w:pPr>
            <w:r w:rsidRPr="007A58C6">
              <w:rPr>
                <w:b/>
                <w:bCs/>
              </w:rPr>
              <w:t>There can be a</w:t>
            </w:r>
            <w:r w:rsidRPr="007A58C6">
              <w:t xml:space="preserve"> </w:t>
            </w:r>
            <w:r w:rsidRPr="007A58C6">
              <w:rPr>
                <w:b/>
                <w:bCs/>
              </w:rPr>
              <w:t>long time between reassessments</w:t>
            </w:r>
            <w:r w:rsidRPr="007A58C6">
              <w:t xml:space="preserve"> </w:t>
            </w:r>
            <w:r w:rsidRPr="007A58C6">
              <w:rPr>
                <w:b/>
                <w:bCs/>
              </w:rPr>
              <w:t>of services and ratings can change between assessments</w:t>
            </w:r>
            <w:r w:rsidRPr="007A58C6">
              <w:t>. For those services that had received at least two assessments, the average time between assessments was just over four</w:t>
            </w:r>
            <w:r w:rsidRPr="007A58C6">
              <w:noBreakHyphen/>
              <w:t>and</w:t>
            </w:r>
            <w:r w:rsidRPr="007A58C6">
              <w:noBreakHyphen/>
              <w:t>a</w:t>
            </w:r>
            <w:r w:rsidRPr="007A58C6">
              <w:noBreakHyphen/>
              <w:t xml:space="preserve">half years (as </w:t>
            </w:r>
            <w:proofErr w:type="gramStart"/>
            <w:r w:rsidRPr="007A58C6">
              <w:t>at</w:t>
            </w:r>
            <w:proofErr w:type="gramEnd"/>
            <w:r w:rsidRPr="007A58C6">
              <w:t xml:space="preserve"> 1</w:t>
            </w:r>
            <w:r>
              <w:t> </w:t>
            </w:r>
            <w:r w:rsidRPr="007A58C6">
              <w:t>July 2023).</w:t>
            </w:r>
          </w:p>
          <w:p w14:paraId="16FD5699" w14:textId="77777777" w:rsidR="004E051C" w:rsidRPr="007A58C6" w:rsidRDefault="004E051C" w:rsidP="00E01114">
            <w:pPr>
              <w:pStyle w:val="ListBullet"/>
            </w:pPr>
            <w:r w:rsidRPr="007A58C6">
              <w:rPr>
                <w:b/>
                <w:bCs/>
              </w:rPr>
              <w:t xml:space="preserve">Some services have only been assessed against previous versions of the National Quality Standard </w:t>
            </w:r>
            <w:r w:rsidRPr="007A58C6">
              <w:t xml:space="preserve">(NQS). Updates to the NQS were made in 2018, but as </w:t>
            </w:r>
            <w:proofErr w:type="gramStart"/>
            <w:r w:rsidRPr="007A58C6">
              <w:t>at</w:t>
            </w:r>
            <w:proofErr w:type="gramEnd"/>
            <w:r w:rsidRPr="007A58C6">
              <w:t xml:space="preserve"> 1</w:t>
            </w:r>
            <w:r>
              <w:t> </w:t>
            </w:r>
            <w:r w:rsidRPr="007A58C6">
              <w:t xml:space="preserve">July 2023 11.9% of services have only been assessed against the 2012 version. </w:t>
            </w:r>
          </w:p>
          <w:p w14:paraId="0FEFD685" w14:textId="77777777" w:rsidR="004E051C" w:rsidRPr="007A58C6" w:rsidRDefault="004E051C" w:rsidP="00E01114">
            <w:pPr>
              <w:pStyle w:val="ListBullet"/>
            </w:pPr>
            <w:r w:rsidRPr="007A58C6">
              <w:rPr>
                <w:b/>
                <w:bCs/>
              </w:rPr>
              <w:t>Not all NQF approved services have been assessed</w:t>
            </w:r>
            <w:r w:rsidRPr="007A58C6">
              <w:t xml:space="preserve">. As </w:t>
            </w:r>
            <w:proofErr w:type="gramStart"/>
            <w:r w:rsidRPr="007A58C6">
              <w:t>at</w:t>
            </w:r>
            <w:proofErr w:type="gramEnd"/>
            <w:r w:rsidRPr="007A58C6">
              <w:t xml:space="preserve"> 1</w:t>
            </w:r>
            <w:r>
              <w:t> </w:t>
            </w:r>
            <w:r w:rsidRPr="007A58C6">
              <w:t>July 2023, 9.0% of approved services had not been assessed.</w:t>
            </w:r>
          </w:p>
          <w:p w14:paraId="7F0562DC" w14:textId="77777777" w:rsidR="004E051C" w:rsidRPr="007A58C6" w:rsidRDefault="004E051C" w:rsidP="00E01114">
            <w:pPr>
              <w:pStyle w:val="ListBullet"/>
            </w:pPr>
            <w:r w:rsidRPr="007A58C6">
              <w:rPr>
                <w:b/>
                <w:bCs/>
              </w:rPr>
              <w:t>Some services are excluded from the NQF</w:t>
            </w:r>
            <w:r w:rsidRPr="007A58C6">
              <w:t xml:space="preserve">. For example, exclusions include preschools that are part of the school system in Western Australia and Tasmania, In Home Care services and some services funded by the Community </w:t>
            </w:r>
            <w:proofErr w:type="gramStart"/>
            <w:r w:rsidRPr="007A58C6">
              <w:t>Child Care</w:t>
            </w:r>
            <w:proofErr w:type="gramEnd"/>
            <w:r w:rsidRPr="007A58C6">
              <w:t xml:space="preserve"> Fund Restricted grant (appendix C).</w:t>
            </w:r>
          </w:p>
          <w:p w14:paraId="0CAE9B1E" w14:textId="77777777" w:rsidR="004E051C" w:rsidRPr="007A58C6" w:rsidRDefault="004E051C" w:rsidP="00E01114">
            <w:pPr>
              <w:pStyle w:val="ListBullet"/>
            </w:pPr>
            <w:r w:rsidRPr="007A58C6">
              <w:rPr>
                <w:b/>
                <w:bCs/>
              </w:rPr>
              <w:t xml:space="preserve">Services are assessed as Working Towards the NQS if one or more of the 40 elements is not met. </w:t>
            </w:r>
            <w:r w:rsidRPr="007A58C6">
              <w:t xml:space="preserve">As </w:t>
            </w:r>
            <w:proofErr w:type="gramStart"/>
            <w:r w:rsidRPr="007A58C6">
              <w:t>at</w:t>
            </w:r>
            <w:proofErr w:type="gramEnd"/>
            <w:r w:rsidRPr="007A58C6">
              <w:t xml:space="preserve"> 1</w:t>
            </w:r>
            <w:r>
              <w:t> </w:t>
            </w:r>
            <w:r w:rsidRPr="007A58C6">
              <w:t xml:space="preserve">April 2023, 11.1% of services assessed as Working Towards had not met one element only, and a further 13.8% had not met two elements only. </w:t>
            </w:r>
          </w:p>
          <w:p w14:paraId="218197DB" w14:textId="3BD11E8E" w:rsidR="004E051C" w:rsidRPr="007A58C6" w:rsidRDefault="004E051C">
            <w:pPr>
              <w:pStyle w:val="Source"/>
              <w:rPr>
                <w:rFonts w:cstheme="minorHAnsi"/>
              </w:rPr>
            </w:pPr>
            <w:r w:rsidRPr="007A58C6">
              <w:rPr>
                <w:rFonts w:cstheme="minorHAnsi"/>
              </w:rPr>
              <w:t xml:space="preserve">Source: Productivity </w:t>
            </w:r>
            <w:r w:rsidRPr="007A58C6">
              <w:t xml:space="preserve">Commission estimates based </w:t>
            </w:r>
            <w:r w:rsidRPr="007A58C6">
              <w:rPr>
                <w:rFonts w:cstheme="minorHAnsi"/>
              </w:rPr>
              <w:t xml:space="preserve">on ACECQA </w:t>
            </w:r>
            <w:r w:rsidRPr="001E4D4D">
              <w:rPr>
                <w:rFonts w:ascii="Arial" w:hAnsi="Arial" w:cs="Arial"/>
              </w:rPr>
              <w:t>(2023e, 2023f)</w:t>
            </w:r>
            <w:r>
              <w:rPr>
                <w:rFonts w:ascii="Arial" w:hAnsi="Arial" w:cs="Arial"/>
              </w:rPr>
              <w:t>.</w:t>
            </w:r>
          </w:p>
        </w:tc>
      </w:tr>
    </w:tbl>
    <w:p w14:paraId="622B1872" w14:textId="4E105D46" w:rsidR="004E051C" w:rsidRPr="00725AAA" w:rsidRDefault="004E051C">
      <w:pPr>
        <w:pStyle w:val="NoSpacing"/>
        <w:rPr>
          <w:rFonts w:cstheme="minorHAnsi"/>
        </w:rPr>
      </w:pPr>
    </w:p>
    <w:p w14:paraId="2A55BF4F" w14:textId="3952B623" w:rsidR="004E051C" w:rsidRPr="002C7146" w:rsidRDefault="004E051C" w:rsidP="00363D39">
      <w:pPr>
        <w:pStyle w:val="BodyText"/>
      </w:pPr>
      <w:r w:rsidRPr="6AAC5334">
        <w:t xml:space="preserve">Since the introduction of the </w:t>
      </w:r>
      <w:r w:rsidRPr="00071EE9">
        <w:t>NQF, there</w:t>
      </w:r>
      <w:r w:rsidRPr="6AAC5334">
        <w:t xml:space="preserve"> has been a general increase in quality ratings across the ECEC sector (figure</w:t>
      </w:r>
      <w:r>
        <w:t> 2.5</w:t>
      </w:r>
      <w:r w:rsidRPr="002C7146">
        <w:t xml:space="preserve">). As </w:t>
      </w:r>
      <w:proofErr w:type="gramStart"/>
      <w:r w:rsidRPr="00F62F82">
        <w:t>at</w:t>
      </w:r>
      <w:proofErr w:type="gramEnd"/>
      <w:r w:rsidRPr="00F62F82">
        <w:t xml:space="preserve"> </w:t>
      </w:r>
      <w:r w:rsidRPr="00AB5EFA">
        <w:t>1</w:t>
      </w:r>
      <w:r>
        <w:t> </w:t>
      </w:r>
      <w:r w:rsidRPr="00AB5EFA">
        <w:t xml:space="preserve">July 2023, 89.1% </w:t>
      </w:r>
      <w:r w:rsidRPr="00F62F82">
        <w:t xml:space="preserve">of </w:t>
      </w:r>
      <w:r w:rsidRPr="002C7146">
        <w:t xml:space="preserve">assessed services had a rating of Meeting the NQS or </w:t>
      </w:r>
      <w:r w:rsidRPr="007A58C6">
        <w:t xml:space="preserve">higher </w:t>
      </w:r>
      <w:r w:rsidRPr="00363D39">
        <w:t>(Productivity Commission estimates, based on ACECQA 2023f)</w:t>
      </w:r>
      <w:r w:rsidRPr="002C7146">
        <w:t>. This improvement has been driven by an increase in the proportion of services assessed as Meeting the NQS. The proportion of services rated as Exceeding the NQS</w:t>
      </w:r>
      <w:r>
        <w:t xml:space="preserve"> </w:t>
      </w:r>
      <w:r w:rsidRPr="00D06EA6">
        <w:t>or above</w:t>
      </w:r>
      <w:r w:rsidRPr="002C7146">
        <w:t xml:space="preserve"> has declined since </w:t>
      </w:r>
      <w:r>
        <w:t>2018</w:t>
      </w:r>
      <w:r w:rsidRPr="002C7146">
        <w:t xml:space="preserve"> but this most likely reflects changes made in 2018 to the NQS and the assessment criteria to receive an Exceeding rating. </w:t>
      </w:r>
    </w:p>
    <w:p w14:paraId="3698F0C6" w14:textId="77777777" w:rsidR="004E051C" w:rsidRDefault="004E051C" w:rsidP="00363D39">
      <w:pPr>
        <w:pStyle w:val="BodyText"/>
      </w:pPr>
      <w:r w:rsidRPr="002C7146">
        <w:t xml:space="preserve">As </w:t>
      </w:r>
      <w:proofErr w:type="gramStart"/>
      <w:r w:rsidRPr="002C7146">
        <w:t>at</w:t>
      </w:r>
      <w:proofErr w:type="gramEnd"/>
      <w:r w:rsidRPr="002C7146">
        <w:t xml:space="preserve"> </w:t>
      </w:r>
      <w:r w:rsidRPr="00AB5EFA">
        <w:t>1</w:t>
      </w:r>
      <w:r>
        <w:t> </w:t>
      </w:r>
      <w:r w:rsidRPr="00AB5EFA">
        <w:t>July 2023, 10.9% (1</w:t>
      </w:r>
      <w:r>
        <w:t>,</w:t>
      </w:r>
      <w:r w:rsidRPr="00AB5EFA">
        <w:t>715</w:t>
      </w:r>
      <w:r w:rsidRPr="00414643">
        <w:t xml:space="preserve">) </w:t>
      </w:r>
      <w:r w:rsidRPr="00EB3FF3">
        <w:t>of</w:t>
      </w:r>
      <w:r>
        <w:t xml:space="preserve"> assessed services were Working Towards the NQS</w:t>
      </w:r>
      <w:r w:rsidRPr="008A0597">
        <w:t xml:space="preserve"> </w:t>
      </w:r>
      <w:r w:rsidRPr="00363D39">
        <w:t>(Productivity Commission estimates, based on ACECQA 2023f)</w:t>
      </w:r>
      <w:r w:rsidRPr="00636586">
        <w:t>.</w:t>
      </w:r>
    </w:p>
    <w:p w14:paraId="2459A2D0" w14:textId="647A9AE1" w:rsidR="004E051C" w:rsidRPr="0007383E" w:rsidRDefault="004E051C">
      <w:pPr>
        <w:pStyle w:val="FigureTableHeading"/>
      </w:pPr>
      <w:r w:rsidRPr="0007383E">
        <w:lastRenderedPageBreak/>
        <w:t xml:space="preserve">Figure </w:t>
      </w:r>
      <w:r w:rsidR="00DC7EEE">
        <w:rPr>
          <w:noProof/>
        </w:rPr>
        <w:t>2</w:t>
      </w:r>
      <w:r>
        <w:t>.</w:t>
      </w:r>
      <w:r w:rsidR="00DC7EEE">
        <w:rPr>
          <w:noProof/>
        </w:rPr>
        <w:t>5</w:t>
      </w:r>
      <w:r>
        <w:rPr>
          <w:noProof/>
        </w:rPr>
        <w:t xml:space="preserve"> </w:t>
      </w:r>
      <w:r w:rsidRPr="00DB1E9B">
        <w:t xml:space="preserve">– Quality ratings have improved over </w:t>
      </w:r>
      <w:proofErr w:type="spellStart"/>
      <w:proofErr w:type="gramStart"/>
      <w:r w:rsidRPr="00DB1E9B">
        <w:t>time</w:t>
      </w:r>
      <w:r w:rsidRPr="0006747C">
        <w:rPr>
          <w:vertAlign w:val="superscript"/>
        </w:rPr>
        <w:t>a,b</w:t>
      </w:r>
      <w:proofErr w:type="gramEnd"/>
      <w:r w:rsidRPr="0006747C">
        <w:rPr>
          <w:vertAlign w:val="superscript"/>
        </w:rPr>
        <w:t>,c</w:t>
      </w:r>
      <w:r>
        <w:rPr>
          <w:vertAlign w:val="superscript"/>
        </w:rPr>
        <w:t>,d</w:t>
      </w:r>
      <w:proofErr w:type="spellEnd"/>
    </w:p>
    <w:p w14:paraId="1DC7D8F6" w14:textId="77777777" w:rsidR="004E051C" w:rsidRDefault="004E051C">
      <w:pPr>
        <w:pStyle w:val="FigureTableSubheading"/>
      </w:pPr>
      <w:r>
        <w:t>Quality ratings of assessed services, as a p</w:t>
      </w:r>
      <w:r w:rsidRPr="0007383E">
        <w:t xml:space="preserve">roportion of </w:t>
      </w:r>
      <w:r>
        <w:t xml:space="preserve">all </w:t>
      </w:r>
      <w:r w:rsidRPr="0007383E">
        <w:t>assessed services</w:t>
      </w:r>
      <w:r>
        <w:t xml:space="preserve">, </w:t>
      </w:r>
      <w:r>
        <w:br/>
        <w:t>2013–2023</w:t>
      </w:r>
    </w:p>
    <w:p w14:paraId="709D41D3" w14:textId="77777777" w:rsidR="00726C84" w:rsidRPr="00726C84" w:rsidRDefault="004E051C">
      <w:pPr>
        <w:pStyle w:val="Note"/>
        <w:keepLines/>
        <w:rPr>
          <w:rStyle w:val="BodyTextChar"/>
        </w:rPr>
      </w:pPr>
      <w:r w:rsidRPr="00036312">
        <w:rPr>
          <w:noProof/>
        </w:rPr>
        <w:drawing>
          <wp:inline distT="0" distB="0" distL="0" distR="0" wp14:anchorId="4F9B79C1" wp14:editId="1A9ACFEF">
            <wp:extent cx="6120130" cy="2874645"/>
            <wp:effectExtent l="0" t="0" r="0" b="0"/>
            <wp:docPr id="1463495305" name="Picture 1463495305" descr="A line chart that shows the quality ratings of assessed services, as a proportion of all assessed services, from 2013 to 2023. It has three bold and one dotted line. The top line, a grey dotted line, is labelled ‘Meeting NQS or above’. It starts from 57% in Q3 2013 and has a generally consistent upwards trajectory.  &#10;&#10;Below it, there is a dark blue line labelled ‘Meeting’ that starts at 34% and also rises over time. A green line, labelled ‘Working Towards’, starts at 43% and decreases over time. A light blue line, labelled ‘Excellent or Exceeding’, starts at 23% and first slowly increases but then falls after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5305" name="Picture 1463495305" descr="A line chart that shows the quality ratings of assessed services, as a proportion of all assessed services, from 2013 to 2023. It has three bold and one dotted line. The top line, a grey dotted line, is labelled ‘Meeting NQS or above’. It starts from 57% in Q3 2013 and has a generally consistent upwards trajectory.  &#10;&#10;Below it, there is a dark blue line labelled ‘Meeting’ that starts at 34% and also rises over time. A green line, labelled ‘Working Towards’, starts at 43% and decreases over time. A light blue line, labelled ‘Excellent or Exceeding’, starts at 23% and first slowly increases but then falls after 2018.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2874645"/>
                    </a:xfrm>
                    <a:prstGeom prst="rect">
                      <a:avLst/>
                    </a:prstGeom>
                    <a:noFill/>
                    <a:ln>
                      <a:noFill/>
                    </a:ln>
                  </pic:spPr>
                </pic:pic>
              </a:graphicData>
            </a:graphic>
          </wp:inline>
        </w:drawing>
      </w:r>
    </w:p>
    <w:p w14:paraId="16DB0F37" w14:textId="1F4D3955" w:rsidR="004E051C" w:rsidRPr="00726C84" w:rsidRDefault="004E051C">
      <w:pPr>
        <w:pStyle w:val="Note"/>
        <w:keepLines/>
        <w:rPr>
          <w:rFonts w:cstheme="minorHAnsi"/>
          <w:spacing w:val="-4"/>
        </w:rPr>
      </w:pPr>
      <w:r w:rsidRPr="00726C84">
        <w:rPr>
          <w:rFonts w:cstheme="minorHAnsi"/>
          <w:b/>
          <w:spacing w:val="-4"/>
        </w:rPr>
        <w:t>a.</w:t>
      </w:r>
      <w:r w:rsidRPr="00726C84">
        <w:rPr>
          <w:rFonts w:cstheme="minorHAnsi"/>
          <w:spacing w:val="-4"/>
        </w:rPr>
        <w:t xml:space="preserve"> Subject to data caveats outlined in box 2.1. </w:t>
      </w:r>
      <w:r w:rsidRPr="00726C84">
        <w:rPr>
          <w:rFonts w:cstheme="minorHAnsi"/>
          <w:b/>
          <w:spacing w:val="-4"/>
        </w:rPr>
        <w:t>b.</w:t>
      </w:r>
      <w:r w:rsidRPr="00726C84">
        <w:rPr>
          <w:rFonts w:cstheme="minorHAnsi"/>
          <w:spacing w:val="-4"/>
        </w:rPr>
        <w:t xml:space="preserve"> Data covers the period from quarter 3 2013 to quarter 2 2023. </w:t>
      </w:r>
      <w:r w:rsidRPr="00726C84">
        <w:rPr>
          <w:rFonts w:cstheme="minorHAnsi"/>
          <w:b/>
          <w:spacing w:val="-4"/>
        </w:rPr>
        <w:t>c.</w:t>
      </w:r>
      <w:r w:rsidRPr="00726C84">
        <w:rPr>
          <w:rFonts w:cstheme="minorHAnsi"/>
          <w:spacing w:val="-4"/>
        </w:rPr>
        <w:t xml:space="preserve"> Data captures services that had received at least one assessment by the end of the relevant quarter, regardless of whether the assessment and rating was conducted during that quarter. </w:t>
      </w:r>
      <w:r w:rsidRPr="00726C84">
        <w:rPr>
          <w:rFonts w:cstheme="minorHAnsi"/>
          <w:b/>
          <w:spacing w:val="-4"/>
        </w:rPr>
        <w:t>d.</w:t>
      </w:r>
      <w:r w:rsidRPr="00726C84">
        <w:rPr>
          <w:rFonts w:cstheme="minorHAnsi"/>
          <w:spacing w:val="-4"/>
        </w:rPr>
        <w:t xml:space="preserve"> Very small proportions of services are assessed as Significant Improvement Required. </w:t>
      </w:r>
      <w:r w:rsidRPr="00726C84">
        <w:rPr>
          <w:rFonts w:cstheme="minorHAnsi"/>
          <w:spacing w:val="-4"/>
          <w:szCs w:val="18"/>
        </w:rPr>
        <w:t xml:space="preserve">These have not been depicted graphically but have been included in the total number of assessed services for the purposes of calculating the proportion of services achieving the respective quality ratings depicted above. </w:t>
      </w:r>
    </w:p>
    <w:p w14:paraId="6CE36D25" w14:textId="62615AC8" w:rsidR="004E051C" w:rsidRPr="00725AAA" w:rsidRDefault="004E051C">
      <w:pPr>
        <w:pStyle w:val="Source"/>
        <w:rPr>
          <w:rFonts w:cstheme="minorHAnsi"/>
        </w:rPr>
      </w:pPr>
      <w:r w:rsidRPr="00725AAA">
        <w:rPr>
          <w:rFonts w:cstheme="minorHAnsi"/>
        </w:rPr>
        <w:t xml:space="preserve">Source: </w:t>
      </w:r>
      <w:r w:rsidRPr="00D064DD">
        <w:rPr>
          <w:rFonts w:cstheme="minorHAnsi"/>
        </w:rPr>
        <w:t xml:space="preserve">Productivity Commission estimates based on </w:t>
      </w:r>
      <w:r w:rsidRPr="008E097E">
        <w:rPr>
          <w:rFonts w:cstheme="minorHAnsi"/>
        </w:rPr>
        <w:t>ACECQA</w:t>
      </w:r>
      <w:r>
        <w:rPr>
          <w:rFonts w:cstheme="minorHAnsi"/>
          <w:color w:val="FF0000"/>
        </w:rPr>
        <w:t xml:space="preserve"> </w:t>
      </w:r>
      <w:r w:rsidRPr="000C3497">
        <w:rPr>
          <w:rFonts w:ascii="Arial" w:hAnsi="Arial" w:cs="Arial"/>
        </w:rPr>
        <w:t>(2023d)</w:t>
      </w:r>
      <w:r>
        <w:rPr>
          <w:rFonts w:ascii="Arial" w:hAnsi="Arial" w:cs="Arial"/>
        </w:rPr>
        <w:t>.</w:t>
      </w:r>
    </w:p>
    <w:p w14:paraId="6BDF1F2C" w14:textId="77777777" w:rsidR="004E051C" w:rsidRPr="003D2AFF" w:rsidRDefault="004E051C">
      <w:pPr>
        <w:pStyle w:val="BodyText"/>
        <w:rPr>
          <w:i/>
          <w:iCs/>
        </w:rPr>
      </w:pPr>
      <w:r w:rsidRPr="00725AAA">
        <w:rPr>
          <w:rFonts w:cstheme="minorHAnsi"/>
        </w:rPr>
        <w:t>There is also variability in individual quality ratings, which are lower in some locations, service types and provider types (figure</w:t>
      </w:r>
      <w:r>
        <w:rPr>
          <w:rFonts w:cstheme="minorHAnsi"/>
        </w:rPr>
        <w:t> 2.6</w:t>
      </w:r>
      <w:r w:rsidRPr="00725AAA">
        <w:rPr>
          <w:rFonts w:cstheme="minorHAnsi"/>
        </w:rPr>
        <w:t>).</w:t>
      </w:r>
      <w:r>
        <w:rPr>
          <w:rFonts w:cstheme="minorHAnsi"/>
        </w:rPr>
        <w:t xml:space="preserve"> </w:t>
      </w:r>
      <w:r w:rsidRPr="004F3B62">
        <w:rPr>
          <w:rFonts w:cstheme="minorHAnsi"/>
        </w:rPr>
        <w:t xml:space="preserve">Care </w:t>
      </w:r>
      <w:r w:rsidRPr="00B55FD1">
        <w:rPr>
          <w:rFonts w:cstheme="minorHAnsi"/>
        </w:rPr>
        <w:t xml:space="preserve">should be taken in drawing inferences from this variation, given the data limitations discussed in box 2.1. </w:t>
      </w:r>
      <w:r w:rsidRPr="00DA3268">
        <w:rPr>
          <w:rFonts w:cstheme="minorHAnsi"/>
        </w:rPr>
        <w:t xml:space="preserve">In addition, these differences do not </w:t>
      </w:r>
      <w:r w:rsidRPr="0059569D">
        <w:rPr>
          <w:rFonts w:cstheme="minorHAnsi"/>
        </w:rPr>
        <w:t xml:space="preserve">imply causality and </w:t>
      </w:r>
      <w:r w:rsidRPr="0059569D">
        <w:t xml:space="preserve">may reflect the differing operating models or cost structures of services. </w:t>
      </w:r>
    </w:p>
    <w:p w14:paraId="69BBC934" w14:textId="77777777" w:rsidR="004E051C" w:rsidRPr="003D2AFF" w:rsidRDefault="004E051C">
      <w:pPr>
        <w:pStyle w:val="BodyText"/>
      </w:pPr>
      <w:r w:rsidRPr="009405DF">
        <w:rPr>
          <w:rFonts w:cstheme="minorHAnsi"/>
        </w:rPr>
        <w:t xml:space="preserve">Despite these limitations, these results present a picture of substantial variation in the quality of ECEC that children receive across Australia. </w:t>
      </w:r>
      <w:r w:rsidRPr="00341349">
        <w:rPr>
          <w:rStyle w:val="BodyTextChar"/>
        </w:rPr>
        <w:t>And</w:t>
      </w:r>
      <w:r w:rsidRPr="00341349">
        <w:t xml:space="preserve"> they s</w:t>
      </w:r>
      <w:r>
        <w:t>how</w:t>
      </w:r>
      <w:r w:rsidRPr="00341349">
        <w:t xml:space="preserve"> </w:t>
      </w:r>
      <w:r>
        <w:t xml:space="preserve">that </w:t>
      </w:r>
      <w:r w:rsidRPr="00341349">
        <w:t>children experiencing disadvantage are more likely to experience ECEC of poorer quality. Services operating in remote parts of Australia and in areas where socio</w:t>
      </w:r>
      <w:r>
        <w:t>-</w:t>
      </w:r>
      <w:r w:rsidRPr="00341349">
        <w:t xml:space="preserve">economic disadvantage is </w:t>
      </w:r>
      <w:r w:rsidRPr="00746F9D">
        <w:t xml:space="preserve">common are </w:t>
      </w:r>
      <w:r w:rsidRPr="00746F9D">
        <w:rPr>
          <w:i/>
          <w:iCs/>
        </w:rPr>
        <w:t>less likely</w:t>
      </w:r>
      <w:r w:rsidRPr="00746F9D">
        <w:t xml:space="preserve"> </w:t>
      </w:r>
      <w:r>
        <w:t xml:space="preserve">to </w:t>
      </w:r>
      <w:r w:rsidRPr="008168FA">
        <w:t xml:space="preserve">have a rating of </w:t>
      </w:r>
      <w:r>
        <w:t>M</w:t>
      </w:r>
      <w:r w:rsidRPr="00753DF4">
        <w:t>eeting the NQS or above.</w:t>
      </w:r>
      <w:r w:rsidRPr="00746F9D">
        <w:t xml:space="preserve"> These are the servic</w:t>
      </w:r>
      <w:r w:rsidRPr="00341349">
        <w:t>es attended by children who are most likely to benefit from quality ECEC.</w:t>
      </w:r>
    </w:p>
    <w:p w14:paraId="6422B138" w14:textId="77777777" w:rsidR="004E051C" w:rsidRDefault="004E051C">
      <w:pPr>
        <w:pStyle w:val="BodyText"/>
        <w:rPr>
          <w:rFonts w:cstheme="minorHAnsi"/>
        </w:rPr>
      </w:pPr>
      <w:r w:rsidRPr="009405DF">
        <w:rPr>
          <w:rFonts w:cstheme="minorHAnsi"/>
        </w:rPr>
        <w:t>Policy responses to address this variation are discussed in paper 8.</w:t>
      </w:r>
    </w:p>
    <w:p w14:paraId="21F5AFAD" w14:textId="0FD412EF" w:rsidR="004E051C" w:rsidRPr="0007383E" w:rsidRDefault="004E051C">
      <w:pPr>
        <w:pStyle w:val="FigureTableHeading"/>
      </w:pPr>
      <w:r w:rsidRPr="0007383E">
        <w:lastRenderedPageBreak/>
        <w:t xml:space="preserve">Figure </w:t>
      </w:r>
      <w:r w:rsidR="00DC7EEE">
        <w:rPr>
          <w:noProof/>
        </w:rPr>
        <w:t>2</w:t>
      </w:r>
      <w:r>
        <w:t>.</w:t>
      </w:r>
      <w:r w:rsidR="00DC7EEE">
        <w:rPr>
          <w:noProof/>
        </w:rPr>
        <w:t>6</w:t>
      </w:r>
      <w:r>
        <w:rPr>
          <w:noProof/>
        </w:rPr>
        <w:t xml:space="preserve"> </w:t>
      </w:r>
      <w:r w:rsidRPr="0007383E">
        <w:t xml:space="preserve">– There is variability in quality ratings </w:t>
      </w:r>
      <w:r>
        <w:t>among</w:t>
      </w:r>
      <w:r w:rsidRPr="0007383E">
        <w:t xml:space="preserve"> service</w:t>
      </w:r>
      <w:r>
        <w:t xml:space="preserve"> types and </w:t>
      </w:r>
      <w:proofErr w:type="spellStart"/>
      <w:proofErr w:type="gramStart"/>
      <w:r>
        <w:t>locations</w:t>
      </w:r>
      <w:r w:rsidRPr="00066CF5">
        <w:rPr>
          <w:vertAlign w:val="superscript"/>
        </w:rPr>
        <w:t>a</w:t>
      </w:r>
      <w:r>
        <w:rPr>
          <w:vertAlign w:val="superscript"/>
        </w:rPr>
        <w:t>,b</w:t>
      </w:r>
      <w:proofErr w:type="gramEnd"/>
      <w:r>
        <w:rPr>
          <w:vertAlign w:val="superscript"/>
        </w:rPr>
        <w:t>,c</w:t>
      </w:r>
      <w:r w:rsidR="00836EC1">
        <w:rPr>
          <w:vertAlign w:val="superscript"/>
        </w:rPr>
        <w:t>,d</w:t>
      </w:r>
      <w:proofErr w:type="spellEnd"/>
    </w:p>
    <w:p w14:paraId="69613CC3" w14:textId="77777777" w:rsidR="004E051C" w:rsidRPr="00725AAA" w:rsidRDefault="004E051C">
      <w:pPr>
        <w:pStyle w:val="FigureTableSubheading"/>
        <w:keepLines/>
        <w:rPr>
          <w:rFonts w:asciiTheme="minorHAnsi" w:hAnsiTheme="minorHAnsi" w:cstheme="minorHAnsi"/>
        </w:rPr>
      </w:pPr>
      <w:r w:rsidRPr="0007383E">
        <w:t>Quality ratings by select characteristics of services</w:t>
      </w:r>
      <w:r>
        <w:t xml:space="preserve">, </w:t>
      </w:r>
      <w:r w:rsidRPr="00BB48B4">
        <w:t>1</w:t>
      </w:r>
      <w:r>
        <w:t> </w:t>
      </w:r>
      <w:r w:rsidRPr="00B63D4E">
        <w:t>July</w:t>
      </w:r>
      <w:r w:rsidRPr="00BB48B4">
        <w:t xml:space="preserve"> 2023</w:t>
      </w:r>
    </w:p>
    <w:p w14:paraId="1178FD9E" w14:textId="77777777" w:rsidR="000B7615" w:rsidRPr="000B7615" w:rsidRDefault="004E051C">
      <w:pPr>
        <w:pStyle w:val="Note"/>
        <w:rPr>
          <w:rStyle w:val="BodyTextChar"/>
        </w:rPr>
      </w:pPr>
      <w:r w:rsidRPr="005F4269">
        <w:rPr>
          <w:noProof/>
        </w:rPr>
        <w:drawing>
          <wp:inline distT="0" distB="0" distL="0" distR="0" wp14:anchorId="4027D01A" wp14:editId="52674BD6">
            <wp:extent cx="6120130" cy="6074410"/>
            <wp:effectExtent l="0" t="0" r="0" b="0"/>
            <wp:docPr id="1664499898" name="Picture 1664499898" descr="A set of four stacked bar charts. Each chart shows the proportion of services in each quality rating category (Exceeding, Meeting and Working Towards) as at 1 July 2023 by a different characteristic, including provider management type, service type, remoteness, and SEIFA decile. Quality ratings are generally lower in more remote and lower socio-economics areas, while dedicated preschools are more likely to be rated as exceeding and family day care services are more likely to be rated as working towards. Patterns in quality ratings by provider type are more difficult to obser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99898" name="Picture 1664499898" descr="A set of four stacked bar charts. Each chart shows the proportion of services in each quality rating category (Exceeding, Meeting and Working Towards) as at 1 July 2023 by a different characteristic, including provider management type, service type, remoteness, and SEIFA decile. Quality ratings are generally lower in more remote and lower socio-economics areas, while dedicated preschools are more likely to be rated as exceeding and family day care services are more likely to be rated as working towards. Patterns in quality ratings by provider type are more difficult to observ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6074410"/>
                    </a:xfrm>
                    <a:prstGeom prst="rect">
                      <a:avLst/>
                    </a:prstGeom>
                    <a:noFill/>
                    <a:ln>
                      <a:noFill/>
                    </a:ln>
                  </pic:spPr>
                </pic:pic>
              </a:graphicData>
            </a:graphic>
          </wp:inline>
        </w:drawing>
      </w:r>
    </w:p>
    <w:p w14:paraId="5264F887" w14:textId="08BB38A6" w:rsidR="004E051C" w:rsidRDefault="004E051C">
      <w:pPr>
        <w:pStyle w:val="Note"/>
        <w:rPr>
          <w:rFonts w:cstheme="minorHAnsi"/>
          <w:szCs w:val="18"/>
        </w:rPr>
      </w:pPr>
      <w:r w:rsidRPr="008C3212">
        <w:rPr>
          <w:rFonts w:cstheme="minorHAnsi"/>
          <w:b/>
        </w:rPr>
        <w:t>a.</w:t>
      </w:r>
      <w:r w:rsidRPr="008C3212">
        <w:rPr>
          <w:rFonts w:cstheme="minorHAnsi"/>
        </w:rPr>
        <w:t xml:space="preserve"> </w:t>
      </w:r>
      <w:r>
        <w:rPr>
          <w:rFonts w:cstheme="minorHAnsi"/>
        </w:rPr>
        <w:t xml:space="preserve">Subject to data caveats outlined </w:t>
      </w:r>
      <w:r w:rsidRPr="00527200">
        <w:rPr>
          <w:rFonts w:cstheme="minorHAnsi"/>
        </w:rPr>
        <w:t xml:space="preserve">in </w:t>
      </w:r>
      <w:r w:rsidRPr="00EF753B">
        <w:rPr>
          <w:rFonts w:cstheme="minorHAnsi"/>
        </w:rPr>
        <w:t>box</w:t>
      </w:r>
      <w:r>
        <w:rPr>
          <w:rFonts w:cstheme="minorHAnsi"/>
        </w:rPr>
        <w:t> 2.1.</w:t>
      </w:r>
      <w:r w:rsidRPr="00EF753B">
        <w:rPr>
          <w:rFonts w:cstheme="minorHAnsi"/>
          <w:b/>
        </w:rPr>
        <w:t xml:space="preserve"> </w:t>
      </w:r>
      <w:r>
        <w:rPr>
          <w:rFonts w:cstheme="minorHAnsi"/>
          <w:b/>
        </w:rPr>
        <w:t>b</w:t>
      </w:r>
      <w:r w:rsidRPr="008C3212">
        <w:rPr>
          <w:rFonts w:cstheme="minorHAnsi"/>
          <w:b/>
        </w:rPr>
        <w:t>.</w:t>
      </w:r>
      <w:r w:rsidRPr="008C3212">
        <w:rPr>
          <w:rFonts w:cstheme="minorHAnsi"/>
        </w:rPr>
        <w:t xml:space="preserve"> </w:t>
      </w:r>
      <w:r w:rsidRPr="00EF753B">
        <w:rPr>
          <w:rFonts w:cstheme="minorHAnsi"/>
          <w:szCs w:val="18"/>
        </w:rPr>
        <w:t>Data captures services that had received at least one assessment by the end of the relevant quarter, regardless of whether the assessment and rating was conducted during that quarter.</w:t>
      </w:r>
      <w:r w:rsidRPr="00196920">
        <w:rPr>
          <w:rFonts w:cstheme="minorHAnsi"/>
          <w:szCs w:val="18"/>
        </w:rPr>
        <w:t xml:space="preserve"> </w:t>
      </w:r>
      <w:r w:rsidR="00836EC1">
        <w:rPr>
          <w:b/>
        </w:rPr>
        <w:t>c</w:t>
      </w:r>
      <w:r>
        <w:rPr>
          <w:b/>
        </w:rPr>
        <w:t>. </w:t>
      </w:r>
      <w:r w:rsidRPr="0007383E">
        <w:rPr>
          <w:rFonts w:cstheme="minorHAnsi"/>
          <w:szCs w:val="18"/>
        </w:rPr>
        <w:t>SEIFA deciles are based on the Socio</w:t>
      </w:r>
      <w:r>
        <w:rPr>
          <w:rFonts w:cstheme="minorHAnsi"/>
          <w:szCs w:val="18"/>
        </w:rPr>
        <w:noBreakHyphen/>
      </w:r>
      <w:r w:rsidRPr="0007383E">
        <w:rPr>
          <w:rFonts w:cstheme="minorHAnsi"/>
          <w:szCs w:val="18"/>
        </w:rPr>
        <w:t xml:space="preserve">Economic Index for Areas </w:t>
      </w:r>
      <w:r w:rsidRPr="00571867">
        <w:rPr>
          <w:szCs w:val="18"/>
        </w:rPr>
        <w:t xml:space="preserve">– </w:t>
      </w:r>
      <w:r w:rsidRPr="0007383E">
        <w:rPr>
          <w:rFonts w:cstheme="minorHAnsi"/>
          <w:szCs w:val="18"/>
        </w:rPr>
        <w:t>Index of Relative Socio</w:t>
      </w:r>
      <w:r>
        <w:rPr>
          <w:rFonts w:cstheme="minorHAnsi"/>
          <w:szCs w:val="18"/>
        </w:rPr>
        <w:noBreakHyphen/>
      </w:r>
      <w:r w:rsidRPr="0007383E">
        <w:rPr>
          <w:rFonts w:cstheme="minorHAnsi"/>
          <w:szCs w:val="18"/>
        </w:rPr>
        <w:t>Economic Advantage and Disadvantage.</w:t>
      </w:r>
      <w:r>
        <w:rPr>
          <w:rFonts w:cstheme="minorHAnsi"/>
          <w:szCs w:val="18"/>
        </w:rPr>
        <w:t xml:space="preserve"> Decile 1 represents the most disadvantaged areas and </w:t>
      </w:r>
      <w:r w:rsidRPr="00606554">
        <w:rPr>
          <w:rFonts w:cstheme="minorHAnsi"/>
          <w:szCs w:val="18"/>
        </w:rPr>
        <w:t>Decile 10 the most advantaged.</w:t>
      </w:r>
      <w:r w:rsidRPr="00606554">
        <w:t xml:space="preserve"> </w:t>
      </w:r>
      <w:r w:rsidR="00836EC1">
        <w:rPr>
          <w:b/>
        </w:rPr>
        <w:t>d</w:t>
      </w:r>
      <w:r w:rsidRPr="00606554">
        <w:rPr>
          <w:b/>
        </w:rPr>
        <w:t>.</w:t>
      </w:r>
      <w:r w:rsidRPr="00606554">
        <w:t xml:space="preserve"> </w:t>
      </w:r>
      <w:r w:rsidRPr="00606554">
        <w:rPr>
          <w:rFonts w:cstheme="minorHAnsi"/>
          <w:szCs w:val="18"/>
        </w:rPr>
        <w:t xml:space="preserve">Very small proportions of services are assessed as Excellent or Significant Improvement Required. </w:t>
      </w:r>
      <w:r w:rsidRPr="008C5F4A">
        <w:rPr>
          <w:rFonts w:cstheme="minorHAnsi"/>
          <w:szCs w:val="18"/>
        </w:rPr>
        <w:t>These have not been depicted graphically but have been included in the total number of assessed services for the purposes of calculating the proportion of services achieving the respective quality ratings depicted above.</w:t>
      </w:r>
    </w:p>
    <w:p w14:paraId="069F3E45" w14:textId="77777777" w:rsidR="004E051C" w:rsidRPr="00725AAA" w:rsidRDefault="004E051C">
      <w:pPr>
        <w:pStyle w:val="Source"/>
      </w:pPr>
      <w:r w:rsidRPr="0AEBE3F8">
        <w:t xml:space="preserve">Source: </w:t>
      </w:r>
      <w:r>
        <w:t xml:space="preserve">ACECQA </w:t>
      </w:r>
      <w:r w:rsidRPr="00E628D0">
        <w:rPr>
          <w:rFonts w:ascii="Arial" w:hAnsi="Arial" w:cs="Arial"/>
        </w:rPr>
        <w:t>(2023c)</w:t>
      </w:r>
      <w:r>
        <w:rPr>
          <w:rFonts w:ascii="Arial" w:hAnsi="Arial" w:cs="Arial"/>
        </w:rPr>
        <w:t>.</w:t>
      </w:r>
    </w:p>
    <w:p w14:paraId="26248DC6" w14:textId="77777777" w:rsidR="004E051C" w:rsidRDefault="004E051C">
      <w:pPr>
        <w:pStyle w:val="BodyText"/>
      </w:pPr>
    </w:p>
    <w:p w14:paraId="635F9AF3" w14:textId="77777777" w:rsidR="004E051C" w:rsidRPr="00D47303" w:rsidRDefault="004E051C">
      <w:pPr>
        <w:pStyle w:val="Heading3"/>
      </w:pPr>
      <w:r w:rsidRPr="00C30D41">
        <w:lastRenderedPageBreak/>
        <w:t>Are staff ratios and qualification requirements appropriate?</w:t>
      </w:r>
    </w:p>
    <w:p w14:paraId="65C85B0E" w14:textId="77777777" w:rsidR="004E051C" w:rsidRPr="00AA7527" w:rsidRDefault="004E051C">
      <w:pPr>
        <w:pStyle w:val="Heading4"/>
      </w:pPr>
      <w:r>
        <w:t>The NQF imposes ratio and qualification requirements</w:t>
      </w:r>
    </w:p>
    <w:p w14:paraId="525A0ED0" w14:textId="77777777" w:rsidR="004E051C" w:rsidRDefault="004E051C">
      <w:pPr>
        <w:pStyle w:val="BoxHeading2"/>
        <w:rPr>
          <w:rFonts w:cstheme="minorHAnsi"/>
          <w:b w:val="0"/>
        </w:rPr>
      </w:pPr>
      <w:r>
        <w:rPr>
          <w:rFonts w:cstheme="minorHAnsi"/>
          <w:b w:val="0"/>
        </w:rPr>
        <w:t>T</w:t>
      </w:r>
      <w:r w:rsidRPr="00725AAA">
        <w:rPr>
          <w:rFonts w:cstheme="minorHAnsi"/>
          <w:b w:val="0"/>
        </w:rPr>
        <w:t>he NQF</w:t>
      </w:r>
      <w:r>
        <w:rPr>
          <w:rFonts w:cstheme="minorHAnsi"/>
          <w:b w:val="0"/>
        </w:rPr>
        <w:t xml:space="preserve"> imposes </w:t>
      </w:r>
      <w:r w:rsidRPr="00725AAA">
        <w:rPr>
          <w:rFonts w:cstheme="minorHAnsi"/>
          <w:b w:val="0"/>
        </w:rPr>
        <w:t>educator</w:t>
      </w:r>
      <w:r w:rsidRPr="00725AAA">
        <w:rPr>
          <w:rFonts w:cstheme="minorHAnsi"/>
          <w:b w:val="0"/>
        </w:rPr>
        <w:noBreakHyphen/>
        <w:t>to</w:t>
      </w:r>
      <w:r>
        <w:rPr>
          <w:rFonts w:cstheme="minorHAnsi"/>
          <w:b w:val="0"/>
        </w:rPr>
        <w:noBreakHyphen/>
      </w:r>
      <w:r w:rsidRPr="00725AAA">
        <w:rPr>
          <w:rFonts w:cstheme="minorHAnsi"/>
          <w:b w:val="0"/>
        </w:rPr>
        <w:t>child ratios and qualification requirements</w:t>
      </w:r>
      <w:r>
        <w:rPr>
          <w:rFonts w:cstheme="minorHAnsi"/>
          <w:b w:val="0"/>
        </w:rPr>
        <w:t>, including:</w:t>
      </w:r>
    </w:p>
    <w:p w14:paraId="63F71C86" w14:textId="77777777" w:rsidR="004E051C" w:rsidRPr="00AB44B2" w:rsidRDefault="004E051C" w:rsidP="00E01114">
      <w:pPr>
        <w:pStyle w:val="ListBullet"/>
      </w:pPr>
      <w:r w:rsidRPr="00AB44B2">
        <w:t xml:space="preserve">for LDC and preschool services, the </w:t>
      </w:r>
      <w:r>
        <w:t>engagement</w:t>
      </w:r>
      <w:r w:rsidRPr="00AB44B2">
        <w:t xml:space="preserve"> of up to two full</w:t>
      </w:r>
      <w:r>
        <w:noBreakHyphen/>
      </w:r>
      <w:r w:rsidRPr="00AB44B2">
        <w:t>time equivalent early childhood teachers, depending on the number of children attending</w:t>
      </w:r>
      <w:r w:rsidRPr="00D10F0A">
        <w:rPr>
          <w:rStyle w:val="FootnoteReference"/>
        </w:rPr>
        <w:footnoteReference w:id="6"/>
      </w:r>
      <w:r>
        <w:t xml:space="preserve"> </w:t>
      </w:r>
      <w:r w:rsidRPr="00A259D1">
        <w:rPr>
          <w:rFonts w:ascii="Arial" w:hAnsi="Arial" w:cs="Arial"/>
          <w:szCs w:val="24"/>
        </w:rPr>
        <w:t>(ACECQA 2023h)</w:t>
      </w:r>
    </w:p>
    <w:p w14:paraId="1A0E2E27" w14:textId="77777777" w:rsidR="004E051C" w:rsidRDefault="004E051C" w:rsidP="00E01114">
      <w:pPr>
        <w:pStyle w:val="ListBullet"/>
      </w:pPr>
      <w:r w:rsidRPr="007163D5">
        <w:t>for LDC, preschool and FDC services, ensuring educators hold at least a certificate III level qualification, with 50% of educators in LDC and preschool required to hold a diploma level qualification</w:t>
      </w:r>
      <w:r>
        <w:t xml:space="preserve"> (educators may be actively working towards their qualification in preschool and LDC services)</w:t>
      </w:r>
      <w:r w:rsidRPr="00D10F0A">
        <w:rPr>
          <w:rStyle w:val="FootnoteReference"/>
        </w:rPr>
        <w:footnoteReference w:id="7"/>
      </w:r>
      <w:r>
        <w:t xml:space="preserve"> </w:t>
      </w:r>
      <w:r w:rsidRPr="00A259D1">
        <w:rPr>
          <w:rFonts w:ascii="Arial" w:hAnsi="Arial" w:cs="Arial"/>
          <w:szCs w:val="24"/>
        </w:rPr>
        <w:t>(ACECQA 2023h, 2023i)</w:t>
      </w:r>
    </w:p>
    <w:p w14:paraId="2D0D501B" w14:textId="77777777" w:rsidR="004E051C" w:rsidRDefault="004E051C" w:rsidP="00E01114">
      <w:pPr>
        <w:pStyle w:val="ListBullet"/>
      </w:pPr>
      <w:r w:rsidRPr="00AB44B2">
        <w:t>maintaining the required educator</w:t>
      </w:r>
      <w:r>
        <w:noBreakHyphen/>
        <w:t>to</w:t>
      </w:r>
      <w:r>
        <w:noBreakHyphen/>
      </w:r>
      <w:r w:rsidRPr="00AB44B2">
        <w:t xml:space="preserve">child ratio, which ranges </w:t>
      </w:r>
      <w:r>
        <w:t xml:space="preserve">from </w:t>
      </w:r>
      <w:r w:rsidRPr="00AB44B2">
        <w:t xml:space="preserve">1:4 </w:t>
      </w:r>
      <w:r>
        <w:t>to</w:t>
      </w:r>
      <w:r w:rsidRPr="00AB44B2">
        <w:t xml:space="preserve"> </w:t>
      </w:r>
      <w:r>
        <w:t>1:15</w:t>
      </w:r>
      <w:r w:rsidRPr="00AB44B2">
        <w:t>, depending on the age of the children attending, the</w:t>
      </w:r>
      <w:r>
        <w:t xml:space="preserve"> </w:t>
      </w:r>
      <w:r w:rsidRPr="00AB44B2">
        <w:t xml:space="preserve">setting and the </w:t>
      </w:r>
      <w:r>
        <w:t xml:space="preserve">state or territory </w:t>
      </w:r>
      <w:r w:rsidRPr="00A43D32">
        <w:rPr>
          <w:rFonts w:ascii="Arial" w:hAnsi="Arial" w:cs="Arial"/>
          <w:szCs w:val="24"/>
        </w:rPr>
        <w:t>(ACECQA 2017)</w:t>
      </w:r>
      <w:r>
        <w:t>.</w:t>
      </w:r>
    </w:p>
    <w:p w14:paraId="72C6EFA7" w14:textId="77777777" w:rsidR="004E051C" w:rsidRPr="0088150D" w:rsidRDefault="004E051C">
      <w:pPr>
        <w:pStyle w:val="BodyText"/>
      </w:pPr>
      <w:r w:rsidRPr="0088150D">
        <w:t xml:space="preserve">The NQF does not prescribe qualification requirements in OSHC </w:t>
      </w:r>
      <w:r w:rsidRPr="00442380">
        <w:rPr>
          <w:rFonts w:ascii="Arial" w:hAnsi="Arial" w:cs="Arial"/>
          <w:szCs w:val="24"/>
        </w:rPr>
        <w:t>(ACECQA 2023j)</w:t>
      </w:r>
      <w:r w:rsidRPr="0088150D">
        <w:t>. Many states and territories maintain their own requirements, which vary considerably.</w:t>
      </w:r>
    </w:p>
    <w:p w14:paraId="54E4BD52" w14:textId="77777777" w:rsidR="004E051C" w:rsidRDefault="004E051C">
      <w:pPr>
        <w:pStyle w:val="BodyText"/>
        <w:rPr>
          <w:rFonts w:cstheme="minorHAnsi"/>
        </w:rPr>
      </w:pPr>
      <w:r w:rsidRPr="0088150D">
        <w:rPr>
          <w:rFonts w:cstheme="minorHAnsi"/>
        </w:rPr>
        <w:t>The Australian Children’s Education and Care Quality Authority (ACECQA) is reviewing</w:t>
      </w:r>
      <w:r w:rsidRPr="00725AAA">
        <w:rPr>
          <w:rFonts w:cstheme="minorHAnsi"/>
        </w:rPr>
        <w:t xml:space="preserve"> the NQF staffing and qualification regulations, to inform options for consideration by Education Ministers in December 2023 </w:t>
      </w:r>
      <w:r w:rsidRPr="00A259D1">
        <w:rPr>
          <w:rFonts w:ascii="Arial" w:hAnsi="Arial" w:cs="Arial"/>
          <w:szCs w:val="24"/>
        </w:rPr>
        <w:t>(ACECQA 2023g)</w:t>
      </w:r>
      <w:r w:rsidRPr="00725AAA">
        <w:rPr>
          <w:rFonts w:cstheme="minorHAnsi"/>
        </w:rPr>
        <w:t>.</w:t>
      </w:r>
    </w:p>
    <w:p w14:paraId="663FE31B" w14:textId="77777777" w:rsidR="004E051C" w:rsidRDefault="004E051C">
      <w:pPr>
        <w:pStyle w:val="Heading4"/>
      </w:pPr>
      <w:r>
        <w:t>Ratio and qualification requirements were commonly raised by participants</w:t>
      </w:r>
    </w:p>
    <w:p w14:paraId="3BF8675D" w14:textId="77777777" w:rsidR="004E051C" w:rsidRPr="000B7615" w:rsidRDefault="004E051C">
      <w:pPr>
        <w:pStyle w:val="BodyText"/>
        <w:rPr>
          <w:rFonts w:cstheme="minorHAnsi"/>
          <w:spacing w:val="-2"/>
        </w:rPr>
      </w:pPr>
      <w:r w:rsidRPr="000B7615">
        <w:rPr>
          <w:rFonts w:cstheme="minorHAnsi"/>
          <w:spacing w:val="-2"/>
        </w:rPr>
        <w:t xml:space="preserve">Staff ratios and qualification requirements were regularly raised by inquiry participants. Several participants emphasised the </w:t>
      </w:r>
      <w:r w:rsidRPr="000B7615">
        <w:rPr>
          <w:spacing w:val="-2"/>
        </w:rPr>
        <w:t>important role staffing ratios and qualification requirements play in supporting quality ECEC and children’s outcomes (</w:t>
      </w:r>
      <w:proofErr w:type="spellStart"/>
      <w:r w:rsidRPr="000B7615">
        <w:rPr>
          <w:spacing w:val="-2"/>
        </w:rPr>
        <w:t>Goodstart</w:t>
      </w:r>
      <w:proofErr w:type="spellEnd"/>
      <w:r w:rsidRPr="000B7615">
        <w:rPr>
          <w:spacing w:val="-2"/>
        </w:rPr>
        <w:t xml:space="preserve"> Early Learning, sub. 125, p. 44; SDN Children’s Services, sub. 63, p. 5; Albury Preschool, sub. 43, p. 1; ACECQA, sub. 6,</w:t>
      </w:r>
      <w:r w:rsidRPr="000B7615">
        <w:rPr>
          <w:rFonts w:cstheme="minorHAnsi"/>
          <w:spacing w:val="-2"/>
        </w:rPr>
        <w:t xml:space="preserve"> p. 6). Some inquiry participants advocated for higher qualification or ratio requirements on the basis that this would further improve children’s outcomes (The Creche &amp; Kindergarten Association, sub. 155, p. 17–18; Lady Gowrie Child Centre Inc (Adelaide), sub. 25, p. 4).</w:t>
      </w:r>
    </w:p>
    <w:p w14:paraId="43A22B7C" w14:textId="77777777" w:rsidR="004E051C" w:rsidRDefault="004E051C">
      <w:pPr>
        <w:pStyle w:val="BodyText"/>
        <w:rPr>
          <w:rFonts w:cstheme="minorHAnsi"/>
        </w:rPr>
      </w:pPr>
      <w:r w:rsidRPr="00725AAA">
        <w:rPr>
          <w:rFonts w:cstheme="minorHAnsi"/>
        </w:rPr>
        <w:t xml:space="preserve">However, a number of inquiry participants raised concerns about the impact of ratio and qualification requirements, particularly in the context of workforce </w:t>
      </w:r>
      <w:r>
        <w:rPr>
          <w:rFonts w:cstheme="minorHAnsi"/>
        </w:rPr>
        <w:t>challenges</w:t>
      </w:r>
      <w:r w:rsidRPr="00725AAA">
        <w:rPr>
          <w:rFonts w:cstheme="minorHAnsi"/>
        </w:rPr>
        <w:t xml:space="preserve">. Regional Development Australia Kimberley submitted that qualification requirements were a contributing factor to workforce shortages </w:t>
      </w:r>
      <w:r w:rsidRPr="00CD6DD0">
        <w:rPr>
          <w:rFonts w:cstheme="minorHAnsi"/>
        </w:rPr>
        <w:t xml:space="preserve">and argued </w:t>
      </w:r>
      <w:r>
        <w:rPr>
          <w:rFonts w:cstheme="minorHAnsi"/>
        </w:rPr>
        <w:t xml:space="preserve">the </w:t>
      </w:r>
      <w:r w:rsidRPr="00CD6DD0">
        <w:rPr>
          <w:rFonts w:cstheme="minorHAnsi"/>
        </w:rPr>
        <w:t xml:space="preserve">requirements should </w:t>
      </w:r>
      <w:proofErr w:type="gramStart"/>
      <w:r w:rsidRPr="00CD6DD0">
        <w:rPr>
          <w:rFonts w:cstheme="minorHAnsi"/>
        </w:rPr>
        <w:t>take into</w:t>
      </w:r>
      <w:r>
        <w:rPr>
          <w:rFonts w:cstheme="minorHAnsi"/>
        </w:rPr>
        <w:t xml:space="preserve"> account</w:t>
      </w:r>
      <w:proofErr w:type="gramEnd"/>
      <w:r>
        <w:rPr>
          <w:rFonts w:cstheme="minorHAnsi"/>
        </w:rPr>
        <w:t xml:space="preserve"> regional considerations</w:t>
      </w:r>
      <w:r w:rsidRPr="00725AAA">
        <w:rPr>
          <w:rFonts w:cstheme="minorHAnsi"/>
        </w:rPr>
        <w:t xml:space="preserve"> (</w:t>
      </w:r>
      <w:r w:rsidRPr="00725AAA" w:rsidDel="00A475AB">
        <w:rPr>
          <w:rFonts w:cstheme="minorHAnsi"/>
        </w:rPr>
        <w:t>sub</w:t>
      </w:r>
      <w:r w:rsidRPr="00725AAA">
        <w:rPr>
          <w:rFonts w:cstheme="minorHAnsi"/>
        </w:rPr>
        <w:t>.</w:t>
      </w:r>
      <w:r>
        <w:rPr>
          <w:rFonts w:cstheme="minorHAnsi"/>
        </w:rPr>
        <w:t> </w:t>
      </w:r>
      <w:r w:rsidRPr="003E79E4">
        <w:rPr>
          <w:rFonts w:cstheme="minorHAnsi"/>
        </w:rPr>
        <w:t>1</w:t>
      </w:r>
      <w:r w:rsidRPr="00EF7DA7">
        <w:rPr>
          <w:rFonts w:cstheme="minorHAnsi"/>
        </w:rPr>
        <w:t>, p.</w:t>
      </w:r>
      <w:r>
        <w:rPr>
          <w:rFonts w:cstheme="minorHAnsi"/>
        </w:rPr>
        <w:t> </w:t>
      </w:r>
      <w:r w:rsidRPr="00725AAA">
        <w:rPr>
          <w:rFonts w:cstheme="minorHAnsi"/>
        </w:rPr>
        <w:t>6</w:t>
      </w:r>
      <w:r w:rsidRPr="001E0F77">
        <w:rPr>
          <w:rFonts w:cstheme="minorHAnsi"/>
        </w:rPr>
        <w:t>). And one inquiry participant suggested the increased qualification requirements introduced over the last 10–12 years have not resulted in quality ECEC (One Tree Community Services, sub.</w:t>
      </w:r>
      <w:r>
        <w:rPr>
          <w:rFonts w:cstheme="minorHAnsi"/>
        </w:rPr>
        <w:t> </w:t>
      </w:r>
      <w:r w:rsidRPr="001E0F77">
        <w:rPr>
          <w:rFonts w:cstheme="minorHAnsi"/>
        </w:rPr>
        <w:t>121, p.</w:t>
      </w:r>
      <w:r>
        <w:rPr>
          <w:rFonts w:cstheme="minorHAnsi"/>
        </w:rPr>
        <w:t> </w:t>
      </w:r>
      <w:r w:rsidRPr="001E0F77">
        <w:rPr>
          <w:rFonts w:cstheme="minorHAnsi"/>
        </w:rPr>
        <w:t>8).</w:t>
      </w:r>
    </w:p>
    <w:p w14:paraId="3F6AFF93" w14:textId="77777777" w:rsidR="004E051C" w:rsidRDefault="004E051C">
      <w:pPr>
        <w:pStyle w:val="BodyText"/>
        <w:rPr>
          <w:rFonts w:cstheme="minorHAnsi"/>
        </w:rPr>
      </w:pPr>
      <w:r w:rsidRPr="00725AAA">
        <w:rPr>
          <w:rFonts w:cstheme="minorHAnsi"/>
        </w:rPr>
        <w:t>Other submissions emphasised the inconsistency in staffing requirements across jurisdictions</w:t>
      </w:r>
      <w:r>
        <w:rPr>
          <w:rFonts w:cstheme="minorHAnsi"/>
        </w:rPr>
        <w:t xml:space="preserve">, particularly in OSHC </w:t>
      </w:r>
      <w:r w:rsidRPr="00725AAA">
        <w:rPr>
          <w:rFonts w:cstheme="minorHAnsi"/>
        </w:rPr>
        <w:t>(The Y Australia, sub.</w:t>
      </w:r>
      <w:r>
        <w:rPr>
          <w:rFonts w:cstheme="minorHAnsi"/>
        </w:rPr>
        <w:t> </w:t>
      </w:r>
      <w:r w:rsidRPr="00725AAA">
        <w:rPr>
          <w:rFonts w:cstheme="minorHAnsi"/>
        </w:rPr>
        <w:t>127, p.</w:t>
      </w:r>
      <w:r>
        <w:rPr>
          <w:rFonts w:cstheme="minorHAnsi"/>
        </w:rPr>
        <w:t> </w:t>
      </w:r>
      <w:r w:rsidRPr="00725AAA">
        <w:rPr>
          <w:rFonts w:cstheme="minorHAnsi"/>
        </w:rPr>
        <w:t xml:space="preserve">13, </w:t>
      </w:r>
      <w:r w:rsidRPr="00EF753B">
        <w:rPr>
          <w:rFonts w:cstheme="minorHAnsi"/>
        </w:rPr>
        <w:t xml:space="preserve">Community </w:t>
      </w:r>
      <w:proofErr w:type="gramStart"/>
      <w:r w:rsidRPr="00EF753B">
        <w:rPr>
          <w:rFonts w:cstheme="minorHAnsi"/>
        </w:rPr>
        <w:t>Child Care</w:t>
      </w:r>
      <w:proofErr w:type="gramEnd"/>
      <w:r w:rsidRPr="00EF753B">
        <w:rPr>
          <w:rFonts w:cstheme="minorHAnsi"/>
        </w:rPr>
        <w:t xml:space="preserve"> Association, sub.</w:t>
      </w:r>
      <w:r>
        <w:rPr>
          <w:rFonts w:cstheme="minorHAnsi"/>
        </w:rPr>
        <w:t> </w:t>
      </w:r>
      <w:r w:rsidRPr="00EF753B">
        <w:rPr>
          <w:rFonts w:cstheme="minorHAnsi"/>
        </w:rPr>
        <w:t>111, p.</w:t>
      </w:r>
      <w:r>
        <w:rPr>
          <w:rFonts w:cstheme="minorHAnsi"/>
        </w:rPr>
        <w:t> 13</w:t>
      </w:r>
      <w:r w:rsidRPr="00EF753B">
        <w:rPr>
          <w:rFonts w:cstheme="minorHAnsi"/>
        </w:rPr>
        <w:t xml:space="preserve">, Outside </w:t>
      </w:r>
      <w:r w:rsidRPr="00F06862">
        <w:rPr>
          <w:rFonts w:cstheme="minorHAnsi"/>
        </w:rPr>
        <w:t>Schools Hours Council of Australia,</w:t>
      </w:r>
      <w:r w:rsidRPr="00EF753B">
        <w:rPr>
          <w:rFonts w:cstheme="minorHAnsi"/>
        </w:rPr>
        <w:t xml:space="preserve"> sub.</w:t>
      </w:r>
      <w:r>
        <w:rPr>
          <w:rFonts w:cstheme="minorHAnsi"/>
        </w:rPr>
        <w:t> </w:t>
      </w:r>
      <w:r w:rsidRPr="00EF753B">
        <w:rPr>
          <w:rFonts w:cstheme="minorHAnsi"/>
        </w:rPr>
        <w:t>82, p.</w:t>
      </w:r>
      <w:r>
        <w:rPr>
          <w:rFonts w:cstheme="minorHAnsi"/>
        </w:rPr>
        <w:t> 5</w:t>
      </w:r>
      <w:r w:rsidRPr="00EF753B">
        <w:rPr>
          <w:rFonts w:cstheme="minorHAnsi"/>
        </w:rPr>
        <w:t xml:space="preserve">; </w:t>
      </w:r>
      <w:r w:rsidRPr="005536FB">
        <w:rPr>
          <w:rFonts w:cstheme="minorHAnsi"/>
        </w:rPr>
        <w:t>Ogrizek, sub. 4</w:t>
      </w:r>
      <w:r w:rsidRPr="00EF753B">
        <w:rPr>
          <w:rFonts w:cstheme="minorHAnsi"/>
        </w:rPr>
        <w:t>, p.</w:t>
      </w:r>
      <w:r>
        <w:rPr>
          <w:rFonts w:cstheme="minorHAnsi"/>
        </w:rPr>
        <w:t> </w:t>
      </w:r>
      <w:r w:rsidRPr="00EF753B">
        <w:rPr>
          <w:rFonts w:cstheme="minorHAnsi"/>
        </w:rPr>
        <w:t>3; Berry Cottage Childcare and Pr</w:t>
      </w:r>
      <w:r w:rsidRPr="003737DB">
        <w:rPr>
          <w:rFonts w:cstheme="minorHAnsi"/>
        </w:rPr>
        <w:t>e</w:t>
      </w:r>
      <w:r>
        <w:rPr>
          <w:rFonts w:cstheme="minorHAnsi"/>
        </w:rPr>
        <w:noBreakHyphen/>
      </w:r>
      <w:r w:rsidRPr="008168FA">
        <w:rPr>
          <w:rFonts w:cstheme="minorHAnsi"/>
        </w:rPr>
        <w:t>s</w:t>
      </w:r>
      <w:r w:rsidRPr="003737DB">
        <w:rPr>
          <w:rFonts w:cstheme="minorHAnsi"/>
        </w:rPr>
        <w:t>chool</w:t>
      </w:r>
      <w:r w:rsidRPr="00EF753B">
        <w:rPr>
          <w:rFonts w:cstheme="minorHAnsi"/>
        </w:rPr>
        <w:t>, sub.</w:t>
      </w:r>
      <w:r>
        <w:rPr>
          <w:rFonts w:cstheme="minorHAnsi"/>
        </w:rPr>
        <w:t> </w:t>
      </w:r>
      <w:r w:rsidRPr="00EF753B">
        <w:rPr>
          <w:rFonts w:cstheme="minorHAnsi"/>
        </w:rPr>
        <w:t>141, p.</w:t>
      </w:r>
      <w:r>
        <w:rPr>
          <w:rFonts w:cstheme="minorHAnsi"/>
        </w:rPr>
        <w:t> </w:t>
      </w:r>
      <w:r w:rsidRPr="00EF753B">
        <w:rPr>
          <w:rFonts w:cstheme="minorHAnsi"/>
        </w:rPr>
        <w:t>2; Network of Community Activities, sub.</w:t>
      </w:r>
      <w:r>
        <w:rPr>
          <w:rFonts w:cstheme="minorHAnsi"/>
        </w:rPr>
        <w:t> </w:t>
      </w:r>
      <w:r w:rsidRPr="00EF753B">
        <w:rPr>
          <w:rFonts w:cstheme="minorHAnsi"/>
        </w:rPr>
        <w:t>171, p.</w:t>
      </w:r>
      <w:r>
        <w:rPr>
          <w:rFonts w:cstheme="minorHAnsi"/>
        </w:rPr>
        <w:t> </w:t>
      </w:r>
      <w:r w:rsidRPr="00EF753B">
        <w:rPr>
          <w:rFonts w:cstheme="minorHAnsi"/>
        </w:rPr>
        <w:t>3</w:t>
      </w:r>
      <w:r w:rsidRPr="00B74507">
        <w:rPr>
          <w:rFonts w:cstheme="minorHAnsi"/>
        </w:rPr>
        <w:t xml:space="preserve">). </w:t>
      </w:r>
      <w:r>
        <w:rPr>
          <w:rFonts w:cstheme="minorHAnsi"/>
        </w:rPr>
        <w:t>One OSHC p</w:t>
      </w:r>
      <w:r w:rsidRPr="00725AAA">
        <w:rPr>
          <w:rFonts w:cstheme="minorHAnsi"/>
        </w:rPr>
        <w:t xml:space="preserve">rovider organisation noted the additional regulatory burden this </w:t>
      </w:r>
      <w:r>
        <w:rPr>
          <w:rFonts w:cstheme="minorHAnsi"/>
        </w:rPr>
        <w:t xml:space="preserve">inconsistency </w:t>
      </w:r>
      <w:r w:rsidRPr="00725AAA">
        <w:rPr>
          <w:rFonts w:cstheme="minorHAnsi"/>
        </w:rPr>
        <w:t>places on services (</w:t>
      </w:r>
      <w:r>
        <w:rPr>
          <w:rFonts w:cstheme="minorHAnsi"/>
        </w:rPr>
        <w:t xml:space="preserve">Outside School Hours Council of Australia, </w:t>
      </w:r>
      <w:r w:rsidRPr="0007383E" w:rsidDel="00144A86">
        <w:rPr>
          <w:rFonts w:cstheme="minorHAnsi"/>
        </w:rPr>
        <w:t>sub</w:t>
      </w:r>
      <w:r w:rsidRPr="0007383E">
        <w:rPr>
          <w:rFonts w:cstheme="minorHAnsi"/>
        </w:rPr>
        <w:t>.</w:t>
      </w:r>
      <w:r>
        <w:rPr>
          <w:rFonts w:cstheme="minorHAnsi"/>
        </w:rPr>
        <w:t> </w:t>
      </w:r>
      <w:r w:rsidRPr="0007383E">
        <w:rPr>
          <w:rFonts w:cstheme="minorHAnsi"/>
        </w:rPr>
        <w:t>82, p.</w:t>
      </w:r>
      <w:r>
        <w:rPr>
          <w:rFonts w:cstheme="minorHAnsi"/>
        </w:rPr>
        <w:t> </w:t>
      </w:r>
      <w:r w:rsidRPr="0007383E">
        <w:rPr>
          <w:rFonts w:cstheme="minorHAnsi"/>
        </w:rPr>
        <w:t>5</w:t>
      </w:r>
      <w:r w:rsidRPr="00725AAA">
        <w:rPr>
          <w:rFonts w:cstheme="minorHAnsi"/>
        </w:rPr>
        <w:t>).</w:t>
      </w:r>
    </w:p>
    <w:p w14:paraId="06DB87D7" w14:textId="77777777" w:rsidR="004E051C" w:rsidRDefault="004E051C">
      <w:pPr>
        <w:pStyle w:val="Heading4"/>
        <w:rPr>
          <w:rFonts w:cstheme="minorHAnsi"/>
        </w:rPr>
      </w:pPr>
      <w:r>
        <w:rPr>
          <w:rFonts w:cstheme="minorHAnsi"/>
        </w:rPr>
        <w:lastRenderedPageBreak/>
        <w:t xml:space="preserve">The evidence for change is not compelling </w:t>
      </w:r>
    </w:p>
    <w:p w14:paraId="2EF709FD" w14:textId="77777777" w:rsidR="004E051C" w:rsidRDefault="004E051C">
      <w:pPr>
        <w:pStyle w:val="BodyText"/>
      </w:pPr>
      <w:r w:rsidRPr="00EF753B">
        <w:t xml:space="preserve">As a principle, ratio and qualification requirements should aim to ensure </w:t>
      </w:r>
      <w:r>
        <w:t xml:space="preserve">that </w:t>
      </w:r>
      <w:r w:rsidRPr="00EF753B">
        <w:t>children receive ECEC of the quality required to support their developmental and educational outcomes</w:t>
      </w:r>
      <w:r w:rsidRPr="000C0CF2">
        <w:t>.</w:t>
      </w:r>
      <w:r w:rsidRPr="00570AC4">
        <w:t xml:space="preserve"> </w:t>
      </w:r>
      <w:r>
        <w:t>But ratio and qualification requirements should also not impose unnecessary costs on families, services or governments. Nor should they</w:t>
      </w:r>
      <w:r w:rsidRPr="00EF7DA7">
        <w:t xml:space="preserve"> place unnecessary restrictions on the supply of educators or of ECEC</w:t>
      </w:r>
      <w:r>
        <w:t>. In other words, the benefits must outweigh the costs.</w:t>
      </w:r>
    </w:p>
    <w:p w14:paraId="5647024E" w14:textId="77777777" w:rsidR="004E051C" w:rsidRPr="000B7615" w:rsidRDefault="004E051C">
      <w:pPr>
        <w:pStyle w:val="BodyText"/>
        <w:rPr>
          <w:spacing w:val="-4"/>
        </w:rPr>
      </w:pPr>
      <w:r w:rsidRPr="000B7615">
        <w:rPr>
          <w:spacing w:val="-4"/>
        </w:rPr>
        <w:t xml:space="preserve">Quantifying these costs and benefits is challenging, given the uncertainty involved. Paper 1 examined the evidence base on the effect of ratio and qualification requirements on children’s outcomes and found insufficient evidence to determine optimal requirements. It did not find a compelling case in the literature for raising requirements under the NQF, but noted the literature is not capable of ruling out risks from reducing them. </w:t>
      </w:r>
    </w:p>
    <w:p w14:paraId="7D304A8A" w14:textId="77777777" w:rsidR="004E051C" w:rsidRPr="00121309" w:rsidRDefault="004E051C">
      <w:pPr>
        <w:pStyle w:val="BodyText"/>
      </w:pPr>
      <w:r>
        <w:t>A</w:t>
      </w:r>
      <w:r w:rsidRPr="00170C3B">
        <w:t xml:space="preserve">n analysis submitted by Bray and </w:t>
      </w:r>
      <w:r w:rsidRPr="00364F65">
        <w:t>Gray (sub.</w:t>
      </w:r>
      <w:r>
        <w:t> </w:t>
      </w:r>
      <w:r w:rsidRPr="00364F65">
        <w:t>14, pp. 45–46; 57–62) suggested Australia’s ratio requirements for centre</w:t>
      </w:r>
      <w:r w:rsidRPr="00364F65">
        <w:noBreakHyphen/>
        <w:t>based services</w:t>
      </w:r>
      <w:r w:rsidRPr="00D10F0A">
        <w:rPr>
          <w:rStyle w:val="FootnoteReference"/>
        </w:rPr>
        <w:footnoteReference w:id="8"/>
      </w:r>
      <w:r w:rsidRPr="00364F65">
        <w:t xml:space="preserve"> are not significantly out of step with those in other comparable countries. For children aged</w:t>
      </w:r>
      <w:r w:rsidRPr="00170C3B">
        <w:t xml:space="preserve"> under </w:t>
      </w:r>
      <w:r>
        <w:t>two</w:t>
      </w:r>
      <w:r w:rsidRPr="00170C3B">
        <w:t xml:space="preserve"> years, Australia’s ratio requirements are higher than </w:t>
      </w:r>
      <w:r>
        <w:t>some</w:t>
      </w:r>
      <w:r w:rsidRPr="00170C3B">
        <w:t xml:space="preserve"> </w:t>
      </w:r>
      <w:r w:rsidRPr="00EF753B">
        <w:t xml:space="preserve">comparable </w:t>
      </w:r>
      <w:r w:rsidRPr="00170C3B">
        <w:t xml:space="preserve">countries, although not </w:t>
      </w:r>
      <w:r>
        <w:t xml:space="preserve">the </w:t>
      </w:r>
      <w:r w:rsidRPr="00364F65">
        <w:t xml:space="preserve">highest. For </w:t>
      </w:r>
      <w:r>
        <w:t>children aged two years</w:t>
      </w:r>
      <w:r w:rsidRPr="00364F65">
        <w:t xml:space="preserve">, Australian requirements are broadly in line with others and for children </w:t>
      </w:r>
      <w:r>
        <w:t xml:space="preserve">aged three years, </w:t>
      </w:r>
      <w:r w:rsidRPr="00364F65">
        <w:t>they are lower. And f</w:t>
      </w:r>
      <w:r w:rsidRPr="005E767C">
        <w:t>or chil</w:t>
      </w:r>
      <w:r w:rsidRPr="00170C3B">
        <w:t xml:space="preserve">dren aged </w:t>
      </w:r>
      <w:r>
        <w:t>four</w:t>
      </w:r>
      <w:r w:rsidRPr="00170C3B">
        <w:t xml:space="preserve"> and </w:t>
      </w:r>
      <w:r>
        <w:t xml:space="preserve">five </w:t>
      </w:r>
      <w:r w:rsidRPr="00EF753B">
        <w:t>years</w:t>
      </w:r>
      <w:r w:rsidRPr="00170C3B">
        <w:t>, Australia’s ratio requirements tend to be higher.</w:t>
      </w:r>
    </w:p>
    <w:p w14:paraId="40A89907" w14:textId="77777777" w:rsidR="004E051C" w:rsidRDefault="004E051C">
      <w:pPr>
        <w:pStyle w:val="BodyText"/>
      </w:pPr>
      <w:r>
        <w:t xml:space="preserve">In the absence of compelling evidence, the Commission cannot recommend significant changes to staffing </w:t>
      </w:r>
      <w:r w:rsidRPr="004A0861">
        <w:t>requirements.</w:t>
      </w:r>
    </w:p>
    <w:p w14:paraId="1F0375FD" w14:textId="77777777" w:rsidR="004E051C" w:rsidRDefault="004E051C">
      <w:pPr>
        <w:pStyle w:val="BodyText"/>
      </w:pPr>
      <w:r>
        <w:t>However, there remains a need to ensure the system is sufficiently flexible to accommodate the varying contexts and circumstances services operate within. For example, it may be reasonable to allow a service to operate below minimum qualification requirements where an inability to find staff would result in the service closing and children being unable to attend. To this end, the current waiver system provides a degree of flexibility to services to operate below certain requirements, where they are able to demonstrate there is no risk to the safety of children.</w:t>
      </w:r>
    </w:p>
    <w:p w14:paraId="62D23995" w14:textId="77777777" w:rsidR="004E051C" w:rsidRDefault="004E051C">
      <w:pPr>
        <w:pStyle w:val="BodyText"/>
      </w:pPr>
      <w:r>
        <w:t>While the Commission acknowledges concerns from some participants about the impact of staffing requirements in regional areas, it does not consider there should be a different standard for regional providers. Doing so would risk entrenching inequities between regions and children. These circumstances would be more appropriately accommodated through the waiver system.</w:t>
      </w:r>
    </w:p>
    <w:p w14:paraId="35F7FEB1" w14:textId="77777777" w:rsidR="004E051C" w:rsidRPr="001B5886" w:rsidRDefault="004E051C">
      <w:pPr>
        <w:pStyle w:val="BodyText"/>
      </w:pPr>
      <w:r w:rsidRPr="007F499A">
        <w:t xml:space="preserve">The Commission also acknowledges concerns </w:t>
      </w:r>
      <w:r w:rsidRPr="00364C34">
        <w:t>from inquiry participants</w:t>
      </w:r>
      <w:r w:rsidRPr="007F499A">
        <w:t xml:space="preserve"> about the inconsistency in qualification requirements in OSHC</w:t>
      </w:r>
      <w:r>
        <w:t xml:space="preserve"> and</w:t>
      </w:r>
      <w:r w:rsidRPr="007F499A">
        <w:t xml:space="preserve"> notes </w:t>
      </w:r>
      <w:r>
        <w:t>that</w:t>
      </w:r>
      <w:r w:rsidRPr="007F499A">
        <w:t xml:space="preserve"> ACECQA</w:t>
      </w:r>
      <w:r>
        <w:t>’s staffing requirements review is considering these requirements</w:t>
      </w:r>
      <w:r w:rsidRPr="007F499A">
        <w:t>, with the aim of considering whether there could be greater consistency.</w:t>
      </w:r>
    </w:p>
    <w:p w14:paraId="05F2A5EB" w14:textId="77777777" w:rsidR="004E051C" w:rsidRDefault="004E051C">
      <w:pPr>
        <w:pStyle w:val="Heading3"/>
      </w:pPr>
      <w:r>
        <w:t xml:space="preserve">Most services are covered by the </w:t>
      </w:r>
      <w:proofErr w:type="gramStart"/>
      <w:r>
        <w:t>NQF</w:t>
      </w:r>
      <w:proofErr w:type="gramEnd"/>
      <w:r>
        <w:t xml:space="preserve"> but some are excluded</w:t>
      </w:r>
    </w:p>
    <w:p w14:paraId="48D3E523" w14:textId="77777777" w:rsidR="004E051C" w:rsidRPr="00725AAA" w:rsidRDefault="004E051C">
      <w:pPr>
        <w:pStyle w:val="BodyText"/>
        <w:rPr>
          <w:rFonts w:cstheme="minorHAnsi"/>
        </w:rPr>
      </w:pPr>
      <w:r w:rsidRPr="00725AAA">
        <w:rPr>
          <w:rFonts w:cstheme="minorHAnsi"/>
        </w:rPr>
        <w:t xml:space="preserve">While the majority of ECEC services are covered by the NQF, </w:t>
      </w:r>
      <w:r>
        <w:rPr>
          <w:rFonts w:cstheme="minorHAnsi"/>
        </w:rPr>
        <w:t xml:space="preserve">as noted above, </w:t>
      </w:r>
      <w:r w:rsidRPr="00725AAA">
        <w:rPr>
          <w:rFonts w:cstheme="minorHAnsi"/>
        </w:rPr>
        <w:t>some services are excluded.</w:t>
      </w:r>
    </w:p>
    <w:p w14:paraId="040A5579" w14:textId="77777777" w:rsidR="004E051C" w:rsidRDefault="004E051C">
      <w:pPr>
        <w:pStyle w:val="BodyText"/>
        <w:rPr>
          <w:rFonts w:cstheme="minorHAnsi"/>
        </w:rPr>
      </w:pPr>
      <w:r>
        <w:rPr>
          <w:rFonts w:cstheme="minorHAnsi"/>
        </w:rPr>
        <w:t xml:space="preserve">During its establishment, governments envisaged the NQF would </w:t>
      </w:r>
      <w:r w:rsidRPr="00725AAA">
        <w:rPr>
          <w:rFonts w:cstheme="minorHAnsi"/>
        </w:rPr>
        <w:t xml:space="preserve">eventually encompass all ECEC service </w:t>
      </w:r>
      <w:r w:rsidRPr="00F314D7">
        <w:rPr>
          <w:rFonts w:cstheme="minorHAnsi"/>
        </w:rPr>
        <w:t xml:space="preserve">types </w:t>
      </w:r>
      <w:r w:rsidRPr="00210262">
        <w:rPr>
          <w:rFonts w:ascii="Arial" w:hAnsi="Arial" w:cs="Arial"/>
          <w:szCs w:val="24"/>
        </w:rPr>
        <w:t>(COAG 2009, p. 3)</w:t>
      </w:r>
      <w:r w:rsidRPr="00B44660">
        <w:rPr>
          <w:rFonts w:cstheme="minorHAnsi"/>
        </w:rPr>
        <w:t xml:space="preserve">. Given </w:t>
      </w:r>
      <w:r w:rsidRPr="00725AAA">
        <w:rPr>
          <w:rFonts w:cstheme="minorHAnsi"/>
        </w:rPr>
        <w:t>the diversity of the sector, the largest service types (in numbers of children) were incorporated first.</w:t>
      </w:r>
      <w:r>
        <w:rPr>
          <w:rFonts w:cstheme="minorHAnsi"/>
        </w:rPr>
        <w:t xml:space="preserve"> Expanding the scope of the NQF to some out</w:t>
      </w:r>
      <w:r>
        <w:rPr>
          <w:rFonts w:cstheme="minorHAnsi"/>
        </w:rPr>
        <w:noBreakHyphen/>
        <w:t>of</w:t>
      </w:r>
      <w:r>
        <w:rPr>
          <w:rFonts w:cstheme="minorHAnsi"/>
        </w:rPr>
        <w:noBreakHyphen/>
        <w:t xml:space="preserve">scope services was considered in the 2014 and 2019 NQF reviews </w:t>
      </w:r>
      <w:r w:rsidRPr="001C66FB">
        <w:rPr>
          <w:rFonts w:ascii="Arial" w:hAnsi="Arial" w:cs="Arial"/>
          <w:szCs w:val="24"/>
        </w:rPr>
        <w:t>(ESA 2017, pp. 52–53, 2019, pp. 12–13, 2020, p. 23)</w:t>
      </w:r>
      <w:r w:rsidRPr="000005BE">
        <w:rPr>
          <w:rFonts w:cstheme="minorHAnsi"/>
        </w:rPr>
        <w:t>. However</w:t>
      </w:r>
      <w:r>
        <w:rPr>
          <w:rFonts w:cstheme="minorHAnsi"/>
        </w:rPr>
        <w:t>, no changes resulted from either review.</w:t>
      </w:r>
    </w:p>
    <w:p w14:paraId="1B7DA9B3" w14:textId="77777777" w:rsidR="004E051C" w:rsidRDefault="004E051C">
      <w:pPr>
        <w:pStyle w:val="BodyText"/>
        <w:rPr>
          <w:rFonts w:cstheme="minorHAnsi"/>
        </w:rPr>
      </w:pPr>
      <w:r>
        <w:rPr>
          <w:rFonts w:cstheme="minorHAnsi"/>
        </w:rPr>
        <w:t>P</w:t>
      </w:r>
      <w:r w:rsidRPr="009D6ED6">
        <w:rPr>
          <w:rFonts w:cstheme="minorHAnsi"/>
        </w:rPr>
        <w:t>reschools</w:t>
      </w:r>
      <w:r>
        <w:rPr>
          <w:rFonts w:cstheme="minorHAnsi"/>
        </w:rPr>
        <w:t xml:space="preserve"> that are part of the school system</w:t>
      </w:r>
      <w:r w:rsidRPr="009D6ED6">
        <w:rPr>
          <w:rFonts w:cstheme="minorHAnsi"/>
        </w:rPr>
        <w:t xml:space="preserve"> in Western Australia (WA) and Tasmania sit outside the NQF. But commitments by the respective state governments to regulate using an approach consistent with the </w:t>
      </w:r>
      <w:r w:rsidRPr="009D6ED6">
        <w:rPr>
          <w:rFonts w:cstheme="minorHAnsi"/>
        </w:rPr>
        <w:lastRenderedPageBreak/>
        <w:t>NQS are likely to be sufficient</w:t>
      </w:r>
      <w:r w:rsidRPr="006E2A3B">
        <w:rPr>
          <w:rFonts w:cstheme="minorHAnsi"/>
          <w:color w:val="FF0000"/>
        </w:rPr>
        <w:t xml:space="preserve"> </w:t>
      </w:r>
      <w:r w:rsidRPr="00643884">
        <w:rPr>
          <w:rFonts w:ascii="Arial" w:hAnsi="Arial" w:cs="Arial"/>
          <w:szCs w:val="24"/>
        </w:rPr>
        <w:t>(State of Tasmania and Commonwealth of Australia 2023; State of Western Australia and Commonwealth of Australia 2023)</w:t>
      </w:r>
      <w:r w:rsidRPr="009D6ED6">
        <w:rPr>
          <w:rFonts w:cstheme="minorHAnsi"/>
        </w:rPr>
        <w:t>.</w:t>
      </w:r>
      <w:r>
        <w:rPr>
          <w:rFonts w:cstheme="minorHAnsi"/>
        </w:rPr>
        <w:t xml:space="preserve"> Other </w:t>
      </w:r>
      <w:r w:rsidRPr="00725AAA">
        <w:rPr>
          <w:rFonts w:cstheme="minorHAnsi"/>
        </w:rPr>
        <w:t xml:space="preserve">excluded services do not operate in a similar way to NQF regulated services. For example, excluded services include personal arrangements </w:t>
      </w:r>
      <w:r>
        <w:rPr>
          <w:rFonts w:cstheme="minorHAnsi"/>
        </w:rPr>
        <w:t xml:space="preserve">(such as grandparents and nannies), </w:t>
      </w:r>
      <w:r w:rsidRPr="00725AAA">
        <w:rPr>
          <w:rFonts w:cstheme="minorHAnsi"/>
        </w:rPr>
        <w:t>and care provided on an ad hoc basis where the parent is readily available (such as a creche at a gym). Excluding services such as these from the NQF is appropriate.</w:t>
      </w:r>
    </w:p>
    <w:p w14:paraId="3EE3E7FB" w14:textId="77777777" w:rsidR="004E051C" w:rsidRDefault="004E051C">
      <w:pPr>
        <w:pStyle w:val="BodyText"/>
        <w:rPr>
          <w:rFonts w:cstheme="minorHAnsi"/>
        </w:rPr>
      </w:pPr>
      <w:r>
        <w:rPr>
          <w:rFonts w:cstheme="minorHAnsi"/>
        </w:rPr>
        <w:t>However, a number of out</w:t>
      </w:r>
      <w:r>
        <w:rPr>
          <w:rFonts w:cstheme="minorHAnsi"/>
        </w:rPr>
        <w:noBreakHyphen/>
        <w:t>of</w:t>
      </w:r>
      <w:r>
        <w:rPr>
          <w:rFonts w:cstheme="minorHAnsi"/>
        </w:rPr>
        <w:noBreakHyphen/>
        <w:t xml:space="preserve">scope services </w:t>
      </w:r>
      <w:r w:rsidRPr="00617A6A">
        <w:rPr>
          <w:rFonts w:cstheme="minorHAnsi"/>
        </w:rPr>
        <w:t>are CCS approved</w:t>
      </w:r>
      <w:r w:rsidRPr="008E2A2B">
        <w:rPr>
          <w:rFonts w:cstheme="minorHAnsi"/>
        </w:rPr>
        <w:t xml:space="preserve">. </w:t>
      </w:r>
      <w:r w:rsidRPr="00867457">
        <w:rPr>
          <w:rFonts w:cstheme="minorHAnsi"/>
        </w:rPr>
        <w:t xml:space="preserve">Among others, these include In Home Care (IHC) services, </w:t>
      </w:r>
      <w:r>
        <w:rPr>
          <w:rFonts w:cstheme="minorHAnsi"/>
        </w:rPr>
        <w:t xml:space="preserve">some </w:t>
      </w:r>
      <w:r w:rsidRPr="00867457">
        <w:rPr>
          <w:rFonts w:cstheme="minorHAnsi"/>
        </w:rPr>
        <w:t xml:space="preserve">former Budget Based Funded (BBF) services, </w:t>
      </w:r>
      <w:r>
        <w:rPr>
          <w:rFonts w:cstheme="minorHAnsi"/>
        </w:rPr>
        <w:t xml:space="preserve">some </w:t>
      </w:r>
      <w:r w:rsidRPr="00867457">
        <w:rPr>
          <w:rFonts w:cstheme="minorHAnsi"/>
        </w:rPr>
        <w:t>former Indigenous Advancement Strategy (IAS) services, and occasional care services.</w:t>
      </w:r>
      <w:r w:rsidRPr="008E2A2B">
        <w:rPr>
          <w:rFonts w:cstheme="minorHAnsi"/>
        </w:rPr>
        <w:t xml:space="preserve"> A number of these services </w:t>
      </w:r>
      <w:r>
        <w:rPr>
          <w:rFonts w:cstheme="minorHAnsi"/>
        </w:rPr>
        <w:t xml:space="preserve">receive supplementary funding through the Community </w:t>
      </w:r>
      <w:proofErr w:type="gramStart"/>
      <w:r>
        <w:rPr>
          <w:rFonts w:cstheme="minorHAnsi"/>
        </w:rPr>
        <w:t>Child Care</w:t>
      </w:r>
      <w:proofErr w:type="gramEnd"/>
      <w:r>
        <w:rPr>
          <w:rFonts w:cstheme="minorHAnsi"/>
        </w:rPr>
        <w:t xml:space="preserve"> Fund Restricted grant </w:t>
      </w:r>
      <w:r w:rsidRPr="00F32A32">
        <w:rPr>
          <w:rFonts w:cstheme="minorHAnsi"/>
        </w:rPr>
        <w:t>(CCCF</w:t>
      </w:r>
      <w:r w:rsidRPr="001135B6">
        <w:rPr>
          <w:rFonts w:cstheme="minorHAnsi"/>
        </w:rPr>
        <w:t>-</w:t>
      </w:r>
      <w:r w:rsidRPr="00F32A32">
        <w:rPr>
          <w:rFonts w:cstheme="minorHAnsi"/>
        </w:rPr>
        <w:t>R).</w:t>
      </w:r>
      <w:r>
        <w:rPr>
          <w:rFonts w:cstheme="minorHAnsi"/>
        </w:rPr>
        <w:t xml:space="preserve"> </w:t>
      </w:r>
    </w:p>
    <w:p w14:paraId="48476B9D" w14:textId="77777777" w:rsidR="004E051C" w:rsidRDefault="004E051C">
      <w:pPr>
        <w:pStyle w:val="BodyText"/>
        <w:rPr>
          <w:rFonts w:cstheme="minorHAnsi"/>
        </w:rPr>
      </w:pPr>
      <w:r>
        <w:rPr>
          <w:rFonts w:cstheme="minorHAnsi"/>
        </w:rPr>
        <w:t>It is reasonable to expect these services be covered by some form of quality regulation or assurance.</w:t>
      </w:r>
    </w:p>
    <w:p w14:paraId="76F8414B" w14:textId="77777777" w:rsidR="004E051C" w:rsidRDefault="004E051C">
      <w:pPr>
        <w:pStyle w:val="Heading4"/>
        <w:rPr>
          <w:rFonts w:cstheme="minorHAnsi"/>
        </w:rPr>
      </w:pPr>
      <w:r>
        <w:rPr>
          <w:rFonts w:cstheme="minorHAnsi"/>
        </w:rPr>
        <w:t>Services approved for CCS should be subject to some form of quality regulation</w:t>
      </w:r>
    </w:p>
    <w:p w14:paraId="2CEDE397" w14:textId="77777777" w:rsidR="004E051C" w:rsidRPr="0007481D" w:rsidRDefault="004E051C">
      <w:pPr>
        <w:pStyle w:val="BodyText"/>
        <w:rPr>
          <w:rFonts w:cstheme="minorHAnsi"/>
        </w:rPr>
      </w:pPr>
      <w:r w:rsidRPr="0007481D">
        <w:rPr>
          <w:rFonts w:cstheme="minorHAnsi"/>
        </w:rPr>
        <w:t>As a starting point, it might seem appropriate for all CCS approved services to be covered by the NQF.</w:t>
      </w:r>
    </w:p>
    <w:p w14:paraId="3D40EFBF" w14:textId="77777777" w:rsidR="004E051C" w:rsidRPr="0007481D" w:rsidRDefault="004E051C">
      <w:pPr>
        <w:pStyle w:val="BodyText"/>
        <w:rPr>
          <w:rFonts w:cstheme="minorHAnsi"/>
        </w:rPr>
      </w:pPr>
      <w:r w:rsidRPr="0007481D">
        <w:rPr>
          <w:rFonts w:cstheme="minorHAnsi"/>
        </w:rPr>
        <w:t>But the NQF may not be fit</w:t>
      </w:r>
      <w:r>
        <w:rPr>
          <w:rFonts w:cstheme="minorHAnsi"/>
        </w:rPr>
        <w:noBreakHyphen/>
      </w:r>
      <w:r w:rsidRPr="0007481D">
        <w:rPr>
          <w:rFonts w:cstheme="minorHAnsi"/>
        </w:rPr>
        <w:t>for</w:t>
      </w:r>
      <w:r>
        <w:rPr>
          <w:rFonts w:cstheme="minorHAnsi"/>
        </w:rPr>
        <w:noBreakHyphen/>
      </w:r>
      <w:r w:rsidRPr="0007481D">
        <w:rPr>
          <w:rFonts w:cstheme="minorHAnsi"/>
        </w:rPr>
        <w:t>purpose for out</w:t>
      </w:r>
      <w:r>
        <w:rPr>
          <w:rFonts w:cstheme="minorHAnsi"/>
        </w:rPr>
        <w:noBreakHyphen/>
      </w:r>
      <w:r w:rsidRPr="0007481D">
        <w:rPr>
          <w:rFonts w:cstheme="minorHAnsi"/>
        </w:rPr>
        <w:t>of</w:t>
      </w:r>
      <w:r>
        <w:rPr>
          <w:rFonts w:cstheme="minorHAnsi"/>
        </w:rPr>
        <w:noBreakHyphen/>
      </w:r>
      <w:r w:rsidRPr="0007481D">
        <w:rPr>
          <w:rFonts w:cstheme="minorHAnsi"/>
        </w:rPr>
        <w:t>scope services, many of which operate in different contexts to other services covered by the NQF. For example, it is not necessarily reasonable to expect IHC services to meet physical environment requirements under the NQF when IHC is delivered in a child’s home.</w:t>
      </w:r>
    </w:p>
    <w:p w14:paraId="7F3A4EB2" w14:textId="77777777" w:rsidR="004E051C" w:rsidRPr="0007481D" w:rsidRDefault="004E051C">
      <w:pPr>
        <w:pStyle w:val="BodyText"/>
        <w:rPr>
          <w:rFonts w:cstheme="minorHAnsi"/>
        </w:rPr>
      </w:pPr>
      <w:r w:rsidRPr="0007481D">
        <w:rPr>
          <w:rFonts w:cstheme="minorHAnsi"/>
        </w:rPr>
        <w:t>SNAICC’s submission raised concerns about the lack of a nationally consistent regulatory standard for Aboriginal and Torres Strait Islander services that fall outside of the NQF. However, it also noted:</w:t>
      </w:r>
    </w:p>
    <w:p w14:paraId="7AE9FA79" w14:textId="77777777" w:rsidR="004E051C" w:rsidRPr="00CF1746" w:rsidRDefault="004E051C">
      <w:pPr>
        <w:pStyle w:val="Quote"/>
        <w:rPr>
          <w:rFonts w:cstheme="minorHAnsi"/>
          <w:spacing w:val="-4"/>
        </w:rPr>
      </w:pPr>
      <w:r w:rsidRPr="00CF1746">
        <w:rPr>
          <w:spacing w:val="-4"/>
        </w:rPr>
        <w:t>efforts must be made to examine the requirements of the NQF in partnership with the Aboriginal and Torres Strait Islander sector and consideration must also be given to service types and contexts, specifically those services funded under the CCCF</w:t>
      </w:r>
      <w:r w:rsidRPr="00CF1746">
        <w:rPr>
          <w:spacing w:val="-4"/>
        </w:rPr>
        <w:noBreakHyphen/>
        <w:t>R, for which the NQF may not be an appropriate regulatory framework. Consideration should be given to developing a unique framework and standards which apply to Aboriginal and Torres Strait Islander ECEC services (sub. 133, p. 16).</w:t>
      </w:r>
    </w:p>
    <w:p w14:paraId="7D3ADEE0" w14:textId="77777777" w:rsidR="004E051C" w:rsidRDefault="004E051C">
      <w:pPr>
        <w:pStyle w:val="BodyText"/>
        <w:rPr>
          <w:rFonts w:cstheme="minorHAnsi"/>
        </w:rPr>
      </w:pPr>
      <w:r w:rsidRPr="00725AAA">
        <w:rPr>
          <w:rFonts w:cstheme="minorHAnsi"/>
        </w:rPr>
        <w:t xml:space="preserve">Incorporating </w:t>
      </w:r>
      <w:r>
        <w:rPr>
          <w:rFonts w:cstheme="minorHAnsi"/>
        </w:rPr>
        <w:t>out</w:t>
      </w:r>
      <w:r>
        <w:rPr>
          <w:rFonts w:cstheme="minorHAnsi"/>
        </w:rPr>
        <w:noBreakHyphen/>
        <w:t>of</w:t>
      </w:r>
      <w:r>
        <w:rPr>
          <w:rFonts w:cstheme="minorHAnsi"/>
        </w:rPr>
        <w:noBreakHyphen/>
        <w:t>scope</w:t>
      </w:r>
      <w:r w:rsidRPr="00725AAA">
        <w:rPr>
          <w:rFonts w:cstheme="minorHAnsi"/>
        </w:rPr>
        <w:t xml:space="preserve"> services into the NQF is likely to involve transition costs and may impose additional burden on services operating below NQF requirements</w:t>
      </w:r>
      <w:r w:rsidRPr="00C61AF7">
        <w:rPr>
          <w:rFonts w:cstheme="minorHAnsi"/>
        </w:rPr>
        <w:t xml:space="preserve">. </w:t>
      </w:r>
      <w:r w:rsidRPr="0007383E">
        <w:rPr>
          <w:rFonts w:cstheme="minorHAnsi"/>
        </w:rPr>
        <w:t xml:space="preserve">For example, services not </w:t>
      </w:r>
      <w:r>
        <w:rPr>
          <w:rFonts w:cstheme="minorHAnsi"/>
        </w:rPr>
        <w:t>m</w:t>
      </w:r>
      <w:r w:rsidRPr="0007383E">
        <w:rPr>
          <w:rFonts w:cstheme="minorHAnsi"/>
        </w:rPr>
        <w:t>eeting NQF staffing requirements may need to improve educator</w:t>
      </w:r>
      <w:r>
        <w:rPr>
          <w:rFonts w:cstheme="minorHAnsi"/>
        </w:rPr>
        <w:noBreakHyphen/>
      </w:r>
      <w:r w:rsidRPr="0007383E">
        <w:rPr>
          <w:rFonts w:cstheme="minorHAnsi"/>
        </w:rPr>
        <w:t>to</w:t>
      </w:r>
      <w:r>
        <w:rPr>
          <w:rFonts w:cstheme="minorHAnsi"/>
        </w:rPr>
        <w:noBreakHyphen/>
      </w:r>
      <w:r w:rsidRPr="0007383E">
        <w:rPr>
          <w:rFonts w:cstheme="minorHAnsi"/>
        </w:rPr>
        <w:t>child ratios or educator qualifications.</w:t>
      </w:r>
    </w:p>
    <w:p w14:paraId="56853F5E" w14:textId="77777777" w:rsidR="004E051C" w:rsidRDefault="004E051C">
      <w:pPr>
        <w:pStyle w:val="BodyText"/>
        <w:rPr>
          <w:rFonts w:cstheme="minorHAnsi"/>
        </w:rPr>
      </w:pPr>
      <w:r>
        <w:rPr>
          <w:rFonts w:cstheme="minorHAnsi"/>
        </w:rPr>
        <w:t>Given these considerations, the Commission is of the view that services approved for the CCS should be subject to some form of quality assurance or regulation, although this may not be the NQF.</w:t>
      </w:r>
    </w:p>
    <w:p w14:paraId="50DCED10" w14:textId="77777777" w:rsidR="004E051C" w:rsidRDefault="004E051C">
      <w:pPr>
        <w:pStyle w:val="Heading4"/>
      </w:pPr>
      <w:r>
        <w:t>Out</w:t>
      </w:r>
      <w:r>
        <w:noBreakHyphen/>
        <w:t>of</w:t>
      </w:r>
      <w:r>
        <w:noBreakHyphen/>
        <w:t>scope services approved for CCS are already subject to some regulatory oversight</w:t>
      </w:r>
    </w:p>
    <w:p w14:paraId="467F5894" w14:textId="77777777" w:rsidR="004E051C" w:rsidRPr="007C5CC4" w:rsidRDefault="004E051C">
      <w:pPr>
        <w:pStyle w:val="BodyText"/>
        <w:rPr>
          <w:rFonts w:cstheme="minorHAnsi"/>
        </w:rPr>
      </w:pPr>
      <w:r>
        <w:rPr>
          <w:rFonts w:cstheme="minorHAnsi"/>
        </w:rPr>
        <w:t xml:space="preserve">Under section 45 of the </w:t>
      </w:r>
      <w:proofErr w:type="gramStart"/>
      <w:r w:rsidRPr="007C5CC4">
        <w:rPr>
          <w:rFonts w:cstheme="minorHAnsi"/>
        </w:rPr>
        <w:t>Child Care</w:t>
      </w:r>
      <w:proofErr w:type="gramEnd"/>
      <w:r w:rsidRPr="007C5CC4">
        <w:rPr>
          <w:rFonts w:cstheme="minorHAnsi"/>
        </w:rPr>
        <w:t xml:space="preserve"> Subsidy Minister’s Rules 2017</w:t>
      </w:r>
      <w:r w:rsidRPr="008168FA">
        <w:rPr>
          <w:rFonts w:cstheme="minorHAnsi"/>
        </w:rPr>
        <w:t xml:space="preserve"> </w:t>
      </w:r>
      <w:r w:rsidRPr="007C5CC4">
        <w:rPr>
          <w:rFonts w:cstheme="minorHAnsi"/>
        </w:rPr>
        <w:t xml:space="preserve">(CCS Minister’s </w:t>
      </w:r>
      <w:r>
        <w:rPr>
          <w:rFonts w:cstheme="minorHAnsi"/>
        </w:rPr>
        <w:t>R</w:t>
      </w:r>
      <w:r w:rsidRPr="007C5CC4">
        <w:rPr>
          <w:rFonts w:cstheme="minorHAnsi"/>
        </w:rPr>
        <w:t xml:space="preserve">ules), to be approved for the purposes of CCS, services not in scope of the NQF must either: </w:t>
      </w:r>
    </w:p>
    <w:p w14:paraId="1E75F079" w14:textId="77777777" w:rsidR="004E051C" w:rsidRPr="007C5CC4" w:rsidRDefault="004E051C" w:rsidP="00E01114">
      <w:pPr>
        <w:pStyle w:val="ListBullet"/>
      </w:pPr>
      <w:r w:rsidRPr="007C5CC4">
        <w:t>hold a state or territory regulatory approval to operate</w:t>
      </w:r>
    </w:p>
    <w:p w14:paraId="2D97091B" w14:textId="77777777" w:rsidR="004E051C" w:rsidRPr="007C5CC4" w:rsidRDefault="004E051C" w:rsidP="00E01114">
      <w:pPr>
        <w:pStyle w:val="ListBullet"/>
      </w:pPr>
      <w:r w:rsidRPr="007C5CC4">
        <w:t xml:space="preserve">be a former BBF or former IAS service </w:t>
      </w:r>
    </w:p>
    <w:p w14:paraId="16451EA9" w14:textId="5C5F4D00" w:rsidR="004E051C" w:rsidRPr="007C5CC4" w:rsidRDefault="004E051C" w:rsidP="00E01114">
      <w:pPr>
        <w:pStyle w:val="ListBullet"/>
      </w:pPr>
      <w:r w:rsidRPr="007C5CC4">
        <w:t xml:space="preserve">be an IHC service </w:t>
      </w:r>
      <w:r w:rsidRPr="003F6A8B">
        <w:t xml:space="preserve">(DoE, </w:t>
      </w:r>
      <w:r w:rsidR="00707269" w:rsidRPr="003F6A8B">
        <w:rPr>
          <w:rFonts w:cstheme="minorHAnsi"/>
        </w:rPr>
        <w:t>pers. comm.</w:t>
      </w:r>
      <w:r w:rsidRPr="003F6A8B">
        <w:t>, 8 November 2023</w:t>
      </w:r>
      <w:r w:rsidRPr="007C5CC4">
        <w:t xml:space="preserve">). </w:t>
      </w:r>
    </w:p>
    <w:p w14:paraId="74B608AA" w14:textId="77777777" w:rsidR="004E051C" w:rsidRPr="00363D39" w:rsidRDefault="004E051C">
      <w:pPr>
        <w:pStyle w:val="BodyText"/>
      </w:pPr>
      <w:r w:rsidRPr="007C5CC4">
        <w:rPr>
          <w:rFonts w:cstheme="minorHAnsi"/>
        </w:rPr>
        <w:t xml:space="preserve">All of these services are subject to some form of regulatory oversight, either through state and territory regulation, or by the Commonwealth through the CCS Minister’s </w:t>
      </w:r>
      <w:r>
        <w:rPr>
          <w:rFonts w:cstheme="minorHAnsi"/>
        </w:rPr>
        <w:t>R</w:t>
      </w:r>
      <w:r w:rsidRPr="007C5CC4">
        <w:rPr>
          <w:rFonts w:cstheme="minorHAnsi"/>
        </w:rPr>
        <w:t>ules</w:t>
      </w:r>
      <w:r>
        <w:rPr>
          <w:rFonts w:cstheme="minorHAnsi"/>
        </w:rPr>
        <w:t xml:space="preserve">. </w:t>
      </w:r>
      <w:r w:rsidRPr="001B7829">
        <w:rPr>
          <w:rFonts w:cstheme="minorHAnsi"/>
        </w:rPr>
        <w:t xml:space="preserve">Where </w:t>
      </w:r>
      <w:r>
        <w:rPr>
          <w:rFonts w:cstheme="minorHAnsi"/>
        </w:rPr>
        <w:t xml:space="preserve">a service is out of scope of the NQF and is not regulated by states and territories or under the CCS Minister’s Rules, it is ineligible to </w:t>
      </w:r>
      <w:r w:rsidRPr="005D00E3">
        <w:rPr>
          <w:rFonts w:cstheme="minorHAnsi"/>
        </w:rPr>
        <w:t>receive CCS (</w:t>
      </w:r>
      <w:r w:rsidRPr="003F6A8B">
        <w:rPr>
          <w:rFonts w:cstheme="minorHAnsi"/>
        </w:rPr>
        <w:t>DoE, pers. comm., 8 November 2023</w:t>
      </w:r>
      <w:r w:rsidRPr="005D00E3">
        <w:rPr>
          <w:rFonts w:cstheme="minorHAnsi"/>
        </w:rPr>
        <w:t xml:space="preserve">). </w:t>
      </w:r>
    </w:p>
    <w:p w14:paraId="067768B5" w14:textId="77777777" w:rsidR="004E051C" w:rsidRPr="002D0CAD" w:rsidRDefault="004E051C">
      <w:pPr>
        <w:pStyle w:val="Heading5"/>
      </w:pPr>
      <w:r>
        <w:lastRenderedPageBreak/>
        <w:t>State and territory regulation</w:t>
      </w:r>
    </w:p>
    <w:p w14:paraId="2DF8A07A" w14:textId="77777777" w:rsidR="004E051C" w:rsidRDefault="004E051C">
      <w:pPr>
        <w:pStyle w:val="BodyText"/>
        <w:rPr>
          <w:rFonts w:cstheme="minorHAnsi"/>
        </w:rPr>
      </w:pPr>
      <w:r>
        <w:rPr>
          <w:rFonts w:cstheme="minorHAnsi"/>
        </w:rPr>
        <w:t>State and territory governments regulate some out</w:t>
      </w:r>
      <w:r>
        <w:rPr>
          <w:rFonts w:cstheme="minorHAnsi"/>
        </w:rPr>
        <w:noBreakHyphen/>
        <w:t>of</w:t>
      </w:r>
      <w:r>
        <w:rPr>
          <w:rFonts w:cstheme="minorHAnsi"/>
        </w:rPr>
        <w:noBreakHyphen/>
        <w:t xml:space="preserve">scope services. </w:t>
      </w:r>
      <w:r w:rsidRPr="00DB1DB9">
        <w:rPr>
          <w:rFonts w:cstheme="minorHAnsi"/>
        </w:rPr>
        <w:t>For example, New South Wales regulates occasional care, mobile services</w:t>
      </w:r>
      <w:r w:rsidRPr="00D10F0A">
        <w:rPr>
          <w:rStyle w:val="FootnoteReference"/>
        </w:rPr>
        <w:footnoteReference w:id="9"/>
      </w:r>
      <w:r w:rsidRPr="00DB1DB9">
        <w:rPr>
          <w:rFonts w:cstheme="minorHAnsi"/>
        </w:rPr>
        <w:t xml:space="preserve"> and Multipurpose Aboriginal Children’s Services (a former BBF service type) under the </w:t>
      </w:r>
      <w:r w:rsidRPr="00DB1DB9">
        <w:rPr>
          <w:rFonts w:cstheme="minorHAnsi"/>
          <w:i/>
          <w:iCs/>
        </w:rPr>
        <w:t>Children (Education and Care Services) Supplementary Provisions Act 2011 (NSW)</w:t>
      </w:r>
      <w:r w:rsidRPr="00DB1DB9">
        <w:rPr>
          <w:rFonts w:cstheme="minorHAnsi"/>
        </w:rPr>
        <w:t xml:space="preserve"> and Children (Education and Care Services) Supplementary Provisions Regulation 2019 (NSW) </w:t>
      </w:r>
      <w:r w:rsidRPr="00A23E0D">
        <w:rPr>
          <w:rFonts w:ascii="Arial" w:hAnsi="Arial" w:cs="Arial"/>
          <w:szCs w:val="24"/>
        </w:rPr>
        <w:t>(NSW Department of Education 2023f)</w:t>
      </w:r>
      <w:r w:rsidRPr="00DB1DB9">
        <w:rPr>
          <w:rFonts w:cstheme="minorHAnsi"/>
        </w:rPr>
        <w:t>.</w:t>
      </w:r>
      <w:r>
        <w:rPr>
          <w:rFonts w:cstheme="minorHAnsi"/>
        </w:rPr>
        <w:t xml:space="preserve"> </w:t>
      </w:r>
    </w:p>
    <w:p w14:paraId="36312F0E" w14:textId="77777777" w:rsidR="004E051C" w:rsidRPr="00363D39" w:rsidRDefault="004E051C">
      <w:pPr>
        <w:pStyle w:val="BodyText"/>
      </w:pPr>
      <w:r>
        <w:rPr>
          <w:rFonts w:cstheme="minorHAnsi"/>
        </w:rPr>
        <w:t xml:space="preserve">However, the types of services regulated by states and territories are inconsistent. For example, IHC services are regulated by the Tasmanian and South Australian governments, but no other state or territory government regulates IHC (DoE, sub. 90, p. 11). The Queensland Government does not regulate mobile services </w:t>
      </w:r>
      <w:r w:rsidRPr="00FE617F">
        <w:rPr>
          <w:rFonts w:ascii="Arial" w:hAnsi="Arial" w:cs="Arial"/>
          <w:szCs w:val="24"/>
        </w:rPr>
        <w:t>(Queensland Government 2023)</w:t>
      </w:r>
      <w:r>
        <w:rPr>
          <w:rFonts w:cstheme="minorHAnsi"/>
        </w:rPr>
        <w:t xml:space="preserve">. </w:t>
      </w:r>
    </w:p>
    <w:p w14:paraId="17E6F18C" w14:textId="77777777" w:rsidR="004E051C" w:rsidRPr="001B7829" w:rsidRDefault="004E051C">
      <w:pPr>
        <w:pStyle w:val="BodyText"/>
        <w:rPr>
          <w:rFonts w:cstheme="minorHAnsi"/>
        </w:rPr>
      </w:pPr>
      <w:r w:rsidRPr="001B7829">
        <w:rPr>
          <w:rFonts w:cstheme="minorHAnsi"/>
        </w:rPr>
        <w:t>This</w:t>
      </w:r>
      <w:r>
        <w:rPr>
          <w:rFonts w:cstheme="minorHAnsi"/>
        </w:rPr>
        <w:t xml:space="preserve"> means that where a service is not regulated by a state and territory and is not otherwise covered by the Minister’s Rules (for e</w:t>
      </w:r>
      <w:r w:rsidRPr="00104C83">
        <w:rPr>
          <w:rFonts w:cstheme="minorHAnsi"/>
        </w:rPr>
        <w:t xml:space="preserve">xample, a </w:t>
      </w:r>
      <w:r w:rsidRPr="002F6850">
        <w:rPr>
          <w:rFonts w:cstheme="minorHAnsi"/>
        </w:rPr>
        <w:t xml:space="preserve">Queensland mobile services that was </w:t>
      </w:r>
      <w:r w:rsidRPr="00104C83">
        <w:rPr>
          <w:rFonts w:cstheme="minorHAnsi"/>
        </w:rPr>
        <w:t>no</w:t>
      </w:r>
      <w:r w:rsidRPr="002F6850">
        <w:rPr>
          <w:rFonts w:cstheme="minorHAnsi"/>
        </w:rPr>
        <w:t>t formerly a</w:t>
      </w:r>
      <w:r w:rsidRPr="00104C83">
        <w:rPr>
          <w:rFonts w:cstheme="minorHAnsi"/>
        </w:rPr>
        <w:t xml:space="preserve"> BBF or IAS</w:t>
      </w:r>
      <w:r>
        <w:rPr>
          <w:rFonts w:cstheme="minorHAnsi"/>
        </w:rPr>
        <w:t xml:space="preserve"> </w:t>
      </w:r>
      <w:r w:rsidRPr="00104C83">
        <w:rPr>
          <w:rFonts w:cstheme="minorHAnsi"/>
        </w:rPr>
        <w:t>service), it is not eligible for CCS</w:t>
      </w:r>
      <w:r>
        <w:rPr>
          <w:rFonts w:cstheme="minorHAnsi"/>
        </w:rPr>
        <w:t xml:space="preserve"> approval</w:t>
      </w:r>
      <w:r w:rsidRPr="00104C83">
        <w:rPr>
          <w:rFonts w:cstheme="minorHAnsi"/>
        </w:rPr>
        <w:t>.</w:t>
      </w:r>
      <w:r>
        <w:rPr>
          <w:rFonts w:cstheme="minorHAnsi"/>
        </w:rPr>
        <w:t xml:space="preserve"> </w:t>
      </w:r>
    </w:p>
    <w:p w14:paraId="11CD49F3" w14:textId="77777777" w:rsidR="004E051C" w:rsidRPr="0092399A" w:rsidRDefault="004E051C">
      <w:pPr>
        <w:pStyle w:val="Heading5"/>
      </w:pPr>
      <w:r>
        <w:t>CCS Minister’s Rules</w:t>
      </w:r>
    </w:p>
    <w:p w14:paraId="0B9AAAB3" w14:textId="77777777" w:rsidR="004E051C" w:rsidRDefault="004E051C">
      <w:pPr>
        <w:pStyle w:val="BodyText"/>
      </w:pPr>
      <w:r>
        <w:rPr>
          <w:rFonts w:cstheme="minorHAnsi"/>
        </w:rPr>
        <w:t xml:space="preserve">Former BBF and IAS </w:t>
      </w:r>
      <w:r w:rsidRPr="0032301C">
        <w:rPr>
          <w:rFonts w:cstheme="minorHAnsi"/>
        </w:rPr>
        <w:t>services</w:t>
      </w:r>
      <w:r>
        <w:rPr>
          <w:rFonts w:cstheme="minorHAnsi"/>
        </w:rPr>
        <w:t xml:space="preserve"> </w:t>
      </w:r>
      <w:r w:rsidRPr="00B7405C">
        <w:rPr>
          <w:rFonts w:cstheme="minorHAnsi"/>
        </w:rPr>
        <w:t xml:space="preserve">not regulated by states and territories </w:t>
      </w:r>
      <w:r>
        <w:rPr>
          <w:rFonts w:cstheme="minorHAnsi"/>
        </w:rPr>
        <w:t xml:space="preserve">and all IHC </w:t>
      </w:r>
      <w:r w:rsidRPr="0032301C">
        <w:rPr>
          <w:rFonts w:cstheme="minorHAnsi"/>
        </w:rPr>
        <w:t>services</w:t>
      </w:r>
      <w:r>
        <w:rPr>
          <w:rFonts w:cstheme="minorHAnsi"/>
        </w:rPr>
        <w:t xml:space="preserve"> must meet quality requirements under the CCS Minister’s Rules to maintain CCS </w:t>
      </w:r>
      <w:r w:rsidRPr="007A75FE">
        <w:rPr>
          <w:rFonts w:cstheme="minorHAnsi"/>
        </w:rPr>
        <w:t>approval (</w:t>
      </w:r>
      <w:r w:rsidRPr="00DE7DB1">
        <w:rPr>
          <w:rFonts w:cstheme="minorHAnsi"/>
        </w:rPr>
        <w:t>DoE, pers. comm., 8 November</w:t>
      </w:r>
      <w:r>
        <w:rPr>
          <w:rFonts w:cstheme="minorHAnsi"/>
        </w:rPr>
        <w:t xml:space="preserve"> 2023</w:t>
      </w:r>
      <w:r w:rsidRPr="007A75FE">
        <w:rPr>
          <w:rFonts w:cstheme="minorHAnsi"/>
        </w:rPr>
        <w:t xml:space="preserve">). </w:t>
      </w:r>
      <w:r>
        <w:rPr>
          <w:rFonts w:cstheme="minorHAnsi"/>
        </w:rPr>
        <w:t>The rules</w:t>
      </w:r>
      <w:r w:rsidRPr="007A75FE">
        <w:rPr>
          <w:rFonts w:cstheme="minorHAnsi"/>
        </w:rPr>
        <w:t xml:space="preserve"> include requirements relating </w:t>
      </w:r>
      <w:r w:rsidRPr="007A75FE">
        <w:t>to providing an educati</w:t>
      </w:r>
      <w:r w:rsidRPr="00734F2A">
        <w:t>on program, supervision, safety, first aid, managing and reporting serious incidents and insurance.</w:t>
      </w:r>
      <w:r w:rsidRPr="000D07AF">
        <w:t xml:space="preserve"> </w:t>
      </w:r>
    </w:p>
    <w:p w14:paraId="47934A14" w14:textId="77777777" w:rsidR="004E051C" w:rsidRDefault="004E051C">
      <w:pPr>
        <w:pStyle w:val="BodyText"/>
        <w:rPr>
          <w:rFonts w:cstheme="minorHAnsi"/>
        </w:rPr>
      </w:pPr>
      <w:r w:rsidRPr="000D07AF">
        <w:t xml:space="preserve">IHC services must also meet conditions set out in the IHC guidelines, </w:t>
      </w:r>
      <w:r w:rsidRPr="009F65DD">
        <w:t xml:space="preserve">including qualification requirements, and former BBF and former IAS services are required to have a Quality Improvement Plan assessing their strengths and weakness against the NQS </w:t>
      </w:r>
      <w:r w:rsidRPr="0049754F">
        <w:rPr>
          <w:rFonts w:ascii="Arial" w:hAnsi="Arial" w:cs="Arial"/>
          <w:szCs w:val="24"/>
        </w:rPr>
        <w:t>(DoE 2022b, p. 15, 2022c, pp. 14; 28)</w:t>
      </w:r>
      <w:r w:rsidRPr="009F65DD">
        <w:t>.</w:t>
      </w:r>
      <w:r>
        <w:t xml:space="preserve"> </w:t>
      </w:r>
    </w:p>
    <w:p w14:paraId="788DABD1" w14:textId="77777777" w:rsidR="004E051C" w:rsidRDefault="004E051C">
      <w:pPr>
        <w:pStyle w:val="Heading4"/>
      </w:pPr>
      <w:r>
        <w:t>Ensuring fit</w:t>
      </w:r>
      <w:r>
        <w:noBreakHyphen/>
        <w:t>for</w:t>
      </w:r>
      <w:r>
        <w:noBreakHyphen/>
        <w:t>purpose regulation for out</w:t>
      </w:r>
      <w:r>
        <w:noBreakHyphen/>
        <w:t>of</w:t>
      </w:r>
      <w:r>
        <w:noBreakHyphen/>
        <w:t>scope services: a way forward</w:t>
      </w:r>
    </w:p>
    <w:p w14:paraId="6E0566DC" w14:textId="77777777" w:rsidR="004E051C" w:rsidRDefault="004E051C">
      <w:pPr>
        <w:pStyle w:val="BodyText"/>
        <w:rPr>
          <w:rFonts w:cstheme="minorHAnsi"/>
        </w:rPr>
      </w:pPr>
      <w:r>
        <w:rPr>
          <w:rFonts w:cstheme="minorHAnsi"/>
        </w:rPr>
        <w:t>While all CCS services out</w:t>
      </w:r>
      <w:r>
        <w:rPr>
          <w:rFonts w:cstheme="minorHAnsi"/>
        </w:rPr>
        <w:noBreakHyphen/>
        <w:t>of</w:t>
      </w:r>
      <w:r>
        <w:rPr>
          <w:rFonts w:cstheme="minorHAnsi"/>
        </w:rPr>
        <w:noBreakHyphen/>
        <w:t>scope of the NQF are currently subject to some form of regulatory oversight, the Commission’s recommendations to expand access to ECEC for all children are likely to expand the number of non</w:t>
      </w:r>
      <w:r>
        <w:rPr>
          <w:rFonts w:cstheme="minorHAnsi"/>
        </w:rPr>
        <w:noBreakHyphen/>
        <w:t xml:space="preserve">NQF regulated services. In some instances, this will likely require investments in services that are not currently subject to some </w:t>
      </w:r>
      <w:r w:rsidRPr="008F4947">
        <w:rPr>
          <w:rFonts w:cstheme="minorHAnsi"/>
        </w:rPr>
        <w:t>form of quality regulat</w:t>
      </w:r>
      <w:r w:rsidRPr="009E7EE7">
        <w:rPr>
          <w:rFonts w:cstheme="minorHAnsi"/>
        </w:rPr>
        <w:t>ion</w:t>
      </w:r>
      <w:r>
        <w:rPr>
          <w:rFonts w:cstheme="minorHAnsi"/>
        </w:rPr>
        <w:t>,</w:t>
      </w:r>
      <w:r w:rsidRPr="009E7EE7">
        <w:rPr>
          <w:rFonts w:cstheme="minorHAnsi"/>
        </w:rPr>
        <w:t xml:space="preserve"> </w:t>
      </w:r>
      <w:r>
        <w:rPr>
          <w:rFonts w:cstheme="minorHAnsi"/>
        </w:rPr>
        <w:t>such as some mobile services</w:t>
      </w:r>
      <w:r w:rsidRPr="009E7EE7">
        <w:rPr>
          <w:rFonts w:cstheme="minorHAnsi"/>
        </w:rPr>
        <w:t>.</w:t>
      </w:r>
      <w:r w:rsidRPr="008F4947">
        <w:rPr>
          <w:rFonts w:cstheme="minorHAnsi"/>
        </w:rPr>
        <w:t xml:space="preserve"> In the design of any future funding model or agreements for these services, the Australian Government should ensure there </w:t>
      </w:r>
      <w:r>
        <w:rPr>
          <w:rFonts w:cstheme="minorHAnsi"/>
        </w:rPr>
        <w:t>are</w:t>
      </w:r>
      <w:r w:rsidRPr="008F4947">
        <w:rPr>
          <w:rFonts w:cstheme="minorHAnsi"/>
        </w:rPr>
        <w:t xml:space="preserve"> appropriate mechanisms to ensure the quality of these services.</w:t>
      </w:r>
    </w:p>
    <w:p w14:paraId="60480287" w14:textId="77777777" w:rsidR="004E051C" w:rsidRDefault="004E051C">
      <w:pPr>
        <w:pStyle w:val="BodyText"/>
        <w:rPr>
          <w:rFonts w:cstheme="minorHAnsi"/>
        </w:rPr>
      </w:pPr>
      <w:r>
        <w:rPr>
          <w:rFonts w:cstheme="minorHAnsi"/>
        </w:rPr>
        <w:t>More broadly, given the range of arrangements for regulating out</w:t>
      </w:r>
      <w:r>
        <w:rPr>
          <w:rFonts w:cstheme="minorHAnsi"/>
        </w:rPr>
        <w:noBreakHyphen/>
        <w:t>of</w:t>
      </w:r>
      <w:r>
        <w:rPr>
          <w:rFonts w:cstheme="minorHAnsi"/>
        </w:rPr>
        <w:noBreakHyphen/>
        <w:t xml:space="preserve">scope services, the Commission considers there to be a case for reviewing these arrangements to ensure they meet the needs of children attending. A future ECEC Commission should have responsibility for this work. </w:t>
      </w:r>
    </w:p>
    <w:p w14:paraId="4595D194" w14:textId="77777777" w:rsidR="004E051C" w:rsidRDefault="004E051C">
      <w:pPr>
        <w:pStyle w:val="BodyText"/>
        <w:rPr>
          <w:rFonts w:cstheme="minorHAnsi"/>
        </w:rPr>
      </w:pPr>
      <w:r>
        <w:t>As part of this work, the ECEC Commission, with</w:t>
      </w:r>
      <w:r>
        <w:rPr>
          <w:rFonts w:cstheme="minorHAnsi"/>
        </w:rPr>
        <w:t xml:space="preserve"> Australian, state and territory governments, should undertake a process of joint decision</w:t>
      </w:r>
      <w:r>
        <w:rPr>
          <w:rFonts w:cstheme="minorHAnsi"/>
        </w:rPr>
        <w:noBreakHyphen/>
        <w:t>making with Aboriginal and Torres Strait Islander services, communities and peaks on how Aboriginal and Torres Strait Islander services that are out</w:t>
      </w:r>
      <w:r>
        <w:rPr>
          <w:rFonts w:cstheme="minorHAnsi"/>
        </w:rPr>
        <w:noBreakHyphen/>
        <w:t>of</w:t>
      </w:r>
      <w:r>
        <w:rPr>
          <w:rFonts w:cstheme="minorHAnsi"/>
        </w:rPr>
        <w:noBreakHyphen/>
        <w:t xml:space="preserve">scope of the NQF should be regulated. </w:t>
      </w:r>
      <w:r>
        <w:t>This should include considering whether to include these services in the NQF or another framework.</w:t>
      </w:r>
    </w:p>
    <w:p w14:paraId="1F96011F" w14:textId="2F6D612A" w:rsidR="004E051C" w:rsidRPr="00725AAA" w:rsidRDefault="004E051C">
      <w:pPr>
        <w:pStyle w:val="NoSpacing"/>
        <w:rPr>
          <w:rFonts w:cstheme="minorHAnsi"/>
        </w:rPr>
      </w:pPr>
    </w:p>
    <w:tbl>
      <w:tblPr>
        <w:tblStyle w:val="Texttable-Paleblue"/>
        <w:tblW w:w="5000" w:type="pct"/>
        <w:tblLook w:val="04A0" w:firstRow="1" w:lastRow="0" w:firstColumn="1" w:lastColumn="0" w:noHBand="0" w:noVBand="1"/>
      </w:tblPr>
      <w:tblGrid>
        <w:gridCol w:w="713"/>
        <w:gridCol w:w="8925"/>
      </w:tblGrid>
      <w:tr w:rsidR="004E051C" w:rsidRPr="00F20A94" w14:paraId="7AF7DCDC" w14:textId="77777777">
        <w:trPr>
          <w:tblHeader/>
        </w:trPr>
        <w:tc>
          <w:tcPr>
            <w:tcW w:w="709" w:type="dxa"/>
            <w:shd w:val="clear" w:color="auto" w:fill="E7F6FD"/>
            <w:tcMar>
              <w:top w:w="0" w:type="dxa"/>
              <w:bottom w:w="0" w:type="dxa"/>
            </w:tcMar>
            <w:vAlign w:val="center"/>
          </w:tcPr>
          <w:p w14:paraId="58B5BA62" w14:textId="77777777" w:rsidR="004E051C" w:rsidRPr="00016B05" w:rsidRDefault="004E051C">
            <w:pPr>
              <w:keepLines/>
              <w:jc w:val="center"/>
              <w:rPr>
                <w:rFonts w:cstheme="minorHAnsi"/>
              </w:rPr>
            </w:pPr>
            <w:r w:rsidRPr="00016B05">
              <w:rPr>
                <w:rFonts w:cstheme="minorHAnsi"/>
                <w:noProof/>
              </w:rPr>
              <w:lastRenderedPageBreak/>
              <w:drawing>
                <wp:inline distT="0" distB="0" distL="0" distR="0" wp14:anchorId="5FD53B24" wp14:editId="124AAB39">
                  <wp:extent cx="288000" cy="288000"/>
                  <wp:effectExtent l="0" t="0" r="0" b="0"/>
                  <wp:docPr id="1056052239" name="Picture 1056052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4EBC1D50" w14:textId="4CF16871" w:rsidR="004E051C" w:rsidRPr="00016B05" w:rsidRDefault="004E051C">
            <w:pPr>
              <w:pStyle w:val="TableHeading"/>
              <w:keepLines/>
              <w:spacing w:before="120" w:after="120"/>
              <w:contextualSpacing/>
              <w:rPr>
                <w:sz w:val="20"/>
              </w:rPr>
            </w:pPr>
            <w:r w:rsidRPr="00016B05">
              <w:rPr>
                <w:sz w:val="20"/>
              </w:rPr>
              <w:t xml:space="preserve">Draft recommendation </w:t>
            </w:r>
            <w:r w:rsidR="00DC7EEE">
              <w:rPr>
                <w:noProof/>
                <w:sz w:val="20"/>
              </w:rPr>
              <w:t>2</w:t>
            </w:r>
            <w:r w:rsidRPr="00016B05">
              <w:rPr>
                <w:sz w:val="20"/>
              </w:rPr>
              <w:t>.</w:t>
            </w:r>
            <w:r w:rsidR="00DC7EEE">
              <w:rPr>
                <w:noProof/>
                <w:sz w:val="20"/>
              </w:rPr>
              <w:t>1</w:t>
            </w:r>
          </w:p>
          <w:p w14:paraId="21BD6C7E" w14:textId="77777777" w:rsidR="004E051C" w:rsidRPr="00016B05" w:rsidRDefault="004E051C">
            <w:pPr>
              <w:pStyle w:val="TableHeading"/>
              <w:keepLines/>
              <w:spacing w:before="120" w:after="120"/>
              <w:contextualSpacing/>
              <w:rPr>
                <w:rFonts w:cstheme="minorHAnsi"/>
                <w:sz w:val="20"/>
              </w:rPr>
            </w:pPr>
            <w:r w:rsidRPr="00016B05">
              <w:rPr>
                <w:rFonts w:cstheme="minorHAnsi"/>
                <w:sz w:val="20"/>
              </w:rPr>
              <w:t>Ensure appropriate quality regulation for services outside the scope of the National Quality Framework</w:t>
            </w:r>
          </w:p>
        </w:tc>
      </w:tr>
      <w:tr w:rsidR="004E051C" w:rsidRPr="00F20A94" w14:paraId="4F75C126" w14:textId="77777777">
        <w:tc>
          <w:tcPr>
            <w:tcW w:w="9583" w:type="dxa"/>
            <w:gridSpan w:val="2"/>
            <w:shd w:val="clear" w:color="auto" w:fill="E7F6FD"/>
            <w:tcMar>
              <w:top w:w="0" w:type="dxa"/>
            </w:tcMar>
          </w:tcPr>
          <w:p w14:paraId="11E0E1E1" w14:textId="160FBA23" w:rsidR="004E051C" w:rsidRPr="00016B05" w:rsidRDefault="004E051C">
            <w:pPr>
              <w:pStyle w:val="BodyText"/>
              <w:keepLines/>
            </w:pPr>
            <w:r w:rsidRPr="00016B05">
              <w:rPr>
                <w:rFonts w:cstheme="minorHAnsi"/>
              </w:rPr>
              <w:t xml:space="preserve">The Australian Government should ensure </w:t>
            </w:r>
            <w:r w:rsidR="0015743F">
              <w:rPr>
                <w:rFonts w:cstheme="minorHAnsi"/>
              </w:rPr>
              <w:t>that</w:t>
            </w:r>
            <w:r w:rsidRPr="00016B05">
              <w:rPr>
                <w:rFonts w:cstheme="minorHAnsi"/>
              </w:rPr>
              <w:t xml:space="preserve"> any future funding model</w:t>
            </w:r>
            <w:r w:rsidR="0015743F">
              <w:rPr>
                <w:rFonts w:cstheme="minorHAnsi"/>
              </w:rPr>
              <w:t>s</w:t>
            </w:r>
            <w:r w:rsidRPr="00016B05">
              <w:rPr>
                <w:rFonts w:cstheme="minorHAnsi"/>
              </w:rPr>
              <w:t xml:space="preserve"> or agreements for services receiving direct Australian Government ECEC funding that are out</w:t>
            </w:r>
            <w:r w:rsidRPr="00016B05">
              <w:rPr>
                <w:rFonts w:cstheme="minorHAnsi"/>
              </w:rPr>
              <w:noBreakHyphen/>
              <w:t>of</w:t>
            </w:r>
            <w:r w:rsidRPr="00016B05">
              <w:rPr>
                <w:rFonts w:cstheme="minorHAnsi"/>
              </w:rPr>
              <w:noBreakHyphen/>
              <w:t>scope of the National Quality Framework include mechanisms to ensure and monitor the quality of these services</w:t>
            </w:r>
            <w:r w:rsidRPr="00016B05">
              <w:t>.</w:t>
            </w:r>
          </w:p>
          <w:p w14:paraId="7B463540" w14:textId="1A336C57" w:rsidR="004E051C" w:rsidRPr="00016B05" w:rsidRDefault="004E051C">
            <w:pPr>
              <w:pStyle w:val="BodyText"/>
              <w:keepLines/>
            </w:pPr>
            <w:r w:rsidRPr="00016B05">
              <w:t>An ECEC Commission (draft recommendation 9.</w:t>
            </w:r>
            <w:r w:rsidR="00332620">
              <w:t>2</w:t>
            </w:r>
            <w:r w:rsidRPr="00016B05">
              <w:t>) should be tasked with reviewing regulatory arrangements for out</w:t>
            </w:r>
            <w:r w:rsidRPr="00016B05">
              <w:noBreakHyphen/>
              <w:t>of</w:t>
            </w:r>
            <w:r w:rsidRPr="00016B05">
              <w:noBreakHyphen/>
              <w:t>scope services receiving direct Australian Government ECEC funding to ensure they meet the needs of children. As part of this work, the ECEC Commission, with Australian, state and territory governments should undertake a process of joint decision</w:t>
            </w:r>
            <w:r w:rsidRPr="00016B05">
              <w:noBreakHyphen/>
              <w:t>making with Aboriginal and Torres Strait Islander services, communities and peaks to determine the appropriate way to regulate the quality of Aboriginal and Torres Strait Islander services out</w:t>
            </w:r>
            <w:r w:rsidRPr="00016B05">
              <w:noBreakHyphen/>
              <w:t>of</w:t>
            </w:r>
            <w:r w:rsidRPr="00016B05">
              <w:noBreakHyphen/>
              <w:t xml:space="preserve">scope of the National Quality Framework. </w:t>
            </w:r>
          </w:p>
        </w:tc>
      </w:tr>
      <w:tr w:rsidR="004E051C" w:rsidRPr="00F20A94" w14:paraId="052A7FF6" w14:textId="77777777">
        <w:tc>
          <w:tcPr>
            <w:tcW w:w="9583" w:type="dxa"/>
            <w:gridSpan w:val="2"/>
            <w:shd w:val="clear" w:color="auto" w:fill="auto"/>
            <w:tcMar>
              <w:top w:w="0" w:type="dxa"/>
              <w:bottom w:w="0" w:type="dxa"/>
            </w:tcMar>
          </w:tcPr>
          <w:p w14:paraId="737FB408" w14:textId="12356698" w:rsidR="004E051C" w:rsidRPr="00725AAA" w:rsidRDefault="004E051C">
            <w:pPr>
              <w:pStyle w:val="NoSpacing"/>
              <w:spacing w:line="200" w:lineRule="exact"/>
              <w:rPr>
                <w:rFonts w:cstheme="minorHAnsi"/>
              </w:rPr>
            </w:pPr>
          </w:p>
        </w:tc>
      </w:tr>
    </w:tbl>
    <w:p w14:paraId="4A7BA6F4" w14:textId="77777777" w:rsidR="004E051C" w:rsidRDefault="004E051C">
      <w:pPr>
        <w:pStyle w:val="Heading3"/>
      </w:pPr>
      <w:r>
        <w:t>OSHC is regulated in a similar way to services for children below school age</w:t>
      </w:r>
    </w:p>
    <w:p w14:paraId="04C0CD63" w14:textId="19A5DB7B" w:rsidR="004E051C" w:rsidRDefault="004E051C">
      <w:pPr>
        <w:pStyle w:val="BodyText"/>
        <w:rPr>
          <w:rFonts w:cstheme="minorHAnsi"/>
        </w:rPr>
      </w:pPr>
      <w:r w:rsidRPr="005A18DB">
        <w:rPr>
          <w:rFonts w:cstheme="minorHAnsi"/>
        </w:rPr>
        <w:t>When the NQF was established, it was intended to create consistent quality standards for ECEC services, regardless of setting</w:t>
      </w:r>
      <w:r>
        <w:rPr>
          <w:rFonts w:cstheme="minorHAnsi"/>
        </w:rPr>
        <w:t xml:space="preserve"> </w:t>
      </w:r>
      <w:r w:rsidRPr="00ED2372">
        <w:rPr>
          <w:rFonts w:ascii="Arial" w:hAnsi="Arial" w:cs="Arial"/>
          <w:szCs w:val="24"/>
        </w:rPr>
        <w:t>(COAG 2009, pp. 56; 99; 154)</w:t>
      </w:r>
      <w:r w:rsidRPr="005A18DB">
        <w:rPr>
          <w:rFonts w:cstheme="minorHAnsi"/>
        </w:rPr>
        <w:t>. But</w:t>
      </w:r>
      <w:r w:rsidRPr="00F30A57">
        <w:rPr>
          <w:rFonts w:cstheme="minorHAnsi"/>
        </w:rPr>
        <w:t xml:space="preserve"> consistency with services for children below school age may not be appropriate for OSHC</w:t>
      </w:r>
      <w:r>
        <w:rPr>
          <w:rFonts w:cstheme="minorHAnsi"/>
        </w:rPr>
        <w:t>, given children attending are predominantly of school age.</w:t>
      </w:r>
    </w:p>
    <w:p w14:paraId="73941445" w14:textId="77777777" w:rsidR="004E051C" w:rsidRDefault="004E051C">
      <w:pPr>
        <w:pStyle w:val="BodyText"/>
        <w:rPr>
          <w:rFonts w:cstheme="minorHAnsi"/>
        </w:rPr>
      </w:pPr>
      <w:r>
        <w:rPr>
          <w:rFonts w:cstheme="minorHAnsi"/>
        </w:rPr>
        <w:t>Under the NQF, OSHC is classed as a centre</w:t>
      </w:r>
      <w:r>
        <w:rPr>
          <w:rFonts w:cstheme="minorHAnsi"/>
        </w:rPr>
        <w:noBreakHyphen/>
        <w:t xml:space="preserve">based service, along with LDC and preschool. As a result, the majority of requirements for LDC and preschool services apply to OSHC, with some exceptions and modifications made for services </w:t>
      </w:r>
      <w:r w:rsidRPr="003F6A9D">
        <w:rPr>
          <w:rFonts w:cstheme="minorHAnsi"/>
        </w:rPr>
        <w:t xml:space="preserve">providing ECEC for children over preschool age </w:t>
      </w:r>
      <w:r w:rsidRPr="002E6A7A">
        <w:rPr>
          <w:rFonts w:ascii="Arial" w:hAnsi="Arial" w:cs="Arial"/>
          <w:szCs w:val="24"/>
        </w:rPr>
        <w:t>(ESA 2019, p. 24)</w:t>
      </w:r>
      <w:r w:rsidRPr="003F6A9D">
        <w:rPr>
          <w:rFonts w:cstheme="minorHAnsi"/>
        </w:rPr>
        <w:t xml:space="preserve">. </w:t>
      </w:r>
      <w:r>
        <w:rPr>
          <w:rFonts w:cstheme="minorHAnsi"/>
        </w:rPr>
        <w:t>A</w:t>
      </w:r>
      <w:r w:rsidRPr="003F6A9D">
        <w:rPr>
          <w:rFonts w:cstheme="minorHAnsi"/>
        </w:rPr>
        <w:t xml:space="preserve">mong others, </w:t>
      </w:r>
      <w:r>
        <w:rPr>
          <w:rFonts w:cstheme="minorHAnsi"/>
        </w:rPr>
        <w:t>the differences</w:t>
      </w:r>
      <w:r w:rsidRPr="003F6A9D">
        <w:rPr>
          <w:rFonts w:cstheme="minorHAnsi"/>
        </w:rPr>
        <w:t xml:space="preserve"> include less strict ratio requirements in most states and territories</w:t>
      </w:r>
      <w:r w:rsidRPr="00024945">
        <w:rPr>
          <w:rFonts w:cstheme="minorHAnsi"/>
        </w:rPr>
        <w:t>, exemptions or modifications to some physical environment requirements</w:t>
      </w:r>
      <w:r>
        <w:rPr>
          <w:rFonts w:cstheme="minorHAnsi"/>
        </w:rPr>
        <w:t xml:space="preserve"> and a separate learning framework that recognises the role of leisure in school</w:t>
      </w:r>
      <w:r>
        <w:rPr>
          <w:rFonts w:cstheme="minorHAnsi"/>
        </w:rPr>
        <w:noBreakHyphen/>
        <w:t xml:space="preserve">age care. (As noted above, the NQF does not prescribe national qualification requirements for OSHC, </w:t>
      </w:r>
      <w:r w:rsidRPr="008E7531">
        <w:rPr>
          <w:rFonts w:cstheme="minorHAnsi"/>
        </w:rPr>
        <w:t>though most states</w:t>
      </w:r>
      <w:r>
        <w:rPr>
          <w:rFonts w:cstheme="minorHAnsi"/>
        </w:rPr>
        <w:t xml:space="preserve"> and territories impose their own requirements.)</w:t>
      </w:r>
    </w:p>
    <w:p w14:paraId="12DA9BF2" w14:textId="77777777" w:rsidR="004E051C" w:rsidRPr="003E0E46" w:rsidRDefault="004E051C">
      <w:pPr>
        <w:pStyle w:val="BodyText"/>
        <w:rPr>
          <w:rFonts w:cstheme="minorHAnsi"/>
        </w:rPr>
      </w:pPr>
      <w:r>
        <w:rPr>
          <w:rFonts w:cstheme="minorHAnsi"/>
        </w:rPr>
        <w:t>In addition, following the 2019 NQF review, most</w:t>
      </w:r>
      <w:r w:rsidRPr="003E0E46">
        <w:rPr>
          <w:rFonts w:cstheme="minorHAnsi"/>
        </w:rPr>
        <w:t xml:space="preserve"> states and territories n</w:t>
      </w:r>
      <w:r w:rsidRPr="001B2FDD">
        <w:rPr>
          <w:rFonts w:cstheme="minorHAnsi"/>
          <w:color w:val="000000" w:themeColor="text1"/>
        </w:rPr>
        <w:t>ow</w:t>
      </w:r>
      <w:r>
        <w:rPr>
          <w:rFonts w:cstheme="minorHAnsi"/>
          <w:color w:val="000000" w:themeColor="text1"/>
        </w:rPr>
        <w:t xml:space="preserve"> </w:t>
      </w:r>
      <w:r>
        <w:rPr>
          <w:rFonts w:cstheme="minorHAnsi"/>
        </w:rPr>
        <w:t xml:space="preserve">only require program level documentation on the educational program delivered to children over preschool age, rather than the individual child level documentation required for children under school age </w:t>
      </w:r>
      <w:r w:rsidRPr="000D36D6">
        <w:rPr>
          <w:rFonts w:ascii="Arial" w:hAnsi="Arial" w:cs="Arial"/>
          <w:szCs w:val="24"/>
        </w:rPr>
        <w:t>(ACECQA 2023a)</w:t>
      </w:r>
      <w:r w:rsidRPr="00117B03">
        <w:rPr>
          <w:rFonts w:cstheme="minorHAnsi"/>
        </w:rPr>
        <w:t>.</w:t>
      </w:r>
      <w:r w:rsidRPr="00F9329C" w:rsidDel="000E0D3B">
        <w:rPr>
          <w:rStyle w:val="FootnoteReference"/>
        </w:rPr>
        <w:t xml:space="preserve"> </w:t>
      </w:r>
    </w:p>
    <w:p w14:paraId="679D5692" w14:textId="77777777" w:rsidR="004E051C" w:rsidRDefault="004E051C">
      <w:pPr>
        <w:pStyle w:val="Heading4"/>
      </w:pPr>
      <w:r>
        <w:t>Children in OSHC are older and likely to have different needs</w:t>
      </w:r>
    </w:p>
    <w:p w14:paraId="1A0F2011" w14:textId="77777777" w:rsidR="004E051C" w:rsidRPr="0021266F" w:rsidRDefault="004E051C">
      <w:pPr>
        <w:pStyle w:val="BodyText"/>
      </w:pPr>
      <w:r>
        <w:t>Children in OSHC are older, are more independent and are likely to have different needs to children under school age. They are also likely attending f</w:t>
      </w:r>
      <w:r w:rsidRPr="0021266F">
        <w:t>ormal schooling.</w:t>
      </w:r>
    </w:p>
    <w:p w14:paraId="514DFDC6" w14:textId="77777777" w:rsidR="004E051C" w:rsidRDefault="004E051C">
      <w:pPr>
        <w:pStyle w:val="BodyText"/>
      </w:pPr>
      <w:r w:rsidRPr="0021266F">
        <w:t>Children see OSHC as a place for play,</w:t>
      </w:r>
      <w:r>
        <w:t xml:space="preserve"> </w:t>
      </w:r>
      <w:r w:rsidRPr="0021266F">
        <w:t xml:space="preserve">making friends and doing activities </w:t>
      </w:r>
      <w:r>
        <w:t xml:space="preserve">such as craft and sports </w:t>
      </w:r>
      <w:r w:rsidRPr="0021266F">
        <w:rPr>
          <w:rFonts w:ascii="Arial" w:hAnsi="Arial" w:cs="Arial"/>
          <w:szCs w:val="24"/>
        </w:rPr>
        <w:t>(Simoncini, Cartmel and Young 2015, p. 124)</w:t>
      </w:r>
      <w:r w:rsidRPr="00882A4F">
        <w:t xml:space="preserve">. </w:t>
      </w:r>
      <w:r w:rsidRPr="00B9018A">
        <w:t xml:space="preserve">Similarly, two small research projects with children aged 9–12 years in OSHC suggested these children value having friends of a similar age and activities that are enjoyable and consistent with their level of development </w:t>
      </w:r>
      <w:r w:rsidRPr="007E2687">
        <w:rPr>
          <w:rFonts w:ascii="Arial" w:hAnsi="Arial" w:cs="Arial"/>
          <w:szCs w:val="24"/>
        </w:rPr>
        <w:t>(Hurst 2013, p. 47, 2015, p. 12)</w:t>
      </w:r>
      <w:r w:rsidRPr="00B9018A">
        <w:t>.</w:t>
      </w:r>
    </w:p>
    <w:p w14:paraId="380D675A" w14:textId="77777777" w:rsidR="004E051C" w:rsidRDefault="004E051C">
      <w:pPr>
        <w:pStyle w:val="BodyText"/>
        <w:rPr>
          <w:rFonts w:cstheme="minorHAnsi"/>
        </w:rPr>
      </w:pPr>
      <w:r w:rsidRPr="00332386">
        <w:t>Many OSHC services are provided on school sites. Yet the Commission has heard of instances where the school environment may not meet the requirements of the NQF.</w:t>
      </w:r>
      <w:r>
        <w:t xml:space="preserve"> For example, </w:t>
      </w:r>
      <w:r>
        <w:rPr>
          <w:rFonts w:cstheme="minorHAnsi"/>
        </w:rPr>
        <w:t>one inquiry participant described how children may be prohibited from using a school playground while at OSHC (Outside School Hours Council of Australia, sub. 82, pp. 2–3</w:t>
      </w:r>
      <w:r w:rsidRPr="0030784B">
        <w:rPr>
          <w:rFonts w:cstheme="minorHAnsi"/>
        </w:rPr>
        <w:t xml:space="preserve">). </w:t>
      </w:r>
      <w:r>
        <w:t xml:space="preserve">The SA Royal Commission into Early Childhood Education and Care heard of examples where adherence to the NQF meant children needed to be accompanied to the </w:t>
      </w:r>
      <w:r>
        <w:lastRenderedPageBreak/>
        <w:t xml:space="preserve">toilet at OSHC, when they would be able to leave class and go to the toilet by themselves during school hours </w:t>
      </w:r>
      <w:r w:rsidRPr="009D14D0">
        <w:rPr>
          <w:rFonts w:ascii="Arial" w:hAnsi="Arial" w:cs="Arial"/>
          <w:szCs w:val="24"/>
        </w:rPr>
        <w:t>(SA Government 2023a, p. 200)</w:t>
      </w:r>
      <w:r w:rsidRPr="00714FBE">
        <w:t>.</w:t>
      </w:r>
    </w:p>
    <w:p w14:paraId="7542BA0A" w14:textId="77777777" w:rsidR="004E051C" w:rsidRPr="00CF1746" w:rsidRDefault="004E051C">
      <w:pPr>
        <w:pStyle w:val="Heading4"/>
        <w:rPr>
          <w:spacing w:val="-4"/>
        </w:rPr>
      </w:pPr>
      <w:r w:rsidRPr="00CF1746">
        <w:rPr>
          <w:spacing w:val="-4"/>
        </w:rPr>
        <w:t>There do not appear to be widespread issues meeting the NQF in the OSHC sector</w:t>
      </w:r>
    </w:p>
    <w:p w14:paraId="1BE80360" w14:textId="77777777" w:rsidR="004E051C" w:rsidRDefault="004E051C">
      <w:pPr>
        <w:pStyle w:val="BodyText"/>
        <w:rPr>
          <w:rFonts w:cstheme="minorHAnsi"/>
        </w:rPr>
      </w:pPr>
      <w:r>
        <w:rPr>
          <w:rFonts w:cstheme="minorHAnsi"/>
        </w:rPr>
        <w:t xml:space="preserve">Inquiry participants noted that some OSHC services may face challenges meeting physical environment requirements under the </w:t>
      </w:r>
      <w:r w:rsidRPr="00BB271A">
        <w:rPr>
          <w:rFonts w:cstheme="minorHAnsi"/>
        </w:rPr>
        <w:t>NQF</w:t>
      </w:r>
      <w:r>
        <w:rPr>
          <w:rFonts w:cstheme="minorHAnsi"/>
        </w:rPr>
        <w:t xml:space="preserve"> </w:t>
      </w:r>
      <w:r w:rsidRPr="0062434D">
        <w:rPr>
          <w:rFonts w:cstheme="minorHAnsi"/>
        </w:rPr>
        <w:t>(</w:t>
      </w:r>
      <w:r w:rsidRPr="00EF753B">
        <w:rPr>
          <w:rFonts w:cstheme="minorHAnsi"/>
        </w:rPr>
        <w:t xml:space="preserve">National Outside School Hours </w:t>
      </w:r>
      <w:r>
        <w:rPr>
          <w:rFonts w:cstheme="minorHAnsi"/>
        </w:rPr>
        <w:t xml:space="preserve">Services </w:t>
      </w:r>
      <w:r w:rsidRPr="00EF753B">
        <w:rPr>
          <w:rFonts w:cstheme="minorHAnsi"/>
        </w:rPr>
        <w:t>Alliance, sub.</w:t>
      </w:r>
      <w:r>
        <w:rPr>
          <w:rFonts w:cstheme="minorHAnsi"/>
        </w:rPr>
        <w:t> </w:t>
      </w:r>
      <w:r w:rsidRPr="00EF753B">
        <w:rPr>
          <w:rFonts w:cstheme="minorHAnsi"/>
        </w:rPr>
        <w:t>1</w:t>
      </w:r>
      <w:r>
        <w:rPr>
          <w:rFonts w:cstheme="minorHAnsi"/>
        </w:rPr>
        <w:t>03</w:t>
      </w:r>
      <w:r w:rsidRPr="00EF753B">
        <w:rPr>
          <w:rFonts w:cstheme="minorHAnsi"/>
        </w:rPr>
        <w:t>, p.</w:t>
      </w:r>
      <w:r>
        <w:rPr>
          <w:rFonts w:cstheme="minorHAnsi"/>
        </w:rPr>
        <w:t> </w:t>
      </w:r>
      <w:r w:rsidRPr="00EF753B">
        <w:rPr>
          <w:rFonts w:cstheme="minorHAnsi"/>
        </w:rPr>
        <w:t xml:space="preserve">2; Community </w:t>
      </w:r>
      <w:proofErr w:type="gramStart"/>
      <w:r w:rsidRPr="00EF753B">
        <w:rPr>
          <w:rFonts w:cstheme="minorHAnsi"/>
        </w:rPr>
        <w:t>Child Care</w:t>
      </w:r>
      <w:proofErr w:type="gramEnd"/>
      <w:r w:rsidRPr="00EF753B">
        <w:rPr>
          <w:rFonts w:cstheme="minorHAnsi"/>
        </w:rPr>
        <w:t xml:space="preserve"> Association, sub.</w:t>
      </w:r>
      <w:r>
        <w:rPr>
          <w:rFonts w:cstheme="minorHAnsi"/>
        </w:rPr>
        <w:t> </w:t>
      </w:r>
      <w:r w:rsidRPr="00EF753B">
        <w:rPr>
          <w:rFonts w:cstheme="minorHAnsi"/>
        </w:rPr>
        <w:t>111, p.</w:t>
      </w:r>
      <w:r>
        <w:rPr>
          <w:rFonts w:cstheme="minorHAnsi"/>
        </w:rPr>
        <w:t> </w:t>
      </w:r>
      <w:r w:rsidRPr="00EF753B">
        <w:rPr>
          <w:rFonts w:cstheme="minorHAnsi"/>
        </w:rPr>
        <w:t>19</w:t>
      </w:r>
      <w:r w:rsidRPr="0062434D">
        <w:rPr>
          <w:rFonts w:cstheme="minorHAnsi"/>
        </w:rPr>
        <w:t>). For</w:t>
      </w:r>
      <w:r>
        <w:rPr>
          <w:rFonts w:cstheme="minorHAnsi"/>
        </w:rPr>
        <w:t xml:space="preserve"> example, in a consultation report submitted by the NSW Small Business Commissioner, OSHC services reported receiving lower quality ratings due to factors outside their control such as limited or poor</w:t>
      </w:r>
      <w:r>
        <w:rPr>
          <w:rFonts w:cstheme="minorHAnsi"/>
        </w:rPr>
        <w:noBreakHyphen/>
        <w:t>quality toilet facilities (su</w:t>
      </w:r>
      <w:r w:rsidRPr="0021266F">
        <w:rPr>
          <w:rFonts w:cstheme="minorHAnsi"/>
        </w:rPr>
        <w:t>b.</w:t>
      </w:r>
      <w:r>
        <w:rPr>
          <w:rFonts w:cstheme="minorHAnsi"/>
        </w:rPr>
        <w:t> </w:t>
      </w:r>
      <w:r w:rsidRPr="0021266F">
        <w:rPr>
          <w:rFonts w:cstheme="minorHAnsi"/>
        </w:rPr>
        <w:t xml:space="preserve">128, </w:t>
      </w:r>
      <w:r w:rsidRPr="0022037C">
        <w:rPr>
          <w:rFonts w:cstheme="minorHAnsi"/>
        </w:rPr>
        <w:t>attachment</w:t>
      </w:r>
      <w:r>
        <w:rPr>
          <w:rFonts w:cstheme="minorHAnsi"/>
        </w:rPr>
        <w:t> </w:t>
      </w:r>
      <w:r w:rsidRPr="000F4D4E">
        <w:rPr>
          <w:rFonts w:cstheme="minorHAnsi"/>
        </w:rPr>
        <w:t>1</w:t>
      </w:r>
      <w:r w:rsidRPr="0021266F">
        <w:rPr>
          <w:rFonts w:cstheme="minorHAnsi"/>
        </w:rPr>
        <w:t>, p.</w:t>
      </w:r>
      <w:r>
        <w:rPr>
          <w:rFonts w:cstheme="minorHAnsi"/>
        </w:rPr>
        <w:t> </w:t>
      </w:r>
      <w:r w:rsidRPr="0021266F">
        <w:rPr>
          <w:rFonts w:cstheme="minorHAnsi"/>
        </w:rPr>
        <w:t>17).</w:t>
      </w:r>
    </w:p>
    <w:p w14:paraId="2ED64986" w14:textId="77777777" w:rsidR="004E051C" w:rsidRDefault="004E051C">
      <w:pPr>
        <w:pStyle w:val="BodyText"/>
        <w:rPr>
          <w:rFonts w:cstheme="minorHAnsi"/>
        </w:rPr>
      </w:pPr>
      <w:r w:rsidRPr="00932A33">
        <w:rPr>
          <w:rFonts w:cstheme="minorHAnsi"/>
        </w:rPr>
        <w:t>Similarly,</w:t>
      </w:r>
      <w:r w:rsidRPr="00B97265">
        <w:rPr>
          <w:rFonts w:cstheme="minorHAnsi"/>
        </w:rPr>
        <w:t xml:space="preserve"> </w:t>
      </w:r>
      <w:r w:rsidRPr="00932A33">
        <w:rPr>
          <w:rFonts w:cstheme="minorHAnsi"/>
        </w:rPr>
        <w:t>c</w:t>
      </w:r>
      <w:r w:rsidRPr="00B97265">
        <w:rPr>
          <w:rFonts w:cstheme="minorHAnsi"/>
        </w:rPr>
        <w:t xml:space="preserve">onsultations undertaken as part of the </w:t>
      </w:r>
      <w:r w:rsidRPr="00932A33">
        <w:rPr>
          <w:rFonts w:cstheme="minorHAnsi"/>
        </w:rPr>
        <w:t>2019 NQF R</w:t>
      </w:r>
      <w:r w:rsidRPr="00B97265">
        <w:rPr>
          <w:rFonts w:cstheme="minorHAnsi"/>
        </w:rPr>
        <w:t xml:space="preserve">eview highlighted </w:t>
      </w:r>
      <w:r>
        <w:rPr>
          <w:rFonts w:cstheme="minorHAnsi"/>
        </w:rPr>
        <w:t>that</w:t>
      </w:r>
      <w:r w:rsidRPr="00B97265">
        <w:rPr>
          <w:rFonts w:cstheme="minorHAnsi"/>
        </w:rPr>
        <w:t xml:space="preserve"> the </w:t>
      </w:r>
      <w:r>
        <w:rPr>
          <w:rFonts w:cstheme="minorHAnsi"/>
        </w:rPr>
        <w:t xml:space="preserve">NQF </w:t>
      </w:r>
      <w:r w:rsidRPr="00B97265">
        <w:rPr>
          <w:rFonts w:cstheme="minorHAnsi"/>
        </w:rPr>
        <w:t>assessment and rating</w:t>
      </w:r>
      <w:r>
        <w:rPr>
          <w:rFonts w:cstheme="minorHAnsi"/>
        </w:rPr>
        <w:t xml:space="preserve"> process</w:t>
      </w:r>
      <w:r w:rsidRPr="00B97265">
        <w:rPr>
          <w:rFonts w:cstheme="minorHAnsi"/>
        </w:rPr>
        <w:t xml:space="preserve"> </w:t>
      </w:r>
      <w:r>
        <w:rPr>
          <w:rFonts w:cstheme="minorHAnsi"/>
        </w:rPr>
        <w:t>was an issue for OSHC services</w:t>
      </w:r>
      <w:r w:rsidRPr="00B97265">
        <w:rPr>
          <w:rFonts w:cstheme="minorHAnsi"/>
        </w:rPr>
        <w:t xml:space="preserve">, with feedback suggesting a tailored approach was necessary </w:t>
      </w:r>
      <w:r w:rsidRPr="00E45FE3">
        <w:rPr>
          <w:rFonts w:ascii="Arial" w:hAnsi="Arial" w:cs="Arial"/>
          <w:szCs w:val="24"/>
        </w:rPr>
        <w:t>(ESA 2022, p. 189)</w:t>
      </w:r>
      <w:r w:rsidRPr="00B97265">
        <w:rPr>
          <w:rFonts w:cstheme="minorHAnsi"/>
        </w:rPr>
        <w:t>. But consultation participants also highlighted the importance of maintaining professio</w:t>
      </w:r>
      <w:r w:rsidRPr="003336AE">
        <w:rPr>
          <w:rFonts w:cstheme="minorHAnsi"/>
        </w:rPr>
        <w:t>nalism of the</w:t>
      </w:r>
      <w:r w:rsidRPr="00B97265">
        <w:rPr>
          <w:rFonts w:cstheme="minorHAnsi"/>
        </w:rPr>
        <w:t xml:space="preserve"> sector</w:t>
      </w:r>
      <w:r>
        <w:rPr>
          <w:rFonts w:cstheme="minorHAnsi"/>
        </w:rPr>
        <w:t>, a</w:t>
      </w:r>
      <w:r w:rsidRPr="00B97265">
        <w:rPr>
          <w:rFonts w:cstheme="minorHAnsi"/>
        </w:rPr>
        <w:t>nd not all respondents felt major changes to the NQF were necessary.</w:t>
      </w:r>
    </w:p>
    <w:p w14:paraId="6DCF76BD" w14:textId="77777777" w:rsidR="004E051C" w:rsidRDefault="004E051C">
      <w:pPr>
        <w:pStyle w:val="BodyText"/>
        <w:rPr>
          <w:rFonts w:cstheme="minorHAnsi"/>
        </w:rPr>
      </w:pPr>
      <w:r w:rsidRPr="00DA25E5">
        <w:rPr>
          <w:rFonts w:cstheme="minorHAnsi"/>
        </w:rPr>
        <w:t>There is limited evidence before the Commission to</w:t>
      </w:r>
      <w:r>
        <w:rPr>
          <w:rFonts w:cstheme="minorHAnsi"/>
        </w:rPr>
        <w:t xml:space="preserve"> suggest</w:t>
      </w:r>
      <w:r w:rsidRPr="00DA25E5">
        <w:rPr>
          <w:rFonts w:cstheme="minorHAnsi"/>
        </w:rPr>
        <w:t xml:space="preserve"> there are widespread issues </w:t>
      </w:r>
      <w:r>
        <w:rPr>
          <w:rFonts w:cstheme="minorHAnsi"/>
        </w:rPr>
        <w:t>in the OSHC sector with complying with the NQF</w:t>
      </w:r>
      <w:r w:rsidRPr="00DA25E5">
        <w:rPr>
          <w:rFonts w:cstheme="minorHAnsi"/>
        </w:rPr>
        <w:t xml:space="preserve">. </w:t>
      </w:r>
      <w:r w:rsidRPr="003740E4">
        <w:rPr>
          <w:rFonts w:cstheme="minorHAnsi"/>
        </w:rPr>
        <w:t xml:space="preserve">As </w:t>
      </w:r>
      <w:proofErr w:type="gramStart"/>
      <w:r w:rsidRPr="003740E4">
        <w:rPr>
          <w:rFonts w:cstheme="minorHAnsi"/>
        </w:rPr>
        <w:t>at</w:t>
      </w:r>
      <w:proofErr w:type="gramEnd"/>
      <w:r w:rsidRPr="003740E4">
        <w:rPr>
          <w:rFonts w:cstheme="minorHAnsi"/>
        </w:rPr>
        <w:t xml:space="preserve"> </w:t>
      </w:r>
      <w:r w:rsidRPr="00190E5D">
        <w:rPr>
          <w:rFonts w:cstheme="minorHAnsi"/>
        </w:rPr>
        <w:t>1</w:t>
      </w:r>
      <w:r>
        <w:rPr>
          <w:rFonts w:cstheme="minorHAnsi"/>
        </w:rPr>
        <w:t> </w:t>
      </w:r>
      <w:r w:rsidRPr="00190E5D">
        <w:rPr>
          <w:rFonts w:cstheme="minorHAnsi"/>
        </w:rPr>
        <w:t xml:space="preserve">July 2023, </w:t>
      </w:r>
      <w:r w:rsidRPr="003740E4">
        <w:rPr>
          <w:rFonts w:cstheme="minorHAnsi"/>
        </w:rPr>
        <w:t xml:space="preserve">87% of OSHC services were Meeting the NQS or above </w:t>
      </w:r>
      <w:r w:rsidRPr="006A2DB4">
        <w:rPr>
          <w:rFonts w:ascii="Arial" w:hAnsi="Arial" w:cs="Arial"/>
          <w:szCs w:val="24"/>
        </w:rPr>
        <w:t>(Productivity Commission estimates, based on ACECQA 2023f)</w:t>
      </w:r>
      <w:r w:rsidRPr="003740E4">
        <w:rPr>
          <w:rFonts w:cstheme="minorHAnsi"/>
        </w:rPr>
        <w:t>, suggesting</w:t>
      </w:r>
      <w:r>
        <w:rPr>
          <w:rFonts w:cstheme="minorHAnsi"/>
        </w:rPr>
        <w:t xml:space="preserve"> the NQF is not an insurmountable hurdle for services to pass. However, OSHC services tend to receive slightly lower ratings than LDC services and significantly lower ratings than preschool services.</w:t>
      </w:r>
    </w:p>
    <w:p w14:paraId="4B0B216D" w14:textId="77777777" w:rsidR="004E051C" w:rsidRPr="00C17375" w:rsidRDefault="004E051C">
      <w:pPr>
        <w:pStyle w:val="Heading4"/>
      </w:pPr>
      <w:r>
        <w:t>It is unclear if the NQF is appropriate for OSHC</w:t>
      </w:r>
    </w:p>
    <w:p w14:paraId="050E3AAD" w14:textId="77777777" w:rsidR="004E051C" w:rsidRDefault="004E051C">
      <w:pPr>
        <w:pStyle w:val="BodyText"/>
        <w:rPr>
          <w:rFonts w:cstheme="minorHAnsi"/>
        </w:rPr>
      </w:pPr>
      <w:r>
        <w:rPr>
          <w:rFonts w:cstheme="minorHAnsi"/>
        </w:rPr>
        <w:t xml:space="preserve">There is insufficient evidence before the Commission to determine whether the issues detailed above arise from the standards in the NQF itself or the inappropriate application of those standards to an OSHC context (or both). </w:t>
      </w:r>
    </w:p>
    <w:p w14:paraId="0DEDBDCA" w14:textId="77777777" w:rsidR="004E051C" w:rsidRDefault="004E051C">
      <w:pPr>
        <w:pStyle w:val="BodyText"/>
        <w:rPr>
          <w:rFonts w:cstheme="minorHAnsi"/>
        </w:rPr>
      </w:pPr>
      <w:r>
        <w:rPr>
          <w:rFonts w:cstheme="minorHAnsi"/>
        </w:rPr>
        <w:t>For</w:t>
      </w:r>
      <w:r w:rsidRPr="00EC7A2E">
        <w:rPr>
          <w:rFonts w:cstheme="minorHAnsi"/>
        </w:rPr>
        <w:t xml:space="preserve"> example, one requirement under the NQF relates to ensuring children are adequately supervised. While </w:t>
      </w:r>
      <w:r>
        <w:rPr>
          <w:rFonts w:cstheme="minorHAnsi"/>
        </w:rPr>
        <w:t>the Guide to the NQF provides guidance</w:t>
      </w:r>
      <w:r w:rsidRPr="00EC7A2E">
        <w:rPr>
          <w:rFonts w:cstheme="minorHAnsi"/>
        </w:rPr>
        <w:t xml:space="preserve"> on how this </w:t>
      </w:r>
      <w:r>
        <w:rPr>
          <w:rFonts w:cstheme="minorHAnsi"/>
        </w:rPr>
        <w:t xml:space="preserve">requirement </w:t>
      </w:r>
      <w:r w:rsidRPr="00EC7A2E">
        <w:rPr>
          <w:rFonts w:cstheme="minorHAnsi"/>
        </w:rPr>
        <w:t>applies for different ages of children,</w:t>
      </w:r>
      <w:r>
        <w:rPr>
          <w:rFonts w:cstheme="minorHAnsi"/>
        </w:rPr>
        <w:t xml:space="preserve"> it is ultimately a matter of interpretation.</w:t>
      </w:r>
      <w:r w:rsidRPr="00EC7A2E">
        <w:rPr>
          <w:rFonts w:cstheme="minorHAnsi"/>
        </w:rPr>
        <w:t xml:space="preserve"> One inquiry participant noted assessment officers have greater experience and knowledge in LDC settings rather than OSHC (Outside Schools Hours Council of Australia, sub.</w:t>
      </w:r>
      <w:r>
        <w:rPr>
          <w:rFonts w:cstheme="minorHAnsi"/>
        </w:rPr>
        <w:t> </w:t>
      </w:r>
      <w:r w:rsidRPr="00EC7A2E">
        <w:rPr>
          <w:rFonts w:cstheme="minorHAnsi"/>
        </w:rPr>
        <w:t>82, p.</w:t>
      </w:r>
      <w:r>
        <w:rPr>
          <w:rFonts w:cstheme="minorHAnsi"/>
        </w:rPr>
        <w:t> </w:t>
      </w:r>
      <w:r w:rsidRPr="00EC7A2E">
        <w:rPr>
          <w:rFonts w:cstheme="minorHAnsi"/>
        </w:rPr>
        <w:t>3). This suggests some of the issues may not necessarily arise from the standard in the NQF itself, but rather the way it is applied and assessed.</w:t>
      </w:r>
    </w:p>
    <w:p w14:paraId="7496B809" w14:textId="77777777" w:rsidR="004E051C" w:rsidRDefault="004E051C">
      <w:pPr>
        <w:pStyle w:val="BodyText"/>
        <w:rPr>
          <w:rFonts w:cstheme="minorHAnsi"/>
        </w:rPr>
      </w:pPr>
      <w:r>
        <w:rPr>
          <w:rFonts w:cstheme="minorHAnsi"/>
        </w:rPr>
        <w:t>Equally, it is reasonable to assume children in OSHC will have different needs to children below school age. For example, while the role of leisure in OSHC is reflected in the national approved learning framework for school</w:t>
      </w:r>
      <w:r>
        <w:rPr>
          <w:rFonts w:cstheme="minorHAnsi"/>
        </w:rPr>
        <w:noBreakHyphen/>
        <w:t xml:space="preserve">age care and in the Guide to the NQF, it is not reflected in the quality standard. </w:t>
      </w:r>
    </w:p>
    <w:p w14:paraId="551F2050" w14:textId="77777777" w:rsidR="004E051C" w:rsidRDefault="004E051C">
      <w:pPr>
        <w:pStyle w:val="BodyText"/>
        <w:rPr>
          <w:rFonts w:cstheme="minorHAnsi"/>
        </w:rPr>
      </w:pPr>
      <w:r>
        <w:rPr>
          <w:rFonts w:cstheme="minorHAnsi"/>
        </w:rPr>
        <w:t>In response to feedback from the 2019 NQF review</w:t>
      </w:r>
      <w:r w:rsidRPr="003B2080">
        <w:rPr>
          <w:rFonts w:cstheme="minorHAnsi"/>
        </w:rPr>
        <w:t>, governments agreed to review and consider changes to the assessment and rating methodology for OSHC services</w:t>
      </w:r>
      <w:r>
        <w:rPr>
          <w:rFonts w:cstheme="minorHAnsi"/>
        </w:rPr>
        <w:t xml:space="preserve"> </w:t>
      </w:r>
      <w:r w:rsidRPr="004C4573">
        <w:rPr>
          <w:rFonts w:ascii="Arial" w:hAnsi="Arial" w:cs="Arial"/>
          <w:szCs w:val="24"/>
        </w:rPr>
        <w:t>(2019 NQF Review 2023)</w:t>
      </w:r>
      <w:r w:rsidRPr="004E3B33">
        <w:rPr>
          <w:rFonts w:cstheme="minorHAnsi"/>
        </w:rPr>
        <w:t>.</w:t>
      </w:r>
      <w:r>
        <w:rPr>
          <w:rFonts w:cstheme="minorHAnsi"/>
        </w:rPr>
        <w:t xml:space="preserve"> </w:t>
      </w:r>
    </w:p>
    <w:p w14:paraId="26277E65" w14:textId="77777777" w:rsidR="004E051C" w:rsidRPr="00CF1746" w:rsidRDefault="004E051C">
      <w:pPr>
        <w:pStyle w:val="BodyText"/>
        <w:rPr>
          <w:rFonts w:cstheme="minorHAnsi"/>
          <w:spacing w:val="-4"/>
        </w:rPr>
      </w:pPr>
      <w:r w:rsidRPr="00CF1746">
        <w:rPr>
          <w:rFonts w:cstheme="minorHAnsi"/>
          <w:spacing w:val="-4"/>
        </w:rPr>
        <w:t xml:space="preserve">The Commission is seeking further information from inquiry participants on the suitability of the NQF for an OSHC context and whether further actions are needed to ensure appropriate quality regulation arrangements. </w:t>
      </w:r>
    </w:p>
    <w:p w14:paraId="5428C0A8" w14:textId="77777777" w:rsidR="004E051C" w:rsidRPr="00C32285" w:rsidRDefault="004E051C">
      <w:pPr>
        <w:pStyle w:val="BodyT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rsidRPr="00C32285" w14:paraId="6B2ACF80" w14:textId="77777777">
        <w:trPr>
          <w:trHeight w:val="765"/>
          <w:tblHeader/>
        </w:trPr>
        <w:tc>
          <w:tcPr>
            <w:tcW w:w="366" w:type="pct"/>
            <w:tcBorders>
              <w:bottom w:val="nil"/>
            </w:tcBorders>
            <w:tcMar>
              <w:bottom w:w="0" w:type="dxa"/>
            </w:tcMar>
            <w:vAlign w:val="center"/>
          </w:tcPr>
          <w:p w14:paraId="3A73D050" w14:textId="77777777" w:rsidR="004E051C" w:rsidRPr="00C32285" w:rsidRDefault="004E051C">
            <w:pPr>
              <w:pStyle w:val="BodyText"/>
            </w:pPr>
            <w:r w:rsidRPr="00C32285">
              <w:rPr>
                <w:noProof/>
              </w:rPr>
              <w:lastRenderedPageBreak/>
              <w:drawing>
                <wp:inline distT="0" distB="0" distL="0" distR="0" wp14:anchorId="559766B3" wp14:editId="2C4BB553">
                  <wp:extent cx="288000" cy="288000"/>
                  <wp:effectExtent l="0" t="0" r="0" b="0"/>
                  <wp:docPr id="11326990" name="Picture 113269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80B5A64" w14:textId="5EF93652" w:rsidR="004E051C" w:rsidRPr="00B2179A" w:rsidRDefault="004E051C">
            <w:pPr>
              <w:pStyle w:val="TableHeading"/>
              <w:keepNext/>
              <w:keepLines/>
              <w:spacing w:before="120" w:after="120"/>
              <w:contextualSpacing/>
              <w:rPr>
                <w:sz w:val="20"/>
              </w:rPr>
            </w:pPr>
            <w:r w:rsidRPr="00B2179A">
              <w:rPr>
                <w:sz w:val="20"/>
              </w:rPr>
              <w:t xml:space="preserve">Draft finding </w:t>
            </w:r>
            <w:r w:rsidR="00DC7EEE">
              <w:rPr>
                <w:noProof/>
                <w:sz w:val="20"/>
              </w:rPr>
              <w:t>2</w:t>
            </w:r>
            <w:r w:rsidRPr="00B2179A">
              <w:rPr>
                <w:sz w:val="20"/>
              </w:rPr>
              <w:t>.</w:t>
            </w:r>
            <w:r w:rsidR="00DC7EEE">
              <w:rPr>
                <w:noProof/>
                <w:sz w:val="20"/>
              </w:rPr>
              <w:t>3</w:t>
            </w:r>
          </w:p>
          <w:p w14:paraId="36977330" w14:textId="77777777" w:rsidR="004E051C" w:rsidRPr="00B2179A" w:rsidRDefault="004E051C">
            <w:pPr>
              <w:pStyle w:val="TableHeading"/>
              <w:keepNext/>
              <w:keepLines/>
              <w:spacing w:before="120" w:after="120"/>
              <w:contextualSpacing/>
              <w:rPr>
                <w:b w:val="0"/>
              </w:rPr>
            </w:pPr>
            <w:r w:rsidRPr="0043107F">
              <w:rPr>
                <w:sz w:val="20"/>
              </w:rPr>
              <w:t>It is unclear whether the National Quality Framework is fit</w:t>
            </w:r>
            <w:r w:rsidRPr="0043107F">
              <w:rPr>
                <w:sz w:val="20"/>
              </w:rPr>
              <w:noBreakHyphen/>
              <w:t>for</w:t>
            </w:r>
            <w:r w:rsidRPr="0043107F">
              <w:rPr>
                <w:sz w:val="20"/>
              </w:rPr>
              <w:noBreakHyphen/>
              <w:t>purpose for outside school hours care</w:t>
            </w:r>
          </w:p>
        </w:tc>
      </w:tr>
      <w:tr w:rsidR="004E051C" w14:paraId="06336967" w14:textId="77777777">
        <w:tc>
          <w:tcPr>
            <w:tcW w:w="5000" w:type="pct"/>
            <w:gridSpan w:val="2"/>
            <w:tcBorders>
              <w:top w:val="nil"/>
              <w:bottom w:val="single" w:sz="4" w:space="0" w:color="66BCDB" w:themeColor="text2"/>
            </w:tcBorders>
          </w:tcPr>
          <w:p w14:paraId="6467643F" w14:textId="77777777" w:rsidR="004E051C" w:rsidRPr="00CF1746" w:rsidRDefault="004E051C">
            <w:pPr>
              <w:pStyle w:val="BodyText"/>
              <w:keepLines/>
              <w:rPr>
                <w:spacing w:val="-4"/>
              </w:rPr>
            </w:pPr>
            <w:r w:rsidRPr="00CF1746">
              <w:rPr>
                <w:spacing w:val="-4"/>
              </w:rPr>
              <w:t>Under the National Quality Framework (NQF), outside school hours care (OSHC) services are regulated in a similar way to services for children under school age. But children in OSHC are likely to have different needs.</w:t>
            </w:r>
          </w:p>
          <w:p w14:paraId="6D7DC3BD" w14:textId="77777777" w:rsidR="004E051C" w:rsidRDefault="004E051C">
            <w:pPr>
              <w:pStyle w:val="BodyText"/>
              <w:keepLines/>
            </w:pPr>
            <w:r>
              <w:t xml:space="preserve">Despite the fact that children attending an OSHC service usually also attend the school at which that service is located, </w:t>
            </w:r>
            <w:r w:rsidRPr="00770935">
              <w:t>the Commission has heard of instances where the school environment may not meet the requirements of the NQF</w:t>
            </w:r>
            <w:r>
              <w:t>.</w:t>
            </w:r>
          </w:p>
          <w:p w14:paraId="0CCB175C" w14:textId="77777777" w:rsidR="004E051C" w:rsidRDefault="004E051C">
            <w:pPr>
              <w:pStyle w:val="BodyText"/>
              <w:keepLines/>
            </w:pPr>
            <w:r>
              <w:t>It is hard to determine whether the issues raised by inquiry participants relate to the standards in the NQF, the inappropriate application of those standards to an OSHC context or both.</w:t>
            </w:r>
          </w:p>
          <w:p w14:paraId="664BD4E6" w14:textId="2A390715" w:rsidR="004E051C" w:rsidRDefault="004E051C">
            <w:pPr>
              <w:pStyle w:val="BodyText"/>
              <w:keepLines/>
            </w:pPr>
            <w:r>
              <w:t>Moreover, while the national approved learning framework for school</w:t>
            </w:r>
            <w:r>
              <w:noBreakHyphen/>
              <w:t>aged care reflect</w:t>
            </w:r>
            <w:r w:rsidR="00132C46">
              <w:t>s</w:t>
            </w:r>
            <w:r>
              <w:t xml:space="preserve"> the importance of leisure, this is not reflected in the National Quality Standard.</w:t>
            </w:r>
          </w:p>
        </w:tc>
      </w:tr>
    </w:tbl>
    <w:p w14:paraId="7D5F52D4" w14:textId="2DB3EE40" w:rsidR="004E051C" w:rsidRDefault="004E051C">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E051C" w14:paraId="187948AE" w14:textId="77777777">
        <w:trPr>
          <w:trHeight w:val="765"/>
          <w:tblHeader/>
        </w:trPr>
        <w:tc>
          <w:tcPr>
            <w:tcW w:w="366" w:type="pct"/>
            <w:shd w:val="clear" w:color="auto" w:fill="EBEBEB"/>
            <w:tcMar>
              <w:bottom w:w="0" w:type="dxa"/>
            </w:tcMar>
            <w:vAlign w:val="center"/>
          </w:tcPr>
          <w:p w14:paraId="4CF99AFB" w14:textId="77777777" w:rsidR="004E051C" w:rsidRDefault="004E051C">
            <w:pPr>
              <w:pStyle w:val="NoSpacing"/>
              <w:keepNext/>
              <w:keepLines/>
              <w:jc w:val="right"/>
            </w:pPr>
            <w:r w:rsidRPr="00A51374">
              <w:rPr>
                <w:noProof/>
              </w:rPr>
              <w:drawing>
                <wp:inline distT="0" distB="0" distL="0" distR="0" wp14:anchorId="6F77F1E3" wp14:editId="67878F44">
                  <wp:extent cx="288000" cy="288000"/>
                  <wp:effectExtent l="0" t="0" r="0" b="0"/>
                  <wp:docPr id="827083320" name="Picture 827083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EBB74B7" w14:textId="7F99228B" w:rsidR="004E051C" w:rsidRPr="002530FF" w:rsidRDefault="004E051C">
            <w:pPr>
              <w:pStyle w:val="TableHeading"/>
              <w:keepNext/>
              <w:keepLines/>
              <w:spacing w:before="120" w:after="120"/>
              <w:contextualSpacing/>
              <w:rPr>
                <w:sz w:val="20"/>
              </w:rPr>
            </w:pPr>
            <w:r w:rsidRPr="000B0B71">
              <w:rPr>
                <w:sz w:val="20"/>
              </w:rPr>
              <w:t xml:space="preserve">Information request </w:t>
            </w:r>
            <w:r w:rsidR="00DC7EEE">
              <w:rPr>
                <w:noProof/>
                <w:sz w:val="20"/>
              </w:rPr>
              <w:t>2</w:t>
            </w:r>
            <w:r w:rsidRPr="00DF7217">
              <w:rPr>
                <w:sz w:val="20"/>
              </w:rPr>
              <w:t>.</w:t>
            </w:r>
            <w:r w:rsidR="00DC7EEE">
              <w:rPr>
                <w:noProof/>
                <w:sz w:val="20"/>
              </w:rPr>
              <w:t>1</w:t>
            </w:r>
          </w:p>
        </w:tc>
      </w:tr>
      <w:tr w:rsidR="00CF1746" w:rsidRPr="00CF1746" w14:paraId="78615CF6" w14:textId="77777777">
        <w:tc>
          <w:tcPr>
            <w:tcW w:w="5000" w:type="pct"/>
            <w:gridSpan w:val="2"/>
            <w:shd w:val="clear" w:color="auto" w:fill="EBEBEB"/>
          </w:tcPr>
          <w:p w14:paraId="7FE5F786" w14:textId="05DCD99E" w:rsidR="004E051C" w:rsidRPr="00CF1746" w:rsidRDefault="004E051C">
            <w:pPr>
              <w:pStyle w:val="BodyText"/>
              <w:keepNext/>
              <w:keepLines/>
              <w:rPr>
                <w:color w:val="265A9A" w:themeColor="background2"/>
              </w:rPr>
            </w:pPr>
            <w:r w:rsidRPr="00CF1746">
              <w:rPr>
                <w:color w:val="265A9A" w:themeColor="background2"/>
              </w:rPr>
              <w:t xml:space="preserve">The Commission seeks further information </w:t>
            </w:r>
            <w:r w:rsidR="00332620" w:rsidRPr="00CF1746">
              <w:rPr>
                <w:color w:val="265A9A" w:themeColor="background2"/>
              </w:rPr>
              <w:t>about</w:t>
            </w:r>
            <w:r w:rsidRPr="00CF1746">
              <w:rPr>
                <w:color w:val="265A9A" w:themeColor="background2"/>
              </w:rPr>
              <w:t xml:space="preserve"> the suitability of the National Quality Framework (NQF) for outside school hours </w:t>
            </w:r>
            <w:r w:rsidRPr="00CF1746" w:rsidDel="00492070">
              <w:rPr>
                <w:color w:val="265A9A" w:themeColor="background2"/>
              </w:rPr>
              <w:t>c</w:t>
            </w:r>
            <w:r w:rsidRPr="00CF1746">
              <w:rPr>
                <w:color w:val="265A9A" w:themeColor="background2"/>
              </w:rPr>
              <w:t xml:space="preserve">are (OSHC) services. </w:t>
            </w:r>
          </w:p>
          <w:p w14:paraId="3455D85A" w14:textId="77777777" w:rsidR="004E051C" w:rsidRPr="00CF1746" w:rsidRDefault="004E051C" w:rsidP="00E01114">
            <w:pPr>
              <w:pStyle w:val="ListBullet"/>
              <w:rPr>
                <w:color w:val="265A9A" w:themeColor="background2"/>
              </w:rPr>
            </w:pPr>
            <w:r w:rsidRPr="00CF1746">
              <w:rPr>
                <w:color w:val="265A9A" w:themeColor="background2"/>
              </w:rPr>
              <w:t>Is the NQF suitable for an OSHC context and for school</w:t>
            </w:r>
            <w:r w:rsidRPr="00CF1746">
              <w:rPr>
                <w:color w:val="265A9A" w:themeColor="background2"/>
              </w:rPr>
              <w:noBreakHyphen/>
              <w:t xml:space="preserve">aged children? If not, why? </w:t>
            </w:r>
          </w:p>
          <w:p w14:paraId="5C59B428" w14:textId="77777777" w:rsidR="004E051C" w:rsidRPr="00CF1746" w:rsidRDefault="004E051C" w:rsidP="00E01114">
            <w:pPr>
              <w:pStyle w:val="ListBullet"/>
              <w:rPr>
                <w:color w:val="265A9A" w:themeColor="background2"/>
              </w:rPr>
            </w:pPr>
            <w:r w:rsidRPr="00CF1746">
              <w:rPr>
                <w:color w:val="265A9A" w:themeColor="background2"/>
              </w:rPr>
              <w:t>If not, would further guidance to services and assessing officers on how NQF requirements should apply in an OSHC setting be sufficient to address concerns? Or are modifications to the NQF required to account for the needs of school</w:t>
            </w:r>
            <w:r w:rsidRPr="00CF1746">
              <w:rPr>
                <w:color w:val="265A9A" w:themeColor="background2"/>
              </w:rPr>
              <w:noBreakHyphen/>
              <w:t xml:space="preserve">aged children? </w:t>
            </w:r>
          </w:p>
        </w:tc>
      </w:tr>
    </w:tbl>
    <w:p w14:paraId="6B4604FA" w14:textId="77777777" w:rsidR="004E051C" w:rsidRPr="00781DCD" w:rsidRDefault="004E051C" w:rsidP="0058550C">
      <w:pPr>
        <w:pStyle w:val="Heading2"/>
      </w:pPr>
      <w:bookmarkStart w:id="10" w:name="_Toc150769145"/>
      <w:bookmarkStart w:id="11" w:name="_Toc150787220"/>
      <w:bookmarkStart w:id="12" w:name="_Toc150950407"/>
      <w:r w:rsidRPr="00781DCD">
        <w:t xml:space="preserve">Some children require additional support to </w:t>
      </w:r>
      <w:r w:rsidRPr="00EF753B">
        <w:t>participate</w:t>
      </w:r>
      <w:r w:rsidRPr="00781DCD">
        <w:t xml:space="preserve"> in ECEC services</w:t>
      </w:r>
      <w:bookmarkEnd w:id="10"/>
      <w:bookmarkEnd w:id="11"/>
      <w:bookmarkEnd w:id="12"/>
    </w:p>
    <w:p w14:paraId="7839C987" w14:textId="77777777" w:rsidR="004E051C" w:rsidRDefault="004E051C">
      <w:pPr>
        <w:pStyle w:val="BodyText"/>
      </w:pPr>
      <w:r w:rsidRPr="007133E5">
        <w:t>While the NQF provides a foundation to ensure</w:t>
      </w:r>
      <w:r w:rsidRPr="00036AFD">
        <w:t xml:space="preserve"> </w:t>
      </w:r>
      <w:r w:rsidRPr="00EF753B">
        <w:t>all</w:t>
      </w:r>
      <w:r w:rsidRPr="007133E5">
        <w:t xml:space="preserve"> children receive quality ECEC, </w:t>
      </w:r>
      <w:r w:rsidRPr="00EF753B">
        <w:t xml:space="preserve">some children may require additional support or adjustments to </w:t>
      </w:r>
      <w:r>
        <w:t>participate fully</w:t>
      </w:r>
      <w:r w:rsidRPr="00EF753B">
        <w:t>.</w:t>
      </w:r>
    </w:p>
    <w:p w14:paraId="5BF530A9" w14:textId="77777777" w:rsidR="004E051C" w:rsidRDefault="004E051C">
      <w:pPr>
        <w:pStyle w:val="BodyText"/>
      </w:pPr>
      <w:r w:rsidRPr="00931556">
        <w:t xml:space="preserve">To achieve this, additional programs and funding may be required to ensure inclusive access and participation for some children in mainstream settings. </w:t>
      </w:r>
      <w:r>
        <w:t>Examples</w:t>
      </w:r>
      <w:r w:rsidRPr="00931556">
        <w:t xml:space="preserve"> include</w:t>
      </w:r>
      <w:r w:rsidRPr="00931556" w:rsidDel="00AB0810">
        <w:t xml:space="preserve"> the</w:t>
      </w:r>
      <w:r w:rsidRPr="00931556">
        <w:t xml:space="preserve"> Inclusion Support Program </w:t>
      </w:r>
      <w:r>
        <w:t>(ISP)</w:t>
      </w:r>
      <w:r w:rsidRPr="00931556">
        <w:t xml:space="preserve"> </w:t>
      </w:r>
      <w:r>
        <w:t>and</w:t>
      </w:r>
      <w:r w:rsidRPr="00931556">
        <w:t xml:space="preserve"> state </w:t>
      </w:r>
      <w:r w:rsidRPr="00AF72AB">
        <w:t>and territory initiatives that aim to improve inclusion and the cultural safety and responsiveness of services.</w:t>
      </w:r>
    </w:p>
    <w:p w14:paraId="68589D88" w14:textId="77777777" w:rsidR="004E051C" w:rsidRDefault="004E051C">
      <w:pPr>
        <w:pStyle w:val="BodyText"/>
      </w:pPr>
      <w:r w:rsidRPr="00AF72AB">
        <w:t>This section first outlines what is meant by inclusion and the cohorts who may have additional needs in ECEC. It then considers:</w:t>
      </w:r>
    </w:p>
    <w:p w14:paraId="2AA057F4" w14:textId="77777777" w:rsidR="004E051C" w:rsidRPr="003D1A4A" w:rsidRDefault="004E051C" w:rsidP="00E01114">
      <w:pPr>
        <w:pStyle w:val="ListBullet"/>
      </w:pPr>
      <w:r w:rsidRPr="003D1A4A">
        <w:t>requirements for ECEC services to provide an inclusive service</w:t>
      </w:r>
    </w:p>
    <w:p w14:paraId="645AF48B" w14:textId="77777777" w:rsidR="004E051C" w:rsidRPr="003D1A4A" w:rsidRDefault="004E051C" w:rsidP="00E01114">
      <w:pPr>
        <w:pStyle w:val="ListBullet"/>
      </w:pPr>
      <w:r w:rsidRPr="003D1A4A">
        <w:t xml:space="preserve">the cultural </w:t>
      </w:r>
      <w:r w:rsidRPr="00882A4F">
        <w:t>safety and responsiveness of ECEC</w:t>
      </w:r>
      <w:r w:rsidRPr="003D1A4A">
        <w:t xml:space="preserve"> services</w:t>
      </w:r>
    </w:p>
    <w:p w14:paraId="10646E96" w14:textId="77777777" w:rsidR="004E051C" w:rsidRPr="003D1A4A" w:rsidRDefault="004E051C" w:rsidP="00E01114">
      <w:pPr>
        <w:pStyle w:val="ListBullet"/>
      </w:pPr>
      <w:r>
        <w:t>t</w:t>
      </w:r>
      <w:r w:rsidRPr="003D1A4A">
        <w:t xml:space="preserve">he </w:t>
      </w:r>
      <w:r>
        <w:t>ISP.</w:t>
      </w:r>
      <w:r w:rsidRPr="003D1A4A">
        <w:t xml:space="preserve"> </w:t>
      </w:r>
    </w:p>
    <w:p w14:paraId="77F32E28" w14:textId="77777777" w:rsidR="004E051C" w:rsidRPr="00931556" w:rsidRDefault="004E051C">
      <w:pPr>
        <w:pStyle w:val="Heading3"/>
      </w:pPr>
      <w:r w:rsidRPr="00931556">
        <w:lastRenderedPageBreak/>
        <w:t>Defining inclusion</w:t>
      </w:r>
      <w:r>
        <w:t xml:space="preserve"> and looking more closely at children with additional needs</w:t>
      </w:r>
    </w:p>
    <w:p w14:paraId="473EA12D" w14:textId="77777777" w:rsidR="004E051C" w:rsidRPr="00E4330D" w:rsidRDefault="004E051C">
      <w:pPr>
        <w:pStyle w:val="BodyText"/>
      </w:pPr>
      <w:r w:rsidRPr="00931556">
        <w:t xml:space="preserve">Inclusion </w:t>
      </w:r>
      <w:r w:rsidRPr="008B1BEC">
        <w:t xml:space="preserve">in an ECEC context can be defined in many ways. Early Childhood Australia offers a useful definition, outlining that inclusion </w:t>
      </w:r>
      <w:r w:rsidRPr="00AA2EFE">
        <w:t xml:space="preserve">involves every child having access to, participating meaningfully in, and </w:t>
      </w:r>
      <w:r w:rsidRPr="00E4330D">
        <w:t xml:space="preserve">experiencing positive outcomes from ECEC </w:t>
      </w:r>
      <w:r w:rsidRPr="00E4330D">
        <w:rPr>
          <w:rFonts w:ascii="Arial" w:hAnsi="Arial" w:cs="Arial"/>
          <w:szCs w:val="24"/>
        </w:rPr>
        <w:t>(Early Childhood Australia </w:t>
      </w:r>
      <w:proofErr w:type="spellStart"/>
      <w:r w:rsidRPr="00E4330D">
        <w:rPr>
          <w:rFonts w:ascii="Arial" w:hAnsi="Arial" w:cs="Arial"/>
          <w:szCs w:val="24"/>
        </w:rPr>
        <w:t>nd</w:t>
      </w:r>
      <w:proofErr w:type="spellEnd"/>
      <w:r w:rsidRPr="00E4330D">
        <w:rPr>
          <w:rFonts w:ascii="Arial" w:hAnsi="Arial" w:cs="Arial"/>
          <w:szCs w:val="24"/>
        </w:rPr>
        <w:t>)</w:t>
      </w:r>
      <w:r w:rsidRPr="00E4330D">
        <w:t>.</w:t>
      </w:r>
    </w:p>
    <w:p w14:paraId="48BA23DF" w14:textId="77777777" w:rsidR="004E051C" w:rsidRPr="001322EB" w:rsidRDefault="004E051C">
      <w:pPr>
        <w:pStyle w:val="BodyText"/>
      </w:pPr>
      <w:r w:rsidRPr="00E4330D">
        <w:t>Inclusion and equal access are enshrined in the United Nations Declaration on the Rights of Indigenous Peoples,</w:t>
      </w:r>
      <w:r w:rsidRPr="00D10F0A">
        <w:rPr>
          <w:rStyle w:val="FootnoteReference"/>
        </w:rPr>
        <w:footnoteReference w:id="10"/>
      </w:r>
      <w:r w:rsidRPr="00E4330D">
        <w:t xml:space="preserve"> the United Nations Convention on the Rights of Persons with Disabilities,</w:t>
      </w:r>
      <w:r w:rsidRPr="00D10F0A">
        <w:rPr>
          <w:rStyle w:val="FootnoteReference"/>
        </w:rPr>
        <w:footnoteReference w:id="11"/>
      </w:r>
      <w:r w:rsidRPr="00E4330D">
        <w:t xml:space="preserve"> and the United Nations Convention on the Rights of the Child.</w:t>
      </w:r>
      <w:r w:rsidRPr="00D10F0A">
        <w:rPr>
          <w:rStyle w:val="FootnoteReference"/>
        </w:rPr>
        <w:footnoteReference w:id="12"/>
      </w:r>
      <w:r w:rsidRPr="00E4330D">
        <w:rPr>
          <w:rStyle w:val="FootnoteReference"/>
        </w:rPr>
        <w:t xml:space="preserve"> </w:t>
      </w:r>
      <w:r w:rsidRPr="00E4330D">
        <w:t xml:space="preserve">These conventions </w:t>
      </w:r>
      <w:r w:rsidRPr="007D4344">
        <w:t>recognise the importance</w:t>
      </w:r>
      <w:r w:rsidRPr="001322EB">
        <w:t xml:space="preserve"> of equal access and participation of children with disability and/or from Indigenous backgrounds.</w:t>
      </w:r>
    </w:p>
    <w:p w14:paraId="27FF0AC3" w14:textId="77777777" w:rsidR="004E051C" w:rsidRPr="0062283E" w:rsidRDefault="004E051C">
      <w:pPr>
        <w:pStyle w:val="BodyText"/>
        <w:rPr>
          <w:rFonts w:cstheme="minorHAnsi"/>
        </w:rPr>
      </w:pPr>
      <w:r>
        <w:rPr>
          <w:rFonts w:cstheme="minorHAnsi"/>
        </w:rPr>
        <w:t xml:space="preserve">While there is no national definition of children who may have additional needs in </w:t>
      </w:r>
      <w:r w:rsidRPr="0021266F">
        <w:rPr>
          <w:rFonts w:cstheme="minorHAnsi"/>
        </w:rPr>
        <w:t>ECEC, the ISP Guidelines note this may include children who:</w:t>
      </w:r>
    </w:p>
    <w:p w14:paraId="7E4CB221" w14:textId="77777777" w:rsidR="004E051C" w:rsidRDefault="004E051C" w:rsidP="00E01114">
      <w:pPr>
        <w:pStyle w:val="ListBullet"/>
      </w:pPr>
      <w:r w:rsidRPr="19B5B694">
        <w:t>have a disability or developmental delay</w:t>
      </w:r>
    </w:p>
    <w:p w14:paraId="5F5A8D47" w14:textId="77777777" w:rsidR="004E051C" w:rsidRDefault="004E051C" w:rsidP="00E01114">
      <w:pPr>
        <w:pStyle w:val="ListBullet"/>
      </w:pPr>
      <w:r w:rsidRPr="19B5B694">
        <w:t>are presenting with challenging behaviours</w:t>
      </w:r>
    </w:p>
    <w:p w14:paraId="2FEACF36" w14:textId="77777777" w:rsidR="004E051C" w:rsidRDefault="004E051C" w:rsidP="00E01114">
      <w:pPr>
        <w:pStyle w:val="ListBullet"/>
      </w:pPr>
      <w:r w:rsidRPr="19B5B694">
        <w:t>have a serious medical or health condition, including mental health</w:t>
      </w:r>
    </w:p>
    <w:p w14:paraId="5E1C0C1A" w14:textId="77777777" w:rsidR="004E051C" w:rsidRDefault="004E051C" w:rsidP="00E01114">
      <w:pPr>
        <w:pStyle w:val="ListBullet"/>
      </w:pPr>
      <w:r w:rsidRPr="19B5B694">
        <w:t>are presenting with trauma</w:t>
      </w:r>
      <w:r>
        <w:noBreakHyphen/>
      </w:r>
      <w:r w:rsidRPr="19B5B694">
        <w:t xml:space="preserve">related behaviours </w:t>
      </w:r>
      <w:r w:rsidRPr="00383A79">
        <w:rPr>
          <w:rFonts w:ascii="Arial" w:hAnsi="Arial" w:cs="Arial"/>
          <w:szCs w:val="24"/>
        </w:rPr>
        <w:t>(DoE 2023b, p. 6)</w:t>
      </w:r>
      <w:r w:rsidRPr="19B5B694">
        <w:t>.</w:t>
      </w:r>
    </w:p>
    <w:p w14:paraId="75093834" w14:textId="77777777" w:rsidR="004E051C" w:rsidRDefault="004E051C">
      <w:pPr>
        <w:pStyle w:val="BodyText"/>
        <w:rPr>
          <w:rFonts w:cstheme="minorHAnsi"/>
        </w:rPr>
      </w:pPr>
      <w:r>
        <w:rPr>
          <w:rFonts w:cstheme="minorHAnsi"/>
        </w:rPr>
        <w:t xml:space="preserve">The guidelines </w:t>
      </w:r>
      <w:r w:rsidRPr="0062283E">
        <w:rPr>
          <w:rFonts w:cstheme="minorHAnsi"/>
        </w:rPr>
        <w:t>also recognise specific considerations, such as cultural support, may be required to ensure that some children are able to participate fully in ECEC services</w:t>
      </w:r>
      <w:r>
        <w:rPr>
          <w:rFonts w:cstheme="minorHAnsi"/>
        </w:rPr>
        <w:t xml:space="preserve">, </w:t>
      </w:r>
      <w:r w:rsidRPr="0062283E">
        <w:rPr>
          <w:rFonts w:cstheme="minorHAnsi"/>
        </w:rPr>
        <w:t>includ</w:t>
      </w:r>
      <w:r>
        <w:rPr>
          <w:rFonts w:cstheme="minorHAnsi"/>
        </w:rPr>
        <w:t>ing</w:t>
      </w:r>
      <w:r w:rsidRPr="0062283E">
        <w:rPr>
          <w:rFonts w:cstheme="minorHAnsi"/>
        </w:rPr>
        <w:t>:</w:t>
      </w:r>
    </w:p>
    <w:p w14:paraId="7DBE1F45" w14:textId="77777777" w:rsidR="004E051C" w:rsidRPr="00EC2732" w:rsidRDefault="004E051C" w:rsidP="00E01114">
      <w:pPr>
        <w:pStyle w:val="ListBullet"/>
        <w:rPr>
          <w:rFonts w:cstheme="minorHAnsi"/>
        </w:rPr>
      </w:pPr>
      <w:r w:rsidRPr="19B5B694">
        <w:t>Aboriginal and Torres Strait Islander children</w:t>
      </w:r>
    </w:p>
    <w:p w14:paraId="01C287FE" w14:textId="77777777" w:rsidR="004E051C" w:rsidRPr="00EC2732" w:rsidRDefault="004E051C" w:rsidP="00E01114">
      <w:pPr>
        <w:pStyle w:val="ListBullet"/>
        <w:rPr>
          <w:rFonts w:cstheme="minorHAnsi"/>
        </w:rPr>
      </w:pPr>
      <w:r w:rsidRPr="19B5B694">
        <w:t xml:space="preserve">children from </w:t>
      </w:r>
      <w:r>
        <w:t>culturally and linguistically diverse (CALD)</w:t>
      </w:r>
      <w:r w:rsidRPr="19B5B694">
        <w:t xml:space="preserve"> backgrounds</w:t>
      </w:r>
    </w:p>
    <w:p w14:paraId="1EE7BA5F" w14:textId="77777777" w:rsidR="004E051C" w:rsidRPr="00C831C8" w:rsidRDefault="004E051C" w:rsidP="00E01114">
      <w:pPr>
        <w:pStyle w:val="ListBullet"/>
        <w:rPr>
          <w:rFonts w:cstheme="minorHAnsi"/>
        </w:rPr>
      </w:pPr>
      <w:r w:rsidRPr="0AEBE3F8">
        <w:t>children from refugee or humanitarian backgrounds</w:t>
      </w:r>
      <w:r>
        <w:t xml:space="preserve"> </w:t>
      </w:r>
      <w:r w:rsidRPr="00DE0E4E">
        <w:rPr>
          <w:rFonts w:ascii="Arial" w:hAnsi="Arial" w:cs="Arial"/>
          <w:szCs w:val="24"/>
        </w:rPr>
        <w:t>(DoE 2023b, p. 6)</w:t>
      </w:r>
      <w:r w:rsidRPr="00C16A8A">
        <w:t>.</w:t>
      </w:r>
    </w:p>
    <w:p w14:paraId="3AE5909A" w14:textId="77777777" w:rsidR="004E051C" w:rsidRPr="00C831C8" w:rsidRDefault="004E051C">
      <w:pPr>
        <w:pStyle w:val="BodyText"/>
      </w:pPr>
      <w:r w:rsidRPr="00C831C8">
        <w:t xml:space="preserve">For the children mentioned above, this paper adopts the term ‘children with additional </w:t>
      </w:r>
      <w:proofErr w:type="gramStart"/>
      <w:r w:rsidRPr="00C831C8">
        <w:t>needs’</w:t>
      </w:r>
      <w:proofErr w:type="gramEnd"/>
      <w:r w:rsidRPr="00C831C8">
        <w:t>.</w:t>
      </w:r>
      <w:r w:rsidRPr="00C831C8" w:rsidDel="0017710E">
        <w:t xml:space="preserve"> </w:t>
      </w:r>
      <w:r w:rsidRPr="00C831C8">
        <w:t xml:space="preserve">It does not assume all children in the identified groups are inherently vulnerable or disadvantaged, although some may be in vulnerable situations. For example, </w:t>
      </w:r>
      <w:r w:rsidRPr="00C831C8">
        <w:rPr>
          <w:rFonts w:ascii="Arial" w:eastAsia="Arial" w:hAnsi="Arial"/>
        </w:rPr>
        <w:t xml:space="preserve">not all children with disability have high support needs and the support required will vary significantly based on the child’s circumstances. </w:t>
      </w:r>
      <w:r w:rsidRPr="00C831C8">
        <w:t>Children may have multiple additional needs, meaning an intersectional approach is required.</w:t>
      </w:r>
    </w:p>
    <w:p w14:paraId="13E9365F" w14:textId="77777777" w:rsidR="004E051C" w:rsidRDefault="004E051C">
      <w:pPr>
        <w:pStyle w:val="BodyText"/>
        <w:rPr>
          <w:rFonts w:ascii="Arial" w:eastAsia="Arial" w:hAnsi="Arial"/>
        </w:rPr>
      </w:pPr>
      <w:r w:rsidRPr="00FF6A2B">
        <w:rPr>
          <w:rFonts w:ascii="Arial" w:eastAsia="Arial" w:hAnsi="Arial"/>
        </w:rPr>
        <w:t>While it is not possible to articulate all of these experiences</w:t>
      </w:r>
      <w:r>
        <w:rPr>
          <w:rFonts w:ascii="Arial" w:eastAsia="Arial" w:hAnsi="Arial"/>
        </w:rPr>
        <w:t xml:space="preserve"> or cover all of these cohorts</w:t>
      </w:r>
      <w:r w:rsidRPr="00FF6A2B">
        <w:rPr>
          <w:rFonts w:ascii="Arial" w:eastAsia="Arial" w:hAnsi="Arial"/>
        </w:rPr>
        <w:t xml:space="preserve"> in this paper, the </w:t>
      </w:r>
      <w:r>
        <w:rPr>
          <w:rFonts w:ascii="Arial" w:eastAsia="Arial" w:hAnsi="Arial"/>
        </w:rPr>
        <w:t xml:space="preserve">discussion </w:t>
      </w:r>
      <w:r w:rsidRPr="00FF6A2B">
        <w:rPr>
          <w:rFonts w:ascii="Arial" w:eastAsia="Arial" w:hAnsi="Arial"/>
        </w:rPr>
        <w:t xml:space="preserve">below illustrates some of the </w:t>
      </w:r>
      <w:r>
        <w:rPr>
          <w:rFonts w:ascii="Arial" w:eastAsia="Arial" w:hAnsi="Arial"/>
        </w:rPr>
        <w:t>factors that may need to be considered</w:t>
      </w:r>
      <w:r w:rsidRPr="00FF6A2B">
        <w:rPr>
          <w:rFonts w:ascii="Arial" w:eastAsia="Arial" w:hAnsi="Arial"/>
        </w:rPr>
        <w:t>, drawing from the experiences of inquiry participants.</w:t>
      </w:r>
    </w:p>
    <w:p w14:paraId="74D7867E" w14:textId="77777777" w:rsidR="004E051C" w:rsidRPr="00FF6A2B" w:rsidRDefault="004E051C">
      <w:pPr>
        <w:pStyle w:val="Heading4"/>
        <w:rPr>
          <w:rFonts w:eastAsia="SimHei"/>
        </w:rPr>
      </w:pPr>
      <w:r w:rsidRPr="00FF6A2B">
        <w:lastRenderedPageBreak/>
        <w:t xml:space="preserve">Some children </w:t>
      </w:r>
      <w:r>
        <w:rPr>
          <w:rFonts w:eastAsia="SimHei"/>
        </w:rPr>
        <w:t>with</w:t>
      </w:r>
      <w:r w:rsidRPr="00FF6A2B">
        <w:t xml:space="preserve"> disability, developmental delay or challenging behaviour</w:t>
      </w:r>
      <w:r>
        <w:t xml:space="preserve"> </w:t>
      </w:r>
      <w:r>
        <w:rPr>
          <w:rFonts w:eastAsia="SimHei"/>
        </w:rPr>
        <w:t>experience exclusion</w:t>
      </w:r>
    </w:p>
    <w:p w14:paraId="0B4F8185" w14:textId="77777777" w:rsidR="004E051C" w:rsidRPr="00FF6A2B" w:rsidRDefault="004E051C">
      <w:pPr>
        <w:rPr>
          <w:rFonts w:ascii="Arial" w:eastAsia="Arial" w:hAnsi="Arial" w:cs="Arial"/>
        </w:rPr>
      </w:pPr>
      <w:r w:rsidRPr="00FF6A2B">
        <w:rPr>
          <w:rFonts w:ascii="Arial" w:hAnsi="Arial" w:cs="Arial"/>
        </w:rPr>
        <w:t>While some services</w:t>
      </w:r>
      <w:r w:rsidRPr="00FF6A2B">
        <w:rPr>
          <w:rFonts w:ascii="Arial" w:hAnsi="Arial" w:cs="Arial"/>
          <w:bCs/>
        </w:rPr>
        <w:t xml:space="preserve"> are adept at supporting children with disability, </w:t>
      </w:r>
      <w:r>
        <w:rPr>
          <w:rFonts w:ascii="Arial" w:eastAsia="Arial" w:hAnsi="Arial" w:cs="Arial"/>
          <w:bCs/>
        </w:rPr>
        <w:t xml:space="preserve">developmental delay or challenging behaviour, </w:t>
      </w:r>
      <w:r w:rsidRPr="00FF6A2B">
        <w:rPr>
          <w:rFonts w:ascii="Arial" w:hAnsi="Arial" w:cs="Arial"/>
          <w:bCs/>
        </w:rPr>
        <w:t>others</w:t>
      </w:r>
      <w:r w:rsidRPr="00FF6A2B">
        <w:rPr>
          <w:rFonts w:ascii="Arial" w:eastAsia="Arial" w:hAnsi="Arial" w:cs="Arial"/>
          <w:bCs/>
        </w:rPr>
        <w:t xml:space="preserve"> may struggle to meet children’s needs. As a result, children may be refused enrolment, provided with inadequate </w:t>
      </w:r>
      <w:r w:rsidRPr="00FF6A2B">
        <w:rPr>
          <w:rFonts w:ascii="Arial" w:hAnsi="Arial" w:cs="Arial"/>
          <w:bCs/>
        </w:rPr>
        <w:t>support</w:t>
      </w:r>
      <w:r w:rsidRPr="00FF6A2B">
        <w:rPr>
          <w:rFonts w:ascii="Arial" w:eastAsia="Arial" w:hAnsi="Arial" w:cs="Arial"/>
          <w:bCs/>
        </w:rPr>
        <w:t xml:space="preserve">, or asked </w:t>
      </w:r>
      <w:r w:rsidRPr="002710F8">
        <w:rPr>
          <w:rFonts w:ascii="Arial" w:eastAsia="Arial" w:hAnsi="Arial" w:cs="Arial"/>
          <w:bCs/>
        </w:rPr>
        <w:t xml:space="preserve">to leave. </w:t>
      </w:r>
      <w:proofErr w:type="spellStart"/>
      <w:r w:rsidRPr="002710F8">
        <w:rPr>
          <w:rFonts w:ascii="Arial" w:eastAsia="Arial" w:hAnsi="Arial" w:cs="Arial"/>
        </w:rPr>
        <w:t>Goodstart</w:t>
      </w:r>
      <w:proofErr w:type="spellEnd"/>
      <w:r w:rsidRPr="002710F8">
        <w:rPr>
          <w:rFonts w:ascii="Arial" w:eastAsia="Arial" w:hAnsi="Arial" w:cs="Arial"/>
        </w:rPr>
        <w:t xml:space="preserve"> Early Learning noted that:</w:t>
      </w:r>
    </w:p>
    <w:p w14:paraId="0428749B" w14:textId="77777777" w:rsidR="004E051C" w:rsidRDefault="004E051C">
      <w:pPr>
        <w:spacing w:before="60"/>
        <w:ind w:left="113" w:right="851"/>
        <w:rPr>
          <w:rFonts w:ascii="Arial" w:eastAsia="Arial" w:hAnsi="Arial" w:cs="Arial"/>
          <w:color w:val="58585B"/>
        </w:rPr>
      </w:pPr>
      <w:r>
        <w:rPr>
          <w:rFonts w:ascii="Arial" w:eastAsia="Arial" w:hAnsi="Arial"/>
          <w:color w:val="58585B"/>
        </w:rPr>
        <w:t>c</w:t>
      </w:r>
      <w:r w:rsidRPr="00FF6A2B">
        <w:rPr>
          <w:rFonts w:ascii="Arial" w:eastAsia="Arial" w:hAnsi="Arial" w:cs="Arial"/>
          <w:color w:val="58585B"/>
        </w:rPr>
        <w:t>hildren living with disability, developmental delay and other inclusion support needs often face exclusion from mainstream ECEC services because the service cannot meet their needs. These needs can range from requiring an additional educator to ensure children can safely participate, requiring adjustments to the program or physical environment, or requiring specialist support such as peg</w:t>
      </w:r>
      <w:r>
        <w:rPr>
          <w:rFonts w:ascii="Arial" w:eastAsia="Arial" w:hAnsi="Arial" w:cs="Arial"/>
          <w:color w:val="58585B"/>
        </w:rPr>
        <w:noBreakHyphen/>
      </w:r>
      <w:r w:rsidRPr="00FF6A2B">
        <w:rPr>
          <w:rFonts w:ascii="Arial" w:eastAsia="Arial" w:hAnsi="Arial" w:cs="Arial"/>
          <w:color w:val="58585B"/>
        </w:rPr>
        <w:t xml:space="preserve">feeding or intensive medical management. </w:t>
      </w:r>
      <w:r w:rsidRPr="00C160C3">
        <w:rPr>
          <w:rFonts w:ascii="Arial" w:eastAsia="Arial" w:hAnsi="Arial" w:cs="Arial"/>
          <w:color w:val="58585B"/>
        </w:rPr>
        <w:t>(sub. </w:t>
      </w:r>
      <w:r w:rsidRPr="001A03CD">
        <w:rPr>
          <w:rStyle w:val="QuoteChar"/>
        </w:rPr>
        <w:t>125, p. 56)</w:t>
      </w:r>
    </w:p>
    <w:p w14:paraId="1F0E1502" w14:textId="77777777" w:rsidR="004E051C" w:rsidRDefault="004E051C">
      <w:pPr>
        <w:spacing w:before="0"/>
        <w:rPr>
          <w:rFonts w:ascii="Arial" w:hAnsi="Arial" w:cs="Arial"/>
        </w:rPr>
      </w:pPr>
      <w:r>
        <w:rPr>
          <w:rFonts w:ascii="Arial" w:eastAsia="Arial" w:hAnsi="Arial" w:cs="Arial"/>
        </w:rPr>
        <w:t xml:space="preserve">Several participants reported </w:t>
      </w:r>
      <w:r w:rsidRPr="00FF6A2B">
        <w:rPr>
          <w:rFonts w:ascii="Arial" w:hAnsi="Arial" w:cs="Arial"/>
        </w:rPr>
        <w:t xml:space="preserve">gatekeeping, </w:t>
      </w:r>
      <w:r>
        <w:rPr>
          <w:rFonts w:ascii="Arial" w:eastAsia="Arial" w:hAnsi="Arial" w:cs="Arial"/>
        </w:rPr>
        <w:t xml:space="preserve">requests from services for partial attendance, </w:t>
      </w:r>
      <w:r w:rsidRPr="00FF6A2B">
        <w:rPr>
          <w:rFonts w:ascii="Arial" w:hAnsi="Arial" w:cs="Arial"/>
        </w:rPr>
        <w:t xml:space="preserve">suspensions, expulsions and other exclusionary practices (for example, </w:t>
      </w:r>
      <w:r>
        <w:rPr>
          <w:rFonts w:ascii="Arial" w:hAnsi="Arial" w:cs="Arial"/>
        </w:rPr>
        <w:t>T</w:t>
      </w:r>
      <w:r w:rsidRPr="00FF6A2B">
        <w:rPr>
          <w:rFonts w:ascii="Arial" w:hAnsi="Arial" w:cs="Arial"/>
        </w:rPr>
        <w:t>he Parenthood, sub.</w:t>
      </w:r>
      <w:r>
        <w:rPr>
          <w:rFonts w:ascii="Arial" w:eastAsia="Arial" w:hAnsi="Arial" w:cs="Arial"/>
        </w:rPr>
        <w:t> 122</w:t>
      </w:r>
      <w:r w:rsidRPr="00FF6A2B">
        <w:rPr>
          <w:rFonts w:ascii="Arial" w:hAnsi="Arial" w:cs="Arial"/>
        </w:rPr>
        <w:t>, p.</w:t>
      </w:r>
      <w:r>
        <w:rPr>
          <w:rFonts w:ascii="Arial" w:hAnsi="Arial" w:cs="Arial"/>
        </w:rPr>
        <w:t> </w:t>
      </w:r>
      <w:r>
        <w:rPr>
          <w:rFonts w:ascii="Arial" w:eastAsia="Arial" w:hAnsi="Arial" w:cs="Arial"/>
        </w:rPr>
        <w:t>6</w:t>
      </w:r>
      <w:r w:rsidRPr="00FF6A2B">
        <w:rPr>
          <w:rFonts w:ascii="Arial" w:hAnsi="Arial" w:cs="Arial"/>
        </w:rPr>
        <w:t>; Family Advocacy, sub.</w:t>
      </w:r>
      <w:r>
        <w:rPr>
          <w:rFonts w:ascii="Arial" w:hAnsi="Arial" w:cs="Arial"/>
        </w:rPr>
        <w:t> </w:t>
      </w:r>
      <w:r w:rsidRPr="00FF6A2B">
        <w:rPr>
          <w:rFonts w:ascii="Arial" w:hAnsi="Arial" w:cs="Arial"/>
        </w:rPr>
        <w:t>118, p. 4</w:t>
      </w:r>
      <w:r>
        <w:rPr>
          <w:rFonts w:ascii="Arial" w:eastAsia="Arial" w:hAnsi="Arial" w:cs="Arial"/>
        </w:rPr>
        <w:t xml:space="preserve">; Association for Children </w:t>
      </w:r>
      <w:r w:rsidRPr="00047C27">
        <w:rPr>
          <w:rFonts w:ascii="Arial" w:eastAsia="Arial" w:hAnsi="Arial" w:cs="Arial"/>
        </w:rPr>
        <w:t>with a Disability, sub</w:t>
      </w:r>
      <w:r>
        <w:rPr>
          <w:rFonts w:ascii="Arial" w:eastAsia="Arial" w:hAnsi="Arial" w:cs="Arial"/>
        </w:rPr>
        <w:t>. 78, p. 5</w:t>
      </w:r>
      <w:r w:rsidRPr="00FF6A2B">
        <w:rPr>
          <w:rFonts w:ascii="Arial" w:hAnsi="Arial" w:cs="Arial"/>
        </w:rPr>
        <w:t>).</w:t>
      </w:r>
    </w:p>
    <w:p w14:paraId="7A48B821" w14:textId="77777777" w:rsidR="004E051C" w:rsidRPr="006B12B3" w:rsidRDefault="004E051C">
      <w:pPr>
        <w:rPr>
          <w:rFonts w:ascii="Arial" w:eastAsia="Arial" w:hAnsi="Arial"/>
        </w:rPr>
      </w:pPr>
      <w:r w:rsidRPr="00FF6A2B">
        <w:rPr>
          <w:rFonts w:ascii="Arial" w:eastAsia="Arial" w:hAnsi="Arial"/>
        </w:rPr>
        <w:t xml:space="preserve">In addition, </w:t>
      </w:r>
      <w:r>
        <w:rPr>
          <w:rFonts w:ascii="Arial" w:eastAsia="Arial" w:hAnsi="Arial"/>
        </w:rPr>
        <w:t>some inquiry participants</w:t>
      </w:r>
      <w:r w:rsidRPr="00FF6A2B">
        <w:rPr>
          <w:rFonts w:ascii="Arial" w:eastAsia="Arial" w:hAnsi="Arial"/>
        </w:rPr>
        <w:t xml:space="preserve"> </w:t>
      </w:r>
      <w:r>
        <w:rPr>
          <w:rFonts w:ascii="Arial" w:eastAsia="Arial" w:hAnsi="Arial"/>
        </w:rPr>
        <w:t>highlighted</w:t>
      </w:r>
      <w:r w:rsidRPr="00FF6A2B">
        <w:rPr>
          <w:rFonts w:ascii="Arial" w:eastAsia="Arial" w:hAnsi="Arial"/>
        </w:rPr>
        <w:t xml:space="preserve"> an increase in children presenting with behavioural, emotional, wellbeing or other additional support needs post</w:t>
      </w:r>
      <w:r>
        <w:rPr>
          <w:rFonts w:ascii="Arial" w:eastAsia="Arial" w:hAnsi="Arial"/>
        </w:rPr>
        <w:t xml:space="preserve"> </w:t>
      </w:r>
      <w:r w:rsidRPr="00FF6A2B">
        <w:rPr>
          <w:rFonts w:ascii="Arial" w:eastAsia="Arial" w:hAnsi="Arial"/>
        </w:rPr>
        <w:t>COVID</w:t>
      </w:r>
      <w:r>
        <w:rPr>
          <w:rFonts w:ascii="Arial" w:eastAsia="Arial" w:hAnsi="Arial"/>
        </w:rPr>
        <w:noBreakHyphen/>
      </w:r>
      <w:r w:rsidRPr="00FF6A2B">
        <w:rPr>
          <w:rFonts w:ascii="Arial" w:eastAsia="Arial" w:hAnsi="Arial"/>
        </w:rPr>
        <w:t>19</w:t>
      </w:r>
      <w:r w:rsidRPr="00C252BD">
        <w:rPr>
          <w:rFonts w:ascii="Arial" w:eastAsia="Arial" w:hAnsi="Arial"/>
        </w:rPr>
        <w:t xml:space="preserve"> and noted this </w:t>
      </w:r>
      <w:r>
        <w:rPr>
          <w:rFonts w:ascii="Arial" w:eastAsia="Arial" w:hAnsi="Arial"/>
        </w:rPr>
        <w:t>was</w:t>
      </w:r>
      <w:r w:rsidRPr="00C252BD">
        <w:rPr>
          <w:rFonts w:ascii="Arial" w:eastAsia="Arial" w:hAnsi="Arial"/>
        </w:rPr>
        <w:t xml:space="preserve"> translating into increased requirements for inclusion support</w:t>
      </w:r>
      <w:r>
        <w:rPr>
          <w:rFonts w:ascii="Arial" w:eastAsia="Arial" w:hAnsi="Arial"/>
        </w:rPr>
        <w:t xml:space="preserve"> </w:t>
      </w:r>
      <w:r w:rsidRPr="00FF6A2B">
        <w:rPr>
          <w:rFonts w:ascii="Arial" w:eastAsia="Arial" w:hAnsi="Arial"/>
        </w:rPr>
        <w:t>(Big Fat Smile, sub.</w:t>
      </w:r>
      <w:r>
        <w:rPr>
          <w:rFonts w:ascii="Arial" w:eastAsia="Arial" w:hAnsi="Arial"/>
        </w:rPr>
        <w:t> </w:t>
      </w:r>
      <w:r w:rsidRPr="00FF6A2B">
        <w:rPr>
          <w:rFonts w:ascii="Arial" w:eastAsia="Arial" w:hAnsi="Arial"/>
        </w:rPr>
        <w:t>120, pp.</w:t>
      </w:r>
      <w:r>
        <w:rPr>
          <w:rFonts w:ascii="Arial" w:eastAsia="Arial" w:hAnsi="Arial"/>
        </w:rPr>
        <w:t> </w:t>
      </w:r>
      <w:r w:rsidRPr="00FF6A2B">
        <w:rPr>
          <w:rFonts w:ascii="Arial" w:eastAsia="Arial" w:hAnsi="Arial"/>
        </w:rPr>
        <w:t xml:space="preserve">2–3, Australian Childcare Alliance, </w:t>
      </w:r>
      <w:r w:rsidRPr="006B12B3">
        <w:rPr>
          <w:rFonts w:ascii="Arial" w:eastAsia="Arial" w:hAnsi="Arial"/>
        </w:rPr>
        <w:t>sub.</w:t>
      </w:r>
      <w:r>
        <w:rPr>
          <w:rFonts w:ascii="Arial" w:eastAsia="Arial" w:hAnsi="Arial"/>
        </w:rPr>
        <w:t> </w:t>
      </w:r>
      <w:r w:rsidRPr="006B12B3">
        <w:rPr>
          <w:rFonts w:ascii="Arial" w:eastAsia="Arial" w:hAnsi="Arial"/>
        </w:rPr>
        <w:t>150, p.</w:t>
      </w:r>
      <w:r>
        <w:rPr>
          <w:rFonts w:ascii="Arial" w:eastAsia="Arial" w:hAnsi="Arial"/>
        </w:rPr>
        <w:t> </w:t>
      </w:r>
      <w:r w:rsidRPr="006B12B3">
        <w:rPr>
          <w:rFonts w:ascii="Arial" w:eastAsia="Arial" w:hAnsi="Arial"/>
        </w:rPr>
        <w:t>45; Waverley Council, sub.</w:t>
      </w:r>
      <w:r>
        <w:rPr>
          <w:rFonts w:ascii="Arial" w:eastAsia="Arial" w:hAnsi="Arial"/>
        </w:rPr>
        <w:t> </w:t>
      </w:r>
      <w:r w:rsidRPr="006B12B3">
        <w:rPr>
          <w:rFonts w:ascii="Arial" w:eastAsia="Arial" w:hAnsi="Arial"/>
        </w:rPr>
        <w:t>132, p.</w:t>
      </w:r>
      <w:r>
        <w:rPr>
          <w:rFonts w:ascii="Arial" w:eastAsia="Arial" w:hAnsi="Arial"/>
        </w:rPr>
        <w:t> </w:t>
      </w:r>
      <w:r w:rsidRPr="006B12B3">
        <w:rPr>
          <w:rFonts w:ascii="Arial" w:eastAsia="Arial" w:hAnsi="Arial"/>
        </w:rPr>
        <w:t>4; Outside School Hours Council of Australia, sub. 82, p.</w:t>
      </w:r>
      <w:r>
        <w:rPr>
          <w:rFonts w:ascii="Arial" w:eastAsia="Arial" w:hAnsi="Arial"/>
        </w:rPr>
        <w:t> </w:t>
      </w:r>
      <w:r w:rsidRPr="006B12B3">
        <w:rPr>
          <w:rFonts w:ascii="Arial" w:eastAsia="Arial" w:hAnsi="Arial"/>
        </w:rPr>
        <w:t>3).</w:t>
      </w:r>
    </w:p>
    <w:p w14:paraId="52CCB1FD" w14:textId="77777777" w:rsidR="004E051C" w:rsidRDefault="004E051C">
      <w:pPr>
        <w:rPr>
          <w:rFonts w:cstheme="minorHAnsi"/>
        </w:rPr>
      </w:pPr>
      <w:r>
        <w:t>Others suggested ECEC services could play a larger role in delivering early intervention to children with disability or developmental delay. For example,</w:t>
      </w:r>
      <w:r w:rsidRPr="006B12B3">
        <w:t xml:space="preserve"> </w:t>
      </w:r>
      <w:r>
        <w:t>T</w:t>
      </w:r>
      <w:r w:rsidRPr="006B12B3">
        <w:t>he Bryan Foundation argued an appropriately trained and supported ECEC workforce could deliver therapeutic responses to children, drawing on the example of a pre</w:t>
      </w:r>
      <w:r>
        <w:noBreakHyphen/>
      </w:r>
      <w:r w:rsidRPr="006B12B3">
        <w:t>emptive intervention developed by the Telethon Kids Institute for infants with autism</w:t>
      </w:r>
      <w:r w:rsidRPr="006B12B3">
        <w:rPr>
          <w:rFonts w:cstheme="minorHAnsi"/>
        </w:rPr>
        <w:t xml:space="preserve"> (sub. 123, </w:t>
      </w:r>
      <w:r w:rsidRPr="004F30FE">
        <w:rPr>
          <w:rFonts w:cstheme="minorHAnsi"/>
        </w:rPr>
        <w:t>pp.</w:t>
      </w:r>
      <w:r>
        <w:rPr>
          <w:rFonts w:cstheme="minorHAnsi"/>
        </w:rPr>
        <w:t> </w:t>
      </w:r>
      <w:r w:rsidRPr="004F30FE">
        <w:rPr>
          <w:rFonts w:cstheme="minorHAnsi"/>
        </w:rPr>
        <w:t>8</w:t>
      </w:r>
      <w:r w:rsidRPr="00E14499">
        <w:rPr>
          <w:rFonts w:cstheme="minorHAnsi"/>
        </w:rPr>
        <w:t>–</w:t>
      </w:r>
      <w:r w:rsidRPr="004F30FE">
        <w:rPr>
          <w:rFonts w:cstheme="minorHAnsi"/>
        </w:rPr>
        <w:t>9).</w:t>
      </w:r>
      <w:r w:rsidRPr="006B12B3">
        <w:rPr>
          <w:rFonts w:cstheme="minorHAnsi"/>
        </w:rPr>
        <w:t xml:space="preserve"> </w:t>
      </w:r>
    </w:p>
    <w:p w14:paraId="11D5153F" w14:textId="77777777" w:rsidR="004E051C" w:rsidRPr="00FF6A2B" w:rsidRDefault="004E051C">
      <w:pPr>
        <w:pStyle w:val="Heading4"/>
      </w:pPr>
      <w:r w:rsidRPr="00FF6A2B">
        <w:t xml:space="preserve">Children with experiences of trauma may experience challenges remaining connected </w:t>
      </w:r>
      <w:r>
        <w:t>to</w:t>
      </w:r>
      <w:r w:rsidRPr="00FF6A2B">
        <w:t xml:space="preserve"> ECEC</w:t>
      </w:r>
    </w:p>
    <w:p w14:paraId="369CDFAA" w14:textId="77777777" w:rsidR="004E051C" w:rsidRPr="00FF6A2B" w:rsidRDefault="004E051C">
      <w:pPr>
        <w:rPr>
          <w:rFonts w:ascii="Arial" w:hAnsi="Arial" w:cs="Arial"/>
        </w:rPr>
      </w:pPr>
      <w:r w:rsidRPr="002D35F2">
        <w:rPr>
          <w:rFonts w:ascii="Arial" w:hAnsi="Arial"/>
        </w:rPr>
        <w:t xml:space="preserve">Some children may </w:t>
      </w:r>
      <w:r w:rsidRPr="002D35F2">
        <w:rPr>
          <w:rFonts w:ascii="Arial" w:eastAsia="Arial" w:hAnsi="Arial"/>
        </w:rPr>
        <w:t>experience</w:t>
      </w:r>
      <w:r w:rsidRPr="002D35F2">
        <w:rPr>
          <w:rFonts w:ascii="Arial" w:hAnsi="Arial"/>
        </w:rPr>
        <w:t xml:space="preserve"> circumstances that result in lasting trauma. Although </w:t>
      </w:r>
      <w:r w:rsidRPr="002D35F2">
        <w:rPr>
          <w:rFonts w:ascii="Arial" w:eastAsia="Arial" w:hAnsi="Arial"/>
        </w:rPr>
        <w:t>responses to these</w:t>
      </w:r>
      <w:r w:rsidRPr="002D35F2">
        <w:rPr>
          <w:rFonts w:ascii="Arial" w:hAnsi="Arial"/>
        </w:rPr>
        <w:t xml:space="preserve"> circumstances are led by other services, ECEC services have a role in supporting </w:t>
      </w:r>
      <w:r w:rsidRPr="002D35F2">
        <w:rPr>
          <w:rFonts w:ascii="Arial" w:eastAsia="Arial" w:hAnsi="Arial"/>
        </w:rPr>
        <w:t xml:space="preserve">these </w:t>
      </w:r>
      <w:r w:rsidRPr="002D35F2">
        <w:rPr>
          <w:rFonts w:ascii="Arial" w:hAnsi="Arial"/>
        </w:rPr>
        <w:t xml:space="preserve">children </w:t>
      </w:r>
      <w:r w:rsidRPr="002D35F2">
        <w:rPr>
          <w:rFonts w:ascii="Arial" w:eastAsia="Arial" w:hAnsi="Arial"/>
        </w:rPr>
        <w:t xml:space="preserve">to </w:t>
      </w:r>
      <w:r w:rsidRPr="002D35F2">
        <w:rPr>
          <w:rFonts w:ascii="Arial" w:hAnsi="Arial"/>
        </w:rPr>
        <w:t xml:space="preserve">access and </w:t>
      </w:r>
      <w:r w:rsidRPr="002D35F2">
        <w:rPr>
          <w:rFonts w:ascii="Arial" w:eastAsia="Arial" w:hAnsi="Arial"/>
        </w:rPr>
        <w:t>participate</w:t>
      </w:r>
      <w:r w:rsidRPr="002D35F2">
        <w:rPr>
          <w:rFonts w:ascii="Arial" w:hAnsi="Arial"/>
        </w:rPr>
        <w:t xml:space="preserve"> </w:t>
      </w:r>
      <w:r w:rsidRPr="002D35F2">
        <w:rPr>
          <w:rFonts w:ascii="Arial" w:eastAsia="Arial" w:hAnsi="Arial"/>
        </w:rPr>
        <w:t>in</w:t>
      </w:r>
      <w:r w:rsidRPr="002D35F2">
        <w:rPr>
          <w:rFonts w:ascii="Arial" w:hAnsi="Arial"/>
        </w:rPr>
        <w:t xml:space="preserve"> ECEC.</w:t>
      </w:r>
    </w:p>
    <w:p w14:paraId="3B3D4510" w14:textId="77777777" w:rsidR="004E051C" w:rsidRDefault="004E051C">
      <w:pPr>
        <w:rPr>
          <w:rFonts w:ascii="Arial" w:eastAsia="Arial" w:hAnsi="Arial"/>
        </w:rPr>
      </w:pPr>
      <w:r>
        <w:rPr>
          <w:rFonts w:ascii="Arial" w:eastAsia="Arial" w:hAnsi="Arial"/>
        </w:rPr>
        <w:t xml:space="preserve">However, </w:t>
      </w:r>
      <w:r w:rsidRPr="00FF6A2B">
        <w:rPr>
          <w:rFonts w:ascii="Arial" w:eastAsia="Arial" w:hAnsi="Arial"/>
        </w:rPr>
        <w:t>Life Without Barriers submitted that</w:t>
      </w:r>
      <w:r>
        <w:rPr>
          <w:rFonts w:ascii="Arial" w:eastAsia="Arial" w:hAnsi="Arial"/>
        </w:rPr>
        <w:t>:</w:t>
      </w:r>
    </w:p>
    <w:p w14:paraId="388F5B84" w14:textId="77777777" w:rsidR="004E051C" w:rsidRPr="00FF6A2B" w:rsidRDefault="004E051C">
      <w:pPr>
        <w:spacing w:before="60"/>
        <w:ind w:left="113" w:right="851"/>
        <w:rPr>
          <w:rFonts w:ascii="Arial" w:eastAsia="Arial" w:hAnsi="Arial"/>
          <w:color w:val="58585B"/>
        </w:rPr>
      </w:pPr>
      <w:r>
        <w:rPr>
          <w:rFonts w:ascii="Arial" w:eastAsia="Arial" w:hAnsi="Arial"/>
          <w:color w:val="58585B"/>
        </w:rPr>
        <w:t>i</w:t>
      </w:r>
      <w:r w:rsidRPr="00FF6A2B">
        <w:rPr>
          <w:rFonts w:ascii="Arial" w:eastAsia="Arial" w:hAnsi="Arial"/>
          <w:color w:val="58585B"/>
        </w:rPr>
        <w:t>n our experience, some children [in out of home care] are not fully supported to remain connected to early learning; being subjected to suspensions, time limitations, and exclusions.</w:t>
      </w:r>
      <w:r>
        <w:rPr>
          <w:rFonts w:ascii="Arial" w:eastAsia="Arial" w:hAnsi="Arial"/>
          <w:color w:val="58585B"/>
        </w:rPr>
        <w:t xml:space="preserve"> </w:t>
      </w:r>
      <w:r w:rsidRPr="00FF6A2B">
        <w:rPr>
          <w:rFonts w:ascii="Arial" w:eastAsia="Arial" w:hAnsi="Arial"/>
          <w:color w:val="58585B"/>
        </w:rPr>
        <w:t>(sub.</w:t>
      </w:r>
      <w:r>
        <w:rPr>
          <w:rFonts w:ascii="Arial" w:eastAsia="Arial" w:hAnsi="Arial"/>
          <w:color w:val="58585B"/>
        </w:rPr>
        <w:t> </w:t>
      </w:r>
      <w:r w:rsidRPr="00FF6A2B">
        <w:rPr>
          <w:rFonts w:ascii="Arial" w:eastAsia="Arial" w:hAnsi="Arial"/>
          <w:color w:val="58585B"/>
        </w:rPr>
        <w:t>24, p.</w:t>
      </w:r>
      <w:r>
        <w:rPr>
          <w:rFonts w:ascii="Arial" w:eastAsia="Arial" w:hAnsi="Arial"/>
          <w:color w:val="58585B"/>
        </w:rPr>
        <w:t> </w:t>
      </w:r>
      <w:r w:rsidRPr="00FF6A2B">
        <w:rPr>
          <w:rFonts w:ascii="Arial" w:eastAsia="Arial" w:hAnsi="Arial"/>
          <w:color w:val="58585B"/>
        </w:rPr>
        <w:t>2)</w:t>
      </w:r>
    </w:p>
    <w:p w14:paraId="6EB6B596" w14:textId="77777777" w:rsidR="004E051C" w:rsidRPr="00FF6A2B" w:rsidRDefault="004E051C">
      <w:pPr>
        <w:pStyle w:val="Heading4"/>
        <w:rPr>
          <w:rFonts w:eastAsia="SimHei"/>
        </w:rPr>
      </w:pPr>
      <w:r>
        <w:t>A lack of c</w:t>
      </w:r>
      <w:r w:rsidRPr="00FF6A2B">
        <w:t>ultural</w:t>
      </w:r>
      <w:r>
        <w:t>ly</w:t>
      </w:r>
      <w:r w:rsidRPr="00FF6A2B">
        <w:t xml:space="preserve"> saf</w:t>
      </w:r>
      <w:r>
        <w:t>e services can affect</w:t>
      </w:r>
      <w:r w:rsidRPr="00FF6A2B">
        <w:t xml:space="preserve"> Aboriginal and Torres Strait Islander children and families</w:t>
      </w:r>
    </w:p>
    <w:p w14:paraId="72612523" w14:textId="77777777" w:rsidR="004E051C" w:rsidRPr="00FF6A2B" w:rsidRDefault="004E051C">
      <w:pPr>
        <w:rPr>
          <w:rFonts w:ascii="Arial" w:hAnsi="Arial" w:cs="Arial"/>
        </w:rPr>
      </w:pPr>
      <w:r w:rsidRPr="00FF6A2B">
        <w:rPr>
          <w:rFonts w:ascii="Arial" w:eastAsia="Arial" w:hAnsi="Arial" w:cs="Arial"/>
        </w:rPr>
        <w:t>Aboriginal and Torres Strait Islander children have experienced dispossession and exclusion from their cultural knowledge, education systems and practice. While recognising that ‘a majority of Aboriginal and Torres Strait Islander children are thriving</w:t>
      </w:r>
      <w:r>
        <w:rPr>
          <w:rFonts w:ascii="Arial" w:eastAsia="Arial" w:hAnsi="Arial" w:cs="Arial"/>
        </w:rPr>
        <w:t>’</w:t>
      </w:r>
      <w:r w:rsidRPr="00FF6A2B">
        <w:rPr>
          <w:rFonts w:ascii="Arial" w:eastAsia="Arial" w:hAnsi="Arial" w:cs="Arial"/>
        </w:rPr>
        <w:t xml:space="preserve">, some may face ongoing ‘challenges that stem from colonisation and its effects, including discrimination, poverty, systemic removal, intergenerational trauma, dislocation from land and culture, and community disempowerment’ </w:t>
      </w:r>
      <w:r w:rsidRPr="00CC2524">
        <w:rPr>
          <w:rFonts w:ascii="Arial" w:hAnsi="Arial" w:cs="Arial"/>
          <w:szCs w:val="24"/>
        </w:rPr>
        <w:t>(SNAICC and Early Childhood Australia 2019, p. 3)</w:t>
      </w:r>
      <w:r>
        <w:rPr>
          <w:rFonts w:ascii="Arial" w:eastAsia="Arial" w:hAnsi="Arial" w:cs="Arial"/>
        </w:rPr>
        <w:t xml:space="preserve">. </w:t>
      </w:r>
    </w:p>
    <w:p w14:paraId="13DAB46A" w14:textId="77777777" w:rsidR="004E051C" w:rsidRPr="00404D5D" w:rsidRDefault="004E051C">
      <w:pPr>
        <w:keepNext/>
        <w:keepLines/>
        <w:rPr>
          <w:rFonts w:ascii="Arial" w:eastAsia="Arial" w:hAnsi="Arial" w:cs="Arial"/>
        </w:rPr>
      </w:pPr>
      <w:r w:rsidRPr="00404D5D">
        <w:rPr>
          <w:rFonts w:ascii="Arial" w:eastAsia="Arial" w:hAnsi="Arial" w:cs="Arial"/>
        </w:rPr>
        <w:lastRenderedPageBreak/>
        <w:t>The National Aboriginal Community Controlled Health Organisation noted:</w:t>
      </w:r>
    </w:p>
    <w:p w14:paraId="4848145C" w14:textId="77777777" w:rsidR="004E051C" w:rsidRPr="00404D5D" w:rsidRDefault="004E051C">
      <w:pPr>
        <w:keepNext/>
        <w:keepLines/>
        <w:spacing w:before="60"/>
        <w:ind w:left="113" w:right="851"/>
        <w:rPr>
          <w:rFonts w:ascii="Arial" w:eastAsia="Arial" w:hAnsi="Arial"/>
          <w:color w:val="58585B"/>
        </w:rPr>
      </w:pPr>
      <w:r w:rsidRPr="00404D5D">
        <w:rPr>
          <w:rFonts w:ascii="Arial" w:eastAsia="Arial" w:hAnsi="Arial"/>
          <w:color w:val="58585B"/>
        </w:rPr>
        <w:t>it is important to recognise that mainstream care and education systems have often excluded and been culturally unsafe for Aboriginal and Torres Strait Islander people. It is evident that the Australian care and education system was at no time designed for Aboriginal and Torres Strait Islander students. (sub.</w:t>
      </w:r>
      <w:r>
        <w:rPr>
          <w:rFonts w:ascii="Arial" w:eastAsia="Arial" w:hAnsi="Arial"/>
          <w:color w:val="58585B"/>
        </w:rPr>
        <w:t> </w:t>
      </w:r>
      <w:r w:rsidRPr="00404D5D">
        <w:rPr>
          <w:rFonts w:ascii="Arial" w:eastAsia="Arial" w:hAnsi="Arial"/>
          <w:color w:val="58585B"/>
        </w:rPr>
        <w:t>151, p.</w:t>
      </w:r>
      <w:r>
        <w:rPr>
          <w:rFonts w:ascii="Arial" w:eastAsia="Arial" w:hAnsi="Arial"/>
          <w:color w:val="58585B"/>
        </w:rPr>
        <w:t> </w:t>
      </w:r>
      <w:r w:rsidRPr="00404D5D">
        <w:rPr>
          <w:rFonts w:ascii="Arial" w:eastAsia="Arial" w:hAnsi="Arial"/>
          <w:color w:val="58585B"/>
        </w:rPr>
        <w:t>6)</w:t>
      </w:r>
    </w:p>
    <w:p w14:paraId="1041DCB3" w14:textId="77777777" w:rsidR="004E051C" w:rsidRPr="00404D5D" w:rsidRDefault="004E051C">
      <w:pPr>
        <w:rPr>
          <w:rFonts w:ascii="Arial" w:eastAsia="Arial" w:hAnsi="Arial" w:cs="Arial"/>
        </w:rPr>
      </w:pPr>
      <w:r w:rsidRPr="00404D5D">
        <w:rPr>
          <w:rFonts w:ascii="Arial" w:eastAsia="Arial" w:hAnsi="Arial" w:cs="Arial"/>
        </w:rPr>
        <w:t>Submissions have noted that for Aboriginal and Torres Strait Islander families and children, cultural safety is critical</w:t>
      </w:r>
      <w:r>
        <w:rPr>
          <w:rFonts w:ascii="Arial" w:eastAsia="Arial" w:hAnsi="Arial" w:cs="Arial"/>
        </w:rPr>
        <w:t xml:space="preserve"> </w:t>
      </w:r>
      <w:r w:rsidRPr="005729B0">
        <w:rPr>
          <w:rFonts w:ascii="Arial" w:eastAsia="Arial" w:hAnsi="Arial" w:cs="Arial"/>
        </w:rPr>
        <w:t>(The Child Development</w:t>
      </w:r>
      <w:r w:rsidRPr="00404D5D">
        <w:rPr>
          <w:rFonts w:ascii="Arial" w:eastAsia="Arial" w:hAnsi="Arial" w:cs="Arial"/>
        </w:rPr>
        <w:t xml:space="preserve"> Education and Care Research Group, sub</w:t>
      </w:r>
      <w:r>
        <w:rPr>
          <w:rFonts w:ascii="Arial" w:eastAsia="Arial" w:hAnsi="Arial" w:cs="Arial"/>
        </w:rPr>
        <w:t>. </w:t>
      </w:r>
      <w:r w:rsidRPr="00404D5D">
        <w:rPr>
          <w:rFonts w:ascii="Arial" w:eastAsia="Arial" w:hAnsi="Arial" w:cs="Arial"/>
        </w:rPr>
        <w:t>19, p.</w:t>
      </w:r>
      <w:r>
        <w:rPr>
          <w:rFonts w:ascii="Arial" w:eastAsia="Arial" w:hAnsi="Arial" w:cs="Arial"/>
        </w:rPr>
        <w:t> </w:t>
      </w:r>
      <w:r w:rsidRPr="00404D5D">
        <w:rPr>
          <w:rFonts w:ascii="Arial" w:eastAsia="Arial" w:hAnsi="Arial" w:cs="Arial"/>
        </w:rPr>
        <w:t xml:space="preserve">6; </w:t>
      </w:r>
      <w:r>
        <w:rPr>
          <w:rFonts w:ascii="Arial" w:eastAsia="Arial" w:hAnsi="Arial" w:cs="Arial"/>
        </w:rPr>
        <w:t>National Aboriginal Community Controlled Health Organisation</w:t>
      </w:r>
      <w:r w:rsidRPr="00AE6697">
        <w:rPr>
          <w:rFonts w:ascii="Arial" w:eastAsia="Arial" w:hAnsi="Arial" w:cs="Arial"/>
        </w:rPr>
        <w:t>, sub.</w:t>
      </w:r>
      <w:r>
        <w:rPr>
          <w:rFonts w:ascii="Arial" w:eastAsia="Arial" w:hAnsi="Arial" w:cs="Arial"/>
        </w:rPr>
        <w:t> </w:t>
      </w:r>
      <w:r w:rsidRPr="00AE6697">
        <w:rPr>
          <w:rFonts w:ascii="Arial" w:eastAsia="Arial" w:hAnsi="Arial" w:cs="Arial"/>
        </w:rPr>
        <w:t>151, p.</w:t>
      </w:r>
      <w:r>
        <w:rPr>
          <w:rFonts w:ascii="Arial" w:eastAsia="Arial" w:hAnsi="Arial" w:cs="Arial"/>
        </w:rPr>
        <w:t> </w:t>
      </w:r>
      <w:r w:rsidRPr="00AE6697">
        <w:rPr>
          <w:rFonts w:ascii="Arial" w:eastAsia="Arial" w:hAnsi="Arial" w:cs="Arial"/>
        </w:rPr>
        <w:t>6</w:t>
      </w:r>
      <w:r w:rsidRPr="00404D5D">
        <w:rPr>
          <w:rFonts w:ascii="Arial" w:eastAsia="Arial" w:hAnsi="Arial" w:cs="Arial"/>
        </w:rPr>
        <w:t>). A report from the Australian Institute of Health and Welfare underlined</w:t>
      </w:r>
      <w:r>
        <w:rPr>
          <w:rFonts w:ascii="Arial" w:eastAsia="Arial" w:hAnsi="Arial" w:cs="Arial"/>
        </w:rPr>
        <w:t xml:space="preserve"> that</w:t>
      </w:r>
      <w:r w:rsidRPr="00404D5D">
        <w:rPr>
          <w:rFonts w:ascii="Arial" w:eastAsia="Arial" w:hAnsi="Arial" w:cs="Arial"/>
        </w:rPr>
        <w:t>:</w:t>
      </w:r>
    </w:p>
    <w:p w14:paraId="49BC793F" w14:textId="77777777" w:rsidR="004E051C" w:rsidRDefault="004E051C">
      <w:pPr>
        <w:pStyle w:val="Quote"/>
        <w:rPr>
          <w:rStyle w:val="QuoteChar"/>
        </w:rPr>
      </w:pPr>
      <w:r>
        <w:rPr>
          <w:rFonts w:ascii="Arial" w:eastAsia="Arial" w:hAnsi="Arial" w:cs="Arial"/>
        </w:rPr>
        <w:t>e</w:t>
      </w:r>
      <w:r w:rsidRPr="00404D5D">
        <w:rPr>
          <w:rFonts w:ascii="Arial" w:eastAsia="Arial" w:hAnsi="Arial" w:cs="Arial"/>
        </w:rPr>
        <w:t>arly learning programs that do not reflect the culture and knowledge of the Indigenous com</w:t>
      </w:r>
      <w:r w:rsidRPr="00404D5D">
        <w:rPr>
          <w:rStyle w:val="QuoteChar"/>
        </w:rPr>
        <w:t xml:space="preserve">munity are not seen as culturally safe and tend not to be used by families in that community. </w:t>
      </w:r>
      <w:r w:rsidRPr="001E0B16">
        <w:rPr>
          <w:rFonts w:ascii="Arial" w:hAnsi="Arial" w:cs="Arial"/>
          <w:szCs w:val="24"/>
        </w:rPr>
        <w:t>(Harrison et al. 2012, p. 2)</w:t>
      </w:r>
    </w:p>
    <w:p w14:paraId="5E8444E5" w14:textId="77777777" w:rsidR="004E051C" w:rsidRPr="00332620" w:rsidRDefault="004E051C">
      <w:pPr>
        <w:pStyle w:val="BodyText"/>
      </w:pPr>
      <w:r>
        <w:t>T</w:t>
      </w:r>
      <w:r w:rsidRPr="00FF6A2B">
        <w:t xml:space="preserve">he </w:t>
      </w:r>
      <w:r>
        <w:t xml:space="preserve">national approved learning </w:t>
      </w:r>
      <w:r w:rsidRPr="00FF6A2B">
        <w:t>frameworks define cultural safety as the ‘recognition, respect and protection of the inherent rights, cultures and traditions of a particular culture’</w:t>
      </w:r>
      <w:r>
        <w:t xml:space="preserve"> </w:t>
      </w:r>
      <w:r w:rsidRPr="003505F6">
        <w:rPr>
          <w:szCs w:val="24"/>
        </w:rPr>
        <w:t>(DoE 2022a, p. 65, 2022d, p. 65)</w:t>
      </w:r>
      <w:r>
        <w:t>.</w:t>
      </w:r>
      <w:r w:rsidRPr="00FF6A2B">
        <w:t xml:space="preserve"> The</w:t>
      </w:r>
      <w:r>
        <w:t xml:space="preserve">y </w:t>
      </w:r>
      <w:r w:rsidRPr="00FF6A2B">
        <w:t>note that in a culturally safe environment there is no assault, challenge or denial of identity and that cultural safety is about shared respect, meaning, knowledge and experience of learning together with dignity and truly listening</w:t>
      </w:r>
      <w:r>
        <w:t xml:space="preserve"> </w:t>
      </w:r>
      <w:r w:rsidRPr="003505F6">
        <w:rPr>
          <w:szCs w:val="24"/>
        </w:rPr>
        <w:t>(DoE 2022a, p. 65, 2022d, p. 65)</w:t>
      </w:r>
      <w:r>
        <w:t xml:space="preserve">. </w:t>
      </w:r>
    </w:p>
    <w:p w14:paraId="1353EB52" w14:textId="77777777" w:rsidR="004E051C" w:rsidRPr="00F43AB4" w:rsidRDefault="004E051C">
      <w:pPr>
        <w:pStyle w:val="BodyText"/>
      </w:pPr>
      <w:r>
        <w:t xml:space="preserve">For Aboriginal and Torres Strait </w:t>
      </w:r>
      <w:r w:rsidRPr="00F43AB4">
        <w:t xml:space="preserve">Islander families, the National Agreement on Closing the Gap </w:t>
      </w:r>
      <w:r>
        <w:t>uses</w:t>
      </w:r>
      <w:r w:rsidRPr="00F43AB4">
        <w:t xml:space="preserve"> the following definition.</w:t>
      </w:r>
    </w:p>
    <w:p w14:paraId="1577725F" w14:textId="77777777" w:rsidR="004E051C" w:rsidRPr="00CF1746" w:rsidRDefault="004E051C">
      <w:pPr>
        <w:pStyle w:val="Quote"/>
        <w:rPr>
          <w:spacing w:val="-4"/>
        </w:rPr>
      </w:pPr>
      <w:r w:rsidRPr="00CF1746">
        <w:rPr>
          <w:spacing w:val="-4"/>
        </w:rPr>
        <w:t>Cultural safety is about overcoming the power imbalances of places, people and policies that occur between the majority non</w:t>
      </w:r>
      <w:r w:rsidRPr="00CF1746">
        <w:rPr>
          <w:spacing w:val="-4"/>
        </w:rPr>
        <w:noBreakHyphen/>
        <w:t>Indigenous position and the minority Aboriginal and Torres Strait Islander person so that there is no assault, challenge or denial of the Aboriginal and Torres Strait Islander person’s identity, of who they are and what they need. Cultural safety is met through actions from the majority position which recognise, respect, and nurture the unique cultural identity of Aboriginal and Torres Strait Islander people. Only the Aboriginal and Torres Strait Islander person who is recipient of a service or interaction can determine whether it is culturally safe. (section 12)</w:t>
      </w:r>
    </w:p>
    <w:p w14:paraId="226B683A" w14:textId="77777777" w:rsidR="004E051C" w:rsidRPr="00FF6A2B" w:rsidRDefault="004E051C">
      <w:pPr>
        <w:pStyle w:val="Heading4"/>
      </w:pPr>
      <w:r>
        <w:t>C</w:t>
      </w:r>
      <w:r w:rsidRPr="00FF6A2B">
        <w:t>ulturally inclusive practice is</w:t>
      </w:r>
      <w:r>
        <w:t xml:space="preserve"> also</w:t>
      </w:r>
      <w:r w:rsidRPr="00FF6A2B">
        <w:t xml:space="preserve"> important for </w:t>
      </w:r>
      <w:r>
        <w:t>culturally and linguistically diverse children and families</w:t>
      </w:r>
    </w:p>
    <w:p w14:paraId="0D8A3803" w14:textId="77777777" w:rsidR="004E051C" w:rsidRDefault="004E051C">
      <w:pPr>
        <w:rPr>
          <w:rFonts w:ascii="Arial" w:eastAsia="Arial" w:hAnsi="Arial"/>
        </w:rPr>
      </w:pPr>
      <w:r>
        <w:rPr>
          <w:rFonts w:ascii="Arial" w:eastAsia="Arial" w:hAnsi="Arial"/>
        </w:rPr>
        <w:t xml:space="preserve">Children and families from CALD backgrounds may experience a range of barriers to ECEC, </w:t>
      </w:r>
      <w:r w:rsidRPr="002D4CDE">
        <w:rPr>
          <w:rFonts w:ascii="Arial" w:eastAsia="Arial" w:hAnsi="Arial"/>
        </w:rPr>
        <w:t xml:space="preserve">including language </w:t>
      </w:r>
      <w:r>
        <w:rPr>
          <w:rFonts w:ascii="Arial" w:eastAsia="Arial" w:hAnsi="Arial"/>
        </w:rPr>
        <w:t xml:space="preserve">barriers </w:t>
      </w:r>
      <w:r w:rsidRPr="002D4CDE">
        <w:rPr>
          <w:rFonts w:ascii="Arial" w:eastAsia="Arial" w:hAnsi="Arial"/>
        </w:rPr>
        <w:t>and a lack</w:t>
      </w:r>
      <w:r>
        <w:rPr>
          <w:rFonts w:ascii="Arial" w:eastAsia="Arial" w:hAnsi="Arial"/>
        </w:rPr>
        <w:t xml:space="preserve"> of culturally responsive services or cultural safe</w:t>
      </w:r>
      <w:r w:rsidRPr="007A69EB">
        <w:rPr>
          <w:rFonts w:ascii="Arial" w:eastAsia="Arial" w:hAnsi="Arial"/>
        </w:rPr>
        <w:t>ty (SSI, sub</w:t>
      </w:r>
      <w:r>
        <w:rPr>
          <w:rFonts w:ascii="Arial" w:eastAsia="Arial" w:hAnsi="Arial"/>
        </w:rPr>
        <w:t xml:space="preserve">. 16, p. 3; </w:t>
      </w:r>
      <w:r w:rsidRPr="00F76096">
        <w:rPr>
          <w:rFonts w:ascii="Arial" w:eastAsia="Arial" w:hAnsi="Arial"/>
        </w:rPr>
        <w:t>Meli</w:t>
      </w:r>
      <w:r>
        <w:rPr>
          <w:rFonts w:ascii="Arial" w:eastAsia="Arial" w:hAnsi="Arial"/>
        </w:rPr>
        <w:t>, sub. 139, p. 8).</w:t>
      </w:r>
    </w:p>
    <w:p w14:paraId="0A9394BF" w14:textId="77777777" w:rsidR="004E051C" w:rsidRDefault="004E051C">
      <w:pPr>
        <w:rPr>
          <w:rFonts w:ascii="Arial" w:eastAsia="Arial" w:hAnsi="Arial"/>
        </w:rPr>
      </w:pPr>
      <w:r>
        <w:rPr>
          <w:rFonts w:ascii="Arial" w:eastAsia="Arial" w:hAnsi="Arial"/>
        </w:rPr>
        <w:t>They may also have diverse perspectives on ECEC</w:t>
      </w:r>
      <w:r w:rsidRPr="00FF6A2B">
        <w:rPr>
          <w:rFonts w:ascii="Arial" w:eastAsia="Arial" w:hAnsi="Arial"/>
        </w:rPr>
        <w:t>. The Salvation Army noted:</w:t>
      </w:r>
    </w:p>
    <w:p w14:paraId="5ABE2C11" w14:textId="77777777" w:rsidR="004E051C" w:rsidRPr="00FF6A2B" w:rsidRDefault="004E051C">
      <w:pPr>
        <w:spacing w:before="60"/>
        <w:ind w:left="113" w:right="851"/>
        <w:rPr>
          <w:rFonts w:ascii="Arial" w:eastAsia="Arial" w:hAnsi="Arial"/>
          <w:color w:val="58585B"/>
        </w:rPr>
      </w:pPr>
      <w:r>
        <w:rPr>
          <w:rFonts w:ascii="Arial" w:eastAsia="Arial" w:hAnsi="Arial"/>
          <w:color w:val="58585B"/>
        </w:rPr>
        <w:t>o</w:t>
      </w:r>
      <w:r w:rsidRPr="00FF6A2B">
        <w:rPr>
          <w:rFonts w:ascii="Arial" w:eastAsia="Arial" w:hAnsi="Arial"/>
          <w:color w:val="58585B"/>
        </w:rPr>
        <w:t>ur services have also identified a significant gap in ECEC service providers’ understanding of diverse cultures’ approaches and beliefs related to caring for and educating children, parenting, health and wellbeing. We urge all governments to act on the need for greater cultural education across the ECEC system to ensure culturally inclusive service provision. (sub.</w:t>
      </w:r>
      <w:r>
        <w:rPr>
          <w:rFonts w:ascii="Arial" w:eastAsia="Arial" w:hAnsi="Arial"/>
          <w:color w:val="58585B"/>
        </w:rPr>
        <w:t> </w:t>
      </w:r>
      <w:r w:rsidRPr="00FF6A2B">
        <w:rPr>
          <w:rFonts w:ascii="Arial" w:eastAsia="Arial" w:hAnsi="Arial"/>
          <w:color w:val="58585B"/>
        </w:rPr>
        <w:t>56, p.</w:t>
      </w:r>
      <w:r>
        <w:rPr>
          <w:rFonts w:ascii="Arial" w:eastAsia="Arial" w:hAnsi="Arial"/>
          <w:color w:val="58585B"/>
        </w:rPr>
        <w:t> </w:t>
      </w:r>
      <w:r w:rsidRPr="00FF6A2B">
        <w:rPr>
          <w:rFonts w:ascii="Arial" w:eastAsia="Arial" w:hAnsi="Arial"/>
          <w:color w:val="58585B"/>
        </w:rPr>
        <w:t>14)</w:t>
      </w:r>
    </w:p>
    <w:p w14:paraId="4CAD695B" w14:textId="77777777" w:rsidR="004E051C" w:rsidRPr="00621561" w:rsidRDefault="004E051C">
      <w:pPr>
        <w:rPr>
          <w:rFonts w:ascii="Arial" w:eastAsia="Arial" w:hAnsi="Arial"/>
        </w:rPr>
      </w:pPr>
      <w:r>
        <w:rPr>
          <w:rFonts w:ascii="Arial" w:eastAsia="Arial" w:hAnsi="Arial"/>
        </w:rPr>
        <w:t>The</w:t>
      </w:r>
      <w:r w:rsidRPr="00E52038">
        <w:rPr>
          <w:rFonts w:ascii="Arial" w:eastAsia="Arial" w:hAnsi="Arial"/>
        </w:rPr>
        <w:t xml:space="preserve"> </w:t>
      </w:r>
      <w:r>
        <w:rPr>
          <w:rFonts w:ascii="Arial" w:eastAsia="Arial" w:hAnsi="Arial"/>
        </w:rPr>
        <w:t>WA</w:t>
      </w:r>
      <w:r w:rsidRPr="00E52038">
        <w:rPr>
          <w:rFonts w:ascii="Arial" w:eastAsia="Arial" w:hAnsi="Arial"/>
        </w:rPr>
        <w:t xml:space="preserve"> Government highlighted that for children </w:t>
      </w:r>
      <w:r>
        <w:rPr>
          <w:rFonts w:ascii="Arial" w:eastAsia="Arial" w:hAnsi="Arial"/>
        </w:rPr>
        <w:t xml:space="preserve">from CALD background, especially those </w:t>
      </w:r>
      <w:r w:rsidRPr="00E52038">
        <w:rPr>
          <w:rFonts w:ascii="Arial" w:eastAsia="Arial" w:hAnsi="Arial"/>
        </w:rPr>
        <w:t>who are recent arrivals to Australia or do not speak English as their first language, ECEC can contribute to positive settlement outcomes (sub.</w:t>
      </w:r>
      <w:r>
        <w:rPr>
          <w:rFonts w:ascii="Arial" w:eastAsia="Arial" w:hAnsi="Arial"/>
        </w:rPr>
        <w:t> </w:t>
      </w:r>
      <w:r w:rsidRPr="00E52038">
        <w:rPr>
          <w:rFonts w:ascii="Arial" w:eastAsia="Arial" w:hAnsi="Arial"/>
        </w:rPr>
        <w:t>162, p. 10).</w:t>
      </w:r>
    </w:p>
    <w:p w14:paraId="33AFB874" w14:textId="77777777" w:rsidR="004E051C" w:rsidRPr="00F014D9" w:rsidRDefault="004E051C">
      <w:pPr>
        <w:pStyle w:val="Heading3"/>
      </w:pPr>
      <w:r w:rsidRPr="00432A35">
        <w:lastRenderedPageBreak/>
        <w:t>Inclusion is embedded in the</w:t>
      </w:r>
      <w:r w:rsidRPr="00F014D9">
        <w:t xml:space="preserve"> requirements of ECEC services</w:t>
      </w:r>
    </w:p>
    <w:p w14:paraId="7743FF4C" w14:textId="77777777" w:rsidR="004E051C" w:rsidRPr="00F014D9" w:rsidRDefault="004E051C">
      <w:pPr>
        <w:pStyle w:val="Heading4"/>
        <w:spacing w:before="120"/>
      </w:pPr>
      <w:r w:rsidRPr="00F014D9">
        <w:t>The NQF establishes expectations of services</w:t>
      </w:r>
      <w:r>
        <w:t xml:space="preserve"> around inclusion</w:t>
      </w:r>
    </w:p>
    <w:p w14:paraId="06A5F98E" w14:textId="77777777" w:rsidR="004E051C" w:rsidRDefault="004E051C">
      <w:pPr>
        <w:pStyle w:val="BodyText"/>
        <w:keepLines/>
        <w:rPr>
          <w:rFonts w:cstheme="minorHAnsi"/>
        </w:rPr>
      </w:pPr>
      <w:r w:rsidRPr="0062283E">
        <w:rPr>
          <w:rFonts w:cstheme="minorHAnsi"/>
        </w:rPr>
        <w:t>For services regulated by the National Law and National Regulations, the NQF sets expectations around inclusion</w:t>
      </w:r>
      <w:r>
        <w:rPr>
          <w:rFonts w:cstheme="minorHAnsi"/>
        </w:rPr>
        <w:t xml:space="preserve"> and cultural responsiveness</w:t>
      </w:r>
      <w:r w:rsidRPr="00F027EB">
        <w:rPr>
          <w:rFonts w:cstheme="minorHAnsi"/>
        </w:rPr>
        <w:t>.</w:t>
      </w:r>
      <w:r w:rsidRPr="002574B7">
        <w:rPr>
          <w:rFonts w:cstheme="minorHAnsi"/>
        </w:rPr>
        <w:t xml:space="preserve"> </w:t>
      </w:r>
      <w:r>
        <w:rPr>
          <w:rFonts w:cstheme="minorHAnsi"/>
        </w:rPr>
        <w:t>‘</w:t>
      </w:r>
      <w:r w:rsidRPr="002574B7">
        <w:rPr>
          <w:rFonts w:cstheme="minorHAnsi"/>
        </w:rPr>
        <w:t>Equity, inclusion and diversity</w:t>
      </w:r>
      <w:r>
        <w:rPr>
          <w:rFonts w:cstheme="minorHAnsi"/>
        </w:rPr>
        <w:t>’</w:t>
      </w:r>
      <w:r w:rsidRPr="002574B7">
        <w:rPr>
          <w:rFonts w:cstheme="minorHAnsi"/>
        </w:rPr>
        <w:t xml:space="preserve"> and </w:t>
      </w:r>
      <w:r>
        <w:rPr>
          <w:rFonts w:cstheme="minorHAnsi"/>
        </w:rPr>
        <w:t>‘</w:t>
      </w:r>
      <w:r w:rsidRPr="00603551">
        <w:rPr>
          <w:rFonts w:cstheme="minorHAnsi"/>
        </w:rPr>
        <w:t>Aboriginal and Torres Strait Islander culture</w:t>
      </w:r>
      <w:r w:rsidRPr="00A169B0">
        <w:rPr>
          <w:rFonts w:cstheme="minorHAnsi"/>
        </w:rPr>
        <w:t>s are valued</w:t>
      </w:r>
      <w:r w:rsidRPr="00603551">
        <w:rPr>
          <w:rFonts w:cstheme="minorHAnsi"/>
        </w:rPr>
        <w:t>’ a</w:t>
      </w:r>
      <w:r w:rsidRPr="002574B7">
        <w:rPr>
          <w:rFonts w:cstheme="minorHAnsi"/>
        </w:rPr>
        <w:t>re two of the five prin</w:t>
      </w:r>
      <w:r w:rsidRPr="0062283E">
        <w:rPr>
          <w:rFonts w:cstheme="minorHAnsi"/>
        </w:rPr>
        <w:t>ciples underpinning the NQF</w:t>
      </w:r>
      <w:r>
        <w:rPr>
          <w:rFonts w:cstheme="minorHAnsi"/>
        </w:rPr>
        <w:t xml:space="preserve"> </w:t>
      </w:r>
      <w:r w:rsidRPr="000D36D6">
        <w:rPr>
          <w:rFonts w:ascii="Arial" w:hAnsi="Arial" w:cs="Arial"/>
          <w:szCs w:val="24"/>
        </w:rPr>
        <w:t>(ACECQA 2023b, p. 10)</w:t>
      </w:r>
      <w:r>
        <w:rPr>
          <w:rFonts w:cstheme="minorHAnsi"/>
        </w:rPr>
        <w:t>, and</w:t>
      </w:r>
      <w:r w:rsidRPr="0062283E">
        <w:rPr>
          <w:rFonts w:cstheme="minorHAnsi"/>
        </w:rPr>
        <w:t xml:space="preserve"> are woven throughout the NQS</w:t>
      </w:r>
      <w:r>
        <w:rPr>
          <w:rFonts w:cstheme="minorHAnsi"/>
        </w:rPr>
        <w:t xml:space="preserve"> and the approved learning frameworks (box 2.2).</w:t>
      </w:r>
    </w:p>
    <w:p w14:paraId="28636247" w14:textId="76C377EA" w:rsidR="004E051C" w:rsidRPr="0062283E" w:rsidRDefault="004E051C">
      <w:pPr>
        <w:pStyle w:val="NoSpacing"/>
      </w:pPr>
    </w:p>
    <w:tbl>
      <w:tblPr>
        <w:tblStyle w:val="Boxtable"/>
        <w:tblW w:w="5000" w:type="pct"/>
        <w:tblLook w:val="04A0" w:firstRow="1" w:lastRow="0" w:firstColumn="1" w:lastColumn="0" w:noHBand="0" w:noVBand="1"/>
      </w:tblPr>
      <w:tblGrid>
        <w:gridCol w:w="9638"/>
      </w:tblGrid>
      <w:tr w:rsidR="004E051C" w:rsidRPr="00F20A94" w14:paraId="1EF73D8F" w14:textId="77777777">
        <w:trPr>
          <w:tblHeader/>
        </w:trPr>
        <w:tc>
          <w:tcPr>
            <w:tcW w:w="9638" w:type="dxa"/>
            <w:shd w:val="clear" w:color="auto" w:fill="EBEBEB"/>
            <w:tcMar>
              <w:top w:w="170" w:type="dxa"/>
              <w:left w:w="170" w:type="dxa"/>
              <w:bottom w:w="113" w:type="dxa"/>
              <w:right w:w="170" w:type="dxa"/>
            </w:tcMar>
            <w:hideMark/>
          </w:tcPr>
          <w:p w14:paraId="07BDFF49" w14:textId="08235A51" w:rsidR="004E051C" w:rsidRPr="001D2AC0" w:rsidRDefault="004E051C">
            <w:pPr>
              <w:pStyle w:val="BoxHeading1"/>
              <w:rPr>
                <w:rFonts w:cstheme="minorHAnsi"/>
              </w:rPr>
            </w:pPr>
            <w:r w:rsidRPr="0062283E">
              <w:rPr>
                <w:rFonts w:cstheme="minorHAnsi"/>
              </w:rPr>
              <w:t xml:space="preserve">Box </w:t>
            </w:r>
            <w:r w:rsidR="00DC7EEE">
              <w:rPr>
                <w:noProof/>
              </w:rPr>
              <w:t>2</w:t>
            </w:r>
            <w:r>
              <w:t>.</w:t>
            </w:r>
            <w:r w:rsidR="00DC7EEE">
              <w:rPr>
                <w:noProof/>
              </w:rPr>
              <w:t>2</w:t>
            </w:r>
            <w:r>
              <w:rPr>
                <w:noProof/>
              </w:rPr>
              <w:t xml:space="preserve"> </w:t>
            </w:r>
            <w:r w:rsidRPr="0062283E">
              <w:rPr>
                <w:rFonts w:cstheme="minorHAnsi"/>
              </w:rPr>
              <w:t xml:space="preserve">– </w:t>
            </w:r>
            <w:r w:rsidRPr="00941124">
              <w:rPr>
                <w:rFonts w:cstheme="minorHAnsi"/>
              </w:rPr>
              <w:t xml:space="preserve">Inclusion </w:t>
            </w:r>
            <w:r w:rsidRPr="004C5EF0">
              <w:rPr>
                <w:rFonts w:cstheme="minorHAnsi"/>
              </w:rPr>
              <w:t xml:space="preserve">and </w:t>
            </w:r>
            <w:r w:rsidRPr="004C5EF0">
              <w:t>cultural responsiveness</w:t>
            </w:r>
            <w:r w:rsidRPr="00941124">
              <w:t xml:space="preserve"> in</w:t>
            </w:r>
            <w:r w:rsidRPr="00941124">
              <w:rPr>
                <w:rFonts w:cstheme="minorHAnsi"/>
              </w:rPr>
              <w:t xml:space="preserve"> the</w:t>
            </w:r>
            <w:r w:rsidRPr="0062283E">
              <w:rPr>
                <w:rFonts w:cstheme="minorHAnsi"/>
              </w:rPr>
              <w:t xml:space="preserve"> N</w:t>
            </w:r>
            <w:r>
              <w:rPr>
                <w:rFonts w:cstheme="minorHAnsi"/>
              </w:rPr>
              <w:t xml:space="preserve">ational </w:t>
            </w:r>
            <w:r w:rsidRPr="0062283E">
              <w:rPr>
                <w:rFonts w:cstheme="minorHAnsi"/>
              </w:rPr>
              <w:t>Q</w:t>
            </w:r>
            <w:r>
              <w:rPr>
                <w:rFonts w:cstheme="minorHAnsi"/>
              </w:rPr>
              <w:t xml:space="preserve">uality </w:t>
            </w:r>
            <w:r w:rsidRPr="0062283E">
              <w:rPr>
                <w:rFonts w:cstheme="minorHAnsi"/>
              </w:rPr>
              <w:t>F</w:t>
            </w:r>
            <w:r>
              <w:rPr>
                <w:rFonts w:cstheme="minorHAnsi"/>
              </w:rPr>
              <w:t>ramework</w:t>
            </w:r>
          </w:p>
        </w:tc>
      </w:tr>
      <w:tr w:rsidR="008144DA" w:rsidRPr="008144DA" w14:paraId="7BF75106" w14:textId="77777777">
        <w:tc>
          <w:tcPr>
            <w:tcW w:w="9638" w:type="dxa"/>
            <w:shd w:val="clear" w:color="auto" w:fill="EBEBEB"/>
            <w:tcMar>
              <w:top w:w="28" w:type="dxa"/>
              <w:left w:w="170" w:type="dxa"/>
              <w:bottom w:w="170" w:type="dxa"/>
              <w:right w:w="170" w:type="dxa"/>
            </w:tcMar>
            <w:hideMark/>
          </w:tcPr>
          <w:p w14:paraId="0E01469B" w14:textId="77777777" w:rsidR="004E051C" w:rsidRPr="008144DA" w:rsidRDefault="004E051C">
            <w:pPr>
              <w:pStyle w:val="BodyText"/>
              <w:rPr>
                <w:rFonts w:cstheme="minorHAnsi"/>
              </w:rPr>
            </w:pPr>
            <w:r w:rsidRPr="008144DA">
              <w:rPr>
                <w:rFonts w:cstheme="minorHAnsi"/>
              </w:rPr>
              <w:t>Inclusion and respecting children’s family, culture and other identities and languages is woven through the National Quality Framework (NQF). For example, the framework:</w:t>
            </w:r>
          </w:p>
          <w:p w14:paraId="61FE6FDD" w14:textId="77777777" w:rsidR="004E051C" w:rsidRPr="008144DA" w:rsidRDefault="004E051C" w:rsidP="00E01114">
            <w:pPr>
              <w:pStyle w:val="ListBullet"/>
            </w:pPr>
            <w:r w:rsidRPr="008144DA">
              <w:t>uses the terms ‘each child’, ‘every child’ and ‘all children’ to promote inclusion</w:t>
            </w:r>
          </w:p>
          <w:p w14:paraId="79165D07" w14:textId="77777777" w:rsidR="004E051C" w:rsidRPr="008144DA" w:rsidRDefault="004E051C" w:rsidP="00E01114">
            <w:pPr>
              <w:pStyle w:val="ListBullet"/>
            </w:pPr>
            <w:r w:rsidRPr="008144DA">
              <w:t>recognises all children as confident and capable learners with the capacity and right to succeed regardless of diverse circumstances, including strengths, cultural background and abilities</w:t>
            </w:r>
          </w:p>
          <w:p w14:paraId="69FBDD63" w14:textId="77777777" w:rsidR="004E051C" w:rsidRPr="008144DA" w:rsidRDefault="004E051C" w:rsidP="00E01114">
            <w:pPr>
              <w:pStyle w:val="ListBullet"/>
            </w:pPr>
            <w:r w:rsidRPr="008144DA">
              <w:t>requires educators to hold high expectations for the learning and development of all children, recognising that every child has an individual learning path and will progress in different ways.</w:t>
            </w:r>
          </w:p>
          <w:p w14:paraId="7E6904F0" w14:textId="77777777" w:rsidR="004E051C" w:rsidRPr="008144DA" w:rsidRDefault="004E051C">
            <w:pPr>
              <w:pStyle w:val="BoxHeading2"/>
              <w:rPr>
                <w:rFonts w:cstheme="minorHAnsi"/>
              </w:rPr>
            </w:pPr>
            <w:r w:rsidRPr="008144DA">
              <w:rPr>
                <w:rFonts w:cstheme="minorHAnsi"/>
              </w:rPr>
              <w:t>National Quality Standard</w:t>
            </w:r>
          </w:p>
          <w:p w14:paraId="1DEF738F" w14:textId="77777777" w:rsidR="004E051C" w:rsidRPr="008144DA" w:rsidRDefault="004E051C" w:rsidP="00E01114">
            <w:pPr>
              <w:pStyle w:val="ListBullet"/>
            </w:pPr>
            <w:r w:rsidRPr="008144DA">
              <w:t>Quality Area 1 requires services to provide children with programs that contribute to each child’s learning and development and is based on their current knowledge, strengths, ideas, culture, abilities and interests.</w:t>
            </w:r>
          </w:p>
          <w:p w14:paraId="0630FEE8" w14:textId="77777777" w:rsidR="004E051C" w:rsidRPr="008144DA" w:rsidRDefault="004E051C" w:rsidP="00E01114">
            <w:pPr>
              <w:pStyle w:val="ListBullet"/>
            </w:pPr>
            <w:r w:rsidRPr="008144DA">
              <w:t>Quality Area 3 promotes the creation of inclusive physical environments, including ensuring spaces are adapted to support every child’s participation.</w:t>
            </w:r>
          </w:p>
          <w:p w14:paraId="20AFC879" w14:textId="77777777" w:rsidR="004E051C" w:rsidRPr="008144DA" w:rsidRDefault="004E051C" w:rsidP="00E01114">
            <w:pPr>
              <w:pStyle w:val="ListBullet"/>
              <w:rPr>
                <w:spacing w:val="-4"/>
              </w:rPr>
            </w:pPr>
            <w:r w:rsidRPr="008144DA">
              <w:rPr>
                <w:spacing w:val="-4"/>
              </w:rPr>
              <w:t xml:space="preserve">Quality Area 5 requires educators to maintain respectful and equitable relationships with children, including supporting children to feel secure, confident and included and maintaining their dignity and rights. </w:t>
            </w:r>
          </w:p>
          <w:p w14:paraId="12AA9AA8" w14:textId="77777777" w:rsidR="004E051C" w:rsidRPr="008144DA" w:rsidRDefault="004E051C" w:rsidP="00E01114">
            <w:pPr>
              <w:pStyle w:val="ListBullet"/>
            </w:pPr>
            <w:r w:rsidRPr="008144DA">
              <w:t>Quality Area 6 requires services to respect the expertise, cultures, values and beliefs of families and ensure they are included in decision</w:t>
            </w:r>
            <w:r w:rsidRPr="008144DA">
              <w:noBreakHyphen/>
              <w:t xml:space="preserve">making about their child’s learning and wellbeing. It also requires services to form effective partnerships to support children’s access, inclusion and participation. </w:t>
            </w:r>
          </w:p>
          <w:p w14:paraId="35FBEA8F" w14:textId="77777777" w:rsidR="004E051C" w:rsidRPr="008144DA" w:rsidRDefault="004E051C">
            <w:pPr>
              <w:pStyle w:val="BoxHeading2"/>
              <w:rPr>
                <w:rFonts w:cstheme="minorHAnsi"/>
              </w:rPr>
            </w:pPr>
            <w:r w:rsidRPr="008144DA">
              <w:rPr>
                <w:rFonts w:cstheme="minorHAnsi"/>
              </w:rPr>
              <w:t>Approved learning frameworks</w:t>
            </w:r>
          </w:p>
          <w:p w14:paraId="1C624D63" w14:textId="77777777" w:rsidR="004E051C" w:rsidRPr="008144DA" w:rsidRDefault="004E051C">
            <w:pPr>
              <w:pStyle w:val="BodyText"/>
              <w:rPr>
                <w:rFonts w:cstheme="minorHAnsi"/>
              </w:rPr>
            </w:pPr>
            <w:r w:rsidRPr="008144DA">
              <w:rPr>
                <w:rFonts w:cstheme="minorHAnsi"/>
              </w:rPr>
              <w:t xml:space="preserve">NQF regulated services are required to deliver an educational program based on an approved learning framework. The two national frameworks comprise a vision, supported by eight principles, seven practices and five </w:t>
            </w:r>
            <w:proofErr w:type="spellStart"/>
            <w:proofErr w:type="gramStart"/>
            <w:r w:rsidRPr="008144DA">
              <w:rPr>
                <w:rFonts w:cstheme="minorHAnsi"/>
              </w:rPr>
              <w:t>outcomes.</w:t>
            </w:r>
            <w:r w:rsidRPr="008144DA">
              <w:rPr>
                <w:vertAlign w:val="superscript"/>
              </w:rPr>
              <w:t>a</w:t>
            </w:r>
            <w:proofErr w:type="spellEnd"/>
            <w:proofErr w:type="gramEnd"/>
          </w:p>
          <w:p w14:paraId="023F95DA" w14:textId="77777777" w:rsidR="004E051C" w:rsidRPr="008144DA" w:rsidRDefault="004E051C">
            <w:pPr>
              <w:pStyle w:val="BoxHeading3"/>
              <w:rPr>
                <w:rFonts w:cstheme="minorHAnsi"/>
                <w:b w:val="0"/>
                <w:bCs/>
                <w:i w:val="0"/>
                <w:iCs/>
              </w:rPr>
            </w:pPr>
            <w:r w:rsidRPr="008144DA">
              <w:rPr>
                <w:rFonts w:cstheme="minorHAnsi"/>
                <w:b w:val="0"/>
                <w:bCs/>
                <w:i w:val="0"/>
                <w:iCs/>
              </w:rPr>
              <w:t>Key principles include:</w:t>
            </w:r>
          </w:p>
          <w:p w14:paraId="5C64793A" w14:textId="77777777" w:rsidR="004E051C" w:rsidRPr="008144DA" w:rsidRDefault="004E051C" w:rsidP="00E01114">
            <w:pPr>
              <w:pStyle w:val="ListBullet"/>
            </w:pPr>
            <w:r w:rsidRPr="008144DA">
              <w:rPr>
                <w:b/>
                <w:bCs/>
              </w:rPr>
              <w:t>Partnerships</w:t>
            </w:r>
            <w:r w:rsidRPr="008144DA">
              <w:t>, including with children, families, other professionals and communities</w:t>
            </w:r>
          </w:p>
          <w:p w14:paraId="158B8649" w14:textId="77777777" w:rsidR="004E051C" w:rsidRPr="008144DA" w:rsidRDefault="004E051C" w:rsidP="00E01114">
            <w:pPr>
              <w:pStyle w:val="ListBullet"/>
            </w:pPr>
            <w:r w:rsidRPr="008144DA">
              <w:rPr>
                <w:b/>
                <w:bCs/>
              </w:rPr>
              <w:t>Respect for diversity</w:t>
            </w:r>
            <w:r w:rsidRPr="008144DA">
              <w:t>, which recognises children are born belonging to a culture</w:t>
            </w:r>
          </w:p>
          <w:p w14:paraId="24AB4B54" w14:textId="77777777" w:rsidR="004E051C" w:rsidRPr="008144DA" w:rsidRDefault="004E051C" w:rsidP="00E01114">
            <w:pPr>
              <w:pStyle w:val="ListBullet"/>
            </w:pPr>
            <w:r w:rsidRPr="008144DA">
              <w:rPr>
                <w:b/>
                <w:bCs/>
              </w:rPr>
              <w:t>Aboriginal and Torres Strait Islander perspectives</w:t>
            </w:r>
            <w:r w:rsidRPr="008144DA">
              <w:t>, which recognises providing opportunities for Aboriginal and Torres Strait Islander children to see themselves, their identities and cultures reflected in their environment is important for growing a strong identity</w:t>
            </w:r>
          </w:p>
          <w:p w14:paraId="5A75A0D1" w14:textId="77777777" w:rsidR="004E051C" w:rsidRPr="008144DA" w:rsidRDefault="004E051C" w:rsidP="00E01114">
            <w:pPr>
              <w:pStyle w:val="ListBullet"/>
            </w:pPr>
            <w:r w:rsidRPr="008144DA">
              <w:rPr>
                <w:b/>
                <w:bCs/>
              </w:rPr>
              <w:t>Equity, inclusion and high expectations</w:t>
            </w:r>
            <w:r w:rsidRPr="008144DA">
              <w:t>, which recognises all children have a right to participate in inclusive early childhood settings.</w:t>
            </w:r>
          </w:p>
          <w:p w14:paraId="6DA760D1" w14:textId="77777777" w:rsidR="004E051C" w:rsidRPr="008144DA" w:rsidRDefault="004E051C">
            <w:pPr>
              <w:pStyle w:val="BoxHeading3"/>
              <w:keepNext/>
              <w:rPr>
                <w:rFonts w:cstheme="minorHAnsi"/>
                <w:b w:val="0"/>
                <w:bCs/>
                <w:i w:val="0"/>
                <w:iCs/>
              </w:rPr>
            </w:pPr>
            <w:r w:rsidRPr="008144DA">
              <w:rPr>
                <w:rFonts w:cstheme="minorHAnsi"/>
                <w:b w:val="0"/>
                <w:bCs/>
                <w:i w:val="0"/>
                <w:iCs/>
              </w:rPr>
              <w:lastRenderedPageBreak/>
              <w:t>Key practices include:</w:t>
            </w:r>
          </w:p>
          <w:p w14:paraId="493A2B89" w14:textId="77777777" w:rsidR="004E051C" w:rsidRPr="008144DA" w:rsidRDefault="004E051C" w:rsidP="00E01114">
            <w:pPr>
              <w:pStyle w:val="ListBullet"/>
            </w:pPr>
            <w:r w:rsidRPr="008144DA">
              <w:rPr>
                <w:b/>
                <w:bCs/>
              </w:rPr>
              <w:t xml:space="preserve">Responsiveness to children </w:t>
            </w:r>
            <w:r w:rsidRPr="008144DA">
              <w:t>(for children under school age), including responding in ways that best suit each child’s strengths, capabilities and curiosity</w:t>
            </w:r>
          </w:p>
          <w:p w14:paraId="57A4F91D" w14:textId="77777777" w:rsidR="004E051C" w:rsidRPr="008144DA" w:rsidRDefault="004E051C" w:rsidP="00E01114">
            <w:pPr>
              <w:pStyle w:val="ListBullet"/>
            </w:pPr>
            <w:r w:rsidRPr="008144DA">
              <w:rPr>
                <w:b/>
                <w:bCs/>
              </w:rPr>
              <w:t xml:space="preserve">Collaboration with children </w:t>
            </w:r>
            <w:r w:rsidRPr="008144DA">
              <w:t xml:space="preserve">(for children over school age), including building on children’s strengths, skills and knowledge and responding to their expertise, cultural traditions and ways of knowing and the multiple languages spoken by some </w:t>
            </w:r>
          </w:p>
          <w:p w14:paraId="6EF5BF46" w14:textId="77777777" w:rsidR="004E051C" w:rsidRPr="008144DA" w:rsidRDefault="004E051C" w:rsidP="00E01114">
            <w:pPr>
              <w:pStyle w:val="ListBullet"/>
            </w:pPr>
            <w:r w:rsidRPr="008144DA">
              <w:rPr>
                <w:b/>
                <w:bCs/>
              </w:rPr>
              <w:t>Cultural responsiveness</w:t>
            </w:r>
            <w:r w:rsidRPr="008144DA">
              <w:t>, including embedding Aboriginal and Torres Strait Islander perspectives in the curriculum and respecting and working collaboratively with culturally and linguistically diverse children and families.</w:t>
            </w:r>
          </w:p>
          <w:p w14:paraId="64B7D64A" w14:textId="77777777" w:rsidR="004E051C" w:rsidRPr="008144DA" w:rsidRDefault="004E051C">
            <w:pPr>
              <w:pStyle w:val="Note"/>
              <w:keepNext/>
              <w:keepLines/>
              <w:rPr>
                <w:rFonts w:cstheme="minorHAnsi"/>
              </w:rPr>
            </w:pPr>
            <w:r w:rsidRPr="008144DA">
              <w:rPr>
                <w:rFonts w:cstheme="minorHAnsi"/>
                <w:b/>
              </w:rPr>
              <w:t>a.</w:t>
            </w:r>
            <w:r w:rsidRPr="008144DA">
              <w:rPr>
                <w:rFonts w:cstheme="minorHAnsi"/>
              </w:rPr>
              <w:t xml:space="preserve"> A Victorian</w:t>
            </w:r>
            <w:r w:rsidRPr="008144DA">
              <w:rPr>
                <w:rFonts w:cstheme="minorHAnsi"/>
              </w:rPr>
              <w:noBreakHyphen/>
              <w:t>specific framework, the Victorian Early Years Learning and Development Framework, is also approved under the NQF.</w:t>
            </w:r>
          </w:p>
          <w:p w14:paraId="7BA4CA71" w14:textId="165391AD" w:rsidR="004E051C" w:rsidRPr="008144DA" w:rsidRDefault="004E051C">
            <w:pPr>
              <w:pStyle w:val="BodyText"/>
              <w:rPr>
                <w:highlight w:val="yellow"/>
              </w:rPr>
            </w:pPr>
            <w:r w:rsidRPr="008144DA">
              <w:rPr>
                <w:sz w:val="18"/>
              </w:rPr>
              <w:t xml:space="preserve">Source: ACECQA </w:t>
            </w:r>
            <w:r w:rsidRPr="008144DA">
              <w:rPr>
                <w:rFonts w:ascii="Arial" w:hAnsi="Arial" w:cs="Arial"/>
                <w:sz w:val="18"/>
                <w:szCs w:val="24"/>
              </w:rPr>
              <w:t>(2022, p. 1, 2023b, pp. 94–95)</w:t>
            </w:r>
            <w:r w:rsidRPr="008144DA">
              <w:rPr>
                <w:sz w:val="18"/>
              </w:rPr>
              <w:t xml:space="preserve">; DoE </w:t>
            </w:r>
            <w:r w:rsidRPr="008144DA">
              <w:rPr>
                <w:rFonts w:ascii="Arial" w:hAnsi="Arial" w:cs="Arial"/>
                <w:sz w:val="18"/>
                <w:szCs w:val="24"/>
              </w:rPr>
              <w:t>(2022a, pp. 14–17; 21; 23–24, 2022d, pp. 14–17; 21; 24–25)</w:t>
            </w:r>
            <w:r w:rsidR="008144DA" w:rsidRPr="008144DA">
              <w:rPr>
                <w:rFonts w:ascii="Arial" w:hAnsi="Arial" w:cs="Arial"/>
                <w:sz w:val="18"/>
                <w:szCs w:val="24"/>
              </w:rPr>
              <w:t>.</w:t>
            </w:r>
            <w:r w:rsidRPr="008144DA">
              <w:t xml:space="preserve"> </w:t>
            </w:r>
          </w:p>
        </w:tc>
      </w:tr>
    </w:tbl>
    <w:tbl>
      <w:tblPr>
        <w:tblStyle w:val="Texttable-Paleblue"/>
        <w:tblW w:w="5000" w:type="pct"/>
        <w:tblLook w:val="04A0" w:firstRow="1" w:lastRow="0" w:firstColumn="1" w:lastColumn="0" w:noHBand="0" w:noVBand="1"/>
      </w:tblPr>
      <w:tblGrid>
        <w:gridCol w:w="9638"/>
      </w:tblGrid>
      <w:tr w:rsidR="004E051C" w14:paraId="5BAC1850" w14:textId="77777777">
        <w:tc>
          <w:tcPr>
            <w:tcW w:w="9638" w:type="dxa"/>
            <w:shd w:val="clear" w:color="auto" w:fill="auto"/>
            <w:tcMar>
              <w:top w:w="0" w:type="dxa"/>
              <w:bottom w:w="0" w:type="dxa"/>
            </w:tcMar>
          </w:tcPr>
          <w:p w14:paraId="59EC5CAC" w14:textId="43DC49E3" w:rsidR="004E051C" w:rsidRPr="007E0EA8" w:rsidRDefault="004E051C">
            <w:pPr>
              <w:pStyle w:val="NoSpacing"/>
              <w:spacing w:line="200" w:lineRule="exact"/>
            </w:pPr>
          </w:p>
        </w:tc>
      </w:tr>
    </w:tbl>
    <w:p w14:paraId="742D8921" w14:textId="77777777" w:rsidR="004E051C" w:rsidRPr="00293EA9" w:rsidRDefault="004E051C">
      <w:pPr>
        <w:pStyle w:val="Heading4"/>
      </w:pPr>
      <w:r>
        <w:t>There are also</w:t>
      </w:r>
      <w:r w:rsidRPr="00293EA9">
        <w:t xml:space="preserve"> legislative requirements against discrimination</w:t>
      </w:r>
    </w:p>
    <w:p w14:paraId="11F2AF8D" w14:textId="77777777" w:rsidR="004E051C" w:rsidRPr="00C84D04" w:rsidRDefault="004E051C">
      <w:pPr>
        <w:pStyle w:val="BodyText"/>
      </w:pPr>
      <w:r w:rsidRPr="00C84D04">
        <w:t xml:space="preserve">ECEC educators and </w:t>
      </w:r>
      <w:r>
        <w:t>services</w:t>
      </w:r>
      <w:r w:rsidRPr="00C84D04">
        <w:t xml:space="preserve"> are obligated to follow </w:t>
      </w:r>
      <w:r>
        <w:t>Commonwealth</w:t>
      </w:r>
      <w:r w:rsidRPr="00C84D04">
        <w:t xml:space="preserve"> and state or territory legislation regarding discrimination and exclusion.</w:t>
      </w:r>
    </w:p>
    <w:p w14:paraId="264571BE" w14:textId="77777777" w:rsidR="004E051C" w:rsidRDefault="004E051C">
      <w:pPr>
        <w:pStyle w:val="BodyText"/>
      </w:pPr>
      <w:r w:rsidRPr="00C84D04">
        <w:t xml:space="preserve">The </w:t>
      </w:r>
      <w:r w:rsidRPr="00246D36">
        <w:rPr>
          <w:b/>
          <w:i/>
          <w:iCs/>
        </w:rPr>
        <w:t>Disability Discrimination Act 1992</w:t>
      </w:r>
      <w:r w:rsidRPr="00C84D04">
        <w:rPr>
          <w:b/>
        </w:rPr>
        <w:t xml:space="preserve"> (</w:t>
      </w:r>
      <w:proofErr w:type="spellStart"/>
      <w:r w:rsidRPr="00C84D04">
        <w:rPr>
          <w:b/>
        </w:rPr>
        <w:t>Cth</w:t>
      </w:r>
      <w:proofErr w:type="spellEnd"/>
      <w:r w:rsidRPr="00C84D04">
        <w:rPr>
          <w:b/>
        </w:rPr>
        <w:t xml:space="preserve">) </w:t>
      </w:r>
      <w:r w:rsidRPr="00EF753B">
        <w:rPr>
          <w:bCs/>
        </w:rPr>
        <w:t>(DDA)</w:t>
      </w:r>
      <w:r w:rsidRPr="00C84D04">
        <w:rPr>
          <w:b/>
        </w:rPr>
        <w:t xml:space="preserve"> </w:t>
      </w:r>
      <w:r w:rsidRPr="00C84D04">
        <w:t xml:space="preserve">makes it unlawful for people and organisations in all sectors, including ECEC services, to discriminate against a person based on their disability. </w:t>
      </w:r>
      <w:r>
        <w:t>This includes making reasonable adjustments to enable a person with disability to access and participate in a service on the same basis as others.</w:t>
      </w:r>
    </w:p>
    <w:p w14:paraId="51293E5E" w14:textId="77777777" w:rsidR="004E051C" w:rsidRDefault="004E051C">
      <w:pPr>
        <w:pStyle w:val="BodyText"/>
      </w:pPr>
      <w:r w:rsidRPr="00C84D04">
        <w:t xml:space="preserve">The </w:t>
      </w:r>
      <w:r w:rsidRPr="0073594E">
        <w:rPr>
          <w:b/>
          <w:i/>
          <w:iCs/>
        </w:rPr>
        <w:t>Disability Standards for Education 2005</w:t>
      </w:r>
      <w:r w:rsidRPr="00C84D04">
        <w:rPr>
          <w:b/>
        </w:rPr>
        <w:t xml:space="preserve"> (</w:t>
      </w:r>
      <w:proofErr w:type="spellStart"/>
      <w:r w:rsidRPr="00C84D04">
        <w:rPr>
          <w:b/>
        </w:rPr>
        <w:t>Cth</w:t>
      </w:r>
      <w:proofErr w:type="spellEnd"/>
      <w:r w:rsidRPr="00C84D04">
        <w:rPr>
          <w:b/>
        </w:rPr>
        <w:t xml:space="preserve">) </w:t>
      </w:r>
      <w:r w:rsidRPr="00C16A8A">
        <w:t>(DSE)</w:t>
      </w:r>
      <w:r w:rsidRPr="00C84D04">
        <w:rPr>
          <w:b/>
        </w:rPr>
        <w:t xml:space="preserve"> </w:t>
      </w:r>
      <w:r w:rsidRPr="00C84D04">
        <w:t xml:space="preserve">are subordinate to the DDA and clarify the obligations of education </w:t>
      </w:r>
      <w:r w:rsidRPr="00BD48D5">
        <w:t>providers (including preschools</w:t>
      </w:r>
      <w:r>
        <w:t>)</w:t>
      </w:r>
      <w:r w:rsidRPr="00C84D04">
        <w:t xml:space="preserve">, in areas of enrolment, </w:t>
      </w:r>
      <w:r>
        <w:t xml:space="preserve">participation, </w:t>
      </w:r>
      <w:r w:rsidRPr="00C84D04">
        <w:t>curriculum, assessment, student support services, physical environment, and others, under the DDA</w:t>
      </w:r>
      <w:r>
        <w:t xml:space="preserve"> (box 2.3)</w:t>
      </w:r>
      <w:r w:rsidRPr="00C84D04">
        <w:t>. However, they do not create new obligations.</w:t>
      </w:r>
    </w:p>
    <w:p w14:paraId="364A8CC4" w14:textId="77777777" w:rsidR="004E051C" w:rsidRDefault="004E051C">
      <w:pPr>
        <w:pStyle w:val="BodyText"/>
      </w:pPr>
      <w:r w:rsidRPr="00C84D04">
        <w:t xml:space="preserve">The </w:t>
      </w:r>
      <w:r w:rsidRPr="0073594E">
        <w:rPr>
          <w:b/>
          <w:i/>
          <w:iCs/>
        </w:rPr>
        <w:t>Racial Discrimination Act 1975</w:t>
      </w:r>
      <w:r w:rsidRPr="00C84D04">
        <w:rPr>
          <w:b/>
        </w:rPr>
        <w:t xml:space="preserve"> (</w:t>
      </w:r>
      <w:proofErr w:type="spellStart"/>
      <w:r w:rsidRPr="00C84D04">
        <w:rPr>
          <w:b/>
        </w:rPr>
        <w:t>Cth</w:t>
      </w:r>
      <w:proofErr w:type="spellEnd"/>
      <w:r w:rsidRPr="00C84D04">
        <w:rPr>
          <w:b/>
        </w:rPr>
        <w:t xml:space="preserve">) </w:t>
      </w:r>
      <w:r w:rsidRPr="00C84D04">
        <w:t>makes it unlawful to discriminate against a person on the basis of their race, colour, descent, national origin, or ethnic origin.</w:t>
      </w:r>
    </w:p>
    <w:p w14:paraId="65071544" w14:textId="77777777" w:rsidR="004E051C" w:rsidRDefault="004E051C">
      <w:pPr>
        <w:pStyle w:val="BodyText"/>
      </w:pPr>
      <w:r w:rsidRPr="00C84D04">
        <w:t>Each state and territory also ha</w:t>
      </w:r>
      <w:r>
        <w:t>s</w:t>
      </w:r>
      <w:r w:rsidRPr="00C84D04">
        <w:t xml:space="preserve"> several anti</w:t>
      </w:r>
      <w:r>
        <w:noBreakHyphen/>
      </w:r>
      <w:r w:rsidRPr="00C84D04">
        <w:t>discrimination laws that supplement federal legislation.</w:t>
      </w:r>
    </w:p>
    <w:p w14:paraId="76575E13" w14:textId="77777777" w:rsidR="00332620" w:rsidRDefault="00332620">
      <w:pPr>
        <w:spacing w:before="0" w:after="160" w:line="259" w:lineRule="auto"/>
      </w:pPr>
      <w:r>
        <w:br w:type="page"/>
      </w:r>
    </w:p>
    <w:tbl>
      <w:tblPr>
        <w:tblStyle w:val="Boxtable"/>
        <w:tblW w:w="5000" w:type="pct"/>
        <w:tblLook w:val="04A0" w:firstRow="1" w:lastRow="0" w:firstColumn="1" w:lastColumn="0" w:noHBand="0" w:noVBand="1"/>
      </w:tblPr>
      <w:tblGrid>
        <w:gridCol w:w="9638"/>
      </w:tblGrid>
      <w:tr w:rsidR="004E051C" w:rsidRPr="00F20A94" w14:paraId="3DB72D6C" w14:textId="77777777">
        <w:trPr>
          <w:tblHeader/>
        </w:trPr>
        <w:tc>
          <w:tcPr>
            <w:tcW w:w="9638" w:type="dxa"/>
            <w:shd w:val="clear" w:color="auto" w:fill="EBEBEB"/>
            <w:tcMar>
              <w:top w:w="170" w:type="dxa"/>
              <w:left w:w="170" w:type="dxa"/>
              <w:bottom w:w="113" w:type="dxa"/>
              <w:right w:w="170" w:type="dxa"/>
            </w:tcMar>
            <w:hideMark/>
          </w:tcPr>
          <w:p w14:paraId="17F56F2F" w14:textId="2008ACCB" w:rsidR="004E051C" w:rsidRPr="00B1456F" w:rsidRDefault="004E051C">
            <w:pPr>
              <w:pStyle w:val="BoxHeading1"/>
              <w:rPr>
                <w:rFonts w:cstheme="minorHAnsi"/>
                <w:highlight w:val="yellow"/>
              </w:rPr>
            </w:pPr>
            <w:r w:rsidRPr="00E517F1">
              <w:rPr>
                <w:rFonts w:cstheme="minorHAnsi"/>
              </w:rPr>
              <w:lastRenderedPageBreak/>
              <w:t xml:space="preserve">Box </w:t>
            </w:r>
            <w:r w:rsidR="00DC7EEE">
              <w:rPr>
                <w:noProof/>
              </w:rPr>
              <w:t>2</w:t>
            </w:r>
            <w:r>
              <w:t>.</w:t>
            </w:r>
            <w:r w:rsidR="00DC7EEE">
              <w:rPr>
                <w:noProof/>
              </w:rPr>
              <w:t>3</w:t>
            </w:r>
            <w:r>
              <w:rPr>
                <w:noProof/>
              </w:rPr>
              <w:t xml:space="preserve"> </w:t>
            </w:r>
            <w:r w:rsidRPr="00E517F1">
              <w:rPr>
                <w:rFonts w:cstheme="minorHAnsi"/>
              </w:rPr>
              <w:t>– The Disability Standards for Education 2005 (</w:t>
            </w:r>
            <w:proofErr w:type="spellStart"/>
            <w:r w:rsidRPr="00E517F1">
              <w:rPr>
                <w:rFonts w:cstheme="minorHAnsi"/>
              </w:rPr>
              <w:t>Cth</w:t>
            </w:r>
            <w:proofErr w:type="spellEnd"/>
            <w:r w:rsidRPr="00E517F1">
              <w:rPr>
                <w:rFonts w:cstheme="minorHAnsi"/>
              </w:rPr>
              <w:t>)</w:t>
            </w:r>
          </w:p>
        </w:tc>
      </w:tr>
      <w:tr w:rsidR="004E051C" w:rsidRPr="00F20A94" w14:paraId="61CC2D12" w14:textId="77777777">
        <w:tc>
          <w:tcPr>
            <w:tcW w:w="9638" w:type="dxa"/>
            <w:shd w:val="clear" w:color="auto" w:fill="EBEBEB"/>
            <w:tcMar>
              <w:top w:w="28" w:type="dxa"/>
              <w:left w:w="170" w:type="dxa"/>
              <w:bottom w:w="170" w:type="dxa"/>
              <w:right w:w="170" w:type="dxa"/>
            </w:tcMar>
            <w:hideMark/>
          </w:tcPr>
          <w:p w14:paraId="37566FC9" w14:textId="77777777" w:rsidR="004E051C" w:rsidRPr="008144DA" w:rsidRDefault="004E051C">
            <w:pPr>
              <w:pStyle w:val="BodyText"/>
              <w:rPr>
                <w:rFonts w:cstheme="minorHAnsi"/>
                <w:bCs/>
                <w:spacing w:val="-4"/>
              </w:rPr>
            </w:pPr>
            <w:r w:rsidRPr="008144DA">
              <w:rPr>
                <w:rFonts w:cstheme="minorHAnsi"/>
                <w:spacing w:val="-4"/>
              </w:rPr>
              <w:t xml:space="preserve">The </w:t>
            </w:r>
            <w:r w:rsidRPr="008144DA">
              <w:rPr>
                <w:rFonts w:cstheme="minorHAnsi"/>
                <w:i/>
                <w:iCs/>
                <w:spacing w:val="-4"/>
              </w:rPr>
              <w:t>Disability Standards for Education 2005</w:t>
            </w:r>
            <w:r w:rsidRPr="008144DA">
              <w:rPr>
                <w:rFonts w:cstheme="minorHAnsi"/>
                <w:spacing w:val="-4"/>
              </w:rPr>
              <w:t xml:space="preserve"> (</w:t>
            </w:r>
            <w:proofErr w:type="spellStart"/>
            <w:r w:rsidRPr="008144DA">
              <w:rPr>
                <w:rFonts w:cstheme="minorHAnsi"/>
                <w:spacing w:val="-4"/>
              </w:rPr>
              <w:t>Cth</w:t>
            </w:r>
            <w:proofErr w:type="spellEnd"/>
            <w:r w:rsidRPr="008144DA">
              <w:rPr>
                <w:rFonts w:cstheme="minorHAnsi"/>
                <w:spacing w:val="-4"/>
              </w:rPr>
              <w:t xml:space="preserve">) (DSE) are subordinate legislation to the </w:t>
            </w:r>
            <w:r w:rsidRPr="008144DA">
              <w:rPr>
                <w:rFonts w:cstheme="minorHAnsi"/>
                <w:bCs/>
                <w:i/>
                <w:iCs/>
                <w:spacing w:val="-4"/>
              </w:rPr>
              <w:t>Disability Discrimination Act</w:t>
            </w:r>
            <w:r w:rsidRPr="008144DA">
              <w:rPr>
                <w:rFonts w:cstheme="minorHAnsi"/>
                <w:bCs/>
                <w:spacing w:val="-4"/>
              </w:rPr>
              <w:t xml:space="preserve"> </w:t>
            </w:r>
            <w:r w:rsidRPr="008144DA">
              <w:rPr>
                <w:rFonts w:cstheme="minorHAnsi"/>
                <w:bCs/>
                <w:i/>
                <w:iCs/>
                <w:spacing w:val="-4"/>
              </w:rPr>
              <w:t>1992</w:t>
            </w:r>
            <w:r w:rsidRPr="008144DA">
              <w:rPr>
                <w:rFonts w:cstheme="minorHAnsi"/>
                <w:bCs/>
                <w:spacing w:val="-4"/>
              </w:rPr>
              <w:t xml:space="preserve"> (</w:t>
            </w:r>
            <w:proofErr w:type="spellStart"/>
            <w:r w:rsidRPr="008144DA">
              <w:rPr>
                <w:rFonts w:cstheme="minorHAnsi"/>
                <w:bCs/>
                <w:spacing w:val="-4"/>
              </w:rPr>
              <w:t>Cth</w:t>
            </w:r>
            <w:proofErr w:type="spellEnd"/>
            <w:r w:rsidRPr="008144DA">
              <w:rPr>
                <w:rFonts w:cstheme="minorHAnsi"/>
                <w:bCs/>
                <w:spacing w:val="-4"/>
              </w:rPr>
              <w:t>) (DDA).</w:t>
            </w:r>
            <w:r w:rsidRPr="008144DA">
              <w:rPr>
                <w:rFonts w:cstheme="minorHAnsi"/>
                <w:b/>
                <w:spacing w:val="-4"/>
              </w:rPr>
              <w:t xml:space="preserve"> </w:t>
            </w:r>
            <w:r w:rsidRPr="008144DA">
              <w:rPr>
                <w:rFonts w:cstheme="minorHAnsi"/>
                <w:bCs/>
                <w:spacing w:val="-4"/>
              </w:rPr>
              <w:t xml:space="preserve">The DSE clarify the obligations of education providers under the DDA. </w:t>
            </w:r>
          </w:p>
          <w:p w14:paraId="0A0B4CE9" w14:textId="77777777" w:rsidR="004E051C" w:rsidRPr="00551F8C" w:rsidRDefault="004E051C">
            <w:pPr>
              <w:pStyle w:val="BodyText"/>
            </w:pPr>
            <w:r>
              <w:t xml:space="preserve">The DSE provide detail about an education provider’s obligation to make reasonable adjustments to assist students with disability to participate in education on the same basis as their peers. There is no obligation to make an unreasonable adjustment. Education providers must consult with students and their family members or carers about reasonable adjustments. </w:t>
            </w:r>
          </w:p>
          <w:p w14:paraId="6E9246C8" w14:textId="77777777" w:rsidR="004E051C" w:rsidRDefault="004E051C">
            <w:pPr>
              <w:pStyle w:val="BodyText"/>
              <w:rPr>
                <w:rFonts w:cstheme="minorHAnsi"/>
                <w:bCs/>
              </w:rPr>
            </w:pPr>
            <w:r>
              <w:rPr>
                <w:rFonts w:cstheme="minorHAnsi"/>
                <w:bCs/>
              </w:rPr>
              <w:t xml:space="preserve">The DSE outline education providers’ obligations to ensure students children can participate in education on the same basis as students without disability, in relation to: </w:t>
            </w:r>
          </w:p>
          <w:p w14:paraId="7CB25313" w14:textId="77777777" w:rsidR="004E051C" w:rsidRDefault="004E051C" w:rsidP="00E01114">
            <w:pPr>
              <w:pStyle w:val="ListBullet"/>
            </w:pPr>
            <w:r w:rsidRPr="0004542F">
              <w:rPr>
                <w:b/>
                <w:bCs/>
              </w:rPr>
              <w:t>enrolmen</w:t>
            </w:r>
            <w:r w:rsidRPr="00332620">
              <w:rPr>
                <w:b/>
              </w:rPr>
              <w:t>t</w:t>
            </w:r>
            <w:r>
              <w:t xml:space="preserve"> – the provider must take reasonable steps to ensure the prospective student is able to seek admission or apply for enrolment</w:t>
            </w:r>
          </w:p>
          <w:p w14:paraId="6029F9CF" w14:textId="77777777" w:rsidR="004E051C" w:rsidRDefault="004E051C" w:rsidP="00E01114">
            <w:pPr>
              <w:pStyle w:val="ListBullet"/>
            </w:pPr>
            <w:r w:rsidRPr="0004542F">
              <w:rPr>
                <w:b/>
                <w:bCs/>
              </w:rPr>
              <w:t xml:space="preserve">participation </w:t>
            </w:r>
            <w:r>
              <w:t xml:space="preserve">– the provider must take reasonable steps to ensure the student is able to participate in the courses of programs provided by the educational institution and use the facilities and services provided by it </w:t>
            </w:r>
          </w:p>
          <w:p w14:paraId="4561686B" w14:textId="77777777" w:rsidR="004E051C" w:rsidRDefault="004E051C" w:rsidP="00E01114">
            <w:pPr>
              <w:pStyle w:val="ListBullet"/>
            </w:pPr>
            <w:r w:rsidRPr="0004542F">
              <w:rPr>
                <w:b/>
                <w:bCs/>
              </w:rPr>
              <w:t>curriculum</w:t>
            </w:r>
            <w:r>
              <w:rPr>
                <w:b/>
                <w:bCs/>
              </w:rPr>
              <w:t xml:space="preserve"> </w:t>
            </w:r>
            <w:r>
              <w:t>– the provider must take reasonable steps to ensure that the course or program is designed in a way that a student with disability is able to participate in the learning experiences of the course or program and any relevant supplementary course or program</w:t>
            </w:r>
          </w:p>
          <w:p w14:paraId="44EFB221" w14:textId="77777777" w:rsidR="004E051C" w:rsidRDefault="004E051C" w:rsidP="00E01114">
            <w:pPr>
              <w:pStyle w:val="ListBullet"/>
            </w:pPr>
            <w:r w:rsidRPr="0093320C">
              <w:rPr>
                <w:b/>
                <w:bCs/>
              </w:rPr>
              <w:t>student support services</w:t>
            </w:r>
            <w:r>
              <w:t xml:space="preserve"> – the provider must take reasonable steps to:</w:t>
            </w:r>
          </w:p>
          <w:p w14:paraId="3A916CFD" w14:textId="77777777" w:rsidR="004E051C" w:rsidRDefault="004E051C">
            <w:pPr>
              <w:pStyle w:val="ListBullet2"/>
            </w:pPr>
            <w:r>
              <w:t xml:space="preserve">ensure that the student is able to use support services by students of the institution in general </w:t>
            </w:r>
          </w:p>
          <w:p w14:paraId="780EE6F2" w14:textId="77777777" w:rsidR="004E051C" w:rsidRDefault="004E051C">
            <w:pPr>
              <w:pStyle w:val="ListBullet2"/>
            </w:pPr>
            <w:r>
              <w:t xml:space="preserve">ensure a specialised support service is available, where it is necessary for the student to be able to participate in activities for which they are </w:t>
            </w:r>
            <w:proofErr w:type="gramStart"/>
            <w:r>
              <w:t>enrolled</w:t>
            </w:r>
            <w:proofErr w:type="gramEnd"/>
            <w:r>
              <w:t xml:space="preserve"> and the service is of the kind provided by the education provider</w:t>
            </w:r>
          </w:p>
          <w:p w14:paraId="6EBEC53A" w14:textId="77777777" w:rsidR="004E051C" w:rsidRDefault="004E051C">
            <w:pPr>
              <w:pStyle w:val="ListBullet2"/>
            </w:pPr>
            <w:r>
              <w:t xml:space="preserve">facilitate the provision of a specialist support services, where it is necessary for the student to be able to participate in activities in which they are </w:t>
            </w:r>
            <w:proofErr w:type="gramStart"/>
            <w:r>
              <w:t>enrolled</w:t>
            </w:r>
            <w:proofErr w:type="gramEnd"/>
            <w:r>
              <w:t xml:space="preserve"> and the service is not of the kind provided by the education provider</w:t>
            </w:r>
          </w:p>
          <w:p w14:paraId="27A130E4" w14:textId="77777777" w:rsidR="004E051C" w:rsidRPr="002B6595" w:rsidRDefault="004E051C" w:rsidP="00E01114">
            <w:pPr>
              <w:pStyle w:val="ListBullet"/>
              <w:contextualSpacing w:val="0"/>
            </w:pPr>
            <w:r w:rsidRPr="002B6595">
              <w:t>the elimination of harassment and victimisation</w:t>
            </w:r>
            <w:r w:rsidRPr="00CE1C25">
              <w:t>.</w:t>
            </w:r>
          </w:p>
          <w:p w14:paraId="6DDD672D" w14:textId="77777777" w:rsidR="004E051C" w:rsidRPr="008B162A" w:rsidRDefault="004E051C" w:rsidP="008144DA">
            <w:pPr>
              <w:pStyle w:val="Source"/>
              <w:keepNext/>
              <w:spacing w:before="240"/>
            </w:pPr>
            <w:r>
              <w:t>Source:</w:t>
            </w:r>
            <w:r w:rsidRPr="00CE1C25">
              <w:t xml:space="preserve"> </w:t>
            </w:r>
            <w:r w:rsidRPr="00FD74C4">
              <w:rPr>
                <w:i/>
                <w:iCs/>
              </w:rPr>
              <w:t>Disability Standards for Education 2005</w:t>
            </w:r>
            <w:r w:rsidRPr="004868B5">
              <w:t xml:space="preserve"> (</w:t>
            </w:r>
            <w:proofErr w:type="spellStart"/>
            <w:r w:rsidRPr="004868B5">
              <w:t>Cth</w:t>
            </w:r>
            <w:proofErr w:type="spellEnd"/>
            <w:r w:rsidRPr="004868B5">
              <w:t xml:space="preserve">); DESE </w:t>
            </w:r>
            <w:r w:rsidRPr="00CE1C25">
              <w:t>(2020)</w:t>
            </w:r>
            <w:r w:rsidRPr="004868B5">
              <w:t>, p.</w:t>
            </w:r>
            <w:r>
              <w:t> </w:t>
            </w:r>
            <w:r w:rsidRPr="004868B5">
              <w:t>11</w:t>
            </w:r>
          </w:p>
        </w:tc>
      </w:tr>
    </w:tbl>
    <w:p w14:paraId="59F4762F" w14:textId="77777777" w:rsidR="004E051C" w:rsidRPr="00C84D04" w:rsidRDefault="004E051C">
      <w:pPr>
        <w:pStyle w:val="Heading4"/>
      </w:pPr>
      <w:r>
        <w:t>But ‘child</w:t>
      </w:r>
      <w:r>
        <w:noBreakHyphen/>
        <w:t>care’ is excluded from the Disability Standards for Education</w:t>
      </w:r>
    </w:p>
    <w:p w14:paraId="1266C0D1" w14:textId="77777777" w:rsidR="004E051C" w:rsidRPr="00363D39" w:rsidRDefault="004E051C">
      <w:pPr>
        <w:pStyle w:val="BodyText"/>
      </w:pPr>
      <w:r w:rsidRPr="003953B9">
        <w:t xml:space="preserve">In the context of </w:t>
      </w:r>
      <w:r w:rsidRPr="00C16A8A">
        <w:t>ECEC</w:t>
      </w:r>
      <w:r w:rsidRPr="003953B9">
        <w:t xml:space="preserve">, </w:t>
      </w:r>
      <w:r>
        <w:t>‘</w:t>
      </w:r>
      <w:r w:rsidRPr="00C16A8A">
        <w:t>preschools</w:t>
      </w:r>
      <w:r>
        <w:t>’</w:t>
      </w:r>
      <w:r w:rsidRPr="00C16A8A">
        <w:t xml:space="preserve"> </w:t>
      </w:r>
      <w:r>
        <w:t>are covered by the DSE. However, ‘child</w:t>
      </w:r>
      <w:r>
        <w:noBreakHyphen/>
        <w:t>care providers’ are explicitly excluded from the st</w:t>
      </w:r>
      <w:r w:rsidRPr="001F79AC">
        <w:t>andards.</w:t>
      </w:r>
      <w:r w:rsidRPr="00D10F0A">
        <w:rPr>
          <w:rStyle w:val="FootnoteReference"/>
        </w:rPr>
        <w:footnoteReference w:id="13"/>
      </w:r>
      <w:r>
        <w:t xml:space="preserve"> </w:t>
      </w:r>
    </w:p>
    <w:p w14:paraId="0AFFE04E" w14:textId="77777777" w:rsidR="004E051C" w:rsidRPr="00C84D04" w:rsidRDefault="004E051C">
      <w:pPr>
        <w:pStyle w:val="BodyText"/>
      </w:pPr>
      <w:r w:rsidRPr="00C84D04">
        <w:t xml:space="preserve">Successive reviews of the </w:t>
      </w:r>
      <w:r w:rsidRPr="00C71ECE">
        <w:t>DSE commencing in 2010</w:t>
      </w:r>
      <w:r w:rsidRPr="00834054">
        <w:t>, 2015 and 2020 recommended</w:t>
      </w:r>
      <w:r w:rsidRPr="00C84D04">
        <w:t xml:space="preserve"> the standards apply to other ECEC providers</w:t>
      </w:r>
      <w:r>
        <w:t>, with the 2015 and 2020</w:t>
      </w:r>
      <w:r w:rsidRPr="00C84D04">
        <w:t xml:space="preserve"> </w:t>
      </w:r>
      <w:r w:rsidRPr="00EF753B">
        <w:t>reviews noting the</w:t>
      </w:r>
      <w:r w:rsidRPr="00066A35">
        <w:t xml:space="preserve"> exclusion of </w:t>
      </w:r>
      <w:r>
        <w:t>‘child</w:t>
      </w:r>
      <w:r>
        <w:noBreakHyphen/>
        <w:t>care providers’</w:t>
      </w:r>
      <w:r w:rsidRPr="00066A35">
        <w:t xml:space="preserve"> appears anomalous </w:t>
      </w:r>
      <w:r w:rsidRPr="00C73EF0">
        <w:rPr>
          <w:rFonts w:ascii="Arial" w:hAnsi="Arial" w:cs="Arial"/>
          <w:szCs w:val="24"/>
        </w:rPr>
        <w:t>(Australian Government Department of Education, Employment and Workplace Relations 2012; DESE 2020; Urbis 2015)</w:t>
      </w:r>
      <w:r w:rsidRPr="00EF753B">
        <w:t xml:space="preserve">. </w:t>
      </w:r>
      <w:r w:rsidRPr="003402B8">
        <w:t xml:space="preserve">A similar </w:t>
      </w:r>
      <w:r w:rsidRPr="00C84D04">
        <w:t>recommendation was included in the Australian Institute of Family Studies</w:t>
      </w:r>
      <w:r>
        <w:t xml:space="preserve"> (AIFS)</w:t>
      </w:r>
      <w:r w:rsidRPr="00C84D04">
        <w:t xml:space="preserve"> evaluation of the </w:t>
      </w:r>
      <w:r>
        <w:t xml:space="preserve">ISP </w:t>
      </w:r>
      <w:r w:rsidRPr="00130649">
        <w:rPr>
          <w:rFonts w:ascii="Arial" w:hAnsi="Arial" w:cs="Arial"/>
          <w:szCs w:val="24"/>
        </w:rPr>
        <w:t>(Bray et al. 2021, p. 169)</w:t>
      </w:r>
      <w:r w:rsidRPr="00C84D04">
        <w:t>.</w:t>
      </w:r>
    </w:p>
    <w:p w14:paraId="154CC3AA" w14:textId="77777777" w:rsidR="004E051C" w:rsidRDefault="004E051C" w:rsidP="00F21236">
      <w:pPr>
        <w:pStyle w:val="BodyText"/>
      </w:pPr>
      <w:r w:rsidRPr="00C84D04">
        <w:lastRenderedPageBreak/>
        <w:t xml:space="preserve">The 2020 DSE review noted </w:t>
      </w:r>
      <w:r>
        <w:t xml:space="preserve">that </w:t>
      </w:r>
      <w:r w:rsidRPr="00C84D04">
        <w:t xml:space="preserve">the distinction made between preschool and other ECEC services </w:t>
      </w:r>
      <w:r>
        <w:t xml:space="preserve">in the DSE </w:t>
      </w:r>
      <w:r w:rsidRPr="00C84D04">
        <w:t xml:space="preserve">is imprecise and does not reflect the diversity of service types and programs offered </w:t>
      </w:r>
      <w:r w:rsidRPr="00EE361A">
        <w:t xml:space="preserve">by ECEC providers. </w:t>
      </w:r>
      <w:r w:rsidRPr="00C16A8A">
        <w:t xml:space="preserve">It noted </w:t>
      </w:r>
      <w:r>
        <w:t>that</w:t>
      </w:r>
      <w:r w:rsidRPr="00C16A8A">
        <w:t xml:space="preserve"> these arrangements:</w:t>
      </w:r>
    </w:p>
    <w:p w14:paraId="3CFB147E" w14:textId="77777777" w:rsidR="004E051C" w:rsidRDefault="004E051C">
      <w:pPr>
        <w:pStyle w:val="Quote"/>
        <w:keepNext/>
      </w:pPr>
      <w:r>
        <w:t xml:space="preserve">create the mistaken impression that the rights of children with disability in relation to education in a </w:t>
      </w:r>
      <w:proofErr w:type="gramStart"/>
      <w:r>
        <w:t>child care</w:t>
      </w:r>
      <w:proofErr w:type="gramEnd"/>
      <w:r>
        <w:t xml:space="preserve"> setting are somehow different to those in a preschool/kindergarten setting. While extending the Standards to incorporate </w:t>
      </w:r>
      <w:proofErr w:type="gramStart"/>
      <w:r>
        <w:t>child care</w:t>
      </w:r>
      <w:proofErr w:type="gramEnd"/>
      <w:r>
        <w:t xml:space="preserve"> would not, in itself, alter or increase the existing rights of children with disability or obligations of ECEC providers, the current exclusion of child care from the Standards contributes to a poor understanding of rights and obligations in an ECEC context </w:t>
      </w:r>
      <w:r w:rsidRPr="008C421E">
        <w:rPr>
          <w:rFonts w:ascii="Arial" w:hAnsi="Arial" w:cs="Arial"/>
          <w:szCs w:val="24"/>
        </w:rPr>
        <w:t>(DESE 2020, p. 61)</w:t>
      </w:r>
    </w:p>
    <w:p w14:paraId="074E0769" w14:textId="77777777" w:rsidR="004E051C" w:rsidRDefault="004E051C">
      <w:pPr>
        <w:pStyle w:val="BodyText"/>
      </w:pPr>
      <w:r w:rsidRPr="00B37602">
        <w:t>The intent of the DSE is to clarify the obligations of services under the DDA</w:t>
      </w:r>
      <w:r w:rsidRPr="002E2DB9">
        <w:t xml:space="preserve">. If </w:t>
      </w:r>
      <w:r>
        <w:t>other</w:t>
      </w:r>
      <w:r w:rsidRPr="002E2DB9">
        <w:t xml:space="preserve"> ECEC services understand the</w:t>
      </w:r>
      <w:r>
        <w:t>ir</w:t>
      </w:r>
      <w:r w:rsidRPr="002E2DB9">
        <w:t xml:space="preserve"> obligations under the DDA</w:t>
      </w:r>
      <w:r>
        <w:t xml:space="preserve"> and families effectively engage these protections</w:t>
      </w:r>
      <w:r w:rsidRPr="002E2DB9">
        <w:t xml:space="preserve">, there may be less of a case to include </w:t>
      </w:r>
      <w:r>
        <w:t>those services</w:t>
      </w:r>
      <w:r w:rsidRPr="002E2DB9">
        <w:t xml:space="preserve"> in the DSE.</w:t>
      </w:r>
      <w:r>
        <w:t xml:space="preserve"> However, t</w:t>
      </w:r>
      <w:r w:rsidRPr="00C84D04">
        <w:t xml:space="preserve">he 2020 DSE review found there was limited awareness of the DDA </w:t>
      </w:r>
      <w:r>
        <w:t>within</w:t>
      </w:r>
      <w:r w:rsidRPr="00C84D04">
        <w:t xml:space="preserve"> the ECEC sector </w:t>
      </w:r>
      <w:r w:rsidRPr="0018171E">
        <w:t xml:space="preserve">and that complaints processes </w:t>
      </w:r>
      <w:r w:rsidRPr="00C16A8A">
        <w:t>were</w:t>
      </w:r>
      <w:r w:rsidRPr="0018171E">
        <w:t xml:space="preserve"> difficult for families to navigate</w:t>
      </w:r>
      <w:r>
        <w:t xml:space="preserve"> </w:t>
      </w:r>
      <w:r w:rsidRPr="008C421E">
        <w:rPr>
          <w:rFonts w:ascii="Arial" w:hAnsi="Arial" w:cs="Arial"/>
          <w:szCs w:val="24"/>
        </w:rPr>
        <w:t>(DESE 2020, p. 12)</w:t>
      </w:r>
      <w:r w:rsidRPr="0018171E">
        <w:t>.</w:t>
      </w:r>
      <w:r w:rsidRPr="00654633">
        <w:t xml:space="preserve"> The review </w:t>
      </w:r>
      <w:r>
        <w:t>heard</w:t>
      </w:r>
      <w:r w:rsidRPr="00654633">
        <w:t xml:space="preserve"> </w:t>
      </w:r>
      <w:r>
        <w:t>families had limited complaint options, and that a fear of retribution sometimes acted as a significant disincentive to making a complaint</w:t>
      </w:r>
      <w:r w:rsidRPr="00654633">
        <w:t xml:space="preserve"> </w:t>
      </w:r>
      <w:r w:rsidRPr="008C421E">
        <w:rPr>
          <w:rFonts w:ascii="Arial" w:hAnsi="Arial" w:cs="Arial"/>
          <w:szCs w:val="24"/>
        </w:rPr>
        <w:t>(DESE 2020, p. 17)</w:t>
      </w:r>
    </w:p>
    <w:p w14:paraId="577EEE42" w14:textId="77777777" w:rsidR="004E051C" w:rsidRDefault="004E051C">
      <w:pPr>
        <w:pStyle w:val="BodyText"/>
      </w:pPr>
      <w:r>
        <w:t xml:space="preserve">While ACECQA has developed information packages to help services understand their obligations under the DDA </w:t>
      </w:r>
      <w:r w:rsidRPr="00FC05F9">
        <w:rPr>
          <w:rFonts w:ascii="Arial" w:hAnsi="Arial" w:cs="Arial"/>
          <w:szCs w:val="24"/>
        </w:rPr>
        <w:t>(Aly and Rishworth 2023)</w:t>
      </w:r>
      <w:r>
        <w:t xml:space="preserve">, there remains a case for </w:t>
      </w:r>
      <w:r w:rsidRPr="00A83423">
        <w:t>including all</w:t>
      </w:r>
      <w:r>
        <w:t xml:space="preserve"> ECEC services within the scope of the DSE. </w:t>
      </w:r>
      <w:r w:rsidRPr="00C84D04">
        <w:t>This should be progresse</w:t>
      </w:r>
      <w:r>
        <w:t>d</w:t>
      </w:r>
      <w:r w:rsidRPr="00C84D04">
        <w:t xml:space="preserve"> as a matter of priority.</w:t>
      </w:r>
    </w:p>
    <w:p w14:paraId="3B872CC6" w14:textId="77777777" w:rsidR="004E051C" w:rsidRDefault="004E051C">
      <w:pPr>
        <w:pStyle w:val="BodyText"/>
      </w:pPr>
      <w:r>
        <w:t xml:space="preserve">In implementing these changes, the Australian Government Department of Education should work with ACECQA to ensure services are provided appropriate information and support to meet their obligations. The department should continue to monitor the effectiveness of current supports, including the ISP, and make any changes required to support services to meet their obligations. </w:t>
      </w:r>
    </w:p>
    <w:p w14:paraId="4BCD76C1" w14:textId="1324E4AE" w:rsidR="004E051C" w:rsidRDefault="004E051C">
      <w:pPr>
        <w:pStyle w:val="NoSpacing"/>
      </w:pPr>
    </w:p>
    <w:tbl>
      <w:tblPr>
        <w:tblStyle w:val="Texttable-Paleblue"/>
        <w:tblW w:w="5000" w:type="pct"/>
        <w:tblLook w:val="04A0" w:firstRow="1" w:lastRow="0" w:firstColumn="1" w:lastColumn="0" w:noHBand="0" w:noVBand="1"/>
      </w:tblPr>
      <w:tblGrid>
        <w:gridCol w:w="713"/>
        <w:gridCol w:w="8925"/>
      </w:tblGrid>
      <w:tr w:rsidR="004E051C" w14:paraId="7715D85C" w14:textId="77777777">
        <w:trPr>
          <w:tblHeader/>
        </w:trPr>
        <w:tc>
          <w:tcPr>
            <w:tcW w:w="713" w:type="dxa"/>
            <w:shd w:val="clear" w:color="auto" w:fill="E7F6FD"/>
            <w:tcMar>
              <w:top w:w="0" w:type="dxa"/>
              <w:bottom w:w="0" w:type="dxa"/>
            </w:tcMar>
            <w:vAlign w:val="center"/>
          </w:tcPr>
          <w:p w14:paraId="2451A740" w14:textId="77777777" w:rsidR="004E051C" w:rsidRDefault="004E051C">
            <w:pPr>
              <w:keepLines/>
              <w:jc w:val="center"/>
            </w:pPr>
            <w:r w:rsidRPr="00A51374">
              <w:rPr>
                <w:noProof/>
              </w:rPr>
              <w:drawing>
                <wp:inline distT="0" distB="0" distL="0" distR="0" wp14:anchorId="56902301" wp14:editId="729BCE81">
                  <wp:extent cx="288000" cy="288000"/>
                  <wp:effectExtent l="0" t="0" r="0" b="0"/>
                  <wp:docPr id="315117413" name="Picture 315117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B8A139F" w14:textId="48917057" w:rsidR="004E051C" w:rsidRPr="00715040" w:rsidRDefault="004E051C">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2</w:t>
            </w:r>
            <w:r w:rsidRPr="00715040">
              <w:rPr>
                <w:sz w:val="20"/>
              </w:rPr>
              <w:t>.</w:t>
            </w:r>
            <w:r w:rsidR="00DC7EEE">
              <w:rPr>
                <w:noProof/>
                <w:sz w:val="20"/>
              </w:rPr>
              <w:t>2</w:t>
            </w:r>
          </w:p>
          <w:p w14:paraId="2B1F9EA5" w14:textId="77777777" w:rsidR="004E051C" w:rsidRPr="00715040" w:rsidRDefault="004E051C">
            <w:pPr>
              <w:pStyle w:val="TableHeading"/>
              <w:keepLines/>
              <w:spacing w:before="120" w:after="120"/>
              <w:contextualSpacing/>
              <w:rPr>
                <w:sz w:val="20"/>
              </w:rPr>
            </w:pPr>
            <w:r>
              <w:rPr>
                <w:rFonts w:cstheme="minorHAnsi"/>
                <w:sz w:val="20"/>
              </w:rPr>
              <w:t>Amend the Disability Standards for Education</w:t>
            </w:r>
          </w:p>
        </w:tc>
      </w:tr>
      <w:tr w:rsidR="004E051C" w14:paraId="3509D7AC" w14:textId="77777777">
        <w:tc>
          <w:tcPr>
            <w:tcW w:w="9638" w:type="dxa"/>
            <w:gridSpan w:val="2"/>
            <w:shd w:val="clear" w:color="auto" w:fill="E7F6FD"/>
            <w:tcMar>
              <w:top w:w="0" w:type="dxa"/>
            </w:tcMar>
          </w:tcPr>
          <w:p w14:paraId="1C1A3903" w14:textId="77777777" w:rsidR="004E051C" w:rsidRPr="00767EAE" w:rsidRDefault="004E051C">
            <w:pPr>
              <w:pStyle w:val="BodyText"/>
              <w:keepLines/>
            </w:pPr>
            <w:r w:rsidRPr="00394B6C">
              <w:rPr>
                <w:rFonts w:cstheme="minorHAnsi"/>
              </w:rPr>
              <w:t xml:space="preserve">The </w:t>
            </w:r>
            <w:r>
              <w:rPr>
                <w:rFonts w:cstheme="minorHAnsi"/>
              </w:rPr>
              <w:t xml:space="preserve">Australian Government should amend </w:t>
            </w:r>
            <w:r w:rsidRPr="00734EB7">
              <w:rPr>
                <w:rFonts w:cstheme="minorHAnsi"/>
              </w:rPr>
              <w:t xml:space="preserve">the </w:t>
            </w:r>
            <w:r w:rsidRPr="00574913">
              <w:rPr>
                <w:rFonts w:cstheme="minorHAnsi"/>
                <w:i/>
              </w:rPr>
              <w:t>Disability Standards for Education 2005</w:t>
            </w:r>
            <w:r w:rsidRPr="00574913">
              <w:rPr>
                <w:rFonts w:cstheme="minorHAnsi"/>
              </w:rPr>
              <w:t xml:space="preserve"> (</w:t>
            </w:r>
            <w:proofErr w:type="spellStart"/>
            <w:r w:rsidRPr="00574913">
              <w:rPr>
                <w:rFonts w:cstheme="minorHAnsi"/>
              </w:rPr>
              <w:t>Cth</w:t>
            </w:r>
            <w:proofErr w:type="spellEnd"/>
            <w:r w:rsidRPr="00734EB7">
              <w:rPr>
                <w:rFonts w:cstheme="minorHAnsi"/>
              </w:rPr>
              <w:t xml:space="preserve">) to include </w:t>
            </w:r>
            <w:r w:rsidRPr="00B47229">
              <w:rPr>
                <w:rFonts w:cstheme="minorHAnsi"/>
              </w:rPr>
              <w:t>all services within</w:t>
            </w:r>
            <w:r>
              <w:rPr>
                <w:rFonts w:cstheme="minorHAnsi"/>
              </w:rPr>
              <w:t xml:space="preserve"> </w:t>
            </w:r>
            <w:r w:rsidRPr="00394B6C">
              <w:rPr>
                <w:rFonts w:cstheme="minorHAnsi"/>
              </w:rPr>
              <w:t>the early childhood education and care sector.</w:t>
            </w:r>
          </w:p>
        </w:tc>
      </w:tr>
      <w:tr w:rsidR="004E051C" w14:paraId="018D7C69" w14:textId="77777777">
        <w:tc>
          <w:tcPr>
            <w:tcW w:w="9638" w:type="dxa"/>
            <w:gridSpan w:val="2"/>
            <w:shd w:val="clear" w:color="auto" w:fill="auto"/>
            <w:tcMar>
              <w:top w:w="0" w:type="dxa"/>
              <w:bottom w:w="0" w:type="dxa"/>
            </w:tcMar>
          </w:tcPr>
          <w:p w14:paraId="55A3A212" w14:textId="0965B524" w:rsidR="004E051C" w:rsidRPr="007E0EA8" w:rsidRDefault="004E051C">
            <w:pPr>
              <w:pStyle w:val="NoSpacing"/>
              <w:spacing w:line="200" w:lineRule="exact"/>
            </w:pPr>
          </w:p>
        </w:tc>
      </w:tr>
    </w:tbl>
    <w:p w14:paraId="2BEA82E4" w14:textId="77777777" w:rsidR="004E051C" w:rsidRDefault="004E051C">
      <w:pPr>
        <w:pStyle w:val="Heading3-noTOC"/>
      </w:pPr>
      <w:r w:rsidRPr="001F1AE8">
        <w:t xml:space="preserve">Improving cultural safety </w:t>
      </w:r>
      <w:r>
        <w:t xml:space="preserve">and responsiveness </w:t>
      </w:r>
      <w:r w:rsidRPr="001F1AE8">
        <w:t>is key to inclusion</w:t>
      </w:r>
      <w:r>
        <w:t xml:space="preserve"> </w:t>
      </w:r>
    </w:p>
    <w:p w14:paraId="5EAC27E3" w14:textId="77777777" w:rsidR="004E051C" w:rsidRDefault="004E051C">
      <w:pPr>
        <w:pStyle w:val="BodyText"/>
        <w:rPr>
          <w:rFonts w:cstheme="minorHAnsi"/>
        </w:rPr>
      </w:pPr>
      <w:r>
        <w:rPr>
          <w:rFonts w:cstheme="minorHAnsi"/>
        </w:rPr>
        <w:t xml:space="preserve">For a large number of children, inclusive ECEC services are those that offer culturally safe environments that respect the diverse cultures of children and families. As discussed above, this is particularly important to Aboriginal and Torres Strait Islander children and families. </w:t>
      </w:r>
    </w:p>
    <w:p w14:paraId="0D832A9D" w14:textId="77777777" w:rsidR="004E051C" w:rsidRPr="0015622D" w:rsidRDefault="004E051C">
      <w:pPr>
        <w:pStyle w:val="BodyText"/>
        <w:rPr>
          <w:rFonts w:cstheme="minorHAnsi"/>
        </w:rPr>
      </w:pPr>
      <w:r>
        <w:rPr>
          <w:rFonts w:cstheme="minorHAnsi"/>
        </w:rPr>
        <w:t xml:space="preserve">While Aboriginal Community Controlled </w:t>
      </w:r>
      <w:r w:rsidRPr="00302E27">
        <w:rPr>
          <w:rFonts w:cstheme="minorHAnsi"/>
        </w:rPr>
        <w:t xml:space="preserve">Organisations </w:t>
      </w:r>
      <w:r>
        <w:rPr>
          <w:rFonts w:cstheme="minorHAnsi"/>
        </w:rPr>
        <w:t>(ACCOs)</w:t>
      </w:r>
      <w:r w:rsidRPr="00302E27">
        <w:rPr>
          <w:rFonts w:cstheme="minorHAnsi"/>
        </w:rPr>
        <w:t xml:space="preserve"> </w:t>
      </w:r>
      <w:r>
        <w:rPr>
          <w:rFonts w:cstheme="minorHAnsi"/>
        </w:rPr>
        <w:t xml:space="preserve">may </w:t>
      </w:r>
      <w:r w:rsidRPr="00EF753B">
        <w:rPr>
          <w:rFonts w:cstheme="minorHAnsi"/>
        </w:rPr>
        <w:t>often</w:t>
      </w:r>
      <w:r>
        <w:rPr>
          <w:rFonts w:cstheme="minorHAnsi"/>
        </w:rPr>
        <w:t xml:space="preserve"> be the first preference of Aboriginal and Torres Strait Islander children and families (paper 7), there is also a need to ensure mainstream ECEC services are inclusive for Aboriginal and Torres Strait Islander children and families. And as access to ECEC expands, more children from diverse backgrounds are likely to attend services. The capacity of ECEC to </w:t>
      </w:r>
      <w:r w:rsidRPr="0015622D">
        <w:rPr>
          <w:rFonts w:cstheme="minorHAnsi"/>
        </w:rPr>
        <w:t xml:space="preserve">cater to these children will be a critical part of increasing accessibility. </w:t>
      </w:r>
    </w:p>
    <w:p w14:paraId="7C067D7B" w14:textId="77777777" w:rsidR="004E051C" w:rsidRDefault="004E051C">
      <w:pPr>
        <w:pStyle w:val="BodyText"/>
        <w:rPr>
          <w:rFonts w:cstheme="minorHAnsi"/>
        </w:rPr>
      </w:pPr>
      <w:r w:rsidRPr="00504F82">
        <w:rPr>
          <w:rFonts w:cstheme="minorHAnsi"/>
        </w:rPr>
        <w:t>For mainstream services, the NQF is intended to provide a foundation to ensure culturally safe and responsive ECEC, while the ISP allows services to seek advice and funding for others supports to improve their cultural responsiveness and safety.</w:t>
      </w:r>
    </w:p>
    <w:p w14:paraId="2008DD95" w14:textId="77777777" w:rsidR="004E051C" w:rsidRDefault="004E051C">
      <w:pPr>
        <w:pStyle w:val="BodyText"/>
        <w:keepNext/>
        <w:rPr>
          <w:rFonts w:cstheme="minorHAnsi"/>
        </w:rPr>
      </w:pPr>
      <w:r>
        <w:rPr>
          <w:rFonts w:cstheme="minorHAnsi"/>
        </w:rPr>
        <w:lastRenderedPageBreak/>
        <w:t xml:space="preserve">SNAICC submitted the NQF does not adequately </w:t>
      </w:r>
      <w:r w:rsidRPr="009D0E50">
        <w:rPr>
          <w:rFonts w:cstheme="minorHAnsi"/>
        </w:rPr>
        <w:t>promote or reflect the significance of culture to Aboriginal and Torres Strait Islander children and families (sub. 133, p. 16). It noted</w:t>
      </w:r>
      <w:r>
        <w:rPr>
          <w:rFonts w:cstheme="minorHAnsi"/>
        </w:rPr>
        <w:t xml:space="preserve"> that</w:t>
      </w:r>
      <w:r w:rsidRPr="009D0E50">
        <w:rPr>
          <w:rFonts w:cstheme="minorHAnsi"/>
        </w:rPr>
        <w:t>:</w:t>
      </w:r>
    </w:p>
    <w:p w14:paraId="0F296763" w14:textId="77777777" w:rsidR="004E051C" w:rsidRPr="00F64527" w:rsidRDefault="004E051C">
      <w:pPr>
        <w:pStyle w:val="Quote"/>
        <w:keepNext/>
      </w:pPr>
      <w:r>
        <w:t>w</w:t>
      </w:r>
      <w:r w:rsidRPr="00464082">
        <w:t>hile NQS Quality Area 5 (promoting relationships with children that promote children’s sense of security and belonging) and Quality Area 6 (promoting collaborative partnerships with families and communities where the expertise, culture, values and beliefs of families are respected) highlight critical elements of quality ECEC, there are currently no specific provision</w:t>
      </w:r>
      <w:r>
        <w:t>s</w:t>
      </w:r>
      <w:r w:rsidRPr="00464082">
        <w:t xml:space="preserve"> in the NQF and NQS regarding how these standards will be implemented or assessed, including on cultural competence and safety. Moreover, under the NQF, there is no explicit requirement for ECEC services to embed culture into their curriculum, raising critical questions regarding the suitability, </w:t>
      </w:r>
      <w:r w:rsidRPr="00F64527">
        <w:t xml:space="preserve">cultural </w:t>
      </w:r>
      <w:r w:rsidRPr="00464082">
        <w:t>safety,</w:t>
      </w:r>
      <w:r w:rsidRPr="00F64527">
        <w:t xml:space="preserve"> and inclusivity of ‘mainstream’ ECEC services for Aboriginal and Torres Strait Islander children and families. (sub.</w:t>
      </w:r>
      <w:r>
        <w:t> </w:t>
      </w:r>
      <w:r w:rsidRPr="00F64527">
        <w:t xml:space="preserve">133, </w:t>
      </w:r>
      <w:r>
        <w:t>p</w:t>
      </w:r>
      <w:r w:rsidRPr="00F64527">
        <w:t>p.</w:t>
      </w:r>
      <w:r>
        <w:t> </w:t>
      </w:r>
      <w:r w:rsidRPr="00F64527">
        <w:t>16</w:t>
      </w:r>
      <w:r>
        <w:t>–17</w:t>
      </w:r>
      <w:r w:rsidRPr="00F64527">
        <w:t>)</w:t>
      </w:r>
    </w:p>
    <w:p w14:paraId="426FF4AA" w14:textId="77777777" w:rsidR="004E051C" w:rsidRDefault="004E051C">
      <w:pPr>
        <w:pStyle w:val="BodyText"/>
        <w:rPr>
          <w:rFonts w:cstheme="minorHAnsi"/>
        </w:rPr>
      </w:pPr>
      <w:r>
        <w:rPr>
          <w:rFonts w:cstheme="minorHAnsi"/>
        </w:rPr>
        <w:t>To address these concerns, SNAICC recommended the development of a ‘cultural competence framework’ to support the implementation and assessment of the NQF and ensure Aboriginal and Torres Strait Islander cultures and ways of knowing, doing and being are integrated into the curriculum (sub. 133, p. 17).</w:t>
      </w:r>
    </w:p>
    <w:p w14:paraId="5C0A0455" w14:textId="3707C04D" w:rsidR="004E051C" w:rsidRPr="00112C25" w:rsidRDefault="004E051C">
      <w:pPr>
        <w:pStyle w:val="BodyText"/>
        <w:rPr>
          <w:rFonts w:cstheme="minorHAnsi"/>
          <w:spacing w:val="-2"/>
        </w:rPr>
      </w:pPr>
      <w:r w:rsidRPr="00112C25">
        <w:rPr>
          <w:rFonts w:cstheme="minorHAnsi"/>
          <w:spacing w:val="-2"/>
        </w:rPr>
        <w:t xml:space="preserve">The Commission notes revised versions of the national approved learning frameworks were released in 2023, with the updated versions including a strengthened focus on Aboriginal and Torres Strait Islander perspectives. In addition, the NSW Government is developing the Cultural Safety Framework for the ECEC sector in NSW </w:t>
      </w:r>
      <w:r w:rsidRPr="00112C25">
        <w:rPr>
          <w:rFonts w:cs="Arial"/>
          <w:spacing w:val="-2"/>
          <w:szCs w:val="24"/>
        </w:rPr>
        <w:t>(NSW Department of Education 2023c)</w:t>
      </w:r>
      <w:r w:rsidRPr="00112C25">
        <w:rPr>
          <w:spacing w:val="-2"/>
        </w:rPr>
        <w:t>.</w:t>
      </w:r>
      <w:r w:rsidR="008144DA" w:rsidRPr="00112C25">
        <w:rPr>
          <w:spacing w:val="-2"/>
        </w:rPr>
        <w:t xml:space="preserve"> </w:t>
      </w:r>
      <w:r w:rsidRPr="00112C25">
        <w:rPr>
          <w:rFonts w:cstheme="minorHAnsi"/>
          <w:spacing w:val="-2"/>
        </w:rPr>
        <w:t xml:space="preserve">The Commission notes revised versions of the national approved learning frameworks were released in 2023, with the updated versions including a strengthened focus on Aboriginal and Torres Strait Islander perspectives. In addition, the NSW Government is developing the Cultural Safety Framework for the ECEC sector in New South Wales </w:t>
      </w:r>
      <w:r w:rsidRPr="00112C25">
        <w:rPr>
          <w:rFonts w:cs="Arial"/>
          <w:spacing w:val="-2"/>
          <w:szCs w:val="24"/>
        </w:rPr>
        <w:t>(NSW Department of Education 2023c)</w:t>
      </w:r>
      <w:r w:rsidRPr="00112C25">
        <w:rPr>
          <w:spacing w:val="-2"/>
        </w:rPr>
        <w:t>.</w:t>
      </w:r>
    </w:p>
    <w:p w14:paraId="07552446" w14:textId="77777777" w:rsidR="004E051C" w:rsidRPr="0021266F" w:rsidRDefault="004E051C">
      <w:pPr>
        <w:pStyle w:val="BodyText"/>
        <w:rPr>
          <w:rFonts w:cstheme="minorHAnsi"/>
        </w:rPr>
      </w:pPr>
      <w:r>
        <w:rPr>
          <w:rFonts w:cstheme="minorHAnsi"/>
        </w:rPr>
        <w:t xml:space="preserve">The Commission is seeking information from inquiry participants on whether there should be further changes to the NQF to promote cultural safety and capability, beyond the updated learning frameworks. It also seeks views from inquiry participants on whether a national </w:t>
      </w:r>
      <w:r w:rsidRPr="0021266F">
        <w:rPr>
          <w:rFonts w:cstheme="minorHAnsi"/>
        </w:rPr>
        <w:t xml:space="preserve">cultural competency framework would help improve the cultural safety of ECEC services. </w:t>
      </w:r>
    </w:p>
    <w:p w14:paraId="685D3A6A" w14:textId="74BC4ACF" w:rsidR="004E051C" w:rsidRPr="0021266F" w:rsidRDefault="004E051C">
      <w:pPr>
        <w:pStyle w:val="BodyText"/>
        <w:rPr>
          <w:rFonts w:cstheme="minorHAnsi"/>
        </w:rPr>
      </w:pPr>
      <w:r w:rsidRPr="0021266F">
        <w:t xml:space="preserve">The ISP supports ECEC services to better include children in ‘mainstream’ settings, including Aboriginal and Torres Strait Islander children. Under </w:t>
      </w:r>
      <w:r>
        <w:t xml:space="preserve">the </w:t>
      </w:r>
      <w:r w:rsidRPr="0021266F">
        <w:t>ISP, services can apply for funding through</w:t>
      </w:r>
      <w:r w:rsidRPr="0021266F">
        <w:rPr>
          <w:rFonts w:cstheme="minorHAnsi"/>
        </w:rPr>
        <w:t xml:space="preserve"> Innovative Solutions </w:t>
      </w:r>
      <w:r w:rsidRPr="0021266F">
        <w:t xml:space="preserve">Support </w:t>
      </w:r>
      <w:r w:rsidRPr="0021266F">
        <w:rPr>
          <w:rFonts w:cstheme="minorHAnsi"/>
        </w:rPr>
        <w:t>to build their capability and capacity, such as accessing cultural advice and mentoring or community engagement</w:t>
      </w:r>
      <w:r>
        <w:rPr>
          <w:rFonts w:cstheme="minorHAnsi"/>
        </w:rPr>
        <w:t xml:space="preserve"> </w:t>
      </w:r>
      <w:r w:rsidRPr="00347329">
        <w:rPr>
          <w:rFonts w:ascii="Arial" w:hAnsi="Arial" w:cs="Arial"/>
          <w:szCs w:val="24"/>
        </w:rPr>
        <w:t>(DoE 2023b, pp. 31–32)</w:t>
      </w:r>
      <w:r w:rsidRPr="0021266F">
        <w:rPr>
          <w:rFonts w:cstheme="minorHAnsi"/>
        </w:rPr>
        <w:t xml:space="preserve">. </w:t>
      </w:r>
      <w:r w:rsidRPr="0021266F">
        <w:t xml:space="preserve">Services can also access advice on inclusive practice from Inclusion Agencies. </w:t>
      </w:r>
      <w:r>
        <w:t xml:space="preserve">The </w:t>
      </w:r>
      <w:r w:rsidRPr="0021266F">
        <w:rPr>
          <w:rFonts w:cstheme="minorHAnsi"/>
        </w:rPr>
        <w:t>ISP is discussed further below.</w:t>
      </w:r>
    </w:p>
    <w:p w14:paraId="5B96DC0F" w14:textId="77777777" w:rsidR="004E051C" w:rsidRDefault="004E051C">
      <w:pPr>
        <w:pStyle w:val="BodyText"/>
        <w:rPr>
          <w:rFonts w:cstheme="minorHAnsi"/>
        </w:rPr>
      </w:pPr>
      <w:r w:rsidRPr="0021266F">
        <w:rPr>
          <w:rFonts w:cstheme="minorHAnsi"/>
        </w:rPr>
        <w:t>As outlined in paper 3, the Commission considers there is a clear case for strengthening inclusion</w:t>
      </w:r>
      <w:r>
        <w:rPr>
          <w:rFonts w:cstheme="minorHAnsi"/>
        </w:rPr>
        <w:noBreakHyphen/>
      </w:r>
      <w:r w:rsidRPr="0021266F">
        <w:rPr>
          <w:rFonts w:cstheme="minorHAnsi"/>
        </w:rPr>
        <w:t>related professional development, including in cultural capability. The</w:t>
      </w:r>
      <w:r>
        <w:rPr>
          <w:rFonts w:cstheme="minorHAnsi"/>
        </w:rPr>
        <w:t xml:space="preserve"> Commission is seeking further information from inquiry participants on cultural safety in ECEC services and whether further action is required beyond professional development and the existing ISP structure.</w:t>
      </w:r>
    </w:p>
    <w:p w14:paraId="17DB7EA1" w14:textId="77777777" w:rsidR="00F21236" w:rsidRDefault="00F21236">
      <w:pPr>
        <w:spacing w:before="0" w:after="160" w:line="259" w:lineRule="auto"/>
        <w:rPr>
          <w:rFonts w:cstheme="minorHAnsi"/>
        </w:rPr>
      </w:pPr>
      <w:r>
        <w:rPr>
          <w:rFonts w:cstheme="minorHAnsi"/>
        </w:rP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7CB12EA2" w14:textId="77777777">
        <w:trPr>
          <w:trHeight w:val="765"/>
          <w:tblHeader/>
        </w:trPr>
        <w:tc>
          <w:tcPr>
            <w:tcW w:w="366" w:type="pct"/>
            <w:tcBorders>
              <w:bottom w:val="nil"/>
            </w:tcBorders>
            <w:tcMar>
              <w:bottom w:w="0" w:type="dxa"/>
            </w:tcMar>
            <w:vAlign w:val="center"/>
          </w:tcPr>
          <w:p w14:paraId="201288E3" w14:textId="77777777" w:rsidR="004E051C" w:rsidRDefault="004E051C">
            <w:pPr>
              <w:pStyle w:val="NoSpacing"/>
              <w:keepNext/>
              <w:keepLines/>
              <w:jc w:val="right"/>
            </w:pPr>
            <w:r w:rsidRPr="00A51374">
              <w:rPr>
                <w:noProof/>
              </w:rPr>
              <w:lastRenderedPageBreak/>
              <w:drawing>
                <wp:inline distT="0" distB="0" distL="0" distR="0" wp14:anchorId="5E4E0F57" wp14:editId="73AF6CC5">
                  <wp:extent cx="288000" cy="288000"/>
                  <wp:effectExtent l="0" t="0" r="0" b="0"/>
                  <wp:docPr id="1447562654" name="Picture 1447562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21A2D48" w14:textId="226683C1" w:rsidR="004E051C" w:rsidRPr="00A4395A" w:rsidRDefault="004E051C">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2</w:t>
            </w:r>
            <w:r w:rsidRPr="00A4395A">
              <w:rPr>
                <w:sz w:val="20"/>
              </w:rPr>
              <w:t>.</w:t>
            </w:r>
            <w:r w:rsidR="00DC7EEE">
              <w:rPr>
                <w:noProof/>
                <w:sz w:val="20"/>
              </w:rPr>
              <w:t>4</w:t>
            </w:r>
          </w:p>
          <w:p w14:paraId="4147DB34" w14:textId="77777777" w:rsidR="004E051C" w:rsidRDefault="004E051C">
            <w:pPr>
              <w:pStyle w:val="TableHeading"/>
              <w:keepNext/>
              <w:keepLines/>
              <w:spacing w:before="120" w:after="120"/>
              <w:contextualSpacing/>
            </w:pPr>
            <w:r>
              <w:rPr>
                <w:sz w:val="20"/>
              </w:rPr>
              <w:t xml:space="preserve">It is unclear if the </w:t>
            </w:r>
            <w:r w:rsidRPr="0018469D">
              <w:rPr>
                <w:sz w:val="20"/>
              </w:rPr>
              <w:t>National Quality Framework</w:t>
            </w:r>
            <w:r>
              <w:rPr>
                <w:sz w:val="20"/>
              </w:rPr>
              <w:t xml:space="preserve"> adequately promotes cultural safety and capability </w:t>
            </w:r>
          </w:p>
        </w:tc>
      </w:tr>
      <w:tr w:rsidR="004E051C" w14:paraId="35C12A6A" w14:textId="77777777">
        <w:tc>
          <w:tcPr>
            <w:tcW w:w="5000" w:type="pct"/>
            <w:gridSpan w:val="2"/>
            <w:tcBorders>
              <w:top w:val="nil"/>
              <w:bottom w:val="single" w:sz="4" w:space="0" w:color="66BCDB" w:themeColor="text2"/>
            </w:tcBorders>
          </w:tcPr>
          <w:p w14:paraId="3456FE67" w14:textId="77777777" w:rsidR="004E051C" w:rsidRDefault="004E051C">
            <w:pPr>
              <w:pStyle w:val="BodyText"/>
              <w:keepLines/>
              <w:rPr>
                <w:rFonts w:ascii="Arial" w:eastAsia="Arial" w:hAnsi="Arial" w:cs="Arial"/>
              </w:rPr>
            </w:pPr>
            <w:r>
              <w:t>C</w:t>
            </w:r>
            <w:r w:rsidRPr="00967AD2">
              <w:t>ultural safety</w:t>
            </w:r>
            <w:r>
              <w:t xml:space="preserve"> is critical to </w:t>
            </w:r>
            <w:r w:rsidRPr="00404D5D">
              <w:rPr>
                <w:rFonts w:ascii="Arial" w:eastAsia="Arial" w:hAnsi="Arial" w:cs="Arial"/>
              </w:rPr>
              <w:t>Aboriginal and Torres Strait Islander families and children</w:t>
            </w:r>
            <w:r>
              <w:rPr>
                <w:rFonts w:ascii="Arial" w:eastAsia="Arial" w:hAnsi="Arial" w:cs="Arial"/>
              </w:rPr>
              <w:t>.</w:t>
            </w:r>
          </w:p>
          <w:p w14:paraId="086A9182" w14:textId="77777777" w:rsidR="004E051C" w:rsidRDefault="004E051C">
            <w:pPr>
              <w:pStyle w:val="BodyText"/>
              <w:keepLines/>
              <w:rPr>
                <w:rFonts w:cstheme="minorHAnsi"/>
              </w:rPr>
            </w:pPr>
            <w:r>
              <w:rPr>
                <w:rFonts w:cstheme="minorHAnsi"/>
              </w:rPr>
              <w:t xml:space="preserve">While </w:t>
            </w:r>
            <w:r w:rsidRPr="0018469D">
              <w:rPr>
                <w:rFonts w:cstheme="minorHAnsi"/>
              </w:rPr>
              <w:t>Aboriginal Community Controlled Organisations</w:t>
            </w:r>
            <w:r w:rsidRPr="00302E27">
              <w:rPr>
                <w:rFonts w:cstheme="minorHAnsi"/>
              </w:rPr>
              <w:t xml:space="preserve"> </w:t>
            </w:r>
            <w:r>
              <w:rPr>
                <w:rFonts w:cstheme="minorHAnsi"/>
              </w:rPr>
              <w:t xml:space="preserve">may </w:t>
            </w:r>
            <w:r w:rsidRPr="00EF753B">
              <w:rPr>
                <w:rFonts w:cstheme="minorHAnsi"/>
              </w:rPr>
              <w:t>often</w:t>
            </w:r>
            <w:r>
              <w:rPr>
                <w:rFonts w:cstheme="minorHAnsi"/>
              </w:rPr>
              <w:t xml:space="preserve"> be the first preference of Aboriginal and Torres Strait Islander children and families when accessing ECEC, there is also a need to ensure mainstream ECEC services are inclusive of Aboriginal and Torres Strait Islander children and families.</w:t>
            </w:r>
          </w:p>
          <w:p w14:paraId="7B5CE4C4" w14:textId="77777777" w:rsidR="004E051C" w:rsidRDefault="004E051C">
            <w:pPr>
              <w:pStyle w:val="BodyText"/>
              <w:keepLines/>
            </w:pPr>
            <w:r>
              <w:rPr>
                <w:rFonts w:cstheme="minorHAnsi"/>
              </w:rPr>
              <w:t>T</w:t>
            </w:r>
            <w:r w:rsidRPr="0062283E">
              <w:rPr>
                <w:rFonts w:cstheme="minorHAnsi"/>
              </w:rPr>
              <w:t xml:space="preserve">he </w:t>
            </w:r>
            <w:r>
              <w:rPr>
                <w:rFonts w:cstheme="minorHAnsi"/>
              </w:rPr>
              <w:t>National Quality Framework</w:t>
            </w:r>
            <w:r w:rsidRPr="0062283E">
              <w:rPr>
                <w:rFonts w:cstheme="minorHAnsi"/>
              </w:rPr>
              <w:t xml:space="preserve"> sets expectations around inclusion</w:t>
            </w:r>
            <w:r>
              <w:rPr>
                <w:rFonts w:cstheme="minorHAnsi"/>
              </w:rPr>
              <w:t xml:space="preserve"> </w:t>
            </w:r>
            <w:r w:rsidRPr="00706CD6">
              <w:rPr>
                <w:rFonts w:cstheme="minorHAnsi"/>
              </w:rPr>
              <w:t>and</w:t>
            </w:r>
            <w:r>
              <w:rPr>
                <w:rFonts w:cstheme="minorHAnsi"/>
              </w:rPr>
              <w:t xml:space="preserve"> cultural responsiveness</w:t>
            </w:r>
            <w:r w:rsidRPr="00F027EB">
              <w:rPr>
                <w:rFonts w:cstheme="minorHAnsi"/>
              </w:rPr>
              <w:t>.</w:t>
            </w:r>
            <w:r>
              <w:rPr>
                <w:rFonts w:cstheme="minorHAnsi"/>
              </w:rPr>
              <w:t xml:space="preserve"> R</w:t>
            </w:r>
            <w:r w:rsidRPr="00F64527">
              <w:rPr>
                <w:rFonts w:cstheme="minorHAnsi"/>
              </w:rPr>
              <w:t xml:space="preserve">evised versions of </w:t>
            </w:r>
            <w:r>
              <w:rPr>
                <w:rFonts w:cstheme="minorHAnsi"/>
              </w:rPr>
              <w:t xml:space="preserve">the national </w:t>
            </w:r>
            <w:r w:rsidRPr="00F64527">
              <w:rPr>
                <w:rFonts w:cstheme="minorHAnsi"/>
              </w:rPr>
              <w:t>approved learning frameworks</w:t>
            </w:r>
            <w:r>
              <w:rPr>
                <w:rFonts w:cstheme="minorHAnsi"/>
              </w:rPr>
              <w:t xml:space="preserve">, </w:t>
            </w:r>
            <w:r w:rsidRPr="00F64527">
              <w:rPr>
                <w:rFonts w:cstheme="minorHAnsi"/>
              </w:rPr>
              <w:t xml:space="preserve">released in 2023, </w:t>
            </w:r>
            <w:r>
              <w:rPr>
                <w:rFonts w:cstheme="minorHAnsi"/>
              </w:rPr>
              <w:t>include</w:t>
            </w:r>
            <w:r w:rsidRPr="00766A6F">
              <w:rPr>
                <w:rFonts w:cstheme="minorHAnsi"/>
              </w:rPr>
              <w:t xml:space="preserve"> a strengthened focus on Aboriginal and Torres Strait Islander perspectives</w:t>
            </w:r>
            <w:r>
              <w:rPr>
                <w:rFonts w:cstheme="minorHAnsi"/>
              </w:rPr>
              <w:t>. It is unclear whether further changes to the National Quality Framework are needed to promote cultural safety and capability.</w:t>
            </w:r>
          </w:p>
        </w:tc>
      </w:tr>
    </w:tbl>
    <w:p w14:paraId="74554E30" w14:textId="797B1A07" w:rsidR="004E051C" w:rsidRPr="00302E27" w:rsidRDefault="004E051C">
      <w:pPr>
        <w:pStyle w:val="NoSpacing"/>
        <w:keepN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E051C" w14:paraId="1129BDC7" w14:textId="77777777">
        <w:trPr>
          <w:trHeight w:val="765"/>
          <w:tblHeader/>
        </w:trPr>
        <w:tc>
          <w:tcPr>
            <w:tcW w:w="366" w:type="pct"/>
            <w:shd w:val="clear" w:color="auto" w:fill="EBEBEB"/>
            <w:tcMar>
              <w:bottom w:w="0" w:type="dxa"/>
            </w:tcMar>
            <w:vAlign w:val="center"/>
          </w:tcPr>
          <w:p w14:paraId="07A57A88" w14:textId="77777777" w:rsidR="004E051C" w:rsidRDefault="004E051C">
            <w:pPr>
              <w:pStyle w:val="NoSpacing"/>
              <w:keepNext/>
              <w:keepLines/>
              <w:jc w:val="right"/>
            </w:pPr>
            <w:r w:rsidRPr="00A51374">
              <w:rPr>
                <w:noProof/>
              </w:rPr>
              <w:drawing>
                <wp:inline distT="0" distB="0" distL="0" distR="0" wp14:anchorId="2BECBE8C" wp14:editId="3456D9CD">
                  <wp:extent cx="288000" cy="288000"/>
                  <wp:effectExtent l="0" t="0" r="0" b="0"/>
                  <wp:docPr id="29163649" name="Picture 29163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25A66E1" w14:textId="5F89EBEC" w:rsidR="004E051C" w:rsidRPr="002530FF" w:rsidRDefault="004E051C">
            <w:pPr>
              <w:pStyle w:val="TableHeading"/>
              <w:keepNext/>
              <w:keepLines/>
              <w:spacing w:before="120" w:after="120"/>
              <w:contextualSpacing/>
              <w:rPr>
                <w:sz w:val="20"/>
              </w:rPr>
            </w:pPr>
            <w:r w:rsidRPr="000B0B71">
              <w:rPr>
                <w:sz w:val="20"/>
              </w:rPr>
              <w:t xml:space="preserve">Information request </w:t>
            </w:r>
            <w:r w:rsidR="00DC7EEE">
              <w:rPr>
                <w:noProof/>
                <w:sz w:val="20"/>
              </w:rPr>
              <w:t>2</w:t>
            </w:r>
            <w:r w:rsidRPr="00DF7217">
              <w:rPr>
                <w:sz w:val="20"/>
              </w:rPr>
              <w:t>.</w:t>
            </w:r>
            <w:r w:rsidR="00DC7EEE">
              <w:rPr>
                <w:noProof/>
                <w:sz w:val="20"/>
              </w:rPr>
              <w:t>2</w:t>
            </w:r>
          </w:p>
        </w:tc>
      </w:tr>
      <w:tr w:rsidR="004E051C" w14:paraId="54E6E1D5" w14:textId="77777777">
        <w:tc>
          <w:tcPr>
            <w:tcW w:w="5000" w:type="pct"/>
            <w:gridSpan w:val="2"/>
            <w:shd w:val="clear" w:color="auto" w:fill="EBEBEB"/>
          </w:tcPr>
          <w:p w14:paraId="09622E79" w14:textId="77777777" w:rsidR="004E051C" w:rsidRDefault="004E051C">
            <w:pPr>
              <w:pStyle w:val="BodyText"/>
              <w:keepNext/>
              <w:keepLines/>
              <w:rPr>
                <w:color w:val="265A9A" w:themeColor="background2"/>
              </w:rPr>
            </w:pPr>
            <w:r>
              <w:rPr>
                <w:color w:val="265A9A" w:themeColor="background2"/>
              </w:rPr>
              <w:t xml:space="preserve">The Commission seeks information on cultural safety in ECEC services </w:t>
            </w:r>
            <w:r w:rsidRPr="00F306F4">
              <w:rPr>
                <w:color w:val="265A9A" w:themeColor="background2"/>
              </w:rPr>
              <w:t>for Aboriginal and Torres Strait Islander and culturally and linguistically diverse families and children.</w:t>
            </w:r>
            <w:r>
              <w:rPr>
                <w:color w:val="265A9A" w:themeColor="background2"/>
              </w:rPr>
              <w:t xml:space="preserve"> </w:t>
            </w:r>
          </w:p>
          <w:p w14:paraId="169D8DC2" w14:textId="77777777" w:rsidR="004E051C" w:rsidRPr="00A31724" w:rsidRDefault="004E051C" w:rsidP="00E01114">
            <w:pPr>
              <w:pStyle w:val="ListBullet"/>
              <w:rPr>
                <w:color w:val="265A9A" w:themeColor="background2"/>
              </w:rPr>
            </w:pPr>
            <w:r w:rsidRPr="00A31724">
              <w:rPr>
                <w:color w:val="265A9A" w:themeColor="background2"/>
              </w:rPr>
              <w:t xml:space="preserve">What factors most effectively promote the provision of culturally safe ECEC? </w:t>
            </w:r>
          </w:p>
          <w:p w14:paraId="35540EFD" w14:textId="77777777" w:rsidR="004E051C" w:rsidRPr="00A31724" w:rsidRDefault="004E051C" w:rsidP="00E01114">
            <w:pPr>
              <w:pStyle w:val="ListBullet"/>
              <w:rPr>
                <w:color w:val="265A9A" w:themeColor="background2"/>
                <w:spacing w:val="-2"/>
              </w:rPr>
            </w:pPr>
            <w:r w:rsidRPr="00A31724">
              <w:rPr>
                <w:color w:val="265A9A" w:themeColor="background2"/>
                <w:spacing w:val="-2"/>
              </w:rPr>
              <w:t>Should there be changes to the National Quality Framework to promote cultural safety and capability, beyond the updated learning frameworks? Would a national cultural competency framework help improve the cultural safety of ECEC services for Aboriginal and Torres Strait Islander families and children?</w:t>
            </w:r>
          </w:p>
          <w:p w14:paraId="74CFCCA2" w14:textId="5301808C" w:rsidR="004E051C" w:rsidRPr="00A31724" w:rsidRDefault="004E051C" w:rsidP="00E01114">
            <w:pPr>
              <w:pStyle w:val="ListBullet"/>
              <w:rPr>
                <w:color w:val="265A9A" w:themeColor="background2"/>
                <w:spacing w:val="-2"/>
              </w:rPr>
            </w:pPr>
            <w:r w:rsidRPr="00A31724">
              <w:rPr>
                <w:color w:val="265A9A" w:themeColor="background2"/>
                <w:spacing w:val="-2"/>
              </w:rPr>
              <w:t>Does the structure of the Inclusion Support Program adequately prioritise and allow provision of culturally safe ECEC in mainstream services? If not, what are the issues and how could these be addressed?</w:t>
            </w:r>
          </w:p>
          <w:p w14:paraId="62EA630D" w14:textId="77777777" w:rsidR="004E051C" w:rsidRDefault="004E051C" w:rsidP="00E01114">
            <w:pPr>
              <w:pStyle w:val="ListBullet"/>
            </w:pPr>
            <w:r w:rsidRPr="00A31724">
              <w:rPr>
                <w:color w:val="265A9A" w:themeColor="background2"/>
              </w:rPr>
              <w:t>Would professional development in cultural capability (draft recommendation 3.6) be adequate to promote inclusion in ECEC services, or are there other components required?</w:t>
            </w:r>
          </w:p>
        </w:tc>
      </w:tr>
      <w:tr w:rsidR="004E051C" w14:paraId="1CF484C4" w14:textId="77777777">
        <w:tc>
          <w:tcPr>
            <w:tcW w:w="5000" w:type="pct"/>
            <w:gridSpan w:val="2"/>
            <w:tcMar>
              <w:bottom w:w="0" w:type="dxa"/>
            </w:tcMar>
          </w:tcPr>
          <w:p w14:paraId="387288BD" w14:textId="02A27F93" w:rsidR="004E051C" w:rsidRDefault="004E051C">
            <w:pPr>
              <w:pStyle w:val="NoSpacing"/>
              <w:spacing w:line="200" w:lineRule="atLeast"/>
            </w:pPr>
          </w:p>
        </w:tc>
      </w:tr>
    </w:tbl>
    <w:p w14:paraId="6B961F54" w14:textId="77777777" w:rsidR="004E051C" w:rsidRPr="00293EA9" w:rsidRDefault="004E051C">
      <w:pPr>
        <w:pStyle w:val="Heading3"/>
      </w:pPr>
      <w:r>
        <w:t xml:space="preserve">The Inclusion Support Program could be improved </w:t>
      </w:r>
    </w:p>
    <w:p w14:paraId="793CC855" w14:textId="026E3776" w:rsidR="004E051C" w:rsidRPr="00F21236" w:rsidRDefault="004E051C">
      <w:pPr>
        <w:pStyle w:val="BodyText"/>
      </w:pPr>
      <w:r w:rsidRPr="0062283E">
        <w:rPr>
          <w:rFonts w:cstheme="minorHAnsi"/>
        </w:rPr>
        <w:t xml:space="preserve">The </w:t>
      </w:r>
      <w:r>
        <w:rPr>
          <w:rFonts w:cstheme="minorHAnsi"/>
        </w:rPr>
        <w:t>ISP</w:t>
      </w:r>
      <w:r w:rsidRPr="0062283E">
        <w:rPr>
          <w:rFonts w:cstheme="minorHAnsi"/>
        </w:rPr>
        <w:t xml:space="preserve"> is </w:t>
      </w:r>
      <w:r>
        <w:rPr>
          <w:rFonts w:cstheme="minorHAnsi"/>
        </w:rPr>
        <w:t xml:space="preserve">an Australian Government initiative that supports mainstream ECEC services to better include children with additional needs (box 2.4). </w:t>
      </w:r>
      <w:r w:rsidRPr="0062283E">
        <w:rPr>
          <w:rFonts w:cstheme="minorHAnsi"/>
        </w:rPr>
        <w:t xml:space="preserve">The program </w:t>
      </w:r>
      <w:r>
        <w:rPr>
          <w:rFonts w:cstheme="minorHAnsi"/>
        </w:rPr>
        <w:t>was</w:t>
      </w:r>
      <w:r w:rsidRPr="00C761D1">
        <w:rPr>
          <w:rFonts w:cstheme="minorHAnsi"/>
        </w:rPr>
        <w:t xml:space="preserve"> </w:t>
      </w:r>
      <w:r w:rsidRPr="00EF753B">
        <w:rPr>
          <w:rFonts w:cstheme="minorHAnsi"/>
        </w:rPr>
        <w:t>introduced</w:t>
      </w:r>
      <w:r>
        <w:rPr>
          <w:rFonts w:cstheme="minorHAnsi"/>
        </w:rPr>
        <w:t xml:space="preserve"> in 2016 as part of the </w:t>
      </w:r>
      <w:proofErr w:type="gramStart"/>
      <w:r>
        <w:rPr>
          <w:rFonts w:cstheme="minorHAnsi"/>
        </w:rPr>
        <w:t>Child Care</w:t>
      </w:r>
      <w:proofErr w:type="gramEnd"/>
      <w:r>
        <w:rPr>
          <w:rFonts w:cstheme="minorHAnsi"/>
        </w:rPr>
        <w:t xml:space="preserve"> Package</w:t>
      </w:r>
      <w:r w:rsidRPr="00F20BA7">
        <w:rPr>
          <w:rFonts w:cstheme="minorHAnsi"/>
        </w:rPr>
        <w:t xml:space="preserve">, building off previous iterations of the program. </w:t>
      </w:r>
      <w:r>
        <w:rPr>
          <w:rFonts w:cstheme="minorHAnsi"/>
        </w:rPr>
        <w:t xml:space="preserve">While previous iterations of the program have had a historic focus on children with disability, the program also supports services to include a range of children, including those from diverse cultural backgrounds. </w:t>
      </w:r>
      <w:r w:rsidRPr="00F20BA7">
        <w:rPr>
          <w:rFonts w:cstheme="minorHAnsi"/>
        </w:rPr>
        <w:t>More</w:t>
      </w:r>
      <w:r w:rsidRPr="00EF753B">
        <w:rPr>
          <w:rFonts w:cstheme="minorHAnsi"/>
        </w:rPr>
        <w:t xml:space="preserve"> than 17</w:t>
      </w:r>
      <w:r>
        <w:rPr>
          <w:rFonts w:cstheme="minorHAnsi"/>
        </w:rPr>
        <w:t>,</w:t>
      </w:r>
      <w:r w:rsidRPr="00EF753B">
        <w:rPr>
          <w:rFonts w:cstheme="minorHAnsi"/>
        </w:rPr>
        <w:t>600</w:t>
      </w:r>
      <w:r w:rsidRPr="005E0F55">
        <w:rPr>
          <w:rFonts w:cstheme="minorHAnsi"/>
        </w:rPr>
        <w:t xml:space="preserve"> children were supported by</w:t>
      </w:r>
      <w:r>
        <w:rPr>
          <w:rFonts w:cstheme="minorHAnsi"/>
        </w:rPr>
        <w:t xml:space="preserve"> the</w:t>
      </w:r>
      <w:r w:rsidRPr="005E0F55">
        <w:rPr>
          <w:rFonts w:cstheme="minorHAnsi"/>
        </w:rPr>
        <w:t xml:space="preserve"> ISP </w:t>
      </w:r>
      <w:r w:rsidRPr="00736C9F">
        <w:rPr>
          <w:rFonts w:cstheme="minorHAnsi"/>
        </w:rPr>
        <w:t>in 2021</w:t>
      </w:r>
      <w:r>
        <w:rPr>
          <w:rFonts w:cstheme="minorHAnsi"/>
        </w:rPr>
        <w:noBreakHyphen/>
      </w:r>
      <w:r w:rsidRPr="00736C9F">
        <w:rPr>
          <w:rFonts w:cstheme="minorHAnsi"/>
        </w:rPr>
        <w:t xml:space="preserve">22 </w:t>
      </w:r>
      <w:r w:rsidRPr="00FC05F9">
        <w:rPr>
          <w:rFonts w:ascii="Arial" w:hAnsi="Arial" w:cs="Arial"/>
          <w:szCs w:val="24"/>
        </w:rPr>
        <w:t>(Aly 2023)</w:t>
      </w:r>
      <w:r w:rsidRPr="00736C9F">
        <w:rPr>
          <w:rFonts w:cstheme="minorHAnsi"/>
        </w:rPr>
        <w:t>.</w:t>
      </w:r>
      <w:r w:rsidRPr="00D10F0A">
        <w:rPr>
          <w:rStyle w:val="FootnoteReference"/>
        </w:rPr>
        <w:footnoteReference w:id="14"/>
      </w:r>
      <w:r>
        <w:rPr>
          <w:rFonts w:cstheme="minorHAnsi"/>
        </w:rPr>
        <w:t xml:space="preserve"> </w:t>
      </w:r>
    </w:p>
    <w:p w14:paraId="2BDE5798" w14:textId="77777777" w:rsidR="004E051C" w:rsidRDefault="004E051C">
      <w:pPr>
        <w:pStyle w:val="BodyText"/>
        <w:keepNext/>
      </w:pPr>
      <w:r w:rsidRPr="00574913">
        <w:t>The ISP was recently subject to a review (ISP review), which identified 21 short</w:t>
      </w:r>
      <w:r w:rsidRPr="00574913">
        <w:noBreakHyphen/>
        <w:t xml:space="preserve"> to medium</w:t>
      </w:r>
      <w:r w:rsidRPr="00574913">
        <w:noBreakHyphen/>
        <w:t>term opportunities and five long</w:t>
      </w:r>
      <w:r w:rsidRPr="00574913">
        <w:noBreakHyphen/>
        <w:t>term opportunities to better support the inclusion of children</w:t>
      </w:r>
      <w:r w:rsidRPr="009D50A9">
        <w:t xml:space="preserve">. </w:t>
      </w:r>
      <w:r w:rsidRPr="009D50A9">
        <w:lastRenderedPageBreak/>
        <w:t>The</w:t>
      </w:r>
      <w:r>
        <w:t> </w:t>
      </w:r>
      <w:r w:rsidRPr="00AC1663">
        <w:t>Commission has not undertaken an in</w:t>
      </w:r>
      <w:r>
        <w:noBreakHyphen/>
      </w:r>
      <w:r w:rsidRPr="00AC1663">
        <w:t xml:space="preserve">depth review of </w:t>
      </w:r>
      <w:r>
        <w:t xml:space="preserve">the </w:t>
      </w:r>
      <w:r w:rsidRPr="00AC1663">
        <w:t xml:space="preserve">ISP but has focussed on </w:t>
      </w:r>
      <w:r>
        <w:t>three</w:t>
      </w:r>
      <w:r w:rsidRPr="00AC1663">
        <w:t xml:space="preserve"> key issues</w:t>
      </w:r>
      <w:r>
        <w:t>, including:</w:t>
      </w:r>
    </w:p>
    <w:p w14:paraId="0BD33FA8" w14:textId="77777777" w:rsidR="004E051C" w:rsidRPr="00E96CFE" w:rsidRDefault="004E051C" w:rsidP="00E01114">
      <w:pPr>
        <w:pStyle w:val="ListBullet"/>
      </w:pPr>
      <w:r w:rsidRPr="00E96CFE">
        <w:t>the adequacy of program funding</w:t>
      </w:r>
    </w:p>
    <w:p w14:paraId="423DD6EA" w14:textId="77777777" w:rsidR="004E051C" w:rsidRPr="00FE474F" w:rsidRDefault="004E051C" w:rsidP="00E01114">
      <w:pPr>
        <w:pStyle w:val="ListBullet"/>
      </w:pPr>
      <w:r w:rsidRPr="00FE474F">
        <w:t xml:space="preserve">support for children and services, including eligibility rules, the additional educator </w:t>
      </w:r>
      <w:r w:rsidRPr="000B439C">
        <w:t>subsidies, the</w:t>
      </w:r>
      <w:r w:rsidRPr="00FE474F">
        <w:t xml:space="preserve"> administrative burden on services applying for funding</w:t>
      </w:r>
      <w:r>
        <w:t>,</w:t>
      </w:r>
      <w:r w:rsidRPr="00FE474F">
        <w:t xml:space="preserve"> and the FDC </w:t>
      </w:r>
      <w:r>
        <w:t>T</w:t>
      </w:r>
      <w:r w:rsidRPr="00FE474F">
        <w:t>op</w:t>
      </w:r>
      <w:r>
        <w:t xml:space="preserve"> U</w:t>
      </w:r>
      <w:r w:rsidRPr="00FE474F">
        <w:t xml:space="preserve">p </w:t>
      </w:r>
    </w:p>
    <w:p w14:paraId="596AA267" w14:textId="77777777" w:rsidR="004E051C" w:rsidRPr="00AD0632" w:rsidRDefault="004E051C" w:rsidP="00E01114">
      <w:pPr>
        <w:pStyle w:val="ListBullet"/>
      </w:pPr>
      <w:r>
        <w:t xml:space="preserve">interactions with state and territory inclusion programs. </w:t>
      </w:r>
    </w:p>
    <w:p w14:paraId="6AE529A0" w14:textId="678A6061" w:rsidR="004E051C" w:rsidRPr="00B13E15" w:rsidRDefault="004E051C">
      <w:pPr>
        <w:pStyle w:val="NoSpacing"/>
        <w:keepNext/>
      </w:pPr>
    </w:p>
    <w:tbl>
      <w:tblPr>
        <w:tblStyle w:val="Boxtable"/>
        <w:tblW w:w="5000" w:type="pct"/>
        <w:tblLook w:val="04A0" w:firstRow="1" w:lastRow="0" w:firstColumn="1" w:lastColumn="0" w:noHBand="0" w:noVBand="1"/>
      </w:tblPr>
      <w:tblGrid>
        <w:gridCol w:w="9638"/>
      </w:tblGrid>
      <w:tr w:rsidR="004E051C" w14:paraId="24641E7A" w14:textId="77777777">
        <w:trPr>
          <w:tblHeader/>
        </w:trPr>
        <w:tc>
          <w:tcPr>
            <w:tcW w:w="9638" w:type="dxa"/>
            <w:shd w:val="clear" w:color="auto" w:fill="EBEBEB"/>
            <w:tcMar>
              <w:top w:w="170" w:type="dxa"/>
              <w:left w:w="170" w:type="dxa"/>
              <w:bottom w:w="113" w:type="dxa"/>
              <w:right w:w="170" w:type="dxa"/>
            </w:tcMar>
            <w:hideMark/>
          </w:tcPr>
          <w:p w14:paraId="747AC1A7" w14:textId="3EDEBFBB" w:rsidR="004E051C" w:rsidRDefault="004E051C">
            <w:pPr>
              <w:pStyle w:val="BoxHeading1"/>
            </w:pPr>
            <w:r w:rsidRPr="0062283E">
              <w:rPr>
                <w:rFonts w:cstheme="minorHAnsi"/>
              </w:rPr>
              <w:t xml:space="preserve">Box </w:t>
            </w:r>
            <w:r w:rsidR="00DC7EEE">
              <w:rPr>
                <w:noProof/>
              </w:rPr>
              <w:t>2</w:t>
            </w:r>
            <w:r>
              <w:t>.</w:t>
            </w:r>
            <w:r w:rsidR="00DC7EEE">
              <w:rPr>
                <w:noProof/>
              </w:rPr>
              <w:t>4</w:t>
            </w:r>
            <w:r>
              <w:rPr>
                <w:noProof/>
              </w:rPr>
              <w:t xml:space="preserve"> </w:t>
            </w:r>
            <w:r w:rsidRPr="0062283E">
              <w:rPr>
                <w:rFonts w:cstheme="minorHAnsi"/>
              </w:rPr>
              <w:t>– The Inclusion Support Program involves multiple components</w:t>
            </w:r>
          </w:p>
        </w:tc>
      </w:tr>
      <w:tr w:rsidR="004E051C" w14:paraId="29A57B7B" w14:textId="77777777">
        <w:tc>
          <w:tcPr>
            <w:tcW w:w="9638" w:type="dxa"/>
            <w:shd w:val="clear" w:color="auto" w:fill="EBEBEB"/>
            <w:tcMar>
              <w:top w:w="28" w:type="dxa"/>
              <w:left w:w="170" w:type="dxa"/>
              <w:bottom w:w="170" w:type="dxa"/>
              <w:right w:w="170" w:type="dxa"/>
            </w:tcMar>
            <w:hideMark/>
          </w:tcPr>
          <w:p w14:paraId="2FF1FD12" w14:textId="77777777" w:rsidR="004E051C" w:rsidRDefault="004E051C">
            <w:pPr>
              <w:pStyle w:val="BodyText"/>
              <w:keepNext/>
            </w:pPr>
            <w:r>
              <w:t xml:space="preserve">The Inclusion Support Program (ISP) is available to most </w:t>
            </w:r>
            <w:proofErr w:type="gramStart"/>
            <w:r>
              <w:t>Child Care</w:t>
            </w:r>
            <w:proofErr w:type="gramEnd"/>
            <w:r>
              <w:t xml:space="preserve"> Sub</w:t>
            </w:r>
            <w:r w:rsidRPr="005641C2">
              <w:t>sidy (CCS)</w:t>
            </w:r>
            <w:r>
              <w:t xml:space="preserve"> </w:t>
            </w:r>
            <w:r w:rsidRPr="005641C2">
              <w:t>approved services</w:t>
            </w:r>
            <w:r>
              <w:t>, including centre</w:t>
            </w:r>
            <w:r>
              <w:noBreakHyphen/>
              <w:t>based day care (CBDC), outside school hours care (OSHC) and family day care (FDC) services. In Home Care, specialist and other non</w:t>
            </w:r>
            <w:r>
              <w:noBreakHyphen/>
              <w:t xml:space="preserve">CCS approved services are </w:t>
            </w:r>
            <w:r w:rsidRPr="0093739E">
              <w:t xml:space="preserve">ineligible. Children must also be eligible for </w:t>
            </w:r>
            <w:r>
              <w:t xml:space="preserve">the </w:t>
            </w:r>
            <w:r w:rsidRPr="0093739E">
              <w:t xml:space="preserve">CCS to receive support under </w:t>
            </w:r>
            <w:r>
              <w:t xml:space="preserve">the </w:t>
            </w:r>
            <w:r w:rsidRPr="0093739E">
              <w:t>ISP.</w:t>
            </w:r>
          </w:p>
          <w:p w14:paraId="718671B4" w14:textId="77777777" w:rsidR="004E051C" w:rsidRDefault="004E051C">
            <w:pPr>
              <w:pStyle w:val="BoxHeading2"/>
            </w:pPr>
            <w:r w:rsidRPr="00BB271A">
              <w:rPr>
                <w:b w:val="0"/>
              </w:rPr>
              <w:t>The program</w:t>
            </w:r>
            <w:r>
              <w:t xml:space="preserve"> </w:t>
            </w:r>
            <w:r w:rsidRPr="00AF0D31">
              <w:rPr>
                <w:b w:val="0"/>
              </w:rPr>
              <w:t>consists of several components, with service eligibility varying by component.</w:t>
            </w:r>
          </w:p>
          <w:p w14:paraId="4DC5023F" w14:textId="77777777" w:rsidR="004E051C" w:rsidRPr="00A616E5" w:rsidRDefault="004E051C" w:rsidP="00E01114">
            <w:pPr>
              <w:pStyle w:val="ListBullet"/>
            </w:pPr>
            <w:r w:rsidRPr="00B6424F">
              <w:t xml:space="preserve">Inclusion Agencies (IA) </w:t>
            </w:r>
            <w:r w:rsidRPr="00A616E5">
              <w:t>work with services to identify and address barriers to inclusion. This may include assisting with:</w:t>
            </w:r>
          </w:p>
          <w:p w14:paraId="19F40E78" w14:textId="77777777" w:rsidR="004E051C" w:rsidRPr="00704F34" w:rsidRDefault="004E051C">
            <w:pPr>
              <w:pStyle w:val="ListBullet2"/>
            </w:pPr>
            <w:r w:rsidRPr="00704F34">
              <w:t>site visits and advice to services</w:t>
            </w:r>
          </w:p>
          <w:p w14:paraId="42DBD46E" w14:textId="77777777" w:rsidR="004E051C" w:rsidRPr="00704F34" w:rsidRDefault="004E051C">
            <w:pPr>
              <w:pStyle w:val="ListBullet2"/>
            </w:pPr>
            <w:r w:rsidRPr="00704F34">
              <w:t>access to a Specialist Equipment Library, where services can loan specialist equipment (such as portable ramps, hoists) to facilitate the inclusion of a child with additional needs</w:t>
            </w:r>
          </w:p>
          <w:p w14:paraId="06715AB4" w14:textId="77777777" w:rsidR="004E051C" w:rsidRPr="00704F34" w:rsidRDefault="004E051C">
            <w:pPr>
              <w:pStyle w:val="ListBullet2"/>
            </w:pPr>
            <w:r w:rsidRPr="00704F34">
              <w:t>Strategic Inclusion Plans (SIPs)</w:t>
            </w:r>
            <w:r w:rsidRPr="00B6424F">
              <w:t>,</w:t>
            </w:r>
            <w:r w:rsidRPr="00704F34">
              <w:t xml:space="preserve"> an assessment and planning tool which services must complete to access the Inclusion Development Fund or Specialist Equipment Library and is reviewed at least every 12 months</w:t>
            </w:r>
          </w:p>
          <w:p w14:paraId="45B15D98" w14:textId="77777777" w:rsidR="004E051C" w:rsidRPr="00704F34" w:rsidRDefault="004E051C">
            <w:pPr>
              <w:pStyle w:val="ListBullet2"/>
            </w:pPr>
            <w:r w:rsidRPr="00704F34">
              <w:t>reviewing or endorsing applications for support under the Inclusion Development Fund.</w:t>
            </w:r>
          </w:p>
          <w:p w14:paraId="40605E85" w14:textId="77777777" w:rsidR="004E051C" w:rsidRPr="003A58FD" w:rsidRDefault="004E051C" w:rsidP="00E01114">
            <w:pPr>
              <w:pStyle w:val="ListBullet"/>
            </w:pPr>
            <w:r w:rsidRPr="003A58FD">
              <w:t>The Inclusion Development Fund (IDF) provides funding to address barriers to inclusion that cannot be resolved through support from an IA or the Specialist Equipment library. It has four streams.</w:t>
            </w:r>
          </w:p>
          <w:p w14:paraId="4C16E709" w14:textId="77777777" w:rsidR="004E051C" w:rsidRPr="003A58FD" w:rsidRDefault="004E051C">
            <w:pPr>
              <w:pStyle w:val="ListBullet2"/>
            </w:pPr>
            <w:r w:rsidRPr="003A58FD">
              <w:t>Immediate/Time</w:t>
            </w:r>
            <w:r>
              <w:noBreakHyphen/>
            </w:r>
            <w:r w:rsidRPr="003A58FD">
              <w:t>Limited Support provides a subsidy to CBDC and OSHC services to employ a short</w:t>
            </w:r>
            <w:r>
              <w:noBreakHyphen/>
            </w:r>
            <w:r w:rsidRPr="003A58FD">
              <w:t>term additional educator to address immediate inclusion barriers.</w:t>
            </w:r>
          </w:p>
          <w:p w14:paraId="25AA327E" w14:textId="77777777" w:rsidR="004E051C" w:rsidRPr="003A58FD" w:rsidRDefault="004E051C">
            <w:pPr>
              <w:pStyle w:val="ListBullet2"/>
            </w:pPr>
            <w:r w:rsidRPr="003A58FD">
              <w:t>IDF Subsidy for an Additional Educator provides funding to CBDC and OSHC services to employ a longer</w:t>
            </w:r>
            <w:r w:rsidRPr="003A58FD">
              <w:noBreakHyphen/>
              <w:t>term additional educator to support children with high ongoing support needs (although additional educators do not provide 1:1 support).</w:t>
            </w:r>
          </w:p>
          <w:p w14:paraId="0D5FC6AC" w14:textId="77777777" w:rsidR="004E051C" w:rsidRPr="003A58FD" w:rsidRDefault="004E051C">
            <w:pPr>
              <w:pStyle w:val="ListBullet2"/>
            </w:pPr>
            <w:r>
              <w:t>The FDC</w:t>
            </w:r>
            <w:r w:rsidRPr="003A58FD">
              <w:t xml:space="preserve"> Top</w:t>
            </w:r>
            <w:r>
              <w:t xml:space="preserve"> U</w:t>
            </w:r>
            <w:r w:rsidRPr="003A58FD">
              <w:t xml:space="preserve">p helps FDC services cover the loss of income </w:t>
            </w:r>
            <w:proofErr w:type="gramStart"/>
            <w:r w:rsidRPr="003A58FD">
              <w:t>where</w:t>
            </w:r>
            <w:proofErr w:type="gramEnd"/>
            <w:r w:rsidRPr="003A58FD">
              <w:t xml:space="preserve"> including a child with additional needs results in the service being unable to enrol the maximum number of children permitted under the NQF.</w:t>
            </w:r>
          </w:p>
          <w:p w14:paraId="2E555F1F" w14:textId="77777777" w:rsidR="004E051C" w:rsidRPr="003A58FD" w:rsidRDefault="004E051C">
            <w:pPr>
              <w:pStyle w:val="ListBullet2"/>
            </w:pPr>
            <w:r w:rsidRPr="003A58FD">
              <w:t>Innovative Solutions Support provides flexible funding to CBDC and OSHC services and other organisations for innovative solutions, such as bilingual or cultural training and support, specialist inclusion training, advice from specialists and community engagement.</w:t>
            </w:r>
          </w:p>
          <w:p w14:paraId="1C2EE94D" w14:textId="77777777" w:rsidR="004E051C" w:rsidRPr="003A58FD" w:rsidRDefault="004E051C" w:rsidP="00E01114">
            <w:pPr>
              <w:pStyle w:val="ListBullet"/>
            </w:pPr>
            <w:r w:rsidRPr="003A58FD">
              <w:t xml:space="preserve">The Inclusion Development Funding Manager is a contracted organisation responsible for managing the </w:t>
            </w:r>
            <w:r>
              <w:t>IDF</w:t>
            </w:r>
            <w:r w:rsidRPr="003A58FD">
              <w:t xml:space="preserve"> and approving most applications for funding.</w:t>
            </w:r>
          </w:p>
          <w:p w14:paraId="4EB8FBEC" w14:textId="77777777" w:rsidR="004E051C" w:rsidRDefault="004E051C" w:rsidP="00E90DF1">
            <w:pPr>
              <w:pStyle w:val="Source"/>
              <w:keepNext/>
              <w:spacing w:before="240"/>
            </w:pPr>
            <w:r w:rsidRPr="00725AAA">
              <w:t xml:space="preserve">Source: </w:t>
            </w:r>
            <w:r>
              <w:t xml:space="preserve">DoE </w:t>
            </w:r>
            <w:r w:rsidRPr="00DE0E4E">
              <w:rPr>
                <w:rFonts w:ascii="Arial" w:hAnsi="Arial" w:cs="Arial"/>
              </w:rPr>
              <w:t>(2023b)</w:t>
            </w:r>
          </w:p>
        </w:tc>
      </w:tr>
      <w:tr w:rsidR="004E051C" w14:paraId="3AD704CA" w14:textId="77777777">
        <w:trPr>
          <w:hidden/>
        </w:trPr>
        <w:tc>
          <w:tcPr>
            <w:tcW w:w="9638" w:type="dxa"/>
            <w:shd w:val="clear" w:color="auto" w:fill="auto"/>
            <w:tcMar>
              <w:top w:w="0" w:type="dxa"/>
              <w:left w:w="170" w:type="dxa"/>
              <w:bottom w:w="0" w:type="dxa"/>
              <w:right w:w="170" w:type="dxa"/>
            </w:tcMar>
          </w:tcPr>
          <w:p w14:paraId="4C7EE2FE" w14:textId="42A04A58" w:rsidR="004E051C" w:rsidRPr="00465191" w:rsidRDefault="004E051C">
            <w:pPr>
              <w:pStyle w:val="BodyText"/>
              <w:spacing w:before="0" w:after="0" w:line="80" w:lineRule="atLeast"/>
              <w:rPr>
                <w:smallCaps/>
                <w:vanish/>
              </w:rPr>
            </w:pPr>
          </w:p>
        </w:tc>
      </w:tr>
    </w:tbl>
    <w:p w14:paraId="65DF7D0B" w14:textId="77777777" w:rsidR="004E051C" w:rsidRPr="006122BC" w:rsidRDefault="004E051C">
      <w:pPr>
        <w:pStyle w:val="Heading4"/>
      </w:pPr>
      <w:r>
        <w:lastRenderedPageBreak/>
        <w:t>ISP funding appears inadequate</w:t>
      </w:r>
    </w:p>
    <w:p w14:paraId="49CCE9A9" w14:textId="77777777" w:rsidR="004E051C" w:rsidRDefault="004E051C">
      <w:pPr>
        <w:pStyle w:val="BodyText"/>
      </w:pPr>
      <w:r>
        <w:t>P</w:t>
      </w:r>
      <w:r w:rsidRPr="003C44ED">
        <w:t xml:space="preserve">ublicly available data on </w:t>
      </w:r>
      <w:r>
        <w:t xml:space="preserve">the </w:t>
      </w:r>
      <w:r w:rsidRPr="003C44ED">
        <w:t>ISP is limited</w:t>
      </w:r>
      <w:r w:rsidRPr="00187015">
        <w:t>.</w:t>
      </w:r>
      <w:r w:rsidRPr="003C44ED">
        <w:t xml:space="preserve"> </w:t>
      </w:r>
      <w:r w:rsidRPr="00D865F8">
        <w:t xml:space="preserve">The Australian Government provided a budget of $133 million in 2020-21 to the ISP </w:t>
      </w:r>
      <w:r w:rsidRPr="00D865F8">
        <w:rPr>
          <w:rFonts w:ascii="Arial" w:hAnsi="Arial" w:cs="Arial"/>
          <w:szCs w:val="24"/>
        </w:rPr>
        <w:t>(Bray et al. 2021, p. 9)</w:t>
      </w:r>
      <w:r w:rsidRPr="00D865F8">
        <w:t>.</w:t>
      </w:r>
      <w:r>
        <w:t xml:space="preserve"> As </w:t>
      </w:r>
      <w:proofErr w:type="gramStart"/>
      <w:r>
        <w:t>at</w:t>
      </w:r>
      <w:proofErr w:type="gramEnd"/>
      <w:r>
        <w:t xml:space="preserve"> June 2023, demand had grown by 58% over the previous four years, with more than 17,600 children supported by the </w:t>
      </w:r>
      <w:r w:rsidRPr="00D865F8">
        <w:t>program in 2021</w:t>
      </w:r>
      <w:r w:rsidRPr="00D865F8">
        <w:noBreakHyphen/>
        <w:t xml:space="preserve">22 </w:t>
      </w:r>
      <w:r w:rsidRPr="00D865F8">
        <w:rPr>
          <w:rFonts w:ascii="Arial" w:hAnsi="Arial" w:cs="Arial"/>
          <w:szCs w:val="24"/>
        </w:rPr>
        <w:t>(Aly 2023)</w:t>
      </w:r>
      <w:r w:rsidRPr="00D865F8">
        <w:t>.</w:t>
      </w:r>
      <w:r w:rsidRPr="00D10F0A">
        <w:rPr>
          <w:rStyle w:val="FootnoteReference"/>
        </w:rPr>
        <w:footnoteReference w:id="15"/>
      </w:r>
      <w:r w:rsidRPr="00D865F8">
        <w:t xml:space="preserve"> </w:t>
      </w:r>
    </w:p>
    <w:p w14:paraId="552CC9FE" w14:textId="77777777" w:rsidR="004E051C" w:rsidRPr="00ED0631" w:rsidRDefault="004E051C">
      <w:pPr>
        <w:pStyle w:val="BodyText"/>
      </w:pPr>
      <w:r>
        <w:t xml:space="preserve">The Commission has heard anecdotally that Inclusion Agencies (IAs) and the Inclusion Development Fund Manager (IDFM) have struggled to keep up with this demand. For example, one participant noted IAs are struggling to deal with a backlog of applications (Australian Childcare Alliance, sub. 150, p. 73), while another </w:t>
      </w:r>
      <w:r w:rsidRPr="00DB5E43">
        <w:t>not</w:t>
      </w:r>
      <w:r>
        <w:t>ed</w:t>
      </w:r>
      <w:r w:rsidRPr="00DB5E43">
        <w:t xml:space="preserve"> services can wait months for applications to be approved (Early Learning Association Australia, sub.</w:t>
      </w:r>
      <w:r>
        <w:t> </w:t>
      </w:r>
      <w:r w:rsidRPr="00DB5E43">
        <w:t>48, p.</w:t>
      </w:r>
      <w:r>
        <w:t> </w:t>
      </w:r>
      <w:r w:rsidRPr="00DB5E43">
        <w:t>8</w:t>
      </w:r>
      <w:r>
        <w:t xml:space="preserve">). Similarly, another participant noted the usefulness of information provided by Inclusion Professionals (who work in IAs) varies, with some providing useful strategies, but others having limited </w:t>
      </w:r>
      <w:r w:rsidRPr="00636530">
        <w:t>contact (Special Teaching and Research, sub. 87, p. 5).</w:t>
      </w:r>
      <w:r>
        <w:t xml:space="preserve"> </w:t>
      </w:r>
    </w:p>
    <w:p w14:paraId="324DE7B2" w14:textId="77777777" w:rsidR="004E051C" w:rsidRDefault="004E051C">
      <w:pPr>
        <w:pStyle w:val="BodyText"/>
      </w:pPr>
      <w:r w:rsidRPr="00B4308A">
        <w:t>These views align with finding</w:t>
      </w:r>
      <w:r>
        <w:t>s</w:t>
      </w:r>
      <w:r w:rsidRPr="00B4308A">
        <w:t xml:space="preserve"> from </w:t>
      </w:r>
      <w:r>
        <w:t xml:space="preserve">the ISP review, which identified resourcing limitations for both the </w:t>
      </w:r>
      <w:r>
        <w:rPr>
          <w:bCs/>
        </w:rPr>
        <w:t>IDFM</w:t>
      </w:r>
      <w:r>
        <w:t xml:space="preserve"> and IAs. The review noted services reported delays in support and a decreased level of engagement from IAs </w:t>
      </w:r>
      <w:r w:rsidRPr="00E75B04">
        <w:t xml:space="preserve">with services </w:t>
      </w:r>
      <w:r w:rsidRPr="00E75B04">
        <w:rPr>
          <w:rFonts w:ascii="Arial" w:hAnsi="Arial" w:cs="Arial"/>
          <w:szCs w:val="24"/>
        </w:rPr>
        <w:t>(Deloitte Access Economics 2023, pp. 111–112)</w:t>
      </w:r>
      <w:r>
        <w:t xml:space="preserve">. </w:t>
      </w:r>
    </w:p>
    <w:p w14:paraId="71BE6A02" w14:textId="77777777" w:rsidR="004E051C" w:rsidRPr="00261E8A" w:rsidRDefault="004E051C">
      <w:pPr>
        <w:pStyle w:val="BodyText"/>
      </w:pPr>
      <w:r>
        <w:t xml:space="preserve">The Australian Government has recently provided an additional $21.2 million to the ISP to respond to this increased demand </w:t>
      </w:r>
      <w:r w:rsidRPr="00002D81">
        <w:rPr>
          <w:rFonts w:ascii="Arial" w:hAnsi="Arial" w:cs="Arial"/>
          <w:szCs w:val="24"/>
        </w:rPr>
        <w:t>(Aly 2023)</w:t>
      </w:r>
      <w:r>
        <w:t xml:space="preserve">. There is insufficient evidence before the Commission to establish whether this </w:t>
      </w:r>
      <w:r w:rsidRPr="00261E8A">
        <w:t xml:space="preserve">additional funding is sufficient given the current level of demand. </w:t>
      </w:r>
    </w:p>
    <w:p w14:paraId="30F5C078" w14:textId="77777777" w:rsidR="004E051C" w:rsidRDefault="004E051C">
      <w:pPr>
        <w:pStyle w:val="BodyText"/>
      </w:pPr>
      <w:r w:rsidRPr="00261E8A">
        <w:t xml:space="preserve">But the proportion of children </w:t>
      </w:r>
      <w:r w:rsidRPr="007D7E40">
        <w:t>for whom services receive funding</w:t>
      </w:r>
      <w:r w:rsidRPr="00261E8A">
        <w:t xml:space="preserve"> appears disproportionately small. ln 2021</w:t>
      </w:r>
      <w:r w:rsidRPr="00261E8A">
        <w:noBreakHyphen/>
        <w:t xml:space="preserve">22, 1% of children </w:t>
      </w:r>
      <w:r w:rsidRPr="007D7E40">
        <w:t>receiving the CCS</w:t>
      </w:r>
      <w:r w:rsidRPr="00261E8A">
        <w:t xml:space="preserve"> were supported by ISP</w:t>
      </w:r>
      <w:r w:rsidRPr="007D7E40">
        <w:t xml:space="preserve"> funding (</w:t>
      </w:r>
      <w:r w:rsidRPr="00DE269A">
        <w:t xml:space="preserve">excluding IHC) </w:t>
      </w:r>
      <w:r w:rsidRPr="00CC6FBB">
        <w:rPr>
          <w:rFonts w:ascii="Arial" w:hAnsi="Arial" w:cs="Arial"/>
          <w:szCs w:val="24"/>
        </w:rPr>
        <w:t>(Productivity Commission estimates, based on Aly 2023 and DoE administrative data (unpublished))</w:t>
      </w:r>
      <w:r w:rsidRPr="00DE269A">
        <w:t>. In comparison, 5.2%</w:t>
      </w:r>
      <w:r>
        <w:t> </w:t>
      </w:r>
      <w:r w:rsidRPr="00DE269A">
        <w:t>of children in CCS approved</w:t>
      </w:r>
      <w:r>
        <w:t xml:space="preserve"> services had a disability in 2021 </w:t>
      </w:r>
      <w:r w:rsidRPr="00E93FC2">
        <w:rPr>
          <w:rFonts w:ascii="Arial" w:hAnsi="Arial" w:cs="Arial"/>
          <w:szCs w:val="24"/>
        </w:rPr>
        <w:t>(SCRGSP 2023)</w:t>
      </w:r>
      <w:r>
        <w:t>.</w:t>
      </w:r>
      <w:r w:rsidRPr="00D10F0A">
        <w:rPr>
          <w:rStyle w:val="FootnoteReference"/>
        </w:rPr>
        <w:footnoteReference w:id="16"/>
      </w:r>
      <w:r>
        <w:t xml:space="preserve"> This would suggest the program may not reach all children requiring inclusion support in ECEC, particularly as inclusion needs extend beyond children with disability. </w:t>
      </w:r>
    </w:p>
    <w:p w14:paraId="5EE58B3E" w14:textId="77777777" w:rsidR="004E051C" w:rsidRPr="00E90DF1" w:rsidRDefault="004E051C">
      <w:pPr>
        <w:pStyle w:val="BodyText"/>
        <w:rPr>
          <w:spacing w:val="-2"/>
        </w:rPr>
      </w:pPr>
      <w:r w:rsidRPr="00E90DF1">
        <w:rPr>
          <w:spacing w:val="-2"/>
        </w:rPr>
        <w:t xml:space="preserve">The Commission’s recommendations to expand the availability of ECEC are likely to increase demand for the ISP and the workload of IAs and the IDFM. Further resourcing will be required for the program to implement these recommendations and ensure children with additional needs are adequately supported in ECEC. </w:t>
      </w:r>
    </w:p>
    <w:p w14:paraId="271BA696" w14:textId="77777777" w:rsidR="004E051C" w:rsidRDefault="004E051C">
      <w:pPr>
        <w:pStyle w:val="BodyText"/>
      </w:pPr>
      <w:r w:rsidRPr="00B647FB">
        <w:t xml:space="preserve">Funding </w:t>
      </w:r>
      <w:r w:rsidRPr="007D7E40">
        <w:t>allocations for</w:t>
      </w:r>
      <w:r>
        <w:t xml:space="preserve"> the</w:t>
      </w:r>
      <w:r w:rsidRPr="007D7E40">
        <w:t xml:space="preserve"> ISP </w:t>
      </w:r>
      <w:r w:rsidRPr="00B647FB">
        <w:t xml:space="preserve">should also </w:t>
      </w:r>
      <w:proofErr w:type="gramStart"/>
      <w:r w:rsidRPr="00B647FB">
        <w:t>take into account</w:t>
      </w:r>
      <w:proofErr w:type="gramEnd"/>
      <w:r w:rsidRPr="00B647FB">
        <w:t xml:space="preserve"> any changes </w:t>
      </w:r>
      <w:r>
        <w:t>resulting</w:t>
      </w:r>
      <w:r w:rsidRPr="00B647FB">
        <w:t xml:space="preserve"> from the</w:t>
      </w:r>
      <w:r>
        <w:t xml:space="preserve"> recent</w:t>
      </w:r>
      <w:r w:rsidRPr="00B647FB">
        <w:t xml:space="preserve"> </w:t>
      </w:r>
      <w:r>
        <w:t xml:space="preserve">review of the </w:t>
      </w:r>
      <w:r w:rsidRPr="000B439C">
        <w:t>National Disability Insurance Scheme (NDIS).</w:t>
      </w:r>
      <w:r>
        <w:t xml:space="preserve"> </w:t>
      </w:r>
    </w:p>
    <w:p w14:paraId="6AD292E5" w14:textId="2FC91AF9" w:rsidR="004E051C" w:rsidRDefault="004E051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2D4DBB15" w14:textId="77777777">
        <w:trPr>
          <w:trHeight w:val="765"/>
          <w:tblHeader/>
        </w:trPr>
        <w:tc>
          <w:tcPr>
            <w:tcW w:w="366" w:type="pct"/>
            <w:tcBorders>
              <w:bottom w:val="nil"/>
            </w:tcBorders>
            <w:tcMar>
              <w:bottom w:w="0" w:type="dxa"/>
            </w:tcMar>
            <w:vAlign w:val="center"/>
          </w:tcPr>
          <w:p w14:paraId="2B5A4332" w14:textId="77777777" w:rsidR="004E051C" w:rsidRDefault="004E051C">
            <w:pPr>
              <w:pStyle w:val="NoSpacing"/>
              <w:keepNext/>
              <w:keepLines/>
              <w:jc w:val="right"/>
            </w:pPr>
            <w:r w:rsidRPr="00A51374">
              <w:rPr>
                <w:noProof/>
              </w:rPr>
              <w:lastRenderedPageBreak/>
              <w:drawing>
                <wp:inline distT="0" distB="0" distL="0" distR="0" wp14:anchorId="02EE5841" wp14:editId="0CBC73BB">
                  <wp:extent cx="288000" cy="288000"/>
                  <wp:effectExtent l="0" t="0" r="0" b="0"/>
                  <wp:docPr id="396235009" name="Picture 396235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0D08D23" w14:textId="6A6C62EB" w:rsidR="004E051C" w:rsidRPr="00A4395A" w:rsidRDefault="004E051C">
            <w:pPr>
              <w:pStyle w:val="TableHeading"/>
              <w:keepNext/>
              <w:keepLines/>
              <w:spacing w:before="120" w:after="120"/>
              <w:contextualSpacing/>
              <w:rPr>
                <w:sz w:val="20"/>
              </w:rPr>
            </w:pPr>
            <w:r>
              <w:rPr>
                <w:sz w:val="20"/>
              </w:rPr>
              <w:t>Draft f</w:t>
            </w:r>
            <w:r w:rsidRPr="00A4395A">
              <w:rPr>
                <w:sz w:val="20"/>
              </w:rPr>
              <w:t xml:space="preserve">inding </w:t>
            </w:r>
            <w:r>
              <w:rPr>
                <w:sz w:val="20"/>
              </w:rPr>
              <w:t>2</w:t>
            </w:r>
            <w:r w:rsidRPr="00A4395A">
              <w:rPr>
                <w:sz w:val="20"/>
              </w:rPr>
              <w:t>.</w:t>
            </w:r>
            <w:r w:rsidR="00DC7EEE">
              <w:rPr>
                <w:noProof/>
                <w:sz w:val="20"/>
              </w:rPr>
              <w:t>5</w:t>
            </w:r>
          </w:p>
          <w:p w14:paraId="1BC3457E" w14:textId="77777777" w:rsidR="004E051C" w:rsidRDefault="004E051C">
            <w:pPr>
              <w:pStyle w:val="TableHeading"/>
              <w:keepNext/>
              <w:keepLines/>
              <w:spacing w:before="120" w:after="120"/>
              <w:contextualSpacing/>
            </w:pPr>
            <w:r w:rsidRPr="006971FB">
              <w:rPr>
                <w:sz w:val="20"/>
                <w:szCs w:val="22"/>
              </w:rPr>
              <w:t>Increased inclusion support funding will be needed for universal access</w:t>
            </w:r>
          </w:p>
        </w:tc>
      </w:tr>
      <w:tr w:rsidR="004E051C" w14:paraId="32E28652" w14:textId="77777777">
        <w:tc>
          <w:tcPr>
            <w:tcW w:w="5000" w:type="pct"/>
            <w:gridSpan w:val="2"/>
            <w:tcBorders>
              <w:top w:val="nil"/>
              <w:bottom w:val="single" w:sz="4" w:space="0" w:color="66BCDB" w:themeColor="text2"/>
            </w:tcBorders>
          </w:tcPr>
          <w:p w14:paraId="1A0ED2F9" w14:textId="77777777" w:rsidR="004E051C" w:rsidRDefault="004E051C">
            <w:pPr>
              <w:pStyle w:val="BodyText"/>
              <w:keepNext/>
              <w:keepLines/>
            </w:pPr>
            <w:r>
              <w:t>Increased funding will be required for the Inclusion Support Program to ensure children with additional needs are adequately supported and included in ECEC</w:t>
            </w:r>
            <w:r w:rsidRPr="00FD1F12">
              <w:t xml:space="preserve">. </w:t>
            </w:r>
            <w:r w:rsidRPr="00F92F3B">
              <w:t>At a minimum, funding should be sufficient to</w:t>
            </w:r>
            <w:r>
              <w:t>:</w:t>
            </w:r>
          </w:p>
          <w:p w14:paraId="45C052BA" w14:textId="77777777" w:rsidR="004E051C" w:rsidRDefault="004E051C" w:rsidP="00E01114">
            <w:pPr>
              <w:pStyle w:val="ListBullet"/>
            </w:pPr>
            <w:r w:rsidRPr="00F92F3B">
              <w:t xml:space="preserve">enable </w:t>
            </w:r>
            <w:r>
              <w:t>I</w:t>
            </w:r>
            <w:r w:rsidRPr="00D050C2">
              <w:t xml:space="preserve">nclusion </w:t>
            </w:r>
            <w:r>
              <w:t>A</w:t>
            </w:r>
            <w:r w:rsidRPr="00D050C2">
              <w:t>gencies</w:t>
            </w:r>
            <w:r>
              <w:t xml:space="preserve"> and the Inclusion Development Fund Manager</w:t>
            </w:r>
            <w:r w:rsidRPr="00F92F3B">
              <w:t xml:space="preserve"> to respond to all applications in a timely manner </w:t>
            </w:r>
          </w:p>
          <w:p w14:paraId="7E329337" w14:textId="77777777" w:rsidR="004E051C" w:rsidRDefault="004E051C" w:rsidP="00E01114">
            <w:pPr>
              <w:pStyle w:val="ListBullet"/>
            </w:pPr>
            <w:r>
              <w:t>enable Inclusion Agencies to</w:t>
            </w:r>
            <w:r w:rsidRPr="00F92F3B">
              <w:t xml:space="preserve"> provide adequate support and advice to services</w:t>
            </w:r>
          </w:p>
          <w:p w14:paraId="7546A987" w14:textId="77777777" w:rsidR="004E051C" w:rsidRDefault="004E051C" w:rsidP="00E01114">
            <w:pPr>
              <w:pStyle w:val="ListBullet"/>
            </w:pPr>
            <w:r>
              <w:t>ensure services can manage the increased demand likely to result from adoption of the Commission’s recommendations</w:t>
            </w:r>
            <w:r w:rsidRPr="00F92F3B">
              <w:t xml:space="preserve">. </w:t>
            </w:r>
          </w:p>
        </w:tc>
      </w:tr>
      <w:tr w:rsidR="004E051C" w14:paraId="58EBA30A" w14:textId="77777777">
        <w:tc>
          <w:tcPr>
            <w:tcW w:w="5000" w:type="pct"/>
            <w:gridSpan w:val="2"/>
            <w:tcBorders>
              <w:top w:val="single" w:sz="4" w:space="0" w:color="66BCDB" w:themeColor="text2"/>
              <w:left w:val="nil"/>
              <w:bottom w:val="nil"/>
              <w:right w:val="nil"/>
            </w:tcBorders>
            <w:tcMar>
              <w:bottom w:w="0" w:type="dxa"/>
            </w:tcMar>
          </w:tcPr>
          <w:p w14:paraId="3747CF62" w14:textId="511C8EA9" w:rsidR="004E051C" w:rsidRDefault="004E051C">
            <w:pPr>
              <w:pStyle w:val="NoSpacing"/>
              <w:spacing w:line="200" w:lineRule="atLeast"/>
            </w:pPr>
          </w:p>
        </w:tc>
      </w:tr>
    </w:tbl>
    <w:p w14:paraId="62DA9890" w14:textId="77777777" w:rsidR="004E051C" w:rsidRPr="00867889" w:rsidRDefault="004E051C">
      <w:pPr>
        <w:pStyle w:val="Heading4"/>
      </w:pPr>
      <w:r w:rsidRPr="00867889">
        <w:t>Changes could allow services to better support children</w:t>
      </w:r>
    </w:p>
    <w:p w14:paraId="771BB5A9" w14:textId="77777777" w:rsidR="004E051C" w:rsidRDefault="004E051C">
      <w:pPr>
        <w:pStyle w:val="Heading5"/>
      </w:pPr>
      <w:r>
        <w:t>Eligibility rules restrict some children from receiving support</w:t>
      </w:r>
    </w:p>
    <w:p w14:paraId="7D14FD11" w14:textId="77777777" w:rsidR="004E051C" w:rsidRPr="00327B28" w:rsidRDefault="004E051C">
      <w:pPr>
        <w:pStyle w:val="BodyText"/>
      </w:pPr>
      <w:r>
        <w:t xml:space="preserve">For </w:t>
      </w:r>
      <w:r w:rsidRPr="00327B28">
        <w:t xml:space="preserve">services to </w:t>
      </w:r>
      <w:r w:rsidRPr="00F12FBB">
        <w:t>receive the Inclusion Development</w:t>
      </w:r>
      <w:r>
        <w:t xml:space="preserve"> Fund (IDF)</w:t>
      </w:r>
      <w:r w:rsidRPr="00962D19">
        <w:t xml:space="preserve"> Subsidy</w:t>
      </w:r>
      <w:r w:rsidRPr="00327B28">
        <w:t xml:space="preserve"> for an Additional Educator or FDC Top</w:t>
      </w:r>
      <w:r>
        <w:t xml:space="preserve"> U</w:t>
      </w:r>
      <w:r w:rsidRPr="00327B28">
        <w:t>p, documentary evidence that a child has ongoing high support needs must be provide</w:t>
      </w:r>
      <w:r w:rsidRPr="00C32285">
        <w:t>d</w:t>
      </w:r>
      <w:r w:rsidRPr="00327B28">
        <w:t xml:space="preserve">. This may include evidence of: </w:t>
      </w:r>
    </w:p>
    <w:p w14:paraId="293D6BF0" w14:textId="77777777" w:rsidR="004E051C" w:rsidRPr="00AF28F9" w:rsidRDefault="004E051C" w:rsidP="00E01114">
      <w:pPr>
        <w:pStyle w:val="ListBullet"/>
      </w:pPr>
      <w:r w:rsidRPr="00327B28">
        <w:t>diagnosed disability or developmental delay</w:t>
      </w:r>
    </w:p>
    <w:p w14:paraId="3462AC48" w14:textId="77777777" w:rsidR="004E051C" w:rsidRPr="00AF28F9" w:rsidRDefault="004E051C" w:rsidP="00E01114">
      <w:pPr>
        <w:pStyle w:val="ListBullet"/>
      </w:pPr>
      <w:r w:rsidRPr="00327B28">
        <w:t>current and ongoing assessment for disability</w:t>
      </w:r>
    </w:p>
    <w:p w14:paraId="487814AE" w14:textId="77777777" w:rsidR="004E051C" w:rsidRPr="00AF28F9" w:rsidRDefault="004E051C" w:rsidP="00E01114">
      <w:pPr>
        <w:pStyle w:val="ListBullet"/>
      </w:pPr>
      <w:r w:rsidRPr="00327B28">
        <w:t xml:space="preserve">in certain circumstances, other additional needs – for example children aged under six years in </w:t>
      </w:r>
      <w:r>
        <w:t>centre</w:t>
      </w:r>
      <w:r>
        <w:noBreakHyphen/>
        <w:t>based day care (</w:t>
      </w:r>
      <w:r w:rsidRPr="00327B28">
        <w:t>CBDC</w:t>
      </w:r>
      <w:r>
        <w:t>)</w:t>
      </w:r>
      <w:r w:rsidRPr="00327B28">
        <w:t xml:space="preserve"> (DoE, pers</w:t>
      </w:r>
      <w:r>
        <w:t>onal</w:t>
      </w:r>
      <w:r w:rsidRPr="00327B28">
        <w:t xml:space="preserve"> comm</w:t>
      </w:r>
      <w:r>
        <w:t>unication</w:t>
      </w:r>
      <w:r w:rsidRPr="00327B28">
        <w:t>, 3</w:t>
      </w:r>
      <w:r>
        <w:t> </w:t>
      </w:r>
      <w:r w:rsidRPr="00327B28">
        <w:t xml:space="preserve">November 2023). </w:t>
      </w:r>
    </w:p>
    <w:p w14:paraId="41BE3ED6" w14:textId="77777777" w:rsidR="004E051C" w:rsidRPr="00327B28" w:rsidRDefault="004E051C">
      <w:pPr>
        <w:pStyle w:val="BodyText"/>
      </w:pPr>
      <w:r>
        <w:t>Services obtain this evidence from families, and then provide it in the application for funding. Families can source this evidence from a</w:t>
      </w:r>
      <w:r w:rsidRPr="00327B28">
        <w:t xml:space="preserve"> range of professionals, in a variety of forms (box</w:t>
      </w:r>
      <w:r>
        <w:t> </w:t>
      </w:r>
      <w:r w:rsidRPr="00327B28">
        <w:t>2.</w:t>
      </w:r>
      <w:r>
        <w:t>5</w:t>
      </w:r>
      <w:r w:rsidRPr="00327B28">
        <w:t xml:space="preserve">). </w:t>
      </w:r>
    </w:p>
    <w:p w14:paraId="3A7D7999" w14:textId="4E3E4641" w:rsidR="004E051C" w:rsidRPr="00F82BD9" w:rsidRDefault="004E051C">
      <w:pPr>
        <w:pStyle w:val="NoSpacing"/>
      </w:pPr>
    </w:p>
    <w:tbl>
      <w:tblPr>
        <w:tblStyle w:val="Boxtable"/>
        <w:tblW w:w="5000" w:type="pct"/>
        <w:tblLook w:val="04A0" w:firstRow="1" w:lastRow="0" w:firstColumn="1" w:lastColumn="0" w:noHBand="0" w:noVBand="1"/>
      </w:tblPr>
      <w:tblGrid>
        <w:gridCol w:w="9638"/>
      </w:tblGrid>
      <w:tr w:rsidR="004E051C" w14:paraId="1DC6FE2A" w14:textId="77777777">
        <w:trPr>
          <w:tblHeader/>
        </w:trPr>
        <w:tc>
          <w:tcPr>
            <w:tcW w:w="9638" w:type="dxa"/>
            <w:shd w:val="clear" w:color="auto" w:fill="EBEBEB"/>
            <w:tcMar>
              <w:top w:w="170" w:type="dxa"/>
              <w:left w:w="170" w:type="dxa"/>
              <w:bottom w:w="113" w:type="dxa"/>
              <w:right w:w="170" w:type="dxa"/>
            </w:tcMar>
            <w:hideMark/>
          </w:tcPr>
          <w:p w14:paraId="7AAEC4F6" w14:textId="0AC07CF6" w:rsidR="004E051C" w:rsidRDefault="004E051C">
            <w:pPr>
              <w:pStyle w:val="BoxHeading1"/>
            </w:pPr>
            <w:r>
              <w:t xml:space="preserve">Box </w:t>
            </w:r>
            <w:r w:rsidR="00DC7EEE">
              <w:rPr>
                <w:noProof/>
              </w:rPr>
              <w:t>2</w:t>
            </w:r>
            <w:r>
              <w:t>.</w:t>
            </w:r>
            <w:r w:rsidR="00DC7EEE">
              <w:rPr>
                <w:noProof/>
              </w:rPr>
              <w:t>5</w:t>
            </w:r>
            <w:r>
              <w:rPr>
                <w:noProof/>
              </w:rPr>
              <w:t xml:space="preserve"> </w:t>
            </w:r>
            <w:r>
              <w:t>– Documentary evidence under the Inclusion Support Program</w:t>
            </w:r>
          </w:p>
        </w:tc>
      </w:tr>
      <w:tr w:rsidR="004E051C" w14:paraId="6CC735BB" w14:textId="77777777">
        <w:tc>
          <w:tcPr>
            <w:tcW w:w="9638" w:type="dxa"/>
            <w:shd w:val="clear" w:color="auto" w:fill="EBEBEB"/>
            <w:tcMar>
              <w:top w:w="28" w:type="dxa"/>
              <w:left w:w="170" w:type="dxa"/>
              <w:bottom w:w="170" w:type="dxa"/>
              <w:right w:w="170" w:type="dxa"/>
            </w:tcMar>
            <w:hideMark/>
          </w:tcPr>
          <w:p w14:paraId="76116134" w14:textId="77777777" w:rsidR="004E051C" w:rsidRDefault="004E051C">
            <w:pPr>
              <w:pStyle w:val="BodyText"/>
            </w:pPr>
            <w:r>
              <w:t xml:space="preserve">A range of professionals can provide documentary evidence for an Inclusion Development Fund application, including (but not limited to): </w:t>
            </w:r>
          </w:p>
          <w:p w14:paraId="13CB00D4" w14:textId="77777777" w:rsidR="004E051C" w:rsidRDefault="004E051C" w:rsidP="00E01114">
            <w:pPr>
              <w:pStyle w:val="ListBullet"/>
            </w:pPr>
            <w:r>
              <w:t>registered psychologists</w:t>
            </w:r>
          </w:p>
          <w:p w14:paraId="6DEB7F15" w14:textId="77777777" w:rsidR="004E051C" w:rsidRDefault="004E051C" w:rsidP="00E01114">
            <w:pPr>
              <w:pStyle w:val="ListBullet"/>
            </w:pPr>
            <w:r>
              <w:t>allied health professionals, social workers and family counsellors</w:t>
            </w:r>
          </w:p>
          <w:p w14:paraId="7E774010" w14:textId="77777777" w:rsidR="004E051C" w:rsidRDefault="004E051C" w:rsidP="00E01114">
            <w:pPr>
              <w:pStyle w:val="ListBullet"/>
            </w:pPr>
            <w:r>
              <w:t>qualified medical practitioners</w:t>
            </w:r>
          </w:p>
          <w:p w14:paraId="3FE19455" w14:textId="77777777" w:rsidR="004E051C" w:rsidRDefault="004E051C" w:rsidP="00E01114">
            <w:pPr>
              <w:pStyle w:val="ListBullet"/>
            </w:pPr>
            <w:r>
              <w:t>registered nurses or nurse practitioners, including Maternal and Child Health nurses.</w:t>
            </w:r>
          </w:p>
          <w:p w14:paraId="4C0457B8" w14:textId="77777777" w:rsidR="004E051C" w:rsidRDefault="004E051C">
            <w:pPr>
              <w:pStyle w:val="BodyText"/>
            </w:pPr>
            <w:r>
              <w:t xml:space="preserve">Documentary evidence may include, but it not limited to: </w:t>
            </w:r>
          </w:p>
          <w:p w14:paraId="5DA61BB0" w14:textId="77777777" w:rsidR="004E051C" w:rsidRDefault="004E051C" w:rsidP="00E01114">
            <w:pPr>
              <w:pStyle w:val="ListBullet"/>
            </w:pPr>
            <w:r>
              <w:t xml:space="preserve">the child’s health care card stating the disability code, or evidence that the child is a NDIS participant </w:t>
            </w:r>
          </w:p>
          <w:p w14:paraId="488113B7" w14:textId="77777777" w:rsidR="004E051C" w:rsidRDefault="004E051C" w:rsidP="00E01114">
            <w:pPr>
              <w:pStyle w:val="ListBullet"/>
            </w:pPr>
            <w:r>
              <w:t>diagnosis by a qualified medical/health practitioner or registered psychologist</w:t>
            </w:r>
          </w:p>
          <w:p w14:paraId="1ADE3916" w14:textId="77777777" w:rsidR="004E051C" w:rsidRDefault="004E051C" w:rsidP="00E01114">
            <w:pPr>
              <w:pStyle w:val="ListBullet"/>
            </w:pPr>
            <w:r>
              <w:t>a report or supporting documentation signed by an allied health professional, registered nurse or nurse practitioner, Maternal and Child Health nurses, social worker/family counsellor of the current and ongoing assessment of a child</w:t>
            </w:r>
          </w:p>
          <w:p w14:paraId="5A40C028" w14:textId="77777777" w:rsidR="004E051C" w:rsidRDefault="004E051C" w:rsidP="00E01114">
            <w:pPr>
              <w:pStyle w:val="ListBullet"/>
            </w:pPr>
            <w:r>
              <w:t>an appointment letter or referral for an assessment by a qualified medical/health practitioner or registered psychologist</w:t>
            </w:r>
          </w:p>
          <w:p w14:paraId="01189D18" w14:textId="77777777" w:rsidR="004E051C" w:rsidRDefault="004E051C" w:rsidP="00E01114">
            <w:pPr>
              <w:pStyle w:val="ListBullet"/>
            </w:pPr>
            <w:r>
              <w:lastRenderedPageBreak/>
              <w:t>supporting documentation, such as a diagnostic report, signed by a qualified medical/health practitioner, registered psychologist or social worker</w:t>
            </w:r>
          </w:p>
          <w:p w14:paraId="284F5E0A" w14:textId="77777777" w:rsidR="004E051C" w:rsidRDefault="004E051C" w:rsidP="00E01114">
            <w:pPr>
              <w:pStyle w:val="ListBullet"/>
            </w:pPr>
            <w:r>
              <w:t>documentation stating a child’s eligibility for Child Disability Allowance or parent or carer eligibility for Carers Allowance with respect to the child.</w:t>
            </w:r>
          </w:p>
          <w:p w14:paraId="07D76195" w14:textId="77777777" w:rsidR="004E051C" w:rsidRDefault="004E051C">
            <w:pPr>
              <w:pStyle w:val="Source"/>
            </w:pPr>
            <w:r>
              <w:t xml:space="preserve">Source: DoE </w:t>
            </w:r>
            <w:r w:rsidRPr="000C5881">
              <w:rPr>
                <w:rFonts w:ascii="Arial" w:hAnsi="Arial" w:cs="Arial"/>
                <w:szCs w:val="24"/>
              </w:rPr>
              <w:t>(2023b, p. 21)</w:t>
            </w:r>
          </w:p>
        </w:tc>
      </w:tr>
    </w:tbl>
    <w:p w14:paraId="316529A7" w14:textId="77777777" w:rsidR="004E051C" w:rsidRDefault="004E051C">
      <w:pPr>
        <w:pStyle w:val="BodyText"/>
      </w:pPr>
      <w:r>
        <w:lastRenderedPageBreak/>
        <w:t xml:space="preserve">In </w:t>
      </w:r>
      <w:r w:rsidRPr="00A753CA">
        <w:t xml:space="preserve">addition, the </w:t>
      </w:r>
      <w:r w:rsidRPr="009F0DD8">
        <w:t>IDF</w:t>
      </w:r>
      <w:r w:rsidRPr="00A753CA">
        <w:t xml:space="preserve"> has an annual</w:t>
      </w:r>
      <w:r>
        <w:t xml:space="preserve"> capped funding allocation. Where demand exceeds available funding, children with a diagnosed disability or awaiting a diagnosis are prioritised </w:t>
      </w:r>
      <w:r w:rsidRPr="00DE0E4E">
        <w:rPr>
          <w:rFonts w:ascii="Arial" w:hAnsi="Arial" w:cs="Arial"/>
          <w:szCs w:val="24"/>
        </w:rPr>
        <w:t>(DoE 2023b, p. 16)</w:t>
      </w:r>
      <w:r w:rsidRPr="00122A18">
        <w:t xml:space="preserve">. </w:t>
      </w:r>
    </w:p>
    <w:p w14:paraId="10FBBE51" w14:textId="77777777" w:rsidR="004E051C" w:rsidRDefault="004E051C">
      <w:pPr>
        <w:pStyle w:val="BodyText"/>
      </w:pPr>
      <w:r>
        <w:t>A range of inquiry participants submitted that requirements for diagnosis were a barrier to accessing the ISP (for example, Australian Childcare Alliance, sub. 150, p. 12; Special Teaching and Research, sub. 87, p. 5; The Salvation Army, sub. 56, p. 15</w:t>
      </w:r>
      <w:r w:rsidRPr="000C10D0">
        <w:t>). The City of Sydney submitted:</w:t>
      </w:r>
    </w:p>
    <w:p w14:paraId="24C0EA51" w14:textId="77777777" w:rsidR="004E051C" w:rsidRPr="008C7987" w:rsidRDefault="004E051C">
      <w:pPr>
        <w:pStyle w:val="Quote"/>
      </w:pPr>
      <w:r>
        <w:t xml:space="preserve">Inclusion Support Funding heavily relies on a diagnosis which can be problematic and exclude children who may be experiencing behavioural and emotional challenges that may not be easily diagnosed or do not have a diagnosis. It also excludes and does not consider the range of </w:t>
      </w:r>
      <w:r w:rsidRPr="008C7987">
        <w:t>challenges faced by Aboriginal and Torres Strait Islander children or children of families who are seeking asylum or are refugees. (sub.</w:t>
      </w:r>
      <w:r>
        <w:t> </w:t>
      </w:r>
      <w:r w:rsidRPr="008C7987">
        <w:t>65, p. 12)</w:t>
      </w:r>
    </w:p>
    <w:p w14:paraId="17E9E471" w14:textId="77777777" w:rsidR="004E051C" w:rsidRDefault="004E051C">
      <w:pPr>
        <w:pStyle w:val="BodyText"/>
      </w:pPr>
      <w:r w:rsidRPr="008C7987">
        <w:t xml:space="preserve">As noted, services and families </w:t>
      </w:r>
      <w:r>
        <w:t xml:space="preserve">are able </w:t>
      </w:r>
      <w:r w:rsidRPr="008C7987">
        <w:t xml:space="preserve">to provide evidence other than </w:t>
      </w:r>
      <w:r>
        <w:t xml:space="preserve">a </w:t>
      </w:r>
      <w:r w:rsidRPr="008C7987">
        <w:t xml:space="preserve">diagnosis to access </w:t>
      </w:r>
      <w:r>
        <w:t xml:space="preserve">the </w:t>
      </w:r>
      <w:r w:rsidRPr="008C7987">
        <w:t>ISP. At</w:t>
      </w:r>
      <w:r>
        <w:t xml:space="preserve"> a minimum, t</w:t>
      </w:r>
      <w:r w:rsidRPr="00245A1D">
        <w:t>hese</w:t>
      </w:r>
      <w:r w:rsidRPr="00C32857">
        <w:t xml:space="preserve"> requirements should be more clearly communicated to services</w:t>
      </w:r>
      <w:r>
        <w:t xml:space="preserve"> and families</w:t>
      </w:r>
      <w:r w:rsidRPr="00C32857">
        <w:t>.</w:t>
      </w:r>
    </w:p>
    <w:p w14:paraId="02ED93AD" w14:textId="0A65AFCB" w:rsidR="004E051C" w:rsidRDefault="00501108">
      <w:pPr>
        <w:pStyle w:val="BodyText"/>
      </w:pPr>
      <w:r>
        <w:t>T</w:t>
      </w:r>
      <w:r w:rsidR="004E051C">
        <w:t xml:space="preserve">here is also a case for aligning eligibility requirements. As noted, in certain circumstances evidence that the child has other additional needs is accepted. But this does not apply in all circumstances, which precludes some children with additional needs other than disability from receiving support. This should be addressed. </w:t>
      </w:r>
    </w:p>
    <w:p w14:paraId="6F471868" w14:textId="74B95F96" w:rsidR="004E051C" w:rsidRPr="00571405" w:rsidRDefault="004E051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7D1AE4E9" w14:textId="77777777">
        <w:trPr>
          <w:trHeight w:val="765"/>
          <w:tblHeader/>
        </w:trPr>
        <w:tc>
          <w:tcPr>
            <w:tcW w:w="366" w:type="pct"/>
            <w:tcBorders>
              <w:bottom w:val="nil"/>
            </w:tcBorders>
            <w:tcMar>
              <w:bottom w:w="0" w:type="dxa"/>
            </w:tcMar>
            <w:vAlign w:val="center"/>
          </w:tcPr>
          <w:p w14:paraId="15802F58" w14:textId="77777777" w:rsidR="004E051C" w:rsidRDefault="004E051C">
            <w:pPr>
              <w:pStyle w:val="NoSpacing"/>
              <w:keepNext/>
              <w:keepLines/>
              <w:jc w:val="right"/>
            </w:pPr>
            <w:r w:rsidRPr="00A51374">
              <w:rPr>
                <w:noProof/>
              </w:rPr>
              <w:drawing>
                <wp:inline distT="0" distB="0" distL="0" distR="0" wp14:anchorId="34B096AB" wp14:editId="7590DE66">
                  <wp:extent cx="288000" cy="288000"/>
                  <wp:effectExtent l="0" t="0" r="0" b="0"/>
                  <wp:docPr id="1579021525" name="Picture 1579021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1A4FA30" w14:textId="125B5021" w:rsidR="004E051C" w:rsidRPr="00A4395A" w:rsidRDefault="004E051C">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2</w:t>
            </w:r>
            <w:r w:rsidRPr="00A4395A">
              <w:rPr>
                <w:sz w:val="20"/>
              </w:rPr>
              <w:t>.</w:t>
            </w:r>
            <w:r w:rsidR="00DC7EEE">
              <w:rPr>
                <w:noProof/>
                <w:sz w:val="20"/>
              </w:rPr>
              <w:t>6</w:t>
            </w:r>
          </w:p>
          <w:p w14:paraId="611EFE9E" w14:textId="77777777" w:rsidR="004E051C" w:rsidRDefault="004E051C">
            <w:pPr>
              <w:pStyle w:val="TableHeading"/>
              <w:keepNext/>
              <w:keepLines/>
              <w:spacing w:before="120" w:after="120"/>
              <w:contextualSpacing/>
            </w:pPr>
            <w:r>
              <w:rPr>
                <w:sz w:val="20"/>
              </w:rPr>
              <w:t>Eligibility requirements for inclusion funding create barriers to access</w:t>
            </w:r>
          </w:p>
        </w:tc>
      </w:tr>
      <w:tr w:rsidR="004E051C" w14:paraId="4F8AA59B" w14:textId="77777777">
        <w:tc>
          <w:tcPr>
            <w:tcW w:w="5000" w:type="pct"/>
            <w:gridSpan w:val="2"/>
            <w:tcBorders>
              <w:top w:val="nil"/>
              <w:bottom w:val="single" w:sz="4" w:space="0" w:color="66BCDB" w:themeColor="text2"/>
            </w:tcBorders>
          </w:tcPr>
          <w:p w14:paraId="0BCCC5F8" w14:textId="77777777" w:rsidR="004E051C" w:rsidRDefault="004E051C">
            <w:pPr>
              <w:pStyle w:val="BodyText"/>
              <w:keepLines/>
            </w:pPr>
            <w:r w:rsidRPr="00755421">
              <w:t>Services</w:t>
            </w:r>
            <w:r w:rsidRPr="00755421" w:rsidDel="00755421">
              <w:t xml:space="preserve"> </w:t>
            </w:r>
            <w:r w:rsidRPr="00755421">
              <w:t>must</w:t>
            </w:r>
            <w:r>
              <w:t xml:space="preserve"> provide evidence that a child has high ongoing support needs to access the Inclusion Development Fund Subsidy for an Additional Educator or the Family Day Care Top Up. Different professionals can provide this evidence, in a range of forms, including other than a formal diagnosis. But this may not be sufficiently clear to services and families.</w:t>
            </w:r>
          </w:p>
          <w:p w14:paraId="49D3705E" w14:textId="77777777" w:rsidR="004E051C" w:rsidRDefault="004E051C">
            <w:pPr>
              <w:pStyle w:val="BodyText"/>
              <w:keepLines/>
            </w:pPr>
            <w:r w:rsidRPr="00CE7779">
              <w:t xml:space="preserve">Evidence that the chid has additional needs other than disability </w:t>
            </w:r>
            <w:r w:rsidRPr="008814A3">
              <w:t>is not accepted in all circumstances, which precludes some children from receiving support.</w:t>
            </w:r>
            <w:r w:rsidRPr="0062405E">
              <w:t xml:space="preserve"> </w:t>
            </w:r>
          </w:p>
        </w:tc>
      </w:tr>
    </w:tbl>
    <w:p w14:paraId="150014E3" w14:textId="19576F8F" w:rsidR="004E051C" w:rsidRDefault="004E051C">
      <w:pPr>
        <w:pStyle w:val="NoSpacing"/>
      </w:pPr>
    </w:p>
    <w:p w14:paraId="20BC66B6" w14:textId="77777777" w:rsidR="00501108" w:rsidRDefault="00501108">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4E051C" w14:paraId="7F1B7835" w14:textId="77777777">
        <w:trPr>
          <w:tblHeader/>
        </w:trPr>
        <w:tc>
          <w:tcPr>
            <w:tcW w:w="713" w:type="dxa"/>
            <w:shd w:val="clear" w:color="auto" w:fill="E7F6FD"/>
            <w:tcMar>
              <w:top w:w="0" w:type="dxa"/>
              <w:bottom w:w="0" w:type="dxa"/>
            </w:tcMar>
            <w:vAlign w:val="center"/>
          </w:tcPr>
          <w:p w14:paraId="3F2DF952" w14:textId="77777777" w:rsidR="004E051C" w:rsidRDefault="004E051C">
            <w:pPr>
              <w:keepLines/>
              <w:jc w:val="center"/>
            </w:pPr>
            <w:r w:rsidRPr="00A51374">
              <w:rPr>
                <w:noProof/>
              </w:rPr>
              <w:lastRenderedPageBreak/>
              <w:drawing>
                <wp:inline distT="0" distB="0" distL="0" distR="0" wp14:anchorId="51B0DA2A" wp14:editId="08AE5D18">
                  <wp:extent cx="288000" cy="288000"/>
                  <wp:effectExtent l="0" t="0" r="0" b="0"/>
                  <wp:docPr id="1050706208" name="Picture 1050706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1C282BF" w14:textId="1DD00EDF" w:rsidR="004E051C" w:rsidRPr="00715040" w:rsidRDefault="004E051C">
            <w:pPr>
              <w:pStyle w:val="TableHeading"/>
              <w:keepLines/>
              <w:spacing w:before="120" w:after="120"/>
              <w:contextualSpacing/>
              <w:rPr>
                <w:sz w:val="20"/>
              </w:rPr>
            </w:pPr>
            <w:r>
              <w:rPr>
                <w:sz w:val="20"/>
              </w:rPr>
              <w:t>Draft r</w:t>
            </w:r>
            <w:r w:rsidRPr="00715040">
              <w:rPr>
                <w:sz w:val="20"/>
              </w:rPr>
              <w:t xml:space="preserve">ecommendation </w:t>
            </w:r>
            <w:r w:rsidR="00DC7EEE">
              <w:rPr>
                <w:noProof/>
                <w:sz w:val="20"/>
              </w:rPr>
              <w:t>2</w:t>
            </w:r>
            <w:r w:rsidRPr="00715040">
              <w:rPr>
                <w:sz w:val="20"/>
              </w:rPr>
              <w:t>.</w:t>
            </w:r>
            <w:r w:rsidR="00DC7EEE">
              <w:rPr>
                <w:noProof/>
                <w:sz w:val="20"/>
              </w:rPr>
              <w:t>3</w:t>
            </w:r>
          </w:p>
          <w:p w14:paraId="7E1ECFEB" w14:textId="77777777" w:rsidR="004E051C" w:rsidRPr="00715040" w:rsidRDefault="004E051C">
            <w:pPr>
              <w:pStyle w:val="TableHeading"/>
              <w:keepLines/>
              <w:spacing w:before="120" w:after="120"/>
              <w:contextualSpacing/>
              <w:rPr>
                <w:sz w:val="20"/>
              </w:rPr>
            </w:pPr>
            <w:r>
              <w:rPr>
                <w:sz w:val="20"/>
              </w:rPr>
              <w:t>Amend eligibility requirements for inclusion funding</w:t>
            </w:r>
          </w:p>
        </w:tc>
      </w:tr>
      <w:tr w:rsidR="004E051C" w14:paraId="79634CF5" w14:textId="77777777">
        <w:tc>
          <w:tcPr>
            <w:tcW w:w="9638" w:type="dxa"/>
            <w:gridSpan w:val="2"/>
            <w:shd w:val="clear" w:color="auto" w:fill="E7F6FD"/>
            <w:tcMar>
              <w:top w:w="0" w:type="dxa"/>
            </w:tcMar>
          </w:tcPr>
          <w:p w14:paraId="5BDF839C" w14:textId="77777777" w:rsidR="004E051C" w:rsidRDefault="004E051C">
            <w:pPr>
              <w:pStyle w:val="BodyText"/>
              <w:keepLines/>
            </w:pPr>
            <w:r>
              <w:t xml:space="preserve">The Australian Government Department of Education should work with Inclusion Agencies to communicate documentary requirements for receipt of Inclusion Support Program funding more clearly to services, including the eligibility of children without a formal diagnosis. </w:t>
            </w:r>
          </w:p>
          <w:p w14:paraId="28C8E957" w14:textId="77777777" w:rsidR="004E051C" w:rsidRPr="00224BF8" w:rsidRDefault="004E051C">
            <w:pPr>
              <w:pStyle w:val="BodyText"/>
              <w:keepLines/>
            </w:pPr>
            <w:r w:rsidRPr="008814A3">
              <w:t>Evidence a child has additional needs other than disability should be accepted in all circumstances for services seeking to access the Inclusion Development Fund Subsidy for an Additional Educator and the Family Day Care Top Up.</w:t>
            </w:r>
            <w:r>
              <w:t xml:space="preserve"> </w:t>
            </w:r>
          </w:p>
          <w:p w14:paraId="3EAC7723" w14:textId="77777777" w:rsidR="004E051C" w:rsidRPr="00767EAE" w:rsidRDefault="004E051C">
            <w:pPr>
              <w:pStyle w:val="BodyText"/>
              <w:keepLines/>
            </w:pPr>
            <w:r w:rsidRPr="005404FF">
              <w:t>Increasing the funding allocated to the I</w:t>
            </w:r>
            <w:r>
              <w:t>nclusion Support Program</w:t>
            </w:r>
            <w:r w:rsidRPr="005404FF">
              <w:t xml:space="preserve"> (</w:t>
            </w:r>
            <w:r>
              <w:t xml:space="preserve">draft </w:t>
            </w:r>
            <w:r w:rsidRPr="005404FF">
              <w:t xml:space="preserve">finding </w:t>
            </w:r>
            <w:r w:rsidRPr="00EB11B0">
              <w:t>2.5)</w:t>
            </w:r>
            <w:r w:rsidRPr="005404FF">
              <w:t xml:space="preserve"> will ensure children have adequate support, regardless of a diagnosis.</w:t>
            </w:r>
            <w:r>
              <w:t xml:space="preserve"> </w:t>
            </w:r>
          </w:p>
        </w:tc>
      </w:tr>
      <w:tr w:rsidR="004E051C" w14:paraId="2E3E9724" w14:textId="77777777">
        <w:tc>
          <w:tcPr>
            <w:tcW w:w="9638" w:type="dxa"/>
            <w:gridSpan w:val="2"/>
            <w:shd w:val="clear" w:color="auto" w:fill="auto"/>
            <w:tcMar>
              <w:top w:w="0" w:type="dxa"/>
              <w:bottom w:w="0" w:type="dxa"/>
            </w:tcMar>
          </w:tcPr>
          <w:p w14:paraId="718C4BA3" w14:textId="4A5F83A3" w:rsidR="004E051C" w:rsidRPr="007E0EA8" w:rsidRDefault="004E051C">
            <w:pPr>
              <w:pStyle w:val="NoSpacing"/>
              <w:spacing w:line="200" w:lineRule="exact"/>
            </w:pPr>
          </w:p>
        </w:tc>
      </w:tr>
    </w:tbl>
    <w:p w14:paraId="3238FB59" w14:textId="77777777" w:rsidR="004E051C" w:rsidRDefault="004E051C">
      <w:pPr>
        <w:pStyle w:val="Heading5"/>
      </w:pPr>
      <w:r>
        <w:t>The subsidy design and rules for additional educators are restrictive</w:t>
      </w:r>
    </w:p>
    <w:p w14:paraId="4F0F52CF" w14:textId="77777777" w:rsidR="004E051C" w:rsidRDefault="004E051C">
      <w:pPr>
        <w:pStyle w:val="BodyText"/>
        <w:rPr>
          <w:rFonts w:cstheme="minorHAnsi"/>
        </w:rPr>
      </w:pPr>
      <w:r w:rsidRPr="00721C9C">
        <w:rPr>
          <w:rFonts w:cstheme="minorHAnsi"/>
        </w:rPr>
        <w:t>Under the ISP, eligible services can apply for a subsidy to hire an additional educator</w:t>
      </w:r>
      <w:r>
        <w:rPr>
          <w:rFonts w:cstheme="minorHAnsi"/>
        </w:rPr>
        <w:t xml:space="preserve"> on a short</w:t>
      </w:r>
      <w:r>
        <w:rPr>
          <w:rFonts w:cstheme="minorHAnsi"/>
        </w:rPr>
        <w:noBreakHyphen/>
        <w:t xml:space="preserve">term </w:t>
      </w:r>
      <w:r w:rsidRPr="006D3085">
        <w:t>(Immediate/Time</w:t>
      </w:r>
      <w:r>
        <w:noBreakHyphen/>
      </w:r>
      <w:r w:rsidRPr="006D3085">
        <w:t xml:space="preserve">Limited) </w:t>
      </w:r>
      <w:r>
        <w:rPr>
          <w:rFonts w:cstheme="minorHAnsi"/>
        </w:rPr>
        <w:t>or long</w:t>
      </w:r>
      <w:r>
        <w:rPr>
          <w:rFonts w:cstheme="minorHAnsi"/>
        </w:rPr>
        <w:noBreakHyphen/>
        <w:t xml:space="preserve">term </w:t>
      </w:r>
      <w:r w:rsidRPr="006D3085">
        <w:t>(</w:t>
      </w:r>
      <w:r>
        <w:t xml:space="preserve">IDF Subsidy for an </w:t>
      </w:r>
      <w:r w:rsidRPr="006D3085">
        <w:t>Additional Educator) basis</w:t>
      </w:r>
      <w:r>
        <w:t xml:space="preserve"> to support the inclusion of children with additional needs</w:t>
      </w:r>
      <w:r w:rsidRPr="006D3085">
        <w:t xml:space="preserve"> </w:t>
      </w:r>
      <w:r>
        <w:rPr>
          <w:rFonts w:cstheme="minorHAnsi"/>
        </w:rPr>
        <w:t>(box 2.4).</w:t>
      </w:r>
      <w:r w:rsidRPr="006D3085">
        <w:t xml:space="preserve"> </w:t>
      </w:r>
    </w:p>
    <w:p w14:paraId="19E8A1FF" w14:textId="77777777" w:rsidR="004E051C" w:rsidRDefault="004E051C">
      <w:pPr>
        <w:pStyle w:val="BodyText"/>
        <w:rPr>
          <w:rFonts w:cstheme="minorHAnsi"/>
        </w:rPr>
      </w:pPr>
      <w:r w:rsidRPr="00721C9C">
        <w:rPr>
          <w:rFonts w:cstheme="minorHAnsi"/>
        </w:rPr>
        <w:t xml:space="preserve">However, there are several shortcomings in </w:t>
      </w:r>
      <w:r>
        <w:rPr>
          <w:rFonts w:cstheme="minorHAnsi"/>
        </w:rPr>
        <w:t xml:space="preserve">the design of the additional educator subsidies, which limit the support provided to services and children. </w:t>
      </w:r>
    </w:p>
    <w:p w14:paraId="0C9B8277" w14:textId="137D6149" w:rsidR="004E051C" w:rsidRPr="00E90DF1" w:rsidRDefault="004E051C">
      <w:pPr>
        <w:pStyle w:val="BodyText"/>
        <w:rPr>
          <w:spacing w:val="-2"/>
        </w:rPr>
      </w:pPr>
      <w:r w:rsidRPr="00E90DF1">
        <w:rPr>
          <w:b/>
          <w:bCs/>
          <w:spacing w:val="-2"/>
        </w:rPr>
        <w:t>The subsidy rate of $23 per hour has not increased since 2016</w:t>
      </w:r>
      <w:r w:rsidRPr="00E90DF1">
        <w:rPr>
          <w:spacing w:val="-2"/>
        </w:rPr>
        <w:t>, with inquiry participants noting this does not cover the actual costs of employing an additional educator (Australian Childcare Alliance, sub. 150, p. 46; SDN Children’s services, sub. 63, p. 7; Early Childhood Australia, sub. 154, p. 52). For example, a survey of services conducted as part of the AIFS evaluation of the ISP suggested the mean cost to hire an additional educator was $29</w:t>
      </w:r>
      <w:r w:rsidRPr="00E90DF1">
        <w:rPr>
          <w:spacing w:val="-2"/>
        </w:rPr>
        <w:noBreakHyphen/>
        <w:t xml:space="preserve">30 per hour </w:t>
      </w:r>
      <w:r w:rsidRPr="00E90DF1">
        <w:rPr>
          <w:rFonts w:cs="Arial"/>
          <w:spacing w:val="-2"/>
          <w:szCs w:val="24"/>
        </w:rPr>
        <w:t>(Bray et al. 2021, p. 95)</w:t>
      </w:r>
      <w:r w:rsidRPr="00E90DF1">
        <w:rPr>
          <w:spacing w:val="-2"/>
        </w:rPr>
        <w:t>.</w:t>
      </w:r>
      <w:r w:rsidRPr="00E90DF1">
        <w:rPr>
          <w:rStyle w:val="FootnoteReference"/>
          <w:spacing w:val="-2"/>
        </w:rPr>
        <w:footnoteReference w:id="17"/>
      </w:r>
      <w:r w:rsidRPr="00E90DF1">
        <w:rPr>
          <w:spacing w:val="-2"/>
        </w:rPr>
        <w:t xml:space="preserve"> And the lowest award wage for a full</w:t>
      </w:r>
      <w:r w:rsidRPr="00E90DF1">
        <w:rPr>
          <w:spacing w:val="-2"/>
        </w:rPr>
        <w:noBreakHyphen/>
        <w:t xml:space="preserve">time educator upon commencement, with no qualification, is currently $23.11 per hour </w:t>
      </w:r>
      <w:r w:rsidRPr="00E90DF1">
        <w:rPr>
          <w:rFonts w:cs="Arial"/>
          <w:spacing w:val="-2"/>
          <w:szCs w:val="24"/>
        </w:rPr>
        <w:t>(Fair Work Commission 2010)</w:t>
      </w:r>
      <w:r w:rsidRPr="00E90DF1">
        <w:rPr>
          <w:spacing w:val="-2"/>
        </w:rPr>
        <w:t>. This rises to $26.18 per hour for a full</w:t>
      </w:r>
      <w:r w:rsidRPr="00E90DF1">
        <w:rPr>
          <w:spacing w:val="-2"/>
        </w:rPr>
        <w:noBreakHyphen/>
        <w:t xml:space="preserve">time certificate III qualified educator upon commencement and does not account for superannuation or any relevant casual loading </w:t>
      </w:r>
      <w:r w:rsidRPr="00E90DF1">
        <w:rPr>
          <w:rFonts w:cs="Arial"/>
          <w:spacing w:val="-2"/>
          <w:szCs w:val="24"/>
        </w:rPr>
        <w:t>(Fair Work Commission 2010)</w:t>
      </w:r>
      <w:r w:rsidRPr="00E90DF1">
        <w:rPr>
          <w:spacing w:val="-2"/>
        </w:rPr>
        <w:t xml:space="preserve">. </w:t>
      </w:r>
    </w:p>
    <w:p w14:paraId="44E8C601" w14:textId="77777777" w:rsidR="004E051C" w:rsidRDefault="004E051C">
      <w:pPr>
        <w:pStyle w:val="BodyText"/>
      </w:pPr>
      <w:r>
        <w:t>There is a clear case for raising the current subsidy rate to align more closely with the costs of employing an additional educator. If rates remain low, services will likely face a disincentive to enrol children with additional needs who require the assistance of an additional educator</w:t>
      </w:r>
      <w:r w:rsidRPr="00A80328">
        <w:t xml:space="preserve">. While it is challenging to set a rate that will suit all circumstances, the Commission considers the median wage for a certificate III educator to be appropriate. This should be indexed to the Wage Price Index. Services that pay additional educators wages that are below this rate should only receive a </w:t>
      </w:r>
      <w:r w:rsidRPr="000B439C">
        <w:t>subsidy of 100% of the actual</w:t>
      </w:r>
      <w:r w:rsidRPr="00A80328">
        <w:t xml:space="preserve"> wage paid.</w:t>
      </w:r>
      <w:r>
        <w:t xml:space="preserve"> </w:t>
      </w:r>
    </w:p>
    <w:p w14:paraId="3100E5BD" w14:textId="77777777" w:rsidR="004E051C" w:rsidRDefault="004E051C">
      <w:pPr>
        <w:pStyle w:val="BodyText"/>
      </w:pPr>
      <w:r>
        <w:rPr>
          <w:b/>
          <w:bCs/>
        </w:rPr>
        <w:t>T</w:t>
      </w:r>
      <w:r w:rsidRPr="00F852D5">
        <w:rPr>
          <w:b/>
          <w:bCs/>
        </w:rPr>
        <w:t>here are limits on the number of hours per week the additional educator subsidies can be claimed for</w:t>
      </w:r>
      <w:r>
        <w:t xml:space="preserve">. These limits vary depending on the service type and the number of children the additional educator is supporting, but for a single child in CBDC is 25 hours per week. In contrast, the average weekly hours for a child in </w:t>
      </w:r>
      <w:r w:rsidRPr="00DA1FCF">
        <w:t>CBDC was 32.</w:t>
      </w:r>
      <w:r w:rsidRPr="00995D0B">
        <w:t>4</w:t>
      </w:r>
      <w:r w:rsidRPr="00DA1FCF">
        <w:t xml:space="preserve"> hours in the </w:t>
      </w:r>
      <w:r w:rsidRPr="00995D0B">
        <w:t>December 2022</w:t>
      </w:r>
      <w:r w:rsidRPr="00DA1FCF">
        <w:t xml:space="preserve"> quarter</w:t>
      </w:r>
      <w:r>
        <w:t xml:space="preserve"> </w:t>
      </w:r>
      <w:r w:rsidRPr="00CE0B5A">
        <w:rPr>
          <w:rFonts w:ascii="Arial" w:hAnsi="Arial" w:cs="Arial"/>
          <w:szCs w:val="24"/>
        </w:rPr>
        <w:t>(DoE 2023a)</w:t>
      </w:r>
      <w:r>
        <w:t>.</w:t>
      </w:r>
    </w:p>
    <w:p w14:paraId="0A7A412E" w14:textId="77777777" w:rsidR="004E051C" w:rsidRDefault="004E051C">
      <w:pPr>
        <w:pStyle w:val="BodyText"/>
      </w:pPr>
      <w:r w:rsidRPr="00A616E5">
        <w:t xml:space="preserve">Inquiry participants noted </w:t>
      </w:r>
      <w:r>
        <w:t xml:space="preserve">that </w:t>
      </w:r>
      <w:r w:rsidRPr="00A616E5">
        <w:t xml:space="preserve">this means the subsidy is not always available for the child's full attended </w:t>
      </w:r>
      <w:r w:rsidRPr="002710F8">
        <w:t>hours (</w:t>
      </w:r>
      <w:proofErr w:type="spellStart"/>
      <w:r w:rsidRPr="002710F8">
        <w:t>Goodstart</w:t>
      </w:r>
      <w:proofErr w:type="spellEnd"/>
      <w:r w:rsidRPr="002F266F">
        <w:t xml:space="preserve"> Early Learning</w:t>
      </w:r>
      <w:r w:rsidRPr="002710F8">
        <w:t>, sub</w:t>
      </w:r>
      <w:r w:rsidRPr="00A616E5">
        <w:t>.</w:t>
      </w:r>
      <w:r>
        <w:t> </w:t>
      </w:r>
      <w:r w:rsidRPr="002A2782">
        <w:t xml:space="preserve">125, p. </w:t>
      </w:r>
      <w:r w:rsidRPr="00C40365">
        <w:t>60</w:t>
      </w:r>
      <w:r w:rsidRPr="002A2782">
        <w:t xml:space="preserve">; Early </w:t>
      </w:r>
      <w:r>
        <w:t>Learning Association Australia</w:t>
      </w:r>
      <w:r w:rsidRPr="00A616E5">
        <w:t>, sub.</w:t>
      </w:r>
      <w:r>
        <w:t> </w:t>
      </w:r>
      <w:r w:rsidRPr="00A616E5">
        <w:t>48, p. 8; The</w:t>
      </w:r>
      <w:r>
        <w:t> </w:t>
      </w:r>
      <w:r w:rsidRPr="00A616E5">
        <w:t>Y</w:t>
      </w:r>
      <w:r>
        <w:t> </w:t>
      </w:r>
      <w:r w:rsidRPr="00A616E5">
        <w:t>Australia, sub.</w:t>
      </w:r>
      <w:r>
        <w:t> </w:t>
      </w:r>
      <w:r w:rsidRPr="00A616E5">
        <w:t>127, p. 11, Australian Childcare Alliance, sub.</w:t>
      </w:r>
      <w:r>
        <w:t> </w:t>
      </w:r>
      <w:r w:rsidRPr="00A616E5">
        <w:t>150, p. 45).</w:t>
      </w:r>
      <w:r>
        <w:t xml:space="preserve"> One participant described </w:t>
      </w:r>
      <w:r>
        <w:lastRenderedPageBreak/>
        <w:t xml:space="preserve">how families can sometimes be told that their child can only attend for the hours the additional educator is available (Association for </w:t>
      </w:r>
      <w:r w:rsidRPr="00047C27">
        <w:t>Children with a Disability, sub. 78, p. 4).</w:t>
      </w:r>
      <w:r>
        <w:t xml:space="preserve"> </w:t>
      </w:r>
    </w:p>
    <w:p w14:paraId="0F233A0F" w14:textId="77777777" w:rsidR="004E051C" w:rsidRPr="00C94A18" w:rsidRDefault="004E051C">
      <w:pPr>
        <w:pStyle w:val="BodyText"/>
      </w:pPr>
      <w:r>
        <w:t xml:space="preserve">There is no clear reason why a child should only have access to an additional educator for some of their attended </w:t>
      </w:r>
      <w:r w:rsidRPr="00C94A18">
        <w:t>hours, as children’s needs for inclusion support do not change once the cap has been reached. These hours should be matched to a child’s enrolled hours to ensure services are not out</w:t>
      </w:r>
      <w:r>
        <w:noBreakHyphen/>
      </w:r>
      <w:r w:rsidRPr="00C94A18">
        <w:t>of</w:t>
      </w:r>
      <w:r>
        <w:noBreakHyphen/>
      </w:r>
      <w:r w:rsidRPr="00C94A18">
        <w:t xml:space="preserve">pocket where a child is unwell or otherwise absent with short notice. </w:t>
      </w:r>
    </w:p>
    <w:p w14:paraId="55771BB4" w14:textId="77777777" w:rsidR="004E051C" w:rsidRPr="00C40365" w:rsidRDefault="004E051C">
      <w:pPr>
        <w:pStyle w:val="BodyText"/>
        <w:rPr>
          <w:b/>
        </w:rPr>
      </w:pPr>
      <w:r w:rsidRPr="509A82A4">
        <w:rPr>
          <w:b/>
        </w:rPr>
        <w:t xml:space="preserve">Additional educators are required to meet NQF qualification requirements – meaning </w:t>
      </w:r>
      <w:r>
        <w:rPr>
          <w:b/>
        </w:rPr>
        <w:t xml:space="preserve">services cannot employ people with relevant experience and expertise in adjacent </w:t>
      </w:r>
      <w:proofErr w:type="gramStart"/>
      <w:r>
        <w:rPr>
          <w:b/>
        </w:rPr>
        <w:t>sectors, unless</w:t>
      </w:r>
      <w:proofErr w:type="gramEnd"/>
      <w:r>
        <w:rPr>
          <w:b/>
        </w:rPr>
        <w:t xml:space="preserve"> they also meet NQF requirements</w:t>
      </w:r>
      <w:r w:rsidRPr="509A82A4">
        <w:t xml:space="preserve">. The ISP review recommended </w:t>
      </w:r>
      <w:r>
        <w:t xml:space="preserve">considering </w:t>
      </w:r>
      <w:r w:rsidRPr="509A82A4">
        <w:t xml:space="preserve">expanding the subsidy to include other inclusion professionals in some circumstances, such as bicultural workers, community workers and other relevant </w:t>
      </w:r>
      <w:r w:rsidRPr="00513A0E">
        <w:t xml:space="preserve">professionals </w:t>
      </w:r>
      <w:r w:rsidRPr="00513A0E">
        <w:rPr>
          <w:rFonts w:ascii="Arial" w:hAnsi="Arial" w:cs="Arial"/>
          <w:szCs w:val="24"/>
        </w:rPr>
        <w:t>(Deloitte Access Economics 2023, p. 113)</w:t>
      </w:r>
      <w:r w:rsidRPr="509A82A4">
        <w:t xml:space="preserve">. This would require changes to the NQF. </w:t>
      </w:r>
    </w:p>
    <w:p w14:paraId="556EA274" w14:textId="77777777" w:rsidR="004E051C" w:rsidRDefault="004E051C">
      <w:pPr>
        <w:pStyle w:val="BodyText"/>
        <w:rPr>
          <w:rFonts w:cstheme="minorHAnsi"/>
        </w:rPr>
      </w:pPr>
      <w:r>
        <w:rPr>
          <w:rFonts w:cstheme="minorHAnsi"/>
        </w:rPr>
        <w:t>The Commission considers there is merit in expanding the range of professionals who can work as additional educators. Workers from surrounding human</w:t>
      </w:r>
      <w:r>
        <w:rPr>
          <w:rFonts w:cstheme="minorHAnsi"/>
        </w:rPr>
        <w:noBreakHyphen/>
        <w:t xml:space="preserve">services sector, such as those in disability, aged, or youth care, may have transferrable and specific skills that may be beneficial in the role of an additional educator. Expanding the criteria of an additional educator may benefit the immediate availability of an additional educator and benefit children who require additional support. To ensure children’s needs are met, a list of approved qualifications should be </w:t>
      </w:r>
      <w:proofErr w:type="gramStart"/>
      <w:r>
        <w:rPr>
          <w:rFonts w:cstheme="minorHAnsi"/>
        </w:rPr>
        <w:t>developed</w:t>
      </w:r>
      <w:proofErr w:type="gramEnd"/>
      <w:r>
        <w:rPr>
          <w:rFonts w:cstheme="minorHAnsi"/>
        </w:rPr>
        <w:t xml:space="preserve"> and Inclusion Agencies should be required to agree that employing another relevant inclusion professional would be appropriate before a service is approved for the subsidy. Additional educators should still be required to comply with working with children checks and any other relevant measures designed to ensure the safety of children. </w:t>
      </w:r>
    </w:p>
    <w:p w14:paraId="105B22B8" w14:textId="77777777" w:rsidR="004E051C" w:rsidRDefault="004E051C">
      <w:pPr>
        <w:pStyle w:val="BodyText"/>
      </w:pPr>
      <w:r>
        <w:t>The above issues likely contribute to the experiences of gatekeeping reported by some families and reduce the support available for children with additional needs. They should be addressed as a matter of priority.</w:t>
      </w:r>
    </w:p>
    <w:p w14:paraId="134FB9E0" w14:textId="23E46743" w:rsidR="004E051C" w:rsidRDefault="004E051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4E051C" w14:paraId="255BD037" w14:textId="77777777">
        <w:trPr>
          <w:trHeight w:val="765"/>
          <w:tblHeader/>
        </w:trPr>
        <w:tc>
          <w:tcPr>
            <w:tcW w:w="366" w:type="pct"/>
            <w:tcBorders>
              <w:bottom w:val="nil"/>
            </w:tcBorders>
            <w:tcMar>
              <w:bottom w:w="0" w:type="dxa"/>
            </w:tcMar>
            <w:vAlign w:val="center"/>
          </w:tcPr>
          <w:p w14:paraId="749A6F5C" w14:textId="77777777" w:rsidR="004E051C" w:rsidRDefault="004E051C">
            <w:pPr>
              <w:pStyle w:val="NoSpacing"/>
              <w:keepNext/>
              <w:keepLines/>
              <w:jc w:val="right"/>
            </w:pPr>
            <w:r w:rsidRPr="00A51374">
              <w:rPr>
                <w:noProof/>
              </w:rPr>
              <w:drawing>
                <wp:inline distT="0" distB="0" distL="0" distR="0" wp14:anchorId="24362169" wp14:editId="4BAC7BC1">
                  <wp:extent cx="288000" cy="288000"/>
                  <wp:effectExtent l="0" t="0" r="0" b="0"/>
                  <wp:docPr id="1884594822" name="Picture 1884594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3AF03F9" w14:textId="37EB47D3" w:rsidR="004E051C" w:rsidRPr="00212F4B" w:rsidRDefault="004E051C">
            <w:pPr>
              <w:pStyle w:val="TableHeading"/>
              <w:keepNext/>
              <w:keepLines/>
              <w:spacing w:before="120" w:after="120"/>
              <w:contextualSpacing/>
              <w:rPr>
                <w:sz w:val="20"/>
              </w:rPr>
            </w:pPr>
            <w:r w:rsidRPr="00212F4B">
              <w:rPr>
                <w:sz w:val="20"/>
              </w:rPr>
              <w:t xml:space="preserve">Draft finding </w:t>
            </w:r>
            <w:r w:rsidR="00DC7EEE">
              <w:rPr>
                <w:noProof/>
                <w:sz w:val="20"/>
              </w:rPr>
              <w:t>2</w:t>
            </w:r>
            <w:r w:rsidRPr="00C40365">
              <w:rPr>
                <w:sz w:val="20"/>
              </w:rPr>
              <w:t>.</w:t>
            </w:r>
            <w:r w:rsidR="00DC7EEE">
              <w:rPr>
                <w:noProof/>
                <w:sz w:val="20"/>
              </w:rPr>
              <w:t>7</w:t>
            </w:r>
          </w:p>
          <w:p w14:paraId="4C38427F" w14:textId="77777777" w:rsidR="004E051C" w:rsidRPr="00212F4B" w:rsidRDefault="004E051C">
            <w:pPr>
              <w:pStyle w:val="TableHeading"/>
              <w:keepNext/>
              <w:keepLines/>
              <w:spacing w:before="120" w:after="120"/>
              <w:contextualSpacing/>
            </w:pPr>
            <w:r w:rsidRPr="00212F4B">
              <w:rPr>
                <w:sz w:val="20"/>
              </w:rPr>
              <w:t>Subsidy design and rules for additional educators are restrictive</w:t>
            </w:r>
          </w:p>
        </w:tc>
      </w:tr>
      <w:tr w:rsidR="004E051C" w14:paraId="00272B25" w14:textId="77777777">
        <w:tc>
          <w:tcPr>
            <w:tcW w:w="5000" w:type="pct"/>
            <w:gridSpan w:val="2"/>
            <w:tcBorders>
              <w:top w:val="nil"/>
              <w:bottom w:val="single" w:sz="4" w:space="0" w:color="66BCDB" w:themeColor="text2"/>
            </w:tcBorders>
          </w:tcPr>
          <w:p w14:paraId="4E4F8BCC" w14:textId="77777777" w:rsidR="004E051C" w:rsidRPr="00212F4B" w:rsidRDefault="004E051C">
            <w:pPr>
              <w:pStyle w:val="BodyText"/>
              <w:keepLines/>
            </w:pPr>
            <w:r w:rsidRPr="00212F4B">
              <w:t>Eligible services can apply for a subsidy to hire an additional educator to support the inclusion of children with additional needs through the Inclusion Development Fund Subsidy for an Additional Educator or Immediate/Time</w:t>
            </w:r>
            <w:r>
              <w:noBreakHyphen/>
            </w:r>
            <w:r w:rsidRPr="00212F4B">
              <w:t>Limited support. But there are several shortcomings with the subsidy design:</w:t>
            </w:r>
          </w:p>
          <w:p w14:paraId="5CB2E554" w14:textId="77777777" w:rsidR="004E051C" w:rsidRPr="00212F4B" w:rsidRDefault="004E051C" w:rsidP="00E01114">
            <w:pPr>
              <w:pStyle w:val="ListBullet"/>
            </w:pPr>
            <w:r w:rsidRPr="00212F4B">
              <w:t xml:space="preserve">the subsidy rate has not increased since </w:t>
            </w:r>
            <w:r w:rsidRPr="00C40365">
              <w:t>2016</w:t>
            </w:r>
            <w:r w:rsidRPr="00212F4B">
              <w:t xml:space="preserve"> and does not cover the costs of employing an additional educator</w:t>
            </w:r>
          </w:p>
          <w:p w14:paraId="5614A7A6" w14:textId="41A5F8F6" w:rsidR="004E051C" w:rsidRPr="00E90DF1" w:rsidRDefault="004E051C" w:rsidP="00E01114">
            <w:pPr>
              <w:pStyle w:val="ListBullet"/>
              <w:rPr>
                <w:spacing w:val="-2"/>
              </w:rPr>
            </w:pPr>
            <w:r w:rsidRPr="00E90DF1">
              <w:rPr>
                <w:spacing w:val="-2"/>
              </w:rPr>
              <w:t>subsidies can only be claimed for a limited number of hours per week (for example, 25 hours in centre</w:t>
            </w:r>
            <w:r w:rsidRPr="00E90DF1">
              <w:rPr>
                <w:spacing w:val="-2"/>
              </w:rPr>
              <w:noBreakHyphen/>
              <w:t xml:space="preserve">based day care) irrespective of the number of hours that children who require support are enrolled </w:t>
            </w:r>
          </w:p>
          <w:p w14:paraId="717066DD" w14:textId="77777777" w:rsidR="004E051C" w:rsidRPr="00212F4B" w:rsidRDefault="004E051C" w:rsidP="00E01114">
            <w:pPr>
              <w:pStyle w:val="ListBullet"/>
            </w:pPr>
            <w:r w:rsidRPr="00212F4B">
              <w:t>additional educators must meet National Quality Framework qualification requirements – meaning services cannot employ people with relevant experience and expertise in adjacent sectors, such as allied health, unless they also meet National Quality Framework qualification requirements.</w:t>
            </w:r>
          </w:p>
        </w:tc>
      </w:tr>
    </w:tbl>
    <w:p w14:paraId="79AECB7B" w14:textId="59244F4D" w:rsidR="00E90DF1" w:rsidRDefault="00E90DF1" w:rsidP="00E90DF1">
      <w:pPr>
        <w:pStyle w:val="NoSpacing"/>
      </w:pPr>
      <w:r>
        <w:br w:type="page"/>
      </w:r>
    </w:p>
    <w:tbl>
      <w:tblPr>
        <w:tblStyle w:val="Texttable-Paleblue"/>
        <w:tblW w:w="5000" w:type="pct"/>
        <w:tblLook w:val="04A0" w:firstRow="1" w:lastRow="0" w:firstColumn="1" w:lastColumn="0" w:noHBand="0" w:noVBand="1"/>
      </w:tblPr>
      <w:tblGrid>
        <w:gridCol w:w="713"/>
        <w:gridCol w:w="8925"/>
      </w:tblGrid>
      <w:tr w:rsidR="004E051C" w:rsidRPr="00F20A94" w14:paraId="64817EC9" w14:textId="77777777">
        <w:trPr>
          <w:tblHeader/>
        </w:trPr>
        <w:tc>
          <w:tcPr>
            <w:tcW w:w="713" w:type="dxa"/>
            <w:shd w:val="clear" w:color="auto" w:fill="E7F6FD"/>
            <w:tcMar>
              <w:top w:w="0" w:type="dxa"/>
              <w:bottom w:w="0" w:type="dxa"/>
            </w:tcMar>
            <w:vAlign w:val="center"/>
          </w:tcPr>
          <w:p w14:paraId="41C131DC" w14:textId="77777777" w:rsidR="004E051C" w:rsidRPr="0062283E" w:rsidRDefault="004E051C">
            <w:pPr>
              <w:keepLines/>
              <w:jc w:val="center"/>
              <w:rPr>
                <w:rFonts w:cstheme="minorHAnsi"/>
              </w:rPr>
            </w:pPr>
            <w:r w:rsidRPr="00761090">
              <w:rPr>
                <w:rFonts w:cstheme="minorHAnsi"/>
                <w:noProof/>
              </w:rPr>
              <w:lastRenderedPageBreak/>
              <w:drawing>
                <wp:inline distT="0" distB="0" distL="0" distR="0" wp14:anchorId="33148750" wp14:editId="3597C6A1">
                  <wp:extent cx="288000" cy="288000"/>
                  <wp:effectExtent l="0" t="0" r="0" b="0"/>
                  <wp:docPr id="1959225375" name="Picture 1959225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BA296AC" w14:textId="11D30DDD" w:rsidR="004E051C" w:rsidRPr="0062283E" w:rsidRDefault="004E051C">
            <w:pPr>
              <w:pStyle w:val="TableHeading"/>
              <w:keepLines/>
              <w:spacing w:before="120" w:after="120"/>
              <w:contextualSpacing/>
              <w:rPr>
                <w:rFonts w:cstheme="minorHAnsi"/>
                <w:sz w:val="20"/>
              </w:rPr>
            </w:pPr>
            <w:r>
              <w:rPr>
                <w:rFonts w:cstheme="minorHAnsi"/>
                <w:sz w:val="20"/>
              </w:rPr>
              <w:t>Draft r</w:t>
            </w:r>
            <w:r w:rsidRPr="0062283E">
              <w:rPr>
                <w:rFonts w:cstheme="minorHAnsi"/>
                <w:sz w:val="20"/>
              </w:rPr>
              <w:t xml:space="preserve">ecommendation </w:t>
            </w:r>
            <w:r w:rsidR="00DC7EEE">
              <w:rPr>
                <w:noProof/>
                <w:sz w:val="20"/>
              </w:rPr>
              <w:t>2</w:t>
            </w:r>
            <w:r w:rsidRPr="00715040">
              <w:rPr>
                <w:sz w:val="20"/>
              </w:rPr>
              <w:t>.</w:t>
            </w:r>
            <w:r w:rsidR="00DC7EEE">
              <w:rPr>
                <w:noProof/>
                <w:sz w:val="20"/>
              </w:rPr>
              <w:t>4</w:t>
            </w:r>
          </w:p>
          <w:p w14:paraId="177AFE7B" w14:textId="1FFA4585" w:rsidR="004E051C" w:rsidRPr="0062283E" w:rsidRDefault="004E051C">
            <w:pPr>
              <w:pStyle w:val="TableHeading"/>
              <w:keepLines/>
              <w:spacing w:before="120" w:after="120"/>
              <w:contextualSpacing/>
              <w:rPr>
                <w:rFonts w:cstheme="minorHAnsi"/>
                <w:sz w:val="20"/>
              </w:rPr>
            </w:pPr>
            <w:r>
              <w:rPr>
                <w:rFonts w:cstheme="minorHAnsi"/>
                <w:sz w:val="20"/>
              </w:rPr>
              <w:t>Review and amend additional educator subsidies</w:t>
            </w:r>
          </w:p>
        </w:tc>
      </w:tr>
      <w:tr w:rsidR="00E90DF1" w:rsidRPr="00E90DF1" w14:paraId="0F286CB6" w14:textId="77777777">
        <w:tc>
          <w:tcPr>
            <w:tcW w:w="9638" w:type="dxa"/>
            <w:gridSpan w:val="2"/>
            <w:shd w:val="clear" w:color="auto" w:fill="E7F6FD"/>
            <w:tcMar>
              <w:top w:w="0" w:type="dxa"/>
            </w:tcMar>
          </w:tcPr>
          <w:p w14:paraId="56E9D782" w14:textId="4D20154D" w:rsidR="004E051C" w:rsidRPr="00E90DF1" w:rsidRDefault="004E051C">
            <w:pPr>
              <w:pStyle w:val="BodyText"/>
              <w:keepLines/>
              <w:rPr>
                <w:rFonts w:cstheme="minorHAnsi"/>
              </w:rPr>
            </w:pPr>
            <w:r w:rsidRPr="00E90DF1">
              <w:rPr>
                <w:rFonts w:cstheme="minorHAnsi"/>
              </w:rPr>
              <w:t>The Australian Government should amend the Inclusion Development Fund Subsidy for an Additional Educator and Immediate/Time</w:t>
            </w:r>
            <w:r w:rsidRPr="00E90DF1">
              <w:rPr>
                <w:rFonts w:cstheme="minorHAnsi"/>
              </w:rPr>
              <w:noBreakHyphen/>
              <w:t>Limited support, including:</w:t>
            </w:r>
          </w:p>
          <w:p w14:paraId="63FD850B" w14:textId="77777777" w:rsidR="004E051C" w:rsidRPr="00E90DF1" w:rsidRDefault="004E051C" w:rsidP="00E01114">
            <w:pPr>
              <w:pStyle w:val="ListBullet"/>
              <w:rPr>
                <w:rFonts w:cstheme="minorHAnsi"/>
              </w:rPr>
            </w:pPr>
            <w:r w:rsidRPr="00E90DF1">
              <w:t xml:space="preserve">increasing the current hourly subsidy rate so that it subsidies 100% of an additional educator’s wage, up to the median hourly wage of a certificate III qualified educator and ensuring it is indexed it to the Wage Price Index </w:t>
            </w:r>
          </w:p>
          <w:p w14:paraId="0FE5E9A4" w14:textId="77777777" w:rsidR="004E051C" w:rsidRPr="00E90DF1" w:rsidRDefault="004E051C" w:rsidP="00E01114">
            <w:pPr>
              <w:pStyle w:val="ListBullet"/>
              <w:rPr>
                <w:rFonts w:cstheme="minorHAnsi"/>
              </w:rPr>
            </w:pPr>
            <w:r w:rsidRPr="00E90DF1">
              <w:t>removing limits on the weekly hours the subsidies can be approved for and ensuring they align with the child’s enrolled hours</w:t>
            </w:r>
          </w:p>
          <w:p w14:paraId="0240E89C" w14:textId="77777777" w:rsidR="004E051C" w:rsidRPr="00E90DF1" w:rsidRDefault="004E051C" w:rsidP="00E01114">
            <w:pPr>
              <w:pStyle w:val="ListBullet"/>
              <w:rPr>
                <w:rFonts w:cstheme="minorHAnsi"/>
              </w:rPr>
            </w:pPr>
            <w:r w:rsidRPr="00E90DF1">
              <w:t>allowing other human</w:t>
            </w:r>
            <w:r w:rsidRPr="00E90DF1">
              <w:noBreakHyphen/>
              <w:t xml:space="preserve">services qualified staff and inclusion professionals, such as allied health or other relevant professionals to be employed as an additional educator, where the Inclusion Agency agrees this would be appropriate. </w:t>
            </w:r>
          </w:p>
        </w:tc>
      </w:tr>
      <w:tr w:rsidR="004E051C" w:rsidRPr="00F20A94" w14:paraId="39B0758D" w14:textId="77777777">
        <w:tc>
          <w:tcPr>
            <w:tcW w:w="9638" w:type="dxa"/>
            <w:gridSpan w:val="2"/>
            <w:shd w:val="clear" w:color="auto" w:fill="auto"/>
            <w:tcMar>
              <w:top w:w="0" w:type="dxa"/>
              <w:bottom w:w="0" w:type="dxa"/>
            </w:tcMar>
          </w:tcPr>
          <w:p w14:paraId="1CDF32E6" w14:textId="0967D7ED" w:rsidR="004E051C" w:rsidRPr="0062283E" w:rsidRDefault="004E051C">
            <w:pPr>
              <w:pStyle w:val="NoSpacing"/>
              <w:spacing w:line="200" w:lineRule="exact"/>
              <w:rPr>
                <w:rFonts w:cstheme="minorHAnsi"/>
              </w:rPr>
            </w:pPr>
          </w:p>
        </w:tc>
      </w:tr>
    </w:tbl>
    <w:p w14:paraId="419A6D73" w14:textId="77777777" w:rsidR="004E051C" w:rsidRDefault="004E051C">
      <w:pPr>
        <w:pStyle w:val="Heading5"/>
      </w:pPr>
      <w:r>
        <w:t xml:space="preserve">Services find applying for </w:t>
      </w:r>
      <w:r w:rsidRPr="002952B8">
        <w:t>funding unduly burdensome</w:t>
      </w:r>
      <w:r>
        <w:t xml:space="preserve"> </w:t>
      </w:r>
    </w:p>
    <w:p w14:paraId="5C65BCB4" w14:textId="77777777" w:rsidR="004E051C" w:rsidRPr="00AA7F60" w:rsidRDefault="004E051C">
      <w:pPr>
        <w:pStyle w:val="BodyText"/>
        <w:rPr>
          <w:spacing w:val="-4"/>
        </w:rPr>
      </w:pPr>
      <w:r w:rsidRPr="00AA7F60">
        <w:rPr>
          <w:spacing w:val="-4"/>
        </w:rPr>
        <w:t>To access funding under the IDF, services are required to complete an application and a Strategic Inclusion Plan (SIP), both of which are managed through the Inclusion Support Portal. For the IDF Subsidy for an Additional Educator and the FDC Top Up, documentary evidence is also required, which must be sourced from families.</w:t>
      </w:r>
    </w:p>
    <w:p w14:paraId="46051CC2" w14:textId="77777777" w:rsidR="004E051C" w:rsidRDefault="004E051C">
      <w:pPr>
        <w:pStyle w:val="BodyText"/>
      </w:pPr>
      <w:r w:rsidRPr="00844AB1">
        <w:t>Inquiry</w:t>
      </w:r>
      <w:r>
        <w:t xml:space="preserve"> </w:t>
      </w:r>
      <w:r w:rsidRPr="00844AB1">
        <w:t>participants raised a range of concerns about the administrative burden associated with applying for funding under</w:t>
      </w:r>
      <w:r>
        <w:t xml:space="preserve"> the</w:t>
      </w:r>
      <w:r w:rsidRPr="00844AB1">
        <w:t xml:space="preserve"> ISP and delays in receiving support. These included:</w:t>
      </w:r>
    </w:p>
    <w:p w14:paraId="4D2D105F" w14:textId="77777777" w:rsidR="004E051C" w:rsidRPr="00DB5E43" w:rsidRDefault="004E051C" w:rsidP="00E01114">
      <w:pPr>
        <w:pStyle w:val="ListBullet"/>
      </w:pPr>
      <w:r w:rsidRPr="00DB5E43">
        <w:t>difficulty using the Inclusion Support Portal,</w:t>
      </w:r>
      <w:r w:rsidRPr="00D10F0A">
        <w:rPr>
          <w:rStyle w:val="FootnoteReference"/>
        </w:rPr>
        <w:footnoteReference w:id="18"/>
      </w:r>
      <w:r w:rsidRPr="00DB5E43">
        <w:t xml:space="preserve"> which one participant noted dissuades some services from submitting applications (Australian Childcare Alliance, sub.</w:t>
      </w:r>
      <w:r>
        <w:t> </w:t>
      </w:r>
      <w:r w:rsidRPr="00DB5E43">
        <w:t xml:space="preserve">150, p. </w:t>
      </w:r>
      <w:r>
        <w:t>45</w:t>
      </w:r>
      <w:r w:rsidRPr="00DB5E43">
        <w:t>)</w:t>
      </w:r>
    </w:p>
    <w:p w14:paraId="54D9FACE" w14:textId="77777777" w:rsidR="004E051C" w:rsidRPr="00DB5E43" w:rsidRDefault="004E051C" w:rsidP="00E01114">
      <w:pPr>
        <w:pStyle w:val="ListBullet"/>
      </w:pPr>
      <w:r w:rsidRPr="00DB5E43">
        <w:t>concerns about the burden or complexity of the application process (Australian Childcare Alliance, sub. 150, pp. 45–47; Outside School Hours Council of Australia, sub.</w:t>
      </w:r>
      <w:r>
        <w:t> </w:t>
      </w:r>
      <w:r w:rsidRPr="00DB5E43">
        <w:t xml:space="preserve">82, p. 3; National Outside School Hours </w:t>
      </w:r>
      <w:r>
        <w:t xml:space="preserve">Services </w:t>
      </w:r>
      <w:r w:rsidRPr="00DB5E43">
        <w:t>Alliance, sub.</w:t>
      </w:r>
      <w:r>
        <w:t> </w:t>
      </w:r>
      <w:r w:rsidRPr="00DB5E43">
        <w:t xml:space="preserve">103, p. 4; </w:t>
      </w:r>
      <w:r w:rsidRPr="006C05A3">
        <w:t>Sandgate Kids Early Education, sub</w:t>
      </w:r>
      <w:r w:rsidRPr="00DB5E43">
        <w:t>.</w:t>
      </w:r>
      <w:r>
        <w:t> </w:t>
      </w:r>
      <w:r w:rsidRPr="00DB5E43">
        <w:t>51, p. 2)</w:t>
      </w:r>
    </w:p>
    <w:p w14:paraId="49779910" w14:textId="77777777" w:rsidR="004E051C" w:rsidRDefault="004E051C" w:rsidP="00E01114">
      <w:pPr>
        <w:pStyle w:val="ListBullet"/>
      </w:pPr>
      <w:r>
        <w:t>for the IDF Subsidy for an Additional Educator, requirements to review the SIP and seek reapproval when there are changes to the care environment, such as a child changing room</w:t>
      </w:r>
      <w:r w:rsidRPr="00EB264C">
        <w:t>s (</w:t>
      </w:r>
      <w:proofErr w:type="spellStart"/>
      <w:r w:rsidRPr="00EB264C">
        <w:t>Goodstart</w:t>
      </w:r>
      <w:proofErr w:type="spellEnd"/>
      <w:r>
        <w:t xml:space="preserve"> Early Learning, sub. 125, p. 58; Australian Childcare Alliance, sub. 150, p. 74)</w:t>
      </w:r>
    </w:p>
    <w:p w14:paraId="0C37C7B1" w14:textId="77777777" w:rsidR="004E051C" w:rsidRPr="00DB5E43" w:rsidRDefault="004E051C" w:rsidP="00E01114">
      <w:pPr>
        <w:pStyle w:val="ListBullet"/>
      </w:pPr>
      <w:r w:rsidRPr="00DB5E43">
        <w:t>the timeliness of support, with one participant noting services can wait months for applications to be approved (Early Learning Association Australia, sub.</w:t>
      </w:r>
      <w:r>
        <w:t> </w:t>
      </w:r>
      <w:r w:rsidRPr="00DB5E43">
        <w:t>48, p. 8; The Parenthood, sub.</w:t>
      </w:r>
      <w:r>
        <w:t> 122</w:t>
      </w:r>
      <w:r w:rsidRPr="00DB5E43">
        <w:t xml:space="preserve">, p. </w:t>
      </w:r>
      <w:r>
        <w:t>6</w:t>
      </w:r>
      <w:r w:rsidRPr="00DB5E43">
        <w:t>).</w:t>
      </w:r>
    </w:p>
    <w:p w14:paraId="52F492B6" w14:textId="77777777" w:rsidR="004E051C" w:rsidRPr="00D63995" w:rsidRDefault="004E051C">
      <w:pPr>
        <w:pStyle w:val="BodyText"/>
      </w:pPr>
      <w:r>
        <w:t xml:space="preserve">These views broadly align with findings from the ISP review, which noted services reported delays in receiving support and found the application process for additional </w:t>
      </w:r>
      <w:r w:rsidRPr="00D63995">
        <w:t xml:space="preserve">educators burdensome </w:t>
      </w:r>
      <w:r w:rsidRPr="002800D7">
        <w:rPr>
          <w:rFonts w:ascii="Arial" w:hAnsi="Arial" w:cs="Arial"/>
          <w:szCs w:val="24"/>
        </w:rPr>
        <w:t>(Deloitte Access Economics 2023, pp. xvii; 78–79; 111)</w:t>
      </w:r>
      <w:r w:rsidRPr="00D63995">
        <w:t xml:space="preserve">. The review also highlighted nearly all stakeholders consulted identified the Inclusion Support Portal as one of the largest barriers to accessing the program </w:t>
      </w:r>
      <w:r w:rsidRPr="00D63995">
        <w:rPr>
          <w:rFonts w:ascii="Arial" w:hAnsi="Arial" w:cs="Arial"/>
          <w:szCs w:val="24"/>
        </w:rPr>
        <w:t>(Deloitte Access Economics 2023, p. 98)</w:t>
      </w:r>
      <w:r w:rsidRPr="00D63995">
        <w:t xml:space="preserve">. </w:t>
      </w:r>
    </w:p>
    <w:p w14:paraId="0BAD3FEA" w14:textId="77777777" w:rsidR="004E051C" w:rsidRPr="00363D39" w:rsidRDefault="004E051C">
      <w:pPr>
        <w:pStyle w:val="BodyText"/>
      </w:pPr>
      <w:r w:rsidRPr="006761BC">
        <w:t xml:space="preserve">Additional resourcing for the ISP may enable improvements in turnaround times. To further streamline application processes, the </w:t>
      </w:r>
      <w:r>
        <w:t xml:space="preserve">Australian Government </w:t>
      </w:r>
      <w:r w:rsidRPr="006761BC">
        <w:t xml:space="preserve">Department of Education should consider relaxing requirements for reapprovals when there are changes to the care environment. </w:t>
      </w:r>
      <w:r w:rsidRPr="00D46634">
        <w:t xml:space="preserve">The Commission </w:t>
      </w:r>
      <w:r w:rsidRPr="00757A22">
        <w:t>notes the Department of Education and Services</w:t>
      </w:r>
      <w:r>
        <w:t xml:space="preserve"> Australia are working on enhancements to the Inclusion Support (IS) Portal, delivered over a series of releases to June 2024 (DoE, personal communication, 31 October 2023). </w:t>
      </w:r>
      <w:r>
        <w:lastRenderedPageBreak/>
        <w:t>The department should continue to monitor the impact of these changes and whether further adjustments are necessary.</w:t>
      </w:r>
    </w:p>
    <w:p w14:paraId="1079A7C9" w14:textId="77777777" w:rsidR="004E051C" w:rsidRDefault="004E051C">
      <w:pPr>
        <w:pStyle w:val="NoSpacing"/>
      </w:pPr>
      <w:r>
        <w:t>Given the potential disincentives to services applying for funding, there is a case for reviewing application requirements under the ISP.</w:t>
      </w:r>
    </w:p>
    <w:p w14:paraId="26269134" w14:textId="19A35C9C" w:rsidR="004E051C" w:rsidRPr="00BC74BD" w:rsidRDefault="004E051C">
      <w:pPr>
        <w:pStyle w:val="NoSpacing"/>
        <w:keepNext/>
      </w:pPr>
    </w:p>
    <w:tbl>
      <w:tblPr>
        <w:tblStyle w:val="Texttable-Paleblue"/>
        <w:tblW w:w="5000" w:type="pct"/>
        <w:tblLook w:val="04A0" w:firstRow="1" w:lastRow="0" w:firstColumn="1" w:lastColumn="0" w:noHBand="0" w:noVBand="1"/>
      </w:tblPr>
      <w:tblGrid>
        <w:gridCol w:w="713"/>
        <w:gridCol w:w="8925"/>
      </w:tblGrid>
      <w:tr w:rsidR="004E051C" w:rsidRPr="00F20A94" w14:paraId="68DC1E6D" w14:textId="77777777">
        <w:trPr>
          <w:tblHeader/>
        </w:trPr>
        <w:tc>
          <w:tcPr>
            <w:tcW w:w="713" w:type="dxa"/>
            <w:shd w:val="clear" w:color="auto" w:fill="E7F6FD"/>
            <w:tcMar>
              <w:top w:w="0" w:type="dxa"/>
              <w:bottom w:w="0" w:type="dxa"/>
            </w:tcMar>
            <w:vAlign w:val="center"/>
          </w:tcPr>
          <w:p w14:paraId="309D40CC" w14:textId="77777777" w:rsidR="004E051C" w:rsidRPr="0062283E" w:rsidRDefault="004E051C">
            <w:pPr>
              <w:keepLines/>
              <w:jc w:val="center"/>
              <w:rPr>
                <w:rFonts w:cstheme="minorHAnsi"/>
              </w:rPr>
            </w:pPr>
            <w:r w:rsidRPr="00761090">
              <w:rPr>
                <w:rFonts w:cstheme="minorHAnsi"/>
                <w:noProof/>
              </w:rPr>
              <w:drawing>
                <wp:inline distT="0" distB="0" distL="0" distR="0" wp14:anchorId="1AABDBAB" wp14:editId="4E16E60B">
                  <wp:extent cx="288000" cy="288000"/>
                  <wp:effectExtent l="0" t="0" r="0" b="0"/>
                  <wp:docPr id="833351785" name="Picture 833351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BCBA1D6" w14:textId="36633B79" w:rsidR="004E051C" w:rsidRPr="0062283E" w:rsidRDefault="004E051C">
            <w:pPr>
              <w:pStyle w:val="TableHeading"/>
              <w:keepLines/>
              <w:spacing w:before="120" w:after="120"/>
              <w:contextualSpacing/>
              <w:rPr>
                <w:rFonts w:cstheme="minorHAnsi"/>
                <w:sz w:val="20"/>
              </w:rPr>
            </w:pPr>
            <w:r>
              <w:rPr>
                <w:rFonts w:cstheme="minorHAnsi"/>
                <w:sz w:val="20"/>
              </w:rPr>
              <w:t>Draft r</w:t>
            </w:r>
            <w:r w:rsidRPr="0062283E">
              <w:rPr>
                <w:rFonts w:cstheme="minorHAnsi"/>
                <w:sz w:val="20"/>
              </w:rPr>
              <w:t xml:space="preserve">ecommendation </w:t>
            </w:r>
            <w:r w:rsidR="00DC7EEE">
              <w:rPr>
                <w:noProof/>
                <w:sz w:val="20"/>
              </w:rPr>
              <w:t>2</w:t>
            </w:r>
            <w:r w:rsidRPr="00715040">
              <w:rPr>
                <w:sz w:val="20"/>
              </w:rPr>
              <w:t>.</w:t>
            </w:r>
            <w:r w:rsidR="00DC7EEE">
              <w:rPr>
                <w:noProof/>
                <w:sz w:val="20"/>
              </w:rPr>
              <w:t>5</w:t>
            </w:r>
          </w:p>
          <w:p w14:paraId="6E0C4C68" w14:textId="77777777" w:rsidR="004E051C" w:rsidRPr="0062283E" w:rsidRDefault="004E051C">
            <w:pPr>
              <w:pStyle w:val="TableHeading"/>
              <w:keepLines/>
              <w:spacing w:before="120" w:after="120"/>
              <w:contextualSpacing/>
              <w:rPr>
                <w:rFonts w:cstheme="minorHAnsi"/>
                <w:sz w:val="20"/>
              </w:rPr>
            </w:pPr>
            <w:r w:rsidRPr="002B7F8B">
              <w:rPr>
                <w:rFonts w:cstheme="minorHAnsi"/>
                <w:sz w:val="20"/>
              </w:rPr>
              <w:t>Reduce administrative burden of Inclusion Support Program applications</w:t>
            </w:r>
          </w:p>
        </w:tc>
      </w:tr>
      <w:tr w:rsidR="004E051C" w:rsidRPr="00F20A94" w14:paraId="04DEA204" w14:textId="77777777">
        <w:tc>
          <w:tcPr>
            <w:tcW w:w="9638" w:type="dxa"/>
            <w:gridSpan w:val="2"/>
            <w:shd w:val="clear" w:color="auto" w:fill="E7F6FD"/>
            <w:tcMar>
              <w:top w:w="0" w:type="dxa"/>
            </w:tcMar>
          </w:tcPr>
          <w:p w14:paraId="5F88241F" w14:textId="77777777" w:rsidR="004E051C" w:rsidRPr="00AA7F60" w:rsidRDefault="004E051C">
            <w:pPr>
              <w:pStyle w:val="BodyText"/>
              <w:rPr>
                <w:spacing w:val="-2"/>
              </w:rPr>
            </w:pPr>
            <w:r w:rsidRPr="00AA7F60">
              <w:rPr>
                <w:spacing w:val="-2"/>
              </w:rPr>
              <w:t>The Australian Government should assess the application process required for the Inclusion Development Fund with a view to reducing the administrative burden on services. This should include considering</w:t>
            </w:r>
            <w:r w:rsidRPr="00AA7F60">
              <w:rPr>
                <w:rFonts w:eastAsia="Arial" w:cs="Arial"/>
                <w:spacing w:val="-2"/>
              </w:rPr>
              <w:t xml:space="preserve"> whether requirements to seek reapproval when there are changes to the care environment could be relaxed and if further upgrades to the Inclusion Support Portal are required beyond those currently being implemented.</w:t>
            </w:r>
          </w:p>
        </w:tc>
      </w:tr>
    </w:tbl>
    <w:p w14:paraId="76528E87" w14:textId="0CEE04DC" w:rsidR="004E051C" w:rsidRDefault="004E051C">
      <w:pPr>
        <w:pStyle w:val="Heading5"/>
      </w:pPr>
      <w:r w:rsidRPr="00490065">
        <w:t xml:space="preserve">Support for </w:t>
      </w:r>
      <w:r w:rsidR="00ED2E36">
        <w:t>f</w:t>
      </w:r>
      <w:r w:rsidRPr="00490065">
        <w:t xml:space="preserve">amily </w:t>
      </w:r>
      <w:r w:rsidR="00ED2E36">
        <w:t>d</w:t>
      </w:r>
      <w:r w:rsidR="00ED2E36" w:rsidRPr="00490065">
        <w:t xml:space="preserve">ay </w:t>
      </w:r>
      <w:r w:rsidR="00ED2E36">
        <w:t>c</w:t>
      </w:r>
      <w:r w:rsidR="00ED2E36" w:rsidRPr="00490065">
        <w:t xml:space="preserve">are </w:t>
      </w:r>
      <w:r w:rsidRPr="00490065">
        <w:t>services</w:t>
      </w:r>
    </w:p>
    <w:p w14:paraId="5832C375" w14:textId="77777777" w:rsidR="004E051C" w:rsidRDefault="004E051C">
      <w:pPr>
        <w:pStyle w:val="BodyText"/>
      </w:pPr>
      <w:r w:rsidRPr="003F0F0A">
        <w:t xml:space="preserve">The IDF offers </w:t>
      </w:r>
      <w:r>
        <w:t>‘</w:t>
      </w:r>
      <w:r w:rsidRPr="003F0F0A">
        <w:t>top</w:t>
      </w:r>
      <w:r>
        <w:noBreakHyphen/>
      </w:r>
      <w:r w:rsidRPr="003F0F0A">
        <w:t>up</w:t>
      </w:r>
      <w:r>
        <w:t>’</w:t>
      </w:r>
      <w:r w:rsidRPr="003F0F0A">
        <w:t xml:space="preserve"> payments to FDC</w:t>
      </w:r>
      <w:r>
        <w:t xml:space="preserve"> services,</w:t>
      </w:r>
      <w:r w:rsidRPr="003F0F0A">
        <w:t xml:space="preserve"> </w:t>
      </w:r>
      <w:r>
        <w:t>where</w:t>
      </w:r>
      <w:r w:rsidRPr="003F0F0A">
        <w:t xml:space="preserve"> enrol</w:t>
      </w:r>
      <w:r>
        <w:t>ling</w:t>
      </w:r>
      <w:r w:rsidRPr="003F0F0A">
        <w:t xml:space="preserve"> children with high support needs</w:t>
      </w:r>
      <w:r>
        <w:t xml:space="preserve"> means a service is unable to enrol the maximum number of children permitted under the NQF </w:t>
      </w:r>
      <w:r w:rsidRPr="00DE0E4E">
        <w:rPr>
          <w:rFonts w:ascii="Arial" w:hAnsi="Arial" w:cs="Arial"/>
          <w:szCs w:val="24"/>
        </w:rPr>
        <w:t>(DoE 2023b, p. 29)</w:t>
      </w:r>
      <w:r w:rsidRPr="003F0F0A">
        <w:t>.</w:t>
      </w:r>
    </w:p>
    <w:p w14:paraId="2E81476E" w14:textId="77777777" w:rsidR="004E051C" w:rsidRPr="00C527A0" w:rsidRDefault="004E051C">
      <w:pPr>
        <w:pStyle w:val="BodyText"/>
      </w:pPr>
      <w:r>
        <w:t>However, usage is low</w:t>
      </w:r>
      <w:r w:rsidRPr="003F0F0A">
        <w:t xml:space="preserve">, with </w:t>
      </w:r>
      <w:r>
        <w:t xml:space="preserve">the 2021 AIFS evaluation of the ISP noting </w:t>
      </w:r>
      <w:r w:rsidRPr="003F0F0A">
        <w:t>only 25</w:t>
      </w:r>
      <w:r>
        <w:t>–</w:t>
      </w:r>
      <w:r w:rsidRPr="003F0F0A">
        <w:t xml:space="preserve">35 subsidies </w:t>
      </w:r>
      <w:r>
        <w:t>were provided</w:t>
      </w:r>
      <w:r w:rsidRPr="003F0F0A">
        <w:t xml:space="preserve"> annually</w:t>
      </w:r>
      <w:r>
        <w:t xml:space="preserve"> </w:t>
      </w:r>
      <w:r w:rsidRPr="00D36085">
        <w:rPr>
          <w:rFonts w:ascii="Arial" w:hAnsi="Arial" w:cs="Arial"/>
          <w:szCs w:val="24"/>
        </w:rPr>
        <w:t>(Bray et al. 2021, p. 101)</w:t>
      </w:r>
      <w:r w:rsidRPr="003F0F0A">
        <w:t xml:space="preserve">. </w:t>
      </w:r>
      <w:r>
        <w:rPr>
          <w:rFonts w:cstheme="minorHAnsi"/>
        </w:rPr>
        <w:t>Case studies and survey responses from the evaluation highlighted</w:t>
      </w:r>
      <w:r w:rsidRPr="00F14782">
        <w:rPr>
          <w:rFonts w:cstheme="minorHAnsi"/>
        </w:rPr>
        <w:t xml:space="preserve"> </w:t>
      </w:r>
      <w:r>
        <w:rPr>
          <w:rFonts w:cstheme="minorHAnsi"/>
        </w:rPr>
        <w:t>the FDC Top Up</w:t>
      </w:r>
      <w:r w:rsidRPr="00F14782">
        <w:rPr>
          <w:rFonts w:cstheme="minorHAnsi"/>
        </w:rPr>
        <w:t xml:space="preserve"> often falls short of providing the resources needed to care for children with high support need</w:t>
      </w:r>
      <w:r>
        <w:rPr>
          <w:rFonts w:cstheme="minorHAnsi"/>
        </w:rPr>
        <w:t xml:space="preserve">s, imposes </w:t>
      </w:r>
      <w:r w:rsidRPr="00F14782">
        <w:rPr>
          <w:rFonts w:cstheme="minorHAnsi"/>
        </w:rPr>
        <w:t xml:space="preserve">administrative </w:t>
      </w:r>
      <w:r>
        <w:rPr>
          <w:rFonts w:cstheme="minorHAnsi"/>
        </w:rPr>
        <w:t xml:space="preserve">burdens on services and may require asking existing children to leave </w:t>
      </w:r>
      <w:r w:rsidRPr="00D36085">
        <w:rPr>
          <w:rFonts w:ascii="Arial" w:hAnsi="Arial" w:cs="Arial"/>
          <w:szCs w:val="24"/>
        </w:rPr>
        <w:t>(Bray et al. 2021, p. 101)</w:t>
      </w:r>
      <w:r>
        <w:rPr>
          <w:rFonts w:cstheme="minorHAnsi"/>
        </w:rPr>
        <w:t>.</w:t>
      </w:r>
    </w:p>
    <w:p w14:paraId="309E1E54" w14:textId="77777777" w:rsidR="004E051C" w:rsidRPr="00DA781E" w:rsidRDefault="004E051C">
      <w:pPr>
        <w:pStyle w:val="BodyText"/>
        <w:rPr>
          <w:rFonts w:cstheme="minorHAnsi"/>
        </w:rPr>
      </w:pPr>
      <w:r>
        <w:rPr>
          <w:rFonts w:cstheme="minorHAnsi"/>
        </w:rPr>
        <w:t>This aligns with the findings of the ISP review, which expressed concerns about the adequacy of the top</w:t>
      </w:r>
      <w:r>
        <w:rPr>
          <w:rFonts w:cstheme="minorHAnsi"/>
        </w:rPr>
        <w:noBreakHyphen/>
        <w:t xml:space="preserve">up and the </w:t>
      </w:r>
      <w:r w:rsidRPr="00DA781E">
        <w:rPr>
          <w:rFonts w:cstheme="minorHAnsi"/>
        </w:rPr>
        <w:t>training and resources available to FDC educators. It noted:</w:t>
      </w:r>
    </w:p>
    <w:p w14:paraId="3CFE4E6A" w14:textId="77777777" w:rsidR="004E051C" w:rsidRPr="00C40365" w:rsidRDefault="004E051C">
      <w:pPr>
        <w:pStyle w:val="Quote"/>
      </w:pPr>
      <w:r w:rsidRPr="00C40365">
        <w:t>several educators also raised concerns around the level of confidence and capability of the current FDC workforce, noting that inadvertent gatekeeping of children from FDC services may often be a result of fear of being unable to meet the needs of a child in a single</w:t>
      </w:r>
      <w:r w:rsidRPr="00C40365">
        <w:noBreakHyphen/>
        <w:t>educator residence. (Deloitte Access Economics 2023, p. 109)</w:t>
      </w:r>
    </w:p>
    <w:p w14:paraId="03130071" w14:textId="77777777" w:rsidR="004E051C" w:rsidRPr="00DA781E" w:rsidRDefault="004E051C">
      <w:pPr>
        <w:pStyle w:val="BodyText"/>
        <w:rPr>
          <w:rFonts w:cstheme="minorHAnsi"/>
        </w:rPr>
      </w:pPr>
      <w:r w:rsidRPr="00DA781E">
        <w:rPr>
          <w:rFonts w:cstheme="minorHAnsi"/>
        </w:rPr>
        <w:t>To address these concerns, the ISP review recommended considering alternative funding arrangements and resources to increase FDC educators’ capacity and capability</w:t>
      </w:r>
      <w:r w:rsidRPr="00C40365">
        <w:t xml:space="preserve"> </w:t>
      </w:r>
      <w:r w:rsidRPr="00DA781E">
        <w:rPr>
          <w:rFonts w:ascii="Arial" w:hAnsi="Arial" w:cs="Arial"/>
          <w:szCs w:val="24"/>
        </w:rPr>
        <w:t>(Deloitte Access Economics 2023, p. 109)</w:t>
      </w:r>
      <w:r w:rsidRPr="00DA781E">
        <w:rPr>
          <w:rFonts w:cstheme="minorHAnsi"/>
        </w:rPr>
        <w:t xml:space="preserve">. </w:t>
      </w:r>
    </w:p>
    <w:p w14:paraId="0B04B0EB" w14:textId="77777777" w:rsidR="004E051C" w:rsidRDefault="004E051C">
      <w:pPr>
        <w:pStyle w:val="BodyText"/>
        <w:rPr>
          <w:rFonts w:cstheme="minorHAnsi"/>
        </w:rPr>
      </w:pPr>
      <w:r w:rsidRPr="00E32359">
        <w:rPr>
          <w:rFonts w:cstheme="minorHAnsi"/>
        </w:rPr>
        <w:t>The Commission is seeking feedback on whether the top</w:t>
      </w:r>
      <w:r>
        <w:rPr>
          <w:rFonts w:cstheme="minorHAnsi"/>
        </w:rPr>
        <w:noBreakHyphen/>
      </w:r>
      <w:r w:rsidRPr="00E32359">
        <w:rPr>
          <w:rFonts w:cstheme="minorHAnsi"/>
        </w:rPr>
        <w:t>up is adequate, or what alternative</w:t>
      </w:r>
      <w:r>
        <w:rPr>
          <w:rFonts w:cstheme="minorHAnsi"/>
        </w:rPr>
        <w:t xml:space="preserve"> support to FDC services could</w:t>
      </w:r>
      <w:r w:rsidRPr="00E32359">
        <w:rPr>
          <w:rFonts w:cstheme="minorHAnsi"/>
        </w:rPr>
        <w:t xml:space="preserve"> </w:t>
      </w:r>
      <w:r>
        <w:rPr>
          <w:rFonts w:cstheme="minorHAnsi"/>
        </w:rPr>
        <w:t>involve</w:t>
      </w:r>
      <w:r w:rsidRPr="00E32359">
        <w:rPr>
          <w:rFonts w:cstheme="minorHAnsi"/>
        </w:rPr>
        <w:t>.</w:t>
      </w:r>
    </w:p>
    <w:p w14:paraId="4E03CDE3" w14:textId="215DEE29" w:rsidR="004E051C" w:rsidRDefault="004E051C">
      <w:pPr>
        <w:pStyle w:val="NoSpacing"/>
        <w:keepN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E051C" w14:paraId="6229F202" w14:textId="77777777">
        <w:trPr>
          <w:trHeight w:val="765"/>
          <w:tblHeader/>
        </w:trPr>
        <w:tc>
          <w:tcPr>
            <w:tcW w:w="366" w:type="pct"/>
            <w:shd w:val="clear" w:color="auto" w:fill="EBEBEB"/>
            <w:tcMar>
              <w:bottom w:w="0" w:type="dxa"/>
            </w:tcMar>
            <w:vAlign w:val="center"/>
          </w:tcPr>
          <w:p w14:paraId="02FE55E0" w14:textId="77777777" w:rsidR="004E051C" w:rsidRDefault="004E051C">
            <w:pPr>
              <w:pStyle w:val="NoSpacing"/>
              <w:keepNext/>
              <w:keepLines/>
              <w:jc w:val="right"/>
            </w:pPr>
            <w:r w:rsidRPr="00A51374">
              <w:rPr>
                <w:noProof/>
              </w:rPr>
              <w:drawing>
                <wp:inline distT="0" distB="0" distL="0" distR="0" wp14:anchorId="5F84134E" wp14:editId="68E572F9">
                  <wp:extent cx="288000" cy="288000"/>
                  <wp:effectExtent l="0" t="0" r="0" b="0"/>
                  <wp:docPr id="1274962555" name="Picture 1274962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2312373" w14:textId="574C80C5" w:rsidR="004E051C" w:rsidRPr="002530FF" w:rsidRDefault="004E051C">
            <w:pPr>
              <w:pStyle w:val="TableHeading"/>
              <w:keepNext/>
              <w:keepLines/>
              <w:spacing w:before="120" w:after="120"/>
              <w:contextualSpacing/>
              <w:rPr>
                <w:sz w:val="20"/>
              </w:rPr>
            </w:pPr>
            <w:r w:rsidRPr="000B0B71">
              <w:rPr>
                <w:sz w:val="20"/>
              </w:rPr>
              <w:t xml:space="preserve">Information request </w:t>
            </w:r>
            <w:r w:rsidR="00DC7EEE">
              <w:rPr>
                <w:noProof/>
                <w:sz w:val="20"/>
              </w:rPr>
              <w:t>2</w:t>
            </w:r>
            <w:r w:rsidRPr="00DF7217">
              <w:rPr>
                <w:sz w:val="20"/>
              </w:rPr>
              <w:t>.</w:t>
            </w:r>
            <w:r w:rsidR="00DC7EEE">
              <w:rPr>
                <w:noProof/>
                <w:sz w:val="20"/>
              </w:rPr>
              <w:t>3</w:t>
            </w:r>
          </w:p>
        </w:tc>
      </w:tr>
      <w:tr w:rsidR="004E051C" w14:paraId="7B4E9A89" w14:textId="77777777">
        <w:tc>
          <w:tcPr>
            <w:tcW w:w="5000" w:type="pct"/>
            <w:gridSpan w:val="2"/>
            <w:shd w:val="clear" w:color="auto" w:fill="EBEBEB"/>
          </w:tcPr>
          <w:p w14:paraId="7E36119C" w14:textId="77777777" w:rsidR="004E051C" w:rsidRPr="00EF753B" w:rsidRDefault="004E051C">
            <w:pPr>
              <w:pStyle w:val="BodyText"/>
              <w:keepNext/>
              <w:keepLines/>
              <w:rPr>
                <w:color w:val="265A9A" w:themeColor="background2"/>
              </w:rPr>
            </w:pPr>
            <w:r w:rsidRPr="00A009CA">
              <w:rPr>
                <w:color w:val="265A9A" w:themeColor="background2"/>
              </w:rPr>
              <w:t xml:space="preserve">The Commission is seeking feedback on </w:t>
            </w:r>
            <w:r>
              <w:rPr>
                <w:color w:val="265A9A" w:themeColor="background2"/>
              </w:rPr>
              <w:t xml:space="preserve">whether the Inclusion Support Program provides effective support to family day care services. </w:t>
            </w:r>
            <w:r w:rsidRPr="00A009CA">
              <w:rPr>
                <w:color w:val="265A9A" w:themeColor="background2"/>
              </w:rPr>
              <w:t xml:space="preserve">Is the </w:t>
            </w:r>
            <w:r>
              <w:rPr>
                <w:color w:val="265A9A" w:themeColor="background2"/>
              </w:rPr>
              <w:t xml:space="preserve">Family Day Care </w:t>
            </w:r>
            <w:r w:rsidRPr="0019482C">
              <w:rPr>
                <w:color w:val="265A9A" w:themeColor="background2"/>
              </w:rPr>
              <w:t>Top Up</w:t>
            </w:r>
            <w:r w:rsidRPr="00A009CA">
              <w:rPr>
                <w:color w:val="265A9A" w:themeColor="background2"/>
              </w:rPr>
              <w:t xml:space="preserve"> adequate?</w:t>
            </w:r>
            <w:r>
              <w:rPr>
                <w:color w:val="265A9A" w:themeColor="background2"/>
              </w:rPr>
              <w:t xml:space="preserve"> </w:t>
            </w:r>
          </w:p>
        </w:tc>
      </w:tr>
      <w:tr w:rsidR="004E051C" w14:paraId="2BDC3959" w14:textId="77777777">
        <w:tc>
          <w:tcPr>
            <w:tcW w:w="5000" w:type="pct"/>
            <w:gridSpan w:val="2"/>
            <w:tcMar>
              <w:bottom w:w="0" w:type="dxa"/>
            </w:tcMar>
          </w:tcPr>
          <w:p w14:paraId="118B6632" w14:textId="2B866C6B" w:rsidR="004E051C" w:rsidRDefault="004E051C">
            <w:pPr>
              <w:pStyle w:val="NoSpacing"/>
              <w:spacing w:line="200" w:lineRule="atLeast"/>
            </w:pPr>
          </w:p>
        </w:tc>
      </w:tr>
    </w:tbl>
    <w:p w14:paraId="3A90D31D" w14:textId="306C0C5E" w:rsidR="004E051C" w:rsidRPr="00260904" w:rsidRDefault="004E051C">
      <w:pPr>
        <w:pStyle w:val="Heading4"/>
      </w:pPr>
      <w:r w:rsidRPr="006121E8">
        <w:lastRenderedPageBreak/>
        <w:t>There are examples of poor coordination between governments on inclusion funding</w:t>
      </w:r>
    </w:p>
    <w:p w14:paraId="60FFD9D2" w14:textId="77777777" w:rsidR="004E051C" w:rsidRDefault="004E051C">
      <w:pPr>
        <w:pStyle w:val="BodyText"/>
        <w:rPr>
          <w:rFonts w:cstheme="minorHAnsi"/>
        </w:rPr>
      </w:pPr>
      <w:r w:rsidRPr="0062283E">
        <w:rPr>
          <w:rFonts w:cstheme="minorHAnsi"/>
        </w:rPr>
        <w:t>In addition to the ISP, s</w:t>
      </w:r>
      <w:r>
        <w:rPr>
          <w:rFonts w:cstheme="minorHAnsi"/>
        </w:rPr>
        <w:t>everal</w:t>
      </w:r>
      <w:r w:rsidRPr="0062283E">
        <w:rPr>
          <w:rFonts w:cstheme="minorHAnsi"/>
        </w:rPr>
        <w:t xml:space="preserve"> states and territories</w:t>
      </w:r>
      <w:r w:rsidRPr="0062283E" w:rsidDel="000B66D2">
        <w:rPr>
          <w:rFonts w:cstheme="minorHAnsi"/>
        </w:rPr>
        <w:t xml:space="preserve"> </w:t>
      </w:r>
      <w:r w:rsidRPr="0062283E">
        <w:rPr>
          <w:rFonts w:cstheme="minorHAnsi"/>
        </w:rPr>
        <w:t>fund or deliver programs to support inclusion (box</w:t>
      </w:r>
      <w:r>
        <w:rPr>
          <w:rFonts w:cstheme="minorHAnsi"/>
        </w:rPr>
        <w:t> 2.6</w:t>
      </w:r>
      <w:r w:rsidRPr="0062283E">
        <w:rPr>
          <w:rFonts w:cstheme="minorHAnsi"/>
        </w:rPr>
        <w:t xml:space="preserve">). These are largely focussed on supporting children in a preschool </w:t>
      </w:r>
      <w:r>
        <w:rPr>
          <w:rFonts w:cstheme="minorHAnsi"/>
        </w:rPr>
        <w:t>program</w:t>
      </w:r>
      <w:r w:rsidRPr="0062283E">
        <w:rPr>
          <w:rFonts w:cstheme="minorHAnsi"/>
        </w:rPr>
        <w:t>, consistent with state</w:t>
      </w:r>
      <w:r>
        <w:rPr>
          <w:rFonts w:cstheme="minorHAnsi"/>
        </w:rPr>
        <w:t>s</w:t>
      </w:r>
      <w:r w:rsidRPr="0062283E">
        <w:rPr>
          <w:rFonts w:cstheme="minorHAnsi"/>
        </w:rPr>
        <w:t xml:space="preserve"> and territories’ responsibility for preschool delivery.</w:t>
      </w:r>
    </w:p>
    <w:p w14:paraId="525448C5" w14:textId="77777777" w:rsidR="004E051C" w:rsidRPr="0062283E" w:rsidRDefault="004E051C">
      <w:pPr>
        <w:pStyle w:val="BodyText"/>
        <w:rPr>
          <w:rFonts w:cstheme="minorHAnsi"/>
        </w:rPr>
      </w:pPr>
      <w:r w:rsidRPr="0062283E">
        <w:rPr>
          <w:rFonts w:cstheme="minorHAnsi"/>
        </w:rPr>
        <w:t xml:space="preserve">There is diversity in the range of programs offered. In some respects, this is appropriate, given the varying mechanisms through which states deliver preschool </w:t>
      </w:r>
      <w:r>
        <w:rPr>
          <w:rFonts w:cstheme="minorHAnsi"/>
        </w:rPr>
        <w:t>and intervene</w:t>
      </w:r>
      <w:r w:rsidRPr="0062283E">
        <w:rPr>
          <w:rFonts w:cstheme="minorHAnsi"/>
        </w:rPr>
        <w:t xml:space="preserve"> in ECEC markets. </w:t>
      </w:r>
      <w:r w:rsidRPr="00EF753B">
        <w:rPr>
          <w:rFonts w:cstheme="minorHAnsi"/>
        </w:rPr>
        <w:t>However, it also means</w:t>
      </w:r>
      <w:r w:rsidRPr="00EF753B" w:rsidDel="0040283D">
        <w:rPr>
          <w:rFonts w:cstheme="minorHAnsi"/>
        </w:rPr>
        <w:t xml:space="preserve"> </w:t>
      </w:r>
      <w:r w:rsidRPr="00EF753B">
        <w:rPr>
          <w:rFonts w:cstheme="minorHAnsi"/>
        </w:rPr>
        <w:t xml:space="preserve">children receive different support based on the </w:t>
      </w:r>
      <w:r>
        <w:rPr>
          <w:rFonts w:cstheme="minorHAnsi"/>
        </w:rPr>
        <w:t>type of service they attend</w:t>
      </w:r>
      <w:r w:rsidRPr="00EF753B">
        <w:rPr>
          <w:rFonts w:cstheme="minorHAnsi"/>
        </w:rPr>
        <w:t>.</w:t>
      </w:r>
    </w:p>
    <w:p w14:paraId="06789499" w14:textId="3A51169F" w:rsidR="004E051C" w:rsidRPr="00F82BD9" w:rsidRDefault="004E051C">
      <w:pPr>
        <w:pStyle w:val="NoSpacing"/>
      </w:pPr>
    </w:p>
    <w:tbl>
      <w:tblPr>
        <w:tblStyle w:val="Boxtable"/>
        <w:tblW w:w="5000" w:type="pct"/>
        <w:tblLook w:val="04A0" w:firstRow="1" w:lastRow="0" w:firstColumn="1" w:lastColumn="0" w:noHBand="0" w:noVBand="1"/>
      </w:tblPr>
      <w:tblGrid>
        <w:gridCol w:w="9638"/>
      </w:tblGrid>
      <w:tr w:rsidR="004E051C" w14:paraId="456F7249" w14:textId="77777777">
        <w:trPr>
          <w:tblHeader/>
        </w:trPr>
        <w:tc>
          <w:tcPr>
            <w:tcW w:w="9638" w:type="dxa"/>
            <w:shd w:val="clear" w:color="auto" w:fill="EBEBEB"/>
            <w:tcMar>
              <w:top w:w="170" w:type="dxa"/>
              <w:left w:w="170" w:type="dxa"/>
              <w:bottom w:w="113" w:type="dxa"/>
              <w:right w:w="170" w:type="dxa"/>
            </w:tcMar>
            <w:hideMark/>
          </w:tcPr>
          <w:p w14:paraId="5AE95BB1" w14:textId="0D741181" w:rsidR="004E051C" w:rsidRDefault="004E051C">
            <w:pPr>
              <w:pStyle w:val="BoxHeading1"/>
            </w:pPr>
            <w:r>
              <w:t xml:space="preserve">Box </w:t>
            </w:r>
            <w:r w:rsidR="00DC7EEE">
              <w:rPr>
                <w:noProof/>
              </w:rPr>
              <w:t>2</w:t>
            </w:r>
            <w:r>
              <w:t>.</w:t>
            </w:r>
            <w:r w:rsidR="00DC7EEE">
              <w:rPr>
                <w:noProof/>
              </w:rPr>
              <w:t>6</w:t>
            </w:r>
            <w:r>
              <w:rPr>
                <w:noProof/>
              </w:rPr>
              <w:t xml:space="preserve"> </w:t>
            </w:r>
            <w:r>
              <w:t>– Examples of state and territory inclusion programs</w:t>
            </w:r>
          </w:p>
        </w:tc>
      </w:tr>
      <w:tr w:rsidR="004E051C" w14:paraId="222A64A5" w14:textId="77777777">
        <w:tc>
          <w:tcPr>
            <w:tcW w:w="9638" w:type="dxa"/>
            <w:shd w:val="clear" w:color="auto" w:fill="EBEBEB"/>
            <w:tcMar>
              <w:top w:w="28" w:type="dxa"/>
              <w:left w:w="170" w:type="dxa"/>
              <w:bottom w:w="170" w:type="dxa"/>
              <w:right w:w="170" w:type="dxa"/>
            </w:tcMar>
            <w:hideMark/>
          </w:tcPr>
          <w:p w14:paraId="5F804451" w14:textId="77777777" w:rsidR="004E051C" w:rsidRDefault="004E051C">
            <w:pPr>
              <w:pStyle w:val="BodyText"/>
            </w:pPr>
            <w:r w:rsidRPr="497F50C9">
              <w:t>States and territories also fund programs to support inclusion, predominantly targeted at services delivering preschool programs. Examples are provided below.</w:t>
            </w:r>
          </w:p>
          <w:p w14:paraId="56C9C38C" w14:textId="77777777" w:rsidR="004E051C" w:rsidRPr="0062283E" w:rsidRDefault="004E051C">
            <w:pPr>
              <w:pStyle w:val="BoxHeading2"/>
              <w:rPr>
                <w:rFonts w:cstheme="minorHAnsi"/>
              </w:rPr>
            </w:pPr>
            <w:r w:rsidRPr="0062283E">
              <w:rPr>
                <w:rFonts w:cstheme="minorHAnsi"/>
              </w:rPr>
              <w:t>Victoria</w:t>
            </w:r>
          </w:p>
          <w:p w14:paraId="155FAFD3" w14:textId="77777777" w:rsidR="004E051C" w:rsidRDefault="004E051C" w:rsidP="00E01114">
            <w:pPr>
              <w:pStyle w:val="ListBullet"/>
            </w:pPr>
            <w:r w:rsidRPr="002922EB">
              <w:t xml:space="preserve">The </w:t>
            </w:r>
            <w:r w:rsidRPr="002922EB">
              <w:rPr>
                <w:b/>
              </w:rPr>
              <w:t>Kindergarten Inclusion Support program</w:t>
            </w:r>
            <w:r w:rsidRPr="002922EB">
              <w:t xml:space="preserve"> provides support for funded preschool services to enable greater inclusion of children with disability, developmental delay or complex medical needs. Support includes specialist training and consultancy for educators and additional staffing support.</w:t>
            </w:r>
          </w:p>
          <w:p w14:paraId="12E8DC97" w14:textId="77777777" w:rsidR="004E051C" w:rsidRDefault="004E051C" w:rsidP="00E01114">
            <w:pPr>
              <w:pStyle w:val="ListBullet"/>
            </w:pPr>
            <w:r w:rsidRPr="00EF753B">
              <w:rPr>
                <w:b/>
                <w:bCs/>
              </w:rPr>
              <w:t>School Readiness Funding</w:t>
            </w:r>
            <w:r>
              <w:rPr>
                <w:b/>
                <w:bCs/>
              </w:rPr>
              <w:t xml:space="preserve"> </w:t>
            </w:r>
            <w:r>
              <w:t>provides needs</w:t>
            </w:r>
            <w:r>
              <w:noBreakHyphen/>
              <w:t>based funding to services delivering state</w:t>
            </w:r>
            <w:r>
              <w:noBreakHyphen/>
              <w:t>funded three</w:t>
            </w:r>
            <w:r>
              <w:noBreakHyphen/>
              <w:t xml:space="preserve"> and four</w:t>
            </w:r>
            <w:r>
              <w:noBreakHyphen/>
              <w:t>year</w:t>
            </w:r>
            <w:r>
              <w:noBreakHyphen/>
              <w:t>old kindergarten programs. Services receive funding based on the profile of children enrolled and can choose from a menu of supports to meet the needs of children.</w:t>
            </w:r>
          </w:p>
          <w:p w14:paraId="0A634368" w14:textId="77777777" w:rsidR="004E051C" w:rsidRPr="00AD7FE3" w:rsidRDefault="004E051C" w:rsidP="00E01114">
            <w:pPr>
              <w:pStyle w:val="ListBullet"/>
            </w:pPr>
            <w:r w:rsidRPr="00AD7FE3">
              <w:t xml:space="preserve">The </w:t>
            </w:r>
            <w:r w:rsidRPr="00AD7FE3">
              <w:rPr>
                <w:b/>
              </w:rPr>
              <w:t>Early Childhood Language Program</w:t>
            </w:r>
            <w:r w:rsidRPr="00AD7FE3">
              <w:t xml:space="preserve"> </w:t>
            </w:r>
            <w:r w:rsidRPr="00AD7FE3" w:rsidDel="000E1287">
              <w:t xml:space="preserve">allows </w:t>
            </w:r>
            <w:r w:rsidRPr="00AD7FE3">
              <w:t>participating preschools to employ a language teacher to deliver part of their four</w:t>
            </w:r>
            <w:r>
              <w:noBreakHyphen/>
            </w:r>
            <w:r w:rsidRPr="00AD7FE3">
              <w:t>year</w:t>
            </w:r>
            <w:r>
              <w:noBreakHyphen/>
            </w:r>
            <w:r w:rsidRPr="00AD7FE3">
              <w:t>old kindergarten program in another language.</w:t>
            </w:r>
          </w:p>
          <w:p w14:paraId="1D1DA940" w14:textId="77777777" w:rsidR="004E051C" w:rsidRPr="0062283E" w:rsidRDefault="004E051C">
            <w:pPr>
              <w:pStyle w:val="BoxHeading2"/>
              <w:rPr>
                <w:rFonts w:cstheme="minorHAnsi"/>
              </w:rPr>
            </w:pPr>
            <w:r w:rsidRPr="0062283E">
              <w:rPr>
                <w:rFonts w:cstheme="minorHAnsi"/>
              </w:rPr>
              <w:t>Queensland</w:t>
            </w:r>
          </w:p>
          <w:p w14:paraId="15F2C622" w14:textId="77777777" w:rsidR="004E051C" w:rsidRDefault="004E051C" w:rsidP="00E01114">
            <w:pPr>
              <w:pStyle w:val="ListBullet"/>
            </w:pPr>
            <w:r w:rsidRPr="002922EB">
              <w:t xml:space="preserve">The </w:t>
            </w:r>
            <w:r w:rsidRPr="002922EB">
              <w:rPr>
                <w:b/>
              </w:rPr>
              <w:t>Kindergarten Inclusion Support Scheme</w:t>
            </w:r>
            <w:r w:rsidRPr="00C16A8A">
              <w:t xml:space="preserve"> </w:t>
            </w:r>
            <w:r w:rsidRPr="002922EB">
              <w:t>supports preschool</w:t>
            </w:r>
            <w:r>
              <w:t xml:space="preserve"> services</w:t>
            </w:r>
            <w:r w:rsidRPr="002922EB">
              <w:t xml:space="preserve"> to provide inclusive </w:t>
            </w:r>
            <w:r w:rsidRPr="00700886">
              <w:t xml:space="preserve">programs that reflect needs, including those of children with a disability. </w:t>
            </w:r>
          </w:p>
          <w:p w14:paraId="1DA7BD93" w14:textId="77777777" w:rsidR="004E051C" w:rsidRPr="00341887" w:rsidRDefault="004E051C" w:rsidP="00E01114">
            <w:pPr>
              <w:pStyle w:val="ListBullet"/>
            </w:pPr>
            <w:r w:rsidRPr="00341887">
              <w:t xml:space="preserve">The </w:t>
            </w:r>
            <w:r w:rsidRPr="005550E3">
              <w:rPr>
                <w:b/>
                <w:bCs/>
              </w:rPr>
              <w:t>Kindy Uplift Program</w:t>
            </w:r>
            <w:r w:rsidRPr="00341887">
              <w:t xml:space="preserve"> enables selected preschool services, including community kindergartens and long day care services, to respond to the educational and developmental needs of kindergarten children. It funds programs, resources, supports and professional development.</w:t>
            </w:r>
          </w:p>
          <w:p w14:paraId="47208539" w14:textId="77777777" w:rsidR="004E051C" w:rsidRPr="0062283E" w:rsidRDefault="004E051C">
            <w:pPr>
              <w:pStyle w:val="BoxHeading2"/>
              <w:rPr>
                <w:rFonts w:cstheme="minorHAnsi"/>
              </w:rPr>
            </w:pPr>
            <w:r w:rsidRPr="0062283E">
              <w:rPr>
                <w:rFonts w:cstheme="minorHAnsi"/>
              </w:rPr>
              <w:t>New South Wales</w:t>
            </w:r>
          </w:p>
          <w:p w14:paraId="45A3A6DC" w14:textId="77777777" w:rsidR="004E051C" w:rsidRPr="00341887" w:rsidRDefault="004E051C" w:rsidP="00E01114">
            <w:pPr>
              <w:pStyle w:val="ListBullet"/>
            </w:pPr>
            <w:r w:rsidRPr="00341887">
              <w:t xml:space="preserve">The </w:t>
            </w:r>
            <w:r w:rsidRPr="005550E3">
              <w:rPr>
                <w:b/>
                <w:bCs/>
              </w:rPr>
              <w:t>Disability and Inclusion Program</w:t>
            </w:r>
            <w:r w:rsidRPr="00341887">
              <w:t xml:space="preserve"> provides funding and support to enable the participation of children with disability or additional needs in not</w:t>
            </w:r>
            <w:r>
              <w:noBreakHyphen/>
            </w:r>
            <w:r w:rsidRPr="00341887">
              <w:t>for</w:t>
            </w:r>
            <w:r>
              <w:noBreakHyphen/>
            </w:r>
            <w:r w:rsidRPr="00341887">
              <w:t>profit community preschools.</w:t>
            </w:r>
          </w:p>
          <w:p w14:paraId="324526E1" w14:textId="77777777" w:rsidR="004E051C" w:rsidRPr="001C0D7E" w:rsidRDefault="004E051C" w:rsidP="00E01114">
            <w:pPr>
              <w:pStyle w:val="ListBullet"/>
            </w:pPr>
            <w:r w:rsidRPr="001C0D7E">
              <w:t xml:space="preserve">The </w:t>
            </w:r>
            <w:proofErr w:type="spellStart"/>
            <w:r w:rsidRPr="001C0D7E">
              <w:rPr>
                <w:b/>
                <w:bCs/>
              </w:rPr>
              <w:t>Ninganah</w:t>
            </w:r>
            <w:proofErr w:type="spellEnd"/>
            <w:r w:rsidRPr="001C0D7E">
              <w:rPr>
                <w:b/>
                <w:bCs/>
              </w:rPr>
              <w:t xml:space="preserve"> No More</w:t>
            </w:r>
            <w:r w:rsidRPr="001C0D7E">
              <w:t xml:space="preserve"> </w:t>
            </w:r>
            <w:proofErr w:type="gramStart"/>
            <w:r w:rsidRPr="001C0D7E">
              <w:t>program</w:t>
            </w:r>
            <w:proofErr w:type="gramEnd"/>
            <w:r w:rsidRPr="001C0D7E">
              <w:t xml:space="preserve"> provides grants to early childhood education service providers and recognised Aboriginal and Torres Strait Islander organisations to teach Aboriginal languages in not</w:t>
            </w:r>
            <w:r w:rsidRPr="001C0D7E">
              <w:noBreakHyphen/>
              <w:t>for</w:t>
            </w:r>
            <w:r>
              <w:noBreakHyphen/>
            </w:r>
            <w:r w:rsidRPr="001C0D7E">
              <w:t>profit long day care services and mobile or centre</w:t>
            </w:r>
            <w:r>
              <w:noBreakHyphen/>
            </w:r>
            <w:r w:rsidRPr="001C0D7E">
              <w:t>based community preschools in select regions.</w:t>
            </w:r>
          </w:p>
          <w:p w14:paraId="21F1613A" w14:textId="77777777" w:rsidR="004E051C" w:rsidRPr="001C0D7E" w:rsidRDefault="004E051C">
            <w:pPr>
              <w:pStyle w:val="BodyText"/>
              <w:keepNext/>
              <w:rPr>
                <w:b/>
                <w:bCs/>
              </w:rPr>
            </w:pPr>
            <w:r w:rsidRPr="001C0D7E">
              <w:rPr>
                <w:b/>
                <w:bCs/>
              </w:rPr>
              <w:t>South Australia</w:t>
            </w:r>
          </w:p>
          <w:p w14:paraId="442BBF98" w14:textId="77777777" w:rsidR="004E051C" w:rsidRPr="001C0D7E" w:rsidRDefault="004E051C" w:rsidP="00E01114">
            <w:pPr>
              <w:pStyle w:val="ListBullet"/>
            </w:pPr>
            <w:proofErr w:type="spellStart"/>
            <w:r w:rsidRPr="001C0D7E">
              <w:rPr>
                <w:b/>
                <w:bCs/>
              </w:rPr>
              <w:t>Intervac</w:t>
            </w:r>
            <w:proofErr w:type="spellEnd"/>
            <w:r w:rsidRPr="001C0D7E">
              <w:rPr>
                <w:b/>
                <w:bCs/>
              </w:rPr>
              <w:t xml:space="preserve"> funding</w:t>
            </w:r>
            <w:r w:rsidRPr="001C0D7E">
              <w:t xml:space="preserve"> is available for approved </w:t>
            </w:r>
            <w:r>
              <w:t>outside school hours care</w:t>
            </w:r>
            <w:r w:rsidRPr="001C0D7E">
              <w:t xml:space="preserve"> services to subsidise an additional educator to support children with additional needs. The funding provides short</w:t>
            </w:r>
            <w:r>
              <w:noBreakHyphen/>
            </w:r>
            <w:r w:rsidRPr="001C0D7E">
              <w:t xml:space="preserve">term assistance while services apply for the Inclusion Support Program (ISP). Services become ineligible for </w:t>
            </w:r>
            <w:proofErr w:type="spellStart"/>
            <w:r w:rsidRPr="001C0D7E">
              <w:t>Intervac</w:t>
            </w:r>
            <w:proofErr w:type="spellEnd"/>
            <w:r w:rsidRPr="001C0D7E">
              <w:t xml:space="preserve"> funding once eligible for </w:t>
            </w:r>
            <w:r>
              <w:t xml:space="preserve">the </w:t>
            </w:r>
            <w:r w:rsidRPr="001C0D7E">
              <w:t>ISP.</w:t>
            </w:r>
          </w:p>
          <w:p w14:paraId="5D61F5AC" w14:textId="77777777" w:rsidR="004E051C" w:rsidRPr="00341887" w:rsidRDefault="004E051C" w:rsidP="00E01114">
            <w:pPr>
              <w:pStyle w:val="ListBullet"/>
            </w:pPr>
            <w:r w:rsidRPr="00341887">
              <w:lastRenderedPageBreak/>
              <w:t xml:space="preserve">The </w:t>
            </w:r>
            <w:r w:rsidRPr="005550E3">
              <w:rPr>
                <w:b/>
                <w:bCs/>
              </w:rPr>
              <w:t>Inclusive Education Support</w:t>
            </w:r>
            <w:r w:rsidRPr="00341887">
              <w:t xml:space="preserve"> program provides funding for students with disability to receive additional support from their school or preschool. </w:t>
            </w:r>
          </w:p>
          <w:p w14:paraId="121A9DF4" w14:textId="77777777" w:rsidR="004E051C" w:rsidRPr="00853C98" w:rsidRDefault="004E051C" w:rsidP="00AA7F60">
            <w:pPr>
              <w:pStyle w:val="Source"/>
              <w:spacing w:before="240"/>
              <w:rPr>
                <w:rFonts w:cstheme="minorHAnsi"/>
              </w:rPr>
            </w:pPr>
            <w:r w:rsidRPr="0062283E">
              <w:rPr>
                <w:rFonts w:cstheme="minorHAnsi"/>
              </w:rPr>
              <w:t xml:space="preserve">Source: </w:t>
            </w:r>
            <w:r>
              <w:rPr>
                <w:rFonts w:cstheme="minorHAnsi"/>
              </w:rPr>
              <w:t>NSW</w:t>
            </w:r>
            <w:r w:rsidRPr="00CE5454">
              <w:rPr>
                <w:rFonts w:cstheme="minorHAnsi"/>
              </w:rPr>
              <w:t xml:space="preserve"> </w:t>
            </w:r>
            <w:r w:rsidRPr="00853C98">
              <w:rPr>
                <w:rFonts w:cstheme="minorHAnsi"/>
              </w:rPr>
              <w:t xml:space="preserve">Department of Education </w:t>
            </w:r>
            <w:r w:rsidRPr="00A23E0D">
              <w:rPr>
                <w:rFonts w:ascii="Arial" w:hAnsi="Arial" w:cs="Arial"/>
              </w:rPr>
              <w:t>(2023d, 2023e)</w:t>
            </w:r>
            <w:r w:rsidRPr="00853C98">
              <w:rPr>
                <w:rFonts w:cstheme="minorHAnsi"/>
              </w:rPr>
              <w:t xml:space="preserve">; Queensland Government </w:t>
            </w:r>
            <w:r w:rsidRPr="009639D6">
              <w:rPr>
                <w:rFonts w:ascii="Arial" w:hAnsi="Arial" w:cs="Arial"/>
              </w:rPr>
              <w:t>(2018, 2021)</w:t>
            </w:r>
            <w:r w:rsidRPr="00853C98">
              <w:rPr>
                <w:rFonts w:cstheme="minorHAnsi"/>
              </w:rPr>
              <w:t xml:space="preserve">; </w:t>
            </w:r>
            <w:r>
              <w:rPr>
                <w:rFonts w:cstheme="minorHAnsi"/>
              </w:rPr>
              <w:t>SA</w:t>
            </w:r>
            <w:r w:rsidRPr="00853C98">
              <w:rPr>
                <w:rFonts w:cstheme="minorHAnsi"/>
              </w:rPr>
              <w:t xml:space="preserve"> Department for Education </w:t>
            </w:r>
            <w:r w:rsidRPr="00A23E0D">
              <w:rPr>
                <w:rFonts w:ascii="Arial" w:hAnsi="Arial" w:cs="Arial"/>
              </w:rPr>
              <w:t>(2022; 2022)</w:t>
            </w:r>
            <w:r w:rsidRPr="00853C98">
              <w:rPr>
                <w:rFonts w:cstheme="minorHAnsi"/>
              </w:rPr>
              <w:t xml:space="preserve">; Victorian Government </w:t>
            </w:r>
            <w:r w:rsidRPr="00AE149C">
              <w:rPr>
                <w:rFonts w:ascii="Arial" w:hAnsi="Arial" w:cs="Arial"/>
              </w:rPr>
              <w:t>(2023a, 2023b, 2023c)</w:t>
            </w:r>
          </w:p>
        </w:tc>
      </w:tr>
      <w:tr w:rsidR="004E051C" w14:paraId="45BA2119" w14:textId="77777777">
        <w:trPr>
          <w:hidden/>
        </w:trPr>
        <w:tc>
          <w:tcPr>
            <w:tcW w:w="9638" w:type="dxa"/>
            <w:shd w:val="clear" w:color="auto" w:fill="auto"/>
            <w:tcMar>
              <w:top w:w="0" w:type="dxa"/>
              <w:left w:w="170" w:type="dxa"/>
              <w:bottom w:w="0" w:type="dxa"/>
              <w:right w:w="170" w:type="dxa"/>
            </w:tcMar>
          </w:tcPr>
          <w:p w14:paraId="4F63E0F6" w14:textId="53DD9CC4" w:rsidR="004E051C" w:rsidRPr="00465191" w:rsidRDefault="004E051C">
            <w:pPr>
              <w:pStyle w:val="BodyText"/>
              <w:spacing w:before="0" w:after="0" w:line="80" w:lineRule="atLeast"/>
              <w:rPr>
                <w:smallCaps/>
                <w:vanish/>
              </w:rPr>
            </w:pPr>
          </w:p>
        </w:tc>
      </w:tr>
    </w:tbl>
    <w:p w14:paraId="10948CDC" w14:textId="77777777" w:rsidR="004E051C" w:rsidRPr="00DA781E" w:rsidRDefault="004E051C">
      <w:pPr>
        <w:pStyle w:val="BodyText"/>
        <w:keepNext/>
      </w:pPr>
      <w:r>
        <w:t xml:space="preserve">In some cases, this may mean there are two programs available to a child and service, who then have to manage interactions between the two and make multiple applications or complete multiple pieces of </w:t>
      </w:r>
      <w:r w:rsidRPr="00DA781E">
        <w:t xml:space="preserve">paperwork. For example, the Association for </w:t>
      </w:r>
      <w:r w:rsidRPr="00047C27">
        <w:t>Children with a Disability</w:t>
      </w:r>
      <w:r w:rsidRPr="00DA781E">
        <w:t xml:space="preserve"> expressed concerns about interactions between the Victorian Kindergarten Inclusion Support program and the Australian Government ISP (sub. 78, p. 4). It noted that:</w:t>
      </w:r>
    </w:p>
    <w:p w14:paraId="2DEC800E" w14:textId="77777777" w:rsidR="004E051C" w:rsidRPr="00C40365" w:rsidRDefault="004E051C">
      <w:pPr>
        <w:pStyle w:val="Quote"/>
      </w:pPr>
      <w:r w:rsidRPr="00C40365">
        <w:t>families spoke about the additional burden of having to cobble together applications … Where families did apply for Kindergarten Inclusion Support and did not receive enough funding for an additional assistant for the full 15</w:t>
      </w:r>
      <w:r w:rsidRPr="00C40365">
        <w:noBreakHyphen/>
        <w:t>hour program, poor interaction with the Inclusion Support Program at a systems level often meant there were gaps in support purely based on whether the Commonwealth or State was the primary funder of that portion of the program (</w:t>
      </w:r>
      <w:proofErr w:type="gramStart"/>
      <w:r w:rsidRPr="00C40365">
        <w:t>e.g.</w:t>
      </w:r>
      <w:proofErr w:type="gramEnd"/>
      <w:r w:rsidRPr="00C40365">
        <w:t xml:space="preserve"> sessional kinder or long day care component). (sub. 78, p. 4)</w:t>
      </w:r>
    </w:p>
    <w:p w14:paraId="64F97266" w14:textId="77777777" w:rsidR="004E051C" w:rsidRPr="00DA781E" w:rsidRDefault="004E051C">
      <w:pPr>
        <w:pStyle w:val="BodyText"/>
      </w:pPr>
      <w:r w:rsidRPr="00DA781E">
        <w:t xml:space="preserve">Similarly, the ISP review noted eligibility for the ISP may render a service ineligible for state and territory funding in some circumstances, leading to uncertainty for services over which program they should use </w:t>
      </w:r>
      <w:r w:rsidRPr="00DA781E">
        <w:rPr>
          <w:rFonts w:ascii="Arial" w:hAnsi="Arial" w:cs="Arial"/>
          <w:szCs w:val="24"/>
        </w:rPr>
        <w:t>(Deloitte Access Economics 2023, p. 92)</w:t>
      </w:r>
      <w:r>
        <w:rPr>
          <w:rFonts w:ascii="Arial" w:hAnsi="Arial" w:cs="Arial"/>
          <w:szCs w:val="24"/>
        </w:rPr>
        <w:t>.</w:t>
      </w:r>
    </w:p>
    <w:p w14:paraId="50A6A0AD" w14:textId="77777777" w:rsidR="004E051C" w:rsidRDefault="004E051C">
      <w:pPr>
        <w:pStyle w:val="BodyText"/>
      </w:pPr>
      <w:r w:rsidRPr="00DA781E">
        <w:t>In addition, the ACT Government raised concerns that the Australian Government ISP is not available for state or territory funded ECEC programs that do not attract the CCS (sub. 27, p. 4). It noted this means</w:t>
      </w:r>
      <w:r>
        <w:t>:</w:t>
      </w:r>
    </w:p>
    <w:p w14:paraId="236EDCB9" w14:textId="77777777" w:rsidR="004E051C" w:rsidRDefault="004E051C">
      <w:pPr>
        <w:pStyle w:val="Quote"/>
      </w:pPr>
      <w:r>
        <w:t xml:space="preserve">… for programs like the ACT’s targeted delivery of quality early childhood education for children experiencing vulnerability or disadvantage, these priority children cannot receive equitable support alongside their peers in ECEC settings. (sub. 27, p. 4). </w:t>
      </w:r>
    </w:p>
    <w:p w14:paraId="6F1670CF" w14:textId="77777777" w:rsidR="004E051C" w:rsidRDefault="004E051C">
      <w:pPr>
        <w:pStyle w:val="BodyText"/>
      </w:pPr>
      <w:r w:rsidRPr="00F901AC">
        <w:t xml:space="preserve">These issues point to a system where there is </w:t>
      </w:r>
      <w:r w:rsidRPr="00EF753B">
        <w:t>blurred responsibility</w:t>
      </w:r>
      <w:r w:rsidRPr="00F901AC">
        <w:t xml:space="preserve"> </w:t>
      </w:r>
      <w:r>
        <w:t>for inclusion funding, in some instances leading to overlapping programs or gaps for services and families</w:t>
      </w:r>
      <w:r w:rsidRPr="00EB64DB">
        <w:t xml:space="preserve">. </w:t>
      </w:r>
      <w:r w:rsidRPr="009405DF">
        <w:t>In part, this reflects the broader complexities of funding and delivery arrangements for preschool programs delivered in CBDCs.</w:t>
      </w:r>
      <w:r>
        <w:t xml:space="preserve"> </w:t>
      </w:r>
    </w:p>
    <w:p w14:paraId="4AF2999A" w14:textId="77777777" w:rsidR="004E051C" w:rsidRPr="00D33126" w:rsidRDefault="004E051C">
      <w:pPr>
        <w:pStyle w:val="BodyText"/>
      </w:pPr>
      <w:r>
        <w:t xml:space="preserve">As a guiding principle, governments should be responsible for ensuring the services they </w:t>
      </w:r>
      <w:proofErr w:type="gramStart"/>
      <w:r>
        <w:t>fund</w:t>
      </w:r>
      <w:proofErr w:type="gramEnd"/>
      <w:r>
        <w:t xml:space="preserve"> or deliver are </w:t>
      </w:r>
      <w:r w:rsidRPr="00D33126">
        <w:t>inclusive.</w:t>
      </w:r>
    </w:p>
    <w:p w14:paraId="57FB9212" w14:textId="77777777" w:rsidR="004E051C" w:rsidRPr="00D33126" w:rsidRDefault="004E051C">
      <w:pPr>
        <w:pStyle w:val="BodyText"/>
      </w:pPr>
      <w:r w:rsidRPr="00D33126">
        <w:t xml:space="preserve">In the short term, the Australian Government Department of Education and the relevant state and territory government departments of education should work together to streamline application requirements, where there are multiple programs available to the one service. </w:t>
      </w:r>
    </w:p>
    <w:p w14:paraId="691F904F" w14:textId="77777777" w:rsidR="004E051C" w:rsidRDefault="004E051C">
      <w:pPr>
        <w:pStyle w:val="BodyText"/>
      </w:pPr>
      <w:r w:rsidRPr="00D33126">
        <w:t>In the longer term, Australian, state and territory governments should clarify responsibilities for inclusion funding as part of a National Partnership Agreement on ECE</w:t>
      </w:r>
      <w:r w:rsidRPr="00BC799F">
        <w:t>C (</w:t>
      </w:r>
      <w:r w:rsidRPr="002D59D6">
        <w:t>paper</w:t>
      </w:r>
      <w:r w:rsidRPr="009405DF">
        <w:t xml:space="preserve"> 9</w:t>
      </w:r>
      <w:r w:rsidRPr="00BC799F">
        <w:t>).</w:t>
      </w:r>
      <w:r>
        <w:t xml:space="preserve"> </w:t>
      </w:r>
    </w:p>
    <w:p w14:paraId="7AF00362" w14:textId="16011471" w:rsidR="004E051C" w:rsidRDefault="004E051C">
      <w:pPr>
        <w:pStyle w:val="NoSpacing"/>
      </w:pPr>
    </w:p>
    <w:tbl>
      <w:tblPr>
        <w:tblStyle w:val="Texttable-Paleblue"/>
        <w:tblW w:w="5000" w:type="pct"/>
        <w:tblLook w:val="04A0" w:firstRow="1" w:lastRow="0" w:firstColumn="1" w:lastColumn="0" w:noHBand="0" w:noVBand="1"/>
      </w:tblPr>
      <w:tblGrid>
        <w:gridCol w:w="713"/>
        <w:gridCol w:w="8925"/>
      </w:tblGrid>
      <w:tr w:rsidR="004E051C" w14:paraId="509C3D62" w14:textId="77777777">
        <w:trPr>
          <w:tblHeader/>
        </w:trPr>
        <w:tc>
          <w:tcPr>
            <w:tcW w:w="713" w:type="dxa"/>
            <w:shd w:val="clear" w:color="auto" w:fill="E7F6FD"/>
            <w:tcMar>
              <w:top w:w="0" w:type="dxa"/>
              <w:bottom w:w="0" w:type="dxa"/>
            </w:tcMar>
            <w:vAlign w:val="center"/>
          </w:tcPr>
          <w:p w14:paraId="64BEBAE3" w14:textId="77777777" w:rsidR="004E051C" w:rsidRDefault="004E051C">
            <w:pPr>
              <w:keepLines/>
              <w:jc w:val="center"/>
            </w:pPr>
            <w:r w:rsidRPr="00A51374">
              <w:rPr>
                <w:noProof/>
              </w:rPr>
              <w:lastRenderedPageBreak/>
              <w:drawing>
                <wp:inline distT="0" distB="0" distL="0" distR="0" wp14:anchorId="457899EA" wp14:editId="3EB58F95">
                  <wp:extent cx="288000" cy="288000"/>
                  <wp:effectExtent l="0" t="0" r="0" b="0"/>
                  <wp:docPr id="536156743" name="Picture 536156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04149313" w14:textId="0ED17161" w:rsidR="004E051C" w:rsidRPr="0062283E" w:rsidRDefault="004E051C">
            <w:pPr>
              <w:pStyle w:val="TableHeading"/>
              <w:keepLines/>
              <w:spacing w:before="120" w:after="120"/>
              <w:contextualSpacing/>
              <w:rPr>
                <w:rFonts w:cstheme="minorHAnsi"/>
                <w:sz w:val="20"/>
              </w:rPr>
            </w:pPr>
            <w:r>
              <w:rPr>
                <w:rFonts w:cstheme="minorHAnsi"/>
                <w:sz w:val="20"/>
              </w:rPr>
              <w:t>Draft r</w:t>
            </w:r>
            <w:r w:rsidRPr="0062283E">
              <w:rPr>
                <w:rFonts w:cstheme="minorHAnsi"/>
                <w:sz w:val="20"/>
              </w:rPr>
              <w:t xml:space="preserve">ecommendation </w:t>
            </w:r>
            <w:r w:rsidR="00DC7EEE">
              <w:rPr>
                <w:noProof/>
                <w:sz w:val="20"/>
              </w:rPr>
              <w:t>2</w:t>
            </w:r>
            <w:r w:rsidRPr="00715040">
              <w:rPr>
                <w:sz w:val="20"/>
              </w:rPr>
              <w:t>.</w:t>
            </w:r>
            <w:r w:rsidR="00DC7EEE">
              <w:rPr>
                <w:noProof/>
                <w:sz w:val="20"/>
              </w:rPr>
              <w:t>6</w:t>
            </w:r>
          </w:p>
          <w:p w14:paraId="245AF601" w14:textId="77777777" w:rsidR="004E051C" w:rsidRPr="00715040" w:rsidRDefault="004E051C">
            <w:pPr>
              <w:pStyle w:val="TableHeading"/>
              <w:keepLines/>
              <w:spacing w:before="120" w:after="120"/>
              <w:contextualSpacing/>
              <w:rPr>
                <w:sz w:val="20"/>
              </w:rPr>
            </w:pPr>
            <w:r>
              <w:rPr>
                <w:rFonts w:cstheme="minorHAnsi"/>
                <w:sz w:val="20"/>
              </w:rPr>
              <w:t>Improve coordination of inclusion funding between governments</w:t>
            </w:r>
          </w:p>
        </w:tc>
      </w:tr>
      <w:tr w:rsidR="004E051C" w14:paraId="4333A788" w14:textId="77777777">
        <w:tc>
          <w:tcPr>
            <w:tcW w:w="9638" w:type="dxa"/>
            <w:gridSpan w:val="2"/>
            <w:shd w:val="clear" w:color="auto" w:fill="E7F6FD"/>
            <w:tcMar>
              <w:top w:w="0" w:type="dxa"/>
            </w:tcMar>
          </w:tcPr>
          <w:p w14:paraId="14EBBB36" w14:textId="77777777" w:rsidR="004E051C" w:rsidRDefault="004E051C">
            <w:pPr>
              <w:pStyle w:val="BodyText"/>
              <w:keepLines/>
            </w:pPr>
            <w:r>
              <w:t>Australian, state and territory governments should better coordinate inclusion funding to reduce complexity for services and families.</w:t>
            </w:r>
          </w:p>
          <w:p w14:paraId="3279BB98" w14:textId="77777777" w:rsidR="004E051C" w:rsidRDefault="004E051C">
            <w:pPr>
              <w:pStyle w:val="BodyText"/>
              <w:keepLines/>
            </w:pPr>
            <w:r>
              <w:t>In the short</w:t>
            </w:r>
            <w:r>
              <w:noBreakHyphen/>
              <w:t xml:space="preserve">term, the Australian Government Department of Education and relevant state and territory departments of education should work together to streamline application requirements, to reduce the need for services to apply for funding multiple times. </w:t>
            </w:r>
          </w:p>
          <w:p w14:paraId="031E79CF" w14:textId="77777777" w:rsidR="004E051C" w:rsidRPr="00767EAE" w:rsidRDefault="004E051C">
            <w:pPr>
              <w:pStyle w:val="BodyText"/>
              <w:keepLines/>
            </w:pPr>
            <w:r>
              <w:t>In the long</w:t>
            </w:r>
            <w:r>
              <w:noBreakHyphen/>
              <w:t>term, governments should clarify responsibilities for inclusion funding as part of a National Partnership Agreement on ECE</w:t>
            </w:r>
            <w:r w:rsidRPr="00AE0AF2">
              <w:t>C.</w:t>
            </w:r>
            <w:r>
              <w:t xml:space="preserve"> </w:t>
            </w:r>
          </w:p>
        </w:tc>
      </w:tr>
      <w:tr w:rsidR="004E051C" w14:paraId="6325CEAC" w14:textId="77777777">
        <w:tc>
          <w:tcPr>
            <w:tcW w:w="9638" w:type="dxa"/>
            <w:gridSpan w:val="2"/>
            <w:shd w:val="clear" w:color="auto" w:fill="auto"/>
            <w:tcMar>
              <w:top w:w="0" w:type="dxa"/>
              <w:bottom w:w="0" w:type="dxa"/>
            </w:tcMar>
          </w:tcPr>
          <w:p w14:paraId="2FAEE221" w14:textId="4279DD89" w:rsidR="004E051C" w:rsidRPr="007E0EA8" w:rsidRDefault="004E051C">
            <w:pPr>
              <w:pStyle w:val="NoSpacing"/>
              <w:spacing w:line="200" w:lineRule="exact"/>
            </w:pPr>
          </w:p>
        </w:tc>
      </w:tr>
    </w:tbl>
    <w:p w14:paraId="3C768FA6" w14:textId="77777777" w:rsidR="004E051C" w:rsidRPr="00260904" w:rsidRDefault="004E051C" w:rsidP="0058550C">
      <w:pPr>
        <w:pStyle w:val="Heading2"/>
      </w:pPr>
      <w:bookmarkStart w:id="13" w:name="_Toc150769146"/>
      <w:bookmarkStart w:id="14" w:name="_Toc150787221"/>
      <w:bookmarkStart w:id="15" w:name="_Toc150950408"/>
      <w:r w:rsidRPr="00260904">
        <w:t>ECEC can help connect children to other services</w:t>
      </w:r>
      <w:bookmarkEnd w:id="13"/>
      <w:bookmarkEnd w:id="14"/>
      <w:bookmarkEnd w:id="15"/>
    </w:p>
    <w:p w14:paraId="2B71B41D" w14:textId="77777777" w:rsidR="004E051C" w:rsidRPr="005225F7" w:rsidRDefault="004E051C">
      <w:pPr>
        <w:pStyle w:val="Heading3"/>
      </w:pPr>
      <w:r w:rsidRPr="005225F7">
        <w:t>ECEC services can help identify and connect children who require support from other services</w:t>
      </w:r>
    </w:p>
    <w:p w14:paraId="44178A16" w14:textId="77777777" w:rsidR="004E051C" w:rsidRDefault="004E051C">
      <w:pPr>
        <w:pStyle w:val="BodyText"/>
        <w:rPr>
          <w:rFonts w:cstheme="minorHAnsi"/>
        </w:rPr>
      </w:pPr>
      <w:r>
        <w:rPr>
          <w:rFonts w:cstheme="minorHAnsi"/>
        </w:rPr>
        <w:t xml:space="preserve">For children (and families) who may have need beyond ECEC, ECEC services can play a role in connecting them to other services. </w:t>
      </w:r>
    </w:p>
    <w:p w14:paraId="561947C1" w14:textId="77777777" w:rsidR="004E051C" w:rsidRPr="001C0D7E" w:rsidRDefault="004E051C">
      <w:pPr>
        <w:pStyle w:val="BodyText"/>
      </w:pPr>
      <w:r w:rsidRPr="34073349">
        <w:t xml:space="preserve">At a minimum, ECEC services can play a role in identifying children who may require additional support from other services. ECEC staff may be well positioned to identify developmental delays or additional support needs, given the extended time they spend with children and their ability to observe how children are developing in comparison to their peers. By extension, this also means staff and services may be well positioned to identify children who are at risk of abuse or </w:t>
      </w:r>
      <w:r w:rsidRPr="001C0D7E">
        <w:t xml:space="preserve">neglect. While child protection legislation varies in each state and territory, educators and/or ECEC staff are generally mandatory reporters </w:t>
      </w:r>
      <w:r w:rsidRPr="00337126">
        <w:rPr>
          <w:rFonts w:ascii="Arial" w:hAnsi="Arial" w:cs="Arial"/>
          <w:szCs w:val="24"/>
        </w:rPr>
        <w:t>(AIFS 2023)</w:t>
      </w:r>
      <w:r w:rsidRPr="001C0D7E">
        <w:t>.</w:t>
      </w:r>
    </w:p>
    <w:p w14:paraId="22E2A82F" w14:textId="77777777" w:rsidR="004E051C" w:rsidRDefault="004E051C">
      <w:pPr>
        <w:pStyle w:val="BodyText"/>
        <w:rPr>
          <w:rStyle w:val="BodyTextChar"/>
        </w:rPr>
      </w:pPr>
      <w:r w:rsidRPr="001C0D7E">
        <w:rPr>
          <w:rFonts w:cstheme="minorHAnsi"/>
        </w:rPr>
        <w:t xml:space="preserve">Where children are identified as requiring additional support, ECEC services can also assist families by connecting them to other services. However, identification and referral requires staff to have both appropriate knowledge and adequate time and resources. But there is evidence some services are currently facilitating connections and referrals. For example, </w:t>
      </w:r>
      <w:r w:rsidRPr="001C0D7E">
        <w:t xml:space="preserve">work undertaken for </w:t>
      </w:r>
      <w:r w:rsidRPr="001C0D7E">
        <w:rPr>
          <w:rStyle w:val="BodyTextChar"/>
        </w:rPr>
        <w:t xml:space="preserve">the SA Royal Commission suggested that almost all LDC services in SA identified needs and offered direct supports or referrals where they could </w:t>
      </w:r>
      <w:r w:rsidRPr="002E4DDA">
        <w:rPr>
          <w:rFonts w:ascii="Arial" w:hAnsi="Arial" w:cs="Arial"/>
          <w:szCs w:val="24"/>
        </w:rPr>
        <w:t>(SA Government 2023b, p. 35)</w:t>
      </w:r>
      <w:r w:rsidRPr="001C0D7E">
        <w:t>.</w:t>
      </w:r>
      <w:r w:rsidRPr="00820A86">
        <w:t xml:space="preserve"> </w:t>
      </w:r>
    </w:p>
    <w:p w14:paraId="6C5ACA38" w14:textId="77777777" w:rsidR="004E051C" w:rsidRDefault="004E051C">
      <w:pPr>
        <w:pStyle w:val="BodyText"/>
        <w:rPr>
          <w:rStyle w:val="BodyTextChar"/>
        </w:rPr>
      </w:pPr>
      <w:r>
        <w:rPr>
          <w:rStyle w:val="BodyTextChar"/>
        </w:rPr>
        <w:t>Several inquiry participants expressed an expectation that ECEC services play this role, with some suggesting ECEC should be the backbone of a child development system (for example, The Bryan Foundation, sub. 123, p. 8; Brotherhood of St. Laurence, sub. 96, p. 6; Royal Far West, sub. 41, p. 7; Centre for Policy Development, sub. 156, p. 47).</w:t>
      </w:r>
    </w:p>
    <w:p w14:paraId="720CBA8E" w14:textId="77777777" w:rsidR="004E051C" w:rsidRDefault="004E051C">
      <w:pPr>
        <w:pStyle w:val="BodyText"/>
        <w:rPr>
          <w:rStyle w:val="BodyTextChar"/>
        </w:rPr>
      </w:pPr>
      <w:r>
        <w:rPr>
          <w:rStyle w:val="BodyTextChar"/>
        </w:rPr>
        <w:t xml:space="preserve">Paper 7 recommends an ECEC Commission (draft recommendation 9.2) be responsible for examining the connections between ECEC and other child and family services. Training and professional development of the workforce is discussed in paper 3. </w:t>
      </w:r>
    </w:p>
    <w:p w14:paraId="6D5DCF4C" w14:textId="77777777" w:rsidR="004E051C" w:rsidRPr="0096084F" w:rsidRDefault="004E051C">
      <w:pPr>
        <w:pStyle w:val="Heading3"/>
        <w:rPr>
          <w:rStyle w:val="Heading3Char"/>
        </w:rPr>
      </w:pPr>
      <w:r w:rsidRPr="0096084F">
        <w:rPr>
          <w:rStyle w:val="Heading3Char"/>
        </w:rPr>
        <w:lastRenderedPageBreak/>
        <w:t xml:space="preserve">The interface between ECEC and the NDIS </w:t>
      </w:r>
      <w:r>
        <w:rPr>
          <w:rStyle w:val="Heading3Char"/>
        </w:rPr>
        <w:t>needs to be considered</w:t>
      </w:r>
    </w:p>
    <w:p w14:paraId="42E67E3C" w14:textId="77777777" w:rsidR="004E051C" w:rsidRDefault="004E051C">
      <w:pPr>
        <w:pStyle w:val="BodyText"/>
        <w:keepNext/>
      </w:pPr>
      <w:r>
        <w:t xml:space="preserve">Inquiry </w:t>
      </w:r>
      <w:r w:rsidRPr="009E685B">
        <w:t xml:space="preserve">participants </w:t>
      </w:r>
      <w:r w:rsidRPr="00BD2FA7">
        <w:t xml:space="preserve">and the ISP review both </w:t>
      </w:r>
      <w:r w:rsidRPr="009E685B">
        <w:t xml:space="preserve">highlighted </w:t>
      </w:r>
      <w:r>
        <w:t xml:space="preserve">concerns about the interface between ECEC services, the ISP and the NDIS. </w:t>
      </w:r>
    </w:p>
    <w:p w14:paraId="1F85A5BB" w14:textId="77777777" w:rsidR="004E051C" w:rsidRDefault="004E051C">
      <w:pPr>
        <w:pStyle w:val="BodyText"/>
      </w:pPr>
      <w:r>
        <w:t>The NDIS Early Connections Program and NDIS Scheme support children</w:t>
      </w:r>
      <w:r w:rsidRPr="0062283E">
        <w:rPr>
          <w:rFonts w:cstheme="minorHAnsi"/>
        </w:rPr>
        <w:t xml:space="preserve"> </w:t>
      </w:r>
      <w:r>
        <w:rPr>
          <w:rFonts w:cstheme="minorHAnsi"/>
        </w:rPr>
        <w:t>who</w:t>
      </w:r>
      <w:r w:rsidRPr="0062283E">
        <w:rPr>
          <w:rFonts w:cstheme="minorHAnsi"/>
        </w:rPr>
        <w:t xml:space="preserve"> may have a developmental delay or disability</w:t>
      </w:r>
      <w:r>
        <w:rPr>
          <w:rFonts w:cstheme="minorHAnsi"/>
        </w:rPr>
        <w:t xml:space="preserve">. There is a growing number of children receiving NDIS early intervention and scheme support. </w:t>
      </w:r>
      <w:r w:rsidRPr="00EF1F50">
        <w:rPr>
          <w:rFonts w:cstheme="minorHAnsi"/>
        </w:rPr>
        <w:t xml:space="preserve">As </w:t>
      </w:r>
      <w:proofErr w:type="gramStart"/>
      <w:r w:rsidRPr="00EF1F50">
        <w:rPr>
          <w:rFonts w:cstheme="minorHAnsi"/>
        </w:rPr>
        <w:t>at</w:t>
      </w:r>
      <w:proofErr w:type="gramEnd"/>
      <w:r w:rsidRPr="00EF1F50">
        <w:rPr>
          <w:rFonts w:cstheme="minorHAnsi"/>
        </w:rPr>
        <w:t xml:space="preserve"> 30</w:t>
      </w:r>
      <w:r>
        <w:rPr>
          <w:rFonts w:cstheme="minorHAnsi"/>
        </w:rPr>
        <w:t> </w:t>
      </w:r>
      <w:r w:rsidRPr="00EF1F50">
        <w:rPr>
          <w:rFonts w:cstheme="minorHAnsi"/>
        </w:rPr>
        <w:t>June</w:t>
      </w:r>
      <w:r>
        <w:rPr>
          <w:rFonts w:cstheme="minorHAnsi"/>
        </w:rPr>
        <w:t xml:space="preserve"> </w:t>
      </w:r>
      <w:r w:rsidRPr="00E6389B">
        <w:rPr>
          <w:rFonts w:cstheme="minorHAnsi"/>
        </w:rPr>
        <w:t>2023,</w:t>
      </w:r>
      <w:r>
        <w:rPr>
          <w:rFonts w:cstheme="minorHAnsi"/>
        </w:rPr>
        <w:t xml:space="preserve"> </w:t>
      </w:r>
      <w:r w:rsidRPr="00E6389B">
        <w:rPr>
          <w:rFonts w:cstheme="minorHAnsi"/>
        </w:rPr>
        <w:t>there</w:t>
      </w:r>
      <w:r w:rsidRPr="00AB3217">
        <w:rPr>
          <w:rFonts w:cstheme="minorHAnsi"/>
        </w:rPr>
        <w:t xml:space="preserve"> were </w:t>
      </w:r>
      <w:r>
        <w:rPr>
          <w:rFonts w:cstheme="minorHAnsi"/>
        </w:rPr>
        <w:t>99,395</w:t>
      </w:r>
      <w:r w:rsidRPr="00AB3217">
        <w:rPr>
          <w:rFonts w:cstheme="minorHAnsi"/>
        </w:rPr>
        <w:t xml:space="preserve"> children younger than seven with an NDIS plan (16.3% of all participants),</w:t>
      </w:r>
      <w:r>
        <w:rPr>
          <w:rFonts w:cstheme="minorHAnsi"/>
        </w:rPr>
        <w:t xml:space="preserve"> </w:t>
      </w:r>
      <w:r w:rsidRPr="00EF1F50">
        <w:rPr>
          <w:rFonts w:cstheme="minorHAnsi"/>
        </w:rPr>
        <w:t>with a further</w:t>
      </w:r>
      <w:r w:rsidRPr="00EF1F50">
        <w:t xml:space="preserve"> 14</w:t>
      </w:r>
      <w:r>
        <w:t>,</w:t>
      </w:r>
      <w:r w:rsidRPr="00EF1F50">
        <w:t xml:space="preserve">556 accessing </w:t>
      </w:r>
      <w:r>
        <w:t>e</w:t>
      </w:r>
      <w:r w:rsidRPr="00AB3217">
        <w:t xml:space="preserve">arly </w:t>
      </w:r>
      <w:r>
        <w:t>c</w:t>
      </w:r>
      <w:r w:rsidRPr="00AB3217">
        <w:t>onnections</w:t>
      </w:r>
      <w:r>
        <w:rPr>
          <w:rFonts w:cstheme="minorHAnsi"/>
        </w:rPr>
        <w:t xml:space="preserve"> </w:t>
      </w:r>
      <w:r w:rsidRPr="00716E96">
        <w:rPr>
          <w:rFonts w:ascii="Arial" w:hAnsi="Arial" w:cs="Arial"/>
          <w:szCs w:val="24"/>
        </w:rPr>
        <w:t>(NDIA 2023, pp. 11, 15; Productivity Commission estimates, based on NDIA 2023)</w:t>
      </w:r>
      <w:r w:rsidRPr="00BD2FA7">
        <w:rPr>
          <w:rFonts w:cstheme="minorHAnsi"/>
        </w:rPr>
        <w:t xml:space="preserve">. </w:t>
      </w:r>
    </w:p>
    <w:p w14:paraId="6533B9EB" w14:textId="77777777" w:rsidR="004E051C" w:rsidRDefault="004E051C">
      <w:pPr>
        <w:pStyle w:val="BodyText"/>
      </w:pPr>
      <w:r w:rsidRPr="0087687C">
        <w:t xml:space="preserve">Submissions have highlighted poor interactions between </w:t>
      </w:r>
      <w:r w:rsidRPr="00EF1F50">
        <w:t>ECEC</w:t>
      </w:r>
      <w:r w:rsidRPr="0087687C">
        <w:t xml:space="preserve"> and the NDIS, including rigidities in applying NDIS funding in an ECEC </w:t>
      </w:r>
      <w:r w:rsidRPr="009137A4">
        <w:t>setting, disconnections between the NDIS and ECEC systems and instances of children being unable to use their NDIS package in conjunction with the ISP (Centre for Excellence in Child and Family Welfare, sub. 59, p. 2; G8 Education, sub</w:t>
      </w:r>
      <w:r w:rsidRPr="0087687C">
        <w:t>.</w:t>
      </w:r>
      <w:r>
        <w:t> </w:t>
      </w:r>
      <w:r w:rsidRPr="0087687C">
        <w:t xml:space="preserve">68, p. 10; </w:t>
      </w:r>
      <w:r w:rsidRPr="00C81A54">
        <w:t>SDN Children’s Services</w:t>
      </w:r>
      <w:r w:rsidRPr="0087687C">
        <w:t>, sub.</w:t>
      </w:r>
      <w:r>
        <w:t> </w:t>
      </w:r>
      <w:r w:rsidRPr="0087687C">
        <w:t>63, p. 9).</w:t>
      </w:r>
    </w:p>
    <w:p w14:paraId="0C70550D" w14:textId="77777777" w:rsidR="004E051C" w:rsidRPr="0087687C" w:rsidRDefault="004E051C">
      <w:pPr>
        <w:pStyle w:val="BodyText"/>
      </w:pPr>
      <w:r>
        <w:t xml:space="preserve">Others described how the introduction of the NDIS has resulted in a lack of investment in mainstream services and impacted the ability of ECEC services to support children and families (Brotherhood of St. Laurence, sub. 96, p. 6; Early Childhood Australia, sub. 154, p. 52; Community Connections Solutions </w:t>
      </w:r>
      <w:r w:rsidRPr="0087687C">
        <w:t>Australia, sub.</w:t>
      </w:r>
      <w:r>
        <w:t> </w:t>
      </w:r>
      <w:r w:rsidRPr="0087687C">
        <w:t>105, p. 11).</w:t>
      </w:r>
    </w:p>
    <w:p w14:paraId="4C7B7DAF" w14:textId="77777777" w:rsidR="004E051C" w:rsidRDefault="004E051C">
      <w:pPr>
        <w:pStyle w:val="BodyText"/>
      </w:pPr>
      <w:r w:rsidRPr="0087687C">
        <w:t>Children with disabilities, including those with NDIS funding, can have allied health professionals deliver therapies in early childhood settings. The New South Wales Independent Pricing and Regulatory Tribunal (</w:t>
      </w:r>
      <w:r w:rsidRPr="00EF1F50">
        <w:t xml:space="preserve">NSW </w:t>
      </w:r>
      <w:r w:rsidRPr="0087687C">
        <w:t xml:space="preserve">IPART) </w:t>
      </w:r>
      <w:r w:rsidRPr="00EF1F50">
        <w:t xml:space="preserve">review of ECEC heard from services </w:t>
      </w:r>
      <w:r w:rsidRPr="0087687C">
        <w:t>that while this offers more choice for families, it can be disruptive and places a coordination burden on staff</w:t>
      </w:r>
      <w:r w:rsidRPr="00EF1F50">
        <w:t xml:space="preserve"> </w:t>
      </w:r>
      <w:r w:rsidRPr="00FC27F5">
        <w:rPr>
          <w:rFonts w:ascii="Arial" w:hAnsi="Arial" w:cs="Arial"/>
          <w:szCs w:val="24"/>
        </w:rPr>
        <w:t>(NSW IPART 2023, p. 56)</w:t>
      </w:r>
      <w:r w:rsidRPr="0087687C">
        <w:t xml:space="preserve">. In its interim report, the review found there was scope to improve allied health service provision within early childhood services to minimise disruption, reduce burdens and increase efficiency, and achieve better collaboration between ECEC staff and therapists </w:t>
      </w:r>
      <w:r w:rsidRPr="00D919B0">
        <w:rPr>
          <w:rFonts w:ascii="Arial" w:hAnsi="Arial" w:cs="Arial"/>
          <w:szCs w:val="24"/>
        </w:rPr>
        <w:t>(NSW IPART 2023, pp. 56–58)</w:t>
      </w:r>
      <w:r w:rsidRPr="0087687C">
        <w:t>.</w:t>
      </w:r>
    </w:p>
    <w:p w14:paraId="389171A0" w14:textId="77777777" w:rsidR="004E051C" w:rsidRPr="00034E00" w:rsidRDefault="004E051C">
      <w:pPr>
        <w:pStyle w:val="BodyText"/>
      </w:pPr>
      <w:r w:rsidRPr="000F4D4E">
        <w:t xml:space="preserve">Stakeholder consultations conducted as part of the 2023 ISP review also highlighted that the introduction of the NDIS and its emphasis on personalised support for children with disabilities has created obstacles in effectively communicating the intent of the ISP to families. The review noted the ISP, primarily aimed at fostering inclusive practices across services, is at odds with the individualised approach taken by the NDIS </w:t>
      </w:r>
      <w:r w:rsidRPr="00034E00">
        <w:rPr>
          <w:rFonts w:ascii="Arial" w:hAnsi="Arial" w:cs="Arial"/>
          <w:szCs w:val="24"/>
        </w:rPr>
        <w:t>(Deloitte Access Economics 2023, p. 70)</w:t>
      </w:r>
      <w:r w:rsidRPr="000F4D4E">
        <w:t xml:space="preserve">. </w:t>
      </w:r>
    </w:p>
    <w:p w14:paraId="3EC0D2CE" w14:textId="77777777" w:rsidR="004E051C" w:rsidRPr="00AA7F60" w:rsidRDefault="004E051C">
      <w:pPr>
        <w:pStyle w:val="BodyText"/>
        <w:rPr>
          <w:rFonts w:cstheme="minorHAnsi"/>
          <w:spacing w:val="-2"/>
        </w:rPr>
      </w:pPr>
      <w:r w:rsidRPr="00AA7F60">
        <w:rPr>
          <w:spacing w:val="-2"/>
        </w:rPr>
        <w:t xml:space="preserve">The NDIS was recently reviewed. In June 2023, the review released a report on what it had heard in consultations. </w:t>
      </w:r>
      <w:r w:rsidRPr="00AA7F60">
        <w:rPr>
          <w:rFonts w:cstheme="minorHAnsi"/>
          <w:spacing w:val="-2"/>
        </w:rPr>
        <w:t>A common theme was that the education system needed to be more inclusive. The report noted:</w:t>
      </w:r>
    </w:p>
    <w:p w14:paraId="0663EDD9" w14:textId="77777777" w:rsidR="004E051C" w:rsidRPr="00D323A0" w:rsidRDefault="004E051C">
      <w:pPr>
        <w:pStyle w:val="Quote"/>
      </w:pPr>
      <w:r>
        <w:t>t</w:t>
      </w:r>
      <w:r w:rsidRPr="00D323A0">
        <w:t xml:space="preserve">here is not enough focus on supporting children and families in their everyday environments – in the home, in early childhood education and services, and in the community. The increasing reliance on therapy delivered in clinical settings has got in the way of children living ordinary and inclusive childhoods. </w:t>
      </w:r>
      <w:r w:rsidRPr="00744D43">
        <w:rPr>
          <w:rFonts w:ascii="Arial" w:hAnsi="Arial" w:cs="Arial"/>
          <w:szCs w:val="24"/>
        </w:rPr>
        <w:t>(NDIS Review 2023, p. 13)</w:t>
      </w:r>
    </w:p>
    <w:p w14:paraId="42A85C79" w14:textId="77777777" w:rsidR="004E051C" w:rsidRPr="0057169D" w:rsidRDefault="004E051C">
      <w:pPr>
        <w:pStyle w:val="BodyText"/>
      </w:pPr>
      <w:r w:rsidRPr="0057169D">
        <w:t>The NDIS review was required to provide a final report to Disability Reform Ministers by October 2023. The Commission will consider any implications from the NDIS review in its final report.</w:t>
      </w:r>
    </w:p>
    <w:p w14:paraId="4FF0621A" w14:textId="77777777" w:rsidR="004E051C" w:rsidRDefault="004E051C">
      <w:pPr>
        <w:pStyle w:val="Heading3"/>
        <w:spacing w:before="120"/>
      </w:pPr>
      <w:r>
        <w:lastRenderedPageBreak/>
        <w:t>ECEC services can support transitions to schools and between settings</w:t>
      </w:r>
    </w:p>
    <w:p w14:paraId="53F0589C" w14:textId="77777777" w:rsidR="004E051C" w:rsidRDefault="004E051C">
      <w:pPr>
        <w:pStyle w:val="BodyText"/>
        <w:keepNext/>
        <w:keepLines/>
      </w:pPr>
      <w:r w:rsidRPr="006765C2">
        <w:t>All</w:t>
      </w:r>
      <w:r>
        <w:t xml:space="preserve"> children make a transition between ECEC and school. In addition, some children will experience day</w:t>
      </w:r>
      <w:r>
        <w:noBreakHyphen/>
        <w:t>to</w:t>
      </w:r>
      <w:r>
        <w:noBreakHyphen/>
        <w:t>day transitions between ECEC settings (such as preschool and CBDC) or between OSHC and school. ECEC services can help support these transitions by facilitating information sharing and supporting continuity of learning.</w:t>
      </w:r>
    </w:p>
    <w:p w14:paraId="4684385B" w14:textId="77777777" w:rsidR="004E051C" w:rsidRDefault="004E051C">
      <w:pPr>
        <w:pStyle w:val="BodyText"/>
      </w:pPr>
      <w:r>
        <w:t xml:space="preserve">The importance of transitions and continuity of learning is recognised in the NQF and the approved learning frameworks. Under Quality Area 6 of the NQS, services are required to support continuity of learning and transitions for each child by sharing information and clarifying responsibilities </w:t>
      </w:r>
      <w:r w:rsidRPr="000D36D6">
        <w:rPr>
          <w:rFonts w:ascii="Arial" w:hAnsi="Arial" w:cs="Arial"/>
          <w:szCs w:val="24"/>
        </w:rPr>
        <w:t>(ACECQA 2023b, p. 95)</w:t>
      </w:r>
      <w:r>
        <w:t>. Continuity of learning and transition is included as a practice in the national learning framework for children aged birth to five, while continuity and transitions is a practice in the national learning framework for school</w:t>
      </w:r>
      <w:r>
        <w:noBreakHyphen/>
        <w:t xml:space="preserve">aged children </w:t>
      </w:r>
      <w:r w:rsidRPr="00A259D1">
        <w:rPr>
          <w:rFonts w:ascii="Arial" w:hAnsi="Arial" w:cs="Arial"/>
          <w:szCs w:val="24"/>
        </w:rPr>
        <w:t>(DoE 2022a, pp. 24–25, 2022d, pp. 25–26)</w:t>
      </w:r>
      <w:r>
        <w:t>.</w:t>
      </w:r>
    </w:p>
    <w:p w14:paraId="5972D32C" w14:textId="77777777" w:rsidR="004E051C" w:rsidRDefault="004E051C">
      <w:pPr>
        <w:pStyle w:val="BodyText"/>
        <w:rPr>
          <w:rFonts w:cstheme="minorHAnsi"/>
        </w:rPr>
      </w:pPr>
      <w:r w:rsidRPr="00C9124F">
        <w:rPr>
          <w:rFonts w:cstheme="minorHAnsi"/>
        </w:rPr>
        <w:t xml:space="preserve">In addition, several states and territories have established transition to school statements, which are completed by a child’s educator prior to them commencing school (table 2.1). Some states have made completion of these </w:t>
      </w:r>
      <w:proofErr w:type="gramStart"/>
      <w:r w:rsidRPr="00C9124F">
        <w:rPr>
          <w:rFonts w:cstheme="minorHAnsi"/>
        </w:rPr>
        <w:t>statements</w:t>
      </w:r>
      <w:proofErr w:type="gramEnd"/>
      <w:r w:rsidRPr="00C9124F">
        <w:rPr>
          <w:rFonts w:cstheme="minorHAnsi"/>
        </w:rPr>
        <w:t xml:space="preserve"> compulsory for some services or in some circumstances.</w:t>
      </w:r>
    </w:p>
    <w:p w14:paraId="4D70988D" w14:textId="77777777" w:rsidR="00363D39" w:rsidRDefault="00363D39" w:rsidP="00363D39">
      <w:pPr>
        <w:pStyle w:val="BodyText"/>
        <w:rPr>
          <w:rFonts w:cstheme="minorHAnsi"/>
        </w:rPr>
      </w:pPr>
      <w:r w:rsidRPr="007F4427">
        <w:rPr>
          <w:rFonts w:cstheme="minorHAnsi"/>
        </w:rPr>
        <w:t>However, some inquiry participants raised</w:t>
      </w:r>
      <w:r>
        <w:rPr>
          <w:rFonts w:cstheme="minorHAnsi"/>
        </w:rPr>
        <w:t xml:space="preserve"> concerns related to transitions to school. For example, one participant suggested schools should be more proactive in engaging with ECEC services and that current transition to school processes should be </w:t>
      </w:r>
      <w:r w:rsidRPr="00E35355">
        <w:rPr>
          <w:rFonts w:cstheme="minorHAnsi"/>
        </w:rPr>
        <w:t>reviewed (Lady Gowrie Child Centre Inc (Adelaide), sub. 25, p. 7). And another raised concerns about the inad</w:t>
      </w:r>
      <w:r w:rsidRPr="009108A3">
        <w:rPr>
          <w:rFonts w:cstheme="minorHAnsi"/>
        </w:rPr>
        <w:t>equacy of transition to school statements and the added workload they placed on educators:</w:t>
      </w:r>
    </w:p>
    <w:p w14:paraId="739926B2" w14:textId="77777777" w:rsidR="00363D39" w:rsidRDefault="00363D39" w:rsidP="00363D39">
      <w:pPr>
        <w:pStyle w:val="Quote"/>
      </w:pPr>
      <w:r>
        <w:t>t</w:t>
      </w:r>
      <w:r w:rsidRPr="00235B67">
        <w:t>ransition to school strategies need to go beyond the current reliance on ECE</w:t>
      </w:r>
      <w:r>
        <w:t xml:space="preserve"> [early childhood education]</w:t>
      </w:r>
      <w:r w:rsidRPr="00235B67">
        <w:t xml:space="preserve"> to provide a developmental summary to schools that invariably does not result in continuity of learning for children. Given the added workload placed on ECE, a review should be undertaken of the current transition to school statements mandated in various jurisdictions and how they are used in by schools</w:t>
      </w:r>
      <w:r>
        <w:t xml:space="preserve"> </w:t>
      </w:r>
      <w:r w:rsidRPr="00235B67">
        <w:t>…</w:t>
      </w:r>
      <w:r>
        <w:t xml:space="preserve"> </w:t>
      </w:r>
      <w:r w:rsidRPr="00235B67">
        <w:t>There needs to be a consistent transition process that is well supported and funded to promote professional collaboration between prior to school and school settings that includes children and families in the process. (</w:t>
      </w:r>
      <w:r w:rsidRPr="00AC3C73">
        <w:t>KU Children’s services</w:t>
      </w:r>
      <w:r w:rsidRPr="00235B67">
        <w:t>, sub.</w:t>
      </w:r>
      <w:r>
        <w:t> </w:t>
      </w:r>
      <w:r w:rsidRPr="00235B67">
        <w:t>83, p. 6)</w:t>
      </w:r>
    </w:p>
    <w:p w14:paraId="556E73D2" w14:textId="77777777" w:rsidR="00363D39" w:rsidRDefault="00363D39" w:rsidP="00363D39">
      <w:pPr>
        <w:pStyle w:val="BodyText"/>
      </w:pPr>
      <w:r w:rsidRPr="00EF753B">
        <w:rPr>
          <w:rFonts w:cstheme="minorHAnsi"/>
        </w:rPr>
        <w:t>Similarly, other inquiry participants highlighted</w:t>
      </w:r>
      <w:r w:rsidRPr="004E6E95">
        <w:rPr>
          <w:rFonts w:cstheme="minorHAnsi"/>
        </w:rPr>
        <w:t xml:space="preserve"> </w:t>
      </w:r>
      <w:r>
        <w:rPr>
          <w:rFonts w:cstheme="minorHAnsi"/>
        </w:rPr>
        <w:t>poor communication between OSHC providers and schools (</w:t>
      </w:r>
      <w:r>
        <w:t xml:space="preserve">Community </w:t>
      </w:r>
      <w:proofErr w:type="gramStart"/>
      <w:r>
        <w:t>Child Care</w:t>
      </w:r>
      <w:proofErr w:type="gramEnd"/>
      <w:r>
        <w:t xml:space="preserve"> Association, sub. 111, p. 16; National Outside School Hours Services Alliance, sub. 103, p. 3).</w:t>
      </w:r>
    </w:p>
    <w:p w14:paraId="0DC7127F" w14:textId="77777777" w:rsidR="00363D39" w:rsidRDefault="00363D39" w:rsidP="00363D39">
      <w:pPr>
        <w:pStyle w:val="BodyText"/>
        <w:rPr>
          <w:rFonts w:cstheme="minorHAnsi"/>
        </w:rPr>
      </w:pPr>
      <w:r>
        <w:rPr>
          <w:rFonts w:cstheme="minorHAnsi"/>
        </w:rPr>
        <w:t xml:space="preserve">There is limited information available to the Commission on the adequacy of transition to school processes and transition to school statements. </w:t>
      </w:r>
      <w:r w:rsidRPr="0023377D">
        <w:rPr>
          <w:rFonts w:cstheme="minorHAnsi"/>
        </w:rPr>
        <w:t xml:space="preserve">The </w:t>
      </w:r>
      <w:r>
        <w:rPr>
          <w:rFonts w:cstheme="minorHAnsi"/>
        </w:rPr>
        <w:t>NSW</w:t>
      </w:r>
      <w:r w:rsidRPr="0023377D">
        <w:rPr>
          <w:rFonts w:cstheme="minorHAnsi"/>
        </w:rPr>
        <w:t xml:space="preserve"> Centre for Education Statistics evaluated the NSW Transition to School Statement in 2015</w:t>
      </w:r>
      <w:r>
        <w:rPr>
          <w:rFonts w:cstheme="minorHAnsi"/>
        </w:rPr>
        <w:t>. It</w:t>
      </w:r>
      <w:r w:rsidRPr="0023377D">
        <w:rPr>
          <w:rFonts w:cstheme="minorHAnsi"/>
        </w:rPr>
        <w:t xml:space="preserve"> found that while it </w:t>
      </w:r>
      <w:r>
        <w:rPr>
          <w:rFonts w:cstheme="minorHAnsi"/>
        </w:rPr>
        <w:t xml:space="preserve">was </w:t>
      </w:r>
      <w:r w:rsidRPr="0023377D">
        <w:rPr>
          <w:rFonts w:cstheme="minorHAnsi"/>
        </w:rPr>
        <w:t xml:space="preserve">impossible to determine whether the statement had made an additional impact on improving transitions to school, it was valued among the stakeholders who used it </w:t>
      </w:r>
      <w:r w:rsidRPr="00EB1042">
        <w:rPr>
          <w:rFonts w:ascii="Arial" w:hAnsi="Arial" w:cs="Arial"/>
          <w:szCs w:val="24"/>
        </w:rPr>
        <w:t>(NSW Centre for Education Statistics and Evaluation 2015, p. 15)</w:t>
      </w:r>
      <w:r w:rsidRPr="0023377D">
        <w:rPr>
          <w:rFonts w:cstheme="minorHAnsi"/>
        </w:rPr>
        <w:t>.</w:t>
      </w:r>
      <w:r>
        <w:rPr>
          <w:rFonts w:cstheme="minorHAnsi"/>
        </w:rPr>
        <w:t xml:space="preserve"> </w:t>
      </w:r>
      <w:r w:rsidRPr="00132D9E">
        <w:rPr>
          <w:rFonts w:cstheme="minorHAnsi"/>
        </w:rPr>
        <w:t>The Commission is seeking further information from inquiry participants on the extent to which these statements are used</w:t>
      </w:r>
      <w:r>
        <w:rPr>
          <w:rFonts w:cstheme="minorHAnsi"/>
        </w:rPr>
        <w:t>, their adequacy</w:t>
      </w:r>
      <w:r w:rsidRPr="00132D9E">
        <w:rPr>
          <w:rFonts w:cstheme="minorHAnsi"/>
        </w:rPr>
        <w:t xml:space="preserve"> and whether they </w:t>
      </w:r>
      <w:r>
        <w:rPr>
          <w:rFonts w:cstheme="minorHAnsi"/>
        </w:rPr>
        <w:t>contribute to more effective transitions</w:t>
      </w:r>
      <w:r w:rsidRPr="00132D9E">
        <w:rPr>
          <w:rFonts w:cstheme="minorHAnsi"/>
        </w:rPr>
        <w:t>.</w:t>
      </w:r>
    </w:p>
    <w:p w14:paraId="291D4AB6" w14:textId="77777777" w:rsidR="00363D39" w:rsidRDefault="00363D39" w:rsidP="00363D39">
      <w:pPr>
        <w:pStyle w:val="BodyText"/>
      </w:pPr>
      <w:r w:rsidRPr="007B36EA">
        <w:t>Separately, the Commission recommend</w:t>
      </w:r>
      <w:r>
        <w:t>s</w:t>
      </w:r>
      <w:r w:rsidRPr="007B36EA">
        <w:t xml:space="preserve"> states and </w:t>
      </w:r>
      <w:r w:rsidRPr="00374CC2">
        <w:t>territories should be responsible for ensuring the delivery of OSHC in government schools (paper 9). This</w:t>
      </w:r>
      <w:r w:rsidRPr="007B36EA">
        <w:t xml:space="preserve"> change should help improve coordination between OSHC services and schools</w:t>
      </w:r>
      <w:r>
        <w:t>, as they would both fall under the responsibility of one level of government</w:t>
      </w:r>
      <w:r w:rsidRPr="007B36EA">
        <w:t>.</w:t>
      </w:r>
    </w:p>
    <w:p w14:paraId="122CFDAE" w14:textId="77777777" w:rsidR="00363D39" w:rsidRDefault="00363D39" w:rsidP="00F475E5">
      <w:pPr>
        <w:pStyle w:val="BodyText"/>
        <w:rPr>
          <w:rFonts w:cstheme="minorHAnsi"/>
        </w:rPr>
      </w:pPr>
    </w:p>
    <w:p w14:paraId="251C3034" w14:textId="41FA7755" w:rsidR="004E051C" w:rsidRDefault="004E051C">
      <w:pPr>
        <w:pStyle w:val="FigureTableHeading"/>
      </w:pPr>
      <w:r>
        <w:lastRenderedPageBreak/>
        <w:t xml:space="preserve">Table </w:t>
      </w:r>
      <w:r w:rsidR="00DC7EEE">
        <w:rPr>
          <w:noProof/>
        </w:rPr>
        <w:t>2</w:t>
      </w:r>
      <w:r>
        <w:t>.</w:t>
      </w:r>
      <w:r w:rsidR="00DC7EEE">
        <w:rPr>
          <w:noProof/>
        </w:rPr>
        <w:t>1</w:t>
      </w:r>
      <w:r>
        <w:rPr>
          <w:noProof/>
        </w:rPr>
        <w:t xml:space="preserve"> – </w:t>
      </w:r>
      <w:r>
        <w:t xml:space="preserve">Several states and territories have transition to school </w:t>
      </w:r>
      <w:proofErr w:type="spellStart"/>
      <w:r>
        <w:t>statements</w:t>
      </w:r>
      <w:r w:rsidRPr="00EC0C27">
        <w:rPr>
          <w:vertAlign w:val="superscript"/>
        </w:rPr>
        <w:t>a</w:t>
      </w:r>
      <w:proofErr w:type="spellEnd"/>
    </w:p>
    <w:p w14:paraId="4571FFF9" w14:textId="77777777" w:rsidR="004E051C" w:rsidRDefault="004E051C">
      <w:pPr>
        <w:pStyle w:val="FigureTableSubheading"/>
      </w:pPr>
      <w:r>
        <w:t>Summary of transition to school statements in states and territories</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567"/>
        <w:gridCol w:w="1702"/>
        <w:gridCol w:w="4819"/>
        <w:gridCol w:w="2550"/>
      </w:tblGrid>
      <w:tr w:rsidR="004E051C" w:rsidRPr="00030C67" w14:paraId="2AA6150B" w14:textId="77777777">
        <w:trPr>
          <w:tblHeader/>
        </w:trPr>
        <w:tc>
          <w:tcPr>
            <w:tcW w:w="294" w:type="pct"/>
            <w:tcBorders>
              <w:bottom w:val="single" w:sz="4" w:space="0" w:color="B3B3B3"/>
            </w:tcBorders>
            <w:shd w:val="clear" w:color="000000" w:fill="auto"/>
            <w:vAlign w:val="bottom"/>
          </w:tcPr>
          <w:p w14:paraId="4175DF6E" w14:textId="77777777" w:rsidR="004E051C" w:rsidRPr="00030C67" w:rsidRDefault="004E051C" w:rsidP="00AA7F60">
            <w:pPr>
              <w:spacing w:before="46" w:after="46"/>
              <w:ind w:right="108"/>
              <w:rPr>
                <w:rFonts w:ascii="Arial (Body)" w:hAnsi="Arial (Body)"/>
                <w:color w:val="265A9A"/>
              </w:rPr>
            </w:pPr>
          </w:p>
        </w:tc>
        <w:tc>
          <w:tcPr>
            <w:tcW w:w="883" w:type="pct"/>
            <w:tcBorders>
              <w:bottom w:val="single" w:sz="4" w:space="0" w:color="B3B3B3"/>
            </w:tcBorders>
            <w:shd w:val="clear" w:color="000000" w:fill="auto"/>
            <w:vAlign w:val="bottom"/>
          </w:tcPr>
          <w:p w14:paraId="62094EFC" w14:textId="77777777" w:rsidR="004E051C" w:rsidRPr="00030C67" w:rsidRDefault="004E051C">
            <w:pPr>
              <w:pStyle w:val="TableHeading"/>
            </w:pPr>
            <w:r>
              <w:t>Name</w:t>
            </w:r>
          </w:p>
        </w:tc>
        <w:tc>
          <w:tcPr>
            <w:tcW w:w="2500" w:type="pct"/>
            <w:tcBorders>
              <w:bottom w:val="single" w:sz="4" w:space="0" w:color="B3B3B3"/>
            </w:tcBorders>
            <w:shd w:val="clear" w:color="000000" w:fill="auto"/>
            <w:vAlign w:val="bottom"/>
          </w:tcPr>
          <w:p w14:paraId="1A27F317" w14:textId="77777777" w:rsidR="004E051C" w:rsidRPr="00030C67" w:rsidRDefault="004E051C">
            <w:pPr>
              <w:pStyle w:val="TableHeading"/>
            </w:pPr>
            <w:r>
              <w:t>Details</w:t>
            </w:r>
          </w:p>
        </w:tc>
        <w:tc>
          <w:tcPr>
            <w:tcW w:w="1323" w:type="pct"/>
            <w:tcBorders>
              <w:bottom w:val="single" w:sz="4" w:space="0" w:color="B3B3B3"/>
            </w:tcBorders>
            <w:shd w:val="clear" w:color="000000" w:fill="auto"/>
          </w:tcPr>
          <w:p w14:paraId="09A56F28" w14:textId="77777777" w:rsidR="004E051C" w:rsidRDefault="004E051C" w:rsidP="00F554B9">
            <w:pPr>
              <w:pStyle w:val="TableHeading"/>
              <w:spacing w:before="80" w:after="0"/>
            </w:pPr>
            <w:r>
              <w:t>Requirements to complete</w:t>
            </w:r>
          </w:p>
        </w:tc>
      </w:tr>
      <w:tr w:rsidR="004E051C" w:rsidRPr="00030C67" w14:paraId="3393FDD6" w14:textId="77777777">
        <w:tc>
          <w:tcPr>
            <w:tcW w:w="294" w:type="pct"/>
            <w:tcBorders>
              <w:top w:val="single" w:sz="4" w:space="0" w:color="B3B3B3"/>
              <w:bottom w:val="nil"/>
            </w:tcBorders>
            <w:shd w:val="clear" w:color="000000" w:fill="F2F2F2"/>
          </w:tcPr>
          <w:p w14:paraId="408213B9" w14:textId="77777777" w:rsidR="004E051C" w:rsidRPr="00030C67" w:rsidRDefault="004E051C" w:rsidP="00AA7F60">
            <w:pPr>
              <w:pStyle w:val="TableHeading"/>
              <w:spacing w:before="46" w:after="46"/>
            </w:pPr>
            <w:r>
              <w:t>NSW</w:t>
            </w:r>
          </w:p>
        </w:tc>
        <w:tc>
          <w:tcPr>
            <w:tcW w:w="883" w:type="pct"/>
            <w:tcBorders>
              <w:top w:val="single" w:sz="4" w:space="0" w:color="B3B3B3"/>
              <w:bottom w:val="nil"/>
            </w:tcBorders>
            <w:shd w:val="clear" w:color="000000" w:fill="F2F2F2"/>
          </w:tcPr>
          <w:p w14:paraId="593B7A0B" w14:textId="77777777" w:rsidR="004E051C" w:rsidRPr="00030C67" w:rsidRDefault="004E051C">
            <w:pPr>
              <w:pStyle w:val="TableBody"/>
              <w:spacing w:before="45" w:after="45"/>
              <w:ind w:right="108"/>
              <w:rPr>
                <w:rFonts w:ascii="Arial (Body)" w:hAnsi="Arial (Body)"/>
                <w:color w:val="000000"/>
              </w:rPr>
            </w:pPr>
            <w:r>
              <w:rPr>
                <w:rFonts w:ascii="Arial (Body)" w:hAnsi="Arial (Body)"/>
                <w:color w:val="000000"/>
              </w:rPr>
              <w:t>Transition to School Statement</w:t>
            </w:r>
          </w:p>
        </w:tc>
        <w:tc>
          <w:tcPr>
            <w:tcW w:w="2500" w:type="pct"/>
            <w:tcBorders>
              <w:top w:val="single" w:sz="4" w:space="0" w:color="B3B3B3"/>
              <w:bottom w:val="nil"/>
            </w:tcBorders>
            <w:shd w:val="clear" w:color="000000" w:fill="F2F2F2"/>
          </w:tcPr>
          <w:p w14:paraId="59C5F008" w14:textId="77777777" w:rsidR="004E051C" w:rsidRPr="001C0D7E" w:rsidRDefault="004E051C">
            <w:pPr>
              <w:pStyle w:val="TableBody"/>
              <w:spacing w:before="45" w:after="45"/>
              <w:ind w:right="108"/>
              <w:rPr>
                <w:rFonts w:ascii="Arial (Body)" w:hAnsi="Arial (Body)"/>
              </w:rPr>
            </w:pPr>
            <w:r w:rsidRPr="0057169D">
              <w:rPr>
                <w:rFonts w:ascii="Arial (Body)" w:hAnsi="Arial (Body)"/>
              </w:rPr>
              <w:t>Completed by a child</w:t>
            </w:r>
            <w:r>
              <w:rPr>
                <w:rFonts w:ascii="Arial (Body)" w:hAnsi="Arial (Body)"/>
              </w:rPr>
              <w:t>’</w:t>
            </w:r>
            <w:r w:rsidRPr="001C0D7E">
              <w:rPr>
                <w:rFonts w:ascii="Arial (Body)" w:hAnsi="Arial (Body)"/>
              </w:rPr>
              <w:t xml:space="preserve">s educator and summarises </w:t>
            </w:r>
            <w:r>
              <w:rPr>
                <w:rFonts w:ascii="Arial (Body)" w:hAnsi="Arial (Body)"/>
              </w:rPr>
              <w:t xml:space="preserve">the </w:t>
            </w:r>
            <w:r w:rsidRPr="0057169D">
              <w:rPr>
                <w:rFonts w:ascii="Arial (Body)" w:hAnsi="Arial (Body)"/>
              </w:rPr>
              <w:t>child</w:t>
            </w:r>
            <w:r>
              <w:rPr>
                <w:rFonts w:ascii="Arial (Body)" w:hAnsi="Arial (Body)"/>
              </w:rPr>
              <w:t>’</w:t>
            </w:r>
            <w:r w:rsidRPr="001C0D7E">
              <w:rPr>
                <w:rFonts w:ascii="Arial (Body)" w:hAnsi="Arial (Body)"/>
              </w:rPr>
              <w:t>s strengths, interests and approaches to learning.</w:t>
            </w:r>
          </w:p>
        </w:tc>
        <w:tc>
          <w:tcPr>
            <w:tcW w:w="1323" w:type="pct"/>
            <w:tcBorders>
              <w:top w:val="single" w:sz="4" w:space="0" w:color="B3B3B3"/>
              <w:bottom w:val="nil"/>
            </w:tcBorders>
            <w:shd w:val="clear" w:color="000000" w:fill="F2F2F2"/>
          </w:tcPr>
          <w:p w14:paraId="19963C4C" w14:textId="77777777" w:rsidR="004E051C" w:rsidRPr="0057169D" w:rsidRDefault="004E051C">
            <w:pPr>
              <w:pStyle w:val="TableBody"/>
              <w:spacing w:before="45" w:after="45"/>
              <w:ind w:right="108"/>
              <w:rPr>
                <w:rFonts w:ascii="Arial (Body)" w:hAnsi="Arial (Body)"/>
              </w:rPr>
            </w:pPr>
            <w:r w:rsidRPr="001C0D7E">
              <w:rPr>
                <w:rFonts w:ascii="Arial (Body)" w:hAnsi="Arial (Body)"/>
              </w:rPr>
              <w:t>Compulsory for services receiving preschool funding under the Start Strong program</w:t>
            </w:r>
            <w:r>
              <w:rPr>
                <w:rFonts w:ascii="Arial (Body)" w:hAnsi="Arial (Body)"/>
              </w:rPr>
              <w:t>.</w:t>
            </w:r>
          </w:p>
        </w:tc>
      </w:tr>
      <w:tr w:rsidR="004E051C" w:rsidRPr="00030C67" w14:paraId="1D98A5F9" w14:textId="77777777">
        <w:tc>
          <w:tcPr>
            <w:tcW w:w="294" w:type="pct"/>
            <w:tcBorders>
              <w:top w:val="nil"/>
              <w:bottom w:val="nil"/>
            </w:tcBorders>
            <w:shd w:val="clear" w:color="000000" w:fill="auto"/>
          </w:tcPr>
          <w:p w14:paraId="4F7DC67E" w14:textId="77777777" w:rsidR="004E051C" w:rsidRPr="00030C67" w:rsidRDefault="004E051C" w:rsidP="00AA7F60">
            <w:pPr>
              <w:pStyle w:val="TableHeading"/>
              <w:spacing w:before="46" w:after="46"/>
            </w:pPr>
            <w:r>
              <w:t>Vic</w:t>
            </w:r>
          </w:p>
        </w:tc>
        <w:tc>
          <w:tcPr>
            <w:tcW w:w="883" w:type="pct"/>
            <w:tcBorders>
              <w:top w:val="nil"/>
              <w:bottom w:val="nil"/>
            </w:tcBorders>
            <w:shd w:val="clear" w:color="000000" w:fill="auto"/>
          </w:tcPr>
          <w:p w14:paraId="2734C21E" w14:textId="77777777" w:rsidR="004E051C" w:rsidRPr="00030C67" w:rsidRDefault="004E051C">
            <w:pPr>
              <w:pStyle w:val="TableBody"/>
              <w:spacing w:before="45" w:after="45"/>
              <w:ind w:right="108"/>
              <w:rPr>
                <w:rFonts w:ascii="Arial (Body)" w:hAnsi="Arial (Body)"/>
                <w:color w:val="000000"/>
              </w:rPr>
            </w:pPr>
            <w:r>
              <w:rPr>
                <w:rFonts w:ascii="Arial (Body)" w:hAnsi="Arial (Body)"/>
                <w:color w:val="000000"/>
              </w:rPr>
              <w:t>Transition Learning and Development Statement</w:t>
            </w:r>
          </w:p>
        </w:tc>
        <w:tc>
          <w:tcPr>
            <w:tcW w:w="2500" w:type="pct"/>
            <w:tcBorders>
              <w:top w:val="nil"/>
              <w:bottom w:val="nil"/>
            </w:tcBorders>
            <w:shd w:val="clear" w:color="000000" w:fill="auto"/>
          </w:tcPr>
          <w:p w14:paraId="2E07B36B" w14:textId="77777777" w:rsidR="004E051C" w:rsidRPr="00030C67" w:rsidRDefault="004E051C">
            <w:pPr>
              <w:pStyle w:val="TableBody"/>
              <w:spacing w:before="45" w:after="45"/>
              <w:ind w:right="108"/>
              <w:rPr>
                <w:rFonts w:ascii="Arial (Body)" w:hAnsi="Arial (Body)"/>
                <w:color w:val="000000"/>
              </w:rPr>
            </w:pPr>
            <w:r>
              <w:rPr>
                <w:rFonts w:ascii="Arial (Body)" w:hAnsi="Arial (Body)"/>
                <w:color w:val="000000"/>
              </w:rPr>
              <w:t>Comprises sections completed by a child’s educator, the child and the child’s family. Families are given an opportunity to opt out before the statement is shared with the school. Funding of $9 per child is provided to contribute towards releasing ECTs to complete the statement.</w:t>
            </w:r>
          </w:p>
        </w:tc>
        <w:tc>
          <w:tcPr>
            <w:tcW w:w="1323" w:type="pct"/>
            <w:tcBorders>
              <w:top w:val="nil"/>
              <w:bottom w:val="nil"/>
            </w:tcBorders>
            <w:shd w:val="clear" w:color="000000" w:fill="auto"/>
          </w:tcPr>
          <w:p w14:paraId="787AE463" w14:textId="77777777" w:rsidR="004E051C" w:rsidRDefault="004E051C">
            <w:pPr>
              <w:pStyle w:val="TableBody"/>
              <w:spacing w:before="45" w:after="45"/>
              <w:ind w:right="108"/>
              <w:rPr>
                <w:rFonts w:ascii="Arial (Body)" w:hAnsi="Arial (Body)"/>
                <w:color w:val="000000"/>
              </w:rPr>
            </w:pPr>
            <w:r>
              <w:rPr>
                <w:rFonts w:ascii="Arial (Body)" w:hAnsi="Arial (Body)"/>
                <w:color w:val="000000"/>
              </w:rPr>
              <w:t>Kindergarten funding conditions require that every child transitioning to school has a statement.</w:t>
            </w:r>
          </w:p>
        </w:tc>
      </w:tr>
      <w:tr w:rsidR="004E051C" w:rsidRPr="00030C67" w14:paraId="2528274B" w14:textId="77777777">
        <w:tc>
          <w:tcPr>
            <w:tcW w:w="294" w:type="pct"/>
            <w:shd w:val="clear" w:color="000000" w:fill="F2F2F2"/>
          </w:tcPr>
          <w:p w14:paraId="04240C9D" w14:textId="77777777" w:rsidR="004E051C" w:rsidRPr="00030C67" w:rsidRDefault="004E051C" w:rsidP="00AA7F60">
            <w:pPr>
              <w:pStyle w:val="TableHeading"/>
              <w:spacing w:before="46" w:after="46"/>
            </w:pPr>
            <w:r>
              <w:t>QLD</w:t>
            </w:r>
          </w:p>
        </w:tc>
        <w:tc>
          <w:tcPr>
            <w:tcW w:w="883" w:type="pct"/>
            <w:shd w:val="clear" w:color="000000" w:fill="F2F2F2"/>
          </w:tcPr>
          <w:p w14:paraId="76049DA0" w14:textId="77777777" w:rsidR="004E051C" w:rsidRPr="00030C67" w:rsidRDefault="004E051C">
            <w:pPr>
              <w:pStyle w:val="TableBody"/>
              <w:spacing w:before="45" w:after="45"/>
              <w:ind w:right="108"/>
              <w:rPr>
                <w:rFonts w:ascii="Arial (Body)" w:hAnsi="Arial (Body)"/>
                <w:color w:val="000000"/>
              </w:rPr>
            </w:pPr>
            <w:r>
              <w:rPr>
                <w:rFonts w:ascii="Arial (Body)" w:hAnsi="Arial (Body)"/>
                <w:color w:val="000000"/>
              </w:rPr>
              <w:t>Kindergarten Transition Statements</w:t>
            </w:r>
          </w:p>
        </w:tc>
        <w:tc>
          <w:tcPr>
            <w:tcW w:w="2500" w:type="pct"/>
            <w:shd w:val="clear" w:color="000000" w:fill="F2F2F2"/>
          </w:tcPr>
          <w:p w14:paraId="2A2004FA" w14:textId="77777777" w:rsidR="004E051C" w:rsidRPr="00030C67" w:rsidRDefault="004E051C">
            <w:pPr>
              <w:pStyle w:val="TableBody"/>
              <w:spacing w:before="45" w:after="45"/>
              <w:ind w:right="108"/>
              <w:rPr>
                <w:rFonts w:ascii="Arial (Body)" w:hAnsi="Arial (Body)"/>
                <w:color w:val="000000"/>
              </w:rPr>
            </w:pPr>
            <w:r>
              <w:rPr>
                <w:rFonts w:ascii="Arial (Body)" w:hAnsi="Arial (Body)"/>
                <w:color w:val="000000"/>
              </w:rPr>
              <w:t>Kindergarten teachers complete and provide a snapshot of the child’s knowledge, skills and dispositions for learning.</w:t>
            </w:r>
          </w:p>
        </w:tc>
        <w:tc>
          <w:tcPr>
            <w:tcW w:w="1323" w:type="pct"/>
            <w:shd w:val="clear" w:color="000000" w:fill="F2F2F2"/>
          </w:tcPr>
          <w:p w14:paraId="296BBC6B" w14:textId="77777777" w:rsidR="004E051C" w:rsidRDefault="004E051C">
            <w:pPr>
              <w:pStyle w:val="TableBody"/>
              <w:spacing w:before="45" w:after="45"/>
              <w:ind w:right="108"/>
              <w:rPr>
                <w:rFonts w:ascii="Arial (Body)" w:hAnsi="Arial (Body)"/>
                <w:color w:val="000000"/>
              </w:rPr>
            </w:pPr>
            <w:r>
              <w:rPr>
                <w:rFonts w:ascii="Arial (Body)" w:hAnsi="Arial (Body)"/>
                <w:color w:val="000000"/>
              </w:rPr>
              <w:t>Only compulsory for children attending a Queensland government approved kindergarten program for at least 15 hours a week.</w:t>
            </w:r>
          </w:p>
        </w:tc>
      </w:tr>
      <w:tr w:rsidR="004E051C" w:rsidRPr="00030C67" w14:paraId="527A61D4" w14:textId="77777777">
        <w:tc>
          <w:tcPr>
            <w:tcW w:w="294" w:type="pct"/>
            <w:shd w:val="clear" w:color="auto" w:fill="auto"/>
          </w:tcPr>
          <w:p w14:paraId="10783A98" w14:textId="77777777" w:rsidR="004E051C" w:rsidRPr="00030C67" w:rsidRDefault="004E051C" w:rsidP="00AA7F60">
            <w:pPr>
              <w:pStyle w:val="TableHeading"/>
              <w:spacing w:before="46" w:after="46"/>
            </w:pPr>
            <w:r>
              <w:t>SA</w:t>
            </w:r>
          </w:p>
        </w:tc>
        <w:tc>
          <w:tcPr>
            <w:tcW w:w="3383" w:type="pct"/>
            <w:gridSpan w:val="2"/>
            <w:shd w:val="clear" w:color="auto" w:fill="auto"/>
          </w:tcPr>
          <w:p w14:paraId="6F6CA498" w14:textId="77777777" w:rsidR="004E051C" w:rsidRDefault="004E051C">
            <w:pPr>
              <w:pStyle w:val="TableBody"/>
              <w:spacing w:before="45" w:after="45"/>
              <w:ind w:right="108"/>
              <w:rPr>
                <w:rFonts w:ascii="Arial (Body)" w:hAnsi="Arial (Body)"/>
                <w:color w:val="000000"/>
              </w:rPr>
            </w:pPr>
            <w:r>
              <w:rPr>
                <w:rFonts w:ascii="Arial (Body)" w:hAnsi="Arial (Body)"/>
                <w:color w:val="000000"/>
              </w:rPr>
              <w:t>No information available publicly.</w:t>
            </w:r>
          </w:p>
        </w:tc>
        <w:tc>
          <w:tcPr>
            <w:tcW w:w="1323" w:type="pct"/>
          </w:tcPr>
          <w:p w14:paraId="35F35115" w14:textId="77777777" w:rsidR="004E051C" w:rsidRDefault="004E051C">
            <w:pPr>
              <w:pStyle w:val="TableBody"/>
              <w:spacing w:before="45" w:after="45"/>
              <w:ind w:right="108"/>
              <w:rPr>
                <w:rFonts w:ascii="Arial (Body)" w:hAnsi="Arial (Body)"/>
                <w:color w:val="000000"/>
              </w:rPr>
            </w:pPr>
          </w:p>
        </w:tc>
      </w:tr>
      <w:tr w:rsidR="004E051C" w:rsidRPr="00030C67" w14:paraId="15B3AE46" w14:textId="77777777">
        <w:tc>
          <w:tcPr>
            <w:tcW w:w="294" w:type="pct"/>
            <w:shd w:val="clear" w:color="000000" w:fill="F2F2F2"/>
          </w:tcPr>
          <w:p w14:paraId="3C07DBA1" w14:textId="77777777" w:rsidR="004E051C" w:rsidRDefault="004E051C" w:rsidP="00AA7F60">
            <w:pPr>
              <w:pStyle w:val="TableHeading"/>
              <w:spacing w:before="46" w:after="46"/>
            </w:pPr>
            <w:r>
              <w:t>WA</w:t>
            </w:r>
          </w:p>
        </w:tc>
        <w:tc>
          <w:tcPr>
            <w:tcW w:w="3383" w:type="pct"/>
            <w:gridSpan w:val="2"/>
            <w:shd w:val="clear" w:color="000000" w:fill="F2F2F2"/>
          </w:tcPr>
          <w:p w14:paraId="1481929F" w14:textId="77777777" w:rsidR="004E051C" w:rsidRDefault="004E051C">
            <w:pPr>
              <w:pStyle w:val="TableBody"/>
              <w:spacing w:before="45" w:after="45"/>
              <w:ind w:right="108"/>
              <w:rPr>
                <w:rFonts w:ascii="Arial (Body)" w:hAnsi="Arial (Body)"/>
                <w:color w:val="000000"/>
              </w:rPr>
            </w:pPr>
            <w:r>
              <w:rPr>
                <w:rFonts w:ascii="Arial (Body)" w:hAnsi="Arial (Body)"/>
                <w:color w:val="000000"/>
              </w:rPr>
              <w:t>No information available publicly.</w:t>
            </w:r>
          </w:p>
        </w:tc>
        <w:tc>
          <w:tcPr>
            <w:tcW w:w="1323" w:type="pct"/>
            <w:shd w:val="clear" w:color="000000" w:fill="F2F2F2"/>
          </w:tcPr>
          <w:p w14:paraId="49E29D27" w14:textId="77777777" w:rsidR="004E051C" w:rsidRDefault="004E051C">
            <w:pPr>
              <w:pStyle w:val="TableBody"/>
              <w:spacing w:before="45" w:after="45"/>
              <w:ind w:right="108"/>
              <w:rPr>
                <w:rFonts w:ascii="Arial (Body)" w:hAnsi="Arial (Body)"/>
                <w:color w:val="000000"/>
              </w:rPr>
            </w:pPr>
          </w:p>
        </w:tc>
      </w:tr>
      <w:tr w:rsidR="004E051C" w:rsidRPr="00030C67" w14:paraId="52BEC49A" w14:textId="77777777">
        <w:tc>
          <w:tcPr>
            <w:tcW w:w="294" w:type="pct"/>
            <w:shd w:val="clear" w:color="auto" w:fill="auto"/>
          </w:tcPr>
          <w:p w14:paraId="29316363" w14:textId="77777777" w:rsidR="004E051C" w:rsidRPr="00030C67" w:rsidRDefault="004E051C" w:rsidP="00AA7F60">
            <w:pPr>
              <w:pStyle w:val="TableHeading"/>
              <w:spacing w:before="46" w:after="46"/>
            </w:pPr>
            <w:r>
              <w:t>TAS</w:t>
            </w:r>
          </w:p>
        </w:tc>
        <w:tc>
          <w:tcPr>
            <w:tcW w:w="3383" w:type="pct"/>
            <w:gridSpan w:val="2"/>
            <w:shd w:val="clear" w:color="auto" w:fill="auto"/>
          </w:tcPr>
          <w:p w14:paraId="66BE8A08" w14:textId="77777777" w:rsidR="004E051C" w:rsidRDefault="004E051C">
            <w:pPr>
              <w:pStyle w:val="TableBody"/>
              <w:spacing w:before="45" w:after="45"/>
              <w:ind w:right="108"/>
              <w:rPr>
                <w:rFonts w:ascii="Arial (Body)" w:hAnsi="Arial (Body)"/>
                <w:color w:val="000000"/>
              </w:rPr>
            </w:pPr>
            <w:r>
              <w:rPr>
                <w:rFonts w:ascii="Arial (Body)" w:hAnsi="Arial (Body)"/>
                <w:color w:val="000000"/>
              </w:rPr>
              <w:t>No information available publicly.</w:t>
            </w:r>
          </w:p>
        </w:tc>
        <w:tc>
          <w:tcPr>
            <w:tcW w:w="1323" w:type="pct"/>
          </w:tcPr>
          <w:p w14:paraId="36C2302B" w14:textId="77777777" w:rsidR="004E051C" w:rsidRDefault="004E051C">
            <w:pPr>
              <w:pStyle w:val="TableBody"/>
              <w:spacing w:before="45" w:after="45"/>
              <w:ind w:right="108"/>
              <w:rPr>
                <w:rFonts w:ascii="Arial (Body)" w:hAnsi="Arial (Body)"/>
                <w:color w:val="000000"/>
              </w:rPr>
            </w:pPr>
          </w:p>
        </w:tc>
      </w:tr>
      <w:tr w:rsidR="004E051C" w:rsidRPr="00030C67" w14:paraId="58D075B9" w14:textId="77777777">
        <w:tc>
          <w:tcPr>
            <w:tcW w:w="294" w:type="pct"/>
            <w:shd w:val="clear" w:color="000000" w:fill="F2F2F2"/>
          </w:tcPr>
          <w:p w14:paraId="7B891FC2" w14:textId="77777777" w:rsidR="004E051C" w:rsidRPr="00030C67" w:rsidRDefault="004E051C" w:rsidP="00AA7F60">
            <w:pPr>
              <w:pStyle w:val="TableHeading"/>
              <w:spacing w:before="46" w:after="46"/>
            </w:pPr>
            <w:r>
              <w:t>NT</w:t>
            </w:r>
          </w:p>
        </w:tc>
        <w:tc>
          <w:tcPr>
            <w:tcW w:w="883" w:type="pct"/>
            <w:shd w:val="clear" w:color="000000" w:fill="F2F2F2"/>
          </w:tcPr>
          <w:p w14:paraId="5694512F" w14:textId="77777777" w:rsidR="004E051C" w:rsidRDefault="004E051C">
            <w:pPr>
              <w:pStyle w:val="TableBody"/>
              <w:spacing w:before="45" w:after="45"/>
              <w:ind w:right="108"/>
              <w:rPr>
                <w:rFonts w:ascii="Arial (Body)" w:hAnsi="Arial (Body)"/>
                <w:color w:val="000000"/>
              </w:rPr>
            </w:pPr>
            <w:r>
              <w:rPr>
                <w:rFonts w:ascii="Arial (Body)" w:hAnsi="Arial (Body)"/>
                <w:color w:val="000000"/>
              </w:rPr>
              <w:t>Early childhood transitioning to school – child transition statement</w:t>
            </w:r>
          </w:p>
        </w:tc>
        <w:tc>
          <w:tcPr>
            <w:tcW w:w="2500" w:type="pct"/>
            <w:shd w:val="clear" w:color="000000" w:fill="F2F2F2"/>
          </w:tcPr>
          <w:p w14:paraId="12FB4DB8" w14:textId="77777777" w:rsidR="004E051C" w:rsidRDefault="004E051C">
            <w:pPr>
              <w:pStyle w:val="TableBody"/>
              <w:spacing w:before="45" w:after="45"/>
              <w:ind w:right="108"/>
              <w:rPr>
                <w:rFonts w:ascii="Arial (Body)" w:hAnsi="Arial (Body)"/>
                <w:color w:val="000000"/>
              </w:rPr>
            </w:pPr>
            <w:r>
              <w:rPr>
                <w:rFonts w:ascii="Arial (Body)" w:hAnsi="Arial (Body)"/>
                <w:color w:val="000000"/>
              </w:rPr>
              <w:t>Teachers and educators are responsible for completing a statement for each child in their preschool or Families as First Teachers program.</w:t>
            </w:r>
          </w:p>
        </w:tc>
        <w:tc>
          <w:tcPr>
            <w:tcW w:w="1323" w:type="pct"/>
            <w:shd w:val="clear" w:color="000000" w:fill="F2F2F2"/>
          </w:tcPr>
          <w:p w14:paraId="4DE156EC" w14:textId="77777777" w:rsidR="004E051C" w:rsidRPr="0057169D" w:rsidRDefault="004E051C">
            <w:pPr>
              <w:pStyle w:val="TableBody"/>
              <w:spacing w:before="45" w:after="45"/>
              <w:ind w:right="108"/>
              <w:rPr>
                <w:rFonts w:ascii="Arial (Body)" w:hAnsi="Arial (Body)"/>
              </w:rPr>
            </w:pPr>
            <w:r w:rsidRPr="0057169D">
              <w:rPr>
                <w:rFonts w:ascii="Arial (Body)" w:hAnsi="Arial (Body)"/>
              </w:rPr>
              <w:t>No information available publicly</w:t>
            </w:r>
            <w:r>
              <w:rPr>
                <w:rFonts w:ascii="Arial (Body)" w:hAnsi="Arial (Body)"/>
              </w:rPr>
              <w:t>.</w:t>
            </w:r>
          </w:p>
        </w:tc>
      </w:tr>
      <w:tr w:rsidR="004E051C" w:rsidRPr="00030C67" w14:paraId="7A6D07A5" w14:textId="77777777">
        <w:tc>
          <w:tcPr>
            <w:tcW w:w="294" w:type="pct"/>
            <w:tcBorders>
              <w:bottom w:val="single" w:sz="4" w:space="0" w:color="B3B3B3"/>
            </w:tcBorders>
            <w:shd w:val="clear" w:color="auto" w:fill="auto"/>
          </w:tcPr>
          <w:p w14:paraId="504119D1" w14:textId="77777777" w:rsidR="004E051C" w:rsidRPr="00030C67" w:rsidRDefault="004E051C" w:rsidP="00AA7F60">
            <w:pPr>
              <w:pStyle w:val="TableHeading"/>
              <w:spacing w:before="46" w:after="46"/>
            </w:pPr>
            <w:r>
              <w:t>ACT</w:t>
            </w:r>
          </w:p>
        </w:tc>
        <w:tc>
          <w:tcPr>
            <w:tcW w:w="883" w:type="pct"/>
            <w:tcBorders>
              <w:bottom w:val="single" w:sz="4" w:space="0" w:color="B3B3B3"/>
            </w:tcBorders>
            <w:shd w:val="clear" w:color="auto" w:fill="auto"/>
          </w:tcPr>
          <w:p w14:paraId="6C883812" w14:textId="77777777" w:rsidR="004E051C" w:rsidRDefault="004E051C">
            <w:pPr>
              <w:pStyle w:val="TableBody"/>
              <w:spacing w:before="45" w:after="45"/>
              <w:ind w:right="108"/>
              <w:rPr>
                <w:rFonts w:ascii="Arial (Body)" w:hAnsi="Arial (Body)"/>
                <w:color w:val="000000"/>
              </w:rPr>
            </w:pPr>
            <w:r>
              <w:rPr>
                <w:rFonts w:ascii="Arial (Body)" w:hAnsi="Arial (Body)"/>
                <w:color w:val="000000"/>
              </w:rPr>
              <w:t>Continuity and Transitioning Statement</w:t>
            </w:r>
          </w:p>
        </w:tc>
        <w:tc>
          <w:tcPr>
            <w:tcW w:w="2500" w:type="pct"/>
            <w:tcBorders>
              <w:bottom w:val="single" w:sz="4" w:space="0" w:color="B3B3B3"/>
            </w:tcBorders>
            <w:shd w:val="clear" w:color="auto" w:fill="auto"/>
          </w:tcPr>
          <w:p w14:paraId="40DBFFE1" w14:textId="77777777" w:rsidR="004E051C" w:rsidRDefault="004E051C">
            <w:pPr>
              <w:pStyle w:val="TableBody"/>
              <w:spacing w:before="45" w:after="45"/>
              <w:ind w:right="108"/>
              <w:rPr>
                <w:rFonts w:ascii="Arial (Body)" w:hAnsi="Arial (Body)"/>
                <w:color w:val="000000"/>
              </w:rPr>
            </w:pPr>
            <w:r>
              <w:rPr>
                <w:rFonts w:ascii="Arial (Body)" w:hAnsi="Arial (Body)"/>
                <w:color w:val="000000"/>
              </w:rPr>
              <w:t>The statement is for children transitioning from ECEC services to four</w:t>
            </w:r>
            <w:r>
              <w:rPr>
                <w:rFonts w:ascii="Arial (Body)" w:hAnsi="Arial (Body)"/>
                <w:color w:val="000000"/>
              </w:rPr>
              <w:noBreakHyphen/>
              <w:t xml:space="preserve">year old preschool </w:t>
            </w:r>
            <w:r>
              <w:t>rather than the first year of full</w:t>
            </w:r>
            <w:r>
              <w:noBreakHyphen/>
              <w:t>time school</w:t>
            </w:r>
            <w:r>
              <w:rPr>
                <w:rFonts w:ascii="Arial (Body)" w:hAnsi="Arial (Body)"/>
                <w:color w:val="000000"/>
              </w:rPr>
              <w:t xml:space="preserve"> and captures educator, child and family reflections.</w:t>
            </w:r>
          </w:p>
        </w:tc>
        <w:tc>
          <w:tcPr>
            <w:tcW w:w="1323" w:type="pct"/>
            <w:tcBorders>
              <w:bottom w:val="single" w:sz="4" w:space="0" w:color="B3B3B3"/>
            </w:tcBorders>
          </w:tcPr>
          <w:p w14:paraId="52F41F99" w14:textId="77777777" w:rsidR="004E051C" w:rsidRPr="0057169D" w:rsidRDefault="004E051C">
            <w:pPr>
              <w:pStyle w:val="TableBody"/>
              <w:spacing w:before="45" w:after="45"/>
              <w:ind w:right="108"/>
              <w:rPr>
                <w:rFonts w:ascii="Arial (Body)" w:hAnsi="Arial (Body)"/>
              </w:rPr>
            </w:pPr>
            <w:r w:rsidRPr="0057169D">
              <w:rPr>
                <w:rFonts w:ascii="Arial (Body)" w:hAnsi="Arial (Body)"/>
              </w:rPr>
              <w:t>No information available publicly</w:t>
            </w:r>
            <w:r>
              <w:rPr>
                <w:rFonts w:ascii="Arial (Body)" w:hAnsi="Arial (Body)"/>
              </w:rPr>
              <w:t>.</w:t>
            </w:r>
          </w:p>
        </w:tc>
      </w:tr>
    </w:tbl>
    <w:p w14:paraId="43CB47B1" w14:textId="77777777" w:rsidR="004E051C" w:rsidRDefault="004E051C">
      <w:pPr>
        <w:pStyle w:val="Note"/>
      </w:pPr>
      <w:r w:rsidRPr="00C36914">
        <w:rPr>
          <w:b/>
          <w:bCs/>
        </w:rPr>
        <w:t>a.</w:t>
      </w:r>
      <w:r w:rsidRPr="00C36914">
        <w:t xml:space="preserve"> </w:t>
      </w:r>
      <w:r>
        <w:t>Based on publicly available information</w:t>
      </w:r>
      <w:r w:rsidRPr="003F3E2A">
        <w:t>. State and territor</w:t>
      </w:r>
      <w:r>
        <w:t>y governments</w:t>
      </w:r>
      <w:r w:rsidRPr="003F3E2A">
        <w:t xml:space="preserve"> may have internal school procedures, particularly where preschool is delivered through schools.</w:t>
      </w:r>
    </w:p>
    <w:p w14:paraId="688A29CA" w14:textId="77777777" w:rsidR="004E051C" w:rsidRPr="000B2D8A" w:rsidRDefault="004E051C">
      <w:pPr>
        <w:pStyle w:val="Source"/>
      </w:pPr>
      <w:r w:rsidRPr="00696447">
        <w:t xml:space="preserve">Source: </w:t>
      </w:r>
      <w:r>
        <w:t xml:space="preserve">ACT Education Directorate </w:t>
      </w:r>
      <w:r w:rsidRPr="00D4645B">
        <w:rPr>
          <w:rFonts w:ascii="Arial" w:hAnsi="Arial" w:cs="Arial"/>
        </w:rPr>
        <w:t>(</w:t>
      </w:r>
      <w:proofErr w:type="spellStart"/>
      <w:r w:rsidRPr="00D4645B">
        <w:rPr>
          <w:rFonts w:ascii="Arial" w:hAnsi="Arial" w:cs="Arial"/>
        </w:rPr>
        <w:t>nd</w:t>
      </w:r>
      <w:proofErr w:type="spellEnd"/>
      <w:r w:rsidRPr="00D4645B">
        <w:rPr>
          <w:rFonts w:ascii="Arial" w:hAnsi="Arial" w:cs="Arial"/>
        </w:rPr>
        <w:t>)</w:t>
      </w:r>
      <w:r>
        <w:t xml:space="preserve">, NSW Department of Education </w:t>
      </w:r>
      <w:r w:rsidRPr="00A23E0D">
        <w:rPr>
          <w:rFonts w:ascii="Arial" w:hAnsi="Arial" w:cs="Arial"/>
        </w:rPr>
        <w:t>(2023a, 2023b, 2023g)</w:t>
      </w:r>
      <w:r>
        <w:t xml:space="preserve">, NT Department of Education </w:t>
      </w:r>
      <w:r w:rsidRPr="00755442">
        <w:rPr>
          <w:rFonts w:ascii="Arial" w:hAnsi="Arial" w:cs="Arial"/>
        </w:rPr>
        <w:t>(2023)</w:t>
      </w:r>
      <w:r>
        <w:t xml:space="preserve">, Queensland Curriculum and Assessment Authority </w:t>
      </w:r>
      <w:r w:rsidRPr="00390B17">
        <w:rPr>
          <w:rFonts w:ascii="Arial" w:hAnsi="Arial" w:cs="Arial"/>
        </w:rPr>
        <w:t>(2021, 2023)</w:t>
      </w:r>
      <w:r>
        <w:t xml:space="preserve">, Victorian Government </w:t>
      </w:r>
      <w:r w:rsidRPr="005C1226">
        <w:rPr>
          <w:rFonts w:ascii="Arial" w:hAnsi="Arial" w:cs="Arial"/>
        </w:rPr>
        <w:t>(2023d)</w:t>
      </w:r>
    </w:p>
    <w:p w14:paraId="169CFBFC" w14:textId="777394FD" w:rsidR="004E051C" w:rsidRDefault="004E051C">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E051C" w14:paraId="6590CE96" w14:textId="77777777">
        <w:trPr>
          <w:trHeight w:val="765"/>
          <w:tblHeader/>
        </w:trPr>
        <w:tc>
          <w:tcPr>
            <w:tcW w:w="366" w:type="pct"/>
            <w:shd w:val="clear" w:color="auto" w:fill="EBEBEB"/>
            <w:tcMar>
              <w:bottom w:w="0" w:type="dxa"/>
            </w:tcMar>
            <w:vAlign w:val="center"/>
          </w:tcPr>
          <w:p w14:paraId="1F7BAAD2" w14:textId="77777777" w:rsidR="004E051C" w:rsidRDefault="004E051C">
            <w:pPr>
              <w:pStyle w:val="NoSpacing"/>
              <w:keepNext/>
              <w:keepLines/>
              <w:jc w:val="right"/>
            </w:pPr>
            <w:r w:rsidRPr="00A51374">
              <w:rPr>
                <w:noProof/>
              </w:rPr>
              <w:drawing>
                <wp:inline distT="0" distB="0" distL="0" distR="0" wp14:anchorId="56521E58" wp14:editId="2763004B">
                  <wp:extent cx="288000" cy="288000"/>
                  <wp:effectExtent l="0" t="0" r="0" b="0"/>
                  <wp:docPr id="1106177169" name="Picture 1106177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654FD93" w14:textId="018E1BFE" w:rsidR="004E051C" w:rsidRPr="002530FF" w:rsidRDefault="004E051C">
            <w:pPr>
              <w:pStyle w:val="TableHeading"/>
              <w:keepNext/>
              <w:keepLines/>
              <w:spacing w:before="120" w:after="120"/>
              <w:contextualSpacing/>
              <w:rPr>
                <w:sz w:val="20"/>
              </w:rPr>
            </w:pPr>
            <w:r w:rsidRPr="000B0B71">
              <w:rPr>
                <w:sz w:val="20"/>
              </w:rPr>
              <w:t xml:space="preserve">Information request </w:t>
            </w:r>
            <w:r w:rsidR="00DC7EEE">
              <w:rPr>
                <w:noProof/>
                <w:sz w:val="20"/>
              </w:rPr>
              <w:t>2</w:t>
            </w:r>
            <w:r w:rsidRPr="00DF7217">
              <w:rPr>
                <w:sz w:val="20"/>
              </w:rPr>
              <w:t>.</w:t>
            </w:r>
            <w:r w:rsidR="00DC7EEE">
              <w:rPr>
                <w:noProof/>
                <w:sz w:val="20"/>
              </w:rPr>
              <w:t>4</w:t>
            </w:r>
          </w:p>
        </w:tc>
      </w:tr>
      <w:tr w:rsidR="004E051C" w14:paraId="10091B37" w14:textId="77777777">
        <w:tc>
          <w:tcPr>
            <w:tcW w:w="5000" w:type="pct"/>
            <w:gridSpan w:val="2"/>
            <w:shd w:val="clear" w:color="auto" w:fill="EBEBEB"/>
          </w:tcPr>
          <w:p w14:paraId="7F5236B1" w14:textId="77777777" w:rsidR="004E051C" w:rsidRDefault="004E051C">
            <w:pPr>
              <w:pStyle w:val="BodyText"/>
              <w:keepNext/>
              <w:keepLines/>
            </w:pPr>
            <w:r w:rsidRPr="005B1D1B">
              <w:rPr>
                <w:color w:val="265A9A" w:themeColor="background2"/>
              </w:rPr>
              <w:t>The Commission is seeking information on the extent to which transition to school statements are used</w:t>
            </w:r>
            <w:r>
              <w:rPr>
                <w:color w:val="265A9A" w:themeColor="background2"/>
              </w:rPr>
              <w:t>, their adequacy</w:t>
            </w:r>
            <w:r w:rsidRPr="005B1D1B">
              <w:rPr>
                <w:color w:val="265A9A" w:themeColor="background2"/>
              </w:rPr>
              <w:t xml:space="preserve"> and whether </w:t>
            </w:r>
            <w:r w:rsidRPr="00196920">
              <w:rPr>
                <w:color w:val="265A9A" w:themeColor="background2"/>
              </w:rPr>
              <w:t xml:space="preserve">they </w:t>
            </w:r>
            <w:r w:rsidRPr="00EF753B">
              <w:rPr>
                <w:color w:val="265A9A" w:themeColor="background2"/>
              </w:rPr>
              <w:t>contribute to more effective transitions</w:t>
            </w:r>
            <w:r w:rsidRPr="005B1D1B">
              <w:rPr>
                <w:color w:val="265A9A" w:themeColor="background2"/>
              </w:rPr>
              <w:t>.</w:t>
            </w:r>
            <w:r>
              <w:rPr>
                <w:color w:val="265A9A" w:themeColor="background2"/>
              </w:rPr>
              <w:t xml:space="preserve"> </w:t>
            </w:r>
          </w:p>
        </w:tc>
      </w:tr>
      <w:tr w:rsidR="004E051C" w14:paraId="041C0897" w14:textId="77777777">
        <w:tc>
          <w:tcPr>
            <w:tcW w:w="5000" w:type="pct"/>
            <w:gridSpan w:val="2"/>
            <w:tcMar>
              <w:bottom w:w="0" w:type="dxa"/>
            </w:tcMar>
          </w:tcPr>
          <w:p w14:paraId="4865CAA5" w14:textId="28279BE8" w:rsidR="004E051C" w:rsidRDefault="004E051C">
            <w:pPr>
              <w:pStyle w:val="NoSpacing"/>
              <w:spacing w:line="200" w:lineRule="atLeast"/>
            </w:pPr>
          </w:p>
        </w:tc>
      </w:tr>
    </w:tbl>
    <w:p w14:paraId="42824ADE" w14:textId="777C51C8" w:rsidR="004E051C" w:rsidRPr="00BC72EC" w:rsidRDefault="004E051C" w:rsidP="0058550C">
      <w:pPr>
        <w:pStyle w:val="Heading2"/>
      </w:pPr>
      <w:bookmarkStart w:id="16" w:name="_Toc150769147"/>
      <w:bookmarkStart w:id="17" w:name="_Toc150787222"/>
      <w:bookmarkStart w:id="18" w:name="_Toc150950409"/>
      <w:r w:rsidRPr="00BC72EC">
        <w:lastRenderedPageBreak/>
        <w:t>For some children, a more tailored approach should be considered</w:t>
      </w:r>
      <w:bookmarkEnd w:id="16"/>
      <w:bookmarkEnd w:id="17"/>
      <w:bookmarkEnd w:id="18"/>
    </w:p>
    <w:p w14:paraId="1B7F0177" w14:textId="77777777" w:rsidR="004E051C" w:rsidRDefault="004E051C">
      <w:pPr>
        <w:pStyle w:val="BodyText"/>
        <w:rPr>
          <w:rFonts w:cstheme="minorHAnsi"/>
        </w:rPr>
      </w:pPr>
      <w:r>
        <w:rPr>
          <w:rFonts w:cstheme="minorHAnsi"/>
        </w:rPr>
        <w:t>A small cohort of children may have specific needs in ECEC or be experiencing a high level of vulnerability that warrants more tailored support designed to meet their needs.</w:t>
      </w:r>
    </w:p>
    <w:p w14:paraId="7267EB66" w14:textId="77777777" w:rsidR="004E051C" w:rsidRDefault="004E051C">
      <w:pPr>
        <w:pStyle w:val="BodyText"/>
        <w:rPr>
          <w:rFonts w:cstheme="minorHAnsi"/>
        </w:rPr>
      </w:pPr>
      <w:r>
        <w:rPr>
          <w:rFonts w:cstheme="minorHAnsi"/>
        </w:rPr>
        <w:t>A</w:t>
      </w:r>
      <w:r w:rsidRPr="0062283E">
        <w:rPr>
          <w:rFonts w:cstheme="minorHAnsi"/>
        </w:rPr>
        <w:t>lthough mainstream services should be as inclusive as possible, they may not always be adequate or appropriate for the child. Where available, a family may choose an ECEC service that specifically caters to their child’s needs. For example, a family may choose an Aboriginal Community Controlled Organisation</w:t>
      </w:r>
      <w:r>
        <w:rPr>
          <w:rFonts w:cstheme="minorHAnsi"/>
        </w:rPr>
        <w:t xml:space="preserve"> (ACCO)</w:t>
      </w:r>
      <w:r w:rsidRPr="0062283E">
        <w:rPr>
          <w:rFonts w:cstheme="minorHAnsi"/>
        </w:rPr>
        <w:t xml:space="preserve"> service</w:t>
      </w:r>
      <w:r>
        <w:rPr>
          <w:rFonts w:cstheme="minorHAnsi"/>
        </w:rPr>
        <w:t>.</w:t>
      </w:r>
      <w:r w:rsidRPr="0062283E">
        <w:rPr>
          <w:rFonts w:cstheme="minorHAnsi"/>
        </w:rPr>
        <w:t xml:space="preserve"> </w:t>
      </w:r>
      <w:r>
        <w:rPr>
          <w:rFonts w:cstheme="minorHAnsi"/>
        </w:rPr>
        <w:t>O</w:t>
      </w:r>
      <w:r w:rsidRPr="0062283E">
        <w:rPr>
          <w:rFonts w:cstheme="minorHAnsi"/>
        </w:rPr>
        <w:t>r the child’s circumstances may warrant support throu</w:t>
      </w:r>
      <w:r w:rsidRPr="007C514A">
        <w:rPr>
          <w:rFonts w:cstheme="minorHAnsi"/>
        </w:rPr>
        <w:t xml:space="preserve">gh the </w:t>
      </w:r>
      <w:proofErr w:type="gramStart"/>
      <w:r w:rsidRPr="003C3681">
        <w:rPr>
          <w:rFonts w:cstheme="minorHAnsi"/>
        </w:rPr>
        <w:t>In Home</w:t>
      </w:r>
      <w:proofErr w:type="gramEnd"/>
      <w:r w:rsidRPr="003C3681">
        <w:rPr>
          <w:rFonts w:cstheme="minorHAnsi"/>
        </w:rPr>
        <w:t xml:space="preserve"> Care program</w:t>
      </w:r>
      <w:r>
        <w:rPr>
          <w:rFonts w:cstheme="minorHAnsi"/>
        </w:rPr>
        <w:t>, which provides ECEC in a child’s home where alternative options are unavailable due to families working non</w:t>
      </w:r>
      <w:r>
        <w:rPr>
          <w:rFonts w:cstheme="minorHAnsi"/>
        </w:rPr>
        <w:noBreakHyphen/>
        <w:t>standard or variable hours, being geographically isolated or experiencing complex or challenging needs</w:t>
      </w:r>
      <w:r w:rsidRPr="007C514A">
        <w:rPr>
          <w:rFonts w:cstheme="minorHAnsi"/>
        </w:rPr>
        <w:t>.</w:t>
      </w:r>
      <w:r w:rsidRPr="0062283E">
        <w:rPr>
          <w:rFonts w:cstheme="minorHAnsi"/>
        </w:rPr>
        <w:t xml:space="preserve"> </w:t>
      </w:r>
      <w:r>
        <w:rPr>
          <w:rFonts w:cstheme="minorHAnsi"/>
        </w:rPr>
        <w:t>ACCOs</w:t>
      </w:r>
      <w:r w:rsidRPr="0062283E">
        <w:rPr>
          <w:rFonts w:cstheme="minorHAnsi"/>
        </w:rPr>
        <w:t xml:space="preserve"> are considered separately in </w:t>
      </w:r>
      <w:r>
        <w:rPr>
          <w:rFonts w:cstheme="minorHAnsi"/>
        </w:rPr>
        <w:t>paper 7.</w:t>
      </w:r>
    </w:p>
    <w:p w14:paraId="17BE989A" w14:textId="77777777" w:rsidR="004E051C" w:rsidRDefault="004E051C">
      <w:pPr>
        <w:pStyle w:val="BodyText"/>
      </w:pPr>
      <w:r w:rsidRPr="00430485">
        <w:t>Place</w:t>
      </w:r>
      <w:r>
        <w:noBreakHyphen/>
      </w:r>
      <w:r w:rsidRPr="00430485">
        <w:t>based, integrated</w:t>
      </w:r>
      <w:r>
        <w:t xml:space="preserve"> </w:t>
      </w:r>
      <w:r w:rsidRPr="0090085B">
        <w:t>or targeted programs can also play a role in supporting children, where they or their families have specific needs. Done well, place</w:t>
      </w:r>
      <w:r>
        <w:noBreakHyphen/>
      </w:r>
      <w:r w:rsidRPr="0090085B">
        <w:t>based initiatives have the benefit of ensuring solutions meet the needs of the local community.</w:t>
      </w:r>
      <w:r>
        <w:t xml:space="preserve"> The Australian Government funds place</w:t>
      </w:r>
      <w:r>
        <w:noBreakHyphen/>
        <w:t>based ECEC initiatives through the Connected Beginnings program, which provides grants to integrate local services to support Aboriginal and Torres Strait Islander children and families. The role of integrated services is considered in paper 7.</w:t>
      </w:r>
    </w:p>
    <w:p w14:paraId="05F0F8D5" w14:textId="77777777" w:rsidR="004E051C" w:rsidRPr="002F4ABC" w:rsidRDefault="004E051C">
      <w:pPr>
        <w:pStyle w:val="BodyText"/>
      </w:pPr>
      <w:r w:rsidRPr="0027690F">
        <w:t xml:space="preserve">Recent Australian research into a targeted, intensive ECEC program for children experiencing significant disadvantage has shown considerable benefits to children attending (box 2.7). While further trials are underway </w:t>
      </w:r>
      <w:r w:rsidRPr="002F4ABC">
        <w:t>(Aly and Stitt 2022)</w:t>
      </w:r>
      <w:r w:rsidRPr="0027690F">
        <w:t>, depending on the results, this type of program could also be considered in a place</w:t>
      </w:r>
      <w:r w:rsidRPr="0027690F">
        <w:noBreakHyphen/>
        <w:t xml:space="preserve">based context where it meets the needs of the community. </w:t>
      </w:r>
    </w:p>
    <w:p w14:paraId="0886AF4A" w14:textId="74542736" w:rsidR="004E051C" w:rsidRPr="00F82BD9" w:rsidRDefault="004E051C">
      <w:pPr>
        <w:pStyle w:val="NoSpacing"/>
      </w:pPr>
    </w:p>
    <w:tbl>
      <w:tblPr>
        <w:tblStyle w:val="Boxtable"/>
        <w:tblW w:w="5000" w:type="pct"/>
        <w:tblLook w:val="04A0" w:firstRow="1" w:lastRow="0" w:firstColumn="1" w:lastColumn="0" w:noHBand="0" w:noVBand="1"/>
      </w:tblPr>
      <w:tblGrid>
        <w:gridCol w:w="9638"/>
      </w:tblGrid>
      <w:tr w:rsidR="004E051C" w14:paraId="2F3706DE" w14:textId="77777777">
        <w:trPr>
          <w:tblHeader/>
        </w:trPr>
        <w:tc>
          <w:tcPr>
            <w:tcW w:w="9638" w:type="dxa"/>
            <w:shd w:val="clear" w:color="auto" w:fill="EBEBEB"/>
            <w:tcMar>
              <w:top w:w="170" w:type="dxa"/>
              <w:left w:w="170" w:type="dxa"/>
              <w:bottom w:w="113" w:type="dxa"/>
              <w:right w:w="170" w:type="dxa"/>
            </w:tcMar>
            <w:hideMark/>
          </w:tcPr>
          <w:p w14:paraId="31FF6E4B" w14:textId="5E4CEDD8" w:rsidR="004E051C" w:rsidRDefault="004E051C">
            <w:pPr>
              <w:pStyle w:val="BoxHeading1"/>
            </w:pPr>
            <w:r>
              <w:t xml:space="preserve">Box </w:t>
            </w:r>
            <w:r w:rsidR="00DC7EEE">
              <w:rPr>
                <w:noProof/>
              </w:rPr>
              <w:t>2</w:t>
            </w:r>
            <w:r>
              <w:t>.</w:t>
            </w:r>
            <w:r w:rsidR="00DC7EEE">
              <w:rPr>
                <w:noProof/>
              </w:rPr>
              <w:t>7</w:t>
            </w:r>
            <w:r>
              <w:rPr>
                <w:noProof/>
              </w:rPr>
              <w:t xml:space="preserve"> </w:t>
            </w:r>
            <w:r w:rsidRPr="0031564B">
              <w:t xml:space="preserve">– Research on an intensive </w:t>
            </w:r>
            <w:r>
              <w:t>early childhood education and care</w:t>
            </w:r>
            <w:r w:rsidRPr="0031564B">
              <w:t xml:space="preserve"> model</w:t>
            </w:r>
          </w:p>
        </w:tc>
      </w:tr>
      <w:tr w:rsidR="004E051C" w14:paraId="6467ECDE" w14:textId="77777777">
        <w:tc>
          <w:tcPr>
            <w:tcW w:w="9638" w:type="dxa"/>
            <w:shd w:val="clear" w:color="auto" w:fill="EBEBEB"/>
            <w:tcMar>
              <w:top w:w="28" w:type="dxa"/>
              <w:left w:w="170" w:type="dxa"/>
              <w:bottom w:w="170" w:type="dxa"/>
              <w:right w:w="170" w:type="dxa"/>
            </w:tcMar>
            <w:hideMark/>
          </w:tcPr>
          <w:p w14:paraId="6D0F4165" w14:textId="77777777" w:rsidR="004E051C" w:rsidRDefault="004E051C">
            <w:pPr>
              <w:pStyle w:val="BodyText"/>
              <w:rPr>
                <w:rFonts w:cstheme="minorHAnsi"/>
              </w:rPr>
            </w:pPr>
            <w:r w:rsidRPr="00E208DB">
              <w:rPr>
                <w:rFonts w:cstheme="minorHAnsi"/>
              </w:rPr>
              <w:t xml:space="preserve">Australian research into an intensive </w:t>
            </w:r>
            <w:r>
              <w:rPr>
                <w:rFonts w:cstheme="minorHAnsi"/>
              </w:rPr>
              <w:t>early childhood education and care (ECEC)</w:t>
            </w:r>
            <w:r w:rsidRPr="00E208DB">
              <w:rPr>
                <w:rFonts w:cstheme="minorHAnsi"/>
              </w:rPr>
              <w:t xml:space="preserve"> model has shown the potential impact of tailored </w:t>
            </w:r>
            <w:r>
              <w:rPr>
                <w:rFonts w:cstheme="minorHAnsi"/>
              </w:rPr>
              <w:t>ECEC programs for children experiencing significant disadvantage.</w:t>
            </w:r>
          </w:p>
          <w:p w14:paraId="7D4CBC38" w14:textId="77777777" w:rsidR="004E051C" w:rsidRDefault="004E051C">
            <w:pPr>
              <w:pStyle w:val="BodyText"/>
              <w:rPr>
                <w:rFonts w:cstheme="minorHAnsi"/>
              </w:rPr>
            </w:pPr>
            <w:r w:rsidRPr="0062283E">
              <w:rPr>
                <w:rFonts w:cstheme="minorHAnsi"/>
              </w:rPr>
              <w:t xml:space="preserve">To be eligible for participation, children had to </w:t>
            </w:r>
            <w:r>
              <w:rPr>
                <w:rFonts w:cstheme="minorHAnsi"/>
              </w:rPr>
              <w:t xml:space="preserve">be aged between 0–3 years, </w:t>
            </w:r>
            <w:r w:rsidRPr="0062283E">
              <w:rPr>
                <w:rFonts w:cstheme="minorHAnsi"/>
              </w:rPr>
              <w:t>have two or more risk factors, be currently engaged with family services or child protection services, and have early education as part of the child’s care plan. Among others, risk factors included having teenage parents, parental substance abuse, parental mental health difficulties, and the presence of family violence.</w:t>
            </w:r>
            <w:r>
              <w:rPr>
                <w:rFonts w:cstheme="minorHAnsi"/>
              </w:rPr>
              <w:t xml:space="preserve"> </w:t>
            </w:r>
            <w:r w:rsidRPr="0062283E">
              <w:rPr>
                <w:rFonts w:cstheme="minorHAnsi"/>
              </w:rPr>
              <w:t>Children who participated in the program were offered 50 weeks of care and education per year (five hours per day, five days per week) for three years.</w:t>
            </w:r>
          </w:p>
          <w:p w14:paraId="03DDAC5B" w14:textId="77777777" w:rsidR="004E051C" w:rsidRPr="00B33A24" w:rsidRDefault="004E051C">
            <w:pPr>
              <w:pStyle w:val="BodyText"/>
              <w:rPr>
                <w:rFonts w:cstheme="minorHAnsi"/>
              </w:rPr>
            </w:pPr>
            <w:r w:rsidRPr="0062283E">
              <w:rPr>
                <w:rFonts w:cstheme="minorHAnsi"/>
              </w:rPr>
              <w:t>Key features of the program included high staff</w:t>
            </w:r>
            <w:r>
              <w:rPr>
                <w:rFonts w:cstheme="minorHAnsi"/>
              </w:rPr>
              <w:t>–</w:t>
            </w:r>
            <w:r w:rsidRPr="0062283E">
              <w:rPr>
                <w:rFonts w:cstheme="minorHAnsi"/>
              </w:rPr>
              <w:t>child ratios</w:t>
            </w:r>
            <w:r>
              <w:rPr>
                <w:rFonts w:cstheme="minorHAnsi"/>
              </w:rPr>
              <w:t xml:space="preserve"> (1:3 for children under three years and 1:6 for children over three years)</w:t>
            </w:r>
            <w:r w:rsidRPr="0062283E">
              <w:rPr>
                <w:rFonts w:cstheme="minorHAnsi"/>
              </w:rPr>
              <w:t xml:space="preserve">, </w:t>
            </w:r>
            <w:r>
              <w:rPr>
                <w:rFonts w:cstheme="minorHAnsi"/>
              </w:rPr>
              <w:t>qualified and experienced teachers and educators</w:t>
            </w:r>
            <w:r w:rsidRPr="0062283E">
              <w:rPr>
                <w:rFonts w:cstheme="minorHAnsi"/>
              </w:rPr>
              <w:t xml:space="preserve">, </w:t>
            </w:r>
            <w:r>
              <w:rPr>
                <w:rFonts w:cstheme="minorHAnsi"/>
              </w:rPr>
              <w:t xml:space="preserve">and </w:t>
            </w:r>
            <w:r w:rsidRPr="0062283E">
              <w:rPr>
                <w:rFonts w:cstheme="minorHAnsi"/>
              </w:rPr>
              <w:t xml:space="preserve">an infant mental health consultant </w:t>
            </w:r>
            <w:r>
              <w:rPr>
                <w:rFonts w:cstheme="minorHAnsi"/>
              </w:rPr>
              <w:t xml:space="preserve">and family support practitioner </w:t>
            </w:r>
            <w:r w:rsidRPr="0062283E">
              <w:rPr>
                <w:rFonts w:cstheme="minorHAnsi"/>
              </w:rPr>
              <w:t>as member</w:t>
            </w:r>
            <w:r>
              <w:rPr>
                <w:rFonts w:cstheme="minorHAnsi"/>
              </w:rPr>
              <w:t>s</w:t>
            </w:r>
            <w:r w:rsidRPr="0062283E">
              <w:rPr>
                <w:rFonts w:cstheme="minorHAnsi"/>
              </w:rPr>
              <w:t xml:space="preserve"> of staff</w:t>
            </w:r>
            <w:r>
              <w:rPr>
                <w:rFonts w:cstheme="minorHAnsi"/>
              </w:rPr>
              <w:t xml:space="preserve">. </w:t>
            </w:r>
            <w:r w:rsidRPr="0062283E">
              <w:rPr>
                <w:rFonts w:cstheme="minorHAnsi"/>
              </w:rPr>
              <w:t xml:space="preserve">The program </w:t>
            </w:r>
            <w:r>
              <w:rPr>
                <w:rFonts w:cstheme="minorHAnsi"/>
              </w:rPr>
              <w:t xml:space="preserve">also </w:t>
            </w:r>
            <w:r w:rsidRPr="0062283E">
              <w:rPr>
                <w:rFonts w:cstheme="minorHAnsi"/>
              </w:rPr>
              <w:t xml:space="preserve">used a primary educator </w:t>
            </w:r>
            <w:r w:rsidRPr="00B33A24">
              <w:rPr>
                <w:rFonts w:cstheme="minorHAnsi"/>
              </w:rPr>
              <w:t>model, where each child was allocated a primary educator when enrolled, and applied a relationship</w:t>
            </w:r>
            <w:r>
              <w:rPr>
                <w:rFonts w:cstheme="minorHAnsi"/>
              </w:rPr>
              <w:noBreakHyphen/>
            </w:r>
            <w:r w:rsidRPr="00B33A24">
              <w:rPr>
                <w:rFonts w:cstheme="minorHAnsi"/>
              </w:rPr>
              <w:t>based curriculum, informed by trauma and attachment theories and early learning theories.</w:t>
            </w:r>
          </w:p>
          <w:p w14:paraId="6A29C3D9" w14:textId="77777777" w:rsidR="004E051C" w:rsidRPr="003E263E" w:rsidRDefault="004E051C">
            <w:pPr>
              <w:pStyle w:val="BodyText"/>
              <w:rPr>
                <w:rFonts w:cstheme="minorHAnsi"/>
              </w:rPr>
            </w:pPr>
            <w:r w:rsidRPr="00B33A24">
              <w:rPr>
                <w:rFonts w:cstheme="minorHAnsi"/>
              </w:rPr>
              <w:t>A randomised control trial was undertaken alongside the program. It found the program led to benefits for children’s cognitive development, social and emotional development and behaviour</w:t>
            </w:r>
            <w:r w:rsidRPr="00B33A24">
              <w:t>.</w:t>
            </w:r>
          </w:p>
          <w:p w14:paraId="5F4B3CCA" w14:textId="77777777" w:rsidR="004E051C" w:rsidRDefault="004E051C">
            <w:pPr>
              <w:pStyle w:val="Source"/>
            </w:pPr>
            <w:r w:rsidRPr="0062283E">
              <w:rPr>
                <w:rFonts w:cstheme="minorHAnsi"/>
              </w:rPr>
              <w:t>Source:</w:t>
            </w:r>
            <w:r>
              <w:rPr>
                <w:rFonts w:cstheme="minorHAnsi"/>
              </w:rPr>
              <w:t xml:space="preserve"> Tseng et al.</w:t>
            </w:r>
            <w:r w:rsidRPr="0062283E">
              <w:rPr>
                <w:rFonts w:cstheme="minorHAnsi"/>
              </w:rPr>
              <w:t xml:space="preserve"> </w:t>
            </w:r>
            <w:r w:rsidRPr="00741D74">
              <w:rPr>
                <w:rFonts w:ascii="Arial" w:hAnsi="Arial" w:cs="Arial"/>
              </w:rPr>
              <w:t>(2017, 2022)</w:t>
            </w:r>
          </w:p>
        </w:tc>
      </w:tr>
      <w:tr w:rsidR="004E051C" w14:paraId="7AA96B38" w14:textId="77777777">
        <w:trPr>
          <w:hidden/>
        </w:trPr>
        <w:tc>
          <w:tcPr>
            <w:tcW w:w="9638" w:type="dxa"/>
            <w:shd w:val="clear" w:color="auto" w:fill="auto"/>
            <w:tcMar>
              <w:top w:w="0" w:type="dxa"/>
              <w:left w:w="170" w:type="dxa"/>
              <w:bottom w:w="0" w:type="dxa"/>
              <w:right w:w="170" w:type="dxa"/>
            </w:tcMar>
          </w:tcPr>
          <w:p w14:paraId="01F6F88A" w14:textId="5B7128E5" w:rsidR="004E051C" w:rsidRPr="00465191" w:rsidRDefault="004E051C">
            <w:pPr>
              <w:pStyle w:val="BodyText"/>
              <w:spacing w:before="0" w:after="0" w:line="80" w:lineRule="atLeast"/>
              <w:rPr>
                <w:smallCaps/>
                <w:vanish/>
              </w:rPr>
            </w:pPr>
          </w:p>
        </w:tc>
      </w:tr>
    </w:tbl>
    <w:p w14:paraId="5083402D" w14:textId="77777777" w:rsidR="004E051C" w:rsidRPr="009162E3" w:rsidRDefault="004E051C" w:rsidP="00F34518">
      <w:pPr>
        <w:pStyle w:val="Heading2-nonumber"/>
      </w:pPr>
      <w:bookmarkStart w:id="19" w:name="_Toc150769148"/>
      <w:bookmarkStart w:id="20" w:name="_Toc150787223"/>
      <w:bookmarkStart w:id="21" w:name="_Toc150950410"/>
      <w:r>
        <w:lastRenderedPageBreak/>
        <w:t>R</w:t>
      </w:r>
      <w:r w:rsidRPr="00260904">
        <w:t>eference</w:t>
      </w:r>
      <w:r>
        <w:t>s</w:t>
      </w:r>
      <w:bookmarkEnd w:id="19"/>
      <w:bookmarkEnd w:id="20"/>
      <w:bookmarkEnd w:id="21"/>
    </w:p>
    <w:p w14:paraId="5641E06E" w14:textId="77777777" w:rsidR="004E051C" w:rsidRDefault="004E051C">
      <w:pPr>
        <w:pStyle w:val="Bibliography"/>
        <w:rPr>
          <w:rFonts w:cstheme="minorHAnsi"/>
        </w:rPr>
        <w:sectPr w:rsidR="004E051C" w:rsidSect="00FE43DC">
          <w:headerReference w:type="even" r:id="rId27"/>
          <w:headerReference w:type="default" r:id="rId28"/>
          <w:footerReference w:type="even" r:id="rId29"/>
          <w:footerReference w:type="default" r:id="rId30"/>
          <w:type w:val="oddPage"/>
          <w:pgSz w:w="11906" w:h="16838" w:code="9"/>
          <w:pgMar w:top="1134" w:right="1134" w:bottom="1134" w:left="1134" w:header="794" w:footer="510" w:gutter="0"/>
          <w:pgNumType w:start="129"/>
          <w:cols w:space="708"/>
          <w:docGrid w:linePitch="360"/>
        </w:sectPr>
      </w:pPr>
    </w:p>
    <w:p w14:paraId="384BACE2" w14:textId="77777777" w:rsidR="004E051C" w:rsidRDefault="004E051C">
      <w:pPr>
        <w:pStyle w:val="Reference"/>
      </w:pPr>
      <w:r>
        <w:t xml:space="preserve">2019 NQF Review 2023, </w:t>
      </w:r>
      <w:r>
        <w:rPr>
          <w:i/>
          <w:iCs/>
        </w:rPr>
        <w:t>Explore the DRIS | National Quality Framework Review</w:t>
      </w:r>
      <w:r>
        <w:t>, NQF Review 2019, https://www.nqfreview.com.au/explore-the-dris (accessed 5 November 2023).</w:t>
      </w:r>
    </w:p>
    <w:p w14:paraId="4A343A89" w14:textId="72D5B07F" w:rsidR="004E051C" w:rsidRPr="007550B8" w:rsidRDefault="004E051C">
      <w:pPr>
        <w:pStyle w:val="Reference"/>
        <w:rPr>
          <w:spacing w:val="-4"/>
        </w:rPr>
      </w:pPr>
      <w:r w:rsidRPr="007550B8">
        <w:rPr>
          <w:spacing w:val="-4"/>
        </w:rPr>
        <w:t xml:space="preserve">ABS (Australian Bureau of Statistics) 2023a, </w:t>
      </w:r>
      <w:r w:rsidRPr="007550B8">
        <w:rPr>
          <w:i/>
          <w:iCs/>
          <w:spacing w:val="-4"/>
        </w:rPr>
        <w:t>National, state and territory population, March 2023</w:t>
      </w:r>
      <w:r w:rsidRPr="007550B8">
        <w:rPr>
          <w:spacing w:val="-4"/>
        </w:rPr>
        <w:t>, https://www.abs.gov.au/statistics/</w:t>
      </w:r>
      <w:r w:rsidR="007550B8">
        <w:rPr>
          <w:spacing w:val="-4"/>
        </w:rPr>
        <w:br/>
      </w:r>
      <w:r w:rsidRPr="007550B8">
        <w:rPr>
          <w:spacing w:val="-4"/>
        </w:rPr>
        <w:t>people/population/national-state-and-territory-population/latest-release#data-downloads (accessed 7 November 2023).</w:t>
      </w:r>
    </w:p>
    <w:p w14:paraId="50B66AD7" w14:textId="77777777" w:rsidR="004E051C" w:rsidRDefault="004E051C">
      <w:pPr>
        <w:pStyle w:val="Reference"/>
      </w:pPr>
      <w:r>
        <w:t xml:space="preserve">—— 2023b, </w:t>
      </w:r>
      <w:r>
        <w:rPr>
          <w:i/>
          <w:iCs/>
        </w:rPr>
        <w:t>Preschool education, 2022</w:t>
      </w:r>
      <w:r>
        <w:t>, [</w:t>
      </w:r>
      <w:proofErr w:type="spellStart"/>
      <w:r>
        <w:t>TableBuilder</w:t>
      </w:r>
      <w:proofErr w:type="spellEnd"/>
      <w:r>
        <w:t>], https://www.abs.gov.au/statistics/microdata-tablebuilder/tablebuilder (accessed 15 August 2023).</w:t>
      </w:r>
    </w:p>
    <w:p w14:paraId="012DA87B" w14:textId="77777777" w:rsidR="004E051C" w:rsidRDefault="004E051C">
      <w:pPr>
        <w:pStyle w:val="Reference"/>
      </w:pPr>
      <w:r>
        <w:t xml:space="preserve">ACECQA (Australian Children’s Education and Care Quality Authority) 2017, </w:t>
      </w:r>
      <w:r>
        <w:rPr>
          <w:i/>
          <w:iCs/>
        </w:rPr>
        <w:t>Educator to child ratios</w:t>
      </w:r>
      <w:r>
        <w:t>, https://www.acecqa.gov.au/nqf/educator-to-child-ratios (accessed 23 June 2023).</w:t>
      </w:r>
    </w:p>
    <w:p w14:paraId="4FA51926" w14:textId="77777777" w:rsidR="004E051C" w:rsidRDefault="004E051C">
      <w:pPr>
        <w:pStyle w:val="Reference"/>
      </w:pPr>
      <w:r>
        <w:t xml:space="preserve">—— 2022, </w:t>
      </w:r>
      <w:r>
        <w:rPr>
          <w:i/>
          <w:iCs/>
        </w:rPr>
        <w:t>Quality Area 3: inclusive environments</w:t>
      </w:r>
      <w:r>
        <w:t>, Information sheet.</w:t>
      </w:r>
    </w:p>
    <w:p w14:paraId="0BC2B5EE" w14:textId="77777777" w:rsidR="004E051C" w:rsidRDefault="004E051C">
      <w:pPr>
        <w:pStyle w:val="Reference"/>
      </w:pPr>
      <w:r>
        <w:t xml:space="preserve">—— 2023a, </w:t>
      </w:r>
      <w:r>
        <w:rPr>
          <w:i/>
          <w:iCs/>
        </w:rPr>
        <w:t>Documenting programs for school age services</w:t>
      </w:r>
      <w:r>
        <w:t>, Information sheet.</w:t>
      </w:r>
    </w:p>
    <w:p w14:paraId="47CA1259" w14:textId="77777777" w:rsidR="004E051C" w:rsidRPr="007550B8" w:rsidRDefault="004E051C">
      <w:pPr>
        <w:pStyle w:val="Reference"/>
        <w:rPr>
          <w:spacing w:val="-4"/>
        </w:rPr>
      </w:pPr>
      <w:r w:rsidRPr="007550B8">
        <w:rPr>
          <w:spacing w:val="-4"/>
        </w:rPr>
        <w:t xml:space="preserve">—— 2023b, </w:t>
      </w:r>
      <w:r w:rsidRPr="007550B8">
        <w:rPr>
          <w:i/>
          <w:iCs/>
          <w:spacing w:val="-4"/>
        </w:rPr>
        <w:t>Guide to the National Quality Framework</w:t>
      </w:r>
      <w:r w:rsidRPr="007550B8">
        <w:rPr>
          <w:spacing w:val="-4"/>
        </w:rPr>
        <w:t>, October.</w:t>
      </w:r>
    </w:p>
    <w:p w14:paraId="2E2EC496" w14:textId="77777777" w:rsidR="004E051C" w:rsidRDefault="004E051C">
      <w:pPr>
        <w:pStyle w:val="Reference"/>
      </w:pPr>
      <w:r>
        <w:t xml:space="preserve">—— 2023c, </w:t>
      </w:r>
      <w:r>
        <w:rPr>
          <w:i/>
          <w:iCs/>
        </w:rPr>
        <w:t>NQF online snapshot, Q2 2023</w:t>
      </w:r>
      <w:r>
        <w:t>, https://snapshots.acecqa.gov.au/Snapshot/index.html (accessed 18 October 2023).</w:t>
      </w:r>
    </w:p>
    <w:p w14:paraId="533889AE" w14:textId="77777777" w:rsidR="004E051C" w:rsidRDefault="004E051C">
      <w:pPr>
        <w:pStyle w:val="Reference"/>
      </w:pPr>
      <w:r>
        <w:t xml:space="preserve">—— 2023d, </w:t>
      </w:r>
      <w:r>
        <w:rPr>
          <w:i/>
          <w:iCs/>
        </w:rPr>
        <w:t>NQF online snapshot, Q3 2023</w:t>
      </w:r>
      <w:r>
        <w:t>, https://snapshots.acecqa.gov.au/Snapshot/index.html (accessed 6 November 2023).</w:t>
      </w:r>
    </w:p>
    <w:p w14:paraId="3B06B439" w14:textId="182CF842" w:rsidR="004E051C" w:rsidRDefault="004E051C">
      <w:pPr>
        <w:pStyle w:val="Reference"/>
      </w:pPr>
      <w:r>
        <w:t xml:space="preserve">—— 2023e, </w:t>
      </w:r>
      <w:r>
        <w:rPr>
          <w:i/>
          <w:iCs/>
        </w:rPr>
        <w:t>NQS data Q1 2023</w:t>
      </w:r>
      <w:r>
        <w:t>, https://www.acecqa.gov.au/</w:t>
      </w:r>
      <w:r w:rsidR="007003AF">
        <w:br/>
      </w:r>
      <w:proofErr w:type="spellStart"/>
      <w:r>
        <w:t>nqf</w:t>
      </w:r>
      <w:proofErr w:type="spellEnd"/>
      <w:r>
        <w:t>/snapshots (accessed 16 June 2023).</w:t>
      </w:r>
    </w:p>
    <w:p w14:paraId="0B3CCAA6" w14:textId="77777777" w:rsidR="004E051C" w:rsidRDefault="004E051C">
      <w:pPr>
        <w:pStyle w:val="Reference"/>
      </w:pPr>
      <w:r>
        <w:t xml:space="preserve">—— 2023f, </w:t>
      </w:r>
      <w:r>
        <w:rPr>
          <w:i/>
          <w:iCs/>
        </w:rPr>
        <w:t>NQS data Q2 2023</w:t>
      </w:r>
      <w:r>
        <w:t>, 10 August, https://www.acecqa.gov.au/nqf/snapshots (accessed 2 October 2023).</w:t>
      </w:r>
    </w:p>
    <w:p w14:paraId="3636F0E9" w14:textId="77777777" w:rsidR="004E051C" w:rsidRDefault="004E051C">
      <w:pPr>
        <w:pStyle w:val="Reference"/>
      </w:pPr>
      <w:r>
        <w:t xml:space="preserve">—— 2023g, </w:t>
      </w:r>
      <w:r>
        <w:rPr>
          <w:i/>
          <w:iCs/>
        </w:rPr>
        <w:t>Qualifications and staffing review: FAQs</w:t>
      </w:r>
      <w:r>
        <w:t>.</w:t>
      </w:r>
    </w:p>
    <w:p w14:paraId="74C4F3BB" w14:textId="77777777" w:rsidR="004E051C" w:rsidRDefault="004E051C">
      <w:pPr>
        <w:pStyle w:val="Reference"/>
      </w:pPr>
      <w:r>
        <w:t xml:space="preserve">—— 2023h, </w:t>
      </w:r>
      <w:r>
        <w:rPr>
          <w:i/>
          <w:iCs/>
        </w:rPr>
        <w:t>Qualifications for centre-based services with children preschool age or under</w:t>
      </w:r>
      <w:r>
        <w:t>, https://www.acecqa.gov.au/qualifications/requirements/children-preschool-age-or-under (accessed 7 November 2023).</w:t>
      </w:r>
    </w:p>
    <w:p w14:paraId="42C74C03" w14:textId="77777777" w:rsidR="004E051C" w:rsidRDefault="004E051C">
      <w:pPr>
        <w:pStyle w:val="Reference"/>
      </w:pPr>
      <w:r>
        <w:t xml:space="preserve">—— 2023i, </w:t>
      </w:r>
      <w:r>
        <w:rPr>
          <w:i/>
          <w:iCs/>
        </w:rPr>
        <w:t>Qualifications for family day care services</w:t>
      </w:r>
      <w:r>
        <w:t>, https://www.acecqa.gov.au/qualifications/requirements/family-day-care-services (accessed 2 October 2023).</w:t>
      </w:r>
    </w:p>
    <w:p w14:paraId="72BBEB53" w14:textId="77777777" w:rsidR="004E051C" w:rsidRDefault="004E051C">
      <w:pPr>
        <w:pStyle w:val="Reference"/>
      </w:pPr>
      <w:r>
        <w:t xml:space="preserve">—— 2023j, </w:t>
      </w:r>
      <w:r>
        <w:rPr>
          <w:i/>
          <w:iCs/>
        </w:rPr>
        <w:t>Qualifications for working in OSHC services</w:t>
      </w:r>
      <w:r>
        <w:t>, https://www.acecqa.gov.au/qualifications/requirements/working-in-OSHC-services (accessed 25 September 2023).</w:t>
      </w:r>
    </w:p>
    <w:p w14:paraId="2E3FBFFF" w14:textId="77777777" w:rsidR="004E051C" w:rsidRDefault="004E051C">
      <w:pPr>
        <w:pStyle w:val="Reference"/>
      </w:pPr>
      <w:r>
        <w:t xml:space="preserve">ACT Education Directorate </w:t>
      </w:r>
      <w:proofErr w:type="spellStart"/>
      <w:r>
        <w:t>nd</w:t>
      </w:r>
      <w:proofErr w:type="spellEnd"/>
      <w:r>
        <w:t xml:space="preserve">, </w:t>
      </w:r>
      <w:r>
        <w:rPr>
          <w:i/>
          <w:iCs/>
        </w:rPr>
        <w:t>Effective transitions</w:t>
      </w:r>
      <w:r>
        <w:t>, https://www.education.act.gov.au/early-childhood/set-up-for-success-an-early-childhood-strategy-for-the-act/effective-transitions (accessed 5 September 2023).</w:t>
      </w:r>
    </w:p>
    <w:p w14:paraId="5EB56264" w14:textId="39B9AAD2" w:rsidR="004E051C" w:rsidRPr="007003AF" w:rsidRDefault="004E051C">
      <w:pPr>
        <w:pStyle w:val="Reference"/>
        <w:rPr>
          <w:spacing w:val="-4"/>
        </w:rPr>
      </w:pPr>
      <w:r w:rsidRPr="007003AF">
        <w:rPr>
          <w:spacing w:val="-4"/>
        </w:rPr>
        <w:t xml:space="preserve">AIFS (Australian Institute of Family Studies) 2023, </w:t>
      </w:r>
      <w:r w:rsidRPr="007003AF">
        <w:rPr>
          <w:i/>
          <w:iCs/>
          <w:spacing w:val="-4"/>
        </w:rPr>
        <w:t>Mandatory reporting of child abuse and neglect</w:t>
      </w:r>
      <w:r w:rsidRPr="007003AF">
        <w:rPr>
          <w:spacing w:val="-4"/>
        </w:rPr>
        <w:t>, https://aifs.gov.au/resources/</w:t>
      </w:r>
      <w:r w:rsidR="007003AF">
        <w:rPr>
          <w:spacing w:val="-4"/>
        </w:rPr>
        <w:br/>
      </w:r>
      <w:r w:rsidRPr="007003AF">
        <w:rPr>
          <w:spacing w:val="-4"/>
        </w:rPr>
        <w:t>resource-sheets/</w:t>
      </w:r>
      <w:proofErr w:type="spellStart"/>
      <w:r w:rsidRPr="007003AF">
        <w:rPr>
          <w:spacing w:val="-4"/>
        </w:rPr>
        <w:t>mandatory-reporting-child-abuse-and-neglect#NT</w:t>
      </w:r>
      <w:proofErr w:type="spellEnd"/>
      <w:r w:rsidRPr="007003AF">
        <w:rPr>
          <w:spacing w:val="-4"/>
        </w:rPr>
        <w:t xml:space="preserve"> (accessed 13 October 2023).</w:t>
      </w:r>
    </w:p>
    <w:p w14:paraId="6F8C7E7A" w14:textId="77777777" w:rsidR="004E051C" w:rsidRDefault="004E051C">
      <w:pPr>
        <w:pStyle w:val="Reference"/>
      </w:pPr>
      <w:r>
        <w:t xml:space="preserve">AIHW (Australian Institute of Health and Welfare) 2020, </w:t>
      </w:r>
      <w:r>
        <w:rPr>
          <w:i/>
          <w:iCs/>
        </w:rPr>
        <w:t>Australia’s children</w:t>
      </w:r>
      <w:r>
        <w:t>, CWS 69.</w:t>
      </w:r>
    </w:p>
    <w:p w14:paraId="7BDCFA97" w14:textId="77777777" w:rsidR="004E051C" w:rsidRDefault="004E051C">
      <w:pPr>
        <w:pStyle w:val="Reference"/>
      </w:pPr>
      <w:r>
        <w:t xml:space="preserve">Aly, A. (Australian Government Minister for Early Childhood Education and Care and Minister for Youth) 2023, </w:t>
      </w:r>
      <w:r>
        <w:rPr>
          <w:i/>
          <w:iCs/>
        </w:rPr>
        <w:t>Helping children of all abilities access the benefits of early education</w:t>
      </w:r>
      <w:r>
        <w:t>, Media release, 22 June.</w:t>
      </w:r>
    </w:p>
    <w:p w14:paraId="67865ED3" w14:textId="77777777" w:rsidR="004E051C" w:rsidRDefault="004E051C">
      <w:pPr>
        <w:pStyle w:val="Reference"/>
      </w:pPr>
      <w:r>
        <w:t xml:space="preserve">—— and Rishworth, A. (Australian Government Minister for Early Childhood Education and Minister for Youth and </w:t>
      </w:r>
      <w:r>
        <w:t xml:space="preserve">Australian Government Minister for Social Services) 2023, </w:t>
      </w:r>
      <w:r>
        <w:rPr>
          <w:i/>
          <w:iCs/>
        </w:rPr>
        <w:t>New resources to help children with disability access quality early learning</w:t>
      </w:r>
      <w:r>
        <w:t>, Media release, 23 June.</w:t>
      </w:r>
    </w:p>
    <w:p w14:paraId="28F0BB1E" w14:textId="77777777" w:rsidR="004E051C" w:rsidRDefault="004E051C">
      <w:pPr>
        <w:pStyle w:val="Reference"/>
      </w:pPr>
      <w:r>
        <w:t xml:space="preserve">—— and Stitt, I. (Australian Government Minister for Early Childhood Education and Care and Minister for Youth and Victorian Government Minister for Early Childhood and Pre-Prep) 2022, </w:t>
      </w:r>
      <w:r>
        <w:rPr>
          <w:i/>
          <w:iCs/>
        </w:rPr>
        <w:t>Setting vulnerable and disadvantaged children up for success</w:t>
      </w:r>
      <w:r>
        <w:t>, Media release, 11 October.</w:t>
      </w:r>
    </w:p>
    <w:p w14:paraId="3647280B" w14:textId="77777777" w:rsidR="004E051C" w:rsidRDefault="004E051C">
      <w:pPr>
        <w:pStyle w:val="Reference"/>
      </w:pPr>
      <w:r>
        <w:t xml:space="preserve">Australian Government Department of Education, Employment and Workplace Relations 2012, </w:t>
      </w:r>
      <w:r>
        <w:rPr>
          <w:i/>
          <w:iCs/>
        </w:rPr>
        <w:t>Report on the Review of Disability Standards for Education 2005</w:t>
      </w:r>
      <w:r>
        <w:t>.</w:t>
      </w:r>
    </w:p>
    <w:p w14:paraId="62D80609" w14:textId="77777777" w:rsidR="004E051C" w:rsidRDefault="004E051C">
      <w:pPr>
        <w:pStyle w:val="Reference"/>
      </w:pPr>
      <w:r>
        <w:t xml:space="preserve">Bray, J.R., Carroll, M., Baxter, J., Budinski, M. and Gray, M. 2021, </w:t>
      </w:r>
      <w:r>
        <w:rPr>
          <w:i/>
          <w:iCs/>
        </w:rPr>
        <w:t>Evaluation of the Inclusion Support Program</w:t>
      </w:r>
      <w:r>
        <w:t>, Australian Institute of Family Studies, Australian National University, Social Policy Research Centre, Social Research Centre.</w:t>
      </w:r>
    </w:p>
    <w:p w14:paraId="146C7185" w14:textId="77777777" w:rsidR="004E051C" w:rsidRDefault="004E051C">
      <w:pPr>
        <w:pStyle w:val="Reference"/>
      </w:pPr>
      <w:r>
        <w:t xml:space="preserve">COAG (Council of Australian Governments) 2009, </w:t>
      </w:r>
      <w:r>
        <w:rPr>
          <w:i/>
          <w:iCs/>
        </w:rPr>
        <w:t>Regulation Impact Statement for early childhood education and care quality reforms: COAG decision RIS</w:t>
      </w:r>
      <w:r>
        <w:t>.</w:t>
      </w:r>
    </w:p>
    <w:p w14:paraId="1F4BC486" w14:textId="77777777" w:rsidR="004E051C" w:rsidRDefault="004E051C">
      <w:pPr>
        <w:pStyle w:val="Reference"/>
      </w:pPr>
      <w:r>
        <w:t xml:space="preserve">Deloitte Access Economics 2023, </w:t>
      </w:r>
      <w:r>
        <w:rPr>
          <w:i/>
          <w:iCs/>
        </w:rPr>
        <w:t>Review of the Inclusion Support Program: final report</w:t>
      </w:r>
      <w:r>
        <w:t>.</w:t>
      </w:r>
    </w:p>
    <w:p w14:paraId="38BF0DEA" w14:textId="77777777" w:rsidR="004E051C" w:rsidRDefault="004E051C">
      <w:pPr>
        <w:pStyle w:val="Reference"/>
      </w:pPr>
      <w:r>
        <w:t xml:space="preserve">DESE (Australian Government Department of Education, Skills and Employment) 2020, </w:t>
      </w:r>
      <w:r>
        <w:rPr>
          <w:i/>
          <w:iCs/>
        </w:rPr>
        <w:t>Final report of the 2020 Review of the Disability Standards for Education 2005</w:t>
      </w:r>
      <w:r>
        <w:t>.</w:t>
      </w:r>
    </w:p>
    <w:p w14:paraId="14859D8E" w14:textId="77777777" w:rsidR="004E051C" w:rsidRDefault="004E051C">
      <w:pPr>
        <w:pStyle w:val="Reference"/>
      </w:pPr>
      <w:r>
        <w:t xml:space="preserve">—— 2022, </w:t>
      </w:r>
      <w:r>
        <w:rPr>
          <w:i/>
          <w:iCs/>
        </w:rPr>
        <w:t>Australian Early Development Census national report 2021: Early childhood development in Australia</w:t>
      </w:r>
      <w:r>
        <w:t>.</w:t>
      </w:r>
    </w:p>
    <w:p w14:paraId="64FA185E" w14:textId="77777777" w:rsidR="004E051C" w:rsidRDefault="004E051C">
      <w:pPr>
        <w:pStyle w:val="Reference"/>
      </w:pPr>
      <w:r>
        <w:t xml:space="preserve">DoE (Australian Government Department of Education) 2022a, </w:t>
      </w:r>
      <w:r>
        <w:rPr>
          <w:i/>
          <w:iCs/>
        </w:rPr>
        <w:t>Belonging, Being and Becoming: The Early Years Learning Framework for Australia (V 2.0)</w:t>
      </w:r>
      <w:r>
        <w:t>, Australian Government Department of Education for the Ministerial Council.</w:t>
      </w:r>
    </w:p>
    <w:p w14:paraId="6985A86F" w14:textId="77777777" w:rsidR="004E051C" w:rsidRDefault="004E051C">
      <w:pPr>
        <w:pStyle w:val="Reference"/>
      </w:pPr>
      <w:r>
        <w:t xml:space="preserve">—— 2022b, </w:t>
      </w:r>
      <w:r>
        <w:rPr>
          <w:i/>
          <w:iCs/>
        </w:rPr>
        <w:t xml:space="preserve">Community </w:t>
      </w:r>
      <w:proofErr w:type="gramStart"/>
      <w:r>
        <w:rPr>
          <w:i/>
          <w:iCs/>
        </w:rPr>
        <w:t>Child Care</w:t>
      </w:r>
      <w:proofErr w:type="gramEnd"/>
      <w:r>
        <w:rPr>
          <w:i/>
          <w:iCs/>
        </w:rPr>
        <w:t xml:space="preserve"> Fund restricted grants: guide for recipients</w:t>
      </w:r>
      <w:r>
        <w:t>, 1 August.</w:t>
      </w:r>
    </w:p>
    <w:p w14:paraId="479BA5CE" w14:textId="77777777" w:rsidR="004E051C" w:rsidRDefault="004E051C">
      <w:pPr>
        <w:pStyle w:val="Reference"/>
      </w:pPr>
      <w:r>
        <w:t xml:space="preserve">—— 2022c, </w:t>
      </w:r>
      <w:r>
        <w:rPr>
          <w:i/>
          <w:iCs/>
        </w:rPr>
        <w:t>In Home Care national guidelines</w:t>
      </w:r>
      <w:r>
        <w:t>, July.</w:t>
      </w:r>
    </w:p>
    <w:p w14:paraId="3934B6DD" w14:textId="77777777" w:rsidR="004E051C" w:rsidRDefault="004E051C">
      <w:pPr>
        <w:pStyle w:val="Reference"/>
      </w:pPr>
      <w:r>
        <w:t xml:space="preserve">—— 2022d, </w:t>
      </w:r>
      <w:r>
        <w:rPr>
          <w:i/>
          <w:iCs/>
        </w:rPr>
        <w:t>My Time, Our Place: Framework for School Age Care in Australia (V2.0)</w:t>
      </w:r>
      <w:r>
        <w:t>, Australian Government Department of Education for the Ministerial Council.</w:t>
      </w:r>
    </w:p>
    <w:p w14:paraId="36580CC2" w14:textId="77777777" w:rsidR="004E051C" w:rsidRDefault="004E051C">
      <w:pPr>
        <w:pStyle w:val="Reference"/>
      </w:pPr>
      <w:r>
        <w:t xml:space="preserve">—— 2023a, </w:t>
      </w:r>
      <w:proofErr w:type="gramStart"/>
      <w:r>
        <w:rPr>
          <w:i/>
          <w:iCs/>
        </w:rPr>
        <w:t>Child Care</w:t>
      </w:r>
      <w:proofErr w:type="gramEnd"/>
      <w:r>
        <w:rPr>
          <w:i/>
          <w:iCs/>
        </w:rPr>
        <w:t xml:space="preserve"> Subsidy December quarter 2022 data tables</w:t>
      </w:r>
      <w:r>
        <w:t>, https://www.education.gov.au/early-childhood/resources/december-quarter-2022-data-tables (accessed 31 July 2023).</w:t>
      </w:r>
    </w:p>
    <w:p w14:paraId="6AEE4B76" w14:textId="77777777" w:rsidR="004E051C" w:rsidRDefault="004E051C">
      <w:pPr>
        <w:pStyle w:val="Reference"/>
      </w:pPr>
      <w:r>
        <w:t xml:space="preserve">—— 2023b, </w:t>
      </w:r>
      <w:r>
        <w:rPr>
          <w:i/>
          <w:iCs/>
        </w:rPr>
        <w:t>Inclusion Support Program guidelines</w:t>
      </w:r>
      <w:r>
        <w:t>, 28 July.</w:t>
      </w:r>
    </w:p>
    <w:p w14:paraId="52D1D7AA" w14:textId="77777777" w:rsidR="004E051C" w:rsidRDefault="004E051C">
      <w:pPr>
        <w:pStyle w:val="Reference"/>
      </w:pPr>
      <w:r>
        <w:t xml:space="preserve">Early Childhood Australia </w:t>
      </w:r>
      <w:proofErr w:type="spellStart"/>
      <w:r>
        <w:t>nd</w:t>
      </w:r>
      <w:proofErr w:type="spellEnd"/>
      <w:r>
        <w:t xml:space="preserve">, </w:t>
      </w:r>
      <w:r>
        <w:rPr>
          <w:i/>
          <w:iCs/>
        </w:rPr>
        <w:t>Statement on the inclusion of every child in early childhood education and care</w:t>
      </w:r>
      <w:r>
        <w:t>.</w:t>
      </w:r>
    </w:p>
    <w:p w14:paraId="574B80E1" w14:textId="77777777" w:rsidR="004E051C" w:rsidRDefault="004E051C">
      <w:pPr>
        <w:pStyle w:val="Reference"/>
      </w:pPr>
      <w:r>
        <w:t xml:space="preserve">ESA (Education Services Australia) 2017, </w:t>
      </w:r>
      <w:r>
        <w:rPr>
          <w:i/>
          <w:iCs/>
        </w:rPr>
        <w:t>Decision Regulation Impact Statement for changes to the National Quality Framework</w:t>
      </w:r>
      <w:r>
        <w:t>, January.</w:t>
      </w:r>
    </w:p>
    <w:p w14:paraId="069C15B4" w14:textId="77777777" w:rsidR="004E051C" w:rsidRDefault="004E051C">
      <w:pPr>
        <w:pStyle w:val="Reference"/>
      </w:pPr>
      <w:r>
        <w:t xml:space="preserve">—— 2019, </w:t>
      </w:r>
      <w:r>
        <w:rPr>
          <w:i/>
          <w:iCs/>
        </w:rPr>
        <w:t>National Quality Framework Review issues paper</w:t>
      </w:r>
      <w:r>
        <w:t>.</w:t>
      </w:r>
    </w:p>
    <w:p w14:paraId="2CF94553" w14:textId="77777777" w:rsidR="004E051C" w:rsidRDefault="004E051C">
      <w:pPr>
        <w:pStyle w:val="Reference"/>
      </w:pPr>
      <w:r>
        <w:t xml:space="preserve">—— 2020, </w:t>
      </w:r>
      <w:r>
        <w:rPr>
          <w:i/>
          <w:iCs/>
        </w:rPr>
        <w:t>2019 National Quality Framework Review Consultation Regulation Impact Statement</w:t>
      </w:r>
      <w:r>
        <w:t>.</w:t>
      </w:r>
    </w:p>
    <w:p w14:paraId="71E55E10" w14:textId="77777777" w:rsidR="004E051C" w:rsidRDefault="004E051C">
      <w:pPr>
        <w:pStyle w:val="Reference"/>
      </w:pPr>
      <w:r>
        <w:t xml:space="preserve">—— 2022, </w:t>
      </w:r>
      <w:r>
        <w:rPr>
          <w:i/>
          <w:iCs/>
        </w:rPr>
        <w:t>2019 National Quality Framework Review Decision Regulation Impact Statement</w:t>
      </w:r>
      <w:r>
        <w:t>.</w:t>
      </w:r>
    </w:p>
    <w:p w14:paraId="07566EA6" w14:textId="77777777" w:rsidR="004E051C" w:rsidRDefault="004E051C">
      <w:pPr>
        <w:pStyle w:val="Reference"/>
      </w:pPr>
      <w:r>
        <w:t xml:space="preserve">Fair Work Commission 2010, </w:t>
      </w:r>
      <w:r>
        <w:rPr>
          <w:i/>
          <w:iCs/>
        </w:rPr>
        <w:t>Children’s Services Award</w:t>
      </w:r>
      <w:r>
        <w:t>, MA000120.</w:t>
      </w:r>
    </w:p>
    <w:p w14:paraId="19DF79E6" w14:textId="77777777" w:rsidR="004E051C" w:rsidRDefault="004E051C">
      <w:pPr>
        <w:pStyle w:val="Reference"/>
      </w:pPr>
      <w:r>
        <w:t xml:space="preserve">Harrison, L., Goldfield, S., Metcalfe, E. and Moore, T. 2012, </w:t>
      </w:r>
      <w:r>
        <w:rPr>
          <w:i/>
          <w:iCs/>
        </w:rPr>
        <w:t>Early learning programs that promote children’s developmental and educational outcomes</w:t>
      </w:r>
      <w:r>
        <w:t>, Resource sheet, 15, Australian Institute of Health and Welfare and Australian Institute of Family Studies for the Closing the Gap Clearing House.</w:t>
      </w:r>
    </w:p>
    <w:p w14:paraId="2D542ABF" w14:textId="77777777" w:rsidR="004E051C" w:rsidRDefault="004E051C">
      <w:pPr>
        <w:pStyle w:val="Reference"/>
      </w:pPr>
      <w:r>
        <w:lastRenderedPageBreak/>
        <w:t>Hurst, B. 2013, ‘Children aged nine to twelve years in Outside School Hours Care in Australia’, Master of Education thesis, University of Melbourne, Melbourne.</w:t>
      </w:r>
    </w:p>
    <w:p w14:paraId="10F8B216" w14:textId="77777777" w:rsidR="004E051C" w:rsidRDefault="004E051C">
      <w:pPr>
        <w:pStyle w:val="Reference"/>
      </w:pPr>
      <w:r>
        <w:t xml:space="preserve">—— 2015, ‘Not always fun: older children’s play worlds in Australian outside school hours care’, </w:t>
      </w:r>
      <w:r>
        <w:rPr>
          <w:i/>
          <w:iCs/>
        </w:rPr>
        <w:t xml:space="preserve">Journal of </w:t>
      </w:r>
      <w:proofErr w:type="spellStart"/>
      <w:r>
        <w:rPr>
          <w:i/>
          <w:iCs/>
        </w:rPr>
        <w:t>Playwork</w:t>
      </w:r>
      <w:proofErr w:type="spellEnd"/>
      <w:r>
        <w:rPr>
          <w:i/>
          <w:iCs/>
        </w:rPr>
        <w:t xml:space="preserve"> Practice</w:t>
      </w:r>
      <w:r>
        <w:t>, vol. 2, no. 1, pp. 7–22.</w:t>
      </w:r>
    </w:p>
    <w:p w14:paraId="2FD4C185" w14:textId="77777777" w:rsidR="004E051C" w:rsidRDefault="004E051C">
      <w:pPr>
        <w:pStyle w:val="Reference"/>
      </w:pPr>
      <w:r>
        <w:t xml:space="preserve">NDIA (National Disability Insurance Agency) 2023, </w:t>
      </w:r>
      <w:r>
        <w:rPr>
          <w:i/>
          <w:iCs/>
        </w:rPr>
        <w:t>NDIS quarterly report to disability ministers: 30 June 2023</w:t>
      </w:r>
      <w:r>
        <w:t>.</w:t>
      </w:r>
    </w:p>
    <w:p w14:paraId="1010E8C1" w14:textId="77777777" w:rsidR="004E051C" w:rsidRDefault="004E051C">
      <w:pPr>
        <w:pStyle w:val="Reference"/>
      </w:pPr>
      <w:r>
        <w:t xml:space="preserve">NDIS Review 2023, </w:t>
      </w:r>
      <w:r>
        <w:rPr>
          <w:i/>
          <w:iCs/>
        </w:rPr>
        <w:t>What we have heard: moving from defining problems to designing solutions to build a better NDIS</w:t>
      </w:r>
      <w:r>
        <w:t>.</w:t>
      </w:r>
    </w:p>
    <w:p w14:paraId="73BDFAFE" w14:textId="77777777" w:rsidR="004E051C" w:rsidRDefault="004E051C">
      <w:pPr>
        <w:pStyle w:val="Reference"/>
      </w:pPr>
      <w:r>
        <w:t xml:space="preserve">NSW Centre for Education Statistics and Evaluation 2015, </w:t>
      </w:r>
      <w:r>
        <w:rPr>
          <w:i/>
          <w:iCs/>
        </w:rPr>
        <w:t>Evaluation of the Transition to School Statement</w:t>
      </w:r>
      <w:r>
        <w:t>.</w:t>
      </w:r>
    </w:p>
    <w:p w14:paraId="5A52DC08" w14:textId="3A49BA29" w:rsidR="004E051C" w:rsidRPr="00C8014B" w:rsidRDefault="004E051C">
      <w:pPr>
        <w:pStyle w:val="Reference"/>
        <w:rPr>
          <w:spacing w:val="-4"/>
        </w:rPr>
      </w:pPr>
      <w:r w:rsidRPr="00C8014B">
        <w:rPr>
          <w:spacing w:val="-4"/>
        </w:rPr>
        <w:t xml:space="preserve">NSW Department of Education 2023a, </w:t>
      </w:r>
      <w:r w:rsidRPr="00C8014B">
        <w:rPr>
          <w:i/>
          <w:iCs/>
          <w:spacing w:val="-4"/>
        </w:rPr>
        <w:t>2024 Start Strong for Community Preschools program guidelines</w:t>
      </w:r>
      <w:r w:rsidRPr="00C8014B">
        <w:rPr>
          <w:spacing w:val="-4"/>
        </w:rPr>
        <w:t>, NSW Department of Education, https://education.nsw.gov.au/early-childhood-education/operating-an-early-childhood-education-service/</w:t>
      </w:r>
      <w:r w:rsidR="00C8014B" w:rsidRPr="00C8014B">
        <w:rPr>
          <w:spacing w:val="-4"/>
        </w:rPr>
        <w:br/>
      </w:r>
      <w:r w:rsidRPr="00C8014B">
        <w:rPr>
          <w:spacing w:val="-4"/>
        </w:rPr>
        <w:t>grants-and-funded-programs/start-strong-funding/start-strong-for-community-preschools/2024-start-strong-for-community-preschools-program-guidelines.html (accessed 26 October 2023).</w:t>
      </w:r>
    </w:p>
    <w:p w14:paraId="37CFFF31" w14:textId="77777777" w:rsidR="004E051C" w:rsidRDefault="004E051C">
      <w:pPr>
        <w:pStyle w:val="Reference"/>
      </w:pPr>
      <w:r>
        <w:t xml:space="preserve">—— 2023b, </w:t>
      </w:r>
      <w:r>
        <w:rPr>
          <w:i/>
          <w:iCs/>
        </w:rPr>
        <w:t>2024 Start Strong for Long Day Care program guidelines</w:t>
      </w:r>
      <w:r>
        <w:t>, NSW Department of Education, https://education.nsw.gov.au/early-childhood-education/operating-an-early-childhood-education-service/grants-and-funded-programs/start-strong-funding/start-strong-for-long-day-care/2024-start-strong-for-long-day-care-program-guidelines.html (accessed 26 October 2023).</w:t>
      </w:r>
    </w:p>
    <w:p w14:paraId="417DBDF0" w14:textId="77777777" w:rsidR="004E051C" w:rsidRDefault="004E051C">
      <w:pPr>
        <w:pStyle w:val="Reference"/>
      </w:pPr>
      <w:r>
        <w:t xml:space="preserve">—— 2023c, </w:t>
      </w:r>
      <w:r>
        <w:rPr>
          <w:i/>
          <w:iCs/>
        </w:rPr>
        <w:t>Cultural safety framework</w:t>
      </w:r>
      <w:r>
        <w:t>, NSW Department of Education, https://education.nsw.gov.au/early-childhood-education/operating-an-early-childhood-education-service/current-service-providers/making-services-accessible-for-all-children/aboriginal-access/cultural-safety-framework-consultation.html (accessed 9 September 2023).</w:t>
      </w:r>
    </w:p>
    <w:p w14:paraId="0FEC7070" w14:textId="77777777" w:rsidR="004E051C" w:rsidRDefault="004E051C">
      <w:pPr>
        <w:pStyle w:val="Reference"/>
      </w:pPr>
      <w:r>
        <w:t xml:space="preserve">—— 2023d, </w:t>
      </w:r>
      <w:r>
        <w:rPr>
          <w:i/>
          <w:iCs/>
        </w:rPr>
        <w:t>Disability and Inclusion Program</w:t>
      </w:r>
      <w:r>
        <w:t>, education.nsw.gov.au, https://education.nsw.gov.au/early-childhood-education/operating-an-early-childhood-education-service/grants-and-funded-programs/disability-and-inclusion-program (accessed 4 September 2023).</w:t>
      </w:r>
    </w:p>
    <w:p w14:paraId="7CA240C4" w14:textId="77777777" w:rsidR="004E051C" w:rsidRDefault="004E051C">
      <w:pPr>
        <w:pStyle w:val="Reference"/>
      </w:pPr>
      <w:r>
        <w:t xml:space="preserve">—— 2023e, </w:t>
      </w:r>
      <w:proofErr w:type="spellStart"/>
      <w:r>
        <w:rPr>
          <w:i/>
          <w:iCs/>
        </w:rPr>
        <w:t>Ninganah</w:t>
      </w:r>
      <w:proofErr w:type="spellEnd"/>
      <w:r>
        <w:rPr>
          <w:i/>
          <w:iCs/>
        </w:rPr>
        <w:t xml:space="preserve"> No More</w:t>
      </w:r>
      <w:r>
        <w:t>, NSW Department of Education, https://education.nsw.gov.au/early-childhood-education/operating-an-early-childhood-education-service/grants-and-funded-programs/ninganah-no-more.html (accessed 5 September 2023).</w:t>
      </w:r>
    </w:p>
    <w:p w14:paraId="779B955D" w14:textId="77777777" w:rsidR="004E051C" w:rsidRPr="00405421" w:rsidRDefault="004E051C">
      <w:pPr>
        <w:pStyle w:val="Reference"/>
        <w:rPr>
          <w:spacing w:val="-4"/>
        </w:rPr>
      </w:pPr>
      <w:r w:rsidRPr="00405421">
        <w:rPr>
          <w:spacing w:val="-4"/>
        </w:rPr>
        <w:t xml:space="preserve">—— 2023f, </w:t>
      </w:r>
      <w:r w:rsidRPr="00405421">
        <w:rPr>
          <w:i/>
          <w:iCs/>
          <w:spacing w:val="-4"/>
        </w:rPr>
        <w:t>Service approval</w:t>
      </w:r>
      <w:r w:rsidRPr="00405421">
        <w:rPr>
          <w:spacing w:val="-4"/>
        </w:rPr>
        <w:t>, NSW Department of Education, https://education.nsw.gov.au/early-childhood-education/operating-an-early-childhood-education-service/setting-up-a-new-service.html (accessed 27 September 2023).</w:t>
      </w:r>
    </w:p>
    <w:p w14:paraId="26BDFBDC" w14:textId="77777777" w:rsidR="004E051C" w:rsidRDefault="004E051C">
      <w:pPr>
        <w:pStyle w:val="Reference"/>
      </w:pPr>
      <w:r>
        <w:t xml:space="preserve">—— 2023g, </w:t>
      </w:r>
      <w:r>
        <w:rPr>
          <w:i/>
          <w:iCs/>
        </w:rPr>
        <w:t>Transition to school</w:t>
      </w:r>
      <w:r>
        <w:t>, NSW Department of Education, https://education.nsw.gov.au/early-childhood-education/working-in-early-childhood-education/transition-to-school.html (accessed 5 September 2023).</w:t>
      </w:r>
    </w:p>
    <w:p w14:paraId="6173F020" w14:textId="77777777" w:rsidR="004E051C" w:rsidRDefault="004E051C">
      <w:pPr>
        <w:pStyle w:val="Reference"/>
      </w:pPr>
      <w:r>
        <w:t xml:space="preserve">NSW IPART (NSW Independent Pricing and Regulatory Tribunal) 2023, </w:t>
      </w:r>
      <w:r>
        <w:rPr>
          <w:i/>
          <w:iCs/>
        </w:rPr>
        <w:t>Review of early childhood education and care: interim report</w:t>
      </w:r>
      <w:r>
        <w:t>.</w:t>
      </w:r>
    </w:p>
    <w:p w14:paraId="37CFE739" w14:textId="77777777" w:rsidR="004E051C" w:rsidRDefault="004E051C">
      <w:pPr>
        <w:pStyle w:val="Reference"/>
      </w:pPr>
      <w:r>
        <w:t xml:space="preserve">NT Department of Education 2023, </w:t>
      </w:r>
      <w:r>
        <w:rPr>
          <w:i/>
          <w:iCs/>
        </w:rPr>
        <w:t>Early childhood transitioning to school – policy</w:t>
      </w:r>
      <w:r>
        <w:t>.</w:t>
      </w:r>
    </w:p>
    <w:p w14:paraId="3DE64941" w14:textId="5E91F3F3" w:rsidR="004E051C" w:rsidRDefault="004E051C">
      <w:pPr>
        <w:pStyle w:val="Reference"/>
      </w:pPr>
      <w:r>
        <w:t xml:space="preserve">Queensland Curriculum and Assessment Authority 2021, </w:t>
      </w:r>
      <w:r>
        <w:rPr>
          <w:i/>
          <w:iCs/>
        </w:rPr>
        <w:t>Kindergarten transition statements</w:t>
      </w:r>
      <w:r>
        <w:t>, Queensland Curriculum and Assessment Authority, https://www.qcaa.qld.edu.au/</w:t>
      </w:r>
      <w:r w:rsidR="00CA34D1">
        <w:br/>
      </w:r>
      <w:r>
        <w:t>kindergarten/supporting-transition-school/transition-statements (accessed 5 September 2023).</w:t>
      </w:r>
    </w:p>
    <w:p w14:paraId="46950A65" w14:textId="77777777" w:rsidR="004E051C" w:rsidRDefault="004E051C">
      <w:pPr>
        <w:pStyle w:val="Reference"/>
      </w:pPr>
      <w:r>
        <w:t xml:space="preserve">—— 2023, </w:t>
      </w:r>
      <w:r>
        <w:rPr>
          <w:i/>
          <w:iCs/>
        </w:rPr>
        <w:t>Kindergarten Transition Statement application: School FAQs</w:t>
      </w:r>
      <w:r>
        <w:t xml:space="preserve">, Queensland Curriculum and Assessment </w:t>
      </w:r>
      <w:r>
        <w:t>Authority, https://www.qcaa.qld.edu.au/p-10/transition-school/faqs (accessed 5 September 2023).</w:t>
      </w:r>
    </w:p>
    <w:p w14:paraId="5EBC9EFA" w14:textId="77777777" w:rsidR="004E051C" w:rsidRPr="00CA34D1" w:rsidRDefault="004E051C">
      <w:pPr>
        <w:pStyle w:val="Reference"/>
        <w:rPr>
          <w:spacing w:val="-4"/>
        </w:rPr>
      </w:pPr>
      <w:r w:rsidRPr="00CA34D1">
        <w:rPr>
          <w:spacing w:val="-4"/>
        </w:rPr>
        <w:t xml:space="preserve">Queensland Government 2018, </w:t>
      </w:r>
      <w:r w:rsidRPr="00CA34D1">
        <w:rPr>
          <w:i/>
          <w:iCs/>
          <w:spacing w:val="-4"/>
        </w:rPr>
        <w:t>Kindergarten Inclusion Support Scheme</w:t>
      </w:r>
      <w:r w:rsidRPr="00CA34D1">
        <w:rPr>
          <w:spacing w:val="-4"/>
        </w:rPr>
        <w:t>, https://earlychildhood.qld.gov.au/funding-and-support/disability-and-inclusion-support-programs/kindergarten-inclusion-support-scheme (accessed 4 September 2023).</w:t>
      </w:r>
    </w:p>
    <w:p w14:paraId="052BD84E" w14:textId="77777777" w:rsidR="004E051C" w:rsidRDefault="004E051C">
      <w:pPr>
        <w:pStyle w:val="Reference"/>
      </w:pPr>
      <w:r>
        <w:t xml:space="preserve">—— 2021, </w:t>
      </w:r>
      <w:r>
        <w:rPr>
          <w:i/>
          <w:iCs/>
        </w:rPr>
        <w:t>Kindy uplift program</w:t>
      </w:r>
      <w:r>
        <w:t>, https://earlychildhood.qld.gov.au/funding-and-support/grants-tenders-and-funding/kindy-uplift (accessed 13 June 2023).</w:t>
      </w:r>
    </w:p>
    <w:p w14:paraId="7E15E8FF" w14:textId="77777777" w:rsidR="004E051C" w:rsidRDefault="004E051C">
      <w:pPr>
        <w:pStyle w:val="Reference"/>
      </w:pPr>
      <w:r>
        <w:t xml:space="preserve">—— 2023, </w:t>
      </w:r>
      <w:r>
        <w:rPr>
          <w:i/>
          <w:iCs/>
        </w:rPr>
        <w:t xml:space="preserve">Legal requirements for </w:t>
      </w:r>
      <w:proofErr w:type="gramStart"/>
      <w:r>
        <w:rPr>
          <w:i/>
          <w:iCs/>
        </w:rPr>
        <w:t>child care</w:t>
      </w:r>
      <w:proofErr w:type="gramEnd"/>
      <w:r>
        <w:rPr>
          <w:i/>
          <w:iCs/>
        </w:rPr>
        <w:t xml:space="preserve"> providers in Queensland</w:t>
      </w:r>
      <w:r>
        <w:t>, Business Queensland, https://www.business.qld.gov.au/industries/service-industries-professionals/service-industries/child-care/legal-requirements (accessed 27 September 2023).</w:t>
      </w:r>
    </w:p>
    <w:p w14:paraId="2998757A" w14:textId="77777777" w:rsidR="004E051C" w:rsidRDefault="004E051C">
      <w:pPr>
        <w:pStyle w:val="Reference"/>
      </w:pPr>
      <w:r>
        <w:t xml:space="preserve">SA Department for Education 2022, </w:t>
      </w:r>
      <w:r>
        <w:rPr>
          <w:i/>
          <w:iCs/>
        </w:rPr>
        <w:t>Inclusive Education Support program (IESP) – disability funding for students and children</w:t>
      </w:r>
      <w:r>
        <w:t>, https://www.education.sa.gov.au/parents-and-families/student-health-and-disability-support/health-and-disability-programs/inclusive-education-support-program-iesp-disability-funding-students-and-children (accessed 4 September 2023).</w:t>
      </w:r>
    </w:p>
    <w:p w14:paraId="58DF8017" w14:textId="77777777" w:rsidR="004E051C" w:rsidRDefault="004E051C">
      <w:pPr>
        <w:pStyle w:val="Reference"/>
      </w:pPr>
      <w:r>
        <w:t xml:space="preserve">SA Government 2023a, </w:t>
      </w:r>
      <w:r>
        <w:rPr>
          <w:i/>
          <w:iCs/>
        </w:rPr>
        <w:t>Royal Commission into early childhood education and care: final report</w:t>
      </w:r>
      <w:r>
        <w:t>.</w:t>
      </w:r>
    </w:p>
    <w:p w14:paraId="1141EA18" w14:textId="77777777" w:rsidR="004E051C" w:rsidRDefault="004E051C">
      <w:pPr>
        <w:pStyle w:val="Reference"/>
      </w:pPr>
      <w:r>
        <w:t xml:space="preserve">—— 2023b, </w:t>
      </w:r>
      <w:r>
        <w:rPr>
          <w:i/>
          <w:iCs/>
        </w:rPr>
        <w:t>Royal Commission into early childhood education and care: interim report</w:t>
      </w:r>
      <w:r>
        <w:t>.</w:t>
      </w:r>
    </w:p>
    <w:p w14:paraId="28BE583D" w14:textId="77777777" w:rsidR="004E051C" w:rsidRDefault="004E051C">
      <w:pPr>
        <w:pStyle w:val="Reference"/>
      </w:pPr>
      <w:r>
        <w:t xml:space="preserve">SCRGSP (Steering Committee for the Review of Government Service Provision) 2023, </w:t>
      </w:r>
      <w:r>
        <w:rPr>
          <w:i/>
          <w:iCs/>
        </w:rPr>
        <w:t xml:space="preserve">Report on Government Services 2023 - Part B </w:t>
      </w:r>
      <w:proofErr w:type="gramStart"/>
      <w:r>
        <w:rPr>
          <w:i/>
          <w:iCs/>
        </w:rPr>
        <w:t>Child Care</w:t>
      </w:r>
      <w:proofErr w:type="gramEnd"/>
      <w:r>
        <w:rPr>
          <w:i/>
          <w:iCs/>
        </w:rPr>
        <w:t>, Education and Training</w:t>
      </w:r>
      <w:r>
        <w:t>, Productivity Commission, Canberra.</w:t>
      </w:r>
    </w:p>
    <w:p w14:paraId="294BD482" w14:textId="77777777" w:rsidR="004E051C" w:rsidRDefault="004E051C">
      <w:pPr>
        <w:pStyle w:val="Reference"/>
      </w:pPr>
      <w:r>
        <w:t xml:space="preserve">Simoncini, K., Cartmel, J. and Young, A. 2015, ‘Children’s voices in Australian school age care: What do they think about afterschool care?’, </w:t>
      </w:r>
      <w:r>
        <w:rPr>
          <w:i/>
          <w:iCs/>
        </w:rPr>
        <w:t>International Journal for Research on Extended Education</w:t>
      </w:r>
      <w:r>
        <w:t>, vol. 3, no. 1, pp. 114–131.</w:t>
      </w:r>
    </w:p>
    <w:p w14:paraId="5D24497B" w14:textId="77777777" w:rsidR="004E051C" w:rsidRDefault="004E051C">
      <w:pPr>
        <w:pStyle w:val="Reference"/>
      </w:pPr>
      <w:r>
        <w:t xml:space="preserve">SNAICC and Early Childhood Australia (Secretariat of National Aboriginal and Islander </w:t>
      </w:r>
      <w:proofErr w:type="gramStart"/>
      <w:r>
        <w:t>Child Care</w:t>
      </w:r>
      <w:proofErr w:type="gramEnd"/>
      <w:r>
        <w:t xml:space="preserve"> and Early Childhood Australia) 2019, </w:t>
      </w:r>
      <w:r>
        <w:rPr>
          <w:i/>
          <w:iCs/>
        </w:rPr>
        <w:t>Working together to ensure equality for Aboriginal and Torres Strait Islander children in the early years</w:t>
      </w:r>
      <w:r>
        <w:t>, Position paper, p. 3.</w:t>
      </w:r>
    </w:p>
    <w:p w14:paraId="5423CDBF" w14:textId="77777777" w:rsidR="004E051C" w:rsidRPr="00405421" w:rsidRDefault="004E051C">
      <w:pPr>
        <w:pStyle w:val="Reference"/>
        <w:rPr>
          <w:spacing w:val="-4"/>
        </w:rPr>
      </w:pPr>
      <w:r w:rsidRPr="00405421">
        <w:rPr>
          <w:spacing w:val="-4"/>
        </w:rPr>
        <w:t xml:space="preserve">South Australian Department for Education 2022, </w:t>
      </w:r>
      <w:proofErr w:type="spellStart"/>
      <w:r w:rsidRPr="00405421">
        <w:rPr>
          <w:i/>
          <w:iCs/>
          <w:spacing w:val="-4"/>
        </w:rPr>
        <w:t>Intervac</w:t>
      </w:r>
      <w:proofErr w:type="spellEnd"/>
      <w:r w:rsidRPr="00405421">
        <w:rPr>
          <w:i/>
          <w:iCs/>
          <w:spacing w:val="-4"/>
        </w:rPr>
        <w:t xml:space="preserve"> funding guidelines for OSHC services to support inclusion of children with additional needs</w:t>
      </w:r>
      <w:r w:rsidRPr="00405421">
        <w:rPr>
          <w:spacing w:val="-4"/>
        </w:rPr>
        <w:t>, https://www.education.sa.gov.au/working-us/out-school-hours-care-oshc/running-oshc-service/intervac-funding-guidelines-oshc-services-support-inclusion-children-additional-needs (accessed 3 August 2023).</w:t>
      </w:r>
    </w:p>
    <w:p w14:paraId="7C98FEF6" w14:textId="77777777" w:rsidR="004E051C" w:rsidRDefault="004E051C">
      <w:pPr>
        <w:pStyle w:val="Reference"/>
      </w:pPr>
      <w:r>
        <w:t xml:space="preserve">State of Tasmania and Commonwealth of Australia 2023, </w:t>
      </w:r>
      <w:r>
        <w:rPr>
          <w:i/>
          <w:iCs/>
        </w:rPr>
        <w:t>Tasmania: Implementation Plan and Performance Report - 2023, Preschool Reform Agreement</w:t>
      </w:r>
      <w:r>
        <w:t>.</w:t>
      </w:r>
    </w:p>
    <w:p w14:paraId="147A16C2" w14:textId="77777777" w:rsidR="004E051C" w:rsidRDefault="004E051C">
      <w:pPr>
        <w:pStyle w:val="Reference"/>
      </w:pPr>
      <w:r>
        <w:t xml:space="preserve">State of Western Australia and Commonwealth of Australia 2023, </w:t>
      </w:r>
      <w:r>
        <w:rPr>
          <w:i/>
          <w:iCs/>
        </w:rPr>
        <w:t>Western Australia: Implementation Plan and Performance Report - 2023, Preschool Reform Agreement</w:t>
      </w:r>
      <w:r>
        <w:t>.</w:t>
      </w:r>
    </w:p>
    <w:p w14:paraId="2AC7DFD4" w14:textId="77777777" w:rsidR="004E051C" w:rsidRDefault="004E051C">
      <w:pPr>
        <w:pStyle w:val="Reference"/>
      </w:pPr>
      <w:r>
        <w:t xml:space="preserve">Tseng, Y.-P., Jordan, B., Borland, J., Clancy, T., Coombs, N., Cotter, K., Hill, A. and Kennedy, A. 2017, </w:t>
      </w:r>
      <w:r>
        <w:rPr>
          <w:i/>
          <w:iCs/>
        </w:rPr>
        <w:t>Participants in the trial of the Early Years Education Program</w:t>
      </w:r>
      <w:r>
        <w:t>.</w:t>
      </w:r>
    </w:p>
    <w:p w14:paraId="50E28934" w14:textId="77777777" w:rsidR="004E051C" w:rsidRDefault="004E051C">
      <w:pPr>
        <w:pStyle w:val="Reference"/>
      </w:pPr>
      <w:r>
        <w:t xml:space="preserve">——, ——, ——, Clark, M., Coombs, N., Cotter, K., Guillou, M., Hill, A., Kennedy, A. and Sheehan, J. 2022, </w:t>
      </w:r>
      <w:r>
        <w:rPr>
          <w:i/>
          <w:iCs/>
        </w:rPr>
        <w:t>36 months in the Early Years Education Program: assessment of the impact on children and their primary caregivers</w:t>
      </w:r>
      <w:r>
        <w:t>.</w:t>
      </w:r>
    </w:p>
    <w:p w14:paraId="1DB66AC8" w14:textId="77777777" w:rsidR="004E051C" w:rsidRDefault="004E051C">
      <w:pPr>
        <w:pStyle w:val="Reference"/>
      </w:pPr>
      <w:r>
        <w:t xml:space="preserve">Urbis 2015, </w:t>
      </w:r>
      <w:r>
        <w:rPr>
          <w:i/>
          <w:iCs/>
        </w:rPr>
        <w:t>2015 Review of the Disability Standards for Education 2005: final report</w:t>
      </w:r>
      <w:r>
        <w:t>.</w:t>
      </w:r>
    </w:p>
    <w:p w14:paraId="7A2B3ACB" w14:textId="77777777" w:rsidR="004E051C" w:rsidRDefault="004E051C">
      <w:pPr>
        <w:pStyle w:val="Reference"/>
      </w:pPr>
      <w:r>
        <w:t xml:space="preserve">Victorian Government 2023a, </w:t>
      </w:r>
      <w:r>
        <w:rPr>
          <w:i/>
          <w:iCs/>
        </w:rPr>
        <w:t>Early childhood language program</w:t>
      </w:r>
      <w:r>
        <w:t>, http://www.vic.gov.au/early-childhood-language-program (accessed 4 September 2023).</w:t>
      </w:r>
    </w:p>
    <w:p w14:paraId="677B6A2A" w14:textId="77777777" w:rsidR="004E051C" w:rsidRDefault="004E051C">
      <w:pPr>
        <w:pStyle w:val="Reference"/>
      </w:pPr>
      <w:r>
        <w:lastRenderedPageBreak/>
        <w:t xml:space="preserve">—— 2023b, </w:t>
      </w:r>
      <w:r>
        <w:rPr>
          <w:i/>
          <w:iCs/>
        </w:rPr>
        <w:t>Kindergarten Inclusion Support</w:t>
      </w:r>
      <w:r>
        <w:t>, http://www.vic.gov.au/kindergarten-inclusion-children-disabilities (accessed 4 September 2023).</w:t>
      </w:r>
    </w:p>
    <w:p w14:paraId="04A4C72C" w14:textId="77777777" w:rsidR="004E051C" w:rsidRDefault="004E051C">
      <w:pPr>
        <w:pStyle w:val="Reference"/>
      </w:pPr>
      <w:r>
        <w:t xml:space="preserve">—— 2023c, </w:t>
      </w:r>
      <w:r>
        <w:rPr>
          <w:i/>
          <w:iCs/>
        </w:rPr>
        <w:t>School Readiness Funding</w:t>
      </w:r>
      <w:r>
        <w:t>, http://www.vic.gov.au/school-readiness-funding (accessed 4 September 2023).</w:t>
      </w:r>
    </w:p>
    <w:p w14:paraId="428FD2E9" w14:textId="14CD9BED" w:rsidR="00AF6B4B" w:rsidRDefault="004E051C" w:rsidP="00FE43DC">
      <w:pPr>
        <w:pStyle w:val="Reference"/>
        <w:rPr>
          <w:noProof/>
        </w:rPr>
      </w:pPr>
      <w:r>
        <w:t xml:space="preserve">—— 2023d, </w:t>
      </w:r>
      <w:r>
        <w:rPr>
          <w:i/>
          <w:iCs/>
        </w:rPr>
        <w:t>Transition Learning and Development Statements (TLDS)</w:t>
      </w:r>
      <w:r>
        <w:t>, http://www.vic.gov.au/transition-learning-and-development-statements (accessed 5 September 2023)</w:t>
      </w:r>
      <w:r w:rsidR="00C8014B">
        <w:t>.</w:t>
      </w:r>
      <w:r w:rsidR="00FE43DC">
        <w:rPr>
          <w:noProof/>
        </w:rPr>
        <w:t xml:space="preserve"> </w:t>
      </w:r>
    </w:p>
    <w:sectPr w:rsidR="00AF6B4B" w:rsidSect="00FE43DC">
      <w:headerReference w:type="default" r:id="rId31"/>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CF0D" w14:textId="77777777" w:rsidR="005D2AC0" w:rsidRDefault="005D2AC0" w:rsidP="008017BC">
      <w:r>
        <w:separator/>
      </w:r>
    </w:p>
    <w:p w14:paraId="5A34F226" w14:textId="77777777" w:rsidR="005D2AC0" w:rsidRDefault="005D2AC0"/>
  </w:endnote>
  <w:endnote w:type="continuationSeparator" w:id="0">
    <w:p w14:paraId="2B527A82" w14:textId="77777777" w:rsidR="005D2AC0" w:rsidRDefault="005D2AC0" w:rsidP="008017BC">
      <w:r>
        <w:continuationSeparator/>
      </w:r>
    </w:p>
    <w:p w14:paraId="1632A51F" w14:textId="77777777" w:rsidR="005D2AC0" w:rsidRDefault="005D2AC0"/>
  </w:endnote>
  <w:endnote w:type="continuationNotice" w:id="1">
    <w:p w14:paraId="70798510" w14:textId="77777777" w:rsidR="005D2AC0" w:rsidRDefault="005D2A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63B7" w14:textId="77777777" w:rsidR="004E051C" w:rsidRDefault="004E051C"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55439"/>
      <w:docPartObj>
        <w:docPartGallery w:val="Page Numbers (Bottom of Page)"/>
        <w:docPartUnique/>
      </w:docPartObj>
    </w:sdtPr>
    <w:sdtContent>
      <w:sdt>
        <w:sdtPr>
          <w:id w:val="288861956"/>
          <w:docPartObj>
            <w:docPartGallery w:val="Page Numbers (Top of Page)"/>
            <w:docPartUnique/>
          </w:docPartObj>
        </w:sdtPr>
        <w:sdtContent>
          <w:p w14:paraId="0D3F2746" w14:textId="77777777" w:rsidR="004E051C" w:rsidRDefault="004E051C"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496D" w14:textId="77777777" w:rsidR="005D2AC0" w:rsidRPr="00C238D1" w:rsidRDefault="005D2AC0" w:rsidP="00273E86">
      <w:pPr>
        <w:spacing w:after="0" w:line="240" w:lineRule="auto"/>
        <w:rPr>
          <w:rStyle w:val="ColourDarkBlue"/>
        </w:rPr>
      </w:pPr>
      <w:r w:rsidRPr="00C238D1">
        <w:rPr>
          <w:rStyle w:val="ColourDarkBlue"/>
        </w:rPr>
        <w:continuationSeparator/>
      </w:r>
    </w:p>
  </w:footnote>
  <w:footnote w:type="continuationSeparator" w:id="0">
    <w:p w14:paraId="0837152E" w14:textId="77777777" w:rsidR="005D2AC0" w:rsidRPr="001D7D9B" w:rsidRDefault="005D2AC0" w:rsidP="001D7D9B">
      <w:pPr>
        <w:spacing w:after="0" w:line="240" w:lineRule="auto"/>
        <w:rPr>
          <w:color w:val="265A9A" w:themeColor="background2"/>
        </w:rPr>
      </w:pPr>
      <w:r w:rsidRPr="00C238D1">
        <w:rPr>
          <w:rStyle w:val="ColourDarkBlue"/>
        </w:rPr>
        <w:continuationSeparator/>
      </w:r>
    </w:p>
  </w:footnote>
  <w:footnote w:type="continuationNotice" w:id="1">
    <w:p w14:paraId="24968030" w14:textId="77777777" w:rsidR="005D2AC0" w:rsidRDefault="005D2AC0"/>
  </w:footnote>
  <w:footnote w:id="2">
    <w:p w14:paraId="1C0F0D6C" w14:textId="77777777" w:rsidR="004E051C" w:rsidRPr="0059251D" w:rsidRDefault="004E051C">
      <w:pPr>
        <w:pStyle w:val="FootnoteText"/>
      </w:pPr>
      <w:r w:rsidRPr="00D10F0A">
        <w:rPr>
          <w:rStyle w:val="FootnoteReference"/>
        </w:rPr>
        <w:footnoteRef/>
      </w:r>
      <w:r w:rsidRPr="001D70B2">
        <w:t xml:space="preserve"> </w:t>
      </w:r>
      <w:r w:rsidRPr="00187C0E">
        <w:rPr>
          <w:rFonts w:cstheme="minorHAnsi"/>
          <w:bCs/>
        </w:rPr>
        <w:t>The reference period used to calculate the number of children enrolled varied but was generally a period in August</w:t>
      </w:r>
      <w:r>
        <w:rPr>
          <w:rFonts w:cstheme="minorHAnsi"/>
          <w:bCs/>
        </w:rPr>
        <w:t> </w:t>
      </w:r>
      <w:r w:rsidRPr="00187C0E">
        <w:rPr>
          <w:rFonts w:cstheme="minorHAnsi"/>
          <w:bCs/>
        </w:rPr>
        <w:t xml:space="preserve">2022. </w:t>
      </w:r>
      <w:r w:rsidRPr="00DE2161">
        <w:t xml:space="preserve">For Australian Government data, </w:t>
      </w:r>
      <w:r w:rsidRPr="00187C0E">
        <w:t>it</w:t>
      </w:r>
      <w:r w:rsidRPr="00DE2161">
        <w:t xml:space="preserve"> was 1</w:t>
      </w:r>
      <w:r>
        <w:t xml:space="preserve">–7 </w:t>
      </w:r>
      <w:r w:rsidRPr="00DE2161">
        <w:t xml:space="preserve">August 2022. For state and territory data, </w:t>
      </w:r>
      <w:r w:rsidRPr="00187C0E">
        <w:t>it</w:t>
      </w:r>
      <w:r w:rsidRPr="00DE2161">
        <w:t xml:space="preserve"> was generally a period in August 2022. For the NT, it included part of June and July 2022 and in the </w:t>
      </w:r>
      <w:proofErr w:type="gramStart"/>
      <w:r w:rsidRPr="00DE2161">
        <w:t>ACT</w:t>
      </w:r>
      <w:proofErr w:type="gramEnd"/>
      <w:r w:rsidRPr="00DE2161">
        <w:t xml:space="preserve"> it included part of July 2022.</w:t>
      </w:r>
      <w:r>
        <w:rPr>
          <w:b/>
          <w:bCs/>
        </w:rPr>
        <w:t xml:space="preserve"> </w:t>
      </w:r>
      <w:r w:rsidRPr="00DE2161">
        <w:t xml:space="preserve">Data on the overall population of children was </w:t>
      </w:r>
      <w:proofErr w:type="gramStart"/>
      <w:r w:rsidRPr="00DE2161">
        <w:t>at</w:t>
      </w:r>
      <w:proofErr w:type="gramEnd"/>
      <w:r w:rsidRPr="00DE2161">
        <w:t xml:space="preserve"> June 2022</w:t>
      </w:r>
      <w:r>
        <w:t xml:space="preserve">. </w:t>
      </w:r>
    </w:p>
  </w:footnote>
  <w:footnote w:id="3">
    <w:p w14:paraId="0882A95A" w14:textId="77777777" w:rsidR="004E051C" w:rsidRPr="00EB5F2F" w:rsidRDefault="004E051C">
      <w:pPr>
        <w:pStyle w:val="FootnoteText"/>
        <w:rPr>
          <w:lang w:val="en-US"/>
        </w:rPr>
      </w:pPr>
      <w:r w:rsidRPr="00D10F0A">
        <w:rPr>
          <w:rStyle w:val="FootnoteReference"/>
        </w:rPr>
        <w:footnoteRef/>
      </w:r>
      <w:r>
        <w:t xml:space="preserve"> </w:t>
      </w:r>
      <w:r>
        <w:rPr>
          <w:lang w:val="en-US"/>
        </w:rPr>
        <w:t>Children residing in an area with a Socio-Economic Indexes for Areas – Index for Relative Socio-economic Disadvantage quintile of 1.</w:t>
      </w:r>
    </w:p>
  </w:footnote>
  <w:footnote w:id="4">
    <w:p w14:paraId="17A78F41" w14:textId="77777777" w:rsidR="004E051C" w:rsidRPr="003F1E59" w:rsidRDefault="004E051C">
      <w:pPr>
        <w:pStyle w:val="FootnoteText"/>
        <w:rPr>
          <w:spacing w:val="-2"/>
          <w:lang w:val="en-US"/>
        </w:rPr>
      </w:pPr>
      <w:r w:rsidRPr="003F1E59">
        <w:rPr>
          <w:rStyle w:val="FootnoteReference"/>
          <w:spacing w:val="-2"/>
        </w:rPr>
        <w:footnoteRef/>
      </w:r>
      <w:r w:rsidRPr="003F1E59">
        <w:rPr>
          <w:spacing w:val="-2"/>
        </w:rPr>
        <w:t xml:space="preserve"> For CCS services, data is reported based on the income of the family, rather than the socio-economic status of their area. </w:t>
      </w:r>
    </w:p>
  </w:footnote>
  <w:footnote w:id="5">
    <w:p w14:paraId="122F74E0" w14:textId="77777777" w:rsidR="004E051C" w:rsidRPr="00757464" w:rsidRDefault="004E051C">
      <w:pPr>
        <w:pStyle w:val="FootnoteText"/>
        <w:rPr>
          <w:lang w:val="en-US"/>
        </w:rPr>
      </w:pPr>
      <w:r w:rsidRPr="00D10F0A">
        <w:rPr>
          <w:rStyle w:val="FootnoteReference"/>
        </w:rPr>
        <w:footnoteRef/>
      </w:r>
      <w:r>
        <w:t xml:space="preserve"> </w:t>
      </w:r>
      <w:r w:rsidRPr="0007383E">
        <w:t>The NQF categori</w:t>
      </w:r>
      <w:r>
        <w:t>s</w:t>
      </w:r>
      <w:r w:rsidRPr="0007383E">
        <w:t xml:space="preserve">es service types differently to the classification system used for the </w:t>
      </w:r>
      <w:r>
        <w:t>CCS</w:t>
      </w:r>
      <w:r w:rsidRPr="0007383E">
        <w:t xml:space="preserve">, which has been adopted </w:t>
      </w:r>
      <w:r w:rsidRPr="00943271">
        <w:t>throughout this inquiry. Long day care services refer to centre-based services providing all-day care to children. Some CCS approved centre-based day care services also offer shorter sessions or occasional care.</w:t>
      </w:r>
    </w:p>
  </w:footnote>
  <w:footnote w:id="6">
    <w:p w14:paraId="41A37B0F" w14:textId="77777777" w:rsidR="004E051C" w:rsidRPr="00121309" w:rsidRDefault="004E051C">
      <w:pPr>
        <w:pStyle w:val="FootnoteText"/>
      </w:pPr>
      <w:r w:rsidRPr="00D10F0A">
        <w:rPr>
          <w:rStyle w:val="FootnoteReference"/>
        </w:rPr>
        <w:footnoteRef/>
      </w:r>
      <w:r>
        <w:t xml:space="preserve"> Services with fewer than 25 children attending are permitted to access an early childhood teacher, which may be through an information communication technology solution.</w:t>
      </w:r>
    </w:p>
  </w:footnote>
  <w:footnote w:id="7">
    <w:p w14:paraId="37B4C571" w14:textId="77777777" w:rsidR="004E051C" w:rsidRPr="00121309" w:rsidRDefault="004E051C">
      <w:pPr>
        <w:pStyle w:val="FootnoteText"/>
      </w:pPr>
      <w:r w:rsidRPr="00D10F0A">
        <w:rPr>
          <w:rStyle w:val="FootnoteReference"/>
        </w:rPr>
        <w:footnoteRef/>
      </w:r>
      <w:r>
        <w:t xml:space="preserve"> In FDC, changes from July 2023 removed the ability of educators to be working towards their qualification. Existing educators have up to 12 months to complete their qualifications (aside from educators in South Australia, where this requirement already applied).</w:t>
      </w:r>
    </w:p>
  </w:footnote>
  <w:footnote w:id="8">
    <w:p w14:paraId="2D075578" w14:textId="77777777" w:rsidR="004E051C" w:rsidRPr="00EF753B" w:rsidRDefault="004E051C">
      <w:pPr>
        <w:pStyle w:val="FootnoteText"/>
        <w:rPr>
          <w:lang w:val="en-US"/>
        </w:rPr>
      </w:pPr>
      <w:r w:rsidRPr="00D10F0A">
        <w:rPr>
          <w:rStyle w:val="FootnoteReference"/>
        </w:rPr>
        <w:footnoteRef/>
      </w:r>
      <w:r>
        <w:t xml:space="preserve"> </w:t>
      </w:r>
      <w:r>
        <w:rPr>
          <w:lang w:val="en-US"/>
        </w:rPr>
        <w:t>Under the NQF, centre-based services include LDC, OSHC and preschool.</w:t>
      </w:r>
    </w:p>
  </w:footnote>
  <w:footnote w:id="9">
    <w:p w14:paraId="0D66B922" w14:textId="77777777" w:rsidR="004E051C" w:rsidRPr="0092399A" w:rsidRDefault="004E051C">
      <w:pPr>
        <w:pStyle w:val="FootnoteText"/>
        <w:rPr>
          <w:lang w:val="en-US"/>
        </w:rPr>
      </w:pPr>
      <w:r w:rsidRPr="00D10F0A">
        <w:rPr>
          <w:rStyle w:val="FootnoteReference"/>
        </w:rPr>
        <w:footnoteRef/>
      </w:r>
      <w:r>
        <w:t xml:space="preserve"> </w:t>
      </w:r>
      <w:r>
        <w:rPr>
          <w:lang w:val="en-US"/>
        </w:rPr>
        <w:t xml:space="preserve">Mobile services are excluded from the NQF. </w:t>
      </w:r>
      <w:r w:rsidRPr="001C05B8">
        <w:rPr>
          <w:lang w:val="en-US"/>
        </w:rPr>
        <w:t xml:space="preserve">All mobile services currently approved for the CCS are former BBF services (DoE, pers. comm., 6 November 2023). </w:t>
      </w:r>
    </w:p>
  </w:footnote>
  <w:footnote w:id="10">
    <w:p w14:paraId="38D90D57" w14:textId="77777777" w:rsidR="004E051C" w:rsidRPr="00BD7FC7" w:rsidRDefault="004E051C">
      <w:pPr>
        <w:pStyle w:val="FootnoteText"/>
      </w:pPr>
      <w:r w:rsidRPr="00D10F0A">
        <w:rPr>
          <w:rStyle w:val="FootnoteReference"/>
        </w:rPr>
        <w:footnoteRef/>
      </w:r>
      <w:r w:rsidRPr="00BD7FC7">
        <w:t xml:space="preserve"> Article 14</w:t>
      </w:r>
      <w:r>
        <w:t>(</w:t>
      </w:r>
      <w:r w:rsidRPr="00287606">
        <w:t>2</w:t>
      </w:r>
      <w:r>
        <w:t>)</w:t>
      </w:r>
      <w:r w:rsidRPr="00BD7FC7">
        <w:t>: Indigenous individuals, particularly children, have the right to all levels and forms of education of the State without discrimination.</w:t>
      </w:r>
    </w:p>
  </w:footnote>
  <w:footnote w:id="11">
    <w:p w14:paraId="79E1A116" w14:textId="77777777" w:rsidR="004E051C" w:rsidRPr="00CF1746" w:rsidRDefault="004E051C">
      <w:pPr>
        <w:pStyle w:val="FootnoteText"/>
        <w:rPr>
          <w:spacing w:val="-2"/>
        </w:rPr>
      </w:pPr>
      <w:r w:rsidRPr="00CF1746">
        <w:rPr>
          <w:rStyle w:val="FootnoteReference"/>
          <w:spacing w:val="-2"/>
        </w:rPr>
        <w:footnoteRef/>
      </w:r>
      <w:r w:rsidRPr="00CF1746">
        <w:rPr>
          <w:spacing w:val="-2"/>
        </w:rPr>
        <w:t xml:space="preserve"> Article 24(1): States Parties recognize the right of persons with disabilities to education. With a view to realizing this right without discrimination and on the basis of equal opportunity, States Parties shall ensure an inclusive education system at all levels and lifelong learning directed to … enabling persons with disabilities to participate effectively in a free society.</w:t>
      </w:r>
    </w:p>
  </w:footnote>
  <w:footnote w:id="12">
    <w:p w14:paraId="5FEDCB11" w14:textId="77777777" w:rsidR="004E051C" w:rsidRDefault="004E051C">
      <w:pPr>
        <w:pStyle w:val="FootnoteText"/>
      </w:pPr>
      <w:r w:rsidRPr="00D10F0A">
        <w:rPr>
          <w:rStyle w:val="FootnoteReference"/>
        </w:rPr>
        <w:footnoteRef/>
      </w:r>
      <w:r w:rsidRPr="00BD7FC7">
        <w:t xml:space="preserve"> Article </w:t>
      </w:r>
      <w:r w:rsidRPr="00287606">
        <w:t>23</w:t>
      </w:r>
      <w:r w:rsidRPr="00E4330D">
        <w:t>(</w:t>
      </w:r>
      <w:r w:rsidRPr="00287606">
        <w:t>3):</w:t>
      </w:r>
      <w:r w:rsidRPr="00BD7FC7">
        <w:t xml:space="preserve">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w:t>
      </w:r>
      <w:r w:rsidRPr="00483D86">
        <w:t>the fullest possible social integration and individual development, including his or her cultural and spiritual development.</w:t>
      </w:r>
    </w:p>
  </w:footnote>
  <w:footnote w:id="13">
    <w:p w14:paraId="4094319A" w14:textId="77777777" w:rsidR="004E051C" w:rsidRPr="002F266F" w:rsidRDefault="004E051C">
      <w:pPr>
        <w:pStyle w:val="FootnoteText"/>
        <w:rPr>
          <w:lang w:val="en-US"/>
        </w:rPr>
      </w:pPr>
      <w:r w:rsidRPr="00D10F0A">
        <w:rPr>
          <w:rStyle w:val="FootnoteReference"/>
        </w:rPr>
        <w:footnoteRef/>
      </w:r>
      <w:r>
        <w:t xml:space="preserve"> </w:t>
      </w:r>
      <w:r>
        <w:rPr>
          <w:i/>
          <w:iCs/>
          <w:lang w:val="en-US"/>
        </w:rPr>
        <w:t xml:space="preserve">Disability Standards for Education 2005 </w:t>
      </w:r>
      <w:r>
        <w:rPr>
          <w:lang w:val="en-US"/>
        </w:rPr>
        <w:t>(</w:t>
      </w:r>
      <w:proofErr w:type="spellStart"/>
      <w:r>
        <w:rPr>
          <w:lang w:val="en-US"/>
        </w:rPr>
        <w:t>Cth</w:t>
      </w:r>
      <w:proofErr w:type="spellEnd"/>
      <w:r>
        <w:rPr>
          <w:lang w:val="en-US"/>
        </w:rPr>
        <w:t xml:space="preserve">), s.1.5(a) </w:t>
      </w:r>
    </w:p>
  </w:footnote>
  <w:footnote w:id="14">
    <w:p w14:paraId="103FC667" w14:textId="77777777" w:rsidR="004E051C" w:rsidRPr="0086126C" w:rsidRDefault="004E051C">
      <w:pPr>
        <w:pStyle w:val="FootnoteText"/>
        <w:rPr>
          <w:lang w:val="en-US"/>
        </w:rPr>
      </w:pPr>
      <w:r w:rsidRPr="00D10F0A">
        <w:rPr>
          <w:rStyle w:val="FootnoteReference"/>
        </w:rPr>
        <w:footnoteRef/>
      </w:r>
      <w:r w:rsidRPr="000F567F">
        <w:t xml:space="preserve"> Represents children for whom a service was in receipt of </w:t>
      </w:r>
      <w:r w:rsidRPr="0086126C">
        <w:t>ISP funding – i</w:t>
      </w:r>
      <w:r w:rsidRPr="000F567F">
        <w:t xml:space="preserve">t does not capture children who may have been assisted by </w:t>
      </w:r>
      <w:r>
        <w:t xml:space="preserve">the </w:t>
      </w:r>
      <w:r w:rsidRPr="000F567F">
        <w:t>ISP but for whom a payment was not made</w:t>
      </w:r>
      <w:r w:rsidRPr="0086126C">
        <w:t xml:space="preserve"> (DoE, pers</w:t>
      </w:r>
      <w:r>
        <w:t>onal</w:t>
      </w:r>
      <w:r w:rsidRPr="0086126C">
        <w:t xml:space="preserve"> comm</w:t>
      </w:r>
      <w:r>
        <w:t>unication,</w:t>
      </w:r>
      <w:r w:rsidRPr="0086126C">
        <w:t xml:space="preserve"> 3 November 2023)</w:t>
      </w:r>
      <w:r w:rsidRPr="000F567F">
        <w:t>.</w:t>
      </w:r>
      <w:r>
        <w:t xml:space="preserve"> </w:t>
      </w:r>
    </w:p>
  </w:footnote>
  <w:footnote w:id="15">
    <w:p w14:paraId="79AB0EA5" w14:textId="77777777" w:rsidR="004E051C" w:rsidRPr="007D7E40" w:rsidRDefault="004E051C">
      <w:pPr>
        <w:pStyle w:val="FootnoteText"/>
        <w:rPr>
          <w:lang w:val="en-US"/>
        </w:rPr>
      </w:pPr>
      <w:r w:rsidRPr="00D10F0A">
        <w:rPr>
          <w:rStyle w:val="FootnoteReference"/>
        </w:rPr>
        <w:footnoteRef/>
      </w:r>
      <w:r>
        <w:t xml:space="preserve"> </w:t>
      </w:r>
      <w:r w:rsidRPr="000F567F">
        <w:t xml:space="preserve">Represents children for whom a service was in receipt of </w:t>
      </w:r>
      <w:r w:rsidRPr="001E1B46">
        <w:t>ISP funding – i</w:t>
      </w:r>
      <w:r w:rsidRPr="000F567F">
        <w:t xml:space="preserve">t does not capture children who may have been assisted by </w:t>
      </w:r>
      <w:r>
        <w:t xml:space="preserve">the </w:t>
      </w:r>
      <w:r w:rsidRPr="000F567F">
        <w:t>ISP but for whom a payment was not made</w:t>
      </w:r>
      <w:r w:rsidRPr="001E1B46">
        <w:t xml:space="preserve"> (DoE, pers</w:t>
      </w:r>
      <w:r>
        <w:t>onal</w:t>
      </w:r>
      <w:r w:rsidRPr="001E1B46">
        <w:t xml:space="preserve"> comm</w:t>
      </w:r>
      <w:r>
        <w:t>unication,</w:t>
      </w:r>
      <w:r w:rsidRPr="001E1B46">
        <w:t xml:space="preserve"> 3 November 2023)</w:t>
      </w:r>
      <w:r w:rsidRPr="000F567F">
        <w:t>.</w:t>
      </w:r>
    </w:p>
  </w:footnote>
  <w:footnote w:id="16">
    <w:p w14:paraId="325DB6BF" w14:textId="77777777" w:rsidR="004E051C" w:rsidRPr="004A1661" w:rsidRDefault="004E051C">
      <w:pPr>
        <w:pStyle w:val="FootnoteText"/>
        <w:rPr>
          <w:lang w:val="en-US"/>
        </w:rPr>
      </w:pPr>
      <w:r w:rsidRPr="00D10F0A">
        <w:rPr>
          <w:rStyle w:val="FootnoteReference"/>
        </w:rPr>
        <w:footnoteRef/>
      </w:r>
      <w:r>
        <w:t xml:space="preserve"> </w:t>
      </w:r>
      <w:r>
        <w:rPr>
          <w:lang w:val="en-US"/>
        </w:rPr>
        <w:t xml:space="preserve">Children aged 0-12 years. </w:t>
      </w:r>
    </w:p>
  </w:footnote>
  <w:footnote w:id="17">
    <w:p w14:paraId="503878F4" w14:textId="77777777" w:rsidR="004E051C" w:rsidRPr="001C011F" w:rsidRDefault="004E051C">
      <w:pPr>
        <w:pStyle w:val="FootnoteText"/>
        <w:rPr>
          <w:lang w:val="en-US"/>
        </w:rPr>
      </w:pPr>
      <w:r w:rsidRPr="00D10F0A">
        <w:rPr>
          <w:rStyle w:val="FootnoteReference"/>
        </w:rPr>
        <w:footnoteRef/>
      </w:r>
      <w:r>
        <w:t xml:space="preserve"> </w:t>
      </w:r>
      <w:r>
        <w:rPr>
          <w:lang w:val="en-US"/>
        </w:rPr>
        <w:t xml:space="preserve">Excluded rates of $15 per hour or less and $60 per hour or more. Survey conducted between December 2020 and February 2021. </w:t>
      </w:r>
    </w:p>
  </w:footnote>
  <w:footnote w:id="18">
    <w:p w14:paraId="218511FE" w14:textId="77777777" w:rsidR="004E051C" w:rsidRPr="00C337E6" w:rsidRDefault="004E051C">
      <w:pPr>
        <w:pStyle w:val="FootnoteText"/>
        <w:rPr>
          <w:lang w:val="en-US"/>
        </w:rPr>
      </w:pPr>
      <w:r w:rsidRPr="00D10F0A">
        <w:rPr>
          <w:rStyle w:val="FootnoteReference"/>
        </w:rPr>
        <w:footnoteRef/>
      </w:r>
      <w:r>
        <w:t xml:space="preserve"> </w:t>
      </w:r>
      <w:r>
        <w:rPr>
          <w:lang w:val="en-US"/>
        </w:rPr>
        <w:t xml:space="preserve">The Inclusion Support Portal is the online platform services use to interact with ISP. It is used to develop, manage and review SIPs and to apply for funding from the IDF.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0973" w14:textId="72CD0907" w:rsidR="004E051C" w:rsidRPr="005C0FB6" w:rsidRDefault="00A65D66">
    <w:pPr>
      <w:pStyle w:val="Header-Keyline"/>
    </w:pPr>
    <w:r>
      <w:rPr>
        <w:rStyle w:val="Strong"/>
      </w:rPr>
      <w:t>A path to universal early childhood education and care</w:t>
    </w:r>
    <w:r w:rsidR="004E051C" w:rsidRPr="005C0FB6">
      <w:t xml:space="preserve"> Draft </w:t>
    </w:r>
    <w:r w:rsidR="000977B1">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3958" w14:textId="034E8F63" w:rsidR="004E051C" w:rsidRDefault="00000000">
    <w:pPr>
      <w:pStyle w:val="Header-KeylineRight"/>
    </w:pPr>
    <w:fldSimple w:instr="STYLEREF  &quot;Heading 1&quot;  \* MERGEFORMAT">
      <w:r w:rsidR="00041BFB">
        <w:rPr>
          <w:noProof/>
        </w:rPr>
        <w:t>How do ECEC services support children?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04C4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tentative="1">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95F664A2"/>
    <w:lvl w:ilvl="0">
      <w:start w:val="2"/>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2"/>
  </w:num>
  <w:num w:numId="5" w16cid:durableId="2147164343">
    <w:abstractNumId w:val="23"/>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4"/>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3"/>
  </w:num>
  <w:num w:numId="17" w16cid:durableId="1948732313">
    <w:abstractNumId w:val="17"/>
  </w:num>
  <w:num w:numId="18" w16cid:durableId="571308840">
    <w:abstractNumId w:val="21"/>
  </w:num>
  <w:num w:numId="19" w16cid:durableId="1279530847">
    <w:abstractNumId w:val="13"/>
  </w:num>
  <w:num w:numId="20" w16cid:durableId="598104369">
    <w:abstractNumId w:val="1"/>
  </w:num>
  <w:num w:numId="21" w16cid:durableId="849562419">
    <w:abstractNumId w:val="16"/>
  </w:num>
  <w:num w:numId="22" w16cid:durableId="1843201378">
    <w:abstractNumId w:val="18"/>
  </w:num>
  <w:num w:numId="23" w16cid:durableId="137411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87012">
    <w:abstractNumId w:val="7"/>
    <w:lvlOverride w:ilvl="0">
      <w:lvl w:ilvl="0">
        <w:start w:val="1"/>
        <w:numFmt w:val="bullet"/>
        <w:pStyle w:val="ListBullet"/>
        <w:lvlText w:val="•"/>
        <w:lvlJc w:val="left"/>
        <w:pPr>
          <w:ind w:left="227" w:hanging="227"/>
        </w:pPr>
        <w:rPr>
          <w:color w:val="auto"/>
        </w:rPr>
      </w:lvl>
    </w:lvlOverride>
  </w:num>
  <w:num w:numId="25"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040744">
    <w:abstractNumId w:val="2"/>
  </w:num>
  <w:num w:numId="27" w16cid:durableId="18960657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829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712571">
    <w:abstractNumId w:val="19"/>
  </w:num>
  <w:num w:numId="31" w16cid:durableId="1322002692">
    <w:abstractNumId w:val="7"/>
  </w:num>
  <w:num w:numId="32" w16cid:durableId="14813811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BFB"/>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7B1"/>
    <w:rsid w:val="00097CA2"/>
    <w:rsid w:val="000A0F08"/>
    <w:rsid w:val="000A251B"/>
    <w:rsid w:val="000A38AA"/>
    <w:rsid w:val="000A3E90"/>
    <w:rsid w:val="000A5DC9"/>
    <w:rsid w:val="000A5F01"/>
    <w:rsid w:val="000A6B7D"/>
    <w:rsid w:val="000B2A2A"/>
    <w:rsid w:val="000B343A"/>
    <w:rsid w:val="000B3E12"/>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C8A"/>
    <w:rsid w:val="0010311D"/>
    <w:rsid w:val="001032BA"/>
    <w:rsid w:val="00111B15"/>
    <w:rsid w:val="0011217E"/>
    <w:rsid w:val="00112C25"/>
    <w:rsid w:val="00112E8F"/>
    <w:rsid w:val="00112F12"/>
    <w:rsid w:val="00115832"/>
    <w:rsid w:val="00116BF3"/>
    <w:rsid w:val="001175F3"/>
    <w:rsid w:val="00120792"/>
    <w:rsid w:val="00124D7D"/>
    <w:rsid w:val="001268BC"/>
    <w:rsid w:val="0013030B"/>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A0E"/>
    <w:rsid w:val="00210EEE"/>
    <w:rsid w:val="002112EC"/>
    <w:rsid w:val="0021147D"/>
    <w:rsid w:val="0021211A"/>
    <w:rsid w:val="00215844"/>
    <w:rsid w:val="0021586F"/>
    <w:rsid w:val="002216C2"/>
    <w:rsid w:val="00221800"/>
    <w:rsid w:val="00221AB7"/>
    <w:rsid w:val="00221F81"/>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0CAD"/>
    <w:rsid w:val="002B25F0"/>
    <w:rsid w:val="002B5A1A"/>
    <w:rsid w:val="002B5E75"/>
    <w:rsid w:val="002C0343"/>
    <w:rsid w:val="002C0EB3"/>
    <w:rsid w:val="002C2B45"/>
    <w:rsid w:val="002C4F00"/>
    <w:rsid w:val="002C797E"/>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23400"/>
    <w:rsid w:val="0032469C"/>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7DDA"/>
    <w:rsid w:val="003724D1"/>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085"/>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47F8F"/>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140"/>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2AC0"/>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6575"/>
    <w:rsid w:val="006475BD"/>
    <w:rsid w:val="0065147B"/>
    <w:rsid w:val="00651D08"/>
    <w:rsid w:val="006527FF"/>
    <w:rsid w:val="00653E3B"/>
    <w:rsid w:val="00653F04"/>
    <w:rsid w:val="0065586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08E4"/>
    <w:rsid w:val="006A1DEF"/>
    <w:rsid w:val="006A32B2"/>
    <w:rsid w:val="006A347E"/>
    <w:rsid w:val="006A410C"/>
    <w:rsid w:val="006A49AD"/>
    <w:rsid w:val="006A7069"/>
    <w:rsid w:val="006A7F8E"/>
    <w:rsid w:val="006B076E"/>
    <w:rsid w:val="006B0984"/>
    <w:rsid w:val="006B2C13"/>
    <w:rsid w:val="006B4E8D"/>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47B1"/>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6F2D"/>
    <w:rsid w:val="00707000"/>
    <w:rsid w:val="00707269"/>
    <w:rsid w:val="00710E76"/>
    <w:rsid w:val="00712011"/>
    <w:rsid w:val="0071292B"/>
    <w:rsid w:val="00714488"/>
    <w:rsid w:val="007158C6"/>
    <w:rsid w:val="0071717B"/>
    <w:rsid w:val="0071737F"/>
    <w:rsid w:val="00720507"/>
    <w:rsid w:val="00720624"/>
    <w:rsid w:val="007215EF"/>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08E6"/>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E10"/>
    <w:rsid w:val="0081776F"/>
    <w:rsid w:val="00817B8B"/>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67FB"/>
    <w:rsid w:val="008472B8"/>
    <w:rsid w:val="0084775B"/>
    <w:rsid w:val="00852271"/>
    <w:rsid w:val="008524BA"/>
    <w:rsid w:val="008529A2"/>
    <w:rsid w:val="00852A55"/>
    <w:rsid w:val="0085439B"/>
    <w:rsid w:val="0085627C"/>
    <w:rsid w:val="0085641C"/>
    <w:rsid w:val="00856A3A"/>
    <w:rsid w:val="008579B4"/>
    <w:rsid w:val="008579F6"/>
    <w:rsid w:val="00860979"/>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D95"/>
    <w:rsid w:val="00897793"/>
    <w:rsid w:val="00897831"/>
    <w:rsid w:val="00897A4B"/>
    <w:rsid w:val="008A064D"/>
    <w:rsid w:val="008A0682"/>
    <w:rsid w:val="008A11C7"/>
    <w:rsid w:val="008A1632"/>
    <w:rsid w:val="008A4354"/>
    <w:rsid w:val="008A49BA"/>
    <w:rsid w:val="008A6B7C"/>
    <w:rsid w:val="008A6F83"/>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19B5"/>
    <w:rsid w:val="008D19FD"/>
    <w:rsid w:val="008D1ABD"/>
    <w:rsid w:val="008D3A0D"/>
    <w:rsid w:val="008D3F60"/>
    <w:rsid w:val="008D46D0"/>
    <w:rsid w:val="008D6AB9"/>
    <w:rsid w:val="008E1AA0"/>
    <w:rsid w:val="008E25D6"/>
    <w:rsid w:val="008E28EF"/>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6023"/>
    <w:rsid w:val="009770D4"/>
    <w:rsid w:val="00980461"/>
    <w:rsid w:val="00982FCC"/>
    <w:rsid w:val="00985FD4"/>
    <w:rsid w:val="009864AF"/>
    <w:rsid w:val="009879E4"/>
    <w:rsid w:val="009901F4"/>
    <w:rsid w:val="009936CE"/>
    <w:rsid w:val="00993F08"/>
    <w:rsid w:val="00994C15"/>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180B"/>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1511"/>
    <w:rsid w:val="00A222AF"/>
    <w:rsid w:val="00A234C4"/>
    <w:rsid w:val="00A2532F"/>
    <w:rsid w:val="00A25E76"/>
    <w:rsid w:val="00A263B1"/>
    <w:rsid w:val="00A2712A"/>
    <w:rsid w:val="00A27A6C"/>
    <w:rsid w:val="00A30AC5"/>
    <w:rsid w:val="00A31724"/>
    <w:rsid w:val="00A328E1"/>
    <w:rsid w:val="00A344D2"/>
    <w:rsid w:val="00A34FC6"/>
    <w:rsid w:val="00A416AD"/>
    <w:rsid w:val="00A429D4"/>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37C0"/>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190D"/>
    <w:rsid w:val="00BD1BF4"/>
    <w:rsid w:val="00BD2115"/>
    <w:rsid w:val="00BD3ADA"/>
    <w:rsid w:val="00BE2E4B"/>
    <w:rsid w:val="00BE6372"/>
    <w:rsid w:val="00BE7A0C"/>
    <w:rsid w:val="00BF0532"/>
    <w:rsid w:val="00BF0ED5"/>
    <w:rsid w:val="00BF0EF2"/>
    <w:rsid w:val="00BF102D"/>
    <w:rsid w:val="00BF11A0"/>
    <w:rsid w:val="00BF18E2"/>
    <w:rsid w:val="00BF28EE"/>
    <w:rsid w:val="00BF4A53"/>
    <w:rsid w:val="00BF6012"/>
    <w:rsid w:val="00BF628D"/>
    <w:rsid w:val="00BF68C8"/>
    <w:rsid w:val="00BF692C"/>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551F5"/>
    <w:rsid w:val="00C6068A"/>
    <w:rsid w:val="00C6121E"/>
    <w:rsid w:val="00C61F28"/>
    <w:rsid w:val="00C631D9"/>
    <w:rsid w:val="00C63441"/>
    <w:rsid w:val="00C63854"/>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A19"/>
    <w:rsid w:val="00D15B7C"/>
    <w:rsid w:val="00D15B7D"/>
    <w:rsid w:val="00D1651C"/>
    <w:rsid w:val="00D168BC"/>
    <w:rsid w:val="00D16F74"/>
    <w:rsid w:val="00D202B0"/>
    <w:rsid w:val="00D202FC"/>
    <w:rsid w:val="00D212DC"/>
    <w:rsid w:val="00D212F1"/>
    <w:rsid w:val="00D21A2A"/>
    <w:rsid w:val="00D22404"/>
    <w:rsid w:val="00D25105"/>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5000E"/>
    <w:rsid w:val="00D52817"/>
    <w:rsid w:val="00D53910"/>
    <w:rsid w:val="00D5421C"/>
    <w:rsid w:val="00D54A59"/>
    <w:rsid w:val="00D5633E"/>
    <w:rsid w:val="00D5659C"/>
    <w:rsid w:val="00D57F09"/>
    <w:rsid w:val="00D60649"/>
    <w:rsid w:val="00D61E88"/>
    <w:rsid w:val="00D61E9A"/>
    <w:rsid w:val="00D65433"/>
    <w:rsid w:val="00D76F33"/>
    <w:rsid w:val="00D77474"/>
    <w:rsid w:val="00D814CC"/>
    <w:rsid w:val="00D81ADA"/>
    <w:rsid w:val="00D81B6D"/>
    <w:rsid w:val="00D8344D"/>
    <w:rsid w:val="00D83923"/>
    <w:rsid w:val="00D83A5E"/>
    <w:rsid w:val="00D84B45"/>
    <w:rsid w:val="00D86CC9"/>
    <w:rsid w:val="00D87EC7"/>
    <w:rsid w:val="00D914BC"/>
    <w:rsid w:val="00D9211D"/>
    <w:rsid w:val="00D92F45"/>
    <w:rsid w:val="00D9419D"/>
    <w:rsid w:val="00D96F65"/>
    <w:rsid w:val="00DA066E"/>
    <w:rsid w:val="00DA0F88"/>
    <w:rsid w:val="00DA136C"/>
    <w:rsid w:val="00DA2026"/>
    <w:rsid w:val="00DA3017"/>
    <w:rsid w:val="00DA5484"/>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6473"/>
    <w:rsid w:val="00DD6DF9"/>
    <w:rsid w:val="00DE4DD3"/>
    <w:rsid w:val="00DE5265"/>
    <w:rsid w:val="00DE6CAD"/>
    <w:rsid w:val="00DE6D82"/>
    <w:rsid w:val="00DF0CBD"/>
    <w:rsid w:val="00DF0F06"/>
    <w:rsid w:val="00DF325E"/>
    <w:rsid w:val="00DF34B5"/>
    <w:rsid w:val="00DF3964"/>
    <w:rsid w:val="00DF4E3E"/>
    <w:rsid w:val="00DF57D9"/>
    <w:rsid w:val="00DF60B9"/>
    <w:rsid w:val="00DF63B7"/>
    <w:rsid w:val="00E00D60"/>
    <w:rsid w:val="00E010CD"/>
    <w:rsid w:val="00E01114"/>
    <w:rsid w:val="00E01935"/>
    <w:rsid w:val="00E025BD"/>
    <w:rsid w:val="00E02B10"/>
    <w:rsid w:val="00E0453D"/>
    <w:rsid w:val="00E05FA6"/>
    <w:rsid w:val="00E1024C"/>
    <w:rsid w:val="00E13157"/>
    <w:rsid w:val="00E1319A"/>
    <w:rsid w:val="00E14471"/>
    <w:rsid w:val="00E147A1"/>
    <w:rsid w:val="00E15A2F"/>
    <w:rsid w:val="00E200A0"/>
    <w:rsid w:val="00E21CB1"/>
    <w:rsid w:val="00E21F80"/>
    <w:rsid w:val="00E23375"/>
    <w:rsid w:val="00E244FA"/>
    <w:rsid w:val="00E24526"/>
    <w:rsid w:val="00E25474"/>
    <w:rsid w:val="00E25B75"/>
    <w:rsid w:val="00E26086"/>
    <w:rsid w:val="00E26BBA"/>
    <w:rsid w:val="00E304FC"/>
    <w:rsid w:val="00E32EE5"/>
    <w:rsid w:val="00E32F93"/>
    <w:rsid w:val="00E331CE"/>
    <w:rsid w:val="00E344DE"/>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1A1F"/>
    <w:rsid w:val="00E84826"/>
    <w:rsid w:val="00E84AA2"/>
    <w:rsid w:val="00E90DF1"/>
    <w:rsid w:val="00E910DA"/>
    <w:rsid w:val="00E91A7E"/>
    <w:rsid w:val="00E91E23"/>
    <w:rsid w:val="00E91FED"/>
    <w:rsid w:val="00E968A4"/>
    <w:rsid w:val="00EA1943"/>
    <w:rsid w:val="00EA3777"/>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3AF8"/>
    <w:rsid w:val="00F94880"/>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3AB1"/>
    <w:rsid w:val="00FE43DC"/>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FC67EF83-E443-4365-9A0B-AD13A73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31"/>
      </w:numPr>
      <w:contextualSpacing/>
    </w:pPr>
  </w:style>
  <w:style w:type="paragraph" w:styleId="ListBullet2">
    <w:name w:val="List Bullet 2"/>
    <w:basedOn w:val="Normal"/>
    <w:uiPriority w:val="1"/>
    <w:qFormat/>
    <w:rsid w:val="008D19B5"/>
    <w:pPr>
      <w:numPr>
        <w:ilvl w:val="1"/>
        <w:numId w:val="31"/>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31"/>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D5421C"/>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2"/>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1"/>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sv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MPWT-2140667901-45791</_dlc_DocId>
    <_dlc_DocIdUrl xmlns="20393cdf-440a-4521-8f19-00ba43423d00">
      <Url>https://pcgov.sharepoint.com/sites/sceteam/_layouts/15/DocIdRedir.aspx?ID=MPWT-2140667901-45791</Url>
      <Description>MPWT-2140667901-45791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08F6D7-8502-4277-971E-5F79CF0FBE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2.xml><?xml version="1.0" encoding="utf-8"?>
<ds:datastoreItem xmlns:ds="http://schemas.openxmlformats.org/officeDocument/2006/customXml" ds:itemID="{08DCA0F9-AC8C-4289-B6EF-16DA6CBA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C3B19B3D-DFB6-4445-9195-D3EAC964D8FD}">
  <ds:schemaRefs>
    <ds:schemaRef ds:uri="http://schemas.microsoft.com/sharepoint/v3/contenttype/forms"/>
  </ds:schemaRefs>
</ds:datastoreItem>
</file>

<file path=customXml/itemProps7.xml><?xml version="1.0" encoding="utf-8"?>
<ds:datastoreItem xmlns:ds="http://schemas.openxmlformats.org/officeDocument/2006/customXml" ds:itemID="{304DBC4F-CCF2-4A74-9351-A7B61E7922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1003</TotalTime>
  <Pages>45</Pages>
  <Words>19088</Words>
  <Characters>108808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Supplementary paper 2: How do ECEC services support children? A path to universal early childhood education and care</vt:lpstr>
    </vt:vector>
  </TitlesOfParts>
  <Company>Productivity Commission</Company>
  <LinksUpToDate>false</LinksUpToDate>
  <CharactersWithSpaces>127641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2: How do ECEC services support children? A path to universal early childhood education and care</dc:title>
  <dc:subject>Draft report</dc:subject>
  <dc:creator>Productivity Commission</dc:creator>
  <cp:keywords/>
  <dc:description/>
  <cp:lastModifiedBy>Chris Alston</cp:lastModifiedBy>
  <cp:revision>72</cp:revision>
  <cp:lastPrinted>2023-11-21T02:06:00Z</cp:lastPrinted>
  <dcterms:created xsi:type="dcterms:W3CDTF">2023-11-16T02:39:00Z</dcterms:created>
  <dcterms:modified xsi:type="dcterms:W3CDTF">2023-11-21T02:07:00Z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9b1bfec5-31d2-4b98-9d5b-b0f52aa00677</vt:lpwstr>
  </property>
</Properties>
</file>