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789" w:rsidRDefault="004B402E">
      <w:pPr>
        <w:rPr>
          <w:b/>
          <w:szCs w:val="26"/>
        </w:rPr>
      </w:pPr>
      <w:bookmarkStart w:id="0" w:name="_GoBack"/>
      <w:bookmarkEnd w:id="0"/>
      <w:r>
        <w:rPr>
          <w:b/>
          <w:noProof/>
          <w:szCs w:val="26"/>
          <w:lang w:eastAsia="en-AU"/>
        </w:rPr>
        <w:drawing>
          <wp:anchor distT="0" distB="0" distL="114300" distR="114300" simplePos="0" relativeHeight="251658240" behindDoc="1" locked="0" layoutInCell="1" allowOverlap="1">
            <wp:simplePos x="1152525" y="904875"/>
            <wp:positionH relativeFrom="page">
              <wp:align>center</wp:align>
            </wp:positionH>
            <wp:positionV relativeFrom="page">
              <wp:align>center</wp:align>
            </wp:positionV>
            <wp:extent cx="7542000" cy="10666800"/>
            <wp:effectExtent l="0" t="0" r="1905" b="1270"/>
            <wp:wrapNone/>
            <wp:docPr id="2" name="Picture 2" descr="Cover image for &quot;Barriers to Effective Climate Change Adaptation&quot; Productivity Commission Inquiry Report Number 59, 19 Septem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climate-adaptation-fin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42000" cy="10666800"/>
                    </a:xfrm>
                    <a:prstGeom prst="rect">
                      <a:avLst/>
                    </a:prstGeom>
                  </pic:spPr>
                </pic:pic>
              </a:graphicData>
            </a:graphic>
            <wp14:sizeRelH relativeFrom="margin">
              <wp14:pctWidth>0</wp14:pctWidth>
            </wp14:sizeRelH>
            <wp14:sizeRelV relativeFrom="margin">
              <wp14:pctHeight>0</wp14:pctHeight>
            </wp14:sizeRelV>
          </wp:anchor>
        </w:drawing>
      </w:r>
    </w:p>
    <w:p w:rsidR="00071D07" w:rsidRDefault="00071D07">
      <w:pPr>
        <w:rPr>
          <w:b/>
          <w:szCs w:val="26"/>
        </w:rPr>
      </w:pPr>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602523">
        <w:t>2012</w:t>
      </w:r>
    </w:p>
    <w:p w:rsidR="009A1E5A" w:rsidRPr="007809B8" w:rsidRDefault="009A1E5A" w:rsidP="009A1E5A">
      <w:pPr>
        <w:pStyle w:val="BodyText"/>
        <w:tabs>
          <w:tab w:val="left" w:pos="851"/>
        </w:tabs>
        <w:spacing w:before="200" w:after="120"/>
        <w:jc w:val="left"/>
        <w:rPr>
          <w:b/>
        </w:rPr>
      </w:pPr>
      <w:bookmarkStart w:id="1" w:name="ISSN"/>
      <w:bookmarkEnd w:id="1"/>
      <w:r>
        <w:rPr>
          <w:b/>
        </w:rPr>
        <w:t>ISSN</w:t>
      </w:r>
      <w:r>
        <w:rPr>
          <w:b/>
        </w:rPr>
        <w:tab/>
      </w:r>
      <w:r w:rsidRPr="00131246">
        <w:rPr>
          <w:b/>
        </w:rPr>
        <w:t>1447-1329</w:t>
      </w:r>
      <w:r>
        <w:rPr>
          <w:b/>
        </w:rPr>
        <w:br/>
        <w:t>ISBN</w:t>
      </w:r>
      <w:r>
        <w:rPr>
          <w:b/>
        </w:rPr>
        <w:tab/>
      </w:r>
      <w:r w:rsidRPr="00131246">
        <w:rPr>
          <w:b/>
        </w:rPr>
        <w:t>978-1-74037-414-9</w:t>
      </w:r>
    </w:p>
    <w:p w:rsidR="003E7802" w:rsidRPr="00691AB5" w:rsidRDefault="003E7802" w:rsidP="00FA4A24">
      <w:pPr>
        <w:pStyle w:val="BodyText"/>
        <w:rPr>
          <w:snapToGrid w:val="0"/>
        </w:rPr>
      </w:pPr>
      <w:r w:rsidRPr="00691AB5">
        <w:rPr>
          <w:snapToGrid w:val="0"/>
        </w:rPr>
        <w:t xml:space="preserve">This work is copyright. Apart from any use as permitted under the </w:t>
      </w:r>
      <w:r w:rsidRPr="00097C15">
        <w:rPr>
          <w:i/>
          <w:snapToGrid w:val="0"/>
        </w:rPr>
        <w:t>Copyright Act 1968</w:t>
      </w:r>
      <w:r w:rsidRPr="00691AB5">
        <w:rPr>
          <w:snapToGrid w:val="0"/>
        </w:rPr>
        <w:t xml:space="preserve">, the work may be reproduced in whole or in part for study or training purposes, subject to the inclusion of an acknowledgment of the source. Reproduction for commercial use or sale requires prior written permission from the </w:t>
      </w:r>
      <w:r w:rsidR="009B12EF">
        <w:rPr>
          <w:snapToGrid w:val="0"/>
        </w:rPr>
        <w:t>Productivity Commission</w:t>
      </w:r>
      <w:r w:rsidRPr="00691AB5">
        <w:rPr>
          <w:snapToGrid w:val="0"/>
        </w:rPr>
        <w:t xml:space="preserve">. Requests and inquiries concerning reproduction and rights should be addressed to </w:t>
      </w:r>
      <w:r w:rsidR="009B12EF">
        <w:rPr>
          <w:snapToGrid w:val="0"/>
        </w:rPr>
        <w:t>Media and Publications (see below)</w:t>
      </w:r>
      <w:r w:rsidR="00734127">
        <w:rPr>
          <w:snapToGrid w:val="0"/>
        </w:rPr>
        <w:t>.</w:t>
      </w:r>
    </w:p>
    <w:p w:rsidR="003E7802" w:rsidRDefault="003E7802" w:rsidP="003E7802">
      <w:pPr>
        <w:pStyle w:val="BodyText"/>
        <w:spacing w:before="160" w:line="240" w:lineRule="auto"/>
        <w:rPr>
          <w:i/>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Me</w:t>
      </w:r>
      <w:r w:rsidR="00734127">
        <w:rPr>
          <w:i/>
          <w:snapToGrid w:val="0"/>
          <w:sz w:val="24"/>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9A1E5A" w:rsidP="003E7802">
      <w:pPr>
        <w:pStyle w:val="BodyText"/>
        <w:spacing w:before="160" w:after="120" w:line="240" w:lineRule="auto"/>
        <w:rPr>
          <w:sz w:val="24"/>
          <w:szCs w:val="24"/>
        </w:rPr>
      </w:pPr>
      <w:r w:rsidRPr="00E90AF4">
        <w:rPr>
          <w:sz w:val="24"/>
          <w:szCs w:val="24"/>
        </w:rPr>
        <w:t xml:space="preserve">Productivity Commission 2012, </w:t>
      </w:r>
      <w:r w:rsidRPr="00E90AF4">
        <w:rPr>
          <w:i/>
          <w:sz w:val="24"/>
          <w:szCs w:val="24"/>
        </w:rPr>
        <w:t>Barriers to Effective Climate Change Adaptation</w:t>
      </w:r>
      <w:r w:rsidRPr="00E90AF4">
        <w:rPr>
          <w:sz w:val="24"/>
          <w:szCs w:val="24"/>
        </w:rPr>
        <w:t xml:space="preserve">, </w:t>
      </w:r>
      <w:r>
        <w:rPr>
          <w:sz w:val="24"/>
          <w:szCs w:val="24"/>
        </w:rPr>
        <w:t>Report No. </w:t>
      </w:r>
      <w:r w:rsidRPr="00D808AF">
        <w:rPr>
          <w:rStyle w:val="DraftingNote"/>
          <w:b w:val="0"/>
          <w:color w:val="auto"/>
          <w:u w:val="none"/>
        </w:rPr>
        <w:t>59</w:t>
      </w:r>
      <w:r w:rsidRPr="00E90AF4">
        <w:rPr>
          <w:sz w:val="24"/>
          <w:szCs w:val="24"/>
        </w:rPr>
        <w:t xml:space="preserve">, </w:t>
      </w:r>
      <w:r>
        <w:rPr>
          <w:sz w:val="24"/>
          <w:szCs w:val="24"/>
        </w:rPr>
        <w:t>Final Inquiry Report, Canberra.</w:t>
      </w:r>
    </w:p>
    <w:p w:rsidR="003E7802" w:rsidRPr="00DC75C7" w:rsidRDefault="003E7802" w:rsidP="003E7802">
      <w:pPr>
        <w:pStyle w:val="BodyText"/>
        <w:pBdr>
          <w:top w:val="single" w:sz="4" w:space="5" w:color="auto"/>
          <w:left w:val="single" w:sz="4" w:space="8" w:color="auto"/>
          <w:bottom w:val="single" w:sz="4" w:space="14" w:color="auto"/>
          <w:right w:val="single" w:sz="4" w:space="8" w:color="auto"/>
        </w:pBdr>
        <w:spacing w:before="120" w:line="240" w:lineRule="auto"/>
        <w:ind w:left="284" w:right="284"/>
        <w:rPr>
          <w:b/>
          <w:i/>
          <w:sz w:val="24"/>
          <w:szCs w:val="24"/>
        </w:rPr>
      </w:pPr>
      <w:bookmarkStart w:id="2" w:name="JEL"/>
      <w:bookmarkEnd w:id="2"/>
      <w:r w:rsidRPr="00DC75C7">
        <w:rPr>
          <w:b/>
          <w:i/>
          <w:sz w:val="24"/>
          <w:szCs w:val="24"/>
        </w:rPr>
        <w:t>The Productivity Commission</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Commission’s independence is underpinned by an Act of Parliament. Its processes and outputs are open to public scrutiny and are driven by concern for the wellbeing of the community as a whole.</w:t>
      </w:r>
    </w:p>
    <w:p w:rsidR="00071D07"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071D07" w:rsidRDefault="00071D07">
      <w:r>
        <w:br w:type="page"/>
      </w:r>
    </w:p>
    <w:tbl>
      <w:tblPr>
        <w:tblW w:w="8651" w:type="dxa"/>
        <w:tblInd w:w="113" w:type="dxa"/>
        <w:tblLayout w:type="fixed"/>
        <w:tblLook w:val="0000" w:firstRow="0" w:lastRow="0" w:firstColumn="0" w:lastColumn="0" w:noHBand="0" w:noVBand="0"/>
      </w:tblPr>
      <w:tblGrid>
        <w:gridCol w:w="2287"/>
        <w:gridCol w:w="1824"/>
        <w:gridCol w:w="1276"/>
        <w:gridCol w:w="3264"/>
      </w:tblGrid>
      <w:tr w:rsidR="00CF1789" w:rsidTr="00CF1789">
        <w:trPr>
          <w:cantSplit/>
          <w:trHeight w:hRule="exact" w:val="996"/>
        </w:trPr>
        <w:tc>
          <w:tcPr>
            <w:tcW w:w="2287" w:type="dxa"/>
          </w:tcPr>
          <w:p w:rsidR="00CF1789" w:rsidRDefault="009A1E5A" w:rsidP="00CF1789">
            <w:pPr>
              <w:pStyle w:val="PCAddress"/>
              <w:ind w:left="709"/>
              <w:rPr>
                <w:b/>
                <w:i/>
              </w:rPr>
            </w:pPr>
            <w:bookmarkStart w:id="3" w:name="cov"/>
            <w:bookmarkEnd w:id="3"/>
            <w:r>
              <w:lastRenderedPageBreak/>
              <w:br w:type="page"/>
            </w:r>
          </w:p>
        </w:tc>
        <w:tc>
          <w:tcPr>
            <w:tcW w:w="1824" w:type="dxa"/>
          </w:tcPr>
          <w:p w:rsidR="00CF1789" w:rsidRDefault="00CF1789" w:rsidP="00CF1789">
            <w:pPr>
              <w:pStyle w:val="PCAddress"/>
              <w:ind w:left="709"/>
              <w:rPr>
                <w:b/>
                <w:i/>
              </w:rPr>
            </w:pPr>
          </w:p>
        </w:tc>
        <w:tc>
          <w:tcPr>
            <w:tcW w:w="4540" w:type="dxa"/>
            <w:gridSpan w:val="2"/>
          </w:tcPr>
          <w:p w:rsidR="00CF1789" w:rsidRDefault="00CF1789" w:rsidP="00CF1789">
            <w:pPr>
              <w:pStyle w:val="PCAddress"/>
              <w:ind w:left="709"/>
              <w:rPr>
                <w:b/>
                <w:i/>
              </w:rPr>
            </w:pPr>
            <w:r>
              <w:rPr>
                <w:noProof/>
                <w:sz w:val="20"/>
              </w:rPr>
              <w:drawing>
                <wp:inline distT="0" distB="0" distL="0" distR="0" wp14:anchorId="6BF57EF6" wp14:editId="441487C5">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0"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CF1789" w:rsidTr="00CF1789">
        <w:trPr>
          <w:cantSplit/>
          <w:trHeight w:hRule="exact" w:val="2793"/>
        </w:trPr>
        <w:tc>
          <w:tcPr>
            <w:tcW w:w="5387" w:type="dxa"/>
            <w:gridSpan w:val="3"/>
            <w:vAlign w:val="bottom"/>
          </w:tcPr>
          <w:p w:rsidR="00CF1789" w:rsidRDefault="00CF1789" w:rsidP="00CF1789">
            <w:pPr>
              <w:pStyle w:val="LetterDate"/>
            </w:pPr>
            <w:bookmarkStart w:id="4" w:name="YourRef"/>
            <w:bookmarkStart w:id="5" w:name="OurRef"/>
            <w:bookmarkStart w:id="6" w:name="graphics" w:colFirst="1" w:colLast="1"/>
            <w:bookmarkEnd w:id="4"/>
            <w:bookmarkEnd w:id="5"/>
            <w:r w:rsidRPr="00C76C25">
              <w:cr/>
            </w:r>
            <w:r>
              <w:t>19 September 2012</w:t>
            </w:r>
          </w:p>
        </w:tc>
        <w:tc>
          <w:tcPr>
            <w:tcW w:w="3264" w:type="dxa"/>
            <w:vAlign w:val="center"/>
          </w:tcPr>
          <w:p w:rsidR="00CF1789" w:rsidRDefault="00CF1789" w:rsidP="00CF1789">
            <w:pPr>
              <w:pStyle w:val="PCAddress"/>
              <w:ind w:left="709"/>
              <w:rPr>
                <w:b/>
                <w:i/>
              </w:rPr>
            </w:pPr>
            <w:r>
              <w:rPr>
                <w:b/>
                <w:i/>
              </w:rPr>
              <w:t>Melbourne Office</w:t>
            </w:r>
          </w:p>
          <w:p w:rsidR="00CF1789" w:rsidRDefault="00CF1789" w:rsidP="00CF1789">
            <w:pPr>
              <w:pStyle w:val="PCAddress"/>
              <w:spacing w:after="0"/>
              <w:ind w:left="709"/>
            </w:pPr>
            <w:r>
              <w:t>Level 12, 530 Collins Street</w:t>
            </w:r>
          </w:p>
          <w:p w:rsidR="00CF1789" w:rsidRDefault="00CF1789" w:rsidP="00CF1789">
            <w:pPr>
              <w:pStyle w:val="PCAddress"/>
              <w:ind w:left="709"/>
            </w:pPr>
            <w:r>
              <w:t>Melbourne  VIC  3000</w:t>
            </w:r>
          </w:p>
          <w:p w:rsidR="00CF1789" w:rsidRDefault="00CF1789" w:rsidP="00CF1789">
            <w:pPr>
              <w:pStyle w:val="PCAddress"/>
              <w:spacing w:after="0"/>
              <w:ind w:left="709"/>
            </w:pPr>
            <w:r>
              <w:t xml:space="preserve">Locked Bag 2 Collins Street East </w:t>
            </w:r>
          </w:p>
          <w:p w:rsidR="00CF1789" w:rsidRDefault="00CF1789" w:rsidP="00CF1789">
            <w:pPr>
              <w:pStyle w:val="PCAddress"/>
              <w:ind w:left="709"/>
            </w:pPr>
            <w:r>
              <w:t>Melbourne  VIC  8003</w:t>
            </w:r>
          </w:p>
          <w:p w:rsidR="00CF1789" w:rsidRDefault="00CF1789" w:rsidP="00CF1789">
            <w:pPr>
              <w:pStyle w:val="PCAddress"/>
              <w:spacing w:after="0"/>
              <w:ind w:left="709"/>
            </w:pPr>
            <w:r>
              <w:t>Telephone</w:t>
            </w:r>
            <w:r>
              <w:tab/>
              <w:t>03 9653 2100</w:t>
            </w:r>
          </w:p>
          <w:p w:rsidR="00CF1789" w:rsidRDefault="00CF1789" w:rsidP="00CF1789">
            <w:pPr>
              <w:pStyle w:val="PCAddress"/>
              <w:ind w:left="709"/>
            </w:pPr>
            <w:r>
              <w:t>Facsimile</w:t>
            </w:r>
            <w:r>
              <w:tab/>
              <w:t>03 9653 2199</w:t>
            </w:r>
          </w:p>
          <w:p w:rsidR="00CF1789" w:rsidRDefault="00CF1789" w:rsidP="00CF1789">
            <w:pPr>
              <w:pStyle w:val="PCAddress"/>
              <w:ind w:left="709"/>
              <w:rPr>
                <w:b/>
                <w:i/>
              </w:rPr>
            </w:pPr>
            <w:r>
              <w:rPr>
                <w:b/>
                <w:i/>
              </w:rPr>
              <w:t>Canberra Office</w:t>
            </w:r>
          </w:p>
          <w:p w:rsidR="00CF1789" w:rsidRDefault="00CF1789" w:rsidP="00CF1789">
            <w:pPr>
              <w:pStyle w:val="PCAddress"/>
              <w:ind w:left="709"/>
            </w:pPr>
            <w:r>
              <w:t>Telephone</w:t>
            </w:r>
            <w:r>
              <w:tab/>
              <w:t>02 6240 3200</w:t>
            </w:r>
          </w:p>
          <w:p w:rsidR="00CF1789" w:rsidRDefault="00CF1789" w:rsidP="00CF1789">
            <w:pPr>
              <w:pStyle w:val="PCAddress"/>
              <w:ind w:left="709"/>
            </w:pPr>
            <w:r>
              <w:t>www.pc.gov.au</w:t>
            </w:r>
          </w:p>
        </w:tc>
      </w:tr>
      <w:bookmarkEnd w:id="6"/>
    </w:tbl>
    <w:p w:rsidR="00CF1789" w:rsidRPr="00C76C25" w:rsidRDefault="00CF1789" w:rsidP="00CF1789">
      <w:pPr>
        <w:ind w:left="709"/>
      </w:pPr>
    </w:p>
    <w:p w:rsidR="00CF1789" w:rsidRPr="00C76C25" w:rsidRDefault="00CF1789" w:rsidP="00CF1789">
      <w:pPr>
        <w:pStyle w:val="LetterAddress"/>
      </w:pPr>
      <w:r>
        <w:t>T</w:t>
      </w:r>
      <w:r w:rsidRPr="00C76C25">
        <w:t xml:space="preserve">he Hon </w:t>
      </w:r>
      <w:r>
        <w:t>David Bradbury MP</w:t>
      </w:r>
      <w:r w:rsidRPr="00C76C25">
        <w:br/>
        <w:t>Assistant Treasurer</w:t>
      </w:r>
    </w:p>
    <w:p w:rsidR="00CF1789" w:rsidRPr="00C76C25" w:rsidRDefault="00CF1789" w:rsidP="00CF1789">
      <w:pPr>
        <w:pStyle w:val="LetterAddress"/>
      </w:pPr>
      <w:r w:rsidRPr="00C76C25">
        <w:t>Parliament House</w:t>
      </w:r>
    </w:p>
    <w:p w:rsidR="00CF1789" w:rsidRPr="00C76C25" w:rsidRDefault="00CF1789" w:rsidP="00CF1789">
      <w:pPr>
        <w:pStyle w:val="LetterAddress"/>
      </w:pPr>
      <w:r w:rsidRPr="00C76C25">
        <w:t>CANBERRA  ACT  2600</w:t>
      </w:r>
    </w:p>
    <w:p w:rsidR="00CF1789" w:rsidRDefault="00CF1789" w:rsidP="00CF1789">
      <w:pPr>
        <w:pStyle w:val="Salutation"/>
      </w:pPr>
      <w:bookmarkStart w:id="7" w:name="Salutation"/>
      <w:bookmarkEnd w:id="7"/>
    </w:p>
    <w:p w:rsidR="00CF1789" w:rsidRPr="00C76C25" w:rsidRDefault="00CF1789" w:rsidP="00CF1789">
      <w:pPr>
        <w:pStyle w:val="Salutation"/>
      </w:pPr>
      <w:r w:rsidRPr="00C76C25">
        <w:t>Dear Assistant Treasurer</w:t>
      </w:r>
    </w:p>
    <w:p w:rsidR="00CF1789" w:rsidRPr="00500E91" w:rsidRDefault="00CF1789" w:rsidP="00CF1789">
      <w:pPr>
        <w:pStyle w:val="BodyText"/>
        <w:rPr>
          <w:sz w:val="24"/>
          <w:szCs w:val="24"/>
        </w:rPr>
      </w:pPr>
      <w:bookmarkStart w:id="8" w:name="Body"/>
      <w:bookmarkEnd w:id="8"/>
      <w:r w:rsidRPr="00500E91">
        <w:rPr>
          <w:sz w:val="24"/>
          <w:szCs w:val="24"/>
        </w:rPr>
        <w:t xml:space="preserve">In accordance with Section 11 of the </w:t>
      </w:r>
      <w:r w:rsidRPr="00500E91">
        <w:rPr>
          <w:i/>
          <w:sz w:val="24"/>
          <w:szCs w:val="24"/>
        </w:rPr>
        <w:t>Productivity Commission Act 1998</w:t>
      </w:r>
      <w:r w:rsidRPr="00500E91">
        <w:rPr>
          <w:sz w:val="24"/>
          <w:szCs w:val="24"/>
        </w:rPr>
        <w:t>, we have pleasure in submitting to you the Commission’s final report into the Barriers to Effective Climate Change Adaptation.</w:t>
      </w:r>
    </w:p>
    <w:p w:rsidR="00CF1789" w:rsidRPr="00C76C25" w:rsidRDefault="00CF1789" w:rsidP="00CF1789">
      <w:pPr>
        <w:pStyle w:val="Signoff"/>
        <w:rPr>
          <w:szCs w:val="24"/>
        </w:rPr>
      </w:pPr>
      <w:bookmarkStart w:id="9" w:name="signoff"/>
      <w:bookmarkEnd w:id="9"/>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3002"/>
        <w:gridCol w:w="3002"/>
      </w:tblGrid>
      <w:tr w:rsidR="00CF1789" w:rsidTr="00CF1789">
        <w:tc>
          <w:tcPr>
            <w:tcW w:w="3001" w:type="dxa"/>
          </w:tcPr>
          <w:p w:rsidR="00CF1789" w:rsidRPr="00500E91" w:rsidRDefault="00CF1789" w:rsidP="00CF1789">
            <w:pPr>
              <w:pStyle w:val="LetterAddress"/>
            </w:pPr>
            <w:bookmarkStart w:id="10" w:name="author"/>
            <w:bookmarkEnd w:id="10"/>
            <w:r w:rsidRPr="00500E91">
              <w:t>Wendy Craik</w:t>
            </w:r>
          </w:p>
          <w:p w:rsidR="00CF1789" w:rsidRDefault="00CF1789" w:rsidP="00CF1789">
            <w:pPr>
              <w:pStyle w:val="LetterAddress"/>
            </w:pPr>
            <w:r w:rsidRPr="00500E91">
              <w:t>Presiding Commissioner</w:t>
            </w:r>
          </w:p>
        </w:tc>
        <w:tc>
          <w:tcPr>
            <w:tcW w:w="3002" w:type="dxa"/>
          </w:tcPr>
          <w:p w:rsidR="00CF1789" w:rsidRDefault="00CF1789" w:rsidP="00CF1789">
            <w:pPr>
              <w:pStyle w:val="LetterAddress"/>
            </w:pPr>
            <w:r>
              <w:t>Jonathan Coppel</w:t>
            </w:r>
          </w:p>
          <w:p w:rsidR="00CF1789" w:rsidRDefault="00CF1789" w:rsidP="00CF1789">
            <w:pPr>
              <w:pStyle w:val="LetterAddress"/>
            </w:pPr>
            <w:r>
              <w:t>Commissioner</w:t>
            </w:r>
          </w:p>
        </w:tc>
        <w:tc>
          <w:tcPr>
            <w:tcW w:w="3002" w:type="dxa"/>
          </w:tcPr>
          <w:p w:rsidR="00CF1789" w:rsidRDefault="00CF1789" w:rsidP="00CF1789">
            <w:pPr>
              <w:pStyle w:val="LetterAddress"/>
            </w:pPr>
            <w:r>
              <w:t>Neil Byron</w:t>
            </w:r>
          </w:p>
          <w:p w:rsidR="00CF1789" w:rsidRDefault="00CF1789" w:rsidP="00CF1789">
            <w:pPr>
              <w:pStyle w:val="LetterAddress"/>
            </w:pPr>
            <w:r>
              <w:t>Associate Commissioner</w:t>
            </w:r>
          </w:p>
        </w:tc>
      </w:tr>
    </w:tbl>
    <w:p w:rsidR="00CF1789" w:rsidRPr="00B64F13" w:rsidRDefault="00CF1789" w:rsidP="00CF1789"/>
    <w:p w:rsidR="00F53F7E" w:rsidRDefault="00F53F7E" w:rsidP="00B64F13"/>
    <w:p w:rsidR="00F53F7E" w:rsidRDefault="00F53F7E" w:rsidP="00B64F13"/>
    <w:p w:rsidR="00F53F7E" w:rsidRDefault="00F53F7E" w:rsidP="00B64F13">
      <w:pPr>
        <w:sectPr w:rsidR="00F53F7E" w:rsidSect="00071D07">
          <w:footerReference w:type="even" r:id="rId11"/>
          <w:footerReference w:type="first" r:id="rId12"/>
          <w:pgSz w:w="11907" w:h="16840" w:code="9"/>
          <w:pgMar w:top="1418" w:right="1304" w:bottom="567" w:left="1814" w:header="1701" w:footer="567" w:gutter="0"/>
          <w:pgNumType w:start="1"/>
          <w:cols w:space="720"/>
          <w:titlePg/>
        </w:sectPr>
      </w:pPr>
    </w:p>
    <w:p w:rsidR="009A1E5A" w:rsidRDefault="009A1E5A">
      <w:pPr>
        <w:pStyle w:val="Heading2NotTOC"/>
      </w:pPr>
      <w:r>
        <w:lastRenderedPageBreak/>
        <w:t>Terms of reference</w:t>
      </w:r>
    </w:p>
    <w:p w:rsidR="009A1E5A" w:rsidRPr="00E90AF4" w:rsidRDefault="009A1E5A" w:rsidP="009A1E5A">
      <w:pPr>
        <w:pStyle w:val="Heading3"/>
        <w:jc w:val="center"/>
      </w:pPr>
      <w:r w:rsidRPr="00E90AF4">
        <w:t>Productivity Commission Inquiry into</w:t>
      </w:r>
      <w:r w:rsidRPr="00E90AF4">
        <w:br/>
        <w:t>Regulatory and Policy Barriers to Effective Climate Change Adaptation</w:t>
      </w:r>
    </w:p>
    <w:p w:rsidR="009A1E5A" w:rsidRPr="00E90AF4" w:rsidRDefault="009A1E5A" w:rsidP="009A1E5A">
      <w:pPr>
        <w:pStyle w:val="BodyText"/>
      </w:pPr>
      <w:r w:rsidRPr="00E90AF4">
        <w:t xml:space="preserve">I, Bill Shorten, Assistant Treasurer and Minister for Financial Services and Superannuation, pursuant to Parts 2 and 3 of the </w:t>
      </w:r>
      <w:r w:rsidRPr="00E90AF4">
        <w:rPr>
          <w:i/>
        </w:rPr>
        <w:t>Productivity Commission Act 1998</w:t>
      </w:r>
      <w:r w:rsidRPr="00E90AF4">
        <w:t xml:space="preserve"> hereby request that the Productivity Commission undertake an inquiry into regulatory and policy barriers to effective climate change adaptation. The Commission will report within 12 months of receipt of this reference and will hold hearings for the purpose of this inquiry.</w:t>
      </w:r>
    </w:p>
    <w:p w:rsidR="009A1E5A" w:rsidRPr="00E90AF4" w:rsidRDefault="009A1E5A" w:rsidP="009A1E5A">
      <w:pPr>
        <w:pStyle w:val="Heading3"/>
      </w:pPr>
      <w:r w:rsidRPr="00E90AF4">
        <w:t>Background</w:t>
      </w:r>
    </w:p>
    <w:p w:rsidR="009A1E5A" w:rsidRPr="00E90AF4" w:rsidRDefault="009A1E5A" w:rsidP="009A1E5A">
      <w:pPr>
        <w:pStyle w:val="BodyText"/>
      </w:pPr>
      <w:r w:rsidRPr="00E90AF4">
        <w:t xml:space="preserve">Climate change adaptation is action by households, firms, other organisations and governments to respond to the impacts of climate change that cannot be avoided through climate change mitigation efforts. An effective national adaptation response will require all levels of government, the private sector and intermediary markets to contribute to that response. </w:t>
      </w:r>
    </w:p>
    <w:p w:rsidR="009A1E5A" w:rsidRPr="00E90AF4" w:rsidRDefault="009A1E5A" w:rsidP="009A1E5A">
      <w:pPr>
        <w:pStyle w:val="BodyText"/>
      </w:pPr>
      <w:r w:rsidRPr="00E90AF4">
        <w:t>This inquiry will assist COAG to advance climate change adaptation reforms in Australia by examining the policy frameworks required to facilitate effective adaptation, and the costs and benefits of various adaptation options so as to identify the highest priority reforms. In undertaking this review the Commission will also assess the effectiveness and efficiency of market based approaches in facilitating adaptation.</w:t>
      </w:r>
    </w:p>
    <w:p w:rsidR="009A1E5A" w:rsidRPr="00E90AF4" w:rsidRDefault="009A1E5A" w:rsidP="009A1E5A">
      <w:pPr>
        <w:pStyle w:val="Heading3"/>
      </w:pPr>
      <w:r w:rsidRPr="00E90AF4">
        <w:t xml:space="preserve">Scope of the Inquiry </w:t>
      </w:r>
    </w:p>
    <w:p w:rsidR="009A1E5A" w:rsidRPr="00E90AF4" w:rsidRDefault="009A1E5A" w:rsidP="009A1E5A">
      <w:pPr>
        <w:pStyle w:val="BodyText"/>
      </w:pPr>
      <w:r w:rsidRPr="00E90AF4">
        <w:t xml:space="preserve">The Commission is requested to assess the regulatory and policy barriers to effective adaptation. In undertaking the review, the Commission should identify any specific barriers that may act to inhibit effective adaptation to unavoidable climate change. </w:t>
      </w:r>
    </w:p>
    <w:p w:rsidR="009A1E5A" w:rsidRPr="00E90AF4" w:rsidRDefault="009A1E5A" w:rsidP="009A1E5A">
      <w:pPr>
        <w:pStyle w:val="BodyText"/>
      </w:pPr>
      <w:r w:rsidRPr="00E90AF4">
        <w:t>The Commission should identify high priority reform options to address any identified barriers to effective adaptation. The Commission should also:</w:t>
      </w:r>
    </w:p>
    <w:p w:rsidR="009A1E5A" w:rsidRPr="00E90AF4" w:rsidRDefault="009A1E5A" w:rsidP="009A1E5A">
      <w:pPr>
        <w:pStyle w:val="ListBullet"/>
        <w:tabs>
          <w:tab w:val="clear" w:pos="340"/>
          <w:tab w:val="num" w:pos="360"/>
        </w:tabs>
        <w:spacing w:line="320" w:lineRule="atLeast"/>
      </w:pPr>
      <w:r w:rsidRPr="00E90AF4">
        <w:t xml:space="preserve">examine the costs and benefits of the options to address those barriers where it is feasible to do so, including a 'no change' (maintaining the status quo) option; and </w:t>
      </w:r>
    </w:p>
    <w:p w:rsidR="009A1E5A" w:rsidRPr="00E90AF4" w:rsidRDefault="009A1E5A" w:rsidP="009A1E5A">
      <w:pPr>
        <w:pStyle w:val="ListBullet"/>
        <w:tabs>
          <w:tab w:val="clear" w:pos="340"/>
          <w:tab w:val="num" w:pos="360"/>
        </w:tabs>
        <w:spacing w:line="320" w:lineRule="atLeast"/>
      </w:pPr>
      <w:r w:rsidRPr="00E90AF4">
        <w:lastRenderedPageBreak/>
        <w:t>assess the role of markets (including insurance markets) and non-market mechanisms in facilitating adaptation, and the appropriateness of government intervention.</w:t>
      </w:r>
    </w:p>
    <w:p w:rsidR="009A1E5A" w:rsidRPr="00E90AF4" w:rsidRDefault="009A1E5A" w:rsidP="009A1E5A">
      <w:pPr>
        <w:pStyle w:val="BodyText"/>
      </w:pPr>
      <w:r w:rsidRPr="00E90AF4">
        <w:t>In undertaking its inquiry, the Commission should take into account the relevant policies of all levels of government and the work on adaptation undertaken under the auspices of COAG. The Commission should consult with relevant Australian Government, state and territory and local government agencies, and other key stakeholders.</w:t>
      </w:r>
    </w:p>
    <w:p w:rsidR="009A1E5A" w:rsidRPr="00E90AF4" w:rsidRDefault="009A1E5A" w:rsidP="009A1E5A">
      <w:pPr>
        <w:pStyle w:val="BodyText"/>
      </w:pPr>
      <w:r w:rsidRPr="00E90AF4">
        <w:t>The Commission is to provide both a draft and a final report, and the reports will be published. The Government will consider the Commission's recommendations, and its response will be announced as soon as possible after the receipt of the Commission's report.</w:t>
      </w:r>
    </w:p>
    <w:p w:rsidR="009A1E5A" w:rsidRPr="00E90AF4" w:rsidRDefault="009A1E5A" w:rsidP="009A1E5A">
      <w:pPr>
        <w:pStyle w:val="BodyText"/>
      </w:pPr>
    </w:p>
    <w:p w:rsidR="009A1E5A" w:rsidRPr="00E90AF4" w:rsidRDefault="009A1E5A" w:rsidP="009A1E5A">
      <w:pPr>
        <w:pStyle w:val="BodyText"/>
        <w:spacing w:before="0"/>
      </w:pPr>
      <w:r w:rsidRPr="00E90AF4">
        <w:t>BILL SHORTEN</w:t>
      </w:r>
    </w:p>
    <w:p w:rsidR="009A1E5A" w:rsidRDefault="009A1E5A" w:rsidP="009A1E5A">
      <w:pPr>
        <w:pStyle w:val="BodyText"/>
        <w:spacing w:before="0"/>
      </w:pPr>
      <w:r w:rsidRPr="00E90AF4">
        <w:t>20 September 2011</w:t>
      </w:r>
    </w:p>
    <w:p w:rsidR="009A1E5A" w:rsidRDefault="009A1E5A">
      <w:pPr>
        <w:pStyle w:val="BodyText"/>
        <w:sectPr w:rsidR="009A1E5A" w:rsidSect="00CF1789">
          <w:headerReference w:type="even" r:id="rId13"/>
          <w:headerReference w:type="default" r:id="rId14"/>
          <w:footerReference w:type="even" r:id="rId15"/>
          <w:footerReference w:type="default" r:id="rId16"/>
          <w:pgSz w:w="11906" w:h="16838" w:code="9"/>
          <w:pgMar w:top="1985" w:right="1304" w:bottom="1418" w:left="1814" w:header="1701" w:footer="567" w:gutter="0"/>
          <w:pgNumType w:fmt="lowerRoman" w:start="4"/>
          <w:cols w:space="708"/>
          <w:docGrid w:linePitch="360"/>
        </w:sectPr>
      </w:pPr>
    </w:p>
    <w:p w:rsidR="001B7F1E" w:rsidRDefault="00735FEA" w:rsidP="008206EE">
      <w:pPr>
        <w:pStyle w:val="Heading1NotTOC"/>
      </w:pPr>
      <w:bookmarkStart w:id="11" w:name="Contents"/>
      <w:bookmarkEnd w:id="11"/>
      <w:r w:rsidRPr="00B153C3">
        <w:lastRenderedPageBreak/>
        <w:t>Contents</w:t>
      </w:r>
      <w:bookmarkStart w:id="12" w:name="InsertContents"/>
      <w:bookmarkEnd w:id="12"/>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Abbreviations</w:t>
      </w:r>
      <w:r>
        <w:rPr>
          <w:noProof/>
        </w:rPr>
        <w:tab/>
        <w:t>xi</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Recommendations</w:t>
      </w:r>
      <w:r>
        <w:rPr>
          <w:noProof/>
        </w:rPr>
        <w:tab/>
        <w:t>27</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33</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scope of the inquiry</w:t>
      </w:r>
      <w:r>
        <w:rPr>
          <w:noProof/>
        </w:rPr>
        <w:tab/>
        <w:t>36</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Commission’s approach to identifying reforms</w:t>
      </w:r>
      <w:r>
        <w:rPr>
          <w:noProof/>
        </w:rPr>
        <w:tab/>
        <w:t>39</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Conduct of the inquiry</w:t>
      </w:r>
      <w:r>
        <w:rPr>
          <w:noProof/>
        </w:rPr>
        <w:tab/>
        <w:t>40</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challenges of climate change</w:t>
      </w:r>
      <w:r>
        <w:rPr>
          <w:noProof/>
        </w:rPr>
        <w:tab/>
        <w:t>41</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Australia’s variable and changing climate</w:t>
      </w:r>
      <w:r>
        <w:rPr>
          <w:noProof/>
        </w:rPr>
        <w:tab/>
        <w:t>42</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Projected climate change for Australia</w:t>
      </w:r>
      <w:r>
        <w:rPr>
          <w:noProof/>
        </w:rPr>
        <w:tab/>
        <w:t>42</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impacts of climate change</w:t>
      </w:r>
      <w:r>
        <w:rPr>
          <w:noProof/>
        </w:rPr>
        <w:tab/>
        <w:t>48</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Climate change uncertainty</w:t>
      </w:r>
      <w:r>
        <w:rPr>
          <w:noProof/>
        </w:rPr>
        <w:tab/>
        <w:t>53</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Adapting to a changing climate</w:t>
      </w:r>
      <w:r>
        <w:rPr>
          <w:noProof/>
        </w:rPr>
        <w:tab/>
        <w:t>57</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Adapting to climate change</w:t>
      </w:r>
      <w:r>
        <w:rPr>
          <w:noProof/>
        </w:rPr>
        <w:tab/>
        <w:t>58</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Managing climate risks</w:t>
      </w:r>
      <w:r>
        <w:rPr>
          <w:noProof/>
        </w:rPr>
        <w:tab/>
        <w:t>60</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Measuring and evaluating adaptation activity</w:t>
      </w:r>
      <w:r>
        <w:rPr>
          <w:noProof/>
        </w:rPr>
        <w:tab/>
        <w:t>62</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Building adaptive capacity</w:t>
      </w:r>
      <w:r>
        <w:rPr>
          <w:noProof/>
        </w:rPr>
        <w:tab/>
        <w:t>65</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Assigning roles and responsibilities for adaptation</w:t>
      </w:r>
      <w:r>
        <w:rPr>
          <w:noProof/>
        </w:rPr>
        <w:tab/>
        <w:t>66</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Defining barriers to effective adaptation</w:t>
      </w:r>
      <w:r>
        <w:rPr>
          <w:noProof/>
        </w:rPr>
        <w:tab/>
        <w:t>73</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What is a barrier to effective adaptation?</w:t>
      </w:r>
      <w:r>
        <w:rPr>
          <w:noProof/>
        </w:rPr>
        <w:tab/>
        <w:t>74</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 classification of barriers to effective adaptation</w:t>
      </w:r>
      <w:r>
        <w:rPr>
          <w:noProof/>
        </w:rPr>
        <w:tab/>
        <w:t>74</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How should we respond to barriers?</w:t>
      </w:r>
      <w:r>
        <w:rPr>
          <w:noProof/>
        </w:rPr>
        <w:tab/>
        <w:t>83</w:t>
      </w:r>
    </w:p>
    <w:p w:rsidR="00686203" w:rsidRDefault="00686203">
      <w:pPr>
        <w:rPr>
          <w:noProof/>
        </w:rPr>
      </w:pPr>
    </w:p>
    <w:p w:rsidR="00686203" w:rsidRDefault="00686203">
      <w:pPr>
        <w:rPr>
          <w:noProof/>
        </w:rPr>
        <w:sectPr w:rsidR="00686203" w:rsidSect="00C55A45">
          <w:headerReference w:type="even" r:id="rId17"/>
          <w:headerReference w:type="default" r:id="rId18"/>
          <w:footerReference w:type="even" r:id="rId19"/>
          <w:footerReference w:type="default" r:id="rId20"/>
          <w:type w:val="oddPage"/>
          <w:pgSz w:w="11907" w:h="16840" w:code="9"/>
          <w:pgMar w:top="1985" w:right="1304" w:bottom="1418" w:left="1814" w:header="1701" w:footer="567" w:gutter="0"/>
          <w:pgNumType w:fmt="lowerRoman"/>
          <w:cols w:space="720"/>
        </w:sectPr>
      </w:pP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Assessing reform options and identifying priority reforms</w:t>
      </w:r>
      <w:r>
        <w:rPr>
          <w:noProof/>
        </w:rPr>
        <w:tab/>
        <w:t>85</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Assessing reform options to increase wellbeing</w:t>
      </w:r>
      <w:r>
        <w:rPr>
          <w:noProof/>
        </w:rPr>
        <w:tab/>
        <w:t>86</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Assessing reform options under uncertainty</w:t>
      </w:r>
      <w:r>
        <w:rPr>
          <w:noProof/>
        </w:rPr>
        <w:tab/>
        <w:t>91</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Identifying priority reforms</w:t>
      </w:r>
      <w:r>
        <w:rPr>
          <w:noProof/>
        </w:rPr>
        <w:tab/>
        <w:t>100</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‘No regrets’ policies</w:t>
      </w:r>
      <w:r>
        <w:rPr>
          <w:noProof/>
        </w:rPr>
        <w:tab/>
        <w:t>103</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Economic reform and adaptation</w:t>
      </w:r>
      <w:r>
        <w:rPr>
          <w:noProof/>
        </w:rPr>
        <w:tab/>
        <w:t>103</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Taxation</w:t>
      </w:r>
      <w:r>
        <w:rPr>
          <w:noProof/>
        </w:rPr>
        <w:tab/>
        <w:t>105</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Government transfers</w:t>
      </w:r>
      <w:r>
        <w:rPr>
          <w:noProof/>
        </w:rPr>
        <w:tab/>
        <w:t>108</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Regulation</w:t>
      </w:r>
      <w:r>
        <w:rPr>
          <w:noProof/>
        </w:rPr>
        <w:tab/>
        <w:t>11</w:t>
      </w:r>
      <w:r w:rsidR="00637C2F">
        <w:rPr>
          <w:noProof/>
        </w:rPr>
        <w:t>0</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Information provision</w:t>
      </w:r>
      <w:r>
        <w:rPr>
          <w:noProof/>
        </w:rPr>
        <w:tab/>
        <w:t>117</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Information for adaptation</w:t>
      </w:r>
      <w:r>
        <w:rPr>
          <w:noProof/>
        </w:rPr>
        <w:tab/>
        <w:t>118</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Barriers to information provision</w:t>
      </w:r>
      <w:r>
        <w:rPr>
          <w:noProof/>
        </w:rPr>
        <w:tab/>
        <w:t>121</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Barriers to information use</w:t>
      </w:r>
      <w:r>
        <w:rPr>
          <w:noProof/>
        </w:rPr>
        <w:tab/>
        <w:t>137</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Local government</w:t>
      </w:r>
      <w:r>
        <w:rPr>
          <w:noProof/>
        </w:rPr>
        <w:tab/>
        <w:t>147</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Adaptation at the local government level</w:t>
      </w:r>
      <w:r>
        <w:rPr>
          <w:noProof/>
        </w:rPr>
        <w:tab/>
        <w:t>148</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Roles and responsibilities for adaptation</w:t>
      </w:r>
      <w:r>
        <w:rPr>
          <w:noProof/>
        </w:rPr>
        <w:tab/>
        <w:t>153</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Inadequate local government capacity</w:t>
      </w:r>
      <w:r>
        <w:rPr>
          <w:noProof/>
        </w:rPr>
        <w:tab/>
        <w:t>156</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Legal liability as a barrier to adaptation</w:t>
      </w:r>
      <w:r>
        <w:rPr>
          <w:noProof/>
        </w:rPr>
        <w:tab/>
        <w:t>166</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Land</w:t>
      </w:r>
      <w:r>
        <w:rPr>
          <w:noProof/>
        </w:rPr>
        <w:noBreakHyphen/>
        <w:t>use planning</w:t>
      </w:r>
      <w:r>
        <w:rPr>
          <w:noProof/>
        </w:rPr>
        <w:tab/>
        <w:t>171</w:t>
      </w:r>
    </w:p>
    <w:p w:rsidR="009A1E5A" w:rsidRDefault="009A1E5A" w:rsidP="009A1E5A">
      <w:pPr>
        <w:pStyle w:val="TOC2"/>
        <w:tabs>
          <w:tab w:val="left" w:pos="1190"/>
        </w:tabs>
        <w:rPr>
          <w:noProof/>
        </w:rPr>
      </w:pPr>
      <w:r>
        <w:rPr>
          <w:noProof/>
        </w:rPr>
        <w:t>9.1</w:t>
      </w:r>
      <w:r>
        <w:rPr>
          <w:rFonts w:asciiTheme="minorHAnsi" w:eastAsiaTheme="minorEastAsia" w:hAnsiTheme="minorHAnsi" w:cstheme="minorBidi"/>
          <w:noProof/>
          <w:sz w:val="22"/>
          <w:szCs w:val="22"/>
          <w:lang w:eastAsia="en-AU"/>
        </w:rPr>
        <w:tab/>
      </w:r>
      <w:r>
        <w:rPr>
          <w:noProof/>
        </w:rPr>
        <w:t>Planning regulation incorporates climate change risks to varying extents</w:t>
      </w:r>
      <w:r>
        <w:rPr>
          <w:noProof/>
        </w:rPr>
        <w:tab/>
        <w:t>173</w:t>
      </w:r>
    </w:p>
    <w:p w:rsidR="00DA6D1A" w:rsidRDefault="00DA6D1A" w:rsidP="009A1E5A">
      <w:pPr>
        <w:pStyle w:val="TOC2"/>
        <w:tabs>
          <w:tab w:val="left" w:pos="1190"/>
        </w:tabs>
        <w:rPr>
          <w:rFonts w:asciiTheme="minorHAnsi" w:eastAsiaTheme="minorEastAsia" w:hAnsiTheme="minorHAnsi" w:cstheme="minorBidi"/>
          <w:noProof/>
          <w:sz w:val="22"/>
          <w:szCs w:val="22"/>
          <w:lang w:eastAsia="en-AU"/>
        </w:rPr>
      </w:pPr>
      <w:r>
        <w:rPr>
          <w:noProof/>
        </w:rPr>
        <w:t>9.2</w:t>
      </w:r>
      <w:r>
        <w:rPr>
          <w:noProof/>
        </w:rPr>
        <w:tab/>
        <w:t>Incorporating climate change adaptation in land-use planning</w:t>
      </w:r>
      <w:r>
        <w:rPr>
          <w:noProof/>
        </w:rPr>
        <w:tab/>
        <w:t>17</w:t>
      </w:r>
      <w:r w:rsidR="00227319">
        <w:rPr>
          <w:noProof/>
        </w:rPr>
        <w:t>7</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Building regulation</w:t>
      </w:r>
      <w:r>
        <w:rPr>
          <w:noProof/>
        </w:rPr>
        <w:tab/>
        <w:t>191</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Building regulation in Australia</w:t>
      </w:r>
      <w:r>
        <w:rPr>
          <w:noProof/>
        </w:rPr>
        <w:tab/>
        <w:t>192</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Climate change and building regulation</w:t>
      </w:r>
      <w:r>
        <w:rPr>
          <w:noProof/>
        </w:rPr>
        <w:tab/>
        <w:t>194</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Potential barriers to considering climate change in building regulation</w:t>
      </w:r>
      <w:r>
        <w:rPr>
          <w:noProof/>
        </w:rPr>
        <w:tab/>
        <w:t>19</w:t>
      </w:r>
      <w:r w:rsidR="00763211">
        <w:rPr>
          <w:noProof/>
        </w:rPr>
        <w:t>9</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Interactions between land</w:t>
      </w:r>
      <w:r>
        <w:rPr>
          <w:noProof/>
        </w:rPr>
        <w:noBreakHyphen/>
        <w:t>use planning and building regulation</w:t>
      </w:r>
      <w:r>
        <w:rPr>
          <w:noProof/>
        </w:rPr>
        <w:tab/>
        <w:t>203</w:t>
      </w:r>
    </w:p>
    <w:p w:rsidR="00686203" w:rsidRDefault="00686203" w:rsidP="009A1E5A">
      <w:pPr>
        <w:pStyle w:val="TOC1"/>
        <w:rPr>
          <w:noProof/>
        </w:rPr>
        <w:sectPr w:rsidR="00686203" w:rsidSect="00686203">
          <w:headerReference w:type="even" r:id="rId21"/>
          <w:footerReference w:type="even" r:id="rId22"/>
          <w:type w:val="evenPage"/>
          <w:pgSz w:w="11907" w:h="16840" w:code="9"/>
          <w:pgMar w:top="1985" w:right="1304" w:bottom="1418" w:left="1814" w:header="1701" w:footer="567" w:gutter="0"/>
          <w:pgNumType w:fmt="lowerRoman"/>
          <w:cols w:space="720"/>
        </w:sectPr>
      </w:pP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lastRenderedPageBreak/>
        <w:t>11</w:t>
      </w:r>
      <w:r>
        <w:rPr>
          <w:rFonts w:asciiTheme="minorHAnsi" w:eastAsiaTheme="minorEastAsia" w:hAnsiTheme="minorHAnsi" w:cstheme="minorBidi"/>
          <w:b w:val="0"/>
          <w:noProof/>
          <w:sz w:val="22"/>
          <w:szCs w:val="22"/>
          <w:lang w:eastAsia="en-AU"/>
        </w:rPr>
        <w:tab/>
      </w:r>
      <w:r>
        <w:rPr>
          <w:noProof/>
        </w:rPr>
        <w:t>Existing settlements</w:t>
      </w:r>
      <w:r>
        <w:rPr>
          <w:noProof/>
        </w:rPr>
        <w:tab/>
        <w:t>205</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Protect, accommodate or retreat</w:t>
      </w:r>
      <w:r>
        <w:rPr>
          <w:noProof/>
        </w:rPr>
        <w:tab/>
        <w:t>206</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Cross</w:t>
      </w:r>
      <w:r>
        <w:rPr>
          <w:noProof/>
        </w:rPr>
        <w:noBreakHyphen/>
        <w:t>cutting issues</w:t>
      </w:r>
      <w:r>
        <w:rPr>
          <w:noProof/>
        </w:rPr>
        <w:tab/>
        <w:t>211</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An independent public inquiry into managing climate change risks to existing settlements</w:t>
      </w:r>
      <w:r>
        <w:rPr>
          <w:noProof/>
        </w:rPr>
        <w:tab/>
        <w:t>218</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Provision and regulation of infrastructure</w:t>
      </w:r>
      <w:r>
        <w:rPr>
          <w:noProof/>
        </w:rPr>
        <w:tab/>
        <w:t>221</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How is infrastructure provided?</w:t>
      </w:r>
      <w:r>
        <w:rPr>
          <w:noProof/>
        </w:rPr>
        <w:tab/>
        <w:t>222</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Potential barriers to climate change adaptation</w:t>
      </w:r>
      <w:r>
        <w:rPr>
          <w:noProof/>
        </w:rPr>
        <w:tab/>
        <w:t>226</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Can investment and regulatory practices be improved?</w:t>
      </w:r>
      <w:r>
        <w:rPr>
          <w:noProof/>
        </w:rPr>
        <w:tab/>
        <w:t>234</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Emergency management</w:t>
      </w:r>
      <w:r>
        <w:rPr>
          <w:noProof/>
        </w:rPr>
        <w:tab/>
        <w:t>241</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Current arrangements</w:t>
      </w:r>
      <w:r>
        <w:rPr>
          <w:noProof/>
        </w:rPr>
        <w:tab/>
        <w:t>242</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Inadequate governance and institutional arrangements</w:t>
      </w:r>
      <w:r>
        <w:rPr>
          <w:noProof/>
        </w:rPr>
        <w:tab/>
        <w:t>245</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Recent reforms</w:t>
      </w:r>
      <w:r>
        <w:rPr>
          <w:noProof/>
        </w:rPr>
        <w:tab/>
        <w:t>250</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Disaster mitigation</w:t>
      </w:r>
      <w:r>
        <w:rPr>
          <w:noProof/>
        </w:rPr>
        <w:tab/>
        <w:t>252</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Disaster recovery: the Natural Disaster Relief and Recovery Arrangements</w:t>
      </w:r>
      <w:r>
        <w:rPr>
          <w:noProof/>
        </w:rPr>
        <w:tab/>
        <w:t>263</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Getting the balance right</w:t>
      </w:r>
      <w:r>
        <w:rPr>
          <w:noProof/>
        </w:rPr>
        <w:tab/>
        <w:t>268</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Environmental management</w:t>
      </w:r>
      <w:r>
        <w:rPr>
          <w:noProof/>
        </w:rPr>
        <w:tab/>
        <w:t>275</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Climate change and the environment</w:t>
      </w:r>
      <w:r>
        <w:rPr>
          <w:noProof/>
        </w:rPr>
        <w:tab/>
        <w:t>275</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Barriers to effective adaptation</w:t>
      </w:r>
      <w:r>
        <w:rPr>
          <w:noProof/>
        </w:rPr>
        <w:tab/>
        <w:t>277</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Supporting adaptive capacity</w:t>
      </w:r>
      <w:r>
        <w:rPr>
          <w:noProof/>
        </w:rPr>
        <w:tab/>
        <w:t>279</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The health system</w:t>
      </w:r>
      <w:r>
        <w:rPr>
          <w:noProof/>
        </w:rPr>
        <w:tab/>
        <w:t>291</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Effective adaptation in the health system</w:t>
      </w:r>
      <w:r>
        <w:rPr>
          <w:noProof/>
        </w:rPr>
        <w:tab/>
        <w:t>293</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The role of insurance</w:t>
      </w:r>
      <w:r>
        <w:rPr>
          <w:noProof/>
        </w:rPr>
        <w:tab/>
        <w:t>297</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Insurance in a changing climate</w:t>
      </w:r>
      <w:r>
        <w:rPr>
          <w:noProof/>
        </w:rPr>
        <w:tab/>
        <w:t>298</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Factors affecting insurance costs and provision</w:t>
      </w:r>
      <w:r>
        <w:rPr>
          <w:noProof/>
        </w:rPr>
        <w:tab/>
        <w:t>305</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Reforms to insurance regulations</w:t>
      </w:r>
      <w:r>
        <w:rPr>
          <w:noProof/>
        </w:rPr>
        <w:tab/>
        <w:t>314</w:t>
      </w:r>
    </w:p>
    <w:p w:rsidR="009A1E5A" w:rsidRDefault="009A1E5A" w:rsidP="009A1E5A">
      <w:pPr>
        <w:pStyle w:val="TOC1"/>
        <w:rPr>
          <w:noProof/>
        </w:rPr>
      </w:pPr>
    </w:p>
    <w:p w:rsidR="00686203" w:rsidRDefault="00686203" w:rsidP="009A1E5A">
      <w:pPr>
        <w:pStyle w:val="TOC1"/>
        <w:rPr>
          <w:noProof/>
        </w:rPr>
        <w:sectPr w:rsidR="00686203" w:rsidSect="00686203">
          <w:headerReference w:type="default" r:id="rId23"/>
          <w:footerReference w:type="default" r:id="rId24"/>
          <w:type w:val="oddPage"/>
          <w:pgSz w:w="11907" w:h="16840" w:code="9"/>
          <w:pgMar w:top="1985" w:right="1304" w:bottom="1418" w:left="1814" w:header="1701" w:footer="567" w:gutter="0"/>
          <w:pgNumType w:fmt="lowerRoman"/>
          <w:cols w:space="720"/>
        </w:sectPr>
      </w:pP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lastRenderedPageBreak/>
        <w:t>17</w:t>
      </w:r>
      <w:r>
        <w:rPr>
          <w:rFonts w:asciiTheme="minorHAnsi" w:eastAsiaTheme="minorEastAsia" w:hAnsiTheme="minorHAnsi" w:cstheme="minorBidi"/>
          <w:b w:val="0"/>
          <w:noProof/>
          <w:sz w:val="22"/>
          <w:szCs w:val="22"/>
          <w:lang w:eastAsia="en-AU"/>
        </w:rPr>
        <w:tab/>
      </w:r>
      <w:r>
        <w:rPr>
          <w:noProof/>
        </w:rPr>
        <w:t>Reform priorities</w:t>
      </w:r>
      <w:r>
        <w:rPr>
          <w:noProof/>
        </w:rPr>
        <w:tab/>
        <w:t>323</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Two groups of reforms</w:t>
      </w:r>
      <w:r>
        <w:rPr>
          <w:noProof/>
        </w:rPr>
        <w:tab/>
        <w:t>324</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Who should implement adaptation reforms?</w:t>
      </w:r>
      <w:r>
        <w:rPr>
          <w:noProof/>
        </w:rPr>
        <w:tab/>
        <w:t>324</w:t>
      </w:r>
    </w:p>
    <w:p w:rsidR="009A1E5A" w:rsidRDefault="009A1E5A" w:rsidP="009A1E5A">
      <w:pPr>
        <w:pStyle w:val="TOC2"/>
        <w:tabs>
          <w:tab w:val="left" w:pos="119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Reform options that should not be pursued</w:t>
      </w:r>
      <w:r>
        <w:rPr>
          <w:noProof/>
        </w:rPr>
        <w:tab/>
        <w:t>330</w:t>
      </w:r>
    </w:p>
    <w:p w:rsidR="009A1E5A" w:rsidRDefault="009A1E5A" w:rsidP="009A1E5A">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333</w:t>
      </w:r>
    </w:p>
    <w:p w:rsidR="009A1E5A" w:rsidRDefault="009A1E5A" w:rsidP="009A1E5A">
      <w:pPr>
        <w:pStyle w:val="TOC1"/>
        <w:rPr>
          <w:noProof/>
        </w:rPr>
      </w:pPr>
      <w:r>
        <w:rPr>
          <w:noProof/>
        </w:rPr>
        <w:t>References</w:t>
      </w:r>
      <w:r>
        <w:rPr>
          <w:noProof/>
        </w:rPr>
        <w:tab/>
        <w:t>343</w:t>
      </w:r>
    </w:p>
    <w:p w:rsidR="009A1E5A" w:rsidRDefault="009A1E5A" w:rsidP="009A1E5A">
      <w:pPr>
        <w:pStyle w:val="TOC2"/>
        <w:rPr>
          <w:rFonts w:eastAsiaTheme="minorEastAsia"/>
        </w:rPr>
      </w:pPr>
    </w:p>
    <w:p w:rsidR="009A1E5A" w:rsidRDefault="009A1E5A" w:rsidP="009A1E5A">
      <w:pPr>
        <w:pStyle w:val="TOC2"/>
        <w:jc w:val="both"/>
        <w:rPr>
          <w:rFonts w:eastAsiaTheme="minorEastAsia"/>
        </w:rPr>
      </w:pPr>
    </w:p>
    <w:p w:rsidR="009A1E5A" w:rsidRDefault="009A1E5A" w:rsidP="009A1E5A">
      <w:pPr>
        <w:pStyle w:val="TOC2"/>
        <w:jc w:val="both"/>
        <w:rPr>
          <w:rFonts w:eastAsiaTheme="minorEastAsia"/>
        </w:rPr>
      </w:pPr>
    </w:p>
    <w:p w:rsidR="009A1E5A" w:rsidRDefault="009A1E5A" w:rsidP="009A1E5A">
      <w:pPr>
        <w:pStyle w:val="TOC2"/>
        <w:jc w:val="both"/>
        <w:rPr>
          <w:rFonts w:eastAsiaTheme="minorEastAsia"/>
        </w:rPr>
      </w:pPr>
    </w:p>
    <w:p w:rsidR="009A1E5A" w:rsidRDefault="009A1E5A" w:rsidP="009A1E5A">
      <w:pPr>
        <w:pStyle w:val="BodyText"/>
      </w:pPr>
      <w:r>
        <w:t>The following appendixes are not included in this report. They are available on the Commission’s website (</w:t>
      </w:r>
      <w:r w:rsidRPr="00131246">
        <w:t>www.pc.gov.au/projects/inquiry/climate-change-adaptation</w:t>
      </w:r>
      <w:r>
        <w:t>)</w:t>
      </w:r>
    </w:p>
    <w:p w:rsidR="009A1E5A" w:rsidRDefault="009A1E5A" w:rsidP="009A1E5A">
      <w:pPr>
        <w:pStyle w:val="BodyText"/>
        <w:spacing w:before="0"/>
      </w:pPr>
    </w:p>
    <w:p w:rsidR="009A1E5A" w:rsidRDefault="009A1E5A" w:rsidP="009A1E5A">
      <w:pPr>
        <w:pStyle w:val="BodyText"/>
        <w:spacing w:before="0"/>
      </w:pPr>
      <w:r>
        <w:t>B</w:t>
      </w:r>
      <w:r>
        <w:tab/>
        <w:t>Australian approaches</w:t>
      </w:r>
    </w:p>
    <w:p w:rsidR="009A1E5A" w:rsidRPr="0041325C" w:rsidRDefault="009A1E5A" w:rsidP="009A1E5A">
      <w:pPr>
        <w:pStyle w:val="BodyText"/>
        <w:spacing w:before="0"/>
      </w:pPr>
      <w:r>
        <w:t>C</w:t>
      </w:r>
      <w:r>
        <w:tab/>
        <w:t>International approaches</w:t>
      </w:r>
    </w:p>
    <w:p w:rsidR="009A1E5A" w:rsidRPr="00D86C2D" w:rsidRDefault="009A1E5A" w:rsidP="009A1E5A">
      <w:pPr>
        <w:pStyle w:val="BodyText"/>
        <w:spacing w:before="0"/>
      </w:pPr>
      <w:r>
        <w:t>D</w:t>
      </w:r>
      <w:r>
        <w:tab/>
        <w:t>Economic modelling and adaptation to climate change</w:t>
      </w:r>
    </w:p>
    <w:p w:rsidR="009A1E5A" w:rsidRPr="009A1E5A" w:rsidRDefault="009A1E5A" w:rsidP="009A1E5A">
      <w:pPr>
        <w:pStyle w:val="BodyText"/>
      </w:pPr>
    </w:p>
    <w:p w:rsidR="00735FEA" w:rsidRDefault="00735FEA">
      <w:pPr>
        <w:pStyle w:val="BodyText"/>
        <w:sectPr w:rsidR="00735FEA" w:rsidSect="00686203">
          <w:headerReference w:type="even" r:id="rId25"/>
          <w:footerReference w:type="even" r:id="rId26"/>
          <w:type w:val="evenPage"/>
          <w:pgSz w:w="11907" w:h="16840" w:code="9"/>
          <w:pgMar w:top="1985" w:right="1304" w:bottom="1418" w:left="1814" w:header="1701" w:footer="567" w:gutter="0"/>
          <w:pgNumType w:fmt="lowerRoman"/>
          <w:cols w:space="720"/>
        </w:sectPr>
      </w:pPr>
    </w:p>
    <w:p w:rsidR="00735FEA" w:rsidRDefault="00735FEA" w:rsidP="00F7477E">
      <w:pPr>
        <w:pStyle w:val="Heading1"/>
      </w:pPr>
      <w:bookmarkStart w:id="13" w:name="Abbreviations"/>
      <w:bookmarkStart w:id="14" w:name="EndContents"/>
      <w:bookmarkStart w:id="15" w:name="RDnote"/>
      <w:bookmarkEnd w:id="13"/>
      <w:bookmarkEnd w:id="14"/>
      <w:bookmarkEnd w:id="15"/>
      <w:r>
        <w:lastRenderedPageBreak/>
        <w:t>Abbreviations</w:t>
      </w:r>
    </w:p>
    <w:p w:rsidR="009A1E5A" w:rsidRDefault="009A1E5A" w:rsidP="009A1E5A">
      <w:pPr>
        <w:pStyle w:val="Abbreviation"/>
      </w:pPr>
      <w:proofErr w:type="spellStart"/>
      <w:r>
        <w:t>ABARE</w:t>
      </w:r>
      <w:proofErr w:type="spellEnd"/>
      <w:r>
        <w:tab/>
        <w:t>Australian Bureau of Agricultural and Resource Economics</w:t>
      </w:r>
    </w:p>
    <w:p w:rsidR="009A1E5A" w:rsidRDefault="009A1E5A" w:rsidP="009A1E5A">
      <w:pPr>
        <w:pStyle w:val="Abbreviation"/>
      </w:pPr>
      <w:proofErr w:type="spellStart"/>
      <w:r>
        <w:t>ABARES</w:t>
      </w:r>
      <w:proofErr w:type="spellEnd"/>
      <w:r>
        <w:tab/>
        <w:t>Australian Bureau of Agricultural and Resource Economics and Sciences</w:t>
      </w:r>
    </w:p>
    <w:p w:rsidR="009A1E5A" w:rsidRDefault="009A1E5A" w:rsidP="009A1E5A">
      <w:pPr>
        <w:pStyle w:val="Abbreviation"/>
      </w:pPr>
      <w:proofErr w:type="spellStart"/>
      <w:r>
        <w:t>ABCB</w:t>
      </w:r>
      <w:proofErr w:type="spellEnd"/>
      <w:r>
        <w:tab/>
        <w:t>Australian Building Codes Board</w:t>
      </w:r>
    </w:p>
    <w:p w:rsidR="009A1E5A" w:rsidRPr="00E90AF4" w:rsidRDefault="009A1E5A" w:rsidP="009A1E5A">
      <w:pPr>
        <w:pStyle w:val="Abbreviation"/>
      </w:pPr>
      <w:proofErr w:type="spellStart"/>
      <w:r w:rsidRPr="00E90AF4">
        <w:t>AER</w:t>
      </w:r>
      <w:proofErr w:type="spellEnd"/>
      <w:r w:rsidRPr="00E90AF4">
        <w:tab/>
        <w:t>Australian Energy Regulator</w:t>
      </w:r>
    </w:p>
    <w:p w:rsidR="009A1E5A" w:rsidRDefault="009A1E5A" w:rsidP="009A1E5A">
      <w:pPr>
        <w:pStyle w:val="Abbreviation"/>
      </w:pPr>
      <w:r>
        <w:t>BCA</w:t>
      </w:r>
      <w:r>
        <w:tab/>
        <w:t>Building Code of Australia</w:t>
      </w:r>
    </w:p>
    <w:p w:rsidR="009A1E5A" w:rsidRDefault="009A1E5A" w:rsidP="009A1E5A">
      <w:pPr>
        <w:pStyle w:val="Abbreviation"/>
      </w:pPr>
      <w:r>
        <w:t>BOM</w:t>
      </w:r>
      <w:r>
        <w:tab/>
        <w:t>Bureau of Meteorology</w:t>
      </w:r>
    </w:p>
    <w:p w:rsidR="009A1E5A" w:rsidRDefault="009A1E5A" w:rsidP="009A1E5A">
      <w:pPr>
        <w:pStyle w:val="Abbreviation"/>
      </w:pPr>
      <w:r>
        <w:t>CAPP</w:t>
      </w:r>
      <w:r>
        <w:tab/>
        <w:t>Coastal Adaptation Decision Pathways Program</w:t>
      </w:r>
    </w:p>
    <w:p w:rsidR="009A1E5A" w:rsidRDefault="009A1E5A" w:rsidP="009A1E5A">
      <w:pPr>
        <w:pStyle w:val="Abbreviation"/>
      </w:pPr>
      <w:proofErr w:type="spellStart"/>
      <w:r w:rsidRPr="00E90AF4">
        <w:t>CIPMA</w:t>
      </w:r>
      <w:proofErr w:type="spellEnd"/>
      <w:r w:rsidRPr="00E90AF4">
        <w:tab/>
        <w:t>Critical Infrastructure Program for Modelling and Analysis</w:t>
      </w:r>
    </w:p>
    <w:p w:rsidR="009A1E5A" w:rsidRPr="00E90AF4" w:rsidRDefault="009A1E5A" w:rsidP="009A1E5A">
      <w:pPr>
        <w:pStyle w:val="Abbreviation"/>
      </w:pPr>
      <w:proofErr w:type="spellStart"/>
      <w:r w:rsidRPr="00E90AF4">
        <w:t>CGE</w:t>
      </w:r>
      <w:proofErr w:type="spellEnd"/>
      <w:r w:rsidRPr="00E90AF4">
        <w:tab/>
        <w:t>Computable General Equilibrium</w:t>
      </w:r>
    </w:p>
    <w:p w:rsidR="009A1E5A" w:rsidRDefault="009A1E5A" w:rsidP="009A1E5A">
      <w:pPr>
        <w:pStyle w:val="Abbreviation"/>
      </w:pPr>
      <w:r w:rsidRPr="00E90AF4">
        <w:t>COAG</w:t>
      </w:r>
      <w:r w:rsidRPr="00E90AF4">
        <w:tab/>
        <w:t>Council of Australian Governments</w:t>
      </w:r>
    </w:p>
    <w:p w:rsidR="009A1E5A" w:rsidRDefault="009A1E5A" w:rsidP="009A1E5A">
      <w:pPr>
        <w:pStyle w:val="Abbreviation"/>
      </w:pPr>
      <w:r>
        <w:t>CSIRO</w:t>
      </w:r>
      <w:r>
        <w:tab/>
        <w:t>Commonwealth Scientific and Industrial Research Organisation</w:t>
      </w:r>
    </w:p>
    <w:p w:rsidR="009A1E5A" w:rsidRPr="00E90AF4" w:rsidRDefault="009A1E5A" w:rsidP="009A1E5A">
      <w:pPr>
        <w:pStyle w:val="Abbreviation"/>
      </w:pPr>
      <w:r>
        <w:t>DCCEE</w:t>
      </w:r>
      <w:r>
        <w:tab/>
        <w:t>Department of Climate Change and Energy Efficiency</w:t>
      </w:r>
    </w:p>
    <w:p w:rsidR="009A1E5A" w:rsidRPr="00E90AF4" w:rsidRDefault="009A1E5A" w:rsidP="009A1E5A">
      <w:pPr>
        <w:pStyle w:val="Abbreviation"/>
      </w:pPr>
      <w:r w:rsidRPr="00E90AF4">
        <w:t>GDP</w:t>
      </w:r>
      <w:r w:rsidRPr="00E90AF4">
        <w:tab/>
        <w:t>Gross Domestic Product</w:t>
      </w:r>
    </w:p>
    <w:p w:rsidR="009A1E5A" w:rsidRPr="00E90AF4" w:rsidRDefault="009A1E5A" w:rsidP="009A1E5A">
      <w:pPr>
        <w:pStyle w:val="Abbreviation"/>
      </w:pPr>
      <w:proofErr w:type="spellStart"/>
      <w:r w:rsidRPr="00E90AF4">
        <w:t>GIAM</w:t>
      </w:r>
      <w:proofErr w:type="spellEnd"/>
      <w:r w:rsidRPr="00E90AF4">
        <w:tab/>
        <w:t>Global Integrated Assessment Model</w:t>
      </w:r>
    </w:p>
    <w:p w:rsidR="009A1E5A" w:rsidRDefault="009A1E5A" w:rsidP="009A1E5A">
      <w:pPr>
        <w:pStyle w:val="Abbreviation"/>
      </w:pPr>
      <w:proofErr w:type="spellStart"/>
      <w:r w:rsidRPr="00E90AF4">
        <w:t>GTAP</w:t>
      </w:r>
      <w:proofErr w:type="spellEnd"/>
      <w:r w:rsidRPr="00E90AF4">
        <w:tab/>
        <w:t>Global Trade Analysis Project</w:t>
      </w:r>
    </w:p>
    <w:p w:rsidR="009A1E5A" w:rsidRPr="00E90AF4" w:rsidRDefault="009A1E5A" w:rsidP="009A1E5A">
      <w:pPr>
        <w:pStyle w:val="Abbreviation"/>
      </w:pPr>
      <w:proofErr w:type="spellStart"/>
      <w:r>
        <w:t>GTEM</w:t>
      </w:r>
      <w:proofErr w:type="spellEnd"/>
      <w:r>
        <w:tab/>
        <w:t>Global Trade and Environment Model</w:t>
      </w:r>
    </w:p>
    <w:p w:rsidR="009A1E5A" w:rsidRDefault="009A1E5A" w:rsidP="009A1E5A">
      <w:pPr>
        <w:pStyle w:val="Abbreviation"/>
      </w:pPr>
      <w:proofErr w:type="spellStart"/>
      <w:r w:rsidRPr="00E90AF4">
        <w:t>IAM</w:t>
      </w:r>
      <w:proofErr w:type="spellEnd"/>
      <w:r w:rsidRPr="00E90AF4">
        <w:tab/>
        <w:t>Integrated Assessment Models</w:t>
      </w:r>
    </w:p>
    <w:p w:rsidR="009A1E5A" w:rsidRPr="00E90AF4" w:rsidRDefault="009A1E5A" w:rsidP="009A1E5A">
      <w:pPr>
        <w:pStyle w:val="Abbreviation"/>
      </w:pPr>
      <w:r>
        <w:t>ICES</w:t>
      </w:r>
      <w:r>
        <w:tab/>
        <w:t>Inter</w:t>
      </w:r>
      <w:r>
        <w:noBreakHyphen/>
      </w:r>
      <w:r w:rsidRPr="003F055F">
        <w:t>temporal Computable Equilibrium System</w:t>
      </w:r>
    </w:p>
    <w:p w:rsidR="009A1E5A" w:rsidRDefault="009A1E5A" w:rsidP="009A1E5A">
      <w:pPr>
        <w:pStyle w:val="Abbreviation"/>
      </w:pPr>
      <w:proofErr w:type="spellStart"/>
      <w:r w:rsidRPr="00E90AF4">
        <w:t>IPCC</w:t>
      </w:r>
      <w:proofErr w:type="spellEnd"/>
      <w:r w:rsidRPr="00E90AF4">
        <w:tab/>
        <w:t>Intergovernmental Panel on Climate Change</w:t>
      </w:r>
    </w:p>
    <w:p w:rsidR="009A1E5A" w:rsidRDefault="009A1E5A" w:rsidP="009A1E5A">
      <w:pPr>
        <w:pStyle w:val="Abbreviation"/>
      </w:pPr>
      <w:r>
        <w:t>LAPP</w:t>
      </w:r>
      <w:r>
        <w:tab/>
        <w:t>Local Adaptation Pathways Program</w:t>
      </w:r>
    </w:p>
    <w:p w:rsidR="009A1E5A" w:rsidRPr="00E90AF4" w:rsidRDefault="009A1E5A" w:rsidP="009A1E5A">
      <w:pPr>
        <w:pStyle w:val="Abbreviation"/>
      </w:pPr>
      <w:proofErr w:type="spellStart"/>
      <w:r>
        <w:t>LRP</w:t>
      </w:r>
      <w:proofErr w:type="spellEnd"/>
      <w:r>
        <w:tab/>
        <w:t>Legislative Review Program</w:t>
      </w:r>
    </w:p>
    <w:p w:rsidR="009A1E5A" w:rsidRDefault="009A1E5A" w:rsidP="009A1E5A">
      <w:pPr>
        <w:pStyle w:val="Abbreviation"/>
      </w:pPr>
      <w:proofErr w:type="spellStart"/>
      <w:r w:rsidRPr="00E90AF4">
        <w:t>MMRF</w:t>
      </w:r>
      <w:proofErr w:type="spellEnd"/>
      <w:r w:rsidRPr="00E90AF4">
        <w:tab/>
        <w:t>Monash Multi-Region Forecasting</w:t>
      </w:r>
    </w:p>
    <w:p w:rsidR="009A1E5A" w:rsidRDefault="009A1E5A" w:rsidP="009A1E5A">
      <w:pPr>
        <w:pStyle w:val="Abbreviation"/>
      </w:pPr>
      <w:proofErr w:type="spellStart"/>
      <w:r>
        <w:t>NCC</w:t>
      </w:r>
      <w:proofErr w:type="spellEnd"/>
      <w:r>
        <w:tab/>
        <w:t>National Construction Code</w:t>
      </w:r>
    </w:p>
    <w:p w:rsidR="009A1E5A" w:rsidRPr="00E90AF4" w:rsidRDefault="009A1E5A" w:rsidP="009A1E5A">
      <w:pPr>
        <w:pStyle w:val="Abbreviation"/>
      </w:pPr>
      <w:proofErr w:type="spellStart"/>
      <w:r>
        <w:t>NCCARF</w:t>
      </w:r>
      <w:proofErr w:type="spellEnd"/>
      <w:r>
        <w:tab/>
        <w:t>National Climate Change Adaptation Research Facility</w:t>
      </w:r>
    </w:p>
    <w:p w:rsidR="009A1E5A" w:rsidRPr="00E90AF4" w:rsidRDefault="009A1E5A" w:rsidP="009A1E5A">
      <w:pPr>
        <w:pStyle w:val="Abbreviation"/>
      </w:pPr>
      <w:proofErr w:type="spellStart"/>
      <w:r w:rsidRPr="00E90AF4">
        <w:lastRenderedPageBreak/>
        <w:t>NDRRA</w:t>
      </w:r>
      <w:proofErr w:type="spellEnd"/>
      <w:r w:rsidRPr="00E90AF4">
        <w:tab/>
        <w:t>Natural Disaster Relief and Recovery Arrangements</w:t>
      </w:r>
    </w:p>
    <w:p w:rsidR="009A1E5A" w:rsidRDefault="009A1E5A" w:rsidP="009A1E5A">
      <w:pPr>
        <w:pStyle w:val="Abbreviation"/>
      </w:pPr>
      <w:proofErr w:type="spellStart"/>
      <w:r>
        <w:t>NPA</w:t>
      </w:r>
      <w:r>
        <w:noBreakHyphen/>
        <w:t>NDR</w:t>
      </w:r>
      <w:proofErr w:type="spellEnd"/>
      <w:r>
        <w:tab/>
        <w:t>National Partnership Agreement on Natural Disaster Resilience</w:t>
      </w:r>
    </w:p>
    <w:p w:rsidR="009A1E5A" w:rsidRPr="00E90AF4" w:rsidRDefault="009A1E5A" w:rsidP="009A1E5A">
      <w:pPr>
        <w:pStyle w:val="Abbreviation"/>
      </w:pPr>
      <w:r w:rsidRPr="00E90AF4">
        <w:t>OECD</w:t>
      </w:r>
      <w:r w:rsidRPr="00E90AF4">
        <w:tab/>
        <w:t>Organisation for Economic Co-operation and Development</w:t>
      </w:r>
    </w:p>
    <w:p w:rsidR="009A1E5A" w:rsidRPr="00E90AF4" w:rsidRDefault="009A1E5A" w:rsidP="009A1E5A">
      <w:pPr>
        <w:pStyle w:val="Abbreviation"/>
      </w:pPr>
      <w:r w:rsidRPr="00E90AF4">
        <w:t>PC</w:t>
      </w:r>
      <w:r w:rsidRPr="00E90AF4">
        <w:tab/>
        <w:t>Productivity Commission</w:t>
      </w:r>
    </w:p>
    <w:p w:rsidR="009A1E5A" w:rsidRPr="00E90AF4" w:rsidRDefault="009A1E5A" w:rsidP="009A1E5A">
      <w:pPr>
        <w:pStyle w:val="Abbreviation"/>
      </w:pPr>
      <w:r w:rsidRPr="00E90AF4">
        <w:t>PE</w:t>
      </w:r>
      <w:r w:rsidRPr="00E90AF4">
        <w:tab/>
        <w:t>Partial Equilibrium</w:t>
      </w:r>
    </w:p>
    <w:p w:rsidR="009A1E5A" w:rsidRDefault="009A1E5A" w:rsidP="009A1E5A">
      <w:pPr>
        <w:pStyle w:val="Abbreviation"/>
      </w:pPr>
      <w:proofErr w:type="spellStart"/>
      <w:r>
        <w:t>RIS</w:t>
      </w:r>
      <w:proofErr w:type="spellEnd"/>
      <w:r>
        <w:tab/>
        <w:t>Regulation Impact Statement</w:t>
      </w:r>
    </w:p>
    <w:p w:rsidR="009A1E5A" w:rsidRDefault="009A1E5A" w:rsidP="009A1E5A">
      <w:pPr>
        <w:pStyle w:val="Abbreviation"/>
      </w:pPr>
      <w:proofErr w:type="spellStart"/>
      <w:r>
        <w:t>SCCC</w:t>
      </w:r>
      <w:proofErr w:type="spellEnd"/>
      <w:r>
        <w:tab/>
        <w:t>Select Council on Climate Change</w:t>
      </w:r>
    </w:p>
    <w:p w:rsidR="009A1E5A" w:rsidRPr="00E90AF4" w:rsidRDefault="009A1E5A" w:rsidP="009A1E5A">
      <w:pPr>
        <w:pStyle w:val="Abbreviation"/>
      </w:pPr>
      <w:proofErr w:type="spellStart"/>
      <w:r w:rsidRPr="00E90AF4">
        <w:t>TISN</w:t>
      </w:r>
      <w:proofErr w:type="spellEnd"/>
      <w:r w:rsidRPr="00E90AF4">
        <w:tab/>
        <w:t>Trusted Information Sharing Network</w:t>
      </w:r>
    </w:p>
    <w:p w:rsidR="00B300CB" w:rsidRDefault="009A1E5A" w:rsidP="00B300CB">
      <w:pPr>
        <w:pStyle w:val="Abbreviation"/>
      </w:pPr>
      <w:proofErr w:type="spellStart"/>
      <w:r w:rsidRPr="00E90AF4">
        <w:t>UNDP</w:t>
      </w:r>
      <w:proofErr w:type="spellEnd"/>
      <w:r w:rsidRPr="00E90AF4">
        <w:tab/>
        <w:t>United Nations Development Programme</w:t>
      </w:r>
    </w:p>
    <w:p w:rsidR="000F2F5F" w:rsidRDefault="00B300CB" w:rsidP="00B300CB">
      <w:pPr>
        <w:pStyle w:val="Abbreviation"/>
      </w:pPr>
      <w:proofErr w:type="spellStart"/>
      <w:r>
        <w:t>UNFCCC</w:t>
      </w:r>
      <w:proofErr w:type="spellEnd"/>
      <w:r>
        <w:tab/>
      </w:r>
      <w:r w:rsidR="009A1E5A" w:rsidRPr="00E90AF4">
        <w:t>United Nations Framework Convention on Climate Change</w:t>
      </w:r>
    </w:p>
    <w:sectPr w:rsidR="000F2F5F" w:rsidSect="00C55A45">
      <w:headerReference w:type="even" r:id="rId27"/>
      <w:headerReference w:type="default" r:id="rId28"/>
      <w:footerReference w:type="even" r:id="rId29"/>
      <w:footerReference w:type="default" r:id="rId30"/>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278" w:rsidRDefault="00244278">
      <w:r>
        <w:separator/>
      </w:r>
    </w:p>
    <w:p w:rsidR="00244278" w:rsidRDefault="00244278"/>
    <w:p w:rsidR="00244278" w:rsidRDefault="00244278"/>
  </w:endnote>
  <w:endnote w:type="continuationSeparator" w:id="0">
    <w:p w:rsidR="00244278" w:rsidRDefault="00244278">
      <w:r>
        <w:continuationSeparator/>
      </w:r>
    </w:p>
    <w:p w:rsidR="00244278" w:rsidRDefault="00244278"/>
    <w:p w:rsidR="00244278" w:rsidRDefault="00244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145278"/>
      <w:docPartObj>
        <w:docPartGallery w:val="Page Numbers (Bottom of Page)"/>
        <w:docPartUnique/>
      </w:docPartObj>
    </w:sdtPr>
    <w:sdtEndPr>
      <w:rPr>
        <w:noProof/>
        <w:color w:val="FFFFFF" w:themeColor="background1"/>
        <w:sz w:val="2"/>
        <w:szCs w:val="2"/>
      </w:rPr>
    </w:sdtEndPr>
    <w:sdtContent>
      <w:p w:rsidR="00244278" w:rsidRPr="00AB1443" w:rsidRDefault="00244278">
        <w:pPr>
          <w:pStyle w:val="Footer"/>
          <w:rPr>
            <w:color w:val="FFFFFF" w:themeColor="background1"/>
            <w:sz w:val="2"/>
            <w:szCs w:val="2"/>
          </w:rPr>
        </w:pPr>
        <w:r w:rsidRPr="00AB1443">
          <w:rPr>
            <w:color w:val="FFFFFF" w:themeColor="background1"/>
            <w:sz w:val="2"/>
            <w:szCs w:val="2"/>
          </w:rPr>
          <w:fldChar w:fldCharType="begin"/>
        </w:r>
        <w:r w:rsidRPr="00AB1443">
          <w:rPr>
            <w:color w:val="FFFFFF" w:themeColor="background1"/>
            <w:sz w:val="2"/>
            <w:szCs w:val="2"/>
          </w:rPr>
          <w:instrText xml:space="preserve"> PAGE   \* MERGEFORMAT </w:instrText>
        </w:r>
        <w:r w:rsidRPr="00AB1443">
          <w:rPr>
            <w:color w:val="FFFFFF" w:themeColor="background1"/>
            <w:sz w:val="2"/>
            <w:szCs w:val="2"/>
          </w:rPr>
          <w:fldChar w:fldCharType="separate"/>
        </w:r>
        <w:r w:rsidR="00D71F50">
          <w:rPr>
            <w:noProof/>
            <w:color w:val="FFFFFF" w:themeColor="background1"/>
            <w:sz w:val="2"/>
            <w:szCs w:val="2"/>
          </w:rPr>
          <w:t>2</w:t>
        </w:r>
        <w:r w:rsidRPr="00AB1443">
          <w:rPr>
            <w:noProof/>
            <w:color w:val="FFFFFF" w:themeColor="background1"/>
            <w:sz w:val="2"/>
            <w:szCs w:val="2"/>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244278" w:rsidTr="008F7DB7">
      <w:trPr>
        <w:trHeight w:hRule="exact" w:val="740"/>
      </w:trPr>
      <w:tc>
        <w:tcPr>
          <w:tcW w:w="510" w:type="dxa"/>
          <w:tcBorders>
            <w:top w:val="single" w:sz="6" w:space="0" w:color="auto"/>
          </w:tcBorders>
        </w:tcPr>
        <w:p w:rsidR="00244278" w:rsidRPr="00C55A45" w:rsidRDefault="00244278">
          <w:pPr>
            <w:pStyle w:val="Footer"/>
            <w:rPr>
              <w:rStyle w:val="PageNumber"/>
              <w:caps w:val="0"/>
              <w:noProof/>
            </w:rPr>
          </w:pPr>
          <w:r>
            <w:rPr>
              <w:rStyle w:val="PageNumber"/>
              <w:caps w:val="0"/>
              <w:noProof/>
            </w:rPr>
            <w:t>xii</w:t>
          </w:r>
        </w:p>
      </w:tc>
      <w:tc>
        <w:tcPr>
          <w:tcW w:w="1758" w:type="dxa"/>
          <w:tcBorders>
            <w:top w:val="single" w:sz="6" w:space="0" w:color="auto"/>
          </w:tcBorders>
        </w:tcPr>
        <w:p w:rsidR="00244278" w:rsidRDefault="00244278">
          <w:pPr>
            <w:pStyle w:val="Footer"/>
            <w:rPr>
              <w:noProof/>
            </w:rPr>
          </w:pPr>
          <w:r>
            <w:rPr>
              <w:noProof/>
            </w:rPr>
            <w:t>Abbreviations</w:t>
          </w:r>
        </w:p>
      </w:tc>
      <w:tc>
        <w:tcPr>
          <w:tcW w:w="6634" w:type="dxa"/>
        </w:tcPr>
        <w:p w:rsidR="00244278" w:rsidRDefault="00244278">
          <w:pPr>
            <w:pStyle w:val="Footer"/>
            <w:rPr>
              <w:caps w:val="0"/>
            </w:rPr>
          </w:pPr>
        </w:p>
      </w:tc>
    </w:tr>
  </w:tbl>
  <w:p w:rsidR="00244278" w:rsidRDefault="00244278">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244278">
      <w:trPr>
        <w:trHeight w:hRule="exact" w:val="740"/>
      </w:trPr>
      <w:tc>
        <w:tcPr>
          <w:tcW w:w="6663" w:type="dxa"/>
        </w:tcPr>
        <w:p w:rsidR="00244278" w:rsidRDefault="00244278">
          <w:pPr>
            <w:pStyle w:val="Footer"/>
          </w:pPr>
        </w:p>
      </w:tc>
      <w:tc>
        <w:tcPr>
          <w:tcW w:w="1615" w:type="dxa"/>
          <w:tcBorders>
            <w:top w:val="single" w:sz="6" w:space="0" w:color="auto"/>
          </w:tcBorders>
        </w:tcPr>
        <w:p w:rsidR="00244278" w:rsidRDefault="00244278">
          <w:pPr>
            <w:pStyle w:val="Footer"/>
            <w:rPr>
              <w:rStyle w:val="PageNumber"/>
              <w:b w:val="0"/>
            </w:rPr>
          </w:pPr>
          <w:r>
            <w:rPr>
              <w:noProof/>
            </w:rPr>
            <w:t>Abbreviations</w:t>
          </w:r>
        </w:p>
      </w:tc>
      <w:tc>
        <w:tcPr>
          <w:tcW w:w="510" w:type="dxa"/>
          <w:tcBorders>
            <w:top w:val="single" w:sz="6" w:space="0" w:color="auto"/>
          </w:tcBorders>
        </w:tcPr>
        <w:p w:rsidR="00244278" w:rsidRPr="00E15FDC" w:rsidRDefault="00244278">
          <w:pPr>
            <w:pStyle w:val="Footer"/>
            <w:jc w:val="right"/>
            <w:rPr>
              <w:rStyle w:val="PageNumber"/>
              <w:caps w:val="0"/>
            </w:rPr>
          </w:pPr>
          <w:r>
            <w:rPr>
              <w:rStyle w:val="PageNumber"/>
              <w:caps w:val="0"/>
              <w:noProof/>
            </w:rPr>
            <w:t>xi</w:t>
          </w:r>
        </w:p>
      </w:tc>
    </w:tr>
  </w:tbl>
  <w:p w:rsidR="00244278" w:rsidRDefault="00244278"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FFFFFF" w:themeColor="background1"/>
        <w:sz w:val="2"/>
        <w:szCs w:val="2"/>
      </w:rPr>
      <w:id w:val="1144620812"/>
      <w:docPartObj>
        <w:docPartGallery w:val="Page Numbers (Bottom of Page)"/>
        <w:docPartUnique/>
      </w:docPartObj>
    </w:sdtPr>
    <w:sdtEndPr>
      <w:rPr>
        <w:noProof/>
      </w:rPr>
    </w:sdtEndPr>
    <w:sdtContent>
      <w:p w:rsidR="00244278" w:rsidRPr="00AB1443" w:rsidRDefault="00244278">
        <w:pPr>
          <w:pStyle w:val="Footer"/>
          <w:rPr>
            <w:color w:val="FFFFFF" w:themeColor="background1"/>
            <w:sz w:val="2"/>
            <w:szCs w:val="2"/>
          </w:rPr>
        </w:pPr>
        <w:r w:rsidRPr="00AB1443">
          <w:rPr>
            <w:color w:val="FFFFFF" w:themeColor="background1"/>
            <w:sz w:val="2"/>
            <w:szCs w:val="2"/>
          </w:rPr>
          <w:fldChar w:fldCharType="begin"/>
        </w:r>
        <w:r w:rsidRPr="00AB1443">
          <w:rPr>
            <w:color w:val="FFFFFF" w:themeColor="background1"/>
            <w:sz w:val="2"/>
            <w:szCs w:val="2"/>
          </w:rPr>
          <w:instrText xml:space="preserve"> PAGE   \* MERGEFORMAT </w:instrText>
        </w:r>
        <w:r w:rsidRPr="00AB1443">
          <w:rPr>
            <w:color w:val="FFFFFF" w:themeColor="background1"/>
            <w:sz w:val="2"/>
            <w:szCs w:val="2"/>
          </w:rPr>
          <w:fldChar w:fldCharType="separate"/>
        </w:r>
        <w:r w:rsidR="00D71F50">
          <w:rPr>
            <w:noProof/>
            <w:color w:val="FFFFFF" w:themeColor="background1"/>
            <w:sz w:val="2"/>
            <w:szCs w:val="2"/>
          </w:rPr>
          <w:t>1</w:t>
        </w:r>
        <w:r w:rsidRPr="00AB1443">
          <w:rPr>
            <w:noProof/>
            <w:color w:val="FFFFFF" w:themeColor="background1"/>
            <w:sz w:val="2"/>
            <w:szCs w:val="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44278">
      <w:trPr>
        <w:trHeight w:hRule="exact" w:val="740"/>
      </w:trPr>
      <w:tc>
        <w:tcPr>
          <w:tcW w:w="510" w:type="dxa"/>
          <w:tcBorders>
            <w:top w:val="single" w:sz="6" w:space="0" w:color="auto"/>
          </w:tcBorders>
        </w:tcPr>
        <w:p w:rsidR="00244278" w:rsidRPr="009A1E5A" w:rsidRDefault="00244278">
          <w:pPr>
            <w:pStyle w:val="Footer"/>
            <w:tabs>
              <w:tab w:val="left" w:pos="0"/>
            </w:tabs>
            <w:ind w:right="0"/>
            <w:rPr>
              <w:rStyle w:val="PageNumber"/>
              <w:b w:val="0"/>
              <w:caps w:val="0"/>
            </w:rPr>
          </w:pPr>
          <w:r>
            <w:rPr>
              <w:rStyle w:val="PageNumber"/>
              <w:caps w:val="0"/>
              <w:noProof/>
            </w:rPr>
            <w:t>iv</w:t>
          </w:r>
        </w:p>
      </w:tc>
      <w:tc>
        <w:tcPr>
          <w:tcW w:w="1644" w:type="dxa"/>
          <w:tcBorders>
            <w:top w:val="single" w:sz="6" w:space="0" w:color="auto"/>
          </w:tcBorders>
        </w:tcPr>
        <w:p w:rsidR="00244278" w:rsidRPr="00A55177" w:rsidRDefault="00244278">
          <w:pPr>
            <w:pStyle w:val="Footer"/>
          </w:pPr>
          <w:r w:rsidRPr="00CF1789">
            <w:rPr>
              <w:bCs/>
              <w:noProof/>
              <w:lang w:val="en-US"/>
            </w:rPr>
            <w:t>Terms of reference</w:t>
          </w:r>
        </w:p>
      </w:tc>
      <w:tc>
        <w:tcPr>
          <w:tcW w:w="6634" w:type="dxa"/>
        </w:tcPr>
        <w:p w:rsidR="00244278" w:rsidRDefault="00244278">
          <w:pPr>
            <w:pStyle w:val="Footer"/>
          </w:pPr>
        </w:p>
      </w:tc>
    </w:tr>
  </w:tbl>
  <w:p w:rsidR="00244278" w:rsidRDefault="00244278">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244278">
      <w:trPr>
        <w:trHeight w:hRule="exact" w:val="740"/>
      </w:trPr>
      <w:tc>
        <w:tcPr>
          <w:tcW w:w="6480" w:type="dxa"/>
        </w:tcPr>
        <w:p w:rsidR="00244278" w:rsidRDefault="00244278">
          <w:pPr>
            <w:pStyle w:val="Footer"/>
          </w:pPr>
        </w:p>
      </w:tc>
      <w:tc>
        <w:tcPr>
          <w:tcW w:w="1798" w:type="dxa"/>
          <w:tcBorders>
            <w:top w:val="single" w:sz="6" w:space="0" w:color="auto"/>
          </w:tcBorders>
        </w:tcPr>
        <w:p w:rsidR="00244278" w:rsidRPr="002D7C67" w:rsidRDefault="00244278">
          <w:pPr>
            <w:pStyle w:val="Footer"/>
            <w:rPr>
              <w:rStyle w:val="PageNumber"/>
            </w:rPr>
          </w:pPr>
          <w:r w:rsidRPr="00B64F13">
            <w:rPr>
              <w:bCs/>
              <w:noProof/>
            </w:rPr>
            <w:t>Terms of</w:t>
          </w:r>
          <w:r>
            <w:rPr>
              <w:bCs/>
              <w:noProof/>
            </w:rPr>
            <w:br/>
          </w:r>
          <w:r w:rsidRPr="00B64F13">
            <w:rPr>
              <w:bCs/>
              <w:noProof/>
            </w:rPr>
            <w:t xml:space="preserve"> reference</w:t>
          </w:r>
        </w:p>
      </w:tc>
      <w:tc>
        <w:tcPr>
          <w:tcW w:w="510" w:type="dxa"/>
          <w:tcBorders>
            <w:top w:val="single" w:sz="6" w:space="0" w:color="auto"/>
          </w:tcBorders>
        </w:tcPr>
        <w:p w:rsidR="00244278" w:rsidRPr="0017539D" w:rsidRDefault="00244278" w:rsidP="009A1E5A">
          <w:pPr>
            <w:pStyle w:val="Footer"/>
            <w:jc w:val="right"/>
            <w:rPr>
              <w:rStyle w:val="PageNumber"/>
            </w:rPr>
          </w:pPr>
          <w:r>
            <w:rPr>
              <w:rStyle w:val="PageNumber"/>
              <w:caps w:val="0"/>
              <w:noProof/>
            </w:rPr>
            <w:t>v</w:t>
          </w:r>
        </w:p>
      </w:tc>
    </w:tr>
  </w:tbl>
  <w:p w:rsidR="00244278" w:rsidRDefault="00244278">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44278">
      <w:trPr>
        <w:trHeight w:hRule="exact" w:val="740"/>
      </w:trPr>
      <w:tc>
        <w:tcPr>
          <w:tcW w:w="510" w:type="dxa"/>
          <w:tcBorders>
            <w:top w:val="single" w:sz="6" w:space="0" w:color="auto"/>
          </w:tcBorders>
        </w:tcPr>
        <w:p w:rsidR="00244278" w:rsidRPr="008206EE" w:rsidRDefault="00686203">
          <w:pPr>
            <w:pStyle w:val="Footer"/>
            <w:rPr>
              <w:rStyle w:val="PageNumber"/>
              <w:caps w:val="0"/>
            </w:rPr>
          </w:pPr>
          <w:r>
            <w:rPr>
              <w:rStyle w:val="PageNumber"/>
              <w:caps w:val="0"/>
              <w:noProof/>
            </w:rPr>
            <w:t>viii</w:t>
          </w:r>
        </w:p>
      </w:tc>
      <w:tc>
        <w:tcPr>
          <w:tcW w:w="1644" w:type="dxa"/>
          <w:tcBorders>
            <w:top w:val="single" w:sz="6" w:space="0" w:color="auto"/>
          </w:tcBorders>
        </w:tcPr>
        <w:p w:rsidR="00244278" w:rsidRDefault="00244278">
          <w:pPr>
            <w:pStyle w:val="Footer"/>
          </w:pPr>
          <w:r>
            <w:rPr>
              <w:noProof/>
            </w:rPr>
            <w:t>Contents</w:t>
          </w:r>
        </w:p>
      </w:tc>
      <w:tc>
        <w:tcPr>
          <w:tcW w:w="6634" w:type="dxa"/>
        </w:tcPr>
        <w:p w:rsidR="00244278" w:rsidRDefault="00244278">
          <w:pPr>
            <w:pStyle w:val="Footer"/>
            <w:rPr>
              <w:caps w:val="0"/>
            </w:rPr>
          </w:pPr>
        </w:p>
      </w:tc>
    </w:tr>
  </w:tbl>
  <w:p w:rsidR="00244278" w:rsidRDefault="00244278">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244278">
      <w:trPr>
        <w:trHeight w:hRule="exact" w:val="740"/>
      </w:trPr>
      <w:tc>
        <w:tcPr>
          <w:tcW w:w="6480" w:type="dxa"/>
        </w:tcPr>
        <w:p w:rsidR="00244278" w:rsidRDefault="00244278">
          <w:pPr>
            <w:pStyle w:val="Footer"/>
          </w:pPr>
        </w:p>
      </w:tc>
      <w:tc>
        <w:tcPr>
          <w:tcW w:w="1798" w:type="dxa"/>
          <w:tcBorders>
            <w:top w:val="single" w:sz="6" w:space="0" w:color="auto"/>
          </w:tcBorders>
        </w:tcPr>
        <w:p w:rsidR="00244278" w:rsidRPr="002D7C67" w:rsidRDefault="00244278">
          <w:pPr>
            <w:pStyle w:val="Footer"/>
            <w:rPr>
              <w:rStyle w:val="PageNumber"/>
            </w:rPr>
          </w:pPr>
          <w:r>
            <w:rPr>
              <w:bCs/>
              <w:noProof/>
            </w:rPr>
            <w:t>CONTENTS</w:t>
          </w:r>
        </w:p>
      </w:tc>
      <w:tc>
        <w:tcPr>
          <w:tcW w:w="510" w:type="dxa"/>
          <w:tcBorders>
            <w:top w:val="single" w:sz="6" w:space="0" w:color="auto"/>
          </w:tcBorders>
        </w:tcPr>
        <w:p w:rsidR="00244278" w:rsidRPr="0017539D" w:rsidRDefault="00686203" w:rsidP="009A1E5A">
          <w:pPr>
            <w:pStyle w:val="Footer"/>
            <w:jc w:val="right"/>
            <w:rPr>
              <w:rStyle w:val="PageNumber"/>
            </w:rPr>
          </w:pPr>
          <w:r>
            <w:rPr>
              <w:rStyle w:val="PageNumber"/>
              <w:caps w:val="0"/>
              <w:noProof/>
            </w:rPr>
            <w:t>vii</w:t>
          </w:r>
        </w:p>
      </w:tc>
    </w:tr>
  </w:tbl>
  <w:p w:rsidR="00244278" w:rsidRDefault="00244278">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86203">
      <w:trPr>
        <w:trHeight w:hRule="exact" w:val="740"/>
      </w:trPr>
      <w:tc>
        <w:tcPr>
          <w:tcW w:w="510" w:type="dxa"/>
          <w:tcBorders>
            <w:top w:val="single" w:sz="6" w:space="0" w:color="auto"/>
          </w:tcBorders>
        </w:tcPr>
        <w:p w:rsidR="00686203" w:rsidRPr="008206EE" w:rsidRDefault="00686203">
          <w:pPr>
            <w:pStyle w:val="Footer"/>
            <w:rPr>
              <w:rStyle w:val="PageNumber"/>
              <w:caps w:val="0"/>
            </w:rPr>
          </w:pPr>
          <w:r>
            <w:rPr>
              <w:rStyle w:val="PageNumber"/>
              <w:caps w:val="0"/>
              <w:noProof/>
            </w:rPr>
            <w:t>viii</w:t>
          </w:r>
        </w:p>
      </w:tc>
      <w:tc>
        <w:tcPr>
          <w:tcW w:w="1644" w:type="dxa"/>
          <w:tcBorders>
            <w:top w:val="single" w:sz="6" w:space="0" w:color="auto"/>
          </w:tcBorders>
        </w:tcPr>
        <w:p w:rsidR="00686203" w:rsidRDefault="00686203">
          <w:pPr>
            <w:pStyle w:val="Footer"/>
          </w:pPr>
          <w:r>
            <w:rPr>
              <w:noProof/>
            </w:rPr>
            <w:t>Contents</w:t>
          </w:r>
        </w:p>
      </w:tc>
      <w:tc>
        <w:tcPr>
          <w:tcW w:w="6634" w:type="dxa"/>
        </w:tcPr>
        <w:p w:rsidR="00686203" w:rsidRDefault="00686203">
          <w:pPr>
            <w:pStyle w:val="Footer"/>
            <w:rPr>
              <w:caps w:val="0"/>
            </w:rPr>
          </w:pPr>
        </w:p>
      </w:tc>
    </w:tr>
  </w:tbl>
  <w:p w:rsidR="00686203" w:rsidRDefault="00686203">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686203">
      <w:trPr>
        <w:trHeight w:hRule="exact" w:val="740"/>
      </w:trPr>
      <w:tc>
        <w:tcPr>
          <w:tcW w:w="6480" w:type="dxa"/>
        </w:tcPr>
        <w:p w:rsidR="00686203" w:rsidRDefault="00686203">
          <w:pPr>
            <w:pStyle w:val="Footer"/>
          </w:pPr>
        </w:p>
      </w:tc>
      <w:tc>
        <w:tcPr>
          <w:tcW w:w="1798" w:type="dxa"/>
          <w:tcBorders>
            <w:top w:val="single" w:sz="6" w:space="0" w:color="auto"/>
          </w:tcBorders>
        </w:tcPr>
        <w:p w:rsidR="00686203" w:rsidRPr="002D7C67" w:rsidRDefault="00686203">
          <w:pPr>
            <w:pStyle w:val="Footer"/>
            <w:rPr>
              <w:rStyle w:val="PageNumber"/>
            </w:rPr>
          </w:pPr>
          <w:r>
            <w:rPr>
              <w:bCs/>
              <w:noProof/>
            </w:rPr>
            <w:t>CONTENTS</w:t>
          </w:r>
        </w:p>
      </w:tc>
      <w:tc>
        <w:tcPr>
          <w:tcW w:w="510" w:type="dxa"/>
          <w:tcBorders>
            <w:top w:val="single" w:sz="6" w:space="0" w:color="auto"/>
          </w:tcBorders>
        </w:tcPr>
        <w:p w:rsidR="00686203" w:rsidRPr="0017539D" w:rsidRDefault="00686203" w:rsidP="009A1E5A">
          <w:pPr>
            <w:pStyle w:val="Footer"/>
            <w:jc w:val="right"/>
            <w:rPr>
              <w:rStyle w:val="PageNumber"/>
            </w:rPr>
          </w:pPr>
          <w:r>
            <w:rPr>
              <w:rStyle w:val="PageNumber"/>
              <w:caps w:val="0"/>
              <w:noProof/>
            </w:rPr>
            <w:t>ix</w:t>
          </w:r>
        </w:p>
      </w:tc>
    </w:tr>
  </w:tbl>
  <w:p w:rsidR="00686203" w:rsidRDefault="00686203">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86203">
      <w:trPr>
        <w:trHeight w:hRule="exact" w:val="740"/>
      </w:trPr>
      <w:tc>
        <w:tcPr>
          <w:tcW w:w="510" w:type="dxa"/>
          <w:tcBorders>
            <w:top w:val="single" w:sz="6" w:space="0" w:color="auto"/>
          </w:tcBorders>
        </w:tcPr>
        <w:p w:rsidR="00686203" w:rsidRPr="008206EE" w:rsidRDefault="00686203">
          <w:pPr>
            <w:pStyle w:val="Footer"/>
            <w:rPr>
              <w:rStyle w:val="PageNumber"/>
              <w:caps w:val="0"/>
            </w:rPr>
          </w:pPr>
          <w:r>
            <w:rPr>
              <w:rStyle w:val="PageNumber"/>
              <w:caps w:val="0"/>
              <w:noProof/>
            </w:rPr>
            <w:t>x</w:t>
          </w:r>
        </w:p>
      </w:tc>
      <w:tc>
        <w:tcPr>
          <w:tcW w:w="1644" w:type="dxa"/>
          <w:tcBorders>
            <w:top w:val="single" w:sz="6" w:space="0" w:color="auto"/>
          </w:tcBorders>
        </w:tcPr>
        <w:p w:rsidR="00686203" w:rsidRDefault="00686203">
          <w:pPr>
            <w:pStyle w:val="Footer"/>
          </w:pPr>
          <w:r>
            <w:rPr>
              <w:noProof/>
            </w:rPr>
            <w:t>Contents</w:t>
          </w:r>
        </w:p>
      </w:tc>
      <w:tc>
        <w:tcPr>
          <w:tcW w:w="6634" w:type="dxa"/>
        </w:tcPr>
        <w:p w:rsidR="00686203" w:rsidRDefault="00686203">
          <w:pPr>
            <w:pStyle w:val="Footer"/>
            <w:rPr>
              <w:caps w:val="0"/>
            </w:rPr>
          </w:pPr>
        </w:p>
      </w:tc>
    </w:tr>
  </w:tbl>
  <w:p w:rsidR="00686203" w:rsidRDefault="0068620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278" w:rsidRDefault="00244278">
      <w:r>
        <w:separator/>
      </w:r>
    </w:p>
    <w:p w:rsidR="00244278" w:rsidRDefault="00244278"/>
    <w:p w:rsidR="00244278" w:rsidRDefault="00244278"/>
  </w:footnote>
  <w:footnote w:type="continuationSeparator" w:id="0">
    <w:p w:rsidR="00244278" w:rsidRDefault="00244278">
      <w:r>
        <w:continuationSeparator/>
      </w:r>
    </w:p>
    <w:p w:rsidR="00244278" w:rsidRDefault="00244278"/>
    <w:p w:rsidR="00244278" w:rsidRDefault="002442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44278">
      <w:tc>
        <w:tcPr>
          <w:tcW w:w="2155" w:type="dxa"/>
          <w:tcBorders>
            <w:top w:val="single" w:sz="24" w:space="0" w:color="auto"/>
          </w:tcBorders>
        </w:tcPr>
        <w:p w:rsidR="00244278" w:rsidRDefault="00244278">
          <w:pPr>
            <w:pStyle w:val="HeaderEven"/>
          </w:pPr>
        </w:p>
      </w:tc>
      <w:tc>
        <w:tcPr>
          <w:tcW w:w="6634" w:type="dxa"/>
          <w:tcBorders>
            <w:top w:val="single" w:sz="6" w:space="0" w:color="auto"/>
          </w:tcBorders>
        </w:tcPr>
        <w:p w:rsidR="00244278" w:rsidRDefault="00244278">
          <w:pPr>
            <w:pStyle w:val="HeaderEven"/>
          </w:pPr>
        </w:p>
      </w:tc>
    </w:tr>
  </w:tbl>
  <w:p w:rsidR="00244278" w:rsidRDefault="00244278">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44278">
      <w:tc>
        <w:tcPr>
          <w:tcW w:w="6634" w:type="dxa"/>
          <w:tcBorders>
            <w:top w:val="single" w:sz="6" w:space="0" w:color="auto"/>
          </w:tcBorders>
        </w:tcPr>
        <w:p w:rsidR="00244278" w:rsidRDefault="00244278" w:rsidP="00CF1789">
          <w:pPr>
            <w:pStyle w:val="HeaderEven"/>
          </w:pPr>
        </w:p>
      </w:tc>
      <w:tc>
        <w:tcPr>
          <w:tcW w:w="2155" w:type="dxa"/>
          <w:tcBorders>
            <w:top w:val="single" w:sz="24" w:space="0" w:color="auto"/>
          </w:tcBorders>
        </w:tcPr>
        <w:p w:rsidR="00244278" w:rsidRDefault="00244278" w:rsidP="00CF1789">
          <w:pPr>
            <w:pStyle w:val="HeaderEven"/>
          </w:pPr>
        </w:p>
      </w:tc>
    </w:tr>
  </w:tbl>
  <w:p w:rsidR="00244278" w:rsidRDefault="00244278">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244278">
      <w:tc>
        <w:tcPr>
          <w:tcW w:w="2155" w:type="dxa"/>
          <w:tcBorders>
            <w:top w:val="single" w:sz="24" w:space="0" w:color="auto"/>
          </w:tcBorders>
        </w:tcPr>
        <w:p w:rsidR="00244278" w:rsidRDefault="00244278">
          <w:pPr>
            <w:pStyle w:val="Header"/>
          </w:pPr>
        </w:p>
      </w:tc>
      <w:tc>
        <w:tcPr>
          <w:tcW w:w="6634" w:type="dxa"/>
          <w:tcBorders>
            <w:top w:val="single" w:sz="6" w:space="0" w:color="auto"/>
          </w:tcBorders>
        </w:tcPr>
        <w:p w:rsidR="00244278" w:rsidRDefault="00244278">
          <w:pPr>
            <w:pStyle w:val="Header"/>
          </w:pPr>
        </w:p>
      </w:tc>
    </w:tr>
  </w:tbl>
  <w:p w:rsidR="00244278" w:rsidRDefault="00244278">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44278" w:rsidTr="005C68FE">
      <w:tc>
        <w:tcPr>
          <w:tcW w:w="6634" w:type="dxa"/>
          <w:tcBorders>
            <w:top w:val="single" w:sz="6" w:space="0" w:color="auto"/>
          </w:tcBorders>
        </w:tcPr>
        <w:p w:rsidR="00244278" w:rsidRDefault="00244278" w:rsidP="005C68FE">
          <w:pPr>
            <w:pStyle w:val="HeaderOdd"/>
          </w:pPr>
        </w:p>
      </w:tc>
      <w:tc>
        <w:tcPr>
          <w:tcW w:w="2155" w:type="dxa"/>
          <w:tcBorders>
            <w:top w:val="single" w:sz="24" w:space="0" w:color="auto"/>
          </w:tcBorders>
        </w:tcPr>
        <w:p w:rsidR="00244278" w:rsidRDefault="00244278" w:rsidP="005C68FE">
          <w:pPr>
            <w:pStyle w:val="HeaderOdd"/>
          </w:pPr>
        </w:p>
      </w:tc>
    </w:tr>
  </w:tbl>
  <w:p w:rsidR="00244278" w:rsidRPr="005C68FE" w:rsidRDefault="00244278"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86203">
      <w:tc>
        <w:tcPr>
          <w:tcW w:w="2155" w:type="dxa"/>
          <w:tcBorders>
            <w:top w:val="single" w:sz="24" w:space="0" w:color="auto"/>
          </w:tcBorders>
        </w:tcPr>
        <w:p w:rsidR="00686203" w:rsidRDefault="00686203">
          <w:pPr>
            <w:pStyle w:val="Header"/>
          </w:pPr>
        </w:p>
      </w:tc>
      <w:tc>
        <w:tcPr>
          <w:tcW w:w="6634" w:type="dxa"/>
          <w:tcBorders>
            <w:top w:val="single" w:sz="6" w:space="0" w:color="auto"/>
          </w:tcBorders>
        </w:tcPr>
        <w:p w:rsidR="00686203" w:rsidRDefault="00686203">
          <w:pPr>
            <w:pStyle w:val="Header"/>
          </w:pPr>
        </w:p>
      </w:tc>
    </w:tr>
  </w:tbl>
  <w:p w:rsidR="00686203" w:rsidRDefault="00686203">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86203" w:rsidTr="005C68FE">
      <w:tc>
        <w:tcPr>
          <w:tcW w:w="6634" w:type="dxa"/>
          <w:tcBorders>
            <w:top w:val="single" w:sz="6" w:space="0" w:color="auto"/>
          </w:tcBorders>
        </w:tcPr>
        <w:p w:rsidR="00686203" w:rsidRDefault="00686203" w:rsidP="005C68FE">
          <w:pPr>
            <w:pStyle w:val="HeaderOdd"/>
          </w:pPr>
        </w:p>
      </w:tc>
      <w:tc>
        <w:tcPr>
          <w:tcW w:w="2155" w:type="dxa"/>
          <w:tcBorders>
            <w:top w:val="single" w:sz="24" w:space="0" w:color="auto"/>
          </w:tcBorders>
        </w:tcPr>
        <w:p w:rsidR="00686203" w:rsidRDefault="00686203" w:rsidP="005C68FE">
          <w:pPr>
            <w:pStyle w:val="HeaderOdd"/>
          </w:pPr>
        </w:p>
      </w:tc>
    </w:tr>
  </w:tbl>
  <w:p w:rsidR="00686203" w:rsidRPr="005C68FE" w:rsidRDefault="00686203"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86203">
      <w:tc>
        <w:tcPr>
          <w:tcW w:w="2155" w:type="dxa"/>
          <w:tcBorders>
            <w:top w:val="single" w:sz="24" w:space="0" w:color="auto"/>
          </w:tcBorders>
        </w:tcPr>
        <w:p w:rsidR="00686203" w:rsidRDefault="00686203">
          <w:pPr>
            <w:pStyle w:val="Header"/>
          </w:pPr>
        </w:p>
      </w:tc>
      <w:tc>
        <w:tcPr>
          <w:tcW w:w="6634" w:type="dxa"/>
          <w:tcBorders>
            <w:top w:val="single" w:sz="6" w:space="0" w:color="auto"/>
          </w:tcBorders>
        </w:tcPr>
        <w:p w:rsidR="00686203" w:rsidRDefault="00686203">
          <w:pPr>
            <w:pStyle w:val="Header"/>
          </w:pPr>
        </w:p>
      </w:tc>
    </w:tr>
  </w:tbl>
  <w:p w:rsidR="00686203" w:rsidRDefault="00686203">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44278" w:rsidTr="005C68FE">
      <w:tc>
        <w:tcPr>
          <w:tcW w:w="2155" w:type="dxa"/>
          <w:tcBorders>
            <w:top w:val="single" w:sz="24" w:space="0" w:color="auto"/>
          </w:tcBorders>
        </w:tcPr>
        <w:p w:rsidR="00244278" w:rsidRDefault="00244278" w:rsidP="005C68FE">
          <w:pPr>
            <w:pStyle w:val="HeaderEven"/>
          </w:pPr>
        </w:p>
      </w:tc>
      <w:tc>
        <w:tcPr>
          <w:tcW w:w="6634" w:type="dxa"/>
          <w:tcBorders>
            <w:top w:val="single" w:sz="6" w:space="0" w:color="auto"/>
          </w:tcBorders>
        </w:tcPr>
        <w:p w:rsidR="00244278" w:rsidRDefault="00244278" w:rsidP="005C68FE">
          <w:pPr>
            <w:pStyle w:val="HeaderEven"/>
          </w:pPr>
        </w:p>
      </w:tc>
    </w:tr>
  </w:tbl>
  <w:p w:rsidR="00244278" w:rsidRDefault="00244278"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44278">
      <w:tc>
        <w:tcPr>
          <w:tcW w:w="6634" w:type="dxa"/>
          <w:tcBorders>
            <w:top w:val="single" w:sz="6" w:space="0" w:color="auto"/>
          </w:tcBorders>
        </w:tcPr>
        <w:p w:rsidR="00244278" w:rsidRDefault="00244278">
          <w:pPr>
            <w:pStyle w:val="HeaderOdd"/>
          </w:pPr>
        </w:p>
      </w:tc>
      <w:tc>
        <w:tcPr>
          <w:tcW w:w="2155" w:type="dxa"/>
          <w:tcBorders>
            <w:top w:val="single" w:sz="24" w:space="0" w:color="auto"/>
          </w:tcBorders>
        </w:tcPr>
        <w:p w:rsidR="00244278" w:rsidRDefault="00244278">
          <w:pPr>
            <w:pStyle w:val="HeaderOdd"/>
          </w:pPr>
        </w:p>
      </w:tc>
    </w:tr>
  </w:tbl>
  <w:p w:rsidR="00244278" w:rsidRDefault="00244278"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E5A"/>
    <w:rsid w:val="00006BA7"/>
    <w:rsid w:val="00017AFC"/>
    <w:rsid w:val="00025878"/>
    <w:rsid w:val="00026B38"/>
    <w:rsid w:val="000502D3"/>
    <w:rsid w:val="000623BF"/>
    <w:rsid w:val="00071D07"/>
    <w:rsid w:val="00095EEA"/>
    <w:rsid w:val="00097C15"/>
    <w:rsid w:val="000B416E"/>
    <w:rsid w:val="000D74F7"/>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27319"/>
    <w:rsid w:val="00244278"/>
    <w:rsid w:val="00261607"/>
    <w:rsid w:val="00264D3B"/>
    <w:rsid w:val="00265685"/>
    <w:rsid w:val="00281D5F"/>
    <w:rsid w:val="002923AD"/>
    <w:rsid w:val="00296592"/>
    <w:rsid w:val="002A0A4B"/>
    <w:rsid w:val="002B636E"/>
    <w:rsid w:val="002B64D6"/>
    <w:rsid w:val="002C12F5"/>
    <w:rsid w:val="002D6FCE"/>
    <w:rsid w:val="002F752E"/>
    <w:rsid w:val="0030586D"/>
    <w:rsid w:val="00351FBC"/>
    <w:rsid w:val="003B41E0"/>
    <w:rsid w:val="003D624D"/>
    <w:rsid w:val="003E7802"/>
    <w:rsid w:val="00433C81"/>
    <w:rsid w:val="00446D6B"/>
    <w:rsid w:val="00457B3F"/>
    <w:rsid w:val="00463022"/>
    <w:rsid w:val="00481CF0"/>
    <w:rsid w:val="004B402E"/>
    <w:rsid w:val="004B492A"/>
    <w:rsid w:val="004C0B0C"/>
    <w:rsid w:val="004E52E2"/>
    <w:rsid w:val="004E6BB4"/>
    <w:rsid w:val="00515D43"/>
    <w:rsid w:val="0052544D"/>
    <w:rsid w:val="00551FB8"/>
    <w:rsid w:val="00560F43"/>
    <w:rsid w:val="005654D0"/>
    <w:rsid w:val="005B17AB"/>
    <w:rsid w:val="005C68FE"/>
    <w:rsid w:val="005E4F14"/>
    <w:rsid w:val="00602523"/>
    <w:rsid w:val="00604351"/>
    <w:rsid w:val="00607D8A"/>
    <w:rsid w:val="0061590F"/>
    <w:rsid w:val="00636497"/>
    <w:rsid w:val="00637C2F"/>
    <w:rsid w:val="00641AE2"/>
    <w:rsid w:val="0064456A"/>
    <w:rsid w:val="00650DDA"/>
    <w:rsid w:val="0065126A"/>
    <w:rsid w:val="006637BA"/>
    <w:rsid w:val="006802D4"/>
    <w:rsid w:val="00683849"/>
    <w:rsid w:val="00686203"/>
    <w:rsid w:val="00691AB5"/>
    <w:rsid w:val="006E1E6B"/>
    <w:rsid w:val="006F0EAC"/>
    <w:rsid w:val="006F6A85"/>
    <w:rsid w:val="0070328D"/>
    <w:rsid w:val="00731F96"/>
    <w:rsid w:val="00734127"/>
    <w:rsid w:val="00735FEA"/>
    <w:rsid w:val="00743460"/>
    <w:rsid w:val="00743A27"/>
    <w:rsid w:val="00753DC6"/>
    <w:rsid w:val="0075578C"/>
    <w:rsid w:val="00763211"/>
    <w:rsid w:val="00772865"/>
    <w:rsid w:val="007734B5"/>
    <w:rsid w:val="007809B8"/>
    <w:rsid w:val="007D43B4"/>
    <w:rsid w:val="008206EE"/>
    <w:rsid w:val="008214B1"/>
    <w:rsid w:val="00836ED7"/>
    <w:rsid w:val="008453AC"/>
    <w:rsid w:val="00860D09"/>
    <w:rsid w:val="00862044"/>
    <w:rsid w:val="008C305F"/>
    <w:rsid w:val="008C3AD2"/>
    <w:rsid w:val="008C7C3D"/>
    <w:rsid w:val="008D6F66"/>
    <w:rsid w:val="008E1BEA"/>
    <w:rsid w:val="008E43D2"/>
    <w:rsid w:val="008F04C9"/>
    <w:rsid w:val="008F7DB7"/>
    <w:rsid w:val="00901B6B"/>
    <w:rsid w:val="009064D3"/>
    <w:rsid w:val="00915300"/>
    <w:rsid w:val="009277AE"/>
    <w:rsid w:val="00933B0C"/>
    <w:rsid w:val="00935676"/>
    <w:rsid w:val="0098401D"/>
    <w:rsid w:val="009A1E5A"/>
    <w:rsid w:val="009A789F"/>
    <w:rsid w:val="009B12EF"/>
    <w:rsid w:val="009B6185"/>
    <w:rsid w:val="009E1E78"/>
    <w:rsid w:val="00A1597D"/>
    <w:rsid w:val="00A46989"/>
    <w:rsid w:val="00A71CE9"/>
    <w:rsid w:val="00A72A19"/>
    <w:rsid w:val="00A75A30"/>
    <w:rsid w:val="00AB1443"/>
    <w:rsid w:val="00AB2A48"/>
    <w:rsid w:val="00AC3236"/>
    <w:rsid w:val="00AD4874"/>
    <w:rsid w:val="00AE1F8A"/>
    <w:rsid w:val="00B036B2"/>
    <w:rsid w:val="00B153C3"/>
    <w:rsid w:val="00B22087"/>
    <w:rsid w:val="00B300CB"/>
    <w:rsid w:val="00B64F13"/>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E5D96"/>
    <w:rsid w:val="00CE7344"/>
    <w:rsid w:val="00CE741D"/>
    <w:rsid w:val="00CF1789"/>
    <w:rsid w:val="00CF26EE"/>
    <w:rsid w:val="00D02689"/>
    <w:rsid w:val="00D310F0"/>
    <w:rsid w:val="00D500A9"/>
    <w:rsid w:val="00D64121"/>
    <w:rsid w:val="00D71F50"/>
    <w:rsid w:val="00D732FE"/>
    <w:rsid w:val="00D772E9"/>
    <w:rsid w:val="00DA31AB"/>
    <w:rsid w:val="00DA3281"/>
    <w:rsid w:val="00DA6D1A"/>
    <w:rsid w:val="00DA6D3E"/>
    <w:rsid w:val="00DC02E8"/>
    <w:rsid w:val="00DC75C7"/>
    <w:rsid w:val="00DC78D3"/>
    <w:rsid w:val="00DF4592"/>
    <w:rsid w:val="00E15FDC"/>
    <w:rsid w:val="00E2651B"/>
    <w:rsid w:val="00E6632E"/>
    <w:rsid w:val="00E75340"/>
    <w:rsid w:val="00E76C1C"/>
    <w:rsid w:val="00E90CF2"/>
    <w:rsid w:val="00ED0F61"/>
    <w:rsid w:val="00EE73E1"/>
    <w:rsid w:val="00F12107"/>
    <w:rsid w:val="00F13165"/>
    <w:rsid w:val="00F53F7E"/>
    <w:rsid w:val="00F7477E"/>
    <w:rsid w:val="00F85393"/>
    <w:rsid w:val="00FA4A24"/>
    <w:rsid w:val="00FB3D98"/>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uiPriority w:val="99"/>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5654D0"/>
    <w:pPr>
      <w:numPr>
        <w:numId w:val="16"/>
      </w:numPr>
      <w:tabs>
        <w:tab w:val="clear" w:pos="360"/>
        <w:tab w:val="left" w:pos="340"/>
      </w:tabs>
      <w:spacing w:before="120"/>
    </w:pPr>
  </w:style>
  <w:style w:type="paragraph" w:styleId="ListBullet2">
    <w:name w:val="List Bullet 2"/>
    <w:basedOn w:val="BodyText"/>
    <w:rsid w:val="005654D0"/>
    <w:pPr>
      <w:numPr>
        <w:numId w:val="17"/>
      </w:numPr>
      <w:tabs>
        <w:tab w:val="clear" w:pos="644"/>
        <w:tab w:val="left" w:pos="680"/>
      </w:tabs>
      <w:spacing w:before="120"/>
      <w:ind w:left="680" w:hanging="340"/>
    </w:pPr>
  </w:style>
  <w:style w:type="paragraph" w:styleId="ListBullet3">
    <w:name w:val="List Bullet 3"/>
    <w:basedOn w:val="BodyText"/>
    <w:rsid w:val="005654D0"/>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line="320" w:lineRule="atLeast"/>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0F2F5F"/>
    <w:pPr>
      <w:numPr>
        <w:ilvl w:val="2"/>
      </w:numPr>
      <w:tabs>
        <w:tab w:val="clear" w:pos="794"/>
      </w:tabs>
      <w:ind w:left="1248" w:hanging="454"/>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customStyle="1" w:styleId="FooterChar">
    <w:name w:val="Footer Char"/>
    <w:basedOn w:val="DefaultParagraphFont"/>
    <w:link w:val="Footer"/>
    <w:uiPriority w:val="99"/>
    <w:rsid w:val="009A1E5A"/>
    <w:rPr>
      <w:caps/>
      <w:spacing w:val="-4"/>
      <w:sz w:val="16"/>
      <w:lang w:eastAsia="en-US"/>
    </w:rPr>
  </w:style>
  <w:style w:type="table" w:styleId="TableGrid">
    <w:name w:val="Table Grid"/>
    <w:basedOn w:val="TableNormal"/>
    <w:rsid w:val="00CF17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71D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uiPriority w:val="99"/>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5654D0"/>
    <w:pPr>
      <w:numPr>
        <w:numId w:val="16"/>
      </w:numPr>
      <w:tabs>
        <w:tab w:val="clear" w:pos="360"/>
        <w:tab w:val="left" w:pos="340"/>
      </w:tabs>
      <w:spacing w:before="120"/>
    </w:pPr>
  </w:style>
  <w:style w:type="paragraph" w:styleId="ListBullet2">
    <w:name w:val="List Bullet 2"/>
    <w:basedOn w:val="BodyText"/>
    <w:rsid w:val="005654D0"/>
    <w:pPr>
      <w:numPr>
        <w:numId w:val="17"/>
      </w:numPr>
      <w:tabs>
        <w:tab w:val="clear" w:pos="644"/>
        <w:tab w:val="left" w:pos="680"/>
      </w:tabs>
      <w:spacing w:before="120"/>
      <w:ind w:left="680" w:hanging="340"/>
    </w:pPr>
  </w:style>
  <w:style w:type="paragraph" w:styleId="ListBullet3">
    <w:name w:val="List Bullet 3"/>
    <w:basedOn w:val="BodyText"/>
    <w:rsid w:val="005654D0"/>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line="320" w:lineRule="atLeast"/>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0F2F5F"/>
    <w:pPr>
      <w:numPr>
        <w:ilvl w:val="2"/>
      </w:numPr>
      <w:tabs>
        <w:tab w:val="clear" w:pos="794"/>
      </w:tabs>
      <w:ind w:left="1248" w:hanging="454"/>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customStyle="1" w:styleId="FooterChar">
    <w:name w:val="Footer Char"/>
    <w:basedOn w:val="DefaultParagraphFont"/>
    <w:link w:val="Footer"/>
    <w:uiPriority w:val="99"/>
    <w:rsid w:val="009A1E5A"/>
    <w:rPr>
      <w:caps/>
      <w:spacing w:val="-4"/>
      <w:sz w:val="16"/>
      <w:lang w:eastAsia="en-US"/>
    </w:rPr>
  </w:style>
  <w:style w:type="table" w:styleId="TableGrid">
    <w:name w:val="Table Grid"/>
    <w:basedOn w:val="TableNormal"/>
    <w:rsid w:val="00CF17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71D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footer" Target="footer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ED719-50CD-4377-9695-656FC5D8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TotalTime>
  <Pages>12</Pages>
  <Words>1483</Words>
  <Characters>8904</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Productivity Commission</dc:creator>
  <cp:lastModifiedBy>Productivity Commission</cp:lastModifiedBy>
  <cp:revision>2</cp:revision>
  <cp:lastPrinted>2012-09-24T06:22:00Z</cp:lastPrinted>
  <dcterms:created xsi:type="dcterms:W3CDTF">2012-09-25T04:11:00Z</dcterms:created>
  <dcterms:modified xsi:type="dcterms:W3CDTF">2012-09-25T04:11:00Z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-985021875</vt:i4>
  </property>
  <property fmtid="{D5CDD505-2E9C-101B-9397-08002B2CF9AE}" pid="4" name="_EmailSubject">
    <vt:lpwstr>web files - Climate Adaptation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