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E70C" w14:textId="5D74B4DA" w:rsidR="00357042" w:rsidRPr="00B30836" w:rsidRDefault="00AC65E3" w:rsidP="00B30836">
      <w:pPr>
        <w:pStyle w:val="Heading1-nobackground"/>
        <w:spacing w:before="0" w:after="0" w:line="280" w:lineRule="atLeast"/>
        <w:rPr>
          <w:color w:val="FFFFFF" w:themeColor="background1"/>
          <w:sz w:val="16"/>
          <w:szCs w:val="16"/>
        </w:rPr>
      </w:pPr>
      <w:bookmarkStart w:id="0" w:name="_Toc140490530"/>
      <w:bookmarkStart w:id="1" w:name="_Toc140505508"/>
      <w:r w:rsidRPr="00186514">
        <w:rPr>
          <w:noProof/>
          <w:color w:val="FFFFFF" w:themeColor="background1"/>
          <w:sz w:val="16"/>
          <w:szCs w:val="16"/>
        </w:rPr>
        <w:drawing>
          <wp:anchor distT="0" distB="0" distL="114300" distR="114300" simplePos="0" relativeHeight="251658240" behindDoc="0" locked="0" layoutInCell="1" allowOverlap="1" wp14:anchorId="0920955C" wp14:editId="7BB47BE0">
            <wp:simplePos x="0" y="0"/>
            <wp:positionH relativeFrom="page">
              <wp:align>center</wp:align>
            </wp:positionH>
            <wp:positionV relativeFrom="page">
              <wp:align>top</wp:align>
            </wp:positionV>
            <wp:extent cx="7559399" cy="10684798"/>
            <wp:effectExtent l="0" t="0" r="0" b="0"/>
            <wp:wrapNone/>
            <wp:docPr id="154510928" name="Picture 154510928" descr="Productivity Commission, Review of the National Agreement on Closing the Gap, The National Agreement in context and our approach to the review, Information paper 1, Draf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928" name="Picture 154510928" descr="Productivity Commission, Review of the National Agreement on Closing the Gap, The National Agreement in context and our approach to the review, Information paper 1, Draft repor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r w:rsidR="00357042" w:rsidRPr="00B30836">
        <w:rPr>
          <w:color w:val="FFFFFF" w:themeColor="background1"/>
          <w:sz w:val="16"/>
          <w:szCs w:val="16"/>
        </w:rPr>
        <w:t>Review of the National Agreement on Closing the Gap draft report</w:t>
      </w:r>
      <w:bookmarkEnd w:id="0"/>
      <w:bookmarkEnd w:id="1"/>
    </w:p>
    <w:p w14:paraId="07FAB71E" w14:textId="77777777" w:rsidR="00357042" w:rsidRPr="00B30836" w:rsidRDefault="00357042" w:rsidP="00B30836">
      <w:pPr>
        <w:pStyle w:val="Heading1-nobackground"/>
        <w:spacing w:before="0" w:after="0" w:line="280" w:lineRule="atLeast"/>
        <w:rPr>
          <w:color w:val="FFFFFF" w:themeColor="background1"/>
          <w:sz w:val="16"/>
          <w:szCs w:val="16"/>
        </w:rPr>
      </w:pPr>
      <w:bookmarkStart w:id="2" w:name="_Toc140490531"/>
      <w:bookmarkStart w:id="3" w:name="_Toc140505509"/>
      <w:r w:rsidRPr="00B30836">
        <w:rPr>
          <w:color w:val="FFFFFF" w:themeColor="background1"/>
          <w:sz w:val="16"/>
          <w:szCs w:val="16"/>
        </w:rPr>
        <w:t>Information paper 1</w:t>
      </w:r>
      <w:bookmarkEnd w:id="2"/>
      <w:bookmarkEnd w:id="3"/>
    </w:p>
    <w:p w14:paraId="384FA1D6" w14:textId="77777777" w:rsidR="00357042" w:rsidRPr="00B30836" w:rsidRDefault="00357042" w:rsidP="00B30836">
      <w:pPr>
        <w:pStyle w:val="Heading1-nobackground"/>
        <w:spacing w:before="0" w:after="0" w:line="280" w:lineRule="atLeast"/>
        <w:rPr>
          <w:color w:val="FFFFFF" w:themeColor="background1"/>
          <w:sz w:val="16"/>
          <w:szCs w:val="16"/>
        </w:rPr>
      </w:pPr>
      <w:bookmarkStart w:id="4" w:name="_Toc140490532"/>
      <w:bookmarkStart w:id="5" w:name="_Toc140505510"/>
      <w:r w:rsidRPr="00B30836">
        <w:rPr>
          <w:color w:val="FFFFFF" w:themeColor="background1"/>
          <w:sz w:val="16"/>
          <w:szCs w:val="16"/>
        </w:rPr>
        <w:t>The National Agreement in context and our approach to the review</w:t>
      </w:r>
      <w:bookmarkEnd w:id="4"/>
      <w:bookmarkEnd w:id="5"/>
    </w:p>
    <w:p w14:paraId="400DDD15" w14:textId="35DC3F49" w:rsidR="00365595" w:rsidRPr="00186514" w:rsidRDefault="00357042" w:rsidP="002C38A9">
      <w:pPr>
        <w:pStyle w:val="BodyText"/>
        <w:spacing w:before="0" w:after="0" w:line="240" w:lineRule="auto"/>
        <w:rPr>
          <w:color w:val="FFFFFF" w:themeColor="background1"/>
          <w:sz w:val="16"/>
          <w:szCs w:val="16"/>
        </w:rPr>
      </w:pPr>
      <w:r w:rsidRPr="00186514">
        <w:rPr>
          <w:color w:val="FFFFFF" w:themeColor="background1"/>
          <w:sz w:val="16"/>
          <w:szCs w:val="16"/>
        </w:rPr>
        <w:t>July 2023</w:t>
      </w:r>
    </w:p>
    <w:p w14:paraId="202DFF74" w14:textId="68FD3B22" w:rsidR="002C38A9" w:rsidRDefault="002C38A9" w:rsidP="002C38A9">
      <w:pPr>
        <w:pStyle w:val="BodyText"/>
      </w:pPr>
      <w:r>
        <w:br w:type="page"/>
      </w:r>
    </w:p>
    <w:tbl>
      <w:tblPr>
        <w:tblStyle w:val="CopyrightPage"/>
        <w:tblW w:w="0" w:type="auto"/>
        <w:shd w:val="clear" w:color="auto" w:fill="CB6027" w:themeFill="text2"/>
        <w:tblLook w:val="04A0" w:firstRow="1" w:lastRow="0" w:firstColumn="1" w:lastColumn="0" w:noHBand="0" w:noVBand="1"/>
      </w:tblPr>
      <w:tblGrid>
        <w:gridCol w:w="9638"/>
      </w:tblGrid>
      <w:tr w:rsidR="008A1324" w14:paraId="3C145029" w14:textId="77777777" w:rsidTr="008A1324">
        <w:trPr>
          <w:trHeight w:hRule="exact" w:val="12586"/>
        </w:trPr>
        <w:tc>
          <w:tcPr>
            <w:tcW w:w="9638" w:type="dxa"/>
            <w:shd w:val="clear" w:color="auto" w:fill="CB6027" w:themeFill="text2"/>
            <w:tcMar>
              <w:top w:w="113" w:type="dxa"/>
            </w:tcMar>
          </w:tcPr>
          <w:p w14:paraId="217BF1D4" w14:textId="77777777" w:rsidR="008A1324" w:rsidRPr="00151C74" w:rsidRDefault="008A1324" w:rsidP="00795F70">
            <w:pPr>
              <w:pStyle w:val="Copyrightpage-BodyBold"/>
              <w:ind w:right="-284"/>
              <w:rPr>
                <w:rFonts w:asciiTheme="majorHAnsi" w:hAnsiTheme="majorHAnsi"/>
              </w:rPr>
            </w:pPr>
            <w:r>
              <w:rPr>
                <w:rStyle w:val="White"/>
              </w:rPr>
              <w:lastRenderedPageBreak/>
              <w:br w:type="page"/>
            </w:r>
            <w:r w:rsidRPr="00151C74">
              <w:rPr>
                <w:rFonts w:asciiTheme="majorHAnsi" w:hAnsiTheme="majorHAnsi"/>
              </w:rPr>
              <w:t>The Productivity Commission acknowledges that Aboriginal and Torres Strait Islander people are the first storytellers of this land and Traditional Owners of Country on which we now live and work. We recognise their continuing connection to lands, waters, communities and cultures. We pay our respects to Aboriginal and Torres Strait Islander cultures, and to Elders past and present.</w:t>
            </w:r>
          </w:p>
          <w:p w14:paraId="2AF9256A" w14:textId="77777777" w:rsidR="008A1324" w:rsidRPr="000F4488" w:rsidRDefault="008A1324" w:rsidP="00795F70">
            <w:pPr>
              <w:pStyle w:val="Copyrightpage-BodyBold"/>
              <w:ind w:right="-284"/>
              <w:rPr>
                <w:rFonts w:asciiTheme="majorHAnsi" w:hAnsiTheme="majorHAnsi"/>
              </w:rPr>
            </w:pPr>
            <w:r w:rsidRPr="00151C74">
              <w:rPr>
                <w:rFonts w:asciiTheme="majorHAnsi" w:hAnsiTheme="majorHAnsi"/>
              </w:rPr>
              <w:t>Aboriginal and Torres Strait Islander people should be aware that this report may contain the names of people who have since passed away.</w:t>
            </w:r>
          </w:p>
          <w:p w14:paraId="331D0D5B" w14:textId="77777777" w:rsidR="008A1324" w:rsidRPr="003D0BDC" w:rsidRDefault="008A1324" w:rsidP="00795F70">
            <w:pPr>
              <w:pStyle w:val="Copyrightpage-Keylinenotext"/>
              <w:ind w:right="-284"/>
              <w:rPr>
                <w:color w:val="FFFFFF" w:themeColor="background1"/>
              </w:rPr>
            </w:pPr>
          </w:p>
          <w:p w14:paraId="7C961839" w14:textId="77777777" w:rsidR="008A1324" w:rsidRPr="00D96F65" w:rsidRDefault="008A1324" w:rsidP="00795F70">
            <w:pPr>
              <w:pStyle w:val="Copyrightpage-Heading"/>
              <w:ind w:right="-284"/>
            </w:pPr>
            <w:r w:rsidRPr="00D96F65">
              <w:t>The Productivity Commission</w:t>
            </w:r>
          </w:p>
          <w:p w14:paraId="252C3D71" w14:textId="77777777" w:rsidR="008A1324" w:rsidRPr="00A57443" w:rsidRDefault="008A1324" w:rsidP="00795F70">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D3DDFE9" w14:textId="77777777" w:rsidR="008A1324" w:rsidRPr="000F4488" w:rsidRDefault="008A1324" w:rsidP="00795F70">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39C3A88A" w14:textId="77777777" w:rsidR="008A1324" w:rsidRPr="000F4488" w:rsidRDefault="008A1324" w:rsidP="00795F70">
            <w:pPr>
              <w:pStyle w:val="Copyrightpage-BodyBold"/>
            </w:pPr>
            <w:r w:rsidRPr="000561CF">
              <w:t>Further information on the Productivity Commission can be obtained from the Commission’s website (www.pc.gov.au).</w:t>
            </w:r>
          </w:p>
          <w:p w14:paraId="22258722" w14:textId="77777777" w:rsidR="008A1324" w:rsidRPr="003D0BDC" w:rsidRDefault="008A1324" w:rsidP="00795F70">
            <w:pPr>
              <w:pStyle w:val="Copyrightpage-Keylinenotext"/>
              <w:ind w:right="-284"/>
              <w:rPr>
                <w:b/>
                <w:bCs/>
                <w:color w:val="FFFFFF" w:themeColor="background1"/>
              </w:rPr>
            </w:pPr>
          </w:p>
          <w:p w14:paraId="14BDE464" w14:textId="77777777" w:rsidR="008A1324" w:rsidRPr="000561CF" w:rsidRDefault="008A1324" w:rsidP="00795F70">
            <w:pPr>
              <w:pStyle w:val="Copyrightpage-BodyBold"/>
            </w:pPr>
            <w:r w:rsidRPr="00E72EE0">
              <w:t>©</w:t>
            </w:r>
            <w:r w:rsidRPr="00137FAB">
              <w:t xml:space="preserve"> Commonwealth of Australia 202</w:t>
            </w:r>
            <w:r>
              <w:t>3</w:t>
            </w:r>
          </w:p>
          <w:p w14:paraId="53EF9D47" w14:textId="77777777" w:rsidR="008A1324" w:rsidRPr="00E72EE0" w:rsidRDefault="008A1324" w:rsidP="00795F70">
            <w:pPr>
              <w:pStyle w:val="Copyrightpage-Heading2"/>
              <w:spacing w:before="0"/>
              <w:ind w:right="-284"/>
              <w:rPr>
                <w:bCs/>
              </w:rPr>
            </w:pPr>
            <w:r w:rsidRPr="00E72EE0">
              <w:rPr>
                <w:bCs/>
                <w:noProof/>
              </w:rPr>
              <w:drawing>
                <wp:inline distT="0" distB="0" distL="0" distR="0" wp14:anchorId="7253F68C" wp14:editId="32E68CD3">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74000" cy="270000"/>
                          </a:xfrm>
                          <a:prstGeom prst="rect">
                            <a:avLst/>
                          </a:prstGeom>
                        </pic:spPr>
                      </pic:pic>
                    </a:graphicData>
                  </a:graphic>
                </wp:inline>
              </w:drawing>
            </w:r>
          </w:p>
          <w:p w14:paraId="2A719B8A" w14:textId="77777777" w:rsidR="008A1324" w:rsidRPr="000F4488" w:rsidRDefault="008A1324" w:rsidP="00795F70">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6368C271" w14:textId="77777777" w:rsidR="008A1324" w:rsidRPr="000F4488" w:rsidRDefault="008A1324" w:rsidP="00795F70">
            <w:pPr>
              <w:pStyle w:val="Copyrightpage-BodyBold"/>
            </w:pPr>
            <w:r w:rsidRPr="000561CF">
              <w:t>The terms under which the Coat of Arms can be used are detailed at: www.pmc.gov.au/government/commonwealth-coat-arms.</w:t>
            </w:r>
          </w:p>
          <w:p w14:paraId="44F84390" w14:textId="77777777" w:rsidR="008A1324" w:rsidRPr="000561CF" w:rsidRDefault="008A1324" w:rsidP="00795F70">
            <w:pPr>
              <w:pStyle w:val="Copyrightpage-BodyBold"/>
            </w:pPr>
            <w:r w:rsidRPr="000561CF">
              <w:t>Wherever a third party holds copyright in this material the copyright remains with that party. Their permission may be required to use the material, please contact them directly.</w:t>
            </w:r>
          </w:p>
          <w:p w14:paraId="0344D557" w14:textId="310BDECC" w:rsidR="008A1324" w:rsidRPr="00137FAB" w:rsidRDefault="008A1324" w:rsidP="00795F70">
            <w:pPr>
              <w:pStyle w:val="Copyrightpage-BodyBold"/>
            </w:pPr>
            <w:r w:rsidRPr="000F4488">
              <w:t>An appropriate reference for this publication is:</w:t>
            </w:r>
            <w:r>
              <w:br/>
              <w:t xml:space="preserve">Productivity Commission 2023, </w:t>
            </w:r>
            <w:r>
              <w:rPr>
                <w:i/>
                <w:iCs/>
              </w:rPr>
              <w:t>Review of the National Agreement on Closing the Gap</w:t>
            </w:r>
            <w:r w:rsidRPr="00262F79">
              <w:t>,</w:t>
            </w:r>
            <w:r>
              <w:t xml:space="preserve"> Draft Report, </w:t>
            </w:r>
            <w:r w:rsidRPr="00262F79">
              <w:t xml:space="preserve">Information Paper </w:t>
            </w:r>
            <w:r>
              <w:t>1, Canberra, July</w:t>
            </w:r>
          </w:p>
          <w:p w14:paraId="02B91EE9" w14:textId="77777777" w:rsidR="008A1324" w:rsidRDefault="008A1324" w:rsidP="00795F70">
            <w:pPr>
              <w:pStyle w:val="Copyrightpage-BodyBold"/>
              <w:ind w:right="-284"/>
            </w:pPr>
          </w:p>
          <w:p w14:paraId="12E37BE2" w14:textId="77777777" w:rsidR="008A1324" w:rsidRDefault="008A1324" w:rsidP="00795F70">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55D27F50" w14:textId="2CE55165" w:rsidR="002C38A9" w:rsidRDefault="002C38A9" w:rsidP="002C38A9">
      <w:pPr>
        <w:pStyle w:val="BodyText"/>
      </w:pPr>
      <w:r>
        <w:br w:type="page"/>
      </w:r>
    </w:p>
    <w:p w14:paraId="1D661472" w14:textId="3FA4AFB4" w:rsidR="00EF04FA" w:rsidRPr="00EF04FA" w:rsidRDefault="00EF04FA" w:rsidP="00EF04FA">
      <w:pPr>
        <w:keepNext/>
        <w:keepLines/>
        <w:spacing w:before="480" w:line="340" w:lineRule="atLeast"/>
        <w:outlineLvl w:val="1"/>
        <w:rPr>
          <w:rFonts w:asciiTheme="majorHAnsi" w:eastAsiaTheme="majorEastAsia" w:hAnsiTheme="majorHAnsi" w:cstheme="majorBidi"/>
          <w:noProof/>
          <w:color w:val="0D8380" w:themeColor="background2"/>
          <w:sz w:val="30"/>
          <w:szCs w:val="60"/>
        </w:rPr>
      </w:pPr>
      <w:r w:rsidRPr="00EF04FA">
        <w:rPr>
          <w:rFonts w:asciiTheme="majorHAnsi" w:eastAsiaTheme="majorEastAsia" w:hAnsiTheme="majorHAnsi" w:cstheme="majorBidi"/>
          <w:color w:val="0D8380" w:themeColor="background2"/>
          <w:sz w:val="30"/>
          <w:szCs w:val="60"/>
        </w:rPr>
        <w:lastRenderedPageBreak/>
        <w:t>Contents</w:t>
      </w:r>
    </w:p>
    <w:p w14:paraId="2949AEB5" w14:textId="1A8BE2CA" w:rsidR="0076514A" w:rsidRDefault="000F1BCF" w:rsidP="0076514A">
      <w:pPr>
        <w:pStyle w:val="TOC1"/>
        <w:spacing w:before="240"/>
        <w:rPr>
          <w:noProof/>
          <w:color w:val="414140"/>
        </w:rPr>
      </w:pPr>
      <w:r w:rsidRPr="0025475D">
        <w:rPr>
          <w:noProof/>
          <w:color w:val="414140"/>
        </w:rPr>
        <w:fldChar w:fldCharType="begin"/>
      </w:r>
      <w:r w:rsidRPr="0025475D">
        <w:rPr>
          <w:noProof/>
          <w:color w:val="414140"/>
        </w:rPr>
        <w:instrText xml:space="preserve"> TOC \\h \z \t "Heading 1,1,Heading-Appendix,1, Heading 1-no number,1, Heading 1-no background,1, Heading 1-Section blue background,3, Heading 1-Section-full page,3,Heading 2,2,Heading 2-no number,2,Heading 2-Appendix,2,Heading 1 - Intro,3,Heading 1-numbered,3,Section Heading-pale blue,3" </w:instrText>
      </w:r>
      <w:r w:rsidRPr="0025475D">
        <w:rPr>
          <w:noProof/>
          <w:color w:val="414140"/>
        </w:rPr>
        <w:fldChar w:fldCharType="separate"/>
      </w:r>
      <w:r w:rsidR="0076514A">
        <w:rPr>
          <w:noProof/>
          <w:color w:val="414140"/>
        </w:rPr>
        <w:t>Key points</w:t>
      </w:r>
      <w:r w:rsidR="0076514A">
        <w:rPr>
          <w:noProof/>
          <w:color w:val="414140"/>
        </w:rPr>
        <w:tab/>
        <w:t>4</w:t>
      </w:r>
    </w:p>
    <w:p w14:paraId="68EB9E08" w14:textId="00433001" w:rsidR="0076514A" w:rsidRPr="0076514A" w:rsidRDefault="0076514A" w:rsidP="0076514A">
      <w:pPr>
        <w:pStyle w:val="TOC1"/>
        <w:spacing w:before="240"/>
        <w:rPr>
          <w:noProof/>
          <w:color w:val="414140"/>
        </w:rPr>
      </w:pPr>
      <w:r w:rsidRPr="0076514A">
        <w:rPr>
          <w:noProof/>
          <w:color w:val="414140"/>
        </w:rPr>
        <w:t>1</w:t>
      </w:r>
      <w:r w:rsidRPr="0076514A">
        <w:rPr>
          <w:noProof/>
          <w:color w:val="414140"/>
        </w:rPr>
        <w:tab/>
        <w:t>Closing the Gap: the historical context</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_Toc140505511 \h </w:instrText>
      </w:r>
      <w:r w:rsidRPr="0076514A">
        <w:rPr>
          <w:noProof/>
          <w:webHidden/>
          <w:color w:val="414140"/>
        </w:rPr>
      </w:r>
      <w:r w:rsidRPr="0076514A">
        <w:rPr>
          <w:noProof/>
          <w:webHidden/>
          <w:color w:val="414140"/>
        </w:rPr>
        <w:fldChar w:fldCharType="separate"/>
      </w:r>
      <w:r w:rsidR="0031353E">
        <w:rPr>
          <w:noProof/>
          <w:webHidden/>
          <w:color w:val="414140"/>
        </w:rPr>
        <w:t>5</w:t>
      </w:r>
      <w:r w:rsidRPr="0076514A">
        <w:rPr>
          <w:noProof/>
          <w:webHidden/>
          <w:color w:val="414140"/>
        </w:rPr>
        <w:fldChar w:fldCharType="end"/>
      </w:r>
    </w:p>
    <w:p w14:paraId="321A82DB" w14:textId="74D17F33" w:rsidR="0076514A" w:rsidRPr="0076514A" w:rsidRDefault="0076514A" w:rsidP="0076514A">
      <w:pPr>
        <w:pStyle w:val="TOC1"/>
        <w:spacing w:before="240"/>
        <w:rPr>
          <w:noProof/>
          <w:color w:val="414140"/>
        </w:rPr>
      </w:pPr>
      <w:r w:rsidRPr="0076514A">
        <w:rPr>
          <w:noProof/>
          <w:color w:val="414140"/>
        </w:rPr>
        <w:t>2</w:t>
      </w:r>
      <w:r w:rsidRPr="0076514A">
        <w:rPr>
          <w:noProof/>
          <w:color w:val="414140"/>
        </w:rPr>
        <w:tab/>
        <w:t>The National Agreement on Closing the Gap</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_Toc140505512 \h </w:instrText>
      </w:r>
      <w:r w:rsidRPr="0076514A">
        <w:rPr>
          <w:noProof/>
          <w:webHidden/>
          <w:color w:val="414140"/>
        </w:rPr>
      </w:r>
      <w:r w:rsidRPr="0076514A">
        <w:rPr>
          <w:noProof/>
          <w:webHidden/>
          <w:color w:val="414140"/>
        </w:rPr>
        <w:fldChar w:fldCharType="separate"/>
      </w:r>
      <w:r w:rsidR="0031353E">
        <w:rPr>
          <w:noProof/>
          <w:webHidden/>
          <w:color w:val="414140"/>
        </w:rPr>
        <w:t>10</w:t>
      </w:r>
      <w:r w:rsidRPr="0076514A">
        <w:rPr>
          <w:noProof/>
          <w:webHidden/>
          <w:color w:val="414140"/>
        </w:rPr>
        <w:fldChar w:fldCharType="end"/>
      </w:r>
    </w:p>
    <w:p w14:paraId="3E1ADF41" w14:textId="2648C25F" w:rsidR="0076514A" w:rsidRPr="0076514A" w:rsidRDefault="0076514A" w:rsidP="0076514A">
      <w:pPr>
        <w:pStyle w:val="TOC1"/>
        <w:spacing w:before="240"/>
        <w:rPr>
          <w:noProof/>
          <w:color w:val="414140"/>
        </w:rPr>
      </w:pPr>
      <w:r w:rsidRPr="0076514A">
        <w:rPr>
          <w:noProof/>
          <w:color w:val="414140"/>
        </w:rPr>
        <w:t>3</w:t>
      </w:r>
      <w:r w:rsidRPr="0076514A">
        <w:rPr>
          <w:noProof/>
          <w:color w:val="414140"/>
        </w:rPr>
        <w:tab/>
        <w:t>The Agreement sits within an evolving landscape</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_Toc140505513 \h </w:instrText>
      </w:r>
      <w:r w:rsidRPr="0076514A">
        <w:rPr>
          <w:noProof/>
          <w:webHidden/>
          <w:color w:val="414140"/>
        </w:rPr>
      </w:r>
      <w:r w:rsidRPr="0076514A">
        <w:rPr>
          <w:noProof/>
          <w:webHidden/>
          <w:color w:val="414140"/>
        </w:rPr>
        <w:fldChar w:fldCharType="separate"/>
      </w:r>
      <w:r w:rsidR="0031353E">
        <w:rPr>
          <w:noProof/>
          <w:webHidden/>
          <w:color w:val="414140"/>
        </w:rPr>
        <w:t>13</w:t>
      </w:r>
      <w:r w:rsidRPr="0076514A">
        <w:rPr>
          <w:noProof/>
          <w:webHidden/>
          <w:color w:val="414140"/>
        </w:rPr>
        <w:fldChar w:fldCharType="end"/>
      </w:r>
    </w:p>
    <w:p w14:paraId="27F39655" w14:textId="77FAFEA4" w:rsidR="0076514A" w:rsidRPr="0076514A" w:rsidRDefault="0076514A" w:rsidP="0076514A">
      <w:pPr>
        <w:pStyle w:val="TOC1"/>
        <w:spacing w:before="240"/>
        <w:rPr>
          <w:noProof/>
          <w:color w:val="414140"/>
        </w:rPr>
      </w:pPr>
      <w:r w:rsidRPr="0076514A">
        <w:rPr>
          <w:noProof/>
          <w:color w:val="414140"/>
        </w:rPr>
        <w:t>4</w:t>
      </w:r>
      <w:r w:rsidRPr="0076514A">
        <w:rPr>
          <w:noProof/>
          <w:color w:val="414140"/>
        </w:rPr>
        <w:tab/>
        <w:t>Three-yearly reviews of the Agreement</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_Toc140505514 \h </w:instrText>
      </w:r>
      <w:r w:rsidRPr="0076514A">
        <w:rPr>
          <w:noProof/>
          <w:webHidden/>
          <w:color w:val="414140"/>
        </w:rPr>
      </w:r>
      <w:r w:rsidRPr="0076514A">
        <w:rPr>
          <w:noProof/>
          <w:webHidden/>
          <w:color w:val="414140"/>
        </w:rPr>
        <w:fldChar w:fldCharType="separate"/>
      </w:r>
      <w:r w:rsidR="0031353E">
        <w:rPr>
          <w:noProof/>
          <w:webHidden/>
          <w:color w:val="414140"/>
        </w:rPr>
        <w:t>14</w:t>
      </w:r>
      <w:r w:rsidRPr="0076514A">
        <w:rPr>
          <w:noProof/>
          <w:webHidden/>
          <w:color w:val="414140"/>
        </w:rPr>
        <w:fldChar w:fldCharType="end"/>
      </w:r>
    </w:p>
    <w:p w14:paraId="46DB0CED" w14:textId="0BA5A896" w:rsidR="0076514A" w:rsidRPr="0076514A" w:rsidRDefault="0076514A" w:rsidP="0076514A">
      <w:pPr>
        <w:pStyle w:val="TOC1"/>
        <w:spacing w:before="240"/>
        <w:rPr>
          <w:noProof/>
          <w:color w:val="414140"/>
        </w:rPr>
      </w:pPr>
      <w:r w:rsidRPr="0076514A">
        <w:rPr>
          <w:noProof/>
          <w:color w:val="414140"/>
        </w:rPr>
        <w:t>5</w:t>
      </w:r>
      <w:r w:rsidRPr="0076514A">
        <w:rPr>
          <w:noProof/>
          <w:color w:val="414140"/>
        </w:rPr>
        <w:tab/>
        <w:t>The Commission’s approach to the review</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_Toc140505515 \h </w:instrText>
      </w:r>
      <w:r w:rsidRPr="0076514A">
        <w:rPr>
          <w:noProof/>
          <w:webHidden/>
          <w:color w:val="414140"/>
        </w:rPr>
      </w:r>
      <w:r w:rsidRPr="0076514A">
        <w:rPr>
          <w:noProof/>
          <w:webHidden/>
          <w:color w:val="414140"/>
        </w:rPr>
        <w:fldChar w:fldCharType="separate"/>
      </w:r>
      <w:r w:rsidR="0031353E">
        <w:rPr>
          <w:noProof/>
          <w:webHidden/>
          <w:color w:val="414140"/>
        </w:rPr>
        <w:t>15</w:t>
      </w:r>
      <w:r w:rsidRPr="0076514A">
        <w:rPr>
          <w:noProof/>
          <w:webHidden/>
          <w:color w:val="414140"/>
        </w:rPr>
        <w:fldChar w:fldCharType="end"/>
      </w:r>
    </w:p>
    <w:p w14:paraId="5C8BB5F7" w14:textId="7B3BABB1" w:rsidR="0076514A" w:rsidRPr="0076514A" w:rsidRDefault="0076514A" w:rsidP="0076514A">
      <w:pPr>
        <w:pStyle w:val="TOC1"/>
        <w:spacing w:before="240"/>
        <w:rPr>
          <w:noProof/>
          <w:color w:val="414140"/>
        </w:rPr>
      </w:pPr>
      <w:r w:rsidRPr="0076514A">
        <w:rPr>
          <w:noProof/>
          <w:color w:val="414140"/>
        </w:rPr>
        <w:t>6</w:t>
      </w:r>
      <w:r w:rsidRPr="0076514A">
        <w:rPr>
          <w:noProof/>
          <w:color w:val="414140"/>
        </w:rPr>
        <w:tab/>
        <w:t>Moving from the draft to the final report</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_Toc140505516 \h </w:instrText>
      </w:r>
      <w:r w:rsidRPr="0076514A">
        <w:rPr>
          <w:noProof/>
          <w:webHidden/>
          <w:color w:val="414140"/>
        </w:rPr>
      </w:r>
      <w:r w:rsidRPr="0076514A">
        <w:rPr>
          <w:noProof/>
          <w:webHidden/>
          <w:color w:val="414140"/>
        </w:rPr>
        <w:fldChar w:fldCharType="separate"/>
      </w:r>
      <w:r w:rsidR="0031353E">
        <w:rPr>
          <w:noProof/>
          <w:webHidden/>
          <w:color w:val="414140"/>
        </w:rPr>
        <w:t>22</w:t>
      </w:r>
      <w:r w:rsidRPr="0076514A">
        <w:rPr>
          <w:noProof/>
          <w:webHidden/>
          <w:color w:val="414140"/>
        </w:rPr>
        <w:fldChar w:fldCharType="end"/>
      </w:r>
    </w:p>
    <w:p w14:paraId="76D0A4B6" w14:textId="39642407" w:rsidR="0076514A" w:rsidRPr="0076514A" w:rsidRDefault="0076514A" w:rsidP="0076514A">
      <w:pPr>
        <w:pStyle w:val="TOC1"/>
        <w:spacing w:before="240"/>
        <w:rPr>
          <w:noProof/>
          <w:color w:val="414140"/>
        </w:rPr>
      </w:pPr>
      <w:r w:rsidRPr="0076514A">
        <w:rPr>
          <w:noProof/>
          <w:color w:val="414140"/>
        </w:rPr>
        <w:t>Appendix A – Meetings, visits and submissions</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_Toc140505517 \h </w:instrText>
      </w:r>
      <w:r w:rsidRPr="0076514A">
        <w:rPr>
          <w:noProof/>
          <w:webHidden/>
          <w:color w:val="414140"/>
        </w:rPr>
      </w:r>
      <w:r w:rsidRPr="0076514A">
        <w:rPr>
          <w:noProof/>
          <w:webHidden/>
          <w:color w:val="414140"/>
        </w:rPr>
        <w:fldChar w:fldCharType="separate"/>
      </w:r>
      <w:r w:rsidR="0031353E">
        <w:rPr>
          <w:noProof/>
          <w:webHidden/>
          <w:color w:val="414140"/>
        </w:rPr>
        <w:t>23</w:t>
      </w:r>
      <w:r w:rsidRPr="0076514A">
        <w:rPr>
          <w:noProof/>
          <w:webHidden/>
          <w:color w:val="414140"/>
        </w:rPr>
        <w:fldChar w:fldCharType="end"/>
      </w:r>
    </w:p>
    <w:p w14:paraId="3D4BCE1B" w14:textId="5686958B" w:rsidR="0076514A" w:rsidRPr="0076514A" w:rsidRDefault="0076514A" w:rsidP="0076514A">
      <w:pPr>
        <w:pStyle w:val="TOC1"/>
        <w:spacing w:before="240"/>
        <w:rPr>
          <w:noProof/>
          <w:color w:val="414140"/>
        </w:rPr>
      </w:pPr>
      <w:r w:rsidRPr="0076514A">
        <w:rPr>
          <w:noProof/>
          <w:color w:val="414140"/>
        </w:rPr>
        <w:t>References</w:t>
      </w:r>
      <w:r w:rsidRPr="0076514A">
        <w:rPr>
          <w:noProof/>
          <w:webHidden/>
          <w:color w:val="414140"/>
        </w:rPr>
        <w:tab/>
      </w:r>
      <w:r w:rsidRPr="0076514A">
        <w:rPr>
          <w:noProof/>
          <w:webHidden/>
          <w:color w:val="414140"/>
        </w:rPr>
        <w:fldChar w:fldCharType="begin"/>
      </w:r>
      <w:r w:rsidRPr="0076514A">
        <w:rPr>
          <w:noProof/>
          <w:webHidden/>
          <w:color w:val="414140"/>
        </w:rPr>
        <w:instrText xml:space="preserve"> PAGEREF _Toc140505518 \h </w:instrText>
      </w:r>
      <w:r w:rsidRPr="0076514A">
        <w:rPr>
          <w:noProof/>
          <w:webHidden/>
          <w:color w:val="414140"/>
        </w:rPr>
      </w:r>
      <w:r w:rsidRPr="0076514A">
        <w:rPr>
          <w:noProof/>
          <w:webHidden/>
          <w:color w:val="414140"/>
        </w:rPr>
        <w:fldChar w:fldCharType="separate"/>
      </w:r>
      <w:r w:rsidR="0031353E">
        <w:rPr>
          <w:noProof/>
          <w:webHidden/>
          <w:color w:val="414140"/>
        </w:rPr>
        <w:t>33</w:t>
      </w:r>
      <w:r w:rsidRPr="0076514A">
        <w:rPr>
          <w:noProof/>
          <w:webHidden/>
          <w:color w:val="414140"/>
        </w:rPr>
        <w:fldChar w:fldCharType="end"/>
      </w:r>
    </w:p>
    <w:p w14:paraId="67616915" w14:textId="202EC28B" w:rsidR="000F1BCF" w:rsidRPr="0025475D" w:rsidRDefault="000F1BCF" w:rsidP="0025475D">
      <w:pPr>
        <w:pStyle w:val="TOC1"/>
        <w:spacing w:before="240"/>
        <w:rPr>
          <w:noProof/>
          <w:color w:val="414140"/>
        </w:rPr>
      </w:pPr>
      <w:r w:rsidRPr="0025475D">
        <w:rPr>
          <w:noProof/>
          <w:color w:val="414140"/>
        </w:rPr>
        <w:fldChar w:fldCharType="end"/>
      </w:r>
    </w:p>
    <w:p w14:paraId="73590116" w14:textId="19FF04A2" w:rsidR="00B5593C" w:rsidRDefault="002C38A9" w:rsidP="00EF04FA">
      <w:pPr>
        <w:pStyle w:val="BodyText"/>
      </w:pPr>
      <w:r>
        <w:br w:type="page"/>
      </w:r>
    </w:p>
    <w:tbl>
      <w:tblPr>
        <w:tblStyle w:val="Texttable-Paleblue"/>
        <w:tblW w:w="5000" w:type="pct"/>
        <w:tblLook w:val="04A0" w:firstRow="1" w:lastRow="0" w:firstColumn="1" w:lastColumn="0" w:noHBand="0" w:noVBand="1"/>
      </w:tblPr>
      <w:tblGrid>
        <w:gridCol w:w="577"/>
        <w:gridCol w:w="9061"/>
      </w:tblGrid>
      <w:tr w:rsidR="00FD3FE4" w:rsidRPr="002F759A" w14:paraId="3F60C757" w14:textId="77777777" w:rsidTr="007C578B">
        <w:tc>
          <w:tcPr>
            <w:tcW w:w="9638" w:type="dxa"/>
            <w:gridSpan w:val="2"/>
            <w:shd w:val="clear" w:color="auto" w:fill="FBF3EC"/>
            <w:tcMar>
              <w:left w:w="170" w:type="dxa"/>
            </w:tcMar>
          </w:tcPr>
          <w:p w14:paraId="45F0BBC8" w14:textId="0C069399" w:rsidR="00FD3FE4" w:rsidRPr="002F759A" w:rsidRDefault="00FD3FE4" w:rsidP="00CE15D8">
            <w:pPr>
              <w:pStyle w:val="Keypoints-heading"/>
            </w:pPr>
            <w:r w:rsidRPr="002F759A">
              <w:lastRenderedPageBreak/>
              <w:t>Key points</w:t>
            </w:r>
          </w:p>
        </w:tc>
      </w:tr>
      <w:tr w:rsidR="00FD3FE4" w14:paraId="58CC080B" w14:textId="77777777" w:rsidTr="007C578B">
        <w:tc>
          <w:tcPr>
            <w:tcW w:w="577" w:type="dxa"/>
            <w:shd w:val="clear" w:color="auto" w:fill="FBF3EC"/>
            <w:tcMar>
              <w:top w:w="0" w:type="dxa"/>
              <w:bottom w:w="0" w:type="dxa"/>
              <w:right w:w="113" w:type="dxa"/>
            </w:tcMar>
          </w:tcPr>
          <w:p w14:paraId="7ECC2CB8" w14:textId="33DDCB2A" w:rsidR="00FD3FE4" w:rsidRDefault="007A178B" w:rsidP="000C6B77">
            <w:pPr>
              <w:pStyle w:val="KeyPointsicon"/>
            </w:pPr>
            <w:r w:rsidRPr="00A51374">
              <w:rPr>
                <w:noProof/>
              </w:rPr>
              <w:drawing>
                <wp:inline distT="0" distB="0" distL="0" distR="0" wp14:anchorId="5EC7C97F" wp14:editId="3189F2AA">
                  <wp:extent cx="219850" cy="223849"/>
                  <wp:effectExtent l="0" t="0" r="0" b="5080"/>
                  <wp:docPr id="72416013" name="Picture 72416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890DF1C" w14:textId="187E2B19" w:rsidR="00FD3FE4" w:rsidRDefault="00D453DB" w:rsidP="00956DB8">
            <w:pPr>
              <w:pStyle w:val="KeyPoints-Bold"/>
            </w:pPr>
            <w:r w:rsidRPr="00D453DB">
              <w:t xml:space="preserve">The National Agreement on Closing the Gap was agreed in 2020 but it builds on a long history </w:t>
            </w:r>
            <w:r w:rsidR="008511D8">
              <w:t>–</w:t>
            </w:r>
            <w:r w:rsidR="008511D8" w:rsidRPr="00D453DB">
              <w:t xml:space="preserve"> </w:t>
            </w:r>
            <w:r w:rsidRPr="00D453DB">
              <w:t>of Aboriginal and Torres Strait Islander people’s ongoing sovereignty and self</w:t>
            </w:r>
            <w:r w:rsidR="003D3194">
              <w:noBreakHyphen/>
            </w:r>
            <w:r w:rsidRPr="00D453DB">
              <w:t>determination and previous government policies, actions and agreements.</w:t>
            </w:r>
          </w:p>
        </w:tc>
      </w:tr>
      <w:tr w:rsidR="00FD3FE4" w14:paraId="4EA3BBCD" w14:textId="77777777" w:rsidTr="007C578B">
        <w:tc>
          <w:tcPr>
            <w:tcW w:w="577" w:type="dxa"/>
            <w:shd w:val="clear" w:color="auto" w:fill="FBF3EC"/>
            <w:tcMar>
              <w:top w:w="0" w:type="dxa"/>
              <w:bottom w:w="0" w:type="dxa"/>
              <w:right w:w="113" w:type="dxa"/>
            </w:tcMar>
          </w:tcPr>
          <w:p w14:paraId="265D63CA" w14:textId="69347F4F" w:rsidR="00FD3FE4" w:rsidRPr="00A51374" w:rsidRDefault="007A178B" w:rsidP="000C6B77">
            <w:pPr>
              <w:pStyle w:val="KeyPointsicon"/>
            </w:pPr>
            <w:r w:rsidRPr="00A51374">
              <w:rPr>
                <w:noProof/>
              </w:rPr>
              <w:drawing>
                <wp:inline distT="0" distB="0" distL="0" distR="0" wp14:anchorId="1E04EDD7" wp14:editId="3E251969">
                  <wp:extent cx="219850" cy="223849"/>
                  <wp:effectExtent l="0" t="0" r="0" b="5080"/>
                  <wp:docPr id="1117390101" name="Picture 1117390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67CA1565" w14:textId="567790E3" w:rsidR="00FD3FE4" w:rsidRPr="00610627" w:rsidRDefault="00791ABF" w:rsidP="00610627">
            <w:pPr>
              <w:pStyle w:val="KeyPoints-Bold"/>
            </w:pPr>
            <w:r w:rsidRPr="00945563">
              <w:t xml:space="preserve">The Agreement is </w:t>
            </w:r>
            <w:r>
              <w:t>unlike other</w:t>
            </w:r>
            <w:r w:rsidRPr="00945563">
              <w:t xml:space="preserve"> </w:t>
            </w:r>
            <w:r>
              <w:t xml:space="preserve">national </w:t>
            </w:r>
            <w:r w:rsidRPr="00945563">
              <w:t>agreement</w:t>
            </w:r>
            <w:r>
              <w:t>s</w:t>
            </w:r>
            <w:r w:rsidRPr="00945563">
              <w:t>. It is the first that include</w:t>
            </w:r>
            <w:r>
              <w:t>s</w:t>
            </w:r>
            <w:r w:rsidRPr="00945563">
              <w:t xml:space="preserve"> a non</w:t>
            </w:r>
            <w:r w:rsidR="003D3194">
              <w:noBreakHyphen/>
            </w:r>
            <w:r w:rsidRPr="00945563">
              <w:t xml:space="preserve">government party </w:t>
            </w:r>
            <w:r>
              <w:t>as a signatory</w:t>
            </w:r>
            <w:r w:rsidRPr="00945563">
              <w:t xml:space="preserve"> </w:t>
            </w:r>
            <w:r>
              <w:t>–</w:t>
            </w:r>
            <w:r w:rsidRPr="00945563">
              <w:t xml:space="preserve"> the Coalition of </w:t>
            </w:r>
            <w:r>
              <w:t xml:space="preserve">Aboriginal and Torres Strait Islander </w:t>
            </w:r>
            <w:r w:rsidRPr="00945563">
              <w:t>Peak</w:t>
            </w:r>
            <w:r>
              <w:t xml:space="preserve"> Organisations</w:t>
            </w:r>
            <w:r w:rsidRPr="00945563">
              <w:t xml:space="preserve">. </w:t>
            </w:r>
            <w:r>
              <w:t>It is ambitious in the scale of change required, calling for an unprecedented, structural shift in the way governments work with Aboriginal and Torres Strait Islander people.</w:t>
            </w:r>
          </w:p>
        </w:tc>
      </w:tr>
      <w:tr w:rsidR="00FD3FE4" w14:paraId="1DF82140" w14:textId="77777777" w:rsidTr="007C578B">
        <w:tc>
          <w:tcPr>
            <w:tcW w:w="577" w:type="dxa"/>
            <w:shd w:val="clear" w:color="auto" w:fill="FBF3EC"/>
            <w:tcMar>
              <w:top w:w="0" w:type="dxa"/>
              <w:bottom w:w="0" w:type="dxa"/>
              <w:right w:w="113" w:type="dxa"/>
            </w:tcMar>
          </w:tcPr>
          <w:p w14:paraId="7A6887D4" w14:textId="29155301" w:rsidR="00FD3FE4" w:rsidRPr="00A51374" w:rsidRDefault="007A178B" w:rsidP="000C6B77">
            <w:pPr>
              <w:pStyle w:val="KeyPointsicon"/>
            </w:pPr>
            <w:r w:rsidRPr="00A51374">
              <w:rPr>
                <w:noProof/>
              </w:rPr>
              <w:drawing>
                <wp:inline distT="0" distB="0" distL="0" distR="0" wp14:anchorId="321E04AA" wp14:editId="44A5AEAF">
                  <wp:extent cx="219850" cy="223849"/>
                  <wp:effectExtent l="0" t="0" r="0" b="5080"/>
                  <wp:docPr id="76054287" name="Picture 76054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172FC07C" w14:textId="0C53F4B5" w:rsidR="00FD3FE4" w:rsidRPr="00610627" w:rsidRDefault="00A115B9" w:rsidP="00610627">
            <w:pPr>
              <w:pStyle w:val="KeyPoints-Bold"/>
            </w:pPr>
            <w:r w:rsidRPr="00A115B9">
              <w:t xml:space="preserve">The </w:t>
            </w:r>
            <w:r w:rsidR="00980A15">
              <w:t xml:space="preserve">Agreement </w:t>
            </w:r>
            <w:r w:rsidR="00827365">
              <w:t xml:space="preserve">contains four </w:t>
            </w:r>
            <w:r w:rsidRPr="00A115B9">
              <w:t>Priority Reforms</w:t>
            </w:r>
            <w:r w:rsidR="00BE7C2E">
              <w:t>. These reforms</w:t>
            </w:r>
            <w:r w:rsidRPr="00A115B9">
              <w:t xml:space="preserve"> set the Agreement apart from </w:t>
            </w:r>
            <w:r w:rsidR="00E25949">
              <w:t>the previous National Indigenous Reform Agreement</w:t>
            </w:r>
            <w:r w:rsidR="004458CE">
              <w:t>,</w:t>
            </w:r>
            <w:r w:rsidR="004C15D9">
              <w:t xml:space="preserve"> </w:t>
            </w:r>
            <w:r w:rsidRPr="00A115B9">
              <w:t>which largely focused on setting targets for socio</w:t>
            </w:r>
            <w:r w:rsidR="00834846">
              <w:noBreakHyphen/>
            </w:r>
            <w:r w:rsidRPr="00A115B9">
              <w:t xml:space="preserve">economic outcomes. </w:t>
            </w:r>
            <w:r w:rsidR="001905FB">
              <w:t>T</w:t>
            </w:r>
            <w:r w:rsidRPr="00A115B9">
              <w:t xml:space="preserve">he Priority Reforms </w:t>
            </w:r>
            <w:r w:rsidR="00C10F54">
              <w:t>are designed to</w:t>
            </w:r>
            <w:r w:rsidRPr="00A115B9">
              <w:t xml:space="preserve"> support an accelerated achievement of the </w:t>
            </w:r>
            <w:r w:rsidR="005C2AAD">
              <w:t xml:space="preserve">Agreement’s 17 </w:t>
            </w:r>
            <w:r w:rsidR="00927114">
              <w:t>socio</w:t>
            </w:r>
            <w:r w:rsidR="003D3194">
              <w:noBreakHyphen/>
            </w:r>
            <w:r w:rsidR="00927114">
              <w:t>economic</w:t>
            </w:r>
            <w:r w:rsidRPr="00A115B9">
              <w:t xml:space="preserve"> </w:t>
            </w:r>
            <w:r w:rsidR="00D06F6D">
              <w:t>outcome</w:t>
            </w:r>
            <w:r w:rsidR="006D55C5">
              <w:t xml:space="preserve">s </w:t>
            </w:r>
            <w:r w:rsidR="00A266E1" w:rsidRPr="00A115B9">
              <w:t>a</w:t>
            </w:r>
            <w:r w:rsidR="006D55C5">
              <w:t xml:space="preserve">nd </w:t>
            </w:r>
            <w:r w:rsidR="0045697B">
              <w:t xml:space="preserve">19 </w:t>
            </w:r>
            <w:r w:rsidRPr="00A115B9" w:rsidDel="0090014A">
              <w:t>targets</w:t>
            </w:r>
            <w:r w:rsidRPr="00A115B9">
              <w:t>.</w:t>
            </w:r>
            <w:r w:rsidR="00D03693">
              <w:t xml:space="preserve"> The</w:t>
            </w:r>
            <w:r w:rsidR="00D03693" w:rsidDel="00971700">
              <w:t xml:space="preserve"> </w:t>
            </w:r>
            <w:r w:rsidR="00D03693">
              <w:t xml:space="preserve">Commission has focused </w:t>
            </w:r>
            <w:r w:rsidR="00E34586">
              <w:t>this first review on progress against the Priority Reforms.</w:t>
            </w:r>
          </w:p>
        </w:tc>
      </w:tr>
      <w:tr w:rsidR="00FD3FE4" w14:paraId="417F7921" w14:textId="77777777" w:rsidTr="007C578B">
        <w:tc>
          <w:tcPr>
            <w:tcW w:w="577" w:type="dxa"/>
            <w:shd w:val="clear" w:color="auto" w:fill="FBF3EC"/>
            <w:tcMar>
              <w:top w:w="0" w:type="dxa"/>
              <w:bottom w:w="0" w:type="dxa"/>
              <w:right w:w="113" w:type="dxa"/>
            </w:tcMar>
          </w:tcPr>
          <w:p w14:paraId="532063AC" w14:textId="0766CE1D" w:rsidR="00FD3FE4" w:rsidRPr="00A51374" w:rsidRDefault="007A178B" w:rsidP="000C6B77">
            <w:pPr>
              <w:pStyle w:val="KeyPointsicon"/>
            </w:pPr>
            <w:r w:rsidRPr="00A51374">
              <w:rPr>
                <w:noProof/>
              </w:rPr>
              <w:drawing>
                <wp:inline distT="0" distB="0" distL="0" distR="0" wp14:anchorId="0DFDE4B6" wp14:editId="603BDA1B">
                  <wp:extent cx="219850" cy="223849"/>
                  <wp:effectExtent l="0" t="0" r="0" b="5080"/>
                  <wp:docPr id="498040823" name="Picture 4980408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582E4397" w14:textId="77777777" w:rsidR="003E2204" w:rsidRDefault="005F0490" w:rsidP="00610627">
            <w:pPr>
              <w:pStyle w:val="KeyPoints-Bold"/>
            </w:pPr>
            <w:r>
              <w:t>The Commission has engaged widely</w:t>
            </w:r>
            <w:r w:rsidR="001E0622">
              <w:t>, particular</w:t>
            </w:r>
            <w:r w:rsidR="00C55F1E">
              <w:t>ly with Aboriginal and Torres Strait Islander people and organisations from across the country and across a wide range of sectors</w:t>
            </w:r>
            <w:r w:rsidR="00E65E79">
              <w:t>, including</w:t>
            </w:r>
            <w:r w:rsidR="003E2204">
              <w:t>:</w:t>
            </w:r>
          </w:p>
          <w:p w14:paraId="255171CB" w14:textId="7F17DC38" w:rsidR="000C5058" w:rsidRDefault="004247AE" w:rsidP="000C5058">
            <w:pPr>
              <w:pStyle w:val="KeyPoints-Bullet"/>
            </w:pPr>
            <w:r>
              <w:t>1</w:t>
            </w:r>
            <w:r w:rsidR="00B16E7B">
              <w:t>8</w:t>
            </w:r>
            <w:r w:rsidR="00F738E1">
              <w:t>6</w:t>
            </w:r>
            <w:r w:rsidR="00C00160">
              <w:t xml:space="preserve"> </w:t>
            </w:r>
            <w:r w:rsidR="0019791D">
              <w:t>meetings</w:t>
            </w:r>
            <w:r w:rsidR="00760F35">
              <w:t xml:space="preserve">, of which </w:t>
            </w:r>
            <w:r>
              <w:t>12</w:t>
            </w:r>
            <w:r w:rsidR="0085756C">
              <w:t>1</w:t>
            </w:r>
            <w:r>
              <w:t xml:space="preserve"> </w:t>
            </w:r>
            <w:r w:rsidR="00760F35">
              <w:t xml:space="preserve">were with Aboriginal and Torres Strait Islander </w:t>
            </w:r>
            <w:r w:rsidR="00375F0F">
              <w:t>organisations</w:t>
            </w:r>
          </w:p>
          <w:p w14:paraId="054E8408" w14:textId="42D196FF" w:rsidR="00DE5AD1" w:rsidRDefault="005C6357" w:rsidP="000C5058">
            <w:pPr>
              <w:pStyle w:val="KeyPoints-Bullet"/>
            </w:pPr>
            <w:r>
              <w:t>four virtual roundtables</w:t>
            </w:r>
            <w:r w:rsidR="00467A37">
              <w:t xml:space="preserve"> with </w:t>
            </w:r>
            <w:r w:rsidR="00C64A53">
              <w:t>or</w:t>
            </w:r>
            <w:r w:rsidR="00026FBE">
              <w:t>ganisations in priority policy areas identified in the Agreement</w:t>
            </w:r>
          </w:p>
          <w:p w14:paraId="1C9CAC02" w14:textId="14FC9A7B" w:rsidR="00FD3FE4" w:rsidRPr="00610627" w:rsidRDefault="00B932EB" w:rsidP="00610627">
            <w:pPr>
              <w:pStyle w:val="KeyPoints-Bold"/>
            </w:pPr>
            <w:r>
              <w:t>Thirty</w:t>
            </w:r>
            <w:r w:rsidR="003D3194">
              <w:noBreakHyphen/>
            </w:r>
            <w:r w:rsidR="00A85A84">
              <w:t>two</w:t>
            </w:r>
            <w:r w:rsidR="00363CDC">
              <w:t xml:space="preserve"> people and organisations made submissions</w:t>
            </w:r>
            <w:r w:rsidR="009E09D9">
              <w:t xml:space="preserve">, including </w:t>
            </w:r>
            <w:r w:rsidR="00224EDD">
              <w:t>1</w:t>
            </w:r>
            <w:r w:rsidR="00B0701A">
              <w:t>5</w:t>
            </w:r>
            <w:r w:rsidR="00224EDD">
              <w:t xml:space="preserve"> from Aboriginal and Torres Strait Islander organisations.</w:t>
            </w:r>
          </w:p>
        </w:tc>
      </w:tr>
      <w:tr w:rsidR="00FD3FE4" w14:paraId="7E56704D" w14:textId="77777777" w:rsidTr="007C578B">
        <w:tc>
          <w:tcPr>
            <w:tcW w:w="577" w:type="dxa"/>
            <w:shd w:val="clear" w:color="auto" w:fill="FBF3EC"/>
            <w:tcMar>
              <w:top w:w="0" w:type="dxa"/>
              <w:bottom w:w="0" w:type="dxa"/>
              <w:right w:w="113" w:type="dxa"/>
            </w:tcMar>
          </w:tcPr>
          <w:p w14:paraId="5256CDDD" w14:textId="41F62001" w:rsidR="00FD3FE4" w:rsidRPr="00A51374" w:rsidRDefault="007A178B" w:rsidP="000C6B77">
            <w:pPr>
              <w:pStyle w:val="KeyPointsicon"/>
            </w:pPr>
            <w:r w:rsidRPr="00A51374">
              <w:rPr>
                <w:noProof/>
              </w:rPr>
              <w:drawing>
                <wp:inline distT="0" distB="0" distL="0" distR="0" wp14:anchorId="1A369005" wp14:editId="3A3FD87F">
                  <wp:extent cx="219850" cy="223849"/>
                  <wp:effectExtent l="0" t="0" r="0" b="5080"/>
                  <wp:docPr id="1423865349" name="Picture 1423865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4FAF7144" w14:textId="6BCE32D0" w:rsidR="006E29CA" w:rsidRDefault="006E29CA" w:rsidP="006E29CA">
            <w:pPr>
              <w:pStyle w:val="KeyPoints-Bold"/>
            </w:pPr>
            <w:r>
              <w:t>The Commission has assessed progress towards the Priority Reforms in two ways</w:t>
            </w:r>
            <w:r w:rsidR="00E94032">
              <w:t>. We have</w:t>
            </w:r>
            <w:r w:rsidDel="00E94032">
              <w:t>:</w:t>
            </w:r>
          </w:p>
          <w:p w14:paraId="18992E79" w14:textId="5874388D" w:rsidR="006E29CA" w:rsidRDefault="006E29CA" w:rsidP="006E29CA">
            <w:pPr>
              <w:pStyle w:val="KeyPoints-Bullet"/>
            </w:pPr>
            <w:r>
              <w:t>assess</w:t>
            </w:r>
            <w:r w:rsidR="00E94032">
              <w:t>ed</w:t>
            </w:r>
            <w:r>
              <w:t xml:space="preserve"> progress against the specific commitments in the Agreement</w:t>
            </w:r>
            <w:r w:rsidR="00DE5E19">
              <w:t>,</w:t>
            </w:r>
            <w:r w:rsidR="00DA02EB">
              <w:t xml:space="preserve"> and whether proposed actions will lead to change</w:t>
            </w:r>
          </w:p>
          <w:p w14:paraId="6724802F" w14:textId="10BFB6FF" w:rsidR="00FD3FE4" w:rsidRPr="00610627" w:rsidRDefault="006E29CA" w:rsidP="008A2407">
            <w:pPr>
              <w:pStyle w:val="KeyPoints-Bullet"/>
            </w:pPr>
            <w:r>
              <w:t>assess</w:t>
            </w:r>
            <w:r w:rsidR="00E94032">
              <w:t>ed</w:t>
            </w:r>
            <w:r>
              <w:t xml:space="preserve"> the broad range of actions governments are taking, as set out in their </w:t>
            </w:r>
            <w:r w:rsidR="00E94032">
              <w:t>i</w:t>
            </w:r>
            <w:r>
              <w:t xml:space="preserve">mplementation </w:t>
            </w:r>
            <w:r w:rsidR="00E94032">
              <w:t>p</w:t>
            </w:r>
            <w:r>
              <w:t>lans.</w:t>
            </w:r>
          </w:p>
        </w:tc>
      </w:tr>
      <w:tr w:rsidR="00FD3FE4" w14:paraId="66E762BB" w14:textId="77777777" w:rsidTr="007C578B">
        <w:tc>
          <w:tcPr>
            <w:tcW w:w="577" w:type="dxa"/>
            <w:shd w:val="clear" w:color="auto" w:fill="FBF3EC"/>
            <w:tcMar>
              <w:top w:w="0" w:type="dxa"/>
              <w:bottom w:w="0" w:type="dxa"/>
              <w:right w:w="113" w:type="dxa"/>
            </w:tcMar>
          </w:tcPr>
          <w:p w14:paraId="551F2305" w14:textId="61CE0123" w:rsidR="00FD3FE4" w:rsidRPr="00A51374" w:rsidRDefault="007A178B" w:rsidP="000C6B77">
            <w:pPr>
              <w:pStyle w:val="KeyPointsicon"/>
            </w:pPr>
            <w:r w:rsidRPr="00A51374">
              <w:rPr>
                <w:noProof/>
              </w:rPr>
              <w:drawing>
                <wp:inline distT="0" distB="0" distL="0" distR="0" wp14:anchorId="370E97A6" wp14:editId="45DC7F6A">
                  <wp:extent cx="219850" cy="223849"/>
                  <wp:effectExtent l="0" t="0" r="0" b="5080"/>
                  <wp:docPr id="791445703" name="Picture 791445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68F6A22" w14:textId="4C088E81" w:rsidR="00FD3FE4" w:rsidRPr="00610627" w:rsidRDefault="00200A6E" w:rsidP="00610627">
            <w:pPr>
              <w:pStyle w:val="KeyPoints-Bold"/>
            </w:pPr>
            <w:r>
              <w:t>The Commission has ma</w:t>
            </w:r>
            <w:r w:rsidR="00C443A0">
              <w:t>de</w:t>
            </w:r>
            <w:r>
              <w:t xml:space="preserve"> observations about where progress can be observed</w:t>
            </w:r>
            <w:r w:rsidDel="00E94032">
              <w:t xml:space="preserve"> </w:t>
            </w:r>
            <w:r>
              <w:t xml:space="preserve">and where more work is needed. As well as extensive engagement, </w:t>
            </w:r>
            <w:r w:rsidR="009801ED">
              <w:t xml:space="preserve">the Commission </w:t>
            </w:r>
            <w:r w:rsidR="004C2591">
              <w:t xml:space="preserve">has </w:t>
            </w:r>
            <w:r>
              <w:t xml:space="preserve">also </w:t>
            </w:r>
            <w:r w:rsidR="004C2591">
              <w:t>a</w:t>
            </w:r>
            <w:r>
              <w:t xml:space="preserve">nalysed implementation plans and annual reports in detail to get a sense of what governments are doing against each of the </w:t>
            </w:r>
            <w:r w:rsidR="00866D2F">
              <w:t>P</w:t>
            </w:r>
            <w:r>
              <w:t xml:space="preserve">riority </w:t>
            </w:r>
            <w:r w:rsidR="00866D2F">
              <w:t>R</w:t>
            </w:r>
            <w:r>
              <w:t>eforms (and their specific commitments).</w:t>
            </w:r>
          </w:p>
        </w:tc>
      </w:tr>
      <w:tr w:rsidR="00C309B3" w14:paraId="014B65D6" w14:textId="77777777" w:rsidTr="007C578B">
        <w:tc>
          <w:tcPr>
            <w:tcW w:w="577" w:type="dxa"/>
            <w:shd w:val="clear" w:color="auto" w:fill="FBF3EC"/>
            <w:tcMar>
              <w:top w:w="0" w:type="dxa"/>
              <w:bottom w:w="0" w:type="dxa"/>
              <w:right w:w="113" w:type="dxa"/>
            </w:tcMar>
          </w:tcPr>
          <w:p w14:paraId="09F44E3A" w14:textId="3E6A1592" w:rsidR="00C309B3" w:rsidRPr="00A51374" w:rsidRDefault="007A178B" w:rsidP="000C6B77">
            <w:pPr>
              <w:pStyle w:val="KeyPointsicon"/>
              <w:rPr>
                <w:noProof/>
              </w:rPr>
            </w:pPr>
            <w:r w:rsidRPr="00A51374">
              <w:rPr>
                <w:noProof/>
              </w:rPr>
              <w:drawing>
                <wp:inline distT="0" distB="0" distL="0" distR="0" wp14:anchorId="06CA50CB" wp14:editId="1A8A2B8E">
                  <wp:extent cx="219850" cy="223849"/>
                  <wp:effectExtent l="0" t="0" r="0" b="5080"/>
                  <wp:docPr id="792510703" name="Picture 792510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7C69C8DB" w14:textId="2215A20A" w:rsidR="00C309B3" w:rsidRDefault="00F964A0" w:rsidP="00610627">
            <w:pPr>
              <w:pStyle w:val="KeyPoints-Bold"/>
            </w:pPr>
            <w:r>
              <w:t>T</w:t>
            </w:r>
            <w:r w:rsidR="008D3875" w:rsidRPr="008D3875">
              <w:t>h</w:t>
            </w:r>
            <w:r w:rsidR="008D3875">
              <w:t>e</w:t>
            </w:r>
            <w:r w:rsidR="008D3875" w:rsidRPr="008D3875">
              <w:t xml:space="preserve"> draft report </w:t>
            </w:r>
            <w:r w:rsidR="008D3875">
              <w:t xml:space="preserve">and accompanying information papers </w:t>
            </w:r>
            <w:r w:rsidR="008D3875" w:rsidRPr="008D3875">
              <w:t>are not our final views. The Commission would like to hear from Aboriginal and Torres Strait Islander people and organisations, governments and the broader community on the content of th</w:t>
            </w:r>
            <w:r w:rsidR="009C2529">
              <w:t>e</w:t>
            </w:r>
            <w:r w:rsidR="008D3875" w:rsidRPr="008D3875">
              <w:t xml:space="preserve"> draft report</w:t>
            </w:r>
            <w:r w:rsidR="009C2529">
              <w:t xml:space="preserve"> and information papers</w:t>
            </w:r>
            <w:r w:rsidR="008D3875" w:rsidRPr="008D3875">
              <w:t xml:space="preserve">, which will be taken into account before we finalise </w:t>
            </w:r>
            <w:r w:rsidR="009C2529">
              <w:t>them</w:t>
            </w:r>
            <w:r w:rsidR="008D3875" w:rsidRPr="008D3875">
              <w:t>. Submissions and brief comments are welcome by 6</w:t>
            </w:r>
            <w:r w:rsidR="003D3194">
              <w:t> </w:t>
            </w:r>
            <w:r w:rsidR="008D3875" w:rsidRPr="008D3875">
              <w:t>October 2023.</w:t>
            </w:r>
          </w:p>
        </w:tc>
      </w:tr>
    </w:tbl>
    <w:p w14:paraId="12C9970F" w14:textId="77777777" w:rsidR="009A20BA" w:rsidRDefault="009A20BA" w:rsidP="00D6483E">
      <w:pPr>
        <w:pStyle w:val="BodyText"/>
      </w:pPr>
      <w:r>
        <w:br w:type="page"/>
      </w:r>
    </w:p>
    <w:p w14:paraId="50E64D3B" w14:textId="4CFD3C03" w:rsidR="00890770" w:rsidRDefault="0076514A" w:rsidP="000E13C4">
      <w:pPr>
        <w:pStyle w:val="Heading2-nonumber"/>
      </w:pPr>
      <w:bookmarkStart w:id="6" w:name="_Toc140505511"/>
      <w:r>
        <w:lastRenderedPageBreak/>
        <w:t>1</w:t>
      </w:r>
      <w:r>
        <w:tab/>
      </w:r>
      <w:r w:rsidR="000A223E">
        <w:t>Closing the Gap</w:t>
      </w:r>
      <w:r w:rsidR="00A34E16">
        <w:t>:</w:t>
      </w:r>
      <w:r w:rsidR="000A223E">
        <w:t xml:space="preserve"> the his</w:t>
      </w:r>
      <w:r w:rsidR="008B0E7C">
        <w:t>torical context</w:t>
      </w:r>
      <w:bookmarkEnd w:id="6"/>
    </w:p>
    <w:p w14:paraId="02602907" w14:textId="75BF74AC" w:rsidR="00A64C6F" w:rsidRDefault="00A64C6F" w:rsidP="00A64C6F">
      <w:pPr>
        <w:pStyle w:val="BodyText"/>
      </w:pPr>
      <w:r>
        <w:t xml:space="preserve">The National Agreement on Closing the Gap </w:t>
      </w:r>
      <w:r w:rsidR="00F21358">
        <w:t>(the Agreement</w:t>
      </w:r>
      <w:r w:rsidR="0083174A">
        <w:t xml:space="preserve">) </w:t>
      </w:r>
      <w:r>
        <w:t xml:space="preserve">was </w:t>
      </w:r>
      <w:r w:rsidR="00B673C9">
        <w:t xml:space="preserve">signed </w:t>
      </w:r>
      <w:r>
        <w:t xml:space="preserve">in 2020 but it builds on a long history </w:t>
      </w:r>
      <w:r w:rsidR="00695EAA">
        <w:t xml:space="preserve">– </w:t>
      </w:r>
      <w:r>
        <w:t xml:space="preserve">of Aboriginal and Torres Strait Islander people’s ongoing sovereignty and </w:t>
      </w:r>
      <w:r w:rsidR="007B3D0D">
        <w:t xml:space="preserve">drive </w:t>
      </w:r>
      <w:r w:rsidR="006B7AD1">
        <w:t xml:space="preserve">for </w:t>
      </w:r>
      <w:r>
        <w:t>self</w:t>
      </w:r>
      <w:r w:rsidR="0083174A">
        <w:noBreakHyphen/>
      </w:r>
      <w:r>
        <w:t>determination</w:t>
      </w:r>
      <w:r w:rsidR="00C876CE">
        <w:t xml:space="preserve"> </w:t>
      </w:r>
      <w:r w:rsidR="00687FFE">
        <w:t xml:space="preserve">in the face of </w:t>
      </w:r>
      <w:r>
        <w:t>previous government policies, actions and agreements.</w:t>
      </w:r>
      <w:r w:rsidR="00A4059C">
        <w:t xml:space="preserve"> The Closing the Gap agenda has been an instrumental part of wider recognition by governments that self</w:t>
      </w:r>
      <w:r w:rsidR="003D3194">
        <w:noBreakHyphen/>
      </w:r>
      <w:r w:rsidR="00A4059C">
        <w:t>determination is key to changing life outcomes for Aboriginal and Torres Strait Islander people.</w:t>
      </w:r>
    </w:p>
    <w:p w14:paraId="5AE18C9D" w14:textId="5CAE646C" w:rsidR="00015365" w:rsidRPr="000E7962" w:rsidRDefault="006941AD" w:rsidP="000814D2">
      <w:pPr>
        <w:pStyle w:val="BodyText"/>
        <w:rPr>
          <w:spacing w:val="-4"/>
        </w:rPr>
      </w:pPr>
      <w:r w:rsidRPr="000E7962">
        <w:rPr>
          <w:spacing w:val="-4"/>
        </w:rPr>
        <w:t xml:space="preserve">For thousands of years, </w:t>
      </w:r>
      <w:r w:rsidR="000814D2" w:rsidRPr="000E7962">
        <w:rPr>
          <w:spacing w:val="-4"/>
        </w:rPr>
        <w:t xml:space="preserve">Aboriginal and Torres Strait Islander people </w:t>
      </w:r>
      <w:r w:rsidR="006752DB" w:rsidRPr="000E7962">
        <w:rPr>
          <w:spacing w:val="-4"/>
        </w:rPr>
        <w:t xml:space="preserve">lived </w:t>
      </w:r>
      <w:r w:rsidR="00506CFD" w:rsidRPr="000E7962">
        <w:rPr>
          <w:spacing w:val="-4"/>
        </w:rPr>
        <w:t xml:space="preserve">and prospered </w:t>
      </w:r>
      <w:r w:rsidR="00087961" w:rsidRPr="000E7962">
        <w:rPr>
          <w:spacing w:val="-4"/>
        </w:rPr>
        <w:t>on</w:t>
      </w:r>
      <w:r w:rsidR="00506CFD" w:rsidRPr="000E7962">
        <w:rPr>
          <w:spacing w:val="-4"/>
        </w:rPr>
        <w:t xml:space="preserve"> </w:t>
      </w:r>
      <w:r w:rsidR="00D2254F" w:rsidRPr="000E7962">
        <w:rPr>
          <w:spacing w:val="-4"/>
        </w:rPr>
        <w:t xml:space="preserve">Country across </w:t>
      </w:r>
      <w:r w:rsidR="00704A8F" w:rsidRPr="000E7962">
        <w:rPr>
          <w:spacing w:val="-4"/>
        </w:rPr>
        <w:t>this continent and surrounding islands</w:t>
      </w:r>
      <w:r w:rsidR="0012229D" w:rsidRPr="000E7962">
        <w:rPr>
          <w:spacing w:val="-4"/>
        </w:rPr>
        <w:t>.</w:t>
      </w:r>
      <w:r w:rsidR="0054417F" w:rsidRPr="000E7962">
        <w:rPr>
          <w:spacing w:val="-4"/>
        </w:rPr>
        <w:t xml:space="preserve"> </w:t>
      </w:r>
      <w:r w:rsidR="00961A6F" w:rsidRPr="000E7962">
        <w:rPr>
          <w:spacing w:val="-4"/>
        </w:rPr>
        <w:t>D</w:t>
      </w:r>
      <w:r w:rsidR="0054417F" w:rsidRPr="000E7962">
        <w:rPr>
          <w:spacing w:val="-4"/>
        </w:rPr>
        <w:t>espite the effects of colonisation</w:t>
      </w:r>
      <w:r w:rsidR="00BA5210" w:rsidRPr="000E7962">
        <w:rPr>
          <w:spacing w:val="-4"/>
        </w:rPr>
        <w:t>,</w:t>
      </w:r>
      <w:r w:rsidR="00961A6F" w:rsidRPr="000E7962">
        <w:rPr>
          <w:spacing w:val="-4"/>
        </w:rPr>
        <w:t xml:space="preserve"> Aboriginal and Torres Strait Islander people</w:t>
      </w:r>
      <w:r w:rsidR="0054417F" w:rsidRPr="000E7962">
        <w:rPr>
          <w:spacing w:val="-4"/>
        </w:rPr>
        <w:t xml:space="preserve"> have continued to </w:t>
      </w:r>
      <w:r w:rsidR="00DD31D1" w:rsidRPr="000E7962">
        <w:rPr>
          <w:spacing w:val="-4"/>
        </w:rPr>
        <w:t xml:space="preserve">maintain </w:t>
      </w:r>
      <w:r w:rsidR="00086C66" w:rsidRPr="000E7962">
        <w:rPr>
          <w:spacing w:val="-4"/>
        </w:rPr>
        <w:t xml:space="preserve">their </w:t>
      </w:r>
      <w:r w:rsidR="00DD31D1" w:rsidRPr="000E7962">
        <w:rPr>
          <w:spacing w:val="-4"/>
        </w:rPr>
        <w:t>culture</w:t>
      </w:r>
      <w:r w:rsidR="009D31DA" w:rsidRPr="000E7962">
        <w:rPr>
          <w:spacing w:val="-4"/>
        </w:rPr>
        <w:t>s</w:t>
      </w:r>
      <w:r w:rsidR="00DD31D1" w:rsidRPr="000E7962">
        <w:rPr>
          <w:spacing w:val="-4"/>
        </w:rPr>
        <w:t>, knowledge</w:t>
      </w:r>
      <w:r w:rsidR="009D31DA" w:rsidRPr="000E7962">
        <w:rPr>
          <w:spacing w:val="-4"/>
        </w:rPr>
        <w:t>s</w:t>
      </w:r>
      <w:r w:rsidR="009E5305" w:rsidRPr="000E7962">
        <w:rPr>
          <w:spacing w:val="-4"/>
        </w:rPr>
        <w:t xml:space="preserve"> and </w:t>
      </w:r>
      <w:r w:rsidR="007153FC" w:rsidRPr="000E7962">
        <w:rPr>
          <w:spacing w:val="-4"/>
        </w:rPr>
        <w:t>lore</w:t>
      </w:r>
      <w:r w:rsidR="009E5305" w:rsidRPr="000E7962">
        <w:rPr>
          <w:spacing w:val="-4"/>
        </w:rPr>
        <w:t xml:space="preserve">, </w:t>
      </w:r>
      <w:r w:rsidR="00C03044" w:rsidRPr="000E7962">
        <w:rPr>
          <w:spacing w:val="-4"/>
        </w:rPr>
        <w:t xml:space="preserve">and </w:t>
      </w:r>
      <w:r w:rsidR="00DE4E5A" w:rsidRPr="000E7962">
        <w:rPr>
          <w:spacing w:val="-4"/>
        </w:rPr>
        <w:t xml:space="preserve">assert sovereignty </w:t>
      </w:r>
      <w:r w:rsidR="008E0FAD" w:rsidRPr="000E7962">
        <w:rPr>
          <w:spacing w:val="-4"/>
        </w:rPr>
        <w:t xml:space="preserve">and </w:t>
      </w:r>
      <w:r w:rsidR="000814D2" w:rsidRPr="000E7962">
        <w:rPr>
          <w:spacing w:val="-4"/>
        </w:rPr>
        <w:t>self</w:t>
      </w:r>
      <w:r w:rsidR="003D3194" w:rsidRPr="000E7962">
        <w:rPr>
          <w:spacing w:val="-4"/>
        </w:rPr>
        <w:noBreakHyphen/>
      </w:r>
      <w:r w:rsidR="000814D2" w:rsidRPr="000E7962">
        <w:rPr>
          <w:spacing w:val="-4"/>
        </w:rPr>
        <w:t>determination</w:t>
      </w:r>
      <w:r w:rsidR="00B70545" w:rsidRPr="000E7962">
        <w:rPr>
          <w:spacing w:val="-4"/>
        </w:rPr>
        <w:t xml:space="preserve"> (box</w:t>
      </w:r>
      <w:r w:rsidR="003D3194" w:rsidRPr="000E7962">
        <w:rPr>
          <w:spacing w:val="-4"/>
        </w:rPr>
        <w:t> </w:t>
      </w:r>
      <w:r w:rsidR="00D65C1D" w:rsidRPr="000E7962">
        <w:rPr>
          <w:noProof/>
          <w:spacing w:val="-4"/>
        </w:rPr>
        <w:t>1</w:t>
      </w:r>
      <w:r w:rsidR="00B70545" w:rsidRPr="000E7962">
        <w:rPr>
          <w:noProof/>
          <w:spacing w:val="-4"/>
        </w:rPr>
        <w:t>)</w:t>
      </w:r>
      <w:r w:rsidR="000814D2" w:rsidRPr="000E7962">
        <w:rPr>
          <w:spacing w:val="-4"/>
        </w:rPr>
        <w:t>.</w:t>
      </w:r>
      <w:r w:rsidR="001A1C4E" w:rsidRPr="000E7962">
        <w:rPr>
          <w:spacing w:val="-4"/>
        </w:rPr>
        <w:t xml:space="preserve"> </w:t>
      </w:r>
      <w:r w:rsidR="000814D2" w:rsidRPr="000E7962">
        <w:rPr>
          <w:spacing w:val="-4"/>
        </w:rPr>
        <w:t>In recent times, this has included calls for government to engage in stronger partnerships, Treaty</w:t>
      </w:r>
      <w:r w:rsidR="000C007F" w:rsidRPr="000E7962">
        <w:rPr>
          <w:spacing w:val="-4"/>
        </w:rPr>
        <w:t>,</w:t>
      </w:r>
      <w:r w:rsidR="000814D2" w:rsidRPr="000E7962">
        <w:rPr>
          <w:spacing w:val="-4"/>
        </w:rPr>
        <w:t xml:space="preserve"> a </w:t>
      </w:r>
      <w:r w:rsidR="000C007F" w:rsidRPr="000E7962">
        <w:rPr>
          <w:spacing w:val="-4"/>
        </w:rPr>
        <w:t xml:space="preserve">Voice to State Parliaments and the proposed </w:t>
      </w:r>
      <w:r w:rsidR="000814D2" w:rsidRPr="000E7962">
        <w:rPr>
          <w:spacing w:val="-4"/>
        </w:rPr>
        <w:t xml:space="preserve">Voice </w:t>
      </w:r>
      <w:r w:rsidR="00EF6684" w:rsidRPr="000E7962">
        <w:rPr>
          <w:spacing w:val="-4"/>
        </w:rPr>
        <w:t xml:space="preserve">that </w:t>
      </w:r>
      <w:r w:rsidR="00926043" w:rsidRPr="000E7962">
        <w:rPr>
          <w:rFonts w:cs="Arial"/>
          <w:color w:val="343A40"/>
          <w:spacing w:val="-4"/>
          <w:shd w:val="clear" w:color="auto" w:fill="FFFFFF"/>
        </w:rPr>
        <w:t xml:space="preserve">would give advice </w:t>
      </w:r>
      <w:r w:rsidR="000814D2" w:rsidRPr="000E7962">
        <w:rPr>
          <w:spacing w:val="-4"/>
        </w:rPr>
        <w:t xml:space="preserve">to </w:t>
      </w:r>
      <w:r w:rsidR="00926043" w:rsidRPr="000E7962">
        <w:rPr>
          <w:spacing w:val="-4"/>
        </w:rPr>
        <w:t xml:space="preserve">the Australian </w:t>
      </w:r>
      <w:r w:rsidR="000814D2" w:rsidRPr="000E7962">
        <w:rPr>
          <w:spacing w:val="-4"/>
        </w:rPr>
        <w:t>Parliament</w:t>
      </w:r>
      <w:r w:rsidR="00926043" w:rsidRPr="000E7962">
        <w:rPr>
          <w:spacing w:val="-4"/>
        </w:rPr>
        <w:t xml:space="preserve"> and Government</w:t>
      </w:r>
      <w:r w:rsidR="00981D4E" w:rsidRPr="000E7962">
        <w:rPr>
          <w:spacing w:val="-4"/>
        </w:rPr>
        <w:t xml:space="preserve"> on matters that affect the lives of Aboriginal and Torres Strait Islander peoples</w:t>
      </w:r>
      <w:r w:rsidR="000814D2" w:rsidRPr="000E7962">
        <w:rPr>
          <w:spacing w:val="-4"/>
        </w:rPr>
        <w:t>.</w:t>
      </w:r>
    </w:p>
    <w:p w14:paraId="3731598D" w14:textId="70D6DD25" w:rsidR="00CF365C" w:rsidRDefault="000814D2" w:rsidP="000814D2">
      <w:pPr>
        <w:pStyle w:val="BodyText"/>
      </w:pPr>
      <w:r>
        <w:t>The denial of the sovereignty of Aboriginal and Torres Strait Islander people since colonisation has impeded Indigenous self</w:t>
      </w:r>
      <w:r w:rsidR="00B035B3">
        <w:noBreakHyphen/>
      </w:r>
      <w:r>
        <w:t xml:space="preserve">determination as government policies have continually sought to control the lives of Aboriginal and Torres Strait Islander people. The negative impacts of this have been acknowledged by various governments over time, with commitments to improve. </w:t>
      </w:r>
      <w:r w:rsidR="007536A3">
        <w:t>For the most part, these efforts have not led to substantial or enduring improvement to how governments work</w:t>
      </w:r>
      <w:r w:rsidR="007536A3" w:rsidDel="009F3033">
        <w:t>.</w:t>
      </w:r>
    </w:p>
    <w:p w14:paraId="18937E1D" w14:textId="6BB37151" w:rsidR="00A24302" w:rsidRPr="00F82BD9" w:rsidRDefault="00A24302" w:rsidP="00A24302">
      <w:pPr>
        <w:pStyle w:val="NoSpacing"/>
      </w:pPr>
    </w:p>
    <w:tbl>
      <w:tblPr>
        <w:tblStyle w:val="Boxtable"/>
        <w:tblW w:w="5000" w:type="pct"/>
        <w:tblLook w:val="04A0" w:firstRow="1" w:lastRow="0" w:firstColumn="1" w:lastColumn="0" w:noHBand="0" w:noVBand="1"/>
      </w:tblPr>
      <w:tblGrid>
        <w:gridCol w:w="906"/>
        <w:gridCol w:w="8732"/>
      </w:tblGrid>
      <w:tr w:rsidR="00A24302" w14:paraId="55ECCC54" w14:textId="77777777" w:rsidTr="00A24302">
        <w:trPr>
          <w:tblHeader/>
        </w:trPr>
        <w:tc>
          <w:tcPr>
            <w:tcW w:w="906" w:type="dxa"/>
            <w:shd w:val="clear" w:color="auto" w:fill="FBF3EC"/>
            <w:tcMar>
              <w:top w:w="170" w:type="dxa"/>
              <w:left w:w="170" w:type="dxa"/>
              <w:bottom w:w="113" w:type="dxa"/>
              <w:right w:w="170" w:type="dxa"/>
            </w:tcMar>
            <w:hideMark/>
          </w:tcPr>
          <w:p w14:paraId="6D59E112" w14:textId="77777777" w:rsidR="00A24302" w:rsidRDefault="00A24302" w:rsidP="004B56AC">
            <w:pPr>
              <w:pStyle w:val="BoxHeading1"/>
              <w:spacing w:before="120"/>
            </w:pPr>
            <w:r w:rsidRPr="00A031AA">
              <w:rPr>
                <w:b/>
                <w:bCs/>
                <w:noProof/>
              </w:rPr>
              <w:drawing>
                <wp:inline distT="0" distB="0" distL="0" distR="0" wp14:anchorId="6006F750" wp14:editId="064AABD5">
                  <wp:extent cx="360000" cy="424800"/>
                  <wp:effectExtent l="0" t="0" r="0" b="0"/>
                  <wp:docPr id="809320130" name="Picture 809320130"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2C1C54C5" w14:textId="755AE6EE" w:rsidR="00A24302" w:rsidRDefault="00A24302" w:rsidP="00795F70">
            <w:pPr>
              <w:pStyle w:val="BoxHeading1"/>
            </w:pPr>
            <w:r>
              <w:t xml:space="preserve">Box </w:t>
            </w:r>
            <w:r>
              <w:rPr>
                <w:noProof/>
              </w:rPr>
              <w:t>1</w:t>
            </w:r>
            <w:r>
              <w:t xml:space="preserve"> – Aboriginal and Torres Strait Islander people have continued to assert their self</w:t>
            </w:r>
            <w:r>
              <w:noBreakHyphen/>
              <w:t>determination and sovereignty</w:t>
            </w:r>
          </w:p>
        </w:tc>
      </w:tr>
      <w:tr w:rsidR="00A24302" w14:paraId="5913201D" w14:textId="77777777" w:rsidTr="00795F70">
        <w:tc>
          <w:tcPr>
            <w:tcW w:w="9638" w:type="dxa"/>
            <w:gridSpan w:val="2"/>
            <w:shd w:val="clear" w:color="auto" w:fill="FBF3EC"/>
            <w:tcMar>
              <w:top w:w="28" w:type="dxa"/>
              <w:left w:w="170" w:type="dxa"/>
              <w:bottom w:w="170" w:type="dxa"/>
              <w:right w:w="170" w:type="dxa"/>
            </w:tcMar>
            <w:hideMark/>
          </w:tcPr>
          <w:p w14:paraId="727E62BB" w14:textId="4C1AF3E6" w:rsidR="00A24302" w:rsidRPr="000E7962" w:rsidRDefault="00A24302" w:rsidP="00A24302">
            <w:pPr>
              <w:pStyle w:val="BodyText"/>
              <w:rPr>
                <w:spacing w:val="-4"/>
              </w:rPr>
            </w:pPr>
            <w:r w:rsidRPr="000E7962">
              <w:rPr>
                <w:spacing w:val="-4"/>
              </w:rPr>
              <w:t xml:space="preserve">Aboriginal and Torres Strait Islander people have thrived for tens of thousands of years with strong cultures, knowledges and lore </w:t>
            </w:r>
            <w:r w:rsidRPr="000E7962">
              <w:rPr>
                <w:rFonts w:cs="Arial"/>
                <w:spacing w:val="-4"/>
                <w:szCs w:val="24"/>
              </w:rPr>
              <w:t>(AIATSIS 2008; VPSC 2023, pp. 35–41)</w:t>
            </w:r>
            <w:r w:rsidRPr="000E7962">
              <w:rPr>
                <w:spacing w:val="-4"/>
              </w:rPr>
              <w:t xml:space="preserve">. Aboriginal and Torres Strait Islander people have: complex kinship structures; rules for community interactions; defined roles relating to law, education, spiritual development and resource management; languages, ceremonies, customs and traditions; and extensive knowledge of their environment </w:t>
            </w:r>
            <w:r w:rsidRPr="000E7962">
              <w:rPr>
                <w:rFonts w:cs="Arial"/>
                <w:spacing w:val="-4"/>
                <w:szCs w:val="24"/>
              </w:rPr>
              <w:t>(AIATSIS 2008, pp. 5–23; VPSC 2023, pp. 35–41)</w:t>
            </w:r>
            <w:r w:rsidRPr="000E7962">
              <w:rPr>
                <w:spacing w:val="-4"/>
              </w:rPr>
              <w:t>.</w:t>
            </w:r>
          </w:p>
          <w:p w14:paraId="759E81C9" w14:textId="590A3537" w:rsidR="00A24302" w:rsidRDefault="00A24302" w:rsidP="00A24302">
            <w:pPr>
              <w:pStyle w:val="BodyText"/>
              <w:rPr>
                <w:szCs w:val="24"/>
              </w:rPr>
            </w:pPr>
            <w:r>
              <w:t xml:space="preserve">After 1788, the colonial legal system denied that Aboriginal and Torres Strait Islander people had sovereignty or property rights over their land. Many Aboriginal and Torres Strait Islander people were dispossessed of their traditional lands, although not without resistance. From the late 1800s, colonial authorities required many Aboriginal and Torres Strait Islander people to live on reserves with limited freedoms. In the 1900s, governments took a more assimilationist approach, which included the forcible removal of many Aboriginal and Torres Strait Islander children from their families and communities between 1910 and 1970 — the Stolen Generations </w:t>
            </w:r>
            <w:r w:rsidRPr="00FA55BB">
              <w:rPr>
                <w:rFonts w:ascii="Arial" w:hAnsi="Arial" w:cs="Arial"/>
                <w:szCs w:val="24"/>
              </w:rPr>
              <w:t>(HREOC 1997, p. 31)</w:t>
            </w:r>
            <w:r>
              <w:rPr>
                <w:szCs w:val="24"/>
              </w:rPr>
              <w:t xml:space="preserve">. The impact of the removals continues for the Stolen Generations and their descendants </w:t>
            </w:r>
            <w:r w:rsidRPr="00CA06BF">
              <w:rPr>
                <w:rFonts w:ascii="Arial" w:hAnsi="Arial" w:cs="Arial"/>
                <w:szCs w:val="24"/>
              </w:rPr>
              <w:t>(AIHW 2018)</w:t>
            </w:r>
            <w:r>
              <w:rPr>
                <w:szCs w:val="24"/>
              </w:rPr>
              <w:t>.</w:t>
            </w:r>
          </w:p>
          <w:p w14:paraId="5CE604E9" w14:textId="77777777" w:rsidR="00A24302" w:rsidRDefault="00A24302" w:rsidP="00A24302">
            <w:pPr>
              <w:pStyle w:val="BodyText"/>
            </w:pPr>
            <w:r>
              <w:t xml:space="preserve">Aboriginal and Torres Strait Islander people were not passive in the face of these experiences. Some petitioned governments in the 1930s </w:t>
            </w:r>
            <w:r w:rsidRPr="007E57D5">
              <w:t>seeking representation in Parliament, the establishment of a national department of native affairs, and the creation of state advisory councils</w:t>
            </w:r>
            <w:r>
              <w:t>. In 1963, the Yol</w:t>
            </w:r>
            <w:r>
              <w:rPr>
                <w:rFonts w:cstheme="minorHAnsi"/>
              </w:rPr>
              <w:t>ŋ</w:t>
            </w:r>
            <w:r>
              <w:t xml:space="preserve">u people presented the Yirrkala Bark Petitions written in English and Gumatj. Continued activism resulted in the successful 1967 referendum to </w:t>
            </w:r>
            <w:r w:rsidRPr="001445C6">
              <w:t xml:space="preserve">amend the Australian constitution </w:t>
            </w:r>
            <w:r>
              <w:t>–</w:t>
            </w:r>
            <w:r w:rsidRPr="001445C6">
              <w:t xml:space="preserve"> to allow the </w:t>
            </w:r>
            <w:r>
              <w:t>Australian</w:t>
            </w:r>
            <w:r w:rsidRPr="001445C6">
              <w:t xml:space="preserve"> Government to legislate with respect to Aboriginal </w:t>
            </w:r>
            <w:r>
              <w:t>and Torres Strait Islander</w:t>
            </w:r>
            <w:r w:rsidRPr="001445C6">
              <w:t xml:space="preserve"> people, and to include Aboriginal </w:t>
            </w:r>
            <w:r>
              <w:t xml:space="preserve">and Torres Strait Islander </w:t>
            </w:r>
            <w:r w:rsidRPr="001445C6">
              <w:t>people in the Census</w:t>
            </w:r>
            <w:r>
              <w:t>.</w:t>
            </w:r>
          </w:p>
          <w:p w14:paraId="7F575973" w14:textId="77777777" w:rsidR="00A24302" w:rsidRDefault="00A24302" w:rsidP="00A24302">
            <w:pPr>
              <w:pStyle w:val="BodyText"/>
            </w:pPr>
            <w:r>
              <w:lastRenderedPageBreak/>
              <w:t xml:space="preserve">Aboriginal and Torres Strait Islander people continued to campaign for land rights and through the 1970s governments passed various forms of land rights legislation. During the 1970s and 1980s Aboriginal and Torres Strait Islander people established many </w:t>
            </w:r>
            <w:r w:rsidDel="00D31ED6">
              <w:t>community</w:t>
            </w:r>
            <w:r>
              <w:noBreakHyphen/>
              <w:t>controlled organisations (particularly organisations providing primary health care and legal services).</w:t>
            </w:r>
          </w:p>
          <w:p w14:paraId="550F85D0" w14:textId="77777777" w:rsidR="00A24302" w:rsidRDefault="00A24302" w:rsidP="00A24302">
            <w:pPr>
              <w:pStyle w:val="BodyText"/>
            </w:pPr>
            <w:r>
              <w:t>The Aboriginal and Torres Strait Islander Commission (ATSIC) was established in 1990 to advise the Australian Government and to deliver services to Aboriginal and Torres Strait Islander people. It comprised 35 regional councils elected by Aboriginal and Torres Strait Islander people and a national board of commissioners elected by regional councillors. ATSIC was abolished in 2004 and its functions and services transferred to mainstream agencies.</w:t>
            </w:r>
          </w:p>
          <w:p w14:paraId="4F8D7246" w14:textId="77777777" w:rsidR="00A24302" w:rsidRDefault="00A24302" w:rsidP="00A24302">
            <w:pPr>
              <w:pStyle w:val="BodyText"/>
            </w:pPr>
            <w:r w:rsidRPr="00EF5F9F">
              <w:t>Following the abolition of ATSIC in 2004, there was no national Aboriginal and Torres Strait Islander representative body until the establishment in 2010 of the National Congress of Australia’s First Peoples. Made up of Aboriginal and Torres Strait Islander individuals and organisations, it provided independent advocacy on behalf of First Nations people in Australia.</w:t>
            </w:r>
            <w:r>
              <w:t xml:space="preserve"> </w:t>
            </w:r>
            <w:r w:rsidRPr="00EF5F9F">
              <w:t>It was originally funded by the</w:t>
            </w:r>
            <w:r w:rsidRPr="00EF5F9F" w:rsidDel="00F65DB8">
              <w:t xml:space="preserve"> </w:t>
            </w:r>
            <w:r>
              <w:t>Australian</w:t>
            </w:r>
            <w:r w:rsidRPr="00EF5F9F">
              <w:t xml:space="preserve"> Government, but </w:t>
            </w:r>
            <w:r>
              <w:t>funding</w:t>
            </w:r>
            <w:r w:rsidRPr="00EF5F9F">
              <w:t xml:space="preserve"> was withdrawn in the 2014 budget. The National Congress entered voluntary administration in 2019.</w:t>
            </w:r>
            <w:r>
              <w:t xml:space="preserve"> </w:t>
            </w:r>
          </w:p>
          <w:p w14:paraId="716F6218" w14:textId="0065CEFC" w:rsidR="00A24302" w:rsidRDefault="00A24302" w:rsidP="00A24302">
            <w:pPr>
              <w:pStyle w:val="BodyText"/>
            </w:pPr>
            <w:r>
              <w:t xml:space="preserve">Structures such as ATSIC demonstrated strong precedent in what can be achieved at both the national and regional levels, when Aboriginal and Torres Strait Islander bodies and </w:t>
            </w:r>
            <w:r w:rsidDel="00F65DB8">
              <w:t>community</w:t>
            </w:r>
            <w:r>
              <w:noBreakHyphen/>
              <w:t xml:space="preserve">controlled organisations are given an equal place at the table. The strength of this precedent was reiterated in the Commission’s engagement with Aboriginal and Torres Strait Islander people around the country. </w:t>
            </w:r>
          </w:p>
        </w:tc>
      </w:tr>
      <w:tr w:rsidR="00A24302" w14:paraId="6D89F19D" w14:textId="77777777" w:rsidTr="00795F70">
        <w:trPr>
          <w:hidden/>
        </w:trPr>
        <w:tc>
          <w:tcPr>
            <w:tcW w:w="9638" w:type="dxa"/>
            <w:gridSpan w:val="2"/>
            <w:shd w:val="clear" w:color="auto" w:fill="auto"/>
            <w:tcMar>
              <w:top w:w="0" w:type="dxa"/>
              <w:left w:w="170" w:type="dxa"/>
              <w:bottom w:w="0" w:type="dxa"/>
              <w:right w:w="170" w:type="dxa"/>
            </w:tcMar>
          </w:tcPr>
          <w:p w14:paraId="4DC3D9DE" w14:textId="5E0F0EC2" w:rsidR="00A24302" w:rsidRPr="00465191" w:rsidRDefault="00A24302" w:rsidP="00795F70">
            <w:pPr>
              <w:pStyle w:val="BodyText"/>
              <w:spacing w:before="0" w:after="0" w:line="80" w:lineRule="atLeast"/>
              <w:rPr>
                <w:smallCaps/>
                <w:vanish/>
              </w:rPr>
            </w:pPr>
          </w:p>
        </w:tc>
      </w:tr>
    </w:tbl>
    <w:p w14:paraId="52696F99" w14:textId="27461349" w:rsidR="00950AFB" w:rsidRPr="004B4B5F" w:rsidRDefault="00950AFB" w:rsidP="00950AFB">
      <w:pPr>
        <w:pStyle w:val="BodyText"/>
      </w:pPr>
      <w:r>
        <w:t>While self</w:t>
      </w:r>
      <w:r w:rsidR="003D3194">
        <w:noBreakHyphen/>
      </w:r>
      <w:r>
        <w:t xml:space="preserve">determination means different things to different people, the Australian Institute of Aboriginal and Torres Strait Islander Studies </w:t>
      </w:r>
      <w:r w:rsidR="00F50C70" w:rsidRPr="00F50C70">
        <w:rPr>
          <w:rFonts w:ascii="Arial" w:hAnsi="Arial" w:cs="Arial"/>
          <w:szCs w:val="24"/>
        </w:rPr>
        <w:t>(AIATSIS 2019)</w:t>
      </w:r>
      <w:r w:rsidR="0050349D">
        <w:t xml:space="preserve"> </w:t>
      </w:r>
      <w:r>
        <w:t>explain</w:t>
      </w:r>
      <w:r w:rsidR="00E625E0">
        <w:t>ed</w:t>
      </w:r>
      <w:r>
        <w:t xml:space="preserve"> the principle of self</w:t>
      </w:r>
      <w:r w:rsidR="003D3194">
        <w:noBreakHyphen/>
      </w:r>
      <w:r>
        <w:t>determination as requiring that ‘Indigenous peoples be involved in decisions that affect them, including the design, delivery and evaluation of government policies and programs’. These principles are also contained within the Priority Reforms in the National Agreement on Closing the Gap.</w:t>
      </w:r>
    </w:p>
    <w:p w14:paraId="4D7874A1" w14:textId="7F3B0F31" w:rsidR="00E715A9" w:rsidRDefault="00043C0F" w:rsidP="00E715A9">
      <w:pPr>
        <w:pStyle w:val="BodyText"/>
      </w:pPr>
      <w:r w:rsidRPr="00043C0F">
        <w:t>Self</w:t>
      </w:r>
      <w:r w:rsidR="003D3194">
        <w:noBreakHyphen/>
      </w:r>
      <w:r w:rsidRPr="00043C0F">
        <w:t>determination is a central feature of the United Nations Declaration on the Rights of Indigenous Peoples (UNDRIP)</w:t>
      </w:r>
      <w:r w:rsidR="000333CC">
        <w:t>,</w:t>
      </w:r>
      <w:r w:rsidRPr="00043C0F">
        <w:t xml:space="preserve"> </w:t>
      </w:r>
      <w:r w:rsidR="000333CC">
        <w:t>which</w:t>
      </w:r>
      <w:r w:rsidRPr="00043C0F">
        <w:t xml:space="preserve"> was </w:t>
      </w:r>
      <w:r w:rsidR="001F7604">
        <w:t>a</w:t>
      </w:r>
      <w:r w:rsidR="00B56FFC">
        <w:t>dopted</w:t>
      </w:r>
      <w:r w:rsidR="00D57548">
        <w:t xml:space="preserve"> b</w:t>
      </w:r>
      <w:r w:rsidR="00B25FB6">
        <w:t>y the United Nations</w:t>
      </w:r>
      <w:r w:rsidRPr="00043C0F">
        <w:t xml:space="preserve"> in 2007 </w:t>
      </w:r>
      <w:r w:rsidR="00B25FB6">
        <w:t>and</w:t>
      </w:r>
      <w:r w:rsidRPr="00043C0F">
        <w:t xml:space="preserve"> sets out a framework for states to take actions to </w:t>
      </w:r>
      <w:r w:rsidR="00EB2BB8">
        <w:t>‘</w:t>
      </w:r>
      <w:r w:rsidRPr="00043C0F">
        <w:t>truly recognise Indigenous peoples</w:t>
      </w:r>
      <w:r w:rsidR="00EB2BB8">
        <w:t>’</w:t>
      </w:r>
      <w:r w:rsidRPr="00043C0F">
        <w:t xml:space="preserve"> rights to self</w:t>
      </w:r>
      <w:r w:rsidR="003D3194">
        <w:noBreakHyphen/>
      </w:r>
      <w:r w:rsidRPr="00043C0F">
        <w:t>determination, participation in decision</w:t>
      </w:r>
      <w:r w:rsidR="003D3194">
        <w:noBreakHyphen/>
      </w:r>
      <w:r w:rsidRPr="00043C0F">
        <w:t>making, respect for and promotion of culture, and equality and non</w:t>
      </w:r>
      <w:r w:rsidR="003D3194">
        <w:noBreakHyphen/>
      </w:r>
      <w:r w:rsidRPr="00043C0F">
        <w:t>discrimination</w:t>
      </w:r>
      <w:r w:rsidR="00EB2BB8">
        <w:t>’</w:t>
      </w:r>
      <w:r w:rsidRPr="00043C0F">
        <w:t xml:space="preserve">, including control over cultural traditions, customs and expressions </w:t>
      </w:r>
      <w:r w:rsidR="002D118F" w:rsidRPr="002D118F">
        <w:rPr>
          <w:rFonts w:ascii="Arial" w:hAnsi="Arial" w:cs="Arial"/>
          <w:szCs w:val="24"/>
        </w:rPr>
        <w:t>(United Nations 2007)</w:t>
      </w:r>
      <w:r w:rsidR="00CC7F25">
        <w:t>.</w:t>
      </w:r>
      <w:r w:rsidR="00E715A9">
        <w:t xml:space="preserve"> </w:t>
      </w:r>
      <w:r w:rsidR="00F001B0">
        <w:t>T</w:t>
      </w:r>
      <w:r w:rsidR="00F001B0" w:rsidRPr="00F001B0">
        <w:t>he Australian Government initially voted against UNDRIP in 2007</w:t>
      </w:r>
      <w:r w:rsidR="00EB2BB8">
        <w:t>,</w:t>
      </w:r>
      <w:r w:rsidR="00F001B0" w:rsidRPr="00F001B0">
        <w:t xml:space="preserve"> but reversed </w:t>
      </w:r>
      <w:r w:rsidR="00EA43B2">
        <w:t>its</w:t>
      </w:r>
      <w:r w:rsidR="00F001B0" w:rsidRPr="00F001B0">
        <w:t xml:space="preserve"> decision and endorsed UNDRIP in 2009.</w:t>
      </w:r>
      <w:r w:rsidR="00E715A9" w:rsidDel="00702B21">
        <w:t xml:space="preserve"> </w:t>
      </w:r>
      <w:r w:rsidR="00EA43B2">
        <w:t>T</w:t>
      </w:r>
      <w:r w:rsidR="00E715A9">
        <w:t>here has been some criticism about the extent to which its obligations have translated to</w:t>
      </w:r>
      <w:r w:rsidR="00E715A9" w:rsidDel="00AC1E4D">
        <w:t xml:space="preserve"> </w:t>
      </w:r>
      <w:r w:rsidR="00AC1E4D">
        <w:t xml:space="preserve">Australia’s </w:t>
      </w:r>
      <w:r w:rsidR="00E715A9">
        <w:t>domestic policies</w:t>
      </w:r>
      <w:r w:rsidR="00B67C04">
        <w:t xml:space="preserve"> </w:t>
      </w:r>
      <w:r w:rsidR="007E57C7" w:rsidRPr="007E57C7">
        <w:rPr>
          <w:rFonts w:ascii="Arial" w:hAnsi="Arial" w:cs="Arial"/>
          <w:szCs w:val="24"/>
        </w:rPr>
        <w:t>(for example, ANTAR 2022; Law Council of Australia 2022)</w:t>
      </w:r>
      <w:r w:rsidR="00E715A9">
        <w:t xml:space="preserve">. </w:t>
      </w:r>
    </w:p>
    <w:p w14:paraId="2BF660F5" w14:textId="631B45C0" w:rsidR="0075487E" w:rsidRDefault="006A306C" w:rsidP="00B26101">
      <w:pPr>
        <w:pStyle w:val="Heading3"/>
      </w:pPr>
      <w:r>
        <w:lastRenderedPageBreak/>
        <w:t xml:space="preserve">The </w:t>
      </w:r>
      <w:r w:rsidR="006524F9">
        <w:t xml:space="preserve">beginnings of </w:t>
      </w:r>
      <w:r>
        <w:t>Closing the Gap</w:t>
      </w:r>
    </w:p>
    <w:p w14:paraId="2AAA36EB" w14:textId="7DD2794E" w:rsidR="004626FF" w:rsidRDefault="000D1BF9" w:rsidP="004626FF">
      <w:pPr>
        <w:pStyle w:val="BodyText"/>
      </w:pPr>
      <w:r>
        <w:t>In 2002</w:t>
      </w:r>
      <w:r w:rsidR="00B81287">
        <w:t>, the Council of Australian Governments (COAG)</w:t>
      </w:r>
      <w:r w:rsidR="00EC5C88" w:rsidRPr="00B609DE">
        <w:rPr>
          <w:rStyle w:val="FootnoteReference"/>
        </w:rPr>
        <w:footnoteReference w:id="2"/>
      </w:r>
      <w:r w:rsidR="00B81287">
        <w:t xml:space="preserve"> </w:t>
      </w:r>
      <w:r w:rsidR="00CF2A39">
        <w:t xml:space="preserve">– </w:t>
      </w:r>
      <w:r w:rsidR="00B81287">
        <w:t xml:space="preserve">the </w:t>
      </w:r>
      <w:r w:rsidR="005B0E70">
        <w:t>Prime Minister</w:t>
      </w:r>
      <w:r w:rsidR="00B81287">
        <w:t>, each of the State and Territory Government</w:t>
      </w:r>
      <w:r w:rsidR="00BD173C">
        <w:t xml:space="preserve"> </w:t>
      </w:r>
      <w:r w:rsidR="00395E18">
        <w:t>Premiers or Chief Ministers</w:t>
      </w:r>
      <w:r w:rsidR="00B81287">
        <w:t xml:space="preserve"> and the </w:t>
      </w:r>
      <w:r w:rsidR="00395E18">
        <w:t xml:space="preserve">President of the </w:t>
      </w:r>
      <w:r w:rsidR="00B81287">
        <w:t>Australian Local Government Association</w:t>
      </w:r>
      <w:r w:rsidR="00E9630D">
        <w:t xml:space="preserve"> –</w:t>
      </w:r>
      <w:r w:rsidR="00765503">
        <w:t xml:space="preserve"> initiated </w:t>
      </w:r>
      <w:r w:rsidR="00E9630D">
        <w:t>trials</w:t>
      </w:r>
      <w:r w:rsidR="004A3BB1">
        <w:t xml:space="preserve"> of coordinate</w:t>
      </w:r>
      <w:r w:rsidR="00BF7C21">
        <w:t xml:space="preserve">d government approaches to </w:t>
      </w:r>
      <w:r w:rsidR="006D0A97">
        <w:t>service delivery in eight communities or regions across Australia</w:t>
      </w:r>
      <w:r w:rsidR="00043CC2">
        <w:t xml:space="preserve">. The Australian Government and the relevant </w:t>
      </w:r>
      <w:r w:rsidR="00853380">
        <w:t xml:space="preserve">state or territory government for each trial nominated lead agencies to </w:t>
      </w:r>
      <w:r w:rsidR="002A41A4">
        <w:t>coordinate</w:t>
      </w:r>
      <w:r w:rsidR="00572073">
        <w:t xml:space="preserve"> their approaches to </w:t>
      </w:r>
      <w:r w:rsidR="00D115A5">
        <w:t>community engagement and service delivery. The trials were evaluated</w:t>
      </w:r>
      <w:r w:rsidR="003F5A35">
        <w:t>, which showed that</w:t>
      </w:r>
      <w:r w:rsidR="00F90632">
        <w:t xml:space="preserve"> </w:t>
      </w:r>
      <w:r w:rsidR="005933FC">
        <w:t>while there were some successes</w:t>
      </w:r>
      <w:r w:rsidR="00105F37">
        <w:t xml:space="preserve">, </w:t>
      </w:r>
      <w:r w:rsidR="00407094">
        <w:t>such as improve</w:t>
      </w:r>
      <w:r w:rsidR="00692573">
        <w:t>d relationships and intergovernmental effort and improved partnerships with</w:t>
      </w:r>
      <w:r w:rsidR="00CB133B">
        <w:t xml:space="preserve"> Aboriginal and Torres Strait Islander communities, the extent </w:t>
      </w:r>
      <w:r w:rsidR="00FB1C2D">
        <w:t xml:space="preserve">of improvement </w:t>
      </w:r>
      <w:r w:rsidR="00CB133B">
        <w:t>varied</w:t>
      </w:r>
      <w:r w:rsidR="00692573">
        <w:t xml:space="preserve"> </w:t>
      </w:r>
      <w:r w:rsidR="00FB1C2D">
        <w:t xml:space="preserve">across sites. However, </w:t>
      </w:r>
      <w:r w:rsidR="00105F37">
        <w:t xml:space="preserve">many </w:t>
      </w:r>
      <w:r w:rsidR="00D43BBF">
        <w:t>t</w:t>
      </w:r>
      <w:r w:rsidR="00105F37">
        <w:t>hings</w:t>
      </w:r>
      <w:r w:rsidR="00940FB3">
        <w:t xml:space="preserve"> could </w:t>
      </w:r>
      <w:r w:rsidR="00D43BBF">
        <w:t xml:space="preserve">have </w:t>
      </w:r>
      <w:r w:rsidR="00940FB3">
        <w:t>be</w:t>
      </w:r>
      <w:r w:rsidR="00D43BBF">
        <w:t>en</w:t>
      </w:r>
      <w:r w:rsidR="00940FB3">
        <w:t xml:space="preserve"> done better in</w:t>
      </w:r>
      <w:r w:rsidR="006322A9">
        <w:t xml:space="preserve"> approaches to partnership with Aboriginal and Torres Strait Islander people</w:t>
      </w:r>
      <w:r w:rsidR="005038E7">
        <w:t>,</w:t>
      </w:r>
      <w:r w:rsidR="00FD5940">
        <w:t xml:space="preserve"> improving the capability of government agencies to </w:t>
      </w:r>
      <w:r w:rsidR="0032754C">
        <w:t>work with and provid</w:t>
      </w:r>
      <w:r w:rsidR="005038E7">
        <w:t>e</w:t>
      </w:r>
      <w:r w:rsidR="0032754C">
        <w:t xml:space="preserve"> services for Aboriginal and Torres Strait Islander people</w:t>
      </w:r>
      <w:r w:rsidR="005038E7">
        <w:t>, and coordination across government agencies</w:t>
      </w:r>
      <w:r w:rsidR="0032754C">
        <w:t xml:space="preserve"> </w:t>
      </w:r>
      <w:r w:rsidR="00724468" w:rsidRPr="00724468">
        <w:rPr>
          <w:rFonts w:ascii="Arial" w:hAnsi="Arial" w:cs="Arial"/>
          <w:szCs w:val="24"/>
        </w:rPr>
        <w:t>(Morgan Disney and Associates 2006, pp. 5–8)</w:t>
      </w:r>
      <w:r w:rsidR="003D6720">
        <w:t>.</w:t>
      </w:r>
    </w:p>
    <w:p w14:paraId="760847D5" w14:textId="27158369" w:rsidR="002E1CE3" w:rsidRDefault="00887823" w:rsidP="00FA3714">
      <w:pPr>
        <w:pStyle w:val="BodyText"/>
      </w:pPr>
      <w:r>
        <w:t>Also</w:t>
      </w:r>
      <w:r w:rsidR="00340426">
        <w:t xml:space="preserve"> i</w:t>
      </w:r>
      <w:r w:rsidR="0067576E">
        <w:t xml:space="preserve">n 2002, </w:t>
      </w:r>
      <w:r w:rsidR="00BC2441">
        <w:t>COAG</w:t>
      </w:r>
      <w:r w:rsidR="00EC7471">
        <w:t xml:space="preserve"> </w:t>
      </w:r>
      <w:r w:rsidR="009A03D5">
        <w:t xml:space="preserve">commissioned the </w:t>
      </w:r>
      <w:r w:rsidR="00316928">
        <w:t>Steer</w:t>
      </w:r>
      <w:r w:rsidR="0081433F">
        <w:t xml:space="preserve">ing Committee for the Review </w:t>
      </w:r>
      <w:r w:rsidR="00C04365">
        <w:t xml:space="preserve">of Government Service Provision </w:t>
      </w:r>
      <w:r w:rsidR="007823FD">
        <w:t>(</w:t>
      </w:r>
      <w:r w:rsidR="00340426">
        <w:t xml:space="preserve">with </w:t>
      </w:r>
      <w:r w:rsidR="007823FD">
        <w:t xml:space="preserve">the Productivity Commission as the </w:t>
      </w:r>
      <w:r w:rsidR="002E7927">
        <w:t>s</w:t>
      </w:r>
      <w:r w:rsidR="00E71DEC">
        <w:t xml:space="preserve">ecretariat) </w:t>
      </w:r>
      <w:r w:rsidR="00C04365">
        <w:t>to prepare a regular report</w:t>
      </w:r>
      <w:r w:rsidR="00A311BE">
        <w:t xml:space="preserve"> on indicators of </w:t>
      </w:r>
      <w:r w:rsidR="00F355F6">
        <w:t>Indigenous disadvantage</w:t>
      </w:r>
      <w:r w:rsidR="00D8357F">
        <w:t xml:space="preserve">. </w:t>
      </w:r>
      <w:r w:rsidR="00532F9E">
        <w:t xml:space="preserve">COAG agreed </w:t>
      </w:r>
      <w:r w:rsidR="00597A0F">
        <w:t xml:space="preserve">a framework of indicators and </w:t>
      </w:r>
      <w:r w:rsidR="007823FD">
        <w:t>a first report was published in 200</w:t>
      </w:r>
      <w:r w:rsidR="00346925">
        <w:t xml:space="preserve">3. </w:t>
      </w:r>
      <w:r w:rsidR="0046378E">
        <w:t>A further seven editions</w:t>
      </w:r>
      <w:r w:rsidR="007700CC">
        <w:t xml:space="preserve"> were p</w:t>
      </w:r>
      <w:r w:rsidR="00AB15FA">
        <w:t>ublished, with the most recent in 2020</w:t>
      </w:r>
      <w:r w:rsidR="00D97A44">
        <w:t xml:space="preserve"> </w:t>
      </w:r>
      <w:r w:rsidR="00D97A44" w:rsidRPr="00D97A44">
        <w:rPr>
          <w:rFonts w:ascii="Arial" w:hAnsi="Arial" w:cs="Arial"/>
          <w:szCs w:val="24"/>
        </w:rPr>
        <w:t>(SCRGSP 2020)</w:t>
      </w:r>
      <w:r w:rsidR="00AB15FA">
        <w:t>.</w:t>
      </w:r>
      <w:r w:rsidR="00726447">
        <w:t xml:space="preserve"> The </w:t>
      </w:r>
      <w:r w:rsidR="00FA1EF2">
        <w:t xml:space="preserve">Steering Committee and the </w:t>
      </w:r>
      <w:r w:rsidR="007E7886">
        <w:t xml:space="preserve">Commission engaged with Aboriginal and Torres Strait Islander people in the </w:t>
      </w:r>
      <w:r w:rsidR="00726447">
        <w:t xml:space="preserve">development </w:t>
      </w:r>
      <w:r w:rsidR="002E7927">
        <w:t xml:space="preserve">and ongoing evolution </w:t>
      </w:r>
      <w:r w:rsidR="00726447">
        <w:t xml:space="preserve">of the </w:t>
      </w:r>
      <w:r w:rsidR="00A25B7F" w:rsidRPr="00340426">
        <w:rPr>
          <w:i/>
          <w:iCs/>
        </w:rPr>
        <w:t>Overcoming Indigenous Disadvantage: Key Indicators</w:t>
      </w:r>
      <w:r w:rsidR="005D4973">
        <w:t xml:space="preserve"> report</w:t>
      </w:r>
      <w:r w:rsidR="00D97A44">
        <w:t>s</w:t>
      </w:r>
      <w:r w:rsidR="009A5842">
        <w:t xml:space="preserve">, however, </w:t>
      </w:r>
      <w:r w:rsidR="00985560">
        <w:t>decision</w:t>
      </w:r>
      <w:r w:rsidR="003D3194">
        <w:noBreakHyphen/>
      </w:r>
      <w:r w:rsidR="00985560">
        <w:t xml:space="preserve">making </w:t>
      </w:r>
      <w:r w:rsidR="00A32694">
        <w:t xml:space="preserve">rested with </w:t>
      </w:r>
      <w:r w:rsidR="00D97A44">
        <w:t xml:space="preserve">the </w:t>
      </w:r>
      <w:r w:rsidR="00826E38">
        <w:t xml:space="preserve">governments who comprised the </w:t>
      </w:r>
      <w:r w:rsidR="00A645B0">
        <w:t xml:space="preserve">Steering </w:t>
      </w:r>
      <w:r w:rsidR="00826E38" w:rsidDel="00A645B0">
        <w:t>Committee</w:t>
      </w:r>
      <w:r w:rsidR="00316B9F">
        <w:t xml:space="preserve">. </w:t>
      </w:r>
      <w:r w:rsidR="007F3132">
        <w:t>The Steering Committee was guided by the Overcoming Indigenous Disadvantage Working Group</w:t>
      </w:r>
      <w:r w:rsidR="00D97A44">
        <w:t>. F</w:t>
      </w:r>
      <w:r w:rsidR="00594DBA">
        <w:t>or the 2020 report</w:t>
      </w:r>
      <w:r w:rsidR="00D97A44">
        <w:t>, the work</w:t>
      </w:r>
      <w:r w:rsidR="008E6415">
        <w:t>ing</w:t>
      </w:r>
      <w:r w:rsidR="00D97A44">
        <w:t xml:space="preserve"> group</w:t>
      </w:r>
      <w:r w:rsidR="00594DBA">
        <w:t xml:space="preserve"> had three Aboriginal and Torres Strait Islander</w:t>
      </w:r>
      <w:r w:rsidR="006B62E2">
        <w:t xml:space="preserve"> members representing the Coalition of Peaks </w:t>
      </w:r>
      <w:r w:rsidR="001711E3">
        <w:t>and</w:t>
      </w:r>
      <w:r w:rsidR="006B62E2">
        <w:t xml:space="preserve"> an Aborigina</w:t>
      </w:r>
      <w:r w:rsidR="00DA42B0">
        <w:t xml:space="preserve">l chair for the first time. </w:t>
      </w:r>
      <w:r w:rsidR="001B696B">
        <w:t>As well as reporting ag</w:t>
      </w:r>
      <w:r w:rsidR="00F741DD">
        <w:t xml:space="preserve">ainst the indicators, the report </w:t>
      </w:r>
      <w:r w:rsidR="00E63D81">
        <w:t>identified</w:t>
      </w:r>
      <w:r w:rsidR="002E1CE3">
        <w:t>:</w:t>
      </w:r>
    </w:p>
    <w:p w14:paraId="695CDC63" w14:textId="1A21395E" w:rsidR="00FA3714" w:rsidRDefault="00FA3714" w:rsidP="002E1CE3">
      <w:pPr>
        <w:pStyle w:val="Quote"/>
      </w:pPr>
      <w:r>
        <w:t xml:space="preserve">Common characteristics of approaches that appear to be successful in improving outcomes for Aboriginal and Torres Strait Islander people </w:t>
      </w:r>
      <w:r w:rsidR="00351233">
        <w:t>includ</w:t>
      </w:r>
      <w:r w:rsidR="0083329E">
        <w:t>e</w:t>
      </w:r>
      <w:r>
        <w:t>:</w:t>
      </w:r>
    </w:p>
    <w:p w14:paraId="2A7FC16B" w14:textId="77777777" w:rsidR="00FA3714" w:rsidRDefault="00FA3714" w:rsidP="002E1CE3">
      <w:pPr>
        <w:pStyle w:val="QuoteBullet"/>
      </w:pPr>
      <w:r>
        <w:t>addressing racism and discrimination in the Australian community, through structural changes, and building knowledge and providing education</w:t>
      </w:r>
    </w:p>
    <w:p w14:paraId="022BFE97" w14:textId="77777777" w:rsidR="00FA3714" w:rsidRDefault="00FA3714" w:rsidP="002E1CE3">
      <w:pPr>
        <w:pStyle w:val="QuoteBullet"/>
      </w:pPr>
      <w:r>
        <w:t>enabling Aboriginal and Torres Strait Islander people to share in decision</w:t>
      </w:r>
      <w:r>
        <w:noBreakHyphen/>
        <w:t>making about things that affect them</w:t>
      </w:r>
    </w:p>
    <w:p w14:paraId="6CD29CBA" w14:textId="77777777" w:rsidR="00FA3714" w:rsidRDefault="00FA3714" w:rsidP="002E1CE3">
      <w:pPr>
        <w:pStyle w:val="QuoteBullet"/>
      </w:pPr>
      <w:r>
        <w:t>addressing laws, policies, and practices that operate to the detriment of Aboriginal and Torres Strait Islander people</w:t>
      </w:r>
    </w:p>
    <w:p w14:paraId="66D37C6A" w14:textId="77777777" w:rsidR="00FA3714" w:rsidRDefault="00FA3714" w:rsidP="002E1CE3">
      <w:pPr>
        <w:pStyle w:val="QuoteBullet"/>
      </w:pPr>
      <w:r>
        <w:t>ongoing government investment, collaboration and coordination</w:t>
      </w:r>
    </w:p>
    <w:p w14:paraId="5A58CE31" w14:textId="0F9E2C2B" w:rsidR="00FA3714" w:rsidRPr="00412B01" w:rsidRDefault="00FA3714" w:rsidP="002E1CE3">
      <w:pPr>
        <w:pStyle w:val="QuoteBullet"/>
      </w:pPr>
      <w:r>
        <w:t>ensuring access to effective culturally safe services, at the right time and suited to the local context.</w:t>
      </w:r>
      <w:r w:rsidR="00951AD1">
        <w:t xml:space="preserve"> </w:t>
      </w:r>
      <w:r w:rsidR="009E78C7" w:rsidRPr="009E78C7">
        <w:rPr>
          <w:rFonts w:ascii="Arial" w:hAnsi="Arial" w:cs="Arial"/>
          <w:szCs w:val="24"/>
        </w:rPr>
        <w:t>(SCRGSP 2020, p. xxiii)</w:t>
      </w:r>
    </w:p>
    <w:p w14:paraId="3AA474C9" w14:textId="460B5D83" w:rsidR="00317FFE" w:rsidRDefault="00317FFE" w:rsidP="00B15CF2">
      <w:pPr>
        <w:pStyle w:val="BodyText"/>
      </w:pPr>
      <w:r>
        <w:t>In 20</w:t>
      </w:r>
      <w:r w:rsidR="00B5755D">
        <w:t>07, COAG</w:t>
      </w:r>
      <w:r w:rsidR="00D54B59">
        <w:t xml:space="preserve"> commissioned a regular report on </w:t>
      </w:r>
      <w:r w:rsidR="00D87120">
        <w:t>expenditure on services for Aboriginal and Torres Strait Islander people. Four editions were published between 2010 and 2017</w:t>
      </w:r>
      <w:r w:rsidR="00B63833">
        <w:t xml:space="preserve"> </w:t>
      </w:r>
      <w:r w:rsidR="008B1F7F" w:rsidRPr="008B1F7F">
        <w:rPr>
          <w:rFonts w:ascii="Arial" w:hAnsi="Arial" w:cs="Arial"/>
          <w:szCs w:val="24"/>
        </w:rPr>
        <w:t>(SCRGSP 2017)</w:t>
      </w:r>
      <w:r w:rsidR="00D87120">
        <w:t>.</w:t>
      </w:r>
    </w:p>
    <w:p w14:paraId="45543AE8" w14:textId="0CA1424E" w:rsidR="005E2530" w:rsidRDefault="005E2530" w:rsidP="00B15CF2">
      <w:pPr>
        <w:pStyle w:val="BodyText"/>
      </w:pPr>
      <w:r>
        <w:t xml:space="preserve">The Close the Gap </w:t>
      </w:r>
      <w:r w:rsidR="007F7739">
        <w:t>Campaign</w:t>
      </w:r>
      <w:r w:rsidR="00DA3444">
        <w:t xml:space="preserve"> was launched in 2007 to </w:t>
      </w:r>
      <w:r w:rsidR="005D4FB7" w:rsidRPr="005D4FB7">
        <w:t>close the Aboriginal and Torres Strait Islander health gap</w:t>
      </w:r>
      <w:r w:rsidR="005D4FB7">
        <w:t xml:space="preserve"> by </w:t>
      </w:r>
      <w:r w:rsidR="005D4FB7" w:rsidRPr="005D4FB7">
        <w:t xml:space="preserve">implementing a human </w:t>
      </w:r>
      <w:r w:rsidR="005D4FB7" w:rsidRPr="005D4FB7" w:rsidDel="001711E3">
        <w:t>rights</w:t>
      </w:r>
      <w:r w:rsidR="003D3194">
        <w:noBreakHyphen/>
      </w:r>
      <w:r w:rsidR="001711E3" w:rsidRPr="005D4FB7">
        <w:t>based</w:t>
      </w:r>
      <w:r w:rsidR="005D4FB7" w:rsidRPr="005D4FB7">
        <w:t xml:space="preserve"> approach to Aboriginal and Torres Strait Islander health</w:t>
      </w:r>
      <w:r w:rsidR="002A0CAB">
        <w:t>.</w:t>
      </w:r>
      <w:r w:rsidR="003675EC">
        <w:t xml:space="preserve"> </w:t>
      </w:r>
      <w:r w:rsidR="00A4636D">
        <w:t>The</w:t>
      </w:r>
      <w:r w:rsidR="00A4636D" w:rsidDel="00DF6232">
        <w:t xml:space="preserve"> </w:t>
      </w:r>
      <w:r w:rsidR="00DF6232">
        <w:t xml:space="preserve">campaign </w:t>
      </w:r>
      <w:r w:rsidR="00A4636D">
        <w:t xml:space="preserve">steering committee </w:t>
      </w:r>
      <w:r w:rsidR="002A0CAB">
        <w:t xml:space="preserve">comprises </w:t>
      </w:r>
      <w:r w:rsidR="002A0CAB" w:rsidRPr="002A0CAB">
        <w:t>Australia</w:t>
      </w:r>
      <w:r w:rsidR="00DF6232">
        <w:t>’</w:t>
      </w:r>
      <w:r w:rsidR="002A0CAB" w:rsidRPr="002A0CAB">
        <w:t>s peak Indigenous and non</w:t>
      </w:r>
      <w:r w:rsidR="003D3194">
        <w:noBreakHyphen/>
      </w:r>
      <w:r w:rsidR="002A0CAB" w:rsidRPr="002A0CAB">
        <w:t xml:space="preserve">Indigenous health bodies, </w:t>
      </w:r>
      <w:r w:rsidR="00C626E6">
        <w:t>non</w:t>
      </w:r>
      <w:r w:rsidR="003D3194">
        <w:noBreakHyphen/>
      </w:r>
      <w:r w:rsidR="00026609">
        <w:t>government organisations (</w:t>
      </w:r>
      <w:r w:rsidR="002A0CAB" w:rsidRPr="002A0CAB">
        <w:t>NGOs</w:t>
      </w:r>
      <w:r w:rsidR="00026609">
        <w:t>)</w:t>
      </w:r>
      <w:r w:rsidR="002A0CAB" w:rsidRPr="002A0CAB">
        <w:t xml:space="preserve"> and human rights organisations</w:t>
      </w:r>
      <w:r w:rsidR="00D24671">
        <w:t xml:space="preserve">. The </w:t>
      </w:r>
      <w:r w:rsidR="00DF6232">
        <w:t>c</w:t>
      </w:r>
      <w:r w:rsidR="00D24671">
        <w:t>ampaign has published</w:t>
      </w:r>
      <w:r w:rsidR="006B6E54">
        <w:t xml:space="preserve"> annual </w:t>
      </w:r>
      <w:r w:rsidR="006B6E54">
        <w:lastRenderedPageBreak/>
        <w:t>reports since then, including a review in 2018</w:t>
      </w:r>
      <w:r w:rsidR="000D40C7">
        <w:t xml:space="preserve"> examining why Australian governments had not succeeded in closing the health gap </w:t>
      </w:r>
      <w:r w:rsidR="00C97824" w:rsidRPr="00C97824">
        <w:rPr>
          <w:rFonts w:ascii="Arial" w:hAnsi="Arial" w:cs="Arial"/>
          <w:szCs w:val="24"/>
        </w:rPr>
        <w:t>(Close the Gap Campaign 2022)</w:t>
      </w:r>
      <w:r w:rsidR="001303A8">
        <w:t>.</w:t>
      </w:r>
    </w:p>
    <w:p w14:paraId="3F18162C" w14:textId="645B6BF8" w:rsidR="00DC29A6" w:rsidRDefault="00E02AE5" w:rsidP="00B15CF2">
      <w:pPr>
        <w:pStyle w:val="BodyText"/>
      </w:pPr>
      <w:r>
        <w:t xml:space="preserve">In 2008, COAG agreed the National </w:t>
      </w:r>
      <w:r w:rsidR="00616F3E">
        <w:t xml:space="preserve">Indigenous Reform Agreement </w:t>
      </w:r>
      <w:r w:rsidR="002E508C">
        <w:t>(NIRA)</w:t>
      </w:r>
      <w:r w:rsidR="00C65C55">
        <w:t>, which</w:t>
      </w:r>
      <w:r w:rsidR="002E508C">
        <w:t xml:space="preserve"> </w:t>
      </w:r>
      <w:r w:rsidR="00616F3E">
        <w:t>includ</w:t>
      </w:r>
      <w:r w:rsidR="00C65C55">
        <w:t>ed</w:t>
      </w:r>
      <w:r w:rsidR="00616F3E">
        <w:t xml:space="preserve"> </w:t>
      </w:r>
      <w:r w:rsidR="00C1551F">
        <w:t xml:space="preserve">six </w:t>
      </w:r>
      <w:r w:rsidR="00E25DE0">
        <w:t xml:space="preserve">Closing the Gap </w:t>
      </w:r>
      <w:r w:rsidR="005D7B57">
        <w:t>targets (a seventh was added later)</w:t>
      </w:r>
      <w:r w:rsidR="00DD6AA2">
        <w:t xml:space="preserve"> </w:t>
      </w:r>
      <w:r w:rsidR="007D4E1E">
        <w:t xml:space="preserve">supported by performance indicators </w:t>
      </w:r>
      <w:r w:rsidR="00963196">
        <w:t>grouped within seven building blocks</w:t>
      </w:r>
      <w:r w:rsidR="00667F93">
        <w:t xml:space="preserve"> </w:t>
      </w:r>
      <w:r w:rsidR="009F13D9" w:rsidRPr="009F13D9">
        <w:rPr>
          <w:rFonts w:ascii="Arial" w:hAnsi="Arial" w:cs="Arial"/>
          <w:szCs w:val="24"/>
        </w:rPr>
        <w:t>(COAG 2008)</w:t>
      </w:r>
      <w:r w:rsidR="00963196">
        <w:t>.</w:t>
      </w:r>
      <w:r w:rsidR="00D27EA7" w:rsidRPr="00D27EA7">
        <w:t xml:space="preserve"> </w:t>
      </w:r>
      <w:r w:rsidR="00927A30">
        <w:t>T</w:t>
      </w:r>
      <w:r w:rsidR="00D27EA7">
        <w:t xml:space="preserve">he NIRA largely focused on setting targets for </w:t>
      </w:r>
      <w:r w:rsidR="00927114">
        <w:t>socio</w:t>
      </w:r>
      <w:r w:rsidR="003D3194">
        <w:noBreakHyphen/>
      </w:r>
      <w:r w:rsidR="00927114">
        <w:t>economic</w:t>
      </w:r>
      <w:r w:rsidR="00D27EA7">
        <w:t xml:space="preserve"> outcomes. </w:t>
      </w:r>
      <w:r w:rsidR="00BC70DF">
        <w:t xml:space="preserve">The </w:t>
      </w:r>
      <w:r w:rsidR="00A41543">
        <w:t>COAG Reform Co</w:t>
      </w:r>
      <w:r w:rsidR="0057075D">
        <w:t xml:space="preserve">uncil </w:t>
      </w:r>
      <w:r w:rsidR="00A41543">
        <w:t>assessed</w:t>
      </w:r>
      <w:r w:rsidR="002C00F6">
        <w:t xml:space="preserve"> progress against the agreement in annual reports</w:t>
      </w:r>
      <w:r w:rsidR="00B63170">
        <w:t xml:space="preserve"> until it was abolished in 2014.</w:t>
      </w:r>
      <w:r w:rsidR="002C00F6">
        <w:t xml:space="preserve"> </w:t>
      </w:r>
      <w:r w:rsidR="003942D1">
        <w:t xml:space="preserve">Some targets </w:t>
      </w:r>
      <w:r w:rsidR="003064E1">
        <w:t>showed improvement</w:t>
      </w:r>
      <w:r w:rsidR="003942D1">
        <w:t xml:space="preserve"> but </w:t>
      </w:r>
      <w:r w:rsidR="00EA4798">
        <w:t xml:space="preserve">progress on others was slow or unclear. </w:t>
      </w:r>
      <w:r w:rsidR="00D27EA7">
        <w:t xml:space="preserve">A key lesson from the NIRA was that when presented in isolation, </w:t>
      </w:r>
      <w:r w:rsidR="00927114">
        <w:t>socio</w:t>
      </w:r>
      <w:r w:rsidR="003D3194">
        <w:noBreakHyphen/>
      </w:r>
      <w:r w:rsidR="00927114">
        <w:t>economic</w:t>
      </w:r>
      <w:r w:rsidR="00D27EA7">
        <w:t xml:space="preserve"> targets can problematise Aboriginal and Torres Strait Islander people, rather than the structures and systems that are driving these outcomes</w:t>
      </w:r>
      <w:r w:rsidR="006951B3">
        <w:t xml:space="preserve"> (information paper 6)</w:t>
      </w:r>
      <w:r w:rsidR="00D27EA7">
        <w:t>. It is these structures and systems which need to change to achieve improvements in life outcomes.</w:t>
      </w:r>
    </w:p>
    <w:p w14:paraId="3C88C67F" w14:textId="4060F623" w:rsidR="00EA356C" w:rsidRDefault="0032225F" w:rsidP="00B15CF2">
      <w:pPr>
        <w:pStyle w:val="BodyText"/>
      </w:pPr>
      <w:r>
        <w:t xml:space="preserve">The </w:t>
      </w:r>
      <w:r w:rsidR="002E508C">
        <w:t>NIRA was accompanied by a series of National Partnership Agreements</w:t>
      </w:r>
      <w:r w:rsidR="00F41D55">
        <w:t xml:space="preserve"> </w:t>
      </w:r>
      <w:r w:rsidR="00DC74B7">
        <w:t xml:space="preserve">between governments </w:t>
      </w:r>
      <w:r w:rsidR="00F41D55">
        <w:t xml:space="preserve">focusing on specific </w:t>
      </w:r>
      <w:r w:rsidR="00752735">
        <w:t>aspects of improving</w:t>
      </w:r>
      <w:r w:rsidR="00DC74B7">
        <w:t xml:space="preserve"> outcomes for Aboriginal and Torres Strait Islander people.</w:t>
      </w:r>
      <w:r w:rsidR="005A56CA">
        <w:t xml:space="preserve"> </w:t>
      </w:r>
      <w:r w:rsidR="00552985">
        <w:t>Like</w:t>
      </w:r>
      <w:r w:rsidR="005A56CA">
        <w:t xml:space="preserve"> the NIRA itself, the National Partnership Agreements</w:t>
      </w:r>
      <w:r w:rsidR="001E05DC">
        <w:t xml:space="preserve"> were developed by governments with little input from Aboriginal and Torres Strait Islander </w:t>
      </w:r>
      <w:r w:rsidR="001E05DC" w:rsidDel="00372A35">
        <w:t>people</w:t>
      </w:r>
      <w:r w:rsidR="008B4697">
        <w:t xml:space="preserve"> outside government or Aboriginal and Torres Strait Islander organisations</w:t>
      </w:r>
      <w:r w:rsidR="001E05DC">
        <w:t>.</w:t>
      </w:r>
    </w:p>
    <w:p w14:paraId="50CCA288" w14:textId="68232A41" w:rsidR="00E02AE5" w:rsidRDefault="006C0A11" w:rsidP="00B15CF2">
      <w:pPr>
        <w:pStyle w:val="BodyText"/>
      </w:pPr>
      <w:r>
        <w:t>F</w:t>
      </w:r>
      <w:r w:rsidR="00885D00">
        <w:t>ormer prime minister</w:t>
      </w:r>
      <w:r w:rsidR="005B7E62">
        <w:t xml:space="preserve">, </w:t>
      </w:r>
      <w:r w:rsidR="003C1704">
        <w:t>Scott Morrison</w:t>
      </w:r>
      <w:r w:rsidR="005E2303">
        <w:t>,</w:t>
      </w:r>
      <w:r w:rsidR="003C1704">
        <w:t xml:space="preserve"> </w:t>
      </w:r>
      <w:r w:rsidR="005B7E62">
        <w:t xml:space="preserve">acknowledged </w:t>
      </w:r>
      <w:r w:rsidR="003C1704">
        <w:t>that government</w:t>
      </w:r>
      <w:r w:rsidR="00550E59">
        <w:t xml:space="preserve">s had failed to listen to </w:t>
      </w:r>
      <w:r w:rsidR="00950509">
        <w:t>Aboriginal and Torres Strait Islan</w:t>
      </w:r>
      <w:r w:rsidR="00361A73">
        <w:t>der</w:t>
      </w:r>
      <w:r w:rsidR="00550E59">
        <w:t xml:space="preserve"> people</w:t>
      </w:r>
      <w:r w:rsidR="006F611C">
        <w:t xml:space="preserve"> in</w:t>
      </w:r>
      <w:r w:rsidR="00996814">
        <w:t xml:space="preserve"> </w:t>
      </w:r>
      <w:r w:rsidR="00BF1B4B">
        <w:t>developin</w:t>
      </w:r>
      <w:r w:rsidR="008A19B8">
        <w:t xml:space="preserve">g </w:t>
      </w:r>
      <w:r w:rsidR="00996814">
        <w:t>the NIRA</w:t>
      </w:r>
      <w:r w:rsidR="00582834">
        <w:t>.</w:t>
      </w:r>
    </w:p>
    <w:p w14:paraId="5AB0FF81" w14:textId="271EE2C5" w:rsidR="00DB222E" w:rsidRDefault="0008574B" w:rsidP="002A0248">
      <w:pPr>
        <w:pStyle w:val="Quote"/>
      </w:pPr>
      <w:r>
        <w:t>Despite the best of intentions; investments in new programs; and bi</w:t>
      </w:r>
      <w:r w:rsidR="003D3194">
        <w:noBreakHyphen/>
      </w:r>
      <w:r>
        <w:t>partisan goodwill, Closing the Gap has never really been a partnership with Indigenous people.</w:t>
      </w:r>
      <w:r w:rsidR="00F65DE4">
        <w:t xml:space="preserve"> </w:t>
      </w:r>
      <w:r>
        <w:t>We perpetuated an ingrained way of thinking, passed down over two centuries and more, and it was the belief that we knew better than our Indigenous peoples.</w:t>
      </w:r>
      <w:r w:rsidR="007411EB">
        <w:t xml:space="preserve"> </w:t>
      </w:r>
      <w:r w:rsidR="007411EB" w:rsidRPr="007411EB">
        <w:t>We don’t</w:t>
      </w:r>
      <w:r w:rsidR="00DB343D">
        <w:t>.</w:t>
      </w:r>
      <w:r w:rsidR="00AA76E5">
        <w:t xml:space="preserve"> </w:t>
      </w:r>
      <w:r w:rsidR="00606C93" w:rsidRPr="00606C93">
        <w:rPr>
          <w:rFonts w:ascii="Arial" w:hAnsi="Arial" w:cs="Arial"/>
          <w:szCs w:val="24"/>
        </w:rPr>
        <w:t>(Morrison 2020)</w:t>
      </w:r>
    </w:p>
    <w:p w14:paraId="64E141D6" w14:textId="556B14BD" w:rsidR="008B7096" w:rsidRDefault="00784EA8" w:rsidP="009962D2">
      <w:pPr>
        <w:pStyle w:val="Heading3"/>
      </w:pPr>
      <w:r>
        <w:t xml:space="preserve">A new approach </w:t>
      </w:r>
      <w:r w:rsidR="002A0248">
        <w:t xml:space="preserve">– </w:t>
      </w:r>
      <w:r w:rsidR="00F57991">
        <w:t>the 2020 National Agreement on Closing the Gap</w:t>
      </w:r>
    </w:p>
    <w:p w14:paraId="57BB253F" w14:textId="6CCC7EF0" w:rsidR="00B15CF2" w:rsidRPr="000E7962" w:rsidRDefault="00B15CF2" w:rsidP="006434B7">
      <w:pPr>
        <w:pStyle w:val="BodyText"/>
        <w:rPr>
          <w:spacing w:val="-4"/>
        </w:rPr>
      </w:pPr>
      <w:r w:rsidRPr="000E7962">
        <w:rPr>
          <w:spacing w:val="-4"/>
        </w:rPr>
        <w:t xml:space="preserve">In 2018, COAG agreed to a formal partnership with Aboriginal and Torres Strait Islander people to finalise </w:t>
      </w:r>
      <w:r w:rsidR="00C31930" w:rsidRPr="000E7962">
        <w:rPr>
          <w:spacing w:val="-4"/>
        </w:rPr>
        <w:t>a refresh of</w:t>
      </w:r>
      <w:r w:rsidRPr="000E7962">
        <w:rPr>
          <w:spacing w:val="-4"/>
        </w:rPr>
        <w:t xml:space="preserve"> Closing the Gap and provide a forum for ongoing engagement while the new agenda was being implemented</w:t>
      </w:r>
      <w:r w:rsidR="00595DD6" w:rsidRPr="000E7962">
        <w:rPr>
          <w:spacing w:val="-4"/>
        </w:rPr>
        <w:t xml:space="preserve"> </w:t>
      </w:r>
      <w:r w:rsidR="004B5C86" w:rsidRPr="000E7962">
        <w:rPr>
          <w:rFonts w:cs="Arial"/>
          <w:spacing w:val="-4"/>
          <w:szCs w:val="24"/>
        </w:rPr>
        <w:t>(Coalition of Peaks and COAG 2019)</w:t>
      </w:r>
      <w:r w:rsidR="006434B7" w:rsidRPr="000E7962">
        <w:rPr>
          <w:spacing w:val="-4"/>
        </w:rPr>
        <w:t xml:space="preserve">. </w:t>
      </w:r>
      <w:r w:rsidRPr="000E7962">
        <w:rPr>
          <w:spacing w:val="-4"/>
        </w:rPr>
        <w:t>The Coalition of Peaks</w:t>
      </w:r>
      <w:r w:rsidR="00CC60E5" w:rsidRPr="000E7962">
        <w:rPr>
          <w:spacing w:val="-4"/>
        </w:rPr>
        <w:t>,</w:t>
      </w:r>
      <w:r w:rsidR="0033342D" w:rsidRPr="000E7962">
        <w:rPr>
          <w:spacing w:val="-4"/>
        </w:rPr>
        <w:t xml:space="preserve"> </w:t>
      </w:r>
      <w:r w:rsidRPr="000E7962">
        <w:rPr>
          <w:spacing w:val="-4"/>
        </w:rPr>
        <w:t>a representative body of over 80</w:t>
      </w:r>
      <w:r w:rsidR="00CC60E5" w:rsidRPr="000E7962">
        <w:rPr>
          <w:spacing w:val="-4"/>
        </w:rPr>
        <w:t> </w:t>
      </w:r>
      <w:r w:rsidRPr="000E7962">
        <w:rPr>
          <w:spacing w:val="-4"/>
        </w:rPr>
        <w:t>Aboriginal and Torres Strait Islander community</w:t>
      </w:r>
      <w:r w:rsidR="0033342D" w:rsidRPr="000E7962">
        <w:rPr>
          <w:spacing w:val="-4"/>
        </w:rPr>
        <w:noBreakHyphen/>
      </w:r>
      <w:r w:rsidRPr="000E7962">
        <w:rPr>
          <w:spacing w:val="-4"/>
        </w:rPr>
        <w:t>controlled peak organisations and members</w:t>
      </w:r>
      <w:r w:rsidR="00CC60E5" w:rsidRPr="000E7962">
        <w:rPr>
          <w:spacing w:val="-4"/>
        </w:rPr>
        <w:t>,</w:t>
      </w:r>
      <w:r w:rsidRPr="000E7962">
        <w:rPr>
          <w:spacing w:val="-4"/>
        </w:rPr>
        <w:t xml:space="preserve"> formed in 2019 to partner with Australian governments on Closing the Gap. At the same time, the formal Partnership Agreement on Closing the Gap between the Coal</w:t>
      </w:r>
      <w:r w:rsidRPr="000E7962" w:rsidDel="005605B3">
        <w:rPr>
          <w:spacing w:val="-4"/>
        </w:rPr>
        <w:t>i</w:t>
      </w:r>
      <w:r w:rsidRPr="000E7962">
        <w:rPr>
          <w:spacing w:val="-4"/>
        </w:rPr>
        <w:t xml:space="preserve">tion of Peaks and COAG commenced (Coalition of Peaks 2020) </w:t>
      </w:r>
      <w:r w:rsidR="00094875" w:rsidRPr="000E7962">
        <w:rPr>
          <w:spacing w:val="-4"/>
        </w:rPr>
        <w:t>(box</w:t>
      </w:r>
      <w:r w:rsidR="003D3194" w:rsidRPr="000E7962">
        <w:rPr>
          <w:spacing w:val="-4"/>
        </w:rPr>
        <w:t> </w:t>
      </w:r>
      <w:r w:rsidR="00094875" w:rsidRPr="000E7962">
        <w:rPr>
          <w:spacing w:val="-4"/>
        </w:rPr>
        <w:t>2)</w:t>
      </w:r>
      <w:r w:rsidR="0033342D" w:rsidRPr="000E7962">
        <w:rPr>
          <w:spacing w:val="-4"/>
        </w:rPr>
        <w:t xml:space="preserve">. </w:t>
      </w:r>
    </w:p>
    <w:p w14:paraId="4744C74B" w14:textId="3CA46DF0" w:rsidR="009A38E0" w:rsidRPr="00F82BD9" w:rsidRDefault="009A38E0" w:rsidP="00795F70">
      <w:pPr>
        <w:pStyle w:val="NoSpacing"/>
      </w:pPr>
    </w:p>
    <w:tbl>
      <w:tblPr>
        <w:tblStyle w:val="Boxtable"/>
        <w:tblW w:w="5000" w:type="pct"/>
        <w:tblLook w:val="04A0" w:firstRow="1" w:lastRow="0" w:firstColumn="1" w:lastColumn="0" w:noHBand="0" w:noVBand="1"/>
      </w:tblPr>
      <w:tblGrid>
        <w:gridCol w:w="906"/>
        <w:gridCol w:w="8732"/>
      </w:tblGrid>
      <w:tr w:rsidR="009A38E0" w14:paraId="3C67A92E" w14:textId="77777777" w:rsidTr="009A38E0">
        <w:trPr>
          <w:tblHeader/>
        </w:trPr>
        <w:tc>
          <w:tcPr>
            <w:tcW w:w="851" w:type="dxa"/>
            <w:shd w:val="clear" w:color="auto" w:fill="FBF3EC"/>
            <w:tcMar>
              <w:top w:w="170" w:type="dxa"/>
              <w:left w:w="170" w:type="dxa"/>
              <w:bottom w:w="113" w:type="dxa"/>
              <w:right w:w="170" w:type="dxa"/>
            </w:tcMar>
            <w:hideMark/>
          </w:tcPr>
          <w:p w14:paraId="341423C9" w14:textId="0BCD17E0" w:rsidR="009A38E0" w:rsidRDefault="00A24302" w:rsidP="004B56AC">
            <w:pPr>
              <w:pStyle w:val="BoxHeading1"/>
              <w:spacing w:before="120"/>
            </w:pPr>
            <w:r w:rsidRPr="00A031AA">
              <w:rPr>
                <w:b/>
                <w:bCs/>
                <w:noProof/>
              </w:rPr>
              <w:drawing>
                <wp:inline distT="0" distB="0" distL="0" distR="0" wp14:anchorId="5619AA91" wp14:editId="31B14D60">
                  <wp:extent cx="360000" cy="424800"/>
                  <wp:effectExtent l="0" t="0" r="0" b="0"/>
                  <wp:docPr id="150604055" name="Picture 15060405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349E6A7A" w14:textId="502E75C6" w:rsidR="009A38E0" w:rsidRDefault="009A38E0">
            <w:pPr>
              <w:pStyle w:val="BoxHeading1"/>
            </w:pPr>
            <w:r>
              <w:t xml:space="preserve">Box </w:t>
            </w:r>
            <w:r>
              <w:rPr>
                <w:noProof/>
              </w:rPr>
              <w:t>2</w:t>
            </w:r>
            <w:r>
              <w:t xml:space="preserve"> – Setting the scene for shared decision</w:t>
            </w:r>
            <w:r>
              <w:noBreakHyphen/>
              <w:t>making in the National Agreement on Closing the Gap</w:t>
            </w:r>
          </w:p>
        </w:tc>
      </w:tr>
      <w:tr w:rsidR="009A38E0" w14:paraId="4DED9608" w14:textId="77777777" w:rsidTr="009A38E0">
        <w:tc>
          <w:tcPr>
            <w:tcW w:w="9638" w:type="dxa"/>
            <w:gridSpan w:val="2"/>
            <w:shd w:val="clear" w:color="auto" w:fill="FBF3EC"/>
            <w:tcMar>
              <w:top w:w="28" w:type="dxa"/>
              <w:left w:w="170" w:type="dxa"/>
              <w:bottom w:w="170" w:type="dxa"/>
              <w:right w:w="170" w:type="dxa"/>
            </w:tcMar>
            <w:hideMark/>
          </w:tcPr>
          <w:p w14:paraId="3578F9C1" w14:textId="77777777" w:rsidR="009A38E0" w:rsidRPr="00BF201E" w:rsidRDefault="009A38E0" w:rsidP="009A38E0">
            <w:pPr>
              <w:pStyle w:val="BodyText"/>
              <w:spacing w:before="0"/>
              <w:rPr>
                <w:b/>
                <w:bCs/>
              </w:rPr>
            </w:pPr>
            <w:r w:rsidRPr="00BF201E">
              <w:rPr>
                <w:b/>
                <w:bCs/>
              </w:rPr>
              <w:t xml:space="preserve">The Partnership Agreement </w:t>
            </w:r>
          </w:p>
          <w:p w14:paraId="7D122A2A" w14:textId="59AB6D08" w:rsidR="009A38E0" w:rsidRDefault="009A38E0" w:rsidP="009A38E0">
            <w:pPr>
              <w:pStyle w:val="BodyText"/>
            </w:pPr>
            <w:r w:rsidRPr="007048A0">
              <w:t>The Partnership Agreement on Closing the Gap 2019</w:t>
            </w:r>
            <w:r>
              <w:t>–</w:t>
            </w:r>
            <w:r w:rsidRPr="007048A0">
              <w:t>2029 (Partnership Agreement) was signed in March 2019</w:t>
            </w:r>
            <w:r>
              <w:t xml:space="preserve">. It was a result of advocacy from prominent Aboriginal and Torres Strait people and the National Coalition of Peak </w:t>
            </w:r>
            <w:r w:rsidRPr="00A07D03">
              <w:t xml:space="preserve">Aboriginal and Torres Strait Islander </w:t>
            </w:r>
            <w:r>
              <w:t xml:space="preserve">Organisations (Coalition of Peaks), which called for the next phase of Closing the Gap to be done </w:t>
            </w:r>
            <w:r w:rsidRPr="00B1605F">
              <w:t xml:space="preserve">in partnership with Aboriginal and Torres Strait Islander people </w:t>
            </w:r>
            <w:r w:rsidRPr="00E12276">
              <w:rPr>
                <w:rFonts w:ascii="Arial" w:hAnsi="Arial" w:cs="Arial"/>
                <w:szCs w:val="24"/>
              </w:rPr>
              <w:t>(COAG 2018)</w:t>
            </w:r>
            <w:r w:rsidRPr="00B1605F">
              <w:t xml:space="preserve"> </w:t>
            </w:r>
            <w:r w:rsidRPr="000A53D0">
              <w:rPr>
                <w:rFonts w:ascii="Arial" w:hAnsi="Arial" w:cs="Arial"/>
                <w:szCs w:val="24"/>
              </w:rPr>
              <w:t>(Coalition of Peaks 2018a, 2018b)</w:t>
            </w:r>
            <w:r>
              <w:t>.</w:t>
            </w:r>
          </w:p>
          <w:p w14:paraId="3CE89148" w14:textId="77777777" w:rsidR="009A38E0" w:rsidRPr="007048A0" w:rsidRDefault="009A38E0" w:rsidP="009A38E0">
            <w:pPr>
              <w:pStyle w:val="BodyText"/>
              <w:rPr>
                <w:rFonts w:ascii="Segoe UI" w:hAnsi="Segoe UI" w:cs="Segoe UI"/>
                <w:sz w:val="18"/>
                <w:szCs w:val="18"/>
              </w:rPr>
            </w:pPr>
            <w:r>
              <w:t>The Partnership Agreement is between the Australian, state and territory governments, the Coalition of Peaks</w:t>
            </w:r>
            <w:r w:rsidDel="00FE7759">
              <w:t xml:space="preserve"> </w:t>
            </w:r>
            <w:r>
              <w:t xml:space="preserve">and the Australian Local Government Association. </w:t>
            </w:r>
            <w:r>
              <w:rPr>
                <w:rStyle w:val="normaltextrun"/>
                <w:rFonts w:ascii="Arial" w:hAnsi="Arial" w:cs="Arial"/>
              </w:rPr>
              <w:t>It is a ‘</w:t>
            </w:r>
            <w:r w:rsidRPr="007048A0">
              <w:rPr>
                <w:lang w:val="en-US"/>
              </w:rPr>
              <w:t xml:space="preserve">commitment to </w:t>
            </w:r>
            <w:r w:rsidRPr="007048A0">
              <w:t>fundamentally</w:t>
            </w:r>
            <w:r w:rsidRPr="007048A0">
              <w:rPr>
                <w:lang w:val="en-US"/>
              </w:rPr>
              <w:t xml:space="preserve"> change </w:t>
            </w:r>
            <w:r w:rsidRPr="007048A0">
              <w:rPr>
                <w:lang w:val="en-US"/>
              </w:rPr>
              <w:lastRenderedPageBreak/>
              <w:t>the way that governments and Aboriginal and Torres Strait Islander people work together’ (p.</w:t>
            </w:r>
            <w:r>
              <w:rPr>
                <w:lang w:val="en-US"/>
              </w:rPr>
              <w:t> </w:t>
            </w:r>
            <w:r w:rsidRPr="007048A0">
              <w:rPr>
                <w:lang w:val="en-US"/>
              </w:rPr>
              <w:t xml:space="preserve">2). </w:t>
            </w:r>
            <w:r>
              <w:t xml:space="preserve">The objectives are to: </w:t>
            </w:r>
          </w:p>
          <w:p w14:paraId="411A5318" w14:textId="77777777" w:rsidR="009A38E0" w:rsidRPr="007048A0" w:rsidRDefault="009A38E0" w:rsidP="009A38E0">
            <w:pPr>
              <w:pStyle w:val="QuoteBullet"/>
              <w:numPr>
                <w:ilvl w:val="0"/>
                <w:numId w:val="20"/>
              </w:numPr>
              <w:ind w:left="340"/>
            </w:pPr>
            <w:r w:rsidRPr="007048A0">
              <w:rPr>
                <w:rStyle w:val="normaltextrun"/>
                <w:rFonts w:ascii="Arial" w:hAnsi="Arial" w:cs="Arial"/>
              </w:rPr>
              <w:t>Enhance outcomes for Aboriginal and Torres Strait Islander people as a result of the Closing the Gap framework by ensuring their full involvement in its development and implementation;</w:t>
            </w:r>
            <w:r w:rsidRPr="007048A0">
              <w:rPr>
                <w:rStyle w:val="eop"/>
                <w:rFonts w:ascii="Arial" w:hAnsi="Arial" w:cs="Arial"/>
              </w:rPr>
              <w:t> </w:t>
            </w:r>
          </w:p>
          <w:p w14:paraId="29F294B0" w14:textId="77777777" w:rsidR="009A38E0" w:rsidRPr="007048A0" w:rsidRDefault="009A38E0" w:rsidP="009A38E0">
            <w:pPr>
              <w:pStyle w:val="QuoteBullet"/>
              <w:numPr>
                <w:ilvl w:val="0"/>
                <w:numId w:val="20"/>
              </w:numPr>
              <w:ind w:left="340"/>
            </w:pPr>
            <w:r w:rsidRPr="007048A0">
              <w:rPr>
                <w:rStyle w:val="normaltextrun"/>
                <w:rFonts w:ascii="Arial" w:hAnsi="Arial" w:cs="Arial"/>
              </w:rPr>
              <w:t>Share ownership of, and responsibility for, a jointly agreed framework and targets and ongoing implementation and monitoring of efforts to close the gap in outcomes between Indigenous and non</w:t>
            </w:r>
            <w:r>
              <w:rPr>
                <w:rStyle w:val="normaltextrun"/>
                <w:rFonts w:ascii="Arial" w:hAnsi="Arial" w:cs="Arial"/>
              </w:rPr>
              <w:noBreakHyphen/>
            </w:r>
            <w:r w:rsidRPr="007048A0">
              <w:rPr>
                <w:rStyle w:val="normaltextrun"/>
                <w:rFonts w:ascii="Arial" w:hAnsi="Arial" w:cs="Arial"/>
              </w:rPr>
              <w:t>Indigenous Australians in line with each Party’s responsibilities;</w:t>
            </w:r>
            <w:r w:rsidRPr="007048A0">
              <w:rPr>
                <w:rStyle w:val="eop"/>
                <w:rFonts w:ascii="Arial" w:hAnsi="Arial" w:cs="Arial"/>
              </w:rPr>
              <w:t> </w:t>
            </w:r>
          </w:p>
          <w:p w14:paraId="5A3EFD07" w14:textId="77777777" w:rsidR="009A38E0" w:rsidRPr="007048A0" w:rsidRDefault="009A38E0" w:rsidP="009A38E0">
            <w:pPr>
              <w:pStyle w:val="QuoteBullet"/>
              <w:numPr>
                <w:ilvl w:val="0"/>
                <w:numId w:val="20"/>
              </w:numPr>
              <w:ind w:left="340"/>
            </w:pPr>
            <w:r w:rsidRPr="007048A0">
              <w:rPr>
                <w:rStyle w:val="normaltextrun"/>
                <w:rFonts w:ascii="Arial" w:hAnsi="Arial" w:cs="Arial"/>
              </w:rPr>
              <w:t>Enhance the credibility and public support of Closing the Gap over the next ten years by ensuring full participation by Aboriginal and Torres Strait Islander representatives in its development and implementation; and</w:t>
            </w:r>
            <w:r w:rsidRPr="007048A0">
              <w:rPr>
                <w:rStyle w:val="eop"/>
                <w:rFonts w:ascii="Arial" w:hAnsi="Arial" w:cs="Arial"/>
              </w:rPr>
              <w:t> </w:t>
            </w:r>
          </w:p>
          <w:p w14:paraId="3D7DCE42" w14:textId="77777777" w:rsidR="009A38E0" w:rsidRPr="00473A13" w:rsidRDefault="009A38E0" w:rsidP="009A38E0">
            <w:pPr>
              <w:pStyle w:val="QuoteBullet"/>
              <w:numPr>
                <w:ilvl w:val="0"/>
                <w:numId w:val="20"/>
              </w:numPr>
              <w:ind w:left="340"/>
              <w:rPr>
                <w:rStyle w:val="eop"/>
              </w:rPr>
            </w:pPr>
            <w:r w:rsidRPr="007048A0">
              <w:rPr>
                <w:rStyle w:val="normaltextrun"/>
                <w:rFonts w:ascii="Arial" w:hAnsi="Arial" w:cs="Arial"/>
              </w:rPr>
              <w:t>Advance Aboriginal and Torres Strait Islander involvement, engagement and autonomy through equitable participation, shared authority and decision making in relation to Closing the Gap</w:t>
            </w:r>
            <w:r>
              <w:rPr>
                <w:rStyle w:val="normaltextrun"/>
                <w:rFonts w:ascii="Arial" w:hAnsi="Arial" w:cs="Arial"/>
              </w:rPr>
              <w:t>.</w:t>
            </w:r>
            <w:r w:rsidRPr="007048A0">
              <w:rPr>
                <w:rStyle w:val="normaltextrun"/>
                <w:rFonts w:ascii="Arial" w:hAnsi="Arial" w:cs="Arial"/>
              </w:rPr>
              <w:t xml:space="preserve"> (</w:t>
            </w:r>
            <w:r>
              <w:rPr>
                <w:rStyle w:val="normaltextrun"/>
                <w:rFonts w:ascii="Arial" w:hAnsi="Arial" w:cs="Arial"/>
              </w:rPr>
              <w:t>clause </w:t>
            </w:r>
            <w:r w:rsidRPr="007048A0">
              <w:rPr>
                <w:rStyle w:val="normaltextrun"/>
                <w:rFonts w:ascii="Arial" w:hAnsi="Arial" w:cs="Arial"/>
              </w:rPr>
              <w:t>13)</w:t>
            </w:r>
          </w:p>
          <w:p w14:paraId="1E5E9637" w14:textId="68E462C9" w:rsidR="009A38E0" w:rsidRPr="007048A0" w:rsidRDefault="009A38E0" w:rsidP="009A38E0">
            <w:pPr>
              <w:pStyle w:val="ListBullet3"/>
            </w:pPr>
            <w:r>
              <w:rPr>
                <w:rStyle w:val="eop"/>
                <w:rFonts w:ascii="Arial" w:hAnsi="Arial" w:cs="Arial"/>
              </w:rPr>
              <w:t>The Partnership Agreement is seen as a pivotal turning point –</w:t>
            </w:r>
            <w:r>
              <w:t xml:space="preserve"> for the first time, Australian governments shared decision</w:t>
            </w:r>
            <w:r>
              <w:noBreakHyphen/>
              <w:t xml:space="preserve">making with Aboriginal and Torres Strait Islander peak representatives to develop a new National Agreement on Closing the Gap </w:t>
            </w:r>
            <w:r w:rsidRPr="00BE19C7">
              <w:rPr>
                <w:rFonts w:ascii="Arial" w:hAnsi="Arial" w:cs="Arial"/>
                <w:szCs w:val="24"/>
              </w:rPr>
              <w:t>(Coalition of Peaks and COAG 2019)</w:t>
            </w:r>
            <w:r>
              <w:t>.</w:t>
            </w:r>
          </w:p>
          <w:p w14:paraId="2DB58676" w14:textId="77777777" w:rsidR="009A38E0" w:rsidRDefault="009A38E0" w:rsidP="009A38E0">
            <w:pPr>
              <w:pStyle w:val="BodyText"/>
              <w:rPr>
                <w:b/>
                <w:bCs/>
              </w:rPr>
            </w:pPr>
            <w:r w:rsidRPr="008C2701">
              <w:rPr>
                <w:b/>
                <w:bCs/>
              </w:rPr>
              <w:t>The National Agreement</w:t>
            </w:r>
          </w:p>
          <w:p w14:paraId="27F42579" w14:textId="77777777" w:rsidR="009A38E0" w:rsidRPr="00417AFE" w:rsidRDefault="009A38E0" w:rsidP="009A38E0">
            <w:pPr>
              <w:pStyle w:val="BodyText"/>
            </w:pPr>
            <w:r>
              <w:t xml:space="preserve">The National Agreement builds upon the historic Partnership Agreement and acknowledges this changed approach under section 4, titled </w:t>
            </w:r>
            <w:r>
              <w:rPr>
                <w:iCs/>
              </w:rPr>
              <w:t>A</w:t>
            </w:r>
            <w:r w:rsidRPr="005F557D">
              <w:rPr>
                <w:i/>
                <w:iCs/>
              </w:rPr>
              <w:t xml:space="preserve"> New Approach</w:t>
            </w:r>
            <w:r>
              <w:t>.</w:t>
            </w:r>
            <w:r w:rsidDel="00D638A8">
              <w:t xml:space="preserve"> </w:t>
            </w:r>
          </w:p>
          <w:p w14:paraId="5C4E6D2B" w14:textId="77777777" w:rsidR="009A38E0" w:rsidRPr="00B1605F" w:rsidRDefault="009A38E0" w:rsidP="009A38E0">
            <w:pPr>
              <w:pStyle w:val="Quote"/>
            </w:pPr>
            <w:r w:rsidRPr="00B1605F">
              <w:t>This Agreement is a commitment from all Parties to set out a future where policy making that impacts on the lives of Aboriginal and Torres Strait Islander people is done in full and genuine partnership</w:t>
            </w:r>
            <w:r>
              <w:t>. (clause 18)</w:t>
            </w:r>
          </w:p>
          <w:p w14:paraId="47BEFF22" w14:textId="77777777" w:rsidR="009A38E0" w:rsidRPr="00B1605F" w:rsidRDefault="009A38E0" w:rsidP="009A38E0">
            <w:pPr>
              <w:pStyle w:val="Quote"/>
            </w:pPr>
            <w:r w:rsidRPr="00B1605F">
              <w:t xml:space="preserve">The Parties will listen to the voices and aspirations of Aboriginal and Torres Strait Islander people and change the way we work in response. Aboriginal and Torres Strait Islander people have been saying for a long time that: </w:t>
            </w:r>
          </w:p>
          <w:p w14:paraId="054EA681" w14:textId="77777777" w:rsidR="009A38E0" w:rsidRDefault="009A38E0" w:rsidP="009A38E0">
            <w:pPr>
              <w:pStyle w:val="QuoteBullet"/>
              <w:numPr>
                <w:ilvl w:val="0"/>
                <w:numId w:val="20"/>
              </w:numPr>
              <w:ind w:left="340"/>
            </w:pPr>
            <w:r w:rsidRPr="00B1605F">
              <w:t xml:space="preserve">they need to have a much greater say in how programs and services are delivered to their people, in their own places and on their own country </w:t>
            </w:r>
          </w:p>
          <w:p w14:paraId="35564C99" w14:textId="77777777" w:rsidR="009A38E0" w:rsidRPr="000E7962" w:rsidRDefault="009A38E0" w:rsidP="009A38E0">
            <w:pPr>
              <w:pStyle w:val="QuoteBullet"/>
              <w:numPr>
                <w:ilvl w:val="0"/>
                <w:numId w:val="20"/>
              </w:numPr>
              <w:ind w:left="340"/>
              <w:rPr>
                <w:spacing w:val="-4"/>
              </w:rPr>
            </w:pPr>
            <w:r w:rsidRPr="000E7962">
              <w:rPr>
                <w:spacing w:val="-4"/>
              </w:rPr>
              <w:t>community</w:t>
            </w:r>
            <w:r w:rsidRPr="000E7962">
              <w:rPr>
                <w:spacing w:val="-4"/>
              </w:rPr>
              <w:noBreakHyphen/>
              <w:t xml:space="preserve">controlled organisations deliver the best services and outcomes for Closing the Gap </w:t>
            </w:r>
          </w:p>
          <w:p w14:paraId="1D0BBE2B" w14:textId="77777777" w:rsidR="00DB0D7B" w:rsidRDefault="009A38E0" w:rsidP="009A38E0">
            <w:pPr>
              <w:pStyle w:val="QuoteBullet"/>
              <w:numPr>
                <w:ilvl w:val="0"/>
                <w:numId w:val="20"/>
              </w:numPr>
              <w:ind w:left="340"/>
            </w:pPr>
            <w:r w:rsidRPr="008D7AB4">
              <w:t>government agencies and institutions need to address systemic, daily racism, and promote cultural safety and transfer power and resources to communities</w:t>
            </w:r>
            <w:r>
              <w:t xml:space="preserve"> </w:t>
            </w:r>
          </w:p>
          <w:p w14:paraId="17FFDDD3" w14:textId="5E3E7497" w:rsidR="009A38E0" w:rsidRDefault="009A38E0" w:rsidP="009A38E0">
            <w:pPr>
              <w:pStyle w:val="QuoteBullet"/>
              <w:numPr>
                <w:ilvl w:val="0"/>
                <w:numId w:val="20"/>
              </w:numPr>
              <w:ind w:left="340"/>
            </w:pPr>
            <w:r w:rsidRPr="008D7AB4">
              <w:t>they need to have access to the same information and data as governments to drive their development</w:t>
            </w:r>
            <w:r>
              <w:t>. (clause 19)</w:t>
            </w:r>
          </w:p>
        </w:tc>
      </w:tr>
      <w:tr w:rsidR="009A38E0" w14:paraId="08D59639" w14:textId="77777777" w:rsidTr="00795F70">
        <w:trPr>
          <w:hidden/>
        </w:trPr>
        <w:tc>
          <w:tcPr>
            <w:tcW w:w="9638" w:type="dxa"/>
            <w:gridSpan w:val="2"/>
            <w:shd w:val="clear" w:color="auto" w:fill="auto"/>
            <w:tcMar>
              <w:top w:w="0" w:type="dxa"/>
              <w:left w:w="170" w:type="dxa"/>
              <w:bottom w:w="0" w:type="dxa"/>
              <w:right w:w="170" w:type="dxa"/>
            </w:tcMar>
          </w:tcPr>
          <w:p w14:paraId="2EA19B75" w14:textId="0B1A6755" w:rsidR="009A38E0" w:rsidRPr="00465191" w:rsidRDefault="009A38E0">
            <w:pPr>
              <w:pStyle w:val="BodyText"/>
              <w:spacing w:before="0" w:after="0" w:line="80" w:lineRule="atLeast"/>
              <w:rPr>
                <w:smallCaps/>
                <w:vanish/>
              </w:rPr>
            </w:pPr>
          </w:p>
        </w:tc>
      </w:tr>
    </w:tbl>
    <w:p w14:paraId="5E6E4707" w14:textId="15A0C64C" w:rsidR="00890770" w:rsidRDefault="0076514A" w:rsidP="00890770">
      <w:pPr>
        <w:pStyle w:val="Heading2-nonumber"/>
      </w:pPr>
      <w:bookmarkStart w:id="7" w:name="_Toc140505512"/>
      <w:r>
        <w:lastRenderedPageBreak/>
        <w:t>2</w:t>
      </w:r>
      <w:r>
        <w:tab/>
      </w:r>
      <w:r w:rsidR="00890770">
        <w:t>The National Agreement on Closing the Gap</w:t>
      </w:r>
      <w:bookmarkEnd w:id="7"/>
    </w:p>
    <w:p w14:paraId="3F76A47F" w14:textId="61506053" w:rsidR="00E87DB7" w:rsidRPr="00074590" w:rsidRDefault="00E87DB7" w:rsidP="00E87DB7">
      <w:pPr>
        <w:pStyle w:val="BodyText"/>
        <w:rPr>
          <w:rFonts w:ascii="Arial" w:hAnsi="Arial" w:cs="Arial"/>
          <w:spacing w:val="-4"/>
        </w:rPr>
      </w:pPr>
      <w:r w:rsidRPr="00074590">
        <w:rPr>
          <w:rFonts w:ascii="Arial" w:hAnsi="Arial" w:cs="Arial"/>
          <w:spacing w:val="-4"/>
        </w:rPr>
        <w:t xml:space="preserve">In 2020, all Australian </w:t>
      </w:r>
      <w:r w:rsidR="005F4483" w:rsidRPr="00074590">
        <w:rPr>
          <w:rFonts w:ascii="Arial" w:hAnsi="Arial" w:cs="Arial"/>
          <w:spacing w:val="-4"/>
        </w:rPr>
        <w:t>g</w:t>
      </w:r>
      <w:r w:rsidRPr="00074590">
        <w:rPr>
          <w:rFonts w:ascii="Arial" w:hAnsi="Arial" w:cs="Arial"/>
          <w:spacing w:val="-4"/>
        </w:rPr>
        <w:t xml:space="preserve">overnments and the </w:t>
      </w:r>
      <w:r w:rsidRPr="00074590" w:rsidDel="00D638A8">
        <w:rPr>
          <w:rFonts w:ascii="Arial" w:hAnsi="Arial" w:cs="Arial"/>
          <w:spacing w:val="-4"/>
        </w:rPr>
        <w:t xml:space="preserve">Coalition of </w:t>
      </w:r>
      <w:r w:rsidRPr="00074590">
        <w:rPr>
          <w:rFonts w:ascii="Arial" w:hAnsi="Arial" w:cs="Arial"/>
          <w:spacing w:val="-4"/>
        </w:rPr>
        <w:t>Peaks signed the</w:t>
      </w:r>
      <w:r w:rsidR="005F4483" w:rsidRPr="00074590">
        <w:rPr>
          <w:rFonts w:ascii="Arial" w:hAnsi="Arial" w:cs="Arial"/>
          <w:spacing w:val="-4"/>
        </w:rPr>
        <w:t xml:space="preserve"> National</w:t>
      </w:r>
      <w:r w:rsidRPr="00074590">
        <w:rPr>
          <w:rFonts w:ascii="Arial" w:hAnsi="Arial" w:cs="Arial"/>
          <w:spacing w:val="-4"/>
        </w:rPr>
        <w:t xml:space="preserve"> Agreement on Closing the Gap. The objective of the Agreement is ‘to overcome the entrenched inequality faced by too many Aboriginal and Torres Strait Islander people so that their life outcomes are equal to all Australians’ (</w:t>
      </w:r>
      <w:r w:rsidR="00192E46" w:rsidRPr="00074590">
        <w:rPr>
          <w:rFonts w:ascii="Arial" w:hAnsi="Arial" w:cs="Arial"/>
          <w:spacing w:val="-4"/>
        </w:rPr>
        <w:t>clause</w:t>
      </w:r>
      <w:r w:rsidR="005F4483" w:rsidRPr="00074590">
        <w:rPr>
          <w:rFonts w:ascii="Arial" w:hAnsi="Arial" w:cs="Arial"/>
          <w:spacing w:val="-4"/>
        </w:rPr>
        <w:t> </w:t>
      </w:r>
      <w:r w:rsidRPr="00074590">
        <w:rPr>
          <w:rFonts w:ascii="Arial" w:hAnsi="Arial" w:cs="Arial"/>
          <w:spacing w:val="-4"/>
        </w:rPr>
        <w:t>15).</w:t>
      </w:r>
    </w:p>
    <w:p w14:paraId="3858EBBA" w14:textId="094BFA3E" w:rsidR="00653913" w:rsidRDefault="00CD01B1" w:rsidP="00DB0D7B">
      <w:pPr>
        <w:pStyle w:val="BodyText"/>
      </w:pPr>
      <w:r w:rsidRPr="00945563">
        <w:t xml:space="preserve">The </w:t>
      </w:r>
      <w:r w:rsidRPr="00945563" w:rsidDel="00D638A8">
        <w:t xml:space="preserve">Agreement </w:t>
      </w:r>
      <w:r w:rsidRPr="00945563">
        <w:t xml:space="preserve">is </w:t>
      </w:r>
      <w:r>
        <w:t>unlike other</w:t>
      </w:r>
      <w:r w:rsidRPr="00945563">
        <w:t xml:space="preserve"> </w:t>
      </w:r>
      <w:r>
        <w:t xml:space="preserve">national </w:t>
      </w:r>
      <w:r w:rsidRPr="00945563">
        <w:t>agreement</w:t>
      </w:r>
      <w:r>
        <w:t>s</w:t>
      </w:r>
      <w:r w:rsidRPr="00945563">
        <w:t>. It is the first that include</w:t>
      </w:r>
      <w:r>
        <w:t>s</w:t>
      </w:r>
      <w:r w:rsidRPr="00945563">
        <w:t xml:space="preserve"> a non</w:t>
      </w:r>
      <w:r w:rsidR="003D3194">
        <w:noBreakHyphen/>
      </w:r>
      <w:r w:rsidRPr="00945563">
        <w:t xml:space="preserve">government party </w:t>
      </w:r>
      <w:r>
        <w:t>as a signatory</w:t>
      </w:r>
      <w:r w:rsidRPr="00945563">
        <w:t xml:space="preserve"> </w:t>
      </w:r>
      <w:r w:rsidDel="00D05E35">
        <w:t>–</w:t>
      </w:r>
      <w:r w:rsidRPr="00945563">
        <w:t xml:space="preserve"> the Coalition of </w:t>
      </w:r>
      <w:r>
        <w:t xml:space="preserve">Aboriginal and Torres Strait Islander </w:t>
      </w:r>
      <w:r w:rsidRPr="00945563">
        <w:t>Peak</w:t>
      </w:r>
      <w:r>
        <w:t xml:space="preserve"> Organisations</w:t>
      </w:r>
      <w:r w:rsidRPr="00945563">
        <w:t xml:space="preserve">. </w:t>
      </w:r>
      <w:r>
        <w:t xml:space="preserve">It is ambitious in the scale of change required, calling for an unprecedented, structural shift in the way governments work with Aboriginal and Torres Strait Islander people. </w:t>
      </w:r>
      <w:r w:rsidR="00E87DB7">
        <w:t xml:space="preserve">Unlike the NIRA, it </w:t>
      </w:r>
      <w:r w:rsidR="00C34F59">
        <w:t xml:space="preserve">is </w:t>
      </w:r>
      <w:r w:rsidR="006C7B77">
        <w:t xml:space="preserve">overseen by the Joint Council on Closing the Gap </w:t>
      </w:r>
      <w:r w:rsidR="00E91E20">
        <w:t xml:space="preserve">(established under the </w:t>
      </w:r>
      <w:r w:rsidR="00767841">
        <w:t>Partnership on Closing the Gap (box</w:t>
      </w:r>
      <w:r w:rsidR="003D3194">
        <w:t> </w:t>
      </w:r>
      <w:r w:rsidR="00767841">
        <w:t>2)</w:t>
      </w:r>
      <w:r w:rsidR="00D1775D">
        <w:t>)</w:t>
      </w:r>
      <w:r w:rsidR="00767841">
        <w:t xml:space="preserve"> and is </w:t>
      </w:r>
      <w:r w:rsidR="000D56F8">
        <w:t>no</w:t>
      </w:r>
      <w:r w:rsidR="001F7AA8">
        <w:t xml:space="preserve">w separate from the </w:t>
      </w:r>
      <w:r w:rsidR="00A260F9">
        <w:t xml:space="preserve">Council on Federal Financial Relations and the </w:t>
      </w:r>
      <w:r w:rsidR="001F7AA8">
        <w:t xml:space="preserve">Intergovernmental </w:t>
      </w:r>
      <w:r w:rsidR="00A260F9">
        <w:t>Agreement on Federal Financial Relations</w:t>
      </w:r>
      <w:r w:rsidR="00662DB0">
        <w:t xml:space="preserve">, which form the architecture supporting other </w:t>
      </w:r>
      <w:r w:rsidR="006830CA">
        <w:t>national a</w:t>
      </w:r>
      <w:r w:rsidR="00662DB0">
        <w:t>greements, including in the areas of health and education</w:t>
      </w:r>
      <w:r w:rsidR="007434A7">
        <w:t>.</w:t>
      </w:r>
      <w:r w:rsidR="002B4223">
        <w:t xml:space="preserve"> Box</w:t>
      </w:r>
      <w:r w:rsidR="003D3194">
        <w:t> </w:t>
      </w:r>
      <w:r w:rsidR="002B4223">
        <w:t>3</w:t>
      </w:r>
      <w:r w:rsidR="00ED12A3">
        <w:t xml:space="preserve"> sets out the governance </w:t>
      </w:r>
      <w:r w:rsidR="008D081B">
        <w:t xml:space="preserve">arrangements </w:t>
      </w:r>
      <w:r w:rsidR="0015032E">
        <w:t>for the Agreement.</w:t>
      </w:r>
    </w:p>
    <w:p w14:paraId="7A849C93" w14:textId="4A2B134E" w:rsidR="00DB0D7B" w:rsidRPr="00F82BD9" w:rsidRDefault="00DB0D7B" w:rsidP="00795F70">
      <w:pPr>
        <w:pStyle w:val="NoSpacing"/>
      </w:pPr>
    </w:p>
    <w:tbl>
      <w:tblPr>
        <w:tblStyle w:val="Boxtable"/>
        <w:tblW w:w="5000" w:type="pct"/>
        <w:tblLook w:val="04A0" w:firstRow="1" w:lastRow="0" w:firstColumn="1" w:lastColumn="0" w:noHBand="0" w:noVBand="1"/>
      </w:tblPr>
      <w:tblGrid>
        <w:gridCol w:w="906"/>
        <w:gridCol w:w="8732"/>
      </w:tblGrid>
      <w:tr w:rsidR="00DB0D7B" w14:paraId="2582E675" w14:textId="77777777" w:rsidTr="00DB0D7B">
        <w:trPr>
          <w:tblHeader/>
        </w:trPr>
        <w:tc>
          <w:tcPr>
            <w:tcW w:w="851" w:type="dxa"/>
            <w:shd w:val="clear" w:color="auto" w:fill="FBF3EC"/>
            <w:tcMar>
              <w:top w:w="170" w:type="dxa"/>
              <w:left w:w="170" w:type="dxa"/>
              <w:bottom w:w="113" w:type="dxa"/>
              <w:right w:w="170" w:type="dxa"/>
            </w:tcMar>
            <w:hideMark/>
          </w:tcPr>
          <w:p w14:paraId="22D29956" w14:textId="4E471A3E" w:rsidR="00DB0D7B" w:rsidRDefault="00826227" w:rsidP="00F66A5D">
            <w:pPr>
              <w:pStyle w:val="BoxHeading1"/>
              <w:keepNext w:val="0"/>
              <w:spacing w:before="120"/>
            </w:pPr>
            <w:r w:rsidRPr="00A031AA">
              <w:rPr>
                <w:b/>
                <w:bCs/>
                <w:noProof/>
              </w:rPr>
              <w:drawing>
                <wp:inline distT="0" distB="0" distL="0" distR="0" wp14:anchorId="18C69C96" wp14:editId="1671D4BA">
                  <wp:extent cx="360000" cy="424800"/>
                  <wp:effectExtent l="0" t="0" r="0" b="0"/>
                  <wp:docPr id="1293616939" name="Picture 1293616939"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4C77A85D" w14:textId="2D2D7F22" w:rsidR="00DB0D7B" w:rsidRPr="00F953C0" w:rsidRDefault="00DB0D7B" w:rsidP="00F66A5D">
            <w:pPr>
              <w:pStyle w:val="BoxHeading1"/>
              <w:keepNext w:val="0"/>
              <w:rPr>
                <w:spacing w:val="-4"/>
              </w:rPr>
            </w:pPr>
            <w:r w:rsidRPr="00F953C0">
              <w:rPr>
                <w:spacing w:val="-4"/>
              </w:rPr>
              <w:t xml:space="preserve">Box </w:t>
            </w:r>
            <w:r w:rsidRPr="00F953C0">
              <w:rPr>
                <w:noProof/>
                <w:spacing w:val="-4"/>
              </w:rPr>
              <w:t>3</w:t>
            </w:r>
            <w:r w:rsidRPr="00F953C0">
              <w:rPr>
                <w:spacing w:val="-4"/>
              </w:rPr>
              <w:t xml:space="preserve"> – Governance structures for the National Agreement on Closing the Gap</w:t>
            </w:r>
          </w:p>
        </w:tc>
      </w:tr>
      <w:tr w:rsidR="00DB0D7B" w14:paraId="1BB125D9" w14:textId="77777777" w:rsidTr="00DB0D7B">
        <w:tc>
          <w:tcPr>
            <w:tcW w:w="9638" w:type="dxa"/>
            <w:gridSpan w:val="2"/>
            <w:shd w:val="clear" w:color="auto" w:fill="FBF3EC"/>
            <w:tcMar>
              <w:top w:w="28" w:type="dxa"/>
              <w:left w:w="170" w:type="dxa"/>
              <w:bottom w:w="170" w:type="dxa"/>
              <w:right w:w="170" w:type="dxa"/>
            </w:tcMar>
            <w:hideMark/>
          </w:tcPr>
          <w:p w14:paraId="46CE708C" w14:textId="77777777" w:rsidR="00DB0D7B" w:rsidRDefault="00DB0D7B" w:rsidP="00F66A5D">
            <w:pPr>
              <w:pStyle w:val="BoxHeading2"/>
            </w:pPr>
            <w:r>
              <w:t>Joint Council on Closing the Gap</w:t>
            </w:r>
          </w:p>
          <w:p w14:paraId="78C08AD7" w14:textId="77777777" w:rsidR="00DB0D7B" w:rsidRDefault="00DB0D7B" w:rsidP="00F66A5D">
            <w:pPr>
              <w:pStyle w:val="BodyText"/>
            </w:pPr>
            <w:r>
              <w:t xml:space="preserve">The </w:t>
            </w:r>
            <w:r w:rsidRPr="00F256C6">
              <w:t xml:space="preserve">Joint Council </w:t>
            </w:r>
            <w:r>
              <w:t>on Closing the Gap (Joint Council) oversees the implementation of the Agreement. It comprises one minister from each jurisdiction, a representative of the Australian Local Government Association, the Coalition of Peaks Chair and 12 representatives nominated by the Coalition of Peaks. Joint Council meets two to three times a year. It is co</w:t>
            </w:r>
            <w:r>
              <w:noBreakHyphen/>
              <w:t>chaired by the Australian Government Minister for Indigenous Australians and an Aboriginal and Torres Strait Islander representative nominated by the Coalition of Peaks.</w:t>
            </w:r>
          </w:p>
          <w:p w14:paraId="23CEADBF" w14:textId="124FED5A" w:rsidR="00292C7D" w:rsidRDefault="00DB0D7B" w:rsidP="00F66A5D">
            <w:pPr>
              <w:pStyle w:val="BodyText"/>
            </w:pPr>
            <w:r>
              <w:t>The Joint Council provides national leadership and coordination on Closing the Gap. It monitors implementation of the Agreement including progress by governments and the Coalition of Peaks against their implementation plans and specific commitments specified in the Agreement (such as policy partnerships and place</w:t>
            </w:r>
            <w:r>
              <w:noBreakHyphen/>
              <w:t>based partnerships). It provides advice to governments and cooperates with other intergovernmental ministers’ meetings.</w:t>
            </w:r>
          </w:p>
          <w:p w14:paraId="1A0FCF74" w14:textId="77777777" w:rsidR="00DB0D7B" w:rsidRDefault="00DB0D7B" w:rsidP="00F66A5D">
            <w:pPr>
              <w:pStyle w:val="BoxHeading2"/>
            </w:pPr>
            <w:r>
              <w:t>Partnership Working Group</w:t>
            </w:r>
          </w:p>
          <w:p w14:paraId="6B965BB9" w14:textId="77777777" w:rsidR="00DB0D7B" w:rsidRPr="00074590" w:rsidRDefault="00DB0D7B" w:rsidP="00F66A5D">
            <w:pPr>
              <w:pStyle w:val="BodyText"/>
              <w:rPr>
                <w:spacing w:val="-4"/>
              </w:rPr>
            </w:pPr>
            <w:r w:rsidRPr="00074590">
              <w:rPr>
                <w:spacing w:val="-4"/>
              </w:rPr>
              <w:t>Joint Council is supported by the Partnership Working Group (PWG), which comprises senior officials from each government, the Australian Local Government Association and representatives of the Coalition of Peaks. It is co</w:t>
            </w:r>
            <w:r w:rsidRPr="00074590">
              <w:rPr>
                <w:spacing w:val="-4"/>
              </w:rPr>
              <w:noBreakHyphen/>
              <w:t>chaired by a senior government official and the lead convenor or a representative of the Coalition of Peaks. PWG meets every six to eight weeks, and supports Joint Council by:</w:t>
            </w:r>
          </w:p>
          <w:p w14:paraId="0249A619" w14:textId="77777777" w:rsidR="00DB0D7B" w:rsidRPr="00F0583A" w:rsidRDefault="00DB0D7B" w:rsidP="00F66A5D">
            <w:pPr>
              <w:pStyle w:val="ListBullet"/>
              <w:numPr>
                <w:ilvl w:val="0"/>
                <w:numId w:val="20"/>
              </w:numPr>
            </w:pPr>
            <w:r w:rsidRPr="00F0583A">
              <w:t>developing policy positions, papers and providing advice for Council members</w:t>
            </w:r>
          </w:p>
          <w:p w14:paraId="5E75B11F" w14:textId="77777777" w:rsidR="00DB0D7B" w:rsidRPr="00F0583A" w:rsidRDefault="00DB0D7B" w:rsidP="00F66A5D">
            <w:pPr>
              <w:pStyle w:val="ListBullet"/>
              <w:numPr>
                <w:ilvl w:val="0"/>
                <w:numId w:val="20"/>
              </w:numPr>
            </w:pPr>
            <w:r w:rsidRPr="00F0583A">
              <w:t>assisting Joint Council to implement its work plan</w:t>
            </w:r>
          </w:p>
          <w:p w14:paraId="6418DA43" w14:textId="77777777" w:rsidR="00DB0D7B" w:rsidRPr="00F0583A" w:rsidRDefault="00DB0D7B" w:rsidP="00F66A5D">
            <w:pPr>
              <w:pStyle w:val="ListBullet"/>
              <w:numPr>
                <w:ilvl w:val="0"/>
                <w:numId w:val="20"/>
              </w:numPr>
            </w:pPr>
            <w:r w:rsidRPr="00F0583A">
              <w:t>resolving issues and responding to requests from Joint Council.</w:t>
            </w:r>
          </w:p>
          <w:p w14:paraId="287A31AE" w14:textId="77777777" w:rsidR="00DB0D7B" w:rsidRDefault="00DB0D7B" w:rsidP="00F66A5D">
            <w:pPr>
              <w:pStyle w:val="BodyText"/>
            </w:pPr>
            <w:r>
              <w:t>The PWG is supported by a drafting group, comprising government officials and representatives of the Coalition of Peaks. The drafting group prepares and agrees to papers for consideration by PWG. The National Indigenous Australians Agency (NIAA) provides the secretariat for the Joint Council and PWG.</w:t>
            </w:r>
          </w:p>
          <w:p w14:paraId="72D0A4EB" w14:textId="77777777" w:rsidR="00DB0D7B" w:rsidRDefault="00DB0D7B" w:rsidP="00F66A5D">
            <w:pPr>
              <w:pStyle w:val="BodyText"/>
            </w:pPr>
            <w:r>
              <w:lastRenderedPageBreak/>
              <w:t xml:space="preserve">Joint Council and PWG are able to form additional working groups to support their work and for specific tasks. For example, the Data and Reporting Working Group (DRWG) provides advice and technical support to the PWG on data development and reporting, and includes representatives from major Australian Government data custodians (such as the ABS and AIHW). More detail on the role of the DRWG is provided in information paper 6. </w:t>
            </w:r>
          </w:p>
          <w:p w14:paraId="3F618827" w14:textId="68B0DF44" w:rsidR="00DB0D7B" w:rsidRDefault="00DB0D7B" w:rsidP="00F66A5D">
            <w:pPr>
              <w:pStyle w:val="Source"/>
            </w:pPr>
            <w:r>
              <w:t xml:space="preserve">Sources: Joint Council </w:t>
            </w:r>
            <w:r w:rsidRPr="00BC5166">
              <w:rPr>
                <w:rFonts w:ascii="Arial" w:hAnsi="Arial" w:cs="Arial"/>
              </w:rPr>
              <w:t>(2023)</w:t>
            </w:r>
            <w:r>
              <w:t xml:space="preserve">; PWG </w:t>
            </w:r>
            <w:r w:rsidRPr="00314A16">
              <w:rPr>
                <w:rFonts w:ascii="Arial" w:hAnsi="Arial" w:cs="Arial"/>
              </w:rPr>
              <w:t>(2023)</w:t>
            </w:r>
            <w:r>
              <w:t>.</w:t>
            </w:r>
          </w:p>
        </w:tc>
      </w:tr>
      <w:tr w:rsidR="00DB0D7B" w14:paraId="5508CD2B" w14:textId="77777777" w:rsidTr="00795F70">
        <w:trPr>
          <w:hidden/>
        </w:trPr>
        <w:tc>
          <w:tcPr>
            <w:tcW w:w="9638" w:type="dxa"/>
            <w:gridSpan w:val="2"/>
            <w:shd w:val="clear" w:color="auto" w:fill="auto"/>
            <w:tcMar>
              <w:top w:w="0" w:type="dxa"/>
              <w:left w:w="170" w:type="dxa"/>
              <w:bottom w:w="0" w:type="dxa"/>
              <w:right w:w="170" w:type="dxa"/>
            </w:tcMar>
          </w:tcPr>
          <w:p w14:paraId="7605BBF6" w14:textId="71907E6F" w:rsidR="00DB0D7B" w:rsidRPr="00465191" w:rsidRDefault="00DB0D7B" w:rsidP="00F66A5D">
            <w:pPr>
              <w:pStyle w:val="BodyText"/>
              <w:spacing w:before="0" w:after="0" w:line="80" w:lineRule="atLeast"/>
              <w:rPr>
                <w:smallCaps/>
                <w:vanish/>
              </w:rPr>
            </w:pPr>
          </w:p>
        </w:tc>
      </w:tr>
    </w:tbl>
    <w:p w14:paraId="0A4A9B86" w14:textId="7B7AE019" w:rsidR="00CD01B1" w:rsidRDefault="00CD01B1" w:rsidP="00CD01B1">
      <w:pPr>
        <w:pStyle w:val="BodyText"/>
      </w:pPr>
      <w:r>
        <w:t>In signing the Agreement, governments made a commitment – to Aboriginal and Torres Strait Islander people, to the Coalition of Peaks, to each other and to the nation – to ‘a fundamentally new way of developing and implementing policies and programs that impact on the lives of Aboriginal and Torres Strait Islander people’ and to do so in a way that ‘</w:t>
      </w:r>
      <w:r w:rsidRPr="00E13463">
        <w:t>takes full account of, promotes, and does not diminish in any way, the cultures of Aboriginal and Torres Strait Islander people</w:t>
      </w:r>
      <w:r>
        <w:t>’</w:t>
      </w:r>
      <w:r w:rsidR="00DF0CDC">
        <w:t xml:space="preserve"> (clause 4)</w:t>
      </w:r>
      <w:r>
        <w:t>.</w:t>
      </w:r>
    </w:p>
    <w:p w14:paraId="7C20602B" w14:textId="17EA9814" w:rsidR="00D17A12" w:rsidRDefault="008242BE" w:rsidP="00D17A12">
      <w:pPr>
        <w:pStyle w:val="BodyText"/>
        <w:rPr>
          <w:rFonts w:ascii="Arial" w:hAnsi="Arial" w:cs="Arial"/>
        </w:rPr>
      </w:pPr>
      <w:r>
        <w:t xml:space="preserve">The previous iteration of Closing the Gap, the </w:t>
      </w:r>
      <w:r w:rsidR="000F692E">
        <w:t>NIRA</w:t>
      </w:r>
      <w:r w:rsidR="003F14B3">
        <w:t>,</w:t>
      </w:r>
      <w:r>
        <w:t xml:space="preserve"> </w:t>
      </w:r>
      <w:r w:rsidR="00156365">
        <w:t xml:space="preserve">had a primarily </w:t>
      </w:r>
      <w:r w:rsidR="00254787">
        <w:t>deficit</w:t>
      </w:r>
      <w:r w:rsidR="003D3194">
        <w:noBreakHyphen/>
      </w:r>
      <w:r w:rsidR="004C4028">
        <w:t>based</w:t>
      </w:r>
      <w:r w:rsidR="00254787">
        <w:t xml:space="preserve"> approach</w:t>
      </w:r>
      <w:r w:rsidR="005A04E0">
        <w:t xml:space="preserve">. </w:t>
      </w:r>
      <w:r w:rsidR="00242B66">
        <w:t xml:space="preserve">The focus was on </w:t>
      </w:r>
      <w:r w:rsidR="00EE3F7B">
        <w:t>assess</w:t>
      </w:r>
      <w:r w:rsidR="002C62B0">
        <w:t>ing</w:t>
      </w:r>
      <w:r w:rsidR="00EE3F7B">
        <w:t xml:space="preserve"> whether targets had been achieved</w:t>
      </w:r>
      <w:r w:rsidR="002C62B0">
        <w:t xml:space="preserve">, and </w:t>
      </w:r>
      <w:r w:rsidR="00691BA3">
        <w:t>there was</w:t>
      </w:r>
      <w:r w:rsidR="003B5A35">
        <w:t xml:space="preserve"> little attention on </w:t>
      </w:r>
      <w:r w:rsidR="002A6352">
        <w:t xml:space="preserve">how </w:t>
      </w:r>
      <w:r w:rsidR="00011944">
        <w:t xml:space="preserve">government systems and </w:t>
      </w:r>
      <w:r w:rsidR="00311099">
        <w:t xml:space="preserve">the </w:t>
      </w:r>
      <w:r w:rsidR="00FA793B">
        <w:t>relationship</w:t>
      </w:r>
      <w:r w:rsidR="00011944">
        <w:t>s</w:t>
      </w:r>
      <w:r w:rsidR="00FA793B">
        <w:t xml:space="preserve"> between governments and A</w:t>
      </w:r>
      <w:r w:rsidR="00695431">
        <w:t xml:space="preserve">boriginal and Torres Strait Islander people </w:t>
      </w:r>
      <w:r w:rsidR="00737B5D">
        <w:t>needed to change</w:t>
      </w:r>
      <w:r w:rsidR="008B5909">
        <w:t>.</w:t>
      </w:r>
      <w:r w:rsidR="00ED344F">
        <w:t xml:space="preserve"> In contrast, </w:t>
      </w:r>
      <w:r w:rsidR="0018086F">
        <w:t xml:space="preserve">the </w:t>
      </w:r>
      <w:r w:rsidR="00D17A12">
        <w:rPr>
          <w:rFonts w:ascii="Arial" w:hAnsi="Arial" w:cs="Arial"/>
        </w:rPr>
        <w:t xml:space="preserve">central pillars of the </w:t>
      </w:r>
      <w:r w:rsidR="00ED344F">
        <w:rPr>
          <w:rFonts w:ascii="Arial" w:hAnsi="Arial" w:cs="Arial"/>
        </w:rPr>
        <w:t xml:space="preserve">new </w:t>
      </w:r>
      <w:r w:rsidR="00D17A12">
        <w:rPr>
          <w:rFonts w:ascii="Arial" w:hAnsi="Arial" w:cs="Arial"/>
        </w:rPr>
        <w:t>Agreement are its four Priority Reforms</w:t>
      </w:r>
      <w:r w:rsidR="00DF0CDC">
        <w:rPr>
          <w:rFonts w:ascii="Arial" w:hAnsi="Arial" w:cs="Arial"/>
        </w:rPr>
        <w:t xml:space="preserve">, which </w:t>
      </w:r>
      <w:r w:rsidR="00D17A12">
        <w:rPr>
          <w:rFonts w:ascii="Arial" w:hAnsi="Arial" w:cs="Arial"/>
        </w:rPr>
        <w:t>focus on changing the way governments work (figure</w:t>
      </w:r>
      <w:r w:rsidR="003D3194">
        <w:rPr>
          <w:rFonts w:ascii="Arial" w:hAnsi="Arial" w:cs="Arial"/>
        </w:rPr>
        <w:t> </w:t>
      </w:r>
      <w:r w:rsidR="00D17A12">
        <w:rPr>
          <w:rFonts w:ascii="Arial" w:hAnsi="Arial" w:cs="Arial"/>
        </w:rPr>
        <w:t>1).</w:t>
      </w:r>
    </w:p>
    <w:p w14:paraId="01165AD2" w14:textId="07A29076" w:rsidR="00D17A12" w:rsidRDefault="00D17A12" w:rsidP="00923777">
      <w:pPr>
        <w:pStyle w:val="ListBullet"/>
        <w:numPr>
          <w:ilvl w:val="0"/>
          <w:numId w:val="17"/>
        </w:numPr>
      </w:pPr>
      <w:r w:rsidRPr="00C33A06">
        <w:rPr>
          <w:b/>
          <w:bCs/>
        </w:rPr>
        <w:t xml:space="preserve">Priority Reform One </w:t>
      </w:r>
      <w:r w:rsidR="005B4872">
        <w:rPr>
          <w:b/>
          <w:bCs/>
        </w:rPr>
        <w:t>–</w:t>
      </w:r>
      <w:r>
        <w:rPr>
          <w:b/>
          <w:bCs/>
        </w:rPr>
        <w:t xml:space="preserve"> Formal partnerships and shared decision</w:t>
      </w:r>
      <w:r w:rsidR="003D3194">
        <w:rPr>
          <w:b/>
          <w:bCs/>
        </w:rPr>
        <w:noBreakHyphen/>
      </w:r>
      <w:r>
        <w:rPr>
          <w:b/>
          <w:bCs/>
        </w:rPr>
        <w:t>making</w:t>
      </w:r>
      <w:r w:rsidRPr="00407913">
        <w:t>.</w:t>
      </w:r>
      <w:r>
        <w:rPr>
          <w:b/>
          <w:bCs/>
        </w:rPr>
        <w:t xml:space="preserve"> </w:t>
      </w:r>
      <w:r>
        <w:rPr>
          <w:rFonts w:ascii="Arial" w:hAnsi="Arial" w:cs="Arial"/>
        </w:rPr>
        <w:t>‘</w:t>
      </w:r>
      <w:r>
        <w:t>Aboriginal and Torres Strait Islander people are empowered to share decision</w:t>
      </w:r>
      <w:r w:rsidR="003D3194">
        <w:noBreakHyphen/>
      </w:r>
      <w:r>
        <w:t>making authority with governments to accelerate policy and place</w:t>
      </w:r>
      <w:r>
        <w:noBreakHyphen/>
        <w:t>based progress on Closing the Gap through formal partnership agreements’ (</w:t>
      </w:r>
      <w:r w:rsidR="00192E46">
        <w:t>clause</w:t>
      </w:r>
      <w:r>
        <w:t xml:space="preserve"> 17a)</w:t>
      </w:r>
    </w:p>
    <w:p w14:paraId="51A6CDE1" w14:textId="6C058F9D" w:rsidR="00D17A12" w:rsidRPr="006D65F6" w:rsidRDefault="00D17A12" w:rsidP="00923777">
      <w:pPr>
        <w:pStyle w:val="ListBullet"/>
        <w:numPr>
          <w:ilvl w:val="0"/>
          <w:numId w:val="17"/>
        </w:numPr>
      </w:pPr>
      <w:r w:rsidRPr="001A5A8F">
        <w:rPr>
          <w:b/>
          <w:bCs/>
        </w:rPr>
        <w:t xml:space="preserve">Priority Reform Two </w:t>
      </w:r>
      <w:r w:rsidR="005B4872">
        <w:rPr>
          <w:b/>
          <w:bCs/>
        </w:rPr>
        <w:t>–</w:t>
      </w:r>
      <w:r>
        <w:rPr>
          <w:b/>
          <w:bCs/>
        </w:rPr>
        <w:t xml:space="preserve"> Building the community</w:t>
      </w:r>
      <w:r w:rsidR="003D3194">
        <w:rPr>
          <w:b/>
          <w:bCs/>
        </w:rPr>
        <w:noBreakHyphen/>
      </w:r>
      <w:r>
        <w:rPr>
          <w:b/>
          <w:bCs/>
        </w:rPr>
        <w:t>controlled sector</w:t>
      </w:r>
      <w:r w:rsidRPr="00BB4AB8">
        <w:t>.</w:t>
      </w:r>
      <w:r w:rsidRPr="001A5A8F">
        <w:t xml:space="preserve"> </w:t>
      </w:r>
      <w:r>
        <w:t>‘There is a strong and sustainable Aboriginal and Torres Strait Islander community</w:t>
      </w:r>
      <w:r w:rsidR="003D3194">
        <w:noBreakHyphen/>
      </w:r>
      <w:r>
        <w:t>controlled sector delivering high quality services to meet the needs of Aboriginal and Torres Strait Islander people across the country’ (</w:t>
      </w:r>
      <w:r w:rsidR="00192E46">
        <w:t>clause</w:t>
      </w:r>
      <w:r>
        <w:t xml:space="preserve"> 17b)</w:t>
      </w:r>
    </w:p>
    <w:p w14:paraId="0735154C" w14:textId="78BA5D6D" w:rsidR="00D17A12" w:rsidRPr="00074590" w:rsidRDefault="00D17A12" w:rsidP="00923777">
      <w:pPr>
        <w:pStyle w:val="ListBullet"/>
        <w:numPr>
          <w:ilvl w:val="0"/>
          <w:numId w:val="17"/>
        </w:numPr>
        <w:rPr>
          <w:spacing w:val="-4"/>
        </w:rPr>
      </w:pPr>
      <w:r w:rsidRPr="00074590">
        <w:rPr>
          <w:b/>
          <w:bCs/>
          <w:spacing w:val="-4"/>
        </w:rPr>
        <w:t xml:space="preserve">Priority Reform Three </w:t>
      </w:r>
      <w:r w:rsidR="005B4872" w:rsidRPr="00074590">
        <w:rPr>
          <w:b/>
          <w:bCs/>
          <w:spacing w:val="-4"/>
        </w:rPr>
        <w:t>–</w:t>
      </w:r>
      <w:r w:rsidRPr="00074590">
        <w:rPr>
          <w:b/>
          <w:bCs/>
          <w:spacing w:val="-4"/>
        </w:rPr>
        <w:t xml:space="preserve"> Transforming government organisations</w:t>
      </w:r>
      <w:r w:rsidRPr="00074590">
        <w:rPr>
          <w:rFonts w:cs="Arial"/>
          <w:spacing w:val="-4"/>
        </w:rPr>
        <w:t>.</w:t>
      </w:r>
      <w:r w:rsidRPr="00074590">
        <w:rPr>
          <w:spacing w:val="-4"/>
        </w:rPr>
        <w:t xml:space="preserve"> ‘Governments, their organisations and their institutions are accountable for Closing the Gap and are culturally safe and responsive to the needs of Aboriginal and Torres Strait Islander people, including through the services they fund’ (</w:t>
      </w:r>
      <w:r w:rsidR="00192E46" w:rsidRPr="00074590">
        <w:rPr>
          <w:spacing w:val="-4"/>
        </w:rPr>
        <w:t>clause</w:t>
      </w:r>
      <w:r w:rsidR="004C4028" w:rsidRPr="00074590">
        <w:rPr>
          <w:spacing w:val="-4"/>
        </w:rPr>
        <w:t> </w:t>
      </w:r>
      <w:r w:rsidRPr="00074590">
        <w:rPr>
          <w:spacing w:val="-4"/>
        </w:rPr>
        <w:t>17c)</w:t>
      </w:r>
    </w:p>
    <w:p w14:paraId="1A7EBA69" w14:textId="03D6BA37" w:rsidR="00D17A12" w:rsidRPr="001A5A8F" w:rsidRDefault="00D17A12" w:rsidP="00923777">
      <w:pPr>
        <w:pStyle w:val="ListBullet"/>
        <w:numPr>
          <w:ilvl w:val="0"/>
          <w:numId w:val="17"/>
        </w:numPr>
      </w:pPr>
      <w:r w:rsidRPr="001A5A8F">
        <w:rPr>
          <w:b/>
          <w:bCs/>
        </w:rPr>
        <w:t xml:space="preserve">Priority Reform Four </w:t>
      </w:r>
      <w:r w:rsidR="005B4872">
        <w:rPr>
          <w:b/>
          <w:bCs/>
        </w:rPr>
        <w:t>–</w:t>
      </w:r>
      <w:r>
        <w:rPr>
          <w:b/>
          <w:bCs/>
        </w:rPr>
        <w:t xml:space="preserve"> Shared access to data and information at a regional level</w:t>
      </w:r>
      <w:r>
        <w:rPr>
          <w:rFonts w:ascii="Arial" w:hAnsi="Arial" w:cs="Arial"/>
        </w:rPr>
        <w:t>. ‘</w:t>
      </w:r>
      <w:r>
        <w:t>Aboriginal and Torres Strait Islander people have access to, and the capability to use, locally</w:t>
      </w:r>
      <w:r w:rsidR="00F020E3">
        <w:t xml:space="preserve"> </w:t>
      </w:r>
      <w:r>
        <w:t>relevant data and information to set and monitor the implementation of efforts to close the gap, their priorities and drive their own development’ (</w:t>
      </w:r>
      <w:r w:rsidR="00192E46">
        <w:t>clause</w:t>
      </w:r>
      <w:r>
        <w:t xml:space="preserve"> 17d).</w:t>
      </w:r>
    </w:p>
    <w:p w14:paraId="0AC211A9" w14:textId="7A7B7FC6" w:rsidR="00D17A12" w:rsidRDefault="00D17A12" w:rsidP="00D17A12">
      <w:pPr>
        <w:rPr>
          <w:rFonts w:ascii="Arial" w:hAnsi="Arial" w:cs="Arial"/>
        </w:rPr>
      </w:pPr>
      <w:r w:rsidRPr="004B572C">
        <w:rPr>
          <w:rFonts w:ascii="Arial" w:hAnsi="Arial" w:cs="Arial"/>
        </w:rPr>
        <w:t xml:space="preserve">Implementation of these Priority Reforms is intended to accelerate improvements in </w:t>
      </w:r>
      <w:r w:rsidR="00927114">
        <w:rPr>
          <w:rFonts w:ascii="Arial" w:hAnsi="Arial" w:cs="Arial"/>
        </w:rPr>
        <w:t>socio</w:t>
      </w:r>
      <w:r w:rsidR="003D3194">
        <w:rPr>
          <w:rFonts w:ascii="Arial" w:hAnsi="Arial" w:cs="Arial"/>
        </w:rPr>
        <w:noBreakHyphen/>
      </w:r>
      <w:r w:rsidR="00927114">
        <w:rPr>
          <w:rFonts w:ascii="Arial" w:hAnsi="Arial" w:cs="Arial"/>
        </w:rPr>
        <w:t>economic</w:t>
      </w:r>
      <w:r>
        <w:rPr>
          <w:rFonts w:ascii="Arial" w:hAnsi="Arial" w:cs="Arial"/>
        </w:rPr>
        <w:t xml:space="preserve"> </w:t>
      </w:r>
      <w:r w:rsidRPr="004B572C">
        <w:rPr>
          <w:rFonts w:ascii="Arial" w:hAnsi="Arial" w:cs="Arial"/>
        </w:rPr>
        <w:t xml:space="preserve">outcomes for </w:t>
      </w:r>
      <w:r w:rsidRPr="00C745F8">
        <w:rPr>
          <w:rFonts w:ascii="Arial" w:hAnsi="Arial" w:cs="Arial"/>
        </w:rPr>
        <w:t>Aboriginal</w:t>
      </w:r>
      <w:r w:rsidRPr="004B572C">
        <w:rPr>
          <w:rFonts w:ascii="Arial" w:hAnsi="Arial" w:cs="Arial"/>
        </w:rPr>
        <w:t xml:space="preserve"> and Torres Strait Islander people</w:t>
      </w:r>
      <w:r>
        <w:rPr>
          <w:rFonts w:ascii="Arial" w:hAnsi="Arial" w:cs="Arial"/>
        </w:rPr>
        <w:t xml:space="preserve"> </w:t>
      </w:r>
      <w:r w:rsidR="005A4A88">
        <w:rPr>
          <w:rFonts w:ascii="Arial" w:hAnsi="Arial" w:cs="Arial"/>
        </w:rPr>
        <w:t xml:space="preserve">– </w:t>
      </w:r>
      <w:r>
        <w:rPr>
          <w:rFonts w:ascii="Arial" w:hAnsi="Arial" w:cs="Arial"/>
        </w:rPr>
        <w:t>the Agreement currently contains 17</w:t>
      </w:r>
      <w:r w:rsidR="00921B01">
        <w:rPr>
          <w:rFonts w:ascii="Arial" w:hAnsi="Arial" w:cs="Arial"/>
        </w:rPr>
        <w:t> </w:t>
      </w:r>
      <w:r w:rsidR="00927114">
        <w:rPr>
          <w:rFonts w:ascii="Arial" w:hAnsi="Arial" w:cs="Arial"/>
        </w:rPr>
        <w:t>socio</w:t>
      </w:r>
      <w:r w:rsidR="008334BC">
        <w:rPr>
          <w:rFonts w:ascii="Arial" w:hAnsi="Arial" w:cs="Arial"/>
        </w:rPr>
        <w:noBreakHyphen/>
      </w:r>
      <w:r w:rsidR="00927114">
        <w:rPr>
          <w:rFonts w:ascii="Arial" w:hAnsi="Arial" w:cs="Arial"/>
        </w:rPr>
        <w:t>economic</w:t>
      </w:r>
      <w:r>
        <w:rPr>
          <w:rFonts w:ascii="Arial" w:hAnsi="Arial" w:cs="Arial"/>
        </w:rPr>
        <w:t xml:space="preserve"> outcome areas </w:t>
      </w:r>
      <w:r w:rsidR="004C258B">
        <w:rPr>
          <w:rFonts w:ascii="Arial" w:hAnsi="Arial" w:cs="Arial"/>
        </w:rPr>
        <w:t>and associated</w:t>
      </w:r>
      <w:r>
        <w:rPr>
          <w:rFonts w:ascii="Arial" w:hAnsi="Arial" w:cs="Arial"/>
        </w:rPr>
        <w:t xml:space="preserve"> targets</w:t>
      </w:r>
      <w:r w:rsidR="00192E46">
        <w:rPr>
          <w:rFonts w:ascii="Arial" w:hAnsi="Arial" w:cs="Arial"/>
        </w:rPr>
        <w:t xml:space="preserve"> (figure</w:t>
      </w:r>
      <w:r w:rsidR="001B626F">
        <w:rPr>
          <w:rFonts w:ascii="Arial" w:hAnsi="Arial" w:cs="Arial"/>
        </w:rPr>
        <w:t> </w:t>
      </w:r>
      <w:r w:rsidR="00192E46">
        <w:rPr>
          <w:rFonts w:ascii="Arial" w:hAnsi="Arial" w:cs="Arial"/>
        </w:rPr>
        <w:t>1)</w:t>
      </w:r>
      <w:r>
        <w:rPr>
          <w:rFonts w:ascii="Arial" w:hAnsi="Arial" w:cs="Arial"/>
        </w:rPr>
        <w:t>.</w:t>
      </w:r>
    </w:p>
    <w:p w14:paraId="6EAEF2BB" w14:textId="122A0E7A" w:rsidR="00D75379" w:rsidRDefault="00D75379" w:rsidP="001E1355">
      <w:pPr>
        <w:pStyle w:val="FigureTableHeading"/>
      </w:pPr>
      <w:r>
        <w:lastRenderedPageBreak/>
        <w:t xml:space="preserve">Figure </w:t>
      </w:r>
      <w:r w:rsidRPr="756632E0">
        <w:rPr>
          <w:noProof/>
        </w:rPr>
        <w:t xml:space="preserve">1 </w:t>
      </w:r>
      <w:r>
        <w:t>– The Priority reforms and socio</w:t>
      </w:r>
      <w:r w:rsidR="003D3194">
        <w:noBreakHyphen/>
      </w:r>
      <w:r>
        <w:t>economic outcomes in the Agreement</w:t>
      </w:r>
      <w:r w:rsidR="00DD044A" w:rsidRPr="00EF61C1">
        <w:rPr>
          <w:vertAlign w:val="superscript"/>
        </w:rPr>
        <w:t>a</w:t>
      </w:r>
      <w:r w:rsidRPr="00EF61C1">
        <w:rPr>
          <w:vertAlign w:val="superscript"/>
        </w:rPr>
        <w:t xml:space="preserve"> </w:t>
      </w:r>
    </w:p>
    <w:p w14:paraId="48A2EA24" w14:textId="2A4F30E9" w:rsidR="00D75379" w:rsidRPr="00146382" w:rsidRDefault="00CE7F8E" w:rsidP="00D75379">
      <w:pPr>
        <w:pStyle w:val="FigureTableHeading"/>
        <w:spacing w:before="80" w:after="20"/>
      </w:pPr>
      <w:r>
        <w:rPr>
          <w:noProof/>
        </w:rPr>
        <w:drawing>
          <wp:inline distT="0" distB="0" distL="0" distR="0" wp14:anchorId="2FB198F0" wp14:editId="0C72D649">
            <wp:extent cx="6005195" cy="6614795"/>
            <wp:effectExtent l="0" t="0" r="0" b="0"/>
            <wp:docPr id="1039651710" name="Picture 1039651710" descr="This figure is two parallel columns showing the connection between the priority reforms and the socio-economic outcomes.&#10;The left hand column is titled ‘Priority Reforms are fully implemented’ and is a list of the Priority Reforms: Priority Reform 1 – Formal partnerships and shared decision making, Priority Reform 2 – Building the community-controlled sector, Priority Reform 3 – Transforming government organisations, Priority Reform 4 -Shared access to data and information at a regional level&#10;There are 3 arrows going from the left column to the right column, showing a general connection between the two columns.&#10;The right hand column is titled ‘Improvement in socio-economic outcomes are accelerated’ below this is a list of all 17 socioeconomic outcomes. SEO 1-Long and healthy lives, SEO 2 - Born healthy and strong, SEO 3 - Early childhood education, SEO 4 - Children thriving, SEO 5 - Student learning potential, SEO 6 - Further education pathways, SEO 7 - Youth engagement, SEO 8 - Economic participation &amp; development, SEO 9 - Housing, SEO 10 - Criminal justice, SEO 11 - Youth justice, SEO 12 - Child protection, SEO 13 - Family safety, SEO 14 - Social and emotional wellbeing, SEO 15 - Land and waters, SEO 16 - Cultures and languages, SEO 17 - Access to information.&#10;These socio-economic outcome labels are shortened in this diagram. The full wording is shown in information pap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51710" name="Picture 1039651710" descr="This figure is two parallel columns showing the connection between the priority reforms and the socio-economic outcomes.&#10;The left hand column is titled ‘Priority Reforms are fully implemented’ and is a list of the Priority Reforms: Priority Reform 1 – Formal partnerships and shared decision making, Priority Reform 2 – Building the community-controlled sector, Priority Reform 3 – Transforming government organisations, Priority Reform 4 -Shared access to data and information at a regional level&#10;There are 3 arrows going from the left column to the right column, showing a general connection between the two columns.&#10;The right hand column is titled ‘Improvement in socio-economic outcomes are accelerated’ below this is a list of all 17 socioeconomic outcomes. SEO 1-Long and healthy lives, SEO 2 - Born healthy and strong, SEO 3 - Early childhood education, SEO 4 - Children thriving, SEO 5 - Student learning potential, SEO 6 - Further education pathways, SEO 7 - Youth engagement, SEO 8 - Economic participation &amp; development, SEO 9 - Housing, SEO 10 - Criminal justice, SEO 11 - Youth justice, SEO 12 - Child protection, SEO 13 - Family safety, SEO 14 - Social and emotional wellbeing, SEO 15 - Land and waters, SEO 16 - Cultures and languages, SEO 17 - Access to information.&#10;These socio-economic outcome labels are shortened in this diagram. The full wording is shown in information paper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5195" cy="6614795"/>
                    </a:xfrm>
                    <a:prstGeom prst="rect">
                      <a:avLst/>
                    </a:prstGeom>
                    <a:noFill/>
                  </pic:spPr>
                </pic:pic>
              </a:graphicData>
            </a:graphic>
          </wp:inline>
        </w:drawing>
      </w:r>
    </w:p>
    <w:p w14:paraId="42E8DFDF" w14:textId="1549E941" w:rsidR="00CE7F8E" w:rsidRDefault="001E75BA" w:rsidP="00643C39">
      <w:pPr>
        <w:pStyle w:val="Note"/>
      </w:pPr>
      <w:r w:rsidRPr="00643C39">
        <w:rPr>
          <w:b/>
          <w:bCs/>
        </w:rPr>
        <w:t>a</w:t>
      </w:r>
      <w:r w:rsidR="00643C39">
        <w:rPr>
          <w:b/>
          <w:bCs/>
        </w:rPr>
        <w:t>.</w:t>
      </w:r>
      <w:r w:rsidRPr="00643C39">
        <w:rPr>
          <w:b/>
        </w:rPr>
        <w:t xml:space="preserve"> </w:t>
      </w:r>
      <w:r w:rsidRPr="001E75BA">
        <w:t>Socio-economic outcome labels are shortened in this diagram. The full wording is shown in information paper 6.</w:t>
      </w:r>
    </w:p>
    <w:p w14:paraId="4AEBE32E" w14:textId="77777777" w:rsidR="009B6097" w:rsidRDefault="009B6097" w:rsidP="009B6097">
      <w:pPr>
        <w:pStyle w:val="BodyText"/>
        <w:keepNext/>
      </w:pPr>
      <w:r>
        <w:t xml:space="preserve">Although the </w:t>
      </w:r>
      <w:r w:rsidRPr="004B572C">
        <w:rPr>
          <w:rFonts w:ascii="Arial" w:hAnsi="Arial" w:cs="Arial"/>
        </w:rPr>
        <w:t xml:space="preserve">Priority Reforms </w:t>
      </w:r>
      <w:r>
        <w:rPr>
          <w:rFonts w:ascii="Arial" w:hAnsi="Arial" w:cs="Arial"/>
        </w:rPr>
        <w:t xml:space="preserve">are </w:t>
      </w:r>
      <w:r>
        <w:t xml:space="preserve">described as a new approach in the way governments work, they are not new ideas </w:t>
      </w:r>
      <w:r w:rsidRPr="008B55B9">
        <w:t>–</w:t>
      </w:r>
      <w:r>
        <w:t xml:space="preserve"> most of what the parties have committed to reflect what </w:t>
      </w:r>
      <w:r w:rsidRPr="00F363BC">
        <w:t>Aboriginal and Torres Strait Islander people have been saying for a long time</w:t>
      </w:r>
      <w:r>
        <w:t xml:space="preserve">. Further, some aspects of the reforms have been committed to by governments in the past, but only partially implemented or abandoned following changes in governments and shifts in policy. For example: </w:t>
      </w:r>
    </w:p>
    <w:p w14:paraId="5677298F" w14:textId="77777777" w:rsidR="009B6097" w:rsidRPr="00074590" w:rsidRDefault="009B6097" w:rsidP="009B6097">
      <w:pPr>
        <w:pStyle w:val="ListBullet"/>
        <w:numPr>
          <w:ilvl w:val="0"/>
          <w:numId w:val="20"/>
        </w:numPr>
        <w:rPr>
          <w:spacing w:val="-4"/>
        </w:rPr>
      </w:pPr>
      <w:r w:rsidRPr="00074590">
        <w:rPr>
          <w:spacing w:val="-4"/>
        </w:rPr>
        <w:t>as noted above, the Australian Government established ATSIC in 1990 to allow Aboriginal and Torres Strait Islander people greater opportunities to influence policy and funding of services but abolished ATSIC in 2004</w:t>
      </w:r>
    </w:p>
    <w:p w14:paraId="34824896" w14:textId="77777777" w:rsidR="009B6097" w:rsidRDefault="009B6097" w:rsidP="009B6097">
      <w:pPr>
        <w:pStyle w:val="ListBullet"/>
        <w:numPr>
          <w:ilvl w:val="0"/>
          <w:numId w:val="20"/>
        </w:numPr>
      </w:pPr>
      <w:r>
        <w:lastRenderedPageBreak/>
        <w:t>over recent decades, governments have decided to allocate money specifically for service delivery by Aboriginal and Torres Strait Islander community</w:t>
      </w:r>
      <w:r>
        <w:noBreakHyphen/>
        <w:t>controlled organisations, but sometimes later changed policies and funded non</w:t>
      </w:r>
      <w:r>
        <w:noBreakHyphen/>
        <w:t>Indigenous organisations to provide these services, or indeed decided to deliver those services directly through their own departments. When governments have provided grants to Aboriginal and Torres Strait Islander community</w:t>
      </w:r>
      <w:r>
        <w:noBreakHyphen/>
        <w:t xml:space="preserve">controlled organisations to provide services they have often specified how services are to be delivered without input from the organisation or community </w:t>
      </w:r>
    </w:p>
    <w:p w14:paraId="05278314" w14:textId="77777777" w:rsidR="009B6097" w:rsidRPr="00826227" w:rsidRDefault="009B6097" w:rsidP="009B6097">
      <w:pPr>
        <w:pStyle w:val="ListBullet"/>
        <w:numPr>
          <w:ilvl w:val="0"/>
          <w:numId w:val="20"/>
        </w:numPr>
      </w:pPr>
      <w:r>
        <w:t>i</w:t>
      </w:r>
      <w:r w:rsidRPr="00C80269">
        <w:t xml:space="preserve">n preparing its Indigenous Evaluation Strategy, the Commission found that Aboriginal and Torres Strait Islander people </w:t>
      </w:r>
      <w:r>
        <w:t xml:space="preserve">often </w:t>
      </w:r>
      <w:r w:rsidRPr="00C80269">
        <w:t>have limited input into evaluation and governments do not rely heavily on evidence or past experience when formulating policies and programs</w:t>
      </w:r>
      <w:r>
        <w:rPr>
          <w:color w:val="FF0000"/>
        </w:rPr>
        <w:t xml:space="preserve"> </w:t>
      </w:r>
      <w:r w:rsidRPr="00CA5212">
        <w:rPr>
          <w:rFonts w:ascii="Arial" w:hAnsi="Arial" w:cs="Arial"/>
          <w:szCs w:val="24"/>
        </w:rPr>
        <w:t>(PC 2020, p. 4)</w:t>
      </w:r>
      <w:r w:rsidRPr="00C80269">
        <w:t>. Effective programs may be cancelled while ineffective ones may continue to be funded.</w:t>
      </w:r>
    </w:p>
    <w:p w14:paraId="6C6A36A9" w14:textId="16CAD4A3" w:rsidR="00D36923" w:rsidRPr="00074590" w:rsidRDefault="00D36923" w:rsidP="00E71DD7">
      <w:pPr>
        <w:pStyle w:val="BodyText"/>
        <w:rPr>
          <w:spacing w:val="-4"/>
        </w:rPr>
      </w:pPr>
      <w:r w:rsidRPr="00074590">
        <w:rPr>
          <w:spacing w:val="-4"/>
        </w:rPr>
        <w:t>Experiences like these have contributed to a level of distrust in government as well as a sense of fatigue and burden on already</w:t>
      </w:r>
      <w:r w:rsidR="003D3194" w:rsidRPr="00074590">
        <w:rPr>
          <w:spacing w:val="-4"/>
        </w:rPr>
        <w:noBreakHyphen/>
      </w:r>
      <w:r w:rsidRPr="00074590">
        <w:rPr>
          <w:spacing w:val="-4"/>
        </w:rPr>
        <w:t>stretched resources of Aboriginal and Torres Strait Islander organisations, communities and peak groups. These groups are continually called on by governments to provide advice and perspectives on a broad range of policy issues but are often not given sufficient time or resources to do so meaningfully.</w:t>
      </w:r>
    </w:p>
    <w:p w14:paraId="733F59E0" w14:textId="54DCC693" w:rsidR="00226CD2" w:rsidRDefault="00226CD2" w:rsidP="00226CD2">
      <w:pPr>
        <w:pStyle w:val="Heading3"/>
      </w:pPr>
      <w:r>
        <w:t>The priority reforms are aimed at accelerating changes in life outcomes for Aboriginal and Torres Strait Islander people</w:t>
      </w:r>
    </w:p>
    <w:p w14:paraId="35EDB023" w14:textId="77777777" w:rsidR="00B01C73" w:rsidRDefault="00B01C73" w:rsidP="00B01C73">
      <w:pPr>
        <w:pStyle w:val="BodyText"/>
      </w:pPr>
      <w:r>
        <w:t>The Agreement aims to improve life outcomes through changes in the relationship between governments and Aboriginal and Torres Strait Islander people that enable greater self</w:t>
      </w:r>
      <w:r>
        <w:noBreakHyphen/>
        <w:t xml:space="preserve">determination. The Priority Reforms describe how the Agreement will bring about these changes. Although the Agreement does not explicitly set out a logic describing how the Priority Reforms will drive changes in outcomes, a partial logic can be derived from its elements. </w:t>
      </w:r>
    </w:p>
    <w:p w14:paraId="7A8AFFB6" w14:textId="77777777" w:rsidR="00B01C73" w:rsidRDefault="00B01C73" w:rsidP="00B01C73">
      <w:pPr>
        <w:pStyle w:val="BodyText"/>
      </w:pPr>
      <w:r>
        <w:t>In short, the Priority Reforms are expected to improve the socio</w:t>
      </w:r>
      <w:r>
        <w:noBreakHyphen/>
        <w:t>economic outcomes through the centring of Aboriginal and Torres Strait Islander perspectives and knowledges in policies and programs. The Priority Reforms will promote greater recognition of Aboriginal and Torres Strait Islander cultures. This recognition will reinforce efforts to strengthen Aboriginal and Torres Strait Islander leadership in the design and delivery of policies and programs through shared decision</w:t>
      </w:r>
      <w:r>
        <w:noBreakHyphen/>
        <w:t>making, Aboriginal and Torres Strait Islander community control and access to data. This will lead to more culturally safe and responsive policies and programs. As a result, Aboriginal and Torres Strait Islander people will be able to access better quality and more culturally relevant services. This will reduce barriers to participation in social and economic activities and lead to improved socio</w:t>
      </w:r>
      <w:r>
        <w:noBreakHyphen/>
        <w:t>economic outcomes. Note that this represents the Commission’s understanding of the logic and should be tested and further developed by parties to the Agreement.</w:t>
      </w:r>
    </w:p>
    <w:p w14:paraId="4180D085" w14:textId="77777777" w:rsidR="00B01C73" w:rsidRDefault="00B01C73" w:rsidP="00B01C73">
      <w:pPr>
        <w:pStyle w:val="BodyText"/>
      </w:pPr>
      <w:r>
        <w:t>While the Agreement outlines the key building blocks of the reforms and their objectives, it has not explicitly linked them in a way that would support a shared understanding of the intended change. This risks contributing to a siloed policy response and insufficient investment in the government transformation necessary to improve outcomes for Aboriginal and Torres Strait Islander people (box 1).</w:t>
      </w:r>
    </w:p>
    <w:p w14:paraId="432C905F" w14:textId="707B2DF1" w:rsidR="0079467D" w:rsidRDefault="0076514A" w:rsidP="0079467D">
      <w:pPr>
        <w:pStyle w:val="Heading2-nonumber"/>
      </w:pPr>
      <w:bookmarkStart w:id="8" w:name="_Toc140505513"/>
      <w:r>
        <w:t>3</w:t>
      </w:r>
      <w:r>
        <w:tab/>
      </w:r>
      <w:r w:rsidR="0079467D">
        <w:t>The Agreement sits within an evolving landscape</w:t>
      </w:r>
      <w:bookmarkEnd w:id="8"/>
    </w:p>
    <w:p w14:paraId="6D708FC6" w14:textId="70DAA25E" w:rsidR="00283756" w:rsidRDefault="0079467D" w:rsidP="00283756">
      <w:pPr>
        <w:pStyle w:val="BodyText"/>
      </w:pPr>
      <w:r>
        <w:t>Much has changed since the Agreement was signed in 2020, and the Agreement is just one part of a broader set of commitments made by governments to improve the lives of Aboriginal and Torres Strait Islander people</w:t>
      </w:r>
      <w:r w:rsidDel="00173778">
        <w:t xml:space="preserve"> </w:t>
      </w:r>
      <w:r>
        <w:t>(box</w:t>
      </w:r>
      <w:r w:rsidR="003D3194">
        <w:t> </w:t>
      </w:r>
      <w:r w:rsidR="003668A1">
        <w:t>4</w:t>
      </w:r>
      <w:r>
        <w:t xml:space="preserve">). </w:t>
      </w:r>
    </w:p>
    <w:p w14:paraId="5AEED1DF" w14:textId="340DD8EE" w:rsidR="00826227" w:rsidRPr="00F82BD9" w:rsidRDefault="00826227" w:rsidP="00826227">
      <w:pPr>
        <w:pStyle w:val="NoSpacing"/>
      </w:pPr>
    </w:p>
    <w:tbl>
      <w:tblPr>
        <w:tblStyle w:val="Boxtable"/>
        <w:tblW w:w="5000" w:type="pct"/>
        <w:tblLook w:val="04A0" w:firstRow="1" w:lastRow="0" w:firstColumn="1" w:lastColumn="0" w:noHBand="0" w:noVBand="1"/>
      </w:tblPr>
      <w:tblGrid>
        <w:gridCol w:w="906"/>
        <w:gridCol w:w="8732"/>
      </w:tblGrid>
      <w:tr w:rsidR="00826227" w14:paraId="7354AD69" w14:textId="77777777" w:rsidTr="00795F70">
        <w:trPr>
          <w:tblHeader/>
        </w:trPr>
        <w:tc>
          <w:tcPr>
            <w:tcW w:w="851" w:type="dxa"/>
            <w:shd w:val="clear" w:color="auto" w:fill="FBF3EC"/>
            <w:tcMar>
              <w:top w:w="170" w:type="dxa"/>
              <w:left w:w="170" w:type="dxa"/>
              <w:bottom w:w="113" w:type="dxa"/>
              <w:right w:w="170" w:type="dxa"/>
            </w:tcMar>
            <w:hideMark/>
          </w:tcPr>
          <w:p w14:paraId="16F64FC0" w14:textId="77777777" w:rsidR="00826227" w:rsidRDefault="00826227" w:rsidP="00826227">
            <w:pPr>
              <w:pStyle w:val="BoxHeading1"/>
              <w:spacing w:before="120"/>
            </w:pPr>
            <w:r w:rsidRPr="00A031AA">
              <w:rPr>
                <w:b/>
                <w:bCs/>
                <w:noProof/>
              </w:rPr>
              <w:lastRenderedPageBreak/>
              <w:drawing>
                <wp:inline distT="0" distB="0" distL="0" distR="0" wp14:anchorId="79C94A37" wp14:editId="3A311D1D">
                  <wp:extent cx="360000" cy="424800"/>
                  <wp:effectExtent l="0" t="0" r="0" b="0"/>
                  <wp:docPr id="170678946" name="Picture 170678946"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025E3645" w14:textId="6A588FFC" w:rsidR="00826227" w:rsidRDefault="00826227" w:rsidP="00795F70">
            <w:pPr>
              <w:pStyle w:val="BoxHeading1"/>
            </w:pPr>
            <w:r>
              <w:t>Box 4 – Broader government commitments to improve the lives of Aboriginal and Torres Strait Islander people</w:t>
            </w:r>
          </w:p>
        </w:tc>
      </w:tr>
      <w:tr w:rsidR="00826227" w14:paraId="4D038E87" w14:textId="77777777" w:rsidTr="00795F70">
        <w:tc>
          <w:tcPr>
            <w:tcW w:w="9638" w:type="dxa"/>
            <w:gridSpan w:val="2"/>
            <w:shd w:val="clear" w:color="auto" w:fill="FBF3EC"/>
            <w:tcMar>
              <w:top w:w="28" w:type="dxa"/>
              <w:left w:w="170" w:type="dxa"/>
              <w:bottom w:w="170" w:type="dxa"/>
              <w:right w:w="170" w:type="dxa"/>
            </w:tcMar>
            <w:hideMark/>
          </w:tcPr>
          <w:p w14:paraId="22D1284B" w14:textId="34B3F3E8" w:rsidR="00826227" w:rsidRDefault="00826227" w:rsidP="00074590">
            <w:pPr>
              <w:pStyle w:val="BodyText"/>
            </w:pPr>
            <w:r>
              <w:t>Since 2018, governments have stepped up their efforts to improve how they work with Aboriginal and Torres Strait Islander people to design policies that affect their lives. In addition to signing the National Agreement on Closing the Gap, several jurisdictions (Victoria, Queensland, the ACT and the Northern Territory) have commenced processes to facilitate Treaty negotiations and the SA Government has passed legislation to establish a First Nations Voice.</w:t>
            </w:r>
            <w:r w:rsidDel="00C02C44">
              <w:t xml:space="preserve"> </w:t>
            </w:r>
            <w:r>
              <w:t>The Australian Government has also committed to implementing the Uluru Statement from the Heart in full, including progress holding a referendum on a Voice in its</w:t>
            </w:r>
            <w:r w:rsidRPr="00A0626B">
              <w:t xml:space="preserve"> </w:t>
            </w:r>
            <w:r>
              <w:t xml:space="preserve">first term. </w:t>
            </w:r>
            <w:r w:rsidRPr="00F236AA">
              <w:t xml:space="preserve">The Voice would be an independent and permanent advisory body. It would give advice to the Australian Parliament and Government on matters that affect the lives of Aboriginal and Torres Strait Islander peoples </w:t>
            </w:r>
            <w:r w:rsidRPr="008A0ED4">
              <w:rPr>
                <w:rFonts w:ascii="Arial" w:hAnsi="Arial" w:cs="Arial"/>
                <w:szCs w:val="24"/>
              </w:rPr>
              <w:t>(Australian Government 2023a)</w:t>
            </w:r>
            <w:r>
              <w:t>.</w:t>
            </w:r>
          </w:p>
        </w:tc>
      </w:tr>
      <w:tr w:rsidR="00826227" w14:paraId="66C0494F" w14:textId="77777777" w:rsidTr="00795F70">
        <w:trPr>
          <w:hidden/>
        </w:trPr>
        <w:tc>
          <w:tcPr>
            <w:tcW w:w="9638" w:type="dxa"/>
            <w:gridSpan w:val="2"/>
            <w:shd w:val="clear" w:color="auto" w:fill="auto"/>
            <w:tcMar>
              <w:top w:w="0" w:type="dxa"/>
              <w:left w:w="170" w:type="dxa"/>
              <w:bottom w:w="0" w:type="dxa"/>
              <w:right w:w="170" w:type="dxa"/>
            </w:tcMar>
          </w:tcPr>
          <w:p w14:paraId="1C7F9D3F" w14:textId="1247ED3E" w:rsidR="00826227" w:rsidRPr="00465191" w:rsidRDefault="00826227" w:rsidP="00795F70">
            <w:pPr>
              <w:pStyle w:val="BodyText"/>
              <w:spacing w:before="0" w:after="0" w:line="80" w:lineRule="atLeast"/>
              <w:rPr>
                <w:smallCaps/>
                <w:vanish/>
              </w:rPr>
            </w:pPr>
          </w:p>
        </w:tc>
      </w:tr>
    </w:tbl>
    <w:p w14:paraId="1F8C160D" w14:textId="31B38B40" w:rsidR="00C01214" w:rsidRDefault="0079467D" w:rsidP="0079467D">
      <w:pPr>
        <w:pStyle w:val="BodyText"/>
      </w:pPr>
      <w:r>
        <w:t>These initiatives may establish new decision</w:t>
      </w:r>
      <w:r w:rsidR="003D3194">
        <w:noBreakHyphen/>
      </w:r>
      <w:r>
        <w:t xml:space="preserve">making and accountability structures that could provide a further catalyst for changes to the way governments work with Aboriginal and Torres Strait Islander people. </w:t>
      </w:r>
      <w:r w:rsidR="0011191D">
        <w:t xml:space="preserve">But regardless of the outcomes of these processes, governments </w:t>
      </w:r>
      <w:r>
        <w:t xml:space="preserve">will still be responsible for adopting a fundamentally new way of </w:t>
      </w:r>
      <w:r w:rsidR="00BE0D5D">
        <w:t>working with</w:t>
      </w:r>
      <w:r>
        <w:t xml:space="preserve"> Aboriginal and Torres Strait Islander people, as they have committed to do in the Agreement.</w:t>
      </w:r>
    </w:p>
    <w:p w14:paraId="7127B740" w14:textId="39B47629" w:rsidR="00372330" w:rsidRPr="00074590" w:rsidDel="006D69D3" w:rsidRDefault="00372330" w:rsidP="0079467D">
      <w:pPr>
        <w:pStyle w:val="BodyText"/>
        <w:rPr>
          <w:spacing w:val="-4"/>
        </w:rPr>
      </w:pPr>
      <w:r w:rsidRPr="00074590" w:rsidDel="006D69D3">
        <w:rPr>
          <w:spacing w:val="-4"/>
        </w:rPr>
        <w:t>In light of these changes, it may be necessary for the Agreement to be amended over time to reflect the evolving landscape and to reinforce governments’ commitments to implement the Priority Reforms. These reforms reflect long</w:t>
      </w:r>
      <w:r w:rsidR="003D3194" w:rsidRPr="00074590">
        <w:rPr>
          <w:spacing w:val="-4"/>
        </w:rPr>
        <w:noBreakHyphen/>
      </w:r>
      <w:r w:rsidRPr="00074590" w:rsidDel="006D69D3">
        <w:rPr>
          <w:spacing w:val="-4"/>
        </w:rPr>
        <w:t>standing objectives of Aboriginal and Torres Strait Islander people to shape the actions of governments, and our engagements in this review have shown that there is strong support for the Priority Reforms.</w:t>
      </w:r>
    </w:p>
    <w:p w14:paraId="6488704E" w14:textId="1927C87B" w:rsidR="00FB6EF5" w:rsidRDefault="0076514A" w:rsidP="00FB6EF5">
      <w:pPr>
        <w:pStyle w:val="Heading2-nonumber"/>
      </w:pPr>
      <w:bookmarkStart w:id="9" w:name="_Toc140505514"/>
      <w:r>
        <w:t>4</w:t>
      </w:r>
      <w:r>
        <w:tab/>
      </w:r>
      <w:r w:rsidR="00F975AD">
        <w:t>Three</w:t>
      </w:r>
      <w:r w:rsidR="00692391">
        <w:t>-</w:t>
      </w:r>
      <w:r w:rsidR="00F975AD">
        <w:t>yearly reviews of the Agreement</w:t>
      </w:r>
      <w:bookmarkEnd w:id="9"/>
    </w:p>
    <w:p w14:paraId="6149487C" w14:textId="0F8334CE" w:rsidR="00FB6EF5" w:rsidRDefault="00FB6EF5" w:rsidP="00FB6EF5">
      <w:pPr>
        <w:pStyle w:val="BodyText"/>
        <w:rPr>
          <w:rFonts w:ascii="Arial" w:hAnsi="Arial" w:cs="Arial"/>
        </w:rPr>
      </w:pPr>
      <w:r>
        <w:rPr>
          <w:rFonts w:ascii="Arial" w:hAnsi="Arial" w:cs="Arial"/>
        </w:rPr>
        <w:t xml:space="preserve">The </w:t>
      </w:r>
      <w:r w:rsidR="00BE0D5D">
        <w:rPr>
          <w:rFonts w:ascii="Arial" w:hAnsi="Arial" w:cs="Arial"/>
        </w:rPr>
        <w:t>p</w:t>
      </w:r>
      <w:r>
        <w:rPr>
          <w:rFonts w:ascii="Arial" w:hAnsi="Arial" w:cs="Arial"/>
        </w:rPr>
        <w:t xml:space="preserve">arties to the Agreement have committed to independent oversight and accountability of progress under the Agreement. This includes the Productivity Commission undertaking a comprehensive review of progress every three years; this is the first such review. It is an </w:t>
      </w:r>
      <w:r w:rsidRPr="4A574A93">
        <w:rPr>
          <w:rFonts w:ascii="Arial" w:hAnsi="Arial" w:cs="Arial"/>
        </w:rPr>
        <w:t>opportunity to</w:t>
      </w:r>
      <w:r>
        <w:rPr>
          <w:rFonts w:ascii="Arial" w:hAnsi="Arial" w:cs="Arial"/>
        </w:rPr>
        <w:t xml:space="preserve"> </w:t>
      </w:r>
      <w:r>
        <w:t>highlight where</w:t>
      </w:r>
      <w:r w:rsidRPr="00691F62">
        <w:t xml:space="preserve"> governments </w:t>
      </w:r>
      <w:r>
        <w:t>are changing</w:t>
      </w:r>
      <w:r w:rsidRPr="00691F62">
        <w:t xml:space="preserve"> the way they operate</w:t>
      </w:r>
      <w:r>
        <w:t>, where outcomes are improving for Aboriginal and Torres Strait Islander people, and</w:t>
      </w:r>
      <w:r w:rsidRPr="00691F62">
        <w:t xml:space="preserve"> </w:t>
      </w:r>
      <w:r>
        <w:t>where additional effort is needed.</w:t>
      </w:r>
    </w:p>
    <w:p w14:paraId="536EA951" w14:textId="028CB305" w:rsidR="00FB6EF5" w:rsidRPr="00074590" w:rsidRDefault="00FB6EF5" w:rsidP="00FB6EF5">
      <w:pPr>
        <w:pStyle w:val="BodyText"/>
        <w:rPr>
          <w:rFonts w:ascii="Arial" w:hAnsi="Arial" w:cs="Arial"/>
          <w:spacing w:val="-4"/>
        </w:rPr>
      </w:pPr>
      <w:r w:rsidRPr="00074590">
        <w:rPr>
          <w:rFonts w:ascii="Arial" w:hAnsi="Arial" w:cs="Arial"/>
          <w:spacing w:val="-4"/>
        </w:rPr>
        <w:t>The Commission’s task involves assessing progress against the Agreement’s four Priority Reforms and 17</w:t>
      </w:r>
      <w:r w:rsidR="00651792" w:rsidRPr="00074590">
        <w:rPr>
          <w:rFonts w:ascii="Arial" w:hAnsi="Arial" w:cs="Arial"/>
          <w:spacing w:val="-4"/>
        </w:rPr>
        <w:t> </w:t>
      </w:r>
      <w:r w:rsidR="00927114" w:rsidRPr="00074590">
        <w:rPr>
          <w:rFonts w:ascii="Arial" w:hAnsi="Arial" w:cs="Arial"/>
          <w:spacing w:val="-4"/>
        </w:rPr>
        <w:t>socio</w:t>
      </w:r>
      <w:r w:rsidR="003D3194" w:rsidRPr="00074590">
        <w:rPr>
          <w:rFonts w:ascii="Arial" w:hAnsi="Arial" w:cs="Arial"/>
          <w:spacing w:val="-4"/>
        </w:rPr>
        <w:noBreakHyphen/>
      </w:r>
      <w:r w:rsidR="00927114" w:rsidRPr="00074590">
        <w:rPr>
          <w:rFonts w:ascii="Arial" w:hAnsi="Arial" w:cs="Arial"/>
          <w:spacing w:val="-4"/>
        </w:rPr>
        <w:t>economic</w:t>
      </w:r>
      <w:r w:rsidRPr="00074590">
        <w:rPr>
          <w:rFonts w:ascii="Arial" w:hAnsi="Arial" w:cs="Arial"/>
          <w:spacing w:val="-4"/>
        </w:rPr>
        <w:t xml:space="preserve"> outcomes and to examine the factors affecting progress (</w:t>
      </w:r>
      <w:r w:rsidR="002D7FCB" w:rsidRPr="00074590">
        <w:rPr>
          <w:rFonts w:ascii="Arial" w:hAnsi="Arial" w:cs="Arial"/>
          <w:spacing w:val="-4"/>
        </w:rPr>
        <w:t xml:space="preserve">the draft </w:t>
      </w:r>
      <w:r w:rsidR="00323889" w:rsidRPr="00074590">
        <w:rPr>
          <w:rFonts w:ascii="Arial" w:hAnsi="Arial" w:cs="Arial"/>
          <w:spacing w:val="-4"/>
        </w:rPr>
        <w:t xml:space="preserve">report </w:t>
      </w:r>
      <w:r w:rsidRPr="00074590">
        <w:rPr>
          <w:rFonts w:ascii="Arial" w:hAnsi="Arial" w:cs="Arial"/>
          <w:spacing w:val="-4"/>
        </w:rPr>
        <w:t xml:space="preserve">contains the review’s terms of reference). Our final report will be delivered to the Joint Council on Closing the Gap </w:t>
      </w:r>
      <w:r w:rsidR="00ED2E41" w:rsidRPr="00074590">
        <w:rPr>
          <w:rFonts w:ascii="Arial" w:hAnsi="Arial" w:cs="Arial"/>
          <w:spacing w:val="-4"/>
        </w:rPr>
        <w:t>in</w:t>
      </w:r>
      <w:r w:rsidRPr="00074590">
        <w:rPr>
          <w:rFonts w:ascii="Arial" w:hAnsi="Arial" w:cs="Arial"/>
          <w:spacing w:val="-4"/>
        </w:rPr>
        <w:t xml:space="preserve"> December 2023 and will be followed within 12 months by an Aboriginal and Torres Strait Islander</w:t>
      </w:r>
      <w:r w:rsidR="003D3194" w:rsidRPr="00074590">
        <w:rPr>
          <w:rFonts w:ascii="Arial" w:hAnsi="Arial" w:cs="Arial"/>
          <w:spacing w:val="-4"/>
        </w:rPr>
        <w:noBreakHyphen/>
      </w:r>
      <w:r w:rsidRPr="00074590">
        <w:rPr>
          <w:rFonts w:ascii="Arial" w:hAnsi="Arial" w:cs="Arial"/>
          <w:spacing w:val="-4"/>
        </w:rPr>
        <w:t>led review (</w:t>
      </w:r>
      <w:r w:rsidR="00192E46" w:rsidRPr="00074590">
        <w:rPr>
          <w:rFonts w:ascii="Arial" w:hAnsi="Arial" w:cs="Arial"/>
          <w:spacing w:val="-4"/>
        </w:rPr>
        <w:t>clause</w:t>
      </w:r>
      <w:r w:rsidR="00651792" w:rsidRPr="00074590">
        <w:rPr>
          <w:rFonts w:ascii="Arial" w:hAnsi="Arial" w:cs="Arial"/>
          <w:spacing w:val="-4"/>
        </w:rPr>
        <w:t> </w:t>
      </w:r>
      <w:r w:rsidRPr="00074590">
        <w:rPr>
          <w:rFonts w:ascii="Arial" w:hAnsi="Arial" w:cs="Arial"/>
          <w:spacing w:val="-4"/>
        </w:rPr>
        <w:t>12</w:t>
      </w:r>
      <w:r w:rsidR="00E74CB0" w:rsidRPr="00074590">
        <w:rPr>
          <w:rFonts w:ascii="Arial" w:hAnsi="Arial" w:cs="Arial"/>
          <w:spacing w:val="-4"/>
        </w:rPr>
        <w:t>5</w:t>
      </w:r>
      <w:r w:rsidRPr="00074590">
        <w:rPr>
          <w:rFonts w:ascii="Arial" w:hAnsi="Arial" w:cs="Arial"/>
          <w:spacing w:val="-4"/>
        </w:rPr>
        <w:t>).</w:t>
      </w:r>
    </w:p>
    <w:p w14:paraId="5A41F60A" w14:textId="59C70DBC" w:rsidR="005A4781" w:rsidRPr="00692391" w:rsidRDefault="005A4781" w:rsidP="00FB6EF5">
      <w:pPr>
        <w:pStyle w:val="BodyText"/>
        <w:rPr>
          <w:rFonts w:ascii="Arial" w:hAnsi="Arial" w:cs="Arial"/>
          <w:spacing w:val="-4"/>
        </w:rPr>
      </w:pPr>
      <w:r w:rsidRPr="00692391">
        <w:rPr>
          <w:rFonts w:ascii="Arial" w:hAnsi="Arial" w:cs="Arial"/>
          <w:spacing w:val="-4"/>
        </w:rPr>
        <w:t xml:space="preserve">The Commission also has a separate role in </w:t>
      </w:r>
      <w:r w:rsidR="00B80582" w:rsidRPr="00692391">
        <w:rPr>
          <w:rFonts w:ascii="Arial" w:hAnsi="Arial" w:cs="Arial"/>
          <w:spacing w:val="-4"/>
        </w:rPr>
        <w:t xml:space="preserve">developing and maintaining </w:t>
      </w:r>
      <w:r w:rsidR="00820A39" w:rsidRPr="00692391">
        <w:rPr>
          <w:rFonts w:ascii="Arial" w:hAnsi="Arial" w:cs="Arial"/>
          <w:spacing w:val="-4"/>
        </w:rPr>
        <w:t xml:space="preserve">the Closing the Gap </w:t>
      </w:r>
      <w:r w:rsidR="00DF32F2" w:rsidRPr="00692391">
        <w:rPr>
          <w:rFonts w:ascii="Arial" w:hAnsi="Arial" w:cs="Arial"/>
          <w:spacing w:val="-4"/>
        </w:rPr>
        <w:t>i</w:t>
      </w:r>
      <w:r w:rsidR="00820A39" w:rsidRPr="00692391">
        <w:rPr>
          <w:rFonts w:ascii="Arial" w:hAnsi="Arial" w:cs="Arial"/>
          <w:spacing w:val="-4"/>
        </w:rPr>
        <w:t xml:space="preserve">nformation </w:t>
      </w:r>
      <w:r w:rsidR="00DF32F2" w:rsidRPr="00692391">
        <w:rPr>
          <w:rFonts w:ascii="Arial" w:hAnsi="Arial" w:cs="Arial"/>
          <w:spacing w:val="-4"/>
        </w:rPr>
        <w:t>r</w:t>
      </w:r>
      <w:r w:rsidR="00820A39" w:rsidRPr="00692391">
        <w:rPr>
          <w:rFonts w:ascii="Arial" w:hAnsi="Arial" w:cs="Arial"/>
          <w:spacing w:val="-4"/>
        </w:rPr>
        <w:t>epository</w:t>
      </w:r>
      <w:r w:rsidR="009A490E" w:rsidRPr="00692391">
        <w:rPr>
          <w:rFonts w:ascii="Arial" w:hAnsi="Arial" w:cs="Arial"/>
          <w:spacing w:val="-4"/>
        </w:rPr>
        <w:t>, which includes a dashboard o</w:t>
      </w:r>
      <w:r w:rsidR="00C97900" w:rsidRPr="00692391">
        <w:rPr>
          <w:rFonts w:ascii="Arial" w:hAnsi="Arial" w:cs="Arial"/>
          <w:spacing w:val="-4"/>
        </w:rPr>
        <w:t>f</w:t>
      </w:r>
      <w:r w:rsidR="009A490E" w:rsidRPr="00692391">
        <w:rPr>
          <w:rFonts w:ascii="Arial" w:hAnsi="Arial" w:cs="Arial"/>
          <w:spacing w:val="-4"/>
        </w:rPr>
        <w:t xml:space="preserve"> the most up</w:t>
      </w:r>
      <w:r w:rsidR="003D3194" w:rsidRPr="00692391">
        <w:rPr>
          <w:rFonts w:ascii="Arial" w:hAnsi="Arial" w:cs="Arial"/>
          <w:spacing w:val="-4"/>
        </w:rPr>
        <w:noBreakHyphen/>
      </w:r>
      <w:r w:rsidR="009A490E" w:rsidRPr="00692391">
        <w:rPr>
          <w:rFonts w:ascii="Arial" w:hAnsi="Arial" w:cs="Arial"/>
          <w:spacing w:val="-4"/>
        </w:rPr>
        <w:t>to</w:t>
      </w:r>
      <w:r w:rsidR="003D3194" w:rsidRPr="00692391">
        <w:rPr>
          <w:rFonts w:ascii="Arial" w:hAnsi="Arial" w:cs="Arial"/>
          <w:spacing w:val="-4"/>
        </w:rPr>
        <w:noBreakHyphen/>
      </w:r>
      <w:r w:rsidR="009A490E" w:rsidRPr="00692391">
        <w:rPr>
          <w:rFonts w:ascii="Arial" w:hAnsi="Arial" w:cs="Arial"/>
          <w:spacing w:val="-4"/>
        </w:rPr>
        <w:t xml:space="preserve">date information on the targets and indicators in the </w:t>
      </w:r>
      <w:r w:rsidR="00DF32F2" w:rsidRPr="00692391">
        <w:rPr>
          <w:rFonts w:ascii="Arial" w:hAnsi="Arial" w:cs="Arial"/>
          <w:spacing w:val="-4"/>
        </w:rPr>
        <w:t>A</w:t>
      </w:r>
      <w:r w:rsidR="009A490E" w:rsidRPr="00692391">
        <w:rPr>
          <w:rFonts w:ascii="Arial" w:hAnsi="Arial" w:cs="Arial"/>
          <w:spacing w:val="-4"/>
        </w:rPr>
        <w:t xml:space="preserve">greement and </w:t>
      </w:r>
      <w:r w:rsidR="00904F3A" w:rsidRPr="00692391">
        <w:rPr>
          <w:rFonts w:ascii="Arial" w:hAnsi="Arial" w:cs="Arial"/>
          <w:spacing w:val="-4"/>
        </w:rPr>
        <w:t xml:space="preserve">an </w:t>
      </w:r>
      <w:r w:rsidR="00DF32F2" w:rsidRPr="00692391">
        <w:rPr>
          <w:rFonts w:ascii="Arial" w:hAnsi="Arial" w:cs="Arial"/>
          <w:spacing w:val="-4"/>
        </w:rPr>
        <w:t>a</w:t>
      </w:r>
      <w:r w:rsidR="00904F3A" w:rsidRPr="00692391">
        <w:rPr>
          <w:rFonts w:ascii="Arial" w:hAnsi="Arial" w:cs="Arial"/>
          <w:spacing w:val="-4"/>
        </w:rPr>
        <w:t xml:space="preserve">nnual </w:t>
      </w:r>
      <w:r w:rsidR="00DF32F2" w:rsidRPr="00692391">
        <w:rPr>
          <w:rFonts w:ascii="Arial" w:hAnsi="Arial" w:cs="Arial"/>
          <w:spacing w:val="-4"/>
        </w:rPr>
        <w:t>d</w:t>
      </w:r>
      <w:r w:rsidR="00904F3A" w:rsidRPr="00692391">
        <w:rPr>
          <w:rFonts w:ascii="Arial" w:hAnsi="Arial" w:cs="Arial"/>
          <w:spacing w:val="-4"/>
        </w:rPr>
        <w:t xml:space="preserve">ata </w:t>
      </w:r>
      <w:r w:rsidR="00DF32F2" w:rsidRPr="00692391">
        <w:rPr>
          <w:rFonts w:ascii="Arial" w:hAnsi="Arial" w:cs="Arial"/>
          <w:spacing w:val="-4"/>
        </w:rPr>
        <w:t>c</w:t>
      </w:r>
      <w:r w:rsidR="00904F3A" w:rsidRPr="00692391">
        <w:rPr>
          <w:rFonts w:ascii="Arial" w:hAnsi="Arial" w:cs="Arial"/>
          <w:spacing w:val="-4"/>
        </w:rPr>
        <w:t xml:space="preserve">ompilation </w:t>
      </w:r>
      <w:r w:rsidR="00DF32F2" w:rsidRPr="00692391">
        <w:rPr>
          <w:rFonts w:ascii="Arial" w:hAnsi="Arial" w:cs="Arial"/>
          <w:spacing w:val="-4"/>
        </w:rPr>
        <w:t>r</w:t>
      </w:r>
      <w:r w:rsidR="00904F3A" w:rsidRPr="00692391">
        <w:rPr>
          <w:rFonts w:ascii="Arial" w:hAnsi="Arial" w:cs="Arial"/>
          <w:spacing w:val="-4"/>
        </w:rPr>
        <w:t xml:space="preserve">eport (the most recent </w:t>
      </w:r>
      <w:r w:rsidR="00326ED2" w:rsidRPr="00692391">
        <w:rPr>
          <w:rFonts w:ascii="Arial" w:hAnsi="Arial" w:cs="Arial"/>
          <w:spacing w:val="-4"/>
        </w:rPr>
        <w:t>edition</w:t>
      </w:r>
      <w:r w:rsidR="00904F3A" w:rsidRPr="00692391">
        <w:rPr>
          <w:rFonts w:ascii="Arial" w:hAnsi="Arial" w:cs="Arial"/>
          <w:spacing w:val="-4"/>
        </w:rPr>
        <w:t xml:space="preserve"> </w:t>
      </w:r>
      <w:r w:rsidR="00283756" w:rsidRPr="00692391">
        <w:rPr>
          <w:rFonts w:ascii="Arial" w:hAnsi="Arial" w:cs="Arial"/>
          <w:spacing w:val="-4"/>
        </w:rPr>
        <w:t xml:space="preserve">of which </w:t>
      </w:r>
      <w:r w:rsidR="00904F3A" w:rsidRPr="00692391">
        <w:rPr>
          <w:rFonts w:ascii="Arial" w:hAnsi="Arial" w:cs="Arial"/>
          <w:spacing w:val="-4"/>
        </w:rPr>
        <w:t>was released in July 2023</w:t>
      </w:r>
      <w:r w:rsidR="00326ED2" w:rsidRPr="00692391">
        <w:rPr>
          <w:rFonts w:ascii="Arial" w:hAnsi="Arial" w:cs="Arial"/>
          <w:spacing w:val="-4"/>
        </w:rPr>
        <w:t>)</w:t>
      </w:r>
      <w:r w:rsidR="00C97900" w:rsidRPr="00692391">
        <w:rPr>
          <w:rFonts w:ascii="Arial" w:hAnsi="Arial" w:cs="Arial"/>
          <w:spacing w:val="-4"/>
        </w:rPr>
        <w:t xml:space="preserve"> </w:t>
      </w:r>
      <w:r w:rsidR="00755E3C" w:rsidRPr="00692391">
        <w:rPr>
          <w:rFonts w:ascii="Arial" w:hAnsi="Arial" w:cs="Arial"/>
          <w:spacing w:val="-4"/>
          <w:szCs w:val="24"/>
        </w:rPr>
        <w:t>(PC 2023b)</w:t>
      </w:r>
      <w:r w:rsidR="00326ED2" w:rsidRPr="00692391">
        <w:rPr>
          <w:rFonts w:ascii="Arial" w:hAnsi="Arial" w:cs="Arial"/>
          <w:spacing w:val="-4"/>
        </w:rPr>
        <w:t>.</w:t>
      </w:r>
      <w:r w:rsidR="000F4C39" w:rsidRPr="00692391">
        <w:rPr>
          <w:rFonts w:ascii="Arial" w:hAnsi="Arial" w:cs="Arial"/>
          <w:spacing w:val="-4"/>
        </w:rPr>
        <w:t xml:space="preserve"> </w:t>
      </w:r>
    </w:p>
    <w:p w14:paraId="3F42884B" w14:textId="6FC1C57B" w:rsidR="005B347C" w:rsidRDefault="0076514A" w:rsidP="005E0EC7">
      <w:pPr>
        <w:pStyle w:val="Heading2-nonumber"/>
      </w:pPr>
      <w:bookmarkStart w:id="10" w:name="_Toc140505515"/>
      <w:r>
        <w:lastRenderedPageBreak/>
        <w:t>5</w:t>
      </w:r>
      <w:r>
        <w:tab/>
      </w:r>
      <w:r w:rsidR="005E0EC7">
        <w:t>The Commission’s approach to the review</w:t>
      </w:r>
      <w:bookmarkEnd w:id="10"/>
    </w:p>
    <w:p w14:paraId="02FD7764" w14:textId="1F453A7D" w:rsidR="005B347C" w:rsidRPr="00074590" w:rsidRDefault="008E4AF0" w:rsidP="005B347C">
      <w:pPr>
        <w:pStyle w:val="BodyText"/>
        <w:rPr>
          <w:spacing w:val="-4"/>
        </w:rPr>
      </w:pPr>
      <w:r w:rsidRPr="00074590">
        <w:rPr>
          <w:spacing w:val="-4"/>
        </w:rPr>
        <w:t>In reviewing the Agreement, the Commission has engaged widely</w:t>
      </w:r>
      <w:r w:rsidR="00EE01E3" w:rsidRPr="00074590">
        <w:rPr>
          <w:spacing w:val="-4"/>
        </w:rPr>
        <w:t>, particularly with Aboriginal and Torres Strait Islander people and organisations</w:t>
      </w:r>
      <w:r w:rsidR="00A62923" w:rsidRPr="00074590">
        <w:rPr>
          <w:spacing w:val="-4"/>
        </w:rPr>
        <w:t xml:space="preserve">, received written submissions, </w:t>
      </w:r>
      <w:r w:rsidR="00295598" w:rsidRPr="00074590">
        <w:rPr>
          <w:spacing w:val="-4"/>
        </w:rPr>
        <w:t xml:space="preserve">sought </w:t>
      </w:r>
      <w:r w:rsidR="00EF2CC1" w:rsidRPr="00074590">
        <w:rPr>
          <w:spacing w:val="-4"/>
        </w:rPr>
        <w:t xml:space="preserve">specific information from governments and the Coalition of Peaks and reviewed </w:t>
      </w:r>
      <w:r w:rsidR="003C75CD" w:rsidRPr="00074590">
        <w:rPr>
          <w:spacing w:val="-4"/>
        </w:rPr>
        <w:t xml:space="preserve">plans, reports and other documents prepared </w:t>
      </w:r>
      <w:r w:rsidR="009A5A33" w:rsidRPr="00074590">
        <w:rPr>
          <w:spacing w:val="-4"/>
        </w:rPr>
        <w:t>under the Agreement.</w:t>
      </w:r>
    </w:p>
    <w:p w14:paraId="3E40DA3D" w14:textId="0B61B46A" w:rsidR="00833D4B" w:rsidRDefault="004A26E3" w:rsidP="00CD1C70">
      <w:pPr>
        <w:pStyle w:val="Heading3"/>
      </w:pPr>
      <w:r>
        <w:t>Our approach to e</w:t>
      </w:r>
      <w:r w:rsidR="00CD1C70">
        <w:t>ngagement</w:t>
      </w:r>
    </w:p>
    <w:p w14:paraId="610BD5DD" w14:textId="697A28B9" w:rsidR="00B9071C" w:rsidRPr="00074590" w:rsidRDefault="00B9071C" w:rsidP="00B9071C">
      <w:pPr>
        <w:pStyle w:val="BodyText"/>
        <w:rPr>
          <w:rFonts w:ascii="Arial" w:hAnsi="Arial" w:cs="Arial"/>
          <w:spacing w:val="-4"/>
        </w:rPr>
      </w:pPr>
      <w:r w:rsidRPr="00074590">
        <w:rPr>
          <w:rFonts w:ascii="Arial" w:hAnsi="Arial" w:cs="Arial"/>
          <w:spacing w:val="-4"/>
        </w:rPr>
        <w:t xml:space="preserve">The Commission has actively encouraged public participation in the </w:t>
      </w:r>
      <w:r w:rsidR="00E44DB8" w:rsidRPr="00074590">
        <w:rPr>
          <w:rFonts w:ascii="Arial" w:hAnsi="Arial" w:cs="Arial"/>
          <w:spacing w:val="-4"/>
        </w:rPr>
        <w:t xml:space="preserve">review </w:t>
      </w:r>
      <w:r w:rsidRPr="00074590">
        <w:rPr>
          <w:rFonts w:ascii="Arial" w:hAnsi="Arial" w:cs="Arial"/>
          <w:spacing w:val="-4"/>
        </w:rPr>
        <w:t>and continues to engage with Aboriginal and Torres Strait Islander people and organisations, government agencies and non</w:t>
      </w:r>
      <w:r w:rsidR="003D3194" w:rsidRPr="00074590">
        <w:rPr>
          <w:rFonts w:ascii="Arial" w:hAnsi="Arial" w:cs="Arial"/>
          <w:spacing w:val="-4"/>
        </w:rPr>
        <w:noBreakHyphen/>
      </w:r>
      <w:r w:rsidR="00826941" w:rsidRPr="00074590">
        <w:rPr>
          <w:rFonts w:ascii="Arial" w:hAnsi="Arial" w:cs="Arial"/>
          <w:spacing w:val="-4"/>
        </w:rPr>
        <w:t>Indigenous NGOs</w:t>
      </w:r>
      <w:r w:rsidRPr="00074590">
        <w:rPr>
          <w:rFonts w:ascii="Arial" w:hAnsi="Arial" w:cs="Arial"/>
          <w:spacing w:val="-4"/>
        </w:rPr>
        <w:t xml:space="preserve"> involved in deliver</w:t>
      </w:r>
      <w:r w:rsidR="00447774" w:rsidRPr="00074590">
        <w:rPr>
          <w:rFonts w:ascii="Arial" w:hAnsi="Arial" w:cs="Arial"/>
          <w:spacing w:val="-4"/>
        </w:rPr>
        <w:t xml:space="preserve">ing </w:t>
      </w:r>
      <w:r w:rsidRPr="00074590">
        <w:rPr>
          <w:rFonts w:ascii="Arial" w:hAnsi="Arial" w:cs="Arial"/>
          <w:spacing w:val="-4"/>
        </w:rPr>
        <w:t xml:space="preserve">services to Aboriginal and Torres Strait Islander people. In line with the Commission’s Indigenous Evaluation Strategy </w:t>
      </w:r>
      <w:r w:rsidR="00F04034" w:rsidRPr="00074590">
        <w:rPr>
          <w:rFonts w:ascii="Arial" w:hAnsi="Arial" w:cs="Arial"/>
          <w:spacing w:val="-4"/>
          <w:szCs w:val="24"/>
        </w:rPr>
        <w:t>(PC 2020, p. 6)</w:t>
      </w:r>
      <w:r w:rsidRPr="00074590">
        <w:rPr>
          <w:rFonts w:ascii="Arial" w:hAnsi="Arial" w:cs="Arial"/>
          <w:spacing w:val="-4"/>
        </w:rPr>
        <w:t>, centring Aboriginal and Torres Strait Islander people, perspectives, priorities and knowledge</w:t>
      </w:r>
      <w:r w:rsidR="002E0F01" w:rsidRPr="00074590">
        <w:rPr>
          <w:rFonts w:ascii="Arial" w:hAnsi="Arial" w:cs="Arial"/>
          <w:spacing w:val="-4"/>
        </w:rPr>
        <w:t>s</w:t>
      </w:r>
      <w:r w:rsidRPr="00074590">
        <w:rPr>
          <w:rFonts w:ascii="Arial" w:hAnsi="Arial" w:cs="Arial"/>
          <w:spacing w:val="-4"/>
        </w:rPr>
        <w:t xml:space="preserve"> has been the overarching principle of our engagement strategy. Centring involves recognising the diversity of </w:t>
      </w:r>
      <w:r w:rsidR="002E0F01" w:rsidRPr="00074590">
        <w:rPr>
          <w:rFonts w:ascii="Arial" w:hAnsi="Arial" w:cs="Arial"/>
          <w:spacing w:val="-4"/>
        </w:rPr>
        <w:t>Aboriginal and Torres Strait Islander</w:t>
      </w:r>
      <w:r w:rsidRPr="00074590">
        <w:rPr>
          <w:rFonts w:ascii="Arial" w:hAnsi="Arial" w:cs="Arial"/>
          <w:spacing w:val="-4"/>
        </w:rPr>
        <w:t xml:space="preserve"> cultures and understanding th</w:t>
      </w:r>
      <w:r w:rsidR="009D1072" w:rsidRPr="00074590">
        <w:rPr>
          <w:rFonts w:ascii="Arial" w:hAnsi="Arial" w:cs="Arial"/>
          <w:spacing w:val="-4"/>
        </w:rPr>
        <w:t xml:space="preserve">at </w:t>
      </w:r>
      <w:r w:rsidR="00F8071C" w:rsidRPr="00074590">
        <w:rPr>
          <w:rFonts w:ascii="Arial" w:hAnsi="Arial" w:cs="Arial"/>
          <w:spacing w:val="-4"/>
        </w:rPr>
        <w:t>Aboriginal and Torres Strait Islander communities have different</w:t>
      </w:r>
      <w:r w:rsidRPr="00074590">
        <w:rPr>
          <w:rFonts w:ascii="Arial" w:hAnsi="Arial" w:cs="Arial"/>
          <w:spacing w:val="-4"/>
        </w:rPr>
        <w:t xml:space="preserve"> experiences </w:t>
      </w:r>
      <w:r w:rsidR="00F8071C" w:rsidRPr="00074590">
        <w:rPr>
          <w:rFonts w:ascii="Arial" w:hAnsi="Arial" w:cs="Arial"/>
          <w:spacing w:val="-4"/>
        </w:rPr>
        <w:t>of</w:t>
      </w:r>
      <w:r w:rsidRPr="00074590">
        <w:rPr>
          <w:rFonts w:ascii="Arial" w:hAnsi="Arial" w:cs="Arial"/>
          <w:spacing w:val="-4"/>
        </w:rPr>
        <w:t xml:space="preserve"> government policies and programs. </w:t>
      </w:r>
      <w:r w:rsidR="00FD0341" w:rsidRPr="00074590">
        <w:rPr>
          <w:rFonts w:ascii="Arial" w:hAnsi="Arial" w:cs="Arial"/>
          <w:spacing w:val="-4"/>
        </w:rPr>
        <w:t>The</w:t>
      </w:r>
      <w:r w:rsidRPr="00074590">
        <w:rPr>
          <w:rFonts w:ascii="Arial" w:hAnsi="Arial" w:cs="Arial"/>
          <w:spacing w:val="-4"/>
        </w:rPr>
        <w:t xml:space="preserve"> Commission</w:t>
      </w:r>
      <w:r w:rsidR="00FD0341" w:rsidRPr="00074590">
        <w:rPr>
          <w:rFonts w:ascii="Arial" w:hAnsi="Arial" w:cs="Arial"/>
          <w:spacing w:val="-4"/>
        </w:rPr>
        <w:t xml:space="preserve"> has</w:t>
      </w:r>
      <w:r w:rsidRPr="00074590">
        <w:rPr>
          <w:rFonts w:ascii="Arial" w:hAnsi="Arial" w:cs="Arial"/>
          <w:spacing w:val="-4"/>
        </w:rPr>
        <w:t xml:space="preserve"> engage</w:t>
      </w:r>
      <w:r w:rsidR="00F95FBA" w:rsidRPr="00074590">
        <w:rPr>
          <w:rFonts w:ascii="Arial" w:hAnsi="Arial" w:cs="Arial"/>
          <w:spacing w:val="-4"/>
        </w:rPr>
        <w:t>d widely</w:t>
      </w:r>
      <w:r w:rsidRPr="00074590">
        <w:rPr>
          <w:rFonts w:ascii="Arial" w:hAnsi="Arial" w:cs="Arial"/>
          <w:spacing w:val="-4"/>
        </w:rPr>
        <w:t xml:space="preserve"> </w:t>
      </w:r>
      <w:r w:rsidR="00C62777" w:rsidRPr="00074590">
        <w:rPr>
          <w:rFonts w:ascii="Arial" w:hAnsi="Arial" w:cs="Arial"/>
          <w:spacing w:val="-4"/>
        </w:rPr>
        <w:t>to hear</w:t>
      </w:r>
      <w:r w:rsidRPr="00074590">
        <w:rPr>
          <w:rFonts w:ascii="Arial" w:hAnsi="Arial" w:cs="Arial"/>
          <w:spacing w:val="-4"/>
        </w:rPr>
        <w:t xml:space="preserve"> multiple perspectives, knowledge</w:t>
      </w:r>
      <w:r w:rsidR="00C62777" w:rsidRPr="00074590">
        <w:rPr>
          <w:rFonts w:ascii="Arial" w:hAnsi="Arial" w:cs="Arial"/>
          <w:spacing w:val="-4"/>
        </w:rPr>
        <w:t>s</w:t>
      </w:r>
      <w:r w:rsidRPr="00074590">
        <w:rPr>
          <w:rFonts w:ascii="Arial" w:hAnsi="Arial" w:cs="Arial"/>
          <w:spacing w:val="-4"/>
        </w:rPr>
        <w:t xml:space="preserve">, and experiences. </w:t>
      </w:r>
    </w:p>
    <w:p w14:paraId="1E185BD3" w14:textId="4A5F15ED" w:rsidR="00B9071C" w:rsidRPr="00C327D1" w:rsidRDefault="00B9071C" w:rsidP="00B9071C">
      <w:pPr>
        <w:pStyle w:val="BodyText"/>
        <w:rPr>
          <w:rFonts w:ascii="Arial" w:hAnsi="Arial" w:cs="Arial"/>
        </w:rPr>
      </w:pPr>
      <w:r w:rsidRPr="00C327D1">
        <w:rPr>
          <w:rFonts w:ascii="Arial" w:hAnsi="Arial" w:cs="Arial"/>
        </w:rPr>
        <w:t>On 6</w:t>
      </w:r>
      <w:r w:rsidR="003D3194">
        <w:rPr>
          <w:rFonts w:ascii="Arial" w:hAnsi="Arial" w:cs="Arial"/>
        </w:rPr>
        <w:t> </w:t>
      </w:r>
      <w:r w:rsidRPr="00C327D1">
        <w:rPr>
          <w:rFonts w:ascii="Arial" w:hAnsi="Arial" w:cs="Arial"/>
        </w:rPr>
        <w:t xml:space="preserve">July 2022, the Commission published its planned engagement approach </w:t>
      </w:r>
      <w:r w:rsidR="002D50F1" w:rsidRPr="002D50F1">
        <w:rPr>
          <w:rFonts w:ascii="Arial" w:hAnsi="Arial" w:cs="Arial"/>
          <w:szCs w:val="24"/>
        </w:rPr>
        <w:t>(PC 2022a)</w:t>
      </w:r>
      <w:r w:rsidRPr="00C327D1">
        <w:rPr>
          <w:rFonts w:ascii="Arial" w:hAnsi="Arial" w:cs="Arial"/>
        </w:rPr>
        <w:t xml:space="preserve">. The approach outlines four guiding principles for how the Commission planned to undertake engagement in a culturally safe way for Aboriginal and Torres Strait Islander people and their representatives. </w:t>
      </w:r>
    </w:p>
    <w:p w14:paraId="72090A62" w14:textId="7046396F" w:rsidR="00BB6131" w:rsidRPr="00BB6131" w:rsidRDefault="003A441B" w:rsidP="00074590">
      <w:pPr>
        <w:pStyle w:val="ListBullet"/>
        <w:rPr>
          <w:lang w:eastAsia="en-AU"/>
        </w:rPr>
      </w:pPr>
      <w:r>
        <w:rPr>
          <w:i/>
          <w:iCs/>
          <w:lang w:eastAsia="en-AU"/>
        </w:rPr>
        <w:t>F</w:t>
      </w:r>
      <w:r w:rsidR="00BB6131" w:rsidRPr="00BB6131">
        <w:rPr>
          <w:i/>
          <w:iCs/>
          <w:lang w:eastAsia="en-AU"/>
        </w:rPr>
        <w:t>air and inclusive</w:t>
      </w:r>
      <w:r w:rsidR="00BB6131" w:rsidRPr="00BB6131">
        <w:rPr>
          <w:lang w:eastAsia="en-AU"/>
        </w:rPr>
        <w:t> – a diversity of perspectives is supported and enabled, and all wanting to contribute and be heard have the opportunity to do so</w:t>
      </w:r>
      <w:r>
        <w:rPr>
          <w:lang w:eastAsia="en-AU"/>
        </w:rPr>
        <w:t>.</w:t>
      </w:r>
    </w:p>
    <w:p w14:paraId="5FE05759" w14:textId="24E80612" w:rsidR="00BB6131" w:rsidRPr="00BB6131" w:rsidRDefault="003A441B" w:rsidP="00074590">
      <w:pPr>
        <w:pStyle w:val="ListBullet"/>
        <w:rPr>
          <w:lang w:eastAsia="en-AU"/>
        </w:rPr>
      </w:pPr>
      <w:r>
        <w:rPr>
          <w:i/>
          <w:iCs/>
          <w:lang w:eastAsia="en-AU"/>
        </w:rPr>
        <w:t>T</w:t>
      </w:r>
      <w:r w:rsidR="00BB6131" w:rsidRPr="00BB6131">
        <w:rPr>
          <w:i/>
          <w:iCs/>
          <w:lang w:eastAsia="en-AU"/>
        </w:rPr>
        <w:t>ransparent and open</w:t>
      </w:r>
      <w:r w:rsidR="00BB6131" w:rsidRPr="00BB6131">
        <w:rPr>
          <w:lang w:eastAsia="en-AU"/>
        </w:rPr>
        <w:t> – information is provided and decisions are made in a transparent and open manner, and it is possible to assess this has occurred</w:t>
      </w:r>
      <w:r>
        <w:rPr>
          <w:lang w:eastAsia="en-AU"/>
        </w:rPr>
        <w:t>.</w:t>
      </w:r>
    </w:p>
    <w:p w14:paraId="3C83D403" w14:textId="04026EC0" w:rsidR="00BB6131" w:rsidRPr="00BB6131" w:rsidRDefault="003A441B" w:rsidP="00074590">
      <w:pPr>
        <w:pStyle w:val="ListBullet"/>
        <w:rPr>
          <w:lang w:eastAsia="en-AU"/>
        </w:rPr>
      </w:pPr>
      <w:r>
        <w:rPr>
          <w:i/>
          <w:iCs/>
          <w:lang w:eastAsia="en-AU"/>
        </w:rPr>
        <w:t>O</w:t>
      </w:r>
      <w:r w:rsidR="00BB6131" w:rsidRPr="00BB6131">
        <w:rPr>
          <w:i/>
          <w:iCs/>
          <w:lang w:eastAsia="en-AU"/>
        </w:rPr>
        <w:t>ngoing</w:t>
      </w:r>
      <w:r w:rsidR="00BB6131" w:rsidRPr="00BB6131">
        <w:rPr>
          <w:lang w:eastAsia="en-AU"/>
        </w:rPr>
        <w:t xml:space="preserve"> – every stage of the </w:t>
      </w:r>
      <w:r>
        <w:rPr>
          <w:lang w:eastAsia="en-AU"/>
        </w:rPr>
        <w:t>r</w:t>
      </w:r>
      <w:r w:rsidR="00BB6131" w:rsidRPr="00BB6131">
        <w:rPr>
          <w:lang w:eastAsia="en-AU"/>
        </w:rPr>
        <w:t>eview is informed by engagement</w:t>
      </w:r>
      <w:r>
        <w:rPr>
          <w:lang w:eastAsia="en-AU"/>
        </w:rPr>
        <w:t>.</w:t>
      </w:r>
    </w:p>
    <w:p w14:paraId="28695966" w14:textId="4B382B60" w:rsidR="00BB6131" w:rsidRPr="00BB6131" w:rsidRDefault="003A441B" w:rsidP="00074590">
      <w:pPr>
        <w:pStyle w:val="ListBullet"/>
      </w:pPr>
      <w:r>
        <w:rPr>
          <w:i/>
          <w:iCs/>
          <w:lang w:eastAsia="en-AU"/>
        </w:rPr>
        <w:t>R</w:t>
      </w:r>
      <w:r w:rsidR="00BB6131" w:rsidRPr="00BB6131">
        <w:rPr>
          <w:i/>
          <w:iCs/>
          <w:lang w:eastAsia="en-AU"/>
        </w:rPr>
        <w:t>eciprocal</w:t>
      </w:r>
      <w:r w:rsidR="00BB6131" w:rsidRPr="00BB6131">
        <w:rPr>
          <w:lang w:eastAsia="en-AU"/>
        </w:rPr>
        <w:t> – at a minimum, Aboriginal and Torres Strait Islander people and their representatives are provided feedback on how their input has been understood and informed decisions</w:t>
      </w:r>
      <w:r>
        <w:rPr>
          <w:lang w:eastAsia="en-AU"/>
        </w:rPr>
        <w:t>.</w:t>
      </w:r>
    </w:p>
    <w:p w14:paraId="48C93753" w14:textId="529A9274" w:rsidR="00D204F9" w:rsidRDefault="00D204F9" w:rsidP="00D33476">
      <w:pPr>
        <w:pStyle w:val="BodyText"/>
      </w:pPr>
      <w:r w:rsidRPr="00D204F9">
        <w:t>The Commission received rich</w:t>
      </w:r>
      <w:r w:rsidR="00B626A9">
        <w:t xml:space="preserve"> and valuable</w:t>
      </w:r>
      <w:r w:rsidRPr="00D204F9">
        <w:t xml:space="preserve"> information from its engagement and submissions and wishes to express appreciation to all who gave their time to this </w:t>
      </w:r>
      <w:r w:rsidR="004B47BA">
        <w:t>r</w:t>
      </w:r>
      <w:r w:rsidRPr="00D204F9">
        <w:t xml:space="preserve">eview. As the Commission analysed what it heard and arrived at findings for this draft report, it acknowledges there are significant gaps in information for the review in </w:t>
      </w:r>
      <w:r w:rsidR="00CE7A06">
        <w:t>some</w:t>
      </w:r>
      <w:r w:rsidRPr="00D204F9">
        <w:t xml:space="preserve"> areas. To fill these gaps, the Commission has included information requests in the draft report and is calling for submissions in response to </w:t>
      </w:r>
      <w:r w:rsidR="00777141">
        <w:t xml:space="preserve">these requests and to </w:t>
      </w:r>
      <w:r w:rsidRPr="00D204F9">
        <w:t>our draft recommendations.</w:t>
      </w:r>
    </w:p>
    <w:p w14:paraId="0128C1EF" w14:textId="6A1528C0" w:rsidR="00B9071C" w:rsidRPr="00081123" w:rsidRDefault="00B9071C" w:rsidP="00B9071C">
      <w:pPr>
        <w:pStyle w:val="Heading4"/>
      </w:pPr>
      <w:r w:rsidRPr="00081123">
        <w:t>Meetings and visits</w:t>
      </w:r>
    </w:p>
    <w:p w14:paraId="13A4AE57" w14:textId="08A4E55D" w:rsidR="00B9071C" w:rsidRPr="00074590" w:rsidRDefault="00B9071C" w:rsidP="00B9071C">
      <w:pPr>
        <w:pStyle w:val="BodyText"/>
        <w:rPr>
          <w:rFonts w:ascii="Arial" w:hAnsi="Arial" w:cs="Arial"/>
          <w:spacing w:val="-4"/>
        </w:rPr>
      </w:pPr>
      <w:r w:rsidRPr="00074590">
        <w:rPr>
          <w:rFonts w:ascii="Arial" w:hAnsi="Arial" w:cs="Arial"/>
          <w:spacing w:val="-4"/>
        </w:rPr>
        <w:t xml:space="preserve">In line with the commitment to be transparent and engage at every stage of the </w:t>
      </w:r>
      <w:r w:rsidR="00BB046C" w:rsidRPr="00074590">
        <w:rPr>
          <w:rFonts w:ascii="Arial" w:hAnsi="Arial" w:cs="Arial"/>
          <w:spacing w:val="-4"/>
        </w:rPr>
        <w:t>r</w:t>
      </w:r>
      <w:r w:rsidRPr="00074590">
        <w:rPr>
          <w:rFonts w:ascii="Arial" w:hAnsi="Arial" w:cs="Arial"/>
          <w:spacing w:val="-4"/>
        </w:rPr>
        <w:t xml:space="preserve">eview, the Commission published </w:t>
      </w:r>
      <w:r w:rsidRPr="00074590">
        <w:rPr>
          <w:rFonts w:ascii="Arial" w:hAnsi="Arial" w:cs="Arial"/>
          <w:i/>
          <w:spacing w:val="-4"/>
        </w:rPr>
        <w:t xml:space="preserve">Review paper 2: Proposed approach and invitation to engage with the </w:t>
      </w:r>
      <w:r w:rsidR="00850653" w:rsidRPr="00074590">
        <w:rPr>
          <w:rFonts w:ascii="Arial" w:hAnsi="Arial" w:cs="Arial"/>
          <w:i/>
          <w:iCs/>
          <w:spacing w:val="-4"/>
        </w:rPr>
        <w:t>r</w:t>
      </w:r>
      <w:r w:rsidRPr="00074590">
        <w:rPr>
          <w:rFonts w:ascii="Arial" w:hAnsi="Arial" w:cs="Arial"/>
          <w:i/>
          <w:iCs/>
          <w:spacing w:val="-4"/>
        </w:rPr>
        <w:t>eview</w:t>
      </w:r>
      <w:r w:rsidRPr="00074590">
        <w:rPr>
          <w:rFonts w:ascii="Arial" w:hAnsi="Arial" w:cs="Arial"/>
          <w:spacing w:val="-4"/>
        </w:rPr>
        <w:t xml:space="preserve"> on 27</w:t>
      </w:r>
      <w:r w:rsidR="003D3194" w:rsidRPr="00074590">
        <w:rPr>
          <w:rFonts w:ascii="Arial" w:hAnsi="Arial" w:cs="Arial"/>
          <w:spacing w:val="-4"/>
        </w:rPr>
        <w:t> </w:t>
      </w:r>
      <w:r w:rsidRPr="00074590">
        <w:rPr>
          <w:rFonts w:ascii="Arial" w:hAnsi="Arial" w:cs="Arial"/>
          <w:spacing w:val="-4"/>
        </w:rPr>
        <w:t>October 2022</w:t>
      </w:r>
      <w:r w:rsidR="0043030A" w:rsidRPr="00074590">
        <w:rPr>
          <w:rFonts w:ascii="Arial" w:hAnsi="Arial" w:cs="Arial"/>
          <w:spacing w:val="-4"/>
        </w:rPr>
        <w:t xml:space="preserve"> </w:t>
      </w:r>
      <w:r w:rsidR="0090223B" w:rsidRPr="00074590">
        <w:rPr>
          <w:rFonts w:ascii="Arial" w:hAnsi="Arial" w:cs="Arial"/>
          <w:spacing w:val="-4"/>
          <w:szCs w:val="24"/>
        </w:rPr>
        <w:t>(PC 2022b)</w:t>
      </w:r>
      <w:r w:rsidRPr="00074590">
        <w:rPr>
          <w:rFonts w:ascii="Arial" w:hAnsi="Arial" w:cs="Arial"/>
          <w:spacing w:val="-4"/>
        </w:rPr>
        <w:t>. This paper outlined how the Commission intended to assess progress on the Agreement and invited feedback on the proposed approach</w:t>
      </w:r>
      <w:r w:rsidR="001F2077" w:rsidRPr="00074590">
        <w:rPr>
          <w:rFonts w:ascii="Arial" w:hAnsi="Arial" w:cs="Arial"/>
          <w:spacing w:val="-4"/>
        </w:rPr>
        <w:t>,</w:t>
      </w:r>
      <w:r w:rsidRPr="00074590">
        <w:rPr>
          <w:rFonts w:ascii="Arial" w:hAnsi="Arial" w:cs="Arial"/>
          <w:spacing w:val="-4"/>
        </w:rPr>
        <w:t xml:space="preserve"> as well as </w:t>
      </w:r>
      <w:r w:rsidR="00A15028" w:rsidRPr="00074590">
        <w:rPr>
          <w:rFonts w:ascii="Arial" w:hAnsi="Arial" w:cs="Arial"/>
          <w:spacing w:val="-4"/>
        </w:rPr>
        <w:t>sought views</w:t>
      </w:r>
      <w:r w:rsidR="00CB218E" w:rsidRPr="00074590">
        <w:rPr>
          <w:rFonts w:ascii="Arial" w:hAnsi="Arial" w:cs="Arial"/>
          <w:spacing w:val="-4"/>
        </w:rPr>
        <w:t xml:space="preserve"> on the</w:t>
      </w:r>
      <w:r w:rsidRPr="00074590">
        <w:rPr>
          <w:rFonts w:ascii="Arial" w:hAnsi="Arial" w:cs="Arial"/>
          <w:spacing w:val="-4"/>
        </w:rPr>
        <w:t xml:space="preserve"> progress </w:t>
      </w:r>
      <w:r w:rsidR="00E33149" w:rsidRPr="00074590">
        <w:rPr>
          <w:rFonts w:ascii="Arial" w:hAnsi="Arial" w:cs="Arial"/>
          <w:spacing w:val="-4"/>
        </w:rPr>
        <w:t>on</w:t>
      </w:r>
      <w:r w:rsidRPr="00074590">
        <w:rPr>
          <w:rFonts w:ascii="Arial" w:hAnsi="Arial" w:cs="Arial"/>
          <w:spacing w:val="-4"/>
        </w:rPr>
        <w:t xml:space="preserve"> each of the Priority Reforms.</w:t>
      </w:r>
    </w:p>
    <w:p w14:paraId="2FC10225" w14:textId="6DB264D3" w:rsidR="00B9071C" w:rsidRPr="00C327D1" w:rsidRDefault="00B9071C" w:rsidP="00B9071C">
      <w:pPr>
        <w:pStyle w:val="BodyText"/>
        <w:rPr>
          <w:rFonts w:ascii="Arial" w:hAnsi="Arial" w:cs="Arial"/>
        </w:rPr>
      </w:pPr>
      <w:r w:rsidRPr="00C327D1">
        <w:rPr>
          <w:rFonts w:ascii="Arial" w:hAnsi="Arial" w:cs="Arial"/>
        </w:rPr>
        <w:t xml:space="preserve">Due to the number of </w:t>
      </w:r>
      <w:r w:rsidR="009345D6">
        <w:rPr>
          <w:rFonts w:ascii="Arial" w:hAnsi="Arial" w:cs="Arial"/>
        </w:rPr>
        <w:t>people and organisations affected by</w:t>
      </w:r>
      <w:r w:rsidR="00EE6AC2">
        <w:rPr>
          <w:rFonts w:ascii="Arial" w:hAnsi="Arial" w:cs="Arial"/>
        </w:rPr>
        <w:t xml:space="preserve"> the</w:t>
      </w:r>
      <w:r w:rsidRPr="00C327D1">
        <w:rPr>
          <w:rFonts w:ascii="Arial" w:hAnsi="Arial" w:cs="Arial"/>
        </w:rPr>
        <w:t xml:space="preserve"> Agreement, engagement occurred in phases</w:t>
      </w:r>
      <w:r w:rsidR="002F26B2">
        <w:rPr>
          <w:rFonts w:ascii="Arial" w:hAnsi="Arial" w:cs="Arial"/>
        </w:rPr>
        <w:t>.</w:t>
      </w:r>
      <w:r w:rsidR="0069649F">
        <w:rPr>
          <w:rFonts w:ascii="Arial" w:hAnsi="Arial" w:cs="Arial"/>
        </w:rPr>
        <w:t xml:space="preserve"> </w:t>
      </w:r>
      <w:r w:rsidRPr="00C327D1">
        <w:rPr>
          <w:rFonts w:ascii="Arial" w:hAnsi="Arial" w:cs="Arial"/>
        </w:rPr>
        <w:t xml:space="preserve">The first phase of engagement commenced in 2022 and involved engaging with </w:t>
      </w:r>
      <w:r w:rsidR="00AE06EF">
        <w:rPr>
          <w:rFonts w:ascii="Arial" w:hAnsi="Arial" w:cs="Arial"/>
        </w:rPr>
        <w:t xml:space="preserve">Aboriginal and Torres Strait Islander </w:t>
      </w:r>
      <w:r w:rsidRPr="00C327D1">
        <w:rPr>
          <w:rFonts w:ascii="Arial" w:hAnsi="Arial" w:cs="Arial"/>
        </w:rPr>
        <w:t>organisations and government agencies</w:t>
      </w:r>
      <w:r w:rsidR="003A7388">
        <w:rPr>
          <w:rFonts w:ascii="Arial" w:hAnsi="Arial" w:cs="Arial"/>
        </w:rPr>
        <w:t xml:space="preserve">. </w:t>
      </w:r>
      <w:r>
        <w:rPr>
          <w:rFonts w:ascii="Arial" w:hAnsi="Arial" w:cs="Arial"/>
        </w:rPr>
        <w:t>On 9</w:t>
      </w:r>
      <w:r w:rsidR="003D3194">
        <w:rPr>
          <w:rFonts w:ascii="Arial" w:hAnsi="Arial" w:cs="Arial"/>
        </w:rPr>
        <w:t> </w:t>
      </w:r>
      <w:r>
        <w:rPr>
          <w:rFonts w:ascii="Arial" w:hAnsi="Arial" w:cs="Arial"/>
        </w:rPr>
        <w:t xml:space="preserve">February 2023, the Commission published </w:t>
      </w:r>
      <w:r w:rsidR="004155A7" w:rsidRPr="0084096A">
        <w:rPr>
          <w:i/>
        </w:rPr>
        <w:t xml:space="preserve">Review paper 3: What we have heard to date </w:t>
      </w:r>
      <w:r w:rsidR="004155A7">
        <w:rPr>
          <w:i/>
          <w:iCs/>
        </w:rPr>
        <w:t>–</w:t>
      </w:r>
      <w:r w:rsidR="004155A7" w:rsidRPr="00E92925">
        <w:rPr>
          <w:i/>
        </w:rPr>
        <w:t xml:space="preserve"> first phase of engagement</w:t>
      </w:r>
      <w:r w:rsidR="004155A7">
        <w:t xml:space="preserve"> </w:t>
      </w:r>
      <w:r w:rsidR="00755E3C" w:rsidRPr="00755E3C">
        <w:rPr>
          <w:rFonts w:ascii="Arial" w:hAnsi="Arial" w:cs="Arial"/>
          <w:szCs w:val="24"/>
        </w:rPr>
        <w:t>(PC 2023c)</w:t>
      </w:r>
      <w:r>
        <w:rPr>
          <w:rFonts w:ascii="Arial" w:hAnsi="Arial" w:cs="Arial"/>
        </w:rPr>
        <w:t>.</w:t>
      </w:r>
    </w:p>
    <w:p w14:paraId="694098BE" w14:textId="58916461" w:rsidR="00C9402F" w:rsidRDefault="00812335" w:rsidP="00B9071C">
      <w:pPr>
        <w:pStyle w:val="BodyText"/>
        <w:rPr>
          <w:rFonts w:ascii="Arial" w:hAnsi="Arial" w:cs="Arial"/>
        </w:rPr>
      </w:pPr>
      <w:r>
        <w:rPr>
          <w:rFonts w:ascii="Arial" w:hAnsi="Arial" w:cs="Arial"/>
        </w:rPr>
        <w:t>In the</w:t>
      </w:r>
      <w:r w:rsidRPr="00C327D1">
        <w:rPr>
          <w:rFonts w:ascii="Arial" w:hAnsi="Arial" w:cs="Arial"/>
        </w:rPr>
        <w:t xml:space="preserve"> </w:t>
      </w:r>
      <w:r w:rsidR="00B9071C" w:rsidRPr="00C327D1">
        <w:rPr>
          <w:rFonts w:ascii="Arial" w:hAnsi="Arial" w:cs="Arial"/>
        </w:rPr>
        <w:t>second phase of engagement</w:t>
      </w:r>
      <w:r>
        <w:rPr>
          <w:rFonts w:ascii="Arial" w:hAnsi="Arial" w:cs="Arial"/>
        </w:rPr>
        <w:t>, the Commission</w:t>
      </w:r>
      <w:r w:rsidR="00B9071C" w:rsidRPr="00C327D1">
        <w:rPr>
          <w:rFonts w:ascii="Arial" w:hAnsi="Arial" w:cs="Arial"/>
        </w:rPr>
        <w:t xml:space="preserve"> prioritised meeting with people and organisations </w:t>
      </w:r>
      <w:r>
        <w:rPr>
          <w:rFonts w:ascii="Arial" w:hAnsi="Arial" w:cs="Arial"/>
        </w:rPr>
        <w:t xml:space="preserve">that </w:t>
      </w:r>
      <w:r w:rsidR="00B9071C" w:rsidRPr="00C327D1">
        <w:rPr>
          <w:rFonts w:ascii="Arial" w:hAnsi="Arial" w:cs="Arial"/>
        </w:rPr>
        <w:t>we were not able to visit in 2022</w:t>
      </w:r>
      <w:r>
        <w:rPr>
          <w:rFonts w:ascii="Arial" w:hAnsi="Arial" w:cs="Arial"/>
        </w:rPr>
        <w:t>. We also prioritised</w:t>
      </w:r>
      <w:r w:rsidR="00725424" w:rsidDel="00812335">
        <w:rPr>
          <w:rFonts w:ascii="Arial" w:hAnsi="Arial" w:cs="Arial"/>
        </w:rPr>
        <w:t xml:space="preserve"> </w:t>
      </w:r>
      <w:r w:rsidR="00AE06EF" w:rsidRPr="00C327D1">
        <w:rPr>
          <w:rFonts w:ascii="Arial" w:hAnsi="Arial" w:cs="Arial"/>
        </w:rPr>
        <w:t>hearing from communities</w:t>
      </w:r>
      <w:r w:rsidR="00725424">
        <w:rPr>
          <w:rFonts w:ascii="Arial" w:hAnsi="Arial" w:cs="Arial"/>
        </w:rPr>
        <w:t>, organisations</w:t>
      </w:r>
      <w:r w:rsidR="00AE06EF" w:rsidRPr="00C327D1">
        <w:rPr>
          <w:rFonts w:ascii="Arial" w:hAnsi="Arial" w:cs="Arial"/>
        </w:rPr>
        <w:t xml:space="preserve"> and people who may not ordinarily have a voice in consultation processes</w:t>
      </w:r>
      <w:r>
        <w:rPr>
          <w:rFonts w:ascii="Arial" w:hAnsi="Arial" w:cs="Arial"/>
        </w:rPr>
        <w:t>,</w:t>
      </w:r>
      <w:r w:rsidR="00416FE0">
        <w:rPr>
          <w:rFonts w:ascii="Arial" w:hAnsi="Arial" w:cs="Arial"/>
        </w:rPr>
        <w:t xml:space="preserve"> and </w:t>
      </w:r>
      <w:r w:rsidR="000C3D2D">
        <w:rPr>
          <w:rFonts w:ascii="Arial" w:hAnsi="Arial" w:cs="Arial"/>
        </w:rPr>
        <w:t>those with a mix of life experiences</w:t>
      </w:r>
      <w:r w:rsidR="00AE06EF" w:rsidRPr="00C327D1">
        <w:rPr>
          <w:rFonts w:ascii="Arial" w:hAnsi="Arial" w:cs="Arial"/>
        </w:rPr>
        <w:t>.</w:t>
      </w:r>
    </w:p>
    <w:p w14:paraId="1A7C0FCF" w14:textId="63E868B9" w:rsidR="00B9071C" w:rsidRDefault="00B0683D" w:rsidP="00B9071C">
      <w:pPr>
        <w:pStyle w:val="BodyText"/>
        <w:rPr>
          <w:rFonts w:ascii="Arial" w:hAnsi="Arial" w:cs="Arial"/>
        </w:rPr>
      </w:pPr>
      <w:r>
        <w:rPr>
          <w:rFonts w:ascii="Arial" w:hAnsi="Arial" w:cs="Arial"/>
        </w:rPr>
        <w:lastRenderedPageBreak/>
        <w:t>M</w:t>
      </w:r>
      <w:r w:rsidR="00B9071C" w:rsidRPr="00C327D1">
        <w:rPr>
          <w:rFonts w:ascii="Arial" w:hAnsi="Arial" w:cs="Arial"/>
        </w:rPr>
        <w:t>eetings with Aboriginal and Torres Strait Islander organisations were part of in</w:t>
      </w:r>
      <w:r w:rsidR="00617E32">
        <w:rPr>
          <w:rFonts w:ascii="Arial" w:hAnsi="Arial" w:cs="Arial"/>
        </w:rPr>
        <w:noBreakHyphen/>
      </w:r>
      <w:r w:rsidR="00B9071C" w:rsidRPr="00C327D1">
        <w:rPr>
          <w:rFonts w:ascii="Arial" w:hAnsi="Arial" w:cs="Arial"/>
        </w:rPr>
        <w:t>person visits by the Commission across all states and territories</w:t>
      </w:r>
      <w:r w:rsidR="00860D3D">
        <w:rPr>
          <w:rFonts w:ascii="Arial" w:hAnsi="Arial" w:cs="Arial"/>
        </w:rPr>
        <w:t xml:space="preserve">. </w:t>
      </w:r>
      <w:r w:rsidR="003C0C30">
        <w:rPr>
          <w:rFonts w:ascii="Arial" w:hAnsi="Arial" w:cs="Arial"/>
        </w:rPr>
        <w:t>T</w:t>
      </w:r>
      <w:r w:rsidR="00860D3D">
        <w:rPr>
          <w:rFonts w:ascii="Arial" w:hAnsi="Arial" w:cs="Arial"/>
        </w:rPr>
        <w:t xml:space="preserve">he Commission met with </w:t>
      </w:r>
      <w:r w:rsidR="003C0C30">
        <w:rPr>
          <w:rFonts w:ascii="Arial" w:hAnsi="Arial" w:cs="Arial"/>
        </w:rPr>
        <w:t>people and organisations</w:t>
      </w:r>
      <w:r w:rsidR="00860D3D">
        <w:rPr>
          <w:rFonts w:ascii="Arial" w:hAnsi="Arial" w:cs="Arial"/>
        </w:rPr>
        <w:t xml:space="preserve"> across a </w:t>
      </w:r>
      <w:r w:rsidR="000C5F3D">
        <w:rPr>
          <w:rFonts w:ascii="Arial" w:hAnsi="Arial" w:cs="Arial"/>
        </w:rPr>
        <w:t xml:space="preserve">wide </w:t>
      </w:r>
      <w:r w:rsidR="00860D3D">
        <w:rPr>
          <w:rFonts w:ascii="Arial" w:hAnsi="Arial" w:cs="Arial"/>
        </w:rPr>
        <w:t>range of sectors</w:t>
      </w:r>
      <w:r w:rsidR="004A2287">
        <w:rPr>
          <w:rFonts w:ascii="Arial" w:hAnsi="Arial" w:cs="Arial"/>
        </w:rPr>
        <w:t xml:space="preserve"> </w:t>
      </w:r>
      <w:r w:rsidR="006B0D00">
        <w:rPr>
          <w:rFonts w:ascii="Arial" w:hAnsi="Arial" w:cs="Arial"/>
        </w:rPr>
        <w:t>and located in a range of metropolitan, regional and remote areas</w:t>
      </w:r>
      <w:r w:rsidR="001A6FAC">
        <w:rPr>
          <w:rFonts w:ascii="Arial" w:hAnsi="Arial" w:cs="Arial"/>
        </w:rPr>
        <w:t>.</w:t>
      </w:r>
      <w:r w:rsidR="00FA2C28">
        <w:rPr>
          <w:rFonts w:ascii="Arial" w:hAnsi="Arial" w:cs="Arial"/>
        </w:rPr>
        <w:t xml:space="preserve"> </w:t>
      </w:r>
      <w:r w:rsidR="00726916">
        <w:rPr>
          <w:rFonts w:ascii="Arial" w:hAnsi="Arial" w:cs="Arial"/>
        </w:rPr>
        <w:t xml:space="preserve">Prior to the </w:t>
      </w:r>
      <w:r w:rsidR="000F1F6F">
        <w:rPr>
          <w:rFonts w:ascii="Arial" w:hAnsi="Arial" w:cs="Arial"/>
        </w:rPr>
        <w:t>publication</w:t>
      </w:r>
      <w:r w:rsidR="00726916">
        <w:rPr>
          <w:rFonts w:ascii="Arial" w:hAnsi="Arial" w:cs="Arial"/>
        </w:rPr>
        <w:t xml:space="preserve"> of the draft report, </w:t>
      </w:r>
      <w:r w:rsidR="00FA2C28">
        <w:rPr>
          <w:rFonts w:ascii="Arial" w:hAnsi="Arial" w:cs="Arial"/>
        </w:rPr>
        <w:t xml:space="preserve">the Commission </w:t>
      </w:r>
      <w:r w:rsidR="00FA2C28" w:rsidDel="0051506A">
        <w:rPr>
          <w:rFonts w:ascii="Arial" w:hAnsi="Arial" w:cs="Arial"/>
        </w:rPr>
        <w:t>visited</w:t>
      </w:r>
      <w:r w:rsidR="00FA2C28">
        <w:rPr>
          <w:rFonts w:ascii="Arial" w:hAnsi="Arial" w:cs="Arial"/>
        </w:rPr>
        <w:t>:</w:t>
      </w:r>
    </w:p>
    <w:p w14:paraId="3A4B1F8C" w14:textId="77777777" w:rsidR="006D57BB" w:rsidRPr="009A0025" w:rsidRDefault="006D57BB" w:rsidP="003D47F3">
      <w:pPr>
        <w:pStyle w:val="ListBullet"/>
      </w:pPr>
      <w:r w:rsidRPr="009A0025">
        <w:t>New South Wales – Bourke, Brewarrina, Penrith, Redfern, Sydney</w:t>
      </w:r>
    </w:p>
    <w:p w14:paraId="06799527" w14:textId="6ABC8A79" w:rsidR="008549C8" w:rsidRPr="009A0025" w:rsidRDefault="008549C8" w:rsidP="003D47F3">
      <w:pPr>
        <w:pStyle w:val="ListBullet"/>
      </w:pPr>
      <w:r w:rsidRPr="009A0025">
        <w:t xml:space="preserve">Victoria </w:t>
      </w:r>
      <w:r w:rsidR="000A4BD5">
        <w:t>–</w:t>
      </w:r>
      <w:r w:rsidRPr="009A0025">
        <w:t xml:space="preserve"> Melbourne</w:t>
      </w:r>
    </w:p>
    <w:p w14:paraId="58889708" w14:textId="42715EAF" w:rsidR="006D57BB" w:rsidRPr="009A0025" w:rsidRDefault="006D57BB" w:rsidP="003D47F3">
      <w:pPr>
        <w:pStyle w:val="ListBullet"/>
      </w:pPr>
      <w:r w:rsidRPr="009A0025">
        <w:t>Queensland – Brisbane, Cairns, Stradbroke Island, Thursday Island</w:t>
      </w:r>
      <w:r w:rsidR="002470E6">
        <w:t>, Yarrabah</w:t>
      </w:r>
    </w:p>
    <w:p w14:paraId="0B17062B" w14:textId="4C20602B" w:rsidR="006D57BB" w:rsidRPr="009A0025" w:rsidRDefault="006D57BB" w:rsidP="003D47F3">
      <w:pPr>
        <w:pStyle w:val="ListBullet"/>
      </w:pPr>
      <w:r w:rsidRPr="009A0025">
        <w:t>South Australia – Adelaide, Ceduna</w:t>
      </w:r>
      <w:r w:rsidR="000A4BD5">
        <w:t>, Yalata</w:t>
      </w:r>
    </w:p>
    <w:p w14:paraId="312F9645" w14:textId="77777777" w:rsidR="008549C8" w:rsidRPr="009A0025" w:rsidRDefault="008549C8" w:rsidP="003D47F3">
      <w:pPr>
        <w:pStyle w:val="ListBullet"/>
      </w:pPr>
      <w:r w:rsidRPr="009A0025">
        <w:t>Western Australia – Broome, Geraldton, Kununurra, Perth</w:t>
      </w:r>
    </w:p>
    <w:p w14:paraId="0D54678E" w14:textId="77777777" w:rsidR="006D57BB" w:rsidRPr="009A0025" w:rsidRDefault="006D57BB" w:rsidP="003D47F3">
      <w:pPr>
        <w:pStyle w:val="ListBullet"/>
      </w:pPr>
      <w:r w:rsidRPr="009A0025">
        <w:t>Tasmania – Hobart, Launceston</w:t>
      </w:r>
    </w:p>
    <w:p w14:paraId="7F960090" w14:textId="4217EFA1" w:rsidR="00F35461" w:rsidRPr="009A0025" w:rsidRDefault="00F35461" w:rsidP="003D47F3">
      <w:pPr>
        <w:pStyle w:val="ListBullet"/>
      </w:pPr>
      <w:r w:rsidRPr="009A0025">
        <w:t xml:space="preserve">Australian Capital Territory </w:t>
      </w:r>
      <w:r w:rsidR="00F83C52">
        <w:t>–</w:t>
      </w:r>
      <w:r w:rsidRPr="009A0025">
        <w:t xml:space="preserve"> Canberra</w:t>
      </w:r>
    </w:p>
    <w:p w14:paraId="20E4048A" w14:textId="149A3954" w:rsidR="009A0025" w:rsidRPr="00805873" w:rsidRDefault="00F83C52" w:rsidP="003D47F3">
      <w:pPr>
        <w:pStyle w:val="ListBullet"/>
      </w:pPr>
      <w:r w:rsidRPr="009A0025">
        <w:t>Northern Territory – Alice Springs, Darwin, Groote Eylandt, Nhulunbuy</w:t>
      </w:r>
      <w:r w:rsidR="002470E6">
        <w:t>, Yirrkala</w:t>
      </w:r>
      <w:r w:rsidR="002F60EE">
        <w:t>.</w:t>
      </w:r>
    </w:p>
    <w:p w14:paraId="1946A936" w14:textId="08438478" w:rsidR="00B9071C" w:rsidRPr="00C327D1" w:rsidRDefault="0069649F" w:rsidP="00B9071C">
      <w:pPr>
        <w:pStyle w:val="BodyText"/>
        <w:rPr>
          <w:rFonts w:ascii="Arial" w:hAnsi="Arial" w:cs="Arial"/>
        </w:rPr>
      </w:pPr>
      <w:r w:rsidRPr="0069649F">
        <w:rPr>
          <w:rFonts w:ascii="Arial" w:hAnsi="Arial" w:cs="Arial"/>
        </w:rPr>
        <w:t>Although the Commission has engaged widely, it has only been possible to meet with a small proportion of the many Aboriginal and Torres Strait Islander communities across Australia</w:t>
      </w:r>
      <w:r w:rsidR="005C51FC">
        <w:rPr>
          <w:rFonts w:ascii="Arial" w:hAnsi="Arial" w:cs="Arial"/>
        </w:rPr>
        <w:t xml:space="preserve">. </w:t>
      </w:r>
      <w:r w:rsidR="00CA7994">
        <w:rPr>
          <w:rFonts w:ascii="Arial" w:hAnsi="Arial" w:cs="Arial"/>
        </w:rPr>
        <w:t>T</w:t>
      </w:r>
      <w:r w:rsidR="00564007">
        <w:rPr>
          <w:rFonts w:ascii="Arial" w:hAnsi="Arial" w:cs="Arial"/>
        </w:rPr>
        <w:t xml:space="preserve">he current review is </w:t>
      </w:r>
      <w:r w:rsidR="004A13FA">
        <w:rPr>
          <w:rFonts w:ascii="Arial" w:hAnsi="Arial" w:cs="Arial"/>
        </w:rPr>
        <w:t>the first of a series of three</w:t>
      </w:r>
      <w:r w:rsidR="003D3194">
        <w:rPr>
          <w:rFonts w:ascii="Arial" w:hAnsi="Arial" w:cs="Arial"/>
        </w:rPr>
        <w:noBreakHyphen/>
      </w:r>
      <w:r w:rsidR="004A13FA">
        <w:rPr>
          <w:rFonts w:ascii="Arial" w:hAnsi="Arial" w:cs="Arial"/>
        </w:rPr>
        <w:t xml:space="preserve">yearly reviews </w:t>
      </w:r>
      <w:r w:rsidR="00CA7994">
        <w:rPr>
          <w:rFonts w:ascii="Arial" w:hAnsi="Arial" w:cs="Arial"/>
        </w:rPr>
        <w:t xml:space="preserve">set out in the Agreement. </w:t>
      </w:r>
      <w:r w:rsidR="005C51FC">
        <w:rPr>
          <w:rFonts w:ascii="Arial" w:hAnsi="Arial" w:cs="Arial"/>
        </w:rPr>
        <w:t>Engagement will continue</w:t>
      </w:r>
      <w:r w:rsidR="003E4E46">
        <w:rPr>
          <w:rFonts w:ascii="Arial" w:hAnsi="Arial" w:cs="Arial"/>
        </w:rPr>
        <w:t xml:space="preserve"> for the remainder of this review</w:t>
      </w:r>
      <w:r w:rsidR="00F035DD">
        <w:rPr>
          <w:rFonts w:ascii="Arial" w:hAnsi="Arial" w:cs="Arial"/>
        </w:rPr>
        <w:t xml:space="preserve">, and </w:t>
      </w:r>
      <w:r w:rsidR="003E4E46">
        <w:rPr>
          <w:rFonts w:ascii="Arial" w:hAnsi="Arial" w:cs="Arial"/>
        </w:rPr>
        <w:t>but there will be an ongoing engagement process</w:t>
      </w:r>
      <w:r w:rsidR="004A2287">
        <w:rPr>
          <w:rFonts w:ascii="Arial" w:hAnsi="Arial" w:cs="Arial"/>
        </w:rPr>
        <w:t xml:space="preserve"> for subsequent reviews.</w:t>
      </w:r>
    </w:p>
    <w:p w14:paraId="46D62A06" w14:textId="54901471" w:rsidR="00B9071C" w:rsidRPr="00C327D1" w:rsidRDefault="00B9071C" w:rsidP="00416AA9">
      <w:pPr>
        <w:pStyle w:val="BodyText"/>
        <w:keepNext/>
        <w:rPr>
          <w:rFonts w:ascii="Arial" w:hAnsi="Arial" w:cs="Arial"/>
        </w:rPr>
      </w:pPr>
      <w:r w:rsidRPr="00C327D1">
        <w:rPr>
          <w:rFonts w:ascii="Arial" w:hAnsi="Arial" w:cs="Arial"/>
        </w:rPr>
        <w:t>Meetings with government agencies, not</w:t>
      </w:r>
      <w:r w:rsidR="00F035DD">
        <w:rPr>
          <w:rFonts w:ascii="Arial" w:hAnsi="Arial" w:cs="Arial"/>
        </w:rPr>
        <w:noBreakHyphen/>
      </w:r>
      <w:r w:rsidRPr="00C327D1">
        <w:rPr>
          <w:rFonts w:ascii="Arial" w:hAnsi="Arial" w:cs="Arial"/>
        </w:rPr>
        <w:t>for</w:t>
      </w:r>
      <w:r w:rsidR="00F035DD">
        <w:rPr>
          <w:rFonts w:ascii="Arial" w:hAnsi="Arial" w:cs="Arial"/>
        </w:rPr>
        <w:noBreakHyphen/>
      </w:r>
      <w:r w:rsidRPr="00C327D1">
        <w:rPr>
          <w:rFonts w:ascii="Arial" w:hAnsi="Arial" w:cs="Arial"/>
        </w:rPr>
        <w:t xml:space="preserve">profit organisations and peak organisations were mostly conducted online. </w:t>
      </w:r>
      <w:r w:rsidR="009B5362">
        <w:rPr>
          <w:rFonts w:ascii="Arial" w:hAnsi="Arial" w:cs="Arial"/>
        </w:rPr>
        <w:t xml:space="preserve">Of </w:t>
      </w:r>
      <w:r w:rsidR="002345CC">
        <w:rPr>
          <w:rFonts w:ascii="Arial" w:hAnsi="Arial" w:cs="Arial"/>
        </w:rPr>
        <w:t>all the meetings</w:t>
      </w:r>
      <w:r w:rsidR="009B5362">
        <w:rPr>
          <w:rFonts w:ascii="Arial" w:hAnsi="Arial" w:cs="Arial"/>
        </w:rPr>
        <w:t>:</w:t>
      </w:r>
    </w:p>
    <w:p w14:paraId="211704DE" w14:textId="10F521D8" w:rsidR="00B9071C" w:rsidRPr="00C327D1" w:rsidRDefault="00FC213E" w:rsidP="003D47F3">
      <w:pPr>
        <w:pStyle w:val="ListBullet"/>
      </w:pPr>
      <w:r>
        <w:t>1</w:t>
      </w:r>
      <w:r w:rsidR="00D94569">
        <w:t>2</w:t>
      </w:r>
      <w:r w:rsidR="001A7355">
        <w:t>1</w:t>
      </w:r>
      <w:r w:rsidR="00B9071C" w:rsidRPr="00C327D1">
        <w:t xml:space="preserve"> were with Aboriginal and Torres Strait Islander organisations (including community</w:t>
      </w:r>
      <w:r w:rsidR="003D3194">
        <w:noBreakHyphen/>
      </w:r>
      <w:r w:rsidR="00B9071C" w:rsidRPr="00C327D1">
        <w:t>controlled organisations, peak</w:t>
      </w:r>
      <w:r w:rsidR="00F035DD">
        <w:t xml:space="preserve"> bodie</w:t>
      </w:r>
      <w:r w:rsidR="00B9071C" w:rsidRPr="00C327D1">
        <w:t>s, councils, and regional authorities)</w:t>
      </w:r>
    </w:p>
    <w:p w14:paraId="0B228694" w14:textId="4C6EE27A" w:rsidR="00B9071C" w:rsidRPr="00C327D1" w:rsidRDefault="00B84D21" w:rsidP="003D47F3">
      <w:pPr>
        <w:pStyle w:val="ListBullet"/>
      </w:pPr>
      <w:r>
        <w:t>48</w:t>
      </w:r>
      <w:r w:rsidR="00B9071C" w:rsidRPr="00C327D1">
        <w:t xml:space="preserve"> were with government </w:t>
      </w:r>
      <w:r w:rsidR="00FD3F7B">
        <w:t xml:space="preserve">departments and </w:t>
      </w:r>
      <w:r w:rsidR="00B9071C" w:rsidRPr="00C327D1">
        <w:t>agencies (national, states</w:t>
      </w:r>
      <w:r>
        <w:t xml:space="preserve"> and</w:t>
      </w:r>
      <w:r w:rsidR="00B9071C" w:rsidRPr="00C327D1">
        <w:t xml:space="preserve"> territories)</w:t>
      </w:r>
    </w:p>
    <w:p w14:paraId="11C18BEB" w14:textId="221575AC" w:rsidR="006F2254" w:rsidRPr="003377C2" w:rsidRDefault="006F2254" w:rsidP="003D47F3">
      <w:pPr>
        <w:pStyle w:val="ListBullet"/>
      </w:pPr>
      <w:r w:rsidRPr="00C327D1">
        <w:t>1</w:t>
      </w:r>
      <w:r>
        <w:t>0</w:t>
      </w:r>
      <w:r w:rsidRPr="00C327D1">
        <w:t xml:space="preserve"> were with non</w:t>
      </w:r>
      <w:r>
        <w:noBreakHyphen/>
        <w:t>Indigenous</w:t>
      </w:r>
      <w:r w:rsidRPr="00C327D1">
        <w:t xml:space="preserve"> </w:t>
      </w:r>
      <w:r>
        <w:t>NGOs</w:t>
      </w:r>
      <w:r w:rsidRPr="00C327D1">
        <w:t xml:space="preserve"> involved in the delivery of services to Aboriginal and Torres Strait Islander people</w:t>
      </w:r>
    </w:p>
    <w:p w14:paraId="0B1FE7A1" w14:textId="399C0A4A" w:rsidR="00763DE2" w:rsidRDefault="006C2BD0" w:rsidP="003D47F3">
      <w:pPr>
        <w:pStyle w:val="ListBullet"/>
      </w:pPr>
      <w:r>
        <w:t>four</w:t>
      </w:r>
      <w:r w:rsidR="00B84D21">
        <w:t xml:space="preserve"> </w:t>
      </w:r>
      <w:r w:rsidR="00736CAF">
        <w:t xml:space="preserve">were with </w:t>
      </w:r>
      <w:r w:rsidR="006D602F">
        <w:t>local government organisation</w:t>
      </w:r>
      <w:r w:rsidR="00891E8E">
        <w:t>s</w:t>
      </w:r>
      <w:r w:rsidR="00736CAF">
        <w:t xml:space="preserve"> </w:t>
      </w:r>
    </w:p>
    <w:p w14:paraId="6AF67935" w14:textId="6E8A9E32" w:rsidR="003377C2" w:rsidRPr="00C327D1" w:rsidRDefault="006C2BD0" w:rsidP="003D47F3">
      <w:pPr>
        <w:pStyle w:val="ListBullet"/>
      </w:pPr>
      <w:r>
        <w:t>three</w:t>
      </w:r>
      <w:r w:rsidR="00736CAF">
        <w:t xml:space="preserve"> </w:t>
      </w:r>
      <w:r w:rsidR="003B7FDE">
        <w:t xml:space="preserve">were with </w:t>
      </w:r>
      <w:r w:rsidR="00736CAF">
        <w:t>research and consulting organisations</w:t>
      </w:r>
      <w:r w:rsidR="00106D12">
        <w:t>.</w:t>
      </w:r>
    </w:p>
    <w:p w14:paraId="49E29D66" w14:textId="4B1D398A" w:rsidR="00A36164" w:rsidRPr="00C327D1" w:rsidRDefault="00CB7DF2" w:rsidP="00CD1C70">
      <w:pPr>
        <w:pStyle w:val="BodyText"/>
        <w:rPr>
          <w:rFonts w:ascii="Arial" w:hAnsi="Arial" w:cs="Arial"/>
        </w:rPr>
      </w:pPr>
      <w:r>
        <w:rPr>
          <w:rFonts w:ascii="Arial" w:hAnsi="Arial" w:cs="Arial"/>
        </w:rPr>
        <w:t xml:space="preserve">The third phase of engagement for this review will include a mix of </w:t>
      </w:r>
      <w:r w:rsidR="00682B86">
        <w:rPr>
          <w:rFonts w:ascii="Arial" w:hAnsi="Arial" w:cs="Arial"/>
        </w:rPr>
        <w:t>follow</w:t>
      </w:r>
      <w:r w:rsidR="003D3194">
        <w:rPr>
          <w:rFonts w:ascii="Arial" w:hAnsi="Arial" w:cs="Arial"/>
        </w:rPr>
        <w:noBreakHyphen/>
      </w:r>
      <w:r w:rsidR="00682B86">
        <w:rPr>
          <w:rFonts w:ascii="Arial" w:hAnsi="Arial" w:cs="Arial"/>
        </w:rPr>
        <w:t>up discussions</w:t>
      </w:r>
      <w:r>
        <w:rPr>
          <w:rFonts w:ascii="Arial" w:hAnsi="Arial" w:cs="Arial"/>
        </w:rPr>
        <w:t xml:space="preserve"> with people </w:t>
      </w:r>
      <w:r w:rsidR="00682B86">
        <w:rPr>
          <w:rFonts w:ascii="Arial" w:hAnsi="Arial" w:cs="Arial"/>
        </w:rPr>
        <w:t xml:space="preserve">and organisations we met during </w:t>
      </w:r>
      <w:r w:rsidR="003A0AFC">
        <w:rPr>
          <w:rFonts w:ascii="Arial" w:hAnsi="Arial" w:cs="Arial"/>
        </w:rPr>
        <w:t xml:space="preserve">earlier phases, meetings with some people </w:t>
      </w:r>
      <w:r w:rsidR="00F3632F">
        <w:rPr>
          <w:rFonts w:ascii="Arial" w:hAnsi="Arial" w:cs="Arial"/>
        </w:rPr>
        <w:t xml:space="preserve">and organisations </w:t>
      </w:r>
      <w:r w:rsidR="003A0AFC">
        <w:rPr>
          <w:rFonts w:ascii="Arial" w:hAnsi="Arial" w:cs="Arial"/>
        </w:rPr>
        <w:t>we were not able to meet earlier</w:t>
      </w:r>
      <w:r w:rsidR="006B297B">
        <w:rPr>
          <w:rFonts w:ascii="Arial" w:hAnsi="Arial" w:cs="Arial"/>
        </w:rPr>
        <w:t>,</w:t>
      </w:r>
      <w:r w:rsidR="003A0AFC">
        <w:rPr>
          <w:rFonts w:ascii="Arial" w:hAnsi="Arial" w:cs="Arial"/>
        </w:rPr>
        <w:t xml:space="preserve"> and </w:t>
      </w:r>
      <w:r w:rsidR="00C81610">
        <w:rPr>
          <w:rFonts w:ascii="Arial" w:hAnsi="Arial" w:cs="Arial"/>
        </w:rPr>
        <w:t xml:space="preserve">meetings </w:t>
      </w:r>
      <w:r w:rsidR="00153859">
        <w:rPr>
          <w:rFonts w:ascii="Arial" w:hAnsi="Arial" w:cs="Arial"/>
        </w:rPr>
        <w:t>to discuss feedback we receive</w:t>
      </w:r>
      <w:r w:rsidR="00135998">
        <w:rPr>
          <w:rFonts w:ascii="Arial" w:hAnsi="Arial" w:cs="Arial"/>
        </w:rPr>
        <w:t>d</w:t>
      </w:r>
      <w:r w:rsidR="00153859">
        <w:rPr>
          <w:rFonts w:ascii="Arial" w:hAnsi="Arial" w:cs="Arial"/>
        </w:rPr>
        <w:t xml:space="preserve"> on the draft report.</w:t>
      </w:r>
    </w:p>
    <w:p w14:paraId="38502424" w14:textId="29B85BF4" w:rsidR="00F54734" w:rsidRPr="00C327D1" w:rsidRDefault="00F54734" w:rsidP="00B9071C">
      <w:pPr>
        <w:pStyle w:val="Heading4"/>
      </w:pPr>
      <w:r w:rsidRPr="00C327D1">
        <w:t>Roundtables</w:t>
      </w:r>
    </w:p>
    <w:p w14:paraId="48B86E14" w14:textId="039F1793" w:rsidR="00B9071C" w:rsidRPr="00C327D1" w:rsidRDefault="00B9071C" w:rsidP="00B9071C">
      <w:pPr>
        <w:pStyle w:val="BodyText"/>
        <w:rPr>
          <w:rFonts w:ascii="Arial" w:hAnsi="Arial" w:cs="Arial"/>
        </w:rPr>
      </w:pPr>
      <w:r w:rsidRPr="00C327D1">
        <w:rPr>
          <w:rFonts w:ascii="Arial" w:hAnsi="Arial" w:cs="Arial"/>
        </w:rPr>
        <w:t xml:space="preserve">The Commission convened four </w:t>
      </w:r>
      <w:r>
        <w:rPr>
          <w:rFonts w:ascii="Arial" w:hAnsi="Arial" w:cs="Arial"/>
        </w:rPr>
        <w:t xml:space="preserve">virtual </w:t>
      </w:r>
      <w:r w:rsidRPr="00C327D1">
        <w:rPr>
          <w:rFonts w:ascii="Arial" w:hAnsi="Arial" w:cs="Arial"/>
        </w:rPr>
        <w:t>roundtable meetings. Roundtables provided an opportunity to hear the voice</w:t>
      </w:r>
      <w:r w:rsidR="00B87A5D">
        <w:rPr>
          <w:rFonts w:ascii="Arial" w:hAnsi="Arial" w:cs="Arial"/>
        </w:rPr>
        <w:t>s</w:t>
      </w:r>
      <w:r w:rsidRPr="00C327D1">
        <w:rPr>
          <w:rFonts w:ascii="Arial" w:hAnsi="Arial" w:cs="Arial"/>
        </w:rPr>
        <w:t xml:space="preserve"> of people from Aboriginal and Torres Strait Islander communities working in sectors that were identified as priority policy areas in the Agreement. The objective of each roundtable was to understand sector</w:t>
      </w:r>
      <w:r w:rsidR="00921910">
        <w:rPr>
          <w:rFonts w:ascii="Arial" w:hAnsi="Arial" w:cs="Arial"/>
        </w:rPr>
        <w:noBreakHyphen/>
      </w:r>
      <w:r w:rsidRPr="00C327D1">
        <w:rPr>
          <w:rFonts w:ascii="Arial" w:hAnsi="Arial" w:cs="Arial"/>
        </w:rPr>
        <w:t xml:space="preserve">specific priorities for Aboriginal and Torres Strait Islander people, progress against Priority Reforms, and how Priority </w:t>
      </w:r>
      <w:r>
        <w:rPr>
          <w:rFonts w:ascii="Arial" w:hAnsi="Arial" w:cs="Arial"/>
        </w:rPr>
        <w:t>R</w:t>
      </w:r>
      <w:r w:rsidRPr="00C327D1">
        <w:rPr>
          <w:rFonts w:ascii="Arial" w:hAnsi="Arial" w:cs="Arial"/>
        </w:rPr>
        <w:t xml:space="preserve">eforms are (or are not yet) impacting </w:t>
      </w:r>
      <w:r w:rsidR="00927114">
        <w:rPr>
          <w:rFonts w:ascii="Arial" w:hAnsi="Arial" w:cs="Arial"/>
        </w:rPr>
        <w:t>socio</w:t>
      </w:r>
      <w:r w:rsidR="003D3194">
        <w:rPr>
          <w:rFonts w:ascii="Arial" w:hAnsi="Arial" w:cs="Arial"/>
        </w:rPr>
        <w:noBreakHyphen/>
      </w:r>
      <w:r w:rsidR="00927114">
        <w:rPr>
          <w:rFonts w:ascii="Arial" w:hAnsi="Arial" w:cs="Arial"/>
        </w:rPr>
        <w:t>economic</w:t>
      </w:r>
      <w:r w:rsidRPr="00C327D1">
        <w:rPr>
          <w:rFonts w:ascii="Arial" w:hAnsi="Arial" w:cs="Arial"/>
        </w:rPr>
        <w:t xml:space="preserve"> outcomes related to each sector.</w:t>
      </w:r>
    </w:p>
    <w:p w14:paraId="1E468DE5" w14:textId="20731615" w:rsidR="00B9071C" w:rsidRPr="00C327D1" w:rsidRDefault="00B9071C" w:rsidP="00C453A6">
      <w:pPr>
        <w:pStyle w:val="ListBullet"/>
        <w:rPr>
          <w:rStyle w:val="normaltextrun"/>
          <w:rFonts w:ascii="Arial" w:hAnsi="Arial" w:cs="Arial"/>
        </w:rPr>
      </w:pPr>
      <w:r w:rsidRPr="00C327D1">
        <w:t>22</w:t>
      </w:r>
      <w:r w:rsidR="003D3194">
        <w:t> </w:t>
      </w:r>
      <w:r w:rsidRPr="00C327D1">
        <w:t xml:space="preserve">November 2022 </w:t>
      </w:r>
      <w:r w:rsidR="00921910">
        <w:t>–</w:t>
      </w:r>
      <w:r w:rsidR="00921910" w:rsidRPr="00C327D1">
        <w:t xml:space="preserve"> </w:t>
      </w:r>
      <w:r w:rsidR="00921910">
        <w:rPr>
          <w:rStyle w:val="normaltextrun"/>
          <w:rFonts w:ascii="Arial" w:hAnsi="Arial" w:cs="Arial"/>
        </w:rPr>
        <w:t>T</w:t>
      </w:r>
      <w:r w:rsidRPr="00C327D1">
        <w:rPr>
          <w:rStyle w:val="normaltextrun"/>
          <w:rFonts w:ascii="Arial" w:hAnsi="Arial" w:cs="Arial"/>
        </w:rPr>
        <w:t xml:space="preserve">he Commission heard from Aboriginal and Torres Strait Islander </w:t>
      </w:r>
      <w:r w:rsidR="00B541D5">
        <w:rPr>
          <w:rStyle w:val="normaltextrun"/>
          <w:rFonts w:ascii="Arial" w:hAnsi="Arial" w:cs="Arial"/>
        </w:rPr>
        <w:t>organisations</w:t>
      </w:r>
      <w:r w:rsidR="00B541D5" w:rsidRPr="00C327D1">
        <w:rPr>
          <w:rStyle w:val="normaltextrun"/>
          <w:rFonts w:ascii="Arial" w:hAnsi="Arial" w:cs="Arial"/>
        </w:rPr>
        <w:t xml:space="preserve"> </w:t>
      </w:r>
      <w:r w:rsidRPr="00C327D1">
        <w:rPr>
          <w:rStyle w:val="normaltextrun"/>
          <w:rFonts w:ascii="Arial" w:hAnsi="Arial" w:cs="Arial"/>
        </w:rPr>
        <w:t>work</w:t>
      </w:r>
      <w:r w:rsidR="00E52A94">
        <w:rPr>
          <w:rStyle w:val="normaltextrun"/>
          <w:rFonts w:ascii="Arial" w:hAnsi="Arial" w:cs="Arial"/>
        </w:rPr>
        <w:t>ing</w:t>
      </w:r>
      <w:r w:rsidRPr="00C327D1">
        <w:rPr>
          <w:rStyle w:val="normaltextrun"/>
          <w:rFonts w:ascii="Arial" w:hAnsi="Arial" w:cs="Arial"/>
        </w:rPr>
        <w:t xml:space="preserve"> in justice, family violence prevention, legal support, youth justice and justice reinvestment programs.</w:t>
      </w:r>
    </w:p>
    <w:p w14:paraId="13BE5DE4" w14:textId="2854D972" w:rsidR="00B9071C" w:rsidRPr="00C327D1" w:rsidRDefault="00B9071C" w:rsidP="00C453A6">
      <w:pPr>
        <w:pStyle w:val="ListBullet"/>
        <w:rPr>
          <w:rStyle w:val="normaltextrun"/>
          <w:rFonts w:ascii="Arial" w:hAnsi="Arial" w:cs="Arial"/>
        </w:rPr>
      </w:pPr>
      <w:r w:rsidRPr="00C327D1">
        <w:t>10</w:t>
      </w:r>
      <w:r w:rsidR="003D3194">
        <w:t> </w:t>
      </w:r>
      <w:r w:rsidRPr="00C327D1">
        <w:t xml:space="preserve">February 2023 </w:t>
      </w:r>
      <w:r w:rsidR="00921910">
        <w:t>–</w:t>
      </w:r>
      <w:r w:rsidR="00921910" w:rsidRPr="00C327D1">
        <w:t xml:space="preserve"> </w:t>
      </w:r>
      <w:r w:rsidR="00921910">
        <w:rPr>
          <w:rStyle w:val="normaltextrun"/>
          <w:rFonts w:ascii="Arial" w:hAnsi="Arial" w:cs="Arial"/>
        </w:rPr>
        <w:t>T</w:t>
      </w:r>
      <w:r w:rsidRPr="00C327D1">
        <w:rPr>
          <w:rStyle w:val="normaltextrun"/>
          <w:rFonts w:ascii="Arial" w:hAnsi="Arial" w:cs="Arial"/>
        </w:rPr>
        <w:t xml:space="preserve">he Commission heard from Aboriginal and Torres Strait Islander </w:t>
      </w:r>
      <w:r w:rsidR="00B541D5">
        <w:rPr>
          <w:rStyle w:val="normaltextrun"/>
          <w:rFonts w:ascii="Arial" w:hAnsi="Arial" w:cs="Arial"/>
        </w:rPr>
        <w:t>organisations</w:t>
      </w:r>
      <w:r w:rsidR="00B541D5" w:rsidRPr="00C327D1">
        <w:rPr>
          <w:rStyle w:val="normaltextrun"/>
          <w:rFonts w:ascii="Arial" w:hAnsi="Arial" w:cs="Arial"/>
        </w:rPr>
        <w:t xml:space="preserve"> </w:t>
      </w:r>
      <w:r w:rsidRPr="00C327D1">
        <w:rPr>
          <w:rStyle w:val="normaltextrun"/>
          <w:rFonts w:ascii="Arial" w:hAnsi="Arial" w:cs="Arial"/>
        </w:rPr>
        <w:t>working in the health sector.</w:t>
      </w:r>
    </w:p>
    <w:p w14:paraId="0924A330" w14:textId="17BA7789" w:rsidR="00B9071C" w:rsidRPr="00C327D1" w:rsidRDefault="00B9071C" w:rsidP="00C453A6">
      <w:pPr>
        <w:pStyle w:val="ListBullet"/>
        <w:rPr>
          <w:rStyle w:val="normaltextrun"/>
          <w:rFonts w:ascii="Arial" w:hAnsi="Arial" w:cs="Arial"/>
        </w:rPr>
      </w:pPr>
      <w:r w:rsidRPr="00C327D1">
        <w:rPr>
          <w:rStyle w:val="normaltextrun"/>
          <w:rFonts w:ascii="Arial" w:hAnsi="Arial" w:cs="Arial"/>
        </w:rPr>
        <w:t>16</w:t>
      </w:r>
      <w:r w:rsidR="003D3194">
        <w:rPr>
          <w:rStyle w:val="normaltextrun"/>
          <w:rFonts w:ascii="Arial" w:hAnsi="Arial" w:cs="Arial"/>
        </w:rPr>
        <w:t> </w:t>
      </w:r>
      <w:r w:rsidRPr="00C327D1">
        <w:rPr>
          <w:rStyle w:val="normaltextrun"/>
          <w:rFonts w:ascii="Arial" w:hAnsi="Arial" w:cs="Arial"/>
        </w:rPr>
        <w:t xml:space="preserve">February 2023 </w:t>
      </w:r>
      <w:r w:rsidR="00921910">
        <w:rPr>
          <w:rStyle w:val="normaltextrun"/>
          <w:rFonts w:ascii="Arial" w:hAnsi="Arial" w:cs="Arial"/>
        </w:rPr>
        <w:t>–</w:t>
      </w:r>
      <w:r w:rsidR="00921910" w:rsidRPr="00C327D1">
        <w:rPr>
          <w:rStyle w:val="normaltextrun"/>
          <w:rFonts w:ascii="Arial" w:hAnsi="Arial" w:cs="Arial"/>
        </w:rPr>
        <w:t xml:space="preserve"> </w:t>
      </w:r>
      <w:r w:rsidR="00921910">
        <w:rPr>
          <w:rStyle w:val="normaltextrun"/>
          <w:rFonts w:ascii="Arial" w:hAnsi="Arial" w:cs="Arial"/>
        </w:rPr>
        <w:t>T</w:t>
      </w:r>
      <w:r w:rsidRPr="00C327D1">
        <w:rPr>
          <w:rStyle w:val="normaltextrun"/>
          <w:rFonts w:ascii="Arial" w:hAnsi="Arial" w:cs="Arial"/>
        </w:rPr>
        <w:t xml:space="preserve">he Commission heard from Aboriginal and Torres Strait Islander </w:t>
      </w:r>
      <w:r w:rsidR="00B541D5">
        <w:rPr>
          <w:rStyle w:val="normaltextrun"/>
          <w:rFonts w:ascii="Arial" w:hAnsi="Arial" w:cs="Arial"/>
        </w:rPr>
        <w:t>organisations</w:t>
      </w:r>
      <w:r w:rsidR="00B541D5" w:rsidRPr="00C327D1">
        <w:rPr>
          <w:rStyle w:val="normaltextrun"/>
          <w:rFonts w:ascii="Arial" w:hAnsi="Arial" w:cs="Arial"/>
        </w:rPr>
        <w:t xml:space="preserve"> </w:t>
      </w:r>
      <w:r w:rsidRPr="00C327D1">
        <w:rPr>
          <w:rStyle w:val="normaltextrun"/>
          <w:rFonts w:ascii="Arial" w:hAnsi="Arial" w:cs="Arial"/>
        </w:rPr>
        <w:t>work</w:t>
      </w:r>
      <w:r w:rsidR="00E52A94">
        <w:rPr>
          <w:rStyle w:val="normaltextrun"/>
          <w:rFonts w:ascii="Arial" w:hAnsi="Arial" w:cs="Arial"/>
        </w:rPr>
        <w:t>ing</w:t>
      </w:r>
      <w:r w:rsidRPr="00C327D1">
        <w:rPr>
          <w:rStyle w:val="normaltextrun"/>
          <w:rFonts w:ascii="Arial" w:hAnsi="Arial" w:cs="Arial"/>
        </w:rPr>
        <w:t xml:space="preserve"> in child health services, family services, education, out</w:t>
      </w:r>
      <w:r w:rsidR="00246EFC">
        <w:rPr>
          <w:rStyle w:val="normaltextrun"/>
          <w:rFonts w:ascii="Arial" w:hAnsi="Arial" w:cs="Arial"/>
        </w:rPr>
        <w:noBreakHyphen/>
      </w:r>
      <w:r w:rsidRPr="00C327D1">
        <w:rPr>
          <w:rStyle w:val="normaltextrun"/>
          <w:rFonts w:ascii="Arial" w:hAnsi="Arial" w:cs="Arial"/>
        </w:rPr>
        <w:t>of</w:t>
      </w:r>
      <w:r w:rsidR="00246EFC">
        <w:rPr>
          <w:rStyle w:val="normaltextrun"/>
          <w:rFonts w:ascii="Arial" w:hAnsi="Arial" w:cs="Arial"/>
        </w:rPr>
        <w:noBreakHyphen/>
      </w:r>
      <w:r w:rsidRPr="00C327D1">
        <w:rPr>
          <w:rStyle w:val="normaltextrun"/>
          <w:rFonts w:ascii="Arial" w:hAnsi="Arial" w:cs="Arial"/>
        </w:rPr>
        <w:t>home care, disability</w:t>
      </w:r>
      <w:r w:rsidR="00246EFC">
        <w:rPr>
          <w:rStyle w:val="normaltextrun"/>
          <w:rFonts w:ascii="Arial" w:hAnsi="Arial" w:cs="Arial"/>
        </w:rPr>
        <w:t xml:space="preserve"> and</w:t>
      </w:r>
      <w:r w:rsidR="00246EFC" w:rsidRPr="00C327D1">
        <w:rPr>
          <w:rStyle w:val="normaltextrun"/>
          <w:rFonts w:ascii="Arial" w:hAnsi="Arial" w:cs="Arial"/>
        </w:rPr>
        <w:t xml:space="preserve"> </w:t>
      </w:r>
      <w:r w:rsidRPr="00C327D1">
        <w:rPr>
          <w:rStyle w:val="normaltextrun"/>
          <w:rFonts w:ascii="Arial" w:hAnsi="Arial" w:cs="Arial"/>
        </w:rPr>
        <w:t>early childhood care and development.</w:t>
      </w:r>
    </w:p>
    <w:p w14:paraId="5D95141F" w14:textId="7B6646F3" w:rsidR="00B9071C" w:rsidRPr="00C327D1" w:rsidRDefault="00B9071C" w:rsidP="00C453A6">
      <w:pPr>
        <w:pStyle w:val="ListBullet"/>
      </w:pPr>
      <w:r w:rsidRPr="00C327D1">
        <w:rPr>
          <w:rStyle w:val="normaltextrun"/>
          <w:rFonts w:ascii="Arial" w:hAnsi="Arial" w:cs="Arial"/>
        </w:rPr>
        <w:lastRenderedPageBreak/>
        <w:t>3</w:t>
      </w:r>
      <w:r w:rsidR="003D3194">
        <w:rPr>
          <w:rStyle w:val="normaltextrun"/>
          <w:rFonts w:ascii="Arial" w:hAnsi="Arial" w:cs="Arial"/>
        </w:rPr>
        <w:t> </w:t>
      </w:r>
      <w:r w:rsidRPr="00C327D1">
        <w:rPr>
          <w:rStyle w:val="normaltextrun"/>
          <w:rFonts w:ascii="Arial" w:hAnsi="Arial" w:cs="Arial"/>
        </w:rPr>
        <w:t xml:space="preserve">April 2023 </w:t>
      </w:r>
      <w:r w:rsidR="00921910">
        <w:rPr>
          <w:rStyle w:val="normaltextrun"/>
          <w:rFonts w:ascii="Arial" w:hAnsi="Arial" w:cs="Arial"/>
        </w:rPr>
        <w:t>–</w:t>
      </w:r>
      <w:r w:rsidR="00921910" w:rsidRPr="00C327D1">
        <w:rPr>
          <w:rStyle w:val="normaltextrun"/>
          <w:rFonts w:ascii="Arial" w:hAnsi="Arial" w:cs="Arial"/>
        </w:rPr>
        <w:t xml:space="preserve"> </w:t>
      </w:r>
      <w:r w:rsidR="00921910">
        <w:rPr>
          <w:rStyle w:val="normaltextrun"/>
          <w:rFonts w:ascii="Arial" w:hAnsi="Arial" w:cs="Arial"/>
        </w:rPr>
        <w:t>T</w:t>
      </w:r>
      <w:r w:rsidRPr="00C327D1">
        <w:rPr>
          <w:rStyle w:val="normaltextrun"/>
          <w:rFonts w:ascii="Arial" w:hAnsi="Arial" w:cs="Arial"/>
        </w:rPr>
        <w:t xml:space="preserve">he Commission heard from Aboriginal and Torres Strait Islander </w:t>
      </w:r>
      <w:r w:rsidR="00B541D5">
        <w:rPr>
          <w:rStyle w:val="normaltextrun"/>
          <w:rFonts w:ascii="Arial" w:hAnsi="Arial" w:cs="Arial"/>
        </w:rPr>
        <w:t>organisations</w:t>
      </w:r>
      <w:r w:rsidR="00B541D5" w:rsidRPr="00C327D1">
        <w:rPr>
          <w:rStyle w:val="normaltextrun"/>
          <w:rFonts w:ascii="Arial" w:hAnsi="Arial" w:cs="Arial"/>
        </w:rPr>
        <w:t xml:space="preserve"> </w:t>
      </w:r>
      <w:r w:rsidRPr="00C327D1">
        <w:rPr>
          <w:rStyle w:val="normaltextrun"/>
          <w:rFonts w:ascii="Arial" w:hAnsi="Arial" w:cs="Arial"/>
        </w:rPr>
        <w:t>working in the housing sector.</w:t>
      </w:r>
    </w:p>
    <w:p w14:paraId="4AC30215" w14:textId="2CBA63AA" w:rsidR="00B9071C" w:rsidRPr="00D05087" w:rsidRDefault="00B9071C" w:rsidP="00B9071C">
      <w:pPr>
        <w:pStyle w:val="BodyText"/>
        <w:rPr>
          <w:rFonts w:ascii="Arial" w:hAnsi="Arial" w:cs="Arial"/>
        </w:rPr>
      </w:pPr>
      <w:r w:rsidRPr="00D05087">
        <w:rPr>
          <w:rFonts w:ascii="Arial" w:hAnsi="Arial" w:cs="Arial"/>
        </w:rPr>
        <w:t>In line with the engagement principles of transparent and reciprocal information sharing</w:t>
      </w:r>
      <w:r w:rsidR="00254C1B">
        <w:rPr>
          <w:rFonts w:ascii="Arial" w:hAnsi="Arial" w:cs="Arial"/>
        </w:rPr>
        <w:t>,</w:t>
      </w:r>
      <w:r w:rsidRPr="00D05087">
        <w:rPr>
          <w:rFonts w:ascii="Arial" w:hAnsi="Arial" w:cs="Arial"/>
        </w:rPr>
        <w:t xml:space="preserve"> the Commission made a public commitment to provide </w:t>
      </w:r>
      <w:r w:rsidR="001B2A7E" w:rsidRPr="00D05087">
        <w:rPr>
          <w:rFonts w:ascii="Arial" w:hAnsi="Arial" w:cs="Arial"/>
        </w:rPr>
        <w:t>feedback</w:t>
      </w:r>
      <w:r w:rsidR="001B2A7E">
        <w:rPr>
          <w:rFonts w:ascii="Arial" w:hAnsi="Arial" w:cs="Arial"/>
        </w:rPr>
        <w:t xml:space="preserve"> to </w:t>
      </w:r>
      <w:r w:rsidRPr="00D05087">
        <w:rPr>
          <w:rFonts w:ascii="Arial" w:hAnsi="Arial" w:cs="Arial"/>
        </w:rPr>
        <w:t xml:space="preserve">Aboriginal and Torres Strait Islander people on </w:t>
      </w:r>
      <w:r w:rsidR="005A3C21">
        <w:rPr>
          <w:rFonts w:ascii="Arial" w:hAnsi="Arial" w:cs="Arial"/>
        </w:rPr>
        <w:t>what we heard</w:t>
      </w:r>
      <w:r w:rsidRPr="00D05087">
        <w:rPr>
          <w:rFonts w:ascii="Arial" w:hAnsi="Arial" w:cs="Arial"/>
        </w:rPr>
        <w:t>. The key messages and themes from the discussions were shared by email</w:t>
      </w:r>
      <w:r w:rsidR="00D37FB4">
        <w:rPr>
          <w:rFonts w:ascii="Arial" w:hAnsi="Arial" w:cs="Arial"/>
        </w:rPr>
        <w:t>, and an opportunity was provided</w:t>
      </w:r>
      <w:r w:rsidRPr="00D05087">
        <w:rPr>
          <w:rFonts w:ascii="Arial" w:hAnsi="Arial" w:cs="Arial"/>
        </w:rPr>
        <w:t xml:space="preserve"> for </w:t>
      </w:r>
      <w:r w:rsidR="005C4F4F">
        <w:rPr>
          <w:rFonts w:ascii="Arial" w:hAnsi="Arial" w:cs="Arial"/>
        </w:rPr>
        <w:t>meeting</w:t>
      </w:r>
      <w:r w:rsidR="005C4F4F" w:rsidRPr="00D05087">
        <w:rPr>
          <w:rFonts w:ascii="Arial" w:hAnsi="Arial" w:cs="Arial"/>
        </w:rPr>
        <w:t xml:space="preserve"> </w:t>
      </w:r>
      <w:r w:rsidR="008F2217">
        <w:rPr>
          <w:rFonts w:ascii="Arial" w:hAnsi="Arial" w:cs="Arial"/>
        </w:rPr>
        <w:t xml:space="preserve">participants </w:t>
      </w:r>
      <w:r w:rsidRPr="00D05087">
        <w:rPr>
          <w:rFonts w:ascii="Arial" w:hAnsi="Arial" w:cs="Arial"/>
        </w:rPr>
        <w:t xml:space="preserve">to </w:t>
      </w:r>
      <w:r w:rsidR="005C4F4F">
        <w:rPr>
          <w:rFonts w:ascii="Arial" w:hAnsi="Arial" w:cs="Arial"/>
        </w:rPr>
        <w:t xml:space="preserve">confirm the Commission’s understanding of what </w:t>
      </w:r>
      <w:r w:rsidR="00A0137D">
        <w:rPr>
          <w:rFonts w:ascii="Arial" w:hAnsi="Arial" w:cs="Arial"/>
        </w:rPr>
        <w:t>was discussed</w:t>
      </w:r>
      <w:r w:rsidRPr="00D05087">
        <w:rPr>
          <w:rFonts w:ascii="Arial" w:hAnsi="Arial" w:cs="Arial"/>
        </w:rPr>
        <w:t xml:space="preserve"> or contribute additional insights. </w:t>
      </w:r>
      <w:r w:rsidR="00D35E7C">
        <w:rPr>
          <w:rFonts w:ascii="Arial" w:hAnsi="Arial" w:cs="Arial"/>
        </w:rPr>
        <w:t>This approach</w:t>
      </w:r>
      <w:r w:rsidRPr="00D05087">
        <w:rPr>
          <w:rFonts w:ascii="Arial" w:hAnsi="Arial" w:cs="Arial"/>
        </w:rPr>
        <w:t xml:space="preserve"> provide</w:t>
      </w:r>
      <w:r w:rsidR="00297737">
        <w:rPr>
          <w:rFonts w:ascii="Arial" w:hAnsi="Arial" w:cs="Arial"/>
        </w:rPr>
        <w:t>s</w:t>
      </w:r>
      <w:r w:rsidRPr="00D05087">
        <w:rPr>
          <w:rFonts w:ascii="Arial" w:hAnsi="Arial" w:cs="Arial"/>
        </w:rPr>
        <w:t xml:space="preserve"> an important accountability measure to ensure that key me</w:t>
      </w:r>
      <w:r w:rsidR="00297737">
        <w:rPr>
          <w:rFonts w:ascii="Arial" w:hAnsi="Arial" w:cs="Arial"/>
        </w:rPr>
        <w:t>ssage</w:t>
      </w:r>
      <w:r w:rsidR="002D1BD2">
        <w:rPr>
          <w:rFonts w:ascii="Arial" w:hAnsi="Arial" w:cs="Arial"/>
        </w:rPr>
        <w:t>s</w:t>
      </w:r>
      <w:r w:rsidRPr="00D05087">
        <w:rPr>
          <w:rFonts w:ascii="Arial" w:hAnsi="Arial" w:cs="Arial"/>
        </w:rPr>
        <w:t xml:space="preserve"> accurately reflect the voices of people the Commission engaged with.</w:t>
      </w:r>
    </w:p>
    <w:p w14:paraId="7A67765D" w14:textId="7D279920" w:rsidR="00B9071C" w:rsidRPr="00C327D1" w:rsidRDefault="00B9071C" w:rsidP="00B9071C">
      <w:pPr>
        <w:pStyle w:val="Heading4"/>
      </w:pPr>
      <w:r w:rsidRPr="00C327D1">
        <w:t>Submissions and brief comments</w:t>
      </w:r>
    </w:p>
    <w:p w14:paraId="6E34D208" w14:textId="31BF6FF4" w:rsidR="00B9071C" w:rsidRPr="00C327D1" w:rsidRDefault="00B9071C" w:rsidP="00B9071C">
      <w:pPr>
        <w:pStyle w:val="BodyText"/>
        <w:rPr>
          <w:rFonts w:ascii="Arial" w:hAnsi="Arial" w:cs="Arial"/>
        </w:rPr>
      </w:pPr>
      <w:r w:rsidRPr="00C327D1">
        <w:rPr>
          <w:rFonts w:ascii="Arial" w:hAnsi="Arial" w:cs="Arial"/>
        </w:rPr>
        <w:t>The Commission received 3</w:t>
      </w:r>
      <w:r w:rsidR="003A3AF9">
        <w:rPr>
          <w:rFonts w:ascii="Arial" w:hAnsi="Arial" w:cs="Arial"/>
        </w:rPr>
        <w:t>2</w:t>
      </w:r>
      <w:r w:rsidRPr="00C327D1">
        <w:rPr>
          <w:rFonts w:ascii="Arial" w:hAnsi="Arial" w:cs="Arial"/>
        </w:rPr>
        <w:t xml:space="preserve"> submissions following the release of </w:t>
      </w:r>
      <w:r w:rsidR="004155A7" w:rsidRPr="00AC7AF6">
        <w:rPr>
          <w:rFonts w:ascii="Arial" w:hAnsi="Arial" w:cs="Arial"/>
          <w:i/>
          <w:iCs/>
        </w:rPr>
        <w:t>Review paper 2: Proposed approach and invitation to engage with the review</w:t>
      </w:r>
      <w:r w:rsidRPr="00C327D1">
        <w:rPr>
          <w:rFonts w:ascii="Arial" w:hAnsi="Arial" w:cs="Arial"/>
        </w:rPr>
        <w:t xml:space="preserve">. The submissions received reflected a diversity of knowledge and experiences across a range of sectors and were a valuable source of information in shaping the </w:t>
      </w:r>
      <w:r w:rsidR="004155A7">
        <w:rPr>
          <w:rFonts w:ascii="Arial" w:hAnsi="Arial" w:cs="Arial"/>
        </w:rPr>
        <w:t>r</w:t>
      </w:r>
      <w:r w:rsidR="004155A7" w:rsidRPr="00C327D1">
        <w:rPr>
          <w:rFonts w:ascii="Arial" w:hAnsi="Arial" w:cs="Arial"/>
        </w:rPr>
        <w:t xml:space="preserve">eview’s </w:t>
      </w:r>
      <w:r w:rsidRPr="00C327D1">
        <w:rPr>
          <w:rFonts w:ascii="Arial" w:hAnsi="Arial" w:cs="Arial"/>
        </w:rPr>
        <w:t>draft findings. Of the 3</w:t>
      </w:r>
      <w:r w:rsidR="00161B62">
        <w:rPr>
          <w:rFonts w:ascii="Arial" w:hAnsi="Arial" w:cs="Arial"/>
        </w:rPr>
        <w:t>2</w:t>
      </w:r>
      <w:r w:rsidRPr="00C327D1">
        <w:rPr>
          <w:rFonts w:ascii="Arial" w:hAnsi="Arial" w:cs="Arial"/>
        </w:rPr>
        <w:t xml:space="preserve"> submissions:</w:t>
      </w:r>
    </w:p>
    <w:p w14:paraId="7B6A6DAC" w14:textId="1836B624" w:rsidR="00B9071C" w:rsidRPr="00C327D1" w:rsidRDefault="000075F7" w:rsidP="00C453A6">
      <w:pPr>
        <w:pStyle w:val="ListBullet"/>
      </w:pPr>
      <w:r>
        <w:t>15</w:t>
      </w:r>
      <w:r w:rsidR="00425717" w:rsidRPr="00C327D1">
        <w:t xml:space="preserve"> </w:t>
      </w:r>
      <w:r w:rsidR="00B9071C" w:rsidRPr="00C327D1">
        <w:t>were from Aboriginal and Torres Strait Islander people and organisations</w:t>
      </w:r>
    </w:p>
    <w:p w14:paraId="3CFE478F" w14:textId="01D5347E" w:rsidR="00B9071C" w:rsidRPr="00C327D1" w:rsidRDefault="003553BC" w:rsidP="00C453A6">
      <w:pPr>
        <w:pStyle w:val="ListBullet"/>
      </w:pPr>
      <w:r>
        <w:t>seven</w:t>
      </w:r>
      <w:r w:rsidR="00B9071C" w:rsidRPr="00C327D1">
        <w:t xml:space="preserve"> were from governments</w:t>
      </w:r>
      <w:r w:rsidR="00CC4417">
        <w:t xml:space="preserve"> or government agencies</w:t>
      </w:r>
    </w:p>
    <w:p w14:paraId="020C1E55" w14:textId="509ACE74" w:rsidR="00B9071C" w:rsidRDefault="003553BC" w:rsidP="00C453A6">
      <w:pPr>
        <w:pStyle w:val="ListBullet"/>
      </w:pPr>
      <w:r>
        <w:t>four</w:t>
      </w:r>
      <w:r w:rsidR="00B9071C" w:rsidRPr="00C327D1">
        <w:t xml:space="preserve"> were from peak bodies or </w:t>
      </w:r>
      <w:r w:rsidR="007D1CE4">
        <w:t>people working</w:t>
      </w:r>
      <w:r w:rsidR="00B9071C" w:rsidRPr="00C327D1">
        <w:t xml:space="preserve"> in the public health and mental health </w:t>
      </w:r>
      <w:r w:rsidR="008A0ED9">
        <w:t>sector</w:t>
      </w:r>
      <w:r w:rsidR="008F3B5F">
        <w:t>s</w:t>
      </w:r>
    </w:p>
    <w:p w14:paraId="35D64688" w14:textId="38D0C82F" w:rsidR="00425717" w:rsidRPr="00425717" w:rsidRDefault="003553BC" w:rsidP="00C453A6">
      <w:pPr>
        <w:pStyle w:val="ListBullet"/>
      </w:pPr>
      <w:r>
        <w:t>three</w:t>
      </w:r>
      <w:r w:rsidR="00425717" w:rsidRPr="00C327D1">
        <w:t xml:space="preserve"> were from academics</w:t>
      </w:r>
    </w:p>
    <w:p w14:paraId="25F44D24" w14:textId="5133AA45" w:rsidR="00B9071C" w:rsidRPr="00C327D1" w:rsidRDefault="003553BC" w:rsidP="00C453A6">
      <w:pPr>
        <w:pStyle w:val="ListBullet"/>
      </w:pPr>
      <w:r>
        <w:t>three</w:t>
      </w:r>
      <w:r w:rsidR="00B9071C" w:rsidRPr="00C327D1">
        <w:t xml:space="preserve"> were from peak bodies or </w:t>
      </w:r>
      <w:r w:rsidR="00C71488">
        <w:t>people working</w:t>
      </w:r>
      <w:r w:rsidR="00B9071C" w:rsidRPr="00C327D1">
        <w:t xml:space="preserve"> in the </w:t>
      </w:r>
      <w:r w:rsidR="00BE6594">
        <w:t xml:space="preserve">community and </w:t>
      </w:r>
      <w:r w:rsidR="00B9071C" w:rsidRPr="00C327D1">
        <w:t xml:space="preserve">education </w:t>
      </w:r>
      <w:r w:rsidR="008A0ED9">
        <w:t>sector</w:t>
      </w:r>
      <w:r w:rsidR="00BE6594">
        <w:t>s</w:t>
      </w:r>
      <w:r w:rsidR="00425717">
        <w:t>.</w:t>
      </w:r>
      <w:r w:rsidR="00B9071C" w:rsidRPr="00C327D1">
        <w:t xml:space="preserve"> </w:t>
      </w:r>
    </w:p>
    <w:p w14:paraId="2DDD23E1" w14:textId="7E6BA694" w:rsidR="00DB088C" w:rsidRDefault="00DB088C" w:rsidP="00DB088C">
      <w:r w:rsidRPr="00C327D1">
        <w:rPr>
          <w:rFonts w:ascii="Arial" w:hAnsi="Arial" w:cs="Arial"/>
        </w:rPr>
        <w:t>The Commission also received two brief comments which were published on the Commission</w:t>
      </w:r>
      <w:r w:rsidR="00471926">
        <w:rPr>
          <w:rFonts w:ascii="Arial" w:hAnsi="Arial" w:cs="Arial"/>
        </w:rPr>
        <w:t>’</w:t>
      </w:r>
      <w:r w:rsidRPr="00C327D1">
        <w:rPr>
          <w:rFonts w:ascii="Arial" w:hAnsi="Arial" w:cs="Arial"/>
        </w:rPr>
        <w:t xml:space="preserve">s website along with the submissions received. </w:t>
      </w:r>
    </w:p>
    <w:p w14:paraId="44044458" w14:textId="4844C28C" w:rsidR="002274F3" w:rsidRDefault="00DC6720" w:rsidP="00B9071C">
      <w:pPr>
        <w:rPr>
          <w:rFonts w:ascii="Arial" w:hAnsi="Arial" w:cs="Arial"/>
        </w:rPr>
      </w:pPr>
      <w:r>
        <w:rPr>
          <w:rFonts w:ascii="Arial" w:hAnsi="Arial" w:cs="Arial"/>
        </w:rPr>
        <w:t>Su</w:t>
      </w:r>
      <w:r w:rsidR="00A863E6">
        <w:rPr>
          <w:rFonts w:ascii="Arial" w:hAnsi="Arial" w:cs="Arial"/>
        </w:rPr>
        <w:t>bmissions and meetings with participants</w:t>
      </w:r>
      <w:r w:rsidR="00235A90">
        <w:rPr>
          <w:rFonts w:ascii="Arial" w:hAnsi="Arial" w:cs="Arial"/>
        </w:rPr>
        <w:t xml:space="preserve"> have formed an important part of t</w:t>
      </w:r>
      <w:r w:rsidR="00B9071C" w:rsidRPr="00C327D1">
        <w:rPr>
          <w:rFonts w:ascii="Arial" w:hAnsi="Arial" w:cs="Arial"/>
        </w:rPr>
        <w:t>he Commission</w:t>
      </w:r>
      <w:r w:rsidR="00235A90">
        <w:rPr>
          <w:rFonts w:ascii="Arial" w:hAnsi="Arial" w:cs="Arial"/>
        </w:rPr>
        <w:t>’s overall assessment of progress and we</w:t>
      </w:r>
      <w:r w:rsidR="00B9071C" w:rsidRPr="00C327D1">
        <w:rPr>
          <w:rFonts w:ascii="Arial" w:hAnsi="Arial" w:cs="Arial"/>
        </w:rPr>
        <w:t xml:space="preserve"> thank th</w:t>
      </w:r>
      <w:r w:rsidR="005319B4">
        <w:rPr>
          <w:rFonts w:ascii="Arial" w:hAnsi="Arial" w:cs="Arial"/>
        </w:rPr>
        <w:t>e</w:t>
      </w:r>
      <w:r w:rsidR="00B9071C" w:rsidRPr="00C327D1">
        <w:rPr>
          <w:rFonts w:ascii="Arial" w:hAnsi="Arial" w:cs="Arial"/>
        </w:rPr>
        <w:t xml:space="preserve"> </w:t>
      </w:r>
      <w:r w:rsidR="005319B4">
        <w:rPr>
          <w:rFonts w:ascii="Arial" w:hAnsi="Arial" w:cs="Arial"/>
        </w:rPr>
        <w:t>people</w:t>
      </w:r>
      <w:r w:rsidR="00B9071C" w:rsidRPr="00C327D1">
        <w:rPr>
          <w:rFonts w:ascii="Arial" w:hAnsi="Arial" w:cs="Arial"/>
        </w:rPr>
        <w:t xml:space="preserve"> and organisations who have met with us and/or made a submission.</w:t>
      </w:r>
    </w:p>
    <w:p w14:paraId="70BE7C4F" w14:textId="77777777" w:rsidR="002B692C" w:rsidRDefault="002B692C" w:rsidP="002B692C">
      <w:pPr>
        <w:pStyle w:val="Heading4"/>
      </w:pPr>
      <w:r>
        <w:t>Information requests</w:t>
      </w:r>
    </w:p>
    <w:p w14:paraId="6A264C6A" w14:textId="6226E9BA" w:rsidR="002B692C" w:rsidRDefault="00A42F63" w:rsidP="002B692C">
      <w:pPr>
        <w:pStyle w:val="BodyText"/>
      </w:pPr>
      <w:r>
        <w:t>In February 2023, t</w:t>
      </w:r>
      <w:r w:rsidR="002B692C">
        <w:t xml:space="preserve">he Commission </w:t>
      </w:r>
      <w:r w:rsidR="0070060B">
        <w:t xml:space="preserve">made </w:t>
      </w:r>
      <w:r w:rsidR="00477C7E">
        <w:t xml:space="preserve">written </w:t>
      </w:r>
      <w:r w:rsidR="0070060B">
        <w:t>information requests</w:t>
      </w:r>
      <w:r w:rsidR="00077C2B">
        <w:t xml:space="preserve"> to </w:t>
      </w:r>
      <w:r w:rsidR="00FC033A">
        <w:t>the Australian Government and each state and territory government</w:t>
      </w:r>
      <w:r w:rsidR="00E4195B">
        <w:t xml:space="preserve">, the </w:t>
      </w:r>
      <w:r w:rsidR="00A92A91">
        <w:t xml:space="preserve">Australian Local Government Association, the </w:t>
      </w:r>
      <w:r w:rsidR="00A316D1">
        <w:t xml:space="preserve">Joint Council on Closing the Gap, the </w:t>
      </w:r>
      <w:r w:rsidR="00247C2F">
        <w:t xml:space="preserve">Closing the Gap Partnership Working Group and the </w:t>
      </w:r>
      <w:r w:rsidR="00E4195B">
        <w:t xml:space="preserve">Coalition of </w:t>
      </w:r>
      <w:r w:rsidR="00DF3B30">
        <w:t>Peaks</w:t>
      </w:r>
      <w:r w:rsidR="00247C2F">
        <w:t>.</w:t>
      </w:r>
      <w:r w:rsidR="00B10A18">
        <w:t xml:space="preserve"> The information requests </w:t>
      </w:r>
      <w:r w:rsidR="00B20DFF">
        <w:t xml:space="preserve">sought </w:t>
      </w:r>
      <w:r w:rsidR="003B0E60">
        <w:t>access to documents and further details relating to measures identified in annual reports and implementation plans.</w:t>
      </w:r>
    </w:p>
    <w:p w14:paraId="09F6F9C6" w14:textId="66965B02" w:rsidR="000931AD" w:rsidRDefault="002B7AA9" w:rsidP="00BC2B09">
      <w:pPr>
        <w:keepNext/>
      </w:pPr>
      <w:r>
        <w:t>The Commission acknowledge</w:t>
      </w:r>
      <w:r w:rsidR="004E2BE8">
        <w:t>s</w:t>
      </w:r>
      <w:r>
        <w:t xml:space="preserve"> the considerable breadth and depth of questions that were asked and thanks all of the jurisdictions </w:t>
      </w:r>
      <w:r w:rsidR="00DB1137">
        <w:t>that</w:t>
      </w:r>
      <w:r>
        <w:t xml:space="preserve"> provided responses. </w:t>
      </w:r>
      <w:r w:rsidR="000931AD">
        <w:t>The Commission received full response</w:t>
      </w:r>
      <w:r w:rsidR="005B74BC">
        <w:t>s</w:t>
      </w:r>
      <w:r w:rsidR="000931AD">
        <w:t xml:space="preserve"> from </w:t>
      </w:r>
      <w:r w:rsidDel="00491AA4">
        <w:t>the</w:t>
      </w:r>
      <w:r w:rsidR="000931AD">
        <w:t>:</w:t>
      </w:r>
    </w:p>
    <w:p w14:paraId="634701AA" w14:textId="46999568" w:rsidR="002E2225" w:rsidRDefault="002E2225" w:rsidP="00B820A2">
      <w:pPr>
        <w:pStyle w:val="ListBullet"/>
      </w:pPr>
      <w:r>
        <w:t>Australian Government</w:t>
      </w:r>
    </w:p>
    <w:p w14:paraId="0C189E31" w14:textId="77777777" w:rsidR="00E95F7D" w:rsidRDefault="00E95F7D" w:rsidP="00B820A2">
      <w:pPr>
        <w:pStyle w:val="ListBullet"/>
      </w:pPr>
      <w:r>
        <w:t>Australian Local Government Association</w:t>
      </w:r>
    </w:p>
    <w:p w14:paraId="27796DC2" w14:textId="77777777" w:rsidR="00E95F7D" w:rsidRDefault="00E95F7D" w:rsidP="00B820A2">
      <w:pPr>
        <w:pStyle w:val="ListBullet"/>
      </w:pPr>
      <w:r>
        <w:t>Coalition of Peaks</w:t>
      </w:r>
    </w:p>
    <w:p w14:paraId="24DB77C3" w14:textId="083F9CC0" w:rsidR="00E95F7D" w:rsidRDefault="00B820A2" w:rsidP="00B820A2">
      <w:pPr>
        <w:pStyle w:val="ListBullet"/>
      </w:pPr>
      <w:r>
        <w:t>NSW</w:t>
      </w:r>
      <w:r w:rsidR="00E95F7D">
        <w:t xml:space="preserve"> </w:t>
      </w:r>
      <w:r w:rsidR="00FA7785">
        <w:t>Government</w:t>
      </w:r>
    </w:p>
    <w:p w14:paraId="128E309C" w14:textId="185FF6E9" w:rsidR="00E95F7D" w:rsidRDefault="00E95F7D" w:rsidP="00B820A2">
      <w:pPr>
        <w:pStyle w:val="ListBullet"/>
      </w:pPr>
      <w:r>
        <w:t>Queensland</w:t>
      </w:r>
      <w:r w:rsidR="00FA7785">
        <w:t xml:space="preserve"> Government</w:t>
      </w:r>
    </w:p>
    <w:p w14:paraId="73EB900F" w14:textId="061D2303" w:rsidR="00E95F7D" w:rsidRDefault="00B820A2" w:rsidP="00B820A2">
      <w:pPr>
        <w:pStyle w:val="ListBullet"/>
      </w:pPr>
      <w:r>
        <w:t>SA</w:t>
      </w:r>
      <w:r w:rsidR="003A2EF8">
        <w:t xml:space="preserve"> Government</w:t>
      </w:r>
    </w:p>
    <w:p w14:paraId="2F0282EA" w14:textId="0CC1C067" w:rsidR="00E95F7D" w:rsidRDefault="00B820A2" w:rsidP="00B820A2">
      <w:pPr>
        <w:pStyle w:val="ListBullet"/>
      </w:pPr>
      <w:r>
        <w:t>NT</w:t>
      </w:r>
      <w:r w:rsidR="00E95F7D">
        <w:t xml:space="preserve"> </w:t>
      </w:r>
      <w:r w:rsidR="003A2EF8">
        <w:t>Government</w:t>
      </w:r>
    </w:p>
    <w:p w14:paraId="0E652167" w14:textId="6F793BF2" w:rsidR="00E95F7D" w:rsidRDefault="00E95F7D" w:rsidP="00B820A2">
      <w:pPr>
        <w:pStyle w:val="ListBullet"/>
      </w:pPr>
      <w:r>
        <w:t>Joint Council</w:t>
      </w:r>
      <w:r w:rsidR="00B820A2">
        <w:t xml:space="preserve"> on Closing the Gap</w:t>
      </w:r>
    </w:p>
    <w:p w14:paraId="44AF356A" w14:textId="0041D126" w:rsidR="00931208" w:rsidRDefault="00E95F7D" w:rsidP="00B820A2">
      <w:pPr>
        <w:pStyle w:val="ListBullet"/>
      </w:pPr>
      <w:r>
        <w:t>Partnership Working Group</w:t>
      </w:r>
      <w:r w:rsidR="00B820A2">
        <w:t xml:space="preserve"> on Closing the Gap.</w:t>
      </w:r>
    </w:p>
    <w:p w14:paraId="3199D06D" w14:textId="569D40CF" w:rsidR="00DB1137" w:rsidRDefault="00CB7A40" w:rsidP="002B7AA9">
      <w:r>
        <w:lastRenderedPageBreak/>
        <w:t>The Commission received partial responses from t</w:t>
      </w:r>
      <w:r w:rsidR="00731B97">
        <w:t xml:space="preserve">he </w:t>
      </w:r>
      <w:r w:rsidR="00B820A2">
        <w:t>ACT</w:t>
      </w:r>
      <w:r w:rsidR="00731B97">
        <w:t xml:space="preserve"> </w:t>
      </w:r>
      <w:r w:rsidR="00167ED4">
        <w:t>and Victoria</w:t>
      </w:r>
      <w:r w:rsidR="005B61B7">
        <w:t xml:space="preserve">n </w:t>
      </w:r>
      <w:r w:rsidR="009308BF">
        <w:t>Governments</w:t>
      </w:r>
      <w:r w:rsidR="00D21590">
        <w:t xml:space="preserve"> before this draft report was finalised</w:t>
      </w:r>
      <w:r w:rsidR="009308BF">
        <w:t>.</w:t>
      </w:r>
      <w:r w:rsidR="002B7AA9">
        <w:t xml:space="preserve"> The information provided has assisted the Commission in understanding how governments are responding to the Agreement</w:t>
      </w:r>
      <w:r w:rsidR="00EE5F88">
        <w:t xml:space="preserve"> and has</w:t>
      </w:r>
      <w:r w:rsidR="002B7AA9">
        <w:t xml:space="preserve"> formed an important part of the Commission</w:t>
      </w:r>
      <w:r w:rsidR="00EE5F88">
        <w:t>’</w:t>
      </w:r>
      <w:r w:rsidR="002B7AA9">
        <w:t>s overall assessment of progress.</w:t>
      </w:r>
    </w:p>
    <w:p w14:paraId="3376F98C" w14:textId="431A5386" w:rsidR="00E82DB3" w:rsidRDefault="00055FFE" w:rsidP="002B7AA9">
      <w:r>
        <w:t>W</w:t>
      </w:r>
      <w:r w:rsidRPr="00055FFE">
        <w:t xml:space="preserve">e did not get responses from </w:t>
      </w:r>
      <w:r w:rsidR="00CB7A40">
        <w:t>the</w:t>
      </w:r>
      <w:r w:rsidR="00CB7A40" w:rsidDel="00110A8D">
        <w:t xml:space="preserve"> </w:t>
      </w:r>
      <w:r w:rsidR="00CB7A40">
        <w:t>Tasmania</w:t>
      </w:r>
      <w:r w:rsidR="00110A8D">
        <w:t>n</w:t>
      </w:r>
      <w:r w:rsidR="00CB7A40">
        <w:t xml:space="preserve"> or </w:t>
      </w:r>
      <w:r w:rsidR="00B820A2">
        <w:t>WA</w:t>
      </w:r>
      <w:r w:rsidR="00110A8D">
        <w:t xml:space="preserve"> Governments</w:t>
      </w:r>
      <w:r w:rsidR="00D21590" w:rsidRPr="00D21590">
        <w:t xml:space="preserve"> </w:t>
      </w:r>
      <w:r w:rsidR="00D21590">
        <w:t>before this draft report was finalised</w:t>
      </w:r>
      <w:r w:rsidR="00E82DB3">
        <w:t>.</w:t>
      </w:r>
    </w:p>
    <w:p w14:paraId="3C6B8D13" w14:textId="32D4ECE0" w:rsidR="002B7AA9" w:rsidRPr="00C453A6" w:rsidRDefault="00E82DB3" w:rsidP="002B7AA9">
      <w:pPr>
        <w:rPr>
          <w:spacing w:val="-4"/>
        </w:rPr>
      </w:pPr>
      <w:r w:rsidRPr="00C453A6">
        <w:rPr>
          <w:spacing w:val="-4"/>
        </w:rPr>
        <w:t>Many governments provided the Commission with information</w:t>
      </w:r>
      <w:r w:rsidR="001847E0" w:rsidRPr="00C453A6">
        <w:rPr>
          <w:spacing w:val="-4"/>
        </w:rPr>
        <w:t xml:space="preserve">, but did not consent to publication of that information. </w:t>
      </w:r>
      <w:r w:rsidR="009155A4" w:rsidRPr="00C453A6">
        <w:rPr>
          <w:spacing w:val="-4"/>
        </w:rPr>
        <w:t>In keeping with its principle</w:t>
      </w:r>
      <w:r w:rsidR="0002031B" w:rsidRPr="00C453A6">
        <w:rPr>
          <w:spacing w:val="-4"/>
        </w:rPr>
        <w:t>s</w:t>
      </w:r>
      <w:r w:rsidR="009155A4" w:rsidRPr="00C453A6">
        <w:rPr>
          <w:spacing w:val="-4"/>
        </w:rPr>
        <w:t xml:space="preserve"> of transparency and openness</w:t>
      </w:r>
      <w:r w:rsidR="00616CF4" w:rsidRPr="00C453A6">
        <w:rPr>
          <w:spacing w:val="-4"/>
        </w:rPr>
        <w:t xml:space="preserve">, the Commission </w:t>
      </w:r>
      <w:r w:rsidR="009155A4" w:rsidRPr="00C453A6">
        <w:rPr>
          <w:spacing w:val="-4"/>
        </w:rPr>
        <w:t>wa</w:t>
      </w:r>
      <w:r w:rsidR="00616CF4" w:rsidRPr="00C453A6">
        <w:rPr>
          <w:spacing w:val="-4"/>
        </w:rPr>
        <w:t xml:space="preserve">s unable to </w:t>
      </w:r>
      <w:r w:rsidR="009155A4" w:rsidRPr="00C453A6">
        <w:rPr>
          <w:spacing w:val="-4"/>
        </w:rPr>
        <w:t>rely on information that could not be published. This mean</w:t>
      </w:r>
      <w:r w:rsidR="000047AB" w:rsidRPr="00C453A6">
        <w:rPr>
          <w:spacing w:val="-4"/>
        </w:rPr>
        <w:t>s</w:t>
      </w:r>
      <w:r w:rsidR="009155A4" w:rsidRPr="00C453A6">
        <w:rPr>
          <w:spacing w:val="-4"/>
        </w:rPr>
        <w:t xml:space="preserve"> that</w:t>
      </w:r>
      <w:r w:rsidR="00055FFE" w:rsidRPr="00C453A6" w:rsidDel="009155A4">
        <w:rPr>
          <w:spacing w:val="-4"/>
        </w:rPr>
        <w:t xml:space="preserve"> </w:t>
      </w:r>
      <w:r w:rsidR="00055FFE" w:rsidRPr="00C453A6">
        <w:rPr>
          <w:spacing w:val="-4"/>
        </w:rPr>
        <w:t xml:space="preserve">there are significant gaps in information for </w:t>
      </w:r>
      <w:r w:rsidR="00DD0C7D" w:rsidRPr="00C453A6">
        <w:rPr>
          <w:spacing w:val="-4"/>
        </w:rPr>
        <w:t>the</w:t>
      </w:r>
      <w:r w:rsidR="00055FFE" w:rsidRPr="00C453A6">
        <w:rPr>
          <w:spacing w:val="-4"/>
        </w:rPr>
        <w:t xml:space="preserve"> review.</w:t>
      </w:r>
    </w:p>
    <w:p w14:paraId="659CF328" w14:textId="76D7729C" w:rsidR="0008654E" w:rsidRPr="00674836" w:rsidRDefault="002B7AA9" w:rsidP="002B7AA9">
      <w:r w:rsidRPr="00674836">
        <w:t>The Commission will continue to engage with parties to the Agreement in the next phase of engagement. In particular</w:t>
      </w:r>
      <w:r w:rsidR="003831D0">
        <w:t>,</w:t>
      </w:r>
      <w:r w:rsidRPr="00674836">
        <w:t xml:space="preserve"> the Commission </w:t>
      </w:r>
      <w:r w:rsidR="00377CDA" w:rsidRPr="00674836">
        <w:t xml:space="preserve">will </w:t>
      </w:r>
      <w:r w:rsidR="0072696C" w:rsidRPr="00674836">
        <w:t xml:space="preserve">seek </w:t>
      </w:r>
      <w:r w:rsidR="00B92D67" w:rsidRPr="00674836">
        <w:t xml:space="preserve">information that some jurisdictions </w:t>
      </w:r>
      <w:r w:rsidR="009155A4" w:rsidRPr="00674836">
        <w:t xml:space="preserve">did not supply </w:t>
      </w:r>
      <w:r w:rsidR="00DD38F7" w:rsidRPr="00674836">
        <w:t xml:space="preserve">publicly, or </w:t>
      </w:r>
      <w:r w:rsidR="00B92D67" w:rsidRPr="00674836">
        <w:t xml:space="preserve">were </w:t>
      </w:r>
      <w:r w:rsidR="0044146F" w:rsidRPr="00674836">
        <w:t>un</w:t>
      </w:r>
      <w:r w:rsidR="00B92D67" w:rsidRPr="00674836">
        <w:t>able to supply in time for the draft report</w:t>
      </w:r>
      <w:r w:rsidRPr="00674836">
        <w:t>.</w:t>
      </w:r>
      <w:r w:rsidR="0008654E" w:rsidRPr="00674836">
        <w:t xml:space="preserve"> </w:t>
      </w:r>
      <w:r w:rsidR="0008654E" w:rsidRPr="001763BD">
        <w:t>The Commission has a strong preference that this information be provided by individual government organisations as public submissions to this review.</w:t>
      </w:r>
    </w:p>
    <w:p w14:paraId="287A26E8" w14:textId="771D95C3" w:rsidR="00A64DB8" w:rsidRDefault="004A26E3" w:rsidP="00DD4CD7">
      <w:pPr>
        <w:pStyle w:val="Heading3"/>
      </w:pPr>
      <w:r>
        <w:t>Our approach to assessing progress</w:t>
      </w:r>
    </w:p>
    <w:p w14:paraId="01A0514E" w14:textId="77777777" w:rsidR="003F581F" w:rsidRPr="00C35D7D" w:rsidRDefault="003F581F" w:rsidP="003F581F">
      <w:pPr>
        <w:pStyle w:val="Heading4"/>
      </w:pPr>
      <w:r w:rsidRPr="00C35D7D">
        <w:t>Focusing on the Priority Reforms</w:t>
      </w:r>
    </w:p>
    <w:p w14:paraId="7E5BCCE9" w14:textId="0522AAFA" w:rsidR="003F581F" w:rsidRPr="00C453A6" w:rsidRDefault="00E5708A" w:rsidP="003F581F">
      <w:pPr>
        <w:pStyle w:val="BodyText"/>
        <w:rPr>
          <w:rFonts w:ascii="Arial" w:hAnsi="Arial" w:cs="Arial"/>
          <w:spacing w:val="-4"/>
        </w:rPr>
      </w:pPr>
      <w:r w:rsidRPr="00C453A6">
        <w:rPr>
          <w:rFonts w:ascii="Arial" w:hAnsi="Arial" w:cs="Arial"/>
          <w:spacing w:val="-4"/>
        </w:rPr>
        <w:t xml:space="preserve">The Commission </w:t>
      </w:r>
      <w:r w:rsidR="0010129E" w:rsidRPr="00C453A6">
        <w:rPr>
          <w:rFonts w:ascii="Arial" w:hAnsi="Arial" w:cs="Arial"/>
          <w:spacing w:val="-4"/>
        </w:rPr>
        <w:t>has focused</w:t>
      </w:r>
      <w:r w:rsidRPr="00C453A6">
        <w:rPr>
          <w:rFonts w:ascii="Arial" w:hAnsi="Arial" w:cs="Arial"/>
          <w:spacing w:val="-4"/>
        </w:rPr>
        <w:t xml:space="preserve"> this first review on progress towards the Priority Reforms and the factors affecting progress</w:t>
      </w:r>
      <w:r w:rsidR="003B538F" w:rsidRPr="00C453A6">
        <w:rPr>
          <w:rFonts w:ascii="Arial" w:hAnsi="Arial" w:cs="Arial"/>
          <w:spacing w:val="-4"/>
        </w:rPr>
        <w:t xml:space="preserve"> </w:t>
      </w:r>
      <w:r w:rsidR="000047AB" w:rsidRPr="00C453A6">
        <w:rPr>
          <w:rFonts w:ascii="Arial" w:hAnsi="Arial" w:cs="Arial"/>
          <w:spacing w:val="-4"/>
        </w:rPr>
        <w:t>–</w:t>
      </w:r>
      <w:r w:rsidR="003123B3" w:rsidRPr="00C453A6">
        <w:rPr>
          <w:rFonts w:ascii="Arial" w:hAnsi="Arial" w:cs="Arial"/>
          <w:spacing w:val="-4"/>
        </w:rPr>
        <w:t xml:space="preserve">an approach generally supported in </w:t>
      </w:r>
      <w:r w:rsidR="00340040" w:rsidRPr="00C453A6">
        <w:rPr>
          <w:rFonts w:ascii="Arial" w:hAnsi="Arial" w:cs="Arial"/>
          <w:spacing w:val="-4"/>
        </w:rPr>
        <w:t>submissions and meetings during the review</w:t>
      </w:r>
      <w:r w:rsidRPr="00C453A6">
        <w:rPr>
          <w:rFonts w:ascii="Arial" w:hAnsi="Arial" w:cs="Arial"/>
          <w:spacing w:val="-4"/>
        </w:rPr>
        <w:t xml:space="preserve">. </w:t>
      </w:r>
      <w:r w:rsidR="003F581F" w:rsidRPr="00C453A6">
        <w:rPr>
          <w:rFonts w:ascii="Arial" w:hAnsi="Arial" w:cs="Arial"/>
          <w:spacing w:val="-4"/>
        </w:rPr>
        <w:t xml:space="preserve">The </w:t>
      </w:r>
      <w:r w:rsidR="00AF33AD" w:rsidRPr="00C453A6">
        <w:rPr>
          <w:rFonts w:ascii="Arial" w:hAnsi="Arial" w:cs="Arial"/>
          <w:spacing w:val="-4"/>
        </w:rPr>
        <w:t xml:space="preserve">decision to focus on </w:t>
      </w:r>
      <w:r w:rsidR="00F3555C" w:rsidRPr="00C453A6">
        <w:rPr>
          <w:rFonts w:ascii="Arial" w:hAnsi="Arial" w:cs="Arial"/>
          <w:spacing w:val="-4"/>
        </w:rPr>
        <w:t xml:space="preserve">the </w:t>
      </w:r>
      <w:r w:rsidR="003F581F" w:rsidRPr="00C453A6">
        <w:rPr>
          <w:rFonts w:ascii="Arial" w:hAnsi="Arial" w:cs="Arial"/>
          <w:spacing w:val="-4"/>
        </w:rPr>
        <w:t>Priority Reforms</w:t>
      </w:r>
      <w:r w:rsidR="00F3555C" w:rsidRPr="00C453A6">
        <w:rPr>
          <w:rFonts w:ascii="Arial" w:hAnsi="Arial" w:cs="Arial"/>
          <w:spacing w:val="-4"/>
        </w:rPr>
        <w:t xml:space="preserve"> was in large part driven by the fact that the Priority Reforms</w:t>
      </w:r>
      <w:r w:rsidR="003F581F" w:rsidRPr="00C453A6">
        <w:rPr>
          <w:rFonts w:ascii="Arial" w:hAnsi="Arial" w:cs="Arial"/>
          <w:spacing w:val="-4"/>
        </w:rPr>
        <w:t xml:space="preserve"> represent a new way of working for governments and</w:t>
      </w:r>
      <w:r w:rsidR="00D928CB" w:rsidRPr="00C453A6">
        <w:rPr>
          <w:rFonts w:ascii="Arial" w:hAnsi="Arial" w:cs="Arial"/>
          <w:spacing w:val="-4"/>
        </w:rPr>
        <w:t xml:space="preserve"> are what</w:t>
      </w:r>
      <w:r w:rsidR="003F581F" w:rsidRPr="00C453A6">
        <w:rPr>
          <w:rFonts w:ascii="Arial" w:hAnsi="Arial" w:cs="Arial"/>
          <w:spacing w:val="-4"/>
        </w:rPr>
        <w:t xml:space="preserve"> set the Agreement apart from its predecessor. </w:t>
      </w:r>
    </w:p>
    <w:p w14:paraId="49F79969" w14:textId="1EFB205E" w:rsidR="003F581F" w:rsidRDefault="003F581F" w:rsidP="003F581F">
      <w:pPr>
        <w:pStyle w:val="BodyText"/>
        <w:rPr>
          <w:rFonts w:ascii="Arial" w:hAnsi="Arial" w:cs="Arial"/>
        </w:rPr>
      </w:pPr>
      <w:r>
        <w:rPr>
          <w:rFonts w:ascii="Arial" w:hAnsi="Arial" w:cs="Arial"/>
        </w:rPr>
        <w:t xml:space="preserve">The Commission </w:t>
      </w:r>
      <w:r w:rsidR="00751EAB">
        <w:rPr>
          <w:rFonts w:ascii="Arial" w:hAnsi="Arial" w:cs="Arial"/>
        </w:rPr>
        <w:t>has</w:t>
      </w:r>
      <w:r>
        <w:rPr>
          <w:rFonts w:ascii="Arial" w:hAnsi="Arial" w:cs="Arial"/>
        </w:rPr>
        <w:t xml:space="preserve"> assess</w:t>
      </w:r>
      <w:r w:rsidR="00751EAB">
        <w:rPr>
          <w:rFonts w:ascii="Arial" w:hAnsi="Arial" w:cs="Arial"/>
        </w:rPr>
        <w:t>ed</w:t>
      </w:r>
      <w:r>
        <w:rPr>
          <w:rFonts w:ascii="Arial" w:hAnsi="Arial" w:cs="Arial"/>
        </w:rPr>
        <w:t xml:space="preserve"> progress towards the Priority Reforms in two ways</w:t>
      </w:r>
      <w:r w:rsidR="007C7829">
        <w:rPr>
          <w:rFonts w:ascii="Arial" w:hAnsi="Arial" w:cs="Arial"/>
        </w:rPr>
        <w:t>. We have</w:t>
      </w:r>
      <w:r>
        <w:rPr>
          <w:rFonts w:ascii="Arial" w:hAnsi="Arial" w:cs="Arial"/>
        </w:rPr>
        <w:t>:</w:t>
      </w:r>
    </w:p>
    <w:p w14:paraId="3AC53134" w14:textId="6546C5C5" w:rsidR="003F581F" w:rsidRPr="00751EAB" w:rsidRDefault="003F581F" w:rsidP="007C7829">
      <w:pPr>
        <w:pStyle w:val="ListBullet"/>
      </w:pPr>
      <w:r w:rsidRPr="00751EAB">
        <w:t>assess</w:t>
      </w:r>
      <w:r w:rsidR="007C7829">
        <w:t>ed</w:t>
      </w:r>
      <w:r w:rsidRPr="00751EAB">
        <w:t xml:space="preserve"> progress against the specific commitments in the Agreement</w:t>
      </w:r>
      <w:r w:rsidR="007C7829">
        <w:t>,</w:t>
      </w:r>
      <w:r w:rsidR="007C7829" w:rsidRPr="007C7829">
        <w:t xml:space="preserve"> and whether proposed actions will lead to change</w:t>
      </w:r>
    </w:p>
    <w:p w14:paraId="65529F59" w14:textId="69DB851B" w:rsidR="00502B53" w:rsidRDefault="003F581F" w:rsidP="00502B53">
      <w:pPr>
        <w:pStyle w:val="ListBullet"/>
      </w:pPr>
      <w:r w:rsidRPr="00751EAB">
        <w:t>assess</w:t>
      </w:r>
      <w:r w:rsidR="007C7829">
        <w:t>ed</w:t>
      </w:r>
      <w:r w:rsidRPr="00751EAB">
        <w:t xml:space="preserve"> the broad range of actions governments are taking, as set out in their </w:t>
      </w:r>
      <w:r w:rsidR="0002031B">
        <w:t>i</w:t>
      </w:r>
      <w:r w:rsidRPr="00751EAB">
        <w:t xml:space="preserve">mplementation </w:t>
      </w:r>
      <w:r w:rsidR="0002031B">
        <w:t>p</w:t>
      </w:r>
      <w:r w:rsidR="0002031B" w:rsidRPr="00751EAB">
        <w:t>lans</w:t>
      </w:r>
      <w:r w:rsidRPr="00751EAB">
        <w:t>.</w:t>
      </w:r>
    </w:p>
    <w:p w14:paraId="4A37ADA8" w14:textId="5D7F6A52" w:rsidR="003F581F" w:rsidRDefault="003F581F" w:rsidP="00502B53">
      <w:pPr>
        <w:pStyle w:val="BodyText"/>
        <w:rPr>
          <w:rStyle w:val="BodyTextChar"/>
        </w:rPr>
      </w:pPr>
      <w:r w:rsidRPr="00502B53">
        <w:rPr>
          <w:rStyle w:val="BodyTextChar"/>
        </w:rPr>
        <w:t xml:space="preserve">In assessing progress on the commitments in the Agreement and the range of actions governments are taking, the Commission </w:t>
      </w:r>
      <w:r w:rsidR="00502B53">
        <w:rPr>
          <w:rStyle w:val="BodyTextChar"/>
        </w:rPr>
        <w:t>has sought</w:t>
      </w:r>
      <w:r w:rsidRPr="00502B53">
        <w:rPr>
          <w:rStyle w:val="BodyTextChar"/>
        </w:rPr>
        <w:t xml:space="preserve"> to understand whether they will collectively lead to the structural changes envisaged by the Priority Reforms. The Agreement recognises that ‘structural change in the way Governments work with Aboriginal and Torres Strait Islander people is needed to close the gap’ (clause 6). Such change can be interpreted as deep and enduring changes to systems, processes</w:t>
      </w:r>
      <w:r w:rsidR="00A63C59">
        <w:rPr>
          <w:rStyle w:val="BodyTextChar"/>
        </w:rPr>
        <w:t>, people</w:t>
      </w:r>
      <w:r w:rsidRPr="00502B53">
        <w:rPr>
          <w:rStyle w:val="BodyTextChar"/>
        </w:rPr>
        <w:t xml:space="preserve"> and institutions. It is these sorts of changes that the Commission </w:t>
      </w:r>
      <w:r w:rsidR="00AD7169">
        <w:rPr>
          <w:rStyle w:val="BodyTextChar"/>
        </w:rPr>
        <w:t>has paid</w:t>
      </w:r>
      <w:r w:rsidRPr="00502B53">
        <w:rPr>
          <w:rStyle w:val="BodyTextChar"/>
        </w:rPr>
        <w:t xml:space="preserve"> particular attention to in the review, including through case studies.</w:t>
      </w:r>
    </w:p>
    <w:p w14:paraId="038E0460" w14:textId="40509696" w:rsidR="004D33DB" w:rsidRPr="00055967" w:rsidRDefault="004D33DB" w:rsidP="00055967">
      <w:pPr>
        <w:pStyle w:val="Heading4"/>
      </w:pPr>
      <w:r w:rsidRPr="00055967">
        <w:t>How we assessed progress towards each Priority Reform</w:t>
      </w:r>
    </w:p>
    <w:p w14:paraId="0C68322C" w14:textId="77777777" w:rsidR="00730D7B" w:rsidRDefault="001636E3" w:rsidP="001636E3">
      <w:pPr>
        <w:pStyle w:val="BodyText"/>
      </w:pPr>
      <w:r>
        <w:t>In essence, the assessment of progress involves answering two questions</w:t>
      </w:r>
      <w:r w:rsidR="00730D7B">
        <w:t>:</w:t>
      </w:r>
    </w:p>
    <w:p w14:paraId="54E8939A" w14:textId="0B856F64" w:rsidR="00730D7B" w:rsidRDefault="00730D7B" w:rsidP="00730D7B">
      <w:pPr>
        <w:pStyle w:val="ListBullet"/>
      </w:pPr>
      <w:r>
        <w:t>H</w:t>
      </w:r>
      <w:r w:rsidR="001636E3">
        <w:t>ave</w:t>
      </w:r>
      <w:r w:rsidR="001636E3" w:rsidRPr="00730D7B">
        <w:t xml:space="preserve"> parties to the Agreement done what they have said they will do</w:t>
      </w:r>
      <w:r>
        <w:t xml:space="preserve">? </w:t>
      </w:r>
    </w:p>
    <w:p w14:paraId="4797E637" w14:textId="02192A19" w:rsidR="00730D7B" w:rsidRDefault="00730D7B" w:rsidP="00510795">
      <w:pPr>
        <w:pStyle w:val="ListBullet"/>
      </w:pPr>
      <w:r>
        <w:t>H</w:t>
      </w:r>
      <w:r w:rsidR="00D76BC3" w:rsidRPr="00730D7B">
        <w:t>ave they done this in line with the spirit and intent of the Agreement</w:t>
      </w:r>
      <w:r>
        <w:t>?</w:t>
      </w:r>
      <w:r w:rsidR="001636E3" w:rsidRPr="00730D7B">
        <w:t xml:space="preserve"> (</w:t>
      </w:r>
      <w:r>
        <w:t xml:space="preserve">That is, </w:t>
      </w:r>
      <w:r w:rsidR="001636E3" w:rsidRPr="00730D7B">
        <w:t>does it meet the objectives of the Agreement and the relevant P</w:t>
      </w:r>
      <w:r>
        <w:t xml:space="preserve">riority </w:t>
      </w:r>
      <w:r w:rsidRPr="00730D7B">
        <w:t>R</w:t>
      </w:r>
      <w:r>
        <w:t>eform?</w:t>
      </w:r>
      <w:r w:rsidR="001636E3" w:rsidRPr="00730D7B">
        <w:t>).</w:t>
      </w:r>
    </w:p>
    <w:p w14:paraId="3C41E06A" w14:textId="3E628DA5" w:rsidR="001636E3" w:rsidRDefault="001636E3" w:rsidP="001636E3">
      <w:pPr>
        <w:pStyle w:val="BodyText"/>
      </w:pPr>
      <w:r>
        <w:t xml:space="preserve">The first </w:t>
      </w:r>
      <w:r w:rsidR="00730D7B">
        <w:t xml:space="preserve">question </w:t>
      </w:r>
      <w:r>
        <w:t xml:space="preserve">is relatively </w:t>
      </w:r>
      <w:r w:rsidR="000A18A9">
        <w:t>straightforward</w:t>
      </w:r>
      <w:r w:rsidR="000A18A9" w:rsidDel="00730D7B">
        <w:t xml:space="preserve"> </w:t>
      </w:r>
      <w:r w:rsidR="000A18A9">
        <w:t xml:space="preserve">as it relates to the </w:t>
      </w:r>
      <w:r w:rsidR="005A131C">
        <w:t>delivery of specific outputs</w:t>
      </w:r>
      <w:r w:rsidR="00730D7B">
        <w:t>;</w:t>
      </w:r>
      <w:r w:rsidR="005A131C">
        <w:t xml:space="preserve"> </w:t>
      </w:r>
      <w:r>
        <w:t xml:space="preserve">the second </w:t>
      </w:r>
      <w:r w:rsidR="00730D7B">
        <w:t xml:space="preserve">question </w:t>
      </w:r>
      <w:r>
        <w:t xml:space="preserve">is much </w:t>
      </w:r>
      <w:r w:rsidR="00A23480">
        <w:t>more difficult</w:t>
      </w:r>
      <w:r>
        <w:t xml:space="preserve">. </w:t>
      </w:r>
    </w:p>
    <w:p w14:paraId="4DA76869" w14:textId="43D9D49A" w:rsidR="00F20931" w:rsidRDefault="001636E3" w:rsidP="001636E3">
      <w:pPr>
        <w:pStyle w:val="BodyText"/>
      </w:pPr>
      <w:r>
        <w:t xml:space="preserve">Our starting point </w:t>
      </w:r>
      <w:r w:rsidR="00F81695">
        <w:t>was</w:t>
      </w:r>
      <w:r>
        <w:t xml:space="preserve"> to look at what the Agreement and each </w:t>
      </w:r>
      <w:r w:rsidR="00730D7B" w:rsidRPr="00730D7B">
        <w:t>P</w:t>
      </w:r>
      <w:r w:rsidR="00730D7B">
        <w:t xml:space="preserve">riority </w:t>
      </w:r>
      <w:r w:rsidR="00730D7B" w:rsidRPr="00730D7B">
        <w:t>R</w:t>
      </w:r>
      <w:r w:rsidR="00730D7B">
        <w:t>eform</w:t>
      </w:r>
      <w:r>
        <w:t xml:space="preserve"> involves</w:t>
      </w:r>
      <w:r w:rsidR="00092A1D">
        <w:t xml:space="preserve"> – in practice this required us to look at </w:t>
      </w:r>
      <w:r w:rsidR="00055967">
        <w:t xml:space="preserve">a </w:t>
      </w:r>
      <w:r w:rsidR="00092A1D">
        <w:t xml:space="preserve">complex mix of jurisdictional actions, partnership actions, transformation elements, partnership elements, strong </w:t>
      </w:r>
      <w:r w:rsidR="00092A1D" w:rsidDel="00730D7B">
        <w:t>community</w:t>
      </w:r>
      <w:r w:rsidR="003D3194">
        <w:noBreakHyphen/>
      </w:r>
      <w:r w:rsidR="00730D7B">
        <w:t>controlled</w:t>
      </w:r>
      <w:r w:rsidR="00092A1D">
        <w:t xml:space="preserve"> sector elements, data and information sharing elements, </w:t>
      </w:r>
      <w:r w:rsidR="006861CC">
        <w:lastRenderedPageBreak/>
        <w:t>P</w:t>
      </w:r>
      <w:r w:rsidR="00092A1D">
        <w:t xml:space="preserve">riority </w:t>
      </w:r>
      <w:r w:rsidR="006861CC">
        <w:t>R</w:t>
      </w:r>
      <w:r w:rsidR="00092A1D">
        <w:t xml:space="preserve">eform targets and </w:t>
      </w:r>
      <w:r w:rsidR="00927114">
        <w:t>socio</w:t>
      </w:r>
      <w:r w:rsidR="003D3194">
        <w:noBreakHyphen/>
      </w:r>
      <w:r w:rsidR="00927114">
        <w:t>economic</w:t>
      </w:r>
      <w:r w:rsidR="00092A1D">
        <w:t xml:space="preserve"> targets.</w:t>
      </w:r>
      <w:r w:rsidR="009A2E8C">
        <w:t xml:space="preserve"> S</w:t>
      </w:r>
      <w:r>
        <w:t xml:space="preserve">ome </w:t>
      </w:r>
      <w:r w:rsidR="009A2E8C">
        <w:t xml:space="preserve">of these </w:t>
      </w:r>
      <w:r w:rsidR="004D33DB">
        <w:t xml:space="preserve">involve </w:t>
      </w:r>
      <w:r>
        <w:t xml:space="preserve">specific </w:t>
      </w:r>
      <w:r w:rsidR="00746CC9">
        <w:t xml:space="preserve">commitments to </w:t>
      </w:r>
      <w:r>
        <w:t>process</w:t>
      </w:r>
      <w:r w:rsidR="00746CC9">
        <w:t>es</w:t>
      </w:r>
      <w:r w:rsidR="00F36190">
        <w:t xml:space="preserve"> or </w:t>
      </w:r>
      <w:r>
        <w:t>outputs</w:t>
      </w:r>
      <w:r w:rsidR="00F36190">
        <w:t>,</w:t>
      </w:r>
      <w:r>
        <w:t xml:space="preserve"> </w:t>
      </w:r>
      <w:r w:rsidR="00055967">
        <w:t>that is</w:t>
      </w:r>
      <w:r>
        <w:t xml:space="preserve"> to produce expenditure stocktakes, develop policy</w:t>
      </w:r>
      <w:r w:rsidR="003D3194">
        <w:noBreakHyphen/>
      </w:r>
      <w:r>
        <w:t xml:space="preserve"> and place</w:t>
      </w:r>
      <w:r w:rsidR="003D3194">
        <w:noBreakHyphen/>
      </w:r>
      <w:r>
        <w:t>based partnerships, data projects, sector strengthening plans, annual reports</w:t>
      </w:r>
      <w:r w:rsidR="00746CC9">
        <w:t xml:space="preserve"> and </w:t>
      </w:r>
      <w:r>
        <w:t xml:space="preserve">implementation plans by set dates. Other commitments (the core commitments that go to the heart of the Agreement and its </w:t>
      </w:r>
      <w:r w:rsidR="00856E03" w:rsidRPr="00730D7B">
        <w:t>P</w:t>
      </w:r>
      <w:r w:rsidR="00856E03">
        <w:t xml:space="preserve">riority </w:t>
      </w:r>
      <w:r w:rsidR="00856E03" w:rsidRPr="00730D7B">
        <w:t>R</w:t>
      </w:r>
      <w:r w:rsidR="00856E03">
        <w:t>eform</w:t>
      </w:r>
      <w:r>
        <w:t>s) are more principles</w:t>
      </w:r>
      <w:r w:rsidR="00856E03">
        <w:noBreakHyphen/>
      </w:r>
      <w:r>
        <w:t>based, such as ‘building and strengthening structures that empower Aboriginal and Torres Strait Islander people to share decision</w:t>
      </w:r>
      <w:r w:rsidR="003D3194">
        <w:noBreakHyphen/>
      </w:r>
      <w:r>
        <w:t>making authority with government</w:t>
      </w:r>
      <w:r w:rsidR="007166F7">
        <w:t>s</w:t>
      </w:r>
      <w:r>
        <w:t>’ (</w:t>
      </w:r>
      <w:r w:rsidR="00192E46">
        <w:t>clause</w:t>
      </w:r>
      <w:r>
        <w:t xml:space="preserve"> 28).</w:t>
      </w:r>
    </w:p>
    <w:p w14:paraId="1E1BCCFA" w14:textId="3D571167" w:rsidR="00BC29E0" w:rsidRDefault="001636E3" w:rsidP="001636E3">
      <w:pPr>
        <w:pStyle w:val="BodyText"/>
      </w:pPr>
      <w:r>
        <w:t xml:space="preserve">We </w:t>
      </w:r>
      <w:r w:rsidR="00A63499">
        <w:t>have</w:t>
      </w:r>
      <w:r>
        <w:t xml:space="preserve"> assess</w:t>
      </w:r>
      <w:r w:rsidR="00A63499">
        <w:t>ed</w:t>
      </w:r>
      <w:r>
        <w:t xml:space="preserve"> whether </w:t>
      </w:r>
      <w:r w:rsidR="00C42EA3">
        <w:t>parties to the Agreement</w:t>
      </w:r>
      <w:r>
        <w:t xml:space="preserve"> have</w:t>
      </w:r>
      <w:r w:rsidDel="00C42EA3">
        <w:t xml:space="preserve"> </w:t>
      </w:r>
      <w:r>
        <w:t>met or are in the process of meeting all of the commitments in the Agreement</w:t>
      </w:r>
      <w:r w:rsidR="00F20931">
        <w:t>. S</w:t>
      </w:r>
      <w:r>
        <w:t xml:space="preserve">ome aspects of this assessment </w:t>
      </w:r>
      <w:r w:rsidR="00F20931">
        <w:t xml:space="preserve">(such as whether governments have produced annual reports or stocktakes) </w:t>
      </w:r>
      <w:r>
        <w:t>involve</w:t>
      </w:r>
      <w:r w:rsidR="00C42EA3">
        <w:t>d</w:t>
      </w:r>
      <w:r>
        <w:t xml:space="preserve"> a simple yes or no exercise</w:t>
      </w:r>
      <w:r w:rsidDel="00F20931">
        <w:t xml:space="preserve"> </w:t>
      </w:r>
      <w:r w:rsidR="002F49AC">
        <w:t>– th</w:t>
      </w:r>
      <w:r w:rsidR="00F20931">
        <w:t>ese</w:t>
      </w:r>
      <w:r w:rsidR="002F49AC">
        <w:t xml:space="preserve"> assessment</w:t>
      </w:r>
      <w:r w:rsidR="00F20931">
        <w:t>s are</w:t>
      </w:r>
      <w:r w:rsidR="002F49AC" w:rsidDel="00F20931">
        <w:t xml:space="preserve"> </w:t>
      </w:r>
      <w:r w:rsidR="002F49AC">
        <w:t xml:space="preserve">provided in </w:t>
      </w:r>
      <w:r w:rsidR="00856E03">
        <w:t xml:space="preserve">the </w:t>
      </w:r>
      <w:r w:rsidR="00EE6BE6">
        <w:t xml:space="preserve">attachment </w:t>
      </w:r>
      <w:r w:rsidR="002F49AC">
        <w:t>of the draft report</w:t>
      </w:r>
      <w:r>
        <w:t xml:space="preserve">. The harder part of the assessment </w:t>
      </w:r>
      <w:r w:rsidR="00C42EA3">
        <w:t>wa</w:t>
      </w:r>
      <w:r>
        <w:t>s determining the ‘quality’ of these products and actions</w:t>
      </w:r>
      <w:r w:rsidR="00C42EA3">
        <w:t>,</w:t>
      </w:r>
      <w:r>
        <w:t xml:space="preserve"> and whether they meet the objectives and principles of </w:t>
      </w:r>
      <w:r w:rsidR="00451DB2">
        <w:t xml:space="preserve">each </w:t>
      </w:r>
      <w:r w:rsidR="00B00C99">
        <w:t>P</w:t>
      </w:r>
      <w:r w:rsidR="00451DB2">
        <w:t xml:space="preserve">riority </w:t>
      </w:r>
      <w:r w:rsidR="00B00C99">
        <w:t>R</w:t>
      </w:r>
      <w:r w:rsidR="00451DB2">
        <w:t>eform</w:t>
      </w:r>
      <w:r w:rsidR="00793419">
        <w:t>.</w:t>
      </w:r>
      <w:r>
        <w:t xml:space="preserve"> </w:t>
      </w:r>
      <w:r w:rsidR="004A34D1">
        <w:t xml:space="preserve">That is, to evaluate whether the actions </w:t>
      </w:r>
      <w:r w:rsidR="00B00C99">
        <w:t xml:space="preserve">that </w:t>
      </w:r>
      <w:r w:rsidR="004A34D1">
        <w:t xml:space="preserve">governments </w:t>
      </w:r>
      <w:r w:rsidR="00B00C99">
        <w:t xml:space="preserve">listed in </w:t>
      </w:r>
      <w:r w:rsidR="004A34D1">
        <w:t xml:space="preserve">their </w:t>
      </w:r>
      <w:r w:rsidR="00B00C99">
        <w:t>i</w:t>
      </w:r>
      <w:r w:rsidR="004A34D1">
        <w:t xml:space="preserve">mplementation </w:t>
      </w:r>
      <w:r w:rsidR="00B00C99">
        <w:t>p</w:t>
      </w:r>
      <w:r w:rsidR="004A34D1">
        <w:t>lans will lead to the change</w:t>
      </w:r>
      <w:r w:rsidR="00B00C99">
        <w:t>s</w:t>
      </w:r>
      <w:r w:rsidR="004A34D1">
        <w:t xml:space="preserve"> they committed to, </w:t>
      </w:r>
      <w:r w:rsidR="0070246E">
        <w:t>and</w:t>
      </w:r>
      <w:r w:rsidR="004A34D1">
        <w:t xml:space="preserve"> improv</w:t>
      </w:r>
      <w:r w:rsidR="0070246E">
        <w:t>e</w:t>
      </w:r>
      <w:r>
        <w:t xml:space="preserve"> outcomes for Aboriginal and Torres Strait Islander people</w:t>
      </w:r>
      <w:r w:rsidR="00024458">
        <w:t>.</w:t>
      </w:r>
      <w:r w:rsidR="00192661" w:rsidRPr="00192661">
        <w:t xml:space="preserve"> </w:t>
      </w:r>
      <w:r w:rsidR="00192661">
        <w:t>To inform this aspect of the assessment, the Commission has drawn heavily on submissions from participants and the many visits, meetings and roundtables that have formed part of the review so far. W</w:t>
      </w:r>
      <w:r w:rsidR="00192661" w:rsidRPr="006464C1">
        <w:t>e focuse</w:t>
      </w:r>
      <w:r w:rsidR="00192661">
        <w:t>d</w:t>
      </w:r>
      <w:r w:rsidR="00192661" w:rsidRPr="006464C1">
        <w:t xml:space="preserve"> on barriers</w:t>
      </w:r>
      <w:r w:rsidR="00192661">
        <w:t xml:space="preserve"> to progress </w:t>
      </w:r>
      <w:r w:rsidR="00192661" w:rsidRPr="006464C1">
        <w:t xml:space="preserve">and </w:t>
      </w:r>
      <w:r w:rsidR="00192661">
        <w:t xml:space="preserve">things that have </w:t>
      </w:r>
      <w:r w:rsidR="00192661" w:rsidRPr="006464C1">
        <w:t>enable</w:t>
      </w:r>
      <w:r w:rsidR="00192661">
        <w:t>d improvement</w:t>
      </w:r>
      <w:r w:rsidR="00192661" w:rsidRPr="006464C1">
        <w:t xml:space="preserve"> and dr</w:t>
      </w:r>
      <w:r w:rsidR="00192661">
        <w:t>ew</w:t>
      </w:r>
      <w:r w:rsidR="00192661" w:rsidRPr="006464C1">
        <w:t xml:space="preserve"> on what we heard, as well as our own research</w:t>
      </w:r>
      <w:r w:rsidR="00192661">
        <w:t>,</w:t>
      </w:r>
      <w:r w:rsidR="00192661" w:rsidRPr="006464C1">
        <w:t xml:space="preserve"> analysis and judgement</w:t>
      </w:r>
      <w:r>
        <w:t xml:space="preserve">. </w:t>
      </w:r>
      <w:r w:rsidR="00594C6F">
        <w:t xml:space="preserve">We </w:t>
      </w:r>
      <w:r w:rsidR="006464C1" w:rsidRPr="006464C1">
        <w:t xml:space="preserve">sought to determine whether governments were implementing the principles of the agreement and whether Aboriginal and Torres Strait Islander groups and communities have seen any changes on the ground </w:t>
      </w:r>
      <w:r w:rsidR="00490AEB">
        <w:t>–</w:t>
      </w:r>
      <w:r w:rsidR="006464C1" w:rsidRPr="006464C1">
        <w:t xml:space="preserve"> hence engagement was a key part of this analysis.</w:t>
      </w:r>
    </w:p>
    <w:p w14:paraId="4B0F8E0E" w14:textId="2C3C4DD8" w:rsidR="001636E3" w:rsidRDefault="001636E3" w:rsidP="001636E3">
      <w:pPr>
        <w:pStyle w:val="BodyText"/>
      </w:pPr>
      <w:r>
        <w:t xml:space="preserve">We </w:t>
      </w:r>
      <w:r w:rsidR="001176D2">
        <w:t xml:space="preserve">also </w:t>
      </w:r>
      <w:r>
        <w:t>analyse</w:t>
      </w:r>
      <w:r w:rsidR="00A63499">
        <w:t>d</w:t>
      </w:r>
      <w:r>
        <w:t xml:space="preserve"> implementation plans and annual reports in detail to </w:t>
      </w:r>
      <w:r w:rsidR="0071708B">
        <w:t>understand</w:t>
      </w:r>
      <w:r w:rsidR="006A4375">
        <w:t xml:space="preserve"> </w:t>
      </w:r>
      <w:r>
        <w:t>what gov</w:t>
      </w:r>
      <w:r w:rsidR="00A36E46">
        <w:t>ernments</w:t>
      </w:r>
      <w:r>
        <w:t xml:space="preserve"> are doing against each of the </w:t>
      </w:r>
      <w:r w:rsidR="00746CC9">
        <w:t>Priority R</w:t>
      </w:r>
      <w:r w:rsidR="00A36E46">
        <w:t>eforms</w:t>
      </w:r>
      <w:r>
        <w:t xml:space="preserve"> (and their specific commitments)</w:t>
      </w:r>
      <w:r w:rsidR="005622F7">
        <w:t>, and the theory of change</w:t>
      </w:r>
      <w:r w:rsidR="00A57DB0">
        <w:t xml:space="preserve"> or conceptual logic</w:t>
      </w:r>
      <w:r w:rsidR="0053488B">
        <w:t xml:space="preserve"> governments</w:t>
      </w:r>
      <w:r w:rsidR="00E11AB4">
        <w:t xml:space="preserve"> had used in </w:t>
      </w:r>
      <w:r w:rsidR="008F49F4">
        <w:t>formulating their actions</w:t>
      </w:r>
      <w:r>
        <w:t xml:space="preserve">. </w:t>
      </w:r>
    </w:p>
    <w:p w14:paraId="7597BFE1" w14:textId="486CB991" w:rsidR="006A1AE4" w:rsidRDefault="006A1AE4" w:rsidP="006A1AE4">
      <w:pPr>
        <w:pStyle w:val="BodyText"/>
      </w:pPr>
      <w:r>
        <w:t>The Commission’s assessment is not a program</w:t>
      </w:r>
      <w:r w:rsidR="003D3194">
        <w:noBreakHyphen/>
      </w:r>
      <w:r>
        <w:t>by</w:t>
      </w:r>
      <w:r w:rsidR="003D3194">
        <w:noBreakHyphen/>
      </w:r>
      <w:r>
        <w:t xml:space="preserve">program assessment of individual policies or initiatives. Rather, the Commission has used its research on individual actions to make broad observations about where progress can be observed across government, and where more work is needed. Examples are highlighted as case studies </w:t>
      </w:r>
      <w:r w:rsidR="00D93A4B">
        <w:t xml:space="preserve">in the </w:t>
      </w:r>
      <w:r w:rsidR="00761BD8">
        <w:t xml:space="preserve">draft </w:t>
      </w:r>
      <w:r w:rsidR="00D93A4B">
        <w:t xml:space="preserve">report and the </w:t>
      </w:r>
      <w:r w:rsidR="00761BD8">
        <w:t>accompanying information papers</w:t>
      </w:r>
      <w:r>
        <w:t>.</w:t>
      </w:r>
    </w:p>
    <w:p w14:paraId="59A8FFE4" w14:textId="3FD4170C" w:rsidR="006A1AE4" w:rsidRDefault="006A1AE4" w:rsidP="006A1AE4">
      <w:pPr>
        <w:pStyle w:val="BodyText"/>
      </w:pPr>
      <w:r>
        <w:t>The choice to make broad observations rather than policy</w:t>
      </w:r>
      <w:r w:rsidR="00851E19">
        <w:noBreakHyphen/>
      </w:r>
      <w:r>
        <w:t xml:space="preserve"> or program</w:t>
      </w:r>
      <w:r w:rsidR="003D3194">
        <w:noBreakHyphen/>
      </w:r>
      <w:r>
        <w:t>specific judgements was influenced by several factors.</w:t>
      </w:r>
    </w:p>
    <w:p w14:paraId="436DB00F" w14:textId="10C6803B" w:rsidR="006A1AE4" w:rsidRDefault="00D13C0D" w:rsidP="00F70350">
      <w:pPr>
        <w:pStyle w:val="ListBullet"/>
      </w:pPr>
      <w:r>
        <w:t>This review is not an audit</w:t>
      </w:r>
      <w:r w:rsidR="006A276C">
        <w:t xml:space="preserve">. </w:t>
      </w:r>
      <w:r w:rsidR="006A1AE4">
        <w:t>The large number of individual policies and actions meant it would have been difficult, if not impossible, to conduct sufficient research on each one.</w:t>
      </w:r>
    </w:p>
    <w:p w14:paraId="62080E4F" w14:textId="6BAC24BA" w:rsidR="006A1AE4" w:rsidRPr="0097345B" w:rsidRDefault="006A1AE4" w:rsidP="006A1AE4">
      <w:pPr>
        <w:pStyle w:val="ListBullet"/>
      </w:pPr>
      <w:r>
        <w:t xml:space="preserve">Information about individual actions, to </w:t>
      </w:r>
      <w:r w:rsidR="008968E0">
        <w:t xml:space="preserve">the </w:t>
      </w:r>
      <w:r>
        <w:t xml:space="preserve">level required to make a sound judgement on progress, was generally scarce or not available in the public domain. This meant it was necessary to draw on knowledge from government officials and Aboriginal and Torres Strait Islander people and organisations. The Commission was mindful of its time and resources, as well as the burden on other parties </w:t>
      </w:r>
      <w:r>
        <w:rPr>
          <w:rFonts w:cstheme="minorHAnsi"/>
        </w:rPr>
        <w:t>–</w:t>
      </w:r>
      <w:r>
        <w:t xml:space="preserve"> especially Aboriginal and Torres Strait Islander organisations </w:t>
      </w:r>
      <w:r>
        <w:rPr>
          <w:rFonts w:cstheme="minorHAnsi"/>
        </w:rPr>
        <w:t xml:space="preserve">– to provide this detail. As such, meetings to discuss individual programs or actions were sought only where the Commission judged they would be </w:t>
      </w:r>
      <w:r w:rsidR="003457C8">
        <w:rPr>
          <w:rFonts w:cstheme="minorHAnsi"/>
        </w:rPr>
        <w:t xml:space="preserve">of </w:t>
      </w:r>
      <w:r>
        <w:rPr>
          <w:rFonts w:cstheme="minorHAnsi"/>
        </w:rPr>
        <w:t>high value in informing general observations</w:t>
      </w:r>
      <w:r w:rsidR="006A4EC0">
        <w:rPr>
          <w:rFonts w:cstheme="minorHAnsi"/>
        </w:rPr>
        <w:t xml:space="preserve"> and conclusions</w:t>
      </w:r>
      <w:r>
        <w:rPr>
          <w:rFonts w:cstheme="minorHAnsi"/>
        </w:rPr>
        <w:t>.</w:t>
      </w:r>
    </w:p>
    <w:p w14:paraId="6A19C4E3" w14:textId="7256E0E4" w:rsidR="006A1AE4" w:rsidRDefault="006A1AE4" w:rsidP="006A1AE4">
      <w:pPr>
        <w:pStyle w:val="ListBullet"/>
      </w:pPr>
      <w:r>
        <w:rPr>
          <w:rFonts w:cstheme="minorHAnsi"/>
        </w:rPr>
        <w:t xml:space="preserve">It was unclear how a detailed analysis of individual policies and programs would be useful in providing parties </w:t>
      </w:r>
      <w:r w:rsidR="006C6234">
        <w:rPr>
          <w:rFonts w:cstheme="minorHAnsi"/>
        </w:rPr>
        <w:t xml:space="preserve">to the Agreement </w:t>
      </w:r>
      <w:r>
        <w:rPr>
          <w:rFonts w:cstheme="minorHAnsi"/>
        </w:rPr>
        <w:t>with an overall view of progress against the Agreement. Given the diverse nature of actions, ‘deep dives’ into individual actions would not necessarily aggregate into useful findings about overall progress against the Priority Reform</w:t>
      </w:r>
      <w:r w:rsidR="00844D54">
        <w:rPr>
          <w:rFonts w:cstheme="minorHAnsi"/>
        </w:rPr>
        <w:t>s</w:t>
      </w:r>
      <w:r>
        <w:rPr>
          <w:rFonts w:cstheme="minorHAnsi"/>
        </w:rPr>
        <w:t>.</w:t>
      </w:r>
    </w:p>
    <w:p w14:paraId="34DA72F1" w14:textId="06A9BDE9" w:rsidR="00EE265E" w:rsidRPr="00C35D7D" w:rsidRDefault="00EE265E" w:rsidP="005D7FD0">
      <w:pPr>
        <w:pStyle w:val="Heading4"/>
      </w:pPr>
      <w:r w:rsidRPr="00C35D7D">
        <w:t xml:space="preserve">Using case studies to </w:t>
      </w:r>
      <w:r w:rsidR="00E17B66">
        <w:t xml:space="preserve">better </w:t>
      </w:r>
      <w:r w:rsidRPr="00C35D7D">
        <w:t>understand progress</w:t>
      </w:r>
    </w:p>
    <w:p w14:paraId="5856BC8E" w14:textId="0B0C43F5" w:rsidR="000F625D" w:rsidRPr="00E332C1" w:rsidRDefault="000F625D" w:rsidP="000F625D">
      <w:pPr>
        <w:pStyle w:val="BodyText"/>
      </w:pPr>
      <w:r>
        <w:t xml:space="preserve">The Agreement makes it clear that to accelerate progress on closing the gap, there will need to be structural change in the way governments engage and work alongside Aboriginal and Torres Strait Islander people. </w:t>
      </w:r>
      <w:r w:rsidR="005F771B">
        <w:lastRenderedPageBreak/>
        <w:t xml:space="preserve">This cannot be assessed from quantitative analysis alone. In particular, implementation of the </w:t>
      </w:r>
      <w:r w:rsidR="003457C8">
        <w:t>P</w:t>
      </w:r>
      <w:r w:rsidR="005F771B">
        <w:t xml:space="preserve">riority </w:t>
      </w:r>
      <w:r w:rsidR="003457C8">
        <w:t>R</w:t>
      </w:r>
      <w:r w:rsidR="005F771B">
        <w:t xml:space="preserve">eforms can only be measured by accounts of what is happening in practice. </w:t>
      </w:r>
      <w:r>
        <w:t xml:space="preserve">Australian governments have committed to a large number of actions to give effect to the Priority Reforms and to achieve </w:t>
      </w:r>
      <w:r w:rsidR="003457C8">
        <w:t xml:space="preserve">the </w:t>
      </w:r>
      <w:r w:rsidR="00927114">
        <w:t>socio</w:t>
      </w:r>
      <w:r w:rsidR="003457C8">
        <w:noBreakHyphen/>
      </w:r>
      <w:r w:rsidR="00927114">
        <w:t>economic</w:t>
      </w:r>
      <w:r>
        <w:t xml:space="preserve"> outcomes. Preliminary analysis by the Commission indicates there are over 2</w:t>
      </w:r>
      <w:r w:rsidR="00070961">
        <w:t>,</w:t>
      </w:r>
      <w:r>
        <w:t xml:space="preserve">000 individual actions listed in jurisdictions’ </w:t>
      </w:r>
      <w:r w:rsidR="003457C8">
        <w:t>i</w:t>
      </w:r>
      <w:r>
        <w:t xml:space="preserve">mplementation </w:t>
      </w:r>
      <w:r w:rsidR="003457C8">
        <w:t>p</w:t>
      </w:r>
      <w:r>
        <w:t>lans.</w:t>
      </w:r>
    </w:p>
    <w:p w14:paraId="128C8974" w14:textId="3A68DA31" w:rsidR="000F625D" w:rsidRPr="00C453A6" w:rsidRDefault="007D02C6" w:rsidP="00C453A6">
      <w:pPr>
        <w:pStyle w:val="BodyText"/>
        <w:rPr>
          <w:spacing w:val="-4"/>
        </w:rPr>
      </w:pPr>
      <w:r w:rsidRPr="00C453A6">
        <w:rPr>
          <w:spacing w:val="-4"/>
        </w:rPr>
        <w:t>As noted above, t</w:t>
      </w:r>
      <w:r w:rsidR="00924FC4" w:rsidRPr="00C453A6">
        <w:rPr>
          <w:spacing w:val="-4"/>
        </w:rPr>
        <w:t xml:space="preserve">he large </w:t>
      </w:r>
      <w:r w:rsidR="00EE7183" w:rsidRPr="00C453A6">
        <w:rPr>
          <w:spacing w:val="-4"/>
        </w:rPr>
        <w:t>number of actions under the Agreement</w:t>
      </w:r>
      <w:r w:rsidR="000F625D" w:rsidRPr="00C453A6">
        <w:rPr>
          <w:spacing w:val="-4"/>
        </w:rPr>
        <w:t xml:space="preserve"> </w:t>
      </w:r>
      <w:r w:rsidR="00DF7695" w:rsidRPr="00C453A6">
        <w:rPr>
          <w:spacing w:val="-4"/>
        </w:rPr>
        <w:t>meant that i</w:t>
      </w:r>
      <w:r w:rsidR="00B13BBF" w:rsidRPr="00C453A6">
        <w:rPr>
          <w:spacing w:val="-4"/>
        </w:rPr>
        <w:t>t</w:t>
      </w:r>
      <w:r w:rsidR="00DF7695" w:rsidRPr="00C453A6">
        <w:rPr>
          <w:spacing w:val="-4"/>
        </w:rPr>
        <w:t xml:space="preserve"> was</w:t>
      </w:r>
      <w:r w:rsidR="000F625D" w:rsidRPr="00C453A6">
        <w:rPr>
          <w:spacing w:val="-4"/>
        </w:rPr>
        <w:t xml:space="preserve"> not feasible to assess each of the actions in detail, so the Commission </w:t>
      </w:r>
      <w:r w:rsidR="00EE7183" w:rsidRPr="00C453A6">
        <w:rPr>
          <w:spacing w:val="-4"/>
        </w:rPr>
        <w:t>has</w:t>
      </w:r>
      <w:r w:rsidR="000F625D" w:rsidRPr="00C453A6">
        <w:rPr>
          <w:spacing w:val="-4"/>
        </w:rPr>
        <w:t xml:space="preserve"> drawn on case studies as part of the evidence base to understand what governments are doing, whether what they are doing is effective, and the factors contributing to success. </w:t>
      </w:r>
    </w:p>
    <w:p w14:paraId="2BE4FA47" w14:textId="3708683E" w:rsidR="004465BF" w:rsidRDefault="00172F3F" w:rsidP="004465BF">
      <w:pPr>
        <w:pStyle w:val="BodyText"/>
      </w:pPr>
      <w:r w:rsidRPr="003B1ACF">
        <w:t>The Commission published it</w:t>
      </w:r>
      <w:r>
        <w:t>s</w:t>
      </w:r>
      <w:r w:rsidRPr="003B1ACF">
        <w:t xml:space="preserve"> proposed approach to assessing progress, including the use of case studies</w:t>
      </w:r>
      <w:r w:rsidR="00B4733B">
        <w:t>,</w:t>
      </w:r>
      <w:r w:rsidRPr="003B1ACF">
        <w:t xml:space="preserve"> in October 2022 (</w:t>
      </w:r>
      <w:r w:rsidR="001C0A0D">
        <w:t>r</w:t>
      </w:r>
      <w:r w:rsidRPr="003B1ACF">
        <w:t xml:space="preserve">eview </w:t>
      </w:r>
      <w:r w:rsidR="009203B9">
        <w:t>p</w:t>
      </w:r>
      <w:r w:rsidRPr="003B1ACF">
        <w:t>aper 2)</w:t>
      </w:r>
      <w:r w:rsidR="0057591D">
        <w:t>,</w:t>
      </w:r>
      <w:r>
        <w:t xml:space="preserve"> and invited feedback</w:t>
      </w:r>
      <w:r w:rsidR="001243B4">
        <w:t>. This</w:t>
      </w:r>
      <w:r>
        <w:t xml:space="preserve"> includ</w:t>
      </w:r>
      <w:r w:rsidR="001243B4">
        <w:t>ed</w:t>
      </w:r>
      <w:r>
        <w:t xml:space="preserve"> the selection criteria for identifying and shortlisting case studies to use as examples of where progress has or has not been made.</w:t>
      </w:r>
      <w:r w:rsidR="0043065F">
        <w:t xml:space="preserve"> </w:t>
      </w:r>
      <w:r w:rsidR="00FC5E59">
        <w:t xml:space="preserve">In response, </w:t>
      </w:r>
      <w:r w:rsidR="004F30BD">
        <w:t>participants</w:t>
      </w:r>
      <w:r w:rsidR="00563075">
        <w:t xml:space="preserve"> </w:t>
      </w:r>
      <w:r w:rsidR="00FC5E59">
        <w:t xml:space="preserve">urged the Commission </w:t>
      </w:r>
      <w:r w:rsidR="0063356B">
        <w:t>to be cautious in the use of case studies</w:t>
      </w:r>
      <w:r w:rsidR="000567B3">
        <w:t xml:space="preserve">, given the potential for subjectivity in their selection and </w:t>
      </w:r>
      <w:r w:rsidR="00BC66B3">
        <w:t xml:space="preserve">the lack of </w:t>
      </w:r>
      <w:r w:rsidR="00293BFA">
        <w:t>information and data on impacts</w:t>
      </w:r>
      <w:r w:rsidR="003F2205">
        <w:t xml:space="preserve"> (box 5)</w:t>
      </w:r>
      <w:r w:rsidR="00755D49">
        <w:t>.</w:t>
      </w:r>
    </w:p>
    <w:p w14:paraId="023154A3" w14:textId="7E409821" w:rsidR="00EE009F" w:rsidRDefault="00EE009F" w:rsidP="004465BF">
      <w:pPr>
        <w:pStyle w:val="BodyText"/>
      </w:pPr>
      <w:r>
        <w:t>The Commission acknowledges that case studies have limitations as evidence in a review as broad as this one, and that case studies alone are not enough to make an overall assessment of progress against each of the Priority Reforms and socio</w:t>
      </w:r>
      <w:r>
        <w:noBreakHyphen/>
        <w:t xml:space="preserve">economic outcomes. </w:t>
      </w:r>
    </w:p>
    <w:p w14:paraId="0D359C4C" w14:textId="7EC85A4E" w:rsidR="004B56AC" w:rsidRPr="00F82BD9" w:rsidRDefault="004B56AC" w:rsidP="00795F70">
      <w:pPr>
        <w:pStyle w:val="NoSpacing"/>
      </w:pPr>
    </w:p>
    <w:tbl>
      <w:tblPr>
        <w:tblStyle w:val="Boxtable"/>
        <w:tblW w:w="5000" w:type="pct"/>
        <w:tblLook w:val="04A0" w:firstRow="1" w:lastRow="0" w:firstColumn="1" w:lastColumn="0" w:noHBand="0" w:noVBand="1"/>
      </w:tblPr>
      <w:tblGrid>
        <w:gridCol w:w="906"/>
        <w:gridCol w:w="8732"/>
      </w:tblGrid>
      <w:tr w:rsidR="00387FC7" w14:paraId="5FA2FBF6" w14:textId="77777777" w:rsidTr="0053363E">
        <w:trPr>
          <w:tblHeader/>
        </w:trPr>
        <w:tc>
          <w:tcPr>
            <w:tcW w:w="851" w:type="dxa"/>
            <w:shd w:val="clear" w:color="auto" w:fill="FBF3EC"/>
            <w:tcMar>
              <w:top w:w="170" w:type="dxa"/>
              <w:left w:w="170" w:type="dxa"/>
              <w:bottom w:w="113" w:type="dxa"/>
              <w:right w:w="170" w:type="dxa"/>
            </w:tcMar>
            <w:hideMark/>
          </w:tcPr>
          <w:p w14:paraId="6304AE1F" w14:textId="04B4136F" w:rsidR="00387FC7" w:rsidRDefault="0053363E" w:rsidP="0053363E">
            <w:pPr>
              <w:pStyle w:val="BoxHeading1"/>
              <w:spacing w:before="0"/>
            </w:pPr>
            <w:r w:rsidRPr="00A031AA">
              <w:rPr>
                <w:b/>
                <w:bCs/>
                <w:noProof/>
              </w:rPr>
              <w:drawing>
                <wp:inline distT="0" distB="0" distL="0" distR="0" wp14:anchorId="0B5A3DB4" wp14:editId="1FFDD498">
                  <wp:extent cx="360000" cy="424800"/>
                  <wp:effectExtent l="0" t="0" r="0" b="0"/>
                  <wp:docPr id="4184775" name="Picture 418477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5CB9D165" w14:textId="74ECDE81" w:rsidR="00387FC7" w:rsidRDefault="00387FC7" w:rsidP="00387FC7">
            <w:pPr>
              <w:pStyle w:val="BoxHeading1"/>
            </w:pPr>
            <w:r>
              <w:t xml:space="preserve">Box 5 – Participants urged caution in the use of case studies </w:t>
            </w:r>
          </w:p>
        </w:tc>
      </w:tr>
      <w:tr w:rsidR="00387FC7" w14:paraId="022C7E7F" w14:textId="77777777" w:rsidTr="0053363E">
        <w:tc>
          <w:tcPr>
            <w:tcW w:w="9638" w:type="dxa"/>
            <w:gridSpan w:val="2"/>
            <w:shd w:val="clear" w:color="auto" w:fill="FBF3EC"/>
            <w:tcMar>
              <w:top w:w="28" w:type="dxa"/>
              <w:left w:w="170" w:type="dxa"/>
              <w:bottom w:w="170" w:type="dxa"/>
              <w:right w:w="170" w:type="dxa"/>
            </w:tcMar>
            <w:hideMark/>
          </w:tcPr>
          <w:p w14:paraId="4D667141" w14:textId="77777777" w:rsidR="0053363E" w:rsidRDefault="0053363E" w:rsidP="0053363E">
            <w:pPr>
              <w:pStyle w:val="BodyText"/>
            </w:pPr>
            <w:r w:rsidRPr="0089285A">
              <w:rPr>
                <w:b/>
                <w:bCs/>
              </w:rPr>
              <w:t>National Health Leadership Forum</w:t>
            </w:r>
          </w:p>
          <w:p w14:paraId="6E139A09" w14:textId="77777777" w:rsidR="0053363E" w:rsidRDefault="0053363E" w:rsidP="0053363E">
            <w:pPr>
              <w:pStyle w:val="Quote"/>
            </w:pPr>
            <w:r>
              <w:t xml:space="preserve">Relying on the case study approach to review the National Agreement provides a snapshot on progress (good or bad) on specific activities but does not necessarily provide an overall assessment of performance particularly of agencies. As with the Close the Gap Campaign submission, we would like ‘a more systematic, data informed review that provides more detailed analysis’ of what is actually happening within government. (sub. 19, p. 7) </w:t>
            </w:r>
          </w:p>
          <w:p w14:paraId="010939CB" w14:textId="77777777" w:rsidR="0053363E" w:rsidRPr="005111BF" w:rsidRDefault="0053363E" w:rsidP="0053363E">
            <w:pPr>
              <w:pStyle w:val="BodyText"/>
              <w:rPr>
                <w:b/>
                <w:bCs/>
              </w:rPr>
            </w:pPr>
            <w:r w:rsidRPr="005111BF">
              <w:rPr>
                <w:b/>
                <w:bCs/>
              </w:rPr>
              <w:t>Lowitja Institute</w:t>
            </w:r>
          </w:p>
          <w:p w14:paraId="59FAD139" w14:textId="77777777" w:rsidR="0053363E" w:rsidRPr="00C453A6" w:rsidRDefault="0053363E" w:rsidP="0053363E">
            <w:pPr>
              <w:pStyle w:val="Quote"/>
              <w:rPr>
                <w:spacing w:val="-4"/>
              </w:rPr>
            </w:pPr>
            <w:r w:rsidRPr="00C453A6">
              <w:rPr>
                <w:spacing w:val="-4"/>
              </w:rPr>
              <w:t>Case studies are an inadequate mechanism for assessing whether states and territories are meeting their commitments under the Priority Reforms. They do not provide the necessary level of detail, nor are they timely to ensure that whole of government is changing the way they work with Aboriginal and Torres Strait Islander people and communities. (sub. 15, pp. 8</w:t>
            </w:r>
            <w:r w:rsidRPr="00C453A6">
              <w:rPr>
                <w:rFonts w:cs="Arial"/>
                <w:spacing w:val="-4"/>
                <w:sz w:val="22"/>
                <w:szCs w:val="22"/>
              </w:rPr>
              <w:t>−</w:t>
            </w:r>
            <w:r w:rsidRPr="00C453A6">
              <w:rPr>
                <w:spacing w:val="-4"/>
              </w:rPr>
              <w:t>9)</w:t>
            </w:r>
          </w:p>
          <w:p w14:paraId="0639658F" w14:textId="77777777" w:rsidR="0053363E" w:rsidRPr="00A62ED3" w:rsidRDefault="0053363E" w:rsidP="0053363E">
            <w:pPr>
              <w:pStyle w:val="BodyText"/>
              <w:rPr>
                <w:b/>
                <w:bCs/>
              </w:rPr>
            </w:pPr>
            <w:r w:rsidRPr="00A62ED3">
              <w:rPr>
                <w:b/>
                <w:bCs/>
              </w:rPr>
              <w:t xml:space="preserve">ANTAR </w:t>
            </w:r>
          </w:p>
          <w:p w14:paraId="62F9C277" w14:textId="77777777" w:rsidR="0053363E" w:rsidRPr="00C453A6" w:rsidRDefault="0053363E" w:rsidP="0053363E">
            <w:pPr>
              <w:pStyle w:val="Quote"/>
              <w:rPr>
                <w:spacing w:val="-2"/>
              </w:rPr>
            </w:pPr>
            <w:r w:rsidRPr="00C453A6">
              <w:rPr>
                <w:spacing w:val="-2"/>
              </w:rPr>
              <w:t xml:space="preserve">We think case studies should be used to example and highlight the progress, or otherwise, of the transformation of governments’ ways of work across the board. Questions remain such as how will selection bias be avoided in case study selection and narrative building? </w:t>
            </w:r>
            <w:r w:rsidRPr="00C453A6" w:rsidDel="006A32D0">
              <w:rPr>
                <w:spacing w:val="-2"/>
              </w:rPr>
              <w:t>(</w:t>
            </w:r>
            <w:r w:rsidRPr="00C453A6">
              <w:rPr>
                <w:spacing w:val="-2"/>
              </w:rPr>
              <w:t>sub. 14, p. 7)</w:t>
            </w:r>
          </w:p>
          <w:p w14:paraId="22A62CD1" w14:textId="77777777" w:rsidR="0053363E" w:rsidRDefault="0053363E" w:rsidP="0053363E">
            <w:pPr>
              <w:pStyle w:val="BodyText"/>
              <w:keepNext/>
              <w:rPr>
                <w:b/>
                <w:bCs/>
              </w:rPr>
            </w:pPr>
            <w:r>
              <w:rPr>
                <w:b/>
                <w:bCs/>
              </w:rPr>
              <w:t xml:space="preserve">Close the Gap Campaign </w:t>
            </w:r>
          </w:p>
          <w:p w14:paraId="5C1222BE" w14:textId="77777777" w:rsidR="0053363E" w:rsidRDefault="0053363E" w:rsidP="0053363E">
            <w:pPr>
              <w:pStyle w:val="Quote"/>
            </w:pPr>
            <w:r>
              <w:t xml:space="preserve">The Campaign appreciates that there are strengths and limitations to [a case study] approach. Key strengths are that case studies can provide a richness of context, detailed insights into causality, and for new areas of focus to emerge. However, while very useful for developing </w:t>
            </w:r>
            <w:r>
              <w:lastRenderedPageBreak/>
              <w:t>and/or showcasing practice, without clear evaluation criteria and supporting data on impacts, the case studies approach does not lend itself well to assessing performance.</w:t>
            </w:r>
          </w:p>
          <w:p w14:paraId="272644DC" w14:textId="3ECBC48A" w:rsidR="00387FC7" w:rsidRDefault="0053363E" w:rsidP="00170CB8">
            <w:pPr>
              <w:pStyle w:val="Quote"/>
            </w:pPr>
            <w:r>
              <w:t>In the context of assessing the Closing the Gap Priority Reforms, this poor fit is further pronounced. Under the current proposal, case studies would be used to approximate the general state of play on the transformation of governments’ ways of work across the board. Unless case studies are selected using a random sample technique and are assessed using consistent evaluation criteria, selection bias will play a major role in the ultimate narrative that is put forward. (sub. 17, p. 5)</w:t>
            </w:r>
          </w:p>
        </w:tc>
      </w:tr>
      <w:tr w:rsidR="00387FC7" w14:paraId="3C596A96" w14:textId="77777777" w:rsidTr="00795F70">
        <w:trPr>
          <w:hidden/>
        </w:trPr>
        <w:tc>
          <w:tcPr>
            <w:tcW w:w="9638" w:type="dxa"/>
            <w:gridSpan w:val="2"/>
            <w:shd w:val="clear" w:color="auto" w:fill="auto"/>
            <w:tcMar>
              <w:top w:w="0" w:type="dxa"/>
              <w:left w:w="170" w:type="dxa"/>
              <w:bottom w:w="0" w:type="dxa"/>
              <w:right w:w="170" w:type="dxa"/>
            </w:tcMar>
          </w:tcPr>
          <w:p w14:paraId="7FFD880D" w14:textId="673D5859" w:rsidR="00387FC7" w:rsidRPr="00465191" w:rsidRDefault="00387FC7" w:rsidP="00387FC7">
            <w:pPr>
              <w:pStyle w:val="BodyText"/>
              <w:spacing w:before="0" w:after="0" w:line="80" w:lineRule="atLeast"/>
              <w:rPr>
                <w:smallCaps/>
                <w:vanish/>
              </w:rPr>
            </w:pPr>
          </w:p>
        </w:tc>
      </w:tr>
    </w:tbl>
    <w:p w14:paraId="52796FC5" w14:textId="72236399" w:rsidR="00E17B66" w:rsidRPr="00C61E16" w:rsidRDefault="00D91FDE" w:rsidP="00E17B66">
      <w:pPr>
        <w:pStyle w:val="BodyText"/>
        <w:rPr>
          <w:b/>
          <w:bCs/>
        </w:rPr>
      </w:pPr>
      <w:r>
        <w:t xml:space="preserve">Case studies have been used to complement and enrich the Commission’s analysis while also ensuring the centring of Aboriginal and Torres Strait Islander people, perspectives and knowledges. </w:t>
      </w:r>
      <w:r w:rsidR="00E17B66">
        <w:rPr>
          <w:rFonts w:ascii="Arial" w:hAnsi="Arial" w:cs="Arial"/>
        </w:rPr>
        <w:t xml:space="preserve">The benefit of using case studies </w:t>
      </w:r>
      <w:r w:rsidR="0019074A">
        <w:rPr>
          <w:rFonts w:ascii="Arial" w:hAnsi="Arial" w:cs="Arial"/>
        </w:rPr>
        <w:t xml:space="preserve">in this way </w:t>
      </w:r>
      <w:r w:rsidR="00E17B66">
        <w:rPr>
          <w:rFonts w:ascii="Arial" w:hAnsi="Arial" w:cs="Arial"/>
        </w:rPr>
        <w:t>is that they allow for in</w:t>
      </w:r>
      <w:r w:rsidR="003D3194">
        <w:rPr>
          <w:rFonts w:ascii="Arial" w:hAnsi="Arial" w:cs="Arial"/>
        </w:rPr>
        <w:noBreakHyphen/>
      </w:r>
      <w:r w:rsidR="00E17B66">
        <w:rPr>
          <w:rFonts w:ascii="Arial" w:hAnsi="Arial" w:cs="Arial"/>
        </w:rPr>
        <w:t>depth exploration of issues in real</w:t>
      </w:r>
      <w:r w:rsidR="003D3194">
        <w:rPr>
          <w:rFonts w:ascii="Arial" w:hAnsi="Arial" w:cs="Arial"/>
        </w:rPr>
        <w:noBreakHyphen/>
      </w:r>
      <w:r w:rsidR="00E17B66">
        <w:rPr>
          <w:rFonts w:ascii="Arial" w:hAnsi="Arial" w:cs="Arial"/>
        </w:rPr>
        <w:t>life settings. They have helped the Commission to explore beyond just a compliance check of actions and progress against specific commitments in the Agreement or implementation plans, to understanding the experiences and perspectives of Aboriginal and Torres Strait Islander people with programs and policies more generally.</w:t>
      </w:r>
    </w:p>
    <w:p w14:paraId="743CE633" w14:textId="4399DEFC" w:rsidR="000F625D" w:rsidRDefault="000F625D" w:rsidP="000F625D">
      <w:pPr>
        <w:pStyle w:val="BodyText"/>
      </w:pPr>
      <w:r>
        <w:t>The</w:t>
      </w:r>
      <w:r w:rsidR="00EC5CE8">
        <w:t xml:space="preserve"> </w:t>
      </w:r>
      <w:r w:rsidR="004C3B52">
        <w:t>case studies</w:t>
      </w:r>
      <w:r w:rsidR="0038565F">
        <w:t xml:space="preserve"> the Commission has </w:t>
      </w:r>
      <w:r w:rsidR="00EB7385">
        <w:t xml:space="preserve">used </w:t>
      </w:r>
      <w:r w:rsidR="006B66DD">
        <w:t xml:space="preserve">reflect </w:t>
      </w:r>
      <w:r w:rsidR="009D54DD">
        <w:t>the</w:t>
      </w:r>
      <w:r w:rsidR="00EB7385" w:rsidRPr="00EB7385">
        <w:t xml:space="preserve"> limited </w:t>
      </w:r>
      <w:r w:rsidR="009D54DD">
        <w:t>information available on many topics</w:t>
      </w:r>
      <w:r w:rsidR="007A7C2F">
        <w:t>, who we were able to speak to</w:t>
      </w:r>
      <w:r w:rsidR="00AD2791">
        <w:t>,</w:t>
      </w:r>
      <w:r w:rsidR="00596E7B">
        <w:t xml:space="preserve"> our own desktop research</w:t>
      </w:r>
      <w:r w:rsidR="00AD2791">
        <w:t xml:space="preserve"> and </w:t>
      </w:r>
      <w:r w:rsidR="00F219CD">
        <w:t xml:space="preserve">what </w:t>
      </w:r>
      <w:r w:rsidR="00820A1D">
        <w:t xml:space="preserve">we </w:t>
      </w:r>
      <w:r w:rsidR="004A7E16">
        <w:t>received</w:t>
      </w:r>
      <w:r w:rsidR="00820A1D">
        <w:t xml:space="preserve"> permission to </w:t>
      </w:r>
      <w:r w:rsidR="004A7E16">
        <w:t>cite</w:t>
      </w:r>
      <w:r w:rsidR="006C20D4">
        <w:t xml:space="preserve">. Because </w:t>
      </w:r>
      <w:r w:rsidR="0019296C">
        <w:t xml:space="preserve">we </w:t>
      </w:r>
      <w:r w:rsidR="00402CE9">
        <w:t xml:space="preserve">could not </w:t>
      </w:r>
      <w:r w:rsidR="0019296C">
        <w:t>be as systematic as we would have liked</w:t>
      </w:r>
      <w:r w:rsidR="00B6307E">
        <w:t xml:space="preserve">, we have used case studies as examples and illustrations but they </w:t>
      </w:r>
      <w:r w:rsidR="0083241A">
        <w:t xml:space="preserve">do </w:t>
      </w:r>
      <w:r w:rsidR="00C002C6">
        <w:t xml:space="preserve">not form the core of our </w:t>
      </w:r>
      <w:r w:rsidR="00B07629">
        <w:t>assessment of progress</w:t>
      </w:r>
      <w:r w:rsidR="00570214">
        <w:t>.</w:t>
      </w:r>
    </w:p>
    <w:p w14:paraId="737D90D1" w14:textId="344984F3" w:rsidR="00F70601" w:rsidRPr="00C35D7D" w:rsidRDefault="00F70601" w:rsidP="00545885">
      <w:pPr>
        <w:pStyle w:val="Heading4"/>
      </w:pPr>
      <w:r w:rsidRPr="00C35D7D">
        <w:t xml:space="preserve">Assessing </w:t>
      </w:r>
      <w:r w:rsidR="00205BF0">
        <w:t>performance reporting and accountability</w:t>
      </w:r>
    </w:p>
    <w:p w14:paraId="332997B7" w14:textId="5946538C" w:rsidR="00F70601" w:rsidRDefault="009B63FE" w:rsidP="00F70601">
      <w:pPr>
        <w:pStyle w:val="BodyText"/>
        <w:rPr>
          <w:rFonts w:ascii="Arial" w:hAnsi="Arial" w:cs="Arial"/>
        </w:rPr>
      </w:pPr>
      <w:r>
        <w:rPr>
          <w:rFonts w:ascii="Arial" w:hAnsi="Arial" w:cs="Arial"/>
        </w:rPr>
        <w:t xml:space="preserve">The Commission has </w:t>
      </w:r>
      <w:r w:rsidR="00972EC4">
        <w:rPr>
          <w:rFonts w:ascii="Arial" w:hAnsi="Arial" w:cs="Arial"/>
        </w:rPr>
        <w:t xml:space="preserve">assessed </w:t>
      </w:r>
      <w:r w:rsidR="009B70DD" w:rsidRPr="009B70DD">
        <w:rPr>
          <w:rFonts w:ascii="Arial" w:hAnsi="Arial" w:cs="Arial"/>
        </w:rPr>
        <w:t xml:space="preserve">the Agreement’s approach to monitoring progress against the </w:t>
      </w:r>
      <w:r w:rsidR="00A5137C">
        <w:rPr>
          <w:rFonts w:ascii="Arial" w:hAnsi="Arial" w:cs="Arial"/>
        </w:rPr>
        <w:t>P</w:t>
      </w:r>
      <w:r w:rsidR="009B70DD" w:rsidRPr="009B70DD">
        <w:rPr>
          <w:rFonts w:ascii="Arial" w:hAnsi="Arial" w:cs="Arial"/>
        </w:rPr>
        <w:t xml:space="preserve">riority </w:t>
      </w:r>
      <w:r w:rsidR="00A5137C">
        <w:rPr>
          <w:rFonts w:ascii="Arial" w:hAnsi="Arial" w:cs="Arial"/>
        </w:rPr>
        <w:t>R</w:t>
      </w:r>
      <w:r w:rsidR="009B70DD" w:rsidRPr="009B70DD">
        <w:rPr>
          <w:rFonts w:ascii="Arial" w:hAnsi="Arial" w:cs="Arial"/>
        </w:rPr>
        <w:t>eforms and socio</w:t>
      </w:r>
      <w:r w:rsidR="003D3194">
        <w:rPr>
          <w:rFonts w:ascii="Arial" w:hAnsi="Arial" w:cs="Arial"/>
        </w:rPr>
        <w:noBreakHyphen/>
      </w:r>
      <w:r w:rsidR="009B70DD" w:rsidRPr="009B70DD">
        <w:rPr>
          <w:rFonts w:ascii="Arial" w:hAnsi="Arial" w:cs="Arial"/>
        </w:rPr>
        <w:t>economic outcomes</w:t>
      </w:r>
      <w:r w:rsidR="002B337C">
        <w:rPr>
          <w:rFonts w:ascii="Arial" w:hAnsi="Arial" w:cs="Arial"/>
        </w:rPr>
        <w:t>.</w:t>
      </w:r>
      <w:r>
        <w:rPr>
          <w:rFonts w:ascii="Arial" w:hAnsi="Arial" w:cs="Arial"/>
        </w:rPr>
        <w:t xml:space="preserve"> </w:t>
      </w:r>
      <w:r w:rsidR="00F70601">
        <w:rPr>
          <w:rFonts w:ascii="Arial" w:hAnsi="Arial" w:cs="Arial"/>
        </w:rPr>
        <w:t xml:space="preserve">The Commission regularly publishes data on how the </w:t>
      </w:r>
      <w:r w:rsidR="00927114">
        <w:rPr>
          <w:rFonts w:ascii="Arial" w:hAnsi="Arial" w:cs="Arial"/>
        </w:rPr>
        <w:t>socio</w:t>
      </w:r>
      <w:r w:rsidR="004820F9">
        <w:rPr>
          <w:rFonts w:ascii="Arial" w:hAnsi="Arial" w:cs="Arial"/>
        </w:rPr>
        <w:noBreakHyphen/>
      </w:r>
      <w:r w:rsidR="00927114">
        <w:rPr>
          <w:rFonts w:ascii="Arial" w:hAnsi="Arial" w:cs="Arial"/>
        </w:rPr>
        <w:t>economic</w:t>
      </w:r>
      <w:r w:rsidR="00F70601">
        <w:rPr>
          <w:rFonts w:ascii="Arial" w:hAnsi="Arial" w:cs="Arial"/>
        </w:rPr>
        <w:t xml:space="preserve"> outcomes are tracking against the targets in the Agreement. </w:t>
      </w:r>
      <w:r w:rsidR="003F6783">
        <w:rPr>
          <w:rFonts w:ascii="Arial" w:hAnsi="Arial" w:cs="Arial"/>
        </w:rPr>
        <w:t xml:space="preserve">The most recent </w:t>
      </w:r>
      <w:r w:rsidR="005E3357">
        <w:rPr>
          <w:rFonts w:ascii="Arial" w:hAnsi="Arial" w:cs="Arial"/>
        </w:rPr>
        <w:t xml:space="preserve">data </w:t>
      </w:r>
      <w:r w:rsidR="00553442">
        <w:rPr>
          <w:rFonts w:ascii="Arial" w:hAnsi="Arial" w:cs="Arial"/>
        </w:rPr>
        <w:t>was</w:t>
      </w:r>
      <w:r w:rsidR="005E3357">
        <w:rPr>
          <w:rFonts w:ascii="Arial" w:hAnsi="Arial" w:cs="Arial"/>
        </w:rPr>
        <w:t xml:space="preserve"> published in </w:t>
      </w:r>
      <w:r w:rsidR="004413D9">
        <w:rPr>
          <w:rFonts w:ascii="Arial" w:hAnsi="Arial" w:cs="Arial"/>
        </w:rPr>
        <w:t xml:space="preserve">the Closing the Gap </w:t>
      </w:r>
      <w:r w:rsidR="0093592B">
        <w:rPr>
          <w:rFonts w:ascii="Arial" w:hAnsi="Arial" w:cs="Arial"/>
        </w:rPr>
        <w:t>a</w:t>
      </w:r>
      <w:r w:rsidR="004413D9">
        <w:rPr>
          <w:rFonts w:ascii="Arial" w:hAnsi="Arial" w:cs="Arial"/>
        </w:rPr>
        <w:t xml:space="preserve">nnual </w:t>
      </w:r>
      <w:r w:rsidR="0093592B">
        <w:rPr>
          <w:rFonts w:ascii="Arial" w:hAnsi="Arial" w:cs="Arial"/>
        </w:rPr>
        <w:t>d</w:t>
      </w:r>
      <w:r w:rsidR="004413D9">
        <w:rPr>
          <w:rFonts w:ascii="Arial" w:hAnsi="Arial" w:cs="Arial"/>
        </w:rPr>
        <w:t xml:space="preserve">ata </w:t>
      </w:r>
      <w:r w:rsidR="0093592B">
        <w:rPr>
          <w:rFonts w:ascii="Arial" w:hAnsi="Arial" w:cs="Arial"/>
        </w:rPr>
        <w:t>c</w:t>
      </w:r>
      <w:r w:rsidR="004413D9">
        <w:rPr>
          <w:rFonts w:ascii="Arial" w:hAnsi="Arial" w:cs="Arial"/>
        </w:rPr>
        <w:t xml:space="preserve">ompilation </w:t>
      </w:r>
      <w:r w:rsidR="0093592B">
        <w:rPr>
          <w:rFonts w:ascii="Arial" w:hAnsi="Arial" w:cs="Arial"/>
        </w:rPr>
        <w:t>r</w:t>
      </w:r>
      <w:r w:rsidR="004413D9">
        <w:rPr>
          <w:rFonts w:ascii="Arial" w:hAnsi="Arial" w:cs="Arial"/>
        </w:rPr>
        <w:t>eport</w:t>
      </w:r>
      <w:r w:rsidR="00DF25A8">
        <w:rPr>
          <w:rFonts w:ascii="Arial" w:hAnsi="Arial" w:cs="Arial"/>
        </w:rPr>
        <w:t xml:space="preserve"> in </w:t>
      </w:r>
      <w:r w:rsidR="005E3357">
        <w:rPr>
          <w:rFonts w:ascii="Arial" w:hAnsi="Arial" w:cs="Arial"/>
        </w:rPr>
        <w:t>July</w:t>
      </w:r>
      <w:r w:rsidR="00DF25A8">
        <w:rPr>
          <w:rFonts w:ascii="Arial" w:hAnsi="Arial" w:cs="Arial"/>
        </w:rPr>
        <w:t xml:space="preserve"> 2023 </w:t>
      </w:r>
      <w:r w:rsidR="00DF25A8" w:rsidRPr="00DF25A8">
        <w:rPr>
          <w:rFonts w:ascii="Arial" w:hAnsi="Arial" w:cs="Arial"/>
          <w:szCs w:val="24"/>
        </w:rPr>
        <w:t>(PC 2023a)</w:t>
      </w:r>
      <w:r w:rsidR="00DF25A8">
        <w:rPr>
          <w:rFonts w:ascii="Arial" w:hAnsi="Arial" w:cs="Arial"/>
        </w:rPr>
        <w:t xml:space="preserve">. </w:t>
      </w:r>
      <w:r w:rsidR="00F70601">
        <w:rPr>
          <w:rFonts w:ascii="Arial" w:hAnsi="Arial" w:cs="Arial"/>
        </w:rPr>
        <w:t xml:space="preserve">This is a requirement of the Agreement and is an important accountability mechanism. The review </w:t>
      </w:r>
      <w:r w:rsidR="000A19D4">
        <w:rPr>
          <w:rFonts w:ascii="Arial" w:hAnsi="Arial" w:cs="Arial"/>
        </w:rPr>
        <w:t>has not</w:t>
      </w:r>
      <w:r w:rsidR="00F70601">
        <w:rPr>
          <w:rFonts w:ascii="Arial" w:hAnsi="Arial" w:cs="Arial"/>
        </w:rPr>
        <w:t xml:space="preserve"> replicate</w:t>
      </w:r>
      <w:r w:rsidR="000A19D4">
        <w:rPr>
          <w:rFonts w:ascii="Arial" w:hAnsi="Arial" w:cs="Arial"/>
        </w:rPr>
        <w:t>d</w:t>
      </w:r>
      <w:r w:rsidR="00F70601">
        <w:rPr>
          <w:rFonts w:ascii="Arial" w:hAnsi="Arial" w:cs="Arial"/>
        </w:rPr>
        <w:t xml:space="preserve"> that work </w:t>
      </w:r>
      <w:r w:rsidR="000A19D4">
        <w:rPr>
          <w:rFonts w:ascii="Arial" w:hAnsi="Arial" w:cs="Arial"/>
        </w:rPr>
        <w:t xml:space="preserve">but has </w:t>
      </w:r>
      <w:r w:rsidR="00F70601">
        <w:rPr>
          <w:rFonts w:ascii="Arial" w:hAnsi="Arial" w:cs="Arial"/>
        </w:rPr>
        <w:t>instead go</w:t>
      </w:r>
      <w:r w:rsidR="000A19D4">
        <w:rPr>
          <w:rFonts w:ascii="Arial" w:hAnsi="Arial" w:cs="Arial"/>
        </w:rPr>
        <w:t>ne</w:t>
      </w:r>
      <w:r w:rsidR="00F70601">
        <w:rPr>
          <w:rFonts w:ascii="Arial" w:hAnsi="Arial" w:cs="Arial"/>
        </w:rPr>
        <w:t xml:space="preserve"> beyond the data and explore</w:t>
      </w:r>
      <w:r w:rsidR="000A19D4">
        <w:rPr>
          <w:rFonts w:ascii="Arial" w:hAnsi="Arial" w:cs="Arial"/>
        </w:rPr>
        <w:t>d</w:t>
      </w:r>
      <w:r w:rsidR="00F70601">
        <w:rPr>
          <w:rFonts w:ascii="Arial" w:hAnsi="Arial" w:cs="Arial"/>
        </w:rPr>
        <w:t xml:space="preserve"> the factors affecting progress, especially how government</w:t>
      </w:r>
      <w:r w:rsidR="009D03DC">
        <w:rPr>
          <w:rFonts w:ascii="Arial" w:hAnsi="Arial" w:cs="Arial"/>
        </w:rPr>
        <w:t xml:space="preserve"> policies and actions a</w:t>
      </w:r>
      <w:r w:rsidR="00F70601">
        <w:rPr>
          <w:rFonts w:ascii="Arial" w:hAnsi="Arial" w:cs="Arial"/>
        </w:rPr>
        <w:t xml:space="preserve">re influencing </w:t>
      </w:r>
      <w:r w:rsidR="00927114">
        <w:rPr>
          <w:rFonts w:ascii="Arial" w:hAnsi="Arial" w:cs="Arial"/>
        </w:rPr>
        <w:t>socio</w:t>
      </w:r>
      <w:r w:rsidR="003D3194">
        <w:rPr>
          <w:rFonts w:ascii="Arial" w:hAnsi="Arial" w:cs="Arial"/>
        </w:rPr>
        <w:noBreakHyphen/>
      </w:r>
      <w:r w:rsidR="00927114">
        <w:rPr>
          <w:rFonts w:ascii="Arial" w:hAnsi="Arial" w:cs="Arial"/>
        </w:rPr>
        <w:t>economic</w:t>
      </w:r>
      <w:r w:rsidR="00F70601">
        <w:rPr>
          <w:rFonts w:ascii="Arial" w:hAnsi="Arial" w:cs="Arial"/>
        </w:rPr>
        <w:t xml:space="preserve"> outcomes.</w:t>
      </w:r>
    </w:p>
    <w:p w14:paraId="00F2A51B" w14:textId="0EA0C624" w:rsidR="00F20801" w:rsidRDefault="00176A49" w:rsidP="00F70601">
      <w:pPr>
        <w:pStyle w:val="BodyText"/>
        <w:rPr>
          <w:rFonts w:ascii="Arial" w:hAnsi="Arial" w:cs="Arial"/>
        </w:rPr>
      </w:pPr>
      <w:r>
        <w:rPr>
          <w:rFonts w:ascii="Arial" w:hAnsi="Arial" w:cs="Arial"/>
        </w:rPr>
        <w:t>The Commission has considered the mechanisms for accountability within the Agreement</w:t>
      </w:r>
      <w:r w:rsidR="0013593E">
        <w:rPr>
          <w:rFonts w:ascii="Arial" w:hAnsi="Arial" w:cs="Arial"/>
        </w:rPr>
        <w:t xml:space="preserve"> including</w:t>
      </w:r>
      <w:r w:rsidR="00847B6C">
        <w:rPr>
          <w:rFonts w:ascii="Arial" w:hAnsi="Arial" w:cs="Arial"/>
        </w:rPr>
        <w:t xml:space="preserve"> the </w:t>
      </w:r>
      <w:r w:rsidR="007B7C10">
        <w:rPr>
          <w:rFonts w:ascii="Arial" w:hAnsi="Arial" w:cs="Arial"/>
        </w:rPr>
        <w:t xml:space="preserve">usefulness of some indicators </w:t>
      </w:r>
      <w:r w:rsidR="00847B6C">
        <w:rPr>
          <w:rFonts w:ascii="Arial" w:hAnsi="Arial" w:cs="Arial"/>
        </w:rPr>
        <w:t xml:space="preserve">for the </w:t>
      </w:r>
      <w:r w:rsidR="00F21EBB">
        <w:rPr>
          <w:rFonts w:ascii="Arial" w:hAnsi="Arial" w:cs="Arial"/>
        </w:rPr>
        <w:t>P</w:t>
      </w:r>
      <w:r w:rsidR="00847B6C">
        <w:rPr>
          <w:rFonts w:ascii="Arial" w:hAnsi="Arial" w:cs="Arial"/>
        </w:rPr>
        <w:t xml:space="preserve">riority </w:t>
      </w:r>
      <w:r w:rsidR="00F21EBB">
        <w:rPr>
          <w:rFonts w:ascii="Arial" w:hAnsi="Arial" w:cs="Arial"/>
        </w:rPr>
        <w:t>R</w:t>
      </w:r>
      <w:r w:rsidR="00847B6C">
        <w:rPr>
          <w:rFonts w:ascii="Arial" w:hAnsi="Arial" w:cs="Arial"/>
        </w:rPr>
        <w:t>eforms</w:t>
      </w:r>
      <w:r w:rsidR="00F33B90">
        <w:rPr>
          <w:rFonts w:ascii="Arial" w:hAnsi="Arial" w:cs="Arial"/>
        </w:rPr>
        <w:t xml:space="preserve"> and socio</w:t>
      </w:r>
      <w:r w:rsidR="003D3194">
        <w:rPr>
          <w:rFonts w:ascii="Arial" w:hAnsi="Arial" w:cs="Arial"/>
        </w:rPr>
        <w:noBreakHyphen/>
      </w:r>
      <w:r w:rsidR="00F33B90">
        <w:rPr>
          <w:rFonts w:ascii="Arial" w:hAnsi="Arial" w:cs="Arial"/>
        </w:rPr>
        <w:t xml:space="preserve">economic outcomes, </w:t>
      </w:r>
      <w:r w:rsidR="009F4E1B">
        <w:rPr>
          <w:rFonts w:ascii="Arial" w:hAnsi="Arial" w:cs="Arial"/>
        </w:rPr>
        <w:t xml:space="preserve">and </w:t>
      </w:r>
      <w:r w:rsidR="00F33B90">
        <w:rPr>
          <w:rFonts w:ascii="Arial" w:hAnsi="Arial" w:cs="Arial"/>
        </w:rPr>
        <w:t>the availa</w:t>
      </w:r>
      <w:r w:rsidR="00CC129A">
        <w:rPr>
          <w:rFonts w:ascii="Arial" w:hAnsi="Arial" w:cs="Arial"/>
        </w:rPr>
        <w:t xml:space="preserve">bility and </w:t>
      </w:r>
      <w:r w:rsidR="009F4E1B">
        <w:rPr>
          <w:rFonts w:ascii="Arial" w:hAnsi="Arial" w:cs="Arial"/>
        </w:rPr>
        <w:t>collection of data.</w:t>
      </w:r>
      <w:r w:rsidR="00640005">
        <w:rPr>
          <w:rFonts w:ascii="Arial" w:hAnsi="Arial" w:cs="Arial"/>
        </w:rPr>
        <w:t xml:space="preserve"> </w:t>
      </w:r>
      <w:r w:rsidR="00423544">
        <w:rPr>
          <w:rFonts w:ascii="Arial" w:hAnsi="Arial" w:cs="Arial"/>
        </w:rPr>
        <w:t>W</w:t>
      </w:r>
      <w:r w:rsidR="00640005">
        <w:rPr>
          <w:rFonts w:ascii="Arial" w:hAnsi="Arial" w:cs="Arial"/>
        </w:rPr>
        <w:t xml:space="preserve">e have </w:t>
      </w:r>
      <w:r w:rsidR="00423544">
        <w:rPr>
          <w:rFonts w:ascii="Arial" w:hAnsi="Arial" w:cs="Arial"/>
        </w:rPr>
        <w:t xml:space="preserve">also </w:t>
      </w:r>
      <w:r w:rsidR="00736F9D">
        <w:rPr>
          <w:rFonts w:ascii="Arial" w:hAnsi="Arial" w:cs="Arial"/>
        </w:rPr>
        <w:t>identified limitations</w:t>
      </w:r>
      <w:r w:rsidR="00190D3D">
        <w:rPr>
          <w:rFonts w:ascii="Arial" w:hAnsi="Arial" w:cs="Arial"/>
        </w:rPr>
        <w:t xml:space="preserve"> in the</w:t>
      </w:r>
      <w:r w:rsidR="00D72AE2">
        <w:rPr>
          <w:rFonts w:ascii="Arial" w:hAnsi="Arial" w:cs="Arial"/>
        </w:rPr>
        <w:t xml:space="preserve"> implementation plans and annual reports produced under the Agreement and </w:t>
      </w:r>
      <w:r w:rsidR="00144A14">
        <w:rPr>
          <w:rFonts w:ascii="Arial" w:hAnsi="Arial" w:cs="Arial"/>
        </w:rPr>
        <w:t xml:space="preserve">suggested how they </w:t>
      </w:r>
      <w:r w:rsidR="00731615">
        <w:rPr>
          <w:rFonts w:ascii="Arial" w:hAnsi="Arial" w:cs="Arial"/>
        </w:rPr>
        <w:t>could be improved.</w:t>
      </w:r>
    </w:p>
    <w:p w14:paraId="78D8026C" w14:textId="0455FFB4" w:rsidR="00F70601" w:rsidRDefault="004B0337" w:rsidP="00BB1864">
      <w:pPr>
        <w:pStyle w:val="BodyText"/>
      </w:pPr>
      <w:r>
        <w:t>More broadly, the Commiss</w:t>
      </w:r>
      <w:r w:rsidR="001D3C8E">
        <w:t>ion has observed that d</w:t>
      </w:r>
      <w:r>
        <w:t xml:space="preserve">espite the range of accountability mechanisms in the Agreement, they </w:t>
      </w:r>
      <w:r w:rsidRPr="003F6C84">
        <w:t>are not sufficient to influence the type of change envisaged.</w:t>
      </w:r>
      <w:r w:rsidR="00A01729">
        <w:t xml:space="preserve"> The Commission </w:t>
      </w:r>
      <w:r w:rsidR="009C39FE">
        <w:t xml:space="preserve">is </w:t>
      </w:r>
      <w:r w:rsidR="009C0413">
        <w:t>proposing</w:t>
      </w:r>
      <w:r w:rsidR="00634CE2">
        <w:t>, and is seeking feedback on,</w:t>
      </w:r>
      <w:r w:rsidR="002E55E6">
        <w:t xml:space="preserve"> additional ways of embedding responsibilit</w:t>
      </w:r>
      <w:r w:rsidR="007A6BCE">
        <w:t>y</w:t>
      </w:r>
      <w:r w:rsidR="00571AFB">
        <w:t xml:space="preserve"> for driving action.</w:t>
      </w:r>
    </w:p>
    <w:p w14:paraId="2D83DD4A" w14:textId="46E566D7" w:rsidR="00F53B48" w:rsidRPr="00E7005C" w:rsidRDefault="00F53B48" w:rsidP="00E7005C">
      <w:pPr>
        <w:pStyle w:val="Heading3"/>
      </w:pPr>
      <w:r w:rsidRPr="00E7005C">
        <w:t>A guide to th</w:t>
      </w:r>
      <w:r w:rsidR="00CA7EE5" w:rsidRPr="00E7005C">
        <w:t>e</w:t>
      </w:r>
      <w:r w:rsidRPr="00E7005C">
        <w:t xml:space="preserve"> draft report and accompanying information papers</w:t>
      </w:r>
    </w:p>
    <w:p w14:paraId="0F31F84F" w14:textId="2778F56D" w:rsidR="00C33114" w:rsidRDefault="00F53B48" w:rsidP="00F53B48">
      <w:pPr>
        <w:pStyle w:val="BodyText"/>
      </w:pPr>
      <w:r>
        <w:t xml:space="preserve">This </w:t>
      </w:r>
      <w:r w:rsidR="00CA7EE5">
        <w:t xml:space="preserve">information paper is one of </w:t>
      </w:r>
      <w:r w:rsidR="008538A7">
        <w:t xml:space="preserve">seven </w:t>
      </w:r>
      <w:r w:rsidR="009F338B">
        <w:t>supporting</w:t>
      </w:r>
      <w:r w:rsidR="008538A7">
        <w:t xml:space="preserve"> the </w:t>
      </w:r>
      <w:r>
        <w:t xml:space="preserve">draft report (which includes an assessment of progress against the key commitments in the Agreement </w:t>
      </w:r>
      <w:r w:rsidR="00C33114">
        <w:t xml:space="preserve">on the </w:t>
      </w:r>
      <w:r>
        <w:t>attachment</w:t>
      </w:r>
      <w:r w:rsidR="00C33114">
        <w:t xml:space="preserve"> to the draft report</w:t>
      </w:r>
      <w:r>
        <w:t xml:space="preserve">). </w:t>
      </w:r>
    </w:p>
    <w:p w14:paraId="36CD1C5A" w14:textId="4A58CF53" w:rsidR="00F53B48" w:rsidRDefault="00F53B48" w:rsidP="004B50C0">
      <w:pPr>
        <w:pStyle w:val="BodyText"/>
        <w:keepNext/>
      </w:pPr>
      <w:r>
        <w:lastRenderedPageBreak/>
        <w:t xml:space="preserve">The </w:t>
      </w:r>
      <w:r w:rsidR="009F338B">
        <w:t xml:space="preserve">information </w:t>
      </w:r>
      <w:r>
        <w:t>papers provide further detail</w:t>
      </w:r>
      <w:r w:rsidDel="004B2051">
        <w:t xml:space="preserve"> </w:t>
      </w:r>
      <w:r>
        <w:t>on each of the main topics covered in th</w:t>
      </w:r>
      <w:r w:rsidR="009F338B">
        <w:t>e</w:t>
      </w:r>
      <w:r>
        <w:t xml:space="preserve"> report. The information papers cover</w:t>
      </w:r>
      <w:r w:rsidR="0016740B">
        <w:t>:</w:t>
      </w:r>
    </w:p>
    <w:p w14:paraId="75C57292" w14:textId="6D8F6FFF" w:rsidR="00F53B48" w:rsidRDefault="00F53B48" w:rsidP="009014A3">
      <w:pPr>
        <w:pStyle w:val="ListBullet"/>
      </w:pPr>
      <w:r>
        <w:t>the context and origins of the Agreement and the approach the Commission has taken to conduct the review, including who we engaged with (</w:t>
      </w:r>
      <w:r w:rsidR="00116791">
        <w:t>this paper</w:t>
      </w:r>
      <w:r w:rsidR="003632C1">
        <w:t xml:space="preserve"> – </w:t>
      </w:r>
      <w:r>
        <w:t>information paper 1)</w:t>
      </w:r>
    </w:p>
    <w:p w14:paraId="32C94EFD" w14:textId="03E5A158" w:rsidR="00F53B48" w:rsidRDefault="00F53B48" w:rsidP="009014A3">
      <w:pPr>
        <w:pStyle w:val="ListBullet"/>
      </w:pPr>
      <w:r>
        <w:t>an assessment of progress against each of the four Priority Reforms in the Agreement (information papers 2</w:t>
      </w:r>
      <w:r w:rsidR="007B6EFC">
        <w:t>–</w:t>
      </w:r>
      <w:r>
        <w:t>5)</w:t>
      </w:r>
    </w:p>
    <w:p w14:paraId="6FE814CD" w14:textId="3EBAEFB8" w:rsidR="00F53B48" w:rsidRDefault="00F53B48" w:rsidP="009014A3">
      <w:pPr>
        <w:pStyle w:val="ListBullet"/>
      </w:pPr>
      <w:r>
        <w:t xml:space="preserve">an assessment of the Agreement’s performance </w:t>
      </w:r>
      <w:r w:rsidR="001E3BFA">
        <w:t>monitoring</w:t>
      </w:r>
      <w:r>
        <w:t xml:space="preserve"> approach (information paper 6) </w:t>
      </w:r>
    </w:p>
    <w:p w14:paraId="3572F4F5" w14:textId="77777777" w:rsidR="00F53B48" w:rsidRDefault="00F53B48" w:rsidP="009014A3">
      <w:pPr>
        <w:pStyle w:val="ListBullet"/>
      </w:pPr>
      <w:r>
        <w:t xml:space="preserve">the Commission’s suggestions for embedding and strengthening accountability for implementing the Agreement (information paper 7). </w:t>
      </w:r>
    </w:p>
    <w:p w14:paraId="42F5D783" w14:textId="4EA1FC4D" w:rsidR="00186589" w:rsidRDefault="00F53B48" w:rsidP="00F53B48">
      <w:pPr>
        <w:pStyle w:val="BodyText"/>
      </w:pPr>
      <w:r>
        <w:t>These papers are complementary to th</w:t>
      </w:r>
      <w:r w:rsidR="0051756C">
        <w:t>e</w:t>
      </w:r>
      <w:r>
        <w:t xml:space="preserve"> draft report. </w:t>
      </w:r>
      <w:r w:rsidR="00D65EDA">
        <w:t>They explore in more detail the key aspects examined by the report. The Commission has structured its approach in this way so that readers have the option of reading an overall summary, and diving into detail on particular topics of interest or relevance to them.</w:t>
      </w:r>
      <w:r w:rsidR="006F701D">
        <w:t xml:space="preserve"> </w:t>
      </w:r>
    </w:p>
    <w:p w14:paraId="71C214B8" w14:textId="63116AF5" w:rsidR="00F53B48" w:rsidRDefault="002878A2" w:rsidP="00F53B48">
      <w:pPr>
        <w:pStyle w:val="BodyText"/>
      </w:pPr>
      <w:r>
        <w:t xml:space="preserve">Factsheets are available </w:t>
      </w:r>
      <w:r w:rsidR="00874FD7">
        <w:t xml:space="preserve">on the website </w:t>
      </w:r>
      <w:r>
        <w:t>setting out the key points</w:t>
      </w:r>
      <w:r w:rsidR="00B415CF">
        <w:t xml:space="preserve"> for the main topics</w:t>
      </w:r>
      <w:r w:rsidR="00874FD7">
        <w:t xml:space="preserve"> covered in the report and </w:t>
      </w:r>
      <w:r w:rsidR="003B5095">
        <w:t xml:space="preserve">the </w:t>
      </w:r>
      <w:r w:rsidR="00874FD7">
        <w:t>information papers.</w:t>
      </w:r>
    </w:p>
    <w:p w14:paraId="7A97413D" w14:textId="65F5F67E" w:rsidR="002C4A18" w:rsidRDefault="0076514A" w:rsidP="001059DA">
      <w:pPr>
        <w:pStyle w:val="Heading2-nonumber"/>
      </w:pPr>
      <w:bookmarkStart w:id="11" w:name="_Toc140505516"/>
      <w:r>
        <w:t>6</w:t>
      </w:r>
      <w:r>
        <w:tab/>
      </w:r>
      <w:r w:rsidR="00432965">
        <w:t>Moving from the draft to the final report</w:t>
      </w:r>
      <w:bookmarkEnd w:id="11"/>
    </w:p>
    <w:p w14:paraId="709B62F6" w14:textId="42CE6543" w:rsidR="005C09EF" w:rsidRDefault="004A752D" w:rsidP="001059DA">
      <w:pPr>
        <w:pStyle w:val="BodyText"/>
        <w:keepNext/>
      </w:pPr>
      <w:r>
        <w:t>The Commission is s</w:t>
      </w:r>
      <w:r w:rsidR="00327DBB">
        <w:t>eeking feedback</w:t>
      </w:r>
      <w:r w:rsidR="00276E29">
        <w:t xml:space="preserve"> </w:t>
      </w:r>
      <w:r w:rsidR="000245D6">
        <w:t>on the draft report</w:t>
      </w:r>
      <w:r w:rsidR="00467FC4">
        <w:t xml:space="preserve"> </w:t>
      </w:r>
      <w:r w:rsidR="006B42DE">
        <w:t xml:space="preserve">and information papers </w:t>
      </w:r>
      <w:r w:rsidR="00467FC4">
        <w:t>including</w:t>
      </w:r>
      <w:r w:rsidR="00510B50">
        <w:t xml:space="preserve"> through</w:t>
      </w:r>
      <w:r w:rsidR="00467FC4">
        <w:t>:</w:t>
      </w:r>
    </w:p>
    <w:p w14:paraId="2C51B1C3" w14:textId="1D6F6B21" w:rsidR="00467FC4" w:rsidRPr="00C00326" w:rsidRDefault="00510B50" w:rsidP="001059DA">
      <w:pPr>
        <w:pStyle w:val="ListBullet"/>
        <w:keepNext/>
      </w:pPr>
      <w:r w:rsidRPr="00C00326">
        <w:t>written and oral submissions</w:t>
      </w:r>
    </w:p>
    <w:p w14:paraId="34A258F7" w14:textId="059A8581" w:rsidR="00510B50" w:rsidRPr="00C00326" w:rsidRDefault="00A15B8E" w:rsidP="001059DA">
      <w:pPr>
        <w:pStyle w:val="ListBullet"/>
        <w:keepNext/>
      </w:pPr>
      <w:r w:rsidRPr="00C00326">
        <w:t>brief comments</w:t>
      </w:r>
    </w:p>
    <w:p w14:paraId="793A555B" w14:textId="307B304C" w:rsidR="00A15B8E" w:rsidRPr="00C00326" w:rsidRDefault="00A15B8E" w:rsidP="001059DA">
      <w:pPr>
        <w:pStyle w:val="ListBullet"/>
        <w:keepNext/>
      </w:pPr>
      <w:r w:rsidRPr="00C00326">
        <w:t>a range of further engagement meetings and webinars.</w:t>
      </w:r>
    </w:p>
    <w:p w14:paraId="6794D634" w14:textId="1CED712D" w:rsidR="00A64DB8" w:rsidRDefault="00187671" w:rsidP="00536740">
      <w:pPr>
        <w:pStyle w:val="BodyText"/>
      </w:pPr>
      <w:r>
        <w:t xml:space="preserve">The Commission will provide a </w:t>
      </w:r>
      <w:r w:rsidR="007724E6">
        <w:t xml:space="preserve">final report </w:t>
      </w:r>
      <w:r>
        <w:t xml:space="preserve">to </w:t>
      </w:r>
      <w:r w:rsidR="00EE6D75" w:rsidRPr="00EE6D75">
        <w:t>the Joint Council on Closing the Gap by the end of 2023. The final report will be published</w:t>
      </w:r>
      <w:r w:rsidR="00E336AA">
        <w:t xml:space="preserve"> by the Commission</w:t>
      </w:r>
      <w:r w:rsidR="00EE6D75" w:rsidRPr="00EE6D75">
        <w:t>.</w:t>
      </w:r>
    </w:p>
    <w:p w14:paraId="6BA9DCD7" w14:textId="77777777" w:rsidR="007A52A3" w:rsidRDefault="007A52A3" w:rsidP="007A52A3">
      <w:pPr>
        <w:pStyle w:val="BodyText"/>
      </w:pPr>
      <w:r>
        <w:t>The Commission is flexible in how you can engage with us. You can:</w:t>
      </w:r>
    </w:p>
    <w:p w14:paraId="6E8A12FF" w14:textId="0A661379" w:rsidR="007A52A3" w:rsidRPr="00C00326" w:rsidRDefault="007A52A3" w:rsidP="00C00326">
      <w:pPr>
        <w:pStyle w:val="ListBullet"/>
      </w:pPr>
      <w:r w:rsidRPr="00C00326">
        <w:t>make a submission (which can include text, images and audio</w:t>
      </w:r>
      <w:r w:rsidR="003D3194">
        <w:noBreakHyphen/>
      </w:r>
      <w:r w:rsidRPr="00C00326">
        <w:t>visual files)</w:t>
      </w:r>
    </w:p>
    <w:p w14:paraId="4207BA3F" w14:textId="26B7AC7F" w:rsidR="007A52A3" w:rsidRPr="00C00326" w:rsidRDefault="007A52A3" w:rsidP="00C00326">
      <w:pPr>
        <w:pStyle w:val="ListBullet"/>
      </w:pPr>
      <w:r w:rsidRPr="00C00326">
        <w:t>send us a brief comment</w:t>
      </w:r>
    </w:p>
    <w:p w14:paraId="3D80D53C" w14:textId="6F61573B" w:rsidR="007A52A3" w:rsidRPr="00C00326" w:rsidRDefault="007A52A3" w:rsidP="00C00326">
      <w:pPr>
        <w:pStyle w:val="ListBullet"/>
      </w:pPr>
      <w:r w:rsidRPr="00C00326">
        <w:t>meet with us virtually (which could become an oral submission if that is your preference)</w:t>
      </w:r>
    </w:p>
    <w:p w14:paraId="12812A2E" w14:textId="045C5D23" w:rsidR="007A52A3" w:rsidRPr="00C00326" w:rsidRDefault="007A52A3" w:rsidP="00C00326">
      <w:pPr>
        <w:pStyle w:val="ListBullet"/>
      </w:pPr>
      <w:r w:rsidRPr="00C00326">
        <w:t>meet with us in person.</w:t>
      </w:r>
    </w:p>
    <w:p w14:paraId="003BCFDA" w14:textId="398AE24A" w:rsidR="007A52A3" w:rsidRDefault="007A52A3" w:rsidP="007A52A3">
      <w:pPr>
        <w:pStyle w:val="BodyText"/>
      </w:pPr>
      <w:r>
        <w:t>To make a submission or brief comment visit www.pc.gov.au/inquiries/current/closing</w:t>
      </w:r>
      <w:r w:rsidR="003D3194">
        <w:noBreakHyphen/>
      </w:r>
      <w:r>
        <w:t>the</w:t>
      </w:r>
      <w:r w:rsidR="003D3194">
        <w:noBreakHyphen/>
      </w:r>
      <w:r>
        <w:t>gap</w:t>
      </w:r>
      <w:r w:rsidR="003D3194">
        <w:noBreakHyphen/>
      </w:r>
      <w:r>
        <w:t>review.</w:t>
      </w:r>
    </w:p>
    <w:p w14:paraId="11A186F6" w14:textId="7B1B0693" w:rsidR="007A52A3" w:rsidRDefault="007A52A3" w:rsidP="007A52A3">
      <w:pPr>
        <w:pStyle w:val="BodyText"/>
      </w:pPr>
      <w:r>
        <w:t>If you want to speak with us, including to arrange a meeting or make an oral submission, you can call us on 02</w:t>
      </w:r>
      <w:r w:rsidR="003D3194">
        <w:t> </w:t>
      </w:r>
      <w:r>
        <w:t>6240</w:t>
      </w:r>
      <w:r w:rsidR="003D3194">
        <w:t> </w:t>
      </w:r>
      <w:r>
        <w:t>3252. You can also email us at CTG.Review@pc.gov.au.</w:t>
      </w:r>
    </w:p>
    <w:p w14:paraId="683AD0EC" w14:textId="561CAD18" w:rsidR="007A52A3" w:rsidRPr="00B949C0" w:rsidRDefault="007A52A3" w:rsidP="00B949C0">
      <w:pPr>
        <w:pStyle w:val="BodyText"/>
      </w:pPr>
      <w:r w:rsidRPr="00B949C0">
        <w:t xml:space="preserve">Submissions to feed into the Commission’s draft report are due by </w:t>
      </w:r>
      <w:r w:rsidR="00B949C0" w:rsidRPr="00B949C0">
        <w:t>6</w:t>
      </w:r>
      <w:r w:rsidR="00B949C0">
        <w:rPr>
          <w:rStyle w:val="DraftingNoteChar"/>
          <w:color w:val="auto"/>
          <w:sz w:val="20"/>
          <w:u w:val="none"/>
        </w:rPr>
        <w:t> </w:t>
      </w:r>
      <w:r w:rsidR="00F33E2E" w:rsidRPr="00B949C0">
        <w:t xml:space="preserve">October </w:t>
      </w:r>
      <w:r w:rsidRPr="00B949C0">
        <w:t>202</w:t>
      </w:r>
      <w:r w:rsidR="0040638D" w:rsidRPr="00B949C0">
        <w:t>3</w:t>
      </w:r>
      <w:r w:rsidRPr="00B949C0">
        <w:t>.</w:t>
      </w:r>
    </w:p>
    <w:p w14:paraId="3B66C950" w14:textId="46A2012E" w:rsidR="00A91551" w:rsidRDefault="007A52A3" w:rsidP="00536740">
      <w:pPr>
        <w:pStyle w:val="BodyText"/>
      </w:pPr>
      <w:r>
        <w:t>The timeline for the review is available at www.pc.gov.au/inquiries/current/closing</w:t>
      </w:r>
      <w:r w:rsidR="003D3194">
        <w:noBreakHyphen/>
      </w:r>
      <w:r>
        <w:t>the</w:t>
      </w:r>
      <w:r w:rsidR="003D3194">
        <w:noBreakHyphen/>
      </w:r>
      <w:r>
        <w:t>gap</w:t>
      </w:r>
      <w:r w:rsidR="003D3194">
        <w:noBreakHyphen/>
      </w:r>
      <w:r>
        <w:t>review.</w:t>
      </w:r>
      <w:r w:rsidR="00A91551">
        <w:br w:type="page"/>
      </w:r>
    </w:p>
    <w:p w14:paraId="632805C3" w14:textId="6E13CF40" w:rsidR="003B6502" w:rsidRDefault="00314A16" w:rsidP="000C499A">
      <w:pPr>
        <w:pStyle w:val="Heading1-nobackground"/>
      </w:pPr>
      <w:bookmarkStart w:id="12" w:name="_Toc140505517"/>
      <w:r>
        <w:lastRenderedPageBreak/>
        <w:t>A</w:t>
      </w:r>
      <w:r w:rsidR="00CD0A2F">
        <w:t>ppendix A</w:t>
      </w:r>
      <w:r>
        <w:t xml:space="preserve"> – </w:t>
      </w:r>
      <w:r w:rsidR="00B4402E">
        <w:t>M</w:t>
      </w:r>
      <w:r w:rsidR="001D0B6D">
        <w:t>eetings</w:t>
      </w:r>
      <w:r w:rsidR="002860BA">
        <w:t>, visits and submissions</w:t>
      </w:r>
      <w:bookmarkEnd w:id="12"/>
    </w:p>
    <w:p w14:paraId="1171F36B" w14:textId="64729D30" w:rsidR="003B6502" w:rsidRPr="009014A3" w:rsidRDefault="003B6502" w:rsidP="003B6502">
      <w:pPr>
        <w:pStyle w:val="BodyText"/>
        <w:rPr>
          <w:spacing w:val="-4"/>
        </w:rPr>
      </w:pPr>
      <w:r w:rsidRPr="009014A3">
        <w:rPr>
          <w:spacing w:val="-4"/>
        </w:rPr>
        <w:t>The Commission has actively encouraged public participation in this review. This appendix outlines the engagement process undertaken and lists the organisations and individuals that have participated in this review.</w:t>
      </w:r>
    </w:p>
    <w:p w14:paraId="5B9400B9" w14:textId="6F2BCB0D" w:rsidR="003B6502" w:rsidRPr="004D6727" w:rsidRDefault="003B6502" w:rsidP="004D6727">
      <w:pPr>
        <w:pStyle w:val="ListBullet"/>
      </w:pPr>
      <w:r w:rsidRPr="004D6727">
        <w:t>Following the receipt of the terms of reference on 7 April</w:t>
      </w:r>
      <w:r w:rsidR="003D3194" w:rsidRPr="004D6727">
        <w:t xml:space="preserve"> </w:t>
      </w:r>
      <w:r w:rsidRPr="004D6727">
        <w:t xml:space="preserve">2022, a circular was sent to identified interested parties. </w:t>
      </w:r>
    </w:p>
    <w:p w14:paraId="283D11B1" w14:textId="77777777" w:rsidR="004D6727" w:rsidRDefault="003B6502" w:rsidP="004D6727">
      <w:pPr>
        <w:pStyle w:val="ListBullet"/>
        <w:rPr>
          <w:spacing w:val="-4"/>
        </w:rPr>
      </w:pPr>
      <w:r w:rsidRPr="004D6727">
        <w:rPr>
          <w:spacing w:val="-4"/>
        </w:rPr>
        <w:t>The Commission released its engagement approach (review paper 1) on 6</w:t>
      </w:r>
      <w:r w:rsidR="003D3194" w:rsidRPr="004D6727">
        <w:rPr>
          <w:spacing w:val="-4"/>
        </w:rPr>
        <w:t> </w:t>
      </w:r>
      <w:r w:rsidRPr="004D6727">
        <w:rPr>
          <w:spacing w:val="-4"/>
        </w:rPr>
        <w:t>July 2022. Review paper 2 was released on 27</w:t>
      </w:r>
      <w:r w:rsidR="003D3194" w:rsidRPr="004D6727">
        <w:rPr>
          <w:spacing w:val="-4"/>
        </w:rPr>
        <w:t> </w:t>
      </w:r>
      <w:r w:rsidRPr="004D6727">
        <w:rPr>
          <w:spacing w:val="-4"/>
        </w:rPr>
        <w:t>October 2022 and set out our proposed approach and invited participants to engage with us and to make a submission to the review. Review paper 3 was published on 9</w:t>
      </w:r>
      <w:r w:rsidR="003D3194" w:rsidRPr="004D6727">
        <w:rPr>
          <w:spacing w:val="-4"/>
        </w:rPr>
        <w:t> </w:t>
      </w:r>
      <w:r w:rsidRPr="004D6727">
        <w:rPr>
          <w:spacing w:val="-4"/>
        </w:rPr>
        <w:t xml:space="preserve">February 2023 setting out what we had heard so far in meetings during 2022. </w:t>
      </w:r>
    </w:p>
    <w:p w14:paraId="57ECA387" w14:textId="4A9098A7" w:rsidR="003B6502" w:rsidRPr="004D6727" w:rsidRDefault="003B6502" w:rsidP="004D6727">
      <w:pPr>
        <w:pStyle w:val="ListBullet"/>
        <w:rPr>
          <w:spacing w:val="-4"/>
        </w:rPr>
      </w:pPr>
      <w:r w:rsidRPr="004D6727">
        <w:rPr>
          <w:spacing w:val="-4"/>
        </w:rPr>
        <w:t>The Commission received 32 submissions prior to the release of the draft report (table 1). The Commission also received a total of 2 brief comments. The submissions and brief comments are available online at</w:t>
      </w:r>
      <w:r w:rsidR="00D8792E" w:rsidRPr="004D6727">
        <w:rPr>
          <w:spacing w:val="-4"/>
        </w:rPr>
        <w:t>:</w:t>
      </w:r>
      <w:r w:rsidRPr="004D6727">
        <w:rPr>
          <w:spacing w:val="-4"/>
        </w:rPr>
        <w:t xml:space="preserve"> </w:t>
      </w:r>
      <w:hyperlink r:id="rId19" w:history="1">
        <w:r w:rsidR="00D8792E" w:rsidRPr="004C78A4">
          <w:rPr>
            <w:spacing w:val="-4"/>
            <w:u w:val="single"/>
          </w:rPr>
          <w:t>www.pc.gov.au/inquiries/current/closing-the-gap-review</w:t>
        </w:r>
      </w:hyperlink>
      <w:r w:rsidRPr="004D6727">
        <w:rPr>
          <w:spacing w:val="-4"/>
        </w:rPr>
        <w:t>.</w:t>
      </w:r>
    </w:p>
    <w:p w14:paraId="2C4A6895" w14:textId="2425E750" w:rsidR="003B6502" w:rsidRDefault="003B6502" w:rsidP="004D6727">
      <w:pPr>
        <w:pStyle w:val="ListBullet"/>
      </w:pPr>
      <w:r w:rsidRPr="004D6727">
        <w:t>A large number of meetings with Aboriginal and Torres Strait Islander organisations were part of in person visits by the Commission across all states and territories. Meetings with government agencies, not for profit organisations and some peak organisations were mostly conducted online</w:t>
      </w:r>
      <w:r>
        <w:t xml:space="preserve"> (tables 2 </w:t>
      </w:r>
      <w:r w:rsidRPr="003E08FF">
        <w:t>and 3</w:t>
      </w:r>
      <w:r>
        <w:t xml:space="preserve">). </w:t>
      </w:r>
    </w:p>
    <w:p w14:paraId="40A5C9E5" w14:textId="77777777" w:rsidR="0094011A" w:rsidRDefault="003B6502" w:rsidP="003B6502">
      <w:pPr>
        <w:pStyle w:val="BodyText"/>
      </w:pPr>
      <w:r>
        <w:t xml:space="preserve">The Commission would like to thank everyone </w:t>
      </w:r>
      <w:r w:rsidR="008E642F">
        <w:t xml:space="preserve">who </w:t>
      </w:r>
      <w:r>
        <w:t>has participated in this review</w:t>
      </w:r>
      <w:r w:rsidR="008E642F">
        <w:t xml:space="preserve"> so far</w:t>
      </w:r>
      <w:r>
        <w:t>.</w:t>
      </w:r>
    </w:p>
    <w:p w14:paraId="3D9ADD3E" w14:textId="7F537B15" w:rsidR="00901851" w:rsidRDefault="00901851" w:rsidP="003B6502">
      <w:pPr>
        <w:pStyle w:val="BodyText"/>
      </w:pPr>
      <w:r>
        <w:br w:type="page"/>
      </w:r>
    </w:p>
    <w:p w14:paraId="515B44AC" w14:textId="65B995A7" w:rsidR="003B6502" w:rsidRDefault="003B6502" w:rsidP="003B6502">
      <w:pPr>
        <w:pStyle w:val="FigureTableHeading"/>
      </w:pPr>
      <w:r>
        <w:lastRenderedPageBreak/>
        <w:t>Table 1</w:t>
      </w:r>
      <w:r w:rsidRPr="5911904B">
        <w:rPr>
          <w:noProof/>
        </w:rPr>
        <w:t xml:space="preserve"> – </w:t>
      </w:r>
      <w:r>
        <w:t>Submissions</w:t>
      </w:r>
    </w:p>
    <w:tbl>
      <w:tblPr>
        <w:tblW w:w="5000" w:type="pct"/>
        <w:tblBorders>
          <w:bottom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654"/>
        <w:gridCol w:w="1984"/>
      </w:tblGrid>
      <w:tr w:rsidR="003B6502" w:rsidRPr="00BE7F0D" w14:paraId="7377F65C" w14:textId="77777777" w:rsidTr="00C77AB1">
        <w:trPr>
          <w:tblHeader/>
        </w:trPr>
        <w:tc>
          <w:tcPr>
            <w:tcW w:w="3971" w:type="pct"/>
            <w:tcBorders>
              <w:bottom w:val="single" w:sz="4" w:space="0" w:color="CB6027" w:themeColor="text2"/>
            </w:tcBorders>
            <w:shd w:val="clear" w:color="auto" w:fill="auto"/>
            <w:vAlign w:val="bottom"/>
          </w:tcPr>
          <w:p w14:paraId="3566669B" w14:textId="77777777" w:rsidR="003B6502" w:rsidRPr="00FA016A" w:rsidRDefault="003B6502" w:rsidP="00E536EA">
            <w:pPr>
              <w:pStyle w:val="TableHeading"/>
            </w:pPr>
            <w:r w:rsidRPr="00FA016A">
              <w:t>Participants</w:t>
            </w:r>
          </w:p>
        </w:tc>
        <w:tc>
          <w:tcPr>
            <w:tcW w:w="1029" w:type="pct"/>
            <w:tcBorders>
              <w:bottom w:val="single" w:sz="4" w:space="0" w:color="CB6027" w:themeColor="text2"/>
            </w:tcBorders>
            <w:shd w:val="clear" w:color="auto" w:fill="auto"/>
            <w:vAlign w:val="bottom"/>
          </w:tcPr>
          <w:p w14:paraId="347B2645" w14:textId="5015B812" w:rsidR="003B6502" w:rsidRPr="00FA016A" w:rsidRDefault="003B6502" w:rsidP="00E536EA">
            <w:pPr>
              <w:pStyle w:val="TableHeading"/>
              <w:ind w:right="113"/>
              <w:jc w:val="right"/>
            </w:pPr>
            <w:r w:rsidRPr="00FA016A">
              <w:t>Submission</w:t>
            </w:r>
            <w:r w:rsidR="00836DED" w:rsidRPr="00FA016A">
              <w:t xml:space="preserve"> number</w:t>
            </w:r>
          </w:p>
        </w:tc>
      </w:tr>
      <w:tr w:rsidR="000905ED" w:rsidRPr="000905ED" w14:paraId="2EEA12B0" w14:textId="77777777" w:rsidTr="00C77AB1">
        <w:tc>
          <w:tcPr>
            <w:tcW w:w="3971" w:type="pct"/>
            <w:tcBorders>
              <w:top w:val="single" w:sz="4" w:space="0" w:color="CB6027" w:themeColor="text2"/>
              <w:bottom w:val="nil"/>
            </w:tcBorders>
            <w:shd w:val="clear" w:color="auto" w:fill="auto"/>
          </w:tcPr>
          <w:p w14:paraId="4BBCC7E0"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 xml:space="preserve">Aboriginal Family Legal Service WA </w:t>
            </w:r>
          </w:p>
        </w:tc>
        <w:tc>
          <w:tcPr>
            <w:tcW w:w="1029" w:type="pct"/>
            <w:tcBorders>
              <w:top w:val="single" w:sz="4" w:space="0" w:color="CB6027" w:themeColor="text2"/>
              <w:bottom w:val="nil"/>
            </w:tcBorders>
            <w:shd w:val="clear" w:color="auto" w:fill="auto"/>
          </w:tcPr>
          <w:p w14:paraId="244CBC8C"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007</w:t>
            </w:r>
          </w:p>
        </w:tc>
      </w:tr>
      <w:tr w:rsidR="000905ED" w:rsidRPr="000905ED" w14:paraId="1916212E" w14:textId="77777777" w:rsidTr="00C77AB1">
        <w:tc>
          <w:tcPr>
            <w:tcW w:w="3971" w:type="pct"/>
            <w:tcBorders>
              <w:top w:val="nil"/>
              <w:bottom w:val="nil"/>
            </w:tcBorders>
            <w:shd w:val="clear" w:color="auto" w:fill="FBF3EC"/>
          </w:tcPr>
          <w:p w14:paraId="64DBBCE2"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Aboriginal Health Council of Western Australia (AHCWA) and AHCWA Social Services Committee</w:t>
            </w:r>
          </w:p>
        </w:tc>
        <w:tc>
          <w:tcPr>
            <w:tcW w:w="1029" w:type="pct"/>
            <w:tcBorders>
              <w:top w:val="nil"/>
              <w:bottom w:val="nil"/>
            </w:tcBorders>
            <w:shd w:val="clear" w:color="auto" w:fill="FBF3EC"/>
          </w:tcPr>
          <w:p w14:paraId="5CEA06DD"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022</w:t>
            </w:r>
          </w:p>
        </w:tc>
      </w:tr>
      <w:tr w:rsidR="000905ED" w:rsidRPr="000905ED" w14:paraId="34184CD8" w14:textId="77777777" w:rsidTr="00C77AB1">
        <w:tc>
          <w:tcPr>
            <w:tcW w:w="3971" w:type="pct"/>
            <w:tcBorders>
              <w:bottom w:val="nil"/>
            </w:tcBorders>
            <w:shd w:val="clear" w:color="auto" w:fill="auto"/>
          </w:tcPr>
          <w:p w14:paraId="0103B3D6"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Aboriginal Peak Organisations of the Northern Territory (APO NT)</w:t>
            </w:r>
          </w:p>
        </w:tc>
        <w:tc>
          <w:tcPr>
            <w:tcW w:w="1029" w:type="pct"/>
            <w:tcBorders>
              <w:bottom w:val="nil"/>
            </w:tcBorders>
            <w:shd w:val="clear" w:color="auto" w:fill="auto"/>
          </w:tcPr>
          <w:p w14:paraId="0616CF38"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bCs/>
              </w:rPr>
              <w:t>010</w:t>
            </w:r>
          </w:p>
        </w:tc>
      </w:tr>
      <w:tr w:rsidR="000905ED" w:rsidRPr="000905ED" w14:paraId="4990C4CD" w14:textId="77777777" w:rsidTr="00C77AB1">
        <w:tc>
          <w:tcPr>
            <w:tcW w:w="3971" w:type="pct"/>
            <w:tcBorders>
              <w:top w:val="nil"/>
              <w:bottom w:val="nil"/>
            </w:tcBorders>
            <w:shd w:val="clear" w:color="auto" w:fill="FBF3EC"/>
          </w:tcPr>
          <w:p w14:paraId="2348D3F8"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ANTAR</w:t>
            </w:r>
          </w:p>
        </w:tc>
        <w:tc>
          <w:tcPr>
            <w:tcW w:w="1029" w:type="pct"/>
            <w:tcBorders>
              <w:top w:val="nil"/>
              <w:bottom w:val="nil"/>
            </w:tcBorders>
            <w:shd w:val="clear" w:color="auto" w:fill="FBF3EC"/>
          </w:tcPr>
          <w:p w14:paraId="3BF88EF3" w14:textId="77777777" w:rsidR="000905ED" w:rsidRPr="000905ED" w:rsidRDefault="000905ED" w:rsidP="00E536EA">
            <w:pPr>
              <w:pStyle w:val="TableBody"/>
              <w:spacing w:before="45" w:after="45"/>
              <w:ind w:right="113"/>
              <w:jc w:val="right"/>
              <w:rPr>
                <w:rFonts w:ascii="Arial (Body)" w:hAnsi="Arial (Body)" w:cs="Arial"/>
                <w:bCs/>
              </w:rPr>
            </w:pPr>
            <w:r w:rsidRPr="000905ED">
              <w:rPr>
                <w:rFonts w:ascii="Arial (Body)" w:hAnsi="Arial (Body)" w:cs="Calibri Light"/>
                <w:bCs/>
              </w:rPr>
              <w:t>014</w:t>
            </w:r>
          </w:p>
        </w:tc>
      </w:tr>
      <w:tr w:rsidR="000905ED" w:rsidRPr="000905ED" w14:paraId="6BF70171" w14:textId="77777777" w:rsidTr="00C77AB1">
        <w:tc>
          <w:tcPr>
            <w:tcW w:w="3971" w:type="pct"/>
            <w:tcBorders>
              <w:bottom w:val="nil"/>
            </w:tcBorders>
            <w:shd w:val="clear" w:color="auto" w:fill="auto"/>
          </w:tcPr>
          <w:p w14:paraId="51DAB766"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Arthur, William</w:t>
            </w:r>
          </w:p>
        </w:tc>
        <w:tc>
          <w:tcPr>
            <w:tcW w:w="1029" w:type="pct"/>
            <w:tcBorders>
              <w:bottom w:val="nil"/>
            </w:tcBorders>
            <w:shd w:val="clear" w:color="auto" w:fill="auto"/>
          </w:tcPr>
          <w:p w14:paraId="4EBAB678"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026</w:t>
            </w:r>
          </w:p>
        </w:tc>
      </w:tr>
      <w:tr w:rsidR="000905ED" w:rsidRPr="000905ED" w14:paraId="216D2AA2" w14:textId="77777777" w:rsidTr="00C77AB1">
        <w:tc>
          <w:tcPr>
            <w:tcW w:w="3971" w:type="pct"/>
            <w:tcBorders>
              <w:top w:val="nil"/>
              <w:bottom w:val="nil"/>
            </w:tcBorders>
            <w:shd w:val="clear" w:color="auto" w:fill="FBF3EC"/>
          </w:tcPr>
          <w:p w14:paraId="7DFF42CF"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Australian Bureau of Statistics</w:t>
            </w:r>
          </w:p>
        </w:tc>
        <w:tc>
          <w:tcPr>
            <w:tcW w:w="1029" w:type="pct"/>
            <w:tcBorders>
              <w:top w:val="nil"/>
              <w:bottom w:val="nil"/>
            </w:tcBorders>
            <w:shd w:val="clear" w:color="auto" w:fill="FBF3EC"/>
          </w:tcPr>
          <w:p w14:paraId="44B2FBA8"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001</w:t>
            </w:r>
          </w:p>
        </w:tc>
      </w:tr>
      <w:tr w:rsidR="000905ED" w:rsidRPr="000905ED" w14:paraId="3B7B829E" w14:textId="77777777" w:rsidTr="00C77AB1">
        <w:tc>
          <w:tcPr>
            <w:tcW w:w="3971" w:type="pct"/>
            <w:tcBorders>
              <w:bottom w:val="nil"/>
            </w:tcBorders>
            <w:shd w:val="clear" w:color="auto" w:fill="auto"/>
          </w:tcPr>
          <w:p w14:paraId="74095114"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Australian Council of TESOL Associations</w:t>
            </w:r>
          </w:p>
        </w:tc>
        <w:tc>
          <w:tcPr>
            <w:tcW w:w="1029" w:type="pct"/>
            <w:tcBorders>
              <w:bottom w:val="nil"/>
            </w:tcBorders>
            <w:shd w:val="clear" w:color="auto" w:fill="auto"/>
          </w:tcPr>
          <w:p w14:paraId="2478705E"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011</w:t>
            </w:r>
          </w:p>
        </w:tc>
      </w:tr>
      <w:tr w:rsidR="000905ED" w:rsidRPr="000905ED" w14:paraId="4141340F" w14:textId="77777777" w:rsidTr="00C77AB1">
        <w:tc>
          <w:tcPr>
            <w:tcW w:w="3971" w:type="pct"/>
            <w:tcBorders>
              <w:top w:val="nil"/>
              <w:bottom w:val="nil"/>
            </w:tcBorders>
            <w:shd w:val="clear" w:color="auto" w:fill="FBF3EC"/>
          </w:tcPr>
          <w:p w14:paraId="0C4EB148"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Australian Education Union Federal Office</w:t>
            </w:r>
          </w:p>
        </w:tc>
        <w:tc>
          <w:tcPr>
            <w:tcW w:w="1029" w:type="pct"/>
            <w:tcBorders>
              <w:top w:val="nil"/>
              <w:bottom w:val="nil"/>
            </w:tcBorders>
            <w:shd w:val="clear" w:color="auto" w:fill="FBF3EC"/>
          </w:tcPr>
          <w:p w14:paraId="41F3CE61"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003</w:t>
            </w:r>
          </w:p>
        </w:tc>
      </w:tr>
      <w:tr w:rsidR="000905ED" w:rsidRPr="000905ED" w14:paraId="2F8DFB8E" w14:textId="77777777" w:rsidTr="00C77AB1">
        <w:tc>
          <w:tcPr>
            <w:tcW w:w="3971" w:type="pct"/>
            <w:tcBorders>
              <w:bottom w:val="nil"/>
            </w:tcBorders>
            <w:shd w:val="clear" w:color="auto" w:fill="auto"/>
          </w:tcPr>
          <w:p w14:paraId="7D76EE99"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Central Australian Aboriginal Congress Aboriginal Corporation</w:t>
            </w:r>
          </w:p>
        </w:tc>
        <w:tc>
          <w:tcPr>
            <w:tcW w:w="1029" w:type="pct"/>
            <w:tcBorders>
              <w:bottom w:val="nil"/>
            </w:tcBorders>
            <w:shd w:val="clear" w:color="auto" w:fill="auto"/>
          </w:tcPr>
          <w:p w14:paraId="56AC6AE7"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013</w:t>
            </w:r>
          </w:p>
        </w:tc>
      </w:tr>
      <w:tr w:rsidR="000905ED" w:rsidRPr="000905ED" w14:paraId="71203154" w14:textId="77777777" w:rsidTr="00C77AB1">
        <w:tc>
          <w:tcPr>
            <w:tcW w:w="3971" w:type="pct"/>
            <w:tcBorders>
              <w:top w:val="nil"/>
              <w:bottom w:val="nil"/>
            </w:tcBorders>
            <w:shd w:val="clear" w:color="auto" w:fill="FBF3EC"/>
          </w:tcPr>
          <w:p w14:paraId="74F8560B"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Close the Gap Campaign</w:t>
            </w:r>
          </w:p>
        </w:tc>
        <w:tc>
          <w:tcPr>
            <w:tcW w:w="1029" w:type="pct"/>
            <w:tcBorders>
              <w:top w:val="nil"/>
              <w:bottom w:val="nil"/>
            </w:tcBorders>
            <w:shd w:val="clear" w:color="auto" w:fill="FBF3EC"/>
          </w:tcPr>
          <w:p w14:paraId="7609CD91"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017</w:t>
            </w:r>
          </w:p>
        </w:tc>
      </w:tr>
      <w:tr w:rsidR="000905ED" w:rsidRPr="000905ED" w14:paraId="00EFA9F1" w14:textId="77777777" w:rsidTr="00C77AB1">
        <w:tc>
          <w:tcPr>
            <w:tcW w:w="3971" w:type="pct"/>
            <w:tcBorders>
              <w:bottom w:val="nil"/>
            </w:tcBorders>
            <w:shd w:val="clear" w:color="auto" w:fill="auto"/>
          </w:tcPr>
          <w:p w14:paraId="7B1154E1"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 xml:space="preserve">Coalition of Peaks </w:t>
            </w:r>
          </w:p>
        </w:tc>
        <w:tc>
          <w:tcPr>
            <w:tcW w:w="1029" w:type="pct"/>
            <w:tcBorders>
              <w:bottom w:val="nil"/>
            </w:tcBorders>
            <w:shd w:val="clear" w:color="auto" w:fill="auto"/>
          </w:tcPr>
          <w:p w14:paraId="62F23532"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025, 031</w:t>
            </w:r>
          </w:p>
        </w:tc>
      </w:tr>
      <w:tr w:rsidR="000905ED" w:rsidRPr="000905ED" w14:paraId="1B95D9F2" w14:textId="77777777" w:rsidTr="00C77AB1">
        <w:tc>
          <w:tcPr>
            <w:tcW w:w="3971" w:type="pct"/>
            <w:tcBorders>
              <w:top w:val="nil"/>
              <w:bottom w:val="nil"/>
            </w:tcBorders>
            <w:shd w:val="clear" w:color="auto" w:fill="FBF3EC"/>
          </w:tcPr>
          <w:p w14:paraId="05572FD0"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 xml:space="preserve">Community First Development </w:t>
            </w:r>
          </w:p>
        </w:tc>
        <w:tc>
          <w:tcPr>
            <w:tcW w:w="1029" w:type="pct"/>
            <w:tcBorders>
              <w:top w:val="nil"/>
              <w:bottom w:val="nil"/>
            </w:tcBorders>
            <w:shd w:val="clear" w:color="auto" w:fill="FBF3EC"/>
          </w:tcPr>
          <w:p w14:paraId="7CD1E6F2"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009</w:t>
            </w:r>
          </w:p>
        </w:tc>
      </w:tr>
      <w:tr w:rsidR="000905ED" w:rsidRPr="000905ED" w14:paraId="55E3BF74" w14:textId="77777777" w:rsidTr="00C77AB1">
        <w:tc>
          <w:tcPr>
            <w:tcW w:w="3971" w:type="pct"/>
            <w:tcBorders>
              <w:bottom w:val="nil"/>
            </w:tcBorders>
            <w:shd w:val="clear" w:color="auto" w:fill="auto"/>
          </w:tcPr>
          <w:p w14:paraId="5ED6CF16"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 xml:space="preserve">David, Annika </w:t>
            </w:r>
          </w:p>
        </w:tc>
        <w:tc>
          <w:tcPr>
            <w:tcW w:w="1029" w:type="pct"/>
            <w:tcBorders>
              <w:bottom w:val="nil"/>
            </w:tcBorders>
            <w:shd w:val="clear" w:color="auto" w:fill="auto"/>
          </w:tcPr>
          <w:p w14:paraId="71D36557"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027</w:t>
            </w:r>
          </w:p>
        </w:tc>
      </w:tr>
      <w:tr w:rsidR="000905ED" w:rsidRPr="000905ED" w14:paraId="54F0701B" w14:textId="77777777" w:rsidTr="00C77AB1">
        <w:tc>
          <w:tcPr>
            <w:tcW w:w="3971" w:type="pct"/>
            <w:tcBorders>
              <w:top w:val="nil"/>
              <w:bottom w:val="nil"/>
            </w:tcBorders>
            <w:shd w:val="clear" w:color="auto" w:fill="FBF3EC"/>
          </w:tcPr>
          <w:p w14:paraId="1D34A0EE"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Dillon, Michael</w:t>
            </w:r>
          </w:p>
        </w:tc>
        <w:tc>
          <w:tcPr>
            <w:tcW w:w="1029" w:type="pct"/>
            <w:tcBorders>
              <w:top w:val="nil"/>
              <w:bottom w:val="nil"/>
            </w:tcBorders>
            <w:shd w:val="clear" w:color="auto" w:fill="FBF3EC"/>
          </w:tcPr>
          <w:p w14:paraId="070E917F"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005</w:t>
            </w:r>
          </w:p>
        </w:tc>
      </w:tr>
      <w:tr w:rsidR="000905ED" w:rsidRPr="000905ED" w14:paraId="2FD042F2" w14:textId="77777777" w:rsidTr="00C77AB1">
        <w:tc>
          <w:tcPr>
            <w:tcW w:w="3971" w:type="pct"/>
            <w:tcBorders>
              <w:bottom w:val="nil"/>
            </w:tcBorders>
            <w:shd w:val="clear" w:color="auto" w:fill="auto"/>
          </w:tcPr>
          <w:p w14:paraId="270993C7"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Federation of Victorian Traditional Owner Corporations</w:t>
            </w:r>
          </w:p>
        </w:tc>
        <w:tc>
          <w:tcPr>
            <w:tcW w:w="1029" w:type="pct"/>
            <w:tcBorders>
              <w:bottom w:val="nil"/>
            </w:tcBorders>
            <w:shd w:val="clear" w:color="auto" w:fill="auto"/>
          </w:tcPr>
          <w:p w14:paraId="3576F636"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024</w:t>
            </w:r>
          </w:p>
        </w:tc>
      </w:tr>
      <w:tr w:rsidR="000905ED" w:rsidRPr="000905ED" w14:paraId="55F8DF06" w14:textId="77777777" w:rsidTr="00C77AB1">
        <w:tc>
          <w:tcPr>
            <w:tcW w:w="3971" w:type="pct"/>
            <w:tcBorders>
              <w:top w:val="nil"/>
              <w:bottom w:val="nil"/>
            </w:tcBorders>
            <w:shd w:val="clear" w:color="auto" w:fill="FBF3EC"/>
          </w:tcPr>
          <w:p w14:paraId="63A502C5"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Government of South Australia</w:t>
            </w:r>
          </w:p>
        </w:tc>
        <w:tc>
          <w:tcPr>
            <w:tcW w:w="1029" w:type="pct"/>
            <w:tcBorders>
              <w:top w:val="nil"/>
              <w:bottom w:val="nil"/>
            </w:tcBorders>
            <w:shd w:val="clear" w:color="auto" w:fill="FBF3EC"/>
          </w:tcPr>
          <w:p w14:paraId="4C683CFF"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028</w:t>
            </w:r>
          </w:p>
        </w:tc>
      </w:tr>
      <w:tr w:rsidR="000905ED" w:rsidRPr="000905ED" w14:paraId="50F980E0" w14:textId="77777777" w:rsidTr="00C77AB1">
        <w:tc>
          <w:tcPr>
            <w:tcW w:w="3971" w:type="pct"/>
            <w:tcBorders>
              <w:bottom w:val="nil"/>
            </w:tcBorders>
            <w:shd w:val="clear" w:color="auto" w:fill="auto"/>
          </w:tcPr>
          <w:p w14:paraId="4790C198"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Headspace National Youth Mental Health Foundation</w:t>
            </w:r>
          </w:p>
        </w:tc>
        <w:tc>
          <w:tcPr>
            <w:tcW w:w="1029" w:type="pct"/>
            <w:tcBorders>
              <w:bottom w:val="nil"/>
            </w:tcBorders>
            <w:shd w:val="clear" w:color="auto" w:fill="auto"/>
          </w:tcPr>
          <w:p w14:paraId="175FCAF3"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018</w:t>
            </w:r>
          </w:p>
        </w:tc>
      </w:tr>
      <w:tr w:rsidR="000905ED" w:rsidRPr="000905ED" w14:paraId="60673569" w14:textId="77777777" w:rsidTr="00C77AB1">
        <w:tc>
          <w:tcPr>
            <w:tcW w:w="3971" w:type="pct"/>
            <w:tcBorders>
              <w:top w:val="nil"/>
              <w:bottom w:val="nil"/>
            </w:tcBorders>
            <w:shd w:val="clear" w:color="auto" w:fill="FBF3EC"/>
          </w:tcPr>
          <w:p w14:paraId="0ED1FED9"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Indigenous Business Australia</w:t>
            </w:r>
          </w:p>
        </w:tc>
        <w:tc>
          <w:tcPr>
            <w:tcW w:w="1029" w:type="pct"/>
            <w:tcBorders>
              <w:top w:val="nil"/>
              <w:bottom w:val="nil"/>
            </w:tcBorders>
            <w:shd w:val="clear" w:color="auto" w:fill="FBF3EC"/>
          </w:tcPr>
          <w:p w14:paraId="292A8CC5"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029</w:t>
            </w:r>
          </w:p>
        </w:tc>
      </w:tr>
      <w:tr w:rsidR="000905ED" w:rsidRPr="000905ED" w14:paraId="2D79947D" w14:textId="77777777" w:rsidTr="00C77AB1">
        <w:tc>
          <w:tcPr>
            <w:tcW w:w="3971" w:type="pct"/>
            <w:tcBorders>
              <w:bottom w:val="nil"/>
            </w:tcBorders>
            <w:shd w:val="clear" w:color="auto" w:fill="auto"/>
          </w:tcPr>
          <w:p w14:paraId="7278E0CC"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Kimberley Aboriginal Law &amp; Cultural Centre (KALACC)</w:t>
            </w:r>
          </w:p>
        </w:tc>
        <w:tc>
          <w:tcPr>
            <w:tcW w:w="1029" w:type="pct"/>
            <w:tcBorders>
              <w:bottom w:val="nil"/>
            </w:tcBorders>
            <w:shd w:val="clear" w:color="auto" w:fill="auto"/>
          </w:tcPr>
          <w:p w14:paraId="2254E247"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023</w:t>
            </w:r>
          </w:p>
        </w:tc>
      </w:tr>
      <w:tr w:rsidR="000905ED" w:rsidRPr="000905ED" w14:paraId="40049940" w14:textId="77777777" w:rsidTr="00C77AB1">
        <w:tc>
          <w:tcPr>
            <w:tcW w:w="3971" w:type="pct"/>
            <w:tcBorders>
              <w:top w:val="nil"/>
              <w:bottom w:val="nil"/>
            </w:tcBorders>
            <w:shd w:val="clear" w:color="auto" w:fill="FBF3EC"/>
          </w:tcPr>
          <w:p w14:paraId="2C4238F5"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Kinaway Chamber of Commerce</w:t>
            </w:r>
          </w:p>
        </w:tc>
        <w:tc>
          <w:tcPr>
            <w:tcW w:w="1029" w:type="pct"/>
            <w:tcBorders>
              <w:top w:val="nil"/>
              <w:bottom w:val="nil"/>
            </w:tcBorders>
            <w:shd w:val="clear" w:color="auto" w:fill="FBF3EC"/>
          </w:tcPr>
          <w:p w14:paraId="038FD5AA"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021</w:t>
            </w:r>
          </w:p>
        </w:tc>
      </w:tr>
      <w:tr w:rsidR="000905ED" w:rsidRPr="000905ED" w14:paraId="15A8F095" w14:textId="77777777" w:rsidTr="00C77AB1">
        <w:tc>
          <w:tcPr>
            <w:tcW w:w="3971" w:type="pct"/>
            <w:tcBorders>
              <w:bottom w:val="nil"/>
            </w:tcBorders>
            <w:shd w:val="clear" w:color="auto" w:fill="auto"/>
          </w:tcPr>
          <w:p w14:paraId="0B77F276"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Lowitja Institute</w:t>
            </w:r>
          </w:p>
        </w:tc>
        <w:tc>
          <w:tcPr>
            <w:tcW w:w="1029" w:type="pct"/>
            <w:tcBorders>
              <w:bottom w:val="nil"/>
            </w:tcBorders>
            <w:shd w:val="clear" w:color="auto" w:fill="auto"/>
          </w:tcPr>
          <w:p w14:paraId="139D53EA"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015</w:t>
            </w:r>
          </w:p>
        </w:tc>
      </w:tr>
      <w:tr w:rsidR="000905ED" w:rsidRPr="000905ED" w14:paraId="01EC02D0" w14:textId="77777777" w:rsidTr="00C77AB1">
        <w:tc>
          <w:tcPr>
            <w:tcW w:w="3971" w:type="pct"/>
            <w:tcBorders>
              <w:top w:val="nil"/>
              <w:bottom w:val="nil"/>
            </w:tcBorders>
            <w:shd w:val="clear" w:color="auto" w:fill="FBF3EC"/>
          </w:tcPr>
          <w:p w14:paraId="0D223CEE"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National Health Leadership Forum</w:t>
            </w:r>
          </w:p>
        </w:tc>
        <w:tc>
          <w:tcPr>
            <w:tcW w:w="1029" w:type="pct"/>
            <w:tcBorders>
              <w:top w:val="nil"/>
              <w:bottom w:val="nil"/>
            </w:tcBorders>
            <w:shd w:val="clear" w:color="auto" w:fill="FBF3EC"/>
          </w:tcPr>
          <w:p w14:paraId="75881DCC" w14:textId="77777777" w:rsidR="000905ED" w:rsidRPr="000905ED" w:rsidRDefault="000905ED" w:rsidP="00E536EA">
            <w:pPr>
              <w:pStyle w:val="TableBody"/>
              <w:spacing w:before="45" w:after="45"/>
              <w:ind w:right="113"/>
              <w:jc w:val="right"/>
              <w:rPr>
                <w:rFonts w:ascii="Arial (Body)" w:hAnsi="Arial (Body)" w:cs="Arial"/>
                <w:bCs/>
              </w:rPr>
            </w:pPr>
            <w:r w:rsidRPr="000905ED">
              <w:rPr>
                <w:rFonts w:ascii="Arial (Body)" w:hAnsi="Arial (Body)" w:cs="Calibri Light"/>
                <w:bCs/>
              </w:rPr>
              <w:t>019</w:t>
            </w:r>
          </w:p>
        </w:tc>
      </w:tr>
      <w:tr w:rsidR="000905ED" w:rsidRPr="000905ED" w14:paraId="6195E8DC" w14:textId="77777777" w:rsidTr="00C77AB1">
        <w:tc>
          <w:tcPr>
            <w:tcW w:w="3971" w:type="pct"/>
            <w:tcBorders>
              <w:bottom w:val="nil"/>
            </w:tcBorders>
            <w:shd w:val="clear" w:color="auto" w:fill="auto"/>
          </w:tcPr>
          <w:p w14:paraId="5634A806" w14:textId="77777777" w:rsidR="000905ED" w:rsidRPr="000905ED" w:rsidRDefault="000905ED" w:rsidP="00E536EA">
            <w:pPr>
              <w:pStyle w:val="TableBody"/>
              <w:spacing w:before="45" w:after="45"/>
              <w:ind w:right="108"/>
              <w:rPr>
                <w:rFonts w:ascii="Arial (Body)" w:hAnsi="Arial (Body)"/>
                <w:bCs/>
              </w:rPr>
            </w:pPr>
            <w:r w:rsidRPr="000905ED">
              <w:rPr>
                <w:rFonts w:ascii="Arial (Body)" w:hAnsi="Arial (Body)"/>
                <w:bCs/>
              </w:rPr>
              <w:t>National Indigenous Australians Agency (NIAA)</w:t>
            </w:r>
          </w:p>
        </w:tc>
        <w:tc>
          <w:tcPr>
            <w:tcW w:w="1029" w:type="pct"/>
            <w:tcBorders>
              <w:bottom w:val="nil"/>
            </w:tcBorders>
            <w:shd w:val="clear" w:color="auto" w:fill="auto"/>
          </w:tcPr>
          <w:p w14:paraId="3D1ECC71"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030</w:t>
            </w:r>
          </w:p>
        </w:tc>
      </w:tr>
      <w:tr w:rsidR="000905ED" w:rsidRPr="000905ED" w14:paraId="5FA56ECC" w14:textId="77777777" w:rsidTr="00C77AB1">
        <w:tc>
          <w:tcPr>
            <w:tcW w:w="3971" w:type="pct"/>
            <w:tcBorders>
              <w:top w:val="nil"/>
              <w:bottom w:val="nil"/>
            </w:tcBorders>
            <w:shd w:val="clear" w:color="auto" w:fill="FBF3EC"/>
          </w:tcPr>
          <w:p w14:paraId="4F1329A5" w14:textId="77777777" w:rsidR="000905ED" w:rsidRPr="000905ED" w:rsidRDefault="000905ED" w:rsidP="00E536EA">
            <w:pPr>
              <w:pStyle w:val="TableBody"/>
              <w:spacing w:before="45" w:after="45"/>
              <w:ind w:right="108"/>
              <w:rPr>
                <w:rFonts w:ascii="Arial (Body)" w:hAnsi="Arial (Body)"/>
                <w:bCs/>
              </w:rPr>
            </w:pPr>
            <w:r w:rsidRPr="000905ED">
              <w:rPr>
                <w:rFonts w:ascii="Arial (Body)" w:hAnsi="Arial (Body)"/>
                <w:bCs/>
              </w:rPr>
              <w:t>New South Wales Government</w:t>
            </w:r>
          </w:p>
        </w:tc>
        <w:tc>
          <w:tcPr>
            <w:tcW w:w="1029" w:type="pct"/>
            <w:tcBorders>
              <w:top w:val="nil"/>
              <w:bottom w:val="nil"/>
            </w:tcBorders>
            <w:shd w:val="clear" w:color="auto" w:fill="FBF3EC"/>
          </w:tcPr>
          <w:p w14:paraId="2D318419" w14:textId="77777777" w:rsidR="000905ED" w:rsidRPr="000905ED" w:rsidRDefault="000905ED" w:rsidP="00E536EA">
            <w:pPr>
              <w:pStyle w:val="TableBody"/>
              <w:spacing w:before="45" w:after="45"/>
              <w:ind w:right="113"/>
              <w:jc w:val="right"/>
              <w:rPr>
                <w:rFonts w:ascii="Arial (Body)" w:hAnsi="Arial (Body)" w:cs="Calibri Light"/>
                <w:bCs/>
              </w:rPr>
            </w:pPr>
            <w:r w:rsidRPr="000905ED">
              <w:rPr>
                <w:rFonts w:ascii="Arial (Body)" w:hAnsi="Arial (Body)" w:cs="Calibri Light"/>
                <w:bCs/>
              </w:rPr>
              <w:t>032</w:t>
            </w:r>
          </w:p>
        </w:tc>
      </w:tr>
      <w:tr w:rsidR="000905ED" w:rsidRPr="000905ED" w14:paraId="132F6AB3" w14:textId="77777777" w:rsidTr="00C77AB1">
        <w:tc>
          <w:tcPr>
            <w:tcW w:w="3971" w:type="pct"/>
            <w:tcBorders>
              <w:bottom w:val="nil"/>
            </w:tcBorders>
            <w:shd w:val="clear" w:color="auto" w:fill="auto"/>
          </w:tcPr>
          <w:p w14:paraId="68987F65"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Public Health Association of Australia (PHAA)</w:t>
            </w:r>
          </w:p>
        </w:tc>
        <w:tc>
          <w:tcPr>
            <w:tcW w:w="1029" w:type="pct"/>
            <w:tcBorders>
              <w:bottom w:val="nil"/>
            </w:tcBorders>
            <w:shd w:val="clear" w:color="auto" w:fill="auto"/>
          </w:tcPr>
          <w:p w14:paraId="3D5C2620"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016</w:t>
            </w:r>
          </w:p>
        </w:tc>
      </w:tr>
      <w:tr w:rsidR="000905ED" w:rsidRPr="000905ED" w14:paraId="0583CD34" w14:textId="77777777" w:rsidTr="00C77AB1">
        <w:tc>
          <w:tcPr>
            <w:tcW w:w="3971" w:type="pct"/>
            <w:tcBorders>
              <w:top w:val="nil"/>
              <w:bottom w:val="nil"/>
            </w:tcBorders>
            <w:shd w:val="clear" w:color="auto" w:fill="FBF3EC"/>
          </w:tcPr>
          <w:p w14:paraId="1D1D1D09"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 xml:space="preserve">Queensland Aboriginal and Torres Strait Islander Child Protection Peak Limited </w:t>
            </w:r>
          </w:p>
        </w:tc>
        <w:tc>
          <w:tcPr>
            <w:tcW w:w="1029" w:type="pct"/>
            <w:tcBorders>
              <w:top w:val="nil"/>
              <w:bottom w:val="nil"/>
            </w:tcBorders>
            <w:shd w:val="clear" w:color="auto" w:fill="FBF3EC"/>
          </w:tcPr>
          <w:p w14:paraId="00EFAB1B"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012</w:t>
            </w:r>
          </w:p>
        </w:tc>
      </w:tr>
      <w:tr w:rsidR="000905ED" w:rsidRPr="000905ED" w14:paraId="2B563AF0" w14:textId="77777777" w:rsidTr="00C77AB1">
        <w:tc>
          <w:tcPr>
            <w:tcW w:w="3971" w:type="pct"/>
            <w:tcBorders>
              <w:bottom w:val="nil"/>
            </w:tcBorders>
            <w:shd w:val="clear" w:color="auto" w:fill="auto"/>
          </w:tcPr>
          <w:p w14:paraId="2C6405AE"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Queensland Family and Child Commission</w:t>
            </w:r>
          </w:p>
        </w:tc>
        <w:tc>
          <w:tcPr>
            <w:tcW w:w="1029" w:type="pct"/>
            <w:tcBorders>
              <w:bottom w:val="nil"/>
            </w:tcBorders>
            <w:shd w:val="clear" w:color="auto" w:fill="auto"/>
          </w:tcPr>
          <w:p w14:paraId="143AB59E"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008</w:t>
            </w:r>
          </w:p>
        </w:tc>
      </w:tr>
      <w:tr w:rsidR="000905ED" w:rsidRPr="000905ED" w14:paraId="7429B0CC" w14:textId="77777777" w:rsidTr="00C77AB1">
        <w:tc>
          <w:tcPr>
            <w:tcW w:w="3971" w:type="pct"/>
            <w:tcBorders>
              <w:top w:val="nil"/>
              <w:bottom w:val="nil"/>
            </w:tcBorders>
            <w:shd w:val="clear" w:color="auto" w:fill="FBF3EC"/>
          </w:tcPr>
          <w:p w14:paraId="261FE4CA"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Queensland Nurses and Midwives’ Union (QNMU)</w:t>
            </w:r>
          </w:p>
        </w:tc>
        <w:tc>
          <w:tcPr>
            <w:tcW w:w="1029" w:type="pct"/>
            <w:tcBorders>
              <w:top w:val="nil"/>
              <w:bottom w:val="nil"/>
            </w:tcBorders>
            <w:shd w:val="clear" w:color="auto" w:fill="FBF3EC"/>
          </w:tcPr>
          <w:p w14:paraId="3098E22D"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004</w:t>
            </w:r>
          </w:p>
        </w:tc>
      </w:tr>
      <w:tr w:rsidR="000905ED" w:rsidRPr="000905ED" w14:paraId="4EC0DACC" w14:textId="77777777" w:rsidTr="00C77AB1">
        <w:tc>
          <w:tcPr>
            <w:tcW w:w="3971" w:type="pct"/>
            <w:tcBorders>
              <w:bottom w:val="nil"/>
            </w:tcBorders>
            <w:shd w:val="clear" w:color="auto" w:fill="auto"/>
          </w:tcPr>
          <w:p w14:paraId="7E707F80"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Royal Australian and New Zealand College of Psychiatrists</w:t>
            </w:r>
          </w:p>
        </w:tc>
        <w:tc>
          <w:tcPr>
            <w:tcW w:w="1029" w:type="pct"/>
            <w:tcBorders>
              <w:bottom w:val="nil"/>
            </w:tcBorders>
            <w:shd w:val="clear" w:color="auto" w:fill="auto"/>
          </w:tcPr>
          <w:p w14:paraId="3CD83D9F"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002</w:t>
            </w:r>
          </w:p>
        </w:tc>
      </w:tr>
      <w:tr w:rsidR="000905ED" w:rsidRPr="000905ED" w14:paraId="593947F6" w14:textId="77777777" w:rsidTr="00C77AB1">
        <w:tc>
          <w:tcPr>
            <w:tcW w:w="3971" w:type="pct"/>
            <w:tcBorders>
              <w:top w:val="nil"/>
              <w:bottom w:val="nil"/>
            </w:tcBorders>
            <w:shd w:val="clear" w:color="auto" w:fill="FBF3EC"/>
          </w:tcPr>
          <w:p w14:paraId="57969C60"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Torres Shire Council</w:t>
            </w:r>
          </w:p>
        </w:tc>
        <w:tc>
          <w:tcPr>
            <w:tcW w:w="1029" w:type="pct"/>
            <w:tcBorders>
              <w:top w:val="nil"/>
              <w:bottom w:val="nil"/>
            </w:tcBorders>
            <w:shd w:val="clear" w:color="auto" w:fill="FBF3EC"/>
          </w:tcPr>
          <w:p w14:paraId="47F9E7AA" w14:textId="77777777" w:rsidR="000905ED" w:rsidRPr="000905ED" w:rsidRDefault="000905ED" w:rsidP="00E536EA">
            <w:pPr>
              <w:pStyle w:val="TableBody"/>
              <w:spacing w:before="45" w:after="45"/>
              <w:ind w:right="113"/>
              <w:jc w:val="right"/>
              <w:rPr>
                <w:rFonts w:ascii="Arial (Body)" w:hAnsi="Arial (Body)" w:cs="Arial"/>
                <w:bCs/>
              </w:rPr>
            </w:pPr>
            <w:r w:rsidRPr="000905ED">
              <w:rPr>
                <w:rFonts w:ascii="Arial (Body)" w:hAnsi="Arial (Body)" w:cs="Calibri Light"/>
                <w:bCs/>
              </w:rPr>
              <w:t>006</w:t>
            </w:r>
          </w:p>
        </w:tc>
      </w:tr>
      <w:tr w:rsidR="000905ED" w:rsidRPr="000905ED" w14:paraId="2D9125F0" w14:textId="77777777" w:rsidTr="00C77AB1">
        <w:tc>
          <w:tcPr>
            <w:tcW w:w="3971" w:type="pct"/>
            <w:tcBorders>
              <w:bottom w:val="single" w:sz="4" w:space="0" w:color="CB6027" w:themeColor="text2"/>
            </w:tcBorders>
            <w:shd w:val="clear" w:color="auto" w:fill="auto"/>
          </w:tcPr>
          <w:p w14:paraId="058A9518" w14:textId="77777777" w:rsidR="000905ED" w:rsidRPr="000905ED" w:rsidRDefault="000905ED" w:rsidP="00E536EA">
            <w:pPr>
              <w:pStyle w:val="TableBody"/>
              <w:spacing w:before="45" w:after="45"/>
              <w:ind w:right="108"/>
              <w:rPr>
                <w:rFonts w:ascii="Arial (Body)" w:hAnsi="Arial (Body)" w:cs="Calibri Light"/>
                <w:bCs/>
              </w:rPr>
            </w:pPr>
            <w:r w:rsidRPr="000905ED">
              <w:rPr>
                <w:rFonts w:ascii="Arial (Body)" w:hAnsi="Arial (Body)"/>
                <w:bCs/>
              </w:rPr>
              <w:t>TRILEC (Translational Research in Indigenous Language Ecologies Collective) at the Australian National University</w:t>
            </w:r>
          </w:p>
        </w:tc>
        <w:tc>
          <w:tcPr>
            <w:tcW w:w="1029" w:type="pct"/>
            <w:tcBorders>
              <w:bottom w:val="single" w:sz="4" w:space="0" w:color="CB6027" w:themeColor="text2"/>
            </w:tcBorders>
            <w:shd w:val="clear" w:color="auto" w:fill="auto"/>
          </w:tcPr>
          <w:p w14:paraId="30865C56" w14:textId="77777777" w:rsidR="000905ED" w:rsidRPr="000905ED" w:rsidRDefault="000905ED" w:rsidP="00E536EA">
            <w:pPr>
              <w:pStyle w:val="TableBody"/>
              <w:spacing w:before="45" w:after="45"/>
              <w:ind w:right="113"/>
              <w:jc w:val="right"/>
              <w:rPr>
                <w:rFonts w:ascii="Arial (Body)" w:hAnsi="Arial (Body)"/>
                <w:bCs/>
              </w:rPr>
            </w:pPr>
            <w:r w:rsidRPr="000905ED">
              <w:rPr>
                <w:rFonts w:ascii="Arial (Body)" w:hAnsi="Arial (Body)" w:cs="Calibri Light"/>
                <w:bCs/>
              </w:rPr>
              <w:t>020</w:t>
            </w:r>
          </w:p>
        </w:tc>
      </w:tr>
    </w:tbl>
    <w:p w14:paraId="1EE0B71C" w14:textId="77777777" w:rsidR="002F7D4B" w:rsidRDefault="002F7D4B" w:rsidP="002F7D4B">
      <w:pPr>
        <w:pStyle w:val="BodyText"/>
      </w:pPr>
      <w:r>
        <w:br w:type="page"/>
      </w:r>
    </w:p>
    <w:p w14:paraId="4C34CC00" w14:textId="11A5C0C3" w:rsidR="003B6502" w:rsidRDefault="003B6502" w:rsidP="003B6502">
      <w:pPr>
        <w:pStyle w:val="FigureTableHeading"/>
      </w:pPr>
      <w:r>
        <w:lastRenderedPageBreak/>
        <w:t>Table 2</w:t>
      </w:r>
      <w:r>
        <w:rPr>
          <w:noProof/>
        </w:rPr>
        <w:t xml:space="preserve"> – </w:t>
      </w:r>
      <w:r>
        <w:t>Meetings and visits</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638"/>
      </w:tblGrid>
      <w:tr w:rsidR="003B6502" w:rsidRPr="00755ABA" w14:paraId="58DC44C5" w14:textId="77777777" w:rsidTr="00B40F74">
        <w:trPr>
          <w:tblHeader/>
        </w:trPr>
        <w:tc>
          <w:tcPr>
            <w:tcW w:w="5000" w:type="pct"/>
            <w:tcBorders>
              <w:bottom w:val="single" w:sz="4" w:space="0" w:color="CB6027" w:themeColor="text2"/>
            </w:tcBorders>
            <w:shd w:val="clear" w:color="000000" w:fill="auto"/>
            <w:vAlign w:val="bottom"/>
          </w:tcPr>
          <w:p w14:paraId="2082E6C8" w14:textId="77777777" w:rsidR="003B6502" w:rsidRPr="00D258EA" w:rsidRDefault="003B6502" w:rsidP="00D258EA">
            <w:pPr>
              <w:pStyle w:val="TableHeading"/>
            </w:pPr>
            <w:r w:rsidRPr="00D258EA">
              <w:t>Participants</w:t>
            </w:r>
          </w:p>
        </w:tc>
      </w:tr>
      <w:tr w:rsidR="0002786B" w:rsidRPr="0002786B" w14:paraId="70CB32D6" w14:textId="77777777" w:rsidTr="006C7976">
        <w:trPr>
          <w:trHeight w:val="260"/>
        </w:trPr>
        <w:tc>
          <w:tcPr>
            <w:tcW w:w="5000" w:type="pct"/>
            <w:tcBorders>
              <w:top w:val="single" w:sz="4" w:space="0" w:color="CB6027" w:themeColor="text2"/>
              <w:bottom w:val="nil"/>
            </w:tcBorders>
            <w:shd w:val="clear" w:color="auto" w:fill="FBF3EC"/>
            <w:noWrap/>
            <w:tcMar>
              <w:top w:w="15" w:type="dxa"/>
              <w:left w:w="15" w:type="dxa"/>
              <w:bottom w:w="0" w:type="dxa"/>
              <w:right w:w="15" w:type="dxa"/>
            </w:tcMar>
          </w:tcPr>
          <w:p w14:paraId="79313BAC"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54 reasons</w:t>
            </w:r>
          </w:p>
        </w:tc>
      </w:tr>
      <w:tr w:rsidR="0002786B" w:rsidRPr="0002786B" w14:paraId="0BE3CC2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E6A3799"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Aarnja</w:t>
            </w:r>
          </w:p>
        </w:tc>
      </w:tr>
      <w:tr w:rsidR="0002786B" w:rsidRPr="0002786B" w14:paraId="7C87B57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D1C2A18"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Aboriginal Affairs NSW </w:t>
            </w:r>
          </w:p>
        </w:tc>
      </w:tr>
      <w:tr w:rsidR="0002786B" w:rsidRPr="0002786B" w14:paraId="79ACDAFC"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D492211" w14:textId="77777777" w:rsidR="00443F76" w:rsidRPr="0002786B" w:rsidRDefault="00443F76" w:rsidP="00AE6A2A">
            <w:pPr>
              <w:pStyle w:val="TableBody"/>
              <w:spacing w:before="45" w:after="45"/>
              <w:ind w:right="108"/>
              <w:rPr>
                <w:rFonts w:ascii="Arial (Body)" w:hAnsi="Arial (Body)" w:cs="Calibri Light"/>
              </w:rPr>
            </w:pPr>
            <w:bookmarkStart w:id="13" w:name="RANGE!D232"/>
            <w:r w:rsidRPr="0002786B">
              <w:rPr>
                <w:rFonts w:ascii="Arial (Body)" w:hAnsi="Arial (Body)" w:cs="Calibri Light"/>
              </w:rPr>
              <w:t>Aboriginal and Torres Strait Islander Elected Body (ATSIEB)</w:t>
            </w:r>
            <w:bookmarkEnd w:id="13"/>
          </w:p>
        </w:tc>
      </w:tr>
      <w:tr w:rsidR="0002786B" w:rsidRPr="0002786B" w14:paraId="523E0C99"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7759FCA4"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Aboriginal and Torres Strait Islander Legal Service (QLD) Ltd (ATSILS)</w:t>
            </w:r>
          </w:p>
        </w:tc>
      </w:tr>
      <w:tr w:rsidR="0002786B" w:rsidRPr="0002786B" w14:paraId="1DE324C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1762E8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Aboriginal and Torres Strait Islander Social Justice</w:t>
            </w:r>
          </w:p>
        </w:tc>
      </w:tr>
      <w:tr w:rsidR="0002786B" w:rsidRPr="0002786B" w14:paraId="434AAAB8"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E06507E"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Aboriginal Drug and Alcohol Council (ADAC)</w:t>
            </w:r>
          </w:p>
        </w:tc>
      </w:tr>
      <w:tr w:rsidR="0002786B" w:rsidRPr="0002786B" w14:paraId="4444BE24"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284307C"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Aboriginal Education Consultative Group</w:t>
            </w:r>
          </w:p>
        </w:tc>
      </w:tr>
      <w:tr w:rsidR="0002786B" w:rsidRPr="0002786B" w14:paraId="449F61E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C3F54A8"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Aboriginal Family Legal Services WA</w:t>
            </w:r>
          </w:p>
        </w:tc>
      </w:tr>
      <w:tr w:rsidR="0002786B" w:rsidRPr="0002786B" w14:paraId="578BF6C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17B056D"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Aboriginal Family Support Services (AFSS)</w:t>
            </w:r>
          </w:p>
        </w:tc>
      </w:tr>
      <w:tr w:rsidR="0002786B" w:rsidRPr="0002786B" w14:paraId="612838EA"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F86CB0B"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Aboriginal Health and Medical Research Council of NSW (AH&amp;MRC)</w:t>
            </w:r>
          </w:p>
        </w:tc>
      </w:tr>
      <w:tr w:rsidR="0002786B" w:rsidRPr="0002786B" w14:paraId="5CC13389" w14:textId="77777777" w:rsidTr="00AE6A2A">
        <w:trPr>
          <w:trHeight w:val="260"/>
        </w:trPr>
        <w:tc>
          <w:tcPr>
            <w:tcW w:w="5000" w:type="pct"/>
            <w:tcBorders>
              <w:top w:val="nil"/>
              <w:bottom w:val="nil"/>
            </w:tcBorders>
            <w:shd w:val="clear" w:color="000000" w:fill="auto"/>
            <w:tcMar>
              <w:top w:w="15" w:type="dxa"/>
              <w:left w:w="15" w:type="dxa"/>
              <w:bottom w:w="0" w:type="dxa"/>
              <w:right w:w="15" w:type="dxa"/>
            </w:tcMar>
          </w:tcPr>
          <w:p w14:paraId="5F1C53A1"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Aboriginal Health Council of South Australia Ltd (AHCSA)</w:t>
            </w:r>
          </w:p>
        </w:tc>
      </w:tr>
      <w:tr w:rsidR="0002786B" w:rsidRPr="0002786B" w14:paraId="6D953F41"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7AE2E5C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Aboriginal Health Council of Western Australia (AHCWA)</w:t>
            </w:r>
          </w:p>
        </w:tc>
      </w:tr>
      <w:tr w:rsidR="0002786B" w:rsidRPr="0002786B" w14:paraId="0D95BF0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1A8A384"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Aboriginal Housing Victoria (AHV) </w:t>
            </w:r>
          </w:p>
        </w:tc>
      </w:tr>
      <w:tr w:rsidR="0002786B" w:rsidRPr="0002786B" w14:paraId="296058E0"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4CDE1E8"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Aboriginal Land Council of Tasmania</w:t>
            </w:r>
          </w:p>
        </w:tc>
      </w:tr>
      <w:tr w:rsidR="0002786B" w:rsidRPr="0002786B" w14:paraId="20A2927F"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03E49D0"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Aboriginal Medical Services Alliance Northern Territory (AMSANT)</w:t>
            </w:r>
          </w:p>
        </w:tc>
      </w:tr>
      <w:tr w:rsidR="0002786B" w:rsidRPr="0002786B" w14:paraId="4131CEC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7DAD53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Aboriginal Medical Services Redfern </w:t>
            </w:r>
          </w:p>
        </w:tc>
      </w:tr>
      <w:tr w:rsidR="0002786B" w:rsidRPr="0002786B" w14:paraId="223DE9D8"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ED7A76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Aboriginal Peak Organisations Northern Territory (APO NT)</w:t>
            </w:r>
          </w:p>
        </w:tc>
      </w:tr>
      <w:tr w:rsidR="0002786B" w:rsidRPr="0002786B" w14:paraId="1CD08FE5"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C40CBA0"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Anglicare</w:t>
            </w:r>
          </w:p>
        </w:tc>
      </w:tr>
      <w:tr w:rsidR="0002786B" w:rsidRPr="0002786B" w14:paraId="421A564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82D04B5"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Anindilyakwa Land Council</w:t>
            </w:r>
          </w:p>
        </w:tc>
      </w:tr>
      <w:tr w:rsidR="0002786B" w:rsidRPr="0002786B" w14:paraId="045B2D3A"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076D3A1D"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w:szCs w:val="22"/>
              </w:rPr>
              <w:t xml:space="preserve">Attorney General’s Department </w:t>
            </w:r>
          </w:p>
        </w:tc>
      </w:tr>
      <w:tr w:rsidR="0002786B" w:rsidRPr="0002786B" w14:paraId="6B9A4C08"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8E2B08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w:szCs w:val="22"/>
              </w:rPr>
              <w:t>Attorney General's Department (SA)</w:t>
            </w:r>
          </w:p>
        </w:tc>
      </w:tr>
      <w:tr w:rsidR="0002786B" w:rsidRPr="0002786B" w14:paraId="2335CC21"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963C2D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Australian Bureau of Statistics (ABS)</w:t>
            </w:r>
          </w:p>
        </w:tc>
      </w:tr>
      <w:tr w:rsidR="0002786B" w:rsidRPr="0002786B" w14:paraId="24652FC9"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1E4DFA9"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Australian Capital Territory Government Partnership Working Group Representative</w:t>
            </w:r>
          </w:p>
        </w:tc>
      </w:tr>
      <w:tr w:rsidR="0002786B" w:rsidRPr="0002786B" w14:paraId="31013CA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8E7003E"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Australian Education Research Organisation (AERO)</w:t>
            </w:r>
          </w:p>
        </w:tc>
      </w:tr>
      <w:tr w:rsidR="0002786B" w:rsidRPr="0002786B" w14:paraId="2B13C778"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7802B8F"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Australian Indigenous Doctors Association (AIDA)</w:t>
            </w:r>
          </w:p>
        </w:tc>
      </w:tr>
      <w:tr w:rsidR="0002786B" w:rsidRPr="0002786B" w14:paraId="6D94FD2D"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0D81B1D"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w:szCs w:val="22"/>
              </w:rPr>
              <w:t>Australian Institute of Health and Welfare (AIHW)</w:t>
            </w:r>
          </w:p>
        </w:tc>
      </w:tr>
      <w:tr w:rsidR="0002786B" w:rsidRPr="0002786B" w14:paraId="290F5786"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7C198CB"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Australian Local Government Association (ALGA)</w:t>
            </w:r>
          </w:p>
        </w:tc>
      </w:tr>
      <w:tr w:rsidR="0002786B" w:rsidRPr="0002786B" w14:paraId="4FE5C531"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C9D76DC"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Benevolent Society</w:t>
            </w:r>
          </w:p>
        </w:tc>
      </w:tr>
      <w:tr w:rsidR="0002786B" w:rsidRPr="0002786B" w14:paraId="4815D0B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CCAB886"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Binarri</w:t>
            </w:r>
            <w:r w:rsidRPr="0002786B">
              <w:rPr>
                <w:rFonts w:ascii="Arial (Body)" w:hAnsi="Arial (Body)" w:cs="Calibri Light"/>
              </w:rPr>
              <w:noBreakHyphen/>
              <w:t>binyja yarawoo Aboriginal Corporation</w:t>
            </w:r>
          </w:p>
        </w:tc>
      </w:tr>
      <w:tr w:rsidR="0002786B" w:rsidRPr="0002786B" w14:paraId="4E20DD6E" w14:textId="77777777" w:rsidTr="00644F66">
        <w:trPr>
          <w:trHeight w:val="260"/>
        </w:trPr>
        <w:tc>
          <w:tcPr>
            <w:tcW w:w="5000" w:type="pct"/>
            <w:tcBorders>
              <w:bottom w:val="nil"/>
            </w:tcBorders>
            <w:shd w:val="clear" w:color="auto" w:fill="FBF3EC"/>
            <w:noWrap/>
            <w:tcMar>
              <w:top w:w="15" w:type="dxa"/>
              <w:left w:w="15" w:type="dxa"/>
              <w:bottom w:w="0" w:type="dxa"/>
              <w:right w:w="15" w:type="dxa"/>
            </w:tcMar>
          </w:tcPr>
          <w:p w14:paraId="07F49C6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BlaQ Aboriginal Corporation </w:t>
            </w:r>
          </w:p>
        </w:tc>
      </w:tr>
      <w:tr w:rsidR="0002786B" w:rsidRPr="0002786B" w14:paraId="4D8D4E76" w14:textId="77777777" w:rsidTr="00644F66">
        <w:trPr>
          <w:trHeight w:val="260"/>
        </w:trPr>
        <w:tc>
          <w:tcPr>
            <w:tcW w:w="5000" w:type="pct"/>
            <w:tcBorders>
              <w:top w:val="nil"/>
              <w:bottom w:val="nil"/>
            </w:tcBorders>
            <w:shd w:val="clear" w:color="000000" w:fill="auto"/>
            <w:noWrap/>
            <w:tcMar>
              <w:top w:w="15" w:type="dxa"/>
              <w:left w:w="15" w:type="dxa"/>
              <w:bottom w:w="0" w:type="dxa"/>
              <w:right w:w="15" w:type="dxa"/>
            </w:tcMar>
          </w:tcPr>
          <w:p w14:paraId="5DDB9FC6" w14:textId="77777777" w:rsidR="00443F76" w:rsidRPr="0002786B" w:rsidRDefault="00443F76" w:rsidP="00AE6A2A">
            <w:pPr>
              <w:pStyle w:val="TableBody"/>
              <w:spacing w:before="45" w:after="45"/>
              <w:ind w:right="108"/>
              <w:rPr>
                <w:rFonts w:ascii="Arial (Body)" w:hAnsi="Arial (Body)" w:cs="Calibri Light"/>
              </w:rPr>
            </w:pPr>
            <w:bookmarkStart w:id="14" w:name="RANGE!D310"/>
            <w:r w:rsidRPr="0002786B">
              <w:rPr>
                <w:rFonts w:ascii="Arial (Body)" w:hAnsi="Arial (Body)" w:cs="Calibri Light"/>
              </w:rPr>
              <w:t>Bourke Tribal Council and Maranguka</w:t>
            </w:r>
            <w:bookmarkEnd w:id="14"/>
          </w:p>
        </w:tc>
      </w:tr>
      <w:tr w:rsidR="0002786B" w:rsidRPr="0002786B" w14:paraId="695E903D" w14:textId="77777777" w:rsidTr="00644F66">
        <w:trPr>
          <w:trHeight w:val="260"/>
        </w:trPr>
        <w:tc>
          <w:tcPr>
            <w:tcW w:w="5000" w:type="pct"/>
            <w:tcBorders>
              <w:top w:val="nil"/>
              <w:bottom w:val="nil"/>
            </w:tcBorders>
            <w:shd w:val="clear" w:color="auto" w:fill="FBF3EC"/>
            <w:noWrap/>
            <w:tcMar>
              <w:top w:w="15" w:type="dxa"/>
              <w:left w:w="15" w:type="dxa"/>
              <w:bottom w:w="0" w:type="dxa"/>
              <w:right w:w="15" w:type="dxa"/>
            </w:tcMar>
          </w:tcPr>
          <w:p w14:paraId="4107F569"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Brewarrina Local Aboriginal Land Council (LALC) </w:t>
            </w:r>
          </w:p>
        </w:tc>
      </w:tr>
      <w:tr w:rsidR="0002786B" w:rsidRPr="0002786B" w14:paraId="33D3EA93"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BD05EDB" w14:textId="77777777" w:rsidR="00443F76" w:rsidRPr="0002786B" w:rsidRDefault="00443F76" w:rsidP="00AE6A2A">
            <w:pPr>
              <w:pStyle w:val="TableBody"/>
              <w:spacing w:before="45" w:after="45"/>
              <w:ind w:right="108"/>
              <w:rPr>
                <w:rFonts w:ascii="Arial (Body)" w:hAnsi="Arial (Body)" w:cs="Calibri Light"/>
              </w:rPr>
            </w:pPr>
            <w:bookmarkStart w:id="15" w:name="RANGE!D314"/>
            <w:r w:rsidRPr="0002786B">
              <w:rPr>
                <w:rFonts w:ascii="Arial (Body)" w:hAnsi="Arial (Body)" w:cs="Calibri Light"/>
              </w:rPr>
              <w:lastRenderedPageBreak/>
              <w:t xml:space="preserve">Brewarrina Shire Council </w:t>
            </w:r>
            <w:bookmarkEnd w:id="15"/>
          </w:p>
        </w:tc>
      </w:tr>
      <w:tr w:rsidR="0002786B" w:rsidRPr="0002786B" w14:paraId="5E441F17"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3DADC59"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Broome Regional Aboriginal Medical Service (BRAMS)</w:t>
            </w:r>
          </w:p>
        </w:tc>
      </w:tr>
      <w:tr w:rsidR="0002786B" w:rsidRPr="0002786B" w14:paraId="4FA94928"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669B09C" w14:textId="77777777" w:rsidR="00443F76" w:rsidRPr="0002786B" w:rsidRDefault="00443F76" w:rsidP="00AE6A2A">
            <w:pPr>
              <w:pStyle w:val="TableBody"/>
              <w:spacing w:before="45" w:after="45"/>
              <w:ind w:right="108"/>
              <w:rPr>
                <w:rFonts w:ascii="Arial (Body)" w:hAnsi="Arial (Body)" w:cs="Calibri Light"/>
              </w:rPr>
            </w:pPr>
            <w:bookmarkStart w:id="16" w:name="RANGE!D147"/>
            <w:r w:rsidRPr="0002786B">
              <w:rPr>
                <w:rFonts w:ascii="Arial (Body)" w:hAnsi="Arial (Body)" w:cs="Calibri Light"/>
              </w:rPr>
              <w:t>Bundiyarra Aboriginal Community</w:t>
            </w:r>
            <w:bookmarkEnd w:id="16"/>
          </w:p>
        </w:tc>
      </w:tr>
      <w:tr w:rsidR="0002786B" w:rsidRPr="0002786B" w14:paraId="3B45D203"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C68605E"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BushMob</w:t>
            </w:r>
          </w:p>
        </w:tc>
      </w:tr>
      <w:tr w:rsidR="0002786B" w:rsidRPr="0002786B" w14:paraId="2A62CE91"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0968B18" w14:textId="77777777" w:rsidR="00443F76" w:rsidRPr="0002786B" w:rsidRDefault="00443F76" w:rsidP="00AE6A2A">
            <w:pPr>
              <w:pStyle w:val="TableBody"/>
              <w:spacing w:before="45" w:after="45"/>
              <w:ind w:right="108"/>
              <w:rPr>
                <w:rFonts w:ascii="Arial (Body)" w:hAnsi="Arial (Body)" w:cs="Calibri Light"/>
              </w:rPr>
            </w:pPr>
            <w:bookmarkStart w:id="17" w:name="RANGE!D372"/>
            <w:r w:rsidRPr="0002786B">
              <w:rPr>
                <w:rFonts w:ascii="Arial (Body)" w:hAnsi="Arial (Body)" w:cs="Calibri Light"/>
              </w:rPr>
              <w:t>Ceduna Aboriginal Corporation</w:t>
            </w:r>
            <w:bookmarkEnd w:id="17"/>
          </w:p>
        </w:tc>
      </w:tr>
      <w:tr w:rsidR="0002786B" w:rsidRPr="0002786B" w14:paraId="0418A9B8"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B9B6905" w14:textId="77777777" w:rsidR="00443F76" w:rsidRPr="0002786B" w:rsidRDefault="00443F76" w:rsidP="00AE6A2A">
            <w:pPr>
              <w:pStyle w:val="TableBody"/>
              <w:spacing w:before="45" w:after="45"/>
              <w:ind w:right="108"/>
              <w:rPr>
                <w:rFonts w:ascii="Arial (Body)" w:hAnsi="Arial (Body)" w:cs="Calibri Light"/>
              </w:rPr>
            </w:pPr>
            <w:bookmarkStart w:id="18" w:name="RANGE!D390"/>
            <w:r w:rsidRPr="0002786B">
              <w:rPr>
                <w:rFonts w:ascii="Arial (Body)" w:hAnsi="Arial (Body)" w:cs="Calibri Light"/>
              </w:rPr>
              <w:t>Ceduna Drug and Alcohol Day Centre – Stepping Stones</w:t>
            </w:r>
            <w:bookmarkEnd w:id="18"/>
          </w:p>
        </w:tc>
      </w:tr>
      <w:tr w:rsidR="0002786B" w:rsidRPr="0002786B" w14:paraId="737BAA56"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413398DA"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Central Australian Aboriginal Congress (CAAC)</w:t>
            </w:r>
          </w:p>
        </w:tc>
      </w:tr>
      <w:tr w:rsidR="0002786B" w:rsidRPr="0002786B" w14:paraId="19A0FA70" w14:textId="77777777" w:rsidTr="006C7976">
        <w:tc>
          <w:tcPr>
            <w:tcW w:w="5000" w:type="pct"/>
            <w:tcBorders>
              <w:bottom w:val="nil"/>
            </w:tcBorders>
            <w:shd w:val="clear" w:color="auto" w:fill="FBF3EC"/>
          </w:tcPr>
          <w:p w14:paraId="6A42A42B"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 xml:space="preserve">Coalition of Peaks </w:t>
            </w:r>
          </w:p>
        </w:tc>
      </w:tr>
      <w:tr w:rsidR="0002786B" w:rsidRPr="0002786B" w14:paraId="542D0729"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4FB454FB"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Coffey, Norman </w:t>
            </w:r>
          </w:p>
        </w:tc>
      </w:tr>
      <w:tr w:rsidR="0002786B" w:rsidRPr="0002786B" w14:paraId="528214D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E7891E6"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Congress of Aboriginal and Torres Strait Islander Nurses and Midwives</w:t>
            </w:r>
          </w:p>
        </w:tc>
      </w:tr>
      <w:tr w:rsidR="0002786B" w:rsidRPr="0002786B" w14:paraId="1794F260"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3679390"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Coota Girls Aboriginal Corporation, Kinchela Boys Home Aboriginal Corporation (KBHC)</w:t>
            </w:r>
          </w:p>
        </w:tc>
      </w:tr>
      <w:tr w:rsidR="0002786B" w:rsidRPr="0002786B" w14:paraId="056C04DC"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823186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Curtis, Julia</w:t>
            </w:r>
          </w:p>
        </w:tc>
      </w:tr>
      <w:tr w:rsidR="0002786B" w:rsidRPr="0002786B" w14:paraId="3C011E72"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C030C71"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Danila Dilba Health Service</w:t>
            </w:r>
          </w:p>
        </w:tc>
      </w:tr>
      <w:tr w:rsidR="0002786B" w:rsidRPr="0002786B" w14:paraId="396B454B"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1F9DBA0"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Deadly Connections Community &amp; Justice</w:t>
            </w:r>
          </w:p>
        </w:tc>
      </w:tr>
      <w:tr w:rsidR="0002786B" w:rsidRPr="0002786B" w14:paraId="4792CF1B"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34E229D"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Defence South Australia</w:t>
            </w:r>
          </w:p>
        </w:tc>
      </w:tr>
      <w:tr w:rsidR="0002786B" w:rsidRPr="0002786B" w14:paraId="7764553A"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6201220" w14:textId="6623CFDA"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w:szCs w:val="22"/>
              </w:rPr>
              <w:t xml:space="preserve">Department of Communities and Justice </w:t>
            </w:r>
            <w:r w:rsidR="001005D7">
              <w:rPr>
                <w:rFonts w:ascii="Arial (Body)" w:hAnsi="Arial (Body)" w:cs="Calibri"/>
                <w:szCs w:val="22"/>
              </w:rPr>
              <w:t>(NSW)</w:t>
            </w:r>
          </w:p>
        </w:tc>
      </w:tr>
      <w:tr w:rsidR="0002786B" w:rsidRPr="0002786B" w14:paraId="61F2255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F2678B8" w14:textId="1A43BEAB"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Education</w:t>
            </w:r>
          </w:p>
        </w:tc>
      </w:tr>
      <w:tr w:rsidR="0002786B" w:rsidRPr="0002786B" w14:paraId="23CCC59B"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18FC6DD"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Environment and Water (SA)</w:t>
            </w:r>
          </w:p>
        </w:tc>
      </w:tr>
      <w:tr w:rsidR="0002786B" w:rsidRPr="0002786B" w14:paraId="161B5774"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1C5A36E"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Foreign Affairs and Trade</w:t>
            </w:r>
          </w:p>
        </w:tc>
      </w:tr>
      <w:tr w:rsidR="0002786B" w:rsidRPr="0002786B" w14:paraId="628607AE"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1F6C23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Health (SA)</w:t>
            </w:r>
          </w:p>
        </w:tc>
      </w:tr>
      <w:tr w:rsidR="0002786B" w:rsidRPr="0002786B" w14:paraId="49B2BAC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4AE18B88"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Human Services (SA)</w:t>
            </w:r>
          </w:p>
        </w:tc>
      </w:tr>
      <w:tr w:rsidR="0002786B" w:rsidRPr="0002786B" w14:paraId="5A97309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8B3F3A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Infrastructure and Water (SA)</w:t>
            </w:r>
          </w:p>
        </w:tc>
      </w:tr>
      <w:tr w:rsidR="0002786B" w:rsidRPr="0002786B" w14:paraId="31F398B7"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52F483F" w14:textId="30F90C93"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w:szCs w:val="22"/>
              </w:rPr>
              <w:t xml:space="preserve">Department of Justice </w:t>
            </w:r>
            <w:r w:rsidR="007C200D">
              <w:rPr>
                <w:rFonts w:ascii="Arial (Body)" w:hAnsi="Arial (Body)" w:cs="Calibri"/>
                <w:szCs w:val="22"/>
              </w:rPr>
              <w:t xml:space="preserve">(WA) </w:t>
            </w:r>
          </w:p>
        </w:tc>
      </w:tr>
      <w:tr w:rsidR="0002786B" w:rsidRPr="0002786B" w14:paraId="69EC6938"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93679D2" w14:textId="77777777" w:rsidR="00443F76" w:rsidRPr="0002786B" w:rsidRDefault="00443F76" w:rsidP="00AE6A2A">
            <w:pPr>
              <w:pStyle w:val="TableBody"/>
              <w:spacing w:before="45" w:after="45"/>
              <w:ind w:right="108"/>
              <w:rPr>
                <w:rFonts w:ascii="Arial (Body)" w:hAnsi="Arial (Body)" w:cs="Calibri Light"/>
              </w:rPr>
            </w:pPr>
            <w:bookmarkStart w:id="19" w:name="RANGE!D197"/>
            <w:r w:rsidRPr="0002786B">
              <w:rPr>
                <w:rFonts w:ascii="Arial (Body)" w:hAnsi="Arial (Body)" w:cs="Calibri Light"/>
              </w:rPr>
              <w:t>Department of Premier and Cabinet</w:t>
            </w:r>
            <w:bookmarkEnd w:id="19"/>
            <w:r w:rsidRPr="0002786B">
              <w:rPr>
                <w:rFonts w:ascii="Arial (Body)" w:hAnsi="Arial (Body)" w:cs="Calibri Light"/>
              </w:rPr>
              <w:t xml:space="preserve"> (TAS)</w:t>
            </w:r>
          </w:p>
        </w:tc>
      </w:tr>
      <w:tr w:rsidR="0002786B" w:rsidRPr="0002786B" w14:paraId="26A0F70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D8D73D1"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Premier and Cabinet (VIC)</w:t>
            </w:r>
          </w:p>
        </w:tc>
      </w:tr>
      <w:tr w:rsidR="0002786B" w:rsidRPr="0002786B" w14:paraId="7F577087"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0831F38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Premier and Cabinet (WA)</w:t>
            </w:r>
          </w:p>
        </w:tc>
      </w:tr>
      <w:tr w:rsidR="0002786B" w:rsidRPr="0002786B" w14:paraId="7FB750D1"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884F4FC"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Seniors, Disability Services and Aboriginal and Torres Strait Islander Partnerships (QLD)</w:t>
            </w:r>
          </w:p>
        </w:tc>
      </w:tr>
      <w:tr w:rsidR="0002786B" w:rsidRPr="0002786B" w14:paraId="5C83301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6A469FF"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Social Services</w:t>
            </w:r>
          </w:p>
        </w:tc>
      </w:tr>
      <w:tr w:rsidR="0002786B" w:rsidRPr="0002786B" w14:paraId="1B8CD38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FD8644E"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Department of Treasury and Finance (SA)</w:t>
            </w:r>
          </w:p>
        </w:tc>
      </w:tr>
      <w:tr w:rsidR="0002786B" w:rsidRPr="0002786B" w14:paraId="70FA7ABB"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049C086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Djirra </w:t>
            </w:r>
          </w:p>
        </w:tc>
      </w:tr>
      <w:tr w:rsidR="0002786B" w:rsidRPr="0002786B" w14:paraId="32A25631" w14:textId="77777777" w:rsidTr="00644F66">
        <w:trPr>
          <w:trHeight w:val="260"/>
        </w:trPr>
        <w:tc>
          <w:tcPr>
            <w:tcW w:w="5000" w:type="pct"/>
            <w:tcBorders>
              <w:top w:val="nil"/>
              <w:bottom w:val="nil"/>
            </w:tcBorders>
            <w:shd w:val="clear" w:color="000000" w:fill="auto"/>
            <w:noWrap/>
            <w:tcMar>
              <w:top w:w="15" w:type="dxa"/>
              <w:left w:w="15" w:type="dxa"/>
              <w:bottom w:w="0" w:type="dxa"/>
              <w:right w:w="15" w:type="dxa"/>
            </w:tcMar>
          </w:tcPr>
          <w:p w14:paraId="54433DAF" w14:textId="77777777" w:rsidR="00443F76" w:rsidRPr="0002786B" w:rsidRDefault="00443F76" w:rsidP="00AE6A2A">
            <w:pPr>
              <w:pStyle w:val="TableBody"/>
              <w:spacing w:before="45" w:after="45"/>
              <w:ind w:right="108"/>
              <w:rPr>
                <w:rFonts w:ascii="Arial (Body)" w:hAnsi="Arial (Body)" w:cs="Calibri Light"/>
              </w:rPr>
            </w:pPr>
            <w:bookmarkStart w:id="20" w:name="RANGE!D376"/>
            <w:r w:rsidRPr="0002786B">
              <w:rPr>
                <w:rFonts w:ascii="Arial (Body)" w:hAnsi="Arial (Body)" w:cs="Calibri Light"/>
              </w:rPr>
              <w:t>Far West Community Partnerships</w:t>
            </w:r>
            <w:bookmarkEnd w:id="20"/>
            <w:r w:rsidRPr="0002786B">
              <w:rPr>
                <w:rFonts w:ascii="Arial (Body)" w:hAnsi="Arial (Body)" w:cs="Calibri Light"/>
              </w:rPr>
              <w:t xml:space="preserve"> Ceduna</w:t>
            </w:r>
          </w:p>
        </w:tc>
      </w:tr>
      <w:tr w:rsidR="0002786B" w:rsidRPr="0002786B" w14:paraId="3184887D" w14:textId="77777777" w:rsidTr="00644F66">
        <w:trPr>
          <w:trHeight w:val="260"/>
        </w:trPr>
        <w:tc>
          <w:tcPr>
            <w:tcW w:w="5000" w:type="pct"/>
            <w:tcBorders>
              <w:bottom w:val="nil"/>
            </w:tcBorders>
            <w:shd w:val="clear" w:color="auto" w:fill="FBF3EC"/>
            <w:noWrap/>
            <w:tcMar>
              <w:top w:w="15" w:type="dxa"/>
              <w:left w:w="15" w:type="dxa"/>
              <w:bottom w:w="0" w:type="dxa"/>
              <w:right w:w="15" w:type="dxa"/>
            </w:tcMar>
          </w:tcPr>
          <w:p w14:paraId="18D153B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Federation of Victorian Traditional Owner Corporations (FVTOC)</w:t>
            </w:r>
          </w:p>
        </w:tc>
      </w:tr>
      <w:tr w:rsidR="0002786B" w:rsidRPr="0002786B" w14:paraId="5777AE2C" w14:textId="77777777" w:rsidTr="00644F66">
        <w:trPr>
          <w:trHeight w:val="260"/>
        </w:trPr>
        <w:tc>
          <w:tcPr>
            <w:tcW w:w="5000" w:type="pct"/>
            <w:tcBorders>
              <w:top w:val="nil"/>
              <w:bottom w:val="nil"/>
            </w:tcBorders>
            <w:shd w:val="clear" w:color="000000" w:fill="auto"/>
            <w:noWrap/>
            <w:tcMar>
              <w:top w:w="15" w:type="dxa"/>
              <w:left w:w="15" w:type="dxa"/>
              <w:bottom w:w="0" w:type="dxa"/>
              <w:right w:w="15" w:type="dxa"/>
            </w:tcMar>
          </w:tcPr>
          <w:p w14:paraId="4474FF6C"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First Nations Media Australia (FNMA)</w:t>
            </w:r>
          </w:p>
        </w:tc>
      </w:tr>
      <w:tr w:rsidR="0002786B" w:rsidRPr="0002786B" w14:paraId="2DB543BB"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561A2F4"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First Peoples Disability Network (FPDN)</w:t>
            </w:r>
          </w:p>
        </w:tc>
      </w:tr>
      <w:tr w:rsidR="0002786B" w:rsidRPr="0002786B" w14:paraId="3CBAFD8B"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DF435A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lastRenderedPageBreak/>
              <w:t xml:space="preserve">First Peoples’ Assembly of Victoria </w:t>
            </w:r>
          </w:p>
        </w:tc>
      </w:tr>
      <w:tr w:rsidR="0002786B" w:rsidRPr="0002786B" w14:paraId="72764A6C"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C9D87F9"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Frail, Janelle </w:t>
            </w:r>
          </w:p>
        </w:tc>
      </w:tr>
      <w:tr w:rsidR="0002786B" w:rsidRPr="0002786B" w14:paraId="334506A9"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F1211E3"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Garnduwa Amboorny Wirnan Aboriginal Corporation</w:t>
            </w:r>
          </w:p>
        </w:tc>
      </w:tr>
      <w:tr w:rsidR="0002786B" w:rsidRPr="0002786B" w14:paraId="50875DE5"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7A1D4906"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Gayaa Dhuwi Proud Spirit Australia (GDPSA)</w:t>
            </w:r>
          </w:p>
        </w:tc>
      </w:tr>
      <w:tr w:rsidR="0002786B" w:rsidRPr="0002786B" w14:paraId="090DA260"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429F7A0"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Gelganyem Limited</w:t>
            </w:r>
          </w:p>
        </w:tc>
      </w:tr>
      <w:tr w:rsidR="0002786B" w:rsidRPr="0002786B" w14:paraId="0292093C"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B1AEA0E"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Geraldton Regional Aboriginal Medical Services</w:t>
            </w:r>
          </w:p>
        </w:tc>
      </w:tr>
      <w:tr w:rsidR="0002786B" w:rsidRPr="0002786B" w14:paraId="36A3AC12"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778F6DF"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Gill, Neeraj </w:t>
            </w:r>
          </w:p>
        </w:tc>
      </w:tr>
      <w:tr w:rsidR="0002786B" w:rsidRPr="0002786B" w14:paraId="4D77B4E3"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00CFDF7" w14:textId="77777777" w:rsidR="00443F76" w:rsidRPr="0002786B" w:rsidRDefault="00443F76" w:rsidP="00AE6A2A">
            <w:pPr>
              <w:pStyle w:val="TableBody"/>
              <w:spacing w:before="45" w:after="45"/>
              <w:ind w:right="108"/>
              <w:rPr>
                <w:rFonts w:ascii="Arial (Body)" w:hAnsi="Arial (Body)" w:cs="Calibri"/>
              </w:rPr>
            </w:pPr>
            <w:r w:rsidRPr="0002786B">
              <w:rPr>
                <w:rFonts w:ascii="Arial (Body)" w:hAnsi="Arial (Body)" w:cs="Calibri"/>
              </w:rPr>
              <w:t xml:space="preserve">Goonawoona Jungai </w:t>
            </w:r>
          </w:p>
        </w:tc>
      </w:tr>
      <w:tr w:rsidR="0002786B" w:rsidRPr="0002786B" w14:paraId="6E7DA14F" w14:textId="77777777" w:rsidTr="006C7976">
        <w:trPr>
          <w:trHeight w:hRule="exact" w:val="438"/>
        </w:trPr>
        <w:tc>
          <w:tcPr>
            <w:tcW w:w="5000" w:type="pct"/>
            <w:tcBorders>
              <w:top w:val="nil"/>
              <w:bottom w:val="nil"/>
            </w:tcBorders>
            <w:shd w:val="clear" w:color="000000" w:fill="auto"/>
            <w:noWrap/>
            <w:tcMar>
              <w:top w:w="15" w:type="dxa"/>
              <w:left w:w="15" w:type="dxa"/>
              <w:bottom w:w="0" w:type="dxa"/>
              <w:right w:w="15" w:type="dxa"/>
            </w:tcMar>
          </w:tcPr>
          <w:p w14:paraId="04633F3C"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Government of South Australia</w:t>
            </w:r>
          </w:p>
        </w:tc>
      </w:tr>
      <w:tr w:rsidR="0002786B" w:rsidRPr="0002786B" w14:paraId="3EFB9EC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4A23C99" w14:textId="77777777" w:rsidR="00443F76" w:rsidRPr="0002786B" w:rsidRDefault="00443F76" w:rsidP="00AE6A2A">
            <w:pPr>
              <w:pStyle w:val="TableBody"/>
              <w:spacing w:before="45" w:after="45"/>
              <w:ind w:right="108"/>
              <w:rPr>
                <w:rFonts w:ascii="Arial (Body)" w:hAnsi="Arial (Body)" w:cs="Calibri"/>
                <w:szCs w:val="22"/>
              </w:rPr>
            </w:pPr>
            <w:r w:rsidRPr="0002786B">
              <w:rPr>
                <w:rFonts w:ascii="Arial (Body)" w:hAnsi="Arial (Body)" w:cs="Calibri"/>
                <w:szCs w:val="22"/>
              </w:rPr>
              <w:t>Greater Western Aboriginal Health Service</w:t>
            </w:r>
          </w:p>
        </w:tc>
      </w:tr>
      <w:tr w:rsidR="0002786B" w:rsidRPr="0002786B" w14:paraId="1894E80E"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608543F" w14:textId="77777777" w:rsidR="00443F76" w:rsidRPr="0002786B" w:rsidRDefault="00443F76" w:rsidP="00AE6A2A">
            <w:pPr>
              <w:pStyle w:val="TableBody"/>
              <w:spacing w:before="45" w:after="45"/>
              <w:ind w:right="108"/>
              <w:rPr>
                <w:rFonts w:ascii="Arial (Body)" w:hAnsi="Arial (Body)" w:cs="Calibri"/>
              </w:rPr>
            </w:pPr>
            <w:r w:rsidRPr="0002786B">
              <w:rPr>
                <w:rFonts w:ascii="Arial (Body)" w:hAnsi="Arial (Body)" w:cs="Calibri"/>
              </w:rPr>
              <w:t>Groote Eylandt Bickerton Island Primary College Aboriginal Corporation (GEBIPCAC)</w:t>
            </w:r>
          </w:p>
        </w:tc>
      </w:tr>
      <w:tr w:rsidR="0002786B" w:rsidRPr="0002786B" w14:paraId="7707FDF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3971B88" w14:textId="77777777" w:rsidR="00443F76" w:rsidRPr="0002786B" w:rsidRDefault="00443F76" w:rsidP="00AE6A2A">
            <w:pPr>
              <w:pStyle w:val="TableBody"/>
              <w:spacing w:before="45" w:after="45"/>
              <w:ind w:right="108"/>
              <w:rPr>
                <w:rFonts w:ascii="Arial (Body)" w:hAnsi="Arial (Body)" w:cs="Arial"/>
              </w:rPr>
            </w:pPr>
            <w:bookmarkStart w:id="21" w:name="RANGE!D60"/>
            <w:r w:rsidRPr="0002786B">
              <w:rPr>
                <w:rFonts w:ascii="Arial (Body)" w:hAnsi="Arial (Body)" w:cs="Calibri Light"/>
              </w:rPr>
              <w:t xml:space="preserve">Gumatj Aboriginal Corporation Ltd </w:t>
            </w:r>
            <w:bookmarkEnd w:id="21"/>
          </w:p>
        </w:tc>
      </w:tr>
      <w:tr w:rsidR="0002786B" w:rsidRPr="0002786B" w14:paraId="759A456B"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8A679C6"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Gunditj Mirring Traditional Owners Aboriginal Corporation</w:t>
            </w:r>
          </w:p>
        </w:tc>
      </w:tr>
      <w:tr w:rsidR="0002786B" w:rsidRPr="0002786B" w14:paraId="76E6E08B"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A66055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Healing Foundation </w:t>
            </w:r>
          </w:p>
        </w:tc>
      </w:tr>
      <w:tr w:rsidR="0002786B" w:rsidRPr="0002786B" w14:paraId="6B2DA1BC"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24138D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Indigenous Allied Health Australia </w:t>
            </w:r>
          </w:p>
        </w:tc>
      </w:tr>
      <w:tr w:rsidR="0002786B" w:rsidRPr="0002786B" w14:paraId="081A2A2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0A29425"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Indigenous Education Consultative Meeting (IECM)</w:t>
            </w:r>
          </w:p>
        </w:tc>
      </w:tr>
      <w:tr w:rsidR="0002786B" w:rsidRPr="0002786B" w14:paraId="62DE1517"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ED0FF46" w14:textId="77777777" w:rsidR="00443F76" w:rsidRPr="0002786B" w:rsidRDefault="00443F76" w:rsidP="00AE6A2A">
            <w:pPr>
              <w:pStyle w:val="TableBody"/>
              <w:spacing w:before="45" w:after="45"/>
              <w:ind w:right="108"/>
              <w:rPr>
                <w:rFonts w:ascii="Arial (Body)" w:hAnsi="Arial (Body)" w:cs="Calibri Light"/>
              </w:rPr>
            </w:pPr>
            <w:bookmarkStart w:id="22" w:name="RANGE!D150"/>
            <w:r w:rsidRPr="0002786B">
              <w:rPr>
                <w:rFonts w:ascii="Arial (Body)" w:hAnsi="Arial (Body)" w:cs="Calibri Light"/>
              </w:rPr>
              <w:t>Institute of Urban Indigenous Health</w:t>
            </w:r>
            <w:bookmarkEnd w:id="22"/>
            <w:r w:rsidRPr="0002786B">
              <w:rPr>
                <w:rFonts w:ascii="Arial (Body)" w:hAnsi="Arial (Body)" w:cs="Calibri Light"/>
              </w:rPr>
              <w:t xml:space="preserve"> (IUIH)</w:t>
            </w:r>
          </w:p>
        </w:tc>
      </w:tr>
      <w:tr w:rsidR="0002786B" w:rsidRPr="0002786B" w14:paraId="20D8F2C8"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7CDC0C83"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Justice Policy Partnership Secretariat (NT)</w:t>
            </w:r>
          </w:p>
        </w:tc>
      </w:tr>
      <w:tr w:rsidR="0002786B" w:rsidRPr="0002786B" w14:paraId="5298E25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DE6996E"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Kimberley Land Council</w:t>
            </w:r>
          </w:p>
        </w:tc>
      </w:tr>
      <w:tr w:rsidR="0002786B" w:rsidRPr="0002786B" w14:paraId="181C8330"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E2FBAC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Koorie Youth Council (KYC)</w:t>
            </w:r>
          </w:p>
        </w:tc>
      </w:tr>
      <w:tr w:rsidR="0002786B" w:rsidRPr="0002786B" w14:paraId="20C56A5E"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8E192B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Kurbingui Youth and Family Development</w:t>
            </w:r>
          </w:p>
        </w:tc>
      </w:tr>
      <w:tr w:rsidR="0002786B" w:rsidRPr="0002786B" w14:paraId="7FE0B4C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08E585C"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Larrakia Nation Aboriginal Corporation</w:t>
            </w:r>
          </w:p>
        </w:tc>
      </w:tr>
      <w:tr w:rsidR="0002786B" w:rsidRPr="0002786B" w14:paraId="1996F846"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A855EE9"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Laynhapuy Homelands Aboriginal Corporation </w:t>
            </w:r>
          </w:p>
        </w:tc>
      </w:tr>
      <w:tr w:rsidR="0002786B" w:rsidRPr="0002786B" w14:paraId="7990501D"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FBF50EC"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Lena Passi Women’s Shelter Association</w:t>
            </w:r>
          </w:p>
        </w:tc>
      </w:tr>
      <w:tr w:rsidR="0002786B" w:rsidRPr="0002786B" w14:paraId="2DFC6DD4"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05E5555"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Life Without Barriers</w:t>
            </w:r>
          </w:p>
        </w:tc>
      </w:tr>
      <w:tr w:rsidR="0002786B" w:rsidRPr="0002786B" w14:paraId="636ACAC6"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80E3096" w14:textId="77777777" w:rsidR="00443F76" w:rsidRPr="0002786B" w:rsidRDefault="00443F76" w:rsidP="00AE6A2A">
            <w:pPr>
              <w:pStyle w:val="TableBody"/>
              <w:spacing w:before="45" w:after="45"/>
              <w:ind w:right="108"/>
              <w:rPr>
                <w:rFonts w:ascii="Arial (Body)" w:hAnsi="Arial (Body)" w:cs="Calibri Light"/>
              </w:rPr>
            </w:pPr>
            <w:bookmarkStart w:id="23" w:name="RANGE!D173"/>
            <w:r w:rsidRPr="0002786B">
              <w:rPr>
                <w:rFonts w:ascii="Arial (Body)" w:hAnsi="Arial (Body)" w:cs="Calibri Light"/>
              </w:rPr>
              <w:t>Literacy for Life Foundation</w:t>
            </w:r>
            <w:bookmarkEnd w:id="23"/>
          </w:p>
        </w:tc>
      </w:tr>
      <w:tr w:rsidR="0002786B" w:rsidRPr="0002786B" w14:paraId="67AE073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2F1F76F"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Lowitja Institute</w:t>
            </w:r>
          </w:p>
        </w:tc>
      </w:tr>
      <w:tr w:rsidR="0002786B" w:rsidRPr="0002786B" w14:paraId="26A524D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A576AB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Minjerribah Moorgumpin Elders in Council Aboriginal Corporation </w:t>
            </w:r>
          </w:p>
        </w:tc>
      </w:tr>
      <w:tr w:rsidR="0002786B" w:rsidRPr="0002786B" w14:paraId="35E6D1D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8829DA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Mission Australia</w:t>
            </w:r>
          </w:p>
        </w:tc>
      </w:tr>
      <w:tr w:rsidR="0002786B" w:rsidRPr="0002786B" w14:paraId="459A287F" w14:textId="77777777" w:rsidTr="00644F66">
        <w:trPr>
          <w:trHeight w:val="260"/>
        </w:trPr>
        <w:tc>
          <w:tcPr>
            <w:tcW w:w="5000" w:type="pct"/>
            <w:tcBorders>
              <w:bottom w:val="nil"/>
            </w:tcBorders>
            <w:shd w:val="clear" w:color="auto" w:fill="FBF3EC"/>
            <w:noWrap/>
            <w:tcMar>
              <w:top w:w="15" w:type="dxa"/>
              <w:left w:w="15" w:type="dxa"/>
              <w:bottom w:w="0" w:type="dxa"/>
              <w:right w:w="15" w:type="dxa"/>
            </w:tcMar>
          </w:tcPr>
          <w:p w14:paraId="730C9AC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Miwatj Health Aboriginal Corporation</w:t>
            </w:r>
          </w:p>
        </w:tc>
      </w:tr>
      <w:tr w:rsidR="0002786B" w:rsidRPr="0002786B" w14:paraId="7C854718" w14:textId="77777777" w:rsidTr="00644F66">
        <w:trPr>
          <w:trHeight w:val="260"/>
        </w:trPr>
        <w:tc>
          <w:tcPr>
            <w:tcW w:w="5000" w:type="pct"/>
            <w:tcBorders>
              <w:top w:val="nil"/>
              <w:bottom w:val="nil"/>
            </w:tcBorders>
            <w:shd w:val="clear" w:color="000000" w:fill="auto"/>
            <w:noWrap/>
            <w:tcMar>
              <w:top w:w="15" w:type="dxa"/>
              <w:left w:w="15" w:type="dxa"/>
              <w:bottom w:w="0" w:type="dxa"/>
              <w:right w:w="15" w:type="dxa"/>
            </w:tcMar>
          </w:tcPr>
          <w:p w14:paraId="46105B24"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Mura Kosker Sorority</w:t>
            </w:r>
          </w:p>
        </w:tc>
      </w:tr>
      <w:tr w:rsidR="0002786B" w:rsidRPr="0002786B" w14:paraId="0B52956A" w14:textId="77777777" w:rsidTr="00644F66">
        <w:trPr>
          <w:trHeight w:val="260"/>
        </w:trPr>
        <w:tc>
          <w:tcPr>
            <w:tcW w:w="5000" w:type="pct"/>
            <w:tcBorders>
              <w:top w:val="nil"/>
              <w:bottom w:val="nil"/>
            </w:tcBorders>
            <w:shd w:val="clear" w:color="auto" w:fill="FBF3EC"/>
            <w:noWrap/>
            <w:tcMar>
              <w:top w:w="15" w:type="dxa"/>
              <w:left w:w="15" w:type="dxa"/>
              <w:bottom w:w="0" w:type="dxa"/>
              <w:right w:w="15" w:type="dxa"/>
            </w:tcMar>
          </w:tcPr>
          <w:p w14:paraId="20056DD0"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National Aboriginal and Torres Strait Islander Legal Service (NATSILS)</w:t>
            </w:r>
          </w:p>
        </w:tc>
      </w:tr>
      <w:tr w:rsidR="0002786B" w:rsidRPr="0002786B" w14:paraId="397C53DE"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A3AB69B"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National Association of Aboriginal and Torres Strait Islander Health Workers and Practitioners (NAATSIHWP)</w:t>
            </w:r>
          </w:p>
        </w:tc>
      </w:tr>
      <w:tr w:rsidR="0002786B" w:rsidRPr="0002786B" w14:paraId="2980FD61"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71AA335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lastRenderedPageBreak/>
              <w:t>National Disability Insurance Scheme (NDIS) Review</w:t>
            </w:r>
          </w:p>
        </w:tc>
      </w:tr>
      <w:tr w:rsidR="0002786B" w:rsidRPr="0002786B" w14:paraId="18AD6DF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4854B7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National Health Leadership Forum (NHLF)</w:t>
            </w:r>
          </w:p>
        </w:tc>
      </w:tr>
      <w:tr w:rsidR="0002786B" w:rsidRPr="0002786B" w14:paraId="2A50D65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060BD73"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National Indigenous Australians Agency (NIAA)</w:t>
            </w:r>
          </w:p>
        </w:tc>
      </w:tr>
      <w:tr w:rsidR="0002786B" w:rsidRPr="0002786B" w14:paraId="0707FC46"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A3CBC1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National Native Title Council</w:t>
            </w:r>
          </w:p>
        </w:tc>
      </w:tr>
      <w:tr w:rsidR="0002786B" w:rsidRPr="0002786B" w14:paraId="50E1EF67"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865B51D"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New South Wales Government</w:t>
            </w:r>
          </w:p>
        </w:tc>
      </w:tr>
      <w:tr w:rsidR="0002786B" w:rsidRPr="0002786B" w14:paraId="47F6970B"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6AA2268"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New South Wales Government Partnership Working Group Representative</w:t>
            </w:r>
          </w:p>
        </w:tc>
      </w:tr>
      <w:tr w:rsidR="0002786B" w:rsidRPr="0002786B" w14:paraId="4E6B098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A0D61B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New South Wales Police Force</w:t>
            </w:r>
          </w:p>
        </w:tc>
      </w:tr>
      <w:tr w:rsidR="0002786B" w:rsidRPr="0002786B" w14:paraId="1D360470"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B58EAD6"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New Zealand Government</w:t>
            </w:r>
          </w:p>
        </w:tc>
      </w:tr>
      <w:tr w:rsidR="0002786B" w:rsidRPr="0002786B" w14:paraId="22A2408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C54F75B"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Ngaanyatjarra, Pitjantjatjara and Yankunytjatjara (NPY) Women’s Council</w:t>
            </w:r>
          </w:p>
        </w:tc>
      </w:tr>
      <w:tr w:rsidR="0002786B" w:rsidRPr="0002786B" w14:paraId="06B2CFE4"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4591D55B"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w:szCs w:val="22"/>
              </w:rPr>
              <w:t xml:space="preserve">North Australian Aboriginal Justice Agency (NAAJA) </w:t>
            </w:r>
          </w:p>
        </w:tc>
      </w:tr>
      <w:tr w:rsidR="0002786B" w:rsidRPr="0002786B" w14:paraId="25423AE8"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4DE0A6A"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North Queensland Land Council</w:t>
            </w:r>
          </w:p>
        </w:tc>
      </w:tr>
      <w:tr w:rsidR="0002786B" w:rsidRPr="0002786B" w14:paraId="77E5AF77"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8DAAB2C"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Northern Aboriginal &amp; Torres Strait Islander Health Alliance (NATSIHA)</w:t>
            </w:r>
          </w:p>
        </w:tc>
      </w:tr>
      <w:tr w:rsidR="0002786B" w:rsidRPr="0002786B" w14:paraId="4FEB36E6"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1896B6E"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Northern Territory Government</w:t>
            </w:r>
          </w:p>
        </w:tc>
      </w:tr>
      <w:tr w:rsidR="0002786B" w:rsidRPr="0002786B" w14:paraId="3122EFC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DA5EA87"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Northern Territory Government Partnership Working Group Representative</w:t>
            </w:r>
          </w:p>
        </w:tc>
      </w:tr>
      <w:tr w:rsidR="0002786B" w:rsidRPr="0002786B" w14:paraId="7350736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4553149"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Northern Territory Government Regional Network Group</w:t>
            </w:r>
          </w:p>
        </w:tc>
      </w:tr>
      <w:tr w:rsidR="0002786B" w:rsidRPr="0002786B" w14:paraId="5577C4BD"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067B42B"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NSW Aboriginal Land Council</w:t>
            </w:r>
          </w:p>
        </w:tc>
      </w:tr>
      <w:tr w:rsidR="0002786B" w:rsidRPr="0002786B" w14:paraId="5A81C757"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EC36EE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NSW Child, Family and Community Peak Aboriginal Corporation (AbSec)</w:t>
            </w:r>
          </w:p>
        </w:tc>
      </w:tr>
      <w:tr w:rsidR="0002786B" w:rsidRPr="0002786B" w14:paraId="262404C6"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FC93C88"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w:szCs w:val="22"/>
              </w:rPr>
              <w:t xml:space="preserve">NSW Coalition of Aboriginal Peak Organisations (NSW CAPO) </w:t>
            </w:r>
          </w:p>
        </w:tc>
      </w:tr>
      <w:tr w:rsidR="0002786B" w:rsidRPr="0002786B" w14:paraId="4D6519F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ED7F1D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NSW Treasury</w:t>
            </w:r>
          </w:p>
        </w:tc>
      </w:tr>
      <w:tr w:rsidR="0002786B" w:rsidRPr="0002786B" w14:paraId="574CCEF4"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AA14124"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Nunkuwarrin Yunti of SA Inc.</w:t>
            </w:r>
          </w:p>
        </w:tc>
      </w:tr>
      <w:tr w:rsidR="0002786B" w:rsidRPr="0002786B" w14:paraId="4549284D"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8AC4E6B"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Nyamba Buru Yawuru Limited</w:t>
            </w:r>
          </w:p>
        </w:tc>
      </w:tr>
      <w:tr w:rsidR="0002786B" w:rsidRPr="0002786B" w14:paraId="52BDDBB7"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29BEC1D" w14:textId="77777777" w:rsidR="00443F76" w:rsidRPr="0002786B" w:rsidRDefault="00443F76" w:rsidP="00AE6A2A">
            <w:pPr>
              <w:pStyle w:val="TableBody"/>
              <w:spacing w:before="45" w:after="45"/>
              <w:ind w:right="108"/>
              <w:rPr>
                <w:rFonts w:ascii="Arial (Body)" w:hAnsi="Arial (Body)" w:cs="Arial"/>
              </w:rPr>
            </w:pPr>
            <w:bookmarkStart w:id="24" w:name="RANGE!D132"/>
            <w:r w:rsidRPr="0002786B">
              <w:rPr>
                <w:rFonts w:ascii="Arial (Body)" w:hAnsi="Arial (Body)" w:cs="Calibri Light"/>
              </w:rPr>
              <w:t xml:space="preserve">Nyoongar Outreach Services </w:t>
            </w:r>
            <w:bookmarkEnd w:id="24"/>
          </w:p>
        </w:tc>
      </w:tr>
      <w:tr w:rsidR="0002786B" w:rsidRPr="0002786B" w14:paraId="7D149778"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8A2EABF"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Office of Data and Analytics (SA)</w:t>
            </w:r>
          </w:p>
        </w:tc>
      </w:tr>
      <w:tr w:rsidR="0002786B" w:rsidRPr="0002786B" w14:paraId="21DB104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A03E0FD"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Office of the Children’s Commissioner Northern Territory</w:t>
            </w:r>
          </w:p>
        </w:tc>
      </w:tr>
      <w:tr w:rsidR="0002786B" w:rsidRPr="0002786B" w14:paraId="2104D30E"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6C0BF00B"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Office of the Commissioner for Public Sector Employment (SA)</w:t>
            </w:r>
          </w:p>
        </w:tc>
      </w:tr>
      <w:tr w:rsidR="0002786B" w:rsidRPr="0002786B" w14:paraId="0C46E262"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12179B4"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Office of the National Data Commissioner</w:t>
            </w:r>
          </w:p>
        </w:tc>
      </w:tr>
      <w:tr w:rsidR="0002786B" w:rsidRPr="0002786B" w14:paraId="1C3EAE0B"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66783F9"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PwC’s Indigenous Consulting</w:t>
            </w:r>
          </w:p>
        </w:tc>
      </w:tr>
      <w:tr w:rsidR="0002786B" w:rsidRPr="0002786B" w14:paraId="56D31FA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BA79385" w14:textId="77777777" w:rsidR="00443F76" w:rsidRPr="0002786B" w:rsidRDefault="00443F76" w:rsidP="00AE6A2A">
            <w:pPr>
              <w:pStyle w:val="TableBody"/>
              <w:spacing w:before="45" w:after="45"/>
              <w:ind w:right="108"/>
              <w:rPr>
                <w:rFonts w:ascii="Arial (Body)" w:hAnsi="Arial (Body)" w:cs="Calibri Light"/>
              </w:rPr>
            </w:pPr>
            <w:bookmarkStart w:id="25" w:name="RANGE!D151"/>
            <w:r w:rsidRPr="0002786B">
              <w:rPr>
                <w:rFonts w:ascii="Arial (Body)" w:hAnsi="Arial (Body)" w:cs="Calibri Light"/>
              </w:rPr>
              <w:t>Queensland Aboriginal and Islander Health Council</w:t>
            </w:r>
            <w:bookmarkEnd w:id="25"/>
          </w:p>
        </w:tc>
      </w:tr>
      <w:tr w:rsidR="0002786B" w:rsidRPr="0002786B" w14:paraId="375D7BEA"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7C71DDF8"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Queensland Aboriginal and Torres Strait Islander Child Protection Peak (QATSICPP)</w:t>
            </w:r>
          </w:p>
        </w:tc>
      </w:tr>
      <w:tr w:rsidR="0002786B" w:rsidRPr="0002786B" w14:paraId="57AE80B6" w14:textId="77777777" w:rsidTr="00644F66">
        <w:trPr>
          <w:trHeight w:val="260"/>
        </w:trPr>
        <w:tc>
          <w:tcPr>
            <w:tcW w:w="5000" w:type="pct"/>
            <w:tcBorders>
              <w:top w:val="nil"/>
              <w:bottom w:val="nil"/>
            </w:tcBorders>
            <w:shd w:val="clear" w:color="000000" w:fill="auto"/>
            <w:noWrap/>
            <w:tcMar>
              <w:top w:w="15" w:type="dxa"/>
              <w:left w:w="15" w:type="dxa"/>
              <w:bottom w:w="0" w:type="dxa"/>
              <w:right w:w="15" w:type="dxa"/>
            </w:tcMar>
          </w:tcPr>
          <w:p w14:paraId="18678D90"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Queensland Aboriginal and Torres Strait Islander Coalition (QATSIC)</w:t>
            </w:r>
          </w:p>
        </w:tc>
      </w:tr>
      <w:tr w:rsidR="0002786B" w:rsidRPr="0002786B" w14:paraId="1D5C6396" w14:textId="77777777" w:rsidTr="00644F66">
        <w:trPr>
          <w:trHeight w:val="260"/>
        </w:trPr>
        <w:tc>
          <w:tcPr>
            <w:tcW w:w="5000" w:type="pct"/>
            <w:tcBorders>
              <w:bottom w:val="nil"/>
            </w:tcBorders>
            <w:shd w:val="clear" w:color="auto" w:fill="FBF3EC"/>
            <w:noWrap/>
            <w:tcMar>
              <w:top w:w="15" w:type="dxa"/>
              <w:left w:w="15" w:type="dxa"/>
              <w:bottom w:w="0" w:type="dxa"/>
              <w:right w:w="15" w:type="dxa"/>
            </w:tcMar>
          </w:tcPr>
          <w:p w14:paraId="5C8CB72F"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Queensland Family and Child Commission (QFCC)</w:t>
            </w:r>
          </w:p>
        </w:tc>
      </w:tr>
      <w:tr w:rsidR="0002786B" w:rsidRPr="0002786B" w14:paraId="533BE23E" w14:textId="77777777" w:rsidTr="00644F66">
        <w:trPr>
          <w:trHeight w:val="260"/>
        </w:trPr>
        <w:tc>
          <w:tcPr>
            <w:tcW w:w="5000" w:type="pct"/>
            <w:tcBorders>
              <w:top w:val="nil"/>
              <w:bottom w:val="nil"/>
            </w:tcBorders>
            <w:shd w:val="clear" w:color="000000" w:fill="auto"/>
            <w:noWrap/>
            <w:tcMar>
              <w:top w:w="15" w:type="dxa"/>
              <w:left w:w="15" w:type="dxa"/>
              <w:bottom w:w="0" w:type="dxa"/>
              <w:right w:w="15" w:type="dxa"/>
            </w:tcMar>
          </w:tcPr>
          <w:p w14:paraId="7C653F5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Queensland Government</w:t>
            </w:r>
          </w:p>
        </w:tc>
      </w:tr>
      <w:tr w:rsidR="0002786B" w:rsidRPr="0002786B" w14:paraId="6A64BB8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B634542"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Queensland Government Partnership Working Group Representative</w:t>
            </w:r>
          </w:p>
        </w:tc>
      </w:tr>
      <w:tr w:rsidR="0002786B" w:rsidRPr="0002786B" w14:paraId="79E9EE11"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57C3AD6"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lastRenderedPageBreak/>
              <w:t>Queensland Indigenous Family Violence Legal Service (QIFVLS)</w:t>
            </w:r>
          </w:p>
        </w:tc>
      </w:tr>
      <w:tr w:rsidR="0002786B" w:rsidRPr="0002786B" w14:paraId="3EFF089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E5F099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Red Cross Men’s meeting group Ceduna</w:t>
            </w:r>
          </w:p>
        </w:tc>
      </w:tr>
      <w:tr w:rsidR="0002786B" w:rsidRPr="0002786B" w14:paraId="54BB8CD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8F89D68"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Relationships Australia</w:t>
            </w:r>
          </w:p>
        </w:tc>
      </w:tr>
      <w:tr w:rsidR="0002786B" w:rsidRPr="0002786B" w14:paraId="2CF8533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A175A84"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 xml:space="preserve">Remote Area Aboriginal &amp; Torres Strait Islander Child Care </w:t>
            </w:r>
            <w:r w:rsidRPr="0002786B">
              <w:rPr>
                <w:rFonts w:ascii="Arial (Body)" w:hAnsi="Arial (Body)" w:cs="Calibri Light"/>
              </w:rPr>
              <w:noBreakHyphen/>
              <w:t xml:space="preserve"> Advisory Association Inc (RAATSICC)</w:t>
            </w:r>
          </w:p>
        </w:tc>
      </w:tr>
      <w:tr w:rsidR="0002786B" w:rsidRPr="0002786B" w14:paraId="03ECE724"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4D9C6574"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SA Housing Authority</w:t>
            </w:r>
          </w:p>
        </w:tc>
      </w:tr>
      <w:tr w:rsidR="0002786B" w:rsidRPr="0002786B" w14:paraId="72A0A979"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26BF4F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Salvation Army</w:t>
            </w:r>
          </w:p>
        </w:tc>
      </w:tr>
      <w:tr w:rsidR="0002786B" w:rsidRPr="0002786B" w14:paraId="47F925FC"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189284B0"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SEARMS Community Housing Aboriginal Corporation</w:t>
            </w:r>
          </w:p>
        </w:tc>
      </w:tr>
      <w:tr w:rsidR="0002786B" w:rsidRPr="0002786B" w14:paraId="0D23647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C330A6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Sisters Inside Inc</w:t>
            </w:r>
          </w:p>
        </w:tc>
      </w:tr>
      <w:tr w:rsidR="0002786B" w:rsidRPr="0002786B" w14:paraId="373640C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1D3036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SNAICC – National Voice for our Children</w:t>
            </w:r>
          </w:p>
        </w:tc>
      </w:tr>
      <w:tr w:rsidR="0002786B" w:rsidRPr="0002786B" w14:paraId="044F209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7604BF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South Australia Government Aboriginal Affairs and Reconciliation (SA)</w:t>
            </w:r>
          </w:p>
        </w:tc>
      </w:tr>
      <w:tr w:rsidR="0002786B" w:rsidRPr="0002786B" w14:paraId="0DD21B9B"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AA317BA"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South Australia Government Partnership Working Group Representative</w:t>
            </w:r>
          </w:p>
        </w:tc>
      </w:tr>
      <w:tr w:rsidR="0002786B" w:rsidRPr="0002786B" w14:paraId="6A96CDD1"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079C567"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South Australia Police</w:t>
            </w:r>
          </w:p>
        </w:tc>
      </w:tr>
      <w:tr w:rsidR="0002786B" w:rsidRPr="0002786B" w14:paraId="04FDFAD9" w14:textId="77777777" w:rsidTr="00AE6A2A">
        <w:tc>
          <w:tcPr>
            <w:tcW w:w="5000" w:type="pct"/>
            <w:tcBorders>
              <w:top w:val="nil"/>
              <w:bottom w:val="nil"/>
            </w:tcBorders>
            <w:shd w:val="clear" w:color="000000" w:fill="auto"/>
          </w:tcPr>
          <w:p w14:paraId="3662BD1E"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w:szCs w:val="22"/>
              </w:rPr>
              <w:t>South Australian Aboriginal Community Controlled Organisation Network (SAACON)</w:t>
            </w:r>
          </w:p>
        </w:tc>
      </w:tr>
      <w:tr w:rsidR="0002786B" w:rsidRPr="0002786B" w14:paraId="2441655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E8D0D3B"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South Australian Tourism Commission</w:t>
            </w:r>
          </w:p>
        </w:tc>
      </w:tr>
      <w:tr w:rsidR="0002786B" w:rsidRPr="0002786B" w14:paraId="52B95F0D"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BD919A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South East Tasmanian Aboriginal Corporation</w:t>
            </w:r>
          </w:p>
        </w:tc>
      </w:tr>
      <w:tr w:rsidR="0002786B" w:rsidRPr="0002786B" w14:paraId="51C9955D"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C8051A9"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South West Aboriginal Land and Sea Council (SWALSC)</w:t>
            </w:r>
          </w:p>
        </w:tc>
      </w:tr>
      <w:tr w:rsidR="0002786B" w:rsidRPr="0002786B" w14:paraId="22E00F18"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D73E9E0"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Stradbroke Island Community Forums </w:t>
            </w:r>
          </w:p>
        </w:tc>
      </w:tr>
      <w:tr w:rsidR="0002786B" w:rsidRPr="0002786B" w14:paraId="59A2AEB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08AFC199"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Straddie Adventures</w:t>
            </w:r>
          </w:p>
        </w:tc>
      </w:tr>
      <w:tr w:rsidR="0002786B" w:rsidRPr="0002786B" w14:paraId="26BB0E11"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114D1A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Sydney Region Aboriginal Corporation </w:t>
            </w:r>
          </w:p>
        </w:tc>
      </w:tr>
      <w:tr w:rsidR="0002786B" w:rsidRPr="0002786B" w14:paraId="2B3D0B4D"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71177053"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Tasmania Government Partnership Working Group Representative</w:t>
            </w:r>
          </w:p>
        </w:tc>
      </w:tr>
      <w:tr w:rsidR="0002786B" w:rsidRPr="0002786B" w14:paraId="4956A7C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5FE75938" w14:textId="1799F37D"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Tasmanian Aboriginal Centre</w:t>
            </w:r>
            <w:r w:rsidR="00B2029A">
              <w:rPr>
                <w:rFonts w:ascii="Arial (Body)" w:hAnsi="Arial (Body)" w:cs="Calibri Light"/>
              </w:rPr>
              <w:t xml:space="preserve"> (TAC)</w:t>
            </w:r>
          </w:p>
        </w:tc>
      </w:tr>
      <w:tr w:rsidR="0002786B" w:rsidRPr="0002786B" w14:paraId="062C8FB6"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C6FC02F"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Tasmanian Aboriginal Legal Service (TALS)</w:t>
            </w:r>
          </w:p>
        </w:tc>
      </w:tr>
      <w:tr w:rsidR="0002786B" w:rsidRPr="0002786B" w14:paraId="5961BB8B"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691FB47"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Tauondi Aboriginal College</w:t>
            </w:r>
          </w:p>
        </w:tc>
      </w:tr>
      <w:tr w:rsidR="0002786B" w:rsidRPr="0002786B" w14:paraId="4F98C20D"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5649AF1"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Telethon Kids Institute </w:t>
            </w:r>
          </w:p>
        </w:tc>
      </w:tr>
      <w:tr w:rsidR="0002786B" w:rsidRPr="0002786B" w14:paraId="286777CB"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25956E6"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The Murri School</w:t>
            </w:r>
          </w:p>
        </w:tc>
      </w:tr>
      <w:tr w:rsidR="0002786B" w:rsidRPr="0002786B" w14:paraId="48B8689E"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46B701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Toombs, Maree </w:t>
            </w:r>
          </w:p>
        </w:tc>
      </w:tr>
      <w:tr w:rsidR="0002786B" w:rsidRPr="0002786B" w14:paraId="36C901EC"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59240B3"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Torres Shire Council</w:t>
            </w:r>
          </w:p>
        </w:tc>
      </w:tr>
      <w:tr w:rsidR="0002786B" w:rsidRPr="0002786B" w14:paraId="4B62A874"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85B8DFB"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Torres Strait Regional Authority (TSRA)</w:t>
            </w:r>
          </w:p>
        </w:tc>
      </w:tr>
      <w:tr w:rsidR="0002786B" w:rsidRPr="0002786B" w14:paraId="52F768A1"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22E554E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Tullawon Health </w:t>
            </w:r>
          </w:p>
        </w:tc>
      </w:tr>
      <w:tr w:rsidR="0002786B" w:rsidRPr="0002786B" w14:paraId="57037554" w14:textId="77777777" w:rsidTr="00E70546">
        <w:trPr>
          <w:trHeight w:val="260"/>
        </w:trPr>
        <w:tc>
          <w:tcPr>
            <w:tcW w:w="5000" w:type="pct"/>
            <w:tcBorders>
              <w:bottom w:val="nil"/>
            </w:tcBorders>
            <w:shd w:val="clear" w:color="auto" w:fill="FBF3EC"/>
            <w:noWrap/>
            <w:tcMar>
              <w:top w:w="15" w:type="dxa"/>
              <w:left w:w="15" w:type="dxa"/>
              <w:bottom w:w="0" w:type="dxa"/>
              <w:right w:w="15" w:type="dxa"/>
            </w:tcMar>
          </w:tcPr>
          <w:p w14:paraId="7875B73C"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Victoria Government Partnership Working Group Representative</w:t>
            </w:r>
          </w:p>
        </w:tc>
      </w:tr>
      <w:tr w:rsidR="0002786B" w:rsidRPr="0002786B" w14:paraId="636F08F9" w14:textId="77777777" w:rsidTr="00E70546">
        <w:trPr>
          <w:trHeight w:val="260"/>
        </w:trPr>
        <w:tc>
          <w:tcPr>
            <w:tcW w:w="5000" w:type="pct"/>
            <w:tcBorders>
              <w:top w:val="nil"/>
              <w:bottom w:val="nil"/>
            </w:tcBorders>
            <w:shd w:val="clear" w:color="000000" w:fill="auto"/>
            <w:noWrap/>
            <w:tcMar>
              <w:top w:w="15" w:type="dxa"/>
              <w:left w:w="15" w:type="dxa"/>
              <w:bottom w:w="0" w:type="dxa"/>
              <w:right w:w="15" w:type="dxa"/>
            </w:tcMar>
          </w:tcPr>
          <w:p w14:paraId="3AB8ED29" w14:textId="77777777" w:rsidR="00443F76" w:rsidRPr="0002786B" w:rsidRDefault="00443F76" w:rsidP="00AE6A2A">
            <w:pPr>
              <w:pStyle w:val="TableBody"/>
              <w:spacing w:before="45" w:after="45"/>
              <w:ind w:right="108"/>
              <w:rPr>
                <w:rFonts w:ascii="Arial (Body)" w:hAnsi="Arial (Body)" w:cs="Calibri Light"/>
              </w:rPr>
            </w:pPr>
            <w:bookmarkStart w:id="26" w:name="RANGE!D225"/>
            <w:r w:rsidRPr="0002786B">
              <w:rPr>
                <w:rFonts w:ascii="Arial (Body)" w:hAnsi="Arial (Body)" w:cs="Calibri Light"/>
              </w:rPr>
              <w:t>Victorian Aboriginal Community Controlled Health Organisation (VACCHO)</w:t>
            </w:r>
            <w:bookmarkEnd w:id="26"/>
          </w:p>
        </w:tc>
      </w:tr>
      <w:tr w:rsidR="0002786B" w:rsidRPr="0002786B" w14:paraId="71A87F05" w14:textId="77777777" w:rsidTr="00E70546">
        <w:trPr>
          <w:trHeight w:val="260"/>
        </w:trPr>
        <w:tc>
          <w:tcPr>
            <w:tcW w:w="5000" w:type="pct"/>
            <w:tcBorders>
              <w:top w:val="nil"/>
              <w:bottom w:val="nil"/>
            </w:tcBorders>
            <w:shd w:val="clear" w:color="auto" w:fill="FBF3EC"/>
            <w:noWrap/>
            <w:tcMar>
              <w:top w:w="15" w:type="dxa"/>
              <w:left w:w="15" w:type="dxa"/>
              <w:bottom w:w="0" w:type="dxa"/>
              <w:right w:w="15" w:type="dxa"/>
            </w:tcMar>
          </w:tcPr>
          <w:p w14:paraId="35B81272"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Victorian Aboriginal Heritage Council</w:t>
            </w:r>
          </w:p>
        </w:tc>
      </w:tr>
      <w:tr w:rsidR="0002786B" w:rsidRPr="0002786B" w14:paraId="5C4D9790"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681DDA53"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 xml:space="preserve">Victorian Aboriginal Legal Services </w:t>
            </w:r>
          </w:p>
        </w:tc>
      </w:tr>
      <w:tr w:rsidR="0002786B" w:rsidRPr="0002786B" w14:paraId="00EFA51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27BC615B"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Victorian Government</w:t>
            </w:r>
          </w:p>
        </w:tc>
      </w:tr>
      <w:tr w:rsidR="0002786B" w:rsidRPr="0002786B" w14:paraId="7E6F52DA"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49C622F"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lastRenderedPageBreak/>
              <w:t>Wellington Aboriginal Corporation Health Service (WACHS)</w:t>
            </w:r>
          </w:p>
        </w:tc>
      </w:tr>
      <w:tr w:rsidR="0002786B" w:rsidRPr="0002786B" w14:paraId="66A5CB1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0FCA8039" w14:textId="77777777" w:rsidR="00443F76" w:rsidRPr="0002786B" w:rsidRDefault="00443F76" w:rsidP="00AE6A2A">
            <w:pPr>
              <w:pStyle w:val="TableBody"/>
              <w:spacing w:before="45" w:after="45"/>
              <w:ind w:right="108"/>
              <w:rPr>
                <w:rFonts w:ascii="Arial (Body)" w:hAnsi="Arial (Body)" w:cs="Arial"/>
              </w:rPr>
            </w:pPr>
            <w:bookmarkStart w:id="27" w:name="RANGE!D112"/>
            <w:r w:rsidRPr="0002786B">
              <w:rPr>
                <w:rFonts w:ascii="Arial (Body)" w:hAnsi="Arial (Body)" w:cs="Calibri Light"/>
              </w:rPr>
              <w:t>West Kimberley Futures Empowered Communities</w:t>
            </w:r>
            <w:bookmarkEnd w:id="27"/>
          </w:p>
        </w:tc>
      </w:tr>
      <w:tr w:rsidR="0002786B" w:rsidRPr="0002786B" w14:paraId="32BFB7F9" w14:textId="77777777" w:rsidTr="00AE6A2A">
        <w:trPr>
          <w:trHeight w:val="260"/>
        </w:trPr>
        <w:tc>
          <w:tcPr>
            <w:tcW w:w="5000" w:type="pct"/>
            <w:tcBorders>
              <w:top w:val="nil"/>
              <w:bottom w:val="nil"/>
            </w:tcBorders>
            <w:shd w:val="clear" w:color="000000" w:fill="auto"/>
            <w:tcMar>
              <w:top w:w="15" w:type="dxa"/>
              <w:left w:w="15" w:type="dxa"/>
              <w:bottom w:w="0" w:type="dxa"/>
              <w:right w:w="15" w:type="dxa"/>
            </w:tcMar>
          </w:tcPr>
          <w:p w14:paraId="016C4C82"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Western Australia Government Partnership Working Group Representative</w:t>
            </w:r>
          </w:p>
        </w:tc>
      </w:tr>
      <w:tr w:rsidR="0002786B" w:rsidRPr="0002786B" w14:paraId="569A3B09"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00018D66"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Winnunga Nimmityjah Aboriginal Health and Community Services (Winnunga)</w:t>
            </w:r>
          </w:p>
        </w:tc>
      </w:tr>
      <w:tr w:rsidR="0002786B" w:rsidRPr="0002786B" w14:paraId="701D7171"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5D7BA92"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Wunan Foundation</w:t>
            </w:r>
          </w:p>
        </w:tc>
      </w:tr>
      <w:tr w:rsidR="0002786B" w:rsidRPr="0002786B" w14:paraId="75B3C11F"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495E660"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Wunan Health</w:t>
            </w:r>
          </w:p>
        </w:tc>
      </w:tr>
      <w:tr w:rsidR="0002786B" w:rsidRPr="0002786B" w14:paraId="2AFBDFB4"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0C04B0B6" w14:textId="77777777" w:rsidR="00443F76" w:rsidRPr="0002786B" w:rsidRDefault="00443F76" w:rsidP="00AE6A2A">
            <w:pPr>
              <w:pStyle w:val="TableBody"/>
              <w:spacing w:before="45" w:after="45"/>
              <w:ind w:right="108"/>
              <w:rPr>
                <w:rFonts w:ascii="Arial (Body)" w:hAnsi="Arial (Body)" w:cs="Calibri Light"/>
              </w:rPr>
            </w:pPr>
            <w:bookmarkStart w:id="28" w:name="RANGE!D145"/>
            <w:r w:rsidRPr="0002786B">
              <w:rPr>
                <w:rFonts w:ascii="Arial (Body)" w:hAnsi="Arial (Body)" w:cs="Calibri Light"/>
              </w:rPr>
              <w:t>Wungening Aboriginal Corporation</w:t>
            </w:r>
            <w:bookmarkEnd w:id="28"/>
          </w:p>
        </w:tc>
      </w:tr>
      <w:tr w:rsidR="0002786B" w:rsidRPr="0002786B" w14:paraId="752D93A6"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1BC1CEF7" w14:textId="77777777" w:rsidR="00443F76" w:rsidRPr="0002786B" w:rsidRDefault="00443F76" w:rsidP="00AE6A2A">
            <w:pPr>
              <w:pStyle w:val="TableBody"/>
              <w:spacing w:before="45" w:after="45"/>
              <w:ind w:right="108"/>
              <w:rPr>
                <w:rFonts w:ascii="Arial (Body)" w:hAnsi="Arial (Body)" w:cs="Calibri Light"/>
              </w:rPr>
            </w:pPr>
            <w:bookmarkStart w:id="29" w:name="RANGE!D391"/>
            <w:r w:rsidRPr="0002786B">
              <w:rPr>
                <w:rFonts w:ascii="Arial (Body)" w:hAnsi="Arial (Body)" w:cs="Calibri Light"/>
              </w:rPr>
              <w:t>Yadu Health Aboriginal Corporation</w:t>
            </w:r>
            <w:bookmarkEnd w:id="29"/>
          </w:p>
        </w:tc>
      </w:tr>
      <w:tr w:rsidR="0002786B" w:rsidRPr="0002786B" w14:paraId="670B1F15"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08630CD"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Yamatji Marlpa Aboriginal Corporation (YMAC)</w:t>
            </w:r>
          </w:p>
        </w:tc>
      </w:tr>
      <w:tr w:rsidR="0002786B" w:rsidRPr="0002786B" w14:paraId="11802393"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30B45726"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Yarrabah Aboriginal Shire Council</w:t>
            </w:r>
          </w:p>
        </w:tc>
      </w:tr>
      <w:tr w:rsidR="0002786B" w:rsidRPr="0002786B" w14:paraId="14CEBFE9"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BE17EEA"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Yawoorroong Miriuwung Gajerrong Yirrgeb Noong Dawang Aboriginal Corporation</w:t>
            </w:r>
          </w:p>
        </w:tc>
      </w:tr>
      <w:tr w:rsidR="0002786B" w:rsidRPr="0002786B" w14:paraId="08DDC048"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5AA50C82"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Yilli Rreung Housing Aboriginal Corporation</w:t>
            </w:r>
          </w:p>
        </w:tc>
      </w:tr>
      <w:tr w:rsidR="0002786B" w:rsidRPr="0002786B" w14:paraId="5A231806"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3E263098" w14:textId="77777777" w:rsidR="00443F76" w:rsidRPr="0002786B" w:rsidRDefault="00443F76" w:rsidP="00AE6A2A">
            <w:pPr>
              <w:pStyle w:val="TableBody"/>
              <w:spacing w:before="45" w:after="45"/>
              <w:ind w:right="108"/>
              <w:rPr>
                <w:rFonts w:ascii="Arial (Body)" w:hAnsi="Arial (Body)" w:cs="Calibri Light"/>
              </w:rPr>
            </w:pPr>
            <w:r w:rsidRPr="0002786B">
              <w:rPr>
                <w:rFonts w:ascii="Arial (Body)" w:hAnsi="Arial (Body)" w:cs="Calibri Light"/>
              </w:rPr>
              <w:t>Yoorrook Justice Commission</w:t>
            </w:r>
          </w:p>
        </w:tc>
      </w:tr>
      <w:tr w:rsidR="0002786B" w:rsidRPr="0002786B" w14:paraId="13BA7C7C"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0F5D9219" w14:textId="77777777" w:rsidR="00443F76" w:rsidRPr="0002786B" w:rsidRDefault="00443F76" w:rsidP="00AE6A2A">
            <w:pPr>
              <w:pStyle w:val="TableBody"/>
              <w:spacing w:before="45" w:after="45"/>
              <w:ind w:right="108"/>
              <w:rPr>
                <w:rFonts w:ascii="Arial (Body)" w:hAnsi="Arial (Body)" w:cs="Calibri Light"/>
              </w:rPr>
            </w:pPr>
            <w:bookmarkStart w:id="30" w:name="RANGE!D146"/>
            <w:r w:rsidRPr="0002786B">
              <w:rPr>
                <w:rFonts w:ascii="Arial (Body)" w:hAnsi="Arial (Body)" w:cs="Calibri Light"/>
              </w:rPr>
              <w:t xml:space="preserve">Yorganop Association </w:t>
            </w:r>
            <w:bookmarkEnd w:id="30"/>
          </w:p>
        </w:tc>
      </w:tr>
      <w:tr w:rsidR="0002786B" w:rsidRPr="0002786B" w14:paraId="4CA08243" w14:textId="77777777" w:rsidTr="00AE6A2A">
        <w:trPr>
          <w:trHeight w:val="260"/>
        </w:trPr>
        <w:tc>
          <w:tcPr>
            <w:tcW w:w="5000" w:type="pct"/>
            <w:tcBorders>
              <w:top w:val="nil"/>
              <w:bottom w:val="nil"/>
            </w:tcBorders>
            <w:shd w:val="clear" w:color="000000" w:fill="auto"/>
            <w:noWrap/>
            <w:tcMar>
              <w:top w:w="15" w:type="dxa"/>
              <w:left w:w="15" w:type="dxa"/>
              <w:bottom w:w="0" w:type="dxa"/>
              <w:right w:w="15" w:type="dxa"/>
            </w:tcMar>
          </w:tcPr>
          <w:p w14:paraId="74466BBF" w14:textId="77777777" w:rsidR="00443F76" w:rsidRPr="0002786B" w:rsidRDefault="00443F76" w:rsidP="00AE6A2A">
            <w:pPr>
              <w:pStyle w:val="TableBody"/>
              <w:spacing w:before="45" w:after="45"/>
              <w:ind w:right="108"/>
              <w:rPr>
                <w:rFonts w:ascii="Arial (Body)" w:hAnsi="Arial (Body)" w:cs="Calibri Light"/>
              </w:rPr>
            </w:pPr>
            <w:bookmarkStart w:id="31" w:name="RANGE!D143"/>
            <w:r w:rsidRPr="0002786B">
              <w:rPr>
                <w:rFonts w:ascii="Arial (Body)" w:hAnsi="Arial (Body)" w:cs="Calibri Light"/>
              </w:rPr>
              <w:t>Yorgum Healing Services</w:t>
            </w:r>
            <w:bookmarkEnd w:id="31"/>
          </w:p>
        </w:tc>
      </w:tr>
      <w:tr w:rsidR="0002786B" w:rsidRPr="0002786B" w14:paraId="7E70B112" w14:textId="77777777" w:rsidTr="006C7976">
        <w:trPr>
          <w:trHeight w:val="260"/>
        </w:trPr>
        <w:tc>
          <w:tcPr>
            <w:tcW w:w="5000" w:type="pct"/>
            <w:tcBorders>
              <w:bottom w:val="nil"/>
            </w:tcBorders>
            <w:shd w:val="clear" w:color="auto" w:fill="FBF3EC"/>
            <w:noWrap/>
            <w:tcMar>
              <w:top w:w="15" w:type="dxa"/>
              <w:left w:w="15" w:type="dxa"/>
              <w:bottom w:w="0" w:type="dxa"/>
              <w:right w:w="15" w:type="dxa"/>
            </w:tcMar>
          </w:tcPr>
          <w:p w14:paraId="44B21231" w14:textId="77777777" w:rsidR="00443F76" w:rsidRPr="0002786B" w:rsidRDefault="00443F76" w:rsidP="00AE6A2A">
            <w:pPr>
              <w:pStyle w:val="TableBody"/>
              <w:spacing w:before="45" w:after="45"/>
              <w:ind w:right="108"/>
              <w:rPr>
                <w:rFonts w:ascii="Arial (Body)" w:hAnsi="Arial (Body)" w:cs="Arial"/>
              </w:rPr>
            </w:pPr>
            <w:r w:rsidRPr="0002786B">
              <w:rPr>
                <w:rFonts w:ascii="Arial (Body)" w:hAnsi="Arial (Body)" w:cs="Calibri Light"/>
              </w:rPr>
              <w:t>Yothu Yindi Foundation</w:t>
            </w:r>
          </w:p>
        </w:tc>
      </w:tr>
      <w:tr w:rsidR="0002786B" w:rsidRPr="0002786B" w14:paraId="4D73A221" w14:textId="77777777" w:rsidTr="006C7976">
        <w:trPr>
          <w:trHeight w:val="260"/>
        </w:trPr>
        <w:tc>
          <w:tcPr>
            <w:tcW w:w="5000" w:type="pct"/>
            <w:tcBorders>
              <w:top w:val="nil"/>
              <w:bottom w:val="single" w:sz="4" w:space="0" w:color="CB6027" w:themeColor="text2"/>
            </w:tcBorders>
            <w:shd w:val="clear" w:color="000000" w:fill="auto"/>
            <w:noWrap/>
            <w:tcMar>
              <w:top w:w="15" w:type="dxa"/>
              <w:left w:w="15" w:type="dxa"/>
              <w:bottom w:w="0" w:type="dxa"/>
              <w:right w:w="15" w:type="dxa"/>
            </w:tcMar>
          </w:tcPr>
          <w:p w14:paraId="4446067C" w14:textId="77777777" w:rsidR="00443F76" w:rsidRPr="0002786B" w:rsidRDefault="00443F76" w:rsidP="00AE6A2A">
            <w:pPr>
              <w:pStyle w:val="TableBody"/>
              <w:spacing w:before="45" w:after="45"/>
              <w:ind w:right="108"/>
              <w:rPr>
                <w:rFonts w:ascii="Arial (Body)" w:hAnsi="Arial (Body)" w:cs="Calibri Light"/>
              </w:rPr>
            </w:pPr>
            <w:bookmarkStart w:id="32" w:name="RANGE!D294"/>
            <w:r w:rsidRPr="0002786B">
              <w:rPr>
                <w:rFonts w:ascii="Arial (Body)" w:hAnsi="Arial (Body)" w:cs="Calibri Light"/>
              </w:rPr>
              <w:t>Yulu</w:t>
            </w:r>
            <w:r w:rsidRPr="0002786B">
              <w:rPr>
                <w:rFonts w:ascii="Arial (Body)" w:hAnsi="Arial (Body)" w:cs="Calibri Light"/>
              </w:rPr>
              <w:noBreakHyphen/>
              <w:t>Burri</w:t>
            </w:r>
            <w:r w:rsidRPr="0002786B">
              <w:rPr>
                <w:rFonts w:ascii="Arial (Body)" w:hAnsi="Arial (Body)" w:cs="Calibri Light"/>
              </w:rPr>
              <w:noBreakHyphen/>
              <w:t>Ba</w:t>
            </w:r>
            <w:bookmarkEnd w:id="32"/>
          </w:p>
        </w:tc>
      </w:tr>
    </w:tbl>
    <w:p w14:paraId="3AE474BF" w14:textId="77777777" w:rsidR="003B6502" w:rsidRPr="006261B8" w:rsidRDefault="003B6502" w:rsidP="003B6502">
      <w:pPr>
        <w:pStyle w:val="BodyText"/>
        <w:sectPr w:rsidR="003B6502" w:rsidRPr="006261B8" w:rsidSect="00C33EA0">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1134" w:right="1134" w:bottom="1134" w:left="1134" w:header="794" w:footer="510" w:gutter="0"/>
          <w:cols w:space="708"/>
          <w:titlePg/>
          <w:docGrid w:linePitch="360"/>
        </w:sectPr>
      </w:pPr>
    </w:p>
    <w:p w14:paraId="695F8F23" w14:textId="7F97E675" w:rsidR="003B6502" w:rsidRDefault="003B6502" w:rsidP="003B6502">
      <w:pPr>
        <w:pStyle w:val="FigureTableHeading"/>
      </w:pPr>
      <w:r>
        <w:lastRenderedPageBreak/>
        <w:t>Table 3</w:t>
      </w:r>
      <w:r>
        <w:rPr>
          <w:noProof/>
        </w:rPr>
        <w:t xml:space="preserve"> – </w:t>
      </w:r>
      <w:r>
        <w:t>Roundtables</w:t>
      </w:r>
    </w:p>
    <w:tbl>
      <w:tblPr>
        <w:tblW w:w="5000" w:type="pct"/>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9638"/>
      </w:tblGrid>
      <w:tr w:rsidR="003B6502" w:rsidRPr="000877F3" w14:paraId="1D8B0DF8" w14:textId="77777777" w:rsidTr="006C7976">
        <w:trPr>
          <w:tblHeader/>
        </w:trPr>
        <w:tc>
          <w:tcPr>
            <w:tcW w:w="5000" w:type="pct"/>
            <w:tcBorders>
              <w:bottom w:val="single" w:sz="4" w:space="0" w:color="CB6027" w:themeColor="text2"/>
            </w:tcBorders>
            <w:shd w:val="clear" w:color="000000" w:fill="auto"/>
            <w:vAlign w:val="bottom"/>
          </w:tcPr>
          <w:p w14:paraId="1203240F" w14:textId="77777777" w:rsidR="003B6502" w:rsidRPr="006C7976" w:rsidRDefault="003B6502" w:rsidP="006C7976">
            <w:pPr>
              <w:pStyle w:val="TableHeading"/>
            </w:pPr>
            <w:r w:rsidRPr="006C7976">
              <w:t>Participants</w:t>
            </w:r>
          </w:p>
        </w:tc>
      </w:tr>
      <w:tr w:rsidR="003B6502" w:rsidRPr="000877F3" w14:paraId="75C7D7AD" w14:textId="77777777" w:rsidTr="006C7976">
        <w:tc>
          <w:tcPr>
            <w:tcW w:w="5000" w:type="pct"/>
            <w:tcBorders>
              <w:top w:val="single" w:sz="4" w:space="0" w:color="CB6027" w:themeColor="text2"/>
              <w:bottom w:val="nil"/>
            </w:tcBorders>
            <w:shd w:val="clear" w:color="auto" w:fill="FBF3EC"/>
          </w:tcPr>
          <w:p w14:paraId="7AA3B79C" w14:textId="0EAADDFA" w:rsidR="003B6502" w:rsidRPr="009F7CD7" w:rsidRDefault="003B6502" w:rsidP="005E0FB3">
            <w:pPr>
              <w:pStyle w:val="TableBody"/>
              <w:spacing w:before="45" w:after="45"/>
              <w:ind w:right="108"/>
              <w:rPr>
                <w:rFonts w:ascii="Arial (Body)" w:hAnsi="Arial (Body)" w:cs="Arial"/>
                <w:b/>
                <w:bCs/>
              </w:rPr>
            </w:pPr>
            <w:r w:rsidRPr="009F7CD7">
              <w:rPr>
                <w:rFonts w:ascii="Arial (Body)" w:hAnsi="Arial (Body)" w:cs="Arial"/>
                <w:b/>
                <w:bCs/>
              </w:rPr>
              <w:t>22</w:t>
            </w:r>
            <w:r w:rsidR="003D3194">
              <w:rPr>
                <w:rFonts w:ascii="Arial (Body)" w:hAnsi="Arial (Body)" w:cs="Arial" w:hint="eastAsia"/>
                <w:b/>
                <w:bCs/>
              </w:rPr>
              <w:t> </w:t>
            </w:r>
            <w:r w:rsidRPr="009F7CD7">
              <w:rPr>
                <w:rFonts w:ascii="Arial (Body)" w:hAnsi="Arial (Body)" w:cs="Arial"/>
                <w:b/>
                <w:bCs/>
              </w:rPr>
              <w:t>November 2022</w:t>
            </w:r>
            <w:r>
              <w:rPr>
                <w:rFonts w:ascii="Arial (Body)" w:hAnsi="Arial (Body)" w:cs="Arial"/>
                <w:b/>
                <w:bCs/>
              </w:rPr>
              <w:t xml:space="preserve"> </w:t>
            </w:r>
            <w:r w:rsidR="0001710A">
              <w:rPr>
                <w:rFonts w:ascii="Arial (Body)" w:hAnsi="Arial (Body)" w:cs="Arial"/>
                <w:b/>
                <w:bCs/>
              </w:rPr>
              <w:t>–</w:t>
            </w:r>
            <w:r>
              <w:rPr>
                <w:rFonts w:ascii="Arial (Body)" w:hAnsi="Arial (Body)" w:cs="Arial" w:hint="eastAsia"/>
                <w:b/>
                <w:bCs/>
              </w:rPr>
              <w:t xml:space="preserve"> </w:t>
            </w:r>
            <w:r>
              <w:rPr>
                <w:rFonts w:ascii="Arial (Body)" w:hAnsi="Arial (Body)" w:cs="Arial"/>
                <w:b/>
                <w:bCs/>
              </w:rPr>
              <w:t>J</w:t>
            </w:r>
            <w:r w:rsidRPr="00A76D46">
              <w:rPr>
                <w:rFonts w:ascii="Arial (Body)" w:hAnsi="Arial (Body)" w:cs="Arial"/>
                <w:b/>
                <w:bCs/>
              </w:rPr>
              <w:t>ustice, family violence prevention, legal support, youth justice, and justice reinvestment</w:t>
            </w:r>
          </w:p>
        </w:tc>
      </w:tr>
      <w:tr w:rsidR="003B6502" w:rsidRPr="0003235A" w14:paraId="29D045D2" w14:textId="77777777" w:rsidTr="005E0FB3">
        <w:tc>
          <w:tcPr>
            <w:tcW w:w="5000" w:type="pct"/>
            <w:tcBorders>
              <w:top w:val="nil"/>
              <w:bottom w:val="nil"/>
            </w:tcBorders>
            <w:shd w:val="clear" w:color="000000" w:fill="auto"/>
          </w:tcPr>
          <w:p w14:paraId="0EA9F95E"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Aboriginal Legal Rights Movement</w:t>
            </w:r>
          </w:p>
        </w:tc>
      </w:tr>
      <w:tr w:rsidR="003B6502" w:rsidRPr="0003235A" w14:paraId="1C598E01" w14:textId="77777777" w:rsidTr="009D1170">
        <w:tc>
          <w:tcPr>
            <w:tcW w:w="5000" w:type="pct"/>
            <w:tcBorders>
              <w:bottom w:val="nil"/>
            </w:tcBorders>
            <w:shd w:val="clear" w:color="auto" w:fill="FBF3EC"/>
          </w:tcPr>
          <w:p w14:paraId="36134562"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Change the Record</w:t>
            </w:r>
          </w:p>
        </w:tc>
      </w:tr>
      <w:tr w:rsidR="003B6502" w:rsidRPr="0003235A" w14:paraId="2CDA92BF" w14:textId="77777777" w:rsidTr="005E0FB3">
        <w:tc>
          <w:tcPr>
            <w:tcW w:w="5000" w:type="pct"/>
            <w:tcBorders>
              <w:top w:val="nil"/>
              <w:bottom w:val="nil"/>
            </w:tcBorders>
            <w:shd w:val="clear" w:color="000000" w:fill="auto"/>
          </w:tcPr>
          <w:p w14:paraId="32A98831"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Curtin University</w:t>
            </w:r>
          </w:p>
        </w:tc>
      </w:tr>
      <w:tr w:rsidR="003B6502" w:rsidRPr="0003235A" w14:paraId="24F334B3" w14:textId="77777777" w:rsidTr="009D1170">
        <w:tc>
          <w:tcPr>
            <w:tcW w:w="5000" w:type="pct"/>
            <w:tcBorders>
              <w:bottom w:val="nil"/>
            </w:tcBorders>
            <w:shd w:val="clear" w:color="auto" w:fill="FBF3EC"/>
          </w:tcPr>
          <w:p w14:paraId="583C8626"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First Peoples Disability Network (FPDN)</w:t>
            </w:r>
          </w:p>
        </w:tc>
      </w:tr>
      <w:tr w:rsidR="003B6502" w:rsidRPr="0003235A" w14:paraId="374F53A4" w14:textId="77777777" w:rsidTr="005E0FB3">
        <w:tc>
          <w:tcPr>
            <w:tcW w:w="5000" w:type="pct"/>
            <w:tcBorders>
              <w:top w:val="nil"/>
              <w:bottom w:val="nil"/>
            </w:tcBorders>
            <w:shd w:val="clear" w:color="000000" w:fill="auto"/>
          </w:tcPr>
          <w:p w14:paraId="21398927"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Just Reinvest NSW</w:t>
            </w:r>
          </w:p>
        </w:tc>
      </w:tr>
      <w:tr w:rsidR="003B6502" w:rsidRPr="0003235A" w14:paraId="70C03B0C" w14:textId="77777777" w:rsidTr="009D1170">
        <w:tc>
          <w:tcPr>
            <w:tcW w:w="5000" w:type="pct"/>
            <w:tcBorders>
              <w:bottom w:val="nil"/>
            </w:tcBorders>
            <w:shd w:val="clear" w:color="auto" w:fill="FBF3EC"/>
          </w:tcPr>
          <w:p w14:paraId="79489670"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Lena Passi Women’s Shelter</w:t>
            </w:r>
          </w:p>
        </w:tc>
      </w:tr>
      <w:tr w:rsidR="003B6502" w:rsidRPr="0003235A" w14:paraId="19CC0F1D" w14:textId="77777777" w:rsidTr="005E0FB3">
        <w:tc>
          <w:tcPr>
            <w:tcW w:w="5000" w:type="pct"/>
            <w:tcBorders>
              <w:top w:val="nil"/>
              <w:bottom w:val="nil"/>
            </w:tcBorders>
            <w:shd w:val="clear" w:color="000000" w:fill="auto"/>
          </w:tcPr>
          <w:p w14:paraId="19A63F03"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National Aboriginal and Torres Strait Islander Legal Services (NATSILS)</w:t>
            </w:r>
          </w:p>
        </w:tc>
      </w:tr>
      <w:tr w:rsidR="003B6502" w:rsidRPr="0003235A" w14:paraId="12A1B8A2" w14:textId="77777777" w:rsidTr="009D1170">
        <w:tc>
          <w:tcPr>
            <w:tcW w:w="5000" w:type="pct"/>
            <w:tcBorders>
              <w:bottom w:val="nil"/>
            </w:tcBorders>
            <w:shd w:val="clear" w:color="auto" w:fill="FBF3EC"/>
          </w:tcPr>
          <w:p w14:paraId="446C87C7"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National Aboriginal Community Controlled Health Organisation (NACCHO)</w:t>
            </w:r>
          </w:p>
        </w:tc>
      </w:tr>
      <w:tr w:rsidR="003B6502" w:rsidRPr="0003235A" w14:paraId="44DFB662" w14:textId="77777777" w:rsidTr="005E0FB3">
        <w:tc>
          <w:tcPr>
            <w:tcW w:w="5000" w:type="pct"/>
            <w:tcBorders>
              <w:top w:val="nil"/>
              <w:bottom w:val="nil"/>
            </w:tcBorders>
            <w:shd w:val="clear" w:color="000000" w:fill="auto"/>
          </w:tcPr>
          <w:p w14:paraId="6134E26F"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North Australian Aboriginal Justice Agency (NAAJA)</w:t>
            </w:r>
          </w:p>
        </w:tc>
      </w:tr>
      <w:tr w:rsidR="003B6502" w:rsidRPr="0003235A" w14:paraId="10DA52D7" w14:textId="77777777" w:rsidTr="009D1170">
        <w:tc>
          <w:tcPr>
            <w:tcW w:w="5000" w:type="pct"/>
            <w:tcBorders>
              <w:bottom w:val="nil"/>
            </w:tcBorders>
            <w:shd w:val="clear" w:color="auto" w:fill="FBF3EC"/>
          </w:tcPr>
          <w:p w14:paraId="5564A352"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Red Cross</w:t>
            </w:r>
          </w:p>
        </w:tc>
      </w:tr>
      <w:tr w:rsidR="003B6502" w:rsidRPr="0003235A" w14:paraId="3CB28DA8" w14:textId="77777777" w:rsidTr="005E0FB3">
        <w:tc>
          <w:tcPr>
            <w:tcW w:w="5000" w:type="pct"/>
            <w:tcBorders>
              <w:top w:val="nil"/>
              <w:bottom w:val="nil"/>
            </w:tcBorders>
            <w:shd w:val="clear" w:color="000000" w:fill="auto"/>
          </w:tcPr>
          <w:p w14:paraId="22A8B19D"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 xml:space="preserve">Sisters Inside </w:t>
            </w:r>
          </w:p>
        </w:tc>
      </w:tr>
      <w:tr w:rsidR="003B6502" w:rsidRPr="0003235A" w14:paraId="485794C3" w14:textId="77777777" w:rsidTr="009D1170">
        <w:tc>
          <w:tcPr>
            <w:tcW w:w="5000" w:type="pct"/>
            <w:tcBorders>
              <w:bottom w:val="nil"/>
            </w:tcBorders>
            <w:shd w:val="clear" w:color="auto" w:fill="FBF3EC"/>
          </w:tcPr>
          <w:p w14:paraId="28F133A9"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Tasmanian Aboriginal Legal Service (TALS)</w:t>
            </w:r>
          </w:p>
        </w:tc>
      </w:tr>
      <w:tr w:rsidR="003B6502" w:rsidRPr="0003235A" w14:paraId="1BFFA1E8" w14:textId="77777777" w:rsidTr="005E0FB3">
        <w:tc>
          <w:tcPr>
            <w:tcW w:w="5000" w:type="pct"/>
            <w:tcBorders>
              <w:top w:val="nil"/>
              <w:bottom w:val="nil"/>
            </w:tcBorders>
            <w:shd w:val="clear" w:color="000000" w:fill="auto"/>
          </w:tcPr>
          <w:p w14:paraId="62F2E9C9"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Wirringa Baiya Aboriginal Women’s Legal Centre</w:t>
            </w:r>
          </w:p>
        </w:tc>
      </w:tr>
      <w:tr w:rsidR="003B6502" w:rsidRPr="000877F3" w14:paraId="5F1140B4" w14:textId="77777777" w:rsidTr="009D1170">
        <w:tc>
          <w:tcPr>
            <w:tcW w:w="5000" w:type="pct"/>
            <w:tcBorders>
              <w:bottom w:val="nil"/>
            </w:tcBorders>
            <w:shd w:val="clear" w:color="auto" w:fill="FBF3EC"/>
          </w:tcPr>
          <w:p w14:paraId="38F30B9C" w14:textId="72182A50" w:rsidR="003B6502" w:rsidRPr="009F7CD7" w:rsidRDefault="003B6502" w:rsidP="005E0FB3">
            <w:pPr>
              <w:pStyle w:val="TableBody"/>
              <w:spacing w:before="45" w:after="45"/>
              <w:ind w:right="108"/>
              <w:rPr>
                <w:rFonts w:ascii="Arial (Body)" w:hAnsi="Arial (Body)" w:cs="Arial"/>
                <w:b/>
                <w:bCs/>
              </w:rPr>
            </w:pPr>
            <w:r w:rsidRPr="009F7CD7">
              <w:rPr>
                <w:rFonts w:ascii="Arial (Body)" w:hAnsi="Arial (Body)" w:cs="Arial"/>
                <w:b/>
                <w:bCs/>
              </w:rPr>
              <w:t>10</w:t>
            </w:r>
            <w:r w:rsidR="003D3194">
              <w:rPr>
                <w:rFonts w:ascii="Arial (Body)" w:hAnsi="Arial (Body)" w:cs="Arial" w:hint="eastAsia"/>
                <w:b/>
                <w:bCs/>
              </w:rPr>
              <w:t> </w:t>
            </w:r>
            <w:r w:rsidRPr="009F7CD7">
              <w:rPr>
                <w:rFonts w:ascii="Arial (Body)" w:hAnsi="Arial (Body)" w:cs="Arial"/>
                <w:b/>
                <w:bCs/>
              </w:rPr>
              <w:t>February 2023</w:t>
            </w:r>
            <w:r>
              <w:rPr>
                <w:rFonts w:ascii="Arial (Body)" w:hAnsi="Arial (Body)" w:cs="Arial"/>
                <w:b/>
                <w:bCs/>
              </w:rPr>
              <w:t xml:space="preserve"> </w:t>
            </w:r>
            <w:r w:rsidR="0001710A">
              <w:rPr>
                <w:rFonts w:ascii="Arial (Body)" w:hAnsi="Arial (Body)" w:cs="Arial"/>
                <w:b/>
                <w:bCs/>
              </w:rPr>
              <w:t>–</w:t>
            </w:r>
            <w:r>
              <w:rPr>
                <w:rFonts w:ascii="Arial (Body)" w:hAnsi="Arial (Body)" w:cs="Arial" w:hint="eastAsia"/>
                <w:b/>
                <w:bCs/>
              </w:rPr>
              <w:t xml:space="preserve"> </w:t>
            </w:r>
            <w:r>
              <w:rPr>
                <w:rFonts w:ascii="Arial (Body)" w:hAnsi="Arial (Body)" w:cs="Arial"/>
                <w:b/>
                <w:bCs/>
              </w:rPr>
              <w:t>Health</w:t>
            </w:r>
          </w:p>
        </w:tc>
      </w:tr>
      <w:tr w:rsidR="003B6502" w:rsidRPr="0003235A" w14:paraId="03F5213D" w14:textId="77777777" w:rsidTr="005E0FB3">
        <w:tc>
          <w:tcPr>
            <w:tcW w:w="5000" w:type="pct"/>
            <w:tcBorders>
              <w:top w:val="nil"/>
              <w:bottom w:val="nil"/>
            </w:tcBorders>
            <w:shd w:val="clear" w:color="000000" w:fill="auto"/>
          </w:tcPr>
          <w:p w14:paraId="33EC1BD9"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Aboriginal Health Council Western Australia (AHCWA) </w:t>
            </w:r>
          </w:p>
        </w:tc>
      </w:tr>
      <w:tr w:rsidR="003B6502" w:rsidRPr="0003235A" w14:paraId="61B8BB12" w14:textId="77777777" w:rsidTr="009D1170">
        <w:tc>
          <w:tcPr>
            <w:tcW w:w="5000" w:type="pct"/>
            <w:tcBorders>
              <w:bottom w:val="nil"/>
            </w:tcBorders>
            <w:shd w:val="clear" w:color="auto" w:fill="FBF3EC"/>
          </w:tcPr>
          <w:p w14:paraId="6E08C69F"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Indigenous Allied Health Australia (IAHA) </w:t>
            </w:r>
          </w:p>
        </w:tc>
      </w:tr>
      <w:tr w:rsidR="003B6502" w:rsidRPr="0003235A" w14:paraId="601604BC" w14:textId="77777777" w:rsidTr="005E0FB3">
        <w:tc>
          <w:tcPr>
            <w:tcW w:w="5000" w:type="pct"/>
            <w:tcBorders>
              <w:top w:val="nil"/>
              <w:bottom w:val="nil"/>
            </w:tcBorders>
            <w:shd w:val="clear" w:color="000000" w:fill="auto"/>
          </w:tcPr>
          <w:p w14:paraId="06ED7E61"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National Aboriginal Community Controlled Health Organisation (NACCHO)</w:t>
            </w:r>
          </w:p>
        </w:tc>
      </w:tr>
      <w:tr w:rsidR="003B6502" w:rsidRPr="0003235A" w14:paraId="4213F49B" w14:textId="77777777" w:rsidTr="009D1170">
        <w:tc>
          <w:tcPr>
            <w:tcW w:w="5000" w:type="pct"/>
            <w:tcBorders>
              <w:bottom w:val="nil"/>
            </w:tcBorders>
            <w:shd w:val="clear" w:color="auto" w:fill="FBF3EC"/>
          </w:tcPr>
          <w:p w14:paraId="47C094A9"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National Association of Aboriginal and Torres Strait Islander Health Workers and Practitioners (NAATSIHWP) </w:t>
            </w:r>
          </w:p>
        </w:tc>
      </w:tr>
      <w:tr w:rsidR="003B6502" w:rsidRPr="0003235A" w14:paraId="7ABADE0F" w14:textId="77777777" w:rsidTr="005E0FB3">
        <w:tc>
          <w:tcPr>
            <w:tcW w:w="5000" w:type="pct"/>
            <w:tcBorders>
              <w:top w:val="nil"/>
              <w:bottom w:val="nil"/>
            </w:tcBorders>
            <w:shd w:val="clear" w:color="000000" w:fill="auto"/>
          </w:tcPr>
          <w:p w14:paraId="129BB6A7"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Queensland Aboriginal and Islander Health Council (QAIHC) </w:t>
            </w:r>
          </w:p>
        </w:tc>
      </w:tr>
      <w:tr w:rsidR="003B6502" w:rsidRPr="0003235A" w14:paraId="2871405D" w14:textId="77777777" w:rsidTr="009D1170">
        <w:tc>
          <w:tcPr>
            <w:tcW w:w="5000" w:type="pct"/>
            <w:tcBorders>
              <w:bottom w:val="nil"/>
            </w:tcBorders>
            <w:shd w:val="clear" w:color="auto" w:fill="FBF3EC"/>
          </w:tcPr>
          <w:p w14:paraId="6DE5EAE5"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Torres Strait Regional Authority (TSRA)</w:t>
            </w:r>
          </w:p>
        </w:tc>
      </w:tr>
      <w:tr w:rsidR="003B6502" w:rsidRPr="000877F3" w14:paraId="08E167D2" w14:textId="77777777" w:rsidTr="005E0FB3">
        <w:tc>
          <w:tcPr>
            <w:tcW w:w="5000" w:type="pct"/>
            <w:tcBorders>
              <w:top w:val="nil"/>
              <w:bottom w:val="nil"/>
            </w:tcBorders>
            <w:shd w:val="clear" w:color="000000" w:fill="auto"/>
          </w:tcPr>
          <w:p w14:paraId="1BBEFC4A" w14:textId="6AD7BFE4" w:rsidR="003B6502" w:rsidRPr="006261B8" w:rsidRDefault="003B6502" w:rsidP="005E0FB3">
            <w:pPr>
              <w:pStyle w:val="TableBody"/>
              <w:spacing w:before="45" w:after="45"/>
              <w:ind w:right="108"/>
              <w:rPr>
                <w:rFonts w:ascii="Arial (Body)" w:hAnsi="Arial (Body)" w:cs="Calibri Light"/>
                <w:b/>
                <w:bCs/>
              </w:rPr>
            </w:pPr>
            <w:r w:rsidRPr="006261B8">
              <w:rPr>
                <w:rFonts w:ascii="Arial (Body)" w:hAnsi="Arial (Body)" w:cs="Arial"/>
                <w:b/>
                <w:bCs/>
              </w:rPr>
              <w:t>16</w:t>
            </w:r>
            <w:r w:rsidR="003D3194">
              <w:rPr>
                <w:rFonts w:ascii="Arial (Body)" w:hAnsi="Arial (Body)" w:cs="Arial" w:hint="eastAsia"/>
                <w:b/>
                <w:bCs/>
              </w:rPr>
              <w:t> </w:t>
            </w:r>
            <w:r w:rsidRPr="006261B8">
              <w:rPr>
                <w:rFonts w:ascii="Arial (Body)" w:hAnsi="Arial (Body)" w:cs="Arial"/>
                <w:b/>
                <w:bCs/>
              </w:rPr>
              <w:t>February 2023</w:t>
            </w:r>
            <w:r>
              <w:rPr>
                <w:rFonts w:ascii="Arial (Body)" w:hAnsi="Arial (Body)" w:cs="Arial"/>
                <w:b/>
                <w:bCs/>
              </w:rPr>
              <w:t xml:space="preserve"> </w:t>
            </w:r>
            <w:r w:rsidR="0001710A">
              <w:rPr>
                <w:rFonts w:ascii="Arial (Body)" w:hAnsi="Arial (Body)" w:cs="Arial"/>
                <w:b/>
                <w:bCs/>
              </w:rPr>
              <w:t>–</w:t>
            </w:r>
            <w:r w:rsidRPr="0003235A">
              <w:rPr>
                <w:rFonts w:ascii="Arial (Body)" w:hAnsi="Arial (Body)" w:cs="Arial" w:hint="eastAsia"/>
                <w:b/>
                <w:bCs/>
              </w:rPr>
              <w:t xml:space="preserve"> </w:t>
            </w:r>
            <w:r>
              <w:rPr>
                <w:rFonts w:ascii="Arial (Body)" w:hAnsi="Arial (Body)" w:cs="Arial" w:hint="eastAsia"/>
                <w:b/>
                <w:bCs/>
              </w:rPr>
              <w:t>C</w:t>
            </w:r>
            <w:r w:rsidRPr="004A3AC5">
              <w:rPr>
                <w:rFonts w:ascii="Arial (Body)" w:hAnsi="Arial (Body)" w:cs="Arial"/>
                <w:b/>
                <w:bCs/>
              </w:rPr>
              <w:t>hild health services, family services, education, out of home care, disability, early childhood care and development</w:t>
            </w:r>
          </w:p>
        </w:tc>
      </w:tr>
      <w:tr w:rsidR="003B6502" w:rsidRPr="0003235A" w14:paraId="443DA7A2" w14:textId="77777777" w:rsidTr="009D1170">
        <w:tc>
          <w:tcPr>
            <w:tcW w:w="5000" w:type="pct"/>
            <w:tcBorders>
              <w:bottom w:val="nil"/>
            </w:tcBorders>
            <w:shd w:val="clear" w:color="auto" w:fill="FBF3EC"/>
          </w:tcPr>
          <w:p w14:paraId="4A589AF6"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Coolabaroo</w:t>
            </w:r>
          </w:p>
        </w:tc>
      </w:tr>
      <w:tr w:rsidR="003B6502" w:rsidRPr="0003235A" w14:paraId="2BEED8C9" w14:textId="77777777" w:rsidTr="005E0FB3">
        <w:tc>
          <w:tcPr>
            <w:tcW w:w="5000" w:type="pct"/>
            <w:tcBorders>
              <w:top w:val="nil"/>
              <w:bottom w:val="nil"/>
            </w:tcBorders>
            <w:shd w:val="clear" w:color="000000" w:fill="auto"/>
          </w:tcPr>
          <w:p w14:paraId="0C54CAA5"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Institute for Urban Indigenous Health (IUIH)</w:t>
            </w:r>
          </w:p>
        </w:tc>
      </w:tr>
      <w:tr w:rsidR="003B6502" w:rsidRPr="0003235A" w14:paraId="53AE1B38" w14:textId="77777777" w:rsidTr="009D1170">
        <w:tc>
          <w:tcPr>
            <w:tcW w:w="5000" w:type="pct"/>
            <w:tcBorders>
              <w:bottom w:val="nil"/>
            </w:tcBorders>
            <w:shd w:val="clear" w:color="auto" w:fill="FBF3EC"/>
          </w:tcPr>
          <w:p w14:paraId="04FF5D62"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Nikinpa Aboriginal Child &amp; Family Centre</w:t>
            </w:r>
          </w:p>
        </w:tc>
      </w:tr>
      <w:tr w:rsidR="003B6502" w:rsidRPr="0003235A" w14:paraId="7B28DB2D" w14:textId="77777777" w:rsidTr="005E0FB3">
        <w:tc>
          <w:tcPr>
            <w:tcW w:w="5000" w:type="pct"/>
            <w:tcBorders>
              <w:top w:val="nil"/>
              <w:bottom w:val="nil"/>
            </w:tcBorders>
            <w:shd w:val="clear" w:color="000000" w:fill="auto"/>
          </w:tcPr>
          <w:p w14:paraId="59570A09"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Queensland, the Queensland Aboriginal and Torres Strait Islander Child Protection Peak (QATSICPP)</w:t>
            </w:r>
          </w:p>
        </w:tc>
      </w:tr>
      <w:tr w:rsidR="003B6502" w:rsidRPr="0003235A" w14:paraId="1E650D14" w14:textId="77777777" w:rsidTr="009D1170">
        <w:tc>
          <w:tcPr>
            <w:tcW w:w="5000" w:type="pct"/>
            <w:tcBorders>
              <w:bottom w:val="nil"/>
            </w:tcBorders>
            <w:shd w:val="clear" w:color="auto" w:fill="FBF3EC"/>
          </w:tcPr>
          <w:p w14:paraId="696D3A5E" w14:textId="77777777" w:rsidR="003B6502" w:rsidRPr="0003235A" w:rsidRDefault="003B6502" w:rsidP="005E0FB3">
            <w:pPr>
              <w:pStyle w:val="TableBody"/>
              <w:spacing w:before="45" w:after="45"/>
              <w:ind w:right="108"/>
              <w:rPr>
                <w:rFonts w:ascii="Arial (Body)" w:hAnsi="Arial (Body)" w:cs="Arial"/>
              </w:rPr>
            </w:pPr>
            <w:r w:rsidRPr="0003235A">
              <w:rPr>
                <w:rFonts w:ascii="Arial (Body)" w:hAnsi="Arial (Body)" w:cs="Calibri Light"/>
              </w:rPr>
              <w:t>SNAICC – National Voice for our Children</w:t>
            </w:r>
          </w:p>
        </w:tc>
      </w:tr>
      <w:tr w:rsidR="003B6502" w:rsidRPr="0003235A" w14:paraId="73131D55" w14:textId="77777777" w:rsidTr="005E0FB3">
        <w:tc>
          <w:tcPr>
            <w:tcW w:w="5000" w:type="pct"/>
            <w:tcBorders>
              <w:top w:val="nil"/>
              <w:bottom w:val="nil"/>
            </w:tcBorders>
            <w:shd w:val="clear" w:color="000000" w:fill="auto"/>
          </w:tcPr>
          <w:p w14:paraId="25B38572"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Victorian Aboriginal Child Care Agency (VACCA)</w:t>
            </w:r>
          </w:p>
        </w:tc>
      </w:tr>
      <w:tr w:rsidR="003B6502" w:rsidRPr="000877F3" w14:paraId="5FB43BDC" w14:textId="77777777" w:rsidTr="009D1170">
        <w:tc>
          <w:tcPr>
            <w:tcW w:w="5000" w:type="pct"/>
            <w:tcBorders>
              <w:bottom w:val="nil"/>
            </w:tcBorders>
            <w:shd w:val="clear" w:color="auto" w:fill="FBF3EC"/>
          </w:tcPr>
          <w:p w14:paraId="3F594B8D" w14:textId="3BB14089" w:rsidR="003B6502" w:rsidRPr="009F7CD7" w:rsidRDefault="003B6502" w:rsidP="005E0FB3">
            <w:pPr>
              <w:pStyle w:val="TableBody"/>
              <w:spacing w:before="45" w:after="45"/>
              <w:ind w:right="108"/>
              <w:rPr>
                <w:rFonts w:ascii="Arial (Body)" w:hAnsi="Arial (Body)" w:cs="Calibri Light"/>
                <w:b/>
                <w:bCs/>
              </w:rPr>
            </w:pPr>
            <w:r w:rsidRPr="009F7CD7">
              <w:rPr>
                <w:rFonts w:ascii="Arial (Body)" w:hAnsi="Arial (Body)" w:cs="Arial"/>
                <w:b/>
                <w:bCs/>
              </w:rPr>
              <w:t>3</w:t>
            </w:r>
            <w:r w:rsidR="003D3194">
              <w:rPr>
                <w:rFonts w:ascii="Arial (Body)" w:hAnsi="Arial (Body)" w:cs="Arial" w:hint="eastAsia"/>
                <w:b/>
                <w:bCs/>
              </w:rPr>
              <w:t> </w:t>
            </w:r>
            <w:r w:rsidRPr="009F7CD7">
              <w:rPr>
                <w:rFonts w:ascii="Arial (Body)" w:hAnsi="Arial (Body)" w:cs="Arial"/>
                <w:b/>
                <w:bCs/>
              </w:rPr>
              <w:t>April 2023</w:t>
            </w:r>
            <w:r>
              <w:rPr>
                <w:rFonts w:ascii="Arial (Body)" w:hAnsi="Arial (Body)" w:cs="Arial"/>
                <w:b/>
                <w:bCs/>
              </w:rPr>
              <w:t xml:space="preserve"> </w:t>
            </w:r>
            <w:r w:rsidR="0001710A">
              <w:rPr>
                <w:rFonts w:ascii="Arial (Body)" w:hAnsi="Arial (Body)" w:cs="Arial"/>
                <w:b/>
                <w:bCs/>
              </w:rPr>
              <w:t>–</w:t>
            </w:r>
            <w:r>
              <w:rPr>
                <w:rFonts w:ascii="Arial (Body)" w:hAnsi="Arial (Body)" w:cs="Arial" w:hint="eastAsia"/>
                <w:b/>
                <w:bCs/>
              </w:rPr>
              <w:t xml:space="preserve"> </w:t>
            </w:r>
            <w:r>
              <w:rPr>
                <w:rFonts w:ascii="Arial (Body)" w:hAnsi="Arial (Body)" w:cs="Arial"/>
                <w:b/>
                <w:bCs/>
              </w:rPr>
              <w:t>Housing</w:t>
            </w:r>
          </w:p>
        </w:tc>
      </w:tr>
      <w:tr w:rsidR="003B6502" w:rsidRPr="0003235A" w14:paraId="01BDE0D1" w14:textId="77777777" w:rsidTr="005E0FB3">
        <w:tc>
          <w:tcPr>
            <w:tcW w:w="5000" w:type="pct"/>
            <w:tcBorders>
              <w:top w:val="nil"/>
              <w:bottom w:val="nil"/>
            </w:tcBorders>
            <w:shd w:val="clear" w:color="000000" w:fill="auto"/>
          </w:tcPr>
          <w:p w14:paraId="20694662"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Aboriginal Housing Northern Territory</w:t>
            </w:r>
          </w:p>
        </w:tc>
      </w:tr>
      <w:tr w:rsidR="003B6502" w:rsidRPr="0003235A" w14:paraId="2EE8569F" w14:textId="77777777" w:rsidTr="009D1170">
        <w:tc>
          <w:tcPr>
            <w:tcW w:w="5000" w:type="pct"/>
            <w:tcBorders>
              <w:bottom w:val="nil"/>
            </w:tcBorders>
            <w:shd w:val="clear" w:color="auto" w:fill="FBF3EC"/>
          </w:tcPr>
          <w:p w14:paraId="6C6662C7"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Aboriginal Housing Victoria</w:t>
            </w:r>
          </w:p>
        </w:tc>
      </w:tr>
      <w:tr w:rsidR="003B6502" w:rsidRPr="0003235A" w14:paraId="6B4E2FCF" w14:textId="77777777" w:rsidTr="005E0FB3">
        <w:tc>
          <w:tcPr>
            <w:tcW w:w="5000" w:type="pct"/>
            <w:tcBorders>
              <w:top w:val="nil"/>
              <w:bottom w:val="nil"/>
            </w:tcBorders>
            <w:shd w:val="clear" w:color="000000" w:fill="auto"/>
          </w:tcPr>
          <w:p w14:paraId="224FD294"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Arial"/>
                <w:szCs w:val="18"/>
              </w:rPr>
              <w:t>Community Housing Central Australia</w:t>
            </w:r>
          </w:p>
        </w:tc>
      </w:tr>
      <w:tr w:rsidR="003B6502" w:rsidRPr="0003235A" w14:paraId="0C2A81F6" w14:textId="77777777" w:rsidTr="009D1170">
        <w:tc>
          <w:tcPr>
            <w:tcW w:w="5000" w:type="pct"/>
            <w:tcBorders>
              <w:bottom w:val="nil"/>
            </w:tcBorders>
            <w:shd w:val="clear" w:color="auto" w:fill="FBF3EC"/>
          </w:tcPr>
          <w:p w14:paraId="318D134F"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 xml:space="preserve">National Aboriginal and Torres Strait Islander Housing Authority (NATSIHA) </w:t>
            </w:r>
          </w:p>
        </w:tc>
      </w:tr>
      <w:tr w:rsidR="003B6502" w:rsidRPr="0003235A" w14:paraId="07E549B8" w14:textId="77777777" w:rsidTr="005E0FB3">
        <w:tc>
          <w:tcPr>
            <w:tcW w:w="5000" w:type="pct"/>
            <w:tcBorders>
              <w:top w:val="nil"/>
              <w:bottom w:val="nil"/>
            </w:tcBorders>
            <w:shd w:val="clear" w:color="000000" w:fill="auto"/>
          </w:tcPr>
          <w:p w14:paraId="55C8800D"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lastRenderedPageBreak/>
              <w:t>Nganampa Health Council</w:t>
            </w:r>
          </w:p>
        </w:tc>
      </w:tr>
      <w:tr w:rsidR="003B6502" w:rsidRPr="0003235A" w14:paraId="63604217" w14:textId="77777777" w:rsidTr="009D1170">
        <w:tc>
          <w:tcPr>
            <w:tcW w:w="5000" w:type="pct"/>
            <w:tcBorders>
              <w:bottom w:val="nil"/>
            </w:tcBorders>
            <w:shd w:val="clear" w:color="auto" w:fill="FBF3EC"/>
          </w:tcPr>
          <w:p w14:paraId="0249C6E7"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Noongar Mia Mia</w:t>
            </w:r>
          </w:p>
        </w:tc>
      </w:tr>
      <w:tr w:rsidR="003B6502" w:rsidRPr="0003235A" w14:paraId="3275DF3E" w14:textId="77777777" w:rsidTr="005E0FB3">
        <w:tc>
          <w:tcPr>
            <w:tcW w:w="5000" w:type="pct"/>
            <w:tcBorders>
              <w:top w:val="nil"/>
              <w:bottom w:val="nil"/>
            </w:tcBorders>
            <w:shd w:val="clear" w:color="000000" w:fill="auto"/>
          </w:tcPr>
          <w:p w14:paraId="7ED452B5"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South Australian Aboriginal Community Controlled Organisation Network (SAACCON)</w:t>
            </w:r>
          </w:p>
        </w:tc>
      </w:tr>
      <w:tr w:rsidR="003B6502" w:rsidRPr="0003235A" w14:paraId="3F98F8DF" w14:textId="77777777" w:rsidTr="009D1170">
        <w:tc>
          <w:tcPr>
            <w:tcW w:w="5000" w:type="pct"/>
            <w:tcBorders>
              <w:bottom w:val="nil"/>
            </w:tcBorders>
            <w:shd w:val="clear" w:color="auto" w:fill="FBF3EC"/>
          </w:tcPr>
          <w:p w14:paraId="6F02202B" w14:textId="7A3F3AF1"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 xml:space="preserve">Torres Strait </w:t>
            </w:r>
            <w:r w:rsidR="00903E3B">
              <w:rPr>
                <w:rFonts w:ascii="Arial (Body)" w:hAnsi="Arial (Body)" w:cs="Calibri Light"/>
              </w:rPr>
              <w:t xml:space="preserve">Island </w:t>
            </w:r>
            <w:r w:rsidRPr="0003235A">
              <w:rPr>
                <w:rFonts w:ascii="Arial (Body)" w:hAnsi="Arial (Body)" w:cs="Calibri Light"/>
              </w:rPr>
              <w:t xml:space="preserve">Regional </w:t>
            </w:r>
            <w:r w:rsidR="00903E3B">
              <w:rPr>
                <w:rFonts w:ascii="Arial (Body)" w:hAnsi="Arial (Body)" w:cs="Calibri Light"/>
              </w:rPr>
              <w:t>Council</w:t>
            </w:r>
            <w:r w:rsidR="00903E3B" w:rsidRPr="0003235A">
              <w:rPr>
                <w:rFonts w:ascii="Arial (Body)" w:hAnsi="Arial (Body)" w:cs="Calibri Light"/>
              </w:rPr>
              <w:t xml:space="preserve"> </w:t>
            </w:r>
            <w:r w:rsidRPr="0003235A">
              <w:rPr>
                <w:rFonts w:ascii="Arial (Body)" w:hAnsi="Arial (Body)" w:cs="Calibri Light"/>
              </w:rPr>
              <w:t>(TSIRC)</w:t>
            </w:r>
          </w:p>
        </w:tc>
      </w:tr>
      <w:tr w:rsidR="003B6502" w:rsidRPr="0003235A" w14:paraId="410754B1" w14:textId="77777777" w:rsidTr="009D1170">
        <w:tc>
          <w:tcPr>
            <w:tcW w:w="5000" w:type="pct"/>
            <w:tcBorders>
              <w:top w:val="nil"/>
              <w:bottom w:val="nil"/>
            </w:tcBorders>
            <w:shd w:val="clear" w:color="000000" w:fill="auto"/>
          </w:tcPr>
          <w:p w14:paraId="6A90688A"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Torres Strait Regional Authority (TSRA)</w:t>
            </w:r>
          </w:p>
        </w:tc>
      </w:tr>
      <w:tr w:rsidR="003B6502" w:rsidRPr="0003235A" w14:paraId="75B83B7D" w14:textId="77777777" w:rsidTr="009D1170">
        <w:tc>
          <w:tcPr>
            <w:tcW w:w="5000" w:type="pct"/>
            <w:tcBorders>
              <w:bottom w:val="single" w:sz="4" w:space="0" w:color="CB6027" w:themeColor="text2"/>
            </w:tcBorders>
            <w:shd w:val="clear" w:color="auto" w:fill="FBF3EC"/>
          </w:tcPr>
          <w:p w14:paraId="5148ECFB" w14:textId="77777777" w:rsidR="003B6502" w:rsidRPr="0003235A" w:rsidRDefault="003B6502" w:rsidP="005E0FB3">
            <w:pPr>
              <w:pStyle w:val="TableBody"/>
              <w:spacing w:before="45" w:after="45"/>
              <w:ind w:right="108"/>
              <w:rPr>
                <w:rFonts w:ascii="Arial (Body)" w:hAnsi="Arial (Body)" w:cs="Calibri Light"/>
              </w:rPr>
            </w:pPr>
            <w:r w:rsidRPr="0003235A">
              <w:rPr>
                <w:rFonts w:ascii="Arial (Body)" w:hAnsi="Arial (Body)" w:cs="Calibri Light"/>
              </w:rPr>
              <w:t>Yilli Rreung Housing Aboriginal Corporation</w:t>
            </w:r>
          </w:p>
        </w:tc>
      </w:tr>
    </w:tbl>
    <w:p w14:paraId="14168ACB" w14:textId="77777777" w:rsidR="003B6502" w:rsidRPr="0001710A" w:rsidRDefault="003B6502" w:rsidP="0001710A">
      <w:pPr>
        <w:pStyle w:val="BodyText"/>
      </w:pPr>
      <w:r w:rsidRPr="0001710A">
        <w:br w:type="page"/>
      </w:r>
    </w:p>
    <w:p w14:paraId="7145DCB9" w14:textId="540836FD" w:rsidR="00A91551" w:rsidRDefault="00314A16" w:rsidP="00A91551">
      <w:pPr>
        <w:pStyle w:val="Heading1-nobackground"/>
      </w:pPr>
      <w:bookmarkStart w:id="33" w:name="_Toc140505518"/>
      <w:r>
        <w:lastRenderedPageBreak/>
        <w:t>R</w:t>
      </w:r>
      <w:r w:rsidR="00A91551">
        <w:t>eference</w:t>
      </w:r>
      <w:r>
        <w:t>s</w:t>
      </w:r>
      <w:bookmarkEnd w:id="33"/>
    </w:p>
    <w:p w14:paraId="121166CB" w14:textId="77777777" w:rsidR="00BE6FFA" w:rsidRDefault="00BE6FFA" w:rsidP="00BE6FFA">
      <w:pPr>
        <w:pStyle w:val="Reference"/>
        <w:sectPr w:rsidR="00BE6FFA" w:rsidSect="002E3F19">
          <w:headerReference w:type="even" r:id="rId26"/>
          <w:headerReference w:type="default" r:id="rId27"/>
          <w:footerReference w:type="even" r:id="rId28"/>
          <w:footerReference w:type="default" r:id="rId29"/>
          <w:pgSz w:w="11906" w:h="16838" w:code="9"/>
          <w:pgMar w:top="1134" w:right="1134" w:bottom="1134" w:left="1134" w:header="794" w:footer="510" w:gutter="0"/>
          <w:cols w:space="708"/>
          <w:docGrid w:linePitch="360"/>
        </w:sectPr>
      </w:pPr>
    </w:p>
    <w:p w14:paraId="618A8CF0" w14:textId="77777777" w:rsidR="00314A16" w:rsidRPr="00314A16" w:rsidRDefault="00314A16" w:rsidP="00BE6FFA">
      <w:pPr>
        <w:pStyle w:val="Reference"/>
      </w:pPr>
      <w:r w:rsidRPr="00314A16">
        <w:t xml:space="preserve">AIATSIS (Australian Institute of Aboriginal and Torres Strait Islander Studies) 2008, </w:t>
      </w:r>
      <w:r w:rsidRPr="00314A16">
        <w:rPr>
          <w:i/>
          <w:iCs/>
        </w:rPr>
        <w:t>The Little Red Yellow Black Book</w:t>
      </w:r>
      <w:r w:rsidRPr="00314A16">
        <w:t>, Aboriginal Studies Press, Canberra.</w:t>
      </w:r>
    </w:p>
    <w:p w14:paraId="1B4DC96D" w14:textId="77777777" w:rsidR="00314A16" w:rsidRPr="00314A16" w:rsidRDefault="00314A16" w:rsidP="00BE6FFA">
      <w:pPr>
        <w:pStyle w:val="Reference"/>
      </w:pPr>
      <w:r w:rsidRPr="00314A16">
        <w:t>——</w:t>
      </w:r>
      <w:r w:rsidR="0001710A">
        <w:t> </w:t>
      </w:r>
      <w:r w:rsidRPr="00314A16">
        <w:t xml:space="preserve">2019, </w:t>
      </w:r>
      <w:r w:rsidRPr="00314A16">
        <w:rPr>
          <w:i/>
          <w:iCs/>
        </w:rPr>
        <w:t>AIATSIS Submission – Indigenous Evaluation Strategy</w:t>
      </w:r>
      <w:r w:rsidRPr="00314A16">
        <w:t>, 4 August.</w:t>
      </w:r>
    </w:p>
    <w:p w14:paraId="12352634" w14:textId="77777777" w:rsidR="00314A16" w:rsidRPr="00314A16" w:rsidRDefault="00314A16" w:rsidP="00BE6FFA">
      <w:pPr>
        <w:pStyle w:val="Reference"/>
      </w:pPr>
      <w:r w:rsidRPr="00314A16">
        <w:t xml:space="preserve">AIHW (The Healing Foundation and Australian Institute of Health and Welfare) 2018, </w:t>
      </w:r>
      <w:r w:rsidRPr="00314A16">
        <w:rPr>
          <w:i/>
          <w:iCs/>
        </w:rPr>
        <w:t>Aboriginal and Torres Strait Islander Stolen Generations and Descendants: Numbers, Demographic Characteristics and Selected Outcomes</w:t>
      </w:r>
      <w:r w:rsidRPr="00314A16">
        <w:t>, Cat. no. IHW 195, Canberra.</w:t>
      </w:r>
    </w:p>
    <w:p w14:paraId="1C0756EF" w14:textId="77777777" w:rsidR="00314A16" w:rsidRPr="00314A16" w:rsidRDefault="00314A16" w:rsidP="00BE6FFA">
      <w:pPr>
        <w:pStyle w:val="Reference"/>
      </w:pPr>
      <w:r w:rsidRPr="00314A16">
        <w:t xml:space="preserve">ANTAR 2022, </w:t>
      </w:r>
      <w:r w:rsidRPr="00314A16">
        <w:rPr>
          <w:i/>
          <w:iCs/>
        </w:rPr>
        <w:t>UNDRIP in Australia</w:t>
      </w:r>
      <w:r w:rsidRPr="00314A16">
        <w:t>, https://antar.org.au/issues/</w:t>
      </w:r>
      <w:r w:rsidR="0001710A">
        <w:br/>
      </w:r>
      <w:r w:rsidRPr="00314A16">
        <w:t>undrip/australia/ (accessed 15 June 2023).</w:t>
      </w:r>
    </w:p>
    <w:p w14:paraId="609ED195" w14:textId="77777777" w:rsidR="00CA5212" w:rsidRPr="00CA5212" w:rsidRDefault="00CA5212" w:rsidP="00BE6FFA">
      <w:pPr>
        <w:pStyle w:val="Reference"/>
      </w:pPr>
      <w:r w:rsidRPr="00CA5212">
        <w:t xml:space="preserve">Australian Government 2023, </w:t>
      </w:r>
      <w:r w:rsidRPr="00CA5212">
        <w:rPr>
          <w:i/>
          <w:iCs/>
        </w:rPr>
        <w:t>Aboriginal and Torres Strait Islander Voice</w:t>
      </w:r>
      <w:r w:rsidRPr="00CA5212">
        <w:t>, https://voice.gov.au/ (accessed 17 June 2023).</w:t>
      </w:r>
    </w:p>
    <w:p w14:paraId="47DB3B43" w14:textId="77777777" w:rsidR="00314A16" w:rsidRPr="00314A16" w:rsidRDefault="00314A16" w:rsidP="00BE6FFA">
      <w:pPr>
        <w:pStyle w:val="Reference"/>
      </w:pPr>
      <w:r w:rsidRPr="00314A16">
        <w:t xml:space="preserve">Close the Gap Campaign 2022, </w:t>
      </w:r>
      <w:r w:rsidRPr="00314A16">
        <w:rPr>
          <w:i/>
          <w:iCs/>
        </w:rPr>
        <w:t>Close the Gap: Indigenous Health Campaign</w:t>
      </w:r>
      <w:r w:rsidR="00CA5212" w:rsidRPr="00CA5212">
        <w:t>,</w:t>
      </w:r>
      <w:r w:rsidRPr="00314A16">
        <w:t xml:space="preserve"> https://humanrights.gov.au/our-work/</w:t>
      </w:r>
      <w:r w:rsidR="0001710A">
        <w:br/>
      </w:r>
      <w:r w:rsidRPr="00314A16">
        <w:t>aboriginal-and-torres-strait-islander-social-justice/projects/</w:t>
      </w:r>
      <w:r w:rsidR="0001710A">
        <w:br/>
      </w:r>
      <w:r w:rsidRPr="00314A16">
        <w:t>close-gap-indigenous-health (accessed 25 May 2023).</w:t>
      </w:r>
    </w:p>
    <w:p w14:paraId="407D5607" w14:textId="77777777" w:rsidR="00314A16" w:rsidRPr="00314A16" w:rsidRDefault="00314A16" w:rsidP="00BE6FFA">
      <w:pPr>
        <w:pStyle w:val="Reference"/>
      </w:pPr>
      <w:r w:rsidRPr="00314A16">
        <w:t xml:space="preserve">COAG (Council of Australian Governments) 2008, </w:t>
      </w:r>
      <w:r w:rsidRPr="00314A16">
        <w:rPr>
          <w:i/>
          <w:iCs/>
        </w:rPr>
        <w:t>National Indigenous Reform Agreement</w:t>
      </w:r>
      <w:r w:rsidRPr="00314A16">
        <w:t>, https://coalitionofpeaks.org.au/</w:t>
      </w:r>
      <w:r w:rsidR="0001710A">
        <w:br/>
      </w:r>
      <w:r w:rsidRPr="00314A16">
        <w:t>resources/nira/ (accessed 15 June 2023).</w:t>
      </w:r>
    </w:p>
    <w:p w14:paraId="235A1878" w14:textId="77777777" w:rsidR="00314A16" w:rsidRPr="00314A16" w:rsidRDefault="00314A16" w:rsidP="00BE6FFA">
      <w:pPr>
        <w:pStyle w:val="Reference"/>
      </w:pPr>
      <w:r w:rsidRPr="00314A16">
        <w:t>——</w:t>
      </w:r>
      <w:r w:rsidR="0001710A">
        <w:t> </w:t>
      </w:r>
      <w:r w:rsidRPr="00314A16">
        <w:t xml:space="preserve">2018, </w:t>
      </w:r>
      <w:r w:rsidRPr="00314A16">
        <w:rPr>
          <w:i/>
          <w:iCs/>
        </w:rPr>
        <w:t>Special Gathering Statement: Closing the Gap Refresh Building pathways for future prosperity</w:t>
      </w:r>
      <w:r w:rsidRPr="00314A16">
        <w:t>, Closing the Gap Refresh.</w:t>
      </w:r>
    </w:p>
    <w:p w14:paraId="526989D6" w14:textId="77777777" w:rsidR="00314A16" w:rsidRPr="00314A16" w:rsidRDefault="00314A16" w:rsidP="00BE6FFA">
      <w:pPr>
        <w:pStyle w:val="Reference"/>
      </w:pPr>
      <w:r w:rsidRPr="00314A16">
        <w:t xml:space="preserve">Coalition of Peaks 2020, </w:t>
      </w:r>
      <w:r w:rsidRPr="00314A16">
        <w:rPr>
          <w:i/>
          <w:iCs/>
        </w:rPr>
        <w:t>Our Story</w:t>
      </w:r>
      <w:r w:rsidRPr="00314A16">
        <w:t>, Coalition of Peaks Our Story, https://coalitionofpeaks.org.au/our-story/ (accessed 22 May 2023).</w:t>
      </w:r>
    </w:p>
    <w:p w14:paraId="35D9B334" w14:textId="77777777" w:rsidR="00314A16" w:rsidRPr="00314A16" w:rsidRDefault="00314A16" w:rsidP="00BE6FFA">
      <w:pPr>
        <w:pStyle w:val="Reference"/>
      </w:pPr>
      <w:r w:rsidRPr="00314A16">
        <w:t xml:space="preserve">Coalition of Peaks and COAG (Coalition of Aboriginal and Torres Strait Islander Peak Organisations and the Council of Australian Governments) 2019, </w:t>
      </w:r>
      <w:r w:rsidRPr="00314A16">
        <w:rPr>
          <w:i/>
          <w:iCs/>
        </w:rPr>
        <w:t>Closing the Gap Partnership Agreement</w:t>
      </w:r>
      <w:r w:rsidRPr="00314A16">
        <w:t>, https://federation.gov.au/about/agreements/</w:t>
      </w:r>
      <w:r w:rsidR="0001710A">
        <w:br/>
      </w:r>
      <w:r w:rsidRPr="00314A16">
        <w:t>closing-gap-partnership-agreement (accessed 15 June 2023).</w:t>
      </w:r>
    </w:p>
    <w:p w14:paraId="7BBCB145" w14:textId="77777777" w:rsidR="00314A16" w:rsidRPr="00314A16" w:rsidRDefault="00314A16" w:rsidP="00BE6FFA">
      <w:pPr>
        <w:pStyle w:val="Reference"/>
      </w:pPr>
      <w:r w:rsidRPr="00314A16">
        <w:t xml:space="preserve">HREOC (Human Rights and Equal Opportunity Commission) 1997, </w:t>
      </w:r>
      <w:r w:rsidRPr="00314A16">
        <w:rPr>
          <w:i/>
          <w:iCs/>
        </w:rPr>
        <w:t>Bringing Them Home: Report of the National Inquiry into the Separation of Aboriginal and Torres Strait Islander Children from their Families</w:t>
      </w:r>
      <w:r w:rsidRPr="00314A16">
        <w:t>.</w:t>
      </w:r>
    </w:p>
    <w:p w14:paraId="10E9AD0A" w14:textId="77777777" w:rsidR="00314A16" w:rsidRPr="0001710A" w:rsidRDefault="00314A16" w:rsidP="00BE6FFA">
      <w:pPr>
        <w:pStyle w:val="Reference"/>
        <w:rPr>
          <w:spacing w:val="-4"/>
        </w:rPr>
      </w:pPr>
      <w:r w:rsidRPr="0001710A">
        <w:rPr>
          <w:spacing w:val="-4"/>
        </w:rPr>
        <w:t xml:space="preserve">Joint Council (Joint Council on Closing the Gap) 2023, </w:t>
      </w:r>
      <w:r w:rsidRPr="0001710A">
        <w:rPr>
          <w:i/>
          <w:iCs/>
          <w:spacing w:val="-4"/>
        </w:rPr>
        <w:t>Joint Council on Closing the Gap Terms of Reference</w:t>
      </w:r>
      <w:r w:rsidRPr="0001710A">
        <w:rPr>
          <w:spacing w:val="-4"/>
        </w:rPr>
        <w:t>, https://www.closingthegap.gov.au/sites/default/files/2023-06/joint-council-ctg-terms-of-reference.pdf (accessed 3 July 2023).</w:t>
      </w:r>
    </w:p>
    <w:p w14:paraId="6FA00D9B" w14:textId="77777777" w:rsidR="00314A16" w:rsidRPr="00314A16" w:rsidRDefault="00314A16" w:rsidP="00BE6FFA">
      <w:pPr>
        <w:pStyle w:val="Reference"/>
      </w:pPr>
      <w:r w:rsidRPr="00314A16">
        <w:t xml:space="preserve">Law Council of Australia 2022, </w:t>
      </w:r>
      <w:r w:rsidRPr="00314A16">
        <w:rPr>
          <w:i/>
          <w:iCs/>
        </w:rPr>
        <w:t>Australia must formally adopt UN Declaration on Rights of Indigenous People</w:t>
      </w:r>
      <w:r w:rsidRPr="00314A16">
        <w:t xml:space="preserve">, </w:t>
      </w:r>
      <w:r w:rsidRPr="00314A16">
        <w:t>https://www.lawcouncil.asn.au/media/media-releases/australia-must-formally-adopt-un-declaration-on-rights-of-indigenous-people (accessed 15 June 2023).</w:t>
      </w:r>
    </w:p>
    <w:p w14:paraId="6A36DD41" w14:textId="77777777" w:rsidR="00314A16" w:rsidRPr="00314A16" w:rsidRDefault="00314A16" w:rsidP="00BE6FFA">
      <w:pPr>
        <w:pStyle w:val="Reference"/>
      </w:pPr>
      <w:r w:rsidRPr="00314A16">
        <w:t xml:space="preserve">Morgan Disney and Associates 2006, </w:t>
      </w:r>
      <w:r w:rsidRPr="00314A16">
        <w:rPr>
          <w:i/>
          <w:iCs/>
        </w:rPr>
        <w:t>Synopsis Review of the COAG Trial Evaluations</w:t>
      </w:r>
      <w:r w:rsidRPr="00314A16">
        <w:t>.</w:t>
      </w:r>
    </w:p>
    <w:p w14:paraId="55D300D2" w14:textId="77777777" w:rsidR="00314A16" w:rsidRPr="0001710A" w:rsidRDefault="00314A16" w:rsidP="00BE6FFA">
      <w:pPr>
        <w:pStyle w:val="Reference"/>
        <w:rPr>
          <w:spacing w:val="-4"/>
        </w:rPr>
      </w:pPr>
      <w:r w:rsidRPr="0001710A">
        <w:rPr>
          <w:spacing w:val="-4"/>
        </w:rPr>
        <w:t xml:space="preserve">Morrison, S. 2020, </w:t>
      </w:r>
      <w:r w:rsidRPr="0001710A">
        <w:rPr>
          <w:i/>
          <w:iCs/>
          <w:spacing w:val="-4"/>
        </w:rPr>
        <w:t>Closing the Gap Report speech</w:t>
      </w:r>
      <w:r w:rsidRPr="0001710A">
        <w:rPr>
          <w:spacing w:val="-4"/>
        </w:rPr>
        <w:t>, 12 February, Australian Parliament, Canberra.</w:t>
      </w:r>
    </w:p>
    <w:p w14:paraId="1AD35BF2" w14:textId="77777777" w:rsidR="00314A16" w:rsidRPr="00314A16" w:rsidRDefault="00314A16" w:rsidP="00BE6FFA">
      <w:pPr>
        <w:pStyle w:val="Reference"/>
      </w:pPr>
      <w:r w:rsidRPr="00314A16">
        <w:t xml:space="preserve">PC (Productivity Commission) 2020, </w:t>
      </w:r>
      <w:r w:rsidRPr="00314A16">
        <w:rPr>
          <w:i/>
          <w:iCs/>
        </w:rPr>
        <w:t>Indigenous Evaluation Strategy</w:t>
      </w:r>
      <w:r w:rsidRPr="00314A16">
        <w:t>, Canberra.</w:t>
      </w:r>
    </w:p>
    <w:p w14:paraId="397B1CB8" w14:textId="77777777" w:rsidR="00314A16" w:rsidRPr="00314A16" w:rsidRDefault="00314A16" w:rsidP="00BE6FFA">
      <w:pPr>
        <w:pStyle w:val="Reference"/>
      </w:pPr>
      <w:r w:rsidRPr="00314A16">
        <w:t>——</w:t>
      </w:r>
      <w:r w:rsidR="0001710A">
        <w:t> </w:t>
      </w:r>
      <w:r w:rsidRPr="00314A16">
        <w:t xml:space="preserve">2022a, </w:t>
      </w:r>
      <w:r w:rsidRPr="00314A16">
        <w:rPr>
          <w:i/>
          <w:iCs/>
        </w:rPr>
        <w:t>Review of the National Agreement on Closing the Gap - Review paper 1: Engagement approach</w:t>
      </w:r>
      <w:r w:rsidRPr="00314A16">
        <w:t>.</w:t>
      </w:r>
    </w:p>
    <w:p w14:paraId="43099576" w14:textId="77777777" w:rsidR="00314A16" w:rsidRPr="00314A16" w:rsidRDefault="00314A16" w:rsidP="00BE6FFA">
      <w:pPr>
        <w:pStyle w:val="Reference"/>
      </w:pPr>
      <w:r w:rsidRPr="00314A16">
        <w:t>——</w:t>
      </w:r>
      <w:r w:rsidR="0001710A">
        <w:t> </w:t>
      </w:r>
      <w:r w:rsidRPr="00314A16">
        <w:t xml:space="preserve">2022b, </w:t>
      </w:r>
      <w:r w:rsidRPr="00314A16">
        <w:rPr>
          <w:i/>
          <w:iCs/>
        </w:rPr>
        <w:t>Review of the National Agreement on Closing the Gap - Review paper 2: Proposed approach and invitation to engage with the review</w:t>
      </w:r>
      <w:r w:rsidRPr="00314A16">
        <w:t>.</w:t>
      </w:r>
    </w:p>
    <w:p w14:paraId="61B7A8CE" w14:textId="77777777" w:rsidR="00314A16" w:rsidRPr="00314A16" w:rsidRDefault="00314A16" w:rsidP="00BE6FFA">
      <w:pPr>
        <w:pStyle w:val="Reference"/>
      </w:pPr>
      <w:r w:rsidRPr="00314A16">
        <w:t>——</w:t>
      </w:r>
      <w:r w:rsidR="0001710A">
        <w:t> </w:t>
      </w:r>
      <w:r w:rsidRPr="00314A16">
        <w:t xml:space="preserve">2023a, </w:t>
      </w:r>
      <w:r w:rsidRPr="00314A16">
        <w:rPr>
          <w:i/>
          <w:iCs/>
        </w:rPr>
        <w:t>Closing the Gap Annual Data Compilation Report</w:t>
      </w:r>
      <w:r w:rsidRPr="00314A16">
        <w:t>, July.</w:t>
      </w:r>
    </w:p>
    <w:p w14:paraId="5DD3D7FA" w14:textId="77777777" w:rsidR="00314A16" w:rsidRPr="00314A16" w:rsidRDefault="00314A16" w:rsidP="00BE6FFA">
      <w:pPr>
        <w:pStyle w:val="Reference"/>
      </w:pPr>
      <w:r w:rsidRPr="00314A16">
        <w:t>——</w:t>
      </w:r>
      <w:r w:rsidR="0001710A">
        <w:t> </w:t>
      </w:r>
      <w:r w:rsidRPr="00314A16">
        <w:t xml:space="preserve">2023b, </w:t>
      </w:r>
      <w:r w:rsidRPr="00314A16">
        <w:rPr>
          <w:i/>
          <w:iCs/>
        </w:rPr>
        <w:t>Closing the Gap Information Repository - Productivity Commission</w:t>
      </w:r>
      <w:r w:rsidRPr="00314A16">
        <w:t>, Closing the Gap Information Repository - Productivity Commission, https://www.pc.gov.au/</w:t>
      </w:r>
      <w:r w:rsidR="0001710A">
        <w:br/>
      </w:r>
      <w:r w:rsidRPr="00314A16">
        <w:t>closing-the-gap-data (accessed 9 June 2023).</w:t>
      </w:r>
    </w:p>
    <w:p w14:paraId="2311764D" w14:textId="77777777" w:rsidR="00314A16" w:rsidRPr="00314A16" w:rsidRDefault="00314A16" w:rsidP="00BE6FFA">
      <w:pPr>
        <w:pStyle w:val="Reference"/>
      </w:pPr>
      <w:r w:rsidRPr="00314A16">
        <w:t>——</w:t>
      </w:r>
      <w:r w:rsidR="0001710A">
        <w:t> </w:t>
      </w:r>
      <w:r w:rsidRPr="00314A16">
        <w:t xml:space="preserve">2023c, </w:t>
      </w:r>
      <w:r w:rsidRPr="00314A16">
        <w:rPr>
          <w:i/>
          <w:iCs/>
        </w:rPr>
        <w:t>Review of the National Agreement on Closing the Gap - Review paper 3: What we have heard to date - first phase of engagement</w:t>
      </w:r>
      <w:r w:rsidRPr="00314A16">
        <w:t>, Productivity Commission, Canberra.</w:t>
      </w:r>
    </w:p>
    <w:p w14:paraId="6FF431B3" w14:textId="77777777" w:rsidR="00314A16" w:rsidRPr="00314A16" w:rsidRDefault="00314A16" w:rsidP="00BE6FFA">
      <w:pPr>
        <w:pStyle w:val="Reference"/>
      </w:pPr>
      <w:r w:rsidRPr="00314A16">
        <w:t xml:space="preserve">PWG (Partnership Working Group on Closing the Gap) 2023, </w:t>
      </w:r>
      <w:r w:rsidRPr="00314A16">
        <w:rPr>
          <w:i/>
          <w:iCs/>
        </w:rPr>
        <w:t>Partnership Working Group on Closing the Gap Terms of Reference</w:t>
      </w:r>
      <w:r w:rsidRPr="00314A16">
        <w:t>, https://www.closingthegap.gov.au/sites/default/</w:t>
      </w:r>
      <w:r w:rsidR="00923777">
        <w:br/>
      </w:r>
      <w:r w:rsidRPr="00314A16">
        <w:t>files/2023-03/partnership-working-group-terms-of-reference-effective-23-february-2023.pdf (accessed 3 July 2023).</w:t>
      </w:r>
    </w:p>
    <w:p w14:paraId="0623960B" w14:textId="77777777" w:rsidR="00314A16" w:rsidRPr="00314A16" w:rsidRDefault="00314A16" w:rsidP="00BE6FFA">
      <w:pPr>
        <w:pStyle w:val="Reference"/>
      </w:pPr>
      <w:r w:rsidRPr="00314A16">
        <w:t xml:space="preserve">SCRGSP (Steering Committee for the Review of Government Service Provision) 2017, </w:t>
      </w:r>
      <w:r w:rsidRPr="00314A16">
        <w:rPr>
          <w:i/>
          <w:iCs/>
        </w:rPr>
        <w:t>Indigenous Expenditure Report 2017</w:t>
      </w:r>
      <w:r w:rsidRPr="00314A16">
        <w:t>, Productivity Commission, Canberra.</w:t>
      </w:r>
    </w:p>
    <w:p w14:paraId="1E3FDAC5" w14:textId="77777777" w:rsidR="00314A16" w:rsidRPr="00314A16" w:rsidRDefault="00314A16" w:rsidP="00BE6FFA">
      <w:pPr>
        <w:pStyle w:val="Reference"/>
      </w:pPr>
      <w:r w:rsidRPr="00314A16">
        <w:t>——</w:t>
      </w:r>
      <w:r w:rsidR="0001710A">
        <w:t> </w:t>
      </w:r>
      <w:r w:rsidRPr="00314A16">
        <w:t xml:space="preserve">2020, </w:t>
      </w:r>
      <w:r w:rsidRPr="00314A16">
        <w:rPr>
          <w:i/>
          <w:iCs/>
        </w:rPr>
        <w:t>Overcoming Indigenous Disadvantage: Key Indicators 2020</w:t>
      </w:r>
      <w:r w:rsidRPr="00314A16">
        <w:t>, Productivity Commission, Canberra.</w:t>
      </w:r>
    </w:p>
    <w:p w14:paraId="12B888F1" w14:textId="77777777" w:rsidR="00314A16" w:rsidRPr="00314A16" w:rsidRDefault="00314A16" w:rsidP="00BE6FFA">
      <w:pPr>
        <w:pStyle w:val="Reference"/>
      </w:pPr>
      <w:r w:rsidRPr="00314A16">
        <w:t xml:space="preserve">United Nations 2007, </w:t>
      </w:r>
      <w:r w:rsidRPr="00314A16">
        <w:rPr>
          <w:i/>
          <w:iCs/>
        </w:rPr>
        <w:t>United Nations Declaration on the Rights of Indigenous Peoples | Division for Inclusive Social Development (DISD)</w:t>
      </w:r>
      <w:r w:rsidRPr="00314A16">
        <w:t>, https://social.desa.un.org/issues/indigenous-peoples/united-nations-declaration-on-the-rights-of-indigenous-peoples (accessed 25 May 2023).</w:t>
      </w:r>
    </w:p>
    <w:p w14:paraId="4C6A4311" w14:textId="77777777" w:rsidR="00314A16" w:rsidRPr="00314A16" w:rsidRDefault="00314A16" w:rsidP="00BE6FFA">
      <w:pPr>
        <w:pStyle w:val="Reference"/>
      </w:pPr>
      <w:r w:rsidRPr="00314A16">
        <w:t xml:space="preserve">VPSC (Victorian Public Service Commission) 2023, </w:t>
      </w:r>
      <w:r w:rsidRPr="00314A16">
        <w:rPr>
          <w:i/>
          <w:iCs/>
        </w:rPr>
        <w:t>Aboriginal Cultural Capability Toolkit</w:t>
      </w:r>
      <w:r w:rsidRPr="00314A16">
        <w:t>, Melbourne.</w:t>
      </w:r>
    </w:p>
    <w:p w14:paraId="27868AE3" w14:textId="77777777" w:rsidR="0001710A" w:rsidRDefault="0001710A" w:rsidP="00BE6FFA">
      <w:pPr>
        <w:pStyle w:val="Reference"/>
        <w:sectPr w:rsidR="0001710A" w:rsidSect="00BE6FFA">
          <w:type w:val="continuous"/>
          <w:pgSz w:w="11906" w:h="16838" w:code="9"/>
          <w:pgMar w:top="1134" w:right="1134" w:bottom="1134" w:left="1134" w:header="794" w:footer="510" w:gutter="0"/>
          <w:cols w:num="2" w:space="708"/>
          <w:docGrid w:linePitch="360"/>
        </w:sectPr>
      </w:pPr>
    </w:p>
    <w:p w14:paraId="48B904DF" w14:textId="6D726994" w:rsidR="003841A7" w:rsidRPr="003841A7" w:rsidRDefault="003841A7" w:rsidP="00BE6FFA">
      <w:pPr>
        <w:pStyle w:val="Reference"/>
      </w:pPr>
    </w:p>
    <w:sectPr w:rsidR="003841A7" w:rsidRPr="003841A7" w:rsidSect="00BE6FFA">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2C89" w14:textId="77777777" w:rsidR="00A5390E" w:rsidRDefault="00A5390E" w:rsidP="008017BC">
      <w:r>
        <w:separator/>
      </w:r>
    </w:p>
    <w:p w14:paraId="31C23C1F" w14:textId="77777777" w:rsidR="00A5390E" w:rsidRDefault="00A5390E"/>
  </w:endnote>
  <w:endnote w:type="continuationSeparator" w:id="0">
    <w:p w14:paraId="406FCB87" w14:textId="77777777" w:rsidR="00A5390E" w:rsidRDefault="00A5390E" w:rsidP="008017BC">
      <w:r>
        <w:continuationSeparator/>
      </w:r>
    </w:p>
    <w:p w14:paraId="1BDFE172" w14:textId="77777777" w:rsidR="00A5390E" w:rsidRDefault="00A5390E"/>
  </w:endnote>
  <w:endnote w:type="continuationNotice" w:id="1">
    <w:p w14:paraId="6F66A187" w14:textId="77777777" w:rsidR="00A5390E" w:rsidRDefault="00A539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D707" w14:textId="62E480A4" w:rsidR="003B6502" w:rsidRDefault="003B6502"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561168"/>
      <w:docPartObj>
        <w:docPartGallery w:val="Page Numbers (Bottom of Page)"/>
        <w:docPartUnique/>
      </w:docPartObj>
    </w:sdtPr>
    <w:sdtContent>
      <w:sdt>
        <w:sdtPr>
          <w:id w:val="68092536"/>
          <w:docPartObj>
            <w:docPartGallery w:val="Page Numbers (Top of Page)"/>
            <w:docPartUnique/>
          </w:docPartObj>
        </w:sdtPr>
        <w:sdtContent>
          <w:p w14:paraId="7F7464F0" w14:textId="2E125C1A" w:rsidR="003B6502" w:rsidRDefault="003B6502"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3D0B" w14:textId="77777777" w:rsidR="00C33EA0" w:rsidRDefault="00C33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611C" w14:textId="7D788BF8"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714C54D4" w14:textId="5546E8CC"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70ED" w14:textId="77777777" w:rsidR="00A5390E" w:rsidRPr="00C238D1" w:rsidRDefault="00A5390E" w:rsidP="00273E86">
      <w:pPr>
        <w:spacing w:after="0" w:line="240" w:lineRule="auto"/>
        <w:rPr>
          <w:rStyle w:val="ColourDarkBlue"/>
        </w:rPr>
      </w:pPr>
      <w:r w:rsidRPr="00C238D1">
        <w:rPr>
          <w:rStyle w:val="ColourDarkBlue"/>
        </w:rPr>
        <w:continuationSeparator/>
      </w:r>
    </w:p>
  </w:footnote>
  <w:footnote w:type="continuationSeparator" w:id="0">
    <w:p w14:paraId="6D207969" w14:textId="77777777" w:rsidR="00A5390E" w:rsidRPr="001D7D9B" w:rsidRDefault="00A5390E" w:rsidP="001D7D9B">
      <w:pPr>
        <w:spacing w:after="0" w:line="240" w:lineRule="auto"/>
        <w:rPr>
          <w:color w:val="0D8380" w:themeColor="background2"/>
        </w:rPr>
      </w:pPr>
      <w:r w:rsidRPr="00C238D1">
        <w:rPr>
          <w:rStyle w:val="ColourDarkBlue"/>
        </w:rPr>
        <w:continuationSeparator/>
      </w:r>
    </w:p>
  </w:footnote>
  <w:footnote w:type="continuationNotice" w:id="1">
    <w:p w14:paraId="259FE804" w14:textId="77777777" w:rsidR="00A5390E" w:rsidRDefault="00A5390E"/>
  </w:footnote>
  <w:footnote w:id="2">
    <w:p w14:paraId="71CA8153" w14:textId="587C063A" w:rsidR="00EC5C88" w:rsidRDefault="00EC5C88">
      <w:pPr>
        <w:pStyle w:val="FootnoteText"/>
      </w:pPr>
      <w:r w:rsidRPr="00B609DE">
        <w:rPr>
          <w:rStyle w:val="FootnoteReference"/>
        </w:rPr>
        <w:footnoteRef/>
      </w:r>
      <w:r w:rsidR="00BB6D0D">
        <w:t xml:space="preserve"> COAG was replaced with National Cabinet in March 2020. National Cabinet comprises </w:t>
      </w:r>
      <w:r w:rsidR="00BB6D0D" w:rsidRPr="00BB6D0D">
        <w:t xml:space="preserve">the Prime Minister </w:t>
      </w:r>
      <w:r w:rsidR="00BB6D0D">
        <w:t xml:space="preserve">and </w:t>
      </w:r>
      <w:r w:rsidR="00BB6D0D" w:rsidRPr="00BB6D0D">
        <w:t>each of the State and Territory Government Premiers or Chief Ministers</w:t>
      </w:r>
      <w:r w:rsidR="00BB6D0D">
        <w:t xml:space="preserve">. A representative of local government is </w:t>
      </w:r>
      <w:r w:rsidR="002146AA">
        <w:t>invited to meet with National Cabinet once each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CE1E" w14:textId="3D35262D" w:rsidR="003B6502" w:rsidRDefault="002C38A9" w:rsidP="005E0FB3">
    <w:pPr>
      <w:pStyle w:val="Header-Keyline"/>
    </w:pPr>
    <w:r>
      <w:rPr>
        <w:rStyle w:val="Strong"/>
      </w:rPr>
      <w:t>Review of the National Agreement on Closing the Gap</w:t>
    </w:r>
    <w:r w:rsidR="003B6502">
      <w:t xml:space="preserve"> 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7CFD" w14:textId="6233FD1F" w:rsidR="003B6502" w:rsidRPr="00EF04FA" w:rsidRDefault="000F3711" w:rsidP="00EF04FA">
    <w:pPr>
      <w:pStyle w:val="Header-KeylineRight"/>
      <w:contextualSpacing/>
      <w:rPr>
        <w:b w:val="0"/>
      </w:rPr>
    </w:pPr>
    <w:r>
      <w:t>Information paper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3E98" w14:textId="77777777" w:rsidR="00C33EA0" w:rsidRDefault="00C33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0049" w14:textId="08DBD72B" w:rsidR="00F173EF" w:rsidRPr="00AF1FC1" w:rsidRDefault="00640F01" w:rsidP="00994A36">
    <w:pPr>
      <w:pStyle w:val="Header-Keyline"/>
    </w:pPr>
    <w:r>
      <w:rPr>
        <w:rStyle w:val="Strong"/>
      </w:rPr>
      <w:t>Review of the National Agreement on Closing the Gap</w:t>
    </w:r>
    <w:r w:rsidR="00AF1FC1">
      <w:t xml:space="preserve"> Draft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593B" w14:textId="091C741F" w:rsidR="00F173EF" w:rsidRPr="006678D1" w:rsidRDefault="006678D1" w:rsidP="006678D1">
    <w:pPr>
      <w:pStyle w:val="Header-KeylineRight"/>
      <w:contextualSpacing/>
      <w:rPr>
        <w:b w:val="0"/>
      </w:rPr>
    </w:pPr>
    <w:r>
      <w:t>Information paper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0D8380"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FF19AC"/>
    <w:multiLevelType w:val="hybridMultilevel"/>
    <w:tmpl w:val="FD289AA2"/>
    <w:lvl w:ilvl="0" w:tplc="2F6EF78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0"/>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8" w15:restartNumberingAfterBreak="0">
    <w:nsid w:val="761B4A1B"/>
    <w:multiLevelType w:val="multilevel"/>
    <w:tmpl w:val="4F48000A"/>
    <w:numStyleLink w:val="Alphalist"/>
  </w:abstractNum>
  <w:num w:numId="1" w16cid:durableId="926233085">
    <w:abstractNumId w:val="6"/>
  </w:num>
  <w:num w:numId="2" w16cid:durableId="503594904">
    <w:abstractNumId w:val="2"/>
  </w:num>
  <w:num w:numId="3" w16cid:durableId="1224289845">
    <w:abstractNumId w:val="9"/>
  </w:num>
  <w:num w:numId="4" w16cid:durableId="1231691123">
    <w:abstractNumId w:val="16"/>
  </w:num>
  <w:num w:numId="5" w16cid:durableId="611286847">
    <w:abstractNumId w:val="17"/>
  </w:num>
  <w:num w:numId="6" w16cid:durableId="1864124633">
    <w:abstractNumId w:val="14"/>
  </w:num>
  <w:num w:numId="7" w16cid:durableId="488520812">
    <w:abstractNumId w:val="11"/>
  </w:num>
  <w:num w:numId="8" w16cid:durableId="1969117623">
    <w:abstractNumId w:val="7"/>
  </w:num>
  <w:num w:numId="9" w16cid:durableId="40401880">
    <w:abstractNumId w:val="10"/>
  </w:num>
  <w:num w:numId="10" w16cid:durableId="2065324129">
    <w:abstractNumId w:val="18"/>
  </w:num>
  <w:num w:numId="11" w16cid:durableId="1071542807">
    <w:abstractNumId w:val="0"/>
  </w:num>
  <w:num w:numId="12" w16cid:durableId="1860582815">
    <w:abstractNumId w:val="3"/>
  </w:num>
  <w:num w:numId="13" w16cid:durableId="1225531239">
    <w:abstractNumId w:val="8"/>
  </w:num>
  <w:num w:numId="14" w16cid:durableId="281231354">
    <w:abstractNumId w:val="5"/>
  </w:num>
  <w:num w:numId="15" w16cid:durableId="2029603728">
    <w:abstractNumId w:val="1"/>
  </w:num>
  <w:num w:numId="16" w16cid:durableId="2082438495">
    <w:abstractNumId w:val="12"/>
  </w:num>
  <w:num w:numId="17" w16cid:durableId="365914035">
    <w:abstractNumId w:val="4"/>
    <w:lvlOverride w:ilvl="0">
      <w:lvl w:ilvl="0">
        <w:start w:val="1"/>
        <w:numFmt w:val="bullet"/>
        <w:pStyle w:val="ListBullet"/>
        <w:lvlText w:val="•"/>
        <w:lvlJc w:val="left"/>
        <w:pPr>
          <w:ind w:left="227" w:hanging="227"/>
        </w:pPr>
        <w:rPr>
          <w:rFonts w:ascii="Times New Roman" w:hAnsi="Times New Roman" w:cs="Times New Roman" w:hint="default"/>
          <w:color w:val="auto"/>
        </w:rPr>
      </w:lvl>
    </w:lvlOverride>
    <w:lvlOverride w:ilvl="1">
      <w:lvl w:ilvl="1">
        <w:start w:val="1"/>
        <w:numFmt w:val="bullet"/>
        <w:pStyle w:val="ListBullet2"/>
        <w:lvlText w:val="–"/>
        <w:lvlJc w:val="left"/>
        <w:pPr>
          <w:ind w:left="454" w:hanging="227"/>
        </w:pPr>
        <w:rPr>
          <w:rFonts w:ascii="Arial" w:hAnsi="Arial" w:hint="default"/>
          <w:color w:val="auto"/>
        </w:rPr>
      </w:lvl>
    </w:lvlOverride>
  </w:num>
  <w:num w:numId="18" w16cid:durableId="112750086">
    <w:abstractNumId w:val="13"/>
  </w:num>
  <w:num w:numId="19" w16cid:durableId="428701388">
    <w:abstractNumId w:val="15"/>
  </w:num>
  <w:num w:numId="20" w16cid:durableId="1483696513">
    <w:abstractNumId w:val="4"/>
  </w:num>
  <w:num w:numId="21" w16cid:durableId="347030603">
    <w:abstractNumId w:val="4"/>
  </w:num>
  <w:num w:numId="22" w16cid:durableId="1849516518">
    <w:abstractNumId w:val="4"/>
  </w:num>
  <w:num w:numId="23" w16cid:durableId="59586474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7D"/>
    <w:rsid w:val="00000075"/>
    <w:rsid w:val="00000F3C"/>
    <w:rsid w:val="00002886"/>
    <w:rsid w:val="0000377E"/>
    <w:rsid w:val="00004343"/>
    <w:rsid w:val="00004489"/>
    <w:rsid w:val="000047AB"/>
    <w:rsid w:val="00004936"/>
    <w:rsid w:val="00004DC1"/>
    <w:rsid w:val="00004EA7"/>
    <w:rsid w:val="00004EDB"/>
    <w:rsid w:val="0000584A"/>
    <w:rsid w:val="00005C79"/>
    <w:rsid w:val="00006308"/>
    <w:rsid w:val="000064C3"/>
    <w:rsid w:val="000075F7"/>
    <w:rsid w:val="00007892"/>
    <w:rsid w:val="00010243"/>
    <w:rsid w:val="000105B2"/>
    <w:rsid w:val="0001092E"/>
    <w:rsid w:val="00010EC6"/>
    <w:rsid w:val="00011944"/>
    <w:rsid w:val="000120C4"/>
    <w:rsid w:val="000122F4"/>
    <w:rsid w:val="00012686"/>
    <w:rsid w:val="000128F5"/>
    <w:rsid w:val="00012909"/>
    <w:rsid w:val="00012A7D"/>
    <w:rsid w:val="00012C7F"/>
    <w:rsid w:val="00013ECE"/>
    <w:rsid w:val="00014315"/>
    <w:rsid w:val="000146FB"/>
    <w:rsid w:val="00014FDA"/>
    <w:rsid w:val="00015365"/>
    <w:rsid w:val="0001545C"/>
    <w:rsid w:val="00015CDF"/>
    <w:rsid w:val="00015E0A"/>
    <w:rsid w:val="00016886"/>
    <w:rsid w:val="00016D15"/>
    <w:rsid w:val="00017108"/>
    <w:rsid w:val="0001710A"/>
    <w:rsid w:val="00017323"/>
    <w:rsid w:val="0001796F"/>
    <w:rsid w:val="00017996"/>
    <w:rsid w:val="000179D9"/>
    <w:rsid w:val="00017C6D"/>
    <w:rsid w:val="00017DA6"/>
    <w:rsid w:val="00017E8C"/>
    <w:rsid w:val="0002031B"/>
    <w:rsid w:val="000204E3"/>
    <w:rsid w:val="000214E4"/>
    <w:rsid w:val="00021927"/>
    <w:rsid w:val="000219F7"/>
    <w:rsid w:val="00022B4D"/>
    <w:rsid w:val="00022DAC"/>
    <w:rsid w:val="00024165"/>
    <w:rsid w:val="00024458"/>
    <w:rsid w:val="000245D6"/>
    <w:rsid w:val="00024B40"/>
    <w:rsid w:val="000254F5"/>
    <w:rsid w:val="0002573B"/>
    <w:rsid w:val="00025BBD"/>
    <w:rsid w:val="00026609"/>
    <w:rsid w:val="0002690B"/>
    <w:rsid w:val="00026C04"/>
    <w:rsid w:val="00026FBE"/>
    <w:rsid w:val="0002786B"/>
    <w:rsid w:val="000300AF"/>
    <w:rsid w:val="00030C71"/>
    <w:rsid w:val="00030E88"/>
    <w:rsid w:val="000310E8"/>
    <w:rsid w:val="000312B5"/>
    <w:rsid w:val="0003165D"/>
    <w:rsid w:val="00031A48"/>
    <w:rsid w:val="00032892"/>
    <w:rsid w:val="00032B28"/>
    <w:rsid w:val="000331E4"/>
    <w:rsid w:val="000331EB"/>
    <w:rsid w:val="0003338D"/>
    <w:rsid w:val="000333CC"/>
    <w:rsid w:val="00033619"/>
    <w:rsid w:val="000342BA"/>
    <w:rsid w:val="0003585A"/>
    <w:rsid w:val="0003590A"/>
    <w:rsid w:val="00036635"/>
    <w:rsid w:val="0003669C"/>
    <w:rsid w:val="0003722B"/>
    <w:rsid w:val="00037564"/>
    <w:rsid w:val="00037586"/>
    <w:rsid w:val="00040101"/>
    <w:rsid w:val="000401A6"/>
    <w:rsid w:val="0004074E"/>
    <w:rsid w:val="00040EAB"/>
    <w:rsid w:val="00042033"/>
    <w:rsid w:val="000420E2"/>
    <w:rsid w:val="00042797"/>
    <w:rsid w:val="00042DC0"/>
    <w:rsid w:val="000435C8"/>
    <w:rsid w:val="0004367C"/>
    <w:rsid w:val="00043C0F"/>
    <w:rsid w:val="00043CC2"/>
    <w:rsid w:val="000443E7"/>
    <w:rsid w:val="00044733"/>
    <w:rsid w:val="00044AEA"/>
    <w:rsid w:val="00045813"/>
    <w:rsid w:val="00045964"/>
    <w:rsid w:val="00045D96"/>
    <w:rsid w:val="00046CE0"/>
    <w:rsid w:val="00047162"/>
    <w:rsid w:val="0004749A"/>
    <w:rsid w:val="00047894"/>
    <w:rsid w:val="000478FA"/>
    <w:rsid w:val="00047ED0"/>
    <w:rsid w:val="00050865"/>
    <w:rsid w:val="00050870"/>
    <w:rsid w:val="00050B4E"/>
    <w:rsid w:val="00050B9E"/>
    <w:rsid w:val="00050C6F"/>
    <w:rsid w:val="0005151B"/>
    <w:rsid w:val="0005165B"/>
    <w:rsid w:val="0005178E"/>
    <w:rsid w:val="000517E0"/>
    <w:rsid w:val="00051ACB"/>
    <w:rsid w:val="00051F79"/>
    <w:rsid w:val="00051FDC"/>
    <w:rsid w:val="00052120"/>
    <w:rsid w:val="000525A9"/>
    <w:rsid w:val="00052BDE"/>
    <w:rsid w:val="00053E4D"/>
    <w:rsid w:val="00053F6A"/>
    <w:rsid w:val="000542CD"/>
    <w:rsid w:val="00054602"/>
    <w:rsid w:val="00054C26"/>
    <w:rsid w:val="00054C36"/>
    <w:rsid w:val="00054C95"/>
    <w:rsid w:val="00054E59"/>
    <w:rsid w:val="00054F94"/>
    <w:rsid w:val="00055476"/>
    <w:rsid w:val="00055967"/>
    <w:rsid w:val="00055FFE"/>
    <w:rsid w:val="000561CF"/>
    <w:rsid w:val="000561EE"/>
    <w:rsid w:val="000567B3"/>
    <w:rsid w:val="00057566"/>
    <w:rsid w:val="0005774F"/>
    <w:rsid w:val="00060307"/>
    <w:rsid w:val="000619E9"/>
    <w:rsid w:val="00062482"/>
    <w:rsid w:val="000626EE"/>
    <w:rsid w:val="00062A44"/>
    <w:rsid w:val="00062EBB"/>
    <w:rsid w:val="0006305B"/>
    <w:rsid w:val="000634DF"/>
    <w:rsid w:val="00063F0C"/>
    <w:rsid w:val="00064000"/>
    <w:rsid w:val="0006401A"/>
    <w:rsid w:val="0006456F"/>
    <w:rsid w:val="00064FB0"/>
    <w:rsid w:val="00065BB5"/>
    <w:rsid w:val="00065C81"/>
    <w:rsid w:val="00065D41"/>
    <w:rsid w:val="000664B0"/>
    <w:rsid w:val="00066856"/>
    <w:rsid w:val="00066D52"/>
    <w:rsid w:val="00067007"/>
    <w:rsid w:val="000675CA"/>
    <w:rsid w:val="00067767"/>
    <w:rsid w:val="00070961"/>
    <w:rsid w:val="00070BD3"/>
    <w:rsid w:val="00070FBB"/>
    <w:rsid w:val="000715AF"/>
    <w:rsid w:val="00071649"/>
    <w:rsid w:val="00071B0A"/>
    <w:rsid w:val="00071E0F"/>
    <w:rsid w:val="000724AE"/>
    <w:rsid w:val="00072755"/>
    <w:rsid w:val="0007298B"/>
    <w:rsid w:val="00072C5F"/>
    <w:rsid w:val="0007392B"/>
    <w:rsid w:val="00073D5D"/>
    <w:rsid w:val="00074590"/>
    <w:rsid w:val="000748BC"/>
    <w:rsid w:val="00074B76"/>
    <w:rsid w:val="00075345"/>
    <w:rsid w:val="00076486"/>
    <w:rsid w:val="000769CF"/>
    <w:rsid w:val="0007752A"/>
    <w:rsid w:val="0007776A"/>
    <w:rsid w:val="00077A76"/>
    <w:rsid w:val="00077C2B"/>
    <w:rsid w:val="00077DF8"/>
    <w:rsid w:val="00080085"/>
    <w:rsid w:val="000802E5"/>
    <w:rsid w:val="0008037D"/>
    <w:rsid w:val="00080438"/>
    <w:rsid w:val="00080DCB"/>
    <w:rsid w:val="00081113"/>
    <w:rsid w:val="000814D2"/>
    <w:rsid w:val="00081972"/>
    <w:rsid w:val="00082109"/>
    <w:rsid w:val="000822A1"/>
    <w:rsid w:val="000835F7"/>
    <w:rsid w:val="00083787"/>
    <w:rsid w:val="00084660"/>
    <w:rsid w:val="00084FCD"/>
    <w:rsid w:val="0008574B"/>
    <w:rsid w:val="00085906"/>
    <w:rsid w:val="000859C2"/>
    <w:rsid w:val="00085B42"/>
    <w:rsid w:val="00085CE2"/>
    <w:rsid w:val="00085FB9"/>
    <w:rsid w:val="00086095"/>
    <w:rsid w:val="0008654E"/>
    <w:rsid w:val="00086B31"/>
    <w:rsid w:val="00086B44"/>
    <w:rsid w:val="00086C66"/>
    <w:rsid w:val="00086CAB"/>
    <w:rsid w:val="00086F92"/>
    <w:rsid w:val="00087961"/>
    <w:rsid w:val="000879EF"/>
    <w:rsid w:val="000905ED"/>
    <w:rsid w:val="00090733"/>
    <w:rsid w:val="00090E2B"/>
    <w:rsid w:val="00090FA5"/>
    <w:rsid w:val="00091286"/>
    <w:rsid w:val="00091721"/>
    <w:rsid w:val="000917A8"/>
    <w:rsid w:val="00092A1D"/>
    <w:rsid w:val="0009310E"/>
    <w:rsid w:val="000931AD"/>
    <w:rsid w:val="00093A7D"/>
    <w:rsid w:val="000940D7"/>
    <w:rsid w:val="00094352"/>
    <w:rsid w:val="00094875"/>
    <w:rsid w:val="00096E09"/>
    <w:rsid w:val="000973E0"/>
    <w:rsid w:val="00097412"/>
    <w:rsid w:val="000A0F08"/>
    <w:rsid w:val="000A13A6"/>
    <w:rsid w:val="000A18A9"/>
    <w:rsid w:val="000A19D4"/>
    <w:rsid w:val="000A1BFC"/>
    <w:rsid w:val="000A223E"/>
    <w:rsid w:val="000A22C1"/>
    <w:rsid w:val="000A26DD"/>
    <w:rsid w:val="000A2B32"/>
    <w:rsid w:val="000A349D"/>
    <w:rsid w:val="000A37E4"/>
    <w:rsid w:val="000A38AA"/>
    <w:rsid w:val="000A3E80"/>
    <w:rsid w:val="000A4624"/>
    <w:rsid w:val="000A4BD5"/>
    <w:rsid w:val="000A513C"/>
    <w:rsid w:val="000A531F"/>
    <w:rsid w:val="000A53D0"/>
    <w:rsid w:val="000A5E21"/>
    <w:rsid w:val="000A663E"/>
    <w:rsid w:val="000A66A5"/>
    <w:rsid w:val="000A6934"/>
    <w:rsid w:val="000A748A"/>
    <w:rsid w:val="000B02CD"/>
    <w:rsid w:val="000B0802"/>
    <w:rsid w:val="000B1E79"/>
    <w:rsid w:val="000B2413"/>
    <w:rsid w:val="000B2569"/>
    <w:rsid w:val="000B2A99"/>
    <w:rsid w:val="000B3308"/>
    <w:rsid w:val="000B3F75"/>
    <w:rsid w:val="000B497F"/>
    <w:rsid w:val="000B4A72"/>
    <w:rsid w:val="000B5105"/>
    <w:rsid w:val="000B608E"/>
    <w:rsid w:val="000B6169"/>
    <w:rsid w:val="000B66D4"/>
    <w:rsid w:val="000B6D60"/>
    <w:rsid w:val="000B6FE0"/>
    <w:rsid w:val="000C007F"/>
    <w:rsid w:val="000C0590"/>
    <w:rsid w:val="000C0A4A"/>
    <w:rsid w:val="000C0C9E"/>
    <w:rsid w:val="000C174A"/>
    <w:rsid w:val="000C1C88"/>
    <w:rsid w:val="000C2D5B"/>
    <w:rsid w:val="000C3D2D"/>
    <w:rsid w:val="000C3E6E"/>
    <w:rsid w:val="000C4021"/>
    <w:rsid w:val="000C499A"/>
    <w:rsid w:val="000C4B97"/>
    <w:rsid w:val="000C4CB8"/>
    <w:rsid w:val="000C4ED4"/>
    <w:rsid w:val="000C5058"/>
    <w:rsid w:val="000C5F3D"/>
    <w:rsid w:val="000C68C1"/>
    <w:rsid w:val="000C6B77"/>
    <w:rsid w:val="000C72E0"/>
    <w:rsid w:val="000D0FEE"/>
    <w:rsid w:val="000D1BF9"/>
    <w:rsid w:val="000D1C05"/>
    <w:rsid w:val="000D204E"/>
    <w:rsid w:val="000D238A"/>
    <w:rsid w:val="000D33F1"/>
    <w:rsid w:val="000D37DD"/>
    <w:rsid w:val="000D39E4"/>
    <w:rsid w:val="000D407D"/>
    <w:rsid w:val="000D40C7"/>
    <w:rsid w:val="000D46C9"/>
    <w:rsid w:val="000D5480"/>
    <w:rsid w:val="000D56F8"/>
    <w:rsid w:val="000D5E1A"/>
    <w:rsid w:val="000D6437"/>
    <w:rsid w:val="000D72EF"/>
    <w:rsid w:val="000E0406"/>
    <w:rsid w:val="000E0838"/>
    <w:rsid w:val="000E13C4"/>
    <w:rsid w:val="000E1808"/>
    <w:rsid w:val="000E1C2A"/>
    <w:rsid w:val="000E1F63"/>
    <w:rsid w:val="000E219C"/>
    <w:rsid w:val="000E24FA"/>
    <w:rsid w:val="000E2AAA"/>
    <w:rsid w:val="000E3164"/>
    <w:rsid w:val="000E3952"/>
    <w:rsid w:val="000E3AC6"/>
    <w:rsid w:val="000E4302"/>
    <w:rsid w:val="000E43B0"/>
    <w:rsid w:val="000E5869"/>
    <w:rsid w:val="000E5C57"/>
    <w:rsid w:val="000E5CF9"/>
    <w:rsid w:val="000E6AFB"/>
    <w:rsid w:val="000E6E3E"/>
    <w:rsid w:val="000E7014"/>
    <w:rsid w:val="000E7962"/>
    <w:rsid w:val="000E7D4C"/>
    <w:rsid w:val="000F1261"/>
    <w:rsid w:val="000F1750"/>
    <w:rsid w:val="000F1877"/>
    <w:rsid w:val="000F1AB6"/>
    <w:rsid w:val="000F1BCF"/>
    <w:rsid w:val="000F1F41"/>
    <w:rsid w:val="000F1F6F"/>
    <w:rsid w:val="000F2175"/>
    <w:rsid w:val="000F3711"/>
    <w:rsid w:val="000F438B"/>
    <w:rsid w:val="000F4488"/>
    <w:rsid w:val="000F48A1"/>
    <w:rsid w:val="000F4BC0"/>
    <w:rsid w:val="000F4C2D"/>
    <w:rsid w:val="000F4C39"/>
    <w:rsid w:val="000F4F2F"/>
    <w:rsid w:val="000F6248"/>
    <w:rsid w:val="000F625D"/>
    <w:rsid w:val="000F692E"/>
    <w:rsid w:val="000F6AC2"/>
    <w:rsid w:val="001001B0"/>
    <w:rsid w:val="001005D7"/>
    <w:rsid w:val="00100E96"/>
    <w:rsid w:val="00100FAB"/>
    <w:rsid w:val="0010129E"/>
    <w:rsid w:val="0010145F"/>
    <w:rsid w:val="001022EF"/>
    <w:rsid w:val="001024FA"/>
    <w:rsid w:val="00102AE9"/>
    <w:rsid w:val="00102F6C"/>
    <w:rsid w:val="0010383A"/>
    <w:rsid w:val="00103D7C"/>
    <w:rsid w:val="00104C85"/>
    <w:rsid w:val="00105105"/>
    <w:rsid w:val="00105353"/>
    <w:rsid w:val="0010544E"/>
    <w:rsid w:val="001059D4"/>
    <w:rsid w:val="001059DA"/>
    <w:rsid w:val="00105AC8"/>
    <w:rsid w:val="00105B21"/>
    <w:rsid w:val="00105F37"/>
    <w:rsid w:val="00106AEE"/>
    <w:rsid w:val="00106D12"/>
    <w:rsid w:val="001073AA"/>
    <w:rsid w:val="00107AB8"/>
    <w:rsid w:val="00107B4D"/>
    <w:rsid w:val="00110349"/>
    <w:rsid w:val="00110857"/>
    <w:rsid w:val="00110998"/>
    <w:rsid w:val="00110A8D"/>
    <w:rsid w:val="00110E4C"/>
    <w:rsid w:val="00111236"/>
    <w:rsid w:val="0011191D"/>
    <w:rsid w:val="00111AB0"/>
    <w:rsid w:val="00111F85"/>
    <w:rsid w:val="0011217E"/>
    <w:rsid w:val="00112E8F"/>
    <w:rsid w:val="00113BC8"/>
    <w:rsid w:val="00114F12"/>
    <w:rsid w:val="00115818"/>
    <w:rsid w:val="00116231"/>
    <w:rsid w:val="001162CC"/>
    <w:rsid w:val="00116791"/>
    <w:rsid w:val="0011684D"/>
    <w:rsid w:val="00116E29"/>
    <w:rsid w:val="001176D2"/>
    <w:rsid w:val="00120003"/>
    <w:rsid w:val="00120792"/>
    <w:rsid w:val="0012194A"/>
    <w:rsid w:val="00121A16"/>
    <w:rsid w:val="0012229D"/>
    <w:rsid w:val="00123258"/>
    <w:rsid w:val="001237C7"/>
    <w:rsid w:val="00124362"/>
    <w:rsid w:val="001243B4"/>
    <w:rsid w:val="00124C1B"/>
    <w:rsid w:val="00125141"/>
    <w:rsid w:val="00125BBA"/>
    <w:rsid w:val="0012616B"/>
    <w:rsid w:val="001268BC"/>
    <w:rsid w:val="00126CDE"/>
    <w:rsid w:val="00126FF0"/>
    <w:rsid w:val="001273C7"/>
    <w:rsid w:val="00127452"/>
    <w:rsid w:val="001279DC"/>
    <w:rsid w:val="00127F73"/>
    <w:rsid w:val="001303A8"/>
    <w:rsid w:val="001305E8"/>
    <w:rsid w:val="001307A2"/>
    <w:rsid w:val="00131AD7"/>
    <w:rsid w:val="0013234D"/>
    <w:rsid w:val="00133406"/>
    <w:rsid w:val="001334A7"/>
    <w:rsid w:val="001334AA"/>
    <w:rsid w:val="00133758"/>
    <w:rsid w:val="00133806"/>
    <w:rsid w:val="00133948"/>
    <w:rsid w:val="00133B13"/>
    <w:rsid w:val="0013436E"/>
    <w:rsid w:val="00134901"/>
    <w:rsid w:val="0013499B"/>
    <w:rsid w:val="001349C5"/>
    <w:rsid w:val="00134BEA"/>
    <w:rsid w:val="0013593E"/>
    <w:rsid w:val="00135998"/>
    <w:rsid w:val="00135F48"/>
    <w:rsid w:val="0013600B"/>
    <w:rsid w:val="001360C5"/>
    <w:rsid w:val="0013640E"/>
    <w:rsid w:val="00136412"/>
    <w:rsid w:val="001368BA"/>
    <w:rsid w:val="00137200"/>
    <w:rsid w:val="0013722E"/>
    <w:rsid w:val="00137CB0"/>
    <w:rsid w:val="00137FAB"/>
    <w:rsid w:val="001400C1"/>
    <w:rsid w:val="0014042F"/>
    <w:rsid w:val="0014057F"/>
    <w:rsid w:val="00140A58"/>
    <w:rsid w:val="00140CE6"/>
    <w:rsid w:val="001412D8"/>
    <w:rsid w:val="00141B8B"/>
    <w:rsid w:val="00141D22"/>
    <w:rsid w:val="00141DE8"/>
    <w:rsid w:val="00141E3A"/>
    <w:rsid w:val="0014241C"/>
    <w:rsid w:val="00142FE5"/>
    <w:rsid w:val="0014302A"/>
    <w:rsid w:val="00143946"/>
    <w:rsid w:val="00144842"/>
    <w:rsid w:val="00144A14"/>
    <w:rsid w:val="00145F6B"/>
    <w:rsid w:val="00146199"/>
    <w:rsid w:val="00146361"/>
    <w:rsid w:val="00146657"/>
    <w:rsid w:val="0014684A"/>
    <w:rsid w:val="00146C0A"/>
    <w:rsid w:val="00146E66"/>
    <w:rsid w:val="00147663"/>
    <w:rsid w:val="00147907"/>
    <w:rsid w:val="00147D90"/>
    <w:rsid w:val="00150240"/>
    <w:rsid w:val="0015032E"/>
    <w:rsid w:val="0015073E"/>
    <w:rsid w:val="00150DEA"/>
    <w:rsid w:val="00151466"/>
    <w:rsid w:val="001514EF"/>
    <w:rsid w:val="001514FF"/>
    <w:rsid w:val="00151982"/>
    <w:rsid w:val="00151E08"/>
    <w:rsid w:val="00153859"/>
    <w:rsid w:val="00153913"/>
    <w:rsid w:val="00153F74"/>
    <w:rsid w:val="001548F7"/>
    <w:rsid w:val="00154E0D"/>
    <w:rsid w:val="001550BC"/>
    <w:rsid w:val="001554CA"/>
    <w:rsid w:val="001559C2"/>
    <w:rsid w:val="00155C5F"/>
    <w:rsid w:val="00156172"/>
    <w:rsid w:val="00156317"/>
    <w:rsid w:val="00156365"/>
    <w:rsid w:val="0015699B"/>
    <w:rsid w:val="00156A11"/>
    <w:rsid w:val="00157108"/>
    <w:rsid w:val="00157158"/>
    <w:rsid w:val="001571AD"/>
    <w:rsid w:val="00157323"/>
    <w:rsid w:val="001574DE"/>
    <w:rsid w:val="001600E9"/>
    <w:rsid w:val="00160485"/>
    <w:rsid w:val="001605F8"/>
    <w:rsid w:val="0016082B"/>
    <w:rsid w:val="00160FEC"/>
    <w:rsid w:val="001610E5"/>
    <w:rsid w:val="00161763"/>
    <w:rsid w:val="00161B62"/>
    <w:rsid w:val="00161BC8"/>
    <w:rsid w:val="001622ED"/>
    <w:rsid w:val="00162627"/>
    <w:rsid w:val="001626BC"/>
    <w:rsid w:val="00162DA0"/>
    <w:rsid w:val="0016316C"/>
    <w:rsid w:val="0016354E"/>
    <w:rsid w:val="001636E3"/>
    <w:rsid w:val="00163C64"/>
    <w:rsid w:val="00163ED6"/>
    <w:rsid w:val="001641FC"/>
    <w:rsid w:val="0016488B"/>
    <w:rsid w:val="00164A74"/>
    <w:rsid w:val="00164BB4"/>
    <w:rsid w:val="00165230"/>
    <w:rsid w:val="00165328"/>
    <w:rsid w:val="001653BD"/>
    <w:rsid w:val="001657EA"/>
    <w:rsid w:val="0016605A"/>
    <w:rsid w:val="001667E1"/>
    <w:rsid w:val="0016740B"/>
    <w:rsid w:val="00167ED4"/>
    <w:rsid w:val="00167F60"/>
    <w:rsid w:val="00170CB8"/>
    <w:rsid w:val="00170E09"/>
    <w:rsid w:val="00170F78"/>
    <w:rsid w:val="001711E3"/>
    <w:rsid w:val="00171393"/>
    <w:rsid w:val="001714F3"/>
    <w:rsid w:val="00171B0D"/>
    <w:rsid w:val="0017202F"/>
    <w:rsid w:val="00172F3F"/>
    <w:rsid w:val="0017366F"/>
    <w:rsid w:val="00173778"/>
    <w:rsid w:val="001740FC"/>
    <w:rsid w:val="0017462F"/>
    <w:rsid w:val="00174F79"/>
    <w:rsid w:val="0017596F"/>
    <w:rsid w:val="001763BD"/>
    <w:rsid w:val="00176A49"/>
    <w:rsid w:val="0017713D"/>
    <w:rsid w:val="0017731F"/>
    <w:rsid w:val="00177BEC"/>
    <w:rsid w:val="00180432"/>
    <w:rsid w:val="00180439"/>
    <w:rsid w:val="0018086F"/>
    <w:rsid w:val="001815F3"/>
    <w:rsid w:val="00181A12"/>
    <w:rsid w:val="001823F5"/>
    <w:rsid w:val="001825DE"/>
    <w:rsid w:val="001827BE"/>
    <w:rsid w:val="00182A32"/>
    <w:rsid w:val="00182E8B"/>
    <w:rsid w:val="00182F4A"/>
    <w:rsid w:val="00183D06"/>
    <w:rsid w:val="00184411"/>
    <w:rsid w:val="001847E0"/>
    <w:rsid w:val="00184AED"/>
    <w:rsid w:val="00184B7A"/>
    <w:rsid w:val="00184CEB"/>
    <w:rsid w:val="00184F87"/>
    <w:rsid w:val="00185312"/>
    <w:rsid w:val="0018548D"/>
    <w:rsid w:val="0018599D"/>
    <w:rsid w:val="001862B9"/>
    <w:rsid w:val="00186514"/>
    <w:rsid w:val="00186589"/>
    <w:rsid w:val="00186A7F"/>
    <w:rsid w:val="00186F27"/>
    <w:rsid w:val="001874E1"/>
    <w:rsid w:val="00187671"/>
    <w:rsid w:val="00187F05"/>
    <w:rsid w:val="001900FD"/>
    <w:rsid w:val="001905FB"/>
    <w:rsid w:val="001906F0"/>
    <w:rsid w:val="0019074A"/>
    <w:rsid w:val="00190D3D"/>
    <w:rsid w:val="00191735"/>
    <w:rsid w:val="0019180B"/>
    <w:rsid w:val="00191A3C"/>
    <w:rsid w:val="00191CA9"/>
    <w:rsid w:val="00191F75"/>
    <w:rsid w:val="00191FC8"/>
    <w:rsid w:val="0019215C"/>
    <w:rsid w:val="001921B9"/>
    <w:rsid w:val="00192661"/>
    <w:rsid w:val="0019296C"/>
    <w:rsid w:val="00192E46"/>
    <w:rsid w:val="00193DEF"/>
    <w:rsid w:val="00194055"/>
    <w:rsid w:val="00194183"/>
    <w:rsid w:val="0019425E"/>
    <w:rsid w:val="00194324"/>
    <w:rsid w:val="00194B33"/>
    <w:rsid w:val="00195016"/>
    <w:rsid w:val="00195697"/>
    <w:rsid w:val="001957BF"/>
    <w:rsid w:val="00195FF9"/>
    <w:rsid w:val="001966F2"/>
    <w:rsid w:val="001968C2"/>
    <w:rsid w:val="00196902"/>
    <w:rsid w:val="001969F7"/>
    <w:rsid w:val="0019771D"/>
    <w:rsid w:val="0019791D"/>
    <w:rsid w:val="0019796E"/>
    <w:rsid w:val="001A0126"/>
    <w:rsid w:val="001A0D77"/>
    <w:rsid w:val="001A12D5"/>
    <w:rsid w:val="001A196A"/>
    <w:rsid w:val="001A1A50"/>
    <w:rsid w:val="001A1C4E"/>
    <w:rsid w:val="001A1D95"/>
    <w:rsid w:val="001A2040"/>
    <w:rsid w:val="001A2565"/>
    <w:rsid w:val="001A37A2"/>
    <w:rsid w:val="001A3A0B"/>
    <w:rsid w:val="001A3C2F"/>
    <w:rsid w:val="001A3D0F"/>
    <w:rsid w:val="001A3EB5"/>
    <w:rsid w:val="001A46F7"/>
    <w:rsid w:val="001A62FA"/>
    <w:rsid w:val="001A6FAC"/>
    <w:rsid w:val="001A7355"/>
    <w:rsid w:val="001A7CE7"/>
    <w:rsid w:val="001B074F"/>
    <w:rsid w:val="001B106C"/>
    <w:rsid w:val="001B1762"/>
    <w:rsid w:val="001B17AC"/>
    <w:rsid w:val="001B193C"/>
    <w:rsid w:val="001B1ACB"/>
    <w:rsid w:val="001B1CCC"/>
    <w:rsid w:val="001B2A7E"/>
    <w:rsid w:val="001B3B3A"/>
    <w:rsid w:val="001B588D"/>
    <w:rsid w:val="001B5F03"/>
    <w:rsid w:val="001B5F44"/>
    <w:rsid w:val="001B6088"/>
    <w:rsid w:val="001B6193"/>
    <w:rsid w:val="001B626F"/>
    <w:rsid w:val="001B64F5"/>
    <w:rsid w:val="001B696B"/>
    <w:rsid w:val="001B6D8C"/>
    <w:rsid w:val="001B79A5"/>
    <w:rsid w:val="001B7C30"/>
    <w:rsid w:val="001C0A0D"/>
    <w:rsid w:val="001C1AB0"/>
    <w:rsid w:val="001C1E1B"/>
    <w:rsid w:val="001C1F36"/>
    <w:rsid w:val="001C28CD"/>
    <w:rsid w:val="001C2FE9"/>
    <w:rsid w:val="001C44D5"/>
    <w:rsid w:val="001C5156"/>
    <w:rsid w:val="001C53B6"/>
    <w:rsid w:val="001C5C72"/>
    <w:rsid w:val="001C7312"/>
    <w:rsid w:val="001C7655"/>
    <w:rsid w:val="001C7835"/>
    <w:rsid w:val="001D0B6D"/>
    <w:rsid w:val="001D1356"/>
    <w:rsid w:val="001D1829"/>
    <w:rsid w:val="001D1A1D"/>
    <w:rsid w:val="001D2561"/>
    <w:rsid w:val="001D27DF"/>
    <w:rsid w:val="001D2979"/>
    <w:rsid w:val="001D2FC1"/>
    <w:rsid w:val="001D3347"/>
    <w:rsid w:val="001D3C8E"/>
    <w:rsid w:val="001D3F0B"/>
    <w:rsid w:val="001D4050"/>
    <w:rsid w:val="001D57EE"/>
    <w:rsid w:val="001D6708"/>
    <w:rsid w:val="001D704B"/>
    <w:rsid w:val="001D71E2"/>
    <w:rsid w:val="001D7541"/>
    <w:rsid w:val="001D7BEE"/>
    <w:rsid w:val="001D7D9B"/>
    <w:rsid w:val="001E05DC"/>
    <w:rsid w:val="001E0622"/>
    <w:rsid w:val="001E083A"/>
    <w:rsid w:val="001E08BA"/>
    <w:rsid w:val="001E1098"/>
    <w:rsid w:val="001E1355"/>
    <w:rsid w:val="001E1726"/>
    <w:rsid w:val="001E1D7C"/>
    <w:rsid w:val="001E2096"/>
    <w:rsid w:val="001E270A"/>
    <w:rsid w:val="001E2920"/>
    <w:rsid w:val="001E2B46"/>
    <w:rsid w:val="001E3BFA"/>
    <w:rsid w:val="001E3CC6"/>
    <w:rsid w:val="001E3D8F"/>
    <w:rsid w:val="001E41D2"/>
    <w:rsid w:val="001E50FA"/>
    <w:rsid w:val="001E5153"/>
    <w:rsid w:val="001E6745"/>
    <w:rsid w:val="001E6999"/>
    <w:rsid w:val="001E750E"/>
    <w:rsid w:val="001E75BA"/>
    <w:rsid w:val="001E7773"/>
    <w:rsid w:val="001E7B49"/>
    <w:rsid w:val="001F05E9"/>
    <w:rsid w:val="001F06ED"/>
    <w:rsid w:val="001F10A3"/>
    <w:rsid w:val="001F1188"/>
    <w:rsid w:val="001F13C1"/>
    <w:rsid w:val="001F15E0"/>
    <w:rsid w:val="001F163E"/>
    <w:rsid w:val="001F1E9A"/>
    <w:rsid w:val="001F2077"/>
    <w:rsid w:val="001F2A2B"/>
    <w:rsid w:val="001F34BF"/>
    <w:rsid w:val="001F3839"/>
    <w:rsid w:val="001F446D"/>
    <w:rsid w:val="001F4ADE"/>
    <w:rsid w:val="001F54DE"/>
    <w:rsid w:val="001F58AB"/>
    <w:rsid w:val="001F5FA0"/>
    <w:rsid w:val="001F6B0A"/>
    <w:rsid w:val="001F6FFF"/>
    <w:rsid w:val="001F7196"/>
    <w:rsid w:val="001F7604"/>
    <w:rsid w:val="001F78F3"/>
    <w:rsid w:val="001F7AA8"/>
    <w:rsid w:val="001F7BB8"/>
    <w:rsid w:val="002000F1"/>
    <w:rsid w:val="002002C4"/>
    <w:rsid w:val="002007C8"/>
    <w:rsid w:val="002009D7"/>
    <w:rsid w:val="002009E1"/>
    <w:rsid w:val="00200A6E"/>
    <w:rsid w:val="00200B0E"/>
    <w:rsid w:val="00201320"/>
    <w:rsid w:val="002017C1"/>
    <w:rsid w:val="002018A9"/>
    <w:rsid w:val="00201ABB"/>
    <w:rsid w:val="00201DC0"/>
    <w:rsid w:val="00201EF4"/>
    <w:rsid w:val="0020204A"/>
    <w:rsid w:val="00203728"/>
    <w:rsid w:val="00203AF9"/>
    <w:rsid w:val="00203DFD"/>
    <w:rsid w:val="00203E6B"/>
    <w:rsid w:val="00203FFB"/>
    <w:rsid w:val="0020474C"/>
    <w:rsid w:val="002049A4"/>
    <w:rsid w:val="00204E78"/>
    <w:rsid w:val="00205A94"/>
    <w:rsid w:val="00205BF0"/>
    <w:rsid w:val="00206171"/>
    <w:rsid w:val="00206920"/>
    <w:rsid w:val="00206AA1"/>
    <w:rsid w:val="00206D02"/>
    <w:rsid w:val="002076E7"/>
    <w:rsid w:val="0020771F"/>
    <w:rsid w:val="00207C63"/>
    <w:rsid w:val="002102DF"/>
    <w:rsid w:val="0021040F"/>
    <w:rsid w:val="00210635"/>
    <w:rsid w:val="00210F98"/>
    <w:rsid w:val="002112EC"/>
    <w:rsid w:val="002132D3"/>
    <w:rsid w:val="002136AA"/>
    <w:rsid w:val="002136EB"/>
    <w:rsid w:val="00213BE2"/>
    <w:rsid w:val="00213E48"/>
    <w:rsid w:val="00213F19"/>
    <w:rsid w:val="0021456A"/>
    <w:rsid w:val="002146AA"/>
    <w:rsid w:val="00215108"/>
    <w:rsid w:val="002163A1"/>
    <w:rsid w:val="002172FC"/>
    <w:rsid w:val="002204CF"/>
    <w:rsid w:val="00220CB6"/>
    <w:rsid w:val="00221111"/>
    <w:rsid w:val="002214FD"/>
    <w:rsid w:val="00221800"/>
    <w:rsid w:val="002218B8"/>
    <w:rsid w:val="00221AB7"/>
    <w:rsid w:val="00222878"/>
    <w:rsid w:val="00222EA2"/>
    <w:rsid w:val="00223861"/>
    <w:rsid w:val="0022395C"/>
    <w:rsid w:val="0022439A"/>
    <w:rsid w:val="00224EDD"/>
    <w:rsid w:val="00225F46"/>
    <w:rsid w:val="0022644E"/>
    <w:rsid w:val="00226CD2"/>
    <w:rsid w:val="00226DE5"/>
    <w:rsid w:val="002274F3"/>
    <w:rsid w:val="0022751C"/>
    <w:rsid w:val="00227712"/>
    <w:rsid w:val="00230065"/>
    <w:rsid w:val="0023110D"/>
    <w:rsid w:val="0023145C"/>
    <w:rsid w:val="00231AB0"/>
    <w:rsid w:val="00233229"/>
    <w:rsid w:val="00233646"/>
    <w:rsid w:val="00233CEC"/>
    <w:rsid w:val="002345CC"/>
    <w:rsid w:val="002347E8"/>
    <w:rsid w:val="00234875"/>
    <w:rsid w:val="002357AA"/>
    <w:rsid w:val="00235A72"/>
    <w:rsid w:val="00235A77"/>
    <w:rsid w:val="00235A90"/>
    <w:rsid w:val="00235E51"/>
    <w:rsid w:val="00236E46"/>
    <w:rsid w:val="0023752A"/>
    <w:rsid w:val="00237681"/>
    <w:rsid w:val="00237A40"/>
    <w:rsid w:val="00237AEE"/>
    <w:rsid w:val="002401E2"/>
    <w:rsid w:val="00240356"/>
    <w:rsid w:val="0024046D"/>
    <w:rsid w:val="00240532"/>
    <w:rsid w:val="0024061A"/>
    <w:rsid w:val="00241973"/>
    <w:rsid w:val="002423D1"/>
    <w:rsid w:val="00242738"/>
    <w:rsid w:val="00242B66"/>
    <w:rsid w:val="00242BA2"/>
    <w:rsid w:val="002436B2"/>
    <w:rsid w:val="0024435D"/>
    <w:rsid w:val="002451EC"/>
    <w:rsid w:val="002457DE"/>
    <w:rsid w:val="002458BC"/>
    <w:rsid w:val="00246435"/>
    <w:rsid w:val="002468C0"/>
    <w:rsid w:val="002468E8"/>
    <w:rsid w:val="00246BCF"/>
    <w:rsid w:val="00246EFC"/>
    <w:rsid w:val="002470E6"/>
    <w:rsid w:val="0024715C"/>
    <w:rsid w:val="0024775F"/>
    <w:rsid w:val="00247941"/>
    <w:rsid w:val="00247AB4"/>
    <w:rsid w:val="00247C2F"/>
    <w:rsid w:val="00247EAD"/>
    <w:rsid w:val="002500D5"/>
    <w:rsid w:val="00250130"/>
    <w:rsid w:val="002503A5"/>
    <w:rsid w:val="002506D9"/>
    <w:rsid w:val="00251245"/>
    <w:rsid w:val="00251A1F"/>
    <w:rsid w:val="00251A2C"/>
    <w:rsid w:val="00251CA2"/>
    <w:rsid w:val="002520F6"/>
    <w:rsid w:val="00252441"/>
    <w:rsid w:val="002525EE"/>
    <w:rsid w:val="002527BF"/>
    <w:rsid w:val="00252992"/>
    <w:rsid w:val="002531A3"/>
    <w:rsid w:val="00253440"/>
    <w:rsid w:val="002534CC"/>
    <w:rsid w:val="00253B06"/>
    <w:rsid w:val="0025475D"/>
    <w:rsid w:val="00254787"/>
    <w:rsid w:val="00254C1B"/>
    <w:rsid w:val="002559ED"/>
    <w:rsid w:val="00255BC4"/>
    <w:rsid w:val="002563D3"/>
    <w:rsid w:val="002601BB"/>
    <w:rsid w:val="00260820"/>
    <w:rsid w:val="002616C2"/>
    <w:rsid w:val="002633EB"/>
    <w:rsid w:val="00264592"/>
    <w:rsid w:val="00265918"/>
    <w:rsid w:val="0026594D"/>
    <w:rsid w:val="00265C71"/>
    <w:rsid w:val="0026617D"/>
    <w:rsid w:val="002662A8"/>
    <w:rsid w:val="00266B1B"/>
    <w:rsid w:val="00266CF3"/>
    <w:rsid w:val="00270433"/>
    <w:rsid w:val="00270834"/>
    <w:rsid w:val="002708DC"/>
    <w:rsid w:val="00270C61"/>
    <w:rsid w:val="00271027"/>
    <w:rsid w:val="002719D0"/>
    <w:rsid w:val="00271AD1"/>
    <w:rsid w:val="00271C37"/>
    <w:rsid w:val="00273730"/>
    <w:rsid w:val="00273BBA"/>
    <w:rsid w:val="00273E86"/>
    <w:rsid w:val="00273FB0"/>
    <w:rsid w:val="00273FE4"/>
    <w:rsid w:val="002749A1"/>
    <w:rsid w:val="00274DC1"/>
    <w:rsid w:val="00274ECD"/>
    <w:rsid w:val="002753AB"/>
    <w:rsid w:val="002756BE"/>
    <w:rsid w:val="00275BF7"/>
    <w:rsid w:val="00276416"/>
    <w:rsid w:val="002764C9"/>
    <w:rsid w:val="002765CE"/>
    <w:rsid w:val="00276D79"/>
    <w:rsid w:val="00276E29"/>
    <w:rsid w:val="00277506"/>
    <w:rsid w:val="0027764F"/>
    <w:rsid w:val="002779EF"/>
    <w:rsid w:val="00280A3D"/>
    <w:rsid w:val="00280FF9"/>
    <w:rsid w:val="002814E6"/>
    <w:rsid w:val="00281591"/>
    <w:rsid w:val="002816B4"/>
    <w:rsid w:val="00281A54"/>
    <w:rsid w:val="00282AE5"/>
    <w:rsid w:val="00283046"/>
    <w:rsid w:val="0028304C"/>
    <w:rsid w:val="00283571"/>
    <w:rsid w:val="00283756"/>
    <w:rsid w:val="00283B69"/>
    <w:rsid w:val="00284776"/>
    <w:rsid w:val="00284BE8"/>
    <w:rsid w:val="00285129"/>
    <w:rsid w:val="00285469"/>
    <w:rsid w:val="002856B7"/>
    <w:rsid w:val="00285CA1"/>
    <w:rsid w:val="00285CB3"/>
    <w:rsid w:val="002860BA"/>
    <w:rsid w:val="002860E8"/>
    <w:rsid w:val="00286CB7"/>
    <w:rsid w:val="00287114"/>
    <w:rsid w:val="0028721F"/>
    <w:rsid w:val="002872AD"/>
    <w:rsid w:val="002878A2"/>
    <w:rsid w:val="00287B32"/>
    <w:rsid w:val="00290218"/>
    <w:rsid w:val="0029043D"/>
    <w:rsid w:val="00290666"/>
    <w:rsid w:val="00290ACA"/>
    <w:rsid w:val="00290DA5"/>
    <w:rsid w:val="0029167B"/>
    <w:rsid w:val="0029191E"/>
    <w:rsid w:val="002919BF"/>
    <w:rsid w:val="00291F76"/>
    <w:rsid w:val="0029258A"/>
    <w:rsid w:val="0029278D"/>
    <w:rsid w:val="00292BCC"/>
    <w:rsid w:val="00292C7D"/>
    <w:rsid w:val="00293595"/>
    <w:rsid w:val="002936B4"/>
    <w:rsid w:val="002936C7"/>
    <w:rsid w:val="00293766"/>
    <w:rsid w:val="00293BFA"/>
    <w:rsid w:val="0029414F"/>
    <w:rsid w:val="00294FF2"/>
    <w:rsid w:val="002951E6"/>
    <w:rsid w:val="00295330"/>
    <w:rsid w:val="0029548A"/>
    <w:rsid w:val="00295598"/>
    <w:rsid w:val="0029571F"/>
    <w:rsid w:val="00297737"/>
    <w:rsid w:val="00297DBA"/>
    <w:rsid w:val="002A0248"/>
    <w:rsid w:val="002A0794"/>
    <w:rsid w:val="002A0CAB"/>
    <w:rsid w:val="002A0FDF"/>
    <w:rsid w:val="002A1095"/>
    <w:rsid w:val="002A133C"/>
    <w:rsid w:val="002A16FE"/>
    <w:rsid w:val="002A2AED"/>
    <w:rsid w:val="002A2C76"/>
    <w:rsid w:val="002A2F2D"/>
    <w:rsid w:val="002A3358"/>
    <w:rsid w:val="002A3D18"/>
    <w:rsid w:val="002A3D5E"/>
    <w:rsid w:val="002A3E13"/>
    <w:rsid w:val="002A41A4"/>
    <w:rsid w:val="002A4D9B"/>
    <w:rsid w:val="002A534E"/>
    <w:rsid w:val="002A53FF"/>
    <w:rsid w:val="002A5CF2"/>
    <w:rsid w:val="002A5EF4"/>
    <w:rsid w:val="002A6352"/>
    <w:rsid w:val="002A65E9"/>
    <w:rsid w:val="002A6B99"/>
    <w:rsid w:val="002A7C9C"/>
    <w:rsid w:val="002B0577"/>
    <w:rsid w:val="002B057B"/>
    <w:rsid w:val="002B08F2"/>
    <w:rsid w:val="002B137B"/>
    <w:rsid w:val="002B169C"/>
    <w:rsid w:val="002B1E1A"/>
    <w:rsid w:val="002B2E93"/>
    <w:rsid w:val="002B337C"/>
    <w:rsid w:val="002B33AB"/>
    <w:rsid w:val="002B3E1B"/>
    <w:rsid w:val="002B4223"/>
    <w:rsid w:val="002B4516"/>
    <w:rsid w:val="002B4DFA"/>
    <w:rsid w:val="002B59FC"/>
    <w:rsid w:val="002B6492"/>
    <w:rsid w:val="002B692C"/>
    <w:rsid w:val="002B6A24"/>
    <w:rsid w:val="002B71F3"/>
    <w:rsid w:val="002B74D7"/>
    <w:rsid w:val="002B78AE"/>
    <w:rsid w:val="002B7AA9"/>
    <w:rsid w:val="002C00F6"/>
    <w:rsid w:val="002C023F"/>
    <w:rsid w:val="002C0A09"/>
    <w:rsid w:val="002C0CE9"/>
    <w:rsid w:val="002C10D3"/>
    <w:rsid w:val="002C1F2D"/>
    <w:rsid w:val="002C2303"/>
    <w:rsid w:val="002C2CD4"/>
    <w:rsid w:val="002C2E86"/>
    <w:rsid w:val="002C30A6"/>
    <w:rsid w:val="002C30CD"/>
    <w:rsid w:val="002C38A9"/>
    <w:rsid w:val="002C43D4"/>
    <w:rsid w:val="002C4A18"/>
    <w:rsid w:val="002C5671"/>
    <w:rsid w:val="002C579A"/>
    <w:rsid w:val="002C6119"/>
    <w:rsid w:val="002C62B0"/>
    <w:rsid w:val="002C695C"/>
    <w:rsid w:val="002C6A4D"/>
    <w:rsid w:val="002C744F"/>
    <w:rsid w:val="002C7798"/>
    <w:rsid w:val="002C797E"/>
    <w:rsid w:val="002D0A4A"/>
    <w:rsid w:val="002D118F"/>
    <w:rsid w:val="002D1BC1"/>
    <w:rsid w:val="002D1BD2"/>
    <w:rsid w:val="002D2503"/>
    <w:rsid w:val="002D2818"/>
    <w:rsid w:val="002D3263"/>
    <w:rsid w:val="002D3A8F"/>
    <w:rsid w:val="002D3AB6"/>
    <w:rsid w:val="002D3EBA"/>
    <w:rsid w:val="002D4840"/>
    <w:rsid w:val="002D4A43"/>
    <w:rsid w:val="002D4ED4"/>
    <w:rsid w:val="002D4F01"/>
    <w:rsid w:val="002D50CB"/>
    <w:rsid w:val="002D50F1"/>
    <w:rsid w:val="002D56B1"/>
    <w:rsid w:val="002D60D5"/>
    <w:rsid w:val="002D6220"/>
    <w:rsid w:val="002D676B"/>
    <w:rsid w:val="002D6C8E"/>
    <w:rsid w:val="002D791C"/>
    <w:rsid w:val="002D7A54"/>
    <w:rsid w:val="002D7FCB"/>
    <w:rsid w:val="002E00E3"/>
    <w:rsid w:val="002E0357"/>
    <w:rsid w:val="002E049D"/>
    <w:rsid w:val="002E0C5D"/>
    <w:rsid w:val="002E0F01"/>
    <w:rsid w:val="002E1CE3"/>
    <w:rsid w:val="002E2068"/>
    <w:rsid w:val="002E2225"/>
    <w:rsid w:val="002E2830"/>
    <w:rsid w:val="002E290C"/>
    <w:rsid w:val="002E39C0"/>
    <w:rsid w:val="002E3F19"/>
    <w:rsid w:val="002E4223"/>
    <w:rsid w:val="002E45B2"/>
    <w:rsid w:val="002E4624"/>
    <w:rsid w:val="002E4C4B"/>
    <w:rsid w:val="002E508C"/>
    <w:rsid w:val="002E51D2"/>
    <w:rsid w:val="002E55E6"/>
    <w:rsid w:val="002E709F"/>
    <w:rsid w:val="002E74BE"/>
    <w:rsid w:val="002E7927"/>
    <w:rsid w:val="002E7A0E"/>
    <w:rsid w:val="002E7EFA"/>
    <w:rsid w:val="002F042E"/>
    <w:rsid w:val="002F060F"/>
    <w:rsid w:val="002F06D2"/>
    <w:rsid w:val="002F124F"/>
    <w:rsid w:val="002F26B2"/>
    <w:rsid w:val="002F2A68"/>
    <w:rsid w:val="002F2F7F"/>
    <w:rsid w:val="002F30BD"/>
    <w:rsid w:val="002F30ED"/>
    <w:rsid w:val="002F33CC"/>
    <w:rsid w:val="002F3580"/>
    <w:rsid w:val="002F392C"/>
    <w:rsid w:val="002F3CD8"/>
    <w:rsid w:val="002F4490"/>
    <w:rsid w:val="002F467F"/>
    <w:rsid w:val="002F49AC"/>
    <w:rsid w:val="002F5B39"/>
    <w:rsid w:val="002F60EE"/>
    <w:rsid w:val="002F6386"/>
    <w:rsid w:val="002F7911"/>
    <w:rsid w:val="002F793F"/>
    <w:rsid w:val="002F7D4B"/>
    <w:rsid w:val="002F7FDB"/>
    <w:rsid w:val="003006A9"/>
    <w:rsid w:val="00300894"/>
    <w:rsid w:val="00300C5F"/>
    <w:rsid w:val="00301138"/>
    <w:rsid w:val="00301606"/>
    <w:rsid w:val="00302207"/>
    <w:rsid w:val="003026EA"/>
    <w:rsid w:val="003028DB"/>
    <w:rsid w:val="003032F1"/>
    <w:rsid w:val="0030334C"/>
    <w:rsid w:val="00303704"/>
    <w:rsid w:val="00303D0F"/>
    <w:rsid w:val="00303D61"/>
    <w:rsid w:val="00304119"/>
    <w:rsid w:val="00305171"/>
    <w:rsid w:val="00305428"/>
    <w:rsid w:val="00305719"/>
    <w:rsid w:val="00305852"/>
    <w:rsid w:val="00305F2C"/>
    <w:rsid w:val="003062F7"/>
    <w:rsid w:val="00306432"/>
    <w:rsid w:val="003064E1"/>
    <w:rsid w:val="00307790"/>
    <w:rsid w:val="003100FB"/>
    <w:rsid w:val="00310308"/>
    <w:rsid w:val="003104B3"/>
    <w:rsid w:val="00311099"/>
    <w:rsid w:val="00311A71"/>
    <w:rsid w:val="00311C52"/>
    <w:rsid w:val="00311FAA"/>
    <w:rsid w:val="003123AC"/>
    <w:rsid w:val="003123B3"/>
    <w:rsid w:val="00313030"/>
    <w:rsid w:val="00313146"/>
    <w:rsid w:val="0031320D"/>
    <w:rsid w:val="0031327E"/>
    <w:rsid w:val="0031353E"/>
    <w:rsid w:val="003135B6"/>
    <w:rsid w:val="003136E5"/>
    <w:rsid w:val="00314A16"/>
    <w:rsid w:val="003151BE"/>
    <w:rsid w:val="00316928"/>
    <w:rsid w:val="00316B9F"/>
    <w:rsid w:val="00316BD6"/>
    <w:rsid w:val="00316F31"/>
    <w:rsid w:val="00317125"/>
    <w:rsid w:val="0031735D"/>
    <w:rsid w:val="003175FE"/>
    <w:rsid w:val="0031769E"/>
    <w:rsid w:val="00317B29"/>
    <w:rsid w:val="00317FFE"/>
    <w:rsid w:val="003200D5"/>
    <w:rsid w:val="003209B2"/>
    <w:rsid w:val="00320A9C"/>
    <w:rsid w:val="00320B9A"/>
    <w:rsid w:val="003211A8"/>
    <w:rsid w:val="0032225F"/>
    <w:rsid w:val="00323400"/>
    <w:rsid w:val="00323889"/>
    <w:rsid w:val="00323CC0"/>
    <w:rsid w:val="003242AA"/>
    <w:rsid w:val="00324516"/>
    <w:rsid w:val="00324928"/>
    <w:rsid w:val="00324DFE"/>
    <w:rsid w:val="00326A36"/>
    <w:rsid w:val="00326C1B"/>
    <w:rsid w:val="00326ED2"/>
    <w:rsid w:val="0032727F"/>
    <w:rsid w:val="0032729F"/>
    <w:rsid w:val="0032754C"/>
    <w:rsid w:val="00327DBB"/>
    <w:rsid w:val="00330075"/>
    <w:rsid w:val="00330D77"/>
    <w:rsid w:val="00330D8E"/>
    <w:rsid w:val="00330DE1"/>
    <w:rsid w:val="003320CC"/>
    <w:rsid w:val="00332108"/>
    <w:rsid w:val="00332999"/>
    <w:rsid w:val="003330BA"/>
    <w:rsid w:val="0033342D"/>
    <w:rsid w:val="00333A16"/>
    <w:rsid w:val="00333E21"/>
    <w:rsid w:val="00334A2D"/>
    <w:rsid w:val="00334E4E"/>
    <w:rsid w:val="0033518C"/>
    <w:rsid w:val="003360ED"/>
    <w:rsid w:val="00336DE7"/>
    <w:rsid w:val="00336ECB"/>
    <w:rsid w:val="0033776D"/>
    <w:rsid w:val="0033778B"/>
    <w:rsid w:val="003377C2"/>
    <w:rsid w:val="00337D14"/>
    <w:rsid w:val="00337F05"/>
    <w:rsid w:val="00340040"/>
    <w:rsid w:val="00340051"/>
    <w:rsid w:val="00340426"/>
    <w:rsid w:val="00340566"/>
    <w:rsid w:val="00340E59"/>
    <w:rsid w:val="00340ED9"/>
    <w:rsid w:val="003411F9"/>
    <w:rsid w:val="003422DA"/>
    <w:rsid w:val="003424CE"/>
    <w:rsid w:val="00342A01"/>
    <w:rsid w:val="003435D5"/>
    <w:rsid w:val="003439DE"/>
    <w:rsid w:val="003457C8"/>
    <w:rsid w:val="0034680A"/>
    <w:rsid w:val="00346925"/>
    <w:rsid w:val="00346E8C"/>
    <w:rsid w:val="003475EF"/>
    <w:rsid w:val="00347B0E"/>
    <w:rsid w:val="00350DBC"/>
    <w:rsid w:val="00351233"/>
    <w:rsid w:val="0035127B"/>
    <w:rsid w:val="00351351"/>
    <w:rsid w:val="00351DC7"/>
    <w:rsid w:val="00352608"/>
    <w:rsid w:val="003536F1"/>
    <w:rsid w:val="0035401D"/>
    <w:rsid w:val="00354696"/>
    <w:rsid w:val="00354807"/>
    <w:rsid w:val="00354DFF"/>
    <w:rsid w:val="00354FE7"/>
    <w:rsid w:val="003550DE"/>
    <w:rsid w:val="0035519A"/>
    <w:rsid w:val="003553BC"/>
    <w:rsid w:val="0035563A"/>
    <w:rsid w:val="0035618D"/>
    <w:rsid w:val="00356771"/>
    <w:rsid w:val="003569F2"/>
    <w:rsid w:val="00357042"/>
    <w:rsid w:val="003575DB"/>
    <w:rsid w:val="00357F5F"/>
    <w:rsid w:val="0036004F"/>
    <w:rsid w:val="00360460"/>
    <w:rsid w:val="0036059A"/>
    <w:rsid w:val="00361145"/>
    <w:rsid w:val="003613B4"/>
    <w:rsid w:val="00361785"/>
    <w:rsid w:val="00361A73"/>
    <w:rsid w:val="003624C8"/>
    <w:rsid w:val="00362991"/>
    <w:rsid w:val="003632C1"/>
    <w:rsid w:val="00363CDC"/>
    <w:rsid w:val="00363FF8"/>
    <w:rsid w:val="003640E1"/>
    <w:rsid w:val="00364C9C"/>
    <w:rsid w:val="003650D2"/>
    <w:rsid w:val="00365129"/>
    <w:rsid w:val="00365157"/>
    <w:rsid w:val="003651FD"/>
    <w:rsid w:val="00365595"/>
    <w:rsid w:val="00365916"/>
    <w:rsid w:val="00365B30"/>
    <w:rsid w:val="003662B9"/>
    <w:rsid w:val="00366367"/>
    <w:rsid w:val="003668A1"/>
    <w:rsid w:val="003672F1"/>
    <w:rsid w:val="00367362"/>
    <w:rsid w:val="00367464"/>
    <w:rsid w:val="003675AC"/>
    <w:rsid w:val="003675EC"/>
    <w:rsid w:val="00367877"/>
    <w:rsid w:val="00367999"/>
    <w:rsid w:val="00370095"/>
    <w:rsid w:val="0037022F"/>
    <w:rsid w:val="00371835"/>
    <w:rsid w:val="00371C02"/>
    <w:rsid w:val="00371C39"/>
    <w:rsid w:val="00371CC2"/>
    <w:rsid w:val="00371EE3"/>
    <w:rsid w:val="00372330"/>
    <w:rsid w:val="003725B6"/>
    <w:rsid w:val="00372A35"/>
    <w:rsid w:val="00372FE1"/>
    <w:rsid w:val="00373567"/>
    <w:rsid w:val="00373C3E"/>
    <w:rsid w:val="00373CE6"/>
    <w:rsid w:val="00374225"/>
    <w:rsid w:val="0037457F"/>
    <w:rsid w:val="003745FB"/>
    <w:rsid w:val="0037490B"/>
    <w:rsid w:val="00374B56"/>
    <w:rsid w:val="00374E07"/>
    <w:rsid w:val="00375192"/>
    <w:rsid w:val="00375DF2"/>
    <w:rsid w:val="00375F0F"/>
    <w:rsid w:val="0037625F"/>
    <w:rsid w:val="003763C3"/>
    <w:rsid w:val="00376491"/>
    <w:rsid w:val="003768BD"/>
    <w:rsid w:val="0037721D"/>
    <w:rsid w:val="003772E9"/>
    <w:rsid w:val="00377CDA"/>
    <w:rsid w:val="0038102A"/>
    <w:rsid w:val="00381975"/>
    <w:rsid w:val="00381F14"/>
    <w:rsid w:val="00383100"/>
    <w:rsid w:val="003831D0"/>
    <w:rsid w:val="003833B4"/>
    <w:rsid w:val="00383ECC"/>
    <w:rsid w:val="003841A7"/>
    <w:rsid w:val="00384643"/>
    <w:rsid w:val="003852F6"/>
    <w:rsid w:val="003853B5"/>
    <w:rsid w:val="0038565F"/>
    <w:rsid w:val="00386277"/>
    <w:rsid w:val="003863B8"/>
    <w:rsid w:val="003868DC"/>
    <w:rsid w:val="00387394"/>
    <w:rsid w:val="003875AE"/>
    <w:rsid w:val="00387987"/>
    <w:rsid w:val="00387AF9"/>
    <w:rsid w:val="00387BDD"/>
    <w:rsid w:val="00387FC7"/>
    <w:rsid w:val="003904D3"/>
    <w:rsid w:val="00390D42"/>
    <w:rsid w:val="00391044"/>
    <w:rsid w:val="003930C6"/>
    <w:rsid w:val="00393553"/>
    <w:rsid w:val="00394208"/>
    <w:rsid w:val="003942D1"/>
    <w:rsid w:val="00394410"/>
    <w:rsid w:val="00394486"/>
    <w:rsid w:val="00394C38"/>
    <w:rsid w:val="00395E18"/>
    <w:rsid w:val="00396445"/>
    <w:rsid w:val="003964A4"/>
    <w:rsid w:val="003966A7"/>
    <w:rsid w:val="003969CF"/>
    <w:rsid w:val="00396A4C"/>
    <w:rsid w:val="003972FC"/>
    <w:rsid w:val="00397794"/>
    <w:rsid w:val="0039786A"/>
    <w:rsid w:val="00397D21"/>
    <w:rsid w:val="00397EBA"/>
    <w:rsid w:val="003A0140"/>
    <w:rsid w:val="003A01A6"/>
    <w:rsid w:val="003A0595"/>
    <w:rsid w:val="003A0AFC"/>
    <w:rsid w:val="003A0D70"/>
    <w:rsid w:val="003A210D"/>
    <w:rsid w:val="003A2198"/>
    <w:rsid w:val="003A2765"/>
    <w:rsid w:val="003A2A8D"/>
    <w:rsid w:val="003A2AF5"/>
    <w:rsid w:val="003A2B74"/>
    <w:rsid w:val="003A2E97"/>
    <w:rsid w:val="003A2EF8"/>
    <w:rsid w:val="003A328D"/>
    <w:rsid w:val="003A335A"/>
    <w:rsid w:val="003A3415"/>
    <w:rsid w:val="003A3AF9"/>
    <w:rsid w:val="003A4059"/>
    <w:rsid w:val="003A423B"/>
    <w:rsid w:val="003A441B"/>
    <w:rsid w:val="003A48F3"/>
    <w:rsid w:val="003A49AE"/>
    <w:rsid w:val="003A4C04"/>
    <w:rsid w:val="003A5B5D"/>
    <w:rsid w:val="003A63F0"/>
    <w:rsid w:val="003A6C11"/>
    <w:rsid w:val="003A6DEA"/>
    <w:rsid w:val="003A6FAF"/>
    <w:rsid w:val="003A701B"/>
    <w:rsid w:val="003A7388"/>
    <w:rsid w:val="003A743E"/>
    <w:rsid w:val="003A7ADE"/>
    <w:rsid w:val="003A7F95"/>
    <w:rsid w:val="003B006E"/>
    <w:rsid w:val="003B09B3"/>
    <w:rsid w:val="003B0CFC"/>
    <w:rsid w:val="003B0E60"/>
    <w:rsid w:val="003B1286"/>
    <w:rsid w:val="003B135F"/>
    <w:rsid w:val="003B16D8"/>
    <w:rsid w:val="003B23CC"/>
    <w:rsid w:val="003B255D"/>
    <w:rsid w:val="003B2A34"/>
    <w:rsid w:val="003B2C86"/>
    <w:rsid w:val="003B310F"/>
    <w:rsid w:val="003B37F3"/>
    <w:rsid w:val="003B3B3B"/>
    <w:rsid w:val="003B3BDE"/>
    <w:rsid w:val="003B46C4"/>
    <w:rsid w:val="003B4D27"/>
    <w:rsid w:val="003B5095"/>
    <w:rsid w:val="003B52F4"/>
    <w:rsid w:val="003B538F"/>
    <w:rsid w:val="003B5A35"/>
    <w:rsid w:val="003B6502"/>
    <w:rsid w:val="003B6801"/>
    <w:rsid w:val="003B6E2C"/>
    <w:rsid w:val="003B6EDB"/>
    <w:rsid w:val="003B6F47"/>
    <w:rsid w:val="003B709E"/>
    <w:rsid w:val="003B71A0"/>
    <w:rsid w:val="003B7612"/>
    <w:rsid w:val="003B7DB1"/>
    <w:rsid w:val="003B7E0F"/>
    <w:rsid w:val="003B7EDA"/>
    <w:rsid w:val="003B7FDE"/>
    <w:rsid w:val="003C0160"/>
    <w:rsid w:val="003C01D4"/>
    <w:rsid w:val="003C02C7"/>
    <w:rsid w:val="003C0C30"/>
    <w:rsid w:val="003C0FB8"/>
    <w:rsid w:val="003C162F"/>
    <w:rsid w:val="003C1704"/>
    <w:rsid w:val="003C174A"/>
    <w:rsid w:val="003C1BB7"/>
    <w:rsid w:val="003C22BB"/>
    <w:rsid w:val="003C2614"/>
    <w:rsid w:val="003C2974"/>
    <w:rsid w:val="003C2A4B"/>
    <w:rsid w:val="003C2CB8"/>
    <w:rsid w:val="003C2CC3"/>
    <w:rsid w:val="003C3253"/>
    <w:rsid w:val="003C382D"/>
    <w:rsid w:val="003C4A19"/>
    <w:rsid w:val="003C5AB2"/>
    <w:rsid w:val="003C5D39"/>
    <w:rsid w:val="003C62A4"/>
    <w:rsid w:val="003C65CC"/>
    <w:rsid w:val="003C69BF"/>
    <w:rsid w:val="003C6C5E"/>
    <w:rsid w:val="003C6CE2"/>
    <w:rsid w:val="003C7200"/>
    <w:rsid w:val="003C75CD"/>
    <w:rsid w:val="003C769F"/>
    <w:rsid w:val="003C7F9D"/>
    <w:rsid w:val="003D06DF"/>
    <w:rsid w:val="003D09EE"/>
    <w:rsid w:val="003D0BDC"/>
    <w:rsid w:val="003D0D89"/>
    <w:rsid w:val="003D123E"/>
    <w:rsid w:val="003D1597"/>
    <w:rsid w:val="003D15E4"/>
    <w:rsid w:val="003D17BA"/>
    <w:rsid w:val="003D1998"/>
    <w:rsid w:val="003D1DC5"/>
    <w:rsid w:val="003D1F92"/>
    <w:rsid w:val="003D200B"/>
    <w:rsid w:val="003D23A3"/>
    <w:rsid w:val="003D2DCD"/>
    <w:rsid w:val="003D3194"/>
    <w:rsid w:val="003D3286"/>
    <w:rsid w:val="003D33B0"/>
    <w:rsid w:val="003D346F"/>
    <w:rsid w:val="003D364A"/>
    <w:rsid w:val="003D36DD"/>
    <w:rsid w:val="003D392D"/>
    <w:rsid w:val="003D4079"/>
    <w:rsid w:val="003D431A"/>
    <w:rsid w:val="003D46F6"/>
    <w:rsid w:val="003D47F3"/>
    <w:rsid w:val="003D516D"/>
    <w:rsid w:val="003D525A"/>
    <w:rsid w:val="003D5856"/>
    <w:rsid w:val="003D592B"/>
    <w:rsid w:val="003D6720"/>
    <w:rsid w:val="003D6972"/>
    <w:rsid w:val="003D7439"/>
    <w:rsid w:val="003E0CF4"/>
    <w:rsid w:val="003E14F3"/>
    <w:rsid w:val="003E1884"/>
    <w:rsid w:val="003E2204"/>
    <w:rsid w:val="003E2217"/>
    <w:rsid w:val="003E2532"/>
    <w:rsid w:val="003E319E"/>
    <w:rsid w:val="003E3CB8"/>
    <w:rsid w:val="003E4E46"/>
    <w:rsid w:val="003E5302"/>
    <w:rsid w:val="003E555C"/>
    <w:rsid w:val="003E57A4"/>
    <w:rsid w:val="003E5B22"/>
    <w:rsid w:val="003E5E4E"/>
    <w:rsid w:val="003E6055"/>
    <w:rsid w:val="003E6F06"/>
    <w:rsid w:val="003E71CB"/>
    <w:rsid w:val="003E73D7"/>
    <w:rsid w:val="003E7730"/>
    <w:rsid w:val="003E7FC9"/>
    <w:rsid w:val="003F0768"/>
    <w:rsid w:val="003F08BD"/>
    <w:rsid w:val="003F0A16"/>
    <w:rsid w:val="003F0B92"/>
    <w:rsid w:val="003F0CB0"/>
    <w:rsid w:val="003F0E09"/>
    <w:rsid w:val="003F14B3"/>
    <w:rsid w:val="003F173A"/>
    <w:rsid w:val="003F200D"/>
    <w:rsid w:val="003F2205"/>
    <w:rsid w:val="003F2419"/>
    <w:rsid w:val="003F2925"/>
    <w:rsid w:val="003F3EE4"/>
    <w:rsid w:val="003F41A8"/>
    <w:rsid w:val="003F4600"/>
    <w:rsid w:val="003F4D82"/>
    <w:rsid w:val="003F4F48"/>
    <w:rsid w:val="003F581F"/>
    <w:rsid w:val="003F5A35"/>
    <w:rsid w:val="003F5B9E"/>
    <w:rsid w:val="003F6260"/>
    <w:rsid w:val="003F66D5"/>
    <w:rsid w:val="003F6783"/>
    <w:rsid w:val="003F6BB8"/>
    <w:rsid w:val="003F6DB5"/>
    <w:rsid w:val="003F6F1A"/>
    <w:rsid w:val="003F6F63"/>
    <w:rsid w:val="003F77F4"/>
    <w:rsid w:val="003F7C13"/>
    <w:rsid w:val="0040060F"/>
    <w:rsid w:val="00400677"/>
    <w:rsid w:val="00400A27"/>
    <w:rsid w:val="00400D04"/>
    <w:rsid w:val="00401AD1"/>
    <w:rsid w:val="004029C0"/>
    <w:rsid w:val="00402B15"/>
    <w:rsid w:val="00402CE9"/>
    <w:rsid w:val="00402DA9"/>
    <w:rsid w:val="00402EFF"/>
    <w:rsid w:val="00402FE6"/>
    <w:rsid w:val="0040321F"/>
    <w:rsid w:val="004041E2"/>
    <w:rsid w:val="00404E4F"/>
    <w:rsid w:val="00404F68"/>
    <w:rsid w:val="004054BA"/>
    <w:rsid w:val="004057B2"/>
    <w:rsid w:val="004062CF"/>
    <w:rsid w:val="0040638D"/>
    <w:rsid w:val="004064F7"/>
    <w:rsid w:val="00406AB1"/>
    <w:rsid w:val="00406C4A"/>
    <w:rsid w:val="00406FC6"/>
    <w:rsid w:val="00407094"/>
    <w:rsid w:val="00407713"/>
    <w:rsid w:val="00410501"/>
    <w:rsid w:val="004123A5"/>
    <w:rsid w:val="00412CB2"/>
    <w:rsid w:val="00413ED3"/>
    <w:rsid w:val="0041488F"/>
    <w:rsid w:val="00414C4C"/>
    <w:rsid w:val="00415292"/>
    <w:rsid w:val="004155A7"/>
    <w:rsid w:val="0041582A"/>
    <w:rsid w:val="00415A0E"/>
    <w:rsid w:val="00415A97"/>
    <w:rsid w:val="0041630F"/>
    <w:rsid w:val="00416519"/>
    <w:rsid w:val="0041699D"/>
    <w:rsid w:val="00416AA9"/>
    <w:rsid w:val="00416B08"/>
    <w:rsid w:val="00416D01"/>
    <w:rsid w:val="00416FE0"/>
    <w:rsid w:val="00417278"/>
    <w:rsid w:val="004176E6"/>
    <w:rsid w:val="00417E1B"/>
    <w:rsid w:val="00420BBD"/>
    <w:rsid w:val="00420C8C"/>
    <w:rsid w:val="00420F0E"/>
    <w:rsid w:val="00420FC2"/>
    <w:rsid w:val="004213DB"/>
    <w:rsid w:val="0042159E"/>
    <w:rsid w:val="00421E0F"/>
    <w:rsid w:val="00422B2C"/>
    <w:rsid w:val="00422D48"/>
    <w:rsid w:val="00422EEB"/>
    <w:rsid w:val="00423334"/>
    <w:rsid w:val="0042333D"/>
    <w:rsid w:val="0042339A"/>
    <w:rsid w:val="00423544"/>
    <w:rsid w:val="004236E8"/>
    <w:rsid w:val="00423B15"/>
    <w:rsid w:val="00424368"/>
    <w:rsid w:val="00424373"/>
    <w:rsid w:val="004247AE"/>
    <w:rsid w:val="004248E5"/>
    <w:rsid w:val="00424CB8"/>
    <w:rsid w:val="00424F6B"/>
    <w:rsid w:val="0042508F"/>
    <w:rsid w:val="0042525A"/>
    <w:rsid w:val="00425717"/>
    <w:rsid w:val="00425747"/>
    <w:rsid w:val="00425CF2"/>
    <w:rsid w:val="0042605C"/>
    <w:rsid w:val="00426304"/>
    <w:rsid w:val="004265C2"/>
    <w:rsid w:val="00426669"/>
    <w:rsid w:val="00426DBE"/>
    <w:rsid w:val="00427028"/>
    <w:rsid w:val="0042734C"/>
    <w:rsid w:val="004276BB"/>
    <w:rsid w:val="00427E1C"/>
    <w:rsid w:val="00427ED6"/>
    <w:rsid w:val="004302C2"/>
    <w:rsid w:val="0043030A"/>
    <w:rsid w:val="0043065F"/>
    <w:rsid w:val="00430670"/>
    <w:rsid w:val="00430682"/>
    <w:rsid w:val="00430721"/>
    <w:rsid w:val="0043099C"/>
    <w:rsid w:val="00430EFF"/>
    <w:rsid w:val="00431801"/>
    <w:rsid w:val="00431838"/>
    <w:rsid w:val="00431B03"/>
    <w:rsid w:val="00432965"/>
    <w:rsid w:val="0043326D"/>
    <w:rsid w:val="00433939"/>
    <w:rsid w:val="00433AA2"/>
    <w:rsid w:val="00433AA6"/>
    <w:rsid w:val="00433AF6"/>
    <w:rsid w:val="00433CDB"/>
    <w:rsid w:val="004342B6"/>
    <w:rsid w:val="00434C87"/>
    <w:rsid w:val="00434D51"/>
    <w:rsid w:val="00434EDD"/>
    <w:rsid w:val="004351DD"/>
    <w:rsid w:val="0043555C"/>
    <w:rsid w:val="00435727"/>
    <w:rsid w:val="00436429"/>
    <w:rsid w:val="00437358"/>
    <w:rsid w:val="004374E1"/>
    <w:rsid w:val="004379C2"/>
    <w:rsid w:val="004400E8"/>
    <w:rsid w:val="004401A2"/>
    <w:rsid w:val="004405ED"/>
    <w:rsid w:val="00440BC1"/>
    <w:rsid w:val="0044132F"/>
    <w:rsid w:val="004413D9"/>
    <w:rsid w:val="0044146F"/>
    <w:rsid w:val="004414AC"/>
    <w:rsid w:val="0044255D"/>
    <w:rsid w:val="004430A1"/>
    <w:rsid w:val="00443F76"/>
    <w:rsid w:val="00444261"/>
    <w:rsid w:val="004443B6"/>
    <w:rsid w:val="00444908"/>
    <w:rsid w:val="00444B31"/>
    <w:rsid w:val="00445136"/>
    <w:rsid w:val="004451B5"/>
    <w:rsid w:val="004452FE"/>
    <w:rsid w:val="004458CE"/>
    <w:rsid w:val="00445D96"/>
    <w:rsid w:val="00445EE6"/>
    <w:rsid w:val="0044610C"/>
    <w:rsid w:val="004464EF"/>
    <w:rsid w:val="004465BF"/>
    <w:rsid w:val="004467B6"/>
    <w:rsid w:val="004468E3"/>
    <w:rsid w:val="0044706D"/>
    <w:rsid w:val="004475C4"/>
    <w:rsid w:val="00447774"/>
    <w:rsid w:val="00447D5B"/>
    <w:rsid w:val="00450C80"/>
    <w:rsid w:val="00451511"/>
    <w:rsid w:val="0045198D"/>
    <w:rsid w:val="00451DB2"/>
    <w:rsid w:val="004523E6"/>
    <w:rsid w:val="004533B9"/>
    <w:rsid w:val="00453B53"/>
    <w:rsid w:val="00454238"/>
    <w:rsid w:val="004544D6"/>
    <w:rsid w:val="00455524"/>
    <w:rsid w:val="00455AB5"/>
    <w:rsid w:val="0045697B"/>
    <w:rsid w:val="00456B5E"/>
    <w:rsid w:val="0045751B"/>
    <w:rsid w:val="0045759F"/>
    <w:rsid w:val="00457E76"/>
    <w:rsid w:val="0046005B"/>
    <w:rsid w:val="00460627"/>
    <w:rsid w:val="00461AEC"/>
    <w:rsid w:val="00461CE9"/>
    <w:rsid w:val="0046211F"/>
    <w:rsid w:val="00462407"/>
    <w:rsid w:val="004626FF"/>
    <w:rsid w:val="00462B83"/>
    <w:rsid w:val="00462C3D"/>
    <w:rsid w:val="004631DD"/>
    <w:rsid w:val="004635B1"/>
    <w:rsid w:val="004635FD"/>
    <w:rsid w:val="0046378E"/>
    <w:rsid w:val="00464197"/>
    <w:rsid w:val="00464E35"/>
    <w:rsid w:val="0046549F"/>
    <w:rsid w:val="00466787"/>
    <w:rsid w:val="00466AC0"/>
    <w:rsid w:val="00466B27"/>
    <w:rsid w:val="00467A2E"/>
    <w:rsid w:val="00467A37"/>
    <w:rsid w:val="00467EEF"/>
    <w:rsid w:val="00467FC4"/>
    <w:rsid w:val="00470129"/>
    <w:rsid w:val="0047065B"/>
    <w:rsid w:val="00470C15"/>
    <w:rsid w:val="0047164B"/>
    <w:rsid w:val="00471842"/>
    <w:rsid w:val="00471926"/>
    <w:rsid w:val="0047286B"/>
    <w:rsid w:val="004728A0"/>
    <w:rsid w:val="00473470"/>
    <w:rsid w:val="004738B0"/>
    <w:rsid w:val="00473D0C"/>
    <w:rsid w:val="004742DD"/>
    <w:rsid w:val="00474546"/>
    <w:rsid w:val="00474B50"/>
    <w:rsid w:val="00475231"/>
    <w:rsid w:val="0047544A"/>
    <w:rsid w:val="004760A4"/>
    <w:rsid w:val="00476175"/>
    <w:rsid w:val="004773B3"/>
    <w:rsid w:val="00477B08"/>
    <w:rsid w:val="00477C7E"/>
    <w:rsid w:val="004801E7"/>
    <w:rsid w:val="00480320"/>
    <w:rsid w:val="00481189"/>
    <w:rsid w:val="00481796"/>
    <w:rsid w:val="004820F9"/>
    <w:rsid w:val="004821D3"/>
    <w:rsid w:val="00482D47"/>
    <w:rsid w:val="00482DD4"/>
    <w:rsid w:val="00483480"/>
    <w:rsid w:val="004841DE"/>
    <w:rsid w:val="00484B18"/>
    <w:rsid w:val="00484DAF"/>
    <w:rsid w:val="00484E96"/>
    <w:rsid w:val="004854B7"/>
    <w:rsid w:val="00486628"/>
    <w:rsid w:val="00486963"/>
    <w:rsid w:val="004875EA"/>
    <w:rsid w:val="0049012A"/>
    <w:rsid w:val="00490830"/>
    <w:rsid w:val="0049097D"/>
    <w:rsid w:val="00490AEB"/>
    <w:rsid w:val="00491AA4"/>
    <w:rsid w:val="00491F72"/>
    <w:rsid w:val="004925A8"/>
    <w:rsid w:val="004930EB"/>
    <w:rsid w:val="00493113"/>
    <w:rsid w:val="00493157"/>
    <w:rsid w:val="004936CF"/>
    <w:rsid w:val="0049472F"/>
    <w:rsid w:val="00494A74"/>
    <w:rsid w:val="00494D40"/>
    <w:rsid w:val="00494DD7"/>
    <w:rsid w:val="00494DFC"/>
    <w:rsid w:val="0049578D"/>
    <w:rsid w:val="004957CB"/>
    <w:rsid w:val="00496433"/>
    <w:rsid w:val="00496700"/>
    <w:rsid w:val="00496E2C"/>
    <w:rsid w:val="004974AB"/>
    <w:rsid w:val="004A100A"/>
    <w:rsid w:val="004A13FA"/>
    <w:rsid w:val="004A190E"/>
    <w:rsid w:val="004A1B6C"/>
    <w:rsid w:val="004A1C46"/>
    <w:rsid w:val="004A2287"/>
    <w:rsid w:val="004A26E3"/>
    <w:rsid w:val="004A2FB8"/>
    <w:rsid w:val="004A34D1"/>
    <w:rsid w:val="004A3504"/>
    <w:rsid w:val="004A3945"/>
    <w:rsid w:val="004A3BB1"/>
    <w:rsid w:val="004A3E2D"/>
    <w:rsid w:val="004A3F66"/>
    <w:rsid w:val="004A410C"/>
    <w:rsid w:val="004A4258"/>
    <w:rsid w:val="004A43CA"/>
    <w:rsid w:val="004A5526"/>
    <w:rsid w:val="004A5586"/>
    <w:rsid w:val="004A5AD8"/>
    <w:rsid w:val="004A5DF1"/>
    <w:rsid w:val="004A64EB"/>
    <w:rsid w:val="004A6D6F"/>
    <w:rsid w:val="004A752D"/>
    <w:rsid w:val="004A7E16"/>
    <w:rsid w:val="004A7EF5"/>
    <w:rsid w:val="004B0099"/>
    <w:rsid w:val="004B00EA"/>
    <w:rsid w:val="004B0337"/>
    <w:rsid w:val="004B1068"/>
    <w:rsid w:val="004B1302"/>
    <w:rsid w:val="004B1531"/>
    <w:rsid w:val="004B1C35"/>
    <w:rsid w:val="004B2051"/>
    <w:rsid w:val="004B2F38"/>
    <w:rsid w:val="004B3071"/>
    <w:rsid w:val="004B3AA4"/>
    <w:rsid w:val="004B3C55"/>
    <w:rsid w:val="004B47BA"/>
    <w:rsid w:val="004B4993"/>
    <w:rsid w:val="004B4EEF"/>
    <w:rsid w:val="004B50C0"/>
    <w:rsid w:val="004B515C"/>
    <w:rsid w:val="004B56AC"/>
    <w:rsid w:val="004B57FC"/>
    <w:rsid w:val="004B5C86"/>
    <w:rsid w:val="004B5FCC"/>
    <w:rsid w:val="004B609E"/>
    <w:rsid w:val="004B65CA"/>
    <w:rsid w:val="004B69BE"/>
    <w:rsid w:val="004B7816"/>
    <w:rsid w:val="004C0DDB"/>
    <w:rsid w:val="004C15D9"/>
    <w:rsid w:val="004C1D6D"/>
    <w:rsid w:val="004C1FEA"/>
    <w:rsid w:val="004C2092"/>
    <w:rsid w:val="004C24DE"/>
    <w:rsid w:val="004C258B"/>
    <w:rsid w:val="004C2591"/>
    <w:rsid w:val="004C2697"/>
    <w:rsid w:val="004C320B"/>
    <w:rsid w:val="004C34D2"/>
    <w:rsid w:val="004C3B52"/>
    <w:rsid w:val="004C4028"/>
    <w:rsid w:val="004C422B"/>
    <w:rsid w:val="004C426E"/>
    <w:rsid w:val="004C4488"/>
    <w:rsid w:val="004C4823"/>
    <w:rsid w:val="004C6838"/>
    <w:rsid w:val="004C6E9B"/>
    <w:rsid w:val="004C75B5"/>
    <w:rsid w:val="004C78A4"/>
    <w:rsid w:val="004D1452"/>
    <w:rsid w:val="004D191F"/>
    <w:rsid w:val="004D1B07"/>
    <w:rsid w:val="004D29EE"/>
    <w:rsid w:val="004D2CC7"/>
    <w:rsid w:val="004D32A3"/>
    <w:rsid w:val="004D33DB"/>
    <w:rsid w:val="004D34B2"/>
    <w:rsid w:val="004D34CC"/>
    <w:rsid w:val="004D3850"/>
    <w:rsid w:val="004D5360"/>
    <w:rsid w:val="004D5400"/>
    <w:rsid w:val="004D5AFE"/>
    <w:rsid w:val="004D6727"/>
    <w:rsid w:val="004D69AD"/>
    <w:rsid w:val="004D6F76"/>
    <w:rsid w:val="004D735A"/>
    <w:rsid w:val="004D7CC9"/>
    <w:rsid w:val="004E1233"/>
    <w:rsid w:val="004E28C6"/>
    <w:rsid w:val="004E2BE8"/>
    <w:rsid w:val="004E2D67"/>
    <w:rsid w:val="004E4397"/>
    <w:rsid w:val="004E6DE1"/>
    <w:rsid w:val="004E7960"/>
    <w:rsid w:val="004F0CEB"/>
    <w:rsid w:val="004F10E0"/>
    <w:rsid w:val="004F138F"/>
    <w:rsid w:val="004F1A4D"/>
    <w:rsid w:val="004F2315"/>
    <w:rsid w:val="004F23CC"/>
    <w:rsid w:val="004F247B"/>
    <w:rsid w:val="004F2874"/>
    <w:rsid w:val="004F2923"/>
    <w:rsid w:val="004F2A82"/>
    <w:rsid w:val="004F2D0A"/>
    <w:rsid w:val="004F2DB5"/>
    <w:rsid w:val="004F30BD"/>
    <w:rsid w:val="004F31BC"/>
    <w:rsid w:val="004F33EB"/>
    <w:rsid w:val="004F3861"/>
    <w:rsid w:val="004F3C52"/>
    <w:rsid w:val="004F420C"/>
    <w:rsid w:val="004F4598"/>
    <w:rsid w:val="004F485B"/>
    <w:rsid w:val="004F4B38"/>
    <w:rsid w:val="004F4FCA"/>
    <w:rsid w:val="004F511D"/>
    <w:rsid w:val="004F5765"/>
    <w:rsid w:val="004F59B7"/>
    <w:rsid w:val="004F6F0D"/>
    <w:rsid w:val="004F7D9A"/>
    <w:rsid w:val="00500123"/>
    <w:rsid w:val="0050156B"/>
    <w:rsid w:val="00501A10"/>
    <w:rsid w:val="00502775"/>
    <w:rsid w:val="005028F9"/>
    <w:rsid w:val="00502B53"/>
    <w:rsid w:val="0050349D"/>
    <w:rsid w:val="005038E7"/>
    <w:rsid w:val="00503B20"/>
    <w:rsid w:val="00503DD7"/>
    <w:rsid w:val="00503F31"/>
    <w:rsid w:val="0050570F"/>
    <w:rsid w:val="00505B74"/>
    <w:rsid w:val="00505C28"/>
    <w:rsid w:val="00506243"/>
    <w:rsid w:val="005064FF"/>
    <w:rsid w:val="0050670B"/>
    <w:rsid w:val="00506CFD"/>
    <w:rsid w:val="0050728E"/>
    <w:rsid w:val="0050776E"/>
    <w:rsid w:val="0050783C"/>
    <w:rsid w:val="00507FC0"/>
    <w:rsid w:val="0051049D"/>
    <w:rsid w:val="00510795"/>
    <w:rsid w:val="00510B50"/>
    <w:rsid w:val="005111BF"/>
    <w:rsid w:val="0051153B"/>
    <w:rsid w:val="00511B29"/>
    <w:rsid w:val="005122AF"/>
    <w:rsid w:val="00512329"/>
    <w:rsid w:val="005124ED"/>
    <w:rsid w:val="00512964"/>
    <w:rsid w:val="0051310B"/>
    <w:rsid w:val="005141E8"/>
    <w:rsid w:val="00514A35"/>
    <w:rsid w:val="0051506A"/>
    <w:rsid w:val="0051541B"/>
    <w:rsid w:val="005162D0"/>
    <w:rsid w:val="005163A0"/>
    <w:rsid w:val="00516A89"/>
    <w:rsid w:val="00516CBD"/>
    <w:rsid w:val="00517257"/>
    <w:rsid w:val="0051756C"/>
    <w:rsid w:val="00520A25"/>
    <w:rsid w:val="00520F15"/>
    <w:rsid w:val="005219EA"/>
    <w:rsid w:val="00521E93"/>
    <w:rsid w:val="0052244A"/>
    <w:rsid w:val="00523223"/>
    <w:rsid w:val="005236A2"/>
    <w:rsid w:val="00524BC7"/>
    <w:rsid w:val="00525381"/>
    <w:rsid w:val="00525753"/>
    <w:rsid w:val="00525CC5"/>
    <w:rsid w:val="00525D83"/>
    <w:rsid w:val="00525DD6"/>
    <w:rsid w:val="005277A4"/>
    <w:rsid w:val="00527A18"/>
    <w:rsid w:val="00527B92"/>
    <w:rsid w:val="00527C9B"/>
    <w:rsid w:val="00531541"/>
    <w:rsid w:val="005319B4"/>
    <w:rsid w:val="00531A99"/>
    <w:rsid w:val="00531E7D"/>
    <w:rsid w:val="00532F9E"/>
    <w:rsid w:val="0053363E"/>
    <w:rsid w:val="0053370E"/>
    <w:rsid w:val="0053392D"/>
    <w:rsid w:val="00533B8C"/>
    <w:rsid w:val="0053488B"/>
    <w:rsid w:val="0053523D"/>
    <w:rsid w:val="00535D14"/>
    <w:rsid w:val="0053644A"/>
    <w:rsid w:val="00536740"/>
    <w:rsid w:val="0053693E"/>
    <w:rsid w:val="00536D53"/>
    <w:rsid w:val="00537F92"/>
    <w:rsid w:val="0054086A"/>
    <w:rsid w:val="00540B70"/>
    <w:rsid w:val="00540FBC"/>
    <w:rsid w:val="0054146F"/>
    <w:rsid w:val="005414EF"/>
    <w:rsid w:val="00542518"/>
    <w:rsid w:val="00542AA0"/>
    <w:rsid w:val="00542C0E"/>
    <w:rsid w:val="005431CD"/>
    <w:rsid w:val="00543DEB"/>
    <w:rsid w:val="0054417F"/>
    <w:rsid w:val="00544746"/>
    <w:rsid w:val="0054511E"/>
    <w:rsid w:val="00545885"/>
    <w:rsid w:val="005462BE"/>
    <w:rsid w:val="00546937"/>
    <w:rsid w:val="00546BA3"/>
    <w:rsid w:val="00546F3C"/>
    <w:rsid w:val="005479C6"/>
    <w:rsid w:val="00547BB0"/>
    <w:rsid w:val="00550136"/>
    <w:rsid w:val="00550C99"/>
    <w:rsid w:val="00550E59"/>
    <w:rsid w:val="00551485"/>
    <w:rsid w:val="005519AF"/>
    <w:rsid w:val="00551DB9"/>
    <w:rsid w:val="005520B9"/>
    <w:rsid w:val="00552284"/>
    <w:rsid w:val="00552665"/>
    <w:rsid w:val="00552733"/>
    <w:rsid w:val="00552985"/>
    <w:rsid w:val="00553413"/>
    <w:rsid w:val="00553442"/>
    <w:rsid w:val="0055344B"/>
    <w:rsid w:val="00553978"/>
    <w:rsid w:val="00553ECD"/>
    <w:rsid w:val="00554C3F"/>
    <w:rsid w:val="00555115"/>
    <w:rsid w:val="005558E8"/>
    <w:rsid w:val="00555AB2"/>
    <w:rsid w:val="00555F57"/>
    <w:rsid w:val="00556217"/>
    <w:rsid w:val="00556448"/>
    <w:rsid w:val="005568F1"/>
    <w:rsid w:val="00557145"/>
    <w:rsid w:val="005605B3"/>
    <w:rsid w:val="005610E8"/>
    <w:rsid w:val="00561129"/>
    <w:rsid w:val="005616C8"/>
    <w:rsid w:val="00561E94"/>
    <w:rsid w:val="005622F7"/>
    <w:rsid w:val="00562410"/>
    <w:rsid w:val="00562797"/>
    <w:rsid w:val="00562B80"/>
    <w:rsid w:val="00563075"/>
    <w:rsid w:val="00563BEF"/>
    <w:rsid w:val="00563F51"/>
    <w:rsid w:val="00564007"/>
    <w:rsid w:val="0056456C"/>
    <w:rsid w:val="00565D89"/>
    <w:rsid w:val="00566229"/>
    <w:rsid w:val="00566351"/>
    <w:rsid w:val="005666D4"/>
    <w:rsid w:val="0056671B"/>
    <w:rsid w:val="00567383"/>
    <w:rsid w:val="00570214"/>
    <w:rsid w:val="005706FB"/>
    <w:rsid w:val="0057075D"/>
    <w:rsid w:val="00570B3D"/>
    <w:rsid w:val="00571371"/>
    <w:rsid w:val="00571AFB"/>
    <w:rsid w:val="00571C54"/>
    <w:rsid w:val="00571E83"/>
    <w:rsid w:val="00572073"/>
    <w:rsid w:val="005721C6"/>
    <w:rsid w:val="00573327"/>
    <w:rsid w:val="005735C9"/>
    <w:rsid w:val="005741D9"/>
    <w:rsid w:val="005744CD"/>
    <w:rsid w:val="00574694"/>
    <w:rsid w:val="00575304"/>
    <w:rsid w:val="005754AB"/>
    <w:rsid w:val="00575693"/>
    <w:rsid w:val="0057581F"/>
    <w:rsid w:val="0057591D"/>
    <w:rsid w:val="00575FDB"/>
    <w:rsid w:val="00576988"/>
    <w:rsid w:val="00576E78"/>
    <w:rsid w:val="00576F2F"/>
    <w:rsid w:val="00577842"/>
    <w:rsid w:val="005805AA"/>
    <w:rsid w:val="005806CB"/>
    <w:rsid w:val="00580E8A"/>
    <w:rsid w:val="00580F6E"/>
    <w:rsid w:val="005812E9"/>
    <w:rsid w:val="00581AE2"/>
    <w:rsid w:val="00581B06"/>
    <w:rsid w:val="00581C87"/>
    <w:rsid w:val="005826F4"/>
    <w:rsid w:val="00582759"/>
    <w:rsid w:val="00582834"/>
    <w:rsid w:val="0058369E"/>
    <w:rsid w:val="00583790"/>
    <w:rsid w:val="005838D8"/>
    <w:rsid w:val="00583C19"/>
    <w:rsid w:val="00583F63"/>
    <w:rsid w:val="00583FBD"/>
    <w:rsid w:val="005848FD"/>
    <w:rsid w:val="00584B8F"/>
    <w:rsid w:val="00585395"/>
    <w:rsid w:val="0058577A"/>
    <w:rsid w:val="00585A92"/>
    <w:rsid w:val="00585AC8"/>
    <w:rsid w:val="005860DB"/>
    <w:rsid w:val="0059021C"/>
    <w:rsid w:val="0059093D"/>
    <w:rsid w:val="00590D09"/>
    <w:rsid w:val="0059156A"/>
    <w:rsid w:val="00591CB5"/>
    <w:rsid w:val="005924E3"/>
    <w:rsid w:val="00592BC0"/>
    <w:rsid w:val="005930E0"/>
    <w:rsid w:val="0059317B"/>
    <w:rsid w:val="00593314"/>
    <w:rsid w:val="00593379"/>
    <w:rsid w:val="005933FC"/>
    <w:rsid w:val="0059368E"/>
    <w:rsid w:val="00593AB7"/>
    <w:rsid w:val="00593BF5"/>
    <w:rsid w:val="00594190"/>
    <w:rsid w:val="005941CE"/>
    <w:rsid w:val="00594496"/>
    <w:rsid w:val="005949D2"/>
    <w:rsid w:val="00594C6F"/>
    <w:rsid w:val="00594DBA"/>
    <w:rsid w:val="00594F7B"/>
    <w:rsid w:val="0059552E"/>
    <w:rsid w:val="005956D3"/>
    <w:rsid w:val="00595DD6"/>
    <w:rsid w:val="005960D5"/>
    <w:rsid w:val="00596365"/>
    <w:rsid w:val="00596397"/>
    <w:rsid w:val="005965BC"/>
    <w:rsid w:val="0059667D"/>
    <w:rsid w:val="00596BD1"/>
    <w:rsid w:val="00596E6C"/>
    <w:rsid w:val="00596E7B"/>
    <w:rsid w:val="00597475"/>
    <w:rsid w:val="00597646"/>
    <w:rsid w:val="00597A0F"/>
    <w:rsid w:val="00597E88"/>
    <w:rsid w:val="005A04E0"/>
    <w:rsid w:val="005A07F7"/>
    <w:rsid w:val="005A0900"/>
    <w:rsid w:val="005A0A74"/>
    <w:rsid w:val="005A0BEB"/>
    <w:rsid w:val="005A10A1"/>
    <w:rsid w:val="005A131C"/>
    <w:rsid w:val="005A1407"/>
    <w:rsid w:val="005A1962"/>
    <w:rsid w:val="005A1C33"/>
    <w:rsid w:val="005A2831"/>
    <w:rsid w:val="005A297E"/>
    <w:rsid w:val="005A3184"/>
    <w:rsid w:val="005A318D"/>
    <w:rsid w:val="005A35F6"/>
    <w:rsid w:val="005A3C21"/>
    <w:rsid w:val="005A46D7"/>
    <w:rsid w:val="005A46DE"/>
    <w:rsid w:val="005A4781"/>
    <w:rsid w:val="005A4A88"/>
    <w:rsid w:val="005A56CA"/>
    <w:rsid w:val="005A5DAC"/>
    <w:rsid w:val="005A671F"/>
    <w:rsid w:val="005A6D2E"/>
    <w:rsid w:val="005A6F18"/>
    <w:rsid w:val="005A7E78"/>
    <w:rsid w:val="005B03ED"/>
    <w:rsid w:val="005B07CC"/>
    <w:rsid w:val="005B0CAF"/>
    <w:rsid w:val="005B0E70"/>
    <w:rsid w:val="005B1776"/>
    <w:rsid w:val="005B1BA3"/>
    <w:rsid w:val="005B1EF9"/>
    <w:rsid w:val="005B2502"/>
    <w:rsid w:val="005B2A81"/>
    <w:rsid w:val="005B2DB6"/>
    <w:rsid w:val="005B30F2"/>
    <w:rsid w:val="005B311D"/>
    <w:rsid w:val="005B32FB"/>
    <w:rsid w:val="005B347C"/>
    <w:rsid w:val="005B3480"/>
    <w:rsid w:val="005B3946"/>
    <w:rsid w:val="005B4295"/>
    <w:rsid w:val="005B4872"/>
    <w:rsid w:val="005B4E90"/>
    <w:rsid w:val="005B4ED4"/>
    <w:rsid w:val="005B4F8A"/>
    <w:rsid w:val="005B4FF1"/>
    <w:rsid w:val="005B5D9E"/>
    <w:rsid w:val="005B603F"/>
    <w:rsid w:val="005B61B7"/>
    <w:rsid w:val="005B6D52"/>
    <w:rsid w:val="005B708A"/>
    <w:rsid w:val="005B7231"/>
    <w:rsid w:val="005B740D"/>
    <w:rsid w:val="005B74BC"/>
    <w:rsid w:val="005B7E62"/>
    <w:rsid w:val="005B7FE4"/>
    <w:rsid w:val="005C05E0"/>
    <w:rsid w:val="005C09EF"/>
    <w:rsid w:val="005C0EA2"/>
    <w:rsid w:val="005C0F63"/>
    <w:rsid w:val="005C1245"/>
    <w:rsid w:val="005C12E0"/>
    <w:rsid w:val="005C193A"/>
    <w:rsid w:val="005C24B6"/>
    <w:rsid w:val="005C28F6"/>
    <w:rsid w:val="005C2AAD"/>
    <w:rsid w:val="005C2B4B"/>
    <w:rsid w:val="005C2CEE"/>
    <w:rsid w:val="005C3540"/>
    <w:rsid w:val="005C3633"/>
    <w:rsid w:val="005C37E0"/>
    <w:rsid w:val="005C4833"/>
    <w:rsid w:val="005C4F4F"/>
    <w:rsid w:val="005C51FC"/>
    <w:rsid w:val="005C5378"/>
    <w:rsid w:val="005C54B9"/>
    <w:rsid w:val="005C57A1"/>
    <w:rsid w:val="005C59CE"/>
    <w:rsid w:val="005C5A1C"/>
    <w:rsid w:val="005C6349"/>
    <w:rsid w:val="005C6357"/>
    <w:rsid w:val="005C6618"/>
    <w:rsid w:val="005C7CD5"/>
    <w:rsid w:val="005D0189"/>
    <w:rsid w:val="005D0F15"/>
    <w:rsid w:val="005D137A"/>
    <w:rsid w:val="005D154D"/>
    <w:rsid w:val="005D1EC4"/>
    <w:rsid w:val="005D2036"/>
    <w:rsid w:val="005D24F8"/>
    <w:rsid w:val="005D2EF9"/>
    <w:rsid w:val="005D2F1F"/>
    <w:rsid w:val="005D3E14"/>
    <w:rsid w:val="005D4160"/>
    <w:rsid w:val="005D4231"/>
    <w:rsid w:val="005D42FF"/>
    <w:rsid w:val="005D4460"/>
    <w:rsid w:val="005D4654"/>
    <w:rsid w:val="005D46FD"/>
    <w:rsid w:val="005D495D"/>
    <w:rsid w:val="005D4973"/>
    <w:rsid w:val="005D4FB7"/>
    <w:rsid w:val="005D54D7"/>
    <w:rsid w:val="005D552A"/>
    <w:rsid w:val="005D63EF"/>
    <w:rsid w:val="005D64EB"/>
    <w:rsid w:val="005D7260"/>
    <w:rsid w:val="005D7620"/>
    <w:rsid w:val="005D7B57"/>
    <w:rsid w:val="005D7D25"/>
    <w:rsid w:val="005D7FD0"/>
    <w:rsid w:val="005E0604"/>
    <w:rsid w:val="005E0736"/>
    <w:rsid w:val="005E0C44"/>
    <w:rsid w:val="005E0EC2"/>
    <w:rsid w:val="005E0EC7"/>
    <w:rsid w:val="005E0FB3"/>
    <w:rsid w:val="005E1136"/>
    <w:rsid w:val="005E2073"/>
    <w:rsid w:val="005E20A1"/>
    <w:rsid w:val="005E20F3"/>
    <w:rsid w:val="005E227C"/>
    <w:rsid w:val="005E2303"/>
    <w:rsid w:val="005E2530"/>
    <w:rsid w:val="005E3357"/>
    <w:rsid w:val="005E4000"/>
    <w:rsid w:val="005E4112"/>
    <w:rsid w:val="005E4470"/>
    <w:rsid w:val="005E470E"/>
    <w:rsid w:val="005E488B"/>
    <w:rsid w:val="005E54D1"/>
    <w:rsid w:val="005E576E"/>
    <w:rsid w:val="005E5794"/>
    <w:rsid w:val="005E63E7"/>
    <w:rsid w:val="005E677E"/>
    <w:rsid w:val="005E6CAD"/>
    <w:rsid w:val="005E7AC6"/>
    <w:rsid w:val="005F0490"/>
    <w:rsid w:val="005F19CD"/>
    <w:rsid w:val="005F24FF"/>
    <w:rsid w:val="005F27AE"/>
    <w:rsid w:val="005F299F"/>
    <w:rsid w:val="005F2D6A"/>
    <w:rsid w:val="005F33CD"/>
    <w:rsid w:val="005F3406"/>
    <w:rsid w:val="005F3DDE"/>
    <w:rsid w:val="005F4483"/>
    <w:rsid w:val="005F4B9B"/>
    <w:rsid w:val="005F5E1C"/>
    <w:rsid w:val="005F5E65"/>
    <w:rsid w:val="005F60D1"/>
    <w:rsid w:val="005F65A2"/>
    <w:rsid w:val="005F75BD"/>
    <w:rsid w:val="005F771B"/>
    <w:rsid w:val="00600272"/>
    <w:rsid w:val="0060078F"/>
    <w:rsid w:val="00601E8D"/>
    <w:rsid w:val="0060208F"/>
    <w:rsid w:val="0060221A"/>
    <w:rsid w:val="00602247"/>
    <w:rsid w:val="006031B4"/>
    <w:rsid w:val="00603941"/>
    <w:rsid w:val="00603FD5"/>
    <w:rsid w:val="00604728"/>
    <w:rsid w:val="00604AC1"/>
    <w:rsid w:val="00604E98"/>
    <w:rsid w:val="00606BB6"/>
    <w:rsid w:val="00606C93"/>
    <w:rsid w:val="0060797F"/>
    <w:rsid w:val="00607B2A"/>
    <w:rsid w:val="00607C91"/>
    <w:rsid w:val="00607F03"/>
    <w:rsid w:val="0061038A"/>
    <w:rsid w:val="00610627"/>
    <w:rsid w:val="00610E39"/>
    <w:rsid w:val="00610F6C"/>
    <w:rsid w:val="00611624"/>
    <w:rsid w:val="00612015"/>
    <w:rsid w:val="006123A1"/>
    <w:rsid w:val="00612B4A"/>
    <w:rsid w:val="00612F6B"/>
    <w:rsid w:val="00613AA0"/>
    <w:rsid w:val="00613EF0"/>
    <w:rsid w:val="00614718"/>
    <w:rsid w:val="00614A8D"/>
    <w:rsid w:val="00614F5D"/>
    <w:rsid w:val="00616CF4"/>
    <w:rsid w:val="00616DC8"/>
    <w:rsid w:val="00616F3E"/>
    <w:rsid w:val="0061722D"/>
    <w:rsid w:val="00617833"/>
    <w:rsid w:val="00617BCF"/>
    <w:rsid w:val="00617CEB"/>
    <w:rsid w:val="00617E32"/>
    <w:rsid w:val="00617FFD"/>
    <w:rsid w:val="00620496"/>
    <w:rsid w:val="00620548"/>
    <w:rsid w:val="0062061C"/>
    <w:rsid w:val="00620704"/>
    <w:rsid w:val="00620723"/>
    <w:rsid w:val="006207C3"/>
    <w:rsid w:val="00620F8F"/>
    <w:rsid w:val="00621594"/>
    <w:rsid w:val="00622B5B"/>
    <w:rsid w:val="00622D26"/>
    <w:rsid w:val="00623FB6"/>
    <w:rsid w:val="0062402C"/>
    <w:rsid w:val="0062405F"/>
    <w:rsid w:val="00624B90"/>
    <w:rsid w:val="00624DAE"/>
    <w:rsid w:val="00624F83"/>
    <w:rsid w:val="00625145"/>
    <w:rsid w:val="006251ED"/>
    <w:rsid w:val="00626B41"/>
    <w:rsid w:val="00630A51"/>
    <w:rsid w:val="00630F02"/>
    <w:rsid w:val="00630FFB"/>
    <w:rsid w:val="00631C98"/>
    <w:rsid w:val="006322A9"/>
    <w:rsid w:val="00632AC1"/>
    <w:rsid w:val="00632C5C"/>
    <w:rsid w:val="0063356B"/>
    <w:rsid w:val="00633C30"/>
    <w:rsid w:val="006346DA"/>
    <w:rsid w:val="00634AD0"/>
    <w:rsid w:val="00634CE2"/>
    <w:rsid w:val="00635291"/>
    <w:rsid w:val="00635E1D"/>
    <w:rsid w:val="00635FE6"/>
    <w:rsid w:val="00637A61"/>
    <w:rsid w:val="00640005"/>
    <w:rsid w:val="0064001D"/>
    <w:rsid w:val="006408F5"/>
    <w:rsid w:val="00640F01"/>
    <w:rsid w:val="006419B8"/>
    <w:rsid w:val="00641ACA"/>
    <w:rsid w:val="00641BA3"/>
    <w:rsid w:val="00641D8F"/>
    <w:rsid w:val="00642D1F"/>
    <w:rsid w:val="006434AF"/>
    <w:rsid w:val="006434B7"/>
    <w:rsid w:val="00643520"/>
    <w:rsid w:val="00643C0D"/>
    <w:rsid w:val="00643C39"/>
    <w:rsid w:val="00644093"/>
    <w:rsid w:val="0064442A"/>
    <w:rsid w:val="006447CF"/>
    <w:rsid w:val="00644A06"/>
    <w:rsid w:val="00644D59"/>
    <w:rsid w:val="00644F66"/>
    <w:rsid w:val="00644FE2"/>
    <w:rsid w:val="00645031"/>
    <w:rsid w:val="00645297"/>
    <w:rsid w:val="006459A0"/>
    <w:rsid w:val="00645F2B"/>
    <w:rsid w:val="0064630F"/>
    <w:rsid w:val="006464C1"/>
    <w:rsid w:val="00646892"/>
    <w:rsid w:val="006472E3"/>
    <w:rsid w:val="00647480"/>
    <w:rsid w:val="006475BD"/>
    <w:rsid w:val="00647B4B"/>
    <w:rsid w:val="0065073B"/>
    <w:rsid w:val="00651792"/>
    <w:rsid w:val="00652455"/>
    <w:rsid w:val="006524F9"/>
    <w:rsid w:val="006526C7"/>
    <w:rsid w:val="006527FF"/>
    <w:rsid w:val="00652DC5"/>
    <w:rsid w:val="006530C1"/>
    <w:rsid w:val="006532B3"/>
    <w:rsid w:val="00653325"/>
    <w:rsid w:val="00653788"/>
    <w:rsid w:val="00653913"/>
    <w:rsid w:val="00653E03"/>
    <w:rsid w:val="00654147"/>
    <w:rsid w:val="00654B30"/>
    <w:rsid w:val="00654DA0"/>
    <w:rsid w:val="006559EE"/>
    <w:rsid w:val="00655A84"/>
    <w:rsid w:val="00655AE4"/>
    <w:rsid w:val="00655C1F"/>
    <w:rsid w:val="00655D2C"/>
    <w:rsid w:val="0065613A"/>
    <w:rsid w:val="00656A05"/>
    <w:rsid w:val="00656A8A"/>
    <w:rsid w:val="00656C52"/>
    <w:rsid w:val="006572E1"/>
    <w:rsid w:val="00657F02"/>
    <w:rsid w:val="00657FD5"/>
    <w:rsid w:val="00662209"/>
    <w:rsid w:val="00662DB0"/>
    <w:rsid w:val="006630AF"/>
    <w:rsid w:val="006636F1"/>
    <w:rsid w:val="00664174"/>
    <w:rsid w:val="00664487"/>
    <w:rsid w:val="0066459F"/>
    <w:rsid w:val="00665897"/>
    <w:rsid w:val="00667475"/>
    <w:rsid w:val="006676B3"/>
    <w:rsid w:val="00667761"/>
    <w:rsid w:val="006678D1"/>
    <w:rsid w:val="00667F93"/>
    <w:rsid w:val="00671742"/>
    <w:rsid w:val="006718EA"/>
    <w:rsid w:val="00671C1E"/>
    <w:rsid w:val="00671D71"/>
    <w:rsid w:val="0067278C"/>
    <w:rsid w:val="0067452C"/>
    <w:rsid w:val="00674836"/>
    <w:rsid w:val="0067495E"/>
    <w:rsid w:val="006752DB"/>
    <w:rsid w:val="006755A8"/>
    <w:rsid w:val="0067576E"/>
    <w:rsid w:val="00676106"/>
    <w:rsid w:val="00676B92"/>
    <w:rsid w:val="00676CF0"/>
    <w:rsid w:val="00676EFA"/>
    <w:rsid w:val="00676F6E"/>
    <w:rsid w:val="00677789"/>
    <w:rsid w:val="0067780C"/>
    <w:rsid w:val="00680260"/>
    <w:rsid w:val="00681434"/>
    <w:rsid w:val="006815CF"/>
    <w:rsid w:val="00681673"/>
    <w:rsid w:val="00681962"/>
    <w:rsid w:val="00682B86"/>
    <w:rsid w:val="006830CA"/>
    <w:rsid w:val="0068325D"/>
    <w:rsid w:val="00683EB4"/>
    <w:rsid w:val="00683F53"/>
    <w:rsid w:val="00684372"/>
    <w:rsid w:val="00685935"/>
    <w:rsid w:val="00685B2E"/>
    <w:rsid w:val="00685CB6"/>
    <w:rsid w:val="006861AC"/>
    <w:rsid w:val="006861CC"/>
    <w:rsid w:val="0068636F"/>
    <w:rsid w:val="00686BC3"/>
    <w:rsid w:val="0068724F"/>
    <w:rsid w:val="006873D1"/>
    <w:rsid w:val="0068758C"/>
    <w:rsid w:val="00687C8F"/>
    <w:rsid w:val="00687FFE"/>
    <w:rsid w:val="00690981"/>
    <w:rsid w:val="0069157F"/>
    <w:rsid w:val="00691BA3"/>
    <w:rsid w:val="00692391"/>
    <w:rsid w:val="00692573"/>
    <w:rsid w:val="006926BE"/>
    <w:rsid w:val="00692A05"/>
    <w:rsid w:val="00692D25"/>
    <w:rsid w:val="00693F3D"/>
    <w:rsid w:val="006941AD"/>
    <w:rsid w:val="006946D0"/>
    <w:rsid w:val="006951B3"/>
    <w:rsid w:val="00695431"/>
    <w:rsid w:val="00695D5A"/>
    <w:rsid w:val="00695EAA"/>
    <w:rsid w:val="0069649F"/>
    <w:rsid w:val="00697994"/>
    <w:rsid w:val="006A07B5"/>
    <w:rsid w:val="006A088E"/>
    <w:rsid w:val="006A0B52"/>
    <w:rsid w:val="006A1AE4"/>
    <w:rsid w:val="006A1D1C"/>
    <w:rsid w:val="006A1DEF"/>
    <w:rsid w:val="006A276C"/>
    <w:rsid w:val="006A306C"/>
    <w:rsid w:val="006A32D0"/>
    <w:rsid w:val="006A3709"/>
    <w:rsid w:val="006A3822"/>
    <w:rsid w:val="006A430E"/>
    <w:rsid w:val="006A4375"/>
    <w:rsid w:val="006A4B77"/>
    <w:rsid w:val="006A4EC0"/>
    <w:rsid w:val="006A51F8"/>
    <w:rsid w:val="006A532D"/>
    <w:rsid w:val="006A53E5"/>
    <w:rsid w:val="006A5561"/>
    <w:rsid w:val="006A56B7"/>
    <w:rsid w:val="006A5B7A"/>
    <w:rsid w:val="006A634C"/>
    <w:rsid w:val="006A6AFD"/>
    <w:rsid w:val="006A7069"/>
    <w:rsid w:val="006B0812"/>
    <w:rsid w:val="006B0D00"/>
    <w:rsid w:val="006B0F1B"/>
    <w:rsid w:val="006B121C"/>
    <w:rsid w:val="006B2874"/>
    <w:rsid w:val="006B297B"/>
    <w:rsid w:val="006B309B"/>
    <w:rsid w:val="006B39B0"/>
    <w:rsid w:val="006B3BCD"/>
    <w:rsid w:val="006B3C7B"/>
    <w:rsid w:val="006B4088"/>
    <w:rsid w:val="006B427C"/>
    <w:rsid w:val="006B42DE"/>
    <w:rsid w:val="006B4596"/>
    <w:rsid w:val="006B518E"/>
    <w:rsid w:val="006B5582"/>
    <w:rsid w:val="006B5991"/>
    <w:rsid w:val="006B62E2"/>
    <w:rsid w:val="006B62E3"/>
    <w:rsid w:val="006B6603"/>
    <w:rsid w:val="006B66DD"/>
    <w:rsid w:val="006B67D6"/>
    <w:rsid w:val="006B6D61"/>
    <w:rsid w:val="006B6E54"/>
    <w:rsid w:val="006B6F94"/>
    <w:rsid w:val="006B729C"/>
    <w:rsid w:val="006B7AD1"/>
    <w:rsid w:val="006C0A11"/>
    <w:rsid w:val="006C0C4B"/>
    <w:rsid w:val="006C1110"/>
    <w:rsid w:val="006C11F1"/>
    <w:rsid w:val="006C1AD0"/>
    <w:rsid w:val="006C1EFF"/>
    <w:rsid w:val="006C20D4"/>
    <w:rsid w:val="006C2A3C"/>
    <w:rsid w:val="006C2BD0"/>
    <w:rsid w:val="006C2E29"/>
    <w:rsid w:val="006C3052"/>
    <w:rsid w:val="006C36D5"/>
    <w:rsid w:val="006C4233"/>
    <w:rsid w:val="006C4A83"/>
    <w:rsid w:val="006C4AF4"/>
    <w:rsid w:val="006C4B6A"/>
    <w:rsid w:val="006C4C82"/>
    <w:rsid w:val="006C56F7"/>
    <w:rsid w:val="006C585B"/>
    <w:rsid w:val="006C596F"/>
    <w:rsid w:val="006C59EE"/>
    <w:rsid w:val="006C5E73"/>
    <w:rsid w:val="006C6234"/>
    <w:rsid w:val="006C6A0A"/>
    <w:rsid w:val="006C721A"/>
    <w:rsid w:val="006C731A"/>
    <w:rsid w:val="006C7976"/>
    <w:rsid w:val="006C7A5E"/>
    <w:rsid w:val="006C7B77"/>
    <w:rsid w:val="006D043E"/>
    <w:rsid w:val="006D06C5"/>
    <w:rsid w:val="006D095B"/>
    <w:rsid w:val="006D0A97"/>
    <w:rsid w:val="006D0EEE"/>
    <w:rsid w:val="006D0F34"/>
    <w:rsid w:val="006D150C"/>
    <w:rsid w:val="006D20C8"/>
    <w:rsid w:val="006D23E6"/>
    <w:rsid w:val="006D2CAC"/>
    <w:rsid w:val="006D3036"/>
    <w:rsid w:val="006D3407"/>
    <w:rsid w:val="006D3F2F"/>
    <w:rsid w:val="006D4796"/>
    <w:rsid w:val="006D4CCB"/>
    <w:rsid w:val="006D4F09"/>
    <w:rsid w:val="006D4F66"/>
    <w:rsid w:val="006D55C5"/>
    <w:rsid w:val="006D57BB"/>
    <w:rsid w:val="006D5C2E"/>
    <w:rsid w:val="006D5F4F"/>
    <w:rsid w:val="006D601C"/>
    <w:rsid w:val="006D602F"/>
    <w:rsid w:val="006D61C1"/>
    <w:rsid w:val="006D69D3"/>
    <w:rsid w:val="006D6F37"/>
    <w:rsid w:val="006D7987"/>
    <w:rsid w:val="006D7996"/>
    <w:rsid w:val="006D79A9"/>
    <w:rsid w:val="006D7D45"/>
    <w:rsid w:val="006D7F54"/>
    <w:rsid w:val="006E02BD"/>
    <w:rsid w:val="006E047F"/>
    <w:rsid w:val="006E0C4E"/>
    <w:rsid w:val="006E1081"/>
    <w:rsid w:val="006E1B3E"/>
    <w:rsid w:val="006E29CA"/>
    <w:rsid w:val="006E2E31"/>
    <w:rsid w:val="006E3536"/>
    <w:rsid w:val="006E40E1"/>
    <w:rsid w:val="006E4311"/>
    <w:rsid w:val="006E4A59"/>
    <w:rsid w:val="006E5412"/>
    <w:rsid w:val="006E63E6"/>
    <w:rsid w:val="006E73AD"/>
    <w:rsid w:val="006E7A51"/>
    <w:rsid w:val="006E7DF8"/>
    <w:rsid w:val="006F0445"/>
    <w:rsid w:val="006F0451"/>
    <w:rsid w:val="006F193C"/>
    <w:rsid w:val="006F20E3"/>
    <w:rsid w:val="006F2254"/>
    <w:rsid w:val="006F22A1"/>
    <w:rsid w:val="006F32E6"/>
    <w:rsid w:val="006F33DC"/>
    <w:rsid w:val="006F34CC"/>
    <w:rsid w:val="006F4034"/>
    <w:rsid w:val="006F4123"/>
    <w:rsid w:val="006F497D"/>
    <w:rsid w:val="006F4A6F"/>
    <w:rsid w:val="006F5348"/>
    <w:rsid w:val="006F5FEE"/>
    <w:rsid w:val="006F60F8"/>
    <w:rsid w:val="006F611C"/>
    <w:rsid w:val="006F65B8"/>
    <w:rsid w:val="006F6614"/>
    <w:rsid w:val="006F701D"/>
    <w:rsid w:val="006F74AE"/>
    <w:rsid w:val="006F79AE"/>
    <w:rsid w:val="0070060B"/>
    <w:rsid w:val="00701100"/>
    <w:rsid w:val="00701617"/>
    <w:rsid w:val="00702461"/>
    <w:rsid w:val="0070246E"/>
    <w:rsid w:val="007031E3"/>
    <w:rsid w:val="00703585"/>
    <w:rsid w:val="0070379D"/>
    <w:rsid w:val="00703C8F"/>
    <w:rsid w:val="007042BE"/>
    <w:rsid w:val="0070434C"/>
    <w:rsid w:val="007044DA"/>
    <w:rsid w:val="00704928"/>
    <w:rsid w:val="00704A8F"/>
    <w:rsid w:val="0070507B"/>
    <w:rsid w:val="007050D4"/>
    <w:rsid w:val="00705A08"/>
    <w:rsid w:val="00705FB4"/>
    <w:rsid w:val="0070629F"/>
    <w:rsid w:val="0070640C"/>
    <w:rsid w:val="0070682D"/>
    <w:rsid w:val="00707198"/>
    <w:rsid w:val="007074DE"/>
    <w:rsid w:val="00707A63"/>
    <w:rsid w:val="00710667"/>
    <w:rsid w:val="00711323"/>
    <w:rsid w:val="00711C47"/>
    <w:rsid w:val="00712577"/>
    <w:rsid w:val="007126BA"/>
    <w:rsid w:val="00712847"/>
    <w:rsid w:val="007130E5"/>
    <w:rsid w:val="00713332"/>
    <w:rsid w:val="00713A0E"/>
    <w:rsid w:val="00713A8D"/>
    <w:rsid w:val="00713DF8"/>
    <w:rsid w:val="00714488"/>
    <w:rsid w:val="0071471D"/>
    <w:rsid w:val="00714D45"/>
    <w:rsid w:val="00715064"/>
    <w:rsid w:val="007153FC"/>
    <w:rsid w:val="0071587F"/>
    <w:rsid w:val="007158C6"/>
    <w:rsid w:val="0071615F"/>
    <w:rsid w:val="007166F7"/>
    <w:rsid w:val="0071670C"/>
    <w:rsid w:val="007169E5"/>
    <w:rsid w:val="0071708B"/>
    <w:rsid w:val="00717448"/>
    <w:rsid w:val="00717866"/>
    <w:rsid w:val="00717D04"/>
    <w:rsid w:val="00720145"/>
    <w:rsid w:val="007204FB"/>
    <w:rsid w:val="00720507"/>
    <w:rsid w:val="007206C8"/>
    <w:rsid w:val="007207CD"/>
    <w:rsid w:val="00720C88"/>
    <w:rsid w:val="0072127D"/>
    <w:rsid w:val="007215EF"/>
    <w:rsid w:val="00721A2A"/>
    <w:rsid w:val="00721A43"/>
    <w:rsid w:val="00722216"/>
    <w:rsid w:val="00723123"/>
    <w:rsid w:val="0072340C"/>
    <w:rsid w:val="0072369F"/>
    <w:rsid w:val="00723741"/>
    <w:rsid w:val="00723AC9"/>
    <w:rsid w:val="00723E33"/>
    <w:rsid w:val="00724237"/>
    <w:rsid w:val="00724468"/>
    <w:rsid w:val="00724637"/>
    <w:rsid w:val="00725424"/>
    <w:rsid w:val="007258E1"/>
    <w:rsid w:val="007261B3"/>
    <w:rsid w:val="007261FD"/>
    <w:rsid w:val="00726447"/>
    <w:rsid w:val="00726916"/>
    <w:rsid w:val="0072696C"/>
    <w:rsid w:val="00730071"/>
    <w:rsid w:val="007301C9"/>
    <w:rsid w:val="00730D7B"/>
    <w:rsid w:val="00730FBB"/>
    <w:rsid w:val="00731198"/>
    <w:rsid w:val="00731615"/>
    <w:rsid w:val="00731B97"/>
    <w:rsid w:val="00731D2F"/>
    <w:rsid w:val="0073226D"/>
    <w:rsid w:val="007328E0"/>
    <w:rsid w:val="007334AC"/>
    <w:rsid w:val="007336FD"/>
    <w:rsid w:val="007339C2"/>
    <w:rsid w:val="00734494"/>
    <w:rsid w:val="00734C7A"/>
    <w:rsid w:val="00734D50"/>
    <w:rsid w:val="00736CAF"/>
    <w:rsid w:val="00736CF1"/>
    <w:rsid w:val="00736F9D"/>
    <w:rsid w:val="007373CA"/>
    <w:rsid w:val="007373F6"/>
    <w:rsid w:val="00737B5D"/>
    <w:rsid w:val="00737DA2"/>
    <w:rsid w:val="00737EF6"/>
    <w:rsid w:val="00740348"/>
    <w:rsid w:val="007411EB"/>
    <w:rsid w:val="00741EA3"/>
    <w:rsid w:val="00742A7B"/>
    <w:rsid w:val="00742F0D"/>
    <w:rsid w:val="007434A7"/>
    <w:rsid w:val="00743548"/>
    <w:rsid w:val="0074398E"/>
    <w:rsid w:val="00743E5E"/>
    <w:rsid w:val="00744120"/>
    <w:rsid w:val="00744542"/>
    <w:rsid w:val="007463D6"/>
    <w:rsid w:val="00746CC9"/>
    <w:rsid w:val="0074709C"/>
    <w:rsid w:val="00747BA1"/>
    <w:rsid w:val="007509E8"/>
    <w:rsid w:val="00750AFD"/>
    <w:rsid w:val="007512EC"/>
    <w:rsid w:val="007518BF"/>
    <w:rsid w:val="007519BE"/>
    <w:rsid w:val="00751EAB"/>
    <w:rsid w:val="007524FB"/>
    <w:rsid w:val="00752735"/>
    <w:rsid w:val="007527E3"/>
    <w:rsid w:val="0075349A"/>
    <w:rsid w:val="007536A3"/>
    <w:rsid w:val="0075386F"/>
    <w:rsid w:val="00754080"/>
    <w:rsid w:val="0075487E"/>
    <w:rsid w:val="007548B7"/>
    <w:rsid w:val="00754D01"/>
    <w:rsid w:val="0075518B"/>
    <w:rsid w:val="00755D49"/>
    <w:rsid w:val="00755E3C"/>
    <w:rsid w:val="007561F0"/>
    <w:rsid w:val="00756530"/>
    <w:rsid w:val="00756B99"/>
    <w:rsid w:val="00756FDA"/>
    <w:rsid w:val="00757582"/>
    <w:rsid w:val="00757718"/>
    <w:rsid w:val="00760005"/>
    <w:rsid w:val="00760031"/>
    <w:rsid w:val="007600C9"/>
    <w:rsid w:val="00760254"/>
    <w:rsid w:val="00760304"/>
    <w:rsid w:val="00760371"/>
    <w:rsid w:val="00760E1B"/>
    <w:rsid w:val="00760F35"/>
    <w:rsid w:val="00761002"/>
    <w:rsid w:val="007615F5"/>
    <w:rsid w:val="007616C9"/>
    <w:rsid w:val="00761A2C"/>
    <w:rsid w:val="00761BD8"/>
    <w:rsid w:val="0076213E"/>
    <w:rsid w:val="007623E9"/>
    <w:rsid w:val="00762949"/>
    <w:rsid w:val="00762F69"/>
    <w:rsid w:val="00763816"/>
    <w:rsid w:val="00763C7A"/>
    <w:rsid w:val="00763DE2"/>
    <w:rsid w:val="00764962"/>
    <w:rsid w:val="00764FE1"/>
    <w:rsid w:val="007650AC"/>
    <w:rsid w:val="0076514A"/>
    <w:rsid w:val="007653CF"/>
    <w:rsid w:val="00765503"/>
    <w:rsid w:val="007669DE"/>
    <w:rsid w:val="007674C3"/>
    <w:rsid w:val="00767635"/>
    <w:rsid w:val="00767841"/>
    <w:rsid w:val="00767EAE"/>
    <w:rsid w:val="007700CC"/>
    <w:rsid w:val="007706A6"/>
    <w:rsid w:val="00770DB0"/>
    <w:rsid w:val="00771615"/>
    <w:rsid w:val="007724E6"/>
    <w:rsid w:val="00772C06"/>
    <w:rsid w:val="0077391E"/>
    <w:rsid w:val="0077445A"/>
    <w:rsid w:val="00774684"/>
    <w:rsid w:val="007749FE"/>
    <w:rsid w:val="00775165"/>
    <w:rsid w:val="00775F89"/>
    <w:rsid w:val="00776165"/>
    <w:rsid w:val="00776320"/>
    <w:rsid w:val="007765D9"/>
    <w:rsid w:val="00776723"/>
    <w:rsid w:val="007768EF"/>
    <w:rsid w:val="00776C5A"/>
    <w:rsid w:val="0077712E"/>
    <w:rsid w:val="00777141"/>
    <w:rsid w:val="0077725A"/>
    <w:rsid w:val="00777467"/>
    <w:rsid w:val="00780DA2"/>
    <w:rsid w:val="00780FC3"/>
    <w:rsid w:val="00781384"/>
    <w:rsid w:val="00781C38"/>
    <w:rsid w:val="007823FD"/>
    <w:rsid w:val="0078254F"/>
    <w:rsid w:val="00782A73"/>
    <w:rsid w:val="00782C75"/>
    <w:rsid w:val="00783644"/>
    <w:rsid w:val="007849BB"/>
    <w:rsid w:val="00784EA8"/>
    <w:rsid w:val="00784F5C"/>
    <w:rsid w:val="0078533C"/>
    <w:rsid w:val="00785871"/>
    <w:rsid w:val="00785D92"/>
    <w:rsid w:val="00786937"/>
    <w:rsid w:val="00787A3D"/>
    <w:rsid w:val="00787CAD"/>
    <w:rsid w:val="007902BF"/>
    <w:rsid w:val="007902F1"/>
    <w:rsid w:val="00790955"/>
    <w:rsid w:val="0079141A"/>
    <w:rsid w:val="007917C3"/>
    <w:rsid w:val="00791ABF"/>
    <w:rsid w:val="0079201F"/>
    <w:rsid w:val="0079206E"/>
    <w:rsid w:val="007923E8"/>
    <w:rsid w:val="00792933"/>
    <w:rsid w:val="007929AB"/>
    <w:rsid w:val="00792B73"/>
    <w:rsid w:val="00793166"/>
    <w:rsid w:val="00793419"/>
    <w:rsid w:val="00793924"/>
    <w:rsid w:val="00793941"/>
    <w:rsid w:val="00793EB2"/>
    <w:rsid w:val="007944F5"/>
    <w:rsid w:val="0079467D"/>
    <w:rsid w:val="0079482F"/>
    <w:rsid w:val="00795F70"/>
    <w:rsid w:val="00796001"/>
    <w:rsid w:val="0079631C"/>
    <w:rsid w:val="00796B5B"/>
    <w:rsid w:val="00796F58"/>
    <w:rsid w:val="00797609"/>
    <w:rsid w:val="00797C44"/>
    <w:rsid w:val="007A0363"/>
    <w:rsid w:val="007A0BD1"/>
    <w:rsid w:val="007A145B"/>
    <w:rsid w:val="007A178B"/>
    <w:rsid w:val="007A1BA7"/>
    <w:rsid w:val="007A2CF3"/>
    <w:rsid w:val="007A2E84"/>
    <w:rsid w:val="007A2F63"/>
    <w:rsid w:val="007A3238"/>
    <w:rsid w:val="007A32D4"/>
    <w:rsid w:val="007A35F3"/>
    <w:rsid w:val="007A3A24"/>
    <w:rsid w:val="007A3D07"/>
    <w:rsid w:val="007A4449"/>
    <w:rsid w:val="007A479E"/>
    <w:rsid w:val="007A52A3"/>
    <w:rsid w:val="007A58DB"/>
    <w:rsid w:val="007A59EB"/>
    <w:rsid w:val="007A5CB1"/>
    <w:rsid w:val="007A63D3"/>
    <w:rsid w:val="007A69C1"/>
    <w:rsid w:val="007A6BCE"/>
    <w:rsid w:val="007A6DF9"/>
    <w:rsid w:val="007A730A"/>
    <w:rsid w:val="007A747C"/>
    <w:rsid w:val="007A77F1"/>
    <w:rsid w:val="007A785A"/>
    <w:rsid w:val="007A7C2F"/>
    <w:rsid w:val="007B1D57"/>
    <w:rsid w:val="007B2013"/>
    <w:rsid w:val="007B24C9"/>
    <w:rsid w:val="007B27BD"/>
    <w:rsid w:val="007B3A3D"/>
    <w:rsid w:val="007B3D0D"/>
    <w:rsid w:val="007B42AD"/>
    <w:rsid w:val="007B52BC"/>
    <w:rsid w:val="007B59D2"/>
    <w:rsid w:val="007B5C18"/>
    <w:rsid w:val="007B5EA8"/>
    <w:rsid w:val="007B6EFC"/>
    <w:rsid w:val="007B755F"/>
    <w:rsid w:val="007B75E1"/>
    <w:rsid w:val="007B781F"/>
    <w:rsid w:val="007B7BF9"/>
    <w:rsid w:val="007B7C10"/>
    <w:rsid w:val="007B7E88"/>
    <w:rsid w:val="007C0000"/>
    <w:rsid w:val="007C084C"/>
    <w:rsid w:val="007C08A7"/>
    <w:rsid w:val="007C0DBA"/>
    <w:rsid w:val="007C17E6"/>
    <w:rsid w:val="007C1AC3"/>
    <w:rsid w:val="007C1F88"/>
    <w:rsid w:val="007C200D"/>
    <w:rsid w:val="007C22CB"/>
    <w:rsid w:val="007C318E"/>
    <w:rsid w:val="007C33AC"/>
    <w:rsid w:val="007C342F"/>
    <w:rsid w:val="007C3475"/>
    <w:rsid w:val="007C3A00"/>
    <w:rsid w:val="007C41C8"/>
    <w:rsid w:val="007C442C"/>
    <w:rsid w:val="007C475F"/>
    <w:rsid w:val="007C509E"/>
    <w:rsid w:val="007C578B"/>
    <w:rsid w:val="007C617A"/>
    <w:rsid w:val="007C68AF"/>
    <w:rsid w:val="007C6C60"/>
    <w:rsid w:val="007C7829"/>
    <w:rsid w:val="007C792F"/>
    <w:rsid w:val="007D02C6"/>
    <w:rsid w:val="007D0E91"/>
    <w:rsid w:val="007D1569"/>
    <w:rsid w:val="007D1B63"/>
    <w:rsid w:val="007D1CE4"/>
    <w:rsid w:val="007D1DBD"/>
    <w:rsid w:val="007D25EB"/>
    <w:rsid w:val="007D2A32"/>
    <w:rsid w:val="007D2C8F"/>
    <w:rsid w:val="007D2FA5"/>
    <w:rsid w:val="007D303B"/>
    <w:rsid w:val="007D31A3"/>
    <w:rsid w:val="007D3421"/>
    <w:rsid w:val="007D4156"/>
    <w:rsid w:val="007D436F"/>
    <w:rsid w:val="007D4B0C"/>
    <w:rsid w:val="007D4BCF"/>
    <w:rsid w:val="007D4D6F"/>
    <w:rsid w:val="007D4E1E"/>
    <w:rsid w:val="007D5034"/>
    <w:rsid w:val="007D5266"/>
    <w:rsid w:val="007D57DB"/>
    <w:rsid w:val="007D5968"/>
    <w:rsid w:val="007D5C2A"/>
    <w:rsid w:val="007D5F4F"/>
    <w:rsid w:val="007D6E6B"/>
    <w:rsid w:val="007D7245"/>
    <w:rsid w:val="007E0B71"/>
    <w:rsid w:val="007E1A38"/>
    <w:rsid w:val="007E1DE7"/>
    <w:rsid w:val="007E24E0"/>
    <w:rsid w:val="007E2964"/>
    <w:rsid w:val="007E2A60"/>
    <w:rsid w:val="007E358C"/>
    <w:rsid w:val="007E4233"/>
    <w:rsid w:val="007E4916"/>
    <w:rsid w:val="007E57C7"/>
    <w:rsid w:val="007E57D5"/>
    <w:rsid w:val="007E5BFE"/>
    <w:rsid w:val="007E5ECB"/>
    <w:rsid w:val="007E604F"/>
    <w:rsid w:val="007E66FA"/>
    <w:rsid w:val="007E6A40"/>
    <w:rsid w:val="007E6C0C"/>
    <w:rsid w:val="007E70BE"/>
    <w:rsid w:val="007E7297"/>
    <w:rsid w:val="007E76DD"/>
    <w:rsid w:val="007E7886"/>
    <w:rsid w:val="007E7B77"/>
    <w:rsid w:val="007E7F25"/>
    <w:rsid w:val="007F01F7"/>
    <w:rsid w:val="007F0DA1"/>
    <w:rsid w:val="007F0DF6"/>
    <w:rsid w:val="007F1066"/>
    <w:rsid w:val="007F13D9"/>
    <w:rsid w:val="007F1EB5"/>
    <w:rsid w:val="007F1FB4"/>
    <w:rsid w:val="007F26B0"/>
    <w:rsid w:val="007F2897"/>
    <w:rsid w:val="007F3006"/>
    <w:rsid w:val="007F3132"/>
    <w:rsid w:val="007F3425"/>
    <w:rsid w:val="007F34C8"/>
    <w:rsid w:val="007F35B6"/>
    <w:rsid w:val="007F35E5"/>
    <w:rsid w:val="007F4F65"/>
    <w:rsid w:val="007F51A2"/>
    <w:rsid w:val="007F55F4"/>
    <w:rsid w:val="007F64C3"/>
    <w:rsid w:val="007F68BA"/>
    <w:rsid w:val="007F6A05"/>
    <w:rsid w:val="007F6B9B"/>
    <w:rsid w:val="007F6E70"/>
    <w:rsid w:val="007F7424"/>
    <w:rsid w:val="007F74E4"/>
    <w:rsid w:val="007F7739"/>
    <w:rsid w:val="007F7B35"/>
    <w:rsid w:val="007F7C9E"/>
    <w:rsid w:val="00800601"/>
    <w:rsid w:val="00800873"/>
    <w:rsid w:val="00800B84"/>
    <w:rsid w:val="008010E8"/>
    <w:rsid w:val="008017BC"/>
    <w:rsid w:val="008018B4"/>
    <w:rsid w:val="0080191C"/>
    <w:rsid w:val="00801B5E"/>
    <w:rsid w:val="00802622"/>
    <w:rsid w:val="008026DA"/>
    <w:rsid w:val="0080314A"/>
    <w:rsid w:val="0080322B"/>
    <w:rsid w:val="008035C3"/>
    <w:rsid w:val="00803F26"/>
    <w:rsid w:val="00804187"/>
    <w:rsid w:val="00804599"/>
    <w:rsid w:val="0080488B"/>
    <w:rsid w:val="00804B8B"/>
    <w:rsid w:val="00805873"/>
    <w:rsid w:val="00805B83"/>
    <w:rsid w:val="00805C57"/>
    <w:rsid w:val="00806614"/>
    <w:rsid w:val="00806B2E"/>
    <w:rsid w:val="00806E9E"/>
    <w:rsid w:val="00806F63"/>
    <w:rsid w:val="00807F06"/>
    <w:rsid w:val="008108B5"/>
    <w:rsid w:val="00810A1F"/>
    <w:rsid w:val="00810C11"/>
    <w:rsid w:val="0081104C"/>
    <w:rsid w:val="00811196"/>
    <w:rsid w:val="00811307"/>
    <w:rsid w:val="008114B2"/>
    <w:rsid w:val="00812335"/>
    <w:rsid w:val="008128CD"/>
    <w:rsid w:val="00812FB2"/>
    <w:rsid w:val="008132EA"/>
    <w:rsid w:val="0081433F"/>
    <w:rsid w:val="0081438F"/>
    <w:rsid w:val="00814450"/>
    <w:rsid w:val="008145B9"/>
    <w:rsid w:val="00815127"/>
    <w:rsid w:val="0081533C"/>
    <w:rsid w:val="00815345"/>
    <w:rsid w:val="0081578F"/>
    <w:rsid w:val="00815B8F"/>
    <w:rsid w:val="00815BD3"/>
    <w:rsid w:val="00815D7D"/>
    <w:rsid w:val="00815DBB"/>
    <w:rsid w:val="00816102"/>
    <w:rsid w:val="008161D7"/>
    <w:rsid w:val="0081666B"/>
    <w:rsid w:val="00816708"/>
    <w:rsid w:val="00816865"/>
    <w:rsid w:val="00816C0A"/>
    <w:rsid w:val="00817685"/>
    <w:rsid w:val="008201AF"/>
    <w:rsid w:val="00820213"/>
    <w:rsid w:val="00820661"/>
    <w:rsid w:val="00820A1D"/>
    <w:rsid w:val="00820A39"/>
    <w:rsid w:val="00820C20"/>
    <w:rsid w:val="008212E5"/>
    <w:rsid w:val="008216F7"/>
    <w:rsid w:val="00822565"/>
    <w:rsid w:val="008225AE"/>
    <w:rsid w:val="00822BB6"/>
    <w:rsid w:val="00822D29"/>
    <w:rsid w:val="00823298"/>
    <w:rsid w:val="0082402B"/>
    <w:rsid w:val="00824186"/>
    <w:rsid w:val="00824258"/>
    <w:rsid w:val="008242BE"/>
    <w:rsid w:val="00824314"/>
    <w:rsid w:val="0082437F"/>
    <w:rsid w:val="008248F8"/>
    <w:rsid w:val="00824B89"/>
    <w:rsid w:val="00825B8C"/>
    <w:rsid w:val="00826227"/>
    <w:rsid w:val="00826941"/>
    <w:rsid w:val="00826E38"/>
    <w:rsid w:val="00826F6E"/>
    <w:rsid w:val="00827365"/>
    <w:rsid w:val="008273BC"/>
    <w:rsid w:val="00827CE2"/>
    <w:rsid w:val="00827EFD"/>
    <w:rsid w:val="00830054"/>
    <w:rsid w:val="008303B4"/>
    <w:rsid w:val="008308C1"/>
    <w:rsid w:val="00830AE9"/>
    <w:rsid w:val="00830C33"/>
    <w:rsid w:val="00831125"/>
    <w:rsid w:val="0083174A"/>
    <w:rsid w:val="00832396"/>
    <w:rsid w:val="0083241A"/>
    <w:rsid w:val="00832838"/>
    <w:rsid w:val="00832BC2"/>
    <w:rsid w:val="00832E6E"/>
    <w:rsid w:val="00832EBF"/>
    <w:rsid w:val="0083329E"/>
    <w:rsid w:val="0083334B"/>
    <w:rsid w:val="008334BC"/>
    <w:rsid w:val="00833D4B"/>
    <w:rsid w:val="00833D72"/>
    <w:rsid w:val="0083418A"/>
    <w:rsid w:val="008341B2"/>
    <w:rsid w:val="0083428E"/>
    <w:rsid w:val="00834846"/>
    <w:rsid w:val="008352A6"/>
    <w:rsid w:val="00835B7C"/>
    <w:rsid w:val="00835D15"/>
    <w:rsid w:val="00836262"/>
    <w:rsid w:val="00836449"/>
    <w:rsid w:val="00836B41"/>
    <w:rsid w:val="00836CC3"/>
    <w:rsid w:val="00836DED"/>
    <w:rsid w:val="00836E3A"/>
    <w:rsid w:val="00837210"/>
    <w:rsid w:val="00837464"/>
    <w:rsid w:val="00840466"/>
    <w:rsid w:val="00840882"/>
    <w:rsid w:val="0084096A"/>
    <w:rsid w:val="008410DA"/>
    <w:rsid w:val="00841919"/>
    <w:rsid w:val="00841A04"/>
    <w:rsid w:val="00841C9F"/>
    <w:rsid w:val="0084238D"/>
    <w:rsid w:val="008423EB"/>
    <w:rsid w:val="00842946"/>
    <w:rsid w:val="008429C4"/>
    <w:rsid w:val="00842A5C"/>
    <w:rsid w:val="00842A94"/>
    <w:rsid w:val="00842B23"/>
    <w:rsid w:val="00842CBC"/>
    <w:rsid w:val="00842FB3"/>
    <w:rsid w:val="00843F39"/>
    <w:rsid w:val="008440B8"/>
    <w:rsid w:val="00844853"/>
    <w:rsid w:val="00844D54"/>
    <w:rsid w:val="00844FD4"/>
    <w:rsid w:val="00844FD7"/>
    <w:rsid w:val="00845253"/>
    <w:rsid w:val="00845872"/>
    <w:rsid w:val="008463C7"/>
    <w:rsid w:val="00846DD2"/>
    <w:rsid w:val="00847243"/>
    <w:rsid w:val="008472B8"/>
    <w:rsid w:val="008478C9"/>
    <w:rsid w:val="00847B6C"/>
    <w:rsid w:val="00850653"/>
    <w:rsid w:val="008511D8"/>
    <w:rsid w:val="00851C2A"/>
    <w:rsid w:val="00851E19"/>
    <w:rsid w:val="0085255A"/>
    <w:rsid w:val="008529A2"/>
    <w:rsid w:val="008530C8"/>
    <w:rsid w:val="00853380"/>
    <w:rsid w:val="008538A7"/>
    <w:rsid w:val="00853B51"/>
    <w:rsid w:val="00853CF4"/>
    <w:rsid w:val="0085439B"/>
    <w:rsid w:val="008543A3"/>
    <w:rsid w:val="0085460B"/>
    <w:rsid w:val="008549C8"/>
    <w:rsid w:val="00856149"/>
    <w:rsid w:val="00856670"/>
    <w:rsid w:val="00856944"/>
    <w:rsid w:val="00856B4B"/>
    <w:rsid w:val="00856E03"/>
    <w:rsid w:val="00856E5A"/>
    <w:rsid w:val="00857260"/>
    <w:rsid w:val="00857435"/>
    <w:rsid w:val="0085756C"/>
    <w:rsid w:val="008577AE"/>
    <w:rsid w:val="008579B4"/>
    <w:rsid w:val="00857E12"/>
    <w:rsid w:val="0086061E"/>
    <w:rsid w:val="00860C7B"/>
    <w:rsid w:val="00860D3D"/>
    <w:rsid w:val="00861B48"/>
    <w:rsid w:val="00861BBE"/>
    <w:rsid w:val="00862670"/>
    <w:rsid w:val="00862956"/>
    <w:rsid w:val="00862F94"/>
    <w:rsid w:val="00863397"/>
    <w:rsid w:val="008637EB"/>
    <w:rsid w:val="00863913"/>
    <w:rsid w:val="0086397B"/>
    <w:rsid w:val="0086426B"/>
    <w:rsid w:val="008642AF"/>
    <w:rsid w:val="00864F06"/>
    <w:rsid w:val="00866A35"/>
    <w:rsid w:val="00866A91"/>
    <w:rsid w:val="00866D2F"/>
    <w:rsid w:val="00867157"/>
    <w:rsid w:val="008677DE"/>
    <w:rsid w:val="00871A0C"/>
    <w:rsid w:val="00871A6C"/>
    <w:rsid w:val="00871B30"/>
    <w:rsid w:val="00871B7B"/>
    <w:rsid w:val="00871EF7"/>
    <w:rsid w:val="0087249D"/>
    <w:rsid w:val="008727CE"/>
    <w:rsid w:val="00872A6F"/>
    <w:rsid w:val="00872D5F"/>
    <w:rsid w:val="00873747"/>
    <w:rsid w:val="00873DB9"/>
    <w:rsid w:val="008746D3"/>
    <w:rsid w:val="008747E1"/>
    <w:rsid w:val="00874A16"/>
    <w:rsid w:val="00874FD7"/>
    <w:rsid w:val="008751D1"/>
    <w:rsid w:val="0087596E"/>
    <w:rsid w:val="00875B20"/>
    <w:rsid w:val="00875CCB"/>
    <w:rsid w:val="0087605A"/>
    <w:rsid w:val="00876B2D"/>
    <w:rsid w:val="00876DA9"/>
    <w:rsid w:val="00877870"/>
    <w:rsid w:val="00877A11"/>
    <w:rsid w:val="0088020C"/>
    <w:rsid w:val="008805AE"/>
    <w:rsid w:val="008808C7"/>
    <w:rsid w:val="0088199A"/>
    <w:rsid w:val="00881D3A"/>
    <w:rsid w:val="008827C9"/>
    <w:rsid w:val="00882F1B"/>
    <w:rsid w:val="008833F3"/>
    <w:rsid w:val="00883606"/>
    <w:rsid w:val="0088363F"/>
    <w:rsid w:val="00883E84"/>
    <w:rsid w:val="00884075"/>
    <w:rsid w:val="00884581"/>
    <w:rsid w:val="008846B7"/>
    <w:rsid w:val="00884E04"/>
    <w:rsid w:val="00884EB0"/>
    <w:rsid w:val="00884F04"/>
    <w:rsid w:val="00884F66"/>
    <w:rsid w:val="00885AE1"/>
    <w:rsid w:val="00885D00"/>
    <w:rsid w:val="0088666E"/>
    <w:rsid w:val="00886AAD"/>
    <w:rsid w:val="00886C60"/>
    <w:rsid w:val="008870F2"/>
    <w:rsid w:val="00887549"/>
    <w:rsid w:val="00887574"/>
    <w:rsid w:val="00887823"/>
    <w:rsid w:val="00887E11"/>
    <w:rsid w:val="00890307"/>
    <w:rsid w:val="00890498"/>
    <w:rsid w:val="00890633"/>
    <w:rsid w:val="00890770"/>
    <w:rsid w:val="00890947"/>
    <w:rsid w:val="00890BA4"/>
    <w:rsid w:val="00890FC1"/>
    <w:rsid w:val="00891E05"/>
    <w:rsid w:val="00891E8E"/>
    <w:rsid w:val="0089285A"/>
    <w:rsid w:val="00892DDD"/>
    <w:rsid w:val="00893572"/>
    <w:rsid w:val="00893AFB"/>
    <w:rsid w:val="00893B40"/>
    <w:rsid w:val="00893F54"/>
    <w:rsid w:val="00894721"/>
    <w:rsid w:val="0089566B"/>
    <w:rsid w:val="008957F8"/>
    <w:rsid w:val="00896355"/>
    <w:rsid w:val="008968E0"/>
    <w:rsid w:val="00896A13"/>
    <w:rsid w:val="00896A8A"/>
    <w:rsid w:val="00896B53"/>
    <w:rsid w:val="00897793"/>
    <w:rsid w:val="008978BA"/>
    <w:rsid w:val="00897A9D"/>
    <w:rsid w:val="00897B72"/>
    <w:rsid w:val="00897CC0"/>
    <w:rsid w:val="008A00C5"/>
    <w:rsid w:val="008A0446"/>
    <w:rsid w:val="008A050C"/>
    <w:rsid w:val="008A0744"/>
    <w:rsid w:val="008A0ED9"/>
    <w:rsid w:val="008A1324"/>
    <w:rsid w:val="008A1632"/>
    <w:rsid w:val="008A19B8"/>
    <w:rsid w:val="008A1E07"/>
    <w:rsid w:val="008A23A6"/>
    <w:rsid w:val="008A2407"/>
    <w:rsid w:val="008A2467"/>
    <w:rsid w:val="008A2A54"/>
    <w:rsid w:val="008A2B41"/>
    <w:rsid w:val="008A5FBF"/>
    <w:rsid w:val="008A6769"/>
    <w:rsid w:val="008A6F83"/>
    <w:rsid w:val="008A7DB6"/>
    <w:rsid w:val="008B005A"/>
    <w:rsid w:val="008B05C3"/>
    <w:rsid w:val="008B0628"/>
    <w:rsid w:val="008B0E7C"/>
    <w:rsid w:val="008B0F3F"/>
    <w:rsid w:val="008B1A9C"/>
    <w:rsid w:val="008B1F7F"/>
    <w:rsid w:val="008B2570"/>
    <w:rsid w:val="008B265F"/>
    <w:rsid w:val="008B2EAD"/>
    <w:rsid w:val="008B2F6B"/>
    <w:rsid w:val="008B42ED"/>
    <w:rsid w:val="008B44E9"/>
    <w:rsid w:val="008B462D"/>
    <w:rsid w:val="008B4697"/>
    <w:rsid w:val="008B4898"/>
    <w:rsid w:val="008B4965"/>
    <w:rsid w:val="008B5909"/>
    <w:rsid w:val="008B5DB0"/>
    <w:rsid w:val="008B615F"/>
    <w:rsid w:val="008B7096"/>
    <w:rsid w:val="008B7128"/>
    <w:rsid w:val="008B75CB"/>
    <w:rsid w:val="008B7899"/>
    <w:rsid w:val="008B78B1"/>
    <w:rsid w:val="008B7E31"/>
    <w:rsid w:val="008B7E97"/>
    <w:rsid w:val="008C0DD9"/>
    <w:rsid w:val="008C1365"/>
    <w:rsid w:val="008C1B93"/>
    <w:rsid w:val="008C1CCF"/>
    <w:rsid w:val="008C1CF3"/>
    <w:rsid w:val="008C223D"/>
    <w:rsid w:val="008C27C7"/>
    <w:rsid w:val="008C28DD"/>
    <w:rsid w:val="008C2D96"/>
    <w:rsid w:val="008C3275"/>
    <w:rsid w:val="008C4082"/>
    <w:rsid w:val="008C4124"/>
    <w:rsid w:val="008C5576"/>
    <w:rsid w:val="008C6367"/>
    <w:rsid w:val="008C6EFC"/>
    <w:rsid w:val="008C7712"/>
    <w:rsid w:val="008C772F"/>
    <w:rsid w:val="008D081B"/>
    <w:rsid w:val="008D0846"/>
    <w:rsid w:val="008D0C0F"/>
    <w:rsid w:val="008D0EB6"/>
    <w:rsid w:val="008D0ED7"/>
    <w:rsid w:val="008D19FD"/>
    <w:rsid w:val="008D1ABD"/>
    <w:rsid w:val="008D37D0"/>
    <w:rsid w:val="008D3875"/>
    <w:rsid w:val="008D3A0D"/>
    <w:rsid w:val="008D3F40"/>
    <w:rsid w:val="008D4389"/>
    <w:rsid w:val="008D48BE"/>
    <w:rsid w:val="008D52E7"/>
    <w:rsid w:val="008D554B"/>
    <w:rsid w:val="008D55AC"/>
    <w:rsid w:val="008D58AB"/>
    <w:rsid w:val="008D5C69"/>
    <w:rsid w:val="008D5D75"/>
    <w:rsid w:val="008D645F"/>
    <w:rsid w:val="008D66DC"/>
    <w:rsid w:val="008D6EC2"/>
    <w:rsid w:val="008D70A8"/>
    <w:rsid w:val="008D790D"/>
    <w:rsid w:val="008D7D89"/>
    <w:rsid w:val="008E04FE"/>
    <w:rsid w:val="008E05AE"/>
    <w:rsid w:val="008E0C73"/>
    <w:rsid w:val="008E0F6F"/>
    <w:rsid w:val="008E0FAD"/>
    <w:rsid w:val="008E25D6"/>
    <w:rsid w:val="008E2E8B"/>
    <w:rsid w:val="008E33C1"/>
    <w:rsid w:val="008E391A"/>
    <w:rsid w:val="008E3A49"/>
    <w:rsid w:val="008E3AF7"/>
    <w:rsid w:val="008E4116"/>
    <w:rsid w:val="008E4702"/>
    <w:rsid w:val="008E48E9"/>
    <w:rsid w:val="008E4AF0"/>
    <w:rsid w:val="008E4B33"/>
    <w:rsid w:val="008E4F45"/>
    <w:rsid w:val="008E5A81"/>
    <w:rsid w:val="008E5A9A"/>
    <w:rsid w:val="008E6415"/>
    <w:rsid w:val="008E642F"/>
    <w:rsid w:val="008E6A6C"/>
    <w:rsid w:val="008E6C50"/>
    <w:rsid w:val="008E6DA5"/>
    <w:rsid w:val="008E6E47"/>
    <w:rsid w:val="008E7010"/>
    <w:rsid w:val="008E7586"/>
    <w:rsid w:val="008E78FD"/>
    <w:rsid w:val="008E7BD4"/>
    <w:rsid w:val="008F03FF"/>
    <w:rsid w:val="008F0A95"/>
    <w:rsid w:val="008F17C3"/>
    <w:rsid w:val="008F2217"/>
    <w:rsid w:val="008F29E9"/>
    <w:rsid w:val="008F3B5F"/>
    <w:rsid w:val="008F3CB0"/>
    <w:rsid w:val="008F48A9"/>
    <w:rsid w:val="008F49F4"/>
    <w:rsid w:val="008F5402"/>
    <w:rsid w:val="008F567D"/>
    <w:rsid w:val="008F6305"/>
    <w:rsid w:val="008F6396"/>
    <w:rsid w:val="008F6621"/>
    <w:rsid w:val="008F6884"/>
    <w:rsid w:val="008F69AA"/>
    <w:rsid w:val="008F6F1A"/>
    <w:rsid w:val="008F71A6"/>
    <w:rsid w:val="008F75B2"/>
    <w:rsid w:val="008F7897"/>
    <w:rsid w:val="0090014A"/>
    <w:rsid w:val="0090039A"/>
    <w:rsid w:val="00900EBC"/>
    <w:rsid w:val="0090137A"/>
    <w:rsid w:val="009014A3"/>
    <w:rsid w:val="00901851"/>
    <w:rsid w:val="0090192C"/>
    <w:rsid w:val="00901DBF"/>
    <w:rsid w:val="0090223B"/>
    <w:rsid w:val="009022F6"/>
    <w:rsid w:val="00902546"/>
    <w:rsid w:val="0090281D"/>
    <w:rsid w:val="00903370"/>
    <w:rsid w:val="0090396D"/>
    <w:rsid w:val="00903E3B"/>
    <w:rsid w:val="009042D7"/>
    <w:rsid w:val="00904B0A"/>
    <w:rsid w:val="00904BF0"/>
    <w:rsid w:val="00904F3A"/>
    <w:rsid w:val="00906558"/>
    <w:rsid w:val="009068C2"/>
    <w:rsid w:val="009079B7"/>
    <w:rsid w:val="00907DEE"/>
    <w:rsid w:val="00907E08"/>
    <w:rsid w:val="0091088C"/>
    <w:rsid w:val="00910892"/>
    <w:rsid w:val="0091178E"/>
    <w:rsid w:val="00911E47"/>
    <w:rsid w:val="0091349A"/>
    <w:rsid w:val="00913B25"/>
    <w:rsid w:val="00913D10"/>
    <w:rsid w:val="00914399"/>
    <w:rsid w:val="009149F4"/>
    <w:rsid w:val="00914F4F"/>
    <w:rsid w:val="0091530C"/>
    <w:rsid w:val="0091546B"/>
    <w:rsid w:val="009155A4"/>
    <w:rsid w:val="009158BF"/>
    <w:rsid w:val="00915ABD"/>
    <w:rsid w:val="0091619E"/>
    <w:rsid w:val="0091719A"/>
    <w:rsid w:val="0091741A"/>
    <w:rsid w:val="009203B9"/>
    <w:rsid w:val="0092053C"/>
    <w:rsid w:val="00920A1E"/>
    <w:rsid w:val="009211F7"/>
    <w:rsid w:val="00921910"/>
    <w:rsid w:val="00921B01"/>
    <w:rsid w:val="00922166"/>
    <w:rsid w:val="00922444"/>
    <w:rsid w:val="009226F8"/>
    <w:rsid w:val="009227EA"/>
    <w:rsid w:val="0092305D"/>
    <w:rsid w:val="009234A4"/>
    <w:rsid w:val="00923777"/>
    <w:rsid w:val="00923D38"/>
    <w:rsid w:val="00923D63"/>
    <w:rsid w:val="00924228"/>
    <w:rsid w:val="00924E60"/>
    <w:rsid w:val="00924EED"/>
    <w:rsid w:val="00924FC4"/>
    <w:rsid w:val="00925129"/>
    <w:rsid w:val="0092516C"/>
    <w:rsid w:val="00925E0F"/>
    <w:rsid w:val="00926043"/>
    <w:rsid w:val="00926111"/>
    <w:rsid w:val="00926519"/>
    <w:rsid w:val="0092652B"/>
    <w:rsid w:val="009266E4"/>
    <w:rsid w:val="00926BB7"/>
    <w:rsid w:val="00927114"/>
    <w:rsid w:val="0092711C"/>
    <w:rsid w:val="00927A30"/>
    <w:rsid w:val="00930144"/>
    <w:rsid w:val="009308BF"/>
    <w:rsid w:val="009308CB"/>
    <w:rsid w:val="00931208"/>
    <w:rsid w:val="009312C6"/>
    <w:rsid w:val="009313B9"/>
    <w:rsid w:val="009317D2"/>
    <w:rsid w:val="009318DC"/>
    <w:rsid w:val="00932008"/>
    <w:rsid w:val="009321C2"/>
    <w:rsid w:val="0093292D"/>
    <w:rsid w:val="00932EDE"/>
    <w:rsid w:val="00932F0A"/>
    <w:rsid w:val="00933C5D"/>
    <w:rsid w:val="00933E08"/>
    <w:rsid w:val="009341DD"/>
    <w:rsid w:val="009342FC"/>
    <w:rsid w:val="0093434E"/>
    <w:rsid w:val="009345D6"/>
    <w:rsid w:val="00934717"/>
    <w:rsid w:val="00934E07"/>
    <w:rsid w:val="009352ED"/>
    <w:rsid w:val="0093592B"/>
    <w:rsid w:val="00936068"/>
    <w:rsid w:val="00936C0C"/>
    <w:rsid w:val="0094011A"/>
    <w:rsid w:val="009406AA"/>
    <w:rsid w:val="00940AC4"/>
    <w:rsid w:val="00940FB3"/>
    <w:rsid w:val="0094145E"/>
    <w:rsid w:val="009418FB"/>
    <w:rsid w:val="00941AD6"/>
    <w:rsid w:val="00941EAF"/>
    <w:rsid w:val="00942DA8"/>
    <w:rsid w:val="00942F70"/>
    <w:rsid w:val="00943139"/>
    <w:rsid w:val="0094370E"/>
    <w:rsid w:val="00943806"/>
    <w:rsid w:val="00943C1E"/>
    <w:rsid w:val="00943D5D"/>
    <w:rsid w:val="009458FD"/>
    <w:rsid w:val="00946023"/>
    <w:rsid w:val="00946351"/>
    <w:rsid w:val="00947105"/>
    <w:rsid w:val="009475A2"/>
    <w:rsid w:val="00947AAC"/>
    <w:rsid w:val="0095011D"/>
    <w:rsid w:val="00950475"/>
    <w:rsid w:val="00950509"/>
    <w:rsid w:val="00950A29"/>
    <w:rsid w:val="00950A61"/>
    <w:rsid w:val="00950AFB"/>
    <w:rsid w:val="00950BA3"/>
    <w:rsid w:val="009517CC"/>
    <w:rsid w:val="0095181E"/>
    <w:rsid w:val="00951940"/>
    <w:rsid w:val="00951997"/>
    <w:rsid w:val="00951AD1"/>
    <w:rsid w:val="0095364F"/>
    <w:rsid w:val="00955717"/>
    <w:rsid w:val="009557AB"/>
    <w:rsid w:val="00955E2F"/>
    <w:rsid w:val="00956483"/>
    <w:rsid w:val="00956C1D"/>
    <w:rsid w:val="00956DB8"/>
    <w:rsid w:val="00957197"/>
    <w:rsid w:val="00957762"/>
    <w:rsid w:val="00957BD9"/>
    <w:rsid w:val="00960406"/>
    <w:rsid w:val="00960B95"/>
    <w:rsid w:val="00961369"/>
    <w:rsid w:val="00961385"/>
    <w:rsid w:val="009615D4"/>
    <w:rsid w:val="009616FD"/>
    <w:rsid w:val="00961821"/>
    <w:rsid w:val="00961983"/>
    <w:rsid w:val="00961A6F"/>
    <w:rsid w:val="00961FEE"/>
    <w:rsid w:val="00962826"/>
    <w:rsid w:val="00962905"/>
    <w:rsid w:val="00963196"/>
    <w:rsid w:val="009633ED"/>
    <w:rsid w:val="009636C2"/>
    <w:rsid w:val="00963AAE"/>
    <w:rsid w:val="0096458A"/>
    <w:rsid w:val="00964636"/>
    <w:rsid w:val="00964EC4"/>
    <w:rsid w:val="00964F16"/>
    <w:rsid w:val="009651E2"/>
    <w:rsid w:val="0096532B"/>
    <w:rsid w:val="0096604F"/>
    <w:rsid w:val="009666F3"/>
    <w:rsid w:val="00966DC7"/>
    <w:rsid w:val="00967171"/>
    <w:rsid w:val="009676F2"/>
    <w:rsid w:val="00967BC1"/>
    <w:rsid w:val="009701A9"/>
    <w:rsid w:val="00970924"/>
    <w:rsid w:val="00970A20"/>
    <w:rsid w:val="00970C90"/>
    <w:rsid w:val="00971101"/>
    <w:rsid w:val="0097117C"/>
    <w:rsid w:val="0097163D"/>
    <w:rsid w:val="00971700"/>
    <w:rsid w:val="009721F8"/>
    <w:rsid w:val="0097237D"/>
    <w:rsid w:val="0097238A"/>
    <w:rsid w:val="00972BBA"/>
    <w:rsid w:val="00972EC4"/>
    <w:rsid w:val="00972EDD"/>
    <w:rsid w:val="009739F7"/>
    <w:rsid w:val="00974677"/>
    <w:rsid w:val="00976023"/>
    <w:rsid w:val="009766E1"/>
    <w:rsid w:val="009801ED"/>
    <w:rsid w:val="0098036E"/>
    <w:rsid w:val="009803EF"/>
    <w:rsid w:val="00980461"/>
    <w:rsid w:val="00980A15"/>
    <w:rsid w:val="0098106C"/>
    <w:rsid w:val="0098119B"/>
    <w:rsid w:val="0098179F"/>
    <w:rsid w:val="00981D4E"/>
    <w:rsid w:val="00981DEE"/>
    <w:rsid w:val="009820E2"/>
    <w:rsid w:val="00982791"/>
    <w:rsid w:val="009827D8"/>
    <w:rsid w:val="0098351F"/>
    <w:rsid w:val="00983EEE"/>
    <w:rsid w:val="00983FE5"/>
    <w:rsid w:val="0098413E"/>
    <w:rsid w:val="00984685"/>
    <w:rsid w:val="00984AA2"/>
    <w:rsid w:val="00984DD1"/>
    <w:rsid w:val="00985196"/>
    <w:rsid w:val="00985560"/>
    <w:rsid w:val="00985985"/>
    <w:rsid w:val="009864AF"/>
    <w:rsid w:val="00986875"/>
    <w:rsid w:val="00986AB1"/>
    <w:rsid w:val="00986B02"/>
    <w:rsid w:val="00987AEF"/>
    <w:rsid w:val="00987B25"/>
    <w:rsid w:val="00987C3C"/>
    <w:rsid w:val="009901F4"/>
    <w:rsid w:val="00990DBC"/>
    <w:rsid w:val="009912DD"/>
    <w:rsid w:val="00991D65"/>
    <w:rsid w:val="00992230"/>
    <w:rsid w:val="00992496"/>
    <w:rsid w:val="00994A36"/>
    <w:rsid w:val="00995CC1"/>
    <w:rsid w:val="00995D27"/>
    <w:rsid w:val="0099619D"/>
    <w:rsid w:val="009962D2"/>
    <w:rsid w:val="009964A0"/>
    <w:rsid w:val="00996814"/>
    <w:rsid w:val="009969C3"/>
    <w:rsid w:val="00997645"/>
    <w:rsid w:val="00997A12"/>
    <w:rsid w:val="009A0025"/>
    <w:rsid w:val="009A023C"/>
    <w:rsid w:val="009A03D5"/>
    <w:rsid w:val="009A1BC4"/>
    <w:rsid w:val="009A20BA"/>
    <w:rsid w:val="009A2672"/>
    <w:rsid w:val="009A26D8"/>
    <w:rsid w:val="009A2B4D"/>
    <w:rsid w:val="009A2E8C"/>
    <w:rsid w:val="009A2F17"/>
    <w:rsid w:val="009A3438"/>
    <w:rsid w:val="009A38E0"/>
    <w:rsid w:val="009A3C2B"/>
    <w:rsid w:val="009A3F2F"/>
    <w:rsid w:val="009A4030"/>
    <w:rsid w:val="009A490E"/>
    <w:rsid w:val="009A4969"/>
    <w:rsid w:val="009A4FF2"/>
    <w:rsid w:val="009A5305"/>
    <w:rsid w:val="009A57BE"/>
    <w:rsid w:val="009A5842"/>
    <w:rsid w:val="009A586D"/>
    <w:rsid w:val="009A5A33"/>
    <w:rsid w:val="009A5A8C"/>
    <w:rsid w:val="009A68C2"/>
    <w:rsid w:val="009A7370"/>
    <w:rsid w:val="009A7DEF"/>
    <w:rsid w:val="009B062A"/>
    <w:rsid w:val="009B08E7"/>
    <w:rsid w:val="009B0CF7"/>
    <w:rsid w:val="009B1332"/>
    <w:rsid w:val="009B1DA2"/>
    <w:rsid w:val="009B2C6B"/>
    <w:rsid w:val="009B32E3"/>
    <w:rsid w:val="009B335A"/>
    <w:rsid w:val="009B3C93"/>
    <w:rsid w:val="009B46E9"/>
    <w:rsid w:val="009B4CDA"/>
    <w:rsid w:val="009B535F"/>
    <w:rsid w:val="009B5362"/>
    <w:rsid w:val="009B57B2"/>
    <w:rsid w:val="009B5C15"/>
    <w:rsid w:val="009B5C2E"/>
    <w:rsid w:val="009B5E44"/>
    <w:rsid w:val="009B6097"/>
    <w:rsid w:val="009B6214"/>
    <w:rsid w:val="009B63FE"/>
    <w:rsid w:val="009B66F4"/>
    <w:rsid w:val="009B6ED5"/>
    <w:rsid w:val="009B7039"/>
    <w:rsid w:val="009B70DD"/>
    <w:rsid w:val="009B7E05"/>
    <w:rsid w:val="009B7F0D"/>
    <w:rsid w:val="009C0002"/>
    <w:rsid w:val="009C0413"/>
    <w:rsid w:val="009C046A"/>
    <w:rsid w:val="009C0752"/>
    <w:rsid w:val="009C12AB"/>
    <w:rsid w:val="009C1734"/>
    <w:rsid w:val="009C17A7"/>
    <w:rsid w:val="009C18EC"/>
    <w:rsid w:val="009C2273"/>
    <w:rsid w:val="009C2349"/>
    <w:rsid w:val="009C2529"/>
    <w:rsid w:val="009C2546"/>
    <w:rsid w:val="009C39FE"/>
    <w:rsid w:val="009C4343"/>
    <w:rsid w:val="009C45CB"/>
    <w:rsid w:val="009C6075"/>
    <w:rsid w:val="009C6DE4"/>
    <w:rsid w:val="009C718F"/>
    <w:rsid w:val="009C7365"/>
    <w:rsid w:val="009C75F6"/>
    <w:rsid w:val="009D0076"/>
    <w:rsid w:val="009D03DC"/>
    <w:rsid w:val="009D1072"/>
    <w:rsid w:val="009D1170"/>
    <w:rsid w:val="009D24F5"/>
    <w:rsid w:val="009D29D3"/>
    <w:rsid w:val="009D2DC9"/>
    <w:rsid w:val="009D2F40"/>
    <w:rsid w:val="009D31DA"/>
    <w:rsid w:val="009D32C8"/>
    <w:rsid w:val="009D4B88"/>
    <w:rsid w:val="009D4D3C"/>
    <w:rsid w:val="009D54DD"/>
    <w:rsid w:val="009D5A5E"/>
    <w:rsid w:val="009D6189"/>
    <w:rsid w:val="009D6A67"/>
    <w:rsid w:val="009E00B4"/>
    <w:rsid w:val="009E09D9"/>
    <w:rsid w:val="009E122A"/>
    <w:rsid w:val="009E19A3"/>
    <w:rsid w:val="009E2BF5"/>
    <w:rsid w:val="009E37ED"/>
    <w:rsid w:val="009E43ED"/>
    <w:rsid w:val="009E4DC0"/>
    <w:rsid w:val="009E4F40"/>
    <w:rsid w:val="009E5305"/>
    <w:rsid w:val="009E53D9"/>
    <w:rsid w:val="009E5496"/>
    <w:rsid w:val="009E61A8"/>
    <w:rsid w:val="009E6887"/>
    <w:rsid w:val="009E6D8A"/>
    <w:rsid w:val="009E7584"/>
    <w:rsid w:val="009E78C7"/>
    <w:rsid w:val="009F0693"/>
    <w:rsid w:val="009F088C"/>
    <w:rsid w:val="009F0AE3"/>
    <w:rsid w:val="009F1337"/>
    <w:rsid w:val="009F13D9"/>
    <w:rsid w:val="009F2203"/>
    <w:rsid w:val="009F25AF"/>
    <w:rsid w:val="009F270E"/>
    <w:rsid w:val="009F274F"/>
    <w:rsid w:val="009F2AD3"/>
    <w:rsid w:val="009F2BD6"/>
    <w:rsid w:val="009F2C93"/>
    <w:rsid w:val="009F3033"/>
    <w:rsid w:val="009F307B"/>
    <w:rsid w:val="009F338B"/>
    <w:rsid w:val="009F3BCD"/>
    <w:rsid w:val="009F3C80"/>
    <w:rsid w:val="009F4795"/>
    <w:rsid w:val="009F4B49"/>
    <w:rsid w:val="009F4E1B"/>
    <w:rsid w:val="009F4FF2"/>
    <w:rsid w:val="009F5883"/>
    <w:rsid w:val="009F5E15"/>
    <w:rsid w:val="009F62B0"/>
    <w:rsid w:val="009F7446"/>
    <w:rsid w:val="009F759C"/>
    <w:rsid w:val="00A00614"/>
    <w:rsid w:val="00A007F7"/>
    <w:rsid w:val="00A00D11"/>
    <w:rsid w:val="00A00F0D"/>
    <w:rsid w:val="00A0137D"/>
    <w:rsid w:val="00A01652"/>
    <w:rsid w:val="00A01729"/>
    <w:rsid w:val="00A01A92"/>
    <w:rsid w:val="00A01ADF"/>
    <w:rsid w:val="00A01B21"/>
    <w:rsid w:val="00A01C86"/>
    <w:rsid w:val="00A02CE7"/>
    <w:rsid w:val="00A03676"/>
    <w:rsid w:val="00A043B7"/>
    <w:rsid w:val="00A043F3"/>
    <w:rsid w:val="00A04DE4"/>
    <w:rsid w:val="00A05576"/>
    <w:rsid w:val="00A05CC9"/>
    <w:rsid w:val="00A05EA1"/>
    <w:rsid w:val="00A06221"/>
    <w:rsid w:val="00A06806"/>
    <w:rsid w:val="00A06CAE"/>
    <w:rsid w:val="00A07206"/>
    <w:rsid w:val="00A0741D"/>
    <w:rsid w:val="00A0757A"/>
    <w:rsid w:val="00A07C7D"/>
    <w:rsid w:val="00A07D03"/>
    <w:rsid w:val="00A103C6"/>
    <w:rsid w:val="00A1150D"/>
    <w:rsid w:val="00A115B9"/>
    <w:rsid w:val="00A128B7"/>
    <w:rsid w:val="00A135D7"/>
    <w:rsid w:val="00A13664"/>
    <w:rsid w:val="00A147BC"/>
    <w:rsid w:val="00A14E38"/>
    <w:rsid w:val="00A15028"/>
    <w:rsid w:val="00A15AAA"/>
    <w:rsid w:val="00A15B8E"/>
    <w:rsid w:val="00A16B27"/>
    <w:rsid w:val="00A17277"/>
    <w:rsid w:val="00A177C1"/>
    <w:rsid w:val="00A17F6A"/>
    <w:rsid w:val="00A206E4"/>
    <w:rsid w:val="00A20AC5"/>
    <w:rsid w:val="00A22CF9"/>
    <w:rsid w:val="00A23480"/>
    <w:rsid w:val="00A2351B"/>
    <w:rsid w:val="00A24302"/>
    <w:rsid w:val="00A2518C"/>
    <w:rsid w:val="00A257EF"/>
    <w:rsid w:val="00A25B47"/>
    <w:rsid w:val="00A25B7F"/>
    <w:rsid w:val="00A260F9"/>
    <w:rsid w:val="00A26604"/>
    <w:rsid w:val="00A266E1"/>
    <w:rsid w:val="00A311BE"/>
    <w:rsid w:val="00A31343"/>
    <w:rsid w:val="00A31554"/>
    <w:rsid w:val="00A316D1"/>
    <w:rsid w:val="00A31E50"/>
    <w:rsid w:val="00A32694"/>
    <w:rsid w:val="00A32C79"/>
    <w:rsid w:val="00A331D6"/>
    <w:rsid w:val="00A3327F"/>
    <w:rsid w:val="00A333D8"/>
    <w:rsid w:val="00A3416F"/>
    <w:rsid w:val="00A34236"/>
    <w:rsid w:val="00A343F2"/>
    <w:rsid w:val="00A34E16"/>
    <w:rsid w:val="00A3522D"/>
    <w:rsid w:val="00A35572"/>
    <w:rsid w:val="00A355E3"/>
    <w:rsid w:val="00A35F88"/>
    <w:rsid w:val="00A36164"/>
    <w:rsid w:val="00A369D1"/>
    <w:rsid w:val="00A36E46"/>
    <w:rsid w:val="00A36E67"/>
    <w:rsid w:val="00A36FF6"/>
    <w:rsid w:val="00A3700E"/>
    <w:rsid w:val="00A378FF"/>
    <w:rsid w:val="00A37CCB"/>
    <w:rsid w:val="00A4033A"/>
    <w:rsid w:val="00A403CA"/>
    <w:rsid w:val="00A4059C"/>
    <w:rsid w:val="00A4071C"/>
    <w:rsid w:val="00A41508"/>
    <w:rsid w:val="00A41543"/>
    <w:rsid w:val="00A416AD"/>
    <w:rsid w:val="00A4235D"/>
    <w:rsid w:val="00A423C4"/>
    <w:rsid w:val="00A4280C"/>
    <w:rsid w:val="00A42A7D"/>
    <w:rsid w:val="00A42F40"/>
    <w:rsid w:val="00A42F63"/>
    <w:rsid w:val="00A43D41"/>
    <w:rsid w:val="00A43D62"/>
    <w:rsid w:val="00A4461D"/>
    <w:rsid w:val="00A44D02"/>
    <w:rsid w:val="00A454EA"/>
    <w:rsid w:val="00A4579D"/>
    <w:rsid w:val="00A4636D"/>
    <w:rsid w:val="00A46462"/>
    <w:rsid w:val="00A46594"/>
    <w:rsid w:val="00A4671B"/>
    <w:rsid w:val="00A46C76"/>
    <w:rsid w:val="00A471AE"/>
    <w:rsid w:val="00A47825"/>
    <w:rsid w:val="00A47880"/>
    <w:rsid w:val="00A5032B"/>
    <w:rsid w:val="00A50CD9"/>
    <w:rsid w:val="00A51253"/>
    <w:rsid w:val="00A51374"/>
    <w:rsid w:val="00A5137C"/>
    <w:rsid w:val="00A52F05"/>
    <w:rsid w:val="00A538D3"/>
    <w:rsid w:val="00A5390E"/>
    <w:rsid w:val="00A53DE7"/>
    <w:rsid w:val="00A53EAB"/>
    <w:rsid w:val="00A53FC2"/>
    <w:rsid w:val="00A5425F"/>
    <w:rsid w:val="00A55177"/>
    <w:rsid w:val="00A5529A"/>
    <w:rsid w:val="00A55B39"/>
    <w:rsid w:val="00A56245"/>
    <w:rsid w:val="00A562D7"/>
    <w:rsid w:val="00A56B8C"/>
    <w:rsid w:val="00A56F7B"/>
    <w:rsid w:val="00A5703F"/>
    <w:rsid w:val="00A57DB0"/>
    <w:rsid w:val="00A60382"/>
    <w:rsid w:val="00A605D6"/>
    <w:rsid w:val="00A60EBC"/>
    <w:rsid w:val="00A610B3"/>
    <w:rsid w:val="00A6151D"/>
    <w:rsid w:val="00A62214"/>
    <w:rsid w:val="00A62826"/>
    <w:rsid w:val="00A62923"/>
    <w:rsid w:val="00A62ED3"/>
    <w:rsid w:val="00A633BC"/>
    <w:rsid w:val="00A63499"/>
    <w:rsid w:val="00A63636"/>
    <w:rsid w:val="00A63B09"/>
    <w:rsid w:val="00A63C59"/>
    <w:rsid w:val="00A63FD4"/>
    <w:rsid w:val="00A645B0"/>
    <w:rsid w:val="00A64B8C"/>
    <w:rsid w:val="00A64C6F"/>
    <w:rsid w:val="00A64DB8"/>
    <w:rsid w:val="00A64DEA"/>
    <w:rsid w:val="00A64E75"/>
    <w:rsid w:val="00A65DCB"/>
    <w:rsid w:val="00A66128"/>
    <w:rsid w:val="00A662E5"/>
    <w:rsid w:val="00A668D5"/>
    <w:rsid w:val="00A66CAE"/>
    <w:rsid w:val="00A67657"/>
    <w:rsid w:val="00A678A4"/>
    <w:rsid w:val="00A70188"/>
    <w:rsid w:val="00A7050B"/>
    <w:rsid w:val="00A7259E"/>
    <w:rsid w:val="00A72BDF"/>
    <w:rsid w:val="00A73966"/>
    <w:rsid w:val="00A73E59"/>
    <w:rsid w:val="00A7409E"/>
    <w:rsid w:val="00A74428"/>
    <w:rsid w:val="00A74E2C"/>
    <w:rsid w:val="00A75664"/>
    <w:rsid w:val="00A75B26"/>
    <w:rsid w:val="00A75DCB"/>
    <w:rsid w:val="00A75E48"/>
    <w:rsid w:val="00A76351"/>
    <w:rsid w:val="00A7663F"/>
    <w:rsid w:val="00A769E9"/>
    <w:rsid w:val="00A80126"/>
    <w:rsid w:val="00A8029F"/>
    <w:rsid w:val="00A814EC"/>
    <w:rsid w:val="00A8183A"/>
    <w:rsid w:val="00A81BC8"/>
    <w:rsid w:val="00A824DF"/>
    <w:rsid w:val="00A82736"/>
    <w:rsid w:val="00A83026"/>
    <w:rsid w:val="00A83D6E"/>
    <w:rsid w:val="00A83DB1"/>
    <w:rsid w:val="00A85A84"/>
    <w:rsid w:val="00A85B53"/>
    <w:rsid w:val="00A85D0A"/>
    <w:rsid w:val="00A86051"/>
    <w:rsid w:val="00A8625F"/>
    <w:rsid w:val="00A863E6"/>
    <w:rsid w:val="00A86DF1"/>
    <w:rsid w:val="00A8742B"/>
    <w:rsid w:val="00A87AB4"/>
    <w:rsid w:val="00A87CC1"/>
    <w:rsid w:val="00A87FB6"/>
    <w:rsid w:val="00A90151"/>
    <w:rsid w:val="00A90256"/>
    <w:rsid w:val="00A90A71"/>
    <w:rsid w:val="00A90D5E"/>
    <w:rsid w:val="00A91551"/>
    <w:rsid w:val="00A91CDD"/>
    <w:rsid w:val="00A92A91"/>
    <w:rsid w:val="00A931C3"/>
    <w:rsid w:val="00A9359B"/>
    <w:rsid w:val="00A935BD"/>
    <w:rsid w:val="00A943DA"/>
    <w:rsid w:val="00A95133"/>
    <w:rsid w:val="00A95421"/>
    <w:rsid w:val="00A9545C"/>
    <w:rsid w:val="00A9572B"/>
    <w:rsid w:val="00A95B14"/>
    <w:rsid w:val="00A95EC4"/>
    <w:rsid w:val="00A96640"/>
    <w:rsid w:val="00A96760"/>
    <w:rsid w:val="00A96DC6"/>
    <w:rsid w:val="00A970A6"/>
    <w:rsid w:val="00A9749F"/>
    <w:rsid w:val="00A97632"/>
    <w:rsid w:val="00A97807"/>
    <w:rsid w:val="00AA0341"/>
    <w:rsid w:val="00AA03D6"/>
    <w:rsid w:val="00AA0AF4"/>
    <w:rsid w:val="00AA163B"/>
    <w:rsid w:val="00AA1BE2"/>
    <w:rsid w:val="00AA2E7D"/>
    <w:rsid w:val="00AA2F52"/>
    <w:rsid w:val="00AA34A1"/>
    <w:rsid w:val="00AA3569"/>
    <w:rsid w:val="00AA38DA"/>
    <w:rsid w:val="00AA3AAF"/>
    <w:rsid w:val="00AA3BDA"/>
    <w:rsid w:val="00AA3D63"/>
    <w:rsid w:val="00AA3F5A"/>
    <w:rsid w:val="00AA3F5E"/>
    <w:rsid w:val="00AA4208"/>
    <w:rsid w:val="00AA44AF"/>
    <w:rsid w:val="00AA45E1"/>
    <w:rsid w:val="00AA4810"/>
    <w:rsid w:val="00AA4CD9"/>
    <w:rsid w:val="00AA5423"/>
    <w:rsid w:val="00AA5967"/>
    <w:rsid w:val="00AA5F93"/>
    <w:rsid w:val="00AA6050"/>
    <w:rsid w:val="00AA61DB"/>
    <w:rsid w:val="00AA6490"/>
    <w:rsid w:val="00AA73D2"/>
    <w:rsid w:val="00AA76E5"/>
    <w:rsid w:val="00AA7909"/>
    <w:rsid w:val="00AB080E"/>
    <w:rsid w:val="00AB10F4"/>
    <w:rsid w:val="00AB116C"/>
    <w:rsid w:val="00AB15FA"/>
    <w:rsid w:val="00AB1FB3"/>
    <w:rsid w:val="00AB2D17"/>
    <w:rsid w:val="00AB34AD"/>
    <w:rsid w:val="00AB3F9B"/>
    <w:rsid w:val="00AB45A4"/>
    <w:rsid w:val="00AB46E2"/>
    <w:rsid w:val="00AB48E2"/>
    <w:rsid w:val="00AB4DDF"/>
    <w:rsid w:val="00AB4E77"/>
    <w:rsid w:val="00AB585B"/>
    <w:rsid w:val="00AB5CC3"/>
    <w:rsid w:val="00AB5EC1"/>
    <w:rsid w:val="00AB6154"/>
    <w:rsid w:val="00AB61DD"/>
    <w:rsid w:val="00AB647F"/>
    <w:rsid w:val="00AB70D1"/>
    <w:rsid w:val="00AB71A0"/>
    <w:rsid w:val="00AB73E8"/>
    <w:rsid w:val="00AB7CD9"/>
    <w:rsid w:val="00AB7F21"/>
    <w:rsid w:val="00AC034E"/>
    <w:rsid w:val="00AC038B"/>
    <w:rsid w:val="00AC0694"/>
    <w:rsid w:val="00AC17E9"/>
    <w:rsid w:val="00AC1C82"/>
    <w:rsid w:val="00AC1E4D"/>
    <w:rsid w:val="00AC2313"/>
    <w:rsid w:val="00AC28CC"/>
    <w:rsid w:val="00AC2DEA"/>
    <w:rsid w:val="00AC31EA"/>
    <w:rsid w:val="00AC336C"/>
    <w:rsid w:val="00AC39B3"/>
    <w:rsid w:val="00AC48D9"/>
    <w:rsid w:val="00AC4F7C"/>
    <w:rsid w:val="00AC514A"/>
    <w:rsid w:val="00AC528D"/>
    <w:rsid w:val="00AC53B9"/>
    <w:rsid w:val="00AC5497"/>
    <w:rsid w:val="00AC587D"/>
    <w:rsid w:val="00AC5EAC"/>
    <w:rsid w:val="00AC65E3"/>
    <w:rsid w:val="00AD0752"/>
    <w:rsid w:val="00AD0912"/>
    <w:rsid w:val="00AD1827"/>
    <w:rsid w:val="00AD1AA2"/>
    <w:rsid w:val="00AD1E78"/>
    <w:rsid w:val="00AD277F"/>
    <w:rsid w:val="00AD2791"/>
    <w:rsid w:val="00AD2ACE"/>
    <w:rsid w:val="00AD2F5E"/>
    <w:rsid w:val="00AD381B"/>
    <w:rsid w:val="00AD45DF"/>
    <w:rsid w:val="00AD58D9"/>
    <w:rsid w:val="00AD59B3"/>
    <w:rsid w:val="00AD5AFD"/>
    <w:rsid w:val="00AD69D1"/>
    <w:rsid w:val="00AD6B34"/>
    <w:rsid w:val="00AD6B4F"/>
    <w:rsid w:val="00AD7169"/>
    <w:rsid w:val="00AD762F"/>
    <w:rsid w:val="00AD7692"/>
    <w:rsid w:val="00AD7A30"/>
    <w:rsid w:val="00AD7CE4"/>
    <w:rsid w:val="00AE06BC"/>
    <w:rsid w:val="00AE06EF"/>
    <w:rsid w:val="00AE0A0E"/>
    <w:rsid w:val="00AE0F08"/>
    <w:rsid w:val="00AE25FD"/>
    <w:rsid w:val="00AE2638"/>
    <w:rsid w:val="00AE2706"/>
    <w:rsid w:val="00AE278A"/>
    <w:rsid w:val="00AE28D4"/>
    <w:rsid w:val="00AE29AA"/>
    <w:rsid w:val="00AE32DE"/>
    <w:rsid w:val="00AE35CD"/>
    <w:rsid w:val="00AE487D"/>
    <w:rsid w:val="00AE528A"/>
    <w:rsid w:val="00AE581B"/>
    <w:rsid w:val="00AE590B"/>
    <w:rsid w:val="00AE5991"/>
    <w:rsid w:val="00AE62B7"/>
    <w:rsid w:val="00AE6388"/>
    <w:rsid w:val="00AE6A2A"/>
    <w:rsid w:val="00AE6F3E"/>
    <w:rsid w:val="00AE75FB"/>
    <w:rsid w:val="00AF0689"/>
    <w:rsid w:val="00AF1A87"/>
    <w:rsid w:val="00AF1FC1"/>
    <w:rsid w:val="00AF20F3"/>
    <w:rsid w:val="00AF23C0"/>
    <w:rsid w:val="00AF28A2"/>
    <w:rsid w:val="00AF3033"/>
    <w:rsid w:val="00AF33AD"/>
    <w:rsid w:val="00AF3524"/>
    <w:rsid w:val="00AF398B"/>
    <w:rsid w:val="00AF39B7"/>
    <w:rsid w:val="00AF3BD9"/>
    <w:rsid w:val="00AF421A"/>
    <w:rsid w:val="00AF437C"/>
    <w:rsid w:val="00AF479F"/>
    <w:rsid w:val="00AF498B"/>
    <w:rsid w:val="00AF4B9C"/>
    <w:rsid w:val="00AF53F8"/>
    <w:rsid w:val="00AF643E"/>
    <w:rsid w:val="00AF66DA"/>
    <w:rsid w:val="00AF6E32"/>
    <w:rsid w:val="00AF7254"/>
    <w:rsid w:val="00AF7572"/>
    <w:rsid w:val="00AF75C6"/>
    <w:rsid w:val="00B0031C"/>
    <w:rsid w:val="00B00C99"/>
    <w:rsid w:val="00B010DC"/>
    <w:rsid w:val="00B01493"/>
    <w:rsid w:val="00B01568"/>
    <w:rsid w:val="00B016A8"/>
    <w:rsid w:val="00B01ACB"/>
    <w:rsid w:val="00B01C73"/>
    <w:rsid w:val="00B01CF6"/>
    <w:rsid w:val="00B02BA8"/>
    <w:rsid w:val="00B03033"/>
    <w:rsid w:val="00B035B3"/>
    <w:rsid w:val="00B036AA"/>
    <w:rsid w:val="00B03D05"/>
    <w:rsid w:val="00B043C4"/>
    <w:rsid w:val="00B044BC"/>
    <w:rsid w:val="00B04F60"/>
    <w:rsid w:val="00B061E9"/>
    <w:rsid w:val="00B0683D"/>
    <w:rsid w:val="00B0689B"/>
    <w:rsid w:val="00B0701A"/>
    <w:rsid w:val="00B07629"/>
    <w:rsid w:val="00B10499"/>
    <w:rsid w:val="00B10671"/>
    <w:rsid w:val="00B10A18"/>
    <w:rsid w:val="00B11F80"/>
    <w:rsid w:val="00B12076"/>
    <w:rsid w:val="00B120B1"/>
    <w:rsid w:val="00B127C2"/>
    <w:rsid w:val="00B12C84"/>
    <w:rsid w:val="00B13A8C"/>
    <w:rsid w:val="00B13AC0"/>
    <w:rsid w:val="00B13BBF"/>
    <w:rsid w:val="00B154BF"/>
    <w:rsid w:val="00B159FC"/>
    <w:rsid w:val="00B15CF2"/>
    <w:rsid w:val="00B16133"/>
    <w:rsid w:val="00B1676A"/>
    <w:rsid w:val="00B16E7B"/>
    <w:rsid w:val="00B16FFF"/>
    <w:rsid w:val="00B1743B"/>
    <w:rsid w:val="00B2029A"/>
    <w:rsid w:val="00B20D9C"/>
    <w:rsid w:val="00B20DFF"/>
    <w:rsid w:val="00B20E79"/>
    <w:rsid w:val="00B2207E"/>
    <w:rsid w:val="00B22176"/>
    <w:rsid w:val="00B22F53"/>
    <w:rsid w:val="00B23258"/>
    <w:rsid w:val="00B235BE"/>
    <w:rsid w:val="00B23603"/>
    <w:rsid w:val="00B23633"/>
    <w:rsid w:val="00B24CE5"/>
    <w:rsid w:val="00B24FE8"/>
    <w:rsid w:val="00B25064"/>
    <w:rsid w:val="00B259CD"/>
    <w:rsid w:val="00B25D93"/>
    <w:rsid w:val="00B25FB6"/>
    <w:rsid w:val="00B26101"/>
    <w:rsid w:val="00B26124"/>
    <w:rsid w:val="00B263D7"/>
    <w:rsid w:val="00B26A30"/>
    <w:rsid w:val="00B26B6A"/>
    <w:rsid w:val="00B27043"/>
    <w:rsid w:val="00B273C8"/>
    <w:rsid w:val="00B302FA"/>
    <w:rsid w:val="00B30836"/>
    <w:rsid w:val="00B31DEA"/>
    <w:rsid w:val="00B32046"/>
    <w:rsid w:val="00B32219"/>
    <w:rsid w:val="00B3276D"/>
    <w:rsid w:val="00B32D6C"/>
    <w:rsid w:val="00B339DF"/>
    <w:rsid w:val="00B34048"/>
    <w:rsid w:val="00B3407F"/>
    <w:rsid w:val="00B344C6"/>
    <w:rsid w:val="00B34551"/>
    <w:rsid w:val="00B35CE9"/>
    <w:rsid w:val="00B35DBE"/>
    <w:rsid w:val="00B3690E"/>
    <w:rsid w:val="00B36A89"/>
    <w:rsid w:val="00B3749D"/>
    <w:rsid w:val="00B40F74"/>
    <w:rsid w:val="00B41350"/>
    <w:rsid w:val="00B415CF"/>
    <w:rsid w:val="00B43B97"/>
    <w:rsid w:val="00B4402E"/>
    <w:rsid w:val="00B443CC"/>
    <w:rsid w:val="00B44770"/>
    <w:rsid w:val="00B4547B"/>
    <w:rsid w:val="00B4558D"/>
    <w:rsid w:val="00B46E12"/>
    <w:rsid w:val="00B46E67"/>
    <w:rsid w:val="00B4733B"/>
    <w:rsid w:val="00B501D3"/>
    <w:rsid w:val="00B5051E"/>
    <w:rsid w:val="00B50E80"/>
    <w:rsid w:val="00B513D7"/>
    <w:rsid w:val="00B51415"/>
    <w:rsid w:val="00B53362"/>
    <w:rsid w:val="00B53496"/>
    <w:rsid w:val="00B541D5"/>
    <w:rsid w:val="00B54C2D"/>
    <w:rsid w:val="00B54C79"/>
    <w:rsid w:val="00B55024"/>
    <w:rsid w:val="00B5593C"/>
    <w:rsid w:val="00B5666E"/>
    <w:rsid w:val="00B56FFC"/>
    <w:rsid w:val="00B57061"/>
    <w:rsid w:val="00B5755D"/>
    <w:rsid w:val="00B57A7B"/>
    <w:rsid w:val="00B57E1F"/>
    <w:rsid w:val="00B60290"/>
    <w:rsid w:val="00B609DE"/>
    <w:rsid w:val="00B61425"/>
    <w:rsid w:val="00B616AD"/>
    <w:rsid w:val="00B61831"/>
    <w:rsid w:val="00B61A92"/>
    <w:rsid w:val="00B623CA"/>
    <w:rsid w:val="00B626A9"/>
    <w:rsid w:val="00B62D32"/>
    <w:rsid w:val="00B6307E"/>
    <w:rsid w:val="00B63170"/>
    <w:rsid w:val="00B63833"/>
    <w:rsid w:val="00B6429A"/>
    <w:rsid w:val="00B643EA"/>
    <w:rsid w:val="00B64473"/>
    <w:rsid w:val="00B647D2"/>
    <w:rsid w:val="00B65296"/>
    <w:rsid w:val="00B6574B"/>
    <w:rsid w:val="00B65B91"/>
    <w:rsid w:val="00B65DAA"/>
    <w:rsid w:val="00B66180"/>
    <w:rsid w:val="00B668EE"/>
    <w:rsid w:val="00B66A59"/>
    <w:rsid w:val="00B66B2F"/>
    <w:rsid w:val="00B66B89"/>
    <w:rsid w:val="00B673C9"/>
    <w:rsid w:val="00B6742B"/>
    <w:rsid w:val="00B67AFB"/>
    <w:rsid w:val="00B67C04"/>
    <w:rsid w:val="00B67D6E"/>
    <w:rsid w:val="00B67FD3"/>
    <w:rsid w:val="00B70545"/>
    <w:rsid w:val="00B70AB3"/>
    <w:rsid w:val="00B70E12"/>
    <w:rsid w:val="00B716DA"/>
    <w:rsid w:val="00B71EEA"/>
    <w:rsid w:val="00B720EC"/>
    <w:rsid w:val="00B7220A"/>
    <w:rsid w:val="00B72640"/>
    <w:rsid w:val="00B72D0C"/>
    <w:rsid w:val="00B72EA8"/>
    <w:rsid w:val="00B7340D"/>
    <w:rsid w:val="00B734CC"/>
    <w:rsid w:val="00B73747"/>
    <w:rsid w:val="00B745C5"/>
    <w:rsid w:val="00B74F1A"/>
    <w:rsid w:val="00B74F7F"/>
    <w:rsid w:val="00B75B08"/>
    <w:rsid w:val="00B7648F"/>
    <w:rsid w:val="00B7663C"/>
    <w:rsid w:val="00B76F69"/>
    <w:rsid w:val="00B771CB"/>
    <w:rsid w:val="00B772E6"/>
    <w:rsid w:val="00B77814"/>
    <w:rsid w:val="00B804DF"/>
    <w:rsid w:val="00B80582"/>
    <w:rsid w:val="00B81071"/>
    <w:rsid w:val="00B81287"/>
    <w:rsid w:val="00B820A2"/>
    <w:rsid w:val="00B8225A"/>
    <w:rsid w:val="00B831E5"/>
    <w:rsid w:val="00B83624"/>
    <w:rsid w:val="00B84832"/>
    <w:rsid w:val="00B84869"/>
    <w:rsid w:val="00B84953"/>
    <w:rsid w:val="00B84D21"/>
    <w:rsid w:val="00B84DE9"/>
    <w:rsid w:val="00B86607"/>
    <w:rsid w:val="00B8778F"/>
    <w:rsid w:val="00B87859"/>
    <w:rsid w:val="00B87A5D"/>
    <w:rsid w:val="00B87C43"/>
    <w:rsid w:val="00B87FBF"/>
    <w:rsid w:val="00B905E6"/>
    <w:rsid w:val="00B9071C"/>
    <w:rsid w:val="00B908E6"/>
    <w:rsid w:val="00B910F9"/>
    <w:rsid w:val="00B917B2"/>
    <w:rsid w:val="00B91991"/>
    <w:rsid w:val="00B91C0E"/>
    <w:rsid w:val="00B91D47"/>
    <w:rsid w:val="00B91EF4"/>
    <w:rsid w:val="00B92A6B"/>
    <w:rsid w:val="00B92D67"/>
    <w:rsid w:val="00B931B9"/>
    <w:rsid w:val="00B932EB"/>
    <w:rsid w:val="00B93C87"/>
    <w:rsid w:val="00B93FE9"/>
    <w:rsid w:val="00B949C0"/>
    <w:rsid w:val="00B94DD0"/>
    <w:rsid w:val="00B94F2F"/>
    <w:rsid w:val="00B951A7"/>
    <w:rsid w:val="00B95334"/>
    <w:rsid w:val="00B953E2"/>
    <w:rsid w:val="00B959C8"/>
    <w:rsid w:val="00B95A36"/>
    <w:rsid w:val="00B96431"/>
    <w:rsid w:val="00BA05B4"/>
    <w:rsid w:val="00BA0F3D"/>
    <w:rsid w:val="00BA2288"/>
    <w:rsid w:val="00BA2832"/>
    <w:rsid w:val="00BA2994"/>
    <w:rsid w:val="00BA30A9"/>
    <w:rsid w:val="00BA3245"/>
    <w:rsid w:val="00BA3CB8"/>
    <w:rsid w:val="00BA3D4C"/>
    <w:rsid w:val="00BA427E"/>
    <w:rsid w:val="00BA44EE"/>
    <w:rsid w:val="00BA4D77"/>
    <w:rsid w:val="00BA5210"/>
    <w:rsid w:val="00BA5663"/>
    <w:rsid w:val="00BA5D28"/>
    <w:rsid w:val="00BA6498"/>
    <w:rsid w:val="00BA6A00"/>
    <w:rsid w:val="00BA748A"/>
    <w:rsid w:val="00BA7623"/>
    <w:rsid w:val="00BA77D8"/>
    <w:rsid w:val="00BA7AB5"/>
    <w:rsid w:val="00BB046C"/>
    <w:rsid w:val="00BB050A"/>
    <w:rsid w:val="00BB07AC"/>
    <w:rsid w:val="00BB1864"/>
    <w:rsid w:val="00BB2520"/>
    <w:rsid w:val="00BB2773"/>
    <w:rsid w:val="00BB33F1"/>
    <w:rsid w:val="00BB344C"/>
    <w:rsid w:val="00BB3853"/>
    <w:rsid w:val="00BB4139"/>
    <w:rsid w:val="00BB4B13"/>
    <w:rsid w:val="00BB50DC"/>
    <w:rsid w:val="00BB56D3"/>
    <w:rsid w:val="00BB5B59"/>
    <w:rsid w:val="00BB6131"/>
    <w:rsid w:val="00BB67FA"/>
    <w:rsid w:val="00BB6D0D"/>
    <w:rsid w:val="00BB748D"/>
    <w:rsid w:val="00BB7645"/>
    <w:rsid w:val="00BB775F"/>
    <w:rsid w:val="00BC04A0"/>
    <w:rsid w:val="00BC08D3"/>
    <w:rsid w:val="00BC0DCE"/>
    <w:rsid w:val="00BC11A5"/>
    <w:rsid w:val="00BC127C"/>
    <w:rsid w:val="00BC1657"/>
    <w:rsid w:val="00BC1E56"/>
    <w:rsid w:val="00BC2441"/>
    <w:rsid w:val="00BC24F8"/>
    <w:rsid w:val="00BC29E0"/>
    <w:rsid w:val="00BC2B09"/>
    <w:rsid w:val="00BC31DD"/>
    <w:rsid w:val="00BC3C18"/>
    <w:rsid w:val="00BC3D1C"/>
    <w:rsid w:val="00BC5166"/>
    <w:rsid w:val="00BC5786"/>
    <w:rsid w:val="00BC5A25"/>
    <w:rsid w:val="00BC5C34"/>
    <w:rsid w:val="00BC6606"/>
    <w:rsid w:val="00BC66B3"/>
    <w:rsid w:val="00BC67FB"/>
    <w:rsid w:val="00BC6EE7"/>
    <w:rsid w:val="00BC70DF"/>
    <w:rsid w:val="00BC7594"/>
    <w:rsid w:val="00BC7680"/>
    <w:rsid w:val="00BC7C1B"/>
    <w:rsid w:val="00BC7DCC"/>
    <w:rsid w:val="00BD0591"/>
    <w:rsid w:val="00BD05C7"/>
    <w:rsid w:val="00BD0B0D"/>
    <w:rsid w:val="00BD0FAA"/>
    <w:rsid w:val="00BD1696"/>
    <w:rsid w:val="00BD173C"/>
    <w:rsid w:val="00BD190D"/>
    <w:rsid w:val="00BD27B2"/>
    <w:rsid w:val="00BD2D7B"/>
    <w:rsid w:val="00BD2E54"/>
    <w:rsid w:val="00BD3934"/>
    <w:rsid w:val="00BD3B33"/>
    <w:rsid w:val="00BD3F22"/>
    <w:rsid w:val="00BD45AD"/>
    <w:rsid w:val="00BD45CC"/>
    <w:rsid w:val="00BD4714"/>
    <w:rsid w:val="00BD4B0C"/>
    <w:rsid w:val="00BD5145"/>
    <w:rsid w:val="00BD53EE"/>
    <w:rsid w:val="00BD5687"/>
    <w:rsid w:val="00BD5BF6"/>
    <w:rsid w:val="00BD6A9B"/>
    <w:rsid w:val="00BD6C76"/>
    <w:rsid w:val="00BD6D3E"/>
    <w:rsid w:val="00BD6E06"/>
    <w:rsid w:val="00BD6E2F"/>
    <w:rsid w:val="00BD7C90"/>
    <w:rsid w:val="00BE06DA"/>
    <w:rsid w:val="00BE08EB"/>
    <w:rsid w:val="00BE0D5D"/>
    <w:rsid w:val="00BE0DCB"/>
    <w:rsid w:val="00BE155B"/>
    <w:rsid w:val="00BE19C7"/>
    <w:rsid w:val="00BE251D"/>
    <w:rsid w:val="00BE2A92"/>
    <w:rsid w:val="00BE2BB7"/>
    <w:rsid w:val="00BE436D"/>
    <w:rsid w:val="00BE45BD"/>
    <w:rsid w:val="00BE51F2"/>
    <w:rsid w:val="00BE5540"/>
    <w:rsid w:val="00BE55B8"/>
    <w:rsid w:val="00BE5C2F"/>
    <w:rsid w:val="00BE605D"/>
    <w:rsid w:val="00BE60D5"/>
    <w:rsid w:val="00BE6594"/>
    <w:rsid w:val="00BE6FFA"/>
    <w:rsid w:val="00BE7047"/>
    <w:rsid w:val="00BE7468"/>
    <w:rsid w:val="00BE7BB1"/>
    <w:rsid w:val="00BE7C2E"/>
    <w:rsid w:val="00BE7CB8"/>
    <w:rsid w:val="00BE7DA6"/>
    <w:rsid w:val="00BF0445"/>
    <w:rsid w:val="00BF0EF2"/>
    <w:rsid w:val="00BF11A0"/>
    <w:rsid w:val="00BF1B4B"/>
    <w:rsid w:val="00BF1BF5"/>
    <w:rsid w:val="00BF1FAA"/>
    <w:rsid w:val="00BF2741"/>
    <w:rsid w:val="00BF3C95"/>
    <w:rsid w:val="00BF6652"/>
    <w:rsid w:val="00BF68C8"/>
    <w:rsid w:val="00BF691B"/>
    <w:rsid w:val="00BF6A92"/>
    <w:rsid w:val="00BF6CD2"/>
    <w:rsid w:val="00BF72CB"/>
    <w:rsid w:val="00BF7C21"/>
    <w:rsid w:val="00BF7D9A"/>
    <w:rsid w:val="00C00160"/>
    <w:rsid w:val="00C002C6"/>
    <w:rsid w:val="00C00326"/>
    <w:rsid w:val="00C007DF"/>
    <w:rsid w:val="00C01163"/>
    <w:rsid w:val="00C01214"/>
    <w:rsid w:val="00C0154E"/>
    <w:rsid w:val="00C016A3"/>
    <w:rsid w:val="00C01E68"/>
    <w:rsid w:val="00C02BF7"/>
    <w:rsid w:val="00C03044"/>
    <w:rsid w:val="00C03098"/>
    <w:rsid w:val="00C03760"/>
    <w:rsid w:val="00C04365"/>
    <w:rsid w:val="00C047D1"/>
    <w:rsid w:val="00C0566C"/>
    <w:rsid w:val="00C05EBA"/>
    <w:rsid w:val="00C06006"/>
    <w:rsid w:val="00C0630A"/>
    <w:rsid w:val="00C064BA"/>
    <w:rsid w:val="00C064D5"/>
    <w:rsid w:val="00C06C94"/>
    <w:rsid w:val="00C06F47"/>
    <w:rsid w:val="00C07263"/>
    <w:rsid w:val="00C073A1"/>
    <w:rsid w:val="00C07511"/>
    <w:rsid w:val="00C10F54"/>
    <w:rsid w:val="00C114B8"/>
    <w:rsid w:val="00C114D9"/>
    <w:rsid w:val="00C117DA"/>
    <w:rsid w:val="00C11924"/>
    <w:rsid w:val="00C121E6"/>
    <w:rsid w:val="00C122D6"/>
    <w:rsid w:val="00C13189"/>
    <w:rsid w:val="00C131DA"/>
    <w:rsid w:val="00C132B5"/>
    <w:rsid w:val="00C138D1"/>
    <w:rsid w:val="00C14016"/>
    <w:rsid w:val="00C1413D"/>
    <w:rsid w:val="00C147D5"/>
    <w:rsid w:val="00C15167"/>
    <w:rsid w:val="00C152E1"/>
    <w:rsid w:val="00C1551F"/>
    <w:rsid w:val="00C158DD"/>
    <w:rsid w:val="00C159E3"/>
    <w:rsid w:val="00C16248"/>
    <w:rsid w:val="00C16254"/>
    <w:rsid w:val="00C1633A"/>
    <w:rsid w:val="00C166F8"/>
    <w:rsid w:val="00C16BB8"/>
    <w:rsid w:val="00C16F44"/>
    <w:rsid w:val="00C17B40"/>
    <w:rsid w:val="00C17C24"/>
    <w:rsid w:val="00C21230"/>
    <w:rsid w:val="00C2176A"/>
    <w:rsid w:val="00C217B8"/>
    <w:rsid w:val="00C21B54"/>
    <w:rsid w:val="00C21BC1"/>
    <w:rsid w:val="00C221A0"/>
    <w:rsid w:val="00C23479"/>
    <w:rsid w:val="00C23559"/>
    <w:rsid w:val="00C238D1"/>
    <w:rsid w:val="00C24002"/>
    <w:rsid w:val="00C244D4"/>
    <w:rsid w:val="00C245CA"/>
    <w:rsid w:val="00C24722"/>
    <w:rsid w:val="00C250B4"/>
    <w:rsid w:val="00C252D5"/>
    <w:rsid w:val="00C25BDC"/>
    <w:rsid w:val="00C25C46"/>
    <w:rsid w:val="00C2619A"/>
    <w:rsid w:val="00C261EA"/>
    <w:rsid w:val="00C2672A"/>
    <w:rsid w:val="00C268B3"/>
    <w:rsid w:val="00C26D39"/>
    <w:rsid w:val="00C26F02"/>
    <w:rsid w:val="00C27F27"/>
    <w:rsid w:val="00C309B3"/>
    <w:rsid w:val="00C31930"/>
    <w:rsid w:val="00C31E23"/>
    <w:rsid w:val="00C326F9"/>
    <w:rsid w:val="00C32F98"/>
    <w:rsid w:val="00C33114"/>
    <w:rsid w:val="00C3354D"/>
    <w:rsid w:val="00C33EA0"/>
    <w:rsid w:val="00C33EC9"/>
    <w:rsid w:val="00C34450"/>
    <w:rsid w:val="00C34528"/>
    <w:rsid w:val="00C34BCB"/>
    <w:rsid w:val="00C34F59"/>
    <w:rsid w:val="00C35346"/>
    <w:rsid w:val="00C3554C"/>
    <w:rsid w:val="00C361DD"/>
    <w:rsid w:val="00C36FFC"/>
    <w:rsid w:val="00C37A29"/>
    <w:rsid w:val="00C37C99"/>
    <w:rsid w:val="00C402B5"/>
    <w:rsid w:val="00C407F9"/>
    <w:rsid w:val="00C4152B"/>
    <w:rsid w:val="00C41D0B"/>
    <w:rsid w:val="00C41F47"/>
    <w:rsid w:val="00C4201D"/>
    <w:rsid w:val="00C42EA3"/>
    <w:rsid w:val="00C431C6"/>
    <w:rsid w:val="00C43CF2"/>
    <w:rsid w:val="00C43D38"/>
    <w:rsid w:val="00C44111"/>
    <w:rsid w:val="00C443A0"/>
    <w:rsid w:val="00C453A6"/>
    <w:rsid w:val="00C45910"/>
    <w:rsid w:val="00C45CA2"/>
    <w:rsid w:val="00C46489"/>
    <w:rsid w:val="00C464B2"/>
    <w:rsid w:val="00C46694"/>
    <w:rsid w:val="00C472C4"/>
    <w:rsid w:val="00C50E29"/>
    <w:rsid w:val="00C518E7"/>
    <w:rsid w:val="00C51D85"/>
    <w:rsid w:val="00C5268A"/>
    <w:rsid w:val="00C52984"/>
    <w:rsid w:val="00C52E10"/>
    <w:rsid w:val="00C530F2"/>
    <w:rsid w:val="00C53488"/>
    <w:rsid w:val="00C53D06"/>
    <w:rsid w:val="00C5462F"/>
    <w:rsid w:val="00C54B20"/>
    <w:rsid w:val="00C54CF4"/>
    <w:rsid w:val="00C5508F"/>
    <w:rsid w:val="00C55F1E"/>
    <w:rsid w:val="00C55FF1"/>
    <w:rsid w:val="00C56015"/>
    <w:rsid w:val="00C56AFB"/>
    <w:rsid w:val="00C56E22"/>
    <w:rsid w:val="00C56F55"/>
    <w:rsid w:val="00C5722D"/>
    <w:rsid w:val="00C576AF"/>
    <w:rsid w:val="00C57824"/>
    <w:rsid w:val="00C57EA9"/>
    <w:rsid w:val="00C57F27"/>
    <w:rsid w:val="00C607E8"/>
    <w:rsid w:val="00C60902"/>
    <w:rsid w:val="00C60978"/>
    <w:rsid w:val="00C60B2E"/>
    <w:rsid w:val="00C614CE"/>
    <w:rsid w:val="00C61A10"/>
    <w:rsid w:val="00C626E6"/>
    <w:rsid w:val="00C62777"/>
    <w:rsid w:val="00C6279C"/>
    <w:rsid w:val="00C6285D"/>
    <w:rsid w:val="00C631C3"/>
    <w:rsid w:val="00C634C4"/>
    <w:rsid w:val="00C63CFC"/>
    <w:rsid w:val="00C64A53"/>
    <w:rsid w:val="00C65693"/>
    <w:rsid w:val="00C6574F"/>
    <w:rsid w:val="00C659DF"/>
    <w:rsid w:val="00C65C55"/>
    <w:rsid w:val="00C66365"/>
    <w:rsid w:val="00C679C0"/>
    <w:rsid w:val="00C7035B"/>
    <w:rsid w:val="00C7066E"/>
    <w:rsid w:val="00C70D80"/>
    <w:rsid w:val="00C70EFC"/>
    <w:rsid w:val="00C7129F"/>
    <w:rsid w:val="00C71488"/>
    <w:rsid w:val="00C7158F"/>
    <w:rsid w:val="00C71688"/>
    <w:rsid w:val="00C718EC"/>
    <w:rsid w:val="00C71EEB"/>
    <w:rsid w:val="00C7325D"/>
    <w:rsid w:val="00C73352"/>
    <w:rsid w:val="00C735D3"/>
    <w:rsid w:val="00C73CC3"/>
    <w:rsid w:val="00C73DFE"/>
    <w:rsid w:val="00C73E4A"/>
    <w:rsid w:val="00C73EED"/>
    <w:rsid w:val="00C74180"/>
    <w:rsid w:val="00C7425A"/>
    <w:rsid w:val="00C7433D"/>
    <w:rsid w:val="00C74726"/>
    <w:rsid w:val="00C7476C"/>
    <w:rsid w:val="00C74A9B"/>
    <w:rsid w:val="00C75733"/>
    <w:rsid w:val="00C759FA"/>
    <w:rsid w:val="00C75C56"/>
    <w:rsid w:val="00C75F49"/>
    <w:rsid w:val="00C76199"/>
    <w:rsid w:val="00C76F07"/>
    <w:rsid w:val="00C7729E"/>
    <w:rsid w:val="00C77AB1"/>
    <w:rsid w:val="00C80269"/>
    <w:rsid w:val="00C80C34"/>
    <w:rsid w:val="00C815B6"/>
    <w:rsid w:val="00C81610"/>
    <w:rsid w:val="00C81CA9"/>
    <w:rsid w:val="00C82524"/>
    <w:rsid w:val="00C82B16"/>
    <w:rsid w:val="00C82C5B"/>
    <w:rsid w:val="00C82CC5"/>
    <w:rsid w:val="00C82E8C"/>
    <w:rsid w:val="00C82EFE"/>
    <w:rsid w:val="00C83229"/>
    <w:rsid w:val="00C83B3A"/>
    <w:rsid w:val="00C83D73"/>
    <w:rsid w:val="00C83F16"/>
    <w:rsid w:val="00C84010"/>
    <w:rsid w:val="00C84633"/>
    <w:rsid w:val="00C84685"/>
    <w:rsid w:val="00C8492E"/>
    <w:rsid w:val="00C85B4A"/>
    <w:rsid w:val="00C861BF"/>
    <w:rsid w:val="00C8665B"/>
    <w:rsid w:val="00C866C4"/>
    <w:rsid w:val="00C86BE3"/>
    <w:rsid w:val="00C86CD2"/>
    <w:rsid w:val="00C87314"/>
    <w:rsid w:val="00C876CE"/>
    <w:rsid w:val="00C87B76"/>
    <w:rsid w:val="00C90485"/>
    <w:rsid w:val="00C91F26"/>
    <w:rsid w:val="00C9233C"/>
    <w:rsid w:val="00C92DCA"/>
    <w:rsid w:val="00C932AC"/>
    <w:rsid w:val="00C932F3"/>
    <w:rsid w:val="00C934D3"/>
    <w:rsid w:val="00C9352D"/>
    <w:rsid w:val="00C93D75"/>
    <w:rsid w:val="00C93FD8"/>
    <w:rsid w:val="00C9402F"/>
    <w:rsid w:val="00C943D0"/>
    <w:rsid w:val="00C9567E"/>
    <w:rsid w:val="00C95978"/>
    <w:rsid w:val="00C9607A"/>
    <w:rsid w:val="00C96085"/>
    <w:rsid w:val="00C965B4"/>
    <w:rsid w:val="00C97159"/>
    <w:rsid w:val="00C97307"/>
    <w:rsid w:val="00C97824"/>
    <w:rsid w:val="00C97900"/>
    <w:rsid w:val="00C97C69"/>
    <w:rsid w:val="00CA0215"/>
    <w:rsid w:val="00CA06BF"/>
    <w:rsid w:val="00CA0898"/>
    <w:rsid w:val="00CA0B3F"/>
    <w:rsid w:val="00CA1133"/>
    <w:rsid w:val="00CA166C"/>
    <w:rsid w:val="00CA19C6"/>
    <w:rsid w:val="00CA254F"/>
    <w:rsid w:val="00CA323C"/>
    <w:rsid w:val="00CA35EE"/>
    <w:rsid w:val="00CA5212"/>
    <w:rsid w:val="00CA7994"/>
    <w:rsid w:val="00CA7EE5"/>
    <w:rsid w:val="00CA7EFC"/>
    <w:rsid w:val="00CB0168"/>
    <w:rsid w:val="00CB03DC"/>
    <w:rsid w:val="00CB0B37"/>
    <w:rsid w:val="00CB1168"/>
    <w:rsid w:val="00CB133B"/>
    <w:rsid w:val="00CB1424"/>
    <w:rsid w:val="00CB199A"/>
    <w:rsid w:val="00CB1E28"/>
    <w:rsid w:val="00CB1EC8"/>
    <w:rsid w:val="00CB1FC4"/>
    <w:rsid w:val="00CB218E"/>
    <w:rsid w:val="00CB2911"/>
    <w:rsid w:val="00CB2F01"/>
    <w:rsid w:val="00CB31B2"/>
    <w:rsid w:val="00CB3413"/>
    <w:rsid w:val="00CB353F"/>
    <w:rsid w:val="00CB3563"/>
    <w:rsid w:val="00CB3602"/>
    <w:rsid w:val="00CB40DC"/>
    <w:rsid w:val="00CB48F2"/>
    <w:rsid w:val="00CB498B"/>
    <w:rsid w:val="00CB49C5"/>
    <w:rsid w:val="00CB5B68"/>
    <w:rsid w:val="00CB68E6"/>
    <w:rsid w:val="00CB6EFE"/>
    <w:rsid w:val="00CB7A40"/>
    <w:rsid w:val="00CB7DF2"/>
    <w:rsid w:val="00CC06DD"/>
    <w:rsid w:val="00CC0A52"/>
    <w:rsid w:val="00CC129A"/>
    <w:rsid w:val="00CC1ABA"/>
    <w:rsid w:val="00CC253F"/>
    <w:rsid w:val="00CC2DA6"/>
    <w:rsid w:val="00CC355B"/>
    <w:rsid w:val="00CC3A4F"/>
    <w:rsid w:val="00CC3DE4"/>
    <w:rsid w:val="00CC3F33"/>
    <w:rsid w:val="00CC4167"/>
    <w:rsid w:val="00CC4417"/>
    <w:rsid w:val="00CC459B"/>
    <w:rsid w:val="00CC4D79"/>
    <w:rsid w:val="00CC56EB"/>
    <w:rsid w:val="00CC5BA7"/>
    <w:rsid w:val="00CC5F5B"/>
    <w:rsid w:val="00CC60E5"/>
    <w:rsid w:val="00CC6685"/>
    <w:rsid w:val="00CC6754"/>
    <w:rsid w:val="00CC6F38"/>
    <w:rsid w:val="00CC7101"/>
    <w:rsid w:val="00CC7D46"/>
    <w:rsid w:val="00CC7F25"/>
    <w:rsid w:val="00CD01B1"/>
    <w:rsid w:val="00CD0A2F"/>
    <w:rsid w:val="00CD0ECA"/>
    <w:rsid w:val="00CD1045"/>
    <w:rsid w:val="00CD10BC"/>
    <w:rsid w:val="00CD11E4"/>
    <w:rsid w:val="00CD1A3D"/>
    <w:rsid w:val="00CD1C70"/>
    <w:rsid w:val="00CD2095"/>
    <w:rsid w:val="00CD24A9"/>
    <w:rsid w:val="00CD3627"/>
    <w:rsid w:val="00CD390D"/>
    <w:rsid w:val="00CD5582"/>
    <w:rsid w:val="00CD5866"/>
    <w:rsid w:val="00CD58AB"/>
    <w:rsid w:val="00CD617D"/>
    <w:rsid w:val="00CD61EB"/>
    <w:rsid w:val="00CD6C7C"/>
    <w:rsid w:val="00CD73C3"/>
    <w:rsid w:val="00CD7F44"/>
    <w:rsid w:val="00CE00B3"/>
    <w:rsid w:val="00CE0A52"/>
    <w:rsid w:val="00CE0ADD"/>
    <w:rsid w:val="00CE15D8"/>
    <w:rsid w:val="00CE1895"/>
    <w:rsid w:val="00CE34BF"/>
    <w:rsid w:val="00CE4220"/>
    <w:rsid w:val="00CE43AF"/>
    <w:rsid w:val="00CE4C4E"/>
    <w:rsid w:val="00CE4D3A"/>
    <w:rsid w:val="00CE4E89"/>
    <w:rsid w:val="00CE53D2"/>
    <w:rsid w:val="00CE5578"/>
    <w:rsid w:val="00CE64FD"/>
    <w:rsid w:val="00CE66D7"/>
    <w:rsid w:val="00CE6723"/>
    <w:rsid w:val="00CE6CC5"/>
    <w:rsid w:val="00CE7236"/>
    <w:rsid w:val="00CE739D"/>
    <w:rsid w:val="00CE7A06"/>
    <w:rsid w:val="00CE7D46"/>
    <w:rsid w:val="00CE7F8E"/>
    <w:rsid w:val="00CF008D"/>
    <w:rsid w:val="00CF02F0"/>
    <w:rsid w:val="00CF052A"/>
    <w:rsid w:val="00CF0D78"/>
    <w:rsid w:val="00CF130C"/>
    <w:rsid w:val="00CF204B"/>
    <w:rsid w:val="00CF2269"/>
    <w:rsid w:val="00CF2275"/>
    <w:rsid w:val="00CF23CE"/>
    <w:rsid w:val="00CF251E"/>
    <w:rsid w:val="00CF26C8"/>
    <w:rsid w:val="00CF2A39"/>
    <w:rsid w:val="00CF333E"/>
    <w:rsid w:val="00CF365C"/>
    <w:rsid w:val="00CF4003"/>
    <w:rsid w:val="00CF452E"/>
    <w:rsid w:val="00CF4610"/>
    <w:rsid w:val="00CF46BD"/>
    <w:rsid w:val="00CF4BC6"/>
    <w:rsid w:val="00CF5261"/>
    <w:rsid w:val="00CF556B"/>
    <w:rsid w:val="00CF7030"/>
    <w:rsid w:val="00CF7CDA"/>
    <w:rsid w:val="00CF7F06"/>
    <w:rsid w:val="00D0021F"/>
    <w:rsid w:val="00D008B9"/>
    <w:rsid w:val="00D00C18"/>
    <w:rsid w:val="00D013EB"/>
    <w:rsid w:val="00D015BF"/>
    <w:rsid w:val="00D01615"/>
    <w:rsid w:val="00D01680"/>
    <w:rsid w:val="00D02093"/>
    <w:rsid w:val="00D02433"/>
    <w:rsid w:val="00D02710"/>
    <w:rsid w:val="00D0295C"/>
    <w:rsid w:val="00D0330C"/>
    <w:rsid w:val="00D0352E"/>
    <w:rsid w:val="00D035DC"/>
    <w:rsid w:val="00D03693"/>
    <w:rsid w:val="00D04483"/>
    <w:rsid w:val="00D047B4"/>
    <w:rsid w:val="00D04886"/>
    <w:rsid w:val="00D055A5"/>
    <w:rsid w:val="00D05E35"/>
    <w:rsid w:val="00D06F6D"/>
    <w:rsid w:val="00D075E3"/>
    <w:rsid w:val="00D07983"/>
    <w:rsid w:val="00D10708"/>
    <w:rsid w:val="00D10B2F"/>
    <w:rsid w:val="00D10F14"/>
    <w:rsid w:val="00D112AC"/>
    <w:rsid w:val="00D115A5"/>
    <w:rsid w:val="00D1190C"/>
    <w:rsid w:val="00D1197D"/>
    <w:rsid w:val="00D11A5C"/>
    <w:rsid w:val="00D12339"/>
    <w:rsid w:val="00D1252A"/>
    <w:rsid w:val="00D1253A"/>
    <w:rsid w:val="00D128DA"/>
    <w:rsid w:val="00D12B55"/>
    <w:rsid w:val="00D12C7D"/>
    <w:rsid w:val="00D12CF3"/>
    <w:rsid w:val="00D1301D"/>
    <w:rsid w:val="00D13C0D"/>
    <w:rsid w:val="00D13DB3"/>
    <w:rsid w:val="00D14CC4"/>
    <w:rsid w:val="00D15113"/>
    <w:rsid w:val="00D15798"/>
    <w:rsid w:val="00D15823"/>
    <w:rsid w:val="00D15B7C"/>
    <w:rsid w:val="00D15B7D"/>
    <w:rsid w:val="00D1674D"/>
    <w:rsid w:val="00D16E64"/>
    <w:rsid w:val="00D16F74"/>
    <w:rsid w:val="00D16FA4"/>
    <w:rsid w:val="00D1775D"/>
    <w:rsid w:val="00D17971"/>
    <w:rsid w:val="00D17A12"/>
    <w:rsid w:val="00D17DE9"/>
    <w:rsid w:val="00D201EB"/>
    <w:rsid w:val="00D204F9"/>
    <w:rsid w:val="00D20EC9"/>
    <w:rsid w:val="00D21590"/>
    <w:rsid w:val="00D21B1B"/>
    <w:rsid w:val="00D2254F"/>
    <w:rsid w:val="00D22D8E"/>
    <w:rsid w:val="00D23225"/>
    <w:rsid w:val="00D23E87"/>
    <w:rsid w:val="00D24302"/>
    <w:rsid w:val="00D24671"/>
    <w:rsid w:val="00D24738"/>
    <w:rsid w:val="00D24740"/>
    <w:rsid w:val="00D247C0"/>
    <w:rsid w:val="00D2482C"/>
    <w:rsid w:val="00D252A8"/>
    <w:rsid w:val="00D254CE"/>
    <w:rsid w:val="00D2578D"/>
    <w:rsid w:val="00D258EA"/>
    <w:rsid w:val="00D25B0A"/>
    <w:rsid w:val="00D25D52"/>
    <w:rsid w:val="00D260DB"/>
    <w:rsid w:val="00D262B9"/>
    <w:rsid w:val="00D2639C"/>
    <w:rsid w:val="00D26696"/>
    <w:rsid w:val="00D2677C"/>
    <w:rsid w:val="00D26F5B"/>
    <w:rsid w:val="00D27EA7"/>
    <w:rsid w:val="00D303A1"/>
    <w:rsid w:val="00D30791"/>
    <w:rsid w:val="00D30DE3"/>
    <w:rsid w:val="00D31E3E"/>
    <w:rsid w:val="00D31ED6"/>
    <w:rsid w:val="00D330CA"/>
    <w:rsid w:val="00D3316D"/>
    <w:rsid w:val="00D33476"/>
    <w:rsid w:val="00D33E9D"/>
    <w:rsid w:val="00D34053"/>
    <w:rsid w:val="00D35059"/>
    <w:rsid w:val="00D3520B"/>
    <w:rsid w:val="00D35E7C"/>
    <w:rsid w:val="00D36923"/>
    <w:rsid w:val="00D36FC0"/>
    <w:rsid w:val="00D3729B"/>
    <w:rsid w:val="00D37397"/>
    <w:rsid w:val="00D37882"/>
    <w:rsid w:val="00D37CFB"/>
    <w:rsid w:val="00D37FB4"/>
    <w:rsid w:val="00D4027A"/>
    <w:rsid w:val="00D4029D"/>
    <w:rsid w:val="00D405EB"/>
    <w:rsid w:val="00D408AD"/>
    <w:rsid w:val="00D4097C"/>
    <w:rsid w:val="00D40A3D"/>
    <w:rsid w:val="00D41F1B"/>
    <w:rsid w:val="00D42FDF"/>
    <w:rsid w:val="00D434B9"/>
    <w:rsid w:val="00D43BBF"/>
    <w:rsid w:val="00D441E2"/>
    <w:rsid w:val="00D44322"/>
    <w:rsid w:val="00D453DB"/>
    <w:rsid w:val="00D46280"/>
    <w:rsid w:val="00D464D3"/>
    <w:rsid w:val="00D465A8"/>
    <w:rsid w:val="00D466F5"/>
    <w:rsid w:val="00D46A89"/>
    <w:rsid w:val="00D46BCF"/>
    <w:rsid w:val="00D46FD9"/>
    <w:rsid w:val="00D47B78"/>
    <w:rsid w:val="00D508A6"/>
    <w:rsid w:val="00D5101D"/>
    <w:rsid w:val="00D51422"/>
    <w:rsid w:val="00D51516"/>
    <w:rsid w:val="00D51C08"/>
    <w:rsid w:val="00D52B82"/>
    <w:rsid w:val="00D52C3A"/>
    <w:rsid w:val="00D539BA"/>
    <w:rsid w:val="00D546FF"/>
    <w:rsid w:val="00D54B59"/>
    <w:rsid w:val="00D54FCB"/>
    <w:rsid w:val="00D55199"/>
    <w:rsid w:val="00D55985"/>
    <w:rsid w:val="00D55CC5"/>
    <w:rsid w:val="00D56693"/>
    <w:rsid w:val="00D56950"/>
    <w:rsid w:val="00D56ACC"/>
    <w:rsid w:val="00D57548"/>
    <w:rsid w:val="00D579EC"/>
    <w:rsid w:val="00D603D8"/>
    <w:rsid w:val="00D60476"/>
    <w:rsid w:val="00D60649"/>
    <w:rsid w:val="00D612DF"/>
    <w:rsid w:val="00D617BB"/>
    <w:rsid w:val="00D618D2"/>
    <w:rsid w:val="00D61C58"/>
    <w:rsid w:val="00D61CFD"/>
    <w:rsid w:val="00D61E88"/>
    <w:rsid w:val="00D62823"/>
    <w:rsid w:val="00D62F34"/>
    <w:rsid w:val="00D638A8"/>
    <w:rsid w:val="00D6458C"/>
    <w:rsid w:val="00D6483E"/>
    <w:rsid w:val="00D64D59"/>
    <w:rsid w:val="00D64DBB"/>
    <w:rsid w:val="00D6535A"/>
    <w:rsid w:val="00D65446"/>
    <w:rsid w:val="00D654E6"/>
    <w:rsid w:val="00D65862"/>
    <w:rsid w:val="00D65BAB"/>
    <w:rsid w:val="00D65C1D"/>
    <w:rsid w:val="00D65EDA"/>
    <w:rsid w:val="00D6641E"/>
    <w:rsid w:val="00D6650A"/>
    <w:rsid w:val="00D66A00"/>
    <w:rsid w:val="00D70D31"/>
    <w:rsid w:val="00D70EE4"/>
    <w:rsid w:val="00D7139D"/>
    <w:rsid w:val="00D71B0E"/>
    <w:rsid w:val="00D71D89"/>
    <w:rsid w:val="00D71FAE"/>
    <w:rsid w:val="00D72067"/>
    <w:rsid w:val="00D72AE2"/>
    <w:rsid w:val="00D74345"/>
    <w:rsid w:val="00D744D3"/>
    <w:rsid w:val="00D74C60"/>
    <w:rsid w:val="00D74EB1"/>
    <w:rsid w:val="00D75379"/>
    <w:rsid w:val="00D756B5"/>
    <w:rsid w:val="00D7589D"/>
    <w:rsid w:val="00D75A8F"/>
    <w:rsid w:val="00D76304"/>
    <w:rsid w:val="00D76BC3"/>
    <w:rsid w:val="00D76CE8"/>
    <w:rsid w:val="00D76CEF"/>
    <w:rsid w:val="00D77ACA"/>
    <w:rsid w:val="00D77BA6"/>
    <w:rsid w:val="00D8007D"/>
    <w:rsid w:val="00D80149"/>
    <w:rsid w:val="00D803B3"/>
    <w:rsid w:val="00D8072A"/>
    <w:rsid w:val="00D8093E"/>
    <w:rsid w:val="00D809B4"/>
    <w:rsid w:val="00D80EB7"/>
    <w:rsid w:val="00D81993"/>
    <w:rsid w:val="00D819BD"/>
    <w:rsid w:val="00D81A22"/>
    <w:rsid w:val="00D81AA4"/>
    <w:rsid w:val="00D81B92"/>
    <w:rsid w:val="00D81C51"/>
    <w:rsid w:val="00D8288C"/>
    <w:rsid w:val="00D82DB6"/>
    <w:rsid w:val="00D8325A"/>
    <w:rsid w:val="00D83576"/>
    <w:rsid w:val="00D8357F"/>
    <w:rsid w:val="00D83923"/>
    <w:rsid w:val="00D8426A"/>
    <w:rsid w:val="00D84509"/>
    <w:rsid w:val="00D84918"/>
    <w:rsid w:val="00D8539D"/>
    <w:rsid w:val="00D85CE4"/>
    <w:rsid w:val="00D864BD"/>
    <w:rsid w:val="00D865DE"/>
    <w:rsid w:val="00D87120"/>
    <w:rsid w:val="00D8792E"/>
    <w:rsid w:val="00D9015C"/>
    <w:rsid w:val="00D90531"/>
    <w:rsid w:val="00D90EC1"/>
    <w:rsid w:val="00D914A1"/>
    <w:rsid w:val="00D91FDE"/>
    <w:rsid w:val="00D92152"/>
    <w:rsid w:val="00D92444"/>
    <w:rsid w:val="00D924E6"/>
    <w:rsid w:val="00D9253C"/>
    <w:rsid w:val="00D92655"/>
    <w:rsid w:val="00D928CB"/>
    <w:rsid w:val="00D93325"/>
    <w:rsid w:val="00D93A4B"/>
    <w:rsid w:val="00D93FFB"/>
    <w:rsid w:val="00D9419D"/>
    <w:rsid w:val="00D943D7"/>
    <w:rsid w:val="00D94569"/>
    <w:rsid w:val="00D9553D"/>
    <w:rsid w:val="00D955EB"/>
    <w:rsid w:val="00D96251"/>
    <w:rsid w:val="00D96B18"/>
    <w:rsid w:val="00D96DBD"/>
    <w:rsid w:val="00D96F65"/>
    <w:rsid w:val="00D974C7"/>
    <w:rsid w:val="00D97659"/>
    <w:rsid w:val="00D978A5"/>
    <w:rsid w:val="00D97A44"/>
    <w:rsid w:val="00D97B8F"/>
    <w:rsid w:val="00DA02EB"/>
    <w:rsid w:val="00DA0AAE"/>
    <w:rsid w:val="00DA1188"/>
    <w:rsid w:val="00DA136C"/>
    <w:rsid w:val="00DA2224"/>
    <w:rsid w:val="00DA231D"/>
    <w:rsid w:val="00DA24EF"/>
    <w:rsid w:val="00DA2663"/>
    <w:rsid w:val="00DA27BA"/>
    <w:rsid w:val="00DA2DEA"/>
    <w:rsid w:val="00DA2E70"/>
    <w:rsid w:val="00DA2FB8"/>
    <w:rsid w:val="00DA3017"/>
    <w:rsid w:val="00DA3053"/>
    <w:rsid w:val="00DA33CA"/>
    <w:rsid w:val="00DA3444"/>
    <w:rsid w:val="00DA355F"/>
    <w:rsid w:val="00DA3F66"/>
    <w:rsid w:val="00DA3F74"/>
    <w:rsid w:val="00DA42B0"/>
    <w:rsid w:val="00DA4402"/>
    <w:rsid w:val="00DA4412"/>
    <w:rsid w:val="00DA4DC0"/>
    <w:rsid w:val="00DA522D"/>
    <w:rsid w:val="00DA530D"/>
    <w:rsid w:val="00DA5358"/>
    <w:rsid w:val="00DA5484"/>
    <w:rsid w:val="00DA561E"/>
    <w:rsid w:val="00DA571A"/>
    <w:rsid w:val="00DA60D5"/>
    <w:rsid w:val="00DA616D"/>
    <w:rsid w:val="00DA6188"/>
    <w:rsid w:val="00DA6362"/>
    <w:rsid w:val="00DA6A2E"/>
    <w:rsid w:val="00DA712C"/>
    <w:rsid w:val="00DA787C"/>
    <w:rsid w:val="00DB0042"/>
    <w:rsid w:val="00DB088C"/>
    <w:rsid w:val="00DB0CC9"/>
    <w:rsid w:val="00DB0D7B"/>
    <w:rsid w:val="00DB1137"/>
    <w:rsid w:val="00DB1624"/>
    <w:rsid w:val="00DB18FA"/>
    <w:rsid w:val="00DB1E87"/>
    <w:rsid w:val="00DB222E"/>
    <w:rsid w:val="00DB2536"/>
    <w:rsid w:val="00DB307E"/>
    <w:rsid w:val="00DB33AC"/>
    <w:rsid w:val="00DB343D"/>
    <w:rsid w:val="00DB37DF"/>
    <w:rsid w:val="00DB3F75"/>
    <w:rsid w:val="00DB4333"/>
    <w:rsid w:val="00DB4AF2"/>
    <w:rsid w:val="00DB5068"/>
    <w:rsid w:val="00DB50CF"/>
    <w:rsid w:val="00DB5186"/>
    <w:rsid w:val="00DB5EE1"/>
    <w:rsid w:val="00DB6F49"/>
    <w:rsid w:val="00DB7E8D"/>
    <w:rsid w:val="00DC0152"/>
    <w:rsid w:val="00DC01BF"/>
    <w:rsid w:val="00DC0965"/>
    <w:rsid w:val="00DC0F78"/>
    <w:rsid w:val="00DC1012"/>
    <w:rsid w:val="00DC14BA"/>
    <w:rsid w:val="00DC18D8"/>
    <w:rsid w:val="00DC1ACE"/>
    <w:rsid w:val="00DC1B37"/>
    <w:rsid w:val="00DC24E2"/>
    <w:rsid w:val="00DC26BF"/>
    <w:rsid w:val="00DC29A6"/>
    <w:rsid w:val="00DC2D18"/>
    <w:rsid w:val="00DC3155"/>
    <w:rsid w:val="00DC324D"/>
    <w:rsid w:val="00DC33A1"/>
    <w:rsid w:val="00DC3CB6"/>
    <w:rsid w:val="00DC479E"/>
    <w:rsid w:val="00DC483D"/>
    <w:rsid w:val="00DC503D"/>
    <w:rsid w:val="00DC509F"/>
    <w:rsid w:val="00DC5BA5"/>
    <w:rsid w:val="00DC5DFF"/>
    <w:rsid w:val="00DC63F6"/>
    <w:rsid w:val="00DC6720"/>
    <w:rsid w:val="00DC74B7"/>
    <w:rsid w:val="00DC74CB"/>
    <w:rsid w:val="00DC79DC"/>
    <w:rsid w:val="00DC7F64"/>
    <w:rsid w:val="00DD044A"/>
    <w:rsid w:val="00DD0712"/>
    <w:rsid w:val="00DD0713"/>
    <w:rsid w:val="00DD0C7D"/>
    <w:rsid w:val="00DD0C8C"/>
    <w:rsid w:val="00DD0F1A"/>
    <w:rsid w:val="00DD134A"/>
    <w:rsid w:val="00DD15E8"/>
    <w:rsid w:val="00DD15F2"/>
    <w:rsid w:val="00DD209F"/>
    <w:rsid w:val="00DD2FB9"/>
    <w:rsid w:val="00DD31D1"/>
    <w:rsid w:val="00DD38F7"/>
    <w:rsid w:val="00DD39D5"/>
    <w:rsid w:val="00DD4455"/>
    <w:rsid w:val="00DD45ED"/>
    <w:rsid w:val="00DD4911"/>
    <w:rsid w:val="00DD4CD7"/>
    <w:rsid w:val="00DD6473"/>
    <w:rsid w:val="00DD6AA2"/>
    <w:rsid w:val="00DD6B23"/>
    <w:rsid w:val="00DD6EC4"/>
    <w:rsid w:val="00DD72BA"/>
    <w:rsid w:val="00DD75C7"/>
    <w:rsid w:val="00DD761B"/>
    <w:rsid w:val="00DD7F83"/>
    <w:rsid w:val="00DE351A"/>
    <w:rsid w:val="00DE35E6"/>
    <w:rsid w:val="00DE36F6"/>
    <w:rsid w:val="00DE3CB5"/>
    <w:rsid w:val="00DE44F8"/>
    <w:rsid w:val="00DE4A31"/>
    <w:rsid w:val="00DE4A6E"/>
    <w:rsid w:val="00DE4E5A"/>
    <w:rsid w:val="00DE52B0"/>
    <w:rsid w:val="00DE567E"/>
    <w:rsid w:val="00DE5AD1"/>
    <w:rsid w:val="00DE5E19"/>
    <w:rsid w:val="00DE5F57"/>
    <w:rsid w:val="00DE60D0"/>
    <w:rsid w:val="00DE6FE4"/>
    <w:rsid w:val="00DE78E2"/>
    <w:rsid w:val="00DE7E4A"/>
    <w:rsid w:val="00DF0812"/>
    <w:rsid w:val="00DF08F0"/>
    <w:rsid w:val="00DF0CDC"/>
    <w:rsid w:val="00DF0D22"/>
    <w:rsid w:val="00DF13A8"/>
    <w:rsid w:val="00DF173B"/>
    <w:rsid w:val="00DF17C0"/>
    <w:rsid w:val="00DF18DD"/>
    <w:rsid w:val="00DF1ABA"/>
    <w:rsid w:val="00DF1C22"/>
    <w:rsid w:val="00DF25A8"/>
    <w:rsid w:val="00DF2B04"/>
    <w:rsid w:val="00DF3072"/>
    <w:rsid w:val="00DF31C3"/>
    <w:rsid w:val="00DF32F2"/>
    <w:rsid w:val="00DF3B30"/>
    <w:rsid w:val="00DF46A7"/>
    <w:rsid w:val="00DF4E3E"/>
    <w:rsid w:val="00DF4FD0"/>
    <w:rsid w:val="00DF5348"/>
    <w:rsid w:val="00DF5534"/>
    <w:rsid w:val="00DF57D9"/>
    <w:rsid w:val="00DF5D09"/>
    <w:rsid w:val="00DF5F57"/>
    <w:rsid w:val="00DF603C"/>
    <w:rsid w:val="00DF60B9"/>
    <w:rsid w:val="00DF6232"/>
    <w:rsid w:val="00DF63B7"/>
    <w:rsid w:val="00DF66F6"/>
    <w:rsid w:val="00DF68C0"/>
    <w:rsid w:val="00DF6B83"/>
    <w:rsid w:val="00DF708A"/>
    <w:rsid w:val="00DF733D"/>
    <w:rsid w:val="00DF7695"/>
    <w:rsid w:val="00DF7CA2"/>
    <w:rsid w:val="00E00A8E"/>
    <w:rsid w:val="00E010CD"/>
    <w:rsid w:val="00E0240E"/>
    <w:rsid w:val="00E02AE5"/>
    <w:rsid w:val="00E03015"/>
    <w:rsid w:val="00E038EA"/>
    <w:rsid w:val="00E0422E"/>
    <w:rsid w:val="00E0453D"/>
    <w:rsid w:val="00E04804"/>
    <w:rsid w:val="00E04CAA"/>
    <w:rsid w:val="00E055AE"/>
    <w:rsid w:val="00E05787"/>
    <w:rsid w:val="00E05FA6"/>
    <w:rsid w:val="00E06855"/>
    <w:rsid w:val="00E06967"/>
    <w:rsid w:val="00E06CBD"/>
    <w:rsid w:val="00E07338"/>
    <w:rsid w:val="00E07362"/>
    <w:rsid w:val="00E074BB"/>
    <w:rsid w:val="00E07814"/>
    <w:rsid w:val="00E07CBE"/>
    <w:rsid w:val="00E07E1B"/>
    <w:rsid w:val="00E10140"/>
    <w:rsid w:val="00E101F0"/>
    <w:rsid w:val="00E10E19"/>
    <w:rsid w:val="00E11302"/>
    <w:rsid w:val="00E119FF"/>
    <w:rsid w:val="00E11AB4"/>
    <w:rsid w:val="00E12276"/>
    <w:rsid w:val="00E122AD"/>
    <w:rsid w:val="00E125F9"/>
    <w:rsid w:val="00E12B70"/>
    <w:rsid w:val="00E13313"/>
    <w:rsid w:val="00E13384"/>
    <w:rsid w:val="00E13395"/>
    <w:rsid w:val="00E14833"/>
    <w:rsid w:val="00E14C85"/>
    <w:rsid w:val="00E14F4B"/>
    <w:rsid w:val="00E152C1"/>
    <w:rsid w:val="00E15A2F"/>
    <w:rsid w:val="00E1620D"/>
    <w:rsid w:val="00E16407"/>
    <w:rsid w:val="00E166B1"/>
    <w:rsid w:val="00E16EE0"/>
    <w:rsid w:val="00E16FE1"/>
    <w:rsid w:val="00E172AA"/>
    <w:rsid w:val="00E17556"/>
    <w:rsid w:val="00E17B03"/>
    <w:rsid w:val="00E17B06"/>
    <w:rsid w:val="00E17B66"/>
    <w:rsid w:val="00E2014D"/>
    <w:rsid w:val="00E20641"/>
    <w:rsid w:val="00E206F9"/>
    <w:rsid w:val="00E2089A"/>
    <w:rsid w:val="00E20ACB"/>
    <w:rsid w:val="00E20E4E"/>
    <w:rsid w:val="00E21434"/>
    <w:rsid w:val="00E22AF6"/>
    <w:rsid w:val="00E231AC"/>
    <w:rsid w:val="00E236AF"/>
    <w:rsid w:val="00E2373A"/>
    <w:rsid w:val="00E23EFF"/>
    <w:rsid w:val="00E2403B"/>
    <w:rsid w:val="00E24174"/>
    <w:rsid w:val="00E2457C"/>
    <w:rsid w:val="00E24A56"/>
    <w:rsid w:val="00E25249"/>
    <w:rsid w:val="00E253EE"/>
    <w:rsid w:val="00E25416"/>
    <w:rsid w:val="00E25474"/>
    <w:rsid w:val="00E25929"/>
    <w:rsid w:val="00E25949"/>
    <w:rsid w:val="00E25DE0"/>
    <w:rsid w:val="00E2621C"/>
    <w:rsid w:val="00E2625F"/>
    <w:rsid w:val="00E26398"/>
    <w:rsid w:val="00E26889"/>
    <w:rsid w:val="00E268A3"/>
    <w:rsid w:val="00E271EF"/>
    <w:rsid w:val="00E27868"/>
    <w:rsid w:val="00E278D5"/>
    <w:rsid w:val="00E27ABB"/>
    <w:rsid w:val="00E30A20"/>
    <w:rsid w:val="00E30A21"/>
    <w:rsid w:val="00E30BA0"/>
    <w:rsid w:val="00E31D47"/>
    <w:rsid w:val="00E3258A"/>
    <w:rsid w:val="00E32D67"/>
    <w:rsid w:val="00E32EE5"/>
    <w:rsid w:val="00E32F93"/>
    <w:rsid w:val="00E33149"/>
    <w:rsid w:val="00E33519"/>
    <w:rsid w:val="00E336AA"/>
    <w:rsid w:val="00E337DD"/>
    <w:rsid w:val="00E33E7A"/>
    <w:rsid w:val="00E34586"/>
    <w:rsid w:val="00E34AE9"/>
    <w:rsid w:val="00E34B4F"/>
    <w:rsid w:val="00E34E5B"/>
    <w:rsid w:val="00E355B1"/>
    <w:rsid w:val="00E35B2F"/>
    <w:rsid w:val="00E36787"/>
    <w:rsid w:val="00E369C0"/>
    <w:rsid w:val="00E36A6F"/>
    <w:rsid w:val="00E36B98"/>
    <w:rsid w:val="00E36C1E"/>
    <w:rsid w:val="00E37976"/>
    <w:rsid w:val="00E379F7"/>
    <w:rsid w:val="00E400FD"/>
    <w:rsid w:val="00E40106"/>
    <w:rsid w:val="00E40726"/>
    <w:rsid w:val="00E40C59"/>
    <w:rsid w:val="00E40C65"/>
    <w:rsid w:val="00E4195B"/>
    <w:rsid w:val="00E41AB6"/>
    <w:rsid w:val="00E432E3"/>
    <w:rsid w:val="00E43665"/>
    <w:rsid w:val="00E43B9B"/>
    <w:rsid w:val="00E43DB1"/>
    <w:rsid w:val="00E43EA3"/>
    <w:rsid w:val="00E4451F"/>
    <w:rsid w:val="00E44CA4"/>
    <w:rsid w:val="00E44DB8"/>
    <w:rsid w:val="00E45528"/>
    <w:rsid w:val="00E45750"/>
    <w:rsid w:val="00E45A2C"/>
    <w:rsid w:val="00E45A89"/>
    <w:rsid w:val="00E45D4F"/>
    <w:rsid w:val="00E469D9"/>
    <w:rsid w:val="00E46BCF"/>
    <w:rsid w:val="00E47107"/>
    <w:rsid w:val="00E4761C"/>
    <w:rsid w:val="00E479B5"/>
    <w:rsid w:val="00E50549"/>
    <w:rsid w:val="00E509B1"/>
    <w:rsid w:val="00E50BA8"/>
    <w:rsid w:val="00E50C84"/>
    <w:rsid w:val="00E50FDA"/>
    <w:rsid w:val="00E518AE"/>
    <w:rsid w:val="00E519A1"/>
    <w:rsid w:val="00E51A1F"/>
    <w:rsid w:val="00E51A48"/>
    <w:rsid w:val="00E51A5B"/>
    <w:rsid w:val="00E5261F"/>
    <w:rsid w:val="00E52794"/>
    <w:rsid w:val="00E52942"/>
    <w:rsid w:val="00E52A94"/>
    <w:rsid w:val="00E5335D"/>
    <w:rsid w:val="00E536EA"/>
    <w:rsid w:val="00E53754"/>
    <w:rsid w:val="00E544D7"/>
    <w:rsid w:val="00E54A24"/>
    <w:rsid w:val="00E54ACD"/>
    <w:rsid w:val="00E54B2B"/>
    <w:rsid w:val="00E56043"/>
    <w:rsid w:val="00E565D1"/>
    <w:rsid w:val="00E5708A"/>
    <w:rsid w:val="00E570D7"/>
    <w:rsid w:val="00E6055A"/>
    <w:rsid w:val="00E6131D"/>
    <w:rsid w:val="00E61632"/>
    <w:rsid w:val="00E620D1"/>
    <w:rsid w:val="00E625E0"/>
    <w:rsid w:val="00E62BDC"/>
    <w:rsid w:val="00E62FDE"/>
    <w:rsid w:val="00E63B83"/>
    <w:rsid w:val="00E63D81"/>
    <w:rsid w:val="00E64181"/>
    <w:rsid w:val="00E65E79"/>
    <w:rsid w:val="00E66080"/>
    <w:rsid w:val="00E66C58"/>
    <w:rsid w:val="00E6790B"/>
    <w:rsid w:val="00E70051"/>
    <w:rsid w:val="00E7005C"/>
    <w:rsid w:val="00E70546"/>
    <w:rsid w:val="00E70576"/>
    <w:rsid w:val="00E7093E"/>
    <w:rsid w:val="00E70DD7"/>
    <w:rsid w:val="00E715A9"/>
    <w:rsid w:val="00E71CA1"/>
    <w:rsid w:val="00E71DD7"/>
    <w:rsid w:val="00E71DEC"/>
    <w:rsid w:val="00E72D97"/>
    <w:rsid w:val="00E72EE0"/>
    <w:rsid w:val="00E7327F"/>
    <w:rsid w:val="00E73443"/>
    <w:rsid w:val="00E73647"/>
    <w:rsid w:val="00E737EB"/>
    <w:rsid w:val="00E7395C"/>
    <w:rsid w:val="00E73DE6"/>
    <w:rsid w:val="00E7407B"/>
    <w:rsid w:val="00E741FB"/>
    <w:rsid w:val="00E7478D"/>
    <w:rsid w:val="00E74997"/>
    <w:rsid w:val="00E74CB0"/>
    <w:rsid w:val="00E75070"/>
    <w:rsid w:val="00E758F2"/>
    <w:rsid w:val="00E75904"/>
    <w:rsid w:val="00E7631B"/>
    <w:rsid w:val="00E764EB"/>
    <w:rsid w:val="00E76527"/>
    <w:rsid w:val="00E765A6"/>
    <w:rsid w:val="00E76665"/>
    <w:rsid w:val="00E77BF9"/>
    <w:rsid w:val="00E77D53"/>
    <w:rsid w:val="00E8009A"/>
    <w:rsid w:val="00E80D20"/>
    <w:rsid w:val="00E81E98"/>
    <w:rsid w:val="00E81FF1"/>
    <w:rsid w:val="00E821C1"/>
    <w:rsid w:val="00E82A33"/>
    <w:rsid w:val="00E82DB3"/>
    <w:rsid w:val="00E8343D"/>
    <w:rsid w:val="00E834CD"/>
    <w:rsid w:val="00E83A71"/>
    <w:rsid w:val="00E83D39"/>
    <w:rsid w:val="00E84094"/>
    <w:rsid w:val="00E847CF"/>
    <w:rsid w:val="00E84882"/>
    <w:rsid w:val="00E84B20"/>
    <w:rsid w:val="00E8533D"/>
    <w:rsid w:val="00E853BF"/>
    <w:rsid w:val="00E856E9"/>
    <w:rsid w:val="00E85858"/>
    <w:rsid w:val="00E8588E"/>
    <w:rsid w:val="00E861E3"/>
    <w:rsid w:val="00E86C5E"/>
    <w:rsid w:val="00E86CB6"/>
    <w:rsid w:val="00E8709E"/>
    <w:rsid w:val="00E87547"/>
    <w:rsid w:val="00E8796F"/>
    <w:rsid w:val="00E87C5D"/>
    <w:rsid w:val="00E87C85"/>
    <w:rsid w:val="00E87DB7"/>
    <w:rsid w:val="00E904F0"/>
    <w:rsid w:val="00E90841"/>
    <w:rsid w:val="00E908F3"/>
    <w:rsid w:val="00E90978"/>
    <w:rsid w:val="00E91A7E"/>
    <w:rsid w:val="00E91D47"/>
    <w:rsid w:val="00E91E20"/>
    <w:rsid w:val="00E91FED"/>
    <w:rsid w:val="00E921CA"/>
    <w:rsid w:val="00E92925"/>
    <w:rsid w:val="00E92E60"/>
    <w:rsid w:val="00E93183"/>
    <w:rsid w:val="00E93821"/>
    <w:rsid w:val="00E93CAF"/>
    <w:rsid w:val="00E93E91"/>
    <w:rsid w:val="00E94032"/>
    <w:rsid w:val="00E95F7D"/>
    <w:rsid w:val="00E9630D"/>
    <w:rsid w:val="00E96401"/>
    <w:rsid w:val="00E96982"/>
    <w:rsid w:val="00E96EC3"/>
    <w:rsid w:val="00E9702B"/>
    <w:rsid w:val="00E976CA"/>
    <w:rsid w:val="00EA0999"/>
    <w:rsid w:val="00EA0B76"/>
    <w:rsid w:val="00EA1434"/>
    <w:rsid w:val="00EA1943"/>
    <w:rsid w:val="00EA1FE1"/>
    <w:rsid w:val="00EA2463"/>
    <w:rsid w:val="00EA2A96"/>
    <w:rsid w:val="00EA2DF5"/>
    <w:rsid w:val="00EA352C"/>
    <w:rsid w:val="00EA356C"/>
    <w:rsid w:val="00EA35CD"/>
    <w:rsid w:val="00EA39AD"/>
    <w:rsid w:val="00EA43B2"/>
    <w:rsid w:val="00EA4798"/>
    <w:rsid w:val="00EA490C"/>
    <w:rsid w:val="00EA5101"/>
    <w:rsid w:val="00EA625F"/>
    <w:rsid w:val="00EA637A"/>
    <w:rsid w:val="00EA6F53"/>
    <w:rsid w:val="00EA74F7"/>
    <w:rsid w:val="00EA77F1"/>
    <w:rsid w:val="00EA790C"/>
    <w:rsid w:val="00EA7FE6"/>
    <w:rsid w:val="00EB01FA"/>
    <w:rsid w:val="00EB13EA"/>
    <w:rsid w:val="00EB17C7"/>
    <w:rsid w:val="00EB1C0D"/>
    <w:rsid w:val="00EB1EE6"/>
    <w:rsid w:val="00EB1F00"/>
    <w:rsid w:val="00EB1FE7"/>
    <w:rsid w:val="00EB20B9"/>
    <w:rsid w:val="00EB2BB8"/>
    <w:rsid w:val="00EB2D58"/>
    <w:rsid w:val="00EB316C"/>
    <w:rsid w:val="00EB31DB"/>
    <w:rsid w:val="00EB3F9D"/>
    <w:rsid w:val="00EB460F"/>
    <w:rsid w:val="00EB51BF"/>
    <w:rsid w:val="00EB5DC6"/>
    <w:rsid w:val="00EB7385"/>
    <w:rsid w:val="00EB7968"/>
    <w:rsid w:val="00EB7D10"/>
    <w:rsid w:val="00EB7DE2"/>
    <w:rsid w:val="00EB7F12"/>
    <w:rsid w:val="00EC0020"/>
    <w:rsid w:val="00EC2072"/>
    <w:rsid w:val="00EC22C2"/>
    <w:rsid w:val="00EC264A"/>
    <w:rsid w:val="00EC2695"/>
    <w:rsid w:val="00EC41B1"/>
    <w:rsid w:val="00EC4629"/>
    <w:rsid w:val="00EC4808"/>
    <w:rsid w:val="00EC5907"/>
    <w:rsid w:val="00EC5A04"/>
    <w:rsid w:val="00EC5C88"/>
    <w:rsid w:val="00EC5CE8"/>
    <w:rsid w:val="00EC727D"/>
    <w:rsid w:val="00EC7471"/>
    <w:rsid w:val="00EC7D6E"/>
    <w:rsid w:val="00ED01D5"/>
    <w:rsid w:val="00ED1189"/>
    <w:rsid w:val="00ED12A3"/>
    <w:rsid w:val="00ED1B4A"/>
    <w:rsid w:val="00ED1EE6"/>
    <w:rsid w:val="00ED25FB"/>
    <w:rsid w:val="00ED25FD"/>
    <w:rsid w:val="00ED27A9"/>
    <w:rsid w:val="00ED2E41"/>
    <w:rsid w:val="00ED343B"/>
    <w:rsid w:val="00ED344F"/>
    <w:rsid w:val="00ED36EA"/>
    <w:rsid w:val="00ED4983"/>
    <w:rsid w:val="00ED52F1"/>
    <w:rsid w:val="00ED5D25"/>
    <w:rsid w:val="00ED689A"/>
    <w:rsid w:val="00ED6A60"/>
    <w:rsid w:val="00ED76F0"/>
    <w:rsid w:val="00ED7C8A"/>
    <w:rsid w:val="00ED7CE5"/>
    <w:rsid w:val="00EE009F"/>
    <w:rsid w:val="00EE0148"/>
    <w:rsid w:val="00EE01E3"/>
    <w:rsid w:val="00EE1303"/>
    <w:rsid w:val="00EE14E6"/>
    <w:rsid w:val="00EE16C1"/>
    <w:rsid w:val="00EE1E4C"/>
    <w:rsid w:val="00EE1FDE"/>
    <w:rsid w:val="00EE2061"/>
    <w:rsid w:val="00EE2431"/>
    <w:rsid w:val="00EE256B"/>
    <w:rsid w:val="00EE265E"/>
    <w:rsid w:val="00EE2807"/>
    <w:rsid w:val="00EE3531"/>
    <w:rsid w:val="00EE3583"/>
    <w:rsid w:val="00EE3BE1"/>
    <w:rsid w:val="00EE3F7B"/>
    <w:rsid w:val="00EE3FF8"/>
    <w:rsid w:val="00EE4B89"/>
    <w:rsid w:val="00EE58D0"/>
    <w:rsid w:val="00EE5BD0"/>
    <w:rsid w:val="00EE5EB6"/>
    <w:rsid w:val="00EE5EBF"/>
    <w:rsid w:val="00EE5F88"/>
    <w:rsid w:val="00EE6AC2"/>
    <w:rsid w:val="00EE6BE6"/>
    <w:rsid w:val="00EE6D75"/>
    <w:rsid w:val="00EE6F14"/>
    <w:rsid w:val="00EE7183"/>
    <w:rsid w:val="00EE72C3"/>
    <w:rsid w:val="00EE76AA"/>
    <w:rsid w:val="00EE7A9C"/>
    <w:rsid w:val="00EE7D60"/>
    <w:rsid w:val="00EF0148"/>
    <w:rsid w:val="00EF04FA"/>
    <w:rsid w:val="00EF0A42"/>
    <w:rsid w:val="00EF0A91"/>
    <w:rsid w:val="00EF16E1"/>
    <w:rsid w:val="00EF1B40"/>
    <w:rsid w:val="00EF2044"/>
    <w:rsid w:val="00EF29FC"/>
    <w:rsid w:val="00EF2A34"/>
    <w:rsid w:val="00EF2C6B"/>
    <w:rsid w:val="00EF2CC1"/>
    <w:rsid w:val="00EF34D3"/>
    <w:rsid w:val="00EF3D75"/>
    <w:rsid w:val="00EF3F23"/>
    <w:rsid w:val="00EF41B5"/>
    <w:rsid w:val="00EF4423"/>
    <w:rsid w:val="00EF47BC"/>
    <w:rsid w:val="00EF4846"/>
    <w:rsid w:val="00EF48EF"/>
    <w:rsid w:val="00EF4BE9"/>
    <w:rsid w:val="00EF4BFF"/>
    <w:rsid w:val="00EF516D"/>
    <w:rsid w:val="00EF545B"/>
    <w:rsid w:val="00EF5C42"/>
    <w:rsid w:val="00EF5F9F"/>
    <w:rsid w:val="00EF61C1"/>
    <w:rsid w:val="00EF6684"/>
    <w:rsid w:val="00EF6A3B"/>
    <w:rsid w:val="00EF6A87"/>
    <w:rsid w:val="00EF6BC0"/>
    <w:rsid w:val="00EF6C20"/>
    <w:rsid w:val="00EF6F18"/>
    <w:rsid w:val="00EF736E"/>
    <w:rsid w:val="00EF74C7"/>
    <w:rsid w:val="00EF750B"/>
    <w:rsid w:val="00F00114"/>
    <w:rsid w:val="00F001B0"/>
    <w:rsid w:val="00F002F3"/>
    <w:rsid w:val="00F013EC"/>
    <w:rsid w:val="00F015E9"/>
    <w:rsid w:val="00F0190A"/>
    <w:rsid w:val="00F020E3"/>
    <w:rsid w:val="00F02125"/>
    <w:rsid w:val="00F0293B"/>
    <w:rsid w:val="00F02EAA"/>
    <w:rsid w:val="00F032C2"/>
    <w:rsid w:val="00F035DD"/>
    <w:rsid w:val="00F038CF"/>
    <w:rsid w:val="00F03926"/>
    <w:rsid w:val="00F03F24"/>
    <w:rsid w:val="00F04034"/>
    <w:rsid w:val="00F04368"/>
    <w:rsid w:val="00F04D9A"/>
    <w:rsid w:val="00F04EA7"/>
    <w:rsid w:val="00F052FF"/>
    <w:rsid w:val="00F0583A"/>
    <w:rsid w:val="00F05A9E"/>
    <w:rsid w:val="00F063AD"/>
    <w:rsid w:val="00F06B01"/>
    <w:rsid w:val="00F0762E"/>
    <w:rsid w:val="00F1017D"/>
    <w:rsid w:val="00F107B4"/>
    <w:rsid w:val="00F11270"/>
    <w:rsid w:val="00F11E9A"/>
    <w:rsid w:val="00F123D2"/>
    <w:rsid w:val="00F12722"/>
    <w:rsid w:val="00F1291B"/>
    <w:rsid w:val="00F129EB"/>
    <w:rsid w:val="00F12B1D"/>
    <w:rsid w:val="00F130E5"/>
    <w:rsid w:val="00F132C1"/>
    <w:rsid w:val="00F1344E"/>
    <w:rsid w:val="00F135C3"/>
    <w:rsid w:val="00F13A51"/>
    <w:rsid w:val="00F13ACD"/>
    <w:rsid w:val="00F13F40"/>
    <w:rsid w:val="00F142E3"/>
    <w:rsid w:val="00F142E5"/>
    <w:rsid w:val="00F1525C"/>
    <w:rsid w:val="00F15277"/>
    <w:rsid w:val="00F153F1"/>
    <w:rsid w:val="00F15667"/>
    <w:rsid w:val="00F158AD"/>
    <w:rsid w:val="00F162D4"/>
    <w:rsid w:val="00F173EF"/>
    <w:rsid w:val="00F1776A"/>
    <w:rsid w:val="00F2058B"/>
    <w:rsid w:val="00F20801"/>
    <w:rsid w:val="00F20931"/>
    <w:rsid w:val="00F21358"/>
    <w:rsid w:val="00F216D5"/>
    <w:rsid w:val="00F219CD"/>
    <w:rsid w:val="00F21EBB"/>
    <w:rsid w:val="00F2256A"/>
    <w:rsid w:val="00F22A8B"/>
    <w:rsid w:val="00F22F6A"/>
    <w:rsid w:val="00F233CE"/>
    <w:rsid w:val="00F239A3"/>
    <w:rsid w:val="00F23EA7"/>
    <w:rsid w:val="00F23FFB"/>
    <w:rsid w:val="00F24025"/>
    <w:rsid w:val="00F240AD"/>
    <w:rsid w:val="00F246EA"/>
    <w:rsid w:val="00F24D16"/>
    <w:rsid w:val="00F25434"/>
    <w:rsid w:val="00F255B1"/>
    <w:rsid w:val="00F256C6"/>
    <w:rsid w:val="00F25704"/>
    <w:rsid w:val="00F25AE6"/>
    <w:rsid w:val="00F2608A"/>
    <w:rsid w:val="00F263C5"/>
    <w:rsid w:val="00F2672C"/>
    <w:rsid w:val="00F27170"/>
    <w:rsid w:val="00F27296"/>
    <w:rsid w:val="00F27583"/>
    <w:rsid w:val="00F30382"/>
    <w:rsid w:val="00F30478"/>
    <w:rsid w:val="00F30C55"/>
    <w:rsid w:val="00F30C9F"/>
    <w:rsid w:val="00F30D98"/>
    <w:rsid w:val="00F311EB"/>
    <w:rsid w:val="00F3209B"/>
    <w:rsid w:val="00F320D6"/>
    <w:rsid w:val="00F320FE"/>
    <w:rsid w:val="00F3214C"/>
    <w:rsid w:val="00F32D6C"/>
    <w:rsid w:val="00F33B90"/>
    <w:rsid w:val="00F33C54"/>
    <w:rsid w:val="00F33E2E"/>
    <w:rsid w:val="00F33F8D"/>
    <w:rsid w:val="00F34011"/>
    <w:rsid w:val="00F34330"/>
    <w:rsid w:val="00F34468"/>
    <w:rsid w:val="00F34565"/>
    <w:rsid w:val="00F34917"/>
    <w:rsid w:val="00F3528C"/>
    <w:rsid w:val="00F352DC"/>
    <w:rsid w:val="00F35461"/>
    <w:rsid w:val="00F3555C"/>
    <w:rsid w:val="00F355F6"/>
    <w:rsid w:val="00F35A91"/>
    <w:rsid w:val="00F35D02"/>
    <w:rsid w:val="00F36190"/>
    <w:rsid w:val="00F3632F"/>
    <w:rsid w:val="00F36A0C"/>
    <w:rsid w:val="00F37279"/>
    <w:rsid w:val="00F37765"/>
    <w:rsid w:val="00F37958"/>
    <w:rsid w:val="00F37CB6"/>
    <w:rsid w:val="00F37F65"/>
    <w:rsid w:val="00F4010B"/>
    <w:rsid w:val="00F40569"/>
    <w:rsid w:val="00F40ACE"/>
    <w:rsid w:val="00F40DF4"/>
    <w:rsid w:val="00F4128E"/>
    <w:rsid w:val="00F419BC"/>
    <w:rsid w:val="00F41D55"/>
    <w:rsid w:val="00F41DC7"/>
    <w:rsid w:val="00F4238C"/>
    <w:rsid w:val="00F4278A"/>
    <w:rsid w:val="00F42DED"/>
    <w:rsid w:val="00F42EE1"/>
    <w:rsid w:val="00F441C5"/>
    <w:rsid w:val="00F449A6"/>
    <w:rsid w:val="00F44B10"/>
    <w:rsid w:val="00F45CF4"/>
    <w:rsid w:val="00F46C9A"/>
    <w:rsid w:val="00F46E42"/>
    <w:rsid w:val="00F46ED1"/>
    <w:rsid w:val="00F4702C"/>
    <w:rsid w:val="00F5046A"/>
    <w:rsid w:val="00F505B8"/>
    <w:rsid w:val="00F50C46"/>
    <w:rsid w:val="00F50C70"/>
    <w:rsid w:val="00F51976"/>
    <w:rsid w:val="00F52485"/>
    <w:rsid w:val="00F5277B"/>
    <w:rsid w:val="00F53B48"/>
    <w:rsid w:val="00F53EFE"/>
    <w:rsid w:val="00F540FD"/>
    <w:rsid w:val="00F5460D"/>
    <w:rsid w:val="00F54734"/>
    <w:rsid w:val="00F54848"/>
    <w:rsid w:val="00F55EDB"/>
    <w:rsid w:val="00F5673E"/>
    <w:rsid w:val="00F56A5A"/>
    <w:rsid w:val="00F572FA"/>
    <w:rsid w:val="00F57466"/>
    <w:rsid w:val="00F5780F"/>
    <w:rsid w:val="00F57991"/>
    <w:rsid w:val="00F60BA2"/>
    <w:rsid w:val="00F61BE9"/>
    <w:rsid w:val="00F62D30"/>
    <w:rsid w:val="00F63491"/>
    <w:rsid w:val="00F634F6"/>
    <w:rsid w:val="00F645DA"/>
    <w:rsid w:val="00F65121"/>
    <w:rsid w:val="00F654E1"/>
    <w:rsid w:val="00F655B8"/>
    <w:rsid w:val="00F655BD"/>
    <w:rsid w:val="00F65758"/>
    <w:rsid w:val="00F65DAD"/>
    <w:rsid w:val="00F65DB8"/>
    <w:rsid w:val="00F65DE4"/>
    <w:rsid w:val="00F66871"/>
    <w:rsid w:val="00F66A5D"/>
    <w:rsid w:val="00F66A8F"/>
    <w:rsid w:val="00F66D15"/>
    <w:rsid w:val="00F6700D"/>
    <w:rsid w:val="00F67615"/>
    <w:rsid w:val="00F67652"/>
    <w:rsid w:val="00F70312"/>
    <w:rsid w:val="00F70350"/>
    <w:rsid w:val="00F70601"/>
    <w:rsid w:val="00F7130C"/>
    <w:rsid w:val="00F71573"/>
    <w:rsid w:val="00F71F87"/>
    <w:rsid w:val="00F7216F"/>
    <w:rsid w:val="00F728C4"/>
    <w:rsid w:val="00F728ED"/>
    <w:rsid w:val="00F72D3F"/>
    <w:rsid w:val="00F7313C"/>
    <w:rsid w:val="00F73190"/>
    <w:rsid w:val="00F735EB"/>
    <w:rsid w:val="00F73833"/>
    <w:rsid w:val="00F738E1"/>
    <w:rsid w:val="00F73D42"/>
    <w:rsid w:val="00F741DD"/>
    <w:rsid w:val="00F74D7B"/>
    <w:rsid w:val="00F75834"/>
    <w:rsid w:val="00F7620A"/>
    <w:rsid w:val="00F7661F"/>
    <w:rsid w:val="00F77B4D"/>
    <w:rsid w:val="00F77E5B"/>
    <w:rsid w:val="00F8071C"/>
    <w:rsid w:val="00F80C23"/>
    <w:rsid w:val="00F80C3A"/>
    <w:rsid w:val="00F8102C"/>
    <w:rsid w:val="00F81066"/>
    <w:rsid w:val="00F810B4"/>
    <w:rsid w:val="00F810E0"/>
    <w:rsid w:val="00F81695"/>
    <w:rsid w:val="00F81C25"/>
    <w:rsid w:val="00F81F55"/>
    <w:rsid w:val="00F83C52"/>
    <w:rsid w:val="00F83C5C"/>
    <w:rsid w:val="00F83F45"/>
    <w:rsid w:val="00F8531C"/>
    <w:rsid w:val="00F86147"/>
    <w:rsid w:val="00F86308"/>
    <w:rsid w:val="00F86318"/>
    <w:rsid w:val="00F86AC6"/>
    <w:rsid w:val="00F87565"/>
    <w:rsid w:val="00F87B07"/>
    <w:rsid w:val="00F9043B"/>
    <w:rsid w:val="00F90632"/>
    <w:rsid w:val="00F90879"/>
    <w:rsid w:val="00F908F4"/>
    <w:rsid w:val="00F91314"/>
    <w:rsid w:val="00F91BF8"/>
    <w:rsid w:val="00F92A84"/>
    <w:rsid w:val="00F92E9F"/>
    <w:rsid w:val="00F937D1"/>
    <w:rsid w:val="00F93D6B"/>
    <w:rsid w:val="00F941A8"/>
    <w:rsid w:val="00F94713"/>
    <w:rsid w:val="00F94880"/>
    <w:rsid w:val="00F9537E"/>
    <w:rsid w:val="00F953C0"/>
    <w:rsid w:val="00F95FBA"/>
    <w:rsid w:val="00F9607C"/>
    <w:rsid w:val="00F964A0"/>
    <w:rsid w:val="00F975AD"/>
    <w:rsid w:val="00FA016A"/>
    <w:rsid w:val="00FA04E3"/>
    <w:rsid w:val="00FA12B8"/>
    <w:rsid w:val="00FA1EF2"/>
    <w:rsid w:val="00FA2757"/>
    <w:rsid w:val="00FA27E7"/>
    <w:rsid w:val="00FA2A1E"/>
    <w:rsid w:val="00FA2C28"/>
    <w:rsid w:val="00FA33D2"/>
    <w:rsid w:val="00FA3714"/>
    <w:rsid w:val="00FA37C8"/>
    <w:rsid w:val="00FA3E95"/>
    <w:rsid w:val="00FA40BE"/>
    <w:rsid w:val="00FA42DE"/>
    <w:rsid w:val="00FA47F7"/>
    <w:rsid w:val="00FA4D95"/>
    <w:rsid w:val="00FA55BB"/>
    <w:rsid w:val="00FA5725"/>
    <w:rsid w:val="00FA5C4E"/>
    <w:rsid w:val="00FA5EBC"/>
    <w:rsid w:val="00FA7785"/>
    <w:rsid w:val="00FA793B"/>
    <w:rsid w:val="00FA79BE"/>
    <w:rsid w:val="00FA7DD2"/>
    <w:rsid w:val="00FB010D"/>
    <w:rsid w:val="00FB016C"/>
    <w:rsid w:val="00FB0A92"/>
    <w:rsid w:val="00FB1C2D"/>
    <w:rsid w:val="00FB1F25"/>
    <w:rsid w:val="00FB224E"/>
    <w:rsid w:val="00FB2A5F"/>
    <w:rsid w:val="00FB2DE3"/>
    <w:rsid w:val="00FB2F2F"/>
    <w:rsid w:val="00FB30D5"/>
    <w:rsid w:val="00FB316F"/>
    <w:rsid w:val="00FB3202"/>
    <w:rsid w:val="00FB3851"/>
    <w:rsid w:val="00FB4881"/>
    <w:rsid w:val="00FB4E93"/>
    <w:rsid w:val="00FB5C5B"/>
    <w:rsid w:val="00FB64FF"/>
    <w:rsid w:val="00FB68D1"/>
    <w:rsid w:val="00FB6EF5"/>
    <w:rsid w:val="00FB7A7D"/>
    <w:rsid w:val="00FC033A"/>
    <w:rsid w:val="00FC06D1"/>
    <w:rsid w:val="00FC1450"/>
    <w:rsid w:val="00FC15CF"/>
    <w:rsid w:val="00FC213E"/>
    <w:rsid w:val="00FC2454"/>
    <w:rsid w:val="00FC2B71"/>
    <w:rsid w:val="00FC2D8B"/>
    <w:rsid w:val="00FC2E2E"/>
    <w:rsid w:val="00FC3070"/>
    <w:rsid w:val="00FC3DEE"/>
    <w:rsid w:val="00FC4A8F"/>
    <w:rsid w:val="00FC5E21"/>
    <w:rsid w:val="00FC5E59"/>
    <w:rsid w:val="00FC5E82"/>
    <w:rsid w:val="00FC6C10"/>
    <w:rsid w:val="00FC78E0"/>
    <w:rsid w:val="00FD02E0"/>
    <w:rsid w:val="00FD0341"/>
    <w:rsid w:val="00FD042F"/>
    <w:rsid w:val="00FD0456"/>
    <w:rsid w:val="00FD25E6"/>
    <w:rsid w:val="00FD2C2A"/>
    <w:rsid w:val="00FD2F82"/>
    <w:rsid w:val="00FD3306"/>
    <w:rsid w:val="00FD3448"/>
    <w:rsid w:val="00FD36B1"/>
    <w:rsid w:val="00FD3B85"/>
    <w:rsid w:val="00FD3DD1"/>
    <w:rsid w:val="00FD3F7B"/>
    <w:rsid w:val="00FD3FE4"/>
    <w:rsid w:val="00FD4697"/>
    <w:rsid w:val="00FD46AA"/>
    <w:rsid w:val="00FD4B75"/>
    <w:rsid w:val="00FD4EFB"/>
    <w:rsid w:val="00FD500E"/>
    <w:rsid w:val="00FD58BA"/>
    <w:rsid w:val="00FD5940"/>
    <w:rsid w:val="00FD61A5"/>
    <w:rsid w:val="00FD6A63"/>
    <w:rsid w:val="00FD6A74"/>
    <w:rsid w:val="00FD6B1B"/>
    <w:rsid w:val="00FD6BE2"/>
    <w:rsid w:val="00FD7E33"/>
    <w:rsid w:val="00FE049E"/>
    <w:rsid w:val="00FE0860"/>
    <w:rsid w:val="00FE0DEC"/>
    <w:rsid w:val="00FE179D"/>
    <w:rsid w:val="00FE1C1F"/>
    <w:rsid w:val="00FE279B"/>
    <w:rsid w:val="00FE2D7D"/>
    <w:rsid w:val="00FE32DA"/>
    <w:rsid w:val="00FE3932"/>
    <w:rsid w:val="00FE557A"/>
    <w:rsid w:val="00FE59FD"/>
    <w:rsid w:val="00FE68A2"/>
    <w:rsid w:val="00FE6C62"/>
    <w:rsid w:val="00FE74AD"/>
    <w:rsid w:val="00FE76B6"/>
    <w:rsid w:val="00FE7759"/>
    <w:rsid w:val="00FE7F98"/>
    <w:rsid w:val="00FF0020"/>
    <w:rsid w:val="00FF0339"/>
    <w:rsid w:val="00FF090C"/>
    <w:rsid w:val="00FF2016"/>
    <w:rsid w:val="00FF221F"/>
    <w:rsid w:val="00FF225C"/>
    <w:rsid w:val="00FF2E7F"/>
    <w:rsid w:val="00FF2EBC"/>
    <w:rsid w:val="00FF306D"/>
    <w:rsid w:val="00FF4816"/>
    <w:rsid w:val="00FF4C4E"/>
    <w:rsid w:val="00FF52DE"/>
    <w:rsid w:val="00FF5320"/>
    <w:rsid w:val="00FF5809"/>
    <w:rsid w:val="00FF5A23"/>
    <w:rsid w:val="00FF5C73"/>
    <w:rsid w:val="00FF6119"/>
    <w:rsid w:val="00FF61DB"/>
    <w:rsid w:val="00FF6852"/>
    <w:rsid w:val="00FF6978"/>
    <w:rsid w:val="00FF6AEF"/>
    <w:rsid w:val="12B5398D"/>
    <w:rsid w:val="756632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CDD0E"/>
  <w15:chartTrackingRefBased/>
  <w15:docId w15:val="{CFA42924-E895-4CA9-A6CA-8C88D643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53363E"/>
    <w:pPr>
      <w:keepNext/>
      <w:keepLines/>
      <w:numPr>
        <w:ilvl w:val="2"/>
        <w:numId w:val="13"/>
      </w:numPr>
      <w:spacing w:before="480" w:line="340" w:lineRule="atLeast"/>
      <w:outlineLvl w:val="1"/>
    </w:pPr>
    <w:rPr>
      <w:rFonts w:asciiTheme="majorHAnsi" w:eastAsiaTheme="majorEastAsia" w:hAnsiTheme="majorHAnsi" w:cstheme="majorBidi"/>
      <w:color w:val="0D8380" w:themeColor="background2"/>
      <w:sz w:val="30"/>
      <w:szCs w:val="60"/>
    </w:rPr>
  </w:style>
  <w:style w:type="paragraph" w:styleId="Heading3">
    <w:name w:val="heading 3"/>
    <w:basedOn w:val="Normal"/>
    <w:next w:val="BodyText"/>
    <w:link w:val="Heading3Char"/>
    <w:uiPriority w:val="9"/>
    <w:qFormat/>
    <w:rsid w:val="0053363E"/>
    <w:pPr>
      <w:keepNext/>
      <w:keepLines/>
      <w:spacing w:before="240" w:line="300" w:lineRule="atLeast"/>
      <w:outlineLvl w:val="2"/>
    </w:pPr>
    <w:rPr>
      <w:rFonts w:asciiTheme="majorHAnsi" w:eastAsiaTheme="majorEastAsia" w:hAnsiTheme="majorHAnsi" w:cstheme="majorBidi"/>
      <w:color w:val="CB6027" w:themeColor="text2"/>
      <w:sz w:val="26"/>
      <w:szCs w:val="37"/>
    </w:rPr>
  </w:style>
  <w:style w:type="paragraph" w:styleId="Heading4">
    <w:name w:val="heading 4"/>
    <w:basedOn w:val="Normal"/>
    <w:next w:val="BodyText"/>
    <w:link w:val="Heading4Char"/>
    <w:uiPriority w:val="9"/>
    <w:qFormat/>
    <w:rsid w:val="0053363E"/>
    <w:pPr>
      <w:keepNext/>
      <w:keepLines/>
      <w:spacing w:before="240" w:line="264" w:lineRule="atLeast"/>
      <w:outlineLvl w:val="3"/>
    </w:pPr>
    <w:rPr>
      <w:rFonts w:asciiTheme="majorHAnsi" w:eastAsiaTheme="majorEastAsia" w:hAnsiTheme="majorHAnsi" w:cstheme="majorBidi"/>
      <w:iCs/>
      <w:color w:val="88593C" w:themeColor="accent1"/>
      <w:sz w:val="22"/>
      <w:szCs w:val="33"/>
    </w:rPr>
  </w:style>
  <w:style w:type="paragraph" w:styleId="Heading5">
    <w:name w:val="heading 5"/>
    <w:basedOn w:val="Normal"/>
    <w:next w:val="BodyText"/>
    <w:link w:val="Heading5Char"/>
    <w:uiPriority w:val="9"/>
    <w:qFormat/>
    <w:rsid w:val="0053363E"/>
    <w:pPr>
      <w:keepNext/>
      <w:keepLines/>
      <w:spacing w:line="264" w:lineRule="atLeast"/>
      <w:outlineLvl w:val="4"/>
    </w:pPr>
    <w:rPr>
      <w:rFonts w:eastAsiaTheme="majorEastAsia" w:cstheme="majorBidi"/>
      <w:b/>
      <w:color w:val="CB6027" w:themeColor="text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0D8380"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0D8380"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E3B282"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8A23A6"/>
    <w:pPr>
      <w:numPr>
        <w:numId w:val="22"/>
      </w:numPr>
      <w:contextualSpacing/>
    </w:pPr>
  </w:style>
  <w:style w:type="paragraph" w:styleId="ListBullet2">
    <w:name w:val="List Bullet 2"/>
    <w:basedOn w:val="Normal"/>
    <w:uiPriority w:val="1"/>
    <w:qFormat/>
    <w:rsid w:val="00415A0E"/>
    <w:pPr>
      <w:numPr>
        <w:ilvl w:val="1"/>
        <w:numId w:val="22"/>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0D8380"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53363E"/>
    <w:rPr>
      <w:rFonts w:asciiTheme="majorHAnsi" w:eastAsiaTheme="majorEastAsia" w:hAnsiTheme="majorHAnsi" w:cstheme="majorBidi"/>
      <w:color w:val="0D8380" w:themeColor="background2"/>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292C7D"/>
    <w:pPr>
      <w:tabs>
        <w:tab w:val="center" w:pos="4513"/>
        <w:tab w:val="right" w:pos="9026"/>
      </w:tabs>
      <w:spacing w:after="0" w:line="240" w:lineRule="auto"/>
      <w:contextualSpacing/>
    </w:pPr>
    <w:rPr>
      <w:rFonts w:asciiTheme="majorHAnsi" w:hAnsiTheme="majorHAnsi"/>
      <w:color w:val="88593C" w:themeColor="accent1"/>
      <w:sz w:val="17"/>
      <w:szCs w:val="22"/>
    </w:rPr>
  </w:style>
  <w:style w:type="character" w:customStyle="1" w:styleId="FooterChar">
    <w:name w:val="Footer Char"/>
    <w:basedOn w:val="DefaultParagraphFont"/>
    <w:link w:val="Footer"/>
    <w:uiPriority w:val="11"/>
    <w:rsid w:val="00292C7D"/>
    <w:rPr>
      <w:rFonts w:asciiTheme="majorHAnsi" w:hAnsiTheme="majorHAnsi"/>
      <w:color w:val="88593C" w:themeColor="accent1"/>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22"/>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53363E"/>
    <w:rPr>
      <w:rFonts w:asciiTheme="majorHAnsi" w:eastAsiaTheme="majorEastAsia" w:hAnsiTheme="majorHAnsi" w:cstheme="majorBidi"/>
      <w:color w:val="CB6027" w:themeColor="text2"/>
      <w:sz w:val="26"/>
      <w:szCs w:val="37"/>
    </w:rPr>
  </w:style>
  <w:style w:type="character" w:customStyle="1" w:styleId="Heading4Char">
    <w:name w:val="Heading 4 Char"/>
    <w:basedOn w:val="DefaultParagraphFont"/>
    <w:link w:val="Heading4"/>
    <w:uiPriority w:val="9"/>
    <w:rsid w:val="0053363E"/>
    <w:rPr>
      <w:rFonts w:asciiTheme="majorHAnsi" w:eastAsiaTheme="majorEastAsia" w:hAnsiTheme="majorHAnsi" w:cstheme="majorBidi"/>
      <w:iCs/>
      <w:color w:val="88593C" w:themeColor="accent1"/>
      <w:szCs w:val="33"/>
    </w:rPr>
  </w:style>
  <w:style w:type="character" w:customStyle="1" w:styleId="Heading5Char">
    <w:name w:val="Heading 5 Char"/>
    <w:basedOn w:val="DefaultParagraphFont"/>
    <w:link w:val="Heading5"/>
    <w:uiPriority w:val="9"/>
    <w:rsid w:val="0053363E"/>
    <w:rPr>
      <w:rFonts w:eastAsiaTheme="majorEastAsia" w:cstheme="majorBidi"/>
      <w:b/>
      <w:color w:val="CB6027" w:themeColor="text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CB6027" w:themeColor="text2"/>
        <w:left w:val="single" w:sz="4" w:space="4" w:color="CB6027" w:themeColor="text2"/>
        <w:bottom w:val="single" w:sz="4" w:space="4" w:color="CB6027" w:themeColor="text2"/>
        <w:right w:val="single" w:sz="4" w:space="4" w:color="CB6027" w:themeColor="text2"/>
      </w:pBdr>
      <w:shd w:val="clear" w:color="auto" w:fill="CB6027"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CB6027"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CB6027"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0D8380"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color w:val="0D8380" w:themeColor="background2"/>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EF04FA"/>
    <w:pPr>
      <w:pBdr>
        <w:bottom w:val="single" w:sz="4" w:space="31" w:color="CB6027" w:themeColor="text2"/>
      </w:pBdr>
      <w:spacing w:after="600"/>
    </w:pPr>
    <w:rPr>
      <w:color w:val="88593C" w:themeColor="accent1"/>
    </w:rPr>
  </w:style>
  <w:style w:type="character" w:customStyle="1" w:styleId="Heading6Char">
    <w:name w:val="Heading 6 Char"/>
    <w:basedOn w:val="DefaultParagraphFont"/>
    <w:link w:val="Heading6"/>
    <w:uiPriority w:val="9"/>
    <w:rsid w:val="00F83C5C"/>
    <w:rPr>
      <w:rFonts w:eastAsiaTheme="majorEastAsia" w:cstheme="minorHAnsi"/>
      <w:b/>
      <w:bCs/>
      <w:i/>
      <w:color w:val="0D8380" w:themeColor="background2"/>
      <w:sz w:val="20"/>
      <w:szCs w:val="24"/>
    </w:rPr>
  </w:style>
  <w:style w:type="character" w:customStyle="1" w:styleId="Header-KeylineChar">
    <w:name w:val="Header - Keyline Char"/>
    <w:basedOn w:val="HeaderChar"/>
    <w:link w:val="Header-Keyline"/>
    <w:uiPriority w:val="99"/>
    <w:rsid w:val="00EF04FA"/>
    <w:rPr>
      <w:color w:val="88593C" w:themeColor="accent1"/>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0D8380"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E3B282"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CB6027" w:themeColor="text2"/>
      </w:rPr>
      <w:tblPr/>
      <w:tcPr>
        <w:tcBorders>
          <w:top w:val="nil"/>
          <w:left w:val="nil"/>
          <w:bottom w:val="single" w:sz="4" w:space="0" w:color="286CB5" w:themeColor="accent3"/>
          <w:right w:val="nil"/>
          <w:insideH w:val="nil"/>
          <w:insideV w:val="nil"/>
          <w:tl2br w:val="nil"/>
          <w:tr2bl w:val="nil"/>
        </w:tcBorders>
      </w:tcPr>
    </w:tblStylePr>
    <w:tblStylePr w:type="lastRow">
      <w:rPr>
        <w:b/>
      </w:rPr>
      <w:tblPr/>
      <w:tcPr>
        <w:tcBorders>
          <w:top w:val="single" w:sz="4" w:space="0" w:color="286CB5" w:themeColor="accent3"/>
          <w:left w:val="nil"/>
          <w:bottom w:val="single" w:sz="4" w:space="0" w:color="286CB5"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0D8380"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0D8380"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nhideWhenUsed/>
    <w:rsid w:val="00F83C5C"/>
    <w:rPr>
      <w:color w:val="134882"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0D8380"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0D8380"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53363E"/>
    <w:pPr>
      <w:spacing w:before="240" w:after="120" w:line="360" w:lineRule="atLeast"/>
    </w:pPr>
    <w:rPr>
      <w:rFonts w:asciiTheme="majorHAnsi" w:eastAsiaTheme="majorEastAsia" w:hAnsiTheme="majorHAnsi" w:cstheme="majorBidi"/>
      <w:color w:val="0D8380" w:themeColor="background2"/>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8A1324"/>
    <w:pPr>
      <w:pBdr>
        <w:top w:val="single" w:sz="4" w:space="8" w:color="FFFFFF" w:themeColor="background1"/>
      </w:pBdr>
      <w:spacing w:after="0" w:line="168" w:lineRule="auto"/>
    </w:pPr>
    <w:rPr>
      <w:b w:val="0"/>
      <w:color w:val="0D8380"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0D8380"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0D8380"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53363E"/>
    <w:pPr>
      <w:framePr w:w="9639" w:h="13041" w:hRule="exact" w:wrap="around" w:vAnchor="text" w:hAnchor="text" w:y="1" w:anchorLock="1"/>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0"/>
      <w:ind w:left="567" w:right="567"/>
    </w:pPr>
    <w:rPr>
      <w:color w:val="FFFFFF" w:themeColor="background1"/>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0D8380" w:themeColor="background2"/>
      </w:rPr>
    </w:tblStylePr>
    <w:tblStylePr w:type="firstCol">
      <w:rPr>
        <w:b/>
        <w:color w:val="0D8380"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53363E"/>
    <w:pPr>
      <w:spacing w:after="20"/>
      <w:ind w:left="57"/>
    </w:pPr>
    <w:rPr>
      <w:b/>
      <w:color w:val="88593C" w:themeColor="accent1"/>
      <w:sz w:val="18"/>
    </w:rPr>
  </w:style>
  <w:style w:type="paragraph" w:customStyle="1" w:styleId="BodyText-Blue">
    <w:name w:val="Body Text-Blue"/>
    <w:basedOn w:val="BodyText"/>
    <w:link w:val="BodyText-BlueChar"/>
    <w:semiHidden/>
    <w:qFormat/>
    <w:rsid w:val="00F83C5C"/>
    <w:rPr>
      <w:color w:val="0D8380" w:themeColor="background2"/>
    </w:rPr>
  </w:style>
  <w:style w:type="table" w:customStyle="1" w:styleId="Texttable-Keyline">
    <w:name w:val="Text table-Keyline"/>
    <w:basedOn w:val="Texttable-Paleblue"/>
    <w:uiPriority w:val="99"/>
    <w:rsid w:val="00F83C5C"/>
    <w:tblPr>
      <w:tblBorders>
        <w:top w:val="single" w:sz="4" w:space="0" w:color="CB6027" w:themeColor="text2"/>
        <w:left w:val="single" w:sz="4" w:space="0" w:color="CB6027" w:themeColor="text2"/>
        <w:bottom w:val="single" w:sz="4" w:space="0" w:color="CB6027" w:themeColor="text2"/>
        <w:right w:val="single" w:sz="4" w:space="0" w:color="CB6027" w:themeColor="text2"/>
      </w:tblBorders>
    </w:tblPr>
    <w:tcPr>
      <w:shd w:val="clear" w:color="auto" w:fill="auto"/>
    </w:tcPr>
  </w:style>
  <w:style w:type="paragraph" w:customStyle="1" w:styleId="Header-KeylineRight">
    <w:name w:val="Header - Keyline Right"/>
    <w:basedOn w:val="Header-Keyline"/>
    <w:uiPriority w:val="99"/>
    <w:rsid w:val="00EF04FA"/>
    <w:pPr>
      <w:jc w:val="right"/>
    </w:pPr>
    <w:rPr>
      <w:b/>
    </w:r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0D8380" w:themeFill="background2"/>
    </w:tcPr>
  </w:style>
  <w:style w:type="paragraph" w:customStyle="1" w:styleId="Heading3-noTOC">
    <w:name w:val="Heading 3-no TOC"/>
    <w:basedOn w:val="Heading3"/>
    <w:uiPriority w:val="9"/>
    <w:qFormat/>
    <w:rsid w:val="0053363E"/>
    <w:pPr>
      <w:spacing w:line="312" w:lineRule="atLeast"/>
    </w:p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8A23A6"/>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CB6027" w:themeColor="text2"/>
    </w:rPr>
  </w:style>
  <w:style w:type="character" w:customStyle="1" w:styleId="ColourDarkBlue">
    <w:name w:val="Colour Dark Blue"/>
    <w:basedOn w:val="ColourBlue"/>
    <w:uiPriority w:val="22"/>
    <w:qFormat/>
    <w:rsid w:val="00F83C5C"/>
    <w:rPr>
      <w:color w:val="0D8380"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0D8380" w:themeColor="background2"/>
    </w:rPr>
    <w:tblPr/>
    <w:tcPr>
      <w:shd w:val="clear" w:color="auto" w:fill="F2F2F2"/>
    </w:tcPr>
  </w:style>
  <w:style w:type="character" w:customStyle="1" w:styleId="BodyText-BlueChar">
    <w:name w:val="Body Text-Blue Char"/>
    <w:basedOn w:val="BodyTextChar"/>
    <w:link w:val="BodyText-Blue"/>
    <w:semiHidden/>
    <w:rsid w:val="00F83C5C"/>
    <w:rPr>
      <w:color w:val="0D8380"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0D8380"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0D8380"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292C7D"/>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7C578B"/>
    <w:pPr>
      <w:spacing w:after="0"/>
    </w:pPr>
    <w:rPr>
      <w:color w:val="88593C" w:themeColor="accent1"/>
    </w:r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7C578B"/>
    <w:rPr>
      <w:color w:val="88593C" w:themeColor="accent1"/>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8A23A6"/>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List1">
    <w:name w:val="List1"/>
    <w:basedOn w:val="Heading3"/>
    <w:qFormat/>
    <w:rsid w:val="00DA2224"/>
    <w:pPr>
      <w:keepNext w:val="0"/>
      <w:keepLines w:val="0"/>
      <w:numPr>
        <w:numId w:val="18"/>
      </w:numPr>
      <w:spacing w:before="200" w:after="0" w:line="259" w:lineRule="auto"/>
      <w:outlineLvl w:val="9"/>
    </w:pPr>
    <w:rPr>
      <w:rFonts w:ascii="Arial" w:eastAsia="Times New Roman" w:hAnsi="Arial"/>
      <w:bCs/>
    </w:rPr>
  </w:style>
  <w:style w:type="paragraph" w:customStyle="1" w:styleId="alphalist0">
    <w:name w:val="alpha list"/>
    <w:basedOn w:val="Heading3"/>
    <w:qFormat/>
    <w:rsid w:val="004265C2"/>
    <w:pPr>
      <w:keepNext w:val="0"/>
      <w:keepLines w:val="0"/>
      <w:numPr>
        <w:ilvl w:val="1"/>
        <w:numId w:val="18"/>
      </w:numPr>
      <w:spacing w:before="200" w:after="0" w:line="259" w:lineRule="auto"/>
      <w:outlineLvl w:val="9"/>
    </w:pPr>
    <w:rPr>
      <w:rFonts w:ascii="Arial" w:hAnsi="Arial"/>
      <w:bCs/>
      <w:color w:val="000000" w:themeColor="text1"/>
    </w:rPr>
  </w:style>
  <w:style w:type="paragraph" w:customStyle="1" w:styleId="romanlist">
    <w:name w:val="roman list"/>
    <w:basedOn w:val="Heading3"/>
    <w:qFormat/>
    <w:rsid w:val="004265C2"/>
    <w:pPr>
      <w:keepNext w:val="0"/>
      <w:keepLines w:val="0"/>
      <w:numPr>
        <w:ilvl w:val="2"/>
        <w:numId w:val="18"/>
      </w:numPr>
      <w:spacing w:before="200" w:after="0" w:line="259" w:lineRule="auto"/>
      <w:outlineLvl w:val="9"/>
    </w:pPr>
    <w:rPr>
      <w:rFonts w:ascii="Arial" w:hAnsi="Arial" w:cs="Arial"/>
      <w:bCs/>
      <w:color w:val="000000" w:themeColor="text1"/>
      <w:sz w:val="22"/>
      <w:szCs w:val="22"/>
    </w:rPr>
  </w:style>
  <w:style w:type="character" w:styleId="Mention">
    <w:name w:val="Mention"/>
    <w:basedOn w:val="DefaultParagraphFont"/>
    <w:uiPriority w:val="99"/>
    <w:unhideWhenUsed/>
    <w:rsid w:val="004265C2"/>
    <w:rPr>
      <w:color w:val="2B579A"/>
      <w:shd w:val="clear" w:color="auto" w:fill="E1DFDD"/>
    </w:rPr>
  </w:style>
  <w:style w:type="character" w:customStyle="1" w:styleId="normaltextrun">
    <w:name w:val="normaltextrun"/>
    <w:basedOn w:val="DefaultParagraphFont"/>
    <w:rsid w:val="004265C2"/>
  </w:style>
  <w:style w:type="character" w:customStyle="1" w:styleId="eop">
    <w:name w:val="eop"/>
    <w:basedOn w:val="DefaultParagraphFont"/>
    <w:rsid w:val="004265C2"/>
  </w:style>
  <w:style w:type="paragraph" w:styleId="Bibliography">
    <w:name w:val="Bibliography"/>
    <w:basedOn w:val="Normal"/>
    <w:next w:val="Normal"/>
    <w:uiPriority w:val="37"/>
    <w:unhideWhenUsed/>
    <w:rsid w:val="00923D63"/>
    <w:pPr>
      <w:spacing w:after="240" w:line="240" w:lineRule="atLeast"/>
      <w:ind w:left="720" w:hanging="720"/>
    </w:pPr>
  </w:style>
  <w:style w:type="character" w:customStyle="1" w:styleId="cf01">
    <w:name w:val="cf01"/>
    <w:basedOn w:val="DefaultParagraphFont"/>
    <w:rsid w:val="009F7446"/>
    <w:rPr>
      <w:rFonts w:ascii="Segoe UI" w:hAnsi="Segoe UI" w:cs="Segoe UI" w:hint="default"/>
      <w:sz w:val="18"/>
      <w:szCs w:val="18"/>
    </w:rPr>
  </w:style>
  <w:style w:type="character" w:styleId="EndnoteReference">
    <w:name w:val="endnote reference"/>
    <w:basedOn w:val="DefaultParagraphFont"/>
    <w:uiPriority w:val="99"/>
    <w:semiHidden/>
    <w:unhideWhenUsed/>
    <w:rsid w:val="009F7446"/>
    <w:rPr>
      <w:vertAlign w:val="superscript"/>
    </w:rPr>
  </w:style>
  <w:style w:type="character" w:customStyle="1" w:styleId="ui-provider">
    <w:name w:val="ui-provider"/>
    <w:basedOn w:val="DefaultParagraphFont"/>
    <w:rsid w:val="00012686"/>
  </w:style>
  <w:style w:type="paragraph" w:styleId="NormalWeb">
    <w:name w:val="Normal (Web)"/>
    <w:basedOn w:val="Normal"/>
    <w:uiPriority w:val="99"/>
    <w:semiHidden/>
    <w:unhideWhenUsed/>
    <w:rsid w:val="00E31D4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52431">
      <w:bodyDiv w:val="1"/>
      <w:marLeft w:val="0"/>
      <w:marRight w:val="0"/>
      <w:marTop w:val="0"/>
      <w:marBottom w:val="0"/>
      <w:divBdr>
        <w:top w:val="none" w:sz="0" w:space="0" w:color="auto"/>
        <w:left w:val="none" w:sz="0" w:space="0" w:color="auto"/>
        <w:bottom w:val="none" w:sz="0" w:space="0" w:color="auto"/>
        <w:right w:val="none" w:sz="0" w:space="0" w:color="auto"/>
      </w:divBdr>
    </w:div>
    <w:div w:id="2056849534">
      <w:bodyDiv w:val="1"/>
      <w:marLeft w:val="0"/>
      <w:marRight w:val="0"/>
      <w:marTop w:val="0"/>
      <w:marBottom w:val="0"/>
      <w:divBdr>
        <w:top w:val="none" w:sz="0" w:space="0" w:color="auto"/>
        <w:left w:val="none" w:sz="0" w:space="0" w:color="auto"/>
        <w:bottom w:val="none" w:sz="0" w:space="0" w:color="auto"/>
        <w:right w:val="none" w:sz="0" w:space="0" w:color="auto"/>
      </w:divBdr>
    </w:div>
    <w:div w:id="20614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www.pc.gov.au/inquiries/current/closing-the-gap-re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CtGReviewDR-template.dotx" TargetMode="External"/></Relationships>
</file>

<file path=word/theme/theme1.xml><?xml version="1.0" encoding="utf-8"?>
<a:theme xmlns:a="http://schemas.openxmlformats.org/drawingml/2006/main" name="CTG Review Colour Palette-01">
  <a:themeElements>
    <a:clrScheme name="CTG Review Colour Paletter-02">
      <a:dk1>
        <a:srgbClr val="000000"/>
      </a:dk1>
      <a:lt1>
        <a:srgbClr val="FFFFFF"/>
      </a:lt1>
      <a:dk2>
        <a:srgbClr val="CB6027"/>
      </a:dk2>
      <a:lt2>
        <a:srgbClr val="0D8380"/>
      </a:lt2>
      <a:accent1>
        <a:srgbClr val="88593C"/>
      </a:accent1>
      <a:accent2>
        <a:srgbClr val="E3B282"/>
      </a:accent2>
      <a:accent3>
        <a:srgbClr val="286CB5"/>
      </a:accent3>
      <a:accent4>
        <a:srgbClr val="49BA73"/>
      </a:accent4>
      <a:accent5>
        <a:srgbClr val="E37E26"/>
      </a:accent5>
      <a:accent6>
        <a:srgbClr val="3ABFC1"/>
      </a:accent6>
      <a:hlink>
        <a:srgbClr val="134882"/>
      </a:hlink>
      <a:folHlink>
        <a:srgbClr val="1D1D1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noFill/>
        </a:ln>
      </a:spPr>
      <a:bodyPr rtlCol="0" anchor="ctr"/>
      <a:lstStyle>
        <a:defPPr algn="l">
          <a:spcBef>
            <a:spcPts val="1200"/>
          </a:spcBef>
          <a:spcAft>
            <a:spcPts val="600"/>
          </a:spcAft>
          <a:defRPr sz="1000" b="1"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1">
              <a:lumMod val="65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CTG Review Colour Palette-01" id="{7425C606-0149-B14D-A561-0B6DECB16BFF}" vid="{376D2216-7354-A14E-8E71-4BA9619DA61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855081-8515-5E4D-B6A8-3283AA321D72}">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5" ma:contentTypeDescription="Create a new document." ma:contentTypeScope="" ma:versionID="42d3d3f51b1401d45d7b73a903f4f720">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7e524f3406e3b65c2db44158046421b5"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Typeof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ypeoforganisation" ma:index="24" nillable="true" ma:displayName="Type of organisation" ma:format="Dropdown" ma:internalName="Typeoforganisation">
      <xsd:simpleType>
        <xsd:restriction base="dms:Choice">
          <xsd:enumeration value="Aboriginal and Torres Strait Islander"/>
          <xsd:enumeration value="Goverment"/>
          <xsd:enumeration value="ALGA"/>
          <xsd:enumeration value="NGO"/>
          <xsd:enumeration value="Research and Consul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ypeoforganisation xmlns="30aed58d-9451-42ce-8aa5-12955cf0519a" xsi:nil="true"/>
  </documentManagement>
</p:properties>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D3170EE2-638D-48C6-B560-146E683E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E1E671E4-23F4-4746-8823-5760B205E72A}">
  <ds:schemaRefs>
    <ds:schemaRef ds:uri="http://schemas.microsoft.com/sharepoint/v3/contenttype/forms"/>
  </ds:schemaRefs>
</ds:datastoreItem>
</file>

<file path=customXml/itemProps4.xml><?xml version="1.0" encoding="utf-8"?>
<ds:datastoreItem xmlns:ds="http://schemas.openxmlformats.org/officeDocument/2006/customXml" ds:itemID="{9C16CDD2-F4B4-431C-9D88-301D9AA71F7F}">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CtGReviewDR-template.dotx</Template>
  <TotalTime>8342</TotalTime>
  <Pages>33</Pages>
  <Words>11720</Words>
  <Characters>66807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The National Agreement in context and our approach to the Review - Information paper 1 - Draft report - Review of the National Agreement on Closing the Gap</vt:lpstr>
    </vt:vector>
  </TitlesOfParts>
  <Manager/>
  <Company>Productivity Commission</Company>
  <LinksUpToDate>false</LinksUpToDate>
  <CharactersWithSpaces>78371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Agreement in context and our approach to the Review - Information paper 1 - Draft report - Review of the National Agreement on Closing the Gap</dc:title>
  <dc:subject/>
  <dc:creator>Productivity Commission</dc:creator>
  <cp:keywords/>
  <dc:description/>
  <cp:lastModifiedBy>Bianca Dobson</cp:lastModifiedBy>
  <cp:revision>2720</cp:revision>
  <cp:lastPrinted>2023-07-20T23:51:00Z</cp:lastPrinted>
  <dcterms:created xsi:type="dcterms:W3CDTF">2023-04-18T17:42:00Z</dcterms:created>
  <dcterms:modified xsi:type="dcterms:W3CDTF">2023-07-27T23:24:00Z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637823828661995723</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ZOTERO_PREF_1">
    <vt:lpwstr>&lt;data data-version="3" zotero-version="6.0.26"&gt;&lt;session id="NbKKDXGx"/&gt;&lt;style id="http://www.zotero.org/styles/Productivity-Commission" hasBibliography="1" bibliographyStyleHasBeenSet="1"/&gt;&lt;prefs&gt;&lt;pref name="fieldType" value="Field"/&gt;&lt;/prefs&gt;&lt;/data&gt;</vt:lpwstr>
  </property>
</Properties>
</file>