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D6AEF" w14:textId="6EC9CEEF" w:rsidR="00C00935" w:rsidRPr="00C00935" w:rsidRDefault="006C730C" w:rsidP="00C00935">
      <w:pPr>
        <w:pStyle w:val="Heading1-nobackground"/>
        <w:spacing w:before="0" w:after="0" w:line="240" w:lineRule="auto"/>
        <w:rPr>
          <w:color w:val="FFFFFF" w:themeColor="background1"/>
          <w:sz w:val="16"/>
          <w:szCs w:val="16"/>
        </w:rPr>
      </w:pPr>
      <w:bookmarkStart w:id="0" w:name="_Toc140484712"/>
      <w:r>
        <w:rPr>
          <w:noProof/>
          <w:color w:val="FFFFFF" w:themeColor="background1"/>
        </w:rPr>
        <w:drawing>
          <wp:anchor distT="0" distB="0" distL="114300" distR="114300" simplePos="0" relativeHeight="251658240" behindDoc="0" locked="0" layoutInCell="1" allowOverlap="1" wp14:anchorId="44C9B0D5" wp14:editId="1CB35BE6">
            <wp:simplePos x="0" y="0"/>
            <wp:positionH relativeFrom="page">
              <wp:align>center</wp:align>
            </wp:positionH>
            <wp:positionV relativeFrom="page">
              <wp:align>top</wp:align>
            </wp:positionV>
            <wp:extent cx="7559399" cy="10684798"/>
            <wp:effectExtent l="0" t="0" r="0" b="0"/>
            <wp:wrapNone/>
            <wp:docPr id="498113370" name="Picture 498113370" descr="Productivity Commission, Review of the National Agreement on Closing the Gap, Priority Reform 6: Tracking progress, Information paper 2, Draf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13370" name="Picture 498113370" descr="Productivity Commission, Review of the National Agreement on Closing the Gap, Priority Reform 6: Tracking progress, Information paper 2, Draft repo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399" cy="10684798"/>
                    </a:xfrm>
                    <a:prstGeom prst="rect">
                      <a:avLst/>
                    </a:prstGeom>
                  </pic:spPr>
                </pic:pic>
              </a:graphicData>
            </a:graphic>
            <wp14:sizeRelH relativeFrom="margin">
              <wp14:pctWidth>0</wp14:pctWidth>
            </wp14:sizeRelH>
            <wp14:sizeRelV relativeFrom="margin">
              <wp14:pctHeight>0</wp14:pctHeight>
            </wp14:sizeRelV>
          </wp:anchor>
        </w:drawing>
      </w:r>
      <w:r w:rsidR="00C00935" w:rsidRPr="00C00935">
        <w:rPr>
          <w:color w:val="FFFFFF" w:themeColor="background1"/>
          <w:sz w:val="16"/>
          <w:szCs w:val="16"/>
        </w:rPr>
        <w:t>Review of the National Agreement on Closing the Gap draft report</w:t>
      </w:r>
    </w:p>
    <w:p w14:paraId="39D6DFAB" w14:textId="6AA6C340" w:rsidR="00750AB2" w:rsidRPr="00C00935" w:rsidRDefault="00750AB2" w:rsidP="00C00935">
      <w:pPr>
        <w:pStyle w:val="Heading1-nobackground"/>
        <w:spacing w:before="0" w:after="0" w:line="240" w:lineRule="auto"/>
        <w:rPr>
          <w:color w:val="FFFFFF" w:themeColor="background1"/>
          <w:sz w:val="16"/>
          <w:szCs w:val="16"/>
        </w:rPr>
      </w:pPr>
      <w:r w:rsidRPr="00C00935">
        <w:rPr>
          <w:color w:val="FFFFFF" w:themeColor="background1"/>
          <w:sz w:val="16"/>
          <w:szCs w:val="16"/>
        </w:rPr>
        <w:t>Information paper 6</w:t>
      </w:r>
      <w:bookmarkEnd w:id="0"/>
    </w:p>
    <w:p w14:paraId="1B851365" w14:textId="4482BB0B" w:rsidR="005808C9" w:rsidRPr="00C00935" w:rsidRDefault="00726FAE" w:rsidP="00C00935">
      <w:pPr>
        <w:pStyle w:val="Heading1-nobackground"/>
        <w:spacing w:before="0" w:after="0" w:line="240" w:lineRule="auto"/>
        <w:rPr>
          <w:color w:val="FFFFFF" w:themeColor="background1"/>
          <w:sz w:val="16"/>
          <w:szCs w:val="16"/>
        </w:rPr>
      </w:pPr>
      <w:bookmarkStart w:id="1" w:name="_Toc140484713"/>
      <w:r w:rsidRPr="00C00935">
        <w:rPr>
          <w:color w:val="FFFFFF" w:themeColor="background1"/>
          <w:sz w:val="16"/>
          <w:szCs w:val="16"/>
        </w:rPr>
        <w:t xml:space="preserve">Tracking </w:t>
      </w:r>
      <w:r w:rsidR="00AD71A3" w:rsidRPr="00C00935">
        <w:rPr>
          <w:color w:val="FFFFFF" w:themeColor="background1"/>
          <w:sz w:val="16"/>
          <w:szCs w:val="16"/>
        </w:rPr>
        <w:t>progress</w:t>
      </w:r>
      <w:r w:rsidR="00A07FA9" w:rsidRPr="00C00935">
        <w:rPr>
          <w:color w:val="FFFFFF" w:themeColor="background1"/>
          <w:sz w:val="16"/>
          <w:szCs w:val="16"/>
        </w:rPr>
        <w:t xml:space="preserve">: </w:t>
      </w:r>
      <w:r w:rsidR="00BE7B07" w:rsidRPr="00C00935">
        <w:rPr>
          <w:color w:val="FFFFFF" w:themeColor="background1"/>
          <w:sz w:val="16"/>
          <w:szCs w:val="16"/>
        </w:rPr>
        <w:t>K</w:t>
      </w:r>
      <w:r w:rsidR="00A07FA9" w:rsidRPr="00C00935">
        <w:rPr>
          <w:color w:val="FFFFFF" w:themeColor="background1"/>
          <w:sz w:val="16"/>
          <w:szCs w:val="16"/>
        </w:rPr>
        <w:t>nowing whether the Agreement is making a difference</w:t>
      </w:r>
      <w:bookmarkEnd w:id="1"/>
    </w:p>
    <w:p w14:paraId="6E78FE60" w14:textId="7681DB5F" w:rsidR="000D11F3" w:rsidRPr="00C00935" w:rsidRDefault="000D11F3" w:rsidP="00C00935">
      <w:pPr>
        <w:pStyle w:val="BodyText"/>
        <w:spacing w:before="0" w:after="0" w:line="240" w:lineRule="auto"/>
        <w:rPr>
          <w:color w:val="FFFFFF" w:themeColor="background1"/>
        </w:rPr>
      </w:pPr>
      <w:r w:rsidRPr="00C00935">
        <w:rPr>
          <w:color w:val="FFFFFF" w:themeColor="background1"/>
        </w:rPr>
        <w:t>July 2023</w:t>
      </w:r>
    </w:p>
    <w:p w14:paraId="7C40D0F8" w14:textId="77777777" w:rsidR="008F0F6D" w:rsidRDefault="00750AB2">
      <w:r>
        <w:br w:type="page"/>
      </w:r>
    </w:p>
    <w:tbl>
      <w:tblPr>
        <w:tblStyle w:val="CopyrightPage"/>
        <w:tblW w:w="0" w:type="auto"/>
        <w:shd w:val="clear" w:color="auto" w:fill="414140"/>
        <w:tblLook w:val="04A0" w:firstRow="1" w:lastRow="0" w:firstColumn="1" w:lastColumn="0" w:noHBand="0" w:noVBand="1"/>
      </w:tblPr>
      <w:tblGrid>
        <w:gridCol w:w="9638"/>
      </w:tblGrid>
      <w:tr w:rsidR="008F0F6D" w14:paraId="46F71F6D" w14:textId="77777777" w:rsidTr="00DC2B24">
        <w:trPr>
          <w:trHeight w:hRule="exact" w:val="12586"/>
        </w:trPr>
        <w:tc>
          <w:tcPr>
            <w:tcW w:w="9638" w:type="dxa"/>
            <w:shd w:val="clear" w:color="auto" w:fill="134882"/>
            <w:tcMar>
              <w:top w:w="113" w:type="dxa"/>
            </w:tcMar>
          </w:tcPr>
          <w:p w14:paraId="5D9DC6A8" w14:textId="77777777" w:rsidR="008F0F6D" w:rsidRPr="00151C74" w:rsidRDefault="008F0F6D" w:rsidP="003A6AB8">
            <w:pPr>
              <w:pStyle w:val="Copyrightpage-BodyBold"/>
              <w:ind w:right="-284"/>
              <w:rPr>
                <w:rFonts w:asciiTheme="majorHAnsi" w:hAnsiTheme="majorHAnsi"/>
              </w:rPr>
            </w:pPr>
            <w:r>
              <w:rPr>
                <w:rStyle w:val="White"/>
              </w:rPr>
              <w:lastRenderedPageBreak/>
              <w:br w:type="page"/>
            </w:r>
            <w:r w:rsidRPr="00151C74">
              <w:rPr>
                <w:rFonts w:asciiTheme="majorHAnsi" w:hAnsiTheme="majorHAnsi"/>
              </w:rPr>
              <w:t>The Productivity Commission acknowledges that Aboriginal and Torres Strait Islander people are the first storytellers of this land and Traditional Owners of Country on which we now live and work. We recognise their continuing connection to lands, waters, communities and cultures. We pay our respects to Aboriginal and Torres Strait Islander cultures, and to Elders past and present.</w:t>
            </w:r>
          </w:p>
          <w:p w14:paraId="08DB11F2" w14:textId="77777777" w:rsidR="008F0F6D" w:rsidRPr="000F4488" w:rsidRDefault="008F0F6D" w:rsidP="003A6AB8">
            <w:pPr>
              <w:pStyle w:val="Copyrightpage-BodyBold"/>
              <w:ind w:right="-284"/>
              <w:rPr>
                <w:rFonts w:asciiTheme="majorHAnsi" w:hAnsiTheme="majorHAnsi"/>
              </w:rPr>
            </w:pPr>
            <w:r w:rsidRPr="00151C74">
              <w:rPr>
                <w:rFonts w:asciiTheme="majorHAnsi" w:hAnsiTheme="majorHAnsi"/>
              </w:rPr>
              <w:t>Aboriginal and Torres Strait Islander people should be aware that this report may contain the names of people who have since passed away.</w:t>
            </w:r>
          </w:p>
          <w:p w14:paraId="574C2E81" w14:textId="77777777" w:rsidR="008F0F6D" w:rsidRPr="00C02D61" w:rsidRDefault="008F0F6D" w:rsidP="003A6AB8">
            <w:pPr>
              <w:pStyle w:val="Copyrightpage-Keylinenotext"/>
              <w:ind w:right="-284"/>
              <w:rPr>
                <w:color w:val="FFFFFF" w:themeColor="background1"/>
              </w:rPr>
            </w:pPr>
          </w:p>
          <w:p w14:paraId="20A0F08B" w14:textId="77777777" w:rsidR="008F0F6D" w:rsidRPr="00D96F65" w:rsidRDefault="008F0F6D" w:rsidP="003A6AB8">
            <w:pPr>
              <w:pStyle w:val="Copyrightpage-Heading"/>
              <w:ind w:right="-284"/>
            </w:pPr>
            <w:r w:rsidRPr="00D96F65">
              <w:t>The Productivity Commission</w:t>
            </w:r>
          </w:p>
          <w:p w14:paraId="5938CAA1" w14:textId="77777777" w:rsidR="008F0F6D" w:rsidRPr="00A57443" w:rsidRDefault="008F0F6D" w:rsidP="003A6AB8">
            <w:pPr>
              <w:pStyle w:val="Copyrightpage-BodyBold"/>
              <w:rPr>
                <w:spacing w:val="-4"/>
              </w:rPr>
            </w:pPr>
            <w:r w:rsidRPr="00A57443">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72C25CED" w14:textId="77777777" w:rsidR="008F0F6D" w:rsidRPr="000F4488" w:rsidRDefault="008F0F6D" w:rsidP="003A6AB8">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2573D328" w14:textId="77777777" w:rsidR="008F0F6D" w:rsidRPr="000F4488" w:rsidRDefault="008F0F6D" w:rsidP="003A6AB8">
            <w:pPr>
              <w:pStyle w:val="Copyrightpage-BodyBold"/>
            </w:pPr>
            <w:r w:rsidRPr="000561CF">
              <w:t>Further information on the Productivity Commission can be obtained from the Commission’s website (www.pc.gov.au).</w:t>
            </w:r>
          </w:p>
          <w:p w14:paraId="67785E1A" w14:textId="77777777" w:rsidR="008F0F6D" w:rsidRPr="00C02D61" w:rsidRDefault="008F0F6D" w:rsidP="003A6AB8">
            <w:pPr>
              <w:pStyle w:val="Copyrightpage-Keylinenotext"/>
              <w:ind w:right="-284"/>
              <w:rPr>
                <w:b/>
                <w:bCs/>
                <w:color w:val="FFFFFF" w:themeColor="background1"/>
              </w:rPr>
            </w:pPr>
          </w:p>
          <w:p w14:paraId="0FBEEA9C" w14:textId="77777777" w:rsidR="008F0F6D" w:rsidRPr="000561CF" w:rsidRDefault="008F0F6D" w:rsidP="003A6AB8">
            <w:pPr>
              <w:pStyle w:val="Copyrightpage-BodyBold"/>
            </w:pPr>
            <w:r w:rsidRPr="00E72EE0">
              <w:t>©</w:t>
            </w:r>
            <w:r w:rsidRPr="00137FAB">
              <w:t xml:space="preserve"> Commonwealth of Australia 202</w:t>
            </w:r>
            <w:r>
              <w:t>3</w:t>
            </w:r>
          </w:p>
          <w:p w14:paraId="2A3B0A03" w14:textId="77777777" w:rsidR="008F0F6D" w:rsidRPr="00E72EE0" w:rsidRDefault="008F0F6D" w:rsidP="003A6AB8">
            <w:pPr>
              <w:pStyle w:val="Copyrightpage-Heading2"/>
              <w:spacing w:before="0"/>
              <w:ind w:right="-284"/>
              <w:rPr>
                <w:bCs/>
              </w:rPr>
            </w:pPr>
            <w:r w:rsidRPr="00E72EE0">
              <w:rPr>
                <w:bCs/>
                <w:noProof/>
              </w:rPr>
              <w:drawing>
                <wp:inline distT="0" distB="0" distL="0" distR="0" wp14:anchorId="117D8373" wp14:editId="17288701">
                  <wp:extent cx="774000" cy="270000"/>
                  <wp:effectExtent l="0" t="0" r="7620" b="0"/>
                  <wp:docPr id="6" name="Graphic 6"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74000" cy="270000"/>
                          </a:xfrm>
                          <a:prstGeom prst="rect">
                            <a:avLst/>
                          </a:prstGeom>
                        </pic:spPr>
                      </pic:pic>
                    </a:graphicData>
                  </a:graphic>
                </wp:inline>
              </w:drawing>
            </w:r>
          </w:p>
          <w:p w14:paraId="35FBD66E" w14:textId="77777777" w:rsidR="008F0F6D" w:rsidRPr="000F4488" w:rsidRDefault="008F0F6D" w:rsidP="003A6AB8">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195DFC6D" w14:textId="77777777" w:rsidR="008F0F6D" w:rsidRPr="000F4488" w:rsidRDefault="008F0F6D" w:rsidP="003A6AB8">
            <w:pPr>
              <w:pStyle w:val="Copyrightpage-BodyBold"/>
            </w:pPr>
            <w:r w:rsidRPr="000561CF">
              <w:t>The terms under which the Coat of Arms can be used are detailed at: www.pmc.gov.au/government/commonwealth-coat-arms.</w:t>
            </w:r>
          </w:p>
          <w:p w14:paraId="45A9997F" w14:textId="77777777" w:rsidR="008F0F6D" w:rsidRPr="000561CF" w:rsidRDefault="008F0F6D" w:rsidP="003A6AB8">
            <w:pPr>
              <w:pStyle w:val="Copyrightpage-BodyBold"/>
            </w:pPr>
            <w:r w:rsidRPr="000561CF">
              <w:t>Wherever a third party holds copyright in this material the copyright remains with that party. Their permission may be required to use the material, please contact them directly.</w:t>
            </w:r>
          </w:p>
          <w:p w14:paraId="167263F2" w14:textId="7A2BCF6B" w:rsidR="008F0F6D" w:rsidRPr="00137FAB" w:rsidRDefault="008F0F6D" w:rsidP="003A6AB8">
            <w:pPr>
              <w:pStyle w:val="Copyrightpage-BodyBold"/>
            </w:pPr>
            <w:r w:rsidRPr="000F4488">
              <w:t>An appropriate reference for this publication is:</w:t>
            </w:r>
            <w:r>
              <w:br/>
              <w:t xml:space="preserve">Productivity Commission 2023, </w:t>
            </w:r>
            <w:r>
              <w:rPr>
                <w:i/>
                <w:iCs/>
              </w:rPr>
              <w:t>Review of the National Agreement on Closing the Gap</w:t>
            </w:r>
            <w:r w:rsidRPr="00262F79">
              <w:t>,</w:t>
            </w:r>
            <w:r>
              <w:t xml:space="preserve"> Draft Report, </w:t>
            </w:r>
            <w:r w:rsidRPr="00262F79">
              <w:t xml:space="preserve">Information Paper </w:t>
            </w:r>
            <w:r>
              <w:t>6, Canberra, July</w:t>
            </w:r>
          </w:p>
          <w:p w14:paraId="3D710757" w14:textId="77777777" w:rsidR="008F0F6D" w:rsidRDefault="008F0F6D" w:rsidP="003A6AB8">
            <w:pPr>
              <w:pStyle w:val="Copyrightpage-BodyBold"/>
              <w:ind w:right="-284"/>
            </w:pPr>
          </w:p>
          <w:p w14:paraId="37295037" w14:textId="2EDB58E0" w:rsidR="008F0F6D" w:rsidRPr="00EC39A5" w:rsidRDefault="008F0F6D" w:rsidP="00CA43B8">
            <w:pPr>
              <w:pStyle w:val="Copyrightpage-BodyBold"/>
              <w:ind w:right="-284"/>
            </w:pPr>
            <w:r w:rsidRPr="00E72EE0">
              <w:t xml:space="preserve">Publication enquiries: </w:t>
            </w:r>
            <w:r>
              <w:br/>
              <w:t>P</w:t>
            </w:r>
            <w:r w:rsidRPr="00137FAB">
              <w:t xml:space="preserve">hone 03 9653 2244 | </w:t>
            </w:r>
            <w:r>
              <w:t>E</w:t>
            </w:r>
            <w:r w:rsidRPr="00137FAB">
              <w:t xml:space="preserve">mail </w:t>
            </w:r>
            <w:r w:rsidRPr="00AC587D">
              <w:t>publications@pc.gov.au</w:t>
            </w:r>
          </w:p>
        </w:tc>
      </w:tr>
    </w:tbl>
    <w:p w14:paraId="6F145214" w14:textId="40D9BD52" w:rsidR="003967CE" w:rsidRDefault="003967CE">
      <w:r>
        <w:br w:type="page"/>
      </w:r>
    </w:p>
    <w:p w14:paraId="36A33CC4" w14:textId="65B8C400" w:rsidR="000D11F3" w:rsidRPr="00597F10" w:rsidRDefault="000D11F3" w:rsidP="000D11F3">
      <w:pPr>
        <w:pStyle w:val="TOCHeading"/>
      </w:pPr>
      <w:r>
        <w:lastRenderedPageBreak/>
        <w:t>Contents</w:t>
      </w:r>
    </w:p>
    <w:p w14:paraId="53D04070" w14:textId="0F5ABE53" w:rsidR="0047513F" w:rsidRDefault="0047513F" w:rsidP="000D11F3">
      <w:pPr>
        <w:pStyle w:val="TOC1"/>
      </w:pPr>
      <w:r>
        <w:t>Key points</w:t>
      </w:r>
      <w:r>
        <w:tab/>
        <w:t>4</w:t>
      </w:r>
    </w:p>
    <w:p w14:paraId="245B4C15" w14:textId="07C75ED6" w:rsidR="000D11F3" w:rsidRPr="000D11F3" w:rsidRDefault="000D11F3" w:rsidP="000D11F3">
      <w:pPr>
        <w:pStyle w:val="TOC1"/>
      </w:pPr>
      <w:r w:rsidRPr="000D11F3">
        <w:fldChar w:fldCharType="begin"/>
      </w:r>
      <w:r w:rsidRPr="000D11F3">
        <w:instrText xml:space="preserve"> TOC \\h \z \t "Heading 1,1,Heading-Appendix,1, Heading 1-no number,1, Heading 1-no background,1, Heading 1-Section blue background,3, Heading 1-Section-full page,3,Heading 2,2,Heading 2-no number,2,Heading 2-Appendix,2,Heading 1 - Intro,3,Heading 1-numbered,3,Section Heading-pale blue,3" </w:instrText>
      </w:r>
      <w:r w:rsidRPr="000D11F3">
        <w:fldChar w:fldCharType="separate"/>
      </w:r>
      <w:r w:rsidRPr="000D11F3">
        <w:t>1</w:t>
      </w:r>
      <w:r w:rsidRPr="000D11F3">
        <w:tab/>
        <w:t>Knowing the Agreement is making a difference</w:t>
      </w:r>
      <w:r w:rsidRPr="000D11F3">
        <w:rPr>
          <w:webHidden/>
        </w:rPr>
        <w:tab/>
      </w:r>
      <w:r w:rsidRPr="000D11F3">
        <w:rPr>
          <w:webHidden/>
        </w:rPr>
        <w:fldChar w:fldCharType="begin"/>
      </w:r>
      <w:r w:rsidRPr="000D11F3">
        <w:rPr>
          <w:webHidden/>
        </w:rPr>
        <w:instrText xml:space="preserve"> PAGEREF _Toc140484714 \h </w:instrText>
      </w:r>
      <w:r w:rsidRPr="000D11F3">
        <w:rPr>
          <w:webHidden/>
        </w:rPr>
      </w:r>
      <w:r w:rsidRPr="000D11F3">
        <w:rPr>
          <w:webHidden/>
        </w:rPr>
        <w:fldChar w:fldCharType="separate"/>
      </w:r>
      <w:r w:rsidR="00231D98">
        <w:rPr>
          <w:noProof/>
          <w:webHidden/>
        </w:rPr>
        <w:t>5</w:t>
      </w:r>
      <w:r w:rsidRPr="000D11F3">
        <w:rPr>
          <w:webHidden/>
        </w:rPr>
        <w:fldChar w:fldCharType="end"/>
      </w:r>
    </w:p>
    <w:p w14:paraId="5D827A59" w14:textId="0D071AB6" w:rsidR="000D11F3" w:rsidRPr="000D11F3" w:rsidRDefault="000D11F3" w:rsidP="000D11F3">
      <w:pPr>
        <w:pStyle w:val="TOC1"/>
      </w:pPr>
      <w:r w:rsidRPr="000D11F3">
        <w:t>2</w:t>
      </w:r>
      <w:r w:rsidRPr="000D11F3">
        <w:tab/>
        <w:t xml:space="preserve">Is there a shared understanding of the purpose of </w:t>
      </w:r>
      <w:r>
        <w:br/>
      </w:r>
      <w:r w:rsidRPr="000D11F3">
        <w:t>performance monitoring?</w:t>
      </w:r>
      <w:r w:rsidRPr="000D11F3">
        <w:rPr>
          <w:webHidden/>
        </w:rPr>
        <w:tab/>
      </w:r>
      <w:r w:rsidRPr="000D11F3">
        <w:rPr>
          <w:webHidden/>
        </w:rPr>
        <w:fldChar w:fldCharType="begin"/>
      </w:r>
      <w:r w:rsidRPr="000D11F3">
        <w:rPr>
          <w:webHidden/>
        </w:rPr>
        <w:instrText xml:space="preserve"> PAGEREF _Toc140484715 \h </w:instrText>
      </w:r>
      <w:r w:rsidRPr="000D11F3">
        <w:rPr>
          <w:webHidden/>
        </w:rPr>
      </w:r>
      <w:r w:rsidRPr="000D11F3">
        <w:rPr>
          <w:webHidden/>
        </w:rPr>
        <w:fldChar w:fldCharType="separate"/>
      </w:r>
      <w:r w:rsidR="00231D98">
        <w:rPr>
          <w:noProof/>
          <w:webHidden/>
        </w:rPr>
        <w:t>12</w:t>
      </w:r>
      <w:r w:rsidRPr="000D11F3">
        <w:rPr>
          <w:webHidden/>
        </w:rPr>
        <w:fldChar w:fldCharType="end"/>
      </w:r>
    </w:p>
    <w:p w14:paraId="719C956D" w14:textId="44C0CAC6" w:rsidR="000D11F3" w:rsidRPr="000D11F3" w:rsidRDefault="000D11F3" w:rsidP="000D11F3">
      <w:pPr>
        <w:pStyle w:val="TOC1"/>
      </w:pPr>
      <w:r w:rsidRPr="000D11F3">
        <w:t>3</w:t>
      </w:r>
      <w:r w:rsidRPr="000D11F3">
        <w:tab/>
        <w:t xml:space="preserve">Does the performance framework have a clear </w:t>
      </w:r>
      <w:r>
        <w:br/>
      </w:r>
      <w:r w:rsidRPr="000D11F3">
        <w:t>conceptual logic?</w:t>
      </w:r>
      <w:r w:rsidRPr="000D11F3">
        <w:rPr>
          <w:webHidden/>
        </w:rPr>
        <w:tab/>
      </w:r>
      <w:r w:rsidRPr="000D11F3">
        <w:rPr>
          <w:webHidden/>
        </w:rPr>
        <w:fldChar w:fldCharType="begin"/>
      </w:r>
      <w:r w:rsidRPr="000D11F3">
        <w:rPr>
          <w:webHidden/>
        </w:rPr>
        <w:instrText xml:space="preserve"> PAGEREF _Toc140484716 \h </w:instrText>
      </w:r>
      <w:r w:rsidRPr="000D11F3">
        <w:rPr>
          <w:webHidden/>
        </w:rPr>
      </w:r>
      <w:r w:rsidRPr="000D11F3">
        <w:rPr>
          <w:webHidden/>
        </w:rPr>
        <w:fldChar w:fldCharType="separate"/>
      </w:r>
      <w:r w:rsidR="00231D98">
        <w:rPr>
          <w:noProof/>
          <w:webHidden/>
        </w:rPr>
        <w:t>16</w:t>
      </w:r>
      <w:r w:rsidRPr="000D11F3">
        <w:rPr>
          <w:webHidden/>
        </w:rPr>
        <w:fldChar w:fldCharType="end"/>
      </w:r>
    </w:p>
    <w:p w14:paraId="1F1D626C" w14:textId="4DF857F7" w:rsidR="000D11F3" w:rsidRPr="000D11F3" w:rsidRDefault="000D11F3" w:rsidP="000D11F3">
      <w:pPr>
        <w:pStyle w:val="TOC1"/>
      </w:pPr>
      <w:r w:rsidRPr="000D11F3">
        <w:t>4</w:t>
      </w:r>
      <w:r w:rsidRPr="000D11F3">
        <w:tab/>
        <w:t>Is the measurement approach balanced and fit</w:t>
      </w:r>
      <w:r w:rsidRPr="000D11F3">
        <w:noBreakHyphen/>
        <w:t>for</w:t>
      </w:r>
      <w:r w:rsidRPr="000D11F3">
        <w:noBreakHyphen/>
        <w:t>purpose?</w:t>
      </w:r>
      <w:r w:rsidRPr="000D11F3">
        <w:rPr>
          <w:webHidden/>
        </w:rPr>
        <w:tab/>
      </w:r>
      <w:r w:rsidRPr="000D11F3">
        <w:rPr>
          <w:webHidden/>
        </w:rPr>
        <w:fldChar w:fldCharType="begin"/>
      </w:r>
      <w:r w:rsidRPr="000D11F3">
        <w:rPr>
          <w:webHidden/>
        </w:rPr>
        <w:instrText xml:space="preserve"> PAGEREF _Toc140484717 \h </w:instrText>
      </w:r>
      <w:r w:rsidRPr="000D11F3">
        <w:rPr>
          <w:webHidden/>
        </w:rPr>
      </w:r>
      <w:r w:rsidRPr="000D11F3">
        <w:rPr>
          <w:webHidden/>
        </w:rPr>
        <w:fldChar w:fldCharType="separate"/>
      </w:r>
      <w:r w:rsidR="00231D98">
        <w:rPr>
          <w:noProof/>
          <w:webHidden/>
        </w:rPr>
        <w:t>20</w:t>
      </w:r>
      <w:r w:rsidRPr="000D11F3">
        <w:rPr>
          <w:webHidden/>
        </w:rPr>
        <w:fldChar w:fldCharType="end"/>
      </w:r>
    </w:p>
    <w:p w14:paraId="45558B65" w14:textId="5C790862" w:rsidR="000D11F3" w:rsidRPr="000D11F3" w:rsidRDefault="000D11F3" w:rsidP="000D11F3">
      <w:pPr>
        <w:pStyle w:val="TOC1"/>
      </w:pPr>
      <w:r w:rsidRPr="000D11F3">
        <w:t>5</w:t>
      </w:r>
      <w:r w:rsidRPr="000D11F3">
        <w:tab/>
        <w:t xml:space="preserve">Are clear and appropriate data governance arrangements </w:t>
      </w:r>
      <w:r>
        <w:br/>
      </w:r>
      <w:r w:rsidRPr="000D11F3">
        <w:t>in place?</w:t>
      </w:r>
      <w:r w:rsidRPr="000D11F3">
        <w:rPr>
          <w:webHidden/>
        </w:rPr>
        <w:tab/>
      </w:r>
      <w:r w:rsidRPr="000D11F3">
        <w:rPr>
          <w:webHidden/>
        </w:rPr>
        <w:fldChar w:fldCharType="begin"/>
      </w:r>
      <w:r w:rsidRPr="000D11F3">
        <w:rPr>
          <w:webHidden/>
        </w:rPr>
        <w:instrText xml:space="preserve"> PAGEREF _Toc140484718 \h </w:instrText>
      </w:r>
      <w:r w:rsidRPr="000D11F3">
        <w:rPr>
          <w:webHidden/>
        </w:rPr>
      </w:r>
      <w:r w:rsidRPr="000D11F3">
        <w:rPr>
          <w:webHidden/>
        </w:rPr>
        <w:fldChar w:fldCharType="separate"/>
      </w:r>
      <w:r w:rsidR="00231D98">
        <w:rPr>
          <w:noProof/>
          <w:webHidden/>
        </w:rPr>
        <w:t>35</w:t>
      </w:r>
      <w:r w:rsidRPr="000D11F3">
        <w:rPr>
          <w:webHidden/>
        </w:rPr>
        <w:fldChar w:fldCharType="end"/>
      </w:r>
    </w:p>
    <w:p w14:paraId="6AB8E857" w14:textId="78B44A19" w:rsidR="000D11F3" w:rsidRPr="000D11F3" w:rsidRDefault="000D11F3" w:rsidP="000D11F3">
      <w:pPr>
        <w:pStyle w:val="TOC1"/>
      </w:pPr>
      <w:r w:rsidRPr="000D11F3">
        <w:t>6</w:t>
      </w:r>
      <w:r w:rsidRPr="000D11F3">
        <w:tab/>
        <w:t xml:space="preserve">Is reporting providing the information that is needed in </w:t>
      </w:r>
      <w:r>
        <w:br/>
      </w:r>
      <w:r w:rsidRPr="000D11F3">
        <w:t>an accessible way?</w:t>
      </w:r>
      <w:r w:rsidRPr="000D11F3">
        <w:rPr>
          <w:webHidden/>
        </w:rPr>
        <w:tab/>
      </w:r>
      <w:r w:rsidRPr="000D11F3">
        <w:rPr>
          <w:webHidden/>
        </w:rPr>
        <w:fldChar w:fldCharType="begin"/>
      </w:r>
      <w:r w:rsidRPr="000D11F3">
        <w:rPr>
          <w:webHidden/>
        </w:rPr>
        <w:instrText xml:space="preserve"> PAGEREF _Toc140484720 \h </w:instrText>
      </w:r>
      <w:r w:rsidRPr="000D11F3">
        <w:rPr>
          <w:webHidden/>
        </w:rPr>
      </w:r>
      <w:r w:rsidRPr="000D11F3">
        <w:rPr>
          <w:webHidden/>
        </w:rPr>
        <w:fldChar w:fldCharType="separate"/>
      </w:r>
      <w:r w:rsidR="00231D98">
        <w:rPr>
          <w:noProof/>
          <w:webHidden/>
        </w:rPr>
        <w:t>44</w:t>
      </w:r>
      <w:r w:rsidRPr="000D11F3">
        <w:rPr>
          <w:webHidden/>
        </w:rPr>
        <w:fldChar w:fldCharType="end"/>
      </w:r>
    </w:p>
    <w:p w14:paraId="52B642F9" w14:textId="029A8090" w:rsidR="000D11F3" w:rsidRPr="000D11F3" w:rsidRDefault="000D11F3" w:rsidP="000D11F3">
      <w:pPr>
        <w:pStyle w:val="TOC1"/>
      </w:pPr>
      <w:r w:rsidRPr="000D11F3">
        <w:t xml:space="preserve">Attachment A </w:t>
      </w:r>
      <w:r w:rsidRPr="000D11F3">
        <w:noBreakHyphen/>
        <w:t xml:space="preserve"> The Agreement’s outcomes and targets</w:t>
      </w:r>
      <w:r w:rsidRPr="000D11F3">
        <w:rPr>
          <w:webHidden/>
        </w:rPr>
        <w:tab/>
      </w:r>
      <w:r w:rsidRPr="000D11F3">
        <w:rPr>
          <w:webHidden/>
        </w:rPr>
        <w:fldChar w:fldCharType="begin"/>
      </w:r>
      <w:r w:rsidRPr="000D11F3">
        <w:rPr>
          <w:webHidden/>
        </w:rPr>
        <w:instrText xml:space="preserve"> PAGEREF _Toc140484721 \h </w:instrText>
      </w:r>
      <w:r w:rsidRPr="000D11F3">
        <w:rPr>
          <w:webHidden/>
        </w:rPr>
      </w:r>
      <w:r w:rsidRPr="000D11F3">
        <w:rPr>
          <w:webHidden/>
        </w:rPr>
        <w:fldChar w:fldCharType="separate"/>
      </w:r>
      <w:r w:rsidR="00231D98">
        <w:rPr>
          <w:noProof/>
          <w:webHidden/>
        </w:rPr>
        <w:t>56</w:t>
      </w:r>
      <w:r w:rsidRPr="000D11F3">
        <w:rPr>
          <w:webHidden/>
        </w:rPr>
        <w:fldChar w:fldCharType="end"/>
      </w:r>
    </w:p>
    <w:p w14:paraId="35341D7B" w14:textId="2A5EB1E5" w:rsidR="000D11F3" w:rsidRPr="000D11F3" w:rsidRDefault="000D11F3" w:rsidP="000D11F3">
      <w:pPr>
        <w:pStyle w:val="TOC1"/>
      </w:pPr>
      <w:r w:rsidRPr="000D11F3">
        <w:t>References</w:t>
      </w:r>
      <w:r w:rsidRPr="000D11F3">
        <w:rPr>
          <w:webHidden/>
        </w:rPr>
        <w:tab/>
      </w:r>
      <w:r w:rsidRPr="000D11F3">
        <w:rPr>
          <w:webHidden/>
        </w:rPr>
        <w:fldChar w:fldCharType="begin"/>
      </w:r>
      <w:r w:rsidRPr="000D11F3">
        <w:rPr>
          <w:webHidden/>
        </w:rPr>
        <w:instrText xml:space="preserve"> PAGEREF _Toc140484722 \h </w:instrText>
      </w:r>
      <w:r w:rsidRPr="000D11F3">
        <w:rPr>
          <w:webHidden/>
        </w:rPr>
      </w:r>
      <w:r w:rsidRPr="000D11F3">
        <w:rPr>
          <w:webHidden/>
        </w:rPr>
        <w:fldChar w:fldCharType="separate"/>
      </w:r>
      <w:r w:rsidR="00231D98">
        <w:rPr>
          <w:noProof/>
          <w:webHidden/>
        </w:rPr>
        <w:t>59</w:t>
      </w:r>
      <w:r w:rsidRPr="000D11F3">
        <w:rPr>
          <w:webHidden/>
        </w:rPr>
        <w:fldChar w:fldCharType="end"/>
      </w:r>
    </w:p>
    <w:p w14:paraId="22B6D538" w14:textId="2B5BB50D" w:rsidR="00750AB2" w:rsidRDefault="000D11F3" w:rsidP="000D11F3">
      <w:pPr>
        <w:pStyle w:val="TOC1"/>
      </w:pPr>
      <w:r w:rsidRPr="000D11F3">
        <w:fldChar w:fldCharType="end"/>
      </w:r>
      <w:r w:rsidR="003967CE">
        <w:br w:type="page"/>
      </w:r>
    </w:p>
    <w:tbl>
      <w:tblPr>
        <w:tblStyle w:val="Texttable-Paleblue"/>
        <w:tblW w:w="5000" w:type="pct"/>
        <w:tblLook w:val="04A0" w:firstRow="1" w:lastRow="0" w:firstColumn="1" w:lastColumn="0" w:noHBand="0" w:noVBand="1"/>
      </w:tblPr>
      <w:tblGrid>
        <w:gridCol w:w="577"/>
        <w:gridCol w:w="9061"/>
      </w:tblGrid>
      <w:tr w:rsidR="005808C9" w14:paraId="1F6DF5AA" w14:textId="77777777" w:rsidTr="00052DE0">
        <w:tc>
          <w:tcPr>
            <w:tcW w:w="9638" w:type="dxa"/>
            <w:gridSpan w:val="2"/>
            <w:shd w:val="clear" w:color="auto" w:fill="FBF3EC"/>
            <w:tcMar>
              <w:top w:w="113" w:type="dxa"/>
              <w:left w:w="170" w:type="dxa"/>
              <w:bottom w:w="113" w:type="dxa"/>
              <w:right w:w="113" w:type="dxa"/>
            </w:tcMar>
            <w:hideMark/>
          </w:tcPr>
          <w:p w14:paraId="5B45CA47" w14:textId="143FC303" w:rsidR="005808C9" w:rsidRDefault="005808C9" w:rsidP="006265E4">
            <w:pPr>
              <w:pStyle w:val="Keypoints-heading"/>
            </w:pPr>
            <w:r>
              <w:lastRenderedPageBreak/>
              <w:t>Key points</w:t>
            </w:r>
          </w:p>
        </w:tc>
      </w:tr>
      <w:tr w:rsidR="005808C9" w14:paraId="6DDBCC8C" w14:textId="77777777" w:rsidTr="00052DE0">
        <w:tc>
          <w:tcPr>
            <w:tcW w:w="577" w:type="dxa"/>
            <w:shd w:val="clear" w:color="auto" w:fill="FBF3EC"/>
            <w:tcMar>
              <w:top w:w="0" w:type="dxa"/>
              <w:left w:w="113" w:type="dxa"/>
              <w:bottom w:w="0" w:type="dxa"/>
              <w:right w:w="113" w:type="dxa"/>
            </w:tcMar>
            <w:hideMark/>
          </w:tcPr>
          <w:p w14:paraId="58763580" w14:textId="1E018980" w:rsidR="005808C9" w:rsidRDefault="000D60A9">
            <w:pPr>
              <w:pStyle w:val="KeyPointsicon"/>
            </w:pPr>
            <w:r w:rsidRPr="00A51374">
              <w:rPr>
                <w:noProof/>
              </w:rPr>
              <w:drawing>
                <wp:inline distT="0" distB="0" distL="0" distR="0" wp14:anchorId="3C04C2ED" wp14:editId="1DB6C642">
                  <wp:extent cx="219850" cy="223849"/>
                  <wp:effectExtent l="0" t="0" r="0" b="5080"/>
                  <wp:docPr id="842291460" name="Picture 842291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850" cy="223849"/>
                          </a:xfrm>
                          <a:prstGeom prst="rect">
                            <a:avLst/>
                          </a:prstGeom>
                        </pic:spPr>
                      </pic:pic>
                    </a:graphicData>
                  </a:graphic>
                </wp:inline>
              </w:drawing>
            </w:r>
          </w:p>
        </w:tc>
        <w:tc>
          <w:tcPr>
            <w:tcW w:w="9061" w:type="dxa"/>
            <w:shd w:val="clear" w:color="auto" w:fill="FBF3EC"/>
            <w:tcMar>
              <w:top w:w="28" w:type="dxa"/>
              <w:left w:w="28" w:type="dxa"/>
              <w:bottom w:w="113" w:type="dxa"/>
              <w:right w:w="113" w:type="dxa"/>
            </w:tcMar>
            <w:hideMark/>
          </w:tcPr>
          <w:p w14:paraId="1C4AE57F" w14:textId="555C9417" w:rsidR="0043553B" w:rsidRDefault="00B6652A" w:rsidP="00024B43">
            <w:pPr>
              <w:pStyle w:val="KeyPoints-Bold"/>
            </w:pPr>
            <w:r>
              <w:t>The</w:t>
            </w:r>
            <w:r w:rsidR="00977D28">
              <w:t xml:space="preserve"> performance monitoring approach </w:t>
            </w:r>
            <w:r w:rsidR="003E60C7">
              <w:t>of the National Agreement on Closing the Gap (the Agreement)</w:t>
            </w:r>
            <w:r w:rsidR="00977D28">
              <w:t xml:space="preserve"> is </w:t>
            </w:r>
            <w:r w:rsidR="00C53473">
              <w:t>intended</w:t>
            </w:r>
            <w:r w:rsidR="00977D28">
              <w:t xml:space="preserve"> to drive </w:t>
            </w:r>
            <w:r w:rsidR="000C6186">
              <w:t>government</w:t>
            </w:r>
            <w:r w:rsidR="000C6186" w:rsidRPr="006265E4">
              <w:t xml:space="preserve"> </w:t>
            </w:r>
            <w:r w:rsidR="00977D28">
              <w:t xml:space="preserve">effort and </w:t>
            </w:r>
            <w:r w:rsidR="005E375B">
              <w:t>provide</w:t>
            </w:r>
            <w:r w:rsidR="00977D28">
              <w:t xml:space="preserve"> public accountability for progress</w:t>
            </w:r>
            <w:r w:rsidR="00D77098">
              <w:t xml:space="preserve">, but the </w:t>
            </w:r>
            <w:r w:rsidR="00A9675B">
              <w:t>design of</w:t>
            </w:r>
            <w:r w:rsidR="00D77098">
              <w:t xml:space="preserve"> </w:t>
            </w:r>
            <w:r w:rsidR="00430336">
              <w:t xml:space="preserve">its </w:t>
            </w:r>
            <w:r w:rsidR="00D77098">
              <w:t>targets does not enable this</w:t>
            </w:r>
            <w:r w:rsidR="00B525DD">
              <w:t>.</w:t>
            </w:r>
          </w:p>
          <w:p w14:paraId="02D86D08" w14:textId="3656FA74" w:rsidR="008824C6" w:rsidRDefault="004B48A1" w:rsidP="00487F39">
            <w:pPr>
              <w:pStyle w:val="KeyPoints-Bullet"/>
            </w:pPr>
            <w:r>
              <w:t>The Agreement’s t</w:t>
            </w:r>
            <w:r w:rsidR="00977D28">
              <w:t xml:space="preserve">argets are </w:t>
            </w:r>
            <w:r w:rsidR="00827FC3">
              <w:t xml:space="preserve">intended to be </w:t>
            </w:r>
            <w:r w:rsidR="00977D28">
              <w:t xml:space="preserve">met at the national level, </w:t>
            </w:r>
            <w:r w:rsidR="00827FC3">
              <w:t xml:space="preserve">but </w:t>
            </w:r>
            <w:r w:rsidR="00F02F07">
              <w:t xml:space="preserve">jurisdictions have not </w:t>
            </w:r>
            <w:r w:rsidR="00573110">
              <w:t>agreed to how much they will each contribute to achieving them</w:t>
            </w:r>
            <w:r w:rsidR="00F07D32">
              <w:t xml:space="preserve">. This </w:t>
            </w:r>
            <w:r w:rsidR="00021C0C">
              <w:t xml:space="preserve">weakens their purpose as an accountability </w:t>
            </w:r>
            <w:r w:rsidR="00165718">
              <w:t>mechanism.</w:t>
            </w:r>
          </w:p>
          <w:p w14:paraId="0FF96672" w14:textId="11142BEF" w:rsidR="005808C9" w:rsidRPr="006265E4" w:rsidRDefault="00A55B3C" w:rsidP="00487F39">
            <w:pPr>
              <w:pStyle w:val="KeyPoints-Bullet"/>
            </w:pPr>
            <w:r>
              <w:t xml:space="preserve">Without </w:t>
            </w:r>
            <w:r w:rsidR="00965D6E">
              <w:t>regional</w:t>
            </w:r>
            <w:r w:rsidR="00D472AE">
              <w:t xml:space="preserve"> disaggregation of </w:t>
            </w:r>
            <w:r>
              <w:t>target data</w:t>
            </w:r>
            <w:r w:rsidR="00D472AE">
              <w:t>, communities cannot</w:t>
            </w:r>
            <w:r w:rsidR="00D862F0">
              <w:t xml:space="preserve"> hold states and territories to account for the equitable distribution of progress</w:t>
            </w:r>
            <w:r w:rsidR="007F3A8E">
              <w:t xml:space="preserve"> across </w:t>
            </w:r>
            <w:r w:rsidR="00760FA6">
              <w:t xml:space="preserve">diverse </w:t>
            </w:r>
            <w:r w:rsidR="007F3A8E">
              <w:t>regions</w:t>
            </w:r>
            <w:r w:rsidR="00276A67">
              <w:t>.</w:t>
            </w:r>
          </w:p>
        </w:tc>
      </w:tr>
      <w:tr w:rsidR="005808C9" w14:paraId="0028AF33" w14:textId="77777777" w:rsidTr="00052DE0">
        <w:tc>
          <w:tcPr>
            <w:tcW w:w="577" w:type="dxa"/>
            <w:shd w:val="clear" w:color="auto" w:fill="FBF3EC"/>
            <w:tcMar>
              <w:top w:w="0" w:type="dxa"/>
              <w:left w:w="113" w:type="dxa"/>
              <w:bottom w:w="0" w:type="dxa"/>
              <w:right w:w="113" w:type="dxa"/>
            </w:tcMar>
            <w:hideMark/>
          </w:tcPr>
          <w:p w14:paraId="601061EA" w14:textId="079D2785" w:rsidR="005808C9" w:rsidRDefault="000D60A9">
            <w:pPr>
              <w:pStyle w:val="KeyPointsicon"/>
            </w:pPr>
            <w:r w:rsidRPr="00A51374">
              <w:rPr>
                <w:noProof/>
              </w:rPr>
              <w:drawing>
                <wp:inline distT="0" distB="0" distL="0" distR="0" wp14:anchorId="3301DA6E" wp14:editId="692581E1">
                  <wp:extent cx="219850" cy="223849"/>
                  <wp:effectExtent l="0" t="0" r="0" b="5080"/>
                  <wp:docPr id="2019334737" name="Picture 20193347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850" cy="223849"/>
                          </a:xfrm>
                          <a:prstGeom prst="rect">
                            <a:avLst/>
                          </a:prstGeom>
                        </pic:spPr>
                      </pic:pic>
                    </a:graphicData>
                  </a:graphic>
                </wp:inline>
              </w:drawing>
            </w:r>
          </w:p>
        </w:tc>
        <w:tc>
          <w:tcPr>
            <w:tcW w:w="9061" w:type="dxa"/>
            <w:shd w:val="clear" w:color="auto" w:fill="FBF3EC"/>
            <w:tcMar>
              <w:top w:w="28" w:type="dxa"/>
              <w:left w:w="28" w:type="dxa"/>
              <w:bottom w:w="113" w:type="dxa"/>
              <w:right w:w="113" w:type="dxa"/>
            </w:tcMar>
            <w:hideMark/>
          </w:tcPr>
          <w:p w14:paraId="252D11C0" w14:textId="6DBAB200" w:rsidR="0086256C" w:rsidRDefault="0061355B" w:rsidP="00ED3F66">
            <w:pPr>
              <w:pStyle w:val="KeyPoints-Bold"/>
            </w:pPr>
            <w:r>
              <w:t>The logic</w:t>
            </w:r>
            <w:r w:rsidR="00977D28" w:rsidRPr="00742341">
              <w:t xml:space="preserve"> </w:t>
            </w:r>
            <w:r w:rsidR="00D50274" w:rsidRPr="00742341">
              <w:t>that</w:t>
            </w:r>
            <w:r w:rsidR="00977D28" w:rsidRPr="00742341">
              <w:t xml:space="preserve"> </w:t>
            </w:r>
            <w:r w:rsidR="00961700" w:rsidRPr="00742341">
              <w:t>describ</w:t>
            </w:r>
            <w:r w:rsidR="00D50274" w:rsidRPr="00742341">
              <w:t>es</w:t>
            </w:r>
            <w:r w:rsidR="00977D28" w:rsidRPr="00742341">
              <w:t xml:space="preserve"> </w:t>
            </w:r>
            <w:r w:rsidR="00614029">
              <w:t>how</w:t>
            </w:r>
            <w:r w:rsidR="00977D28" w:rsidRPr="00742341">
              <w:t xml:space="preserve"> the </w:t>
            </w:r>
            <w:r w:rsidR="00AD455E">
              <w:t>P</w:t>
            </w:r>
            <w:r w:rsidR="00977D28" w:rsidRPr="00742341">
              <w:t xml:space="preserve">riority </w:t>
            </w:r>
            <w:r w:rsidR="00AD455E">
              <w:t>R</w:t>
            </w:r>
            <w:r w:rsidR="00977D28" w:rsidRPr="00742341">
              <w:t>eforms</w:t>
            </w:r>
            <w:r w:rsidR="00B037EC">
              <w:t xml:space="preserve"> </w:t>
            </w:r>
            <w:r w:rsidR="006933DA">
              <w:t>will</w:t>
            </w:r>
            <w:r w:rsidR="00B742F2" w:rsidRPr="00742341">
              <w:t xml:space="preserve"> </w:t>
            </w:r>
            <w:r w:rsidR="00852733">
              <w:t>improve</w:t>
            </w:r>
            <w:r w:rsidR="00977D28" w:rsidRPr="00742341">
              <w:t xml:space="preserve"> socio</w:t>
            </w:r>
            <w:r w:rsidR="00827859">
              <w:noBreakHyphen/>
            </w:r>
            <w:r w:rsidR="00977D28" w:rsidRPr="00742341">
              <w:t>economic outcomes</w:t>
            </w:r>
            <w:r w:rsidR="00852733">
              <w:t xml:space="preserve"> for Aboriginal and Torres Strait Islander people</w:t>
            </w:r>
            <w:r w:rsidR="00AD455E">
              <w:t xml:space="preserve"> needs to be</w:t>
            </w:r>
            <w:r w:rsidR="004F3148">
              <w:t xml:space="preserve"> explicitly</w:t>
            </w:r>
            <w:r w:rsidR="00AD455E">
              <w:t xml:space="preserve"> articulated and applied</w:t>
            </w:r>
            <w:r w:rsidR="004F0E78">
              <w:t xml:space="preserve"> to the performance monitoring </w:t>
            </w:r>
            <w:r w:rsidR="00874F67">
              <w:t>approach</w:t>
            </w:r>
            <w:r w:rsidR="00650367">
              <w:t xml:space="preserve"> and implementation plans</w:t>
            </w:r>
            <w:r w:rsidR="00977D28" w:rsidRPr="00742341">
              <w:t>.</w:t>
            </w:r>
            <w:r w:rsidR="00D6669D" w:rsidRPr="00742341">
              <w:t xml:space="preserve"> </w:t>
            </w:r>
            <w:r w:rsidR="004F3148">
              <w:t xml:space="preserve">Without </w:t>
            </w:r>
            <w:r w:rsidR="00874F67">
              <w:t>this</w:t>
            </w:r>
            <w:r w:rsidR="004F3148">
              <w:t xml:space="preserve">, </w:t>
            </w:r>
            <w:r w:rsidR="00305C60">
              <w:t xml:space="preserve">it is difficult to </w:t>
            </w:r>
            <w:r w:rsidR="00B6686F">
              <w:t>assess</w:t>
            </w:r>
            <w:r w:rsidR="00305C60">
              <w:t xml:space="preserve"> </w:t>
            </w:r>
            <w:r w:rsidR="00BE3CF1">
              <w:t xml:space="preserve">whether and </w:t>
            </w:r>
            <w:r w:rsidR="0081176A">
              <w:t>how</w:t>
            </w:r>
            <w:r w:rsidR="00D6669D" w:rsidRPr="00742341">
              <w:t xml:space="preserve"> </w:t>
            </w:r>
            <w:r w:rsidR="00E65263">
              <w:t xml:space="preserve">proposed actions </w:t>
            </w:r>
            <w:r w:rsidR="00614C72">
              <w:t xml:space="preserve">will </w:t>
            </w:r>
            <w:r w:rsidR="00BE3CF1">
              <w:t>contribute</w:t>
            </w:r>
            <w:r w:rsidR="00E65263">
              <w:t xml:space="preserve"> to material change</w:t>
            </w:r>
            <w:r w:rsidR="00B020D8">
              <w:t>.</w:t>
            </w:r>
          </w:p>
          <w:p w14:paraId="6F8944FE" w14:textId="237D904D" w:rsidR="005808C9" w:rsidRPr="006265E4" w:rsidRDefault="00491F2E" w:rsidP="00A26610">
            <w:pPr>
              <w:pStyle w:val="KeyPoints-Bullet"/>
            </w:pPr>
            <w:r>
              <w:t xml:space="preserve">Without </w:t>
            </w:r>
            <w:r w:rsidR="00DB6B39">
              <w:t>a clear understanding of the link between reforms and outcomes,</w:t>
            </w:r>
            <w:r w:rsidR="003B54BD">
              <w:t xml:space="preserve"> </w:t>
            </w:r>
            <w:r w:rsidR="00E1595F">
              <w:t xml:space="preserve">governments </w:t>
            </w:r>
            <w:r w:rsidR="0019370A">
              <w:t xml:space="preserve">will continue to </w:t>
            </w:r>
            <w:r w:rsidR="00AD582C">
              <w:t>focus their efforts on improving socio</w:t>
            </w:r>
            <w:r w:rsidR="00827859">
              <w:noBreakHyphen/>
            </w:r>
            <w:r w:rsidR="00AD582C">
              <w:t xml:space="preserve">economic outcomes without </w:t>
            </w:r>
            <w:r w:rsidR="004618BD">
              <w:t>recognising</w:t>
            </w:r>
            <w:r w:rsidR="002658BB">
              <w:t xml:space="preserve"> the transformative change required in their ways of working</w:t>
            </w:r>
            <w:r w:rsidR="00616BC2">
              <w:t xml:space="preserve"> to advance </w:t>
            </w:r>
            <w:r w:rsidR="00C97653">
              <w:t>culturally appropriate policies and services.</w:t>
            </w:r>
          </w:p>
        </w:tc>
      </w:tr>
      <w:tr w:rsidR="005808C9" w14:paraId="51709621" w14:textId="77777777" w:rsidTr="00052DE0">
        <w:tc>
          <w:tcPr>
            <w:tcW w:w="577" w:type="dxa"/>
            <w:shd w:val="clear" w:color="auto" w:fill="FBF3EC"/>
            <w:tcMar>
              <w:top w:w="0" w:type="dxa"/>
              <w:left w:w="113" w:type="dxa"/>
              <w:bottom w:w="0" w:type="dxa"/>
              <w:right w:w="113" w:type="dxa"/>
            </w:tcMar>
            <w:hideMark/>
          </w:tcPr>
          <w:p w14:paraId="0FEF16E1" w14:textId="596B762B" w:rsidR="005808C9" w:rsidRDefault="000D60A9">
            <w:pPr>
              <w:pStyle w:val="KeyPointsicon"/>
            </w:pPr>
            <w:r w:rsidRPr="00A51374">
              <w:rPr>
                <w:noProof/>
              </w:rPr>
              <w:drawing>
                <wp:inline distT="0" distB="0" distL="0" distR="0" wp14:anchorId="0AA14556" wp14:editId="67EDB56D">
                  <wp:extent cx="219850" cy="223849"/>
                  <wp:effectExtent l="0" t="0" r="0" b="5080"/>
                  <wp:docPr id="913384328" name="Picture 913384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850" cy="223849"/>
                          </a:xfrm>
                          <a:prstGeom prst="rect">
                            <a:avLst/>
                          </a:prstGeom>
                        </pic:spPr>
                      </pic:pic>
                    </a:graphicData>
                  </a:graphic>
                </wp:inline>
              </w:drawing>
            </w:r>
          </w:p>
        </w:tc>
        <w:tc>
          <w:tcPr>
            <w:tcW w:w="9061" w:type="dxa"/>
            <w:shd w:val="clear" w:color="auto" w:fill="FBF3EC"/>
            <w:tcMar>
              <w:top w:w="28" w:type="dxa"/>
              <w:left w:w="28" w:type="dxa"/>
              <w:bottom w:w="113" w:type="dxa"/>
              <w:right w:w="113" w:type="dxa"/>
            </w:tcMar>
            <w:hideMark/>
          </w:tcPr>
          <w:p w14:paraId="6349E7AC" w14:textId="110A4BBF" w:rsidR="005808C9" w:rsidRDefault="009E13F4">
            <w:pPr>
              <w:pStyle w:val="KeyPoints-Bold"/>
            </w:pPr>
            <w:r>
              <w:t>T</w:t>
            </w:r>
            <w:r w:rsidR="008A6DC5">
              <w:t xml:space="preserve">he </w:t>
            </w:r>
            <w:r w:rsidR="007D5F55">
              <w:t>performance</w:t>
            </w:r>
            <w:r w:rsidR="008F5B75">
              <w:t xml:space="preserve"> monitoring framework</w:t>
            </w:r>
            <w:r w:rsidR="00C96360">
              <w:t xml:space="preserve"> </w:t>
            </w:r>
            <w:r w:rsidR="00940F43">
              <w:t>identifies</w:t>
            </w:r>
            <w:r w:rsidR="008A6DC5">
              <w:t xml:space="preserve"> </w:t>
            </w:r>
            <w:r w:rsidR="00B775DE">
              <w:t>hundreds</w:t>
            </w:r>
            <w:r w:rsidR="008A6DC5">
              <w:t xml:space="preserve"> of indicators without a clear rationale for their inclusion</w:t>
            </w:r>
            <w:r w:rsidR="002E16C7">
              <w:t>.</w:t>
            </w:r>
            <w:r w:rsidR="008927FF">
              <w:t xml:space="preserve"> </w:t>
            </w:r>
            <w:r w:rsidR="006C5852">
              <w:t xml:space="preserve">Without a conceptual logic </w:t>
            </w:r>
            <w:r w:rsidR="00CA454F">
              <w:t xml:space="preserve">to </w:t>
            </w:r>
            <w:r w:rsidR="007D1D89">
              <w:t>guide</w:t>
            </w:r>
            <w:r w:rsidR="00686EDB">
              <w:t xml:space="preserve"> </w:t>
            </w:r>
            <w:r w:rsidR="00F27931">
              <w:t>indicator selection</w:t>
            </w:r>
            <w:r w:rsidR="00686EDB">
              <w:t xml:space="preserve">, </w:t>
            </w:r>
            <w:r w:rsidR="00A60FE2">
              <w:t>th</w:t>
            </w:r>
            <w:r w:rsidR="00DC11C2">
              <w:t>ere is a risk that</w:t>
            </w:r>
            <w:r w:rsidR="00A60FE2">
              <w:t xml:space="preserve"> performance </w:t>
            </w:r>
            <w:r w:rsidR="008A6DC5">
              <w:t xml:space="preserve">data </w:t>
            </w:r>
            <w:r w:rsidR="00DC11C2">
              <w:t xml:space="preserve">will </w:t>
            </w:r>
            <w:r w:rsidR="00C42306">
              <w:t xml:space="preserve">fail to track </w:t>
            </w:r>
            <w:r w:rsidR="00F520FB">
              <w:t>changes that are critical to progress under the Agreement.</w:t>
            </w:r>
            <w:r w:rsidR="00144211">
              <w:t xml:space="preserve"> </w:t>
            </w:r>
          </w:p>
          <w:p w14:paraId="746B90EA" w14:textId="2FED0695" w:rsidR="00014DF1" w:rsidRDefault="002F12CD" w:rsidP="00927380">
            <w:pPr>
              <w:pStyle w:val="KeyPoints-Bullet"/>
            </w:pPr>
            <w:r>
              <w:t>Most i</w:t>
            </w:r>
            <w:r w:rsidR="00CE2C07">
              <w:t>ndicators are yet to be reported</w:t>
            </w:r>
            <w:r w:rsidR="00A672F2">
              <w:t>.</w:t>
            </w:r>
            <w:r w:rsidR="00CE2C07">
              <w:t xml:space="preserve"> </w:t>
            </w:r>
            <w:r w:rsidR="00A672F2">
              <w:t>T</w:t>
            </w:r>
            <w:r w:rsidR="00CE2C07">
              <w:t xml:space="preserve">here is no data </w:t>
            </w:r>
            <w:r w:rsidR="00DB106B">
              <w:t>reported on</w:t>
            </w:r>
            <w:r w:rsidR="007968C4">
              <w:t xml:space="preserve"> the </w:t>
            </w:r>
            <w:r w:rsidR="00784467">
              <w:t>P</w:t>
            </w:r>
            <w:r w:rsidR="00494F1B">
              <w:t xml:space="preserve">riority </w:t>
            </w:r>
            <w:r w:rsidR="00784467">
              <w:t>R</w:t>
            </w:r>
            <w:r w:rsidR="00494F1B">
              <w:t>eforms</w:t>
            </w:r>
            <w:r w:rsidR="00927380">
              <w:t xml:space="preserve"> </w:t>
            </w:r>
            <w:r w:rsidR="00AB2526">
              <w:t xml:space="preserve">and limited data </w:t>
            </w:r>
            <w:r w:rsidR="00C2627F">
              <w:t xml:space="preserve">reported </w:t>
            </w:r>
            <w:r w:rsidR="00AB2526">
              <w:t>on the</w:t>
            </w:r>
            <w:r w:rsidR="004B36FB">
              <w:t xml:space="preserve"> </w:t>
            </w:r>
            <w:r w:rsidR="00494F1B">
              <w:t xml:space="preserve">cultural determinants of </w:t>
            </w:r>
            <w:r w:rsidR="00927380">
              <w:t>life outcomes</w:t>
            </w:r>
            <w:r w:rsidR="004B36FB">
              <w:t xml:space="preserve">. </w:t>
            </w:r>
          </w:p>
          <w:p w14:paraId="624D7AE5" w14:textId="513C8D5A" w:rsidR="005808C9" w:rsidRPr="006265E4" w:rsidRDefault="004B36FB" w:rsidP="00927380">
            <w:pPr>
              <w:pStyle w:val="KeyPoints-Bullet"/>
            </w:pPr>
            <w:r>
              <w:t>This</w:t>
            </w:r>
            <w:r w:rsidR="00D81C81">
              <w:t xml:space="preserve"> </w:t>
            </w:r>
            <w:r w:rsidR="00B015D5">
              <w:t>mean</w:t>
            </w:r>
            <w:r>
              <w:t>s</w:t>
            </w:r>
            <w:r w:rsidR="00B015D5">
              <w:t xml:space="preserve"> reporting </w:t>
            </w:r>
            <w:r w:rsidR="009F25C1">
              <w:t xml:space="preserve">remains focused on </w:t>
            </w:r>
            <w:r w:rsidR="00296627">
              <w:t xml:space="preserve">the </w:t>
            </w:r>
            <w:r w:rsidR="0074283B">
              <w:t>socio</w:t>
            </w:r>
            <w:r w:rsidR="00827859">
              <w:noBreakHyphen/>
            </w:r>
            <w:r w:rsidR="0074283B">
              <w:t>economic</w:t>
            </w:r>
            <w:r w:rsidR="00975308">
              <w:t xml:space="preserve"> targets rather than the </w:t>
            </w:r>
            <w:r w:rsidR="004233EB">
              <w:t>key factors influencing change</w:t>
            </w:r>
            <w:r w:rsidR="00A30DFD">
              <w:t>.</w:t>
            </w:r>
            <w:r>
              <w:t xml:space="preserve"> </w:t>
            </w:r>
            <w:r w:rsidR="00A30DFD">
              <w:t>This</w:t>
            </w:r>
            <w:r>
              <w:t xml:space="preserve"> risks</w:t>
            </w:r>
            <w:r w:rsidR="00324B8A">
              <w:t xml:space="preserve"> </w:t>
            </w:r>
            <w:r w:rsidR="00ED5FA8">
              <w:t>reinforc</w:t>
            </w:r>
            <w:r w:rsidR="00A30DFD">
              <w:t>ing</w:t>
            </w:r>
            <w:r w:rsidR="00863EB0">
              <w:t xml:space="preserve"> business</w:t>
            </w:r>
            <w:r w:rsidR="00827859">
              <w:noBreakHyphen/>
            </w:r>
            <w:r w:rsidR="00863EB0">
              <w:t>as</w:t>
            </w:r>
            <w:r w:rsidR="00827859">
              <w:noBreakHyphen/>
            </w:r>
            <w:r w:rsidR="00863EB0">
              <w:t xml:space="preserve">usual </w:t>
            </w:r>
            <w:r w:rsidR="00C37BCD">
              <w:t xml:space="preserve">policy </w:t>
            </w:r>
            <w:r w:rsidR="00863EB0">
              <w:t xml:space="preserve">effort and </w:t>
            </w:r>
            <w:r w:rsidR="00324B8A">
              <w:t>narratives attributing problems to Aboriginal and Torres Strait Islander people</w:t>
            </w:r>
            <w:r w:rsidR="00C40A69">
              <w:t>,</w:t>
            </w:r>
            <w:r w:rsidR="00632709">
              <w:t xml:space="preserve"> rather than </w:t>
            </w:r>
            <w:r w:rsidR="00DF038B">
              <w:t>government action</w:t>
            </w:r>
            <w:r w:rsidR="001008B1">
              <w:t xml:space="preserve"> or inaction.</w:t>
            </w:r>
          </w:p>
        </w:tc>
      </w:tr>
      <w:tr w:rsidR="005808C9" w14:paraId="0D82E0B0" w14:textId="77777777" w:rsidTr="00052DE0">
        <w:tc>
          <w:tcPr>
            <w:tcW w:w="577" w:type="dxa"/>
            <w:shd w:val="clear" w:color="auto" w:fill="FBF3EC"/>
            <w:tcMar>
              <w:top w:w="0" w:type="dxa"/>
              <w:left w:w="113" w:type="dxa"/>
              <w:bottom w:w="0" w:type="dxa"/>
              <w:right w:w="113" w:type="dxa"/>
            </w:tcMar>
            <w:hideMark/>
          </w:tcPr>
          <w:p w14:paraId="673C6240" w14:textId="19818017" w:rsidR="005808C9" w:rsidRDefault="000D60A9">
            <w:pPr>
              <w:pStyle w:val="KeyPointsicon"/>
            </w:pPr>
            <w:r w:rsidRPr="00A51374">
              <w:rPr>
                <w:noProof/>
              </w:rPr>
              <w:drawing>
                <wp:inline distT="0" distB="0" distL="0" distR="0" wp14:anchorId="181BBC8A" wp14:editId="7B1CA6DD">
                  <wp:extent cx="219850" cy="223849"/>
                  <wp:effectExtent l="0" t="0" r="0" b="5080"/>
                  <wp:docPr id="1560895473" name="Picture 1560895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850" cy="223849"/>
                          </a:xfrm>
                          <a:prstGeom prst="rect">
                            <a:avLst/>
                          </a:prstGeom>
                        </pic:spPr>
                      </pic:pic>
                    </a:graphicData>
                  </a:graphic>
                </wp:inline>
              </w:drawing>
            </w:r>
          </w:p>
        </w:tc>
        <w:tc>
          <w:tcPr>
            <w:tcW w:w="9061" w:type="dxa"/>
            <w:shd w:val="clear" w:color="auto" w:fill="FBF3EC"/>
            <w:tcMar>
              <w:top w:w="28" w:type="dxa"/>
              <w:left w:w="28" w:type="dxa"/>
              <w:bottom w:w="113" w:type="dxa"/>
              <w:right w:w="113" w:type="dxa"/>
            </w:tcMar>
            <w:hideMark/>
          </w:tcPr>
          <w:p w14:paraId="56DDDC8C" w14:textId="6B72977A" w:rsidR="009321F7" w:rsidRDefault="009321F7">
            <w:pPr>
              <w:pStyle w:val="KeyPoints-Bold"/>
            </w:pPr>
            <w:r>
              <w:t>R</w:t>
            </w:r>
            <w:r w:rsidR="006E18D8">
              <w:t xml:space="preserve">esponsibility </w:t>
            </w:r>
            <w:r w:rsidR="00C806FE">
              <w:t xml:space="preserve">for </w:t>
            </w:r>
            <w:r w:rsidR="00536748">
              <w:t xml:space="preserve">new </w:t>
            </w:r>
            <w:r w:rsidR="00C806FE">
              <w:t xml:space="preserve">data development </w:t>
            </w:r>
            <w:r w:rsidR="00504203">
              <w:t>is split across multiple working groups</w:t>
            </w:r>
            <w:r w:rsidR="00170893">
              <w:t xml:space="preserve"> and organisations</w:t>
            </w:r>
            <w:r w:rsidR="00504203">
              <w:t xml:space="preserve"> without clear accountabilities</w:t>
            </w:r>
            <w:r w:rsidR="001C74FC">
              <w:t xml:space="preserve">. </w:t>
            </w:r>
          </w:p>
          <w:p w14:paraId="12923188" w14:textId="239351A4" w:rsidR="00C01C96" w:rsidRPr="006265E4" w:rsidRDefault="006F02A2" w:rsidP="00D965E5">
            <w:pPr>
              <w:pStyle w:val="KeyPoints-Bullet"/>
            </w:pPr>
            <w:r>
              <w:t xml:space="preserve">Data governance arrangements could be improved by </w:t>
            </w:r>
            <w:r w:rsidR="007362EB">
              <w:t xml:space="preserve">consolidating responsibility for coordinating new data development under one </w:t>
            </w:r>
            <w:r w:rsidR="00B24DA7">
              <w:t>organisation</w:t>
            </w:r>
            <w:r w:rsidR="003219B7">
              <w:t xml:space="preserve">. This organisation should have the resourcing and capability </w:t>
            </w:r>
            <w:r w:rsidR="00C353DA">
              <w:t xml:space="preserve">to engage data custodians and Aboriginal and Torres Strait Islander organisations and communities </w:t>
            </w:r>
            <w:r w:rsidR="0000651E">
              <w:t>in developing appropriate solutions.</w:t>
            </w:r>
            <w:r w:rsidR="00ED6732">
              <w:t xml:space="preserve"> </w:t>
            </w:r>
          </w:p>
        </w:tc>
      </w:tr>
      <w:tr w:rsidR="0086228E" w14:paraId="792542E9" w14:textId="77777777" w:rsidTr="00052DE0">
        <w:tc>
          <w:tcPr>
            <w:tcW w:w="577" w:type="dxa"/>
            <w:shd w:val="clear" w:color="auto" w:fill="FBF3EC"/>
            <w:tcMar>
              <w:top w:w="0" w:type="dxa"/>
              <w:left w:w="113" w:type="dxa"/>
              <w:bottom w:w="0" w:type="dxa"/>
              <w:right w:w="113" w:type="dxa"/>
            </w:tcMar>
          </w:tcPr>
          <w:p w14:paraId="5DA54DB7" w14:textId="23E87604" w:rsidR="0086228E" w:rsidRDefault="000D60A9" w:rsidP="0086228E">
            <w:pPr>
              <w:pStyle w:val="KeyPointsicon"/>
              <w:rPr>
                <w:noProof/>
              </w:rPr>
            </w:pPr>
            <w:r w:rsidRPr="00A51374">
              <w:rPr>
                <w:noProof/>
              </w:rPr>
              <w:drawing>
                <wp:inline distT="0" distB="0" distL="0" distR="0" wp14:anchorId="28042FE0" wp14:editId="43AD7599">
                  <wp:extent cx="219850" cy="223849"/>
                  <wp:effectExtent l="0" t="0" r="0" b="508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850" cy="223849"/>
                          </a:xfrm>
                          <a:prstGeom prst="rect">
                            <a:avLst/>
                          </a:prstGeom>
                        </pic:spPr>
                      </pic:pic>
                    </a:graphicData>
                  </a:graphic>
                </wp:inline>
              </w:drawing>
            </w:r>
          </w:p>
        </w:tc>
        <w:tc>
          <w:tcPr>
            <w:tcW w:w="9061" w:type="dxa"/>
            <w:shd w:val="clear" w:color="auto" w:fill="FBF3EC"/>
            <w:tcMar>
              <w:top w:w="28" w:type="dxa"/>
              <w:left w:w="28" w:type="dxa"/>
              <w:bottom w:w="113" w:type="dxa"/>
              <w:right w:w="113" w:type="dxa"/>
            </w:tcMar>
          </w:tcPr>
          <w:p w14:paraId="20BDCB22" w14:textId="2E3AB651" w:rsidR="00884990" w:rsidRDefault="00792E70" w:rsidP="00884990">
            <w:pPr>
              <w:pStyle w:val="KeyPoints-Bold"/>
            </w:pPr>
            <w:r>
              <w:t>Governments</w:t>
            </w:r>
            <w:r w:rsidR="00A03BF1">
              <w:t>’</w:t>
            </w:r>
            <w:r>
              <w:t xml:space="preserve"> </w:t>
            </w:r>
            <w:r w:rsidR="00884990" w:rsidRPr="002A2495">
              <w:t xml:space="preserve">annual </w:t>
            </w:r>
            <w:r w:rsidR="009F3576">
              <w:t>reports</w:t>
            </w:r>
            <w:r w:rsidR="00884990" w:rsidRPr="002A2495">
              <w:t xml:space="preserve"> </w:t>
            </w:r>
            <w:r w:rsidR="00A13E59">
              <w:t xml:space="preserve">and </w:t>
            </w:r>
            <w:r w:rsidR="00884990" w:rsidRPr="002A2495">
              <w:t xml:space="preserve">implementation plans </w:t>
            </w:r>
            <w:r w:rsidR="00DD1DA3">
              <w:t xml:space="preserve">are </w:t>
            </w:r>
            <w:r w:rsidR="004D3314">
              <w:t xml:space="preserve">often </w:t>
            </w:r>
            <w:r w:rsidR="00977376">
              <w:t>inconsistent and</w:t>
            </w:r>
            <w:r w:rsidR="004D3314">
              <w:t xml:space="preserve"> </w:t>
            </w:r>
            <w:r w:rsidR="00A13E59">
              <w:t>do not</w:t>
            </w:r>
            <w:r w:rsidR="00940C88">
              <w:t xml:space="preserve"> </w:t>
            </w:r>
            <w:r w:rsidR="00A13E59">
              <w:t xml:space="preserve">adhere </w:t>
            </w:r>
            <w:r w:rsidR="00FE496B">
              <w:t>to</w:t>
            </w:r>
            <w:r w:rsidR="009E4272">
              <w:t xml:space="preserve"> </w:t>
            </w:r>
            <w:r w:rsidR="00940C88">
              <w:t>requirements set out in the Agreement</w:t>
            </w:r>
            <w:r w:rsidR="003C5502">
              <w:t>.</w:t>
            </w:r>
            <w:r w:rsidR="00E336E2">
              <w:t xml:space="preserve"> </w:t>
            </w:r>
            <w:r w:rsidR="009B642F">
              <w:t xml:space="preserve">This makes it difficult for them to be used by the community to </w:t>
            </w:r>
            <w:r w:rsidR="00C33F95">
              <w:t xml:space="preserve">understand what </w:t>
            </w:r>
            <w:r w:rsidR="009F7ED6">
              <w:t>actions</w:t>
            </w:r>
            <w:r w:rsidR="009B642F">
              <w:t xml:space="preserve"> </w:t>
            </w:r>
            <w:r w:rsidR="00D37D91">
              <w:t xml:space="preserve">governments </w:t>
            </w:r>
            <w:r w:rsidR="009F7ED6">
              <w:t xml:space="preserve">are taking </w:t>
            </w:r>
            <w:r w:rsidR="00C500FF">
              <w:t xml:space="preserve">and </w:t>
            </w:r>
            <w:r w:rsidR="00077006">
              <w:t xml:space="preserve">whether </w:t>
            </w:r>
            <w:r w:rsidR="00BD166C">
              <w:t>these actions improve outcomes</w:t>
            </w:r>
            <w:r w:rsidR="009E0245">
              <w:t>.</w:t>
            </w:r>
          </w:p>
          <w:p w14:paraId="29A34F48" w14:textId="54ED6DAF" w:rsidR="00912890" w:rsidRPr="000C27D0" w:rsidRDefault="009F3576" w:rsidP="00E137AC">
            <w:pPr>
              <w:pStyle w:val="KeyPoints-Bullet"/>
              <w:rPr>
                <w:spacing w:val="-4"/>
              </w:rPr>
            </w:pPr>
            <w:r w:rsidRPr="000C27D0">
              <w:rPr>
                <w:spacing w:val="-4"/>
              </w:rPr>
              <w:t xml:space="preserve">Implementation plans </w:t>
            </w:r>
            <w:r w:rsidR="001F7FF0" w:rsidRPr="000C27D0">
              <w:rPr>
                <w:spacing w:val="-4"/>
              </w:rPr>
              <w:t>contain</w:t>
            </w:r>
            <w:r w:rsidRPr="000C27D0">
              <w:rPr>
                <w:spacing w:val="-4"/>
              </w:rPr>
              <w:t xml:space="preserve"> long lists of actions but </w:t>
            </w:r>
            <w:r w:rsidR="001F7FF0" w:rsidRPr="000C27D0">
              <w:rPr>
                <w:spacing w:val="-4"/>
              </w:rPr>
              <w:t>provide</w:t>
            </w:r>
            <w:r w:rsidR="009D0B32" w:rsidRPr="000C27D0">
              <w:rPr>
                <w:spacing w:val="-4"/>
              </w:rPr>
              <w:t xml:space="preserve"> </w:t>
            </w:r>
            <w:r w:rsidR="00D84BD4" w:rsidRPr="000C27D0">
              <w:rPr>
                <w:spacing w:val="-4"/>
              </w:rPr>
              <w:t xml:space="preserve">little explanation of </w:t>
            </w:r>
            <w:r w:rsidR="27BD2E83" w:rsidRPr="000C27D0">
              <w:rPr>
                <w:spacing w:val="-4"/>
              </w:rPr>
              <w:t xml:space="preserve">how </w:t>
            </w:r>
            <w:r w:rsidR="00D84BD4" w:rsidRPr="000C27D0">
              <w:rPr>
                <w:spacing w:val="-4"/>
              </w:rPr>
              <w:t xml:space="preserve">they will collectively </w:t>
            </w:r>
            <w:r w:rsidR="00AA3620" w:rsidRPr="000C27D0">
              <w:rPr>
                <w:spacing w:val="-4"/>
              </w:rPr>
              <w:t xml:space="preserve">achieve the scale </w:t>
            </w:r>
            <w:r w:rsidR="002A1A75" w:rsidRPr="000C27D0">
              <w:rPr>
                <w:spacing w:val="-4"/>
              </w:rPr>
              <w:t>and pace</w:t>
            </w:r>
            <w:r w:rsidR="00AA3620" w:rsidRPr="000C27D0">
              <w:rPr>
                <w:spacing w:val="-4"/>
              </w:rPr>
              <w:t xml:space="preserve"> of change that </w:t>
            </w:r>
            <w:r w:rsidR="009D52D5" w:rsidRPr="000C27D0">
              <w:rPr>
                <w:spacing w:val="-4"/>
              </w:rPr>
              <w:t>is needed</w:t>
            </w:r>
            <w:r w:rsidR="005A6CCE" w:rsidRPr="000C27D0">
              <w:rPr>
                <w:spacing w:val="-4"/>
              </w:rPr>
              <w:t xml:space="preserve"> </w:t>
            </w:r>
            <w:r w:rsidR="009D382F" w:rsidRPr="000C27D0">
              <w:rPr>
                <w:spacing w:val="-4"/>
              </w:rPr>
              <w:t xml:space="preserve">and </w:t>
            </w:r>
            <w:r w:rsidR="00BF19C6" w:rsidRPr="000C27D0">
              <w:rPr>
                <w:spacing w:val="-4"/>
              </w:rPr>
              <w:t xml:space="preserve">embed the </w:t>
            </w:r>
            <w:r w:rsidR="00C10F29" w:rsidRPr="000C27D0">
              <w:rPr>
                <w:spacing w:val="-4"/>
              </w:rPr>
              <w:t>P</w:t>
            </w:r>
            <w:r w:rsidR="00BF19C6" w:rsidRPr="000C27D0">
              <w:rPr>
                <w:spacing w:val="-4"/>
              </w:rPr>
              <w:t xml:space="preserve">riority </w:t>
            </w:r>
            <w:r w:rsidR="00C10F29" w:rsidRPr="000C27D0">
              <w:rPr>
                <w:spacing w:val="-4"/>
              </w:rPr>
              <w:t>R</w:t>
            </w:r>
            <w:r w:rsidR="00BF19C6" w:rsidRPr="000C27D0">
              <w:rPr>
                <w:spacing w:val="-4"/>
              </w:rPr>
              <w:t xml:space="preserve">eforms across </w:t>
            </w:r>
            <w:r w:rsidR="00966545" w:rsidRPr="000C27D0">
              <w:rPr>
                <w:spacing w:val="-4"/>
              </w:rPr>
              <w:t xml:space="preserve">all </w:t>
            </w:r>
            <w:r w:rsidR="00A64CF3" w:rsidRPr="000C27D0">
              <w:rPr>
                <w:spacing w:val="-4"/>
              </w:rPr>
              <w:t xml:space="preserve">government </w:t>
            </w:r>
            <w:r w:rsidR="00966545" w:rsidRPr="000C27D0">
              <w:rPr>
                <w:spacing w:val="-4"/>
              </w:rPr>
              <w:t>entities</w:t>
            </w:r>
            <w:r w:rsidR="00A64CF3" w:rsidRPr="000C27D0">
              <w:rPr>
                <w:spacing w:val="-4"/>
              </w:rPr>
              <w:t>.</w:t>
            </w:r>
            <w:r w:rsidR="00A82824" w:rsidRPr="000C27D0">
              <w:rPr>
                <w:spacing w:val="-4"/>
              </w:rPr>
              <w:t xml:space="preserve"> </w:t>
            </w:r>
          </w:p>
        </w:tc>
      </w:tr>
    </w:tbl>
    <w:p w14:paraId="70F26ED7" w14:textId="6F628D2F" w:rsidR="005808C9" w:rsidRPr="00697212" w:rsidRDefault="005808C9" w:rsidP="00697212">
      <w:pPr>
        <w:pStyle w:val="NoSpacing"/>
      </w:pPr>
    </w:p>
    <w:p w14:paraId="671DD302" w14:textId="6652DF2D" w:rsidR="00BB3003" w:rsidRDefault="00E037F1" w:rsidP="00E037F1">
      <w:pPr>
        <w:pStyle w:val="Heading2"/>
        <w:numPr>
          <w:ilvl w:val="2"/>
          <w:numId w:val="0"/>
        </w:numPr>
      </w:pPr>
      <w:bookmarkStart w:id="2" w:name="_Toc140484714"/>
      <w:r>
        <w:lastRenderedPageBreak/>
        <w:t>1</w:t>
      </w:r>
      <w:r>
        <w:tab/>
      </w:r>
      <w:r w:rsidR="0070196E">
        <w:t xml:space="preserve">Knowing </w:t>
      </w:r>
      <w:r w:rsidR="00B433D1">
        <w:t xml:space="preserve">if </w:t>
      </w:r>
      <w:r w:rsidR="00B61A84">
        <w:t>the Agreement is</w:t>
      </w:r>
      <w:r w:rsidR="0070196E">
        <w:t xml:space="preserve"> making a difference</w:t>
      </w:r>
      <w:bookmarkEnd w:id="2"/>
    </w:p>
    <w:p w14:paraId="54013323" w14:textId="0A24A190" w:rsidR="00A91999" w:rsidRDefault="00A91999" w:rsidP="0008387B">
      <w:pPr>
        <w:pStyle w:val="BodyText"/>
      </w:pPr>
      <w:r>
        <w:t xml:space="preserve">The National Agreement on Closing the Gap </w:t>
      </w:r>
      <w:r w:rsidR="007A119B">
        <w:t xml:space="preserve">(the Agreement) </w:t>
      </w:r>
      <w:r w:rsidR="00964A88">
        <w:t>includes</w:t>
      </w:r>
      <w:r>
        <w:t xml:space="preserve"> a performance monitoring </w:t>
      </w:r>
      <w:r w:rsidR="004E5D29">
        <w:t>approach</w:t>
      </w:r>
      <w:r>
        <w:t xml:space="preserve"> that is intended to drive government effort and provide public accountability </w:t>
      </w:r>
      <w:r w:rsidR="00E470E6">
        <w:t xml:space="preserve">on whether actions are </w:t>
      </w:r>
      <w:r w:rsidR="00D07062">
        <w:t>making a difference to</w:t>
      </w:r>
      <w:r w:rsidR="00E470E6">
        <w:t xml:space="preserve"> the lives of Aboriginal and Torres Stra</w:t>
      </w:r>
      <w:r w:rsidR="002A6416">
        <w:t>i</w:t>
      </w:r>
      <w:r w:rsidR="00E470E6">
        <w:t xml:space="preserve">t Islander people. </w:t>
      </w:r>
    </w:p>
    <w:p w14:paraId="73B4FAD2" w14:textId="724C5094" w:rsidR="00F150DF" w:rsidRDefault="00855C8C" w:rsidP="0008387B">
      <w:pPr>
        <w:pStyle w:val="BodyText"/>
      </w:pPr>
      <w:r>
        <w:t>Performance monitoring</w:t>
      </w:r>
      <w:r w:rsidR="001F5C16">
        <w:t xml:space="preserve"> has been a key pillar of </w:t>
      </w:r>
      <w:r w:rsidR="00A30888">
        <w:t>n</w:t>
      </w:r>
      <w:r w:rsidR="001F5C16">
        <w:t xml:space="preserve">ational </w:t>
      </w:r>
      <w:r w:rsidR="00A30888">
        <w:t>a</w:t>
      </w:r>
      <w:r w:rsidR="001F5C16">
        <w:t>greements</w:t>
      </w:r>
      <w:r w:rsidR="003A7F3B">
        <w:t xml:space="preserve"> since</w:t>
      </w:r>
      <w:r w:rsidR="001F5C16">
        <w:t xml:space="preserve"> </w:t>
      </w:r>
      <w:r w:rsidR="0019457E">
        <w:t xml:space="preserve">the </w:t>
      </w:r>
      <w:r w:rsidR="005B3C5A">
        <w:t xml:space="preserve">introduction of the </w:t>
      </w:r>
      <w:r w:rsidR="0019457E">
        <w:t xml:space="preserve">Intergovernmental Agreement on </w:t>
      </w:r>
      <w:r w:rsidR="003502ED">
        <w:t xml:space="preserve">Federal Financial Relations </w:t>
      </w:r>
      <w:r w:rsidR="00F772E7">
        <w:t xml:space="preserve">in 2008. </w:t>
      </w:r>
      <w:r w:rsidR="00723188">
        <w:t xml:space="preserve">The fundamental assumption </w:t>
      </w:r>
      <w:r w:rsidR="000E3DC3">
        <w:t>behind</w:t>
      </w:r>
      <w:r w:rsidR="00BE11BE">
        <w:t xml:space="preserve"> </w:t>
      </w:r>
      <w:r w:rsidR="003E5A11">
        <w:t xml:space="preserve">the introduction of </w:t>
      </w:r>
      <w:r w:rsidR="000B0E0B">
        <w:t>outcomes</w:t>
      </w:r>
      <w:r w:rsidR="00827859">
        <w:noBreakHyphen/>
      </w:r>
      <w:r w:rsidR="000B0E0B">
        <w:t xml:space="preserve">based performance monitoring </w:t>
      </w:r>
      <w:r w:rsidR="00BE11BE" w:rsidDel="00EB2602">
        <w:t>was</w:t>
      </w:r>
      <w:r w:rsidR="00EB2602">
        <w:t xml:space="preserve"> </w:t>
      </w:r>
      <w:r w:rsidR="00BE11BE">
        <w:t xml:space="preserve">that it </w:t>
      </w:r>
      <w:r w:rsidR="000B0E0B">
        <w:t xml:space="preserve">would enable </w:t>
      </w:r>
      <w:r w:rsidR="00A154FB">
        <w:t xml:space="preserve">innovation and improvements in service </w:t>
      </w:r>
      <w:r w:rsidR="00F709AC">
        <w:t>delivery</w:t>
      </w:r>
      <w:r w:rsidR="00A154FB">
        <w:t xml:space="preserve"> </w:t>
      </w:r>
      <w:r w:rsidR="0002613A">
        <w:t xml:space="preserve">by making jurisdictions accountable for outcomes </w:t>
      </w:r>
      <w:r w:rsidR="006E2B84">
        <w:t>while</w:t>
      </w:r>
      <w:r w:rsidR="00E40585">
        <w:t xml:space="preserve"> reducing </w:t>
      </w:r>
      <w:r w:rsidR="00175590">
        <w:t>prescr</w:t>
      </w:r>
      <w:r w:rsidR="00E40585">
        <w:t xml:space="preserve">iptions </w:t>
      </w:r>
      <w:r w:rsidR="001C0444">
        <w:t>for</w:t>
      </w:r>
      <w:r w:rsidR="00CA4AF3">
        <w:t xml:space="preserve"> state and territory</w:t>
      </w:r>
      <w:r w:rsidR="00ED211C" w:rsidDel="0007079B">
        <w:t xml:space="preserve"> </w:t>
      </w:r>
      <w:r w:rsidR="003B31D7">
        <w:t xml:space="preserve">service </w:t>
      </w:r>
      <w:r w:rsidR="00937017">
        <w:t xml:space="preserve">delivery </w:t>
      </w:r>
      <w:r w:rsidR="00F235F1" w:rsidRPr="00F235F1">
        <w:rPr>
          <w:rFonts w:ascii="Arial" w:hAnsi="Arial" w:cs="Arial"/>
          <w:szCs w:val="24"/>
        </w:rPr>
        <w:t>(COAG 2008, p. 1)</w:t>
      </w:r>
      <w:r w:rsidR="008810D4">
        <w:t xml:space="preserve">. </w:t>
      </w:r>
      <w:r w:rsidR="0033587A">
        <w:t xml:space="preserve">While difficult to </w:t>
      </w:r>
      <w:r w:rsidR="0009352D">
        <w:t xml:space="preserve">test </w:t>
      </w:r>
      <w:r w:rsidR="00232E47">
        <w:t>empirically</w:t>
      </w:r>
      <w:r w:rsidR="0009352D">
        <w:t xml:space="preserve">, </w:t>
      </w:r>
      <w:r w:rsidR="004E65B5">
        <w:t xml:space="preserve">performance monitoring </w:t>
      </w:r>
      <w:r w:rsidR="00D4043F">
        <w:t xml:space="preserve">is </w:t>
      </w:r>
      <w:r w:rsidR="00D072BA">
        <w:t xml:space="preserve">promoted </w:t>
      </w:r>
      <w:r w:rsidR="00F63D92">
        <w:t>for</w:t>
      </w:r>
      <w:r w:rsidR="00AB1702">
        <w:t xml:space="preserve"> its potent</w:t>
      </w:r>
      <w:r w:rsidR="00A66A79">
        <w:t>ial to:</w:t>
      </w:r>
    </w:p>
    <w:p w14:paraId="3073D3FE" w14:textId="43510FF3" w:rsidR="002E68D0" w:rsidRDefault="002E68D0" w:rsidP="00E46949">
      <w:pPr>
        <w:pStyle w:val="ListBullet"/>
      </w:pPr>
      <w:r>
        <w:t>clarify objectives and priorities</w:t>
      </w:r>
      <w:r w:rsidR="00EE2ED4">
        <w:t xml:space="preserve"> through the definition of outcomes and targets</w:t>
      </w:r>
    </w:p>
    <w:p w14:paraId="669871DE" w14:textId="238B1C59" w:rsidR="002E68D0" w:rsidRDefault="002E68D0" w:rsidP="00E46949">
      <w:pPr>
        <w:pStyle w:val="ListBullet"/>
      </w:pPr>
      <w:r>
        <w:t xml:space="preserve">support transparency and public accountability by </w:t>
      </w:r>
      <w:r w:rsidR="00C3794F">
        <w:t xml:space="preserve">routinely </w:t>
      </w:r>
      <w:r>
        <w:t xml:space="preserve">providing </w:t>
      </w:r>
      <w:r w:rsidR="00CA3A0C">
        <w:t>performance</w:t>
      </w:r>
      <w:r w:rsidR="00196D0A">
        <w:t xml:space="preserve"> </w:t>
      </w:r>
      <w:r>
        <w:t>information to the community</w:t>
      </w:r>
    </w:p>
    <w:p w14:paraId="01552D24" w14:textId="44EABACB" w:rsidR="002E68D0" w:rsidRDefault="002E68D0" w:rsidP="00E46949">
      <w:pPr>
        <w:pStyle w:val="ListBullet"/>
      </w:pPr>
      <w:r>
        <w:t xml:space="preserve">galvanise effort </w:t>
      </w:r>
      <w:r w:rsidR="00997772">
        <w:t>by focusing attention on key reforms and outcomes</w:t>
      </w:r>
    </w:p>
    <w:p w14:paraId="3AE7F0AA" w14:textId="64225CEA" w:rsidR="002E68D0" w:rsidRDefault="002E68D0" w:rsidP="003A6A9B">
      <w:pPr>
        <w:pStyle w:val="ListBullet"/>
      </w:pPr>
      <w:r>
        <w:t>support learning, improvement and innovation</w:t>
      </w:r>
      <w:r w:rsidR="00A46DA1">
        <w:t xml:space="preserve"> through routine data collection and analysis</w:t>
      </w:r>
      <w:r w:rsidR="00696AD4">
        <w:t xml:space="preserve"> and the flexibility to</w:t>
      </w:r>
      <w:r w:rsidR="00A73DF3">
        <w:t xml:space="preserve"> adapt service delivery to </w:t>
      </w:r>
      <w:r w:rsidR="006620D0">
        <w:t>achieve outcomes</w:t>
      </w:r>
      <w:r w:rsidR="00D80D8C">
        <w:t>.</w:t>
      </w:r>
    </w:p>
    <w:p w14:paraId="441C3C76" w14:textId="163D38FD" w:rsidR="00F64EDD" w:rsidRDefault="002E68D0" w:rsidP="00D965E5">
      <w:pPr>
        <w:pStyle w:val="BodyText"/>
      </w:pPr>
      <w:r>
        <w:t xml:space="preserve">However, if not done well, </w:t>
      </w:r>
      <w:r w:rsidR="008C119D">
        <w:t xml:space="preserve">performance monitoring </w:t>
      </w:r>
      <w:r>
        <w:t xml:space="preserve">also risks distorting policy </w:t>
      </w:r>
      <w:r w:rsidR="00A107D3">
        <w:t>efforts</w:t>
      </w:r>
      <w:r>
        <w:t xml:space="preserve"> </w:t>
      </w:r>
      <w:r w:rsidR="00FC6871">
        <w:t xml:space="preserve">by </w:t>
      </w:r>
      <w:r w:rsidR="009F3F14">
        <w:t xml:space="preserve">incentivising </w:t>
      </w:r>
      <w:r w:rsidR="00163E27">
        <w:t>risk</w:t>
      </w:r>
      <w:r w:rsidR="00C90B6F">
        <w:noBreakHyphen/>
      </w:r>
      <w:r w:rsidR="00163E27">
        <w:t>aversion</w:t>
      </w:r>
      <w:r w:rsidR="00A54992">
        <w:t xml:space="preserve">, </w:t>
      </w:r>
      <w:r w:rsidR="00135A27">
        <w:t>diluting accountabilit</w:t>
      </w:r>
      <w:r w:rsidR="00FF5D62">
        <w:t xml:space="preserve">y, </w:t>
      </w:r>
      <w:r w:rsidR="00A54992">
        <w:t>narrowing focus,</w:t>
      </w:r>
      <w:r w:rsidR="009A313D">
        <w:t xml:space="preserve"> and </w:t>
      </w:r>
      <w:r w:rsidR="008C105C">
        <w:t xml:space="preserve">siloing </w:t>
      </w:r>
      <w:r w:rsidR="00D33159">
        <w:t>effort</w:t>
      </w:r>
      <w:r w:rsidR="00CB553B">
        <w:t xml:space="preserve"> </w:t>
      </w:r>
      <w:r w:rsidR="001B4678" w:rsidRPr="001B4678">
        <w:rPr>
          <w:rFonts w:ascii="Arial" w:hAnsi="Arial" w:cs="Arial"/>
          <w:szCs w:val="24"/>
        </w:rPr>
        <w:t>(Garlatti et al. 2018, pp. 47–48)</w:t>
      </w:r>
      <w:r w:rsidR="001C0C0E">
        <w:t>.</w:t>
      </w:r>
      <w:r w:rsidR="009141D7">
        <w:t xml:space="preserve"> Investment in data collection and reporting </w:t>
      </w:r>
      <w:r w:rsidR="004E11BE">
        <w:t>processes and systems can also entail significant costs</w:t>
      </w:r>
      <w:r w:rsidR="003468E3">
        <w:t>.</w:t>
      </w:r>
      <w:r w:rsidR="00BE21BF">
        <w:t xml:space="preserve"> To </w:t>
      </w:r>
      <w:r w:rsidR="009A7092">
        <w:t>be most useful</w:t>
      </w:r>
      <w:r w:rsidR="00BE21BF">
        <w:t xml:space="preserve">, performance monitoring must be embedded </w:t>
      </w:r>
      <w:r w:rsidR="009023EE">
        <w:t>in</w:t>
      </w:r>
      <w:r w:rsidR="005E7964">
        <w:t xml:space="preserve"> </w:t>
      </w:r>
      <w:r w:rsidR="001D133C">
        <w:t>decision</w:t>
      </w:r>
      <w:r w:rsidR="00827859">
        <w:noBreakHyphen/>
      </w:r>
      <w:r w:rsidR="001D133C">
        <w:t xml:space="preserve">making and </w:t>
      </w:r>
      <w:r w:rsidR="005E7964">
        <w:t xml:space="preserve">performance management practices that promote </w:t>
      </w:r>
      <w:r w:rsidR="001D133C">
        <w:t xml:space="preserve">timely </w:t>
      </w:r>
      <w:r w:rsidR="00011054">
        <w:t>critical reflection and learning</w:t>
      </w:r>
      <w:r w:rsidR="00EF1B08">
        <w:t xml:space="preserve"> </w:t>
      </w:r>
      <w:r w:rsidR="00C35F6A" w:rsidRPr="00C35F6A">
        <w:rPr>
          <w:rFonts w:ascii="Arial" w:hAnsi="Arial" w:cs="Arial"/>
          <w:szCs w:val="24"/>
        </w:rPr>
        <w:t>(Goh 2012, p. 36)</w:t>
      </w:r>
      <w:r w:rsidR="001D133C">
        <w:t>.</w:t>
      </w:r>
      <w:r w:rsidR="00D0533C">
        <w:t xml:space="preserve"> </w:t>
      </w:r>
      <w:r w:rsidR="009872FC">
        <w:t xml:space="preserve">It should also be supplemented by </w:t>
      </w:r>
      <w:r w:rsidR="003D7A09">
        <w:t xml:space="preserve">rigorous </w:t>
      </w:r>
      <w:r w:rsidR="00DA2FEC">
        <w:t xml:space="preserve">evaluation </w:t>
      </w:r>
      <w:r w:rsidR="008C68D4">
        <w:t xml:space="preserve">that integrates other forms of evidence to </w:t>
      </w:r>
      <w:r w:rsidR="00C20566">
        <w:t>identify</w:t>
      </w:r>
      <w:r w:rsidR="00055A2D">
        <w:t xml:space="preserve"> the effects of policy </w:t>
      </w:r>
      <w:r w:rsidR="00AD675D">
        <w:t>efforts</w:t>
      </w:r>
      <w:r w:rsidR="00055A2D">
        <w:t xml:space="preserve"> and </w:t>
      </w:r>
      <w:r w:rsidR="00DB60E5">
        <w:t xml:space="preserve">the </w:t>
      </w:r>
      <w:r w:rsidR="009C27D9">
        <w:t xml:space="preserve">factors that </w:t>
      </w:r>
      <w:r w:rsidR="005C4BB4">
        <w:t xml:space="preserve">enable </w:t>
      </w:r>
      <w:r w:rsidR="00E0744F">
        <w:t xml:space="preserve">or </w:t>
      </w:r>
      <w:r w:rsidR="005C4BB4">
        <w:t xml:space="preserve">constrain </w:t>
      </w:r>
      <w:r w:rsidR="0065671B">
        <w:t>progress.</w:t>
      </w:r>
    </w:p>
    <w:p w14:paraId="716D7276" w14:textId="29EF790C" w:rsidR="00212FE8" w:rsidRDefault="00391173" w:rsidP="00D965E5">
      <w:pPr>
        <w:pStyle w:val="BodyText"/>
      </w:pPr>
      <w:r>
        <w:t>Ultimately, w</w:t>
      </w:r>
      <w:r w:rsidR="00212FE8">
        <w:t>hile performanc</w:t>
      </w:r>
      <w:r w:rsidR="00E70E6B">
        <w:t>e mo</w:t>
      </w:r>
      <w:r>
        <w:t>nitoring</w:t>
      </w:r>
      <w:r w:rsidR="00E70E6B">
        <w:t xml:space="preserve"> </w:t>
      </w:r>
      <w:r w:rsidR="00D76DB4">
        <w:t>can facilitate</w:t>
      </w:r>
      <w:r w:rsidR="00854D2F">
        <w:t xml:space="preserve"> transparency and learning about progress</w:t>
      </w:r>
      <w:r w:rsidR="00E70E6B">
        <w:t xml:space="preserve">, </w:t>
      </w:r>
      <w:r w:rsidR="009A3AF4">
        <w:t>it</w:t>
      </w:r>
      <w:r w:rsidR="00E70E6B">
        <w:t xml:space="preserve"> cannot substitute for a </w:t>
      </w:r>
      <w:r w:rsidR="008A30F1">
        <w:t>shared understanding and commitment to reform.</w:t>
      </w:r>
    </w:p>
    <w:p w14:paraId="6BE894A5" w14:textId="5624B59B" w:rsidR="000566C5" w:rsidRDefault="000566C5" w:rsidP="0018488C">
      <w:pPr>
        <w:pStyle w:val="Heading3"/>
      </w:pPr>
      <w:r w:rsidRPr="00085826">
        <w:t xml:space="preserve">The approach to </w:t>
      </w:r>
      <w:r w:rsidR="00643D85">
        <w:t xml:space="preserve">performance </w:t>
      </w:r>
      <w:r w:rsidRPr="00085826">
        <w:t>monitoring in the Agreement</w:t>
      </w:r>
    </w:p>
    <w:p w14:paraId="43F5C945" w14:textId="107F3BD9" w:rsidR="00ED78A9" w:rsidRDefault="00ED78A9" w:rsidP="00BA1256">
      <w:pPr>
        <w:pStyle w:val="BodyText"/>
      </w:pPr>
      <w:r>
        <w:t>The</w:t>
      </w:r>
      <w:r w:rsidR="00A30888">
        <w:t xml:space="preserve"> </w:t>
      </w:r>
      <w:r>
        <w:t xml:space="preserve">Agreement’s performance monitoring and reporting approach is set out across </w:t>
      </w:r>
      <w:r w:rsidR="00BA1256">
        <w:t>chapters</w:t>
      </w:r>
      <w:r w:rsidR="005634D7">
        <w:t> </w:t>
      </w:r>
      <w:r>
        <w:t>7, 8 and 9</w:t>
      </w:r>
      <w:r w:rsidDel="00727288">
        <w:t xml:space="preserve"> </w:t>
      </w:r>
      <w:r w:rsidR="00A17C19">
        <w:t>of the Agreement</w:t>
      </w:r>
      <w:r>
        <w:t>.</w:t>
      </w:r>
      <w:r w:rsidDel="00BA1256">
        <w:t xml:space="preserve"> </w:t>
      </w:r>
      <w:r w:rsidR="00BA1256">
        <w:t>Chapter</w:t>
      </w:r>
      <w:r w:rsidR="005634D7">
        <w:t> </w:t>
      </w:r>
      <w:r>
        <w:t xml:space="preserve">7 – ‘Knowing we are making a difference’ </w:t>
      </w:r>
      <w:r w:rsidR="00437B82">
        <w:rPr>
          <w:rFonts w:cstheme="minorHAnsi"/>
        </w:rPr>
        <w:t>–</w:t>
      </w:r>
      <w:r w:rsidR="00437B82">
        <w:t xml:space="preserve"> </w:t>
      </w:r>
      <w:r w:rsidR="005B59D7">
        <w:t>establishe</w:t>
      </w:r>
      <w:r w:rsidR="008640D9">
        <w:t>s</w:t>
      </w:r>
      <w:r w:rsidR="005B59D7">
        <w:t xml:space="preserve"> the</w:t>
      </w:r>
      <w:r w:rsidR="0081658D">
        <w:t xml:space="preserve"> </w:t>
      </w:r>
      <w:r w:rsidR="00C439F7">
        <w:t>outcomes the</w:t>
      </w:r>
      <w:r w:rsidR="00C92201">
        <w:t xml:space="preserve"> Agreement is seeking to achieve and how </w:t>
      </w:r>
      <w:r w:rsidR="00C51679">
        <w:t xml:space="preserve">progress against them will be </w:t>
      </w:r>
      <w:r w:rsidR="00397FBC">
        <w:t>tracked</w:t>
      </w:r>
      <w:r w:rsidDel="00C07D0E">
        <w:t>.</w:t>
      </w:r>
    </w:p>
    <w:p w14:paraId="173F60AC" w14:textId="09CCD84F" w:rsidR="001B41C9" w:rsidRDefault="00A57DD4" w:rsidP="00024867">
      <w:pPr>
        <w:pStyle w:val="BodyText"/>
      </w:pPr>
      <w:r>
        <w:t>The</w:t>
      </w:r>
      <w:r w:rsidR="00AC6B17">
        <w:t xml:space="preserve"> framework is </w:t>
      </w:r>
      <w:r>
        <w:t xml:space="preserve">divided into separate </w:t>
      </w:r>
      <w:r w:rsidR="00A1790C">
        <w:t>‘</w:t>
      </w:r>
      <w:r w:rsidR="008D2E7F" w:rsidRPr="008C7CE9">
        <w:t>t</w:t>
      </w:r>
      <w:r w:rsidR="00ED78A9" w:rsidRPr="008C7CE9">
        <w:t>arget frameworks</w:t>
      </w:r>
      <w:r w:rsidR="00A1790C">
        <w:t>’</w:t>
      </w:r>
      <w:r w:rsidR="00ED78A9">
        <w:t xml:space="preserve"> for the Priority Reforms and socio</w:t>
      </w:r>
      <w:r w:rsidR="00827859">
        <w:noBreakHyphen/>
      </w:r>
      <w:r w:rsidR="00ED78A9">
        <w:t>economic outcomes (</w:t>
      </w:r>
      <w:r w:rsidR="00437B82">
        <w:t>t</w:t>
      </w:r>
      <w:r w:rsidR="00ED78A9">
        <w:t>ables A and B, respectively).</w:t>
      </w:r>
      <w:r w:rsidR="008D2E7F">
        <w:t xml:space="preserve"> </w:t>
      </w:r>
      <w:r w:rsidR="00ED78A9" w:rsidDel="0063483F">
        <w:t xml:space="preserve">The </w:t>
      </w:r>
      <w:r w:rsidR="00ED78A9">
        <w:t>Priority Reform</w:t>
      </w:r>
      <w:r w:rsidR="00EF5280">
        <w:t>s</w:t>
      </w:r>
      <w:r w:rsidR="0008126F">
        <w:t xml:space="preserve"> </w:t>
      </w:r>
      <w:r w:rsidR="00B475EA">
        <w:t xml:space="preserve">focus on </w:t>
      </w:r>
      <w:r w:rsidR="00EF5280">
        <w:t xml:space="preserve">measuring </w:t>
      </w:r>
      <w:r w:rsidR="00B475EA">
        <w:t xml:space="preserve">the </w:t>
      </w:r>
      <w:r w:rsidR="00ED78A9">
        <w:t>changes governments are making in the way they are working, while the socio</w:t>
      </w:r>
      <w:r w:rsidR="00827859">
        <w:noBreakHyphen/>
      </w:r>
      <w:r w:rsidR="00ED78A9">
        <w:t>economic</w:t>
      </w:r>
      <w:r w:rsidR="00904A82">
        <w:t xml:space="preserve"> </w:t>
      </w:r>
      <w:r w:rsidR="00A1790C">
        <w:t>outcome</w:t>
      </w:r>
      <w:r w:rsidR="00760E32">
        <w:t>s</w:t>
      </w:r>
      <w:r w:rsidR="00ED78A9">
        <w:t xml:space="preserve"> </w:t>
      </w:r>
      <w:r w:rsidR="00EF5280">
        <w:t>measure</w:t>
      </w:r>
      <w:r w:rsidR="00ED78A9">
        <w:t xml:space="preserve"> the</w:t>
      </w:r>
      <w:r w:rsidR="00B475EA">
        <w:t xml:space="preserve"> changes </w:t>
      </w:r>
      <w:r w:rsidR="00ED78A9">
        <w:t>experienced by Aboriginal and Torres Strait Islander people</w:t>
      </w:r>
      <w:r w:rsidR="00ED78A9" w:rsidDel="008D2E7F">
        <w:t xml:space="preserve"> (clause 79)</w:t>
      </w:r>
      <w:r w:rsidR="00ED78A9">
        <w:t xml:space="preserve">. </w:t>
      </w:r>
      <w:r w:rsidR="001B41C9">
        <w:t>The framework</w:t>
      </w:r>
      <w:r w:rsidR="00D54EA0">
        <w:t xml:space="preserve"> </w:t>
      </w:r>
      <w:r w:rsidR="009E6501">
        <w:t>include</w:t>
      </w:r>
      <w:r w:rsidR="002E7535">
        <w:t>s</w:t>
      </w:r>
      <w:r w:rsidR="006238FA">
        <w:t xml:space="preserve"> </w:t>
      </w:r>
      <w:r w:rsidR="000C4E90">
        <w:t xml:space="preserve">the following </w:t>
      </w:r>
      <w:r w:rsidR="006238FA">
        <w:t>elements</w:t>
      </w:r>
      <w:r w:rsidR="0043423A">
        <w:t xml:space="preserve"> </w:t>
      </w:r>
      <w:r w:rsidR="00121AB7">
        <w:t>(figure</w:t>
      </w:r>
      <w:r w:rsidR="005634D7">
        <w:t> </w:t>
      </w:r>
      <w:r w:rsidR="00121AB7">
        <w:rPr>
          <w:noProof/>
        </w:rPr>
        <w:t>1</w:t>
      </w:r>
      <w:r w:rsidR="00121AB7">
        <w:t>)</w:t>
      </w:r>
      <w:r w:rsidR="002E7535">
        <w:t>.</w:t>
      </w:r>
    </w:p>
    <w:p w14:paraId="5DC42A11" w14:textId="6FE13837" w:rsidR="00D54EA0" w:rsidRDefault="000B47A0" w:rsidP="00D54EA0">
      <w:pPr>
        <w:pStyle w:val="ListBullet"/>
      </w:pPr>
      <w:r>
        <w:rPr>
          <w:b/>
          <w:bCs/>
        </w:rPr>
        <w:t xml:space="preserve">Outcome statements </w:t>
      </w:r>
      <w:r w:rsidR="00454AAD" w:rsidRPr="008C7CE9">
        <w:t xml:space="preserve">describe the </w:t>
      </w:r>
      <w:r w:rsidR="002E7535">
        <w:rPr>
          <w:b/>
        </w:rPr>
        <w:t>four</w:t>
      </w:r>
      <w:r w:rsidR="00454AAD" w:rsidRPr="008C7CE9">
        <w:t xml:space="preserve"> Priority Reforms and </w:t>
      </w:r>
      <w:r w:rsidR="00454AAD" w:rsidRPr="006E183B">
        <w:rPr>
          <w:b/>
          <w:bCs/>
        </w:rPr>
        <w:t>17</w:t>
      </w:r>
      <w:r w:rsidR="00454AAD" w:rsidRPr="008C7CE9">
        <w:t xml:space="preserve"> socio</w:t>
      </w:r>
      <w:r w:rsidR="00827859">
        <w:noBreakHyphen/>
      </w:r>
      <w:r w:rsidR="00454AAD" w:rsidRPr="008C7CE9">
        <w:t xml:space="preserve">economic outcomes </w:t>
      </w:r>
      <w:r w:rsidR="008766AA">
        <w:t xml:space="preserve">that the parties have committed to </w:t>
      </w:r>
      <w:r w:rsidR="00454AAD" w:rsidRPr="008C7CE9">
        <w:t>achiev</w:t>
      </w:r>
      <w:r w:rsidR="007B009B">
        <w:t>ing</w:t>
      </w:r>
      <w:r w:rsidR="000C5B34">
        <w:t>.</w:t>
      </w:r>
    </w:p>
    <w:p w14:paraId="107447CD" w14:textId="7A66C8C9" w:rsidR="000C5B34" w:rsidRDefault="000C5B34">
      <w:pPr>
        <w:pStyle w:val="ListBullet"/>
      </w:pPr>
      <w:r w:rsidRPr="008C7CE9">
        <w:rPr>
          <w:b/>
        </w:rPr>
        <w:t>Target</w:t>
      </w:r>
      <w:r w:rsidR="005B15C7" w:rsidRPr="008C7CE9">
        <w:rPr>
          <w:b/>
        </w:rPr>
        <w:t>s</w:t>
      </w:r>
      <w:r w:rsidR="007621BA">
        <w:t xml:space="preserve"> define</w:t>
      </w:r>
      <w:r w:rsidR="00F858C9">
        <w:t xml:space="preserve"> the</w:t>
      </w:r>
      <w:r w:rsidR="005B15C7" w:rsidRPr="008C7CE9">
        <w:t xml:space="preserve"> specific and measurable goals for each of the outcome</w:t>
      </w:r>
      <w:r w:rsidR="007621BA">
        <w:t>s</w:t>
      </w:r>
      <w:r w:rsidR="00563727">
        <w:t>. The targets</w:t>
      </w:r>
      <w:r w:rsidR="00126574">
        <w:t xml:space="preserve"> </w:t>
      </w:r>
      <w:r w:rsidR="006B7FB3">
        <w:t>are</w:t>
      </w:r>
      <w:r w:rsidR="00126574">
        <w:t xml:space="preserve"> </w:t>
      </w:r>
      <w:r w:rsidR="008A2E65">
        <w:t xml:space="preserve">the key measures </w:t>
      </w:r>
      <w:r w:rsidR="00CD3833">
        <w:t>that government parties are publicly accountable for achieving.</w:t>
      </w:r>
      <w:r w:rsidR="00BE01CB">
        <w:t xml:space="preserve"> </w:t>
      </w:r>
      <w:r w:rsidR="00CD3833">
        <w:t>The</w:t>
      </w:r>
      <w:r w:rsidR="00AB603B">
        <w:t>y</w:t>
      </w:r>
      <w:r w:rsidR="00901288">
        <w:t xml:space="preserve"> typically </w:t>
      </w:r>
      <w:r w:rsidR="00A31CE6">
        <w:t xml:space="preserve">specify </w:t>
      </w:r>
      <w:r w:rsidR="007831BD">
        <w:t xml:space="preserve">the </w:t>
      </w:r>
      <w:r w:rsidR="003722A5">
        <w:t>amount or rate a</w:t>
      </w:r>
      <w:r w:rsidR="00057299">
        <w:t>n</w:t>
      </w:r>
      <w:r w:rsidR="00DF77B3">
        <w:t xml:space="preserve"> indic</w:t>
      </w:r>
      <w:r w:rsidR="00A07E32">
        <w:t xml:space="preserve">ator </w:t>
      </w:r>
      <w:r w:rsidR="003722A5">
        <w:t>must</w:t>
      </w:r>
      <w:r w:rsidR="00A07E32">
        <w:t xml:space="preserve"> change within a defined period</w:t>
      </w:r>
      <w:r w:rsidR="003722A5">
        <w:t>.</w:t>
      </w:r>
      <w:r w:rsidR="00A56060">
        <w:t xml:space="preserve"> There are </w:t>
      </w:r>
      <w:r w:rsidR="007A3DCF" w:rsidRPr="0004381B">
        <w:rPr>
          <w:b/>
        </w:rPr>
        <w:t>23</w:t>
      </w:r>
      <w:r w:rsidR="007A3DCF">
        <w:t xml:space="preserve"> </w:t>
      </w:r>
      <w:r w:rsidR="009426B8">
        <w:t>targets in total</w:t>
      </w:r>
      <w:r w:rsidR="002E7535">
        <w:t>,</w:t>
      </w:r>
      <w:r w:rsidR="009426B8">
        <w:t xml:space="preserve"> with</w:t>
      </w:r>
      <w:r w:rsidR="00B26F1F">
        <w:t xml:space="preserve"> </w:t>
      </w:r>
      <w:r w:rsidR="009426B8">
        <w:t>e</w:t>
      </w:r>
      <w:r w:rsidR="00A56060">
        <w:t xml:space="preserve">ach </w:t>
      </w:r>
      <w:r w:rsidR="008A422F">
        <w:t>Priority</w:t>
      </w:r>
      <w:r w:rsidR="007A3DCF">
        <w:t xml:space="preserve"> Reform and socio</w:t>
      </w:r>
      <w:r w:rsidR="00827859">
        <w:noBreakHyphen/>
      </w:r>
      <w:r w:rsidR="007A3DCF">
        <w:t xml:space="preserve">economic </w:t>
      </w:r>
      <w:r w:rsidR="00A56060">
        <w:t>outcome ha</w:t>
      </w:r>
      <w:r w:rsidR="007A3DCF">
        <w:t>ving</w:t>
      </w:r>
      <w:r w:rsidR="00A56060">
        <w:t xml:space="preserve"> at least one</w:t>
      </w:r>
      <w:r w:rsidR="007A3DCF">
        <w:t xml:space="preserve"> </w:t>
      </w:r>
      <w:r w:rsidR="00B1720D">
        <w:t>target</w:t>
      </w:r>
      <w:r w:rsidR="00A56060">
        <w:t xml:space="preserve"> (attachment </w:t>
      </w:r>
      <w:r w:rsidR="00BF0F39">
        <w:t>A</w:t>
      </w:r>
      <w:r w:rsidR="00A56060">
        <w:t>).</w:t>
      </w:r>
    </w:p>
    <w:p w14:paraId="78934996" w14:textId="260CC860" w:rsidR="00ED2A42" w:rsidRPr="00697212" w:rsidRDefault="003722A5" w:rsidP="00ED2A42">
      <w:pPr>
        <w:pStyle w:val="ListBullet"/>
        <w:rPr>
          <w:spacing w:val="-2"/>
        </w:rPr>
      </w:pPr>
      <w:r w:rsidRPr="00697212">
        <w:rPr>
          <w:b/>
          <w:bCs/>
          <w:spacing w:val="-2"/>
        </w:rPr>
        <w:lastRenderedPageBreak/>
        <w:t xml:space="preserve">Supporting </w:t>
      </w:r>
      <w:r w:rsidR="00A023FA" w:rsidRPr="00697212">
        <w:rPr>
          <w:b/>
          <w:bCs/>
          <w:spacing w:val="-2"/>
        </w:rPr>
        <w:t>indicators</w:t>
      </w:r>
      <w:r w:rsidR="00ED2A42" w:rsidRPr="00697212">
        <w:rPr>
          <w:b/>
          <w:spacing w:val="-2"/>
        </w:rPr>
        <w:t xml:space="preserve"> </w:t>
      </w:r>
      <w:r w:rsidR="00ED2A42" w:rsidRPr="00697212">
        <w:rPr>
          <w:spacing w:val="-2"/>
        </w:rPr>
        <w:t xml:space="preserve">provide </w:t>
      </w:r>
      <w:r w:rsidR="00AF086C" w:rsidRPr="00697212">
        <w:rPr>
          <w:spacing w:val="-2"/>
        </w:rPr>
        <w:t>more information on</w:t>
      </w:r>
      <w:r w:rsidR="00ED2A42" w:rsidRPr="00697212">
        <w:rPr>
          <w:spacing w:val="-2"/>
        </w:rPr>
        <w:t xml:space="preserve"> how governments are performing against the outcomes</w:t>
      </w:r>
      <w:r w:rsidR="0020767D" w:rsidRPr="00697212">
        <w:rPr>
          <w:spacing w:val="-2"/>
        </w:rPr>
        <w:t xml:space="preserve">. </w:t>
      </w:r>
      <w:r w:rsidR="00BA68E8" w:rsidRPr="00697212">
        <w:rPr>
          <w:spacing w:val="-2"/>
        </w:rPr>
        <w:t>They are described in general terms</w:t>
      </w:r>
      <w:r w:rsidR="002B32C7" w:rsidRPr="00697212">
        <w:rPr>
          <w:spacing w:val="-2"/>
        </w:rPr>
        <w:t xml:space="preserve"> </w:t>
      </w:r>
      <w:r w:rsidR="00DD05D7" w:rsidRPr="00697212">
        <w:rPr>
          <w:spacing w:val="-2"/>
        </w:rPr>
        <w:t xml:space="preserve">and require </w:t>
      </w:r>
      <w:r w:rsidR="00C17601" w:rsidRPr="00697212">
        <w:rPr>
          <w:spacing w:val="-2"/>
        </w:rPr>
        <w:t xml:space="preserve">the </w:t>
      </w:r>
      <w:r w:rsidR="009F031B" w:rsidRPr="00697212">
        <w:rPr>
          <w:spacing w:val="-2"/>
        </w:rPr>
        <w:t>specific</w:t>
      </w:r>
      <w:r w:rsidR="00F42669" w:rsidRPr="00697212">
        <w:rPr>
          <w:spacing w:val="-2"/>
        </w:rPr>
        <w:t>ation of</w:t>
      </w:r>
      <w:r w:rsidR="009F031B" w:rsidRPr="00697212">
        <w:rPr>
          <w:spacing w:val="-2"/>
        </w:rPr>
        <w:t xml:space="preserve"> </w:t>
      </w:r>
      <w:r w:rsidR="00DD05D7" w:rsidRPr="00697212">
        <w:rPr>
          <w:b/>
          <w:spacing w:val="-2"/>
        </w:rPr>
        <w:t>measures</w:t>
      </w:r>
      <w:r w:rsidR="00DD05D7" w:rsidRPr="00697212">
        <w:rPr>
          <w:spacing w:val="-2"/>
        </w:rPr>
        <w:t xml:space="preserve"> to </w:t>
      </w:r>
      <w:r w:rsidR="00030F7F" w:rsidRPr="00697212">
        <w:rPr>
          <w:spacing w:val="-2"/>
        </w:rPr>
        <w:t>define h</w:t>
      </w:r>
      <w:r w:rsidR="00D558C1" w:rsidRPr="00697212">
        <w:rPr>
          <w:spacing w:val="-2"/>
        </w:rPr>
        <w:t>ow</w:t>
      </w:r>
      <w:r w:rsidR="00030F7F" w:rsidRPr="00697212">
        <w:rPr>
          <w:spacing w:val="-2"/>
        </w:rPr>
        <w:t xml:space="preserve"> they will be quantified and </w:t>
      </w:r>
      <w:r w:rsidR="00421C4D" w:rsidRPr="00697212">
        <w:rPr>
          <w:spacing w:val="-2"/>
        </w:rPr>
        <w:t>what data is needed</w:t>
      </w:r>
      <w:r w:rsidR="00BA68E8" w:rsidRPr="00697212">
        <w:rPr>
          <w:spacing w:val="-2"/>
        </w:rPr>
        <w:t>.</w:t>
      </w:r>
      <w:r w:rsidR="009027BC" w:rsidRPr="00697212">
        <w:rPr>
          <w:spacing w:val="-2"/>
        </w:rPr>
        <w:t xml:space="preserve"> </w:t>
      </w:r>
      <w:r w:rsidR="006C380A" w:rsidRPr="00697212">
        <w:rPr>
          <w:spacing w:val="-2"/>
        </w:rPr>
        <w:t xml:space="preserve">The framework </w:t>
      </w:r>
      <w:r w:rsidR="00621B86" w:rsidRPr="00697212">
        <w:rPr>
          <w:spacing w:val="-2"/>
        </w:rPr>
        <w:t>identif</w:t>
      </w:r>
      <w:r w:rsidR="0075437F" w:rsidRPr="00697212">
        <w:rPr>
          <w:spacing w:val="-2"/>
        </w:rPr>
        <w:t>ies</w:t>
      </w:r>
      <w:r w:rsidR="00DB17FD" w:rsidRPr="00697212">
        <w:rPr>
          <w:spacing w:val="-2"/>
        </w:rPr>
        <w:t xml:space="preserve"> </w:t>
      </w:r>
      <w:r w:rsidR="00DB17FD" w:rsidRPr="00697212">
        <w:rPr>
          <w:b/>
          <w:bCs/>
          <w:spacing w:val="-2"/>
        </w:rPr>
        <w:t>16</w:t>
      </w:r>
      <w:r w:rsidR="000332E8" w:rsidRPr="00697212">
        <w:rPr>
          <w:b/>
          <w:bCs/>
          <w:spacing w:val="-2"/>
        </w:rPr>
        <w:t>4</w:t>
      </w:r>
      <w:r w:rsidR="00621B86" w:rsidRPr="00697212">
        <w:rPr>
          <w:spacing w:val="-2"/>
        </w:rPr>
        <w:t xml:space="preserve"> </w:t>
      </w:r>
      <w:r w:rsidR="00EF012B" w:rsidRPr="00697212">
        <w:rPr>
          <w:spacing w:val="-2"/>
        </w:rPr>
        <w:t xml:space="preserve">supporting </w:t>
      </w:r>
      <w:r w:rsidR="006D3FE0" w:rsidRPr="00697212">
        <w:rPr>
          <w:spacing w:val="-2"/>
        </w:rPr>
        <w:t>indicators</w:t>
      </w:r>
      <w:r w:rsidR="00EF012B" w:rsidRPr="00697212">
        <w:rPr>
          <w:spacing w:val="-2"/>
        </w:rPr>
        <w:t xml:space="preserve"> in tota</w:t>
      </w:r>
      <w:r w:rsidR="00DB17FD" w:rsidRPr="00697212">
        <w:rPr>
          <w:spacing w:val="-2"/>
        </w:rPr>
        <w:t>l</w:t>
      </w:r>
      <w:r w:rsidR="006D3FE0" w:rsidRPr="00697212">
        <w:rPr>
          <w:spacing w:val="-2"/>
        </w:rPr>
        <w:t xml:space="preserve">. </w:t>
      </w:r>
    </w:p>
    <w:p w14:paraId="1C56BC1B" w14:textId="3A2DC969" w:rsidR="006D3FE0" w:rsidRPr="00697212" w:rsidRDefault="0029768C" w:rsidP="00ED2A42">
      <w:pPr>
        <w:pStyle w:val="ListBullet"/>
        <w:rPr>
          <w:spacing w:val="-4"/>
        </w:rPr>
      </w:pPr>
      <w:r w:rsidRPr="00697212">
        <w:rPr>
          <w:b/>
          <w:spacing w:val="-4"/>
        </w:rPr>
        <w:t>Disaggregations</w:t>
      </w:r>
      <w:r w:rsidRPr="00697212">
        <w:rPr>
          <w:spacing w:val="-4"/>
        </w:rPr>
        <w:t xml:space="preserve"> specify how each of the targets will be broken down</w:t>
      </w:r>
      <w:r w:rsidR="00E75D61" w:rsidRPr="00697212">
        <w:rPr>
          <w:spacing w:val="-4"/>
        </w:rPr>
        <w:t xml:space="preserve"> </w:t>
      </w:r>
      <w:r w:rsidRPr="00697212">
        <w:rPr>
          <w:spacing w:val="-4"/>
        </w:rPr>
        <w:t>to understand where progress is being made</w:t>
      </w:r>
      <w:r w:rsidR="0082026B" w:rsidRPr="00697212">
        <w:rPr>
          <w:spacing w:val="-4"/>
        </w:rPr>
        <w:t xml:space="preserve"> </w:t>
      </w:r>
      <w:r w:rsidR="00E75D61" w:rsidRPr="00697212">
        <w:rPr>
          <w:spacing w:val="-4"/>
        </w:rPr>
        <w:t>and where greater effort is needed</w:t>
      </w:r>
      <w:r w:rsidR="00D558C1" w:rsidRPr="00697212">
        <w:rPr>
          <w:spacing w:val="-4"/>
        </w:rPr>
        <w:t xml:space="preserve"> (</w:t>
      </w:r>
      <w:r w:rsidR="00E75E42" w:rsidRPr="00697212">
        <w:rPr>
          <w:spacing w:val="-4"/>
        </w:rPr>
        <w:t>for example,</w:t>
      </w:r>
      <w:r w:rsidR="00D558C1" w:rsidRPr="00697212">
        <w:rPr>
          <w:spacing w:val="-4"/>
        </w:rPr>
        <w:t xml:space="preserve"> by different geographic areas and population groups)</w:t>
      </w:r>
      <w:r w:rsidR="00E75D61" w:rsidRPr="00697212">
        <w:rPr>
          <w:spacing w:val="-4"/>
        </w:rPr>
        <w:t xml:space="preserve">. </w:t>
      </w:r>
    </w:p>
    <w:p w14:paraId="6959494C" w14:textId="0E140D76" w:rsidR="00ED2A42" w:rsidRDefault="00B42F34" w:rsidP="008C7CE9">
      <w:pPr>
        <w:pStyle w:val="ListBullet"/>
      </w:pPr>
      <w:r>
        <w:rPr>
          <w:b/>
          <w:bCs/>
        </w:rPr>
        <w:t xml:space="preserve">Data </w:t>
      </w:r>
      <w:r w:rsidR="00D2083A">
        <w:rPr>
          <w:b/>
          <w:bCs/>
        </w:rPr>
        <w:t>development items</w:t>
      </w:r>
      <w:r w:rsidR="008E4CF0">
        <w:rPr>
          <w:b/>
          <w:bCs/>
        </w:rPr>
        <w:t xml:space="preserve"> </w:t>
      </w:r>
      <w:r w:rsidR="009B3833" w:rsidRPr="008C7CE9">
        <w:t xml:space="preserve">are </w:t>
      </w:r>
      <w:r w:rsidR="00E16143">
        <w:t xml:space="preserve">concepts </w:t>
      </w:r>
      <w:r w:rsidR="00CA5E8E">
        <w:t xml:space="preserve">that would provide </w:t>
      </w:r>
      <w:r w:rsidR="008E4CF0" w:rsidRPr="008C7CE9">
        <w:t xml:space="preserve">a better understanding of </w:t>
      </w:r>
      <w:r w:rsidR="00FD33D1">
        <w:t xml:space="preserve">the </w:t>
      </w:r>
      <w:r w:rsidR="00B832B0">
        <w:t>outcome</w:t>
      </w:r>
      <w:r w:rsidR="00FD33D1">
        <w:t xml:space="preserve"> </w:t>
      </w:r>
      <w:r w:rsidR="00216FF3">
        <w:t>areas but</w:t>
      </w:r>
      <w:r w:rsidR="008E4CF0" w:rsidRPr="008C7CE9">
        <w:t xml:space="preserve"> </w:t>
      </w:r>
      <w:r w:rsidR="00B106F1">
        <w:t>require work to develo</w:t>
      </w:r>
      <w:r w:rsidR="00D2317C">
        <w:t xml:space="preserve">p the approach and data </w:t>
      </w:r>
      <w:r w:rsidR="00FD33D1">
        <w:t xml:space="preserve">so that they can be </w:t>
      </w:r>
      <w:r w:rsidR="008E4CF0" w:rsidRPr="008C7CE9">
        <w:t>measur</w:t>
      </w:r>
      <w:r w:rsidR="00B832B0">
        <w:t>ed</w:t>
      </w:r>
      <w:r w:rsidR="00FD33D1">
        <w:t xml:space="preserve">. </w:t>
      </w:r>
    </w:p>
    <w:p w14:paraId="1B023FC1" w14:textId="4482097E" w:rsidR="00F64EDD" w:rsidRDefault="000C5D83" w:rsidP="008C7CE9">
      <w:pPr>
        <w:pStyle w:val="BodyText"/>
      </w:pPr>
      <w:r>
        <w:t>Chapter</w:t>
      </w:r>
      <w:r w:rsidR="005634D7">
        <w:t> </w:t>
      </w:r>
      <w:r>
        <w:t>7</w:t>
      </w:r>
      <w:r w:rsidR="00601256" w:rsidRPr="00601256">
        <w:t xml:space="preserve"> of the Agreement </w:t>
      </w:r>
      <w:r w:rsidR="00A73271">
        <w:t xml:space="preserve">also </w:t>
      </w:r>
      <w:r w:rsidR="00601256" w:rsidRPr="00601256">
        <w:t xml:space="preserve">commits the </w:t>
      </w:r>
      <w:r w:rsidR="00A73271">
        <w:t>p</w:t>
      </w:r>
      <w:r w:rsidR="00601256" w:rsidRPr="00601256">
        <w:t>arties to establishing a plan to advance the ‘data development items</w:t>
      </w:r>
      <w:r w:rsidR="00A73271">
        <w:t>’</w:t>
      </w:r>
      <w:r w:rsidR="00601256" w:rsidRPr="00601256">
        <w:t xml:space="preserve"> identified in the performance frameworks. </w:t>
      </w:r>
      <w:r w:rsidR="009E619A">
        <w:t>Specifically, the p</w:t>
      </w:r>
      <w:r w:rsidR="0059559A">
        <w:t xml:space="preserve">arties were required to prepare a </w:t>
      </w:r>
      <w:r w:rsidR="006831D3">
        <w:rPr>
          <w:b/>
        </w:rPr>
        <w:t>d</w:t>
      </w:r>
      <w:r w:rsidR="00601256" w:rsidRPr="008C7CE9">
        <w:rPr>
          <w:b/>
        </w:rPr>
        <w:t xml:space="preserve">ata </w:t>
      </w:r>
      <w:r w:rsidR="006831D3">
        <w:rPr>
          <w:b/>
        </w:rPr>
        <w:t>d</w:t>
      </w:r>
      <w:r w:rsidR="00601256" w:rsidRPr="008C7CE9">
        <w:rPr>
          <w:b/>
        </w:rPr>
        <w:t xml:space="preserve">evelopment </w:t>
      </w:r>
      <w:r w:rsidR="006831D3">
        <w:rPr>
          <w:b/>
        </w:rPr>
        <w:t>p</w:t>
      </w:r>
      <w:r w:rsidR="00601256" w:rsidRPr="008C7CE9">
        <w:rPr>
          <w:b/>
        </w:rPr>
        <w:t>lan (DDP)</w:t>
      </w:r>
      <w:r w:rsidR="00601256" w:rsidRPr="00601256">
        <w:t xml:space="preserve"> </w:t>
      </w:r>
      <w:r w:rsidR="0059559A">
        <w:t>that</w:t>
      </w:r>
      <w:r w:rsidR="00601256" w:rsidRPr="00601256">
        <w:t xml:space="preserve"> prioritise</w:t>
      </w:r>
      <w:r w:rsidR="006831D3">
        <w:t>s</w:t>
      </w:r>
      <w:r w:rsidR="00601256" w:rsidRPr="00601256">
        <w:t xml:space="preserve"> </w:t>
      </w:r>
      <w:r w:rsidR="00922234">
        <w:t xml:space="preserve">development </w:t>
      </w:r>
      <w:r w:rsidR="00601256" w:rsidRPr="00601256">
        <w:t>actions, assign</w:t>
      </w:r>
      <w:r w:rsidR="006831D3">
        <w:t>s</w:t>
      </w:r>
      <w:r w:rsidR="00601256" w:rsidRPr="00601256">
        <w:t xml:space="preserve"> responsibilities and set</w:t>
      </w:r>
      <w:r w:rsidR="006831D3">
        <w:t>s</w:t>
      </w:r>
      <w:r w:rsidR="00601256" w:rsidRPr="00601256">
        <w:t xml:space="preserve"> clear delivery timelines.</w:t>
      </w:r>
      <w:r w:rsidR="00922234">
        <w:t xml:space="preserve"> </w:t>
      </w:r>
    </w:p>
    <w:p w14:paraId="73AA3D97" w14:textId="5F3329DF" w:rsidR="00F64EDD" w:rsidRDefault="00F64EDD" w:rsidP="008C7CE9">
      <w:pPr>
        <w:pStyle w:val="BodyText"/>
      </w:pPr>
      <w:r>
        <w:t>As section</w:t>
      </w:r>
      <w:r w:rsidR="005634D7">
        <w:t> </w:t>
      </w:r>
      <w:r>
        <w:t xml:space="preserve">4 discusses, </w:t>
      </w:r>
      <w:r w:rsidRPr="00D6580C">
        <w:rPr>
          <w:b/>
        </w:rPr>
        <w:t>most of</w:t>
      </w:r>
      <w:r w:rsidRPr="000116B1">
        <w:rPr>
          <w:b/>
          <w:bCs/>
        </w:rPr>
        <w:t xml:space="preserve"> the measures specified in the frameworks are yet to be reported on</w:t>
      </w:r>
      <w:r>
        <w:t xml:space="preserve"> </w:t>
      </w:r>
      <w:r w:rsidR="006831D3">
        <w:rPr>
          <w:rFonts w:cstheme="minorHAnsi"/>
        </w:rPr>
        <w:t>–</w:t>
      </w:r>
      <w:r>
        <w:t xml:space="preserve"> as of July 2023</w:t>
      </w:r>
      <w:r w:rsidR="006831D3">
        <w:t>,</w:t>
      </w:r>
      <w:r>
        <w:t xml:space="preserve"> there is no </w:t>
      </w:r>
      <w:r w:rsidR="007543AC">
        <w:t>progress</w:t>
      </w:r>
      <w:r>
        <w:t xml:space="preserve"> data </w:t>
      </w:r>
      <w:r w:rsidR="007543AC">
        <w:t>reported</w:t>
      </w:r>
      <w:r>
        <w:t xml:space="preserve"> for any of the </w:t>
      </w:r>
      <w:r w:rsidR="000911E2">
        <w:t>Priority Reform</w:t>
      </w:r>
      <w:r>
        <w:t xml:space="preserve">s, four of </w:t>
      </w:r>
      <w:r w:rsidR="003124BE">
        <w:t>the</w:t>
      </w:r>
      <w:r>
        <w:t xml:space="preserve"> socio</w:t>
      </w:r>
      <w:r w:rsidR="006831D3">
        <w:noBreakHyphen/>
      </w:r>
      <w:r>
        <w:t>economic targets and the majority of the supporting indicators.</w:t>
      </w:r>
    </w:p>
    <w:p w14:paraId="77BA1F40" w14:textId="4C1F229F" w:rsidR="00ED78A9" w:rsidRPr="00146382" w:rsidRDefault="00ED78A9" w:rsidP="00ED78A9">
      <w:pPr>
        <w:pStyle w:val="FigureTableHeading"/>
      </w:pPr>
      <w:bookmarkStart w:id="3" w:name="_Ref139371060"/>
      <w:r>
        <w:t>Figure</w:t>
      </w:r>
      <w:r w:rsidR="005634D7">
        <w:t> </w:t>
      </w:r>
      <w:r w:rsidR="003953BA">
        <w:rPr>
          <w:noProof/>
        </w:rPr>
        <w:t>1</w:t>
      </w:r>
      <w:bookmarkEnd w:id="3"/>
      <w:r>
        <w:rPr>
          <w:noProof/>
        </w:rPr>
        <w:t xml:space="preserve"> </w:t>
      </w:r>
      <w:r>
        <w:t>– Key elements of the Agreement’s performance frameworks</w:t>
      </w:r>
    </w:p>
    <w:p w14:paraId="58F3182D" w14:textId="0651E6B0" w:rsidR="00ED78A9" w:rsidRPr="005550A0" w:rsidRDefault="00AC0AF4" w:rsidP="00E11B24">
      <w:pPr>
        <w:pStyle w:val="BodyText"/>
        <w:jc w:val="both"/>
      </w:pPr>
      <w:r w:rsidRPr="00AC0AF4">
        <w:t xml:space="preserve"> </w:t>
      </w:r>
      <w:r w:rsidR="003A7E2F" w:rsidRPr="003A7E2F">
        <w:rPr>
          <w:noProof/>
        </w:rPr>
        <w:drawing>
          <wp:inline distT="0" distB="0" distL="0" distR="0" wp14:anchorId="43A30432" wp14:editId="7029A9DB">
            <wp:extent cx="6120130" cy="4667250"/>
            <wp:effectExtent l="0" t="0" r="0" b="0"/>
            <wp:docPr id="1532990152" name="Picture 1532990152" descr="This figure has 3 columns, each with titles and 5 rows underneath. The left hand column is titled ‘Target Frameworks’ this column sets to the subject for the rows in the columns to the right of it. The middle column is labelled ‘Priority Reforms’ and the far right column is labelled ‘Socio-economic outcomes’. &#10;&#10;The first left hand row is labelled ‘Outcome statements: The changes the Agreement is seeking to achieve’. The Priority Reform column’s first row box says: ‘4 Priority Reforms’. The Socio-economic outcomes column’s first row box says: ‘17 outcome areas’. &#10;&#10;The second row is labelled ‘Targets: The specific measurable goals that governments are accountable for achieving.’ The Priority Reform column’s second row box says: ‘Key measures of the changes governments are making in the way they are working’. The Socio-economic outcomes column’s second row box says: ‘Key measures of the changes in life outcomes for Aboriginal and Torres Strait Islander people’. &#10;&#10;The third row is labelled ‘Supporting indicators: Measures that provide greater insight into how governments are tracking’. The Priority Reform column’s third row box says: ‘Includes indicators that: track how the Priority Reforms are being implemented, and track the outcomes experienced by Aboriginal and Torres Strait Islander people’. The Socio-economic outcomes column’s third row box says: ‘Includes indicators: track the Drivers that significantly affect whether a target will be met; and provide Contextual information about the experiences of Aboriginal and Torres Strait Islander people’. &#10;&#10;The fourth row is labelled ‘Disaggregations: How the targets will be broken down for reporting’. The Priority Reform column’s fourth row box says: ‘By jurisdiction and socioeconomic outcome area’. The Socio-economic outcomes column’s fourth row box says: ‘By population group/cohort and geographic areas’. &#10;&#10;The fifth row is labelled ‘Data development items: Measures that require further work to be developed’. The Priority Reform column’s fifth row box says: ‘Additional concepts that will provide a better understanding of the Priority Reforms’. The Socio-economic outcomes column’s fifth row box says: ‘Additional concepts that will provide a better understanding of the socio-economic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90152" name="Picture 1532990152" descr="This figure has 3 columns, each with titles and 5 rows underneath. The left hand column is titled ‘Target Frameworks’ this column sets to the subject for the rows in the columns to the right of it. The middle column is labelled ‘Priority Reforms’ and the far right column is labelled ‘Socio-economic outcomes’. &#10;&#10;The first left hand row is labelled ‘Outcome statements: The changes the Agreement is seeking to achieve’. The Priority Reform column’s first row box says: ‘4 Priority Reforms’. The Socio-economic outcomes column’s first row box says: ‘17 outcome areas’. &#10;&#10;The second row is labelled ‘Targets: The specific measurable goals that governments are accountable for achieving.’ The Priority Reform column’s second row box says: ‘Key measures of the changes governments are making in the way they are working’. The Socio-economic outcomes column’s second row box says: ‘Key measures of the changes in life outcomes for Aboriginal and Torres Strait Islander people’. &#10;&#10;The third row is labelled ‘Supporting indicators: Measures that provide greater insight into how governments are tracking’. The Priority Reform column’s third row box says: ‘Includes indicators that: track how the Priority Reforms are being implemented, and track the outcomes experienced by Aboriginal and Torres Strait Islander people’. The Socio-economic outcomes column’s third row box says: ‘Includes indicators: track the Drivers that significantly affect whether a target will be met; and provide Contextual information about the experiences of Aboriginal and Torres Strait Islander people’. &#10;&#10;The fourth row is labelled ‘Disaggregations: How the targets will be broken down for reporting’. The Priority Reform column’s fourth row box says: ‘By jurisdiction and socioeconomic outcome area’. The Socio-economic outcomes column’s fourth row box says: ‘By population group/cohort and geographic areas’. &#10;&#10;The fifth row is labelled ‘Data development items: Measures that require further work to be developed’. The Priority Reform column’s fifth row box says: ‘Additional concepts that will provide a better understanding of the Priority Reforms’. The Socio-economic outcomes column’s fifth row box says: ‘Additional concepts that will provide a better understanding of the socio-economic outcomes’.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4667250"/>
                    </a:xfrm>
                    <a:prstGeom prst="rect">
                      <a:avLst/>
                    </a:prstGeom>
                    <a:noFill/>
                    <a:ln>
                      <a:noFill/>
                    </a:ln>
                  </pic:spPr>
                </pic:pic>
              </a:graphicData>
            </a:graphic>
          </wp:inline>
        </w:drawing>
      </w:r>
    </w:p>
    <w:p w14:paraId="24BAB65B" w14:textId="0DE126D3" w:rsidR="006B2972" w:rsidRDefault="00D705B9" w:rsidP="00270AA8">
      <w:pPr>
        <w:pStyle w:val="BodyText"/>
      </w:pPr>
      <w:r>
        <w:lastRenderedPageBreak/>
        <w:t>Chapter</w:t>
      </w:r>
      <w:r w:rsidR="005634D7">
        <w:t> </w:t>
      </w:r>
      <w:r w:rsidR="00ED78A9">
        <w:t>8</w:t>
      </w:r>
      <w:r w:rsidR="006A3EDC">
        <w:t xml:space="preserve"> of the Agreement</w:t>
      </w:r>
      <w:r w:rsidR="00ED78A9" w:rsidDel="00BA04A1">
        <w:t xml:space="preserve"> </w:t>
      </w:r>
      <w:r w:rsidR="005C63B3">
        <w:t>establish</w:t>
      </w:r>
      <w:r w:rsidR="00532760">
        <w:t>es</w:t>
      </w:r>
      <w:r w:rsidR="005C63B3">
        <w:t xml:space="preserve"> how the </w:t>
      </w:r>
      <w:r w:rsidR="00532760">
        <w:t xml:space="preserve">parties must set out what they will do </w:t>
      </w:r>
      <w:r w:rsidR="005E26AF">
        <w:t xml:space="preserve">to implement the </w:t>
      </w:r>
      <w:r w:rsidR="00E93BEA">
        <w:t>Agreement</w:t>
      </w:r>
      <w:r w:rsidR="00532760">
        <w:t xml:space="preserve">, while </w:t>
      </w:r>
      <w:r w:rsidR="008B6D47">
        <w:t>c</w:t>
      </w:r>
      <w:r w:rsidR="00532760">
        <w:t>hapter</w:t>
      </w:r>
      <w:r w:rsidR="005634D7">
        <w:t> </w:t>
      </w:r>
      <w:r w:rsidR="00F2047E">
        <w:t xml:space="preserve">9 </w:t>
      </w:r>
      <w:r w:rsidR="00304FB0">
        <w:t xml:space="preserve">establishes the </w:t>
      </w:r>
      <w:r w:rsidR="00794BAC">
        <w:t>arrangements</w:t>
      </w:r>
      <w:r w:rsidR="009827F7">
        <w:t xml:space="preserve"> for</w:t>
      </w:r>
      <w:r w:rsidR="00092BF2">
        <w:t xml:space="preserve"> </w:t>
      </w:r>
      <w:r w:rsidR="00092BF2" w:rsidRPr="00092BF2">
        <w:t>publicly reporting on their actions and progress.</w:t>
      </w:r>
      <w:r w:rsidR="00794BAC">
        <w:t xml:space="preserve"> The main mechanisms include</w:t>
      </w:r>
      <w:r w:rsidR="00121AB7">
        <w:t xml:space="preserve"> (figure</w:t>
      </w:r>
      <w:r w:rsidR="005634D7">
        <w:t> </w:t>
      </w:r>
      <w:r w:rsidR="00121AB7">
        <w:t>2)</w:t>
      </w:r>
      <w:r w:rsidR="00794BAC">
        <w:t>:</w:t>
      </w:r>
    </w:p>
    <w:p w14:paraId="4DE6AD0A" w14:textId="125622AB" w:rsidR="00ED78A9" w:rsidRPr="00D6328E" w:rsidRDefault="006A3EDC" w:rsidP="00ED78A9">
      <w:pPr>
        <w:pStyle w:val="ListBullet"/>
      </w:pPr>
      <w:r>
        <w:rPr>
          <w:b/>
          <w:bCs/>
        </w:rPr>
        <w:t>i</w:t>
      </w:r>
      <w:r w:rsidR="00ED78A9" w:rsidRPr="00A3397D">
        <w:rPr>
          <w:b/>
          <w:bCs/>
        </w:rPr>
        <w:t xml:space="preserve">mplementation </w:t>
      </w:r>
      <w:r w:rsidR="00D0446F">
        <w:rPr>
          <w:b/>
          <w:bCs/>
        </w:rPr>
        <w:t>p</w:t>
      </w:r>
      <w:r w:rsidR="00ED78A9" w:rsidRPr="00A3397D">
        <w:rPr>
          <w:b/>
          <w:bCs/>
        </w:rPr>
        <w:t>lans</w:t>
      </w:r>
      <w:r w:rsidR="00ED78A9">
        <w:t xml:space="preserve"> </w:t>
      </w:r>
      <w:r w:rsidR="00A17EC3">
        <w:t xml:space="preserve">that are </w:t>
      </w:r>
      <w:r w:rsidR="000E041D">
        <w:t>developed</w:t>
      </w:r>
      <w:r w:rsidR="00A17EC3">
        <w:t xml:space="preserve"> by each party to the Agreement </w:t>
      </w:r>
      <w:r w:rsidR="00ED78A9">
        <w:t>that</w:t>
      </w:r>
      <w:r w:rsidR="002D5B1E">
        <w:t xml:space="preserve"> </w:t>
      </w:r>
      <w:r w:rsidR="00E24E97">
        <w:t>are meant to</w:t>
      </w:r>
      <w:r w:rsidR="002D5B1E">
        <w:t xml:space="preserve"> rigorously set out </w:t>
      </w:r>
      <w:r w:rsidR="00564FDC">
        <w:t xml:space="preserve">how they will achieve the Priority Reforms and </w:t>
      </w:r>
      <w:r w:rsidR="00D10BD5">
        <w:t>socio</w:t>
      </w:r>
      <w:r w:rsidR="00827859">
        <w:noBreakHyphen/>
      </w:r>
      <w:r w:rsidR="00D10BD5">
        <w:t>economic outcomes</w:t>
      </w:r>
    </w:p>
    <w:p w14:paraId="1A9326F1" w14:textId="75BFEB31" w:rsidR="00ED78A9" w:rsidRDefault="006A3EDC" w:rsidP="00ED78A9">
      <w:pPr>
        <w:pStyle w:val="ListBullet"/>
      </w:pPr>
      <w:r>
        <w:t>a</w:t>
      </w:r>
      <w:r w:rsidR="00ED78A9">
        <w:t xml:space="preserve"> </w:t>
      </w:r>
      <w:r w:rsidR="00A42950" w:rsidRPr="00844A8D">
        <w:t>publicly</w:t>
      </w:r>
      <w:r w:rsidR="00A42950" w:rsidRPr="008C7CE9">
        <w:t xml:space="preserve"> accessible</w:t>
      </w:r>
      <w:r w:rsidR="00A42950">
        <w:rPr>
          <w:b/>
          <w:bCs/>
        </w:rPr>
        <w:t xml:space="preserve"> </w:t>
      </w:r>
      <w:r w:rsidR="00ED78A9" w:rsidRPr="00761CE7">
        <w:rPr>
          <w:b/>
          <w:bCs/>
        </w:rPr>
        <w:t xml:space="preserve">dashboard </w:t>
      </w:r>
      <w:r w:rsidR="00E90760">
        <w:t>maintained</w:t>
      </w:r>
      <w:r w:rsidR="00E90760" w:rsidRPr="00BE74DC">
        <w:t xml:space="preserve"> </w:t>
      </w:r>
      <w:r w:rsidR="00ED78A9" w:rsidRPr="00BE74DC">
        <w:t>by the Productivity Commission</w:t>
      </w:r>
      <w:r w:rsidR="00AB6287">
        <w:t xml:space="preserve"> and underpinned by an </w:t>
      </w:r>
      <w:r w:rsidR="004076CF">
        <w:t>i</w:t>
      </w:r>
      <w:r w:rsidR="00AB6287">
        <w:t xml:space="preserve">nformation </w:t>
      </w:r>
      <w:r w:rsidR="004076CF">
        <w:t>r</w:t>
      </w:r>
      <w:r w:rsidR="00AB6287">
        <w:t>epository</w:t>
      </w:r>
      <w:r w:rsidR="00ED78A9">
        <w:rPr>
          <w:b/>
          <w:bCs/>
        </w:rPr>
        <w:t xml:space="preserve"> </w:t>
      </w:r>
      <w:r w:rsidR="005D0E2D">
        <w:t>that provides</w:t>
      </w:r>
      <w:r w:rsidR="00E90760">
        <w:t xml:space="preserve"> </w:t>
      </w:r>
      <w:r w:rsidR="005D0E2D">
        <w:t>up</w:t>
      </w:r>
      <w:r w:rsidR="00827859">
        <w:noBreakHyphen/>
      </w:r>
      <w:r w:rsidR="005D0E2D">
        <w:t>to</w:t>
      </w:r>
      <w:r w:rsidR="00827859">
        <w:noBreakHyphen/>
      </w:r>
      <w:r w:rsidR="005D0E2D">
        <w:t xml:space="preserve">date </w:t>
      </w:r>
      <w:r w:rsidR="0082465A">
        <w:t xml:space="preserve">information on the </w:t>
      </w:r>
      <w:r w:rsidR="00ED78A9">
        <w:t>targets and indicators</w:t>
      </w:r>
      <w:r w:rsidR="00966AE6">
        <w:t xml:space="preserve"> in the mo</w:t>
      </w:r>
      <w:r w:rsidR="000319B2">
        <w:t xml:space="preserve">nitoring </w:t>
      </w:r>
      <w:r w:rsidR="000D7405">
        <w:t>framework</w:t>
      </w:r>
      <w:r w:rsidR="00AB6287">
        <w:t>.</w:t>
      </w:r>
      <w:r w:rsidR="00ED78A9" w:rsidDel="00AB6287">
        <w:t xml:space="preserve"> </w:t>
      </w:r>
      <w:r w:rsidR="00284E84">
        <w:t>A point</w:t>
      </w:r>
      <w:r w:rsidR="00827859">
        <w:noBreakHyphen/>
      </w:r>
      <w:r w:rsidR="00284E84">
        <w:t>in</w:t>
      </w:r>
      <w:r w:rsidR="00827859">
        <w:noBreakHyphen/>
      </w:r>
      <w:r w:rsidR="00284E84">
        <w:t>time</w:t>
      </w:r>
      <w:r w:rsidR="005F7753">
        <w:t xml:space="preserve"> snapshot of the dashboard is </w:t>
      </w:r>
      <w:r w:rsidR="002D7C0D">
        <w:t xml:space="preserve">also </w:t>
      </w:r>
      <w:r w:rsidR="005F7753">
        <w:t>to be provided in an</w:t>
      </w:r>
      <w:r w:rsidR="00B4162E">
        <w:t xml:space="preserve"> </w:t>
      </w:r>
      <w:r w:rsidR="000D7405" w:rsidRPr="008C7CE9">
        <w:rPr>
          <w:b/>
        </w:rPr>
        <w:t>annu</w:t>
      </w:r>
      <w:r w:rsidR="0020381C" w:rsidRPr="008C7CE9">
        <w:rPr>
          <w:b/>
        </w:rPr>
        <w:t>al</w:t>
      </w:r>
      <w:r w:rsidR="000D7405" w:rsidRPr="008C7CE9">
        <w:rPr>
          <w:b/>
        </w:rPr>
        <w:t xml:space="preserve"> </w:t>
      </w:r>
      <w:r w:rsidR="00ED78A9" w:rsidRPr="008C7CE9">
        <w:rPr>
          <w:b/>
        </w:rPr>
        <w:t>data compilation report</w:t>
      </w:r>
      <w:r w:rsidR="0020381C" w:rsidRPr="008C7CE9">
        <w:rPr>
          <w:b/>
        </w:rPr>
        <w:t xml:space="preserve"> (ADCR</w:t>
      </w:r>
      <w:r w:rsidR="00ED78A9" w:rsidRPr="008C7CE9" w:rsidDel="00B4162E">
        <w:rPr>
          <w:b/>
        </w:rPr>
        <w:t>)</w:t>
      </w:r>
    </w:p>
    <w:p w14:paraId="1A49BAC1" w14:textId="71086397" w:rsidR="00ED78A9" w:rsidRDefault="006A3EDC" w:rsidP="00ED78A9">
      <w:pPr>
        <w:pStyle w:val="ListBullet"/>
      </w:pPr>
      <w:r>
        <w:rPr>
          <w:b/>
          <w:bCs/>
        </w:rPr>
        <w:t>a</w:t>
      </w:r>
      <w:r w:rsidR="00ED78A9" w:rsidRPr="00761CE7">
        <w:rPr>
          <w:b/>
          <w:bCs/>
        </w:rPr>
        <w:t>nnual reports</w:t>
      </w:r>
      <w:r w:rsidR="00ED78A9">
        <w:t xml:space="preserve"> </w:t>
      </w:r>
      <w:r w:rsidR="005F7753">
        <w:t>that are prepared</w:t>
      </w:r>
      <w:r w:rsidR="002D7C0D">
        <w:t xml:space="preserve"> by</w:t>
      </w:r>
      <w:r w:rsidR="005F7753">
        <w:t xml:space="preserve"> </w:t>
      </w:r>
      <w:r w:rsidR="00ED78A9">
        <w:t xml:space="preserve">each party </w:t>
      </w:r>
      <w:r w:rsidR="00DC1962">
        <w:t>to publicly self</w:t>
      </w:r>
      <w:r w:rsidR="00827859">
        <w:noBreakHyphen/>
      </w:r>
      <w:r w:rsidR="00DC1962">
        <w:t xml:space="preserve">report </w:t>
      </w:r>
      <w:r w:rsidR="00ED78A9">
        <w:t xml:space="preserve">on </w:t>
      </w:r>
      <w:r w:rsidR="008E258F">
        <w:t xml:space="preserve">the actions </w:t>
      </w:r>
      <w:r w:rsidR="00D72975">
        <w:t xml:space="preserve">that </w:t>
      </w:r>
      <w:r w:rsidR="008E258F">
        <w:t xml:space="preserve">they have taken to </w:t>
      </w:r>
      <w:r w:rsidR="00ED78A9">
        <w:t>implement the Agreement</w:t>
      </w:r>
      <w:r w:rsidR="00576EBE">
        <w:t xml:space="preserve"> and their progress against the </w:t>
      </w:r>
      <w:r w:rsidR="007A0D34">
        <w:t xml:space="preserve">targets (based on </w:t>
      </w:r>
      <w:r w:rsidR="00ED78A9">
        <w:t>data from the dashboard</w:t>
      </w:r>
      <w:r w:rsidR="007A0D34">
        <w:t xml:space="preserve"> and ADCR</w:t>
      </w:r>
      <w:r w:rsidR="00ED78A9" w:rsidDel="007A0D34">
        <w:t>)</w:t>
      </w:r>
    </w:p>
    <w:p w14:paraId="3DBECED9" w14:textId="4A4B24DA" w:rsidR="00557693" w:rsidRDefault="006A3EDC" w:rsidP="008D18B7">
      <w:pPr>
        <w:pStyle w:val="ListBullet"/>
      </w:pPr>
      <w:r>
        <w:rPr>
          <w:b/>
          <w:bCs/>
        </w:rPr>
        <w:t>r</w:t>
      </w:r>
      <w:r w:rsidR="00ED78A9">
        <w:rPr>
          <w:b/>
          <w:bCs/>
        </w:rPr>
        <w:t>eviews</w:t>
      </w:r>
      <w:r w:rsidR="00ED78A9">
        <w:t>, including an independent review conducted by the Commission and an Aboriginal</w:t>
      </w:r>
      <w:r w:rsidR="00827859">
        <w:noBreakHyphen/>
      </w:r>
      <w:r w:rsidR="00ED78A9">
        <w:t xml:space="preserve"> and Torres Strait Islander</w:t>
      </w:r>
      <w:r w:rsidR="00827859">
        <w:noBreakHyphen/>
      </w:r>
      <w:r w:rsidR="00ED78A9">
        <w:t>led review, to be completed every three years and responded to by the Joint Council</w:t>
      </w:r>
      <w:r w:rsidR="00ED5813">
        <w:t xml:space="preserve"> on Closing the Gap</w:t>
      </w:r>
      <w:r w:rsidR="00DB7739">
        <w:t xml:space="preserve"> (Joint Council)</w:t>
      </w:r>
      <w:r w:rsidR="009C3BFE">
        <w:t>.</w:t>
      </w:r>
    </w:p>
    <w:p w14:paraId="45DABD64" w14:textId="69EDFD27" w:rsidR="00957588" w:rsidRDefault="0075486A" w:rsidP="00957588">
      <w:pPr>
        <w:pStyle w:val="BodyText"/>
      </w:pPr>
      <w:r>
        <w:t xml:space="preserve">The </w:t>
      </w:r>
      <w:r w:rsidR="003E1949">
        <w:t xml:space="preserve">Agreement allows for the </w:t>
      </w:r>
      <w:r w:rsidR="00887F29">
        <w:t>three</w:t>
      </w:r>
      <w:r w:rsidR="00827859">
        <w:noBreakHyphen/>
      </w:r>
      <w:r w:rsidR="003E1949">
        <w:t>yearly reviews to</w:t>
      </w:r>
      <w:r w:rsidR="002E4961">
        <w:t xml:space="preserve"> provide advice </w:t>
      </w:r>
      <w:r w:rsidR="0058592C">
        <w:t xml:space="preserve">to the Joint Council on potential changes to the </w:t>
      </w:r>
      <w:r w:rsidR="009020E5">
        <w:t>target</w:t>
      </w:r>
      <w:r w:rsidR="00C113F7">
        <w:t xml:space="preserve"> </w:t>
      </w:r>
      <w:r w:rsidR="0058592C">
        <w:t>framework</w:t>
      </w:r>
      <w:r w:rsidR="009020E5">
        <w:t>s</w:t>
      </w:r>
      <w:r w:rsidR="00544802">
        <w:t>.</w:t>
      </w:r>
      <w:r w:rsidR="00B77B4D">
        <w:t xml:space="preserve"> </w:t>
      </w:r>
      <w:r w:rsidR="00544802">
        <w:t xml:space="preserve">The Joint Council </w:t>
      </w:r>
      <w:r w:rsidR="005A1BB0">
        <w:t>can also approve changes to the framework</w:t>
      </w:r>
      <w:r w:rsidR="009020E5">
        <w:t>s</w:t>
      </w:r>
      <w:r w:rsidR="005A1BB0">
        <w:t xml:space="preserve"> </w:t>
      </w:r>
      <w:r w:rsidR="00B77B4D">
        <w:t>found to be necessary from</w:t>
      </w:r>
      <w:r w:rsidR="002E4668">
        <w:t xml:space="preserve"> data development work.</w:t>
      </w:r>
      <w:r w:rsidR="0001375B">
        <w:t xml:space="preserve"> </w:t>
      </w:r>
    </w:p>
    <w:p w14:paraId="73A08BFA" w14:textId="453A88D0" w:rsidR="00957588" w:rsidRPr="00146382" w:rsidRDefault="00957588" w:rsidP="00957588">
      <w:pPr>
        <w:pStyle w:val="FigureTableHeading"/>
      </w:pPr>
      <w:bookmarkStart w:id="4" w:name="_Ref139371116"/>
      <w:r>
        <w:t>Figure</w:t>
      </w:r>
      <w:r w:rsidR="005634D7">
        <w:t> </w:t>
      </w:r>
      <w:r w:rsidR="0070182A">
        <w:t>2</w:t>
      </w:r>
      <w:bookmarkEnd w:id="4"/>
      <w:r>
        <w:rPr>
          <w:noProof/>
        </w:rPr>
        <w:t xml:space="preserve"> </w:t>
      </w:r>
      <w:r>
        <w:t>– The Agreement’s reporting mechanisms</w:t>
      </w:r>
    </w:p>
    <w:p w14:paraId="7126F02D" w14:textId="4D6723BB" w:rsidR="00957588" w:rsidRDefault="005E2E41" w:rsidP="00957588">
      <w:pPr>
        <w:pStyle w:val="Note"/>
        <w:keepLines/>
      </w:pPr>
      <w:r w:rsidRPr="005E2E41">
        <w:t xml:space="preserve"> </w:t>
      </w:r>
      <w:r w:rsidR="00D4116B" w:rsidRPr="00D4116B">
        <w:rPr>
          <w:noProof/>
        </w:rPr>
        <w:drawing>
          <wp:inline distT="0" distB="0" distL="0" distR="0" wp14:anchorId="2205EBD3" wp14:editId="6D6658D8">
            <wp:extent cx="6120130" cy="3748405"/>
            <wp:effectExtent l="0" t="0" r="0" b="4445"/>
            <wp:docPr id="1628333389" name="Picture 1628333389" descr="This diagram is about the Agreement’s reporting mechanisms. It shows a how the reporting mechanisms relate to each other.  &#10;&#10;There are six items in the diagram: Target frameworks, public dashboard (information repository), annual data compilation report, implementation plans, annual reports, and three yearly reviews. There are arrows between these items showing how each influences others. &#10;&#10;Target frameworks set out in the Agreement track the Priority Reforms and socio-economic outcomes, and these are displayed on the Commission’s public dashboard (produced with the partnership working group on Closing the Gap), and the annual data compilation report  &#10;&#10;Target frameworks are also reported on in implementation plans, prepared by all parties and monitored by the Joint Council, and annual reports, which are published by all parties and which government parties table in their parliaments. &#10;&#10;The public dashboard, annual data compilation report, implementation plans and annual reports feed into the Productivity Commission’s and Aboriginal- and Torres Strait Islander-led three-yearly reviews, and Joint Council responds to these reviews &#10;&#10;Three-yearly reviews then feed back into implementation plans and the target framewo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33389" name="Picture 1628333389" descr="This diagram is about the Agreement’s reporting mechanisms. It shows a how the reporting mechanisms relate to each other.  &#10;&#10;There are six items in the diagram: Target frameworks, public dashboard (information repository), annual data compilation report, implementation plans, annual reports, and three yearly reviews. There are arrows between these items showing how each influences others. &#10;&#10;Target frameworks set out in the Agreement track the Priority Reforms and socio-economic outcomes, and these are displayed on the Commission’s public dashboard (produced with the partnership working group on Closing the Gap), and the annual data compilation report  &#10;&#10;Target frameworks are also reported on in implementation plans, prepared by all parties and monitored by the Joint Council, and annual reports, which are published by all parties and which government parties table in their parliaments. &#10;&#10;The public dashboard, annual data compilation report, implementation plans and annual reports feed into the Productivity Commission’s and Aboriginal- and Torres Strait Islander-led three-yearly reviews, and Joint Council responds to these reviews &#10;&#10;Three-yearly reviews then feed back into implementation plans and the target frameworks.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3748405"/>
                    </a:xfrm>
                    <a:prstGeom prst="rect">
                      <a:avLst/>
                    </a:prstGeom>
                    <a:noFill/>
                    <a:ln>
                      <a:noFill/>
                    </a:ln>
                  </pic:spPr>
                </pic:pic>
              </a:graphicData>
            </a:graphic>
          </wp:inline>
        </w:drawing>
      </w:r>
    </w:p>
    <w:p w14:paraId="48168923" w14:textId="72667223" w:rsidR="00312606" w:rsidRPr="00D82CA2" w:rsidRDefault="00387886" w:rsidP="005067C1">
      <w:pPr>
        <w:pStyle w:val="Heading4"/>
      </w:pPr>
      <w:r w:rsidRPr="00D82CA2">
        <w:lastRenderedPageBreak/>
        <w:t xml:space="preserve">The performance monitoring approach </w:t>
      </w:r>
      <w:r w:rsidR="0058095E" w:rsidRPr="00D82CA2">
        <w:t xml:space="preserve">sought to address some of the issues with the </w:t>
      </w:r>
      <w:r w:rsidR="00D82CA2" w:rsidRPr="005067C1">
        <w:t xml:space="preserve">previous approach under the </w:t>
      </w:r>
      <w:r w:rsidR="008B1704" w:rsidRPr="00D82CA2">
        <w:t>National Indigenous Reform Agreement</w:t>
      </w:r>
    </w:p>
    <w:p w14:paraId="50588FEC" w14:textId="2F306363" w:rsidR="000901F6" w:rsidRDefault="000901F6" w:rsidP="000566C5">
      <w:pPr>
        <w:pStyle w:val="BodyText"/>
      </w:pPr>
      <w:r>
        <w:t xml:space="preserve">The Agreement’s approach to performance monitoring </w:t>
      </w:r>
      <w:r w:rsidR="00517B2A">
        <w:t xml:space="preserve">is </w:t>
      </w:r>
      <w:r>
        <w:t xml:space="preserve">an evolution of the </w:t>
      </w:r>
      <w:r w:rsidR="00436066">
        <w:t>approach in the National Indigenous Reform Agreement (NIRA</w:t>
      </w:r>
      <w:r w:rsidR="003F6DAB">
        <w:t xml:space="preserve">). </w:t>
      </w:r>
      <w:r w:rsidR="00EA2729">
        <w:t>Review</w:t>
      </w:r>
      <w:r w:rsidR="008E3C4E">
        <w:t>s of the NIRA</w:t>
      </w:r>
      <w:r w:rsidR="006F2E6A">
        <w:t xml:space="preserve"> </w:t>
      </w:r>
      <w:r w:rsidR="008E3C4E">
        <w:t xml:space="preserve">informed </w:t>
      </w:r>
      <w:r w:rsidR="00F350A9">
        <w:t xml:space="preserve">the </w:t>
      </w:r>
      <w:r w:rsidR="008E3C4E">
        <w:t xml:space="preserve">development of </w:t>
      </w:r>
      <w:r w:rsidR="00260D70">
        <w:t xml:space="preserve">the new performance monitoring approach under the </w:t>
      </w:r>
      <w:r w:rsidR="008E3C4E">
        <w:t xml:space="preserve">Agreement </w:t>
      </w:r>
      <w:r w:rsidR="00881363">
        <w:t>(</w:t>
      </w:r>
      <w:r w:rsidR="00DF2FCC">
        <w:t>b</w:t>
      </w:r>
      <w:r w:rsidR="00881363">
        <w:t>ox</w:t>
      </w:r>
      <w:r w:rsidR="005634D7">
        <w:t> </w:t>
      </w:r>
      <w:r w:rsidR="001857C4">
        <w:t>1</w:t>
      </w:r>
      <w:r w:rsidR="00881363">
        <w:t>).</w:t>
      </w:r>
    </w:p>
    <w:p w14:paraId="1041E962" w14:textId="5495084D" w:rsidR="0044658C" w:rsidRPr="00F82BD9" w:rsidRDefault="0044658C" w:rsidP="0044658C">
      <w:pPr>
        <w:pStyle w:val="NoSpacing"/>
      </w:pPr>
    </w:p>
    <w:tbl>
      <w:tblPr>
        <w:tblStyle w:val="Boxtable"/>
        <w:tblW w:w="5000" w:type="pct"/>
        <w:tblLook w:val="04A0" w:firstRow="1" w:lastRow="0" w:firstColumn="1" w:lastColumn="0" w:noHBand="0" w:noVBand="1"/>
      </w:tblPr>
      <w:tblGrid>
        <w:gridCol w:w="906"/>
        <w:gridCol w:w="8732"/>
      </w:tblGrid>
      <w:tr w:rsidR="00FF7D12" w14:paraId="4959EEDA" w14:textId="77777777" w:rsidTr="00AB424C">
        <w:trPr>
          <w:tblHeader/>
        </w:trPr>
        <w:tc>
          <w:tcPr>
            <w:tcW w:w="851" w:type="dxa"/>
            <w:shd w:val="clear" w:color="auto" w:fill="FBF3EC"/>
            <w:tcMar>
              <w:top w:w="170" w:type="dxa"/>
              <w:left w:w="170" w:type="dxa"/>
              <w:bottom w:w="113" w:type="dxa"/>
              <w:right w:w="170" w:type="dxa"/>
            </w:tcMar>
            <w:hideMark/>
          </w:tcPr>
          <w:p w14:paraId="415EBD28" w14:textId="798EC326" w:rsidR="00FF7D12" w:rsidRDefault="00AB424C" w:rsidP="00AB424C">
            <w:pPr>
              <w:pStyle w:val="BoxHeading1"/>
              <w:spacing w:before="120"/>
            </w:pPr>
            <w:r w:rsidRPr="00A031AA">
              <w:rPr>
                <w:b/>
                <w:bCs/>
                <w:noProof/>
              </w:rPr>
              <w:drawing>
                <wp:inline distT="0" distB="0" distL="0" distR="0" wp14:anchorId="74E18CFA" wp14:editId="0BEA3C8C">
                  <wp:extent cx="360000" cy="424800"/>
                  <wp:effectExtent l="0" t="0" r="0" b="0"/>
                  <wp:docPr id="1293616939" name="Picture 1293616939" descr="A brown boomerang with red and yellow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16939" name="Picture 1293616939" descr="A brown boomerang with red and yellow do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424800"/>
                          </a:xfrm>
                          <a:prstGeom prst="rect">
                            <a:avLst/>
                          </a:prstGeom>
                        </pic:spPr>
                      </pic:pic>
                    </a:graphicData>
                  </a:graphic>
                </wp:inline>
              </w:drawing>
            </w:r>
          </w:p>
        </w:tc>
        <w:tc>
          <w:tcPr>
            <w:tcW w:w="8787" w:type="dxa"/>
            <w:shd w:val="clear" w:color="auto" w:fill="FBF3EC"/>
          </w:tcPr>
          <w:p w14:paraId="4BA30DEC" w14:textId="7D2094A5" w:rsidR="00FF7D12" w:rsidRDefault="00FF7D12">
            <w:pPr>
              <w:pStyle w:val="BoxHeading1"/>
            </w:pPr>
            <w:r>
              <w:t>Box </w:t>
            </w:r>
            <w:r>
              <w:rPr>
                <w:noProof/>
              </w:rPr>
              <w:t>1</w:t>
            </w:r>
            <w:r>
              <w:t xml:space="preserve"> – Lessons from the performance monitoring approach in the National Indigenous Reform Agreement (NIRA)</w:t>
            </w:r>
          </w:p>
        </w:tc>
      </w:tr>
      <w:tr w:rsidR="0044658C" w14:paraId="6AB58691" w14:textId="77777777" w:rsidTr="00AB424C">
        <w:tc>
          <w:tcPr>
            <w:tcW w:w="9638" w:type="dxa"/>
            <w:gridSpan w:val="2"/>
            <w:shd w:val="clear" w:color="auto" w:fill="FBF3EC"/>
            <w:tcMar>
              <w:top w:w="28" w:type="dxa"/>
              <w:left w:w="170" w:type="dxa"/>
              <w:bottom w:w="170" w:type="dxa"/>
              <w:right w:w="170" w:type="dxa"/>
            </w:tcMar>
            <w:hideMark/>
          </w:tcPr>
          <w:p w14:paraId="1A2CEC0D" w14:textId="765BE716" w:rsidR="0044658C" w:rsidRDefault="0044658C">
            <w:pPr>
              <w:pStyle w:val="BodyText"/>
            </w:pPr>
            <w:r>
              <w:t>The NIRA</w:t>
            </w:r>
            <w:r w:rsidR="00267863">
              <w:t>’s</w:t>
            </w:r>
            <w:r>
              <w:t xml:space="preserve"> performance monitoring </w:t>
            </w:r>
            <w:r w:rsidR="006025F2">
              <w:t xml:space="preserve">approach </w:t>
            </w:r>
            <w:r>
              <w:t xml:space="preserve">was broadly seen </w:t>
            </w:r>
            <w:r w:rsidR="003D5C82">
              <w:t xml:space="preserve">as </w:t>
            </w:r>
            <w:r>
              <w:t>bring</w:t>
            </w:r>
            <w:r w:rsidR="003D5C82">
              <w:t>ing</w:t>
            </w:r>
            <w:r>
              <w:t xml:space="preserve"> unprecedented attention to outcomes for Aboriginal and Torres Strait Islander people </w:t>
            </w:r>
            <w:r w:rsidR="004D4A58" w:rsidRPr="004D4A58">
              <w:rPr>
                <w:rFonts w:ascii="Arial" w:hAnsi="Arial" w:cs="Arial"/>
                <w:szCs w:val="24"/>
              </w:rPr>
              <w:t>(NIAA 2019, p. 1)</w:t>
            </w:r>
            <w:r>
              <w:t xml:space="preserve"> and was</w:t>
            </w:r>
            <w:r w:rsidR="0042296C">
              <w:t xml:space="preserve"> perceived by some as</w:t>
            </w:r>
            <w:r>
              <w:t xml:space="preserve"> effective in mobilising effort made by governments to achieve the outcomes </w:t>
            </w:r>
            <w:r w:rsidR="00AC0160" w:rsidRPr="00AC0160">
              <w:rPr>
                <w:rFonts w:ascii="Arial" w:hAnsi="Arial" w:cs="Arial"/>
                <w:szCs w:val="24"/>
              </w:rPr>
              <w:t>(Nous Group 2014, p. 45)</w:t>
            </w:r>
            <w:r>
              <w:t xml:space="preserve">. Some of the </w:t>
            </w:r>
            <w:r w:rsidR="00C4031B">
              <w:t>identified</w:t>
            </w:r>
            <w:r>
              <w:t xml:space="preserve"> strengths of the NIRA performance monitoring approach </w:t>
            </w:r>
            <w:r w:rsidR="00751752">
              <w:t>were</w:t>
            </w:r>
            <w:r w:rsidR="00754E72">
              <w:t xml:space="preserve"> that it</w:t>
            </w:r>
            <w:r>
              <w:t xml:space="preserve">: </w:t>
            </w:r>
          </w:p>
          <w:p w14:paraId="486873CE" w14:textId="2FE92B27" w:rsidR="0044658C" w:rsidRDefault="0044658C" w:rsidP="00F57580">
            <w:pPr>
              <w:pStyle w:val="ListBullet"/>
            </w:pPr>
            <w:r>
              <w:t>utilis</w:t>
            </w:r>
            <w:r w:rsidR="00754E72">
              <w:t>ed</w:t>
            </w:r>
            <w:r>
              <w:t xml:space="preserve"> a building block approach</w:t>
            </w:r>
            <w:r w:rsidRPr="00C66242">
              <w:rPr>
                <w:b/>
                <w:bCs/>
                <w:vertAlign w:val="superscript"/>
              </w:rPr>
              <w:t>a</w:t>
            </w:r>
            <w:r>
              <w:t xml:space="preserve"> that recognised a joint need for action across portfolios and the interconnectedness of outcomes </w:t>
            </w:r>
            <w:r w:rsidR="00B36CA6" w:rsidRPr="00B36CA6">
              <w:rPr>
                <w:rFonts w:ascii="Arial" w:hAnsi="Arial" w:cs="Arial"/>
                <w:szCs w:val="24"/>
              </w:rPr>
              <w:t>(NIAA 2019, p. 2)</w:t>
            </w:r>
          </w:p>
          <w:p w14:paraId="6A2F91CE" w14:textId="1D2549F4" w:rsidR="0044658C" w:rsidRDefault="00277228" w:rsidP="00F57580">
            <w:pPr>
              <w:pStyle w:val="ListBullet"/>
            </w:pPr>
            <w:r>
              <w:t>establish</w:t>
            </w:r>
            <w:r w:rsidR="00754E72">
              <w:t>ed</w:t>
            </w:r>
            <w:r>
              <w:t xml:space="preserve"> </w:t>
            </w:r>
            <w:r w:rsidR="00060B3B">
              <w:t>high</w:t>
            </w:r>
            <w:r w:rsidR="00827859">
              <w:noBreakHyphen/>
            </w:r>
            <w:r w:rsidR="00060B3B">
              <w:t xml:space="preserve">level outcomes and targets </w:t>
            </w:r>
            <w:r>
              <w:t xml:space="preserve">that </w:t>
            </w:r>
            <w:r w:rsidR="000D04AA">
              <w:t xml:space="preserve">identified key priorities and initially prompted </w:t>
            </w:r>
            <w:r w:rsidR="0029668F">
              <w:t>strategic investment</w:t>
            </w:r>
            <w:r w:rsidR="007A09DD">
              <w:t xml:space="preserve"> </w:t>
            </w:r>
            <w:r w:rsidR="003B3437" w:rsidRPr="003B3437">
              <w:rPr>
                <w:rFonts w:ascii="Arial" w:hAnsi="Arial" w:cs="Arial"/>
                <w:szCs w:val="24"/>
              </w:rPr>
              <w:t>(NIAA 2019, pp. 2, 6)</w:t>
            </w:r>
            <w:r w:rsidR="0044658C" w:rsidRPr="000C78CE">
              <w:t xml:space="preserve"> </w:t>
            </w:r>
          </w:p>
          <w:p w14:paraId="7F0A7BF2" w14:textId="2038C810" w:rsidR="00F93AAB" w:rsidRDefault="009972AF" w:rsidP="00F57580">
            <w:pPr>
              <w:pStyle w:val="ListBullet"/>
            </w:pPr>
            <w:r>
              <w:t>i</w:t>
            </w:r>
            <w:r w:rsidR="009419C7">
              <w:t>mplement</w:t>
            </w:r>
            <w:r w:rsidR="00754E72">
              <w:t>ed</w:t>
            </w:r>
            <w:r w:rsidR="009419C7">
              <w:t xml:space="preserve"> </w:t>
            </w:r>
            <w:r w:rsidR="00A07C7A">
              <w:t>robust</w:t>
            </w:r>
            <w:r w:rsidR="00F93AAB">
              <w:t xml:space="preserve"> processes for </w:t>
            </w:r>
            <w:r w:rsidR="00E76AEE">
              <w:t xml:space="preserve">collecting and reporting </w:t>
            </w:r>
            <w:r w:rsidR="0018445D">
              <w:t xml:space="preserve">data </w:t>
            </w:r>
            <w:r w:rsidR="00E76AEE">
              <w:t>on the targets and mana</w:t>
            </w:r>
            <w:r w:rsidR="00505C59">
              <w:t>ging data quality</w:t>
            </w:r>
            <w:r w:rsidR="009419C7">
              <w:t xml:space="preserve"> </w:t>
            </w:r>
            <w:r w:rsidR="00166F35" w:rsidRPr="33028DA0">
              <w:rPr>
                <w:rFonts w:ascii="Arial" w:hAnsi="Arial" w:cs="Arial"/>
              </w:rPr>
              <w:t>(ANAO 2019, p. 9)</w:t>
            </w:r>
            <w:r w:rsidR="00754E72">
              <w:t>.</w:t>
            </w:r>
          </w:p>
          <w:p w14:paraId="3DF98239" w14:textId="7DCA4BC0" w:rsidR="0044658C" w:rsidRDefault="0044658C">
            <w:pPr>
              <w:pStyle w:val="BodyText"/>
            </w:pPr>
            <w:r>
              <w:t>However, the NIRA</w:t>
            </w:r>
            <w:r w:rsidR="0049344E">
              <w:t>’s</w:t>
            </w:r>
            <w:r>
              <w:t xml:space="preserve"> performance </w:t>
            </w:r>
            <w:r w:rsidR="001D25D2">
              <w:t xml:space="preserve">monitoring approach </w:t>
            </w:r>
            <w:r>
              <w:t>also had its weaknesses. These include</w:t>
            </w:r>
            <w:r w:rsidR="0049344E">
              <w:t>d</w:t>
            </w:r>
            <w:r>
              <w:t>:</w:t>
            </w:r>
          </w:p>
          <w:p w14:paraId="445FD9E4" w14:textId="22C32A1A" w:rsidR="0081205F" w:rsidRDefault="00D7703B" w:rsidP="00F57580">
            <w:pPr>
              <w:pStyle w:val="ListBullet"/>
            </w:pPr>
            <w:r>
              <w:t xml:space="preserve">limited </w:t>
            </w:r>
            <w:r w:rsidR="00D25C68">
              <w:t xml:space="preserve">engagement with Aboriginal and Torres Strait Islander people on the design and implementation </w:t>
            </w:r>
            <w:r w:rsidR="009419C7">
              <w:t>of</w:t>
            </w:r>
            <w:r w:rsidR="00D25C68">
              <w:t xml:space="preserve"> the </w:t>
            </w:r>
            <w:r w:rsidR="005C7983">
              <w:t xml:space="preserve">approach </w:t>
            </w:r>
            <w:r w:rsidRPr="33028DA0">
              <w:rPr>
                <w:rFonts w:ascii="Arial" w:hAnsi="Arial" w:cs="Arial"/>
              </w:rPr>
              <w:t>(ANAO 2019, p. 9)</w:t>
            </w:r>
          </w:p>
          <w:p w14:paraId="7A94B30C" w14:textId="749E4397" w:rsidR="0044658C" w:rsidRDefault="0044658C" w:rsidP="00F57580">
            <w:pPr>
              <w:pStyle w:val="ListBullet"/>
            </w:pPr>
            <w:r>
              <w:t>only including outcomes for individuals (that did not account for structural inequities), which contributed to a deficit</w:t>
            </w:r>
            <w:r w:rsidR="00827859">
              <w:noBreakHyphen/>
            </w:r>
            <w:r>
              <w:t>based narrative</w:t>
            </w:r>
            <w:r w:rsidR="0029356F">
              <w:t xml:space="preserve"> and omitting important outcome areas (such as culture and justice)</w:t>
            </w:r>
            <w:r w:rsidR="003640BD">
              <w:t xml:space="preserve"> </w:t>
            </w:r>
            <w:r w:rsidR="003640BD" w:rsidRPr="00C44F18">
              <w:rPr>
                <w:rFonts w:ascii="Arial" w:hAnsi="Arial" w:cs="Arial"/>
                <w:szCs w:val="24"/>
              </w:rPr>
              <w:t>(Murawin 2019, pp. 22–23)</w:t>
            </w:r>
          </w:p>
          <w:p w14:paraId="3AE9EA9B" w14:textId="1195BAC9" w:rsidR="002D33A2" w:rsidRDefault="002D33A2">
            <w:pPr>
              <w:pStyle w:val="ListBullet"/>
            </w:pPr>
            <w:r>
              <w:t>setting targets</w:t>
            </w:r>
            <w:r w:rsidR="001D4FD6">
              <w:t xml:space="preserve"> that were unrealistic</w:t>
            </w:r>
            <w:r w:rsidR="006C5784">
              <w:t xml:space="preserve"> about how soon improvements could be </w:t>
            </w:r>
            <w:r w:rsidR="00062492">
              <w:t>achieved</w:t>
            </w:r>
            <w:r w:rsidR="001D4FD6">
              <w:t xml:space="preserve"> and</w:t>
            </w:r>
            <w:r w:rsidR="0044658C">
              <w:t xml:space="preserve"> did not account for, or provide an understanding of</w:t>
            </w:r>
            <w:r w:rsidR="00981CA3">
              <w:t>,</w:t>
            </w:r>
            <w:r w:rsidR="0044658C">
              <w:t xml:space="preserve"> regional variation</w:t>
            </w:r>
            <w:r w:rsidR="00AB711B">
              <w:t xml:space="preserve"> </w:t>
            </w:r>
            <w:r w:rsidR="001B4678" w:rsidRPr="001B4678">
              <w:rPr>
                <w:rFonts w:ascii="Arial" w:hAnsi="Arial" w:cs="Arial"/>
                <w:szCs w:val="24"/>
              </w:rPr>
              <w:t>(Biddle et al. 2017, p. 2)</w:t>
            </w:r>
          </w:p>
          <w:p w14:paraId="35A5BD3C" w14:textId="7E05EFCB" w:rsidR="0044658C" w:rsidRDefault="00DD16F5">
            <w:pPr>
              <w:pStyle w:val="ListBullet"/>
            </w:pPr>
            <w:r>
              <w:t>a lack of in</w:t>
            </w:r>
            <w:r w:rsidR="004E5EC7">
              <w:t xml:space="preserve">dicators that measured the performance of </w:t>
            </w:r>
            <w:r w:rsidR="002D33A2">
              <w:t xml:space="preserve">government </w:t>
            </w:r>
            <w:r w:rsidR="009B56E2">
              <w:t>policies and programs</w:t>
            </w:r>
            <w:r w:rsidR="002D33A2">
              <w:t xml:space="preserve"> or the</w:t>
            </w:r>
            <w:r w:rsidR="009B56E2">
              <w:t xml:space="preserve"> drivers that contributed to achieving the targets</w:t>
            </w:r>
            <w:r w:rsidR="009972AF">
              <w:t xml:space="preserve"> </w:t>
            </w:r>
            <w:r w:rsidR="00B36CA6" w:rsidRPr="00B36CA6">
              <w:rPr>
                <w:rFonts w:ascii="Arial" w:hAnsi="Arial" w:cs="Arial"/>
                <w:szCs w:val="24"/>
              </w:rPr>
              <w:t>(NIAA 2019, p. 5)</w:t>
            </w:r>
          </w:p>
          <w:p w14:paraId="687D9265" w14:textId="208EEA00" w:rsidR="00426002" w:rsidRDefault="00A1145E" w:rsidP="00F57580">
            <w:pPr>
              <w:pStyle w:val="ListBullet"/>
            </w:pPr>
            <w:r>
              <w:t>policies and programs were not</w:t>
            </w:r>
            <w:r w:rsidR="003A410C">
              <w:t xml:space="preserve"> directly linked to the</w:t>
            </w:r>
            <w:r w:rsidR="00F464BF">
              <w:t xml:space="preserve"> elements of the performance</w:t>
            </w:r>
            <w:r w:rsidR="003A410C">
              <w:t xml:space="preserve"> frame</w:t>
            </w:r>
            <w:r w:rsidR="00F464BF">
              <w:t>work</w:t>
            </w:r>
            <w:r w:rsidR="004342BA">
              <w:t xml:space="preserve"> </w:t>
            </w:r>
            <w:r w:rsidR="008F3B4B" w:rsidRPr="008F3B4B">
              <w:rPr>
                <w:rFonts w:ascii="Arial" w:hAnsi="Arial" w:cs="Arial"/>
                <w:szCs w:val="24"/>
              </w:rPr>
              <w:t>(ANAO 2019, pp. 8–9)</w:t>
            </w:r>
          </w:p>
          <w:p w14:paraId="305A76F3" w14:textId="2BDA410B" w:rsidR="007C5083" w:rsidRDefault="00F03CBE" w:rsidP="00F57580">
            <w:pPr>
              <w:pStyle w:val="ListBullet"/>
            </w:pPr>
            <w:r>
              <w:t>a failure to establish an</w:t>
            </w:r>
            <w:r w:rsidR="00A07C7A">
              <w:t xml:space="preserve"> </w:t>
            </w:r>
            <w:r w:rsidR="00FA7B1F">
              <w:t>evaluation framework</w:t>
            </w:r>
            <w:r w:rsidR="00A07C7A">
              <w:t xml:space="preserve"> </w:t>
            </w:r>
            <w:r w:rsidR="00FA7B1F">
              <w:t>to measure the impact of</w:t>
            </w:r>
            <w:r w:rsidR="001E5616">
              <w:t xml:space="preserve"> policies and</w:t>
            </w:r>
            <w:r w:rsidR="00FA7B1F">
              <w:t xml:space="preserve"> programs on the targets </w:t>
            </w:r>
            <w:r w:rsidR="00071459" w:rsidRPr="00071459">
              <w:rPr>
                <w:rFonts w:ascii="Arial" w:hAnsi="Arial" w:cs="Arial"/>
                <w:szCs w:val="24"/>
              </w:rPr>
              <w:t>(ANAO 2019, p. 10)</w:t>
            </w:r>
            <w:r w:rsidR="00981CA3">
              <w:t>.</w:t>
            </w:r>
          </w:p>
          <w:p w14:paraId="2AE69381" w14:textId="404520B0" w:rsidR="0044658C" w:rsidRDefault="0044658C" w:rsidP="00A268FD">
            <w:pPr>
              <w:pStyle w:val="Note"/>
              <w:keepLines/>
            </w:pPr>
            <w:r w:rsidRPr="00180E66">
              <w:rPr>
                <w:b/>
                <w:bCs/>
              </w:rPr>
              <w:t>a.</w:t>
            </w:r>
            <w:r>
              <w:t xml:space="preserve"> The NIRA contained </w:t>
            </w:r>
            <w:r w:rsidR="00981CA3">
              <w:t>seven</w:t>
            </w:r>
            <w:r>
              <w:t xml:space="preserve"> strategic ‘</w:t>
            </w:r>
            <w:r w:rsidR="00981CA3">
              <w:t>b</w:t>
            </w:r>
            <w:r>
              <w:t xml:space="preserve">uilding </w:t>
            </w:r>
            <w:r w:rsidR="00981CA3">
              <w:t>b</w:t>
            </w:r>
            <w:r>
              <w:t xml:space="preserve">locks’ </w:t>
            </w:r>
            <w:r w:rsidR="00D32BD4">
              <w:t>supporting</w:t>
            </w:r>
            <w:r>
              <w:t xml:space="preserve"> the </w:t>
            </w:r>
            <w:r w:rsidR="00F2739B">
              <w:t>C</w:t>
            </w:r>
            <w:r>
              <w:t xml:space="preserve">losing the </w:t>
            </w:r>
            <w:r w:rsidR="00F2739B">
              <w:t>G</w:t>
            </w:r>
            <w:r>
              <w:t>ap targets</w:t>
            </w:r>
            <w:r w:rsidR="00D32BD4">
              <w:t xml:space="preserve">: </w:t>
            </w:r>
            <w:r w:rsidR="00DD5EC6">
              <w:t>early childhood,</w:t>
            </w:r>
            <w:r w:rsidR="00D32BD4">
              <w:t xml:space="preserve"> schooling, health, economic participation, healthy homes, safe communities, and governance and leadership.</w:t>
            </w:r>
            <w:r w:rsidR="00DD5EC6">
              <w:t xml:space="preserve"> E</w:t>
            </w:r>
            <w:r>
              <w:t>ach building block ha</w:t>
            </w:r>
            <w:r w:rsidR="00FD6AFD">
              <w:t>d</w:t>
            </w:r>
            <w:r>
              <w:t xml:space="preserve"> identified outcomes </w:t>
            </w:r>
            <w:r w:rsidRPr="008028A8">
              <w:rPr>
                <w:rFonts w:ascii="Arial" w:hAnsi="Arial" w:cs="Arial"/>
                <w:szCs w:val="24"/>
              </w:rPr>
              <w:t>(SCRGSP 2009, p. 12)</w:t>
            </w:r>
            <w:r>
              <w:t xml:space="preserve">. </w:t>
            </w:r>
          </w:p>
        </w:tc>
      </w:tr>
      <w:tr w:rsidR="0044658C" w14:paraId="5FA96D49" w14:textId="77777777">
        <w:trPr>
          <w:hidden/>
        </w:trPr>
        <w:tc>
          <w:tcPr>
            <w:tcW w:w="9638" w:type="dxa"/>
            <w:gridSpan w:val="2"/>
            <w:shd w:val="clear" w:color="auto" w:fill="auto"/>
            <w:tcMar>
              <w:top w:w="0" w:type="dxa"/>
              <w:left w:w="170" w:type="dxa"/>
              <w:bottom w:w="0" w:type="dxa"/>
              <w:right w:w="170" w:type="dxa"/>
            </w:tcMar>
          </w:tcPr>
          <w:p w14:paraId="50F84630" w14:textId="746C4CA2" w:rsidR="0044658C" w:rsidRPr="00465191" w:rsidRDefault="0044658C">
            <w:pPr>
              <w:pStyle w:val="BodyText"/>
              <w:spacing w:before="0" w:after="0" w:line="80" w:lineRule="atLeast"/>
              <w:rPr>
                <w:smallCaps/>
                <w:vanish/>
              </w:rPr>
            </w:pPr>
          </w:p>
        </w:tc>
      </w:tr>
    </w:tbl>
    <w:p w14:paraId="2AE81AF0" w14:textId="08FEAACB" w:rsidR="002856EC" w:rsidRDefault="00BE6DFD" w:rsidP="002856EC">
      <w:pPr>
        <w:pStyle w:val="BodyText"/>
      </w:pPr>
      <w:r>
        <w:t>Many of the</w:t>
      </w:r>
      <w:r w:rsidR="002856EC">
        <w:t xml:space="preserve"> weaknesses in the NIRA performance framework were found to reflect the </w:t>
      </w:r>
      <w:r w:rsidR="00131384">
        <w:t>Australian, state</w:t>
      </w:r>
      <w:r w:rsidR="002856EC">
        <w:t xml:space="preserve"> </w:t>
      </w:r>
      <w:r w:rsidR="00C021DB">
        <w:t>and territory g</w:t>
      </w:r>
      <w:r w:rsidR="002856EC">
        <w:t xml:space="preserve">overnments’ lack of </w:t>
      </w:r>
      <w:r w:rsidR="001330DE">
        <w:t>engagement</w:t>
      </w:r>
      <w:r w:rsidR="002856EC">
        <w:t xml:space="preserve"> </w:t>
      </w:r>
      <w:r w:rsidR="00A8525F">
        <w:t>with</w:t>
      </w:r>
      <w:r w:rsidR="002856EC">
        <w:t xml:space="preserve"> Aboriginal and Torres Strait Islander people in its design</w:t>
      </w:r>
      <w:r w:rsidR="00253D29">
        <w:t xml:space="preserve"> </w:t>
      </w:r>
      <w:r w:rsidR="00253D29" w:rsidRPr="00B96AC8">
        <w:rPr>
          <w:rFonts w:ascii="Arial" w:hAnsi="Arial" w:cs="Arial"/>
          <w:szCs w:val="24"/>
        </w:rPr>
        <w:t>(ANAO 2019, p. 22; Murawin 2019, p. 21; NIAA 2019, p. 5)</w:t>
      </w:r>
      <w:r w:rsidR="002856EC">
        <w:t xml:space="preserve">. </w:t>
      </w:r>
      <w:r w:rsidR="00026037">
        <w:t>When</w:t>
      </w:r>
      <w:r w:rsidR="005011E0">
        <w:t xml:space="preserve"> </w:t>
      </w:r>
      <w:r>
        <w:t xml:space="preserve">the </w:t>
      </w:r>
      <w:r w:rsidR="005011E0">
        <w:t>NIRA</w:t>
      </w:r>
      <w:r w:rsidR="009C0201">
        <w:t xml:space="preserve"> </w:t>
      </w:r>
      <w:r w:rsidR="00026037">
        <w:t xml:space="preserve">was </w:t>
      </w:r>
      <w:r w:rsidR="006D2860">
        <w:t>refreshed</w:t>
      </w:r>
      <w:r w:rsidR="005011E0">
        <w:t>,</w:t>
      </w:r>
      <w:r w:rsidR="007F1595">
        <w:t xml:space="preserve"> Aboriginal and Torres Strait Islander peak bodies </w:t>
      </w:r>
      <w:r w:rsidR="001017FC">
        <w:t xml:space="preserve">and communities </w:t>
      </w:r>
      <w:r w:rsidR="007F1595">
        <w:t xml:space="preserve">successfully advocated </w:t>
      </w:r>
      <w:r w:rsidR="001972FD">
        <w:t xml:space="preserve">for a </w:t>
      </w:r>
      <w:r w:rsidR="001017FC">
        <w:t xml:space="preserve">performance monitoring approach </w:t>
      </w:r>
      <w:r w:rsidR="001972FD">
        <w:t xml:space="preserve">founded on formal partnership </w:t>
      </w:r>
      <w:r w:rsidR="00236B2E">
        <w:t>(</w:t>
      </w:r>
      <w:r w:rsidR="00AA4376">
        <w:t>b</w:t>
      </w:r>
      <w:r w:rsidR="00236B2E">
        <w:t>ox</w:t>
      </w:r>
      <w:r w:rsidR="005634D7">
        <w:t> </w:t>
      </w:r>
      <w:r w:rsidR="001857C4">
        <w:t>2</w:t>
      </w:r>
      <w:r w:rsidR="00236B2E">
        <w:t>)</w:t>
      </w:r>
      <w:r w:rsidR="002856EC">
        <w:t>.</w:t>
      </w:r>
    </w:p>
    <w:p w14:paraId="1D45CB41" w14:textId="100B3010" w:rsidR="00AB424C" w:rsidRPr="00697212" w:rsidRDefault="00AB424C" w:rsidP="00C16F50">
      <w:pPr>
        <w:pStyle w:val="NoSpacing"/>
        <w:rPr>
          <w:vanish/>
        </w:rPr>
      </w:pPr>
    </w:p>
    <w:tbl>
      <w:tblPr>
        <w:tblStyle w:val="Boxtable"/>
        <w:tblW w:w="5000" w:type="pct"/>
        <w:tblLook w:val="04A0" w:firstRow="1" w:lastRow="0" w:firstColumn="1" w:lastColumn="0" w:noHBand="0" w:noVBand="1"/>
      </w:tblPr>
      <w:tblGrid>
        <w:gridCol w:w="906"/>
        <w:gridCol w:w="8732"/>
      </w:tblGrid>
      <w:tr w:rsidR="00AB424C" w14:paraId="3F77AAB7" w14:textId="77777777" w:rsidTr="007F1761">
        <w:trPr>
          <w:tblHeader/>
        </w:trPr>
        <w:tc>
          <w:tcPr>
            <w:tcW w:w="906" w:type="dxa"/>
            <w:shd w:val="clear" w:color="auto" w:fill="FBF3EC"/>
            <w:tcMar>
              <w:top w:w="170" w:type="dxa"/>
              <w:left w:w="170" w:type="dxa"/>
              <w:bottom w:w="113" w:type="dxa"/>
              <w:right w:w="170" w:type="dxa"/>
            </w:tcMar>
            <w:hideMark/>
          </w:tcPr>
          <w:p w14:paraId="5DDC4FE6" w14:textId="29709907" w:rsidR="00AB424C" w:rsidRDefault="007F1761" w:rsidP="007F1761">
            <w:pPr>
              <w:pStyle w:val="BoxHeading1"/>
              <w:spacing w:before="120"/>
            </w:pPr>
            <w:r w:rsidRPr="00A031AA">
              <w:rPr>
                <w:b/>
                <w:bCs/>
                <w:noProof/>
              </w:rPr>
              <w:lastRenderedPageBreak/>
              <w:drawing>
                <wp:inline distT="0" distB="0" distL="0" distR="0" wp14:anchorId="5FAB5B16" wp14:editId="4BD24803">
                  <wp:extent cx="360000" cy="424800"/>
                  <wp:effectExtent l="0" t="0" r="0" b="0"/>
                  <wp:docPr id="376388518" name="Picture 376388518" descr="A brown boomerang with red and yellow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16939" name="Picture 1293616939" descr="A brown boomerang with red and yellow do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424800"/>
                          </a:xfrm>
                          <a:prstGeom prst="rect">
                            <a:avLst/>
                          </a:prstGeom>
                        </pic:spPr>
                      </pic:pic>
                    </a:graphicData>
                  </a:graphic>
                </wp:inline>
              </w:drawing>
            </w:r>
          </w:p>
        </w:tc>
        <w:tc>
          <w:tcPr>
            <w:tcW w:w="8732" w:type="dxa"/>
            <w:shd w:val="clear" w:color="auto" w:fill="FBF3EC"/>
          </w:tcPr>
          <w:p w14:paraId="1993357D" w14:textId="6F45A6FB" w:rsidR="00AB424C" w:rsidRDefault="00AB424C">
            <w:pPr>
              <w:pStyle w:val="BoxHeading1"/>
            </w:pPr>
            <w:r>
              <w:t>Box 2 – Engaging Aboriginal and Torres Strait Islander people in the design of the performance monitoring framework</w:t>
            </w:r>
          </w:p>
        </w:tc>
      </w:tr>
      <w:tr w:rsidR="007F1761" w14:paraId="6D39D181" w14:textId="77777777" w:rsidTr="007F1761">
        <w:tc>
          <w:tcPr>
            <w:tcW w:w="9638" w:type="dxa"/>
            <w:gridSpan w:val="2"/>
            <w:shd w:val="clear" w:color="auto" w:fill="FBF3EC"/>
            <w:tcMar>
              <w:top w:w="28" w:type="dxa"/>
              <w:left w:w="170" w:type="dxa"/>
              <w:bottom w:w="170" w:type="dxa"/>
              <w:right w:w="170" w:type="dxa"/>
            </w:tcMar>
            <w:hideMark/>
          </w:tcPr>
          <w:p w14:paraId="4FCB4716" w14:textId="7111B32A" w:rsidR="007F1761" w:rsidRDefault="007F1761" w:rsidP="007F1761">
            <w:pPr>
              <w:pStyle w:val="BodyText"/>
            </w:pPr>
            <w:r>
              <w:t xml:space="preserve">The process to refresh the National Indigenous Reform Agreement (NIRA) commenced in late 2017 and included a series of meetings and roundtables with Aboriginal and Torres Strait Islander people </w:t>
            </w:r>
            <w:r w:rsidRPr="00766071">
              <w:rPr>
                <w:rFonts w:ascii="Arial" w:hAnsi="Arial" w:cs="Arial"/>
                <w:szCs w:val="24"/>
              </w:rPr>
              <w:t>(DPMC 2019, pp. 166–167)</w:t>
            </w:r>
            <w:r>
              <w:t xml:space="preserve">. </w:t>
            </w:r>
          </w:p>
          <w:p w14:paraId="4473043D" w14:textId="77777777" w:rsidR="007F1761" w:rsidRDefault="007F1761" w:rsidP="007F1761">
            <w:pPr>
              <w:pStyle w:val="ListBullet"/>
            </w:pPr>
            <w:r>
              <w:t xml:space="preserve">In February 2018, the Special Gathering of Prominent Aboriginal and Torres Strait Islander Australians produced a statement for the former </w:t>
            </w:r>
            <w:r w:rsidRPr="00BC4FA1">
              <w:t xml:space="preserve">Council of Australian Governments </w:t>
            </w:r>
            <w:r>
              <w:t xml:space="preserve">(COAG) recommending priority areas for the next phase of Closing the Gap. </w:t>
            </w:r>
          </w:p>
          <w:p w14:paraId="0B766B8F" w14:textId="77777777" w:rsidR="007F1761" w:rsidRDefault="007F1761" w:rsidP="007F1761">
            <w:pPr>
              <w:pStyle w:val="ListBullet"/>
            </w:pPr>
            <w:r>
              <w:t xml:space="preserve">These priorities served as the foundation for further community consultations, including 18 national roundtables with over 1000 people in state capital cities and regional centres across Australia, culminating in a national peaks workshop in April 2018. </w:t>
            </w:r>
          </w:p>
          <w:p w14:paraId="590906CB" w14:textId="77777777" w:rsidR="007F1761" w:rsidRDefault="007F1761" w:rsidP="007F1761">
            <w:pPr>
              <w:pStyle w:val="ListBullet"/>
            </w:pPr>
            <w:r>
              <w:t xml:space="preserve">In May and June 2018, the Australian Government hosted a series of technical workshops to develop targets and indicators, informed by 170 public submissions. These were attended by officials from all jurisdictions and subject matter experts, including representatives from Aboriginal and Torres Strait Islander organisations and communities, academics and practitioners. </w:t>
            </w:r>
          </w:p>
          <w:p w14:paraId="4A567C47" w14:textId="77777777" w:rsidR="007F1761" w:rsidRDefault="007F1761" w:rsidP="007F1761">
            <w:pPr>
              <w:pStyle w:val="ListBullet"/>
            </w:pPr>
            <w:r>
              <w:t xml:space="preserve">A second series of national consultations on the outputs of those workshops followed. </w:t>
            </w:r>
          </w:p>
          <w:p w14:paraId="72EA8429" w14:textId="188BDB4C" w:rsidR="007F1761" w:rsidRDefault="007F1761" w:rsidP="007F1761">
            <w:pPr>
              <w:pStyle w:val="BodyText"/>
            </w:pPr>
            <w:r>
              <w:t xml:space="preserve">A draft version of the new Agreement’s performance framework was issued at the December 2018 COAG meeting </w:t>
            </w:r>
            <w:r w:rsidRPr="00591414">
              <w:rPr>
                <w:rFonts w:ascii="Arial" w:hAnsi="Arial" w:cs="Arial"/>
                <w:szCs w:val="24"/>
              </w:rPr>
              <w:t>(Coalition of Peaks 2020, p. 74)</w:t>
            </w:r>
            <w:r>
              <w:t xml:space="preserve">. It included 12 outcomes and 15 draft targets which had been refined from 23 targets that were considered in earlier technical workshops </w:t>
            </w:r>
            <w:r w:rsidRPr="004B79E0">
              <w:rPr>
                <w:rFonts w:ascii="Arial" w:hAnsi="Arial" w:cs="Arial"/>
                <w:szCs w:val="24"/>
              </w:rPr>
              <w:t>(Coalition of Peaks 2019, p. 22)</w:t>
            </w:r>
            <w:r>
              <w:t xml:space="preserve">. </w:t>
            </w:r>
          </w:p>
          <w:p w14:paraId="29DD06F7" w14:textId="77777777" w:rsidR="007F1761" w:rsidRDefault="007F1761" w:rsidP="007F1761">
            <w:pPr>
              <w:pStyle w:val="BodyText"/>
            </w:pPr>
            <w:r>
              <w:t xml:space="preserve">In March 2019, the Partnership Agreement on Closing the Gap </w:t>
            </w:r>
            <w:r w:rsidRPr="003A2D17">
              <w:t xml:space="preserve">was established between the </w:t>
            </w:r>
            <w:r>
              <w:t>Australian</w:t>
            </w:r>
            <w:r w:rsidRPr="003A2D17">
              <w:t>, state and territory governments, the Coalition of Aboriginal and Torres Strait Islander Peak Organisations (the Coalition of Peaks) and the Australian Local Government Association</w:t>
            </w:r>
            <w:r>
              <w:t xml:space="preserve"> (ALGA) to enable shared decision</w:t>
            </w:r>
            <w:r>
              <w:noBreakHyphen/>
              <w:t>making with Aboriginal and Torres Strait Islander people in developing, implementing and monitoring the new National Agreement. Following this, the Coalition of Peaks was engaged as a partner in developing the new performance monitoring approach.</w:t>
            </w:r>
          </w:p>
          <w:p w14:paraId="1F610521" w14:textId="27A653BC" w:rsidR="007F1761" w:rsidRDefault="007F1761" w:rsidP="00697212">
            <w:pPr>
              <w:pStyle w:val="ListBullet"/>
            </w:pPr>
            <w:r>
              <w:t xml:space="preserve">In 2019, the Partnership Working Group (PWG) reviewed the NIRA performance monitoring framework with a view of understanding its strengths and weaknesses to inform the creation of the new agreement </w:t>
            </w:r>
            <w:r w:rsidRPr="00517ECD">
              <w:rPr>
                <w:rFonts w:ascii="Arial" w:hAnsi="Arial" w:cs="Arial"/>
                <w:szCs w:val="24"/>
              </w:rPr>
              <w:t>(NIAA 2019, p. 1)</w:t>
            </w:r>
            <w:r>
              <w:t xml:space="preserve">. </w:t>
            </w:r>
          </w:p>
          <w:p w14:paraId="680E7CD5" w14:textId="4AE06A7B" w:rsidR="007F1761" w:rsidRDefault="007F1761" w:rsidP="00697212">
            <w:pPr>
              <w:pStyle w:val="ListBullet"/>
            </w:pPr>
            <w:r>
              <w:t xml:space="preserve">The Coalition of Peaks undertook engagement with Aboriginal and Torres Strait Islander people, communities, and organisations to gather their feedback on the draft COAG targets. There were a range of responses; however, the general feedback was that changes were required to the outcomes, measures and focus of the targets </w:t>
            </w:r>
            <w:r w:rsidRPr="000531EF">
              <w:rPr>
                <w:rFonts w:ascii="Arial" w:hAnsi="Arial" w:cs="Arial"/>
                <w:szCs w:val="24"/>
              </w:rPr>
              <w:t>(Coalition of Peaks 2020, p. 74)</w:t>
            </w:r>
            <w:r>
              <w:t>.</w:t>
            </w:r>
          </w:p>
          <w:p w14:paraId="0ED7D9EA" w14:textId="23B2A835" w:rsidR="007F1761" w:rsidRDefault="007F1761" w:rsidP="007F1761">
            <w:pPr>
              <w:pStyle w:val="BodyText"/>
            </w:pPr>
            <w:r>
              <w:t xml:space="preserve">The Coalition of Peaks and Australian governments agreed that the feedback from the engagements would be reviewed by the Joint Council on Closing the Gap with the intention that the Joint Council undertake a deliberative process to ensure the draft Agreement fully reflected the perspectives of the engagements </w:t>
            </w:r>
            <w:r w:rsidRPr="00610AF5">
              <w:t>(Coalition of Peaks 2020, p. 89).</w:t>
            </w:r>
            <w:r>
              <w:t xml:space="preserve"> The PWG was progressively provided draft sections of the engagement summaries by the Coalition of Peaks to allow adequate time to properly consider the feedback in the drafting of the Agreement. </w:t>
            </w:r>
          </w:p>
          <w:p w14:paraId="09CF9404" w14:textId="77777777" w:rsidR="007F1761" w:rsidRDefault="007F1761" w:rsidP="007F1761">
            <w:pPr>
              <w:pStyle w:val="BodyText"/>
              <w:keepNext/>
            </w:pPr>
            <w:r>
              <w:lastRenderedPageBreak/>
              <w:t>In reflecting on the development of the performance monitoring approach, the Coalition of Peaks noted:</w:t>
            </w:r>
          </w:p>
          <w:p w14:paraId="7B6E2528" w14:textId="77777777" w:rsidR="007F1761" w:rsidRPr="005C4D6F" w:rsidRDefault="007F1761" w:rsidP="007F1761">
            <w:pPr>
              <w:pStyle w:val="Quote"/>
              <w:keepNext/>
            </w:pPr>
            <w:r w:rsidRPr="00D07D20">
              <w:t>T</w:t>
            </w:r>
            <w:r w:rsidRPr="005C4D6F">
              <w:t>he general process of negotiation of the targets and indicators was not convened as well as it could have been and was truncated in time. Further, the targets and indicators were designed around existing data sets and not necessarily what the best measures might be. The Coalition of Peaks wanted to ensure that existing targets and data sets were maintained so that long term trends could be tracked. However, we would have preferred additional time being allocated to all parties for a more in detail consideration of measuring and monitoring the socio</w:t>
            </w:r>
            <w:r>
              <w:noBreakHyphen/>
            </w:r>
            <w:r w:rsidRPr="005C4D6F">
              <w:t>economic targets. However, on balance, the Coalition of Peaks determined that it was more important to reach agreement and focus on changing the way governments work, through the Priority Reforms. Without changing the way governments work, we will not see improvements in the lives of Aboriginal and Torres Strait Islander people and communities. On the targets and indicators, and as a way to continue the discussion with governments, it was agreed to develop a ‘data development plan’ and to update the indicators as more data became available over time.</w:t>
            </w:r>
            <w:r w:rsidRPr="005C4D6F" w:rsidDel="005C4D6F">
              <w:t xml:space="preserve"> </w:t>
            </w:r>
            <w:r w:rsidRPr="005C4D6F">
              <w:t>(</w:t>
            </w:r>
            <w:r w:rsidRPr="00914558">
              <w:t>Coalition of Peaks, pers. comm., 5</w:t>
            </w:r>
            <w:r>
              <w:t> </w:t>
            </w:r>
            <w:r w:rsidRPr="00914558">
              <w:t>July 2023</w:t>
            </w:r>
            <w:r w:rsidRPr="005C4D6F">
              <w:t>)</w:t>
            </w:r>
          </w:p>
          <w:p w14:paraId="4B946937" w14:textId="19412CB4" w:rsidR="007F1761" w:rsidRDefault="007F1761" w:rsidP="007F1761">
            <w:pPr>
              <w:pStyle w:val="BodyText"/>
            </w:pPr>
            <w:r>
              <w:t>The resulting framework sought to maintain and update some existing NIRA targets to ensure continuity and the ability to track outcomes over longer timeframes (such as life expectancy, early childhood education, educational attainment, employment). It also sought to incorporate outcomes identified as important in engagements with Aboriginal and Torres Strait Islander people, both in terms of community understandings of wellbeing (connection to Country and culture) and areas requiring improved government effort (child protection, criminal justice, mental health) (</w:t>
            </w:r>
            <w:r w:rsidRPr="00914558">
              <w:t>Coalition of Peaks, pers. comm., 5</w:t>
            </w:r>
            <w:r>
              <w:t> </w:t>
            </w:r>
            <w:r w:rsidRPr="00914558">
              <w:t>July 2023</w:t>
            </w:r>
            <w:r>
              <w:t xml:space="preserve">). The most notable change was the addition of the Priority Reforms targets and indicators to monitor change in governments’ ways of working with Aboriginal and Torres Strait Islander people, a key priority identified in engagements </w:t>
            </w:r>
            <w:r w:rsidRPr="0074725A">
              <w:rPr>
                <w:rFonts w:ascii="Arial" w:hAnsi="Arial" w:cs="Arial"/>
                <w:szCs w:val="24"/>
              </w:rPr>
              <w:t>(Coalition of Peaks 2020)</w:t>
            </w:r>
            <w:r>
              <w:t>.</w:t>
            </w:r>
          </w:p>
          <w:p w14:paraId="129B5C8A" w14:textId="50E2334C" w:rsidR="007F1761" w:rsidRDefault="007F1761" w:rsidP="007F1761">
            <w:pPr>
              <w:pStyle w:val="BodyText"/>
            </w:pPr>
            <w:r>
              <w:t xml:space="preserve">After the signing of the Agreement, the Joint Council endorsed indicators for the four Priority Reforms (with measures still to be developed), a revised target (family violence) and a new target (access to information) </w:t>
            </w:r>
            <w:r w:rsidRPr="0001285B">
              <w:rPr>
                <w:rFonts w:ascii="Arial" w:hAnsi="Arial" w:cs="Arial"/>
                <w:szCs w:val="24"/>
              </w:rPr>
              <w:t>(Joint Council 2020, p. 2)</w:t>
            </w:r>
            <w:r>
              <w:t xml:space="preserve">, and more recently has endorsed another new target (community infrastructure) </w:t>
            </w:r>
            <w:r w:rsidRPr="001C2AF2">
              <w:t>(Joint Council on Closing the Gap 2021, p. 1)</w:t>
            </w:r>
            <w:r>
              <w:t>. Following Joint Council endorsement, the targets were recommended to First Ministers, the Lead Convenor of the Coalition of Peaks and the President of ALGA for inclusion in the National Agreement.</w:t>
            </w:r>
          </w:p>
        </w:tc>
      </w:tr>
      <w:tr w:rsidR="007F1761" w14:paraId="1EB4AAD3" w14:textId="77777777" w:rsidTr="000717B1">
        <w:trPr>
          <w:hidden/>
        </w:trPr>
        <w:tc>
          <w:tcPr>
            <w:tcW w:w="9638" w:type="dxa"/>
            <w:gridSpan w:val="2"/>
            <w:shd w:val="clear" w:color="auto" w:fill="auto"/>
            <w:tcMar>
              <w:top w:w="0" w:type="dxa"/>
              <w:left w:w="170" w:type="dxa"/>
              <w:bottom w:w="0" w:type="dxa"/>
              <w:right w:w="170" w:type="dxa"/>
            </w:tcMar>
          </w:tcPr>
          <w:p w14:paraId="5E27249E" w14:textId="183F88D7" w:rsidR="007F1761" w:rsidRPr="00465191" w:rsidRDefault="007F1761" w:rsidP="007F1761">
            <w:pPr>
              <w:pStyle w:val="BodyText"/>
              <w:spacing w:before="0" w:after="0" w:line="80" w:lineRule="atLeast"/>
              <w:rPr>
                <w:smallCaps/>
                <w:vanish/>
              </w:rPr>
            </w:pPr>
          </w:p>
        </w:tc>
      </w:tr>
    </w:tbl>
    <w:p w14:paraId="61F6A3E6" w14:textId="0CAB875C" w:rsidR="00E71A00" w:rsidRDefault="009F3C25" w:rsidP="00B72E28">
      <w:pPr>
        <w:pStyle w:val="Heading3"/>
      </w:pPr>
      <w:r>
        <w:t xml:space="preserve">The Commission’s approach to </w:t>
      </w:r>
      <w:r w:rsidR="00785854">
        <w:t>reviewing</w:t>
      </w:r>
      <w:r>
        <w:t xml:space="preserve"> </w:t>
      </w:r>
      <w:r w:rsidR="00A9062D">
        <w:t>performance</w:t>
      </w:r>
      <w:r w:rsidR="00D4790B">
        <w:t xml:space="preserve"> monitoring under the Agreement</w:t>
      </w:r>
    </w:p>
    <w:p w14:paraId="619CCE05" w14:textId="228D5E3E" w:rsidR="003B7AA3" w:rsidRDefault="00A2550E" w:rsidP="00A60261">
      <w:pPr>
        <w:pStyle w:val="BodyText"/>
      </w:pPr>
      <w:r>
        <w:t xml:space="preserve">The </w:t>
      </w:r>
      <w:r w:rsidR="00AA7930">
        <w:t>Commission’s</w:t>
      </w:r>
      <w:r w:rsidR="00E71A00">
        <w:t xml:space="preserve"> approach </w:t>
      </w:r>
      <w:r w:rsidR="00517FAF">
        <w:t>to review</w:t>
      </w:r>
      <w:r w:rsidR="00817C0B">
        <w:t>ing</w:t>
      </w:r>
      <w:r w:rsidR="00517FAF">
        <w:t xml:space="preserve"> the Agreement’s performance </w:t>
      </w:r>
      <w:r w:rsidR="00230C72">
        <w:t>monitoring</w:t>
      </w:r>
      <w:r w:rsidR="00517FAF">
        <w:t xml:space="preserve"> </w:t>
      </w:r>
      <w:r w:rsidR="00230C72">
        <w:t>approach</w:t>
      </w:r>
      <w:r w:rsidR="00517FAF">
        <w:t xml:space="preserve"> </w:t>
      </w:r>
      <w:r w:rsidR="00230C72">
        <w:t>focuses on</w:t>
      </w:r>
      <w:r w:rsidR="00C005F4">
        <w:t xml:space="preserve"> five</w:t>
      </w:r>
      <w:r w:rsidR="00DE5E8B">
        <w:t xml:space="preserve"> </w:t>
      </w:r>
      <w:r w:rsidR="00E71A00">
        <w:t xml:space="preserve">key </w:t>
      </w:r>
      <w:r w:rsidR="007F4510">
        <w:t>questions</w:t>
      </w:r>
      <w:r w:rsidR="005873D3">
        <w:t>.</w:t>
      </w:r>
    </w:p>
    <w:p w14:paraId="72918439" w14:textId="4D0D5521" w:rsidR="003B7AA3" w:rsidRPr="00194401" w:rsidRDefault="00473B90" w:rsidP="00863FBE">
      <w:pPr>
        <w:pStyle w:val="ListBullet"/>
      </w:pPr>
      <w:r w:rsidRPr="00194401">
        <w:t>Is t</w:t>
      </w:r>
      <w:r w:rsidR="004236BD" w:rsidRPr="00194401">
        <w:t xml:space="preserve">here a </w:t>
      </w:r>
      <w:r w:rsidR="003B7AA3" w:rsidRPr="00194401">
        <w:t>shared understanding of the purpose of performance</w:t>
      </w:r>
      <w:r w:rsidR="00FF6299">
        <w:t xml:space="preserve"> monitoring</w:t>
      </w:r>
      <w:r w:rsidR="004236BD" w:rsidRPr="00194401">
        <w:t>?</w:t>
      </w:r>
    </w:p>
    <w:p w14:paraId="538A8461" w14:textId="1387C076" w:rsidR="003B7AA3" w:rsidRPr="00194401" w:rsidRDefault="007B00C4" w:rsidP="00863FBE">
      <w:pPr>
        <w:pStyle w:val="ListBullet"/>
      </w:pPr>
      <w:r w:rsidRPr="00194401">
        <w:t xml:space="preserve">Does the </w:t>
      </w:r>
      <w:r w:rsidR="0075254D" w:rsidRPr="00194401">
        <w:t xml:space="preserve">performance framework have </w:t>
      </w:r>
      <w:r w:rsidR="003B7AA3" w:rsidRPr="00194401">
        <w:t>a clear conceptual logic</w:t>
      </w:r>
      <w:r w:rsidR="0075254D" w:rsidRPr="004410FB">
        <w:t>?</w:t>
      </w:r>
    </w:p>
    <w:p w14:paraId="040558E1" w14:textId="357FCE6C" w:rsidR="003B7AA3" w:rsidRPr="00194401" w:rsidRDefault="0075254D" w:rsidP="00863FBE">
      <w:pPr>
        <w:pStyle w:val="ListBullet"/>
      </w:pPr>
      <w:r w:rsidRPr="00194401">
        <w:t xml:space="preserve">Is the </w:t>
      </w:r>
      <w:r w:rsidR="008D739F" w:rsidRPr="00194401">
        <w:t xml:space="preserve">measurement approach </w:t>
      </w:r>
      <w:r w:rsidR="00482CD8" w:rsidRPr="00194401">
        <w:t>balanced and fit</w:t>
      </w:r>
      <w:r w:rsidR="00827859">
        <w:noBreakHyphen/>
      </w:r>
      <w:r w:rsidR="00482CD8" w:rsidRPr="00194401">
        <w:t>for</w:t>
      </w:r>
      <w:r w:rsidR="00827859">
        <w:noBreakHyphen/>
      </w:r>
      <w:r w:rsidR="00482CD8" w:rsidRPr="00194401">
        <w:t>purpose</w:t>
      </w:r>
      <w:r w:rsidR="008D739F" w:rsidRPr="00194401">
        <w:t>?</w:t>
      </w:r>
    </w:p>
    <w:p w14:paraId="5C2F68D5" w14:textId="483022AE" w:rsidR="003B7AA3" w:rsidRPr="00194401" w:rsidRDefault="008D739F" w:rsidP="00863FBE">
      <w:pPr>
        <w:pStyle w:val="ListBullet"/>
      </w:pPr>
      <w:r w:rsidRPr="00194401">
        <w:t xml:space="preserve">Are clear and </w:t>
      </w:r>
      <w:r w:rsidR="003B7AA3" w:rsidRPr="00194401">
        <w:t>appropriate data governance</w:t>
      </w:r>
      <w:r w:rsidR="00FF1026" w:rsidRPr="00194401">
        <w:t xml:space="preserve"> arrangements</w:t>
      </w:r>
      <w:r w:rsidR="009754D0">
        <w:t xml:space="preserve"> in place</w:t>
      </w:r>
      <w:r w:rsidRPr="00194401">
        <w:t>?</w:t>
      </w:r>
    </w:p>
    <w:p w14:paraId="3BFF7E6C" w14:textId="79AF50DD" w:rsidR="003B7AA3" w:rsidRDefault="005656BE" w:rsidP="00863FBE">
      <w:pPr>
        <w:pStyle w:val="ListBullet"/>
      </w:pPr>
      <w:r w:rsidRPr="00194401">
        <w:t xml:space="preserve">Does </w:t>
      </w:r>
      <w:r w:rsidR="003B7AA3" w:rsidRPr="00194401">
        <w:t>reporting</w:t>
      </w:r>
      <w:r w:rsidR="006B7FBE" w:rsidRPr="00194401">
        <w:t xml:space="preserve"> </w:t>
      </w:r>
      <w:r w:rsidRPr="00194401">
        <w:t>provide the inf</w:t>
      </w:r>
      <w:r w:rsidR="00296B45" w:rsidRPr="00194401">
        <w:t>ormation that is needed</w:t>
      </w:r>
      <w:r w:rsidR="0059090F" w:rsidRPr="00194401">
        <w:t xml:space="preserve"> in an accessible </w:t>
      </w:r>
      <w:r w:rsidR="00FE5DEF" w:rsidRPr="00194401">
        <w:t>way</w:t>
      </w:r>
      <w:r w:rsidR="00296B45" w:rsidRPr="00194401">
        <w:t>?</w:t>
      </w:r>
    </w:p>
    <w:p w14:paraId="781E5DB6" w14:textId="3F4DF365" w:rsidR="00A60261" w:rsidRDefault="0015609B" w:rsidP="00A60261">
      <w:pPr>
        <w:pStyle w:val="BodyText"/>
      </w:pPr>
      <w:r>
        <w:lastRenderedPageBreak/>
        <w:t xml:space="preserve">Underpinning </w:t>
      </w:r>
      <w:r w:rsidR="005F2F50">
        <w:t xml:space="preserve">these </w:t>
      </w:r>
      <w:r w:rsidR="007F4510">
        <w:t xml:space="preserve">questions </w:t>
      </w:r>
      <w:r w:rsidR="005F2F50">
        <w:t xml:space="preserve">is the </w:t>
      </w:r>
      <w:r w:rsidR="007E2687">
        <w:t xml:space="preserve">principle of </w:t>
      </w:r>
      <w:r>
        <w:t>centring</w:t>
      </w:r>
      <w:r w:rsidDel="00B77984">
        <w:t xml:space="preserve"> </w:t>
      </w:r>
      <w:r w:rsidR="00D70F53">
        <w:t xml:space="preserve">the </w:t>
      </w:r>
      <w:r>
        <w:t>voices of Aboriginal and Torres Strait Islander people</w:t>
      </w:r>
      <w:r w:rsidR="000B79AC">
        <w:t xml:space="preserve"> (</w:t>
      </w:r>
      <w:r w:rsidR="008F0984">
        <w:t>b</w:t>
      </w:r>
      <w:r w:rsidR="000B79AC">
        <w:t>ox</w:t>
      </w:r>
      <w:r w:rsidR="005634D7">
        <w:t> </w:t>
      </w:r>
      <w:r w:rsidR="00CB702B">
        <w:t>3</w:t>
      </w:r>
      <w:r w:rsidR="000B79AC">
        <w:t>)</w:t>
      </w:r>
      <w:r>
        <w:t xml:space="preserve">. This is </w:t>
      </w:r>
      <w:r w:rsidR="00264135">
        <w:t>the key</w:t>
      </w:r>
      <w:r>
        <w:t xml:space="preserve"> lens through which </w:t>
      </w:r>
      <w:r w:rsidR="00EC103D">
        <w:t>the Commission has assessed</w:t>
      </w:r>
      <w:r>
        <w:t xml:space="preserve"> </w:t>
      </w:r>
      <w:r w:rsidR="008526A3">
        <w:t>the Agreement’s</w:t>
      </w:r>
      <w:r>
        <w:t xml:space="preserve"> performance monitoring approach.</w:t>
      </w:r>
    </w:p>
    <w:p w14:paraId="2D85E954" w14:textId="12A27EA2" w:rsidR="00FF369D" w:rsidRPr="00F82BD9" w:rsidRDefault="00FF369D">
      <w:pPr>
        <w:pStyle w:val="NoSpacing"/>
      </w:pPr>
    </w:p>
    <w:tbl>
      <w:tblPr>
        <w:tblStyle w:val="Boxtable"/>
        <w:tblW w:w="5000" w:type="pct"/>
        <w:tblLook w:val="04A0" w:firstRow="1" w:lastRow="0" w:firstColumn="1" w:lastColumn="0" w:noHBand="0" w:noVBand="1"/>
      </w:tblPr>
      <w:tblGrid>
        <w:gridCol w:w="906"/>
        <w:gridCol w:w="8732"/>
      </w:tblGrid>
      <w:tr w:rsidR="007F1761" w14:paraId="2A946794" w14:textId="77777777" w:rsidTr="0004528B">
        <w:trPr>
          <w:tblHeader/>
        </w:trPr>
        <w:tc>
          <w:tcPr>
            <w:tcW w:w="851" w:type="dxa"/>
            <w:shd w:val="clear" w:color="auto" w:fill="FBF3EC"/>
            <w:tcMar>
              <w:top w:w="170" w:type="dxa"/>
              <w:left w:w="170" w:type="dxa"/>
              <w:bottom w:w="113" w:type="dxa"/>
              <w:right w:w="170" w:type="dxa"/>
            </w:tcMar>
            <w:hideMark/>
          </w:tcPr>
          <w:p w14:paraId="4F3794DE" w14:textId="4B56783A" w:rsidR="007F1761" w:rsidRDefault="0004528B" w:rsidP="0004528B">
            <w:pPr>
              <w:pStyle w:val="BoxHeading1"/>
              <w:spacing w:before="120"/>
            </w:pPr>
            <w:r w:rsidRPr="00A031AA">
              <w:rPr>
                <w:b/>
                <w:bCs/>
                <w:noProof/>
              </w:rPr>
              <w:drawing>
                <wp:inline distT="0" distB="0" distL="0" distR="0" wp14:anchorId="4F4F2E00" wp14:editId="2BA4832D">
                  <wp:extent cx="360000" cy="424800"/>
                  <wp:effectExtent l="0" t="0" r="0" b="0"/>
                  <wp:docPr id="2049719706" name="Picture 2049719706" descr="A brown boomerang with red and yellow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16939" name="Picture 1293616939" descr="A brown boomerang with red and yellow do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424800"/>
                          </a:xfrm>
                          <a:prstGeom prst="rect">
                            <a:avLst/>
                          </a:prstGeom>
                        </pic:spPr>
                      </pic:pic>
                    </a:graphicData>
                  </a:graphic>
                </wp:inline>
              </w:drawing>
            </w:r>
          </w:p>
        </w:tc>
        <w:tc>
          <w:tcPr>
            <w:tcW w:w="8787" w:type="dxa"/>
            <w:shd w:val="clear" w:color="auto" w:fill="FBF3EC"/>
          </w:tcPr>
          <w:p w14:paraId="05550B05" w14:textId="37D0DDFF" w:rsidR="007F1761" w:rsidRDefault="007F1761">
            <w:pPr>
              <w:pStyle w:val="BoxHeading1"/>
            </w:pPr>
            <w:r>
              <w:t>Box 3 – Centring Aboriginal and Torres Strait Islander people, perspectives and knowledges in performance monitoring frameworks</w:t>
            </w:r>
          </w:p>
        </w:tc>
      </w:tr>
      <w:tr w:rsidR="00FF369D" w14:paraId="1BE136BA" w14:textId="77777777" w:rsidTr="0004528B">
        <w:tc>
          <w:tcPr>
            <w:tcW w:w="9638" w:type="dxa"/>
            <w:gridSpan w:val="2"/>
            <w:shd w:val="clear" w:color="auto" w:fill="FBF3EC"/>
            <w:tcMar>
              <w:top w:w="28" w:type="dxa"/>
              <w:left w:w="170" w:type="dxa"/>
              <w:bottom w:w="170" w:type="dxa"/>
              <w:right w:w="170" w:type="dxa"/>
            </w:tcMar>
            <w:hideMark/>
          </w:tcPr>
          <w:p w14:paraId="7BA198FD" w14:textId="137EE3FC" w:rsidR="00FF369D" w:rsidRDefault="00B931BA" w:rsidP="00FF369D">
            <w:pPr>
              <w:pStyle w:val="BodyText"/>
            </w:pPr>
            <w:r>
              <w:t xml:space="preserve">For </w:t>
            </w:r>
            <w:r w:rsidR="00447B4F">
              <w:t xml:space="preserve">the </w:t>
            </w:r>
            <w:r w:rsidR="003713B7">
              <w:t xml:space="preserve">National </w:t>
            </w:r>
            <w:r w:rsidR="00447B4F">
              <w:t xml:space="preserve">Agreement </w:t>
            </w:r>
            <w:r>
              <w:t xml:space="preserve">on Closing </w:t>
            </w:r>
            <w:r w:rsidR="00FF369D">
              <w:t xml:space="preserve">the </w:t>
            </w:r>
            <w:r>
              <w:t xml:space="preserve">Gap, </w:t>
            </w:r>
            <w:r w:rsidR="00FF369D">
              <w:t xml:space="preserve">centring </w:t>
            </w:r>
            <w:r w:rsidR="00D80C87">
              <w:t xml:space="preserve">Aboriginal and Torres Strait Islander </w:t>
            </w:r>
            <w:r w:rsidR="00B840F5">
              <w:t>people, perspectives and knowledges</w:t>
            </w:r>
            <w:r w:rsidR="00FF369D">
              <w:t xml:space="preserve"> </w:t>
            </w:r>
            <w:r w:rsidR="004004A6">
              <w:t>is fundamental to a well</w:t>
            </w:r>
            <w:r w:rsidR="00827859">
              <w:noBreakHyphen/>
            </w:r>
            <w:r w:rsidR="004004A6">
              <w:t>designed performance monitoring approach.</w:t>
            </w:r>
            <w:r w:rsidR="00FF369D">
              <w:t xml:space="preserve"> The logic behind this is grounded in both ethics and efficacy. Ethically, it affirms </w:t>
            </w:r>
            <w:r w:rsidR="00B840F5">
              <w:t xml:space="preserve">Aboriginal and Torres Strait Islander people’s </w:t>
            </w:r>
            <w:r w:rsidR="00FF369D">
              <w:t>right to participate in decision</w:t>
            </w:r>
            <w:r w:rsidR="00827859">
              <w:noBreakHyphen/>
            </w:r>
            <w:r w:rsidR="00FF369D">
              <w:t xml:space="preserve">making about matters that affect them, recognising </w:t>
            </w:r>
            <w:r w:rsidR="00FF369D" w:rsidRPr="00AB1E93">
              <w:t xml:space="preserve">that </w:t>
            </w:r>
            <w:r w:rsidR="00E462B0">
              <w:t>people</w:t>
            </w:r>
            <w:r w:rsidR="00FF369D" w:rsidRPr="00AB1E93">
              <w:t xml:space="preserve"> value</w:t>
            </w:r>
            <w:r w:rsidR="00FF369D">
              <w:t xml:space="preserve"> and understand</w:t>
            </w:r>
            <w:r w:rsidR="00FF369D" w:rsidRPr="00AB1E93">
              <w:t xml:space="preserve"> outcomes differently.</w:t>
            </w:r>
            <w:r w:rsidR="00FF369D">
              <w:t xml:space="preserve"> </w:t>
            </w:r>
            <w:r w:rsidR="00ED5625">
              <w:t>T</w:t>
            </w:r>
            <w:r w:rsidR="00FF369D">
              <w:t xml:space="preserve">his right is enshrined in the </w:t>
            </w:r>
            <w:r w:rsidR="00FF369D">
              <w:rPr>
                <w:i/>
                <w:iCs/>
              </w:rPr>
              <w:t>United Nations Declaration o</w:t>
            </w:r>
            <w:r w:rsidR="00E83AB8">
              <w:rPr>
                <w:i/>
                <w:iCs/>
              </w:rPr>
              <w:t>n</w:t>
            </w:r>
            <w:r w:rsidR="00FF369D">
              <w:rPr>
                <w:i/>
                <w:iCs/>
              </w:rPr>
              <w:t xml:space="preserve"> the Rights of Indigenous Peoples</w:t>
            </w:r>
            <w:r w:rsidR="00E70885">
              <w:rPr>
                <w:i/>
                <w:iCs/>
              </w:rPr>
              <w:t xml:space="preserve"> </w:t>
            </w:r>
            <w:r w:rsidR="00E70885" w:rsidRPr="00E70885">
              <w:t>(UNDRIP)</w:t>
            </w:r>
            <w:r w:rsidR="00FF369D" w:rsidRPr="00E70885">
              <w:t>,</w:t>
            </w:r>
            <w:r w:rsidR="00FF369D">
              <w:t xml:space="preserve"> to which Australia is a signatory</w:t>
            </w:r>
            <w:r w:rsidR="00FF369D">
              <w:rPr>
                <w:i/>
                <w:iCs/>
              </w:rPr>
              <w:t>.</w:t>
            </w:r>
            <w:r w:rsidR="00FF369D">
              <w:t xml:space="preserve"> In regards to efficacy, there is evidence that polic</w:t>
            </w:r>
            <w:r w:rsidR="00011396">
              <w:t>ies</w:t>
            </w:r>
            <w:r w:rsidR="00FF369D">
              <w:t xml:space="preserve"> and program</w:t>
            </w:r>
            <w:r w:rsidR="00011396">
              <w:t>s</w:t>
            </w:r>
            <w:r w:rsidR="00C17D23">
              <w:t xml:space="preserve"> that directly engage </w:t>
            </w:r>
            <w:r w:rsidR="00D540D8">
              <w:t>people affected in their design, implementation and evaluation achieve better outcomes</w:t>
            </w:r>
            <w:r w:rsidR="00FF369D" w:rsidDel="00011396">
              <w:t xml:space="preserve"> </w:t>
            </w:r>
            <w:r w:rsidR="00FF369D" w:rsidRPr="00E835AA">
              <w:rPr>
                <w:rFonts w:ascii="Arial" w:hAnsi="Arial" w:cs="Arial"/>
                <w:szCs w:val="24"/>
              </w:rPr>
              <w:t>(RCPDCNT 2017, vol. 1 p. 256)</w:t>
            </w:r>
            <w:r w:rsidR="00FF369D">
              <w:t>.</w:t>
            </w:r>
            <w:r w:rsidR="00FF369D" w:rsidRPr="009E2D99">
              <w:t xml:space="preserve"> </w:t>
            </w:r>
            <w:r w:rsidR="00FF369D">
              <w:t xml:space="preserve">This is because people affected by policies and programs have unique insight into the drivers of social problems, their interactions with policy </w:t>
            </w:r>
            <w:r w:rsidR="00416B29">
              <w:t>implementation</w:t>
            </w:r>
            <w:r w:rsidR="00FF369D">
              <w:t xml:space="preserve">, and how </w:t>
            </w:r>
            <w:r w:rsidR="00416B29">
              <w:t>policy</w:t>
            </w:r>
            <w:r w:rsidR="00FF369D">
              <w:t xml:space="preserve"> could be improved. </w:t>
            </w:r>
          </w:p>
          <w:p w14:paraId="50B3A5DB" w14:textId="07D050D2" w:rsidR="00FF369D" w:rsidRDefault="00166346" w:rsidP="00FF369D">
            <w:pPr>
              <w:pStyle w:val="BodyText"/>
            </w:pPr>
            <w:r>
              <w:t xml:space="preserve">As set out in </w:t>
            </w:r>
            <w:r w:rsidR="00FF369D">
              <w:t xml:space="preserve">the </w:t>
            </w:r>
            <w:r>
              <w:t>Commission’s</w:t>
            </w:r>
            <w:r w:rsidR="00FF369D">
              <w:t xml:space="preserve"> </w:t>
            </w:r>
            <w:r w:rsidR="00FF369D" w:rsidRPr="004721A6">
              <w:rPr>
                <w:i/>
              </w:rPr>
              <w:t>Indigenous Evaluation Strategy</w:t>
            </w:r>
            <w:r w:rsidR="00FF369D">
              <w:t xml:space="preserve">, </w:t>
            </w:r>
            <w:r w:rsidR="00370C01">
              <w:t>centring Aboriginal and Torres Strait Islander people, perspectives and knowledges</w:t>
            </w:r>
            <w:r w:rsidR="00FF369D">
              <w:t xml:space="preserve"> means both ‘recognising the diverse cultures (languages, knowledge systems, beliefs and histories) and the impacts of contemporary and historical policies and programs on the wellbeing of Aboriginal and Torres Strait Islander people’</w:t>
            </w:r>
            <w:r w:rsidR="00225DA4">
              <w:t xml:space="preserve"> </w:t>
            </w:r>
            <w:r w:rsidR="00225DA4" w:rsidRPr="00EE6321">
              <w:rPr>
                <w:rFonts w:ascii="Arial" w:hAnsi="Arial" w:cs="Arial"/>
                <w:szCs w:val="24"/>
              </w:rPr>
              <w:t>(PC 2020, p. 8)</w:t>
            </w:r>
            <w:r w:rsidR="00225DA4">
              <w:t>.</w:t>
            </w:r>
            <w:r w:rsidR="00FF369D">
              <w:t xml:space="preserve"> </w:t>
            </w:r>
            <w:r w:rsidR="00225DA4">
              <w:t xml:space="preserve">It also involves </w:t>
            </w:r>
            <w:r w:rsidR="00FF369D">
              <w:t>‘building partnerships with Aboriginal and Torres Strait Islander people to define policy and program objectives, decide on evaluation questions, how evaluations will be conducted and how evaluation findings will be interpreted’</w:t>
            </w:r>
            <w:r w:rsidR="00AB05D0">
              <w:t>.</w:t>
            </w:r>
            <w:r w:rsidR="00FF369D">
              <w:t xml:space="preserve"> While the focus of the </w:t>
            </w:r>
            <w:r w:rsidR="00555329">
              <w:t>strategy</w:t>
            </w:r>
            <w:r w:rsidR="00FF369D">
              <w:t xml:space="preserve"> is </w:t>
            </w:r>
            <w:r w:rsidR="005D0F97">
              <w:t>on</w:t>
            </w:r>
            <w:r w:rsidR="00FF369D">
              <w:t xml:space="preserve"> evaluation, its principles also apply to performance monitoring as the foundation for evaluation. </w:t>
            </w:r>
          </w:p>
          <w:p w14:paraId="538F76D5" w14:textId="1CF0458B" w:rsidR="00FF369D" w:rsidRDefault="008D0F3B" w:rsidP="00FF369D">
            <w:pPr>
              <w:pStyle w:val="BodyText"/>
            </w:pPr>
            <w:r>
              <w:t>S</w:t>
            </w:r>
            <w:r w:rsidR="00FF369D">
              <w:t xml:space="preserve">ome </w:t>
            </w:r>
            <w:r w:rsidR="00FD031F">
              <w:t>aspects</w:t>
            </w:r>
            <w:r w:rsidR="00FF369D">
              <w:t xml:space="preserve"> of cultural and historical recognition are harder to achieve in the context of national monitoring frameworks that rely on aggregate statistics. In this case, principles for ‘indigenising’ national statistics developed by Kukutai and Walter</w:t>
            </w:r>
            <w:r w:rsidR="009B6EBB">
              <w:t xml:space="preserve"> </w:t>
            </w:r>
            <w:r w:rsidR="00E62999" w:rsidRPr="00E62999">
              <w:rPr>
                <w:rFonts w:ascii="Arial" w:hAnsi="Arial" w:cs="Arial"/>
                <w:szCs w:val="24"/>
              </w:rPr>
              <w:t>(2015, p. 317)</w:t>
            </w:r>
            <w:r w:rsidR="00FF369D">
              <w:t xml:space="preserve"> provide more direct guidance</w:t>
            </w:r>
            <w:r w:rsidR="00E41F84">
              <w:t>.</w:t>
            </w:r>
            <w:r w:rsidR="004D5AC9">
              <w:t xml:space="preserve"> </w:t>
            </w:r>
            <w:r w:rsidR="00FF369D">
              <w:t>They draw on Taylor’s concept of the ‘recognition space</w:t>
            </w:r>
            <w:r w:rsidR="00B34507">
              <w:t>’</w:t>
            </w:r>
            <w:r w:rsidR="00FF369D">
              <w:t xml:space="preserve">, </w:t>
            </w:r>
            <w:r w:rsidR="0082152B">
              <w:t>which is</w:t>
            </w:r>
            <w:r w:rsidR="00FF369D">
              <w:t xml:space="preserve"> the ‘small intersect between Indigenous cultural values and practices concerning wellbeing; and government reporting frameworks and concepts’ where ‘policy makers and Indigenous peoples can seek to build meaningful engagement and measurement’</w:t>
            </w:r>
            <w:r w:rsidR="009663EB">
              <w:t xml:space="preserve"> </w:t>
            </w:r>
            <w:r w:rsidR="0007510D" w:rsidRPr="0007510D">
              <w:rPr>
                <w:rFonts w:ascii="Arial" w:hAnsi="Arial" w:cs="Arial"/>
                <w:szCs w:val="24"/>
              </w:rPr>
              <w:t>(Kukutai and Walter 2015, p. 318; Taylor 2008, p. 116)</w:t>
            </w:r>
            <w:r w:rsidR="00EB1599">
              <w:t xml:space="preserve">. </w:t>
            </w:r>
            <w:r w:rsidR="00FF369D">
              <w:t xml:space="preserve">In doing so, the goal is to shift government statistics away from misrecognition towards greater functionality for Indigenous people. The five </w:t>
            </w:r>
            <w:r w:rsidR="006151C4">
              <w:t xml:space="preserve">recognition </w:t>
            </w:r>
            <w:r w:rsidR="00FF369D">
              <w:t>principles</w:t>
            </w:r>
            <w:r w:rsidR="00D96838" w:rsidDel="002D297B">
              <w:t xml:space="preserve"> </w:t>
            </w:r>
            <w:r w:rsidR="002D297B">
              <w:t>are</w:t>
            </w:r>
            <w:r w:rsidR="00DB1715">
              <w:t xml:space="preserve"> </w:t>
            </w:r>
            <w:r w:rsidR="00F626CE">
              <w:t xml:space="preserve">listed below </w:t>
            </w:r>
            <w:r w:rsidR="00A949E5" w:rsidRPr="00A949E5">
              <w:rPr>
                <w:rFonts w:ascii="Arial" w:hAnsi="Arial" w:cs="Arial"/>
                <w:szCs w:val="24"/>
              </w:rPr>
              <w:t>(Kukutai and Walter 2015, pp. 321–323)</w:t>
            </w:r>
            <w:r w:rsidR="00F626CE">
              <w:t>.</w:t>
            </w:r>
          </w:p>
          <w:p w14:paraId="41CEA325" w14:textId="72952CB8" w:rsidR="00FF369D" w:rsidRDefault="00FF369D" w:rsidP="00863FBE">
            <w:pPr>
              <w:pStyle w:val="ListBullet"/>
            </w:pPr>
            <w:r w:rsidRPr="005770DC">
              <w:rPr>
                <w:b/>
                <w:bCs/>
              </w:rPr>
              <w:t>Recognis</w:t>
            </w:r>
            <w:r w:rsidR="004D5F60">
              <w:rPr>
                <w:b/>
                <w:bCs/>
              </w:rPr>
              <w:t>e</w:t>
            </w:r>
            <w:r w:rsidRPr="005770DC">
              <w:rPr>
                <w:b/>
                <w:bCs/>
              </w:rPr>
              <w:t xml:space="preserve"> geographic diversity. </w:t>
            </w:r>
            <w:r>
              <w:t xml:space="preserve">This means acknowledging that the default data disaggregation at the jurisdictional or remoteness level are of limited relevance </w:t>
            </w:r>
            <w:r w:rsidR="00155765">
              <w:t>to</w:t>
            </w:r>
            <w:r>
              <w:t xml:space="preserve"> Indigenous people because they obscure variation across communities. It calls for greater regional disaggregation to increase functionality for Indigenous communities.</w:t>
            </w:r>
          </w:p>
          <w:p w14:paraId="2F55989C" w14:textId="451D8407" w:rsidR="00FF369D" w:rsidRPr="00AB0E8C" w:rsidRDefault="00FF369D" w:rsidP="00863FBE">
            <w:pPr>
              <w:pStyle w:val="ListBullet"/>
              <w:rPr>
                <w:b/>
                <w:bCs/>
              </w:rPr>
            </w:pPr>
            <w:r w:rsidRPr="00AB0E8C">
              <w:rPr>
                <w:b/>
                <w:bCs/>
              </w:rPr>
              <w:t>Recognis</w:t>
            </w:r>
            <w:r w:rsidR="004D5F60">
              <w:rPr>
                <w:b/>
                <w:bCs/>
              </w:rPr>
              <w:t>e</w:t>
            </w:r>
            <w:r w:rsidRPr="00AB0E8C">
              <w:rPr>
                <w:b/>
                <w:bCs/>
              </w:rPr>
              <w:t xml:space="preserve"> cultural diversity</w:t>
            </w:r>
            <w:r>
              <w:rPr>
                <w:b/>
                <w:bCs/>
              </w:rPr>
              <w:t xml:space="preserve">. </w:t>
            </w:r>
            <w:r>
              <w:t>This means going beyond an Indigenous identifier that frames Indigenous people as an ethnic or racial minority population to recognising Indigenous people as ‘rights</w:t>
            </w:r>
            <w:r w:rsidR="00827859">
              <w:noBreakHyphen/>
            </w:r>
            <w:r>
              <w:t>bearing peoples with a distinctive status that is recognised internationally’</w:t>
            </w:r>
            <w:r w:rsidR="007C1083">
              <w:t>.</w:t>
            </w:r>
            <w:r>
              <w:t xml:space="preserve"> To do so, governments should seek to account for the </w:t>
            </w:r>
            <w:r w:rsidR="00352261">
              <w:t>many First</w:t>
            </w:r>
            <w:r>
              <w:t xml:space="preserve"> </w:t>
            </w:r>
            <w:r w:rsidR="00352261">
              <w:t>N</w:t>
            </w:r>
            <w:r>
              <w:t xml:space="preserve">ations that make up </w:t>
            </w:r>
            <w:r w:rsidR="00BD4A8D">
              <w:t>the Aboriginal and Torres Strait Islander population</w:t>
            </w:r>
            <w:r>
              <w:t>, their cultural and historical uniqueness and vitality.</w:t>
            </w:r>
          </w:p>
          <w:p w14:paraId="01CC6E2B" w14:textId="0A376FEA" w:rsidR="00FF369D" w:rsidRPr="002D1873" w:rsidRDefault="00FF369D" w:rsidP="00863FBE">
            <w:pPr>
              <w:pStyle w:val="ListBullet"/>
              <w:rPr>
                <w:b/>
                <w:bCs/>
              </w:rPr>
            </w:pPr>
            <w:r w:rsidRPr="002D1873">
              <w:rPr>
                <w:b/>
                <w:bCs/>
              </w:rPr>
              <w:lastRenderedPageBreak/>
              <w:t>Recognis</w:t>
            </w:r>
            <w:r w:rsidR="004D5F60">
              <w:rPr>
                <w:b/>
                <w:bCs/>
              </w:rPr>
              <w:t>e</w:t>
            </w:r>
            <w:r w:rsidRPr="002D1873">
              <w:rPr>
                <w:b/>
                <w:bCs/>
              </w:rPr>
              <w:t xml:space="preserve"> other ways of knowing</w:t>
            </w:r>
            <w:r w:rsidRPr="00BB0460">
              <w:rPr>
                <w:b/>
              </w:rPr>
              <w:t xml:space="preserve">. </w:t>
            </w:r>
            <w:r>
              <w:t>This applies to the narratives built around official statistics, from their intent and design to their interpretation. It means moving away from the framing of Indigenous people as a disadvantaged minority or a problem to be solved to rights</w:t>
            </w:r>
            <w:r w:rsidR="00827859">
              <w:noBreakHyphen/>
            </w:r>
            <w:r>
              <w:t>bearing peoples contending with unequal institutional arrangements. This means highlighting structural sources of inequality and focusing on enabling Aboriginal and Torres Strait Islander strengths and aspirations.</w:t>
            </w:r>
          </w:p>
          <w:p w14:paraId="1AAB24C4" w14:textId="572A34C9" w:rsidR="00FF369D" w:rsidRPr="00923D6A" w:rsidRDefault="00FF369D" w:rsidP="00863FBE">
            <w:pPr>
              <w:pStyle w:val="ListBullet"/>
              <w:rPr>
                <w:b/>
                <w:bCs/>
              </w:rPr>
            </w:pPr>
            <w:r w:rsidRPr="00923D6A">
              <w:rPr>
                <w:b/>
                <w:bCs/>
              </w:rPr>
              <w:t>Recognis</w:t>
            </w:r>
            <w:r w:rsidR="004D5F60">
              <w:rPr>
                <w:b/>
                <w:bCs/>
              </w:rPr>
              <w:t>e</w:t>
            </w:r>
            <w:r w:rsidRPr="00923D6A">
              <w:rPr>
                <w:b/>
                <w:bCs/>
              </w:rPr>
              <w:t xml:space="preserve"> the need for mutual capability</w:t>
            </w:r>
            <w:r w:rsidR="00827859">
              <w:rPr>
                <w:b/>
                <w:bCs/>
              </w:rPr>
              <w:noBreakHyphen/>
            </w:r>
            <w:r w:rsidRPr="00923D6A">
              <w:rPr>
                <w:b/>
                <w:bCs/>
              </w:rPr>
              <w:t>building</w:t>
            </w:r>
            <w:r>
              <w:rPr>
                <w:b/>
                <w:bCs/>
              </w:rPr>
              <w:t xml:space="preserve">. </w:t>
            </w:r>
            <w:r>
              <w:t>While governments recognise the need to build data capability within Indigenous communities, there is also a need to build the capability of non</w:t>
            </w:r>
            <w:r w:rsidR="00933475">
              <w:noBreakHyphen/>
            </w:r>
            <w:r>
              <w:t>Indigenous people to recognise how their worldview shapes their understanding of statistical functionality and how this relates to Indigenous understandings.</w:t>
            </w:r>
          </w:p>
          <w:p w14:paraId="32AE2F13" w14:textId="0821EAE4" w:rsidR="00FF369D" w:rsidRPr="007E6515" w:rsidRDefault="00FF369D" w:rsidP="00863FBE">
            <w:pPr>
              <w:pStyle w:val="ListBullet"/>
              <w:rPr>
                <w:b/>
                <w:bCs/>
              </w:rPr>
            </w:pPr>
            <w:r w:rsidRPr="007E6515">
              <w:rPr>
                <w:b/>
                <w:bCs/>
              </w:rPr>
              <w:t>Recognis</w:t>
            </w:r>
            <w:r w:rsidR="009217D2">
              <w:rPr>
                <w:b/>
                <w:bCs/>
              </w:rPr>
              <w:t>e</w:t>
            </w:r>
            <w:r w:rsidRPr="007E6515">
              <w:rPr>
                <w:b/>
                <w:bCs/>
              </w:rPr>
              <w:t xml:space="preserve"> Indigenous decision</w:t>
            </w:r>
            <w:r w:rsidR="00827859">
              <w:rPr>
                <w:b/>
                <w:bCs/>
              </w:rPr>
              <w:noBreakHyphen/>
            </w:r>
            <w:r w:rsidRPr="007E6515">
              <w:rPr>
                <w:b/>
                <w:bCs/>
              </w:rPr>
              <w:t>making</w:t>
            </w:r>
            <w:r>
              <w:rPr>
                <w:b/>
                <w:bCs/>
              </w:rPr>
              <w:t xml:space="preserve">. </w:t>
            </w:r>
            <w:r>
              <w:t xml:space="preserve">Perhaps the most important principle, this means enabling Aboriginal and Torres Strait Islander </w:t>
            </w:r>
            <w:r w:rsidR="0009190B">
              <w:t xml:space="preserve">people </w:t>
            </w:r>
            <w:r>
              <w:t>to participate in decision</w:t>
            </w:r>
            <w:r w:rsidR="00827859">
              <w:noBreakHyphen/>
            </w:r>
            <w:r>
              <w:t>making in the design, management and use of data</w:t>
            </w:r>
            <w:r w:rsidR="0067633F">
              <w:t xml:space="preserve"> about them</w:t>
            </w:r>
            <w:r w:rsidR="00C54347">
              <w:t>.</w:t>
            </w:r>
            <w:r w:rsidR="0067633F">
              <w:t xml:space="preserve"> </w:t>
            </w:r>
            <w:r w:rsidR="00C54347">
              <w:t>This draws</w:t>
            </w:r>
            <w:r w:rsidR="00514D86">
              <w:t xml:space="preserve"> on the right to self</w:t>
            </w:r>
            <w:r w:rsidR="00827859">
              <w:noBreakHyphen/>
            </w:r>
            <w:r w:rsidR="00514D86">
              <w:t xml:space="preserve">determination </w:t>
            </w:r>
            <w:r>
              <w:t>enshrined in UNDRIP</w:t>
            </w:r>
            <w:r w:rsidR="00C54347">
              <w:t xml:space="preserve">, particularly </w:t>
            </w:r>
            <w:r w:rsidR="004A0631">
              <w:t>a</w:t>
            </w:r>
            <w:r w:rsidR="00C54347">
              <w:t>rticles 18, 19 and 2</w:t>
            </w:r>
            <w:r w:rsidR="00423CD0">
              <w:t>3</w:t>
            </w:r>
            <w:r w:rsidDel="00047D6B">
              <w:t>.</w:t>
            </w:r>
          </w:p>
          <w:p w14:paraId="024493A8" w14:textId="1EC939C4" w:rsidR="00FF369D" w:rsidRDefault="00FF369D" w:rsidP="00006781">
            <w:pPr>
              <w:pStyle w:val="BodyText"/>
            </w:pPr>
            <w:r w:rsidRPr="00AF0CD3">
              <w:t>Fundamentally, th</w:t>
            </w:r>
            <w:r>
              <w:t xml:space="preserve">e centring </w:t>
            </w:r>
            <w:r w:rsidRPr="00AF0CD3">
              <w:t xml:space="preserve">principle is about ensuring governance arrangements and processes at all stages of performance monitoring enable the meaningful participation of Aboriginal and Torres Strait Islander people and incorporate their </w:t>
            </w:r>
            <w:r>
              <w:t>knowledge</w:t>
            </w:r>
            <w:r w:rsidR="00882EB6">
              <w:t>s</w:t>
            </w:r>
            <w:r>
              <w:t xml:space="preserve"> and perspectives</w:t>
            </w:r>
            <w:r w:rsidRPr="00AF0CD3">
              <w:t>. This has practical applications in each of the key elements of performance monitoring.</w:t>
            </w:r>
          </w:p>
        </w:tc>
      </w:tr>
      <w:tr w:rsidR="00FF369D" w14:paraId="71E21B70" w14:textId="77777777">
        <w:trPr>
          <w:hidden/>
        </w:trPr>
        <w:tc>
          <w:tcPr>
            <w:tcW w:w="9638" w:type="dxa"/>
            <w:gridSpan w:val="2"/>
            <w:shd w:val="clear" w:color="auto" w:fill="auto"/>
            <w:tcMar>
              <w:top w:w="0" w:type="dxa"/>
              <w:left w:w="170" w:type="dxa"/>
              <w:bottom w:w="0" w:type="dxa"/>
              <w:right w:w="170" w:type="dxa"/>
            </w:tcMar>
          </w:tcPr>
          <w:p w14:paraId="29FD34DF" w14:textId="7EE0D8D3" w:rsidR="00FF369D" w:rsidRPr="00465191" w:rsidRDefault="00FF369D">
            <w:pPr>
              <w:pStyle w:val="BodyText"/>
              <w:spacing w:before="0" w:after="0" w:line="80" w:lineRule="atLeast"/>
              <w:rPr>
                <w:smallCaps/>
                <w:vanish/>
              </w:rPr>
            </w:pPr>
          </w:p>
        </w:tc>
      </w:tr>
    </w:tbl>
    <w:p w14:paraId="4F744AD5" w14:textId="7322C5E7" w:rsidR="00014171" w:rsidRPr="00014171" w:rsidRDefault="00B52F6E" w:rsidP="00360D58">
      <w:pPr>
        <w:pStyle w:val="Heading2"/>
        <w:numPr>
          <w:ilvl w:val="0"/>
          <w:numId w:val="0"/>
        </w:numPr>
        <w:ind w:left="720" w:hanging="720"/>
      </w:pPr>
      <w:bookmarkStart w:id="5" w:name="_Toc140484715"/>
      <w:r>
        <w:t>2</w:t>
      </w:r>
      <w:r>
        <w:tab/>
      </w:r>
      <w:r w:rsidR="00463553">
        <w:t>Is there a</w:t>
      </w:r>
      <w:r w:rsidR="00F83AB9">
        <w:t xml:space="preserve"> shared understanding of the purpose of performance</w:t>
      </w:r>
      <w:r w:rsidR="0088713A">
        <w:t xml:space="preserve"> </w:t>
      </w:r>
      <w:r w:rsidR="00A76B01">
        <w:t>monitoring</w:t>
      </w:r>
      <w:r w:rsidR="00463553">
        <w:t>?</w:t>
      </w:r>
      <w:bookmarkEnd w:id="5"/>
    </w:p>
    <w:p w14:paraId="1D0DC666" w14:textId="66646A28" w:rsidR="000E6489" w:rsidRDefault="00F110B1" w:rsidP="00D93296">
      <w:pPr>
        <w:pStyle w:val="BodyText"/>
      </w:pPr>
      <w:r>
        <w:t xml:space="preserve">For </w:t>
      </w:r>
      <w:r w:rsidR="00DB4CA8">
        <w:t>performance monitoring</w:t>
      </w:r>
      <w:r>
        <w:t xml:space="preserve"> to be effective, t</w:t>
      </w:r>
      <w:r w:rsidR="00C90FA8">
        <w:t xml:space="preserve">he purpose of </w:t>
      </w:r>
      <w:r w:rsidR="0081024E">
        <w:t xml:space="preserve">a performance </w:t>
      </w:r>
      <w:r w:rsidR="005F74E9">
        <w:t xml:space="preserve">monitoring </w:t>
      </w:r>
      <w:r w:rsidR="00291A74">
        <w:t>approach</w:t>
      </w:r>
      <w:r w:rsidR="005F74E9">
        <w:t xml:space="preserve"> must </w:t>
      </w:r>
      <w:r w:rsidR="00ED7321">
        <w:t xml:space="preserve">be </w:t>
      </w:r>
      <w:r w:rsidR="0068172D">
        <w:t>clear</w:t>
      </w:r>
      <w:r w:rsidR="00701F62">
        <w:t>ly</w:t>
      </w:r>
      <w:r w:rsidR="0068172D">
        <w:t xml:space="preserve"> </w:t>
      </w:r>
      <w:r w:rsidR="006D561C">
        <w:t xml:space="preserve">understood </w:t>
      </w:r>
      <w:r w:rsidR="006E1D2E">
        <w:t xml:space="preserve">and </w:t>
      </w:r>
      <w:r w:rsidR="00B353AC">
        <w:t>supported</w:t>
      </w:r>
      <w:r w:rsidR="006D561C">
        <w:t xml:space="preserve"> by </w:t>
      </w:r>
      <w:r w:rsidR="00187992">
        <w:t xml:space="preserve">the parties who </w:t>
      </w:r>
      <w:r w:rsidR="006A0E9C">
        <w:t xml:space="preserve">report against </w:t>
      </w:r>
      <w:r w:rsidR="00E16A88">
        <w:t xml:space="preserve">and use </w:t>
      </w:r>
      <w:r w:rsidR="006A0E9C">
        <w:t>it</w:t>
      </w:r>
      <w:r w:rsidR="00187992">
        <w:t>.</w:t>
      </w:r>
      <w:r w:rsidR="00CF5041">
        <w:t xml:space="preserve"> </w:t>
      </w:r>
      <w:r w:rsidR="006F4658">
        <w:t xml:space="preserve">A </w:t>
      </w:r>
      <w:r w:rsidR="006B0ECB">
        <w:t>well</w:t>
      </w:r>
      <w:r w:rsidR="00827859">
        <w:noBreakHyphen/>
      </w:r>
      <w:r w:rsidR="006B0ECB">
        <w:t xml:space="preserve">defined purpose </w:t>
      </w:r>
      <w:r w:rsidR="00A06A0C">
        <w:t>establishes</w:t>
      </w:r>
      <w:r w:rsidR="00D93296">
        <w:t xml:space="preserve"> </w:t>
      </w:r>
      <w:r w:rsidR="003C7AC4">
        <w:t xml:space="preserve">the </w:t>
      </w:r>
      <w:r w:rsidR="00CF7845">
        <w:t>intended use of the framework</w:t>
      </w:r>
      <w:r w:rsidR="003C7AC4">
        <w:t xml:space="preserve">, </w:t>
      </w:r>
      <w:r w:rsidR="00A72F38">
        <w:t xml:space="preserve">who </w:t>
      </w:r>
      <w:r w:rsidR="000766E0">
        <w:t xml:space="preserve">will use </w:t>
      </w:r>
      <w:r w:rsidR="00001994">
        <w:t>the information collected</w:t>
      </w:r>
      <w:r w:rsidR="003C7AC4">
        <w:t>, and how</w:t>
      </w:r>
      <w:r w:rsidR="00D3102C">
        <w:t xml:space="preserve"> </w:t>
      </w:r>
      <w:r w:rsidR="00D93296" w:rsidRPr="00E350D2">
        <w:rPr>
          <w:rFonts w:ascii="Arial" w:hAnsi="Arial" w:cs="Arial"/>
          <w:szCs w:val="24"/>
        </w:rPr>
        <w:t>(Morgan and Homel 2011, p. 11 quoting Audit Commission 2020)</w:t>
      </w:r>
      <w:r w:rsidR="00D93296">
        <w:t>.</w:t>
      </w:r>
      <w:r w:rsidR="00D93296" w:rsidRPr="00B96865">
        <w:t xml:space="preserve"> </w:t>
      </w:r>
      <w:r w:rsidR="00D06BE8">
        <w:t xml:space="preserve">It </w:t>
      </w:r>
      <w:r w:rsidR="00906A29">
        <w:t>defines the scope for</w:t>
      </w:r>
      <w:r w:rsidR="007C11A7">
        <w:t xml:space="preserve"> the measurement approach</w:t>
      </w:r>
      <w:r w:rsidR="008851F9">
        <w:t>, data collection and reporting arrangements</w:t>
      </w:r>
      <w:r w:rsidR="0028502E">
        <w:t>.</w:t>
      </w:r>
      <w:r w:rsidR="00F24B8F">
        <w:t xml:space="preserve"> </w:t>
      </w:r>
    </w:p>
    <w:p w14:paraId="2E67818A" w14:textId="490607F7" w:rsidR="00D0164B" w:rsidRDefault="008E6B4F" w:rsidP="00D93296">
      <w:pPr>
        <w:pStyle w:val="BodyText"/>
      </w:pPr>
      <w:r>
        <w:t>Performance monitoring could have multiple purposes,</w:t>
      </w:r>
      <w:r w:rsidDel="00AB3A1F">
        <w:t xml:space="preserve"> </w:t>
      </w:r>
      <w:r w:rsidR="00AB3A1F">
        <w:t>and</w:t>
      </w:r>
      <w:r>
        <w:t xml:space="preserve"> these should be clearly articulated</w:t>
      </w:r>
      <w:r w:rsidR="003C6513">
        <w:t xml:space="preserve"> </w:t>
      </w:r>
      <w:r w:rsidR="00E01DAE">
        <w:t xml:space="preserve">so that the </w:t>
      </w:r>
      <w:r w:rsidR="0029572C">
        <w:t xml:space="preserve">monitoring approach </w:t>
      </w:r>
      <w:r w:rsidR="00165A7A">
        <w:t>can be</w:t>
      </w:r>
      <w:r w:rsidR="00537C41">
        <w:t xml:space="preserve"> </w:t>
      </w:r>
      <w:r w:rsidR="00165A7A">
        <w:t>designed to achieve them</w:t>
      </w:r>
      <w:r w:rsidR="003C6513">
        <w:t xml:space="preserve">. </w:t>
      </w:r>
      <w:r w:rsidR="00485886">
        <w:t>Developing a shared understanding of the purpose is best enabled through partnership and co</w:t>
      </w:r>
      <w:r w:rsidR="00827859">
        <w:noBreakHyphen/>
      </w:r>
      <w:r w:rsidR="00485886">
        <w:t>design</w:t>
      </w:r>
      <w:r w:rsidR="00865BF7">
        <w:t xml:space="preserve"> with </w:t>
      </w:r>
      <w:r w:rsidR="00635BB8">
        <w:t>key reporting participants and users</w:t>
      </w:r>
      <w:r w:rsidR="00485886">
        <w:t xml:space="preserve">. This contributes to acceptance of </w:t>
      </w:r>
      <w:r w:rsidR="00E9738F">
        <w:t>the approach</w:t>
      </w:r>
      <w:r w:rsidR="00485886">
        <w:t xml:space="preserve"> by all parties and greater motivation towards and achievement of targets </w:t>
      </w:r>
      <w:r w:rsidR="00603F88" w:rsidRPr="00603F88">
        <w:rPr>
          <w:rFonts w:ascii="Arial" w:hAnsi="Arial" w:cs="Arial"/>
          <w:szCs w:val="24"/>
        </w:rPr>
        <w:t>(Goh 2012, p. 34)</w:t>
      </w:r>
      <w:r w:rsidR="00485886">
        <w:t>.</w:t>
      </w:r>
    </w:p>
    <w:p w14:paraId="51DA9935" w14:textId="34566252" w:rsidR="0022031C" w:rsidRPr="001422DD" w:rsidRDefault="0022031C" w:rsidP="00626251">
      <w:pPr>
        <w:pStyle w:val="Heading3"/>
      </w:pPr>
      <w:r w:rsidRPr="00A32D5D">
        <w:t>The Agreement</w:t>
      </w:r>
      <w:r w:rsidR="00522C95">
        <w:t xml:space="preserve"> </w:t>
      </w:r>
      <w:r w:rsidR="009056BC">
        <w:t>indicates</w:t>
      </w:r>
      <w:r w:rsidR="00522C95">
        <w:t xml:space="preserve"> multiple</w:t>
      </w:r>
      <w:r w:rsidR="00D737BE">
        <w:t xml:space="preserve"> </w:t>
      </w:r>
      <w:r w:rsidR="00522C95">
        <w:t>purposes</w:t>
      </w:r>
      <w:r w:rsidR="00904CAB">
        <w:t xml:space="preserve"> for performance monitoring</w:t>
      </w:r>
    </w:p>
    <w:p w14:paraId="4A345FA5" w14:textId="4C1BF9B8" w:rsidR="0022031C" w:rsidRPr="00BC29BD" w:rsidRDefault="0022031C" w:rsidP="0022031C">
      <w:pPr>
        <w:pStyle w:val="BodyText"/>
      </w:pPr>
      <w:r w:rsidRPr="00BC29BD">
        <w:t xml:space="preserve">The Agreement does not </w:t>
      </w:r>
      <w:r w:rsidR="00A4173F">
        <w:t>include</w:t>
      </w:r>
      <w:r w:rsidRPr="00BC29BD">
        <w:t xml:space="preserve"> an explicit description of the purpose</w:t>
      </w:r>
      <w:r w:rsidR="00E34FCA">
        <w:t xml:space="preserve"> of</w:t>
      </w:r>
      <w:r w:rsidRPr="00BC29BD">
        <w:t xml:space="preserve"> its performance monitoring approach. At a high</w:t>
      </w:r>
      <w:r w:rsidR="00827859">
        <w:noBreakHyphen/>
      </w:r>
      <w:r w:rsidRPr="00BC29BD">
        <w:t>level</w:t>
      </w:r>
      <w:r w:rsidR="00E079AC">
        <w:t>,</w:t>
      </w:r>
      <w:r w:rsidRPr="00BC29BD">
        <w:t xml:space="preserve"> it establishes that the </w:t>
      </w:r>
      <w:r w:rsidR="009A25A6">
        <w:t>p</w:t>
      </w:r>
      <w:r w:rsidRPr="00BC29BD">
        <w:t>arties have agreed to the targets ‘to know how we are tracking against the objectives and outcomes of this Agreement’ (</w:t>
      </w:r>
      <w:r w:rsidR="004C0EBA">
        <w:t>c</w:t>
      </w:r>
      <w:r w:rsidRPr="00BC29BD">
        <w:t>lause 78). Beyond this</w:t>
      </w:r>
      <w:r w:rsidR="004C0EBA">
        <w:t>,</w:t>
      </w:r>
      <w:r w:rsidRPr="00BC29BD">
        <w:t xml:space="preserve"> there are several clauses in the Agreement which suggest how the Agreement’s performance data and reporting is intended to be used.</w:t>
      </w:r>
      <w:r w:rsidR="00B37F30">
        <w:t xml:space="preserve"> These</w:t>
      </w:r>
      <w:r w:rsidR="00E30C7B">
        <w:t xml:space="preserve"> purposes</w:t>
      </w:r>
      <w:r w:rsidR="00E12713">
        <w:t xml:space="preserve"> include</w:t>
      </w:r>
      <w:r w:rsidR="00D14B49">
        <w:t>:</w:t>
      </w:r>
      <w:r w:rsidR="00E12713">
        <w:t xml:space="preserve"> </w:t>
      </w:r>
      <w:r w:rsidR="002229A7">
        <w:t xml:space="preserve">enabling </w:t>
      </w:r>
      <w:r w:rsidR="0089212C">
        <w:t>independent oversight and public accountability</w:t>
      </w:r>
      <w:r w:rsidR="006E791B">
        <w:t>;</w:t>
      </w:r>
      <w:r w:rsidR="0089212C">
        <w:t xml:space="preserve"> driving effort at </w:t>
      </w:r>
      <w:r w:rsidR="0089212C">
        <w:lastRenderedPageBreak/>
        <w:t>the jurisdictional level</w:t>
      </w:r>
      <w:r w:rsidR="006E791B">
        <w:t>;</w:t>
      </w:r>
      <w:r w:rsidR="0089212C">
        <w:t xml:space="preserve"> </w:t>
      </w:r>
      <w:r w:rsidR="003A4C01">
        <w:t xml:space="preserve">monitoring </w:t>
      </w:r>
      <w:r w:rsidR="00D967D3">
        <w:t>the distribution of progress</w:t>
      </w:r>
      <w:r w:rsidR="00201562">
        <w:t xml:space="preserve"> across</w:t>
      </w:r>
      <w:r w:rsidR="003A4C01">
        <w:t xml:space="preserve"> different</w:t>
      </w:r>
      <w:r w:rsidR="0080233B">
        <w:t xml:space="preserve"> Aboriginal and Torres Strait Islander </w:t>
      </w:r>
      <w:r w:rsidR="003A4C01">
        <w:t>populations</w:t>
      </w:r>
      <w:r w:rsidR="006E791B">
        <w:t>;</w:t>
      </w:r>
      <w:r w:rsidR="00AD3381">
        <w:t xml:space="preserve"> and </w:t>
      </w:r>
      <w:r w:rsidR="00F82788">
        <w:t>prioritising Aboriginal and Torres Strait Islander cultures</w:t>
      </w:r>
      <w:r w:rsidR="0098448E">
        <w:t>.</w:t>
      </w:r>
    </w:p>
    <w:p w14:paraId="6AE96ABA" w14:textId="0B8CCD61" w:rsidR="00921A53" w:rsidRPr="00BC29BD" w:rsidRDefault="00D5090F" w:rsidP="00921A53">
      <w:pPr>
        <w:pStyle w:val="Heading4"/>
      </w:pPr>
      <w:r>
        <w:t xml:space="preserve">There is broad agreement that </w:t>
      </w:r>
      <w:r w:rsidR="00C06D7F">
        <w:t>performance monitoring should drive jurisdictional effort and public accountability</w:t>
      </w:r>
    </w:p>
    <w:p w14:paraId="4E3BA5AE" w14:textId="738743FA" w:rsidR="00891B6A" w:rsidRDefault="00275373" w:rsidP="00E87E77">
      <w:pPr>
        <w:pStyle w:val="BodyText"/>
      </w:pPr>
      <w:r>
        <w:t>Chapter</w:t>
      </w:r>
      <w:r w:rsidR="005634D7">
        <w:t> </w:t>
      </w:r>
      <w:r w:rsidR="0022031C" w:rsidRPr="004E7989">
        <w:t xml:space="preserve">9 </w:t>
      </w:r>
      <w:r w:rsidR="0022031C">
        <w:t xml:space="preserve">of </w:t>
      </w:r>
      <w:r w:rsidR="0022031C" w:rsidRPr="004E7989">
        <w:t xml:space="preserve">the Agreement links reporting to </w:t>
      </w:r>
      <w:r w:rsidR="0022031C" w:rsidRPr="008D3570">
        <w:rPr>
          <w:b/>
        </w:rPr>
        <w:t xml:space="preserve">independent oversight and </w:t>
      </w:r>
      <w:r w:rsidR="00685EAE">
        <w:rPr>
          <w:b/>
        </w:rPr>
        <w:t xml:space="preserve">public </w:t>
      </w:r>
      <w:r w:rsidR="0022031C" w:rsidRPr="008D3570">
        <w:rPr>
          <w:b/>
        </w:rPr>
        <w:t>accountability</w:t>
      </w:r>
      <w:r w:rsidR="0022031C" w:rsidRPr="004E7989">
        <w:t xml:space="preserve"> (</w:t>
      </w:r>
      <w:r w:rsidR="00E9080D">
        <w:t>clause 115</w:t>
      </w:r>
      <w:r w:rsidR="0022031C">
        <w:t>).</w:t>
      </w:r>
      <w:r w:rsidR="00F900A0">
        <w:t xml:space="preserve"> </w:t>
      </w:r>
      <w:r w:rsidR="00246DDE">
        <w:t xml:space="preserve">Clauses in the </w:t>
      </w:r>
      <w:r w:rsidR="004C6C94">
        <w:t>Agreement</w:t>
      </w:r>
      <w:r w:rsidR="00146BA7">
        <w:t xml:space="preserve"> suggest </w:t>
      </w:r>
      <w:r w:rsidR="00A54341">
        <w:t>an emphasis on</w:t>
      </w:r>
      <w:r w:rsidR="000F3FC7">
        <w:t xml:space="preserve"> jurisdictional accountability</w:t>
      </w:r>
      <w:r w:rsidR="00B06E74">
        <w:t>, particularly to Aboriginal and Torres Strait Islander people</w:t>
      </w:r>
      <w:r w:rsidR="000F3FC7">
        <w:t xml:space="preserve">. </w:t>
      </w:r>
      <w:r w:rsidR="003A608F">
        <w:t>Clause 9</w:t>
      </w:r>
      <w:r w:rsidR="002C64D5">
        <w:t>7</w:t>
      </w:r>
      <w:r w:rsidR="00B851DB">
        <w:t xml:space="preserve"> stat</w:t>
      </w:r>
      <w:r w:rsidR="00F04C77">
        <w:t>es that</w:t>
      </w:r>
      <w:r w:rsidR="002C64D5">
        <w:t xml:space="preserve"> ‘it is important for Aboriginal and Torres Strait Islander people to know that </w:t>
      </w:r>
      <w:r w:rsidR="00207F75">
        <w:t xml:space="preserve">the new way of working is being implemented through the life of the Agreement and </w:t>
      </w:r>
      <w:r w:rsidR="00747513">
        <w:t xml:space="preserve">[to be able to] </w:t>
      </w:r>
      <w:r w:rsidR="00207F75">
        <w:t>monitor its progress’</w:t>
      </w:r>
      <w:r w:rsidR="006E791B">
        <w:t>.</w:t>
      </w:r>
    </w:p>
    <w:p w14:paraId="30523E51" w14:textId="7B0CB999" w:rsidR="004E7349" w:rsidRDefault="00C0484E" w:rsidP="00E87E77">
      <w:pPr>
        <w:pStyle w:val="BodyText"/>
      </w:pPr>
      <w:r>
        <w:t>Review participants broadly agreed with this p</w:t>
      </w:r>
      <w:r w:rsidR="00005B3D">
        <w:t xml:space="preserve">ublic accountability purpose, </w:t>
      </w:r>
      <w:r w:rsidR="009D5ED7">
        <w:t xml:space="preserve">with some differences in emphasis. </w:t>
      </w:r>
      <w:r w:rsidR="004E7349">
        <w:t>The Australian Government affirmed:</w:t>
      </w:r>
    </w:p>
    <w:p w14:paraId="5998C120" w14:textId="222E13C8" w:rsidR="004E7349" w:rsidRDefault="004E7349" w:rsidP="004E7349">
      <w:pPr>
        <w:pStyle w:val="Quote"/>
      </w:pPr>
      <w:r w:rsidRPr="004E7349">
        <w:t>As reflected in the National Agreement, key functions of the performance reporting include the provision of publicly available, regular and transparent information to enhance accountability across the Partnership.</w:t>
      </w:r>
      <w:r w:rsidR="000C0D43" w:rsidRPr="000C0D43">
        <w:t xml:space="preserve"> </w:t>
      </w:r>
      <w:r w:rsidR="000C0D43">
        <w:t>(NIAA, pers. comm., 6</w:t>
      </w:r>
      <w:r w:rsidR="00827859">
        <w:t> </w:t>
      </w:r>
      <w:r w:rsidR="000C0D43">
        <w:t>June 2023)</w:t>
      </w:r>
    </w:p>
    <w:p w14:paraId="19B25134" w14:textId="0AC7D1AD" w:rsidR="002520F3" w:rsidRDefault="001C4DBA" w:rsidP="002520F3">
      <w:pPr>
        <w:pStyle w:val="BodyText"/>
      </w:pPr>
      <w:r>
        <w:t>Many review parti</w:t>
      </w:r>
      <w:r w:rsidR="000B3DE3">
        <w:t xml:space="preserve">cipants </w:t>
      </w:r>
      <w:r w:rsidR="003613EC">
        <w:t>also</w:t>
      </w:r>
      <w:r w:rsidR="000B3DE3">
        <w:t xml:space="preserve"> </w:t>
      </w:r>
      <w:r w:rsidR="00D372DD">
        <w:t>stressed</w:t>
      </w:r>
      <w:r w:rsidR="000B3DE3">
        <w:t xml:space="preserve"> </w:t>
      </w:r>
      <w:r w:rsidR="005C66E8">
        <w:t xml:space="preserve">the need for regular, systematic </w:t>
      </w:r>
      <w:r w:rsidR="003232E3">
        <w:t>public</w:t>
      </w:r>
      <w:r w:rsidR="005C66E8">
        <w:t xml:space="preserve"> reporting on the </w:t>
      </w:r>
      <w:r w:rsidR="00351669">
        <w:t>P</w:t>
      </w:r>
      <w:r w:rsidR="003C2660">
        <w:t xml:space="preserve">riority </w:t>
      </w:r>
      <w:r w:rsidR="00351669">
        <w:t>R</w:t>
      </w:r>
      <w:r w:rsidR="003C2660">
        <w:t>eforms</w:t>
      </w:r>
      <w:r w:rsidR="005C66E8">
        <w:t xml:space="preserve"> and government actions </w:t>
      </w:r>
      <w:r w:rsidR="0027282E">
        <w:t>to hold</w:t>
      </w:r>
      <w:r w:rsidR="00E92A1B">
        <w:t xml:space="preserve"> governments to account</w:t>
      </w:r>
      <w:r w:rsidR="00AD0F57">
        <w:t xml:space="preserve"> </w:t>
      </w:r>
      <w:r w:rsidR="008A7D8D">
        <w:t>for progress</w:t>
      </w:r>
      <w:r w:rsidR="002520F3">
        <w:t xml:space="preserve"> </w:t>
      </w:r>
      <w:r w:rsidR="00623E3C">
        <w:t>(Australian Council of TESOL Associations, sub.</w:t>
      </w:r>
      <w:r w:rsidR="005634D7">
        <w:t> </w:t>
      </w:r>
      <w:r w:rsidR="00623E3C">
        <w:t>11, p.</w:t>
      </w:r>
      <w:r w:rsidR="005634D7">
        <w:t> </w:t>
      </w:r>
      <w:r w:rsidR="00623E3C">
        <w:t>30; The Lowitja Institute, sub.</w:t>
      </w:r>
      <w:r w:rsidR="005634D7">
        <w:t> </w:t>
      </w:r>
      <w:r w:rsidR="00623E3C">
        <w:t>15, p.</w:t>
      </w:r>
      <w:r w:rsidR="005634D7">
        <w:t> </w:t>
      </w:r>
      <w:r w:rsidR="00623E3C">
        <w:t xml:space="preserve">7; </w:t>
      </w:r>
      <w:r w:rsidR="00623E3C">
        <w:rPr>
          <w:rFonts w:ascii="Arial" w:hAnsi="Arial" w:cs="Arial"/>
        </w:rPr>
        <w:t>Public Health Association of Australia, sub.</w:t>
      </w:r>
      <w:r w:rsidR="00E025FD">
        <w:rPr>
          <w:rFonts w:ascii="Arial" w:hAnsi="Arial" w:cs="Arial"/>
        </w:rPr>
        <w:t> </w:t>
      </w:r>
      <w:r w:rsidR="00623E3C">
        <w:rPr>
          <w:rFonts w:ascii="Arial" w:hAnsi="Arial" w:cs="Arial"/>
        </w:rPr>
        <w:t>16, p.</w:t>
      </w:r>
      <w:r w:rsidR="005634D7">
        <w:rPr>
          <w:rFonts w:ascii="Arial" w:hAnsi="Arial" w:cs="Arial"/>
        </w:rPr>
        <w:t> </w:t>
      </w:r>
      <w:r w:rsidR="00623E3C">
        <w:rPr>
          <w:rFonts w:ascii="Arial" w:hAnsi="Arial" w:cs="Arial"/>
        </w:rPr>
        <w:t>1; National Health Leadership Forum, sub.</w:t>
      </w:r>
      <w:r w:rsidR="005634D7">
        <w:rPr>
          <w:rFonts w:ascii="Arial" w:hAnsi="Arial" w:cs="Arial"/>
        </w:rPr>
        <w:t> </w:t>
      </w:r>
      <w:r w:rsidR="00623E3C">
        <w:rPr>
          <w:rFonts w:ascii="Arial" w:hAnsi="Arial" w:cs="Arial"/>
        </w:rPr>
        <w:t>19, p.</w:t>
      </w:r>
      <w:r w:rsidR="005634D7">
        <w:rPr>
          <w:rFonts w:ascii="Arial" w:hAnsi="Arial" w:cs="Arial"/>
        </w:rPr>
        <w:t> </w:t>
      </w:r>
      <w:r w:rsidR="00623E3C">
        <w:rPr>
          <w:rFonts w:ascii="Arial" w:hAnsi="Arial" w:cs="Arial"/>
        </w:rPr>
        <w:t>4</w:t>
      </w:r>
      <w:r w:rsidR="00623E3C">
        <w:t xml:space="preserve">). </w:t>
      </w:r>
      <w:r w:rsidR="002520F3">
        <w:t xml:space="preserve">For example, the Close the Gap Campaign </w:t>
      </w:r>
      <w:r w:rsidR="004D7901">
        <w:t>highlighted</w:t>
      </w:r>
      <w:r w:rsidR="002520F3">
        <w:t xml:space="preserve"> the ‘</w:t>
      </w:r>
      <w:r w:rsidR="002520F3" w:rsidRPr="005E0A3C">
        <w:t>need to focus on the reform priorities as the foundational measures</w:t>
      </w:r>
      <w:r w:rsidR="002520F3">
        <w:t xml:space="preserve">’ and </w:t>
      </w:r>
      <w:r w:rsidR="00D372DD">
        <w:t>emphasised</w:t>
      </w:r>
      <w:r w:rsidR="002520F3">
        <w:t>:</w:t>
      </w:r>
    </w:p>
    <w:p w14:paraId="68E1FA46" w14:textId="2F6EBC96" w:rsidR="002520F3" w:rsidRDefault="002520F3" w:rsidP="002520F3">
      <w:pPr>
        <w:pStyle w:val="Quote"/>
      </w:pPr>
      <w:r>
        <w:t>We need to see action across the Priority Reform areas and other key frameworks, such as the National Anti</w:t>
      </w:r>
      <w:r w:rsidR="00827859">
        <w:noBreakHyphen/>
      </w:r>
      <w:r>
        <w:t>racism Framework, to ensure there is a robust evaluation framework that holds each jurisdiction to account on making genuine progress on their commitment to transformation (sub.</w:t>
      </w:r>
      <w:r w:rsidR="003471C0">
        <w:t> </w:t>
      </w:r>
      <w:r>
        <w:t>17, p.</w:t>
      </w:r>
      <w:r w:rsidR="005634D7">
        <w:t> </w:t>
      </w:r>
      <w:r w:rsidR="002131B6">
        <w:t>3</w:t>
      </w:r>
      <w:r>
        <w:t>).</w:t>
      </w:r>
    </w:p>
    <w:p w14:paraId="4639412B" w14:textId="1AF01CD7" w:rsidR="00D018CF" w:rsidRDefault="002520F3" w:rsidP="00803D8A">
      <w:pPr>
        <w:pStyle w:val="BodyText"/>
      </w:pPr>
      <w:r>
        <w:t>I</w:t>
      </w:r>
      <w:r w:rsidR="00C968D7">
        <w:t>n addition to enabling public transparency</w:t>
      </w:r>
      <w:r w:rsidR="002A25DA">
        <w:t xml:space="preserve">, the Agreement </w:t>
      </w:r>
      <w:r w:rsidR="00835C61">
        <w:t>establishe</w:t>
      </w:r>
      <w:r w:rsidR="00416FD9">
        <w:t>s</w:t>
      </w:r>
      <w:r w:rsidR="002A25DA">
        <w:t xml:space="preserve"> the</w:t>
      </w:r>
      <w:r w:rsidR="00C968D7">
        <w:t xml:space="preserve"> </w:t>
      </w:r>
      <w:r w:rsidR="00835C61">
        <w:t xml:space="preserve">role of performance reporting in </w:t>
      </w:r>
      <w:r w:rsidR="00835C61" w:rsidRPr="00416FD9">
        <w:rPr>
          <w:b/>
        </w:rPr>
        <w:t xml:space="preserve">driving jurisdictional </w:t>
      </w:r>
      <w:r w:rsidR="008E186A">
        <w:rPr>
          <w:b/>
          <w:bCs/>
        </w:rPr>
        <w:t>effort</w:t>
      </w:r>
      <w:r w:rsidR="008C23C6">
        <w:t xml:space="preserve"> through </w:t>
      </w:r>
      <w:r w:rsidR="00AA0F9A">
        <w:t>review and response mechanisms</w:t>
      </w:r>
      <w:r w:rsidR="00835C61">
        <w:t xml:space="preserve">. </w:t>
      </w:r>
      <w:r w:rsidR="00AB057C">
        <w:t xml:space="preserve">Specifically, </w:t>
      </w:r>
      <w:r w:rsidR="0027726D">
        <w:t xml:space="preserve">if </w:t>
      </w:r>
      <w:r w:rsidR="008377C2">
        <w:t>a three</w:t>
      </w:r>
      <w:r w:rsidR="00827859">
        <w:noBreakHyphen/>
      </w:r>
      <w:r w:rsidR="008377C2">
        <w:t xml:space="preserve">yearly review </w:t>
      </w:r>
      <w:r w:rsidR="00810A80">
        <w:t>identifie</w:t>
      </w:r>
      <w:r w:rsidR="00240744">
        <w:t>s</w:t>
      </w:r>
      <w:r w:rsidR="00810A80">
        <w:t xml:space="preserve"> that a target is off</w:t>
      </w:r>
      <w:r w:rsidR="00827859">
        <w:noBreakHyphen/>
      </w:r>
      <w:r w:rsidR="00810A80">
        <w:t>track</w:t>
      </w:r>
      <w:r w:rsidR="00F93620">
        <w:t xml:space="preserve">, actions to get the target back on track must be included in </w:t>
      </w:r>
      <w:r w:rsidR="000420F1">
        <w:t>j</w:t>
      </w:r>
      <w:r w:rsidR="008E186A">
        <w:t xml:space="preserve">urisdictional </w:t>
      </w:r>
      <w:r w:rsidR="000420F1">
        <w:t>i</w:t>
      </w:r>
      <w:r w:rsidR="008E186A">
        <w:t xml:space="preserve">mplementation </w:t>
      </w:r>
      <w:r w:rsidR="000420F1">
        <w:t>p</w:t>
      </w:r>
      <w:r w:rsidR="008E186A">
        <w:t xml:space="preserve">lans (clause 91). </w:t>
      </w:r>
      <w:r w:rsidR="00AD510C">
        <w:t>The Joint Council must also</w:t>
      </w:r>
      <w:r w:rsidR="00B456CD">
        <w:t xml:space="preserve"> publicly </w:t>
      </w:r>
      <w:r w:rsidR="00AD510C">
        <w:t>respond t</w:t>
      </w:r>
      <w:r w:rsidR="00B456CD">
        <w:t>o</w:t>
      </w:r>
      <w:r w:rsidR="009A200D">
        <w:t xml:space="preserve"> reviews </w:t>
      </w:r>
      <w:r w:rsidR="009A4510">
        <w:t xml:space="preserve">with any </w:t>
      </w:r>
      <w:r w:rsidR="00C32744">
        <w:t xml:space="preserve">recommendations for </w:t>
      </w:r>
      <w:r w:rsidR="00E25CFC">
        <w:t xml:space="preserve">amendments to the </w:t>
      </w:r>
      <w:r w:rsidR="00FB47E1">
        <w:t xml:space="preserve">Agreement and comments on jurisdictional progress </w:t>
      </w:r>
      <w:r w:rsidR="009A4510">
        <w:t xml:space="preserve">and suggestions for future approaches </w:t>
      </w:r>
      <w:r w:rsidR="00FB47E1">
        <w:t>(clause</w:t>
      </w:r>
      <w:r w:rsidR="00E31BE8">
        <w:t>s</w:t>
      </w:r>
      <w:r w:rsidR="00FB47E1">
        <w:t xml:space="preserve"> </w:t>
      </w:r>
      <w:r w:rsidR="002C77B0">
        <w:t>129</w:t>
      </w:r>
      <w:r w:rsidR="00827859">
        <w:noBreakHyphen/>
      </w:r>
      <w:r w:rsidR="002C77B0">
        <w:t xml:space="preserve">130). </w:t>
      </w:r>
      <w:r w:rsidR="000606BF">
        <w:t>T</w:t>
      </w:r>
      <w:r w:rsidR="00AD44FD">
        <w:t>he</w:t>
      </w:r>
      <w:r w:rsidR="00BB0721">
        <w:t xml:space="preserve"> </w:t>
      </w:r>
      <w:r w:rsidR="00942B65">
        <w:t>p</w:t>
      </w:r>
      <w:r w:rsidR="00BB0721">
        <w:t xml:space="preserve">arties </w:t>
      </w:r>
      <w:r w:rsidR="00AD44FD">
        <w:t>are also required to</w:t>
      </w:r>
      <w:r w:rsidR="000606BF">
        <w:t xml:space="preserve"> </w:t>
      </w:r>
      <w:r w:rsidR="00AD44FD">
        <w:t>‘</w:t>
      </w:r>
      <w:r w:rsidR="001E4CF0" w:rsidRPr="001E4CF0">
        <w:t>regularly review the level of ambition of the targets</w:t>
      </w:r>
      <w:r w:rsidR="000606BF">
        <w:t xml:space="preserve">’ </w:t>
      </w:r>
      <w:r w:rsidR="00BB45D7">
        <w:t xml:space="preserve">to ensure </w:t>
      </w:r>
      <w:r w:rsidR="00D74177">
        <w:t xml:space="preserve">that </w:t>
      </w:r>
      <w:r w:rsidR="00F45510">
        <w:t>they</w:t>
      </w:r>
      <w:r w:rsidR="00F244DA">
        <w:t xml:space="preserve"> continue to</w:t>
      </w:r>
      <w:r w:rsidR="00F45510">
        <w:t xml:space="preserve"> </w:t>
      </w:r>
      <w:r w:rsidR="00937EC0">
        <w:t xml:space="preserve">reflect their </w:t>
      </w:r>
      <w:r w:rsidR="00327D39">
        <w:t>commitment to ‘</w:t>
      </w:r>
      <w:r w:rsidR="001E4CF0" w:rsidRPr="001E4CF0" w:rsidDel="00F37323">
        <w:t xml:space="preserve">stretching </w:t>
      </w:r>
      <w:r w:rsidR="001E4CF0" w:rsidRPr="001E4CF0">
        <w:t>beyond a business</w:t>
      </w:r>
      <w:r w:rsidR="00827859">
        <w:noBreakHyphen/>
      </w:r>
      <w:r w:rsidR="00B545FE" w:rsidRPr="001E4CF0">
        <w:t>as</w:t>
      </w:r>
      <w:r w:rsidR="00827859">
        <w:noBreakHyphen/>
      </w:r>
      <w:r w:rsidR="00B545FE" w:rsidRPr="001E4CF0">
        <w:t>usual</w:t>
      </w:r>
      <w:r w:rsidR="001E4CF0" w:rsidRPr="001E4CF0">
        <w:t xml:space="preserve"> approach</w:t>
      </w:r>
      <w:r w:rsidR="005D5D62">
        <w:t xml:space="preserve"> in order to accel</w:t>
      </w:r>
      <w:r w:rsidR="00592E97">
        <w:t>erate improvements in life outcomes for Aboriginal and Torres Strait Islander people</w:t>
      </w:r>
      <w:r w:rsidR="001E4CF0">
        <w:t>’ (clause 84).</w:t>
      </w:r>
    </w:p>
    <w:p w14:paraId="2D17CB29" w14:textId="3BDA5FAC" w:rsidR="008D30B6" w:rsidRPr="008D30B6" w:rsidRDefault="00645F23" w:rsidP="0006608B">
      <w:pPr>
        <w:pStyle w:val="BodyText"/>
      </w:pPr>
      <w:r>
        <w:t>Parties to the Agreement affirm</w:t>
      </w:r>
      <w:r w:rsidR="00CE446A">
        <w:t>ed</w:t>
      </w:r>
      <w:r>
        <w:t xml:space="preserve"> the role of performance monitoring in aligning </w:t>
      </w:r>
      <w:r w:rsidR="007A55BB">
        <w:t xml:space="preserve">effort across jurisdictions and their agencies. For example, </w:t>
      </w:r>
      <w:r w:rsidR="001B551A">
        <w:t xml:space="preserve">the </w:t>
      </w:r>
      <w:r w:rsidR="00504D54">
        <w:t>National Indigenous Australians Agency (</w:t>
      </w:r>
      <w:r w:rsidR="001B551A">
        <w:t>NIAA</w:t>
      </w:r>
      <w:r w:rsidR="00504D54">
        <w:t>)</w:t>
      </w:r>
      <w:r w:rsidR="001B551A">
        <w:t xml:space="preserve"> noted that performance data </w:t>
      </w:r>
      <w:r w:rsidR="00941347">
        <w:t xml:space="preserve">reported on the Closing the Gap dashboard </w:t>
      </w:r>
      <w:r w:rsidR="00011FEC">
        <w:t>is ‘</w:t>
      </w:r>
      <w:r w:rsidR="00011FEC" w:rsidRPr="00011FEC">
        <w:t xml:space="preserve">regularly discussed at </w:t>
      </w:r>
      <w:r w:rsidR="00011FEC">
        <w:t>Partnership Working Group</w:t>
      </w:r>
      <w:r w:rsidR="00011FEC" w:rsidRPr="00011FEC">
        <w:t xml:space="preserve"> and </w:t>
      </w:r>
      <w:r w:rsidR="00011FEC">
        <w:t>Joint Council</w:t>
      </w:r>
      <w:r w:rsidR="00011FEC" w:rsidRPr="00011FEC">
        <w:t xml:space="preserve"> as a means to regularly track progress and discuss emerging issues</w:t>
      </w:r>
      <w:r w:rsidR="00457116">
        <w:t>’</w:t>
      </w:r>
      <w:r w:rsidR="009451F5">
        <w:t xml:space="preserve"> (NIAA, pers. </w:t>
      </w:r>
      <w:r w:rsidR="00504D54">
        <w:t>c</w:t>
      </w:r>
      <w:r w:rsidR="009451F5">
        <w:t xml:space="preserve">omm., </w:t>
      </w:r>
      <w:r w:rsidR="002E7B72">
        <w:t>6</w:t>
      </w:r>
      <w:r w:rsidR="00504D54">
        <w:t> </w:t>
      </w:r>
      <w:r w:rsidR="002E7B72">
        <w:t>June 2023)</w:t>
      </w:r>
      <w:r w:rsidR="00011FEC" w:rsidRPr="00011FEC">
        <w:t>.</w:t>
      </w:r>
      <w:r w:rsidR="002E7B72">
        <w:t xml:space="preserve"> </w:t>
      </w:r>
      <w:r w:rsidR="00912574">
        <w:t>New South Wales has i</w:t>
      </w:r>
      <w:r w:rsidR="00476644">
        <w:t>ntroduced</w:t>
      </w:r>
      <w:r w:rsidR="00912574">
        <w:t xml:space="preserve"> a </w:t>
      </w:r>
      <w:r w:rsidR="004A78C0">
        <w:t>governance structure and reporting requirements</w:t>
      </w:r>
      <w:r w:rsidR="000D565A">
        <w:t xml:space="preserve"> that are intended</w:t>
      </w:r>
      <w:r w:rsidR="004A78C0">
        <w:t xml:space="preserve"> to ensure significant decisions on the Agreement are </w:t>
      </w:r>
      <w:r w:rsidR="00892F9F">
        <w:t xml:space="preserve">made </w:t>
      </w:r>
      <w:r w:rsidR="002A6F30">
        <w:t xml:space="preserve">in partnership </w:t>
      </w:r>
      <w:r w:rsidR="005115E5">
        <w:t xml:space="preserve">with </w:t>
      </w:r>
      <w:r w:rsidR="002A6F30">
        <w:t>the</w:t>
      </w:r>
      <w:r w:rsidR="002A6F30" w:rsidDel="005115E5">
        <w:t xml:space="preserve"> New South </w:t>
      </w:r>
      <w:r w:rsidR="00207BBF">
        <w:t>Wales Coalition of Aboriginal Peak Organisations (NSW CAPO)</w:t>
      </w:r>
      <w:r w:rsidR="00FC1E40">
        <w:t xml:space="preserve">. The </w:t>
      </w:r>
      <w:r w:rsidR="004C2F13">
        <w:t>NSW</w:t>
      </w:r>
      <w:r w:rsidR="00FC1E40">
        <w:t xml:space="preserve"> Government submitted:</w:t>
      </w:r>
      <w:r w:rsidR="00FC275E">
        <w:t xml:space="preserve"> </w:t>
      </w:r>
    </w:p>
    <w:p w14:paraId="336A4B70" w14:textId="257B4385" w:rsidR="00F3677B" w:rsidRDefault="005115E5" w:rsidP="0006608B">
      <w:pPr>
        <w:pStyle w:val="Quote"/>
        <w:keepNext/>
        <w:widowControl w:val="0"/>
      </w:pPr>
      <w:r>
        <w:t>To date, q</w:t>
      </w:r>
      <w:r w:rsidR="00F3677B">
        <w:t xml:space="preserve">uarterly ministerial meetings are held with all responsible NSW Government ministers to regularly report on progress. The ministerial meetings are attended by key stakeholders including </w:t>
      </w:r>
      <w:r w:rsidR="00F3677B">
        <w:lastRenderedPageBreak/>
        <w:t>senior executives from the NSW Government, NSW CAPO leads and relevant ministers, to:</w:t>
      </w:r>
    </w:p>
    <w:p w14:paraId="0FDCC655" w14:textId="0D30A6F0" w:rsidR="00F3677B" w:rsidRDefault="00F3677B" w:rsidP="00A25AF6">
      <w:pPr>
        <w:pStyle w:val="QuoteBullet"/>
      </w:pPr>
      <w:r>
        <w:t>discuss progress and delivery against commitments in the NSW Implementation Plans</w:t>
      </w:r>
    </w:p>
    <w:p w14:paraId="23B158AA" w14:textId="618A40B6" w:rsidR="00F3677B" w:rsidRDefault="00F3677B" w:rsidP="00A25AF6">
      <w:pPr>
        <w:pStyle w:val="QuoteBullet"/>
      </w:pPr>
      <w:r>
        <w:t>explore strategic opportunities and unlock challenges to achieving Priority Reforms and socio</w:t>
      </w:r>
      <w:r w:rsidR="00FC1E40">
        <w:noBreakHyphen/>
      </w:r>
      <w:r>
        <w:t>economic outcome targets across government.</w:t>
      </w:r>
    </w:p>
    <w:p w14:paraId="1C7E8564" w14:textId="7907C455" w:rsidR="00F3677B" w:rsidRDefault="00F3677B" w:rsidP="00FC275E">
      <w:pPr>
        <w:pStyle w:val="Quote"/>
      </w:pPr>
      <w:r>
        <w:t>The meetings further act as a reporting mechanism where government departments are held accountable for their respective delivery responsibilities. NSW CAPO representatives are at the table alongside ministers and senior public servants, signalling and embedding strong accountability and commitment to working in partnership</w:t>
      </w:r>
      <w:r w:rsidR="00D84B04">
        <w:t xml:space="preserve"> (</w:t>
      </w:r>
      <w:r w:rsidR="004C2F13">
        <w:t>NSW</w:t>
      </w:r>
      <w:r w:rsidR="00CC5B3F">
        <w:t xml:space="preserve"> </w:t>
      </w:r>
      <w:r w:rsidR="005B54C3">
        <w:t>G</w:t>
      </w:r>
      <w:r w:rsidR="001E0C3E">
        <w:t>overnment, sub.</w:t>
      </w:r>
      <w:r w:rsidR="002F6ADD">
        <w:t> </w:t>
      </w:r>
      <w:r w:rsidR="00A313FB">
        <w:t>32</w:t>
      </w:r>
      <w:r w:rsidR="00267F5F">
        <w:t>,</w:t>
      </w:r>
      <w:r w:rsidR="00A313FB">
        <w:t xml:space="preserve"> p.</w:t>
      </w:r>
      <w:r w:rsidR="005634D7">
        <w:t> </w:t>
      </w:r>
      <w:r w:rsidR="00A313FB">
        <w:t>10).</w:t>
      </w:r>
    </w:p>
    <w:p w14:paraId="0D87546C" w14:textId="6F118BAD" w:rsidR="008B3764" w:rsidRDefault="00DF5CB2" w:rsidP="00FE60BB">
      <w:pPr>
        <w:pStyle w:val="BodyText"/>
      </w:pPr>
      <w:r>
        <w:t>The Agreement also speci</w:t>
      </w:r>
      <w:r w:rsidR="00A21E7B">
        <w:t>fi</w:t>
      </w:r>
      <w:r>
        <w:t xml:space="preserve">es that as </w:t>
      </w:r>
      <w:r w:rsidR="00C3621B">
        <w:t xml:space="preserve">part of its role in driving effort, performance monitoring should </w:t>
      </w:r>
      <w:r w:rsidRPr="00076AE2">
        <w:rPr>
          <w:b/>
        </w:rPr>
        <w:t xml:space="preserve">provide an understanding of progress for </w:t>
      </w:r>
      <w:r w:rsidR="00D96359" w:rsidRPr="00076AE2">
        <w:rPr>
          <w:b/>
        </w:rPr>
        <w:t>different Aboriginal and Torres Strait Islander population groups</w:t>
      </w:r>
      <w:r w:rsidR="002271B8">
        <w:t xml:space="preserve"> </w:t>
      </w:r>
      <w:r w:rsidR="00785F07">
        <w:t xml:space="preserve">to identify ‘where greater effort is needed’ (clause 82d). </w:t>
      </w:r>
      <w:r w:rsidR="00D162FF">
        <w:t xml:space="preserve">This includes disaggregation by demographic groups and geographical areas (clause 82d) and </w:t>
      </w:r>
      <w:r w:rsidR="001E3C35">
        <w:t xml:space="preserve">by </w:t>
      </w:r>
      <w:r w:rsidR="0045556C">
        <w:t>groups ‘likely to experience greater levels of disadvantage’</w:t>
      </w:r>
      <w:r w:rsidR="005B54C3">
        <w:t>,</w:t>
      </w:r>
      <w:r w:rsidR="001E3C35">
        <w:t xml:space="preserve"> including </w:t>
      </w:r>
      <w:r w:rsidR="00016564">
        <w:t>stolen generation survivors, people with disability, and people identifying as LGBTQI+</w:t>
      </w:r>
      <w:r w:rsidR="00076AE2">
        <w:t xml:space="preserve"> (clause 93). </w:t>
      </w:r>
      <w:r w:rsidR="008C05B6">
        <w:t>Many</w:t>
      </w:r>
      <w:r w:rsidR="008C05B6" w:rsidDel="00B01C05">
        <w:t xml:space="preserve"> </w:t>
      </w:r>
      <w:r w:rsidR="00B01C05">
        <w:t>review participants</w:t>
      </w:r>
      <w:r w:rsidR="008C05B6">
        <w:t xml:space="preserve"> affirmed the </w:t>
      </w:r>
      <w:r w:rsidR="00426BA3">
        <w:t>importance of</w:t>
      </w:r>
      <w:r w:rsidR="008C05B6">
        <w:t xml:space="preserve"> geographic disaggregation</w:t>
      </w:r>
      <w:r w:rsidR="00F1637E">
        <w:t xml:space="preserve"> to </w:t>
      </w:r>
      <w:r w:rsidR="00614149">
        <w:t>reveal</w:t>
      </w:r>
      <w:r w:rsidR="00F1637E">
        <w:t xml:space="preserve"> </w:t>
      </w:r>
      <w:r w:rsidR="00AA2F2C">
        <w:t>variations in action and progress</w:t>
      </w:r>
      <w:r w:rsidR="009E4300">
        <w:t xml:space="preserve"> (</w:t>
      </w:r>
      <w:r w:rsidR="009E4300">
        <w:rPr>
          <w:rFonts w:ascii="Arial" w:hAnsi="Arial" w:cs="Arial"/>
        </w:rPr>
        <w:t>Torres Shire Council, sub.</w:t>
      </w:r>
      <w:r w:rsidR="005634D7">
        <w:rPr>
          <w:rFonts w:ascii="Arial" w:hAnsi="Arial" w:cs="Arial"/>
        </w:rPr>
        <w:t> </w:t>
      </w:r>
      <w:r w:rsidR="009E4300">
        <w:rPr>
          <w:rFonts w:ascii="Arial" w:hAnsi="Arial" w:cs="Arial"/>
        </w:rPr>
        <w:t>6, p.</w:t>
      </w:r>
      <w:r w:rsidR="005634D7">
        <w:rPr>
          <w:rFonts w:ascii="Arial" w:hAnsi="Arial" w:cs="Arial"/>
        </w:rPr>
        <w:t> </w:t>
      </w:r>
      <w:r w:rsidR="009E4300">
        <w:rPr>
          <w:rFonts w:ascii="Arial" w:hAnsi="Arial" w:cs="Arial"/>
        </w:rPr>
        <w:t>4; Aboriginal Health Council of Western Australia, sub.</w:t>
      </w:r>
      <w:r w:rsidR="005634D7">
        <w:rPr>
          <w:rFonts w:ascii="Arial" w:hAnsi="Arial" w:cs="Arial"/>
        </w:rPr>
        <w:t> </w:t>
      </w:r>
      <w:r w:rsidR="009E4300">
        <w:rPr>
          <w:rFonts w:ascii="Arial" w:hAnsi="Arial" w:cs="Arial"/>
        </w:rPr>
        <w:t>22, p.</w:t>
      </w:r>
      <w:r w:rsidR="00FF4E54">
        <w:rPr>
          <w:rFonts w:ascii="Arial" w:hAnsi="Arial" w:cs="Arial"/>
        </w:rPr>
        <w:t> </w:t>
      </w:r>
      <w:r w:rsidR="009E4300">
        <w:rPr>
          <w:rFonts w:ascii="Arial" w:hAnsi="Arial" w:cs="Arial"/>
        </w:rPr>
        <w:t>3; Federation of Victorian Traditional Owner Corporations, sub.</w:t>
      </w:r>
      <w:r w:rsidR="005634D7">
        <w:rPr>
          <w:rFonts w:ascii="Arial" w:hAnsi="Arial" w:cs="Arial"/>
        </w:rPr>
        <w:t> </w:t>
      </w:r>
      <w:r w:rsidR="009E4300">
        <w:rPr>
          <w:rFonts w:ascii="Arial" w:hAnsi="Arial" w:cs="Arial"/>
        </w:rPr>
        <w:t>24, p.</w:t>
      </w:r>
      <w:r w:rsidR="005634D7">
        <w:rPr>
          <w:rFonts w:ascii="Arial" w:hAnsi="Arial" w:cs="Arial"/>
        </w:rPr>
        <w:t> </w:t>
      </w:r>
      <w:r w:rsidR="009E4300">
        <w:rPr>
          <w:rFonts w:ascii="Arial" w:hAnsi="Arial" w:cs="Arial"/>
        </w:rPr>
        <w:t>5;</w:t>
      </w:r>
      <w:r w:rsidR="009E4300" w:rsidDel="00754853">
        <w:rPr>
          <w:rFonts w:ascii="Arial" w:hAnsi="Arial" w:cs="Arial"/>
        </w:rPr>
        <w:t xml:space="preserve"> </w:t>
      </w:r>
      <w:r w:rsidR="009E4300">
        <w:rPr>
          <w:rFonts w:ascii="Arial" w:hAnsi="Arial" w:cs="Arial"/>
        </w:rPr>
        <w:t>Arthur, sub.</w:t>
      </w:r>
      <w:r w:rsidR="005634D7">
        <w:rPr>
          <w:rFonts w:ascii="Arial" w:hAnsi="Arial" w:cs="Arial"/>
        </w:rPr>
        <w:t> </w:t>
      </w:r>
      <w:r w:rsidR="009E4300">
        <w:rPr>
          <w:rFonts w:ascii="Arial" w:hAnsi="Arial" w:cs="Arial"/>
        </w:rPr>
        <w:t>26, p.</w:t>
      </w:r>
      <w:r w:rsidR="005634D7">
        <w:rPr>
          <w:rFonts w:ascii="Arial" w:hAnsi="Arial" w:cs="Arial"/>
        </w:rPr>
        <w:t> </w:t>
      </w:r>
      <w:r w:rsidR="009E4300">
        <w:rPr>
          <w:rFonts w:ascii="Arial" w:hAnsi="Arial" w:cs="Arial"/>
        </w:rPr>
        <w:t>2</w:t>
      </w:r>
      <w:r w:rsidR="009E4300">
        <w:t>).</w:t>
      </w:r>
      <w:r w:rsidR="003E1F0D">
        <w:t xml:space="preserve"> </w:t>
      </w:r>
      <w:r w:rsidR="00134474">
        <w:t>However,</w:t>
      </w:r>
      <w:r w:rsidR="00514758">
        <w:t xml:space="preserve"> </w:t>
      </w:r>
      <w:r w:rsidR="006E06A2">
        <w:t>regarding</w:t>
      </w:r>
      <w:r w:rsidR="002639D3">
        <w:t xml:space="preserve"> disaggregating data by disability</w:t>
      </w:r>
      <w:r w:rsidR="006E06A2">
        <w:t xml:space="preserve"> status</w:t>
      </w:r>
      <w:r w:rsidR="002639D3">
        <w:t>, the</w:t>
      </w:r>
      <w:r w:rsidR="0055189B">
        <w:t xml:space="preserve"> First Peoples Disability Network</w:t>
      </w:r>
      <w:r w:rsidR="00144442">
        <w:t xml:space="preserve"> cautioned that while </w:t>
      </w:r>
      <w:r w:rsidR="00DF4F19">
        <w:t xml:space="preserve">this </w:t>
      </w:r>
      <w:r w:rsidR="00AA7341">
        <w:t xml:space="preserve">data </w:t>
      </w:r>
      <w:r w:rsidR="00DF4F19">
        <w:t>is</w:t>
      </w:r>
      <w:r w:rsidR="004C71DB">
        <w:t xml:space="preserve"> important, </w:t>
      </w:r>
      <w:r w:rsidR="003175D5">
        <w:t>representation of people with disability in governance</w:t>
      </w:r>
      <w:r w:rsidR="005618F7">
        <w:t xml:space="preserve"> is </w:t>
      </w:r>
      <w:r w:rsidR="007365D3">
        <w:t>necessary to ensure</w:t>
      </w:r>
      <w:r w:rsidR="005618F7">
        <w:t xml:space="preserve"> data </w:t>
      </w:r>
      <w:r w:rsidR="009746FA">
        <w:t>is</w:t>
      </w:r>
      <w:r w:rsidR="00525D6F">
        <w:t xml:space="preserve"> </w:t>
      </w:r>
      <w:r w:rsidR="008078A6">
        <w:t xml:space="preserve">First Nations </w:t>
      </w:r>
      <w:r w:rsidR="006E06A2">
        <w:t>d</w:t>
      </w:r>
      <w:r w:rsidR="008078A6">
        <w:t>isability</w:t>
      </w:r>
      <w:r w:rsidR="00827859">
        <w:noBreakHyphen/>
      </w:r>
      <w:r w:rsidR="008078A6">
        <w:t xml:space="preserve">centred and </w:t>
      </w:r>
      <w:r w:rsidR="00525D6F">
        <w:t>not</w:t>
      </w:r>
      <w:r w:rsidR="00E6264B">
        <w:t xml:space="preserve"> </w:t>
      </w:r>
      <w:r w:rsidR="00FD0BF9">
        <w:t>misinterpreted or</w:t>
      </w:r>
      <w:r w:rsidR="00521B08">
        <w:t xml:space="preserve"> </w:t>
      </w:r>
      <w:r w:rsidR="00225C8E">
        <w:t>misused</w:t>
      </w:r>
      <w:r w:rsidR="00521B08">
        <w:t xml:space="preserve"> (</w:t>
      </w:r>
      <w:r w:rsidR="00881560">
        <w:t xml:space="preserve">First Peoples </w:t>
      </w:r>
      <w:r w:rsidR="0069295F">
        <w:t>Disability Network</w:t>
      </w:r>
      <w:r w:rsidR="00881560">
        <w:t xml:space="preserve">, pers. </w:t>
      </w:r>
      <w:r w:rsidR="006E06A2">
        <w:t>c</w:t>
      </w:r>
      <w:r w:rsidR="00881560">
        <w:t xml:space="preserve">omm., </w:t>
      </w:r>
      <w:r w:rsidR="009C6903">
        <w:t>3</w:t>
      </w:r>
      <w:r w:rsidR="00827859">
        <w:t> </w:t>
      </w:r>
      <w:r w:rsidR="00881560">
        <w:t>J</w:t>
      </w:r>
      <w:r w:rsidR="009C6903">
        <w:t>uly</w:t>
      </w:r>
      <w:r w:rsidR="00881560">
        <w:t xml:space="preserve"> 2023</w:t>
      </w:r>
      <w:r w:rsidR="00521B08">
        <w:t>).</w:t>
      </w:r>
    </w:p>
    <w:p w14:paraId="47414A9D" w14:textId="660BC3C9" w:rsidR="007C30B8" w:rsidRDefault="007C30B8" w:rsidP="007C30B8">
      <w:pPr>
        <w:pStyle w:val="Heading4"/>
      </w:pPr>
      <w:r>
        <w:t xml:space="preserve">Prioritisation of culture in performance monitoring could play a role in shifting </w:t>
      </w:r>
      <w:r w:rsidR="00EE20A2">
        <w:t xml:space="preserve">policy </w:t>
      </w:r>
      <w:r>
        <w:t>narratives about Aboriginal and Torres Strait Islander people</w:t>
      </w:r>
    </w:p>
    <w:p w14:paraId="2ED8390F" w14:textId="0786DBA4" w:rsidR="007C30B8" w:rsidRPr="00697212" w:rsidRDefault="007C30B8" w:rsidP="007C30B8">
      <w:pPr>
        <w:pStyle w:val="BodyText"/>
        <w:rPr>
          <w:spacing w:val="-4"/>
        </w:rPr>
      </w:pPr>
      <w:r w:rsidRPr="00697212">
        <w:rPr>
          <w:spacing w:val="-4"/>
        </w:rPr>
        <w:t xml:space="preserve">The Agreement frames performance monitoring in the context of the </w:t>
      </w:r>
      <w:r w:rsidR="00451FF3" w:rsidRPr="00697212">
        <w:rPr>
          <w:spacing w:val="-4"/>
        </w:rPr>
        <w:t>p</w:t>
      </w:r>
      <w:r w:rsidRPr="00697212">
        <w:rPr>
          <w:spacing w:val="-4"/>
        </w:rPr>
        <w:t>arties</w:t>
      </w:r>
      <w:r w:rsidR="00451FF3" w:rsidRPr="00697212">
        <w:rPr>
          <w:spacing w:val="-4"/>
        </w:rPr>
        <w:t>’</w:t>
      </w:r>
      <w:r w:rsidRPr="00697212">
        <w:rPr>
          <w:spacing w:val="-4"/>
        </w:rPr>
        <w:t xml:space="preserve"> overarching commitment to </w:t>
      </w:r>
      <w:r w:rsidRPr="00697212">
        <w:rPr>
          <w:b/>
          <w:spacing w:val="-4"/>
        </w:rPr>
        <w:t xml:space="preserve">prioritising Aboriginal and Torres Strait Islander cultures </w:t>
      </w:r>
      <w:r w:rsidRPr="00697212">
        <w:rPr>
          <w:bCs/>
          <w:spacing w:val="-4"/>
        </w:rPr>
        <w:t>(</w:t>
      </w:r>
      <w:r w:rsidR="00451FF3" w:rsidRPr="00697212">
        <w:rPr>
          <w:bCs/>
          <w:spacing w:val="-4"/>
        </w:rPr>
        <w:t>chapter</w:t>
      </w:r>
      <w:r w:rsidR="005634D7" w:rsidRPr="00697212">
        <w:rPr>
          <w:bCs/>
          <w:spacing w:val="-4"/>
        </w:rPr>
        <w:t> </w:t>
      </w:r>
      <w:r w:rsidRPr="00697212">
        <w:rPr>
          <w:bCs/>
          <w:spacing w:val="-4"/>
        </w:rPr>
        <w:t xml:space="preserve">5). This is encapsulated in </w:t>
      </w:r>
      <w:r w:rsidR="005A4ED7" w:rsidRPr="00697212">
        <w:rPr>
          <w:bCs/>
          <w:spacing w:val="-4"/>
        </w:rPr>
        <w:t>c</w:t>
      </w:r>
      <w:r w:rsidRPr="00697212">
        <w:rPr>
          <w:bCs/>
          <w:spacing w:val="-4"/>
        </w:rPr>
        <w:t>lause 21, which states that all activities under the Agreement are to be implemented in a way that ‘takes full account of, promotes and does not diminish in any way, the cultures of Aboriginal and Torres Strait Islander people’</w:t>
      </w:r>
      <w:r w:rsidR="007C1083" w:rsidRPr="00697212">
        <w:rPr>
          <w:bCs/>
          <w:spacing w:val="-4"/>
        </w:rPr>
        <w:t>.</w:t>
      </w:r>
      <w:r w:rsidRPr="00697212">
        <w:rPr>
          <w:bCs/>
          <w:spacing w:val="-4"/>
        </w:rPr>
        <w:t xml:space="preserve"> This is to be demonstrated through </w:t>
      </w:r>
      <w:r w:rsidR="00574F21" w:rsidRPr="00697212">
        <w:rPr>
          <w:bCs/>
          <w:spacing w:val="-4"/>
        </w:rPr>
        <w:t>i</w:t>
      </w:r>
      <w:r w:rsidRPr="00697212">
        <w:rPr>
          <w:bCs/>
          <w:spacing w:val="-4"/>
        </w:rPr>
        <w:t xml:space="preserve">mplementation </w:t>
      </w:r>
      <w:r w:rsidR="00574F21" w:rsidRPr="00697212">
        <w:rPr>
          <w:bCs/>
          <w:spacing w:val="-4"/>
        </w:rPr>
        <w:t>p</w:t>
      </w:r>
      <w:r w:rsidRPr="00697212">
        <w:rPr>
          <w:bCs/>
          <w:spacing w:val="-4"/>
        </w:rPr>
        <w:t xml:space="preserve">lans (clause </w:t>
      </w:r>
      <w:r w:rsidR="00707C5C" w:rsidRPr="00697212">
        <w:rPr>
          <w:bCs/>
          <w:spacing w:val="-4"/>
        </w:rPr>
        <w:t>107</w:t>
      </w:r>
      <w:r w:rsidRPr="00697212">
        <w:rPr>
          <w:bCs/>
          <w:spacing w:val="-4"/>
        </w:rPr>
        <w:t xml:space="preserve">), the </w:t>
      </w:r>
      <w:r w:rsidR="000911E2" w:rsidRPr="00697212">
        <w:rPr>
          <w:bCs/>
          <w:spacing w:val="-4"/>
        </w:rPr>
        <w:t>Priority Reform</w:t>
      </w:r>
      <w:r w:rsidRPr="00697212">
        <w:rPr>
          <w:bCs/>
          <w:spacing w:val="-4"/>
        </w:rPr>
        <w:t xml:space="preserve">s (clause 22), and new outcome areas, targets and indicators ‘to support the cultural wellbeing of Aboriginal and Torres Strait Islander people in areas of languages; cultural practices; land and waters; and access to culturally relevant communications’ (clause 23). The Agreement also commits the parties to developing appropriate contextual indicators and information on the cultural determinants of health and wellbeing to support reporting on </w:t>
      </w:r>
      <w:r w:rsidR="006D2FDF" w:rsidRPr="00697212">
        <w:rPr>
          <w:bCs/>
          <w:spacing w:val="-4"/>
        </w:rPr>
        <w:t xml:space="preserve">the </w:t>
      </w:r>
      <w:r w:rsidRPr="00697212">
        <w:rPr>
          <w:bCs/>
          <w:spacing w:val="-4"/>
        </w:rPr>
        <w:t xml:space="preserve">targets (clause 94). </w:t>
      </w:r>
    </w:p>
    <w:p w14:paraId="3811CDFD" w14:textId="673FC393" w:rsidR="007C30B8" w:rsidRDefault="00E77706" w:rsidP="00081C5E">
      <w:pPr>
        <w:pStyle w:val="BodyText"/>
        <w:keepNext/>
      </w:pPr>
      <w:r>
        <w:t>Review participants</w:t>
      </w:r>
      <w:r w:rsidR="007C30B8">
        <w:t xml:space="preserve"> indicate</w:t>
      </w:r>
      <w:r>
        <w:t>d</w:t>
      </w:r>
      <w:r w:rsidR="007C30B8">
        <w:t xml:space="preserve"> a role for performance monitoring in supporting a paradigm shift in </w:t>
      </w:r>
      <w:r w:rsidR="00756CBD">
        <w:t xml:space="preserve">policy </w:t>
      </w:r>
      <w:r w:rsidR="007C30B8">
        <w:t xml:space="preserve">narratives about Aboriginal and Torres Strait Islander people. This shift moves </w:t>
      </w:r>
      <w:r w:rsidR="006F67F0">
        <w:t>policy</w:t>
      </w:r>
      <w:r w:rsidR="007C30B8">
        <w:t xml:space="preserve"> discourse away from </w:t>
      </w:r>
      <w:r w:rsidR="006F67F0">
        <w:t>framing</w:t>
      </w:r>
      <w:r w:rsidR="007C30B8">
        <w:t xml:space="preserve"> Aboriginal and Torres Strait Islander people as a disadvantaged minority</w:t>
      </w:r>
      <w:r w:rsidR="0024254C">
        <w:t xml:space="preserve"> </w:t>
      </w:r>
      <w:r w:rsidR="007C30B8">
        <w:t>towards rights</w:t>
      </w:r>
      <w:r w:rsidR="00827859">
        <w:noBreakHyphen/>
      </w:r>
      <w:r w:rsidR="007C30B8">
        <w:t>bearing people</w:t>
      </w:r>
      <w:r w:rsidR="00696571">
        <w:t>s</w:t>
      </w:r>
      <w:r w:rsidR="007C30B8">
        <w:t xml:space="preserve"> with strong connections to diverse cultures, </w:t>
      </w:r>
      <w:r w:rsidR="00A11A4C">
        <w:t>C</w:t>
      </w:r>
      <w:r w:rsidR="007C30B8">
        <w:t>ountries, and communities that have withstood current and historical institutional racism</w:t>
      </w:r>
      <w:r w:rsidR="003B3017">
        <w:t>, as discussed in box</w:t>
      </w:r>
      <w:r w:rsidR="005634D7">
        <w:t> </w:t>
      </w:r>
      <w:r w:rsidR="003B3017">
        <w:t>3</w:t>
      </w:r>
      <w:r w:rsidR="00A47C87">
        <w:t xml:space="preserve"> </w:t>
      </w:r>
      <w:r w:rsidR="00A47C87" w:rsidRPr="21C9986D">
        <w:rPr>
          <w:rFonts w:ascii="Arial" w:hAnsi="Arial" w:cs="Arial"/>
        </w:rPr>
        <w:t>(Fogarty et al. 2018, p. 30; Kukutai and Walter 2015, p. 321)</w:t>
      </w:r>
      <w:r w:rsidR="007C30B8">
        <w:t xml:space="preserve">. </w:t>
      </w:r>
      <w:r w:rsidR="00E610F1">
        <w:t>Under this paradigm,</w:t>
      </w:r>
      <w:r w:rsidR="007C30B8">
        <w:t xml:space="preserve"> Aboriginal and Torres Strait Islander knowledges and perspectives </w:t>
      </w:r>
      <w:r w:rsidR="00745887">
        <w:t>are valued and privileged</w:t>
      </w:r>
      <w:r w:rsidR="007C30B8">
        <w:t xml:space="preserve"> in the design, implementation and evaluation of policies and programs </w:t>
      </w:r>
      <w:r w:rsidR="00F33392" w:rsidRPr="00F33392">
        <w:rPr>
          <w:rFonts w:ascii="Arial" w:hAnsi="Arial" w:cs="Arial"/>
          <w:szCs w:val="24"/>
        </w:rPr>
        <w:t>(Parter et al. 2021, p. 3)</w:t>
      </w:r>
      <w:r w:rsidR="007C30B8">
        <w:t xml:space="preserve">. In </w:t>
      </w:r>
      <w:r w:rsidR="008D4F90">
        <w:t xml:space="preserve">its </w:t>
      </w:r>
      <w:r w:rsidR="007C30B8">
        <w:t>submission,</w:t>
      </w:r>
      <w:r w:rsidR="0042032E">
        <w:t xml:space="preserve"> the</w:t>
      </w:r>
      <w:r w:rsidR="007C30B8">
        <w:t xml:space="preserve"> Lowitja </w:t>
      </w:r>
      <w:r w:rsidR="0042032E">
        <w:t>Institute</w:t>
      </w:r>
      <w:r w:rsidR="007C30B8">
        <w:t xml:space="preserve"> explained:</w:t>
      </w:r>
    </w:p>
    <w:p w14:paraId="1E183F13" w14:textId="1BDD2B06" w:rsidR="007C30B8" w:rsidRDefault="007C30B8" w:rsidP="007C30B8">
      <w:pPr>
        <w:pStyle w:val="Quote"/>
      </w:pPr>
      <w:r>
        <w:t>Data is a powerful tool. Data can be used to hold governments and the community</w:t>
      </w:r>
      <w:r w:rsidR="00827859">
        <w:noBreakHyphen/>
      </w:r>
      <w:r>
        <w:t>controlled sector to account on actions under the National Agreement, however there is a risk that this can be decontextualised and misused if data sovereignty and data governance mechanisms are not in place. The oversupply of deficit</w:t>
      </w:r>
      <w:r w:rsidR="00827859">
        <w:noBreakHyphen/>
      </w:r>
      <w:r>
        <w:t>based data has created a discourse that see</w:t>
      </w:r>
      <w:r w:rsidR="00936CDB">
        <w:t>s</w:t>
      </w:r>
      <w:r>
        <w:t xml:space="preserve"> Aboriginal and </w:t>
      </w:r>
      <w:r>
        <w:lastRenderedPageBreak/>
        <w:t>Torres Strait Islander peoples presented as a problem, or as wholly responsible for inequities. Data, when used properly, can be a powerful tool in changing this discourse</w:t>
      </w:r>
      <w:r w:rsidR="00F56C13">
        <w:t>.</w:t>
      </w:r>
      <w:r w:rsidR="007A72CF" w:rsidRPr="00090B1D">
        <w:t xml:space="preserve"> (sub.</w:t>
      </w:r>
      <w:r w:rsidR="005634D7">
        <w:t> </w:t>
      </w:r>
      <w:r w:rsidR="007A72CF" w:rsidRPr="00090B1D">
        <w:t>15, p.</w:t>
      </w:r>
      <w:r w:rsidR="005634D7">
        <w:t> </w:t>
      </w:r>
      <w:r w:rsidR="007A72CF" w:rsidRPr="00090B1D">
        <w:t>7)</w:t>
      </w:r>
    </w:p>
    <w:p w14:paraId="789AD75D" w14:textId="1AFF1435" w:rsidR="00337A13" w:rsidRDefault="007C30B8" w:rsidP="00302CD6">
      <w:pPr>
        <w:pStyle w:val="BodyText"/>
      </w:pPr>
      <w:r>
        <w:t xml:space="preserve">Performance monitoring can support this change </w:t>
      </w:r>
      <w:r w:rsidR="00011630">
        <w:t xml:space="preserve">through the </w:t>
      </w:r>
      <w:r w:rsidR="00F56C13">
        <w:t xml:space="preserve">recognition </w:t>
      </w:r>
      <w:r w:rsidR="00011630">
        <w:t>of</w:t>
      </w:r>
      <w:r>
        <w:t xml:space="preserve"> Aboriginal and Torres Strait Islander </w:t>
      </w:r>
      <w:r w:rsidR="00AC034C">
        <w:t xml:space="preserve">people, </w:t>
      </w:r>
      <w:r>
        <w:t xml:space="preserve">knowledges and perspectives in its design, implementation and interpretation. </w:t>
      </w:r>
      <w:r w:rsidR="00990BF5">
        <w:t>A</w:t>
      </w:r>
      <w:r w:rsidR="008F7E1E">
        <w:t>s discussed in section</w:t>
      </w:r>
      <w:r w:rsidR="005634D7">
        <w:t> </w:t>
      </w:r>
      <w:r w:rsidR="008F7E1E">
        <w:t>2</w:t>
      </w:r>
      <w:r w:rsidR="009C7EC8">
        <w:t>,</w:t>
      </w:r>
      <w:r w:rsidR="00EF1919">
        <w:t xml:space="preserve"> further developing a </w:t>
      </w:r>
      <w:r w:rsidR="00D22ADC">
        <w:t xml:space="preserve">conceptual logic </w:t>
      </w:r>
      <w:r w:rsidR="00EF1919">
        <w:t xml:space="preserve">that articulates </w:t>
      </w:r>
      <w:r w:rsidR="00990BF5">
        <w:t xml:space="preserve">how the </w:t>
      </w:r>
      <w:r w:rsidR="000911E2">
        <w:t>Priority Reform</w:t>
      </w:r>
      <w:r w:rsidR="00990BF5">
        <w:t>s are intended to advance the</w:t>
      </w:r>
      <w:r w:rsidR="00845B97">
        <w:t xml:space="preserve"> socio</w:t>
      </w:r>
      <w:r w:rsidR="00827859">
        <w:noBreakHyphen/>
      </w:r>
      <w:r w:rsidR="00845B97">
        <w:t>economic outcomes</w:t>
      </w:r>
      <w:r w:rsidR="00EF1919">
        <w:t xml:space="preserve"> </w:t>
      </w:r>
      <w:r w:rsidR="00443FBC">
        <w:t>would do more to support this narrative shift.</w:t>
      </w:r>
    </w:p>
    <w:p w14:paraId="346273E3" w14:textId="586B2E53" w:rsidR="0022031C" w:rsidRPr="002E577A" w:rsidRDefault="005261E2" w:rsidP="007F0A0B">
      <w:pPr>
        <w:pStyle w:val="Heading4"/>
      </w:pPr>
      <w:r>
        <w:t>Some</w:t>
      </w:r>
      <w:r w:rsidR="0018712D">
        <w:t xml:space="preserve"> </w:t>
      </w:r>
      <w:r w:rsidR="00DA0477">
        <w:t xml:space="preserve">argue </w:t>
      </w:r>
      <w:r w:rsidR="0018712D">
        <w:t xml:space="preserve">that </w:t>
      </w:r>
      <w:r>
        <w:t xml:space="preserve">performance monitoring should drive effort at the </w:t>
      </w:r>
      <w:r w:rsidR="00B30EDA">
        <w:t xml:space="preserve">local level, </w:t>
      </w:r>
      <w:r w:rsidR="00ED557C">
        <w:t xml:space="preserve">as </w:t>
      </w:r>
      <w:r w:rsidR="00126992">
        <w:t>described</w:t>
      </w:r>
      <w:r w:rsidR="00ED557C">
        <w:t xml:space="preserve"> in</w:t>
      </w:r>
      <w:r w:rsidR="00B30EDA">
        <w:t xml:space="preserve"> </w:t>
      </w:r>
      <w:r w:rsidR="00F93D01">
        <w:t>P</w:t>
      </w:r>
      <w:r w:rsidR="00126992">
        <w:t xml:space="preserve">riority </w:t>
      </w:r>
      <w:r w:rsidR="00F93D01">
        <w:t>R</w:t>
      </w:r>
      <w:r w:rsidR="00126992">
        <w:t>eform 4</w:t>
      </w:r>
    </w:p>
    <w:p w14:paraId="7C8179B0" w14:textId="79E8B6A4" w:rsidR="007D0030" w:rsidRDefault="000B54C2" w:rsidP="00142F53">
      <w:pPr>
        <w:pStyle w:val="BodyText"/>
      </w:pPr>
      <w:r>
        <w:t xml:space="preserve">The Commission heard through engagements and submissions that </w:t>
      </w:r>
      <w:r w:rsidR="005429B4">
        <w:t xml:space="preserve">performance monitoring under the Agreement should </w:t>
      </w:r>
      <w:r w:rsidR="00B67593">
        <w:t>inform decision</w:t>
      </w:r>
      <w:r w:rsidR="00827859">
        <w:noBreakHyphen/>
      </w:r>
      <w:r w:rsidR="00B67593">
        <w:t xml:space="preserve">making and drive effort </w:t>
      </w:r>
      <w:r w:rsidR="00000746">
        <w:t>in communities</w:t>
      </w:r>
      <w:r w:rsidR="008A739B">
        <w:t xml:space="preserve"> (Closing the Gap Campaign, sub.</w:t>
      </w:r>
      <w:r w:rsidR="00ED6DBA">
        <w:t> </w:t>
      </w:r>
      <w:r w:rsidR="008A739B">
        <w:t>17, p.</w:t>
      </w:r>
      <w:r w:rsidR="005634D7">
        <w:t> </w:t>
      </w:r>
      <w:r w:rsidR="008A739B">
        <w:t>8)</w:t>
      </w:r>
      <w:r w:rsidR="00B67593">
        <w:t>.</w:t>
      </w:r>
      <w:r w:rsidR="009524E8">
        <w:t xml:space="preserve"> </w:t>
      </w:r>
      <w:r w:rsidR="00A551A9">
        <w:t xml:space="preserve">For example, </w:t>
      </w:r>
      <w:r w:rsidR="00CB5E3E">
        <w:t>t</w:t>
      </w:r>
      <w:r w:rsidR="005849AC">
        <w:t xml:space="preserve">he Aboriginal Health Council of Western Australia </w:t>
      </w:r>
      <w:r w:rsidR="008D6D27">
        <w:t xml:space="preserve">said </w:t>
      </w:r>
      <w:r w:rsidR="004724C3">
        <w:t xml:space="preserve">that </w:t>
      </w:r>
      <w:r w:rsidR="003B73CF">
        <w:t xml:space="preserve">performance data must enable </w:t>
      </w:r>
      <w:r w:rsidR="0015623B">
        <w:t xml:space="preserve">an </w:t>
      </w:r>
      <w:r w:rsidR="002F2981">
        <w:t xml:space="preserve">assessment of </w:t>
      </w:r>
      <w:r w:rsidR="002657A1">
        <w:t xml:space="preserve">policy and </w:t>
      </w:r>
      <w:r w:rsidR="00904198">
        <w:t xml:space="preserve">the impacts of </w:t>
      </w:r>
      <w:r w:rsidR="002657A1">
        <w:t>program</w:t>
      </w:r>
      <w:r w:rsidR="00904198">
        <w:t>s</w:t>
      </w:r>
      <w:r w:rsidR="002657A1">
        <w:t xml:space="preserve"> </w:t>
      </w:r>
      <w:r w:rsidR="00C93351">
        <w:t>at the community level</w:t>
      </w:r>
      <w:r w:rsidR="00173FD0">
        <w:t>.</w:t>
      </w:r>
      <w:r w:rsidR="001E087E">
        <w:t xml:space="preserve"> </w:t>
      </w:r>
    </w:p>
    <w:p w14:paraId="077C5242" w14:textId="327FF336" w:rsidR="002657A1" w:rsidRDefault="002657A1" w:rsidP="002657A1">
      <w:pPr>
        <w:pStyle w:val="Quote"/>
      </w:pPr>
      <w:r>
        <w:t xml:space="preserve">The </w:t>
      </w:r>
      <w:r w:rsidR="00163774">
        <w:t>socio</w:t>
      </w:r>
      <w:r w:rsidR="00827859">
        <w:noBreakHyphen/>
      </w:r>
      <w:r w:rsidR="00163774">
        <w:t>economic</w:t>
      </w:r>
      <w:r>
        <w:t xml:space="preserve"> outcomes need to be disaggregated, measured and reported in the context of different demographics. For instance, while progress on outcomes should be reported in connection to their relevant sectors, it should also be reported in relation to geographical regions</w:t>
      </w:r>
      <w:r w:rsidR="001C4CAF">
        <w:t xml:space="preserve"> </w:t>
      </w:r>
      <w:r>
        <w:t>and Aboriginal community groups. Providing data analysis based on each state/territory will not</w:t>
      </w:r>
      <w:r w:rsidR="001C4CAF">
        <w:t xml:space="preserve"> </w:t>
      </w:r>
      <w:r>
        <w:t>tell the full story; an initiative might work well in some Aboriginal communities, but it might not be effective</w:t>
      </w:r>
      <w:r w:rsidR="001C4CAF">
        <w:t xml:space="preserve"> </w:t>
      </w:r>
      <w:r>
        <w:t>or culturally appropriate in others</w:t>
      </w:r>
      <w:r w:rsidR="00434C04">
        <w:t xml:space="preserve"> </w:t>
      </w:r>
      <w:r>
        <w:t xml:space="preserve">… Reporting on </w:t>
      </w:r>
      <w:r w:rsidR="00163774">
        <w:t>socio</w:t>
      </w:r>
      <w:r w:rsidR="00827859">
        <w:noBreakHyphen/>
      </w:r>
      <w:r w:rsidR="00163774">
        <w:t>economic</w:t>
      </w:r>
      <w:r>
        <w:t xml:space="preserve"> outcomes must be disaggregated to reflect levels of effectiveness in individual Aboriginal </w:t>
      </w:r>
      <w:r w:rsidRPr="00BB1F95">
        <w:t>communities</w:t>
      </w:r>
      <w:r w:rsidR="00FC5A42">
        <w:t>.</w:t>
      </w:r>
      <w:r w:rsidR="00BB1F95" w:rsidRPr="00BB1F95">
        <w:t xml:space="preserve"> (sub.</w:t>
      </w:r>
      <w:r w:rsidR="005634D7">
        <w:t> </w:t>
      </w:r>
      <w:r w:rsidR="00BB1F95" w:rsidRPr="00BB1F95">
        <w:t>22, p.</w:t>
      </w:r>
      <w:r w:rsidR="00FC5A42">
        <w:t> </w:t>
      </w:r>
      <w:r w:rsidR="00BB1F95" w:rsidRPr="00BB1F95">
        <w:t>3)</w:t>
      </w:r>
    </w:p>
    <w:p w14:paraId="7C4EA373" w14:textId="2017582C" w:rsidR="005E309D" w:rsidRDefault="00142F53" w:rsidP="00142F53">
      <w:pPr>
        <w:pStyle w:val="BodyText"/>
      </w:pPr>
      <w:r>
        <w:t xml:space="preserve">Priority </w:t>
      </w:r>
      <w:r w:rsidR="001B5C01">
        <w:t>R</w:t>
      </w:r>
      <w:r>
        <w:t xml:space="preserve">eform </w:t>
      </w:r>
      <w:r w:rsidR="00F32221">
        <w:t>4</w:t>
      </w:r>
      <w:r>
        <w:t xml:space="preserve"> recognises that </w:t>
      </w:r>
      <w:r w:rsidR="00522630">
        <w:t>‘</w:t>
      </w:r>
      <w:r>
        <w:t xml:space="preserve">disaggregated data and information is most useful to Aboriginal and Torres Strait Islander organisations </w:t>
      </w:r>
      <w:r w:rsidR="00DF6B95">
        <w:t>and communities</w:t>
      </w:r>
      <w:r w:rsidR="00522630">
        <w:t xml:space="preserve"> </w:t>
      </w:r>
      <w:r w:rsidR="00AA402B">
        <w:t>to obtain a comprehensive picture of what is happening in their communities and make decisions about their futures’ (clause 70).</w:t>
      </w:r>
      <w:r>
        <w:t xml:space="preserve"> It commits </w:t>
      </w:r>
      <w:r w:rsidR="001336B4">
        <w:t>g</w:t>
      </w:r>
      <w:r>
        <w:t>overnments to collect</w:t>
      </w:r>
      <w:r w:rsidR="000F2D0F">
        <w:t>ing</w:t>
      </w:r>
      <w:r>
        <w:t xml:space="preserve"> and report</w:t>
      </w:r>
      <w:r w:rsidR="000F2D0F">
        <w:t>ing</w:t>
      </w:r>
      <w:r>
        <w:t xml:space="preserve"> on data </w:t>
      </w:r>
      <w:r w:rsidR="00BF4E13">
        <w:t>‘</w:t>
      </w:r>
      <w:r>
        <w:t>at sufficient levels of disaggregation</w:t>
      </w:r>
      <w:r w:rsidR="00BF4E13">
        <w:t>’</w:t>
      </w:r>
      <w:r>
        <w:t xml:space="preserve"> to inform and support </w:t>
      </w:r>
      <w:r w:rsidR="00BF4E13">
        <w:t>local decision</w:t>
      </w:r>
      <w:r w:rsidR="00827859">
        <w:noBreakHyphen/>
      </w:r>
      <w:r w:rsidR="00BF4E13">
        <w:t xml:space="preserve">making (clause </w:t>
      </w:r>
      <w:r w:rsidR="008D4F3E">
        <w:t>71</w:t>
      </w:r>
      <w:r w:rsidR="00991BE6">
        <w:t>c</w:t>
      </w:r>
      <w:r w:rsidR="008D4F3E">
        <w:t>)</w:t>
      </w:r>
      <w:r w:rsidR="00F06338">
        <w:t xml:space="preserve">. </w:t>
      </w:r>
    </w:p>
    <w:p w14:paraId="7C09B719" w14:textId="55A9307B" w:rsidR="006F27C5" w:rsidRPr="00697212" w:rsidRDefault="00EB4346" w:rsidP="00142F53">
      <w:pPr>
        <w:pStyle w:val="BodyText"/>
        <w:rPr>
          <w:spacing w:val="-4"/>
        </w:rPr>
      </w:pPr>
      <w:r w:rsidRPr="00697212">
        <w:rPr>
          <w:spacing w:val="-4"/>
        </w:rPr>
        <w:t>Some</w:t>
      </w:r>
      <w:r w:rsidR="005E309D" w:rsidRPr="00697212">
        <w:rPr>
          <w:spacing w:val="-4"/>
        </w:rPr>
        <w:t xml:space="preserve"> clauses under </w:t>
      </w:r>
      <w:r w:rsidR="000911E2" w:rsidRPr="00697212">
        <w:rPr>
          <w:spacing w:val="-4"/>
        </w:rPr>
        <w:t>Priority Reform</w:t>
      </w:r>
      <w:r w:rsidR="00600738" w:rsidRPr="00697212">
        <w:rPr>
          <w:spacing w:val="-4"/>
        </w:rPr>
        <w:t xml:space="preserve"> 4</w:t>
      </w:r>
      <w:r w:rsidR="005E309D" w:rsidRPr="00697212">
        <w:rPr>
          <w:spacing w:val="-4"/>
        </w:rPr>
        <w:t xml:space="preserve"> also</w:t>
      </w:r>
      <w:r w:rsidR="00D94146" w:rsidRPr="00697212">
        <w:rPr>
          <w:spacing w:val="-4"/>
        </w:rPr>
        <w:t xml:space="preserve"> </w:t>
      </w:r>
      <w:r w:rsidR="00872D6B" w:rsidRPr="00697212">
        <w:rPr>
          <w:spacing w:val="-4"/>
        </w:rPr>
        <w:t xml:space="preserve">seem to recognise that </w:t>
      </w:r>
      <w:r w:rsidR="00B15070" w:rsidRPr="00697212">
        <w:rPr>
          <w:spacing w:val="-4"/>
        </w:rPr>
        <w:t xml:space="preserve">community </w:t>
      </w:r>
      <w:r w:rsidR="00BC4146" w:rsidRPr="00697212">
        <w:rPr>
          <w:spacing w:val="-4"/>
        </w:rPr>
        <w:t xml:space="preserve">advocacy and </w:t>
      </w:r>
      <w:r w:rsidR="00F61D23" w:rsidRPr="00697212">
        <w:rPr>
          <w:spacing w:val="-4"/>
        </w:rPr>
        <w:t>monitoring of government efforts</w:t>
      </w:r>
      <w:r w:rsidR="00531D18" w:rsidRPr="00697212">
        <w:rPr>
          <w:spacing w:val="-4"/>
        </w:rPr>
        <w:t xml:space="preserve"> to ‘close the gap’ rel</w:t>
      </w:r>
      <w:r w:rsidR="00C458DC" w:rsidRPr="00697212">
        <w:rPr>
          <w:spacing w:val="-4"/>
        </w:rPr>
        <w:t>y</w:t>
      </w:r>
      <w:r w:rsidR="00531D18" w:rsidRPr="00697212">
        <w:rPr>
          <w:spacing w:val="-4"/>
        </w:rPr>
        <w:t xml:space="preserve"> </w:t>
      </w:r>
      <w:r w:rsidR="009F6643" w:rsidRPr="00697212">
        <w:rPr>
          <w:spacing w:val="-4"/>
        </w:rPr>
        <w:t xml:space="preserve">to some extent </w:t>
      </w:r>
      <w:r w:rsidR="00531D18" w:rsidRPr="00697212">
        <w:rPr>
          <w:spacing w:val="-4"/>
        </w:rPr>
        <w:t>on</w:t>
      </w:r>
      <w:r w:rsidR="00820DBE" w:rsidRPr="00697212">
        <w:rPr>
          <w:spacing w:val="-4"/>
        </w:rPr>
        <w:t xml:space="preserve"> </w:t>
      </w:r>
      <w:r w:rsidR="00BC210A" w:rsidRPr="00697212">
        <w:rPr>
          <w:spacing w:val="-4"/>
        </w:rPr>
        <w:t xml:space="preserve">regional </w:t>
      </w:r>
      <w:r w:rsidR="00820DBE" w:rsidRPr="00697212">
        <w:rPr>
          <w:spacing w:val="-4"/>
        </w:rPr>
        <w:t>data.</w:t>
      </w:r>
      <w:r w:rsidRPr="00697212">
        <w:rPr>
          <w:spacing w:val="-4"/>
        </w:rPr>
        <w:t xml:space="preserve"> </w:t>
      </w:r>
      <w:r w:rsidR="001E073F" w:rsidRPr="00697212">
        <w:rPr>
          <w:spacing w:val="-4"/>
        </w:rPr>
        <w:t xml:space="preserve">For example, clause </w:t>
      </w:r>
      <w:r w:rsidR="004402E1" w:rsidRPr="00697212">
        <w:rPr>
          <w:spacing w:val="-4"/>
        </w:rPr>
        <w:t xml:space="preserve">69c </w:t>
      </w:r>
      <w:r w:rsidR="0053052D" w:rsidRPr="00697212">
        <w:rPr>
          <w:spacing w:val="-4"/>
        </w:rPr>
        <w:t xml:space="preserve">acknowledges that </w:t>
      </w:r>
      <w:r w:rsidR="00ED72EF" w:rsidRPr="00697212">
        <w:rPr>
          <w:spacing w:val="-4"/>
        </w:rPr>
        <w:t>regional</w:t>
      </w:r>
      <w:r w:rsidR="0053052D" w:rsidRPr="00697212">
        <w:rPr>
          <w:spacing w:val="-4"/>
        </w:rPr>
        <w:t xml:space="preserve"> data</w:t>
      </w:r>
      <w:r w:rsidR="007C369E" w:rsidRPr="00697212">
        <w:rPr>
          <w:spacing w:val="-4"/>
        </w:rPr>
        <w:t xml:space="preserve"> enables </w:t>
      </w:r>
      <w:r w:rsidR="00122DDF" w:rsidRPr="00697212">
        <w:rPr>
          <w:spacing w:val="-4"/>
        </w:rPr>
        <w:t xml:space="preserve">communities to hold governments to account for </w:t>
      </w:r>
      <w:r w:rsidR="000911E2" w:rsidRPr="00697212">
        <w:rPr>
          <w:spacing w:val="-4"/>
        </w:rPr>
        <w:t>Priority Reform</w:t>
      </w:r>
      <w:r w:rsidR="002157DA" w:rsidRPr="00697212">
        <w:rPr>
          <w:spacing w:val="-4"/>
        </w:rPr>
        <w:t xml:space="preserve"> 3</w:t>
      </w:r>
      <w:r w:rsidR="00122DDF" w:rsidRPr="00697212">
        <w:rPr>
          <w:spacing w:val="-4"/>
        </w:rPr>
        <w:t xml:space="preserve"> by </w:t>
      </w:r>
      <w:r w:rsidR="007C369E" w:rsidRPr="00697212">
        <w:rPr>
          <w:spacing w:val="-4"/>
        </w:rPr>
        <w:t xml:space="preserve">‘measuring </w:t>
      </w:r>
      <w:r w:rsidR="00B27975" w:rsidRPr="00697212">
        <w:rPr>
          <w:spacing w:val="-4"/>
        </w:rPr>
        <w:t xml:space="preserve">the transformation of government organisations operating in their regions to be more responsive and accountable for Closing the Gap.’ </w:t>
      </w:r>
      <w:r w:rsidR="00E96ABC" w:rsidRPr="00697212">
        <w:rPr>
          <w:spacing w:val="-4"/>
        </w:rPr>
        <w:t>Clause</w:t>
      </w:r>
      <w:r w:rsidR="00B50DBC" w:rsidRPr="00697212">
        <w:rPr>
          <w:spacing w:val="-4"/>
        </w:rPr>
        <w:t> </w:t>
      </w:r>
      <w:r w:rsidR="00E96ABC" w:rsidRPr="00697212">
        <w:rPr>
          <w:spacing w:val="-4"/>
        </w:rPr>
        <w:t>7</w:t>
      </w:r>
      <w:r w:rsidR="00721E51" w:rsidRPr="00697212">
        <w:rPr>
          <w:spacing w:val="-4"/>
        </w:rPr>
        <w:t xml:space="preserve">5a notes that the six </w:t>
      </w:r>
      <w:r w:rsidR="00CA0A95" w:rsidRPr="00697212">
        <w:rPr>
          <w:spacing w:val="-4"/>
        </w:rPr>
        <w:t xml:space="preserve">community </w:t>
      </w:r>
      <w:r w:rsidR="00721E51" w:rsidRPr="00697212">
        <w:rPr>
          <w:spacing w:val="-4"/>
        </w:rPr>
        <w:t xml:space="preserve">data projects will support communities to </w:t>
      </w:r>
      <w:r w:rsidRPr="00697212">
        <w:rPr>
          <w:spacing w:val="-4"/>
        </w:rPr>
        <w:t>‘drive their own development and discussions with governments on Closing the Gap’.</w:t>
      </w:r>
    </w:p>
    <w:p w14:paraId="60107D2C" w14:textId="0A8BC860" w:rsidR="005131CE" w:rsidRDefault="005131CE" w:rsidP="00142F53">
      <w:pPr>
        <w:pStyle w:val="BodyText"/>
      </w:pPr>
      <w:r>
        <w:t xml:space="preserve">The </w:t>
      </w:r>
      <w:r w:rsidR="00A36299">
        <w:t xml:space="preserve">inclusion </w:t>
      </w:r>
      <w:r>
        <w:t>of the Australian Local Government Association</w:t>
      </w:r>
      <w:r w:rsidR="009C236B">
        <w:t xml:space="preserve"> (ALGA)</w:t>
      </w:r>
      <w:r>
        <w:t xml:space="preserve"> as a </w:t>
      </w:r>
      <w:r w:rsidR="00141505">
        <w:t>g</w:t>
      </w:r>
      <w:r>
        <w:t xml:space="preserve">overnment </w:t>
      </w:r>
      <w:r w:rsidR="00141505">
        <w:t>p</w:t>
      </w:r>
      <w:r>
        <w:t xml:space="preserve">arty to the Agreement (clause 11) also raises questions as to what extent the Agreement holds local governments to account for progress. Clause 79 states that ‘Government Parties have the same level of commitment and accountability’ for </w:t>
      </w:r>
      <w:r w:rsidR="000911E2">
        <w:t>Priority Reform</w:t>
      </w:r>
      <w:r>
        <w:t xml:space="preserve"> and </w:t>
      </w:r>
      <w:r w:rsidR="00163774">
        <w:t>socio</w:t>
      </w:r>
      <w:r w:rsidR="00827859">
        <w:noBreakHyphen/>
      </w:r>
      <w:r w:rsidR="00163774">
        <w:t>economic</w:t>
      </w:r>
      <w:r>
        <w:t xml:space="preserve"> targets. However, reporting on these targets is specified at the national, state and territory levels to assess jurisdictional progress (clause 89)</w:t>
      </w:r>
      <w:r w:rsidR="0010178B">
        <w:t xml:space="preserve"> and prompt jurisdictional action (clause </w:t>
      </w:r>
      <w:r w:rsidR="008C121B">
        <w:t>91).</w:t>
      </w:r>
    </w:p>
    <w:p w14:paraId="5967CA93" w14:textId="72A9AA8C" w:rsidR="008B064A" w:rsidRDefault="00702E79" w:rsidP="00ED6EE7">
      <w:pPr>
        <w:pStyle w:val="BodyText"/>
      </w:pPr>
      <w:r>
        <w:t xml:space="preserve">The </w:t>
      </w:r>
      <w:r w:rsidR="0045440E">
        <w:t xml:space="preserve">Agreement’s </w:t>
      </w:r>
      <w:r w:rsidR="00EA580D">
        <w:t xml:space="preserve">performance monitoring approach </w:t>
      </w:r>
      <w:r w:rsidR="0000380A">
        <w:t>is unlikely to be the best vehicle to</w:t>
      </w:r>
      <w:r w:rsidR="00EA580D">
        <w:t xml:space="preserve"> </w:t>
      </w:r>
      <w:r w:rsidR="0000380A">
        <w:t xml:space="preserve">measure </w:t>
      </w:r>
      <w:r w:rsidR="00830759">
        <w:t>community</w:t>
      </w:r>
      <w:r w:rsidR="00A074D2">
        <w:noBreakHyphen/>
      </w:r>
      <w:r w:rsidR="006227AB">
        <w:t>defined</w:t>
      </w:r>
      <w:r w:rsidR="00920CBD">
        <w:t xml:space="preserve"> outcomes </w:t>
      </w:r>
      <w:r w:rsidR="00B70CAF">
        <w:t>to inform</w:t>
      </w:r>
      <w:r w:rsidR="00B25772">
        <w:t xml:space="preserve"> local decision</w:t>
      </w:r>
      <w:r w:rsidR="00827859">
        <w:noBreakHyphen/>
      </w:r>
      <w:r w:rsidR="00B25772">
        <w:t>making</w:t>
      </w:r>
      <w:r w:rsidR="000B1034">
        <w:t xml:space="preserve">. </w:t>
      </w:r>
      <w:r w:rsidR="001A1EBC">
        <w:t>T</w:t>
      </w:r>
      <w:r w:rsidR="00EC2C7A">
        <w:t xml:space="preserve">he </w:t>
      </w:r>
      <w:r w:rsidR="00AD7E67">
        <w:t>Agreement’s DDP</w:t>
      </w:r>
      <w:r w:rsidR="00EC2C7A">
        <w:t xml:space="preserve"> </w:t>
      </w:r>
      <w:r w:rsidR="00957C5E">
        <w:t>defines ‘community data’ as driven by the priorities of local communities</w:t>
      </w:r>
      <w:r w:rsidR="008E7287">
        <w:t>, responsive to local decision</w:t>
      </w:r>
      <w:r w:rsidR="00705D86">
        <w:noBreakHyphen/>
      </w:r>
      <w:r w:rsidR="008E7287">
        <w:t xml:space="preserve">making needs, </w:t>
      </w:r>
      <w:r w:rsidR="00EB7B1B">
        <w:t>and owned and managed by communities</w:t>
      </w:r>
      <w:r w:rsidR="002C463E">
        <w:t xml:space="preserve"> </w:t>
      </w:r>
      <w:r w:rsidR="00C8491C" w:rsidRPr="00C8491C">
        <w:rPr>
          <w:rFonts w:ascii="Arial" w:hAnsi="Arial" w:cs="Arial"/>
          <w:szCs w:val="24"/>
        </w:rPr>
        <w:t>(Joint Council 2022, p. 7)</w:t>
      </w:r>
      <w:r w:rsidR="00EB7B1B">
        <w:t xml:space="preserve">. </w:t>
      </w:r>
      <w:r w:rsidR="00AE381B">
        <w:t>Communities have different priorities</w:t>
      </w:r>
      <w:r w:rsidR="005F17B1">
        <w:t>,</w:t>
      </w:r>
      <w:r w:rsidR="00FF2767">
        <w:t xml:space="preserve"> and these will not always align with </w:t>
      </w:r>
      <w:r w:rsidR="00BC0528">
        <w:t xml:space="preserve">the outcomes negotiated in the Agreement. </w:t>
      </w:r>
      <w:r w:rsidR="006D5991">
        <w:t>T</w:t>
      </w:r>
      <w:r w:rsidR="004E5A6B">
        <w:t xml:space="preserve">argets </w:t>
      </w:r>
      <w:r w:rsidR="00D52275">
        <w:t xml:space="preserve">and supporting indicators </w:t>
      </w:r>
      <w:r w:rsidR="004E5A6B">
        <w:t>a</w:t>
      </w:r>
      <w:r w:rsidR="005A7F5D">
        <w:t>t</w:t>
      </w:r>
      <w:r w:rsidR="004E5A6B">
        <w:t xml:space="preserve"> the jurisdictional</w:t>
      </w:r>
      <w:r w:rsidR="00BB7C26">
        <w:t xml:space="preserve"> </w:t>
      </w:r>
      <w:r w:rsidR="004E5A6B">
        <w:t xml:space="preserve">level </w:t>
      </w:r>
      <w:r w:rsidR="008B6CCC">
        <w:t>may</w:t>
      </w:r>
      <w:r w:rsidR="00C718FD">
        <w:t xml:space="preserve"> not</w:t>
      </w:r>
      <w:r w:rsidR="006D5991">
        <w:t xml:space="preserve"> adequately capture these</w:t>
      </w:r>
      <w:r w:rsidR="00356F45">
        <w:t xml:space="preserve"> priorities</w:t>
      </w:r>
      <w:r w:rsidR="009A061A">
        <w:t>.</w:t>
      </w:r>
      <w:r w:rsidR="00EB7B1B">
        <w:t xml:space="preserve"> </w:t>
      </w:r>
    </w:p>
    <w:p w14:paraId="5F20F794" w14:textId="58EFE8F8" w:rsidR="006C6664" w:rsidRDefault="006C6664" w:rsidP="00ED6EE7">
      <w:pPr>
        <w:pStyle w:val="BodyText"/>
      </w:pPr>
      <w:r>
        <w:lastRenderedPageBreak/>
        <w:t xml:space="preserve">The </w:t>
      </w:r>
      <w:r w:rsidR="00754482">
        <w:t>DDP</w:t>
      </w:r>
      <w:r>
        <w:t xml:space="preserve"> as described in the Agreement is scoped to address data development items listed in the Agreement’s performance monitoring framework (clause 92). However, the DDP seems to address broader data development agendas under the Agreement, including how new initiatives will be monitored and evaluated. The DDP states that work undertaken </w:t>
      </w:r>
      <w:r w:rsidR="00D81F90">
        <w:t>through</w:t>
      </w:r>
      <w:r>
        <w:t xml:space="preserve"> the DDP should ‘[include] Aboriginal and Torres Strait Islander people having access to, and the capability to use, locally</w:t>
      </w:r>
      <w:r w:rsidR="00827859">
        <w:noBreakHyphen/>
      </w:r>
      <w:r>
        <w:t>relevant data and information to set and monitor the implementation of efforts to close the gap, their priorities and drive their own development’</w:t>
      </w:r>
      <w:r w:rsidR="00023514">
        <w:t xml:space="preserve"> </w:t>
      </w:r>
      <w:r w:rsidR="009916BC" w:rsidRPr="009916BC">
        <w:rPr>
          <w:rFonts w:ascii="Arial" w:hAnsi="Arial" w:cs="Arial"/>
          <w:szCs w:val="24"/>
        </w:rPr>
        <w:t>(Joint Council 2022, p. 6)</w:t>
      </w:r>
      <w:r w:rsidR="00565AF7">
        <w:t>.</w:t>
      </w:r>
      <w:r>
        <w:t xml:space="preserve"> The DDP also considers how data development items could ‘prioritise or further the use of community data – reflecting the importance of Priority Reform Four’</w:t>
      </w:r>
      <w:r w:rsidR="00751234">
        <w:t xml:space="preserve"> </w:t>
      </w:r>
      <w:r w:rsidR="00751234" w:rsidRPr="00751234">
        <w:rPr>
          <w:rFonts w:ascii="Arial" w:hAnsi="Arial" w:cs="Arial"/>
          <w:szCs w:val="24"/>
        </w:rPr>
        <w:t>(Joint Council 2022, p. 12)</w:t>
      </w:r>
      <w:r w:rsidR="00023514">
        <w:t>.</w:t>
      </w:r>
    </w:p>
    <w:p w14:paraId="5DBA7511" w14:textId="74C0BF26" w:rsidR="008B064A" w:rsidRDefault="008B064A" w:rsidP="00ED6EE7">
      <w:pPr>
        <w:pStyle w:val="BodyText"/>
      </w:pPr>
      <w:r>
        <w:t xml:space="preserve">Ultimately, the intention of the Agreement </w:t>
      </w:r>
      <w:r w:rsidR="007651DC">
        <w:t>to reflect community</w:t>
      </w:r>
      <w:r w:rsidR="00827859">
        <w:noBreakHyphen/>
      </w:r>
      <w:r w:rsidR="007651DC">
        <w:t>level pr</w:t>
      </w:r>
      <w:r w:rsidR="00EF591C">
        <w:t>i</w:t>
      </w:r>
      <w:r w:rsidR="007651DC">
        <w:t>orities</w:t>
      </w:r>
      <w:r>
        <w:t xml:space="preserve"> </w:t>
      </w:r>
      <w:r w:rsidR="00AE13D1">
        <w:t xml:space="preserve">in performance monitoring </w:t>
      </w:r>
      <w:r w:rsidR="006F24E4">
        <w:t xml:space="preserve">is </w:t>
      </w:r>
      <w:r>
        <w:t>ambiguous</w:t>
      </w:r>
      <w:r w:rsidR="002F486D">
        <w:t>.</w:t>
      </w:r>
      <w:r w:rsidR="005F6790">
        <w:t xml:space="preserve"> </w:t>
      </w:r>
      <w:r w:rsidR="004F16E2">
        <w:t>T</w:t>
      </w:r>
      <w:r w:rsidR="00930A7A">
        <w:t xml:space="preserve">he </w:t>
      </w:r>
      <w:r w:rsidR="005448C9">
        <w:t xml:space="preserve">design of the </w:t>
      </w:r>
      <w:r w:rsidR="004F16E2">
        <w:t xml:space="preserve">Agreement’s performance monitoring approach, with </w:t>
      </w:r>
      <w:r w:rsidR="005448C9">
        <w:t xml:space="preserve">targets and reporting </w:t>
      </w:r>
      <w:r w:rsidR="00F200A8">
        <w:t xml:space="preserve">arrangements set </w:t>
      </w:r>
      <w:r w:rsidR="001408EE">
        <w:t xml:space="preserve">at the jurisdictional level </w:t>
      </w:r>
      <w:r w:rsidR="005448C9">
        <w:t xml:space="preserve">does not </w:t>
      </w:r>
      <w:r w:rsidR="00CB4D40">
        <w:t xml:space="preserve">currently </w:t>
      </w:r>
      <w:r w:rsidR="005448C9">
        <w:t>support it.</w:t>
      </w:r>
      <w:r w:rsidR="00C57832">
        <w:t xml:space="preserve"> Further disaggregation of </w:t>
      </w:r>
      <w:r w:rsidR="00E72598">
        <w:t xml:space="preserve">outcomes indicators </w:t>
      </w:r>
      <w:r w:rsidR="00E73CE6">
        <w:t>could be explored</w:t>
      </w:r>
      <w:r w:rsidR="002F4F92">
        <w:t xml:space="preserve"> to better hold jurisdictions to account for equitable progress across regions</w:t>
      </w:r>
      <w:r w:rsidR="00BB3BA8">
        <w:t xml:space="preserve"> </w:t>
      </w:r>
      <w:r w:rsidR="00855A08">
        <w:t>(</w:t>
      </w:r>
      <w:r w:rsidR="00BB3BA8">
        <w:t>section</w:t>
      </w:r>
      <w:r w:rsidR="005634D7">
        <w:t> </w:t>
      </w:r>
      <w:r w:rsidR="00BB3BA8">
        <w:t>4</w:t>
      </w:r>
      <w:r w:rsidR="00855A08">
        <w:t>)</w:t>
      </w:r>
      <w:r w:rsidR="00BB3BA8">
        <w:t>.</w:t>
      </w:r>
      <w:r w:rsidR="00B47CAB">
        <w:t xml:space="preserve"> Community</w:t>
      </w:r>
      <w:r w:rsidR="00827859">
        <w:noBreakHyphen/>
      </w:r>
      <w:r w:rsidR="00B47CAB">
        <w:t>driven data development could also be advanced al</w:t>
      </w:r>
      <w:r w:rsidR="00D756A0">
        <w:t xml:space="preserve">ongside work on the performance monitoring </w:t>
      </w:r>
      <w:r w:rsidR="0022033A">
        <w:t>approach</w:t>
      </w:r>
      <w:r w:rsidR="00D756A0">
        <w:t xml:space="preserve">, </w:t>
      </w:r>
      <w:r w:rsidR="005C4866">
        <w:t>through local and regional data projects or by ensuring new policies and programs are designed and evaluated in a way that recognises community diversity and self</w:t>
      </w:r>
      <w:r w:rsidR="00827859">
        <w:noBreakHyphen/>
      </w:r>
      <w:r w:rsidR="005C4866">
        <w:t>determination</w:t>
      </w:r>
      <w:r w:rsidR="005448C9">
        <w:t>.</w:t>
      </w:r>
      <w:r w:rsidR="00670D8A">
        <w:t xml:space="preserve"> This is explored in information paper 5.</w:t>
      </w:r>
    </w:p>
    <w:p w14:paraId="0170BF6D" w14:textId="7E8974E6" w:rsidR="0022031C" w:rsidRPr="00B96865" w:rsidRDefault="004C1EF7" w:rsidP="004C1EF7">
      <w:pPr>
        <w:pStyle w:val="Heading2"/>
        <w:numPr>
          <w:ilvl w:val="0"/>
          <w:numId w:val="0"/>
        </w:numPr>
        <w:ind w:left="720" w:hanging="720"/>
      </w:pPr>
      <w:bookmarkStart w:id="6" w:name="_Toc140484716"/>
      <w:r>
        <w:t>3</w:t>
      </w:r>
      <w:r>
        <w:tab/>
      </w:r>
      <w:r w:rsidR="00465194">
        <w:t>Does</w:t>
      </w:r>
      <w:r w:rsidR="00B1793A">
        <w:t xml:space="preserve"> the</w:t>
      </w:r>
      <w:r w:rsidR="00A76B01">
        <w:t xml:space="preserve"> performance framework </w:t>
      </w:r>
      <w:r w:rsidR="00465194">
        <w:t>have</w:t>
      </w:r>
      <w:r w:rsidR="00A76B01">
        <w:t xml:space="preserve"> a </w:t>
      </w:r>
      <w:r w:rsidR="00ED2409">
        <w:t>clear</w:t>
      </w:r>
      <w:r w:rsidR="00A76B01">
        <w:t xml:space="preserve"> conceptual logic</w:t>
      </w:r>
      <w:r w:rsidR="00B1793A">
        <w:t>?</w:t>
      </w:r>
      <w:bookmarkEnd w:id="6"/>
    </w:p>
    <w:p w14:paraId="798F17AD" w14:textId="4ABE0D7B" w:rsidR="00D93296" w:rsidRPr="004760A8" w:rsidRDefault="00D93296" w:rsidP="00D93296">
      <w:pPr>
        <w:rPr>
          <w:rFonts w:cstheme="minorHAnsi"/>
        </w:rPr>
      </w:pPr>
      <w:r w:rsidRPr="004760A8">
        <w:rPr>
          <w:rFonts w:cstheme="minorHAnsi"/>
        </w:rPr>
        <w:t xml:space="preserve">A monitoring framework should be underpinned by a conceptual logic that </w:t>
      </w:r>
      <w:r w:rsidR="00573B55">
        <w:rPr>
          <w:rFonts w:cstheme="minorHAnsi"/>
        </w:rPr>
        <w:t>establishes</w:t>
      </w:r>
      <w:r w:rsidRPr="004760A8">
        <w:rPr>
          <w:rFonts w:cstheme="minorHAnsi"/>
        </w:rPr>
        <w:t xml:space="preserve"> the desired outcomes and </w:t>
      </w:r>
      <w:r w:rsidR="00EA5A8D">
        <w:rPr>
          <w:rFonts w:cstheme="minorHAnsi"/>
        </w:rPr>
        <w:t>provides</w:t>
      </w:r>
      <w:r w:rsidR="00A5256D">
        <w:rPr>
          <w:rFonts w:cstheme="minorHAnsi"/>
        </w:rPr>
        <w:t xml:space="preserve"> </w:t>
      </w:r>
      <w:r w:rsidR="00E12102">
        <w:rPr>
          <w:rFonts w:cstheme="minorHAnsi"/>
        </w:rPr>
        <w:t>an understanding of how they</w:t>
      </w:r>
      <w:r w:rsidRPr="004760A8">
        <w:rPr>
          <w:rFonts w:cstheme="minorHAnsi"/>
        </w:rPr>
        <w:t xml:space="preserve"> will </w:t>
      </w:r>
      <w:r w:rsidR="00E12102">
        <w:rPr>
          <w:rFonts w:cstheme="minorHAnsi"/>
        </w:rPr>
        <w:t>be achieved</w:t>
      </w:r>
      <w:r w:rsidR="00226302">
        <w:rPr>
          <w:rFonts w:cstheme="minorHAnsi"/>
        </w:rPr>
        <w:t xml:space="preserve"> (</w:t>
      </w:r>
      <w:r w:rsidR="00993B8B">
        <w:rPr>
          <w:rFonts w:cstheme="minorHAnsi"/>
        </w:rPr>
        <w:t>b</w:t>
      </w:r>
      <w:r w:rsidR="00226302">
        <w:rPr>
          <w:rFonts w:cstheme="minorHAnsi"/>
        </w:rPr>
        <w:t>ox</w:t>
      </w:r>
      <w:r w:rsidR="005634D7">
        <w:rPr>
          <w:rFonts w:cstheme="minorHAnsi"/>
        </w:rPr>
        <w:t> </w:t>
      </w:r>
      <w:r w:rsidR="004D2C9E">
        <w:rPr>
          <w:rFonts w:cstheme="minorHAnsi"/>
        </w:rPr>
        <w:t>4</w:t>
      </w:r>
      <w:r w:rsidR="00226302">
        <w:rPr>
          <w:rFonts w:cstheme="minorHAnsi"/>
        </w:rPr>
        <w:t>)</w:t>
      </w:r>
      <w:r w:rsidRPr="004760A8">
        <w:rPr>
          <w:rFonts w:cstheme="minorHAnsi"/>
        </w:rPr>
        <w:t xml:space="preserve">. </w:t>
      </w:r>
      <w:r w:rsidR="006F734F">
        <w:t xml:space="preserve">A clearly articulated conceptual logic supports the identification of key points of </w:t>
      </w:r>
      <w:r w:rsidR="00CE305C">
        <w:t>influence</w:t>
      </w:r>
      <w:r w:rsidR="006F734F">
        <w:t xml:space="preserve">, prioritisation of effort, and evaluation of </w:t>
      </w:r>
      <w:r w:rsidR="00257805">
        <w:t>a</w:t>
      </w:r>
      <w:r w:rsidR="006F734F">
        <w:t xml:space="preserve"> reform’s actions against its intent</w:t>
      </w:r>
      <w:r w:rsidR="00232018">
        <w:t xml:space="preserve"> </w:t>
      </w:r>
      <w:r w:rsidR="00232018" w:rsidRPr="00232018">
        <w:rPr>
          <w:rFonts w:ascii="Arial" w:hAnsi="Arial" w:cs="Arial"/>
          <w:szCs w:val="24"/>
        </w:rPr>
        <w:t>(Goldsworthy 2021, p. 2; Ramia et al. 2021, p. 16)</w:t>
      </w:r>
      <w:r w:rsidR="006F734F">
        <w:t xml:space="preserve">. </w:t>
      </w:r>
      <w:r w:rsidR="004B291F" w:rsidRPr="004760A8">
        <w:rPr>
          <w:rFonts w:cstheme="minorHAnsi"/>
        </w:rPr>
        <w:t xml:space="preserve">In the context of the </w:t>
      </w:r>
      <w:r w:rsidR="004B291F">
        <w:rPr>
          <w:rFonts w:cstheme="minorHAnsi"/>
        </w:rPr>
        <w:t>Agreement</w:t>
      </w:r>
      <w:r w:rsidR="004B291F" w:rsidRPr="004760A8">
        <w:rPr>
          <w:rFonts w:cstheme="minorHAnsi"/>
        </w:rPr>
        <w:t xml:space="preserve">, it is particularly important that the conceptual logic </w:t>
      </w:r>
      <w:r w:rsidR="004B291F">
        <w:rPr>
          <w:rFonts w:cstheme="minorHAnsi"/>
        </w:rPr>
        <w:t>reflects Aboriginal and Torres Strait Islander people’s understandings of progress, in terms of valued outcomes and the key factors influencing progress.</w:t>
      </w:r>
    </w:p>
    <w:p w14:paraId="4E793A3A" w14:textId="60E6D526" w:rsidR="00226302" w:rsidRPr="00F82BD9" w:rsidRDefault="00226302">
      <w:pPr>
        <w:pStyle w:val="NoSpacing"/>
      </w:pPr>
    </w:p>
    <w:tbl>
      <w:tblPr>
        <w:tblStyle w:val="Boxtable"/>
        <w:tblW w:w="5000" w:type="pct"/>
        <w:tblLook w:val="04A0" w:firstRow="1" w:lastRow="0" w:firstColumn="1" w:lastColumn="0" w:noHBand="0" w:noVBand="1"/>
      </w:tblPr>
      <w:tblGrid>
        <w:gridCol w:w="906"/>
        <w:gridCol w:w="8732"/>
      </w:tblGrid>
      <w:tr w:rsidR="0004528B" w14:paraId="077F6852" w14:textId="77777777" w:rsidTr="0004528B">
        <w:trPr>
          <w:tblHeader/>
        </w:trPr>
        <w:tc>
          <w:tcPr>
            <w:tcW w:w="851" w:type="dxa"/>
            <w:shd w:val="clear" w:color="auto" w:fill="FBF3EC"/>
            <w:tcMar>
              <w:top w:w="170" w:type="dxa"/>
              <w:left w:w="170" w:type="dxa"/>
              <w:bottom w:w="113" w:type="dxa"/>
              <w:right w:w="170" w:type="dxa"/>
            </w:tcMar>
            <w:hideMark/>
          </w:tcPr>
          <w:p w14:paraId="344EA0B5" w14:textId="58AD1C6A" w:rsidR="0004528B" w:rsidRDefault="0004528B" w:rsidP="0004528B">
            <w:pPr>
              <w:pStyle w:val="BoxHeading1"/>
              <w:spacing w:before="0"/>
            </w:pPr>
            <w:r w:rsidRPr="00A031AA">
              <w:rPr>
                <w:b/>
                <w:bCs/>
                <w:noProof/>
              </w:rPr>
              <w:drawing>
                <wp:inline distT="0" distB="0" distL="0" distR="0" wp14:anchorId="0427EDE5" wp14:editId="0ADE2670">
                  <wp:extent cx="360000" cy="424800"/>
                  <wp:effectExtent l="0" t="0" r="0" b="0"/>
                  <wp:docPr id="802936105" name="Picture 802936105" descr="A brown boomerang with red and yellow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16939" name="Picture 1293616939" descr="A brown boomerang with red and yellow do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424800"/>
                          </a:xfrm>
                          <a:prstGeom prst="rect">
                            <a:avLst/>
                          </a:prstGeom>
                        </pic:spPr>
                      </pic:pic>
                    </a:graphicData>
                  </a:graphic>
                </wp:inline>
              </w:drawing>
            </w:r>
          </w:p>
        </w:tc>
        <w:tc>
          <w:tcPr>
            <w:tcW w:w="8787" w:type="dxa"/>
            <w:shd w:val="clear" w:color="auto" w:fill="FBF3EC"/>
          </w:tcPr>
          <w:p w14:paraId="1BBB9CE9" w14:textId="7FDCE794" w:rsidR="0004528B" w:rsidRDefault="0004528B">
            <w:pPr>
              <w:pStyle w:val="BoxHeading1"/>
            </w:pPr>
            <w:r>
              <w:t>Box 4 – What are conceptual logics, program logics and theories of change?</w:t>
            </w:r>
          </w:p>
        </w:tc>
      </w:tr>
      <w:tr w:rsidR="00226302" w14:paraId="6BA76172" w14:textId="77777777" w:rsidTr="0004528B">
        <w:tc>
          <w:tcPr>
            <w:tcW w:w="9638" w:type="dxa"/>
            <w:gridSpan w:val="2"/>
            <w:shd w:val="clear" w:color="auto" w:fill="FBF3EC"/>
            <w:tcMar>
              <w:top w:w="28" w:type="dxa"/>
              <w:left w:w="170" w:type="dxa"/>
              <w:bottom w:w="170" w:type="dxa"/>
              <w:right w:w="170" w:type="dxa"/>
            </w:tcMar>
            <w:hideMark/>
          </w:tcPr>
          <w:p w14:paraId="5D2869E5" w14:textId="760E694F" w:rsidR="008966F1" w:rsidRPr="004760A8" w:rsidRDefault="008966F1" w:rsidP="008966F1">
            <w:pPr>
              <w:pStyle w:val="BodyText"/>
            </w:pPr>
            <w:r w:rsidRPr="004760A8">
              <w:t xml:space="preserve">A conceptual logic </w:t>
            </w:r>
            <w:r w:rsidR="00A3648F">
              <w:t>is a model</w:t>
            </w:r>
            <w:r w:rsidRPr="004760A8">
              <w:t xml:space="preserve"> </w:t>
            </w:r>
            <w:r w:rsidR="007A42EE">
              <w:t>or diagram of relationships</w:t>
            </w:r>
            <w:r w:rsidR="000E09AC">
              <w:t xml:space="preserve"> </w:t>
            </w:r>
            <w:r w:rsidR="007A42EE">
              <w:t>describing how</w:t>
            </w:r>
            <w:r w:rsidRPr="004760A8">
              <w:t xml:space="preserve"> policy actions </w:t>
            </w:r>
            <w:r>
              <w:t>or</w:t>
            </w:r>
            <w:r w:rsidRPr="004760A8">
              <w:t xml:space="preserve"> reforms </w:t>
            </w:r>
            <w:r w:rsidR="007A42EE">
              <w:t>are intended to</w:t>
            </w:r>
            <w:r w:rsidR="00415E32">
              <w:t xml:space="preserve"> influence</w:t>
            </w:r>
            <w:r w:rsidR="0076213A">
              <w:t xml:space="preserve"> </w:t>
            </w:r>
            <w:r w:rsidRPr="004760A8">
              <w:t>short</w:t>
            </w:r>
            <w:r w:rsidR="00827859">
              <w:noBreakHyphen/>
            </w:r>
            <w:r w:rsidRPr="004760A8">
              <w:t xml:space="preserve"> to long</w:t>
            </w:r>
            <w:r w:rsidR="00827859">
              <w:noBreakHyphen/>
            </w:r>
            <w:r w:rsidRPr="004760A8">
              <w:t>term outcomes.</w:t>
            </w:r>
            <w:r>
              <w:t xml:space="preserve"> </w:t>
            </w:r>
            <w:r w:rsidR="00B36CA6" w:rsidRPr="00B36CA6">
              <w:t>Logics vary in the level of change they describe and detail included</w:t>
            </w:r>
            <w:r w:rsidR="00B36CA6">
              <w:t xml:space="preserve"> </w:t>
            </w:r>
            <w:r w:rsidR="00B36CA6" w:rsidRPr="00B36CA6">
              <w:rPr>
                <w:rFonts w:ascii="Arial" w:hAnsi="Arial" w:cs="Arial"/>
                <w:szCs w:val="24"/>
              </w:rPr>
              <w:t>(Department of Finance 2015, pp. 22–26)</w:t>
            </w:r>
            <w:r w:rsidR="00626569">
              <w:t>.</w:t>
            </w:r>
            <w:r w:rsidR="00B36CA6" w:rsidRPr="00B36CA6">
              <w:t xml:space="preserve"> </w:t>
            </w:r>
            <w:r w:rsidR="003112FD">
              <w:t>Conceptual logics tend to</w:t>
            </w:r>
            <w:r w:rsidR="000E77BB">
              <w:t xml:space="preserve"> </w:t>
            </w:r>
            <w:r w:rsidR="007B2E78">
              <w:t>describe</w:t>
            </w:r>
            <w:r w:rsidR="000E77BB">
              <w:t xml:space="preserve"> a high</w:t>
            </w:r>
            <w:r w:rsidR="002E0D7B">
              <w:noBreakHyphen/>
            </w:r>
            <w:r w:rsidR="000E77BB">
              <w:t xml:space="preserve">level or abstracted </w:t>
            </w:r>
            <w:r w:rsidR="001C31E2">
              <w:t>set of causal relationships</w:t>
            </w:r>
            <w:r w:rsidR="007648D7">
              <w:t>. When applied to policies and programs</w:t>
            </w:r>
            <w:r w:rsidR="009E2D38">
              <w:t xml:space="preserve"> as ‘program logics’</w:t>
            </w:r>
            <w:r w:rsidR="007648D7">
              <w:t xml:space="preserve">, </w:t>
            </w:r>
            <w:r w:rsidR="00E00013">
              <w:t>they take on more detail in the form of specific resource inputs</w:t>
            </w:r>
            <w:r w:rsidR="00A93359">
              <w:t xml:space="preserve">, actions, </w:t>
            </w:r>
            <w:r w:rsidR="000773CE">
              <w:t xml:space="preserve">immediate outputs such as people served or </w:t>
            </w:r>
            <w:r w:rsidR="00533676">
              <w:t xml:space="preserve">activities delivered, </w:t>
            </w:r>
            <w:r w:rsidR="00B76F1C">
              <w:t>and short</w:t>
            </w:r>
            <w:r w:rsidR="00827859">
              <w:noBreakHyphen/>
            </w:r>
            <w:r w:rsidR="00B76F1C">
              <w:t>, medium</w:t>
            </w:r>
            <w:r w:rsidR="00827859">
              <w:noBreakHyphen/>
            </w:r>
            <w:r w:rsidR="00B76F1C">
              <w:t xml:space="preserve"> and long</w:t>
            </w:r>
            <w:r w:rsidR="00595B2F">
              <w:noBreakHyphen/>
            </w:r>
            <w:r w:rsidR="00B76F1C">
              <w:t>term outcomes</w:t>
            </w:r>
            <w:r w:rsidR="008743D1">
              <w:t xml:space="preserve"> </w:t>
            </w:r>
            <w:r w:rsidR="00914830" w:rsidRPr="00914830">
              <w:rPr>
                <w:rFonts w:ascii="Arial" w:hAnsi="Arial" w:cs="Arial"/>
                <w:szCs w:val="24"/>
              </w:rPr>
              <w:t>(Ramia et al. 2021, pp. 18–19)</w:t>
            </w:r>
            <w:r w:rsidR="00B76F1C">
              <w:t>.</w:t>
            </w:r>
            <w:r w:rsidR="0042202D">
              <w:t xml:space="preserve"> Long</w:t>
            </w:r>
            <w:r w:rsidR="00827859">
              <w:noBreakHyphen/>
            </w:r>
            <w:r w:rsidR="0042202D">
              <w:t xml:space="preserve">term outcomes are the most difficult to attribute to policy efforts as </w:t>
            </w:r>
            <w:r w:rsidR="00F15A60">
              <w:t xml:space="preserve">they </w:t>
            </w:r>
            <w:r w:rsidR="00A91E92">
              <w:t xml:space="preserve">take time to </w:t>
            </w:r>
            <w:r w:rsidR="00F15A60">
              <w:t>appear and</w:t>
            </w:r>
            <w:r w:rsidR="0042202D">
              <w:t xml:space="preserve"> can be influenced by many factors</w:t>
            </w:r>
            <w:r w:rsidR="00A91E92">
              <w:t>.</w:t>
            </w:r>
            <w:r w:rsidR="00326C1C">
              <w:t xml:space="preserve"> </w:t>
            </w:r>
            <w:r w:rsidRPr="004760A8">
              <w:t xml:space="preserve">The inclusion of intermediate outcomes can provide useful milestones to track the contribution of policy actions towards the achievement of </w:t>
            </w:r>
            <w:r>
              <w:t>outcomes that require longer time scales to observe</w:t>
            </w:r>
            <w:r w:rsidRPr="00C62E34">
              <w:t xml:space="preserve"> </w:t>
            </w:r>
            <w:r w:rsidR="009143AF" w:rsidRPr="009143AF">
              <w:rPr>
                <w:rFonts w:ascii="Arial" w:hAnsi="Arial" w:cs="Arial"/>
                <w:szCs w:val="24"/>
              </w:rPr>
              <w:t>(ANAO 2004, pp. 11–13; Nous Group 2014, pp. 26–27; Ramia et al. 2021, p. 19)</w:t>
            </w:r>
            <w:r w:rsidRPr="00C62E34">
              <w:t xml:space="preserve">. </w:t>
            </w:r>
            <w:r>
              <w:t>As well as</w:t>
            </w:r>
            <w:r w:rsidRPr="004760A8">
              <w:t xml:space="preserve"> </w:t>
            </w:r>
            <w:r>
              <w:t xml:space="preserve">identifying key factors that are intended to drive progress, the logic should illustrate important </w:t>
            </w:r>
            <w:r w:rsidR="001F0374">
              <w:t xml:space="preserve">causal </w:t>
            </w:r>
            <w:r w:rsidR="00326C1C" w:rsidRPr="004760A8">
              <w:t>links</w:t>
            </w:r>
            <w:r w:rsidRPr="004760A8">
              <w:t xml:space="preserve"> across different outcomes.</w:t>
            </w:r>
          </w:p>
          <w:p w14:paraId="2A893AD2" w14:textId="32C43210" w:rsidR="00AC2BE0" w:rsidRDefault="00E472D5" w:rsidP="008966F1">
            <w:pPr>
              <w:pStyle w:val="BodyText"/>
            </w:pPr>
            <w:r>
              <w:lastRenderedPageBreak/>
              <w:t>The term ‘logic’ is sometimes used interchangeably with ‘theory of change</w:t>
            </w:r>
            <w:r w:rsidR="001859E3">
              <w:t>’</w:t>
            </w:r>
            <w:r>
              <w:t xml:space="preserve">. </w:t>
            </w:r>
            <w:r w:rsidR="00F315B4">
              <w:t xml:space="preserve">While they both describe </w:t>
            </w:r>
            <w:r w:rsidR="00D9300F">
              <w:t xml:space="preserve">how </w:t>
            </w:r>
            <w:r w:rsidR="00F315B4">
              <w:t>social change</w:t>
            </w:r>
            <w:r w:rsidR="00D9300F">
              <w:t xml:space="preserve"> is intended to be achieved</w:t>
            </w:r>
            <w:r w:rsidR="00151C17">
              <w:t xml:space="preserve">, theories of change </w:t>
            </w:r>
            <w:r w:rsidR="00242EBE">
              <w:t xml:space="preserve">tend to include more </w:t>
            </w:r>
            <w:r w:rsidR="00EE5BAE">
              <w:t xml:space="preserve">comprehensive </w:t>
            </w:r>
            <w:r w:rsidR="00242EBE">
              <w:t>information about</w:t>
            </w:r>
            <w:r w:rsidR="003F1E4B">
              <w:t xml:space="preserve"> how change </w:t>
            </w:r>
            <w:r w:rsidR="001B0CAE">
              <w:t>occurs</w:t>
            </w:r>
            <w:r w:rsidR="00951D9C">
              <w:t xml:space="preserve"> </w:t>
            </w:r>
            <w:r w:rsidR="00951D9C" w:rsidRPr="00951D9C">
              <w:rPr>
                <w:rFonts w:ascii="Arial" w:hAnsi="Arial" w:cs="Arial"/>
                <w:szCs w:val="24"/>
              </w:rPr>
              <w:t>(Goldsworthy 2021)</w:t>
            </w:r>
            <w:r w:rsidR="00EE5BAE">
              <w:t>.</w:t>
            </w:r>
            <w:r w:rsidR="00F315B4">
              <w:t xml:space="preserve"> </w:t>
            </w:r>
            <w:r w:rsidR="00052D6E">
              <w:t>A</w:t>
            </w:r>
            <w:r w:rsidR="008966F1" w:rsidRPr="00C47E62">
              <w:t xml:space="preserve"> theory of change may be based on an established theory (such as a </w:t>
            </w:r>
            <w:r w:rsidR="0070729F">
              <w:t>h</w:t>
            </w:r>
            <w:r w:rsidR="008966F1" w:rsidRPr="00C47E62">
              <w:t xml:space="preserve">uman </w:t>
            </w:r>
            <w:r w:rsidR="0070729F">
              <w:t>r</w:t>
            </w:r>
            <w:r w:rsidR="008966F1" w:rsidRPr="00C47E62">
              <w:t xml:space="preserve">ights or </w:t>
            </w:r>
            <w:r w:rsidR="0070729F">
              <w:t>c</w:t>
            </w:r>
            <w:r w:rsidR="008966F1" w:rsidRPr="00C47E62">
              <w:t xml:space="preserve">apability </w:t>
            </w:r>
            <w:r w:rsidR="0070729F">
              <w:t>a</w:t>
            </w:r>
            <w:r w:rsidR="008966F1" w:rsidRPr="00C47E62">
              <w:t>pproach) or be supported by empirical research</w:t>
            </w:r>
            <w:r w:rsidR="008966F1">
              <w:t>, lived experience and knowledge of people impacted by policy efforts</w:t>
            </w:r>
            <w:r w:rsidR="008966F1" w:rsidRPr="00C47E62">
              <w:t>.</w:t>
            </w:r>
          </w:p>
          <w:p w14:paraId="6F6E0AF6" w14:textId="5D42FD6B" w:rsidR="00226302" w:rsidRPr="000407D3" w:rsidRDefault="008966F1" w:rsidP="000407D3">
            <w:pPr>
              <w:pStyle w:val="BodyText"/>
              <w:rPr>
                <w:rFonts w:cstheme="minorHAnsi"/>
              </w:rPr>
            </w:pPr>
            <w:r w:rsidRPr="00C47E62">
              <w:t xml:space="preserve">A theory of change </w:t>
            </w:r>
            <w:r w:rsidR="00D531D0">
              <w:t>or</w:t>
            </w:r>
            <w:r w:rsidR="00247837">
              <w:t xml:space="preserve"> logic</w:t>
            </w:r>
            <w:r w:rsidRPr="00C47E62">
              <w:t xml:space="preserve"> will necessarily be a simplified representation of how change occurs. </w:t>
            </w:r>
            <w:r>
              <w:t>While conceptual logics are often diagrammed as</w:t>
            </w:r>
            <w:r w:rsidRPr="00C47E62">
              <w:t xml:space="preserve"> </w:t>
            </w:r>
            <w:r>
              <w:t xml:space="preserve">a </w:t>
            </w:r>
            <w:r w:rsidRPr="00C47E62">
              <w:t xml:space="preserve">linear chain of cause and effect, social outcomes are often </w:t>
            </w:r>
            <w:r>
              <w:t>the result of the actions of many</w:t>
            </w:r>
            <w:r w:rsidRPr="00C47E62">
              <w:t xml:space="preserve"> interdependent </w:t>
            </w:r>
            <w:r>
              <w:t>systems and people</w:t>
            </w:r>
            <w:r w:rsidRPr="00C62E34">
              <w:t xml:space="preserve"> </w:t>
            </w:r>
            <w:r w:rsidR="006039C9" w:rsidRPr="006039C9">
              <w:rPr>
                <w:rFonts w:ascii="Arial" w:hAnsi="Arial" w:cs="Arial"/>
                <w:szCs w:val="24"/>
              </w:rPr>
              <w:t>(French et al. 2021, p. 115)</w:t>
            </w:r>
            <w:r w:rsidRPr="00C62E34">
              <w:t>.</w:t>
            </w:r>
            <w:r>
              <w:t xml:space="preserve"> For example, life expectancy is influenced by many policy domains including health, community, culture, social security, housing, education, employment, and justice, and how these interact with each other </w:t>
            </w:r>
            <w:r w:rsidR="00983C00">
              <w:t>in the lives</w:t>
            </w:r>
            <w:r>
              <w:t xml:space="preserve"> of people and communities.</w:t>
            </w:r>
            <w:r w:rsidRPr="00C62E34">
              <w:rPr>
                <w:rFonts w:cstheme="minorHAnsi"/>
              </w:rPr>
              <w:t xml:space="preserve"> </w:t>
            </w:r>
            <w:r w:rsidRPr="004760A8">
              <w:rPr>
                <w:rFonts w:cstheme="minorHAnsi"/>
              </w:rPr>
              <w:t>As such, progress may be better understood through a</w:t>
            </w:r>
            <w:r>
              <w:rPr>
                <w:rFonts w:cstheme="minorHAnsi"/>
              </w:rPr>
              <w:t>n</w:t>
            </w:r>
            <w:r w:rsidRPr="004760A8">
              <w:rPr>
                <w:rFonts w:cstheme="minorHAnsi"/>
              </w:rPr>
              <w:t xml:space="preserve"> </w:t>
            </w:r>
            <w:r>
              <w:rPr>
                <w:rFonts w:cstheme="minorHAnsi"/>
              </w:rPr>
              <w:t>ecological or</w:t>
            </w:r>
            <w:r w:rsidRPr="004760A8">
              <w:rPr>
                <w:rFonts w:cstheme="minorHAnsi"/>
              </w:rPr>
              <w:t xml:space="preserve"> systems lens which conceptualises different domains or </w:t>
            </w:r>
            <w:r>
              <w:rPr>
                <w:rFonts w:cstheme="minorHAnsi"/>
              </w:rPr>
              <w:t>levels</w:t>
            </w:r>
            <w:r w:rsidRPr="004760A8">
              <w:rPr>
                <w:rFonts w:cstheme="minorHAnsi"/>
              </w:rPr>
              <w:t xml:space="preserve"> of outcomes (e.g. individual, </w:t>
            </w:r>
            <w:r>
              <w:rPr>
                <w:rFonts w:cstheme="minorHAnsi"/>
              </w:rPr>
              <w:t xml:space="preserve">family, </w:t>
            </w:r>
            <w:r w:rsidRPr="004760A8">
              <w:rPr>
                <w:rFonts w:cstheme="minorHAnsi"/>
              </w:rPr>
              <w:t xml:space="preserve">community, </w:t>
            </w:r>
            <w:r>
              <w:rPr>
                <w:rFonts w:cstheme="minorHAnsi"/>
              </w:rPr>
              <w:t>institutions, environment</w:t>
            </w:r>
            <w:r w:rsidRPr="004760A8">
              <w:rPr>
                <w:rFonts w:cstheme="minorHAnsi"/>
              </w:rPr>
              <w:t xml:space="preserve">) and the </w:t>
            </w:r>
            <w:r>
              <w:rPr>
                <w:rFonts w:cstheme="minorHAnsi"/>
              </w:rPr>
              <w:t>interactions</w:t>
            </w:r>
            <w:r w:rsidRPr="004760A8">
              <w:rPr>
                <w:rFonts w:cstheme="minorHAnsi"/>
              </w:rPr>
              <w:t xml:space="preserve"> between them</w:t>
            </w:r>
            <w:r w:rsidR="007F150D">
              <w:rPr>
                <w:rFonts w:cstheme="minorHAnsi"/>
              </w:rPr>
              <w:t xml:space="preserve"> </w:t>
            </w:r>
            <w:r w:rsidR="007F150D" w:rsidRPr="007F150D">
              <w:rPr>
                <w:rFonts w:ascii="Arial" w:hAnsi="Arial" w:cs="Arial"/>
                <w:szCs w:val="24"/>
              </w:rPr>
              <w:t>(Ramia et al. 2021, pp. 7–8)</w:t>
            </w:r>
            <w:r w:rsidRPr="004760A8">
              <w:rPr>
                <w:rFonts w:cstheme="minorHAnsi"/>
              </w:rPr>
              <w:t>.</w:t>
            </w:r>
          </w:p>
        </w:tc>
      </w:tr>
      <w:tr w:rsidR="00226302" w14:paraId="62E51867" w14:textId="77777777">
        <w:trPr>
          <w:hidden/>
        </w:trPr>
        <w:tc>
          <w:tcPr>
            <w:tcW w:w="9638" w:type="dxa"/>
            <w:gridSpan w:val="2"/>
            <w:shd w:val="clear" w:color="auto" w:fill="auto"/>
            <w:tcMar>
              <w:top w:w="0" w:type="dxa"/>
              <w:left w:w="170" w:type="dxa"/>
              <w:bottom w:w="0" w:type="dxa"/>
              <w:right w:w="170" w:type="dxa"/>
            </w:tcMar>
          </w:tcPr>
          <w:p w14:paraId="0F5249C7" w14:textId="128BEF6B" w:rsidR="00226302" w:rsidRPr="00465191" w:rsidRDefault="00226302">
            <w:pPr>
              <w:pStyle w:val="BodyText"/>
              <w:spacing w:before="0" w:after="0" w:line="80" w:lineRule="atLeast"/>
              <w:rPr>
                <w:smallCaps/>
                <w:vanish/>
              </w:rPr>
            </w:pPr>
          </w:p>
        </w:tc>
      </w:tr>
    </w:tbl>
    <w:p w14:paraId="6E358DD5" w14:textId="77777777" w:rsidR="003E5EDF" w:rsidRDefault="00D5154D" w:rsidP="004B07D7">
      <w:pPr>
        <w:pStyle w:val="Heading3"/>
      </w:pPr>
      <w:r>
        <w:t>The conceptual logic linking Priority Reforms with outcomes needs to be explicitly articulated and applied</w:t>
      </w:r>
      <w:r w:rsidDel="00D5154D">
        <w:t xml:space="preserve"> </w:t>
      </w:r>
    </w:p>
    <w:p w14:paraId="349EA020" w14:textId="723B51D7" w:rsidR="00D3080D" w:rsidRDefault="005F44AE" w:rsidP="00E27977">
      <w:pPr>
        <w:pStyle w:val="BodyText"/>
      </w:pPr>
      <w:r>
        <w:t>T</w:t>
      </w:r>
      <w:r w:rsidR="00023D18">
        <w:t>he Agreement outlines the key building blocks of the reform effort</w:t>
      </w:r>
      <w:r w:rsidR="0035336E">
        <w:t xml:space="preserve"> </w:t>
      </w:r>
      <w:r w:rsidR="00C05BD9" w:rsidRPr="00C05BD9">
        <w:t xml:space="preserve">(including a statement of objective, desired outcomes, a commitment to prioritising Aboriginal and Torres Strait Islander cultures, and an agreed set of </w:t>
      </w:r>
      <w:r w:rsidR="00E16EA8">
        <w:t>P</w:t>
      </w:r>
      <w:r w:rsidR="00C05BD9" w:rsidRPr="00C05BD9">
        <w:t xml:space="preserve">riority </w:t>
      </w:r>
      <w:r w:rsidR="00E16EA8">
        <w:t>R</w:t>
      </w:r>
      <w:r w:rsidR="00C05BD9" w:rsidRPr="00C05BD9">
        <w:t>eforms)</w:t>
      </w:r>
      <w:r w:rsidR="00095C97">
        <w:t xml:space="preserve"> </w:t>
      </w:r>
      <w:r w:rsidR="00387402">
        <w:t>(box</w:t>
      </w:r>
      <w:r w:rsidR="005634D7">
        <w:t> </w:t>
      </w:r>
      <w:r w:rsidR="004D2C9E">
        <w:t>5</w:t>
      </w:r>
      <w:r w:rsidR="00C05BD9" w:rsidRPr="00C05BD9">
        <w:t>)</w:t>
      </w:r>
      <w:r w:rsidR="006838AF">
        <w:t>.</w:t>
      </w:r>
      <w:r w:rsidR="00023D18">
        <w:t xml:space="preserve"> </w:t>
      </w:r>
      <w:r w:rsidR="006838AF">
        <w:t>However,</w:t>
      </w:r>
      <w:r w:rsidR="00023D18">
        <w:t xml:space="preserve"> it does not </w:t>
      </w:r>
      <w:r w:rsidR="002D2DD9">
        <w:t xml:space="preserve">explicitly </w:t>
      </w:r>
      <w:r w:rsidR="00232FB2">
        <w:t>set out</w:t>
      </w:r>
      <w:r w:rsidR="002D2DD9">
        <w:t xml:space="preserve"> </w:t>
      </w:r>
      <w:r w:rsidR="00023D18">
        <w:t xml:space="preserve">a logic </w:t>
      </w:r>
      <w:r w:rsidR="00187EAE">
        <w:t>linking them that would</w:t>
      </w:r>
      <w:r w:rsidR="003229B5">
        <w:t xml:space="preserve"> </w:t>
      </w:r>
      <w:r w:rsidR="00795158">
        <w:t xml:space="preserve">support </w:t>
      </w:r>
      <w:r w:rsidR="00EC11A2">
        <w:t>a shared understanding of the</w:t>
      </w:r>
      <w:r w:rsidR="009A230B">
        <w:t xml:space="preserve"> intended change.</w:t>
      </w:r>
      <w:r w:rsidR="00C62C71">
        <w:t xml:space="preserve"> </w:t>
      </w:r>
      <w:r w:rsidR="00B21C58">
        <w:t>It</w:t>
      </w:r>
      <w:r w:rsidR="00203F15">
        <w:t xml:space="preserve"> does not explain how the </w:t>
      </w:r>
      <w:r w:rsidR="007635CA">
        <w:t>P</w:t>
      </w:r>
      <w:r w:rsidR="00203F15">
        <w:t xml:space="preserve">riority </w:t>
      </w:r>
      <w:r w:rsidR="007635CA">
        <w:t>R</w:t>
      </w:r>
      <w:r w:rsidR="00203F15">
        <w:t xml:space="preserve">eforms will contribute to improved </w:t>
      </w:r>
      <w:r w:rsidR="00163774">
        <w:t>socio</w:t>
      </w:r>
      <w:r w:rsidR="00827859">
        <w:noBreakHyphen/>
      </w:r>
      <w:r w:rsidR="00163774">
        <w:t>economic</w:t>
      </w:r>
      <w:r w:rsidR="00203F15">
        <w:t xml:space="preserve"> outcomes beyond broadly stating that ‘</w:t>
      </w:r>
      <w:r w:rsidR="00203F15" w:rsidRPr="00860095">
        <w:t>full implementation of the Priority Reforms will support an accelerated achievement of the socio</w:t>
      </w:r>
      <w:r w:rsidR="00827859">
        <w:noBreakHyphen/>
      </w:r>
      <w:r w:rsidR="00203F15" w:rsidRPr="00860095">
        <w:t>economic targets</w:t>
      </w:r>
      <w:r w:rsidR="00203F15">
        <w:t xml:space="preserve">’ (clause 80). </w:t>
      </w:r>
    </w:p>
    <w:p w14:paraId="260D962D" w14:textId="77777777" w:rsidR="00EB2FED" w:rsidRPr="00697212" w:rsidRDefault="00EB2FED" w:rsidP="00EB2FED">
      <w:pPr>
        <w:pStyle w:val="BodyText"/>
        <w:rPr>
          <w:spacing w:val="-2"/>
        </w:rPr>
      </w:pPr>
      <w:r w:rsidRPr="00697212">
        <w:rPr>
          <w:spacing w:val="-2"/>
        </w:rPr>
        <w:t>The performance monitoring framework lacks a clear conceptual logic. The outcomes, targets, and supporting indicators for the Priority Reforms and socio</w:t>
      </w:r>
      <w:r w:rsidRPr="00697212">
        <w:rPr>
          <w:spacing w:val="-2"/>
        </w:rPr>
        <w:noBreakHyphen/>
        <w:t>economic outcomes are listed in two separate target framework tables (tables A and B) and grouped by outcome area. This obscures the relationships between the reforms, cultural determinants, and socio</w:t>
      </w:r>
      <w:r w:rsidRPr="00697212">
        <w:rPr>
          <w:spacing w:val="-2"/>
        </w:rPr>
        <w:noBreakHyphen/>
        <w:t>economic outcomes, outlining the drivers for each in their own siloed policy domain. The framework does not</w:t>
      </w:r>
      <w:r w:rsidRPr="00697212" w:rsidDel="00392E47">
        <w:rPr>
          <w:spacing w:val="-2"/>
        </w:rPr>
        <w:t xml:space="preserve"> </w:t>
      </w:r>
      <w:r w:rsidRPr="00697212">
        <w:rPr>
          <w:spacing w:val="-2"/>
        </w:rPr>
        <w:t>articulate how supporting indicators in each outcome area relate to what the Agreement seeks to achieve. Instead, it includes a large number of indicators and data development items (over 300) without a clear or consistent rationale for why some were included and others excluded.</w:t>
      </w:r>
    </w:p>
    <w:p w14:paraId="494CE582" w14:textId="44540C4A" w:rsidR="00EB2FED" w:rsidRDefault="00EB2FED" w:rsidP="00E27977">
      <w:pPr>
        <w:pStyle w:val="BodyText"/>
      </w:pPr>
      <w:r w:rsidRPr="002952FD">
        <w:t xml:space="preserve">Clarifying the conceptual logic is critical to </w:t>
      </w:r>
      <w:r>
        <w:t xml:space="preserve">the effectiveness of the performance framework and </w:t>
      </w:r>
      <w:r w:rsidRPr="002952FD">
        <w:t>further development of the measurement approach.</w:t>
      </w:r>
      <w:r>
        <w:t xml:space="preserve"> Without a logic, it is difficult to evaluate whether the Agreement is progressing as intended, and this undermines the framework’s utility as an accountability mechanism. This issue was</w:t>
      </w:r>
      <w:r w:rsidDel="00B7770C">
        <w:t xml:space="preserve"> </w:t>
      </w:r>
      <w:r>
        <w:t>identified by the Australian National Audit Office as hindering the implementation and evaluation of the NIRA, resulting in a recommendation that action plans under the ‘refreshed Closing the Gap framework clearly [identify] the links between program inputs, outputs and outcomes and the framework’s higher</w:t>
      </w:r>
      <w:r>
        <w:noBreakHyphen/>
        <w:t xml:space="preserve">level outcomes and targets’ </w:t>
      </w:r>
      <w:r w:rsidRPr="001C5C8F">
        <w:rPr>
          <w:rFonts w:ascii="Arial" w:hAnsi="Arial" w:cs="Arial"/>
          <w:szCs w:val="24"/>
        </w:rPr>
        <w:t>(ANAO 2019, p. 52)</w:t>
      </w:r>
      <w:r>
        <w:t xml:space="preserve">. </w:t>
      </w:r>
    </w:p>
    <w:p w14:paraId="3BA6AE5C" w14:textId="77777777" w:rsidR="00EB2FED" w:rsidRDefault="00EB2FED" w:rsidP="00EB2FED">
      <w:pPr>
        <w:pStyle w:val="BodyText"/>
      </w:pPr>
      <w:r>
        <w:t>Even where concepts are difficult to measure or data is not currently available, work to formulate a clear conceptual logic can drive a shared understanding of the expected change and relationship between actions and outcomes. Reflecting on progress to date, the Coalition of Peaks noted:</w:t>
      </w:r>
    </w:p>
    <w:p w14:paraId="047BCA21" w14:textId="77777777" w:rsidR="00EB2FED" w:rsidRDefault="00EB2FED" w:rsidP="00EB2FED">
      <w:pPr>
        <w:pStyle w:val="Quote"/>
      </w:pPr>
      <w:r>
        <w:lastRenderedPageBreak/>
        <w:t>Even when there is acknowledgement of the National Agreement, there can often be a disparity in the understanding of its premise. The premise of the National Agreement is that an overhaul is needed to the way governments work if we are to see progress against the socio</w:t>
      </w:r>
      <w:r>
        <w:noBreakHyphen/>
        <w:t>economic targets. While the Priority Reforms are designed to change the way governments work with our communities and organisations, there tends to be over</w:t>
      </w:r>
      <w:r>
        <w:noBreakHyphen/>
        <w:t>emphasis on achieving the socio</w:t>
      </w:r>
      <w:r>
        <w:noBreakHyphen/>
        <w:t>economic outcomes in isolation, or simply completing the listed partnership actions. Governments must understand, embrace, and embed the Priority Reforms in their jurisdiction if we are going to deliver and drive accelerated progress to close the gap. (sub. 25, p. 2)</w:t>
      </w:r>
    </w:p>
    <w:p w14:paraId="4A4BB4EA" w14:textId="6BAF7960" w:rsidR="00DE6822" w:rsidRPr="00F82BD9" w:rsidRDefault="00DE6822">
      <w:pPr>
        <w:pStyle w:val="NoSpacing"/>
      </w:pPr>
    </w:p>
    <w:tbl>
      <w:tblPr>
        <w:tblStyle w:val="Boxtable"/>
        <w:tblW w:w="5000" w:type="pct"/>
        <w:tblLook w:val="04A0" w:firstRow="1" w:lastRow="0" w:firstColumn="1" w:lastColumn="0" w:noHBand="0" w:noVBand="1"/>
      </w:tblPr>
      <w:tblGrid>
        <w:gridCol w:w="906"/>
        <w:gridCol w:w="8732"/>
      </w:tblGrid>
      <w:tr w:rsidR="0004528B" w14:paraId="1EC23FB4" w14:textId="77777777" w:rsidTr="0004528B">
        <w:trPr>
          <w:tblHeader/>
        </w:trPr>
        <w:tc>
          <w:tcPr>
            <w:tcW w:w="851" w:type="dxa"/>
            <w:shd w:val="clear" w:color="auto" w:fill="FBF3EC"/>
            <w:tcMar>
              <w:top w:w="170" w:type="dxa"/>
              <w:left w:w="170" w:type="dxa"/>
              <w:bottom w:w="113" w:type="dxa"/>
              <w:right w:w="170" w:type="dxa"/>
            </w:tcMar>
            <w:hideMark/>
          </w:tcPr>
          <w:p w14:paraId="228750DC" w14:textId="13B368D7" w:rsidR="0004528B" w:rsidRDefault="0004528B" w:rsidP="0004528B">
            <w:pPr>
              <w:pStyle w:val="BoxHeading1"/>
              <w:spacing w:before="120"/>
            </w:pPr>
            <w:r w:rsidRPr="00A031AA">
              <w:rPr>
                <w:b/>
                <w:bCs/>
                <w:noProof/>
              </w:rPr>
              <w:drawing>
                <wp:inline distT="0" distB="0" distL="0" distR="0" wp14:anchorId="64C9C2DD" wp14:editId="2B45926B">
                  <wp:extent cx="360000" cy="424800"/>
                  <wp:effectExtent l="0" t="0" r="0" b="0"/>
                  <wp:docPr id="160911981" name="Picture 160911981" descr="A brown boomerang with red and yellow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16939" name="Picture 1293616939" descr="A brown boomerang with red and yellow do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424800"/>
                          </a:xfrm>
                          <a:prstGeom prst="rect">
                            <a:avLst/>
                          </a:prstGeom>
                        </pic:spPr>
                      </pic:pic>
                    </a:graphicData>
                  </a:graphic>
                </wp:inline>
              </w:drawing>
            </w:r>
          </w:p>
        </w:tc>
        <w:tc>
          <w:tcPr>
            <w:tcW w:w="8787" w:type="dxa"/>
            <w:shd w:val="clear" w:color="auto" w:fill="FBF3EC"/>
          </w:tcPr>
          <w:p w14:paraId="55685644" w14:textId="7715A04C" w:rsidR="0004528B" w:rsidRDefault="0004528B">
            <w:pPr>
              <w:pStyle w:val="BoxHeading1"/>
            </w:pPr>
            <w:r>
              <w:t>Box 5 – The implied logic of the Agreement describes how self</w:t>
            </w:r>
            <w:r>
              <w:noBreakHyphen/>
              <w:t>determination and cultural recognition drive outcomes</w:t>
            </w:r>
          </w:p>
        </w:tc>
      </w:tr>
      <w:tr w:rsidR="00DE6822" w14:paraId="51A36ADF" w14:textId="77777777" w:rsidTr="0004528B">
        <w:tc>
          <w:tcPr>
            <w:tcW w:w="9638" w:type="dxa"/>
            <w:gridSpan w:val="2"/>
            <w:shd w:val="clear" w:color="auto" w:fill="FBF3EC"/>
            <w:tcMar>
              <w:top w:w="28" w:type="dxa"/>
              <w:left w:w="170" w:type="dxa"/>
              <w:bottom w:w="170" w:type="dxa"/>
              <w:right w:w="170" w:type="dxa"/>
            </w:tcMar>
            <w:hideMark/>
          </w:tcPr>
          <w:p w14:paraId="0D389072" w14:textId="372C4B66" w:rsidR="009A1EDD" w:rsidRPr="00697212" w:rsidRDefault="009A1EDD" w:rsidP="009A1EDD">
            <w:pPr>
              <w:pStyle w:val="BodyText"/>
              <w:rPr>
                <w:spacing w:val="-2"/>
              </w:rPr>
            </w:pPr>
            <w:r w:rsidRPr="00697212">
              <w:rPr>
                <w:spacing w:val="-2"/>
              </w:rPr>
              <w:t xml:space="preserve">While the Agreement does not explicitly set out a conceptual logic describing how the Priority Reforms will drive change in outcomes, a partial logic can be derived from </w:t>
            </w:r>
            <w:r w:rsidR="00476F8E" w:rsidRPr="00697212">
              <w:rPr>
                <w:spacing w:val="-2"/>
              </w:rPr>
              <w:t>its</w:t>
            </w:r>
            <w:r w:rsidRPr="00697212">
              <w:rPr>
                <w:spacing w:val="-2"/>
              </w:rPr>
              <w:t xml:space="preserve"> elements. The</w:t>
            </w:r>
            <w:r w:rsidRPr="00697212" w:rsidDel="00F8510C">
              <w:rPr>
                <w:spacing w:val="-2"/>
              </w:rPr>
              <w:t xml:space="preserve"> </w:t>
            </w:r>
            <w:r w:rsidRPr="00697212">
              <w:rPr>
                <w:spacing w:val="-2"/>
              </w:rPr>
              <w:t>implied conceptual logic links the Priority Reforms to the socio</w:t>
            </w:r>
            <w:r w:rsidR="00827859" w:rsidRPr="00697212">
              <w:rPr>
                <w:spacing w:val="-2"/>
              </w:rPr>
              <w:noBreakHyphen/>
            </w:r>
            <w:r w:rsidRPr="00697212">
              <w:rPr>
                <w:spacing w:val="-2"/>
              </w:rPr>
              <w:t xml:space="preserve">economic outcomes through </w:t>
            </w:r>
            <w:r w:rsidR="00BF4A69" w:rsidRPr="00697212">
              <w:rPr>
                <w:spacing w:val="-2"/>
              </w:rPr>
              <w:t xml:space="preserve">the centring of </w:t>
            </w:r>
            <w:r w:rsidR="00FC044C" w:rsidRPr="00697212">
              <w:rPr>
                <w:spacing w:val="-2"/>
              </w:rPr>
              <w:t xml:space="preserve">Aboriginal and Torres Strait Islander perspectives </w:t>
            </w:r>
            <w:r w:rsidR="0096079C" w:rsidRPr="00697212">
              <w:rPr>
                <w:spacing w:val="-2"/>
              </w:rPr>
              <w:t>and knowledges in</w:t>
            </w:r>
            <w:r w:rsidRPr="00697212">
              <w:rPr>
                <w:spacing w:val="-2"/>
              </w:rPr>
              <w:t xml:space="preserve"> policies and programs. It can be described as follows</w:t>
            </w:r>
            <w:r w:rsidR="00BB375E" w:rsidRPr="00697212">
              <w:rPr>
                <w:spacing w:val="-2"/>
              </w:rPr>
              <w:t>.</w:t>
            </w:r>
          </w:p>
          <w:p w14:paraId="76E2180C" w14:textId="4912FD9B" w:rsidR="009A1EDD" w:rsidRPr="00697212" w:rsidRDefault="009A1EDD" w:rsidP="00697212">
            <w:pPr>
              <w:pStyle w:val="ListBullet"/>
              <w:rPr>
                <w:spacing w:val="-4"/>
              </w:rPr>
            </w:pPr>
            <w:r w:rsidRPr="00697212">
              <w:rPr>
                <w:spacing w:val="-4"/>
              </w:rPr>
              <w:t xml:space="preserve">The Agreement </w:t>
            </w:r>
            <w:r w:rsidR="00F03CB3" w:rsidRPr="00697212">
              <w:rPr>
                <w:spacing w:val="-4"/>
              </w:rPr>
              <w:t xml:space="preserve">aims </w:t>
            </w:r>
            <w:r w:rsidRPr="00697212">
              <w:rPr>
                <w:spacing w:val="-4"/>
              </w:rPr>
              <w:t xml:space="preserve">to </w:t>
            </w:r>
            <w:r w:rsidR="00F03CB3" w:rsidRPr="00697212">
              <w:rPr>
                <w:spacing w:val="-4"/>
              </w:rPr>
              <w:t>improve</w:t>
            </w:r>
            <w:r w:rsidRPr="00697212">
              <w:rPr>
                <w:spacing w:val="-4"/>
              </w:rPr>
              <w:t xml:space="preserve"> life outcomes through changes in the relationship between governments and Aboriginal and Torres Strait Islander people that </w:t>
            </w:r>
            <w:r w:rsidR="008734A3" w:rsidRPr="00697212">
              <w:rPr>
                <w:spacing w:val="-4"/>
              </w:rPr>
              <w:t xml:space="preserve">enable </w:t>
            </w:r>
            <w:r w:rsidRPr="00697212">
              <w:rPr>
                <w:spacing w:val="-4"/>
              </w:rPr>
              <w:t xml:space="preserve">greater </w:t>
            </w:r>
            <w:r w:rsidRPr="00F46C6A">
              <w:rPr>
                <w:spacing w:val="-4"/>
              </w:rPr>
              <w:t>self</w:t>
            </w:r>
            <w:r w:rsidR="001B70D7" w:rsidRPr="00F46C6A">
              <w:rPr>
                <w:spacing w:val="-4"/>
              </w:rPr>
              <w:noBreakHyphen/>
            </w:r>
            <w:r w:rsidRPr="00F46C6A">
              <w:rPr>
                <w:spacing w:val="-4"/>
              </w:rPr>
              <w:t>determination</w:t>
            </w:r>
            <w:r w:rsidRPr="00697212">
              <w:rPr>
                <w:spacing w:val="-4"/>
              </w:rPr>
              <w:t xml:space="preserve"> and </w:t>
            </w:r>
            <w:r w:rsidRPr="00F46C6A">
              <w:rPr>
                <w:spacing w:val="-4"/>
              </w:rPr>
              <w:t>cultural recognition</w:t>
            </w:r>
            <w:r w:rsidRPr="00697212">
              <w:rPr>
                <w:spacing w:val="-4"/>
              </w:rPr>
              <w:t xml:space="preserve">. The Priority Reforms </w:t>
            </w:r>
            <w:r w:rsidR="00136C12" w:rsidRPr="00697212">
              <w:rPr>
                <w:spacing w:val="-4"/>
              </w:rPr>
              <w:t xml:space="preserve">describe how </w:t>
            </w:r>
            <w:r w:rsidR="00BA0A7E" w:rsidRPr="00697212">
              <w:rPr>
                <w:spacing w:val="-4"/>
              </w:rPr>
              <w:t>the Agreement will bring about these changes.</w:t>
            </w:r>
          </w:p>
          <w:p w14:paraId="5AC16BD6" w14:textId="07C55804" w:rsidR="009A1EDD" w:rsidRDefault="009A1EDD" w:rsidP="00BB375E">
            <w:pPr>
              <w:pStyle w:val="ListBullet"/>
            </w:pPr>
            <w:r>
              <w:t xml:space="preserve">The </w:t>
            </w:r>
            <w:r w:rsidR="00CB5207">
              <w:t>Priority R</w:t>
            </w:r>
            <w:r>
              <w:t xml:space="preserve">eforms </w:t>
            </w:r>
            <w:r w:rsidR="00CC2E8D">
              <w:t>will promo</w:t>
            </w:r>
            <w:r w:rsidR="000E1CB7">
              <w:t>te greater</w:t>
            </w:r>
            <w:r>
              <w:t xml:space="preserve"> recognition of Aboriginal and Torres Strait Islander cultures and their historical treatment. </w:t>
            </w:r>
          </w:p>
          <w:p w14:paraId="4952C4BD" w14:textId="1AF5873D" w:rsidR="009A1EDD" w:rsidRDefault="009A1EDD" w:rsidP="00BB375E">
            <w:pPr>
              <w:pStyle w:val="ListBullet"/>
            </w:pPr>
            <w:r>
              <w:t xml:space="preserve">This recognition will reinforce efforts to </w:t>
            </w:r>
            <w:r w:rsidR="006134C6">
              <w:t>strengthen</w:t>
            </w:r>
            <w:r>
              <w:t xml:space="preserve"> </w:t>
            </w:r>
            <w:r w:rsidR="000F6533">
              <w:t xml:space="preserve">Aboriginal and Torres Strait Islander </w:t>
            </w:r>
            <w:r>
              <w:t xml:space="preserve">leadership in the design and delivery of policies and </w:t>
            </w:r>
            <w:r w:rsidR="006134C6">
              <w:t>programs</w:t>
            </w:r>
            <w:r>
              <w:t xml:space="preserve">, through </w:t>
            </w:r>
            <w:r w:rsidR="00BC07B6">
              <w:t>shared decision</w:t>
            </w:r>
            <w:r w:rsidR="00827859">
              <w:noBreakHyphen/>
            </w:r>
            <w:r w:rsidR="00BC07B6">
              <w:t>making</w:t>
            </w:r>
            <w:r>
              <w:t>, Aboriginal and Torres Strait Islander community control</w:t>
            </w:r>
            <w:r w:rsidR="00B03A3E">
              <w:t xml:space="preserve"> and access to </w:t>
            </w:r>
            <w:r w:rsidR="00EB6205">
              <w:t>relevant data</w:t>
            </w:r>
            <w:r>
              <w:t xml:space="preserve">. </w:t>
            </w:r>
          </w:p>
          <w:p w14:paraId="075251E4" w14:textId="24A76F44" w:rsidR="009A1EDD" w:rsidRDefault="009A1EDD" w:rsidP="00697212">
            <w:pPr>
              <w:pStyle w:val="ListBullet"/>
            </w:pPr>
            <w:r>
              <w:t xml:space="preserve">Together, the Priority Reforms will contribute to the development of more culturally </w:t>
            </w:r>
            <w:r w:rsidR="00C478C9">
              <w:t xml:space="preserve">safe and responsive </w:t>
            </w:r>
            <w:r>
              <w:t>policies</w:t>
            </w:r>
            <w:r w:rsidR="00C478C9">
              <w:t xml:space="preserve"> and programs</w:t>
            </w:r>
            <w:r>
              <w:t>.</w:t>
            </w:r>
          </w:p>
          <w:p w14:paraId="7C1C5963" w14:textId="415A1D6B" w:rsidR="009A1EDD" w:rsidRDefault="009A1EDD" w:rsidP="00697212">
            <w:pPr>
              <w:pStyle w:val="ListBullet"/>
            </w:pPr>
            <w:r>
              <w:t>As a result, Aboriginal and Torres Strait Islander people will be able to access better</w:t>
            </w:r>
            <w:r w:rsidR="003D45BA">
              <w:noBreakHyphen/>
            </w:r>
            <w:r>
              <w:t>quality and more culturally relevant services</w:t>
            </w:r>
            <w:r w:rsidR="004A379E">
              <w:t>. This will reduce</w:t>
            </w:r>
            <w:r>
              <w:t xml:space="preserve"> barriers </w:t>
            </w:r>
            <w:r w:rsidR="007810E5">
              <w:t>to participation</w:t>
            </w:r>
            <w:r>
              <w:t xml:space="preserve"> in </w:t>
            </w:r>
            <w:r w:rsidR="002A7EBA">
              <w:t>social and economic</w:t>
            </w:r>
            <w:r>
              <w:t xml:space="preserve"> activities valued by Aboriginal and Torres Strait Islander people</w:t>
            </w:r>
            <w:r w:rsidR="00EF7431">
              <w:t>, which will lead</w:t>
            </w:r>
            <w:r>
              <w:t xml:space="preserve"> to improved life outcomes. </w:t>
            </w:r>
          </w:p>
          <w:p w14:paraId="5624F3EE" w14:textId="1117D96C" w:rsidR="00A162BB" w:rsidRPr="00697212" w:rsidRDefault="00A162BB" w:rsidP="00AF341F">
            <w:pPr>
              <w:pStyle w:val="BodyText"/>
              <w:rPr>
                <w:spacing w:val="-2"/>
              </w:rPr>
            </w:pPr>
            <w:r w:rsidRPr="00697212">
              <w:rPr>
                <w:spacing w:val="-2"/>
              </w:rPr>
              <w:t>Given the variety of indicators in the performance monitoring framework (figure</w:t>
            </w:r>
            <w:r w:rsidR="005634D7" w:rsidRPr="00697212">
              <w:rPr>
                <w:spacing w:val="-2"/>
              </w:rPr>
              <w:t> </w:t>
            </w:r>
            <w:r w:rsidRPr="00697212">
              <w:rPr>
                <w:spacing w:val="-2"/>
              </w:rPr>
              <w:t>1), this description necessarily privileges some ‘drivers’ over others</w:t>
            </w:r>
            <w:r w:rsidR="00EA74E0" w:rsidRPr="00697212">
              <w:rPr>
                <w:spacing w:val="-2"/>
              </w:rPr>
              <w:t>,</w:t>
            </w:r>
            <w:r w:rsidRPr="00697212">
              <w:rPr>
                <w:spacing w:val="-2"/>
              </w:rPr>
              <w:t xml:space="preserve"> but </w:t>
            </w:r>
            <w:r w:rsidR="00EA74E0" w:rsidRPr="00697212">
              <w:rPr>
                <w:spacing w:val="-2"/>
              </w:rPr>
              <w:t>the Commission has</w:t>
            </w:r>
            <w:r w:rsidRPr="00697212">
              <w:rPr>
                <w:spacing w:val="-2"/>
              </w:rPr>
              <w:t xml:space="preserve"> attempt</w:t>
            </w:r>
            <w:r w:rsidR="000563F2" w:rsidRPr="00697212">
              <w:rPr>
                <w:spacing w:val="-2"/>
              </w:rPr>
              <w:t>ed</w:t>
            </w:r>
            <w:r w:rsidRPr="00697212">
              <w:rPr>
                <w:spacing w:val="-2"/>
              </w:rPr>
              <w:t xml:space="preserve"> to </w:t>
            </w:r>
            <w:r w:rsidR="006B7ABF" w:rsidRPr="00697212">
              <w:rPr>
                <w:spacing w:val="-2"/>
              </w:rPr>
              <w:t xml:space="preserve">describe </w:t>
            </w:r>
            <w:r w:rsidRPr="00697212">
              <w:rPr>
                <w:spacing w:val="-2"/>
              </w:rPr>
              <w:t>th</w:t>
            </w:r>
            <w:r w:rsidR="000F71A5" w:rsidRPr="00697212">
              <w:rPr>
                <w:spacing w:val="-2"/>
              </w:rPr>
              <w:t xml:space="preserve">e </w:t>
            </w:r>
            <w:r w:rsidR="00295A2F" w:rsidRPr="00697212">
              <w:rPr>
                <w:spacing w:val="-2"/>
              </w:rPr>
              <w:t>logic</w:t>
            </w:r>
            <w:r w:rsidRPr="00697212">
              <w:rPr>
                <w:spacing w:val="-2"/>
              </w:rPr>
              <w:t xml:space="preserve"> in a way that aligns with the emphasis on self</w:t>
            </w:r>
            <w:r w:rsidR="00827859" w:rsidRPr="00697212">
              <w:rPr>
                <w:spacing w:val="-2"/>
              </w:rPr>
              <w:noBreakHyphen/>
            </w:r>
            <w:r w:rsidRPr="00697212">
              <w:rPr>
                <w:spacing w:val="-2"/>
              </w:rPr>
              <w:t>determination and prioritisation of culture in the Agreement.</w:t>
            </w:r>
          </w:p>
          <w:p w14:paraId="4D946995" w14:textId="352CDC58" w:rsidR="00DE6822" w:rsidRDefault="009A1EDD" w:rsidP="004B07D7">
            <w:pPr>
              <w:pStyle w:val="BodyText"/>
            </w:pPr>
            <w:r>
              <w:t xml:space="preserve">The implied logic provides some guidance around prioritisation of effort, particularly around common drivers in the Priority Reforms and cultural determinants. It should be tested and further developed by </w:t>
            </w:r>
            <w:r w:rsidR="00C76385">
              <w:t xml:space="preserve">the </w:t>
            </w:r>
            <w:r>
              <w:t>parties to the Agreement to ensure it reflects current intentions, specifies key elements at each level, and identifies common drivers and interdependencies between the socio</w:t>
            </w:r>
            <w:r w:rsidR="00827859">
              <w:noBreakHyphen/>
            </w:r>
            <w:r>
              <w:t>economic outcomes. This should be done in a way that is consistent with the principle of centring of Aboriginal and Torres Strait Islander people</w:t>
            </w:r>
            <w:r w:rsidR="000442F5">
              <w:t>,</w:t>
            </w:r>
            <w:r>
              <w:t xml:space="preserve"> perspectives, priorities, and knowledges.</w:t>
            </w:r>
          </w:p>
        </w:tc>
      </w:tr>
      <w:tr w:rsidR="00DE6822" w14:paraId="2C17BCB7" w14:textId="77777777">
        <w:trPr>
          <w:hidden/>
        </w:trPr>
        <w:tc>
          <w:tcPr>
            <w:tcW w:w="9638" w:type="dxa"/>
            <w:gridSpan w:val="2"/>
            <w:shd w:val="clear" w:color="auto" w:fill="auto"/>
            <w:tcMar>
              <w:top w:w="0" w:type="dxa"/>
              <w:left w:w="170" w:type="dxa"/>
              <w:bottom w:w="0" w:type="dxa"/>
              <w:right w:w="170" w:type="dxa"/>
            </w:tcMar>
          </w:tcPr>
          <w:p w14:paraId="0547BC84" w14:textId="45D05A53" w:rsidR="00DE6822" w:rsidRPr="00465191" w:rsidRDefault="00DE6822">
            <w:pPr>
              <w:pStyle w:val="BodyText"/>
              <w:spacing w:before="0" w:after="0" w:line="80" w:lineRule="atLeast"/>
              <w:rPr>
                <w:smallCaps/>
                <w:vanish/>
              </w:rPr>
            </w:pPr>
          </w:p>
        </w:tc>
      </w:tr>
    </w:tbl>
    <w:p w14:paraId="63168A1B" w14:textId="1D968B3B" w:rsidR="000E7586" w:rsidRPr="00EB2FED" w:rsidRDefault="00524B07" w:rsidP="00E27977">
      <w:pPr>
        <w:pStyle w:val="BodyText"/>
        <w:rPr>
          <w:spacing w:val="-4"/>
        </w:rPr>
      </w:pPr>
      <w:r w:rsidRPr="00EB2FED">
        <w:rPr>
          <w:spacing w:val="-4"/>
        </w:rPr>
        <w:t xml:space="preserve">When applied </w:t>
      </w:r>
      <w:r w:rsidR="00271D83" w:rsidRPr="00EB2FED">
        <w:rPr>
          <w:spacing w:val="-4"/>
        </w:rPr>
        <w:t>by</w:t>
      </w:r>
      <w:r w:rsidRPr="00EB2FED">
        <w:rPr>
          <w:spacing w:val="-4"/>
        </w:rPr>
        <w:t xml:space="preserve"> jurisdictions and</w:t>
      </w:r>
      <w:r w:rsidR="00271D83" w:rsidRPr="00EB2FED">
        <w:rPr>
          <w:spacing w:val="-4"/>
        </w:rPr>
        <w:t xml:space="preserve"> in</w:t>
      </w:r>
      <w:r w:rsidR="004230FA" w:rsidRPr="00EB2FED">
        <w:rPr>
          <w:spacing w:val="-4"/>
        </w:rPr>
        <w:t xml:space="preserve"> specific</w:t>
      </w:r>
      <w:r w:rsidRPr="00EB2FED">
        <w:rPr>
          <w:spacing w:val="-4"/>
        </w:rPr>
        <w:t xml:space="preserve"> policy sectors, </w:t>
      </w:r>
      <w:r w:rsidR="00115DCF" w:rsidRPr="00EB2FED">
        <w:rPr>
          <w:spacing w:val="-4"/>
        </w:rPr>
        <w:t>a</w:t>
      </w:r>
      <w:r w:rsidRPr="00EB2FED">
        <w:rPr>
          <w:spacing w:val="-4"/>
        </w:rPr>
        <w:t xml:space="preserve"> high</w:t>
      </w:r>
      <w:r w:rsidR="00827859" w:rsidRPr="00EB2FED">
        <w:rPr>
          <w:spacing w:val="-4"/>
        </w:rPr>
        <w:noBreakHyphen/>
      </w:r>
      <w:r w:rsidRPr="00EB2FED">
        <w:rPr>
          <w:spacing w:val="-4"/>
        </w:rPr>
        <w:t xml:space="preserve">level logic can </w:t>
      </w:r>
      <w:r w:rsidR="0006363C" w:rsidRPr="00EB2FED">
        <w:rPr>
          <w:spacing w:val="-4"/>
        </w:rPr>
        <w:t>frame more detailed strategies</w:t>
      </w:r>
      <w:r w:rsidR="005D371D" w:rsidRPr="00EB2FED">
        <w:rPr>
          <w:spacing w:val="-4"/>
        </w:rPr>
        <w:t>, roadmaps,</w:t>
      </w:r>
      <w:r w:rsidR="0006363C" w:rsidRPr="00EB2FED">
        <w:rPr>
          <w:spacing w:val="-4"/>
        </w:rPr>
        <w:t xml:space="preserve"> </w:t>
      </w:r>
      <w:r w:rsidR="002A3FC9" w:rsidRPr="00EB2FED">
        <w:rPr>
          <w:spacing w:val="-4"/>
        </w:rPr>
        <w:t xml:space="preserve">and program logics </w:t>
      </w:r>
      <w:r w:rsidR="006B61FF" w:rsidRPr="00EB2FED">
        <w:rPr>
          <w:spacing w:val="-4"/>
        </w:rPr>
        <w:t xml:space="preserve">linking </w:t>
      </w:r>
      <w:r w:rsidR="00DB7348" w:rsidRPr="00EB2FED">
        <w:rPr>
          <w:spacing w:val="-4"/>
        </w:rPr>
        <w:t>government actions</w:t>
      </w:r>
      <w:r w:rsidR="006B61FF" w:rsidRPr="00EB2FED">
        <w:rPr>
          <w:spacing w:val="-4"/>
        </w:rPr>
        <w:t xml:space="preserve"> with </w:t>
      </w:r>
      <w:r w:rsidR="00A00EA3" w:rsidRPr="00EB2FED">
        <w:rPr>
          <w:spacing w:val="-4"/>
        </w:rPr>
        <w:t xml:space="preserve">their intended </w:t>
      </w:r>
      <w:r w:rsidR="00AE7E52" w:rsidRPr="00EB2FED">
        <w:rPr>
          <w:spacing w:val="-4"/>
        </w:rPr>
        <w:t xml:space="preserve">outcomes </w:t>
      </w:r>
      <w:r w:rsidR="00A00EA3" w:rsidRPr="00EB2FED">
        <w:rPr>
          <w:spacing w:val="-4"/>
        </w:rPr>
        <w:t>in the short to long</w:t>
      </w:r>
      <w:r w:rsidR="006D0EEA" w:rsidRPr="00EB2FED">
        <w:rPr>
          <w:spacing w:val="-4"/>
        </w:rPr>
        <w:t xml:space="preserve"> </w:t>
      </w:r>
      <w:r w:rsidR="00A00EA3" w:rsidRPr="00EB2FED">
        <w:rPr>
          <w:spacing w:val="-4"/>
        </w:rPr>
        <w:t>term.</w:t>
      </w:r>
      <w:r w:rsidR="009157AF" w:rsidRPr="00EB2FED">
        <w:rPr>
          <w:spacing w:val="-4"/>
        </w:rPr>
        <w:t xml:space="preserve"> </w:t>
      </w:r>
      <w:r w:rsidR="00973E92" w:rsidRPr="00EB2FED">
        <w:rPr>
          <w:spacing w:val="-4"/>
        </w:rPr>
        <w:t xml:space="preserve">For example, the </w:t>
      </w:r>
      <w:r w:rsidR="00973E92" w:rsidRPr="00EB2FED">
        <w:rPr>
          <w:i/>
          <w:spacing w:val="-4"/>
        </w:rPr>
        <w:t xml:space="preserve">Safe and Supported Aboriginal and Torres Strait Islander </w:t>
      </w:r>
      <w:r w:rsidR="00A17A58" w:rsidRPr="00EB2FED">
        <w:rPr>
          <w:i/>
          <w:spacing w:val="-4"/>
        </w:rPr>
        <w:t>First Action Plan</w:t>
      </w:r>
      <w:r w:rsidR="00A17A58" w:rsidRPr="00EB2FED">
        <w:rPr>
          <w:spacing w:val="-4"/>
        </w:rPr>
        <w:t xml:space="preserve"> includes a theory of change linking </w:t>
      </w:r>
      <w:r w:rsidR="000B21B5" w:rsidRPr="00EB2FED">
        <w:rPr>
          <w:spacing w:val="-4"/>
        </w:rPr>
        <w:t>self</w:t>
      </w:r>
      <w:r w:rsidR="00827859" w:rsidRPr="00EB2FED">
        <w:rPr>
          <w:spacing w:val="-4"/>
        </w:rPr>
        <w:noBreakHyphen/>
      </w:r>
      <w:r w:rsidR="000B21B5" w:rsidRPr="00EB2FED">
        <w:rPr>
          <w:spacing w:val="-4"/>
        </w:rPr>
        <w:t>determination and cultural</w:t>
      </w:r>
      <w:r w:rsidR="00D04DC7" w:rsidRPr="00EB2FED">
        <w:rPr>
          <w:spacing w:val="-4"/>
        </w:rPr>
        <w:t>ly safe and responsive policies and services</w:t>
      </w:r>
      <w:r w:rsidR="000B21B5" w:rsidRPr="00EB2FED">
        <w:rPr>
          <w:spacing w:val="-4"/>
        </w:rPr>
        <w:t xml:space="preserve"> with </w:t>
      </w:r>
      <w:r w:rsidR="00050973" w:rsidRPr="00EB2FED">
        <w:rPr>
          <w:spacing w:val="-4"/>
        </w:rPr>
        <w:t xml:space="preserve">actions aligned </w:t>
      </w:r>
      <w:r w:rsidR="00050973" w:rsidRPr="00EB2FED">
        <w:rPr>
          <w:spacing w:val="-4"/>
        </w:rPr>
        <w:lastRenderedPageBreak/>
        <w:t>with the</w:t>
      </w:r>
      <w:r w:rsidR="00592D1E" w:rsidRPr="00EB2FED">
        <w:rPr>
          <w:spacing w:val="-4"/>
        </w:rPr>
        <w:t xml:space="preserve"> </w:t>
      </w:r>
      <w:r w:rsidR="000911E2" w:rsidRPr="00EB2FED">
        <w:rPr>
          <w:spacing w:val="-4"/>
        </w:rPr>
        <w:t>Priority Reform</w:t>
      </w:r>
      <w:r w:rsidR="00592D1E" w:rsidRPr="00EB2FED">
        <w:rPr>
          <w:spacing w:val="-4"/>
        </w:rPr>
        <w:t>s and their impact on child protection outcomes</w:t>
      </w:r>
      <w:r w:rsidR="00B54B2A" w:rsidRPr="00EB2FED">
        <w:rPr>
          <w:spacing w:val="-4"/>
        </w:rPr>
        <w:t xml:space="preserve"> </w:t>
      </w:r>
      <w:r w:rsidR="00EA7CA2" w:rsidRPr="00EB2FED">
        <w:rPr>
          <w:rFonts w:cs="Arial"/>
          <w:spacing w:val="-4"/>
          <w:szCs w:val="24"/>
        </w:rPr>
        <w:t>(DSS 2023, pp. 9–13)</w:t>
      </w:r>
      <w:r w:rsidR="00592D1E" w:rsidRPr="00EB2FED">
        <w:rPr>
          <w:spacing w:val="-4"/>
        </w:rPr>
        <w:t>.</w:t>
      </w:r>
      <w:r w:rsidR="006570B1" w:rsidRPr="00EB2FED">
        <w:rPr>
          <w:spacing w:val="-4"/>
        </w:rPr>
        <w:t xml:space="preserve"> </w:t>
      </w:r>
      <w:r w:rsidR="009157AF" w:rsidRPr="00EB2FED">
        <w:rPr>
          <w:spacing w:val="-4"/>
        </w:rPr>
        <w:t>This clarifies government strategies</w:t>
      </w:r>
      <w:r w:rsidR="00AA4396" w:rsidRPr="00EB2FED">
        <w:rPr>
          <w:spacing w:val="-4"/>
        </w:rPr>
        <w:t xml:space="preserve"> for the public as well</w:t>
      </w:r>
      <w:r w:rsidR="007F0E2B" w:rsidRPr="00EB2FED">
        <w:rPr>
          <w:spacing w:val="-4"/>
        </w:rPr>
        <w:t xml:space="preserve">, making it easier </w:t>
      </w:r>
      <w:r w:rsidR="00515777" w:rsidRPr="00EB2FED">
        <w:rPr>
          <w:spacing w:val="-4"/>
        </w:rPr>
        <w:t>for the community</w:t>
      </w:r>
      <w:r w:rsidR="007F0E2B" w:rsidRPr="00EB2FED">
        <w:rPr>
          <w:spacing w:val="-4"/>
        </w:rPr>
        <w:t xml:space="preserve"> to </w:t>
      </w:r>
      <w:r w:rsidR="00FE0064" w:rsidRPr="00EB2FED">
        <w:rPr>
          <w:spacing w:val="-4"/>
        </w:rPr>
        <w:t>understand</w:t>
      </w:r>
      <w:r w:rsidR="007F0E2B" w:rsidRPr="00EB2FED">
        <w:rPr>
          <w:spacing w:val="-4"/>
        </w:rPr>
        <w:t xml:space="preserve"> government actions and hold </w:t>
      </w:r>
      <w:r w:rsidR="00334CBC" w:rsidRPr="00EB2FED">
        <w:rPr>
          <w:spacing w:val="-4"/>
        </w:rPr>
        <w:t>governments</w:t>
      </w:r>
      <w:r w:rsidR="007F0E2B" w:rsidRPr="00EB2FED">
        <w:rPr>
          <w:spacing w:val="-4"/>
        </w:rPr>
        <w:t xml:space="preserve"> to account</w:t>
      </w:r>
      <w:r w:rsidR="00040A57" w:rsidRPr="00EB2FED">
        <w:rPr>
          <w:spacing w:val="-4"/>
        </w:rPr>
        <w:t xml:space="preserve"> for progress.</w:t>
      </w:r>
      <w:r w:rsidR="00E77AD2" w:rsidRPr="00EB2FED" w:rsidDel="00E77AD2">
        <w:rPr>
          <w:spacing w:val="-4"/>
        </w:rPr>
        <w:t xml:space="preserve"> </w:t>
      </w:r>
      <w:r w:rsidR="00740936" w:rsidRPr="00EB2FED">
        <w:rPr>
          <w:spacing w:val="-4"/>
        </w:rPr>
        <w:t>In contra</w:t>
      </w:r>
      <w:r w:rsidR="00B633C2" w:rsidRPr="00EB2FED">
        <w:rPr>
          <w:spacing w:val="-4"/>
        </w:rPr>
        <w:t>s</w:t>
      </w:r>
      <w:r w:rsidR="00740936" w:rsidRPr="00EB2FED">
        <w:rPr>
          <w:spacing w:val="-4"/>
        </w:rPr>
        <w:t xml:space="preserve">t, </w:t>
      </w:r>
      <w:r w:rsidR="004230FA" w:rsidRPr="00EB2FED">
        <w:rPr>
          <w:spacing w:val="-4"/>
        </w:rPr>
        <w:t xml:space="preserve">the jurisdictional </w:t>
      </w:r>
      <w:r w:rsidR="003D6A46" w:rsidRPr="00EB2FED" w:rsidDel="00E77AD2">
        <w:rPr>
          <w:spacing w:val="-4"/>
        </w:rPr>
        <w:t xml:space="preserve">implementation plans under the Agreement do not </w:t>
      </w:r>
      <w:r w:rsidR="00765303" w:rsidRPr="00EB2FED">
        <w:rPr>
          <w:spacing w:val="-4"/>
        </w:rPr>
        <w:t>set out a clear</w:t>
      </w:r>
      <w:r w:rsidR="003D6A46" w:rsidRPr="00EB2FED" w:rsidDel="00E77AD2">
        <w:rPr>
          <w:spacing w:val="-4"/>
        </w:rPr>
        <w:t xml:space="preserve"> strategic approach</w:t>
      </w:r>
      <w:r w:rsidR="000E3D63" w:rsidRPr="00EB2FED">
        <w:rPr>
          <w:spacing w:val="-4"/>
        </w:rPr>
        <w:t xml:space="preserve"> (Dillon, sub.</w:t>
      </w:r>
      <w:r w:rsidR="005634D7" w:rsidRPr="00EB2FED">
        <w:rPr>
          <w:spacing w:val="-4"/>
        </w:rPr>
        <w:t> </w:t>
      </w:r>
      <w:r w:rsidR="000E3D63" w:rsidRPr="00EB2FED">
        <w:rPr>
          <w:spacing w:val="-4"/>
        </w:rPr>
        <w:t>5, pp.</w:t>
      </w:r>
      <w:r w:rsidR="005634D7" w:rsidRPr="00EB2FED">
        <w:rPr>
          <w:spacing w:val="-4"/>
        </w:rPr>
        <w:t> </w:t>
      </w:r>
      <w:r w:rsidR="000E3D63" w:rsidRPr="00EB2FED">
        <w:rPr>
          <w:spacing w:val="-4"/>
        </w:rPr>
        <w:t>2</w:t>
      </w:r>
      <w:r w:rsidR="005634D7" w:rsidRPr="00EB2FED">
        <w:rPr>
          <w:spacing w:val="-4"/>
        </w:rPr>
        <w:t>–</w:t>
      </w:r>
      <w:r w:rsidR="000E3D63" w:rsidRPr="00EB2FED">
        <w:rPr>
          <w:spacing w:val="-4"/>
        </w:rPr>
        <w:t>3)</w:t>
      </w:r>
      <w:r w:rsidR="003D6A46" w:rsidRPr="00EB2FED" w:rsidDel="00E77AD2">
        <w:rPr>
          <w:spacing w:val="-4"/>
        </w:rPr>
        <w:t>.</w:t>
      </w:r>
    </w:p>
    <w:p w14:paraId="2252A42A" w14:textId="7A09CFB8" w:rsidR="00501E9A" w:rsidRDefault="00501E9A" w:rsidP="00501E9A">
      <w:pPr>
        <w:pStyle w:val="BodyText"/>
      </w:pPr>
      <w:r>
        <w:t>Without a defined conceptual logic, the performance framework is at risk of contributing to some unintended effects.</w:t>
      </w:r>
    </w:p>
    <w:p w14:paraId="57709F2C" w14:textId="4B5D9FEE" w:rsidR="00501E9A" w:rsidRDefault="00501E9A" w:rsidP="00BA6972">
      <w:pPr>
        <w:pStyle w:val="BodyText"/>
      </w:pPr>
      <w:r>
        <w:t xml:space="preserve">First, it can result in </w:t>
      </w:r>
      <w:r w:rsidRPr="00567E1A">
        <w:rPr>
          <w:i/>
        </w:rPr>
        <w:t>ad</w:t>
      </w:r>
      <w:r w:rsidR="00827859">
        <w:rPr>
          <w:i/>
        </w:rPr>
        <w:noBreakHyphen/>
      </w:r>
      <w:r w:rsidRPr="00567E1A">
        <w:rPr>
          <w:i/>
        </w:rPr>
        <w:t xml:space="preserve">hoc or </w:t>
      </w:r>
      <w:r w:rsidRPr="00C62DF5">
        <w:rPr>
          <w:i/>
        </w:rPr>
        <w:t>insufficient investment in the transformative change necessary</w:t>
      </w:r>
      <w:r>
        <w:t xml:space="preserve"> to shift to new ways of working that are needed to improve outcomes for Aboriginal and Torres Strait Islander people. Without a change of view, governments</w:t>
      </w:r>
      <w:r w:rsidR="00C87C69">
        <w:t xml:space="preserve"> will continue to focus on actions </w:t>
      </w:r>
      <w:r w:rsidR="003022FE">
        <w:t>addressing</w:t>
      </w:r>
      <w:r w:rsidR="00C87C69">
        <w:t xml:space="preserve"> the </w:t>
      </w:r>
      <w:r>
        <w:t>socio</w:t>
      </w:r>
      <w:r w:rsidR="00827859">
        <w:noBreakHyphen/>
      </w:r>
      <w:r>
        <w:t xml:space="preserve">economic outcomes </w:t>
      </w:r>
      <w:r w:rsidR="003022FE">
        <w:t xml:space="preserve">without </w:t>
      </w:r>
      <w:r w:rsidR="004D370D">
        <w:t>understanding the role of the Priority Reforms in creating change</w:t>
      </w:r>
      <w:r>
        <w:t xml:space="preserve"> (Coalition of Peaks, sub.</w:t>
      </w:r>
      <w:r w:rsidR="005B2892">
        <w:t> </w:t>
      </w:r>
      <w:r>
        <w:t>25, p.</w:t>
      </w:r>
      <w:r w:rsidR="005634D7">
        <w:t> </w:t>
      </w:r>
      <w:r>
        <w:t xml:space="preserve">2). </w:t>
      </w:r>
      <w:r w:rsidR="0020765A">
        <w:t>As a result, non</w:t>
      </w:r>
      <w:r w:rsidR="00827859">
        <w:noBreakHyphen/>
      </w:r>
      <w:r w:rsidR="0020765A">
        <w:t>In</w:t>
      </w:r>
      <w:r w:rsidR="00611EF2">
        <w:t xml:space="preserve">digenous framings of policy solutions will continue to </w:t>
      </w:r>
      <w:r w:rsidR="009113A7">
        <w:t xml:space="preserve">crowd out solutions </w:t>
      </w:r>
      <w:r w:rsidR="00F52C11">
        <w:t>developed from</w:t>
      </w:r>
      <w:r w:rsidR="006718D4">
        <w:t xml:space="preserve"> Aboriginal and Torres Strait Islander people’s perspectives. </w:t>
      </w:r>
      <w:r>
        <w:t xml:space="preserve">For example, </w:t>
      </w:r>
      <w:r w:rsidR="009420B9">
        <w:t>the child protection system largely takes</w:t>
      </w:r>
      <w:r>
        <w:t xml:space="preserve"> on a child safety and crisis intervention perspective, whereas strategies developed in partnership with Aboriginal and Torres Strait Islander communities emphasise the need for family</w:t>
      </w:r>
      <w:r w:rsidR="00827859">
        <w:noBreakHyphen/>
      </w:r>
      <w:r>
        <w:t>led decision</w:t>
      </w:r>
      <w:r w:rsidR="00827859">
        <w:noBreakHyphen/>
      </w:r>
      <w:r>
        <w:t xml:space="preserve">making and holistic responses </w:t>
      </w:r>
      <w:r w:rsidR="007A5FE9" w:rsidRPr="007A5FE9">
        <w:rPr>
          <w:rFonts w:ascii="Arial" w:hAnsi="Arial" w:cs="Arial"/>
          <w:szCs w:val="24"/>
        </w:rPr>
        <w:t>(DSS 2023, p. 66)</w:t>
      </w:r>
      <w:r>
        <w:t xml:space="preserve">. </w:t>
      </w:r>
    </w:p>
    <w:p w14:paraId="551A652F" w14:textId="7212A234" w:rsidR="00E92BE2" w:rsidRDefault="003117A1" w:rsidP="00BA6972">
      <w:pPr>
        <w:pStyle w:val="BodyText"/>
      </w:pPr>
      <w:r>
        <w:t xml:space="preserve">Second, it </w:t>
      </w:r>
      <w:r w:rsidR="00446051">
        <w:t>can</w:t>
      </w:r>
      <w:r>
        <w:t xml:space="preserve"> </w:t>
      </w:r>
      <w:r w:rsidR="000E7586" w:rsidRPr="00C62DF5">
        <w:rPr>
          <w:i/>
        </w:rPr>
        <w:t>hinder a prioritisation of effort</w:t>
      </w:r>
      <w:r w:rsidR="008E6BAD" w:rsidRPr="00C62DF5">
        <w:rPr>
          <w:i/>
        </w:rPr>
        <w:t xml:space="preserve"> </w:t>
      </w:r>
      <w:r w:rsidR="008E6BAD">
        <w:t>by obscuring the critical conditions for change.</w:t>
      </w:r>
      <w:r w:rsidR="000E7586">
        <w:t xml:space="preserve"> </w:t>
      </w:r>
      <w:r w:rsidR="008E6BAD">
        <w:t>Th</w:t>
      </w:r>
      <w:r w:rsidR="006616E9">
        <w:t>is could</w:t>
      </w:r>
      <w:r w:rsidR="000E7586">
        <w:t xml:space="preserve"> lead to short</w:t>
      </w:r>
      <w:r w:rsidR="00827859">
        <w:noBreakHyphen/>
      </w:r>
      <w:r w:rsidR="000E7586">
        <w:t xml:space="preserve">termism as policy efforts target actions that are perceived as more achievable (or seen as ‘low hanging fruit’) but may </w:t>
      </w:r>
      <w:r w:rsidR="00CA1D96">
        <w:t xml:space="preserve">not significantly shift outcomes or </w:t>
      </w:r>
      <w:r w:rsidR="00AE38E8">
        <w:t>may negatively impact on other domains</w:t>
      </w:r>
      <w:r w:rsidR="000E7586">
        <w:t>. For example,</w:t>
      </w:r>
      <w:r w:rsidR="00AE38E8">
        <w:t xml:space="preserve"> efforts to increase Year 12 attainment</w:t>
      </w:r>
      <w:r w:rsidR="008C44C1">
        <w:t xml:space="preserve"> </w:t>
      </w:r>
      <w:r w:rsidR="00AA3F87">
        <w:t xml:space="preserve">might focus on </w:t>
      </w:r>
      <w:r w:rsidR="008C44C1">
        <w:t>increasing enrolment in post</w:t>
      </w:r>
      <w:r w:rsidR="00827859">
        <w:noBreakHyphen/>
      </w:r>
      <w:r w:rsidR="008C44C1">
        <w:t>primary boarding schools</w:t>
      </w:r>
      <w:r w:rsidR="00AA3F87">
        <w:t xml:space="preserve">. However, this </w:t>
      </w:r>
      <w:r w:rsidR="00E05C60">
        <w:t>interrupts young people’s connection to their community and C</w:t>
      </w:r>
      <w:r w:rsidR="00051FCD">
        <w:t>ountry</w:t>
      </w:r>
      <w:r w:rsidR="009473CE">
        <w:t xml:space="preserve"> and puts them in environments where</w:t>
      </w:r>
      <w:r w:rsidR="00571E9C">
        <w:t xml:space="preserve"> quality bilingual education might not be supported, contributing to barriers to learning and negative impacts on social and emotional wellbeing</w:t>
      </w:r>
      <w:r w:rsidR="0010209D">
        <w:t xml:space="preserve"> (</w:t>
      </w:r>
      <w:r w:rsidR="000F4004">
        <w:t xml:space="preserve">Australian Council of TESOL Associations, </w:t>
      </w:r>
      <w:r w:rsidR="0010209D">
        <w:t>sub</w:t>
      </w:r>
      <w:r w:rsidR="000F4004">
        <w:t>.</w:t>
      </w:r>
      <w:r w:rsidR="005634D7">
        <w:t> </w:t>
      </w:r>
      <w:r w:rsidR="0010209D">
        <w:t>11</w:t>
      </w:r>
      <w:r w:rsidR="000F4004">
        <w:t>,</w:t>
      </w:r>
      <w:r w:rsidR="00C95444">
        <w:t xml:space="preserve"> p.</w:t>
      </w:r>
      <w:r w:rsidR="005634D7">
        <w:t> </w:t>
      </w:r>
      <w:r w:rsidR="00C95444">
        <w:t>23</w:t>
      </w:r>
      <w:r w:rsidR="0010209D">
        <w:t>)</w:t>
      </w:r>
      <w:r w:rsidR="00E92BE2">
        <w:t>.</w:t>
      </w:r>
    </w:p>
    <w:p w14:paraId="573C1214" w14:textId="411B98D0" w:rsidR="00653CAD" w:rsidRDefault="00F46225" w:rsidP="00BA6972">
      <w:pPr>
        <w:pStyle w:val="BodyText"/>
      </w:pPr>
      <w:r>
        <w:t>Third, i</w:t>
      </w:r>
      <w:r w:rsidR="000E7586">
        <w:t xml:space="preserve">t </w:t>
      </w:r>
      <w:r w:rsidR="0014733E">
        <w:t xml:space="preserve">can </w:t>
      </w:r>
      <w:r w:rsidR="000E7586">
        <w:t xml:space="preserve">contribute to </w:t>
      </w:r>
      <w:r w:rsidR="000E7586" w:rsidRPr="00C62DF5">
        <w:rPr>
          <w:i/>
        </w:rPr>
        <w:t>siloed policy response</w:t>
      </w:r>
      <w:r w:rsidR="0014733E">
        <w:rPr>
          <w:i/>
        </w:rPr>
        <w:t>s</w:t>
      </w:r>
      <w:r w:rsidR="000E7586" w:rsidRPr="00C62DF5">
        <w:rPr>
          <w:i/>
        </w:rPr>
        <w:t>,</w:t>
      </w:r>
      <w:r w:rsidR="000E7586">
        <w:t xml:space="preserve"> hindering broader progress in improving life outcomes by not making trade</w:t>
      </w:r>
      <w:r w:rsidR="00827859">
        <w:noBreakHyphen/>
      </w:r>
      <w:r w:rsidR="000E7586">
        <w:t>offs, interdependencies and common drivers clear</w:t>
      </w:r>
      <w:r w:rsidR="00B51DF2">
        <w:t xml:space="preserve"> (</w:t>
      </w:r>
      <w:r w:rsidR="00EB04B1">
        <w:t>Coalition of Peaks, sub.</w:t>
      </w:r>
      <w:r w:rsidR="005634D7">
        <w:t> </w:t>
      </w:r>
      <w:r w:rsidR="00EB04B1">
        <w:t>25</w:t>
      </w:r>
      <w:r w:rsidR="00B80D5B">
        <w:t>, p</w:t>
      </w:r>
      <w:r w:rsidR="004B653C">
        <w:t>p</w:t>
      </w:r>
      <w:r w:rsidR="00B80D5B">
        <w:t>.</w:t>
      </w:r>
      <w:r w:rsidR="005634D7">
        <w:t> </w:t>
      </w:r>
      <w:r w:rsidR="00B80D5B">
        <w:t>3</w:t>
      </w:r>
      <w:r w:rsidR="005634D7">
        <w:t>–</w:t>
      </w:r>
      <w:r w:rsidR="00B80D5B">
        <w:t>4</w:t>
      </w:r>
      <w:r w:rsidR="006E2AF2">
        <w:t>;</w:t>
      </w:r>
      <w:r w:rsidR="00EB04B1">
        <w:t xml:space="preserve"> </w:t>
      </w:r>
      <w:r w:rsidR="0041449F">
        <w:t xml:space="preserve">Community First Development, </w:t>
      </w:r>
      <w:r w:rsidR="0066596E">
        <w:t>sub.</w:t>
      </w:r>
      <w:r w:rsidR="005634D7">
        <w:t> </w:t>
      </w:r>
      <w:r w:rsidR="00FA0D93">
        <w:t>9</w:t>
      </w:r>
      <w:r w:rsidR="00B80D5B">
        <w:t>, p</w:t>
      </w:r>
      <w:r w:rsidR="004B653C">
        <w:t>p</w:t>
      </w:r>
      <w:r w:rsidR="00B80D5B">
        <w:t>.</w:t>
      </w:r>
      <w:r w:rsidR="005634D7">
        <w:t> </w:t>
      </w:r>
      <w:r w:rsidR="001B00E5">
        <w:t>9, 11</w:t>
      </w:r>
      <w:r w:rsidR="006E2AF2">
        <w:t>;</w:t>
      </w:r>
      <w:r w:rsidR="0041449F">
        <w:t xml:space="preserve"> </w:t>
      </w:r>
      <w:r w:rsidR="0044451E">
        <w:t>Federation of Victorian Traditional Owner</w:t>
      </w:r>
      <w:r w:rsidR="0067790E">
        <w:t xml:space="preserve"> Corporations</w:t>
      </w:r>
      <w:r w:rsidR="0044451E">
        <w:t>, sub.</w:t>
      </w:r>
      <w:r w:rsidR="005634D7">
        <w:t> </w:t>
      </w:r>
      <w:r w:rsidR="0044451E">
        <w:t>24</w:t>
      </w:r>
      <w:r w:rsidR="004B653C">
        <w:t>, p.</w:t>
      </w:r>
      <w:r w:rsidR="005634D7">
        <w:t> </w:t>
      </w:r>
      <w:r w:rsidR="004B653C">
        <w:t>2</w:t>
      </w:r>
      <w:r w:rsidR="0044451E">
        <w:t>)</w:t>
      </w:r>
      <w:r w:rsidR="000E7586">
        <w:t xml:space="preserve">. </w:t>
      </w:r>
      <w:r w:rsidR="00D43A15">
        <w:t>The Queensland Family and Child Commission</w:t>
      </w:r>
      <w:r w:rsidR="00D03E80">
        <w:t xml:space="preserve"> </w:t>
      </w:r>
      <w:r w:rsidR="006B5307">
        <w:t>reflected:</w:t>
      </w:r>
    </w:p>
    <w:p w14:paraId="7094D520" w14:textId="66BDA0FA" w:rsidR="00585DDE" w:rsidRPr="003026B8" w:rsidRDefault="00653CAD" w:rsidP="003B7228">
      <w:pPr>
        <w:pStyle w:val="Quote"/>
      </w:pPr>
      <w:r w:rsidRPr="003026B8">
        <w:t xml:space="preserve">In our experience, the process of the adoption of targets by governments has narrowed responsibility, and </w:t>
      </w:r>
      <w:r w:rsidR="006B5307" w:rsidRPr="003026B8">
        <w:t>siloed</w:t>
      </w:r>
      <w:r w:rsidRPr="003026B8">
        <w:t xml:space="preserve"> actions and outcomes into traditional portfolios where the opportunity for collective impact and momentum has been lost</w:t>
      </w:r>
      <w:r w:rsidR="00E128D4" w:rsidRPr="003026B8">
        <w:t xml:space="preserve">. Specifically, and by example, the target to reduce the overrepresentation of </w:t>
      </w:r>
      <w:r w:rsidR="008C5DD9" w:rsidRPr="003026B8">
        <w:t>Aboriginal and Torres Strait Islander children in out</w:t>
      </w:r>
      <w:r w:rsidR="00827859">
        <w:noBreakHyphen/>
      </w:r>
      <w:r w:rsidR="008C5DD9" w:rsidRPr="003026B8">
        <w:t>of</w:t>
      </w:r>
      <w:r w:rsidR="00827859">
        <w:noBreakHyphen/>
      </w:r>
      <w:r w:rsidR="008C5DD9" w:rsidRPr="003026B8">
        <w:t>home</w:t>
      </w:r>
      <w:r w:rsidR="00827859">
        <w:noBreakHyphen/>
      </w:r>
      <w:r w:rsidR="008C5DD9" w:rsidRPr="003026B8">
        <w:t xml:space="preserve">care became </w:t>
      </w:r>
      <w:r w:rsidR="0066596E" w:rsidRPr="003026B8">
        <w:t>a target for the Minister and Department responsible for child safety – however, the solutions to this issue lie outside that portfolio</w:t>
      </w:r>
      <w:r w:rsidR="00EB04B1">
        <w:t>.</w:t>
      </w:r>
      <w:r w:rsidR="0066596E" w:rsidRPr="003026B8">
        <w:t xml:space="preserve"> (sub.</w:t>
      </w:r>
      <w:r w:rsidR="005634D7">
        <w:t> </w:t>
      </w:r>
      <w:r w:rsidR="0066596E" w:rsidRPr="003026B8">
        <w:t>8, p.</w:t>
      </w:r>
      <w:r w:rsidR="005634D7">
        <w:t> </w:t>
      </w:r>
      <w:r w:rsidR="0066596E" w:rsidRPr="003026B8">
        <w:t>2</w:t>
      </w:r>
      <w:r w:rsidR="0066596E" w:rsidRPr="003B7228">
        <w:t>)</w:t>
      </w:r>
    </w:p>
    <w:p w14:paraId="61F65F00" w14:textId="1B1B28A9" w:rsidR="005A3159" w:rsidRDefault="00F46225" w:rsidP="00725325">
      <w:pPr>
        <w:pStyle w:val="BodyText"/>
      </w:pPr>
      <w:r>
        <w:t>Fourth, it</w:t>
      </w:r>
      <w:r w:rsidR="00F135D2">
        <w:t xml:space="preserve"> </w:t>
      </w:r>
      <w:r w:rsidR="008A45E0">
        <w:t xml:space="preserve">can </w:t>
      </w:r>
      <w:r w:rsidR="000B3EE4" w:rsidRPr="00725325">
        <w:t>reinforce deficit narratives of Aboriginal and Torres Strait Islander people</w:t>
      </w:r>
      <w:r w:rsidR="000B3EE4">
        <w:t>. When the connections are</w:t>
      </w:r>
      <w:r w:rsidR="00B7395E">
        <w:t xml:space="preserve"> </w:t>
      </w:r>
      <w:r w:rsidR="000B3EE4">
        <w:t>n</w:t>
      </w:r>
      <w:r w:rsidR="00B7395E">
        <w:t>o</w:t>
      </w:r>
      <w:r w:rsidR="000B3EE4">
        <w:t xml:space="preserve">t made between </w:t>
      </w:r>
      <w:r w:rsidR="00ED3571">
        <w:t>systemic</w:t>
      </w:r>
      <w:r w:rsidR="000B3EE4">
        <w:t xml:space="preserve"> drivers and outcomes, deficit discourses can fill in the gap with stories attributing problems to Aboriginal and Torres Strait Islander people </w:t>
      </w:r>
      <w:r w:rsidR="00E71912" w:rsidRPr="00725325">
        <w:t>(Fogarty et al. 2018, p. xi)</w:t>
      </w:r>
      <w:r w:rsidR="00F760F6">
        <w:t xml:space="preserve"> (</w:t>
      </w:r>
      <w:r w:rsidR="00823938">
        <w:t>Aboriginal Family Legal Service WA, sub.</w:t>
      </w:r>
      <w:r w:rsidR="005634D7">
        <w:t> </w:t>
      </w:r>
      <w:r w:rsidR="00823938">
        <w:t>7</w:t>
      </w:r>
      <w:r w:rsidR="00931A7E">
        <w:t>, p.</w:t>
      </w:r>
      <w:r w:rsidR="005634D7">
        <w:t> </w:t>
      </w:r>
      <w:r w:rsidR="00931A7E">
        <w:t>9</w:t>
      </w:r>
      <w:r w:rsidR="001962E3">
        <w:t>;</w:t>
      </w:r>
      <w:r w:rsidR="00823938">
        <w:t xml:space="preserve"> </w:t>
      </w:r>
      <w:r w:rsidR="00076174">
        <w:t>Australian Education Union, sub.</w:t>
      </w:r>
      <w:r w:rsidR="005634D7">
        <w:t> </w:t>
      </w:r>
      <w:r w:rsidR="00076174">
        <w:t>3</w:t>
      </w:r>
      <w:r w:rsidR="00931A7E">
        <w:t>, p.</w:t>
      </w:r>
      <w:r w:rsidR="005634D7">
        <w:t> </w:t>
      </w:r>
      <w:r w:rsidR="00931A7E">
        <w:t>4</w:t>
      </w:r>
      <w:r w:rsidR="003C4CBA">
        <w:t>;</w:t>
      </w:r>
      <w:r w:rsidR="00076174">
        <w:t xml:space="preserve"> </w:t>
      </w:r>
      <w:r w:rsidR="00823938">
        <w:t>Federation of Victorian Traditional Owner Corporations, sub.</w:t>
      </w:r>
      <w:r w:rsidR="005634D7">
        <w:t> </w:t>
      </w:r>
      <w:r w:rsidR="00823938">
        <w:t>24</w:t>
      </w:r>
      <w:r w:rsidR="00931A7E">
        <w:t>, p.</w:t>
      </w:r>
      <w:r w:rsidR="005634D7">
        <w:t> </w:t>
      </w:r>
      <w:r w:rsidR="00931A7E" w:rsidRPr="00725325">
        <w:t>1</w:t>
      </w:r>
      <w:r w:rsidR="003A10C0" w:rsidRPr="00725325">
        <w:t>;</w:t>
      </w:r>
      <w:r w:rsidR="00146ABE">
        <w:t xml:space="preserve"> Lowitja Institute, sub.</w:t>
      </w:r>
      <w:r w:rsidR="005634D7">
        <w:t> </w:t>
      </w:r>
      <w:r w:rsidR="00146ABE">
        <w:t>15</w:t>
      </w:r>
      <w:r w:rsidR="00DA2EA5">
        <w:t>, p.</w:t>
      </w:r>
      <w:r w:rsidR="005634D7">
        <w:t> </w:t>
      </w:r>
      <w:r w:rsidR="00DA2EA5" w:rsidRPr="00725325">
        <w:t>7</w:t>
      </w:r>
      <w:r w:rsidR="00F760F6">
        <w:t>)</w:t>
      </w:r>
      <w:r w:rsidR="000B3EE4">
        <w:t>.</w:t>
      </w:r>
      <w:r w:rsidR="00F760F6">
        <w:t xml:space="preserve"> In addition to the</w:t>
      </w:r>
      <w:r w:rsidR="00823938">
        <w:t>ir</w:t>
      </w:r>
      <w:r w:rsidR="00F760F6">
        <w:t xml:space="preserve"> destructive effects on the wellbeing of Aboriginal and Torres Strait Islander people, these narratives also drive policy responses </w:t>
      </w:r>
      <w:r w:rsidR="001373B6">
        <w:t>seeking to change</w:t>
      </w:r>
      <w:r w:rsidR="00F760F6">
        <w:t xml:space="preserve"> the behaviour of Aboriginal and Torres Strait Islander </w:t>
      </w:r>
      <w:r w:rsidR="006430D2">
        <w:t>people</w:t>
      </w:r>
      <w:r w:rsidR="00F760F6">
        <w:t xml:space="preserve"> rather than </w:t>
      </w:r>
      <w:r w:rsidR="000D4B4D">
        <w:t>the</w:t>
      </w:r>
      <w:r w:rsidR="006D41FD">
        <w:t xml:space="preserve"> </w:t>
      </w:r>
      <w:r w:rsidR="00CE1441">
        <w:t xml:space="preserve">flawed </w:t>
      </w:r>
      <w:r w:rsidR="00E734CE">
        <w:t>systems</w:t>
      </w:r>
      <w:r w:rsidR="001F196E">
        <w:t xml:space="preserve"> </w:t>
      </w:r>
      <w:r w:rsidR="00205ED0">
        <w:t xml:space="preserve">producing poor </w:t>
      </w:r>
      <w:r w:rsidR="001F196E">
        <w:t xml:space="preserve">outcomes. </w:t>
      </w:r>
      <w:r w:rsidR="00823938">
        <w:t>An</w:t>
      </w:r>
      <w:r w:rsidR="00A33FF9" w:rsidRPr="00A33FF9">
        <w:t xml:space="preserve"> example</w:t>
      </w:r>
      <w:r w:rsidR="00823938">
        <w:t xml:space="preserve"> of this can be observed in</w:t>
      </w:r>
      <w:r w:rsidR="00A33FF9" w:rsidRPr="00725325">
        <w:t xml:space="preserve"> </w:t>
      </w:r>
      <w:r w:rsidR="00A81F5D" w:rsidRPr="00725325">
        <w:t>the</w:t>
      </w:r>
      <w:r w:rsidR="00A81F5D">
        <w:t xml:space="preserve"> 2009 </w:t>
      </w:r>
      <w:r w:rsidR="001C7339">
        <w:t xml:space="preserve">Closing the Gap report, </w:t>
      </w:r>
      <w:r w:rsidR="00823938">
        <w:t xml:space="preserve">which </w:t>
      </w:r>
      <w:r w:rsidR="001C7339">
        <w:t xml:space="preserve">initially seems to </w:t>
      </w:r>
      <w:r w:rsidR="00B30BE0">
        <w:t xml:space="preserve">acknowledge the failures of successive governments to </w:t>
      </w:r>
      <w:r w:rsidR="00BD0091">
        <w:t xml:space="preserve">effectively </w:t>
      </w:r>
      <w:r w:rsidR="00B30BE0">
        <w:t>coordinate and fund efforts in remote areas</w:t>
      </w:r>
      <w:r w:rsidR="005643F8">
        <w:t xml:space="preserve">, but then </w:t>
      </w:r>
      <w:r w:rsidR="005A3159">
        <w:t>goes on to shift responsibility</w:t>
      </w:r>
      <w:r w:rsidR="00CF314B">
        <w:t xml:space="preserve"> back on</w:t>
      </w:r>
      <w:r w:rsidR="00147AF2">
        <w:t>to</w:t>
      </w:r>
      <w:r w:rsidR="00CF314B">
        <w:t xml:space="preserve"> Aboriginal and Torres Strait Islander people</w:t>
      </w:r>
      <w:r w:rsidR="00191E6F">
        <w:t xml:space="preserve"> </w:t>
      </w:r>
      <w:r w:rsidR="00191E6F" w:rsidRPr="00725325">
        <w:t>(Fogarty et al. 2018, p. 20)</w:t>
      </w:r>
      <w:r w:rsidR="00147AF2">
        <w:t>. The report states</w:t>
      </w:r>
      <w:r w:rsidR="005A3159">
        <w:t xml:space="preserve">: </w:t>
      </w:r>
    </w:p>
    <w:p w14:paraId="5C01B59D" w14:textId="4B8C6039" w:rsidR="00F135D2" w:rsidRPr="00605EF8" w:rsidRDefault="003D63E0" w:rsidP="00C04199">
      <w:pPr>
        <w:pStyle w:val="Quote"/>
      </w:pPr>
      <w:r w:rsidRPr="00605EF8">
        <w:lastRenderedPageBreak/>
        <w:t xml:space="preserve">In more recent times, governments have taken strong action to intervene in Indigenous communities in order to protect children from violence and abuse. While such urgent action </w:t>
      </w:r>
      <w:r w:rsidR="001B7F16" w:rsidRPr="00605EF8">
        <w:t>has been and may again be necessary in the future, too little focus has been given to the longer term task of building personal and community responsibility – a challenge that must be met if Indigenous life outcome</w:t>
      </w:r>
      <w:r w:rsidR="00064BDF">
        <w:t>s</w:t>
      </w:r>
      <w:r w:rsidR="001B7F16" w:rsidRPr="00605EF8">
        <w:t xml:space="preserve"> are to improve</w:t>
      </w:r>
      <w:r w:rsidR="00030645">
        <w:t>.</w:t>
      </w:r>
      <w:r w:rsidR="001B7F16" w:rsidRPr="00605EF8">
        <w:t xml:space="preserve"> </w:t>
      </w:r>
      <w:r w:rsidR="005B29D0" w:rsidRPr="00C04199">
        <w:t>(FaHCSIA 2009, p. 4)</w:t>
      </w:r>
    </w:p>
    <w:p w14:paraId="17B393A5" w14:textId="197F86FE" w:rsidR="00605EF8" w:rsidRDefault="00DE6896" w:rsidP="00605EF8">
      <w:pPr>
        <w:pStyle w:val="BodyText"/>
      </w:pPr>
      <w:r>
        <w:t xml:space="preserve">The Coalition of Peaks emphasised that monitoring the Priority Reforms was an important means of </w:t>
      </w:r>
      <w:r w:rsidR="00BC5E38">
        <w:t>moving</w:t>
      </w:r>
      <w:r>
        <w:t xml:space="preserve"> away from deficit narratives</w:t>
      </w:r>
      <w:r w:rsidR="008305FB">
        <w:t>.</w:t>
      </w:r>
      <w:r w:rsidR="00423971">
        <w:t xml:space="preserve"> </w:t>
      </w:r>
    </w:p>
    <w:p w14:paraId="084C346B" w14:textId="1C14B500" w:rsidR="00605EF8" w:rsidRDefault="00423971" w:rsidP="00605EF8">
      <w:pPr>
        <w:pStyle w:val="Quote"/>
      </w:pPr>
      <w:r w:rsidRPr="00423971">
        <w:t>To shift away from the deficit framing of the past, the Coalition of Peaks sought to achieve a recalibration of the Closing the Gap policy by the inclusion of the Priority Reforms. The intention was to place the spotlight on the way governments work and to also have this reported on annually</w:t>
      </w:r>
      <w:r w:rsidR="00452D98">
        <w:t>.</w:t>
      </w:r>
      <w:r w:rsidR="00153816">
        <w:t xml:space="preserve"> (Coalition of Peaks, pers. comm., 5</w:t>
      </w:r>
      <w:r w:rsidR="00827859">
        <w:t> </w:t>
      </w:r>
      <w:r w:rsidR="00153816">
        <w:t>July 2023)</w:t>
      </w:r>
      <w:r w:rsidRPr="00423971">
        <w:t xml:space="preserve"> </w:t>
      </w:r>
    </w:p>
    <w:p w14:paraId="6C3BA69A" w14:textId="79A5A3A4" w:rsidR="00605EF8" w:rsidRPr="00605EF8" w:rsidRDefault="00C87C28" w:rsidP="00C04199">
      <w:pPr>
        <w:pStyle w:val="BodyText"/>
      </w:pPr>
      <w:r>
        <w:t>Spelling</w:t>
      </w:r>
      <w:r w:rsidR="00AE3876">
        <w:t xml:space="preserve"> out </w:t>
      </w:r>
      <w:r w:rsidR="00B00D9A">
        <w:t>the links between</w:t>
      </w:r>
      <w:r w:rsidR="00AE3876">
        <w:t xml:space="preserve"> the Priority Reforms </w:t>
      </w:r>
      <w:r w:rsidR="00132383">
        <w:t>and</w:t>
      </w:r>
      <w:r w:rsidR="00865975">
        <w:t xml:space="preserve"> socio</w:t>
      </w:r>
      <w:r w:rsidR="00827859">
        <w:noBreakHyphen/>
      </w:r>
      <w:r w:rsidR="00865975">
        <w:t xml:space="preserve">economic outcomes and ensuring indicators of the </w:t>
      </w:r>
      <w:r w:rsidR="00065108">
        <w:t>desired changes</w:t>
      </w:r>
      <w:r w:rsidR="00865975">
        <w:t xml:space="preserve"> </w:t>
      </w:r>
      <w:r w:rsidR="00B648B5">
        <w:t>are identified and reported on</w:t>
      </w:r>
      <w:r w:rsidR="00D8655C">
        <w:t xml:space="preserve"> will </w:t>
      </w:r>
      <w:r w:rsidR="007A4C25">
        <w:t>enable the interpretation</w:t>
      </w:r>
      <w:r w:rsidR="00F1647D">
        <w:t xml:space="preserve"> of </w:t>
      </w:r>
      <w:r w:rsidR="00F64709">
        <w:t>disparities in life outcomes in context.</w:t>
      </w:r>
    </w:p>
    <w:p w14:paraId="047D99E9" w14:textId="0BD54BCD" w:rsidR="00D93296" w:rsidRDefault="004B678C" w:rsidP="00697212">
      <w:pPr>
        <w:pStyle w:val="Heading2"/>
        <w:numPr>
          <w:ilvl w:val="0"/>
          <w:numId w:val="0"/>
        </w:numPr>
        <w:ind w:left="720" w:hanging="720"/>
      </w:pPr>
      <w:bookmarkStart w:id="7" w:name="_Toc140484717"/>
      <w:r>
        <w:t>4</w:t>
      </w:r>
      <w:r>
        <w:tab/>
      </w:r>
      <w:r w:rsidR="00EA55FB">
        <w:t>Is the measurement approach balanced and fit</w:t>
      </w:r>
      <w:r w:rsidR="00452D98">
        <w:noBreakHyphen/>
      </w:r>
      <w:r w:rsidR="00EA55FB">
        <w:t>for</w:t>
      </w:r>
      <w:r w:rsidR="00452D98">
        <w:noBreakHyphen/>
      </w:r>
      <w:r w:rsidR="00EA55FB">
        <w:t>purpose</w:t>
      </w:r>
      <w:r w:rsidR="000F7500">
        <w:t>?</w:t>
      </w:r>
      <w:bookmarkEnd w:id="7"/>
      <w:r w:rsidR="00D93296">
        <w:t xml:space="preserve"> </w:t>
      </w:r>
    </w:p>
    <w:p w14:paraId="12C6CA3E" w14:textId="7D749808" w:rsidR="00F87510" w:rsidRDefault="00014295" w:rsidP="00D3347E">
      <w:pPr>
        <w:pStyle w:val="BodyText"/>
      </w:pPr>
      <w:r>
        <w:t>The design</w:t>
      </w:r>
      <w:r w:rsidR="00F87510">
        <w:t xml:space="preserve"> of a measurement approach is a balancing act. </w:t>
      </w:r>
      <w:r w:rsidR="00F36D55">
        <w:t xml:space="preserve">Performance monitoring must include </w:t>
      </w:r>
      <w:r w:rsidR="008730FB">
        <w:t>sufficient</w:t>
      </w:r>
      <w:r w:rsidR="00F36D55">
        <w:t xml:space="preserve"> information to adequately assess p</w:t>
      </w:r>
      <w:r w:rsidR="00A61F40">
        <w:t>rogress</w:t>
      </w:r>
      <w:r w:rsidR="00483D19">
        <w:t>, but no</w:t>
      </w:r>
      <w:r w:rsidR="00A0029D">
        <w:t>t</w:t>
      </w:r>
      <w:r w:rsidR="00483D19">
        <w:t xml:space="preserve"> so much as to make </w:t>
      </w:r>
      <w:r w:rsidR="00B56984">
        <w:t xml:space="preserve">data collection overly burdensome </w:t>
      </w:r>
      <w:r w:rsidR="00CF712F">
        <w:t xml:space="preserve">or </w:t>
      </w:r>
      <w:r w:rsidR="00D06539">
        <w:t>overwhelm people’s capacity to interpret it</w:t>
      </w:r>
      <w:r w:rsidR="007B70D1">
        <w:t xml:space="preserve">. </w:t>
      </w:r>
      <w:r w:rsidR="00CC0FC1">
        <w:t xml:space="preserve">Central to this balancing act is a shared understanding of the purpose of </w:t>
      </w:r>
      <w:r w:rsidR="003803BD">
        <w:t xml:space="preserve">performance </w:t>
      </w:r>
      <w:r w:rsidR="00CC0FC1">
        <w:t>monitoring</w:t>
      </w:r>
      <w:r w:rsidR="00C46A8C">
        <w:t>, the decisions it</w:t>
      </w:r>
      <w:r w:rsidR="0055530D">
        <w:t xml:space="preserve"> is</w:t>
      </w:r>
      <w:r w:rsidR="00C46A8C">
        <w:t xml:space="preserve"> intended to inform,</w:t>
      </w:r>
      <w:r w:rsidR="00CC0FC1">
        <w:t xml:space="preserve"> </w:t>
      </w:r>
      <w:r w:rsidR="00E329D8">
        <w:t xml:space="preserve">and the </w:t>
      </w:r>
      <w:r w:rsidR="00B53EF3">
        <w:t>key</w:t>
      </w:r>
      <w:r w:rsidR="00887A66">
        <w:t xml:space="preserve"> points of influence </w:t>
      </w:r>
      <w:r w:rsidR="004A6DDD">
        <w:t xml:space="preserve">intended to drive </w:t>
      </w:r>
      <w:r w:rsidR="00887A66">
        <w:t xml:space="preserve">change </w:t>
      </w:r>
      <w:r w:rsidR="00615D56">
        <w:t>(</w:t>
      </w:r>
      <w:r w:rsidR="00983E71">
        <w:t>b</w:t>
      </w:r>
      <w:r w:rsidR="008533E7">
        <w:t>ox</w:t>
      </w:r>
      <w:r w:rsidR="005634D7">
        <w:t> </w:t>
      </w:r>
      <w:r w:rsidR="004D2C9E">
        <w:t>6</w:t>
      </w:r>
      <w:r w:rsidR="008533E7">
        <w:t>)</w:t>
      </w:r>
      <w:r w:rsidR="00EF7776">
        <w:t xml:space="preserve">. </w:t>
      </w:r>
    </w:p>
    <w:p w14:paraId="500F9852" w14:textId="7E9FC12A" w:rsidR="005778E2" w:rsidRPr="00F82BD9" w:rsidRDefault="005778E2">
      <w:pPr>
        <w:pStyle w:val="NoSpacing"/>
      </w:pPr>
    </w:p>
    <w:tbl>
      <w:tblPr>
        <w:tblStyle w:val="Boxtable"/>
        <w:tblW w:w="5000" w:type="pct"/>
        <w:tblLook w:val="04A0" w:firstRow="1" w:lastRow="0" w:firstColumn="1" w:lastColumn="0" w:noHBand="0" w:noVBand="1"/>
      </w:tblPr>
      <w:tblGrid>
        <w:gridCol w:w="906"/>
        <w:gridCol w:w="8732"/>
      </w:tblGrid>
      <w:tr w:rsidR="0004528B" w14:paraId="746AF29E" w14:textId="77777777" w:rsidTr="0004528B">
        <w:trPr>
          <w:tblHeader/>
        </w:trPr>
        <w:tc>
          <w:tcPr>
            <w:tcW w:w="851" w:type="dxa"/>
            <w:shd w:val="clear" w:color="auto" w:fill="FBF3EC"/>
            <w:tcMar>
              <w:top w:w="170" w:type="dxa"/>
              <w:left w:w="170" w:type="dxa"/>
              <w:bottom w:w="113" w:type="dxa"/>
              <w:right w:w="170" w:type="dxa"/>
            </w:tcMar>
            <w:hideMark/>
          </w:tcPr>
          <w:p w14:paraId="408DD518" w14:textId="6ED5AD05" w:rsidR="0004528B" w:rsidRDefault="0004528B" w:rsidP="0004528B">
            <w:pPr>
              <w:pStyle w:val="BoxHeading1"/>
              <w:spacing w:before="0"/>
            </w:pPr>
            <w:r w:rsidRPr="00A031AA">
              <w:rPr>
                <w:b/>
                <w:bCs/>
                <w:noProof/>
              </w:rPr>
              <w:drawing>
                <wp:inline distT="0" distB="0" distL="0" distR="0" wp14:anchorId="165B9D38" wp14:editId="53AB1F52">
                  <wp:extent cx="360000" cy="424800"/>
                  <wp:effectExtent l="0" t="0" r="0" b="0"/>
                  <wp:docPr id="236944292" name="Picture 236944292" descr="A brown boomerang with red and yellow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16939" name="Picture 1293616939" descr="A brown boomerang with red and yellow do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424800"/>
                          </a:xfrm>
                          <a:prstGeom prst="rect">
                            <a:avLst/>
                          </a:prstGeom>
                        </pic:spPr>
                      </pic:pic>
                    </a:graphicData>
                  </a:graphic>
                </wp:inline>
              </w:drawing>
            </w:r>
          </w:p>
        </w:tc>
        <w:tc>
          <w:tcPr>
            <w:tcW w:w="8787" w:type="dxa"/>
            <w:shd w:val="clear" w:color="auto" w:fill="FBF3EC"/>
          </w:tcPr>
          <w:p w14:paraId="01535184" w14:textId="10D8F903" w:rsidR="0004528B" w:rsidRDefault="0004528B">
            <w:pPr>
              <w:pStyle w:val="BoxHeading1"/>
            </w:pPr>
            <w:r>
              <w:t>Box 6 – A balanced, fit</w:t>
            </w:r>
            <w:r>
              <w:noBreakHyphen/>
              <w:t>for</w:t>
            </w:r>
            <w:r>
              <w:noBreakHyphen/>
              <w:t>purpose measurement approach</w:t>
            </w:r>
          </w:p>
        </w:tc>
      </w:tr>
      <w:tr w:rsidR="005778E2" w14:paraId="757784E5" w14:textId="77777777" w:rsidTr="0004528B">
        <w:tc>
          <w:tcPr>
            <w:tcW w:w="9638" w:type="dxa"/>
            <w:gridSpan w:val="2"/>
            <w:shd w:val="clear" w:color="auto" w:fill="FBF3EC"/>
            <w:tcMar>
              <w:top w:w="28" w:type="dxa"/>
              <w:left w:w="170" w:type="dxa"/>
              <w:bottom w:w="170" w:type="dxa"/>
              <w:right w:w="170" w:type="dxa"/>
            </w:tcMar>
            <w:hideMark/>
          </w:tcPr>
          <w:p w14:paraId="6C71E966" w14:textId="068907F3" w:rsidR="005778E2" w:rsidRDefault="005778E2" w:rsidP="005778E2">
            <w:pPr>
              <w:pStyle w:val="BodyText"/>
            </w:pPr>
            <w:r>
              <w:t>A well</w:t>
            </w:r>
            <w:r w:rsidR="00827859">
              <w:noBreakHyphen/>
            </w:r>
            <w:r>
              <w:t xml:space="preserve">designed measurement approach should </w:t>
            </w:r>
            <w:r w:rsidR="00E736AA">
              <w:t xml:space="preserve">balance </w:t>
            </w:r>
            <w:r w:rsidR="00DB6754">
              <w:t>the comprehensiveness of performance information with the cost of collecting and analysing it</w:t>
            </w:r>
            <w:r w:rsidR="004B16C9">
              <w:t>.</w:t>
            </w:r>
            <w:r>
              <w:t xml:space="preserve"> </w:t>
            </w:r>
            <w:r w:rsidR="007D045C">
              <w:t>P</w:t>
            </w:r>
            <w:r>
              <w:t xml:space="preserve">erformance </w:t>
            </w:r>
            <w:r w:rsidR="00725AA8">
              <w:t xml:space="preserve">measures </w:t>
            </w:r>
            <w:r w:rsidR="00ED7ED7">
              <w:t>can</w:t>
            </w:r>
            <w:r w:rsidR="00725AA8">
              <w:t xml:space="preserve"> provide </w:t>
            </w:r>
            <w:r>
              <w:t xml:space="preserve">information </w:t>
            </w:r>
            <w:r w:rsidR="006E0D0B">
              <w:t xml:space="preserve">about </w:t>
            </w:r>
            <w:r w:rsidR="00A80F6A">
              <w:t xml:space="preserve">a </w:t>
            </w:r>
            <w:r w:rsidR="002800ED">
              <w:t>policy</w:t>
            </w:r>
            <w:r w:rsidR="00B74C04">
              <w:t>’s</w:t>
            </w:r>
            <w:r w:rsidR="002800ED">
              <w:t xml:space="preserve"> or program’s</w:t>
            </w:r>
            <w:r>
              <w:t xml:space="preserve"> contribution to outcomes (effectiveness), the distribution of outcomes (equity), the nature of what is being delivered (actions or outputs in terms of quantity, quality, cost), and how well it was delivered (efficiency and participant satisfaction) </w:t>
            </w:r>
            <w:r w:rsidR="00EF3F9D" w:rsidRPr="00EF3F9D">
              <w:rPr>
                <w:rFonts w:ascii="Arial" w:hAnsi="Arial" w:cs="Arial"/>
                <w:szCs w:val="24"/>
              </w:rPr>
              <w:t>(ANAO 2004, p. 16; Department of Finance 2015, p. 30)</w:t>
            </w:r>
            <w:r>
              <w:t xml:space="preserve">. </w:t>
            </w:r>
          </w:p>
          <w:p w14:paraId="7E639F39" w14:textId="265966B7" w:rsidR="00481D64" w:rsidRDefault="00E82ED5" w:rsidP="00E71214">
            <w:pPr>
              <w:pStyle w:val="BoxHeading2"/>
            </w:pPr>
            <w:r>
              <w:t>Selecting</w:t>
            </w:r>
            <w:r w:rsidR="00643CD9">
              <w:t xml:space="preserve"> </w:t>
            </w:r>
            <w:r w:rsidR="0002421E">
              <w:t xml:space="preserve">the minimum number of </w:t>
            </w:r>
            <w:r w:rsidR="00643CD9">
              <w:t>fit</w:t>
            </w:r>
            <w:r w:rsidR="00827859">
              <w:noBreakHyphen/>
            </w:r>
            <w:r w:rsidR="00643CD9">
              <w:t>for</w:t>
            </w:r>
            <w:r w:rsidR="00827859">
              <w:noBreakHyphen/>
            </w:r>
            <w:r w:rsidR="00643CD9">
              <w:t>purpose</w:t>
            </w:r>
            <w:r w:rsidR="00981D4D">
              <w:t xml:space="preserve"> indicators</w:t>
            </w:r>
          </w:p>
          <w:p w14:paraId="6913EF01" w14:textId="0233882B" w:rsidR="005778E2" w:rsidRPr="00B7395E" w:rsidRDefault="005778E2" w:rsidP="005778E2">
            <w:pPr>
              <w:pStyle w:val="BodyText"/>
            </w:pPr>
            <w:r>
              <w:t xml:space="preserve">The set of indictors </w:t>
            </w:r>
            <w:r w:rsidR="00CE2DA2">
              <w:t>chosen should</w:t>
            </w:r>
            <w:r>
              <w:t xml:space="preserve"> support the intended uses of the framework (as defined by its purpose)</w:t>
            </w:r>
            <w:r w:rsidR="00EF3F9D" w:rsidRPr="00B7395E">
              <w:t>(Department of Finance 2015, pp. 16, 36–38)</w:t>
            </w:r>
            <w:r>
              <w:t xml:space="preserve">. </w:t>
            </w:r>
            <w:r w:rsidRPr="009F1318">
              <w:t>For example, if a framework is intended to inform resource allocation decisions</w:t>
            </w:r>
            <w:r>
              <w:t>,</w:t>
            </w:r>
            <w:r w:rsidRPr="009F1318">
              <w:t xml:space="preserve"> the measurement approach will need to include cost and quantity indicators. Similarly, the indicators should be able to be disaggregated to match </w:t>
            </w:r>
            <w:r w:rsidR="00C2762A">
              <w:t>the</w:t>
            </w:r>
            <w:r w:rsidR="000A0A35">
              <w:t xml:space="preserve"> level of</w:t>
            </w:r>
            <w:r w:rsidRPr="009F1318">
              <w:t xml:space="preserve"> decisions that the </w:t>
            </w:r>
            <w:r>
              <w:t>f</w:t>
            </w:r>
            <w:r w:rsidRPr="009F1318">
              <w:t>ramework is intended to inform.</w:t>
            </w:r>
            <w:r w:rsidR="00E2524D">
              <w:t xml:space="preserve"> For example, d</w:t>
            </w:r>
            <w:r w:rsidR="00667A00">
              <w:t xml:space="preserve">ata informing state and territory policy will need to be disaggregated at that level and may require further disaggregation to </w:t>
            </w:r>
            <w:r w:rsidR="007C25F6">
              <w:t xml:space="preserve">determine whether progress </w:t>
            </w:r>
            <w:r w:rsidR="00FF519D">
              <w:t>has been</w:t>
            </w:r>
            <w:r w:rsidR="007C25F6">
              <w:t xml:space="preserve"> </w:t>
            </w:r>
            <w:r w:rsidR="00746118">
              <w:t xml:space="preserve">evenly </w:t>
            </w:r>
            <w:r w:rsidR="007C25F6">
              <w:t>distributed</w:t>
            </w:r>
            <w:r w:rsidR="00FF519D">
              <w:t xml:space="preserve"> or </w:t>
            </w:r>
            <w:r w:rsidR="00CF1399">
              <w:t>limited to</w:t>
            </w:r>
            <w:r w:rsidR="00FF519D">
              <w:t xml:space="preserve"> </w:t>
            </w:r>
            <w:r w:rsidR="002E5E87">
              <w:t xml:space="preserve">certain </w:t>
            </w:r>
            <w:r w:rsidR="00AE4CF6">
              <w:t xml:space="preserve">geographic </w:t>
            </w:r>
            <w:r w:rsidR="002E5E87">
              <w:t>areas</w:t>
            </w:r>
            <w:r w:rsidR="007C25F6">
              <w:t>.</w:t>
            </w:r>
          </w:p>
          <w:p w14:paraId="3CC4EA6E" w14:textId="1565D392" w:rsidR="005778E2" w:rsidRDefault="00220A47" w:rsidP="005778E2">
            <w:pPr>
              <w:pStyle w:val="BodyText"/>
            </w:pPr>
            <w:r>
              <w:lastRenderedPageBreak/>
              <w:t>A</w:t>
            </w:r>
            <w:r w:rsidR="005778E2">
              <w:t xml:space="preserve"> framework should only include the minimum number of indicators that are needed</w:t>
            </w:r>
            <w:r w:rsidR="000A0F6A">
              <w:t xml:space="preserve"> to track intended changes</w:t>
            </w:r>
            <w:r w:rsidR="005778E2">
              <w:t xml:space="preserve">. Having too many indicators </w:t>
            </w:r>
            <w:r w:rsidR="005778E2" w:rsidRPr="009F1318">
              <w:t xml:space="preserve">can make the framework difficult to interpret and use </w:t>
            </w:r>
            <w:r w:rsidR="00833FE7" w:rsidRPr="00833FE7">
              <w:rPr>
                <w:rFonts w:ascii="Arial" w:hAnsi="Arial" w:cs="Arial"/>
                <w:szCs w:val="24"/>
              </w:rPr>
              <w:t>(HM Treasury 2001, p. 11; Nous Group 2014, p. 27)</w:t>
            </w:r>
            <w:r w:rsidR="005778E2">
              <w:t>. Moreover, the benefit of additional indicators must be weighed against the costs (financial and non</w:t>
            </w:r>
            <w:r w:rsidR="00827859">
              <w:noBreakHyphen/>
            </w:r>
            <w:r w:rsidR="005778E2">
              <w:t xml:space="preserve">financial) of developing, collecting and reporting on them </w:t>
            </w:r>
            <w:r w:rsidR="00873E01" w:rsidRPr="00873E01">
              <w:rPr>
                <w:rFonts w:ascii="Arial" w:hAnsi="Arial" w:cs="Arial"/>
                <w:szCs w:val="24"/>
              </w:rPr>
              <w:t>(Department of Finance 2015, p. 19; HM Treasury 2001, p. 16)</w:t>
            </w:r>
            <w:r w:rsidR="005778E2">
              <w:t>.</w:t>
            </w:r>
          </w:p>
          <w:p w14:paraId="375A5D24" w14:textId="6808051A" w:rsidR="00481D64" w:rsidRDefault="003C3BEE" w:rsidP="00E71214">
            <w:pPr>
              <w:pStyle w:val="BoxHeading2"/>
            </w:pPr>
            <w:r>
              <w:t>Criteria for selecting measures</w:t>
            </w:r>
          </w:p>
          <w:p w14:paraId="2E15EB19" w14:textId="2ADB7FA2" w:rsidR="00BC6316" w:rsidRDefault="000944AF" w:rsidP="005778E2">
            <w:pPr>
              <w:pStyle w:val="BodyText"/>
            </w:pPr>
            <w:r>
              <w:t>While it</w:t>
            </w:r>
            <w:r w:rsidR="009322EA">
              <w:t xml:space="preserve"> i</w:t>
            </w:r>
            <w:r>
              <w:t xml:space="preserve">s often difficult to identify measures that comprehensively capture an outcome, they should represent the best approximation at a standard to which all parties agree, in a way that balances relevance with the practical costs of data collection </w:t>
            </w:r>
            <w:r w:rsidR="00BD44AD" w:rsidRPr="00BD44AD">
              <w:rPr>
                <w:rFonts w:ascii="Arial" w:hAnsi="Arial" w:cs="Arial"/>
                <w:szCs w:val="24"/>
              </w:rPr>
              <w:t>(ANAO 2004, p. 13)</w:t>
            </w:r>
            <w:r>
              <w:t xml:space="preserve">. </w:t>
            </w:r>
            <w:r w:rsidR="00862FB2">
              <w:t>Selected</w:t>
            </w:r>
            <w:r w:rsidR="005778E2">
              <w:t xml:space="preserve"> </w:t>
            </w:r>
            <w:r w:rsidR="00376528">
              <w:t>measures</w:t>
            </w:r>
            <w:r w:rsidR="005778E2">
              <w:t xml:space="preserve"> </w:t>
            </w:r>
            <w:r w:rsidR="00862FB2">
              <w:t>should be complete</w:t>
            </w:r>
            <w:r w:rsidR="005778E2">
              <w:t xml:space="preserve">, relevant and </w:t>
            </w:r>
            <w:r w:rsidR="00862FB2">
              <w:t>reliabl</w:t>
            </w:r>
            <w:r w:rsidR="00E60BD1">
              <w:t xml:space="preserve">e </w:t>
            </w:r>
            <w:r w:rsidR="000D5770" w:rsidRPr="000D5770">
              <w:rPr>
                <w:rFonts w:ascii="Arial" w:hAnsi="Arial" w:cs="Arial"/>
                <w:szCs w:val="24"/>
              </w:rPr>
              <w:t>(HM Treasury 2001, pp. 16–17; PC 2019, p. 140, 2022b, p. 265)</w:t>
            </w:r>
            <w:r w:rsidR="008C680F">
              <w:t>.</w:t>
            </w:r>
          </w:p>
          <w:p w14:paraId="71E10F07" w14:textId="73D3EF77" w:rsidR="0068761D" w:rsidRPr="00697212" w:rsidRDefault="00BF2EF1" w:rsidP="00BF2EF1">
            <w:pPr>
              <w:pStyle w:val="ListBullet"/>
              <w:rPr>
                <w:spacing w:val="-4"/>
              </w:rPr>
            </w:pPr>
            <w:r w:rsidRPr="00697212">
              <w:rPr>
                <w:b/>
                <w:spacing w:val="-4"/>
              </w:rPr>
              <w:t>Complete:</w:t>
            </w:r>
            <w:r w:rsidR="00516C42" w:rsidRPr="00697212">
              <w:rPr>
                <w:spacing w:val="-4"/>
              </w:rPr>
              <w:t xml:space="preserve"> Measures should </w:t>
            </w:r>
            <w:r w:rsidR="000A58AE" w:rsidRPr="00697212">
              <w:rPr>
                <w:spacing w:val="-4"/>
              </w:rPr>
              <w:t>provide a balanced account of the overall performance story</w:t>
            </w:r>
            <w:r w:rsidR="0062765D" w:rsidRPr="00697212">
              <w:rPr>
                <w:spacing w:val="-4"/>
              </w:rPr>
              <w:t xml:space="preserve">, enabling assessment of actions and outcomes. </w:t>
            </w:r>
            <w:r w:rsidR="0039330E" w:rsidRPr="00697212">
              <w:rPr>
                <w:spacing w:val="-4"/>
              </w:rPr>
              <w:t>Dat</w:t>
            </w:r>
            <w:r w:rsidR="00C45AEE" w:rsidRPr="00697212">
              <w:rPr>
                <w:spacing w:val="-4"/>
              </w:rPr>
              <w:t>a should be available at a frequency and format to inform timely decision</w:t>
            </w:r>
            <w:r w:rsidR="00827859" w:rsidRPr="00697212">
              <w:rPr>
                <w:spacing w:val="-4"/>
              </w:rPr>
              <w:noBreakHyphen/>
            </w:r>
            <w:r w:rsidR="00C45AEE" w:rsidRPr="00697212">
              <w:rPr>
                <w:spacing w:val="-4"/>
              </w:rPr>
              <w:t>making.</w:t>
            </w:r>
            <w:r w:rsidR="0039330E" w:rsidRPr="00697212">
              <w:rPr>
                <w:spacing w:val="-4"/>
              </w:rPr>
              <w:t xml:space="preserve"> </w:t>
            </w:r>
            <w:r w:rsidR="000C3D21" w:rsidRPr="00697212">
              <w:rPr>
                <w:spacing w:val="-4"/>
              </w:rPr>
              <w:t xml:space="preserve">Where data </w:t>
            </w:r>
            <w:r w:rsidR="00712ECF" w:rsidRPr="00697212">
              <w:rPr>
                <w:spacing w:val="-4"/>
              </w:rPr>
              <w:t>is</w:t>
            </w:r>
            <w:r w:rsidR="000C3D21" w:rsidRPr="00697212">
              <w:rPr>
                <w:spacing w:val="-4"/>
              </w:rPr>
              <w:t xml:space="preserve"> not available, the </w:t>
            </w:r>
            <w:r w:rsidR="000E2A53" w:rsidRPr="00697212">
              <w:rPr>
                <w:spacing w:val="-4"/>
              </w:rPr>
              <w:t xml:space="preserve">value and </w:t>
            </w:r>
            <w:r w:rsidR="000C3D21" w:rsidRPr="00697212">
              <w:rPr>
                <w:spacing w:val="-4"/>
              </w:rPr>
              <w:t xml:space="preserve">cost of developing it should be </w:t>
            </w:r>
            <w:r w:rsidR="000E2A53" w:rsidRPr="00697212">
              <w:rPr>
                <w:spacing w:val="-4"/>
              </w:rPr>
              <w:t>considered</w:t>
            </w:r>
            <w:r w:rsidR="00BB02C7" w:rsidRPr="00697212">
              <w:rPr>
                <w:spacing w:val="-4"/>
              </w:rPr>
              <w:t>.</w:t>
            </w:r>
          </w:p>
          <w:p w14:paraId="2DA06B02" w14:textId="5428B1EB" w:rsidR="00BF2EF1" w:rsidRDefault="00BF2EF1" w:rsidP="00BF2EF1">
            <w:pPr>
              <w:pStyle w:val="ListBullet"/>
            </w:pPr>
            <w:r w:rsidRPr="000E2A53">
              <w:rPr>
                <w:b/>
              </w:rPr>
              <w:t>Relevant:</w:t>
            </w:r>
            <w:r w:rsidR="0004693C">
              <w:t xml:space="preserve"> </w:t>
            </w:r>
            <w:r w:rsidR="00376528">
              <w:t xml:space="preserve">Measures </w:t>
            </w:r>
            <w:r w:rsidR="00BB0527">
              <w:t xml:space="preserve">should meaningfully </w:t>
            </w:r>
            <w:r w:rsidR="000E4E59">
              <w:t>capture the key concepts underpinning objectives</w:t>
            </w:r>
            <w:r w:rsidR="00B673F1">
              <w:t xml:space="preserve">, especially from the perspective of people impacted by </w:t>
            </w:r>
            <w:r w:rsidR="007C3F4E">
              <w:t xml:space="preserve">policy </w:t>
            </w:r>
            <w:r w:rsidR="00B53087">
              <w:t>initiatives</w:t>
            </w:r>
            <w:r w:rsidR="008914A1">
              <w:t xml:space="preserve"> (box</w:t>
            </w:r>
            <w:r w:rsidR="005634D7">
              <w:t> </w:t>
            </w:r>
            <w:r w:rsidR="00CB702B">
              <w:t>3</w:t>
            </w:r>
            <w:r w:rsidR="008914A1">
              <w:t>)</w:t>
            </w:r>
            <w:r w:rsidR="000E4E59">
              <w:t>.</w:t>
            </w:r>
            <w:r w:rsidR="00E744FB">
              <w:t xml:space="preserve"> </w:t>
            </w:r>
            <w:r w:rsidR="00FB1FDE">
              <w:t xml:space="preserve">Measures </w:t>
            </w:r>
            <w:r w:rsidR="001006EA">
              <w:t>should be able to be influenced, at least in part, by government policy</w:t>
            </w:r>
            <w:r w:rsidR="00A72A4F">
              <w:t xml:space="preserve"> and clear in their</w:t>
            </w:r>
            <w:r w:rsidR="0004693C">
              <w:t xml:space="preserve"> </w:t>
            </w:r>
            <w:r w:rsidR="00E019A4">
              <w:t>description of progress.</w:t>
            </w:r>
            <w:r w:rsidR="0004693C">
              <w:t xml:space="preserve"> </w:t>
            </w:r>
          </w:p>
          <w:p w14:paraId="65729B65" w14:textId="57CB813C" w:rsidR="00BF2EF1" w:rsidRDefault="00BF2EF1" w:rsidP="00BF2EF1">
            <w:pPr>
              <w:pStyle w:val="ListBullet"/>
            </w:pPr>
            <w:r w:rsidRPr="000E2A53">
              <w:rPr>
                <w:b/>
              </w:rPr>
              <w:t>Reliable:</w:t>
            </w:r>
            <w:r w:rsidR="009772F3">
              <w:t xml:space="preserve"> </w:t>
            </w:r>
            <w:r w:rsidR="00376528">
              <w:t>Measures</w:t>
            </w:r>
            <w:r w:rsidR="009772F3">
              <w:t xml:space="preserve"> should validly </w:t>
            </w:r>
            <w:r w:rsidR="00D8232C">
              <w:t xml:space="preserve">and consistently </w:t>
            </w:r>
            <w:r w:rsidR="009772F3">
              <w:t xml:space="preserve">capture </w:t>
            </w:r>
            <w:r w:rsidR="00D8232C">
              <w:t xml:space="preserve">the </w:t>
            </w:r>
            <w:r w:rsidR="00373AA7">
              <w:t>intended concept</w:t>
            </w:r>
            <w:r w:rsidR="00E041DF">
              <w:t xml:space="preserve"> and draw on credible data sources.</w:t>
            </w:r>
          </w:p>
          <w:p w14:paraId="0205B559" w14:textId="2E1A71B7" w:rsidR="005778E2" w:rsidRPr="00697212" w:rsidRDefault="00080D14" w:rsidP="00AA31EB">
            <w:pPr>
              <w:pStyle w:val="BodyText"/>
              <w:rPr>
                <w:spacing w:val="-4"/>
              </w:rPr>
            </w:pPr>
            <w:r w:rsidRPr="00697212">
              <w:rPr>
                <w:spacing w:val="-4"/>
              </w:rPr>
              <w:t>To build support and ownership of the approach, a</w:t>
            </w:r>
            <w:r w:rsidR="00562B16" w:rsidRPr="00697212">
              <w:rPr>
                <w:spacing w:val="-4"/>
              </w:rPr>
              <w:t xml:space="preserve">ll main parties </w:t>
            </w:r>
            <w:r w:rsidR="00AC3E0F" w:rsidRPr="00697212">
              <w:rPr>
                <w:spacing w:val="-4"/>
              </w:rPr>
              <w:t xml:space="preserve">who will </w:t>
            </w:r>
            <w:r w:rsidR="009D55BE" w:rsidRPr="00697212">
              <w:rPr>
                <w:spacing w:val="-4"/>
              </w:rPr>
              <w:t>report against and use performance data</w:t>
            </w:r>
            <w:r w:rsidR="00806BAF" w:rsidRPr="00697212">
              <w:rPr>
                <w:spacing w:val="-4"/>
              </w:rPr>
              <w:t xml:space="preserve"> </w:t>
            </w:r>
            <w:r w:rsidR="005171A2" w:rsidRPr="00697212">
              <w:rPr>
                <w:spacing w:val="-4"/>
              </w:rPr>
              <w:t xml:space="preserve">should be engaged in negotiating the selection of indicators </w:t>
            </w:r>
            <w:r w:rsidR="00E10D39" w:rsidRPr="00697212">
              <w:rPr>
                <w:spacing w:val="-4"/>
              </w:rPr>
              <w:t>and measures</w:t>
            </w:r>
            <w:r w:rsidR="00BA3456" w:rsidRPr="00697212">
              <w:rPr>
                <w:spacing w:val="-4"/>
              </w:rPr>
              <w:t xml:space="preserve"> </w:t>
            </w:r>
            <w:r w:rsidR="00EB5CE3" w:rsidRPr="00697212">
              <w:rPr>
                <w:rFonts w:cs="Arial"/>
                <w:spacing w:val="-4"/>
                <w:szCs w:val="24"/>
              </w:rPr>
              <w:t>(Goh 2012, pp. 34–36; HM Treasury 2001, pp. 11–12)</w:t>
            </w:r>
            <w:r w:rsidR="009D55BE" w:rsidRPr="00697212">
              <w:rPr>
                <w:spacing w:val="-4"/>
              </w:rPr>
              <w:t>.</w:t>
            </w:r>
            <w:r w:rsidR="005778E2" w:rsidRPr="00697212">
              <w:rPr>
                <w:spacing w:val="-4"/>
              </w:rPr>
              <w:t xml:space="preserve"> </w:t>
            </w:r>
            <w:r w:rsidR="00863F34" w:rsidRPr="00697212">
              <w:rPr>
                <w:spacing w:val="-4"/>
              </w:rPr>
              <w:t xml:space="preserve">Since </w:t>
            </w:r>
            <w:r w:rsidR="00193558" w:rsidRPr="00697212">
              <w:rPr>
                <w:spacing w:val="-4"/>
              </w:rPr>
              <w:t xml:space="preserve">parties </w:t>
            </w:r>
            <w:r w:rsidR="00265C39" w:rsidRPr="00697212">
              <w:rPr>
                <w:spacing w:val="-4"/>
              </w:rPr>
              <w:t xml:space="preserve">may assess selection </w:t>
            </w:r>
            <w:r w:rsidR="00AF19A0" w:rsidRPr="00697212">
              <w:rPr>
                <w:spacing w:val="-4"/>
              </w:rPr>
              <w:t xml:space="preserve">criteria and </w:t>
            </w:r>
            <w:r w:rsidR="0045288C" w:rsidRPr="00697212">
              <w:rPr>
                <w:spacing w:val="-4"/>
              </w:rPr>
              <w:t>their trade</w:t>
            </w:r>
            <w:r w:rsidR="00E7659E" w:rsidRPr="00697212">
              <w:rPr>
                <w:spacing w:val="-4"/>
              </w:rPr>
              <w:noBreakHyphen/>
            </w:r>
            <w:r w:rsidR="0045288C" w:rsidRPr="00697212">
              <w:rPr>
                <w:spacing w:val="-4"/>
              </w:rPr>
              <w:t>offs</w:t>
            </w:r>
            <w:r w:rsidR="00265C39" w:rsidRPr="00697212">
              <w:rPr>
                <w:spacing w:val="-4"/>
              </w:rPr>
              <w:t xml:space="preserve"> differently</w:t>
            </w:r>
            <w:r w:rsidR="00007769" w:rsidRPr="00697212">
              <w:rPr>
                <w:spacing w:val="-4"/>
              </w:rPr>
              <w:t xml:space="preserve">, </w:t>
            </w:r>
            <w:r w:rsidR="0076292D" w:rsidRPr="00697212">
              <w:rPr>
                <w:spacing w:val="-4"/>
              </w:rPr>
              <w:t xml:space="preserve">the selection process should be systematic </w:t>
            </w:r>
            <w:r w:rsidR="00F47B29" w:rsidRPr="00697212">
              <w:rPr>
                <w:spacing w:val="-4"/>
              </w:rPr>
              <w:t>and</w:t>
            </w:r>
            <w:r w:rsidR="0076292D" w:rsidRPr="00697212">
              <w:rPr>
                <w:spacing w:val="-4"/>
              </w:rPr>
              <w:t xml:space="preserve"> well</w:t>
            </w:r>
            <w:r w:rsidR="00827859" w:rsidRPr="00697212">
              <w:rPr>
                <w:spacing w:val="-4"/>
              </w:rPr>
              <w:noBreakHyphen/>
            </w:r>
            <w:r w:rsidR="0076292D" w:rsidRPr="00697212">
              <w:rPr>
                <w:spacing w:val="-4"/>
              </w:rPr>
              <w:t>documented</w:t>
            </w:r>
            <w:r w:rsidR="001727D3" w:rsidRPr="00697212">
              <w:rPr>
                <w:spacing w:val="-4"/>
              </w:rPr>
              <w:t xml:space="preserve"> </w:t>
            </w:r>
            <w:r w:rsidR="001727D3" w:rsidRPr="00697212">
              <w:rPr>
                <w:rFonts w:cs="Arial"/>
                <w:spacing w:val="-4"/>
                <w:szCs w:val="24"/>
              </w:rPr>
              <w:t>(ANAO 2004, p. 13; HM Treasury 2001, pp. 11–12)</w:t>
            </w:r>
            <w:r w:rsidR="00AF19A0" w:rsidRPr="00697212">
              <w:rPr>
                <w:spacing w:val="-4"/>
              </w:rPr>
              <w:t xml:space="preserve">. </w:t>
            </w:r>
            <w:r w:rsidR="00DD0F88" w:rsidRPr="00697212">
              <w:rPr>
                <w:spacing w:val="-4"/>
              </w:rPr>
              <w:t xml:space="preserve">In the context of the Agreement, centring Aboriginal and Torres Strait Islander </w:t>
            </w:r>
            <w:r w:rsidR="00E80A2C" w:rsidRPr="00697212">
              <w:rPr>
                <w:spacing w:val="-4"/>
              </w:rPr>
              <w:t xml:space="preserve">people’s </w:t>
            </w:r>
            <w:r w:rsidR="00DD0F88" w:rsidRPr="00697212">
              <w:rPr>
                <w:spacing w:val="-4"/>
              </w:rPr>
              <w:t>perspectives in this process is especially important</w:t>
            </w:r>
            <w:r w:rsidR="00172E73" w:rsidRPr="00697212">
              <w:rPr>
                <w:spacing w:val="-4"/>
              </w:rPr>
              <w:t xml:space="preserve"> (box</w:t>
            </w:r>
            <w:r w:rsidR="005634D7" w:rsidRPr="00697212">
              <w:rPr>
                <w:spacing w:val="-4"/>
              </w:rPr>
              <w:t> </w:t>
            </w:r>
            <w:r w:rsidR="00172E73" w:rsidRPr="00697212">
              <w:rPr>
                <w:spacing w:val="-4"/>
              </w:rPr>
              <w:t>3)</w:t>
            </w:r>
            <w:r w:rsidR="00DD0F88" w:rsidRPr="00697212">
              <w:rPr>
                <w:spacing w:val="-4"/>
              </w:rPr>
              <w:t>. Most existing national data ha</w:t>
            </w:r>
            <w:r w:rsidR="0092038D" w:rsidRPr="00697212">
              <w:rPr>
                <w:spacing w:val="-4"/>
              </w:rPr>
              <w:t>s</w:t>
            </w:r>
            <w:r w:rsidR="00DD0F88" w:rsidRPr="00697212">
              <w:rPr>
                <w:spacing w:val="-4"/>
              </w:rPr>
              <w:t xml:space="preserve"> been developed from non</w:t>
            </w:r>
            <w:r w:rsidR="00827859" w:rsidRPr="00697212">
              <w:rPr>
                <w:spacing w:val="-4"/>
              </w:rPr>
              <w:noBreakHyphen/>
            </w:r>
            <w:r w:rsidR="00DD0F88" w:rsidRPr="00697212">
              <w:rPr>
                <w:spacing w:val="-4"/>
              </w:rPr>
              <w:t>Indigenous perspective</w:t>
            </w:r>
            <w:r w:rsidR="00D81EA9" w:rsidRPr="00697212">
              <w:rPr>
                <w:spacing w:val="-4"/>
              </w:rPr>
              <w:t>s, so</w:t>
            </w:r>
            <w:r w:rsidR="00DD0F88" w:rsidRPr="00697212">
              <w:rPr>
                <w:spacing w:val="-4"/>
              </w:rPr>
              <w:t xml:space="preserve"> </w:t>
            </w:r>
            <w:r w:rsidR="00987F5D" w:rsidRPr="00697212">
              <w:rPr>
                <w:spacing w:val="-4"/>
              </w:rPr>
              <w:t xml:space="preserve">measures meeting the criteria </w:t>
            </w:r>
            <w:r w:rsidR="00DA2D72" w:rsidRPr="00697212">
              <w:rPr>
                <w:spacing w:val="-4"/>
              </w:rPr>
              <w:t xml:space="preserve">from Aboriginal and Torres Strait Islander perspectives </w:t>
            </w:r>
            <w:r w:rsidR="00987F5D" w:rsidRPr="00697212">
              <w:rPr>
                <w:spacing w:val="-4"/>
              </w:rPr>
              <w:t>are</w:t>
            </w:r>
            <w:r w:rsidR="00DD0F88" w:rsidRPr="00697212">
              <w:rPr>
                <w:spacing w:val="-4"/>
              </w:rPr>
              <w:t xml:space="preserve"> more likely to require data development.</w:t>
            </w:r>
            <w:r w:rsidR="006A7D20" w:rsidRPr="00697212">
              <w:rPr>
                <w:spacing w:val="-4"/>
              </w:rPr>
              <w:t xml:space="preserve"> </w:t>
            </w:r>
            <w:r w:rsidR="009D55BE" w:rsidRPr="00697212">
              <w:rPr>
                <w:spacing w:val="-4"/>
              </w:rPr>
              <w:t xml:space="preserve">To </w:t>
            </w:r>
            <w:r w:rsidR="001600C5" w:rsidRPr="00697212">
              <w:rPr>
                <w:spacing w:val="-4"/>
              </w:rPr>
              <w:t xml:space="preserve">the extent that all parties can come to a shared understanding, this will enhance credibility and motivate action. </w:t>
            </w:r>
          </w:p>
          <w:p w14:paraId="5F1A2C2D" w14:textId="345C9EEF" w:rsidR="00481D64" w:rsidRDefault="00481D64" w:rsidP="00EE1C27">
            <w:pPr>
              <w:pStyle w:val="BoxHeading2"/>
            </w:pPr>
            <w:r>
              <w:t>Performance targets t</w:t>
            </w:r>
            <w:r w:rsidR="00F77006">
              <w:t>hat</w:t>
            </w:r>
            <w:r>
              <w:t xml:space="preserve"> motivate and focus effort</w:t>
            </w:r>
          </w:p>
          <w:p w14:paraId="3DF6FBFE" w14:textId="43641CBC" w:rsidR="001F71D3" w:rsidRDefault="001F71D3" w:rsidP="00D76C2C">
            <w:pPr>
              <w:pStyle w:val="BodyText"/>
            </w:pPr>
            <w:r>
              <w:t>Performance targets are often suggested as an additional accountability mechanism. Their aim is to focus effort on high</w:t>
            </w:r>
            <w:r w:rsidR="00E80A2C">
              <w:noBreakHyphen/>
            </w:r>
            <w:r>
              <w:t xml:space="preserve">priority </w:t>
            </w:r>
            <w:r w:rsidR="00D02C25">
              <w:t>areas</w:t>
            </w:r>
            <w:r>
              <w:t xml:space="preserve"> </w:t>
            </w:r>
            <w:r w:rsidR="000E005B">
              <w:t>by setting</w:t>
            </w:r>
            <w:r>
              <w:t xml:space="preserve"> </w:t>
            </w:r>
            <w:r w:rsidR="001840E5">
              <w:t>specific, measurable</w:t>
            </w:r>
            <w:r>
              <w:t xml:space="preserve"> </w:t>
            </w:r>
            <w:r w:rsidR="001840E5">
              <w:t>goal</w:t>
            </w:r>
            <w:r w:rsidR="000E005B">
              <w:t>s</w:t>
            </w:r>
            <w:r>
              <w:t xml:space="preserve"> </w:t>
            </w:r>
            <w:r w:rsidR="002C761A">
              <w:t>defining</w:t>
            </w:r>
            <w:r w:rsidR="00937912">
              <w:t xml:space="preserve"> the expected change </w:t>
            </w:r>
            <w:r w:rsidR="004842E0">
              <w:t>and time</w:t>
            </w:r>
            <w:r w:rsidR="00AD734B">
              <w:t xml:space="preserve"> </w:t>
            </w:r>
            <w:r w:rsidR="004842E0">
              <w:t xml:space="preserve">frame for achieving it. </w:t>
            </w:r>
            <w:r w:rsidR="0048730D">
              <w:rPr>
                <w:rFonts w:ascii="Arial" w:hAnsi="Arial" w:cs="Arial"/>
                <w:color w:val="000000"/>
              </w:rPr>
              <w:t>This represents the desired future result, based on an understanding of historical trends, factors impacting progress, and expected effort</w:t>
            </w:r>
            <w:r w:rsidR="00B03516">
              <w:rPr>
                <w:rFonts w:ascii="Arial" w:hAnsi="Arial" w:cs="Arial"/>
                <w:color w:val="000000"/>
              </w:rPr>
              <w:t xml:space="preserve"> </w:t>
            </w:r>
            <w:r w:rsidR="00B03516" w:rsidRPr="00B03516">
              <w:rPr>
                <w:rFonts w:ascii="Arial" w:hAnsi="Arial" w:cs="Arial"/>
                <w:szCs w:val="24"/>
              </w:rPr>
              <w:t>(Department of Finance 2015, p. 35)</w:t>
            </w:r>
            <w:r w:rsidR="0048730D">
              <w:rPr>
                <w:rFonts w:ascii="Arial" w:hAnsi="Arial" w:cs="Arial"/>
                <w:color w:val="000000"/>
              </w:rPr>
              <w:t>. Targets provide points of reference for assessing progress. Progress could also</w:t>
            </w:r>
            <w:r>
              <w:rPr>
                <w:rFonts w:ascii="Arial" w:hAnsi="Arial" w:cs="Arial"/>
                <w:color w:val="000000"/>
              </w:rPr>
              <w:t xml:space="preserve"> be </w:t>
            </w:r>
            <w:r w:rsidR="0048730D">
              <w:rPr>
                <w:rFonts w:ascii="Arial" w:hAnsi="Arial" w:cs="Arial"/>
                <w:color w:val="000000"/>
              </w:rPr>
              <w:t xml:space="preserve">assessed against past results (baseline) or comparisons to </w:t>
            </w:r>
            <w:r>
              <w:rPr>
                <w:rFonts w:ascii="Arial" w:hAnsi="Arial" w:cs="Arial"/>
                <w:color w:val="000000"/>
              </w:rPr>
              <w:t xml:space="preserve">a </w:t>
            </w:r>
            <w:r w:rsidR="0048730D">
              <w:rPr>
                <w:rFonts w:ascii="Arial" w:hAnsi="Arial" w:cs="Arial"/>
                <w:color w:val="000000"/>
              </w:rPr>
              <w:t>standard (</w:t>
            </w:r>
            <w:r>
              <w:rPr>
                <w:rFonts w:ascii="Arial" w:hAnsi="Arial" w:cs="Arial"/>
                <w:color w:val="000000"/>
              </w:rPr>
              <w:t>benchmark</w:t>
            </w:r>
            <w:r w:rsidR="0048730D">
              <w:rPr>
                <w:rFonts w:ascii="Arial" w:hAnsi="Arial" w:cs="Arial"/>
                <w:color w:val="000000"/>
              </w:rPr>
              <w:t>)</w:t>
            </w:r>
            <w:r w:rsidR="0048730D">
              <w:t>.</w:t>
            </w:r>
            <w:r>
              <w:t xml:space="preserve"> </w:t>
            </w:r>
            <w:r w:rsidR="00DE3004">
              <w:t>Additional information can be provided as context to aid interpretation</w:t>
            </w:r>
            <w:r w:rsidR="00753FC8">
              <w:t xml:space="preserve"> of trends</w:t>
            </w:r>
            <w:r w:rsidR="00DE3004">
              <w:t xml:space="preserve"> </w:t>
            </w:r>
            <w:r w:rsidR="00DE3004" w:rsidRPr="00DE3004">
              <w:rPr>
                <w:rFonts w:ascii="Arial" w:hAnsi="Arial" w:cs="Arial"/>
                <w:szCs w:val="24"/>
              </w:rPr>
              <w:t>(ANAO 2004, p. 23)</w:t>
            </w:r>
            <w:r w:rsidR="009A73F1">
              <w:t>.</w:t>
            </w:r>
          </w:p>
          <w:p w14:paraId="27474D91" w14:textId="0EC9610B" w:rsidR="005778E2" w:rsidRDefault="001A36AB" w:rsidP="00B7395E">
            <w:pPr>
              <w:pStyle w:val="BodyText"/>
            </w:pPr>
            <w:r>
              <w:t>While there has been a trend towards outcomes</w:t>
            </w:r>
            <w:r w:rsidR="00827859">
              <w:noBreakHyphen/>
            </w:r>
            <w:r>
              <w:t xml:space="preserve">based targets to enable flexibility in funding and approach, the complexity of social policy outcomes often makes policy attribution difficult, complicating accountability. Where </w:t>
            </w:r>
            <w:r w:rsidR="00E80A2C">
              <w:t>a</w:t>
            </w:r>
            <w:r>
              <w:t xml:space="preserve">greements are underpinned by specific policy reform directions, indicators on reform actions, outputs or intermediate outcomes can provide early, tangible targets for change. </w:t>
            </w:r>
            <w:r>
              <w:lastRenderedPageBreak/>
              <w:t xml:space="preserve">However, when output indicators become targets, care must be taken to ensure they do not encourage quantity over quality or activity </w:t>
            </w:r>
            <w:r w:rsidR="005E667E">
              <w:t>without regard to the</w:t>
            </w:r>
            <w:r w:rsidR="00B07833">
              <w:t xml:space="preserve"> </w:t>
            </w:r>
            <w:r w:rsidR="00812E5D">
              <w:t xml:space="preserve">intent or </w:t>
            </w:r>
            <w:r w:rsidR="00B07833">
              <w:t>objective behind it</w:t>
            </w:r>
            <w:r>
              <w:t xml:space="preserve">. </w:t>
            </w:r>
          </w:p>
        </w:tc>
      </w:tr>
      <w:tr w:rsidR="005778E2" w14:paraId="74078C29" w14:textId="77777777">
        <w:trPr>
          <w:hidden/>
        </w:trPr>
        <w:tc>
          <w:tcPr>
            <w:tcW w:w="9638" w:type="dxa"/>
            <w:gridSpan w:val="2"/>
            <w:shd w:val="clear" w:color="auto" w:fill="auto"/>
            <w:tcMar>
              <w:top w:w="0" w:type="dxa"/>
              <w:left w:w="170" w:type="dxa"/>
              <w:bottom w:w="0" w:type="dxa"/>
              <w:right w:w="170" w:type="dxa"/>
            </w:tcMar>
          </w:tcPr>
          <w:p w14:paraId="05324180" w14:textId="51C263F7" w:rsidR="005778E2" w:rsidRPr="00465191" w:rsidRDefault="005778E2">
            <w:pPr>
              <w:pStyle w:val="BodyText"/>
              <w:spacing w:before="0" w:after="0" w:line="80" w:lineRule="atLeast"/>
              <w:rPr>
                <w:smallCaps/>
                <w:vanish/>
              </w:rPr>
            </w:pPr>
          </w:p>
        </w:tc>
      </w:tr>
    </w:tbl>
    <w:p w14:paraId="4CFC8129" w14:textId="778E7425" w:rsidR="00F6772F" w:rsidRDefault="00ED4891" w:rsidP="00C002CD">
      <w:pPr>
        <w:pStyle w:val="Heading3"/>
      </w:pPr>
      <w:r>
        <w:t>T</w:t>
      </w:r>
      <w:r w:rsidR="00F6772F">
        <w:t xml:space="preserve">he measurement approach </w:t>
      </w:r>
      <w:r w:rsidR="001E189B">
        <w:t>fails</w:t>
      </w:r>
      <w:r w:rsidR="00612B3B">
        <w:t xml:space="preserve"> to </w:t>
      </w:r>
      <w:r w:rsidR="00AA6111">
        <w:t>monitor</w:t>
      </w:r>
      <w:r w:rsidR="00382CB9">
        <w:t xml:space="preserve"> critical indicators </w:t>
      </w:r>
      <w:r w:rsidR="00CC5E19">
        <w:t>of</w:t>
      </w:r>
      <w:r w:rsidR="00382CB9">
        <w:t xml:space="preserve"> change</w:t>
      </w:r>
      <w:r>
        <w:t xml:space="preserve"> an</w:t>
      </w:r>
      <w:r w:rsidR="008F71A6">
        <w:t xml:space="preserve">d </w:t>
      </w:r>
      <w:r w:rsidR="00535931">
        <w:t>risks reinforcing business</w:t>
      </w:r>
      <w:r w:rsidR="00827859">
        <w:noBreakHyphen/>
      </w:r>
      <w:r w:rsidR="00535931">
        <w:t>as</w:t>
      </w:r>
      <w:r w:rsidR="00827859">
        <w:noBreakHyphen/>
      </w:r>
      <w:r w:rsidR="00535931">
        <w:t>usual</w:t>
      </w:r>
    </w:p>
    <w:p w14:paraId="1FE85A2D" w14:textId="2A891F78" w:rsidR="0092026A" w:rsidRDefault="000B2582" w:rsidP="0092026A">
      <w:pPr>
        <w:pStyle w:val="BodyText"/>
      </w:pPr>
      <w:r>
        <w:t xml:space="preserve">Without a shared understanding of the </w:t>
      </w:r>
      <w:r w:rsidR="0092026A">
        <w:t>purpose and conceptual logic</w:t>
      </w:r>
      <w:r w:rsidR="00FA32EB">
        <w:t xml:space="preserve">, the </w:t>
      </w:r>
      <w:r w:rsidR="00E97F2F">
        <w:t>Agreement’s</w:t>
      </w:r>
      <w:r w:rsidR="0092026A">
        <w:t xml:space="preserve"> performance measurement approach </w:t>
      </w:r>
      <w:r w:rsidR="00F51840">
        <w:t xml:space="preserve">lacks a clearly defined scope </w:t>
      </w:r>
      <w:r w:rsidR="0092026A">
        <w:t xml:space="preserve">and </w:t>
      </w:r>
      <w:r w:rsidR="00F51840">
        <w:t>consistent</w:t>
      </w:r>
      <w:r w:rsidR="0075503C">
        <w:t xml:space="preserve"> </w:t>
      </w:r>
      <w:r w:rsidR="0092026A">
        <w:t xml:space="preserve">rationale for </w:t>
      </w:r>
      <w:r w:rsidR="00A026D5">
        <w:t xml:space="preserve">the </w:t>
      </w:r>
      <w:r w:rsidR="0092026A">
        <w:t xml:space="preserve">inclusion of indicators. </w:t>
      </w:r>
      <w:r w:rsidR="00316986">
        <w:t>I</w:t>
      </w:r>
      <w:r w:rsidR="0092026A">
        <w:t>ndicators for each Priority Reform and socio</w:t>
      </w:r>
      <w:r w:rsidR="00827859">
        <w:noBreakHyphen/>
      </w:r>
      <w:r w:rsidR="0092026A">
        <w:t xml:space="preserve">economic outcome seem to have been developed in isolation, without consideration of the common drivers the Agreement seeks to influence </w:t>
      </w:r>
      <w:r w:rsidR="00A92F3B">
        <w:t>across</w:t>
      </w:r>
      <w:r w:rsidR="005D1A11">
        <w:t xml:space="preserve"> outcomes</w:t>
      </w:r>
      <w:r w:rsidR="00A92F3B">
        <w:t>.</w:t>
      </w:r>
      <w:r w:rsidR="0092026A">
        <w:t xml:space="preserve"> Each </w:t>
      </w:r>
      <w:r w:rsidR="00951C42">
        <w:t>socio</w:t>
      </w:r>
      <w:r w:rsidR="00827859">
        <w:noBreakHyphen/>
      </w:r>
      <w:r w:rsidR="00951C42">
        <w:t xml:space="preserve">economic </w:t>
      </w:r>
      <w:r w:rsidR="0092026A">
        <w:t>outcome area identifies target indicators a</w:t>
      </w:r>
      <w:r w:rsidR="00D41FD4">
        <w:t>s well as</w:t>
      </w:r>
      <w:r w:rsidR="0092026A">
        <w:t xml:space="preserve"> supporting indicators </w:t>
      </w:r>
      <w:r w:rsidR="00EA114C">
        <w:t>categorised as</w:t>
      </w:r>
      <w:r w:rsidR="0092026A">
        <w:t xml:space="preserve"> drivers </w:t>
      </w:r>
      <w:r w:rsidR="00CD09D4">
        <w:t>or</w:t>
      </w:r>
      <w:r w:rsidR="0092026A">
        <w:t xml:space="preserve"> context for targets. The problem with this is that any number of factors could act as drivers or context for social outcomes, and the rationale for including some over others is not clear </w:t>
      </w:r>
      <w:r w:rsidR="00D8743C" w:rsidRPr="00D8743C">
        <w:rPr>
          <w:rFonts w:ascii="Arial" w:hAnsi="Arial" w:cs="Arial"/>
          <w:szCs w:val="24"/>
        </w:rPr>
        <w:t>(PC 2023b)</w:t>
      </w:r>
      <w:r w:rsidR="0092026A">
        <w:t>.</w:t>
      </w:r>
      <w:r w:rsidR="00827859">
        <w:t xml:space="preserve"> </w:t>
      </w:r>
    </w:p>
    <w:p w14:paraId="744A8B8D" w14:textId="4F89A5A2" w:rsidR="00361C9C" w:rsidRDefault="00911B2F" w:rsidP="00162F5B">
      <w:pPr>
        <w:pStyle w:val="BodyText"/>
      </w:pPr>
      <w:r>
        <w:t>The</w:t>
      </w:r>
      <w:r w:rsidR="00162F5B" w:rsidRPr="2B096693">
        <w:t xml:space="preserve"> Agreement </w:t>
      </w:r>
      <w:r w:rsidR="00054B96">
        <w:t>identifies</w:t>
      </w:r>
      <w:r w:rsidR="00162F5B" w:rsidRPr="2B096693">
        <w:t xml:space="preserve"> an overwhelming number of indicators </w:t>
      </w:r>
      <w:r w:rsidR="00162F5B">
        <w:t xml:space="preserve">of varying relevance and effort to </w:t>
      </w:r>
      <w:r w:rsidR="008F3D76">
        <w:t>collect</w:t>
      </w:r>
      <w:r w:rsidR="00162F5B" w:rsidRPr="2B096693">
        <w:t xml:space="preserve">, most of which are not currently reported. </w:t>
      </w:r>
      <w:r w:rsidR="00A35894">
        <w:t>There are r</w:t>
      </w:r>
      <w:r w:rsidR="00162F5B" w:rsidRPr="2B096693">
        <w:t xml:space="preserve">eporting gaps </w:t>
      </w:r>
      <w:r w:rsidR="00A35894">
        <w:t xml:space="preserve">for </w:t>
      </w:r>
      <w:r w:rsidR="00162F5B" w:rsidRPr="2B096693">
        <w:t xml:space="preserve">all </w:t>
      </w:r>
      <w:r w:rsidR="00281DA2">
        <w:t xml:space="preserve">four </w:t>
      </w:r>
      <w:r w:rsidR="000911E2">
        <w:t>Priority Reform</w:t>
      </w:r>
      <w:r w:rsidR="00FB5197">
        <w:t xml:space="preserve"> targets</w:t>
      </w:r>
      <w:r w:rsidR="00162F5B" w:rsidRPr="2B096693">
        <w:t xml:space="preserve">, four </w:t>
      </w:r>
      <w:r w:rsidR="00F42AD3">
        <w:t xml:space="preserve">of the </w:t>
      </w:r>
      <w:r w:rsidR="004A755E">
        <w:t xml:space="preserve">19 </w:t>
      </w:r>
      <w:r w:rsidR="00D65006">
        <w:t>socio</w:t>
      </w:r>
      <w:r w:rsidR="00A35894">
        <w:noBreakHyphen/>
      </w:r>
      <w:r w:rsidR="00D65006">
        <w:t xml:space="preserve">economic </w:t>
      </w:r>
      <w:r w:rsidR="00162F5B" w:rsidRPr="2B096693">
        <w:t>targets</w:t>
      </w:r>
      <w:r w:rsidR="001A3F14">
        <w:t>,</w:t>
      </w:r>
      <w:r w:rsidR="00162F5B" w:rsidRPr="2B096693">
        <w:t xml:space="preserve"> </w:t>
      </w:r>
      <w:r w:rsidR="008A7F0B">
        <w:t>1</w:t>
      </w:r>
      <w:r w:rsidR="00C5218E">
        <w:t>43</w:t>
      </w:r>
      <w:r w:rsidR="004A755E" w:rsidDel="00D65006">
        <w:t xml:space="preserve"> </w:t>
      </w:r>
      <w:r w:rsidR="00162F5B" w:rsidRPr="2B096693">
        <w:t>supporting indicators</w:t>
      </w:r>
      <w:r w:rsidR="00162F5B" w:rsidRPr="2B096693" w:rsidDel="00D65006">
        <w:t xml:space="preserve"> </w:t>
      </w:r>
      <w:r w:rsidR="00162F5B" w:rsidRPr="2B096693">
        <w:t xml:space="preserve">and </w:t>
      </w:r>
      <w:r w:rsidR="001D05A1">
        <w:t>12</w:t>
      </w:r>
      <w:r w:rsidR="00C5218E">
        <w:t>9</w:t>
      </w:r>
      <w:r w:rsidR="00162F5B" w:rsidRPr="2B096693">
        <w:t xml:space="preserve"> data development items</w:t>
      </w:r>
      <w:r w:rsidR="00FB2D3B">
        <w:t xml:space="preserve"> (</w:t>
      </w:r>
      <w:r w:rsidR="00E00290">
        <w:t>table</w:t>
      </w:r>
      <w:r w:rsidR="005634D7">
        <w:t> </w:t>
      </w:r>
      <w:r w:rsidR="00E00290">
        <w:t>1</w:t>
      </w:r>
      <w:r w:rsidR="00FB2D3B">
        <w:t>)</w:t>
      </w:r>
      <w:r w:rsidR="00162F5B" w:rsidRPr="2B096693">
        <w:t xml:space="preserve">. The </w:t>
      </w:r>
      <w:r w:rsidR="00973943">
        <w:t>large</w:t>
      </w:r>
      <w:r w:rsidR="00973943" w:rsidRPr="2B096693">
        <w:t xml:space="preserve"> </w:t>
      </w:r>
      <w:r w:rsidR="00162F5B" w:rsidRPr="2B096693">
        <w:t>number of indicators obscures the data most critical to informing change</w:t>
      </w:r>
      <w:r w:rsidR="00C5725A">
        <w:t>, hinders interpretation</w:t>
      </w:r>
      <w:r w:rsidR="00045C15">
        <w:t xml:space="preserve"> and </w:t>
      </w:r>
      <w:r w:rsidR="00C5725A">
        <w:t>dilutes</w:t>
      </w:r>
      <w:r w:rsidR="00264103">
        <w:t xml:space="preserve"> accountability</w:t>
      </w:r>
      <w:r w:rsidR="00162F5B" w:rsidRPr="2B096693">
        <w:t xml:space="preserve">. </w:t>
      </w:r>
      <w:r w:rsidR="002F5ACD" w:rsidRPr="2B096693">
        <w:t>Unless critical</w:t>
      </w:r>
      <w:r w:rsidR="002F5ACD">
        <w:t xml:space="preserve"> change</w:t>
      </w:r>
      <w:r w:rsidR="002F5ACD" w:rsidRPr="2B096693">
        <w:t xml:space="preserve"> indicators are identified and prioritised</w:t>
      </w:r>
      <w:r w:rsidR="002F5ACD">
        <w:t xml:space="preserve"> for development</w:t>
      </w:r>
      <w:r w:rsidR="002F5ACD" w:rsidRPr="2B096693">
        <w:t xml:space="preserve">, there is a risk that </w:t>
      </w:r>
      <w:r w:rsidR="002F5ACD">
        <w:t>the measurement approach</w:t>
      </w:r>
      <w:r w:rsidR="002F5ACD" w:rsidRPr="2B096693">
        <w:t xml:space="preserve"> will produce a </w:t>
      </w:r>
      <w:r w:rsidR="000A3E52">
        <w:t xml:space="preserve">fragmented data set that </w:t>
      </w:r>
      <w:r w:rsidR="00384D13">
        <w:t xml:space="preserve">fails to coherently monitor </w:t>
      </w:r>
      <w:r w:rsidR="00145BAE" w:rsidRPr="2B096693">
        <w:t>progress against the Agreement.</w:t>
      </w:r>
    </w:p>
    <w:p w14:paraId="77C16402" w14:textId="2FF4D692" w:rsidR="0061743A" w:rsidRDefault="0061743A">
      <w:pPr>
        <w:pStyle w:val="FigureTableHeading"/>
      </w:pPr>
      <w:bookmarkStart w:id="8" w:name="_Ref139371559"/>
      <w:r>
        <w:t>Table</w:t>
      </w:r>
      <w:r w:rsidR="005634D7">
        <w:t> </w:t>
      </w:r>
      <w:r w:rsidR="005F75B0">
        <w:rPr>
          <w:noProof/>
        </w:rPr>
        <w:t>1</w:t>
      </w:r>
      <w:bookmarkEnd w:id="8"/>
      <w:r>
        <w:rPr>
          <w:noProof/>
        </w:rPr>
        <w:t xml:space="preserve"> – </w:t>
      </w:r>
      <w:r w:rsidR="00276FC7">
        <w:t>Data availability gaps</w:t>
      </w:r>
      <w:r w:rsidR="00BE6B02" w:rsidRPr="00EC0C27">
        <w:rPr>
          <w:vertAlign w:val="superscript"/>
        </w:rPr>
        <w:t>a</w:t>
      </w:r>
    </w:p>
    <w:p w14:paraId="512687E7" w14:textId="6BDCFC3F" w:rsidR="0061743A" w:rsidRPr="009C60B8" w:rsidRDefault="00C52483">
      <w:pPr>
        <w:pStyle w:val="FigureTableSubheading"/>
        <w:rPr>
          <w:sz w:val="18"/>
          <w:szCs w:val="16"/>
        </w:rPr>
      </w:pPr>
      <w:r>
        <w:rPr>
          <w:sz w:val="18"/>
          <w:szCs w:val="16"/>
        </w:rPr>
        <w:t>Number of d</w:t>
      </w:r>
      <w:r w:rsidR="005D6861" w:rsidRPr="009C60B8">
        <w:rPr>
          <w:sz w:val="18"/>
          <w:szCs w:val="16"/>
        </w:rPr>
        <w:t>ata</w:t>
      </w:r>
      <w:r w:rsidR="00276FC7" w:rsidRPr="009C60B8">
        <w:rPr>
          <w:sz w:val="18"/>
          <w:szCs w:val="16"/>
        </w:rPr>
        <w:t xml:space="preserve"> items </w:t>
      </w:r>
      <w:r w:rsidR="003A7AE7">
        <w:rPr>
          <w:sz w:val="18"/>
          <w:szCs w:val="16"/>
        </w:rPr>
        <w:t>reported on the</w:t>
      </w:r>
      <w:r w:rsidR="005D6861" w:rsidRPr="009C60B8">
        <w:rPr>
          <w:sz w:val="18"/>
          <w:szCs w:val="16"/>
        </w:rPr>
        <w:t xml:space="preserve"> </w:t>
      </w:r>
      <w:r w:rsidR="00523EB4" w:rsidRPr="009C60B8">
        <w:rPr>
          <w:sz w:val="18"/>
          <w:szCs w:val="16"/>
        </w:rPr>
        <w:t xml:space="preserve">Closing </w:t>
      </w:r>
      <w:r w:rsidR="005D6861" w:rsidRPr="009C60B8">
        <w:rPr>
          <w:sz w:val="18"/>
          <w:szCs w:val="16"/>
        </w:rPr>
        <w:t xml:space="preserve">the </w:t>
      </w:r>
      <w:r w:rsidR="00523EB4" w:rsidRPr="009C60B8">
        <w:rPr>
          <w:sz w:val="18"/>
          <w:szCs w:val="16"/>
        </w:rPr>
        <w:t xml:space="preserve">Gap dashboard </w:t>
      </w:r>
      <w:r w:rsidR="00F2143E">
        <w:rPr>
          <w:sz w:val="18"/>
          <w:szCs w:val="16"/>
        </w:rPr>
        <w:t>compared to those</w:t>
      </w:r>
      <w:r w:rsidR="00581176" w:rsidRPr="009C60B8">
        <w:rPr>
          <w:sz w:val="18"/>
          <w:szCs w:val="16"/>
        </w:rPr>
        <w:t xml:space="preserve"> included in the Agreement</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65"/>
        <w:gridCol w:w="3021"/>
        <w:gridCol w:w="3452"/>
      </w:tblGrid>
      <w:tr w:rsidR="0061743A" w:rsidRPr="00030C67" w14:paraId="2DD0C5F6" w14:textId="77777777" w:rsidTr="00697212">
        <w:trPr>
          <w:tblHeader/>
        </w:trPr>
        <w:tc>
          <w:tcPr>
            <w:tcW w:w="1642" w:type="pct"/>
            <w:tcBorders>
              <w:bottom w:val="single" w:sz="4" w:space="0" w:color="CB6027" w:themeColor="text2"/>
            </w:tcBorders>
            <w:shd w:val="clear" w:color="000000" w:fill="auto"/>
            <w:vAlign w:val="bottom"/>
          </w:tcPr>
          <w:p w14:paraId="4E388767" w14:textId="77777777" w:rsidR="0061743A" w:rsidRPr="00030C67" w:rsidRDefault="0061743A">
            <w:pPr>
              <w:spacing w:before="45" w:after="45"/>
              <w:ind w:right="108"/>
              <w:rPr>
                <w:rFonts w:ascii="Arial (Body)" w:hAnsi="Arial (Body)"/>
                <w:color w:val="265A9A"/>
              </w:rPr>
            </w:pPr>
          </w:p>
        </w:tc>
        <w:tc>
          <w:tcPr>
            <w:tcW w:w="1567" w:type="pct"/>
            <w:tcBorders>
              <w:bottom w:val="single" w:sz="4" w:space="0" w:color="CB6027" w:themeColor="text2"/>
            </w:tcBorders>
            <w:shd w:val="clear" w:color="000000" w:fill="auto"/>
            <w:vAlign w:val="bottom"/>
          </w:tcPr>
          <w:p w14:paraId="69AF5621" w14:textId="3EC786D2" w:rsidR="0061743A" w:rsidRPr="00030C67" w:rsidRDefault="004716B7" w:rsidP="002D3C94">
            <w:pPr>
              <w:pStyle w:val="TableHeading"/>
              <w:jc w:val="right"/>
            </w:pPr>
            <w:r>
              <w:t>Priority Reforms</w:t>
            </w:r>
          </w:p>
        </w:tc>
        <w:tc>
          <w:tcPr>
            <w:tcW w:w="1791" w:type="pct"/>
            <w:tcBorders>
              <w:bottom w:val="single" w:sz="4" w:space="0" w:color="CB6027" w:themeColor="text2"/>
            </w:tcBorders>
            <w:shd w:val="clear" w:color="000000" w:fill="auto"/>
            <w:vAlign w:val="bottom"/>
          </w:tcPr>
          <w:p w14:paraId="0688166B" w14:textId="6412B714" w:rsidR="0061743A" w:rsidRPr="00030C67" w:rsidRDefault="004716B7" w:rsidP="002D3C94">
            <w:pPr>
              <w:pStyle w:val="TableHeading"/>
              <w:jc w:val="right"/>
            </w:pPr>
            <w:r>
              <w:t>Socio</w:t>
            </w:r>
            <w:r w:rsidR="00827859">
              <w:noBreakHyphen/>
            </w:r>
            <w:r>
              <w:t>economic outcomes</w:t>
            </w:r>
          </w:p>
        </w:tc>
      </w:tr>
      <w:tr w:rsidR="0061743A" w:rsidRPr="00030C67" w14:paraId="55B8A6A0" w14:textId="77777777" w:rsidTr="003F2220">
        <w:tc>
          <w:tcPr>
            <w:tcW w:w="1642" w:type="pct"/>
            <w:tcBorders>
              <w:top w:val="single" w:sz="4" w:space="0" w:color="CB6027" w:themeColor="text2"/>
              <w:bottom w:val="dotted" w:sz="4" w:space="0" w:color="CB6027" w:themeColor="text2"/>
            </w:tcBorders>
            <w:shd w:val="clear" w:color="auto" w:fill="FBF3EC"/>
          </w:tcPr>
          <w:p w14:paraId="3D4745F5" w14:textId="01DC949E" w:rsidR="0061743A" w:rsidRPr="00030C67" w:rsidRDefault="00675630" w:rsidP="00697212">
            <w:pPr>
              <w:pStyle w:val="TableHeading"/>
              <w:spacing w:before="46"/>
            </w:pPr>
            <w:r>
              <w:t>Targets</w:t>
            </w:r>
          </w:p>
        </w:tc>
        <w:tc>
          <w:tcPr>
            <w:tcW w:w="1567" w:type="pct"/>
            <w:tcBorders>
              <w:top w:val="single" w:sz="4" w:space="0" w:color="CB6027" w:themeColor="text2"/>
              <w:bottom w:val="dotted" w:sz="4" w:space="0" w:color="CB6027" w:themeColor="text2"/>
            </w:tcBorders>
            <w:shd w:val="clear" w:color="auto" w:fill="FBF3EC"/>
          </w:tcPr>
          <w:p w14:paraId="7253AECE" w14:textId="09D6B9A3" w:rsidR="0061743A" w:rsidRPr="00030C67" w:rsidRDefault="00483C50" w:rsidP="002D3C94">
            <w:pPr>
              <w:pStyle w:val="TableBody"/>
              <w:spacing w:before="45" w:after="45"/>
              <w:ind w:right="108"/>
              <w:jc w:val="right"/>
              <w:rPr>
                <w:rFonts w:ascii="Arial (Body)" w:hAnsi="Arial (Body)"/>
                <w:color w:val="000000"/>
              </w:rPr>
            </w:pPr>
            <w:r>
              <w:rPr>
                <w:rFonts w:ascii="Arial (Body)" w:hAnsi="Arial (Body)"/>
                <w:color w:val="000000"/>
              </w:rPr>
              <w:t>0 of 4</w:t>
            </w:r>
          </w:p>
        </w:tc>
        <w:tc>
          <w:tcPr>
            <w:tcW w:w="1791" w:type="pct"/>
            <w:tcBorders>
              <w:top w:val="single" w:sz="4" w:space="0" w:color="CB6027" w:themeColor="text2"/>
              <w:bottom w:val="dotted" w:sz="4" w:space="0" w:color="CB6027" w:themeColor="text2"/>
            </w:tcBorders>
            <w:shd w:val="clear" w:color="auto" w:fill="FBF3EC"/>
          </w:tcPr>
          <w:p w14:paraId="0F65F6C5" w14:textId="6A2E3FC4" w:rsidR="0061743A" w:rsidRPr="00030C67" w:rsidRDefault="00370193" w:rsidP="002D3C94">
            <w:pPr>
              <w:pStyle w:val="TableBody"/>
              <w:spacing w:before="45" w:after="45"/>
              <w:ind w:right="108"/>
              <w:jc w:val="right"/>
              <w:rPr>
                <w:rFonts w:ascii="Arial (Body)" w:hAnsi="Arial (Body)"/>
                <w:color w:val="000000"/>
              </w:rPr>
            </w:pPr>
            <w:r>
              <w:rPr>
                <w:rFonts w:ascii="Arial (Body)" w:hAnsi="Arial (Body)"/>
                <w:color w:val="000000"/>
              </w:rPr>
              <w:t>15 of 19</w:t>
            </w:r>
          </w:p>
        </w:tc>
      </w:tr>
      <w:tr w:rsidR="0061743A" w:rsidRPr="00030C67" w14:paraId="325C086E" w14:textId="77777777" w:rsidTr="00697212">
        <w:tc>
          <w:tcPr>
            <w:tcW w:w="1642" w:type="pct"/>
            <w:tcBorders>
              <w:top w:val="dotted" w:sz="4" w:space="0" w:color="CB6027" w:themeColor="text2"/>
              <w:bottom w:val="dotted" w:sz="4" w:space="0" w:color="CB6027" w:themeColor="text2"/>
            </w:tcBorders>
            <w:shd w:val="clear" w:color="000000" w:fill="auto"/>
          </w:tcPr>
          <w:p w14:paraId="27DD37C5" w14:textId="19CA8CBD" w:rsidR="0061743A" w:rsidRPr="00030C67" w:rsidRDefault="005215EF" w:rsidP="00697212">
            <w:pPr>
              <w:pStyle w:val="TableHeading"/>
              <w:spacing w:before="46"/>
            </w:pPr>
            <w:r>
              <w:t>S</w:t>
            </w:r>
            <w:r w:rsidR="00AD693B">
              <w:t>upporting indicators</w:t>
            </w:r>
          </w:p>
        </w:tc>
        <w:tc>
          <w:tcPr>
            <w:tcW w:w="1567" w:type="pct"/>
            <w:tcBorders>
              <w:top w:val="dotted" w:sz="4" w:space="0" w:color="CB6027" w:themeColor="text2"/>
              <w:bottom w:val="dotted" w:sz="4" w:space="0" w:color="CB6027" w:themeColor="text2"/>
            </w:tcBorders>
            <w:shd w:val="clear" w:color="000000" w:fill="auto"/>
          </w:tcPr>
          <w:p w14:paraId="6CB14CC4" w14:textId="2E1C3862" w:rsidR="0061743A" w:rsidRPr="00030C67" w:rsidRDefault="00E557AD" w:rsidP="002D3C94">
            <w:pPr>
              <w:pStyle w:val="TableBody"/>
              <w:spacing w:before="45" w:after="45"/>
              <w:ind w:right="108"/>
              <w:jc w:val="right"/>
              <w:rPr>
                <w:rFonts w:ascii="Arial (Body)" w:hAnsi="Arial (Body)"/>
                <w:color w:val="000000"/>
              </w:rPr>
            </w:pPr>
            <w:r>
              <w:rPr>
                <w:rFonts w:ascii="Arial (Body)" w:hAnsi="Arial (Body)"/>
                <w:color w:val="000000"/>
              </w:rPr>
              <w:t>0 of 18</w:t>
            </w:r>
          </w:p>
        </w:tc>
        <w:tc>
          <w:tcPr>
            <w:tcW w:w="1791" w:type="pct"/>
            <w:tcBorders>
              <w:top w:val="dotted" w:sz="4" w:space="0" w:color="CB6027" w:themeColor="text2"/>
              <w:bottom w:val="dotted" w:sz="4" w:space="0" w:color="CB6027" w:themeColor="text2"/>
            </w:tcBorders>
            <w:shd w:val="clear" w:color="000000" w:fill="auto"/>
          </w:tcPr>
          <w:p w14:paraId="68DAF0FD" w14:textId="534484F7" w:rsidR="0061743A" w:rsidRPr="00030C67" w:rsidRDefault="00477F27" w:rsidP="002D3C94">
            <w:pPr>
              <w:pStyle w:val="TableBody"/>
              <w:spacing w:before="45" w:after="45"/>
              <w:ind w:right="108"/>
              <w:jc w:val="right"/>
              <w:rPr>
                <w:rFonts w:ascii="Arial (Body)" w:hAnsi="Arial (Body)"/>
                <w:color w:val="000000"/>
              </w:rPr>
            </w:pPr>
            <w:r>
              <w:rPr>
                <w:rFonts w:ascii="Arial (Body)" w:hAnsi="Arial (Body)"/>
                <w:color w:val="000000"/>
              </w:rPr>
              <w:t>21 of 1</w:t>
            </w:r>
            <w:r w:rsidR="003F4815">
              <w:rPr>
                <w:rFonts w:ascii="Arial (Body)" w:hAnsi="Arial (Body)"/>
                <w:color w:val="000000"/>
              </w:rPr>
              <w:t>46</w:t>
            </w:r>
          </w:p>
        </w:tc>
      </w:tr>
      <w:tr w:rsidR="0061743A" w:rsidRPr="00030C67" w14:paraId="39E0C04B" w14:textId="77777777" w:rsidTr="00697212">
        <w:tc>
          <w:tcPr>
            <w:tcW w:w="1642" w:type="pct"/>
            <w:tcBorders>
              <w:top w:val="dotted" w:sz="4" w:space="0" w:color="CB6027" w:themeColor="text2"/>
              <w:bottom w:val="single" w:sz="4" w:space="0" w:color="CB6027" w:themeColor="text2"/>
            </w:tcBorders>
            <w:shd w:val="clear" w:color="auto" w:fill="FBF3EC"/>
          </w:tcPr>
          <w:p w14:paraId="0FBC3ABB" w14:textId="6F67ACB7" w:rsidR="0061743A" w:rsidRPr="00030C67" w:rsidRDefault="009C41A8" w:rsidP="00697212">
            <w:pPr>
              <w:pStyle w:val="TableHeading"/>
              <w:spacing w:before="46"/>
            </w:pPr>
            <w:r>
              <w:t>Data dev</w:t>
            </w:r>
            <w:r w:rsidR="004E336B">
              <w:t>elopment items</w:t>
            </w:r>
          </w:p>
        </w:tc>
        <w:tc>
          <w:tcPr>
            <w:tcW w:w="1567" w:type="pct"/>
            <w:tcBorders>
              <w:top w:val="dotted" w:sz="4" w:space="0" w:color="CB6027" w:themeColor="text2"/>
              <w:bottom w:val="single" w:sz="4" w:space="0" w:color="CB6027" w:themeColor="text2"/>
            </w:tcBorders>
            <w:shd w:val="clear" w:color="auto" w:fill="FBF3EC"/>
          </w:tcPr>
          <w:p w14:paraId="4325D872" w14:textId="7DF9E4F1" w:rsidR="0061743A" w:rsidRPr="00030C67" w:rsidRDefault="00FA23BE" w:rsidP="002D3C94">
            <w:pPr>
              <w:pStyle w:val="TableBody"/>
              <w:spacing w:before="45" w:after="45"/>
              <w:ind w:left="1497" w:right="108"/>
              <w:jc w:val="right"/>
              <w:rPr>
                <w:rFonts w:ascii="Arial (Body)" w:hAnsi="Arial (Body)"/>
                <w:color w:val="000000"/>
              </w:rPr>
            </w:pPr>
            <w:r>
              <w:rPr>
                <w:rFonts w:ascii="Arial (Body)" w:hAnsi="Arial (Body)"/>
                <w:color w:val="000000"/>
              </w:rPr>
              <w:t>0 o</w:t>
            </w:r>
            <w:r w:rsidR="00552D81">
              <w:rPr>
                <w:rFonts w:ascii="Arial (Body)" w:hAnsi="Arial (Body)"/>
                <w:color w:val="000000"/>
              </w:rPr>
              <w:t xml:space="preserve">f </w:t>
            </w:r>
            <w:r>
              <w:rPr>
                <w:rFonts w:ascii="Arial (Body)" w:hAnsi="Arial (Body)"/>
                <w:color w:val="000000"/>
              </w:rPr>
              <w:t>6</w:t>
            </w:r>
          </w:p>
        </w:tc>
        <w:tc>
          <w:tcPr>
            <w:tcW w:w="1791" w:type="pct"/>
            <w:tcBorders>
              <w:top w:val="dotted" w:sz="4" w:space="0" w:color="CB6027" w:themeColor="text2"/>
              <w:bottom w:val="single" w:sz="4" w:space="0" w:color="CB6027" w:themeColor="text2"/>
            </w:tcBorders>
            <w:shd w:val="clear" w:color="auto" w:fill="FBF3EC"/>
          </w:tcPr>
          <w:p w14:paraId="1DED7651" w14:textId="76E5F20B" w:rsidR="0061743A" w:rsidRPr="00030C67" w:rsidRDefault="001A4FC9" w:rsidP="002D3C94">
            <w:pPr>
              <w:pStyle w:val="TableBody"/>
              <w:spacing w:before="45" w:after="45"/>
              <w:ind w:left="417" w:right="108"/>
              <w:jc w:val="right"/>
              <w:rPr>
                <w:rFonts w:ascii="Arial (Body)" w:hAnsi="Arial (Body)"/>
                <w:color w:val="000000"/>
              </w:rPr>
            </w:pPr>
            <w:r>
              <w:rPr>
                <w:rFonts w:ascii="Arial (Body)" w:hAnsi="Arial (Body)"/>
                <w:color w:val="000000"/>
              </w:rPr>
              <w:t xml:space="preserve">0 </w:t>
            </w:r>
            <w:r w:rsidR="00477F27">
              <w:rPr>
                <w:rFonts w:ascii="Arial (Body)" w:hAnsi="Arial (Body)"/>
                <w:color w:val="000000"/>
              </w:rPr>
              <w:t>of 123</w:t>
            </w:r>
          </w:p>
        </w:tc>
      </w:tr>
    </w:tbl>
    <w:p w14:paraId="7E3DBFEE" w14:textId="19563361" w:rsidR="0061743A" w:rsidRDefault="00727492" w:rsidP="00727492">
      <w:pPr>
        <w:pStyle w:val="Note"/>
      </w:pPr>
      <w:r w:rsidRPr="003038FF">
        <w:rPr>
          <w:b/>
          <w:bCs/>
        </w:rPr>
        <w:t>a</w:t>
      </w:r>
      <w:r w:rsidR="0061743A" w:rsidRPr="003038FF">
        <w:rPr>
          <w:b/>
          <w:bCs/>
        </w:rPr>
        <w:t>.</w:t>
      </w:r>
      <w:r>
        <w:t xml:space="preserve"> </w:t>
      </w:r>
      <w:r w:rsidR="00BE6B02">
        <w:t xml:space="preserve">As </w:t>
      </w:r>
      <w:r w:rsidR="00457946">
        <w:t>of</w:t>
      </w:r>
      <w:r w:rsidR="00BE6B02">
        <w:t xml:space="preserve"> July 2023</w:t>
      </w:r>
      <w:r w:rsidR="00C52483">
        <w:t>.</w:t>
      </w:r>
    </w:p>
    <w:p w14:paraId="4D73FE52" w14:textId="18FFBDAE" w:rsidR="00FE00F5" w:rsidRDefault="0061743A" w:rsidP="0061743A">
      <w:pPr>
        <w:pStyle w:val="Source"/>
      </w:pPr>
      <w:r w:rsidRPr="00696447">
        <w:t>Source</w:t>
      </w:r>
      <w:r w:rsidR="00C52483">
        <w:t>s</w:t>
      </w:r>
      <w:r w:rsidRPr="00696447">
        <w:t>:</w:t>
      </w:r>
      <w:r w:rsidR="00B87D97">
        <w:t xml:space="preserve"> Joint Council on Closing the Gap </w:t>
      </w:r>
      <w:r w:rsidR="00616DFB" w:rsidRPr="00616DFB">
        <w:rPr>
          <w:rFonts w:ascii="Arial" w:hAnsi="Arial" w:cs="Arial"/>
          <w:szCs w:val="24"/>
        </w:rPr>
        <w:t>(2022, pp. 14–36)</w:t>
      </w:r>
      <w:r w:rsidR="00B87D97">
        <w:t>; PC</w:t>
      </w:r>
      <w:r w:rsidR="00A12472">
        <w:t xml:space="preserve"> </w:t>
      </w:r>
      <w:r w:rsidR="003E47EC" w:rsidRPr="003E47EC">
        <w:rPr>
          <w:rFonts w:ascii="Arial" w:hAnsi="Arial" w:cs="Arial"/>
        </w:rPr>
        <w:t>(2023c)</w:t>
      </w:r>
      <w:r w:rsidR="003E47EC">
        <w:t>.</w:t>
      </w:r>
    </w:p>
    <w:p w14:paraId="5DEAF078" w14:textId="6AB26F14" w:rsidR="002E1AD4" w:rsidRDefault="00993B0E" w:rsidP="003038FF">
      <w:pPr>
        <w:pStyle w:val="BodyText"/>
        <w:keepNext/>
        <w:keepLines/>
      </w:pPr>
      <w:r>
        <w:lastRenderedPageBreak/>
        <w:t xml:space="preserve">Identifying critical indicators </w:t>
      </w:r>
      <w:r w:rsidR="00650570">
        <w:t>of</w:t>
      </w:r>
      <w:r>
        <w:t xml:space="preserve"> change is especially important </w:t>
      </w:r>
      <w:r w:rsidR="00670581">
        <w:t>given</w:t>
      </w:r>
      <w:r w:rsidR="00CD790D">
        <w:t xml:space="preserve"> t</w:t>
      </w:r>
      <w:r w:rsidR="00C002CD" w:rsidRPr="2B096693">
        <w:t xml:space="preserve">he </w:t>
      </w:r>
      <w:r w:rsidR="00C002CD">
        <w:t>measurement approach faces significant trade</w:t>
      </w:r>
      <w:r w:rsidR="00827859">
        <w:noBreakHyphen/>
      </w:r>
      <w:r w:rsidR="00C002CD">
        <w:t>off</w:t>
      </w:r>
      <w:r w:rsidR="000F6EBA">
        <w:t>s</w:t>
      </w:r>
      <w:r w:rsidR="00C002CD">
        <w:t xml:space="preserve"> between data availability and relevance.</w:t>
      </w:r>
      <w:r w:rsidR="00C002CD" w:rsidRPr="2B096693">
        <w:t xml:space="preserve"> </w:t>
      </w:r>
      <w:r w:rsidR="0077050C">
        <w:t>M</w:t>
      </w:r>
      <w:r w:rsidR="0077050C" w:rsidRPr="2B096693">
        <w:t xml:space="preserve">ost existing national data has been developed to inform government priorities </w:t>
      </w:r>
      <w:r w:rsidR="00732625">
        <w:t>from</w:t>
      </w:r>
      <w:r w:rsidR="0077050C" w:rsidRPr="2B096693">
        <w:t xml:space="preserve"> non</w:t>
      </w:r>
      <w:r w:rsidR="00827859">
        <w:noBreakHyphen/>
      </w:r>
      <w:r w:rsidR="0077050C" w:rsidRPr="2B096693">
        <w:t>Indigenous understandings of progress</w:t>
      </w:r>
      <w:r w:rsidR="0077050C">
        <w:t xml:space="preserve">. Thus, </w:t>
      </w:r>
      <w:r w:rsidR="004900E7">
        <w:t>the measurement approach requires significant data development to reflect Aboriginal and Torres Strait Islander perspectives.</w:t>
      </w:r>
      <w:r w:rsidR="0077050C">
        <w:t xml:space="preserve"> </w:t>
      </w:r>
      <w:r w:rsidR="00C002CD">
        <w:t>The Agreement’s performance measurement approach attempts to manage these trade</w:t>
      </w:r>
      <w:r w:rsidR="00827859">
        <w:noBreakHyphen/>
      </w:r>
      <w:r w:rsidR="00C002CD">
        <w:t xml:space="preserve">offs by drawing on existing data </w:t>
      </w:r>
      <w:r w:rsidR="00052F40">
        <w:t>and</w:t>
      </w:r>
      <w:r w:rsidR="00C002CD">
        <w:t xml:space="preserve"> specifying areas for data development. </w:t>
      </w:r>
      <w:r w:rsidR="00C002CD" w:rsidRPr="00797722">
        <w:t>The NIAA recognise</w:t>
      </w:r>
      <w:r w:rsidR="00E959C4">
        <w:t>d</w:t>
      </w:r>
      <w:r w:rsidR="00C002CD" w:rsidRPr="00797722">
        <w:t xml:space="preserve"> in</w:t>
      </w:r>
      <w:r w:rsidR="00C002CD" w:rsidRPr="00797722" w:rsidDel="00E959C4">
        <w:t xml:space="preserve"> </w:t>
      </w:r>
      <w:r w:rsidR="00E959C4">
        <w:t>its</w:t>
      </w:r>
      <w:r w:rsidR="00C002CD" w:rsidRPr="00797722">
        <w:t xml:space="preserve"> submission that </w:t>
      </w:r>
      <w:r w:rsidR="00C002CD" w:rsidRPr="00797722">
        <w:rPr>
          <w:rStyle w:val="QuoteChar"/>
          <w:color w:val="auto"/>
        </w:rPr>
        <w:t>‘much of the data is derived from mainstream datasets which, although useful in terms of understanding the inequalities experienced by First Nations people, are limited in their scope for including information specifically designed for First Nations people’</w:t>
      </w:r>
      <w:r w:rsidR="00C002CD" w:rsidRPr="00797722">
        <w:t xml:space="preserve"> (sub</w:t>
      </w:r>
      <w:r w:rsidR="008236FB">
        <w:t>.</w:t>
      </w:r>
      <w:r w:rsidR="005634D7">
        <w:t> </w:t>
      </w:r>
      <w:r w:rsidR="00C002CD" w:rsidRPr="00797722">
        <w:t>30</w:t>
      </w:r>
      <w:r w:rsidR="009F2EF3">
        <w:t>, p.</w:t>
      </w:r>
      <w:r w:rsidR="005634D7">
        <w:t> </w:t>
      </w:r>
      <w:r w:rsidR="009F2EF3">
        <w:t>2</w:t>
      </w:r>
      <w:r w:rsidR="00C002CD" w:rsidRPr="00797722">
        <w:t xml:space="preserve">). </w:t>
      </w:r>
    </w:p>
    <w:p w14:paraId="311C1492" w14:textId="7CC2E3D9" w:rsidR="00AC7EA6" w:rsidRDefault="00AC7EA6" w:rsidP="00C002CD">
      <w:pPr>
        <w:pStyle w:val="BodyText"/>
      </w:pPr>
      <w:r>
        <w:t xml:space="preserve">Further development of the measurement approach is necessary to </w:t>
      </w:r>
      <w:r w:rsidR="00B446C7">
        <w:t xml:space="preserve">both </w:t>
      </w:r>
      <w:r w:rsidR="0097534B">
        <w:t xml:space="preserve">clarify the </w:t>
      </w:r>
      <w:r w:rsidR="00B446C7">
        <w:t xml:space="preserve">critical </w:t>
      </w:r>
      <w:r w:rsidR="0097534B">
        <w:t>change</w:t>
      </w:r>
      <w:r w:rsidR="00080CB4">
        <w:t>s</w:t>
      </w:r>
      <w:r w:rsidR="0097534B">
        <w:t xml:space="preserve"> </w:t>
      </w:r>
      <w:r w:rsidR="00FE0E40">
        <w:t xml:space="preserve">to be monitored and </w:t>
      </w:r>
      <w:r w:rsidR="00220DB9">
        <w:t xml:space="preserve">to </w:t>
      </w:r>
      <w:r w:rsidR="00D0252D">
        <w:t>identify</w:t>
      </w:r>
      <w:r w:rsidR="00FE0E40">
        <w:t xml:space="preserve"> </w:t>
      </w:r>
      <w:r w:rsidR="00D0252D">
        <w:t xml:space="preserve">indicators </w:t>
      </w:r>
      <w:r w:rsidR="00017802">
        <w:t>to appropriately track that change.</w:t>
      </w:r>
      <w:r w:rsidR="00FD78BF">
        <w:t xml:space="preserve"> Without this work, the measurement approach will </w:t>
      </w:r>
      <w:r w:rsidR="00F04B79">
        <w:t xml:space="preserve">continue </w:t>
      </w:r>
      <w:r w:rsidR="00321BE5">
        <w:t xml:space="preserve">to </w:t>
      </w:r>
      <w:r w:rsidR="00F04B79">
        <w:t xml:space="preserve">draw on </w:t>
      </w:r>
      <w:r w:rsidR="00560111">
        <w:t xml:space="preserve">a somewhat arbitrary assortment of </w:t>
      </w:r>
      <w:r w:rsidR="00F04B79">
        <w:t xml:space="preserve">existing data </w:t>
      </w:r>
      <w:r w:rsidR="00607C13">
        <w:t xml:space="preserve">that only serves to </w:t>
      </w:r>
      <w:r w:rsidR="00791F47">
        <w:t xml:space="preserve">dilute accountability and </w:t>
      </w:r>
      <w:r w:rsidR="00607C13">
        <w:t>reinforce business</w:t>
      </w:r>
      <w:r w:rsidR="00827859">
        <w:noBreakHyphen/>
      </w:r>
      <w:r w:rsidR="00607C13">
        <w:t>as</w:t>
      </w:r>
      <w:r w:rsidR="00827859">
        <w:noBreakHyphen/>
      </w:r>
      <w:r w:rsidR="00607C13">
        <w:t>usual</w:t>
      </w:r>
      <w:r w:rsidR="00791F47">
        <w:t>.</w:t>
      </w:r>
      <w:r w:rsidR="00A23BC7">
        <w:t xml:space="preserve"> This is particularly evident in areas </w:t>
      </w:r>
      <w:r w:rsidR="00FF2007">
        <w:t xml:space="preserve">significant to the reform with </w:t>
      </w:r>
      <w:r w:rsidR="004D4E09">
        <w:t>large data gaps, namely</w:t>
      </w:r>
      <w:r w:rsidR="00BE2856">
        <w:t xml:space="preserve"> the</w:t>
      </w:r>
      <w:r w:rsidR="004D4E09">
        <w:t>:</w:t>
      </w:r>
    </w:p>
    <w:p w14:paraId="03F0AC4B" w14:textId="6FEEF441" w:rsidR="004D4E09" w:rsidRDefault="000911E2" w:rsidP="004D4E09">
      <w:pPr>
        <w:pStyle w:val="ListBullet"/>
      </w:pPr>
      <w:r>
        <w:t>Priority Reform</w:t>
      </w:r>
      <w:r w:rsidR="004D4E09">
        <w:t>s</w:t>
      </w:r>
    </w:p>
    <w:p w14:paraId="7D498BC0" w14:textId="6FE257BC" w:rsidR="004D4E09" w:rsidRDefault="004D4E09" w:rsidP="004D4E09">
      <w:pPr>
        <w:pStyle w:val="ListBullet"/>
      </w:pPr>
      <w:r>
        <w:t xml:space="preserve">cultural determinants of </w:t>
      </w:r>
      <w:r w:rsidR="00E12BD5">
        <w:t>socio</w:t>
      </w:r>
      <w:r w:rsidR="00827859">
        <w:noBreakHyphen/>
      </w:r>
      <w:r w:rsidR="00E12BD5">
        <w:t>economic outcomes</w:t>
      </w:r>
    </w:p>
    <w:p w14:paraId="0D8FB0D8" w14:textId="70EA72B1" w:rsidR="00E12BD5" w:rsidRDefault="002F19E6" w:rsidP="004D4E09">
      <w:pPr>
        <w:pStyle w:val="ListBullet"/>
      </w:pPr>
      <w:r>
        <w:t>new socio</w:t>
      </w:r>
      <w:r w:rsidR="00827859">
        <w:noBreakHyphen/>
      </w:r>
      <w:r>
        <w:t>economic targets without appropriate data</w:t>
      </w:r>
      <w:r w:rsidR="00BE2856">
        <w:t>.</w:t>
      </w:r>
    </w:p>
    <w:p w14:paraId="079C6065" w14:textId="5AB39342" w:rsidR="00C002CD" w:rsidRDefault="00C002CD" w:rsidP="00C002CD">
      <w:pPr>
        <w:pStyle w:val="Heading4"/>
      </w:pPr>
      <w:r w:rsidRPr="00477BD8">
        <w:t xml:space="preserve">Data on </w:t>
      </w:r>
      <w:r w:rsidR="000911E2">
        <w:t>Priority Reform</w:t>
      </w:r>
      <w:r w:rsidRPr="00477BD8">
        <w:t xml:space="preserve">s could direct attention to new ways of working, but the measurement approach </w:t>
      </w:r>
      <w:r w:rsidR="000C4A61" w:rsidRPr="00477BD8">
        <w:t>requires further development</w:t>
      </w:r>
    </w:p>
    <w:p w14:paraId="152ABFC3" w14:textId="3F2874ED" w:rsidR="00C002CD" w:rsidRDefault="00C002CD" w:rsidP="00C002CD">
      <w:pPr>
        <w:pStyle w:val="BodyText"/>
      </w:pPr>
      <w:r w:rsidRPr="2B096693">
        <w:t xml:space="preserve">The most critical data gap identified by participants in the review </w:t>
      </w:r>
      <w:r w:rsidR="000548FF">
        <w:t>wa</w:t>
      </w:r>
      <w:r w:rsidRPr="2B096693">
        <w:t xml:space="preserve">s the lack of data on the </w:t>
      </w:r>
      <w:r w:rsidR="000911E2">
        <w:t>Priority Reform</w:t>
      </w:r>
      <w:r w:rsidRPr="2B096693">
        <w:t xml:space="preserve">s. </w:t>
      </w:r>
      <w:r>
        <w:t xml:space="preserve">Systematic monitoring of the </w:t>
      </w:r>
      <w:r w:rsidR="000911E2">
        <w:t>Priority Reform</w:t>
      </w:r>
      <w:r>
        <w:t xml:space="preserve">s has been identified as the highest data development priority by the parties to the Agreement and </w:t>
      </w:r>
      <w:r w:rsidR="000548FF">
        <w:t>was also noted as a priority by</w:t>
      </w:r>
      <w:r w:rsidR="00E56650">
        <w:t xml:space="preserve"> </w:t>
      </w:r>
      <w:r>
        <w:t xml:space="preserve">submissions and engagements for this review. The Coalition of Peaks </w:t>
      </w:r>
      <w:r w:rsidR="00E209B2">
        <w:t>said</w:t>
      </w:r>
      <w:r w:rsidR="00436A49">
        <w:t xml:space="preserve"> that it was</w:t>
      </w:r>
      <w:r>
        <w:t>:</w:t>
      </w:r>
    </w:p>
    <w:p w14:paraId="633872B8" w14:textId="337EAEFE" w:rsidR="00A669EC" w:rsidRDefault="001877B6" w:rsidP="00A669EC">
      <w:pPr>
        <w:pStyle w:val="Quote"/>
      </w:pPr>
      <w:r>
        <w:t>…</w:t>
      </w:r>
      <w:r w:rsidR="00A669EC" w:rsidRPr="001A1EE0">
        <w:t xml:space="preserve"> are deeply worried that despite the inclusion of the Priority Reforms in the performance monitoring framework, there has been no annual independent and uniform assessment of governments’ efforts to address the </w:t>
      </w:r>
      <w:r w:rsidR="00A669EC">
        <w:t>P</w:t>
      </w:r>
      <w:r w:rsidR="00A669EC" w:rsidRPr="001A1EE0">
        <w:t xml:space="preserve">riority </w:t>
      </w:r>
      <w:r w:rsidR="00A669EC">
        <w:t>R</w:t>
      </w:r>
      <w:r w:rsidR="00A669EC" w:rsidRPr="001A1EE0">
        <w:t>eforms and no agreed way of defining progress that would enable an easily accessible way of monitoring the performance of governments. Too much focus continues to be on the socio</w:t>
      </w:r>
      <w:r w:rsidR="00827859">
        <w:noBreakHyphen/>
      </w:r>
      <w:r w:rsidR="00A669EC" w:rsidRPr="001A1EE0">
        <w:t xml:space="preserve">economic targets and their progress, without an examination to how progress is related to efforts by governments on the </w:t>
      </w:r>
      <w:r w:rsidR="00A669EC">
        <w:t>P</w:t>
      </w:r>
      <w:r w:rsidR="00A669EC" w:rsidRPr="001A1EE0">
        <w:t xml:space="preserve">riority </w:t>
      </w:r>
      <w:r w:rsidR="00A669EC">
        <w:t>R</w:t>
      </w:r>
      <w:r w:rsidR="00A669EC" w:rsidRPr="001A1EE0">
        <w:t xml:space="preserve">eforms. We will not close the gap without changing the way governments work and we need to have an </w:t>
      </w:r>
      <w:r w:rsidR="00A669EC" w:rsidRPr="00D3265D">
        <w:t>independent, uniform and consistent way of monitoring governments’ implementation of the Priority Reforms</w:t>
      </w:r>
      <w:r w:rsidR="00A669EC">
        <w:t>.</w:t>
      </w:r>
      <w:r w:rsidR="00A669EC" w:rsidRPr="00D3265D">
        <w:t xml:space="preserve"> </w:t>
      </w:r>
      <w:r w:rsidR="00A669EC" w:rsidRPr="00914558">
        <w:t xml:space="preserve">(Coalition of Peaks, pers. </w:t>
      </w:r>
      <w:r w:rsidR="00A669EC">
        <w:t>c</w:t>
      </w:r>
      <w:r w:rsidR="00A669EC" w:rsidRPr="00914558">
        <w:t>omm., 5</w:t>
      </w:r>
      <w:r w:rsidR="00827859">
        <w:t> </w:t>
      </w:r>
      <w:r w:rsidR="00A669EC" w:rsidRPr="00914558">
        <w:t>July 2023)</w:t>
      </w:r>
    </w:p>
    <w:p w14:paraId="32BF7836" w14:textId="2B993F0A" w:rsidR="003774E1" w:rsidRDefault="003774E1" w:rsidP="003774E1">
      <w:pPr>
        <w:pStyle w:val="BodyText"/>
      </w:pPr>
      <w:r>
        <w:t>The Lowitja Institute echoed this concern</w:t>
      </w:r>
      <w:r w:rsidR="001877B6">
        <w:t>.</w:t>
      </w:r>
    </w:p>
    <w:p w14:paraId="76738EA0" w14:textId="212B2A68" w:rsidR="003774E1" w:rsidRDefault="003774E1" w:rsidP="003774E1">
      <w:pPr>
        <w:pStyle w:val="Quote"/>
      </w:pPr>
      <w:r>
        <w:t>Governments must uphold their commitments to the National Agreement, and their responsibility within the Partnership to both gather and share data on its progress. The lack of consistent data collection on the progress towards the Priority Reforms from states and territories undermines the success of the National Agreement and is revealing of Governments’ commitment to the agreement. (sub.</w:t>
      </w:r>
      <w:r w:rsidR="005634D7">
        <w:t> </w:t>
      </w:r>
      <w:r>
        <w:t>15, p.</w:t>
      </w:r>
      <w:r w:rsidR="005634D7">
        <w:t> </w:t>
      </w:r>
      <w:r>
        <w:t>9)</w:t>
      </w:r>
    </w:p>
    <w:p w14:paraId="762E4832" w14:textId="7BD5C004" w:rsidR="00A83FD9" w:rsidRDefault="00C002CD" w:rsidP="00C002CD">
      <w:pPr>
        <w:pStyle w:val="BodyText"/>
      </w:pPr>
      <w:r w:rsidRPr="2B096693">
        <w:t xml:space="preserve">The monitoring framework for the </w:t>
      </w:r>
      <w:r w:rsidR="000911E2">
        <w:t>Priority Reform</w:t>
      </w:r>
      <w:r w:rsidRPr="2B096693">
        <w:t>s was introduced to hold governments to account for the structural changes necessary to advance socio</w:t>
      </w:r>
      <w:r w:rsidR="00827859">
        <w:noBreakHyphen/>
      </w:r>
      <w:r w:rsidRPr="2B096693">
        <w:t xml:space="preserve">economic outcomes. </w:t>
      </w:r>
      <w:r w:rsidR="00B57022">
        <w:t>A number of submissions also argued for indicators that more directly held governments to account for actions across socio</w:t>
      </w:r>
      <w:r w:rsidR="00827859">
        <w:noBreakHyphen/>
      </w:r>
      <w:r w:rsidR="00B57022">
        <w:t>economic outcomes, such as indicators assessing the accessibility and quality of services and funding relative to need (</w:t>
      </w:r>
      <w:r w:rsidR="00A00FA3">
        <w:t xml:space="preserve">Australian </w:t>
      </w:r>
      <w:r w:rsidR="00A00FA3">
        <w:lastRenderedPageBreak/>
        <w:t>Council of TESOL Associations</w:t>
      </w:r>
      <w:r w:rsidR="00E527D1">
        <w:t>, sub.</w:t>
      </w:r>
      <w:r w:rsidR="005634D7">
        <w:t> </w:t>
      </w:r>
      <w:r w:rsidR="00E527D1">
        <w:t>11, p.</w:t>
      </w:r>
      <w:r w:rsidR="005634D7">
        <w:t> </w:t>
      </w:r>
      <w:r w:rsidR="00E527D1">
        <w:t>13;</w:t>
      </w:r>
      <w:r w:rsidR="00E50D3F">
        <w:t xml:space="preserve"> </w:t>
      </w:r>
      <w:r w:rsidR="001153FB">
        <w:t>Close the Gap Campaign, sub.</w:t>
      </w:r>
      <w:r w:rsidR="005634D7">
        <w:t> </w:t>
      </w:r>
      <w:r w:rsidR="001153FB">
        <w:t>17</w:t>
      </w:r>
      <w:r w:rsidR="00A00FA3">
        <w:t>, p.</w:t>
      </w:r>
      <w:r w:rsidR="005634D7">
        <w:t> </w:t>
      </w:r>
      <w:r w:rsidR="00A00FA3">
        <w:t>2</w:t>
      </w:r>
      <w:r w:rsidR="006B0E39" w:rsidDel="00A00FA3">
        <w:t>;</w:t>
      </w:r>
      <w:r w:rsidR="0085112A" w:rsidRPr="0085112A" w:rsidDel="00A00FA3">
        <w:t xml:space="preserve"> </w:t>
      </w:r>
      <w:r w:rsidR="0085112A">
        <w:t>Public Health Association of Australia, sub.</w:t>
      </w:r>
      <w:r w:rsidR="006B0E39">
        <w:t> </w:t>
      </w:r>
      <w:r w:rsidR="0085112A">
        <w:t>16</w:t>
      </w:r>
      <w:r w:rsidR="00A00FA3">
        <w:t>, p.</w:t>
      </w:r>
      <w:r w:rsidR="005634D7">
        <w:t> </w:t>
      </w:r>
      <w:r w:rsidR="00A00FA3">
        <w:t>1</w:t>
      </w:r>
      <w:r w:rsidR="00B57022">
        <w:t xml:space="preserve">). </w:t>
      </w:r>
    </w:p>
    <w:p w14:paraId="214F738D" w14:textId="106C55D4" w:rsidR="00A536A6" w:rsidRDefault="00C002CD" w:rsidP="00C002CD">
      <w:pPr>
        <w:pStyle w:val="BodyText"/>
      </w:pPr>
      <w:r>
        <w:t xml:space="preserve">In the Coalition of Peaks’ engagements informing the development of the Agreement, almost all </w:t>
      </w:r>
      <w:r w:rsidR="00C8224D">
        <w:t xml:space="preserve">survey </w:t>
      </w:r>
      <w:r>
        <w:t xml:space="preserve">participants </w:t>
      </w:r>
      <w:r w:rsidR="005B00D8">
        <w:t xml:space="preserve">believed it was important </w:t>
      </w:r>
      <w:r w:rsidR="00F06F1B">
        <w:t>to measure and publicly report on progress</w:t>
      </w:r>
      <w:r>
        <w:t xml:space="preserve"> against the </w:t>
      </w:r>
      <w:r w:rsidR="000911E2">
        <w:t>Priority Reform</w:t>
      </w:r>
      <w:r>
        <w:t xml:space="preserve">s, though </w:t>
      </w:r>
      <w:r w:rsidR="00F352BA">
        <w:t xml:space="preserve">views </w:t>
      </w:r>
      <w:r>
        <w:t xml:space="preserve">on </w:t>
      </w:r>
      <w:r w:rsidR="00E64F85">
        <w:t xml:space="preserve">how to measure them </w:t>
      </w:r>
      <w:r>
        <w:t xml:space="preserve">varied </w:t>
      </w:r>
      <w:r w:rsidR="001F7D81" w:rsidRPr="001F7D81">
        <w:rPr>
          <w:rFonts w:ascii="Arial" w:hAnsi="Arial" w:cs="Arial"/>
          <w:szCs w:val="24"/>
        </w:rPr>
        <w:t>(2020, pp. 35–37, 50–52, 64–67)</w:t>
      </w:r>
      <w:r>
        <w:t>. Submissions to this review</w:t>
      </w:r>
      <w:r w:rsidDel="0085112A">
        <w:t xml:space="preserve"> </w:t>
      </w:r>
      <w:r>
        <w:t xml:space="preserve">argued for </w:t>
      </w:r>
      <w:r w:rsidR="0085112A">
        <w:t xml:space="preserve">both </w:t>
      </w:r>
      <w:r>
        <w:t xml:space="preserve">systematic monitoring of the </w:t>
      </w:r>
      <w:r w:rsidR="007D48A4">
        <w:t>P</w:t>
      </w:r>
      <w:r>
        <w:t xml:space="preserve">riority </w:t>
      </w:r>
      <w:r w:rsidR="007D48A4">
        <w:t>R</w:t>
      </w:r>
      <w:r>
        <w:t xml:space="preserve">eforms and a more qualitative approach, and a combination of the two through monitoring and evaluation </w:t>
      </w:r>
      <w:r w:rsidR="009534E0">
        <w:t>is</w:t>
      </w:r>
      <w:r>
        <w:t xml:space="preserve"> likely warranted (</w:t>
      </w:r>
      <w:r w:rsidR="00FD5C23">
        <w:t>Dillon, sub.</w:t>
      </w:r>
      <w:r w:rsidR="005634D7">
        <w:t> </w:t>
      </w:r>
      <w:r w:rsidR="00FD5C23">
        <w:t>5</w:t>
      </w:r>
      <w:r w:rsidR="001516D8">
        <w:t>, p</w:t>
      </w:r>
      <w:r w:rsidR="006A623C">
        <w:t>.</w:t>
      </w:r>
      <w:r w:rsidR="005634D7">
        <w:t> </w:t>
      </w:r>
      <w:r w:rsidR="006A623C">
        <w:t>6</w:t>
      </w:r>
      <w:r w:rsidR="00CA3B6A">
        <w:t>;</w:t>
      </w:r>
      <w:r w:rsidR="00583C6D">
        <w:t xml:space="preserve"> Lowitja Institute, sub.</w:t>
      </w:r>
      <w:r w:rsidR="005634D7">
        <w:t> </w:t>
      </w:r>
      <w:r w:rsidR="00583C6D">
        <w:t>15</w:t>
      </w:r>
      <w:r w:rsidR="00CF7D18">
        <w:t>, p.</w:t>
      </w:r>
      <w:r w:rsidR="005634D7">
        <w:t> </w:t>
      </w:r>
      <w:r w:rsidR="00A541CB">
        <w:t>5</w:t>
      </w:r>
      <w:r w:rsidR="0041624B">
        <w:t>;</w:t>
      </w:r>
      <w:r w:rsidR="005A001B">
        <w:t xml:space="preserve"> NIAA, sub.</w:t>
      </w:r>
      <w:r w:rsidR="005634D7">
        <w:t> </w:t>
      </w:r>
      <w:r w:rsidDel="00FD5C23">
        <w:t>30</w:t>
      </w:r>
      <w:r w:rsidR="00A541CB">
        <w:t>, p.</w:t>
      </w:r>
      <w:r w:rsidR="005634D7">
        <w:t> </w:t>
      </w:r>
      <w:r w:rsidR="00EF2132">
        <w:t>3</w:t>
      </w:r>
      <w:r>
        <w:t xml:space="preserve">). </w:t>
      </w:r>
    </w:p>
    <w:p w14:paraId="5D252303" w14:textId="67482CF5" w:rsidR="00067656" w:rsidRDefault="00A83FD9" w:rsidP="00C002CD">
      <w:pPr>
        <w:pStyle w:val="BodyText"/>
      </w:pPr>
      <w:r>
        <w:t xml:space="preserve">A more qualitative approach might </w:t>
      </w:r>
      <w:r w:rsidR="00E3339B">
        <w:t>draw on</w:t>
      </w:r>
      <w:r w:rsidR="002C26D0" w:rsidDel="00A536A6">
        <w:t xml:space="preserve"> </w:t>
      </w:r>
      <w:r w:rsidR="002C26D0">
        <w:t xml:space="preserve">assessments based on set criteria or </w:t>
      </w:r>
      <w:r w:rsidR="00D06F49">
        <w:t>an evaluation of the implementation of a set of policy principles</w:t>
      </w:r>
      <w:r w:rsidR="005C6E53">
        <w:t xml:space="preserve"> </w:t>
      </w:r>
      <w:r w:rsidR="00FB1902" w:rsidRPr="00FB1902">
        <w:rPr>
          <w:rFonts w:ascii="Arial" w:hAnsi="Arial" w:cs="Arial"/>
          <w:szCs w:val="24"/>
        </w:rPr>
        <w:t>(Patton 2018)</w:t>
      </w:r>
      <w:r w:rsidR="00D06F49">
        <w:t xml:space="preserve">. </w:t>
      </w:r>
      <w:r w:rsidR="006A72F0">
        <w:t>For</w:t>
      </w:r>
      <w:r w:rsidR="003F6CBC">
        <w:t xml:space="preserve"> </w:t>
      </w:r>
      <w:r w:rsidR="00D06F49">
        <w:t>example</w:t>
      </w:r>
      <w:r w:rsidR="00C03F0F">
        <w:t>,</w:t>
      </w:r>
      <w:r w:rsidR="0064692E">
        <w:t xml:space="preserve"> </w:t>
      </w:r>
      <w:r w:rsidR="004966EA">
        <w:t xml:space="preserve">the </w:t>
      </w:r>
      <w:r w:rsidR="00000FDF">
        <w:t>Bukal</w:t>
      </w:r>
      <w:r w:rsidR="008432EB" w:rsidDel="00A53B3E">
        <w:t xml:space="preserve"> </w:t>
      </w:r>
      <w:r w:rsidR="009D4D57">
        <w:t>i</w:t>
      </w:r>
      <w:r w:rsidR="0064692E">
        <w:t xml:space="preserve">nstitutional </w:t>
      </w:r>
      <w:r w:rsidR="009D4D57">
        <w:t>r</w:t>
      </w:r>
      <w:r w:rsidR="0064692E">
        <w:t xml:space="preserve">acism </w:t>
      </w:r>
      <w:r w:rsidR="009D4D57">
        <w:t xml:space="preserve">matrix </w:t>
      </w:r>
      <w:r w:rsidR="003765B6">
        <w:t xml:space="preserve">has been </w:t>
      </w:r>
      <w:r w:rsidR="000D43ED">
        <w:t xml:space="preserve">developed </w:t>
      </w:r>
      <w:r w:rsidR="00A53B3E">
        <w:t>as an assessment tool</w:t>
      </w:r>
      <w:r w:rsidR="0021015F">
        <w:t xml:space="preserve"> to</w:t>
      </w:r>
      <w:r w:rsidR="00A53B3E">
        <w:t xml:space="preserve"> </w:t>
      </w:r>
      <w:r w:rsidR="004D3F0F">
        <w:t xml:space="preserve">measure and monitor </w:t>
      </w:r>
      <w:r w:rsidR="00C626DD">
        <w:t>in</w:t>
      </w:r>
      <w:r w:rsidR="003765B6">
        <w:t xml:space="preserve">stitutional </w:t>
      </w:r>
      <w:r w:rsidR="00D3508C">
        <w:t xml:space="preserve">racism </w:t>
      </w:r>
      <w:r w:rsidR="003765B6">
        <w:t>with</w:t>
      </w:r>
      <w:r w:rsidR="00D3508C">
        <w:t>in</w:t>
      </w:r>
      <w:r w:rsidR="003765B6">
        <w:t xml:space="preserve"> public</w:t>
      </w:r>
      <w:r w:rsidR="00D3508C">
        <w:t xml:space="preserve"> </w:t>
      </w:r>
      <w:r w:rsidR="009A15C3">
        <w:t>hospital and</w:t>
      </w:r>
      <w:r w:rsidR="003765B6">
        <w:t xml:space="preserve"> health services</w:t>
      </w:r>
      <w:r w:rsidR="00002D27">
        <w:t xml:space="preserve"> against </w:t>
      </w:r>
      <w:r w:rsidR="007B3070">
        <w:t>five</w:t>
      </w:r>
      <w:r w:rsidR="00002D27">
        <w:t xml:space="preserve"> key </w:t>
      </w:r>
      <w:r w:rsidR="0063433E">
        <w:t>indicators:</w:t>
      </w:r>
      <w:r w:rsidR="0063433E" w:rsidRPr="0063433E">
        <w:t xml:space="preserve"> inclusion in governance</w:t>
      </w:r>
      <w:r w:rsidR="0063433E">
        <w:t>,</w:t>
      </w:r>
      <w:r w:rsidR="0063433E" w:rsidRPr="0063433E">
        <w:t xml:space="preserve"> policy implementation</w:t>
      </w:r>
      <w:r w:rsidR="0063433E">
        <w:t xml:space="preserve">, </w:t>
      </w:r>
      <w:r w:rsidR="0063433E" w:rsidRPr="0063433E">
        <w:t>service delivery</w:t>
      </w:r>
      <w:r w:rsidR="0063433E">
        <w:t>,</w:t>
      </w:r>
      <w:r w:rsidR="0063433E" w:rsidRPr="0063433E">
        <w:t xml:space="preserve"> employment</w:t>
      </w:r>
      <w:r w:rsidR="0063433E">
        <w:t>,</w:t>
      </w:r>
      <w:r w:rsidR="0063433E" w:rsidRPr="0063433E">
        <w:t xml:space="preserve"> and financial accountability</w:t>
      </w:r>
      <w:r w:rsidR="003E606B">
        <w:t xml:space="preserve"> </w:t>
      </w:r>
      <w:r w:rsidR="00A76C10" w:rsidRPr="00A76C10">
        <w:rPr>
          <w:rFonts w:ascii="Arial" w:hAnsi="Arial" w:cs="Arial"/>
          <w:szCs w:val="24"/>
        </w:rPr>
        <w:t>(Marrie 2017, pp. 36–37)</w:t>
      </w:r>
      <w:r w:rsidR="0063433E">
        <w:t>.</w:t>
      </w:r>
      <w:r w:rsidR="0063433E" w:rsidDel="00067656">
        <w:t xml:space="preserve"> </w:t>
      </w:r>
      <w:r w:rsidR="00D86BEF">
        <w:t xml:space="preserve">The matrix was applied </w:t>
      </w:r>
      <w:r w:rsidR="00B8297E">
        <w:t>in a</w:t>
      </w:r>
      <w:r w:rsidR="0038373D">
        <w:t xml:space="preserve"> </w:t>
      </w:r>
      <w:r w:rsidR="00F676C0">
        <w:t xml:space="preserve">report on </w:t>
      </w:r>
      <w:r w:rsidR="0038373D">
        <w:t>the</w:t>
      </w:r>
      <w:r w:rsidR="006E6D68">
        <w:t xml:space="preserve"> </w:t>
      </w:r>
      <w:r w:rsidR="00DE489B">
        <w:t xml:space="preserve">Queensland Health and Hospital </w:t>
      </w:r>
      <w:r w:rsidR="009435B2">
        <w:t>Services</w:t>
      </w:r>
      <w:r w:rsidR="00BE6622">
        <w:t xml:space="preserve"> (HHSs)</w:t>
      </w:r>
      <w:r w:rsidR="00F676C0">
        <w:t xml:space="preserve"> in 2017</w:t>
      </w:r>
      <w:r w:rsidR="009435B2">
        <w:t xml:space="preserve"> </w:t>
      </w:r>
      <w:r w:rsidR="005E275E">
        <w:t xml:space="preserve">(information </w:t>
      </w:r>
      <w:r w:rsidR="005E275E" w:rsidRPr="00DB272B">
        <w:t>paper 4</w:t>
      </w:r>
      <w:r w:rsidR="0066751B" w:rsidRPr="00DB272B">
        <w:t xml:space="preserve">, </w:t>
      </w:r>
      <w:r w:rsidR="0066751B" w:rsidRPr="003743D2">
        <w:t>box</w:t>
      </w:r>
      <w:r w:rsidR="005634D7">
        <w:t> </w:t>
      </w:r>
      <w:r w:rsidR="0066751B" w:rsidRPr="003743D2">
        <w:t>10</w:t>
      </w:r>
      <w:r w:rsidR="0066751B" w:rsidRPr="00DB272B">
        <w:t>)</w:t>
      </w:r>
      <w:r w:rsidR="00F676C0" w:rsidRPr="00DB272B">
        <w:t xml:space="preserve">, </w:t>
      </w:r>
      <w:r w:rsidR="00D076BD" w:rsidRPr="00DB272B">
        <w:t xml:space="preserve">and </w:t>
      </w:r>
      <w:r w:rsidR="00F53ECD">
        <w:t xml:space="preserve">the Queensland </w:t>
      </w:r>
      <w:r w:rsidR="000E1D84">
        <w:t>Aboriginal</w:t>
      </w:r>
      <w:r w:rsidR="00F53ECD">
        <w:t xml:space="preserve"> and Islander Health Council </w:t>
      </w:r>
      <w:r w:rsidR="00732CAD">
        <w:t>has</w:t>
      </w:r>
      <w:r w:rsidR="00D076BD">
        <w:t xml:space="preserve"> since</w:t>
      </w:r>
      <w:r w:rsidR="00732CAD">
        <w:t xml:space="preserve"> recommended </w:t>
      </w:r>
      <w:r w:rsidR="00A1556C">
        <w:t xml:space="preserve">that all </w:t>
      </w:r>
      <w:r w:rsidR="00BE6622">
        <w:t>HHS</w:t>
      </w:r>
      <w:r w:rsidR="008C787D">
        <w:t>s</w:t>
      </w:r>
      <w:r w:rsidR="00BE6622">
        <w:t xml:space="preserve"> undertake the audit </w:t>
      </w:r>
      <w:r w:rsidR="008C787D">
        <w:t>every two years</w:t>
      </w:r>
      <w:r w:rsidR="006F09F1">
        <w:t xml:space="preserve"> </w:t>
      </w:r>
      <w:r w:rsidR="006F09F1" w:rsidRPr="006F09F1">
        <w:rPr>
          <w:rFonts w:ascii="Arial" w:hAnsi="Arial" w:cs="Arial"/>
          <w:szCs w:val="24"/>
        </w:rPr>
        <w:t>(QAIHC 2022, p. 3)</w:t>
      </w:r>
      <w:r w:rsidR="008C787D">
        <w:t xml:space="preserve">. </w:t>
      </w:r>
    </w:p>
    <w:p w14:paraId="283220B7" w14:textId="70252C65" w:rsidR="00F2074F" w:rsidRDefault="00202BC6" w:rsidP="00C002CD">
      <w:pPr>
        <w:pStyle w:val="BodyText"/>
      </w:pPr>
      <w:r>
        <w:t>T</w:t>
      </w:r>
      <w:r w:rsidR="003F564D">
        <w:t>he</w:t>
      </w:r>
      <w:r w:rsidR="003A3B8E">
        <w:t xml:space="preserve"> </w:t>
      </w:r>
      <w:r>
        <w:t>P</w:t>
      </w:r>
      <w:r w:rsidR="003E07BA">
        <w:t xml:space="preserve">riority </w:t>
      </w:r>
      <w:r>
        <w:t>R</w:t>
      </w:r>
      <w:r w:rsidR="003E07BA">
        <w:t xml:space="preserve">eform monitoring framework </w:t>
      </w:r>
      <w:r>
        <w:t>in the Agreement</w:t>
      </w:r>
      <w:r w:rsidR="003E07BA">
        <w:t xml:space="preserve"> </w:t>
      </w:r>
      <w:r w:rsidR="00B92435">
        <w:t>identifies</w:t>
      </w:r>
      <w:r w:rsidR="003E07BA">
        <w:t xml:space="preserve"> targets</w:t>
      </w:r>
      <w:r w:rsidR="00B92435">
        <w:t>, supporting indicators</w:t>
      </w:r>
      <w:r w:rsidR="0015288D">
        <w:t>,</w:t>
      </w:r>
      <w:r w:rsidR="00B92435">
        <w:t xml:space="preserve"> outcomes</w:t>
      </w:r>
      <w:r w:rsidR="0015288D">
        <w:t xml:space="preserve"> and data development items</w:t>
      </w:r>
      <w:r w:rsidR="00A15418">
        <w:t>.</w:t>
      </w:r>
      <w:r w:rsidR="003E07BA">
        <w:t xml:space="preserve"> </w:t>
      </w:r>
      <w:r w:rsidR="00A15418">
        <w:t>However</w:t>
      </w:r>
      <w:r w:rsidR="00B92435">
        <w:t>,</w:t>
      </w:r>
      <w:r w:rsidR="003E07BA">
        <w:t xml:space="preserve"> </w:t>
      </w:r>
      <w:r w:rsidR="00BB141D">
        <w:t xml:space="preserve">these are </w:t>
      </w:r>
      <w:r w:rsidR="005773AA">
        <w:t xml:space="preserve">often </w:t>
      </w:r>
      <w:r w:rsidR="00BB141D">
        <w:t xml:space="preserve">not </w:t>
      </w:r>
      <w:r w:rsidR="002F58CF">
        <w:t>defined</w:t>
      </w:r>
      <w:r w:rsidR="00BB141D">
        <w:t xml:space="preserve"> in a way that will enable effective monitoring of performance. </w:t>
      </w:r>
      <w:r w:rsidR="00C002CD">
        <w:t>For example</w:t>
      </w:r>
      <w:r w:rsidR="00F2074F">
        <w:t>:</w:t>
      </w:r>
    </w:p>
    <w:p w14:paraId="6DED7C64" w14:textId="5E80B47D" w:rsidR="00C002CD" w:rsidRDefault="00697212" w:rsidP="00697212">
      <w:pPr>
        <w:pStyle w:val="ListBullet"/>
      </w:pPr>
      <w:r>
        <w:t>T</w:t>
      </w:r>
      <w:r w:rsidR="00B97669">
        <w:t>he t</w:t>
      </w:r>
      <w:r w:rsidR="007E5229">
        <w:t xml:space="preserve">argets describe </w:t>
      </w:r>
      <w:r w:rsidR="00632C40">
        <w:t>a</w:t>
      </w:r>
      <w:r w:rsidR="007E5229">
        <w:t xml:space="preserve"> direction of change</w:t>
      </w:r>
      <w:r w:rsidR="00F70718">
        <w:t xml:space="preserve">, but do not </w:t>
      </w:r>
      <w:r w:rsidR="00742EAD">
        <w:t xml:space="preserve">specify the degree of change expected or the timeframe for achieving it. For </w:t>
      </w:r>
      <w:r w:rsidR="0081008D">
        <w:t>instance</w:t>
      </w:r>
      <w:r w:rsidR="00742EAD">
        <w:t>,</w:t>
      </w:r>
      <w:r w:rsidR="007E5229">
        <w:t xml:space="preserve"> </w:t>
      </w:r>
      <w:r w:rsidR="00C002CD">
        <w:t xml:space="preserve">the target for </w:t>
      </w:r>
      <w:r w:rsidR="000911E2">
        <w:t>Priority Reform</w:t>
      </w:r>
      <w:r w:rsidR="00C002CD">
        <w:t xml:space="preserve"> 2 </w:t>
      </w:r>
      <w:r w:rsidR="00A7491A">
        <w:t>is to</w:t>
      </w:r>
      <w:r w:rsidR="00C002CD">
        <w:t xml:space="preserve"> increase the amount of government funding for Aboriginal and Torres Strait Islander programs and services going through Aboriginal and Torres Strait Islander community</w:t>
      </w:r>
      <w:r w:rsidR="00827859">
        <w:noBreakHyphen/>
      </w:r>
      <w:r w:rsidR="00C002CD">
        <w:t>controlled organisations</w:t>
      </w:r>
      <w:r w:rsidR="004C0EC4">
        <w:t xml:space="preserve"> (attachment A)</w:t>
      </w:r>
      <w:r w:rsidR="00C002CD">
        <w:t>. There could be good reasons for flexibility: the change required might vary significantly across policy sectors and jurisdictions, making a prescriptive level of change inappropriate. A lack of trend data to set informed targets could also complicate the task. The downside to this ambiguity is that it is unlikely to be as effective in focusing effort, and even minimal change could be interpreted as meeting the target</w:t>
      </w:r>
      <w:r w:rsidR="00B335DF">
        <w:t>.</w:t>
      </w:r>
    </w:p>
    <w:p w14:paraId="04250FDD" w14:textId="2D7BB16F" w:rsidR="00F2074F" w:rsidRPr="00697212" w:rsidRDefault="00697212" w:rsidP="00697212">
      <w:pPr>
        <w:pStyle w:val="ListBullet"/>
        <w:rPr>
          <w:spacing w:val="-4"/>
        </w:rPr>
      </w:pPr>
      <w:r>
        <w:rPr>
          <w:spacing w:val="-4"/>
        </w:rPr>
        <w:t>M</w:t>
      </w:r>
      <w:r w:rsidR="0095099B" w:rsidRPr="00697212">
        <w:rPr>
          <w:spacing w:val="-4"/>
        </w:rPr>
        <w:t>any</w:t>
      </w:r>
      <w:r w:rsidR="00871315" w:rsidRPr="00697212">
        <w:rPr>
          <w:spacing w:val="-4"/>
        </w:rPr>
        <w:t xml:space="preserve"> of the </w:t>
      </w:r>
      <w:r w:rsidR="009B297F" w:rsidRPr="00697212">
        <w:rPr>
          <w:spacing w:val="-4"/>
        </w:rPr>
        <w:t>indicators are so broad</w:t>
      </w:r>
      <w:r w:rsidR="00476D21" w:rsidRPr="00697212">
        <w:rPr>
          <w:spacing w:val="-4"/>
        </w:rPr>
        <w:t xml:space="preserve"> that they provide little direction as to what </w:t>
      </w:r>
      <w:r w:rsidR="00A3178E" w:rsidRPr="00697212">
        <w:rPr>
          <w:spacing w:val="-4"/>
        </w:rPr>
        <w:t xml:space="preserve">the framework was intending to measure. </w:t>
      </w:r>
      <w:r w:rsidR="00622714" w:rsidRPr="00697212">
        <w:rPr>
          <w:spacing w:val="-4"/>
        </w:rPr>
        <w:t xml:space="preserve">For example, the target for </w:t>
      </w:r>
      <w:r w:rsidR="000911E2" w:rsidRPr="00697212">
        <w:rPr>
          <w:spacing w:val="-4"/>
        </w:rPr>
        <w:t>Priority Reform</w:t>
      </w:r>
      <w:r w:rsidR="00622714" w:rsidRPr="00697212">
        <w:rPr>
          <w:spacing w:val="-4"/>
        </w:rPr>
        <w:t xml:space="preserve"> 3</w:t>
      </w:r>
      <w:r w:rsidR="00B91871" w:rsidRPr="00697212">
        <w:rPr>
          <w:spacing w:val="-4"/>
        </w:rPr>
        <w:t xml:space="preserve"> is </w:t>
      </w:r>
      <w:r w:rsidR="00D36ADB" w:rsidRPr="00697212">
        <w:rPr>
          <w:spacing w:val="-4"/>
        </w:rPr>
        <w:t>a</w:t>
      </w:r>
      <w:r w:rsidR="00B91871" w:rsidRPr="00697212">
        <w:rPr>
          <w:spacing w:val="-4"/>
        </w:rPr>
        <w:t xml:space="preserve"> decrease in the proportion of Aboriginal and Torres Strait Islander people who have experiences of racism</w:t>
      </w:r>
      <w:r w:rsidR="00074D70" w:rsidRPr="00697212">
        <w:rPr>
          <w:spacing w:val="-4"/>
        </w:rPr>
        <w:t>,</w:t>
      </w:r>
      <w:r w:rsidR="00B91871" w:rsidRPr="00697212">
        <w:rPr>
          <w:spacing w:val="-4"/>
        </w:rPr>
        <w:t xml:space="preserve"> </w:t>
      </w:r>
      <w:r w:rsidR="00074D70" w:rsidRPr="00697212">
        <w:rPr>
          <w:spacing w:val="-4"/>
        </w:rPr>
        <w:t xml:space="preserve">but the outcome </w:t>
      </w:r>
      <w:r w:rsidR="007919EC" w:rsidRPr="00697212">
        <w:rPr>
          <w:spacing w:val="-4"/>
        </w:rPr>
        <w:t>is about</w:t>
      </w:r>
      <w:r w:rsidR="00074D70" w:rsidRPr="00697212">
        <w:rPr>
          <w:spacing w:val="-4"/>
        </w:rPr>
        <w:t xml:space="preserve"> ensuring government</w:t>
      </w:r>
      <w:r w:rsidR="001A66C0" w:rsidRPr="00697212">
        <w:rPr>
          <w:spacing w:val="-4"/>
        </w:rPr>
        <w:t>s</w:t>
      </w:r>
      <w:r w:rsidR="002A5BF5" w:rsidRPr="00697212">
        <w:rPr>
          <w:spacing w:val="-4"/>
        </w:rPr>
        <w:t>,</w:t>
      </w:r>
      <w:r w:rsidR="00074D70" w:rsidRPr="00697212">
        <w:rPr>
          <w:spacing w:val="-4"/>
        </w:rPr>
        <w:t xml:space="preserve"> </w:t>
      </w:r>
      <w:r w:rsidR="001A66C0" w:rsidRPr="00697212">
        <w:rPr>
          <w:spacing w:val="-4"/>
        </w:rPr>
        <w:t>the</w:t>
      </w:r>
      <w:r w:rsidR="002A5BF5" w:rsidRPr="00697212">
        <w:rPr>
          <w:spacing w:val="-4"/>
        </w:rPr>
        <w:t>ir</w:t>
      </w:r>
      <w:r w:rsidR="001A66C0" w:rsidRPr="00697212">
        <w:rPr>
          <w:spacing w:val="-4"/>
        </w:rPr>
        <w:t xml:space="preserve"> organisations</w:t>
      </w:r>
      <w:r w:rsidR="002A5BF5" w:rsidRPr="00697212">
        <w:rPr>
          <w:spacing w:val="-4"/>
        </w:rPr>
        <w:t xml:space="preserve"> and</w:t>
      </w:r>
      <w:r w:rsidR="006B7469" w:rsidRPr="00697212">
        <w:rPr>
          <w:spacing w:val="-4"/>
        </w:rPr>
        <w:t xml:space="preserve"> institutions and </w:t>
      </w:r>
      <w:r w:rsidR="002A5BF5" w:rsidRPr="00697212">
        <w:rPr>
          <w:spacing w:val="-4"/>
        </w:rPr>
        <w:t xml:space="preserve">the </w:t>
      </w:r>
      <w:r w:rsidR="006B7469" w:rsidRPr="00697212">
        <w:rPr>
          <w:spacing w:val="-4"/>
        </w:rPr>
        <w:t>services they fund</w:t>
      </w:r>
      <w:r w:rsidR="00074D70" w:rsidRPr="00697212">
        <w:rPr>
          <w:spacing w:val="-4"/>
        </w:rPr>
        <w:t xml:space="preserve"> are culturally safe and responsive</w:t>
      </w:r>
      <w:r w:rsidR="0099427F" w:rsidRPr="00697212">
        <w:rPr>
          <w:spacing w:val="-4"/>
        </w:rPr>
        <w:t xml:space="preserve"> (attachment A)</w:t>
      </w:r>
      <w:r w:rsidR="00074D70" w:rsidRPr="00697212">
        <w:rPr>
          <w:spacing w:val="-4"/>
        </w:rPr>
        <w:t xml:space="preserve">. </w:t>
      </w:r>
      <w:r w:rsidR="00B6626B" w:rsidRPr="00697212">
        <w:rPr>
          <w:spacing w:val="-4"/>
        </w:rPr>
        <w:t>As one participant to this review noted,</w:t>
      </w:r>
      <w:r w:rsidR="003F2C14" w:rsidRPr="00697212">
        <w:rPr>
          <w:spacing w:val="-4"/>
        </w:rPr>
        <w:t xml:space="preserve"> </w:t>
      </w:r>
      <w:r w:rsidR="00CF627E" w:rsidRPr="00697212">
        <w:rPr>
          <w:spacing w:val="-4"/>
        </w:rPr>
        <w:t xml:space="preserve">it is not clear if </w:t>
      </w:r>
      <w:r w:rsidR="003F2C14" w:rsidRPr="00697212">
        <w:rPr>
          <w:spacing w:val="-4"/>
        </w:rPr>
        <w:t>this target include</w:t>
      </w:r>
      <w:r w:rsidR="00072001" w:rsidRPr="00697212">
        <w:rPr>
          <w:spacing w:val="-4"/>
        </w:rPr>
        <w:t>s</w:t>
      </w:r>
      <w:r w:rsidR="003F2C14" w:rsidRPr="00697212">
        <w:rPr>
          <w:spacing w:val="-4"/>
        </w:rPr>
        <w:t xml:space="preserve"> experiences of racism within any context</w:t>
      </w:r>
      <w:r w:rsidR="00817786" w:rsidRPr="00697212">
        <w:rPr>
          <w:spacing w:val="-4"/>
        </w:rPr>
        <w:t xml:space="preserve">, </w:t>
      </w:r>
      <w:r w:rsidR="00CF627E" w:rsidRPr="00697212">
        <w:rPr>
          <w:spacing w:val="-4"/>
        </w:rPr>
        <w:t xml:space="preserve">such as </w:t>
      </w:r>
      <w:r w:rsidR="00072001" w:rsidRPr="00697212">
        <w:rPr>
          <w:spacing w:val="-4"/>
        </w:rPr>
        <w:t>‘</w:t>
      </w:r>
      <w:r w:rsidR="00817786" w:rsidRPr="00697212">
        <w:rPr>
          <w:spacing w:val="-4"/>
        </w:rPr>
        <w:t>supermarkets and sport</w:t>
      </w:r>
      <w:r w:rsidR="00094CCD" w:rsidRPr="00697212">
        <w:rPr>
          <w:spacing w:val="-4"/>
        </w:rPr>
        <w:t>s</w:t>
      </w:r>
      <w:r w:rsidR="00817786" w:rsidRPr="00697212">
        <w:rPr>
          <w:spacing w:val="-4"/>
        </w:rPr>
        <w:t xml:space="preserve"> grounds</w:t>
      </w:r>
      <w:r w:rsidR="00072001" w:rsidRPr="00697212">
        <w:rPr>
          <w:spacing w:val="-4"/>
        </w:rPr>
        <w:t>’</w:t>
      </w:r>
      <w:r w:rsidR="00817786" w:rsidRPr="00697212">
        <w:rPr>
          <w:spacing w:val="-4"/>
        </w:rPr>
        <w:t xml:space="preserve"> (</w:t>
      </w:r>
      <w:r w:rsidR="00E261C1" w:rsidRPr="00697212">
        <w:rPr>
          <w:spacing w:val="-4"/>
        </w:rPr>
        <w:t xml:space="preserve">Dillon, </w:t>
      </w:r>
      <w:r w:rsidR="00817786" w:rsidRPr="00697212">
        <w:rPr>
          <w:spacing w:val="-4"/>
        </w:rPr>
        <w:t>sub</w:t>
      </w:r>
      <w:r w:rsidR="001B6B0A" w:rsidRPr="00697212">
        <w:rPr>
          <w:spacing w:val="-4"/>
        </w:rPr>
        <w:t>.</w:t>
      </w:r>
      <w:r w:rsidR="005634D7" w:rsidRPr="00697212">
        <w:rPr>
          <w:spacing w:val="-4"/>
        </w:rPr>
        <w:t> </w:t>
      </w:r>
      <w:r w:rsidR="006251D5" w:rsidRPr="00697212">
        <w:rPr>
          <w:spacing w:val="-4"/>
        </w:rPr>
        <w:t>5</w:t>
      </w:r>
      <w:r w:rsidR="004A0E29" w:rsidRPr="00697212">
        <w:rPr>
          <w:spacing w:val="-4"/>
        </w:rPr>
        <w:t>, p.</w:t>
      </w:r>
      <w:r w:rsidR="005634D7" w:rsidRPr="00697212">
        <w:rPr>
          <w:spacing w:val="-4"/>
        </w:rPr>
        <w:t> </w:t>
      </w:r>
      <w:r w:rsidR="004A0E29" w:rsidRPr="00697212">
        <w:rPr>
          <w:spacing w:val="-4"/>
        </w:rPr>
        <w:t>5</w:t>
      </w:r>
      <w:r w:rsidR="006251D5" w:rsidRPr="00697212">
        <w:rPr>
          <w:spacing w:val="-4"/>
        </w:rPr>
        <w:t>)</w:t>
      </w:r>
      <w:r w:rsidR="00CF627E" w:rsidRPr="00697212">
        <w:rPr>
          <w:spacing w:val="-4"/>
        </w:rPr>
        <w:t>.</w:t>
      </w:r>
      <w:r w:rsidR="007C4EEA" w:rsidRPr="00697212">
        <w:rPr>
          <w:spacing w:val="-4"/>
        </w:rPr>
        <w:t xml:space="preserve"> </w:t>
      </w:r>
      <w:r w:rsidR="004D775B" w:rsidRPr="00697212">
        <w:rPr>
          <w:rFonts w:cs="Arial"/>
          <w:color w:val="000000"/>
          <w:spacing w:val="-4"/>
        </w:rPr>
        <w:t>Racism also covers a broad range of experiences: from racially</w:t>
      </w:r>
      <w:r w:rsidR="00827859" w:rsidRPr="00697212">
        <w:rPr>
          <w:rFonts w:cs="Arial"/>
          <w:color w:val="000000"/>
          <w:spacing w:val="-4"/>
        </w:rPr>
        <w:noBreakHyphen/>
      </w:r>
      <w:r w:rsidR="004D775B" w:rsidRPr="00697212">
        <w:rPr>
          <w:rFonts w:cs="Arial"/>
          <w:color w:val="000000"/>
          <w:spacing w:val="-4"/>
        </w:rPr>
        <w:t xml:space="preserve">motivated discrimination and abuse to a lack of cultural </w:t>
      </w:r>
      <w:r w:rsidR="006519BB" w:rsidRPr="00697212">
        <w:rPr>
          <w:rFonts w:cs="Arial"/>
          <w:color w:val="000000"/>
          <w:spacing w:val="-4"/>
        </w:rPr>
        <w:t xml:space="preserve">safety </w:t>
      </w:r>
      <w:r w:rsidR="004D775B" w:rsidRPr="00697212">
        <w:rPr>
          <w:rFonts w:cs="Arial"/>
          <w:color w:val="000000"/>
          <w:spacing w:val="-4"/>
        </w:rPr>
        <w:t>or recognition</w:t>
      </w:r>
      <w:r w:rsidR="00C55A65" w:rsidRPr="00697212">
        <w:rPr>
          <w:rFonts w:cs="Arial"/>
          <w:color w:val="000000"/>
          <w:spacing w:val="-4"/>
        </w:rPr>
        <w:t>,</w:t>
      </w:r>
      <w:r w:rsidR="004D775B" w:rsidRPr="00697212">
        <w:rPr>
          <w:rFonts w:cs="Arial"/>
          <w:color w:val="000000"/>
          <w:spacing w:val="-4"/>
        </w:rPr>
        <w:t xml:space="preserve"> and policies and practices with racially</w:t>
      </w:r>
      <w:r w:rsidR="00827859" w:rsidRPr="00697212">
        <w:rPr>
          <w:rFonts w:cs="Arial"/>
          <w:color w:val="000000"/>
          <w:spacing w:val="-4"/>
        </w:rPr>
        <w:noBreakHyphen/>
      </w:r>
      <w:r w:rsidR="004D775B" w:rsidRPr="00697212">
        <w:rPr>
          <w:rFonts w:cs="Arial"/>
          <w:color w:val="000000"/>
          <w:spacing w:val="-4"/>
        </w:rPr>
        <w:t xml:space="preserve">differentiated outcomes. While one could argue that the reforms intend to address all of these, intentional </w:t>
      </w:r>
      <w:r w:rsidR="00667063" w:rsidRPr="00697212">
        <w:rPr>
          <w:rFonts w:cs="Arial"/>
          <w:color w:val="000000"/>
          <w:spacing w:val="-4"/>
        </w:rPr>
        <w:t>definition</w:t>
      </w:r>
      <w:r w:rsidR="004D775B" w:rsidRPr="00697212">
        <w:rPr>
          <w:rFonts w:cs="Arial"/>
          <w:color w:val="000000"/>
          <w:spacing w:val="-4"/>
        </w:rPr>
        <w:t xml:space="preserve"> will aid </w:t>
      </w:r>
      <w:r w:rsidR="00DC5E90" w:rsidRPr="00697212">
        <w:rPr>
          <w:rFonts w:cs="Arial"/>
          <w:color w:val="000000"/>
          <w:spacing w:val="-4"/>
        </w:rPr>
        <w:t xml:space="preserve">development and </w:t>
      </w:r>
      <w:r w:rsidR="004D775B" w:rsidRPr="00697212">
        <w:rPr>
          <w:rFonts w:cs="Arial"/>
          <w:color w:val="000000"/>
          <w:spacing w:val="-4"/>
        </w:rPr>
        <w:t>attribution.</w:t>
      </w:r>
    </w:p>
    <w:p w14:paraId="4EBD9959" w14:textId="35CF6E45" w:rsidR="005F0400" w:rsidRDefault="00B0398D" w:rsidP="00697212">
      <w:pPr>
        <w:pStyle w:val="ListBullet"/>
      </w:pPr>
      <w:r>
        <w:rPr>
          <w:rFonts w:ascii="Arial" w:hAnsi="Arial" w:cs="Arial"/>
          <w:color w:val="000000"/>
        </w:rPr>
        <w:t>Some i</w:t>
      </w:r>
      <w:r w:rsidR="005F0400">
        <w:rPr>
          <w:rFonts w:ascii="Arial" w:hAnsi="Arial" w:cs="Arial"/>
          <w:color w:val="000000"/>
        </w:rPr>
        <w:t xml:space="preserve">ndicators as defined </w:t>
      </w:r>
      <w:r>
        <w:rPr>
          <w:rFonts w:ascii="Arial" w:hAnsi="Arial" w:cs="Arial"/>
          <w:color w:val="000000"/>
        </w:rPr>
        <w:t>will</w:t>
      </w:r>
      <w:r w:rsidR="005F0400">
        <w:rPr>
          <w:rFonts w:ascii="Arial" w:hAnsi="Arial" w:cs="Arial"/>
          <w:color w:val="000000"/>
        </w:rPr>
        <w:t xml:space="preserve"> not provide sufficient evidence of change. </w:t>
      </w:r>
      <w:r w:rsidR="00B11659">
        <w:rPr>
          <w:rFonts w:ascii="Arial" w:hAnsi="Arial" w:cs="Arial"/>
          <w:color w:val="000000"/>
        </w:rPr>
        <w:t xml:space="preserve">For </w:t>
      </w:r>
      <w:r w:rsidR="008114F7">
        <w:rPr>
          <w:rFonts w:ascii="Arial" w:hAnsi="Arial" w:cs="Arial"/>
          <w:color w:val="000000"/>
        </w:rPr>
        <w:t>instance</w:t>
      </w:r>
      <w:r w:rsidR="00B11659">
        <w:rPr>
          <w:rFonts w:ascii="Arial" w:hAnsi="Arial" w:cs="Arial"/>
          <w:color w:val="000000"/>
        </w:rPr>
        <w:t xml:space="preserve">, </w:t>
      </w:r>
      <w:r w:rsidR="000911E2">
        <w:rPr>
          <w:rFonts w:ascii="Arial" w:hAnsi="Arial" w:cs="Arial"/>
          <w:color w:val="000000"/>
        </w:rPr>
        <w:t>Priority Reform</w:t>
      </w:r>
      <w:r w:rsidR="0019520B">
        <w:rPr>
          <w:rFonts w:ascii="Arial" w:hAnsi="Arial" w:cs="Arial"/>
          <w:color w:val="000000"/>
        </w:rPr>
        <w:t xml:space="preserve"> 3 indicators include </w:t>
      </w:r>
      <w:r w:rsidR="000E032D">
        <w:rPr>
          <w:rFonts w:ascii="Arial" w:hAnsi="Arial" w:cs="Arial"/>
          <w:color w:val="000000"/>
        </w:rPr>
        <w:t>the number of government mainstream inst</w:t>
      </w:r>
      <w:r w:rsidR="007025A3">
        <w:rPr>
          <w:rFonts w:ascii="Arial" w:hAnsi="Arial" w:cs="Arial"/>
          <w:color w:val="000000"/>
        </w:rPr>
        <w:t>itutions and agencies reporting actions to implement the transformation elements</w:t>
      </w:r>
      <w:r w:rsidR="00B31E68">
        <w:rPr>
          <w:rFonts w:ascii="Arial" w:hAnsi="Arial" w:cs="Arial"/>
          <w:color w:val="000000"/>
        </w:rPr>
        <w:t>, which include identifying and eliminating</w:t>
      </w:r>
      <w:r w:rsidR="000E032D">
        <w:rPr>
          <w:rFonts w:ascii="Arial" w:hAnsi="Arial" w:cs="Arial"/>
          <w:color w:val="000000"/>
        </w:rPr>
        <w:t xml:space="preserve"> </w:t>
      </w:r>
      <w:r w:rsidR="006D2BDB">
        <w:rPr>
          <w:rFonts w:ascii="Arial" w:hAnsi="Arial" w:cs="Arial"/>
          <w:color w:val="000000"/>
        </w:rPr>
        <w:t>racism, embedding meaningful cultural safety, and supporting Aboriginal and Torres Strait Islander cultures.</w:t>
      </w:r>
      <w:r w:rsidR="00A00C07">
        <w:rPr>
          <w:rFonts w:ascii="Arial" w:hAnsi="Arial" w:cs="Arial"/>
          <w:color w:val="000000"/>
        </w:rPr>
        <w:t xml:space="preserve"> </w:t>
      </w:r>
      <w:r w:rsidR="00CF11D4">
        <w:rPr>
          <w:rFonts w:ascii="Arial" w:hAnsi="Arial" w:cs="Arial"/>
          <w:color w:val="000000"/>
        </w:rPr>
        <w:t>This suggests that</w:t>
      </w:r>
      <w:r w:rsidR="00A00C07">
        <w:rPr>
          <w:rFonts w:ascii="Arial" w:hAnsi="Arial" w:cs="Arial"/>
          <w:color w:val="000000"/>
        </w:rPr>
        <w:t xml:space="preserve"> any reported actions </w:t>
      </w:r>
      <w:r w:rsidR="00CF11D4">
        <w:rPr>
          <w:rFonts w:ascii="Arial" w:hAnsi="Arial" w:cs="Arial"/>
          <w:color w:val="000000"/>
        </w:rPr>
        <w:t>would</w:t>
      </w:r>
      <w:r w:rsidR="00A00C07">
        <w:rPr>
          <w:rFonts w:ascii="Arial" w:hAnsi="Arial" w:cs="Arial"/>
          <w:color w:val="000000"/>
        </w:rPr>
        <w:t xml:space="preserve"> be </w:t>
      </w:r>
      <w:r w:rsidR="006F5CE9">
        <w:rPr>
          <w:rFonts w:ascii="Arial" w:hAnsi="Arial" w:cs="Arial"/>
          <w:color w:val="000000"/>
        </w:rPr>
        <w:t>sufficient, even if only tangentially related or</w:t>
      </w:r>
      <w:r w:rsidR="00A00C07">
        <w:rPr>
          <w:rFonts w:ascii="Arial" w:hAnsi="Arial" w:cs="Arial"/>
          <w:color w:val="000000"/>
        </w:rPr>
        <w:t xml:space="preserve"> </w:t>
      </w:r>
      <w:r>
        <w:rPr>
          <w:rFonts w:ascii="Arial" w:hAnsi="Arial" w:cs="Arial"/>
          <w:color w:val="000000"/>
        </w:rPr>
        <w:t>of minor impact</w:t>
      </w:r>
      <w:r w:rsidR="0089082F">
        <w:rPr>
          <w:rFonts w:ascii="Arial" w:hAnsi="Arial" w:cs="Arial"/>
          <w:color w:val="000000"/>
        </w:rPr>
        <w:t>.</w:t>
      </w:r>
      <w:r w:rsidR="00B11659">
        <w:rPr>
          <w:rFonts w:ascii="Arial" w:hAnsi="Arial" w:cs="Arial"/>
          <w:color w:val="000000"/>
        </w:rPr>
        <w:t xml:space="preserve"> In another example, </w:t>
      </w:r>
      <w:r w:rsidR="000911E2">
        <w:rPr>
          <w:rFonts w:ascii="Arial" w:hAnsi="Arial" w:cs="Arial"/>
          <w:color w:val="000000"/>
        </w:rPr>
        <w:t>Priority Reform</w:t>
      </w:r>
      <w:r w:rsidR="00B11659">
        <w:rPr>
          <w:rFonts w:ascii="Arial" w:hAnsi="Arial" w:cs="Arial"/>
          <w:color w:val="000000"/>
        </w:rPr>
        <w:t xml:space="preserve"> 1 identifies </w:t>
      </w:r>
      <w:r w:rsidR="004F466F">
        <w:rPr>
          <w:rFonts w:ascii="Arial" w:hAnsi="Arial" w:cs="Arial"/>
          <w:color w:val="000000"/>
        </w:rPr>
        <w:t xml:space="preserve">the </w:t>
      </w:r>
      <w:r w:rsidR="000E7DF7">
        <w:rPr>
          <w:rFonts w:ascii="Arial" w:hAnsi="Arial" w:cs="Arial"/>
          <w:color w:val="000000"/>
        </w:rPr>
        <w:t>‘</w:t>
      </w:r>
      <w:r w:rsidR="004F466F">
        <w:rPr>
          <w:rFonts w:ascii="Arial" w:hAnsi="Arial" w:cs="Arial"/>
          <w:color w:val="000000"/>
        </w:rPr>
        <w:t xml:space="preserve">number of partnerships by </w:t>
      </w:r>
      <w:r w:rsidR="000E7DF7">
        <w:rPr>
          <w:rFonts w:ascii="Arial" w:hAnsi="Arial" w:cs="Arial"/>
          <w:color w:val="000000"/>
        </w:rPr>
        <w:t>function, such as decision</w:t>
      </w:r>
      <w:r w:rsidR="00827859">
        <w:rPr>
          <w:rFonts w:ascii="Arial" w:hAnsi="Arial" w:cs="Arial"/>
          <w:color w:val="000000"/>
        </w:rPr>
        <w:noBreakHyphen/>
      </w:r>
      <w:r w:rsidR="000E7DF7">
        <w:rPr>
          <w:rFonts w:ascii="Arial" w:hAnsi="Arial" w:cs="Arial"/>
          <w:color w:val="000000"/>
        </w:rPr>
        <w:t xml:space="preserve">making or strategic’ as an indicator. </w:t>
      </w:r>
      <w:r w:rsidR="00E1495B">
        <w:rPr>
          <w:rStyle w:val="ui-provider"/>
        </w:rPr>
        <w:t xml:space="preserve">More partnerships </w:t>
      </w:r>
      <w:r w:rsidR="00C77024">
        <w:rPr>
          <w:rStyle w:val="ui-provider"/>
        </w:rPr>
        <w:t>do</w:t>
      </w:r>
      <w:r w:rsidR="00E1495B">
        <w:rPr>
          <w:rStyle w:val="ui-provider"/>
        </w:rPr>
        <w:t xml:space="preserve"> not necessarily </w:t>
      </w:r>
      <w:r w:rsidR="00C77024">
        <w:rPr>
          <w:rStyle w:val="ui-provider"/>
        </w:rPr>
        <w:t xml:space="preserve">indicate that the </w:t>
      </w:r>
      <w:r w:rsidR="00E1495B">
        <w:rPr>
          <w:rStyle w:val="ui-provider"/>
        </w:rPr>
        <w:t>shared decision</w:t>
      </w:r>
      <w:r w:rsidR="00827859">
        <w:rPr>
          <w:rStyle w:val="ui-provider"/>
        </w:rPr>
        <w:noBreakHyphen/>
      </w:r>
      <w:r w:rsidR="00E1495B">
        <w:rPr>
          <w:rStyle w:val="ui-provider"/>
        </w:rPr>
        <w:t xml:space="preserve">making </w:t>
      </w:r>
      <w:r w:rsidR="00C77024">
        <w:rPr>
          <w:rStyle w:val="ui-provider"/>
        </w:rPr>
        <w:t xml:space="preserve">intended by Priority Reform 1 </w:t>
      </w:r>
      <w:r w:rsidR="00E1495B">
        <w:rPr>
          <w:rStyle w:val="ui-provider"/>
        </w:rPr>
        <w:t>is being achieved</w:t>
      </w:r>
      <w:r w:rsidR="007874AA">
        <w:rPr>
          <w:rStyle w:val="ui-provider"/>
        </w:rPr>
        <w:t xml:space="preserve"> (information paper 2)</w:t>
      </w:r>
      <w:r w:rsidR="008871A5">
        <w:rPr>
          <w:rStyle w:val="ui-provider"/>
        </w:rPr>
        <w:t>.</w:t>
      </w:r>
      <w:r w:rsidR="00E1495B" w:rsidDel="003B690B">
        <w:rPr>
          <w:rFonts w:ascii="Arial" w:hAnsi="Arial" w:cs="Arial"/>
          <w:color w:val="000000"/>
        </w:rPr>
        <w:t xml:space="preserve"> </w:t>
      </w:r>
    </w:p>
    <w:p w14:paraId="609CE4E1" w14:textId="4DCB8266" w:rsidR="00090FB8" w:rsidRDefault="001D2D6B" w:rsidP="00090FB8">
      <w:pPr>
        <w:pStyle w:val="BodyText"/>
      </w:pPr>
      <w:r>
        <w:rPr>
          <w:rFonts w:ascii="Arial" w:hAnsi="Arial" w:cs="Arial"/>
          <w:color w:val="000000"/>
        </w:rPr>
        <w:lastRenderedPageBreak/>
        <w:t>Recognising these issues, t</w:t>
      </w:r>
      <w:r w:rsidR="00B80254">
        <w:rPr>
          <w:rFonts w:ascii="Arial" w:hAnsi="Arial" w:cs="Arial"/>
          <w:color w:val="000000"/>
        </w:rPr>
        <w:t>he</w:t>
      </w:r>
      <w:r w:rsidR="00090FB8">
        <w:rPr>
          <w:rFonts w:ascii="Arial" w:hAnsi="Arial" w:cs="Arial"/>
          <w:color w:val="000000"/>
        </w:rPr>
        <w:t xml:space="preserve"> </w:t>
      </w:r>
      <w:r w:rsidR="005B0356">
        <w:rPr>
          <w:rFonts w:ascii="Arial" w:hAnsi="Arial" w:cs="Arial"/>
          <w:color w:val="000000"/>
        </w:rPr>
        <w:t xml:space="preserve">Partnership Working Group </w:t>
      </w:r>
      <w:r w:rsidR="00667F1D">
        <w:rPr>
          <w:rFonts w:ascii="Arial" w:hAnsi="Arial" w:cs="Arial"/>
          <w:color w:val="000000"/>
        </w:rPr>
        <w:t>engaged</w:t>
      </w:r>
      <w:r w:rsidR="00206D89" w:rsidRPr="2B096693">
        <w:t xml:space="preserve"> a third party to further develop the measurement approach</w:t>
      </w:r>
      <w:r>
        <w:t>, which</w:t>
      </w:r>
      <w:r w:rsidR="0007183D">
        <w:t xml:space="preserve"> will include</w:t>
      </w:r>
      <w:r>
        <w:t xml:space="preserve"> developing measurement concepts</w:t>
      </w:r>
      <w:r w:rsidR="00D061F8">
        <w:t xml:space="preserve"> and specifications </w:t>
      </w:r>
      <w:r w:rsidR="00990DAF">
        <w:t xml:space="preserve">and </w:t>
      </w:r>
      <w:r w:rsidR="004446E6">
        <w:t xml:space="preserve">describing how measures will be collected, </w:t>
      </w:r>
      <w:r w:rsidR="00354130">
        <w:t xml:space="preserve">either </w:t>
      </w:r>
      <w:r w:rsidR="004446E6">
        <w:t>through existing data or new data development</w:t>
      </w:r>
      <w:r w:rsidR="003E1BCB">
        <w:t xml:space="preserve"> </w:t>
      </w:r>
      <w:r w:rsidR="00D8743C" w:rsidRPr="00D8743C">
        <w:rPr>
          <w:rFonts w:ascii="Arial" w:hAnsi="Arial" w:cs="Arial"/>
          <w:szCs w:val="24"/>
        </w:rPr>
        <w:t>(PC 2023b, p. 17)</w:t>
      </w:r>
      <w:r w:rsidR="003E1BCB">
        <w:t>.</w:t>
      </w:r>
      <w:r w:rsidR="00E13194">
        <w:t xml:space="preserve"> </w:t>
      </w:r>
      <w:r w:rsidR="00E13194" w:rsidRPr="004C1036">
        <w:t>According to the latest update provided to the Productivity Commission, th</w:t>
      </w:r>
      <w:r w:rsidR="004374D2">
        <w:t>is</w:t>
      </w:r>
      <w:r w:rsidR="00E13194" w:rsidRPr="004C1036">
        <w:t xml:space="preserve"> work was expected to commence in June 2023.</w:t>
      </w:r>
    </w:p>
    <w:p w14:paraId="4ACA0409" w14:textId="7A5CC410" w:rsidR="00C002CD" w:rsidRDefault="00C002CD" w:rsidP="00C002CD">
      <w:pPr>
        <w:pStyle w:val="Heading5"/>
      </w:pPr>
      <w:r>
        <w:t xml:space="preserve">Some data on the </w:t>
      </w:r>
      <w:r w:rsidR="000911E2">
        <w:t>Priority Reform</w:t>
      </w:r>
      <w:r>
        <w:t>s could be sourced from other commitments, but data outside of this will need to be further developed</w:t>
      </w:r>
    </w:p>
    <w:p w14:paraId="4309A2EA" w14:textId="45B2FD68" w:rsidR="00C002CD" w:rsidRDefault="00C002CD" w:rsidP="00C002CD">
      <w:pPr>
        <w:pStyle w:val="BodyText"/>
      </w:pPr>
      <w:r>
        <w:t xml:space="preserve">The </w:t>
      </w:r>
      <w:r w:rsidR="00354130">
        <w:t>P</w:t>
      </w:r>
      <w:r>
        <w:t xml:space="preserve">riority </w:t>
      </w:r>
      <w:r w:rsidR="00354130">
        <w:t>R</w:t>
      </w:r>
      <w:r>
        <w:t xml:space="preserve">eform </w:t>
      </w:r>
      <w:r w:rsidR="006E5B6B">
        <w:t>monitoring</w:t>
      </w:r>
      <w:r>
        <w:t xml:space="preserve"> framework in </w:t>
      </w:r>
      <w:r w:rsidR="00870F39">
        <w:t>t</w:t>
      </w:r>
      <w:r>
        <w:t>able A of the Agreement includes targets and supporting indicators that predominately capture outputs. Some indicator data could be captured through other commitments in the Agreement, such as the partnership stocktake</w:t>
      </w:r>
      <w:r w:rsidR="00340AF4">
        <w:t>s</w:t>
      </w:r>
      <w:r>
        <w:t xml:space="preserve"> and the expenditure reviews, if they were consistently reported and collated across jurisdictions. </w:t>
      </w:r>
    </w:p>
    <w:p w14:paraId="63BBB616" w14:textId="3D05083E" w:rsidR="00C002CD" w:rsidRDefault="00C002CD" w:rsidP="00C002CD">
      <w:pPr>
        <w:pStyle w:val="BodyText"/>
      </w:pPr>
      <w:r w:rsidRPr="00DE0277">
        <w:t xml:space="preserve">For example, </w:t>
      </w:r>
      <w:r w:rsidR="00367DE1" w:rsidRPr="00DE0277">
        <w:t>P</w:t>
      </w:r>
      <w:r w:rsidRPr="00DE0277">
        <w:t xml:space="preserve">riority </w:t>
      </w:r>
      <w:r w:rsidR="00367DE1" w:rsidRPr="00DE0277">
        <w:t>R</w:t>
      </w:r>
      <w:r w:rsidRPr="00DE0277">
        <w:t xml:space="preserve">eform 1 </w:t>
      </w:r>
      <w:r w:rsidR="00A126BA" w:rsidRPr="00DE0277">
        <w:t>includes indicators for</w:t>
      </w:r>
      <w:r w:rsidRPr="00DE0277">
        <w:t xml:space="preserve"> the number of partnerships meeting the strong partnership elements defined in clauses 32 and 33</w:t>
      </w:r>
      <w:r w:rsidR="00870F39" w:rsidRPr="00DE0277">
        <w:t xml:space="preserve"> of the Agreement</w:t>
      </w:r>
      <w:r w:rsidRPr="00DE0277">
        <w:t>.</w:t>
      </w:r>
      <w:r>
        <w:t xml:space="preserve"> Jurisdictional partnership stocktakes were due in 2022 and were to be reviewed against the partnership elements and strengthened </w:t>
      </w:r>
      <w:r w:rsidR="00DE0277">
        <w:t>by</w:t>
      </w:r>
      <w:r>
        <w:t xml:space="preserve"> 2023 (clause</w:t>
      </w:r>
      <w:r w:rsidR="00361C9C">
        <w:t> </w:t>
      </w:r>
      <w:r>
        <w:t xml:space="preserve">36). Government parties are also required to report on the number of partnerships, their achievements and assessment against the </w:t>
      </w:r>
      <w:r w:rsidR="004D6BC1">
        <w:t xml:space="preserve">strong </w:t>
      </w:r>
      <w:r>
        <w:t>partnership elements in their annual reports (clause</w:t>
      </w:r>
      <w:r w:rsidR="00361C9C">
        <w:t> </w:t>
      </w:r>
      <w:r w:rsidR="004D6BC1">
        <w:t>37</w:t>
      </w:r>
      <w:r>
        <w:t>). Reporting standards ensuring this information is reported consistently to defined specifications would enable data collation an</w:t>
      </w:r>
      <w:r w:rsidR="00D6383C">
        <w:t>d comparisons across jurisdictions</w:t>
      </w:r>
      <w:r>
        <w:t xml:space="preserve">. However, to date, only three jurisdictions have made their partnership reviews public (Queensland, Victoria and Australian </w:t>
      </w:r>
      <w:r w:rsidR="009D70F5">
        <w:t>g</w:t>
      </w:r>
      <w:r>
        <w:t>overnment</w:t>
      </w:r>
      <w:r w:rsidR="009D70F5">
        <w:t>s</w:t>
      </w:r>
      <w:r>
        <w:t>) and have done so using inconsistent definitions, assessment criteria and formats (</w:t>
      </w:r>
      <w:r w:rsidR="00ED3F66">
        <w:t>information paper 2</w:t>
      </w:r>
      <w:r>
        <w:t xml:space="preserve">). </w:t>
      </w:r>
    </w:p>
    <w:p w14:paraId="334543FB" w14:textId="02C9ADC3" w:rsidR="00C002CD" w:rsidRPr="00697212" w:rsidRDefault="00C002CD" w:rsidP="00C002CD">
      <w:pPr>
        <w:pStyle w:val="BodyText"/>
        <w:rPr>
          <w:spacing w:val="-4"/>
        </w:rPr>
      </w:pPr>
      <w:r w:rsidRPr="00697212">
        <w:rPr>
          <w:spacing w:val="-4"/>
        </w:rPr>
        <w:t xml:space="preserve">Monitoring of </w:t>
      </w:r>
      <w:r w:rsidR="000911E2" w:rsidRPr="00697212">
        <w:rPr>
          <w:spacing w:val="-4"/>
        </w:rPr>
        <w:t>Priority Reform</w:t>
      </w:r>
      <w:r w:rsidRPr="00697212">
        <w:rPr>
          <w:spacing w:val="-4"/>
        </w:rPr>
        <w:t xml:space="preserve"> 2 could also draw from data developed to meet other commitments in the Agreement. The target for </w:t>
      </w:r>
      <w:r w:rsidR="000911E2" w:rsidRPr="00697212">
        <w:rPr>
          <w:spacing w:val="-4"/>
        </w:rPr>
        <w:t>Priority Reform</w:t>
      </w:r>
      <w:r w:rsidRPr="00697212">
        <w:rPr>
          <w:spacing w:val="-4"/>
        </w:rPr>
        <w:t xml:space="preserve"> 2 is to increase the amount of government funding for Aboriginal and Torres Strait Islander programs and services going through Aboriginal and Torres Strait Islander community</w:t>
      </w:r>
      <w:r w:rsidR="00827859" w:rsidRPr="00697212">
        <w:rPr>
          <w:spacing w:val="-4"/>
        </w:rPr>
        <w:noBreakHyphen/>
      </w:r>
      <w:r w:rsidRPr="00697212">
        <w:rPr>
          <w:spacing w:val="-4"/>
        </w:rPr>
        <w:t>controlled organisations</w:t>
      </w:r>
      <w:r w:rsidR="00421168" w:rsidRPr="00697212">
        <w:rPr>
          <w:spacing w:val="-4"/>
        </w:rPr>
        <w:t xml:space="preserve"> (attachment A)</w:t>
      </w:r>
      <w:r w:rsidRPr="00697212">
        <w:rPr>
          <w:spacing w:val="-4"/>
        </w:rPr>
        <w:t xml:space="preserve">. Clause 113 commits </w:t>
      </w:r>
      <w:r w:rsidR="00242B83" w:rsidRPr="00697212">
        <w:rPr>
          <w:spacing w:val="-4"/>
        </w:rPr>
        <w:t>g</w:t>
      </w:r>
      <w:r w:rsidRPr="00697212">
        <w:rPr>
          <w:spacing w:val="-4"/>
        </w:rPr>
        <w:t xml:space="preserve">overnment </w:t>
      </w:r>
      <w:r w:rsidR="00242B83" w:rsidRPr="00697212">
        <w:rPr>
          <w:spacing w:val="-4"/>
        </w:rPr>
        <w:t>p</w:t>
      </w:r>
      <w:r w:rsidRPr="00697212">
        <w:rPr>
          <w:spacing w:val="-4"/>
        </w:rPr>
        <w:t xml:space="preserve">arties to reviewing current spending on Aboriginal and Torres Strait Islander programs and services to identify opportunities for </w:t>
      </w:r>
      <w:r w:rsidR="00A50F8A" w:rsidRPr="00697212">
        <w:rPr>
          <w:spacing w:val="-4"/>
        </w:rPr>
        <w:t xml:space="preserve">reprioritisation </w:t>
      </w:r>
      <w:r w:rsidRPr="00697212">
        <w:rPr>
          <w:spacing w:val="-4"/>
        </w:rPr>
        <w:t>to community</w:t>
      </w:r>
      <w:r w:rsidR="00827859" w:rsidRPr="00697212">
        <w:rPr>
          <w:spacing w:val="-4"/>
        </w:rPr>
        <w:noBreakHyphen/>
      </w:r>
      <w:r w:rsidRPr="00697212">
        <w:rPr>
          <w:spacing w:val="-4"/>
        </w:rPr>
        <w:t xml:space="preserve">controlled organisations by July 2022. These reviews could have provided a baseline against which to assess progress. However, only </w:t>
      </w:r>
      <w:r w:rsidR="001F51D0" w:rsidRPr="00697212">
        <w:rPr>
          <w:spacing w:val="-4"/>
        </w:rPr>
        <w:t>four</w:t>
      </w:r>
      <w:r w:rsidRPr="00697212">
        <w:rPr>
          <w:spacing w:val="-4"/>
        </w:rPr>
        <w:t xml:space="preserve"> jurisdictions have completed reviews and only </w:t>
      </w:r>
      <w:r w:rsidR="0098002B" w:rsidRPr="00697212">
        <w:rPr>
          <w:spacing w:val="-4"/>
        </w:rPr>
        <w:t>two</w:t>
      </w:r>
      <w:r w:rsidRPr="00697212">
        <w:rPr>
          <w:spacing w:val="-4"/>
        </w:rPr>
        <w:t xml:space="preserve"> (N</w:t>
      </w:r>
      <w:r w:rsidR="001F51D0" w:rsidRPr="00697212">
        <w:rPr>
          <w:spacing w:val="-4"/>
        </w:rPr>
        <w:t>ew South Wales</w:t>
      </w:r>
      <w:r w:rsidR="0098002B" w:rsidRPr="00697212">
        <w:rPr>
          <w:spacing w:val="-4"/>
        </w:rPr>
        <w:t xml:space="preserve"> and the ACT</w:t>
      </w:r>
      <w:r w:rsidRPr="00697212">
        <w:rPr>
          <w:spacing w:val="-4"/>
        </w:rPr>
        <w:t>) ha</w:t>
      </w:r>
      <w:r w:rsidR="0098002B" w:rsidRPr="00697212">
        <w:rPr>
          <w:spacing w:val="-4"/>
        </w:rPr>
        <w:t>ve</w:t>
      </w:r>
      <w:r w:rsidRPr="00697212">
        <w:rPr>
          <w:spacing w:val="-4"/>
        </w:rPr>
        <w:t xml:space="preserve"> publicly released </w:t>
      </w:r>
      <w:r w:rsidR="00EB0F30" w:rsidRPr="00697212">
        <w:rPr>
          <w:spacing w:val="-4"/>
        </w:rPr>
        <w:t>them</w:t>
      </w:r>
      <w:r w:rsidRPr="00697212">
        <w:rPr>
          <w:spacing w:val="-4"/>
        </w:rPr>
        <w:t xml:space="preserve">. Moreover, these reviews are not comparable </w:t>
      </w:r>
      <w:r w:rsidR="00F43683" w:rsidRPr="00697212">
        <w:rPr>
          <w:spacing w:val="-4"/>
        </w:rPr>
        <w:t>due to differences in scope and methodology</w:t>
      </w:r>
      <w:r w:rsidRPr="00697212">
        <w:rPr>
          <w:spacing w:val="-4"/>
        </w:rPr>
        <w:t xml:space="preserve"> (</w:t>
      </w:r>
      <w:r w:rsidR="00AE0F85" w:rsidRPr="00697212">
        <w:rPr>
          <w:spacing w:val="-4"/>
        </w:rPr>
        <w:t>information paper 3</w:t>
      </w:r>
      <w:r w:rsidR="00F43683" w:rsidRPr="00697212">
        <w:rPr>
          <w:spacing w:val="-4"/>
        </w:rPr>
        <w:t>, box</w:t>
      </w:r>
      <w:r w:rsidR="005634D7" w:rsidRPr="00697212">
        <w:rPr>
          <w:spacing w:val="-4"/>
        </w:rPr>
        <w:t> </w:t>
      </w:r>
      <w:r w:rsidR="00F43683" w:rsidRPr="00697212">
        <w:rPr>
          <w:spacing w:val="-4"/>
        </w:rPr>
        <w:t>8</w:t>
      </w:r>
      <w:r w:rsidRPr="00697212">
        <w:rPr>
          <w:spacing w:val="-4"/>
        </w:rPr>
        <w:t xml:space="preserve">). Some jurisdictions have yet to agree on a methodology. As with </w:t>
      </w:r>
      <w:r w:rsidR="000911E2" w:rsidRPr="00697212">
        <w:rPr>
          <w:spacing w:val="-4"/>
        </w:rPr>
        <w:t>Priority Reform</w:t>
      </w:r>
      <w:r w:rsidRPr="00697212">
        <w:rPr>
          <w:spacing w:val="-4"/>
        </w:rPr>
        <w:t xml:space="preserve"> 1, consistent reporting and assessment of commitments in jurisdictional annual reports would also address data gaps in </w:t>
      </w:r>
      <w:r w:rsidR="000911E2" w:rsidRPr="00697212">
        <w:rPr>
          <w:spacing w:val="-4"/>
        </w:rPr>
        <w:t>Priority Reform</w:t>
      </w:r>
      <w:r w:rsidRPr="00697212">
        <w:rPr>
          <w:spacing w:val="-4"/>
        </w:rPr>
        <w:t xml:space="preserve"> 2, including assessments of sectors targeted for sector strengthening plans against the strong sector elements (clause</w:t>
      </w:r>
      <w:r w:rsidR="00361C9C" w:rsidRPr="00697212">
        <w:rPr>
          <w:spacing w:val="-4"/>
        </w:rPr>
        <w:t> </w:t>
      </w:r>
      <w:r w:rsidRPr="00697212">
        <w:rPr>
          <w:spacing w:val="-4"/>
        </w:rPr>
        <w:t>45) and contracts awarded as a result of funding reprioritisation policies and new funding initiatives (clause</w:t>
      </w:r>
      <w:r w:rsidR="00735473" w:rsidRPr="00697212">
        <w:rPr>
          <w:spacing w:val="-4"/>
        </w:rPr>
        <w:t>s</w:t>
      </w:r>
      <w:r w:rsidR="00361C9C" w:rsidRPr="00697212">
        <w:rPr>
          <w:spacing w:val="-4"/>
        </w:rPr>
        <w:t> </w:t>
      </w:r>
      <w:r w:rsidRPr="00697212">
        <w:rPr>
          <w:spacing w:val="-4"/>
        </w:rPr>
        <w:t>55</w:t>
      </w:r>
      <w:r w:rsidR="00361C9C" w:rsidRPr="00697212">
        <w:rPr>
          <w:spacing w:val="-4"/>
        </w:rPr>
        <w:t xml:space="preserve"> and</w:t>
      </w:r>
      <w:r w:rsidR="00735473" w:rsidRPr="00697212">
        <w:rPr>
          <w:spacing w:val="-4"/>
        </w:rPr>
        <w:t xml:space="preserve"> 118</w:t>
      </w:r>
      <w:r w:rsidRPr="00697212">
        <w:rPr>
          <w:spacing w:val="-4"/>
        </w:rPr>
        <w:t>).</w:t>
      </w:r>
    </w:p>
    <w:p w14:paraId="034DD3CC" w14:textId="0E8B7CF8" w:rsidR="00C002CD" w:rsidRDefault="00C002CD" w:rsidP="00C002CD">
      <w:pPr>
        <w:pStyle w:val="BodyText"/>
      </w:pPr>
      <w:r>
        <w:t xml:space="preserve">Priority </w:t>
      </w:r>
      <w:r w:rsidR="00EF656E">
        <w:t>R</w:t>
      </w:r>
      <w:r>
        <w:t>eform</w:t>
      </w:r>
      <w:r w:rsidR="00E57095">
        <w:t>s</w:t>
      </w:r>
      <w:r>
        <w:t xml:space="preserve"> 3 and 4 require more extensive data development</w:t>
      </w:r>
      <w:r w:rsidR="00C7466E">
        <w:t>.</w:t>
      </w:r>
      <w:r>
        <w:t xml:space="preserve"> </w:t>
      </w:r>
      <w:r w:rsidR="005B0AAD">
        <w:t>Beyond the target framework</w:t>
      </w:r>
      <w:r w:rsidR="00C0103F">
        <w:t xml:space="preserve"> in table A</w:t>
      </w:r>
      <w:r w:rsidR="00F43304">
        <w:t xml:space="preserve"> of the Agreement</w:t>
      </w:r>
      <w:r w:rsidR="005B0AAD">
        <w:t>, j</w:t>
      </w:r>
      <w:r>
        <w:t xml:space="preserve">urisdictions </w:t>
      </w:r>
      <w:r w:rsidR="00EC04E6">
        <w:t xml:space="preserve">have </w:t>
      </w:r>
      <w:r w:rsidR="00326406">
        <w:t>not committed to</w:t>
      </w:r>
      <w:r w:rsidR="00EC04E6">
        <w:t xml:space="preserve"> specific reporting </w:t>
      </w:r>
      <w:r w:rsidR="00326406">
        <w:t>actions</w:t>
      </w:r>
      <w:r w:rsidR="00EC04E6">
        <w:t xml:space="preserve"> other than</w:t>
      </w:r>
      <w:r>
        <w:t xml:space="preserve"> to </w:t>
      </w:r>
      <w:r w:rsidR="00B54872">
        <w:t>provide information</w:t>
      </w:r>
      <w:r>
        <w:t xml:space="preserve"> on </w:t>
      </w:r>
      <w:r w:rsidR="00B54872">
        <w:t>how they are</w:t>
      </w:r>
      <w:r w:rsidR="00EC04E6">
        <w:t xml:space="preserve"> </w:t>
      </w:r>
      <w:r w:rsidR="00F763D5">
        <w:t>addressing</w:t>
      </w:r>
      <w:r w:rsidR="00EC04E6">
        <w:t xml:space="preserve"> these</w:t>
      </w:r>
      <w:r>
        <w:t xml:space="preserve"> in their annual reports</w:t>
      </w:r>
      <w:r w:rsidR="00680EC2">
        <w:t xml:space="preserve"> (clause</w:t>
      </w:r>
      <w:r w:rsidR="003841B5">
        <w:t>s</w:t>
      </w:r>
      <w:r w:rsidR="00680EC2">
        <w:t xml:space="preserve"> 65</w:t>
      </w:r>
      <w:r w:rsidR="00361C9C">
        <w:t xml:space="preserve"> and</w:t>
      </w:r>
      <w:r w:rsidR="003841B5">
        <w:t xml:space="preserve"> 73)</w:t>
      </w:r>
      <w:r>
        <w:t xml:space="preserve">. Work on </w:t>
      </w:r>
      <w:r w:rsidR="000911E2">
        <w:t>Priority Reform</w:t>
      </w:r>
      <w:r>
        <w:t xml:space="preserve"> 3 will need to conceptually define and develop a measurement approach for monitoring the transformation elements listed in clause 59</w:t>
      </w:r>
      <w:r w:rsidR="00E2646C">
        <w:t>, including identify</w:t>
      </w:r>
      <w:r w:rsidR="0099228D">
        <w:t>ing</w:t>
      </w:r>
      <w:r w:rsidR="00E2646C">
        <w:t xml:space="preserve"> and eliminat</w:t>
      </w:r>
      <w:r w:rsidR="0099228D">
        <w:t>ing</w:t>
      </w:r>
      <w:r w:rsidR="00E2646C">
        <w:t xml:space="preserve"> racism and embed</w:t>
      </w:r>
      <w:r w:rsidR="0099228D">
        <w:t>ding</w:t>
      </w:r>
      <w:r w:rsidR="00E2646C">
        <w:t xml:space="preserve"> and practic</w:t>
      </w:r>
      <w:r w:rsidR="0099228D">
        <w:t>ing</w:t>
      </w:r>
      <w:r w:rsidR="00E2646C">
        <w:t xml:space="preserve"> meaningful cultural safety</w:t>
      </w:r>
      <w:r>
        <w:t xml:space="preserve">. The measurement approach for </w:t>
      </w:r>
      <w:r w:rsidR="000911E2">
        <w:t>Priority Reform</w:t>
      </w:r>
      <w:r>
        <w:t xml:space="preserve"> 4 will also require more definitional work, for example, in determining what constitutes a ‘regional data project’ and at what point a regional data profile would be considered ‘comprehensive</w:t>
      </w:r>
      <w:r w:rsidR="00B7395E">
        <w:t>’</w:t>
      </w:r>
      <w:r>
        <w:t>.</w:t>
      </w:r>
    </w:p>
    <w:p w14:paraId="22F734CA" w14:textId="54596523" w:rsidR="00C002CD" w:rsidRDefault="00C002CD" w:rsidP="00C002CD">
      <w:pPr>
        <w:pStyle w:val="Heading4"/>
      </w:pPr>
      <w:r>
        <w:t>The measurement approach does not adequately prioritise culture</w:t>
      </w:r>
    </w:p>
    <w:p w14:paraId="00B10121" w14:textId="716EBC72" w:rsidR="00C002CD" w:rsidRDefault="00C002CD" w:rsidP="00C002CD">
      <w:pPr>
        <w:pStyle w:val="BodyText"/>
      </w:pPr>
      <w:r w:rsidRPr="2B096693">
        <w:t xml:space="preserve">A second significant gap </w:t>
      </w:r>
      <w:r>
        <w:t xml:space="preserve">in the measurement approach </w:t>
      </w:r>
      <w:r w:rsidRPr="2B096693">
        <w:t xml:space="preserve">is in the identification of </w:t>
      </w:r>
      <w:r>
        <w:t>indicators that adequately reflect the centrality of culture to life outcomes</w:t>
      </w:r>
      <w:r w:rsidRPr="2B096693">
        <w:t xml:space="preserve">. The Agreement prioritises culture in performance monitoring </w:t>
      </w:r>
      <w:r w:rsidRPr="2B096693">
        <w:lastRenderedPageBreak/>
        <w:t>through the addition of two new</w:t>
      </w:r>
      <w:r w:rsidR="003E1A29">
        <w:t xml:space="preserve"> socio</w:t>
      </w:r>
      <w:r w:rsidR="00827859">
        <w:noBreakHyphen/>
      </w:r>
      <w:r w:rsidR="003E1A29">
        <w:t>economic</w:t>
      </w:r>
      <w:r w:rsidRPr="2B096693">
        <w:t xml:space="preserve"> outcomes</w:t>
      </w:r>
      <w:r w:rsidR="003E1A29">
        <w:t xml:space="preserve"> </w:t>
      </w:r>
      <w:r w:rsidR="00C9478E">
        <w:rPr>
          <w:rFonts w:cstheme="minorHAnsi"/>
        </w:rPr>
        <w:t>–</w:t>
      </w:r>
      <w:r w:rsidR="005714BE">
        <w:t xml:space="preserve"> </w:t>
      </w:r>
      <w:r w:rsidR="0056141E">
        <w:t>outcome</w:t>
      </w:r>
      <w:r w:rsidR="00C44BFA" w:rsidRPr="2B096693">
        <w:t xml:space="preserve"> </w:t>
      </w:r>
      <w:r w:rsidRPr="2B096693">
        <w:t xml:space="preserve">15 on land and waters and </w:t>
      </w:r>
      <w:r w:rsidR="0056141E">
        <w:t>outcome</w:t>
      </w:r>
      <w:r w:rsidR="00C44BFA" w:rsidRPr="2B096693">
        <w:t xml:space="preserve"> </w:t>
      </w:r>
      <w:r w:rsidRPr="2B096693">
        <w:t xml:space="preserve">16 on </w:t>
      </w:r>
      <w:r w:rsidR="00FC1058">
        <w:t>culture and lang</w:t>
      </w:r>
      <w:r w:rsidR="00C44BFA">
        <w:t>uage</w:t>
      </w:r>
      <w:r w:rsidR="005714BE">
        <w:t>. It also includes a</w:t>
      </w:r>
      <w:r w:rsidRPr="2B096693">
        <w:t xml:space="preserve"> commitment to identifying contextual indicators and information on </w:t>
      </w:r>
      <w:r w:rsidR="009178D9">
        <w:t xml:space="preserve">the </w:t>
      </w:r>
      <w:r w:rsidRPr="2B096693">
        <w:t>cultural determinants of wellbeing to aid reporting (clause 94). However, as the Australian Council of TESOL Associations put it, the current approach is ‘inconsistent, sporadic, tokenistic and inadequate’ because it fails to recognise the centrality of cultur</w:t>
      </w:r>
      <w:r w:rsidR="00FC1610">
        <w:t>al determinants like</w:t>
      </w:r>
      <w:r w:rsidR="00AD6C09">
        <w:t xml:space="preserve"> language </w:t>
      </w:r>
      <w:r w:rsidRPr="2B096693">
        <w:t xml:space="preserve">across the </w:t>
      </w:r>
      <w:r w:rsidR="00B219FF">
        <w:t>P</w:t>
      </w:r>
      <w:r w:rsidRPr="2B096693">
        <w:t xml:space="preserve">riority </w:t>
      </w:r>
      <w:r w:rsidR="00B219FF">
        <w:t>R</w:t>
      </w:r>
      <w:r w:rsidRPr="2B096693">
        <w:t xml:space="preserve">eforms and </w:t>
      </w:r>
      <w:r w:rsidR="00003FEC">
        <w:t>socio</w:t>
      </w:r>
      <w:r w:rsidR="00827859">
        <w:noBreakHyphen/>
      </w:r>
      <w:r w:rsidR="00003FEC">
        <w:t xml:space="preserve">economic </w:t>
      </w:r>
      <w:r w:rsidRPr="2B096693">
        <w:t>outcomes (sub</w:t>
      </w:r>
      <w:r w:rsidR="005634D7">
        <w:t> </w:t>
      </w:r>
      <w:r w:rsidRPr="2B096693">
        <w:t>11</w:t>
      </w:r>
      <w:r w:rsidR="00121FB1">
        <w:t>, p.</w:t>
      </w:r>
      <w:r w:rsidR="005634D7">
        <w:t> </w:t>
      </w:r>
      <w:r w:rsidR="00121FB1">
        <w:t>11</w:t>
      </w:r>
      <w:r w:rsidRPr="2B096693">
        <w:t>)</w:t>
      </w:r>
      <w:r w:rsidR="00107264">
        <w:t>. This</w:t>
      </w:r>
      <w:r w:rsidRPr="2B096693">
        <w:t xml:space="preserve"> criticism </w:t>
      </w:r>
      <w:r w:rsidR="009C607C">
        <w:t>was</w:t>
      </w:r>
      <w:r w:rsidRPr="2B096693">
        <w:t xml:space="preserve"> echoed across</w:t>
      </w:r>
      <w:r w:rsidR="00D05037">
        <w:t xml:space="preserve"> several </w:t>
      </w:r>
      <w:r w:rsidRPr="2B096693">
        <w:t>submissions (</w:t>
      </w:r>
      <w:r w:rsidR="00107264">
        <w:t>David, sub.</w:t>
      </w:r>
      <w:r w:rsidR="005634D7">
        <w:t> </w:t>
      </w:r>
      <w:r w:rsidR="00107264" w:rsidRPr="2B096693">
        <w:t>27</w:t>
      </w:r>
      <w:r w:rsidR="00542464">
        <w:t>, p.</w:t>
      </w:r>
      <w:r w:rsidR="005634D7">
        <w:t> </w:t>
      </w:r>
      <w:r w:rsidR="00542464">
        <w:t>2</w:t>
      </w:r>
      <w:r w:rsidR="00E51CEC">
        <w:t>;</w:t>
      </w:r>
      <w:r w:rsidR="004601CA">
        <w:t xml:space="preserve"> </w:t>
      </w:r>
      <w:r w:rsidR="004601CA" w:rsidRPr="004601CA">
        <w:t>Kimberley Aboriginal Law and Cultural Centre</w:t>
      </w:r>
      <w:r w:rsidR="00171B25">
        <w:t>, sub.</w:t>
      </w:r>
      <w:r w:rsidR="005634D7">
        <w:t> </w:t>
      </w:r>
      <w:r w:rsidRPr="2B096693">
        <w:t>23</w:t>
      </w:r>
      <w:r w:rsidR="00760EA3">
        <w:t>, p.</w:t>
      </w:r>
      <w:r w:rsidR="005634D7">
        <w:t> </w:t>
      </w:r>
      <w:r w:rsidR="00760EA3">
        <w:t>6</w:t>
      </w:r>
      <w:r w:rsidR="0041624B">
        <w:t>;</w:t>
      </w:r>
      <w:r w:rsidR="00107264" w:rsidRPr="00107264">
        <w:t xml:space="preserve"> </w:t>
      </w:r>
      <w:r w:rsidR="00107264">
        <w:t>Torres Shire Council, sub.</w:t>
      </w:r>
      <w:r w:rsidR="005634D7">
        <w:t> </w:t>
      </w:r>
      <w:r w:rsidR="00107264" w:rsidRPr="2B096693">
        <w:t>6</w:t>
      </w:r>
      <w:r w:rsidR="004F0EDE">
        <w:t>, p.</w:t>
      </w:r>
      <w:r w:rsidR="005634D7">
        <w:t> </w:t>
      </w:r>
      <w:r w:rsidR="004F0EDE">
        <w:t>1</w:t>
      </w:r>
      <w:r w:rsidRPr="2B096693">
        <w:t xml:space="preserve">). </w:t>
      </w:r>
      <w:r w:rsidR="000039CD">
        <w:t xml:space="preserve">The </w:t>
      </w:r>
      <w:r w:rsidR="009A4FC2">
        <w:t>Federation of Victorian Traditional Owner Co</w:t>
      </w:r>
      <w:r w:rsidR="00D33222">
        <w:t>rporations further comment</w:t>
      </w:r>
      <w:r w:rsidR="00107264">
        <w:t>ed</w:t>
      </w:r>
      <w:r w:rsidR="00D33222">
        <w:t>:</w:t>
      </w:r>
    </w:p>
    <w:p w14:paraId="080CDD1C" w14:textId="7E361B70" w:rsidR="00D33222" w:rsidRDefault="00D33222" w:rsidP="00810CCF">
      <w:pPr>
        <w:pStyle w:val="Quote"/>
      </w:pPr>
      <w:r w:rsidRPr="00D33222">
        <w:t>Though the Agreement recognises the centrality of culture to Indigenous health and well</w:t>
      </w:r>
      <w:r w:rsidR="00827859">
        <w:noBreakHyphen/>
      </w:r>
      <w:r w:rsidRPr="00D33222">
        <w:t>being (in clause 5), there is little reference to the cultural aspects of health and well</w:t>
      </w:r>
      <w:r w:rsidR="00827859">
        <w:noBreakHyphen/>
      </w:r>
      <w:r w:rsidRPr="00D33222">
        <w:t>being in the Agreement’s targets and indicators</w:t>
      </w:r>
      <w:r w:rsidR="00235015">
        <w:t xml:space="preserve"> </w:t>
      </w:r>
      <w:r w:rsidR="00235015" w:rsidRPr="00D02BDA">
        <w:t>(</w:t>
      </w:r>
      <w:r w:rsidR="00E43355" w:rsidRPr="007F7EFE">
        <w:t>with the exception of socio</w:t>
      </w:r>
      <w:r w:rsidR="00827859">
        <w:noBreakHyphen/>
      </w:r>
      <w:r w:rsidR="00E43355" w:rsidRPr="007F7EFE">
        <w:t>economic outcomes 15 and 16)</w:t>
      </w:r>
      <w:r w:rsidR="000175F3">
        <w:t>.</w:t>
      </w:r>
      <w:r w:rsidR="00E43355">
        <w:t xml:space="preserve"> </w:t>
      </w:r>
      <w:r w:rsidR="00235015">
        <w:t>(sub.</w:t>
      </w:r>
      <w:r w:rsidR="005634D7">
        <w:t> </w:t>
      </w:r>
      <w:r w:rsidR="00235015">
        <w:t>24, p.</w:t>
      </w:r>
      <w:r w:rsidR="005634D7">
        <w:t> </w:t>
      </w:r>
      <w:r w:rsidR="00810CCF">
        <w:t>2)</w:t>
      </w:r>
    </w:p>
    <w:p w14:paraId="70A05C08" w14:textId="592B5FDE" w:rsidR="00715100" w:rsidRDefault="00C002CD" w:rsidP="00B51704">
      <w:pPr>
        <w:pStyle w:val="BodyText"/>
      </w:pPr>
      <w:r>
        <w:t>While the domain of cultural policy is often associated with the arts and creative sector, the definition of culture is much broader than that</w:t>
      </w:r>
      <w:r w:rsidR="00EC2C9C">
        <w:t xml:space="preserve">. </w:t>
      </w:r>
      <w:r w:rsidR="00086C07">
        <w:t>Culture</w:t>
      </w:r>
      <w:r>
        <w:t xml:space="preserve"> encompass</w:t>
      </w:r>
      <w:r w:rsidR="00086C07">
        <w:t>es</w:t>
      </w:r>
      <w:r>
        <w:t xml:space="preserve"> a community’s knowledge, beliefs, values</w:t>
      </w:r>
      <w:r w:rsidR="005E5182">
        <w:t>,</w:t>
      </w:r>
      <w:r>
        <w:t xml:space="preserve"> norms, and stories in addition to their expression in practices such as traditions, customs, languages and the arts. Prioritising culture therefore means </w:t>
      </w:r>
      <w:r w:rsidR="00771D98">
        <w:t xml:space="preserve">centring </w:t>
      </w:r>
      <w:r>
        <w:t xml:space="preserve">Aboriginal and Torres Strait Islander </w:t>
      </w:r>
      <w:r w:rsidR="00D378A2">
        <w:t xml:space="preserve">people, </w:t>
      </w:r>
      <w:r>
        <w:t xml:space="preserve">knowledges and </w:t>
      </w:r>
      <w:r w:rsidR="00D378A2">
        <w:t>perspectives</w:t>
      </w:r>
      <w:r>
        <w:t xml:space="preserve"> in the design and implementation of policy </w:t>
      </w:r>
      <w:r w:rsidR="00715100" w:rsidRPr="00B51704">
        <w:rPr>
          <w:rFonts w:cstheme="minorHAnsi"/>
        </w:rPr>
        <w:t>(Parter et al. 2019, 2021)</w:t>
      </w:r>
      <w:r w:rsidR="00D915FB">
        <w:rPr>
          <w:rFonts w:cstheme="minorHAnsi"/>
        </w:rPr>
        <w:t>.</w:t>
      </w:r>
    </w:p>
    <w:p w14:paraId="58CC749B" w14:textId="7CD79052" w:rsidR="00B10052" w:rsidRDefault="00A95734" w:rsidP="00C002CD">
      <w:pPr>
        <w:pStyle w:val="BodyText"/>
      </w:pPr>
      <w:r>
        <w:t xml:space="preserve">As the Kimberley </w:t>
      </w:r>
      <w:r w:rsidR="00F8764E">
        <w:t xml:space="preserve">Aboriginal Law and Cultural </w:t>
      </w:r>
      <w:r w:rsidR="00B10052">
        <w:t xml:space="preserve">Centre </w:t>
      </w:r>
      <w:r w:rsidR="00C63F63">
        <w:t>explain</w:t>
      </w:r>
      <w:r w:rsidR="004C19A6">
        <w:t>ed</w:t>
      </w:r>
      <w:r w:rsidR="00B10052">
        <w:t>:</w:t>
      </w:r>
    </w:p>
    <w:p w14:paraId="7A0515A2" w14:textId="3FF31DD6" w:rsidR="00B10052" w:rsidRDefault="00862A96" w:rsidP="00810CCF">
      <w:pPr>
        <w:pStyle w:val="Quote"/>
      </w:pPr>
      <w:r>
        <w:t xml:space="preserve">Aboriginal and Torres Strait Islander </w:t>
      </w:r>
      <w:r w:rsidR="00D86AAC">
        <w:t xml:space="preserve">people are the holders of cultural knowledge and practice. </w:t>
      </w:r>
      <w:r w:rsidR="00371580">
        <w:t>They must therefore define how the cultural determinants of health are embedded in policy in programs. This means ensuring Aboriginal and Torres Strait Islander lead</w:t>
      </w:r>
      <w:r w:rsidR="007D1530">
        <w:t xml:space="preserve">ership to shift current policymaking and program implementation practices. This will require </w:t>
      </w:r>
      <w:r w:rsidR="00ED23AF">
        <w:t xml:space="preserve">shared commitment and collaboration across all levels of government to </w:t>
      </w:r>
      <w:r w:rsidR="00CA4B3A">
        <w:t>truth</w:t>
      </w:r>
      <w:r w:rsidR="00827859">
        <w:noBreakHyphen/>
      </w:r>
      <w:r w:rsidR="00CA4B3A">
        <w:t>telling</w:t>
      </w:r>
      <w:r w:rsidR="00ED23AF">
        <w:t>, including a recognition of racism</w:t>
      </w:r>
      <w:r w:rsidR="00C63F63">
        <w:t xml:space="preserve"> as a barrier to implementing cultural determinant approaches</w:t>
      </w:r>
      <w:r w:rsidR="000175F3">
        <w:t>.</w:t>
      </w:r>
      <w:r w:rsidR="00C63F63">
        <w:t xml:space="preserve"> </w:t>
      </w:r>
      <w:r w:rsidR="00AD6433" w:rsidRPr="00AD6433">
        <w:rPr>
          <w:rFonts w:ascii="Arial" w:hAnsi="Arial" w:cs="Arial"/>
          <w:szCs w:val="24"/>
        </w:rPr>
        <w:t>(2022, p. 18)</w:t>
      </w:r>
    </w:p>
    <w:p w14:paraId="2184F701" w14:textId="72D5DFF6" w:rsidR="00C002CD" w:rsidRDefault="00C002CD" w:rsidP="00C002CD">
      <w:pPr>
        <w:pStyle w:val="BodyText"/>
      </w:pPr>
      <w:r>
        <w:t xml:space="preserve">In this way, </w:t>
      </w:r>
      <w:r w:rsidR="005E5A38">
        <w:t>prioritising culture</w:t>
      </w:r>
      <w:r>
        <w:t xml:space="preserve"> has implications across the </w:t>
      </w:r>
      <w:r w:rsidR="008740C6">
        <w:t>P</w:t>
      </w:r>
      <w:r>
        <w:t xml:space="preserve">riority </w:t>
      </w:r>
      <w:r w:rsidR="008740C6">
        <w:t>R</w:t>
      </w:r>
      <w:r>
        <w:t>eforms and socio</w:t>
      </w:r>
      <w:r w:rsidR="00827859">
        <w:noBreakHyphen/>
      </w:r>
      <w:r>
        <w:t>economic outcomes. This seems to be recognised in the Agreement (clause 94), though it is not fully reflected in the measurement approach.</w:t>
      </w:r>
    </w:p>
    <w:p w14:paraId="050494B2" w14:textId="2B91550E" w:rsidR="00C002CD" w:rsidRDefault="005A03C1" w:rsidP="00B7395E">
      <w:pPr>
        <w:pStyle w:val="BodyText"/>
        <w:keepNext/>
      </w:pPr>
      <w:r>
        <w:t>Review participants</w:t>
      </w:r>
      <w:r w:rsidR="00A03CBE">
        <w:t xml:space="preserve"> suggested c</w:t>
      </w:r>
      <w:r w:rsidR="00C002CD">
        <w:t>ulture could be better prioritised in the measurement approach in three ways</w:t>
      </w:r>
      <w:r w:rsidR="00094594">
        <w:t>. These were</w:t>
      </w:r>
      <w:r w:rsidR="00C002CD">
        <w:t>:</w:t>
      </w:r>
    </w:p>
    <w:p w14:paraId="1BC9198A" w14:textId="15011800" w:rsidR="00C002CD" w:rsidRPr="00697212" w:rsidRDefault="004C19A6" w:rsidP="00697212">
      <w:pPr>
        <w:pStyle w:val="ListNumber"/>
      </w:pPr>
      <w:r w:rsidRPr="00697212">
        <w:t>i</w:t>
      </w:r>
      <w:r w:rsidR="00C002CD" w:rsidRPr="00697212">
        <w:t xml:space="preserve">ntegrating </w:t>
      </w:r>
      <w:r w:rsidR="004A1C95" w:rsidRPr="00697212">
        <w:t>P</w:t>
      </w:r>
      <w:r w:rsidR="00C002CD" w:rsidRPr="00697212">
        <w:t xml:space="preserve">riority </w:t>
      </w:r>
      <w:r w:rsidR="004A1C95" w:rsidRPr="00697212">
        <w:t>R</w:t>
      </w:r>
      <w:r w:rsidR="00C002CD" w:rsidRPr="00697212">
        <w:t>eform indicators of self</w:t>
      </w:r>
      <w:r w:rsidR="00827859" w:rsidRPr="00697212">
        <w:noBreakHyphen/>
      </w:r>
      <w:r w:rsidR="00C002CD" w:rsidRPr="00697212">
        <w:t>determination and cultural responsiveness across socio</w:t>
      </w:r>
      <w:r w:rsidR="00827859" w:rsidRPr="00697212">
        <w:noBreakHyphen/>
      </w:r>
      <w:r w:rsidR="00C002CD" w:rsidRPr="00697212">
        <w:t>economic outcomes</w:t>
      </w:r>
    </w:p>
    <w:p w14:paraId="0CE58D0E" w14:textId="7C9F31D2" w:rsidR="00C002CD" w:rsidRPr="00697212" w:rsidRDefault="004C19A6" w:rsidP="00697212">
      <w:pPr>
        <w:pStyle w:val="ListNumber"/>
      </w:pPr>
      <w:r w:rsidRPr="00697212">
        <w:t>i</w:t>
      </w:r>
      <w:r w:rsidR="00E2038B" w:rsidRPr="00697212">
        <w:t>ncluding indicators of</w:t>
      </w:r>
      <w:r w:rsidR="00C002CD" w:rsidRPr="00697212">
        <w:t xml:space="preserve"> cultural determinants across outcomes</w:t>
      </w:r>
    </w:p>
    <w:p w14:paraId="5D60F99C" w14:textId="07B3A40C" w:rsidR="00C002CD" w:rsidRPr="00697212" w:rsidRDefault="004C19A6" w:rsidP="00697212">
      <w:pPr>
        <w:pStyle w:val="ListNumber"/>
      </w:pPr>
      <w:r w:rsidRPr="00697212">
        <w:t>r</w:t>
      </w:r>
      <w:r w:rsidR="00C002CD" w:rsidRPr="00697212">
        <w:t>e</w:t>
      </w:r>
      <w:r w:rsidR="00827859" w:rsidRPr="00697212">
        <w:noBreakHyphen/>
      </w:r>
      <w:r w:rsidR="00C002CD" w:rsidRPr="00697212">
        <w:t>evaluating some targets and indicators in terms of their cultural appropriateness</w:t>
      </w:r>
      <w:r w:rsidR="00636EA4" w:rsidRPr="00697212">
        <w:t xml:space="preserve"> and scope</w:t>
      </w:r>
      <w:r w:rsidR="000A66BB" w:rsidRPr="00697212">
        <w:t>.</w:t>
      </w:r>
    </w:p>
    <w:p w14:paraId="09AE416B" w14:textId="3E391208" w:rsidR="00C002CD" w:rsidRPr="00697212" w:rsidRDefault="00C002CD" w:rsidP="00172FBA">
      <w:pPr>
        <w:pStyle w:val="BodyText"/>
        <w:spacing w:before="240"/>
        <w:rPr>
          <w:spacing w:val="-2"/>
        </w:rPr>
      </w:pPr>
      <w:r w:rsidRPr="00697212">
        <w:rPr>
          <w:spacing w:val="-2"/>
        </w:rPr>
        <w:t xml:space="preserve">First, </w:t>
      </w:r>
      <w:r w:rsidR="00324143" w:rsidRPr="00697212">
        <w:rPr>
          <w:spacing w:val="-2"/>
        </w:rPr>
        <w:t xml:space="preserve">the Agreement seeks to </w:t>
      </w:r>
      <w:r w:rsidR="00613CCD" w:rsidRPr="00697212">
        <w:rPr>
          <w:spacing w:val="-2"/>
        </w:rPr>
        <w:t>centr</w:t>
      </w:r>
      <w:r w:rsidR="00324143" w:rsidRPr="00697212">
        <w:rPr>
          <w:spacing w:val="-2"/>
        </w:rPr>
        <w:t>e</w:t>
      </w:r>
      <w:r w:rsidR="00613CCD" w:rsidRPr="00697212">
        <w:rPr>
          <w:spacing w:val="-2"/>
        </w:rPr>
        <w:t xml:space="preserve"> </w:t>
      </w:r>
      <w:r w:rsidRPr="00697212">
        <w:rPr>
          <w:spacing w:val="-2"/>
        </w:rPr>
        <w:t xml:space="preserve">Aboriginal and Torres Strait Islander </w:t>
      </w:r>
      <w:r w:rsidR="00E8070D" w:rsidRPr="00697212">
        <w:rPr>
          <w:spacing w:val="-2"/>
        </w:rPr>
        <w:t xml:space="preserve">people’s </w:t>
      </w:r>
      <w:r w:rsidRPr="00697212">
        <w:rPr>
          <w:spacing w:val="-2"/>
        </w:rPr>
        <w:t xml:space="preserve">knowledges and </w:t>
      </w:r>
      <w:r w:rsidR="00F9482F" w:rsidRPr="00697212">
        <w:rPr>
          <w:spacing w:val="-2"/>
        </w:rPr>
        <w:t xml:space="preserve">perspectives </w:t>
      </w:r>
      <w:r w:rsidR="00F134CA" w:rsidRPr="00697212">
        <w:rPr>
          <w:spacing w:val="-2"/>
        </w:rPr>
        <w:t>in the design and implementation of policy</w:t>
      </w:r>
      <w:r w:rsidRPr="00697212">
        <w:rPr>
          <w:spacing w:val="-2"/>
        </w:rPr>
        <w:t xml:space="preserve"> </w:t>
      </w:r>
      <w:r w:rsidR="00C24F7A" w:rsidRPr="00697212">
        <w:rPr>
          <w:spacing w:val="-2"/>
        </w:rPr>
        <w:t>through the Priority Reforms</w:t>
      </w:r>
      <w:r w:rsidR="00160964" w:rsidRPr="00697212">
        <w:rPr>
          <w:spacing w:val="-2"/>
        </w:rPr>
        <w:t>.</w:t>
      </w:r>
      <w:r w:rsidR="00067F7D" w:rsidRPr="00697212">
        <w:rPr>
          <w:spacing w:val="-2"/>
        </w:rPr>
        <w:t xml:space="preserve"> </w:t>
      </w:r>
      <w:r w:rsidR="00F35D27" w:rsidRPr="00697212">
        <w:rPr>
          <w:spacing w:val="-2"/>
        </w:rPr>
        <w:t>The Priority Reforms</w:t>
      </w:r>
      <w:r w:rsidRPr="00697212">
        <w:rPr>
          <w:spacing w:val="-2"/>
        </w:rPr>
        <w:t xml:space="preserve"> both </w:t>
      </w:r>
      <w:r w:rsidR="00F35D27" w:rsidRPr="00697212">
        <w:rPr>
          <w:spacing w:val="-2"/>
        </w:rPr>
        <w:t>seek to increase</w:t>
      </w:r>
      <w:r w:rsidRPr="00697212">
        <w:rPr>
          <w:spacing w:val="-2"/>
        </w:rPr>
        <w:t xml:space="preserve"> </w:t>
      </w:r>
      <w:r w:rsidR="005C2907" w:rsidRPr="00697212">
        <w:rPr>
          <w:spacing w:val="-2"/>
        </w:rPr>
        <w:t xml:space="preserve">the </w:t>
      </w:r>
      <w:r w:rsidRPr="00697212">
        <w:rPr>
          <w:spacing w:val="-2"/>
        </w:rPr>
        <w:t xml:space="preserve">cultural </w:t>
      </w:r>
      <w:r w:rsidR="005C2907" w:rsidRPr="00697212">
        <w:rPr>
          <w:spacing w:val="-2"/>
        </w:rPr>
        <w:t>responsiveness of</w:t>
      </w:r>
      <w:r w:rsidRPr="00697212">
        <w:rPr>
          <w:spacing w:val="-2"/>
        </w:rPr>
        <w:t xml:space="preserve"> mainstream government institutions and </w:t>
      </w:r>
      <w:r w:rsidR="00A552C9" w:rsidRPr="00697212">
        <w:rPr>
          <w:spacing w:val="-2"/>
        </w:rPr>
        <w:t>strengthe</w:t>
      </w:r>
      <w:r w:rsidR="006B5847" w:rsidRPr="00697212">
        <w:rPr>
          <w:spacing w:val="-2"/>
        </w:rPr>
        <w:t>n</w:t>
      </w:r>
      <w:r w:rsidR="00A552C9" w:rsidRPr="00697212">
        <w:rPr>
          <w:spacing w:val="-2"/>
        </w:rPr>
        <w:t xml:space="preserve"> </w:t>
      </w:r>
      <w:r w:rsidRPr="00697212">
        <w:rPr>
          <w:spacing w:val="-2"/>
        </w:rPr>
        <w:t>the capability of Aboriginal and Torres Strait Islander people to exercise self</w:t>
      </w:r>
      <w:r w:rsidR="00827859" w:rsidRPr="00697212">
        <w:rPr>
          <w:spacing w:val="-2"/>
        </w:rPr>
        <w:noBreakHyphen/>
      </w:r>
      <w:r w:rsidRPr="00697212">
        <w:rPr>
          <w:spacing w:val="-2"/>
        </w:rPr>
        <w:t xml:space="preserve">determination. Therefore, prioritising culture in the measurement approach means prioritising indicators related to the </w:t>
      </w:r>
      <w:r w:rsidR="00826C78" w:rsidRPr="00697212">
        <w:rPr>
          <w:spacing w:val="-2"/>
        </w:rPr>
        <w:t>P</w:t>
      </w:r>
      <w:r w:rsidRPr="00697212">
        <w:rPr>
          <w:spacing w:val="-2"/>
        </w:rPr>
        <w:t xml:space="preserve">riority </w:t>
      </w:r>
      <w:r w:rsidR="00826C78" w:rsidRPr="00697212">
        <w:rPr>
          <w:spacing w:val="-2"/>
        </w:rPr>
        <w:t>R</w:t>
      </w:r>
      <w:r w:rsidRPr="00697212">
        <w:rPr>
          <w:spacing w:val="-2"/>
        </w:rPr>
        <w:t xml:space="preserve">eforms </w:t>
      </w:r>
      <w:r w:rsidR="00292B88" w:rsidRPr="00697212">
        <w:rPr>
          <w:spacing w:val="-2"/>
        </w:rPr>
        <w:t>and applying them across</w:t>
      </w:r>
      <w:r w:rsidRPr="00697212">
        <w:rPr>
          <w:spacing w:val="-2"/>
        </w:rPr>
        <w:t xml:space="preserve"> socio</w:t>
      </w:r>
      <w:r w:rsidR="00827859" w:rsidRPr="00697212">
        <w:rPr>
          <w:spacing w:val="-2"/>
        </w:rPr>
        <w:noBreakHyphen/>
      </w:r>
      <w:r w:rsidRPr="00697212">
        <w:rPr>
          <w:spacing w:val="-2"/>
        </w:rPr>
        <w:t>economic outcomes</w:t>
      </w:r>
      <w:r w:rsidR="00BF7D27" w:rsidRPr="00697212">
        <w:rPr>
          <w:spacing w:val="-2"/>
        </w:rPr>
        <w:t>, where relevant</w:t>
      </w:r>
      <w:r w:rsidRPr="00697212">
        <w:rPr>
          <w:spacing w:val="-2"/>
        </w:rPr>
        <w:t xml:space="preserve">. This might look like incorporating indicators of community control in service delivery, access to culturally appropriate services, barriers to services and </w:t>
      </w:r>
      <w:r w:rsidR="00461DEC" w:rsidRPr="00697212">
        <w:rPr>
          <w:spacing w:val="-2"/>
        </w:rPr>
        <w:t>cultural safety</w:t>
      </w:r>
      <w:r w:rsidR="00CC6A60" w:rsidRPr="00697212">
        <w:rPr>
          <w:spacing w:val="-2"/>
        </w:rPr>
        <w:t xml:space="preserve"> in interactions with governments and the</w:t>
      </w:r>
      <w:r w:rsidR="00264E70" w:rsidRPr="00697212">
        <w:rPr>
          <w:spacing w:val="-2"/>
        </w:rPr>
        <w:t xml:space="preserve"> services they fund</w:t>
      </w:r>
      <w:r w:rsidR="00A42D14" w:rsidRPr="00697212">
        <w:rPr>
          <w:spacing w:val="-2"/>
        </w:rPr>
        <w:t>.</w:t>
      </w:r>
      <w:r w:rsidRPr="00697212">
        <w:rPr>
          <w:spacing w:val="-2"/>
        </w:rPr>
        <w:t xml:space="preserve"> </w:t>
      </w:r>
      <w:r w:rsidR="004D7DDB" w:rsidRPr="00697212">
        <w:rPr>
          <w:spacing w:val="-2"/>
        </w:rPr>
        <w:t xml:space="preserve">For example, </w:t>
      </w:r>
      <w:r w:rsidR="00CC1C5E" w:rsidRPr="00697212">
        <w:rPr>
          <w:spacing w:val="-2"/>
        </w:rPr>
        <w:t>socio</w:t>
      </w:r>
      <w:r w:rsidR="00313016" w:rsidRPr="00697212">
        <w:rPr>
          <w:spacing w:val="-2"/>
        </w:rPr>
        <w:noBreakHyphen/>
      </w:r>
      <w:r w:rsidR="00CC1C5E" w:rsidRPr="00697212">
        <w:rPr>
          <w:spacing w:val="-2"/>
        </w:rPr>
        <w:t>economic outcome</w:t>
      </w:r>
      <w:r w:rsidR="00FE5F5B" w:rsidRPr="00697212">
        <w:rPr>
          <w:spacing w:val="-2"/>
        </w:rPr>
        <w:t xml:space="preserve"> 3 on </w:t>
      </w:r>
      <w:r w:rsidR="0027501C" w:rsidRPr="00697212">
        <w:rPr>
          <w:spacing w:val="-2"/>
        </w:rPr>
        <w:t xml:space="preserve">early childhood education </w:t>
      </w:r>
      <w:r w:rsidR="0076573C" w:rsidRPr="00697212">
        <w:rPr>
          <w:spacing w:val="-2"/>
        </w:rPr>
        <w:t xml:space="preserve">includes indicators for the number of Aboriginal and Torres Strait Islander </w:t>
      </w:r>
      <w:r w:rsidR="00F44242" w:rsidRPr="00697212">
        <w:rPr>
          <w:spacing w:val="-2"/>
        </w:rPr>
        <w:t>early childhood education and care service providers (</w:t>
      </w:r>
      <w:r w:rsidR="00C20298" w:rsidRPr="00697212">
        <w:rPr>
          <w:spacing w:val="-2"/>
        </w:rPr>
        <w:t xml:space="preserve">relating to </w:t>
      </w:r>
      <w:r w:rsidR="00570496" w:rsidRPr="00697212">
        <w:rPr>
          <w:spacing w:val="-2"/>
        </w:rPr>
        <w:t>P</w:t>
      </w:r>
      <w:r w:rsidR="00F44242" w:rsidRPr="00697212">
        <w:rPr>
          <w:spacing w:val="-2"/>
        </w:rPr>
        <w:t xml:space="preserve">riority </w:t>
      </w:r>
      <w:r w:rsidR="00570496" w:rsidRPr="00697212">
        <w:rPr>
          <w:spacing w:val="-2"/>
        </w:rPr>
        <w:t>R</w:t>
      </w:r>
      <w:r w:rsidR="00F44242" w:rsidRPr="00697212">
        <w:rPr>
          <w:spacing w:val="-2"/>
        </w:rPr>
        <w:t>eform 2)</w:t>
      </w:r>
      <w:r w:rsidR="001A3E42" w:rsidRPr="00697212">
        <w:rPr>
          <w:spacing w:val="-2"/>
        </w:rPr>
        <w:t xml:space="preserve"> and</w:t>
      </w:r>
      <w:r w:rsidR="00F44242" w:rsidRPr="00697212">
        <w:rPr>
          <w:spacing w:val="-2"/>
        </w:rPr>
        <w:t xml:space="preserve"> </w:t>
      </w:r>
      <w:r w:rsidR="00DC556C" w:rsidRPr="00697212">
        <w:rPr>
          <w:spacing w:val="-2"/>
        </w:rPr>
        <w:t xml:space="preserve">access to culturally </w:t>
      </w:r>
      <w:r w:rsidR="00DC556C" w:rsidRPr="00697212">
        <w:rPr>
          <w:spacing w:val="-2"/>
        </w:rPr>
        <w:lastRenderedPageBreak/>
        <w:t xml:space="preserve">appropriate </w:t>
      </w:r>
      <w:r w:rsidR="00BA4970" w:rsidRPr="00697212">
        <w:rPr>
          <w:spacing w:val="-2"/>
        </w:rPr>
        <w:t>early childhood education programs (</w:t>
      </w:r>
      <w:r w:rsidR="008C726A" w:rsidRPr="00697212">
        <w:rPr>
          <w:spacing w:val="-2"/>
        </w:rPr>
        <w:t xml:space="preserve">an intermediate outcome of </w:t>
      </w:r>
      <w:r w:rsidR="00570496" w:rsidRPr="00697212">
        <w:rPr>
          <w:spacing w:val="-2"/>
        </w:rPr>
        <w:t>P</w:t>
      </w:r>
      <w:r w:rsidR="008C726A" w:rsidRPr="00697212">
        <w:rPr>
          <w:spacing w:val="-2"/>
        </w:rPr>
        <w:t xml:space="preserve">riority </w:t>
      </w:r>
      <w:r w:rsidR="00570496" w:rsidRPr="00697212">
        <w:rPr>
          <w:spacing w:val="-2"/>
        </w:rPr>
        <w:t>R</w:t>
      </w:r>
      <w:r w:rsidR="008C726A" w:rsidRPr="00697212">
        <w:rPr>
          <w:spacing w:val="-2"/>
        </w:rPr>
        <w:t>eform implementation</w:t>
      </w:r>
      <w:r w:rsidR="00945D02" w:rsidRPr="00697212">
        <w:rPr>
          <w:spacing w:val="-2"/>
        </w:rPr>
        <w:t>)</w:t>
      </w:r>
      <w:r w:rsidR="001A3E42" w:rsidRPr="00697212">
        <w:rPr>
          <w:spacing w:val="-2"/>
        </w:rPr>
        <w:t>.</w:t>
      </w:r>
      <w:r w:rsidR="00945D02" w:rsidRPr="00697212">
        <w:rPr>
          <w:spacing w:val="-2"/>
        </w:rPr>
        <w:t xml:space="preserve"> </w:t>
      </w:r>
      <w:r w:rsidR="00034AB3" w:rsidRPr="00697212">
        <w:rPr>
          <w:spacing w:val="-2"/>
        </w:rPr>
        <w:t>Socio</w:t>
      </w:r>
      <w:r w:rsidR="00827859" w:rsidRPr="00697212">
        <w:rPr>
          <w:spacing w:val="-2"/>
        </w:rPr>
        <w:noBreakHyphen/>
      </w:r>
      <w:r w:rsidR="00034AB3" w:rsidRPr="00697212">
        <w:rPr>
          <w:spacing w:val="-2"/>
        </w:rPr>
        <w:t>economic o</w:t>
      </w:r>
      <w:r w:rsidR="00983954" w:rsidRPr="00697212">
        <w:rPr>
          <w:spacing w:val="-2"/>
        </w:rPr>
        <w:t>utcome 5 on</w:t>
      </w:r>
      <w:r w:rsidR="003F787E" w:rsidRPr="00697212">
        <w:rPr>
          <w:spacing w:val="-2"/>
        </w:rPr>
        <w:t xml:space="preserve"> student learning potential identifies student experiences of racism as a data development item (</w:t>
      </w:r>
      <w:r w:rsidR="000D2017" w:rsidRPr="00697212">
        <w:rPr>
          <w:spacing w:val="-2"/>
        </w:rPr>
        <w:t>P</w:t>
      </w:r>
      <w:r w:rsidR="00DE39BC" w:rsidRPr="00697212">
        <w:rPr>
          <w:spacing w:val="-2"/>
        </w:rPr>
        <w:t xml:space="preserve">riority </w:t>
      </w:r>
      <w:r w:rsidR="000D2017" w:rsidRPr="00697212">
        <w:rPr>
          <w:spacing w:val="-2"/>
        </w:rPr>
        <w:t>R</w:t>
      </w:r>
      <w:r w:rsidR="00DE39BC" w:rsidRPr="00697212">
        <w:rPr>
          <w:spacing w:val="-2"/>
        </w:rPr>
        <w:t xml:space="preserve">eform 3). </w:t>
      </w:r>
      <w:r w:rsidR="00587DF9" w:rsidRPr="00697212">
        <w:rPr>
          <w:spacing w:val="-2"/>
        </w:rPr>
        <w:t>A focus on Priority Reform indicators</w:t>
      </w:r>
      <w:r w:rsidRPr="00697212">
        <w:rPr>
          <w:spacing w:val="-2"/>
        </w:rPr>
        <w:t xml:space="preserve"> would reflect a general approach </w:t>
      </w:r>
      <w:r w:rsidR="00D10B80" w:rsidRPr="00697212">
        <w:rPr>
          <w:spacing w:val="-2"/>
        </w:rPr>
        <w:t>allowing</w:t>
      </w:r>
      <w:r w:rsidRPr="00697212">
        <w:rPr>
          <w:spacing w:val="-2"/>
        </w:rPr>
        <w:t xml:space="preserve"> </w:t>
      </w:r>
      <w:r w:rsidR="005B0EAD" w:rsidRPr="00697212">
        <w:rPr>
          <w:spacing w:val="-2"/>
        </w:rPr>
        <w:t xml:space="preserve">the definition of </w:t>
      </w:r>
      <w:r w:rsidR="0072022F" w:rsidRPr="00697212">
        <w:rPr>
          <w:spacing w:val="-2"/>
        </w:rPr>
        <w:t>‘culturally appropriate’ to</w:t>
      </w:r>
      <w:r w:rsidR="005B0EAD" w:rsidRPr="00697212">
        <w:rPr>
          <w:spacing w:val="-2"/>
        </w:rPr>
        <w:t xml:space="preserve"> vary based on the context</w:t>
      </w:r>
      <w:r w:rsidR="007F1EE4" w:rsidRPr="00697212">
        <w:rPr>
          <w:spacing w:val="-2"/>
        </w:rPr>
        <w:t>.</w:t>
      </w:r>
    </w:p>
    <w:p w14:paraId="7D104F27" w14:textId="50D67801" w:rsidR="00C002CD" w:rsidRDefault="00C002CD" w:rsidP="00C002CD">
      <w:pPr>
        <w:pStyle w:val="BodyText"/>
      </w:pPr>
      <w:r>
        <w:t xml:space="preserve">A second means of prioritising culture would be to </w:t>
      </w:r>
      <w:r w:rsidR="00A25C99">
        <w:t xml:space="preserve">incorporate indicators of </w:t>
      </w:r>
      <w:r>
        <w:t xml:space="preserve">cultural determinants </w:t>
      </w:r>
      <w:r w:rsidR="00A856E5">
        <w:t>across</w:t>
      </w:r>
      <w:r>
        <w:t xml:space="preserve"> socio</w:t>
      </w:r>
      <w:r w:rsidR="00827859">
        <w:noBreakHyphen/>
      </w:r>
      <w:r>
        <w:t xml:space="preserve">economic outcomes. </w:t>
      </w:r>
      <w:r w:rsidR="00257E79">
        <w:t>This would consider how</w:t>
      </w:r>
      <w:r>
        <w:t xml:space="preserve"> policies and services supporting connection to community, culture, language and Country </w:t>
      </w:r>
      <w:r w:rsidR="00615AD7">
        <w:t xml:space="preserve">could </w:t>
      </w:r>
      <w:r>
        <w:t xml:space="preserve">be </w:t>
      </w:r>
      <w:r w:rsidR="0060161B">
        <w:t xml:space="preserve">implemented </w:t>
      </w:r>
      <w:r>
        <w:t xml:space="preserve">and monitored through the Agreement in areas </w:t>
      </w:r>
      <w:r w:rsidR="004E3598">
        <w:t xml:space="preserve">such as </w:t>
      </w:r>
      <w:r w:rsidR="00A856E5">
        <w:t xml:space="preserve">health, social and emotional wellbeing, </w:t>
      </w:r>
      <w:r>
        <w:t xml:space="preserve">education, economic </w:t>
      </w:r>
      <w:r w:rsidR="00CB55C5">
        <w:t xml:space="preserve">participation and </w:t>
      </w:r>
      <w:r>
        <w:t xml:space="preserve">development, </w:t>
      </w:r>
      <w:r w:rsidR="00642E17">
        <w:t>family violence, child protection and incarceration and detention</w:t>
      </w:r>
      <w:r>
        <w:t xml:space="preserve"> (</w:t>
      </w:r>
      <w:r w:rsidR="004E3598">
        <w:t>Federation of Victorian Traditional Owners Corporations, sub.</w:t>
      </w:r>
      <w:r w:rsidR="005634D7">
        <w:t> </w:t>
      </w:r>
      <w:r w:rsidR="004E3598">
        <w:t>24</w:t>
      </w:r>
      <w:r w:rsidR="00E2666E">
        <w:t>, pp.</w:t>
      </w:r>
      <w:r w:rsidR="005634D7">
        <w:t> </w:t>
      </w:r>
      <w:r w:rsidR="00E2666E">
        <w:t>2, 5</w:t>
      </w:r>
      <w:r w:rsidR="0041624B">
        <w:t>;</w:t>
      </w:r>
      <w:r>
        <w:t xml:space="preserve"> </w:t>
      </w:r>
      <w:r w:rsidR="00BC5FB6">
        <w:t>Kimberl</w:t>
      </w:r>
      <w:r w:rsidR="00C01AB4">
        <w:t>ey Aboriginal Law and Cultural Centre, sub.</w:t>
      </w:r>
      <w:r w:rsidR="005634D7">
        <w:t> </w:t>
      </w:r>
      <w:r w:rsidR="00C01AB4">
        <w:t>23</w:t>
      </w:r>
      <w:r w:rsidR="00E2666E">
        <w:t xml:space="preserve">, </w:t>
      </w:r>
      <w:r w:rsidR="00E80454">
        <w:t>pp.</w:t>
      </w:r>
      <w:r w:rsidR="005634D7">
        <w:t> </w:t>
      </w:r>
      <w:r w:rsidR="00E80454">
        <w:t>6</w:t>
      </w:r>
      <w:r w:rsidR="00827859">
        <w:noBreakHyphen/>
      </w:r>
      <w:r w:rsidR="00E80454">
        <w:t>7</w:t>
      </w:r>
      <w:r w:rsidR="00353D4E">
        <w:t xml:space="preserve">; </w:t>
      </w:r>
      <w:r w:rsidR="004E3598">
        <w:t>Translational Research in Indigenous Language Ecologies Collective, sub.</w:t>
      </w:r>
      <w:r w:rsidR="005634D7">
        <w:t> </w:t>
      </w:r>
      <w:r w:rsidR="004E3598">
        <w:t>20</w:t>
      </w:r>
      <w:r w:rsidR="00E80454">
        <w:t>, pp.</w:t>
      </w:r>
      <w:r w:rsidR="005634D7">
        <w:t> </w:t>
      </w:r>
      <w:r w:rsidR="00E80454">
        <w:t>10</w:t>
      </w:r>
      <w:r w:rsidR="00827859">
        <w:noBreakHyphen/>
      </w:r>
      <w:r w:rsidR="00E80454">
        <w:t>14</w:t>
      </w:r>
      <w:r>
        <w:t>)</w:t>
      </w:r>
      <w:r w:rsidR="00AC16EC">
        <w:t>.</w:t>
      </w:r>
      <w:r>
        <w:t xml:space="preserve"> This would have the benefit of highlighting </w:t>
      </w:r>
      <w:r w:rsidR="00AC16EC">
        <w:t xml:space="preserve">common drivers and </w:t>
      </w:r>
      <w:r>
        <w:t>interrelationships between socio</w:t>
      </w:r>
      <w:r w:rsidR="00827859">
        <w:noBreakHyphen/>
      </w:r>
      <w:r>
        <w:t>economic outcomes. This might be implemented through the collection of quantitative indicators or evaluated as a set of principles underpinning new policy and program initiatives. Box</w:t>
      </w:r>
      <w:r w:rsidR="005634D7">
        <w:t> </w:t>
      </w:r>
      <w:r w:rsidR="00982E81">
        <w:t>7</w:t>
      </w:r>
      <w:r>
        <w:t xml:space="preserve"> uses the example of languages to consider how cultural determinants</w:t>
      </w:r>
      <w:r w:rsidRPr="2B096693">
        <w:t xml:space="preserve"> might </w:t>
      </w:r>
      <w:r>
        <w:t xml:space="preserve">be incorporated throughout the </w:t>
      </w:r>
      <w:r w:rsidR="00740813">
        <w:t>performance</w:t>
      </w:r>
      <w:r>
        <w:t xml:space="preserve"> framework.</w:t>
      </w:r>
    </w:p>
    <w:p w14:paraId="204685BC" w14:textId="77777777" w:rsidR="0096540A" w:rsidRPr="00125F9C" w:rsidRDefault="0096540A" w:rsidP="0096540A">
      <w:pPr>
        <w:pStyle w:val="BodyText"/>
        <w:rPr>
          <w:spacing w:val="-2"/>
        </w:rPr>
      </w:pPr>
      <w:r w:rsidRPr="00125F9C">
        <w:rPr>
          <w:spacing w:val="-2"/>
        </w:rPr>
        <w:t>Third, review participants said that prioritising culture requires re</w:t>
      </w:r>
      <w:r w:rsidRPr="00125F9C">
        <w:rPr>
          <w:spacing w:val="-2"/>
        </w:rPr>
        <w:noBreakHyphen/>
        <w:t xml:space="preserve">evaluating some of the targets and supporting indicators or expanding the scope of the indicators reflected in some outcomes. This was raised in regard to the ability of the Australian Early Development Census or the National Assessment Program </w:t>
      </w:r>
      <w:r w:rsidRPr="00125F9C">
        <w:rPr>
          <w:rFonts w:cstheme="minorHAnsi"/>
          <w:spacing w:val="-2"/>
        </w:rPr>
        <w:t>–</w:t>
      </w:r>
      <w:r w:rsidRPr="00125F9C">
        <w:rPr>
          <w:spacing w:val="-2"/>
        </w:rPr>
        <w:t xml:space="preserve"> Literacy and Numeracy to appropriately capture the outcomes of early childhood thriving and student learning potential, respectively. Review participants argued that these assessments conflate English language literacy with development, are susceptible to misinterpretation of children’s behaviour based on cultural norms, and fail to recognise competencies that Aboriginal and Torres Strait Islander people consider important to children’s learning and development (Australian Education Union, sub. 3, pp. 4</w:t>
      </w:r>
      <w:r w:rsidRPr="00125F9C">
        <w:rPr>
          <w:spacing w:val="-2"/>
        </w:rPr>
        <w:noBreakHyphen/>
        <w:t>5; Australian Council of TESOL Associations, sub. 11, pp. 15</w:t>
      </w:r>
      <w:r w:rsidRPr="00125F9C">
        <w:rPr>
          <w:spacing w:val="-2"/>
        </w:rPr>
        <w:noBreakHyphen/>
        <w:t>16; Translational Research in Indigenous Language Ecologies Collective, sub. 20, pp. 4</w:t>
      </w:r>
      <w:r w:rsidRPr="00125F9C">
        <w:rPr>
          <w:spacing w:val="-2"/>
        </w:rPr>
        <w:noBreakHyphen/>
        <w:t xml:space="preserve">5). Issues with the National Assessment Program </w:t>
      </w:r>
      <w:r w:rsidRPr="00125F9C">
        <w:rPr>
          <w:rFonts w:cstheme="minorHAnsi"/>
          <w:spacing w:val="-2"/>
        </w:rPr>
        <w:t>–</w:t>
      </w:r>
      <w:r w:rsidRPr="00125F9C">
        <w:rPr>
          <w:spacing w:val="-2"/>
        </w:rPr>
        <w:t xml:space="preserve"> Literacy and Numeracy were also raised in the Coalition of Peaks’ engagements informing the framework </w:t>
      </w:r>
      <w:r w:rsidRPr="00125F9C">
        <w:rPr>
          <w:rFonts w:cs="Arial"/>
          <w:spacing w:val="-2"/>
          <w:szCs w:val="24"/>
        </w:rPr>
        <w:t>(Coalition of Peaks 2020, pp. 78–80)</w:t>
      </w:r>
      <w:r w:rsidRPr="00125F9C">
        <w:rPr>
          <w:spacing w:val="-2"/>
        </w:rPr>
        <w:t>.</w:t>
      </w:r>
    </w:p>
    <w:p w14:paraId="4C85374A" w14:textId="77777777" w:rsidR="0096540A" w:rsidRDefault="0096540A" w:rsidP="0096540A">
      <w:pPr>
        <w:pStyle w:val="BodyText"/>
      </w:pPr>
      <w:r>
        <w:t>Review participants also said a broader understanding of culture needed to be recognised. Outcome 16 on cultures and languages only includes indicators on languages, which ignores other aspects of flourishing cultures such as cultural expression and the arts, spiritual and religious beliefs and practices and traditional knowledge and healing (Federation of Victorian Traditional Owner Corporations, sub. 24, p. 5; Kimberley Aboriginal Law and Cultural Centre, sub. 23, pp. 6</w:t>
      </w:r>
      <w:r>
        <w:noBreakHyphen/>
        <w:t xml:space="preserve">7) </w:t>
      </w:r>
      <w:r w:rsidRPr="004944EC">
        <w:rPr>
          <w:rFonts w:ascii="Arial" w:hAnsi="Arial" w:cs="Arial"/>
          <w:szCs w:val="24"/>
        </w:rPr>
        <w:t>(Lowitja Institute 2020, p. 13)</w:t>
      </w:r>
      <w:r>
        <w:t>. For example, the Federation of Victorian Traditional Owner Corporations commented:</w:t>
      </w:r>
    </w:p>
    <w:p w14:paraId="2DA7025A" w14:textId="77777777" w:rsidR="0096540A" w:rsidRDefault="0096540A" w:rsidP="0096540A">
      <w:pPr>
        <w:pStyle w:val="Quote"/>
      </w:pPr>
      <w:r w:rsidRPr="00C80ACE">
        <w:t>The indicators for outcome 16 are focused solely on language rejuvenation and retention. They do not refer to knowledge of and participation in arts</w:t>
      </w:r>
      <w:r>
        <w:noBreakHyphen/>
      </w:r>
      <w:r w:rsidRPr="00C80ACE">
        <w:t>based cultural expression (art and crafts, dance, music, song), ceremonial traditions, knowledge of ancestral stories, relationships with living ancestor/Elders, spirituality or the exercise of traditional knowledge and cultural practices e.g. recognition and use of traditional knowledge in land and water management</w:t>
      </w:r>
      <w:r>
        <w:t>. (sub. 24, p. 5)</w:t>
      </w:r>
    </w:p>
    <w:p w14:paraId="7B1202D2" w14:textId="77777777" w:rsidR="0096540A" w:rsidRPr="001C5946" w:rsidRDefault="0096540A" w:rsidP="0096540A">
      <w:pPr>
        <w:pStyle w:val="BodyText"/>
      </w:pPr>
      <w:r>
        <w:t>These indicators could be incorporated into socio</w:t>
      </w:r>
      <w:r>
        <w:noBreakHyphen/>
        <w:t>economic outcome 16, other relevant outcomes including those on land and waters (outcome 15) or social and emotional wellbeing (outcome 14) or elevated to their own outcomes and targets.</w:t>
      </w:r>
    </w:p>
    <w:p w14:paraId="2517ED78" w14:textId="7423BDF3" w:rsidR="0004528B" w:rsidRPr="00F82BD9" w:rsidRDefault="0004528B" w:rsidP="00C16F50">
      <w:pPr>
        <w:pStyle w:val="NoSpacing"/>
      </w:pPr>
    </w:p>
    <w:tbl>
      <w:tblPr>
        <w:tblStyle w:val="Boxtable"/>
        <w:tblW w:w="5000" w:type="pct"/>
        <w:tblLook w:val="04A0" w:firstRow="1" w:lastRow="0" w:firstColumn="1" w:lastColumn="0" w:noHBand="0" w:noVBand="1"/>
      </w:tblPr>
      <w:tblGrid>
        <w:gridCol w:w="906"/>
        <w:gridCol w:w="8732"/>
      </w:tblGrid>
      <w:tr w:rsidR="0004528B" w14:paraId="2064270A" w14:textId="77777777" w:rsidTr="00D5024F">
        <w:trPr>
          <w:tblHeader/>
        </w:trPr>
        <w:tc>
          <w:tcPr>
            <w:tcW w:w="851" w:type="dxa"/>
            <w:shd w:val="clear" w:color="auto" w:fill="FBF3EC"/>
            <w:tcMar>
              <w:top w:w="170" w:type="dxa"/>
              <w:left w:w="170" w:type="dxa"/>
              <w:bottom w:w="113" w:type="dxa"/>
              <w:right w:w="170" w:type="dxa"/>
            </w:tcMar>
            <w:hideMark/>
          </w:tcPr>
          <w:p w14:paraId="3D9B89D4" w14:textId="6A3C8A80" w:rsidR="0004528B" w:rsidRDefault="00D5024F" w:rsidP="00D5024F">
            <w:pPr>
              <w:pStyle w:val="BoxHeading1"/>
              <w:spacing w:before="0"/>
            </w:pPr>
            <w:r w:rsidRPr="00A031AA">
              <w:rPr>
                <w:b/>
                <w:bCs/>
                <w:noProof/>
              </w:rPr>
              <w:lastRenderedPageBreak/>
              <w:drawing>
                <wp:inline distT="0" distB="0" distL="0" distR="0" wp14:anchorId="2F9A3CC6" wp14:editId="4B1A3D76">
                  <wp:extent cx="360000" cy="424800"/>
                  <wp:effectExtent l="0" t="0" r="0" b="0"/>
                  <wp:docPr id="31505078" name="Picture 31505078" descr="A brown boomerang with red and yellow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16939" name="Picture 1293616939" descr="A brown boomerang with red and yellow do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424800"/>
                          </a:xfrm>
                          <a:prstGeom prst="rect">
                            <a:avLst/>
                          </a:prstGeom>
                        </pic:spPr>
                      </pic:pic>
                    </a:graphicData>
                  </a:graphic>
                </wp:inline>
              </w:drawing>
            </w:r>
          </w:p>
        </w:tc>
        <w:tc>
          <w:tcPr>
            <w:tcW w:w="8787" w:type="dxa"/>
            <w:shd w:val="clear" w:color="auto" w:fill="FBF3EC"/>
          </w:tcPr>
          <w:p w14:paraId="21FDCB12" w14:textId="069863AF" w:rsidR="0004528B" w:rsidRDefault="0004528B" w:rsidP="00C25DA6">
            <w:pPr>
              <w:pStyle w:val="BoxHeading1"/>
              <w:tabs>
                <w:tab w:val="left" w:pos="4147"/>
              </w:tabs>
            </w:pPr>
            <w:r>
              <w:t xml:space="preserve">Box </w:t>
            </w:r>
            <w:r w:rsidR="003038FF">
              <w:rPr>
                <w:noProof/>
              </w:rPr>
              <w:t>7</w:t>
            </w:r>
            <w:r>
              <w:t xml:space="preserve"> – </w:t>
            </w:r>
            <w:r w:rsidR="00C25DA6">
              <w:rPr>
                <w:rStyle w:val="ui-provider"/>
              </w:rPr>
              <w:t>Prioritising culture through language indicators across outcomes</w:t>
            </w:r>
          </w:p>
        </w:tc>
      </w:tr>
      <w:tr w:rsidR="0004528B" w14:paraId="3871A87B" w14:textId="77777777" w:rsidTr="00D5024F">
        <w:tc>
          <w:tcPr>
            <w:tcW w:w="9638" w:type="dxa"/>
            <w:gridSpan w:val="2"/>
            <w:shd w:val="clear" w:color="auto" w:fill="FBF3EC"/>
            <w:tcMar>
              <w:top w:w="28" w:type="dxa"/>
              <w:left w:w="170" w:type="dxa"/>
              <w:bottom w:w="170" w:type="dxa"/>
              <w:right w:w="170" w:type="dxa"/>
            </w:tcMar>
            <w:hideMark/>
          </w:tcPr>
          <w:p w14:paraId="6F8E50CA" w14:textId="77777777" w:rsidR="00D5024F" w:rsidRDefault="00D5024F" w:rsidP="00D5024F">
            <w:pPr>
              <w:pStyle w:val="BodyText"/>
            </w:pPr>
            <w:r>
              <w:t>One way of prioritising culture in the performance framework is by including supporting indicators of the cultural determinants of life outcomes across relevant outcome areas. For example, submissions to the review suggested the performance framework could be improved to reflect the importance of languages across outcomes in the following ways.</w:t>
            </w:r>
          </w:p>
          <w:p w14:paraId="41BE3BA9" w14:textId="77777777" w:rsidR="00D5024F" w:rsidRPr="00697212" w:rsidRDefault="00D5024F" w:rsidP="00D5024F">
            <w:pPr>
              <w:pStyle w:val="BodyText"/>
              <w:keepNext/>
              <w:rPr>
                <w:spacing w:val="-4"/>
              </w:rPr>
            </w:pPr>
            <w:r w:rsidRPr="00697212">
              <w:rPr>
                <w:spacing w:val="-4"/>
              </w:rPr>
              <w:t>Aboriginal and Torres Strait Islander people have diverse language backgrounds. The framework could monitor the lack of linguistically appropriate services and resulting service barriers through indicators such as:</w:t>
            </w:r>
          </w:p>
          <w:p w14:paraId="3A0399FD" w14:textId="77777777" w:rsidR="00D5024F" w:rsidRDefault="00D5024F" w:rsidP="00D5024F">
            <w:pPr>
              <w:pStyle w:val="ListBullet"/>
            </w:pPr>
            <w:r>
              <w:t>access to both culturally and linguistically appropriate services and information, including the availability of interpreters and translation of material</w:t>
            </w:r>
          </w:p>
          <w:p w14:paraId="37373F59" w14:textId="77777777" w:rsidR="00D5024F" w:rsidRDefault="00D5024F" w:rsidP="00D5024F">
            <w:pPr>
              <w:pStyle w:val="ListBullet"/>
            </w:pPr>
            <w:r>
              <w:t>language barriers to service access</w:t>
            </w:r>
          </w:p>
          <w:p w14:paraId="5D861B43" w14:textId="77777777" w:rsidR="00D5024F" w:rsidRDefault="00D5024F" w:rsidP="00D5024F">
            <w:pPr>
              <w:pStyle w:val="ListBullet"/>
            </w:pPr>
            <w:r>
              <w:t>language representation and use across localities</w:t>
            </w:r>
          </w:p>
          <w:p w14:paraId="7CD0C2B0" w14:textId="77777777" w:rsidR="00D5024F" w:rsidRDefault="00D5024F" w:rsidP="00D5024F">
            <w:pPr>
              <w:pStyle w:val="ListBullet"/>
            </w:pPr>
            <w:r>
              <w:t>disaggregation of some outcomes by main language spoken and English proficiency (such as early childhood thriving, student learning potential, employment participation, interaction with the criminal justice system).</w:t>
            </w:r>
          </w:p>
          <w:p w14:paraId="6FC9C29C" w14:textId="77777777" w:rsidR="00D5024F" w:rsidRDefault="00D5024F" w:rsidP="00D5024F">
            <w:pPr>
              <w:pStyle w:val="BodyText"/>
            </w:pPr>
            <w:r>
              <w:t>Achieving the Priority Reforms requires investing in a workforce that can provide culturally and linguistically appropriate services. The framework could monitor this through indicators such as:</w:t>
            </w:r>
          </w:p>
          <w:p w14:paraId="2A3BD16F" w14:textId="77777777" w:rsidR="00D5024F" w:rsidRDefault="00D5024F" w:rsidP="00D5024F">
            <w:pPr>
              <w:pStyle w:val="ListBullet"/>
            </w:pPr>
            <w:r>
              <w:t>the number of courses, qualifications and training and employment pathways offered for Aboriginal and Torres Strait Islander languages</w:t>
            </w:r>
          </w:p>
          <w:p w14:paraId="53DE656A" w14:textId="77777777" w:rsidR="00D5024F" w:rsidRDefault="00D5024F" w:rsidP="00D5024F">
            <w:pPr>
              <w:pStyle w:val="ListBullet"/>
            </w:pPr>
            <w:r>
              <w:t>access to quality bilingual education, broken down by whether the service is primarily geared towards people who speak Aboriginal and Torres Strait Islander languages as a first language or as an additional language</w:t>
            </w:r>
          </w:p>
          <w:p w14:paraId="15E58866" w14:textId="77777777" w:rsidR="00D5024F" w:rsidRDefault="00D5024F" w:rsidP="00D5024F">
            <w:pPr>
              <w:pStyle w:val="ListBullet"/>
            </w:pPr>
            <w:r>
              <w:t>training and employment of staff speaking local languages</w:t>
            </w:r>
          </w:p>
          <w:p w14:paraId="21AE7252" w14:textId="77777777" w:rsidR="00D5024F" w:rsidRDefault="00D5024F" w:rsidP="00D5024F">
            <w:pPr>
              <w:pStyle w:val="ListBullet"/>
            </w:pPr>
            <w:r>
              <w:t>training for mainstream institutions in linguistically and culturally appropriate responses</w:t>
            </w:r>
          </w:p>
          <w:p w14:paraId="3C646F48" w14:textId="77777777" w:rsidR="00D5024F" w:rsidRDefault="00D5024F" w:rsidP="00D5024F">
            <w:pPr>
              <w:pStyle w:val="ListBullet"/>
            </w:pPr>
            <w:r>
              <w:t>access to on</w:t>
            </w:r>
            <w:r>
              <w:noBreakHyphen/>
              <w:t>Country post</w:t>
            </w:r>
            <w:r>
              <w:noBreakHyphen/>
              <w:t>primary schooling.</w:t>
            </w:r>
          </w:p>
          <w:p w14:paraId="740DFF89" w14:textId="77777777" w:rsidR="00D5024F" w:rsidRDefault="00D5024F" w:rsidP="00D5024F">
            <w:pPr>
              <w:pStyle w:val="BodyText"/>
            </w:pPr>
            <w:r>
              <w:t>Reviving a sleeping language and increasing the strength of an established language follow different pathways. The framework could acknowledge this by monitoring:</w:t>
            </w:r>
          </w:p>
          <w:p w14:paraId="58111790" w14:textId="77777777" w:rsidR="00D5024F" w:rsidRDefault="00D5024F" w:rsidP="00D5024F">
            <w:pPr>
              <w:pStyle w:val="ListBullet"/>
            </w:pPr>
            <w:r>
              <w:t>the number of languages increasing in strength rather than the number of languages meeting a strength threshold</w:t>
            </w:r>
          </w:p>
          <w:p w14:paraId="22C1E5A0" w14:textId="77777777" w:rsidR="00D5024F" w:rsidRDefault="00D5024F" w:rsidP="00D5024F">
            <w:pPr>
              <w:pStyle w:val="ListBullet"/>
            </w:pPr>
            <w:r>
              <w:t xml:space="preserve">the number of languages officially recognised by the ABS and </w:t>
            </w:r>
            <w:r w:rsidRPr="005622E2">
              <w:t>Australian Institute of Aboriginal and Torres Strait Islander Studies</w:t>
            </w:r>
          </w:p>
          <w:p w14:paraId="0392FDB3" w14:textId="77777777" w:rsidR="00D5024F" w:rsidRDefault="00D5024F" w:rsidP="00D5024F">
            <w:pPr>
              <w:pStyle w:val="ListBullet"/>
            </w:pPr>
            <w:r>
              <w:t>the number of people identifying culturally with a language and self</w:t>
            </w:r>
            <w:r>
              <w:noBreakHyphen/>
              <w:t>assessed proficiency</w:t>
            </w:r>
          </w:p>
          <w:p w14:paraId="391B75F3" w14:textId="77777777" w:rsidR="00D5024F" w:rsidRPr="00125F9C" w:rsidRDefault="00D5024F" w:rsidP="00D5024F">
            <w:pPr>
              <w:pStyle w:val="BodyText"/>
              <w:rPr>
                <w:spacing w:val="-4"/>
              </w:rPr>
            </w:pPr>
            <w:r w:rsidRPr="00125F9C">
              <w:rPr>
                <w:spacing w:val="-4"/>
              </w:rPr>
              <w:t xml:space="preserve">Finally, the framework could ensure measures do not conflate language literacy with development, either by replacing those that do (such as the Australian Early Development Census and the National Assessment Program </w:t>
            </w:r>
            <w:r w:rsidRPr="00125F9C">
              <w:rPr>
                <w:rFonts w:cstheme="minorHAnsi"/>
                <w:spacing w:val="-4"/>
              </w:rPr>
              <w:t>–</w:t>
            </w:r>
            <w:r w:rsidRPr="00125F9C">
              <w:rPr>
                <w:spacing w:val="-4"/>
              </w:rPr>
              <w:t xml:space="preserve"> Literacy and Numeracy) or disaggregating them by student language background.</w:t>
            </w:r>
          </w:p>
          <w:p w14:paraId="7A3AAFA8" w14:textId="6D88AE69" w:rsidR="0004528B" w:rsidRPr="00125F9C" w:rsidRDefault="00D5024F" w:rsidP="00125F9C">
            <w:pPr>
              <w:pStyle w:val="Source"/>
            </w:pPr>
            <w:r w:rsidRPr="00125F9C">
              <w:t>Sources: Australian Council of TESOL Associations (sub. 11); Translational Research in Indigenous Language Ecologies Collective (sub. 20).</w:t>
            </w:r>
          </w:p>
        </w:tc>
      </w:tr>
      <w:tr w:rsidR="0004528B" w14:paraId="2DA96863" w14:textId="77777777" w:rsidTr="000717B1">
        <w:trPr>
          <w:hidden/>
        </w:trPr>
        <w:tc>
          <w:tcPr>
            <w:tcW w:w="9638" w:type="dxa"/>
            <w:gridSpan w:val="2"/>
            <w:shd w:val="clear" w:color="auto" w:fill="auto"/>
            <w:tcMar>
              <w:top w:w="0" w:type="dxa"/>
              <w:left w:w="170" w:type="dxa"/>
              <w:bottom w:w="0" w:type="dxa"/>
              <w:right w:w="170" w:type="dxa"/>
            </w:tcMar>
          </w:tcPr>
          <w:p w14:paraId="7B59589D" w14:textId="1A3B13A2" w:rsidR="0004528B" w:rsidRPr="00465191" w:rsidRDefault="0004528B">
            <w:pPr>
              <w:pStyle w:val="BodyText"/>
              <w:spacing w:before="0" w:after="0" w:line="80" w:lineRule="atLeast"/>
              <w:rPr>
                <w:smallCaps/>
                <w:vanish/>
              </w:rPr>
            </w:pPr>
          </w:p>
        </w:tc>
      </w:tr>
    </w:tbl>
    <w:p w14:paraId="0541CC38" w14:textId="0F1D1365" w:rsidR="00C002CD" w:rsidRDefault="00C002CD" w:rsidP="00C002CD">
      <w:pPr>
        <w:pStyle w:val="Heading4"/>
      </w:pPr>
      <w:r w:rsidRPr="00E2628C">
        <w:t>Four socio</w:t>
      </w:r>
      <w:r w:rsidR="00827859">
        <w:noBreakHyphen/>
      </w:r>
      <w:r w:rsidRPr="00E2628C">
        <w:t>economic targets lack data to report on progress, with three relying on surveys with uncertain futures</w:t>
      </w:r>
    </w:p>
    <w:p w14:paraId="4844467A" w14:textId="2850DF98" w:rsidR="00C002CD" w:rsidRDefault="00C002CD" w:rsidP="00C002CD">
      <w:pPr>
        <w:pStyle w:val="BodyText"/>
      </w:pPr>
      <w:r>
        <w:lastRenderedPageBreak/>
        <w:t>Of the 19 socio</w:t>
      </w:r>
      <w:r w:rsidR="00827859">
        <w:noBreakHyphen/>
      </w:r>
      <w:r>
        <w:t>economic targets, four currently lack sufficient data to report on progress</w:t>
      </w:r>
      <w:r w:rsidR="00FE02DE">
        <w:t xml:space="preserve"> </w:t>
      </w:r>
      <w:r w:rsidR="00D8743C" w:rsidRPr="00D8743C">
        <w:rPr>
          <w:rFonts w:ascii="Arial" w:hAnsi="Arial" w:cs="Arial"/>
          <w:szCs w:val="24"/>
        </w:rPr>
        <w:t>(PC 2023b, p. 37)</w:t>
      </w:r>
      <w:r>
        <w:t xml:space="preserve">. These are: </w:t>
      </w:r>
    </w:p>
    <w:p w14:paraId="7E5090C1" w14:textId="0CCD4FE6" w:rsidR="00C002CD" w:rsidRDefault="007524A1" w:rsidP="00C002CD">
      <w:pPr>
        <w:pStyle w:val="ListBullet"/>
      </w:pPr>
      <w:r>
        <w:t>t</w:t>
      </w:r>
      <w:r w:rsidR="00C002CD">
        <w:t xml:space="preserve">arget 9b: </w:t>
      </w:r>
      <w:r w:rsidR="00663F08">
        <w:t xml:space="preserve">All households </w:t>
      </w:r>
      <w:r w:rsidR="00B824E7">
        <w:t xml:space="preserve">within </w:t>
      </w:r>
      <w:r w:rsidR="00C002CD">
        <w:t>discrete</w:t>
      </w:r>
      <w:r w:rsidR="00356709">
        <w:rPr>
          <w:rStyle w:val="FootnoteReference"/>
        </w:rPr>
        <w:footnoteReference w:id="2"/>
      </w:r>
      <w:r w:rsidR="00C002CD">
        <w:t xml:space="preserve"> Aboriginal or Torres Strait Islander communities</w:t>
      </w:r>
      <w:r w:rsidR="00AB7239">
        <w:t>,</w:t>
      </w:r>
      <w:r w:rsidR="00C002CD">
        <w:t xml:space="preserve"> or in or near a town</w:t>
      </w:r>
      <w:r w:rsidR="00AB7239">
        <w:t>,</w:t>
      </w:r>
      <w:r w:rsidR="00044A72">
        <w:t xml:space="preserve"> receive essential services</w:t>
      </w:r>
      <w:r w:rsidR="006C1001">
        <w:t xml:space="preserve"> by </w:t>
      </w:r>
      <w:r w:rsidR="00803719">
        <w:t>2031</w:t>
      </w:r>
    </w:p>
    <w:p w14:paraId="73CE4587" w14:textId="0F069C11" w:rsidR="00C002CD" w:rsidRDefault="00FD0763" w:rsidP="00C002CD">
      <w:pPr>
        <w:pStyle w:val="ListBullet"/>
      </w:pPr>
      <w:r>
        <w:t>t</w:t>
      </w:r>
      <w:r w:rsidR="00C002CD">
        <w:t>arget 13: Reduce all forms of family violence and abuse against Aboriginal and Torres Strait Islander women and children</w:t>
      </w:r>
      <w:r w:rsidR="00803719">
        <w:t xml:space="preserve"> by at least 50% by 2031</w:t>
      </w:r>
    </w:p>
    <w:p w14:paraId="4B4E5157" w14:textId="1CDA2718" w:rsidR="00C002CD" w:rsidRDefault="00FD0763" w:rsidP="00C002CD">
      <w:pPr>
        <w:pStyle w:val="ListBullet"/>
      </w:pPr>
      <w:r>
        <w:t>t</w:t>
      </w:r>
      <w:r w:rsidR="00C002CD">
        <w:t>arget 16: Sustained increase in the number and strength of Aboriginal and Torres Strait Islander languages being spoken</w:t>
      </w:r>
      <w:r w:rsidR="00DD0402">
        <w:t xml:space="preserve"> by 2031</w:t>
      </w:r>
    </w:p>
    <w:p w14:paraId="169355D8" w14:textId="6987BF1B" w:rsidR="00C002CD" w:rsidRDefault="00FD0763" w:rsidP="00C002CD">
      <w:pPr>
        <w:pStyle w:val="ListBullet"/>
      </w:pPr>
      <w:r>
        <w:t>t</w:t>
      </w:r>
      <w:r w:rsidR="00C002CD">
        <w:t xml:space="preserve">arget 17: </w:t>
      </w:r>
      <w:r w:rsidR="007F6687">
        <w:t>Aboriginal and Torres Strait Islander people have e</w:t>
      </w:r>
      <w:r w:rsidR="00C002CD">
        <w:t>qual levels of digital inclusion</w:t>
      </w:r>
      <w:r w:rsidR="007F6687">
        <w:t xml:space="preserve"> by 2026</w:t>
      </w:r>
      <w:r w:rsidR="003B1DE3">
        <w:t>.</w:t>
      </w:r>
    </w:p>
    <w:p w14:paraId="2D50EDC7" w14:textId="4CC69C0C" w:rsidR="00C002CD" w:rsidRDefault="00C002CD" w:rsidP="00C002CD">
      <w:pPr>
        <w:pStyle w:val="BodyText"/>
      </w:pPr>
      <w:r>
        <w:t>Of these four, three are new targets developed following commencement of the Agreement (</w:t>
      </w:r>
      <w:r w:rsidR="00FD0763">
        <w:t xml:space="preserve">targets </w:t>
      </w:r>
      <w:r>
        <w:t>9b, 13 and 17), and three currently rely on surveys with uncertain futures (</w:t>
      </w:r>
      <w:r w:rsidR="00CA3EF4">
        <w:t xml:space="preserve">targets </w:t>
      </w:r>
      <w:r>
        <w:t xml:space="preserve">13, 16, 17). </w:t>
      </w:r>
      <w:r w:rsidR="00FF3534">
        <w:t>Without data</w:t>
      </w:r>
      <w:r w:rsidR="00D57DD7">
        <w:t xml:space="preserve"> to </w:t>
      </w:r>
      <w:r w:rsidR="00162DF1">
        <w:t>assess</w:t>
      </w:r>
      <w:r w:rsidR="00D57DD7">
        <w:t xml:space="preserve"> progress</w:t>
      </w:r>
      <w:r w:rsidR="00FF3534">
        <w:t>, these targets will be less effective in their ability to focus effort</w:t>
      </w:r>
      <w:r w:rsidR="00D57DD7">
        <w:t>.</w:t>
      </w:r>
    </w:p>
    <w:p w14:paraId="14BEA883" w14:textId="4F812981" w:rsidR="00C002CD" w:rsidRDefault="00C002CD" w:rsidP="00C002CD">
      <w:pPr>
        <w:pStyle w:val="BodyText"/>
        <w:rPr>
          <w:rStyle w:val="BodyTextChar"/>
        </w:rPr>
      </w:pPr>
      <w:r>
        <w:rPr>
          <w:rStyle w:val="BodyTextChar"/>
        </w:rPr>
        <w:t>Target 9b requires data development as there is no existing source that collates th</w:t>
      </w:r>
      <w:r w:rsidR="00CC78D9">
        <w:rPr>
          <w:rStyle w:val="BodyTextChar"/>
        </w:rPr>
        <w:t>i</w:t>
      </w:r>
      <w:r>
        <w:rPr>
          <w:rStyle w:val="BodyTextChar"/>
        </w:rPr>
        <w:t xml:space="preserve">s data across jurisdictions. </w:t>
      </w:r>
      <w:r w:rsidR="00522992" w:rsidRPr="001A1879">
        <w:t xml:space="preserve">The Data and Digital Ministers’ Community Infrastructure project, operating under the second National Data Sharing Work Program, commenced in late 2022 and concluded in June 2023. It was an initial data scoping exercise aimed at identifying data on the coverage, quality and frequency of electricity and drinking water supply in discrete Aboriginal and Torres Strait Islander communities (two of the four essential services covered by </w:t>
      </w:r>
      <w:r w:rsidR="006E565D">
        <w:t>t</w:t>
      </w:r>
      <w:r w:rsidR="00522992" w:rsidRPr="001A1879">
        <w:t>arget 9b). The working group presented draft indicators to the PWG in April 2023 and worked with governments and service providers in each jurisdiction to draw up data sharing agreements for provision of baseline target data. Discussions are ongoing with regard to necessary next steps required to develop a reporting baseline for the target including, at the Commonwealth level, between NIAA and the Department of Infrastructure, Transport Regional Development, Communications and the Arts. The NIAA has advised that data for the other services covered by the target (wastewater and rubbish removal) are held by different parties (including private providers and local councils) and may require a different approach to data development</w:t>
      </w:r>
      <w:r w:rsidR="00522992">
        <w:t xml:space="preserve"> </w:t>
      </w:r>
      <w:r w:rsidRPr="001A1879">
        <w:t>(</w:t>
      </w:r>
      <w:r w:rsidR="00123D2F" w:rsidRPr="001A1879">
        <w:t xml:space="preserve">NIAA, pers. </w:t>
      </w:r>
      <w:r w:rsidR="00522992">
        <w:t>c</w:t>
      </w:r>
      <w:r w:rsidR="00123D2F" w:rsidRPr="001A1879">
        <w:t xml:space="preserve">omm., </w:t>
      </w:r>
      <w:r w:rsidR="00522992">
        <w:t>10</w:t>
      </w:r>
      <w:r w:rsidR="00827859">
        <w:t> </w:t>
      </w:r>
      <w:r w:rsidR="00522992">
        <w:t>July 2023</w:t>
      </w:r>
      <w:r w:rsidRPr="001A1879">
        <w:t>).</w:t>
      </w:r>
    </w:p>
    <w:p w14:paraId="71536C6C" w14:textId="71FC1701" w:rsidR="00C002CD" w:rsidRDefault="00C002CD" w:rsidP="00C002CD">
      <w:pPr>
        <w:pStyle w:val="BodyText"/>
        <w:rPr>
          <w:rStyle w:val="BodyTextChar"/>
        </w:rPr>
      </w:pPr>
      <w:r>
        <w:t xml:space="preserve">Target 16 draws </w:t>
      </w:r>
      <w:r w:rsidR="000C3C50">
        <w:t xml:space="preserve">on </w:t>
      </w:r>
      <w:r>
        <w:t>the National Indigenous Language</w:t>
      </w:r>
      <w:r w:rsidR="00B107CD">
        <w:t>s</w:t>
      </w:r>
      <w:r>
        <w:t xml:space="preserve"> Survey (NILS) </w:t>
      </w:r>
      <w:r w:rsidR="00F40265">
        <w:t xml:space="preserve">undertaken </w:t>
      </w:r>
      <w:r>
        <w:t xml:space="preserve">by the </w:t>
      </w:r>
      <w:r w:rsidRPr="0087225E">
        <w:t>Australian Institute of Aboriginal and Torres Strait Islander Studies</w:t>
      </w:r>
      <w:r w:rsidR="000B4CC8">
        <w:t xml:space="preserve"> </w:t>
      </w:r>
      <w:r w:rsidR="00D8743C" w:rsidRPr="00D8743C">
        <w:rPr>
          <w:rFonts w:ascii="Arial" w:hAnsi="Arial" w:cs="Arial"/>
          <w:szCs w:val="24"/>
        </w:rPr>
        <w:t>(PC 2023a)</w:t>
      </w:r>
      <w:r>
        <w:t xml:space="preserve">. </w:t>
      </w:r>
      <w:r w:rsidR="00B85AF2">
        <w:t>B</w:t>
      </w:r>
      <w:r>
        <w:t xml:space="preserve">aseline data </w:t>
      </w:r>
      <w:r w:rsidR="00AD0F86">
        <w:t xml:space="preserve">was drawn </w:t>
      </w:r>
      <w:r>
        <w:t>from the 2018</w:t>
      </w:r>
      <w:r w:rsidR="00827859">
        <w:rPr>
          <w:rFonts w:cstheme="minorHAnsi"/>
        </w:rPr>
        <w:noBreakHyphen/>
      </w:r>
      <w:r>
        <w:t>19 survey</w:t>
      </w:r>
      <w:r w:rsidR="00AD0F86">
        <w:t>,</w:t>
      </w:r>
      <w:r>
        <w:t xml:space="preserve"> and </w:t>
      </w:r>
      <w:r w:rsidR="00AD0F86">
        <w:t xml:space="preserve">the </w:t>
      </w:r>
      <w:r w:rsidR="000D775C">
        <w:t xml:space="preserve">next </w:t>
      </w:r>
      <w:r w:rsidR="00AD0F86">
        <w:t>survey</w:t>
      </w:r>
      <w:r>
        <w:t xml:space="preserve"> is planned to be fielded prior to 2024. However, the NILS i</w:t>
      </w:r>
      <w:r w:rsidRPr="00C215EC">
        <w:rPr>
          <w:rStyle w:val="BodyTextChar"/>
        </w:rPr>
        <w:t xml:space="preserve">s </w:t>
      </w:r>
      <w:r>
        <w:rPr>
          <w:rStyle w:val="BodyTextChar"/>
        </w:rPr>
        <w:t>conducted irregularly (</w:t>
      </w:r>
      <w:r w:rsidRPr="00C215EC">
        <w:rPr>
          <w:rStyle w:val="BodyTextChar"/>
        </w:rPr>
        <w:t xml:space="preserve">NILS1 </w:t>
      </w:r>
      <w:r w:rsidR="00282450">
        <w:rPr>
          <w:rStyle w:val="BodyTextChar"/>
        </w:rPr>
        <w:t>was conducted</w:t>
      </w:r>
      <w:r w:rsidRPr="00C215EC">
        <w:rPr>
          <w:rStyle w:val="BodyTextChar"/>
        </w:rPr>
        <w:t xml:space="preserve"> in 2004</w:t>
      </w:r>
      <w:r w:rsidR="00827859">
        <w:rPr>
          <w:rStyle w:val="BodyTextChar"/>
          <w:rFonts w:cstheme="minorHAnsi"/>
        </w:rPr>
        <w:noBreakHyphen/>
      </w:r>
      <w:r w:rsidRPr="00C215EC">
        <w:rPr>
          <w:rStyle w:val="BodyTextChar"/>
        </w:rPr>
        <w:t>05, NILS2 in 2014</w:t>
      </w:r>
      <w:r w:rsidR="00827859">
        <w:rPr>
          <w:rStyle w:val="BodyTextChar"/>
          <w:rFonts w:cstheme="minorHAnsi"/>
        </w:rPr>
        <w:noBreakHyphen/>
      </w:r>
      <w:r w:rsidRPr="00C215EC">
        <w:rPr>
          <w:rStyle w:val="BodyTextChar"/>
        </w:rPr>
        <w:t>15 and NILS3 in 2018</w:t>
      </w:r>
      <w:r w:rsidR="00827859">
        <w:rPr>
          <w:rStyle w:val="BodyTextChar"/>
          <w:rFonts w:cstheme="minorHAnsi"/>
        </w:rPr>
        <w:noBreakHyphen/>
      </w:r>
      <w:r w:rsidRPr="00C215EC">
        <w:rPr>
          <w:rStyle w:val="BodyTextChar"/>
        </w:rPr>
        <w:t>19</w:t>
      </w:r>
      <w:r>
        <w:rPr>
          <w:rStyle w:val="BodyTextChar"/>
        </w:rPr>
        <w:t>) and monitoring progress on this target will rely on ensuring future survey waves go forward</w:t>
      </w:r>
      <w:r w:rsidR="00055252">
        <w:rPr>
          <w:rStyle w:val="BodyTextChar"/>
        </w:rPr>
        <w:t xml:space="preserve"> within </w:t>
      </w:r>
      <w:r w:rsidR="00AC1D54">
        <w:rPr>
          <w:rStyle w:val="BodyTextChar"/>
        </w:rPr>
        <w:t>the lifetime of the Agreement</w:t>
      </w:r>
      <w:r>
        <w:rPr>
          <w:rStyle w:val="BodyTextChar"/>
        </w:rPr>
        <w:t>.</w:t>
      </w:r>
      <w:r w:rsidR="000B4CC8">
        <w:rPr>
          <w:rStyle w:val="BodyTextChar"/>
        </w:rPr>
        <w:t xml:space="preserve"> </w:t>
      </w:r>
      <w:r w:rsidR="000B4CC8" w:rsidRPr="000B4CC8">
        <w:rPr>
          <w:rStyle w:val="BodyTextChar"/>
        </w:rPr>
        <w:t xml:space="preserve">Methodologies have also </w:t>
      </w:r>
      <w:r w:rsidR="005930EC">
        <w:rPr>
          <w:rStyle w:val="BodyTextChar"/>
        </w:rPr>
        <w:t>varied</w:t>
      </w:r>
      <w:r w:rsidR="000B4CC8" w:rsidRPr="000B4CC8">
        <w:rPr>
          <w:rStyle w:val="BodyTextChar"/>
        </w:rPr>
        <w:t xml:space="preserve"> across waves according to the objectives of each wave, which could make constructing time series data more difficult.</w:t>
      </w:r>
    </w:p>
    <w:p w14:paraId="28736C56" w14:textId="216389FC" w:rsidR="00C002CD" w:rsidRPr="00125F9C" w:rsidRDefault="00C002CD" w:rsidP="00C002CD">
      <w:pPr>
        <w:pStyle w:val="BodyText"/>
        <w:rPr>
          <w:rStyle w:val="BodyTextChar"/>
          <w:spacing w:val="-4"/>
        </w:rPr>
      </w:pPr>
      <w:r w:rsidRPr="00125F9C">
        <w:rPr>
          <w:rStyle w:val="BodyTextChar"/>
          <w:spacing w:val="-4"/>
        </w:rPr>
        <w:t>The two remaining target</w:t>
      </w:r>
      <w:r w:rsidR="00D16DE7" w:rsidRPr="00125F9C">
        <w:rPr>
          <w:rStyle w:val="BodyTextChar"/>
          <w:spacing w:val="-4"/>
        </w:rPr>
        <w:t>s with</w:t>
      </w:r>
      <w:r w:rsidRPr="00125F9C">
        <w:rPr>
          <w:rStyle w:val="BodyTextChar"/>
          <w:spacing w:val="-4"/>
        </w:rPr>
        <w:t xml:space="preserve"> </w:t>
      </w:r>
      <w:r w:rsidR="00D16DE7" w:rsidRPr="00125F9C">
        <w:rPr>
          <w:rStyle w:val="BodyTextChar"/>
          <w:spacing w:val="-4"/>
        </w:rPr>
        <w:t xml:space="preserve">data </w:t>
      </w:r>
      <w:r w:rsidRPr="00125F9C">
        <w:rPr>
          <w:rStyle w:val="BodyTextChar"/>
          <w:spacing w:val="-4"/>
        </w:rPr>
        <w:t xml:space="preserve">gaps </w:t>
      </w:r>
      <w:r w:rsidR="00D16DE7" w:rsidRPr="00125F9C">
        <w:rPr>
          <w:rStyle w:val="BodyTextChar"/>
          <w:spacing w:val="-4"/>
        </w:rPr>
        <w:t>(targets 13 and 17</w:t>
      </w:r>
      <w:r w:rsidR="00EE1EC5" w:rsidRPr="00125F9C">
        <w:rPr>
          <w:rStyle w:val="BodyTextChar"/>
          <w:spacing w:val="-4"/>
        </w:rPr>
        <w:t xml:space="preserve">) </w:t>
      </w:r>
      <w:r w:rsidRPr="00125F9C">
        <w:rPr>
          <w:rStyle w:val="BodyTextChar"/>
          <w:spacing w:val="-4"/>
        </w:rPr>
        <w:t>come from ABS surveys fielded by the Centre for Aboriginal and Torres Strait Islander Statistics: the National Aboriginal and Torres Strait Islander Health Survey (NATSIHS) and the National Aboriginal and Torres Strait Islander Social Survey (NATSISS).</w:t>
      </w:r>
      <w:r w:rsidR="00533141" w:rsidRPr="00125F9C">
        <w:rPr>
          <w:rStyle w:val="BodyTextChar"/>
          <w:spacing w:val="-4"/>
        </w:rPr>
        <w:t xml:space="preserve"> </w:t>
      </w:r>
      <w:r w:rsidRPr="00125F9C">
        <w:rPr>
          <w:rStyle w:val="BodyTextChar"/>
          <w:spacing w:val="-4"/>
        </w:rPr>
        <w:t>ABS has advised that following the 2022</w:t>
      </w:r>
      <w:r w:rsidR="00827859" w:rsidRPr="00125F9C">
        <w:rPr>
          <w:rStyle w:val="BodyTextChar"/>
          <w:spacing w:val="-4"/>
        </w:rPr>
        <w:noBreakHyphen/>
      </w:r>
      <w:r w:rsidRPr="00125F9C">
        <w:rPr>
          <w:rStyle w:val="BodyTextChar"/>
          <w:spacing w:val="-4"/>
        </w:rPr>
        <w:t>23 NATSIHS, the timing of future surveys is ‘uncertain and not yet factored into the ABS forward work program’ (</w:t>
      </w:r>
      <w:r w:rsidR="00DD1EC1" w:rsidRPr="00125F9C">
        <w:rPr>
          <w:rStyle w:val="BodyTextChar"/>
          <w:spacing w:val="-4"/>
        </w:rPr>
        <w:t xml:space="preserve">ABS, </w:t>
      </w:r>
      <w:r w:rsidRPr="00125F9C">
        <w:rPr>
          <w:rStyle w:val="BodyTextChar"/>
          <w:spacing w:val="-4"/>
        </w:rPr>
        <w:t>sub</w:t>
      </w:r>
      <w:r w:rsidR="00DD1EC1" w:rsidRPr="00125F9C">
        <w:rPr>
          <w:rStyle w:val="BodyTextChar"/>
          <w:spacing w:val="-4"/>
        </w:rPr>
        <w:t>.</w:t>
      </w:r>
      <w:r w:rsidR="005634D7" w:rsidRPr="00125F9C">
        <w:rPr>
          <w:rStyle w:val="BodyTextChar"/>
          <w:spacing w:val="-4"/>
        </w:rPr>
        <w:t> </w:t>
      </w:r>
      <w:r w:rsidRPr="00125F9C">
        <w:rPr>
          <w:rStyle w:val="BodyTextChar"/>
          <w:spacing w:val="-4"/>
        </w:rPr>
        <w:t>1</w:t>
      </w:r>
      <w:r w:rsidR="001263EB" w:rsidRPr="00125F9C">
        <w:rPr>
          <w:rStyle w:val="BodyTextChar"/>
          <w:spacing w:val="-4"/>
        </w:rPr>
        <w:t>, p.</w:t>
      </w:r>
      <w:r w:rsidR="005634D7" w:rsidRPr="00125F9C">
        <w:rPr>
          <w:rStyle w:val="BodyTextChar"/>
          <w:spacing w:val="-4"/>
        </w:rPr>
        <w:t> </w:t>
      </w:r>
      <w:r w:rsidR="001263EB" w:rsidRPr="00125F9C">
        <w:rPr>
          <w:rStyle w:val="BodyTextChar"/>
          <w:spacing w:val="-4"/>
        </w:rPr>
        <w:t>3</w:t>
      </w:r>
      <w:r w:rsidRPr="00125F9C">
        <w:rPr>
          <w:rStyle w:val="BodyTextChar"/>
          <w:spacing w:val="-4"/>
        </w:rPr>
        <w:t xml:space="preserve">). Target 17 on digital inclusion can draw from items in the </w:t>
      </w:r>
      <w:r w:rsidR="006A6A6A" w:rsidRPr="00125F9C">
        <w:rPr>
          <w:rStyle w:val="BodyTextChar"/>
          <w:spacing w:val="-4"/>
        </w:rPr>
        <w:t>2022</w:t>
      </w:r>
      <w:r w:rsidR="00827859" w:rsidRPr="00125F9C">
        <w:rPr>
          <w:rStyle w:val="BodyTextChar"/>
          <w:spacing w:val="-4"/>
        </w:rPr>
        <w:noBreakHyphen/>
      </w:r>
      <w:r w:rsidR="006A6A6A" w:rsidRPr="00125F9C">
        <w:rPr>
          <w:rStyle w:val="BodyTextChar"/>
          <w:spacing w:val="-4"/>
        </w:rPr>
        <w:t>23</w:t>
      </w:r>
      <w:r w:rsidRPr="00125F9C">
        <w:rPr>
          <w:rStyle w:val="BodyTextChar"/>
          <w:spacing w:val="-4"/>
        </w:rPr>
        <w:t xml:space="preserve"> wave of NATSIHS but has no planned updates beyond that (</w:t>
      </w:r>
      <w:r w:rsidR="001D3651" w:rsidRPr="00125F9C">
        <w:rPr>
          <w:rStyle w:val="BodyTextChar"/>
          <w:spacing w:val="-4"/>
        </w:rPr>
        <w:t xml:space="preserve">ABS, </w:t>
      </w:r>
      <w:r w:rsidRPr="00125F9C">
        <w:rPr>
          <w:rStyle w:val="BodyTextChar"/>
          <w:spacing w:val="-4"/>
        </w:rPr>
        <w:t>sub</w:t>
      </w:r>
      <w:r w:rsidR="001D3651" w:rsidRPr="00125F9C">
        <w:rPr>
          <w:rStyle w:val="BodyTextChar"/>
          <w:spacing w:val="-4"/>
        </w:rPr>
        <w:t>.</w:t>
      </w:r>
      <w:r w:rsidR="005634D7" w:rsidRPr="00125F9C">
        <w:rPr>
          <w:rStyle w:val="BodyTextChar"/>
          <w:spacing w:val="-4"/>
        </w:rPr>
        <w:t> </w:t>
      </w:r>
      <w:r w:rsidRPr="00125F9C">
        <w:rPr>
          <w:rStyle w:val="BodyTextChar"/>
          <w:spacing w:val="-4"/>
        </w:rPr>
        <w:t>1</w:t>
      </w:r>
      <w:r w:rsidR="001D3651" w:rsidRPr="00125F9C">
        <w:rPr>
          <w:rStyle w:val="BodyTextChar"/>
          <w:spacing w:val="-4"/>
        </w:rPr>
        <w:t xml:space="preserve">, </w:t>
      </w:r>
      <w:r w:rsidR="002568F2" w:rsidRPr="00125F9C">
        <w:rPr>
          <w:rStyle w:val="BodyTextChar"/>
          <w:spacing w:val="-4"/>
        </w:rPr>
        <w:t>p.</w:t>
      </w:r>
      <w:r w:rsidR="005634D7" w:rsidRPr="00125F9C">
        <w:rPr>
          <w:rStyle w:val="BodyTextChar"/>
          <w:spacing w:val="-4"/>
        </w:rPr>
        <w:t> </w:t>
      </w:r>
      <w:r w:rsidR="002568F2" w:rsidRPr="00125F9C">
        <w:rPr>
          <w:rStyle w:val="BodyTextChar"/>
          <w:spacing w:val="-4"/>
        </w:rPr>
        <w:t>7</w:t>
      </w:r>
      <w:r w:rsidRPr="00125F9C">
        <w:rPr>
          <w:rStyle w:val="BodyTextChar"/>
          <w:spacing w:val="-4"/>
        </w:rPr>
        <w:t xml:space="preserve">). The Australian Digital Inclusion Index </w:t>
      </w:r>
      <w:r w:rsidR="00A61F4C" w:rsidRPr="00125F9C">
        <w:rPr>
          <w:rStyle w:val="BodyTextChar"/>
          <w:spacing w:val="-4"/>
        </w:rPr>
        <w:lastRenderedPageBreak/>
        <w:t xml:space="preserve">could be used as a </w:t>
      </w:r>
      <w:r w:rsidR="00E73F6D" w:rsidRPr="00125F9C">
        <w:rPr>
          <w:rStyle w:val="BodyTextChar"/>
          <w:spacing w:val="-4"/>
        </w:rPr>
        <w:t xml:space="preserve">source of data </w:t>
      </w:r>
      <w:r w:rsidR="00E73F6D" w:rsidRPr="00125F9C">
        <w:rPr>
          <w:rStyle w:val="BodyTextChar"/>
          <w:rFonts w:cstheme="minorHAnsi"/>
          <w:spacing w:val="-4"/>
        </w:rPr>
        <w:t>–</w:t>
      </w:r>
      <w:r w:rsidR="00FF1966" w:rsidRPr="00125F9C" w:rsidDel="00533141">
        <w:rPr>
          <w:rStyle w:val="BodyTextChar"/>
          <w:spacing w:val="-4"/>
        </w:rPr>
        <w:t xml:space="preserve"> </w:t>
      </w:r>
      <w:r w:rsidR="00E73F6D" w:rsidRPr="00125F9C">
        <w:rPr>
          <w:rStyle w:val="BodyTextChar"/>
          <w:spacing w:val="-4"/>
        </w:rPr>
        <w:t>it</w:t>
      </w:r>
      <w:r w:rsidR="00FF1966" w:rsidRPr="00125F9C">
        <w:rPr>
          <w:rStyle w:val="BodyTextChar"/>
          <w:spacing w:val="-4"/>
        </w:rPr>
        <w:t xml:space="preserve"> has better data on internet affordability, quality and capability</w:t>
      </w:r>
      <w:r w:rsidR="00BA5410" w:rsidRPr="00125F9C">
        <w:rPr>
          <w:rStyle w:val="BodyTextChar"/>
          <w:spacing w:val="-4"/>
        </w:rPr>
        <w:t xml:space="preserve"> </w:t>
      </w:r>
      <w:r w:rsidR="00BA5410" w:rsidRPr="00125F9C">
        <w:rPr>
          <w:rStyle w:val="BodyTextChar"/>
          <w:rFonts w:cstheme="minorHAnsi"/>
          <w:spacing w:val="-4"/>
        </w:rPr>
        <w:t>–</w:t>
      </w:r>
      <w:r w:rsidRPr="00125F9C">
        <w:rPr>
          <w:rStyle w:val="BodyTextChar"/>
          <w:spacing w:val="-4"/>
        </w:rPr>
        <w:t xml:space="preserve"> but </w:t>
      </w:r>
      <w:r w:rsidR="003E7E2E" w:rsidRPr="00125F9C">
        <w:rPr>
          <w:rStyle w:val="BodyTextChar"/>
          <w:spacing w:val="-4"/>
        </w:rPr>
        <w:t>it</w:t>
      </w:r>
      <w:r w:rsidRPr="00125F9C">
        <w:rPr>
          <w:rStyle w:val="BodyTextChar"/>
          <w:spacing w:val="-4"/>
        </w:rPr>
        <w:t xml:space="preserve"> does not identify Aboriginal and Torres Strait Islander </w:t>
      </w:r>
      <w:r w:rsidR="00FF1966" w:rsidRPr="00125F9C">
        <w:rPr>
          <w:rStyle w:val="BodyTextChar"/>
          <w:spacing w:val="-4"/>
        </w:rPr>
        <w:t>p</w:t>
      </w:r>
      <w:r w:rsidRPr="00125F9C">
        <w:rPr>
          <w:rStyle w:val="BodyTextChar"/>
          <w:spacing w:val="-4"/>
        </w:rPr>
        <w:t>eople (</w:t>
      </w:r>
      <w:r w:rsidR="00C64FD7" w:rsidRPr="00125F9C">
        <w:rPr>
          <w:rStyle w:val="BodyTextChar"/>
          <w:spacing w:val="-4"/>
        </w:rPr>
        <w:t xml:space="preserve">ABS, </w:t>
      </w:r>
      <w:r w:rsidRPr="00125F9C">
        <w:rPr>
          <w:rStyle w:val="BodyTextChar"/>
          <w:spacing w:val="-4"/>
        </w:rPr>
        <w:t>sub</w:t>
      </w:r>
      <w:r w:rsidR="00F231B3" w:rsidRPr="00125F9C">
        <w:rPr>
          <w:rStyle w:val="BodyTextChar"/>
          <w:spacing w:val="-4"/>
        </w:rPr>
        <w:t>.</w:t>
      </w:r>
      <w:r w:rsidR="005634D7" w:rsidRPr="00125F9C">
        <w:rPr>
          <w:rStyle w:val="BodyTextChar"/>
          <w:spacing w:val="-4"/>
        </w:rPr>
        <w:t> </w:t>
      </w:r>
      <w:r w:rsidRPr="00125F9C">
        <w:rPr>
          <w:rStyle w:val="BodyTextChar"/>
          <w:spacing w:val="-4"/>
        </w:rPr>
        <w:t>1</w:t>
      </w:r>
      <w:r w:rsidR="00932C06" w:rsidRPr="00125F9C">
        <w:rPr>
          <w:rStyle w:val="BodyTextChar"/>
          <w:spacing w:val="-4"/>
        </w:rPr>
        <w:t>, p.</w:t>
      </w:r>
      <w:r w:rsidR="005634D7" w:rsidRPr="00125F9C">
        <w:rPr>
          <w:rStyle w:val="BodyTextChar"/>
          <w:spacing w:val="-4"/>
        </w:rPr>
        <w:t> </w:t>
      </w:r>
      <w:r w:rsidR="00932C06" w:rsidRPr="00125F9C">
        <w:rPr>
          <w:rStyle w:val="BodyTextChar"/>
          <w:spacing w:val="-4"/>
        </w:rPr>
        <w:t>7</w:t>
      </w:r>
      <w:r w:rsidRPr="00125F9C">
        <w:rPr>
          <w:rStyle w:val="BodyTextChar"/>
          <w:spacing w:val="-4"/>
        </w:rPr>
        <w:t xml:space="preserve">). </w:t>
      </w:r>
    </w:p>
    <w:p w14:paraId="6F0FF7E1" w14:textId="79A6827A" w:rsidR="00C002CD" w:rsidRDefault="00C002CD" w:rsidP="00C002CD">
      <w:pPr>
        <w:pStyle w:val="BodyText"/>
        <w:rPr>
          <w:rStyle w:val="BodyTextChar"/>
        </w:rPr>
      </w:pPr>
      <w:r>
        <w:rPr>
          <w:rStyle w:val="BodyTextChar"/>
        </w:rPr>
        <w:t xml:space="preserve">The future of </w:t>
      </w:r>
      <w:r w:rsidR="00044113">
        <w:rPr>
          <w:rStyle w:val="BodyTextChar"/>
        </w:rPr>
        <w:t>t</w:t>
      </w:r>
      <w:r>
        <w:rPr>
          <w:rStyle w:val="BodyTextChar"/>
        </w:rPr>
        <w:t xml:space="preserve">arget 13 on family violence is more complex. </w:t>
      </w:r>
      <w:r w:rsidR="00044113">
        <w:rPr>
          <w:rStyle w:val="BodyTextChar"/>
        </w:rPr>
        <w:t>In the past, d</w:t>
      </w:r>
      <w:r>
        <w:rPr>
          <w:rStyle w:val="BodyTextChar"/>
        </w:rPr>
        <w:t xml:space="preserve">ata on </w:t>
      </w:r>
      <w:r w:rsidR="009C4030">
        <w:rPr>
          <w:rStyle w:val="BodyTextChar"/>
        </w:rPr>
        <w:t>physical</w:t>
      </w:r>
      <w:r>
        <w:rPr>
          <w:rStyle w:val="BodyTextChar"/>
        </w:rPr>
        <w:t xml:space="preserve"> family violence ha</w:t>
      </w:r>
      <w:r w:rsidR="00044113">
        <w:rPr>
          <w:rStyle w:val="BodyTextChar"/>
        </w:rPr>
        <w:t>s</w:t>
      </w:r>
      <w:r>
        <w:rPr>
          <w:rStyle w:val="BodyTextChar"/>
        </w:rPr>
        <w:t xml:space="preserve"> been included in NATSIHS</w:t>
      </w:r>
      <w:r w:rsidR="006C20C6">
        <w:rPr>
          <w:rStyle w:val="BodyTextChar"/>
        </w:rPr>
        <w:t xml:space="preserve"> (</w:t>
      </w:r>
      <w:r>
        <w:rPr>
          <w:rStyle w:val="BodyTextChar"/>
        </w:rPr>
        <w:t>and before that the NATSISS</w:t>
      </w:r>
      <w:r w:rsidR="006C20C6">
        <w:rPr>
          <w:rStyle w:val="BodyTextChar"/>
        </w:rPr>
        <w:t>)</w:t>
      </w:r>
      <w:r>
        <w:rPr>
          <w:rStyle w:val="BodyTextChar"/>
        </w:rPr>
        <w:t xml:space="preserve">, </w:t>
      </w:r>
      <w:r w:rsidR="00AC3F8E">
        <w:rPr>
          <w:rStyle w:val="BodyTextChar"/>
        </w:rPr>
        <w:t>but</w:t>
      </w:r>
      <w:r>
        <w:rPr>
          <w:rStyle w:val="BodyTextChar"/>
        </w:rPr>
        <w:t xml:space="preserve"> </w:t>
      </w:r>
      <w:r w:rsidR="00D5488C">
        <w:rPr>
          <w:rStyle w:val="BodyTextChar"/>
        </w:rPr>
        <w:t>as part of</w:t>
      </w:r>
      <w:r>
        <w:rPr>
          <w:rStyle w:val="BodyTextChar"/>
        </w:rPr>
        <w:t xml:space="preserve"> the most recent NATSIHS consultation process in 2020, an expert advisory panel on violence (</w:t>
      </w:r>
      <w:r w:rsidR="008F610A">
        <w:rPr>
          <w:rStyle w:val="BodyTextChar"/>
        </w:rPr>
        <w:t xml:space="preserve">the </w:t>
      </w:r>
      <w:r>
        <w:rPr>
          <w:rStyle w:val="BodyTextChar"/>
        </w:rPr>
        <w:t xml:space="preserve">Harm Panel) advised </w:t>
      </w:r>
      <w:r w:rsidR="008F610A">
        <w:rPr>
          <w:rStyle w:val="BodyTextChar"/>
        </w:rPr>
        <w:t xml:space="preserve">the ABS </w:t>
      </w:r>
      <w:r>
        <w:rPr>
          <w:rStyle w:val="BodyTextChar"/>
        </w:rPr>
        <w:t>that the NATSIHS was not an appropriate way to collect data on violence.</w:t>
      </w:r>
    </w:p>
    <w:p w14:paraId="52A56E5F" w14:textId="6427A60C" w:rsidR="00C002CD" w:rsidRDefault="00C002CD" w:rsidP="00C002CD">
      <w:pPr>
        <w:pStyle w:val="Quote"/>
      </w:pPr>
      <w:r w:rsidRPr="003937C1">
        <w:t xml:space="preserve">Privacy, risk of harm, absence of Aboriginal and Torres Strait Islander interviewers, insufficient post survey support, and respondent burden were among the common themes identified as key issues. </w:t>
      </w:r>
      <w:r>
        <w:t>T</w:t>
      </w:r>
      <w:r w:rsidRPr="003937C1">
        <w:t xml:space="preserve">he violence module has </w:t>
      </w:r>
      <w:r>
        <w:t xml:space="preserve">not been included in </w:t>
      </w:r>
      <w:r w:rsidRPr="003937C1">
        <w:t xml:space="preserve">the </w:t>
      </w:r>
      <w:r>
        <w:t>2022</w:t>
      </w:r>
      <w:r w:rsidR="00827859">
        <w:noBreakHyphen/>
      </w:r>
      <w:r>
        <w:t xml:space="preserve">23 </w:t>
      </w:r>
      <w:r w:rsidRPr="003937C1">
        <w:t>NATSIHS</w:t>
      </w:r>
      <w:r>
        <w:t xml:space="preserve"> </w:t>
      </w:r>
      <w:r w:rsidR="00D5481B">
        <w:t>…</w:t>
      </w:r>
      <w:r>
        <w:t xml:space="preserve"> </w:t>
      </w:r>
      <w:r w:rsidRPr="003210FC">
        <w:t>The ABS is working with other Commonwealth agencies, led by DSS, to identify opportunities to produce fit</w:t>
      </w:r>
      <w:r w:rsidR="005C692F">
        <w:noBreakHyphen/>
      </w:r>
      <w:r w:rsidRPr="003210FC">
        <w:t>for</w:t>
      </w:r>
      <w:r w:rsidR="00827859">
        <w:noBreakHyphen/>
      </w:r>
      <w:r w:rsidRPr="003210FC">
        <w:t>purpose statistics which provide culturally safe information about Aboriginal and Torres Strait Islander peoples’ experiences of family, domestic, and sexual violence.</w:t>
      </w:r>
      <w:r>
        <w:t xml:space="preserve"> (</w:t>
      </w:r>
      <w:r w:rsidR="00932C06">
        <w:t xml:space="preserve">ABS, </w:t>
      </w:r>
      <w:r>
        <w:t>sub</w:t>
      </w:r>
      <w:r w:rsidR="00932C06">
        <w:t>.</w:t>
      </w:r>
      <w:r w:rsidR="005634D7">
        <w:t> </w:t>
      </w:r>
      <w:r>
        <w:t>1</w:t>
      </w:r>
      <w:r w:rsidR="00932C06">
        <w:t xml:space="preserve">, </w:t>
      </w:r>
      <w:r w:rsidR="002D2BBC">
        <w:t>p.</w:t>
      </w:r>
      <w:r w:rsidR="005634D7">
        <w:t> </w:t>
      </w:r>
      <w:r w:rsidR="002D2BBC">
        <w:t>6</w:t>
      </w:r>
      <w:r>
        <w:t>)</w:t>
      </w:r>
    </w:p>
    <w:p w14:paraId="67D94538" w14:textId="395047C3" w:rsidR="00B95A75" w:rsidRPr="00B95A75" w:rsidRDefault="00B95A75" w:rsidP="00501491">
      <w:pPr>
        <w:pStyle w:val="BodyText"/>
      </w:pPr>
      <w:r>
        <w:t xml:space="preserve">Review participants also raised concerns </w:t>
      </w:r>
      <w:r w:rsidR="004B6805">
        <w:t xml:space="preserve">about </w:t>
      </w:r>
      <w:r w:rsidR="004E10C9">
        <w:t xml:space="preserve">family violence measurement, particularly that the target </w:t>
      </w:r>
      <w:r w:rsidR="008E117D">
        <w:t xml:space="preserve">indicator </w:t>
      </w:r>
      <w:r w:rsidR="005852EE">
        <w:t>did not capture sexua</w:t>
      </w:r>
      <w:r w:rsidR="006E3EE2">
        <w:t>l or other forms of violence</w:t>
      </w:r>
      <w:r w:rsidR="00BF784E">
        <w:t xml:space="preserve"> and that administrative data across </w:t>
      </w:r>
      <w:r w:rsidR="0008358A">
        <w:t xml:space="preserve">agencies and systems </w:t>
      </w:r>
      <w:r w:rsidR="00BB3963">
        <w:t xml:space="preserve">needed to be harmonised </w:t>
      </w:r>
      <w:r w:rsidR="00A51BF6" w:rsidRPr="00A51BF6">
        <w:rPr>
          <w:rFonts w:ascii="Arial" w:hAnsi="Arial" w:cs="Arial"/>
          <w:szCs w:val="24"/>
        </w:rPr>
        <w:t>(PC 2023d, p. 16)</w:t>
      </w:r>
      <w:r w:rsidR="00B30AE5">
        <w:t>.</w:t>
      </w:r>
    </w:p>
    <w:p w14:paraId="3E110D5B" w14:textId="6368DB45" w:rsidR="00C002CD" w:rsidRDefault="00C002CD" w:rsidP="004C0799">
      <w:pPr>
        <w:pStyle w:val="BodyText"/>
      </w:pPr>
      <w:r>
        <w:t>In short, progress on two of the targets (16 and 17) could be reported through existing national surveys, such as the NILS or NATSIHS, if future waves are fielded. These surveys are also potential sources for supporting indicators</w:t>
      </w:r>
      <w:r w:rsidRPr="00780709">
        <w:t xml:space="preserve"> </w:t>
      </w:r>
      <w:r>
        <w:t>across outcomes, particularly outcomes 1, 5, 7, 9, 13, 14, 15 and 17 (</w:t>
      </w:r>
      <w:r w:rsidR="0082706F">
        <w:t xml:space="preserve">ABS, </w:t>
      </w:r>
      <w:r>
        <w:t>sub</w:t>
      </w:r>
      <w:r w:rsidR="0082706F">
        <w:t>.</w:t>
      </w:r>
      <w:r w:rsidR="005634D7">
        <w:t> </w:t>
      </w:r>
      <w:r>
        <w:t>1</w:t>
      </w:r>
      <w:r w:rsidR="0082706F">
        <w:t xml:space="preserve">, </w:t>
      </w:r>
      <w:r w:rsidR="00023530">
        <w:t>pp.</w:t>
      </w:r>
      <w:r w:rsidR="005634D7">
        <w:t> </w:t>
      </w:r>
      <w:r w:rsidR="00023530">
        <w:t>3</w:t>
      </w:r>
      <w:r w:rsidR="00827859">
        <w:noBreakHyphen/>
      </w:r>
      <w:r w:rsidR="00023530">
        <w:t>7</w:t>
      </w:r>
      <w:r>
        <w:t xml:space="preserve">). The other two targets without </w:t>
      </w:r>
      <w:r w:rsidR="00CA6FB6">
        <w:t>progress</w:t>
      </w:r>
      <w:r>
        <w:t xml:space="preserve"> data (</w:t>
      </w:r>
      <w:r w:rsidR="003D3F51">
        <w:t xml:space="preserve">targets </w:t>
      </w:r>
      <w:r>
        <w:t xml:space="preserve">9b and 13) require further data development and will need to be prioritised </w:t>
      </w:r>
      <w:r w:rsidR="009061BB">
        <w:t>as part of</w:t>
      </w:r>
      <w:r>
        <w:t xml:space="preserve"> data development.</w:t>
      </w:r>
    </w:p>
    <w:p w14:paraId="2E67BE57" w14:textId="76AF1CAA" w:rsidR="00243C0E" w:rsidRDefault="00243C0E" w:rsidP="003A48D6">
      <w:pPr>
        <w:pStyle w:val="Heading4"/>
      </w:pPr>
      <w:r>
        <w:t xml:space="preserve">The scope of some </w:t>
      </w:r>
      <w:r w:rsidR="00A73CF4">
        <w:t xml:space="preserve">outcomes </w:t>
      </w:r>
      <w:r w:rsidR="00376C0C">
        <w:t>is</w:t>
      </w:r>
      <w:r w:rsidR="00A73CF4">
        <w:t xml:space="preserve"> not </w:t>
      </w:r>
      <w:r>
        <w:t xml:space="preserve">fully captured </w:t>
      </w:r>
      <w:r w:rsidR="00A73CF4">
        <w:t xml:space="preserve">by the targets and supporting indicators </w:t>
      </w:r>
    </w:p>
    <w:p w14:paraId="3FB23A08" w14:textId="30D87840" w:rsidR="00D442CA" w:rsidRDefault="00757CD6" w:rsidP="00E370ED">
      <w:pPr>
        <w:pStyle w:val="BodyText"/>
      </w:pPr>
      <w:r>
        <w:t>Some review participants</w:t>
      </w:r>
      <w:r w:rsidR="003A48D6">
        <w:t xml:space="preserve"> </w:t>
      </w:r>
      <w:r w:rsidR="003E47E4">
        <w:t>highlighted areas that</w:t>
      </w:r>
      <w:r w:rsidR="007919BA">
        <w:t xml:space="preserve"> they</w:t>
      </w:r>
      <w:r w:rsidR="003E47E4">
        <w:t xml:space="preserve"> </w:t>
      </w:r>
      <w:r w:rsidR="007919BA">
        <w:t>saw as</w:t>
      </w:r>
      <w:r w:rsidR="003E47E4">
        <w:t xml:space="preserve"> missing from the targets that affect the achievement of </w:t>
      </w:r>
      <w:r w:rsidR="00245AF5">
        <w:t>several</w:t>
      </w:r>
      <w:r w:rsidR="003E47E4">
        <w:t xml:space="preserve"> socio</w:t>
      </w:r>
      <w:r w:rsidR="00827859">
        <w:noBreakHyphen/>
      </w:r>
      <w:r w:rsidR="003E47E4">
        <w:t>economic outcomes</w:t>
      </w:r>
      <w:r w:rsidR="005C63E1">
        <w:t>.</w:t>
      </w:r>
      <w:r w:rsidR="00D442CA">
        <w:t xml:space="preserve"> </w:t>
      </w:r>
      <w:r w:rsidR="003A698C">
        <w:t>E</w:t>
      </w:r>
      <w:r w:rsidR="00D442CA">
        <w:t>xamples includ</w:t>
      </w:r>
      <w:r w:rsidR="003A698C">
        <w:t>ed</w:t>
      </w:r>
      <w:r w:rsidR="00CB2373">
        <w:t xml:space="preserve"> that</w:t>
      </w:r>
      <w:r w:rsidR="00D442CA">
        <w:t>:</w:t>
      </w:r>
    </w:p>
    <w:p w14:paraId="6C4E38C0" w14:textId="453F7995" w:rsidR="00D442CA" w:rsidRDefault="00555526" w:rsidP="00376C0C">
      <w:pPr>
        <w:pStyle w:val="ListBullet"/>
      </w:pPr>
      <w:r>
        <w:t xml:space="preserve">the </w:t>
      </w:r>
      <w:r w:rsidR="00067FF4">
        <w:t>importance of</w:t>
      </w:r>
      <w:r w:rsidR="003E47E4">
        <w:t xml:space="preserve"> adult literacy</w:t>
      </w:r>
      <w:r w:rsidR="006A6F35">
        <w:t xml:space="preserve"> </w:t>
      </w:r>
      <w:r w:rsidR="006F6944">
        <w:t xml:space="preserve">was absent from the </w:t>
      </w:r>
      <w:r w:rsidR="00F40696">
        <w:t>outcomes relating to</w:t>
      </w:r>
      <w:r w:rsidR="006F6944">
        <w:t xml:space="preserve"> </w:t>
      </w:r>
      <w:r w:rsidR="00AB7CD4">
        <w:t>employment</w:t>
      </w:r>
      <w:r w:rsidR="00CD0704">
        <w:t xml:space="preserve"> </w:t>
      </w:r>
      <w:r w:rsidR="0009795D">
        <w:t>(</w:t>
      </w:r>
      <w:r w:rsidR="00D66971">
        <w:t>o</w:t>
      </w:r>
      <w:r w:rsidR="0078384F">
        <w:t>utcome</w:t>
      </w:r>
      <w:r w:rsidR="00EA75A1">
        <w:t xml:space="preserve"> 8</w:t>
      </w:r>
      <w:r w:rsidR="00F157CA">
        <w:t xml:space="preserve"> </w:t>
      </w:r>
      <w:r w:rsidR="003E7E2E">
        <w:rPr>
          <w:rFonts w:cstheme="minorHAnsi"/>
        </w:rPr>
        <w:t>–</w:t>
      </w:r>
      <w:r w:rsidR="00482689">
        <w:t xml:space="preserve"> e</w:t>
      </w:r>
      <w:r w:rsidR="00482689" w:rsidRPr="00482689">
        <w:t xml:space="preserve">conomic participation </w:t>
      </w:r>
      <w:r w:rsidR="00B45D1E">
        <w:t>and</w:t>
      </w:r>
      <w:r w:rsidR="00482689" w:rsidRPr="00482689">
        <w:t xml:space="preserve"> development</w:t>
      </w:r>
      <w:r w:rsidR="00EA75A1">
        <w:t xml:space="preserve">) </w:t>
      </w:r>
      <w:r w:rsidR="00CD0704">
        <w:t>and justice</w:t>
      </w:r>
      <w:r w:rsidR="00EA16A0">
        <w:t xml:space="preserve"> (</w:t>
      </w:r>
      <w:r w:rsidR="00D66971">
        <w:t>o</w:t>
      </w:r>
      <w:r w:rsidR="0078384F">
        <w:t>utcome</w:t>
      </w:r>
      <w:r w:rsidR="00EA16A0">
        <w:t xml:space="preserve"> 1</w:t>
      </w:r>
      <w:r w:rsidR="00631523">
        <w:t xml:space="preserve">0 </w:t>
      </w:r>
      <w:r w:rsidR="003E7E2E">
        <w:rPr>
          <w:rFonts w:cstheme="minorHAnsi"/>
        </w:rPr>
        <w:t>–</w:t>
      </w:r>
      <w:r w:rsidR="00631523">
        <w:t xml:space="preserve"> criminal </w:t>
      </w:r>
      <w:r w:rsidR="007A2D64">
        <w:t>justice)</w:t>
      </w:r>
      <w:r w:rsidR="00CD0704">
        <w:t xml:space="preserve"> </w:t>
      </w:r>
      <w:r w:rsidR="000F66B6">
        <w:t>(</w:t>
      </w:r>
      <w:r w:rsidR="00D57153">
        <w:t xml:space="preserve">Australian Council of TESOL Associations, </w:t>
      </w:r>
      <w:r w:rsidR="000F66B6">
        <w:t>sub</w:t>
      </w:r>
      <w:r w:rsidR="007D40E0">
        <w:t>.</w:t>
      </w:r>
      <w:r w:rsidR="005634D7">
        <w:t> </w:t>
      </w:r>
      <w:r w:rsidR="000F66B6">
        <w:t>11</w:t>
      </w:r>
      <w:r w:rsidR="00D80774">
        <w:t>, p</w:t>
      </w:r>
      <w:r w:rsidR="007D40E0">
        <w:t>.</w:t>
      </w:r>
      <w:r w:rsidR="005634D7">
        <w:t> </w:t>
      </w:r>
      <w:r w:rsidR="00D80774">
        <w:t>21</w:t>
      </w:r>
      <w:r w:rsidR="000F66B6">
        <w:t>)</w:t>
      </w:r>
    </w:p>
    <w:p w14:paraId="6229386A" w14:textId="33D7BE7D" w:rsidR="006E1D58" w:rsidRDefault="0031657F" w:rsidP="00376C0C">
      <w:pPr>
        <w:pStyle w:val="ListBullet"/>
      </w:pPr>
      <w:r>
        <w:t>the value of</w:t>
      </w:r>
      <w:r w:rsidR="003E47E4">
        <w:t xml:space="preserve"> supporting cultural expression </w:t>
      </w:r>
      <w:r w:rsidR="00F40696">
        <w:t>was absent from outcomes rela</w:t>
      </w:r>
      <w:r w:rsidR="00954B96">
        <w:t>ting to</w:t>
      </w:r>
      <w:r w:rsidR="00F40696">
        <w:t xml:space="preserve"> </w:t>
      </w:r>
      <w:r w:rsidR="00FE5587">
        <w:t xml:space="preserve">physical </w:t>
      </w:r>
      <w:r w:rsidR="00222A2E">
        <w:t>(</w:t>
      </w:r>
      <w:r w:rsidR="00D66971">
        <w:t>o</w:t>
      </w:r>
      <w:r w:rsidR="001E79E4">
        <w:t>utcome</w:t>
      </w:r>
      <w:r w:rsidR="00222A2E">
        <w:t xml:space="preserve"> 1 – long </w:t>
      </w:r>
      <w:r w:rsidR="007D4E67">
        <w:t>and</w:t>
      </w:r>
      <w:r w:rsidR="00222A2E">
        <w:t xml:space="preserve"> healthy lives) </w:t>
      </w:r>
      <w:r w:rsidR="00FE5587">
        <w:t>and emotional</w:t>
      </w:r>
      <w:r w:rsidR="00011F12">
        <w:t xml:space="preserve"> </w:t>
      </w:r>
      <w:r w:rsidR="00FE5587">
        <w:t>wellbeing</w:t>
      </w:r>
      <w:r w:rsidR="00222A2E">
        <w:t xml:space="preserve"> (</w:t>
      </w:r>
      <w:r w:rsidR="00D66971">
        <w:t>o</w:t>
      </w:r>
      <w:r w:rsidR="001E79E4">
        <w:t>utcome</w:t>
      </w:r>
      <w:r w:rsidR="00941891">
        <w:t xml:space="preserve"> 14 – social and emotional wellbeing)</w:t>
      </w:r>
      <w:r w:rsidR="003E47E4">
        <w:t xml:space="preserve"> </w:t>
      </w:r>
      <w:r w:rsidR="000F66B6">
        <w:t>(</w:t>
      </w:r>
      <w:r w:rsidR="00951158" w:rsidRPr="00951158">
        <w:t>Federation of Victorian Traditional Owner Corporations, sub.</w:t>
      </w:r>
      <w:r w:rsidR="005634D7">
        <w:t> </w:t>
      </w:r>
      <w:r w:rsidR="00951158" w:rsidRPr="00951158">
        <w:t>24, p.</w:t>
      </w:r>
      <w:r w:rsidR="005634D7">
        <w:t> </w:t>
      </w:r>
      <w:r w:rsidR="00951158" w:rsidRPr="00951158">
        <w:t>2;</w:t>
      </w:r>
      <w:r w:rsidR="001C489A">
        <w:t xml:space="preserve"> </w:t>
      </w:r>
      <w:r w:rsidR="002C6629" w:rsidRPr="002C6629">
        <w:t xml:space="preserve">Kimberley Aboriginal Law and Culture Centre, </w:t>
      </w:r>
      <w:r w:rsidR="000F66B6">
        <w:t>sub</w:t>
      </w:r>
      <w:r w:rsidR="004C0916">
        <w:t>.</w:t>
      </w:r>
      <w:r w:rsidR="00076ADF">
        <w:t> </w:t>
      </w:r>
      <w:r w:rsidR="000F66B6">
        <w:t>2</w:t>
      </w:r>
      <w:r>
        <w:t>3</w:t>
      </w:r>
      <w:r w:rsidR="00803D16">
        <w:t>, p</w:t>
      </w:r>
      <w:r w:rsidR="004C0916">
        <w:t>p</w:t>
      </w:r>
      <w:r w:rsidR="005157F8">
        <w:t>.</w:t>
      </w:r>
      <w:r w:rsidR="005634D7">
        <w:t> </w:t>
      </w:r>
      <w:r w:rsidR="00803D16">
        <w:t>6</w:t>
      </w:r>
      <w:r w:rsidR="00827859">
        <w:noBreakHyphen/>
      </w:r>
      <w:r w:rsidR="00803D16">
        <w:t>7</w:t>
      </w:r>
      <w:r w:rsidR="000F66B6">
        <w:t>)</w:t>
      </w:r>
    </w:p>
    <w:p w14:paraId="5826469A" w14:textId="482F6B12" w:rsidR="00655CB3" w:rsidRPr="00125F9C" w:rsidRDefault="00E571FB" w:rsidP="00376C0C">
      <w:pPr>
        <w:pStyle w:val="ListBullet"/>
        <w:rPr>
          <w:spacing w:val="-4"/>
        </w:rPr>
      </w:pPr>
      <w:r w:rsidRPr="00125F9C">
        <w:rPr>
          <w:spacing w:val="-4"/>
        </w:rPr>
        <w:t xml:space="preserve">there was no acknowledgement of </w:t>
      </w:r>
      <w:r w:rsidR="003E47E4" w:rsidRPr="00125F9C">
        <w:rPr>
          <w:spacing w:val="-4"/>
        </w:rPr>
        <w:t xml:space="preserve">the </w:t>
      </w:r>
      <w:r w:rsidR="00C45B4D" w:rsidRPr="00125F9C">
        <w:rPr>
          <w:spacing w:val="-4"/>
        </w:rPr>
        <w:t xml:space="preserve">role </w:t>
      </w:r>
      <w:r w:rsidR="00115CAA" w:rsidRPr="00125F9C">
        <w:rPr>
          <w:spacing w:val="-4"/>
        </w:rPr>
        <w:t>of</w:t>
      </w:r>
      <w:r w:rsidR="003E47E4" w:rsidRPr="00125F9C">
        <w:rPr>
          <w:spacing w:val="-4"/>
        </w:rPr>
        <w:t xml:space="preserve"> </w:t>
      </w:r>
      <w:r w:rsidR="00C45B4D" w:rsidRPr="00125F9C">
        <w:rPr>
          <w:spacing w:val="-4"/>
        </w:rPr>
        <w:t xml:space="preserve">the </w:t>
      </w:r>
      <w:r w:rsidR="003E47E4" w:rsidRPr="00125F9C">
        <w:rPr>
          <w:spacing w:val="-4"/>
        </w:rPr>
        <w:t xml:space="preserve">Aboriginal and Torres Strait Islander business sector </w:t>
      </w:r>
      <w:r w:rsidR="00C45B4D" w:rsidRPr="00125F9C">
        <w:rPr>
          <w:spacing w:val="-4"/>
        </w:rPr>
        <w:t xml:space="preserve">in </w:t>
      </w:r>
      <w:r w:rsidR="000F66B6" w:rsidRPr="00125F9C">
        <w:rPr>
          <w:spacing w:val="-4"/>
        </w:rPr>
        <w:t xml:space="preserve">supporting economic development and employment </w:t>
      </w:r>
      <w:r w:rsidR="006C4235" w:rsidRPr="00125F9C">
        <w:rPr>
          <w:spacing w:val="-4"/>
        </w:rPr>
        <w:t>(</w:t>
      </w:r>
      <w:r w:rsidR="00FB6928" w:rsidRPr="00125F9C">
        <w:rPr>
          <w:spacing w:val="-4"/>
        </w:rPr>
        <w:t>o</w:t>
      </w:r>
      <w:r w:rsidR="001E79E4" w:rsidRPr="00125F9C">
        <w:rPr>
          <w:spacing w:val="-4"/>
        </w:rPr>
        <w:t>utcome</w:t>
      </w:r>
      <w:r w:rsidR="006C4235" w:rsidRPr="00125F9C">
        <w:rPr>
          <w:spacing w:val="-4"/>
        </w:rPr>
        <w:t xml:space="preserve"> 8 </w:t>
      </w:r>
      <w:r w:rsidR="003E7E2E" w:rsidRPr="00125F9C">
        <w:rPr>
          <w:rFonts w:cstheme="minorHAnsi"/>
          <w:spacing w:val="-4"/>
        </w:rPr>
        <w:t>–</w:t>
      </w:r>
      <w:r w:rsidR="006C4235" w:rsidRPr="00125F9C">
        <w:rPr>
          <w:spacing w:val="-4"/>
        </w:rPr>
        <w:t xml:space="preserve"> economic participation </w:t>
      </w:r>
      <w:r w:rsidR="007D4E67" w:rsidRPr="00125F9C">
        <w:rPr>
          <w:spacing w:val="-4"/>
        </w:rPr>
        <w:t>and</w:t>
      </w:r>
      <w:r w:rsidR="006C4235" w:rsidRPr="00125F9C">
        <w:rPr>
          <w:spacing w:val="-4"/>
        </w:rPr>
        <w:t xml:space="preserve"> development) </w:t>
      </w:r>
      <w:r w:rsidR="003E47E4" w:rsidRPr="00125F9C">
        <w:rPr>
          <w:spacing w:val="-4"/>
        </w:rPr>
        <w:t>(</w:t>
      </w:r>
      <w:r w:rsidR="009425B2" w:rsidRPr="00125F9C">
        <w:rPr>
          <w:spacing w:val="-4"/>
        </w:rPr>
        <w:t>Indigenous Business Australia, sub. 29, pp.</w:t>
      </w:r>
      <w:r w:rsidR="005634D7" w:rsidRPr="00125F9C">
        <w:rPr>
          <w:spacing w:val="-4"/>
        </w:rPr>
        <w:t> </w:t>
      </w:r>
      <w:r w:rsidR="009425B2" w:rsidRPr="00125F9C">
        <w:rPr>
          <w:spacing w:val="-4"/>
        </w:rPr>
        <w:t>8, 12</w:t>
      </w:r>
      <w:r w:rsidR="00CA5BCA" w:rsidRPr="00125F9C">
        <w:rPr>
          <w:spacing w:val="-4"/>
        </w:rPr>
        <w:t>;</w:t>
      </w:r>
      <w:r w:rsidR="00E45CA5" w:rsidRPr="00125F9C">
        <w:rPr>
          <w:spacing w:val="-4"/>
        </w:rPr>
        <w:t xml:space="preserve"> </w:t>
      </w:r>
      <w:r w:rsidR="00211DBF" w:rsidRPr="00125F9C">
        <w:rPr>
          <w:spacing w:val="-4"/>
        </w:rPr>
        <w:t xml:space="preserve">Kinaway Chamber of Commerce, </w:t>
      </w:r>
      <w:r w:rsidR="000F66B6" w:rsidRPr="00125F9C">
        <w:rPr>
          <w:spacing w:val="-4"/>
        </w:rPr>
        <w:t>sub</w:t>
      </w:r>
      <w:r w:rsidR="00211DBF" w:rsidRPr="00125F9C">
        <w:rPr>
          <w:spacing w:val="-4"/>
        </w:rPr>
        <w:t>.</w:t>
      </w:r>
      <w:r w:rsidR="00076ADF" w:rsidRPr="00125F9C">
        <w:rPr>
          <w:spacing w:val="-4"/>
        </w:rPr>
        <w:t> </w:t>
      </w:r>
      <w:r w:rsidR="003E47E4" w:rsidRPr="00125F9C">
        <w:rPr>
          <w:spacing w:val="-4"/>
        </w:rPr>
        <w:t>2</w:t>
      </w:r>
      <w:r w:rsidR="0031657F" w:rsidRPr="00125F9C">
        <w:rPr>
          <w:spacing w:val="-4"/>
        </w:rPr>
        <w:t>1</w:t>
      </w:r>
      <w:r w:rsidR="00211DBF" w:rsidRPr="00125F9C">
        <w:rPr>
          <w:spacing w:val="-4"/>
        </w:rPr>
        <w:t xml:space="preserve">, </w:t>
      </w:r>
      <w:r w:rsidR="008E0970" w:rsidRPr="00125F9C">
        <w:rPr>
          <w:spacing w:val="-4"/>
        </w:rPr>
        <w:t>p.</w:t>
      </w:r>
      <w:r w:rsidR="005634D7" w:rsidRPr="00125F9C">
        <w:rPr>
          <w:spacing w:val="-4"/>
        </w:rPr>
        <w:t> </w:t>
      </w:r>
      <w:r w:rsidR="008E0970" w:rsidRPr="00125F9C">
        <w:rPr>
          <w:spacing w:val="-4"/>
        </w:rPr>
        <w:t>4</w:t>
      </w:r>
      <w:r w:rsidR="003E47E4" w:rsidRPr="00125F9C">
        <w:rPr>
          <w:spacing w:val="-4"/>
        </w:rPr>
        <w:t xml:space="preserve">). </w:t>
      </w:r>
    </w:p>
    <w:p w14:paraId="2BBC71D6" w14:textId="660BF98C" w:rsidR="007C1538" w:rsidRDefault="00CE79AC" w:rsidP="003A48D6">
      <w:pPr>
        <w:pStyle w:val="BodyText"/>
        <w:rPr>
          <w:i/>
        </w:rPr>
      </w:pPr>
      <w:r>
        <w:t>Review participants</w:t>
      </w:r>
      <w:r w:rsidR="00B76E1C" w:rsidRPr="00376C0C">
        <w:t xml:space="preserve"> </w:t>
      </w:r>
      <w:r w:rsidR="00E06576">
        <w:t>also expressed</w:t>
      </w:r>
      <w:r w:rsidR="00E03BE2" w:rsidRPr="00FB02DA">
        <w:t xml:space="preserve"> </w:t>
      </w:r>
      <w:r w:rsidR="00E03BE2">
        <w:t xml:space="preserve">concern about how well the targets </w:t>
      </w:r>
      <w:r w:rsidR="00473E1A">
        <w:t>reflect</w:t>
      </w:r>
      <w:r w:rsidR="00E571FB">
        <w:t>ed</w:t>
      </w:r>
      <w:r w:rsidR="00473E1A">
        <w:t xml:space="preserve"> the </w:t>
      </w:r>
      <w:r w:rsidR="00AE0E33">
        <w:t xml:space="preserve">scope </w:t>
      </w:r>
      <w:r w:rsidR="008F5616">
        <w:t xml:space="preserve">and intent </w:t>
      </w:r>
      <w:r w:rsidR="00DF4A21">
        <w:t>of</w:t>
      </w:r>
      <w:r w:rsidR="008F5616">
        <w:t xml:space="preserve"> the</w:t>
      </w:r>
      <w:r w:rsidR="00473E1A">
        <w:t xml:space="preserve"> </w:t>
      </w:r>
      <w:r w:rsidR="007C4B6C">
        <w:t>socio</w:t>
      </w:r>
      <w:r w:rsidR="00827859">
        <w:noBreakHyphen/>
      </w:r>
      <w:r w:rsidR="007C4B6C">
        <w:t xml:space="preserve">economic outcomes that they are </w:t>
      </w:r>
      <w:r w:rsidR="00054803">
        <w:t>intended to measure</w:t>
      </w:r>
      <w:r w:rsidR="00565D93">
        <w:t xml:space="preserve"> </w:t>
      </w:r>
      <w:r w:rsidR="00A51BF6" w:rsidRPr="00A51BF6">
        <w:rPr>
          <w:rFonts w:ascii="Arial" w:hAnsi="Arial" w:cs="Arial"/>
          <w:szCs w:val="24"/>
        </w:rPr>
        <w:t>(PC 2023d, p. 16)</w:t>
      </w:r>
      <w:r w:rsidR="00054803">
        <w:t xml:space="preserve">. </w:t>
      </w:r>
      <w:r w:rsidR="00B37FC8">
        <w:t>For example,</w:t>
      </w:r>
      <w:r w:rsidR="003407EF" w:rsidDel="000D695B">
        <w:t xml:space="preserve"> </w:t>
      </w:r>
      <w:r w:rsidR="00762D2B">
        <w:t>socio</w:t>
      </w:r>
      <w:r w:rsidR="008F2971">
        <w:noBreakHyphen/>
      </w:r>
      <w:r w:rsidR="00762D2B">
        <w:t>eco</w:t>
      </w:r>
      <w:r w:rsidR="003B036B">
        <w:t>nomic out</w:t>
      </w:r>
      <w:r w:rsidR="009D11E5">
        <w:t>come 3</w:t>
      </w:r>
      <w:r w:rsidR="00B37FC8">
        <w:t xml:space="preserve"> </w:t>
      </w:r>
      <w:r w:rsidR="00184514">
        <w:t>aims</w:t>
      </w:r>
      <w:r w:rsidR="00DF0CCB">
        <w:t xml:space="preserve"> for </w:t>
      </w:r>
      <w:r w:rsidR="00677091">
        <w:t>children</w:t>
      </w:r>
      <w:r w:rsidR="00B40082">
        <w:t xml:space="preserve"> </w:t>
      </w:r>
      <w:r w:rsidR="00184514">
        <w:t>to be</w:t>
      </w:r>
      <w:r w:rsidR="00B40082">
        <w:t xml:space="preserve"> engaged in high qual</w:t>
      </w:r>
      <w:r w:rsidR="00227EDE">
        <w:t xml:space="preserve">ity, </w:t>
      </w:r>
      <w:r w:rsidR="00B908A9">
        <w:t>culturally</w:t>
      </w:r>
      <w:r w:rsidR="00227EDE">
        <w:t xml:space="preserve"> appropriate </w:t>
      </w:r>
      <w:r w:rsidR="000E6BDE">
        <w:t>early childhood education</w:t>
      </w:r>
      <w:r w:rsidR="009616D0">
        <w:t xml:space="preserve">, </w:t>
      </w:r>
      <w:r w:rsidR="00CD1ACB">
        <w:t xml:space="preserve">but </w:t>
      </w:r>
      <w:r w:rsidR="009616D0">
        <w:t xml:space="preserve">target 3 </w:t>
      </w:r>
      <w:r w:rsidR="003E2D59">
        <w:t xml:space="preserve">only </w:t>
      </w:r>
      <w:r w:rsidR="00C07DB3">
        <w:t>measures the</w:t>
      </w:r>
      <w:r w:rsidR="003E2D59">
        <w:t xml:space="preserve"> </w:t>
      </w:r>
      <w:r w:rsidR="00E0603E">
        <w:t>percentage</w:t>
      </w:r>
      <w:r w:rsidR="009A0991">
        <w:t xml:space="preserve"> </w:t>
      </w:r>
      <w:r w:rsidR="003E2D59">
        <w:t>of</w:t>
      </w:r>
      <w:r w:rsidR="009616D0">
        <w:t xml:space="preserve"> Aboriginal and Torres Strait Islander children </w:t>
      </w:r>
      <w:r w:rsidR="00E0603E">
        <w:t xml:space="preserve">enrolled </w:t>
      </w:r>
      <w:r w:rsidR="009616D0">
        <w:t>in year</w:t>
      </w:r>
      <w:r w:rsidR="009616D0">
        <w:noBreakHyphen/>
        <w:t>before</w:t>
      </w:r>
      <w:r w:rsidR="009616D0">
        <w:noBreakHyphen/>
        <w:t>fulltime</w:t>
      </w:r>
      <w:r w:rsidR="009616D0">
        <w:noBreakHyphen/>
        <w:t xml:space="preserve">schooling programs </w:t>
      </w:r>
      <w:r w:rsidR="008D6A64">
        <w:t>(</w:t>
      </w:r>
      <w:r w:rsidR="006436ED" w:rsidRPr="006436ED">
        <w:t>Translational Research in Indigenous Language Ecologies Collective</w:t>
      </w:r>
      <w:r w:rsidR="006436ED">
        <w:t xml:space="preserve">, </w:t>
      </w:r>
      <w:r w:rsidR="008D6A64">
        <w:t>sub</w:t>
      </w:r>
      <w:r w:rsidR="008612A5">
        <w:t>.</w:t>
      </w:r>
      <w:r w:rsidR="005634D7">
        <w:t> </w:t>
      </w:r>
      <w:r w:rsidR="008D6A64">
        <w:t>20</w:t>
      </w:r>
      <w:r w:rsidR="009308A2">
        <w:t>, p.</w:t>
      </w:r>
      <w:r w:rsidR="005634D7">
        <w:t> </w:t>
      </w:r>
      <w:r w:rsidR="006152EB">
        <w:t>3</w:t>
      </w:r>
      <w:r w:rsidR="00EC6C31">
        <w:t>)</w:t>
      </w:r>
      <w:r w:rsidR="008D6A64">
        <w:t>.</w:t>
      </w:r>
      <w:r w:rsidR="007F0B6C">
        <w:t xml:space="preserve"> </w:t>
      </w:r>
      <w:r w:rsidR="00E51E45">
        <w:t xml:space="preserve">Similarly, </w:t>
      </w:r>
      <w:r w:rsidR="006179A0">
        <w:t xml:space="preserve">the </w:t>
      </w:r>
      <w:r w:rsidR="00E51E45">
        <w:t xml:space="preserve">targets for </w:t>
      </w:r>
      <w:r w:rsidR="00991017">
        <w:t>socio</w:t>
      </w:r>
      <w:r w:rsidR="00827859">
        <w:noBreakHyphen/>
      </w:r>
      <w:r w:rsidR="00991017">
        <w:t xml:space="preserve">economic </w:t>
      </w:r>
      <w:r w:rsidR="00E51E45">
        <w:t>outcome 15</w:t>
      </w:r>
      <w:r w:rsidR="00F50807">
        <w:t xml:space="preserve"> (p</w:t>
      </w:r>
      <w:r w:rsidR="00F50807" w:rsidRPr="00F50807">
        <w:t>eople maintain a distinctive cultural, spiritual, physical and economic relationship with their land and waters</w:t>
      </w:r>
      <w:r w:rsidR="00F50807">
        <w:t>)</w:t>
      </w:r>
      <w:r w:rsidR="00C82A5B">
        <w:t xml:space="preserve"> </w:t>
      </w:r>
      <w:r w:rsidR="006F3BD8">
        <w:t>aim to</w:t>
      </w:r>
      <w:r w:rsidR="00E51E45">
        <w:t xml:space="preserve"> increas</w:t>
      </w:r>
      <w:r w:rsidR="002E1D1C">
        <w:t>e</w:t>
      </w:r>
      <w:r w:rsidR="00E51E45">
        <w:t xml:space="preserve"> the amount of land</w:t>
      </w:r>
      <w:r w:rsidR="00776969">
        <w:t xml:space="preserve"> and sea</w:t>
      </w:r>
      <w:r w:rsidR="00E51E45">
        <w:t xml:space="preserve"> hel</w:t>
      </w:r>
      <w:r w:rsidR="000204DA">
        <w:t>d</w:t>
      </w:r>
      <w:r w:rsidR="00E51E45">
        <w:t xml:space="preserve"> under native titl</w:t>
      </w:r>
      <w:r w:rsidR="00D617DD">
        <w:t>e</w:t>
      </w:r>
      <w:r w:rsidR="00495005">
        <w:t xml:space="preserve"> rather than address whether those rights can be meaningfully exercised (</w:t>
      </w:r>
      <w:r w:rsidR="00495005" w:rsidRPr="00DB7AC3">
        <w:t xml:space="preserve">Federation of </w:t>
      </w:r>
      <w:r w:rsidR="00495005" w:rsidRPr="005157F8">
        <w:t xml:space="preserve">Victorian Traditional Owner Corporations, </w:t>
      </w:r>
      <w:r w:rsidR="00093DFE" w:rsidRPr="005157F8">
        <w:t>s</w:t>
      </w:r>
      <w:r w:rsidR="00495005" w:rsidRPr="005157F8">
        <w:t>ub</w:t>
      </w:r>
      <w:r w:rsidR="005157F8" w:rsidRPr="005157F8">
        <w:t>.</w:t>
      </w:r>
      <w:r w:rsidR="005634D7">
        <w:t> </w:t>
      </w:r>
      <w:r w:rsidR="00495005" w:rsidRPr="005157F8">
        <w:t>24, p</w:t>
      </w:r>
      <w:r w:rsidR="005157F8" w:rsidRPr="005157F8">
        <w:t>.</w:t>
      </w:r>
      <w:r w:rsidR="005634D7">
        <w:t> </w:t>
      </w:r>
      <w:r w:rsidR="005157F8" w:rsidRPr="005157F8">
        <w:t>5</w:t>
      </w:r>
      <w:r w:rsidR="00495005" w:rsidRPr="005157F8">
        <w:t>)</w:t>
      </w:r>
      <w:r w:rsidR="0079582E">
        <w:t>.</w:t>
      </w:r>
      <w:r w:rsidR="00D051A6" w:rsidRPr="005157F8">
        <w:t xml:space="preserve"> </w:t>
      </w:r>
      <w:r w:rsidR="0079582E">
        <w:t xml:space="preserve">As targets are </w:t>
      </w:r>
      <w:r w:rsidR="0079582E">
        <w:lastRenderedPageBreak/>
        <w:t xml:space="preserve">the key measures by which governments are accountable, there is a risk that </w:t>
      </w:r>
      <w:r w:rsidR="006C797A">
        <w:t>any</w:t>
      </w:r>
      <w:r w:rsidR="0079582E">
        <w:t xml:space="preserve"> </w:t>
      </w:r>
      <w:r w:rsidR="00B21EDB">
        <w:t>important</w:t>
      </w:r>
      <w:r w:rsidR="00642512">
        <w:t xml:space="preserve"> </w:t>
      </w:r>
      <w:r w:rsidR="0079582E">
        <w:t xml:space="preserve">aspects </w:t>
      </w:r>
      <w:r w:rsidR="0082050F">
        <w:t xml:space="preserve">of </w:t>
      </w:r>
      <w:r w:rsidR="007724E7">
        <w:t>the outcomes</w:t>
      </w:r>
      <w:r w:rsidR="0082050F">
        <w:t xml:space="preserve"> </w:t>
      </w:r>
      <w:r w:rsidR="005B2D18">
        <w:t>not cover</w:t>
      </w:r>
      <w:r w:rsidR="0082050F">
        <w:t>ed by the respective targets</w:t>
      </w:r>
      <w:r w:rsidR="005B2D18">
        <w:t xml:space="preserve"> </w:t>
      </w:r>
      <w:r w:rsidR="0079582E">
        <w:t>will be overlooked.</w:t>
      </w:r>
      <w:r w:rsidR="00AB2BB1">
        <w:t xml:space="preserve"> </w:t>
      </w:r>
      <w:r w:rsidR="004E3EAF">
        <w:t xml:space="preserve">These gaps </w:t>
      </w:r>
      <w:r w:rsidR="004321AF">
        <w:t>might be addressed</w:t>
      </w:r>
      <w:r w:rsidR="00413605">
        <w:t xml:space="preserve"> in some areas</w:t>
      </w:r>
      <w:r w:rsidR="004321AF">
        <w:t xml:space="preserve"> by</w:t>
      </w:r>
      <w:r w:rsidR="009E3830">
        <w:t xml:space="preserve"> elevat</w:t>
      </w:r>
      <w:r w:rsidR="0044168E">
        <w:t>ing</w:t>
      </w:r>
      <w:r w:rsidR="009E3830">
        <w:t xml:space="preserve"> a</w:t>
      </w:r>
      <w:r w:rsidR="00DF3B6B">
        <w:t>n</w:t>
      </w:r>
      <w:r w:rsidR="009E3830">
        <w:t xml:space="preserve"> </w:t>
      </w:r>
      <w:r w:rsidR="00DF3B6B">
        <w:t xml:space="preserve">existing </w:t>
      </w:r>
      <w:r w:rsidR="009E3830">
        <w:t>supporting indicator to be an additional or replacement target</w:t>
      </w:r>
      <w:r w:rsidR="00B534A0">
        <w:t>.</w:t>
      </w:r>
      <w:r w:rsidR="0020210B">
        <w:t xml:space="preserve"> </w:t>
      </w:r>
    </w:p>
    <w:p w14:paraId="5A27795B" w14:textId="5BDD758B" w:rsidR="003A48D6" w:rsidRPr="00125F9C" w:rsidRDefault="0027443B" w:rsidP="003A48D6">
      <w:pPr>
        <w:pStyle w:val="BodyText"/>
        <w:rPr>
          <w:spacing w:val="-2"/>
        </w:rPr>
      </w:pPr>
      <w:r w:rsidRPr="00125F9C">
        <w:rPr>
          <w:iCs/>
          <w:spacing w:val="-2"/>
        </w:rPr>
        <w:t>In some cases</w:t>
      </w:r>
      <w:r w:rsidR="00AD601D" w:rsidRPr="00125F9C">
        <w:rPr>
          <w:iCs/>
          <w:spacing w:val="-2"/>
        </w:rPr>
        <w:t>,</w:t>
      </w:r>
      <w:r w:rsidR="00B35F63" w:rsidRPr="00125F9C">
        <w:rPr>
          <w:iCs/>
          <w:spacing w:val="-2"/>
        </w:rPr>
        <w:t xml:space="preserve"> </w:t>
      </w:r>
      <w:r w:rsidR="008106BC" w:rsidRPr="00125F9C">
        <w:rPr>
          <w:iCs/>
          <w:spacing w:val="-2"/>
        </w:rPr>
        <w:t xml:space="preserve">individual jurisdictions have </w:t>
      </w:r>
      <w:r w:rsidR="00B35F63" w:rsidRPr="00125F9C">
        <w:rPr>
          <w:iCs/>
          <w:spacing w:val="-2"/>
        </w:rPr>
        <w:t>adopted</w:t>
      </w:r>
      <w:r w:rsidR="009E2C26" w:rsidRPr="00125F9C">
        <w:rPr>
          <w:iCs/>
          <w:spacing w:val="-2"/>
        </w:rPr>
        <w:t xml:space="preserve"> additional targets, goals or </w:t>
      </w:r>
      <w:r w:rsidR="00372136" w:rsidRPr="00125F9C">
        <w:rPr>
          <w:iCs/>
          <w:spacing w:val="-2"/>
        </w:rPr>
        <w:t>measures</w:t>
      </w:r>
      <w:r w:rsidR="009E2C26" w:rsidRPr="00125F9C">
        <w:rPr>
          <w:iCs/>
          <w:spacing w:val="-2"/>
        </w:rPr>
        <w:t xml:space="preserve"> in their </w:t>
      </w:r>
      <w:r w:rsidR="00BB1871" w:rsidRPr="00125F9C">
        <w:rPr>
          <w:iCs/>
          <w:spacing w:val="-2"/>
        </w:rPr>
        <w:t>implementation plans</w:t>
      </w:r>
      <w:r w:rsidR="000D6FE1" w:rsidRPr="00125F9C">
        <w:rPr>
          <w:iCs/>
          <w:spacing w:val="-2"/>
        </w:rPr>
        <w:t xml:space="preserve"> </w:t>
      </w:r>
      <w:r w:rsidR="0008552E" w:rsidRPr="00125F9C">
        <w:rPr>
          <w:iCs/>
          <w:spacing w:val="-2"/>
        </w:rPr>
        <w:t>to</w:t>
      </w:r>
      <w:r w:rsidR="002E2D62" w:rsidRPr="00125F9C">
        <w:rPr>
          <w:iCs/>
          <w:spacing w:val="-2"/>
        </w:rPr>
        <w:t xml:space="preserve"> address </w:t>
      </w:r>
      <w:r w:rsidR="009E708E" w:rsidRPr="00125F9C">
        <w:rPr>
          <w:iCs/>
          <w:spacing w:val="-2"/>
        </w:rPr>
        <w:t>missing areas</w:t>
      </w:r>
      <w:r w:rsidR="000D6FE1" w:rsidRPr="00125F9C">
        <w:rPr>
          <w:iCs/>
          <w:spacing w:val="-2"/>
        </w:rPr>
        <w:t xml:space="preserve"> (</w:t>
      </w:r>
      <w:r w:rsidR="000D6FE1" w:rsidRPr="00125F9C">
        <w:rPr>
          <w:spacing w:val="-2"/>
        </w:rPr>
        <w:t>box</w:t>
      </w:r>
      <w:r w:rsidR="005634D7" w:rsidRPr="00125F9C">
        <w:rPr>
          <w:spacing w:val="-2"/>
        </w:rPr>
        <w:t> </w:t>
      </w:r>
      <w:r w:rsidR="00B84F35" w:rsidRPr="00125F9C">
        <w:rPr>
          <w:spacing w:val="-2"/>
        </w:rPr>
        <w:t>8</w:t>
      </w:r>
      <w:r w:rsidR="00F72C7C" w:rsidRPr="00125F9C">
        <w:rPr>
          <w:spacing w:val="-2"/>
        </w:rPr>
        <w:t>)</w:t>
      </w:r>
      <w:r w:rsidR="00631628" w:rsidRPr="00125F9C">
        <w:rPr>
          <w:spacing w:val="-2"/>
        </w:rPr>
        <w:t>.</w:t>
      </w:r>
      <w:r w:rsidR="00631628" w:rsidRPr="00125F9C">
        <w:rPr>
          <w:color w:val="FF0000"/>
          <w:spacing w:val="-2"/>
        </w:rPr>
        <w:t xml:space="preserve"> </w:t>
      </w:r>
      <w:r w:rsidR="001D0E44" w:rsidRPr="00125F9C">
        <w:rPr>
          <w:iCs/>
          <w:spacing w:val="-2"/>
        </w:rPr>
        <w:t xml:space="preserve">For example, the ACT, </w:t>
      </w:r>
      <w:r w:rsidR="00AD72EF" w:rsidRPr="00125F9C">
        <w:rPr>
          <w:iCs/>
          <w:spacing w:val="-2"/>
        </w:rPr>
        <w:t>NSW</w:t>
      </w:r>
      <w:r w:rsidR="001D0E44" w:rsidRPr="00125F9C">
        <w:rPr>
          <w:iCs/>
          <w:spacing w:val="-2"/>
        </w:rPr>
        <w:t xml:space="preserve"> and </w:t>
      </w:r>
      <w:r w:rsidR="00894389" w:rsidRPr="00125F9C">
        <w:rPr>
          <w:iCs/>
          <w:spacing w:val="-2"/>
        </w:rPr>
        <w:t>Victoria</w:t>
      </w:r>
      <w:r w:rsidR="0008552E" w:rsidRPr="00125F9C">
        <w:rPr>
          <w:iCs/>
          <w:spacing w:val="-2"/>
        </w:rPr>
        <w:t xml:space="preserve">n </w:t>
      </w:r>
      <w:r w:rsidR="00182929" w:rsidRPr="00125F9C">
        <w:rPr>
          <w:iCs/>
          <w:spacing w:val="-2"/>
        </w:rPr>
        <w:t>G</w:t>
      </w:r>
      <w:r w:rsidR="0008552E" w:rsidRPr="00125F9C">
        <w:rPr>
          <w:iCs/>
          <w:spacing w:val="-2"/>
        </w:rPr>
        <w:t>overnments</w:t>
      </w:r>
      <w:r w:rsidR="00894389" w:rsidRPr="00125F9C">
        <w:rPr>
          <w:iCs/>
          <w:spacing w:val="-2"/>
        </w:rPr>
        <w:t xml:space="preserve"> have eac</w:t>
      </w:r>
      <w:r w:rsidR="0085713D" w:rsidRPr="00125F9C">
        <w:rPr>
          <w:iCs/>
          <w:spacing w:val="-2"/>
        </w:rPr>
        <w:t xml:space="preserve">h </w:t>
      </w:r>
      <w:r w:rsidR="00805B24" w:rsidRPr="00125F9C">
        <w:rPr>
          <w:iCs/>
          <w:spacing w:val="-2"/>
        </w:rPr>
        <w:t xml:space="preserve">committed to </w:t>
      </w:r>
      <w:r w:rsidR="007E1461" w:rsidRPr="00125F9C">
        <w:rPr>
          <w:iCs/>
          <w:spacing w:val="-2"/>
        </w:rPr>
        <w:t xml:space="preserve">targets </w:t>
      </w:r>
      <w:r w:rsidR="000456D6" w:rsidRPr="00125F9C">
        <w:rPr>
          <w:iCs/>
          <w:spacing w:val="-2"/>
        </w:rPr>
        <w:t>or</w:t>
      </w:r>
      <w:r w:rsidR="007E1461" w:rsidRPr="00125F9C">
        <w:rPr>
          <w:iCs/>
          <w:spacing w:val="-2"/>
        </w:rPr>
        <w:t xml:space="preserve"> goals to </w:t>
      </w:r>
      <w:r w:rsidR="0040421E" w:rsidRPr="00125F9C">
        <w:rPr>
          <w:iCs/>
          <w:spacing w:val="-2"/>
        </w:rPr>
        <w:t>grow the Aboriginal and Torres Strait Islander business sector.</w:t>
      </w:r>
      <w:r w:rsidR="00114EEB" w:rsidRPr="00125F9C">
        <w:rPr>
          <w:iCs/>
          <w:spacing w:val="-2"/>
        </w:rPr>
        <w:t xml:space="preserve"> </w:t>
      </w:r>
      <w:r w:rsidR="00630EC9" w:rsidRPr="00125F9C">
        <w:rPr>
          <w:iCs/>
          <w:spacing w:val="-2"/>
        </w:rPr>
        <w:t>Committing</w:t>
      </w:r>
      <w:r w:rsidR="006A4C98" w:rsidRPr="00125F9C">
        <w:rPr>
          <w:iCs/>
          <w:spacing w:val="-2"/>
        </w:rPr>
        <w:t xml:space="preserve"> to </w:t>
      </w:r>
      <w:r w:rsidR="0014178E" w:rsidRPr="00125F9C">
        <w:rPr>
          <w:iCs/>
          <w:spacing w:val="-2"/>
        </w:rPr>
        <w:t xml:space="preserve">additional targets </w:t>
      </w:r>
      <w:r w:rsidR="000366E1" w:rsidRPr="00125F9C">
        <w:rPr>
          <w:iCs/>
          <w:spacing w:val="-2"/>
        </w:rPr>
        <w:t>may</w:t>
      </w:r>
      <w:r w:rsidR="00630EC9" w:rsidRPr="00125F9C">
        <w:rPr>
          <w:iCs/>
          <w:spacing w:val="-2"/>
        </w:rPr>
        <w:t xml:space="preserve"> allow governments and Aboriginal and Torres Strait Islander partners to </w:t>
      </w:r>
      <w:r w:rsidR="001D7B8E" w:rsidRPr="00125F9C">
        <w:rPr>
          <w:iCs/>
          <w:spacing w:val="-2"/>
        </w:rPr>
        <w:t xml:space="preserve">direct their </w:t>
      </w:r>
      <w:r w:rsidR="00422D70" w:rsidRPr="00125F9C">
        <w:rPr>
          <w:iCs/>
          <w:spacing w:val="-2"/>
        </w:rPr>
        <w:t xml:space="preserve">effort </w:t>
      </w:r>
      <w:r w:rsidR="002B43D7" w:rsidRPr="00125F9C">
        <w:rPr>
          <w:iCs/>
          <w:spacing w:val="-2"/>
        </w:rPr>
        <w:t xml:space="preserve">to </w:t>
      </w:r>
      <w:r w:rsidR="00372136" w:rsidRPr="00125F9C">
        <w:rPr>
          <w:iCs/>
          <w:spacing w:val="-2"/>
        </w:rPr>
        <w:t>particular</w:t>
      </w:r>
      <w:r w:rsidR="005E4C85" w:rsidRPr="00125F9C">
        <w:rPr>
          <w:iCs/>
          <w:spacing w:val="-2"/>
        </w:rPr>
        <w:t xml:space="preserve"> priorities </w:t>
      </w:r>
      <w:r w:rsidR="00082E5F" w:rsidRPr="00125F9C">
        <w:rPr>
          <w:iCs/>
          <w:spacing w:val="-2"/>
        </w:rPr>
        <w:t xml:space="preserve">in their </w:t>
      </w:r>
      <w:r w:rsidR="000366E1" w:rsidRPr="00125F9C">
        <w:rPr>
          <w:iCs/>
          <w:spacing w:val="-2"/>
        </w:rPr>
        <w:t>jurisdictions</w:t>
      </w:r>
      <w:r w:rsidR="00082E5F" w:rsidRPr="00125F9C">
        <w:rPr>
          <w:iCs/>
          <w:spacing w:val="-2"/>
        </w:rPr>
        <w:t>.</w:t>
      </w:r>
      <w:r w:rsidR="00114EEB" w:rsidRPr="00125F9C">
        <w:rPr>
          <w:iCs/>
          <w:spacing w:val="-2"/>
        </w:rPr>
        <w:t xml:space="preserve"> </w:t>
      </w:r>
      <w:r w:rsidR="005F6C3C" w:rsidRPr="00125F9C">
        <w:rPr>
          <w:spacing w:val="-2"/>
        </w:rPr>
        <w:t>If</w:t>
      </w:r>
      <w:r w:rsidR="003A48D6" w:rsidRPr="00125F9C">
        <w:rPr>
          <w:spacing w:val="-2"/>
        </w:rPr>
        <w:t xml:space="preserve"> these jurisdiction</w:t>
      </w:r>
      <w:r w:rsidR="004A7432" w:rsidRPr="00125F9C">
        <w:rPr>
          <w:spacing w:val="-2"/>
        </w:rPr>
        <w:noBreakHyphen/>
      </w:r>
      <w:r w:rsidR="003A48D6" w:rsidRPr="00125F9C">
        <w:rPr>
          <w:spacing w:val="-2"/>
        </w:rPr>
        <w:t xml:space="preserve">specific targets </w:t>
      </w:r>
      <w:r w:rsidR="00BC24E1" w:rsidRPr="00125F9C">
        <w:rPr>
          <w:spacing w:val="-2"/>
        </w:rPr>
        <w:t xml:space="preserve">are found to be effective and more </w:t>
      </w:r>
      <w:r w:rsidR="005F6C3C" w:rsidRPr="00125F9C">
        <w:rPr>
          <w:spacing w:val="-2"/>
        </w:rPr>
        <w:t>broadly relevant</w:t>
      </w:r>
      <w:r w:rsidR="00125743" w:rsidRPr="00125F9C">
        <w:rPr>
          <w:spacing w:val="-2"/>
        </w:rPr>
        <w:t xml:space="preserve"> at the national</w:t>
      </w:r>
      <w:r w:rsidR="001541F5" w:rsidRPr="00125F9C">
        <w:rPr>
          <w:spacing w:val="-2"/>
        </w:rPr>
        <w:t xml:space="preserve"> </w:t>
      </w:r>
      <w:r w:rsidR="00125743" w:rsidRPr="00125F9C">
        <w:rPr>
          <w:spacing w:val="-2"/>
        </w:rPr>
        <w:t>level</w:t>
      </w:r>
      <w:r w:rsidR="00FE1E68" w:rsidRPr="00125F9C">
        <w:rPr>
          <w:spacing w:val="-2"/>
        </w:rPr>
        <w:t>,</w:t>
      </w:r>
      <w:r w:rsidR="005F6C3C" w:rsidRPr="00125F9C">
        <w:rPr>
          <w:spacing w:val="-2"/>
        </w:rPr>
        <w:t xml:space="preserve"> they</w:t>
      </w:r>
      <w:r w:rsidR="003A48D6" w:rsidRPr="00125F9C">
        <w:rPr>
          <w:spacing w:val="-2"/>
        </w:rPr>
        <w:t xml:space="preserve"> </w:t>
      </w:r>
      <w:r w:rsidR="00FF0BA0" w:rsidRPr="00125F9C">
        <w:rPr>
          <w:spacing w:val="-2"/>
        </w:rPr>
        <w:t>could inform</w:t>
      </w:r>
      <w:r w:rsidR="003A48D6" w:rsidRPr="00125F9C">
        <w:rPr>
          <w:spacing w:val="-2"/>
        </w:rPr>
        <w:t xml:space="preserve"> the </w:t>
      </w:r>
      <w:r w:rsidR="00404BD8" w:rsidRPr="00125F9C">
        <w:rPr>
          <w:spacing w:val="-2"/>
        </w:rPr>
        <w:t xml:space="preserve">future </w:t>
      </w:r>
      <w:r w:rsidR="003A48D6" w:rsidRPr="00125F9C">
        <w:rPr>
          <w:spacing w:val="-2"/>
        </w:rPr>
        <w:t>adop</w:t>
      </w:r>
      <w:r w:rsidR="00CA70B6" w:rsidRPr="00125F9C">
        <w:rPr>
          <w:spacing w:val="-2"/>
        </w:rPr>
        <w:t>tion of</w:t>
      </w:r>
      <w:r w:rsidR="003A48D6" w:rsidRPr="00125F9C">
        <w:rPr>
          <w:spacing w:val="-2"/>
        </w:rPr>
        <w:t xml:space="preserve"> new or replacement targets in the Agreement</w:t>
      </w:r>
      <w:r w:rsidR="009435C6" w:rsidRPr="00125F9C">
        <w:rPr>
          <w:spacing w:val="-2"/>
        </w:rPr>
        <w:t xml:space="preserve">’s </w:t>
      </w:r>
      <w:r w:rsidR="00890159" w:rsidRPr="00125F9C">
        <w:rPr>
          <w:spacing w:val="-2"/>
        </w:rPr>
        <w:t>performance framework</w:t>
      </w:r>
      <w:r w:rsidR="003A48D6" w:rsidRPr="00125F9C">
        <w:rPr>
          <w:spacing w:val="-2"/>
        </w:rPr>
        <w:t xml:space="preserve"> (as per clauses 85 and</w:t>
      </w:r>
      <w:r w:rsidR="005634D7" w:rsidRPr="00125F9C">
        <w:rPr>
          <w:spacing w:val="-2"/>
        </w:rPr>
        <w:t> </w:t>
      </w:r>
      <w:r w:rsidR="003A48D6" w:rsidRPr="00125F9C">
        <w:rPr>
          <w:spacing w:val="-2"/>
        </w:rPr>
        <w:t xml:space="preserve">86). </w:t>
      </w:r>
    </w:p>
    <w:p w14:paraId="34A4F70F" w14:textId="57ED5B19" w:rsidR="00D5024F" w:rsidRPr="00F82BD9" w:rsidRDefault="00D5024F" w:rsidP="00C16F50">
      <w:pPr>
        <w:pStyle w:val="NoSpacing"/>
      </w:pPr>
    </w:p>
    <w:tbl>
      <w:tblPr>
        <w:tblStyle w:val="Boxtable"/>
        <w:tblW w:w="5000" w:type="pct"/>
        <w:tblLook w:val="04A0" w:firstRow="1" w:lastRow="0" w:firstColumn="1" w:lastColumn="0" w:noHBand="0" w:noVBand="1"/>
      </w:tblPr>
      <w:tblGrid>
        <w:gridCol w:w="906"/>
        <w:gridCol w:w="8732"/>
      </w:tblGrid>
      <w:tr w:rsidR="00D5024F" w14:paraId="120EDBE4" w14:textId="77777777" w:rsidTr="006A7632">
        <w:trPr>
          <w:tblHeader/>
        </w:trPr>
        <w:tc>
          <w:tcPr>
            <w:tcW w:w="851" w:type="dxa"/>
            <w:shd w:val="clear" w:color="auto" w:fill="FBF3EC"/>
            <w:tcMar>
              <w:top w:w="170" w:type="dxa"/>
              <w:left w:w="170" w:type="dxa"/>
              <w:bottom w:w="113" w:type="dxa"/>
              <w:right w:w="170" w:type="dxa"/>
            </w:tcMar>
            <w:hideMark/>
          </w:tcPr>
          <w:p w14:paraId="77DDF538" w14:textId="7AB7F462" w:rsidR="00D5024F" w:rsidRDefault="006A7632" w:rsidP="00344946">
            <w:pPr>
              <w:pStyle w:val="BoxHeading1"/>
              <w:keepNext w:val="0"/>
              <w:spacing w:before="120"/>
            </w:pPr>
            <w:r w:rsidRPr="00A031AA">
              <w:rPr>
                <w:b/>
                <w:bCs/>
                <w:noProof/>
              </w:rPr>
              <w:drawing>
                <wp:inline distT="0" distB="0" distL="0" distR="0" wp14:anchorId="7E273F1F" wp14:editId="42AD7B47">
                  <wp:extent cx="360000" cy="424800"/>
                  <wp:effectExtent l="0" t="0" r="0" b="0"/>
                  <wp:docPr id="1351502452" name="Picture 1351502452" descr="A brown boomerang with red and yellow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16939" name="Picture 1293616939" descr="A brown boomerang with red and yellow do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424800"/>
                          </a:xfrm>
                          <a:prstGeom prst="rect">
                            <a:avLst/>
                          </a:prstGeom>
                        </pic:spPr>
                      </pic:pic>
                    </a:graphicData>
                  </a:graphic>
                </wp:inline>
              </w:drawing>
            </w:r>
          </w:p>
        </w:tc>
        <w:tc>
          <w:tcPr>
            <w:tcW w:w="8787" w:type="dxa"/>
            <w:shd w:val="clear" w:color="auto" w:fill="FBF3EC"/>
          </w:tcPr>
          <w:p w14:paraId="37A6B8DE" w14:textId="70BD03CB" w:rsidR="00D5024F" w:rsidRDefault="00D5024F" w:rsidP="00344946">
            <w:pPr>
              <w:pStyle w:val="BoxHeading1"/>
              <w:keepNext w:val="0"/>
            </w:pPr>
            <w:r w:rsidRPr="00D5024F">
              <w:t>Box 8 – Jurisdictional targets that go beyond the Agreement’s performance framework</w:t>
            </w:r>
          </w:p>
        </w:tc>
      </w:tr>
      <w:tr w:rsidR="00D5024F" w14:paraId="7BB34E0C" w14:textId="77777777" w:rsidTr="006A7632">
        <w:tc>
          <w:tcPr>
            <w:tcW w:w="9638" w:type="dxa"/>
            <w:gridSpan w:val="2"/>
            <w:shd w:val="clear" w:color="auto" w:fill="FBF3EC"/>
            <w:tcMar>
              <w:top w:w="28" w:type="dxa"/>
              <w:left w:w="170" w:type="dxa"/>
              <w:bottom w:w="170" w:type="dxa"/>
              <w:right w:w="170" w:type="dxa"/>
            </w:tcMar>
            <w:hideMark/>
          </w:tcPr>
          <w:p w14:paraId="34AFB431" w14:textId="77777777" w:rsidR="006A7632" w:rsidRPr="00A670F7" w:rsidRDefault="006A7632" w:rsidP="00344946">
            <w:pPr>
              <w:pStyle w:val="BodyText"/>
            </w:pPr>
            <w:r>
              <w:t xml:space="preserve">The ACT, NSW and Victorian Governments have each adopted additional outcome areas and targets in their jurisdictional implementation plans that they intend to report against. </w:t>
            </w:r>
          </w:p>
          <w:p w14:paraId="53A09C4F" w14:textId="77777777" w:rsidR="006A7632" w:rsidRDefault="006A7632" w:rsidP="00344946">
            <w:pPr>
              <w:pStyle w:val="BodyText"/>
              <w:rPr>
                <w:b/>
                <w:bCs/>
              </w:rPr>
            </w:pPr>
            <w:r w:rsidRPr="009D7E0D">
              <w:rPr>
                <w:b/>
                <w:bCs/>
              </w:rPr>
              <w:t>ACT</w:t>
            </w:r>
          </w:p>
          <w:p w14:paraId="53995ABD" w14:textId="6BA0FBF1" w:rsidR="006A7632" w:rsidRDefault="006A7632" w:rsidP="00344946">
            <w:pPr>
              <w:pStyle w:val="BodyText"/>
            </w:pPr>
            <w:r w:rsidRPr="0061538F">
              <w:t>The</w:t>
            </w:r>
            <w:r>
              <w:t xml:space="preserve"> ACT </w:t>
            </w:r>
            <w:r w:rsidRPr="00901B89">
              <w:t>Government and the Aboriginal and Torres Strait Islander Elected Body</w:t>
            </w:r>
            <w:r>
              <w:t xml:space="preserve"> have agreed to the </w:t>
            </w:r>
            <w:r w:rsidRPr="00924675">
              <w:rPr>
                <w:i/>
                <w:iCs/>
              </w:rPr>
              <w:t>ACT Aboriginal and Torres Strait Islander Agreement 2019 – 2028</w:t>
            </w:r>
            <w:r>
              <w:rPr>
                <w:i/>
                <w:iCs/>
              </w:rPr>
              <w:t xml:space="preserve"> </w:t>
            </w:r>
            <w:r>
              <w:t xml:space="preserve">(the ACT Agreement), which they are pursing alongside and as part of their implementation plan for the National Agreement on Closing the Gap. </w:t>
            </w:r>
            <w:r w:rsidRPr="004D51E0">
              <w:t xml:space="preserve">The ACT Agreement incorporates </w:t>
            </w:r>
            <w:r>
              <w:t xml:space="preserve">the </w:t>
            </w:r>
            <w:r w:rsidRPr="004D51E0">
              <w:t>socio</w:t>
            </w:r>
            <w:r>
              <w:noBreakHyphen/>
            </w:r>
            <w:r w:rsidRPr="004D51E0">
              <w:t xml:space="preserve">economic targets from the National Agreement grouped under </w:t>
            </w:r>
            <w:r>
              <w:t>interconnected</w:t>
            </w:r>
            <w:r w:rsidRPr="004D51E0">
              <w:t xml:space="preserve"> </w:t>
            </w:r>
            <w:r>
              <w:t>f</w:t>
            </w:r>
            <w:r w:rsidRPr="004D51E0">
              <w:t xml:space="preserve">ocus </w:t>
            </w:r>
            <w:r>
              <w:t>a</w:t>
            </w:r>
            <w:r w:rsidRPr="004D51E0">
              <w:t>reas</w:t>
            </w:r>
            <w:r>
              <w:t>, but for five targets (targets 3,7,8,9 and 10), it commits to achieving parity with non</w:t>
            </w:r>
            <w:r>
              <w:noBreakHyphen/>
              <w:t>Indigenous people. The ACT’s implementation plans asserts that this represents an increased aspiration for these targets given the ACT’s baseline levels. While this may be the case, it cannot be established until the jurisdictions agree on the individual contributions that each will reach to achieve the national targets. The ACT Agreement also includes an additional target to ‘</w:t>
            </w:r>
            <w:r w:rsidRPr="00405B17">
              <w:t>increase the proportion of high value contracts awarded to Aboriginal and Torres Strait Islander businesses</w:t>
            </w:r>
            <w:r>
              <w:t>’, with the intended outcome that ‘</w:t>
            </w:r>
            <w:r w:rsidRPr="00405B17">
              <w:t>wealth is created through growth of the Aboriginal and Torres Strait Islander corporate sector’</w:t>
            </w:r>
            <w:r>
              <w:t xml:space="preserve"> </w:t>
            </w:r>
            <w:r w:rsidRPr="00EA0F95">
              <w:rPr>
                <w:rFonts w:ascii="Arial" w:hAnsi="Arial" w:cs="Arial"/>
                <w:szCs w:val="24"/>
              </w:rPr>
              <w:t>(ACT Government 2021, p. 26)</w:t>
            </w:r>
            <w:r w:rsidRPr="00AA0695">
              <w:t>.</w:t>
            </w:r>
          </w:p>
          <w:p w14:paraId="3D3AEEE9" w14:textId="77777777" w:rsidR="006A7632" w:rsidRDefault="006A7632" w:rsidP="00344946">
            <w:pPr>
              <w:pStyle w:val="BodyText"/>
              <w:rPr>
                <w:b/>
                <w:bCs/>
              </w:rPr>
            </w:pPr>
            <w:r w:rsidRPr="006C3ED9">
              <w:rPr>
                <w:b/>
                <w:bCs/>
              </w:rPr>
              <w:t>N</w:t>
            </w:r>
            <w:r>
              <w:rPr>
                <w:b/>
                <w:bCs/>
              </w:rPr>
              <w:t xml:space="preserve">ew </w:t>
            </w:r>
            <w:r w:rsidRPr="006C3ED9">
              <w:rPr>
                <w:b/>
                <w:bCs/>
              </w:rPr>
              <w:t>S</w:t>
            </w:r>
            <w:r>
              <w:rPr>
                <w:b/>
                <w:bCs/>
              </w:rPr>
              <w:t xml:space="preserve">outh </w:t>
            </w:r>
            <w:r w:rsidRPr="006C3ED9">
              <w:rPr>
                <w:b/>
                <w:bCs/>
              </w:rPr>
              <w:t>W</w:t>
            </w:r>
            <w:r>
              <w:rPr>
                <w:b/>
                <w:bCs/>
              </w:rPr>
              <w:t>ales</w:t>
            </w:r>
          </w:p>
          <w:p w14:paraId="18EC29DA" w14:textId="174A667C" w:rsidR="006A7632" w:rsidRDefault="006A7632" w:rsidP="00344946">
            <w:pPr>
              <w:pStyle w:val="BodyText"/>
            </w:pPr>
            <w:r>
              <w:t>New South Wales has committed to a fifth Priority Reform: employment, business growth and economic prosperity, with a desired outcome that ‘</w:t>
            </w:r>
            <w:r w:rsidRPr="00FC491F">
              <w:t>Aboriginal and Torres Strait Islander peoples in NSW are empowered to access pathways through education, training and employment that align with their aspirations, and Aboriginal and Torres Strait Islander businesses grow and flourish’</w:t>
            </w:r>
            <w:r>
              <w:t xml:space="preserve"> </w:t>
            </w:r>
            <w:r w:rsidRPr="00257703">
              <w:rPr>
                <w:rFonts w:ascii="Arial" w:hAnsi="Arial" w:cs="Arial"/>
                <w:szCs w:val="24"/>
              </w:rPr>
              <w:t>(NSW Government 2022, p. 55)</w:t>
            </w:r>
            <w:r>
              <w:t>. The NSW Government’s first implementation plan notes that the additional Priority Reform was strongly supported in community consultations undertaken by NSW Coalition of Aboriginal Peak Organisations and explains that it is intended to further accelerate progress against socio</w:t>
            </w:r>
            <w:r>
              <w:noBreakHyphen/>
              <w:t xml:space="preserve">economic outcomes 7 and 8 </w:t>
            </w:r>
            <w:r w:rsidRPr="00262AAF">
              <w:rPr>
                <w:rFonts w:ascii="Arial" w:hAnsi="Arial" w:cs="Arial"/>
                <w:szCs w:val="24"/>
              </w:rPr>
              <w:t>(NSW Government 2021, p. 37)</w:t>
            </w:r>
            <w:r>
              <w:t xml:space="preserve">. </w:t>
            </w:r>
          </w:p>
          <w:p w14:paraId="370E556E" w14:textId="77777777" w:rsidR="006A7632" w:rsidRDefault="006A7632" w:rsidP="007C3AE6">
            <w:pPr>
              <w:pStyle w:val="BodyText"/>
              <w:keepNext/>
              <w:keepLines/>
              <w:rPr>
                <w:b/>
                <w:bCs/>
              </w:rPr>
            </w:pPr>
            <w:r>
              <w:rPr>
                <w:b/>
                <w:bCs/>
              </w:rPr>
              <w:lastRenderedPageBreak/>
              <w:t>Victoria</w:t>
            </w:r>
          </w:p>
          <w:p w14:paraId="3BF03082" w14:textId="77777777" w:rsidR="006A7632" w:rsidRPr="00017B81" w:rsidRDefault="006A7632" w:rsidP="007C3AE6">
            <w:pPr>
              <w:pStyle w:val="BodyText"/>
              <w:keepNext/>
              <w:keepLines/>
            </w:pPr>
            <w:r>
              <w:t xml:space="preserve">Victoria has aligned its implementation plan with the </w:t>
            </w:r>
            <w:r w:rsidRPr="00092D35">
              <w:t>Victorian Aboriginal Affairs Framework 2018</w:t>
            </w:r>
            <w:r>
              <w:t>–</w:t>
            </w:r>
            <w:r w:rsidRPr="00092D35">
              <w:t>2023 (the VAAF)</w:t>
            </w:r>
            <w:r>
              <w:t>. T</w:t>
            </w:r>
            <w:r w:rsidRPr="009230C8">
              <w:t>he</w:t>
            </w:r>
            <w:r>
              <w:t xml:space="preserve"> VAAF</w:t>
            </w:r>
            <w:r w:rsidRPr="009230C8">
              <w:t xml:space="preserve"> </w:t>
            </w:r>
            <w:r>
              <w:t xml:space="preserve">is the </w:t>
            </w:r>
            <w:r w:rsidRPr="009230C8">
              <w:t xml:space="preserve">Victorian Government’s overarching framework </w:t>
            </w:r>
            <w:r>
              <w:t>for advancing self</w:t>
            </w:r>
            <w:r>
              <w:noBreakHyphen/>
              <w:t xml:space="preserve">determination and improving outcomes for </w:t>
            </w:r>
            <w:r w:rsidRPr="009230C8">
              <w:t>Aboriginal Victorians</w:t>
            </w:r>
            <w:r>
              <w:t>. The Framework sets out key enablers for self</w:t>
            </w:r>
            <w:r>
              <w:noBreakHyphen/>
              <w:t>determination and 20 goals across six domain areas (children, family &amp; home; learning &amp; skills; opportunity &amp; prosperity; heath &amp; wellbeing; justice &amp; safety; and culture &amp; Country). Victoria’s implementation plan notes that the VAAF goals are more comprehensive than the targets set out in the Agreement (for example, goal 8 in the VAAF is that ‘</w:t>
            </w:r>
            <w:r w:rsidRPr="00015DD2">
              <w:t>Aboriginal workers achieve wealth equality</w:t>
            </w:r>
            <w:r>
              <w:t>’ and includes an objective to ‘i</w:t>
            </w:r>
            <w:r w:rsidRPr="00393EEE">
              <w:t>ncrease Aboriginal business ownership and support Aboriginal entrepreneurs</w:t>
            </w:r>
            <w:r>
              <w:t>’). However, unlike the Agreement, the VAAF does not commit to achieving specific timebound targets.</w:t>
            </w:r>
          </w:p>
          <w:p w14:paraId="234A7D3D" w14:textId="277773ED" w:rsidR="00D5024F" w:rsidRDefault="006A7632" w:rsidP="00344946">
            <w:pPr>
              <w:pStyle w:val="Source"/>
            </w:pPr>
            <w:r>
              <w:t xml:space="preserve">Source: ACT Government </w:t>
            </w:r>
            <w:r w:rsidRPr="00751F1D">
              <w:rPr>
                <w:rFonts w:ascii="Arial" w:hAnsi="Arial" w:cs="Arial"/>
              </w:rPr>
              <w:t>(2021)</w:t>
            </w:r>
            <w:r>
              <w:t xml:space="preserve">; NSW Government </w:t>
            </w:r>
            <w:r w:rsidRPr="00065A5E">
              <w:rPr>
                <w:rFonts w:ascii="Arial" w:hAnsi="Arial" w:cs="Arial"/>
              </w:rPr>
              <w:t>(2021, 2022)</w:t>
            </w:r>
            <w:r>
              <w:t xml:space="preserve">; Victorian Government </w:t>
            </w:r>
            <w:r w:rsidRPr="001E56F0">
              <w:rPr>
                <w:rFonts w:ascii="Arial" w:hAnsi="Arial" w:cs="Arial"/>
              </w:rPr>
              <w:t>(2021, 2022)</w:t>
            </w:r>
            <w:r>
              <w:t>.</w:t>
            </w:r>
          </w:p>
        </w:tc>
      </w:tr>
      <w:tr w:rsidR="00D5024F" w14:paraId="53962694" w14:textId="77777777" w:rsidTr="000717B1">
        <w:trPr>
          <w:hidden/>
        </w:trPr>
        <w:tc>
          <w:tcPr>
            <w:tcW w:w="9638" w:type="dxa"/>
            <w:gridSpan w:val="2"/>
            <w:shd w:val="clear" w:color="auto" w:fill="auto"/>
            <w:tcMar>
              <w:top w:w="0" w:type="dxa"/>
              <w:left w:w="170" w:type="dxa"/>
              <w:bottom w:w="0" w:type="dxa"/>
              <w:right w:w="170" w:type="dxa"/>
            </w:tcMar>
          </w:tcPr>
          <w:p w14:paraId="28C61EBE" w14:textId="47CCBF4C" w:rsidR="00D5024F" w:rsidRPr="00465191" w:rsidRDefault="00D5024F" w:rsidP="00344946">
            <w:pPr>
              <w:pStyle w:val="BodyText"/>
              <w:spacing w:before="0" w:after="0" w:line="80" w:lineRule="atLeast"/>
              <w:rPr>
                <w:smallCaps/>
                <w:vanish/>
              </w:rPr>
            </w:pPr>
          </w:p>
        </w:tc>
      </w:tr>
    </w:tbl>
    <w:p w14:paraId="507AEC8B" w14:textId="582B6883" w:rsidR="00BF37D7" w:rsidRDefault="00BF37D7" w:rsidP="00BF37D7">
      <w:pPr>
        <w:pStyle w:val="Heading3"/>
      </w:pPr>
      <w:r>
        <w:t>National targets do not adequately hold states and territories to account for progress</w:t>
      </w:r>
    </w:p>
    <w:p w14:paraId="70BF2537" w14:textId="76594E43" w:rsidR="003B7E09" w:rsidRDefault="004930AF" w:rsidP="00164094">
      <w:pPr>
        <w:pStyle w:val="Heading4"/>
      </w:pPr>
      <w:r>
        <w:t xml:space="preserve">The </w:t>
      </w:r>
      <w:r w:rsidR="00613F56">
        <w:t>Agreement</w:t>
      </w:r>
      <w:r>
        <w:t xml:space="preserve"> </w:t>
      </w:r>
      <w:r w:rsidR="00613F56">
        <w:t>specifies national targets, but doe</w:t>
      </w:r>
      <w:r w:rsidR="008B32B6">
        <w:t xml:space="preserve">s not describe how </w:t>
      </w:r>
      <w:r w:rsidR="001C3F9B">
        <w:t xml:space="preserve">much </w:t>
      </w:r>
      <w:r w:rsidR="00897119">
        <w:t xml:space="preserve">each </w:t>
      </w:r>
      <w:r w:rsidR="00A60F80">
        <w:t>state and territor</w:t>
      </w:r>
      <w:r w:rsidR="00897119">
        <w:t>y</w:t>
      </w:r>
      <w:r w:rsidR="00A60F80">
        <w:t xml:space="preserve"> </w:t>
      </w:r>
      <w:r w:rsidR="00576CE5">
        <w:t>need</w:t>
      </w:r>
      <w:r w:rsidR="00897119">
        <w:t>s</w:t>
      </w:r>
      <w:r w:rsidR="00576CE5">
        <w:t xml:space="preserve"> to</w:t>
      </w:r>
      <w:r w:rsidR="001C3F9B">
        <w:t xml:space="preserve"> contribute</w:t>
      </w:r>
      <w:r w:rsidR="00A60F80">
        <w:t xml:space="preserve"> to</w:t>
      </w:r>
      <w:r w:rsidR="001C3F9B">
        <w:t xml:space="preserve"> </w:t>
      </w:r>
      <w:r w:rsidR="00E44632">
        <w:t>achieve them</w:t>
      </w:r>
    </w:p>
    <w:p w14:paraId="28391C44" w14:textId="0543DAD2" w:rsidR="00BA56DA" w:rsidRDefault="00BA56DA" w:rsidP="00BA56DA">
      <w:pPr>
        <w:pStyle w:val="BodyText"/>
      </w:pPr>
      <w:r w:rsidRPr="2F61B7D7">
        <w:t xml:space="preserve">Government parties to the Agreement are jointly accountable for a set of 23 national targets </w:t>
      </w:r>
      <w:r w:rsidRPr="3D43CEF1">
        <w:t xml:space="preserve">that </w:t>
      </w:r>
      <w:r w:rsidRPr="2F61B7D7">
        <w:t xml:space="preserve">monitor progress against the </w:t>
      </w:r>
      <w:r w:rsidR="000911E2">
        <w:t>Priority Reform</w:t>
      </w:r>
      <w:r w:rsidRPr="2B096693">
        <w:t>s and socio</w:t>
      </w:r>
      <w:r w:rsidR="00827859">
        <w:noBreakHyphen/>
      </w:r>
      <w:r w:rsidRPr="2B096693">
        <w:t>economic outcomes. However, the Agreement does not describe how jurisdictions will be held to account for their contribution to these targets</w:t>
      </w:r>
      <w:r w:rsidR="00897119">
        <w:t xml:space="preserve"> </w:t>
      </w:r>
      <w:r w:rsidR="00897119">
        <w:rPr>
          <w:rFonts w:cstheme="minorHAnsi"/>
        </w:rPr>
        <w:t>–</w:t>
      </w:r>
      <w:r w:rsidR="00897119">
        <w:t xml:space="preserve"> it</w:t>
      </w:r>
      <w:r w:rsidRPr="2B096693">
        <w:t xml:space="preserve"> simply specif</w:t>
      </w:r>
      <w:r w:rsidR="00897119">
        <w:t>ies</w:t>
      </w:r>
      <w:r w:rsidRPr="2B096693">
        <w:t xml:space="preserve"> that ‘targets are designed to be met at the national level, while recognising that starting points, past trends and local circumstances differ so jurisdictional outcomes may vary’</w:t>
      </w:r>
      <w:r w:rsidR="004D0155">
        <w:t xml:space="preserve"> (clause 83)</w:t>
      </w:r>
      <w:r w:rsidRPr="2B096693">
        <w:t xml:space="preserve">. </w:t>
      </w:r>
      <w:r w:rsidR="008A592C">
        <w:t>That is</w:t>
      </w:r>
      <w:r w:rsidRPr="2B096693">
        <w:t xml:space="preserve">, there is no agreed approach for determining whether </w:t>
      </w:r>
      <w:r w:rsidR="00ED6EED">
        <w:t>individual</w:t>
      </w:r>
      <w:r w:rsidRPr="2B096693">
        <w:t xml:space="preserve"> jurisdictions have made acceptable progress</w:t>
      </w:r>
      <w:r w:rsidR="004C111E">
        <w:t>.</w:t>
      </w:r>
    </w:p>
    <w:p w14:paraId="49C848BD" w14:textId="6A8D7A69" w:rsidR="006B746C" w:rsidRDefault="0072315E" w:rsidP="001E1945">
      <w:pPr>
        <w:pStyle w:val="BodyText"/>
      </w:pPr>
      <w:r>
        <w:t>In the absence of direct guidance, t</w:t>
      </w:r>
      <w:r w:rsidR="00333690">
        <w:t xml:space="preserve">he Commission has </w:t>
      </w:r>
      <w:r w:rsidR="003B46C7">
        <w:t xml:space="preserve">worked with the </w:t>
      </w:r>
      <w:r w:rsidR="00E52768">
        <w:t>PWG</w:t>
      </w:r>
      <w:r w:rsidR="003B46C7">
        <w:t xml:space="preserve"> to develop an approach</w:t>
      </w:r>
      <w:r w:rsidR="006B760D">
        <w:t xml:space="preserve">. </w:t>
      </w:r>
      <w:r w:rsidR="00BA56DA" w:rsidRPr="2F61B7D7">
        <w:t>The Commission currently evaluates national</w:t>
      </w:r>
      <w:r w:rsidR="007A033D">
        <w:t xml:space="preserve"> </w:t>
      </w:r>
      <w:r w:rsidR="00BA56DA" w:rsidRPr="2F61B7D7">
        <w:t xml:space="preserve">progress </w:t>
      </w:r>
      <w:r w:rsidR="007A033D">
        <w:t xml:space="preserve">for each target </w:t>
      </w:r>
      <w:r w:rsidR="00BA56DA" w:rsidRPr="2F61B7D7">
        <w:t>as on o</w:t>
      </w:r>
      <w:r w:rsidR="007F155C">
        <w:t xml:space="preserve">r </w:t>
      </w:r>
      <w:r w:rsidR="00BA56DA" w:rsidRPr="2F61B7D7">
        <w:t>off</w:t>
      </w:r>
      <w:r w:rsidR="00E52768">
        <w:t xml:space="preserve"> </w:t>
      </w:r>
      <w:r w:rsidR="00BA56DA" w:rsidRPr="2F61B7D7">
        <w:t>track</w:t>
      </w:r>
      <w:r w:rsidR="003B2C21">
        <w:t xml:space="preserve"> against</w:t>
      </w:r>
      <w:r w:rsidR="00BA56DA" w:rsidRPr="2F61B7D7">
        <w:t xml:space="preserve"> a linear </w:t>
      </w:r>
      <w:r w:rsidR="00D24B3A">
        <w:t>trend</w:t>
      </w:r>
      <w:r w:rsidR="00BA56DA" w:rsidRPr="2F61B7D7">
        <w:t xml:space="preserve"> to </w:t>
      </w:r>
      <w:r w:rsidR="00596DAE">
        <w:t xml:space="preserve">the </w:t>
      </w:r>
      <w:r w:rsidR="00BA56DA" w:rsidRPr="2F61B7D7">
        <w:t xml:space="preserve">target </w:t>
      </w:r>
      <w:r w:rsidR="00596DAE">
        <w:t>year</w:t>
      </w:r>
      <w:r w:rsidR="00FF580F">
        <w:t>.</w:t>
      </w:r>
      <w:r w:rsidR="00BA56DA" w:rsidRPr="2F61B7D7">
        <w:t xml:space="preserve"> Target indicators are then disaggregated by jurisdiction and progress for each jurisdiction is assessed against </w:t>
      </w:r>
      <w:r w:rsidR="00D50F15">
        <w:t xml:space="preserve">the </w:t>
      </w:r>
      <w:r w:rsidR="00BA56DA" w:rsidRPr="2F61B7D7">
        <w:t>baseline as improving, worsening, or not changing</w:t>
      </w:r>
      <w:r w:rsidR="00BA56DA" w:rsidRPr="00E06608">
        <w:t xml:space="preserve">. </w:t>
      </w:r>
      <w:r w:rsidR="006B746C" w:rsidRPr="00E06608">
        <w:t xml:space="preserve">Jurisdictions have interpreted </w:t>
      </w:r>
      <w:r w:rsidR="00D50F15">
        <w:t xml:space="preserve">their </w:t>
      </w:r>
      <w:r w:rsidR="006B746C" w:rsidRPr="00E06608">
        <w:t>contribution</w:t>
      </w:r>
      <w:r w:rsidR="00D50F15">
        <w:t>s</w:t>
      </w:r>
      <w:r w:rsidR="006B746C" w:rsidRPr="00E06608">
        <w:t xml:space="preserve"> in </w:t>
      </w:r>
      <w:r w:rsidR="00D50F15">
        <w:t>one of</w:t>
      </w:r>
      <w:r w:rsidR="006B746C" w:rsidRPr="00E06608">
        <w:t xml:space="preserve"> two ways in their annual reports</w:t>
      </w:r>
      <w:r w:rsidR="00D50F15">
        <w:t xml:space="preserve"> </w:t>
      </w:r>
      <w:r w:rsidR="00D50F15">
        <w:rPr>
          <w:rFonts w:cstheme="minorHAnsi"/>
        </w:rPr>
        <w:t xml:space="preserve">– </w:t>
      </w:r>
      <w:r w:rsidR="006B746C" w:rsidRPr="00E06608">
        <w:t>some adopt the assessment of the Productivity Commission</w:t>
      </w:r>
      <w:r w:rsidR="00D50F15">
        <w:t xml:space="preserve">, while </w:t>
      </w:r>
      <w:r w:rsidR="006B746C" w:rsidRPr="00E06608">
        <w:t>others self</w:t>
      </w:r>
      <w:r w:rsidR="00827859">
        <w:noBreakHyphen/>
      </w:r>
      <w:r w:rsidR="006B746C" w:rsidRPr="00E06608">
        <w:t>assess against national targets (Queensland, Tasmania)</w:t>
      </w:r>
      <w:r w:rsidR="00891727" w:rsidRPr="00E06608">
        <w:t xml:space="preserve"> (section</w:t>
      </w:r>
      <w:r w:rsidR="005634D7">
        <w:t> </w:t>
      </w:r>
      <w:r w:rsidR="00E06608">
        <w:t>6)</w:t>
      </w:r>
      <w:r w:rsidR="006D4096">
        <w:t>.</w:t>
      </w:r>
    </w:p>
    <w:p w14:paraId="60C8268E" w14:textId="0B2B384C" w:rsidR="0036369B" w:rsidRDefault="00BA56DA" w:rsidP="001E1945">
      <w:pPr>
        <w:pStyle w:val="BodyText"/>
      </w:pPr>
      <w:r w:rsidRPr="2F61B7D7">
        <w:t>Th</w:t>
      </w:r>
      <w:r w:rsidR="00E12F81">
        <w:t>e</w:t>
      </w:r>
      <w:r w:rsidRPr="2F61B7D7">
        <w:t xml:space="preserve"> approach </w:t>
      </w:r>
      <w:r w:rsidR="00E12F81">
        <w:t>developed</w:t>
      </w:r>
      <w:r w:rsidR="006B746C">
        <w:t xml:space="preserve"> by the Commission</w:t>
      </w:r>
      <w:r w:rsidRPr="2F61B7D7">
        <w:t xml:space="preserve"> is currently under independent review, the goal of </w:t>
      </w:r>
      <w:r w:rsidR="00D42A79">
        <w:t xml:space="preserve">which is to </w:t>
      </w:r>
      <w:r w:rsidRPr="2F61B7D7">
        <w:t xml:space="preserve">identify options for </w:t>
      </w:r>
      <w:r w:rsidR="00596DAE">
        <w:t>measuring</w:t>
      </w:r>
      <w:r w:rsidRPr="2F61B7D7">
        <w:t xml:space="preserve"> jurisdictional contribution</w:t>
      </w:r>
      <w:r w:rsidR="00D42A79">
        <w:t>s</w:t>
      </w:r>
      <w:r w:rsidRPr="2F61B7D7">
        <w:t xml:space="preserve"> </w:t>
      </w:r>
      <w:r w:rsidR="00596DAE">
        <w:t xml:space="preserve">to meeting the national target </w:t>
      </w:r>
      <w:r w:rsidR="004B40E9" w:rsidRPr="004B40E9">
        <w:rPr>
          <w:rFonts w:ascii="Arial" w:hAnsi="Arial" w:cs="Arial"/>
          <w:szCs w:val="24"/>
        </w:rPr>
        <w:t>(PC 2023b, p. 35)</w:t>
      </w:r>
      <w:r w:rsidRPr="2F61B7D7">
        <w:t xml:space="preserve">. </w:t>
      </w:r>
      <w:r w:rsidR="00735B39">
        <w:t>Three</w:t>
      </w:r>
      <w:r w:rsidR="00C015B6">
        <w:t xml:space="preserve"> broad potential approaches are possible. </w:t>
      </w:r>
    </w:p>
    <w:p w14:paraId="0A3E2427" w14:textId="419B5221" w:rsidR="00F54392" w:rsidRDefault="00F54392" w:rsidP="0027125D">
      <w:pPr>
        <w:pStyle w:val="ListBullet"/>
      </w:pPr>
      <w:r>
        <w:t>N</w:t>
      </w:r>
      <w:r w:rsidR="00B35BA2">
        <w:t xml:space="preserve">ational targets </w:t>
      </w:r>
      <w:r w:rsidR="00C015B6">
        <w:t xml:space="preserve">could be applied </w:t>
      </w:r>
      <w:r w:rsidR="00B35BA2">
        <w:t xml:space="preserve">to jurisdictions, so that </w:t>
      </w:r>
      <w:r w:rsidR="00C015B6">
        <w:t>each is</w:t>
      </w:r>
      <w:r w:rsidR="006C20E0">
        <w:t xml:space="preserve"> responsible for meeting</w:t>
      </w:r>
      <w:r w:rsidR="00B35BA2">
        <w:t xml:space="preserve"> the same </w:t>
      </w:r>
      <w:r w:rsidR="006C20E0">
        <w:t xml:space="preserve">target, regardless of their starting point. </w:t>
      </w:r>
      <w:r w:rsidR="00ED7862">
        <w:t xml:space="preserve">If each jurisdiction met the national target, then the target would be met nationally. The </w:t>
      </w:r>
      <w:r w:rsidR="00233F3F">
        <w:t>primary</w:t>
      </w:r>
      <w:r w:rsidR="00ED7862">
        <w:t xml:space="preserve"> benefit of this approach is </w:t>
      </w:r>
      <w:r w:rsidR="00233F3F">
        <w:t xml:space="preserve">simplicity, while the </w:t>
      </w:r>
      <w:r w:rsidR="00D42A79">
        <w:t xml:space="preserve">drawback </w:t>
      </w:r>
      <w:r w:rsidR="00233F3F">
        <w:t xml:space="preserve">is that </w:t>
      </w:r>
      <w:r w:rsidR="00951CBD">
        <w:t>effort</w:t>
      </w:r>
      <w:r w:rsidR="001E5C9B">
        <w:t xml:space="preserve"> </w:t>
      </w:r>
      <w:r w:rsidR="00951CBD">
        <w:t>w</w:t>
      </w:r>
      <w:r w:rsidR="00CF3075">
        <w:t>ould</w:t>
      </w:r>
      <w:r w:rsidR="001E5C9B">
        <w:t xml:space="preserve"> </w:t>
      </w:r>
      <w:r w:rsidR="00951CBD">
        <w:t>be unevenly distributed</w:t>
      </w:r>
      <w:r w:rsidR="00D42A79">
        <w:t xml:space="preserve"> (jurisdictions further away from the target would need to apply more effort)</w:t>
      </w:r>
      <w:r w:rsidR="00FB5F0A">
        <w:t>,</w:t>
      </w:r>
      <w:r w:rsidR="00951CBD">
        <w:t xml:space="preserve"> and</w:t>
      </w:r>
      <w:r w:rsidR="00233F3F">
        <w:t xml:space="preserve"> </w:t>
      </w:r>
      <w:r w:rsidR="00C96296">
        <w:t>it</w:t>
      </w:r>
      <w:r w:rsidR="00E540D6">
        <w:t xml:space="preserve"> </w:t>
      </w:r>
      <w:r w:rsidR="0050357F">
        <w:t xml:space="preserve">would not </w:t>
      </w:r>
      <w:r w:rsidR="00FB5F0A">
        <w:t>incentivise</w:t>
      </w:r>
      <w:r w:rsidR="0050357F">
        <w:t xml:space="preserve"> those that had already met the target </w:t>
      </w:r>
      <w:r w:rsidR="00C96296">
        <w:t xml:space="preserve">at baseline to </w:t>
      </w:r>
      <w:r w:rsidR="0050357F">
        <w:t>do more.</w:t>
      </w:r>
      <w:r w:rsidR="00145398">
        <w:t xml:space="preserve"> </w:t>
      </w:r>
    </w:p>
    <w:p w14:paraId="4644C2D3" w14:textId="57CE3E68" w:rsidR="005D4D44" w:rsidRDefault="00F54392" w:rsidP="0027125D">
      <w:pPr>
        <w:pStyle w:val="ListBullet"/>
      </w:pPr>
      <w:r>
        <w:t>J</w:t>
      </w:r>
      <w:r w:rsidR="007414DA">
        <w:t xml:space="preserve">urisdictions could negotiate </w:t>
      </w:r>
      <w:r w:rsidR="00CD5762">
        <w:t xml:space="preserve">different </w:t>
      </w:r>
      <w:r w:rsidR="0055027E">
        <w:t>levels of contribution to the national target</w:t>
      </w:r>
      <w:r w:rsidR="002C1E26">
        <w:t>, which would effectively translate to jurisdiction</w:t>
      </w:r>
      <w:r w:rsidR="00827859">
        <w:noBreakHyphen/>
      </w:r>
      <w:r w:rsidR="002C1E26">
        <w:t>specific targets</w:t>
      </w:r>
      <w:r w:rsidR="00C00D43">
        <w:t>.</w:t>
      </w:r>
      <w:r w:rsidR="00951CBD">
        <w:t xml:space="preserve"> </w:t>
      </w:r>
      <w:r w:rsidR="007C405A">
        <w:t>While</w:t>
      </w:r>
      <w:r w:rsidR="002E510C">
        <w:t>,</w:t>
      </w:r>
      <w:r w:rsidR="007C405A">
        <w:t xml:space="preserve"> in </w:t>
      </w:r>
      <w:r w:rsidR="0084563D">
        <w:t xml:space="preserve">this </w:t>
      </w:r>
      <w:r w:rsidR="007C405A">
        <w:t>case</w:t>
      </w:r>
      <w:r w:rsidR="00320C28">
        <w:t>,</w:t>
      </w:r>
      <w:r w:rsidR="007C405A">
        <w:t xml:space="preserve"> </w:t>
      </w:r>
      <w:r w:rsidR="002E510C">
        <w:t>jurisdiction</w:t>
      </w:r>
      <w:r w:rsidR="00827859">
        <w:noBreakHyphen/>
      </w:r>
      <w:r w:rsidR="002E510C">
        <w:t xml:space="preserve">specific targets </w:t>
      </w:r>
      <w:r w:rsidR="007C405A">
        <w:t xml:space="preserve">might more </w:t>
      </w:r>
      <w:r w:rsidR="007C405A">
        <w:lastRenderedPageBreak/>
        <w:t xml:space="preserve">accurately reflect the priorities and </w:t>
      </w:r>
      <w:r w:rsidR="003B5A32">
        <w:t>circumstances</w:t>
      </w:r>
      <w:r w:rsidR="007C405A">
        <w:t xml:space="preserve"> </w:t>
      </w:r>
      <w:r w:rsidR="006B79D6">
        <w:t>in jurisdictions</w:t>
      </w:r>
      <w:r w:rsidR="00320C28">
        <w:t xml:space="preserve">, the </w:t>
      </w:r>
      <w:r w:rsidR="004A0FAB">
        <w:t xml:space="preserve">disadvantage </w:t>
      </w:r>
      <w:r w:rsidR="00320C28">
        <w:t xml:space="preserve">is </w:t>
      </w:r>
      <w:r w:rsidR="001F1EFB">
        <w:t>increasing complexity and the</w:t>
      </w:r>
      <w:r w:rsidR="0084563D">
        <w:t xml:space="preserve"> </w:t>
      </w:r>
      <w:r w:rsidR="007C4792">
        <w:t>costs of negotiation</w:t>
      </w:r>
      <w:r w:rsidR="0096237B">
        <w:t xml:space="preserve"> in terms of time</w:t>
      </w:r>
      <w:r w:rsidR="00EB0B4C">
        <w:t xml:space="preserve"> and effort</w:t>
      </w:r>
      <w:r w:rsidR="007C4792">
        <w:t>.</w:t>
      </w:r>
      <w:r w:rsidR="006B79D6">
        <w:t xml:space="preserve"> </w:t>
      </w:r>
    </w:p>
    <w:p w14:paraId="6DE7B3E5" w14:textId="181A1A2C" w:rsidR="00735B39" w:rsidRDefault="00C1765A" w:rsidP="0027125D">
      <w:pPr>
        <w:pStyle w:val="ListBullet"/>
      </w:pPr>
      <w:r>
        <w:t>National targets could be maintained without jurisdictional targets</w:t>
      </w:r>
      <w:r w:rsidR="00034F95">
        <w:t xml:space="preserve"> or contribution commitments</w:t>
      </w:r>
      <w:r w:rsidR="00DD105C">
        <w:t xml:space="preserve"> (as is the case now), but </w:t>
      </w:r>
      <w:r w:rsidR="002B1594">
        <w:t>annual reports would calculate the contribution of each jurisdiction to the national target to date</w:t>
      </w:r>
      <w:r w:rsidR="00034F95">
        <w:t>. This would highlight</w:t>
      </w:r>
      <w:r w:rsidR="008E7FCE">
        <w:t xml:space="preserve"> where some have contributed more than others</w:t>
      </w:r>
      <w:r w:rsidR="00181E16">
        <w:t xml:space="preserve">, which could aid learning </w:t>
      </w:r>
      <w:r w:rsidR="00C16BEC">
        <w:t>and improvement</w:t>
      </w:r>
      <w:r w:rsidR="00B50A07">
        <w:t>. However, without jurisdictional targets</w:t>
      </w:r>
      <w:r w:rsidR="00EC0DB2">
        <w:t xml:space="preserve"> or commitments</w:t>
      </w:r>
      <w:r w:rsidR="00B50A07">
        <w:t xml:space="preserve">, this </w:t>
      </w:r>
      <w:r w:rsidR="00677757">
        <w:t xml:space="preserve">would not set expectations for jurisdictions </w:t>
      </w:r>
      <w:r w:rsidR="00B50A07">
        <w:t>for which they could be held to account</w:t>
      </w:r>
      <w:r w:rsidR="00B057A3">
        <w:t>.</w:t>
      </w:r>
      <w:r w:rsidR="00677757">
        <w:t xml:space="preserve"> </w:t>
      </w:r>
    </w:p>
    <w:p w14:paraId="53DB1BE5" w14:textId="384BCB5D" w:rsidR="007018F2" w:rsidRDefault="00004213" w:rsidP="007018F2">
      <w:pPr>
        <w:pStyle w:val="Heading4"/>
      </w:pPr>
      <w:r>
        <w:t>F</w:t>
      </w:r>
      <w:r w:rsidR="00617A73">
        <w:t>urther</w:t>
      </w:r>
      <w:r w:rsidR="00C4785B">
        <w:t xml:space="preserve"> </w:t>
      </w:r>
      <w:r>
        <w:t xml:space="preserve">geographic </w:t>
      </w:r>
      <w:r w:rsidR="00C4785B">
        <w:t>disaggregation of target</w:t>
      </w:r>
      <w:r>
        <w:t xml:space="preserve"> data</w:t>
      </w:r>
      <w:r w:rsidR="00C4785B">
        <w:t xml:space="preserve"> </w:t>
      </w:r>
      <w:r w:rsidR="00883971">
        <w:t xml:space="preserve">will </w:t>
      </w:r>
      <w:r w:rsidR="00D75B76">
        <w:t>support</w:t>
      </w:r>
      <w:r w:rsidR="00883971">
        <w:t xml:space="preserve"> communities </w:t>
      </w:r>
      <w:r w:rsidR="001674E7">
        <w:t>in</w:t>
      </w:r>
      <w:r w:rsidR="00883971">
        <w:t xml:space="preserve"> hold</w:t>
      </w:r>
      <w:r w:rsidR="001674E7">
        <w:t>ing</w:t>
      </w:r>
      <w:r w:rsidR="00883971">
        <w:t xml:space="preserve"> jurisdictions to account for progress across regions</w:t>
      </w:r>
    </w:p>
    <w:p w14:paraId="594ECDF8" w14:textId="4F54537F" w:rsidR="00AF02D5" w:rsidRDefault="007018F2" w:rsidP="001F1995">
      <w:pPr>
        <w:pStyle w:val="BodyText"/>
      </w:pPr>
      <w:r>
        <w:t>M</w:t>
      </w:r>
      <w:r w:rsidR="00BA56DA" w:rsidRPr="2F61B7D7">
        <w:t xml:space="preserve">any participants in the review questioned the value of </w:t>
      </w:r>
      <w:r w:rsidR="00371B94">
        <w:t>state or territory</w:t>
      </w:r>
      <w:r w:rsidR="00BA56DA" w:rsidRPr="2F61B7D7">
        <w:t xml:space="preserve"> data alone, arguing that </w:t>
      </w:r>
      <w:r w:rsidR="0076201A">
        <w:t xml:space="preserve">further geographic disaggregation was necessary </w:t>
      </w:r>
      <w:r w:rsidR="00BA56DA" w:rsidRPr="2F61B7D7">
        <w:t xml:space="preserve">to hold jurisdictions to account for </w:t>
      </w:r>
      <w:r w:rsidR="00B01C14">
        <w:t>progress across regions</w:t>
      </w:r>
      <w:r w:rsidR="00BA56DA" w:rsidRPr="2F61B7D7">
        <w:t xml:space="preserve"> </w:t>
      </w:r>
      <w:r w:rsidR="000A3032" w:rsidRPr="000A3032">
        <w:rPr>
          <w:rFonts w:ascii="Arial" w:hAnsi="Arial" w:cs="Arial"/>
          <w:szCs w:val="24"/>
        </w:rPr>
        <w:t>(Aboriginal Health Council of Western Australia, sub. 22, p.</w:t>
      </w:r>
      <w:r w:rsidR="005634D7">
        <w:rPr>
          <w:rFonts w:ascii="Arial" w:hAnsi="Arial" w:cs="Arial"/>
          <w:szCs w:val="24"/>
        </w:rPr>
        <w:t> </w:t>
      </w:r>
      <w:r w:rsidR="000A3032" w:rsidRPr="000A3032">
        <w:rPr>
          <w:rFonts w:ascii="Arial" w:hAnsi="Arial" w:cs="Arial"/>
          <w:szCs w:val="24"/>
        </w:rPr>
        <w:t>3; Arthur, sub. 26, p.</w:t>
      </w:r>
      <w:r w:rsidR="005634D7">
        <w:rPr>
          <w:rFonts w:ascii="Arial" w:hAnsi="Arial" w:cs="Arial"/>
          <w:szCs w:val="24"/>
        </w:rPr>
        <w:t> </w:t>
      </w:r>
      <w:r w:rsidR="000A3032" w:rsidRPr="000A3032">
        <w:rPr>
          <w:rFonts w:ascii="Arial" w:hAnsi="Arial" w:cs="Arial"/>
          <w:szCs w:val="24"/>
        </w:rPr>
        <w:t>2; Federation of Victorian Traditional Owner Corporations, sub. 24, p.</w:t>
      </w:r>
      <w:r w:rsidR="005634D7">
        <w:rPr>
          <w:rFonts w:ascii="Arial" w:hAnsi="Arial" w:cs="Arial"/>
          <w:szCs w:val="24"/>
        </w:rPr>
        <w:t> </w:t>
      </w:r>
      <w:r w:rsidR="000A3032" w:rsidRPr="000A3032">
        <w:rPr>
          <w:rFonts w:ascii="Arial" w:hAnsi="Arial" w:cs="Arial"/>
          <w:szCs w:val="24"/>
        </w:rPr>
        <w:t>5; Torres Shire Council, sub. 6, p.</w:t>
      </w:r>
      <w:r w:rsidR="005634D7">
        <w:rPr>
          <w:rFonts w:ascii="Arial" w:hAnsi="Arial" w:cs="Arial"/>
          <w:szCs w:val="24"/>
        </w:rPr>
        <w:t> </w:t>
      </w:r>
      <w:r w:rsidR="000A3032" w:rsidRPr="000A3032">
        <w:rPr>
          <w:rFonts w:ascii="Arial" w:hAnsi="Arial" w:cs="Arial"/>
          <w:szCs w:val="24"/>
        </w:rPr>
        <w:t>4)</w:t>
      </w:r>
      <w:r w:rsidR="00BA56DA" w:rsidRPr="2F61B7D7">
        <w:t xml:space="preserve">. </w:t>
      </w:r>
      <w:r w:rsidR="00EE28ED">
        <w:t>For example, t</w:t>
      </w:r>
      <w:r w:rsidR="00EE28ED" w:rsidRPr="00C42CD1">
        <w:t>he Clos</w:t>
      </w:r>
      <w:r w:rsidR="00317100">
        <w:t>e</w:t>
      </w:r>
      <w:r w:rsidR="00EE28ED" w:rsidRPr="00C42CD1">
        <w:t xml:space="preserve"> the Gap Campaign argue</w:t>
      </w:r>
      <w:r w:rsidR="006B40B4">
        <w:t>d</w:t>
      </w:r>
      <w:r w:rsidR="00EE28ED" w:rsidRPr="00C42CD1">
        <w:t xml:space="preserve"> for </w:t>
      </w:r>
      <w:r w:rsidR="0080170C">
        <w:t xml:space="preserve">more </w:t>
      </w:r>
      <w:r w:rsidR="00BA09B7">
        <w:t>geographically disaggregated</w:t>
      </w:r>
      <w:r w:rsidR="00EE28ED" w:rsidRPr="00C42CD1">
        <w:t xml:space="preserve"> data and analysis on need</w:t>
      </w:r>
      <w:r w:rsidR="00612BAD">
        <w:t>s</w:t>
      </w:r>
      <w:r w:rsidR="00827859">
        <w:noBreakHyphen/>
      </w:r>
      <w:r w:rsidR="00EE28ED" w:rsidRPr="00C42CD1">
        <w:t>based funding to hold jurisdictions to account for ‘what actually needs to be done to achieve the targets, and in particular, the services required’ (sub</w:t>
      </w:r>
      <w:r w:rsidR="00F71C37">
        <w:t>.</w:t>
      </w:r>
      <w:r w:rsidR="005634D7">
        <w:t> </w:t>
      </w:r>
      <w:r w:rsidR="00EE28ED" w:rsidRPr="00C42CD1">
        <w:t>17</w:t>
      </w:r>
      <w:r w:rsidR="008E1DD4">
        <w:t>, p.</w:t>
      </w:r>
      <w:r w:rsidR="005634D7">
        <w:t> </w:t>
      </w:r>
      <w:r w:rsidR="008E1DD4">
        <w:t>2</w:t>
      </w:r>
      <w:r w:rsidR="00EE28ED" w:rsidRPr="00C42CD1">
        <w:t xml:space="preserve">). </w:t>
      </w:r>
      <w:r w:rsidR="000A5C30">
        <w:t xml:space="preserve">As recognised </w:t>
      </w:r>
      <w:r w:rsidR="005A582B">
        <w:t>by</w:t>
      </w:r>
      <w:r w:rsidR="000A5C30">
        <w:t xml:space="preserve"> </w:t>
      </w:r>
      <w:r w:rsidR="00B01C14">
        <w:t>P</w:t>
      </w:r>
      <w:r w:rsidR="000A5C30">
        <w:t xml:space="preserve">riority </w:t>
      </w:r>
      <w:r w:rsidR="00B01C14">
        <w:t>R</w:t>
      </w:r>
      <w:r w:rsidR="000A5C30">
        <w:t xml:space="preserve">eform 4, data </w:t>
      </w:r>
      <w:r w:rsidR="001F7E39">
        <w:t xml:space="preserve">can be an important tool </w:t>
      </w:r>
      <w:r w:rsidR="00276FCB">
        <w:t xml:space="preserve">for communities </w:t>
      </w:r>
      <w:r w:rsidR="001F7E39">
        <w:t>in advocating to government</w:t>
      </w:r>
      <w:r w:rsidR="00456B95">
        <w:t>s</w:t>
      </w:r>
      <w:r w:rsidR="00ED7D88">
        <w:t>.</w:t>
      </w:r>
      <w:r w:rsidR="00393FE8">
        <w:t xml:space="preserve"> </w:t>
      </w:r>
    </w:p>
    <w:p w14:paraId="7140E333" w14:textId="29CA5DE2" w:rsidR="001F1995" w:rsidRDefault="00393FE8" w:rsidP="001F1995">
      <w:pPr>
        <w:pStyle w:val="BodyText"/>
      </w:pPr>
      <w:r>
        <w:t xml:space="preserve">Without disaggregated data, there is a risk </w:t>
      </w:r>
      <w:r w:rsidR="00603CAD">
        <w:t xml:space="preserve">that </w:t>
      </w:r>
      <w:r w:rsidR="009816B6">
        <w:t xml:space="preserve">resources and outcomes will not be distributed equitably, as </w:t>
      </w:r>
      <w:r w:rsidR="00603CAD">
        <w:t>investment in particular regions drive</w:t>
      </w:r>
      <w:r w:rsidR="009816B6">
        <w:t>s</w:t>
      </w:r>
      <w:r w:rsidR="00603CAD">
        <w:t xml:space="preserve"> </w:t>
      </w:r>
      <w:r w:rsidR="00EE1BF3">
        <w:t xml:space="preserve">the achievement of </w:t>
      </w:r>
      <w:r w:rsidR="00603CAD">
        <w:t>jurisdictiona</w:t>
      </w:r>
      <w:r w:rsidR="009440B6">
        <w:t>l target</w:t>
      </w:r>
      <w:r w:rsidR="00EE1BF3">
        <w:t>s</w:t>
      </w:r>
      <w:r w:rsidR="00C11546">
        <w:t xml:space="preserve">. </w:t>
      </w:r>
      <w:r w:rsidR="001F1995">
        <w:t>The Coalition of Peaks explained</w:t>
      </w:r>
      <w:r w:rsidR="00F614C2">
        <w:t xml:space="preserve"> that it</w:t>
      </w:r>
      <w:r w:rsidR="00541001">
        <w:t>:</w:t>
      </w:r>
    </w:p>
    <w:p w14:paraId="61591BA7" w14:textId="1B43B31A" w:rsidR="001F1995" w:rsidRDefault="00F614C2" w:rsidP="001F1995">
      <w:pPr>
        <w:pStyle w:val="Quote"/>
      </w:pPr>
      <w:r>
        <w:t>…</w:t>
      </w:r>
      <w:r w:rsidR="001F1995">
        <w:t xml:space="preserve"> </w:t>
      </w:r>
      <w:r w:rsidR="001F1995" w:rsidRPr="00E539E7">
        <w:t xml:space="preserve">raised concerns about the way the targets and indicators would be reported on and that they would not provide an accurate picture of the </w:t>
      </w:r>
      <w:r w:rsidR="00827859">
        <w:t>‘</w:t>
      </w:r>
      <w:r w:rsidR="001F1995" w:rsidRPr="00E539E7">
        <w:t>gap</w:t>
      </w:r>
      <w:r w:rsidR="00827859">
        <w:t>’</w:t>
      </w:r>
      <w:r w:rsidR="001F1995" w:rsidRPr="00E539E7">
        <w:t>. For example, in areas like housing and education, it may be possible to close the gap by focussing only on urban areas and obfuscating a widening and large gap in remote areas</w:t>
      </w:r>
      <w:r w:rsidR="00734657">
        <w:t>.</w:t>
      </w:r>
      <w:r w:rsidR="001F1995">
        <w:t xml:space="preserve"> (</w:t>
      </w:r>
      <w:r w:rsidR="00D451DF" w:rsidRPr="00914558">
        <w:t>Coalition of Peaks,</w:t>
      </w:r>
      <w:r w:rsidR="001F1995" w:rsidRPr="00914558">
        <w:t xml:space="preserve"> pers</w:t>
      </w:r>
      <w:r w:rsidR="00D451DF" w:rsidRPr="00914558">
        <w:t xml:space="preserve">. </w:t>
      </w:r>
      <w:r w:rsidR="00541001" w:rsidRPr="00914558">
        <w:t>comm., 5</w:t>
      </w:r>
      <w:r w:rsidR="00827859">
        <w:t> </w:t>
      </w:r>
      <w:r w:rsidR="00541001" w:rsidRPr="00914558">
        <w:t>July 2023</w:t>
      </w:r>
      <w:r w:rsidR="001F1995" w:rsidRPr="00541001">
        <w:t xml:space="preserve">) </w:t>
      </w:r>
    </w:p>
    <w:p w14:paraId="56151B73" w14:textId="6FEDBB68" w:rsidR="00295C0B" w:rsidRDefault="001F1995" w:rsidP="001F1995">
      <w:pPr>
        <w:pStyle w:val="BodyText"/>
        <w:rPr>
          <w:rStyle w:val="BodyTextChar"/>
        </w:rPr>
      </w:pPr>
      <w:r>
        <w:rPr>
          <w:rStyle w:val="BodyTextChar"/>
        </w:rPr>
        <w:t xml:space="preserve">This concern is </w:t>
      </w:r>
      <w:r w:rsidR="00314054">
        <w:rPr>
          <w:rStyle w:val="BodyTextChar"/>
        </w:rPr>
        <w:t xml:space="preserve">validated </w:t>
      </w:r>
      <w:r>
        <w:rPr>
          <w:rStyle w:val="BodyTextChar"/>
        </w:rPr>
        <w:t>in data reported in the ADCR</w:t>
      </w:r>
      <w:r w:rsidR="00364F72">
        <w:rPr>
          <w:rStyle w:val="BodyTextChar"/>
        </w:rPr>
        <w:t xml:space="preserve"> </w:t>
      </w:r>
      <w:r w:rsidR="00632283">
        <w:rPr>
          <w:rStyle w:val="BodyTextChar"/>
        </w:rPr>
        <w:t xml:space="preserve">using </w:t>
      </w:r>
      <w:r w:rsidR="009A6479">
        <w:rPr>
          <w:rStyle w:val="BodyTextChar"/>
        </w:rPr>
        <w:t>data disaggregated</w:t>
      </w:r>
      <w:r w:rsidR="00632283">
        <w:rPr>
          <w:rStyle w:val="BodyTextChar"/>
        </w:rPr>
        <w:t xml:space="preserve"> by remoteness</w:t>
      </w:r>
      <w:r>
        <w:rPr>
          <w:rStyle w:val="BodyTextChar"/>
        </w:rPr>
        <w:t xml:space="preserve">, which finds most improvement across targets is driven by changes in </w:t>
      </w:r>
      <w:r w:rsidR="00F14292">
        <w:rPr>
          <w:rStyle w:val="BodyTextChar"/>
        </w:rPr>
        <w:t xml:space="preserve">major cities </w:t>
      </w:r>
      <w:r>
        <w:rPr>
          <w:rStyle w:val="BodyTextChar"/>
        </w:rPr>
        <w:t>and regional areas, while remote and very remote areas see little to no improvement</w:t>
      </w:r>
      <w:r w:rsidR="000D22B7">
        <w:rPr>
          <w:rStyle w:val="BodyTextChar"/>
        </w:rPr>
        <w:t xml:space="preserve"> </w:t>
      </w:r>
      <w:r w:rsidR="000D22B7" w:rsidRPr="00636065">
        <w:rPr>
          <w:rFonts w:ascii="Arial" w:hAnsi="Arial" w:cs="Arial"/>
          <w:szCs w:val="24"/>
        </w:rPr>
        <w:t>(PC 2023b, p. 30)</w:t>
      </w:r>
      <w:r>
        <w:rPr>
          <w:rStyle w:val="BodyTextChar"/>
        </w:rPr>
        <w:t xml:space="preserve">. </w:t>
      </w:r>
    </w:p>
    <w:p w14:paraId="7C0737A3" w14:textId="087E810E" w:rsidR="00BA56DA" w:rsidRPr="0027125D" w:rsidRDefault="00F863BE" w:rsidP="00BA56DA">
      <w:pPr>
        <w:pStyle w:val="BodyText"/>
        <w:rPr>
          <w:spacing w:val="-4"/>
        </w:rPr>
      </w:pPr>
      <w:r w:rsidRPr="0027125D">
        <w:rPr>
          <w:rStyle w:val="BodyTextChar"/>
          <w:spacing w:val="-4"/>
        </w:rPr>
        <w:t xml:space="preserve">In addition to recognising the unequal distribution of resources across regions, </w:t>
      </w:r>
      <w:r w:rsidR="00FC1ADB" w:rsidRPr="0027125D">
        <w:rPr>
          <w:spacing w:val="-4"/>
        </w:rPr>
        <w:t xml:space="preserve">arguments for </w:t>
      </w:r>
      <w:r w:rsidR="00231F7B" w:rsidRPr="0027125D">
        <w:rPr>
          <w:spacing w:val="-4"/>
        </w:rPr>
        <w:t xml:space="preserve">further geographic </w:t>
      </w:r>
      <w:r w:rsidR="00FC1ADB" w:rsidRPr="0027125D">
        <w:rPr>
          <w:spacing w:val="-4"/>
        </w:rPr>
        <w:t>disaggregation</w:t>
      </w:r>
      <w:r w:rsidR="00BA56DA" w:rsidRPr="0027125D">
        <w:rPr>
          <w:spacing w:val="-4"/>
        </w:rPr>
        <w:t xml:space="preserve"> are often enmeshed with the need to recognise community diversity and self</w:t>
      </w:r>
      <w:r w:rsidR="00314054" w:rsidRPr="0027125D">
        <w:rPr>
          <w:spacing w:val="-4"/>
        </w:rPr>
        <w:noBreakHyphen/>
      </w:r>
      <w:r w:rsidR="00BA56DA" w:rsidRPr="0027125D">
        <w:rPr>
          <w:spacing w:val="-4"/>
        </w:rPr>
        <w:t>determination. For example, the Torres Shire Council note</w:t>
      </w:r>
      <w:r w:rsidR="00314054" w:rsidRPr="0027125D">
        <w:rPr>
          <w:spacing w:val="-4"/>
        </w:rPr>
        <w:t>d</w:t>
      </w:r>
      <w:r w:rsidR="00BA56DA" w:rsidRPr="0027125D">
        <w:rPr>
          <w:spacing w:val="-4"/>
        </w:rPr>
        <w:t xml:space="preserve"> the wide discrepancy in outcomes between</w:t>
      </w:r>
      <w:r w:rsidR="00E51154" w:rsidRPr="0027125D">
        <w:rPr>
          <w:spacing w:val="-4"/>
        </w:rPr>
        <w:t xml:space="preserve"> </w:t>
      </w:r>
      <w:r w:rsidR="00314054" w:rsidRPr="0027125D">
        <w:rPr>
          <w:spacing w:val="-4"/>
        </w:rPr>
        <w:t xml:space="preserve">its </w:t>
      </w:r>
      <w:r w:rsidR="00E51154" w:rsidRPr="0027125D">
        <w:rPr>
          <w:spacing w:val="-4"/>
        </w:rPr>
        <w:t>region</w:t>
      </w:r>
      <w:r w:rsidR="00BA56DA" w:rsidRPr="0027125D">
        <w:rPr>
          <w:spacing w:val="-4"/>
        </w:rPr>
        <w:t xml:space="preserve"> and the rest of Queensland and argue</w:t>
      </w:r>
      <w:r w:rsidR="00314054" w:rsidRPr="0027125D">
        <w:rPr>
          <w:spacing w:val="-4"/>
        </w:rPr>
        <w:t>d</w:t>
      </w:r>
      <w:r w:rsidR="00BA56DA" w:rsidRPr="0027125D">
        <w:rPr>
          <w:spacing w:val="-4"/>
        </w:rPr>
        <w:t xml:space="preserve"> that regional autonomy in the codesign and evaluation of programs is fundamental to change (</w:t>
      </w:r>
      <w:r w:rsidR="00F56665" w:rsidRPr="0027125D">
        <w:rPr>
          <w:spacing w:val="-4"/>
        </w:rPr>
        <w:t>b</w:t>
      </w:r>
      <w:r w:rsidR="00A66232" w:rsidRPr="0027125D">
        <w:rPr>
          <w:spacing w:val="-4"/>
        </w:rPr>
        <w:t>ox</w:t>
      </w:r>
      <w:r w:rsidR="005634D7" w:rsidRPr="0027125D">
        <w:rPr>
          <w:spacing w:val="-4"/>
        </w:rPr>
        <w:t> </w:t>
      </w:r>
      <w:r w:rsidR="009352C9" w:rsidRPr="0027125D">
        <w:rPr>
          <w:spacing w:val="-4"/>
        </w:rPr>
        <w:t>9</w:t>
      </w:r>
      <w:r w:rsidR="00BA56DA" w:rsidRPr="0027125D">
        <w:rPr>
          <w:spacing w:val="-4"/>
        </w:rPr>
        <w:t xml:space="preserve">). </w:t>
      </w:r>
      <w:r w:rsidR="004D698F" w:rsidRPr="0027125D">
        <w:rPr>
          <w:spacing w:val="-4"/>
        </w:rPr>
        <w:t xml:space="preserve">This echoes points made in the Coalition of Peaks’ engagements informing the Agreement that targets should be relevant to regions </w:t>
      </w:r>
      <w:r w:rsidR="00E90B4D" w:rsidRPr="0027125D">
        <w:rPr>
          <w:rFonts w:cs="Arial"/>
          <w:spacing w:val="-4"/>
          <w:szCs w:val="24"/>
        </w:rPr>
        <w:t>(Coalition of Peaks 2020, p. 83)</w:t>
      </w:r>
      <w:r w:rsidR="004D698F" w:rsidRPr="0027125D">
        <w:rPr>
          <w:spacing w:val="-4"/>
        </w:rPr>
        <w:t>.</w:t>
      </w:r>
    </w:p>
    <w:p w14:paraId="27E6C1F9" w14:textId="537573BC" w:rsidR="00631832" w:rsidRDefault="00631832" w:rsidP="00C16F50">
      <w:pPr>
        <w:pStyle w:val="NoSpacing"/>
      </w:pPr>
      <w:r>
        <w:br w:type="page"/>
      </w:r>
    </w:p>
    <w:tbl>
      <w:tblPr>
        <w:tblStyle w:val="Boxtable"/>
        <w:tblW w:w="5000" w:type="pct"/>
        <w:tblLook w:val="04A0" w:firstRow="1" w:lastRow="0" w:firstColumn="1" w:lastColumn="0" w:noHBand="0" w:noVBand="1"/>
      </w:tblPr>
      <w:tblGrid>
        <w:gridCol w:w="906"/>
        <w:gridCol w:w="8732"/>
      </w:tblGrid>
      <w:tr w:rsidR="006A7632" w14:paraId="18C8BEE1" w14:textId="77777777" w:rsidTr="00631832">
        <w:trPr>
          <w:tblHeader/>
        </w:trPr>
        <w:tc>
          <w:tcPr>
            <w:tcW w:w="906" w:type="dxa"/>
            <w:shd w:val="clear" w:color="auto" w:fill="FBF3EC"/>
            <w:tcMar>
              <w:top w:w="170" w:type="dxa"/>
              <w:left w:w="170" w:type="dxa"/>
              <w:bottom w:w="113" w:type="dxa"/>
              <w:right w:w="170" w:type="dxa"/>
            </w:tcMar>
            <w:hideMark/>
          </w:tcPr>
          <w:p w14:paraId="7FF8FD7B" w14:textId="0AE9D032" w:rsidR="006A7632" w:rsidRDefault="00F455B2" w:rsidP="00F455B2">
            <w:pPr>
              <w:pStyle w:val="BoxHeading1"/>
              <w:spacing w:before="120"/>
            </w:pPr>
            <w:r w:rsidRPr="00A031AA">
              <w:rPr>
                <w:b/>
                <w:bCs/>
                <w:noProof/>
              </w:rPr>
              <w:lastRenderedPageBreak/>
              <w:drawing>
                <wp:inline distT="0" distB="0" distL="0" distR="0" wp14:anchorId="46E4CDEE" wp14:editId="52BD0409">
                  <wp:extent cx="360000" cy="424800"/>
                  <wp:effectExtent l="0" t="0" r="0" b="0"/>
                  <wp:docPr id="839195321" name="Picture 839195321" descr="A brown boomerang with red and yellow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16939" name="Picture 1293616939" descr="A brown boomerang with red and yellow do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424800"/>
                          </a:xfrm>
                          <a:prstGeom prst="rect">
                            <a:avLst/>
                          </a:prstGeom>
                        </pic:spPr>
                      </pic:pic>
                    </a:graphicData>
                  </a:graphic>
                </wp:inline>
              </w:drawing>
            </w:r>
          </w:p>
        </w:tc>
        <w:tc>
          <w:tcPr>
            <w:tcW w:w="8732" w:type="dxa"/>
            <w:shd w:val="clear" w:color="auto" w:fill="FBF3EC"/>
          </w:tcPr>
          <w:p w14:paraId="5AAC2308" w14:textId="71140DB2" w:rsidR="006A7632" w:rsidRDefault="00F455B2">
            <w:pPr>
              <w:pStyle w:val="BoxHeading1"/>
            </w:pPr>
            <w:r w:rsidRPr="00F455B2">
              <w:t>Box 9 – Focusing on the jurisdictional level can obscure regional priorities and needs: an example in the Torres Strait</w:t>
            </w:r>
          </w:p>
        </w:tc>
      </w:tr>
      <w:tr w:rsidR="006A7632" w14:paraId="6847AEAF" w14:textId="77777777" w:rsidTr="00F455B2">
        <w:tc>
          <w:tcPr>
            <w:tcW w:w="9638" w:type="dxa"/>
            <w:gridSpan w:val="2"/>
            <w:shd w:val="clear" w:color="auto" w:fill="FBF3EC"/>
            <w:tcMar>
              <w:top w:w="28" w:type="dxa"/>
              <w:left w:w="170" w:type="dxa"/>
              <w:bottom w:w="170" w:type="dxa"/>
              <w:right w:w="170" w:type="dxa"/>
            </w:tcMar>
            <w:hideMark/>
          </w:tcPr>
          <w:p w14:paraId="4DAA0FF0" w14:textId="77777777" w:rsidR="00F455B2" w:rsidRPr="00B7395E" w:rsidRDefault="00F455B2" w:rsidP="00F455B2">
            <w:pPr>
              <w:pStyle w:val="BodyText"/>
            </w:pPr>
            <w:r w:rsidRPr="00B7395E">
              <w:t xml:space="preserve">The Torres </w:t>
            </w:r>
            <w:r>
              <w:t xml:space="preserve">Shire Council </w:t>
            </w:r>
            <w:r w:rsidRPr="00B7395E">
              <w:t>is a local government area located in Far North Queensland covering large sections of the Torres Strait and the northern tip of Cape York Peninsula. Statistics provided by the Torres Shire Council, drawing on Queensland Regional Profiles data, showed that while people in the region have similar rates of educational attainment relative to greater Queensland, they also experience much lower incomes, higher unemployment and higher rates of homelessness. The Council described the unique conditions faced by the region: the entire region is classified as very remote, compared to just 1% of Queensland as a whole, and this is reflected in the high cost of living and challenges accessing key infrastructure and services, such as internet access and post</w:t>
            </w:r>
            <w:r w:rsidRPr="00B7395E">
              <w:noBreakHyphen/>
              <w:t>primary education. While some challenges such as high transport costs particularly impact the region, disparities in outcomes are the result of policy choices.</w:t>
            </w:r>
          </w:p>
          <w:p w14:paraId="10323618" w14:textId="77777777" w:rsidR="00F455B2" w:rsidRPr="0027125D" w:rsidRDefault="00F455B2" w:rsidP="00F455B2">
            <w:pPr>
              <w:pStyle w:val="BodyText"/>
              <w:rPr>
                <w:spacing w:val="-2"/>
              </w:rPr>
            </w:pPr>
            <w:r w:rsidRPr="0027125D">
              <w:rPr>
                <w:spacing w:val="-2"/>
              </w:rPr>
              <w:t>The Council noted that there are over 30 state and federal agencies on Thursday Island providing government services, crowding out local delivery and jobs. The impact of mainland</w:t>
            </w:r>
            <w:r w:rsidRPr="0027125D">
              <w:rPr>
                <w:spacing w:val="-2"/>
              </w:rPr>
              <w:noBreakHyphen/>
              <w:t>driven policy is two</w:t>
            </w:r>
            <w:r w:rsidRPr="0027125D">
              <w:rPr>
                <w:spacing w:val="-2"/>
              </w:rPr>
              <w:noBreakHyphen/>
              <w:t>fold. First, policy priorities of the region will not always align with state priorities. For example, mainland government organisations offer non</w:t>
            </w:r>
            <w:r w:rsidRPr="0027125D">
              <w:rPr>
                <w:spacing w:val="-2"/>
              </w:rPr>
              <w:noBreakHyphen/>
              <w:t xml:space="preserve">local staff subsidised housing, an offer not extended to local staff. While this addresses recruitment difficulties, it does not resolve the broader issue of housing availability and affordability </w:t>
            </w:r>
            <w:r w:rsidRPr="0027125D">
              <w:rPr>
                <w:rFonts w:cstheme="minorHAnsi"/>
                <w:spacing w:val="-2"/>
              </w:rPr>
              <w:t>–</w:t>
            </w:r>
            <w:r w:rsidRPr="0027125D">
              <w:rPr>
                <w:spacing w:val="-2"/>
              </w:rPr>
              <w:t xml:space="preserve"> and even exacerbates it. Second, it denies local organisations the opportunity to design services attuned to the cultures and languages of the Torres Strait and Northern Peninsula. Statistics show a significant majority of people in the region speak a language other than English at home, with multiple Indigenous languages represented, compared to less than 15% of Queenslanders. </w:t>
            </w:r>
          </w:p>
          <w:p w14:paraId="7151EA44" w14:textId="77777777" w:rsidR="00F455B2" w:rsidRDefault="00F455B2" w:rsidP="00F455B2">
            <w:pPr>
              <w:pStyle w:val="BodyText"/>
            </w:pPr>
            <w:r w:rsidRPr="046A637F">
              <w:t xml:space="preserve">The Torres Shire Council has asked </w:t>
            </w:r>
            <w:r>
              <w:t>the</w:t>
            </w:r>
            <w:r w:rsidRPr="046A637F">
              <w:t xml:space="preserve"> Queensland</w:t>
            </w:r>
            <w:r w:rsidRPr="046A637F" w:rsidDel="00676954">
              <w:t xml:space="preserve"> </w:t>
            </w:r>
            <w:r>
              <w:t>Government Statistician’s Office</w:t>
            </w:r>
            <w:r w:rsidRPr="046A637F">
              <w:t xml:space="preserve"> to produce an annual report card compiling statistics for the region relative to the rest of Queensland and Australia to direct local effort and monitor progress to parity. </w:t>
            </w:r>
            <w:r>
              <w:t>The Council</w:t>
            </w:r>
            <w:r w:rsidRPr="046A637F">
              <w:t xml:space="preserve"> note</w:t>
            </w:r>
            <w:r>
              <w:t>d</w:t>
            </w:r>
            <w:r w:rsidRPr="046A637F">
              <w:t xml:space="preserve"> that this level of data aligns with the proposal for a regional voice and emphasise</w:t>
            </w:r>
            <w:r>
              <w:t>d</w:t>
            </w:r>
            <w:r w:rsidRPr="046A637F">
              <w:t>, ‘For too long, policy makers and governments have over</w:t>
            </w:r>
            <w:r>
              <w:noBreakHyphen/>
            </w:r>
            <w:r w:rsidRPr="046A637F">
              <w:t xml:space="preserve">complicated the root cause of policy and program failures affecting First Nations people … Council submits that the root cause is the absence of </w:t>
            </w:r>
            <w:r>
              <w:t>I</w:t>
            </w:r>
            <w:r w:rsidRPr="046A637F">
              <w:t xml:space="preserve">ndigenous agency, </w:t>
            </w:r>
            <w:r>
              <w:t>I</w:t>
            </w:r>
            <w:r w:rsidRPr="046A637F">
              <w:t xml:space="preserve">ndigenous policy design and </w:t>
            </w:r>
            <w:r>
              <w:t>I</w:t>
            </w:r>
            <w:r w:rsidRPr="046A637F">
              <w:t>ndigenous program control’ (p.</w:t>
            </w:r>
            <w:r>
              <w:t> </w:t>
            </w:r>
            <w:r w:rsidRPr="046A637F">
              <w:t>3).</w:t>
            </w:r>
          </w:p>
          <w:p w14:paraId="3E554513" w14:textId="6E9531B4" w:rsidR="006A7632" w:rsidRDefault="00F455B2" w:rsidP="00F455B2">
            <w:pPr>
              <w:pStyle w:val="Source"/>
            </w:pPr>
            <w:r w:rsidRPr="00E61EE7">
              <w:rPr>
                <w:rFonts w:ascii="Arial" w:eastAsia="Arial" w:hAnsi="Arial" w:cs="Arial"/>
                <w:color w:val="000000" w:themeColor="text1"/>
                <w:szCs w:val="18"/>
              </w:rPr>
              <w:t xml:space="preserve">Source: Torres Shire Council, </w:t>
            </w:r>
            <w:r>
              <w:rPr>
                <w:rFonts w:ascii="Arial" w:eastAsia="Arial" w:hAnsi="Arial" w:cs="Arial"/>
                <w:color w:val="000000" w:themeColor="text1"/>
                <w:szCs w:val="18"/>
              </w:rPr>
              <w:t>s</w:t>
            </w:r>
            <w:r w:rsidRPr="7C959D67">
              <w:rPr>
                <w:rFonts w:ascii="Arial" w:eastAsia="Arial" w:hAnsi="Arial" w:cs="Arial"/>
                <w:color w:val="000000" w:themeColor="text1"/>
                <w:szCs w:val="18"/>
              </w:rPr>
              <w:t>ub.</w:t>
            </w:r>
            <w:r>
              <w:rPr>
                <w:rFonts w:ascii="Arial" w:eastAsia="Arial" w:hAnsi="Arial" w:cs="Arial"/>
                <w:color w:val="000000" w:themeColor="text1"/>
                <w:szCs w:val="18"/>
              </w:rPr>
              <w:t> </w:t>
            </w:r>
            <w:r w:rsidRPr="7C959D67">
              <w:rPr>
                <w:rFonts w:ascii="Arial" w:eastAsia="Arial" w:hAnsi="Arial" w:cs="Arial"/>
                <w:color w:val="000000" w:themeColor="text1"/>
                <w:szCs w:val="18"/>
              </w:rPr>
              <w:t>6</w:t>
            </w:r>
            <w:r>
              <w:rPr>
                <w:rFonts w:ascii="Arial" w:eastAsia="Arial" w:hAnsi="Arial" w:cs="Arial"/>
                <w:color w:val="000000" w:themeColor="text1"/>
                <w:szCs w:val="18"/>
              </w:rPr>
              <w:t>.</w:t>
            </w:r>
          </w:p>
        </w:tc>
      </w:tr>
      <w:tr w:rsidR="006A7632" w14:paraId="672847C6" w14:textId="77777777" w:rsidTr="000717B1">
        <w:trPr>
          <w:hidden/>
        </w:trPr>
        <w:tc>
          <w:tcPr>
            <w:tcW w:w="9638" w:type="dxa"/>
            <w:gridSpan w:val="2"/>
            <w:shd w:val="clear" w:color="auto" w:fill="auto"/>
            <w:tcMar>
              <w:top w:w="0" w:type="dxa"/>
              <w:left w:w="170" w:type="dxa"/>
              <w:bottom w:w="0" w:type="dxa"/>
              <w:right w:w="170" w:type="dxa"/>
            </w:tcMar>
          </w:tcPr>
          <w:p w14:paraId="2105660A" w14:textId="1CE2A27A" w:rsidR="006A7632" w:rsidRPr="00465191" w:rsidRDefault="006A7632">
            <w:pPr>
              <w:pStyle w:val="BodyText"/>
              <w:spacing w:before="0" w:after="0" w:line="80" w:lineRule="atLeast"/>
              <w:rPr>
                <w:smallCaps/>
                <w:vanish/>
              </w:rPr>
            </w:pPr>
          </w:p>
        </w:tc>
      </w:tr>
    </w:tbl>
    <w:p w14:paraId="02050F10" w14:textId="6EB96D44" w:rsidR="00B56F60" w:rsidRPr="0071760A" w:rsidRDefault="00500EA1" w:rsidP="001420C6">
      <w:pPr>
        <w:pStyle w:val="BodyText"/>
        <w:rPr>
          <w:b/>
        </w:rPr>
      </w:pPr>
      <w:r>
        <w:t>The Agreement</w:t>
      </w:r>
      <w:r w:rsidR="002447E0">
        <w:t xml:space="preserve"> </w:t>
      </w:r>
      <w:r w:rsidR="00C93579">
        <w:t>recognises</w:t>
      </w:r>
      <w:r w:rsidR="002447E0">
        <w:t xml:space="preserve"> that f</w:t>
      </w:r>
      <w:r w:rsidR="00C27F2F">
        <w:t>urther geographic</w:t>
      </w:r>
      <w:r w:rsidR="00214E65">
        <w:t xml:space="preserve"> disaggregation </w:t>
      </w:r>
      <w:r w:rsidR="002447E0">
        <w:t>of</w:t>
      </w:r>
      <w:r w:rsidR="00214E65">
        <w:t xml:space="preserve"> socio</w:t>
      </w:r>
      <w:r w:rsidR="00827859">
        <w:noBreakHyphen/>
      </w:r>
      <w:r w:rsidR="00214E65">
        <w:t xml:space="preserve">economic </w:t>
      </w:r>
      <w:r w:rsidR="00C93579">
        <w:t xml:space="preserve">targets is </w:t>
      </w:r>
      <w:r w:rsidR="00F66554">
        <w:t>important</w:t>
      </w:r>
      <w:r w:rsidR="00C93579">
        <w:t xml:space="preserve"> to</w:t>
      </w:r>
      <w:r w:rsidR="00050B7A">
        <w:t xml:space="preserve"> </w:t>
      </w:r>
      <w:r w:rsidR="00214E65">
        <w:t>identify where greater effort is needed (clause 82d)</w:t>
      </w:r>
      <w:r w:rsidR="001D483E">
        <w:t xml:space="preserve">, and this </w:t>
      </w:r>
      <w:r w:rsidR="005C6457">
        <w:t>has been</w:t>
      </w:r>
      <w:r w:rsidR="001D483E">
        <w:t xml:space="preserve"> affirmed by </w:t>
      </w:r>
      <w:r w:rsidR="005C6457">
        <w:t>government parties</w:t>
      </w:r>
      <w:r w:rsidR="00214E65">
        <w:t>.</w:t>
      </w:r>
      <w:r w:rsidR="006B1CA5">
        <w:t xml:space="preserve"> </w:t>
      </w:r>
      <w:r w:rsidR="008D4959">
        <w:t xml:space="preserve">Members of </w:t>
      </w:r>
      <w:r w:rsidR="00EC6E27" w:rsidDel="001420C6">
        <w:t xml:space="preserve">the </w:t>
      </w:r>
      <w:r w:rsidR="00AA01FA">
        <w:t>PWG</w:t>
      </w:r>
      <w:r w:rsidR="008D4959">
        <w:t xml:space="preserve"> have indicated that</w:t>
      </w:r>
      <w:r w:rsidR="00171AC1">
        <w:t xml:space="preserve"> the Commission should </w:t>
      </w:r>
      <w:r w:rsidR="00FA4E86">
        <w:t>explore</w:t>
      </w:r>
      <w:r w:rsidR="008D4959">
        <w:t xml:space="preserve"> further geographic disaggregation of target data </w:t>
      </w:r>
      <w:r w:rsidR="00C82319">
        <w:t xml:space="preserve">when </w:t>
      </w:r>
      <w:r w:rsidR="00394345">
        <w:t>specifying existing data for</w:t>
      </w:r>
      <w:r w:rsidR="002400F9">
        <w:t xml:space="preserve"> the </w:t>
      </w:r>
      <w:r w:rsidR="00CA5678">
        <w:t>Closing the Gap</w:t>
      </w:r>
      <w:r w:rsidR="002400F9">
        <w:t xml:space="preserve"> dashboard</w:t>
      </w:r>
      <w:r w:rsidR="004D09F9">
        <w:t xml:space="preserve"> </w:t>
      </w:r>
      <w:r w:rsidR="000D5770" w:rsidRPr="000D5770">
        <w:rPr>
          <w:rFonts w:ascii="Arial" w:hAnsi="Arial" w:cs="Arial"/>
          <w:szCs w:val="24"/>
        </w:rPr>
        <w:t>(PC 2022a)</w:t>
      </w:r>
      <w:r w:rsidR="004D09F9">
        <w:t>.</w:t>
      </w:r>
      <w:r w:rsidR="008D4959">
        <w:t xml:space="preserve"> </w:t>
      </w:r>
      <w:r w:rsidR="004D09F9">
        <w:t>However,</w:t>
      </w:r>
      <w:r w:rsidR="008D4959">
        <w:t xml:space="preserve"> perspectives varied on the relevant level of geography and the need for further engagement with Aboriginal and Torres Strait Islander organisations and communities was noted</w:t>
      </w:r>
      <w:r w:rsidR="00D548DA">
        <w:t>.</w:t>
      </w:r>
    </w:p>
    <w:p w14:paraId="55A99549" w14:textId="34EAF64E" w:rsidR="000E02DD" w:rsidRDefault="00232EEE" w:rsidP="00BA56DA">
      <w:pPr>
        <w:pStyle w:val="BodyText"/>
      </w:pPr>
      <w:r w:rsidRPr="2F61B7D7">
        <w:t xml:space="preserve">Regional disaggregation of national target indicators </w:t>
      </w:r>
      <w:r w:rsidRPr="2F61B7D7" w:rsidDel="00D101CD">
        <w:t xml:space="preserve">will largely </w:t>
      </w:r>
      <w:r w:rsidR="00D101CD">
        <w:t>require additional</w:t>
      </w:r>
      <w:r w:rsidRPr="2F61B7D7">
        <w:t xml:space="preserve"> data development</w:t>
      </w:r>
      <w:r w:rsidR="00D101CD">
        <w:t xml:space="preserve"> work</w:t>
      </w:r>
      <w:r w:rsidR="00EF1F85">
        <w:t>.</w:t>
      </w:r>
      <w:r w:rsidRPr="2F61B7D7">
        <w:t xml:space="preserve"> </w:t>
      </w:r>
      <w:r w:rsidRPr="0FE60051">
        <w:t xml:space="preserve">While some data, particularly data derived from the </w:t>
      </w:r>
      <w:r w:rsidR="00FA442F">
        <w:t>five</w:t>
      </w:r>
      <w:r w:rsidR="00827859">
        <w:noBreakHyphen/>
      </w:r>
      <w:r w:rsidR="00FA442F">
        <w:t xml:space="preserve">yearly </w:t>
      </w:r>
      <w:r w:rsidR="00EF1F85">
        <w:t>c</w:t>
      </w:r>
      <w:r w:rsidRPr="0FE60051">
        <w:t>ensus, are publicly available at</w:t>
      </w:r>
      <w:r w:rsidRPr="2F61B7D7">
        <w:t xml:space="preserve"> smaller geographic levels, smaller populations could make trends more volatile and harder to interpret </w:t>
      </w:r>
      <w:r w:rsidR="00B45F0B">
        <w:t>(</w:t>
      </w:r>
      <w:r w:rsidR="00B45F0B" w:rsidRPr="00B45F0B">
        <w:t>ABS, sub.</w:t>
      </w:r>
      <w:r w:rsidR="005634D7">
        <w:t> </w:t>
      </w:r>
      <w:r w:rsidR="00B45F0B" w:rsidRPr="00B45F0B">
        <w:t>1, pp.</w:t>
      </w:r>
      <w:r w:rsidR="005634D7">
        <w:t> </w:t>
      </w:r>
      <w:r w:rsidR="00B45F0B" w:rsidRPr="00B45F0B">
        <w:t>2</w:t>
      </w:r>
      <w:r w:rsidR="00827859">
        <w:noBreakHyphen/>
      </w:r>
      <w:r w:rsidR="00B45F0B" w:rsidRPr="00B45F0B">
        <w:t>3</w:t>
      </w:r>
      <w:r w:rsidR="00B45F0B">
        <w:t>)</w:t>
      </w:r>
      <w:r w:rsidRPr="2F61B7D7">
        <w:t>.</w:t>
      </w:r>
      <w:r w:rsidR="00CC4EF0">
        <w:t xml:space="preserve"> </w:t>
      </w:r>
      <w:r w:rsidR="00337777">
        <w:t xml:space="preserve">The ABS and AIHW publish </w:t>
      </w:r>
      <w:r w:rsidR="00AA01FA">
        <w:t>several</w:t>
      </w:r>
      <w:r w:rsidR="00337777">
        <w:t xml:space="preserve"> data products making geographically disaggregated data accessible to the public</w:t>
      </w:r>
      <w:r w:rsidR="00AA01FA">
        <w:t>,</w:t>
      </w:r>
      <w:r w:rsidR="00337777">
        <w:t xml:space="preserve"> including the ABS’s TableBuilder and ‘Data by Region’ and </w:t>
      </w:r>
      <w:r w:rsidR="00FA5D7C">
        <w:t xml:space="preserve">the </w:t>
      </w:r>
      <w:r w:rsidR="00337777">
        <w:t xml:space="preserve">AIHW’s Regional </w:t>
      </w:r>
      <w:r w:rsidR="00337777">
        <w:lastRenderedPageBreak/>
        <w:t>Insights for Indigenous Communities</w:t>
      </w:r>
      <w:r w:rsidR="00FA5D7C">
        <w:t xml:space="preserve"> website</w:t>
      </w:r>
      <w:r w:rsidR="00337777">
        <w:t>. Geographic disaggregation for other data will require data development</w:t>
      </w:r>
      <w:r w:rsidR="001F762B">
        <w:t xml:space="preserve"> and harmonisation.</w:t>
      </w:r>
    </w:p>
    <w:p w14:paraId="10E68F72" w14:textId="5E707C6D" w:rsidR="00232EEE" w:rsidRDefault="00521D5E" w:rsidP="00BA56DA">
      <w:pPr>
        <w:pStyle w:val="BodyText"/>
      </w:pPr>
      <w:r>
        <w:t>Another challenge is determining the level of geographic disaggregation</w:t>
      </w:r>
      <w:r w:rsidR="008E73D4">
        <w:t xml:space="preserve"> that can best balance utility and </w:t>
      </w:r>
      <w:r w:rsidR="0026068D">
        <w:t>cost of development</w:t>
      </w:r>
      <w:r w:rsidR="001B5756">
        <w:t xml:space="preserve">. </w:t>
      </w:r>
      <w:r w:rsidR="00D85402">
        <w:t xml:space="preserve">This will need to </w:t>
      </w:r>
      <w:r w:rsidR="00C635CC">
        <w:t>consider</w:t>
      </w:r>
      <w:r w:rsidR="00D85402">
        <w:t xml:space="preserve"> both </w:t>
      </w:r>
      <w:r w:rsidR="00C635CC">
        <w:t xml:space="preserve">the appropriate level and boundaries. </w:t>
      </w:r>
      <w:r w:rsidR="0059713F">
        <w:t>Data for s</w:t>
      </w:r>
      <w:r w:rsidR="0026068D">
        <w:t xml:space="preserve">maller regions </w:t>
      </w:r>
      <w:r w:rsidR="001E55CD">
        <w:t>could</w:t>
      </w:r>
      <w:r w:rsidR="001B5756">
        <w:t xml:space="preserve"> </w:t>
      </w:r>
      <w:r w:rsidR="0059713F">
        <w:t>be</w:t>
      </w:r>
      <w:r w:rsidR="006F1283">
        <w:t xml:space="preserve"> more meaningful</w:t>
      </w:r>
      <w:r w:rsidR="0059713F">
        <w:t>,</w:t>
      </w:r>
      <w:r w:rsidR="006F1283">
        <w:t xml:space="preserve"> but </w:t>
      </w:r>
      <w:r w:rsidR="00716BD0">
        <w:t>will</w:t>
      </w:r>
      <w:r w:rsidR="006F1283">
        <w:t xml:space="preserve"> also </w:t>
      </w:r>
      <w:r w:rsidR="00716BD0">
        <w:t xml:space="preserve">be </w:t>
      </w:r>
      <w:r w:rsidR="006F1283">
        <w:t>more costly</w:t>
      </w:r>
      <w:r w:rsidR="004D6F08">
        <w:t xml:space="preserve"> </w:t>
      </w:r>
      <w:r w:rsidR="006F1283">
        <w:t>to develop</w:t>
      </w:r>
      <w:r w:rsidR="009F3F15">
        <w:t>,</w:t>
      </w:r>
      <w:r w:rsidR="006F1283">
        <w:t xml:space="preserve"> </w:t>
      </w:r>
      <w:r w:rsidR="001E55CD">
        <w:t xml:space="preserve">and </w:t>
      </w:r>
      <w:r w:rsidR="00114A31">
        <w:t>risk misaligning with community priorities if not developed in partnership</w:t>
      </w:r>
      <w:r>
        <w:t xml:space="preserve">. </w:t>
      </w:r>
      <w:r w:rsidR="00792ECE">
        <w:t>A</w:t>
      </w:r>
      <w:r w:rsidR="000C09CC">
        <w:t>ppropriate geographic boundaries must also be agreed upon</w:t>
      </w:r>
      <w:r w:rsidR="001100E4">
        <w:t xml:space="preserve">, and there are a few existing </w:t>
      </w:r>
      <w:r w:rsidR="00D868E8">
        <w:t>classifications to consider</w:t>
      </w:r>
      <w:r w:rsidR="000C09CC">
        <w:t xml:space="preserve">. </w:t>
      </w:r>
      <w:r w:rsidR="00BE3AAC">
        <w:t>In addition to its standard geographic classifications, t</w:t>
      </w:r>
      <w:r w:rsidR="00A63829">
        <w:t>he ABS has</w:t>
      </w:r>
      <w:r w:rsidR="006C1FC8">
        <w:t xml:space="preserve"> </w:t>
      </w:r>
      <w:r w:rsidR="00A63829">
        <w:t xml:space="preserve">developed an Indigenous </w:t>
      </w:r>
      <w:r w:rsidR="001C6AEC">
        <w:t>geographic structure</w:t>
      </w:r>
      <w:r w:rsidR="00FD29AD">
        <w:t>.</w:t>
      </w:r>
      <w:r w:rsidR="001C6AEC">
        <w:t xml:space="preserve"> </w:t>
      </w:r>
      <w:r w:rsidR="00FD29AD">
        <w:t>It</w:t>
      </w:r>
      <w:r w:rsidR="00427768">
        <w:t xml:space="preserve"> </w:t>
      </w:r>
      <w:r w:rsidR="000F31A6">
        <w:t>identifies three levels</w:t>
      </w:r>
      <w:r w:rsidR="002569D5">
        <w:t xml:space="preserve"> from region to local community</w:t>
      </w:r>
      <w:r w:rsidR="00445A65">
        <w:t xml:space="preserve"> and </w:t>
      </w:r>
      <w:r w:rsidR="00062004">
        <w:t xml:space="preserve">was designed around </w:t>
      </w:r>
      <w:r w:rsidR="000C34E2">
        <w:t>the organising structure of the Aboriginal and Torres Strait Islander Commission</w:t>
      </w:r>
      <w:r w:rsidR="008D1B36">
        <w:t>.</w:t>
      </w:r>
      <w:r w:rsidR="000C34E2">
        <w:t xml:space="preserve"> </w:t>
      </w:r>
      <w:r w:rsidR="00712E9D">
        <w:t>Service areas</w:t>
      </w:r>
      <w:r w:rsidR="00712E9D" w:rsidDel="00154E1A">
        <w:t xml:space="preserve"> </w:t>
      </w:r>
      <w:r w:rsidR="00154E1A">
        <w:t>such as</w:t>
      </w:r>
      <w:r w:rsidR="00712E9D">
        <w:t xml:space="preserve"> health regions often have their own regional </w:t>
      </w:r>
      <w:r w:rsidR="004944D6">
        <w:t>structures.</w:t>
      </w:r>
      <w:r w:rsidR="00712E9D">
        <w:t xml:space="preserve"> </w:t>
      </w:r>
      <w:r w:rsidR="00BE0062">
        <w:t>The most appropriate level of regional disaggregation will therefore need to be negotiated by parties to the Agreement</w:t>
      </w:r>
      <w:r w:rsidR="000E6643">
        <w:t xml:space="preserve">, drawing on engagement with </w:t>
      </w:r>
      <w:r w:rsidR="00110AE8">
        <w:t>data custodians and Aboriginal and Torres Strait Islander communities and organisations</w:t>
      </w:r>
      <w:r w:rsidR="00BE0062">
        <w:t xml:space="preserve">. </w:t>
      </w:r>
    </w:p>
    <w:p w14:paraId="5541C8D0" w14:textId="26ED7BBB" w:rsidR="00CE1088" w:rsidRDefault="00F03048" w:rsidP="00CA5C65">
      <w:pPr>
        <w:pStyle w:val="BodyText"/>
        <w:rPr>
          <w:rStyle w:val="DraftingNoteChar"/>
          <w:color w:val="auto"/>
          <w:sz w:val="20"/>
          <w:u w:val="none"/>
        </w:rPr>
      </w:pPr>
      <w:r>
        <w:rPr>
          <w:rStyle w:val="DraftingNoteChar"/>
          <w:color w:val="auto"/>
          <w:sz w:val="20"/>
          <w:u w:val="none"/>
        </w:rPr>
        <w:t>Ultimately, targets</w:t>
      </w:r>
      <w:r w:rsidDel="00F24E83">
        <w:rPr>
          <w:rStyle w:val="DraftingNoteChar"/>
          <w:color w:val="auto"/>
          <w:sz w:val="20"/>
          <w:u w:val="none"/>
        </w:rPr>
        <w:t xml:space="preserve"> </w:t>
      </w:r>
      <w:r w:rsidR="00F24E83">
        <w:rPr>
          <w:rStyle w:val="DraftingNoteChar"/>
          <w:color w:val="auto"/>
          <w:sz w:val="20"/>
          <w:u w:val="none"/>
        </w:rPr>
        <w:t xml:space="preserve">need to </w:t>
      </w:r>
      <w:r>
        <w:rPr>
          <w:rStyle w:val="DraftingNoteChar"/>
          <w:color w:val="auto"/>
          <w:sz w:val="20"/>
          <w:u w:val="none"/>
        </w:rPr>
        <w:t>be set in a way that appropriately directs attention at the desired level of decision</w:t>
      </w:r>
      <w:r w:rsidR="00154E1A">
        <w:rPr>
          <w:rStyle w:val="DraftingNoteChar"/>
          <w:color w:val="auto"/>
          <w:sz w:val="20"/>
          <w:u w:val="none"/>
        </w:rPr>
        <w:noBreakHyphen/>
      </w:r>
      <w:r>
        <w:rPr>
          <w:rStyle w:val="DraftingNoteChar"/>
          <w:color w:val="auto"/>
          <w:sz w:val="20"/>
          <w:u w:val="none"/>
        </w:rPr>
        <w:t xml:space="preserve">making. In </w:t>
      </w:r>
      <w:r w:rsidRPr="0059712B">
        <w:t xml:space="preserve">the Agreement, the </w:t>
      </w:r>
      <w:r>
        <w:t>Australian</w:t>
      </w:r>
      <w:r w:rsidRPr="0059712B">
        <w:t>, state and territor</w:t>
      </w:r>
      <w:r>
        <w:t>y governments</w:t>
      </w:r>
      <w:r w:rsidRPr="0059712B">
        <w:t xml:space="preserve"> have committed to equal accountability for achieving targets (clause 79). </w:t>
      </w:r>
      <w:r w:rsidR="004435CC">
        <w:t xml:space="preserve">National targets will not </w:t>
      </w:r>
      <w:r w:rsidR="0051722C">
        <w:t xml:space="preserve">adequately </w:t>
      </w:r>
      <w:r w:rsidR="004435CC">
        <w:t xml:space="preserve">hold states and territories to account for progress </w:t>
      </w:r>
      <w:r w:rsidR="001D7E71">
        <w:t xml:space="preserve">unless their expected contribution is defined. </w:t>
      </w:r>
      <w:r w:rsidR="0051722C">
        <w:t xml:space="preserve">Furthermore, without regional disaggregation of target data, communities </w:t>
      </w:r>
      <w:r w:rsidR="00CD1B48">
        <w:t>cannot</w:t>
      </w:r>
      <w:r w:rsidR="0051722C">
        <w:t xml:space="preserve"> hold states and territories to account for the equitable distribution of progress across diverse regions. </w:t>
      </w:r>
    </w:p>
    <w:p w14:paraId="3CD75313" w14:textId="1B2287DA" w:rsidR="000202E8" w:rsidRDefault="004B678C" w:rsidP="004B678C">
      <w:pPr>
        <w:pStyle w:val="Heading2"/>
        <w:numPr>
          <w:ilvl w:val="0"/>
          <w:numId w:val="0"/>
        </w:numPr>
        <w:ind w:left="720" w:hanging="720"/>
      </w:pPr>
      <w:bookmarkStart w:id="9" w:name="_Toc140484718"/>
      <w:r>
        <w:t>5</w:t>
      </w:r>
      <w:r>
        <w:tab/>
      </w:r>
      <w:r w:rsidR="000202E8">
        <w:t>Are clear and appropriate data governance arrangements in place?</w:t>
      </w:r>
      <w:bookmarkEnd w:id="9"/>
    </w:p>
    <w:p w14:paraId="2B9ACE5B" w14:textId="523F5C8A" w:rsidR="000202E8" w:rsidRDefault="000202E8" w:rsidP="000202E8">
      <w:pPr>
        <w:pStyle w:val="BodyText"/>
      </w:pPr>
      <w:r>
        <w:t>Performance monitoring frameworks should be supported by governance arrangements that ensure the timely availability, accuracy, and ethical collection and use of data. These supporting arrangements safeguard the credibility of the data and assure it is of sufficient quality for use in decision</w:t>
      </w:r>
      <w:r w:rsidR="00827859">
        <w:noBreakHyphen/>
      </w:r>
      <w:r>
        <w:t>making. Good data governance should identify parties responsible for the development, implementation and maintenance of the framework</w:t>
      </w:r>
      <w:r w:rsidR="00AE5ABB">
        <w:t xml:space="preserve"> and outline clear</w:t>
      </w:r>
      <w:r>
        <w:t xml:space="preserve"> work plans, processes and standards </w:t>
      </w:r>
      <w:r w:rsidR="001C1E96" w:rsidRPr="001C1E96">
        <w:rPr>
          <w:rFonts w:ascii="Arial" w:hAnsi="Arial" w:cs="Arial"/>
          <w:szCs w:val="24"/>
        </w:rPr>
        <w:t>(ANAO 2004, p. 28, 2023)</w:t>
      </w:r>
      <w:r>
        <w:t xml:space="preserve">. </w:t>
      </w:r>
    </w:p>
    <w:p w14:paraId="6CEB335A" w14:textId="3B05D729" w:rsidR="000202E8" w:rsidRPr="00FA0F43" w:rsidRDefault="000202E8" w:rsidP="000202E8">
      <w:pPr>
        <w:pStyle w:val="BodyText"/>
      </w:pPr>
      <w:r>
        <w:t xml:space="preserve">In recognition of the ways data has been used to problematise Aboriginal and Torres Strait Islander people and justify </w:t>
      </w:r>
      <w:r w:rsidR="00296133">
        <w:t xml:space="preserve">policies </w:t>
      </w:r>
      <w:r>
        <w:t xml:space="preserve">contrary to community needs, data collection regarding Aboriginal and Torres Strait Islander people </w:t>
      </w:r>
      <w:r w:rsidR="00AC0875">
        <w:t>must</w:t>
      </w:r>
      <w:r>
        <w:t xml:space="preserve"> </w:t>
      </w:r>
      <w:r w:rsidR="00FF09C5">
        <w:t xml:space="preserve">centre Aboriginal and Torres Strait Islander </w:t>
      </w:r>
      <w:r w:rsidR="007D600F">
        <w:t xml:space="preserve">people, perspectives and knowledges </w:t>
      </w:r>
      <w:r w:rsidR="009D0295">
        <w:t xml:space="preserve">in data governance arrangements </w:t>
      </w:r>
      <w:r w:rsidR="00D707CD" w:rsidRPr="00D707CD">
        <w:rPr>
          <w:rFonts w:ascii="Arial" w:hAnsi="Arial" w:cs="Arial"/>
          <w:szCs w:val="24"/>
        </w:rPr>
        <w:t>(PC 2020, pp. 10–11)</w:t>
      </w:r>
      <w:r w:rsidR="007D600F">
        <w:t>. Fundamentally, this means that Aboriginal and Torres Strait Islander people are the leaders or partners in decision</w:t>
      </w:r>
      <w:r w:rsidR="00827859">
        <w:noBreakHyphen/>
      </w:r>
      <w:r w:rsidR="007D600F">
        <w:t xml:space="preserve">making regarding the collection and use of data in their communities and should be enabled to do so through appropriate resourcing. </w:t>
      </w:r>
      <w:r w:rsidR="003B0A91">
        <w:t xml:space="preserve">This </w:t>
      </w:r>
      <w:r w:rsidR="00095DB0">
        <w:t>includes considering</w:t>
      </w:r>
      <w:r w:rsidR="00DE65D2">
        <w:t xml:space="preserve"> how </w:t>
      </w:r>
      <w:r>
        <w:t xml:space="preserve">data governance arrangements </w:t>
      </w:r>
      <w:r w:rsidR="00095DB0">
        <w:t>could</w:t>
      </w:r>
      <w:r>
        <w:t xml:space="preserve"> </w:t>
      </w:r>
      <w:r w:rsidR="00AA1078">
        <w:t>incorporate</w:t>
      </w:r>
      <w:r>
        <w:t xml:space="preserve"> principles of Indigenous </w:t>
      </w:r>
      <w:r w:rsidR="00315498">
        <w:t>d</w:t>
      </w:r>
      <w:r>
        <w:t xml:space="preserve">ata </w:t>
      </w:r>
      <w:r w:rsidR="00315498">
        <w:t>s</w:t>
      </w:r>
      <w:r>
        <w:t xml:space="preserve">overeignty and </w:t>
      </w:r>
      <w:r w:rsidR="00315498">
        <w:t>g</w:t>
      </w:r>
      <w:r>
        <w:t>overnance</w:t>
      </w:r>
      <w:r w:rsidR="00F44D42">
        <w:t xml:space="preserve"> to ensure data collection is ethical and useful for Aboriginal and Torres Strait Islander communities</w:t>
      </w:r>
      <w:r w:rsidR="00095DB0">
        <w:t xml:space="preserve"> </w:t>
      </w:r>
      <w:r w:rsidRPr="00F20637">
        <w:rPr>
          <w:rFonts w:ascii="Arial" w:hAnsi="Arial" w:cs="Arial"/>
          <w:szCs w:val="24"/>
        </w:rPr>
        <w:t>(Maiam nayri Wingara and Australian Indigenous Governance Institute 2018; Walter et al. 2018)</w:t>
      </w:r>
      <w:r>
        <w:t xml:space="preserve">. </w:t>
      </w:r>
      <w:r w:rsidR="00AB45A2">
        <w:t xml:space="preserve">While the Agreement commits to shared </w:t>
      </w:r>
      <w:r w:rsidR="0035063E">
        <w:t>decision</w:t>
      </w:r>
      <w:r w:rsidR="00827859">
        <w:noBreakHyphen/>
      </w:r>
      <w:r w:rsidR="0035063E">
        <w:t>making and access to data, t</w:t>
      </w:r>
      <w:r w:rsidR="008C05AE">
        <w:t>he r</w:t>
      </w:r>
      <w:r w:rsidR="00F34CFA">
        <w:t>elationship</w:t>
      </w:r>
      <w:r w:rsidR="008C05AE">
        <w:t xml:space="preserve"> </w:t>
      </w:r>
      <w:r w:rsidR="00F34CFA">
        <w:t>between</w:t>
      </w:r>
      <w:r w:rsidR="008C05AE">
        <w:t xml:space="preserve"> Indigenous </w:t>
      </w:r>
      <w:r w:rsidR="00315498">
        <w:t>d</w:t>
      </w:r>
      <w:r w:rsidR="008C05AE">
        <w:t xml:space="preserve">ata </w:t>
      </w:r>
      <w:r w:rsidR="00315498">
        <w:t>s</w:t>
      </w:r>
      <w:r w:rsidR="008C05AE">
        <w:t xml:space="preserve">overeignty </w:t>
      </w:r>
      <w:r w:rsidR="00F34CFA">
        <w:t xml:space="preserve">and the implementation of </w:t>
      </w:r>
      <w:r w:rsidR="008C05AE">
        <w:t>the Agreement</w:t>
      </w:r>
      <w:r w:rsidR="005C1C8D">
        <w:t xml:space="preserve"> </w:t>
      </w:r>
      <w:r w:rsidR="003A0CB1">
        <w:t>has not been made explicit, as</w:t>
      </w:r>
      <w:r w:rsidR="00BE7909">
        <w:t xml:space="preserve"> discussed in information paper 5</w:t>
      </w:r>
      <w:r w:rsidR="005C1C8D">
        <w:t>.</w:t>
      </w:r>
    </w:p>
    <w:p w14:paraId="3ED427BE" w14:textId="4DE959C6" w:rsidR="003E7FCF" w:rsidDel="003B62B1" w:rsidRDefault="003E7FCF" w:rsidP="003E7FCF">
      <w:pPr>
        <w:pStyle w:val="Heading3"/>
      </w:pPr>
      <w:r w:rsidDel="003B62B1">
        <w:lastRenderedPageBreak/>
        <w:t>Progress in meeting data commitments has been slow</w:t>
      </w:r>
      <w:r w:rsidDel="00213111">
        <w:t xml:space="preserve"> and </w:t>
      </w:r>
      <w:r w:rsidR="00E82855">
        <w:t>requires</w:t>
      </w:r>
      <w:r w:rsidDel="00213111">
        <w:t xml:space="preserve"> improved governance and prioritisation</w:t>
      </w:r>
      <w:r w:rsidR="00124DCC">
        <w:t xml:space="preserve"> of effort</w:t>
      </w:r>
    </w:p>
    <w:p w14:paraId="296F9C52" w14:textId="6342ACAF" w:rsidR="003E7FCF" w:rsidRPr="0027125D" w:rsidRDefault="003E7FCF" w:rsidP="003E7FCF">
      <w:pPr>
        <w:pStyle w:val="BodyText"/>
        <w:rPr>
          <w:spacing w:val="-4"/>
        </w:rPr>
      </w:pPr>
      <w:r w:rsidRPr="0027125D">
        <w:rPr>
          <w:spacing w:val="-4"/>
        </w:rPr>
        <w:t xml:space="preserve">Progress in meeting data commitments </w:t>
      </w:r>
      <w:r w:rsidR="00472414" w:rsidRPr="0027125D">
        <w:rPr>
          <w:spacing w:val="-4"/>
        </w:rPr>
        <w:t xml:space="preserve">specified in the Agreement </w:t>
      </w:r>
      <w:r w:rsidRPr="0027125D">
        <w:rPr>
          <w:spacing w:val="-4"/>
        </w:rPr>
        <w:t xml:space="preserve">has been slow, and the task has exceeded the capability and resourcing of </w:t>
      </w:r>
      <w:r w:rsidR="00A72A01" w:rsidRPr="0027125D">
        <w:rPr>
          <w:spacing w:val="-4"/>
        </w:rPr>
        <w:t>current</w:t>
      </w:r>
      <w:r w:rsidRPr="0027125D">
        <w:rPr>
          <w:spacing w:val="-4"/>
        </w:rPr>
        <w:t xml:space="preserve"> data governance arrangements.</w:t>
      </w:r>
      <w:r w:rsidR="00447C7F" w:rsidRPr="0027125D">
        <w:rPr>
          <w:spacing w:val="-4"/>
        </w:rPr>
        <w:t xml:space="preserve"> Table</w:t>
      </w:r>
      <w:r w:rsidR="005634D7" w:rsidRPr="0027125D">
        <w:rPr>
          <w:spacing w:val="-4"/>
        </w:rPr>
        <w:t> </w:t>
      </w:r>
      <w:r w:rsidR="00447C7F" w:rsidRPr="0027125D">
        <w:rPr>
          <w:spacing w:val="-4"/>
        </w:rPr>
        <w:t>2</w:t>
      </w:r>
      <w:r w:rsidRPr="0027125D">
        <w:rPr>
          <w:spacing w:val="-4"/>
        </w:rPr>
        <w:t xml:space="preserve"> outlines the three data workstreams set out in the Agreement and progress to date. Most indicators remain unreported and data development commitments have been delayed. At this pace,</w:t>
      </w:r>
      <w:r w:rsidRPr="0027125D" w:rsidDel="00D55639">
        <w:rPr>
          <w:spacing w:val="-4"/>
        </w:rPr>
        <w:t xml:space="preserve"> </w:t>
      </w:r>
      <w:r w:rsidRPr="0027125D">
        <w:rPr>
          <w:spacing w:val="-4"/>
        </w:rPr>
        <w:t xml:space="preserve">data specification and development work is unlikely to be completed under current resourcing within the life of the Agreement. This </w:t>
      </w:r>
      <w:r w:rsidR="008A75EC" w:rsidRPr="0027125D">
        <w:rPr>
          <w:spacing w:val="-4"/>
        </w:rPr>
        <w:t>was</w:t>
      </w:r>
      <w:r w:rsidRPr="0027125D">
        <w:rPr>
          <w:spacing w:val="-4"/>
        </w:rPr>
        <w:t xml:space="preserve"> acknowledged by the NIAA</w:t>
      </w:r>
      <w:r w:rsidR="00315498" w:rsidRPr="0027125D">
        <w:rPr>
          <w:spacing w:val="-4"/>
        </w:rPr>
        <w:t>.</w:t>
      </w:r>
    </w:p>
    <w:p w14:paraId="39CCC73D" w14:textId="22B2F921" w:rsidR="003E7FCF" w:rsidRDefault="003E7FCF" w:rsidP="003E7FCF">
      <w:pPr>
        <w:pStyle w:val="Quote"/>
      </w:pPr>
      <w:r>
        <w:t>A further key issue in the area of reporting is that the demand for detailed, regular data may far outweigh the ability, or in some cases the resolve, to supply it.</w:t>
      </w:r>
      <w:r w:rsidR="00315498" w:rsidRPr="00315498">
        <w:t xml:space="preserve"> </w:t>
      </w:r>
      <w:r w:rsidR="00315498">
        <w:t>(sub.</w:t>
      </w:r>
      <w:r w:rsidR="005634D7">
        <w:t> </w:t>
      </w:r>
      <w:r w:rsidR="00315498">
        <w:t>30, p.</w:t>
      </w:r>
      <w:r w:rsidR="005634D7">
        <w:t> </w:t>
      </w:r>
      <w:r w:rsidR="00315498">
        <w:t>5)</w:t>
      </w:r>
    </w:p>
    <w:p w14:paraId="000433A6" w14:textId="2F12F144" w:rsidR="003E7FCF" w:rsidRDefault="004D489D" w:rsidP="003E7FCF">
      <w:pPr>
        <w:pStyle w:val="BodyText"/>
      </w:pPr>
      <w:r>
        <w:t>A</w:t>
      </w:r>
      <w:r w:rsidR="003E7FCF">
        <w:t xml:space="preserve">ttempting to fully populate the </w:t>
      </w:r>
      <w:r w:rsidR="00A32D0B">
        <w:t>i</w:t>
      </w:r>
      <w:r w:rsidR="003E7FCF">
        <w:t xml:space="preserve">nformation </w:t>
      </w:r>
      <w:r w:rsidR="00A32D0B">
        <w:t>r</w:t>
      </w:r>
      <w:r w:rsidR="003E7FCF">
        <w:t xml:space="preserve">epository with all </w:t>
      </w:r>
      <w:r w:rsidR="00BA3D97">
        <w:t xml:space="preserve">data </w:t>
      </w:r>
      <w:r w:rsidR="003E7FCF">
        <w:t>planned may not be the best use of resourcing and effort</w:t>
      </w:r>
      <w:r w:rsidR="00F269BD">
        <w:t>.</w:t>
      </w:r>
      <w:r w:rsidR="003E7FCF">
        <w:t xml:space="preserve"> </w:t>
      </w:r>
      <w:r>
        <w:t>As discussed in section</w:t>
      </w:r>
      <w:r w:rsidR="005634D7">
        <w:t> </w:t>
      </w:r>
      <w:r>
        <w:t xml:space="preserve">4, </w:t>
      </w:r>
      <w:r w:rsidR="003E7FCF">
        <w:t xml:space="preserve">the </w:t>
      </w:r>
      <w:r w:rsidR="00B973F8">
        <w:t>large</w:t>
      </w:r>
      <w:r w:rsidR="003E7FCF">
        <w:t xml:space="preserve"> </w:t>
      </w:r>
      <w:r w:rsidR="006774B4">
        <w:t xml:space="preserve">number of indicators </w:t>
      </w:r>
      <w:r w:rsidR="00B973F8">
        <w:t xml:space="preserve">and their broad </w:t>
      </w:r>
      <w:r w:rsidR="003E7FCF">
        <w:t xml:space="preserve">scope </w:t>
      </w:r>
      <w:r w:rsidR="00B973F8">
        <w:t>could overwhelm</w:t>
      </w:r>
      <w:r w:rsidR="003E7FCF">
        <w:t xml:space="preserve"> capacity to interpret and use </w:t>
      </w:r>
      <w:r w:rsidR="00B973F8">
        <w:t>them</w:t>
      </w:r>
      <w:r w:rsidR="003E7FCF">
        <w:t xml:space="preserve"> in decision</w:t>
      </w:r>
      <w:r w:rsidR="00827859">
        <w:noBreakHyphen/>
      </w:r>
      <w:r w:rsidR="003E7FCF">
        <w:t xml:space="preserve">making. Efficient progress relies on further developing the </w:t>
      </w:r>
      <w:r w:rsidR="00AB0E77">
        <w:t xml:space="preserve">conceptual logic and </w:t>
      </w:r>
      <w:r w:rsidR="003E7FCF">
        <w:t xml:space="preserve">measurement approach and ensuring data governance arrangements </w:t>
      </w:r>
      <w:r w:rsidR="001B1733">
        <w:t xml:space="preserve">are set up to </w:t>
      </w:r>
      <w:r w:rsidR="006B4DCF">
        <w:t>achieve</w:t>
      </w:r>
      <w:r w:rsidR="003E7FCF">
        <w:t xml:space="preserve"> this. </w:t>
      </w:r>
    </w:p>
    <w:p w14:paraId="35B2FB0A" w14:textId="295E4859" w:rsidR="003E7FCF" w:rsidRDefault="003E7FCF" w:rsidP="00EC3102">
      <w:pPr>
        <w:pStyle w:val="FigureTableHeading"/>
      </w:pPr>
      <w:bookmarkStart w:id="10" w:name="_Ref139372632"/>
      <w:r>
        <w:t>Table</w:t>
      </w:r>
      <w:r w:rsidR="005634D7">
        <w:t> </w:t>
      </w:r>
      <w:r w:rsidR="009C6D2A">
        <w:t>2</w:t>
      </w:r>
      <w:bookmarkEnd w:id="10"/>
      <w:r>
        <w:rPr>
          <w:noProof/>
        </w:rPr>
        <w:t xml:space="preserve"> – </w:t>
      </w:r>
      <w:r>
        <w:t>Limited progress in meeting data commitments</w:t>
      </w:r>
    </w:p>
    <w:tbl>
      <w:tblPr>
        <w:tblW w:w="0" w:type="auto"/>
        <w:tblBorders>
          <w:bottom w:val="single" w:sz="4" w:space="0" w:color="B3B3B3"/>
        </w:tblBorders>
        <w:shd w:val="clear" w:color="000000" w:fill="auto"/>
        <w:tblLayout w:type="fixed"/>
        <w:tblCellMar>
          <w:left w:w="57" w:type="dxa"/>
          <w:right w:w="57"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544"/>
        <w:gridCol w:w="1559"/>
        <w:gridCol w:w="4535"/>
      </w:tblGrid>
      <w:tr w:rsidR="003E7FCF" w:rsidRPr="00030C67" w14:paraId="709A32BC" w14:textId="77777777" w:rsidTr="00F47A5F">
        <w:trPr>
          <w:tblHeader/>
        </w:trPr>
        <w:tc>
          <w:tcPr>
            <w:tcW w:w="3544" w:type="dxa"/>
            <w:tcBorders>
              <w:bottom w:val="single" w:sz="4" w:space="0" w:color="CB6027" w:themeColor="text2"/>
            </w:tcBorders>
            <w:shd w:val="clear" w:color="000000" w:fill="auto"/>
            <w:vAlign w:val="bottom"/>
          </w:tcPr>
          <w:p w14:paraId="2E556CAD" w14:textId="77777777" w:rsidR="003E7FCF" w:rsidRPr="00277AC1" w:rsidRDefault="003E7FCF" w:rsidP="00D02880">
            <w:pPr>
              <w:pStyle w:val="TableHeading"/>
              <w:rPr>
                <w:sz w:val="20"/>
              </w:rPr>
            </w:pPr>
            <w:r w:rsidRPr="00277AC1">
              <w:rPr>
                <w:sz w:val="20"/>
              </w:rPr>
              <w:t>Key commitments</w:t>
            </w:r>
          </w:p>
        </w:tc>
        <w:tc>
          <w:tcPr>
            <w:tcW w:w="1559" w:type="dxa"/>
            <w:tcBorders>
              <w:bottom w:val="single" w:sz="4" w:space="0" w:color="CB6027" w:themeColor="text2"/>
            </w:tcBorders>
            <w:shd w:val="clear" w:color="000000" w:fill="auto"/>
            <w:vAlign w:val="bottom"/>
          </w:tcPr>
          <w:p w14:paraId="1E36EB9C" w14:textId="77777777" w:rsidR="003E7FCF" w:rsidRPr="00277AC1" w:rsidRDefault="003E7FCF" w:rsidP="00D02880">
            <w:pPr>
              <w:pStyle w:val="TableHeading"/>
              <w:rPr>
                <w:sz w:val="20"/>
              </w:rPr>
            </w:pPr>
            <w:r w:rsidRPr="00277AC1">
              <w:rPr>
                <w:sz w:val="20"/>
              </w:rPr>
              <w:t>Agreed timing</w:t>
            </w:r>
          </w:p>
        </w:tc>
        <w:tc>
          <w:tcPr>
            <w:tcW w:w="4535" w:type="dxa"/>
            <w:tcBorders>
              <w:bottom w:val="single" w:sz="4" w:space="0" w:color="CB6027" w:themeColor="text2"/>
            </w:tcBorders>
            <w:shd w:val="clear" w:color="000000" w:fill="auto"/>
            <w:vAlign w:val="bottom"/>
          </w:tcPr>
          <w:p w14:paraId="3BF99371" w14:textId="2C1F0235" w:rsidR="003E7FCF" w:rsidRPr="00277AC1" w:rsidRDefault="003E7FCF" w:rsidP="00D02880">
            <w:pPr>
              <w:pStyle w:val="TableHeading"/>
              <w:rPr>
                <w:sz w:val="20"/>
              </w:rPr>
            </w:pPr>
            <w:r w:rsidRPr="00277AC1">
              <w:rPr>
                <w:sz w:val="20"/>
              </w:rPr>
              <w:t>Assessment of progress</w:t>
            </w:r>
          </w:p>
        </w:tc>
      </w:tr>
      <w:tr w:rsidR="003E7FCF" w:rsidRPr="00030C67" w14:paraId="46437112" w14:textId="77777777" w:rsidTr="00F47A5F">
        <w:trPr>
          <w:cantSplit/>
        </w:trPr>
        <w:tc>
          <w:tcPr>
            <w:tcW w:w="3544" w:type="dxa"/>
            <w:tcBorders>
              <w:top w:val="single" w:sz="4" w:space="0" w:color="CB6027" w:themeColor="text2"/>
              <w:bottom w:val="dotted" w:sz="4" w:space="0" w:color="CB6027" w:themeColor="text2"/>
            </w:tcBorders>
            <w:shd w:val="clear" w:color="auto" w:fill="FBF3EC"/>
          </w:tcPr>
          <w:p w14:paraId="66994A95" w14:textId="77777777" w:rsidR="003E7FCF" w:rsidRPr="00277AC1" w:rsidRDefault="003E7FCF" w:rsidP="00D02880">
            <w:pPr>
              <w:pStyle w:val="TableBody"/>
              <w:ind w:left="0"/>
              <w:rPr>
                <w:sz w:val="20"/>
              </w:rPr>
            </w:pPr>
            <w:r w:rsidRPr="00277AC1">
              <w:rPr>
                <w:b/>
                <w:sz w:val="20"/>
              </w:rPr>
              <w:t xml:space="preserve">Government actions </w:t>
            </w:r>
          </w:p>
          <w:p w14:paraId="21CF32BD" w14:textId="7DA8077D" w:rsidR="003E7FCF" w:rsidRDefault="00A32D0B" w:rsidP="00503A08">
            <w:pPr>
              <w:pStyle w:val="TableListBullet"/>
            </w:pPr>
            <w:r>
              <w:t>U</w:t>
            </w:r>
            <w:r w:rsidR="003E7FCF" w:rsidRPr="005910DE">
              <w:t>s</w:t>
            </w:r>
            <w:r w:rsidR="003E7FCF">
              <w:t>e</w:t>
            </w:r>
            <w:r w:rsidR="003E7FCF" w:rsidRPr="005910DE">
              <w:t xml:space="preserve"> </w:t>
            </w:r>
            <w:r w:rsidR="003E7FCF" w:rsidRPr="00E60CA3">
              <w:rPr>
                <w:b/>
              </w:rPr>
              <w:t>targets</w:t>
            </w:r>
            <w:r w:rsidR="003E7FCF" w:rsidRPr="005910DE">
              <w:t xml:space="preserve"> to track progress against the objectives and outcomes of the Agreement (clauses 78 and 79, tables</w:t>
            </w:r>
            <w:r w:rsidR="003E7FCF">
              <w:rPr>
                <w:rFonts w:hint="eastAsia"/>
              </w:rPr>
              <w:t> </w:t>
            </w:r>
            <w:r w:rsidR="003E7FCF" w:rsidRPr="00E60CA3">
              <w:t>A and B).</w:t>
            </w:r>
          </w:p>
          <w:p w14:paraId="24DA32C3" w14:textId="48D12E0F" w:rsidR="003E7FCF" w:rsidRPr="004143BE" w:rsidRDefault="00A32D0B" w:rsidP="00503A08">
            <w:pPr>
              <w:pStyle w:val="TableListBullet"/>
            </w:pPr>
            <w:r w:rsidRPr="00950D2F">
              <w:rPr>
                <w:b/>
                <w:bCs/>
              </w:rPr>
              <w:t>P</w:t>
            </w:r>
            <w:r w:rsidR="00266B5F" w:rsidRPr="00E0566E">
              <w:rPr>
                <w:b/>
                <w:bCs/>
              </w:rPr>
              <w:t>u</w:t>
            </w:r>
            <w:r w:rsidR="00266B5F">
              <w:rPr>
                <w:b/>
                <w:bCs/>
              </w:rPr>
              <w:t xml:space="preserve">blicly report </w:t>
            </w:r>
            <w:r w:rsidR="00887927">
              <w:rPr>
                <w:b/>
                <w:bCs/>
              </w:rPr>
              <w:t xml:space="preserve">on </w:t>
            </w:r>
            <w:r w:rsidR="00266B5F">
              <w:rPr>
                <w:b/>
                <w:bCs/>
              </w:rPr>
              <w:t>performance data</w:t>
            </w:r>
            <w:r w:rsidR="003E7FCF" w:rsidDel="00266B5F">
              <w:rPr>
                <w:vertAlign w:val="superscript"/>
              </w:rPr>
              <w:t xml:space="preserve"> </w:t>
            </w:r>
            <w:r w:rsidR="003E7FCF" w:rsidRPr="004143BE">
              <w:t xml:space="preserve">through the Closing the Gap </w:t>
            </w:r>
            <w:r w:rsidR="009F6FC1">
              <w:t>dashboard</w:t>
            </w:r>
            <w:r w:rsidR="003E7FCF" w:rsidRPr="004143BE">
              <w:t>, annual data compilation report (ADCR)</w:t>
            </w:r>
            <w:r w:rsidR="00C67DDD">
              <w:t xml:space="preserve"> </w:t>
            </w:r>
            <w:r w:rsidR="003E7FCF" w:rsidRPr="004143BE">
              <w:t xml:space="preserve">(clauses 88, 89, 115, 116 </w:t>
            </w:r>
            <w:r w:rsidR="00AC6885">
              <w:t xml:space="preserve">and </w:t>
            </w:r>
            <w:r w:rsidR="003E7FCF" w:rsidRPr="004143BE">
              <w:t>117)</w:t>
            </w:r>
            <w:r w:rsidR="001A3911">
              <w:t>.</w:t>
            </w:r>
          </w:p>
        </w:tc>
        <w:tc>
          <w:tcPr>
            <w:tcW w:w="1559" w:type="dxa"/>
            <w:tcBorders>
              <w:top w:val="single" w:sz="4" w:space="0" w:color="CB6027" w:themeColor="text2"/>
              <w:bottom w:val="dotted" w:sz="4" w:space="0" w:color="CB6027" w:themeColor="text2"/>
            </w:tcBorders>
            <w:shd w:val="clear" w:color="auto" w:fill="FBF3EC"/>
          </w:tcPr>
          <w:p w14:paraId="61DA1BDC" w14:textId="77777777" w:rsidR="003E7FCF" w:rsidRPr="00277AC1" w:rsidRDefault="003E7FCF" w:rsidP="00D02880">
            <w:pPr>
              <w:pStyle w:val="TableBody"/>
              <w:spacing w:before="45" w:after="45"/>
              <w:ind w:right="108"/>
              <w:rPr>
                <w:rFonts w:ascii="Arial (Body)" w:hAnsi="Arial (Body)"/>
                <w:color w:val="000000"/>
                <w:sz w:val="20"/>
              </w:rPr>
            </w:pPr>
            <w:r w:rsidRPr="00277AC1">
              <w:rPr>
                <w:rFonts w:ascii="Arial (Body)" w:hAnsi="Arial (Body)"/>
                <w:color w:val="000000"/>
                <w:sz w:val="20"/>
              </w:rPr>
              <w:t>Annually</w:t>
            </w:r>
          </w:p>
        </w:tc>
        <w:tc>
          <w:tcPr>
            <w:tcW w:w="4535" w:type="dxa"/>
            <w:tcBorders>
              <w:top w:val="single" w:sz="4" w:space="0" w:color="CB6027" w:themeColor="text2"/>
              <w:bottom w:val="dotted" w:sz="4" w:space="0" w:color="CB6027" w:themeColor="text2"/>
            </w:tcBorders>
            <w:shd w:val="clear" w:color="auto" w:fill="FBF3EC"/>
          </w:tcPr>
          <w:p w14:paraId="076BA988" w14:textId="607C913F" w:rsidR="003E7FCF" w:rsidRDefault="003E7FCF" w:rsidP="00503A08">
            <w:pPr>
              <w:pStyle w:val="TableListBullet"/>
            </w:pPr>
            <w:r>
              <w:t>No data are being reported on</w:t>
            </w:r>
            <w:r w:rsidRPr="7F83B349">
              <w:t xml:space="preserve"> the </w:t>
            </w:r>
            <w:r w:rsidR="000911E2">
              <w:t>Priority Reform</w:t>
            </w:r>
            <w:r>
              <w:t xml:space="preserve"> </w:t>
            </w:r>
            <w:r w:rsidRPr="7F83B349">
              <w:t xml:space="preserve">targets </w:t>
            </w:r>
            <w:r>
              <w:t>or</w:t>
            </w:r>
            <w:r w:rsidRPr="7F83B349">
              <w:t xml:space="preserve"> </w:t>
            </w:r>
            <w:r>
              <w:t>indicators.</w:t>
            </w:r>
          </w:p>
          <w:p w14:paraId="48537B61" w14:textId="621B95F4" w:rsidR="003E7FCF" w:rsidRDefault="003E7FCF" w:rsidP="00503A08">
            <w:pPr>
              <w:pStyle w:val="TableListBullet"/>
            </w:pPr>
            <w:r>
              <w:t>Four</w:t>
            </w:r>
            <w:r w:rsidRPr="7F83B349">
              <w:t xml:space="preserve"> of the 19 </w:t>
            </w:r>
            <w:r>
              <w:t>socio</w:t>
            </w:r>
            <w:r w:rsidR="00827859">
              <w:noBreakHyphen/>
            </w:r>
            <w:r>
              <w:t>economic outcome</w:t>
            </w:r>
            <w:r w:rsidRPr="7F83B349">
              <w:t xml:space="preserve"> targets lack data to track progress</w:t>
            </w:r>
            <w:r>
              <w:t xml:space="preserve">: community infrastructure (9b), family violence (13), </w:t>
            </w:r>
            <w:r w:rsidR="001D7E24">
              <w:t xml:space="preserve">culture and </w:t>
            </w:r>
            <w:r>
              <w:t>languages (16) and access to in</w:t>
            </w:r>
            <w:r w:rsidR="001D7E24">
              <w:t>formation</w:t>
            </w:r>
            <w:r>
              <w:t xml:space="preserve"> (17). </w:t>
            </w:r>
          </w:p>
          <w:p w14:paraId="45B12230" w14:textId="46B13B40" w:rsidR="003E7FCF" w:rsidRPr="00A93911" w:rsidRDefault="003E7FCF" w:rsidP="00503A08">
            <w:pPr>
              <w:pStyle w:val="TableListBullet"/>
            </w:pPr>
            <w:r>
              <w:t>Socio</w:t>
            </w:r>
            <w:r w:rsidR="00827859">
              <w:noBreakHyphen/>
            </w:r>
            <w:r>
              <w:t xml:space="preserve">economic targets with progress assessments have been disaggregated </w:t>
            </w:r>
            <w:r w:rsidRPr="7F83B349">
              <w:t xml:space="preserve">by </w:t>
            </w:r>
            <w:r>
              <w:t>jurisdiction, gender/</w:t>
            </w:r>
            <w:r w:rsidRPr="7F83B349">
              <w:t xml:space="preserve">sex, age, disability, remoteness areas, and </w:t>
            </w:r>
            <w:r>
              <w:t>socio</w:t>
            </w:r>
            <w:r w:rsidR="00827859">
              <w:noBreakHyphen/>
            </w:r>
            <w:r>
              <w:t>economic</w:t>
            </w:r>
            <w:r w:rsidRPr="7F83B349">
              <w:t xml:space="preserve"> status of the locality, where data </w:t>
            </w:r>
            <w:r w:rsidR="00590D7E">
              <w:t>is</w:t>
            </w:r>
            <w:r w:rsidR="00590D7E" w:rsidRPr="7F83B349">
              <w:t xml:space="preserve"> </w:t>
            </w:r>
            <w:r w:rsidRPr="7F83B349">
              <w:t>available.</w:t>
            </w:r>
          </w:p>
          <w:p w14:paraId="37795F22" w14:textId="0F36F2E4" w:rsidR="003E7FCF" w:rsidRPr="00A93911" w:rsidRDefault="003E7FCF" w:rsidP="00503A08">
            <w:pPr>
              <w:pStyle w:val="TableListBullet"/>
            </w:pPr>
            <w:r>
              <w:t>Twenty</w:t>
            </w:r>
            <w:r w:rsidR="00827859">
              <w:noBreakHyphen/>
            </w:r>
            <w:r>
              <w:t xml:space="preserve">one </w:t>
            </w:r>
            <w:r w:rsidR="00EF3093">
              <w:t>out of 146</w:t>
            </w:r>
            <w:r>
              <w:t xml:space="preserve"> </w:t>
            </w:r>
            <w:r w:rsidR="006A5595">
              <w:t>socio</w:t>
            </w:r>
            <w:r w:rsidR="00827859">
              <w:noBreakHyphen/>
            </w:r>
            <w:r w:rsidR="006A5595">
              <w:t xml:space="preserve">economic outcome </w:t>
            </w:r>
            <w:r>
              <w:t>supporting indicators</w:t>
            </w:r>
            <w:r w:rsidRPr="7F83B349">
              <w:t xml:space="preserve"> </w:t>
            </w:r>
            <w:r>
              <w:t>are reported across all but one outcome area.</w:t>
            </w:r>
          </w:p>
        </w:tc>
      </w:tr>
      <w:tr w:rsidR="003E7FCF" w:rsidRPr="00030C67" w14:paraId="0E6E67A1" w14:textId="77777777" w:rsidTr="00F47A5F">
        <w:tc>
          <w:tcPr>
            <w:tcW w:w="3544" w:type="dxa"/>
            <w:tcBorders>
              <w:top w:val="dotted" w:sz="4" w:space="0" w:color="CB6027" w:themeColor="text2"/>
              <w:bottom w:val="dotted" w:sz="4" w:space="0" w:color="CB6027" w:themeColor="text2"/>
            </w:tcBorders>
            <w:shd w:val="clear" w:color="000000" w:fill="auto"/>
          </w:tcPr>
          <w:p w14:paraId="24559196" w14:textId="77777777" w:rsidR="003E7FCF" w:rsidRPr="00277AC1" w:rsidRDefault="003E7FCF" w:rsidP="00D02880">
            <w:pPr>
              <w:rPr>
                <w:rFonts w:ascii="Arial" w:eastAsia="Arial" w:hAnsi="Arial" w:cs="Arial"/>
                <w:color w:val="000000" w:themeColor="text1"/>
              </w:rPr>
            </w:pPr>
            <w:r w:rsidRPr="00277AC1">
              <w:rPr>
                <w:rFonts w:ascii="Arial" w:eastAsia="Arial" w:hAnsi="Arial" w:cs="Arial"/>
                <w:b/>
                <w:color w:val="000000" w:themeColor="text1"/>
              </w:rPr>
              <w:t xml:space="preserve">Partnership action – </w:t>
            </w:r>
            <w:r w:rsidRPr="00277AC1">
              <w:rPr>
                <w:rFonts w:ascii="Arial" w:eastAsia="Arial" w:hAnsi="Arial" w:cs="Arial"/>
                <w:color w:val="000000" w:themeColor="text1"/>
              </w:rPr>
              <w:t xml:space="preserve">Develop </w:t>
            </w:r>
            <w:r w:rsidRPr="00277AC1">
              <w:rPr>
                <w:rFonts w:ascii="Arial" w:eastAsia="Arial" w:hAnsi="Arial" w:cs="Arial"/>
                <w:b/>
                <w:color w:val="000000" w:themeColor="text1"/>
              </w:rPr>
              <w:t xml:space="preserve">four new targets </w:t>
            </w:r>
            <w:r w:rsidRPr="00277AC1">
              <w:rPr>
                <w:rFonts w:ascii="Arial" w:eastAsia="Arial" w:hAnsi="Arial" w:cs="Arial"/>
                <w:color w:val="000000" w:themeColor="text1"/>
              </w:rPr>
              <w:t xml:space="preserve">for: </w:t>
            </w:r>
          </w:p>
          <w:p w14:paraId="01BEFD5D" w14:textId="77777777" w:rsidR="003E7FCF" w:rsidRPr="00277AC1" w:rsidRDefault="003E7FCF" w:rsidP="00805D9B">
            <w:pPr>
              <w:pStyle w:val="TableListBullet"/>
              <w:rPr>
                <w:rFonts w:ascii="Arial" w:eastAsia="Arial" w:hAnsi="Arial" w:cs="Arial"/>
              </w:rPr>
            </w:pPr>
            <w:r>
              <w:t>c</w:t>
            </w:r>
            <w:r w:rsidRPr="007C7DA3">
              <w:t xml:space="preserve">ommunity </w:t>
            </w:r>
            <w:r>
              <w:t>i</w:t>
            </w:r>
            <w:r w:rsidRPr="007C7DA3">
              <w:t xml:space="preserve">nfrastructure </w:t>
            </w:r>
          </w:p>
          <w:p w14:paraId="170A9268" w14:textId="77777777" w:rsidR="003E7FCF" w:rsidRPr="00277AC1" w:rsidRDefault="003E7FCF" w:rsidP="00805D9B">
            <w:pPr>
              <w:pStyle w:val="TableListBullet"/>
              <w:rPr>
                <w:rFonts w:ascii="Arial" w:eastAsia="Arial" w:hAnsi="Arial" w:cs="Arial"/>
              </w:rPr>
            </w:pPr>
            <w:r>
              <w:t>i</w:t>
            </w:r>
            <w:r w:rsidRPr="007C7DA3">
              <w:t xml:space="preserve">nland </w:t>
            </w:r>
            <w:r>
              <w:t>w</w:t>
            </w:r>
            <w:r w:rsidRPr="007C7DA3">
              <w:t>aters</w:t>
            </w:r>
          </w:p>
          <w:p w14:paraId="0B9F6D6A" w14:textId="77777777" w:rsidR="003E7FCF" w:rsidRPr="00277AC1" w:rsidRDefault="003E7FCF" w:rsidP="00805D9B">
            <w:pPr>
              <w:pStyle w:val="TableListBullet"/>
              <w:rPr>
                <w:rFonts w:ascii="Arial" w:eastAsia="Arial" w:hAnsi="Arial" w:cs="Arial"/>
              </w:rPr>
            </w:pPr>
            <w:r>
              <w:t>f</w:t>
            </w:r>
            <w:r w:rsidRPr="007C7DA3">
              <w:t xml:space="preserve">amily </w:t>
            </w:r>
            <w:r>
              <w:t>v</w:t>
            </w:r>
            <w:r w:rsidRPr="007C7DA3">
              <w:t xml:space="preserve">iolence </w:t>
            </w:r>
          </w:p>
          <w:p w14:paraId="7E352683" w14:textId="2F0F6565" w:rsidR="003E7FCF" w:rsidRPr="00277AC1" w:rsidRDefault="003E7FCF" w:rsidP="00805D9B">
            <w:pPr>
              <w:pStyle w:val="TableListBullet"/>
              <w:rPr>
                <w:rFonts w:ascii="Arial" w:eastAsia="Arial" w:hAnsi="Arial" w:cs="Arial"/>
              </w:rPr>
            </w:pPr>
            <w:r w:rsidRPr="002D70FC">
              <w:t>access to information. (clause 87)</w:t>
            </w:r>
          </w:p>
        </w:tc>
        <w:tc>
          <w:tcPr>
            <w:tcW w:w="1559" w:type="dxa"/>
            <w:tcBorders>
              <w:top w:val="dotted" w:sz="4" w:space="0" w:color="CB6027" w:themeColor="text2"/>
              <w:bottom w:val="dotted" w:sz="4" w:space="0" w:color="CB6027" w:themeColor="text2"/>
            </w:tcBorders>
            <w:shd w:val="clear" w:color="000000" w:fill="auto"/>
          </w:tcPr>
          <w:p w14:paraId="581379D5" w14:textId="77777777" w:rsidR="003E7FCF" w:rsidRPr="00277AC1" w:rsidRDefault="003E7FCF" w:rsidP="00D02880">
            <w:pPr>
              <w:pStyle w:val="TableBody"/>
              <w:spacing w:before="45" w:after="45"/>
              <w:ind w:right="108"/>
              <w:rPr>
                <w:rFonts w:ascii="Arial (Body)" w:hAnsi="Arial (Body)"/>
                <w:color w:val="000000"/>
                <w:sz w:val="20"/>
              </w:rPr>
            </w:pPr>
            <w:r w:rsidRPr="00277AC1">
              <w:rPr>
                <w:rFonts w:ascii="Arial (Body)" w:hAnsi="Arial (Body)"/>
                <w:color w:val="000000"/>
                <w:sz w:val="20"/>
              </w:rPr>
              <w:t>By July 2021</w:t>
            </w:r>
          </w:p>
        </w:tc>
        <w:tc>
          <w:tcPr>
            <w:tcW w:w="4535" w:type="dxa"/>
            <w:tcBorders>
              <w:top w:val="dotted" w:sz="4" w:space="0" w:color="CB6027" w:themeColor="text2"/>
              <w:bottom w:val="dotted" w:sz="4" w:space="0" w:color="CB6027" w:themeColor="text2"/>
            </w:tcBorders>
            <w:shd w:val="clear" w:color="000000" w:fill="auto"/>
          </w:tcPr>
          <w:p w14:paraId="7E35BF29" w14:textId="04016605" w:rsidR="003E7FCF" w:rsidRDefault="003E7FCF" w:rsidP="00503A08">
            <w:pPr>
              <w:pStyle w:val="TableListBullet"/>
            </w:pPr>
            <w:r w:rsidRPr="7F83B349">
              <w:t xml:space="preserve">The </w:t>
            </w:r>
            <w:r w:rsidR="00590D7E">
              <w:t>i</w:t>
            </w:r>
            <w:r w:rsidRPr="7F83B349">
              <w:t xml:space="preserve">nland </w:t>
            </w:r>
            <w:r w:rsidR="00590D7E">
              <w:t>w</w:t>
            </w:r>
            <w:r w:rsidRPr="7F83B349">
              <w:t xml:space="preserve">aters target has not yet been </w:t>
            </w:r>
            <w:r>
              <w:t>agreed</w:t>
            </w:r>
            <w:r w:rsidRPr="7F83B349">
              <w:t>.</w:t>
            </w:r>
          </w:p>
          <w:p w14:paraId="6EF37F7A" w14:textId="5ABB678F" w:rsidR="003E7FCF" w:rsidRPr="00474CFC" w:rsidRDefault="003E7FCF" w:rsidP="00503A08">
            <w:pPr>
              <w:pStyle w:val="TableListBullet"/>
            </w:pPr>
            <w:r w:rsidRPr="00474CFC">
              <w:t xml:space="preserve">Targets 9b, 13 and 17 have been </w:t>
            </w:r>
            <w:r w:rsidR="005F527B">
              <w:t>agreed</w:t>
            </w:r>
            <w:r w:rsidRPr="00474CFC">
              <w:t xml:space="preserve">, but </w:t>
            </w:r>
            <w:r>
              <w:t xml:space="preserve">do not have </w:t>
            </w:r>
            <w:r w:rsidRPr="00474CFC">
              <w:t xml:space="preserve">data </w:t>
            </w:r>
            <w:r>
              <w:t>to assess progress</w:t>
            </w:r>
            <w:r w:rsidRPr="00474CFC">
              <w:t>.</w:t>
            </w:r>
            <w:r>
              <w:t xml:space="preserve"> </w:t>
            </w:r>
          </w:p>
        </w:tc>
      </w:tr>
      <w:tr w:rsidR="003E7FCF" w:rsidRPr="00030C67" w14:paraId="38C5A335" w14:textId="77777777" w:rsidTr="00F47A5F">
        <w:trPr>
          <w:trHeight w:val="2458"/>
        </w:trPr>
        <w:tc>
          <w:tcPr>
            <w:tcW w:w="3544" w:type="dxa"/>
            <w:tcBorders>
              <w:top w:val="dotted" w:sz="4" w:space="0" w:color="CB6027" w:themeColor="text2"/>
              <w:bottom w:val="single" w:sz="4" w:space="0" w:color="CB6027" w:themeColor="text2"/>
            </w:tcBorders>
            <w:shd w:val="clear" w:color="auto" w:fill="FBF3EC"/>
          </w:tcPr>
          <w:p w14:paraId="76ECBC59" w14:textId="439AF746" w:rsidR="001E4004" w:rsidRPr="00277AC1" w:rsidRDefault="003E7FCF" w:rsidP="001E4004">
            <w:pPr>
              <w:pStyle w:val="TableBody"/>
              <w:rPr>
                <w:rFonts w:ascii="Arial" w:eastAsia="Arial" w:hAnsi="Arial" w:cs="Arial"/>
                <w:color w:val="000000" w:themeColor="text1"/>
                <w:sz w:val="20"/>
              </w:rPr>
            </w:pPr>
            <w:r w:rsidRPr="00277AC1">
              <w:rPr>
                <w:rFonts w:ascii="Arial" w:eastAsia="Arial" w:hAnsi="Arial" w:cs="Arial"/>
                <w:b/>
                <w:color w:val="000000" w:themeColor="text1"/>
                <w:sz w:val="20"/>
              </w:rPr>
              <w:lastRenderedPageBreak/>
              <w:t xml:space="preserve">Partnership action – </w:t>
            </w:r>
            <w:r w:rsidRPr="00277AC1">
              <w:rPr>
                <w:rFonts w:ascii="Arial" w:eastAsia="Arial" w:hAnsi="Arial" w:cs="Arial"/>
                <w:color w:val="000000" w:themeColor="text1"/>
                <w:sz w:val="20"/>
              </w:rPr>
              <w:t xml:space="preserve">Establish a </w:t>
            </w:r>
            <w:r w:rsidRPr="00277AC1">
              <w:rPr>
                <w:rFonts w:ascii="Arial" w:eastAsia="Arial" w:hAnsi="Arial" w:cs="Arial"/>
                <w:b/>
                <w:color w:val="000000" w:themeColor="text1"/>
                <w:sz w:val="20"/>
              </w:rPr>
              <w:t>data development plan (DDP)</w:t>
            </w:r>
            <w:r w:rsidRPr="00277AC1">
              <w:rPr>
                <w:rFonts w:ascii="Arial" w:eastAsia="Arial" w:hAnsi="Arial" w:cs="Arial"/>
                <w:color w:val="000000" w:themeColor="text1"/>
                <w:sz w:val="20"/>
              </w:rPr>
              <w:t xml:space="preserve"> for data development items identified in </w:t>
            </w:r>
            <w:r w:rsidR="00590D7E" w:rsidRPr="00277AC1">
              <w:rPr>
                <w:rFonts w:ascii="Arial" w:eastAsia="Arial" w:hAnsi="Arial" w:cs="Arial"/>
                <w:color w:val="000000" w:themeColor="text1"/>
                <w:sz w:val="20"/>
              </w:rPr>
              <w:t>t</w:t>
            </w:r>
            <w:r w:rsidRPr="00277AC1">
              <w:rPr>
                <w:rFonts w:ascii="Arial" w:eastAsia="Arial" w:hAnsi="Arial" w:cs="Arial"/>
                <w:color w:val="000000" w:themeColor="text1"/>
                <w:sz w:val="20"/>
              </w:rPr>
              <w:t>able</w:t>
            </w:r>
            <w:r w:rsidR="00590D7E" w:rsidRPr="00277AC1">
              <w:rPr>
                <w:rFonts w:ascii="Arial" w:eastAsia="Arial" w:hAnsi="Arial" w:cs="Arial"/>
                <w:color w:val="000000" w:themeColor="text1"/>
                <w:sz w:val="20"/>
              </w:rPr>
              <w:t>s</w:t>
            </w:r>
            <w:r w:rsidRPr="00277AC1">
              <w:rPr>
                <w:rFonts w:ascii="Arial" w:eastAsia="Arial" w:hAnsi="Arial" w:cs="Arial"/>
                <w:color w:val="000000" w:themeColor="text1"/>
                <w:sz w:val="20"/>
              </w:rPr>
              <w:t xml:space="preserve"> A and B (clause</w:t>
            </w:r>
            <w:r w:rsidR="009A3731" w:rsidRPr="00277AC1">
              <w:rPr>
                <w:rFonts w:ascii="Arial" w:eastAsia="Arial" w:hAnsi="Arial" w:cs="Arial"/>
                <w:color w:val="000000" w:themeColor="text1"/>
                <w:sz w:val="20"/>
              </w:rPr>
              <w:t xml:space="preserve"> </w:t>
            </w:r>
            <w:r w:rsidRPr="00277AC1">
              <w:rPr>
                <w:rFonts w:ascii="Arial" w:eastAsia="Arial" w:hAnsi="Arial" w:cs="Arial"/>
                <w:color w:val="000000" w:themeColor="text1"/>
                <w:sz w:val="20"/>
              </w:rPr>
              <w:t>92).</w:t>
            </w:r>
            <w:r w:rsidR="001E4004" w:rsidRPr="00277AC1">
              <w:rPr>
                <w:rFonts w:ascii="Arial" w:eastAsia="Arial" w:hAnsi="Arial" w:cs="Arial"/>
                <w:color w:val="000000" w:themeColor="text1"/>
                <w:sz w:val="20"/>
              </w:rPr>
              <w:t xml:space="preserve"> The DDP should:</w:t>
            </w:r>
          </w:p>
          <w:p w14:paraId="73029126" w14:textId="77777777" w:rsidR="001E4004" w:rsidRPr="00277AC1" w:rsidRDefault="001E4004" w:rsidP="00805D9B">
            <w:pPr>
              <w:pStyle w:val="TableListBullet"/>
              <w:rPr>
                <w:rFonts w:ascii="Arial" w:eastAsia="Arial" w:hAnsi="Arial" w:cs="Arial"/>
              </w:rPr>
            </w:pPr>
            <w:r w:rsidRPr="00746C3C">
              <w:t>be developed in partnership</w:t>
            </w:r>
          </w:p>
          <w:p w14:paraId="44875185" w14:textId="77777777" w:rsidR="001E4004" w:rsidRPr="00277AC1" w:rsidRDefault="001E4004" w:rsidP="00805D9B">
            <w:pPr>
              <w:pStyle w:val="TableListBullet"/>
              <w:rPr>
                <w:rFonts w:ascii="Arial" w:eastAsia="Arial" w:hAnsi="Arial" w:cs="Arial"/>
              </w:rPr>
            </w:pPr>
            <w:r w:rsidRPr="00746C3C">
              <w:t>prioritise data development actions</w:t>
            </w:r>
          </w:p>
          <w:p w14:paraId="61495E0C" w14:textId="77777777" w:rsidR="001E4004" w:rsidRPr="00277AC1" w:rsidRDefault="001E4004" w:rsidP="00805D9B">
            <w:pPr>
              <w:pStyle w:val="TableListBullet"/>
              <w:rPr>
                <w:rFonts w:ascii="Arial" w:eastAsia="Arial" w:hAnsi="Arial" w:cs="Arial"/>
              </w:rPr>
            </w:pPr>
            <w:r w:rsidRPr="00277AC1">
              <w:rPr>
                <w:rFonts w:ascii="Arial" w:eastAsia="Arial" w:hAnsi="Arial" w:cs="Arial"/>
              </w:rPr>
              <w:t>outline clear timeframes for actions to be delivered and identify responsible parties</w:t>
            </w:r>
          </w:p>
          <w:p w14:paraId="3C8A4C27" w14:textId="03598D8F" w:rsidR="003E7FCF" w:rsidRPr="00277AC1" w:rsidRDefault="001E4004" w:rsidP="00805D9B">
            <w:pPr>
              <w:pStyle w:val="TableListBullet"/>
              <w:rPr>
                <w:rFonts w:ascii="Arial" w:eastAsia="Arial" w:hAnsi="Arial" w:cs="Arial"/>
              </w:rPr>
            </w:pPr>
            <w:r w:rsidRPr="00277AC1">
              <w:rPr>
                <w:rFonts w:ascii="Arial" w:eastAsia="Arial" w:hAnsi="Arial" w:cs="Arial"/>
              </w:rPr>
              <w:t>be reviewed by Joint Council following the three</w:t>
            </w:r>
            <w:r w:rsidR="00827859" w:rsidRPr="00277AC1">
              <w:rPr>
                <w:rFonts w:ascii="Arial" w:eastAsia="Arial" w:hAnsi="Arial" w:cs="Arial"/>
              </w:rPr>
              <w:noBreakHyphen/>
            </w:r>
            <w:r w:rsidRPr="00277AC1">
              <w:rPr>
                <w:rFonts w:ascii="Arial" w:eastAsia="Arial" w:hAnsi="Arial" w:cs="Arial"/>
              </w:rPr>
              <w:t>yearly reviews</w:t>
            </w:r>
            <w:r w:rsidR="00B54B98" w:rsidRPr="00277AC1">
              <w:rPr>
                <w:rFonts w:ascii="Arial" w:eastAsia="Arial" w:hAnsi="Arial" w:cs="Arial"/>
              </w:rPr>
              <w:t>.</w:t>
            </w:r>
          </w:p>
        </w:tc>
        <w:tc>
          <w:tcPr>
            <w:tcW w:w="1559" w:type="dxa"/>
            <w:tcBorders>
              <w:top w:val="dotted" w:sz="4" w:space="0" w:color="CB6027" w:themeColor="text2"/>
              <w:bottom w:val="single" w:sz="4" w:space="0" w:color="CB6027" w:themeColor="text2"/>
            </w:tcBorders>
            <w:shd w:val="clear" w:color="auto" w:fill="FBF3EC"/>
          </w:tcPr>
          <w:p w14:paraId="209844A5" w14:textId="77777777" w:rsidR="003E7FCF" w:rsidRPr="00277AC1" w:rsidRDefault="003E7FCF" w:rsidP="00D02880">
            <w:pPr>
              <w:pStyle w:val="TableBody"/>
              <w:spacing w:before="45" w:after="45"/>
              <w:ind w:right="108"/>
              <w:rPr>
                <w:rFonts w:ascii="Arial (Body)" w:hAnsi="Arial (Body)"/>
                <w:color w:val="000000"/>
                <w:sz w:val="20"/>
              </w:rPr>
            </w:pPr>
            <w:r w:rsidRPr="00277AC1">
              <w:rPr>
                <w:rFonts w:ascii="Arial (Body)" w:hAnsi="Arial (Body)"/>
                <w:color w:val="000000"/>
                <w:sz w:val="20"/>
              </w:rPr>
              <w:t>By July 2022</w:t>
            </w:r>
          </w:p>
        </w:tc>
        <w:tc>
          <w:tcPr>
            <w:tcW w:w="4535" w:type="dxa"/>
            <w:tcBorders>
              <w:top w:val="dotted" w:sz="4" w:space="0" w:color="CB6027" w:themeColor="text2"/>
              <w:bottom w:val="single" w:sz="4" w:space="0" w:color="CB6027" w:themeColor="text2"/>
            </w:tcBorders>
            <w:shd w:val="clear" w:color="auto" w:fill="FBF3EC"/>
          </w:tcPr>
          <w:p w14:paraId="0C8E2491" w14:textId="062779DA" w:rsidR="003E7FCF" w:rsidRDefault="003E7FCF" w:rsidP="00503A08">
            <w:pPr>
              <w:pStyle w:val="TableListBullet"/>
            </w:pPr>
            <w:r w:rsidRPr="7F83B349">
              <w:t>The DDP</w:t>
            </w:r>
            <w:r>
              <w:t xml:space="preserve"> includes 12</w:t>
            </w:r>
            <w:r w:rsidR="00EC3102">
              <w:t>3</w:t>
            </w:r>
            <w:r>
              <w:t xml:space="preserve"> data development items and</w:t>
            </w:r>
            <w:r w:rsidRPr="7F83B349">
              <w:t xml:space="preserve"> was endorsed by Joint Council in August 2022</w:t>
            </w:r>
            <w:r>
              <w:t>.</w:t>
            </w:r>
            <w:r w:rsidRPr="7F83B349">
              <w:t xml:space="preserve"> </w:t>
            </w:r>
            <w:r>
              <w:t>It</w:t>
            </w:r>
            <w:r w:rsidRPr="7F83B349">
              <w:t xml:space="preserve"> covered </w:t>
            </w:r>
            <w:r w:rsidR="009A7AEC">
              <w:t>some requirements</w:t>
            </w:r>
            <w:r>
              <w:t xml:space="preserve"> but</w:t>
            </w:r>
            <w:r w:rsidRPr="00CB3393">
              <w:t xml:space="preserve"> did not specify clear timeframes for data development actions to be delivered or identify responsible parties.</w:t>
            </w:r>
            <w:r>
              <w:t xml:space="preserve"> </w:t>
            </w:r>
          </w:p>
          <w:p w14:paraId="3D7B284B" w14:textId="3C1A70F8" w:rsidR="003E7FCF" w:rsidRPr="005776C2" w:rsidRDefault="00B90624" w:rsidP="00503A08">
            <w:pPr>
              <w:pStyle w:val="TableListBullet"/>
            </w:pPr>
            <w:r>
              <w:t>A</w:t>
            </w:r>
            <w:r w:rsidR="003E7FCF" w:rsidRPr="00CB3393">
              <w:t xml:space="preserve"> </w:t>
            </w:r>
            <w:r w:rsidR="003E7FCF">
              <w:t>t</w:t>
            </w:r>
            <w:r w:rsidR="003E7FCF" w:rsidRPr="00CB3393">
              <w:t xml:space="preserve">raffic </w:t>
            </w:r>
            <w:r w:rsidR="003E7FCF">
              <w:t>l</w:t>
            </w:r>
            <w:r w:rsidR="003E7FCF" w:rsidRPr="00CB3393">
              <w:t xml:space="preserve">ight </w:t>
            </w:r>
            <w:r w:rsidR="003E7FCF">
              <w:t>r</w:t>
            </w:r>
            <w:r w:rsidR="003E7FCF" w:rsidRPr="00CB3393">
              <w:t>eport to monitor data development, which includes action owners</w:t>
            </w:r>
            <w:r w:rsidR="003E7FCF">
              <w:t xml:space="preserve"> and timeframes</w:t>
            </w:r>
            <w:r w:rsidR="002C35B2">
              <w:t>,</w:t>
            </w:r>
            <w:r w:rsidR="003E7FCF" w:rsidRPr="00CB3393">
              <w:t xml:space="preserve"> is </w:t>
            </w:r>
            <w:r w:rsidR="003518CE">
              <w:t>expected</w:t>
            </w:r>
            <w:r w:rsidR="003E7FCF" w:rsidRPr="00CB3393">
              <w:t xml:space="preserve"> </w:t>
            </w:r>
            <w:r w:rsidR="00AE4C87">
              <w:t>for review by Joint Council</w:t>
            </w:r>
            <w:r w:rsidR="002C35B2">
              <w:t xml:space="preserve"> by</w:t>
            </w:r>
            <w:r w:rsidR="003E7FCF">
              <w:t xml:space="preserve"> </w:t>
            </w:r>
            <w:r w:rsidR="004025D7">
              <w:t>the end of</w:t>
            </w:r>
            <w:r w:rsidR="003E7FCF">
              <w:t xml:space="preserve"> </w:t>
            </w:r>
            <w:r w:rsidR="003E7FCF" w:rsidRPr="00CB3393">
              <w:t>2023</w:t>
            </w:r>
            <w:r w:rsidR="001A30FF">
              <w:t xml:space="preserve"> </w:t>
            </w:r>
            <w:r w:rsidR="001A30FF" w:rsidRPr="00277AC1">
              <w:rPr>
                <w:rFonts w:cs="Times New Roman"/>
              </w:rPr>
              <w:t>(DRWG 2023b)</w:t>
            </w:r>
            <w:r w:rsidR="003E7FCF" w:rsidRPr="00CB3393">
              <w:t>.</w:t>
            </w:r>
            <w:r w:rsidR="003E7FCF" w:rsidDel="000D21EB">
              <w:t xml:space="preserve"> </w:t>
            </w:r>
          </w:p>
        </w:tc>
      </w:tr>
    </w:tbl>
    <w:p w14:paraId="7C4FB93C" w14:textId="4A6B3D93" w:rsidR="00475A9D" w:rsidRDefault="00475A9D" w:rsidP="00EC3102">
      <w:pPr>
        <w:pStyle w:val="Heading4"/>
      </w:pPr>
      <w:r>
        <w:t xml:space="preserve">Responsibility for data development </w:t>
      </w:r>
      <w:r w:rsidR="0025173D">
        <w:t>needs to be clarified</w:t>
      </w:r>
    </w:p>
    <w:p w14:paraId="72C9687C" w14:textId="5A5B8AF0" w:rsidR="00EC5215" w:rsidRDefault="003F4A9C" w:rsidP="004A7F28">
      <w:pPr>
        <w:pStyle w:val="BodyText"/>
      </w:pPr>
      <w:r>
        <w:t>Table</w:t>
      </w:r>
      <w:r w:rsidR="005634D7">
        <w:t> </w:t>
      </w:r>
      <w:r>
        <w:rPr>
          <w:noProof/>
        </w:rPr>
        <w:t>3</w:t>
      </w:r>
      <w:r w:rsidR="004A7F28">
        <w:t xml:space="preserve"> outlines the data governance arrangements under the Agreement. </w:t>
      </w:r>
      <w:r w:rsidR="00F31EC1">
        <w:t>As outlined in information paper</w:t>
      </w:r>
      <w:r w:rsidR="00A93885">
        <w:t> </w:t>
      </w:r>
      <w:r w:rsidR="00F31EC1">
        <w:t xml:space="preserve">1, </w:t>
      </w:r>
      <w:r w:rsidR="002177EA">
        <w:t xml:space="preserve">the Joint Council and the </w:t>
      </w:r>
      <w:r w:rsidR="0066077B">
        <w:t xml:space="preserve">PWG </w:t>
      </w:r>
      <w:r w:rsidR="002177EA">
        <w:t xml:space="preserve">are </w:t>
      </w:r>
      <w:r w:rsidR="0024176A">
        <w:t>the main governance bodies for the Agreement</w:t>
      </w:r>
      <w:r w:rsidR="0067013D">
        <w:t xml:space="preserve"> and their responsibilities include overseeing data development and reporting. </w:t>
      </w:r>
      <w:r w:rsidR="004A7F28">
        <w:t>The Agreement distinguishes between responsibilities for managing existing data (clause 117) and new data requiring development (clause 92). Responsibilities were divided based on the anticipated work required</w:t>
      </w:r>
      <w:r w:rsidR="008E27FE">
        <w:t>.</w:t>
      </w:r>
      <w:r w:rsidR="004A7F28">
        <w:t xml:space="preserve"> </w:t>
      </w:r>
      <w:r w:rsidR="008E27FE">
        <w:t>T</w:t>
      </w:r>
      <w:r w:rsidR="004A7F28">
        <w:t xml:space="preserve">he Commission would lead work specifying, compiling and reporting on existing data with the </w:t>
      </w:r>
      <w:r w:rsidR="0066077B">
        <w:t>P</w:t>
      </w:r>
      <w:r w:rsidR="002226C1">
        <w:t>WG</w:t>
      </w:r>
      <w:r w:rsidR="008E27FE">
        <w:t>.</w:t>
      </w:r>
      <w:r w:rsidR="004A7F28">
        <w:t xml:space="preserve"> </w:t>
      </w:r>
      <w:r w:rsidR="008E27FE">
        <w:t>T</w:t>
      </w:r>
      <w:r w:rsidR="004A7F28">
        <w:t xml:space="preserve">he </w:t>
      </w:r>
      <w:r w:rsidR="004A7F28" w:rsidRPr="2B096693">
        <w:t>Data and Reporting Working Group</w:t>
      </w:r>
      <w:r w:rsidR="004A7F28">
        <w:t xml:space="preserve"> </w:t>
      </w:r>
      <w:r w:rsidR="002226C1">
        <w:t>(DRWG), which reports to the PWG,</w:t>
      </w:r>
      <w:r w:rsidR="004A7F28">
        <w:t xml:space="preserve"> would coordinate new data development </w:t>
      </w:r>
      <w:r w:rsidR="008E27FE">
        <w:t xml:space="preserve">with </w:t>
      </w:r>
      <w:r w:rsidR="007E3218">
        <w:t>responsible agencies, data custodians and representatives</w:t>
      </w:r>
      <w:r w:rsidR="00EC5215">
        <w:t xml:space="preserve"> </w:t>
      </w:r>
      <w:r w:rsidR="007E3218">
        <w:t>from the Coalition of Peaks</w:t>
      </w:r>
      <w:r w:rsidR="00C51DA4">
        <w:t>.</w:t>
      </w:r>
      <w:r w:rsidR="004A7F28">
        <w:t xml:space="preserve"> </w:t>
      </w:r>
      <w:r w:rsidR="0057019A">
        <w:t>The working</w:t>
      </w:r>
      <w:r w:rsidR="0024077F">
        <w:t xml:space="preserve"> groups </w:t>
      </w:r>
      <w:r w:rsidR="00E65B69">
        <w:t xml:space="preserve">are made up of representatives from the parties </w:t>
      </w:r>
      <w:r w:rsidR="00A558C0">
        <w:t>to the Agreement</w:t>
      </w:r>
      <w:r w:rsidR="004F7C46">
        <w:t>,</w:t>
      </w:r>
      <w:r w:rsidR="00A558C0">
        <w:t xml:space="preserve"> </w:t>
      </w:r>
      <w:r w:rsidR="00A92229">
        <w:t>with the NIAA serving as secretariat</w:t>
      </w:r>
      <w:r w:rsidR="00E65B69">
        <w:t>.</w:t>
      </w:r>
    </w:p>
    <w:p w14:paraId="663B85BC" w14:textId="2BAE9894" w:rsidR="004A7F28" w:rsidRPr="00503A08" w:rsidRDefault="00CE6434" w:rsidP="004A7F28">
      <w:pPr>
        <w:pStyle w:val="BodyText"/>
        <w:rPr>
          <w:spacing w:val="-4"/>
        </w:rPr>
      </w:pPr>
      <w:r w:rsidRPr="00503A08">
        <w:rPr>
          <w:spacing w:val="-4"/>
        </w:rPr>
        <w:t xml:space="preserve">Indicators not included under the ‘Data Development’ heading within the target frameworks were to be drawn from existing data collections. </w:t>
      </w:r>
      <w:r w:rsidR="00A26B82" w:rsidRPr="00503A08">
        <w:rPr>
          <w:spacing w:val="-4"/>
        </w:rPr>
        <w:t>However, i</w:t>
      </w:r>
      <w:r w:rsidR="004A7F28" w:rsidRPr="00503A08">
        <w:rPr>
          <w:spacing w:val="-4"/>
        </w:rPr>
        <w:t xml:space="preserve">n practice, </w:t>
      </w:r>
      <w:r w:rsidR="00B03182" w:rsidRPr="00503A08">
        <w:rPr>
          <w:spacing w:val="-4"/>
        </w:rPr>
        <w:t>some</w:t>
      </w:r>
      <w:r w:rsidR="004A7F28" w:rsidRPr="00503A08">
        <w:rPr>
          <w:spacing w:val="-4"/>
        </w:rPr>
        <w:t xml:space="preserve"> of the indicators that were assumed to have existing data sources do not exist, are not routinely collected or have been found to be unsuitable</w:t>
      </w:r>
      <w:r w:rsidR="00923960" w:rsidRPr="00503A08">
        <w:rPr>
          <w:spacing w:val="-4"/>
        </w:rPr>
        <w:t xml:space="preserve"> (ABS, sub.</w:t>
      </w:r>
      <w:r w:rsidR="005634D7" w:rsidRPr="00503A08">
        <w:rPr>
          <w:spacing w:val="-4"/>
        </w:rPr>
        <w:t> </w:t>
      </w:r>
      <w:r w:rsidR="00923960" w:rsidRPr="00503A08">
        <w:rPr>
          <w:spacing w:val="-4"/>
        </w:rPr>
        <w:t>1, pp.</w:t>
      </w:r>
      <w:r w:rsidR="005634D7" w:rsidRPr="00503A08">
        <w:rPr>
          <w:spacing w:val="-4"/>
        </w:rPr>
        <w:t> </w:t>
      </w:r>
      <w:r w:rsidR="00923960" w:rsidRPr="00503A08">
        <w:rPr>
          <w:spacing w:val="-4"/>
        </w:rPr>
        <w:t>3</w:t>
      </w:r>
      <w:r w:rsidR="00827859" w:rsidRPr="00503A08">
        <w:rPr>
          <w:spacing w:val="-4"/>
        </w:rPr>
        <w:noBreakHyphen/>
      </w:r>
      <w:r w:rsidR="00923960" w:rsidRPr="00503A08">
        <w:rPr>
          <w:spacing w:val="-4"/>
        </w:rPr>
        <w:t>7)</w:t>
      </w:r>
      <w:r w:rsidR="004A7F28" w:rsidRPr="00503A08">
        <w:rPr>
          <w:spacing w:val="-4"/>
        </w:rPr>
        <w:t xml:space="preserve">. </w:t>
      </w:r>
      <w:r w:rsidR="00431933" w:rsidRPr="00503A08">
        <w:rPr>
          <w:spacing w:val="-4"/>
        </w:rPr>
        <w:t>In effect</w:t>
      </w:r>
      <w:r w:rsidR="006F6F83" w:rsidRPr="00503A08">
        <w:rPr>
          <w:spacing w:val="-4"/>
        </w:rPr>
        <w:t>,</w:t>
      </w:r>
      <w:r w:rsidR="00431933" w:rsidRPr="00503A08">
        <w:rPr>
          <w:spacing w:val="-4"/>
        </w:rPr>
        <w:t xml:space="preserve"> this has meant that responsibility for developing the measures </w:t>
      </w:r>
      <w:r w:rsidR="00EF0A2C" w:rsidRPr="00503A08">
        <w:rPr>
          <w:spacing w:val="-4"/>
        </w:rPr>
        <w:t>for</w:t>
      </w:r>
      <w:r w:rsidR="00431933" w:rsidRPr="00503A08">
        <w:rPr>
          <w:spacing w:val="-4"/>
        </w:rPr>
        <w:t xml:space="preserve"> the Priority Reforms, the four socio</w:t>
      </w:r>
      <w:r w:rsidR="00431933" w:rsidRPr="00503A08">
        <w:rPr>
          <w:spacing w:val="-4"/>
        </w:rPr>
        <w:noBreakHyphen/>
        <w:t xml:space="preserve">economic targets and </w:t>
      </w:r>
      <w:r w:rsidR="00B17616" w:rsidRPr="00503A08">
        <w:rPr>
          <w:spacing w:val="-4"/>
        </w:rPr>
        <w:t xml:space="preserve">the </w:t>
      </w:r>
      <w:r w:rsidR="00431933" w:rsidRPr="00503A08">
        <w:rPr>
          <w:spacing w:val="-4"/>
        </w:rPr>
        <w:t xml:space="preserve">many supporting indicators without </w:t>
      </w:r>
      <w:r w:rsidR="00A43209" w:rsidRPr="00503A08">
        <w:rPr>
          <w:spacing w:val="-4"/>
        </w:rPr>
        <w:t>suitable</w:t>
      </w:r>
      <w:r w:rsidR="00431933" w:rsidRPr="00503A08">
        <w:rPr>
          <w:spacing w:val="-4"/>
        </w:rPr>
        <w:t xml:space="preserve"> data was not formally established</w:t>
      </w:r>
      <w:r w:rsidR="004C64B8" w:rsidRPr="00503A08">
        <w:rPr>
          <w:spacing w:val="-4"/>
        </w:rPr>
        <w:t xml:space="preserve">. </w:t>
      </w:r>
    </w:p>
    <w:p w14:paraId="148670C4" w14:textId="01872F15" w:rsidR="00A7329B" w:rsidRDefault="00A7329B" w:rsidP="00A7329B">
      <w:pPr>
        <w:pStyle w:val="FigureTableHeading"/>
      </w:pPr>
      <w:bookmarkStart w:id="11" w:name="_Ref139372692"/>
      <w:r>
        <w:t>Table</w:t>
      </w:r>
      <w:r w:rsidR="005634D7">
        <w:t> </w:t>
      </w:r>
      <w:r w:rsidR="003F4A9C">
        <w:rPr>
          <w:noProof/>
        </w:rPr>
        <w:t>3</w:t>
      </w:r>
      <w:bookmarkEnd w:id="11"/>
      <w:r>
        <w:rPr>
          <w:noProof/>
        </w:rPr>
        <w:t xml:space="preserve"> – </w:t>
      </w:r>
      <w:r>
        <w:t>Data governance arrangements under the Agreement</w:t>
      </w:r>
    </w:p>
    <w:tbl>
      <w:tblPr>
        <w:tblW w:w="9639" w:type="dxa"/>
        <w:tblBorders>
          <w:bottom w:val="single" w:sz="4" w:space="0" w:color="B3B3B3"/>
        </w:tblBorders>
        <w:shd w:val="clear" w:color="000000" w:fill="auto"/>
        <w:tblLayout w:type="fixed"/>
        <w:tblCellMar>
          <w:left w:w="57" w:type="dxa"/>
          <w:right w:w="28"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410"/>
        <w:gridCol w:w="2541"/>
        <w:gridCol w:w="18"/>
        <w:gridCol w:w="2693"/>
        <w:gridCol w:w="2977"/>
      </w:tblGrid>
      <w:tr w:rsidR="00FF6E86" w:rsidRPr="00030C67" w14:paraId="6AA5AF7C" w14:textId="77777777" w:rsidTr="00F455B2">
        <w:trPr>
          <w:tblHeader/>
        </w:trPr>
        <w:tc>
          <w:tcPr>
            <w:tcW w:w="1410" w:type="dxa"/>
            <w:tcBorders>
              <w:bottom w:val="single" w:sz="4" w:space="0" w:color="CB6027" w:themeColor="text2"/>
            </w:tcBorders>
            <w:shd w:val="clear" w:color="auto" w:fill="auto"/>
          </w:tcPr>
          <w:p w14:paraId="25D244F7" w14:textId="77777777" w:rsidR="004A7F28" w:rsidRPr="00030C67" w:rsidRDefault="004A7F28" w:rsidP="00D02880">
            <w:pPr>
              <w:spacing w:before="45" w:after="45"/>
              <w:ind w:right="108"/>
              <w:rPr>
                <w:rFonts w:ascii="Arial (Body)" w:hAnsi="Arial (Body)"/>
                <w:color w:val="265A9A"/>
              </w:rPr>
            </w:pPr>
          </w:p>
        </w:tc>
        <w:tc>
          <w:tcPr>
            <w:tcW w:w="2559" w:type="dxa"/>
            <w:gridSpan w:val="2"/>
            <w:tcBorders>
              <w:bottom w:val="single" w:sz="4" w:space="0" w:color="CB6027" w:themeColor="text2"/>
            </w:tcBorders>
            <w:shd w:val="clear" w:color="auto" w:fill="auto"/>
          </w:tcPr>
          <w:p w14:paraId="0EAC6CA2" w14:textId="77777777" w:rsidR="004A7F28" w:rsidRPr="001C491F" w:rsidRDefault="004A7F28" w:rsidP="00D02880">
            <w:pPr>
              <w:pStyle w:val="TableHeading"/>
              <w:rPr>
                <w:sz w:val="20"/>
              </w:rPr>
            </w:pPr>
            <w:r w:rsidRPr="001C491F">
              <w:rPr>
                <w:sz w:val="20"/>
              </w:rPr>
              <w:t>Chair</w:t>
            </w:r>
          </w:p>
        </w:tc>
        <w:tc>
          <w:tcPr>
            <w:tcW w:w="2693" w:type="dxa"/>
            <w:tcBorders>
              <w:bottom w:val="single" w:sz="4" w:space="0" w:color="CB6027" w:themeColor="text2"/>
            </w:tcBorders>
            <w:shd w:val="clear" w:color="auto" w:fill="auto"/>
          </w:tcPr>
          <w:p w14:paraId="07D03F79" w14:textId="77777777" w:rsidR="004A7F28" w:rsidRPr="001C491F" w:rsidRDefault="004A7F28" w:rsidP="00D02880">
            <w:pPr>
              <w:pStyle w:val="TableHeading"/>
              <w:rPr>
                <w:sz w:val="20"/>
              </w:rPr>
            </w:pPr>
            <w:r w:rsidRPr="001C491F">
              <w:rPr>
                <w:sz w:val="20"/>
              </w:rPr>
              <w:t>Membership</w:t>
            </w:r>
          </w:p>
        </w:tc>
        <w:tc>
          <w:tcPr>
            <w:tcW w:w="2977" w:type="dxa"/>
            <w:tcBorders>
              <w:bottom w:val="single" w:sz="4" w:space="0" w:color="CB6027" w:themeColor="text2"/>
            </w:tcBorders>
            <w:shd w:val="clear" w:color="auto" w:fill="auto"/>
          </w:tcPr>
          <w:p w14:paraId="5B1FB669" w14:textId="77777777" w:rsidR="004A7F28" w:rsidRPr="001C491F" w:rsidRDefault="004A7F28" w:rsidP="00D02880">
            <w:pPr>
              <w:pStyle w:val="TableHeading"/>
              <w:rPr>
                <w:sz w:val="20"/>
              </w:rPr>
            </w:pPr>
            <w:r w:rsidRPr="001C491F">
              <w:rPr>
                <w:sz w:val="20"/>
              </w:rPr>
              <w:t>Responsibilities</w:t>
            </w:r>
          </w:p>
        </w:tc>
      </w:tr>
      <w:tr w:rsidR="00ED2B7C" w:rsidRPr="00030C67" w14:paraId="0F95FA8F" w14:textId="77777777" w:rsidTr="00F455B2">
        <w:tc>
          <w:tcPr>
            <w:tcW w:w="1410" w:type="dxa"/>
            <w:tcBorders>
              <w:top w:val="single" w:sz="4" w:space="0" w:color="CB6027" w:themeColor="text2"/>
              <w:bottom w:val="dotted" w:sz="4" w:space="0" w:color="CB6027" w:themeColor="text2"/>
            </w:tcBorders>
            <w:shd w:val="clear" w:color="auto" w:fill="FBF3EC"/>
          </w:tcPr>
          <w:p w14:paraId="714A23FA" w14:textId="77777777" w:rsidR="004A7F28" w:rsidRPr="001C491F" w:rsidRDefault="004A7F28" w:rsidP="00D02880">
            <w:pPr>
              <w:pStyle w:val="TableHeading"/>
              <w:rPr>
                <w:sz w:val="20"/>
              </w:rPr>
            </w:pPr>
            <w:r w:rsidRPr="001C491F">
              <w:rPr>
                <w:sz w:val="20"/>
              </w:rPr>
              <w:t>Joint Council</w:t>
            </w:r>
          </w:p>
        </w:tc>
        <w:tc>
          <w:tcPr>
            <w:tcW w:w="2559" w:type="dxa"/>
            <w:gridSpan w:val="2"/>
            <w:tcBorders>
              <w:top w:val="single" w:sz="4" w:space="0" w:color="CB6027" w:themeColor="text2"/>
              <w:bottom w:val="dotted" w:sz="4" w:space="0" w:color="CB6027" w:themeColor="text2"/>
            </w:tcBorders>
            <w:shd w:val="clear" w:color="auto" w:fill="FBF3EC"/>
          </w:tcPr>
          <w:p w14:paraId="75602B26" w14:textId="665B62EC" w:rsidR="001955B9" w:rsidRPr="00601DDB" w:rsidRDefault="001955B9" w:rsidP="00805D9B">
            <w:pPr>
              <w:pStyle w:val="TableListBullet"/>
              <w:rPr>
                <w:rFonts w:ascii="Arial (Body)" w:hAnsi="Arial (Body)"/>
                <w:color w:val="000000"/>
              </w:rPr>
            </w:pPr>
            <w:r w:rsidRPr="001955B9">
              <w:t xml:space="preserve">Australian Government Minister for </w:t>
            </w:r>
            <w:r w:rsidR="001447ED">
              <w:t>Indigenous Australians</w:t>
            </w:r>
            <w:r w:rsidRPr="001955B9" w:rsidDel="001955B9">
              <w:t xml:space="preserve"> </w:t>
            </w:r>
          </w:p>
          <w:p w14:paraId="42D7D36E" w14:textId="77777777" w:rsidR="004A7F28" w:rsidRPr="00030C67" w:rsidRDefault="004A7F28" w:rsidP="00805D9B">
            <w:pPr>
              <w:pStyle w:val="TableListBullet"/>
              <w:rPr>
                <w:rFonts w:ascii="Arial (Body)" w:hAnsi="Arial (Body)"/>
                <w:color w:val="000000"/>
              </w:rPr>
            </w:pPr>
            <w:r>
              <w:t>A</w:t>
            </w:r>
            <w:r w:rsidRPr="00601DDB">
              <w:t>n Aboriginal and Torres Strait Islander representative nominated by the Coalition of Peaks</w:t>
            </w:r>
            <w:r>
              <w:t>.</w:t>
            </w:r>
          </w:p>
        </w:tc>
        <w:tc>
          <w:tcPr>
            <w:tcW w:w="2693" w:type="dxa"/>
            <w:tcBorders>
              <w:top w:val="single" w:sz="4" w:space="0" w:color="CB6027" w:themeColor="text2"/>
              <w:bottom w:val="dotted" w:sz="4" w:space="0" w:color="CB6027" w:themeColor="text2"/>
            </w:tcBorders>
            <w:shd w:val="clear" w:color="auto" w:fill="FBF3EC"/>
          </w:tcPr>
          <w:p w14:paraId="6CD70929" w14:textId="7333BE93" w:rsidR="004A7F28" w:rsidRPr="00384509" w:rsidRDefault="004A7F28" w:rsidP="00805D9B">
            <w:pPr>
              <w:pStyle w:val="TableListBullet"/>
            </w:pPr>
            <w:r w:rsidRPr="00384509">
              <w:t xml:space="preserve">One Minister nominated by each jurisdiction and one representative from the Australian Local Government Association </w:t>
            </w:r>
          </w:p>
          <w:p w14:paraId="108760CF" w14:textId="77777777" w:rsidR="004A7F28" w:rsidRPr="00C0468A" w:rsidRDefault="004A7F28" w:rsidP="00805D9B">
            <w:pPr>
              <w:pStyle w:val="TableListBullet"/>
            </w:pPr>
            <w:r w:rsidRPr="00384509">
              <w:t>Twelve representatives nominated by the Coalition of Peaks, with broad geographic and subject matter coverage</w:t>
            </w:r>
            <w:r>
              <w:t>.</w:t>
            </w:r>
          </w:p>
        </w:tc>
        <w:tc>
          <w:tcPr>
            <w:tcW w:w="2977" w:type="dxa"/>
            <w:tcBorders>
              <w:top w:val="single" w:sz="4" w:space="0" w:color="CB6027" w:themeColor="text2"/>
              <w:bottom w:val="dotted" w:sz="4" w:space="0" w:color="CB6027" w:themeColor="text2"/>
            </w:tcBorders>
            <w:shd w:val="clear" w:color="auto" w:fill="FBF3EC"/>
          </w:tcPr>
          <w:p w14:paraId="3499A2DE" w14:textId="5C343F1A" w:rsidR="004A7F28" w:rsidRPr="00FA6216" w:rsidRDefault="004A7F28" w:rsidP="00805D9B">
            <w:pPr>
              <w:pStyle w:val="TableListBullet"/>
            </w:pPr>
            <w:r w:rsidRPr="00FA6216">
              <w:t>Agree to new or updated targets</w:t>
            </w:r>
            <w:r>
              <w:t xml:space="preserve"> and indicators</w:t>
            </w:r>
          </w:p>
          <w:p w14:paraId="0509E4EF" w14:textId="3CDDD8FD" w:rsidR="004A7F28" w:rsidRPr="00FA6216" w:rsidRDefault="004A7F28" w:rsidP="00805D9B">
            <w:pPr>
              <w:pStyle w:val="TableListBullet"/>
            </w:pPr>
            <w:r w:rsidRPr="00FA6216">
              <w:t>Monitor implementation of the National Agreement, including progress against implementation plans</w:t>
            </w:r>
            <w:r>
              <w:t xml:space="preserve"> and partnership actions</w:t>
            </w:r>
          </w:p>
          <w:p w14:paraId="67A066D5" w14:textId="74206816" w:rsidR="004A7F28" w:rsidRPr="00FA6216" w:rsidRDefault="004A7F28" w:rsidP="00805D9B">
            <w:pPr>
              <w:pStyle w:val="TableListBullet"/>
            </w:pPr>
            <w:r w:rsidRPr="00FA6216">
              <w:t xml:space="preserve">Endorse </w:t>
            </w:r>
            <w:r>
              <w:t xml:space="preserve">and review </w:t>
            </w:r>
            <w:r w:rsidRPr="00FA6216">
              <w:t xml:space="preserve">the </w:t>
            </w:r>
            <w:r w:rsidR="00A80734">
              <w:t>d</w:t>
            </w:r>
            <w:r w:rsidRPr="00FA6216">
              <w:t xml:space="preserve">ata </w:t>
            </w:r>
            <w:r w:rsidR="00A80734">
              <w:t>d</w:t>
            </w:r>
            <w:r w:rsidRPr="00FA6216">
              <w:t xml:space="preserve">evelopment </w:t>
            </w:r>
            <w:r w:rsidR="00A80734">
              <w:t>p</w:t>
            </w:r>
            <w:r w:rsidRPr="00FA6216">
              <w:t>lan</w:t>
            </w:r>
            <w:r>
              <w:t xml:space="preserve"> (DDP)</w:t>
            </w:r>
            <w:r w:rsidR="00CB6B7C">
              <w:t>.</w:t>
            </w:r>
          </w:p>
        </w:tc>
      </w:tr>
      <w:tr w:rsidR="00ED2B7C" w:rsidRPr="00030C67" w14:paraId="7E6872B8" w14:textId="77777777" w:rsidTr="00F455B2">
        <w:tc>
          <w:tcPr>
            <w:tcW w:w="1410" w:type="dxa"/>
            <w:tcBorders>
              <w:top w:val="dotted" w:sz="4" w:space="0" w:color="CB6027" w:themeColor="text2"/>
              <w:bottom w:val="dotted" w:sz="4" w:space="0" w:color="CB6027" w:themeColor="text2"/>
            </w:tcBorders>
            <w:shd w:val="clear" w:color="auto" w:fill="auto"/>
          </w:tcPr>
          <w:p w14:paraId="07B9F920" w14:textId="77777777" w:rsidR="004A7F28" w:rsidRPr="001C491F" w:rsidRDefault="004A7F28" w:rsidP="00D02880">
            <w:pPr>
              <w:pStyle w:val="TableHeading"/>
              <w:rPr>
                <w:sz w:val="20"/>
              </w:rPr>
            </w:pPr>
            <w:r w:rsidRPr="001C491F">
              <w:rPr>
                <w:sz w:val="20"/>
              </w:rPr>
              <w:t xml:space="preserve">Partnership Working Group </w:t>
            </w:r>
          </w:p>
          <w:p w14:paraId="2BC69626" w14:textId="06526787" w:rsidR="004A7F28" w:rsidRPr="001C491F" w:rsidRDefault="004A7F28" w:rsidP="00805D9B">
            <w:pPr>
              <w:pStyle w:val="TableHeading"/>
              <w:rPr>
                <w:sz w:val="20"/>
              </w:rPr>
            </w:pPr>
            <w:r w:rsidRPr="001C491F">
              <w:rPr>
                <w:sz w:val="20"/>
              </w:rPr>
              <w:lastRenderedPageBreak/>
              <w:t>(PWG, reporting to Joint Council)</w:t>
            </w:r>
          </w:p>
        </w:tc>
        <w:tc>
          <w:tcPr>
            <w:tcW w:w="2541" w:type="dxa"/>
            <w:tcBorders>
              <w:top w:val="dotted" w:sz="4" w:space="0" w:color="CB6027" w:themeColor="text2"/>
              <w:bottom w:val="dotted" w:sz="4" w:space="0" w:color="CB6027" w:themeColor="text2"/>
            </w:tcBorders>
            <w:shd w:val="clear" w:color="auto" w:fill="auto"/>
          </w:tcPr>
          <w:p w14:paraId="7C7AF423" w14:textId="1D2A0B93" w:rsidR="004A7F28" w:rsidRPr="00601DDB" w:rsidRDefault="004A7F28" w:rsidP="00805D9B">
            <w:pPr>
              <w:pStyle w:val="TableListBullet"/>
              <w:rPr>
                <w:rFonts w:ascii="Arial (Body)" w:hAnsi="Arial (Body)"/>
                <w:color w:val="000000"/>
              </w:rPr>
            </w:pPr>
            <w:r w:rsidRPr="00601DDB">
              <w:lastRenderedPageBreak/>
              <w:t>A senior government official</w:t>
            </w:r>
          </w:p>
          <w:p w14:paraId="13F4D5BC" w14:textId="77777777" w:rsidR="004A7F28" w:rsidRPr="00030C67" w:rsidRDefault="004A7F28" w:rsidP="00805D9B">
            <w:pPr>
              <w:pStyle w:val="TableListBullet"/>
              <w:rPr>
                <w:rFonts w:ascii="Arial (Body)" w:hAnsi="Arial (Body)"/>
                <w:color w:val="000000"/>
              </w:rPr>
            </w:pPr>
            <w:r w:rsidRPr="00601DDB">
              <w:lastRenderedPageBreak/>
              <w:t>Lead Convenor or a representative of the Coalition of Peaks</w:t>
            </w:r>
            <w:r>
              <w:t>.</w:t>
            </w:r>
          </w:p>
        </w:tc>
        <w:tc>
          <w:tcPr>
            <w:tcW w:w="2711" w:type="dxa"/>
            <w:gridSpan w:val="2"/>
            <w:tcBorders>
              <w:top w:val="dotted" w:sz="4" w:space="0" w:color="CB6027" w:themeColor="text2"/>
              <w:bottom w:val="dotted" w:sz="4" w:space="0" w:color="CB6027" w:themeColor="text2"/>
            </w:tcBorders>
            <w:shd w:val="clear" w:color="auto" w:fill="auto"/>
          </w:tcPr>
          <w:p w14:paraId="32B839E1" w14:textId="2AAAACA3" w:rsidR="004A7F28" w:rsidRPr="00181FB2" w:rsidRDefault="004A7F28" w:rsidP="00805D9B">
            <w:pPr>
              <w:pStyle w:val="TableListBullet"/>
              <w:rPr>
                <w:rFonts w:ascii="Arial (Body)" w:hAnsi="Arial (Body)"/>
                <w:color w:val="000000"/>
              </w:rPr>
            </w:pPr>
            <w:r>
              <w:lastRenderedPageBreak/>
              <w:t>A</w:t>
            </w:r>
            <w:r w:rsidRPr="004B2625">
              <w:t xml:space="preserve"> nominated senior official from each </w:t>
            </w:r>
            <w:r>
              <w:t>jurisdiction and the</w:t>
            </w:r>
            <w:r w:rsidRPr="004B2625">
              <w:t xml:space="preserve"> Australian Local Government Association</w:t>
            </w:r>
          </w:p>
          <w:p w14:paraId="6091497F" w14:textId="102946CF" w:rsidR="004A7F28" w:rsidRPr="004B6C51" w:rsidRDefault="004A7F28" w:rsidP="00805D9B">
            <w:pPr>
              <w:pStyle w:val="TableListBullet"/>
              <w:rPr>
                <w:rFonts w:ascii="Arial (Body)" w:hAnsi="Arial (Body)"/>
                <w:color w:val="000000"/>
              </w:rPr>
            </w:pPr>
            <w:r>
              <w:lastRenderedPageBreak/>
              <w:t>R</w:t>
            </w:r>
            <w:r w:rsidRPr="004B2625">
              <w:t>epresentatives from the Coalition of Peaks</w:t>
            </w:r>
          </w:p>
          <w:p w14:paraId="40BD8865" w14:textId="77777777" w:rsidR="004A7F28" w:rsidRDefault="004A7F28" w:rsidP="00805D9B">
            <w:pPr>
              <w:pStyle w:val="TableListBullet"/>
              <w:rPr>
                <w:rFonts w:ascii="Arial (Body)" w:hAnsi="Arial (Body)"/>
                <w:color w:val="000000"/>
              </w:rPr>
            </w:pPr>
            <w:r>
              <w:t>T</w:t>
            </w:r>
            <w:r w:rsidRPr="004B2625">
              <w:t>here should be approximately equal representation of Government Parties to the number of Coalition of Peaks representatives in the membership.</w:t>
            </w:r>
          </w:p>
        </w:tc>
        <w:tc>
          <w:tcPr>
            <w:tcW w:w="2977" w:type="dxa"/>
            <w:tcBorders>
              <w:top w:val="dotted" w:sz="4" w:space="0" w:color="CB6027" w:themeColor="text2"/>
              <w:bottom w:val="dotted" w:sz="4" w:space="0" w:color="CB6027" w:themeColor="text2"/>
            </w:tcBorders>
            <w:shd w:val="clear" w:color="auto" w:fill="auto"/>
          </w:tcPr>
          <w:p w14:paraId="2B83FB25" w14:textId="203065E7" w:rsidR="007C5AF7" w:rsidRPr="00E174FB" w:rsidRDefault="007C5AF7" w:rsidP="00805D9B">
            <w:pPr>
              <w:pStyle w:val="TableListBullet"/>
            </w:pPr>
            <w:r w:rsidRPr="007C5AF7">
              <w:lastRenderedPageBreak/>
              <w:t>Make decisions on data development actions on the advice of the Data and Reporting Working Group</w:t>
            </w:r>
          </w:p>
          <w:p w14:paraId="42265CD0" w14:textId="3C4B8342" w:rsidR="004A7F28" w:rsidRPr="001C491F" w:rsidRDefault="004A7F28" w:rsidP="00E174FB">
            <w:pPr>
              <w:pStyle w:val="ListBullet"/>
              <w:numPr>
                <w:ilvl w:val="0"/>
                <w:numId w:val="0"/>
              </w:numPr>
            </w:pPr>
            <w:r w:rsidRPr="001C491F">
              <w:rPr>
                <w:b/>
              </w:rPr>
              <w:lastRenderedPageBreak/>
              <w:t>The Productivity Commission will work with the PWG to:</w:t>
            </w:r>
          </w:p>
          <w:p w14:paraId="54C37466" w14:textId="4AA49B06" w:rsidR="004A7F28" w:rsidRPr="00211BE7" w:rsidRDefault="00271DFA" w:rsidP="00805D9B">
            <w:pPr>
              <w:pStyle w:val="TableListBullet"/>
            </w:pPr>
            <w:r>
              <w:t>d</w:t>
            </w:r>
            <w:r w:rsidR="004A7F28" w:rsidRPr="00211BE7">
              <w:t>evelop and maintain the Information Repository, drawing together existing data sources</w:t>
            </w:r>
          </w:p>
          <w:p w14:paraId="695548EA" w14:textId="24636149" w:rsidR="004A7F28" w:rsidRDefault="00271DFA" w:rsidP="00805D9B">
            <w:pPr>
              <w:pStyle w:val="TableListBullet"/>
            </w:pPr>
            <w:r>
              <w:t>p</w:t>
            </w:r>
            <w:r w:rsidR="004A7F28" w:rsidRPr="00211BE7">
              <w:t>ublish a publicly available dashboard with data and reporting materials to be updated annually at minimum</w:t>
            </w:r>
          </w:p>
          <w:p w14:paraId="07DB2D60" w14:textId="1468304D" w:rsidR="004A7F28" w:rsidRPr="00805D9B" w:rsidRDefault="00271DFA" w:rsidP="00805D9B">
            <w:pPr>
              <w:pStyle w:val="TableListBullet"/>
              <w:rPr>
                <w:spacing w:val="-4"/>
              </w:rPr>
            </w:pPr>
            <w:r w:rsidRPr="00805D9B">
              <w:rPr>
                <w:spacing w:val="-4"/>
              </w:rPr>
              <w:t>p</w:t>
            </w:r>
            <w:r w:rsidR="004A7F28" w:rsidRPr="00805D9B">
              <w:rPr>
                <w:spacing w:val="-4"/>
              </w:rPr>
              <w:t>ublish an annual data compilation report providing a snapshot of dashboard material</w:t>
            </w:r>
            <w:r w:rsidRPr="00805D9B">
              <w:rPr>
                <w:spacing w:val="-4"/>
              </w:rPr>
              <w:t>.</w:t>
            </w:r>
          </w:p>
        </w:tc>
      </w:tr>
      <w:tr w:rsidR="00ED2B7C" w:rsidRPr="00030C67" w14:paraId="52D391E2" w14:textId="77777777" w:rsidTr="00F455B2">
        <w:tc>
          <w:tcPr>
            <w:tcW w:w="1410" w:type="dxa"/>
            <w:tcBorders>
              <w:top w:val="dotted" w:sz="4" w:space="0" w:color="CB6027" w:themeColor="text2"/>
              <w:bottom w:val="single" w:sz="4" w:space="0" w:color="CB6027" w:themeColor="text2"/>
            </w:tcBorders>
            <w:shd w:val="clear" w:color="auto" w:fill="FBF3EC"/>
          </w:tcPr>
          <w:p w14:paraId="0805FB8D" w14:textId="77777777" w:rsidR="004A7F28" w:rsidRPr="001C491F" w:rsidRDefault="004A7F28" w:rsidP="00D02880">
            <w:pPr>
              <w:pStyle w:val="TableHeading"/>
              <w:ind w:left="0"/>
              <w:rPr>
                <w:sz w:val="20"/>
              </w:rPr>
            </w:pPr>
            <w:r w:rsidRPr="001C491F">
              <w:rPr>
                <w:sz w:val="20"/>
              </w:rPr>
              <w:lastRenderedPageBreak/>
              <w:t>Data and Reporting Working Group</w:t>
            </w:r>
          </w:p>
          <w:p w14:paraId="689009B1" w14:textId="54111B08" w:rsidR="004A7F28" w:rsidRPr="001C491F" w:rsidRDefault="004A7F28" w:rsidP="00D02880">
            <w:pPr>
              <w:pStyle w:val="TableHeading"/>
              <w:ind w:left="0"/>
              <w:rPr>
                <w:sz w:val="20"/>
              </w:rPr>
            </w:pPr>
            <w:r w:rsidRPr="001C491F">
              <w:rPr>
                <w:sz w:val="20"/>
              </w:rPr>
              <w:t>(DRWG, reporting to PWG)</w:t>
            </w:r>
          </w:p>
        </w:tc>
        <w:tc>
          <w:tcPr>
            <w:tcW w:w="2541" w:type="dxa"/>
            <w:tcBorders>
              <w:top w:val="dotted" w:sz="4" w:space="0" w:color="CB6027" w:themeColor="text2"/>
              <w:bottom w:val="single" w:sz="4" w:space="0" w:color="CB6027" w:themeColor="text2"/>
            </w:tcBorders>
            <w:shd w:val="clear" w:color="auto" w:fill="FBF3EC"/>
          </w:tcPr>
          <w:p w14:paraId="78D0B15A" w14:textId="3C553554" w:rsidR="004A7F28" w:rsidRPr="00016408" w:rsidRDefault="004A7F28" w:rsidP="00805D9B">
            <w:pPr>
              <w:pStyle w:val="TableListBullet"/>
            </w:pPr>
            <w:r w:rsidRPr="00016408">
              <w:t>A representative from the National Indigenous Australians Agency (NIAA)</w:t>
            </w:r>
          </w:p>
          <w:p w14:paraId="7930B2AB" w14:textId="132FCAA0" w:rsidR="004A7F28" w:rsidRPr="00030C67" w:rsidRDefault="004A7F28" w:rsidP="00805D9B">
            <w:pPr>
              <w:pStyle w:val="TableListBullet"/>
            </w:pPr>
            <w:r w:rsidRPr="00016408">
              <w:t>A representative from the Coalition of Peaks</w:t>
            </w:r>
            <w:r w:rsidR="00271DFA">
              <w:t>.</w:t>
            </w:r>
          </w:p>
        </w:tc>
        <w:tc>
          <w:tcPr>
            <w:tcW w:w="2711" w:type="dxa"/>
            <w:gridSpan w:val="2"/>
            <w:tcBorders>
              <w:top w:val="dotted" w:sz="4" w:space="0" w:color="CB6027" w:themeColor="text2"/>
              <w:bottom w:val="single" w:sz="4" w:space="0" w:color="CB6027" w:themeColor="text2"/>
            </w:tcBorders>
            <w:shd w:val="clear" w:color="auto" w:fill="FBF3EC"/>
          </w:tcPr>
          <w:p w14:paraId="3A9DCE97" w14:textId="70080741" w:rsidR="00A1662C" w:rsidRDefault="004A7F28" w:rsidP="00805D9B">
            <w:pPr>
              <w:pStyle w:val="TableListBullet"/>
            </w:pPr>
            <w:r w:rsidRPr="000757B8">
              <w:t xml:space="preserve">Government representatives from </w:t>
            </w:r>
            <w:r w:rsidR="000757B8" w:rsidRPr="000757B8">
              <w:t xml:space="preserve">relevant departments in </w:t>
            </w:r>
            <w:r w:rsidRPr="000757B8">
              <w:t>each jurisdiction</w:t>
            </w:r>
          </w:p>
          <w:p w14:paraId="5C433664" w14:textId="05654AFD" w:rsidR="004A7F28" w:rsidRPr="000757B8" w:rsidRDefault="004A7F28" w:rsidP="00805D9B">
            <w:pPr>
              <w:pStyle w:val="TableListBullet"/>
            </w:pPr>
            <w:r w:rsidRPr="000757B8">
              <w:t>Attendance by subject matter experts from departments is at the discretion of jurisdictions</w:t>
            </w:r>
          </w:p>
          <w:p w14:paraId="198A864D" w14:textId="0BF9A200" w:rsidR="004A7F28" w:rsidRDefault="004A7F28" w:rsidP="00805D9B">
            <w:pPr>
              <w:pStyle w:val="TableListBullet"/>
            </w:pPr>
            <w:r w:rsidRPr="008A7C72">
              <w:t>Representatives from the Coalition of the Peaks</w:t>
            </w:r>
            <w:r>
              <w:t xml:space="preserve"> (though they may delegate to the NIAA)</w:t>
            </w:r>
          </w:p>
          <w:p w14:paraId="724F07FE" w14:textId="32AAF1ED" w:rsidR="004A7F28" w:rsidRPr="00D10019" w:rsidRDefault="004A7F28" w:rsidP="00805D9B">
            <w:pPr>
              <w:pStyle w:val="TableListBullet"/>
            </w:pPr>
            <w:r w:rsidRPr="00D10019">
              <w:t>Major Australian Government data custodians (ABS, AIHW)</w:t>
            </w:r>
          </w:p>
          <w:p w14:paraId="5CF29B2D" w14:textId="6433B5A6" w:rsidR="004A7F28" w:rsidRPr="00D10019" w:rsidRDefault="004A7F28" w:rsidP="00805D9B">
            <w:pPr>
              <w:pStyle w:val="TableListBullet"/>
            </w:pPr>
            <w:r w:rsidRPr="00D10019">
              <w:t xml:space="preserve">Australian Government portfolio agencies with a responsibility for delivering data items identified in the </w:t>
            </w:r>
            <w:r>
              <w:t>DDP</w:t>
            </w:r>
          </w:p>
          <w:p w14:paraId="6237E995" w14:textId="1CA7BC81" w:rsidR="004A7F28" w:rsidRPr="00EB1596" w:rsidRDefault="004A7F28" w:rsidP="00805D9B">
            <w:pPr>
              <w:pStyle w:val="TableListBullet"/>
            </w:pPr>
            <w:r w:rsidRPr="00D10019">
              <w:t>Productivity Commission (observer)</w:t>
            </w:r>
          </w:p>
          <w:p w14:paraId="1608E9F9" w14:textId="6CE42CB4" w:rsidR="004A7F28" w:rsidRDefault="004A7F28" w:rsidP="00805D9B">
            <w:pPr>
              <w:pStyle w:val="TableListBullet"/>
            </w:pPr>
            <w:r w:rsidRPr="00EB1596">
              <w:t>Indigenous and non</w:t>
            </w:r>
            <w:r w:rsidR="00827859">
              <w:noBreakHyphen/>
            </w:r>
            <w:r w:rsidRPr="00EB1596">
              <w:t>Indigenous technical experts as required</w:t>
            </w:r>
            <w:r>
              <w:t>.</w:t>
            </w:r>
          </w:p>
        </w:tc>
        <w:tc>
          <w:tcPr>
            <w:tcW w:w="2977" w:type="dxa"/>
            <w:tcBorders>
              <w:top w:val="dotted" w:sz="4" w:space="0" w:color="CB6027" w:themeColor="text2"/>
              <w:bottom w:val="single" w:sz="4" w:space="0" w:color="CB6027" w:themeColor="text2"/>
            </w:tcBorders>
            <w:shd w:val="clear" w:color="auto" w:fill="FBF3EC"/>
          </w:tcPr>
          <w:p w14:paraId="6F04BE0F" w14:textId="7AAB1C79" w:rsidR="004A7F28" w:rsidRPr="001F12CB" w:rsidRDefault="004A7F28" w:rsidP="00805D9B">
            <w:pPr>
              <w:pStyle w:val="TableListBullet"/>
            </w:pPr>
            <w:r w:rsidRPr="001F12CB">
              <w:t xml:space="preserve">Provide advice and technical support to the </w:t>
            </w:r>
            <w:r>
              <w:t>PWG</w:t>
            </w:r>
            <w:r w:rsidRPr="001F12CB">
              <w:t xml:space="preserve"> on data and reporting issues</w:t>
            </w:r>
          </w:p>
          <w:p w14:paraId="23FC4607" w14:textId="6F4D8628" w:rsidR="004A7F28" w:rsidRDefault="004A7F28" w:rsidP="00805D9B">
            <w:pPr>
              <w:pStyle w:val="TableListBullet"/>
            </w:pPr>
            <w:r w:rsidRPr="001F12CB">
              <w:t xml:space="preserve">Develop </w:t>
            </w:r>
            <w:r>
              <w:t>DDP</w:t>
            </w:r>
            <w:r w:rsidRPr="001F12CB">
              <w:t xml:space="preserve"> that prioritises data development actions, outlines clear timeframes for actions, and identifies responsible parties</w:t>
            </w:r>
          </w:p>
          <w:p w14:paraId="201748B2" w14:textId="1939689D" w:rsidR="004A7F28" w:rsidRPr="000518F3" w:rsidRDefault="004A7F28" w:rsidP="00805D9B">
            <w:pPr>
              <w:pStyle w:val="TableListBullet"/>
              <w:rPr>
                <w:spacing w:val="-4"/>
              </w:rPr>
            </w:pPr>
            <w:r w:rsidRPr="000518F3">
              <w:rPr>
                <w:spacing w:val="-4"/>
              </w:rPr>
              <w:t>Monitor implementation of the DDP through quarterly updates to the DRWG and annual updates to the Joint Council</w:t>
            </w:r>
          </w:p>
          <w:p w14:paraId="384C9973" w14:textId="4A918C90" w:rsidR="004A7F28" w:rsidRPr="001B0145" w:rsidRDefault="004A7F28" w:rsidP="00805D9B">
            <w:pPr>
              <w:pStyle w:val="TableListBullet"/>
            </w:pPr>
            <w:r w:rsidRPr="00DF3843">
              <w:t xml:space="preserve">Make recommendations for additions to the </w:t>
            </w:r>
            <w:r>
              <w:t>DDP</w:t>
            </w:r>
            <w:r w:rsidRPr="00DF3843">
              <w:t>, including data development aris</w:t>
            </w:r>
            <w:r>
              <w:t>ing</w:t>
            </w:r>
            <w:r w:rsidRPr="00DF3843">
              <w:t xml:space="preserve"> from establishing indicators for the four </w:t>
            </w:r>
            <w:r w:rsidR="000911E2">
              <w:t>Priority Reform</w:t>
            </w:r>
            <w:r w:rsidRPr="00DF3843">
              <w:t xml:space="preserve">s or new targets </w:t>
            </w:r>
          </w:p>
          <w:p w14:paraId="5621354F" w14:textId="40E23868" w:rsidR="004A7F28" w:rsidRPr="00E174FB" w:rsidRDefault="004A7F28" w:rsidP="00805D9B">
            <w:pPr>
              <w:pStyle w:val="TableListBullet"/>
            </w:pPr>
            <w:r>
              <w:t>Advise</w:t>
            </w:r>
            <w:r w:rsidRPr="001B0145">
              <w:t xml:space="preserve"> on changing the way data is collected and developed consistent with the </w:t>
            </w:r>
            <w:r w:rsidR="000911E2">
              <w:t>Priority Reform</w:t>
            </w:r>
            <w:r w:rsidRPr="001B0145">
              <w:t>s to support the objectives of th</w:t>
            </w:r>
            <w:r>
              <w:t xml:space="preserve">e </w:t>
            </w:r>
            <w:r w:rsidRPr="001B0145">
              <w:t>Agreement</w:t>
            </w:r>
          </w:p>
          <w:p w14:paraId="6DA7A0E0" w14:textId="69768391" w:rsidR="00C91F1C" w:rsidRPr="00030C67" w:rsidRDefault="00C91F1C" w:rsidP="000518F3">
            <w:pPr>
              <w:pStyle w:val="TableListBullet"/>
              <w:spacing w:after="120"/>
            </w:pPr>
            <w:r w:rsidRPr="00E174FB">
              <w:t>Providing technical advice to assist the Productivity Commission with its reporting obligations</w:t>
            </w:r>
            <w:r w:rsidR="00A1662C">
              <w:t>.</w:t>
            </w:r>
          </w:p>
        </w:tc>
      </w:tr>
    </w:tbl>
    <w:p w14:paraId="53384653" w14:textId="34211D3B" w:rsidR="00A7329B" w:rsidRPr="00AF60D8" w:rsidRDefault="00A7329B" w:rsidP="004A7F28">
      <w:pPr>
        <w:pStyle w:val="BodyText"/>
        <w:rPr>
          <w:sz w:val="18"/>
          <w:szCs w:val="18"/>
        </w:rPr>
      </w:pPr>
      <w:r w:rsidRPr="00AF60D8">
        <w:rPr>
          <w:sz w:val="18"/>
          <w:szCs w:val="18"/>
        </w:rPr>
        <w:t xml:space="preserve">Source: </w:t>
      </w:r>
      <w:r w:rsidR="00011196">
        <w:rPr>
          <w:sz w:val="18"/>
          <w:szCs w:val="18"/>
        </w:rPr>
        <w:t xml:space="preserve">DRWG </w:t>
      </w:r>
      <w:r w:rsidR="00BE71C0" w:rsidRPr="00BE71C0">
        <w:rPr>
          <w:rFonts w:ascii="Arial" w:hAnsi="Arial" w:cs="Arial"/>
          <w:sz w:val="18"/>
        </w:rPr>
        <w:t>(2023a)</w:t>
      </w:r>
      <w:r w:rsidR="00BE71C0">
        <w:rPr>
          <w:sz w:val="18"/>
          <w:szCs w:val="18"/>
        </w:rPr>
        <w:t xml:space="preserve">; </w:t>
      </w:r>
      <w:r w:rsidR="00011196">
        <w:rPr>
          <w:sz w:val="18"/>
          <w:szCs w:val="18"/>
        </w:rPr>
        <w:t xml:space="preserve">Joint Council </w:t>
      </w:r>
      <w:r w:rsidR="00BE71C0" w:rsidRPr="00BE71C0">
        <w:rPr>
          <w:rFonts w:ascii="Arial" w:hAnsi="Arial" w:cs="Arial"/>
          <w:sz w:val="18"/>
        </w:rPr>
        <w:t>(2023a)</w:t>
      </w:r>
      <w:r w:rsidRPr="00AF60D8">
        <w:rPr>
          <w:sz w:val="18"/>
          <w:szCs w:val="18"/>
        </w:rPr>
        <w:t>.</w:t>
      </w:r>
    </w:p>
    <w:p w14:paraId="564FEB52" w14:textId="60D3F817" w:rsidR="00B73B1D" w:rsidRDefault="00F27C9A" w:rsidP="00AC3110">
      <w:pPr>
        <w:pStyle w:val="BodyText"/>
        <w:keepNext/>
        <w:keepLines/>
      </w:pPr>
      <w:r>
        <w:lastRenderedPageBreak/>
        <w:t>In 2021</w:t>
      </w:r>
      <w:r w:rsidR="00827859">
        <w:noBreakHyphen/>
      </w:r>
      <w:r>
        <w:t>22, t</w:t>
      </w:r>
      <w:r w:rsidR="004A7F28">
        <w:t xml:space="preserve">he Commission worked with the </w:t>
      </w:r>
      <w:r w:rsidR="00E47A9A">
        <w:t>PWG to develop measurement concepts and calculations</w:t>
      </w:r>
      <w:r w:rsidR="004A7F28">
        <w:t xml:space="preserve"> for the </w:t>
      </w:r>
      <w:r w:rsidR="00AB22F8">
        <w:t>P</w:t>
      </w:r>
      <w:r w:rsidR="004A7F28">
        <w:t xml:space="preserve">riority </w:t>
      </w:r>
      <w:r w:rsidR="00AB22F8">
        <w:t>R</w:t>
      </w:r>
      <w:r w:rsidR="004A7F28">
        <w:t xml:space="preserve">eforms. However, given issues with existing datasets and questions regarding the intent of some indicators in the </w:t>
      </w:r>
      <w:r w:rsidR="00365B15">
        <w:t>framework</w:t>
      </w:r>
      <w:r w:rsidR="004A7F28">
        <w:t xml:space="preserve">, the </w:t>
      </w:r>
      <w:r w:rsidR="00F11D34">
        <w:t>PWG</w:t>
      </w:r>
      <w:r w:rsidR="004A7F28">
        <w:t xml:space="preserve"> determined that further </w:t>
      </w:r>
      <w:r w:rsidR="004A7F28" w:rsidRPr="2B096693">
        <w:t>cultural and technical expertise</w:t>
      </w:r>
      <w:r w:rsidR="00B41FA6">
        <w:t xml:space="preserve"> was required</w:t>
      </w:r>
      <w:r w:rsidR="008F6C93">
        <w:t>.</w:t>
      </w:r>
      <w:r w:rsidR="004A7F28" w:rsidRPr="2B096693">
        <w:t xml:space="preserve"> </w:t>
      </w:r>
      <w:r w:rsidR="001929DB">
        <w:t xml:space="preserve">In 2023, </w:t>
      </w:r>
      <w:r w:rsidR="004A7F28" w:rsidRPr="2B096693" w:rsidDel="008F6C93">
        <w:t>t</w:t>
      </w:r>
      <w:r w:rsidR="004A7F28" w:rsidRPr="2B096693">
        <w:t xml:space="preserve">he </w:t>
      </w:r>
      <w:r w:rsidR="00266DBD">
        <w:t>PWG</w:t>
      </w:r>
      <w:r w:rsidR="004A7F28" w:rsidRPr="2B096693" w:rsidDel="008F6C93">
        <w:t xml:space="preserve"> </w:t>
      </w:r>
      <w:r w:rsidR="008F6C93">
        <w:t>engaged</w:t>
      </w:r>
      <w:r w:rsidR="008F6C93" w:rsidRPr="2B096693">
        <w:t xml:space="preserve"> </w:t>
      </w:r>
      <w:r w:rsidR="004A7F28" w:rsidRPr="2B096693">
        <w:t xml:space="preserve">a third party to further develop the measurement approach for the </w:t>
      </w:r>
      <w:r w:rsidR="00A454B8">
        <w:t>P</w:t>
      </w:r>
      <w:r w:rsidR="004A7F28" w:rsidRPr="2B096693">
        <w:t xml:space="preserve">riority </w:t>
      </w:r>
      <w:r w:rsidR="00A454B8">
        <w:t>R</w:t>
      </w:r>
      <w:r w:rsidR="004A7F28" w:rsidRPr="2B096693">
        <w:t xml:space="preserve">eforms </w:t>
      </w:r>
      <w:r w:rsidR="00D559F2" w:rsidRPr="00D559F2">
        <w:rPr>
          <w:rFonts w:ascii="Arial" w:hAnsi="Arial" w:cs="Arial"/>
          <w:szCs w:val="24"/>
        </w:rPr>
        <w:t>(PC 2023b, p. 17)</w:t>
      </w:r>
      <w:r w:rsidR="004A7F28" w:rsidRPr="2B096693">
        <w:t xml:space="preserve">. </w:t>
      </w:r>
    </w:p>
    <w:p w14:paraId="30EECDB9" w14:textId="2FDFB2EE" w:rsidR="004A7F28" w:rsidRDefault="004A7F28" w:rsidP="004A7F28">
      <w:pPr>
        <w:pStyle w:val="BodyText"/>
      </w:pPr>
      <w:r>
        <w:t>T</w:t>
      </w:r>
      <w:r w:rsidRPr="2B096693">
        <w:t>he process and responsibility for developing data for the</w:t>
      </w:r>
      <w:r>
        <w:t xml:space="preserve"> new</w:t>
      </w:r>
      <w:r w:rsidRPr="2B096693">
        <w:t xml:space="preserve"> socio</w:t>
      </w:r>
      <w:r w:rsidR="00827859">
        <w:noBreakHyphen/>
      </w:r>
      <w:r w:rsidRPr="2B096693">
        <w:t xml:space="preserve">economic targets </w:t>
      </w:r>
      <w:r w:rsidR="00FE1B78">
        <w:t xml:space="preserve">and supporting indicators without data </w:t>
      </w:r>
      <w:r w:rsidRPr="2B096693">
        <w:t xml:space="preserve">remains unspecified. </w:t>
      </w:r>
      <w:r w:rsidR="005559CB">
        <w:t xml:space="preserve">Within the current data specification process, the </w:t>
      </w:r>
      <w:r w:rsidR="00FB0B74">
        <w:t>Commission</w:t>
      </w:r>
      <w:r w:rsidR="00654319">
        <w:t xml:space="preserve"> searches for</w:t>
      </w:r>
      <w:r w:rsidR="00FB0B74">
        <w:t xml:space="preserve"> existing datasets that could provide</w:t>
      </w:r>
      <w:r w:rsidR="008D7086">
        <w:t xml:space="preserve"> data</w:t>
      </w:r>
      <w:r w:rsidR="00654319">
        <w:t xml:space="preserve"> for indicators,</w:t>
      </w:r>
      <w:r w:rsidR="008D7086">
        <w:t xml:space="preserve"> develops specifications for the measures, then </w:t>
      </w:r>
      <w:r w:rsidR="0067733E">
        <w:t>reviews specifications with</w:t>
      </w:r>
      <w:r w:rsidR="008D7086">
        <w:t xml:space="preserve"> the </w:t>
      </w:r>
      <w:r w:rsidR="00266DBD">
        <w:t>PWG</w:t>
      </w:r>
      <w:r w:rsidR="0067733E">
        <w:t xml:space="preserve"> to ensure they reflect the intent of the indicator. Measure specifications that meet the intent are added to the dashboard</w:t>
      </w:r>
      <w:r w:rsidR="00796692">
        <w:t xml:space="preserve">. However, if the specification is not appropriate or no existing datasets can be found, the process </w:t>
      </w:r>
      <w:r w:rsidR="003329FD">
        <w:t xml:space="preserve">to </w:t>
      </w:r>
      <w:r w:rsidR="005B29FA">
        <w:t>progress</w:t>
      </w:r>
      <w:r w:rsidR="003329FD">
        <w:t xml:space="preserve"> </w:t>
      </w:r>
      <w:r w:rsidR="00CF4AFB">
        <w:t xml:space="preserve">data development </w:t>
      </w:r>
      <w:r w:rsidR="001B45BF">
        <w:t>is not clear</w:t>
      </w:r>
      <w:r w:rsidR="003329FD">
        <w:t>.</w:t>
      </w:r>
    </w:p>
    <w:p w14:paraId="2C1F4CA1" w14:textId="0D33D064" w:rsidR="007F5DAB" w:rsidRDefault="004A7F28" w:rsidP="00D064E7">
      <w:pPr>
        <w:pStyle w:val="BodyText"/>
      </w:pPr>
      <w:r>
        <w:t>Governance arrangements indicate that coordination of data development could consolidate under the D</w:t>
      </w:r>
      <w:r w:rsidR="0024416C">
        <w:t>RWG</w:t>
      </w:r>
      <w:r>
        <w:t xml:space="preserve"> through the DDP, but DDP development and implementation has been delayed and is still in its initial stages. The terms of reference for the DRWG indicates that it </w:t>
      </w:r>
      <w:r w:rsidR="002903D7">
        <w:t xml:space="preserve">will make </w:t>
      </w:r>
      <w:r>
        <w:t>‘</w:t>
      </w:r>
      <w:r w:rsidR="000E2A32">
        <w:t>recommendations for additions to</w:t>
      </w:r>
      <w:r w:rsidRPr="0098619E">
        <w:t xml:space="preserve"> the Data Development Plan</w:t>
      </w:r>
      <w:r>
        <w:t>’</w:t>
      </w:r>
      <w:r w:rsidR="002E24EA">
        <w:t xml:space="preserve"> including</w:t>
      </w:r>
      <w:r w:rsidRPr="0098619E">
        <w:t xml:space="preserve"> </w:t>
      </w:r>
      <w:r>
        <w:t xml:space="preserve">any data development activities that arise from establishing indicators for the </w:t>
      </w:r>
      <w:r w:rsidR="0024416C">
        <w:t>P</w:t>
      </w:r>
      <w:r>
        <w:t xml:space="preserve">riority </w:t>
      </w:r>
      <w:r w:rsidR="0024416C">
        <w:t>R</w:t>
      </w:r>
      <w:r>
        <w:t>eforms or new targets</w:t>
      </w:r>
      <w:r w:rsidR="00A95FFD">
        <w:t xml:space="preserve"> </w:t>
      </w:r>
      <w:r w:rsidR="00AE2DAB" w:rsidRPr="00AE2DAB">
        <w:rPr>
          <w:rFonts w:ascii="Arial" w:hAnsi="Arial" w:cs="Arial"/>
          <w:szCs w:val="24"/>
        </w:rPr>
        <w:t>(DRWG 2023a, p. 1)</w:t>
      </w:r>
      <w:r>
        <w:t xml:space="preserve">. However, data on </w:t>
      </w:r>
      <w:r w:rsidR="001354CF">
        <w:t xml:space="preserve">the </w:t>
      </w:r>
      <w:r w:rsidR="005802D4">
        <w:t>P</w:t>
      </w:r>
      <w:r>
        <w:t xml:space="preserve">riority </w:t>
      </w:r>
      <w:r w:rsidR="005802D4">
        <w:t>R</w:t>
      </w:r>
      <w:r>
        <w:t xml:space="preserve">eforms and new </w:t>
      </w:r>
      <w:r w:rsidR="001354CF">
        <w:t>socio</w:t>
      </w:r>
      <w:r w:rsidR="00827859">
        <w:noBreakHyphen/>
      </w:r>
      <w:r w:rsidR="001354CF">
        <w:t>economic</w:t>
      </w:r>
      <w:r>
        <w:t xml:space="preserve"> targets </w:t>
      </w:r>
      <w:r w:rsidR="009D4D9C">
        <w:t>(except family violence)</w:t>
      </w:r>
      <w:r>
        <w:t xml:space="preserve"> was not included in the DDP endorsed by Joint Council in August 2022</w:t>
      </w:r>
      <w:r w:rsidR="00F56793">
        <w:t xml:space="preserve"> </w:t>
      </w:r>
      <w:r w:rsidR="00F56793" w:rsidRPr="00F56793">
        <w:rPr>
          <w:rFonts w:ascii="Arial" w:hAnsi="Arial" w:cs="Arial"/>
          <w:szCs w:val="24"/>
        </w:rPr>
        <w:t>(Joint Council 2022, p. 1)</w:t>
      </w:r>
      <w:r>
        <w:t>. Furthermore, the DDP did not identify data development action owners or timeframes</w:t>
      </w:r>
      <w:r w:rsidR="0073521D">
        <w:t xml:space="preserve"> for delivery</w:t>
      </w:r>
      <w:r>
        <w:t>, so responsibilities and accountabilities remain unclear. Work to identify action owners and timeframes</w:t>
      </w:r>
      <w:r w:rsidR="00185828">
        <w:t xml:space="preserve"> in a ‘traffic light’ report</w:t>
      </w:r>
      <w:r>
        <w:t xml:space="preserve"> is underway and is </w:t>
      </w:r>
      <w:r w:rsidR="00313208">
        <w:t>expected</w:t>
      </w:r>
      <w:r>
        <w:t xml:space="preserve"> to be delivered to the Joint Council </w:t>
      </w:r>
      <w:r w:rsidR="00E135B5">
        <w:t>by the end of</w:t>
      </w:r>
      <w:r>
        <w:t xml:space="preserve"> 2023</w:t>
      </w:r>
      <w:r w:rsidR="00075464">
        <w:t xml:space="preserve"> </w:t>
      </w:r>
      <w:r w:rsidR="00075464" w:rsidRPr="00075464">
        <w:rPr>
          <w:rFonts w:ascii="Arial" w:hAnsi="Arial" w:cs="Arial"/>
          <w:szCs w:val="24"/>
        </w:rPr>
        <w:t>(DRWG 2023b)</w:t>
      </w:r>
      <w:r w:rsidR="00185828">
        <w:t>.</w:t>
      </w:r>
      <w:r>
        <w:t xml:space="preserve"> This </w:t>
      </w:r>
      <w:r w:rsidR="00185828">
        <w:t xml:space="preserve">report </w:t>
      </w:r>
      <w:r>
        <w:t>will be reviewed quarterly by the DRWG and annually by Joint Council to monitor progress. In the meantime, it is unclear how the DRWG w</w:t>
      </w:r>
      <w:r w:rsidR="00B8178C">
        <w:t>ould</w:t>
      </w:r>
      <w:r>
        <w:t xml:space="preserve"> coordinate further engagement with </w:t>
      </w:r>
      <w:r w:rsidR="00E23CA5">
        <w:t xml:space="preserve">data custodians and </w:t>
      </w:r>
      <w:r>
        <w:t>Aboriginal and Torres Strait Islander organisations and communities to resolve outstanding issues in the measurement approach</w:t>
      </w:r>
      <w:r w:rsidR="007F5DAB">
        <w:t xml:space="preserve">. </w:t>
      </w:r>
    </w:p>
    <w:p w14:paraId="666D565B" w14:textId="0C67F675" w:rsidR="001D4713" w:rsidRDefault="00F21947" w:rsidP="008012A3">
      <w:pPr>
        <w:pStyle w:val="Heading4"/>
      </w:pPr>
      <w:r>
        <w:t xml:space="preserve">Existing processes </w:t>
      </w:r>
      <w:r w:rsidR="00C90073">
        <w:t xml:space="preserve">and resourcing </w:t>
      </w:r>
      <w:r>
        <w:t>are insufficient</w:t>
      </w:r>
      <w:r w:rsidR="003E3CE1">
        <w:t xml:space="preserve"> to </w:t>
      </w:r>
      <w:r w:rsidR="002A0185">
        <w:t xml:space="preserve">prioritise effort and </w:t>
      </w:r>
      <w:r w:rsidR="003E3CE1">
        <w:t>resolve broader issues in the measurement approach</w:t>
      </w:r>
    </w:p>
    <w:p w14:paraId="515DB185" w14:textId="7DCBB386" w:rsidR="00694931" w:rsidRDefault="00D064E7" w:rsidP="00694931">
      <w:pPr>
        <w:pStyle w:val="BodyText"/>
      </w:pPr>
      <w:r>
        <w:t xml:space="preserve">To manage the scope of data </w:t>
      </w:r>
      <w:r w:rsidR="007D4A17">
        <w:t>work</w:t>
      </w:r>
      <w:r>
        <w:t xml:space="preserve">, the </w:t>
      </w:r>
      <w:r w:rsidR="00700D54">
        <w:t xml:space="preserve">DRWG and </w:t>
      </w:r>
      <w:r>
        <w:t>the Commission</w:t>
      </w:r>
      <w:r w:rsidR="00700D54">
        <w:t xml:space="preserve"> </w:t>
      </w:r>
      <w:r w:rsidR="003B1ED1">
        <w:t>(in partnership</w:t>
      </w:r>
      <w:r>
        <w:t xml:space="preserve"> with the PWG</w:t>
      </w:r>
      <w:r w:rsidR="003B1ED1">
        <w:t>)</w:t>
      </w:r>
      <w:r>
        <w:t xml:space="preserve"> have developed frameworks for prioritising the development of their workstreams</w:t>
      </w:r>
      <w:r w:rsidR="006D4F31">
        <w:t xml:space="preserve"> (box</w:t>
      </w:r>
      <w:r w:rsidR="005634D7">
        <w:t> </w:t>
      </w:r>
      <w:r w:rsidR="00AE6AC9">
        <w:t>10</w:t>
      </w:r>
      <w:r w:rsidR="006D4F31">
        <w:t>)</w:t>
      </w:r>
      <w:r>
        <w:t xml:space="preserve">. </w:t>
      </w:r>
      <w:r w:rsidR="00D60A1D">
        <w:t>Each have been developed for a specific purpose: the Commission’s framework prioritises specification of existing data and the D</w:t>
      </w:r>
      <w:r w:rsidR="00BE6E2F">
        <w:t>RWG</w:t>
      </w:r>
      <w:r w:rsidR="00D60A1D">
        <w:t xml:space="preserve"> prioritises </w:t>
      </w:r>
      <w:r w:rsidR="00552CE4">
        <w:t xml:space="preserve">new </w:t>
      </w:r>
      <w:r w:rsidR="00D60A1D">
        <w:t>data development</w:t>
      </w:r>
      <w:r w:rsidR="00BE6E2F">
        <w:t xml:space="preserve"> in the DDP</w:t>
      </w:r>
      <w:r w:rsidR="00D60A1D">
        <w:t xml:space="preserve">. </w:t>
      </w:r>
      <w:r w:rsidR="00694931">
        <w:t>The parallel processes introduce some challenges to coherent problem</w:t>
      </w:r>
      <w:r w:rsidR="00EE6ABC">
        <w:noBreakHyphen/>
      </w:r>
      <w:r w:rsidR="00694931">
        <w:t xml:space="preserve">solving </w:t>
      </w:r>
      <w:r w:rsidR="00166994">
        <w:t xml:space="preserve">and </w:t>
      </w:r>
      <w:r w:rsidR="002C2396">
        <w:t>contribute to</w:t>
      </w:r>
      <w:r w:rsidR="00166994">
        <w:t xml:space="preserve"> a situation in which work continues without </w:t>
      </w:r>
      <w:r w:rsidR="001F5A45">
        <w:t xml:space="preserve">resolving more fundamental </w:t>
      </w:r>
      <w:r w:rsidR="00AE6041">
        <w:t>issue</w:t>
      </w:r>
      <w:r w:rsidR="001F5A45">
        <w:t>s with the measurement approach.</w:t>
      </w:r>
    </w:p>
    <w:p w14:paraId="3CDD0C97" w14:textId="3435A35E" w:rsidR="00AC3110" w:rsidRDefault="00AC3110">
      <w:pPr>
        <w:pStyle w:val="NoSpacing"/>
      </w:pPr>
      <w:r>
        <w:br w:type="page"/>
      </w:r>
    </w:p>
    <w:tbl>
      <w:tblPr>
        <w:tblStyle w:val="Boxtable"/>
        <w:tblW w:w="5000" w:type="pct"/>
        <w:tblLook w:val="04A0" w:firstRow="1" w:lastRow="0" w:firstColumn="1" w:lastColumn="0" w:noHBand="0" w:noVBand="1"/>
      </w:tblPr>
      <w:tblGrid>
        <w:gridCol w:w="906"/>
        <w:gridCol w:w="8732"/>
      </w:tblGrid>
      <w:tr w:rsidR="00F455B2" w14:paraId="2C4068F0" w14:textId="77777777" w:rsidTr="00AC3110">
        <w:trPr>
          <w:tblHeader/>
        </w:trPr>
        <w:tc>
          <w:tcPr>
            <w:tcW w:w="906" w:type="dxa"/>
            <w:shd w:val="clear" w:color="auto" w:fill="FBF3EC"/>
            <w:tcMar>
              <w:top w:w="170" w:type="dxa"/>
              <w:left w:w="170" w:type="dxa"/>
              <w:bottom w:w="113" w:type="dxa"/>
              <w:right w:w="170" w:type="dxa"/>
            </w:tcMar>
            <w:hideMark/>
          </w:tcPr>
          <w:p w14:paraId="183F6E2D" w14:textId="7B8AED4E" w:rsidR="00F455B2" w:rsidRDefault="00A778FE" w:rsidP="00A778FE">
            <w:pPr>
              <w:pStyle w:val="BoxHeading1"/>
              <w:spacing w:before="120"/>
            </w:pPr>
            <w:r w:rsidRPr="00A031AA">
              <w:rPr>
                <w:b/>
                <w:bCs/>
                <w:noProof/>
              </w:rPr>
              <w:lastRenderedPageBreak/>
              <w:drawing>
                <wp:inline distT="0" distB="0" distL="0" distR="0" wp14:anchorId="1BBEB6F5" wp14:editId="7E7DA4F3">
                  <wp:extent cx="360000" cy="424800"/>
                  <wp:effectExtent l="0" t="0" r="0" b="0"/>
                  <wp:docPr id="352744838" name="Picture 352744838" descr="A brown boomerang with red and yellow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16939" name="Picture 1293616939" descr="A brown boomerang with red and yellow do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424800"/>
                          </a:xfrm>
                          <a:prstGeom prst="rect">
                            <a:avLst/>
                          </a:prstGeom>
                        </pic:spPr>
                      </pic:pic>
                    </a:graphicData>
                  </a:graphic>
                </wp:inline>
              </w:drawing>
            </w:r>
          </w:p>
        </w:tc>
        <w:tc>
          <w:tcPr>
            <w:tcW w:w="8732" w:type="dxa"/>
            <w:shd w:val="clear" w:color="auto" w:fill="FBF3EC"/>
          </w:tcPr>
          <w:p w14:paraId="0738E1F0" w14:textId="219D56ED" w:rsidR="00F455B2" w:rsidRDefault="00F455B2">
            <w:pPr>
              <w:pStyle w:val="BoxHeading1"/>
            </w:pPr>
            <w:bookmarkStart w:id="12" w:name="_Ref78902111"/>
            <w:r>
              <w:t xml:space="preserve">Box 10 – </w:t>
            </w:r>
            <w:bookmarkEnd w:id="12"/>
            <w:r>
              <w:t>Frameworks for prioritising effort in data specification and development</w:t>
            </w:r>
          </w:p>
        </w:tc>
      </w:tr>
      <w:tr w:rsidR="00941C29" w14:paraId="5848A8E6" w14:textId="77777777" w:rsidTr="00A778FE">
        <w:tc>
          <w:tcPr>
            <w:tcW w:w="9638" w:type="dxa"/>
            <w:gridSpan w:val="2"/>
            <w:shd w:val="clear" w:color="auto" w:fill="FBF3EC"/>
            <w:tcMar>
              <w:top w:w="28" w:type="dxa"/>
              <w:left w:w="170" w:type="dxa"/>
              <w:bottom w:w="170" w:type="dxa"/>
              <w:right w:w="170" w:type="dxa"/>
            </w:tcMar>
            <w:hideMark/>
          </w:tcPr>
          <w:p w14:paraId="1D717B7E" w14:textId="75769D10" w:rsidR="00941C29" w:rsidRDefault="00941C29">
            <w:pPr>
              <w:pStyle w:val="BoxHeading2"/>
            </w:pPr>
            <w:r>
              <w:t xml:space="preserve">How the Commission and PWG prioritise </w:t>
            </w:r>
            <w:r w:rsidR="00076894">
              <w:t>specification of existing data</w:t>
            </w:r>
          </w:p>
          <w:p w14:paraId="0F3BE296" w14:textId="63FDD13C" w:rsidR="00076894" w:rsidRDefault="00076894" w:rsidP="00076894">
            <w:pPr>
              <w:pStyle w:val="BodyText"/>
            </w:pPr>
            <w:r>
              <w:t xml:space="preserve">Each year, the Commission works with the PWG to identify the highest priority indicators to add to the </w:t>
            </w:r>
            <w:r w:rsidR="00B2664E">
              <w:t>Closing the Gap i</w:t>
            </w:r>
            <w:r>
              <w:t xml:space="preserve">nformation </w:t>
            </w:r>
            <w:r w:rsidR="00B2664E">
              <w:t>r</w:t>
            </w:r>
            <w:r>
              <w:t>epository and dashboard. From these discussions, priority has been assigned to</w:t>
            </w:r>
            <w:r w:rsidR="00607E67">
              <w:t xml:space="preserve"> </w:t>
            </w:r>
            <w:r w:rsidR="000D5770" w:rsidRPr="000D5770">
              <w:rPr>
                <w:rFonts w:ascii="Arial" w:hAnsi="Arial" w:cs="Arial"/>
                <w:szCs w:val="24"/>
              </w:rPr>
              <w:t>(PC 2021, pp. 2–6, 2022a, p. 5)</w:t>
            </w:r>
            <w:r>
              <w:t>:</w:t>
            </w:r>
          </w:p>
          <w:p w14:paraId="07704E0A" w14:textId="1666DCE9" w:rsidR="00076894" w:rsidRDefault="00076894" w:rsidP="00076894">
            <w:pPr>
              <w:pStyle w:val="ListBullet"/>
            </w:pPr>
            <w:r>
              <w:t xml:space="preserve">data on the </w:t>
            </w:r>
            <w:r w:rsidR="00AD21FF">
              <w:t>P</w:t>
            </w:r>
            <w:r>
              <w:t xml:space="preserve">riority </w:t>
            </w:r>
            <w:r w:rsidR="00AD21FF">
              <w:t>R</w:t>
            </w:r>
            <w:r>
              <w:t>eforms, and where this has not been possible due to data gaps, supporting socio</w:t>
            </w:r>
            <w:r w:rsidR="00B2664E">
              <w:noBreakHyphen/>
            </w:r>
            <w:r>
              <w:t xml:space="preserve">economic indicators that more closely link to government action under the </w:t>
            </w:r>
            <w:r w:rsidR="00872502">
              <w:t>P</w:t>
            </w:r>
            <w:r>
              <w:t xml:space="preserve">riority </w:t>
            </w:r>
            <w:r w:rsidR="00872502">
              <w:t>R</w:t>
            </w:r>
            <w:r>
              <w:t>eforms, such as work in the policy partnerships</w:t>
            </w:r>
          </w:p>
          <w:p w14:paraId="7A6E9C49" w14:textId="77777777" w:rsidR="00076894" w:rsidRDefault="00076894" w:rsidP="00076894">
            <w:pPr>
              <w:pStyle w:val="ListBullet"/>
            </w:pPr>
            <w:r>
              <w:t xml:space="preserve">supporting indicators that address target information gaps or are not reported elsewhere. Target information gaps could include conceptual gaps (where the specified target does not cover key elements of the outcome), timing gaps (to supplement infrequently reported or lagged targets), and drivers that would provide greater insight into target trends (particularly those that are worsening). </w:t>
            </w:r>
          </w:p>
          <w:p w14:paraId="006EA7BE" w14:textId="59D065DB" w:rsidR="00076894" w:rsidRDefault="00076894" w:rsidP="00076894">
            <w:pPr>
              <w:pStyle w:val="ListBullet"/>
            </w:pPr>
            <w:r>
              <w:t xml:space="preserve">disaggregations for targets where sufficient data exists to make a progress assessment. These are included across jurisdictions, where data </w:t>
            </w:r>
            <w:r w:rsidR="007A7889">
              <w:t>is</w:t>
            </w:r>
            <w:r>
              <w:t xml:space="preserve"> available and of adequate quality.</w:t>
            </w:r>
          </w:p>
          <w:p w14:paraId="558CA3C2" w14:textId="3584700D" w:rsidR="00941C29" w:rsidRPr="00C7454D" w:rsidRDefault="00C7454D">
            <w:pPr>
              <w:pStyle w:val="BoxHeading3"/>
              <w:rPr>
                <w:i w:val="0"/>
              </w:rPr>
            </w:pPr>
            <w:r>
              <w:rPr>
                <w:i w:val="0"/>
                <w:iCs/>
              </w:rPr>
              <w:t xml:space="preserve">How the DRWG prioritises data development in the </w:t>
            </w:r>
            <w:r w:rsidR="00E90EEC">
              <w:rPr>
                <w:i w:val="0"/>
                <w:iCs/>
              </w:rPr>
              <w:t>data development plan</w:t>
            </w:r>
            <w:r w:rsidR="00FA4572">
              <w:rPr>
                <w:i w:val="0"/>
                <w:iCs/>
              </w:rPr>
              <w:t xml:space="preserve"> (DDP)</w:t>
            </w:r>
          </w:p>
          <w:p w14:paraId="0F7336CD" w14:textId="473250D7" w:rsidR="00941C29" w:rsidRDefault="004E14BB">
            <w:pPr>
              <w:pStyle w:val="BodyText"/>
            </w:pPr>
            <w:r>
              <w:t>The</w:t>
            </w:r>
            <w:r w:rsidDel="00B2664E">
              <w:t xml:space="preserve"> </w:t>
            </w:r>
            <w:r w:rsidR="00FA4572">
              <w:t>DDP</w:t>
            </w:r>
            <w:r>
              <w:t xml:space="preserve"> </w:t>
            </w:r>
            <w:r w:rsidR="008666D2">
              <w:t xml:space="preserve">ranks the priority of data development items as high, medium or low </w:t>
            </w:r>
            <w:r w:rsidR="00FF0413">
              <w:t xml:space="preserve">and assigns them a broad timeframe for </w:t>
            </w:r>
            <w:r w:rsidR="00CB347C">
              <w:t>the start of work (</w:t>
            </w:r>
            <w:r w:rsidR="006A7B86">
              <w:t>2022</w:t>
            </w:r>
            <w:r w:rsidR="005E1B62">
              <w:rPr>
                <w:rFonts w:cstheme="minorHAnsi"/>
              </w:rPr>
              <w:t>–</w:t>
            </w:r>
            <w:r w:rsidR="006A7B86">
              <w:t>2024, 2025</w:t>
            </w:r>
            <w:r w:rsidR="005E1B62">
              <w:rPr>
                <w:rFonts w:cstheme="minorHAnsi"/>
              </w:rPr>
              <w:t>–</w:t>
            </w:r>
            <w:r w:rsidR="006A7B86">
              <w:t xml:space="preserve">2027, </w:t>
            </w:r>
            <w:r w:rsidR="004562B7">
              <w:t>2028</w:t>
            </w:r>
            <w:r w:rsidR="005E1B62">
              <w:rPr>
                <w:rFonts w:cstheme="minorHAnsi"/>
              </w:rPr>
              <w:t>–</w:t>
            </w:r>
            <w:r w:rsidR="004562B7">
              <w:t>2030)</w:t>
            </w:r>
            <w:r w:rsidR="006869ED">
              <w:t xml:space="preserve"> based on</w:t>
            </w:r>
            <w:r w:rsidR="00B20B4F">
              <w:t xml:space="preserve"> the following criteria</w:t>
            </w:r>
            <w:r w:rsidR="00604E1F">
              <w:t xml:space="preserve"> </w:t>
            </w:r>
            <w:r w:rsidR="00604E1F" w:rsidRPr="00604E1F">
              <w:rPr>
                <w:rFonts w:ascii="Arial" w:hAnsi="Arial" w:cs="Arial"/>
                <w:szCs w:val="24"/>
              </w:rPr>
              <w:t>(Joint Council 2022)</w:t>
            </w:r>
            <w:r w:rsidR="00B20B4F">
              <w:t>:</w:t>
            </w:r>
          </w:p>
          <w:p w14:paraId="7F407412" w14:textId="173C0152" w:rsidR="00B20B4F" w:rsidRDefault="00AD21FF" w:rsidP="00AD21FF">
            <w:pPr>
              <w:pStyle w:val="ListBullet"/>
            </w:pPr>
            <w:r>
              <w:t xml:space="preserve">centrality to </w:t>
            </w:r>
            <w:r w:rsidR="000A636C">
              <w:t xml:space="preserve">demonstrating progress against </w:t>
            </w:r>
            <w:r>
              <w:t>the Priority Reforms and socio</w:t>
            </w:r>
            <w:r w:rsidR="00827859">
              <w:noBreakHyphen/>
            </w:r>
            <w:r>
              <w:t>economic outcomes</w:t>
            </w:r>
          </w:p>
          <w:p w14:paraId="1A6AF314" w14:textId="60AA1190" w:rsidR="00396F93" w:rsidRDefault="00396F93" w:rsidP="00AD21FF">
            <w:pPr>
              <w:pStyle w:val="ListBullet"/>
            </w:pPr>
            <w:r>
              <w:t>type of data work to be completed</w:t>
            </w:r>
            <w:r w:rsidR="00182874">
              <w:t xml:space="preserve">, including </w:t>
            </w:r>
            <w:r w:rsidR="00353273">
              <w:t>disaggregat</w:t>
            </w:r>
            <w:r w:rsidR="00182874">
              <w:t xml:space="preserve">ing </w:t>
            </w:r>
            <w:r w:rsidR="00353273">
              <w:t>e</w:t>
            </w:r>
            <w:r w:rsidR="00223C7C">
              <w:t>stablished</w:t>
            </w:r>
            <w:r w:rsidR="00353273">
              <w:t xml:space="preserve"> data</w:t>
            </w:r>
            <w:r w:rsidR="00223C7C">
              <w:t xml:space="preserve"> sources</w:t>
            </w:r>
            <w:r w:rsidR="00182874">
              <w:t xml:space="preserve"> (</w:t>
            </w:r>
            <w:r w:rsidR="00223C7C">
              <w:t>29 items)</w:t>
            </w:r>
            <w:r w:rsidR="00353273">
              <w:t>, harmonising definitions and collection methods</w:t>
            </w:r>
            <w:r w:rsidR="002E60E7">
              <w:t xml:space="preserve"> across jurisdictions (43 items)</w:t>
            </w:r>
            <w:r w:rsidR="00353273">
              <w:t xml:space="preserve">, </w:t>
            </w:r>
            <w:r w:rsidR="002E60E7">
              <w:t>developing new data concepts (</w:t>
            </w:r>
            <w:r w:rsidR="001E6CFB">
              <w:t>65 items)</w:t>
            </w:r>
            <w:r w:rsidR="000255B1">
              <w:t xml:space="preserve">, </w:t>
            </w:r>
            <w:r w:rsidR="001E6CFB">
              <w:t>and developing</w:t>
            </w:r>
            <w:r w:rsidR="000255B1">
              <w:t xml:space="preserve"> </w:t>
            </w:r>
            <w:r w:rsidR="001139D7">
              <w:t>community data</w:t>
            </w:r>
            <w:r w:rsidR="001E6CFB">
              <w:t xml:space="preserve"> (13 items)</w:t>
            </w:r>
            <w:r w:rsidR="00A01BCF" w:rsidRPr="00011196">
              <w:rPr>
                <w:rStyle w:val="BodyTextChar"/>
                <w:b/>
                <w:vertAlign w:val="superscript"/>
              </w:rPr>
              <w:t>a</w:t>
            </w:r>
          </w:p>
          <w:p w14:paraId="77E849E4" w14:textId="4EBF94D1" w:rsidR="000A636C" w:rsidRDefault="000A636C" w:rsidP="000A636C">
            <w:pPr>
              <w:pStyle w:val="ListBullet"/>
            </w:pPr>
            <w:r w:rsidRPr="000A636C">
              <w:t>whether the item prioritises or furthers the use of community data</w:t>
            </w:r>
          </w:p>
          <w:p w14:paraId="328E4A3D" w14:textId="5050B88A" w:rsidR="001139D7" w:rsidRDefault="001139D7" w:rsidP="00AD21FF">
            <w:pPr>
              <w:pStyle w:val="ListBullet"/>
            </w:pPr>
            <w:r>
              <w:t>whether work is planned or underway</w:t>
            </w:r>
          </w:p>
          <w:p w14:paraId="0710F570" w14:textId="7891CD24" w:rsidR="00941C29" w:rsidRDefault="004371B5" w:rsidP="000A636C">
            <w:pPr>
              <w:pStyle w:val="BodyText"/>
            </w:pPr>
            <w:r>
              <w:t xml:space="preserve">Work planned or underway and </w:t>
            </w:r>
            <w:r w:rsidR="005872B8">
              <w:t xml:space="preserve">data requiring conceptual development are </w:t>
            </w:r>
            <w:r w:rsidR="0080079C">
              <w:t>allocated to an earlier timeframe to start.</w:t>
            </w:r>
            <w:r w:rsidR="005872B8">
              <w:t xml:space="preserve"> </w:t>
            </w:r>
            <w:r w:rsidR="00025E64" w:rsidRPr="00604E1F">
              <w:t>Out of 12</w:t>
            </w:r>
            <w:r w:rsidR="00604E1F">
              <w:t>3</w:t>
            </w:r>
            <w:r w:rsidR="00025E64" w:rsidRPr="00604E1F">
              <w:t xml:space="preserve"> data development items, </w:t>
            </w:r>
            <w:r w:rsidR="000A636C">
              <w:t>the DDP</w:t>
            </w:r>
            <w:r w:rsidR="00760E1D" w:rsidRPr="00604E1F">
              <w:t xml:space="preserve"> identified 61 items </w:t>
            </w:r>
            <w:r w:rsidR="00760E1D">
              <w:t>where data development would start by 2024</w:t>
            </w:r>
            <w:r w:rsidR="009A2DDC">
              <w:t>, 38 of which were assessed as high priority.</w:t>
            </w:r>
          </w:p>
          <w:p w14:paraId="6640A00B" w14:textId="7B7D6AA2" w:rsidR="00941C29" w:rsidRDefault="005524BF" w:rsidP="00FA4572">
            <w:pPr>
              <w:pStyle w:val="BodyText"/>
            </w:pPr>
            <w:r w:rsidRPr="005524BF">
              <w:rPr>
                <w:vertAlign w:val="superscript"/>
              </w:rPr>
              <w:t xml:space="preserve">a </w:t>
            </w:r>
            <w:r w:rsidRPr="00FA4572">
              <w:t xml:space="preserve">when two or more categories were listed as ‘and’, ‘or’ ‘/’ </w:t>
            </w:r>
            <w:r w:rsidR="00A01BCF">
              <w:t>all</w:t>
            </w:r>
            <w:r w:rsidRPr="00FA4572">
              <w:t xml:space="preserve"> categories were counted</w:t>
            </w:r>
            <w:r w:rsidR="007B19C7">
              <w:t>.</w:t>
            </w:r>
          </w:p>
        </w:tc>
      </w:tr>
      <w:tr w:rsidR="00941C29" w14:paraId="52CD16AB" w14:textId="77777777">
        <w:trPr>
          <w:hidden/>
        </w:trPr>
        <w:tc>
          <w:tcPr>
            <w:tcW w:w="9638" w:type="dxa"/>
            <w:gridSpan w:val="2"/>
            <w:shd w:val="clear" w:color="auto" w:fill="auto"/>
            <w:tcMar>
              <w:top w:w="0" w:type="dxa"/>
              <w:left w:w="170" w:type="dxa"/>
              <w:bottom w:w="0" w:type="dxa"/>
              <w:right w:w="170" w:type="dxa"/>
            </w:tcMar>
          </w:tcPr>
          <w:p w14:paraId="768476C3" w14:textId="46255E7C" w:rsidR="00941C29" w:rsidRPr="00465191" w:rsidRDefault="00941C29">
            <w:pPr>
              <w:pStyle w:val="BodyText"/>
              <w:spacing w:before="0" w:after="0" w:line="80" w:lineRule="atLeast"/>
              <w:rPr>
                <w:smallCaps/>
                <w:vanish/>
              </w:rPr>
            </w:pPr>
          </w:p>
        </w:tc>
      </w:tr>
    </w:tbl>
    <w:p w14:paraId="049D8ED0" w14:textId="1E2C03E0" w:rsidR="003A1DD7" w:rsidRDefault="008A73AD" w:rsidP="00D064E7">
      <w:pPr>
        <w:pStyle w:val="BodyText"/>
      </w:pPr>
      <w:r>
        <w:t>T</w:t>
      </w:r>
      <w:r w:rsidR="006D5235">
        <w:t xml:space="preserve">hese processes have not </w:t>
      </w:r>
      <w:r w:rsidR="0093454B">
        <w:t>resolved</w:t>
      </w:r>
      <w:r w:rsidR="001647C2">
        <w:t xml:space="preserve"> the lack of clear conceptual logic in the performance measurement framework and its</w:t>
      </w:r>
      <w:r w:rsidR="00C92F01">
        <w:t xml:space="preserve"> </w:t>
      </w:r>
      <w:r w:rsidR="00166994">
        <w:t>ongoing impact on the prioritisation of effort</w:t>
      </w:r>
      <w:r w:rsidR="00447CF0">
        <w:t xml:space="preserve"> and analysis</w:t>
      </w:r>
      <w:r w:rsidR="00166994">
        <w:t>.</w:t>
      </w:r>
      <w:r w:rsidR="00FE61D6">
        <w:t xml:space="preserve"> </w:t>
      </w:r>
      <w:r w:rsidR="00156DC2">
        <w:t>For example, t</w:t>
      </w:r>
      <w:r w:rsidR="00D064E7">
        <w:t>he</w:t>
      </w:r>
      <w:r w:rsidR="00FE61D6">
        <w:t xml:space="preserve"> DDP</w:t>
      </w:r>
      <w:r w:rsidR="001A5C80">
        <w:t xml:space="preserve"> assigns priority </w:t>
      </w:r>
      <w:r w:rsidR="00BE4E27">
        <w:t xml:space="preserve">for data development based on </w:t>
      </w:r>
      <w:r w:rsidR="00333BF3">
        <w:t xml:space="preserve">the </w:t>
      </w:r>
      <w:r w:rsidR="00BE4E27">
        <w:t xml:space="preserve">centrality </w:t>
      </w:r>
      <w:r w:rsidR="00333BF3">
        <w:t xml:space="preserve">of the item </w:t>
      </w:r>
      <w:r w:rsidR="00670C02">
        <w:t xml:space="preserve">to </w:t>
      </w:r>
      <w:r w:rsidR="00720910">
        <w:t>demonstrating progress against</w:t>
      </w:r>
      <w:r w:rsidR="00670C02">
        <w:t xml:space="preserve"> the </w:t>
      </w:r>
      <w:r w:rsidR="00156DC2">
        <w:t>P</w:t>
      </w:r>
      <w:r w:rsidR="00D064E7">
        <w:t xml:space="preserve">riority </w:t>
      </w:r>
      <w:r w:rsidR="00156DC2">
        <w:t>R</w:t>
      </w:r>
      <w:r w:rsidR="00670C02">
        <w:t>eforms and socio</w:t>
      </w:r>
      <w:r w:rsidR="00827859">
        <w:noBreakHyphen/>
      </w:r>
      <w:r w:rsidR="00670C02">
        <w:t>economic outcomes</w:t>
      </w:r>
      <w:r w:rsidR="00E147C5">
        <w:t xml:space="preserve">, </w:t>
      </w:r>
      <w:r w:rsidR="00156DC2">
        <w:t>but</w:t>
      </w:r>
      <w:r w:rsidR="00670C02">
        <w:t xml:space="preserve"> the criteria driving assessments of centrality are not specified</w:t>
      </w:r>
      <w:r w:rsidR="00DF46FB">
        <w:t xml:space="preserve"> </w:t>
      </w:r>
      <w:r w:rsidR="00DF46FB" w:rsidRPr="00DF46FB">
        <w:rPr>
          <w:rFonts w:ascii="Arial" w:hAnsi="Arial" w:cs="Arial"/>
          <w:szCs w:val="24"/>
        </w:rPr>
        <w:t>(Joint Council 2022, p. 12)</w:t>
      </w:r>
      <w:r w:rsidR="00670C02">
        <w:t>. Without criteria or a conceptual logic to draw from in the Agreement, it</w:t>
      </w:r>
      <w:r w:rsidR="007A585B">
        <w:t xml:space="preserve"> is </w:t>
      </w:r>
      <w:r w:rsidR="00670C02">
        <w:t xml:space="preserve">difficult to determine how the </w:t>
      </w:r>
      <w:r w:rsidR="00C8750E">
        <w:t xml:space="preserve">centrality </w:t>
      </w:r>
      <w:r w:rsidR="00670C02">
        <w:t>assessment was made, or even how it should be made. Different participants in this process will inevitably bring different definitions of centrality that must be articulated</w:t>
      </w:r>
      <w:r w:rsidR="00780447">
        <w:t>,</w:t>
      </w:r>
      <w:r w:rsidR="00670C02">
        <w:t xml:space="preserve"> negotiated</w:t>
      </w:r>
      <w:r w:rsidR="002435C4">
        <w:t xml:space="preserve"> </w:t>
      </w:r>
      <w:r w:rsidR="00780447">
        <w:t>and documented with</w:t>
      </w:r>
      <w:r w:rsidR="004E432E">
        <w:t xml:space="preserve"> a clear and transparent rationale. </w:t>
      </w:r>
      <w:r w:rsidR="00991ADD">
        <w:t xml:space="preserve">This is especially important in monitoring whether Aboriginal and Torres Strait Islander perspectives have been </w:t>
      </w:r>
      <w:r w:rsidR="009D35FD">
        <w:t>centred</w:t>
      </w:r>
      <w:r w:rsidR="00CD716C">
        <w:t>.</w:t>
      </w:r>
      <w:r w:rsidR="00991ADD">
        <w:t xml:space="preserve"> </w:t>
      </w:r>
    </w:p>
    <w:p w14:paraId="1820ECD8" w14:textId="4F7D76A5" w:rsidR="00670C02" w:rsidRDefault="0053284F" w:rsidP="00E07641">
      <w:pPr>
        <w:pStyle w:val="BodyText"/>
      </w:pPr>
      <w:r>
        <w:t>A</w:t>
      </w:r>
      <w:r w:rsidR="003A1DD7">
        <w:t xml:space="preserve">nother example of how the </w:t>
      </w:r>
      <w:r w:rsidR="003A3C3A">
        <w:t xml:space="preserve">lack of conceptual logic </w:t>
      </w:r>
      <w:r w:rsidR="0061423C">
        <w:t>impacts</w:t>
      </w:r>
      <w:r w:rsidR="003A3C3A">
        <w:t xml:space="preserve"> on data development</w:t>
      </w:r>
      <w:r>
        <w:t xml:space="preserve"> is that</w:t>
      </w:r>
      <w:r w:rsidR="003A3C3A">
        <w:t xml:space="preserve"> </w:t>
      </w:r>
      <w:r w:rsidR="00CB116E">
        <w:t>t</w:t>
      </w:r>
      <w:r w:rsidR="004E637D">
        <w:t>he DDP</w:t>
      </w:r>
      <w:r w:rsidR="006C6299">
        <w:t xml:space="preserve"> continues the practice of separating </w:t>
      </w:r>
      <w:r w:rsidR="00A07044">
        <w:t>data development items</w:t>
      </w:r>
      <w:r w:rsidR="006C6299">
        <w:t xml:space="preserve"> by outcome rather than considering common drivers </w:t>
      </w:r>
      <w:r w:rsidR="006C6299">
        <w:lastRenderedPageBreak/>
        <w:t>across socio</w:t>
      </w:r>
      <w:r w:rsidR="00827859">
        <w:noBreakHyphen/>
      </w:r>
      <w:r w:rsidR="006C6299">
        <w:t>economic outcomes</w:t>
      </w:r>
      <w:r w:rsidR="00A05550">
        <w:t xml:space="preserve"> </w:t>
      </w:r>
      <w:r w:rsidR="00A05550" w:rsidRPr="00A05550">
        <w:rPr>
          <w:rFonts w:ascii="Arial" w:hAnsi="Arial" w:cs="Arial"/>
          <w:szCs w:val="24"/>
        </w:rPr>
        <w:t>(Joint Council 2022, pp. 14–36)</w:t>
      </w:r>
      <w:r w:rsidR="00CB116E">
        <w:t>.</w:t>
      </w:r>
      <w:r w:rsidR="002768EE">
        <w:t xml:space="preserve"> </w:t>
      </w:r>
      <w:r w:rsidR="00942DC3">
        <w:t xml:space="preserve">This obscures </w:t>
      </w:r>
      <w:r w:rsidR="002768EE">
        <w:t xml:space="preserve">opportunities for </w:t>
      </w:r>
      <w:r w:rsidR="00347F9F">
        <w:t>the</w:t>
      </w:r>
      <w:r w:rsidR="002768EE">
        <w:t xml:space="preserve"> consolidation</w:t>
      </w:r>
      <w:r w:rsidR="00347F9F">
        <w:t xml:space="preserve"> of data development</w:t>
      </w:r>
      <w:r w:rsidR="00163364">
        <w:t>, especially in the development of new data concepts</w:t>
      </w:r>
      <w:r w:rsidR="00D064E7">
        <w:t>.</w:t>
      </w:r>
      <w:r w:rsidR="006C6299">
        <w:t xml:space="preserve"> </w:t>
      </w:r>
      <w:r w:rsidR="00D064E7">
        <w:t xml:space="preserve">Unless </w:t>
      </w:r>
      <w:r w:rsidR="00C06E01">
        <w:t>these broader issues are</w:t>
      </w:r>
      <w:r w:rsidR="00670C02">
        <w:t xml:space="preserve"> resolved, data development is at risk of producing a fragmented and diffuse data set that struggles to present a coherent account of progress</w:t>
      </w:r>
      <w:r w:rsidR="005C08E4">
        <w:t>.</w:t>
      </w:r>
      <w:r w:rsidR="00572E34">
        <w:t xml:space="preserve"> </w:t>
      </w:r>
    </w:p>
    <w:p w14:paraId="44F97A16" w14:textId="2149E49C" w:rsidR="000202E8" w:rsidRDefault="00A6032B" w:rsidP="003064DD">
      <w:pPr>
        <w:pStyle w:val="Heading3"/>
      </w:pPr>
      <w:r>
        <w:t xml:space="preserve">Data development should be led by one organisation </w:t>
      </w:r>
      <w:r w:rsidR="00C0256A">
        <w:t>with</w:t>
      </w:r>
      <w:r w:rsidR="00065168">
        <w:t xml:space="preserve"> the </w:t>
      </w:r>
      <w:r w:rsidR="00C0256A">
        <w:t>authority and</w:t>
      </w:r>
      <w:r w:rsidR="00065168">
        <w:t xml:space="preserve"> </w:t>
      </w:r>
      <w:r w:rsidR="00FA4ABA">
        <w:t>capability</w:t>
      </w:r>
      <w:r w:rsidR="00065168">
        <w:t xml:space="preserve"> required to develop solutions</w:t>
      </w:r>
    </w:p>
    <w:p w14:paraId="0A340169" w14:textId="2E7764AE" w:rsidR="00AE5A39" w:rsidRDefault="000E4464" w:rsidP="00703B51">
      <w:pPr>
        <w:pStyle w:val="BodyText"/>
      </w:pPr>
      <w:r>
        <w:t>Progress to date</w:t>
      </w:r>
      <w:r w:rsidR="002B776B">
        <w:t xml:space="preserve"> </w:t>
      </w:r>
      <w:r>
        <w:t xml:space="preserve">indicates that changes to data governance arrangements are </w:t>
      </w:r>
      <w:r w:rsidR="00183B25">
        <w:t xml:space="preserve">needed </w:t>
      </w:r>
      <w:r>
        <w:t xml:space="preserve">to </w:t>
      </w:r>
      <w:r w:rsidR="005056B2">
        <w:t>clarify</w:t>
      </w:r>
      <w:r>
        <w:t xml:space="preserve"> data development responsibilities </w:t>
      </w:r>
      <w:r w:rsidR="00EB0DA8">
        <w:t xml:space="preserve">and </w:t>
      </w:r>
      <w:r w:rsidR="006463BF">
        <w:t xml:space="preserve">effectively </w:t>
      </w:r>
      <w:r w:rsidR="004F22F7">
        <w:t>coordinate</w:t>
      </w:r>
      <w:r w:rsidR="00EB0DA8">
        <w:t xml:space="preserve"> the diverse </w:t>
      </w:r>
      <w:r w:rsidR="007A3BFB">
        <w:t xml:space="preserve">expertise </w:t>
      </w:r>
      <w:r w:rsidR="005421E9">
        <w:t xml:space="preserve">required </w:t>
      </w:r>
      <w:r w:rsidR="003D416B">
        <w:t>to develop solutions.</w:t>
      </w:r>
      <w:r w:rsidR="00664FC8">
        <w:t xml:space="preserve"> </w:t>
      </w:r>
      <w:r w:rsidR="006F0CF6">
        <w:t>Responsible parties should have the capability</w:t>
      </w:r>
      <w:r w:rsidR="00FD7C63">
        <w:t xml:space="preserve"> </w:t>
      </w:r>
      <w:r w:rsidR="00722D28">
        <w:t xml:space="preserve">to engage </w:t>
      </w:r>
      <w:r w:rsidR="00025982">
        <w:t xml:space="preserve">parties to the Agreement, </w:t>
      </w:r>
      <w:r w:rsidR="00722D28">
        <w:t xml:space="preserve">data custodians </w:t>
      </w:r>
      <w:r w:rsidR="007D20DE">
        <w:t xml:space="preserve">and Aboriginal and Torres Strait Islander organisations and communities </w:t>
      </w:r>
      <w:r w:rsidR="005B459A">
        <w:t>to resolve</w:t>
      </w:r>
      <w:r w:rsidR="00B82EE1">
        <w:t xml:space="preserve"> </w:t>
      </w:r>
      <w:r w:rsidR="00042D88">
        <w:t>broader</w:t>
      </w:r>
      <w:r w:rsidR="00B82EE1">
        <w:t xml:space="preserve"> issues in the measurement approach</w:t>
      </w:r>
      <w:r w:rsidR="00DA2F71">
        <w:t xml:space="preserve">. This work includes </w:t>
      </w:r>
      <w:r w:rsidR="00AB3FDE">
        <w:t>articulating</w:t>
      </w:r>
      <w:r w:rsidR="00B24C2B">
        <w:t xml:space="preserve"> the </w:t>
      </w:r>
      <w:r w:rsidR="00F92CA8">
        <w:t xml:space="preserve">conceptual logic, </w:t>
      </w:r>
      <w:r w:rsidR="00AB3FDE">
        <w:t xml:space="preserve">prioritising and developing critical indicators of change, and identifying the appropriate level of </w:t>
      </w:r>
      <w:r w:rsidR="003C5CA3">
        <w:t>geographic data disaggregation.</w:t>
      </w:r>
    </w:p>
    <w:p w14:paraId="2405CE98" w14:textId="4A14AE51" w:rsidR="00703B51" w:rsidRDefault="00F83EE2" w:rsidP="00703B51">
      <w:pPr>
        <w:pStyle w:val="BodyText"/>
      </w:pPr>
      <w:r>
        <w:t xml:space="preserve">Without a holistic approach, the accountabilities and costs of data development are at risk of being hidden across multiple </w:t>
      </w:r>
      <w:r w:rsidR="00B81CBF">
        <w:t>working groups</w:t>
      </w:r>
      <w:r>
        <w:t xml:space="preserve"> and </w:t>
      </w:r>
      <w:r w:rsidR="00DB2CC6">
        <w:t>data custodians</w:t>
      </w:r>
      <w:r>
        <w:t xml:space="preserve"> with different priorities. </w:t>
      </w:r>
      <w:r w:rsidR="00337181">
        <w:t xml:space="preserve">Consolidating </w:t>
      </w:r>
      <w:r w:rsidR="00201D6C">
        <w:t xml:space="preserve">responsibility for coordinating </w:t>
      </w:r>
      <w:r w:rsidR="0031000F">
        <w:t xml:space="preserve">all </w:t>
      </w:r>
      <w:r w:rsidR="00201D6C">
        <w:t xml:space="preserve">new data development under one </w:t>
      </w:r>
      <w:r w:rsidR="00A43D59">
        <w:t>organisation</w:t>
      </w:r>
      <w:r w:rsidR="00D52B46">
        <w:t xml:space="preserve"> and </w:t>
      </w:r>
      <w:r w:rsidR="00E65DA4">
        <w:t>one DDP</w:t>
      </w:r>
      <w:r w:rsidR="00D52B46">
        <w:t xml:space="preserve"> with routine monitoring would provide visibility of all actions, action owners and timeframes and ensure high</w:t>
      </w:r>
      <w:r w:rsidR="0031695A">
        <w:noBreakHyphen/>
      </w:r>
      <w:r w:rsidR="00D52B46">
        <w:t>priority items falling outside the original scope of the DDP are addressed.</w:t>
      </w:r>
      <w:r w:rsidR="005E6F67">
        <w:t xml:space="preserve"> </w:t>
      </w:r>
      <w:r w:rsidR="0090064D">
        <w:t>This could support a consistent data development approach, clearer processes and accountabilities, and opportunities for the development of new data products.</w:t>
      </w:r>
      <w:r w:rsidR="00703B51">
        <w:t xml:space="preserve"> </w:t>
      </w:r>
    </w:p>
    <w:p w14:paraId="7E098D92" w14:textId="1FE826E7" w:rsidR="0090064D" w:rsidRPr="0090064D" w:rsidRDefault="00641402" w:rsidP="00BA3619">
      <w:pPr>
        <w:pStyle w:val="BodyText"/>
      </w:pPr>
      <w:r>
        <w:t xml:space="preserve">While the DRWG </w:t>
      </w:r>
      <w:r w:rsidR="00D723B1">
        <w:t xml:space="preserve">appears to be </w:t>
      </w:r>
      <w:r>
        <w:t xml:space="preserve">a natural choice </w:t>
      </w:r>
      <w:r w:rsidR="001D6F60">
        <w:t xml:space="preserve">given </w:t>
      </w:r>
      <w:r w:rsidR="007E6FE9">
        <w:t xml:space="preserve">its </w:t>
      </w:r>
      <w:r w:rsidR="001D6F60">
        <w:t xml:space="preserve">role in </w:t>
      </w:r>
      <w:r w:rsidR="004C51A7">
        <w:t>developing the DDP</w:t>
      </w:r>
      <w:r w:rsidR="00B82543">
        <w:t xml:space="preserve">, </w:t>
      </w:r>
      <w:r w:rsidR="00CC6E40">
        <w:t>experience</w:t>
      </w:r>
      <w:r w:rsidR="002A788D">
        <w:t xml:space="preserve"> to date has </w:t>
      </w:r>
      <w:r w:rsidR="00CC6E40">
        <w:t>revealed</w:t>
      </w:r>
      <w:r w:rsidR="002A788D">
        <w:t xml:space="preserve"> </w:t>
      </w:r>
      <w:r w:rsidR="00963D1B">
        <w:t xml:space="preserve">issues with current </w:t>
      </w:r>
      <w:r w:rsidR="00142D35">
        <w:t>arrangements</w:t>
      </w:r>
      <w:r w:rsidR="006858A5">
        <w:t>. Significant</w:t>
      </w:r>
      <w:r w:rsidR="007E15A5">
        <w:t xml:space="preserve"> delays in </w:t>
      </w:r>
      <w:r w:rsidR="0069694E">
        <w:t>defining</w:t>
      </w:r>
      <w:r w:rsidR="00504005">
        <w:t xml:space="preserve"> DDP accountabilities</w:t>
      </w:r>
      <w:r w:rsidR="003F3391">
        <w:t xml:space="preserve"> raise questions </w:t>
      </w:r>
      <w:r w:rsidR="008C4081">
        <w:t>as to whether the working group has sufficient</w:t>
      </w:r>
      <w:r w:rsidR="003F3391">
        <w:t xml:space="preserve"> resourcing </w:t>
      </w:r>
      <w:r w:rsidR="008C4081">
        <w:t>or</w:t>
      </w:r>
      <w:r w:rsidR="003F3391">
        <w:t xml:space="preserve"> authority</w:t>
      </w:r>
      <w:r w:rsidR="008C4081">
        <w:t xml:space="preserve"> to progress the work</w:t>
      </w:r>
      <w:r w:rsidR="003F3391">
        <w:t>.</w:t>
      </w:r>
      <w:r w:rsidR="00E25EA9">
        <w:t xml:space="preserve"> Consideration should also be given to the challenges the Commission and PWG </w:t>
      </w:r>
      <w:r w:rsidR="00B06371">
        <w:t xml:space="preserve">faced </w:t>
      </w:r>
      <w:r w:rsidR="00E25EA9">
        <w:t xml:space="preserve">in </w:t>
      </w:r>
      <w:r w:rsidR="00BE5339">
        <w:t>mobilising</w:t>
      </w:r>
      <w:r w:rsidR="00B52666">
        <w:t xml:space="preserve"> appropriate technical and cultural </w:t>
      </w:r>
      <w:r w:rsidR="00746DE9">
        <w:t xml:space="preserve">expertise to resolve issues </w:t>
      </w:r>
      <w:r w:rsidR="00BE5339">
        <w:t>with the Priority Reform measurement approach</w:t>
      </w:r>
      <w:r w:rsidR="00DA7B86">
        <w:t>.</w:t>
      </w:r>
      <w:r w:rsidR="006947E6">
        <w:t xml:space="preserve"> </w:t>
      </w:r>
      <w:r w:rsidR="00BC517F">
        <w:t>The current membership of the DRWG includes data custodians</w:t>
      </w:r>
      <w:r w:rsidR="004E5025">
        <w:t>,</w:t>
      </w:r>
      <w:r w:rsidR="00BC517F">
        <w:t xml:space="preserve"> but it</w:t>
      </w:r>
      <w:r w:rsidR="002839F9">
        <w:t xml:space="preserve"> i</w:t>
      </w:r>
      <w:r w:rsidR="00BC517F">
        <w:t xml:space="preserve">s questionable whether it could </w:t>
      </w:r>
      <w:r w:rsidR="007366C7">
        <w:t>draw on</w:t>
      </w:r>
      <w:r w:rsidR="00BC517F">
        <w:t xml:space="preserve"> sufficient cultural </w:t>
      </w:r>
      <w:r w:rsidR="00AA35AF">
        <w:t>capability</w:t>
      </w:r>
      <w:r w:rsidR="00BC517F">
        <w:t>, especially if representatives from the Coalition of Peaks can delegate to the NIAA (</w:t>
      </w:r>
      <w:r w:rsidR="008657A7">
        <w:t>Table</w:t>
      </w:r>
      <w:r w:rsidR="005634D7">
        <w:t> </w:t>
      </w:r>
      <w:r w:rsidR="008657A7">
        <w:rPr>
          <w:noProof/>
        </w:rPr>
        <w:t>3</w:t>
      </w:r>
      <w:r w:rsidR="00BC517F">
        <w:t>).</w:t>
      </w:r>
      <w:r w:rsidR="004911BA">
        <w:t xml:space="preserve"> The Coalition of Peaks have </w:t>
      </w:r>
      <w:r w:rsidR="007C56A9">
        <w:t>indicated</w:t>
      </w:r>
      <w:r w:rsidR="004911BA">
        <w:t xml:space="preserve"> that </w:t>
      </w:r>
      <w:r w:rsidR="0072603B">
        <w:t>it</w:t>
      </w:r>
      <w:r w:rsidR="00E255AE">
        <w:t xml:space="preserve"> face</w:t>
      </w:r>
      <w:r w:rsidR="0072603B">
        <w:t>s</w:t>
      </w:r>
      <w:r w:rsidR="00F67E2A">
        <w:t xml:space="preserve"> resource constraints </w:t>
      </w:r>
      <w:r w:rsidR="000D30F8">
        <w:t xml:space="preserve">that limit the time and expertise </w:t>
      </w:r>
      <w:r w:rsidR="0072603B">
        <w:t>it</w:t>
      </w:r>
      <w:r w:rsidR="000D30F8">
        <w:t xml:space="preserve"> can provide to governments </w:t>
      </w:r>
      <w:r w:rsidR="00B42427">
        <w:t xml:space="preserve">and </w:t>
      </w:r>
      <w:r w:rsidR="0072603B">
        <w:t>its</w:t>
      </w:r>
      <w:r w:rsidR="00E255AE">
        <w:t xml:space="preserve"> capacity to undertake strong community engagement</w:t>
      </w:r>
      <w:r w:rsidR="000D30F8">
        <w:t xml:space="preserve"> (sub.</w:t>
      </w:r>
      <w:r w:rsidR="005634D7">
        <w:t> </w:t>
      </w:r>
      <w:r w:rsidR="000D30F8">
        <w:t>25</w:t>
      </w:r>
      <w:r w:rsidR="00405019">
        <w:t>,</w:t>
      </w:r>
      <w:r w:rsidR="000D30F8">
        <w:t xml:space="preserve"> p.</w:t>
      </w:r>
      <w:r w:rsidR="005634D7">
        <w:t> </w:t>
      </w:r>
      <w:r w:rsidR="000D30F8">
        <w:t>2)</w:t>
      </w:r>
      <w:r w:rsidR="00DF0F75" w:rsidRPr="00DF0F75">
        <w:rPr>
          <w:rFonts w:ascii="Arial" w:hAnsi="Arial" w:cs="Arial"/>
          <w:szCs w:val="24"/>
        </w:rPr>
        <w:t>(Equity Economics 2021, p. 45)</w:t>
      </w:r>
      <w:r w:rsidR="00DF0F75">
        <w:t xml:space="preserve">. </w:t>
      </w:r>
      <w:r w:rsidR="000D450D">
        <w:t>Furthermore,</w:t>
      </w:r>
      <w:r w:rsidR="00367B7E">
        <w:t xml:space="preserve"> </w:t>
      </w:r>
      <w:r w:rsidR="00C64EEC">
        <w:t>Coalition of Peaks</w:t>
      </w:r>
      <w:r w:rsidR="00367B7E">
        <w:t xml:space="preserve"> </w:t>
      </w:r>
      <w:r w:rsidR="00647A58">
        <w:t xml:space="preserve">members anticipate their engagement in data, monitoring and evaluation activities </w:t>
      </w:r>
      <w:r w:rsidR="002C6BFB">
        <w:t xml:space="preserve">related to the Agreement to </w:t>
      </w:r>
      <w:r w:rsidR="00921479">
        <w:t xml:space="preserve">nearly </w:t>
      </w:r>
      <w:r w:rsidR="002C6BFB">
        <w:t>double over the next one to two years</w:t>
      </w:r>
      <w:r w:rsidR="005C5620">
        <w:t xml:space="preserve"> </w:t>
      </w:r>
      <w:r w:rsidR="000B655C" w:rsidRPr="000B655C">
        <w:rPr>
          <w:rFonts w:ascii="Arial" w:hAnsi="Arial" w:cs="Arial"/>
          <w:szCs w:val="24"/>
        </w:rPr>
        <w:t>(Equity Economics 2021, p. 34)</w:t>
      </w:r>
      <w:r w:rsidR="002C6BFB">
        <w:t>.</w:t>
      </w:r>
    </w:p>
    <w:p w14:paraId="40537462" w14:textId="6829556A" w:rsidR="00F6185C" w:rsidRPr="0090064D" w:rsidRDefault="00A30803" w:rsidP="003064DD">
      <w:pPr>
        <w:pStyle w:val="Heading4"/>
      </w:pPr>
      <w:r>
        <w:t xml:space="preserve">Governance arrangements should </w:t>
      </w:r>
      <w:r w:rsidR="00852F7F">
        <w:t>enab</w:t>
      </w:r>
      <w:r w:rsidR="00027D4D">
        <w:t xml:space="preserve">le </w:t>
      </w:r>
      <w:r w:rsidR="009C1146">
        <w:t>data development</w:t>
      </w:r>
      <w:r w:rsidR="00027D4D">
        <w:t xml:space="preserve"> consistent with</w:t>
      </w:r>
      <w:r>
        <w:t xml:space="preserve"> Indigenous </w:t>
      </w:r>
      <w:r w:rsidR="004735F7">
        <w:t>d</w:t>
      </w:r>
      <w:r>
        <w:t xml:space="preserve">ata </w:t>
      </w:r>
      <w:r w:rsidR="004735F7">
        <w:t>s</w:t>
      </w:r>
      <w:r>
        <w:t>overeignty principles</w:t>
      </w:r>
    </w:p>
    <w:p w14:paraId="0D5354FE" w14:textId="336D2F18" w:rsidR="0015324B" w:rsidRDefault="00175725" w:rsidP="0015324B">
      <w:pPr>
        <w:pStyle w:val="BodyText"/>
      </w:pPr>
      <w:r>
        <w:t xml:space="preserve">The DDP </w:t>
      </w:r>
      <w:r w:rsidR="00870753">
        <w:t xml:space="preserve">states that data development </w:t>
      </w:r>
      <w:r w:rsidR="00D043FA">
        <w:t>agenda</w:t>
      </w:r>
      <w:r w:rsidR="00E16DB4">
        <w:t>s</w:t>
      </w:r>
      <w:r w:rsidR="00D043FA">
        <w:t xml:space="preserve"> </w:t>
      </w:r>
      <w:r w:rsidR="00870753">
        <w:t xml:space="preserve">under the Agreement </w:t>
      </w:r>
      <w:r w:rsidR="004D6102">
        <w:t xml:space="preserve">at an organisational or project level </w:t>
      </w:r>
      <w:r w:rsidR="00870753">
        <w:t xml:space="preserve">should </w:t>
      </w:r>
      <w:r w:rsidR="00D043FA">
        <w:t>be consistent with</w:t>
      </w:r>
      <w:r w:rsidR="00B3192C">
        <w:t xml:space="preserve"> </w:t>
      </w:r>
      <w:r w:rsidR="00DB58EC">
        <w:t>the ‘ethical use of data, in particular acknowledging Aboriginal and Torres Strait Islander</w:t>
      </w:r>
      <w:r w:rsidR="00827859">
        <w:noBreakHyphen/>
      </w:r>
      <w:r w:rsidR="00DB58EC">
        <w:t xml:space="preserve">led work </w:t>
      </w:r>
      <w:r w:rsidR="00064D85">
        <w:t>about</w:t>
      </w:r>
      <w:r w:rsidR="00DB58EC">
        <w:t xml:space="preserve"> Indigenous </w:t>
      </w:r>
      <w:r w:rsidR="002B2123">
        <w:t>d</w:t>
      </w:r>
      <w:r w:rsidR="00DB58EC">
        <w:t xml:space="preserve">ata </w:t>
      </w:r>
      <w:r w:rsidR="002B2123">
        <w:t>s</w:t>
      </w:r>
      <w:r w:rsidR="00DB58EC">
        <w:t xml:space="preserve">overeignty and Indigenous </w:t>
      </w:r>
      <w:r w:rsidR="002B2123">
        <w:t>d</w:t>
      </w:r>
      <w:r w:rsidR="00DB58EC">
        <w:t xml:space="preserve">ata </w:t>
      </w:r>
      <w:r w:rsidR="002B2123">
        <w:t>g</w:t>
      </w:r>
      <w:r w:rsidR="00DB58EC">
        <w:t>overnance</w:t>
      </w:r>
      <w:r w:rsidR="0014385D">
        <w:t>’</w:t>
      </w:r>
      <w:r w:rsidR="005F58AB">
        <w:t xml:space="preserve"> </w:t>
      </w:r>
      <w:r w:rsidR="005F58AB" w:rsidRPr="005F58AB">
        <w:rPr>
          <w:rFonts w:ascii="Arial" w:hAnsi="Arial" w:cs="Arial"/>
          <w:szCs w:val="24"/>
        </w:rPr>
        <w:t>(Joint Council 2022, p. 5)</w:t>
      </w:r>
      <w:r w:rsidR="0014385D">
        <w:t>.</w:t>
      </w:r>
      <w:r w:rsidR="0052522B">
        <w:t xml:space="preserve"> </w:t>
      </w:r>
      <w:r w:rsidR="0098243C">
        <w:t xml:space="preserve">While </w:t>
      </w:r>
      <w:r w:rsidR="003F15F2">
        <w:t xml:space="preserve">it does not specify </w:t>
      </w:r>
      <w:r w:rsidR="0098243C">
        <w:t xml:space="preserve">what this </w:t>
      </w:r>
      <w:r w:rsidR="003F15F2">
        <w:t>might look</w:t>
      </w:r>
      <w:r w:rsidR="0098243C">
        <w:t xml:space="preserve"> like in practice, the DDP notes that ‘</w:t>
      </w:r>
      <w:r w:rsidR="0098243C" w:rsidRPr="0098243C">
        <w:t>further detail on these principles and their practical application could be incorporated into the DDP over the life of the National Agreement</w:t>
      </w:r>
      <w:r w:rsidR="0098243C">
        <w:t xml:space="preserve">’ </w:t>
      </w:r>
      <w:r w:rsidR="00FA3C9A" w:rsidRPr="005F58AB">
        <w:rPr>
          <w:rFonts w:ascii="Arial" w:hAnsi="Arial" w:cs="Arial"/>
          <w:szCs w:val="24"/>
        </w:rPr>
        <w:t>(Joint Council 2022, p. 5)</w:t>
      </w:r>
      <w:r w:rsidR="0098243C">
        <w:t>.</w:t>
      </w:r>
      <w:r w:rsidR="00DF4408">
        <w:t xml:space="preserve"> </w:t>
      </w:r>
      <w:r w:rsidR="0043294F">
        <w:t>The NIAA and the Department of the Prime Minister and Cabinet have established a Deputy Secretaries Data Group Sub</w:t>
      </w:r>
      <w:r w:rsidR="00827859">
        <w:noBreakHyphen/>
      </w:r>
      <w:r w:rsidR="0043294F">
        <w:t>Committee and Data Champions Network Working Group to develop an Australian Public Service framework on the governance of Indigenous data</w:t>
      </w:r>
      <w:r w:rsidR="001B5526">
        <w:t xml:space="preserve"> </w:t>
      </w:r>
      <w:r w:rsidR="001B5526" w:rsidRPr="001B5526">
        <w:rPr>
          <w:rFonts w:ascii="Arial" w:hAnsi="Arial" w:cs="Arial"/>
          <w:szCs w:val="24"/>
        </w:rPr>
        <w:t>(Australian Government 2022, p. 43)</w:t>
      </w:r>
      <w:r w:rsidR="0043294F">
        <w:t xml:space="preserve">. </w:t>
      </w:r>
      <w:r w:rsidR="001B5526">
        <w:t xml:space="preserve">This framework </w:t>
      </w:r>
      <w:r w:rsidR="005C709F">
        <w:t>aims</w:t>
      </w:r>
      <w:r w:rsidR="001B5526" w:rsidDel="002651CF">
        <w:t xml:space="preserve"> to </w:t>
      </w:r>
      <w:r w:rsidR="001B5526">
        <w:t>improve the accessibility, relevance, interpretability and timeliness of government</w:t>
      </w:r>
      <w:r w:rsidR="00827859">
        <w:noBreakHyphen/>
      </w:r>
      <w:r w:rsidR="001B5526">
        <w:t>held data for Aboriginal and Torres Strait Islander people and is being developed in partnership with Aboriginal and Torres Strait Islander experts in Indigenous data.</w:t>
      </w:r>
      <w:r w:rsidR="00DF4408">
        <w:t xml:space="preserve"> Given </w:t>
      </w:r>
      <w:r w:rsidR="00DF4408">
        <w:lastRenderedPageBreak/>
        <w:t>the extensive data development required under the Agreement</w:t>
      </w:r>
      <w:r w:rsidR="003A1B14">
        <w:t xml:space="preserve"> to incorporate Aboriginal and Torres Strait Islander perspectives on progress</w:t>
      </w:r>
      <w:r w:rsidR="00DF4408">
        <w:t xml:space="preserve">, there is an opportunity to consider how Indigenous </w:t>
      </w:r>
      <w:r w:rsidR="002B2123">
        <w:t>d</w:t>
      </w:r>
      <w:r w:rsidR="00DF4408">
        <w:t xml:space="preserve">ata </w:t>
      </w:r>
      <w:r w:rsidR="002B2123">
        <w:t>s</w:t>
      </w:r>
      <w:r w:rsidR="00DF4408">
        <w:t>overeignty principles could reshape the development of national data collections</w:t>
      </w:r>
      <w:r w:rsidR="00F71D3E">
        <w:t>.</w:t>
      </w:r>
      <w:r w:rsidR="0015324B">
        <w:t xml:space="preserve"> The Lowitja Institute emphasised</w:t>
      </w:r>
      <w:r w:rsidR="0072164F">
        <w:t xml:space="preserve"> that</w:t>
      </w:r>
      <w:r w:rsidR="0015324B">
        <w:t>:</w:t>
      </w:r>
    </w:p>
    <w:p w14:paraId="27E22557" w14:textId="4AB20A9E" w:rsidR="00347911" w:rsidRDefault="0015324B" w:rsidP="00935116">
      <w:pPr>
        <w:pStyle w:val="Quote"/>
      </w:pPr>
      <w:r w:rsidRPr="00F02BB0">
        <w:t xml:space="preserve">To measure the progress against the Priority Reforms at a national scale requires significant data infrastructure and organisation. A task of this size demands comprehensive and consistent data collection processes that adhere to the principles of Indigenous </w:t>
      </w:r>
      <w:r w:rsidR="001B3DD2">
        <w:t>d</w:t>
      </w:r>
      <w:r w:rsidRPr="00F02BB0">
        <w:t xml:space="preserve">ata </w:t>
      </w:r>
      <w:r w:rsidR="001B3DD2">
        <w:t>s</w:t>
      </w:r>
      <w:r w:rsidRPr="00F02BB0">
        <w:t>overeignty (ID</w:t>
      </w:r>
      <w:r w:rsidR="00827859">
        <w:noBreakHyphen/>
      </w:r>
      <w:r w:rsidRPr="00F02BB0">
        <w:t xml:space="preserve">SOV) and Indigenous </w:t>
      </w:r>
      <w:r w:rsidR="001B3DD2">
        <w:t>d</w:t>
      </w:r>
      <w:r w:rsidRPr="00F02BB0">
        <w:t xml:space="preserve">ata </w:t>
      </w:r>
      <w:r w:rsidR="001B3DD2">
        <w:t>g</w:t>
      </w:r>
      <w:r w:rsidRPr="00F02BB0">
        <w:t>overnance (ID</w:t>
      </w:r>
      <w:r w:rsidR="00827859">
        <w:noBreakHyphen/>
      </w:r>
      <w:r w:rsidRPr="00F02BB0">
        <w:t xml:space="preserve">GOV). </w:t>
      </w:r>
      <w:r>
        <w:t>(sub.</w:t>
      </w:r>
      <w:r w:rsidR="005634D7">
        <w:t> </w:t>
      </w:r>
      <w:r>
        <w:t>15, p.</w:t>
      </w:r>
      <w:r w:rsidR="005634D7">
        <w:t> </w:t>
      </w:r>
      <w:r>
        <w:t>5)</w:t>
      </w:r>
    </w:p>
    <w:p w14:paraId="4313CFAA" w14:textId="30C4F4B3" w:rsidR="00A6650C" w:rsidRPr="000518F3" w:rsidRDefault="00703C5B" w:rsidP="00703C5B">
      <w:pPr>
        <w:pStyle w:val="BodyText"/>
        <w:rPr>
          <w:spacing w:val="-4"/>
        </w:rPr>
      </w:pPr>
      <w:r w:rsidRPr="000518F3">
        <w:rPr>
          <w:spacing w:val="-4"/>
        </w:rPr>
        <w:t xml:space="preserve">Governance of the Agreement is based on the </w:t>
      </w:r>
      <w:r w:rsidR="003E4C18" w:rsidRPr="000518F3">
        <w:rPr>
          <w:spacing w:val="-4"/>
        </w:rPr>
        <w:t>principle of partnership with Aboriginal and Torres Strait Islander people</w:t>
      </w:r>
      <w:r w:rsidR="00FF1F28" w:rsidRPr="000518F3">
        <w:rPr>
          <w:spacing w:val="-4"/>
        </w:rPr>
        <w:t>,</w:t>
      </w:r>
      <w:r w:rsidR="003E4C18" w:rsidRPr="000518F3">
        <w:rPr>
          <w:spacing w:val="-4"/>
        </w:rPr>
        <w:t xml:space="preserve"> as </w:t>
      </w:r>
      <w:r w:rsidR="00FF1F28" w:rsidRPr="000518F3">
        <w:rPr>
          <w:spacing w:val="-4"/>
        </w:rPr>
        <w:t>represented by the Coalition of Peaks</w:t>
      </w:r>
      <w:r w:rsidR="00F60C2F" w:rsidRPr="000518F3">
        <w:rPr>
          <w:spacing w:val="-4"/>
        </w:rPr>
        <w:t>.</w:t>
      </w:r>
      <w:r w:rsidR="00FF1F28" w:rsidRPr="000518F3">
        <w:rPr>
          <w:spacing w:val="-4"/>
        </w:rPr>
        <w:t xml:space="preserve"> </w:t>
      </w:r>
      <w:r w:rsidR="00F60C2F" w:rsidRPr="000518F3">
        <w:rPr>
          <w:spacing w:val="-4"/>
        </w:rPr>
        <w:t>T</w:t>
      </w:r>
      <w:r w:rsidR="00FF1F28" w:rsidRPr="000518F3">
        <w:rPr>
          <w:spacing w:val="-4"/>
        </w:rPr>
        <w:t xml:space="preserve">his </w:t>
      </w:r>
      <w:r w:rsidR="00984040" w:rsidRPr="000518F3">
        <w:rPr>
          <w:spacing w:val="-4"/>
        </w:rPr>
        <w:t xml:space="preserve">structure is reflected in the bodies developing and </w:t>
      </w:r>
      <w:r w:rsidR="00972767" w:rsidRPr="000518F3">
        <w:rPr>
          <w:spacing w:val="-4"/>
        </w:rPr>
        <w:t xml:space="preserve">overseeing </w:t>
      </w:r>
      <w:r w:rsidR="000662B7" w:rsidRPr="000518F3">
        <w:rPr>
          <w:spacing w:val="-4"/>
        </w:rPr>
        <w:t>the performance measurement approach</w:t>
      </w:r>
      <w:r w:rsidR="00F939CF" w:rsidRPr="000518F3">
        <w:rPr>
          <w:spacing w:val="-4"/>
        </w:rPr>
        <w:t>:</w:t>
      </w:r>
      <w:r w:rsidR="000662B7" w:rsidRPr="000518F3">
        <w:rPr>
          <w:spacing w:val="-4"/>
        </w:rPr>
        <w:t xml:space="preserve"> the Joint Council, PWG and DRWG. </w:t>
      </w:r>
      <w:r w:rsidR="00747A1C" w:rsidRPr="000518F3">
        <w:rPr>
          <w:spacing w:val="-4"/>
        </w:rPr>
        <w:t xml:space="preserve">However, </w:t>
      </w:r>
      <w:r w:rsidR="00202668" w:rsidRPr="000518F3">
        <w:rPr>
          <w:spacing w:val="-4"/>
        </w:rPr>
        <w:t xml:space="preserve">reference </w:t>
      </w:r>
      <w:r w:rsidR="00151F55" w:rsidRPr="000518F3">
        <w:rPr>
          <w:spacing w:val="-4"/>
        </w:rPr>
        <w:t>to Indigenous data sovereignty in the DDP suggest</w:t>
      </w:r>
      <w:r w:rsidR="00E06F4F" w:rsidRPr="000518F3">
        <w:rPr>
          <w:spacing w:val="-4"/>
        </w:rPr>
        <w:t>s</w:t>
      </w:r>
      <w:r w:rsidR="00151F55" w:rsidRPr="000518F3">
        <w:rPr>
          <w:spacing w:val="-4"/>
        </w:rPr>
        <w:t xml:space="preserve"> </w:t>
      </w:r>
      <w:r w:rsidR="00317BF4" w:rsidRPr="000518F3">
        <w:rPr>
          <w:spacing w:val="-4"/>
        </w:rPr>
        <w:t xml:space="preserve">a broader ambition for </w:t>
      </w:r>
      <w:r w:rsidR="00EE4B0A" w:rsidRPr="000518F3">
        <w:rPr>
          <w:spacing w:val="-4"/>
        </w:rPr>
        <w:t xml:space="preserve">the </w:t>
      </w:r>
      <w:r w:rsidR="00E06F4F" w:rsidRPr="000518F3">
        <w:rPr>
          <w:spacing w:val="-4"/>
        </w:rPr>
        <w:t>governance of</w:t>
      </w:r>
      <w:r w:rsidR="00EE4B0A" w:rsidRPr="000518F3">
        <w:rPr>
          <w:spacing w:val="-4"/>
        </w:rPr>
        <w:t xml:space="preserve"> </w:t>
      </w:r>
      <w:r w:rsidR="00A72A77" w:rsidRPr="000518F3">
        <w:rPr>
          <w:spacing w:val="-4"/>
        </w:rPr>
        <w:t xml:space="preserve">new </w:t>
      </w:r>
      <w:r w:rsidR="008C53BC" w:rsidRPr="000518F3">
        <w:rPr>
          <w:spacing w:val="-4"/>
        </w:rPr>
        <w:t xml:space="preserve">data development for performance </w:t>
      </w:r>
      <w:r w:rsidR="00A74E3D" w:rsidRPr="000518F3">
        <w:rPr>
          <w:spacing w:val="-4"/>
        </w:rPr>
        <w:t>monitoring</w:t>
      </w:r>
      <w:r w:rsidR="004E119C" w:rsidRPr="000518F3">
        <w:rPr>
          <w:spacing w:val="-4"/>
        </w:rPr>
        <w:t>.</w:t>
      </w:r>
      <w:r w:rsidR="00347911" w:rsidRPr="000518F3">
        <w:rPr>
          <w:spacing w:val="-4"/>
        </w:rPr>
        <w:t xml:space="preserve"> </w:t>
      </w:r>
      <w:r w:rsidR="00A6650C" w:rsidRPr="000518F3">
        <w:rPr>
          <w:spacing w:val="-4"/>
        </w:rPr>
        <w:t>Following this</w:t>
      </w:r>
      <w:r w:rsidR="00026555" w:rsidRPr="000518F3">
        <w:rPr>
          <w:spacing w:val="-4"/>
        </w:rPr>
        <w:t xml:space="preserve"> ambition</w:t>
      </w:r>
      <w:r w:rsidR="00A6650C" w:rsidRPr="000518F3">
        <w:rPr>
          <w:spacing w:val="-4"/>
        </w:rPr>
        <w:t xml:space="preserve">, the Coalition of Peaks </w:t>
      </w:r>
      <w:r w:rsidR="00D76442" w:rsidRPr="000518F3">
        <w:rPr>
          <w:spacing w:val="-4"/>
        </w:rPr>
        <w:t>s</w:t>
      </w:r>
      <w:r w:rsidR="0074527C" w:rsidRPr="000518F3">
        <w:rPr>
          <w:spacing w:val="-4"/>
        </w:rPr>
        <w:t>aid</w:t>
      </w:r>
      <w:r w:rsidR="00A6650C" w:rsidRPr="000518F3">
        <w:rPr>
          <w:spacing w:val="-4"/>
        </w:rPr>
        <w:t>:</w:t>
      </w:r>
    </w:p>
    <w:p w14:paraId="594DB004" w14:textId="5635BC7E" w:rsidR="00E42FC9" w:rsidRPr="000518F3" w:rsidRDefault="00E42FC9" w:rsidP="00E42FC9">
      <w:pPr>
        <w:pStyle w:val="Quote"/>
        <w:rPr>
          <w:spacing w:val="-4"/>
        </w:rPr>
      </w:pPr>
      <w:r w:rsidRPr="000518F3">
        <w:rPr>
          <w:spacing w:val="-4"/>
        </w:rPr>
        <w:t xml:space="preserve">There is further work to do to implement the data development plan and to ensure the plan not just look at new, individual data that may be available through existing data collection methods, but to see it as an opportunity to reform how data is identified, collected, managed and used to support performance monitoring under the National Agreement where this is based on the priorities and needs of </w:t>
      </w:r>
      <w:r w:rsidRPr="000518F3">
        <w:rPr>
          <w:spacing w:val="-6"/>
        </w:rPr>
        <w:t>Aboriginal and Torres Strait Islander communities and organisations and where community</w:t>
      </w:r>
      <w:r w:rsidR="00827859" w:rsidRPr="000518F3">
        <w:rPr>
          <w:spacing w:val="-6"/>
        </w:rPr>
        <w:noBreakHyphen/>
      </w:r>
      <w:r w:rsidRPr="000518F3">
        <w:rPr>
          <w:spacing w:val="-6"/>
        </w:rPr>
        <w:t>controlled</w:t>
      </w:r>
      <w:r w:rsidRPr="000518F3">
        <w:rPr>
          <w:spacing w:val="-4"/>
        </w:rPr>
        <w:t xml:space="preserve"> organisations could have a central role. (Coalition of Peaks, pers. </w:t>
      </w:r>
      <w:r w:rsidR="008C5A1E" w:rsidRPr="000518F3">
        <w:rPr>
          <w:spacing w:val="-4"/>
        </w:rPr>
        <w:t>c</w:t>
      </w:r>
      <w:r w:rsidRPr="000518F3">
        <w:rPr>
          <w:spacing w:val="-4"/>
        </w:rPr>
        <w:t>omm., 5</w:t>
      </w:r>
      <w:r w:rsidR="00827859" w:rsidRPr="000518F3">
        <w:rPr>
          <w:spacing w:val="-4"/>
        </w:rPr>
        <w:t> </w:t>
      </w:r>
      <w:r w:rsidRPr="000518F3">
        <w:rPr>
          <w:spacing w:val="-4"/>
        </w:rPr>
        <w:t>July 2023)</w:t>
      </w:r>
    </w:p>
    <w:p w14:paraId="096E903B" w14:textId="5F2F2C15" w:rsidR="00AE4F2E" w:rsidRDefault="0006283A" w:rsidP="00703C5B">
      <w:pPr>
        <w:pStyle w:val="BodyText"/>
      </w:pPr>
      <w:r>
        <w:t xml:space="preserve">This work could draw on Australian and international examples of </w:t>
      </w:r>
      <w:r w:rsidR="006D6945">
        <w:t xml:space="preserve">national data collections that have incorporated </w:t>
      </w:r>
      <w:r w:rsidR="00187F86">
        <w:t xml:space="preserve">Indigenous </w:t>
      </w:r>
      <w:r w:rsidR="002B2123">
        <w:t>d</w:t>
      </w:r>
      <w:r w:rsidR="006D6945">
        <w:t>ata sovereignty principles in their design and implementation</w:t>
      </w:r>
      <w:r w:rsidR="001D6AB0">
        <w:t xml:space="preserve"> </w:t>
      </w:r>
      <w:r w:rsidR="008A4346">
        <w:t>(</w:t>
      </w:r>
      <w:r w:rsidR="00E27A06">
        <w:t>b</w:t>
      </w:r>
      <w:r w:rsidR="008A4346">
        <w:t>ox</w:t>
      </w:r>
      <w:r w:rsidR="005634D7">
        <w:t> </w:t>
      </w:r>
      <w:r w:rsidR="003A2E93">
        <w:t>11</w:t>
      </w:r>
      <w:r w:rsidR="008A4346">
        <w:t xml:space="preserve">) </w:t>
      </w:r>
      <w:r w:rsidR="001D6AB0">
        <w:t xml:space="preserve">and could support </w:t>
      </w:r>
      <w:r w:rsidR="001A1700">
        <w:t>both the</w:t>
      </w:r>
      <w:r w:rsidR="001D6AB0">
        <w:t xml:space="preserve"> development of the monitoring approach and </w:t>
      </w:r>
      <w:r w:rsidR="00E27A06">
        <w:t>P</w:t>
      </w:r>
      <w:r w:rsidR="001D6AB0">
        <w:t xml:space="preserve">riority </w:t>
      </w:r>
      <w:r w:rsidR="00E27A06">
        <w:t>R</w:t>
      </w:r>
      <w:r w:rsidR="001D6AB0">
        <w:t xml:space="preserve">eform </w:t>
      </w:r>
      <w:r w:rsidR="004A4226">
        <w:t>4</w:t>
      </w:r>
      <w:r w:rsidR="00374DBD">
        <w:t xml:space="preserve"> (information paper 5)</w:t>
      </w:r>
      <w:r w:rsidR="006D6945">
        <w:t xml:space="preserve">. </w:t>
      </w:r>
    </w:p>
    <w:p w14:paraId="7AF9BDFD" w14:textId="69B670A3" w:rsidR="007849F9" w:rsidRPr="00F82BD9" w:rsidRDefault="007849F9">
      <w:pPr>
        <w:pStyle w:val="NoSpacing"/>
      </w:pPr>
    </w:p>
    <w:tbl>
      <w:tblPr>
        <w:tblStyle w:val="Boxtable"/>
        <w:tblW w:w="5000" w:type="pct"/>
        <w:tblLook w:val="04A0" w:firstRow="1" w:lastRow="0" w:firstColumn="1" w:lastColumn="0" w:noHBand="0" w:noVBand="1"/>
      </w:tblPr>
      <w:tblGrid>
        <w:gridCol w:w="906"/>
        <w:gridCol w:w="8732"/>
      </w:tblGrid>
      <w:tr w:rsidR="00A778FE" w14:paraId="796119F1" w14:textId="77777777" w:rsidTr="00875617">
        <w:trPr>
          <w:tblHeader/>
        </w:trPr>
        <w:tc>
          <w:tcPr>
            <w:tcW w:w="851" w:type="dxa"/>
            <w:shd w:val="clear" w:color="auto" w:fill="FBF3EC"/>
            <w:tcMar>
              <w:top w:w="170" w:type="dxa"/>
              <w:left w:w="170" w:type="dxa"/>
              <w:bottom w:w="113" w:type="dxa"/>
              <w:right w:w="170" w:type="dxa"/>
            </w:tcMar>
            <w:hideMark/>
          </w:tcPr>
          <w:p w14:paraId="1CE35E28" w14:textId="17CAB379" w:rsidR="00A778FE" w:rsidRDefault="00875617" w:rsidP="00875617">
            <w:pPr>
              <w:pStyle w:val="BoxHeading1"/>
              <w:spacing w:before="120"/>
            </w:pPr>
            <w:r w:rsidRPr="00A031AA">
              <w:rPr>
                <w:b/>
                <w:bCs/>
                <w:noProof/>
              </w:rPr>
              <w:drawing>
                <wp:inline distT="0" distB="0" distL="0" distR="0" wp14:anchorId="5653E7F8" wp14:editId="6BF70C14">
                  <wp:extent cx="360000" cy="424800"/>
                  <wp:effectExtent l="0" t="0" r="0" b="0"/>
                  <wp:docPr id="752597859" name="Picture 752597859" descr="A brown boomerang with red and yellow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16939" name="Picture 1293616939" descr="A brown boomerang with red and yellow do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424800"/>
                          </a:xfrm>
                          <a:prstGeom prst="rect">
                            <a:avLst/>
                          </a:prstGeom>
                        </pic:spPr>
                      </pic:pic>
                    </a:graphicData>
                  </a:graphic>
                </wp:inline>
              </w:drawing>
            </w:r>
          </w:p>
        </w:tc>
        <w:tc>
          <w:tcPr>
            <w:tcW w:w="8787" w:type="dxa"/>
            <w:shd w:val="clear" w:color="auto" w:fill="FBF3EC"/>
          </w:tcPr>
          <w:p w14:paraId="59FA7B82" w14:textId="210E759B" w:rsidR="00A778FE" w:rsidRDefault="00A778FE">
            <w:pPr>
              <w:pStyle w:val="BoxHeading1"/>
            </w:pPr>
            <w:r>
              <w:t>Box </w:t>
            </w:r>
            <w:r>
              <w:rPr>
                <w:noProof/>
              </w:rPr>
              <w:t>11</w:t>
            </w:r>
            <w:r>
              <w:t xml:space="preserve"> – National Indigenous data collections delivered through data sovereignty principles in Australia and abroad</w:t>
            </w:r>
          </w:p>
        </w:tc>
      </w:tr>
      <w:tr w:rsidR="007849F9" w14:paraId="5885488A" w14:textId="77777777" w:rsidTr="00875617">
        <w:tc>
          <w:tcPr>
            <w:tcW w:w="9638" w:type="dxa"/>
            <w:gridSpan w:val="2"/>
            <w:shd w:val="clear" w:color="auto" w:fill="FBF3EC"/>
            <w:tcMar>
              <w:top w:w="28" w:type="dxa"/>
              <w:left w:w="170" w:type="dxa"/>
              <w:bottom w:w="170" w:type="dxa"/>
              <w:right w:w="170" w:type="dxa"/>
            </w:tcMar>
            <w:hideMark/>
          </w:tcPr>
          <w:p w14:paraId="268C41C0" w14:textId="5C8DCAF9" w:rsidR="007849F9" w:rsidRDefault="007849F9" w:rsidP="007849F9">
            <w:pPr>
              <w:pStyle w:val="BodyText"/>
            </w:pPr>
            <w:r>
              <w:t xml:space="preserve">In Australia, the </w:t>
            </w:r>
            <w:r w:rsidRPr="007309C1">
              <w:rPr>
                <w:b/>
              </w:rPr>
              <w:t>Mayi Kuwayu National Study of Aboriginal and Torres Strait Islander Wellbeing</w:t>
            </w:r>
            <w:r>
              <w:t xml:space="preserve"> is a longitudinal study of the links between culture and wellbeing, developed by Aboriginal </w:t>
            </w:r>
            <w:r w:rsidR="003E569A">
              <w:t>and Torres Strait Islander</w:t>
            </w:r>
            <w:r>
              <w:t xml:space="preserve"> researchers at the Australian National University in partnership with Aboriginal and Torres Strait Islander communities</w:t>
            </w:r>
            <w:r w:rsidR="0071160C">
              <w:t>, researchers and organisations</w:t>
            </w:r>
            <w:r>
              <w:t xml:space="preserve">, following </w:t>
            </w:r>
            <w:r w:rsidR="00E11EFD">
              <w:t xml:space="preserve">Indigenous </w:t>
            </w:r>
            <w:r w:rsidR="002B2123">
              <w:t>d</w:t>
            </w:r>
            <w:r>
              <w:t xml:space="preserve">ata </w:t>
            </w:r>
            <w:r w:rsidR="002B2123">
              <w:t>s</w:t>
            </w:r>
            <w:r>
              <w:t>overeignty principles</w:t>
            </w:r>
            <w:r w:rsidR="00E02C19">
              <w:t xml:space="preserve"> </w:t>
            </w:r>
            <w:r w:rsidR="00796D26" w:rsidRPr="00796D26">
              <w:rPr>
                <w:rFonts w:ascii="Arial" w:hAnsi="Arial" w:cs="Arial"/>
                <w:szCs w:val="24"/>
              </w:rPr>
              <w:t>(Bourke et al. 2022, pp. 2–3)</w:t>
            </w:r>
            <w:r>
              <w:t>. It includes items on the cultural, social and political determinants of health and wellbeing relevant to the Agreement’s monitoring approach and measurement of outcomes under the Priority Reforms, such as experiences of local governance, decision</w:t>
            </w:r>
            <w:r w:rsidR="00827859">
              <w:noBreakHyphen/>
            </w:r>
            <w:r>
              <w:t>making and racism.</w:t>
            </w:r>
          </w:p>
          <w:p w14:paraId="6DC3183F" w14:textId="344A2F2A" w:rsidR="007849F9" w:rsidRDefault="007849F9" w:rsidP="007849F9">
            <w:pPr>
              <w:pStyle w:val="BodyText"/>
            </w:pPr>
            <w:r>
              <w:t xml:space="preserve">In Canada, national surveys of First Nations people have been administered through </w:t>
            </w:r>
            <w:r w:rsidRPr="00317CD1">
              <w:t>the</w:t>
            </w:r>
            <w:r w:rsidRPr="007309C1">
              <w:rPr>
                <w:b/>
              </w:rPr>
              <w:t xml:space="preserve"> First Nations Information Governance Centre</w:t>
            </w:r>
            <w:r>
              <w:t xml:space="preserve"> and bodies preceding it since 1996. That year, the </w:t>
            </w:r>
            <w:r w:rsidRPr="007309C1">
              <w:rPr>
                <w:i/>
              </w:rPr>
              <w:t>Report o</w:t>
            </w:r>
            <w:r w:rsidR="007259DB">
              <w:rPr>
                <w:i/>
              </w:rPr>
              <w:t>f</w:t>
            </w:r>
            <w:r w:rsidRPr="007309C1">
              <w:rPr>
                <w:i/>
              </w:rPr>
              <w:t xml:space="preserve"> the Royal Commission on Aboriginal Peoples</w:t>
            </w:r>
            <w:r>
              <w:t xml:space="preserve"> recommended</w:t>
            </w:r>
            <w:r w:rsidR="001669A3">
              <w:t xml:space="preserve"> that</w:t>
            </w:r>
            <w:r>
              <w:t>:</w:t>
            </w:r>
          </w:p>
          <w:p w14:paraId="70861D3F" w14:textId="4456C194" w:rsidR="007849F9" w:rsidRDefault="007849F9" w:rsidP="007849F9">
            <w:pPr>
              <w:pStyle w:val="Quote"/>
            </w:pPr>
            <w:r w:rsidRPr="00941B14">
              <w:t>First Nations, Inuit and Métis leaders establish a working group, funded by the federal government, with a two</w:t>
            </w:r>
            <w:r w:rsidR="00827859">
              <w:noBreakHyphen/>
            </w:r>
            <w:r w:rsidRPr="00941B14">
              <w:t>year mandate to plan a statistical clearinghouse controlled by Aboriginal people to: a) work in collaboration with Aboriginal governments and organizations to establish and update statistical data bases; and b) promote common strategies across nations and communities for collecting and analy</w:t>
            </w:r>
            <w:r w:rsidR="002B79DC">
              <w:t>z</w:t>
            </w:r>
            <w:r w:rsidRPr="00941B14">
              <w:t>ing data relevant to Aboriginal development goals</w:t>
            </w:r>
            <w:r w:rsidR="001A1F50">
              <w:t>.</w:t>
            </w:r>
            <w:r w:rsidR="00F85088">
              <w:t xml:space="preserve"> </w:t>
            </w:r>
            <w:r w:rsidR="00755C67" w:rsidRPr="00755C67">
              <w:rPr>
                <w:rFonts w:ascii="Arial" w:hAnsi="Arial" w:cs="Arial"/>
                <w:szCs w:val="24"/>
              </w:rPr>
              <w:t>(Royal Commission on Aboriginal Peoples, Canada 1996, p. 218)</w:t>
            </w:r>
            <w:r w:rsidR="000C3CA3">
              <w:t xml:space="preserve"> </w:t>
            </w:r>
          </w:p>
          <w:p w14:paraId="2F548529" w14:textId="475AF907" w:rsidR="007849F9" w:rsidRDefault="007849F9" w:rsidP="00571A47">
            <w:pPr>
              <w:pStyle w:val="BodyText"/>
            </w:pPr>
            <w:r>
              <w:lastRenderedPageBreak/>
              <w:t>Th</w:t>
            </w:r>
            <w:r w:rsidR="00B62427">
              <w:t>is</w:t>
            </w:r>
            <w:r>
              <w:t xml:space="preserve"> led to the development of the only First Nations</w:t>
            </w:r>
            <w:r w:rsidR="00827859">
              <w:noBreakHyphen/>
            </w:r>
            <w:r>
              <w:t xml:space="preserve">governed </w:t>
            </w:r>
            <w:r w:rsidR="009C74E2">
              <w:t xml:space="preserve">national </w:t>
            </w:r>
            <w:r>
              <w:t>health survey in Canada and the First Nations OCAP principles</w:t>
            </w:r>
            <w:r w:rsidR="001669A3">
              <w:t xml:space="preserve"> </w:t>
            </w:r>
            <w:r w:rsidR="00A11F6F">
              <w:t>governing First Nations’ data and information</w:t>
            </w:r>
            <w:r w:rsidR="001669A3">
              <w:t xml:space="preserve"> (OCAP stands</w:t>
            </w:r>
            <w:r>
              <w:t xml:space="preserve"> for ownership, control, access and possession</w:t>
            </w:r>
            <w:r w:rsidR="001669A3">
              <w:t>)</w:t>
            </w:r>
            <w:r w:rsidR="007309C1">
              <w:t xml:space="preserve"> </w:t>
            </w:r>
            <w:r w:rsidR="00194654" w:rsidRPr="00194654">
              <w:rPr>
                <w:rFonts w:ascii="Arial" w:hAnsi="Arial" w:cs="Arial"/>
                <w:szCs w:val="24"/>
              </w:rPr>
              <w:t>(First Nations Information Governance Centre 2023b)</w:t>
            </w:r>
            <w:r>
              <w:t xml:space="preserve">. </w:t>
            </w:r>
            <w:r w:rsidR="001669A3">
              <w:t>To impleme</w:t>
            </w:r>
            <w:r w:rsidR="0017474B">
              <w:t>nt</w:t>
            </w:r>
            <w:r>
              <w:t xml:space="preserve"> these principles, the First Nations Information Governance Centre partners with communities to deliver national surveys that reflect the information needs of each nation and can be used by each nation for their own purposes or aggregated to provide a national picture. Since the original health survey, </w:t>
            </w:r>
            <w:r w:rsidR="00CE791F">
              <w:t>data collection</w:t>
            </w:r>
            <w:r>
              <w:t xml:space="preserve"> has expanded to </w:t>
            </w:r>
            <w:r w:rsidR="00EE507C">
              <w:t xml:space="preserve">include </w:t>
            </w:r>
            <w:r>
              <w:t>surveys on early childhood</w:t>
            </w:r>
            <w:r w:rsidR="002D66F1">
              <w:t>,</w:t>
            </w:r>
            <w:r>
              <w:t xml:space="preserve"> education, labour and employment, oral health and community</w:t>
            </w:r>
            <w:r w:rsidR="00194654">
              <w:t xml:space="preserve"> </w:t>
            </w:r>
            <w:r w:rsidR="00194654" w:rsidRPr="00194654">
              <w:rPr>
                <w:rFonts w:ascii="Arial" w:hAnsi="Arial" w:cs="Arial"/>
                <w:szCs w:val="24"/>
              </w:rPr>
              <w:t>(First Nations Information Governance Centre 2023a)</w:t>
            </w:r>
            <w:r>
              <w:t xml:space="preserve">. </w:t>
            </w:r>
          </w:p>
        </w:tc>
      </w:tr>
      <w:tr w:rsidR="007849F9" w14:paraId="113A3DFC" w14:textId="77777777">
        <w:trPr>
          <w:hidden/>
        </w:trPr>
        <w:tc>
          <w:tcPr>
            <w:tcW w:w="9638" w:type="dxa"/>
            <w:gridSpan w:val="2"/>
            <w:shd w:val="clear" w:color="auto" w:fill="auto"/>
            <w:tcMar>
              <w:top w:w="0" w:type="dxa"/>
              <w:left w:w="170" w:type="dxa"/>
              <w:bottom w:w="0" w:type="dxa"/>
              <w:right w:w="170" w:type="dxa"/>
            </w:tcMar>
          </w:tcPr>
          <w:p w14:paraId="0C3CBD63" w14:textId="170C1122" w:rsidR="007849F9" w:rsidRPr="00465191" w:rsidRDefault="007849F9">
            <w:pPr>
              <w:pStyle w:val="BodyText"/>
              <w:spacing w:before="0" w:after="0" w:line="80" w:lineRule="atLeast"/>
              <w:rPr>
                <w:smallCaps/>
                <w:vanish/>
              </w:rPr>
            </w:pPr>
          </w:p>
        </w:tc>
      </w:tr>
    </w:tbl>
    <w:p w14:paraId="5158C720" w14:textId="44C8CED1" w:rsidR="00B80C20" w:rsidRDefault="00B80C20" w:rsidP="00FA7C88">
      <w:pPr>
        <w:pStyle w:val="NoSpacing"/>
      </w:pPr>
    </w:p>
    <w:tbl>
      <w:tblPr>
        <w:tblStyle w:val="Texttable-Paleblue"/>
        <w:tblW w:w="5000" w:type="pct"/>
        <w:tblLook w:val="04A0" w:firstRow="1" w:lastRow="0" w:firstColumn="1" w:lastColumn="0" w:noHBand="0" w:noVBand="1"/>
      </w:tblPr>
      <w:tblGrid>
        <w:gridCol w:w="792"/>
        <w:gridCol w:w="8846"/>
      </w:tblGrid>
      <w:tr w:rsidR="00B80C20" w14:paraId="1606D51A" w14:textId="77777777" w:rsidTr="00B80C20">
        <w:trPr>
          <w:tblHeader/>
        </w:trPr>
        <w:tc>
          <w:tcPr>
            <w:tcW w:w="709" w:type="dxa"/>
            <w:shd w:val="clear" w:color="auto" w:fill="FBF3EC"/>
            <w:tcMar>
              <w:top w:w="0" w:type="dxa"/>
              <w:bottom w:w="0" w:type="dxa"/>
            </w:tcMar>
            <w:vAlign w:val="center"/>
          </w:tcPr>
          <w:p w14:paraId="55DBFBED" w14:textId="2B10F4FC" w:rsidR="00B80C20" w:rsidRDefault="00B80C20" w:rsidP="00780111">
            <w:pPr>
              <w:keepLines/>
              <w:jc w:val="center"/>
            </w:pPr>
            <w:r w:rsidRPr="00A51374">
              <w:rPr>
                <w:noProof/>
              </w:rPr>
              <w:drawing>
                <wp:inline distT="0" distB="0" distL="0" distR="0" wp14:anchorId="44933D31" wp14:editId="5F9F5761">
                  <wp:extent cx="360000" cy="360000"/>
                  <wp:effectExtent l="0" t="0" r="0" b="0"/>
                  <wp:docPr id="2080479721" name="Picture 20804797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9299" name="Graphic 99519299">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74" w:type="dxa"/>
            <w:shd w:val="clear" w:color="auto" w:fill="FBF3EC"/>
            <w:tcMar>
              <w:top w:w="0" w:type="dxa"/>
              <w:bottom w:w="0" w:type="dxa"/>
            </w:tcMar>
            <w:vAlign w:val="center"/>
          </w:tcPr>
          <w:p w14:paraId="57C8F0B2" w14:textId="77777777" w:rsidR="00B80C20" w:rsidRPr="00907364" w:rsidRDefault="00B80C20" w:rsidP="00B80C20">
            <w:pPr>
              <w:pStyle w:val="TableHeading"/>
              <w:keepLines/>
              <w:spacing w:before="120"/>
              <w:contextualSpacing/>
              <w:rPr>
                <w:color w:val="134882"/>
                <w:sz w:val="20"/>
                <w:szCs w:val="22"/>
              </w:rPr>
            </w:pPr>
            <w:r w:rsidRPr="00907364">
              <w:rPr>
                <w:color w:val="134882"/>
                <w:sz w:val="20"/>
                <w:szCs w:val="22"/>
              </w:rPr>
              <w:t>Draft recommendation 1</w:t>
            </w:r>
          </w:p>
          <w:p w14:paraId="43EA7E94" w14:textId="52C6B5FA" w:rsidR="00B80C20" w:rsidRPr="00715040" w:rsidRDefault="00B80C20" w:rsidP="00B80C20">
            <w:pPr>
              <w:pStyle w:val="TableHeading"/>
              <w:keepLines/>
              <w:spacing w:before="120" w:after="120"/>
              <w:contextualSpacing/>
              <w:rPr>
                <w:sz w:val="20"/>
              </w:rPr>
            </w:pPr>
            <w:r w:rsidRPr="00907364">
              <w:rPr>
                <w:color w:val="134882"/>
                <w:sz w:val="20"/>
                <w:szCs w:val="22"/>
              </w:rPr>
              <w:t>Appointing an organisation to lead data development under the Agreement</w:t>
            </w:r>
          </w:p>
        </w:tc>
      </w:tr>
      <w:tr w:rsidR="00B80C20" w14:paraId="1980ABE8" w14:textId="77777777" w:rsidTr="00B80C20">
        <w:tc>
          <w:tcPr>
            <w:tcW w:w="9583" w:type="dxa"/>
            <w:gridSpan w:val="2"/>
            <w:shd w:val="clear" w:color="auto" w:fill="FBF3EC"/>
            <w:tcMar>
              <w:top w:w="0" w:type="dxa"/>
            </w:tcMar>
          </w:tcPr>
          <w:p w14:paraId="052972B4" w14:textId="77777777" w:rsidR="00B80C20" w:rsidRDefault="00B80C20" w:rsidP="00B80C20">
            <w:pPr>
              <w:pStyle w:val="BodyText"/>
              <w:keepNext/>
              <w:keepLines/>
            </w:pPr>
            <w:r w:rsidRPr="007C5806">
              <w:t xml:space="preserve">Responsibility for data development under the Agreement is currently split across multiple working groups and organisations, including the Productivity Commission. Without stronger data governance arrangements, there is a risk that the most important data to tracking progress under the Agreement will not be prioritised and developed. </w:t>
            </w:r>
          </w:p>
          <w:p w14:paraId="22220915" w14:textId="77777777" w:rsidR="00B80C20" w:rsidRPr="007C5806" w:rsidRDefault="00B80C20" w:rsidP="00B80C20">
            <w:pPr>
              <w:pStyle w:val="BodyText"/>
              <w:keepNext/>
              <w:keepLines/>
            </w:pPr>
            <w:r w:rsidRPr="007C5806">
              <w:rPr>
                <w:b/>
                <w:bCs/>
              </w:rPr>
              <w:t xml:space="preserve">An </w:t>
            </w:r>
            <w:r w:rsidRPr="007C5806">
              <w:rPr>
                <w:b/>
              </w:rPr>
              <w:t>organisation</w:t>
            </w:r>
            <w:r w:rsidRPr="007C5806">
              <w:rPr>
                <w:b/>
                <w:bCs/>
              </w:rPr>
              <w:t xml:space="preserve"> </w:t>
            </w:r>
            <w:r>
              <w:rPr>
                <w:b/>
                <w:bCs/>
              </w:rPr>
              <w:t>or entity</w:t>
            </w:r>
            <w:r w:rsidRPr="007C5806">
              <w:rPr>
                <w:b/>
                <w:bCs/>
              </w:rPr>
              <w:t xml:space="preserve"> with dedicated resourcing and staffing to lead data development should be appointed</w:t>
            </w:r>
            <w:r w:rsidRPr="007C5806">
              <w:t xml:space="preserve">. </w:t>
            </w:r>
            <w:r>
              <w:t xml:space="preserve">The organisation should have the technical and cultural capability, resourcing and authority to lead this work and engage data custodians and Aboriginal and Torres Strait Islander organisations and communities in the development of appropriate solutions. </w:t>
            </w:r>
            <w:r w:rsidRPr="007C5806">
              <w:t xml:space="preserve">There are many possible options for the organisation, </w:t>
            </w:r>
            <w:r>
              <w:t xml:space="preserve">including </w:t>
            </w:r>
            <w:r w:rsidRPr="007C5806">
              <w:t>a</w:t>
            </w:r>
            <w:r>
              <w:t>n independent research centre,</w:t>
            </w:r>
            <w:r w:rsidRPr="007C5806">
              <w:t xml:space="preserve"> </w:t>
            </w:r>
            <w:r w:rsidRPr="00D14902">
              <w:t xml:space="preserve">government department, independent government agency, </w:t>
            </w:r>
            <w:r>
              <w:t xml:space="preserve">or </w:t>
            </w:r>
            <w:r w:rsidRPr="00D14902">
              <w:t>a unit within a department or agency.</w:t>
            </w:r>
          </w:p>
          <w:p w14:paraId="0EC32C1F" w14:textId="77777777" w:rsidR="00B80C20" w:rsidRDefault="00B80C20" w:rsidP="00B80C20">
            <w:pPr>
              <w:pStyle w:val="BodyText"/>
              <w:keepNext/>
              <w:keepLines/>
            </w:pPr>
            <w:r>
              <w:t>The chosen organisation’s responsibilities should include leading work with parties to the Agreement to:</w:t>
            </w:r>
          </w:p>
          <w:p w14:paraId="70804B4B" w14:textId="1BBEA9A5" w:rsidR="00B80C20" w:rsidRDefault="00B80C20" w:rsidP="00AE67E4">
            <w:pPr>
              <w:pStyle w:val="ListBullet"/>
              <w:keepLines/>
              <w:numPr>
                <w:ilvl w:val="0"/>
                <w:numId w:val="18"/>
              </w:numPr>
            </w:pPr>
            <w:r>
              <w:t xml:space="preserve">develop a shared understanding and explicitly articulate </w:t>
            </w:r>
            <w:r w:rsidRPr="00E54CD3">
              <w:rPr>
                <w:b/>
                <w:bCs/>
              </w:rPr>
              <w:t>a conceptual logic underpinning the performance monitoring approach</w:t>
            </w:r>
            <w:r>
              <w:t>. This should connect key reform actions and outputs under the Priority Reforms to the resulting intermediate outcomes intended to drive improvements in Aboriginal and Torres Strait Islander life outcomes. Intermediate outcomes should include common drivers of change across the socio</w:t>
            </w:r>
            <w:r>
              <w:noBreakHyphen/>
              <w:t>economic outcomes, where appropriate</w:t>
            </w:r>
          </w:p>
          <w:p w14:paraId="04D578A2" w14:textId="77777777" w:rsidR="00B80C20" w:rsidRDefault="00B80C20" w:rsidP="00AE67E4">
            <w:pPr>
              <w:pStyle w:val="ListBullet"/>
              <w:keepLines/>
              <w:numPr>
                <w:ilvl w:val="0"/>
                <w:numId w:val="18"/>
              </w:numPr>
            </w:pPr>
            <w:r>
              <w:t xml:space="preserve">identify the most </w:t>
            </w:r>
            <w:r w:rsidRPr="00A8692F">
              <w:rPr>
                <w:b/>
                <w:bCs/>
              </w:rPr>
              <w:t>critical indicators of change</w:t>
            </w:r>
            <w:r>
              <w:t xml:space="preserve"> under the Agreement and prioritise them for data development, following the conceptual logic</w:t>
            </w:r>
          </w:p>
          <w:p w14:paraId="0C81800C" w14:textId="77777777" w:rsidR="00B80C20" w:rsidRDefault="00B80C20" w:rsidP="00AE67E4">
            <w:pPr>
              <w:pStyle w:val="ListBullet"/>
              <w:keepLines/>
              <w:numPr>
                <w:ilvl w:val="0"/>
                <w:numId w:val="18"/>
              </w:numPr>
            </w:pPr>
            <w:r>
              <w:t xml:space="preserve">determine the most </w:t>
            </w:r>
            <w:r w:rsidRPr="00A8692F">
              <w:rPr>
                <w:b/>
                <w:bCs/>
              </w:rPr>
              <w:t>appropriate level of geographic data disaggregation</w:t>
            </w:r>
            <w:r>
              <w:t xml:space="preserve"> to hold jurisdictions to account for progress at a regional level, balancing community needs and data limitations</w:t>
            </w:r>
          </w:p>
          <w:p w14:paraId="281DC7A4" w14:textId="5F1A11BE" w:rsidR="00B80C20" w:rsidRPr="00767EAE" w:rsidRDefault="00B80C20" w:rsidP="00AE67E4">
            <w:pPr>
              <w:pStyle w:val="ListBullet"/>
              <w:keepLines/>
              <w:numPr>
                <w:ilvl w:val="0"/>
                <w:numId w:val="18"/>
              </w:numPr>
            </w:pPr>
            <w:r>
              <w:t xml:space="preserve">coordinate and </w:t>
            </w:r>
            <w:r w:rsidRPr="00A8692F">
              <w:rPr>
                <w:b/>
                <w:bCs/>
              </w:rPr>
              <w:t xml:space="preserve">develop solutions for indicators without data </w:t>
            </w:r>
            <w:r>
              <w:t>with data custodians and Aboriginal and Torres Strait Islander organisations and communities.</w:t>
            </w:r>
          </w:p>
        </w:tc>
      </w:tr>
      <w:tr w:rsidR="00B80C20" w14:paraId="22F24426" w14:textId="77777777" w:rsidTr="00362E14">
        <w:tc>
          <w:tcPr>
            <w:tcW w:w="9583" w:type="dxa"/>
            <w:gridSpan w:val="2"/>
            <w:shd w:val="clear" w:color="auto" w:fill="auto"/>
            <w:tcMar>
              <w:top w:w="0" w:type="dxa"/>
              <w:bottom w:w="0" w:type="dxa"/>
            </w:tcMar>
          </w:tcPr>
          <w:p w14:paraId="784FA823" w14:textId="66B3056F" w:rsidR="00B80C20" w:rsidRPr="007E0EA8" w:rsidRDefault="00B80C20" w:rsidP="00C2508D">
            <w:pPr>
              <w:pStyle w:val="NoSpacing"/>
              <w:spacing w:line="200" w:lineRule="exact"/>
            </w:pPr>
          </w:p>
        </w:tc>
      </w:tr>
    </w:tbl>
    <w:p w14:paraId="29964DFA" w14:textId="6164E868" w:rsidR="00B80C20" w:rsidRDefault="00B80C20" w:rsidP="00054C30">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82"/>
        <w:gridCol w:w="8856"/>
      </w:tblGrid>
      <w:tr w:rsidR="00B80C20" w14:paraId="2E12CBBA" w14:textId="77777777" w:rsidTr="00F538AE">
        <w:trPr>
          <w:trHeight w:val="765"/>
          <w:tblHeader/>
        </w:trPr>
        <w:tc>
          <w:tcPr>
            <w:tcW w:w="366" w:type="pct"/>
            <w:shd w:val="clear" w:color="auto" w:fill="FBF3EC"/>
            <w:tcMar>
              <w:bottom w:w="0" w:type="dxa"/>
            </w:tcMar>
            <w:vAlign w:val="center"/>
          </w:tcPr>
          <w:p w14:paraId="063A2F83" w14:textId="7BA1B5F5" w:rsidR="00B80C20" w:rsidRPr="00F538AE" w:rsidRDefault="00F538AE" w:rsidP="008F4890">
            <w:pPr>
              <w:pStyle w:val="NoSpacing"/>
              <w:keepNext/>
              <w:keepLines/>
              <w:jc w:val="right"/>
              <w:rPr>
                <w:color w:val="0D8380" w:themeColor="background2"/>
              </w:rPr>
            </w:pPr>
            <w:r w:rsidRPr="00F538AE">
              <w:rPr>
                <w:noProof/>
                <w:color w:val="0D8380" w:themeColor="background2"/>
              </w:rPr>
              <w:lastRenderedPageBreak/>
              <w:drawing>
                <wp:inline distT="0" distB="0" distL="0" distR="0" wp14:anchorId="05CE81CE" wp14:editId="5E566160">
                  <wp:extent cx="359508" cy="359508"/>
                  <wp:effectExtent l="0" t="0" r="0" b="0"/>
                  <wp:docPr id="208990844" name="Picture 208990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0844" name="Graphic 208990844">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8140" cy="368140"/>
                          </a:xfrm>
                          <a:prstGeom prst="rect">
                            <a:avLst/>
                          </a:prstGeom>
                        </pic:spPr>
                      </pic:pic>
                    </a:graphicData>
                  </a:graphic>
                </wp:inline>
              </w:drawing>
            </w:r>
          </w:p>
        </w:tc>
        <w:tc>
          <w:tcPr>
            <w:tcW w:w="4634" w:type="pct"/>
            <w:shd w:val="clear" w:color="auto" w:fill="FBF3EC"/>
            <w:tcMar>
              <w:bottom w:w="0" w:type="dxa"/>
            </w:tcMar>
            <w:vAlign w:val="center"/>
          </w:tcPr>
          <w:p w14:paraId="5B8522BE" w14:textId="77777777" w:rsidR="00F538AE" w:rsidRPr="00F538AE" w:rsidRDefault="00F538AE" w:rsidP="00F538AE">
            <w:pPr>
              <w:pStyle w:val="TableHeading"/>
              <w:keepNext/>
              <w:keepLines/>
              <w:spacing w:before="120"/>
              <w:contextualSpacing/>
              <w:rPr>
                <w:color w:val="0D8380" w:themeColor="background2"/>
                <w:sz w:val="20"/>
                <w:szCs w:val="22"/>
              </w:rPr>
            </w:pPr>
            <w:r w:rsidRPr="00F538AE">
              <w:rPr>
                <w:color w:val="0D8380" w:themeColor="background2"/>
                <w:sz w:val="20"/>
                <w:szCs w:val="22"/>
              </w:rPr>
              <w:t>Information request 6</w:t>
            </w:r>
          </w:p>
          <w:p w14:paraId="013D7735" w14:textId="1D92C059" w:rsidR="00B80C20" w:rsidRPr="00F538AE" w:rsidRDefault="00F538AE" w:rsidP="00F538AE">
            <w:pPr>
              <w:pStyle w:val="TableHeading"/>
              <w:keepNext/>
              <w:keepLines/>
              <w:spacing w:before="120" w:after="120"/>
              <w:contextualSpacing/>
              <w:rPr>
                <w:color w:val="0D8380" w:themeColor="background2"/>
                <w:sz w:val="20"/>
              </w:rPr>
            </w:pPr>
            <w:r w:rsidRPr="00F538AE">
              <w:rPr>
                <w:color w:val="0D8380" w:themeColor="background2"/>
                <w:sz w:val="20"/>
                <w:szCs w:val="22"/>
              </w:rPr>
              <w:t>Characteristics of the organisation to lead data development under the Agreement</w:t>
            </w:r>
          </w:p>
        </w:tc>
      </w:tr>
      <w:tr w:rsidR="00B80C20" w14:paraId="01E7E066" w14:textId="77777777" w:rsidTr="00F538AE">
        <w:tc>
          <w:tcPr>
            <w:tcW w:w="5000" w:type="pct"/>
            <w:gridSpan w:val="2"/>
            <w:shd w:val="clear" w:color="auto" w:fill="FBF3EC"/>
          </w:tcPr>
          <w:p w14:paraId="0C9EA9A8" w14:textId="77777777" w:rsidR="00F538AE" w:rsidRPr="00F538AE" w:rsidRDefault="00F538AE" w:rsidP="00F538AE">
            <w:pPr>
              <w:pStyle w:val="BodyText"/>
              <w:keepNext/>
              <w:keepLines/>
              <w:rPr>
                <w:color w:val="000000" w:themeColor="text1"/>
              </w:rPr>
            </w:pPr>
            <w:r w:rsidRPr="00F538AE">
              <w:rPr>
                <w:color w:val="000000" w:themeColor="text1"/>
              </w:rPr>
              <w:t>If an organisation (such as an independent research centre, government department, independent government agency, or a unit within a department or agency) is appointed to lead data development work to track progress under the Agreement (as per draft recommendation 1):</w:t>
            </w:r>
          </w:p>
          <w:p w14:paraId="3DDF5B8A" w14:textId="77777777" w:rsidR="00F538AE" w:rsidRPr="00F538AE" w:rsidRDefault="00F538AE" w:rsidP="00F538AE">
            <w:pPr>
              <w:pStyle w:val="ListBullet"/>
              <w:rPr>
                <w:color w:val="000000" w:themeColor="text1"/>
              </w:rPr>
            </w:pPr>
            <w:r w:rsidRPr="00F538AE">
              <w:rPr>
                <w:color w:val="000000" w:themeColor="text1"/>
              </w:rPr>
              <w:t>What governance structure would ensure it has the authority and capability to deliver?</w:t>
            </w:r>
          </w:p>
          <w:p w14:paraId="3CC78EDF" w14:textId="77777777" w:rsidR="00F538AE" w:rsidRPr="00F538AE" w:rsidRDefault="00F538AE" w:rsidP="00F538AE">
            <w:pPr>
              <w:pStyle w:val="ListBullet"/>
              <w:rPr>
                <w:color w:val="000000" w:themeColor="text1"/>
              </w:rPr>
            </w:pPr>
            <w:r w:rsidRPr="00F538AE">
              <w:rPr>
                <w:color w:val="000000" w:themeColor="text1"/>
              </w:rPr>
              <w:t>What capabilities, skills or attributes should the organisation’s leadership and staff have?</w:t>
            </w:r>
          </w:p>
          <w:p w14:paraId="221E5D24" w14:textId="4EC0D215" w:rsidR="00B80C20" w:rsidRDefault="00F538AE" w:rsidP="00AD2413">
            <w:pPr>
              <w:pStyle w:val="ListBullet"/>
            </w:pPr>
            <w:r w:rsidRPr="00F538AE">
              <w:rPr>
                <w:color w:val="000000" w:themeColor="text1"/>
              </w:rPr>
              <w:t>How might it apply principles of Indigenous data sovereignty and governance in data development?</w:t>
            </w:r>
          </w:p>
        </w:tc>
      </w:tr>
      <w:tr w:rsidR="00B80C20" w14:paraId="68191210" w14:textId="77777777" w:rsidTr="00054C30">
        <w:tc>
          <w:tcPr>
            <w:tcW w:w="5000" w:type="pct"/>
            <w:gridSpan w:val="2"/>
            <w:tcMar>
              <w:bottom w:w="0" w:type="dxa"/>
            </w:tcMar>
          </w:tcPr>
          <w:p w14:paraId="37984843" w14:textId="7734BE83" w:rsidR="00B80C20" w:rsidRDefault="00B80C20" w:rsidP="008F4890">
            <w:pPr>
              <w:pStyle w:val="NoSpacing"/>
              <w:spacing w:line="200" w:lineRule="atLeast"/>
            </w:pPr>
          </w:p>
        </w:tc>
      </w:tr>
    </w:tbl>
    <w:p w14:paraId="2D330C8F" w14:textId="22A093F5" w:rsidR="0056073F" w:rsidRDefault="004B678C" w:rsidP="004B678C">
      <w:pPr>
        <w:pStyle w:val="Heading2"/>
        <w:numPr>
          <w:ilvl w:val="0"/>
          <w:numId w:val="0"/>
        </w:numPr>
        <w:ind w:left="720" w:hanging="720"/>
      </w:pPr>
      <w:bookmarkStart w:id="13" w:name="_Toc140484720"/>
      <w:r>
        <w:t>6</w:t>
      </w:r>
      <w:r>
        <w:tab/>
      </w:r>
      <w:r w:rsidR="009E26AE" w:rsidRPr="00ED7FB2">
        <w:t>Is</w:t>
      </w:r>
      <w:r w:rsidR="009E26AE">
        <w:t xml:space="preserve"> </w:t>
      </w:r>
      <w:r w:rsidR="006857F9">
        <w:t>r</w:t>
      </w:r>
      <w:r w:rsidR="00465452">
        <w:t xml:space="preserve">eporting </w:t>
      </w:r>
      <w:r w:rsidR="00247AEC">
        <w:t xml:space="preserve">providing </w:t>
      </w:r>
      <w:r w:rsidR="009F2CE7">
        <w:t>the information that is needed</w:t>
      </w:r>
      <w:r w:rsidR="004410FB">
        <w:t xml:space="preserve"> in an accessible way</w:t>
      </w:r>
      <w:r w:rsidR="009F2CE7">
        <w:t>?</w:t>
      </w:r>
      <w:bookmarkEnd w:id="13"/>
    </w:p>
    <w:p w14:paraId="53C97A49" w14:textId="6A13353C" w:rsidR="006379B6" w:rsidRDefault="00C82E04" w:rsidP="00D518A2">
      <w:pPr>
        <w:pStyle w:val="BodyText"/>
      </w:pPr>
      <w:r w:rsidRPr="00B16E51">
        <w:t xml:space="preserve">The parties have committed to rigorously set out </w:t>
      </w:r>
      <w:r w:rsidR="00E806CF" w:rsidRPr="00B16E51">
        <w:t>how</w:t>
      </w:r>
      <w:r w:rsidRPr="00B16E51">
        <w:t xml:space="preserve"> they will implement the Agreement and publicly repor</w:t>
      </w:r>
      <w:r w:rsidR="001656A9">
        <w:t>t</w:t>
      </w:r>
      <w:r w:rsidRPr="00B16E51">
        <w:t xml:space="preserve"> on their actions and progress.</w:t>
      </w:r>
      <w:r w:rsidR="00FD2720">
        <w:t xml:space="preserve"> The main mechanisms for this are the implementation plans, annual reports and </w:t>
      </w:r>
      <w:r w:rsidR="001656A9">
        <w:t xml:space="preserve">the </w:t>
      </w:r>
      <w:r w:rsidR="00FD2720">
        <w:t xml:space="preserve">public dashboard and </w:t>
      </w:r>
      <w:r w:rsidR="00D5261A">
        <w:t>a</w:t>
      </w:r>
      <w:r w:rsidR="00FD2720">
        <w:t xml:space="preserve">nnual </w:t>
      </w:r>
      <w:r w:rsidR="00D5261A">
        <w:t>da</w:t>
      </w:r>
      <w:r w:rsidR="00FD2720">
        <w:t xml:space="preserve">ta </w:t>
      </w:r>
      <w:r w:rsidR="00D5261A">
        <w:t>c</w:t>
      </w:r>
      <w:r w:rsidR="00FD2720">
        <w:t xml:space="preserve">ompilation </w:t>
      </w:r>
      <w:r w:rsidR="00D5261A">
        <w:t>r</w:t>
      </w:r>
      <w:r w:rsidR="00FD2720">
        <w:t>eport</w:t>
      </w:r>
      <w:r w:rsidR="001656A9">
        <w:t>s</w:t>
      </w:r>
      <w:r w:rsidR="00785ECD">
        <w:t>.</w:t>
      </w:r>
    </w:p>
    <w:p w14:paraId="393819E9" w14:textId="3A7715C7" w:rsidR="0094637E" w:rsidRDefault="00A0771D" w:rsidP="00E85D9D">
      <w:pPr>
        <w:pStyle w:val="BodyText"/>
      </w:pPr>
      <w:r>
        <w:t xml:space="preserve">These </w:t>
      </w:r>
      <w:r w:rsidR="00D3145F">
        <w:t>arrangements are</w:t>
      </w:r>
      <w:r w:rsidR="00D3145F" w:rsidRPr="00D3145F">
        <w:t xml:space="preserve"> intended to support independent oversight and accountability</w:t>
      </w:r>
      <w:r w:rsidR="001D4C9D">
        <w:t xml:space="preserve">. </w:t>
      </w:r>
      <w:r w:rsidR="0081029C">
        <w:t>S</w:t>
      </w:r>
      <w:r w:rsidR="001D4C9D">
        <w:t>pecifically, they are meant to</w:t>
      </w:r>
      <w:r w:rsidR="00D3145F" w:rsidRPr="00D3145F">
        <w:t xml:space="preserve"> </w:t>
      </w:r>
      <w:r w:rsidR="00E922CA">
        <w:t>ensure that</w:t>
      </w:r>
      <w:r w:rsidR="00D3145F" w:rsidRPr="00D3145F">
        <w:t xml:space="preserve"> </w:t>
      </w:r>
      <w:r w:rsidR="00E85D9D" w:rsidRPr="00D3145F">
        <w:t>Aboriginal and Torres Strait Islander people</w:t>
      </w:r>
      <w:r w:rsidR="00875A74">
        <w:t xml:space="preserve">, </w:t>
      </w:r>
      <w:r w:rsidR="005B1EF0">
        <w:t>organisations and communities</w:t>
      </w:r>
      <w:r w:rsidR="00E85D9D">
        <w:t xml:space="preserve"> </w:t>
      </w:r>
      <w:r w:rsidR="00261B09">
        <w:t>know</w:t>
      </w:r>
      <w:r w:rsidR="00E85D9D">
        <w:t xml:space="preserve"> what </w:t>
      </w:r>
      <w:r w:rsidR="00FF70A4">
        <w:t>actions the</w:t>
      </w:r>
      <w:r w:rsidR="00E85D9D">
        <w:t xml:space="preserve"> parties have committed</w:t>
      </w:r>
      <w:r w:rsidR="00D44CDF">
        <w:t xml:space="preserve"> to</w:t>
      </w:r>
      <w:r w:rsidR="00100926">
        <w:t>,</w:t>
      </w:r>
      <w:r w:rsidR="002E355B">
        <w:t xml:space="preserve"> </w:t>
      </w:r>
      <w:r w:rsidR="00100926">
        <w:t xml:space="preserve">if </w:t>
      </w:r>
      <w:r w:rsidR="00B950EA">
        <w:t xml:space="preserve">they are </w:t>
      </w:r>
      <w:r w:rsidR="00FF70A4">
        <w:t>being impl</w:t>
      </w:r>
      <w:r w:rsidR="00545AAD">
        <w:t>e</w:t>
      </w:r>
      <w:r w:rsidR="000D021A">
        <w:t>men</w:t>
      </w:r>
      <w:r w:rsidR="00FF70A4">
        <w:t>ted as planned</w:t>
      </w:r>
      <w:r w:rsidR="00B950EA">
        <w:t>,</w:t>
      </w:r>
      <w:r w:rsidR="00545AAD">
        <w:t xml:space="preserve"> and</w:t>
      </w:r>
      <w:r w:rsidR="00D44CDF">
        <w:t xml:space="preserve"> </w:t>
      </w:r>
      <w:r w:rsidR="008A41AA">
        <w:t xml:space="preserve">whether </w:t>
      </w:r>
      <w:r w:rsidR="00B950EA">
        <w:t>the parties’</w:t>
      </w:r>
      <w:r w:rsidR="008A41AA">
        <w:t xml:space="preserve"> efforts are</w:t>
      </w:r>
      <w:r w:rsidR="00545AAD">
        <w:t xml:space="preserve"> </w:t>
      </w:r>
      <w:r w:rsidR="00790BDC">
        <w:t>contributing to improved outcomes</w:t>
      </w:r>
      <w:r w:rsidR="00023466">
        <w:t>.</w:t>
      </w:r>
      <w:r w:rsidR="00E85D9D">
        <w:t xml:space="preserve"> </w:t>
      </w:r>
      <w:r w:rsidR="0072683A">
        <w:t>Reporting also fo</w:t>
      </w:r>
      <w:r w:rsidR="00CC34CA">
        <w:t>rms part of</w:t>
      </w:r>
      <w:r w:rsidR="000174E6" w:rsidRPr="000174E6">
        <w:t xml:space="preserve"> the Agreement’s joint communication strategy which aims to support Aboriginal and Torres Strait Islander people to take ownership of</w:t>
      </w:r>
      <w:r w:rsidR="00CC34CA">
        <w:t>,</w:t>
      </w:r>
      <w:r w:rsidR="000174E6" w:rsidRPr="000174E6">
        <w:t xml:space="preserve"> and engage in</w:t>
      </w:r>
      <w:r w:rsidR="002F68DC">
        <w:t>,</w:t>
      </w:r>
      <w:r w:rsidR="000174E6" w:rsidRPr="000174E6">
        <w:t xml:space="preserve"> the implementation of the Agreement</w:t>
      </w:r>
      <w:r w:rsidR="006F161D">
        <w:t xml:space="preserve"> </w:t>
      </w:r>
      <w:r w:rsidR="006F161D" w:rsidRPr="00995A58">
        <w:rPr>
          <w:rFonts w:ascii="Arial" w:hAnsi="Arial" w:cs="Arial"/>
          <w:szCs w:val="24"/>
        </w:rPr>
        <w:t>(Joint Council 2023b, p. 11)</w:t>
      </w:r>
      <w:r w:rsidR="000174E6" w:rsidRPr="000174E6">
        <w:t>.</w:t>
      </w:r>
      <w:r w:rsidR="0094637E">
        <w:t xml:space="preserve"> </w:t>
      </w:r>
    </w:p>
    <w:p w14:paraId="6F82F012" w14:textId="341DA6D8" w:rsidR="001644F3" w:rsidRDefault="001559C4" w:rsidP="0027426D">
      <w:pPr>
        <w:pStyle w:val="BodyText"/>
      </w:pPr>
      <w:r>
        <w:t xml:space="preserve">The implementation plans and annual reports </w:t>
      </w:r>
      <w:r w:rsidR="00650C22">
        <w:t>sh</w:t>
      </w:r>
      <w:r w:rsidR="005A3CD3">
        <w:t>ould</w:t>
      </w:r>
      <w:r w:rsidR="00B0341F">
        <w:t xml:space="preserve"> be</w:t>
      </w:r>
      <w:r>
        <w:t xml:space="preserve"> closely linked, with the dashboard </w:t>
      </w:r>
      <w:r w:rsidR="009A698E">
        <w:t xml:space="preserve">ensuring that progress </w:t>
      </w:r>
      <w:r w:rsidR="007E7E5B">
        <w:t xml:space="preserve">against the targets is measured consistently across the jurisdictions. </w:t>
      </w:r>
      <w:r w:rsidR="006E7CEE">
        <w:t>To be most useful, p</w:t>
      </w:r>
      <w:r w:rsidR="0022799F">
        <w:t xml:space="preserve">lans should </w:t>
      </w:r>
      <w:r w:rsidR="000B3C5C">
        <w:t>set out a clear strategy</w:t>
      </w:r>
      <w:r w:rsidR="00A8194D">
        <w:t xml:space="preserve"> that identifies </w:t>
      </w:r>
      <w:r w:rsidR="00490A57">
        <w:t xml:space="preserve">the </w:t>
      </w:r>
      <w:r w:rsidR="00A8194D">
        <w:t xml:space="preserve">factors that </w:t>
      </w:r>
      <w:r w:rsidR="001174AF">
        <w:t xml:space="preserve">are </w:t>
      </w:r>
      <w:r w:rsidR="00645008">
        <w:t>inhibiting progress</w:t>
      </w:r>
      <w:r w:rsidR="00F45CE0">
        <w:t xml:space="preserve">, </w:t>
      </w:r>
      <w:r w:rsidR="008F3C6E">
        <w:t xml:space="preserve">the </w:t>
      </w:r>
      <w:r w:rsidR="0068205A">
        <w:t xml:space="preserve">key enabling </w:t>
      </w:r>
      <w:r w:rsidR="0074719A">
        <w:t>capabilities</w:t>
      </w:r>
      <w:r w:rsidR="008F3C6E">
        <w:t xml:space="preserve"> that</w:t>
      </w:r>
      <w:r w:rsidR="005D4075">
        <w:t xml:space="preserve"> are needed</w:t>
      </w:r>
      <w:r w:rsidR="005B3FBB">
        <w:t>,</w:t>
      </w:r>
      <w:r w:rsidR="009563F3">
        <w:t xml:space="preserve"> and</w:t>
      </w:r>
      <w:r w:rsidR="005D4075">
        <w:t xml:space="preserve"> the</w:t>
      </w:r>
      <w:r w:rsidR="009563F3">
        <w:t xml:space="preserve"> </w:t>
      </w:r>
      <w:r w:rsidR="00E844CB">
        <w:t>significant</w:t>
      </w:r>
      <w:r w:rsidR="00D725C0">
        <w:t xml:space="preserve"> </w:t>
      </w:r>
      <w:r w:rsidR="009563F3">
        <w:t>actions</w:t>
      </w:r>
      <w:r w:rsidR="00235317">
        <w:t xml:space="preserve"> </w:t>
      </w:r>
      <w:r w:rsidR="009563F3">
        <w:t>that</w:t>
      </w:r>
      <w:r w:rsidR="00992C3E">
        <w:t xml:space="preserve"> will</w:t>
      </w:r>
      <w:r w:rsidR="0084449E">
        <w:t xml:space="preserve"> create the conditions for change. </w:t>
      </w:r>
      <w:r w:rsidR="00745325">
        <w:t xml:space="preserve">The plans should </w:t>
      </w:r>
      <w:r w:rsidR="00B95390">
        <w:t xml:space="preserve">detail </w:t>
      </w:r>
      <w:r w:rsidR="00A6461A">
        <w:t xml:space="preserve">how </w:t>
      </w:r>
      <w:r w:rsidR="003F692D">
        <w:t xml:space="preserve">(and by whom) </w:t>
      </w:r>
      <w:r w:rsidR="00A01EF3">
        <w:t xml:space="preserve">the </w:t>
      </w:r>
      <w:r w:rsidR="000807FE">
        <w:t xml:space="preserve">actions will be delivered, </w:t>
      </w:r>
      <w:r w:rsidR="00F33D95">
        <w:t xml:space="preserve">the intended results </w:t>
      </w:r>
      <w:r w:rsidR="000807FE">
        <w:t>and</w:t>
      </w:r>
      <w:r w:rsidR="005823AD">
        <w:t xml:space="preserve"> any</w:t>
      </w:r>
      <w:r w:rsidR="000807FE">
        <w:t xml:space="preserve"> </w:t>
      </w:r>
      <w:r w:rsidR="00671AA5">
        <w:t>key risks that</w:t>
      </w:r>
      <w:r w:rsidR="003729E0">
        <w:t xml:space="preserve"> need to </w:t>
      </w:r>
      <w:r w:rsidR="005823AD">
        <w:t xml:space="preserve">be </w:t>
      </w:r>
      <w:r w:rsidR="003729E0">
        <w:t xml:space="preserve">managed. </w:t>
      </w:r>
    </w:p>
    <w:p w14:paraId="683E1387" w14:textId="00DA0BE0" w:rsidR="00280969" w:rsidRPr="00571A47" w:rsidRDefault="00C92E17" w:rsidP="0042691F">
      <w:pPr>
        <w:pStyle w:val="BodyText"/>
        <w:rPr>
          <w:spacing w:val="-2"/>
        </w:rPr>
      </w:pPr>
      <w:r w:rsidRPr="00571A47">
        <w:rPr>
          <w:spacing w:val="-2"/>
        </w:rPr>
        <w:t>P</w:t>
      </w:r>
      <w:r w:rsidR="00F7409F" w:rsidRPr="00571A47">
        <w:rPr>
          <w:spacing w:val="-2"/>
        </w:rPr>
        <w:t xml:space="preserve">erformance reporting </w:t>
      </w:r>
      <w:r w:rsidR="00C326FC" w:rsidRPr="00571A47">
        <w:rPr>
          <w:spacing w:val="-2"/>
        </w:rPr>
        <w:t xml:space="preserve">should </w:t>
      </w:r>
      <w:r w:rsidR="00E8013D" w:rsidRPr="00571A47">
        <w:rPr>
          <w:spacing w:val="-2"/>
        </w:rPr>
        <w:t xml:space="preserve">then </w:t>
      </w:r>
      <w:r w:rsidR="00566540" w:rsidRPr="00571A47">
        <w:rPr>
          <w:spacing w:val="-2"/>
        </w:rPr>
        <w:t xml:space="preserve">present a coherent account of what has been </w:t>
      </w:r>
      <w:r w:rsidR="00AA30B4" w:rsidRPr="00571A47">
        <w:rPr>
          <w:spacing w:val="-2"/>
        </w:rPr>
        <w:t>done</w:t>
      </w:r>
      <w:r w:rsidR="007157A0" w:rsidRPr="00571A47">
        <w:rPr>
          <w:spacing w:val="-2"/>
        </w:rPr>
        <w:t xml:space="preserve">, that puts </w:t>
      </w:r>
      <w:r w:rsidR="000D6A3D" w:rsidRPr="00571A47">
        <w:rPr>
          <w:spacing w:val="-2"/>
        </w:rPr>
        <w:t xml:space="preserve">results </w:t>
      </w:r>
      <w:r w:rsidR="00805838" w:rsidRPr="00571A47">
        <w:rPr>
          <w:spacing w:val="-2"/>
        </w:rPr>
        <w:t xml:space="preserve">in </w:t>
      </w:r>
      <w:r w:rsidR="00B7599B" w:rsidRPr="00571A47">
        <w:rPr>
          <w:spacing w:val="-2"/>
        </w:rPr>
        <w:t xml:space="preserve">context </w:t>
      </w:r>
      <w:r w:rsidR="00CC1E4F" w:rsidRPr="00571A47">
        <w:rPr>
          <w:spacing w:val="-2"/>
        </w:rPr>
        <w:t>by describing their</w:t>
      </w:r>
      <w:r w:rsidR="00FD37A2" w:rsidRPr="00571A47">
        <w:rPr>
          <w:spacing w:val="-2"/>
        </w:rPr>
        <w:t xml:space="preserve"> significance</w:t>
      </w:r>
      <w:r w:rsidR="002F3885" w:rsidRPr="00571A47">
        <w:rPr>
          <w:spacing w:val="-2"/>
        </w:rPr>
        <w:t xml:space="preserve"> and implications.</w:t>
      </w:r>
      <w:r w:rsidR="00454C26" w:rsidRPr="00571A47">
        <w:rPr>
          <w:spacing w:val="-2"/>
        </w:rPr>
        <w:t xml:space="preserve"> R</w:t>
      </w:r>
      <w:r w:rsidR="002F3885" w:rsidRPr="00571A47">
        <w:rPr>
          <w:spacing w:val="-2"/>
        </w:rPr>
        <w:t xml:space="preserve">eporting </w:t>
      </w:r>
      <w:r w:rsidR="00480BDA" w:rsidRPr="00571A47">
        <w:rPr>
          <w:spacing w:val="-2"/>
        </w:rPr>
        <w:t>should highligh</w:t>
      </w:r>
      <w:r w:rsidR="00DC516F" w:rsidRPr="00571A47">
        <w:rPr>
          <w:spacing w:val="-2"/>
        </w:rPr>
        <w:t xml:space="preserve">t </w:t>
      </w:r>
      <w:r w:rsidR="001015FA" w:rsidRPr="00571A47">
        <w:rPr>
          <w:spacing w:val="-2"/>
        </w:rPr>
        <w:t xml:space="preserve">both </w:t>
      </w:r>
      <w:r w:rsidR="00DC516F" w:rsidRPr="00571A47">
        <w:rPr>
          <w:spacing w:val="-2"/>
        </w:rPr>
        <w:t>good and poor performance and transparent</w:t>
      </w:r>
      <w:r w:rsidR="00965617" w:rsidRPr="00571A47">
        <w:rPr>
          <w:spacing w:val="-2"/>
        </w:rPr>
        <w:t>ly</w:t>
      </w:r>
      <w:r w:rsidR="00DC516F" w:rsidRPr="00571A47">
        <w:rPr>
          <w:spacing w:val="-2"/>
        </w:rPr>
        <w:t xml:space="preserve"> </w:t>
      </w:r>
      <w:r w:rsidR="00CC1E4F" w:rsidRPr="00571A47">
        <w:rPr>
          <w:spacing w:val="-2"/>
        </w:rPr>
        <w:t xml:space="preserve">explain </w:t>
      </w:r>
      <w:r w:rsidR="006E3E5A" w:rsidRPr="00571A47">
        <w:rPr>
          <w:spacing w:val="-2"/>
        </w:rPr>
        <w:t>why</w:t>
      </w:r>
      <w:r w:rsidR="002110FE" w:rsidRPr="00571A47">
        <w:rPr>
          <w:spacing w:val="-2"/>
        </w:rPr>
        <w:t xml:space="preserve"> specific </w:t>
      </w:r>
      <w:r w:rsidR="006E3E5A" w:rsidRPr="00571A47">
        <w:rPr>
          <w:spacing w:val="-2"/>
        </w:rPr>
        <w:t xml:space="preserve">actions are </w:t>
      </w:r>
      <w:r w:rsidR="008539CB" w:rsidRPr="00571A47">
        <w:rPr>
          <w:spacing w:val="-2"/>
        </w:rPr>
        <w:t>off</w:t>
      </w:r>
      <w:r w:rsidR="00827859" w:rsidRPr="00571A47">
        <w:rPr>
          <w:spacing w:val="-2"/>
        </w:rPr>
        <w:noBreakHyphen/>
      </w:r>
      <w:r w:rsidR="008539CB" w:rsidRPr="00571A47">
        <w:rPr>
          <w:spacing w:val="-2"/>
        </w:rPr>
        <w:t xml:space="preserve">track </w:t>
      </w:r>
      <w:r w:rsidR="00F84FC3" w:rsidRPr="00571A47">
        <w:rPr>
          <w:spacing w:val="-2"/>
        </w:rPr>
        <w:t xml:space="preserve">and what </w:t>
      </w:r>
      <w:r w:rsidR="00FA2FD3" w:rsidRPr="00571A47">
        <w:rPr>
          <w:spacing w:val="-2"/>
        </w:rPr>
        <w:t xml:space="preserve">will </w:t>
      </w:r>
      <w:r w:rsidR="00F84FC3" w:rsidRPr="00571A47">
        <w:rPr>
          <w:spacing w:val="-2"/>
        </w:rPr>
        <w:t>be done in r</w:t>
      </w:r>
      <w:r w:rsidR="00067946" w:rsidRPr="00571A47">
        <w:rPr>
          <w:spacing w:val="-2"/>
        </w:rPr>
        <w:t>esponse.</w:t>
      </w:r>
      <w:r w:rsidR="00E97047" w:rsidRPr="00571A47">
        <w:rPr>
          <w:spacing w:val="-2"/>
        </w:rPr>
        <w:t xml:space="preserve"> </w:t>
      </w:r>
      <w:r w:rsidR="00431346" w:rsidRPr="00571A47">
        <w:rPr>
          <w:spacing w:val="-2"/>
        </w:rPr>
        <w:t xml:space="preserve">In the context of the Agreement, it is critical </w:t>
      </w:r>
      <w:r w:rsidR="00061A69" w:rsidRPr="00571A47">
        <w:rPr>
          <w:spacing w:val="-2"/>
        </w:rPr>
        <w:t>th</w:t>
      </w:r>
      <w:r w:rsidR="00BE6216" w:rsidRPr="00571A47">
        <w:rPr>
          <w:spacing w:val="-2"/>
        </w:rPr>
        <w:t>at</w:t>
      </w:r>
      <w:r w:rsidR="00061A69" w:rsidRPr="00571A47">
        <w:rPr>
          <w:spacing w:val="-2"/>
        </w:rPr>
        <w:t xml:space="preserve"> </w:t>
      </w:r>
      <w:r w:rsidR="00183E1B" w:rsidRPr="00571A47">
        <w:rPr>
          <w:spacing w:val="-2"/>
        </w:rPr>
        <w:t xml:space="preserve">there are mechanisms to ensure that </w:t>
      </w:r>
      <w:r w:rsidR="00F52583" w:rsidRPr="00571A47">
        <w:rPr>
          <w:spacing w:val="-2"/>
        </w:rPr>
        <w:t>assessment</w:t>
      </w:r>
      <w:r w:rsidR="00BE6216" w:rsidRPr="00571A47">
        <w:rPr>
          <w:spacing w:val="-2"/>
        </w:rPr>
        <w:t>s</w:t>
      </w:r>
      <w:r w:rsidR="00F52583" w:rsidRPr="00571A47">
        <w:rPr>
          <w:spacing w:val="-2"/>
        </w:rPr>
        <w:t xml:space="preserve"> of performance </w:t>
      </w:r>
      <w:r w:rsidR="003A7BC9" w:rsidRPr="00571A47">
        <w:rPr>
          <w:spacing w:val="-2"/>
        </w:rPr>
        <w:t xml:space="preserve">centre the </w:t>
      </w:r>
      <w:r w:rsidR="003D7949" w:rsidRPr="00571A47">
        <w:rPr>
          <w:spacing w:val="-2"/>
        </w:rPr>
        <w:t>perspectives</w:t>
      </w:r>
      <w:r w:rsidR="00BE6216" w:rsidRPr="00571A47">
        <w:rPr>
          <w:spacing w:val="-2"/>
        </w:rPr>
        <w:t xml:space="preserve">, </w:t>
      </w:r>
      <w:r w:rsidR="00754BB8" w:rsidRPr="00571A47">
        <w:rPr>
          <w:spacing w:val="-2"/>
        </w:rPr>
        <w:t>priorities</w:t>
      </w:r>
      <w:r w:rsidR="003A7BC9" w:rsidRPr="00571A47">
        <w:rPr>
          <w:spacing w:val="-2"/>
        </w:rPr>
        <w:t xml:space="preserve"> and</w:t>
      </w:r>
      <w:r w:rsidR="007534E6" w:rsidRPr="00571A47">
        <w:rPr>
          <w:spacing w:val="-2"/>
        </w:rPr>
        <w:t xml:space="preserve"> knowledges of</w:t>
      </w:r>
      <w:r w:rsidR="003D7949" w:rsidRPr="00571A47">
        <w:rPr>
          <w:spacing w:val="-2"/>
        </w:rPr>
        <w:t xml:space="preserve"> </w:t>
      </w:r>
      <w:r w:rsidR="003A7BC9" w:rsidRPr="00571A47">
        <w:rPr>
          <w:spacing w:val="-2"/>
        </w:rPr>
        <w:t>Aboriginal and Torres Strait Islander people</w:t>
      </w:r>
      <w:r w:rsidR="00BD29CC" w:rsidRPr="00571A47">
        <w:rPr>
          <w:spacing w:val="-2"/>
        </w:rPr>
        <w:t>.</w:t>
      </w:r>
    </w:p>
    <w:p w14:paraId="2FFF202E" w14:textId="33039B64" w:rsidR="001F14EF" w:rsidRPr="00D04A6C" w:rsidRDefault="003C5883" w:rsidP="001F14EF">
      <w:pPr>
        <w:pStyle w:val="Heading3"/>
      </w:pPr>
      <w:r>
        <w:t>The d</w:t>
      </w:r>
      <w:r w:rsidR="001F14EF" w:rsidRPr="00EE18BC">
        <w:t xml:space="preserve">ashboard </w:t>
      </w:r>
      <w:r w:rsidR="00964A55">
        <w:t>and</w:t>
      </w:r>
      <w:r w:rsidR="001F14EF" w:rsidRPr="00EE18BC">
        <w:t xml:space="preserve"> </w:t>
      </w:r>
      <w:r w:rsidR="001835A9">
        <w:t>a</w:t>
      </w:r>
      <w:r w:rsidR="001F14EF" w:rsidRPr="00EE18BC">
        <w:t xml:space="preserve">nnual </w:t>
      </w:r>
      <w:r w:rsidR="001835A9">
        <w:t>d</w:t>
      </w:r>
      <w:r w:rsidR="001F14EF" w:rsidRPr="00EE18BC">
        <w:t xml:space="preserve">ata </w:t>
      </w:r>
      <w:r w:rsidR="001835A9">
        <w:t>c</w:t>
      </w:r>
      <w:r w:rsidR="001F14EF" w:rsidRPr="00EE18BC">
        <w:t xml:space="preserve">ompilation </w:t>
      </w:r>
      <w:r w:rsidR="001835A9">
        <w:t>r</w:t>
      </w:r>
      <w:r w:rsidR="001F14EF" w:rsidRPr="00EE18BC">
        <w:t>eport</w:t>
      </w:r>
      <w:r>
        <w:t xml:space="preserve"> </w:t>
      </w:r>
      <w:r w:rsidR="00093131">
        <w:t>require further development</w:t>
      </w:r>
    </w:p>
    <w:p w14:paraId="698251F6" w14:textId="44E4F40C" w:rsidR="001F14EF" w:rsidRDefault="001F14EF" w:rsidP="001F14EF">
      <w:pPr>
        <w:pStyle w:val="BodyText"/>
      </w:pPr>
      <w:r>
        <w:t>The Agreement stipulates that the Commission will develop and maintain a</w:t>
      </w:r>
      <w:r w:rsidRPr="005009B5">
        <w:t xml:space="preserve"> publicly accessible</w:t>
      </w:r>
      <w:r>
        <w:t xml:space="preserve"> dashboard that presents the most up</w:t>
      </w:r>
      <w:r w:rsidR="00827859">
        <w:noBreakHyphen/>
      </w:r>
      <w:r>
        <w:t>to</w:t>
      </w:r>
      <w:r w:rsidR="00827859">
        <w:noBreakHyphen/>
      </w:r>
      <w:r>
        <w:t xml:space="preserve">date data on the targets and indicators specified in the performance framework. In addition, the Commission is also required to produce an </w:t>
      </w:r>
      <w:r w:rsidR="005B5ECA">
        <w:t>a</w:t>
      </w:r>
      <w:r>
        <w:t xml:space="preserve">nnual </w:t>
      </w:r>
      <w:r w:rsidR="005B5ECA">
        <w:t>d</w:t>
      </w:r>
      <w:r>
        <w:t xml:space="preserve">ata </w:t>
      </w:r>
      <w:r w:rsidR="005B5ECA">
        <w:t>c</w:t>
      </w:r>
      <w:r>
        <w:t xml:space="preserve">ompilation </w:t>
      </w:r>
      <w:r w:rsidR="005B5ECA">
        <w:t>r</w:t>
      </w:r>
      <w:r>
        <w:t xml:space="preserve">eport (ADCR) </w:t>
      </w:r>
      <w:r w:rsidR="004E29EB">
        <w:t xml:space="preserve">which </w:t>
      </w:r>
      <w:r w:rsidRPr="00B31B51">
        <w:t>provides a point</w:t>
      </w:r>
      <w:r w:rsidR="00827859">
        <w:noBreakHyphen/>
      </w:r>
      <w:r w:rsidRPr="00B31B51">
        <w:t>in</w:t>
      </w:r>
      <w:r w:rsidR="00827859">
        <w:noBreakHyphen/>
      </w:r>
      <w:r w:rsidRPr="00B31B51">
        <w:t xml:space="preserve">time snapshot of the </w:t>
      </w:r>
      <w:r w:rsidR="005B5ECA">
        <w:t>d</w:t>
      </w:r>
      <w:r w:rsidRPr="00B31B51">
        <w:t>ashboard</w:t>
      </w:r>
      <w:r>
        <w:t xml:space="preserve">. Rather than prescribing detailed specifications for the </w:t>
      </w:r>
      <w:r w:rsidR="005B5ECA">
        <w:t>d</w:t>
      </w:r>
      <w:r>
        <w:t xml:space="preserve">ashboard and ADCR, the Agreement requires the Commission to develop them by working with Joint Council, through the </w:t>
      </w:r>
      <w:r w:rsidR="00345A21">
        <w:t>PWG</w:t>
      </w:r>
      <w:r>
        <w:t xml:space="preserve"> </w:t>
      </w:r>
      <w:r w:rsidRPr="00E74EFE">
        <w:t>(</w:t>
      </w:r>
      <w:r w:rsidR="00D518A2" w:rsidRPr="00E74EFE">
        <w:t>b</w:t>
      </w:r>
      <w:r w:rsidRPr="00E74EFE">
        <w:t>ox</w:t>
      </w:r>
      <w:r w:rsidR="004E29EB">
        <w:t> </w:t>
      </w:r>
      <w:r w:rsidR="00E74EFE" w:rsidRPr="00E74EFE">
        <w:t>1</w:t>
      </w:r>
      <w:r w:rsidR="003A2E93">
        <w:t>2</w:t>
      </w:r>
      <w:r w:rsidRPr="00E74EFE">
        <w:t>).</w:t>
      </w:r>
    </w:p>
    <w:p w14:paraId="7BE8F8DA" w14:textId="77777777" w:rsidR="00D5202D" w:rsidRDefault="00D5202D" w:rsidP="00D5202D">
      <w:pPr>
        <w:pStyle w:val="BodyText"/>
      </w:pPr>
      <w:r>
        <w:lastRenderedPageBreak/>
        <w:t xml:space="preserve">The dashboard was launched in </w:t>
      </w:r>
      <w:r w:rsidRPr="00DF56D0">
        <w:t xml:space="preserve">June 2021 </w:t>
      </w:r>
      <w:r>
        <w:t>and has been updated five</w:t>
      </w:r>
      <w:r w:rsidRPr="00DF56D0">
        <w:t xml:space="preserve"> times </w:t>
      </w:r>
      <w:r>
        <w:t>as of July 2023. The dashboard</w:t>
      </w:r>
      <w:r w:rsidRPr="009A3F0A">
        <w:t xml:space="preserve"> </w:t>
      </w:r>
      <w:r>
        <w:t xml:space="preserve">includes </w:t>
      </w:r>
      <w:r w:rsidRPr="009A3F0A">
        <w:t>interactive visualisations</w:t>
      </w:r>
      <w:r>
        <w:t xml:space="preserve"> and data tables for</w:t>
      </w:r>
      <w:r w:rsidRPr="009A3F0A">
        <w:t xml:space="preserve"> the available </w:t>
      </w:r>
      <w:r>
        <w:t>targets, supporting indicators and disaggregations. A visual summary assessment of progress is shown for each target, indicating by jurisdiction whether there has been improvement, no change or worsening. If there has been an improvement at the national level, it indicates whether the target is on</w:t>
      </w:r>
      <w:r>
        <w:noBreakHyphen/>
        <w:t>track to be met. The dashboard includes detailed information on how the measures are specified as well as guidance on how to interpret the data, including data quality considerations. However, commentary about the data is limited to brief descriptive explanations.</w:t>
      </w:r>
    </w:p>
    <w:p w14:paraId="339FCE0A" w14:textId="77777777" w:rsidR="00D5202D" w:rsidRDefault="00D5202D" w:rsidP="00D5202D">
      <w:pPr>
        <w:pStyle w:val="BodyText"/>
      </w:pPr>
      <w:r w:rsidRPr="00F22604">
        <w:t>The Commission has published three ADCRs (2021</w:t>
      </w:r>
      <w:r>
        <w:t>–</w:t>
      </w:r>
      <w:r w:rsidRPr="00F22604">
        <w:t xml:space="preserve">2023), based on the dashboard as of June each year. The ADCR has evolved as the number of targets and indicators with reportable data in the </w:t>
      </w:r>
      <w:r>
        <w:t>dashboard</w:t>
      </w:r>
      <w:r w:rsidRPr="00F22604">
        <w:t xml:space="preserve"> has increased. </w:t>
      </w:r>
      <w:r w:rsidRPr="00255F46">
        <w:t>The most recent ADCR provides an overall assessment of progress across the socio</w:t>
      </w:r>
      <w:r>
        <w:noBreakHyphen/>
      </w:r>
      <w:r w:rsidRPr="00255F46">
        <w:t xml:space="preserve">economic outcomes and a </w:t>
      </w:r>
      <w:r>
        <w:t xml:space="preserve">brief </w:t>
      </w:r>
      <w:r w:rsidRPr="00255F46">
        <w:t xml:space="preserve">descriptive analysis of the key trends affecting different population groups. </w:t>
      </w:r>
      <w:r>
        <w:t>It also includes a detailed summary of progress by jurisdiction for each socio</w:t>
      </w:r>
      <w:r>
        <w:noBreakHyphen/>
        <w:t>economic outcome (where data is available) and provides an overview of the m</w:t>
      </w:r>
      <w:r w:rsidRPr="00E36ECF">
        <w:t xml:space="preserve">easurement and data quality issues to be considered when interpreting </w:t>
      </w:r>
      <w:r>
        <w:t xml:space="preserve">the </w:t>
      </w:r>
      <w:r w:rsidRPr="00E36ECF">
        <w:t>results</w:t>
      </w:r>
      <w:r>
        <w:t xml:space="preserve"> </w:t>
      </w:r>
      <w:r w:rsidRPr="00D8743C">
        <w:rPr>
          <w:rFonts w:ascii="Arial" w:hAnsi="Arial" w:cs="Arial"/>
          <w:szCs w:val="24"/>
        </w:rPr>
        <w:t>(PC 2023b)</w:t>
      </w:r>
      <w:r>
        <w:t>.</w:t>
      </w:r>
    </w:p>
    <w:p w14:paraId="478F2E9F" w14:textId="15B829CF" w:rsidR="001F14EF" w:rsidRPr="00F82BD9" w:rsidRDefault="001F14EF" w:rsidP="001F14EF">
      <w:pPr>
        <w:pStyle w:val="NoSpacing"/>
      </w:pPr>
    </w:p>
    <w:tbl>
      <w:tblPr>
        <w:tblStyle w:val="Boxtable"/>
        <w:tblW w:w="5000" w:type="pct"/>
        <w:tblLook w:val="04A0" w:firstRow="1" w:lastRow="0" w:firstColumn="1" w:lastColumn="0" w:noHBand="0" w:noVBand="1"/>
      </w:tblPr>
      <w:tblGrid>
        <w:gridCol w:w="906"/>
        <w:gridCol w:w="8732"/>
      </w:tblGrid>
      <w:tr w:rsidR="00F538AE" w14:paraId="1FB99A4B" w14:textId="77777777" w:rsidTr="00686EED">
        <w:trPr>
          <w:tblHeader/>
        </w:trPr>
        <w:tc>
          <w:tcPr>
            <w:tcW w:w="851" w:type="dxa"/>
            <w:shd w:val="clear" w:color="auto" w:fill="FBF3EC"/>
            <w:tcMar>
              <w:top w:w="170" w:type="dxa"/>
              <w:left w:w="170" w:type="dxa"/>
              <w:bottom w:w="113" w:type="dxa"/>
              <w:right w:w="170" w:type="dxa"/>
            </w:tcMar>
            <w:hideMark/>
          </w:tcPr>
          <w:p w14:paraId="2B2D68CE" w14:textId="2E5883B8" w:rsidR="00F538AE" w:rsidRDefault="00686EED" w:rsidP="00686EED">
            <w:pPr>
              <w:pStyle w:val="BoxHeading1"/>
              <w:spacing w:before="0"/>
            </w:pPr>
            <w:r w:rsidRPr="00A031AA">
              <w:rPr>
                <w:b/>
                <w:bCs/>
                <w:noProof/>
              </w:rPr>
              <w:drawing>
                <wp:inline distT="0" distB="0" distL="0" distR="0" wp14:anchorId="14C208C8" wp14:editId="72D79973">
                  <wp:extent cx="360000" cy="424800"/>
                  <wp:effectExtent l="0" t="0" r="0" b="0"/>
                  <wp:docPr id="1960537202" name="Picture 1960537202" descr="A brown boomerang with red and yellow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16939" name="Picture 1293616939" descr="A brown boomerang with red and yellow do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424800"/>
                          </a:xfrm>
                          <a:prstGeom prst="rect">
                            <a:avLst/>
                          </a:prstGeom>
                        </pic:spPr>
                      </pic:pic>
                    </a:graphicData>
                  </a:graphic>
                </wp:inline>
              </w:drawing>
            </w:r>
          </w:p>
        </w:tc>
        <w:tc>
          <w:tcPr>
            <w:tcW w:w="8787" w:type="dxa"/>
            <w:shd w:val="clear" w:color="auto" w:fill="FBF3EC"/>
          </w:tcPr>
          <w:p w14:paraId="5AFC64F3" w14:textId="63EA55A1" w:rsidR="00F538AE" w:rsidRDefault="00F538AE">
            <w:pPr>
              <w:pStyle w:val="BoxHeading1"/>
            </w:pPr>
            <w:r>
              <w:t>Box 12 – Dashboard and annual data compilation report requirements</w:t>
            </w:r>
          </w:p>
        </w:tc>
      </w:tr>
      <w:tr w:rsidR="001F14EF" w14:paraId="3DDD6511" w14:textId="77777777" w:rsidTr="00686EED">
        <w:tc>
          <w:tcPr>
            <w:tcW w:w="9638" w:type="dxa"/>
            <w:gridSpan w:val="2"/>
            <w:shd w:val="clear" w:color="auto" w:fill="FBF3EC"/>
            <w:tcMar>
              <w:top w:w="28" w:type="dxa"/>
              <w:left w:w="170" w:type="dxa"/>
              <w:bottom w:w="170" w:type="dxa"/>
              <w:right w:w="170" w:type="dxa"/>
            </w:tcMar>
            <w:hideMark/>
          </w:tcPr>
          <w:p w14:paraId="2E60E4D2" w14:textId="26597DD1" w:rsidR="001F14EF" w:rsidRDefault="001F14EF">
            <w:pPr>
              <w:pStyle w:val="BodyText"/>
            </w:pPr>
            <w:r>
              <w:t xml:space="preserve">The Agreement only includes a few basic specifications for the </w:t>
            </w:r>
            <w:r w:rsidR="009F6FC1">
              <w:t>dashboard</w:t>
            </w:r>
            <w:r>
              <w:t xml:space="preserve"> and ADCR. They include that:</w:t>
            </w:r>
          </w:p>
          <w:p w14:paraId="56372142" w14:textId="069CC540" w:rsidR="001F14EF" w:rsidRDefault="001F14EF">
            <w:pPr>
              <w:pStyle w:val="ListBullet"/>
            </w:pPr>
            <w:r>
              <w:t xml:space="preserve">the </w:t>
            </w:r>
            <w:r w:rsidR="009F6FC1">
              <w:t>dashboard</w:t>
            </w:r>
            <w:r>
              <w:t xml:space="preserve"> will be </w:t>
            </w:r>
            <w:r w:rsidRPr="00EF5E0A">
              <w:t>updated regularly (at least annually) and maintained for the life of the Agreement</w:t>
            </w:r>
            <w:r w:rsidR="000F1840">
              <w:t xml:space="preserve"> (clause 116)</w:t>
            </w:r>
          </w:p>
          <w:p w14:paraId="1C03BA12" w14:textId="29FC094C" w:rsidR="001F14EF" w:rsidRDefault="001F14EF">
            <w:pPr>
              <w:pStyle w:val="ListBullet"/>
            </w:pPr>
            <w:r>
              <w:t xml:space="preserve">the </w:t>
            </w:r>
            <w:r w:rsidR="009F6FC1">
              <w:t>dashboard</w:t>
            </w:r>
            <w:r>
              <w:t xml:space="preserve"> will be underpinned by an </w:t>
            </w:r>
            <w:r w:rsidR="00225945">
              <w:t>i</w:t>
            </w:r>
            <w:r>
              <w:t xml:space="preserve">nformation </w:t>
            </w:r>
            <w:r w:rsidR="00225945">
              <w:t>r</w:t>
            </w:r>
            <w:r>
              <w:t>epository that draws together data from existing sources</w:t>
            </w:r>
            <w:r w:rsidR="00BB4D03">
              <w:t xml:space="preserve"> (clause 116)</w:t>
            </w:r>
          </w:p>
          <w:p w14:paraId="5605F6E4" w14:textId="49ADE80A" w:rsidR="001F14EF" w:rsidRDefault="001F14EF">
            <w:pPr>
              <w:pStyle w:val="ListBullet"/>
            </w:pPr>
            <w:r>
              <w:t>r</w:t>
            </w:r>
            <w:r w:rsidRPr="00071814">
              <w:t>eporting on the targets will show progress to close the gap, relative to non</w:t>
            </w:r>
            <w:r w:rsidR="00827859">
              <w:noBreakHyphen/>
            </w:r>
            <w:r w:rsidRPr="00071814">
              <w:t xml:space="preserve">Indigenous </w:t>
            </w:r>
            <w:r w:rsidR="006E4DDC">
              <w:t>people</w:t>
            </w:r>
            <w:r w:rsidRPr="00071814">
              <w:t xml:space="preserve">. </w:t>
            </w:r>
            <w:r>
              <w:t xml:space="preserve">It will also </w:t>
            </w:r>
            <w:r w:rsidRPr="00071814">
              <w:t xml:space="preserve">include target trajectories that show the rate of change needed to meet each target from a starting baseline year. By comparing them to the actual performance of the target indicators, the trajectories are intended to inform whether the </w:t>
            </w:r>
            <w:r w:rsidR="00225945">
              <w:t>p</w:t>
            </w:r>
            <w:r w:rsidRPr="00071814">
              <w:t>arties are ‘on</w:t>
            </w:r>
            <w:r w:rsidR="00827859">
              <w:noBreakHyphen/>
            </w:r>
            <w:r w:rsidRPr="00071814">
              <w:t>track’</w:t>
            </w:r>
            <w:r w:rsidR="00A36B23">
              <w:t xml:space="preserve"> (clause 88)</w:t>
            </w:r>
            <w:r w:rsidRPr="00071814">
              <w:t>.</w:t>
            </w:r>
          </w:p>
        </w:tc>
      </w:tr>
      <w:tr w:rsidR="001F14EF" w14:paraId="17E180A4" w14:textId="77777777">
        <w:trPr>
          <w:hidden/>
        </w:trPr>
        <w:tc>
          <w:tcPr>
            <w:tcW w:w="9638" w:type="dxa"/>
            <w:gridSpan w:val="2"/>
            <w:shd w:val="clear" w:color="auto" w:fill="auto"/>
            <w:tcMar>
              <w:top w:w="0" w:type="dxa"/>
              <w:left w:w="170" w:type="dxa"/>
              <w:bottom w:w="0" w:type="dxa"/>
              <w:right w:w="170" w:type="dxa"/>
            </w:tcMar>
          </w:tcPr>
          <w:p w14:paraId="717B07A7" w14:textId="55289C1A" w:rsidR="001F14EF" w:rsidRPr="00465191" w:rsidRDefault="001F14EF">
            <w:pPr>
              <w:pStyle w:val="BodyText"/>
              <w:spacing w:before="0" w:after="0" w:line="80" w:lineRule="atLeast"/>
              <w:rPr>
                <w:smallCaps/>
                <w:vanish/>
              </w:rPr>
            </w:pPr>
          </w:p>
        </w:tc>
      </w:tr>
    </w:tbl>
    <w:p w14:paraId="2E0EA836" w14:textId="2BBE448F" w:rsidR="001F14EF" w:rsidRPr="00F22604" w:rsidRDefault="001F14EF" w:rsidP="001F14EF">
      <w:pPr>
        <w:pStyle w:val="Heading4"/>
      </w:pPr>
      <w:r>
        <w:t>The dashboard and ADCR</w:t>
      </w:r>
      <w:r w:rsidR="00614AB5" w:rsidRPr="000E389B">
        <w:t xml:space="preserve"> only</w:t>
      </w:r>
      <w:r w:rsidR="00614AB5">
        <w:t xml:space="preserve"> provide a partial view of progress</w:t>
      </w:r>
    </w:p>
    <w:p w14:paraId="48C06FFF" w14:textId="47C589AC" w:rsidR="009C3F2B" w:rsidRPr="00242E51" w:rsidRDefault="00E94809" w:rsidP="001F14EF">
      <w:pPr>
        <w:pStyle w:val="BodyText"/>
        <w:rPr>
          <w:spacing w:val="-2"/>
        </w:rPr>
      </w:pPr>
      <w:r w:rsidRPr="00242E51">
        <w:rPr>
          <w:spacing w:val="-2"/>
        </w:rPr>
        <w:t xml:space="preserve">The role of the dashboard and ADCR is to make the performance monitoring data accessible so that it can be used to support accountability and drive jurisdictional effort. </w:t>
      </w:r>
      <w:r w:rsidR="006D49E4" w:rsidRPr="00242E51">
        <w:rPr>
          <w:spacing w:val="-2"/>
        </w:rPr>
        <w:t>T</w:t>
      </w:r>
      <w:r w:rsidRPr="00242E51">
        <w:rPr>
          <w:spacing w:val="-2"/>
        </w:rPr>
        <w:t xml:space="preserve">he reporting tools are intended to provide a single source of performance information to ensure that progress is measured consistently. </w:t>
      </w:r>
      <w:r w:rsidR="001F14EF" w:rsidRPr="00242E51">
        <w:rPr>
          <w:spacing w:val="-2"/>
        </w:rPr>
        <w:t xml:space="preserve">Accordingly, </w:t>
      </w:r>
      <w:r w:rsidRPr="00242E51">
        <w:rPr>
          <w:spacing w:val="-2"/>
        </w:rPr>
        <w:t>govern</w:t>
      </w:r>
      <w:r w:rsidR="00437459" w:rsidRPr="00242E51">
        <w:rPr>
          <w:spacing w:val="-2"/>
        </w:rPr>
        <w:t>ments</w:t>
      </w:r>
      <w:r w:rsidRPr="00242E51">
        <w:rPr>
          <w:spacing w:val="-2"/>
        </w:rPr>
        <w:t xml:space="preserve"> </w:t>
      </w:r>
      <w:r w:rsidR="001F14EF" w:rsidRPr="00242E51">
        <w:rPr>
          <w:spacing w:val="-2"/>
        </w:rPr>
        <w:t xml:space="preserve">are required to draw from the dashboard and ADCR to publicly report on their progress in their annual reports. </w:t>
      </w:r>
    </w:p>
    <w:p w14:paraId="0357F018" w14:textId="25CAD357" w:rsidR="001F14EF" w:rsidDel="00F4293A" w:rsidRDefault="00062094" w:rsidP="00F4293A">
      <w:pPr>
        <w:pStyle w:val="BodyText"/>
      </w:pPr>
      <w:r>
        <w:t xml:space="preserve">Beyond this, the Commission only has a partial understanding of how the reporting tools are currently being used. </w:t>
      </w:r>
      <w:r w:rsidR="001F14EF">
        <w:t>The reports are</w:t>
      </w:r>
      <w:r w:rsidR="00F44B89">
        <w:t xml:space="preserve"> regularly tabled at Joint Council and PWG meetings</w:t>
      </w:r>
      <w:r w:rsidR="001F14EF">
        <w:t xml:space="preserve"> to inform the</w:t>
      </w:r>
      <w:r w:rsidR="00F4293A">
        <w:t xml:space="preserve"> parties</w:t>
      </w:r>
      <w:r w:rsidR="00471394">
        <w:t>’</w:t>
      </w:r>
      <w:r w:rsidR="001F14EF">
        <w:t xml:space="preserve"> internal discussions of progress and</w:t>
      </w:r>
      <w:r w:rsidR="00F4293A">
        <w:t xml:space="preserve"> deliberations on</w:t>
      </w:r>
      <w:r w:rsidR="001F14EF">
        <w:t xml:space="preserve"> emerging issues. Some jurisdictions also told the Commission that they are making use of the </w:t>
      </w:r>
      <w:r w:rsidR="009F6FC1">
        <w:t>dashboard</w:t>
      </w:r>
      <w:r w:rsidR="001F14EF">
        <w:t xml:space="preserve"> and ADCR to inform agencies about progress and provide context for policy discussions.</w:t>
      </w:r>
      <w:r w:rsidR="001F14EF" w:rsidDel="00F4293A">
        <w:t xml:space="preserve"> For example:</w:t>
      </w:r>
    </w:p>
    <w:p w14:paraId="49A6A095" w14:textId="4D864B65" w:rsidR="00A66A55" w:rsidRDefault="0028018C" w:rsidP="005848C3">
      <w:pPr>
        <w:pStyle w:val="Quote"/>
      </w:pPr>
      <w:r w:rsidRPr="0028018C">
        <w:rPr>
          <w:rStyle w:val="QuoteChar"/>
        </w:rPr>
        <w:t>The Australian government makes very extensive use of material published on the dashboard and in the ADCRs. This includes as input into: Briefing and advice to the Ministers to inform their media releases, Implementation Plan, input into NPPs for NIAA and other responsible departments, annual reports, reporting to C</w:t>
      </w:r>
      <w:r w:rsidR="00754E50">
        <w:rPr>
          <w:rStyle w:val="QuoteChar"/>
        </w:rPr>
        <w:t>losing the Gap</w:t>
      </w:r>
      <w:r w:rsidRPr="0028018C">
        <w:rPr>
          <w:rStyle w:val="QuoteChar"/>
        </w:rPr>
        <w:t xml:space="preserve"> governance network through</w:t>
      </w:r>
      <w:r w:rsidR="00754E50">
        <w:rPr>
          <w:rStyle w:val="QuoteChar"/>
        </w:rPr>
        <w:t xml:space="preserve"> the </w:t>
      </w:r>
      <w:r w:rsidR="00754E50">
        <w:rPr>
          <w:rStyle w:val="QuoteChar"/>
        </w:rPr>
        <w:lastRenderedPageBreak/>
        <w:t>Partnership Working Group</w:t>
      </w:r>
      <w:r w:rsidRPr="0028018C">
        <w:rPr>
          <w:rStyle w:val="QuoteChar"/>
        </w:rPr>
        <w:t>. Regional offices and service delivery organisations. Accountability and use as an evidence base for influencing and informing policy</w:t>
      </w:r>
      <w:r w:rsidR="006275B4">
        <w:rPr>
          <w:rStyle w:val="QuoteChar"/>
        </w:rPr>
        <w:t xml:space="preserve"> …</w:t>
      </w:r>
      <w:r w:rsidRPr="0028018C">
        <w:rPr>
          <w:rStyle w:val="QuoteChar"/>
        </w:rPr>
        <w:t xml:space="preserve"> The recent incorporation of data disaggregations on the Dashboard furthers the commitment to some extent to Priority Reform Four in the National Agreement</w:t>
      </w:r>
      <w:r w:rsidR="00F55929">
        <w:rPr>
          <w:rStyle w:val="QuoteChar"/>
        </w:rPr>
        <w:t>.</w:t>
      </w:r>
      <w:r w:rsidRPr="0028018C" w:rsidDel="0028018C">
        <w:rPr>
          <w:rStyle w:val="QuoteChar"/>
        </w:rPr>
        <w:t xml:space="preserve"> </w:t>
      </w:r>
      <w:r>
        <w:rPr>
          <w:rStyle w:val="QuoteChar"/>
        </w:rPr>
        <w:t xml:space="preserve">(NIAA, pers. comm., </w:t>
      </w:r>
      <w:r w:rsidR="00754E50">
        <w:rPr>
          <w:rStyle w:val="QuoteChar"/>
        </w:rPr>
        <w:t>6</w:t>
      </w:r>
      <w:r w:rsidR="00827859">
        <w:rPr>
          <w:rStyle w:val="QuoteChar"/>
        </w:rPr>
        <w:t> </w:t>
      </w:r>
      <w:r w:rsidR="00754E50">
        <w:rPr>
          <w:rStyle w:val="QuoteChar"/>
        </w:rPr>
        <w:t>June 2023</w:t>
      </w:r>
      <w:r w:rsidR="001F14EF" w:rsidRPr="00D518A2" w:rsidDel="00F4293A">
        <w:rPr>
          <w:rStyle w:val="QuoteChar"/>
        </w:rPr>
        <w:t>)</w:t>
      </w:r>
    </w:p>
    <w:p w14:paraId="2C5D9219" w14:textId="5CAB8EAA" w:rsidR="0095503F" w:rsidRDefault="001F14EF" w:rsidP="001F14EF">
      <w:pPr>
        <w:pStyle w:val="BodyText"/>
      </w:pPr>
      <w:r w:rsidRPr="00755426">
        <w:t xml:space="preserve">Aboriginal and Torres Strait Islander organisations </w:t>
      </w:r>
      <w:r>
        <w:t>and non</w:t>
      </w:r>
      <w:r w:rsidR="00827859">
        <w:noBreakHyphen/>
      </w:r>
      <w:r>
        <w:t xml:space="preserve">government organisations that the Commission heard from were generally supportive of the role </w:t>
      </w:r>
      <w:r w:rsidR="0095503F">
        <w:t xml:space="preserve">of the reports </w:t>
      </w:r>
      <w:r>
        <w:t>in providing transparency.</w:t>
      </w:r>
      <w:r w:rsidR="009A26FB">
        <w:t xml:space="preserve"> However,</w:t>
      </w:r>
      <w:r w:rsidR="00246508">
        <w:t xml:space="preserve"> the</w:t>
      </w:r>
      <w:r w:rsidR="0053736D">
        <w:t>r</w:t>
      </w:r>
      <w:r w:rsidR="00246508">
        <w:t xml:space="preserve">e are several issues that </w:t>
      </w:r>
      <w:r w:rsidR="00F44962">
        <w:t>limit</w:t>
      </w:r>
      <w:r w:rsidR="00246508">
        <w:t xml:space="preserve"> </w:t>
      </w:r>
      <w:r w:rsidR="009A26FB">
        <w:t xml:space="preserve">the dashboard and ADCR </w:t>
      </w:r>
      <w:r w:rsidR="00CF5EA3">
        <w:t xml:space="preserve">in their current forms </w:t>
      </w:r>
      <w:r w:rsidR="00F44962">
        <w:t xml:space="preserve">from being used </w:t>
      </w:r>
      <w:r w:rsidR="00AD43A1">
        <w:t xml:space="preserve">to achieve the </w:t>
      </w:r>
      <w:r w:rsidR="009A26FB" w:rsidRPr="00BA4A85">
        <w:t>purposes of the Agreement’s performance monitoring approach</w:t>
      </w:r>
      <w:r w:rsidR="0053736D">
        <w:t>.</w:t>
      </w:r>
      <w:r w:rsidR="00937B19">
        <w:t xml:space="preserve"> </w:t>
      </w:r>
      <w:r w:rsidR="0053736D">
        <w:t>T</w:t>
      </w:r>
      <w:r w:rsidR="00937B19">
        <w:t>hey include</w:t>
      </w:r>
      <w:r w:rsidR="0053736D">
        <w:t xml:space="preserve"> that</w:t>
      </w:r>
      <w:r w:rsidR="00937B19">
        <w:t>:</w:t>
      </w:r>
    </w:p>
    <w:p w14:paraId="77FC1667" w14:textId="4EDEE42F" w:rsidR="001F14EF" w:rsidRPr="003E33F9" w:rsidRDefault="00110665" w:rsidP="00414818">
      <w:pPr>
        <w:pStyle w:val="ListBullet"/>
        <w:spacing w:before="60" w:after="60"/>
        <w:ind w:left="357" w:hanging="357"/>
        <w:contextualSpacing w:val="0"/>
      </w:pPr>
      <w:r>
        <w:t>S</w:t>
      </w:r>
      <w:r w:rsidR="00B3131A">
        <w:t xml:space="preserve">low progress in compiling and developing </w:t>
      </w:r>
      <w:r w:rsidR="004C0E00">
        <w:t xml:space="preserve">the </w:t>
      </w:r>
      <w:r w:rsidR="00D56119">
        <w:t>required data means that</w:t>
      </w:r>
      <w:r w:rsidR="003F7CF7">
        <w:t xml:space="preserve"> </w:t>
      </w:r>
      <w:r w:rsidR="003F7CF7" w:rsidRPr="003F7CF7">
        <w:rPr>
          <w:b/>
          <w:bCs/>
        </w:rPr>
        <w:t>a</w:t>
      </w:r>
      <w:r w:rsidR="00796AAC" w:rsidRPr="003E33F9">
        <w:t xml:space="preserve"> </w:t>
      </w:r>
      <w:r w:rsidR="00796AAC" w:rsidRPr="002B2AC7">
        <w:rPr>
          <w:b/>
        </w:rPr>
        <w:t>large number of indicators are yet to be reported</w:t>
      </w:r>
      <w:r w:rsidR="00796AAC" w:rsidRPr="003E33F9">
        <w:t xml:space="preserve"> </w:t>
      </w:r>
      <w:r w:rsidR="0053736D" w:rsidRPr="00C31859">
        <w:rPr>
          <w:b/>
          <w:bCs/>
        </w:rPr>
        <w:t>on</w:t>
      </w:r>
      <w:r w:rsidR="0053736D">
        <w:t xml:space="preserve"> </w:t>
      </w:r>
      <w:r w:rsidR="00796AAC" w:rsidRPr="003E33F9">
        <w:t>(section</w:t>
      </w:r>
      <w:r w:rsidR="005634D7">
        <w:t> </w:t>
      </w:r>
      <w:r w:rsidR="003A2E93">
        <w:t>4</w:t>
      </w:r>
      <w:r w:rsidR="00796AAC" w:rsidRPr="003E33F9">
        <w:t xml:space="preserve">). The lack of any data on the Priority Reforms significantly curtails the ability </w:t>
      </w:r>
      <w:r w:rsidR="0036714D" w:rsidRPr="003E33F9">
        <w:t>of</w:t>
      </w:r>
      <w:r w:rsidR="00796AAC" w:rsidRPr="003E33F9">
        <w:t xml:space="preserve"> the reports to be used to drive jurisdictional effort. </w:t>
      </w:r>
      <w:r w:rsidR="001F14EF" w:rsidRPr="003E33F9">
        <w:t xml:space="preserve">The Coalition of Peaks noted that while </w:t>
      </w:r>
      <w:r w:rsidR="001F14EF" w:rsidRPr="003E33F9" w:rsidDel="00796AAC">
        <w:t xml:space="preserve">the </w:t>
      </w:r>
      <w:r w:rsidR="001F14EF" w:rsidRPr="003E33F9">
        <w:t>dashboard provides ‘</w:t>
      </w:r>
      <w:r w:rsidR="001F14EF" w:rsidRPr="00D518A2">
        <w:rPr>
          <w:rStyle w:val="QuoteChar"/>
          <w:color w:val="auto"/>
        </w:rPr>
        <w:t xml:space="preserve">an accountability mechanism that may reduce the limitations of biases and political narratives of </w:t>
      </w:r>
      <w:r w:rsidR="008E27E5">
        <w:rPr>
          <w:rStyle w:val="QuoteChar"/>
          <w:color w:val="auto"/>
        </w:rPr>
        <w:t>implementation plan</w:t>
      </w:r>
      <w:r w:rsidR="001F14EF" w:rsidRPr="00D518A2">
        <w:rPr>
          <w:rStyle w:val="QuoteChar"/>
          <w:color w:val="auto"/>
        </w:rPr>
        <w:t xml:space="preserve">s and </w:t>
      </w:r>
      <w:r w:rsidR="008E27E5">
        <w:rPr>
          <w:rStyle w:val="QuoteChar"/>
          <w:color w:val="auto"/>
        </w:rPr>
        <w:t>annual report</w:t>
      </w:r>
      <w:r w:rsidR="001F14EF" w:rsidRPr="00D518A2">
        <w:rPr>
          <w:rStyle w:val="QuoteChar"/>
          <w:color w:val="auto"/>
        </w:rPr>
        <w:t>s, the data only indicates whether progress is occurring or not, rather than what needs to be focused on to get back on track</w:t>
      </w:r>
      <w:r w:rsidR="001F14EF" w:rsidRPr="003E33F9">
        <w:t>’ (sub</w:t>
      </w:r>
      <w:r w:rsidR="00405019" w:rsidRPr="003E33F9">
        <w:t>.</w:t>
      </w:r>
      <w:r w:rsidR="005634D7">
        <w:t> </w:t>
      </w:r>
      <w:r w:rsidR="001F14EF" w:rsidRPr="003E33F9">
        <w:t>25</w:t>
      </w:r>
      <w:r w:rsidR="00405019" w:rsidRPr="003E33F9">
        <w:t>,</w:t>
      </w:r>
      <w:r w:rsidR="001F14EF" w:rsidRPr="003E33F9">
        <w:t xml:space="preserve"> p.</w:t>
      </w:r>
      <w:r w:rsidR="005634D7">
        <w:t> </w:t>
      </w:r>
      <w:r w:rsidR="001F14EF" w:rsidRPr="003E33F9">
        <w:t xml:space="preserve">4). </w:t>
      </w:r>
      <w:r w:rsidR="0053736D">
        <w:t>It</w:t>
      </w:r>
      <w:r w:rsidR="001F14EF" w:rsidRPr="003E33F9">
        <w:t xml:space="preserve"> added that embedding the Priority Reforms is especially important</w:t>
      </w:r>
      <w:r w:rsidR="000C4AE2" w:rsidRPr="003E33F9">
        <w:t xml:space="preserve"> to</w:t>
      </w:r>
      <w:r w:rsidR="001F14EF" w:rsidRPr="003E33F9">
        <w:t xml:space="preserve"> ensure that data could be interpreted and used by Aboriginal and Torres Strait Islander people to advance and advocate for changes in policy and services to improve life outcomes.</w:t>
      </w:r>
    </w:p>
    <w:p w14:paraId="4F13F033" w14:textId="17BAD11D" w:rsidR="00A140DC" w:rsidRPr="003E33F9" w:rsidRDefault="00110665" w:rsidP="00414818">
      <w:pPr>
        <w:pStyle w:val="ListBullet"/>
        <w:spacing w:before="60" w:after="60"/>
        <w:ind w:left="357" w:hanging="357"/>
        <w:contextualSpacing w:val="0"/>
      </w:pPr>
      <w:r>
        <w:t>T</w:t>
      </w:r>
      <w:r w:rsidR="00A140DC" w:rsidRPr="003E33F9">
        <w:t xml:space="preserve">he dashboard and ADCR currently </w:t>
      </w:r>
      <w:r w:rsidR="00A140DC" w:rsidRPr="002B2AC7">
        <w:rPr>
          <w:b/>
        </w:rPr>
        <w:t>only provide a top</w:t>
      </w:r>
      <w:r w:rsidR="00827859">
        <w:rPr>
          <w:b/>
        </w:rPr>
        <w:noBreakHyphen/>
      </w:r>
      <w:r w:rsidR="00A140DC" w:rsidRPr="002B2AC7">
        <w:rPr>
          <w:b/>
        </w:rPr>
        <w:t>line view of progress</w:t>
      </w:r>
      <w:r w:rsidR="00C94CF3">
        <w:t>. T</w:t>
      </w:r>
      <w:r w:rsidR="00A140DC" w:rsidRPr="003E33F9">
        <w:t>he target and supporting indicator data is presented by jurisdiction and can be disaggregated by remoteness area (</w:t>
      </w:r>
      <w:r w:rsidR="00A053C4">
        <w:t>that is, ‘</w:t>
      </w:r>
      <w:r w:rsidR="00A140DC" w:rsidRPr="003E33F9">
        <w:t>major city</w:t>
      </w:r>
      <w:r w:rsidR="00A053C4">
        <w:t>’</w:t>
      </w:r>
      <w:r w:rsidR="00A140DC" w:rsidRPr="003E33F9">
        <w:t xml:space="preserve">, </w:t>
      </w:r>
      <w:r w:rsidR="00A053C4">
        <w:t>‘</w:t>
      </w:r>
      <w:r w:rsidR="00A140DC" w:rsidRPr="003E33F9">
        <w:t>regional</w:t>
      </w:r>
      <w:r w:rsidR="00A053C4">
        <w:t>’</w:t>
      </w:r>
      <w:r w:rsidR="00A140DC" w:rsidRPr="003E33F9">
        <w:t>,</w:t>
      </w:r>
      <w:r w:rsidR="00A053C4">
        <w:t xml:space="preserve"> and</w:t>
      </w:r>
      <w:r w:rsidR="00A140DC" w:rsidRPr="003E33F9">
        <w:t xml:space="preserve"> </w:t>
      </w:r>
      <w:r w:rsidR="00A053C4">
        <w:t>‘</w:t>
      </w:r>
      <w:r w:rsidR="00A140DC" w:rsidRPr="003E33F9">
        <w:t>remote</w:t>
      </w:r>
      <w:r w:rsidR="00A053C4">
        <w:t>’</w:t>
      </w:r>
      <w:r w:rsidR="00A140DC" w:rsidRPr="003E33F9">
        <w:t>). However, under the existing measurement approach</w:t>
      </w:r>
      <w:r w:rsidR="00A053C4">
        <w:t>,</w:t>
      </w:r>
      <w:r w:rsidR="00A140DC" w:rsidRPr="003E33F9">
        <w:t xml:space="preserve"> the reports do not allow each jurisdiction’s overall performance to be broken down by region (</w:t>
      </w:r>
      <w:r w:rsidR="00F8569C">
        <w:t>such as</w:t>
      </w:r>
      <w:r w:rsidR="00704C62">
        <w:t xml:space="preserve"> for</w:t>
      </w:r>
      <w:r w:rsidR="00A140DC" w:rsidRPr="003E33F9">
        <w:t xml:space="preserve"> north</w:t>
      </w:r>
      <w:r w:rsidR="00E0388A">
        <w:t>ern</w:t>
      </w:r>
      <w:r w:rsidR="00A140DC" w:rsidRPr="003E33F9">
        <w:t xml:space="preserve"> </w:t>
      </w:r>
      <w:r w:rsidR="00704C62">
        <w:t xml:space="preserve">or </w:t>
      </w:r>
      <w:r w:rsidR="00AD2413">
        <w:t>s</w:t>
      </w:r>
      <w:r w:rsidR="00746D8C" w:rsidRPr="003E33F9">
        <w:t xml:space="preserve">outh </w:t>
      </w:r>
      <w:r w:rsidR="00AD2413">
        <w:t>e</w:t>
      </w:r>
      <w:r w:rsidR="00746D8C" w:rsidRPr="003E33F9">
        <w:t>ast</w:t>
      </w:r>
      <w:r w:rsidR="00A140DC" w:rsidRPr="003E33F9">
        <w:t xml:space="preserve"> </w:t>
      </w:r>
      <w:r w:rsidR="00E0388A">
        <w:t>Queensland</w:t>
      </w:r>
      <w:r w:rsidR="00A140DC" w:rsidRPr="003E33F9">
        <w:t>). This is an issue for accountability as it allows strong performance in certain regions to potentially mask a lack of progress or effort in other parts of a jurisdiction.</w:t>
      </w:r>
    </w:p>
    <w:p w14:paraId="4AF2C1B3" w14:textId="3F54924A" w:rsidR="00A140DC" w:rsidRPr="003E33F9" w:rsidRDefault="00110665" w:rsidP="00414818">
      <w:pPr>
        <w:pStyle w:val="ListBullet"/>
        <w:spacing w:before="60" w:after="60"/>
        <w:ind w:left="357" w:hanging="357"/>
        <w:contextualSpacing w:val="0"/>
      </w:pPr>
      <w:r>
        <w:t>T</w:t>
      </w:r>
      <w:r w:rsidR="000A6E8D">
        <w:t xml:space="preserve">he </w:t>
      </w:r>
      <w:r w:rsidR="000A6E8D" w:rsidRPr="00421F8C">
        <w:rPr>
          <w:b/>
          <w:bCs/>
        </w:rPr>
        <w:t>dashboard does not</w:t>
      </w:r>
      <w:r w:rsidR="000A6E8D">
        <w:rPr>
          <w:b/>
          <w:bCs/>
        </w:rPr>
        <w:t xml:space="preserve"> </w:t>
      </w:r>
      <w:r w:rsidR="000A6E8D" w:rsidRPr="00421F8C">
        <w:rPr>
          <w:b/>
          <w:bCs/>
        </w:rPr>
        <w:t>link to related data collections</w:t>
      </w:r>
      <w:r w:rsidR="000A6E8D">
        <w:t xml:space="preserve"> that could allow it to function as a central source of information. </w:t>
      </w:r>
      <w:r w:rsidR="00A140DC" w:rsidRPr="003E33F9">
        <w:t>Regional</w:t>
      </w:r>
      <w:r w:rsidR="00827859">
        <w:noBreakHyphen/>
      </w:r>
      <w:r w:rsidR="00A140DC" w:rsidRPr="003E33F9">
        <w:t>level breakdowns for some of the targets are already available through other sources (</w:t>
      </w:r>
      <w:r w:rsidR="00EA4463">
        <w:t>for example,</w:t>
      </w:r>
      <w:r w:rsidR="00A140DC" w:rsidRPr="003E33F9">
        <w:t xml:space="preserve"> </w:t>
      </w:r>
      <w:r w:rsidR="00702F14">
        <w:t>the</w:t>
      </w:r>
      <w:r w:rsidR="00027DA0">
        <w:t xml:space="preserve"> </w:t>
      </w:r>
      <w:r w:rsidR="00027DA0" w:rsidRPr="00027DA0">
        <w:t>ABS’s TableBuilder</w:t>
      </w:r>
      <w:r w:rsidR="00A140DC" w:rsidRPr="003E33F9">
        <w:t>). Similarly, data relating to the supporting indicators for some socio</w:t>
      </w:r>
      <w:r w:rsidR="00827859">
        <w:noBreakHyphen/>
      </w:r>
      <w:r w:rsidR="00A140DC" w:rsidRPr="003E33F9">
        <w:t>economic outcomes are also available in existing data collections. However, users of the dashboard will not necessarily be aware of these or know how to access them</w:t>
      </w:r>
      <w:r w:rsidR="00D60E3C">
        <w:t>.</w:t>
      </w:r>
    </w:p>
    <w:p w14:paraId="4897D875" w14:textId="3D03DF9C" w:rsidR="00A140DC" w:rsidRDefault="002A3F3C" w:rsidP="001F14EF">
      <w:pPr>
        <w:pStyle w:val="BodyText"/>
      </w:pPr>
      <w:r>
        <w:t xml:space="preserve">Some review participants </w:t>
      </w:r>
      <w:r w:rsidR="00284A6F">
        <w:t xml:space="preserve">also </w:t>
      </w:r>
      <w:r>
        <w:t xml:space="preserve">pointed to other areas where the functionality of the dashboard could be improved to make it easier to use. For example, the ABS </w:t>
      </w:r>
      <w:r w:rsidR="00702F14">
        <w:t>(sub.</w:t>
      </w:r>
      <w:r w:rsidR="005634D7">
        <w:t> </w:t>
      </w:r>
      <w:r w:rsidR="00702F14">
        <w:t>1, p.</w:t>
      </w:r>
      <w:r w:rsidR="005634D7">
        <w:t> </w:t>
      </w:r>
      <w:r w:rsidR="00702F14">
        <w:t xml:space="preserve">3) </w:t>
      </w:r>
      <w:r>
        <w:t>point</w:t>
      </w:r>
      <w:r w:rsidR="00702F14">
        <w:t>ed</w:t>
      </w:r>
      <w:r>
        <w:t xml:space="preserve"> out in </w:t>
      </w:r>
      <w:r w:rsidR="00702F14">
        <w:t xml:space="preserve">its </w:t>
      </w:r>
      <w:r>
        <w:t>submission that the dashboard does not allow the disaggregated data to be directly compared to the population</w:t>
      </w:r>
      <w:r w:rsidR="00827859">
        <w:noBreakHyphen/>
      </w:r>
      <w:r>
        <w:t>level data. A related limitation is that the target disaggregations are discretely visualised (</w:t>
      </w:r>
      <w:r w:rsidR="009846F6">
        <w:t>such as</w:t>
      </w:r>
      <w:r>
        <w:t xml:space="preserve"> by gender and age) and this can mask material differences in </w:t>
      </w:r>
      <w:r w:rsidRPr="00E36813">
        <w:t>progress for intersectional sub</w:t>
      </w:r>
      <w:r w:rsidR="00827859">
        <w:noBreakHyphen/>
      </w:r>
      <w:r w:rsidRPr="00E36813">
        <w:t xml:space="preserve">groups </w:t>
      </w:r>
      <w:r>
        <w:t>(</w:t>
      </w:r>
      <w:r w:rsidR="00430531">
        <w:t xml:space="preserve">such as </w:t>
      </w:r>
      <w:r>
        <w:t>young males compared to young females)</w:t>
      </w:r>
      <w:r w:rsidR="00802DEB">
        <w:t xml:space="preserve"> </w:t>
      </w:r>
      <w:r w:rsidR="00D8743C" w:rsidRPr="00D8743C">
        <w:rPr>
          <w:rFonts w:ascii="Arial" w:hAnsi="Arial" w:cs="Arial"/>
          <w:szCs w:val="24"/>
        </w:rPr>
        <w:t>(PC 2023b, p. 33)</w:t>
      </w:r>
      <w:r>
        <w:t>. Another participant also suggested that the accessibility of the dashboard could be enhanced by using maps to present the data (</w:t>
      </w:r>
      <w:r w:rsidR="002D095D">
        <w:t>Arthur</w:t>
      </w:r>
      <w:r w:rsidR="00BB082E">
        <w:t>,</w:t>
      </w:r>
      <w:r>
        <w:t xml:space="preserve"> </w:t>
      </w:r>
      <w:r w:rsidR="00BB082E">
        <w:t>s</w:t>
      </w:r>
      <w:r>
        <w:t>ub</w:t>
      </w:r>
      <w:r w:rsidR="00BB082E">
        <w:t>.</w:t>
      </w:r>
      <w:r w:rsidR="005634D7">
        <w:t> </w:t>
      </w:r>
      <w:r>
        <w:t>26</w:t>
      </w:r>
      <w:r w:rsidR="006020E6">
        <w:t>, p.</w:t>
      </w:r>
      <w:r w:rsidR="005634D7">
        <w:t> </w:t>
      </w:r>
      <w:r w:rsidR="006020E6">
        <w:t>1</w:t>
      </w:r>
      <w:r>
        <w:t>).</w:t>
      </w:r>
    </w:p>
    <w:p w14:paraId="1CF4598B" w14:textId="48D7519D" w:rsidR="001F14EF" w:rsidRDefault="001F14EF" w:rsidP="001F14EF">
      <w:pPr>
        <w:pStyle w:val="Heading4"/>
      </w:pPr>
      <w:r w:rsidRPr="007D0C2C">
        <w:t xml:space="preserve">Reporting continues to focus on the </w:t>
      </w:r>
      <w:r>
        <w:t>gaps between Indigenous and non</w:t>
      </w:r>
      <w:r w:rsidR="000E7EEC">
        <w:noBreakHyphen/>
      </w:r>
      <w:r>
        <w:t xml:space="preserve">Indigenous outcomes without context </w:t>
      </w:r>
      <w:r w:rsidR="00371077">
        <w:t>to aid interpretation</w:t>
      </w:r>
    </w:p>
    <w:p w14:paraId="651BE12A" w14:textId="00FBC4BE" w:rsidR="001F14EF" w:rsidRPr="0048491F" w:rsidRDefault="005376D0" w:rsidP="000A7F3D">
      <w:pPr>
        <w:pStyle w:val="BodyText"/>
        <w:keepNext/>
        <w:rPr>
          <w:spacing w:val="-4"/>
        </w:rPr>
      </w:pPr>
      <w:r w:rsidRPr="0048491F">
        <w:rPr>
          <w:spacing w:val="-4"/>
        </w:rPr>
        <w:t>As public reports, the dashboard and ADCR inform how the community understands whether progress is being made to improve life outcomes for Aboriginal and Torres Strait Islander people</w:t>
      </w:r>
      <w:r w:rsidR="000E7EEC" w:rsidRPr="0048491F">
        <w:rPr>
          <w:spacing w:val="-4"/>
        </w:rPr>
        <w:t>,</w:t>
      </w:r>
      <w:r w:rsidRPr="0048491F">
        <w:rPr>
          <w:spacing w:val="-4"/>
        </w:rPr>
        <w:t xml:space="preserve"> and why. </w:t>
      </w:r>
      <w:r w:rsidR="001F14EF" w:rsidRPr="0048491F">
        <w:rPr>
          <w:spacing w:val="-4"/>
        </w:rPr>
        <w:t>Review participants expressed concern that reporting currently remains overly focused on highlighting the ‘gaps’ between Aboriginal and Torres Strait Islander people and non</w:t>
      </w:r>
      <w:r w:rsidR="00827859" w:rsidRPr="0048491F">
        <w:rPr>
          <w:spacing w:val="-4"/>
        </w:rPr>
        <w:noBreakHyphen/>
      </w:r>
      <w:r w:rsidR="001F14EF" w:rsidRPr="0048491F">
        <w:rPr>
          <w:spacing w:val="-4"/>
        </w:rPr>
        <w:t xml:space="preserve">Indigenous </w:t>
      </w:r>
      <w:r w:rsidR="003B4BCD" w:rsidRPr="0048491F">
        <w:rPr>
          <w:spacing w:val="-4"/>
        </w:rPr>
        <w:t>people</w:t>
      </w:r>
      <w:r w:rsidR="001F14EF" w:rsidRPr="0048491F">
        <w:rPr>
          <w:spacing w:val="-4"/>
        </w:rPr>
        <w:t xml:space="preserve">. While this reveals inequality, without context, it also risks attributing problems to Aboriginal and Torres Strait Islander people, rather than the current and historical </w:t>
      </w:r>
      <w:r w:rsidR="005D1091" w:rsidRPr="0048491F">
        <w:rPr>
          <w:spacing w:val="-4"/>
        </w:rPr>
        <w:lastRenderedPageBreak/>
        <w:t>inequities</w:t>
      </w:r>
      <w:r w:rsidR="001F14EF" w:rsidRPr="0048491F">
        <w:rPr>
          <w:spacing w:val="-4"/>
        </w:rPr>
        <w:t>.</w:t>
      </w:r>
      <w:r w:rsidR="009A54D0" w:rsidRPr="0048491F">
        <w:rPr>
          <w:spacing w:val="-4"/>
        </w:rPr>
        <w:t xml:space="preserve"> This concern was raised in submissions and </w:t>
      </w:r>
      <w:r w:rsidR="00FC4087" w:rsidRPr="0048491F">
        <w:rPr>
          <w:spacing w:val="-4"/>
        </w:rPr>
        <w:t xml:space="preserve">in </w:t>
      </w:r>
      <w:r w:rsidR="009A54D0" w:rsidRPr="0048491F">
        <w:rPr>
          <w:spacing w:val="-4"/>
        </w:rPr>
        <w:t>the Commission’s engagement with ACCOs. For example,</w:t>
      </w:r>
      <w:r w:rsidR="001F14EF" w:rsidRPr="0048491F">
        <w:rPr>
          <w:spacing w:val="-4"/>
        </w:rPr>
        <w:t xml:space="preserve"> </w:t>
      </w:r>
      <w:r w:rsidR="009A54D0" w:rsidRPr="0048491F">
        <w:rPr>
          <w:spacing w:val="-4"/>
        </w:rPr>
        <w:t>t</w:t>
      </w:r>
      <w:r w:rsidR="001F14EF" w:rsidRPr="0048491F">
        <w:rPr>
          <w:spacing w:val="-4"/>
        </w:rPr>
        <w:t>he Federation of Victorian Traditional Owner Corporations explained:</w:t>
      </w:r>
    </w:p>
    <w:p w14:paraId="799A06E2" w14:textId="73BB449B" w:rsidR="001F14EF" w:rsidRDefault="009978B1" w:rsidP="001F14EF">
      <w:pPr>
        <w:pStyle w:val="Quote"/>
      </w:pPr>
      <w:r>
        <w:t>…</w:t>
      </w:r>
      <w:r w:rsidR="00397F38" w:rsidRPr="00397F38">
        <w:t xml:space="preserve"> The focus on ‘gaps’ frames and represents Aboriginal and Torres Strait Islander people in a narrative of negativity, deficiency, and failure</w:t>
      </w:r>
      <w:r w:rsidR="00397F38">
        <w:t xml:space="preserve">. </w:t>
      </w:r>
      <w:r w:rsidR="001F14EF" w:rsidRPr="00FD37C1">
        <w:t>While deficit data can be useful to highlight inequalities and draw attention to areas requiring more effective and appropriate service delivery from governments, when repeatedly restated, such statistics can also contribute to a narrative that reduces Aboriginal and Torres Strait Islander people into a statistical problem.</w:t>
      </w:r>
      <w:r w:rsidR="001F14EF">
        <w:t xml:space="preserve"> </w:t>
      </w:r>
      <w:r w:rsidR="001F14EF">
        <w:rPr>
          <w:rFonts w:ascii="Arial" w:hAnsi="Arial" w:cs="Arial"/>
        </w:rPr>
        <w:t xml:space="preserve">Moreover, such deficit discourse can place responsibility for inequalities with Aboriginal and Torres Strait Islander people and communities, and obscures underlying structural inequalities and more sophisticated understandings of the roles that factors such as language, culture, Country and community play in health outcomes. </w:t>
      </w:r>
      <w:r w:rsidR="001F14EF">
        <w:t>(sub</w:t>
      </w:r>
      <w:r w:rsidR="009045FF">
        <w:t>.</w:t>
      </w:r>
      <w:r w:rsidR="005634D7">
        <w:t> </w:t>
      </w:r>
      <w:r w:rsidR="001F14EF">
        <w:t>24, p.</w:t>
      </w:r>
      <w:r w:rsidR="005634D7">
        <w:t> </w:t>
      </w:r>
      <w:r w:rsidR="001F14EF">
        <w:t>1)</w:t>
      </w:r>
    </w:p>
    <w:p w14:paraId="25070B42" w14:textId="74909140" w:rsidR="001F14EF" w:rsidRDefault="001F14EF" w:rsidP="001F14EF">
      <w:pPr>
        <w:pStyle w:val="BodyText"/>
      </w:pPr>
      <w:r>
        <w:t>While the Agreement specifies that reporting on the targets will show progress relative to non</w:t>
      </w:r>
      <w:r w:rsidR="00827859">
        <w:noBreakHyphen/>
      </w:r>
      <w:r>
        <w:t xml:space="preserve">Indigenous </w:t>
      </w:r>
      <w:r w:rsidR="005D1091">
        <w:t>people</w:t>
      </w:r>
      <w:r>
        <w:t xml:space="preserve"> (clause 88), it was intended that this would be presented alongside </w:t>
      </w:r>
      <w:r w:rsidRPr="00AE77A5">
        <w:t>data measuring</w:t>
      </w:r>
      <w:r>
        <w:t xml:space="preserve"> the </w:t>
      </w:r>
      <w:r w:rsidR="006E171F">
        <w:t>P</w:t>
      </w:r>
      <w:r>
        <w:t xml:space="preserve">riority </w:t>
      </w:r>
      <w:r w:rsidR="006E171F">
        <w:t>R</w:t>
      </w:r>
      <w:r>
        <w:t>eforms and</w:t>
      </w:r>
      <w:r w:rsidRPr="00AE77A5">
        <w:t xml:space="preserve"> </w:t>
      </w:r>
      <w:r>
        <w:t>other factors influencing</w:t>
      </w:r>
      <w:r w:rsidRPr="00AE77A5">
        <w:t xml:space="preserve"> outcomes (including social and cultural determinants)</w:t>
      </w:r>
      <w:r>
        <w:t xml:space="preserve">. </w:t>
      </w:r>
      <w:r w:rsidR="00554D3E" w:rsidRPr="00554D3E">
        <w:t>This is consistent</w:t>
      </w:r>
      <w:r w:rsidR="00554D3E" w:rsidRPr="00554D3E" w:rsidDel="00E93A7C">
        <w:t xml:space="preserve"> </w:t>
      </w:r>
      <w:r w:rsidR="003B6815">
        <w:t>with</w:t>
      </w:r>
      <w:r w:rsidR="00554D3E" w:rsidRPr="00554D3E" w:rsidDel="00E93A7C">
        <w:t xml:space="preserve"> </w:t>
      </w:r>
      <w:r w:rsidR="00554D3E" w:rsidRPr="00554D3E">
        <w:t xml:space="preserve">reviews of the NIRA, which found reporting lacked indicators of government performance and the structural factors that affect progress, such as racism and the functioning of the justice system </w:t>
      </w:r>
      <w:r w:rsidR="001B4678" w:rsidRPr="001B4678">
        <w:rPr>
          <w:rFonts w:ascii="Arial" w:hAnsi="Arial" w:cs="Arial"/>
          <w:szCs w:val="24"/>
        </w:rPr>
        <w:t>(Markham et al. 2018, p. 2; NIAA 2019, p. 5)</w:t>
      </w:r>
      <w:r w:rsidR="00554D3E" w:rsidRPr="00554D3E">
        <w:t>.</w:t>
      </w:r>
      <w:r>
        <w:t xml:space="preserve"> </w:t>
      </w:r>
    </w:p>
    <w:p w14:paraId="48CDE184" w14:textId="72A098E1" w:rsidR="001F14EF" w:rsidRDefault="00771C58" w:rsidP="00F96509">
      <w:pPr>
        <w:pStyle w:val="BodyText"/>
      </w:pPr>
      <w:r>
        <w:t>In addition to the missing indicators, the design and content of the dashboard and ADCR</w:t>
      </w:r>
      <w:r w:rsidDel="00CB1273">
        <w:t xml:space="preserve"> </w:t>
      </w:r>
      <w:r>
        <w:t>has been constrained by</w:t>
      </w:r>
      <w:r w:rsidR="00F0762D">
        <w:t xml:space="preserve"> the lack of a clear conceptual logic for the performance monitoring framework (section</w:t>
      </w:r>
      <w:r w:rsidR="005634D7">
        <w:t> </w:t>
      </w:r>
      <w:r w:rsidR="00F0762D">
        <w:t>2)</w:t>
      </w:r>
      <w:r w:rsidR="008C6839">
        <w:t xml:space="preserve">. </w:t>
      </w:r>
      <w:r w:rsidR="001F14EF" w:rsidRPr="005F31BD">
        <w:t xml:space="preserve">The dashboard mirrors the layout of the </w:t>
      </w:r>
      <w:r w:rsidR="008C6839">
        <w:t>target</w:t>
      </w:r>
      <w:r w:rsidR="008C6839" w:rsidRPr="005F31BD">
        <w:t xml:space="preserve"> </w:t>
      </w:r>
      <w:r w:rsidR="001F14EF" w:rsidRPr="005F31BD">
        <w:t>framework</w:t>
      </w:r>
      <w:r w:rsidR="001F14EF">
        <w:t>s in the Agreement:</w:t>
      </w:r>
      <w:r w:rsidR="001F14EF" w:rsidRPr="005F31BD">
        <w:t xml:space="preserve"> it is divided into distinct sections for the </w:t>
      </w:r>
      <w:r w:rsidR="008C6839">
        <w:t>P</w:t>
      </w:r>
      <w:r w:rsidR="001F14EF" w:rsidRPr="005F31BD">
        <w:t xml:space="preserve">riority </w:t>
      </w:r>
      <w:r w:rsidR="008C6839">
        <w:t>R</w:t>
      </w:r>
      <w:r w:rsidR="001F14EF" w:rsidRPr="005F31BD">
        <w:t>eforms and socio</w:t>
      </w:r>
      <w:r w:rsidR="00827859">
        <w:noBreakHyphen/>
      </w:r>
      <w:r w:rsidR="001F14EF" w:rsidRPr="005F31BD">
        <w:t>economic outcome</w:t>
      </w:r>
      <w:r w:rsidR="00FC5C9C">
        <w:t>s</w:t>
      </w:r>
      <w:r w:rsidR="001F14EF" w:rsidRPr="005F31BD">
        <w:t xml:space="preserve">, with individual pages for each outcome. </w:t>
      </w:r>
      <w:r w:rsidR="001F14EF">
        <w:t>The target data is presented upfront by Indigenous status</w:t>
      </w:r>
      <w:r w:rsidR="00FA6C70">
        <w:t>,</w:t>
      </w:r>
      <w:r w:rsidR="001F14EF">
        <w:t xml:space="preserve"> </w:t>
      </w:r>
      <w:r w:rsidR="00FA6C70">
        <w:t xml:space="preserve">with </w:t>
      </w:r>
      <w:r w:rsidR="001F14EF">
        <w:t xml:space="preserve">the </w:t>
      </w:r>
      <w:r w:rsidR="001F14EF" w:rsidRPr="00462152">
        <w:t>disaggregation</w:t>
      </w:r>
      <w:r w:rsidR="001F14EF">
        <w:t>s</w:t>
      </w:r>
      <w:r w:rsidR="001F14EF" w:rsidRPr="00462152">
        <w:t xml:space="preserve"> and supporting indicators presented in separate sub</w:t>
      </w:r>
      <w:r w:rsidR="00827859">
        <w:noBreakHyphen/>
      </w:r>
      <w:r w:rsidR="001F14EF" w:rsidRPr="00462152">
        <w:t>sections</w:t>
      </w:r>
      <w:r w:rsidR="001F14EF">
        <w:t>. This design conceals the interrelationships between the socio</w:t>
      </w:r>
      <w:r w:rsidR="00827859">
        <w:noBreakHyphen/>
      </w:r>
      <w:r w:rsidR="001F14EF">
        <w:t xml:space="preserve">economic outcomes and the role of the </w:t>
      </w:r>
      <w:r w:rsidR="00073C3A">
        <w:t>P</w:t>
      </w:r>
      <w:r w:rsidR="001F14EF">
        <w:t xml:space="preserve">riority </w:t>
      </w:r>
      <w:r w:rsidR="00073C3A">
        <w:t>R</w:t>
      </w:r>
      <w:r w:rsidR="001F14EF">
        <w:t xml:space="preserve">eforms. </w:t>
      </w:r>
      <w:r w:rsidR="001F14EF" w:rsidRPr="00952C4E">
        <w:t xml:space="preserve">Furthermore, the dashboard and ADCR provide little information explaining why the different measures </w:t>
      </w:r>
      <w:r w:rsidR="004B149C">
        <w:t>matter</w:t>
      </w:r>
      <w:r w:rsidR="001F14EF" w:rsidRPr="00952C4E">
        <w:t xml:space="preserve"> and how they are related. </w:t>
      </w:r>
    </w:p>
    <w:p w14:paraId="1D51702E" w14:textId="41E677F6" w:rsidR="001F14EF" w:rsidRDefault="003B7E9A" w:rsidP="00750AB2">
      <w:pPr>
        <w:pStyle w:val="ListBullet"/>
        <w:numPr>
          <w:ilvl w:val="0"/>
          <w:numId w:val="0"/>
        </w:numPr>
      </w:pPr>
      <w:r>
        <w:t>T</w:t>
      </w:r>
      <w:r w:rsidR="001F14EF">
        <w:t xml:space="preserve">he </w:t>
      </w:r>
      <w:r w:rsidR="007E045D">
        <w:t>reports</w:t>
      </w:r>
      <w:r w:rsidR="001F14EF">
        <w:t xml:space="preserve"> could </w:t>
      </w:r>
      <w:r w:rsidR="00F010B7">
        <w:t xml:space="preserve">provide greater context to support </w:t>
      </w:r>
      <w:r w:rsidR="008222A9">
        <w:t>users to</w:t>
      </w:r>
      <w:r w:rsidR="00F010B7">
        <w:t xml:space="preserve"> interpret the target data by incorporating findings from relevant research and evaluations. </w:t>
      </w:r>
      <w:r w:rsidR="00680EA6">
        <w:t xml:space="preserve">For instance, the Commission’s </w:t>
      </w:r>
      <w:r w:rsidR="00BA10B5">
        <w:t xml:space="preserve">former </w:t>
      </w:r>
      <w:r w:rsidR="00680EA6" w:rsidRPr="006F624F">
        <w:rPr>
          <w:i/>
        </w:rPr>
        <w:t>Overcoming Indigenous Disadvantage</w:t>
      </w:r>
      <w:r w:rsidR="00C337AA">
        <w:t xml:space="preserve"> reports</w:t>
      </w:r>
      <w:r w:rsidR="00680EA6">
        <w:t xml:space="preserve"> </w:t>
      </w:r>
      <w:r w:rsidR="00F35092">
        <w:t xml:space="preserve">drew </w:t>
      </w:r>
      <w:r w:rsidR="00680EA6">
        <w:t xml:space="preserve">on research literature to explain the significance of the results and the importance of different contributing factors. </w:t>
      </w:r>
      <w:r w:rsidR="001F14EF">
        <w:t>Howeve</w:t>
      </w:r>
      <w:r w:rsidR="001F14EF" w:rsidRPr="00680EA6">
        <w:t xml:space="preserve">r, </w:t>
      </w:r>
      <w:r w:rsidR="001F14EF">
        <w:t xml:space="preserve">to avoid </w:t>
      </w:r>
      <w:r w:rsidR="001F14EF" w:rsidRPr="00B15BDE">
        <w:t xml:space="preserve">duplication, </w:t>
      </w:r>
      <w:r w:rsidR="00B15BDE" w:rsidRPr="0023252A">
        <w:t xml:space="preserve">the </w:t>
      </w:r>
      <w:r w:rsidR="00F645F8">
        <w:t>scope</w:t>
      </w:r>
      <w:r w:rsidR="00B15BDE" w:rsidRPr="0023252A">
        <w:t xml:space="preserve"> of </w:t>
      </w:r>
      <w:r w:rsidR="001D53E9">
        <w:t xml:space="preserve">the </w:t>
      </w:r>
      <w:r w:rsidR="00B15BDE" w:rsidRPr="0023252A">
        <w:t xml:space="preserve">dashboard and ADCR </w:t>
      </w:r>
      <w:r w:rsidR="00C61E03">
        <w:t xml:space="preserve">should </w:t>
      </w:r>
      <w:r w:rsidR="00F645F8">
        <w:t xml:space="preserve">take into account </w:t>
      </w:r>
      <w:r w:rsidR="00B15BDE" w:rsidRPr="0023252A">
        <w:t xml:space="preserve">the functions of other established reports and data </w:t>
      </w:r>
      <w:r w:rsidR="00B15BDE" w:rsidRPr="00F96509">
        <w:t>tools</w:t>
      </w:r>
      <w:r w:rsidR="007C20B6">
        <w:t xml:space="preserve"> (</w:t>
      </w:r>
      <w:r w:rsidR="007733D9">
        <w:t>such as</w:t>
      </w:r>
      <w:r w:rsidR="00B15BDE">
        <w:t xml:space="preserve"> </w:t>
      </w:r>
      <w:r w:rsidR="001F14EF">
        <w:t xml:space="preserve">the </w:t>
      </w:r>
      <w:r w:rsidR="001F14EF" w:rsidRPr="00A55153">
        <w:t>AIHW’s Aboriginal and Torres Strait Islander Health Performance Framework</w:t>
      </w:r>
      <w:r w:rsidR="007C20B6">
        <w:t>).</w:t>
      </w:r>
      <w:r w:rsidR="001F14EF">
        <w:t xml:space="preserve"> </w:t>
      </w:r>
    </w:p>
    <w:p w14:paraId="7A47CC83" w14:textId="07F74459" w:rsidR="00183E1B" w:rsidRPr="00242E51" w:rsidRDefault="00812914" w:rsidP="002E50DC">
      <w:pPr>
        <w:pStyle w:val="BodyText"/>
        <w:rPr>
          <w:spacing w:val="-2"/>
        </w:rPr>
      </w:pPr>
      <w:r w:rsidRPr="00242E51">
        <w:rPr>
          <w:spacing w:val="-2"/>
        </w:rPr>
        <w:t xml:space="preserve">A key </w:t>
      </w:r>
      <w:r w:rsidR="00BC3DD3" w:rsidRPr="00242E51">
        <w:rPr>
          <w:spacing w:val="-2"/>
        </w:rPr>
        <w:t xml:space="preserve">issue </w:t>
      </w:r>
      <w:r w:rsidRPr="00242E51">
        <w:rPr>
          <w:spacing w:val="-2"/>
        </w:rPr>
        <w:t xml:space="preserve">is </w:t>
      </w:r>
      <w:r w:rsidR="00480B24" w:rsidRPr="00242E51">
        <w:rPr>
          <w:spacing w:val="-2"/>
        </w:rPr>
        <w:t xml:space="preserve">how </w:t>
      </w:r>
      <w:r w:rsidR="00353081" w:rsidRPr="00242E51">
        <w:rPr>
          <w:spacing w:val="-2"/>
        </w:rPr>
        <w:t>decisions about the</w:t>
      </w:r>
      <w:r w:rsidR="00FF26A3" w:rsidRPr="00242E51">
        <w:rPr>
          <w:spacing w:val="-2"/>
        </w:rPr>
        <w:t xml:space="preserve"> design and </w:t>
      </w:r>
      <w:r w:rsidR="00FC24EF" w:rsidRPr="00242E51">
        <w:rPr>
          <w:spacing w:val="-2"/>
        </w:rPr>
        <w:t>development of the</w:t>
      </w:r>
      <w:r w:rsidR="00FF26A3" w:rsidRPr="00242E51">
        <w:rPr>
          <w:spacing w:val="-2"/>
        </w:rPr>
        <w:t xml:space="preserve"> </w:t>
      </w:r>
      <w:r w:rsidR="00F135B9" w:rsidRPr="00242E51">
        <w:rPr>
          <w:spacing w:val="-2"/>
        </w:rPr>
        <w:t>performance reports</w:t>
      </w:r>
      <w:r w:rsidR="00344F7A" w:rsidRPr="00242E51">
        <w:rPr>
          <w:spacing w:val="-2"/>
        </w:rPr>
        <w:t xml:space="preserve"> </w:t>
      </w:r>
      <w:r w:rsidR="00353081" w:rsidRPr="00242E51">
        <w:rPr>
          <w:spacing w:val="-2"/>
        </w:rPr>
        <w:t xml:space="preserve">are made and who is </w:t>
      </w:r>
      <w:r w:rsidR="00A2292F" w:rsidRPr="00242E51">
        <w:rPr>
          <w:spacing w:val="-2"/>
        </w:rPr>
        <w:t xml:space="preserve">involved. </w:t>
      </w:r>
      <w:r w:rsidR="00CA42DF" w:rsidRPr="00242E51">
        <w:rPr>
          <w:spacing w:val="-2"/>
        </w:rPr>
        <w:t>M</w:t>
      </w:r>
      <w:r w:rsidR="00D50CEF" w:rsidRPr="00242E51">
        <w:rPr>
          <w:spacing w:val="-2"/>
        </w:rPr>
        <w:t xml:space="preserve">echanisms </w:t>
      </w:r>
      <w:r w:rsidR="00252B60" w:rsidRPr="00242E51">
        <w:rPr>
          <w:spacing w:val="-2"/>
        </w:rPr>
        <w:t>are needed</w:t>
      </w:r>
      <w:r w:rsidR="00271715" w:rsidRPr="00242E51">
        <w:rPr>
          <w:spacing w:val="-2"/>
        </w:rPr>
        <w:t xml:space="preserve"> to </w:t>
      </w:r>
      <w:r w:rsidR="001F14EF" w:rsidRPr="00242E51">
        <w:rPr>
          <w:spacing w:val="-2"/>
        </w:rPr>
        <w:t>centr</w:t>
      </w:r>
      <w:r w:rsidR="00480434" w:rsidRPr="00242E51">
        <w:rPr>
          <w:spacing w:val="-2"/>
        </w:rPr>
        <w:t>e</w:t>
      </w:r>
      <w:r w:rsidR="001F14EF" w:rsidRPr="00242E51">
        <w:rPr>
          <w:spacing w:val="-2"/>
        </w:rPr>
        <w:t xml:space="preserve"> the voices and perspectives of Aboriginal and Torres Strait Islander people in the </w:t>
      </w:r>
      <w:r w:rsidR="00F34192" w:rsidRPr="00242E51">
        <w:rPr>
          <w:spacing w:val="-2"/>
        </w:rPr>
        <w:t xml:space="preserve">assessment of </w:t>
      </w:r>
      <w:r w:rsidR="00513C25" w:rsidRPr="00242E51">
        <w:rPr>
          <w:spacing w:val="-2"/>
        </w:rPr>
        <w:t>the performance data</w:t>
      </w:r>
      <w:r w:rsidR="00F34192" w:rsidRPr="00242E51">
        <w:rPr>
          <w:spacing w:val="-2"/>
        </w:rPr>
        <w:t xml:space="preserve"> and </w:t>
      </w:r>
      <w:r w:rsidR="001F14EF" w:rsidRPr="00242E51">
        <w:rPr>
          <w:spacing w:val="-2"/>
        </w:rPr>
        <w:t xml:space="preserve">the story it tells. </w:t>
      </w:r>
      <w:r w:rsidR="00305536" w:rsidRPr="00242E51">
        <w:rPr>
          <w:spacing w:val="-2"/>
        </w:rPr>
        <w:t xml:space="preserve">While </w:t>
      </w:r>
      <w:r w:rsidR="001F14EF" w:rsidRPr="00242E51">
        <w:rPr>
          <w:spacing w:val="-2"/>
        </w:rPr>
        <w:t xml:space="preserve">the dashboard and ADCR </w:t>
      </w:r>
      <w:r w:rsidR="00983BC1" w:rsidRPr="00242E51">
        <w:rPr>
          <w:spacing w:val="-2"/>
        </w:rPr>
        <w:t>are</w:t>
      </w:r>
      <w:r w:rsidR="001F14EF" w:rsidRPr="00242E51">
        <w:rPr>
          <w:spacing w:val="-2"/>
        </w:rPr>
        <w:t xml:space="preserve"> overseen by the P</w:t>
      </w:r>
      <w:r w:rsidR="00BD6309" w:rsidRPr="00242E51">
        <w:rPr>
          <w:spacing w:val="-2"/>
        </w:rPr>
        <w:t>WG</w:t>
      </w:r>
      <w:r w:rsidR="001F14EF" w:rsidRPr="00242E51">
        <w:rPr>
          <w:spacing w:val="-2"/>
        </w:rPr>
        <w:t>, which includes representatives from the Coalition of Peak</w:t>
      </w:r>
      <w:r w:rsidR="001C5878" w:rsidRPr="00242E51">
        <w:rPr>
          <w:spacing w:val="-2"/>
        </w:rPr>
        <w:t>s</w:t>
      </w:r>
      <w:r w:rsidR="00FA0F6D" w:rsidRPr="00242E51">
        <w:rPr>
          <w:spacing w:val="-2"/>
        </w:rPr>
        <w:t>,</w:t>
      </w:r>
      <w:r w:rsidR="001F14EF" w:rsidRPr="00242E51">
        <w:rPr>
          <w:spacing w:val="-2"/>
        </w:rPr>
        <w:t xml:space="preserve"> it is unclear whether this arrangement provides sufficient opportunity for Aboriginal and Torres Strait Islander people and organisations to </w:t>
      </w:r>
      <w:r w:rsidR="00865189" w:rsidRPr="00242E51">
        <w:rPr>
          <w:spacing w:val="-2"/>
        </w:rPr>
        <w:t xml:space="preserve">advise on </w:t>
      </w:r>
      <w:r w:rsidR="002745F8" w:rsidRPr="00242E51">
        <w:rPr>
          <w:spacing w:val="-2"/>
        </w:rPr>
        <w:t xml:space="preserve">the content of the reports and how they </w:t>
      </w:r>
      <w:r w:rsidR="008000BD" w:rsidRPr="00242E51">
        <w:rPr>
          <w:spacing w:val="-2"/>
        </w:rPr>
        <w:t>c</w:t>
      </w:r>
      <w:r w:rsidR="000E78FA" w:rsidRPr="00242E51">
        <w:rPr>
          <w:spacing w:val="-2"/>
        </w:rPr>
        <w:t>ould</w:t>
      </w:r>
      <w:r w:rsidR="001F14EF" w:rsidRPr="00242E51">
        <w:rPr>
          <w:spacing w:val="-2"/>
        </w:rPr>
        <w:t xml:space="preserve"> be improved.</w:t>
      </w:r>
      <w:r w:rsidR="00E05559" w:rsidRPr="00242E51">
        <w:rPr>
          <w:spacing w:val="-2"/>
        </w:rPr>
        <w:t xml:space="preserve"> </w:t>
      </w:r>
      <w:r w:rsidR="00F85A87" w:rsidRPr="00242E51">
        <w:rPr>
          <w:spacing w:val="-2"/>
        </w:rPr>
        <w:t>A related issue is whether the current arrangements</w:t>
      </w:r>
      <w:r w:rsidR="0059125B" w:rsidRPr="00242E51">
        <w:rPr>
          <w:spacing w:val="-2"/>
        </w:rPr>
        <w:t xml:space="preserve"> </w:t>
      </w:r>
      <w:r w:rsidR="00452155" w:rsidRPr="00242E51">
        <w:rPr>
          <w:spacing w:val="-2"/>
        </w:rPr>
        <w:t xml:space="preserve">provide an appropriate level of </w:t>
      </w:r>
      <w:r w:rsidR="00D717D3" w:rsidRPr="00242E51">
        <w:rPr>
          <w:spacing w:val="-2"/>
        </w:rPr>
        <w:t>independent oversight, n</w:t>
      </w:r>
      <w:r w:rsidR="00725D74" w:rsidRPr="00242E51">
        <w:rPr>
          <w:spacing w:val="-2"/>
        </w:rPr>
        <w:t xml:space="preserve">oting that the Joint Council currently </w:t>
      </w:r>
      <w:r w:rsidR="00BB2584" w:rsidRPr="00242E51">
        <w:rPr>
          <w:spacing w:val="-2"/>
        </w:rPr>
        <w:t>has responsibility</w:t>
      </w:r>
      <w:r w:rsidR="00725D74" w:rsidRPr="00242E51">
        <w:rPr>
          <w:spacing w:val="-2"/>
        </w:rPr>
        <w:t xml:space="preserve"> for signing</w:t>
      </w:r>
      <w:r w:rsidR="00827859" w:rsidRPr="00242E51">
        <w:rPr>
          <w:spacing w:val="-2"/>
        </w:rPr>
        <w:noBreakHyphen/>
      </w:r>
      <w:r w:rsidR="00725D74" w:rsidRPr="00242E51">
        <w:rPr>
          <w:spacing w:val="-2"/>
        </w:rPr>
        <w:t xml:space="preserve">off on </w:t>
      </w:r>
      <w:r w:rsidR="00736E32" w:rsidRPr="00242E51">
        <w:rPr>
          <w:spacing w:val="-2"/>
        </w:rPr>
        <w:t xml:space="preserve">updates </w:t>
      </w:r>
      <w:r w:rsidR="00016D81" w:rsidRPr="00242E51">
        <w:rPr>
          <w:spacing w:val="-2"/>
        </w:rPr>
        <w:t xml:space="preserve">to the </w:t>
      </w:r>
      <w:r w:rsidR="00A057D6" w:rsidRPr="00242E51">
        <w:rPr>
          <w:spacing w:val="-2"/>
        </w:rPr>
        <w:t xml:space="preserve">dashboard </w:t>
      </w:r>
      <w:r w:rsidR="00736E32" w:rsidRPr="00242E51">
        <w:rPr>
          <w:spacing w:val="-2"/>
        </w:rPr>
        <w:t xml:space="preserve">and </w:t>
      </w:r>
      <w:r w:rsidR="002308D1" w:rsidRPr="00242E51">
        <w:rPr>
          <w:spacing w:val="-2"/>
        </w:rPr>
        <w:t xml:space="preserve">new </w:t>
      </w:r>
      <w:r w:rsidR="00736E32" w:rsidRPr="00242E51">
        <w:rPr>
          <w:spacing w:val="-2"/>
        </w:rPr>
        <w:t>ADCR releases</w:t>
      </w:r>
      <w:r w:rsidR="00725D74" w:rsidRPr="00242E51">
        <w:rPr>
          <w:spacing w:val="-2"/>
        </w:rPr>
        <w:t xml:space="preserve">. </w:t>
      </w:r>
    </w:p>
    <w:p w14:paraId="0CF8DC54" w14:textId="286D6301" w:rsidR="00686EED" w:rsidRDefault="00686EED" w:rsidP="00054C30">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82"/>
        <w:gridCol w:w="8856"/>
      </w:tblGrid>
      <w:tr w:rsidR="00686EED" w14:paraId="59FB16B9" w14:textId="77777777" w:rsidTr="006826C1">
        <w:trPr>
          <w:trHeight w:val="765"/>
          <w:tblHeader/>
        </w:trPr>
        <w:tc>
          <w:tcPr>
            <w:tcW w:w="366" w:type="pct"/>
            <w:shd w:val="clear" w:color="auto" w:fill="FBF3EC"/>
            <w:tcMar>
              <w:bottom w:w="0" w:type="dxa"/>
            </w:tcMar>
            <w:vAlign w:val="center"/>
          </w:tcPr>
          <w:p w14:paraId="42293504" w14:textId="214FC493" w:rsidR="00686EED" w:rsidRPr="00686EED" w:rsidRDefault="006826C1" w:rsidP="008F4890">
            <w:pPr>
              <w:pStyle w:val="NoSpacing"/>
              <w:keepNext/>
              <w:keepLines/>
              <w:jc w:val="right"/>
              <w:rPr>
                <w:color w:val="0D8380" w:themeColor="background2"/>
              </w:rPr>
            </w:pPr>
            <w:r w:rsidRPr="00A51374">
              <w:rPr>
                <w:noProof/>
              </w:rPr>
              <w:lastRenderedPageBreak/>
              <w:drawing>
                <wp:inline distT="0" distB="0" distL="0" distR="0" wp14:anchorId="0C350237" wp14:editId="68A29E0B">
                  <wp:extent cx="359508" cy="359508"/>
                  <wp:effectExtent l="0" t="0" r="0" b="0"/>
                  <wp:docPr id="185774115" name="Picture 185774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0844" name="Graphic 208990844">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8140" cy="368140"/>
                          </a:xfrm>
                          <a:prstGeom prst="rect">
                            <a:avLst/>
                          </a:prstGeom>
                        </pic:spPr>
                      </pic:pic>
                    </a:graphicData>
                  </a:graphic>
                </wp:inline>
              </w:drawing>
            </w:r>
          </w:p>
        </w:tc>
        <w:tc>
          <w:tcPr>
            <w:tcW w:w="4634" w:type="pct"/>
            <w:shd w:val="clear" w:color="auto" w:fill="FBF3EC"/>
            <w:tcMar>
              <w:bottom w:w="0" w:type="dxa"/>
            </w:tcMar>
            <w:vAlign w:val="center"/>
          </w:tcPr>
          <w:p w14:paraId="096B1CDD" w14:textId="77777777" w:rsidR="00686EED" w:rsidRPr="00686EED" w:rsidRDefault="00686EED" w:rsidP="00686EED">
            <w:pPr>
              <w:pStyle w:val="TableHeading"/>
              <w:keepNext/>
              <w:keepLines/>
              <w:spacing w:before="120"/>
              <w:contextualSpacing/>
              <w:rPr>
                <w:color w:val="0D8380" w:themeColor="background2"/>
                <w:sz w:val="20"/>
                <w:szCs w:val="22"/>
              </w:rPr>
            </w:pPr>
            <w:r w:rsidRPr="00686EED">
              <w:rPr>
                <w:color w:val="0D8380" w:themeColor="background2"/>
                <w:sz w:val="20"/>
                <w:szCs w:val="22"/>
              </w:rPr>
              <w:t>Information request 7</w:t>
            </w:r>
          </w:p>
          <w:p w14:paraId="41E3C4A0" w14:textId="6D3F1031" w:rsidR="00686EED" w:rsidRPr="00686EED" w:rsidRDefault="00686EED" w:rsidP="00686EED">
            <w:pPr>
              <w:pStyle w:val="TableHeading"/>
              <w:keepNext/>
              <w:keepLines/>
              <w:spacing w:before="120" w:after="120"/>
              <w:contextualSpacing/>
              <w:rPr>
                <w:color w:val="0D8380" w:themeColor="background2"/>
                <w:sz w:val="20"/>
              </w:rPr>
            </w:pPr>
            <w:r w:rsidRPr="00686EED">
              <w:rPr>
                <w:color w:val="0D8380" w:themeColor="background2"/>
                <w:sz w:val="20"/>
                <w:szCs w:val="22"/>
              </w:rPr>
              <w:t>Performance reporting tools – dashboard and annual data compilation report</w:t>
            </w:r>
          </w:p>
        </w:tc>
      </w:tr>
      <w:tr w:rsidR="00686EED" w14:paraId="7147A544" w14:textId="77777777" w:rsidTr="006826C1">
        <w:tc>
          <w:tcPr>
            <w:tcW w:w="5000" w:type="pct"/>
            <w:gridSpan w:val="2"/>
            <w:shd w:val="clear" w:color="auto" w:fill="FBF3EC"/>
          </w:tcPr>
          <w:p w14:paraId="56572F68" w14:textId="77777777" w:rsidR="006826C1" w:rsidRPr="006826C1" w:rsidRDefault="006826C1" w:rsidP="006826C1">
            <w:pPr>
              <w:pStyle w:val="BodyText"/>
              <w:keepNext/>
              <w:keepLines/>
              <w:rPr>
                <w:color w:val="000000" w:themeColor="text1"/>
              </w:rPr>
            </w:pPr>
            <w:r w:rsidRPr="006826C1">
              <w:rPr>
                <w:color w:val="000000" w:themeColor="text1"/>
              </w:rPr>
              <w:t>The Commission is seeking further information on how the performance reporting tools in the Agreement (namely the dashboard and annual data compilation report (ADCR)) are currently being used and how they could be improved.</w:t>
            </w:r>
          </w:p>
          <w:p w14:paraId="69C27E46" w14:textId="77777777" w:rsidR="006826C1" w:rsidRPr="006826C1" w:rsidRDefault="006826C1" w:rsidP="006826C1">
            <w:pPr>
              <w:pStyle w:val="ListBullet"/>
              <w:rPr>
                <w:color w:val="000000" w:themeColor="text1"/>
              </w:rPr>
            </w:pPr>
            <w:r w:rsidRPr="006826C1">
              <w:rPr>
                <w:color w:val="000000" w:themeColor="text1"/>
              </w:rPr>
              <w:t>Who are the intended audiences for the dashboard and ADCR?</w:t>
            </w:r>
          </w:p>
          <w:p w14:paraId="657326EF" w14:textId="77777777" w:rsidR="006826C1" w:rsidRPr="006826C1" w:rsidRDefault="006826C1" w:rsidP="006826C1">
            <w:pPr>
              <w:pStyle w:val="ListBullet"/>
              <w:rPr>
                <w:color w:val="000000" w:themeColor="text1"/>
              </w:rPr>
            </w:pPr>
            <w:r w:rsidRPr="006826C1">
              <w:rPr>
                <w:color w:val="000000" w:themeColor="text1"/>
              </w:rPr>
              <w:t>How well do the dashboard and ADCR meet the needs of their intended audiences?</w:t>
            </w:r>
          </w:p>
          <w:p w14:paraId="0DA9810F" w14:textId="77777777" w:rsidR="006826C1" w:rsidRPr="006826C1" w:rsidRDefault="006826C1" w:rsidP="006826C1">
            <w:pPr>
              <w:pStyle w:val="ListBullet"/>
              <w:rPr>
                <w:color w:val="000000" w:themeColor="text1"/>
              </w:rPr>
            </w:pPr>
            <w:r w:rsidRPr="006826C1">
              <w:rPr>
                <w:color w:val="000000" w:themeColor="text1"/>
              </w:rPr>
              <w:t xml:space="preserve">Are there features or types of supporting information that should be included in the dashboard or ADCR to support the use and interpretation of the data? </w:t>
            </w:r>
          </w:p>
          <w:p w14:paraId="3AC8D4F2" w14:textId="77777777" w:rsidR="006826C1" w:rsidRPr="006826C1" w:rsidRDefault="006826C1" w:rsidP="006826C1">
            <w:pPr>
              <w:pStyle w:val="ListBullet"/>
              <w:rPr>
                <w:color w:val="000000" w:themeColor="text1"/>
              </w:rPr>
            </w:pPr>
            <w:r w:rsidRPr="006826C1">
              <w:rPr>
                <w:color w:val="000000" w:themeColor="text1"/>
              </w:rPr>
              <w:t>What information should the Agreement’s performance reporting focus on providing relative to other reporting frameworks and tools (for example, the Aboriginal and Torres Strait Islander Health Performance Framework)?</w:t>
            </w:r>
          </w:p>
          <w:p w14:paraId="10A3A6EE" w14:textId="459E201B" w:rsidR="00686EED" w:rsidRDefault="006826C1" w:rsidP="00214135">
            <w:pPr>
              <w:pStyle w:val="ListBullet"/>
            </w:pPr>
            <w:r w:rsidRPr="006826C1">
              <w:rPr>
                <w:color w:val="000000" w:themeColor="text1"/>
              </w:rPr>
              <w:t>Is there a need for additional reporting tools to support the intended purposes of monitoring performance against the Agreement?</w:t>
            </w:r>
          </w:p>
        </w:tc>
      </w:tr>
      <w:tr w:rsidR="00686EED" w14:paraId="529FEC1E" w14:textId="77777777" w:rsidTr="00054C30">
        <w:tc>
          <w:tcPr>
            <w:tcW w:w="5000" w:type="pct"/>
            <w:gridSpan w:val="2"/>
            <w:tcMar>
              <w:bottom w:w="0" w:type="dxa"/>
            </w:tcMar>
          </w:tcPr>
          <w:p w14:paraId="649C135E" w14:textId="077BE3BA" w:rsidR="00686EED" w:rsidRDefault="00686EED" w:rsidP="008F4890">
            <w:pPr>
              <w:pStyle w:val="NoSpacing"/>
              <w:spacing w:line="200" w:lineRule="atLeast"/>
            </w:pPr>
          </w:p>
        </w:tc>
      </w:tr>
    </w:tbl>
    <w:p w14:paraId="596A48F4" w14:textId="55B26285" w:rsidR="005B3CF4" w:rsidRDefault="00CB4645" w:rsidP="00523AA9">
      <w:pPr>
        <w:pStyle w:val="Heading3"/>
      </w:pPr>
      <w:r>
        <w:t xml:space="preserve">Implementation </w:t>
      </w:r>
      <w:r w:rsidR="00FB2B54">
        <w:t>p</w:t>
      </w:r>
      <w:r>
        <w:t>lans</w:t>
      </w:r>
      <w:r w:rsidR="00917616">
        <w:t xml:space="preserve"> </w:t>
      </w:r>
      <w:r w:rsidR="00917616" w:rsidRPr="00917616">
        <w:t xml:space="preserve">do not </w:t>
      </w:r>
      <w:r w:rsidR="00914C2A">
        <w:t xml:space="preserve">demonstrate a strategic approach or </w:t>
      </w:r>
      <w:r w:rsidR="00917616" w:rsidRPr="00917616">
        <w:t>consistently adhere to agreed elements</w:t>
      </w:r>
    </w:p>
    <w:p w14:paraId="318CC488" w14:textId="59FB251E" w:rsidR="001378A8" w:rsidRDefault="001378A8" w:rsidP="008026FD">
      <w:pPr>
        <w:pStyle w:val="BodyText"/>
      </w:pPr>
      <w:r>
        <w:t xml:space="preserve">The Agreement commits the </w:t>
      </w:r>
      <w:r w:rsidR="00E72A6E">
        <w:t>p</w:t>
      </w:r>
      <w:r>
        <w:t xml:space="preserve">arties to developing rigorous </w:t>
      </w:r>
      <w:r w:rsidR="00BE59A5">
        <w:t>i</w:t>
      </w:r>
      <w:r>
        <w:t xml:space="preserve">mplementation </w:t>
      </w:r>
      <w:r w:rsidR="00BE59A5">
        <w:t>p</w:t>
      </w:r>
      <w:r>
        <w:t xml:space="preserve">lans that </w:t>
      </w:r>
      <w:r w:rsidR="000C6E4E">
        <w:t>‘</w:t>
      </w:r>
      <w:r w:rsidRPr="0023252A">
        <w:t>respond to the differing needs, priorities and circumstances of Aboriginal and Torres Strait Islander people across Australia</w:t>
      </w:r>
      <w:r w:rsidR="000C6E4E">
        <w:t>’</w:t>
      </w:r>
      <w:r>
        <w:t xml:space="preserve"> (cl</w:t>
      </w:r>
      <w:r w:rsidR="003226B8">
        <w:t xml:space="preserve">ause </w:t>
      </w:r>
      <w:r>
        <w:t>96) and</w:t>
      </w:r>
      <w:r w:rsidRPr="0023252A">
        <w:t xml:space="preserve"> </w:t>
      </w:r>
      <w:r w:rsidR="000C6E4E">
        <w:t>‘</w:t>
      </w:r>
      <w:r w:rsidRPr="0023252A">
        <w:t>support achievement of the Agreement’s objectives and outcomes</w:t>
      </w:r>
      <w:r w:rsidR="000C6E4E">
        <w:t>’</w:t>
      </w:r>
      <w:r>
        <w:t xml:space="preserve"> (cl</w:t>
      </w:r>
      <w:r w:rsidR="003226B8">
        <w:t xml:space="preserve">ause </w:t>
      </w:r>
      <w:r>
        <w:t>104).</w:t>
      </w:r>
      <w:r w:rsidR="00E3217A">
        <w:t xml:space="preserve"> </w:t>
      </w:r>
      <w:r w:rsidR="00D9458E">
        <w:t>T</w:t>
      </w:r>
      <w:r w:rsidR="00BE59A5">
        <w:t xml:space="preserve">he plans </w:t>
      </w:r>
      <w:r w:rsidR="00D9458E">
        <w:t>are intended</w:t>
      </w:r>
      <w:r w:rsidR="002775A2">
        <w:t xml:space="preserve"> to </w:t>
      </w:r>
      <w:r w:rsidR="008F7FA7">
        <w:t xml:space="preserve">ensure that </w:t>
      </w:r>
      <w:r w:rsidR="00F21DB9">
        <w:t>Aboriginal</w:t>
      </w:r>
      <w:r w:rsidR="008F7FA7">
        <w:t xml:space="preserve"> and Torres Strait Islander people know that </w:t>
      </w:r>
      <w:r w:rsidR="00230C14">
        <w:t xml:space="preserve">the parties are advancing a new way </w:t>
      </w:r>
      <w:r w:rsidR="00F35858">
        <w:t xml:space="preserve">of </w:t>
      </w:r>
      <w:r w:rsidR="00230C14">
        <w:t xml:space="preserve">working and </w:t>
      </w:r>
      <w:r w:rsidR="00C5628D">
        <w:t>can monitor their progress.</w:t>
      </w:r>
      <w:r>
        <w:t xml:space="preserve"> Section</w:t>
      </w:r>
      <w:r w:rsidR="005634D7">
        <w:t> </w:t>
      </w:r>
      <w:r>
        <w:t xml:space="preserve">8 of the Agreement establishes how the </w:t>
      </w:r>
      <w:r w:rsidR="008E27E5">
        <w:t>implementation plan</w:t>
      </w:r>
      <w:r>
        <w:t xml:space="preserve">s are to be developed, what they must include and how </w:t>
      </w:r>
      <w:r w:rsidR="00812933">
        <w:t xml:space="preserve">progress on the actions named within them </w:t>
      </w:r>
      <w:r>
        <w:t>will be monitored (</w:t>
      </w:r>
      <w:r w:rsidR="00F96509" w:rsidRPr="003F4501">
        <w:t>b</w:t>
      </w:r>
      <w:r w:rsidRPr="003F4501">
        <w:t>ox</w:t>
      </w:r>
      <w:r w:rsidR="005634D7">
        <w:t> </w:t>
      </w:r>
      <w:r w:rsidR="003F4501" w:rsidRPr="003F4501">
        <w:t>1</w:t>
      </w:r>
      <w:r w:rsidR="003A2E93">
        <w:t>3</w:t>
      </w:r>
      <w:r>
        <w:t>).</w:t>
      </w:r>
    </w:p>
    <w:p w14:paraId="0EFACC03" w14:textId="2556EE45" w:rsidR="00357537" w:rsidRPr="0048491F" w:rsidRDefault="002E6F10" w:rsidP="008026FD">
      <w:pPr>
        <w:pStyle w:val="BodyText"/>
      </w:pPr>
      <w:r>
        <w:t xml:space="preserve">All </w:t>
      </w:r>
      <w:r w:rsidR="00936917">
        <w:t>p</w:t>
      </w:r>
      <w:r>
        <w:t xml:space="preserve">arties were required to </w:t>
      </w:r>
      <w:r w:rsidR="00E26901">
        <w:t xml:space="preserve">deliver their </w:t>
      </w:r>
      <w:r w:rsidR="0045417F">
        <w:t>i</w:t>
      </w:r>
      <w:r w:rsidR="00E26901">
        <w:t xml:space="preserve">mplementation </w:t>
      </w:r>
      <w:r w:rsidR="0045417F">
        <w:t>p</w:t>
      </w:r>
      <w:r w:rsidR="00E26901">
        <w:t>lans to the Joint Council within 12 months of the Agreement commencing (</w:t>
      </w:r>
      <w:r w:rsidR="00E4241A">
        <w:t xml:space="preserve">July 2021). </w:t>
      </w:r>
      <w:r w:rsidR="00825152">
        <w:t xml:space="preserve">The </w:t>
      </w:r>
      <w:r w:rsidR="00E946F6" w:rsidRPr="00363E36">
        <w:t>Agreement does not</w:t>
      </w:r>
      <w:r w:rsidR="00723D6E" w:rsidRPr="00363E36">
        <w:t xml:space="preserve"> </w:t>
      </w:r>
      <w:r w:rsidR="00D6062B" w:rsidRPr="00363E36">
        <w:t xml:space="preserve">stipulate </w:t>
      </w:r>
      <w:r w:rsidR="00812933">
        <w:t>what</w:t>
      </w:r>
      <w:r w:rsidR="00723D6E" w:rsidRPr="00363E36">
        <w:t xml:space="preserve"> </w:t>
      </w:r>
      <w:r w:rsidR="00036EBC" w:rsidRPr="00363E36">
        <w:t xml:space="preserve">time </w:t>
      </w:r>
      <w:r w:rsidR="00DC23B1" w:rsidRPr="00363E36">
        <w:t xml:space="preserve">period </w:t>
      </w:r>
      <w:r w:rsidR="00036EBC" w:rsidRPr="00363E36">
        <w:t>the plans should co</w:t>
      </w:r>
      <w:r w:rsidR="00C86BEC" w:rsidRPr="00363E36">
        <w:t>ver</w:t>
      </w:r>
      <w:r w:rsidR="00171729" w:rsidRPr="00363E36">
        <w:t xml:space="preserve"> </w:t>
      </w:r>
      <w:r w:rsidR="004C68CC" w:rsidRPr="00363E36">
        <w:t xml:space="preserve">or </w:t>
      </w:r>
      <w:r w:rsidR="00363E36" w:rsidRPr="00363E36">
        <w:t>how regularly they should be reviewed</w:t>
      </w:r>
      <w:r w:rsidR="00812933">
        <w:t>,</w:t>
      </w:r>
      <w:r w:rsidR="00363E36" w:rsidRPr="00363E36">
        <w:t xml:space="preserve"> </w:t>
      </w:r>
      <w:r w:rsidR="00252460" w:rsidRPr="00363E36">
        <w:t xml:space="preserve">but it does </w:t>
      </w:r>
      <w:r w:rsidR="00D67E0A" w:rsidRPr="00363E36">
        <w:t>suggest that the</w:t>
      </w:r>
      <w:r w:rsidR="009677C2" w:rsidRPr="00363E36">
        <w:t xml:space="preserve">y are intended to </w:t>
      </w:r>
      <w:r w:rsidR="00981381" w:rsidRPr="00363E36">
        <w:t xml:space="preserve">be living documents. </w:t>
      </w:r>
      <w:r w:rsidR="00242BFA" w:rsidRPr="00363E36">
        <w:t>Notably, c</w:t>
      </w:r>
      <w:r w:rsidR="003A3114" w:rsidRPr="00363E36">
        <w:t xml:space="preserve">lause 91 </w:t>
      </w:r>
      <w:r w:rsidR="004564A3" w:rsidRPr="00363E36">
        <w:t xml:space="preserve">requires the </w:t>
      </w:r>
      <w:r w:rsidR="00743A2F">
        <w:t>p</w:t>
      </w:r>
      <w:r w:rsidR="004564A3" w:rsidRPr="00363E36">
        <w:t xml:space="preserve">arties to include </w:t>
      </w:r>
      <w:r w:rsidR="00242BFA" w:rsidRPr="00363E36">
        <w:t xml:space="preserve">actions </w:t>
      </w:r>
      <w:r w:rsidR="00293E98" w:rsidRPr="00363E36">
        <w:t xml:space="preserve">in their </w:t>
      </w:r>
      <w:r w:rsidR="008E27E5">
        <w:t>implementation plan</w:t>
      </w:r>
      <w:r w:rsidR="00377BB3" w:rsidRPr="00363E36">
        <w:t xml:space="preserve">s to </w:t>
      </w:r>
      <w:r w:rsidR="00377BB3">
        <w:t xml:space="preserve">address </w:t>
      </w:r>
      <w:r w:rsidR="00C644E9">
        <w:t>any targets that are found to be off</w:t>
      </w:r>
      <w:r w:rsidR="00827859">
        <w:noBreakHyphen/>
      </w:r>
      <w:r w:rsidR="00C644E9">
        <w:t>track by one of the Commission’s three</w:t>
      </w:r>
      <w:r w:rsidR="00827859">
        <w:noBreakHyphen/>
      </w:r>
      <w:r w:rsidR="00C644E9">
        <w:t>yearly reviews.</w:t>
      </w:r>
      <w:r w:rsidR="00C644E9" w:rsidRPr="0048491F">
        <w:t xml:space="preserve"> </w:t>
      </w:r>
    </w:p>
    <w:p w14:paraId="3C6FD247" w14:textId="14B9E337" w:rsidR="00897A35" w:rsidRDefault="00897A35" w:rsidP="008026FD">
      <w:pPr>
        <w:pStyle w:val="BodyText"/>
      </w:pPr>
      <w:r>
        <w:t xml:space="preserve">All parties </w:t>
      </w:r>
      <w:r w:rsidRPr="00A20B7D">
        <w:t>released their first implementation plans</w:t>
      </w:r>
      <w:r>
        <w:t xml:space="preserve"> </w:t>
      </w:r>
      <w:r w:rsidRPr="00A20B7D">
        <w:t>between June and September 2021</w:t>
      </w:r>
      <w:r>
        <w:t xml:space="preserve">. The plans cover different time periods </w:t>
      </w:r>
      <w:r w:rsidR="0010618F">
        <w:t>–</w:t>
      </w:r>
      <w:r w:rsidRPr="00A20B7D">
        <w:t xml:space="preserve"> for example, the Victorian and Tasmanian </w:t>
      </w:r>
      <w:r>
        <w:t>G</w:t>
      </w:r>
      <w:r w:rsidRPr="00A20B7D">
        <w:t>overnments’ plans relate to the period 2021</w:t>
      </w:r>
      <w:r w:rsidR="00827859" w:rsidRPr="008026FD">
        <w:t>–</w:t>
      </w:r>
      <w:r w:rsidRPr="00A20B7D">
        <w:t xml:space="preserve">23, whereas the </w:t>
      </w:r>
      <w:r w:rsidRPr="008026FD">
        <w:t>N</w:t>
      </w:r>
      <w:r w:rsidR="00C67871" w:rsidRPr="008026FD">
        <w:t>SW</w:t>
      </w:r>
      <w:r w:rsidRPr="00A20B7D">
        <w:t xml:space="preserve"> </w:t>
      </w:r>
      <w:r>
        <w:t xml:space="preserve">and Queensland </w:t>
      </w:r>
      <w:r w:rsidR="00503F22" w:rsidRPr="008026FD">
        <w:t>G</w:t>
      </w:r>
      <w:r w:rsidRPr="008026FD">
        <w:t>overnments’</w:t>
      </w:r>
      <w:r w:rsidRPr="00A20B7D">
        <w:t xml:space="preserve"> </w:t>
      </w:r>
      <w:r>
        <w:t>first</w:t>
      </w:r>
      <w:r w:rsidRPr="00A20B7D">
        <w:t xml:space="preserve"> plan</w:t>
      </w:r>
      <w:r>
        <w:t>s</w:t>
      </w:r>
      <w:r w:rsidRPr="00A20B7D">
        <w:t xml:space="preserve"> cover only 2021. </w:t>
      </w:r>
      <w:r>
        <w:t>As of June 2023, t</w:t>
      </w:r>
      <w:r w:rsidRPr="00A20B7D">
        <w:t xml:space="preserve">he Australian, </w:t>
      </w:r>
      <w:r w:rsidRPr="008026FD">
        <w:t>N</w:t>
      </w:r>
      <w:r w:rsidR="00503F22" w:rsidRPr="008026FD">
        <w:t>SW</w:t>
      </w:r>
      <w:r w:rsidRPr="00A20B7D">
        <w:t xml:space="preserve"> and Queensland </w:t>
      </w:r>
      <w:r>
        <w:t>G</w:t>
      </w:r>
      <w:r w:rsidRPr="00A20B7D">
        <w:t>overnments</w:t>
      </w:r>
      <w:r>
        <w:t>, as well as the</w:t>
      </w:r>
      <w:r w:rsidRPr="00977885">
        <w:t xml:space="preserve"> Australian Local Government Association (ALGA) and Coalition of Peaks</w:t>
      </w:r>
      <w:r>
        <w:t xml:space="preserve"> had</w:t>
      </w:r>
      <w:r w:rsidRPr="00A20B7D">
        <w:t xml:space="preserve"> subsequently released their second implementation plans</w:t>
      </w:r>
      <w:r>
        <w:t xml:space="preserve">. </w:t>
      </w:r>
      <w:r w:rsidRPr="009C2557">
        <w:t xml:space="preserve">The ACT and </w:t>
      </w:r>
      <w:r w:rsidRPr="008026FD">
        <w:t>WA</w:t>
      </w:r>
      <w:r w:rsidRPr="009C2557">
        <w:t xml:space="preserve"> Governments were yet to publish updated versions of their </w:t>
      </w:r>
      <w:r>
        <w:t xml:space="preserve">first </w:t>
      </w:r>
      <w:r w:rsidRPr="009C2557">
        <w:t>plans</w:t>
      </w:r>
      <w:r w:rsidR="0029011C">
        <w:t>,</w:t>
      </w:r>
      <w:r>
        <w:t xml:space="preserve"> which </w:t>
      </w:r>
      <w:r w:rsidR="00170E98">
        <w:t>are no longer current</w:t>
      </w:r>
      <w:r w:rsidR="00347473">
        <w:t>.</w:t>
      </w:r>
      <w:r w:rsidRPr="009C2557">
        <w:t xml:space="preserve"> </w:t>
      </w:r>
    </w:p>
    <w:p w14:paraId="01B9095D" w14:textId="041428AB" w:rsidR="007A3330" w:rsidRDefault="007A3330" w:rsidP="008026FD">
      <w:pPr>
        <w:pStyle w:val="BodyText"/>
      </w:pPr>
      <w:r>
        <w:t>Collectively</w:t>
      </w:r>
      <w:r w:rsidR="00812933">
        <w:t>,</w:t>
      </w:r>
      <w:r>
        <w:t xml:space="preserve"> the </w:t>
      </w:r>
      <w:r w:rsidR="003470F8">
        <w:t>j</w:t>
      </w:r>
      <w:r>
        <w:t xml:space="preserve">urisdictional </w:t>
      </w:r>
      <w:r w:rsidR="008E27E5">
        <w:t>implementation plan</w:t>
      </w:r>
      <w:r>
        <w:t xml:space="preserve">s include </w:t>
      </w:r>
      <w:r w:rsidR="00245911">
        <w:t>over 2</w:t>
      </w:r>
      <w:r w:rsidR="00DC54E4">
        <w:t>,</w:t>
      </w:r>
      <w:r w:rsidR="00245911">
        <w:t xml:space="preserve">000 </w:t>
      </w:r>
      <w:r>
        <w:t>actions, many of which relate to existing initiatives or policies. All the plans include actions to implement the Priority Reforms and all but the N</w:t>
      </w:r>
      <w:r w:rsidR="00461BFD">
        <w:t xml:space="preserve">T </w:t>
      </w:r>
      <w:r>
        <w:t xml:space="preserve">and ACT </w:t>
      </w:r>
      <w:r w:rsidR="00A567AB">
        <w:t>G</w:t>
      </w:r>
      <w:r>
        <w:t xml:space="preserve">overnments’ plans set out </w:t>
      </w:r>
      <w:r w:rsidR="00AD722B">
        <w:t xml:space="preserve">specific </w:t>
      </w:r>
      <w:r>
        <w:t>action</w:t>
      </w:r>
      <w:r w:rsidR="003B72D1">
        <w:t>s</w:t>
      </w:r>
      <w:r w:rsidDel="00AD722B">
        <w:t xml:space="preserve"> </w:t>
      </w:r>
      <w:r>
        <w:t>for the socio</w:t>
      </w:r>
      <w:r w:rsidR="00827859" w:rsidRPr="008026FD">
        <w:noBreakHyphen/>
      </w:r>
      <w:r>
        <w:t xml:space="preserve">economic outcomes. </w:t>
      </w:r>
    </w:p>
    <w:p w14:paraId="32A8DBE6" w14:textId="0E973F74" w:rsidR="007A3330" w:rsidRDefault="007A3330" w:rsidP="0048491F">
      <w:pPr>
        <w:pStyle w:val="BodyText"/>
        <w:keepNext/>
        <w:keepLines/>
      </w:pPr>
      <w:r w:rsidRPr="003751AF">
        <w:t xml:space="preserve">Overall, the jurisdictional </w:t>
      </w:r>
      <w:r>
        <w:t>plans</w:t>
      </w:r>
      <w:r w:rsidRPr="003751AF">
        <w:t xml:space="preserve"> </w:t>
      </w:r>
      <w:r>
        <w:t xml:space="preserve">often </w:t>
      </w:r>
      <w:r w:rsidRPr="003751AF">
        <w:t>d</w:t>
      </w:r>
      <w:r>
        <w:t>o</w:t>
      </w:r>
      <w:r w:rsidRPr="003751AF">
        <w:t xml:space="preserve"> not adhere to the agreed elements</w:t>
      </w:r>
      <w:r>
        <w:t xml:space="preserve"> (although </w:t>
      </w:r>
      <w:r w:rsidRPr="003751AF">
        <w:t xml:space="preserve">the </w:t>
      </w:r>
      <w:r>
        <w:t xml:space="preserve">second plans </w:t>
      </w:r>
      <w:r w:rsidRPr="003751AF">
        <w:t>show signs of improvement</w:t>
      </w:r>
      <w:r>
        <w:t xml:space="preserve">). The three major weaknesses </w:t>
      </w:r>
      <w:r w:rsidR="002A2FBB">
        <w:t xml:space="preserve">of the implementation plans, </w:t>
      </w:r>
      <w:r w:rsidR="00A567AB">
        <w:t>are that they display</w:t>
      </w:r>
      <w:r>
        <w:t xml:space="preserve">: </w:t>
      </w:r>
    </w:p>
    <w:p w14:paraId="1308D95B" w14:textId="2AE36833" w:rsidR="007A3330" w:rsidRDefault="0021252C" w:rsidP="007A3330">
      <w:pPr>
        <w:pStyle w:val="ListBullet"/>
      </w:pPr>
      <w:r>
        <w:t>l</w:t>
      </w:r>
      <w:r w:rsidR="007A3330">
        <w:t>imited evidence that the plans have been developed in partnership</w:t>
      </w:r>
    </w:p>
    <w:p w14:paraId="55873786" w14:textId="34E6A4F4" w:rsidR="007A3330" w:rsidRDefault="0021252C" w:rsidP="007A3330">
      <w:pPr>
        <w:pStyle w:val="ListBullet"/>
      </w:pPr>
      <w:r>
        <w:lastRenderedPageBreak/>
        <w:t>a</w:t>
      </w:r>
      <w:r w:rsidR="007A3330">
        <w:t xml:space="preserve"> lack of a strategic</w:t>
      </w:r>
      <w:r w:rsidR="00A567AB">
        <w:t>,</w:t>
      </w:r>
      <w:r w:rsidR="007A3330">
        <w:t xml:space="preserve"> whole</w:t>
      </w:r>
      <w:r w:rsidR="00A567AB">
        <w:noBreakHyphen/>
      </w:r>
      <w:r w:rsidR="007A3330">
        <w:t>of</w:t>
      </w:r>
      <w:r w:rsidR="00A567AB">
        <w:noBreakHyphen/>
      </w:r>
      <w:r w:rsidR="007A3330">
        <w:t>government approach</w:t>
      </w:r>
    </w:p>
    <w:p w14:paraId="3F69E3C0" w14:textId="2011C9D0" w:rsidR="007A3330" w:rsidRDefault="0021252C" w:rsidP="007A3330">
      <w:pPr>
        <w:pStyle w:val="ListBullet"/>
      </w:pPr>
      <w:r>
        <w:t>a</w:t>
      </w:r>
      <w:r w:rsidR="007A3330">
        <w:t xml:space="preserve"> lack of transparency about how the actions will be delivered. </w:t>
      </w:r>
    </w:p>
    <w:p w14:paraId="5C530EF2" w14:textId="4BAB3546" w:rsidR="007A3330" w:rsidRDefault="007A3330" w:rsidP="007A3330">
      <w:pPr>
        <w:pStyle w:val="BodyText"/>
      </w:pPr>
      <w:r>
        <w:t>These shortcomings</w:t>
      </w:r>
      <w:r w:rsidR="009A1C8B">
        <w:t xml:space="preserve"> (which are discussed in detail below)</w:t>
      </w:r>
      <w:r>
        <w:t xml:space="preserve"> make it hard for Aboriginal and Torres Strait Islander organisations and the community more broadly to understand whether governments are moving beyond a business</w:t>
      </w:r>
      <w:r w:rsidR="00827859">
        <w:noBreakHyphen/>
      </w:r>
      <w:r>
        <w:t>as</w:t>
      </w:r>
      <w:r w:rsidR="00827859">
        <w:noBreakHyphen/>
      </w:r>
      <w:r>
        <w:t xml:space="preserve">usual approach and to hold them accountable for the actions set out in their plans. </w:t>
      </w:r>
    </w:p>
    <w:p w14:paraId="5D9D4949" w14:textId="2FF37D21" w:rsidR="006826C1" w:rsidRPr="00F82BD9" w:rsidRDefault="006826C1" w:rsidP="00C16F50">
      <w:pPr>
        <w:pStyle w:val="NoSpacing"/>
      </w:pPr>
    </w:p>
    <w:tbl>
      <w:tblPr>
        <w:tblStyle w:val="Boxtable"/>
        <w:tblW w:w="5000" w:type="pct"/>
        <w:tblLook w:val="04A0" w:firstRow="1" w:lastRow="0" w:firstColumn="1" w:lastColumn="0" w:noHBand="0" w:noVBand="1"/>
      </w:tblPr>
      <w:tblGrid>
        <w:gridCol w:w="906"/>
        <w:gridCol w:w="8732"/>
      </w:tblGrid>
      <w:tr w:rsidR="006826C1" w14:paraId="15207FED" w14:textId="77777777" w:rsidTr="00210259">
        <w:trPr>
          <w:tblHeader/>
        </w:trPr>
        <w:tc>
          <w:tcPr>
            <w:tcW w:w="851" w:type="dxa"/>
            <w:shd w:val="clear" w:color="auto" w:fill="FBF3EC"/>
            <w:tcMar>
              <w:top w:w="170" w:type="dxa"/>
              <w:left w:w="170" w:type="dxa"/>
              <w:bottom w:w="113" w:type="dxa"/>
              <w:right w:w="170" w:type="dxa"/>
            </w:tcMar>
            <w:hideMark/>
          </w:tcPr>
          <w:p w14:paraId="4B519376" w14:textId="04AA6676" w:rsidR="006826C1" w:rsidRDefault="00210259" w:rsidP="00210259">
            <w:pPr>
              <w:pStyle w:val="BoxHeading1"/>
              <w:spacing w:before="0"/>
            </w:pPr>
            <w:r w:rsidRPr="00A031AA">
              <w:rPr>
                <w:b/>
                <w:bCs/>
                <w:noProof/>
              </w:rPr>
              <w:drawing>
                <wp:inline distT="0" distB="0" distL="0" distR="0" wp14:anchorId="182980E8" wp14:editId="0B42F510">
                  <wp:extent cx="360000" cy="424800"/>
                  <wp:effectExtent l="0" t="0" r="0" b="0"/>
                  <wp:docPr id="1103303632" name="Picture 1103303632" descr="A brown boomerang with red and yellow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16939" name="Picture 1293616939" descr="A brown boomerang with red and yellow do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424800"/>
                          </a:xfrm>
                          <a:prstGeom prst="rect">
                            <a:avLst/>
                          </a:prstGeom>
                        </pic:spPr>
                      </pic:pic>
                    </a:graphicData>
                  </a:graphic>
                </wp:inline>
              </w:drawing>
            </w:r>
          </w:p>
        </w:tc>
        <w:tc>
          <w:tcPr>
            <w:tcW w:w="8787" w:type="dxa"/>
            <w:shd w:val="clear" w:color="auto" w:fill="FBF3EC"/>
          </w:tcPr>
          <w:p w14:paraId="76116A1B" w14:textId="5D07D569" w:rsidR="006826C1" w:rsidRDefault="006826C1">
            <w:pPr>
              <w:pStyle w:val="BoxHeading1"/>
            </w:pPr>
            <w:r>
              <w:t xml:space="preserve">Box </w:t>
            </w:r>
            <w:r w:rsidR="006B3934">
              <w:rPr>
                <w:noProof/>
              </w:rPr>
              <w:t>13</w:t>
            </w:r>
            <w:r>
              <w:t xml:space="preserve"> –</w:t>
            </w:r>
            <w:r w:rsidR="006B3934">
              <w:t xml:space="preserve"> I</w:t>
            </w:r>
            <w:r w:rsidR="006B3934">
              <w:rPr>
                <w:rStyle w:val="ui-provider"/>
              </w:rPr>
              <w:t>mplementation plans</w:t>
            </w:r>
          </w:p>
        </w:tc>
      </w:tr>
      <w:tr w:rsidR="006826C1" w14:paraId="58DC3E7B" w14:textId="77777777" w:rsidTr="00210259">
        <w:tc>
          <w:tcPr>
            <w:tcW w:w="9638" w:type="dxa"/>
            <w:gridSpan w:val="2"/>
            <w:shd w:val="clear" w:color="auto" w:fill="FBF3EC"/>
            <w:tcMar>
              <w:top w:w="28" w:type="dxa"/>
              <w:left w:w="170" w:type="dxa"/>
              <w:bottom w:w="170" w:type="dxa"/>
              <w:right w:w="170" w:type="dxa"/>
            </w:tcMar>
            <w:hideMark/>
          </w:tcPr>
          <w:p w14:paraId="7D5E409A" w14:textId="77777777" w:rsidR="00210259" w:rsidRPr="00CF3789" w:rsidRDefault="00210259" w:rsidP="00210259">
            <w:pPr>
              <w:pStyle w:val="BodyText"/>
            </w:pPr>
            <w:r>
              <w:t>Chapter </w:t>
            </w:r>
            <w:r w:rsidRPr="00CF3789">
              <w:t xml:space="preserve">8 </w:t>
            </w:r>
            <w:r>
              <w:t xml:space="preserve">of the Agreement sets out specific </w:t>
            </w:r>
            <w:r w:rsidRPr="00CF3789">
              <w:t xml:space="preserve">requirements for the </w:t>
            </w:r>
            <w:r>
              <w:t>j</w:t>
            </w:r>
            <w:r w:rsidRPr="00CF3789">
              <w:t>urisdictions</w:t>
            </w:r>
            <w:r>
              <w:t>’</w:t>
            </w:r>
            <w:r w:rsidRPr="00CF3789">
              <w:t xml:space="preserve"> </w:t>
            </w:r>
            <w:r>
              <w:t>i</w:t>
            </w:r>
            <w:r w:rsidRPr="00CF3789">
              <w:t xml:space="preserve">mplementation </w:t>
            </w:r>
            <w:r>
              <w:t>p</w:t>
            </w:r>
            <w:r w:rsidRPr="00CF3789">
              <w:t>lan</w:t>
            </w:r>
            <w:r>
              <w:t>s</w:t>
            </w:r>
            <w:r w:rsidRPr="00CF3789">
              <w:t xml:space="preserve"> (cl</w:t>
            </w:r>
            <w:r>
              <w:t>ause</w:t>
            </w:r>
            <w:r w:rsidRPr="00CF3789">
              <w:t xml:space="preserve"> 108), A</w:t>
            </w:r>
            <w:r>
              <w:t xml:space="preserve">ustralian </w:t>
            </w:r>
            <w:r w:rsidRPr="00CF3789">
              <w:t>L</w:t>
            </w:r>
            <w:r>
              <w:t xml:space="preserve">ocal </w:t>
            </w:r>
            <w:r w:rsidRPr="00CF3789">
              <w:t>G</w:t>
            </w:r>
            <w:r>
              <w:t xml:space="preserve">overnment </w:t>
            </w:r>
            <w:r w:rsidRPr="00CF3789">
              <w:t>A</w:t>
            </w:r>
            <w:r>
              <w:t>ssociation’s implementation plans</w:t>
            </w:r>
            <w:r w:rsidRPr="00CF3789">
              <w:t xml:space="preserve"> (cl</w:t>
            </w:r>
            <w:r>
              <w:t>ause</w:t>
            </w:r>
            <w:r w:rsidRPr="00CF3789">
              <w:t xml:space="preserve"> 109) and </w:t>
            </w:r>
            <w:r>
              <w:t xml:space="preserve">the </w:t>
            </w:r>
            <w:r w:rsidRPr="00CF3789">
              <w:t>Coalition of Peaks</w:t>
            </w:r>
            <w:r>
              <w:t>’ implementation plans</w:t>
            </w:r>
            <w:r w:rsidRPr="00CF3789">
              <w:t xml:space="preserve"> (cl</w:t>
            </w:r>
            <w:r>
              <w:t>ause</w:t>
            </w:r>
            <w:r w:rsidRPr="00CF3789">
              <w:t xml:space="preserve"> 110).</w:t>
            </w:r>
          </w:p>
          <w:p w14:paraId="23E1459D" w14:textId="77777777" w:rsidR="00210259" w:rsidRPr="00CF3789" w:rsidRDefault="00210259" w:rsidP="00210259">
            <w:pPr>
              <w:pStyle w:val="BodyText"/>
            </w:pPr>
            <w:r w:rsidRPr="00CF3789">
              <w:t xml:space="preserve">Jurisdictional </w:t>
            </w:r>
            <w:r>
              <w:t>implementation plan</w:t>
            </w:r>
            <w:r w:rsidRPr="00CF3789">
              <w:t>s must:</w:t>
            </w:r>
          </w:p>
          <w:p w14:paraId="143860A5" w14:textId="77777777" w:rsidR="00210259" w:rsidRDefault="00210259" w:rsidP="00210259">
            <w:pPr>
              <w:pStyle w:val="ListBullet"/>
            </w:pPr>
            <w:r>
              <w:t>be whole</w:t>
            </w:r>
            <w:r>
              <w:noBreakHyphen/>
              <w:t>of</w:t>
            </w:r>
            <w:r>
              <w:noBreakHyphen/>
              <w:t xml:space="preserve">government plans, covering government agencies and statutory bodies </w:t>
            </w:r>
          </w:p>
          <w:p w14:paraId="51E04DCB" w14:textId="77777777" w:rsidR="00210259" w:rsidRDefault="00210259" w:rsidP="00210259">
            <w:pPr>
              <w:pStyle w:val="ListBullet"/>
            </w:pPr>
            <w:r>
              <w:t xml:space="preserve">be developed and delivered in partnership between governments, the Coalition of Peaks, and other Aboriginal and Torres Strait Islander partners </w:t>
            </w:r>
          </w:p>
          <w:p w14:paraId="251532E6" w14:textId="77777777" w:rsidR="00210259" w:rsidRDefault="00210259" w:rsidP="00210259">
            <w:pPr>
              <w:pStyle w:val="ListBullet"/>
            </w:pPr>
            <w:r>
              <w:t xml:space="preserve">set out how existing policies and programs will be aligned to the Agreement </w:t>
            </w:r>
          </w:p>
          <w:p w14:paraId="394E6657" w14:textId="77777777" w:rsidR="00210259" w:rsidRDefault="00210259" w:rsidP="00210259">
            <w:pPr>
              <w:pStyle w:val="ListBullet"/>
            </w:pPr>
            <w:r>
              <w:t xml:space="preserve">set out actions to achieve the Priority Reforms and partnership actions </w:t>
            </w:r>
          </w:p>
          <w:p w14:paraId="0FB8E7B5" w14:textId="77777777" w:rsidR="00210259" w:rsidRDefault="00210259" w:rsidP="00210259">
            <w:pPr>
              <w:pStyle w:val="ListBullet"/>
            </w:pPr>
            <w:r>
              <w:t xml:space="preserve">set out actions to achieve the agreed outcomes and targets </w:t>
            </w:r>
          </w:p>
          <w:p w14:paraId="439DC4E6" w14:textId="77777777" w:rsidR="00210259" w:rsidRDefault="00210259" w:rsidP="00210259">
            <w:pPr>
              <w:pStyle w:val="ListBullet"/>
            </w:pPr>
            <w:r>
              <w:t xml:space="preserve">for transparency, include information on funding and timeframes for actions </w:t>
            </w:r>
          </w:p>
          <w:p w14:paraId="16978399" w14:textId="73BD8BD4" w:rsidR="00210259" w:rsidRDefault="00210259" w:rsidP="00210259">
            <w:pPr>
              <w:pStyle w:val="ListBullet"/>
            </w:pPr>
            <w:r>
              <w:t>include the approach to annual reporting, including when they will release their public report</w:t>
            </w:r>
          </w:p>
          <w:p w14:paraId="4DA04877" w14:textId="77777777" w:rsidR="00210259" w:rsidRDefault="00210259" w:rsidP="00210259">
            <w:pPr>
              <w:pStyle w:val="ListBullet"/>
            </w:pPr>
            <w:r>
              <w:t xml:space="preserve">include information on how the states and territories will work with local government to implement the Agreement. </w:t>
            </w:r>
          </w:p>
          <w:p w14:paraId="1908ECCD" w14:textId="77777777" w:rsidR="00210259" w:rsidRDefault="00210259" w:rsidP="00210259">
            <w:pPr>
              <w:pStyle w:val="BodyText"/>
            </w:pPr>
            <w:r>
              <w:t>In addition to these requirements, the parties must also demonstrate in their implementation plans ‘</w:t>
            </w:r>
            <w:r w:rsidRPr="00982382">
              <w:t>a commitment to undertake all actions in a way that takes full account of, promotes, and does not diminish in any way, the cultures of Aboriginal and Torres Strait Islander people</w:t>
            </w:r>
            <w:r>
              <w:t>’</w:t>
            </w:r>
            <w:r w:rsidRPr="00982382">
              <w:t xml:space="preserve"> (clause 107).</w:t>
            </w:r>
          </w:p>
          <w:p w14:paraId="7CCCD38A" w14:textId="067139B6" w:rsidR="006826C1" w:rsidRDefault="00210259" w:rsidP="0048491F">
            <w:pPr>
              <w:pStyle w:val="BodyText"/>
            </w:pPr>
            <w:r>
              <w:t>Clause 111 establishes that the Joint Council is responsible for monitoring the progress of parties against their implementation plans. It allows for the Joint Council to advise the parties on implementation but not to approve their plans or make formal recommendations on them.</w:t>
            </w:r>
          </w:p>
        </w:tc>
      </w:tr>
      <w:tr w:rsidR="006826C1" w14:paraId="3D1FA27D" w14:textId="77777777" w:rsidTr="000717B1">
        <w:trPr>
          <w:hidden/>
        </w:trPr>
        <w:tc>
          <w:tcPr>
            <w:tcW w:w="9638" w:type="dxa"/>
            <w:gridSpan w:val="2"/>
            <w:shd w:val="clear" w:color="auto" w:fill="auto"/>
            <w:tcMar>
              <w:top w:w="0" w:type="dxa"/>
              <w:left w:w="170" w:type="dxa"/>
              <w:bottom w:w="0" w:type="dxa"/>
              <w:right w:w="170" w:type="dxa"/>
            </w:tcMar>
          </w:tcPr>
          <w:p w14:paraId="1455DD83" w14:textId="2B143AE6" w:rsidR="006826C1" w:rsidRPr="00465191" w:rsidRDefault="006826C1">
            <w:pPr>
              <w:pStyle w:val="BodyText"/>
              <w:spacing w:before="0" w:after="0" w:line="80" w:lineRule="atLeast"/>
              <w:rPr>
                <w:smallCaps/>
                <w:vanish/>
              </w:rPr>
            </w:pPr>
          </w:p>
        </w:tc>
      </w:tr>
    </w:tbl>
    <w:p w14:paraId="546F59B3" w14:textId="77777777" w:rsidR="00E2769C" w:rsidRDefault="00E2769C" w:rsidP="00C17A91">
      <w:pPr>
        <w:pStyle w:val="Heading4"/>
      </w:pPr>
      <w:r>
        <w:t>Limited evidence of being developed in partnership</w:t>
      </w:r>
    </w:p>
    <w:p w14:paraId="4ED11B31" w14:textId="63AAE63B" w:rsidR="00E2769C" w:rsidRDefault="00E2769C" w:rsidP="00E2769C">
      <w:pPr>
        <w:pStyle w:val="BodyText"/>
        <w:spacing w:after="60"/>
      </w:pPr>
      <w:r>
        <w:t>A central ten</w:t>
      </w:r>
      <w:r w:rsidR="00F165A8">
        <w:t>e</w:t>
      </w:r>
      <w:r>
        <w:t xml:space="preserve">t of the Agreement is that the </w:t>
      </w:r>
      <w:r w:rsidR="00544B41">
        <w:t>p</w:t>
      </w:r>
      <w:r>
        <w:t xml:space="preserve">arties will </w:t>
      </w:r>
      <w:r w:rsidR="00702A93">
        <w:t>share decision</w:t>
      </w:r>
      <w:r w:rsidR="00827859">
        <w:noBreakHyphen/>
      </w:r>
      <w:r w:rsidR="00702A93">
        <w:t>making</w:t>
      </w:r>
      <w:r>
        <w:t xml:space="preserve"> with</w:t>
      </w:r>
      <w:r w:rsidDel="007B51C5">
        <w:t xml:space="preserve"> </w:t>
      </w:r>
      <w:r w:rsidR="007B51C5">
        <w:t xml:space="preserve">Aboriginal and Torres Strait Islander people </w:t>
      </w:r>
      <w:r>
        <w:t xml:space="preserve">to design policies that affect their </w:t>
      </w:r>
      <w:r w:rsidRPr="0050194A">
        <w:t xml:space="preserve">lives. The </w:t>
      </w:r>
      <w:r w:rsidR="008E27E5">
        <w:t>implementation plan</w:t>
      </w:r>
      <w:r w:rsidRPr="0050194A">
        <w:t xml:space="preserve">s were an important opportunity to embed this principle from the start. </w:t>
      </w:r>
    </w:p>
    <w:p w14:paraId="00AB41FA" w14:textId="320D08A9" w:rsidR="00DD2634" w:rsidRPr="008026FD" w:rsidRDefault="0009221F" w:rsidP="008026FD">
      <w:pPr>
        <w:pStyle w:val="BodyText"/>
      </w:pPr>
      <w:r>
        <w:t xml:space="preserve">While </w:t>
      </w:r>
      <w:r w:rsidR="009F3386">
        <w:t xml:space="preserve">all </w:t>
      </w:r>
      <w:r w:rsidR="00E2769C">
        <w:t xml:space="preserve">jurisdictions included statements about their commitment to working </w:t>
      </w:r>
      <w:r w:rsidR="007A044E">
        <w:t xml:space="preserve">in </w:t>
      </w:r>
      <w:r w:rsidR="00E2769C">
        <w:t>partnership</w:t>
      </w:r>
      <w:r w:rsidR="009F3386">
        <w:t xml:space="preserve">, </w:t>
      </w:r>
      <w:r w:rsidR="00E2769C">
        <w:t xml:space="preserve">most provided little explanation </w:t>
      </w:r>
      <w:r w:rsidR="00AE2E2F">
        <w:t xml:space="preserve">to describe how </w:t>
      </w:r>
      <w:r w:rsidR="00CD1365">
        <w:t>their plans</w:t>
      </w:r>
      <w:r w:rsidR="008926B8">
        <w:t xml:space="preserve"> were developed in partnership</w:t>
      </w:r>
      <w:r w:rsidR="00E2769C">
        <w:t xml:space="preserve">. </w:t>
      </w:r>
      <w:r w:rsidR="00501CB5">
        <w:t>Five of the nine first implementation plans included an individual forward or opening statement from a peak body or other partner</w:t>
      </w:r>
      <w:r w:rsidR="00201499">
        <w:t>,</w:t>
      </w:r>
      <w:r w:rsidR="00501CB5">
        <w:t xml:space="preserve"> and two included a co</w:t>
      </w:r>
      <w:r w:rsidR="00827859" w:rsidRPr="008026FD">
        <w:noBreakHyphen/>
      </w:r>
      <w:r w:rsidR="00501CB5">
        <w:t>signed statement</w:t>
      </w:r>
      <w:r w:rsidR="006B157F">
        <w:t>.</w:t>
      </w:r>
      <w:r w:rsidR="00501CB5">
        <w:t xml:space="preserve"> </w:t>
      </w:r>
      <w:r w:rsidR="00E2769C">
        <w:t xml:space="preserve">Some </w:t>
      </w:r>
      <w:r w:rsidR="00BB6964">
        <w:t xml:space="preserve">governments </w:t>
      </w:r>
      <w:r w:rsidR="00E2769C">
        <w:t xml:space="preserve">stated that their plans were </w:t>
      </w:r>
      <w:r w:rsidR="00BD18A5">
        <w:t xml:space="preserve">a </w:t>
      </w:r>
      <w:r w:rsidR="00E2769C">
        <w:t>collaborative</w:t>
      </w:r>
      <w:r w:rsidR="00BD18A5">
        <w:t xml:space="preserve"> process</w:t>
      </w:r>
      <w:r w:rsidR="00E2769C">
        <w:t xml:space="preserve"> </w:t>
      </w:r>
      <w:r w:rsidR="00BD18A5">
        <w:t>(</w:t>
      </w:r>
      <w:r w:rsidR="00E2769C">
        <w:t>for example,</w:t>
      </w:r>
      <w:r w:rsidR="00BD18A5">
        <w:t xml:space="preserve"> </w:t>
      </w:r>
      <w:r w:rsidR="00415165">
        <w:t xml:space="preserve">the </w:t>
      </w:r>
      <w:r w:rsidR="00E2769C" w:rsidRPr="008026FD">
        <w:t>N</w:t>
      </w:r>
      <w:r w:rsidR="003844A8" w:rsidRPr="008026FD">
        <w:t>T</w:t>
      </w:r>
      <w:r w:rsidR="000B5306" w:rsidRPr="008026FD">
        <w:t xml:space="preserve"> </w:t>
      </w:r>
      <w:r w:rsidR="003844A8" w:rsidRPr="008026FD">
        <w:t>G</w:t>
      </w:r>
      <w:r w:rsidR="000B5306" w:rsidRPr="008026FD">
        <w:t>overnment’s</w:t>
      </w:r>
      <w:r w:rsidR="00E2769C" w:rsidRPr="008026FD">
        <w:t xml:space="preserve"> plan</w:t>
      </w:r>
      <w:r w:rsidR="00BD18A5" w:rsidRPr="008026FD">
        <w:t>)</w:t>
      </w:r>
      <w:r w:rsidR="00746D8E" w:rsidRPr="008026FD">
        <w:t>.</w:t>
      </w:r>
      <w:r w:rsidR="00663BC6">
        <w:t xml:space="preserve"> </w:t>
      </w:r>
      <w:r w:rsidR="00746D8E">
        <w:t>However, other</w:t>
      </w:r>
      <w:r w:rsidR="00787162">
        <w:t xml:space="preserve"> plans </w:t>
      </w:r>
      <w:r w:rsidR="00E2769C">
        <w:t>indicate</w:t>
      </w:r>
      <w:r w:rsidR="00787162">
        <w:t>d</w:t>
      </w:r>
      <w:r w:rsidR="00E2769C">
        <w:t xml:space="preserve"> that the involvement of </w:t>
      </w:r>
      <w:r w:rsidR="006B756F">
        <w:t xml:space="preserve">Aboriginal and Torres Strait Islander </w:t>
      </w:r>
      <w:r w:rsidR="00E2769C">
        <w:t xml:space="preserve">partners was limited to seeking input through consultation. </w:t>
      </w:r>
      <w:r w:rsidR="00C56084">
        <w:t>T</w:t>
      </w:r>
      <w:r w:rsidR="001E3602">
        <w:t xml:space="preserve">he </w:t>
      </w:r>
      <w:r w:rsidR="00E2769C" w:rsidRPr="00217E20">
        <w:t>Tasmania</w:t>
      </w:r>
      <w:r w:rsidR="0001055F">
        <w:t>n</w:t>
      </w:r>
      <w:r w:rsidR="00AF568F" w:rsidRPr="00217E20">
        <w:t xml:space="preserve"> Aboriginal Centre</w:t>
      </w:r>
      <w:r w:rsidR="00E2769C" w:rsidRPr="00217E20">
        <w:t xml:space="preserve"> </w:t>
      </w:r>
      <w:r w:rsidR="00217E20">
        <w:t xml:space="preserve">(TAC) </w:t>
      </w:r>
      <w:r w:rsidR="00E2769C" w:rsidRPr="00217E20">
        <w:t>and</w:t>
      </w:r>
      <w:r w:rsidR="00AF568F" w:rsidRPr="00217E20">
        <w:t xml:space="preserve"> the</w:t>
      </w:r>
      <w:r w:rsidR="00E2769C" w:rsidRPr="00217E20">
        <w:t xml:space="preserve"> </w:t>
      </w:r>
      <w:r w:rsidR="00C56084" w:rsidRPr="00217E20">
        <w:t xml:space="preserve">Queensland Aboriginal and Torres Strait Islander Coalition </w:t>
      </w:r>
      <w:r w:rsidR="00C56084" w:rsidRPr="00217E20">
        <w:lastRenderedPageBreak/>
        <w:t xml:space="preserve">(QATSIC) </w:t>
      </w:r>
      <w:r w:rsidR="00C3646D" w:rsidRPr="00217E20">
        <w:t xml:space="preserve">both </w:t>
      </w:r>
      <w:r w:rsidR="00E2769C" w:rsidRPr="00217E20">
        <w:t>acknowled</w:t>
      </w:r>
      <w:r w:rsidR="00C3646D" w:rsidRPr="00217E20">
        <w:t>ged</w:t>
      </w:r>
      <w:r w:rsidR="00E2769C" w:rsidRPr="00217E20">
        <w:t xml:space="preserve"> that </w:t>
      </w:r>
      <w:r w:rsidR="003B3169" w:rsidRPr="00217E20">
        <w:t xml:space="preserve">their participation in </w:t>
      </w:r>
      <w:r w:rsidR="00E2769C" w:rsidRPr="00217E20">
        <w:t xml:space="preserve">the development </w:t>
      </w:r>
      <w:r w:rsidR="003B3169" w:rsidRPr="00217E20">
        <w:t xml:space="preserve">of </w:t>
      </w:r>
      <w:r w:rsidR="00C3646D" w:rsidRPr="00217E20">
        <w:t>the</w:t>
      </w:r>
      <w:r w:rsidR="001E5EEA">
        <w:t xml:space="preserve"> first</w:t>
      </w:r>
      <w:r w:rsidR="00C3646D" w:rsidRPr="00217E20">
        <w:t xml:space="preserve"> </w:t>
      </w:r>
      <w:r w:rsidR="001B22E2" w:rsidRPr="00217E20">
        <w:t>plans</w:t>
      </w:r>
      <w:r w:rsidR="003B3169" w:rsidRPr="00217E20">
        <w:t xml:space="preserve"> for their </w:t>
      </w:r>
      <w:r w:rsidR="00217E20" w:rsidRPr="00217E20">
        <w:t>respective jurisdictions</w:t>
      </w:r>
      <w:r w:rsidR="001B22E2" w:rsidRPr="00217E20">
        <w:t xml:space="preserve"> </w:t>
      </w:r>
      <w:r w:rsidR="00E2769C" w:rsidRPr="00217E20">
        <w:t>fell short of a genuine partnership effort</w:t>
      </w:r>
      <w:r w:rsidR="00FE4F1F">
        <w:t>.</w:t>
      </w:r>
    </w:p>
    <w:p w14:paraId="6911BBFE" w14:textId="49341A44" w:rsidR="00DD2634" w:rsidRPr="0048491F" w:rsidRDefault="000B7E64" w:rsidP="000B7E64">
      <w:pPr>
        <w:pStyle w:val="Quote"/>
        <w:rPr>
          <w:spacing w:val="-4"/>
        </w:rPr>
      </w:pPr>
      <w:r w:rsidRPr="0048491F">
        <w:rPr>
          <w:spacing w:val="-4"/>
        </w:rPr>
        <w:t>With no extra resources we have not been able to achieve the Aboriginal participation we would like. We need extra time for Tasmanian Aboriginal people to express what change is needed for themselves and their families to achieve their own aspirations</w:t>
      </w:r>
      <w:r w:rsidR="00FE4F1F" w:rsidRPr="0048491F">
        <w:rPr>
          <w:spacing w:val="-4"/>
        </w:rPr>
        <w:t>.</w:t>
      </w:r>
      <w:r w:rsidR="002A4601" w:rsidRPr="0048491F">
        <w:rPr>
          <w:spacing w:val="-4"/>
        </w:rPr>
        <w:t xml:space="preserve"> </w:t>
      </w:r>
      <w:r w:rsidR="00A72E61" w:rsidRPr="0048491F">
        <w:rPr>
          <w:rFonts w:cs="Arial"/>
          <w:spacing w:val="-4"/>
          <w:szCs w:val="24"/>
        </w:rPr>
        <w:t>(Tasmanian Government 2022, p. 3)</w:t>
      </w:r>
    </w:p>
    <w:p w14:paraId="356315B4" w14:textId="00547CC0" w:rsidR="00DD3161" w:rsidRPr="008B3206" w:rsidRDefault="00DD3161" w:rsidP="00DD3161">
      <w:pPr>
        <w:pStyle w:val="Quote"/>
      </w:pPr>
      <w:r>
        <w:t>Due to resourcing constraints, QATSIC had limited input into the review of Queensland’s Closing the Gap Implementation Plan 2022. However, this will change with funding now provided to QATSIC members and Queensland Government’s commitment to working together to close the gap in socio</w:t>
      </w:r>
      <w:r w:rsidR="00827859">
        <w:noBreakHyphen/>
      </w:r>
      <w:r>
        <w:t xml:space="preserve">economic outcomes for Aboriginal and Torres Strait Islander people. </w:t>
      </w:r>
      <w:r w:rsidRPr="00281C19">
        <w:rPr>
          <w:rFonts w:ascii="Arial" w:hAnsi="Arial" w:cs="Arial"/>
          <w:szCs w:val="24"/>
        </w:rPr>
        <w:t>(Coalition of Peaks 2021, p. 41)</w:t>
      </w:r>
    </w:p>
    <w:p w14:paraId="0C220DFC" w14:textId="462276FA" w:rsidR="00E2769C" w:rsidRPr="0092714F" w:rsidRDefault="00E2769C" w:rsidP="00E2769C">
      <w:pPr>
        <w:pStyle w:val="BodyText"/>
      </w:pPr>
      <w:r>
        <w:t xml:space="preserve">This is consistent with </w:t>
      </w:r>
      <w:r w:rsidR="00513AD1">
        <w:t>a</w:t>
      </w:r>
      <w:r>
        <w:t xml:space="preserve"> key concern the </w:t>
      </w:r>
      <w:r w:rsidRPr="00C76B60">
        <w:t>Commission</w:t>
      </w:r>
      <w:r>
        <w:t xml:space="preserve"> heard during its engagements – that </w:t>
      </w:r>
      <w:r w:rsidRPr="00C76B60">
        <w:t xml:space="preserve">Aboriginal and Torres Strait Islander </w:t>
      </w:r>
      <w:r w:rsidR="007F4BEB">
        <w:t>partners</w:t>
      </w:r>
      <w:r w:rsidR="007F4BEB" w:rsidRPr="00C76B60">
        <w:t xml:space="preserve"> </w:t>
      </w:r>
      <w:r w:rsidRPr="00C76B60">
        <w:t xml:space="preserve">did not have the opportunity to meaningfully contribute to the development of the </w:t>
      </w:r>
      <w:r w:rsidR="00C53A2D">
        <w:t>i</w:t>
      </w:r>
      <w:r>
        <w:t xml:space="preserve">mplementation </w:t>
      </w:r>
      <w:r w:rsidR="00C53A2D">
        <w:t>p</w:t>
      </w:r>
      <w:r>
        <w:t>lans</w:t>
      </w:r>
      <w:r w:rsidR="00E4580D">
        <w:t>,</w:t>
      </w:r>
      <w:r w:rsidRPr="00C76B60">
        <w:t xml:space="preserve"> </w:t>
      </w:r>
      <w:r>
        <w:t xml:space="preserve">with </w:t>
      </w:r>
      <w:r w:rsidRPr="00C76B60">
        <w:t xml:space="preserve">organisations </w:t>
      </w:r>
      <w:r>
        <w:t xml:space="preserve">in </w:t>
      </w:r>
      <w:r w:rsidRPr="00C76B60">
        <w:t>some jurisdictions abstain</w:t>
      </w:r>
      <w:r>
        <w:t>ing</w:t>
      </w:r>
      <w:r w:rsidRPr="00C76B60">
        <w:t xml:space="preserve"> from providing feedback because </w:t>
      </w:r>
      <w:r>
        <w:t xml:space="preserve">the plans </w:t>
      </w:r>
      <w:r w:rsidRPr="00C76B60">
        <w:t>appeared to be already decided</w:t>
      </w:r>
      <w:r>
        <w:t xml:space="preserve"> </w:t>
      </w:r>
      <w:r w:rsidR="00A51BF6" w:rsidRPr="00A51BF6">
        <w:rPr>
          <w:rFonts w:ascii="Arial" w:hAnsi="Arial" w:cs="Arial"/>
          <w:szCs w:val="24"/>
        </w:rPr>
        <w:t>(PC 2023d, p. 4)</w:t>
      </w:r>
      <w:r w:rsidRPr="00C76B60">
        <w:t>.</w:t>
      </w:r>
    </w:p>
    <w:p w14:paraId="0F31F8EA" w14:textId="6C8015DF" w:rsidR="00E2769C" w:rsidRPr="0048491F" w:rsidRDefault="00E2769C" w:rsidP="000771E3">
      <w:pPr>
        <w:pStyle w:val="BodyText"/>
        <w:spacing w:after="60"/>
        <w:rPr>
          <w:spacing w:val="-4"/>
        </w:rPr>
      </w:pPr>
      <w:r w:rsidRPr="0048491F">
        <w:rPr>
          <w:spacing w:val="-4"/>
        </w:rPr>
        <w:t>The second implementation plans</w:t>
      </w:r>
      <w:r w:rsidR="008C2C2D" w:rsidRPr="0048491F">
        <w:rPr>
          <w:spacing w:val="-4"/>
        </w:rPr>
        <w:t xml:space="preserve"> that have been released by some jurisdictions</w:t>
      </w:r>
      <w:r w:rsidRPr="0048491F">
        <w:rPr>
          <w:spacing w:val="-4"/>
        </w:rPr>
        <w:t xml:space="preserve"> show signs of improvement. Fo</w:t>
      </w:r>
      <w:r w:rsidR="00C92698" w:rsidRPr="0048491F">
        <w:rPr>
          <w:spacing w:val="-4"/>
        </w:rPr>
        <w:t>r example, t</w:t>
      </w:r>
      <w:r w:rsidRPr="0048491F">
        <w:rPr>
          <w:spacing w:val="-4"/>
        </w:rPr>
        <w:t xml:space="preserve">he </w:t>
      </w:r>
      <w:r w:rsidR="0004530A" w:rsidRPr="0048491F">
        <w:rPr>
          <w:spacing w:val="-4"/>
        </w:rPr>
        <w:t>NSW</w:t>
      </w:r>
      <w:r w:rsidRPr="0048491F">
        <w:rPr>
          <w:spacing w:val="-4"/>
        </w:rPr>
        <w:t xml:space="preserve"> </w:t>
      </w:r>
      <w:r w:rsidR="005C2017" w:rsidRPr="0048491F">
        <w:rPr>
          <w:spacing w:val="-4"/>
        </w:rPr>
        <w:t>G</w:t>
      </w:r>
      <w:r w:rsidRPr="0048491F">
        <w:rPr>
          <w:spacing w:val="-4"/>
        </w:rPr>
        <w:t>overnment’s</w:t>
      </w:r>
      <w:r w:rsidR="00E4580D" w:rsidRPr="0048491F">
        <w:rPr>
          <w:spacing w:val="-4"/>
        </w:rPr>
        <w:t xml:space="preserve"> second</w:t>
      </w:r>
      <w:r w:rsidRPr="0048491F" w:rsidDel="00E4580D">
        <w:rPr>
          <w:spacing w:val="-4"/>
        </w:rPr>
        <w:t xml:space="preserve"> </w:t>
      </w:r>
      <w:r w:rsidR="00C45E73" w:rsidRPr="0048491F">
        <w:rPr>
          <w:spacing w:val="-4"/>
        </w:rPr>
        <w:t>p</w:t>
      </w:r>
      <w:r w:rsidRPr="0048491F">
        <w:rPr>
          <w:spacing w:val="-4"/>
        </w:rPr>
        <w:t>lan was developed in partnership with NSW C</w:t>
      </w:r>
      <w:r w:rsidR="006C12BC" w:rsidRPr="0048491F">
        <w:rPr>
          <w:spacing w:val="-4"/>
        </w:rPr>
        <w:t>oalition of Aboriginal Peak Organisations (</w:t>
      </w:r>
      <w:r w:rsidR="0004530A" w:rsidRPr="0048491F">
        <w:rPr>
          <w:spacing w:val="-4"/>
        </w:rPr>
        <w:t xml:space="preserve">NSW </w:t>
      </w:r>
      <w:r w:rsidR="006C12BC" w:rsidRPr="0048491F">
        <w:rPr>
          <w:spacing w:val="-4"/>
        </w:rPr>
        <w:t xml:space="preserve">CAPO) </w:t>
      </w:r>
      <w:r w:rsidRPr="0048491F">
        <w:rPr>
          <w:spacing w:val="-4"/>
        </w:rPr>
        <w:t xml:space="preserve">and informed by a </w:t>
      </w:r>
      <w:r w:rsidR="00E226A1" w:rsidRPr="0048491F">
        <w:rPr>
          <w:spacing w:val="-4"/>
        </w:rPr>
        <w:t xml:space="preserve">NSW </w:t>
      </w:r>
      <w:r w:rsidRPr="0048491F">
        <w:rPr>
          <w:spacing w:val="-4"/>
        </w:rPr>
        <w:t>CAPO</w:t>
      </w:r>
      <w:r w:rsidR="00827859" w:rsidRPr="0048491F">
        <w:rPr>
          <w:spacing w:val="-4"/>
        </w:rPr>
        <w:noBreakHyphen/>
      </w:r>
      <w:r w:rsidRPr="0048491F">
        <w:rPr>
          <w:spacing w:val="-4"/>
        </w:rPr>
        <w:t xml:space="preserve">led community </w:t>
      </w:r>
      <w:r w:rsidRPr="0048491F" w:rsidDel="00E4580D">
        <w:rPr>
          <w:spacing w:val="-4"/>
        </w:rPr>
        <w:t>consultation</w:t>
      </w:r>
      <w:r w:rsidRPr="0048491F">
        <w:rPr>
          <w:spacing w:val="-4"/>
        </w:rPr>
        <w:t xml:space="preserve"> process</w:t>
      </w:r>
      <w:r w:rsidR="00C81966" w:rsidRPr="0048491F">
        <w:rPr>
          <w:spacing w:val="-4"/>
        </w:rPr>
        <w:t xml:space="preserve"> </w:t>
      </w:r>
      <w:r w:rsidR="00C81966" w:rsidRPr="0048491F">
        <w:rPr>
          <w:rFonts w:cs="Arial"/>
          <w:spacing w:val="-4"/>
          <w:szCs w:val="24"/>
        </w:rPr>
        <w:t>(NSW Government 2022, p. 9)</w:t>
      </w:r>
      <w:r w:rsidRPr="0048491F">
        <w:rPr>
          <w:spacing w:val="-4"/>
        </w:rPr>
        <w:t xml:space="preserve">. The plan links each of its proposed actions to key findings from the community </w:t>
      </w:r>
      <w:r w:rsidRPr="0048491F" w:rsidDel="00E4580D">
        <w:rPr>
          <w:spacing w:val="-4"/>
        </w:rPr>
        <w:t>consultations</w:t>
      </w:r>
      <w:r w:rsidRPr="0048491F">
        <w:rPr>
          <w:spacing w:val="-4"/>
        </w:rPr>
        <w:t xml:space="preserve"> and sets forward a joint process to interactively review and update the actions. </w:t>
      </w:r>
    </w:p>
    <w:p w14:paraId="6D248FDF" w14:textId="5491188F" w:rsidR="00E2769C" w:rsidRDefault="00C117F1" w:rsidP="001E6A2C">
      <w:pPr>
        <w:pStyle w:val="Heading4"/>
      </w:pPr>
      <w:r>
        <w:t>Lists</w:t>
      </w:r>
      <w:r w:rsidRPr="004369F8">
        <w:t xml:space="preserve"> </w:t>
      </w:r>
      <w:r w:rsidR="004369F8" w:rsidRPr="004369F8">
        <w:t>of piecemeal actions rather than whole</w:t>
      </w:r>
      <w:r w:rsidR="00827859">
        <w:noBreakHyphen/>
      </w:r>
      <w:r w:rsidR="004369F8" w:rsidRPr="004369F8">
        <w:t>of</w:t>
      </w:r>
      <w:r w:rsidR="00827859">
        <w:noBreakHyphen/>
      </w:r>
      <w:r w:rsidR="004369F8" w:rsidRPr="004369F8">
        <w:t>government strateg</w:t>
      </w:r>
      <w:r w:rsidR="00C25CE5">
        <w:t>ies</w:t>
      </w:r>
      <w:r w:rsidR="00E2769C">
        <w:t xml:space="preserve"> </w:t>
      </w:r>
    </w:p>
    <w:p w14:paraId="28143B73" w14:textId="55F92BD1" w:rsidR="002E555E" w:rsidRPr="0048491F" w:rsidRDefault="00A760A1" w:rsidP="004320BA">
      <w:pPr>
        <w:pStyle w:val="BodyText"/>
        <w:spacing w:after="60"/>
        <w:rPr>
          <w:spacing w:val="-2"/>
        </w:rPr>
      </w:pPr>
      <w:r w:rsidRPr="0048491F">
        <w:rPr>
          <w:spacing w:val="-2"/>
        </w:rPr>
        <w:t xml:space="preserve">The </w:t>
      </w:r>
      <w:r w:rsidR="00E9174F" w:rsidRPr="0048491F">
        <w:rPr>
          <w:spacing w:val="-2"/>
        </w:rPr>
        <w:t xml:space="preserve">jurisdictional </w:t>
      </w:r>
      <w:r w:rsidR="00E62971" w:rsidRPr="0048491F">
        <w:rPr>
          <w:spacing w:val="-2"/>
        </w:rPr>
        <w:t>i</w:t>
      </w:r>
      <w:r w:rsidR="00E9174F" w:rsidRPr="0048491F">
        <w:rPr>
          <w:spacing w:val="-2"/>
        </w:rPr>
        <w:t xml:space="preserve">mplementation </w:t>
      </w:r>
      <w:r w:rsidR="00E62971" w:rsidRPr="0048491F">
        <w:rPr>
          <w:spacing w:val="-2"/>
        </w:rPr>
        <w:t>p</w:t>
      </w:r>
      <w:r w:rsidR="00E9174F" w:rsidRPr="0048491F">
        <w:rPr>
          <w:spacing w:val="-2"/>
        </w:rPr>
        <w:t xml:space="preserve">lans are </w:t>
      </w:r>
      <w:r w:rsidRPr="0048491F">
        <w:rPr>
          <w:spacing w:val="-2"/>
        </w:rPr>
        <w:t xml:space="preserve">intended to set out how </w:t>
      </w:r>
      <w:r w:rsidR="00C3402A" w:rsidRPr="0048491F">
        <w:rPr>
          <w:spacing w:val="-2"/>
        </w:rPr>
        <w:t xml:space="preserve">governments </w:t>
      </w:r>
      <w:r w:rsidRPr="0048491F">
        <w:rPr>
          <w:spacing w:val="-2"/>
        </w:rPr>
        <w:t>will transform the way they are working to accelerate improved life outcomes</w:t>
      </w:r>
      <w:r w:rsidR="00C3402A" w:rsidRPr="0048491F">
        <w:rPr>
          <w:spacing w:val="-2"/>
        </w:rPr>
        <w:t xml:space="preserve"> for Aboriginal and Torres Strait </w:t>
      </w:r>
      <w:r w:rsidR="004248CC" w:rsidRPr="0048491F">
        <w:rPr>
          <w:spacing w:val="-2"/>
        </w:rPr>
        <w:t>Islander people</w:t>
      </w:r>
      <w:r w:rsidRPr="0048491F">
        <w:rPr>
          <w:spacing w:val="-2"/>
        </w:rPr>
        <w:t xml:space="preserve">. </w:t>
      </w:r>
      <w:r w:rsidR="00F601A1" w:rsidRPr="0048491F">
        <w:rPr>
          <w:spacing w:val="-2"/>
        </w:rPr>
        <w:t xml:space="preserve">In reality, </w:t>
      </w:r>
      <w:r w:rsidR="00E226A1" w:rsidRPr="0048491F">
        <w:rPr>
          <w:spacing w:val="-2"/>
        </w:rPr>
        <w:t>however</w:t>
      </w:r>
      <w:r w:rsidR="00F601A1" w:rsidRPr="0048491F">
        <w:rPr>
          <w:spacing w:val="-2"/>
        </w:rPr>
        <w:t>, the plans</w:t>
      </w:r>
      <w:r w:rsidRPr="0048491F">
        <w:rPr>
          <w:spacing w:val="-2"/>
        </w:rPr>
        <w:t xml:space="preserve"> </w:t>
      </w:r>
      <w:r w:rsidR="00F601A1" w:rsidRPr="0048491F">
        <w:rPr>
          <w:spacing w:val="-2"/>
        </w:rPr>
        <w:t xml:space="preserve">largely </w:t>
      </w:r>
      <w:r w:rsidR="005B5BDB" w:rsidRPr="0048491F">
        <w:rPr>
          <w:spacing w:val="-2"/>
        </w:rPr>
        <w:t xml:space="preserve">consist </w:t>
      </w:r>
      <w:r w:rsidRPr="0048491F">
        <w:rPr>
          <w:spacing w:val="-2"/>
        </w:rPr>
        <w:t>of long lists of actions, many of which are minor</w:t>
      </w:r>
      <w:r w:rsidR="00702A93" w:rsidRPr="0048491F">
        <w:rPr>
          <w:spacing w:val="-2"/>
        </w:rPr>
        <w:t xml:space="preserve">, </w:t>
      </w:r>
      <w:r w:rsidR="00CC2505" w:rsidRPr="0048491F">
        <w:rPr>
          <w:spacing w:val="-2"/>
        </w:rPr>
        <w:t>pre</w:t>
      </w:r>
      <w:r w:rsidR="00827859" w:rsidRPr="0048491F">
        <w:rPr>
          <w:spacing w:val="-2"/>
        </w:rPr>
        <w:noBreakHyphen/>
      </w:r>
      <w:r w:rsidR="00702A93" w:rsidRPr="0048491F">
        <w:rPr>
          <w:spacing w:val="-2"/>
        </w:rPr>
        <w:t>existing</w:t>
      </w:r>
      <w:r w:rsidR="005A65DD" w:rsidRPr="0048491F">
        <w:rPr>
          <w:spacing w:val="-2"/>
        </w:rPr>
        <w:t>,</w:t>
      </w:r>
      <w:r w:rsidR="00702A93" w:rsidRPr="0048491F" w:rsidDel="004A445F">
        <w:rPr>
          <w:spacing w:val="-2"/>
        </w:rPr>
        <w:t xml:space="preserve"> </w:t>
      </w:r>
      <w:r w:rsidR="00DA495E" w:rsidRPr="0048491F">
        <w:rPr>
          <w:spacing w:val="-2"/>
        </w:rPr>
        <w:t xml:space="preserve">or only superficially </w:t>
      </w:r>
      <w:r w:rsidRPr="0048491F">
        <w:rPr>
          <w:spacing w:val="-2"/>
        </w:rPr>
        <w:t>link</w:t>
      </w:r>
      <w:r w:rsidR="00DA495E" w:rsidRPr="0048491F">
        <w:rPr>
          <w:spacing w:val="-2"/>
        </w:rPr>
        <w:t>ed</w:t>
      </w:r>
      <w:r w:rsidRPr="0048491F">
        <w:rPr>
          <w:spacing w:val="-2"/>
        </w:rPr>
        <w:t xml:space="preserve"> to </w:t>
      </w:r>
      <w:r w:rsidR="00163DB8" w:rsidRPr="0048491F">
        <w:rPr>
          <w:spacing w:val="-2"/>
        </w:rPr>
        <w:t xml:space="preserve">the </w:t>
      </w:r>
      <w:r w:rsidR="005A65DD" w:rsidRPr="0048491F">
        <w:rPr>
          <w:spacing w:val="-2"/>
        </w:rPr>
        <w:t>P</w:t>
      </w:r>
      <w:r w:rsidR="00163DB8" w:rsidRPr="0048491F">
        <w:rPr>
          <w:spacing w:val="-2"/>
        </w:rPr>
        <w:t xml:space="preserve">riority </w:t>
      </w:r>
      <w:r w:rsidR="005A65DD" w:rsidRPr="0048491F">
        <w:rPr>
          <w:spacing w:val="-2"/>
        </w:rPr>
        <w:t>R</w:t>
      </w:r>
      <w:r w:rsidR="00163DB8" w:rsidRPr="0048491F">
        <w:rPr>
          <w:spacing w:val="-2"/>
        </w:rPr>
        <w:t xml:space="preserve">eform or </w:t>
      </w:r>
      <w:r w:rsidR="004D21AD" w:rsidRPr="0048491F">
        <w:rPr>
          <w:spacing w:val="-2"/>
        </w:rPr>
        <w:t>socio</w:t>
      </w:r>
      <w:r w:rsidR="00827859" w:rsidRPr="0048491F">
        <w:rPr>
          <w:spacing w:val="-2"/>
        </w:rPr>
        <w:noBreakHyphen/>
      </w:r>
      <w:r w:rsidR="004D21AD" w:rsidRPr="0048491F">
        <w:rPr>
          <w:spacing w:val="-2"/>
        </w:rPr>
        <w:t xml:space="preserve">economic </w:t>
      </w:r>
      <w:r w:rsidR="006924AC" w:rsidRPr="0048491F">
        <w:rPr>
          <w:spacing w:val="-2"/>
        </w:rPr>
        <w:t xml:space="preserve">outcome </w:t>
      </w:r>
      <w:r w:rsidR="00D64A95" w:rsidRPr="0048491F">
        <w:rPr>
          <w:spacing w:val="-2"/>
        </w:rPr>
        <w:t>that they are listed against.</w:t>
      </w:r>
      <w:r w:rsidR="006924AC" w:rsidRPr="0048491F">
        <w:rPr>
          <w:spacing w:val="-2"/>
        </w:rPr>
        <w:t xml:space="preserve"> </w:t>
      </w:r>
      <w:r w:rsidR="002D7F7A" w:rsidRPr="0048491F">
        <w:rPr>
          <w:spacing w:val="-2"/>
        </w:rPr>
        <w:t>For example</w:t>
      </w:r>
      <w:r w:rsidR="00BF7F65" w:rsidRPr="0048491F">
        <w:rPr>
          <w:spacing w:val="-2"/>
        </w:rPr>
        <w:t>:</w:t>
      </w:r>
    </w:p>
    <w:p w14:paraId="3D1A1B3C" w14:textId="77777777" w:rsidR="00975617" w:rsidRDefault="00562E46" w:rsidP="009A32AB">
      <w:pPr>
        <w:pStyle w:val="ListBullet"/>
      </w:pPr>
      <w:r>
        <w:t>A</w:t>
      </w:r>
      <w:r w:rsidR="009A32AB">
        <w:t xml:space="preserve"> majority of arrangements listed under Priority Reform 1 could be categorised as advisory panels or reference groups, with limited explanation given about how governments meaningfully partnered with these groups to share decision</w:t>
      </w:r>
      <w:r w:rsidR="009A32AB">
        <w:noBreakHyphen/>
        <w:t>making authority.</w:t>
      </w:r>
    </w:p>
    <w:p w14:paraId="23C3BC98" w14:textId="1D6049DE" w:rsidR="00975617" w:rsidRDefault="0092468B" w:rsidP="004122CF">
      <w:pPr>
        <w:pStyle w:val="ListBullet"/>
      </w:pPr>
      <w:r>
        <w:t xml:space="preserve">Many </w:t>
      </w:r>
      <w:r w:rsidR="00F90DBD">
        <w:t xml:space="preserve">of the </w:t>
      </w:r>
      <w:r w:rsidR="00C23863">
        <w:t>Priority Reform 2</w:t>
      </w:r>
      <w:r w:rsidR="00F90DBD">
        <w:t xml:space="preserve"> actions</w:t>
      </w:r>
      <w:r w:rsidR="004812FF">
        <w:t xml:space="preserve"> in the first implementation plans</w:t>
      </w:r>
      <w:r w:rsidR="00C23863">
        <w:t xml:space="preserve"> </w:t>
      </w:r>
      <w:r w:rsidR="008B7DE1">
        <w:t xml:space="preserve">were existing initiatives, such as </w:t>
      </w:r>
      <w:r w:rsidR="00AB483D" w:rsidRPr="00AB483D">
        <w:t>support</w:t>
      </w:r>
      <w:r w:rsidR="00FA438B">
        <w:t>ing</w:t>
      </w:r>
      <w:r w:rsidR="00AB483D" w:rsidRPr="00AB483D">
        <w:t xml:space="preserve"> ACCO</w:t>
      </w:r>
      <w:r w:rsidR="00FA438B">
        <w:t>s</w:t>
      </w:r>
      <w:r w:rsidR="00AB483D" w:rsidRPr="00AB483D">
        <w:t xml:space="preserve"> to understand the NDIS </w:t>
      </w:r>
      <w:r w:rsidR="00412E9F">
        <w:t xml:space="preserve">and building awareness of the scheme </w:t>
      </w:r>
      <w:r w:rsidR="001B4678" w:rsidRPr="001B4678">
        <w:rPr>
          <w:rFonts w:ascii="Arial" w:hAnsi="Arial" w:cs="Arial"/>
          <w:szCs w:val="24"/>
        </w:rPr>
        <w:t>(Victorian Government 2021, p. 72)</w:t>
      </w:r>
      <w:r w:rsidR="004812FF">
        <w:t>.</w:t>
      </w:r>
    </w:p>
    <w:p w14:paraId="0138E7A2" w14:textId="3255753D" w:rsidR="00071058" w:rsidRDefault="00E226A1">
      <w:pPr>
        <w:pStyle w:val="ListBullet"/>
      </w:pPr>
      <w:r>
        <w:t xml:space="preserve">Actions relating to </w:t>
      </w:r>
      <w:r w:rsidR="00C9072B">
        <w:t xml:space="preserve">Priority </w:t>
      </w:r>
      <w:r w:rsidR="004451F7">
        <w:t>R</w:t>
      </w:r>
      <w:r w:rsidR="00C9072B">
        <w:t>eform 3</w:t>
      </w:r>
      <w:r w:rsidR="00396013">
        <w:t>,</w:t>
      </w:r>
      <w:r w:rsidR="002E555E">
        <w:t xml:space="preserve"> </w:t>
      </w:r>
      <w:r w:rsidR="002654F3">
        <w:t>to</w:t>
      </w:r>
      <w:r w:rsidR="009B6069">
        <w:t xml:space="preserve"> </w:t>
      </w:r>
      <w:r w:rsidR="00CC5976">
        <w:t xml:space="preserve">support the transformation of </w:t>
      </w:r>
      <w:r w:rsidR="00093A7A">
        <w:t>mainstream institutions and agencies</w:t>
      </w:r>
      <w:r w:rsidR="00396013">
        <w:t>,</w:t>
      </w:r>
      <w:r w:rsidR="00093A7A">
        <w:t xml:space="preserve"> </w:t>
      </w:r>
      <w:r w:rsidR="001A76DD">
        <w:t>include</w:t>
      </w:r>
      <w:r w:rsidR="00775035">
        <w:t>d</w:t>
      </w:r>
      <w:r w:rsidR="001A76DD">
        <w:t xml:space="preserve"> </w:t>
      </w:r>
      <w:r w:rsidR="00B545D4">
        <w:t>modest</w:t>
      </w:r>
      <w:r w:rsidR="00F80112">
        <w:t xml:space="preserve"> </w:t>
      </w:r>
      <w:r w:rsidR="00F106AE">
        <w:t>artistic projects</w:t>
      </w:r>
      <w:r w:rsidR="00163398">
        <w:t xml:space="preserve"> such as </w:t>
      </w:r>
      <w:r w:rsidR="00071058" w:rsidRPr="00071058">
        <w:t>adding Aboriginal and Torres Strait Islander artwork to Queensland Boating and Fisheries Patrol boats</w:t>
      </w:r>
      <w:r w:rsidR="00AB26E1">
        <w:t xml:space="preserve"> </w:t>
      </w:r>
      <w:r w:rsidR="00AB26E1" w:rsidRPr="00640498">
        <w:rPr>
          <w:rFonts w:ascii="Arial" w:hAnsi="Arial" w:cs="Arial"/>
          <w:szCs w:val="24"/>
        </w:rPr>
        <w:t>(Queensland Government 2023, p. 20)</w:t>
      </w:r>
      <w:r w:rsidR="000771E3">
        <w:t>.</w:t>
      </w:r>
    </w:p>
    <w:p w14:paraId="2BDD8513" w14:textId="2AFD84BE" w:rsidR="00BF0580" w:rsidRDefault="0012567D" w:rsidP="000771E3">
      <w:pPr>
        <w:pStyle w:val="ListBullet"/>
      </w:pPr>
      <w:r>
        <w:t>P</w:t>
      </w:r>
      <w:r w:rsidR="00100423">
        <w:t xml:space="preserve">riority </w:t>
      </w:r>
      <w:r w:rsidR="004451F7">
        <w:t>R</w:t>
      </w:r>
      <w:r w:rsidR="00100423">
        <w:t xml:space="preserve">eform 4 actions </w:t>
      </w:r>
      <w:r w:rsidR="004236BB">
        <w:t xml:space="preserve">included </w:t>
      </w:r>
      <w:r w:rsidR="005F0D8D">
        <w:t>business</w:t>
      </w:r>
      <w:r w:rsidR="00827859">
        <w:noBreakHyphen/>
      </w:r>
      <w:r w:rsidR="005F0D8D">
        <w:t>as</w:t>
      </w:r>
      <w:r w:rsidR="00827859">
        <w:noBreakHyphen/>
      </w:r>
      <w:r w:rsidR="005F0D8D">
        <w:t>usual reporting against exi</w:t>
      </w:r>
      <w:r w:rsidR="00CE6868">
        <w:t>s</w:t>
      </w:r>
      <w:r w:rsidR="005F0D8D">
        <w:t xml:space="preserve">ting </w:t>
      </w:r>
      <w:r w:rsidR="006B2FF8">
        <w:t xml:space="preserve">government performance frameworks and </w:t>
      </w:r>
      <w:r w:rsidR="00B81827">
        <w:t xml:space="preserve">other actions that were seemingly </w:t>
      </w:r>
      <w:r w:rsidR="00B90515">
        <w:t>irrelevant</w:t>
      </w:r>
      <w:r w:rsidR="00B81827">
        <w:t xml:space="preserve"> to enhancing</w:t>
      </w:r>
      <w:r w:rsidR="00706A19" w:rsidRPr="00706A19">
        <w:t xml:space="preserve"> </w:t>
      </w:r>
      <w:r w:rsidR="00AF1655">
        <w:t xml:space="preserve">the ability of </w:t>
      </w:r>
      <w:r w:rsidR="00706A19" w:rsidRPr="00706A19">
        <w:t>Aboriginal and Torres Strait Islander people</w:t>
      </w:r>
      <w:r w:rsidR="00AF1655">
        <w:t xml:space="preserve"> to </w:t>
      </w:r>
      <w:r w:rsidR="00706A19" w:rsidRPr="00706A19">
        <w:t>access</w:t>
      </w:r>
      <w:r w:rsidR="005D3BAA">
        <w:t>,</w:t>
      </w:r>
      <w:r w:rsidR="00706A19" w:rsidRPr="00706A19">
        <w:t xml:space="preserve"> or </w:t>
      </w:r>
      <w:r w:rsidR="004138E7">
        <w:t xml:space="preserve">use </w:t>
      </w:r>
      <w:r w:rsidR="00B81827">
        <w:t>data</w:t>
      </w:r>
      <w:r w:rsidR="006B4CB9">
        <w:t>. An example was</w:t>
      </w:r>
      <w:r w:rsidR="0071146A">
        <w:t xml:space="preserve"> </w:t>
      </w:r>
      <w:r w:rsidR="00AA28C9">
        <w:t>‘</w:t>
      </w:r>
      <w:r w:rsidR="0071146A" w:rsidRPr="0071146A">
        <w:t>training to support Aboriginal and Torres Strait Islander board members to perform effectively on government boards and committees</w:t>
      </w:r>
      <w:r w:rsidR="00AA28C9">
        <w:t>’</w:t>
      </w:r>
      <w:r w:rsidR="006B4CB9">
        <w:t xml:space="preserve">, listed in the </w:t>
      </w:r>
      <w:r w:rsidR="00AA28C9">
        <w:t xml:space="preserve">ACT </w:t>
      </w:r>
      <w:r w:rsidR="006B4CB9">
        <w:t>Government’s i</w:t>
      </w:r>
      <w:r w:rsidR="00461D77">
        <w:t>mplementation plan</w:t>
      </w:r>
      <w:r w:rsidR="006B4CB9">
        <w:t>.</w:t>
      </w:r>
      <w:r w:rsidR="004E7006">
        <w:t xml:space="preserve"> </w:t>
      </w:r>
    </w:p>
    <w:p w14:paraId="24CD1B2B" w14:textId="62F286BA" w:rsidR="00B26F35" w:rsidRDefault="00CC5A50" w:rsidP="006A7A9F">
      <w:pPr>
        <w:pStyle w:val="BodyText"/>
        <w:keepNext/>
        <w:spacing w:after="60"/>
      </w:pPr>
      <w:r w:rsidRPr="000771E3">
        <w:t>Overall</w:t>
      </w:r>
      <w:r w:rsidR="009576A0" w:rsidRPr="000771E3">
        <w:t>,</w:t>
      </w:r>
      <w:r w:rsidRPr="000771E3">
        <w:t xml:space="preserve"> t</w:t>
      </w:r>
      <w:r w:rsidR="00B34DD3" w:rsidRPr="000771E3">
        <w:t>he</w:t>
      </w:r>
      <w:r w:rsidR="00302D21" w:rsidRPr="000771E3">
        <w:t xml:space="preserve"> </w:t>
      </w:r>
      <w:r w:rsidR="00C41433">
        <w:t>i</w:t>
      </w:r>
      <w:r w:rsidR="00302D21" w:rsidRPr="000771E3">
        <w:t xml:space="preserve">mplementation </w:t>
      </w:r>
      <w:r w:rsidR="00C41433">
        <w:t>p</w:t>
      </w:r>
      <w:r w:rsidR="00302D21" w:rsidRPr="000771E3">
        <w:t xml:space="preserve">lans </w:t>
      </w:r>
      <w:r w:rsidRPr="000771E3">
        <w:t xml:space="preserve">fail to </w:t>
      </w:r>
      <w:r w:rsidR="00E67112" w:rsidRPr="000771E3">
        <w:t>set out a</w:t>
      </w:r>
      <w:r w:rsidR="0057154E">
        <w:t xml:space="preserve"> coherent</w:t>
      </w:r>
      <w:r w:rsidR="00E67112" w:rsidRPr="000771E3">
        <w:t xml:space="preserve"> strategy or </w:t>
      </w:r>
      <w:r w:rsidR="00B34DD3" w:rsidRPr="000771E3">
        <w:t xml:space="preserve">basic </w:t>
      </w:r>
      <w:r w:rsidRPr="000771E3">
        <w:t>‘</w:t>
      </w:r>
      <w:r w:rsidR="00B34DD3" w:rsidRPr="000771E3">
        <w:t>theory of change</w:t>
      </w:r>
      <w:r w:rsidRPr="000771E3">
        <w:t>’</w:t>
      </w:r>
      <w:r w:rsidR="00BC09D3" w:rsidRPr="000771E3">
        <w:t>. Done well, this would</w:t>
      </w:r>
      <w:r w:rsidR="00B34DD3" w:rsidRPr="000771E3">
        <w:t xml:space="preserve"> </w:t>
      </w:r>
      <w:r w:rsidR="00BC09D3" w:rsidRPr="000771E3">
        <w:t>identify</w:t>
      </w:r>
      <w:r w:rsidR="0058042F" w:rsidRPr="000771E3">
        <w:t xml:space="preserve"> the</w:t>
      </w:r>
      <w:r w:rsidR="00B34DD3" w:rsidRPr="000771E3">
        <w:t xml:space="preserve"> existing </w:t>
      </w:r>
      <w:r w:rsidR="005210F3" w:rsidRPr="000771E3">
        <w:t>issues</w:t>
      </w:r>
      <w:r w:rsidR="00BC09D3" w:rsidRPr="000771E3">
        <w:t xml:space="preserve"> and barriers</w:t>
      </w:r>
      <w:r w:rsidR="005210F3" w:rsidRPr="000771E3">
        <w:t xml:space="preserve"> </w:t>
      </w:r>
      <w:r w:rsidR="0058042F" w:rsidRPr="000771E3">
        <w:t>that are impeding the</w:t>
      </w:r>
      <w:r w:rsidR="00B34DD3" w:rsidRPr="000771E3">
        <w:t xml:space="preserve"> </w:t>
      </w:r>
      <w:r w:rsidR="00637CD8" w:rsidRPr="000771E3">
        <w:t>Priority Reform</w:t>
      </w:r>
      <w:r w:rsidR="002E721C">
        <w:t>s</w:t>
      </w:r>
      <w:r w:rsidR="00637CD8" w:rsidRPr="000771E3">
        <w:t xml:space="preserve"> and socio</w:t>
      </w:r>
      <w:r w:rsidR="00827859">
        <w:noBreakHyphen/>
      </w:r>
      <w:r w:rsidR="00637CD8" w:rsidRPr="000771E3">
        <w:t>economic outcome</w:t>
      </w:r>
      <w:r w:rsidR="001D6508" w:rsidRPr="000771E3">
        <w:t>s</w:t>
      </w:r>
      <w:r w:rsidR="006E7F27" w:rsidRPr="000771E3">
        <w:t>,</w:t>
      </w:r>
      <w:r w:rsidR="00637CD8" w:rsidRPr="000771E3">
        <w:t xml:space="preserve"> </w:t>
      </w:r>
      <w:r w:rsidR="00CB5F96" w:rsidRPr="000771E3">
        <w:t xml:space="preserve">articulate </w:t>
      </w:r>
      <w:r w:rsidR="00564232" w:rsidRPr="000771E3">
        <w:t xml:space="preserve">the </w:t>
      </w:r>
      <w:r w:rsidR="00876129" w:rsidRPr="000771E3">
        <w:t xml:space="preserve">conditions </w:t>
      </w:r>
      <w:r w:rsidR="00210872" w:rsidRPr="000771E3">
        <w:t>and factors that will</w:t>
      </w:r>
      <w:r w:rsidR="00285BA2" w:rsidRPr="000771E3">
        <w:t xml:space="preserve"> </w:t>
      </w:r>
      <w:r w:rsidR="00B34DD3" w:rsidRPr="000771E3">
        <w:t>enable change</w:t>
      </w:r>
      <w:r w:rsidR="0015033F" w:rsidRPr="000771E3">
        <w:t xml:space="preserve">, </w:t>
      </w:r>
      <w:r w:rsidR="00B34DD3" w:rsidRPr="000771E3">
        <w:t xml:space="preserve">and </w:t>
      </w:r>
      <w:r w:rsidR="000C0288" w:rsidRPr="000771E3">
        <w:t xml:space="preserve">then </w:t>
      </w:r>
      <w:r w:rsidR="0065234A" w:rsidRPr="000771E3">
        <w:t xml:space="preserve">explain </w:t>
      </w:r>
      <w:r w:rsidR="00444EE4" w:rsidRPr="000771E3">
        <w:t xml:space="preserve">why </w:t>
      </w:r>
      <w:r w:rsidR="003A43D6" w:rsidRPr="000771E3">
        <w:t xml:space="preserve">and how </w:t>
      </w:r>
      <w:r w:rsidR="00E26E8A" w:rsidRPr="000771E3">
        <w:t xml:space="preserve">the </w:t>
      </w:r>
      <w:r w:rsidR="00AE3020" w:rsidRPr="000771E3">
        <w:t>proposed</w:t>
      </w:r>
      <w:r w:rsidR="0065234A" w:rsidRPr="000771E3">
        <w:t xml:space="preserve"> actions </w:t>
      </w:r>
      <w:r w:rsidR="00B0787B" w:rsidRPr="000771E3">
        <w:t xml:space="preserve">will </w:t>
      </w:r>
      <w:r w:rsidR="002811D0" w:rsidRPr="000771E3">
        <w:t>contribu</w:t>
      </w:r>
      <w:r w:rsidR="009D4BDC" w:rsidRPr="000771E3">
        <w:t>te to</w:t>
      </w:r>
      <w:r w:rsidR="006F1F97" w:rsidRPr="000771E3">
        <w:t xml:space="preserve"> bringing th</w:t>
      </w:r>
      <w:r w:rsidR="004F129D">
        <w:t>at</w:t>
      </w:r>
      <w:r w:rsidR="006F1F97" w:rsidRPr="000771E3">
        <w:t xml:space="preserve"> ch</w:t>
      </w:r>
      <w:r w:rsidR="00FF5CC0" w:rsidRPr="000771E3">
        <w:t>ange about.</w:t>
      </w:r>
      <w:r w:rsidR="00630CB2" w:rsidRPr="000771E3">
        <w:t xml:space="preserve"> </w:t>
      </w:r>
      <w:r w:rsidR="001155EC">
        <w:t>The</w:t>
      </w:r>
      <w:r w:rsidR="00980D41" w:rsidRPr="000771E3" w:rsidDel="001155EC">
        <w:t xml:space="preserve"> </w:t>
      </w:r>
      <w:r w:rsidR="00980D41" w:rsidRPr="000771E3">
        <w:t>plans also fail to</w:t>
      </w:r>
      <w:r w:rsidR="00E61C45" w:rsidRPr="000771E3">
        <w:t xml:space="preserve"> explain</w:t>
      </w:r>
      <w:r w:rsidR="00980D41" w:rsidRPr="000771E3">
        <w:t xml:space="preserve"> </w:t>
      </w:r>
      <w:r w:rsidR="00316C89" w:rsidRPr="000771E3">
        <w:t xml:space="preserve">the interconnectedness of the </w:t>
      </w:r>
      <w:r w:rsidR="005A65DD">
        <w:t>P</w:t>
      </w:r>
      <w:r w:rsidR="00BF2D46" w:rsidRPr="000771E3">
        <w:t xml:space="preserve">riority </w:t>
      </w:r>
      <w:r w:rsidR="005A65DD">
        <w:t>R</w:t>
      </w:r>
      <w:r w:rsidR="00BF2D46" w:rsidRPr="000771E3">
        <w:t xml:space="preserve">eforms and how they will </w:t>
      </w:r>
      <w:r w:rsidR="005C4F07" w:rsidRPr="000771E3">
        <w:t>be</w:t>
      </w:r>
      <w:r w:rsidR="00BF2D46" w:rsidRPr="000771E3">
        <w:t xml:space="preserve"> </w:t>
      </w:r>
      <w:r w:rsidR="005C4F07" w:rsidRPr="000771E3">
        <w:t>embedded in the</w:t>
      </w:r>
      <w:r w:rsidR="00174A0F">
        <w:t xml:space="preserve"> socio</w:t>
      </w:r>
      <w:r w:rsidR="00827859">
        <w:noBreakHyphen/>
      </w:r>
      <w:r w:rsidR="00174A0F">
        <w:t>economic</w:t>
      </w:r>
      <w:r w:rsidR="005C4F07" w:rsidRPr="000771E3">
        <w:t xml:space="preserve"> </w:t>
      </w:r>
      <w:r w:rsidR="005C4F07" w:rsidRPr="000771E3">
        <w:lastRenderedPageBreak/>
        <w:t>outcome areas to drive change</w:t>
      </w:r>
      <w:r w:rsidR="00D176A8">
        <w:t>.</w:t>
      </w:r>
      <w:r w:rsidR="00040B24">
        <w:rPr>
          <w:color w:val="FF0000"/>
        </w:rPr>
        <w:t xml:space="preserve"> </w:t>
      </w:r>
      <w:r w:rsidR="00B26F35">
        <w:t xml:space="preserve">Without </w:t>
      </w:r>
      <w:r w:rsidR="00621728">
        <w:t>this</w:t>
      </w:r>
      <w:r w:rsidR="00901286">
        <w:t xml:space="preserve"> </w:t>
      </w:r>
      <w:r w:rsidR="006F6658">
        <w:t>understanding</w:t>
      </w:r>
      <w:r w:rsidR="0079452C">
        <w:t>,</w:t>
      </w:r>
      <w:r w:rsidR="006F6658">
        <w:t xml:space="preserve"> </w:t>
      </w:r>
      <w:r w:rsidR="009B1D33">
        <w:t xml:space="preserve">it is </w:t>
      </w:r>
      <w:r w:rsidR="00291D28">
        <w:t xml:space="preserve">often </w:t>
      </w:r>
      <w:r w:rsidR="00F00016">
        <w:t xml:space="preserve">difficult to </w:t>
      </w:r>
      <w:r w:rsidR="00291D28">
        <w:t xml:space="preserve">discern </w:t>
      </w:r>
      <w:r w:rsidR="00F00016">
        <w:t xml:space="preserve">the </w:t>
      </w:r>
      <w:r w:rsidR="00E22195">
        <w:t xml:space="preserve">relative importance of </w:t>
      </w:r>
      <w:r w:rsidR="003D795A">
        <w:t>the</w:t>
      </w:r>
      <w:r w:rsidR="003E2DE5">
        <w:t xml:space="preserve"> </w:t>
      </w:r>
      <w:r w:rsidR="00C91AA2">
        <w:t xml:space="preserve">actions </w:t>
      </w:r>
      <w:r w:rsidR="00F77F51">
        <w:t xml:space="preserve">and whether they </w:t>
      </w:r>
      <w:r w:rsidR="000A74AD">
        <w:t xml:space="preserve">will </w:t>
      </w:r>
      <w:r w:rsidR="00F77F51">
        <w:t>collectively a</w:t>
      </w:r>
      <w:r w:rsidR="00F11959">
        <w:t xml:space="preserve">mount to </w:t>
      </w:r>
      <w:r w:rsidR="003D795A">
        <w:t>a</w:t>
      </w:r>
      <w:r w:rsidR="00692C73">
        <w:t xml:space="preserve"> </w:t>
      </w:r>
      <w:r w:rsidR="00F11959">
        <w:t xml:space="preserve">meaningful </w:t>
      </w:r>
      <w:r w:rsidR="00692C73" w:rsidRPr="005726E6">
        <w:t>response</w:t>
      </w:r>
      <w:r w:rsidR="00F11959" w:rsidRPr="005726E6">
        <w:t>.</w:t>
      </w:r>
      <w:r w:rsidR="007A5021" w:rsidRPr="005726E6">
        <w:t xml:space="preserve"> </w:t>
      </w:r>
      <w:r w:rsidR="003E2DE5" w:rsidRPr="000771E3">
        <w:t>T</w:t>
      </w:r>
      <w:r w:rsidR="00BD04AC" w:rsidRPr="000771E3">
        <w:t xml:space="preserve">his </w:t>
      </w:r>
      <w:r w:rsidR="00CD3013" w:rsidRPr="000771E3">
        <w:t>concern was raised by</w:t>
      </w:r>
      <w:r w:rsidR="00CD3013" w:rsidRPr="0070421F">
        <w:t xml:space="preserve"> many </w:t>
      </w:r>
      <w:r w:rsidR="00CD3013" w:rsidRPr="000771E3">
        <w:t>participants</w:t>
      </w:r>
      <w:r w:rsidR="002B7CB7">
        <w:t xml:space="preserve"> </w:t>
      </w:r>
      <w:r w:rsidR="002B7CB7">
        <w:rPr>
          <w:rFonts w:cstheme="minorHAnsi"/>
        </w:rPr>
        <w:t>–</w:t>
      </w:r>
      <w:r w:rsidR="00CD3013" w:rsidRPr="000771E3">
        <w:t xml:space="preserve"> for example:</w:t>
      </w:r>
    </w:p>
    <w:p w14:paraId="5A5CA845" w14:textId="30EBA2E4" w:rsidR="00AE3093" w:rsidRDefault="008877EE" w:rsidP="0032496E">
      <w:pPr>
        <w:pStyle w:val="Quote"/>
        <w:rPr>
          <w:rStyle w:val="QuoteChar"/>
        </w:rPr>
      </w:pPr>
      <w:r w:rsidRPr="008877EE">
        <w:rPr>
          <w:rStyle w:val="QuoteChar"/>
        </w:rPr>
        <w:t>… At the end of five years, we will have multiple Implementation Plans listing in excess of ten thousand initiatives and actions. What is the point of preparing these documents if no</w:t>
      </w:r>
      <w:r w:rsidR="00827859">
        <w:rPr>
          <w:rStyle w:val="QuoteChar"/>
        </w:rPr>
        <w:noBreakHyphen/>
      </w:r>
      <w:r w:rsidRPr="008877EE">
        <w:rPr>
          <w:rStyle w:val="QuoteChar"/>
        </w:rPr>
        <w:t>one will be able to read and absorb them? If one wished to design a process guaranteed to resist close analysis and inspection, one could hardly do better than the current miasma of bureaucratic gobbledegook that passes for serious policy aimed at closing the gap.</w:t>
      </w:r>
      <w:r w:rsidR="00AE3093" w:rsidRPr="00AE3093">
        <w:rPr>
          <w:rStyle w:val="QuoteChar"/>
        </w:rPr>
        <w:t xml:space="preserve"> (Dillon, sub.</w:t>
      </w:r>
      <w:r w:rsidR="005634D7">
        <w:rPr>
          <w:rStyle w:val="QuoteChar"/>
        </w:rPr>
        <w:t> </w:t>
      </w:r>
      <w:r w:rsidR="00AE3093" w:rsidRPr="00AE3093">
        <w:rPr>
          <w:rStyle w:val="QuoteChar"/>
        </w:rPr>
        <w:t xml:space="preserve">5, </w:t>
      </w:r>
      <w:r w:rsidR="00AE3093" w:rsidRPr="005374C1">
        <w:rPr>
          <w:rStyle w:val="QuoteChar"/>
        </w:rPr>
        <w:t>p.</w:t>
      </w:r>
      <w:r w:rsidR="005634D7">
        <w:rPr>
          <w:rStyle w:val="QuoteChar"/>
        </w:rPr>
        <w:t> </w:t>
      </w:r>
      <w:r w:rsidR="00AE3093" w:rsidRPr="005374C1">
        <w:rPr>
          <w:rStyle w:val="QuoteChar"/>
        </w:rPr>
        <w:t>3</w:t>
      </w:r>
      <w:r w:rsidR="00AE3093" w:rsidRPr="00AE3093">
        <w:rPr>
          <w:rStyle w:val="QuoteChar"/>
        </w:rPr>
        <w:t>)</w:t>
      </w:r>
    </w:p>
    <w:p w14:paraId="7007B857" w14:textId="1F0E4374" w:rsidR="00063E01" w:rsidRDefault="00BA54F3" w:rsidP="003A2CD6">
      <w:pPr>
        <w:pStyle w:val="BodyText"/>
      </w:pPr>
      <w:r>
        <w:t xml:space="preserve">The </w:t>
      </w:r>
      <w:r w:rsidR="008E27E5">
        <w:t>implementation plan</w:t>
      </w:r>
      <w:r w:rsidR="00AE4DF5">
        <w:t>s</w:t>
      </w:r>
      <w:r>
        <w:t xml:space="preserve"> </w:t>
      </w:r>
      <w:r w:rsidR="00063E01">
        <w:t>are also meant to ‘be whole</w:t>
      </w:r>
      <w:r w:rsidR="00827859">
        <w:noBreakHyphen/>
      </w:r>
      <w:r w:rsidR="00063E01">
        <w:t>of</w:t>
      </w:r>
      <w:r w:rsidR="00827859">
        <w:noBreakHyphen/>
      </w:r>
      <w:r w:rsidR="00063E01">
        <w:t>government</w:t>
      </w:r>
      <w:r w:rsidR="00AE4DF5">
        <w:t xml:space="preserve"> </w:t>
      </w:r>
      <w:r w:rsidR="00063E01">
        <w:t>plans</w:t>
      </w:r>
      <w:r w:rsidR="00646F9B">
        <w:t>,</w:t>
      </w:r>
      <w:r w:rsidR="00063E01">
        <w:t xml:space="preserve"> covering government agencies and </w:t>
      </w:r>
      <w:r w:rsidR="00AE4DF5">
        <w:t>stat</w:t>
      </w:r>
      <w:r w:rsidR="007F39B7">
        <w:t>ut</w:t>
      </w:r>
      <w:r w:rsidR="00AE4DF5">
        <w:t>or</w:t>
      </w:r>
      <w:r w:rsidR="0082263E">
        <w:t>y</w:t>
      </w:r>
      <w:r w:rsidR="00063E01">
        <w:t xml:space="preserve"> bodies’. </w:t>
      </w:r>
      <w:r w:rsidR="00315667">
        <w:t>M</w:t>
      </w:r>
      <w:r w:rsidR="00A4663F">
        <w:t>ost plans</w:t>
      </w:r>
      <w:r w:rsidR="00BA60AC">
        <w:t xml:space="preserve"> </w:t>
      </w:r>
      <w:r w:rsidR="005644D3">
        <w:t>assig</w:t>
      </w:r>
      <w:r w:rsidR="0018456A">
        <w:t>n</w:t>
      </w:r>
      <w:r w:rsidR="00BC0B55">
        <w:t xml:space="preserve"> </w:t>
      </w:r>
      <w:r w:rsidR="00FB4924">
        <w:t>actions to a</w:t>
      </w:r>
      <w:r w:rsidR="00F273DC">
        <w:t xml:space="preserve"> responsible </w:t>
      </w:r>
      <w:r w:rsidR="00C358B2">
        <w:t xml:space="preserve">lead </w:t>
      </w:r>
      <w:r w:rsidR="00F273DC">
        <w:t>department</w:t>
      </w:r>
      <w:r w:rsidR="00652F47">
        <w:t>,</w:t>
      </w:r>
      <w:r w:rsidR="00F23D72">
        <w:t xml:space="preserve"> but</w:t>
      </w:r>
      <w:r w:rsidR="00063E01">
        <w:t xml:space="preserve"> </w:t>
      </w:r>
      <w:r w:rsidR="00021CFE">
        <w:t>many</w:t>
      </w:r>
      <w:r w:rsidR="0082263E">
        <w:t xml:space="preserve"> </w:t>
      </w:r>
      <w:r w:rsidR="00BB202C">
        <w:t>agencies</w:t>
      </w:r>
      <w:r w:rsidR="00E0754D">
        <w:t xml:space="preserve"> and other entities</w:t>
      </w:r>
      <w:r w:rsidR="00BB202C">
        <w:t xml:space="preserve"> </w:t>
      </w:r>
      <w:r w:rsidR="00063E01">
        <w:t xml:space="preserve">are not </w:t>
      </w:r>
      <w:r w:rsidR="00BB202C">
        <w:t>included</w:t>
      </w:r>
      <w:r w:rsidR="00B55A96">
        <w:t>.</w:t>
      </w:r>
      <w:r w:rsidR="00071CD7">
        <w:t xml:space="preserve"> For example, </w:t>
      </w:r>
      <w:r w:rsidR="00D17B84">
        <w:t xml:space="preserve">only 19 </w:t>
      </w:r>
      <w:r w:rsidR="00071CD7">
        <w:t xml:space="preserve">of the 189 </w:t>
      </w:r>
      <w:r w:rsidR="004B452D">
        <w:t xml:space="preserve">Australian </w:t>
      </w:r>
      <w:r w:rsidR="00B31202">
        <w:t>G</w:t>
      </w:r>
      <w:r w:rsidR="004B452D">
        <w:t>overnment</w:t>
      </w:r>
      <w:r w:rsidR="00244588">
        <w:t xml:space="preserve"> entities and </w:t>
      </w:r>
      <w:r w:rsidR="00E40FB5">
        <w:t xml:space="preserve">companies </w:t>
      </w:r>
      <w:r w:rsidR="002F236E">
        <w:t>are</w:t>
      </w:r>
      <w:r w:rsidR="00700D0B">
        <w:t xml:space="preserve"> refer</w:t>
      </w:r>
      <w:r w:rsidR="00A27D95">
        <w:t>red to</w:t>
      </w:r>
      <w:r w:rsidR="00700D0B">
        <w:t xml:space="preserve"> in the Australian Government</w:t>
      </w:r>
      <w:r w:rsidR="00FF3DE8">
        <w:t>’</w:t>
      </w:r>
      <w:r w:rsidR="00700D0B">
        <w:t xml:space="preserve">s </w:t>
      </w:r>
      <w:r w:rsidR="00FF3DE8">
        <w:t>a</w:t>
      </w:r>
      <w:r w:rsidR="00325979">
        <w:t xml:space="preserve">ctions </w:t>
      </w:r>
      <w:r w:rsidR="00FF3DE8">
        <w:t>t</w:t>
      </w:r>
      <w:r w:rsidR="00325979">
        <w:t>able</w:t>
      </w:r>
      <w:r w:rsidR="00F665BB" w:rsidRPr="00A7164A">
        <w:rPr>
          <w:rStyle w:val="FootnoteReference"/>
        </w:rPr>
        <w:footnoteReference w:id="3"/>
      </w:r>
      <w:r w:rsidR="00FF3DE8">
        <w:t>.</w:t>
      </w:r>
      <w:r w:rsidR="00E0754D">
        <w:t xml:space="preserve"> </w:t>
      </w:r>
      <w:r w:rsidR="00B55A96" w:rsidRPr="004C12E6">
        <w:t xml:space="preserve">None of the plans </w:t>
      </w:r>
      <w:r w:rsidR="00546C37" w:rsidRPr="004C12E6">
        <w:t xml:space="preserve">prescribe </w:t>
      </w:r>
      <w:r w:rsidR="000E2704" w:rsidRPr="004C12E6">
        <w:t xml:space="preserve">a process </w:t>
      </w:r>
      <w:r w:rsidR="008521E0" w:rsidRPr="004C12E6">
        <w:t>to</w:t>
      </w:r>
      <w:r w:rsidR="00D71137" w:rsidRPr="004C12E6">
        <w:t xml:space="preserve"> ensure that all</w:t>
      </w:r>
      <w:r w:rsidR="0078378F" w:rsidRPr="004C12E6">
        <w:t xml:space="preserve"> </w:t>
      </w:r>
      <w:r w:rsidR="002D0ADC" w:rsidRPr="004C12E6">
        <w:t>government entities</w:t>
      </w:r>
      <w:r w:rsidR="0053231D" w:rsidRPr="004C12E6">
        <w:t xml:space="preserve"> </w:t>
      </w:r>
      <w:r w:rsidR="00742BC6" w:rsidRPr="004C12E6">
        <w:t>individually</w:t>
      </w:r>
      <w:r w:rsidR="007E248A" w:rsidRPr="004C12E6">
        <w:t xml:space="preserve"> </w:t>
      </w:r>
      <w:r w:rsidR="008A46DB" w:rsidRPr="004C12E6">
        <w:t>set</w:t>
      </w:r>
      <w:r w:rsidR="00742BC6" w:rsidRPr="004C12E6">
        <w:t xml:space="preserve"> </w:t>
      </w:r>
      <w:r w:rsidR="008A46DB" w:rsidRPr="004C12E6">
        <w:t xml:space="preserve">out </w:t>
      </w:r>
      <w:r w:rsidR="00DF41D3" w:rsidRPr="004C12E6">
        <w:t>the</w:t>
      </w:r>
      <w:r w:rsidR="002D0ADC" w:rsidRPr="004C12E6">
        <w:t xml:space="preserve"> </w:t>
      </w:r>
      <w:r w:rsidR="007C2CCA" w:rsidRPr="004C12E6">
        <w:t xml:space="preserve">actions they will take to </w:t>
      </w:r>
      <w:r w:rsidR="00233B02" w:rsidRPr="004C12E6">
        <w:t xml:space="preserve">support the implementation of the </w:t>
      </w:r>
      <w:r w:rsidR="000911E2">
        <w:t>Priority Reform</w:t>
      </w:r>
      <w:r w:rsidR="00233B02" w:rsidRPr="004C12E6">
        <w:t>s</w:t>
      </w:r>
      <w:r w:rsidR="00C955B2" w:rsidRPr="004C12E6">
        <w:t xml:space="preserve"> and </w:t>
      </w:r>
      <w:r w:rsidR="00742BC6" w:rsidRPr="004C12E6">
        <w:t>any</w:t>
      </w:r>
      <w:r w:rsidR="00C955B2" w:rsidRPr="004C12E6">
        <w:t xml:space="preserve"> </w:t>
      </w:r>
      <w:r w:rsidR="00163774" w:rsidRPr="004C12E6">
        <w:t>socio</w:t>
      </w:r>
      <w:r w:rsidR="00827859">
        <w:noBreakHyphen/>
      </w:r>
      <w:r w:rsidR="00163774" w:rsidRPr="004C12E6">
        <w:t>economic</w:t>
      </w:r>
      <w:r w:rsidR="00C955B2" w:rsidRPr="004C12E6">
        <w:t xml:space="preserve"> outcomes that are relevant to their</w:t>
      </w:r>
      <w:r w:rsidR="00742BC6" w:rsidRPr="004C12E6">
        <w:t xml:space="preserve"> </w:t>
      </w:r>
      <w:r w:rsidR="001252D7" w:rsidRPr="004C12E6">
        <w:t>policy area</w:t>
      </w:r>
      <w:r w:rsidR="00233B02" w:rsidRPr="004C12E6">
        <w:t>.</w:t>
      </w:r>
      <w:r w:rsidR="00D607DE" w:rsidRPr="004C12E6">
        <w:t xml:space="preserve"> </w:t>
      </w:r>
      <w:r w:rsidR="00063E01" w:rsidRPr="004C12E6">
        <w:t xml:space="preserve">This </w:t>
      </w:r>
      <w:r w:rsidR="00063E01" w:rsidRPr="00FB41F3">
        <w:t>omission is important, as genuine whole</w:t>
      </w:r>
      <w:r w:rsidR="00827859">
        <w:noBreakHyphen/>
      </w:r>
      <w:r w:rsidR="00063E01" w:rsidRPr="00FB41F3">
        <w:t>of</w:t>
      </w:r>
      <w:r w:rsidR="00827859">
        <w:noBreakHyphen/>
      </w:r>
      <w:r w:rsidR="00063E01" w:rsidRPr="00FB41F3">
        <w:t xml:space="preserve">government action is necessary to successfully implement the profound </w:t>
      </w:r>
      <w:r w:rsidR="00433606">
        <w:t xml:space="preserve">and lasting </w:t>
      </w:r>
      <w:r w:rsidR="00063E01" w:rsidRPr="00FB41F3">
        <w:t>changes envisaged in the Agreement.</w:t>
      </w:r>
    </w:p>
    <w:p w14:paraId="676D19D7" w14:textId="0D4DF304" w:rsidR="0045488A" w:rsidRDefault="00063E01" w:rsidP="003A2CD6">
      <w:pPr>
        <w:pStyle w:val="BodyText"/>
      </w:pPr>
      <w:r>
        <w:t xml:space="preserve">Finally, few </w:t>
      </w:r>
      <w:r w:rsidR="001810C5">
        <w:t>jurisdictions</w:t>
      </w:r>
      <w:r>
        <w:t xml:space="preserve"> </w:t>
      </w:r>
      <w:r w:rsidR="00667CC3">
        <w:t xml:space="preserve">substantively </w:t>
      </w:r>
      <w:r w:rsidR="001810C5">
        <w:t xml:space="preserve">describe how they </w:t>
      </w:r>
      <w:r>
        <w:t xml:space="preserve">will work with </w:t>
      </w:r>
      <w:r w:rsidR="00276FAC">
        <w:t xml:space="preserve">and support </w:t>
      </w:r>
      <w:r>
        <w:t xml:space="preserve">local governments to implement the </w:t>
      </w:r>
      <w:r w:rsidR="005F5911">
        <w:t>A</w:t>
      </w:r>
      <w:r>
        <w:t>greement</w:t>
      </w:r>
      <w:r w:rsidR="009A44FB">
        <w:t xml:space="preserve">. </w:t>
      </w:r>
      <w:r w:rsidR="00C12C89">
        <w:t xml:space="preserve">Most of the plans appear to have been </w:t>
      </w:r>
      <w:r w:rsidR="00317ED0">
        <w:t>developed within minimal or no input from the jurisdictions</w:t>
      </w:r>
      <w:r w:rsidR="00BE7B5B">
        <w:t>’</w:t>
      </w:r>
      <w:r w:rsidR="00317ED0">
        <w:t xml:space="preserve"> </w:t>
      </w:r>
      <w:r w:rsidR="00BE7B5B">
        <w:t xml:space="preserve">local government association. </w:t>
      </w:r>
      <w:r w:rsidR="00D57BB8">
        <w:t>The Northern Territory is a notable exception</w:t>
      </w:r>
      <w:r w:rsidR="009D7C9D">
        <w:t xml:space="preserve"> </w:t>
      </w:r>
      <w:r w:rsidR="00080689">
        <w:t>–</w:t>
      </w:r>
      <w:r w:rsidR="009D7C9D">
        <w:t xml:space="preserve"> </w:t>
      </w:r>
      <w:r w:rsidR="00080689">
        <w:t xml:space="preserve">the </w:t>
      </w:r>
      <w:r w:rsidR="009D7C9D" w:rsidRPr="009D7C9D">
        <w:t>Local Government Association of the Northern Territor</w:t>
      </w:r>
      <w:r w:rsidR="009D7C9D">
        <w:t xml:space="preserve">y </w:t>
      </w:r>
      <w:r w:rsidR="00080689">
        <w:t>(LGANT) was a joint</w:t>
      </w:r>
      <w:r w:rsidR="00A27D95">
        <w:t xml:space="preserve"> </w:t>
      </w:r>
      <w:r w:rsidR="00080689">
        <w:t xml:space="preserve">partner </w:t>
      </w:r>
      <w:r w:rsidR="007D3724">
        <w:t>in the development of the N</w:t>
      </w:r>
      <w:r w:rsidR="008765AD">
        <w:t xml:space="preserve">orthern </w:t>
      </w:r>
      <w:r w:rsidR="007D3724">
        <w:t>T</w:t>
      </w:r>
      <w:r w:rsidR="008765AD">
        <w:t>erritory</w:t>
      </w:r>
      <w:r w:rsidR="007D3724">
        <w:t xml:space="preserve">’s </w:t>
      </w:r>
      <w:r w:rsidR="008765AD">
        <w:t>i</w:t>
      </w:r>
      <w:r w:rsidR="007D3724">
        <w:t xml:space="preserve">mplementation </w:t>
      </w:r>
      <w:r w:rsidR="008765AD">
        <w:t>p</w:t>
      </w:r>
      <w:r w:rsidR="007D3724">
        <w:t>lan</w:t>
      </w:r>
      <w:r w:rsidR="00A27D95">
        <w:t>,</w:t>
      </w:r>
      <w:r w:rsidR="007D3724">
        <w:t xml:space="preserve"> and </w:t>
      </w:r>
      <w:r w:rsidR="00EF214D">
        <w:t>the association</w:t>
      </w:r>
      <w:r w:rsidR="006748A6">
        <w:t xml:space="preserve"> committed to </w:t>
      </w:r>
      <w:r w:rsidR="00D67401">
        <w:t>specific actions to support Priority Reforms 2 and 3</w:t>
      </w:r>
      <w:r w:rsidR="00AD2D6B">
        <w:t xml:space="preserve"> </w:t>
      </w:r>
      <w:r w:rsidR="00A76C10" w:rsidRPr="00A76C10">
        <w:rPr>
          <w:rFonts w:ascii="Arial" w:hAnsi="Arial" w:cs="Arial"/>
          <w:szCs w:val="24"/>
        </w:rPr>
        <w:t>(NT Government 2022, p. 2,26,30)</w:t>
      </w:r>
      <w:r w:rsidR="00D67401">
        <w:t>.</w:t>
      </w:r>
    </w:p>
    <w:p w14:paraId="1DB0EFEF" w14:textId="6A189552" w:rsidR="00A40A91" w:rsidRPr="001B77C0" w:rsidRDefault="001C2A5E" w:rsidP="00C17A91">
      <w:pPr>
        <w:pStyle w:val="Heading4"/>
      </w:pPr>
      <w:r w:rsidRPr="001B77C0">
        <w:t xml:space="preserve">A lack of transparency </w:t>
      </w:r>
      <w:r w:rsidR="00AC6AE8" w:rsidRPr="001B77C0">
        <w:t xml:space="preserve">about how </w:t>
      </w:r>
      <w:r w:rsidR="00D01762" w:rsidRPr="001B77C0">
        <w:t>actions will be delivered</w:t>
      </w:r>
    </w:p>
    <w:p w14:paraId="71B13301" w14:textId="5C967AA1" w:rsidR="00EA74E4" w:rsidRDefault="00E41D79" w:rsidP="00D01762">
      <w:pPr>
        <w:pStyle w:val="BodyText"/>
      </w:pPr>
      <w:r>
        <w:t xml:space="preserve">Despite being required </w:t>
      </w:r>
      <w:r w:rsidR="00145EEB">
        <w:t xml:space="preserve">to ensure </w:t>
      </w:r>
      <w:r w:rsidR="00F472F9">
        <w:t>transparency</w:t>
      </w:r>
      <w:r w:rsidR="00EA74E4">
        <w:t>,</w:t>
      </w:r>
      <w:r w:rsidR="00F472F9">
        <w:t xml:space="preserve"> </w:t>
      </w:r>
      <w:r w:rsidR="00D03C1A">
        <w:t xml:space="preserve">details </w:t>
      </w:r>
      <w:r w:rsidR="00A3224D">
        <w:t>on the</w:t>
      </w:r>
      <w:r w:rsidR="00D03C1A">
        <w:t xml:space="preserve"> funding and </w:t>
      </w:r>
      <w:r w:rsidR="002F2F31">
        <w:t>timeframes</w:t>
      </w:r>
      <w:r w:rsidR="00D03C1A">
        <w:t xml:space="preserve"> for actions in</w:t>
      </w:r>
      <w:r w:rsidR="00A3224D">
        <w:t xml:space="preserve"> most</w:t>
      </w:r>
      <w:r w:rsidR="00D03C1A">
        <w:t xml:space="preserve"> jurisdictional plans are either missing or</w:t>
      </w:r>
      <w:r w:rsidR="002F2F31">
        <w:t xml:space="preserve"> vague.</w:t>
      </w:r>
      <w:r w:rsidR="0059743E">
        <w:t xml:space="preserve"> </w:t>
      </w:r>
      <w:r w:rsidR="00574D05">
        <w:t>Three jurisdictions did not</w:t>
      </w:r>
      <w:r w:rsidR="00DF011E">
        <w:t xml:space="preserve"> </w:t>
      </w:r>
      <w:r w:rsidR="005154FC">
        <w:t>include action</w:t>
      </w:r>
      <w:r w:rsidR="00827859">
        <w:noBreakHyphen/>
      </w:r>
      <w:r w:rsidR="005154FC">
        <w:t xml:space="preserve">level funding </w:t>
      </w:r>
      <w:r w:rsidR="001B480A">
        <w:t>information in their plans (</w:t>
      </w:r>
      <w:r w:rsidR="00E01F9B">
        <w:t xml:space="preserve">New South Wales, South Australia and </w:t>
      </w:r>
      <w:r w:rsidR="00F56716">
        <w:t>Tasmania</w:t>
      </w:r>
      <w:r w:rsidR="001B480A">
        <w:t xml:space="preserve">), while the remaining jurisdictions frequently indicated </w:t>
      </w:r>
      <w:r w:rsidR="007F7071">
        <w:t>‘new’ initiatives were to be delivered within existing funding or resourcing</w:t>
      </w:r>
      <w:r w:rsidR="00A20077">
        <w:t xml:space="preserve">. </w:t>
      </w:r>
      <w:r w:rsidR="00CC5D3A">
        <w:t xml:space="preserve">Timeframes </w:t>
      </w:r>
      <w:r w:rsidR="00BA4AC6">
        <w:t>are inconsistently reported</w:t>
      </w:r>
      <w:r w:rsidR="004D4FA9">
        <w:t xml:space="preserve"> </w:t>
      </w:r>
      <w:r w:rsidR="00322423">
        <w:t xml:space="preserve">for similar types of actions and often indicated as </w:t>
      </w:r>
      <w:r w:rsidR="00CB5707">
        <w:t>‘on</w:t>
      </w:r>
      <w:r w:rsidR="00827859">
        <w:noBreakHyphen/>
      </w:r>
      <w:r w:rsidR="00CB5707">
        <w:t>going’</w:t>
      </w:r>
      <w:r w:rsidR="00301A75">
        <w:t xml:space="preserve">, </w:t>
      </w:r>
      <w:r w:rsidR="00AE7064">
        <w:t xml:space="preserve">rather than </w:t>
      </w:r>
      <w:r w:rsidR="005E0010">
        <w:t>committing to a deliverable milestone or review point.</w:t>
      </w:r>
    </w:p>
    <w:p w14:paraId="3ED6B276" w14:textId="0C95D574" w:rsidR="00622864" w:rsidRDefault="00622864" w:rsidP="00622864">
      <w:pPr>
        <w:pStyle w:val="BodyText"/>
      </w:pPr>
      <w:r>
        <w:t xml:space="preserve">Other </w:t>
      </w:r>
      <w:r w:rsidR="00AC1FEC">
        <w:t xml:space="preserve">issues </w:t>
      </w:r>
      <w:r w:rsidR="007618D1">
        <w:t>with</w:t>
      </w:r>
      <w:r w:rsidR="002769CE">
        <w:t xml:space="preserve"> </w:t>
      </w:r>
      <w:r w:rsidR="0070565F">
        <w:t xml:space="preserve">how </w:t>
      </w:r>
      <w:r w:rsidR="00512DE2">
        <w:t>actions</w:t>
      </w:r>
      <w:r w:rsidR="00A377A2">
        <w:t xml:space="preserve"> are set out</w:t>
      </w:r>
      <w:r w:rsidR="00512DE2">
        <w:t xml:space="preserve"> in juri</w:t>
      </w:r>
      <w:r w:rsidR="00793948">
        <w:t>sdictional</w:t>
      </w:r>
      <w:r w:rsidR="00512DE2">
        <w:t xml:space="preserve"> plans include:</w:t>
      </w:r>
    </w:p>
    <w:p w14:paraId="4D893A6C" w14:textId="6CC7DB03" w:rsidR="00622864" w:rsidRPr="00DC3809" w:rsidRDefault="00194FAF" w:rsidP="00DC3809">
      <w:pPr>
        <w:pStyle w:val="ListBullet"/>
      </w:pPr>
      <w:r>
        <w:t>m</w:t>
      </w:r>
      <w:r w:rsidR="00196D64">
        <w:t xml:space="preserve">ost plans do not indicate </w:t>
      </w:r>
      <w:r w:rsidR="00997093">
        <w:t xml:space="preserve">the </w:t>
      </w:r>
      <w:r w:rsidR="009B6EA3">
        <w:t xml:space="preserve">current status </w:t>
      </w:r>
      <w:r w:rsidR="00615FFA">
        <w:t xml:space="preserve">of </w:t>
      </w:r>
      <w:r w:rsidR="00254F2B">
        <w:t xml:space="preserve">progress </w:t>
      </w:r>
      <w:r w:rsidR="00615FFA">
        <w:t>(</w:t>
      </w:r>
      <w:r w:rsidR="00563DBF">
        <w:t>for example,</w:t>
      </w:r>
      <w:r w:rsidR="00B42A78">
        <w:t xml:space="preserve"> </w:t>
      </w:r>
      <w:r w:rsidR="00745576">
        <w:t xml:space="preserve">whether </w:t>
      </w:r>
      <w:r w:rsidR="004E40EE">
        <w:t>the action</w:t>
      </w:r>
      <w:r w:rsidR="00745576">
        <w:t xml:space="preserve"> has commenced)</w:t>
      </w:r>
      <w:r w:rsidR="007B3E2D">
        <w:t xml:space="preserve"> and</w:t>
      </w:r>
      <w:r w:rsidR="0045584D">
        <w:t xml:space="preserve">/or </w:t>
      </w:r>
      <w:r w:rsidR="00F330BB">
        <w:t>key</w:t>
      </w:r>
      <w:r w:rsidR="007B3E2D">
        <w:t xml:space="preserve"> next</w:t>
      </w:r>
      <w:r w:rsidR="00622864" w:rsidRPr="00DC3809">
        <w:t xml:space="preserve"> steps</w:t>
      </w:r>
      <w:r w:rsidR="0045584D">
        <w:t xml:space="preserve"> to advance it</w:t>
      </w:r>
    </w:p>
    <w:p w14:paraId="24932E1B" w14:textId="1F3BF794" w:rsidR="00622864" w:rsidRPr="00DC3809" w:rsidRDefault="00194FAF" w:rsidP="00DC3809">
      <w:pPr>
        <w:pStyle w:val="ListBullet"/>
      </w:pPr>
      <w:r>
        <w:t>s</w:t>
      </w:r>
      <w:r w:rsidR="00A074AC">
        <w:t>ome plans o</w:t>
      </w:r>
      <w:r w:rsidR="00622864" w:rsidRPr="00DC3809">
        <w:t>nly list a responsible Minister but not a responsible agency</w:t>
      </w:r>
      <w:r w:rsidR="00214533">
        <w:t xml:space="preserve">. </w:t>
      </w:r>
      <w:r w:rsidR="009F64D3">
        <w:t xml:space="preserve">While it is not a </w:t>
      </w:r>
      <w:r w:rsidR="008F2207">
        <w:t xml:space="preserve">requirement, none of the </w:t>
      </w:r>
      <w:r w:rsidR="00565DF0">
        <w:t xml:space="preserve">plans </w:t>
      </w:r>
      <w:r w:rsidR="00B60F24">
        <w:t xml:space="preserve">assign a responsible </w:t>
      </w:r>
      <w:r w:rsidR="002D6223">
        <w:t xml:space="preserve">official or statutory office holder </w:t>
      </w:r>
    </w:p>
    <w:p w14:paraId="3E0B39FC" w14:textId="5A959F50" w:rsidR="00E40D25" w:rsidRDefault="00194FAF" w:rsidP="00E40D25">
      <w:pPr>
        <w:pStyle w:val="ListBullet"/>
      </w:pPr>
      <w:r>
        <w:t>a</w:t>
      </w:r>
      <w:r w:rsidR="00983209">
        <w:t xml:space="preserve"> lack of </w:t>
      </w:r>
      <w:r w:rsidR="00CE7605">
        <w:t>links to</w:t>
      </w:r>
      <w:r w:rsidR="00321BAB">
        <w:t xml:space="preserve"> documents or</w:t>
      </w:r>
      <w:r w:rsidR="00CE7605">
        <w:t xml:space="preserve"> </w:t>
      </w:r>
      <w:r w:rsidR="00AF0912">
        <w:t>websites</w:t>
      </w:r>
      <w:r w:rsidR="00D6204B">
        <w:t xml:space="preserve"> where more information </w:t>
      </w:r>
      <w:r w:rsidR="00222955">
        <w:t xml:space="preserve">about </w:t>
      </w:r>
      <w:r w:rsidR="009E718C">
        <w:t xml:space="preserve">each </w:t>
      </w:r>
      <w:r w:rsidR="00222955">
        <w:t xml:space="preserve">action can be </w:t>
      </w:r>
      <w:r w:rsidR="00EE6346">
        <w:t>found</w:t>
      </w:r>
      <w:r w:rsidR="003D016E">
        <w:t>.</w:t>
      </w:r>
      <w:r w:rsidR="00EE6346">
        <w:t xml:space="preserve"> </w:t>
      </w:r>
    </w:p>
    <w:p w14:paraId="275DD66E" w14:textId="24ECD479" w:rsidR="00223194" w:rsidRDefault="00E40D25" w:rsidP="00430554">
      <w:pPr>
        <w:pStyle w:val="BodyText"/>
      </w:pPr>
      <w:r>
        <w:t xml:space="preserve">The Australian Government’s 2023 implementation plan is a better example. It links to a searchable online </w:t>
      </w:r>
      <w:r w:rsidR="00CC6DEF">
        <w:t>a</w:t>
      </w:r>
      <w:r>
        <w:t xml:space="preserve">ctions </w:t>
      </w:r>
      <w:r w:rsidR="00CC6DEF">
        <w:t>t</w:t>
      </w:r>
      <w:r>
        <w:t>able – each action includes a basic description of how it addresses a Priority Reform and/or socio</w:t>
      </w:r>
      <w:r w:rsidR="00CD5101">
        <w:noBreakHyphen/>
      </w:r>
      <w:r>
        <w:t>economic outcomes</w:t>
      </w:r>
      <w:r w:rsidR="00655710">
        <w:t xml:space="preserve">, </w:t>
      </w:r>
      <w:r>
        <w:t>whether it is</w:t>
      </w:r>
      <w:r w:rsidR="002768AC">
        <w:t xml:space="preserve"> a</w:t>
      </w:r>
      <w:r>
        <w:t xml:space="preserve"> new or existing</w:t>
      </w:r>
      <w:r w:rsidR="002768AC">
        <w:t xml:space="preserve"> action,</w:t>
      </w:r>
      <w:r>
        <w:t xml:space="preserve"> and</w:t>
      </w:r>
      <w:r w:rsidR="002768AC">
        <w:t xml:space="preserve"> whether it is</w:t>
      </w:r>
      <w:r>
        <w:t xml:space="preserve"> </w:t>
      </w:r>
      <w:r w:rsidR="002768AC">
        <w:t xml:space="preserve">an </w:t>
      </w:r>
      <w:r w:rsidR="008D0B05">
        <w:t>A</w:t>
      </w:r>
      <w:r w:rsidR="00A70BC1">
        <w:t>boriginal</w:t>
      </w:r>
      <w:r w:rsidR="00827859">
        <w:noBreakHyphen/>
      </w:r>
      <w:r w:rsidR="00A70BC1">
        <w:t xml:space="preserve"> and Torres Strait Islander</w:t>
      </w:r>
      <w:r w:rsidR="002768AC">
        <w:noBreakHyphen/>
      </w:r>
      <w:r>
        <w:t>specific</w:t>
      </w:r>
      <w:r w:rsidR="004553C8">
        <w:t xml:space="preserve"> </w:t>
      </w:r>
      <w:r w:rsidR="002768AC">
        <w:t xml:space="preserve">action </w:t>
      </w:r>
      <w:r w:rsidR="004553C8" w:rsidRPr="00680CF2">
        <w:rPr>
          <w:rFonts w:ascii="Arial" w:hAnsi="Arial" w:cs="Arial"/>
          <w:szCs w:val="24"/>
        </w:rPr>
        <w:t>(NIAA 2023)</w:t>
      </w:r>
      <w:r>
        <w:t>. Allocated resourcing, delivery timeframe</w:t>
      </w:r>
      <w:r w:rsidR="008C1E03">
        <w:t>s</w:t>
      </w:r>
      <w:r>
        <w:t xml:space="preserve"> </w:t>
      </w:r>
      <w:r w:rsidR="001A6CB1">
        <w:t>and</w:t>
      </w:r>
      <w:r>
        <w:t xml:space="preserve"> the responsible </w:t>
      </w:r>
      <w:r>
        <w:lastRenderedPageBreak/>
        <w:t xml:space="preserve">Minister and </w:t>
      </w:r>
      <w:r w:rsidR="00914C2A">
        <w:t>a</w:t>
      </w:r>
      <w:r>
        <w:t>gency are specified for nearly all actions. The table also identifies which supporting indicator</w:t>
      </w:r>
      <w:r w:rsidR="00914C2A">
        <w:t>(</w:t>
      </w:r>
      <w:r>
        <w:t>s</w:t>
      </w:r>
      <w:r w:rsidR="00914C2A">
        <w:t>)</w:t>
      </w:r>
      <w:r>
        <w:t xml:space="preserve"> from the Agreement’s performance framework each action relates to</w:t>
      </w:r>
      <w:r w:rsidR="00223194">
        <w:t>.</w:t>
      </w:r>
    </w:p>
    <w:p w14:paraId="4F884BF7" w14:textId="379D33FC" w:rsidR="00361A83" w:rsidRDefault="00023079" w:rsidP="00D16BED">
      <w:pPr>
        <w:pStyle w:val="Heading3"/>
      </w:pPr>
      <w:r>
        <w:t>Annual reports</w:t>
      </w:r>
      <w:r w:rsidR="000B0C31">
        <w:t xml:space="preserve"> largely do not provide a comprehensive or balanced account of progress</w:t>
      </w:r>
    </w:p>
    <w:p w14:paraId="093D5945" w14:textId="7D3DF031" w:rsidR="009746E6" w:rsidRDefault="00BD6A1E" w:rsidP="000021E7">
      <w:pPr>
        <w:pStyle w:val="BodyText"/>
      </w:pPr>
      <w:r w:rsidRPr="00F060F3">
        <w:t xml:space="preserve">The </w:t>
      </w:r>
      <w:r w:rsidR="00A630C9" w:rsidRPr="00F060F3">
        <w:t>a</w:t>
      </w:r>
      <w:r w:rsidRPr="00F060F3">
        <w:t xml:space="preserve">nnual </w:t>
      </w:r>
      <w:r w:rsidR="00A630C9" w:rsidRPr="00F060F3">
        <w:t>r</w:t>
      </w:r>
      <w:r w:rsidRPr="00F060F3">
        <w:t xml:space="preserve">eports are the </w:t>
      </w:r>
      <w:r w:rsidR="00F1363E" w:rsidRPr="00F060F3">
        <w:t xml:space="preserve">main mechanism for the </w:t>
      </w:r>
      <w:r w:rsidR="00292C1F" w:rsidRPr="00F060F3">
        <w:t>p</w:t>
      </w:r>
      <w:r w:rsidR="00F1363E" w:rsidRPr="00F060F3">
        <w:t>arties to</w:t>
      </w:r>
      <w:r w:rsidR="00DE54C6" w:rsidRPr="00F060F3">
        <w:t xml:space="preserve"> </w:t>
      </w:r>
      <w:r w:rsidR="00241879" w:rsidRPr="00F060F3">
        <w:t>publicly</w:t>
      </w:r>
      <w:r w:rsidR="00F1363E" w:rsidRPr="00F060F3">
        <w:t xml:space="preserve"> </w:t>
      </w:r>
      <w:r w:rsidR="00755B5F">
        <w:t>self</w:t>
      </w:r>
      <w:r w:rsidR="00827859">
        <w:noBreakHyphen/>
      </w:r>
      <w:r w:rsidR="00F1363E" w:rsidRPr="00F060F3">
        <w:t xml:space="preserve">report </w:t>
      </w:r>
      <w:r w:rsidR="00F1363E" w:rsidRPr="008D0F00">
        <w:t xml:space="preserve">on </w:t>
      </w:r>
      <w:r w:rsidR="000477C0" w:rsidRPr="008D0F00">
        <w:t xml:space="preserve">what </w:t>
      </w:r>
      <w:r w:rsidR="007F01D7" w:rsidRPr="008D0F00">
        <w:t>each has</w:t>
      </w:r>
      <w:r w:rsidR="000477C0" w:rsidRPr="008D0F00">
        <w:t xml:space="preserve"> done to implement</w:t>
      </w:r>
      <w:r w:rsidR="00A113C3" w:rsidRPr="008D0F00">
        <w:t xml:space="preserve"> the Agreement and </w:t>
      </w:r>
      <w:r w:rsidR="00FD0349" w:rsidRPr="008D0F00">
        <w:t>the progres</w:t>
      </w:r>
      <w:r w:rsidR="00497818" w:rsidRPr="008D0F00">
        <w:t>s</w:t>
      </w:r>
      <w:r w:rsidR="0089067F" w:rsidRPr="008D0F00">
        <w:t xml:space="preserve"> this has </w:t>
      </w:r>
      <w:r w:rsidR="00AD1CA9" w:rsidRPr="008D0F00">
        <w:t>made</w:t>
      </w:r>
      <w:r w:rsidR="00A63D5C" w:rsidRPr="00F060F3">
        <w:t xml:space="preserve">. </w:t>
      </w:r>
      <w:r w:rsidR="00EA11ED" w:rsidRPr="00F060F3">
        <w:t xml:space="preserve">As set </w:t>
      </w:r>
      <w:r w:rsidR="00EA11ED">
        <w:t>out by clause 118</w:t>
      </w:r>
      <w:r w:rsidR="00F55BA5">
        <w:t>,</w:t>
      </w:r>
      <w:r w:rsidR="00EA11ED">
        <w:t xml:space="preserve"> the reports are required to: </w:t>
      </w:r>
    </w:p>
    <w:p w14:paraId="7E8E061F" w14:textId="43EE8600" w:rsidR="00FE6E78" w:rsidRPr="005772CA" w:rsidRDefault="00FE6E78" w:rsidP="00A738AA">
      <w:pPr>
        <w:pStyle w:val="ListBullet"/>
      </w:pPr>
      <w:r w:rsidRPr="005772CA">
        <w:t xml:space="preserve">draw from the </w:t>
      </w:r>
      <w:r w:rsidR="00173FF1">
        <w:t>d</w:t>
      </w:r>
      <w:r w:rsidRPr="005772CA">
        <w:t>ashboard and ADCR, to ensure consistency of measures of progress</w:t>
      </w:r>
    </w:p>
    <w:p w14:paraId="298DD770" w14:textId="1968FF34" w:rsidR="00FE6E78" w:rsidRPr="005772CA" w:rsidRDefault="00FE6E78" w:rsidP="00A738AA">
      <w:pPr>
        <w:pStyle w:val="ListBullet"/>
      </w:pPr>
      <w:r w:rsidRPr="005772CA">
        <w:t>include information on their efforts to implement the four Priority Reform areas and how they align with the principles for action</w:t>
      </w:r>
    </w:p>
    <w:p w14:paraId="418EA70C" w14:textId="0D1E5D79" w:rsidR="00FE6E78" w:rsidRPr="005772CA" w:rsidRDefault="00FE6E78" w:rsidP="00A738AA">
      <w:pPr>
        <w:pStyle w:val="ListBullet"/>
      </w:pPr>
      <w:r w:rsidRPr="005772CA">
        <w:t xml:space="preserve">demonstrate how their efforts, investment and actions are aligned and support the achievement of Closing the Gap goals </w:t>
      </w:r>
    </w:p>
    <w:p w14:paraId="18AB5C84" w14:textId="5E7FB179" w:rsidR="00FE6E78" w:rsidRPr="005772CA" w:rsidRDefault="00FE6E78" w:rsidP="00A738AA">
      <w:pPr>
        <w:pStyle w:val="ListBullet"/>
      </w:pPr>
      <w:r w:rsidRPr="005772CA">
        <w:t>list the number of Aboriginal and Torres Strait Islander community</w:t>
      </w:r>
      <w:r w:rsidR="00827859">
        <w:noBreakHyphen/>
      </w:r>
      <w:r w:rsidRPr="005772CA">
        <w:t>controlled organisations and other Aboriginal and Torres Strait Islander organisations that have been allocated funding as per the relevant commitments in the Agreement.</w:t>
      </w:r>
    </w:p>
    <w:p w14:paraId="5382C008" w14:textId="041F9655" w:rsidR="000021E7" w:rsidRPr="003243CB" w:rsidRDefault="00921267" w:rsidP="003243CB">
      <w:pPr>
        <w:pStyle w:val="BodyText"/>
      </w:pPr>
      <w:r>
        <w:t xml:space="preserve">Several other clauses throughout </w:t>
      </w:r>
      <w:r w:rsidR="00C5111C">
        <w:t xml:space="preserve">the Agreement </w:t>
      </w:r>
      <w:r w:rsidR="00514908">
        <w:t>include</w:t>
      </w:r>
      <w:r w:rsidR="00B41C9C">
        <w:t xml:space="preserve"> additional requirements</w:t>
      </w:r>
      <w:r w:rsidR="007F752F">
        <w:t xml:space="preserve"> </w:t>
      </w:r>
      <w:r w:rsidR="00165B17">
        <w:t xml:space="preserve">for the jurisdictional </w:t>
      </w:r>
      <w:r w:rsidR="00514908">
        <w:t>reports</w:t>
      </w:r>
      <w:r w:rsidR="00B41C9C">
        <w:t xml:space="preserve">, including that </w:t>
      </w:r>
      <w:r w:rsidR="0015296B">
        <w:t xml:space="preserve">governments </w:t>
      </w:r>
      <w:r w:rsidR="00D30F95" w:rsidRPr="003243CB">
        <w:t xml:space="preserve">provide information on </w:t>
      </w:r>
      <w:r w:rsidR="00A75F52" w:rsidRPr="003243CB">
        <w:t>their partnerships (clause 37</w:t>
      </w:r>
      <w:r w:rsidR="00584231" w:rsidRPr="003243CB">
        <w:t>)</w:t>
      </w:r>
      <w:r w:rsidR="005E5E5F" w:rsidRPr="003243CB">
        <w:t xml:space="preserve"> and the actions they </w:t>
      </w:r>
      <w:r w:rsidR="00584231" w:rsidRPr="003243CB">
        <w:t>have take</w:t>
      </w:r>
      <w:r w:rsidR="005E5E5F" w:rsidRPr="003243CB">
        <w:t>n</w:t>
      </w:r>
      <w:r w:rsidR="00584231" w:rsidRPr="003243CB">
        <w:t xml:space="preserve"> to</w:t>
      </w:r>
      <w:r w:rsidR="00D30F95" w:rsidRPr="003243CB">
        <w:t>:</w:t>
      </w:r>
      <w:r w:rsidR="005E5E5F" w:rsidRPr="003243CB">
        <w:t xml:space="preserve"> </w:t>
      </w:r>
      <w:r w:rsidR="006E205D" w:rsidRPr="003243CB">
        <w:t>strengthen the community</w:t>
      </w:r>
      <w:r w:rsidR="00827859" w:rsidRPr="003243CB">
        <w:noBreakHyphen/>
      </w:r>
      <w:r w:rsidR="006E205D" w:rsidRPr="003243CB">
        <w:t>controlle</w:t>
      </w:r>
      <w:r w:rsidR="00D30F95" w:rsidRPr="003243CB">
        <w:t>d</w:t>
      </w:r>
      <w:r w:rsidR="006E205D" w:rsidRPr="003243CB">
        <w:t xml:space="preserve"> sector (clause 47);</w:t>
      </w:r>
      <w:r w:rsidR="00584231" w:rsidRPr="003243CB">
        <w:t xml:space="preserve"> meet the </w:t>
      </w:r>
      <w:r w:rsidR="00714DF4" w:rsidRPr="003243CB">
        <w:t>transformation elements</w:t>
      </w:r>
      <w:r w:rsidR="00A346A6" w:rsidRPr="003243CB">
        <w:t xml:space="preserve"> of </w:t>
      </w:r>
      <w:r w:rsidR="000911E2" w:rsidRPr="003243CB">
        <w:t>Priority Reform</w:t>
      </w:r>
      <w:r w:rsidR="00A346A6" w:rsidRPr="003243CB">
        <w:t xml:space="preserve"> 3 (cl</w:t>
      </w:r>
      <w:r w:rsidR="005030ED" w:rsidRPr="003243CB">
        <w:t xml:space="preserve">ause </w:t>
      </w:r>
      <w:r w:rsidR="002F13C2" w:rsidRPr="003243CB">
        <w:t>65)</w:t>
      </w:r>
      <w:r w:rsidR="00A94359" w:rsidRPr="003243CB">
        <w:t>;</w:t>
      </w:r>
      <w:r w:rsidR="002F13C2" w:rsidRPr="003243CB">
        <w:t xml:space="preserve"> and</w:t>
      </w:r>
      <w:r w:rsidR="00A94359" w:rsidRPr="003243CB">
        <w:t xml:space="preserve"> improve access to data and information by Aboriginal and Torres Strait Islander people and organisations (clause 73).</w:t>
      </w:r>
      <w:r w:rsidR="002F13C2" w:rsidRPr="003243CB">
        <w:t xml:space="preserve"> </w:t>
      </w:r>
    </w:p>
    <w:p w14:paraId="6CB17B51" w14:textId="336FE95E" w:rsidR="00B1687F" w:rsidRPr="003243CB" w:rsidRDefault="003E0B17" w:rsidP="003243CB">
      <w:pPr>
        <w:pStyle w:val="BodyText"/>
      </w:pPr>
      <w:r w:rsidRPr="003243CB">
        <w:t xml:space="preserve">All </w:t>
      </w:r>
      <w:r w:rsidR="00BE71F2" w:rsidRPr="003243CB">
        <w:t xml:space="preserve">jurisdictions except for Tasmania </w:t>
      </w:r>
      <w:r w:rsidR="00AA4698" w:rsidRPr="003243CB">
        <w:t xml:space="preserve">tabled </w:t>
      </w:r>
      <w:r w:rsidR="00FC396C" w:rsidRPr="003243CB">
        <w:t xml:space="preserve">their first annual reports </w:t>
      </w:r>
      <w:r w:rsidR="00AA4698" w:rsidRPr="003243CB">
        <w:t xml:space="preserve">in </w:t>
      </w:r>
      <w:r w:rsidR="00BE71F2" w:rsidRPr="003243CB">
        <w:t xml:space="preserve">their </w:t>
      </w:r>
      <w:r w:rsidR="00AA4698" w:rsidRPr="003243CB">
        <w:t xml:space="preserve">respective </w:t>
      </w:r>
      <w:r w:rsidR="00F76229" w:rsidRPr="003243CB">
        <w:t>P</w:t>
      </w:r>
      <w:r w:rsidR="00AA4698" w:rsidRPr="003243CB">
        <w:t xml:space="preserve">arliaments between September and November </w:t>
      </w:r>
      <w:r w:rsidR="00BE71F2" w:rsidRPr="003243CB">
        <w:t>2022</w:t>
      </w:r>
      <w:r w:rsidR="00FC396C" w:rsidRPr="003243CB">
        <w:t xml:space="preserve"> and made them available through their websites. </w:t>
      </w:r>
      <w:r w:rsidR="00094077" w:rsidRPr="003243CB">
        <w:t xml:space="preserve">The ALGA and Coalition of Peaks also </w:t>
      </w:r>
      <w:r w:rsidR="00BF5FD9" w:rsidRPr="003243CB">
        <w:t xml:space="preserve">respectively </w:t>
      </w:r>
      <w:r w:rsidR="00094077" w:rsidRPr="003243CB">
        <w:t>published their</w:t>
      </w:r>
      <w:r w:rsidR="00177FFE" w:rsidRPr="003243CB">
        <w:t xml:space="preserve"> first</w:t>
      </w:r>
      <w:r w:rsidR="00094077" w:rsidRPr="003243CB">
        <w:t xml:space="preserve"> </w:t>
      </w:r>
      <w:r w:rsidR="00BF5FD9" w:rsidRPr="003243CB">
        <w:t>annual reports</w:t>
      </w:r>
      <w:r w:rsidR="00094077" w:rsidRPr="003243CB">
        <w:t xml:space="preserve"> in </w:t>
      </w:r>
      <w:r w:rsidR="00BF5FD9" w:rsidRPr="003243CB">
        <w:t>October</w:t>
      </w:r>
      <w:r w:rsidR="00094077" w:rsidRPr="003243CB">
        <w:t xml:space="preserve"> and </w:t>
      </w:r>
      <w:r w:rsidR="00BF5FD9" w:rsidRPr="003243CB">
        <w:t xml:space="preserve">November 2022. The </w:t>
      </w:r>
      <w:r w:rsidR="00464C12" w:rsidRPr="003243CB">
        <w:t xml:space="preserve">Tasmanian Government tabled </w:t>
      </w:r>
      <w:r w:rsidR="00195C15" w:rsidRPr="003243CB">
        <w:t xml:space="preserve">its </w:t>
      </w:r>
      <w:r w:rsidR="00177FFE" w:rsidRPr="003243CB">
        <w:t xml:space="preserve">first </w:t>
      </w:r>
      <w:r w:rsidR="00195C15" w:rsidRPr="003243CB">
        <w:t xml:space="preserve">annual </w:t>
      </w:r>
      <w:r w:rsidR="00B02879" w:rsidRPr="003243CB">
        <w:t>report in May</w:t>
      </w:r>
      <w:r w:rsidR="003F54B3" w:rsidRPr="003243CB">
        <w:t xml:space="preserve"> 2023</w:t>
      </w:r>
      <w:r w:rsidR="00B02879" w:rsidRPr="003243CB">
        <w:t xml:space="preserve">, </w:t>
      </w:r>
      <w:r w:rsidR="003F54B3" w:rsidRPr="003243CB">
        <w:t>but</w:t>
      </w:r>
      <w:r w:rsidR="00B02879" w:rsidRPr="003243CB">
        <w:t xml:space="preserve"> </w:t>
      </w:r>
      <w:r w:rsidR="008E63CA" w:rsidRPr="003243CB">
        <w:t xml:space="preserve">as of </w:t>
      </w:r>
      <w:r w:rsidR="00B04A2E" w:rsidRPr="003243CB">
        <w:t xml:space="preserve">July 2023 </w:t>
      </w:r>
      <w:r w:rsidR="008E63CA" w:rsidRPr="003243CB">
        <w:t>it was yet to be published on the</w:t>
      </w:r>
      <w:r w:rsidR="008E63CA" w:rsidRPr="003243CB" w:rsidDel="00907098">
        <w:t xml:space="preserve"> </w:t>
      </w:r>
      <w:r w:rsidR="007A66E7" w:rsidRPr="003243CB">
        <w:t>Tasmanian Government’s website</w:t>
      </w:r>
      <w:r w:rsidR="003F54B3" w:rsidRPr="003243CB">
        <w:t>.</w:t>
      </w:r>
      <w:r w:rsidR="00945AB9" w:rsidRPr="003243CB">
        <w:t xml:space="preserve"> </w:t>
      </w:r>
    </w:p>
    <w:p w14:paraId="614B7D68" w14:textId="44E8C6C6" w:rsidR="00094077" w:rsidRPr="00945AB9" w:rsidRDefault="007C26AE" w:rsidP="00094077">
      <w:pPr>
        <w:pStyle w:val="BodyText"/>
      </w:pPr>
      <w:r>
        <w:t xml:space="preserve">The quality of the annual </w:t>
      </w:r>
      <w:r w:rsidR="00B15E52">
        <w:t xml:space="preserve">reports </w:t>
      </w:r>
      <w:r w:rsidR="00230620" w:rsidRPr="00917122">
        <w:t>varies</w:t>
      </w:r>
      <w:r w:rsidR="00B15E52" w:rsidRPr="00917122">
        <w:t xml:space="preserve"> considerably </w:t>
      </w:r>
      <w:r w:rsidR="004F6EB8" w:rsidRPr="00917122">
        <w:t>and</w:t>
      </w:r>
      <w:r w:rsidR="00BB79A3" w:rsidRPr="00917122">
        <w:t xml:space="preserve"> none of the </w:t>
      </w:r>
      <w:r w:rsidR="00954C45" w:rsidRPr="00917122">
        <w:t xml:space="preserve">jurisdictional </w:t>
      </w:r>
      <w:r w:rsidR="00E76136" w:rsidRPr="00917122">
        <w:t>reports</w:t>
      </w:r>
      <w:r w:rsidR="007F6874" w:rsidRPr="00917122">
        <w:t xml:space="preserve"> </w:t>
      </w:r>
      <w:r w:rsidR="007D54A7" w:rsidRPr="00917122">
        <w:t xml:space="preserve">adhere to </w:t>
      </w:r>
      <w:r w:rsidR="00954C45" w:rsidRPr="00917122">
        <w:t>all of the</w:t>
      </w:r>
      <w:r w:rsidR="007D54A7" w:rsidRPr="00917122">
        <w:t xml:space="preserve"> required </w:t>
      </w:r>
      <w:r w:rsidR="00683355" w:rsidRPr="00917122">
        <w:t>elements. For example, none clearly report the total number of Aboriginal and Torres Strait Islander community</w:t>
      </w:r>
      <w:r w:rsidR="00827859">
        <w:noBreakHyphen/>
      </w:r>
      <w:r w:rsidR="00683355" w:rsidRPr="00917122">
        <w:t xml:space="preserve">controlled organisations </w:t>
      </w:r>
      <w:r w:rsidR="00683355" w:rsidRPr="00F060F3">
        <w:t>and other Aboriginal and Torres Strait Islander organisations that have been allocated funding</w:t>
      </w:r>
      <w:r w:rsidR="000749FF" w:rsidRPr="008D0F00">
        <w:t xml:space="preserve"> and only some </w:t>
      </w:r>
      <w:r w:rsidR="00AE51AC" w:rsidRPr="008D0F00">
        <w:t xml:space="preserve">reported on the </w:t>
      </w:r>
      <w:r w:rsidR="00CA08D2" w:rsidRPr="008D0F00">
        <w:t>implementation of their sector</w:t>
      </w:r>
      <w:r w:rsidR="00200704">
        <w:t xml:space="preserve"> </w:t>
      </w:r>
      <w:r w:rsidR="00CA08D2" w:rsidRPr="008D0F00">
        <w:t xml:space="preserve">strengthening plans </w:t>
      </w:r>
      <w:r w:rsidR="00CA08D2" w:rsidRPr="0032496E">
        <w:t>(</w:t>
      </w:r>
      <w:r w:rsidR="00F060F3" w:rsidRPr="0032496E">
        <w:t>information paper 3)</w:t>
      </w:r>
      <w:r w:rsidR="00F66523" w:rsidRPr="0032496E">
        <w:t>.</w:t>
      </w:r>
    </w:p>
    <w:p w14:paraId="3D1E625F" w14:textId="76C90F8C" w:rsidR="009073C4" w:rsidRDefault="00BD6177" w:rsidP="00747A70">
      <w:pPr>
        <w:pStyle w:val="Heading4"/>
      </w:pPr>
      <w:r>
        <w:t xml:space="preserve">Reporting on progress is not always consistent with the dashboard </w:t>
      </w:r>
    </w:p>
    <w:p w14:paraId="50BD95AA" w14:textId="3D966686" w:rsidR="007C20EF" w:rsidRDefault="000A5689" w:rsidP="001300F6">
      <w:pPr>
        <w:pStyle w:val="BodyText"/>
      </w:pPr>
      <w:r>
        <w:t>The</w:t>
      </w:r>
      <w:r w:rsidR="00B32314">
        <w:t xml:space="preserve"> jurisdictions</w:t>
      </w:r>
      <w:r>
        <w:t>’</w:t>
      </w:r>
      <w:r w:rsidR="00526751">
        <w:t xml:space="preserve"> first</w:t>
      </w:r>
      <w:r>
        <w:t xml:space="preserve"> annual reports all</w:t>
      </w:r>
      <w:r w:rsidR="00B32314">
        <w:t xml:space="preserve"> </w:t>
      </w:r>
      <w:r w:rsidR="00E75D98">
        <w:t xml:space="preserve">drew from the dashboard </w:t>
      </w:r>
      <w:r w:rsidR="00436714">
        <w:t xml:space="preserve">and ADCR to </w:t>
      </w:r>
      <w:r w:rsidR="008B1F03">
        <w:t xml:space="preserve">report </w:t>
      </w:r>
      <w:r w:rsidR="000A4298">
        <w:t xml:space="preserve">on </w:t>
      </w:r>
      <w:r w:rsidR="00B32314">
        <w:t xml:space="preserve">progress against the </w:t>
      </w:r>
      <w:r w:rsidR="00091FF8">
        <w:t>socio</w:t>
      </w:r>
      <w:r w:rsidR="00827859">
        <w:noBreakHyphen/>
      </w:r>
      <w:r w:rsidR="00091FF8">
        <w:t xml:space="preserve">economic targets. </w:t>
      </w:r>
      <w:r w:rsidR="0013140A">
        <w:t xml:space="preserve">Most </w:t>
      </w:r>
      <w:r w:rsidR="000A4298">
        <w:t xml:space="preserve">included data to </w:t>
      </w:r>
      <w:r w:rsidR="00346D87">
        <w:t>compare</w:t>
      </w:r>
      <w:r w:rsidR="00BB2967">
        <w:t xml:space="preserve"> progress </w:t>
      </w:r>
      <w:r w:rsidR="00182833">
        <w:t>in</w:t>
      </w:r>
      <w:r w:rsidR="007001D5">
        <w:t xml:space="preserve"> their </w:t>
      </w:r>
      <w:r w:rsidR="00C616BD">
        <w:t>jurisdiction</w:t>
      </w:r>
      <w:r w:rsidR="00182833">
        <w:t xml:space="preserve"> to </w:t>
      </w:r>
      <w:r w:rsidR="00C616BD">
        <w:t xml:space="preserve">the </w:t>
      </w:r>
      <w:r w:rsidR="00346D87">
        <w:t>nation</w:t>
      </w:r>
      <w:r w:rsidR="00F93687">
        <w:t xml:space="preserve">al </w:t>
      </w:r>
      <w:r w:rsidR="007E424E">
        <w:t>average</w:t>
      </w:r>
      <w:r w:rsidR="009C5727">
        <w:t>,</w:t>
      </w:r>
      <w:r w:rsidR="00F93687">
        <w:t xml:space="preserve"> </w:t>
      </w:r>
      <w:r w:rsidR="00323A2B">
        <w:t xml:space="preserve">with </w:t>
      </w:r>
      <w:r w:rsidR="00301755">
        <w:t xml:space="preserve">some </w:t>
      </w:r>
      <w:r w:rsidR="00323A2B">
        <w:t xml:space="preserve">also including </w:t>
      </w:r>
      <w:r w:rsidR="00E83B89">
        <w:t>data to compare</w:t>
      </w:r>
      <w:r w:rsidR="00301755">
        <w:t xml:space="preserve"> </w:t>
      </w:r>
      <w:r w:rsidR="00E840B6">
        <w:t>progress relative to non</w:t>
      </w:r>
      <w:r w:rsidR="00827859">
        <w:noBreakHyphen/>
      </w:r>
      <w:r w:rsidR="00F152C6">
        <w:t>I</w:t>
      </w:r>
      <w:r w:rsidR="00E840B6">
        <w:t xml:space="preserve">ndigenous </w:t>
      </w:r>
      <w:r w:rsidR="000E2A37">
        <w:t>people</w:t>
      </w:r>
      <w:r w:rsidR="00E840B6">
        <w:t>.</w:t>
      </w:r>
      <w:r w:rsidR="00B6379C">
        <w:t xml:space="preserve"> </w:t>
      </w:r>
      <w:r w:rsidR="00054A98">
        <w:t xml:space="preserve">However, some jurisdictions have </w:t>
      </w:r>
      <w:r w:rsidR="00022163">
        <w:t xml:space="preserve">made their own assessments of the progress data which </w:t>
      </w:r>
      <w:r w:rsidR="00920F19">
        <w:t>diverge from the agreed approach</w:t>
      </w:r>
      <w:r w:rsidR="007C716F">
        <w:t xml:space="preserve"> applied by the </w:t>
      </w:r>
      <w:r w:rsidR="00892EF2">
        <w:t>dashboard and ADCR.</w:t>
      </w:r>
    </w:p>
    <w:p w14:paraId="49072130" w14:textId="334AC06A" w:rsidR="00C448A5" w:rsidRPr="003243CB" w:rsidRDefault="0096668A" w:rsidP="00B32314">
      <w:pPr>
        <w:pStyle w:val="BodyText"/>
        <w:rPr>
          <w:spacing w:val="-4"/>
        </w:rPr>
      </w:pPr>
      <w:r w:rsidRPr="003243CB">
        <w:rPr>
          <w:spacing w:val="-4"/>
        </w:rPr>
        <w:t>A</w:t>
      </w:r>
      <w:r w:rsidR="00502FEA" w:rsidRPr="003243CB">
        <w:rPr>
          <w:spacing w:val="-4"/>
        </w:rPr>
        <w:t xml:space="preserve">s </w:t>
      </w:r>
      <w:r w:rsidR="0064589B" w:rsidRPr="003243CB">
        <w:rPr>
          <w:spacing w:val="-4"/>
        </w:rPr>
        <w:t>specified by the Agreement</w:t>
      </w:r>
      <w:r w:rsidR="00502FEA" w:rsidRPr="003243CB">
        <w:rPr>
          <w:spacing w:val="-4"/>
        </w:rPr>
        <w:t xml:space="preserve">, the dashboard </w:t>
      </w:r>
      <w:r w:rsidR="00EB6129" w:rsidRPr="003243CB">
        <w:rPr>
          <w:spacing w:val="-4"/>
        </w:rPr>
        <w:t>and</w:t>
      </w:r>
      <w:r w:rsidR="00502FEA" w:rsidRPr="003243CB">
        <w:rPr>
          <w:spacing w:val="-4"/>
        </w:rPr>
        <w:t xml:space="preserve"> </w:t>
      </w:r>
      <w:r w:rsidR="00DD5013" w:rsidRPr="003243CB">
        <w:rPr>
          <w:spacing w:val="-4"/>
        </w:rPr>
        <w:t xml:space="preserve">ADCR </w:t>
      </w:r>
      <w:r w:rsidR="00F96E27" w:rsidRPr="003243CB">
        <w:rPr>
          <w:spacing w:val="-4"/>
        </w:rPr>
        <w:t xml:space="preserve">assess </w:t>
      </w:r>
      <w:r w:rsidR="0007417E" w:rsidRPr="003243CB">
        <w:rPr>
          <w:spacing w:val="-4"/>
        </w:rPr>
        <w:t>the targets</w:t>
      </w:r>
      <w:r w:rsidR="00F96E27" w:rsidRPr="003243CB">
        <w:rPr>
          <w:spacing w:val="-4"/>
        </w:rPr>
        <w:t xml:space="preserve"> </w:t>
      </w:r>
      <w:r w:rsidR="00DC6ED5" w:rsidRPr="003243CB">
        <w:rPr>
          <w:spacing w:val="-4"/>
        </w:rPr>
        <w:t xml:space="preserve">as </w:t>
      </w:r>
      <w:r w:rsidR="00EA15C7" w:rsidRPr="003243CB">
        <w:rPr>
          <w:spacing w:val="-4"/>
        </w:rPr>
        <w:t>‘</w:t>
      </w:r>
      <w:r w:rsidR="00DC6ED5" w:rsidRPr="003243CB">
        <w:rPr>
          <w:spacing w:val="-4"/>
        </w:rPr>
        <w:t>on</w:t>
      </w:r>
      <w:r w:rsidR="00827859" w:rsidRPr="003243CB">
        <w:rPr>
          <w:spacing w:val="-4"/>
        </w:rPr>
        <w:noBreakHyphen/>
      </w:r>
      <w:r w:rsidR="00DC6ED5" w:rsidRPr="003243CB">
        <w:rPr>
          <w:spacing w:val="-4"/>
        </w:rPr>
        <w:t xml:space="preserve"> </w:t>
      </w:r>
      <w:r w:rsidR="00137E24" w:rsidRPr="003243CB">
        <w:rPr>
          <w:spacing w:val="-4"/>
        </w:rPr>
        <w:t>or off</w:t>
      </w:r>
      <w:r w:rsidR="00827859" w:rsidRPr="003243CB">
        <w:rPr>
          <w:spacing w:val="-4"/>
        </w:rPr>
        <w:noBreakHyphen/>
      </w:r>
      <w:r w:rsidR="00137E24" w:rsidRPr="003243CB">
        <w:rPr>
          <w:spacing w:val="-4"/>
        </w:rPr>
        <w:t>track</w:t>
      </w:r>
      <w:r w:rsidR="00EA15C7" w:rsidRPr="003243CB">
        <w:rPr>
          <w:spacing w:val="-4"/>
        </w:rPr>
        <w:t>’</w:t>
      </w:r>
      <w:r w:rsidR="0082712D" w:rsidRPr="003243CB">
        <w:rPr>
          <w:spacing w:val="-4"/>
        </w:rPr>
        <w:t xml:space="preserve"> </w:t>
      </w:r>
      <w:r w:rsidR="00137E24" w:rsidRPr="003243CB">
        <w:rPr>
          <w:spacing w:val="-4"/>
        </w:rPr>
        <w:t>at</w:t>
      </w:r>
      <w:r w:rsidR="00BC07B7" w:rsidRPr="003243CB">
        <w:rPr>
          <w:spacing w:val="-4"/>
        </w:rPr>
        <w:t xml:space="preserve"> the national level</w:t>
      </w:r>
      <w:r w:rsidR="00AA0764" w:rsidRPr="003243CB">
        <w:rPr>
          <w:spacing w:val="-4"/>
        </w:rPr>
        <w:t xml:space="preserve"> (section</w:t>
      </w:r>
      <w:r w:rsidR="005634D7" w:rsidRPr="003243CB">
        <w:rPr>
          <w:spacing w:val="-4"/>
        </w:rPr>
        <w:t> </w:t>
      </w:r>
      <w:r w:rsidR="00AA0764" w:rsidRPr="003243CB">
        <w:rPr>
          <w:spacing w:val="-4"/>
        </w:rPr>
        <w:t>4)</w:t>
      </w:r>
      <w:r w:rsidR="001300F6" w:rsidRPr="003243CB">
        <w:rPr>
          <w:spacing w:val="-4"/>
        </w:rPr>
        <w:t>.</w:t>
      </w:r>
      <w:r w:rsidR="00BC07B7" w:rsidRPr="003243CB">
        <w:rPr>
          <w:spacing w:val="-4"/>
        </w:rPr>
        <w:t xml:space="preserve"> </w:t>
      </w:r>
      <w:r w:rsidR="0037322A" w:rsidRPr="003243CB">
        <w:rPr>
          <w:spacing w:val="-4"/>
        </w:rPr>
        <w:t xml:space="preserve">But because </w:t>
      </w:r>
      <w:r w:rsidR="001E0ED8" w:rsidRPr="003243CB">
        <w:rPr>
          <w:spacing w:val="-4"/>
        </w:rPr>
        <w:t>the parties</w:t>
      </w:r>
      <w:r w:rsidR="00717EF1" w:rsidRPr="003243CB">
        <w:rPr>
          <w:spacing w:val="-4"/>
        </w:rPr>
        <w:t xml:space="preserve"> have not agreed </w:t>
      </w:r>
      <w:r w:rsidR="006164EB" w:rsidRPr="003243CB">
        <w:rPr>
          <w:spacing w:val="-4"/>
        </w:rPr>
        <w:t xml:space="preserve">on what amount of progress each </w:t>
      </w:r>
      <w:r w:rsidR="00831BB2" w:rsidRPr="003243CB">
        <w:rPr>
          <w:spacing w:val="-4"/>
        </w:rPr>
        <w:t xml:space="preserve">jurisdiction will contribute to achieve </w:t>
      </w:r>
      <w:r w:rsidR="00A21835" w:rsidRPr="003243CB">
        <w:rPr>
          <w:spacing w:val="-4"/>
        </w:rPr>
        <w:t>the</w:t>
      </w:r>
      <w:r w:rsidR="008E2678" w:rsidRPr="003243CB">
        <w:rPr>
          <w:spacing w:val="-4"/>
        </w:rPr>
        <w:t xml:space="preserve"> target</w:t>
      </w:r>
      <w:r w:rsidR="00A21835" w:rsidRPr="003243CB">
        <w:rPr>
          <w:spacing w:val="-4"/>
        </w:rPr>
        <w:t>s</w:t>
      </w:r>
      <w:r w:rsidR="00D60256" w:rsidRPr="003243CB">
        <w:rPr>
          <w:spacing w:val="-4"/>
        </w:rPr>
        <w:t>, their progress is</w:t>
      </w:r>
      <w:r w:rsidR="00115961" w:rsidRPr="003243CB">
        <w:rPr>
          <w:spacing w:val="-4"/>
        </w:rPr>
        <w:t xml:space="preserve"> only described as </w:t>
      </w:r>
      <w:r w:rsidR="008E2678" w:rsidRPr="003243CB">
        <w:rPr>
          <w:spacing w:val="-4"/>
        </w:rPr>
        <w:t>either</w:t>
      </w:r>
      <w:r w:rsidR="00D508D1" w:rsidRPr="003243CB">
        <w:rPr>
          <w:spacing w:val="-4"/>
        </w:rPr>
        <w:t xml:space="preserve"> ‘improving’, </w:t>
      </w:r>
      <w:r w:rsidR="00E60F85" w:rsidRPr="003243CB">
        <w:rPr>
          <w:spacing w:val="-4"/>
        </w:rPr>
        <w:t xml:space="preserve">‘no change’ or ‘worsening’. </w:t>
      </w:r>
      <w:r w:rsidR="008E54F6" w:rsidRPr="003243CB">
        <w:rPr>
          <w:spacing w:val="-4"/>
        </w:rPr>
        <w:t xml:space="preserve">While </w:t>
      </w:r>
      <w:r w:rsidR="00A6386F" w:rsidRPr="003243CB">
        <w:rPr>
          <w:spacing w:val="-4"/>
        </w:rPr>
        <w:t xml:space="preserve">most jurisdictions </w:t>
      </w:r>
      <w:r w:rsidR="00263D09" w:rsidRPr="003243CB">
        <w:rPr>
          <w:spacing w:val="-4"/>
        </w:rPr>
        <w:t>followed this approach</w:t>
      </w:r>
      <w:r w:rsidR="003C0FF9" w:rsidRPr="003243CB">
        <w:rPr>
          <w:spacing w:val="-4"/>
        </w:rPr>
        <w:t>, Queensland and Tasmani</w:t>
      </w:r>
      <w:r w:rsidR="008E3A45" w:rsidRPr="003243CB">
        <w:rPr>
          <w:spacing w:val="-4"/>
        </w:rPr>
        <w:t>a</w:t>
      </w:r>
      <w:r w:rsidR="003C0FF9" w:rsidRPr="003243CB">
        <w:rPr>
          <w:spacing w:val="-4"/>
        </w:rPr>
        <w:t xml:space="preserve"> reported </w:t>
      </w:r>
      <w:r w:rsidR="00B55F3A" w:rsidRPr="003243CB">
        <w:rPr>
          <w:spacing w:val="-4"/>
        </w:rPr>
        <w:t xml:space="preserve">their own summary assessments of whether </w:t>
      </w:r>
      <w:r w:rsidR="00A21835" w:rsidRPr="003243CB">
        <w:rPr>
          <w:spacing w:val="-4"/>
        </w:rPr>
        <w:t>they were</w:t>
      </w:r>
      <w:r w:rsidR="00D057D0" w:rsidRPr="003243CB">
        <w:rPr>
          <w:spacing w:val="-4"/>
        </w:rPr>
        <w:t xml:space="preserve"> on</w:t>
      </w:r>
      <w:r w:rsidR="00827859" w:rsidRPr="003243CB">
        <w:rPr>
          <w:spacing w:val="-4"/>
        </w:rPr>
        <w:noBreakHyphen/>
      </w:r>
      <w:r w:rsidR="00D057D0" w:rsidRPr="003243CB">
        <w:rPr>
          <w:spacing w:val="-4"/>
        </w:rPr>
        <w:t>track to meet each target</w:t>
      </w:r>
      <w:r w:rsidR="00533DF8" w:rsidRPr="003243CB">
        <w:rPr>
          <w:spacing w:val="-4"/>
        </w:rPr>
        <w:t xml:space="preserve"> </w:t>
      </w:r>
      <w:r w:rsidR="0083042D" w:rsidRPr="003243CB">
        <w:rPr>
          <w:spacing w:val="-4"/>
        </w:rPr>
        <w:t>(</w:t>
      </w:r>
      <w:r w:rsidR="0061409D" w:rsidRPr="003243CB">
        <w:rPr>
          <w:spacing w:val="-4"/>
        </w:rPr>
        <w:t xml:space="preserve">neither </w:t>
      </w:r>
      <w:r w:rsidR="00344B54" w:rsidRPr="003243CB">
        <w:rPr>
          <w:spacing w:val="-4"/>
        </w:rPr>
        <w:t>outlined</w:t>
      </w:r>
      <w:r w:rsidR="0083042D" w:rsidRPr="003243CB">
        <w:rPr>
          <w:spacing w:val="-4"/>
        </w:rPr>
        <w:t xml:space="preserve"> </w:t>
      </w:r>
      <w:r w:rsidR="00692A04" w:rsidRPr="003243CB">
        <w:rPr>
          <w:spacing w:val="-4"/>
        </w:rPr>
        <w:t>their assessment</w:t>
      </w:r>
      <w:r w:rsidR="0061422D" w:rsidRPr="003243CB">
        <w:rPr>
          <w:spacing w:val="-4"/>
        </w:rPr>
        <w:t xml:space="preserve"> </w:t>
      </w:r>
      <w:r w:rsidR="0083042D" w:rsidRPr="003243CB">
        <w:rPr>
          <w:spacing w:val="-4"/>
        </w:rPr>
        <w:t>method)</w:t>
      </w:r>
      <w:r w:rsidR="00692A04" w:rsidRPr="003243CB">
        <w:rPr>
          <w:spacing w:val="-4"/>
        </w:rPr>
        <w:t>.</w:t>
      </w:r>
      <w:r w:rsidR="00A37CC5" w:rsidRPr="003243CB">
        <w:rPr>
          <w:spacing w:val="-4"/>
        </w:rPr>
        <w:t xml:space="preserve"> </w:t>
      </w:r>
      <w:r w:rsidR="0015208F" w:rsidRPr="003243CB">
        <w:rPr>
          <w:spacing w:val="-4"/>
        </w:rPr>
        <w:t>Both</w:t>
      </w:r>
      <w:r w:rsidR="00D24C28" w:rsidRPr="003243CB">
        <w:rPr>
          <w:spacing w:val="-4"/>
        </w:rPr>
        <w:t xml:space="preserve"> th</w:t>
      </w:r>
      <w:r w:rsidR="0000498B" w:rsidRPr="003243CB">
        <w:rPr>
          <w:spacing w:val="-4"/>
        </w:rPr>
        <w:t>e N</w:t>
      </w:r>
      <w:r w:rsidR="00A3682B" w:rsidRPr="003243CB">
        <w:rPr>
          <w:spacing w:val="-4"/>
        </w:rPr>
        <w:t>SW</w:t>
      </w:r>
      <w:r w:rsidR="0000498B" w:rsidRPr="003243CB">
        <w:rPr>
          <w:spacing w:val="-4"/>
        </w:rPr>
        <w:t xml:space="preserve"> and</w:t>
      </w:r>
      <w:r w:rsidR="00D37937" w:rsidRPr="003243CB">
        <w:rPr>
          <w:spacing w:val="-4"/>
        </w:rPr>
        <w:t xml:space="preserve"> the</w:t>
      </w:r>
      <w:r w:rsidR="0000498B" w:rsidRPr="003243CB">
        <w:rPr>
          <w:spacing w:val="-4"/>
        </w:rPr>
        <w:t xml:space="preserve"> ACT</w:t>
      </w:r>
      <w:r w:rsidR="00D37937" w:rsidRPr="003243CB">
        <w:rPr>
          <w:spacing w:val="-4"/>
        </w:rPr>
        <w:t>’s</w:t>
      </w:r>
      <w:r w:rsidR="0000498B" w:rsidRPr="003243CB">
        <w:rPr>
          <w:spacing w:val="-4"/>
        </w:rPr>
        <w:t xml:space="preserve"> annual reports also </w:t>
      </w:r>
      <w:r w:rsidR="002F496C" w:rsidRPr="003243CB">
        <w:rPr>
          <w:spacing w:val="-4"/>
        </w:rPr>
        <w:t xml:space="preserve">describe </w:t>
      </w:r>
      <w:r w:rsidR="00DC164C" w:rsidRPr="003243CB">
        <w:rPr>
          <w:spacing w:val="-4"/>
        </w:rPr>
        <w:t xml:space="preserve">their jurisdictions as </w:t>
      </w:r>
      <w:r w:rsidR="00F74547" w:rsidRPr="003243CB">
        <w:rPr>
          <w:spacing w:val="-4"/>
        </w:rPr>
        <w:t xml:space="preserve">being </w:t>
      </w:r>
      <w:r w:rsidR="00EA15C7" w:rsidRPr="003243CB">
        <w:rPr>
          <w:spacing w:val="-4"/>
        </w:rPr>
        <w:t>‘</w:t>
      </w:r>
      <w:r w:rsidR="00F74547" w:rsidRPr="003243CB">
        <w:rPr>
          <w:spacing w:val="-4"/>
        </w:rPr>
        <w:t>on or off</w:t>
      </w:r>
      <w:r w:rsidR="00827859" w:rsidRPr="003243CB">
        <w:rPr>
          <w:spacing w:val="-4"/>
        </w:rPr>
        <w:noBreakHyphen/>
      </w:r>
      <w:r w:rsidR="00F74547" w:rsidRPr="003243CB">
        <w:rPr>
          <w:spacing w:val="-4"/>
        </w:rPr>
        <w:t>track</w:t>
      </w:r>
      <w:r w:rsidR="00EA15C7" w:rsidRPr="003243CB">
        <w:rPr>
          <w:spacing w:val="-4"/>
        </w:rPr>
        <w:t>’</w:t>
      </w:r>
      <w:r w:rsidR="00F74547" w:rsidRPr="003243CB">
        <w:rPr>
          <w:spacing w:val="-4"/>
        </w:rPr>
        <w:t xml:space="preserve"> against some </w:t>
      </w:r>
      <w:r w:rsidR="00F74547" w:rsidRPr="003243CB">
        <w:rPr>
          <w:spacing w:val="-4"/>
        </w:rPr>
        <w:lastRenderedPageBreak/>
        <w:t>outcomes.</w:t>
      </w:r>
      <w:r w:rsidR="00A37CC5" w:rsidRPr="003243CB">
        <w:rPr>
          <w:spacing w:val="-4"/>
        </w:rPr>
        <w:t xml:space="preserve"> </w:t>
      </w:r>
      <w:r w:rsidR="00C448A5" w:rsidRPr="003243CB">
        <w:rPr>
          <w:spacing w:val="-4"/>
        </w:rPr>
        <w:t>Without a commitment to</w:t>
      </w:r>
      <w:r w:rsidR="003A32C7" w:rsidRPr="003243CB">
        <w:rPr>
          <w:spacing w:val="-4"/>
        </w:rPr>
        <w:t xml:space="preserve"> jurisdiction</w:t>
      </w:r>
      <w:r w:rsidR="00AD7C8C" w:rsidRPr="003243CB">
        <w:rPr>
          <w:spacing w:val="-4"/>
        </w:rPr>
        <w:noBreakHyphen/>
      </w:r>
      <w:r w:rsidR="003A32C7" w:rsidRPr="003243CB">
        <w:rPr>
          <w:spacing w:val="-4"/>
        </w:rPr>
        <w:t>specific contributions for each target</w:t>
      </w:r>
      <w:r w:rsidR="008C7280" w:rsidRPr="003243CB">
        <w:rPr>
          <w:spacing w:val="-4"/>
        </w:rPr>
        <w:t xml:space="preserve"> and a common assessment methodology</w:t>
      </w:r>
      <w:r w:rsidR="00C448A5" w:rsidRPr="003243CB">
        <w:rPr>
          <w:spacing w:val="-4"/>
        </w:rPr>
        <w:t>, the inclusion of self</w:t>
      </w:r>
      <w:r w:rsidR="00827859" w:rsidRPr="003243CB">
        <w:rPr>
          <w:spacing w:val="-4"/>
        </w:rPr>
        <w:noBreakHyphen/>
      </w:r>
      <w:r w:rsidR="00C448A5" w:rsidRPr="003243CB">
        <w:rPr>
          <w:spacing w:val="-4"/>
        </w:rPr>
        <w:t>assessments in the annual reports has the potential to give a misleading picture of progress</w:t>
      </w:r>
      <w:r w:rsidR="00300186" w:rsidRPr="003243CB">
        <w:rPr>
          <w:spacing w:val="-4"/>
        </w:rPr>
        <w:t xml:space="preserve"> and undermines the independence of progress assessment</w:t>
      </w:r>
      <w:r w:rsidR="00C448A5" w:rsidRPr="003243CB">
        <w:rPr>
          <w:spacing w:val="-4"/>
        </w:rPr>
        <w:t>.</w:t>
      </w:r>
    </w:p>
    <w:p w14:paraId="568F2C05" w14:textId="6BD9E203" w:rsidR="009C1574" w:rsidRDefault="00A40E11" w:rsidP="00A54FE1">
      <w:pPr>
        <w:pStyle w:val="BodyText"/>
      </w:pPr>
      <w:r>
        <w:t>S</w:t>
      </w:r>
      <w:r w:rsidR="00FC138B">
        <w:t xml:space="preserve">ome jurisdictions have also </w:t>
      </w:r>
      <w:r w:rsidR="00287ECF">
        <w:t xml:space="preserve">drawn on their own data sets to </w:t>
      </w:r>
      <w:r w:rsidR="00F61C4F">
        <w:t xml:space="preserve">compliment </w:t>
      </w:r>
      <w:r>
        <w:t xml:space="preserve">the dashboard data </w:t>
      </w:r>
      <w:r w:rsidR="003B7190">
        <w:t xml:space="preserve">or report on </w:t>
      </w:r>
      <w:r w:rsidR="006848DD">
        <w:t>other measures of progress.</w:t>
      </w:r>
      <w:r w:rsidR="00703FC6">
        <w:t xml:space="preserve"> </w:t>
      </w:r>
      <w:r w:rsidR="00F71F35">
        <w:t>For example</w:t>
      </w:r>
      <w:r w:rsidR="0016721D">
        <w:t>:</w:t>
      </w:r>
    </w:p>
    <w:p w14:paraId="4E0281C0" w14:textId="3026E17C" w:rsidR="009C1574" w:rsidRPr="009C1574" w:rsidRDefault="00011CE1" w:rsidP="009C1574">
      <w:pPr>
        <w:pStyle w:val="ListBullet"/>
      </w:pPr>
      <w:r>
        <w:t>Victoria</w:t>
      </w:r>
      <w:r w:rsidR="00790E17">
        <w:t>’s</w:t>
      </w:r>
      <w:r w:rsidR="00F80490">
        <w:t xml:space="preserve"> 2021</w:t>
      </w:r>
      <w:r w:rsidR="00790E17">
        <w:t xml:space="preserve"> annual report </w:t>
      </w:r>
      <w:r w:rsidR="00BB7B7D">
        <w:t xml:space="preserve">followed </w:t>
      </w:r>
      <w:r w:rsidR="00A94730">
        <w:t>the</w:t>
      </w:r>
      <w:r w:rsidR="00236B68">
        <w:t xml:space="preserve"> </w:t>
      </w:r>
      <w:r w:rsidR="008D76F1">
        <w:t>Victorian Aboriginal Affairs Framework</w:t>
      </w:r>
      <w:r w:rsidR="00BB7B7D">
        <w:t xml:space="preserve"> </w:t>
      </w:r>
      <w:r w:rsidR="00554632">
        <w:t>(the VAAF)</w:t>
      </w:r>
      <w:r w:rsidR="00BB7B7D">
        <w:t xml:space="preserve"> </w:t>
      </w:r>
      <w:r w:rsidR="008D76F1">
        <w:t>rather than the Agreement</w:t>
      </w:r>
      <w:r w:rsidR="00E25C40">
        <w:t xml:space="preserve">’s </w:t>
      </w:r>
      <w:r w:rsidR="00A94730">
        <w:t xml:space="preserve">performance framework. </w:t>
      </w:r>
      <w:r w:rsidR="004A3F78" w:rsidRPr="00857484">
        <w:t>It reported on progress against the VA</w:t>
      </w:r>
      <w:r w:rsidR="00554632">
        <w:t>A</w:t>
      </w:r>
      <w:r w:rsidR="004A3F78" w:rsidRPr="00857484">
        <w:t>F’s 20 goals (using visuali</w:t>
      </w:r>
      <w:r w:rsidR="0013126E">
        <w:t>s</w:t>
      </w:r>
      <w:r w:rsidR="004A3F78" w:rsidRPr="00857484">
        <w:t>ations from the VA</w:t>
      </w:r>
      <w:r w:rsidR="00554632">
        <w:t>A</w:t>
      </w:r>
      <w:r w:rsidR="004A3F78" w:rsidRPr="00857484">
        <w:t>F dashboard) and nested the Agreement’s socio</w:t>
      </w:r>
      <w:r w:rsidR="00827859">
        <w:noBreakHyphen/>
      </w:r>
      <w:r w:rsidR="004A3F78" w:rsidRPr="00857484">
        <w:t xml:space="preserve">economic targets under the relevant </w:t>
      </w:r>
      <w:r w:rsidR="00703FC6" w:rsidRPr="00857484">
        <w:t>goals</w:t>
      </w:r>
      <w:r w:rsidR="003243CB">
        <w:t>.</w:t>
      </w:r>
    </w:p>
    <w:p w14:paraId="1234E37A" w14:textId="7FC49928" w:rsidR="009C1574" w:rsidRDefault="003243CB" w:rsidP="009C1574">
      <w:pPr>
        <w:pStyle w:val="ListBullet"/>
      </w:pPr>
      <w:r>
        <w:t>T</w:t>
      </w:r>
      <w:r w:rsidR="00953773">
        <w:t xml:space="preserve">he ACT </w:t>
      </w:r>
      <w:r w:rsidR="00396A55">
        <w:t xml:space="preserve">included its Impact Statement </w:t>
      </w:r>
      <w:r w:rsidR="00F16A97">
        <w:t>2021</w:t>
      </w:r>
      <w:r w:rsidR="00974C94">
        <w:t>,</w:t>
      </w:r>
      <w:r w:rsidR="00F16A97">
        <w:t xml:space="preserve"> which reports on performance against the </w:t>
      </w:r>
      <w:r w:rsidR="00A54FE1">
        <w:t>ACT Aboriginal and Torres Strait Islander Agreement 2019</w:t>
      </w:r>
      <w:r w:rsidR="00052412">
        <w:rPr>
          <w:rFonts w:cstheme="minorHAnsi"/>
        </w:rPr>
        <w:t>–</w:t>
      </w:r>
      <w:r w:rsidR="00A54FE1">
        <w:t>20</w:t>
      </w:r>
      <w:r w:rsidR="003F7498">
        <w:t>2</w:t>
      </w:r>
      <w:r w:rsidR="00A54FE1">
        <w:t>8</w:t>
      </w:r>
      <w:r w:rsidR="00BA00DD">
        <w:t xml:space="preserve"> as an appendix to its </w:t>
      </w:r>
      <w:r w:rsidR="002A7F96">
        <w:t>C</w:t>
      </w:r>
      <w:r w:rsidR="00BA00DD">
        <w:t xml:space="preserve">losing the </w:t>
      </w:r>
      <w:r w:rsidR="002A7F96">
        <w:t>G</w:t>
      </w:r>
      <w:r w:rsidR="00BA00DD">
        <w:t xml:space="preserve">ap annual report. The </w:t>
      </w:r>
      <w:r w:rsidR="00127300">
        <w:t xml:space="preserve">Impact Statement largely aligns with the Agreement’s performance </w:t>
      </w:r>
      <w:r w:rsidR="003B75F9">
        <w:t>framework but</w:t>
      </w:r>
      <w:r w:rsidR="008D0C7D">
        <w:t xml:space="preserve"> </w:t>
      </w:r>
      <w:r w:rsidR="003B75F9">
        <w:t xml:space="preserve">includes </w:t>
      </w:r>
      <w:r w:rsidR="008D0C7D">
        <w:t>several</w:t>
      </w:r>
      <w:r w:rsidR="003B75F9">
        <w:t xml:space="preserve"> ACT specific indictors and applies </w:t>
      </w:r>
      <w:r w:rsidR="00A45A7F">
        <w:t xml:space="preserve">its own </w:t>
      </w:r>
      <w:r w:rsidR="00C52436">
        <w:t xml:space="preserve">assessment </w:t>
      </w:r>
      <w:r w:rsidR="00A45A7F">
        <w:t>method</w:t>
      </w:r>
      <w:r>
        <w:t>.</w:t>
      </w:r>
    </w:p>
    <w:p w14:paraId="7F283C5C" w14:textId="75DA335C" w:rsidR="004A3F78" w:rsidRPr="003632F2" w:rsidRDefault="00A16721" w:rsidP="003632F2">
      <w:pPr>
        <w:pStyle w:val="ListBullet"/>
      </w:pPr>
      <w:r w:rsidRPr="003632F2">
        <w:t>The N</w:t>
      </w:r>
      <w:r w:rsidR="0013126E">
        <w:t>T</w:t>
      </w:r>
      <w:r w:rsidRPr="003632F2">
        <w:t xml:space="preserve"> </w:t>
      </w:r>
      <w:r w:rsidR="002B5E07" w:rsidRPr="003632F2">
        <w:t xml:space="preserve">annual report </w:t>
      </w:r>
      <w:r w:rsidR="00454F4A" w:rsidRPr="003632F2">
        <w:t xml:space="preserve">closely followed the dashboard but </w:t>
      </w:r>
      <w:r w:rsidR="00542C4A" w:rsidRPr="003632F2">
        <w:t xml:space="preserve">also </w:t>
      </w:r>
      <w:r w:rsidR="00113B1A" w:rsidRPr="003632F2">
        <w:t>drew on</w:t>
      </w:r>
      <w:r w:rsidRPr="003632F2">
        <w:t xml:space="preserve"> data collected for its </w:t>
      </w:r>
      <w:r w:rsidRPr="00F14462">
        <w:rPr>
          <w:i/>
        </w:rPr>
        <w:t>Everyone Together Aboriginal Affairs Strategy</w:t>
      </w:r>
      <w:r w:rsidRPr="003632F2">
        <w:t xml:space="preserve"> </w:t>
      </w:r>
      <w:r w:rsidR="00ED4354" w:rsidRPr="003632F2">
        <w:t xml:space="preserve">to report on </w:t>
      </w:r>
      <w:r w:rsidRPr="003632F2">
        <w:t>target</w:t>
      </w:r>
      <w:r w:rsidR="00667F42" w:rsidRPr="003632F2">
        <w:t>s</w:t>
      </w:r>
      <w:r w:rsidRPr="003632F2">
        <w:t xml:space="preserve"> </w:t>
      </w:r>
      <w:r w:rsidR="006A4B2D" w:rsidRPr="003632F2">
        <w:t>that did not have new data since the baseline</w:t>
      </w:r>
      <w:r w:rsidR="00AA27CC" w:rsidRPr="003632F2">
        <w:t xml:space="preserve"> (e.g. </w:t>
      </w:r>
      <w:r w:rsidR="001000BF" w:rsidRPr="003632F2">
        <w:t>Target 13</w:t>
      </w:r>
      <w:r w:rsidR="00044C20">
        <w:t xml:space="preserve"> – Family safety</w:t>
      </w:r>
      <w:r w:rsidR="001000BF" w:rsidRPr="003632F2">
        <w:t>)</w:t>
      </w:r>
      <w:r w:rsidR="00C6768E" w:rsidRPr="003632F2">
        <w:t>.</w:t>
      </w:r>
      <w:r w:rsidR="006800F4" w:rsidRPr="003632F2">
        <w:t xml:space="preserve"> Similarly, Queensland</w:t>
      </w:r>
      <w:r w:rsidR="00A42C95" w:rsidRPr="003632F2">
        <w:t>’s annual</w:t>
      </w:r>
      <w:r w:rsidR="00044C20">
        <w:t xml:space="preserve"> snapshot</w:t>
      </w:r>
      <w:r w:rsidR="00A42C95" w:rsidRPr="003632F2">
        <w:t xml:space="preserve"> report presented data </w:t>
      </w:r>
      <w:r w:rsidR="00137346" w:rsidRPr="003632F2">
        <w:t>measuring</w:t>
      </w:r>
      <w:r w:rsidR="00115BC1" w:rsidRPr="003632F2">
        <w:t xml:space="preserve"> </w:t>
      </w:r>
      <w:r w:rsidR="00137346" w:rsidRPr="003632F2">
        <w:t xml:space="preserve">several </w:t>
      </w:r>
      <w:r w:rsidR="00115BC1" w:rsidRPr="003632F2">
        <w:t xml:space="preserve">supporting indicators that are </w:t>
      </w:r>
      <w:r w:rsidR="00137346" w:rsidRPr="003632F2">
        <w:t>not yet available on the</w:t>
      </w:r>
      <w:r w:rsidR="00BA7727" w:rsidRPr="003632F2">
        <w:t xml:space="preserve"> dashboard</w:t>
      </w:r>
      <w:r w:rsidR="00B93857">
        <w:t xml:space="preserve"> (such as home ownership rates for O</w:t>
      </w:r>
      <w:r w:rsidR="003B0788">
        <w:t>utcome</w:t>
      </w:r>
      <w:r w:rsidR="00B93857">
        <w:t xml:space="preserve"> 9 – Housing)</w:t>
      </w:r>
      <w:r w:rsidR="00BA7727" w:rsidRPr="003632F2">
        <w:t>.</w:t>
      </w:r>
    </w:p>
    <w:p w14:paraId="6C42C75A" w14:textId="3648F081" w:rsidR="007F6DE0" w:rsidRDefault="00777967" w:rsidP="00516DE0">
      <w:pPr>
        <w:pStyle w:val="BodyText"/>
      </w:pPr>
      <w:r>
        <w:t>By drawing on their own data set</w:t>
      </w:r>
      <w:r w:rsidR="006F7498">
        <w:t>s</w:t>
      </w:r>
      <w:r w:rsidR="007930EA">
        <w:t>,</w:t>
      </w:r>
      <w:r w:rsidR="006F7498">
        <w:t xml:space="preserve"> governments can provide </w:t>
      </w:r>
      <w:r w:rsidR="00BB338C">
        <w:t xml:space="preserve">a more granular </w:t>
      </w:r>
      <w:r w:rsidR="00212E7B">
        <w:t xml:space="preserve">picture of what is happening in </w:t>
      </w:r>
      <w:r w:rsidR="00516DE0">
        <w:t xml:space="preserve">their </w:t>
      </w:r>
      <w:r w:rsidR="00212E7B">
        <w:t>jurisdiction</w:t>
      </w:r>
      <w:r w:rsidR="00D82B55">
        <w:t>s</w:t>
      </w:r>
      <w:r w:rsidR="004E78D9">
        <w:t xml:space="preserve"> </w:t>
      </w:r>
      <w:r w:rsidR="00AB5900">
        <w:t>(</w:t>
      </w:r>
      <w:r w:rsidR="004E78D9">
        <w:t>for instance, the N</w:t>
      </w:r>
      <w:r w:rsidR="00DF65A4">
        <w:t xml:space="preserve">orthern </w:t>
      </w:r>
      <w:r w:rsidR="004E78D9">
        <w:t>T</w:t>
      </w:r>
      <w:r w:rsidR="00DF65A4">
        <w:t>erri</w:t>
      </w:r>
      <w:r w:rsidR="007B7CD8">
        <w:t>tory</w:t>
      </w:r>
      <w:r w:rsidR="004E78D9">
        <w:t xml:space="preserve">’s annual report </w:t>
      </w:r>
      <w:r w:rsidR="00516DE0">
        <w:t xml:space="preserve">provides a breakdown of </w:t>
      </w:r>
      <w:r w:rsidR="00CD0F81">
        <w:t xml:space="preserve">housing overcrowding </w:t>
      </w:r>
      <w:r w:rsidR="00744FF7">
        <w:t>by region</w:t>
      </w:r>
      <w:r w:rsidR="000802F2">
        <w:t>).</w:t>
      </w:r>
      <w:r w:rsidR="000802F2" w:rsidRPr="00023D9A">
        <w:rPr>
          <w:color w:val="FF0000"/>
        </w:rPr>
        <w:t xml:space="preserve"> </w:t>
      </w:r>
      <w:r w:rsidR="00AF6D71">
        <w:t xml:space="preserve">However, </w:t>
      </w:r>
      <w:r w:rsidR="007B7CD8">
        <w:t>it</w:t>
      </w:r>
      <w:r w:rsidR="005C699A">
        <w:t xml:space="preserve"> also has the potential to lead to a proliferation of </w:t>
      </w:r>
      <w:r w:rsidR="000E316D">
        <w:t>incon</w:t>
      </w:r>
      <w:r w:rsidR="00644042">
        <w:t xml:space="preserve">sistent measures – </w:t>
      </w:r>
      <w:r w:rsidR="0066359A">
        <w:t xml:space="preserve">for </w:t>
      </w:r>
      <w:r w:rsidR="00644042">
        <w:t xml:space="preserve">example </w:t>
      </w:r>
      <w:r w:rsidR="002A200C">
        <w:t xml:space="preserve">the rate of </w:t>
      </w:r>
      <w:r w:rsidR="00A74B0E">
        <w:t>Aboriginal</w:t>
      </w:r>
      <w:r w:rsidR="002A200C">
        <w:t xml:space="preserve"> and Torres </w:t>
      </w:r>
      <w:r w:rsidR="00A74B0E">
        <w:t>Strait</w:t>
      </w:r>
      <w:r w:rsidR="002A200C">
        <w:t xml:space="preserve"> Islander </w:t>
      </w:r>
      <w:r w:rsidR="00A25BE4">
        <w:t>c</w:t>
      </w:r>
      <w:r w:rsidR="002A200C">
        <w:t xml:space="preserve">hildren in </w:t>
      </w:r>
      <w:r w:rsidR="007B7CD8">
        <w:t>out</w:t>
      </w:r>
      <w:r w:rsidR="00827859">
        <w:noBreakHyphen/>
      </w:r>
      <w:r w:rsidR="007B7CD8">
        <w:t>of</w:t>
      </w:r>
      <w:r w:rsidR="00827859">
        <w:noBreakHyphen/>
      </w:r>
      <w:r w:rsidR="007B7CD8">
        <w:t xml:space="preserve">home care </w:t>
      </w:r>
      <w:r w:rsidR="00274393">
        <w:t xml:space="preserve">reported </w:t>
      </w:r>
      <w:r w:rsidR="00A74B0E">
        <w:t xml:space="preserve">in the </w:t>
      </w:r>
      <w:r w:rsidR="00B93857">
        <w:t xml:space="preserve">2021 </w:t>
      </w:r>
      <w:r w:rsidR="00274393">
        <w:t>Victorian</w:t>
      </w:r>
      <w:r w:rsidR="00A74B0E">
        <w:t xml:space="preserve"> annual report</w:t>
      </w:r>
      <w:r w:rsidR="00D3042A">
        <w:t xml:space="preserve"> </w:t>
      </w:r>
      <w:r w:rsidR="00AE0900">
        <w:t xml:space="preserve">(which </w:t>
      </w:r>
      <w:r w:rsidR="00D3042A">
        <w:t>is</w:t>
      </w:r>
      <w:r w:rsidR="00274393">
        <w:t xml:space="preserve"> </w:t>
      </w:r>
      <w:r w:rsidR="00F07045">
        <w:t>based</w:t>
      </w:r>
      <w:r w:rsidR="0069165C">
        <w:t xml:space="preserve"> on an aggregate annual count</w:t>
      </w:r>
      <w:r w:rsidR="00AE0900">
        <w:t>)</w:t>
      </w:r>
      <w:r w:rsidR="008A66A1">
        <w:t xml:space="preserve"> </w:t>
      </w:r>
      <w:r w:rsidR="0069165C">
        <w:t xml:space="preserve">is inconsistent with </w:t>
      </w:r>
      <w:r w:rsidR="00981EA4">
        <w:t>the rate reported by the dashboard and ADCR (which is a point</w:t>
      </w:r>
      <w:r w:rsidR="00827859">
        <w:noBreakHyphen/>
      </w:r>
      <w:r w:rsidR="00981EA4">
        <w:t>in</w:t>
      </w:r>
      <w:r w:rsidR="007930EA">
        <w:noBreakHyphen/>
      </w:r>
      <w:r w:rsidR="00981EA4">
        <w:t xml:space="preserve">time count). </w:t>
      </w:r>
    </w:p>
    <w:p w14:paraId="57CA6D14" w14:textId="6A86CD9C" w:rsidR="00A85996" w:rsidRPr="00FF5923" w:rsidRDefault="00E76455" w:rsidP="00516DE0">
      <w:pPr>
        <w:pStyle w:val="BodyText"/>
      </w:pPr>
      <w:r w:rsidRPr="00FF5923">
        <w:t>The</w:t>
      </w:r>
      <w:r w:rsidR="00A85996" w:rsidRPr="00FF5923">
        <w:t xml:space="preserve"> requirement for the parties to draw on the dashboard and ADCR </w:t>
      </w:r>
      <w:r w:rsidR="00932873" w:rsidRPr="00FF5923">
        <w:t xml:space="preserve">in their annual reports </w:t>
      </w:r>
      <w:r w:rsidR="007A5561" w:rsidRPr="00FF5923">
        <w:t xml:space="preserve">ensures that </w:t>
      </w:r>
      <w:r w:rsidR="005A1D59" w:rsidRPr="00FF5923">
        <w:t xml:space="preserve">they are </w:t>
      </w:r>
      <w:r w:rsidR="006D4A06" w:rsidRPr="00FF5923">
        <w:t xml:space="preserve">comparable </w:t>
      </w:r>
      <w:r w:rsidR="005A1D59" w:rsidRPr="00FF5923">
        <w:t xml:space="preserve">and </w:t>
      </w:r>
      <w:r w:rsidR="009C1431" w:rsidRPr="00FF5923">
        <w:t>mitigat</w:t>
      </w:r>
      <w:r w:rsidR="005A1D59" w:rsidRPr="00FF5923">
        <w:t>e</w:t>
      </w:r>
      <w:r w:rsidR="007930EA">
        <w:t>s</w:t>
      </w:r>
      <w:r w:rsidR="009C1431" w:rsidRPr="00FF5923">
        <w:t xml:space="preserve"> the risk o</w:t>
      </w:r>
      <w:r w:rsidR="00FC3C89" w:rsidRPr="00FF5923">
        <w:t>f</w:t>
      </w:r>
      <w:r w:rsidR="009C1431" w:rsidRPr="00FF5923">
        <w:t xml:space="preserve"> </w:t>
      </w:r>
      <w:r w:rsidR="00FC3C89" w:rsidRPr="00FF5923">
        <w:t xml:space="preserve">governments </w:t>
      </w:r>
      <w:r w:rsidR="009C1431" w:rsidRPr="00FF5923">
        <w:t>cherry</w:t>
      </w:r>
      <w:r w:rsidR="007930EA">
        <w:noBreakHyphen/>
      </w:r>
      <w:r w:rsidR="009C1431" w:rsidRPr="00FF5923">
        <w:t>picking</w:t>
      </w:r>
      <w:r w:rsidR="00FC3C89" w:rsidRPr="00FF5923">
        <w:t xml:space="preserve"> favourable</w:t>
      </w:r>
      <w:r w:rsidR="0086048D" w:rsidRPr="00FF5923">
        <w:t xml:space="preserve"> assessment methods</w:t>
      </w:r>
      <w:r w:rsidR="0060270A" w:rsidRPr="00FF5923">
        <w:t xml:space="preserve"> or indicators</w:t>
      </w:r>
      <w:r w:rsidR="009C1431" w:rsidRPr="00FF5923">
        <w:t xml:space="preserve">. </w:t>
      </w:r>
      <w:r w:rsidR="00EC61A3" w:rsidRPr="00FF5923">
        <w:t xml:space="preserve">The Agreement </w:t>
      </w:r>
      <w:r w:rsidR="00AD2F6F" w:rsidRPr="00FF5923">
        <w:t>does not</w:t>
      </w:r>
      <w:r w:rsidR="005E09DD" w:rsidRPr="00FF5923">
        <w:t xml:space="preserve"> preclude jurisdictions fro</w:t>
      </w:r>
      <w:r w:rsidR="00EF652B" w:rsidRPr="00FF5923">
        <w:t>m including additional indicators</w:t>
      </w:r>
      <w:r w:rsidR="008A17DC" w:rsidRPr="00FF5923">
        <w:t>, but</w:t>
      </w:r>
      <w:r w:rsidR="00F21FE1" w:rsidRPr="00FF5923">
        <w:t xml:space="preserve"> these will be of most value w</w:t>
      </w:r>
      <w:r w:rsidR="00595A61" w:rsidRPr="00FF5923">
        <w:t xml:space="preserve">here they </w:t>
      </w:r>
      <w:r w:rsidR="004B12BA" w:rsidRPr="00FF5923">
        <w:t xml:space="preserve">focus on </w:t>
      </w:r>
      <w:r w:rsidR="00595A61" w:rsidRPr="00FF5923">
        <w:t>fill</w:t>
      </w:r>
      <w:r w:rsidR="004B12BA" w:rsidRPr="00FF5923">
        <w:t>ing</w:t>
      </w:r>
      <w:r w:rsidR="00595A61" w:rsidRPr="00FF5923">
        <w:t xml:space="preserve"> data gaps </w:t>
      </w:r>
      <w:r w:rsidR="00FC19E8" w:rsidRPr="00FF5923">
        <w:t xml:space="preserve">and are clearly </w:t>
      </w:r>
      <w:r w:rsidR="004B12BA" w:rsidRPr="00FF5923">
        <w:t>described</w:t>
      </w:r>
      <w:r w:rsidR="003548A9" w:rsidRPr="00FF5923">
        <w:t>.</w:t>
      </w:r>
      <w:r w:rsidRPr="00FF5923">
        <w:t xml:space="preserve"> </w:t>
      </w:r>
    </w:p>
    <w:p w14:paraId="5E0ACB8C" w14:textId="3D66AF8D" w:rsidR="00981EA4" w:rsidRPr="001776CD" w:rsidRDefault="00305EE5" w:rsidP="001776CD">
      <w:pPr>
        <w:pStyle w:val="Heading4"/>
      </w:pPr>
      <w:r>
        <w:t>A</w:t>
      </w:r>
      <w:r w:rsidR="00246DF3" w:rsidRPr="001776CD">
        <w:t xml:space="preserve">nnual reports </w:t>
      </w:r>
      <w:r w:rsidR="00070C01" w:rsidRPr="001776CD">
        <w:t xml:space="preserve">do not give a clear account </w:t>
      </w:r>
      <w:r w:rsidR="005741D5">
        <w:t xml:space="preserve">of whether </w:t>
      </w:r>
      <w:r>
        <w:t xml:space="preserve">governments </w:t>
      </w:r>
      <w:r w:rsidR="005741D5">
        <w:t xml:space="preserve">have met their commitments </w:t>
      </w:r>
    </w:p>
    <w:p w14:paraId="2202EC69" w14:textId="6A708BAD" w:rsidR="0045587B" w:rsidRDefault="00E83CBC" w:rsidP="00B32314">
      <w:pPr>
        <w:pStyle w:val="BodyText"/>
      </w:pPr>
      <w:r>
        <w:t xml:space="preserve">The </w:t>
      </w:r>
      <w:r w:rsidR="0012377F">
        <w:t xml:space="preserve">annual reports are </w:t>
      </w:r>
      <w:r w:rsidR="00C233F0">
        <w:t xml:space="preserve">intended to </w:t>
      </w:r>
      <w:r w:rsidR="00DE7F8C">
        <w:t xml:space="preserve">provide </w:t>
      </w:r>
      <w:r w:rsidR="0094077C">
        <w:t>the community with a transp</w:t>
      </w:r>
      <w:r w:rsidR="006E7F3A">
        <w:t xml:space="preserve">arent account of the </w:t>
      </w:r>
      <w:r w:rsidR="00376AE2">
        <w:t xml:space="preserve">progress that </w:t>
      </w:r>
      <w:r w:rsidR="00591C21">
        <w:t xml:space="preserve">each party has made against the </w:t>
      </w:r>
      <w:r w:rsidR="007240DE">
        <w:t xml:space="preserve">actions </w:t>
      </w:r>
      <w:r w:rsidR="00591C21">
        <w:t>they committed to</w:t>
      </w:r>
      <w:r w:rsidR="005E34E7">
        <w:t>.</w:t>
      </w:r>
      <w:r w:rsidR="00F217A0">
        <w:t xml:space="preserve"> However, the Commission found that </w:t>
      </w:r>
      <w:r w:rsidR="00AB77ED">
        <w:t xml:space="preserve">many </w:t>
      </w:r>
      <w:r w:rsidR="000016DA">
        <w:t>jurisdiction</w:t>
      </w:r>
      <w:r w:rsidR="005E693D">
        <w:t>s</w:t>
      </w:r>
      <w:r w:rsidR="00E87138">
        <w:t>’</w:t>
      </w:r>
      <w:r w:rsidR="005E693D">
        <w:t xml:space="preserve"> annual </w:t>
      </w:r>
      <w:r w:rsidR="005E693D" w:rsidRPr="00D712EB">
        <w:t xml:space="preserve">reports </w:t>
      </w:r>
      <w:r w:rsidR="002F164F" w:rsidRPr="00D712EB">
        <w:t>are difficult to reconcile with their</w:t>
      </w:r>
      <w:r w:rsidR="005E693D" w:rsidRPr="00D712EB">
        <w:t xml:space="preserve"> implementation </w:t>
      </w:r>
      <w:r w:rsidR="005E693D">
        <w:t>plans.</w:t>
      </w:r>
      <w:r w:rsidR="002E013C">
        <w:t xml:space="preserve"> </w:t>
      </w:r>
    </w:p>
    <w:p w14:paraId="57B6E063" w14:textId="6BC5C7D9" w:rsidR="00850CB4" w:rsidRDefault="0059662F" w:rsidP="00B32314">
      <w:pPr>
        <w:pStyle w:val="BodyText"/>
      </w:pPr>
      <w:r w:rsidRPr="00D712EB">
        <w:t xml:space="preserve">A </w:t>
      </w:r>
      <w:r w:rsidR="00637813" w:rsidRPr="00D712EB">
        <w:t xml:space="preserve">basic </w:t>
      </w:r>
      <w:r w:rsidRPr="00D712EB">
        <w:t xml:space="preserve">issue is that </w:t>
      </w:r>
      <w:r w:rsidR="00296FB6" w:rsidRPr="00D712EB">
        <w:t xml:space="preserve">the annual reports </w:t>
      </w:r>
      <w:r w:rsidR="000D0778" w:rsidRPr="00D712EB">
        <w:t xml:space="preserve">only include a </w:t>
      </w:r>
      <w:r w:rsidR="00766666" w:rsidRPr="00D712EB">
        <w:t>subset of the</w:t>
      </w:r>
      <w:r w:rsidR="008C16A4" w:rsidRPr="00D712EB">
        <w:t xml:space="preserve"> actions </w:t>
      </w:r>
      <w:r w:rsidR="00EC2829" w:rsidRPr="00D712EB">
        <w:t>that governments</w:t>
      </w:r>
      <w:r w:rsidR="00AE38C9">
        <w:t xml:space="preserve"> have</w:t>
      </w:r>
      <w:r w:rsidR="00EC2829" w:rsidRPr="00D712EB">
        <w:t xml:space="preserve"> committed</w:t>
      </w:r>
      <w:r w:rsidR="00701E2D" w:rsidRPr="00D712EB">
        <w:t xml:space="preserve"> to</w:t>
      </w:r>
      <w:r w:rsidR="00EC2829" w:rsidRPr="00D712EB">
        <w:t>,</w:t>
      </w:r>
      <w:r w:rsidR="00766666" w:rsidRPr="00D712EB">
        <w:t xml:space="preserve"> </w:t>
      </w:r>
      <w:r w:rsidR="008C16A4" w:rsidRPr="00D712EB">
        <w:t>while also</w:t>
      </w:r>
      <w:r w:rsidR="0014079F" w:rsidRPr="00D712EB">
        <w:t xml:space="preserve"> </w:t>
      </w:r>
      <w:r w:rsidR="00337A12" w:rsidRPr="00D712EB">
        <w:t>includ</w:t>
      </w:r>
      <w:r w:rsidR="00131313" w:rsidRPr="00D712EB">
        <w:t>ing</w:t>
      </w:r>
      <w:r w:rsidR="00337A12" w:rsidRPr="00D712EB">
        <w:t xml:space="preserve"> </w:t>
      </w:r>
      <w:r w:rsidR="00202ADA" w:rsidRPr="00D712EB">
        <w:t xml:space="preserve">updates on actions that </w:t>
      </w:r>
      <w:r w:rsidR="004921DC" w:rsidRPr="00D712EB">
        <w:t xml:space="preserve">were </w:t>
      </w:r>
      <w:r w:rsidR="00202ADA" w:rsidRPr="00D712EB">
        <w:t xml:space="preserve">not set out in </w:t>
      </w:r>
      <w:r w:rsidR="00202ADA">
        <w:t>the</w:t>
      </w:r>
      <w:r w:rsidR="00337A12">
        <w:t xml:space="preserve"> implementation plans. </w:t>
      </w:r>
      <w:r w:rsidR="005F6723" w:rsidRPr="00F60351">
        <w:t xml:space="preserve">For example, only two jurisdictions </w:t>
      </w:r>
      <w:r w:rsidR="009D7BCB">
        <w:t xml:space="preserve">reported </w:t>
      </w:r>
      <w:r w:rsidR="005077B4" w:rsidRPr="00F60351">
        <w:t xml:space="preserve">against </w:t>
      </w:r>
      <w:r w:rsidR="00B1354F" w:rsidRPr="00F60351">
        <w:t>all the</w:t>
      </w:r>
      <w:r w:rsidR="008C69D6">
        <w:t xml:space="preserve"> Priority Reform 1 </w:t>
      </w:r>
      <w:r w:rsidR="00B1354F" w:rsidRPr="00F60351">
        <w:t xml:space="preserve">actions </w:t>
      </w:r>
      <w:r w:rsidR="005077B4" w:rsidRPr="00F60351">
        <w:t xml:space="preserve">they </w:t>
      </w:r>
      <w:r w:rsidR="0072391A" w:rsidRPr="00F60351">
        <w:t>committed to</w:t>
      </w:r>
      <w:r w:rsidR="008C69D6">
        <w:t xml:space="preserve"> in</w:t>
      </w:r>
      <w:r w:rsidR="009D7BCB">
        <w:t xml:space="preserve"> their first implementation plans</w:t>
      </w:r>
      <w:r w:rsidR="0072391A">
        <w:t>.</w:t>
      </w:r>
      <w:r w:rsidR="00DF54AF">
        <w:t xml:space="preserve"> In </w:t>
      </w:r>
      <w:r w:rsidR="006C6B26">
        <w:t>the other direction, nearly a</w:t>
      </w:r>
      <w:r w:rsidR="006C6B26" w:rsidDel="00B56150">
        <w:t xml:space="preserve"> </w:t>
      </w:r>
      <w:r w:rsidR="00B56150">
        <w:t>fifth</w:t>
      </w:r>
      <w:r w:rsidR="00514624">
        <w:t xml:space="preserve"> </w:t>
      </w:r>
      <w:r w:rsidR="006C6B26">
        <w:t xml:space="preserve">of the </w:t>
      </w:r>
      <w:r w:rsidR="00FC37CA">
        <w:t>P</w:t>
      </w:r>
      <w:r w:rsidR="006C6B26">
        <w:t xml:space="preserve">riority </w:t>
      </w:r>
      <w:r w:rsidR="00FC37CA">
        <w:t>R</w:t>
      </w:r>
      <w:r w:rsidR="006C6B26">
        <w:t xml:space="preserve">eform 1 actions </w:t>
      </w:r>
      <w:r w:rsidR="009770D6">
        <w:t>reported</w:t>
      </w:r>
      <w:r w:rsidR="00E32E0D">
        <w:t xml:space="preserve"> on</w:t>
      </w:r>
      <w:r w:rsidR="009770D6">
        <w:t xml:space="preserve"> in the jurisdictions</w:t>
      </w:r>
      <w:r w:rsidR="00177E78">
        <w:t>’</w:t>
      </w:r>
      <w:r w:rsidR="009770D6">
        <w:t xml:space="preserve"> </w:t>
      </w:r>
      <w:r w:rsidR="00334E39">
        <w:t xml:space="preserve">first </w:t>
      </w:r>
      <w:r w:rsidR="009770D6">
        <w:t xml:space="preserve">annual reports </w:t>
      </w:r>
      <w:r w:rsidR="00EB4054">
        <w:t>had not be</w:t>
      </w:r>
      <w:r w:rsidR="00C23680">
        <w:t>en</w:t>
      </w:r>
      <w:r w:rsidR="00EB4054">
        <w:t xml:space="preserve"> included in their implementation plans.</w:t>
      </w:r>
      <w:r w:rsidR="001038CE">
        <w:t xml:space="preserve"> </w:t>
      </w:r>
      <w:r w:rsidR="00200E4E">
        <w:t xml:space="preserve">While it is reasonable for the parties to amend and update their </w:t>
      </w:r>
      <w:r w:rsidR="00200E4E" w:rsidRPr="00D712EB">
        <w:t>plans, th</w:t>
      </w:r>
      <w:r w:rsidR="00F15720" w:rsidRPr="00D712EB">
        <w:t>e exten</w:t>
      </w:r>
      <w:r w:rsidR="00950217" w:rsidRPr="00D712EB">
        <w:t xml:space="preserve">t of the inconsistency between what </w:t>
      </w:r>
      <w:r w:rsidR="00BB73EF" w:rsidRPr="00D712EB">
        <w:t>governments</w:t>
      </w:r>
      <w:r w:rsidR="00950217" w:rsidRPr="00D712EB">
        <w:t xml:space="preserve"> have said they would do and what they </w:t>
      </w:r>
      <w:r w:rsidR="00925F17" w:rsidRPr="00D712EB">
        <w:t xml:space="preserve">have </w:t>
      </w:r>
      <w:r w:rsidR="00E75BC0" w:rsidRPr="00D712EB">
        <w:t>reported</w:t>
      </w:r>
      <w:r w:rsidR="00AA065E" w:rsidRPr="00D712EB">
        <w:t xml:space="preserve"> on</w:t>
      </w:r>
      <w:r w:rsidR="00E75BC0" w:rsidRPr="00D712EB">
        <w:t xml:space="preserve"> </w:t>
      </w:r>
      <w:r w:rsidR="00781806" w:rsidRPr="00D712EB">
        <w:t>undermines the credibility of the</w:t>
      </w:r>
      <w:r w:rsidR="00E3213D" w:rsidRPr="00D712EB">
        <w:t xml:space="preserve"> annual reports</w:t>
      </w:r>
      <w:r w:rsidR="006B688C" w:rsidRPr="00D712EB">
        <w:t>.</w:t>
      </w:r>
      <w:r w:rsidR="00781806" w:rsidRPr="00D712EB">
        <w:t xml:space="preserve"> </w:t>
      </w:r>
      <w:r w:rsidR="00786EB8" w:rsidRPr="00D712EB">
        <w:t>Moreover, it</w:t>
      </w:r>
      <w:r w:rsidR="00476D1E" w:rsidRPr="00D712EB">
        <w:t xml:space="preserve"> </w:t>
      </w:r>
      <w:r w:rsidR="00BB3161" w:rsidRPr="00D712EB">
        <w:t>signals</w:t>
      </w:r>
      <w:r w:rsidR="002B3D5C" w:rsidRPr="00D712EB">
        <w:t xml:space="preserve"> </w:t>
      </w:r>
      <w:r w:rsidR="006610F8" w:rsidRPr="00D712EB">
        <w:t xml:space="preserve">a lack of strategic </w:t>
      </w:r>
      <w:r w:rsidR="001C149A" w:rsidRPr="00D712EB">
        <w:t xml:space="preserve">focus and </w:t>
      </w:r>
      <w:r w:rsidR="006610F8" w:rsidRPr="00D712EB">
        <w:t>intent</w:t>
      </w:r>
      <w:r w:rsidR="00D91508" w:rsidRPr="00D712EB">
        <w:t xml:space="preserve"> </w:t>
      </w:r>
      <w:r w:rsidR="00EA4681">
        <w:rPr>
          <w:rFonts w:cstheme="minorHAnsi"/>
        </w:rPr>
        <w:t>–</w:t>
      </w:r>
      <w:r w:rsidR="00D91508" w:rsidRPr="00D712EB">
        <w:t xml:space="preserve"> </w:t>
      </w:r>
      <w:r w:rsidR="00F55578" w:rsidRPr="00D712EB">
        <w:t xml:space="preserve">the implementation plans and annual reports should only include actions </w:t>
      </w:r>
      <w:r w:rsidR="0059301D" w:rsidRPr="00D712EB">
        <w:t xml:space="preserve">and activities that </w:t>
      </w:r>
      <w:r w:rsidR="00E80596" w:rsidRPr="00D712EB">
        <w:t xml:space="preserve">have been agreed with </w:t>
      </w:r>
      <w:r w:rsidR="00D91508" w:rsidRPr="00D712EB">
        <w:t>Aboriginal</w:t>
      </w:r>
      <w:r w:rsidR="00E80596" w:rsidRPr="00D712EB">
        <w:t xml:space="preserve"> and Torres Strait Islander partners</w:t>
      </w:r>
      <w:r w:rsidR="009E3888" w:rsidRPr="00D712EB">
        <w:t xml:space="preserve"> </w:t>
      </w:r>
      <w:r w:rsidR="00D91508" w:rsidRPr="00D712EB">
        <w:t xml:space="preserve">as </w:t>
      </w:r>
      <w:r w:rsidR="009E3888" w:rsidRPr="00D712EB">
        <w:t>substanti</w:t>
      </w:r>
      <w:r w:rsidR="00B91E57">
        <w:t>ve</w:t>
      </w:r>
      <w:r w:rsidR="009E3888" w:rsidRPr="00D712EB">
        <w:t xml:space="preserve"> and</w:t>
      </w:r>
      <w:r w:rsidR="0059301D" w:rsidRPr="00D712EB">
        <w:t xml:space="preserve"> </w:t>
      </w:r>
      <w:r w:rsidR="00C537D5" w:rsidRPr="00D712EB">
        <w:t xml:space="preserve">critical to </w:t>
      </w:r>
      <w:r w:rsidR="00D91508" w:rsidRPr="00D712EB">
        <w:t>achieving the objectives of the Agreement.</w:t>
      </w:r>
    </w:p>
    <w:p w14:paraId="23DC681B" w14:textId="110523F3" w:rsidR="0052421F" w:rsidRDefault="00C74442" w:rsidP="00176D65">
      <w:pPr>
        <w:pStyle w:val="BodyText"/>
      </w:pPr>
      <w:r w:rsidRPr="00C12DA0">
        <w:lastRenderedPageBreak/>
        <w:t xml:space="preserve">Another issue is </w:t>
      </w:r>
      <w:r w:rsidR="00811693" w:rsidRPr="00C12DA0">
        <w:t xml:space="preserve">that the descriptions of </w:t>
      </w:r>
      <w:r w:rsidR="006A03A5" w:rsidRPr="00C12DA0">
        <w:t>actions</w:t>
      </w:r>
      <w:r w:rsidR="00277C82" w:rsidRPr="00C12DA0">
        <w:t xml:space="preserve"> are</w:t>
      </w:r>
      <w:r w:rsidR="006A03A5" w:rsidRPr="00C12DA0">
        <w:t xml:space="preserve"> often high</w:t>
      </w:r>
      <w:r w:rsidR="00827859">
        <w:noBreakHyphen/>
      </w:r>
      <w:r w:rsidR="006A03A5" w:rsidRPr="00C12DA0">
        <w:t xml:space="preserve">level </w:t>
      </w:r>
      <w:r w:rsidR="0068010F" w:rsidRPr="00C12DA0">
        <w:t>or</w:t>
      </w:r>
      <w:r w:rsidR="006A03A5" w:rsidRPr="00C12DA0">
        <w:t xml:space="preserve"> </w:t>
      </w:r>
      <w:r w:rsidR="00FA790A" w:rsidRPr="00C12DA0">
        <w:t>incomplete</w:t>
      </w:r>
      <w:r w:rsidR="00EA4681">
        <w:t>,</w:t>
      </w:r>
      <w:r w:rsidR="00242EDC" w:rsidRPr="00C12DA0">
        <w:t xml:space="preserve"> </w:t>
      </w:r>
      <w:r w:rsidR="0068010F" w:rsidRPr="00C12DA0">
        <w:t xml:space="preserve">which makes it difficult to assess their </w:t>
      </w:r>
      <w:r w:rsidR="00242EDC" w:rsidRPr="00C12DA0">
        <w:t>status</w:t>
      </w:r>
      <w:r w:rsidR="00FA790A" w:rsidRPr="00C12DA0">
        <w:t xml:space="preserve">. </w:t>
      </w:r>
      <w:r w:rsidR="0052421F" w:rsidRPr="00C12DA0">
        <w:t xml:space="preserve">While </w:t>
      </w:r>
      <w:r w:rsidR="00DE6A6A">
        <w:t>not a requirement</w:t>
      </w:r>
      <w:r w:rsidR="0052421F">
        <w:t xml:space="preserve">, </w:t>
      </w:r>
      <w:r w:rsidR="00083243">
        <w:t>the annual reports mostly do not indicate</w:t>
      </w:r>
      <w:r w:rsidR="0052421F">
        <w:t xml:space="preserve"> whether </w:t>
      </w:r>
      <w:r w:rsidR="00E10BB6">
        <w:t xml:space="preserve">actions are </w:t>
      </w:r>
      <w:r w:rsidR="0052421F">
        <w:t>on</w:t>
      </w:r>
      <w:r w:rsidR="00827859">
        <w:noBreakHyphen/>
      </w:r>
      <w:r w:rsidR="0052421F">
        <w:t>track to be delivered as planned. Similarly, there is typically no discussion of delivery risks or issues and how they are being addressed. For example, the</w:t>
      </w:r>
      <w:r w:rsidR="008B0BF0">
        <w:t xml:space="preserve"> </w:t>
      </w:r>
      <w:r w:rsidR="001052FC">
        <w:t xml:space="preserve">action summary table in the </w:t>
      </w:r>
      <w:r w:rsidR="00F10E9B">
        <w:t>NSW</w:t>
      </w:r>
      <w:r w:rsidR="000E769D">
        <w:t xml:space="preserve"> Government’s annual report</w:t>
      </w:r>
      <w:r w:rsidR="00A746D6">
        <w:t xml:space="preserve"> </w:t>
      </w:r>
      <w:r w:rsidR="004958B5">
        <w:t>labels most</w:t>
      </w:r>
      <w:r w:rsidR="00A746D6">
        <w:t xml:space="preserve"> </w:t>
      </w:r>
      <w:r w:rsidR="0052421F">
        <w:t>actions as</w:t>
      </w:r>
      <w:r w:rsidR="004958B5">
        <w:t xml:space="preserve"> </w:t>
      </w:r>
      <w:r w:rsidR="0052421F">
        <w:t>‘on</w:t>
      </w:r>
      <w:r w:rsidR="00827859">
        <w:noBreakHyphen/>
      </w:r>
      <w:r w:rsidR="0052421F">
        <w:t>going’ or ‘in</w:t>
      </w:r>
      <w:r w:rsidR="00827859">
        <w:noBreakHyphen/>
      </w:r>
      <w:r w:rsidR="0052421F">
        <w:t>progress’</w:t>
      </w:r>
      <w:r w:rsidR="000461D3">
        <w:t>,</w:t>
      </w:r>
      <w:r w:rsidR="0052421F">
        <w:t xml:space="preserve"> </w:t>
      </w:r>
      <w:r w:rsidR="000461D3">
        <w:t>with</w:t>
      </w:r>
      <w:r w:rsidR="006A206B">
        <w:t>out</w:t>
      </w:r>
      <w:r w:rsidR="000461D3">
        <w:t xml:space="preserve"> </w:t>
      </w:r>
      <w:r w:rsidR="00766DB5">
        <w:t>specifying</w:t>
      </w:r>
      <w:r w:rsidR="0052421F">
        <w:t xml:space="preserve"> whether they are on</w:t>
      </w:r>
      <w:r w:rsidR="00827859">
        <w:noBreakHyphen/>
      </w:r>
      <w:r w:rsidR="0052421F">
        <w:t xml:space="preserve"> or off</w:t>
      </w:r>
      <w:r w:rsidR="00827859">
        <w:noBreakHyphen/>
      </w:r>
      <w:r w:rsidR="0052421F">
        <w:t>track</w:t>
      </w:r>
      <w:r w:rsidR="00DE6A6A">
        <w:t>,</w:t>
      </w:r>
      <w:r w:rsidR="00A27151">
        <w:t xml:space="preserve"> and </w:t>
      </w:r>
      <w:r w:rsidR="00B14325">
        <w:t>m</w:t>
      </w:r>
      <w:r w:rsidR="0052421F">
        <w:t xml:space="preserve">any actions include </w:t>
      </w:r>
      <w:r w:rsidR="00A07D77">
        <w:t xml:space="preserve">little or no </w:t>
      </w:r>
      <w:r w:rsidR="00B14325">
        <w:t>information about what</w:t>
      </w:r>
      <w:r w:rsidR="0052421F">
        <w:t xml:space="preserve"> progress</w:t>
      </w:r>
      <w:r w:rsidR="00D91AD1">
        <w:t xml:space="preserve"> has been made</w:t>
      </w:r>
      <w:r w:rsidR="00B14325">
        <w:t>.</w:t>
      </w:r>
      <w:r w:rsidR="008529B9">
        <w:t xml:space="preserve"> </w:t>
      </w:r>
      <w:r w:rsidR="0052421F" w:rsidRPr="00B508D7">
        <w:t>The N</w:t>
      </w:r>
      <w:r w:rsidR="00A76C46">
        <w:t>T</w:t>
      </w:r>
      <w:r w:rsidR="00E664F5" w:rsidRPr="00B508D7">
        <w:t xml:space="preserve"> annual report </w:t>
      </w:r>
      <w:r w:rsidR="0028188F" w:rsidRPr="00B508D7">
        <w:t>illustrates</w:t>
      </w:r>
      <w:r w:rsidR="0091451B" w:rsidRPr="00B508D7">
        <w:t xml:space="preserve"> somewhat</w:t>
      </w:r>
      <w:r w:rsidR="0028188F" w:rsidRPr="00B508D7">
        <w:t xml:space="preserve"> </w:t>
      </w:r>
      <w:r w:rsidR="0052421F" w:rsidRPr="00B508D7">
        <w:t>better practice. It</w:t>
      </w:r>
      <w:r w:rsidR="00343170" w:rsidRPr="00B508D7">
        <w:t xml:space="preserve">s progress </w:t>
      </w:r>
      <w:r w:rsidR="0052421F" w:rsidRPr="00B508D7">
        <w:t xml:space="preserve">summary table </w:t>
      </w:r>
      <w:r w:rsidR="00EF40FD" w:rsidRPr="00B508D7">
        <w:t>includes a</w:t>
      </w:r>
      <w:r w:rsidR="009B22A4" w:rsidRPr="00B508D7">
        <w:t xml:space="preserve"> unique</w:t>
      </w:r>
      <w:r w:rsidR="005725F5" w:rsidRPr="00B508D7">
        <w:t xml:space="preserve"> </w:t>
      </w:r>
      <w:r w:rsidR="008A7972" w:rsidRPr="00B508D7">
        <w:t xml:space="preserve">identifier </w:t>
      </w:r>
      <w:r w:rsidR="00470D1B" w:rsidRPr="00B508D7">
        <w:t xml:space="preserve">for </w:t>
      </w:r>
      <w:r w:rsidR="0052421F" w:rsidRPr="00B508D7">
        <w:t>each action</w:t>
      </w:r>
      <w:r w:rsidR="009B22A4" w:rsidRPr="00B508D7">
        <w:t xml:space="preserve"> that</w:t>
      </w:r>
      <w:r w:rsidR="0052421F" w:rsidRPr="00B508D7">
        <w:t xml:space="preserve"> </w:t>
      </w:r>
      <w:r w:rsidR="00982A71" w:rsidRPr="00B508D7">
        <w:t>can be linked back to its implementation plan</w:t>
      </w:r>
      <w:r w:rsidR="00863EB3">
        <w:t>.</w:t>
      </w:r>
      <w:r w:rsidR="00CF6164" w:rsidRPr="00B508D7">
        <w:t xml:space="preserve"> </w:t>
      </w:r>
      <w:r w:rsidR="00E52EE8" w:rsidRPr="00B508D7">
        <w:t xml:space="preserve">The table </w:t>
      </w:r>
      <w:r w:rsidR="0052421F" w:rsidRPr="00B508D7">
        <w:t>provides short descriptions of the purpose of each action and some details on what has been done</w:t>
      </w:r>
      <w:r w:rsidR="0091416A" w:rsidRPr="00B508D7">
        <w:t xml:space="preserve"> to date</w:t>
      </w:r>
      <w:r w:rsidR="0052421F" w:rsidRPr="00B508D7">
        <w:t xml:space="preserve"> or committed to.</w:t>
      </w:r>
      <w:r w:rsidR="0046101C" w:rsidRPr="00B508D7">
        <w:t xml:space="preserve"> It also</w:t>
      </w:r>
      <w:r w:rsidR="0052421F" w:rsidRPr="00B508D7">
        <w:t xml:space="preserve"> </w:t>
      </w:r>
      <w:r w:rsidR="0046101C" w:rsidRPr="00B508D7">
        <w:t xml:space="preserve">specified the dollar </w:t>
      </w:r>
      <w:r w:rsidR="0052421F" w:rsidRPr="00B508D7">
        <w:t>amounts invested for some</w:t>
      </w:r>
      <w:r w:rsidR="0046101C" w:rsidRPr="00B508D7">
        <w:t>,</w:t>
      </w:r>
      <w:r w:rsidR="0052421F" w:rsidRPr="00B508D7">
        <w:t xml:space="preserve"> but not all</w:t>
      </w:r>
      <w:r w:rsidR="00AC1A46">
        <w:t>,</w:t>
      </w:r>
      <w:r w:rsidR="0052421F" w:rsidRPr="00B508D7">
        <w:t xml:space="preserve"> actions. </w:t>
      </w:r>
    </w:p>
    <w:p w14:paraId="7C84CECE" w14:textId="55AB7B38" w:rsidR="00314BEA" w:rsidRDefault="00F67300" w:rsidP="00747A70">
      <w:pPr>
        <w:pStyle w:val="Heading4"/>
      </w:pPr>
      <w:r w:rsidRPr="00FF5923">
        <w:t xml:space="preserve">Jurisdictional annual reports </w:t>
      </w:r>
      <w:r w:rsidR="006B3F2E" w:rsidRPr="00FF5923">
        <w:t xml:space="preserve">include </w:t>
      </w:r>
      <w:r w:rsidR="008346C0" w:rsidRPr="00FF5923">
        <w:t>little input from</w:t>
      </w:r>
      <w:r w:rsidR="00883568" w:rsidRPr="00FF5923">
        <w:t xml:space="preserve"> </w:t>
      </w:r>
      <w:r w:rsidR="00243B06" w:rsidRPr="00FF5923">
        <w:t>Aboriginal and Torres Strait Islander partners</w:t>
      </w:r>
      <w:r w:rsidR="008346C0" w:rsidRPr="00700529">
        <w:t xml:space="preserve"> </w:t>
      </w:r>
      <w:r w:rsidR="009F1C86" w:rsidRPr="00700529">
        <w:t>that reflects their assessment of progress</w:t>
      </w:r>
    </w:p>
    <w:p w14:paraId="51E4F413" w14:textId="0E539D94" w:rsidR="00A40FEA" w:rsidRDefault="00F51071" w:rsidP="00176D65">
      <w:pPr>
        <w:pStyle w:val="BodyText"/>
      </w:pPr>
      <w:bookmarkStart w:id="14" w:name="_Hlk139291289"/>
      <w:r>
        <w:t>By and large</w:t>
      </w:r>
      <w:r w:rsidR="000F2D08">
        <w:t xml:space="preserve">, </w:t>
      </w:r>
      <w:r w:rsidR="003F6A57">
        <w:t xml:space="preserve">the annual reports </w:t>
      </w:r>
      <w:r w:rsidR="00812AAE">
        <w:t>focus on</w:t>
      </w:r>
      <w:r w:rsidR="00FB58DE">
        <w:t xml:space="preserve"> highlighting achievements and</w:t>
      </w:r>
      <w:r w:rsidR="00812AAE">
        <w:t xml:space="preserve"> </w:t>
      </w:r>
      <w:r w:rsidR="00F86EBF">
        <w:t xml:space="preserve">listing </w:t>
      </w:r>
      <w:r w:rsidR="00D93F6A">
        <w:t xml:space="preserve">what activities </w:t>
      </w:r>
      <w:r w:rsidR="00582504">
        <w:t xml:space="preserve">have been </w:t>
      </w:r>
      <w:r w:rsidR="007B6357">
        <w:t>undertaken</w:t>
      </w:r>
      <w:r w:rsidR="00590DE2">
        <w:t>.</w:t>
      </w:r>
      <w:r>
        <w:t xml:space="preserve"> </w:t>
      </w:r>
      <w:r w:rsidR="000F1406">
        <w:t xml:space="preserve">Significantly less attention is </w:t>
      </w:r>
      <w:r w:rsidR="00370788">
        <w:t xml:space="preserve">given to </w:t>
      </w:r>
      <w:r w:rsidR="00744518">
        <w:t>descr</w:t>
      </w:r>
      <w:r w:rsidR="0032681B">
        <w:t xml:space="preserve">ibing what </w:t>
      </w:r>
      <w:r w:rsidR="00A84983">
        <w:t xml:space="preserve">has not been delivered </w:t>
      </w:r>
      <w:r w:rsidR="00030902">
        <w:t>or</w:t>
      </w:r>
      <w:r w:rsidR="0025678B">
        <w:t xml:space="preserve"> </w:t>
      </w:r>
      <w:r w:rsidR="0037453B">
        <w:t>areas where there has been little progress.</w:t>
      </w:r>
      <w:r w:rsidR="00030902">
        <w:t xml:space="preserve"> </w:t>
      </w:r>
      <w:bookmarkEnd w:id="14"/>
      <w:r w:rsidR="00881452">
        <w:t>A</w:t>
      </w:r>
      <w:r w:rsidR="002121A4">
        <w:t xml:space="preserve">s </w:t>
      </w:r>
      <w:r w:rsidR="00426DF8">
        <w:t xml:space="preserve">the </w:t>
      </w:r>
      <w:r w:rsidR="00C32D41">
        <w:t xml:space="preserve">Coalition of Peaks </w:t>
      </w:r>
      <w:r w:rsidR="008E5A78">
        <w:t>poin</w:t>
      </w:r>
      <w:r w:rsidR="006F5BE4">
        <w:t>t</w:t>
      </w:r>
      <w:r w:rsidR="002F2273">
        <w:t>ed</w:t>
      </w:r>
      <w:r w:rsidR="006F5BE4">
        <w:t xml:space="preserve"> out </w:t>
      </w:r>
      <w:r w:rsidR="00426DF8">
        <w:t xml:space="preserve">in </w:t>
      </w:r>
      <w:r w:rsidR="00521092">
        <w:t xml:space="preserve">its </w:t>
      </w:r>
      <w:r w:rsidR="00BD38DB">
        <w:t>submission</w:t>
      </w:r>
      <w:r w:rsidR="0039637B">
        <w:t xml:space="preserve"> to the review, this is </w:t>
      </w:r>
      <w:r w:rsidR="0027637E">
        <w:t xml:space="preserve">a </w:t>
      </w:r>
      <w:r w:rsidR="00426DF8">
        <w:t>long</w:t>
      </w:r>
      <w:r w:rsidR="00827859">
        <w:noBreakHyphen/>
      </w:r>
      <w:r w:rsidR="00426DF8">
        <w:t>standing problem</w:t>
      </w:r>
      <w:r w:rsidR="00D77DF2">
        <w:t>.</w:t>
      </w:r>
    </w:p>
    <w:p w14:paraId="4BD9DD29" w14:textId="30A637DE" w:rsidR="00A40FEA" w:rsidRDefault="00F43E94" w:rsidP="00501FD1">
      <w:pPr>
        <w:pStyle w:val="Quote"/>
      </w:pPr>
      <w:r w:rsidRPr="00F43E94">
        <w:t>While intending to outline how governments are implementing and progressing the National Agreement, these documents</w:t>
      </w:r>
      <w:r w:rsidR="006E3CFA">
        <w:t xml:space="preserve"> [implementation plans and annual reports]</w:t>
      </w:r>
      <w:r w:rsidRPr="00F43E94">
        <w:t xml:space="preserve"> are often continuing traditional government practices of highlighting selected achievements while neglecting systemic issues that limit progress.</w:t>
      </w:r>
      <w:r w:rsidR="004D5FEE">
        <w:t xml:space="preserve"> </w:t>
      </w:r>
      <w:r w:rsidR="004D5FEE" w:rsidRPr="003C745C">
        <w:t>(</w:t>
      </w:r>
      <w:r w:rsidR="006F23D4" w:rsidRPr="003C745C">
        <w:t>s</w:t>
      </w:r>
      <w:r w:rsidR="004D5FEE" w:rsidRPr="003C745C">
        <w:t>ub</w:t>
      </w:r>
      <w:r w:rsidR="001322E1" w:rsidRPr="003C745C">
        <w:t>.</w:t>
      </w:r>
      <w:r w:rsidR="005634D7">
        <w:t> </w:t>
      </w:r>
      <w:r w:rsidR="004D5FEE" w:rsidRPr="003C745C">
        <w:t>25, p</w:t>
      </w:r>
      <w:r w:rsidR="001322E1" w:rsidRPr="003C745C">
        <w:t>.</w:t>
      </w:r>
      <w:r w:rsidR="005634D7">
        <w:t> </w:t>
      </w:r>
      <w:r w:rsidR="008B0E79" w:rsidRPr="003C745C">
        <w:t>4</w:t>
      </w:r>
      <w:r w:rsidR="004D5FEE">
        <w:t>)</w:t>
      </w:r>
    </w:p>
    <w:p w14:paraId="24B8D7CF" w14:textId="6CBF0F8D" w:rsidR="002C7E88" w:rsidRDefault="003A48D6" w:rsidP="00B25935">
      <w:pPr>
        <w:pStyle w:val="BodyText"/>
      </w:pPr>
      <w:r>
        <w:t>T</w:t>
      </w:r>
      <w:r w:rsidR="00AB2FA4">
        <w:t>he credibility of annual reports i</w:t>
      </w:r>
      <w:r w:rsidR="00BA3619">
        <w:t>s</w:t>
      </w:r>
      <w:r w:rsidR="00AB2FA4">
        <w:t xml:space="preserve"> improved whe</w:t>
      </w:r>
      <w:r w:rsidR="005E4DC9">
        <w:t xml:space="preserve">n they </w:t>
      </w:r>
      <w:r w:rsidR="00080734">
        <w:t>provide a balanced</w:t>
      </w:r>
      <w:r w:rsidR="002722E6">
        <w:t xml:space="preserve"> representation of performance that </w:t>
      </w:r>
      <w:r w:rsidR="00A94AAE">
        <w:t xml:space="preserve">discloses </w:t>
      </w:r>
      <w:r w:rsidR="008D2300">
        <w:t>shortcoming</w:t>
      </w:r>
      <w:r w:rsidR="00A94AAE">
        <w:t>s</w:t>
      </w:r>
      <w:r w:rsidR="008D2300">
        <w:t xml:space="preserve"> and explain</w:t>
      </w:r>
      <w:r w:rsidR="00264EEE">
        <w:t>s</w:t>
      </w:r>
      <w:r w:rsidR="008D2300">
        <w:t xml:space="preserve"> </w:t>
      </w:r>
      <w:r w:rsidR="00AF29A9">
        <w:t>how they will be addressed</w:t>
      </w:r>
      <w:r w:rsidR="0036398E">
        <w:t xml:space="preserve"> </w:t>
      </w:r>
      <w:r w:rsidR="00D63EEA" w:rsidRPr="00D63EEA">
        <w:rPr>
          <w:rFonts w:ascii="Arial" w:hAnsi="Arial" w:cs="Arial"/>
          <w:szCs w:val="24"/>
        </w:rPr>
        <w:t>(ANAO 2004, p. 39)</w:t>
      </w:r>
      <w:r w:rsidR="00AF29A9">
        <w:t>.</w:t>
      </w:r>
      <w:r w:rsidR="009379ED">
        <w:t xml:space="preserve"> </w:t>
      </w:r>
      <w:r w:rsidR="00090497">
        <w:t xml:space="preserve">In line with this, </w:t>
      </w:r>
      <w:r w:rsidR="00E84123">
        <w:t xml:space="preserve">guidance </w:t>
      </w:r>
      <w:r w:rsidR="003518F8">
        <w:t xml:space="preserve">for Commonwealth entities </w:t>
      </w:r>
      <w:r w:rsidR="00E74DDF">
        <w:t>on how to prepare their annual performance statements</w:t>
      </w:r>
      <w:r w:rsidR="005F3EA2">
        <w:t xml:space="preserve"> (under the Public Governance</w:t>
      </w:r>
      <w:r w:rsidR="00A9444A">
        <w:t>, Performance and Accountability ACT 2013)</w:t>
      </w:r>
      <w:r w:rsidR="00E74DDF">
        <w:t xml:space="preserve"> </w:t>
      </w:r>
      <w:r w:rsidR="00C90524">
        <w:t xml:space="preserve">advises </w:t>
      </w:r>
      <w:r w:rsidR="004102A2">
        <w:t xml:space="preserve">that rather than </w:t>
      </w:r>
      <w:r w:rsidR="00D60CA9">
        <w:t xml:space="preserve">only listing specific achievements, </w:t>
      </w:r>
      <w:r w:rsidR="00C90524">
        <w:t xml:space="preserve">they should </w:t>
      </w:r>
      <w:r w:rsidR="00580585">
        <w:t xml:space="preserve">include an informative analysis </w:t>
      </w:r>
      <w:r w:rsidR="00467F5F">
        <w:t xml:space="preserve">of the </w:t>
      </w:r>
      <w:r w:rsidR="00610439">
        <w:t xml:space="preserve">positive and negative factors that have contributed to </w:t>
      </w:r>
      <w:r w:rsidR="00352A0C">
        <w:t>performance</w:t>
      </w:r>
      <w:r w:rsidR="00321213">
        <w:t xml:space="preserve"> </w:t>
      </w:r>
      <w:r w:rsidR="00FB37A4" w:rsidRPr="00FB37A4">
        <w:rPr>
          <w:rFonts w:ascii="Arial" w:hAnsi="Arial" w:cs="Arial"/>
          <w:szCs w:val="24"/>
        </w:rPr>
        <w:t>(Department of Finance 2023)</w:t>
      </w:r>
      <w:r w:rsidR="00352A0C">
        <w:t>.</w:t>
      </w:r>
    </w:p>
    <w:p w14:paraId="42FDE8CF" w14:textId="58803371" w:rsidR="00173F91" w:rsidRDefault="00173F91" w:rsidP="00173F91">
      <w:pPr>
        <w:pStyle w:val="BodyText"/>
      </w:pPr>
      <w:r>
        <w:t xml:space="preserve">Overall, the first annual </w:t>
      </w:r>
      <w:r w:rsidRPr="00D712EB">
        <w:t xml:space="preserve">reports give little account of how the Aboriginal </w:t>
      </w:r>
      <w:r>
        <w:t xml:space="preserve">and Torres Strait Islander partners view the progress that has been made in their jurisdictions. While the Coalition of Peaks’ annual report includes progress updates from each partner, only </w:t>
      </w:r>
      <w:r w:rsidR="00115C61">
        <w:t xml:space="preserve">five </w:t>
      </w:r>
      <w:r>
        <w:t>of the</w:t>
      </w:r>
      <w:r w:rsidR="00115C61">
        <w:t xml:space="preserve"> nine</w:t>
      </w:r>
      <w:r>
        <w:t xml:space="preserve"> jurisdictional annual reports included an opening statement or forward </w:t>
      </w:r>
      <w:r w:rsidR="00C8304B">
        <w:t xml:space="preserve">from </w:t>
      </w:r>
      <w:r>
        <w:t xml:space="preserve">the local Aboriginal and Torres Strait Islander partner. </w:t>
      </w:r>
      <w:r w:rsidR="002B72C4">
        <w:t>T</w:t>
      </w:r>
      <w:r w:rsidR="002B72C4" w:rsidRPr="0085607B">
        <w:t>he inclusion of</w:t>
      </w:r>
      <w:r w:rsidR="002B72C4">
        <w:t xml:space="preserve"> unfiltered</w:t>
      </w:r>
      <w:r w:rsidR="002B72C4" w:rsidRPr="0085607B">
        <w:t xml:space="preserve"> appraisals</w:t>
      </w:r>
      <w:r w:rsidR="002B72C4">
        <w:t xml:space="preserve"> from Aboriginal and Torres Strait Islander </w:t>
      </w:r>
      <w:r w:rsidR="002B72C4" w:rsidRPr="0085607B">
        <w:t xml:space="preserve">partners would </w:t>
      </w:r>
      <w:r w:rsidR="002B72C4">
        <w:t xml:space="preserve">enhance </w:t>
      </w:r>
      <w:r w:rsidR="002B72C4" w:rsidRPr="0085607B">
        <w:t>the credibility of the</w:t>
      </w:r>
      <w:r w:rsidR="002B72C4">
        <w:t xml:space="preserve"> an</w:t>
      </w:r>
      <w:r w:rsidR="002B72C4" w:rsidRPr="004B7A0E">
        <w:t xml:space="preserve">nual reports and </w:t>
      </w:r>
      <w:r w:rsidR="002B72C4" w:rsidRPr="005B3B28">
        <w:t>their usefulness for future planning</w:t>
      </w:r>
      <w:r w:rsidR="002B72C4" w:rsidRPr="004B7A0E">
        <w:t xml:space="preserve">. In addition, allowing partners </w:t>
      </w:r>
      <w:r w:rsidR="002B72C4">
        <w:t xml:space="preserve">to provide early input on the design of the reports </w:t>
      </w:r>
      <w:r w:rsidR="00030C70">
        <w:t xml:space="preserve">is likely </w:t>
      </w:r>
      <w:r w:rsidR="0046063B">
        <w:t>to make them more</w:t>
      </w:r>
      <w:r w:rsidR="002B72C4">
        <w:t xml:space="preserve"> accessible to Aboriginal and Torres Strait Islander people. However, the Agreement does not currently specify </w:t>
      </w:r>
      <w:r w:rsidR="00687526">
        <w:t xml:space="preserve">how and </w:t>
      </w:r>
      <w:r w:rsidR="002B72C4">
        <w:t xml:space="preserve">what </w:t>
      </w:r>
      <w:r w:rsidR="00687526">
        <w:t xml:space="preserve">type </w:t>
      </w:r>
      <w:r w:rsidR="002B72C4">
        <w:t xml:space="preserve">of input Aboriginal and Torres </w:t>
      </w:r>
      <w:r w:rsidR="00687526">
        <w:t>Strait</w:t>
      </w:r>
      <w:r w:rsidR="002B72C4">
        <w:t xml:space="preserve"> Islander partners should </w:t>
      </w:r>
      <w:r w:rsidR="00B92893">
        <w:t>be able to provide.</w:t>
      </w:r>
    </w:p>
    <w:p w14:paraId="7BCA193C" w14:textId="3A9B3167" w:rsidR="0065591F" w:rsidRPr="00A32D0D" w:rsidRDefault="006C293C" w:rsidP="00FF5923">
      <w:pPr>
        <w:pStyle w:val="Heading3"/>
      </w:pPr>
      <w:r>
        <w:t>Improving jurisdictional implementation plans and annual reports</w:t>
      </w:r>
    </w:p>
    <w:p w14:paraId="1BE00ECA" w14:textId="50D4D15F" w:rsidR="00234B4A" w:rsidRDefault="00763624" w:rsidP="00FF5923">
      <w:pPr>
        <w:pStyle w:val="BodyText"/>
      </w:pPr>
      <w:r w:rsidRPr="00845A99">
        <w:t xml:space="preserve">The </w:t>
      </w:r>
      <w:r w:rsidR="00EC4F1E" w:rsidRPr="00845A99">
        <w:t xml:space="preserve">weaknesses of the </w:t>
      </w:r>
      <w:r w:rsidR="007519D4" w:rsidRPr="00845A99">
        <w:t>jurisdictional</w:t>
      </w:r>
      <w:r w:rsidRPr="00845A99">
        <w:t xml:space="preserve"> </w:t>
      </w:r>
      <w:r w:rsidR="00027715" w:rsidRPr="00845A99">
        <w:t xml:space="preserve">implementation plans and annual reports </w:t>
      </w:r>
      <w:r w:rsidR="0049506D" w:rsidRPr="00845A99">
        <w:t>undermines their</w:t>
      </w:r>
      <w:r w:rsidR="00DD6269" w:rsidRPr="00845A99">
        <w:t xml:space="preserve"> </w:t>
      </w:r>
      <w:r w:rsidR="004267D1">
        <w:t>intended</w:t>
      </w:r>
      <w:r w:rsidR="003A48D6" w:rsidRPr="00845A99">
        <w:t xml:space="preserve"> </w:t>
      </w:r>
      <w:r w:rsidR="00DD6269" w:rsidRPr="00845A99">
        <w:t xml:space="preserve">purpose to </w:t>
      </w:r>
      <w:r w:rsidR="00DA6E9E" w:rsidRPr="00845A99">
        <w:t xml:space="preserve">support </w:t>
      </w:r>
      <w:r w:rsidR="0049506D" w:rsidRPr="00845A99">
        <w:t xml:space="preserve">accountability </w:t>
      </w:r>
      <w:r w:rsidR="00DA6E9E" w:rsidRPr="00845A99">
        <w:t xml:space="preserve">and </w:t>
      </w:r>
      <w:r w:rsidR="008C1EE8" w:rsidRPr="00845A99">
        <w:t xml:space="preserve">drive actions to </w:t>
      </w:r>
      <w:r w:rsidR="008C1EE8">
        <w:t>improve outcomes for Aboriginal and Torres Strait Islander people.</w:t>
      </w:r>
      <w:r w:rsidR="003933AC">
        <w:t xml:space="preserve"> </w:t>
      </w:r>
      <w:r w:rsidR="0023588F">
        <w:t>The community needs to be able to clearly see how the actions in the implementation plan</w:t>
      </w:r>
      <w:r w:rsidR="002145FF">
        <w:t>s</w:t>
      </w:r>
      <w:r w:rsidR="0023588F">
        <w:t xml:space="preserve"> will collectively lead to delivering </w:t>
      </w:r>
      <w:r w:rsidR="00743089">
        <w:t xml:space="preserve">on the objectives of the </w:t>
      </w:r>
      <w:r w:rsidR="0023588F">
        <w:t xml:space="preserve">Agreement. </w:t>
      </w:r>
      <w:r w:rsidR="002145FF">
        <w:t>A</w:t>
      </w:r>
      <w:r w:rsidR="004D3376">
        <w:t xml:space="preserve">nnual reports need to </w:t>
      </w:r>
      <w:r w:rsidR="002B1600">
        <w:t xml:space="preserve">provide an accurate and </w:t>
      </w:r>
      <w:r w:rsidR="00703BB9">
        <w:t>balanced</w:t>
      </w:r>
      <w:r w:rsidR="002B1600">
        <w:t xml:space="preserve"> account of what has and hasn’t progressed and why.</w:t>
      </w:r>
      <w:r w:rsidR="00C544DC">
        <w:t xml:space="preserve"> </w:t>
      </w:r>
      <w:r w:rsidR="0023588F">
        <w:t xml:space="preserve">The Commission is seeking suggestions for how to ensure that governments’ implementation plans and annual reports substantively meet the requirements set out in the Agreement (information request </w:t>
      </w:r>
      <w:r w:rsidR="001F1115">
        <w:t>8</w:t>
      </w:r>
      <w:r w:rsidR="0023588F">
        <w:t xml:space="preserve">). </w:t>
      </w:r>
      <w:r w:rsidR="000E57C0">
        <w:t xml:space="preserve">Information </w:t>
      </w:r>
      <w:r w:rsidR="00F562A7">
        <w:t>paper 8</w:t>
      </w:r>
      <w:r w:rsidR="00F41ED7">
        <w:t xml:space="preserve"> </w:t>
      </w:r>
      <w:r w:rsidR="00336F28">
        <w:t>considers</w:t>
      </w:r>
      <w:r w:rsidR="000A5D6E">
        <w:t xml:space="preserve"> how </w:t>
      </w:r>
      <w:r w:rsidR="000A5D6E">
        <w:lastRenderedPageBreak/>
        <w:t xml:space="preserve">the Agreement’s </w:t>
      </w:r>
      <w:r w:rsidR="001030C5">
        <w:t xml:space="preserve">accountability mechanisms can be strengthened, including </w:t>
      </w:r>
      <w:r w:rsidR="00137BD5">
        <w:t>w</w:t>
      </w:r>
      <w:r w:rsidR="006153A8">
        <w:t xml:space="preserve">ays to </w:t>
      </w:r>
      <w:r w:rsidR="00EA180E">
        <w:t xml:space="preserve">provide greater transparency of </w:t>
      </w:r>
      <w:r w:rsidR="00AA5BDD">
        <w:t>the actions being taken to implement the Agreement.</w:t>
      </w:r>
    </w:p>
    <w:p w14:paraId="0DFF0311" w14:textId="06260C79" w:rsidR="00210259" w:rsidRDefault="00210259" w:rsidP="00054C30">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82"/>
        <w:gridCol w:w="8856"/>
      </w:tblGrid>
      <w:tr w:rsidR="00210259" w14:paraId="78EC475F" w14:textId="77777777" w:rsidTr="000106E6">
        <w:trPr>
          <w:trHeight w:val="765"/>
          <w:tblHeader/>
        </w:trPr>
        <w:tc>
          <w:tcPr>
            <w:tcW w:w="366" w:type="pct"/>
            <w:shd w:val="clear" w:color="auto" w:fill="FBF3EC"/>
            <w:tcMar>
              <w:bottom w:w="0" w:type="dxa"/>
            </w:tcMar>
            <w:vAlign w:val="center"/>
          </w:tcPr>
          <w:p w14:paraId="0B255D40" w14:textId="4FF35999" w:rsidR="00210259" w:rsidRDefault="000106E6" w:rsidP="008F4890">
            <w:pPr>
              <w:pStyle w:val="NoSpacing"/>
              <w:keepNext/>
              <w:keepLines/>
              <w:jc w:val="right"/>
            </w:pPr>
            <w:r w:rsidRPr="00A51374">
              <w:rPr>
                <w:noProof/>
              </w:rPr>
              <w:drawing>
                <wp:inline distT="0" distB="0" distL="0" distR="0" wp14:anchorId="45C12ABC" wp14:editId="1E913FAC">
                  <wp:extent cx="359508" cy="359508"/>
                  <wp:effectExtent l="0" t="0" r="0" b="0"/>
                  <wp:docPr id="1427073464" name="Picture 1427073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0844" name="Graphic 208990844">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8140" cy="368140"/>
                          </a:xfrm>
                          <a:prstGeom prst="rect">
                            <a:avLst/>
                          </a:prstGeom>
                        </pic:spPr>
                      </pic:pic>
                    </a:graphicData>
                  </a:graphic>
                </wp:inline>
              </w:drawing>
            </w:r>
          </w:p>
        </w:tc>
        <w:tc>
          <w:tcPr>
            <w:tcW w:w="4634" w:type="pct"/>
            <w:shd w:val="clear" w:color="auto" w:fill="FBF3EC"/>
            <w:tcMar>
              <w:bottom w:w="0" w:type="dxa"/>
            </w:tcMar>
            <w:vAlign w:val="center"/>
          </w:tcPr>
          <w:p w14:paraId="6B1BC916" w14:textId="77777777" w:rsidR="000106E6" w:rsidRPr="000106E6" w:rsidRDefault="000106E6" w:rsidP="000106E6">
            <w:pPr>
              <w:pStyle w:val="TableHeading"/>
              <w:keepNext/>
              <w:keepLines/>
              <w:spacing w:before="120"/>
              <w:contextualSpacing/>
              <w:rPr>
                <w:color w:val="0D8380" w:themeColor="background2"/>
                <w:sz w:val="20"/>
                <w:szCs w:val="22"/>
              </w:rPr>
            </w:pPr>
            <w:r w:rsidRPr="000106E6">
              <w:rPr>
                <w:color w:val="0D8380" w:themeColor="background2"/>
                <w:sz w:val="20"/>
                <w:szCs w:val="22"/>
              </w:rPr>
              <w:t>Information request 8</w:t>
            </w:r>
          </w:p>
          <w:p w14:paraId="33770AF6" w14:textId="23FE4B34" w:rsidR="00210259" w:rsidRPr="002530FF" w:rsidRDefault="000106E6" w:rsidP="000106E6">
            <w:pPr>
              <w:pStyle w:val="TableHeading"/>
              <w:keepNext/>
              <w:keepLines/>
              <w:spacing w:before="120" w:after="120"/>
              <w:contextualSpacing/>
              <w:rPr>
                <w:sz w:val="20"/>
              </w:rPr>
            </w:pPr>
            <w:r w:rsidRPr="000106E6">
              <w:rPr>
                <w:color w:val="0D8380" w:themeColor="background2"/>
                <w:sz w:val="20"/>
                <w:szCs w:val="22"/>
              </w:rPr>
              <w:t>Quality of implementation plans and annual reports</w:t>
            </w:r>
          </w:p>
        </w:tc>
      </w:tr>
      <w:tr w:rsidR="00210259" w14:paraId="57574682" w14:textId="77777777" w:rsidTr="000106E6">
        <w:tc>
          <w:tcPr>
            <w:tcW w:w="5000" w:type="pct"/>
            <w:gridSpan w:val="2"/>
            <w:shd w:val="clear" w:color="auto" w:fill="FBF3EC"/>
          </w:tcPr>
          <w:p w14:paraId="3E39C907" w14:textId="77777777" w:rsidR="000106E6" w:rsidRPr="000106E6" w:rsidRDefault="000106E6" w:rsidP="000106E6">
            <w:pPr>
              <w:pStyle w:val="BodyText"/>
              <w:keepNext/>
              <w:keepLines/>
              <w:rPr>
                <w:color w:val="000000" w:themeColor="text1"/>
              </w:rPr>
            </w:pPr>
            <w:r w:rsidRPr="000106E6">
              <w:rPr>
                <w:color w:val="000000" w:themeColor="text1"/>
              </w:rPr>
              <w:t>Clauses 108 and 118 of the Agreement include clear criteria on how implementation plans and annual reports should be prepared and what they should include. This includes that implementation plans:</w:t>
            </w:r>
          </w:p>
          <w:p w14:paraId="49E1EDEE" w14:textId="77777777" w:rsidR="000106E6" w:rsidRPr="000106E6" w:rsidRDefault="000106E6" w:rsidP="000106E6">
            <w:pPr>
              <w:pStyle w:val="ListBullet"/>
              <w:rPr>
                <w:color w:val="000000" w:themeColor="text1"/>
              </w:rPr>
            </w:pPr>
            <w:r w:rsidRPr="000106E6">
              <w:rPr>
                <w:color w:val="000000" w:themeColor="text1"/>
              </w:rPr>
              <w:t>are whole</w:t>
            </w:r>
            <w:r w:rsidRPr="000106E6">
              <w:rPr>
                <w:color w:val="000000" w:themeColor="text1"/>
              </w:rPr>
              <w:noBreakHyphen/>
              <w:t>of</w:t>
            </w:r>
            <w:r w:rsidRPr="000106E6">
              <w:rPr>
                <w:color w:val="000000" w:themeColor="text1"/>
              </w:rPr>
              <w:noBreakHyphen/>
              <w:t>government plans</w:t>
            </w:r>
          </w:p>
          <w:p w14:paraId="7B719BDF" w14:textId="77777777" w:rsidR="000106E6" w:rsidRPr="000106E6" w:rsidRDefault="000106E6" w:rsidP="000106E6">
            <w:pPr>
              <w:pStyle w:val="ListBullet"/>
              <w:rPr>
                <w:color w:val="000000" w:themeColor="text1"/>
              </w:rPr>
            </w:pPr>
            <w:r w:rsidRPr="000106E6">
              <w:rPr>
                <w:color w:val="000000" w:themeColor="text1"/>
              </w:rPr>
              <w:t>are developed and delivered in partnership with Aboriginal and Torres Strait Islander partners</w:t>
            </w:r>
          </w:p>
          <w:p w14:paraId="5075C71A" w14:textId="77777777" w:rsidR="000106E6" w:rsidRPr="000106E6" w:rsidRDefault="000106E6" w:rsidP="000106E6">
            <w:pPr>
              <w:pStyle w:val="ListBullet"/>
              <w:rPr>
                <w:color w:val="000000" w:themeColor="text1"/>
              </w:rPr>
            </w:pPr>
            <w:r w:rsidRPr="000106E6">
              <w:rPr>
                <w:color w:val="000000" w:themeColor="text1"/>
              </w:rPr>
              <w:t>set out how existing policies and programs will be aligned to the Agreement</w:t>
            </w:r>
          </w:p>
          <w:p w14:paraId="51640B7C" w14:textId="77777777" w:rsidR="000106E6" w:rsidRPr="000106E6" w:rsidRDefault="000106E6" w:rsidP="000106E6">
            <w:pPr>
              <w:pStyle w:val="ListBullet"/>
              <w:rPr>
                <w:color w:val="000000" w:themeColor="text1"/>
              </w:rPr>
            </w:pPr>
            <w:r w:rsidRPr="000106E6">
              <w:rPr>
                <w:color w:val="000000" w:themeColor="text1"/>
              </w:rPr>
              <w:t>set out actions to achieve the Priority Reforms, socio</w:t>
            </w:r>
            <w:r w:rsidRPr="000106E6">
              <w:rPr>
                <w:color w:val="000000" w:themeColor="text1"/>
              </w:rPr>
              <w:noBreakHyphen/>
              <w:t>economic outcomes and targets</w:t>
            </w:r>
          </w:p>
          <w:p w14:paraId="06196220" w14:textId="77777777" w:rsidR="000106E6" w:rsidRPr="000106E6" w:rsidRDefault="000106E6" w:rsidP="000106E6">
            <w:pPr>
              <w:pStyle w:val="ListBullet"/>
              <w:rPr>
                <w:color w:val="000000" w:themeColor="text1"/>
              </w:rPr>
            </w:pPr>
            <w:r w:rsidRPr="000106E6">
              <w:rPr>
                <w:color w:val="000000" w:themeColor="text1"/>
              </w:rPr>
              <w:t>include information on funding and timeframes for actions</w:t>
            </w:r>
          </w:p>
          <w:p w14:paraId="16D62372" w14:textId="77777777" w:rsidR="000106E6" w:rsidRPr="000106E6" w:rsidRDefault="000106E6" w:rsidP="000106E6">
            <w:pPr>
              <w:pStyle w:val="BodyText"/>
              <w:keepNext/>
              <w:keepLines/>
              <w:rPr>
                <w:color w:val="000000" w:themeColor="text1"/>
              </w:rPr>
            </w:pPr>
            <w:r w:rsidRPr="000106E6">
              <w:rPr>
                <w:color w:val="000000" w:themeColor="text1"/>
              </w:rPr>
              <w:t>The plans must also demonstrate the parties’ commitment to undertake all actions in a way that takes full account of and promotes the cultures of Aboriginal and Torres Strait Islander people.</w:t>
            </w:r>
          </w:p>
          <w:p w14:paraId="301A7A45" w14:textId="77777777" w:rsidR="000106E6" w:rsidRPr="000106E6" w:rsidRDefault="000106E6" w:rsidP="000106E6">
            <w:pPr>
              <w:pStyle w:val="BodyText"/>
              <w:keepNext/>
              <w:keepLines/>
              <w:rPr>
                <w:color w:val="000000" w:themeColor="text1"/>
                <w:sz w:val="22"/>
                <w:szCs w:val="22"/>
              </w:rPr>
            </w:pPr>
            <w:r w:rsidRPr="000106E6">
              <w:rPr>
                <w:color w:val="000000" w:themeColor="text1"/>
              </w:rPr>
              <w:t>Annual reports should demonstrate how efforts, investment and actions are aligned and support the achievement of Closing the Gap goals.</w:t>
            </w:r>
          </w:p>
          <w:p w14:paraId="02D18934" w14:textId="77777777" w:rsidR="000106E6" w:rsidRPr="003243CB" w:rsidRDefault="000106E6" w:rsidP="000106E6">
            <w:pPr>
              <w:pStyle w:val="BodyText"/>
              <w:keepNext/>
              <w:keepLines/>
              <w:rPr>
                <w:color w:val="000000" w:themeColor="text1"/>
                <w:spacing w:val="-2"/>
              </w:rPr>
            </w:pPr>
            <w:r w:rsidRPr="003243CB">
              <w:rPr>
                <w:color w:val="000000" w:themeColor="text1"/>
                <w:spacing w:val="-2"/>
              </w:rPr>
              <w:t xml:space="preserve">Jurisdictions are not consistently preparing implementation plans and annual reports that meet these criteria. Current implementation plans list hundreds of piecemeal actions with, for the most part, no explanation of how the agreed actions are expected to result in the desired change. Annual reports do not include all the actions in implementation plans so there is no way to track progress or judge success or failure. </w:t>
            </w:r>
          </w:p>
          <w:p w14:paraId="1B7AF6B5" w14:textId="3B894517" w:rsidR="00210259" w:rsidRDefault="000106E6" w:rsidP="000106E6">
            <w:pPr>
              <w:pStyle w:val="BodyText"/>
              <w:keepNext/>
              <w:keepLines/>
            </w:pPr>
            <w:r w:rsidRPr="000106E6">
              <w:rPr>
                <w:color w:val="000000" w:themeColor="text1"/>
              </w:rPr>
              <w:t>The Commission is seeking further information on how to improve the quality of governments’ implementation plans and annual reports, and what is needed for governments to prepare the plans and reports according to the agreed criteria. Could this include a function for an external group (such as the independent mechanism) to assess adherence to the criteria?</w:t>
            </w:r>
          </w:p>
        </w:tc>
      </w:tr>
      <w:tr w:rsidR="00210259" w14:paraId="00C53C27" w14:textId="77777777" w:rsidTr="00054C30">
        <w:tc>
          <w:tcPr>
            <w:tcW w:w="5000" w:type="pct"/>
            <w:gridSpan w:val="2"/>
            <w:tcMar>
              <w:bottom w:w="0" w:type="dxa"/>
            </w:tcMar>
          </w:tcPr>
          <w:p w14:paraId="4A38D160" w14:textId="7CB94429" w:rsidR="00210259" w:rsidRDefault="00210259" w:rsidP="008F4890">
            <w:pPr>
              <w:pStyle w:val="NoSpacing"/>
              <w:spacing w:line="200" w:lineRule="atLeast"/>
            </w:pPr>
          </w:p>
        </w:tc>
      </w:tr>
    </w:tbl>
    <w:p w14:paraId="00B5C62E" w14:textId="77777777" w:rsidR="00EC2600" w:rsidRDefault="00EC2600" w:rsidP="005B3B28">
      <w:pPr>
        <w:spacing w:before="0" w:after="160" w:line="259" w:lineRule="auto"/>
        <w:sectPr w:rsidR="00EC2600" w:rsidSect="00377261">
          <w:headerReference w:type="even" r:id="rId22"/>
          <w:headerReference w:type="default" r:id="rId23"/>
          <w:footerReference w:type="even" r:id="rId24"/>
          <w:footerReference w:type="default" r:id="rId25"/>
          <w:pgSz w:w="11906" w:h="16838" w:code="9"/>
          <w:pgMar w:top="1134" w:right="1134" w:bottom="1134" w:left="1134" w:header="794" w:footer="510" w:gutter="0"/>
          <w:cols w:space="708"/>
          <w:titlePg/>
          <w:docGrid w:linePitch="360"/>
        </w:sectPr>
      </w:pPr>
    </w:p>
    <w:p w14:paraId="52B31724" w14:textId="0B8B7408" w:rsidR="008B1704" w:rsidRDefault="00E07E80" w:rsidP="005B3B28">
      <w:pPr>
        <w:pStyle w:val="Heading2-nonumber"/>
      </w:pPr>
      <w:bookmarkStart w:id="15" w:name="_Toc140484721"/>
      <w:r>
        <w:lastRenderedPageBreak/>
        <w:t>A</w:t>
      </w:r>
      <w:r w:rsidR="000E3236">
        <w:t>ttach</w:t>
      </w:r>
      <w:r w:rsidR="007B0C7A">
        <w:t xml:space="preserve">ment </w:t>
      </w:r>
      <w:r>
        <w:t>A</w:t>
      </w:r>
      <w:r w:rsidR="006D2789">
        <w:t xml:space="preserve"> </w:t>
      </w:r>
      <w:r w:rsidR="00827859">
        <w:noBreakHyphen/>
      </w:r>
      <w:r w:rsidR="006D2789">
        <w:t xml:space="preserve"> The Agreement’s outcomes and targets</w:t>
      </w:r>
      <w:bookmarkEnd w:id="15"/>
    </w:p>
    <w:tbl>
      <w:tblPr>
        <w:tblStyle w:val="ProductivityCommissionTable1"/>
        <w:tblW w:w="14571" w:type="dxa"/>
        <w:tblLayout w:type="fixed"/>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68"/>
        <w:gridCol w:w="5783"/>
        <w:gridCol w:w="6520"/>
      </w:tblGrid>
      <w:tr w:rsidR="00A07FBE" w:rsidRPr="00030C67" w14:paraId="582AC2A1" w14:textId="77777777" w:rsidTr="008B4E8D">
        <w:trPr>
          <w:cnfStyle w:val="100000000000" w:firstRow="1" w:lastRow="0" w:firstColumn="0" w:lastColumn="0" w:oddVBand="0" w:evenVBand="0" w:oddHBand="0" w:evenHBand="0" w:firstRowFirstColumn="0" w:firstRowLastColumn="0" w:lastRowFirstColumn="0" w:lastRowLastColumn="0"/>
          <w:trHeight w:val="376"/>
          <w:tblHeader/>
        </w:trPr>
        <w:tc>
          <w:tcPr>
            <w:cnfStyle w:val="001000000000" w:firstRow="0" w:lastRow="0" w:firstColumn="1" w:lastColumn="0" w:oddVBand="0" w:evenVBand="0" w:oddHBand="0" w:evenHBand="0" w:firstRowFirstColumn="0" w:firstRowLastColumn="0" w:lastRowFirstColumn="0" w:lastRowLastColumn="0"/>
            <w:tcW w:w="2268" w:type="dxa"/>
            <w:tcBorders>
              <w:top w:val="nil"/>
              <w:bottom w:val="single" w:sz="4" w:space="0" w:color="CB6027" w:themeColor="text2"/>
            </w:tcBorders>
          </w:tcPr>
          <w:p w14:paraId="3B8BB09F" w14:textId="77777777" w:rsidR="008B1704" w:rsidRPr="00E04A4F" w:rsidRDefault="008B1704" w:rsidP="00843D89">
            <w:pPr>
              <w:spacing w:before="20" w:after="20"/>
              <w:ind w:right="108"/>
              <w:rPr>
                <w:rFonts w:ascii="Arial (Body)" w:hAnsi="Arial (Body)"/>
                <w:bCs/>
                <w:color w:val="265A9A"/>
              </w:rPr>
            </w:pPr>
          </w:p>
        </w:tc>
        <w:tc>
          <w:tcPr>
            <w:tcW w:w="5783" w:type="dxa"/>
            <w:tcBorders>
              <w:top w:val="nil"/>
              <w:bottom w:val="single" w:sz="4" w:space="0" w:color="CB6027" w:themeColor="text2"/>
            </w:tcBorders>
          </w:tcPr>
          <w:p w14:paraId="790396DB" w14:textId="2C61E0B0" w:rsidR="008B1704" w:rsidRPr="00E04A4F" w:rsidRDefault="008B1704" w:rsidP="00843D89">
            <w:pPr>
              <w:pStyle w:val="TableHeading"/>
              <w:spacing w:before="20"/>
              <w:cnfStyle w:val="100000000000" w:firstRow="1" w:lastRow="0" w:firstColumn="0" w:lastColumn="0" w:oddVBand="0" w:evenVBand="0" w:oddHBand="0" w:evenHBand="0" w:firstRowFirstColumn="0" w:firstRowLastColumn="0" w:lastRowFirstColumn="0" w:lastRowLastColumn="0"/>
              <w:rPr>
                <w:b/>
                <w:bCs/>
              </w:rPr>
            </w:pPr>
            <w:r w:rsidRPr="00E04A4F">
              <w:rPr>
                <w:b/>
                <w:bCs/>
              </w:rPr>
              <w:t>Outcome</w:t>
            </w:r>
            <w:r w:rsidR="009C12FE" w:rsidRPr="00E04A4F">
              <w:rPr>
                <w:b/>
                <w:bCs/>
              </w:rPr>
              <w:t xml:space="preserve"> statement</w:t>
            </w:r>
          </w:p>
        </w:tc>
        <w:tc>
          <w:tcPr>
            <w:tcW w:w="6520" w:type="dxa"/>
            <w:tcBorders>
              <w:top w:val="nil"/>
              <w:bottom w:val="single" w:sz="4" w:space="0" w:color="CB6027" w:themeColor="text2"/>
            </w:tcBorders>
          </w:tcPr>
          <w:p w14:paraId="19BF3A42" w14:textId="11262354" w:rsidR="008B1704" w:rsidRPr="00E04A4F" w:rsidRDefault="008B1704" w:rsidP="00843D89">
            <w:pPr>
              <w:pStyle w:val="TableHeading"/>
              <w:spacing w:before="20"/>
              <w:cnfStyle w:val="100000000000" w:firstRow="1" w:lastRow="0" w:firstColumn="0" w:lastColumn="0" w:oddVBand="0" w:evenVBand="0" w:oddHBand="0" w:evenHBand="0" w:firstRowFirstColumn="0" w:firstRowLastColumn="0" w:lastRowFirstColumn="0" w:lastRowLastColumn="0"/>
              <w:rPr>
                <w:b/>
                <w:bCs/>
              </w:rPr>
            </w:pPr>
            <w:r w:rsidRPr="00E04A4F">
              <w:rPr>
                <w:b/>
                <w:bCs/>
              </w:rPr>
              <w:t>Target</w:t>
            </w:r>
            <w:r w:rsidR="001534E0" w:rsidRPr="00E04A4F">
              <w:rPr>
                <w:b/>
                <w:bCs/>
              </w:rPr>
              <w:t>s</w:t>
            </w:r>
          </w:p>
        </w:tc>
      </w:tr>
      <w:tr w:rsidR="003D1763" w:rsidRPr="00030C67" w14:paraId="40F3DE54" w14:textId="77777777" w:rsidTr="000106E6">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CB6027" w:themeColor="text2"/>
              <w:bottom w:val="dotted" w:sz="4" w:space="0" w:color="CB6027" w:themeColor="text2"/>
            </w:tcBorders>
            <w:shd w:val="clear" w:color="auto" w:fill="FBF3EC"/>
          </w:tcPr>
          <w:p w14:paraId="4A5E752D" w14:textId="77777777" w:rsidR="00373F7F" w:rsidRPr="00A07FBE" w:rsidRDefault="008B1704" w:rsidP="00843D89">
            <w:pPr>
              <w:pStyle w:val="TableHeading"/>
              <w:spacing w:before="20"/>
              <w:rPr>
                <w:b/>
                <w:bCs/>
              </w:rPr>
            </w:pPr>
            <w:r w:rsidRPr="00A07FBE">
              <w:rPr>
                <w:b/>
                <w:bCs/>
              </w:rPr>
              <w:t>Priority Reform</w:t>
            </w:r>
            <w:r w:rsidR="00F93FA2" w:rsidRPr="00A07FBE">
              <w:rPr>
                <w:b/>
                <w:bCs/>
              </w:rPr>
              <w:t xml:space="preserve"> 1</w:t>
            </w:r>
          </w:p>
          <w:p w14:paraId="7B796D5B" w14:textId="12E686D3" w:rsidR="008B1704" w:rsidRPr="00A07FBE" w:rsidRDefault="00373F7F" w:rsidP="00843D89">
            <w:pPr>
              <w:pStyle w:val="TableHeading"/>
              <w:spacing w:before="20"/>
              <w:rPr>
                <w:i/>
                <w:iCs/>
              </w:rPr>
            </w:pPr>
            <w:r w:rsidRPr="00A07FBE">
              <w:rPr>
                <w:i/>
                <w:iCs/>
              </w:rPr>
              <w:t xml:space="preserve">Formal </w:t>
            </w:r>
            <w:r w:rsidR="003D1763">
              <w:rPr>
                <w:i/>
                <w:iCs/>
              </w:rPr>
              <w:t>p</w:t>
            </w:r>
            <w:r w:rsidRPr="00A07FBE">
              <w:rPr>
                <w:i/>
                <w:iCs/>
              </w:rPr>
              <w:t xml:space="preserve">artnerships and </w:t>
            </w:r>
            <w:r w:rsidR="003D1763">
              <w:rPr>
                <w:i/>
                <w:iCs/>
              </w:rPr>
              <w:t>s</w:t>
            </w:r>
            <w:r w:rsidRPr="00A07FBE">
              <w:rPr>
                <w:i/>
                <w:iCs/>
              </w:rPr>
              <w:t xml:space="preserve">hared </w:t>
            </w:r>
            <w:r w:rsidR="003D1763">
              <w:rPr>
                <w:i/>
                <w:iCs/>
              </w:rPr>
              <w:t>d</w:t>
            </w:r>
            <w:r w:rsidRPr="00A07FBE">
              <w:rPr>
                <w:i/>
                <w:iCs/>
              </w:rPr>
              <w:t>ecision</w:t>
            </w:r>
            <w:r w:rsidR="00827859">
              <w:rPr>
                <w:i/>
                <w:iCs/>
              </w:rPr>
              <w:noBreakHyphen/>
            </w:r>
            <w:r w:rsidR="003D1763">
              <w:rPr>
                <w:i/>
                <w:iCs/>
              </w:rPr>
              <w:t>m</w:t>
            </w:r>
            <w:r w:rsidRPr="00A07FBE">
              <w:rPr>
                <w:i/>
                <w:iCs/>
              </w:rPr>
              <w:t>aking</w:t>
            </w:r>
          </w:p>
        </w:tc>
        <w:tc>
          <w:tcPr>
            <w:tcW w:w="5783" w:type="dxa"/>
            <w:tcBorders>
              <w:top w:val="single" w:sz="4" w:space="0" w:color="CB6027" w:themeColor="text2"/>
              <w:bottom w:val="dotted" w:sz="4" w:space="0" w:color="CB6027" w:themeColor="text2"/>
            </w:tcBorders>
            <w:shd w:val="clear" w:color="auto" w:fill="FBF3EC"/>
          </w:tcPr>
          <w:p w14:paraId="7C653836" w14:textId="085EA98F" w:rsidR="008B1704" w:rsidRPr="007C21CA" w:rsidRDefault="005169FE" w:rsidP="00843D89">
            <w:pPr>
              <w:pStyle w:val="TableBody"/>
              <w:spacing w:before="20" w:line="270" w:lineRule="atLeast"/>
              <w:cnfStyle w:val="000000100000" w:firstRow="0" w:lastRow="0" w:firstColumn="0" w:lastColumn="0" w:oddVBand="0" w:evenVBand="0" w:oddHBand="1" w:evenHBand="0" w:firstRowFirstColumn="0" w:firstRowLastColumn="0" w:lastRowFirstColumn="0" w:lastRowLastColumn="0"/>
            </w:pPr>
            <w:r w:rsidRPr="007C21CA">
              <w:t>Aboriginal and Torres Strait Islander people are empowered to share decision</w:t>
            </w:r>
            <w:r w:rsidR="00827859">
              <w:noBreakHyphen/>
            </w:r>
            <w:r w:rsidRPr="007C21CA">
              <w:t>making authority with governments to accelerate policy and place</w:t>
            </w:r>
            <w:r w:rsidR="00827859">
              <w:noBreakHyphen/>
            </w:r>
            <w:r w:rsidRPr="007C21CA">
              <w:t>based progress on Closing the Gap through formal partnership arrangements</w:t>
            </w:r>
            <w:r w:rsidR="001A1C7A">
              <w:t>.</w:t>
            </w:r>
          </w:p>
        </w:tc>
        <w:tc>
          <w:tcPr>
            <w:tcW w:w="6520" w:type="dxa"/>
            <w:tcBorders>
              <w:top w:val="single" w:sz="4" w:space="0" w:color="CB6027" w:themeColor="text2"/>
              <w:bottom w:val="dotted" w:sz="4" w:space="0" w:color="CB6027" w:themeColor="text2"/>
            </w:tcBorders>
            <w:shd w:val="clear" w:color="auto" w:fill="FBF3EC"/>
          </w:tcPr>
          <w:p w14:paraId="522A6F12" w14:textId="12056658" w:rsidR="008B1704" w:rsidRPr="007C21CA" w:rsidRDefault="00CA22BA" w:rsidP="00843D89">
            <w:pPr>
              <w:pStyle w:val="TableBody"/>
              <w:spacing w:before="20" w:line="270" w:lineRule="atLeast"/>
              <w:cnfStyle w:val="000000100000" w:firstRow="0" w:lastRow="0" w:firstColumn="0" w:lastColumn="0" w:oddVBand="0" w:evenVBand="0" w:oddHBand="1" w:evenHBand="0" w:firstRowFirstColumn="0" w:firstRowLastColumn="0" w:lastRowFirstColumn="0" w:lastRowLastColumn="0"/>
            </w:pPr>
            <w:r w:rsidRPr="007C21CA">
              <w:t>There will be formal partnership arrangements to support Closing the Gap in place between Aboriginal and Torres Strait Islander people and governments in place in each state and territory enshrining agreed joint decision</w:t>
            </w:r>
            <w:r w:rsidR="00827859">
              <w:noBreakHyphen/>
            </w:r>
            <w:r w:rsidRPr="007C21CA">
              <w:t>making roles and responsibilities and where Aboriginal and Torres Strait Islander people have chosen their own representatives</w:t>
            </w:r>
            <w:r w:rsidR="001A1C7A">
              <w:t>.</w:t>
            </w:r>
          </w:p>
        </w:tc>
      </w:tr>
      <w:tr w:rsidR="00A07FBE" w:rsidRPr="00030C67" w14:paraId="1E21ECBA" w14:textId="77777777" w:rsidTr="000106E6">
        <w:trPr>
          <w:trHeight w:val="376"/>
        </w:trPr>
        <w:tc>
          <w:tcPr>
            <w:cnfStyle w:val="001000000000" w:firstRow="0" w:lastRow="0" w:firstColumn="1" w:lastColumn="0" w:oddVBand="0" w:evenVBand="0" w:oddHBand="0" w:evenHBand="0" w:firstRowFirstColumn="0" w:firstRowLastColumn="0" w:lastRowFirstColumn="0" w:lastRowLastColumn="0"/>
            <w:tcW w:w="2268" w:type="dxa"/>
            <w:tcBorders>
              <w:top w:val="dotted" w:sz="4" w:space="0" w:color="CB6027" w:themeColor="text2"/>
              <w:bottom w:val="dotted" w:sz="4" w:space="0" w:color="CB6027" w:themeColor="text2"/>
            </w:tcBorders>
          </w:tcPr>
          <w:p w14:paraId="432A79E0" w14:textId="77777777" w:rsidR="008B1704" w:rsidRPr="00A07FBE" w:rsidRDefault="008B1704" w:rsidP="00843D89">
            <w:pPr>
              <w:pStyle w:val="TableHeading"/>
              <w:spacing w:before="20"/>
              <w:rPr>
                <w:b/>
                <w:bCs/>
              </w:rPr>
            </w:pPr>
            <w:r w:rsidRPr="00A07FBE">
              <w:rPr>
                <w:b/>
                <w:bCs/>
              </w:rPr>
              <w:t xml:space="preserve">Priority Reform </w:t>
            </w:r>
            <w:r w:rsidR="00F93FA2" w:rsidRPr="00A07FBE">
              <w:rPr>
                <w:b/>
                <w:bCs/>
              </w:rPr>
              <w:t>2</w:t>
            </w:r>
          </w:p>
          <w:p w14:paraId="66A51FB8" w14:textId="08B9A8F8" w:rsidR="00373F7F" w:rsidRPr="00A07FBE" w:rsidRDefault="00373F7F" w:rsidP="00843D89">
            <w:pPr>
              <w:pStyle w:val="TableHeading"/>
              <w:spacing w:before="20"/>
              <w:rPr>
                <w:i/>
                <w:iCs/>
              </w:rPr>
            </w:pPr>
            <w:r w:rsidRPr="00A07FBE">
              <w:rPr>
                <w:i/>
                <w:iCs/>
              </w:rPr>
              <w:t xml:space="preserve">Building the </w:t>
            </w:r>
            <w:r w:rsidR="003D1763">
              <w:rPr>
                <w:i/>
                <w:iCs/>
              </w:rPr>
              <w:t>c</w:t>
            </w:r>
            <w:r w:rsidRPr="00A07FBE">
              <w:rPr>
                <w:i/>
                <w:iCs/>
              </w:rPr>
              <w:t>ommunity</w:t>
            </w:r>
            <w:r w:rsidR="00827859">
              <w:rPr>
                <w:i/>
                <w:iCs/>
              </w:rPr>
              <w:noBreakHyphen/>
            </w:r>
            <w:r w:rsidR="003D1763">
              <w:rPr>
                <w:i/>
                <w:iCs/>
              </w:rPr>
              <w:t>c</w:t>
            </w:r>
            <w:r w:rsidRPr="00A07FBE">
              <w:rPr>
                <w:i/>
                <w:iCs/>
              </w:rPr>
              <w:t xml:space="preserve">ontrolled </w:t>
            </w:r>
            <w:r w:rsidR="003D1763">
              <w:rPr>
                <w:i/>
                <w:iCs/>
              </w:rPr>
              <w:t>s</w:t>
            </w:r>
            <w:r w:rsidRPr="00A07FBE">
              <w:rPr>
                <w:i/>
                <w:iCs/>
              </w:rPr>
              <w:t>ector</w:t>
            </w:r>
          </w:p>
        </w:tc>
        <w:tc>
          <w:tcPr>
            <w:tcW w:w="5783" w:type="dxa"/>
            <w:tcBorders>
              <w:top w:val="dotted" w:sz="4" w:space="0" w:color="CB6027" w:themeColor="text2"/>
              <w:bottom w:val="dotted" w:sz="4" w:space="0" w:color="CB6027" w:themeColor="text2"/>
            </w:tcBorders>
          </w:tcPr>
          <w:p w14:paraId="67BEC290" w14:textId="246AF444" w:rsidR="008B1704" w:rsidRPr="00030C67" w:rsidRDefault="00373F7F" w:rsidP="00843D89">
            <w:pPr>
              <w:pStyle w:val="TableBody"/>
              <w:spacing w:before="20" w:line="270" w:lineRule="atLeast"/>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373F7F">
              <w:rPr>
                <w:rFonts w:ascii="Arial (Body)" w:hAnsi="Arial (Body)"/>
                <w:color w:val="000000"/>
              </w:rPr>
              <w:t>There is a strong and sustainable Aboriginal and Torres Strait Islander community</w:t>
            </w:r>
            <w:r w:rsidR="00827859">
              <w:rPr>
                <w:rFonts w:ascii="Arial (Body)" w:hAnsi="Arial (Body)"/>
                <w:color w:val="000000"/>
              </w:rPr>
              <w:noBreakHyphen/>
            </w:r>
            <w:r w:rsidRPr="00373F7F">
              <w:rPr>
                <w:rFonts w:ascii="Arial (Body)" w:hAnsi="Arial (Body)"/>
                <w:color w:val="000000"/>
              </w:rPr>
              <w:t>controlled sector delivering high</w:t>
            </w:r>
            <w:r w:rsidR="003F5E70">
              <w:rPr>
                <w:rFonts w:ascii="Arial (Body)" w:hAnsi="Arial (Body)"/>
                <w:color w:val="000000"/>
              </w:rPr>
              <w:noBreakHyphen/>
            </w:r>
            <w:r w:rsidRPr="00373F7F">
              <w:rPr>
                <w:rFonts w:ascii="Arial (Body)" w:hAnsi="Arial (Body)"/>
                <w:color w:val="000000"/>
              </w:rPr>
              <w:t>quality services to meet the needs of Aboriginal and Torres Strait Islander people across the country</w:t>
            </w:r>
            <w:r w:rsidR="001A1C7A">
              <w:rPr>
                <w:rFonts w:ascii="Arial (Body)" w:hAnsi="Arial (Body)"/>
                <w:color w:val="000000"/>
              </w:rPr>
              <w:t>.</w:t>
            </w:r>
          </w:p>
        </w:tc>
        <w:tc>
          <w:tcPr>
            <w:tcW w:w="6520" w:type="dxa"/>
            <w:tcBorders>
              <w:top w:val="dotted" w:sz="4" w:space="0" w:color="CB6027" w:themeColor="text2"/>
              <w:bottom w:val="dotted" w:sz="4" w:space="0" w:color="CB6027" w:themeColor="text2"/>
            </w:tcBorders>
          </w:tcPr>
          <w:p w14:paraId="1C3AFDA9" w14:textId="7698AD7F" w:rsidR="008B1704" w:rsidRPr="00030C67" w:rsidRDefault="00FA1FD4" w:rsidP="00843D89">
            <w:pPr>
              <w:pStyle w:val="TableBody"/>
              <w:spacing w:before="20" w:line="270" w:lineRule="atLeast"/>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FA1FD4">
              <w:rPr>
                <w:rFonts w:ascii="Arial (Body)" w:hAnsi="Arial (Body)"/>
                <w:color w:val="000000"/>
              </w:rPr>
              <w:t>Increase the amount of government funding for Aboriginal and Torres Strait Islander programs and services going through Aboriginal and Torres Strait Islander community</w:t>
            </w:r>
            <w:r w:rsidR="00827859">
              <w:rPr>
                <w:rFonts w:ascii="Arial (Body)" w:hAnsi="Arial (Body)"/>
                <w:color w:val="000000"/>
              </w:rPr>
              <w:noBreakHyphen/>
            </w:r>
            <w:r w:rsidRPr="00FA1FD4">
              <w:rPr>
                <w:rFonts w:ascii="Arial (Body)" w:hAnsi="Arial (Body)"/>
                <w:color w:val="000000"/>
              </w:rPr>
              <w:t>controlled organisations</w:t>
            </w:r>
            <w:r w:rsidR="00976DF9">
              <w:rPr>
                <w:rFonts w:ascii="Arial (Body)" w:hAnsi="Arial (Body)"/>
                <w:color w:val="000000"/>
              </w:rPr>
              <w:t>.</w:t>
            </w:r>
          </w:p>
        </w:tc>
      </w:tr>
      <w:tr w:rsidR="00E04A4F" w:rsidRPr="00030C67" w14:paraId="1E888743" w14:textId="77777777" w:rsidTr="000106E6">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268" w:type="dxa"/>
            <w:tcBorders>
              <w:top w:val="dotted" w:sz="4" w:space="0" w:color="CB6027" w:themeColor="text2"/>
              <w:bottom w:val="dotted" w:sz="4" w:space="0" w:color="CB6027" w:themeColor="text2"/>
            </w:tcBorders>
            <w:shd w:val="clear" w:color="auto" w:fill="FBF3EC"/>
          </w:tcPr>
          <w:p w14:paraId="0B83C055" w14:textId="77777777" w:rsidR="008B1704" w:rsidRPr="00A07FBE" w:rsidRDefault="008B1704" w:rsidP="00843D89">
            <w:pPr>
              <w:pStyle w:val="TableHeading"/>
              <w:spacing w:before="20"/>
              <w:rPr>
                <w:b/>
                <w:bCs/>
              </w:rPr>
            </w:pPr>
            <w:r w:rsidRPr="00A07FBE">
              <w:rPr>
                <w:b/>
                <w:bCs/>
              </w:rPr>
              <w:t xml:space="preserve">Priority Reform </w:t>
            </w:r>
            <w:r w:rsidR="00F93FA2" w:rsidRPr="00A07FBE">
              <w:rPr>
                <w:b/>
                <w:bCs/>
              </w:rPr>
              <w:t>3</w:t>
            </w:r>
          </w:p>
          <w:p w14:paraId="1683551E" w14:textId="79975703" w:rsidR="0051636A" w:rsidRPr="00A07FBE" w:rsidRDefault="0051636A" w:rsidP="00843D89">
            <w:pPr>
              <w:pStyle w:val="TableHeading"/>
              <w:spacing w:before="20"/>
              <w:rPr>
                <w:i/>
                <w:iCs/>
              </w:rPr>
            </w:pPr>
            <w:r w:rsidRPr="00A07FBE">
              <w:rPr>
                <w:i/>
                <w:iCs/>
              </w:rPr>
              <w:t xml:space="preserve">Transforming </w:t>
            </w:r>
            <w:r w:rsidR="003D1763">
              <w:rPr>
                <w:i/>
                <w:iCs/>
              </w:rPr>
              <w:t>g</w:t>
            </w:r>
            <w:r w:rsidRPr="00A07FBE">
              <w:rPr>
                <w:i/>
                <w:iCs/>
              </w:rPr>
              <w:t xml:space="preserve">overnment </w:t>
            </w:r>
            <w:r w:rsidR="003D1763">
              <w:rPr>
                <w:i/>
                <w:iCs/>
              </w:rPr>
              <w:t>o</w:t>
            </w:r>
            <w:r w:rsidRPr="00A07FBE">
              <w:rPr>
                <w:i/>
                <w:iCs/>
              </w:rPr>
              <w:t>rganisations</w:t>
            </w:r>
          </w:p>
        </w:tc>
        <w:tc>
          <w:tcPr>
            <w:tcW w:w="5783" w:type="dxa"/>
            <w:tcBorders>
              <w:top w:val="dotted" w:sz="4" w:space="0" w:color="CB6027" w:themeColor="text2"/>
              <w:bottom w:val="dotted" w:sz="4" w:space="0" w:color="CB6027" w:themeColor="text2"/>
            </w:tcBorders>
            <w:shd w:val="clear" w:color="auto" w:fill="FBF3EC"/>
          </w:tcPr>
          <w:p w14:paraId="4765268E" w14:textId="099DA2D4" w:rsidR="008B1704" w:rsidRDefault="0051636A" w:rsidP="00843D89">
            <w:pPr>
              <w:pStyle w:val="TableBody"/>
              <w:spacing w:before="20" w:line="270" w:lineRule="atLeast"/>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51636A">
              <w:rPr>
                <w:rFonts w:ascii="Arial (Body)" w:hAnsi="Arial (Body)"/>
                <w:color w:val="000000"/>
              </w:rPr>
              <w:t>Governments, their organisations and their institutions are accountable for Closing the Gap and are culturally safe and responsive to the needs of Aboriginal and Torres Strait Islander people, including through the services they fund</w:t>
            </w:r>
            <w:r w:rsidR="003F5E70">
              <w:rPr>
                <w:rFonts w:ascii="Arial (Body)" w:hAnsi="Arial (Body)"/>
                <w:color w:val="000000"/>
              </w:rPr>
              <w:t>.</w:t>
            </w:r>
          </w:p>
        </w:tc>
        <w:tc>
          <w:tcPr>
            <w:tcW w:w="6520" w:type="dxa"/>
            <w:tcBorders>
              <w:top w:val="dotted" w:sz="4" w:space="0" w:color="CB6027" w:themeColor="text2"/>
              <w:bottom w:val="dotted" w:sz="4" w:space="0" w:color="CB6027" w:themeColor="text2"/>
            </w:tcBorders>
            <w:shd w:val="clear" w:color="auto" w:fill="FBF3EC"/>
          </w:tcPr>
          <w:p w14:paraId="0E84FA71" w14:textId="007BC4AD" w:rsidR="008B1704" w:rsidRDefault="0051636A" w:rsidP="00843D89">
            <w:pPr>
              <w:pStyle w:val="TableBody"/>
              <w:spacing w:before="20" w:line="270" w:lineRule="atLeast"/>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51636A">
              <w:rPr>
                <w:rFonts w:ascii="Arial (Body)" w:hAnsi="Arial (Body)"/>
                <w:color w:val="000000"/>
              </w:rPr>
              <w:t>Decrease in the proportion of Aboriginal and Torres Strait Islander people who have experiences of racism</w:t>
            </w:r>
            <w:r w:rsidR="003F5E70">
              <w:rPr>
                <w:rFonts w:ascii="Arial (Body)" w:hAnsi="Arial (Body)"/>
                <w:color w:val="000000"/>
              </w:rPr>
              <w:t>.</w:t>
            </w:r>
          </w:p>
        </w:tc>
      </w:tr>
      <w:tr w:rsidR="00A07FBE" w:rsidRPr="00030C67" w14:paraId="6A12F408" w14:textId="77777777" w:rsidTr="000106E6">
        <w:trPr>
          <w:trHeight w:val="376"/>
        </w:trPr>
        <w:tc>
          <w:tcPr>
            <w:cnfStyle w:val="001000000000" w:firstRow="0" w:lastRow="0" w:firstColumn="1" w:lastColumn="0" w:oddVBand="0" w:evenVBand="0" w:oddHBand="0" w:evenHBand="0" w:firstRowFirstColumn="0" w:firstRowLastColumn="0" w:lastRowFirstColumn="0" w:lastRowLastColumn="0"/>
            <w:tcW w:w="2268" w:type="dxa"/>
            <w:tcBorders>
              <w:top w:val="dotted" w:sz="4" w:space="0" w:color="CB6027" w:themeColor="text2"/>
              <w:bottom w:val="dotted" w:sz="4" w:space="0" w:color="CB6027" w:themeColor="text2"/>
            </w:tcBorders>
          </w:tcPr>
          <w:p w14:paraId="1D955AD2" w14:textId="77777777" w:rsidR="008B1704" w:rsidRDefault="008B1704" w:rsidP="00843D89">
            <w:pPr>
              <w:pStyle w:val="TableHeading"/>
              <w:spacing w:before="20"/>
              <w:rPr>
                <w:bCs/>
              </w:rPr>
            </w:pPr>
            <w:r w:rsidRPr="00A07FBE">
              <w:rPr>
                <w:b/>
                <w:bCs/>
              </w:rPr>
              <w:t xml:space="preserve">Priority Reform </w:t>
            </w:r>
            <w:r w:rsidR="00F93FA2" w:rsidRPr="00A07FBE">
              <w:rPr>
                <w:b/>
                <w:bCs/>
              </w:rPr>
              <w:t>4</w:t>
            </w:r>
          </w:p>
          <w:p w14:paraId="76B9D061" w14:textId="34715736" w:rsidR="00820AC8" w:rsidRPr="00820AC8" w:rsidRDefault="00820AC8" w:rsidP="00843D89">
            <w:pPr>
              <w:pStyle w:val="TableHeading"/>
              <w:spacing w:before="20"/>
              <w:rPr>
                <w:i/>
                <w:iCs/>
              </w:rPr>
            </w:pPr>
            <w:r w:rsidRPr="00820AC8">
              <w:rPr>
                <w:i/>
                <w:iCs/>
              </w:rPr>
              <w:t xml:space="preserve">Shared </w:t>
            </w:r>
            <w:r w:rsidR="00A041AF">
              <w:rPr>
                <w:i/>
                <w:iCs/>
              </w:rPr>
              <w:t>a</w:t>
            </w:r>
            <w:r w:rsidRPr="00820AC8">
              <w:rPr>
                <w:i/>
                <w:iCs/>
              </w:rPr>
              <w:t xml:space="preserve">ccess to </w:t>
            </w:r>
            <w:r w:rsidR="003D1763">
              <w:rPr>
                <w:i/>
                <w:iCs/>
              </w:rPr>
              <w:t>d</w:t>
            </w:r>
            <w:r w:rsidRPr="00820AC8">
              <w:rPr>
                <w:i/>
                <w:iCs/>
              </w:rPr>
              <w:t xml:space="preserve">ata and </w:t>
            </w:r>
            <w:r w:rsidR="003D1763">
              <w:rPr>
                <w:i/>
                <w:iCs/>
              </w:rPr>
              <w:t>i</w:t>
            </w:r>
            <w:r w:rsidRPr="00820AC8">
              <w:rPr>
                <w:i/>
                <w:iCs/>
              </w:rPr>
              <w:t xml:space="preserve">nformation at a </w:t>
            </w:r>
            <w:r w:rsidR="003D1763">
              <w:rPr>
                <w:i/>
                <w:iCs/>
              </w:rPr>
              <w:t>r</w:t>
            </w:r>
            <w:r w:rsidRPr="00820AC8">
              <w:rPr>
                <w:i/>
                <w:iCs/>
              </w:rPr>
              <w:t xml:space="preserve">egional </w:t>
            </w:r>
            <w:r w:rsidR="00A041AF">
              <w:rPr>
                <w:i/>
                <w:iCs/>
              </w:rPr>
              <w:t>l</w:t>
            </w:r>
            <w:r w:rsidRPr="00820AC8">
              <w:rPr>
                <w:i/>
                <w:iCs/>
              </w:rPr>
              <w:t>evel</w:t>
            </w:r>
          </w:p>
        </w:tc>
        <w:tc>
          <w:tcPr>
            <w:tcW w:w="5783" w:type="dxa"/>
            <w:tcBorders>
              <w:top w:val="dotted" w:sz="4" w:space="0" w:color="CB6027" w:themeColor="text2"/>
              <w:bottom w:val="dotted" w:sz="4" w:space="0" w:color="CB6027" w:themeColor="text2"/>
            </w:tcBorders>
          </w:tcPr>
          <w:p w14:paraId="517C1E89" w14:textId="04A53AC1" w:rsidR="008B1704" w:rsidRDefault="00820AC8" w:rsidP="00843D89">
            <w:pPr>
              <w:pStyle w:val="TableBody"/>
              <w:spacing w:before="20" w:line="270" w:lineRule="atLeast"/>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820AC8">
              <w:rPr>
                <w:rFonts w:ascii="Arial (Body)" w:hAnsi="Arial (Body)"/>
                <w:color w:val="000000"/>
              </w:rPr>
              <w:t>Aboriginal and Torres Strait Islander people have access to, and the capability to use, locally</w:t>
            </w:r>
            <w:r w:rsidR="00A041AF">
              <w:rPr>
                <w:rFonts w:ascii="Arial (Body)" w:hAnsi="Arial (Body)"/>
                <w:color w:val="000000"/>
              </w:rPr>
              <w:t xml:space="preserve"> </w:t>
            </w:r>
            <w:r w:rsidRPr="00820AC8">
              <w:rPr>
                <w:rFonts w:ascii="Arial (Body)" w:hAnsi="Arial (Body)"/>
                <w:color w:val="000000"/>
              </w:rPr>
              <w:t>relevant data and information to set and monitor the implementation of efforts to close the gap, their priorities and drive their own development</w:t>
            </w:r>
            <w:r w:rsidR="003F5E70">
              <w:rPr>
                <w:rFonts w:ascii="Arial (Body)" w:hAnsi="Arial (Body)"/>
                <w:color w:val="000000"/>
              </w:rPr>
              <w:t>.</w:t>
            </w:r>
          </w:p>
        </w:tc>
        <w:tc>
          <w:tcPr>
            <w:tcW w:w="6520" w:type="dxa"/>
            <w:tcBorders>
              <w:top w:val="dotted" w:sz="4" w:space="0" w:color="CB6027" w:themeColor="text2"/>
              <w:bottom w:val="dotted" w:sz="4" w:space="0" w:color="CB6027" w:themeColor="text2"/>
            </w:tcBorders>
          </w:tcPr>
          <w:p w14:paraId="21AC4D01" w14:textId="50A1239F" w:rsidR="008B1704" w:rsidRDefault="0052678E" w:rsidP="00843D89">
            <w:pPr>
              <w:pStyle w:val="TableBody"/>
              <w:spacing w:before="20" w:line="270" w:lineRule="atLeast"/>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52678E">
              <w:rPr>
                <w:rFonts w:ascii="Arial (Body)" w:hAnsi="Arial (Body)"/>
                <w:color w:val="000000"/>
              </w:rPr>
              <w:t>Increase the number of regional data projects to support Aboriginal and Torres Strait Islander communities to make decisions about Closing the Gap and their development</w:t>
            </w:r>
            <w:r w:rsidR="003F5E70">
              <w:rPr>
                <w:rFonts w:ascii="Arial (Body)" w:hAnsi="Arial (Body)"/>
                <w:color w:val="000000"/>
              </w:rPr>
              <w:t>.</w:t>
            </w:r>
          </w:p>
        </w:tc>
      </w:tr>
      <w:tr w:rsidR="003D1763" w:rsidRPr="00030C67" w14:paraId="333BA1B1" w14:textId="77777777" w:rsidTr="000106E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268" w:type="dxa"/>
            <w:tcBorders>
              <w:top w:val="dotted" w:sz="4" w:space="0" w:color="CB6027" w:themeColor="text2"/>
              <w:bottom w:val="dotted" w:sz="4" w:space="0" w:color="CB6027" w:themeColor="text2"/>
            </w:tcBorders>
            <w:shd w:val="clear" w:color="auto" w:fill="FBF3EC"/>
          </w:tcPr>
          <w:p w14:paraId="50B55B54" w14:textId="77777777" w:rsidR="00EC1F8F" w:rsidRPr="00A07FBE" w:rsidRDefault="00EC1F8F" w:rsidP="00843D89">
            <w:pPr>
              <w:pStyle w:val="TableHeading"/>
              <w:spacing w:before="20"/>
              <w:rPr>
                <w:b/>
                <w:bCs/>
              </w:rPr>
            </w:pPr>
            <w:r w:rsidRPr="00A07FBE">
              <w:rPr>
                <w:b/>
                <w:bCs/>
              </w:rPr>
              <w:t>SEO 1</w:t>
            </w:r>
          </w:p>
          <w:p w14:paraId="7428BA7C" w14:textId="1FCE02D3" w:rsidR="0051636A" w:rsidRPr="00A07FBE" w:rsidRDefault="00D3471A" w:rsidP="00843D89">
            <w:pPr>
              <w:pStyle w:val="TableHeading"/>
              <w:spacing w:before="20"/>
              <w:rPr>
                <w:i/>
                <w:iCs/>
              </w:rPr>
            </w:pPr>
            <w:r w:rsidRPr="00A07FBE">
              <w:rPr>
                <w:i/>
                <w:iCs/>
              </w:rPr>
              <w:t>Long and healthy lives</w:t>
            </w:r>
          </w:p>
        </w:tc>
        <w:tc>
          <w:tcPr>
            <w:tcW w:w="5783" w:type="dxa"/>
            <w:tcBorders>
              <w:top w:val="dotted" w:sz="4" w:space="0" w:color="CB6027" w:themeColor="text2"/>
              <w:bottom w:val="dotted" w:sz="4" w:space="0" w:color="CB6027" w:themeColor="text2"/>
            </w:tcBorders>
            <w:shd w:val="clear" w:color="auto" w:fill="FBF3EC"/>
          </w:tcPr>
          <w:p w14:paraId="5987103F" w14:textId="34348280" w:rsidR="00EC1F8F" w:rsidRPr="00030C67" w:rsidRDefault="00EC1F8F" w:rsidP="00843D89">
            <w:pPr>
              <w:pStyle w:val="TableBody"/>
              <w:spacing w:before="20" w:line="270" w:lineRule="atLeast"/>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1A4E31">
              <w:rPr>
                <w:rFonts w:eastAsia="Times New Roman" w:cs="Arial"/>
                <w:szCs w:val="18"/>
                <w:lang w:eastAsia="en-AU"/>
              </w:rPr>
              <w:t>Aboriginal and Torres Strait Islander people enjoy long and healthy lives</w:t>
            </w:r>
            <w:r w:rsidR="003F5E70">
              <w:rPr>
                <w:rFonts w:eastAsia="Times New Roman" w:cs="Arial"/>
                <w:szCs w:val="18"/>
                <w:lang w:eastAsia="en-AU"/>
              </w:rPr>
              <w:t>.</w:t>
            </w:r>
          </w:p>
        </w:tc>
        <w:tc>
          <w:tcPr>
            <w:tcW w:w="6520" w:type="dxa"/>
            <w:tcBorders>
              <w:top w:val="dotted" w:sz="4" w:space="0" w:color="CB6027" w:themeColor="text2"/>
              <w:bottom w:val="dotted" w:sz="4" w:space="0" w:color="CB6027" w:themeColor="text2"/>
            </w:tcBorders>
            <w:shd w:val="clear" w:color="auto" w:fill="FBF3EC"/>
          </w:tcPr>
          <w:p w14:paraId="2D871BA0" w14:textId="32C802EE" w:rsidR="00EC1F8F" w:rsidRPr="00030C67" w:rsidRDefault="008414B5" w:rsidP="00843D89">
            <w:pPr>
              <w:pStyle w:val="TableBody"/>
              <w:spacing w:before="20" w:line="270" w:lineRule="atLeast"/>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8414B5">
              <w:rPr>
                <w:rFonts w:ascii="Arial (Body)" w:hAnsi="Arial (Body)"/>
                <w:color w:val="000000"/>
              </w:rPr>
              <w:t xml:space="preserve">Close the </w:t>
            </w:r>
            <w:r w:rsidR="00C22718">
              <w:rPr>
                <w:rFonts w:ascii="Arial (Body)" w:hAnsi="Arial (Body)"/>
                <w:color w:val="000000"/>
              </w:rPr>
              <w:t>g</w:t>
            </w:r>
            <w:r w:rsidRPr="008414B5">
              <w:rPr>
                <w:rFonts w:ascii="Arial (Body)" w:hAnsi="Arial (Body)"/>
                <w:color w:val="000000"/>
              </w:rPr>
              <w:t>ap in life expectancy within a generation, by 2031</w:t>
            </w:r>
            <w:r w:rsidR="003F5E70">
              <w:rPr>
                <w:rFonts w:ascii="Arial (Body)" w:hAnsi="Arial (Body)"/>
                <w:color w:val="000000"/>
              </w:rPr>
              <w:t>.</w:t>
            </w:r>
          </w:p>
        </w:tc>
      </w:tr>
      <w:tr w:rsidR="00A07FBE" w:rsidRPr="00030C67" w14:paraId="78B26330" w14:textId="77777777" w:rsidTr="000106E6">
        <w:trPr>
          <w:trHeight w:val="74"/>
        </w:trPr>
        <w:tc>
          <w:tcPr>
            <w:cnfStyle w:val="001000000000" w:firstRow="0" w:lastRow="0" w:firstColumn="1" w:lastColumn="0" w:oddVBand="0" w:evenVBand="0" w:oddHBand="0" w:evenHBand="0" w:firstRowFirstColumn="0" w:firstRowLastColumn="0" w:lastRowFirstColumn="0" w:lastRowLastColumn="0"/>
            <w:tcW w:w="2268" w:type="dxa"/>
            <w:tcBorders>
              <w:top w:val="dotted" w:sz="4" w:space="0" w:color="CB6027" w:themeColor="text2"/>
              <w:bottom w:val="dotted" w:sz="4" w:space="0" w:color="CB6027" w:themeColor="text2"/>
            </w:tcBorders>
          </w:tcPr>
          <w:p w14:paraId="57C73856" w14:textId="77777777" w:rsidR="00EC1F8F" w:rsidRPr="00A07FBE" w:rsidRDefault="00DB3D38" w:rsidP="00843D89">
            <w:pPr>
              <w:pStyle w:val="TableHeading"/>
              <w:spacing w:before="20"/>
              <w:rPr>
                <w:b/>
                <w:bCs/>
              </w:rPr>
            </w:pPr>
            <w:r w:rsidRPr="00A07FBE">
              <w:rPr>
                <w:b/>
                <w:bCs/>
              </w:rPr>
              <w:t>SEO 2</w:t>
            </w:r>
          </w:p>
          <w:p w14:paraId="68474FEA" w14:textId="547A9784" w:rsidR="00557ADF" w:rsidRPr="00A07FBE" w:rsidRDefault="00557ADF" w:rsidP="00843D89">
            <w:pPr>
              <w:pStyle w:val="TableHeading"/>
              <w:spacing w:before="20"/>
              <w:rPr>
                <w:i/>
                <w:iCs/>
              </w:rPr>
            </w:pPr>
            <w:r w:rsidRPr="00A07FBE">
              <w:rPr>
                <w:rFonts w:eastAsia="Times New Roman" w:cs="Arial"/>
                <w:i/>
                <w:iCs/>
                <w:szCs w:val="18"/>
                <w:lang w:eastAsia="en-AU"/>
              </w:rPr>
              <w:t>Born healthy and strong</w:t>
            </w:r>
          </w:p>
        </w:tc>
        <w:tc>
          <w:tcPr>
            <w:tcW w:w="5783" w:type="dxa"/>
            <w:tcBorders>
              <w:top w:val="dotted" w:sz="4" w:space="0" w:color="CB6027" w:themeColor="text2"/>
              <w:bottom w:val="dotted" w:sz="4" w:space="0" w:color="CB6027" w:themeColor="text2"/>
            </w:tcBorders>
          </w:tcPr>
          <w:p w14:paraId="12D1BC0C" w14:textId="5D7F42CA" w:rsidR="00EC1F8F" w:rsidRPr="00030C67" w:rsidRDefault="00EC1F8F" w:rsidP="00843D89">
            <w:pPr>
              <w:pStyle w:val="TableBody"/>
              <w:spacing w:before="20" w:line="270" w:lineRule="atLeast"/>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1A4E31">
              <w:rPr>
                <w:rFonts w:eastAsia="Times New Roman" w:cs="Arial"/>
                <w:szCs w:val="18"/>
                <w:lang w:eastAsia="en-AU"/>
              </w:rPr>
              <w:t>Aboriginal and Torres Strait Islander children are born healthy and strong</w:t>
            </w:r>
            <w:r w:rsidR="003F5E70">
              <w:rPr>
                <w:rFonts w:eastAsia="Times New Roman" w:cs="Arial"/>
                <w:szCs w:val="18"/>
                <w:lang w:eastAsia="en-AU"/>
              </w:rPr>
              <w:t>.</w:t>
            </w:r>
          </w:p>
        </w:tc>
        <w:tc>
          <w:tcPr>
            <w:tcW w:w="6520" w:type="dxa"/>
            <w:tcBorders>
              <w:top w:val="dotted" w:sz="4" w:space="0" w:color="CB6027" w:themeColor="text2"/>
              <w:bottom w:val="dotted" w:sz="4" w:space="0" w:color="CB6027" w:themeColor="text2"/>
            </w:tcBorders>
          </w:tcPr>
          <w:p w14:paraId="1327CB63" w14:textId="2F1048D6" w:rsidR="00EC1F8F" w:rsidRPr="00030C67" w:rsidRDefault="008414B5" w:rsidP="00843D89">
            <w:pPr>
              <w:pStyle w:val="TableBody"/>
              <w:spacing w:before="20" w:line="270" w:lineRule="atLeast"/>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8414B5">
              <w:rPr>
                <w:rFonts w:ascii="Arial (Body)" w:hAnsi="Arial (Body)"/>
                <w:color w:val="000000"/>
              </w:rPr>
              <w:t>By 2031, increase the proportion of Aboriginal and Torres Strait Islander babies with a healthy birthweight to 91</w:t>
            </w:r>
            <w:r w:rsidR="003F5E70">
              <w:rPr>
                <w:rFonts w:ascii="Arial (Body)" w:hAnsi="Arial (Body)"/>
                <w:color w:val="000000"/>
              </w:rPr>
              <w:t>%.</w:t>
            </w:r>
          </w:p>
        </w:tc>
      </w:tr>
      <w:tr w:rsidR="003D1763" w:rsidRPr="00030C67" w14:paraId="62E28456" w14:textId="77777777" w:rsidTr="000106E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268" w:type="dxa"/>
            <w:tcBorders>
              <w:top w:val="dotted" w:sz="4" w:space="0" w:color="CB6027" w:themeColor="text2"/>
              <w:bottom w:val="dotted" w:sz="4" w:space="0" w:color="CB6027" w:themeColor="text2"/>
            </w:tcBorders>
            <w:shd w:val="clear" w:color="auto" w:fill="FBF3EC"/>
          </w:tcPr>
          <w:p w14:paraId="0C71A65F" w14:textId="77777777" w:rsidR="00EC1F8F" w:rsidRPr="00A07FBE" w:rsidRDefault="00DB3D38" w:rsidP="00843D89">
            <w:pPr>
              <w:pStyle w:val="TableHeading"/>
              <w:spacing w:before="20"/>
              <w:rPr>
                <w:b/>
                <w:bCs/>
              </w:rPr>
            </w:pPr>
            <w:r w:rsidRPr="00A07FBE">
              <w:rPr>
                <w:b/>
                <w:bCs/>
              </w:rPr>
              <w:lastRenderedPageBreak/>
              <w:t>SEO 3</w:t>
            </w:r>
          </w:p>
          <w:p w14:paraId="2A83F63C" w14:textId="6C9C8FB6" w:rsidR="00557ADF" w:rsidRPr="00BA0B9A" w:rsidRDefault="00BA0B9A" w:rsidP="00843D89">
            <w:pPr>
              <w:pStyle w:val="TableHeading"/>
              <w:spacing w:before="20"/>
              <w:rPr>
                <w:i/>
                <w:iCs/>
              </w:rPr>
            </w:pPr>
            <w:r w:rsidRPr="00BA0B9A">
              <w:rPr>
                <w:i/>
                <w:iCs/>
              </w:rPr>
              <w:t>Early childhood education</w:t>
            </w:r>
          </w:p>
        </w:tc>
        <w:tc>
          <w:tcPr>
            <w:tcW w:w="5783" w:type="dxa"/>
            <w:tcBorders>
              <w:top w:val="dotted" w:sz="4" w:space="0" w:color="CB6027" w:themeColor="text2"/>
              <w:bottom w:val="dotted" w:sz="4" w:space="0" w:color="CB6027" w:themeColor="text2"/>
            </w:tcBorders>
            <w:shd w:val="clear" w:color="auto" w:fill="FBF3EC"/>
          </w:tcPr>
          <w:p w14:paraId="238A375C" w14:textId="699D6BC0" w:rsidR="00EC1F8F" w:rsidRPr="00030C67" w:rsidRDefault="00EC1F8F" w:rsidP="00843D89">
            <w:pPr>
              <w:pStyle w:val="TableBody"/>
              <w:spacing w:before="20" w:line="270" w:lineRule="atLeast"/>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1A4E31">
              <w:rPr>
                <w:rFonts w:eastAsia="Times New Roman" w:cs="Arial"/>
                <w:szCs w:val="18"/>
                <w:lang w:eastAsia="en-AU"/>
              </w:rPr>
              <w:t>Aboriginal and Torres Strait Islander children are engaged in high</w:t>
            </w:r>
            <w:r w:rsidR="00C22718">
              <w:rPr>
                <w:rFonts w:eastAsia="Times New Roman" w:cs="Arial"/>
                <w:szCs w:val="18"/>
                <w:lang w:eastAsia="en-AU"/>
              </w:rPr>
              <w:noBreakHyphen/>
            </w:r>
            <w:r w:rsidRPr="001A4E31">
              <w:rPr>
                <w:rFonts w:eastAsia="Times New Roman" w:cs="Arial"/>
                <w:szCs w:val="18"/>
                <w:lang w:eastAsia="en-AU"/>
              </w:rPr>
              <w:t>quality, culturally appropriate early childhood education in their early years</w:t>
            </w:r>
            <w:r w:rsidR="00445611">
              <w:rPr>
                <w:rFonts w:eastAsia="Times New Roman" w:cs="Arial"/>
                <w:szCs w:val="18"/>
                <w:lang w:eastAsia="en-AU"/>
              </w:rPr>
              <w:t>.</w:t>
            </w:r>
            <w:r w:rsidRPr="001A4E31">
              <w:rPr>
                <w:rFonts w:eastAsia="Times New Roman" w:cs="Arial"/>
                <w:szCs w:val="18"/>
                <w:lang w:eastAsia="en-AU"/>
              </w:rPr>
              <w:t> </w:t>
            </w:r>
          </w:p>
        </w:tc>
        <w:tc>
          <w:tcPr>
            <w:tcW w:w="6520" w:type="dxa"/>
            <w:tcBorders>
              <w:top w:val="dotted" w:sz="4" w:space="0" w:color="CB6027" w:themeColor="text2"/>
              <w:bottom w:val="dotted" w:sz="4" w:space="0" w:color="CB6027" w:themeColor="text2"/>
            </w:tcBorders>
            <w:shd w:val="clear" w:color="auto" w:fill="FBF3EC"/>
          </w:tcPr>
          <w:p w14:paraId="087A9CEA" w14:textId="6D24B77B" w:rsidR="00EC1F8F" w:rsidRPr="00030C67" w:rsidRDefault="008414B5" w:rsidP="00843D89">
            <w:pPr>
              <w:pStyle w:val="TableBody"/>
              <w:spacing w:before="20" w:line="270" w:lineRule="atLeast"/>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8414B5">
              <w:rPr>
                <w:rFonts w:ascii="Arial (Body)" w:hAnsi="Arial (Body)"/>
                <w:color w:val="000000"/>
              </w:rPr>
              <w:t xml:space="preserve">By 2025, increase the proportion of Aboriginal and Torres Strait Islander children enrolled in </w:t>
            </w:r>
            <w:r w:rsidR="00C22718">
              <w:rPr>
                <w:rFonts w:ascii="Arial (Body)" w:hAnsi="Arial (Body)"/>
                <w:color w:val="000000"/>
              </w:rPr>
              <w:t>y</w:t>
            </w:r>
            <w:r w:rsidRPr="008414B5">
              <w:rPr>
                <w:rFonts w:ascii="Arial (Body)" w:hAnsi="Arial (Body)"/>
                <w:color w:val="000000"/>
              </w:rPr>
              <w:t>ear</w:t>
            </w:r>
            <w:r w:rsidR="00827859">
              <w:rPr>
                <w:rFonts w:ascii="Arial (Body)" w:hAnsi="Arial (Body)"/>
                <w:color w:val="000000"/>
              </w:rPr>
              <w:noBreakHyphen/>
            </w:r>
            <w:r w:rsidR="00C22718">
              <w:rPr>
                <w:rFonts w:ascii="Arial (Body)" w:hAnsi="Arial (Body)"/>
                <w:color w:val="000000"/>
              </w:rPr>
              <w:t>b</w:t>
            </w:r>
            <w:r w:rsidRPr="008414B5">
              <w:rPr>
                <w:rFonts w:ascii="Arial (Body)" w:hAnsi="Arial (Body)"/>
                <w:color w:val="000000"/>
              </w:rPr>
              <w:t>efore</w:t>
            </w:r>
            <w:r w:rsidR="00827859">
              <w:rPr>
                <w:rFonts w:ascii="Arial (Body)" w:hAnsi="Arial (Body)"/>
                <w:color w:val="000000"/>
              </w:rPr>
              <w:noBreakHyphen/>
            </w:r>
            <w:r w:rsidR="00C22718">
              <w:rPr>
                <w:rFonts w:ascii="Arial (Body)" w:hAnsi="Arial (Body)"/>
                <w:color w:val="000000"/>
              </w:rPr>
              <w:t>f</w:t>
            </w:r>
            <w:r w:rsidRPr="008414B5">
              <w:rPr>
                <w:rFonts w:ascii="Arial (Body)" w:hAnsi="Arial (Body)"/>
                <w:color w:val="000000"/>
              </w:rPr>
              <w:t>ulltime</w:t>
            </w:r>
            <w:r w:rsidR="00827859">
              <w:rPr>
                <w:rFonts w:ascii="Arial (Body)" w:hAnsi="Arial (Body)"/>
                <w:color w:val="000000"/>
              </w:rPr>
              <w:noBreakHyphen/>
            </w:r>
            <w:r w:rsidR="00C22718">
              <w:rPr>
                <w:rFonts w:ascii="Arial (Body)" w:hAnsi="Arial (Body)"/>
                <w:color w:val="000000"/>
              </w:rPr>
              <w:t>s</w:t>
            </w:r>
            <w:r w:rsidRPr="008414B5">
              <w:rPr>
                <w:rFonts w:ascii="Arial (Body)" w:hAnsi="Arial (Body)"/>
                <w:color w:val="000000"/>
              </w:rPr>
              <w:t>chooling early childhood education to 95</w:t>
            </w:r>
            <w:r w:rsidR="00C22718">
              <w:rPr>
                <w:rFonts w:ascii="Arial (Body)" w:hAnsi="Arial (Body)"/>
                <w:color w:val="000000"/>
              </w:rPr>
              <w:t>%.</w:t>
            </w:r>
          </w:p>
        </w:tc>
      </w:tr>
      <w:tr w:rsidR="00A07FBE" w:rsidRPr="00030C67" w14:paraId="1A3B1BE4" w14:textId="77777777" w:rsidTr="000106E6">
        <w:trPr>
          <w:trHeight w:val="74"/>
        </w:trPr>
        <w:tc>
          <w:tcPr>
            <w:cnfStyle w:val="001000000000" w:firstRow="0" w:lastRow="0" w:firstColumn="1" w:lastColumn="0" w:oddVBand="0" w:evenVBand="0" w:oddHBand="0" w:evenHBand="0" w:firstRowFirstColumn="0" w:firstRowLastColumn="0" w:lastRowFirstColumn="0" w:lastRowLastColumn="0"/>
            <w:tcW w:w="2268" w:type="dxa"/>
            <w:tcBorders>
              <w:top w:val="dotted" w:sz="4" w:space="0" w:color="CB6027" w:themeColor="text2"/>
              <w:bottom w:val="dotted" w:sz="4" w:space="0" w:color="CB6027" w:themeColor="text2"/>
            </w:tcBorders>
          </w:tcPr>
          <w:p w14:paraId="5E93A590" w14:textId="77777777" w:rsidR="00EC1F8F" w:rsidRDefault="00DB3D38" w:rsidP="00843D89">
            <w:pPr>
              <w:pStyle w:val="TableHeading"/>
              <w:spacing w:before="20"/>
              <w:rPr>
                <w:bCs/>
              </w:rPr>
            </w:pPr>
            <w:r w:rsidRPr="00A07FBE">
              <w:rPr>
                <w:b/>
                <w:bCs/>
              </w:rPr>
              <w:t>SEO 4</w:t>
            </w:r>
          </w:p>
          <w:p w14:paraId="680B71E4" w14:textId="4EE485A8" w:rsidR="00AE2172" w:rsidRPr="00AE2172" w:rsidRDefault="00AE2172" w:rsidP="00843D89">
            <w:pPr>
              <w:pStyle w:val="TableHeading"/>
              <w:spacing w:before="20"/>
              <w:rPr>
                <w:i/>
                <w:iCs/>
              </w:rPr>
            </w:pPr>
            <w:r w:rsidRPr="00AE2172">
              <w:rPr>
                <w:i/>
                <w:iCs/>
              </w:rPr>
              <w:t>Children thriving</w:t>
            </w:r>
          </w:p>
        </w:tc>
        <w:tc>
          <w:tcPr>
            <w:tcW w:w="5783" w:type="dxa"/>
            <w:tcBorders>
              <w:top w:val="dotted" w:sz="4" w:space="0" w:color="CB6027" w:themeColor="text2"/>
              <w:bottom w:val="dotted" w:sz="4" w:space="0" w:color="CB6027" w:themeColor="text2"/>
            </w:tcBorders>
          </w:tcPr>
          <w:p w14:paraId="1A1D3629" w14:textId="7BCAB212" w:rsidR="00EC1F8F" w:rsidRPr="00030C67" w:rsidRDefault="00EC1F8F" w:rsidP="00843D89">
            <w:pPr>
              <w:pStyle w:val="TableBody"/>
              <w:spacing w:before="20" w:line="270" w:lineRule="atLeast"/>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1A4E31">
              <w:rPr>
                <w:rFonts w:eastAsia="Times New Roman" w:cs="Arial"/>
                <w:szCs w:val="18"/>
                <w:lang w:eastAsia="en-AU"/>
              </w:rPr>
              <w:t>Aboriginal and Torres Strait Islander children thrive in their early years</w:t>
            </w:r>
            <w:r w:rsidR="00445611">
              <w:rPr>
                <w:rFonts w:eastAsia="Times New Roman" w:cs="Arial"/>
                <w:szCs w:val="18"/>
                <w:lang w:eastAsia="en-AU"/>
              </w:rPr>
              <w:t>.</w:t>
            </w:r>
            <w:r w:rsidRPr="001A4E31">
              <w:rPr>
                <w:rFonts w:eastAsia="Times New Roman" w:cs="Arial"/>
                <w:szCs w:val="18"/>
                <w:lang w:eastAsia="en-AU"/>
              </w:rPr>
              <w:t> </w:t>
            </w:r>
          </w:p>
        </w:tc>
        <w:tc>
          <w:tcPr>
            <w:tcW w:w="6520" w:type="dxa"/>
            <w:tcBorders>
              <w:top w:val="dotted" w:sz="4" w:space="0" w:color="CB6027" w:themeColor="text2"/>
              <w:bottom w:val="dotted" w:sz="4" w:space="0" w:color="CB6027" w:themeColor="text2"/>
            </w:tcBorders>
          </w:tcPr>
          <w:p w14:paraId="6DB37FCF" w14:textId="3FADB271" w:rsidR="00EC1F8F" w:rsidRPr="00030C67" w:rsidRDefault="008414B5" w:rsidP="00843D89">
            <w:pPr>
              <w:pStyle w:val="TableBody"/>
              <w:spacing w:before="20" w:line="270" w:lineRule="atLeast"/>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8414B5">
              <w:rPr>
                <w:rFonts w:ascii="Arial (Body)" w:hAnsi="Arial (Body)"/>
                <w:color w:val="000000"/>
              </w:rPr>
              <w:t>By 2031, increase the proportion of Aboriginal and Torres Strait Islander children assessed as developmentally on track in all five domains of the Australian Early Development Census (AEDC) to 55</w:t>
            </w:r>
            <w:r w:rsidR="006C290D">
              <w:rPr>
                <w:rFonts w:ascii="Arial (Body)" w:hAnsi="Arial (Body)"/>
                <w:color w:val="000000"/>
              </w:rPr>
              <w:t>%</w:t>
            </w:r>
            <w:r w:rsidR="00445611">
              <w:rPr>
                <w:rFonts w:ascii="Arial (Body)" w:hAnsi="Arial (Body)"/>
                <w:color w:val="000000"/>
              </w:rPr>
              <w:t>.</w:t>
            </w:r>
          </w:p>
        </w:tc>
      </w:tr>
      <w:tr w:rsidR="003D1763" w:rsidRPr="00030C67" w14:paraId="3432D697" w14:textId="77777777" w:rsidTr="000106E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268" w:type="dxa"/>
            <w:tcBorders>
              <w:top w:val="dotted" w:sz="4" w:space="0" w:color="CB6027" w:themeColor="text2"/>
              <w:bottom w:val="dotted" w:sz="4" w:space="0" w:color="CB6027" w:themeColor="text2"/>
            </w:tcBorders>
            <w:shd w:val="clear" w:color="auto" w:fill="FBF3EC"/>
          </w:tcPr>
          <w:p w14:paraId="3CF95C19" w14:textId="77777777" w:rsidR="00EC1F8F" w:rsidRDefault="00DB3D38" w:rsidP="00843D89">
            <w:pPr>
              <w:pStyle w:val="TableHeading"/>
              <w:spacing w:before="20"/>
              <w:rPr>
                <w:bCs/>
              </w:rPr>
            </w:pPr>
            <w:r w:rsidRPr="00A07FBE">
              <w:rPr>
                <w:b/>
                <w:bCs/>
              </w:rPr>
              <w:t>SEO 5</w:t>
            </w:r>
          </w:p>
          <w:p w14:paraId="519C3BB3" w14:textId="0E6DC2F9" w:rsidR="00AE2172" w:rsidRPr="00AE2172" w:rsidRDefault="00AE2172" w:rsidP="00843D89">
            <w:pPr>
              <w:pStyle w:val="TableHeading"/>
              <w:spacing w:before="20"/>
              <w:rPr>
                <w:i/>
                <w:iCs/>
              </w:rPr>
            </w:pPr>
            <w:r>
              <w:rPr>
                <w:i/>
                <w:iCs/>
              </w:rPr>
              <w:t>Student learning potential</w:t>
            </w:r>
          </w:p>
        </w:tc>
        <w:tc>
          <w:tcPr>
            <w:tcW w:w="5783" w:type="dxa"/>
            <w:tcBorders>
              <w:top w:val="dotted" w:sz="4" w:space="0" w:color="CB6027" w:themeColor="text2"/>
              <w:bottom w:val="dotted" w:sz="4" w:space="0" w:color="CB6027" w:themeColor="text2"/>
            </w:tcBorders>
            <w:shd w:val="clear" w:color="auto" w:fill="FBF3EC"/>
          </w:tcPr>
          <w:p w14:paraId="71AB303F" w14:textId="57521077" w:rsidR="00EC1F8F" w:rsidRPr="00030C67" w:rsidRDefault="00EC1F8F" w:rsidP="00843D89">
            <w:pPr>
              <w:pStyle w:val="TableBody"/>
              <w:spacing w:before="20" w:line="270" w:lineRule="atLeast"/>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1A4E31">
              <w:rPr>
                <w:rFonts w:eastAsia="Times New Roman" w:cs="Arial"/>
                <w:szCs w:val="18"/>
                <w:lang w:eastAsia="en-AU"/>
              </w:rPr>
              <w:t>Aboriginal and Torres Strait Islander students achieve their full learning potential</w:t>
            </w:r>
            <w:r w:rsidR="00445611">
              <w:rPr>
                <w:rFonts w:eastAsia="Times New Roman" w:cs="Arial"/>
                <w:szCs w:val="18"/>
                <w:lang w:eastAsia="en-AU"/>
              </w:rPr>
              <w:t>.</w:t>
            </w:r>
            <w:r w:rsidRPr="001A4E31">
              <w:rPr>
                <w:rFonts w:eastAsia="Times New Roman" w:cs="Arial"/>
                <w:szCs w:val="18"/>
                <w:lang w:eastAsia="en-AU"/>
              </w:rPr>
              <w:t> </w:t>
            </w:r>
          </w:p>
        </w:tc>
        <w:tc>
          <w:tcPr>
            <w:tcW w:w="6520" w:type="dxa"/>
            <w:tcBorders>
              <w:top w:val="dotted" w:sz="4" w:space="0" w:color="CB6027" w:themeColor="text2"/>
              <w:bottom w:val="dotted" w:sz="4" w:space="0" w:color="CB6027" w:themeColor="text2"/>
            </w:tcBorders>
            <w:shd w:val="clear" w:color="auto" w:fill="FBF3EC"/>
          </w:tcPr>
          <w:p w14:paraId="4F66C225" w14:textId="715BCF25" w:rsidR="00EC1F8F" w:rsidRPr="00030C67" w:rsidRDefault="008414B5" w:rsidP="00843D89">
            <w:pPr>
              <w:pStyle w:val="TableBody"/>
              <w:spacing w:before="20" w:line="270" w:lineRule="atLeast"/>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8414B5">
              <w:rPr>
                <w:rFonts w:ascii="Arial (Body)" w:hAnsi="Arial (Body)"/>
                <w:color w:val="000000"/>
              </w:rPr>
              <w:t>By 2031, increase the proportion of Aboriginal and Torres Strait Islander people (age 20</w:t>
            </w:r>
            <w:r w:rsidR="00827859">
              <w:rPr>
                <w:rFonts w:ascii="Arial (Body)" w:hAnsi="Arial (Body)"/>
                <w:color w:val="000000"/>
              </w:rPr>
              <w:noBreakHyphen/>
            </w:r>
            <w:r w:rsidRPr="008414B5">
              <w:rPr>
                <w:rFonts w:ascii="Arial (Body)" w:hAnsi="Arial (Body)"/>
                <w:color w:val="000000"/>
              </w:rPr>
              <w:t>24) attaining year 12 or equivalent qualification to 96</w:t>
            </w:r>
            <w:r w:rsidR="00445611">
              <w:rPr>
                <w:rFonts w:ascii="Arial (Body)" w:hAnsi="Arial (Body)"/>
                <w:color w:val="000000"/>
              </w:rPr>
              <w:t>%.</w:t>
            </w:r>
          </w:p>
        </w:tc>
      </w:tr>
      <w:tr w:rsidR="00A07FBE" w:rsidRPr="00030C67" w14:paraId="54B92115" w14:textId="77777777" w:rsidTr="000106E6">
        <w:trPr>
          <w:trHeight w:val="74"/>
        </w:trPr>
        <w:tc>
          <w:tcPr>
            <w:cnfStyle w:val="001000000000" w:firstRow="0" w:lastRow="0" w:firstColumn="1" w:lastColumn="0" w:oddVBand="0" w:evenVBand="0" w:oddHBand="0" w:evenHBand="0" w:firstRowFirstColumn="0" w:firstRowLastColumn="0" w:lastRowFirstColumn="0" w:lastRowLastColumn="0"/>
            <w:tcW w:w="2268" w:type="dxa"/>
            <w:tcBorders>
              <w:top w:val="dotted" w:sz="4" w:space="0" w:color="CB6027" w:themeColor="text2"/>
              <w:bottom w:val="dotted" w:sz="4" w:space="0" w:color="CB6027" w:themeColor="text2"/>
            </w:tcBorders>
          </w:tcPr>
          <w:p w14:paraId="20D0BAFF" w14:textId="77777777" w:rsidR="00EC1F8F" w:rsidRDefault="00DB3D38" w:rsidP="00843D89">
            <w:pPr>
              <w:pStyle w:val="TableHeading"/>
              <w:spacing w:before="20"/>
              <w:rPr>
                <w:bCs/>
              </w:rPr>
            </w:pPr>
            <w:r w:rsidRPr="00A07FBE">
              <w:rPr>
                <w:b/>
                <w:bCs/>
              </w:rPr>
              <w:t>SEO 6</w:t>
            </w:r>
          </w:p>
          <w:p w14:paraId="379EF262" w14:textId="4913BAB3" w:rsidR="00AE2172" w:rsidRPr="00AE2172" w:rsidRDefault="00AE2172" w:rsidP="00843D89">
            <w:pPr>
              <w:pStyle w:val="TableHeading"/>
              <w:spacing w:before="20"/>
              <w:rPr>
                <w:i/>
                <w:iCs/>
              </w:rPr>
            </w:pPr>
            <w:r>
              <w:rPr>
                <w:i/>
                <w:iCs/>
              </w:rPr>
              <w:t>Further education pathways</w:t>
            </w:r>
          </w:p>
        </w:tc>
        <w:tc>
          <w:tcPr>
            <w:tcW w:w="5783" w:type="dxa"/>
            <w:tcBorders>
              <w:top w:val="dotted" w:sz="4" w:space="0" w:color="CB6027" w:themeColor="text2"/>
              <w:bottom w:val="dotted" w:sz="4" w:space="0" w:color="CB6027" w:themeColor="text2"/>
            </w:tcBorders>
          </w:tcPr>
          <w:p w14:paraId="67C57529" w14:textId="1F33B77A" w:rsidR="00EC1F8F" w:rsidRPr="00030C67" w:rsidRDefault="00EC1F8F" w:rsidP="00843D89">
            <w:pPr>
              <w:pStyle w:val="TableBody"/>
              <w:spacing w:before="20" w:line="270" w:lineRule="atLeast"/>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1A4E31">
              <w:rPr>
                <w:rFonts w:eastAsia="Times New Roman" w:cs="Arial"/>
                <w:szCs w:val="18"/>
                <w:lang w:eastAsia="en-AU"/>
              </w:rPr>
              <w:t>Aboriginal and Torres Strait Islander students reach their full potential through further education pathways</w:t>
            </w:r>
            <w:r w:rsidR="00445611">
              <w:rPr>
                <w:rFonts w:eastAsia="Times New Roman" w:cs="Arial"/>
                <w:szCs w:val="18"/>
                <w:lang w:eastAsia="en-AU"/>
              </w:rPr>
              <w:t>.</w:t>
            </w:r>
            <w:r w:rsidRPr="001A4E31">
              <w:rPr>
                <w:rFonts w:eastAsia="Times New Roman" w:cs="Arial"/>
                <w:szCs w:val="18"/>
                <w:lang w:eastAsia="en-AU"/>
              </w:rPr>
              <w:t> </w:t>
            </w:r>
          </w:p>
        </w:tc>
        <w:tc>
          <w:tcPr>
            <w:tcW w:w="6520" w:type="dxa"/>
            <w:tcBorders>
              <w:top w:val="dotted" w:sz="4" w:space="0" w:color="CB6027" w:themeColor="text2"/>
              <w:bottom w:val="dotted" w:sz="4" w:space="0" w:color="CB6027" w:themeColor="text2"/>
            </w:tcBorders>
          </w:tcPr>
          <w:p w14:paraId="1D2CA4C0" w14:textId="682257A7" w:rsidR="00EC1F8F" w:rsidRPr="00030C67" w:rsidRDefault="008414B5" w:rsidP="00843D89">
            <w:pPr>
              <w:pStyle w:val="TableBody"/>
              <w:spacing w:before="20" w:line="270" w:lineRule="atLeast"/>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8414B5">
              <w:rPr>
                <w:rFonts w:ascii="Arial (Body)" w:hAnsi="Arial (Body)"/>
                <w:color w:val="000000"/>
              </w:rPr>
              <w:t>By 2031, increase the proportion of Aboriginal and Torres Strait Islander people aged 25</w:t>
            </w:r>
            <w:r w:rsidR="00827859">
              <w:rPr>
                <w:rFonts w:ascii="Arial (Body)" w:hAnsi="Arial (Body)"/>
                <w:color w:val="000000"/>
              </w:rPr>
              <w:noBreakHyphen/>
            </w:r>
            <w:r w:rsidRPr="008414B5">
              <w:rPr>
                <w:rFonts w:ascii="Arial (Body)" w:hAnsi="Arial (Body)"/>
                <w:color w:val="000000"/>
              </w:rPr>
              <w:t>34 years who have completed a tertiary qualification (Certificate III and above) to 70</w:t>
            </w:r>
            <w:r w:rsidR="00445611">
              <w:rPr>
                <w:rFonts w:ascii="Arial (Body)" w:hAnsi="Arial (Body)"/>
                <w:color w:val="000000"/>
              </w:rPr>
              <w:t>%.</w:t>
            </w:r>
          </w:p>
        </w:tc>
      </w:tr>
      <w:tr w:rsidR="003D1763" w:rsidRPr="00030C67" w14:paraId="5FC7A335" w14:textId="77777777" w:rsidTr="000106E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268" w:type="dxa"/>
            <w:tcBorders>
              <w:top w:val="dotted" w:sz="4" w:space="0" w:color="CB6027" w:themeColor="text2"/>
              <w:bottom w:val="dotted" w:sz="4" w:space="0" w:color="CB6027" w:themeColor="text2"/>
            </w:tcBorders>
            <w:shd w:val="clear" w:color="auto" w:fill="FBF3EC"/>
          </w:tcPr>
          <w:p w14:paraId="7BA93684" w14:textId="178B9787" w:rsidR="00EC1F8F" w:rsidRPr="00CE0BD6" w:rsidRDefault="00DB3D38" w:rsidP="00843D89">
            <w:pPr>
              <w:pStyle w:val="TableHeading"/>
              <w:spacing w:before="20"/>
              <w:rPr>
                <w:i/>
                <w:iCs/>
              </w:rPr>
            </w:pPr>
            <w:r w:rsidRPr="00A07FBE">
              <w:rPr>
                <w:b/>
                <w:bCs/>
              </w:rPr>
              <w:t>SEO 7</w:t>
            </w:r>
            <w:r w:rsidR="00CE0BD6">
              <w:rPr>
                <w:b/>
                <w:bCs/>
              </w:rPr>
              <w:br/>
            </w:r>
            <w:r w:rsidR="00CE0BD6">
              <w:rPr>
                <w:i/>
                <w:iCs/>
              </w:rPr>
              <w:t>Youth engagement</w:t>
            </w:r>
          </w:p>
        </w:tc>
        <w:tc>
          <w:tcPr>
            <w:tcW w:w="5783" w:type="dxa"/>
            <w:tcBorders>
              <w:top w:val="dotted" w:sz="4" w:space="0" w:color="CB6027" w:themeColor="text2"/>
              <w:bottom w:val="dotted" w:sz="4" w:space="0" w:color="CB6027" w:themeColor="text2"/>
            </w:tcBorders>
            <w:shd w:val="clear" w:color="auto" w:fill="FBF3EC"/>
          </w:tcPr>
          <w:p w14:paraId="259D5A78" w14:textId="65868C9B" w:rsidR="00EC1F8F" w:rsidRPr="00030C67" w:rsidRDefault="00EC1F8F" w:rsidP="00843D89">
            <w:pPr>
              <w:pStyle w:val="TableBody"/>
              <w:spacing w:before="20" w:line="270" w:lineRule="atLeast"/>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1A4E31">
              <w:rPr>
                <w:rFonts w:eastAsia="Times New Roman" w:cs="Arial"/>
                <w:szCs w:val="18"/>
                <w:lang w:eastAsia="en-AU"/>
              </w:rPr>
              <w:t>Aboriginal and Torres Strait Islander youth are engaged in employment or education</w:t>
            </w:r>
            <w:r w:rsidR="00445611">
              <w:rPr>
                <w:rFonts w:eastAsia="Times New Roman" w:cs="Arial"/>
                <w:szCs w:val="18"/>
                <w:lang w:eastAsia="en-AU"/>
              </w:rPr>
              <w:t>.</w:t>
            </w:r>
            <w:r w:rsidRPr="001A4E31">
              <w:rPr>
                <w:rFonts w:eastAsia="Times New Roman" w:cs="Arial"/>
                <w:szCs w:val="18"/>
                <w:lang w:eastAsia="en-AU"/>
              </w:rPr>
              <w:t> </w:t>
            </w:r>
          </w:p>
        </w:tc>
        <w:tc>
          <w:tcPr>
            <w:tcW w:w="6520" w:type="dxa"/>
            <w:tcBorders>
              <w:top w:val="dotted" w:sz="4" w:space="0" w:color="CB6027" w:themeColor="text2"/>
              <w:bottom w:val="dotted" w:sz="4" w:space="0" w:color="CB6027" w:themeColor="text2"/>
            </w:tcBorders>
            <w:shd w:val="clear" w:color="auto" w:fill="FBF3EC"/>
          </w:tcPr>
          <w:p w14:paraId="20A47275" w14:textId="2213E532" w:rsidR="00EC1F8F" w:rsidRPr="00030C67" w:rsidRDefault="008414B5" w:rsidP="00843D89">
            <w:pPr>
              <w:pStyle w:val="TableBody"/>
              <w:spacing w:before="20" w:line="270" w:lineRule="atLeast"/>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8414B5">
              <w:rPr>
                <w:rFonts w:ascii="Arial (Body)" w:hAnsi="Arial (Body)"/>
                <w:color w:val="000000"/>
              </w:rPr>
              <w:t>By 2031, increase the proportion of Aboriginal and Torres Strait Islander youth (15</w:t>
            </w:r>
            <w:r w:rsidR="00827859">
              <w:rPr>
                <w:rFonts w:ascii="Arial (Body)" w:hAnsi="Arial (Body)"/>
                <w:color w:val="000000"/>
              </w:rPr>
              <w:noBreakHyphen/>
            </w:r>
            <w:r w:rsidRPr="008414B5">
              <w:rPr>
                <w:rFonts w:ascii="Arial (Body)" w:hAnsi="Arial (Body)"/>
                <w:color w:val="000000"/>
              </w:rPr>
              <w:t>24 years) who are in employment, education or training to 67</w:t>
            </w:r>
            <w:r w:rsidR="00445611">
              <w:rPr>
                <w:rFonts w:ascii="Arial (Body)" w:hAnsi="Arial (Body)"/>
                <w:color w:val="000000"/>
              </w:rPr>
              <w:t>%.</w:t>
            </w:r>
          </w:p>
        </w:tc>
      </w:tr>
      <w:tr w:rsidR="00E04A4F" w:rsidRPr="00030C67" w14:paraId="68FD1EDB" w14:textId="77777777" w:rsidTr="000106E6">
        <w:trPr>
          <w:trHeight w:val="74"/>
        </w:trPr>
        <w:tc>
          <w:tcPr>
            <w:cnfStyle w:val="001000000000" w:firstRow="0" w:lastRow="0" w:firstColumn="1" w:lastColumn="0" w:oddVBand="0" w:evenVBand="0" w:oddHBand="0" w:evenHBand="0" w:firstRowFirstColumn="0" w:firstRowLastColumn="0" w:lastRowFirstColumn="0" w:lastRowLastColumn="0"/>
            <w:tcW w:w="2268" w:type="dxa"/>
            <w:tcBorders>
              <w:top w:val="dotted" w:sz="4" w:space="0" w:color="CB6027" w:themeColor="text2"/>
              <w:bottom w:val="dotted" w:sz="4" w:space="0" w:color="CB6027" w:themeColor="text2"/>
            </w:tcBorders>
          </w:tcPr>
          <w:p w14:paraId="2B5BF24E" w14:textId="77777777" w:rsidR="00EC1F8F" w:rsidRDefault="00DB3D38" w:rsidP="00843D89">
            <w:pPr>
              <w:pStyle w:val="TableHeading"/>
              <w:spacing w:before="20"/>
              <w:rPr>
                <w:bCs/>
              </w:rPr>
            </w:pPr>
            <w:r w:rsidRPr="00A07FBE">
              <w:rPr>
                <w:b/>
                <w:bCs/>
              </w:rPr>
              <w:t>SEO 8</w:t>
            </w:r>
          </w:p>
          <w:p w14:paraId="355EB000" w14:textId="386A88B3" w:rsidR="00CE0BD6" w:rsidRPr="00CE0BD6" w:rsidRDefault="001F3466" w:rsidP="00843D89">
            <w:pPr>
              <w:pStyle w:val="TableHeading"/>
              <w:spacing w:before="20"/>
              <w:rPr>
                <w:i/>
                <w:iCs/>
              </w:rPr>
            </w:pPr>
            <w:r>
              <w:rPr>
                <w:i/>
                <w:iCs/>
              </w:rPr>
              <w:t>Eco</w:t>
            </w:r>
            <w:r w:rsidR="00B127E7">
              <w:rPr>
                <w:i/>
                <w:iCs/>
              </w:rPr>
              <w:t xml:space="preserve">nomic participation </w:t>
            </w:r>
            <w:r w:rsidR="00B45D1E">
              <w:rPr>
                <w:i/>
                <w:iCs/>
              </w:rPr>
              <w:t>and</w:t>
            </w:r>
            <w:r w:rsidR="00B127E7">
              <w:rPr>
                <w:i/>
                <w:iCs/>
              </w:rPr>
              <w:t xml:space="preserve"> development</w:t>
            </w:r>
          </w:p>
        </w:tc>
        <w:tc>
          <w:tcPr>
            <w:tcW w:w="5783" w:type="dxa"/>
            <w:tcBorders>
              <w:top w:val="dotted" w:sz="4" w:space="0" w:color="CB6027" w:themeColor="text2"/>
              <w:bottom w:val="dotted" w:sz="4" w:space="0" w:color="CB6027" w:themeColor="text2"/>
            </w:tcBorders>
          </w:tcPr>
          <w:p w14:paraId="0C92B05E" w14:textId="494D17B5" w:rsidR="00EC1F8F" w:rsidRPr="00030C67" w:rsidRDefault="00EC1F8F" w:rsidP="00843D89">
            <w:pPr>
              <w:pStyle w:val="TableBody"/>
              <w:spacing w:before="20" w:line="270" w:lineRule="atLeast"/>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1A4E31">
              <w:rPr>
                <w:rFonts w:eastAsia="Times New Roman" w:cs="Arial"/>
                <w:szCs w:val="18"/>
                <w:lang w:eastAsia="en-AU"/>
              </w:rPr>
              <w:t>Strong economic participation and development of Aboriginal and Torres Strait Islander people and communities</w:t>
            </w:r>
            <w:r w:rsidR="00445611">
              <w:rPr>
                <w:rFonts w:eastAsia="Times New Roman" w:cs="Arial"/>
                <w:szCs w:val="18"/>
                <w:lang w:eastAsia="en-AU"/>
              </w:rPr>
              <w:t>.</w:t>
            </w:r>
            <w:r w:rsidRPr="001A4E31">
              <w:rPr>
                <w:rFonts w:eastAsia="Times New Roman" w:cs="Arial"/>
                <w:szCs w:val="18"/>
                <w:lang w:eastAsia="en-AU"/>
              </w:rPr>
              <w:t> </w:t>
            </w:r>
          </w:p>
        </w:tc>
        <w:tc>
          <w:tcPr>
            <w:tcW w:w="6520" w:type="dxa"/>
            <w:tcBorders>
              <w:top w:val="dotted" w:sz="4" w:space="0" w:color="CB6027" w:themeColor="text2"/>
              <w:bottom w:val="dotted" w:sz="4" w:space="0" w:color="CB6027" w:themeColor="text2"/>
            </w:tcBorders>
          </w:tcPr>
          <w:p w14:paraId="7284BABF" w14:textId="4098BAE9" w:rsidR="00EC1F8F" w:rsidRPr="00030C67" w:rsidRDefault="008414B5" w:rsidP="00843D89">
            <w:pPr>
              <w:pStyle w:val="TableBody"/>
              <w:spacing w:before="20" w:line="270" w:lineRule="atLeast"/>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8414B5">
              <w:rPr>
                <w:rFonts w:ascii="Arial (Body)" w:hAnsi="Arial (Body)"/>
                <w:color w:val="000000"/>
              </w:rPr>
              <w:t>By 2031, increase the proportion of Aboriginal and Torres Strait Islander people aged 25</w:t>
            </w:r>
            <w:r w:rsidR="00827859">
              <w:rPr>
                <w:rFonts w:ascii="Arial (Body)" w:hAnsi="Arial (Body)"/>
                <w:color w:val="000000"/>
              </w:rPr>
              <w:noBreakHyphen/>
            </w:r>
            <w:r w:rsidRPr="008414B5">
              <w:rPr>
                <w:rFonts w:ascii="Arial (Body)" w:hAnsi="Arial (Body)"/>
                <w:color w:val="000000"/>
              </w:rPr>
              <w:t>64 who are employed to 62</w:t>
            </w:r>
            <w:r w:rsidR="00445611">
              <w:rPr>
                <w:rFonts w:ascii="Arial (Body)" w:hAnsi="Arial (Body)"/>
                <w:color w:val="000000"/>
              </w:rPr>
              <w:t>%.</w:t>
            </w:r>
          </w:p>
        </w:tc>
      </w:tr>
      <w:tr w:rsidR="003D1763" w:rsidRPr="00030C67" w14:paraId="49001868" w14:textId="77777777" w:rsidTr="000106E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268" w:type="dxa"/>
            <w:tcBorders>
              <w:top w:val="dotted" w:sz="4" w:space="0" w:color="CB6027" w:themeColor="text2"/>
              <w:bottom w:val="dotted" w:sz="4" w:space="0" w:color="CB6027" w:themeColor="text2"/>
            </w:tcBorders>
            <w:shd w:val="clear" w:color="auto" w:fill="FBF3EC"/>
          </w:tcPr>
          <w:p w14:paraId="024C6F76" w14:textId="77777777" w:rsidR="00EC1F8F" w:rsidRDefault="00DB3D38" w:rsidP="00843D89">
            <w:pPr>
              <w:pStyle w:val="TableHeading"/>
              <w:spacing w:before="20"/>
              <w:rPr>
                <w:bCs/>
              </w:rPr>
            </w:pPr>
            <w:r w:rsidRPr="00A07FBE">
              <w:rPr>
                <w:b/>
                <w:bCs/>
              </w:rPr>
              <w:t>SEO 9</w:t>
            </w:r>
          </w:p>
          <w:p w14:paraId="383CCF50" w14:textId="3F24CE37" w:rsidR="00CE0BD6" w:rsidRPr="00CE0BD6" w:rsidRDefault="001F3466" w:rsidP="00843D89">
            <w:pPr>
              <w:pStyle w:val="TableHeading"/>
              <w:spacing w:before="20"/>
              <w:rPr>
                <w:i/>
                <w:iCs/>
              </w:rPr>
            </w:pPr>
            <w:r>
              <w:rPr>
                <w:i/>
                <w:iCs/>
              </w:rPr>
              <w:t>Housing</w:t>
            </w:r>
          </w:p>
        </w:tc>
        <w:tc>
          <w:tcPr>
            <w:tcW w:w="5783" w:type="dxa"/>
            <w:tcBorders>
              <w:top w:val="dotted" w:sz="4" w:space="0" w:color="CB6027" w:themeColor="text2"/>
              <w:bottom w:val="dotted" w:sz="4" w:space="0" w:color="CB6027" w:themeColor="text2"/>
            </w:tcBorders>
            <w:shd w:val="clear" w:color="auto" w:fill="FBF3EC"/>
          </w:tcPr>
          <w:p w14:paraId="0FEA10A6" w14:textId="25ED28E9" w:rsidR="00EC1F8F" w:rsidRPr="00030C67" w:rsidRDefault="00EC1F8F" w:rsidP="00843D89">
            <w:pPr>
              <w:pStyle w:val="TableBody"/>
              <w:spacing w:before="20" w:line="270" w:lineRule="atLeast"/>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1A4E31">
              <w:rPr>
                <w:rFonts w:eastAsia="Times New Roman" w:cs="Arial"/>
                <w:szCs w:val="18"/>
                <w:lang w:eastAsia="en-AU"/>
              </w:rPr>
              <w:t>Aboriginal and Torres Strait Islander people secure appropriate, affordable housing that is aligned with their priorities and need</w:t>
            </w:r>
            <w:r w:rsidR="00BE5C8D">
              <w:rPr>
                <w:rFonts w:eastAsia="Times New Roman" w:cs="Arial"/>
                <w:szCs w:val="18"/>
                <w:lang w:eastAsia="en-AU"/>
              </w:rPr>
              <w:t>.</w:t>
            </w:r>
            <w:r w:rsidRPr="001A4E31">
              <w:rPr>
                <w:rFonts w:eastAsia="Times New Roman" w:cs="Arial"/>
                <w:szCs w:val="18"/>
                <w:lang w:eastAsia="en-AU"/>
              </w:rPr>
              <w:t> </w:t>
            </w:r>
          </w:p>
        </w:tc>
        <w:tc>
          <w:tcPr>
            <w:tcW w:w="6520" w:type="dxa"/>
            <w:tcBorders>
              <w:top w:val="dotted" w:sz="4" w:space="0" w:color="CB6027" w:themeColor="text2"/>
              <w:bottom w:val="dotted" w:sz="4" w:space="0" w:color="CB6027" w:themeColor="text2"/>
            </w:tcBorders>
            <w:shd w:val="clear" w:color="auto" w:fill="FBF3EC"/>
          </w:tcPr>
          <w:p w14:paraId="08231923" w14:textId="6DAC1FFB" w:rsidR="007623F0" w:rsidRDefault="008414B5" w:rsidP="00843D89">
            <w:pPr>
              <w:pStyle w:val="TableBody"/>
              <w:numPr>
                <w:ilvl w:val="7"/>
                <w:numId w:val="10"/>
              </w:numPr>
              <w:spacing w:before="20" w:line="270" w:lineRule="atLeast"/>
              <w:ind w:left="284"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8414B5">
              <w:rPr>
                <w:rFonts w:ascii="Arial (Body)" w:hAnsi="Arial (Body)"/>
                <w:color w:val="000000"/>
              </w:rPr>
              <w:t>By 2031, increase the proportion of Aboriginal and Torres Strait Islander people living in appropriately sized (not overcrowded) housing to 88</w:t>
            </w:r>
            <w:r w:rsidR="00BE5C8D">
              <w:rPr>
                <w:rFonts w:ascii="Arial (Body)" w:hAnsi="Arial (Body)"/>
                <w:color w:val="000000"/>
              </w:rPr>
              <w:t>%.</w:t>
            </w:r>
          </w:p>
          <w:p w14:paraId="7D69BE3D" w14:textId="77777777" w:rsidR="007623F0" w:rsidRDefault="007623F0" w:rsidP="00843D89">
            <w:pPr>
              <w:pStyle w:val="TableBody"/>
              <w:numPr>
                <w:ilvl w:val="7"/>
                <w:numId w:val="10"/>
              </w:numPr>
              <w:spacing w:before="20" w:line="270" w:lineRule="atLeast"/>
              <w:ind w:left="284"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7623F0">
              <w:rPr>
                <w:rFonts w:ascii="Arial (Body)" w:hAnsi="Arial (Body)"/>
                <w:color w:val="000000"/>
              </w:rPr>
              <w:t>By 2031, all Aboriginal and Torres Strait Islander households:</w:t>
            </w:r>
          </w:p>
          <w:p w14:paraId="3253D0A5" w14:textId="0F26773E" w:rsidR="007623F0" w:rsidRPr="003243CB" w:rsidRDefault="007623F0" w:rsidP="00843D89">
            <w:pPr>
              <w:pStyle w:val="TableBody"/>
              <w:numPr>
                <w:ilvl w:val="8"/>
                <w:numId w:val="10"/>
              </w:numPr>
              <w:spacing w:before="20" w:line="270" w:lineRule="atLeast"/>
              <w:ind w:left="511" w:right="108" w:hanging="227"/>
              <w:cnfStyle w:val="000000100000" w:firstRow="0" w:lastRow="0" w:firstColumn="0" w:lastColumn="0" w:oddVBand="0" w:evenVBand="0" w:oddHBand="1" w:evenHBand="0" w:firstRowFirstColumn="0" w:firstRowLastColumn="0" w:lastRowFirstColumn="0" w:lastRowLastColumn="0"/>
              <w:rPr>
                <w:rFonts w:ascii="Arial (Body)" w:hAnsi="Arial (Body)"/>
                <w:color w:val="000000"/>
                <w:spacing w:val="-4"/>
              </w:rPr>
            </w:pPr>
            <w:r w:rsidRPr="003243CB">
              <w:rPr>
                <w:rFonts w:ascii="Arial (Body)" w:hAnsi="Arial (Body)"/>
                <w:color w:val="000000"/>
                <w:spacing w:val="-4"/>
              </w:rPr>
              <w:t xml:space="preserve">within discrete Aboriginal and Torres Strait Islander communities receive essential services that meet or exceed the relevant jurisdictional standard </w:t>
            </w:r>
          </w:p>
          <w:p w14:paraId="218D68F4" w14:textId="656C6D76" w:rsidR="007623F0" w:rsidRPr="007623F0" w:rsidRDefault="007623F0" w:rsidP="00843D89">
            <w:pPr>
              <w:pStyle w:val="TableBody"/>
              <w:numPr>
                <w:ilvl w:val="8"/>
                <w:numId w:val="10"/>
              </w:numPr>
              <w:spacing w:before="20" w:line="270" w:lineRule="atLeast"/>
              <w:ind w:left="511" w:right="108" w:hanging="227"/>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7623F0">
              <w:rPr>
                <w:rFonts w:ascii="Arial (Body)" w:hAnsi="Arial (Body)"/>
                <w:color w:val="000000"/>
              </w:rPr>
              <w:t xml:space="preserve">in or near to a town receive essential services that meet or exceed the same standard as applies generally within the town (including if the household might be classified for other purposes as a part of a discrete settlement such as a </w:t>
            </w:r>
            <w:r w:rsidR="00BE5C8D">
              <w:rPr>
                <w:rFonts w:ascii="Arial (Body)" w:hAnsi="Arial (Body)"/>
                <w:color w:val="000000"/>
              </w:rPr>
              <w:t>‘</w:t>
            </w:r>
            <w:r w:rsidRPr="007623F0">
              <w:rPr>
                <w:rFonts w:ascii="Arial (Body)" w:hAnsi="Arial (Body)"/>
                <w:color w:val="000000"/>
              </w:rPr>
              <w:t>town camp</w:t>
            </w:r>
            <w:r w:rsidR="00BE5C8D">
              <w:rPr>
                <w:rFonts w:ascii="Arial (Body)" w:hAnsi="Arial (Body)"/>
                <w:color w:val="000000"/>
              </w:rPr>
              <w:t>’</w:t>
            </w:r>
            <w:r w:rsidRPr="007623F0">
              <w:rPr>
                <w:rFonts w:ascii="Arial (Body)" w:hAnsi="Arial (Body)"/>
                <w:color w:val="000000"/>
              </w:rPr>
              <w:t xml:space="preserve"> or </w:t>
            </w:r>
            <w:r w:rsidR="00BE5C8D">
              <w:rPr>
                <w:rFonts w:ascii="Arial (Body)" w:hAnsi="Arial (Body)"/>
                <w:color w:val="000000"/>
              </w:rPr>
              <w:t>‘</w:t>
            </w:r>
            <w:r w:rsidRPr="007623F0">
              <w:rPr>
                <w:rFonts w:ascii="Arial (Body)" w:hAnsi="Arial (Body)"/>
                <w:color w:val="000000"/>
              </w:rPr>
              <w:t>town based reserve</w:t>
            </w:r>
            <w:r w:rsidR="00BE5C8D">
              <w:rPr>
                <w:rFonts w:ascii="Arial (Body)" w:hAnsi="Arial (Body)"/>
                <w:color w:val="000000"/>
              </w:rPr>
              <w:t>’</w:t>
            </w:r>
            <w:r w:rsidRPr="007623F0">
              <w:rPr>
                <w:rFonts w:ascii="Arial (Body)" w:hAnsi="Arial (Body)"/>
                <w:color w:val="000000"/>
              </w:rPr>
              <w:t>)</w:t>
            </w:r>
            <w:r w:rsidR="008B4E8D">
              <w:rPr>
                <w:rFonts w:ascii="Arial (Body)" w:hAnsi="Arial (Body)"/>
                <w:color w:val="000000"/>
              </w:rPr>
              <w:t>.</w:t>
            </w:r>
          </w:p>
        </w:tc>
      </w:tr>
      <w:tr w:rsidR="00A07FBE" w:rsidRPr="00030C67" w14:paraId="71069E9C" w14:textId="77777777" w:rsidTr="000106E6">
        <w:trPr>
          <w:trHeight w:val="74"/>
        </w:trPr>
        <w:tc>
          <w:tcPr>
            <w:cnfStyle w:val="001000000000" w:firstRow="0" w:lastRow="0" w:firstColumn="1" w:lastColumn="0" w:oddVBand="0" w:evenVBand="0" w:oddHBand="0" w:evenHBand="0" w:firstRowFirstColumn="0" w:firstRowLastColumn="0" w:lastRowFirstColumn="0" w:lastRowLastColumn="0"/>
            <w:tcW w:w="2268" w:type="dxa"/>
            <w:tcBorders>
              <w:top w:val="dotted" w:sz="4" w:space="0" w:color="CB6027" w:themeColor="text2"/>
              <w:bottom w:val="dotted" w:sz="4" w:space="0" w:color="CB6027" w:themeColor="text2"/>
            </w:tcBorders>
          </w:tcPr>
          <w:p w14:paraId="5B4335A9" w14:textId="77777777" w:rsidR="00EC1F8F" w:rsidRDefault="00DB3D38" w:rsidP="00843D89">
            <w:pPr>
              <w:pStyle w:val="TableHeading"/>
              <w:spacing w:before="20"/>
              <w:rPr>
                <w:bCs/>
              </w:rPr>
            </w:pPr>
            <w:r w:rsidRPr="00A07FBE">
              <w:rPr>
                <w:b/>
                <w:bCs/>
              </w:rPr>
              <w:lastRenderedPageBreak/>
              <w:t>SEO 10</w:t>
            </w:r>
          </w:p>
          <w:p w14:paraId="1346E76B" w14:textId="610E9722" w:rsidR="00CE0BD6" w:rsidRPr="00CE0BD6" w:rsidRDefault="001F3466" w:rsidP="00843D89">
            <w:pPr>
              <w:pStyle w:val="TableHeading"/>
              <w:spacing w:before="20"/>
              <w:rPr>
                <w:i/>
                <w:iCs/>
              </w:rPr>
            </w:pPr>
            <w:r>
              <w:rPr>
                <w:i/>
                <w:iCs/>
              </w:rPr>
              <w:t>Criminal justice</w:t>
            </w:r>
          </w:p>
        </w:tc>
        <w:tc>
          <w:tcPr>
            <w:tcW w:w="5783" w:type="dxa"/>
            <w:tcBorders>
              <w:top w:val="dotted" w:sz="4" w:space="0" w:color="CB6027" w:themeColor="text2"/>
              <w:bottom w:val="dotted" w:sz="4" w:space="0" w:color="CB6027" w:themeColor="text2"/>
            </w:tcBorders>
          </w:tcPr>
          <w:p w14:paraId="2228A613" w14:textId="2D575E14" w:rsidR="00EC1F8F" w:rsidRPr="00030C67" w:rsidRDefault="00EC1F8F" w:rsidP="00843D89">
            <w:pPr>
              <w:pStyle w:val="TableBody"/>
              <w:spacing w:before="20" w:line="270" w:lineRule="atLeast"/>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1A4E31">
              <w:rPr>
                <w:rFonts w:eastAsia="Times New Roman" w:cs="Arial"/>
                <w:szCs w:val="18"/>
                <w:lang w:eastAsia="en-AU"/>
              </w:rPr>
              <w:t>Aboriginal and Torres Strait Islander people are not overrepresented in the criminal justice system</w:t>
            </w:r>
            <w:r w:rsidR="00BE5C8D">
              <w:rPr>
                <w:rFonts w:eastAsia="Times New Roman" w:cs="Arial"/>
                <w:szCs w:val="18"/>
                <w:lang w:eastAsia="en-AU"/>
              </w:rPr>
              <w:t>.</w:t>
            </w:r>
            <w:r w:rsidRPr="001A4E31">
              <w:rPr>
                <w:rFonts w:eastAsia="Times New Roman" w:cs="Arial"/>
                <w:szCs w:val="18"/>
                <w:lang w:eastAsia="en-AU"/>
              </w:rPr>
              <w:t> </w:t>
            </w:r>
          </w:p>
        </w:tc>
        <w:tc>
          <w:tcPr>
            <w:tcW w:w="6520" w:type="dxa"/>
            <w:tcBorders>
              <w:top w:val="dotted" w:sz="4" w:space="0" w:color="CB6027" w:themeColor="text2"/>
              <w:bottom w:val="dotted" w:sz="4" w:space="0" w:color="CB6027" w:themeColor="text2"/>
            </w:tcBorders>
          </w:tcPr>
          <w:p w14:paraId="0C77F535" w14:textId="4688394D" w:rsidR="00EC1F8F" w:rsidRPr="00030C67" w:rsidRDefault="00213775" w:rsidP="00843D89">
            <w:pPr>
              <w:pStyle w:val="TableBody"/>
              <w:spacing w:before="20" w:line="270" w:lineRule="atLeast"/>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213775">
              <w:rPr>
                <w:rFonts w:ascii="Arial (Body)" w:hAnsi="Arial (Body)"/>
                <w:color w:val="000000"/>
              </w:rPr>
              <w:t>By 2031, reduce the rate of Aboriginal and Torres Strait Islander adults held in incarceration by at least 15</w:t>
            </w:r>
            <w:r w:rsidR="00BE5C8D">
              <w:rPr>
                <w:rFonts w:ascii="Arial (Body)" w:hAnsi="Arial (Body)"/>
                <w:color w:val="000000"/>
              </w:rPr>
              <w:t>%.</w:t>
            </w:r>
          </w:p>
        </w:tc>
      </w:tr>
      <w:tr w:rsidR="003D1763" w:rsidRPr="00030C67" w14:paraId="048CAAED" w14:textId="77777777" w:rsidTr="000106E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268" w:type="dxa"/>
            <w:tcBorders>
              <w:top w:val="dotted" w:sz="4" w:space="0" w:color="CB6027" w:themeColor="text2"/>
              <w:bottom w:val="dotted" w:sz="4" w:space="0" w:color="CB6027" w:themeColor="text2"/>
            </w:tcBorders>
            <w:shd w:val="clear" w:color="auto" w:fill="FBF3EC"/>
          </w:tcPr>
          <w:p w14:paraId="3AFE3CBE" w14:textId="77777777" w:rsidR="00EC1F8F" w:rsidRDefault="00DB3D38" w:rsidP="00843D89">
            <w:pPr>
              <w:pStyle w:val="TableHeading"/>
              <w:spacing w:before="20"/>
              <w:rPr>
                <w:bCs/>
              </w:rPr>
            </w:pPr>
            <w:r w:rsidRPr="00A07FBE">
              <w:rPr>
                <w:b/>
                <w:bCs/>
              </w:rPr>
              <w:t>SEO 11</w:t>
            </w:r>
          </w:p>
          <w:p w14:paraId="45BF752F" w14:textId="4B193114" w:rsidR="00CE0BD6" w:rsidRPr="00A07FBE" w:rsidRDefault="001F3466" w:rsidP="00843D89">
            <w:pPr>
              <w:pStyle w:val="TableHeading"/>
              <w:spacing w:before="20"/>
              <w:rPr>
                <w:b/>
                <w:bCs/>
              </w:rPr>
            </w:pPr>
            <w:r>
              <w:rPr>
                <w:i/>
                <w:iCs/>
              </w:rPr>
              <w:t>Youth justice</w:t>
            </w:r>
          </w:p>
        </w:tc>
        <w:tc>
          <w:tcPr>
            <w:tcW w:w="5783" w:type="dxa"/>
            <w:tcBorders>
              <w:top w:val="dotted" w:sz="4" w:space="0" w:color="CB6027" w:themeColor="text2"/>
              <w:bottom w:val="dotted" w:sz="4" w:space="0" w:color="CB6027" w:themeColor="text2"/>
            </w:tcBorders>
            <w:shd w:val="clear" w:color="auto" w:fill="FBF3EC"/>
          </w:tcPr>
          <w:p w14:paraId="5CFF574D" w14:textId="27E992E6" w:rsidR="00EC1F8F" w:rsidRPr="00030C67" w:rsidRDefault="00EC1F8F" w:rsidP="00843D89">
            <w:pPr>
              <w:pStyle w:val="TableBody"/>
              <w:spacing w:before="20" w:line="270" w:lineRule="atLeast"/>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1A4E31">
              <w:rPr>
                <w:rFonts w:eastAsia="Times New Roman" w:cs="Arial"/>
                <w:szCs w:val="18"/>
                <w:lang w:eastAsia="en-AU"/>
              </w:rPr>
              <w:t>Aboriginal and Torres Strait Islander young people are not overrepresented in the criminal justice system</w:t>
            </w:r>
            <w:r w:rsidR="00BE5C8D">
              <w:rPr>
                <w:rFonts w:eastAsia="Times New Roman" w:cs="Arial"/>
                <w:szCs w:val="18"/>
                <w:lang w:eastAsia="en-AU"/>
              </w:rPr>
              <w:t>.</w:t>
            </w:r>
            <w:r w:rsidRPr="001A4E31">
              <w:rPr>
                <w:rFonts w:eastAsia="Times New Roman" w:cs="Arial"/>
                <w:szCs w:val="18"/>
                <w:lang w:eastAsia="en-AU"/>
              </w:rPr>
              <w:t> </w:t>
            </w:r>
          </w:p>
        </w:tc>
        <w:tc>
          <w:tcPr>
            <w:tcW w:w="6520" w:type="dxa"/>
            <w:tcBorders>
              <w:top w:val="dotted" w:sz="4" w:space="0" w:color="CB6027" w:themeColor="text2"/>
              <w:bottom w:val="dotted" w:sz="4" w:space="0" w:color="CB6027" w:themeColor="text2"/>
            </w:tcBorders>
            <w:shd w:val="clear" w:color="auto" w:fill="FBF3EC"/>
          </w:tcPr>
          <w:p w14:paraId="4AC50CE6" w14:textId="50AE31A7" w:rsidR="00EC1F8F" w:rsidRPr="00030C67" w:rsidRDefault="00213775" w:rsidP="00843D89">
            <w:pPr>
              <w:pStyle w:val="TableBody"/>
              <w:spacing w:before="20" w:line="270" w:lineRule="atLeast"/>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213775">
              <w:rPr>
                <w:rFonts w:ascii="Arial (Body)" w:hAnsi="Arial (Body)"/>
                <w:color w:val="000000"/>
              </w:rPr>
              <w:t>By 2031, reduce the rate of Aboriginal and Torres Strait Islander young people (10</w:t>
            </w:r>
            <w:r w:rsidR="00827859">
              <w:rPr>
                <w:rFonts w:ascii="Arial (Body)" w:hAnsi="Arial (Body)"/>
                <w:color w:val="000000"/>
              </w:rPr>
              <w:noBreakHyphen/>
            </w:r>
            <w:r w:rsidRPr="00213775">
              <w:rPr>
                <w:rFonts w:ascii="Arial (Body)" w:hAnsi="Arial (Body)"/>
                <w:color w:val="000000"/>
              </w:rPr>
              <w:t>17 years) in detention by at least 30</w:t>
            </w:r>
            <w:r w:rsidR="00BE5C8D">
              <w:rPr>
                <w:rFonts w:ascii="Arial (Body)" w:hAnsi="Arial (Body)"/>
                <w:color w:val="000000"/>
              </w:rPr>
              <w:t>%.</w:t>
            </w:r>
          </w:p>
        </w:tc>
      </w:tr>
      <w:tr w:rsidR="00A07FBE" w:rsidRPr="00030C67" w14:paraId="217B3B2C" w14:textId="77777777" w:rsidTr="000106E6">
        <w:trPr>
          <w:trHeight w:val="74"/>
        </w:trPr>
        <w:tc>
          <w:tcPr>
            <w:cnfStyle w:val="001000000000" w:firstRow="0" w:lastRow="0" w:firstColumn="1" w:lastColumn="0" w:oddVBand="0" w:evenVBand="0" w:oddHBand="0" w:evenHBand="0" w:firstRowFirstColumn="0" w:firstRowLastColumn="0" w:lastRowFirstColumn="0" w:lastRowLastColumn="0"/>
            <w:tcW w:w="2268" w:type="dxa"/>
            <w:tcBorders>
              <w:top w:val="dotted" w:sz="4" w:space="0" w:color="CB6027" w:themeColor="text2"/>
              <w:bottom w:val="dotted" w:sz="4" w:space="0" w:color="CB6027" w:themeColor="text2"/>
            </w:tcBorders>
          </w:tcPr>
          <w:p w14:paraId="1DBD71DD" w14:textId="77777777" w:rsidR="00EC1F8F" w:rsidRDefault="00DB3D38" w:rsidP="00843D89">
            <w:pPr>
              <w:pStyle w:val="TableHeading"/>
              <w:spacing w:before="20"/>
              <w:rPr>
                <w:bCs/>
              </w:rPr>
            </w:pPr>
            <w:r w:rsidRPr="00A07FBE">
              <w:rPr>
                <w:b/>
                <w:bCs/>
              </w:rPr>
              <w:t>SEO 12</w:t>
            </w:r>
          </w:p>
          <w:p w14:paraId="5E0BCD30" w14:textId="21655D6A" w:rsidR="00B127E7" w:rsidRPr="00B127E7" w:rsidRDefault="00B127E7" w:rsidP="00843D89">
            <w:pPr>
              <w:pStyle w:val="TableHeading"/>
              <w:spacing w:before="20"/>
              <w:rPr>
                <w:i/>
                <w:iCs/>
              </w:rPr>
            </w:pPr>
            <w:r>
              <w:rPr>
                <w:i/>
                <w:iCs/>
              </w:rPr>
              <w:t>Child protection</w:t>
            </w:r>
          </w:p>
        </w:tc>
        <w:tc>
          <w:tcPr>
            <w:tcW w:w="5783" w:type="dxa"/>
            <w:tcBorders>
              <w:top w:val="dotted" w:sz="4" w:space="0" w:color="CB6027" w:themeColor="text2"/>
              <w:bottom w:val="dotted" w:sz="4" w:space="0" w:color="CB6027" w:themeColor="text2"/>
            </w:tcBorders>
          </w:tcPr>
          <w:p w14:paraId="05CB88B3" w14:textId="7887C97D" w:rsidR="00EC1F8F" w:rsidRPr="00030C67" w:rsidRDefault="00EC1F8F" w:rsidP="00843D89">
            <w:pPr>
              <w:pStyle w:val="TableBody"/>
              <w:spacing w:before="20" w:line="270" w:lineRule="atLeast"/>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1A4E31">
              <w:rPr>
                <w:rFonts w:eastAsia="Times New Roman" w:cs="Arial"/>
                <w:szCs w:val="18"/>
                <w:lang w:eastAsia="en-AU"/>
              </w:rPr>
              <w:t>Aboriginal and Torres Strait Islander children are not overrepresented in the child protection system</w:t>
            </w:r>
            <w:r w:rsidR="00BE5C8D">
              <w:rPr>
                <w:rFonts w:eastAsia="Times New Roman" w:cs="Arial"/>
                <w:szCs w:val="18"/>
                <w:lang w:eastAsia="en-AU"/>
              </w:rPr>
              <w:t>.</w:t>
            </w:r>
            <w:r w:rsidRPr="001A4E31">
              <w:rPr>
                <w:rFonts w:eastAsia="Times New Roman" w:cs="Arial"/>
                <w:szCs w:val="18"/>
                <w:lang w:eastAsia="en-AU"/>
              </w:rPr>
              <w:t> </w:t>
            </w:r>
          </w:p>
        </w:tc>
        <w:tc>
          <w:tcPr>
            <w:tcW w:w="6520" w:type="dxa"/>
            <w:tcBorders>
              <w:top w:val="dotted" w:sz="4" w:space="0" w:color="CB6027" w:themeColor="text2"/>
              <w:bottom w:val="dotted" w:sz="4" w:space="0" w:color="CB6027" w:themeColor="text2"/>
            </w:tcBorders>
          </w:tcPr>
          <w:p w14:paraId="6C4801D5" w14:textId="415AFD45" w:rsidR="00EC1F8F" w:rsidRPr="00030C67" w:rsidRDefault="00213775" w:rsidP="00843D89">
            <w:pPr>
              <w:pStyle w:val="TableBody"/>
              <w:spacing w:before="20" w:line="270" w:lineRule="atLeast"/>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213775">
              <w:rPr>
                <w:rFonts w:ascii="Arial (Body)" w:hAnsi="Arial (Body)"/>
                <w:color w:val="000000"/>
              </w:rPr>
              <w:t>By 2031, reduce the rate of over</w:t>
            </w:r>
            <w:r w:rsidR="00827859">
              <w:rPr>
                <w:rFonts w:ascii="Arial (Body)" w:hAnsi="Arial (Body)"/>
                <w:color w:val="000000"/>
              </w:rPr>
              <w:noBreakHyphen/>
            </w:r>
            <w:r w:rsidRPr="00213775">
              <w:rPr>
                <w:rFonts w:ascii="Arial (Body)" w:hAnsi="Arial (Body)"/>
                <w:color w:val="000000"/>
              </w:rPr>
              <w:t>representation of Aboriginal and Torres Strait Islander children in out</w:t>
            </w:r>
            <w:r w:rsidR="00827859">
              <w:rPr>
                <w:rFonts w:ascii="Arial (Body)" w:hAnsi="Arial (Body)"/>
                <w:color w:val="000000"/>
              </w:rPr>
              <w:noBreakHyphen/>
            </w:r>
            <w:r w:rsidRPr="00213775">
              <w:rPr>
                <w:rFonts w:ascii="Arial (Body)" w:hAnsi="Arial (Body)"/>
                <w:color w:val="000000"/>
              </w:rPr>
              <w:t>of</w:t>
            </w:r>
            <w:r w:rsidR="00827859">
              <w:rPr>
                <w:rFonts w:ascii="Arial (Body)" w:hAnsi="Arial (Body)"/>
                <w:color w:val="000000"/>
              </w:rPr>
              <w:noBreakHyphen/>
            </w:r>
            <w:r w:rsidRPr="00213775">
              <w:rPr>
                <w:rFonts w:ascii="Arial (Body)" w:hAnsi="Arial (Body)"/>
                <w:color w:val="000000"/>
              </w:rPr>
              <w:t>home care by 45</w:t>
            </w:r>
            <w:r w:rsidR="00BE5C8D">
              <w:rPr>
                <w:rFonts w:ascii="Arial (Body)" w:hAnsi="Arial (Body)"/>
                <w:color w:val="000000"/>
              </w:rPr>
              <w:t>%.</w:t>
            </w:r>
          </w:p>
        </w:tc>
      </w:tr>
      <w:tr w:rsidR="003D1763" w:rsidRPr="00030C67" w14:paraId="332C1A1D" w14:textId="77777777" w:rsidTr="000106E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268" w:type="dxa"/>
            <w:tcBorders>
              <w:top w:val="dotted" w:sz="4" w:space="0" w:color="CB6027" w:themeColor="text2"/>
              <w:bottom w:val="dotted" w:sz="4" w:space="0" w:color="CB6027" w:themeColor="text2"/>
            </w:tcBorders>
            <w:shd w:val="clear" w:color="auto" w:fill="FBF3EC"/>
          </w:tcPr>
          <w:p w14:paraId="73F2A3C3" w14:textId="77777777" w:rsidR="00EC1F8F" w:rsidRDefault="00DB3D38" w:rsidP="00843D89">
            <w:pPr>
              <w:pStyle w:val="TableHeading"/>
              <w:spacing w:before="20"/>
              <w:rPr>
                <w:bCs/>
              </w:rPr>
            </w:pPr>
            <w:r w:rsidRPr="00A07FBE">
              <w:rPr>
                <w:b/>
                <w:bCs/>
              </w:rPr>
              <w:t>SEO 13</w:t>
            </w:r>
          </w:p>
          <w:p w14:paraId="542DCD59" w14:textId="27B2D71B" w:rsidR="0098639D" w:rsidRPr="0098639D" w:rsidRDefault="0098639D" w:rsidP="00843D89">
            <w:pPr>
              <w:pStyle w:val="TableHeading"/>
              <w:spacing w:before="20"/>
              <w:rPr>
                <w:i/>
                <w:iCs/>
              </w:rPr>
            </w:pPr>
            <w:r>
              <w:rPr>
                <w:i/>
                <w:iCs/>
              </w:rPr>
              <w:t>Family safety</w:t>
            </w:r>
          </w:p>
        </w:tc>
        <w:tc>
          <w:tcPr>
            <w:tcW w:w="5783" w:type="dxa"/>
            <w:tcBorders>
              <w:top w:val="dotted" w:sz="4" w:space="0" w:color="CB6027" w:themeColor="text2"/>
              <w:bottom w:val="dotted" w:sz="4" w:space="0" w:color="CB6027" w:themeColor="text2"/>
            </w:tcBorders>
            <w:shd w:val="clear" w:color="auto" w:fill="FBF3EC"/>
          </w:tcPr>
          <w:p w14:paraId="7C2BB9E0" w14:textId="0BB03724" w:rsidR="00EC1F8F" w:rsidRPr="00030C67" w:rsidRDefault="00EC1F8F" w:rsidP="00843D89">
            <w:pPr>
              <w:pStyle w:val="TableBody"/>
              <w:spacing w:before="20" w:line="270" w:lineRule="atLeast"/>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1A4E31">
              <w:rPr>
                <w:rFonts w:eastAsia="Times New Roman" w:cs="Arial"/>
                <w:szCs w:val="18"/>
                <w:lang w:eastAsia="en-AU"/>
              </w:rPr>
              <w:t>Aboriginal and Torres Strait Islander families and households are safe</w:t>
            </w:r>
            <w:r w:rsidR="00BE5C8D">
              <w:rPr>
                <w:rFonts w:eastAsia="Times New Roman" w:cs="Arial"/>
                <w:szCs w:val="18"/>
                <w:lang w:eastAsia="en-AU"/>
              </w:rPr>
              <w:t>.</w:t>
            </w:r>
          </w:p>
        </w:tc>
        <w:tc>
          <w:tcPr>
            <w:tcW w:w="6520" w:type="dxa"/>
            <w:tcBorders>
              <w:top w:val="dotted" w:sz="4" w:space="0" w:color="CB6027" w:themeColor="text2"/>
              <w:bottom w:val="dotted" w:sz="4" w:space="0" w:color="CB6027" w:themeColor="text2"/>
            </w:tcBorders>
            <w:shd w:val="clear" w:color="auto" w:fill="FBF3EC"/>
          </w:tcPr>
          <w:p w14:paraId="3486D1D1" w14:textId="63A06CB9" w:rsidR="00EC1F8F" w:rsidRPr="00030C67" w:rsidRDefault="00213775" w:rsidP="00843D89">
            <w:pPr>
              <w:pStyle w:val="TableBody"/>
              <w:spacing w:before="20" w:line="270" w:lineRule="atLeast"/>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213775">
              <w:rPr>
                <w:rFonts w:ascii="Arial (Body)" w:hAnsi="Arial (Body)"/>
                <w:color w:val="000000"/>
              </w:rPr>
              <w:t>By 2031, the rate of all forms of family violence and abuse against Aboriginal and Torres Strait Islander women and children is reduced at least by 50%, as progress towards zero</w:t>
            </w:r>
            <w:r w:rsidR="00F10E9B">
              <w:rPr>
                <w:rFonts w:ascii="Arial (Body)" w:hAnsi="Arial (Body)"/>
                <w:color w:val="000000"/>
              </w:rPr>
              <w:t>.</w:t>
            </w:r>
          </w:p>
        </w:tc>
      </w:tr>
      <w:tr w:rsidR="00A07FBE" w:rsidRPr="00030C67" w14:paraId="16334B4E" w14:textId="77777777" w:rsidTr="000106E6">
        <w:trPr>
          <w:trHeight w:val="74"/>
        </w:trPr>
        <w:tc>
          <w:tcPr>
            <w:cnfStyle w:val="001000000000" w:firstRow="0" w:lastRow="0" w:firstColumn="1" w:lastColumn="0" w:oddVBand="0" w:evenVBand="0" w:oddHBand="0" w:evenHBand="0" w:firstRowFirstColumn="0" w:firstRowLastColumn="0" w:lastRowFirstColumn="0" w:lastRowLastColumn="0"/>
            <w:tcW w:w="2268" w:type="dxa"/>
            <w:tcBorders>
              <w:top w:val="dotted" w:sz="4" w:space="0" w:color="CB6027" w:themeColor="text2"/>
              <w:bottom w:val="dotted" w:sz="4" w:space="0" w:color="CB6027" w:themeColor="text2"/>
            </w:tcBorders>
          </w:tcPr>
          <w:p w14:paraId="5FE64792" w14:textId="77777777" w:rsidR="00EC1F8F" w:rsidRDefault="00DB3D38" w:rsidP="00843D89">
            <w:pPr>
              <w:pStyle w:val="TableHeading"/>
              <w:spacing w:before="20"/>
              <w:rPr>
                <w:bCs/>
              </w:rPr>
            </w:pPr>
            <w:r w:rsidRPr="0098639D">
              <w:rPr>
                <w:b/>
                <w:bCs/>
              </w:rPr>
              <w:t>SEO 14</w:t>
            </w:r>
          </w:p>
          <w:p w14:paraId="29D96906" w14:textId="47C1E79E" w:rsidR="0098639D" w:rsidRPr="0098639D" w:rsidRDefault="0098639D" w:rsidP="00843D89">
            <w:pPr>
              <w:pStyle w:val="TableHeading"/>
              <w:spacing w:before="20"/>
              <w:rPr>
                <w:i/>
                <w:iCs/>
              </w:rPr>
            </w:pPr>
            <w:r>
              <w:rPr>
                <w:i/>
                <w:iCs/>
              </w:rPr>
              <w:t>Social and emotional wellbeing</w:t>
            </w:r>
          </w:p>
        </w:tc>
        <w:tc>
          <w:tcPr>
            <w:tcW w:w="5783" w:type="dxa"/>
            <w:tcBorders>
              <w:top w:val="dotted" w:sz="4" w:space="0" w:color="CB6027" w:themeColor="text2"/>
              <w:bottom w:val="dotted" w:sz="4" w:space="0" w:color="CB6027" w:themeColor="text2"/>
            </w:tcBorders>
          </w:tcPr>
          <w:p w14:paraId="149EE76B" w14:textId="7D6FB889" w:rsidR="00EC1F8F" w:rsidRPr="00030C67" w:rsidRDefault="00EC1F8F" w:rsidP="00843D89">
            <w:pPr>
              <w:pStyle w:val="TableBody"/>
              <w:spacing w:before="20" w:line="270" w:lineRule="atLeast"/>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1A4E31">
              <w:rPr>
                <w:rFonts w:eastAsia="Times New Roman" w:cs="Arial"/>
                <w:szCs w:val="18"/>
                <w:lang w:eastAsia="en-AU"/>
              </w:rPr>
              <w:t>Aboriginal and Torres Strait Islander people enjoy high levels of social and emotional wellbeing</w:t>
            </w:r>
            <w:r w:rsidR="00BE5C8D">
              <w:rPr>
                <w:rFonts w:eastAsia="Times New Roman" w:cs="Arial"/>
                <w:szCs w:val="18"/>
                <w:lang w:eastAsia="en-AU"/>
              </w:rPr>
              <w:t>.</w:t>
            </w:r>
            <w:r w:rsidRPr="001A4E31">
              <w:rPr>
                <w:rFonts w:eastAsia="Times New Roman" w:cs="Arial"/>
                <w:szCs w:val="18"/>
                <w:lang w:eastAsia="en-AU"/>
              </w:rPr>
              <w:t> </w:t>
            </w:r>
          </w:p>
        </w:tc>
        <w:tc>
          <w:tcPr>
            <w:tcW w:w="6520" w:type="dxa"/>
            <w:tcBorders>
              <w:top w:val="dotted" w:sz="4" w:space="0" w:color="CB6027" w:themeColor="text2"/>
              <w:bottom w:val="dotted" w:sz="4" w:space="0" w:color="CB6027" w:themeColor="text2"/>
            </w:tcBorders>
          </w:tcPr>
          <w:p w14:paraId="2F20BE5A" w14:textId="521950B7" w:rsidR="00EC1F8F" w:rsidRPr="00030C67" w:rsidRDefault="00213775" w:rsidP="00843D89">
            <w:pPr>
              <w:pStyle w:val="TableBody"/>
              <w:spacing w:before="20" w:line="270" w:lineRule="atLeast"/>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213775">
              <w:rPr>
                <w:rFonts w:ascii="Arial (Body)" w:hAnsi="Arial (Body)"/>
                <w:color w:val="000000"/>
              </w:rPr>
              <w:t>Significant and sustained reduction in suicide of Aboriginal and Torres Strait Islander people towards zero</w:t>
            </w:r>
            <w:r w:rsidR="00F10E9B">
              <w:rPr>
                <w:rFonts w:ascii="Arial (Body)" w:hAnsi="Arial (Body)"/>
                <w:color w:val="000000"/>
              </w:rPr>
              <w:t>.</w:t>
            </w:r>
          </w:p>
        </w:tc>
      </w:tr>
      <w:tr w:rsidR="00E04A4F" w:rsidRPr="00030C67" w14:paraId="79782646" w14:textId="77777777" w:rsidTr="000106E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268" w:type="dxa"/>
            <w:tcBorders>
              <w:top w:val="dotted" w:sz="4" w:space="0" w:color="CB6027" w:themeColor="text2"/>
              <w:bottom w:val="dotted" w:sz="4" w:space="0" w:color="CB6027" w:themeColor="text2"/>
            </w:tcBorders>
            <w:shd w:val="clear" w:color="auto" w:fill="FBF3EC"/>
          </w:tcPr>
          <w:p w14:paraId="5821F478" w14:textId="77777777" w:rsidR="00EC1F8F" w:rsidRDefault="00DB3D38" w:rsidP="00843D89">
            <w:pPr>
              <w:pStyle w:val="TableHeading"/>
              <w:spacing w:before="20"/>
              <w:rPr>
                <w:bCs/>
              </w:rPr>
            </w:pPr>
            <w:r w:rsidRPr="0098639D">
              <w:rPr>
                <w:b/>
                <w:bCs/>
              </w:rPr>
              <w:t>SEO 15</w:t>
            </w:r>
          </w:p>
          <w:p w14:paraId="29B0F3EC" w14:textId="3AC7D73C" w:rsidR="0098639D" w:rsidRPr="0098639D" w:rsidRDefault="0098639D" w:rsidP="00843D89">
            <w:pPr>
              <w:pStyle w:val="TableHeading"/>
              <w:spacing w:before="20"/>
              <w:rPr>
                <w:i/>
                <w:iCs/>
              </w:rPr>
            </w:pPr>
            <w:r>
              <w:rPr>
                <w:i/>
                <w:iCs/>
              </w:rPr>
              <w:t>Land and waters</w:t>
            </w:r>
          </w:p>
        </w:tc>
        <w:tc>
          <w:tcPr>
            <w:tcW w:w="5783" w:type="dxa"/>
            <w:tcBorders>
              <w:top w:val="dotted" w:sz="4" w:space="0" w:color="CB6027" w:themeColor="text2"/>
              <w:bottom w:val="dotted" w:sz="4" w:space="0" w:color="CB6027" w:themeColor="text2"/>
            </w:tcBorders>
            <w:shd w:val="clear" w:color="auto" w:fill="FBF3EC"/>
          </w:tcPr>
          <w:p w14:paraId="048A5D02" w14:textId="73969B9A" w:rsidR="00EC1F8F" w:rsidRPr="00030C67" w:rsidRDefault="00EC1F8F" w:rsidP="00843D89">
            <w:pPr>
              <w:pStyle w:val="TableBody"/>
              <w:spacing w:before="20" w:line="270" w:lineRule="atLeast"/>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1A4E31">
              <w:rPr>
                <w:rFonts w:eastAsia="Times New Roman" w:cs="Arial"/>
                <w:szCs w:val="18"/>
                <w:lang w:eastAsia="en-AU"/>
              </w:rPr>
              <w:t>Aboriginal and Torres Strait Islander people maintain a distinctive cultural, spiritual, physical and economic relationship with their land and waters</w:t>
            </w:r>
            <w:r w:rsidR="00BE5C8D">
              <w:rPr>
                <w:rFonts w:eastAsia="Times New Roman" w:cs="Arial"/>
                <w:szCs w:val="18"/>
                <w:lang w:eastAsia="en-AU"/>
              </w:rPr>
              <w:t>.</w:t>
            </w:r>
            <w:r w:rsidRPr="001A4E31">
              <w:rPr>
                <w:rFonts w:eastAsia="Times New Roman" w:cs="Arial"/>
                <w:szCs w:val="18"/>
                <w:lang w:eastAsia="en-AU"/>
              </w:rPr>
              <w:t> </w:t>
            </w:r>
          </w:p>
        </w:tc>
        <w:tc>
          <w:tcPr>
            <w:tcW w:w="6520" w:type="dxa"/>
            <w:tcBorders>
              <w:top w:val="dotted" w:sz="4" w:space="0" w:color="CB6027" w:themeColor="text2"/>
              <w:bottom w:val="dotted" w:sz="4" w:space="0" w:color="CB6027" w:themeColor="text2"/>
            </w:tcBorders>
            <w:shd w:val="clear" w:color="auto" w:fill="FBF3EC"/>
          </w:tcPr>
          <w:p w14:paraId="53BBA333" w14:textId="5F583E69" w:rsidR="00553441" w:rsidRDefault="00553441" w:rsidP="00AE67E4">
            <w:pPr>
              <w:pStyle w:val="TableBody"/>
              <w:numPr>
                <w:ilvl w:val="7"/>
                <w:numId w:val="17"/>
              </w:numPr>
              <w:spacing w:before="20" w:line="270" w:lineRule="atLeast"/>
              <w:ind w:left="284"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553441">
              <w:rPr>
                <w:rFonts w:ascii="Arial (Body)" w:hAnsi="Arial (Body)"/>
                <w:color w:val="000000"/>
              </w:rPr>
              <w:t>By 2030, a 15</w:t>
            </w:r>
            <w:r w:rsidR="00F10E9B">
              <w:rPr>
                <w:rFonts w:ascii="Arial (Body)" w:hAnsi="Arial (Body)"/>
                <w:color w:val="000000"/>
              </w:rPr>
              <w:t>%</w:t>
            </w:r>
            <w:r w:rsidRPr="00553441">
              <w:rPr>
                <w:rFonts w:ascii="Arial (Body)" w:hAnsi="Arial (Body)"/>
                <w:color w:val="000000"/>
              </w:rPr>
              <w:t xml:space="preserve"> increase in Australia’s landmass subject to Aboriginal and Torres Strait Islander people’s legal rights or interests</w:t>
            </w:r>
            <w:r w:rsidR="00F10E9B">
              <w:rPr>
                <w:rFonts w:ascii="Arial (Body)" w:hAnsi="Arial (Body)"/>
                <w:color w:val="000000"/>
              </w:rPr>
              <w:t>.</w:t>
            </w:r>
          </w:p>
          <w:p w14:paraId="4B1ED903" w14:textId="5AC9851E" w:rsidR="00EC1F8F" w:rsidRPr="00213775" w:rsidRDefault="00553441" w:rsidP="00AE67E4">
            <w:pPr>
              <w:pStyle w:val="TableBody"/>
              <w:numPr>
                <w:ilvl w:val="7"/>
                <w:numId w:val="17"/>
              </w:numPr>
              <w:spacing w:before="20" w:line="270" w:lineRule="atLeast"/>
              <w:ind w:left="284"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553441">
              <w:rPr>
                <w:rFonts w:ascii="Arial (Body)" w:hAnsi="Arial (Body)"/>
                <w:color w:val="000000"/>
              </w:rPr>
              <w:t>By 2030, a 15</w:t>
            </w:r>
            <w:r w:rsidR="00F10E9B">
              <w:rPr>
                <w:rFonts w:ascii="Arial (Body)" w:hAnsi="Arial (Body)"/>
                <w:color w:val="000000"/>
              </w:rPr>
              <w:t xml:space="preserve">% </w:t>
            </w:r>
            <w:r w:rsidRPr="00553441">
              <w:rPr>
                <w:rFonts w:ascii="Arial (Body)" w:hAnsi="Arial (Body)"/>
                <w:color w:val="000000"/>
              </w:rPr>
              <w:t>increase in areas covered by Aboriginal and Torres Strait Islander people’s legal rights or interests in the sea</w:t>
            </w:r>
            <w:r w:rsidR="00F10E9B">
              <w:rPr>
                <w:rFonts w:ascii="Arial (Body)" w:hAnsi="Arial (Body)"/>
                <w:color w:val="000000"/>
              </w:rPr>
              <w:t>.</w:t>
            </w:r>
          </w:p>
        </w:tc>
      </w:tr>
      <w:tr w:rsidR="00A07FBE" w:rsidRPr="00030C67" w14:paraId="4BEDCD16" w14:textId="77777777" w:rsidTr="000106E6">
        <w:trPr>
          <w:trHeight w:val="74"/>
        </w:trPr>
        <w:tc>
          <w:tcPr>
            <w:cnfStyle w:val="001000000000" w:firstRow="0" w:lastRow="0" w:firstColumn="1" w:lastColumn="0" w:oddVBand="0" w:evenVBand="0" w:oddHBand="0" w:evenHBand="0" w:firstRowFirstColumn="0" w:firstRowLastColumn="0" w:lastRowFirstColumn="0" w:lastRowLastColumn="0"/>
            <w:tcW w:w="2268" w:type="dxa"/>
            <w:tcBorders>
              <w:top w:val="dotted" w:sz="4" w:space="0" w:color="CB6027" w:themeColor="text2"/>
              <w:bottom w:val="dotted" w:sz="4" w:space="0" w:color="CB6027" w:themeColor="text2"/>
            </w:tcBorders>
          </w:tcPr>
          <w:p w14:paraId="031823BD" w14:textId="77777777" w:rsidR="00EC1F8F" w:rsidRDefault="00DB3D38" w:rsidP="00843D89">
            <w:pPr>
              <w:pStyle w:val="TableHeading"/>
              <w:spacing w:before="20"/>
              <w:rPr>
                <w:bCs/>
              </w:rPr>
            </w:pPr>
            <w:r w:rsidRPr="0098639D">
              <w:rPr>
                <w:b/>
                <w:bCs/>
              </w:rPr>
              <w:t>SEO 16</w:t>
            </w:r>
          </w:p>
          <w:p w14:paraId="0446ABCA" w14:textId="6105DBA6" w:rsidR="00C52325" w:rsidRPr="00C52325" w:rsidRDefault="00C52325" w:rsidP="00843D89">
            <w:pPr>
              <w:pStyle w:val="TableHeading"/>
              <w:spacing w:before="20"/>
              <w:rPr>
                <w:i/>
                <w:iCs/>
              </w:rPr>
            </w:pPr>
            <w:r>
              <w:rPr>
                <w:i/>
                <w:iCs/>
              </w:rPr>
              <w:t>Cultures and languages</w:t>
            </w:r>
          </w:p>
        </w:tc>
        <w:tc>
          <w:tcPr>
            <w:tcW w:w="5783" w:type="dxa"/>
            <w:tcBorders>
              <w:top w:val="dotted" w:sz="4" w:space="0" w:color="CB6027" w:themeColor="text2"/>
              <w:bottom w:val="dotted" w:sz="4" w:space="0" w:color="CB6027" w:themeColor="text2"/>
            </w:tcBorders>
          </w:tcPr>
          <w:p w14:paraId="26390B33" w14:textId="20E1DF11" w:rsidR="00EC1F8F" w:rsidRPr="00030C67" w:rsidRDefault="00EC1F8F" w:rsidP="00843D89">
            <w:pPr>
              <w:pStyle w:val="TableBody"/>
              <w:spacing w:before="20" w:line="270" w:lineRule="atLeast"/>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1A4E31">
              <w:rPr>
                <w:rFonts w:eastAsia="Times New Roman" w:cs="Arial"/>
                <w:szCs w:val="18"/>
                <w:lang w:eastAsia="en-AU"/>
              </w:rPr>
              <w:t>Aboriginal and Torres Strait Islander cultures and languages are strong, supported and flourishing</w:t>
            </w:r>
            <w:r w:rsidR="00BE5C8D">
              <w:rPr>
                <w:rFonts w:eastAsia="Times New Roman" w:cs="Arial"/>
                <w:szCs w:val="18"/>
                <w:lang w:eastAsia="en-AU"/>
              </w:rPr>
              <w:t>.</w:t>
            </w:r>
            <w:r w:rsidRPr="001A4E31">
              <w:rPr>
                <w:rFonts w:eastAsia="Times New Roman" w:cs="Arial"/>
                <w:szCs w:val="18"/>
                <w:lang w:eastAsia="en-AU"/>
              </w:rPr>
              <w:t> </w:t>
            </w:r>
          </w:p>
        </w:tc>
        <w:tc>
          <w:tcPr>
            <w:tcW w:w="6520" w:type="dxa"/>
            <w:tcBorders>
              <w:top w:val="dotted" w:sz="4" w:space="0" w:color="CB6027" w:themeColor="text2"/>
              <w:bottom w:val="dotted" w:sz="4" w:space="0" w:color="CB6027" w:themeColor="text2"/>
            </w:tcBorders>
          </w:tcPr>
          <w:p w14:paraId="756F5A72" w14:textId="1A4ADA17" w:rsidR="00EC1F8F" w:rsidRPr="00030C67" w:rsidRDefault="00E54019" w:rsidP="00843D89">
            <w:pPr>
              <w:pStyle w:val="TableBody"/>
              <w:spacing w:before="20" w:line="270" w:lineRule="atLeast"/>
              <w:ind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rPr>
            </w:pPr>
            <w:r w:rsidRPr="00E54019">
              <w:rPr>
                <w:rFonts w:ascii="Arial (Body)" w:hAnsi="Arial (Body)"/>
                <w:color w:val="000000"/>
              </w:rPr>
              <w:t>By 2031, there is a sustained increase in number and strength of Aboriginal and Torres Strait Islander languages being spoken</w:t>
            </w:r>
            <w:r w:rsidR="00F10E9B">
              <w:rPr>
                <w:rFonts w:ascii="Arial (Body)" w:hAnsi="Arial (Body)"/>
                <w:color w:val="000000"/>
              </w:rPr>
              <w:t>.</w:t>
            </w:r>
          </w:p>
        </w:tc>
      </w:tr>
      <w:tr w:rsidR="00A07FBE" w:rsidRPr="00030C67" w14:paraId="0E777A45" w14:textId="77777777" w:rsidTr="000106E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268" w:type="dxa"/>
            <w:tcBorders>
              <w:top w:val="dotted" w:sz="4" w:space="0" w:color="CB6027" w:themeColor="text2"/>
              <w:bottom w:val="single" w:sz="4" w:space="0" w:color="CB6027" w:themeColor="text2"/>
            </w:tcBorders>
            <w:shd w:val="clear" w:color="auto" w:fill="FBF3EC"/>
          </w:tcPr>
          <w:p w14:paraId="319B7C84" w14:textId="77777777" w:rsidR="00EC1F8F" w:rsidRDefault="00DB3D38" w:rsidP="00843D89">
            <w:pPr>
              <w:pStyle w:val="TableHeading"/>
              <w:spacing w:before="20"/>
              <w:rPr>
                <w:bCs/>
              </w:rPr>
            </w:pPr>
            <w:r w:rsidRPr="0098639D">
              <w:rPr>
                <w:b/>
                <w:bCs/>
              </w:rPr>
              <w:t>SEO 17</w:t>
            </w:r>
          </w:p>
          <w:p w14:paraId="47C45753" w14:textId="4874D459" w:rsidR="00C52325" w:rsidRPr="00C52325" w:rsidRDefault="00C52325" w:rsidP="00843D89">
            <w:pPr>
              <w:pStyle w:val="TableHeading"/>
              <w:spacing w:before="20"/>
              <w:rPr>
                <w:i/>
                <w:iCs/>
              </w:rPr>
            </w:pPr>
            <w:r>
              <w:rPr>
                <w:i/>
                <w:iCs/>
              </w:rPr>
              <w:t>Access to information</w:t>
            </w:r>
          </w:p>
        </w:tc>
        <w:tc>
          <w:tcPr>
            <w:tcW w:w="5783" w:type="dxa"/>
            <w:tcBorders>
              <w:top w:val="dotted" w:sz="4" w:space="0" w:color="CB6027" w:themeColor="text2"/>
              <w:bottom w:val="single" w:sz="4" w:space="0" w:color="CB6027" w:themeColor="text2"/>
            </w:tcBorders>
            <w:shd w:val="clear" w:color="auto" w:fill="FBF3EC"/>
          </w:tcPr>
          <w:p w14:paraId="5256DA0D" w14:textId="18B92E05" w:rsidR="00EC1F8F" w:rsidRPr="00030C67" w:rsidRDefault="00EC1F8F" w:rsidP="00843D89">
            <w:pPr>
              <w:pStyle w:val="TableBody"/>
              <w:spacing w:before="20" w:line="270" w:lineRule="atLeast"/>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1A4E31">
              <w:rPr>
                <w:rFonts w:eastAsia="Times New Roman" w:cs="Arial"/>
                <w:szCs w:val="18"/>
                <w:lang w:eastAsia="en-AU"/>
              </w:rPr>
              <w:t>Aboriginal and Torres Strait Islander people have access to information and services enabling participation in informed decision</w:t>
            </w:r>
            <w:r w:rsidR="00BE5C8D">
              <w:rPr>
                <w:rFonts w:eastAsia="Times New Roman" w:cs="Arial"/>
                <w:szCs w:val="18"/>
                <w:lang w:eastAsia="en-AU"/>
              </w:rPr>
              <w:noBreakHyphen/>
            </w:r>
            <w:r w:rsidRPr="001A4E31">
              <w:rPr>
                <w:rFonts w:eastAsia="Times New Roman" w:cs="Arial"/>
                <w:szCs w:val="18"/>
                <w:lang w:eastAsia="en-AU"/>
              </w:rPr>
              <w:t>making regarding their own lives</w:t>
            </w:r>
            <w:r w:rsidR="00BE5C8D">
              <w:rPr>
                <w:rFonts w:eastAsia="Times New Roman" w:cs="Arial"/>
                <w:szCs w:val="18"/>
                <w:lang w:eastAsia="en-AU"/>
              </w:rPr>
              <w:t>.</w:t>
            </w:r>
            <w:r w:rsidRPr="001A4E31">
              <w:rPr>
                <w:rFonts w:eastAsia="Times New Roman" w:cs="Arial"/>
                <w:szCs w:val="18"/>
                <w:lang w:eastAsia="en-AU"/>
              </w:rPr>
              <w:t> </w:t>
            </w:r>
          </w:p>
        </w:tc>
        <w:tc>
          <w:tcPr>
            <w:tcW w:w="6520" w:type="dxa"/>
            <w:tcBorders>
              <w:top w:val="dotted" w:sz="4" w:space="0" w:color="CB6027" w:themeColor="text2"/>
              <w:bottom w:val="single" w:sz="4" w:space="0" w:color="CB6027" w:themeColor="text2"/>
            </w:tcBorders>
            <w:shd w:val="clear" w:color="auto" w:fill="FBF3EC"/>
          </w:tcPr>
          <w:p w14:paraId="68F808D3" w14:textId="6643A9CE" w:rsidR="00EC1F8F" w:rsidRPr="00030C67" w:rsidRDefault="00E54019" w:rsidP="00843D89">
            <w:pPr>
              <w:pStyle w:val="TableBody"/>
              <w:spacing w:before="20" w:line="270" w:lineRule="atLeast"/>
              <w:ind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rPr>
            </w:pPr>
            <w:r w:rsidRPr="00E54019">
              <w:rPr>
                <w:rFonts w:ascii="Arial (Body)" w:hAnsi="Arial (Body)"/>
                <w:color w:val="000000"/>
              </w:rPr>
              <w:t>By 2026, Aboriginal and Torres Strait Islander people have equal levels of digital inclusion</w:t>
            </w:r>
            <w:r w:rsidR="00F10E9B">
              <w:rPr>
                <w:rFonts w:ascii="Arial (Body)" w:hAnsi="Arial (Body)"/>
                <w:color w:val="000000"/>
              </w:rPr>
              <w:t>.</w:t>
            </w:r>
          </w:p>
        </w:tc>
      </w:tr>
    </w:tbl>
    <w:p w14:paraId="58807D32" w14:textId="7A8CD323" w:rsidR="008B1704" w:rsidRDefault="008B1704" w:rsidP="00900129">
      <w:pPr>
        <w:pStyle w:val="Source"/>
        <w:sectPr w:rsidR="008B1704" w:rsidSect="003447C3">
          <w:headerReference w:type="default" r:id="rId26"/>
          <w:footerReference w:type="default" r:id="rId27"/>
          <w:pgSz w:w="16838" w:h="11906" w:orient="landscape" w:code="9"/>
          <w:pgMar w:top="1134" w:right="1134" w:bottom="1134" w:left="1134" w:header="794" w:footer="510" w:gutter="0"/>
          <w:cols w:space="708"/>
          <w:docGrid w:linePitch="360"/>
        </w:sectPr>
      </w:pPr>
      <w:r w:rsidRPr="00696447">
        <w:t xml:space="preserve">Source: </w:t>
      </w:r>
      <w:r w:rsidR="00B76867">
        <w:t>Closing the Gap information repository</w:t>
      </w:r>
      <w:r w:rsidR="00F10E9B">
        <w:t>.</w:t>
      </w:r>
    </w:p>
    <w:p w14:paraId="21B5967B" w14:textId="7EE0EE3B" w:rsidR="00A91551" w:rsidRDefault="0008387B" w:rsidP="00BF6791">
      <w:pPr>
        <w:pStyle w:val="Heading1-nobackground"/>
      </w:pPr>
      <w:bookmarkStart w:id="16" w:name="_Toc140484722"/>
      <w:r>
        <w:lastRenderedPageBreak/>
        <w:t>R</w:t>
      </w:r>
      <w:r w:rsidR="005808C9">
        <w:t>eference</w:t>
      </w:r>
      <w:r>
        <w:t>s</w:t>
      </w:r>
      <w:bookmarkEnd w:id="16"/>
    </w:p>
    <w:p w14:paraId="79DE7430" w14:textId="77777777" w:rsidR="007B26AD" w:rsidRDefault="007B26AD" w:rsidP="007B26AD">
      <w:pPr>
        <w:pStyle w:val="Reference"/>
        <w:sectPr w:rsidR="007B26AD" w:rsidSect="002E3F19">
          <w:headerReference w:type="default" r:id="rId28"/>
          <w:footerReference w:type="default" r:id="rId29"/>
          <w:pgSz w:w="11906" w:h="16838" w:code="9"/>
          <w:pgMar w:top="1134" w:right="1134" w:bottom="1134" w:left="1134" w:header="794" w:footer="510" w:gutter="0"/>
          <w:cols w:space="708"/>
          <w:docGrid w:linePitch="360"/>
        </w:sectPr>
      </w:pPr>
    </w:p>
    <w:p w14:paraId="57E00CFC" w14:textId="65159D16" w:rsidR="001B4678" w:rsidRDefault="001B4678" w:rsidP="00303E51">
      <w:pPr>
        <w:pStyle w:val="Reference"/>
      </w:pPr>
      <w:r>
        <w:t xml:space="preserve">ABS (Australian Bureau of Statistics) 2016, </w:t>
      </w:r>
      <w:r>
        <w:rPr>
          <w:i/>
          <w:iCs/>
        </w:rPr>
        <w:t>Census of Population and Housing: Census Dictionary, 2016</w:t>
      </w:r>
      <w:r>
        <w:t>.</w:t>
      </w:r>
    </w:p>
    <w:p w14:paraId="495F13AF" w14:textId="77777777" w:rsidR="001B4678" w:rsidRDefault="001B4678" w:rsidP="00303E51">
      <w:pPr>
        <w:pStyle w:val="Reference"/>
      </w:pPr>
      <w:r>
        <w:t xml:space="preserve">ACT Government 2021, </w:t>
      </w:r>
      <w:r>
        <w:rPr>
          <w:i/>
          <w:iCs/>
        </w:rPr>
        <w:t>Closing the Gap Jurisdictional Implementation Plan</w:t>
      </w:r>
      <w:r>
        <w:t>.</w:t>
      </w:r>
    </w:p>
    <w:p w14:paraId="5F830F3E" w14:textId="77777777" w:rsidR="001B4678" w:rsidRDefault="001B4678" w:rsidP="00303E51">
      <w:pPr>
        <w:pStyle w:val="Reference"/>
      </w:pPr>
      <w:r>
        <w:t xml:space="preserve">ANAO (Australian National Audit Office) 2004, </w:t>
      </w:r>
      <w:r>
        <w:rPr>
          <w:i/>
          <w:iCs/>
        </w:rPr>
        <w:t>Better Practice in Annual Performance Reporting</w:t>
      </w:r>
      <w:r>
        <w:t>, Australian National Audit Office, Canberra.</w:t>
      </w:r>
    </w:p>
    <w:p w14:paraId="41ECA23A" w14:textId="2D0C545E" w:rsidR="001B4678" w:rsidRDefault="001B4678" w:rsidP="00303E51">
      <w:pPr>
        <w:pStyle w:val="Reference"/>
      </w:pPr>
      <w:r>
        <w:t>——</w:t>
      </w:r>
      <w:r w:rsidR="00AC047B">
        <w:t> </w:t>
      </w:r>
      <w:r>
        <w:t xml:space="preserve">2019, </w:t>
      </w:r>
      <w:r>
        <w:rPr>
          <w:i/>
          <w:iCs/>
        </w:rPr>
        <w:t>Closing the Gap Performance Audit Report</w:t>
      </w:r>
      <w:r>
        <w:t>.</w:t>
      </w:r>
    </w:p>
    <w:p w14:paraId="2E1869B5" w14:textId="17166EDF" w:rsidR="001B4678" w:rsidRDefault="001B4678" w:rsidP="00303E51">
      <w:pPr>
        <w:pStyle w:val="Reference"/>
      </w:pPr>
      <w:r>
        <w:t>——</w:t>
      </w:r>
      <w:r w:rsidR="00AC047B">
        <w:t> </w:t>
      </w:r>
      <w:r>
        <w:t xml:space="preserve">2023, </w:t>
      </w:r>
      <w:r>
        <w:rPr>
          <w:i/>
          <w:iCs/>
        </w:rPr>
        <w:t>Audit Insights: Reporting Meaningful Performance Information</w:t>
      </w:r>
      <w:r>
        <w:t>, https://www.anao.gov.au/work/audit-insights/reporting-meaningful-performance-information (accessed 11 July 2023).</w:t>
      </w:r>
    </w:p>
    <w:p w14:paraId="799C0809" w14:textId="77777777" w:rsidR="001B4678" w:rsidRDefault="001B4678" w:rsidP="00303E51">
      <w:pPr>
        <w:pStyle w:val="Reference"/>
      </w:pPr>
      <w:r>
        <w:t xml:space="preserve">Australian Government 2022, </w:t>
      </w:r>
      <w:r>
        <w:rPr>
          <w:i/>
          <w:iCs/>
        </w:rPr>
        <w:t>Commonwealth Closing the Gap Annual Report 2022</w:t>
      </w:r>
      <w:r>
        <w:t>.</w:t>
      </w:r>
    </w:p>
    <w:p w14:paraId="71ED45D1" w14:textId="77777777" w:rsidR="001B4678" w:rsidRPr="00A0367F" w:rsidRDefault="001B4678" w:rsidP="00303E51">
      <w:pPr>
        <w:pStyle w:val="Reference"/>
        <w:rPr>
          <w:spacing w:val="-4"/>
        </w:rPr>
      </w:pPr>
      <w:r w:rsidRPr="00A0367F">
        <w:rPr>
          <w:spacing w:val="-4"/>
        </w:rPr>
        <w:t xml:space="preserve">Biddle, N, Gray, M and Schwab, J 2017, </w:t>
      </w:r>
      <w:r w:rsidRPr="00A0367F">
        <w:rPr>
          <w:i/>
          <w:iCs/>
          <w:spacing w:val="-4"/>
        </w:rPr>
        <w:t>Measuring and analysing success for Aboriginal and Torres Strait Islander Australians</w:t>
      </w:r>
      <w:r w:rsidRPr="00A0367F">
        <w:rPr>
          <w:spacing w:val="-4"/>
        </w:rPr>
        <w:t>, Working Paper No. 122/2017, Centre for Aboriginal Economic Policy Research, Australian National University.</w:t>
      </w:r>
    </w:p>
    <w:p w14:paraId="369C4934" w14:textId="77777777" w:rsidR="001B4678" w:rsidRDefault="001B4678" w:rsidP="00303E51">
      <w:pPr>
        <w:pStyle w:val="Reference"/>
      </w:pPr>
      <w:r>
        <w:t xml:space="preserve">Bourke, SC, Chapman, J, Jones, R, Brinckley, K-M, Thurber, KA, Calabria, B, Doery, K, Olsen, A and Lovett, R 2022, ‘Developing Aboriginal and Torres Strait Islander cultural indicators: an overview from Mayi Kuwayu, the National Study of Aboriginal and Torres Strait Islander wellbeing’, </w:t>
      </w:r>
      <w:r>
        <w:rPr>
          <w:i/>
          <w:iCs/>
        </w:rPr>
        <w:t>International Journal for Equity in Health</w:t>
      </w:r>
      <w:r>
        <w:t>, vol. 2109, no. 2022, pp. 1–13.</w:t>
      </w:r>
    </w:p>
    <w:p w14:paraId="24B1277C" w14:textId="77777777" w:rsidR="001B4678" w:rsidRPr="00C578FE" w:rsidRDefault="001B4678" w:rsidP="00303E51">
      <w:pPr>
        <w:pStyle w:val="Reference"/>
        <w:rPr>
          <w:spacing w:val="-4"/>
        </w:rPr>
      </w:pPr>
      <w:r w:rsidRPr="00C578FE">
        <w:rPr>
          <w:spacing w:val="-4"/>
        </w:rPr>
        <w:t xml:space="preserve">COAG (Council of Australian Governments) 2008, </w:t>
      </w:r>
      <w:r w:rsidRPr="00C578FE">
        <w:rPr>
          <w:i/>
          <w:iCs/>
          <w:spacing w:val="-4"/>
        </w:rPr>
        <w:t>Intergovernmental Agreement on Federal Financial Relations: Schedule C — Public Accountability and Performance Reporting</w:t>
      </w:r>
      <w:r w:rsidRPr="00C578FE">
        <w:rPr>
          <w:spacing w:val="-4"/>
        </w:rPr>
        <w:t>.</w:t>
      </w:r>
    </w:p>
    <w:p w14:paraId="3B44807C" w14:textId="77777777" w:rsidR="001B4678" w:rsidRPr="00A0367F" w:rsidRDefault="001B4678" w:rsidP="00303E51">
      <w:pPr>
        <w:pStyle w:val="Reference"/>
        <w:rPr>
          <w:spacing w:val="-4"/>
        </w:rPr>
      </w:pPr>
      <w:r w:rsidRPr="00A0367F">
        <w:rPr>
          <w:spacing w:val="-4"/>
        </w:rPr>
        <w:t xml:space="preserve">Coalition of Peaks 2019, </w:t>
      </w:r>
      <w:r w:rsidRPr="00A0367F">
        <w:rPr>
          <w:i/>
          <w:iCs/>
          <w:spacing w:val="-4"/>
        </w:rPr>
        <w:t>A new way of working: Talking about what’s needed to close the gap in life outcomes between Aboriginal and Torres Strait Islander people and other Australians</w:t>
      </w:r>
      <w:r w:rsidRPr="00A0367F">
        <w:rPr>
          <w:spacing w:val="-4"/>
        </w:rPr>
        <w:t>.</w:t>
      </w:r>
    </w:p>
    <w:p w14:paraId="4E01F6FA" w14:textId="16436448" w:rsidR="001B4678" w:rsidRDefault="001B4678" w:rsidP="00303E51">
      <w:pPr>
        <w:pStyle w:val="Reference"/>
      </w:pPr>
      <w:r>
        <w:t>——</w:t>
      </w:r>
      <w:r w:rsidR="00AC047B">
        <w:t> </w:t>
      </w:r>
      <w:r>
        <w:t xml:space="preserve">2020, </w:t>
      </w:r>
      <w:r>
        <w:rPr>
          <w:i/>
          <w:iCs/>
        </w:rPr>
        <w:t>A report on engagements with Aboriginal and Torres Strait Islander People to inform a new National Agreement on Closing the Gap</w:t>
      </w:r>
      <w:r>
        <w:t>.</w:t>
      </w:r>
    </w:p>
    <w:p w14:paraId="3C6CBE2C" w14:textId="49014E1D" w:rsidR="001B4678" w:rsidRDefault="001B4678" w:rsidP="004D2022">
      <w:pPr>
        <w:pStyle w:val="Reference"/>
      </w:pPr>
      <w:r>
        <w:t>——</w:t>
      </w:r>
      <w:r w:rsidR="00AC047B">
        <w:t> </w:t>
      </w:r>
      <w:r>
        <w:t xml:space="preserve">2021, </w:t>
      </w:r>
      <w:r>
        <w:rPr>
          <w:i/>
          <w:iCs/>
        </w:rPr>
        <w:t>Implementation Plans</w:t>
      </w:r>
      <w:r>
        <w:t>, Coalition of Peaks, https://coalitionofpeaks.org.au/new-national-agreement-on-closing-the-gap/implementation/ (accessed 9 February 2023).</w:t>
      </w:r>
    </w:p>
    <w:p w14:paraId="32C8604C" w14:textId="77777777" w:rsidR="001B4678" w:rsidRDefault="001B4678" w:rsidP="004D2022">
      <w:pPr>
        <w:pStyle w:val="Reference"/>
      </w:pPr>
      <w:r>
        <w:t xml:space="preserve">Department of Finance 2015, </w:t>
      </w:r>
      <w:r>
        <w:rPr>
          <w:i/>
          <w:iCs/>
        </w:rPr>
        <w:t>Developing good performance information, RMG 131</w:t>
      </w:r>
      <w:r>
        <w:t>, April, Department of Finance.</w:t>
      </w:r>
    </w:p>
    <w:p w14:paraId="4C2313EF" w14:textId="7B849876" w:rsidR="001B4678" w:rsidRDefault="001B4678" w:rsidP="004D2022">
      <w:pPr>
        <w:pStyle w:val="Reference"/>
      </w:pPr>
      <w:r>
        <w:t>——</w:t>
      </w:r>
      <w:r w:rsidR="00AC047B">
        <w:t> </w:t>
      </w:r>
      <w:r>
        <w:t xml:space="preserve">2023, </w:t>
      </w:r>
      <w:r>
        <w:rPr>
          <w:i/>
          <w:iCs/>
        </w:rPr>
        <w:t>Annual performance statements for Commonwealth entities (RMG 134)</w:t>
      </w:r>
      <w:r>
        <w:t>, 13 June, Australian Government.</w:t>
      </w:r>
    </w:p>
    <w:p w14:paraId="78C086DF" w14:textId="77777777" w:rsidR="001B4678" w:rsidRDefault="001B4678" w:rsidP="004D2022">
      <w:pPr>
        <w:pStyle w:val="Reference"/>
      </w:pPr>
      <w:r>
        <w:t xml:space="preserve">DPMC (Department of the Prime Minister and Cabinet) 2019, </w:t>
      </w:r>
      <w:r>
        <w:rPr>
          <w:i/>
          <w:iCs/>
        </w:rPr>
        <w:t>Closing the Gap Report</w:t>
      </w:r>
      <w:r>
        <w:t>.</w:t>
      </w:r>
    </w:p>
    <w:p w14:paraId="0D030B0E" w14:textId="77777777" w:rsidR="001B4678" w:rsidRPr="00A0367F" w:rsidRDefault="001B4678" w:rsidP="004D2022">
      <w:pPr>
        <w:pStyle w:val="Reference"/>
        <w:rPr>
          <w:spacing w:val="-4"/>
        </w:rPr>
      </w:pPr>
      <w:r w:rsidRPr="00A0367F">
        <w:rPr>
          <w:spacing w:val="-4"/>
        </w:rPr>
        <w:t xml:space="preserve">DRWG (Data and Reporting Working Group on Closing the Gap) 2023a, </w:t>
      </w:r>
      <w:r w:rsidRPr="00A0367F">
        <w:rPr>
          <w:i/>
          <w:iCs/>
          <w:spacing w:val="-4"/>
        </w:rPr>
        <w:t>Data and Reporting Working Group on Closing the Gap Draft Updated Terms of Reference, 2023-24</w:t>
      </w:r>
      <w:r w:rsidRPr="00A0367F">
        <w:rPr>
          <w:spacing w:val="-4"/>
        </w:rPr>
        <w:t>, unpublished.</w:t>
      </w:r>
    </w:p>
    <w:p w14:paraId="48CBDD3F" w14:textId="4A9C4E0C" w:rsidR="001B4678" w:rsidRDefault="001B4678" w:rsidP="004D2022">
      <w:pPr>
        <w:pStyle w:val="Reference"/>
      </w:pPr>
      <w:r>
        <w:t>——</w:t>
      </w:r>
      <w:r w:rsidR="00AC047B">
        <w:t> </w:t>
      </w:r>
      <w:r>
        <w:t xml:space="preserve">2023b, </w:t>
      </w:r>
      <w:r>
        <w:rPr>
          <w:i/>
          <w:iCs/>
        </w:rPr>
        <w:t>Draft DDP Implementation Plan</w:t>
      </w:r>
      <w:r>
        <w:t>, unpublished.</w:t>
      </w:r>
    </w:p>
    <w:p w14:paraId="4FF38676" w14:textId="77777777" w:rsidR="001B4678" w:rsidRDefault="001B4678" w:rsidP="004D2022">
      <w:pPr>
        <w:pStyle w:val="Reference"/>
      </w:pPr>
      <w:r>
        <w:t xml:space="preserve">DSS (Department of Social Services) 2023, </w:t>
      </w:r>
      <w:r>
        <w:rPr>
          <w:i/>
          <w:iCs/>
        </w:rPr>
        <w:t>Safe and Supported: Aboriginal and Torres Strait Islander First Action Plan 2023-2026</w:t>
      </w:r>
      <w:r>
        <w:t>, 31 January.</w:t>
      </w:r>
    </w:p>
    <w:p w14:paraId="4C7A4F22" w14:textId="77777777" w:rsidR="001B4678" w:rsidRPr="00C578FE" w:rsidRDefault="001B4678" w:rsidP="004D2022">
      <w:pPr>
        <w:pStyle w:val="Reference"/>
        <w:rPr>
          <w:spacing w:val="-4"/>
        </w:rPr>
      </w:pPr>
      <w:r w:rsidRPr="00C578FE">
        <w:rPr>
          <w:spacing w:val="-4"/>
        </w:rPr>
        <w:t xml:space="preserve">Equity Economics 2021, </w:t>
      </w:r>
      <w:r w:rsidRPr="00C578FE">
        <w:rPr>
          <w:i/>
          <w:iCs/>
          <w:spacing w:val="-4"/>
        </w:rPr>
        <w:t>Strengthening the Partnership: Mapping the Capability and Resources of the Coalition of Peaks</w:t>
      </w:r>
      <w:r w:rsidRPr="00C578FE">
        <w:rPr>
          <w:spacing w:val="-4"/>
        </w:rPr>
        <w:t>.</w:t>
      </w:r>
    </w:p>
    <w:p w14:paraId="0B3AA545" w14:textId="77777777" w:rsidR="001B4678" w:rsidRDefault="001B4678" w:rsidP="004D2022">
      <w:pPr>
        <w:pStyle w:val="Reference"/>
      </w:pPr>
      <w:r>
        <w:t xml:space="preserve">FaHCSIA (Department of Families, Community Services and Indigenous Affairs, Australian Government) 2009, </w:t>
      </w:r>
      <w:r>
        <w:rPr>
          <w:i/>
          <w:iCs/>
        </w:rPr>
        <w:t xml:space="preserve">Closing the </w:t>
      </w:r>
      <w:r>
        <w:rPr>
          <w:i/>
          <w:iCs/>
        </w:rPr>
        <w:t>Gap in Indigenous Disadvantage: The Challenge for Australia</w:t>
      </w:r>
      <w:r>
        <w:t>, Canberra.</w:t>
      </w:r>
    </w:p>
    <w:p w14:paraId="63E2FA57" w14:textId="77777777" w:rsidR="001B4678" w:rsidRDefault="001B4678" w:rsidP="004D2022">
      <w:pPr>
        <w:pStyle w:val="Reference"/>
      </w:pPr>
      <w:r>
        <w:t xml:space="preserve">First Nations Information Governance Centre 2023a, </w:t>
      </w:r>
      <w:r>
        <w:rPr>
          <w:i/>
          <w:iCs/>
        </w:rPr>
        <w:t>Our Surveys</w:t>
      </w:r>
      <w:r>
        <w:t>, https://fnigc.ca/what-we-do/research-and-information/our-surveys/ (accessed 3 July 2023).</w:t>
      </w:r>
    </w:p>
    <w:p w14:paraId="15AAD73D" w14:textId="4879A0C7" w:rsidR="001B4678" w:rsidRDefault="001B4678" w:rsidP="004D2022">
      <w:pPr>
        <w:pStyle w:val="Reference"/>
      </w:pPr>
      <w:r>
        <w:t>——</w:t>
      </w:r>
      <w:r w:rsidR="00AC047B">
        <w:t> </w:t>
      </w:r>
      <w:r>
        <w:t xml:space="preserve">2023b, </w:t>
      </w:r>
      <w:r>
        <w:rPr>
          <w:i/>
          <w:iCs/>
        </w:rPr>
        <w:t>The First Nations Principles of OCAP®</w:t>
      </w:r>
      <w:r>
        <w:t>, https://fnigc.ca/ocap-training/ (accessed 3 July 2023).</w:t>
      </w:r>
    </w:p>
    <w:p w14:paraId="56100DC2" w14:textId="77777777" w:rsidR="001B4678" w:rsidRDefault="001B4678" w:rsidP="004D2022">
      <w:pPr>
        <w:pStyle w:val="Reference"/>
      </w:pPr>
      <w:r>
        <w:t xml:space="preserve">Fogarty, W, Bulloch, H, McDonnel, S and Davis, M 2018, </w:t>
      </w:r>
      <w:r>
        <w:rPr>
          <w:i/>
          <w:iCs/>
        </w:rPr>
        <w:t>Deficit discourse and Indigenous health</w:t>
      </w:r>
      <w:r>
        <w:t>, The Lowitja Institute, Melbourne, pp. 22–26.</w:t>
      </w:r>
    </w:p>
    <w:p w14:paraId="40ECBA12" w14:textId="77777777" w:rsidR="001B4678" w:rsidRDefault="001B4678" w:rsidP="004D2022">
      <w:pPr>
        <w:pStyle w:val="Reference"/>
      </w:pPr>
      <w:r>
        <w:t xml:space="preserve">French, M, Lowe, T, Wilson, R, Rhodes, M-L and Hawkins, M 2021, ‘Managing the complexity of outcomes: a new approach to performance measurement and management’, in Blackman, D (ed), </w:t>
      </w:r>
      <w:r>
        <w:rPr>
          <w:i/>
          <w:iCs/>
        </w:rPr>
        <w:t>Handbook on Performance Management in the Public Sector</w:t>
      </w:r>
      <w:r>
        <w:t>, Political Science and Public Policy 2021, Edward Elgar Publishing, pp. 111–128.</w:t>
      </w:r>
    </w:p>
    <w:p w14:paraId="54AB2246" w14:textId="77777777" w:rsidR="001B4678" w:rsidRPr="00A0367F" w:rsidRDefault="001B4678" w:rsidP="004D2022">
      <w:pPr>
        <w:pStyle w:val="Reference"/>
        <w:rPr>
          <w:spacing w:val="-4"/>
        </w:rPr>
      </w:pPr>
      <w:r w:rsidRPr="00A0367F">
        <w:rPr>
          <w:spacing w:val="-4"/>
        </w:rPr>
        <w:t xml:space="preserve">Garlatti, A, Fedele, P and Ianniello, M 2018, ‘The Iron Law of Unintended Effects, Again? Outcome Measures and Blame-Avoidance’, </w:t>
      </w:r>
      <w:r w:rsidRPr="00A0367F">
        <w:rPr>
          <w:i/>
          <w:iCs/>
          <w:spacing w:val="-4"/>
        </w:rPr>
        <w:t>Outcome-Based Performance Management in the Public Sector</w:t>
      </w:r>
      <w:r w:rsidRPr="00A0367F">
        <w:rPr>
          <w:spacing w:val="-4"/>
        </w:rPr>
        <w:t>, vol 2, System dynamics for performance management:, Springer International Publishing AG, pp. 45–62.</w:t>
      </w:r>
    </w:p>
    <w:p w14:paraId="444EBA2F" w14:textId="77777777" w:rsidR="001B4678" w:rsidRDefault="001B4678" w:rsidP="00E13ECD">
      <w:pPr>
        <w:pStyle w:val="Reference"/>
      </w:pPr>
      <w:r>
        <w:t xml:space="preserve">Goh, S 2012, ‘Making performance measurement systems more effective in public sector organizations’, </w:t>
      </w:r>
      <w:r>
        <w:rPr>
          <w:i/>
          <w:iCs/>
        </w:rPr>
        <w:t>Measuring Business Excellence</w:t>
      </w:r>
      <w:r>
        <w:t>, March, p. 31.</w:t>
      </w:r>
    </w:p>
    <w:p w14:paraId="1B49865A" w14:textId="77777777" w:rsidR="001B4678" w:rsidRDefault="001B4678" w:rsidP="00E13ECD">
      <w:pPr>
        <w:pStyle w:val="Reference"/>
      </w:pPr>
      <w:r>
        <w:t xml:space="preserve">Goldsworthy, K 2021, </w:t>
      </w:r>
      <w:r>
        <w:rPr>
          <w:i/>
          <w:iCs/>
        </w:rPr>
        <w:t>What is theory of change?</w:t>
      </w:r>
      <w:r>
        <w:t>, September, Australian Institute of Family Studies.</w:t>
      </w:r>
    </w:p>
    <w:p w14:paraId="6EB3E609" w14:textId="77777777" w:rsidR="001B4678" w:rsidRDefault="001B4678" w:rsidP="00E13ECD">
      <w:pPr>
        <w:pStyle w:val="Reference"/>
      </w:pPr>
      <w:r>
        <w:t xml:space="preserve">HM Treasury 2001, </w:t>
      </w:r>
      <w:r>
        <w:rPr>
          <w:i/>
          <w:iCs/>
        </w:rPr>
        <w:t>Choosing the right FABRIC: A framework for performance information</w:t>
      </w:r>
      <w:r>
        <w:t>, HM Treasury, London.</w:t>
      </w:r>
    </w:p>
    <w:p w14:paraId="068CE215" w14:textId="77777777" w:rsidR="001B4678" w:rsidRDefault="001B4678" w:rsidP="00E13ECD">
      <w:pPr>
        <w:pStyle w:val="Reference"/>
      </w:pPr>
      <w:r>
        <w:t xml:space="preserve">Joint Council (Joint Council on Closing the Gap) 2020, </w:t>
      </w:r>
      <w:r>
        <w:rPr>
          <w:i/>
          <w:iCs/>
        </w:rPr>
        <w:t>Fourth Meeting of the Joint Council on Closing the Gap</w:t>
      </w:r>
      <w:r>
        <w:t>, Communique, 17 November 2020, Canberra.</w:t>
      </w:r>
    </w:p>
    <w:p w14:paraId="65C9E803" w14:textId="609C72D3" w:rsidR="001B4678" w:rsidRDefault="001B4678" w:rsidP="00E13ECD">
      <w:pPr>
        <w:pStyle w:val="Reference"/>
      </w:pPr>
      <w:r>
        <w:t>——</w:t>
      </w:r>
      <w:r w:rsidR="00AC047B">
        <w:t> </w:t>
      </w:r>
      <w:r>
        <w:t xml:space="preserve">2022, </w:t>
      </w:r>
      <w:r>
        <w:rPr>
          <w:i/>
          <w:iCs/>
        </w:rPr>
        <w:t>Data Development Plan 2022-2030</w:t>
      </w:r>
      <w:r>
        <w:t>.</w:t>
      </w:r>
    </w:p>
    <w:p w14:paraId="0DD6B7A0" w14:textId="71AACC3E" w:rsidR="001B4678" w:rsidRDefault="001B4678" w:rsidP="00E13ECD">
      <w:pPr>
        <w:pStyle w:val="Reference"/>
      </w:pPr>
      <w:r>
        <w:t>——</w:t>
      </w:r>
      <w:r w:rsidR="00AC047B">
        <w:t> </w:t>
      </w:r>
      <w:r>
        <w:t xml:space="preserve">2023a, </w:t>
      </w:r>
      <w:r>
        <w:rPr>
          <w:i/>
          <w:iCs/>
        </w:rPr>
        <w:t>Joint Council on Closing the Gap Terms of Reference</w:t>
      </w:r>
      <w:r>
        <w:t>.</w:t>
      </w:r>
    </w:p>
    <w:p w14:paraId="014F2442" w14:textId="050918B1" w:rsidR="001B4678" w:rsidRDefault="001B4678" w:rsidP="00E13ECD">
      <w:pPr>
        <w:pStyle w:val="Reference"/>
      </w:pPr>
      <w:r>
        <w:t>——</w:t>
      </w:r>
      <w:r w:rsidR="00AC047B">
        <w:t> </w:t>
      </w:r>
      <w:r>
        <w:t xml:space="preserve">2023b, </w:t>
      </w:r>
      <w:r>
        <w:rPr>
          <w:i/>
          <w:iCs/>
        </w:rPr>
        <w:t>Ongoing Joint Communications Strategy</w:t>
      </w:r>
      <w:r>
        <w:t>.</w:t>
      </w:r>
    </w:p>
    <w:p w14:paraId="542EB51E" w14:textId="77777777" w:rsidR="001B4678" w:rsidRDefault="001B4678" w:rsidP="00E13ECD">
      <w:pPr>
        <w:pStyle w:val="Reference"/>
      </w:pPr>
      <w:r>
        <w:t xml:space="preserve">Joint Council on Closing the Gap 2021, </w:t>
      </w:r>
      <w:r>
        <w:rPr>
          <w:i/>
          <w:iCs/>
        </w:rPr>
        <w:t>Seventh Meeting of the Joint Council on Closing the Gap</w:t>
      </w:r>
      <w:r>
        <w:t>, Communique, 3 December 2021, Canberra.</w:t>
      </w:r>
    </w:p>
    <w:p w14:paraId="1EE72222" w14:textId="77777777" w:rsidR="001B4678" w:rsidRDefault="001B4678" w:rsidP="00117831">
      <w:pPr>
        <w:pStyle w:val="Reference"/>
      </w:pPr>
      <w:r>
        <w:t xml:space="preserve">KALACC (Kimberly Aboriginal Law and Culture Centre) 2022, </w:t>
      </w:r>
      <w:r>
        <w:rPr>
          <w:i/>
          <w:iCs/>
        </w:rPr>
        <w:t>2022-23 Pre-Commonwealth Budget Submission</w:t>
      </w:r>
      <w:r>
        <w:t>, 26 January.</w:t>
      </w:r>
    </w:p>
    <w:p w14:paraId="24153650" w14:textId="0F2FC315" w:rsidR="001B4678" w:rsidRDefault="001B4678" w:rsidP="00117831">
      <w:pPr>
        <w:pStyle w:val="Reference"/>
      </w:pPr>
      <w:r>
        <w:t xml:space="preserve">Kukutai, T and Walter, M 2015, ‘Recognition and indigenizing official statistics: Reflections from Aotearoa New Zealand and Australia’, </w:t>
      </w:r>
      <w:r>
        <w:rPr>
          <w:i/>
          <w:iCs/>
        </w:rPr>
        <w:t>Statistical Journal of the IAOS</w:t>
      </w:r>
      <w:r>
        <w:t>, vol. 31, no. 2, pp. 317–326.</w:t>
      </w:r>
    </w:p>
    <w:p w14:paraId="5CD16B3C" w14:textId="77777777" w:rsidR="001B4678" w:rsidRDefault="001B4678" w:rsidP="00117831">
      <w:pPr>
        <w:pStyle w:val="Reference"/>
      </w:pPr>
      <w:r>
        <w:t xml:space="preserve">Lowitja Institute 2020, </w:t>
      </w:r>
      <w:r>
        <w:rPr>
          <w:i/>
          <w:iCs/>
        </w:rPr>
        <w:t>Culture is Key: Towards cultural determinants-driven health policy - Final Report</w:t>
      </w:r>
      <w:r>
        <w:t>, Lowitja Institute, Melbourne, pp. 2, 13, 16.</w:t>
      </w:r>
    </w:p>
    <w:p w14:paraId="690BC445" w14:textId="77777777" w:rsidR="001B4678" w:rsidRDefault="001B4678" w:rsidP="00117831">
      <w:pPr>
        <w:pStyle w:val="Reference"/>
      </w:pPr>
      <w:r>
        <w:t xml:space="preserve">Maiam nayri Wingara and Australian Indigenous Governance Institute 2018, </w:t>
      </w:r>
      <w:r>
        <w:rPr>
          <w:i/>
          <w:iCs/>
        </w:rPr>
        <w:t>Indigenous Data Sovereignty Communique Indigenous Data Sovereignty Summit 20th June 2018</w:t>
      </w:r>
      <w:r>
        <w:t>, Canberra, ACT.</w:t>
      </w:r>
    </w:p>
    <w:p w14:paraId="0375855A" w14:textId="77777777" w:rsidR="001B4678" w:rsidRDefault="001B4678" w:rsidP="00117831">
      <w:pPr>
        <w:pStyle w:val="Reference"/>
      </w:pPr>
      <w:r>
        <w:t xml:space="preserve">Markham, F, Jordan, K and Howard-Wagner, D 2018, </w:t>
      </w:r>
      <w:r>
        <w:rPr>
          <w:i/>
          <w:iCs/>
        </w:rPr>
        <w:t>Closing the Gap Refresh: Papering over the gaps or structural reform?</w:t>
      </w:r>
      <w:r>
        <w:t xml:space="preserve">, </w:t>
      </w:r>
      <w:r>
        <w:lastRenderedPageBreak/>
        <w:t>2, CAEPR Topical Issue, Centre for Aboriginal Economic Policy Research, Australian National University.</w:t>
      </w:r>
    </w:p>
    <w:p w14:paraId="4E8991F4" w14:textId="77777777" w:rsidR="001B4678" w:rsidRDefault="001B4678" w:rsidP="00117831">
      <w:pPr>
        <w:pStyle w:val="Reference"/>
      </w:pPr>
      <w:r>
        <w:t xml:space="preserve">Marrie, A 2017, </w:t>
      </w:r>
      <w:r>
        <w:rPr>
          <w:i/>
          <w:iCs/>
        </w:rPr>
        <w:t>Addressing Institutional Barriers to Health Equity for Aboriginal and Torres Strait Islander People in Queensland’s Public Hospital and Health Services</w:t>
      </w:r>
      <w:r>
        <w:t>, Anti-Discrimination Commission Queensland, Brisbane.</w:t>
      </w:r>
    </w:p>
    <w:p w14:paraId="0EB129B1" w14:textId="77777777" w:rsidR="001B4678" w:rsidRPr="00C578FE" w:rsidRDefault="001B4678" w:rsidP="00117831">
      <w:pPr>
        <w:pStyle w:val="Reference"/>
        <w:rPr>
          <w:spacing w:val="-4"/>
        </w:rPr>
      </w:pPr>
      <w:r w:rsidRPr="00C578FE">
        <w:rPr>
          <w:spacing w:val="-4"/>
        </w:rPr>
        <w:t xml:space="preserve">Morgan, A and Homel, P 2011, </w:t>
      </w:r>
      <w:r w:rsidRPr="00C578FE">
        <w:rPr>
          <w:i/>
          <w:iCs/>
          <w:spacing w:val="-4"/>
        </w:rPr>
        <w:t>A model performance framework for community-based crime prevention</w:t>
      </w:r>
      <w:r w:rsidRPr="00C578FE">
        <w:rPr>
          <w:spacing w:val="-4"/>
        </w:rPr>
        <w:t>, Technical and Background Paper 40, Australian Institute of Criminology, Canberra.</w:t>
      </w:r>
    </w:p>
    <w:p w14:paraId="3D991BEE" w14:textId="77777777" w:rsidR="001B4678" w:rsidRDefault="001B4678" w:rsidP="00117831">
      <w:pPr>
        <w:pStyle w:val="Reference"/>
      </w:pPr>
      <w:r>
        <w:t xml:space="preserve">Murawin 2019, </w:t>
      </w:r>
      <w:r>
        <w:rPr>
          <w:i/>
          <w:iCs/>
        </w:rPr>
        <w:t>Closing the Gap retrospective review</w:t>
      </w:r>
      <w:r>
        <w:t>, Department of the Prime Minister and Cabinet, Canberra.</w:t>
      </w:r>
    </w:p>
    <w:p w14:paraId="35D14EE1" w14:textId="77777777" w:rsidR="001B4678" w:rsidRDefault="001B4678" w:rsidP="00117831">
      <w:pPr>
        <w:pStyle w:val="Reference"/>
      </w:pPr>
      <w:r>
        <w:t xml:space="preserve">NIAA (Australian Government National Indigenous Australians Agency) 2019, </w:t>
      </w:r>
      <w:r>
        <w:rPr>
          <w:i/>
          <w:iCs/>
        </w:rPr>
        <w:t>Lessons learned from the National Indigenous Reform Agreement</w:t>
      </w:r>
      <w:r>
        <w:t>, Joint Council on Closing the Gap.</w:t>
      </w:r>
    </w:p>
    <w:p w14:paraId="39CBEA47" w14:textId="5FB33A55" w:rsidR="001B4678" w:rsidRDefault="001B4678" w:rsidP="005642C9">
      <w:pPr>
        <w:pStyle w:val="Reference"/>
      </w:pPr>
      <w:r>
        <w:t>——</w:t>
      </w:r>
      <w:r w:rsidR="00AC047B">
        <w:t> </w:t>
      </w:r>
      <w:r>
        <w:t xml:space="preserve">2023, </w:t>
      </w:r>
      <w:r>
        <w:rPr>
          <w:i/>
          <w:iCs/>
        </w:rPr>
        <w:t>Commonwealth Closing the Gap Actions Table</w:t>
      </w:r>
      <w:r>
        <w:t>, https://www.niaa.gov.au/ctg-actions (accessed 26 June 2023).</w:t>
      </w:r>
    </w:p>
    <w:p w14:paraId="5EE765C8" w14:textId="77777777" w:rsidR="001B4678" w:rsidRDefault="001B4678" w:rsidP="005642C9">
      <w:pPr>
        <w:pStyle w:val="Reference"/>
      </w:pPr>
      <w:r>
        <w:t xml:space="preserve">Nous Group 2014, </w:t>
      </w:r>
      <w:r>
        <w:rPr>
          <w:i/>
          <w:iCs/>
        </w:rPr>
        <w:t>Perspectives on the use of performance frameworks in the Australian federation</w:t>
      </w:r>
      <w:r>
        <w:t>, Research commissioned by the COAG Reform Council.</w:t>
      </w:r>
    </w:p>
    <w:p w14:paraId="6E388823" w14:textId="77777777" w:rsidR="001B4678" w:rsidRDefault="001B4678" w:rsidP="005642C9">
      <w:pPr>
        <w:pStyle w:val="Reference"/>
      </w:pPr>
      <w:r>
        <w:t xml:space="preserve">NSW Government 2021, </w:t>
      </w:r>
      <w:r>
        <w:rPr>
          <w:i/>
          <w:iCs/>
        </w:rPr>
        <w:t>NSW Implementation Plan for Closing the Gap</w:t>
      </w:r>
      <w:r>
        <w:t>.</w:t>
      </w:r>
    </w:p>
    <w:p w14:paraId="09CBA8CB" w14:textId="7C593FF8" w:rsidR="001B4678" w:rsidRDefault="001B4678" w:rsidP="005642C9">
      <w:pPr>
        <w:pStyle w:val="Reference"/>
      </w:pPr>
      <w:r>
        <w:t>——</w:t>
      </w:r>
      <w:r w:rsidR="00AC047B">
        <w:t> </w:t>
      </w:r>
      <w:r>
        <w:t xml:space="preserve">2022, </w:t>
      </w:r>
      <w:r>
        <w:rPr>
          <w:i/>
          <w:iCs/>
        </w:rPr>
        <w:t>2022-2024 NSW Implementation Plan for Closing the Gap</w:t>
      </w:r>
      <w:r>
        <w:t>.</w:t>
      </w:r>
    </w:p>
    <w:p w14:paraId="651733CF" w14:textId="77777777" w:rsidR="001B4678" w:rsidRDefault="001B4678" w:rsidP="005642C9">
      <w:pPr>
        <w:pStyle w:val="Reference"/>
      </w:pPr>
      <w:r>
        <w:t xml:space="preserve">NT Government 2022, </w:t>
      </w:r>
      <w:r>
        <w:rPr>
          <w:i/>
          <w:iCs/>
        </w:rPr>
        <w:t>Closing the Gap implementation plan annual report 2021-22</w:t>
      </w:r>
      <w:r>
        <w:t>, November.</w:t>
      </w:r>
    </w:p>
    <w:p w14:paraId="462B71A7" w14:textId="77777777" w:rsidR="001B4678" w:rsidRPr="00EA2D49" w:rsidRDefault="001B4678" w:rsidP="005642C9">
      <w:pPr>
        <w:pStyle w:val="Reference"/>
        <w:rPr>
          <w:spacing w:val="-4"/>
        </w:rPr>
      </w:pPr>
      <w:r w:rsidRPr="00EA2D49">
        <w:rPr>
          <w:spacing w:val="-4"/>
        </w:rPr>
        <w:t xml:space="preserve">Parter, C, Murray, D, Mohamed, J, Rambaldini, B, Calma, T, Wilson, S, Hartz, D, Gwynn, J and Skinner, J 2021, ‘Talking about the “r” word: a right to a health system that is free of racism’, </w:t>
      </w:r>
      <w:r w:rsidRPr="00EA2D49">
        <w:rPr>
          <w:i/>
          <w:iCs/>
          <w:spacing w:val="-4"/>
        </w:rPr>
        <w:t>Public Health Research &amp; Practice</w:t>
      </w:r>
      <w:r w:rsidRPr="00EA2D49">
        <w:rPr>
          <w:spacing w:val="-4"/>
        </w:rPr>
        <w:t>, vol. 31, no. 1, p. 3112102.</w:t>
      </w:r>
    </w:p>
    <w:p w14:paraId="0BB3EB43" w14:textId="3A35E423" w:rsidR="001B4678" w:rsidRDefault="001B4678" w:rsidP="005642C9">
      <w:pPr>
        <w:pStyle w:val="Reference"/>
      </w:pPr>
      <w:r>
        <w:t xml:space="preserve">——, Wilson, S and Hartz, DL 2019, ‘The Closing the Gap (CTG) Refresh: Should Aboriginal and Torres Strait Islander culture be incorporated in the CTG framework? How?’, </w:t>
      </w:r>
      <w:r>
        <w:rPr>
          <w:i/>
          <w:iCs/>
        </w:rPr>
        <w:t>Australian and New Zealand Journal of Public Health</w:t>
      </w:r>
      <w:r>
        <w:t>, vol. 43, no. 1, pp. 5–7.</w:t>
      </w:r>
    </w:p>
    <w:p w14:paraId="105529C8" w14:textId="77777777" w:rsidR="001B4678" w:rsidRDefault="001B4678" w:rsidP="005642C9">
      <w:pPr>
        <w:pStyle w:val="Reference"/>
      </w:pPr>
      <w:r>
        <w:t xml:space="preserve">Patton, MQ 2018, </w:t>
      </w:r>
      <w:r>
        <w:rPr>
          <w:i/>
          <w:iCs/>
        </w:rPr>
        <w:t>Principles-Focused Evaluation: The GUIDE</w:t>
      </w:r>
      <w:r>
        <w:t>, Guilford Press, New York.</w:t>
      </w:r>
    </w:p>
    <w:p w14:paraId="2E30993A" w14:textId="77777777" w:rsidR="001B4678" w:rsidRDefault="001B4678" w:rsidP="005642C9">
      <w:pPr>
        <w:pStyle w:val="Reference"/>
      </w:pPr>
      <w:r>
        <w:t xml:space="preserve">PC (Productivity Commission) 2019, </w:t>
      </w:r>
      <w:r>
        <w:rPr>
          <w:i/>
          <w:iCs/>
        </w:rPr>
        <w:t>Review of the National Disability Agreement, Study Report</w:t>
      </w:r>
      <w:r>
        <w:t>, Canberra.</w:t>
      </w:r>
    </w:p>
    <w:p w14:paraId="1973090F" w14:textId="72AA8ACE" w:rsidR="001B4678" w:rsidRDefault="001B4678" w:rsidP="005642C9">
      <w:pPr>
        <w:pStyle w:val="Reference"/>
      </w:pPr>
      <w:r>
        <w:t>——</w:t>
      </w:r>
      <w:r w:rsidR="00AC047B">
        <w:t> </w:t>
      </w:r>
      <w:r>
        <w:t xml:space="preserve">2020, </w:t>
      </w:r>
      <w:r>
        <w:rPr>
          <w:i/>
          <w:iCs/>
        </w:rPr>
        <w:t>Indigenous Evaluation Strategy</w:t>
      </w:r>
      <w:r>
        <w:t>, October.</w:t>
      </w:r>
    </w:p>
    <w:p w14:paraId="6D2F46C2" w14:textId="61BE5B84" w:rsidR="001B4678" w:rsidRDefault="001B4678" w:rsidP="005642C9">
      <w:pPr>
        <w:pStyle w:val="Reference"/>
      </w:pPr>
      <w:r>
        <w:t>——</w:t>
      </w:r>
      <w:r w:rsidR="00AC047B">
        <w:t> </w:t>
      </w:r>
      <w:r>
        <w:t xml:space="preserve">2021, </w:t>
      </w:r>
      <w:r>
        <w:rPr>
          <w:i/>
          <w:iCs/>
        </w:rPr>
        <w:t>Proposed data updates for the Closing the Gap Dashboard to mid-2022</w:t>
      </w:r>
      <w:r>
        <w:t>, unpublished.</w:t>
      </w:r>
    </w:p>
    <w:p w14:paraId="49BA772A" w14:textId="7BB84018" w:rsidR="001B4678" w:rsidRDefault="001B4678" w:rsidP="005642C9">
      <w:pPr>
        <w:pStyle w:val="Reference"/>
      </w:pPr>
      <w:r>
        <w:t>——</w:t>
      </w:r>
      <w:r w:rsidR="00AC047B">
        <w:t> </w:t>
      </w:r>
      <w:r>
        <w:t xml:space="preserve">2022a, </w:t>
      </w:r>
      <w:r>
        <w:rPr>
          <w:i/>
          <w:iCs/>
        </w:rPr>
        <w:t>Proposed data updates for the Closing the Gap Dashboard to mid-2023</w:t>
      </w:r>
      <w:r>
        <w:t>, unpublished.</w:t>
      </w:r>
    </w:p>
    <w:p w14:paraId="117A554F" w14:textId="51418C73" w:rsidR="001B4678" w:rsidRDefault="001B4678" w:rsidP="005642C9">
      <w:pPr>
        <w:pStyle w:val="Reference"/>
      </w:pPr>
      <w:r>
        <w:t>——</w:t>
      </w:r>
      <w:r w:rsidR="00AC047B">
        <w:t> </w:t>
      </w:r>
      <w:r>
        <w:t xml:space="preserve">2022b, </w:t>
      </w:r>
      <w:r>
        <w:rPr>
          <w:i/>
          <w:iCs/>
        </w:rPr>
        <w:t>Review of the National School Reform Agreement</w:t>
      </w:r>
      <w:r>
        <w:t>, Study Report, Canberra, December.</w:t>
      </w:r>
    </w:p>
    <w:p w14:paraId="1D278361" w14:textId="1208A04E" w:rsidR="001B4678" w:rsidRDefault="001B4678" w:rsidP="005642C9">
      <w:pPr>
        <w:pStyle w:val="Reference"/>
      </w:pPr>
      <w:r>
        <w:t>——</w:t>
      </w:r>
      <w:r w:rsidR="00AC047B">
        <w:t> </w:t>
      </w:r>
      <w:r>
        <w:t xml:space="preserve">2023a, </w:t>
      </w:r>
      <w:r>
        <w:rPr>
          <w:i/>
          <w:iCs/>
        </w:rPr>
        <w:t>Aboriginal and Torres Strait Islander cultures and languages are strong, supported and flourishing</w:t>
      </w:r>
      <w:r>
        <w:t>, Closing the Gap Information Repository, https://www.pc.gov.au/closing-the-gap-data/dashboard/socioeconomic/outcome-area16 (accessed 11 July 2023).</w:t>
      </w:r>
    </w:p>
    <w:p w14:paraId="0FE7E540" w14:textId="06B3AB68" w:rsidR="001B4678" w:rsidRPr="00EA2D49" w:rsidRDefault="001B4678" w:rsidP="005642C9">
      <w:pPr>
        <w:pStyle w:val="Reference"/>
        <w:rPr>
          <w:spacing w:val="-2"/>
        </w:rPr>
      </w:pPr>
      <w:r w:rsidRPr="00EA2D49">
        <w:rPr>
          <w:spacing w:val="-2"/>
        </w:rPr>
        <w:t>——</w:t>
      </w:r>
      <w:r w:rsidR="00AC047B" w:rsidRPr="00EA2D49">
        <w:rPr>
          <w:spacing w:val="-2"/>
        </w:rPr>
        <w:t> </w:t>
      </w:r>
      <w:r w:rsidRPr="00EA2D49">
        <w:rPr>
          <w:spacing w:val="-2"/>
        </w:rPr>
        <w:t xml:space="preserve">2023b, </w:t>
      </w:r>
      <w:r w:rsidRPr="00EA2D49">
        <w:rPr>
          <w:i/>
          <w:iCs/>
          <w:spacing w:val="-2"/>
        </w:rPr>
        <w:t>Closing the Gap Annual Data Compilation Report</w:t>
      </w:r>
      <w:r w:rsidR="00EA2D49">
        <w:rPr>
          <w:i/>
          <w:iCs/>
          <w:spacing w:val="-2"/>
        </w:rPr>
        <w:t xml:space="preserve"> 2023</w:t>
      </w:r>
      <w:r w:rsidRPr="00EA2D49">
        <w:rPr>
          <w:spacing w:val="-2"/>
        </w:rPr>
        <w:t>, July.</w:t>
      </w:r>
    </w:p>
    <w:p w14:paraId="4E5286E4" w14:textId="08FD54B7" w:rsidR="001B4678" w:rsidRDefault="001B4678" w:rsidP="009A09C9">
      <w:pPr>
        <w:pStyle w:val="Reference"/>
      </w:pPr>
      <w:r>
        <w:t>——</w:t>
      </w:r>
      <w:r w:rsidR="00AC047B">
        <w:t> </w:t>
      </w:r>
      <w:r>
        <w:t xml:space="preserve">2023c, </w:t>
      </w:r>
      <w:r>
        <w:rPr>
          <w:i/>
          <w:iCs/>
        </w:rPr>
        <w:t>Closing the Gap Information Repository</w:t>
      </w:r>
      <w:r>
        <w:t>, https://www.pc.gov.au/closing-the-gap-data (accessed 9 June 2023).</w:t>
      </w:r>
    </w:p>
    <w:p w14:paraId="4F0DACF9" w14:textId="2D91F377" w:rsidR="001B4678" w:rsidRDefault="001B4678" w:rsidP="009A09C9">
      <w:pPr>
        <w:pStyle w:val="Reference"/>
      </w:pPr>
      <w:r>
        <w:t>——</w:t>
      </w:r>
      <w:r w:rsidR="00AC047B">
        <w:t> </w:t>
      </w:r>
      <w:r>
        <w:t xml:space="preserve">2023d, </w:t>
      </w:r>
      <w:r>
        <w:rPr>
          <w:i/>
          <w:iCs/>
        </w:rPr>
        <w:t>Review of the National Agreement on Closing the Gap - Review paper 3: What we have heard to date - first phase of engagement</w:t>
      </w:r>
      <w:r>
        <w:t>, Productivity Commission, Canberra.</w:t>
      </w:r>
    </w:p>
    <w:p w14:paraId="5AB1A59F" w14:textId="77777777" w:rsidR="001B4678" w:rsidRDefault="001B4678" w:rsidP="009A09C9">
      <w:pPr>
        <w:pStyle w:val="Reference"/>
      </w:pPr>
      <w:r>
        <w:t xml:space="preserve">QAIHC (Queensland Aboriginal and Islander Health Council) 2022, </w:t>
      </w:r>
      <w:r>
        <w:rPr>
          <w:i/>
          <w:iCs/>
        </w:rPr>
        <w:t>Position Paper: Institutional Racism in the Queensland Public Health System</w:t>
      </w:r>
      <w:r>
        <w:t>, Brisbane.</w:t>
      </w:r>
    </w:p>
    <w:p w14:paraId="6C2BA471" w14:textId="77777777" w:rsidR="001B4678" w:rsidRDefault="001B4678" w:rsidP="009A09C9">
      <w:pPr>
        <w:pStyle w:val="Reference"/>
      </w:pPr>
      <w:r>
        <w:t xml:space="preserve">Queensland Government 2023, </w:t>
      </w:r>
      <w:r>
        <w:rPr>
          <w:i/>
          <w:iCs/>
        </w:rPr>
        <w:t>Queensland Closing the Gap 2022 Implementation Plan - Attachment</w:t>
      </w:r>
      <w:r>
        <w:t>, Brisbane.</w:t>
      </w:r>
    </w:p>
    <w:p w14:paraId="61508187" w14:textId="1D606C0C" w:rsidR="001B4678" w:rsidRDefault="001B4678" w:rsidP="009A09C9">
      <w:pPr>
        <w:pStyle w:val="Reference"/>
      </w:pPr>
      <w:r>
        <w:t xml:space="preserve">Ramia, I, Powell, A, Stratton, K, Stokes, C, Meltzer, A and Muir, K 2021, </w:t>
      </w:r>
      <w:r>
        <w:rPr>
          <w:i/>
          <w:iCs/>
        </w:rPr>
        <w:t>Roadmap to outcomes measurement.  Your step-by-step guide to planning, measuring and communicating social impact</w:t>
      </w:r>
      <w:r>
        <w:t>, Centre for Social Impact.</w:t>
      </w:r>
    </w:p>
    <w:p w14:paraId="68860942" w14:textId="77777777" w:rsidR="001B4678" w:rsidRDefault="001B4678" w:rsidP="009A09C9">
      <w:pPr>
        <w:pStyle w:val="Reference"/>
      </w:pPr>
      <w:r>
        <w:t xml:space="preserve">RCPDCNT (Royal Commission into the Protection and Detention of Children in the Northern Territory) 2017, </w:t>
      </w:r>
      <w:r>
        <w:rPr>
          <w:i/>
          <w:iCs/>
        </w:rPr>
        <w:t>Final Report</w:t>
      </w:r>
      <w:r>
        <w:t>, Darwin.</w:t>
      </w:r>
    </w:p>
    <w:p w14:paraId="791E146C" w14:textId="5451B35A" w:rsidR="001B4678" w:rsidRDefault="001B4678" w:rsidP="009A09C9">
      <w:pPr>
        <w:pStyle w:val="Reference"/>
      </w:pPr>
      <w:r>
        <w:t xml:space="preserve">Royal Commission on Aboriginal Peoples, Canada 1996, </w:t>
      </w:r>
      <w:r>
        <w:rPr>
          <w:i/>
          <w:iCs/>
        </w:rPr>
        <w:t>Report of the Royal Commission on Aboriginal Peoples</w:t>
      </w:r>
      <w:r>
        <w:t>, The Commission: Available by mail from Canada Communication Group</w:t>
      </w:r>
      <w:r w:rsidR="00EA2D49">
        <w:t>-</w:t>
      </w:r>
      <w:r>
        <w:t>Pub, Ottawa.</w:t>
      </w:r>
    </w:p>
    <w:p w14:paraId="12025F36" w14:textId="77777777" w:rsidR="001B4678" w:rsidRDefault="001B4678" w:rsidP="009A09C9">
      <w:pPr>
        <w:pStyle w:val="Reference"/>
      </w:pPr>
      <w:r>
        <w:t xml:space="preserve">SCRGSP (Steering Committee for the Review of Government Service Provision) 2009, </w:t>
      </w:r>
      <w:r>
        <w:rPr>
          <w:i/>
          <w:iCs/>
        </w:rPr>
        <w:t>National Agreement Performance Information 2008-09: National Indigenous Reform Agreement</w:t>
      </w:r>
      <w:r>
        <w:t>, Productivity Commission, Canberra.</w:t>
      </w:r>
    </w:p>
    <w:p w14:paraId="000B445B" w14:textId="77777777" w:rsidR="001B4678" w:rsidRDefault="001B4678" w:rsidP="009A09C9">
      <w:pPr>
        <w:pStyle w:val="Reference"/>
      </w:pPr>
      <w:r>
        <w:t xml:space="preserve">Tasmanian Government 2022, </w:t>
      </w:r>
      <w:r>
        <w:rPr>
          <w:i/>
          <w:iCs/>
        </w:rPr>
        <w:t>Closing the Gap Tasmanian Implementation Plan 2021 – 2023</w:t>
      </w:r>
      <w:r>
        <w:t>.</w:t>
      </w:r>
    </w:p>
    <w:p w14:paraId="4B4A1134" w14:textId="38C3A273" w:rsidR="001B4678" w:rsidRDefault="001B4678" w:rsidP="009A09C9">
      <w:pPr>
        <w:pStyle w:val="Reference"/>
      </w:pPr>
      <w:r>
        <w:t xml:space="preserve">Taylor, J 2008, ‘Indigenous Peoples and Indicators of Well-being: Australian Perspectives on United Nations Global Frameworks’, </w:t>
      </w:r>
      <w:r>
        <w:rPr>
          <w:i/>
          <w:iCs/>
        </w:rPr>
        <w:t>Social Indicators Research</w:t>
      </w:r>
      <w:r>
        <w:t>, vol. 87, pp. 111–126.</w:t>
      </w:r>
    </w:p>
    <w:p w14:paraId="7382CFEE" w14:textId="77777777" w:rsidR="001B4678" w:rsidRDefault="001B4678" w:rsidP="009A09C9">
      <w:pPr>
        <w:pStyle w:val="Reference"/>
      </w:pPr>
      <w:r>
        <w:t xml:space="preserve">Victorian Government 2021, </w:t>
      </w:r>
      <w:r>
        <w:rPr>
          <w:i/>
          <w:iCs/>
        </w:rPr>
        <w:t>Closing the Gap Jurisdictional Implementation Plan 2021-2023</w:t>
      </w:r>
      <w:r>
        <w:t>.</w:t>
      </w:r>
    </w:p>
    <w:p w14:paraId="7C6FD558" w14:textId="54E0C83B" w:rsidR="001B4678" w:rsidRPr="00EA2D49" w:rsidRDefault="001B4678" w:rsidP="009A09C9">
      <w:pPr>
        <w:pStyle w:val="Reference"/>
        <w:rPr>
          <w:spacing w:val="-4"/>
        </w:rPr>
      </w:pPr>
      <w:r w:rsidRPr="00EA2D49">
        <w:rPr>
          <w:spacing w:val="-4"/>
        </w:rPr>
        <w:t>——</w:t>
      </w:r>
      <w:r w:rsidR="00AC047B" w:rsidRPr="00EA2D49">
        <w:rPr>
          <w:spacing w:val="-4"/>
        </w:rPr>
        <w:t> </w:t>
      </w:r>
      <w:r w:rsidRPr="00EA2D49">
        <w:rPr>
          <w:spacing w:val="-4"/>
        </w:rPr>
        <w:t xml:space="preserve">2022, </w:t>
      </w:r>
      <w:r w:rsidRPr="00EA2D49">
        <w:rPr>
          <w:i/>
          <w:iCs/>
          <w:spacing w:val="-4"/>
        </w:rPr>
        <w:t>Victorian Government Aboriginal Affairs Report 2021</w:t>
      </w:r>
      <w:r w:rsidRPr="00EA2D49">
        <w:rPr>
          <w:spacing w:val="-4"/>
        </w:rPr>
        <w:t>.</w:t>
      </w:r>
    </w:p>
    <w:p w14:paraId="695882C8" w14:textId="77777777" w:rsidR="001B4678" w:rsidRDefault="001B4678" w:rsidP="009A09C9">
      <w:pPr>
        <w:pStyle w:val="Reference"/>
      </w:pPr>
      <w:r>
        <w:t xml:space="preserve">Walter, M, M. Lovett, R, Bodkin Andrews, G and Lee, V 2018, </w:t>
      </w:r>
      <w:r>
        <w:rPr>
          <w:i/>
          <w:iCs/>
        </w:rPr>
        <w:t>Indigenous Data Sovereignty Briefing Paper 1</w:t>
      </w:r>
      <w:r>
        <w:t>, Miaim nayri Wingara Data Sovereignty Group and the Australian Indigenous Governance Institute.</w:t>
      </w:r>
    </w:p>
    <w:p w14:paraId="02568D48" w14:textId="77777777" w:rsidR="00C578FE" w:rsidRDefault="00C578FE" w:rsidP="00A83DA4">
      <w:pPr>
        <w:pStyle w:val="Reference"/>
        <w:sectPr w:rsidR="00C578FE" w:rsidSect="007B26AD">
          <w:type w:val="continuous"/>
          <w:pgSz w:w="11906" w:h="16838" w:code="9"/>
          <w:pgMar w:top="1134" w:right="1134" w:bottom="1134" w:left="1134" w:header="794" w:footer="510" w:gutter="0"/>
          <w:cols w:num="2" w:space="708"/>
          <w:docGrid w:linePitch="360"/>
        </w:sectPr>
      </w:pPr>
    </w:p>
    <w:p w14:paraId="727D1846" w14:textId="76F16879" w:rsidR="00A91551" w:rsidRPr="005808C9" w:rsidRDefault="00A91551" w:rsidP="00A83DA4">
      <w:pPr>
        <w:pStyle w:val="Reference"/>
      </w:pPr>
    </w:p>
    <w:sectPr w:rsidR="00A91551" w:rsidRPr="005808C9" w:rsidSect="007B26AD">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F490E" w14:textId="77777777" w:rsidR="00E342DE" w:rsidRDefault="00E342DE" w:rsidP="008017BC">
      <w:r>
        <w:separator/>
      </w:r>
    </w:p>
    <w:p w14:paraId="7BE276F3" w14:textId="77777777" w:rsidR="00E342DE" w:rsidRDefault="00E342DE"/>
  </w:endnote>
  <w:endnote w:type="continuationSeparator" w:id="0">
    <w:p w14:paraId="4E6E4E74" w14:textId="77777777" w:rsidR="00E342DE" w:rsidRDefault="00E342DE" w:rsidP="008017BC">
      <w:r>
        <w:continuationSeparator/>
      </w:r>
    </w:p>
    <w:p w14:paraId="78C48876" w14:textId="77777777" w:rsidR="00E342DE" w:rsidRDefault="00E342DE"/>
  </w:endnote>
  <w:endnote w:type="continuationNotice" w:id="1">
    <w:p w14:paraId="6447F1E8" w14:textId="77777777" w:rsidR="00E342DE" w:rsidRDefault="00E342D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CD266"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06778996"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8730383"/>
      <w:docPartObj>
        <w:docPartGallery w:val="Page Numbers (Bottom of Page)"/>
        <w:docPartUnique/>
      </w:docPartObj>
    </w:sdtPr>
    <w:sdtEndPr/>
    <w:sdtContent>
      <w:sdt>
        <w:sdtPr>
          <w:id w:val="-136262791"/>
          <w:docPartObj>
            <w:docPartGallery w:val="Page Numbers (Top of Page)"/>
            <w:docPartUnique/>
          </w:docPartObj>
        </w:sdtPr>
        <w:sdtEndPr/>
        <w:sdtContent>
          <w:p w14:paraId="2CE17294" w14:textId="77777777" w:rsidR="00CB62D7" w:rsidRDefault="00907364" w:rsidP="00907364">
            <w:pPr>
              <w:pStyle w:val="Footer-right"/>
              <w:jc w:val="lef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5563142"/>
      <w:docPartObj>
        <w:docPartGallery w:val="Page Numbers (Bottom of Page)"/>
        <w:docPartUnique/>
      </w:docPartObj>
    </w:sdtPr>
    <w:sdtEndPr/>
    <w:sdtContent>
      <w:sdt>
        <w:sdtPr>
          <w:id w:val="247241881"/>
          <w:docPartObj>
            <w:docPartGallery w:val="Page Numbers (Top of Page)"/>
            <w:docPartUnique/>
          </w:docPartObj>
        </w:sdtPr>
        <w:sdtEndPr/>
        <w:sdtContent>
          <w:p w14:paraId="475B0371" w14:textId="77777777" w:rsidR="00CB62D7" w:rsidRDefault="00907364" w:rsidP="00907364">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1F907" w14:textId="77777777" w:rsidR="00E342DE" w:rsidRPr="00C238D1" w:rsidRDefault="00E342DE" w:rsidP="00273E86">
      <w:pPr>
        <w:spacing w:after="0" w:line="240" w:lineRule="auto"/>
        <w:rPr>
          <w:rStyle w:val="ColourDarkBlue"/>
        </w:rPr>
      </w:pPr>
      <w:r w:rsidRPr="00C238D1">
        <w:rPr>
          <w:rStyle w:val="ColourDarkBlue"/>
        </w:rPr>
        <w:continuationSeparator/>
      </w:r>
    </w:p>
  </w:footnote>
  <w:footnote w:type="continuationSeparator" w:id="0">
    <w:p w14:paraId="3E98D3B1" w14:textId="77777777" w:rsidR="00E342DE" w:rsidRPr="001D7D9B" w:rsidRDefault="00E342DE" w:rsidP="001D7D9B">
      <w:pPr>
        <w:spacing w:after="0" w:line="240" w:lineRule="auto"/>
        <w:rPr>
          <w:color w:val="0D8380" w:themeColor="background2"/>
        </w:rPr>
      </w:pPr>
      <w:r w:rsidRPr="00C238D1">
        <w:rPr>
          <w:rStyle w:val="ColourDarkBlue"/>
        </w:rPr>
        <w:continuationSeparator/>
      </w:r>
    </w:p>
  </w:footnote>
  <w:footnote w:type="continuationNotice" w:id="1">
    <w:p w14:paraId="38D1D154" w14:textId="77777777" w:rsidR="00E342DE" w:rsidRDefault="00E342DE"/>
  </w:footnote>
  <w:footnote w:id="2">
    <w:p w14:paraId="6711BC99" w14:textId="12F9E52D" w:rsidR="00356709" w:rsidRPr="00356709" w:rsidRDefault="00356709">
      <w:pPr>
        <w:pStyle w:val="FootnoteText"/>
        <w:rPr>
          <w:lang w:val="en-US"/>
        </w:rPr>
      </w:pPr>
      <w:r>
        <w:rPr>
          <w:rStyle w:val="FootnoteReference"/>
        </w:rPr>
        <w:footnoteRef/>
      </w:r>
      <w:r>
        <w:t xml:space="preserve"> The definition of discrete community used in the Agreement draws on the ABS 2016 census dictionary: </w:t>
      </w:r>
      <w:r>
        <w:rPr>
          <w:lang w:val="en-US"/>
        </w:rPr>
        <w:t xml:space="preserve">‘A discrete community is a geographic location, bounded by physical or legal boundaries, which is inhabited or intended to be inhabited predominantly (i.e. greater than 50% of usual residents) by Aboriginal or Torres Strait Islander peoples, with housing or infrastructure (power, water, sewerage) that is managed on a community basis. Discrete communities have populations of (but not limited to) 50 or more Aboriginal and Torres Strait Islander people’ </w:t>
      </w:r>
      <w:r w:rsidR="00D8743C" w:rsidRPr="00D8743C">
        <w:rPr>
          <w:rFonts w:ascii="Arial" w:hAnsi="Arial" w:cs="Arial"/>
          <w:szCs w:val="24"/>
        </w:rPr>
        <w:t>(ABS 2016)</w:t>
      </w:r>
      <w:r>
        <w:rPr>
          <w:lang w:val="en-US"/>
        </w:rPr>
        <w:t>.</w:t>
      </w:r>
    </w:p>
  </w:footnote>
  <w:footnote w:id="3">
    <w:p w14:paraId="4D726971" w14:textId="3DFA2315" w:rsidR="00F665BB" w:rsidRPr="00F665BB" w:rsidRDefault="00F665BB">
      <w:pPr>
        <w:pStyle w:val="FootnoteText"/>
        <w:rPr>
          <w:lang w:val="en-US"/>
        </w:rPr>
      </w:pPr>
      <w:r w:rsidRPr="00A7164A">
        <w:rPr>
          <w:rStyle w:val="FootnoteReference"/>
        </w:rPr>
        <w:footnoteRef/>
      </w:r>
      <w:r>
        <w:t xml:space="preserve"> </w:t>
      </w:r>
      <w:r>
        <w:rPr>
          <w:lang w:val="en-US"/>
        </w:rPr>
        <w:t xml:space="preserve">Based on the </w:t>
      </w:r>
      <w:r w:rsidR="00BA6F49" w:rsidRPr="00BA6F49">
        <w:rPr>
          <w:lang w:val="en-US"/>
        </w:rPr>
        <w:t>Public Governance, Performance and Accountability Act</w:t>
      </w:r>
      <w:r w:rsidR="00BA6F49">
        <w:rPr>
          <w:lang w:val="en-US"/>
        </w:rPr>
        <w:t xml:space="preserve"> Flipchart </w:t>
      </w:r>
      <w:r w:rsidR="00020164">
        <w:rPr>
          <w:lang w:val="en-US"/>
        </w:rPr>
        <w:t>as of 6 March 2023</w:t>
      </w:r>
      <w:r w:rsidR="00C70F30">
        <w:rPr>
          <w:lang w:val="en-US"/>
        </w:rPr>
        <w:t xml:space="preserve"> and the </w:t>
      </w:r>
      <w:r w:rsidR="000A5395">
        <w:rPr>
          <w:lang w:val="en-US"/>
        </w:rPr>
        <w:t xml:space="preserve">online Commonwealth Closing the Gap Actions Table as </w:t>
      </w:r>
      <w:r w:rsidR="00E32B98">
        <w:rPr>
          <w:lang w:val="en-US"/>
        </w:rPr>
        <w:t>of</w:t>
      </w:r>
      <w:r w:rsidR="00A0683F">
        <w:rPr>
          <w:lang w:val="en-US"/>
        </w:rPr>
        <w:t xml:space="preserve"> 13 February 2023</w:t>
      </w:r>
      <w:r w:rsidR="001E3685">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1D1C3" w14:textId="193F7569" w:rsidR="00F173EF" w:rsidRDefault="00043573" w:rsidP="00F173EF">
    <w:pPr>
      <w:pStyle w:val="Header-Keyline"/>
    </w:pPr>
    <w:r>
      <w:rPr>
        <w:rStyle w:val="Strong"/>
      </w:rPr>
      <w:t>Review of the National Agreement on Closing the Gap</w:t>
    </w:r>
    <w:r w:rsidR="00F173EF">
      <w:t xml:space="preserve"> </w:t>
    </w:r>
    <w:r w:rsidR="003967CE">
      <w:t>Draft R</w:t>
    </w:r>
    <w:r w:rsidR="00F173EF">
      <w:t>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E00EC" w14:textId="6362FB6C" w:rsidR="00F173EF" w:rsidRDefault="00B5330B" w:rsidP="00F173EF">
    <w:pPr>
      <w:pStyle w:val="Header-KeylineRight"/>
    </w:pPr>
    <w:r>
      <w:t>Information paper 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8703F" w14:textId="77777777" w:rsidR="00CB62D7" w:rsidRDefault="00907364" w:rsidP="00907364">
    <w:pPr>
      <w:pStyle w:val="Header-KeylineRight"/>
      <w:jc w:val="left"/>
    </w:pPr>
    <w:r>
      <w:t>Information paper 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4C705" w14:textId="77777777" w:rsidR="00CB62D7" w:rsidRDefault="00907364" w:rsidP="00907364">
    <w:pPr>
      <w:pStyle w:val="Header-KeylineRight"/>
    </w:pPr>
    <w:r>
      <w:t>Information paper 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3E6C9D"/>
    <w:multiLevelType w:val="multilevel"/>
    <w:tmpl w:val="FF8069A4"/>
    <w:numStyleLink w:val="Bullets"/>
  </w:abstractNum>
  <w:abstractNum w:abstractNumId="5"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7"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8" w15:restartNumberingAfterBreak="0">
    <w:nsid w:val="1A1A0E47"/>
    <w:multiLevelType w:val="multilevel"/>
    <w:tmpl w:val="D77AE082"/>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D665246"/>
    <w:multiLevelType w:val="multilevel"/>
    <w:tmpl w:val="55366B42"/>
    <w:numStyleLink w:val="LetteredList"/>
  </w:abstractNum>
  <w:abstractNum w:abstractNumId="11" w15:restartNumberingAfterBreak="0">
    <w:nsid w:val="2DFE29AF"/>
    <w:multiLevelType w:val="multilevel"/>
    <w:tmpl w:val="72768BCE"/>
    <w:numStyleLink w:val="AppendixHeadingList"/>
  </w:abstractNum>
  <w:abstractNum w:abstractNumId="12"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0D8380"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6" w15:restartNumberingAfterBreak="0">
    <w:nsid w:val="6134636A"/>
    <w:multiLevelType w:val="multilevel"/>
    <w:tmpl w:val="1FA8DC2A"/>
    <w:numStyleLink w:val="Numbering"/>
  </w:abstractNum>
  <w:abstractNum w:abstractNumId="17" w15:restartNumberingAfterBreak="0">
    <w:nsid w:val="761B4A1B"/>
    <w:multiLevelType w:val="multilevel"/>
    <w:tmpl w:val="4F48000A"/>
    <w:numStyleLink w:val="Alphalist"/>
  </w:abstractNum>
  <w:num w:numId="1" w16cid:durableId="796488809">
    <w:abstractNumId w:val="6"/>
  </w:num>
  <w:num w:numId="2" w16cid:durableId="1678339093">
    <w:abstractNumId w:val="2"/>
  </w:num>
  <w:num w:numId="3" w16cid:durableId="259609847">
    <w:abstractNumId w:val="9"/>
  </w:num>
  <w:num w:numId="4" w16cid:durableId="1369647638">
    <w:abstractNumId w:val="14"/>
  </w:num>
  <w:num w:numId="5" w16cid:durableId="964433297">
    <w:abstractNumId w:val="15"/>
  </w:num>
  <w:num w:numId="6" w16cid:durableId="1793474899">
    <w:abstractNumId w:val="13"/>
  </w:num>
  <w:num w:numId="7" w16cid:durableId="1128009469">
    <w:abstractNumId w:val="11"/>
  </w:num>
  <w:num w:numId="8" w16cid:durableId="1341733634">
    <w:abstractNumId w:val="7"/>
  </w:num>
  <w:num w:numId="9" w16cid:durableId="1343776615">
    <w:abstractNumId w:val="10"/>
  </w:num>
  <w:num w:numId="10" w16cid:durableId="1157838012">
    <w:abstractNumId w:val="17"/>
  </w:num>
  <w:num w:numId="11" w16cid:durableId="1923953219">
    <w:abstractNumId w:val="0"/>
  </w:num>
  <w:num w:numId="12" w16cid:durableId="1343319762">
    <w:abstractNumId w:val="3"/>
  </w:num>
  <w:num w:numId="13" w16cid:durableId="1196382698">
    <w:abstractNumId w:val="8"/>
  </w:num>
  <w:num w:numId="14" w16cid:durableId="355542340">
    <w:abstractNumId w:val="5"/>
  </w:num>
  <w:num w:numId="15" w16cid:durableId="482770750">
    <w:abstractNumId w:val="1"/>
  </w:num>
  <w:num w:numId="16" w16cid:durableId="1316954373">
    <w:abstractNumId w:val="12"/>
  </w:num>
  <w:num w:numId="17" w16cid:durableId="18386932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69827492">
    <w:abstractNumId w:val="4"/>
  </w:num>
  <w:num w:numId="19" w16cid:durableId="408306711">
    <w:abstractNumId w:val="4"/>
  </w:num>
  <w:num w:numId="20" w16cid:durableId="263154031">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46E"/>
    <w:rsid w:val="0000000A"/>
    <w:rsid w:val="00000075"/>
    <w:rsid w:val="000000C0"/>
    <w:rsid w:val="0000011A"/>
    <w:rsid w:val="0000011E"/>
    <w:rsid w:val="00000141"/>
    <w:rsid w:val="0000016F"/>
    <w:rsid w:val="0000017D"/>
    <w:rsid w:val="000002B5"/>
    <w:rsid w:val="000002ED"/>
    <w:rsid w:val="000003EF"/>
    <w:rsid w:val="0000045C"/>
    <w:rsid w:val="00000495"/>
    <w:rsid w:val="00000637"/>
    <w:rsid w:val="00000652"/>
    <w:rsid w:val="000006CF"/>
    <w:rsid w:val="0000071A"/>
    <w:rsid w:val="00000746"/>
    <w:rsid w:val="00000760"/>
    <w:rsid w:val="00000796"/>
    <w:rsid w:val="0000082C"/>
    <w:rsid w:val="00000835"/>
    <w:rsid w:val="000008D9"/>
    <w:rsid w:val="00000938"/>
    <w:rsid w:val="00000955"/>
    <w:rsid w:val="0000095A"/>
    <w:rsid w:val="00000978"/>
    <w:rsid w:val="00000A4D"/>
    <w:rsid w:val="00000A4E"/>
    <w:rsid w:val="00000A9F"/>
    <w:rsid w:val="00000C9B"/>
    <w:rsid w:val="00000D2F"/>
    <w:rsid w:val="00000D54"/>
    <w:rsid w:val="00000D65"/>
    <w:rsid w:val="00000DB7"/>
    <w:rsid w:val="00000DFB"/>
    <w:rsid w:val="00000E6C"/>
    <w:rsid w:val="00000ECC"/>
    <w:rsid w:val="00000ECF"/>
    <w:rsid w:val="00000F05"/>
    <w:rsid w:val="00000F3C"/>
    <w:rsid w:val="00000F86"/>
    <w:rsid w:val="00000FDF"/>
    <w:rsid w:val="0000101E"/>
    <w:rsid w:val="0000108A"/>
    <w:rsid w:val="000010A1"/>
    <w:rsid w:val="000011A1"/>
    <w:rsid w:val="000012BA"/>
    <w:rsid w:val="00001414"/>
    <w:rsid w:val="00001472"/>
    <w:rsid w:val="000014BA"/>
    <w:rsid w:val="000015B8"/>
    <w:rsid w:val="00001602"/>
    <w:rsid w:val="0000167F"/>
    <w:rsid w:val="00001684"/>
    <w:rsid w:val="000016DA"/>
    <w:rsid w:val="00001738"/>
    <w:rsid w:val="0000178B"/>
    <w:rsid w:val="000017EF"/>
    <w:rsid w:val="00001842"/>
    <w:rsid w:val="00001948"/>
    <w:rsid w:val="0000197C"/>
    <w:rsid w:val="0000198A"/>
    <w:rsid w:val="00001994"/>
    <w:rsid w:val="0000199E"/>
    <w:rsid w:val="000019A7"/>
    <w:rsid w:val="000019CB"/>
    <w:rsid w:val="000019EE"/>
    <w:rsid w:val="00001A38"/>
    <w:rsid w:val="00001A73"/>
    <w:rsid w:val="00001A82"/>
    <w:rsid w:val="00001AC5"/>
    <w:rsid w:val="00001AF7"/>
    <w:rsid w:val="00001B8B"/>
    <w:rsid w:val="00001BB3"/>
    <w:rsid w:val="00001C7D"/>
    <w:rsid w:val="00001F69"/>
    <w:rsid w:val="00002005"/>
    <w:rsid w:val="00002010"/>
    <w:rsid w:val="00002017"/>
    <w:rsid w:val="0000201B"/>
    <w:rsid w:val="0000205E"/>
    <w:rsid w:val="000020D6"/>
    <w:rsid w:val="00002171"/>
    <w:rsid w:val="000021BF"/>
    <w:rsid w:val="000021E6"/>
    <w:rsid w:val="000021E7"/>
    <w:rsid w:val="0000223F"/>
    <w:rsid w:val="00002251"/>
    <w:rsid w:val="0000231F"/>
    <w:rsid w:val="000023AD"/>
    <w:rsid w:val="000023F2"/>
    <w:rsid w:val="0000243F"/>
    <w:rsid w:val="00002516"/>
    <w:rsid w:val="0000253F"/>
    <w:rsid w:val="000025A5"/>
    <w:rsid w:val="000025B7"/>
    <w:rsid w:val="000025E6"/>
    <w:rsid w:val="0000263D"/>
    <w:rsid w:val="00002674"/>
    <w:rsid w:val="000026A2"/>
    <w:rsid w:val="000026E1"/>
    <w:rsid w:val="00002702"/>
    <w:rsid w:val="0000272F"/>
    <w:rsid w:val="0000277A"/>
    <w:rsid w:val="0000277F"/>
    <w:rsid w:val="00002824"/>
    <w:rsid w:val="00002850"/>
    <w:rsid w:val="00002861"/>
    <w:rsid w:val="000028C4"/>
    <w:rsid w:val="00002920"/>
    <w:rsid w:val="0000293C"/>
    <w:rsid w:val="000029AF"/>
    <w:rsid w:val="000029F3"/>
    <w:rsid w:val="000029FA"/>
    <w:rsid w:val="00002A6D"/>
    <w:rsid w:val="00002AEA"/>
    <w:rsid w:val="00002B6D"/>
    <w:rsid w:val="00002BFA"/>
    <w:rsid w:val="00002CED"/>
    <w:rsid w:val="00002CF4"/>
    <w:rsid w:val="00002D27"/>
    <w:rsid w:val="00002D96"/>
    <w:rsid w:val="00002DFD"/>
    <w:rsid w:val="00002E1B"/>
    <w:rsid w:val="00002E57"/>
    <w:rsid w:val="00002EA7"/>
    <w:rsid w:val="00002F8A"/>
    <w:rsid w:val="00002FA5"/>
    <w:rsid w:val="00002FDA"/>
    <w:rsid w:val="00002FFC"/>
    <w:rsid w:val="0000301E"/>
    <w:rsid w:val="00003026"/>
    <w:rsid w:val="00003070"/>
    <w:rsid w:val="0000307F"/>
    <w:rsid w:val="00003103"/>
    <w:rsid w:val="0000315C"/>
    <w:rsid w:val="00003171"/>
    <w:rsid w:val="00003216"/>
    <w:rsid w:val="00003278"/>
    <w:rsid w:val="000032A6"/>
    <w:rsid w:val="00003321"/>
    <w:rsid w:val="0000333A"/>
    <w:rsid w:val="00003360"/>
    <w:rsid w:val="000033B5"/>
    <w:rsid w:val="000033CC"/>
    <w:rsid w:val="00003502"/>
    <w:rsid w:val="0000351F"/>
    <w:rsid w:val="000035A5"/>
    <w:rsid w:val="000035D7"/>
    <w:rsid w:val="000035EA"/>
    <w:rsid w:val="00003687"/>
    <w:rsid w:val="00003783"/>
    <w:rsid w:val="000037A9"/>
    <w:rsid w:val="0000380A"/>
    <w:rsid w:val="000039CD"/>
    <w:rsid w:val="00003A17"/>
    <w:rsid w:val="00003AC5"/>
    <w:rsid w:val="00003AD7"/>
    <w:rsid w:val="00003AE8"/>
    <w:rsid w:val="00003BFA"/>
    <w:rsid w:val="00003C65"/>
    <w:rsid w:val="00003C89"/>
    <w:rsid w:val="00003D19"/>
    <w:rsid w:val="00003D8D"/>
    <w:rsid w:val="00003DC7"/>
    <w:rsid w:val="00003DF9"/>
    <w:rsid w:val="00003E1C"/>
    <w:rsid w:val="00003EE9"/>
    <w:rsid w:val="00003F1A"/>
    <w:rsid w:val="00003FB2"/>
    <w:rsid w:val="00003FEC"/>
    <w:rsid w:val="00004039"/>
    <w:rsid w:val="00004040"/>
    <w:rsid w:val="00004041"/>
    <w:rsid w:val="00004090"/>
    <w:rsid w:val="00004213"/>
    <w:rsid w:val="00004281"/>
    <w:rsid w:val="000043D2"/>
    <w:rsid w:val="00004489"/>
    <w:rsid w:val="00004562"/>
    <w:rsid w:val="0000458B"/>
    <w:rsid w:val="000045C6"/>
    <w:rsid w:val="00004730"/>
    <w:rsid w:val="00004750"/>
    <w:rsid w:val="00004796"/>
    <w:rsid w:val="00004812"/>
    <w:rsid w:val="00004880"/>
    <w:rsid w:val="000048B9"/>
    <w:rsid w:val="000048CD"/>
    <w:rsid w:val="0000498B"/>
    <w:rsid w:val="00004A08"/>
    <w:rsid w:val="00004A2E"/>
    <w:rsid w:val="00004AA4"/>
    <w:rsid w:val="00004AB7"/>
    <w:rsid w:val="00004AB8"/>
    <w:rsid w:val="00004AEB"/>
    <w:rsid w:val="00004AFF"/>
    <w:rsid w:val="00004B49"/>
    <w:rsid w:val="00004B56"/>
    <w:rsid w:val="00004B86"/>
    <w:rsid w:val="00004B98"/>
    <w:rsid w:val="00004CCF"/>
    <w:rsid w:val="00004E4F"/>
    <w:rsid w:val="00004E5C"/>
    <w:rsid w:val="00004EB3"/>
    <w:rsid w:val="00004F46"/>
    <w:rsid w:val="00004F9E"/>
    <w:rsid w:val="0000500A"/>
    <w:rsid w:val="000050F6"/>
    <w:rsid w:val="000051C8"/>
    <w:rsid w:val="000051F5"/>
    <w:rsid w:val="000051F8"/>
    <w:rsid w:val="00005246"/>
    <w:rsid w:val="00005282"/>
    <w:rsid w:val="000052DD"/>
    <w:rsid w:val="00005387"/>
    <w:rsid w:val="000053BC"/>
    <w:rsid w:val="000053E1"/>
    <w:rsid w:val="0000541B"/>
    <w:rsid w:val="00005456"/>
    <w:rsid w:val="0000547B"/>
    <w:rsid w:val="0000547E"/>
    <w:rsid w:val="000054AB"/>
    <w:rsid w:val="000054C8"/>
    <w:rsid w:val="000054F4"/>
    <w:rsid w:val="00005531"/>
    <w:rsid w:val="00005550"/>
    <w:rsid w:val="000055A5"/>
    <w:rsid w:val="0000562A"/>
    <w:rsid w:val="00005682"/>
    <w:rsid w:val="00005765"/>
    <w:rsid w:val="000057A5"/>
    <w:rsid w:val="0000588B"/>
    <w:rsid w:val="00005973"/>
    <w:rsid w:val="00005980"/>
    <w:rsid w:val="000059E9"/>
    <w:rsid w:val="00005A73"/>
    <w:rsid w:val="00005AC9"/>
    <w:rsid w:val="00005B13"/>
    <w:rsid w:val="00005B3D"/>
    <w:rsid w:val="00005B40"/>
    <w:rsid w:val="00005C08"/>
    <w:rsid w:val="00005C79"/>
    <w:rsid w:val="00005CD8"/>
    <w:rsid w:val="00005D13"/>
    <w:rsid w:val="00005D29"/>
    <w:rsid w:val="00005DF5"/>
    <w:rsid w:val="00005F23"/>
    <w:rsid w:val="00005F7A"/>
    <w:rsid w:val="00005FD0"/>
    <w:rsid w:val="000060BA"/>
    <w:rsid w:val="0000623E"/>
    <w:rsid w:val="00006292"/>
    <w:rsid w:val="00006384"/>
    <w:rsid w:val="000063B4"/>
    <w:rsid w:val="00006468"/>
    <w:rsid w:val="0000648A"/>
    <w:rsid w:val="000064AB"/>
    <w:rsid w:val="000064C1"/>
    <w:rsid w:val="0000651E"/>
    <w:rsid w:val="00006522"/>
    <w:rsid w:val="0000653A"/>
    <w:rsid w:val="00006546"/>
    <w:rsid w:val="000065D5"/>
    <w:rsid w:val="0000664F"/>
    <w:rsid w:val="000066AD"/>
    <w:rsid w:val="000066C8"/>
    <w:rsid w:val="00006781"/>
    <w:rsid w:val="000067BF"/>
    <w:rsid w:val="0000681A"/>
    <w:rsid w:val="000069FF"/>
    <w:rsid w:val="00006A6E"/>
    <w:rsid w:val="00006CC5"/>
    <w:rsid w:val="00006D6E"/>
    <w:rsid w:val="00006DB0"/>
    <w:rsid w:val="00006DD7"/>
    <w:rsid w:val="00006E66"/>
    <w:rsid w:val="00006F06"/>
    <w:rsid w:val="00006F28"/>
    <w:rsid w:val="00007029"/>
    <w:rsid w:val="0000704D"/>
    <w:rsid w:val="0000709E"/>
    <w:rsid w:val="0000715F"/>
    <w:rsid w:val="0000719D"/>
    <w:rsid w:val="000071A3"/>
    <w:rsid w:val="00007273"/>
    <w:rsid w:val="000072BA"/>
    <w:rsid w:val="000072E6"/>
    <w:rsid w:val="00007321"/>
    <w:rsid w:val="00007414"/>
    <w:rsid w:val="00007468"/>
    <w:rsid w:val="000074D6"/>
    <w:rsid w:val="00007546"/>
    <w:rsid w:val="000075C7"/>
    <w:rsid w:val="00007658"/>
    <w:rsid w:val="00007769"/>
    <w:rsid w:val="00007774"/>
    <w:rsid w:val="00007776"/>
    <w:rsid w:val="00007797"/>
    <w:rsid w:val="000077E7"/>
    <w:rsid w:val="0000782F"/>
    <w:rsid w:val="00007873"/>
    <w:rsid w:val="0000792F"/>
    <w:rsid w:val="00007935"/>
    <w:rsid w:val="0000797F"/>
    <w:rsid w:val="000079B8"/>
    <w:rsid w:val="00007A18"/>
    <w:rsid w:val="00007A1E"/>
    <w:rsid w:val="00007B63"/>
    <w:rsid w:val="00007B67"/>
    <w:rsid w:val="00007BB2"/>
    <w:rsid w:val="00007BCB"/>
    <w:rsid w:val="00007C42"/>
    <w:rsid w:val="00007C5B"/>
    <w:rsid w:val="00007C78"/>
    <w:rsid w:val="00007CAE"/>
    <w:rsid w:val="00007CCB"/>
    <w:rsid w:val="00007CFB"/>
    <w:rsid w:val="00007D29"/>
    <w:rsid w:val="00007D99"/>
    <w:rsid w:val="00007DF0"/>
    <w:rsid w:val="00007E44"/>
    <w:rsid w:val="00007E81"/>
    <w:rsid w:val="00007E8F"/>
    <w:rsid w:val="00007FB0"/>
    <w:rsid w:val="00007FD9"/>
    <w:rsid w:val="00010003"/>
    <w:rsid w:val="00010011"/>
    <w:rsid w:val="00010042"/>
    <w:rsid w:val="0001005E"/>
    <w:rsid w:val="0001008F"/>
    <w:rsid w:val="000100CE"/>
    <w:rsid w:val="00010116"/>
    <w:rsid w:val="0001013D"/>
    <w:rsid w:val="0001016B"/>
    <w:rsid w:val="000101D7"/>
    <w:rsid w:val="000101FC"/>
    <w:rsid w:val="0001021B"/>
    <w:rsid w:val="00010225"/>
    <w:rsid w:val="00010304"/>
    <w:rsid w:val="0001035E"/>
    <w:rsid w:val="00010361"/>
    <w:rsid w:val="0001039E"/>
    <w:rsid w:val="00010422"/>
    <w:rsid w:val="0001043D"/>
    <w:rsid w:val="0001055F"/>
    <w:rsid w:val="00010582"/>
    <w:rsid w:val="000105DB"/>
    <w:rsid w:val="000105F4"/>
    <w:rsid w:val="00010606"/>
    <w:rsid w:val="00010642"/>
    <w:rsid w:val="0001069D"/>
    <w:rsid w:val="000106C8"/>
    <w:rsid w:val="000106E6"/>
    <w:rsid w:val="0001070C"/>
    <w:rsid w:val="000107C5"/>
    <w:rsid w:val="00010828"/>
    <w:rsid w:val="00010935"/>
    <w:rsid w:val="00010941"/>
    <w:rsid w:val="000109FF"/>
    <w:rsid w:val="00010A13"/>
    <w:rsid w:val="00010A29"/>
    <w:rsid w:val="00010B47"/>
    <w:rsid w:val="00010C0A"/>
    <w:rsid w:val="00010C67"/>
    <w:rsid w:val="00010CA4"/>
    <w:rsid w:val="00010CBB"/>
    <w:rsid w:val="00010D2F"/>
    <w:rsid w:val="00010E15"/>
    <w:rsid w:val="00010E22"/>
    <w:rsid w:val="00010E94"/>
    <w:rsid w:val="00010ED9"/>
    <w:rsid w:val="00010EEE"/>
    <w:rsid w:val="00010F72"/>
    <w:rsid w:val="00010F99"/>
    <w:rsid w:val="00010FF1"/>
    <w:rsid w:val="00011001"/>
    <w:rsid w:val="0001102D"/>
    <w:rsid w:val="00011048"/>
    <w:rsid w:val="00011054"/>
    <w:rsid w:val="000110BD"/>
    <w:rsid w:val="0001111F"/>
    <w:rsid w:val="00011155"/>
    <w:rsid w:val="0001117D"/>
    <w:rsid w:val="00011193"/>
    <w:rsid w:val="00011196"/>
    <w:rsid w:val="000111DC"/>
    <w:rsid w:val="00011257"/>
    <w:rsid w:val="00011297"/>
    <w:rsid w:val="000112BB"/>
    <w:rsid w:val="000112D2"/>
    <w:rsid w:val="00011356"/>
    <w:rsid w:val="00011394"/>
    <w:rsid w:val="00011396"/>
    <w:rsid w:val="0001139A"/>
    <w:rsid w:val="000113FF"/>
    <w:rsid w:val="00011481"/>
    <w:rsid w:val="00011630"/>
    <w:rsid w:val="00011659"/>
    <w:rsid w:val="000116F4"/>
    <w:rsid w:val="00011783"/>
    <w:rsid w:val="00011786"/>
    <w:rsid w:val="000117B0"/>
    <w:rsid w:val="000117F1"/>
    <w:rsid w:val="000118B5"/>
    <w:rsid w:val="0001192A"/>
    <w:rsid w:val="0001193D"/>
    <w:rsid w:val="000119AD"/>
    <w:rsid w:val="000119E2"/>
    <w:rsid w:val="00011A2A"/>
    <w:rsid w:val="00011A77"/>
    <w:rsid w:val="00011A8E"/>
    <w:rsid w:val="00011A92"/>
    <w:rsid w:val="00011BAC"/>
    <w:rsid w:val="00011BD7"/>
    <w:rsid w:val="00011CB5"/>
    <w:rsid w:val="00011CC6"/>
    <w:rsid w:val="00011CE1"/>
    <w:rsid w:val="00011CEE"/>
    <w:rsid w:val="00011D1E"/>
    <w:rsid w:val="00011D2C"/>
    <w:rsid w:val="00011DCB"/>
    <w:rsid w:val="00011DF0"/>
    <w:rsid w:val="00011E98"/>
    <w:rsid w:val="00011F12"/>
    <w:rsid w:val="00011FEC"/>
    <w:rsid w:val="00012026"/>
    <w:rsid w:val="00012059"/>
    <w:rsid w:val="0001208F"/>
    <w:rsid w:val="0001214C"/>
    <w:rsid w:val="00012172"/>
    <w:rsid w:val="000121D1"/>
    <w:rsid w:val="00012248"/>
    <w:rsid w:val="000122A9"/>
    <w:rsid w:val="000122BA"/>
    <w:rsid w:val="000122CC"/>
    <w:rsid w:val="00012416"/>
    <w:rsid w:val="00012462"/>
    <w:rsid w:val="00012471"/>
    <w:rsid w:val="000124B5"/>
    <w:rsid w:val="000124B9"/>
    <w:rsid w:val="0001258D"/>
    <w:rsid w:val="00012594"/>
    <w:rsid w:val="00012619"/>
    <w:rsid w:val="0001275B"/>
    <w:rsid w:val="0001285B"/>
    <w:rsid w:val="0001287C"/>
    <w:rsid w:val="0001289C"/>
    <w:rsid w:val="000128B0"/>
    <w:rsid w:val="0001292A"/>
    <w:rsid w:val="000129C4"/>
    <w:rsid w:val="000129F0"/>
    <w:rsid w:val="00012A31"/>
    <w:rsid w:val="00012A78"/>
    <w:rsid w:val="00012AC1"/>
    <w:rsid w:val="00012B22"/>
    <w:rsid w:val="00012B55"/>
    <w:rsid w:val="00012B5E"/>
    <w:rsid w:val="00012BAB"/>
    <w:rsid w:val="00012BDE"/>
    <w:rsid w:val="00012C5D"/>
    <w:rsid w:val="00012CD5"/>
    <w:rsid w:val="00012EA3"/>
    <w:rsid w:val="00012FF4"/>
    <w:rsid w:val="0001302A"/>
    <w:rsid w:val="00013088"/>
    <w:rsid w:val="00013095"/>
    <w:rsid w:val="00013099"/>
    <w:rsid w:val="000130DE"/>
    <w:rsid w:val="00013153"/>
    <w:rsid w:val="00013155"/>
    <w:rsid w:val="000131BA"/>
    <w:rsid w:val="000131DE"/>
    <w:rsid w:val="0001320C"/>
    <w:rsid w:val="0001326A"/>
    <w:rsid w:val="00013294"/>
    <w:rsid w:val="000132C3"/>
    <w:rsid w:val="000132F2"/>
    <w:rsid w:val="00013358"/>
    <w:rsid w:val="000133E6"/>
    <w:rsid w:val="000133FD"/>
    <w:rsid w:val="0001340F"/>
    <w:rsid w:val="000134A5"/>
    <w:rsid w:val="000134EE"/>
    <w:rsid w:val="0001356B"/>
    <w:rsid w:val="0001357F"/>
    <w:rsid w:val="00013595"/>
    <w:rsid w:val="000136FB"/>
    <w:rsid w:val="0001373E"/>
    <w:rsid w:val="0001375B"/>
    <w:rsid w:val="000137CF"/>
    <w:rsid w:val="000137EA"/>
    <w:rsid w:val="0001388B"/>
    <w:rsid w:val="000138AC"/>
    <w:rsid w:val="00013960"/>
    <w:rsid w:val="0001397A"/>
    <w:rsid w:val="0001398E"/>
    <w:rsid w:val="000139A3"/>
    <w:rsid w:val="000139EF"/>
    <w:rsid w:val="00013A83"/>
    <w:rsid w:val="00013AD9"/>
    <w:rsid w:val="00013B37"/>
    <w:rsid w:val="00013C00"/>
    <w:rsid w:val="00013CAB"/>
    <w:rsid w:val="00013CF4"/>
    <w:rsid w:val="00013D19"/>
    <w:rsid w:val="00013DE7"/>
    <w:rsid w:val="00013E00"/>
    <w:rsid w:val="00013E3C"/>
    <w:rsid w:val="00013E74"/>
    <w:rsid w:val="00013E75"/>
    <w:rsid w:val="00013E7E"/>
    <w:rsid w:val="00013FB7"/>
    <w:rsid w:val="0001403E"/>
    <w:rsid w:val="00014080"/>
    <w:rsid w:val="000140CB"/>
    <w:rsid w:val="00014125"/>
    <w:rsid w:val="00014171"/>
    <w:rsid w:val="000141CD"/>
    <w:rsid w:val="00014224"/>
    <w:rsid w:val="00014295"/>
    <w:rsid w:val="00014400"/>
    <w:rsid w:val="00014429"/>
    <w:rsid w:val="00014580"/>
    <w:rsid w:val="000145A8"/>
    <w:rsid w:val="000145BA"/>
    <w:rsid w:val="00014652"/>
    <w:rsid w:val="0001467D"/>
    <w:rsid w:val="000146DA"/>
    <w:rsid w:val="00014770"/>
    <w:rsid w:val="000147B4"/>
    <w:rsid w:val="000147BF"/>
    <w:rsid w:val="00014897"/>
    <w:rsid w:val="000148D3"/>
    <w:rsid w:val="00014983"/>
    <w:rsid w:val="00014992"/>
    <w:rsid w:val="00014AD3"/>
    <w:rsid w:val="00014BCA"/>
    <w:rsid w:val="00014C3F"/>
    <w:rsid w:val="00014DF1"/>
    <w:rsid w:val="0001502D"/>
    <w:rsid w:val="000151C9"/>
    <w:rsid w:val="000151CC"/>
    <w:rsid w:val="000151F7"/>
    <w:rsid w:val="000151FF"/>
    <w:rsid w:val="00015210"/>
    <w:rsid w:val="00015296"/>
    <w:rsid w:val="0001533E"/>
    <w:rsid w:val="0001533F"/>
    <w:rsid w:val="00015398"/>
    <w:rsid w:val="000153AD"/>
    <w:rsid w:val="000153B3"/>
    <w:rsid w:val="000153EF"/>
    <w:rsid w:val="000154DA"/>
    <w:rsid w:val="000155E1"/>
    <w:rsid w:val="00015653"/>
    <w:rsid w:val="000157CE"/>
    <w:rsid w:val="00015812"/>
    <w:rsid w:val="00015850"/>
    <w:rsid w:val="0001586C"/>
    <w:rsid w:val="000158DD"/>
    <w:rsid w:val="00015939"/>
    <w:rsid w:val="00015994"/>
    <w:rsid w:val="00015A3E"/>
    <w:rsid w:val="00015A57"/>
    <w:rsid w:val="00015AC5"/>
    <w:rsid w:val="00015B07"/>
    <w:rsid w:val="00015B10"/>
    <w:rsid w:val="00015B4E"/>
    <w:rsid w:val="00015C32"/>
    <w:rsid w:val="00015CF5"/>
    <w:rsid w:val="00015D49"/>
    <w:rsid w:val="00015DD2"/>
    <w:rsid w:val="00015DF7"/>
    <w:rsid w:val="00015E1A"/>
    <w:rsid w:val="00015E52"/>
    <w:rsid w:val="00015EA0"/>
    <w:rsid w:val="00015ED4"/>
    <w:rsid w:val="00015F62"/>
    <w:rsid w:val="00016034"/>
    <w:rsid w:val="00016092"/>
    <w:rsid w:val="0001613C"/>
    <w:rsid w:val="00016215"/>
    <w:rsid w:val="0001623B"/>
    <w:rsid w:val="000162A8"/>
    <w:rsid w:val="000162DC"/>
    <w:rsid w:val="0001635B"/>
    <w:rsid w:val="000163EB"/>
    <w:rsid w:val="000163F0"/>
    <w:rsid w:val="00016408"/>
    <w:rsid w:val="0001649C"/>
    <w:rsid w:val="000164A0"/>
    <w:rsid w:val="000164FB"/>
    <w:rsid w:val="00016554"/>
    <w:rsid w:val="00016564"/>
    <w:rsid w:val="00016590"/>
    <w:rsid w:val="000165B3"/>
    <w:rsid w:val="000165D4"/>
    <w:rsid w:val="00016629"/>
    <w:rsid w:val="00016687"/>
    <w:rsid w:val="00016699"/>
    <w:rsid w:val="00016701"/>
    <w:rsid w:val="00016771"/>
    <w:rsid w:val="00016774"/>
    <w:rsid w:val="00016833"/>
    <w:rsid w:val="00016865"/>
    <w:rsid w:val="00016A1F"/>
    <w:rsid w:val="00016A25"/>
    <w:rsid w:val="00016A51"/>
    <w:rsid w:val="00016B66"/>
    <w:rsid w:val="00016B6D"/>
    <w:rsid w:val="00016B74"/>
    <w:rsid w:val="00016BBB"/>
    <w:rsid w:val="00016BE1"/>
    <w:rsid w:val="00016BE5"/>
    <w:rsid w:val="00016BE8"/>
    <w:rsid w:val="00016C10"/>
    <w:rsid w:val="00016CBB"/>
    <w:rsid w:val="00016D81"/>
    <w:rsid w:val="00016DCB"/>
    <w:rsid w:val="00016DEB"/>
    <w:rsid w:val="00016DEC"/>
    <w:rsid w:val="0001709A"/>
    <w:rsid w:val="000170B2"/>
    <w:rsid w:val="000170B4"/>
    <w:rsid w:val="000170D2"/>
    <w:rsid w:val="0001721C"/>
    <w:rsid w:val="0001721F"/>
    <w:rsid w:val="00017318"/>
    <w:rsid w:val="000174A6"/>
    <w:rsid w:val="000174E6"/>
    <w:rsid w:val="00017508"/>
    <w:rsid w:val="00017590"/>
    <w:rsid w:val="000175A3"/>
    <w:rsid w:val="000175F3"/>
    <w:rsid w:val="000176B3"/>
    <w:rsid w:val="000177E7"/>
    <w:rsid w:val="00017802"/>
    <w:rsid w:val="00017846"/>
    <w:rsid w:val="0001791F"/>
    <w:rsid w:val="000179E7"/>
    <w:rsid w:val="00017A30"/>
    <w:rsid w:val="00017A6D"/>
    <w:rsid w:val="00017A73"/>
    <w:rsid w:val="00017ABB"/>
    <w:rsid w:val="00017B81"/>
    <w:rsid w:val="00017BB4"/>
    <w:rsid w:val="00017BDF"/>
    <w:rsid w:val="00017C5D"/>
    <w:rsid w:val="00017C66"/>
    <w:rsid w:val="00017DBC"/>
    <w:rsid w:val="00020029"/>
    <w:rsid w:val="00020150"/>
    <w:rsid w:val="00020164"/>
    <w:rsid w:val="000201BC"/>
    <w:rsid w:val="00020212"/>
    <w:rsid w:val="0002027A"/>
    <w:rsid w:val="000202E4"/>
    <w:rsid w:val="000202E8"/>
    <w:rsid w:val="0002032B"/>
    <w:rsid w:val="00020330"/>
    <w:rsid w:val="0002033D"/>
    <w:rsid w:val="0002033E"/>
    <w:rsid w:val="000203C3"/>
    <w:rsid w:val="000203F7"/>
    <w:rsid w:val="000203F9"/>
    <w:rsid w:val="00020410"/>
    <w:rsid w:val="000204DA"/>
    <w:rsid w:val="0002051D"/>
    <w:rsid w:val="000205B8"/>
    <w:rsid w:val="000206BC"/>
    <w:rsid w:val="00020728"/>
    <w:rsid w:val="00020765"/>
    <w:rsid w:val="0002076A"/>
    <w:rsid w:val="000208A8"/>
    <w:rsid w:val="00020911"/>
    <w:rsid w:val="0002094C"/>
    <w:rsid w:val="00020A07"/>
    <w:rsid w:val="00020A1C"/>
    <w:rsid w:val="00020B2D"/>
    <w:rsid w:val="00020B8C"/>
    <w:rsid w:val="00020BC2"/>
    <w:rsid w:val="00020BC9"/>
    <w:rsid w:val="00020BF3"/>
    <w:rsid w:val="00020C19"/>
    <w:rsid w:val="00020CD0"/>
    <w:rsid w:val="00020D32"/>
    <w:rsid w:val="00020D42"/>
    <w:rsid w:val="00020DE0"/>
    <w:rsid w:val="00020E66"/>
    <w:rsid w:val="00020EAC"/>
    <w:rsid w:val="00020F90"/>
    <w:rsid w:val="00020F9E"/>
    <w:rsid w:val="00021030"/>
    <w:rsid w:val="0002107B"/>
    <w:rsid w:val="00021143"/>
    <w:rsid w:val="00021226"/>
    <w:rsid w:val="0002124C"/>
    <w:rsid w:val="000212A7"/>
    <w:rsid w:val="0002137F"/>
    <w:rsid w:val="00021431"/>
    <w:rsid w:val="0002147B"/>
    <w:rsid w:val="0002148D"/>
    <w:rsid w:val="00021544"/>
    <w:rsid w:val="00021649"/>
    <w:rsid w:val="0002166B"/>
    <w:rsid w:val="00021769"/>
    <w:rsid w:val="0002176E"/>
    <w:rsid w:val="000218CB"/>
    <w:rsid w:val="000218CF"/>
    <w:rsid w:val="000218D4"/>
    <w:rsid w:val="000218E0"/>
    <w:rsid w:val="00021A2E"/>
    <w:rsid w:val="00021AFE"/>
    <w:rsid w:val="00021B6C"/>
    <w:rsid w:val="00021BA2"/>
    <w:rsid w:val="00021C0C"/>
    <w:rsid w:val="00021C5A"/>
    <w:rsid w:val="00021CCF"/>
    <w:rsid w:val="00021CFE"/>
    <w:rsid w:val="00021DC3"/>
    <w:rsid w:val="00021E07"/>
    <w:rsid w:val="00021E9A"/>
    <w:rsid w:val="00021EB2"/>
    <w:rsid w:val="00021F05"/>
    <w:rsid w:val="00021F43"/>
    <w:rsid w:val="00021F91"/>
    <w:rsid w:val="00021FE8"/>
    <w:rsid w:val="00022004"/>
    <w:rsid w:val="00022018"/>
    <w:rsid w:val="00022042"/>
    <w:rsid w:val="00022054"/>
    <w:rsid w:val="0002206A"/>
    <w:rsid w:val="0002214F"/>
    <w:rsid w:val="00022163"/>
    <w:rsid w:val="000221B4"/>
    <w:rsid w:val="00022202"/>
    <w:rsid w:val="00022210"/>
    <w:rsid w:val="00022245"/>
    <w:rsid w:val="00022252"/>
    <w:rsid w:val="0002229F"/>
    <w:rsid w:val="00022305"/>
    <w:rsid w:val="0002238B"/>
    <w:rsid w:val="00022427"/>
    <w:rsid w:val="00022465"/>
    <w:rsid w:val="00022478"/>
    <w:rsid w:val="000224EC"/>
    <w:rsid w:val="00022517"/>
    <w:rsid w:val="000225A9"/>
    <w:rsid w:val="000225D1"/>
    <w:rsid w:val="000225E4"/>
    <w:rsid w:val="000225EC"/>
    <w:rsid w:val="00022619"/>
    <w:rsid w:val="000227A2"/>
    <w:rsid w:val="0002281B"/>
    <w:rsid w:val="000228CD"/>
    <w:rsid w:val="0002291E"/>
    <w:rsid w:val="00022A9F"/>
    <w:rsid w:val="00022B52"/>
    <w:rsid w:val="00022C49"/>
    <w:rsid w:val="00022C97"/>
    <w:rsid w:val="00022D05"/>
    <w:rsid w:val="00022EB4"/>
    <w:rsid w:val="00022F2C"/>
    <w:rsid w:val="00022F72"/>
    <w:rsid w:val="00022FF4"/>
    <w:rsid w:val="0002300B"/>
    <w:rsid w:val="00023021"/>
    <w:rsid w:val="00023079"/>
    <w:rsid w:val="00023137"/>
    <w:rsid w:val="00023227"/>
    <w:rsid w:val="00023263"/>
    <w:rsid w:val="00023294"/>
    <w:rsid w:val="00023327"/>
    <w:rsid w:val="00023391"/>
    <w:rsid w:val="000233CB"/>
    <w:rsid w:val="000233F7"/>
    <w:rsid w:val="00023424"/>
    <w:rsid w:val="0002343C"/>
    <w:rsid w:val="00023466"/>
    <w:rsid w:val="000234AD"/>
    <w:rsid w:val="000234FA"/>
    <w:rsid w:val="00023506"/>
    <w:rsid w:val="00023514"/>
    <w:rsid w:val="00023530"/>
    <w:rsid w:val="000235C6"/>
    <w:rsid w:val="00023603"/>
    <w:rsid w:val="00023687"/>
    <w:rsid w:val="00023834"/>
    <w:rsid w:val="000238A3"/>
    <w:rsid w:val="000238A4"/>
    <w:rsid w:val="00023A45"/>
    <w:rsid w:val="00023AF1"/>
    <w:rsid w:val="00023B66"/>
    <w:rsid w:val="00023C3F"/>
    <w:rsid w:val="00023D18"/>
    <w:rsid w:val="00023D5E"/>
    <w:rsid w:val="00023D9A"/>
    <w:rsid w:val="00023E10"/>
    <w:rsid w:val="00023F2C"/>
    <w:rsid w:val="00023F77"/>
    <w:rsid w:val="00023FA3"/>
    <w:rsid w:val="0002407F"/>
    <w:rsid w:val="000240DE"/>
    <w:rsid w:val="00024112"/>
    <w:rsid w:val="0002421E"/>
    <w:rsid w:val="00024266"/>
    <w:rsid w:val="0002428A"/>
    <w:rsid w:val="000242B6"/>
    <w:rsid w:val="000243EA"/>
    <w:rsid w:val="00024436"/>
    <w:rsid w:val="0002445A"/>
    <w:rsid w:val="000244C6"/>
    <w:rsid w:val="00024537"/>
    <w:rsid w:val="00024538"/>
    <w:rsid w:val="00024556"/>
    <w:rsid w:val="000245D8"/>
    <w:rsid w:val="00024619"/>
    <w:rsid w:val="00024728"/>
    <w:rsid w:val="000247CC"/>
    <w:rsid w:val="00024830"/>
    <w:rsid w:val="00024867"/>
    <w:rsid w:val="0002490B"/>
    <w:rsid w:val="00024959"/>
    <w:rsid w:val="00024A1E"/>
    <w:rsid w:val="00024A62"/>
    <w:rsid w:val="00024A6A"/>
    <w:rsid w:val="00024AD8"/>
    <w:rsid w:val="00024ADD"/>
    <w:rsid w:val="00024B38"/>
    <w:rsid w:val="00024B43"/>
    <w:rsid w:val="00024BD7"/>
    <w:rsid w:val="00024C0B"/>
    <w:rsid w:val="00024D0A"/>
    <w:rsid w:val="00024D67"/>
    <w:rsid w:val="00024D73"/>
    <w:rsid w:val="00024FA6"/>
    <w:rsid w:val="0002502D"/>
    <w:rsid w:val="0002502F"/>
    <w:rsid w:val="00025051"/>
    <w:rsid w:val="00025096"/>
    <w:rsid w:val="0002519B"/>
    <w:rsid w:val="00025266"/>
    <w:rsid w:val="00025268"/>
    <w:rsid w:val="000252DE"/>
    <w:rsid w:val="0002530C"/>
    <w:rsid w:val="0002533E"/>
    <w:rsid w:val="0002537E"/>
    <w:rsid w:val="000253B3"/>
    <w:rsid w:val="00025405"/>
    <w:rsid w:val="0002546B"/>
    <w:rsid w:val="00025480"/>
    <w:rsid w:val="000254CF"/>
    <w:rsid w:val="00025513"/>
    <w:rsid w:val="00025525"/>
    <w:rsid w:val="00025532"/>
    <w:rsid w:val="00025585"/>
    <w:rsid w:val="00025597"/>
    <w:rsid w:val="000255B1"/>
    <w:rsid w:val="00025692"/>
    <w:rsid w:val="0002569D"/>
    <w:rsid w:val="0002579D"/>
    <w:rsid w:val="0002593C"/>
    <w:rsid w:val="00025982"/>
    <w:rsid w:val="000259A4"/>
    <w:rsid w:val="000259BE"/>
    <w:rsid w:val="00025A22"/>
    <w:rsid w:val="00025A5E"/>
    <w:rsid w:val="00025A8A"/>
    <w:rsid w:val="00025AB0"/>
    <w:rsid w:val="00025B05"/>
    <w:rsid w:val="00025B8B"/>
    <w:rsid w:val="00025BDC"/>
    <w:rsid w:val="00025BF1"/>
    <w:rsid w:val="00025C7E"/>
    <w:rsid w:val="00025CBF"/>
    <w:rsid w:val="00025CF2"/>
    <w:rsid w:val="00025CFC"/>
    <w:rsid w:val="00025DC7"/>
    <w:rsid w:val="00025DF8"/>
    <w:rsid w:val="00025E64"/>
    <w:rsid w:val="00025EA5"/>
    <w:rsid w:val="00025EF0"/>
    <w:rsid w:val="00025FB7"/>
    <w:rsid w:val="00026037"/>
    <w:rsid w:val="000260A3"/>
    <w:rsid w:val="0002613A"/>
    <w:rsid w:val="000261AE"/>
    <w:rsid w:val="000262BA"/>
    <w:rsid w:val="000263AC"/>
    <w:rsid w:val="000263D2"/>
    <w:rsid w:val="00026429"/>
    <w:rsid w:val="000264A3"/>
    <w:rsid w:val="00026553"/>
    <w:rsid w:val="00026555"/>
    <w:rsid w:val="000265F1"/>
    <w:rsid w:val="0002666A"/>
    <w:rsid w:val="000266BE"/>
    <w:rsid w:val="00026737"/>
    <w:rsid w:val="00026761"/>
    <w:rsid w:val="00026764"/>
    <w:rsid w:val="0002676B"/>
    <w:rsid w:val="00026813"/>
    <w:rsid w:val="00026893"/>
    <w:rsid w:val="000268A4"/>
    <w:rsid w:val="000269D0"/>
    <w:rsid w:val="00026A21"/>
    <w:rsid w:val="00026B7E"/>
    <w:rsid w:val="00026BF2"/>
    <w:rsid w:val="00026C04"/>
    <w:rsid w:val="00026C1A"/>
    <w:rsid w:val="00026CB5"/>
    <w:rsid w:val="00026CDA"/>
    <w:rsid w:val="00026D3D"/>
    <w:rsid w:val="00026E04"/>
    <w:rsid w:val="00026EB4"/>
    <w:rsid w:val="00026FB2"/>
    <w:rsid w:val="00026FBD"/>
    <w:rsid w:val="00027002"/>
    <w:rsid w:val="0002713B"/>
    <w:rsid w:val="00027311"/>
    <w:rsid w:val="000273CA"/>
    <w:rsid w:val="000274B6"/>
    <w:rsid w:val="000274C0"/>
    <w:rsid w:val="00027504"/>
    <w:rsid w:val="000275D2"/>
    <w:rsid w:val="0002768E"/>
    <w:rsid w:val="00027715"/>
    <w:rsid w:val="0002773F"/>
    <w:rsid w:val="0002779B"/>
    <w:rsid w:val="0002781A"/>
    <w:rsid w:val="0002782F"/>
    <w:rsid w:val="000278B5"/>
    <w:rsid w:val="0002793A"/>
    <w:rsid w:val="0002794D"/>
    <w:rsid w:val="00027A4F"/>
    <w:rsid w:val="00027B04"/>
    <w:rsid w:val="00027B4A"/>
    <w:rsid w:val="00027B98"/>
    <w:rsid w:val="00027BBE"/>
    <w:rsid w:val="00027C7D"/>
    <w:rsid w:val="00027CA8"/>
    <w:rsid w:val="00027D32"/>
    <w:rsid w:val="00027D4D"/>
    <w:rsid w:val="00027DA0"/>
    <w:rsid w:val="00027E68"/>
    <w:rsid w:val="00027EC3"/>
    <w:rsid w:val="00027EE6"/>
    <w:rsid w:val="00027F24"/>
    <w:rsid w:val="00027F4E"/>
    <w:rsid w:val="00027FE2"/>
    <w:rsid w:val="0003000C"/>
    <w:rsid w:val="00030030"/>
    <w:rsid w:val="000300AF"/>
    <w:rsid w:val="000300FF"/>
    <w:rsid w:val="00030143"/>
    <w:rsid w:val="0003014C"/>
    <w:rsid w:val="00030164"/>
    <w:rsid w:val="0003018F"/>
    <w:rsid w:val="000301D0"/>
    <w:rsid w:val="000302AD"/>
    <w:rsid w:val="000302C4"/>
    <w:rsid w:val="00030358"/>
    <w:rsid w:val="000303B5"/>
    <w:rsid w:val="00030532"/>
    <w:rsid w:val="0003057B"/>
    <w:rsid w:val="000305BC"/>
    <w:rsid w:val="00030607"/>
    <w:rsid w:val="00030645"/>
    <w:rsid w:val="00030665"/>
    <w:rsid w:val="000306EF"/>
    <w:rsid w:val="000307C4"/>
    <w:rsid w:val="000307D9"/>
    <w:rsid w:val="00030827"/>
    <w:rsid w:val="00030839"/>
    <w:rsid w:val="00030856"/>
    <w:rsid w:val="000308C9"/>
    <w:rsid w:val="00030902"/>
    <w:rsid w:val="0003090C"/>
    <w:rsid w:val="00030919"/>
    <w:rsid w:val="000309FE"/>
    <w:rsid w:val="00030B79"/>
    <w:rsid w:val="00030BE8"/>
    <w:rsid w:val="00030C70"/>
    <w:rsid w:val="00030D2C"/>
    <w:rsid w:val="00030D84"/>
    <w:rsid w:val="00030E07"/>
    <w:rsid w:val="00030E0F"/>
    <w:rsid w:val="00030E34"/>
    <w:rsid w:val="00030E97"/>
    <w:rsid w:val="00030F7F"/>
    <w:rsid w:val="000310F5"/>
    <w:rsid w:val="00031159"/>
    <w:rsid w:val="00031171"/>
    <w:rsid w:val="000311B6"/>
    <w:rsid w:val="00031223"/>
    <w:rsid w:val="000312AE"/>
    <w:rsid w:val="000312FF"/>
    <w:rsid w:val="0003130C"/>
    <w:rsid w:val="00031381"/>
    <w:rsid w:val="00031385"/>
    <w:rsid w:val="000313B1"/>
    <w:rsid w:val="0003140D"/>
    <w:rsid w:val="00031436"/>
    <w:rsid w:val="000314C1"/>
    <w:rsid w:val="000314E7"/>
    <w:rsid w:val="0003152B"/>
    <w:rsid w:val="00031583"/>
    <w:rsid w:val="000315CE"/>
    <w:rsid w:val="000316CD"/>
    <w:rsid w:val="0003175A"/>
    <w:rsid w:val="00031763"/>
    <w:rsid w:val="0003183B"/>
    <w:rsid w:val="0003190D"/>
    <w:rsid w:val="0003197E"/>
    <w:rsid w:val="000319AD"/>
    <w:rsid w:val="000319AE"/>
    <w:rsid w:val="000319B2"/>
    <w:rsid w:val="000319C8"/>
    <w:rsid w:val="000319FB"/>
    <w:rsid w:val="00031A21"/>
    <w:rsid w:val="00031A2C"/>
    <w:rsid w:val="00031B7D"/>
    <w:rsid w:val="00031BC5"/>
    <w:rsid w:val="00031BC9"/>
    <w:rsid w:val="00031CAA"/>
    <w:rsid w:val="00031CB3"/>
    <w:rsid w:val="00031CC3"/>
    <w:rsid w:val="00031D10"/>
    <w:rsid w:val="00031D34"/>
    <w:rsid w:val="00031D47"/>
    <w:rsid w:val="00031D48"/>
    <w:rsid w:val="00031DAB"/>
    <w:rsid w:val="00031DB3"/>
    <w:rsid w:val="00031DE5"/>
    <w:rsid w:val="00031DF4"/>
    <w:rsid w:val="00031DF8"/>
    <w:rsid w:val="00031E98"/>
    <w:rsid w:val="00031FA4"/>
    <w:rsid w:val="00031FB3"/>
    <w:rsid w:val="00031FB7"/>
    <w:rsid w:val="00031FC0"/>
    <w:rsid w:val="00032014"/>
    <w:rsid w:val="00032050"/>
    <w:rsid w:val="00032108"/>
    <w:rsid w:val="0003216A"/>
    <w:rsid w:val="0003222A"/>
    <w:rsid w:val="00032281"/>
    <w:rsid w:val="000322C8"/>
    <w:rsid w:val="000322F6"/>
    <w:rsid w:val="000323E3"/>
    <w:rsid w:val="000323EA"/>
    <w:rsid w:val="0003241E"/>
    <w:rsid w:val="00032437"/>
    <w:rsid w:val="000324AB"/>
    <w:rsid w:val="000324AE"/>
    <w:rsid w:val="000324FB"/>
    <w:rsid w:val="000325BD"/>
    <w:rsid w:val="0003265E"/>
    <w:rsid w:val="0003266D"/>
    <w:rsid w:val="0003267D"/>
    <w:rsid w:val="000326A6"/>
    <w:rsid w:val="000326F9"/>
    <w:rsid w:val="000327CC"/>
    <w:rsid w:val="000328AB"/>
    <w:rsid w:val="000328BE"/>
    <w:rsid w:val="000328FC"/>
    <w:rsid w:val="00032949"/>
    <w:rsid w:val="00032975"/>
    <w:rsid w:val="00032A05"/>
    <w:rsid w:val="00032A14"/>
    <w:rsid w:val="00032A1D"/>
    <w:rsid w:val="00032A4F"/>
    <w:rsid w:val="00032A54"/>
    <w:rsid w:val="00032B82"/>
    <w:rsid w:val="00032BA7"/>
    <w:rsid w:val="00032BBC"/>
    <w:rsid w:val="00032BF7"/>
    <w:rsid w:val="00032E24"/>
    <w:rsid w:val="00032F0C"/>
    <w:rsid w:val="00032F66"/>
    <w:rsid w:val="00032F82"/>
    <w:rsid w:val="000330F0"/>
    <w:rsid w:val="00033126"/>
    <w:rsid w:val="0003312F"/>
    <w:rsid w:val="00033169"/>
    <w:rsid w:val="000331E4"/>
    <w:rsid w:val="0003322C"/>
    <w:rsid w:val="00033299"/>
    <w:rsid w:val="0003329F"/>
    <w:rsid w:val="000332B1"/>
    <w:rsid w:val="000332E8"/>
    <w:rsid w:val="000332F3"/>
    <w:rsid w:val="000332F5"/>
    <w:rsid w:val="0003338D"/>
    <w:rsid w:val="0003346D"/>
    <w:rsid w:val="00033497"/>
    <w:rsid w:val="000334C2"/>
    <w:rsid w:val="00033526"/>
    <w:rsid w:val="00033558"/>
    <w:rsid w:val="000335DB"/>
    <w:rsid w:val="00033619"/>
    <w:rsid w:val="00033650"/>
    <w:rsid w:val="00033704"/>
    <w:rsid w:val="0003371F"/>
    <w:rsid w:val="00033727"/>
    <w:rsid w:val="00033762"/>
    <w:rsid w:val="00033975"/>
    <w:rsid w:val="00033A10"/>
    <w:rsid w:val="00033AF3"/>
    <w:rsid w:val="00033B06"/>
    <w:rsid w:val="00033B3A"/>
    <w:rsid w:val="00033B82"/>
    <w:rsid w:val="00033CBC"/>
    <w:rsid w:val="00033CE1"/>
    <w:rsid w:val="00033D50"/>
    <w:rsid w:val="00033D58"/>
    <w:rsid w:val="00033D73"/>
    <w:rsid w:val="00033D8E"/>
    <w:rsid w:val="00033D94"/>
    <w:rsid w:val="00033D9D"/>
    <w:rsid w:val="00033DDA"/>
    <w:rsid w:val="00033DE4"/>
    <w:rsid w:val="00033EB8"/>
    <w:rsid w:val="00033F61"/>
    <w:rsid w:val="00033F89"/>
    <w:rsid w:val="00033FE0"/>
    <w:rsid w:val="00033FE8"/>
    <w:rsid w:val="0003403C"/>
    <w:rsid w:val="0003417A"/>
    <w:rsid w:val="00034346"/>
    <w:rsid w:val="000343C5"/>
    <w:rsid w:val="000343EC"/>
    <w:rsid w:val="000344CD"/>
    <w:rsid w:val="0003464C"/>
    <w:rsid w:val="000346AC"/>
    <w:rsid w:val="000346C0"/>
    <w:rsid w:val="0003485A"/>
    <w:rsid w:val="00034867"/>
    <w:rsid w:val="0003486E"/>
    <w:rsid w:val="0003486F"/>
    <w:rsid w:val="000348C8"/>
    <w:rsid w:val="000348F2"/>
    <w:rsid w:val="00034907"/>
    <w:rsid w:val="0003498E"/>
    <w:rsid w:val="000349AF"/>
    <w:rsid w:val="000349C0"/>
    <w:rsid w:val="00034A16"/>
    <w:rsid w:val="00034A2E"/>
    <w:rsid w:val="00034A3F"/>
    <w:rsid w:val="00034AB3"/>
    <w:rsid w:val="00034B14"/>
    <w:rsid w:val="00034B2B"/>
    <w:rsid w:val="00034BD2"/>
    <w:rsid w:val="00034C74"/>
    <w:rsid w:val="00034D16"/>
    <w:rsid w:val="00034D51"/>
    <w:rsid w:val="00034DDB"/>
    <w:rsid w:val="00034E16"/>
    <w:rsid w:val="00034F95"/>
    <w:rsid w:val="00034FFA"/>
    <w:rsid w:val="00035014"/>
    <w:rsid w:val="0003501B"/>
    <w:rsid w:val="0003504A"/>
    <w:rsid w:val="00035069"/>
    <w:rsid w:val="0003516F"/>
    <w:rsid w:val="00035244"/>
    <w:rsid w:val="00035283"/>
    <w:rsid w:val="0003531A"/>
    <w:rsid w:val="0003537B"/>
    <w:rsid w:val="0003545A"/>
    <w:rsid w:val="0003546D"/>
    <w:rsid w:val="00035504"/>
    <w:rsid w:val="0003551A"/>
    <w:rsid w:val="00035675"/>
    <w:rsid w:val="0003568C"/>
    <w:rsid w:val="000356A7"/>
    <w:rsid w:val="00035705"/>
    <w:rsid w:val="0003573E"/>
    <w:rsid w:val="00035774"/>
    <w:rsid w:val="00035789"/>
    <w:rsid w:val="0003588B"/>
    <w:rsid w:val="000358B9"/>
    <w:rsid w:val="0003594E"/>
    <w:rsid w:val="000359AE"/>
    <w:rsid w:val="000359C8"/>
    <w:rsid w:val="000359E2"/>
    <w:rsid w:val="00035A56"/>
    <w:rsid w:val="00035ABF"/>
    <w:rsid w:val="00035B24"/>
    <w:rsid w:val="00035B72"/>
    <w:rsid w:val="00035BEA"/>
    <w:rsid w:val="00035C5B"/>
    <w:rsid w:val="00035CAC"/>
    <w:rsid w:val="00035D3F"/>
    <w:rsid w:val="00035DE9"/>
    <w:rsid w:val="00035DEE"/>
    <w:rsid w:val="00035E03"/>
    <w:rsid w:val="00035E53"/>
    <w:rsid w:val="00035E6E"/>
    <w:rsid w:val="00035F41"/>
    <w:rsid w:val="00035FC1"/>
    <w:rsid w:val="00035FEE"/>
    <w:rsid w:val="00035FEF"/>
    <w:rsid w:val="0003601F"/>
    <w:rsid w:val="00036024"/>
    <w:rsid w:val="00036069"/>
    <w:rsid w:val="000360B0"/>
    <w:rsid w:val="00036108"/>
    <w:rsid w:val="00036183"/>
    <w:rsid w:val="000361FD"/>
    <w:rsid w:val="0003625D"/>
    <w:rsid w:val="000362FD"/>
    <w:rsid w:val="000363B4"/>
    <w:rsid w:val="00036481"/>
    <w:rsid w:val="000364F2"/>
    <w:rsid w:val="0003652A"/>
    <w:rsid w:val="0003654D"/>
    <w:rsid w:val="00036655"/>
    <w:rsid w:val="0003666B"/>
    <w:rsid w:val="000366E1"/>
    <w:rsid w:val="00036741"/>
    <w:rsid w:val="00036761"/>
    <w:rsid w:val="000367EB"/>
    <w:rsid w:val="00036848"/>
    <w:rsid w:val="00036854"/>
    <w:rsid w:val="0003688E"/>
    <w:rsid w:val="00036941"/>
    <w:rsid w:val="00036971"/>
    <w:rsid w:val="00036A10"/>
    <w:rsid w:val="00036AC1"/>
    <w:rsid w:val="00036B13"/>
    <w:rsid w:val="00036B46"/>
    <w:rsid w:val="00036BDE"/>
    <w:rsid w:val="00036C4A"/>
    <w:rsid w:val="00036C62"/>
    <w:rsid w:val="00036CCC"/>
    <w:rsid w:val="00036CD6"/>
    <w:rsid w:val="00036CF9"/>
    <w:rsid w:val="00036D2E"/>
    <w:rsid w:val="00036E1E"/>
    <w:rsid w:val="00036E5D"/>
    <w:rsid w:val="00036E63"/>
    <w:rsid w:val="00036EBC"/>
    <w:rsid w:val="00036F9F"/>
    <w:rsid w:val="0003703A"/>
    <w:rsid w:val="0003707F"/>
    <w:rsid w:val="000370AF"/>
    <w:rsid w:val="000370DD"/>
    <w:rsid w:val="00037287"/>
    <w:rsid w:val="00037338"/>
    <w:rsid w:val="0003735C"/>
    <w:rsid w:val="000373B0"/>
    <w:rsid w:val="000373FC"/>
    <w:rsid w:val="0003745D"/>
    <w:rsid w:val="0003745E"/>
    <w:rsid w:val="000374F0"/>
    <w:rsid w:val="000374F4"/>
    <w:rsid w:val="00037515"/>
    <w:rsid w:val="0003753E"/>
    <w:rsid w:val="000375EA"/>
    <w:rsid w:val="000375ED"/>
    <w:rsid w:val="00037628"/>
    <w:rsid w:val="00037653"/>
    <w:rsid w:val="00037696"/>
    <w:rsid w:val="0003777A"/>
    <w:rsid w:val="000377B1"/>
    <w:rsid w:val="0003785D"/>
    <w:rsid w:val="000378D1"/>
    <w:rsid w:val="000378D3"/>
    <w:rsid w:val="00037912"/>
    <w:rsid w:val="000379B8"/>
    <w:rsid w:val="00037A00"/>
    <w:rsid w:val="00037B36"/>
    <w:rsid w:val="00037B61"/>
    <w:rsid w:val="00037BA4"/>
    <w:rsid w:val="00037BD1"/>
    <w:rsid w:val="00037C4E"/>
    <w:rsid w:val="00037C6E"/>
    <w:rsid w:val="00037C8D"/>
    <w:rsid w:val="00037D2E"/>
    <w:rsid w:val="00037D30"/>
    <w:rsid w:val="00037D4B"/>
    <w:rsid w:val="00037E89"/>
    <w:rsid w:val="00037E98"/>
    <w:rsid w:val="00037F83"/>
    <w:rsid w:val="00037FCC"/>
    <w:rsid w:val="00040006"/>
    <w:rsid w:val="00040168"/>
    <w:rsid w:val="00040175"/>
    <w:rsid w:val="000401AC"/>
    <w:rsid w:val="000401FE"/>
    <w:rsid w:val="0004022F"/>
    <w:rsid w:val="000402AA"/>
    <w:rsid w:val="00040441"/>
    <w:rsid w:val="000404C3"/>
    <w:rsid w:val="000404EA"/>
    <w:rsid w:val="0004054D"/>
    <w:rsid w:val="00040566"/>
    <w:rsid w:val="000405B1"/>
    <w:rsid w:val="000406D2"/>
    <w:rsid w:val="000406EF"/>
    <w:rsid w:val="000407D3"/>
    <w:rsid w:val="0004082A"/>
    <w:rsid w:val="0004089F"/>
    <w:rsid w:val="000408E1"/>
    <w:rsid w:val="00040922"/>
    <w:rsid w:val="0004095C"/>
    <w:rsid w:val="00040989"/>
    <w:rsid w:val="000409B0"/>
    <w:rsid w:val="00040A57"/>
    <w:rsid w:val="00040B24"/>
    <w:rsid w:val="00040B3E"/>
    <w:rsid w:val="00040B51"/>
    <w:rsid w:val="00040B98"/>
    <w:rsid w:val="00040C1A"/>
    <w:rsid w:val="00040CEB"/>
    <w:rsid w:val="00040D78"/>
    <w:rsid w:val="00040DA6"/>
    <w:rsid w:val="00040F18"/>
    <w:rsid w:val="00040F3D"/>
    <w:rsid w:val="00041012"/>
    <w:rsid w:val="00041029"/>
    <w:rsid w:val="00041074"/>
    <w:rsid w:val="000410BB"/>
    <w:rsid w:val="000410EA"/>
    <w:rsid w:val="000410FC"/>
    <w:rsid w:val="00041276"/>
    <w:rsid w:val="0004129D"/>
    <w:rsid w:val="000412AD"/>
    <w:rsid w:val="00041332"/>
    <w:rsid w:val="00041406"/>
    <w:rsid w:val="0004141F"/>
    <w:rsid w:val="00041431"/>
    <w:rsid w:val="000414A2"/>
    <w:rsid w:val="000415A3"/>
    <w:rsid w:val="000415AC"/>
    <w:rsid w:val="000415EC"/>
    <w:rsid w:val="00041668"/>
    <w:rsid w:val="0004167E"/>
    <w:rsid w:val="000417E1"/>
    <w:rsid w:val="000417FD"/>
    <w:rsid w:val="00041899"/>
    <w:rsid w:val="0004190E"/>
    <w:rsid w:val="000419A4"/>
    <w:rsid w:val="00041ABB"/>
    <w:rsid w:val="00041B11"/>
    <w:rsid w:val="00041B75"/>
    <w:rsid w:val="00041B85"/>
    <w:rsid w:val="00041B89"/>
    <w:rsid w:val="00041BE8"/>
    <w:rsid w:val="00041C40"/>
    <w:rsid w:val="00041D99"/>
    <w:rsid w:val="00041DD8"/>
    <w:rsid w:val="00041E0F"/>
    <w:rsid w:val="00041E4C"/>
    <w:rsid w:val="00041E4E"/>
    <w:rsid w:val="00041F57"/>
    <w:rsid w:val="00041F84"/>
    <w:rsid w:val="00041F91"/>
    <w:rsid w:val="00042081"/>
    <w:rsid w:val="000420AC"/>
    <w:rsid w:val="000420E2"/>
    <w:rsid w:val="000420F1"/>
    <w:rsid w:val="00042105"/>
    <w:rsid w:val="00042125"/>
    <w:rsid w:val="00042126"/>
    <w:rsid w:val="00042130"/>
    <w:rsid w:val="00042178"/>
    <w:rsid w:val="000421B6"/>
    <w:rsid w:val="000422CD"/>
    <w:rsid w:val="00042330"/>
    <w:rsid w:val="00042337"/>
    <w:rsid w:val="00042345"/>
    <w:rsid w:val="0004235F"/>
    <w:rsid w:val="00042379"/>
    <w:rsid w:val="00042383"/>
    <w:rsid w:val="000423D9"/>
    <w:rsid w:val="0004248D"/>
    <w:rsid w:val="000424DD"/>
    <w:rsid w:val="0004250F"/>
    <w:rsid w:val="0004258C"/>
    <w:rsid w:val="0004258E"/>
    <w:rsid w:val="00042590"/>
    <w:rsid w:val="000425A9"/>
    <w:rsid w:val="000425E1"/>
    <w:rsid w:val="0004265E"/>
    <w:rsid w:val="00042692"/>
    <w:rsid w:val="00042699"/>
    <w:rsid w:val="0004269B"/>
    <w:rsid w:val="0004273D"/>
    <w:rsid w:val="00042774"/>
    <w:rsid w:val="00042818"/>
    <w:rsid w:val="0004282F"/>
    <w:rsid w:val="0004287C"/>
    <w:rsid w:val="000428A4"/>
    <w:rsid w:val="000428C9"/>
    <w:rsid w:val="00042952"/>
    <w:rsid w:val="000429B4"/>
    <w:rsid w:val="00042ABD"/>
    <w:rsid w:val="00042AFA"/>
    <w:rsid w:val="00042BF7"/>
    <w:rsid w:val="00042BFB"/>
    <w:rsid w:val="00042C72"/>
    <w:rsid w:val="00042CBB"/>
    <w:rsid w:val="00042D18"/>
    <w:rsid w:val="00042D20"/>
    <w:rsid w:val="00042D88"/>
    <w:rsid w:val="00042D8F"/>
    <w:rsid w:val="00042DA2"/>
    <w:rsid w:val="00042DE6"/>
    <w:rsid w:val="00042DE7"/>
    <w:rsid w:val="00042E1F"/>
    <w:rsid w:val="00042E8A"/>
    <w:rsid w:val="00042EA3"/>
    <w:rsid w:val="00042EBC"/>
    <w:rsid w:val="00042ECC"/>
    <w:rsid w:val="00042FC4"/>
    <w:rsid w:val="00042FE8"/>
    <w:rsid w:val="00043063"/>
    <w:rsid w:val="00043070"/>
    <w:rsid w:val="00043130"/>
    <w:rsid w:val="00043183"/>
    <w:rsid w:val="000431AF"/>
    <w:rsid w:val="000431C7"/>
    <w:rsid w:val="000431DB"/>
    <w:rsid w:val="00043204"/>
    <w:rsid w:val="00043290"/>
    <w:rsid w:val="0004329D"/>
    <w:rsid w:val="000432A9"/>
    <w:rsid w:val="000432BC"/>
    <w:rsid w:val="00043342"/>
    <w:rsid w:val="0004345B"/>
    <w:rsid w:val="00043487"/>
    <w:rsid w:val="0004348A"/>
    <w:rsid w:val="0004349F"/>
    <w:rsid w:val="0004351E"/>
    <w:rsid w:val="00043540"/>
    <w:rsid w:val="00043573"/>
    <w:rsid w:val="000435BE"/>
    <w:rsid w:val="000435CC"/>
    <w:rsid w:val="00043608"/>
    <w:rsid w:val="00043643"/>
    <w:rsid w:val="00043654"/>
    <w:rsid w:val="0004381B"/>
    <w:rsid w:val="000438F8"/>
    <w:rsid w:val="0004393C"/>
    <w:rsid w:val="000439CD"/>
    <w:rsid w:val="00043A30"/>
    <w:rsid w:val="00043AE2"/>
    <w:rsid w:val="00043B79"/>
    <w:rsid w:val="00043B88"/>
    <w:rsid w:val="00043B8A"/>
    <w:rsid w:val="00043BA7"/>
    <w:rsid w:val="00043BD9"/>
    <w:rsid w:val="00043C8F"/>
    <w:rsid w:val="00043CE1"/>
    <w:rsid w:val="00043D55"/>
    <w:rsid w:val="00043DC1"/>
    <w:rsid w:val="0004400D"/>
    <w:rsid w:val="000440EF"/>
    <w:rsid w:val="00044113"/>
    <w:rsid w:val="00044185"/>
    <w:rsid w:val="000442A1"/>
    <w:rsid w:val="000442F5"/>
    <w:rsid w:val="0004435F"/>
    <w:rsid w:val="0004437C"/>
    <w:rsid w:val="0004438B"/>
    <w:rsid w:val="000443C1"/>
    <w:rsid w:val="00044414"/>
    <w:rsid w:val="000444E3"/>
    <w:rsid w:val="000445ED"/>
    <w:rsid w:val="00044604"/>
    <w:rsid w:val="000446C2"/>
    <w:rsid w:val="00044950"/>
    <w:rsid w:val="000449A4"/>
    <w:rsid w:val="00044A19"/>
    <w:rsid w:val="00044A21"/>
    <w:rsid w:val="00044A38"/>
    <w:rsid w:val="00044A43"/>
    <w:rsid w:val="00044A72"/>
    <w:rsid w:val="00044BF6"/>
    <w:rsid w:val="00044C15"/>
    <w:rsid w:val="00044C20"/>
    <w:rsid w:val="00044C8A"/>
    <w:rsid w:val="00044D19"/>
    <w:rsid w:val="00044D21"/>
    <w:rsid w:val="00044E45"/>
    <w:rsid w:val="00044E88"/>
    <w:rsid w:val="00044EA2"/>
    <w:rsid w:val="00044F92"/>
    <w:rsid w:val="00044FD4"/>
    <w:rsid w:val="00045050"/>
    <w:rsid w:val="000450BC"/>
    <w:rsid w:val="0004511B"/>
    <w:rsid w:val="0004512E"/>
    <w:rsid w:val="000451CA"/>
    <w:rsid w:val="00045249"/>
    <w:rsid w:val="0004525A"/>
    <w:rsid w:val="0004528B"/>
    <w:rsid w:val="0004529A"/>
    <w:rsid w:val="000452B7"/>
    <w:rsid w:val="0004530A"/>
    <w:rsid w:val="00045372"/>
    <w:rsid w:val="000453FA"/>
    <w:rsid w:val="000454AB"/>
    <w:rsid w:val="000454ED"/>
    <w:rsid w:val="0004551A"/>
    <w:rsid w:val="0004562F"/>
    <w:rsid w:val="00045673"/>
    <w:rsid w:val="000456BE"/>
    <w:rsid w:val="000456CA"/>
    <w:rsid w:val="000456D6"/>
    <w:rsid w:val="000457D9"/>
    <w:rsid w:val="000457E2"/>
    <w:rsid w:val="00045848"/>
    <w:rsid w:val="00045971"/>
    <w:rsid w:val="00045A41"/>
    <w:rsid w:val="00045A52"/>
    <w:rsid w:val="00045AB0"/>
    <w:rsid w:val="00045AEB"/>
    <w:rsid w:val="00045B19"/>
    <w:rsid w:val="00045B31"/>
    <w:rsid w:val="00045B3B"/>
    <w:rsid w:val="00045B8C"/>
    <w:rsid w:val="00045C15"/>
    <w:rsid w:val="00045C7A"/>
    <w:rsid w:val="00045CCA"/>
    <w:rsid w:val="00045DB5"/>
    <w:rsid w:val="00045DDD"/>
    <w:rsid w:val="00045E00"/>
    <w:rsid w:val="00045EE2"/>
    <w:rsid w:val="00045FA5"/>
    <w:rsid w:val="00045FBE"/>
    <w:rsid w:val="00046025"/>
    <w:rsid w:val="00046038"/>
    <w:rsid w:val="0004606F"/>
    <w:rsid w:val="00046161"/>
    <w:rsid w:val="0004616B"/>
    <w:rsid w:val="000461D3"/>
    <w:rsid w:val="000461F3"/>
    <w:rsid w:val="00046249"/>
    <w:rsid w:val="000462A3"/>
    <w:rsid w:val="000462C8"/>
    <w:rsid w:val="0004630A"/>
    <w:rsid w:val="00046338"/>
    <w:rsid w:val="0004639F"/>
    <w:rsid w:val="00046430"/>
    <w:rsid w:val="000464AC"/>
    <w:rsid w:val="0004657C"/>
    <w:rsid w:val="000465C6"/>
    <w:rsid w:val="000465E3"/>
    <w:rsid w:val="000465EC"/>
    <w:rsid w:val="00046626"/>
    <w:rsid w:val="00046667"/>
    <w:rsid w:val="00046737"/>
    <w:rsid w:val="000467D9"/>
    <w:rsid w:val="000468CD"/>
    <w:rsid w:val="00046905"/>
    <w:rsid w:val="0004691F"/>
    <w:rsid w:val="0004693C"/>
    <w:rsid w:val="00046942"/>
    <w:rsid w:val="0004699D"/>
    <w:rsid w:val="000469CF"/>
    <w:rsid w:val="000469EB"/>
    <w:rsid w:val="00046A8F"/>
    <w:rsid w:val="00046A93"/>
    <w:rsid w:val="00046ACB"/>
    <w:rsid w:val="00046AE5"/>
    <w:rsid w:val="00046B10"/>
    <w:rsid w:val="00046BB6"/>
    <w:rsid w:val="00046C1F"/>
    <w:rsid w:val="00046CCD"/>
    <w:rsid w:val="00046D78"/>
    <w:rsid w:val="00046D8F"/>
    <w:rsid w:val="00046E3C"/>
    <w:rsid w:val="00046EAC"/>
    <w:rsid w:val="00046F91"/>
    <w:rsid w:val="0004702E"/>
    <w:rsid w:val="0004709F"/>
    <w:rsid w:val="00047150"/>
    <w:rsid w:val="0004721F"/>
    <w:rsid w:val="0004733A"/>
    <w:rsid w:val="00047359"/>
    <w:rsid w:val="0004735D"/>
    <w:rsid w:val="00047365"/>
    <w:rsid w:val="000473F3"/>
    <w:rsid w:val="00047439"/>
    <w:rsid w:val="0004747E"/>
    <w:rsid w:val="000474C1"/>
    <w:rsid w:val="000474DC"/>
    <w:rsid w:val="00047561"/>
    <w:rsid w:val="000475DC"/>
    <w:rsid w:val="00047624"/>
    <w:rsid w:val="00047629"/>
    <w:rsid w:val="0004765A"/>
    <w:rsid w:val="000476C1"/>
    <w:rsid w:val="000476EF"/>
    <w:rsid w:val="000476F7"/>
    <w:rsid w:val="0004777F"/>
    <w:rsid w:val="000477C0"/>
    <w:rsid w:val="000477E6"/>
    <w:rsid w:val="00047808"/>
    <w:rsid w:val="00047894"/>
    <w:rsid w:val="000478E5"/>
    <w:rsid w:val="00047927"/>
    <w:rsid w:val="000479B8"/>
    <w:rsid w:val="000479D1"/>
    <w:rsid w:val="00047A9F"/>
    <w:rsid w:val="00047B90"/>
    <w:rsid w:val="00047C1B"/>
    <w:rsid w:val="00047C96"/>
    <w:rsid w:val="00047CFC"/>
    <w:rsid w:val="00047D3F"/>
    <w:rsid w:val="00047D6B"/>
    <w:rsid w:val="00047D6E"/>
    <w:rsid w:val="00047E11"/>
    <w:rsid w:val="00047E4C"/>
    <w:rsid w:val="00047E76"/>
    <w:rsid w:val="00047FE2"/>
    <w:rsid w:val="00047FE9"/>
    <w:rsid w:val="00047FEE"/>
    <w:rsid w:val="00047FF1"/>
    <w:rsid w:val="00050002"/>
    <w:rsid w:val="00050021"/>
    <w:rsid w:val="0005004C"/>
    <w:rsid w:val="0005018B"/>
    <w:rsid w:val="00050197"/>
    <w:rsid w:val="000501BA"/>
    <w:rsid w:val="000501CF"/>
    <w:rsid w:val="0005027A"/>
    <w:rsid w:val="000502E2"/>
    <w:rsid w:val="00050350"/>
    <w:rsid w:val="00050426"/>
    <w:rsid w:val="00050428"/>
    <w:rsid w:val="00050499"/>
    <w:rsid w:val="0005049F"/>
    <w:rsid w:val="0005057C"/>
    <w:rsid w:val="00050676"/>
    <w:rsid w:val="00050783"/>
    <w:rsid w:val="000507EF"/>
    <w:rsid w:val="000507F9"/>
    <w:rsid w:val="00050851"/>
    <w:rsid w:val="0005089C"/>
    <w:rsid w:val="00050901"/>
    <w:rsid w:val="0005091F"/>
    <w:rsid w:val="00050973"/>
    <w:rsid w:val="00050A6F"/>
    <w:rsid w:val="00050B0D"/>
    <w:rsid w:val="00050B14"/>
    <w:rsid w:val="00050B7A"/>
    <w:rsid w:val="00050BB1"/>
    <w:rsid w:val="00050C1C"/>
    <w:rsid w:val="00050C43"/>
    <w:rsid w:val="00050C4C"/>
    <w:rsid w:val="00050C99"/>
    <w:rsid w:val="00050D7D"/>
    <w:rsid w:val="00050D80"/>
    <w:rsid w:val="00050DAE"/>
    <w:rsid w:val="00050DF0"/>
    <w:rsid w:val="00050F38"/>
    <w:rsid w:val="00050F51"/>
    <w:rsid w:val="00050F66"/>
    <w:rsid w:val="00050F9F"/>
    <w:rsid w:val="00051055"/>
    <w:rsid w:val="0005105C"/>
    <w:rsid w:val="000511B8"/>
    <w:rsid w:val="0005122F"/>
    <w:rsid w:val="000512AA"/>
    <w:rsid w:val="000512E0"/>
    <w:rsid w:val="000513C9"/>
    <w:rsid w:val="000513FA"/>
    <w:rsid w:val="000514FA"/>
    <w:rsid w:val="0005151B"/>
    <w:rsid w:val="00051535"/>
    <w:rsid w:val="00051548"/>
    <w:rsid w:val="00051558"/>
    <w:rsid w:val="000515FD"/>
    <w:rsid w:val="00051653"/>
    <w:rsid w:val="00051690"/>
    <w:rsid w:val="000516A0"/>
    <w:rsid w:val="00051738"/>
    <w:rsid w:val="000517AF"/>
    <w:rsid w:val="000517E7"/>
    <w:rsid w:val="00051873"/>
    <w:rsid w:val="000518F3"/>
    <w:rsid w:val="00051903"/>
    <w:rsid w:val="00051999"/>
    <w:rsid w:val="00051A0D"/>
    <w:rsid w:val="00051A40"/>
    <w:rsid w:val="00051C88"/>
    <w:rsid w:val="00051CB2"/>
    <w:rsid w:val="00051D04"/>
    <w:rsid w:val="00051D86"/>
    <w:rsid w:val="00051E0B"/>
    <w:rsid w:val="00051E85"/>
    <w:rsid w:val="00051F91"/>
    <w:rsid w:val="00051FCD"/>
    <w:rsid w:val="00052039"/>
    <w:rsid w:val="00052042"/>
    <w:rsid w:val="000520EC"/>
    <w:rsid w:val="00052106"/>
    <w:rsid w:val="0005210B"/>
    <w:rsid w:val="00052138"/>
    <w:rsid w:val="000521DD"/>
    <w:rsid w:val="00052223"/>
    <w:rsid w:val="00052297"/>
    <w:rsid w:val="00052308"/>
    <w:rsid w:val="0005231B"/>
    <w:rsid w:val="0005239B"/>
    <w:rsid w:val="000523AB"/>
    <w:rsid w:val="000523AD"/>
    <w:rsid w:val="000523F8"/>
    <w:rsid w:val="0005240F"/>
    <w:rsid w:val="00052412"/>
    <w:rsid w:val="000524A9"/>
    <w:rsid w:val="0005251F"/>
    <w:rsid w:val="00052555"/>
    <w:rsid w:val="00052599"/>
    <w:rsid w:val="00052690"/>
    <w:rsid w:val="000526AA"/>
    <w:rsid w:val="000526CA"/>
    <w:rsid w:val="000526F9"/>
    <w:rsid w:val="0005277C"/>
    <w:rsid w:val="00052916"/>
    <w:rsid w:val="00052937"/>
    <w:rsid w:val="000529ED"/>
    <w:rsid w:val="00052A4B"/>
    <w:rsid w:val="00052AA8"/>
    <w:rsid w:val="00052AB8"/>
    <w:rsid w:val="00052AE5"/>
    <w:rsid w:val="00052B37"/>
    <w:rsid w:val="00052BAA"/>
    <w:rsid w:val="00052BDE"/>
    <w:rsid w:val="00052BE7"/>
    <w:rsid w:val="00052CE7"/>
    <w:rsid w:val="00052D3B"/>
    <w:rsid w:val="00052D6E"/>
    <w:rsid w:val="00052DC3"/>
    <w:rsid w:val="00052DE0"/>
    <w:rsid w:val="00052DF3"/>
    <w:rsid w:val="00052DFF"/>
    <w:rsid w:val="00052E18"/>
    <w:rsid w:val="00052E9D"/>
    <w:rsid w:val="00052F40"/>
    <w:rsid w:val="00052F7C"/>
    <w:rsid w:val="0005305C"/>
    <w:rsid w:val="0005312C"/>
    <w:rsid w:val="00053130"/>
    <w:rsid w:val="000531EF"/>
    <w:rsid w:val="0005332C"/>
    <w:rsid w:val="0005334D"/>
    <w:rsid w:val="0005335A"/>
    <w:rsid w:val="000533B7"/>
    <w:rsid w:val="00053435"/>
    <w:rsid w:val="0005343D"/>
    <w:rsid w:val="00053441"/>
    <w:rsid w:val="00053445"/>
    <w:rsid w:val="00053525"/>
    <w:rsid w:val="000536E2"/>
    <w:rsid w:val="000536F3"/>
    <w:rsid w:val="00053794"/>
    <w:rsid w:val="000538F8"/>
    <w:rsid w:val="0005391D"/>
    <w:rsid w:val="00053A96"/>
    <w:rsid w:val="00053AAA"/>
    <w:rsid w:val="00053AD5"/>
    <w:rsid w:val="00053ADA"/>
    <w:rsid w:val="00053B4A"/>
    <w:rsid w:val="00053C0C"/>
    <w:rsid w:val="00053C1C"/>
    <w:rsid w:val="00053C1F"/>
    <w:rsid w:val="00053C70"/>
    <w:rsid w:val="00053C90"/>
    <w:rsid w:val="00053C94"/>
    <w:rsid w:val="00053C9F"/>
    <w:rsid w:val="00053ED4"/>
    <w:rsid w:val="00053FCA"/>
    <w:rsid w:val="00053FE6"/>
    <w:rsid w:val="0005410E"/>
    <w:rsid w:val="00054116"/>
    <w:rsid w:val="00054120"/>
    <w:rsid w:val="00054129"/>
    <w:rsid w:val="0005412F"/>
    <w:rsid w:val="000541DA"/>
    <w:rsid w:val="0005421D"/>
    <w:rsid w:val="00054275"/>
    <w:rsid w:val="0005428C"/>
    <w:rsid w:val="000543A0"/>
    <w:rsid w:val="000544D2"/>
    <w:rsid w:val="0005450F"/>
    <w:rsid w:val="00054570"/>
    <w:rsid w:val="0005458D"/>
    <w:rsid w:val="000547CD"/>
    <w:rsid w:val="00054803"/>
    <w:rsid w:val="0005488A"/>
    <w:rsid w:val="000548B0"/>
    <w:rsid w:val="000548C4"/>
    <w:rsid w:val="000548FF"/>
    <w:rsid w:val="00054918"/>
    <w:rsid w:val="00054A31"/>
    <w:rsid w:val="00054A98"/>
    <w:rsid w:val="00054AC4"/>
    <w:rsid w:val="00054AD2"/>
    <w:rsid w:val="00054B3C"/>
    <w:rsid w:val="00054B96"/>
    <w:rsid w:val="00054BEC"/>
    <w:rsid w:val="00054C07"/>
    <w:rsid w:val="00054C17"/>
    <w:rsid w:val="00054C42"/>
    <w:rsid w:val="00054C54"/>
    <w:rsid w:val="00054C95"/>
    <w:rsid w:val="00054CF5"/>
    <w:rsid w:val="00054D20"/>
    <w:rsid w:val="00054D47"/>
    <w:rsid w:val="00054D88"/>
    <w:rsid w:val="00054DE9"/>
    <w:rsid w:val="00054E42"/>
    <w:rsid w:val="00054EB4"/>
    <w:rsid w:val="00054ED0"/>
    <w:rsid w:val="00054EEA"/>
    <w:rsid w:val="00054EF8"/>
    <w:rsid w:val="00054F59"/>
    <w:rsid w:val="0005503B"/>
    <w:rsid w:val="000550B0"/>
    <w:rsid w:val="000550E9"/>
    <w:rsid w:val="0005512C"/>
    <w:rsid w:val="00055131"/>
    <w:rsid w:val="00055178"/>
    <w:rsid w:val="0005517C"/>
    <w:rsid w:val="000551B2"/>
    <w:rsid w:val="000551C6"/>
    <w:rsid w:val="000551F0"/>
    <w:rsid w:val="000551F7"/>
    <w:rsid w:val="00055206"/>
    <w:rsid w:val="00055252"/>
    <w:rsid w:val="00055256"/>
    <w:rsid w:val="00055280"/>
    <w:rsid w:val="000552A1"/>
    <w:rsid w:val="000552F8"/>
    <w:rsid w:val="0005536E"/>
    <w:rsid w:val="0005538C"/>
    <w:rsid w:val="000553E5"/>
    <w:rsid w:val="00055444"/>
    <w:rsid w:val="0005544C"/>
    <w:rsid w:val="0005546B"/>
    <w:rsid w:val="000554C9"/>
    <w:rsid w:val="00055631"/>
    <w:rsid w:val="00055654"/>
    <w:rsid w:val="0005571A"/>
    <w:rsid w:val="0005571E"/>
    <w:rsid w:val="000557C0"/>
    <w:rsid w:val="000557E1"/>
    <w:rsid w:val="00055862"/>
    <w:rsid w:val="0005586A"/>
    <w:rsid w:val="0005588C"/>
    <w:rsid w:val="0005588E"/>
    <w:rsid w:val="00055A2D"/>
    <w:rsid w:val="00055A4E"/>
    <w:rsid w:val="00055AA6"/>
    <w:rsid w:val="00055B27"/>
    <w:rsid w:val="00055BE8"/>
    <w:rsid w:val="00055BF5"/>
    <w:rsid w:val="00055C21"/>
    <w:rsid w:val="00055C2F"/>
    <w:rsid w:val="00055C35"/>
    <w:rsid w:val="00055C53"/>
    <w:rsid w:val="00055D06"/>
    <w:rsid w:val="00055E0C"/>
    <w:rsid w:val="00055E3D"/>
    <w:rsid w:val="00055E94"/>
    <w:rsid w:val="00055E9E"/>
    <w:rsid w:val="00055EB2"/>
    <w:rsid w:val="00055EB3"/>
    <w:rsid w:val="00055F01"/>
    <w:rsid w:val="00055F16"/>
    <w:rsid w:val="00055F90"/>
    <w:rsid w:val="00055FD8"/>
    <w:rsid w:val="000560D6"/>
    <w:rsid w:val="000560FD"/>
    <w:rsid w:val="000561CF"/>
    <w:rsid w:val="00056202"/>
    <w:rsid w:val="0005621F"/>
    <w:rsid w:val="00056229"/>
    <w:rsid w:val="000562FA"/>
    <w:rsid w:val="00056316"/>
    <w:rsid w:val="0005638B"/>
    <w:rsid w:val="000563F2"/>
    <w:rsid w:val="00056413"/>
    <w:rsid w:val="00056493"/>
    <w:rsid w:val="000564A3"/>
    <w:rsid w:val="000564BD"/>
    <w:rsid w:val="00056545"/>
    <w:rsid w:val="000565D5"/>
    <w:rsid w:val="000565F0"/>
    <w:rsid w:val="00056610"/>
    <w:rsid w:val="000566C5"/>
    <w:rsid w:val="000566E5"/>
    <w:rsid w:val="00056868"/>
    <w:rsid w:val="0005686D"/>
    <w:rsid w:val="000568D7"/>
    <w:rsid w:val="000568DB"/>
    <w:rsid w:val="00056A52"/>
    <w:rsid w:val="00056C7D"/>
    <w:rsid w:val="00056CED"/>
    <w:rsid w:val="00056D54"/>
    <w:rsid w:val="00056D5E"/>
    <w:rsid w:val="00056D8F"/>
    <w:rsid w:val="00056DDE"/>
    <w:rsid w:val="00056F86"/>
    <w:rsid w:val="00056FD4"/>
    <w:rsid w:val="0005701E"/>
    <w:rsid w:val="000570D3"/>
    <w:rsid w:val="000570ED"/>
    <w:rsid w:val="0005720B"/>
    <w:rsid w:val="00057299"/>
    <w:rsid w:val="000572C9"/>
    <w:rsid w:val="000574AF"/>
    <w:rsid w:val="00057540"/>
    <w:rsid w:val="00057590"/>
    <w:rsid w:val="000576A9"/>
    <w:rsid w:val="000576AE"/>
    <w:rsid w:val="000576E6"/>
    <w:rsid w:val="0005774F"/>
    <w:rsid w:val="0005783F"/>
    <w:rsid w:val="00057850"/>
    <w:rsid w:val="000578AF"/>
    <w:rsid w:val="0005791E"/>
    <w:rsid w:val="00057932"/>
    <w:rsid w:val="000579AC"/>
    <w:rsid w:val="00057A0A"/>
    <w:rsid w:val="00057AB9"/>
    <w:rsid w:val="00057AC8"/>
    <w:rsid w:val="00057C04"/>
    <w:rsid w:val="00057C4D"/>
    <w:rsid w:val="00057C75"/>
    <w:rsid w:val="00057C87"/>
    <w:rsid w:val="00057D1A"/>
    <w:rsid w:val="00057E09"/>
    <w:rsid w:val="00057EF8"/>
    <w:rsid w:val="00057F28"/>
    <w:rsid w:val="00057FF2"/>
    <w:rsid w:val="00060107"/>
    <w:rsid w:val="00060119"/>
    <w:rsid w:val="0006015E"/>
    <w:rsid w:val="000601EC"/>
    <w:rsid w:val="0006021B"/>
    <w:rsid w:val="0006023A"/>
    <w:rsid w:val="0006026D"/>
    <w:rsid w:val="00060293"/>
    <w:rsid w:val="00060479"/>
    <w:rsid w:val="000605D6"/>
    <w:rsid w:val="000605F1"/>
    <w:rsid w:val="00060693"/>
    <w:rsid w:val="000606BF"/>
    <w:rsid w:val="000607BC"/>
    <w:rsid w:val="000607D7"/>
    <w:rsid w:val="0006089E"/>
    <w:rsid w:val="000608DB"/>
    <w:rsid w:val="0006099D"/>
    <w:rsid w:val="000609E6"/>
    <w:rsid w:val="000609F5"/>
    <w:rsid w:val="00060B3B"/>
    <w:rsid w:val="00060B7E"/>
    <w:rsid w:val="00060C0B"/>
    <w:rsid w:val="00060CB0"/>
    <w:rsid w:val="00060DAA"/>
    <w:rsid w:val="00060E63"/>
    <w:rsid w:val="00060EBB"/>
    <w:rsid w:val="00060EC8"/>
    <w:rsid w:val="00060EDE"/>
    <w:rsid w:val="00060F02"/>
    <w:rsid w:val="00060F61"/>
    <w:rsid w:val="00060FDE"/>
    <w:rsid w:val="00061012"/>
    <w:rsid w:val="0006102A"/>
    <w:rsid w:val="00061040"/>
    <w:rsid w:val="000610CF"/>
    <w:rsid w:val="00061236"/>
    <w:rsid w:val="00061256"/>
    <w:rsid w:val="000613F4"/>
    <w:rsid w:val="00061418"/>
    <w:rsid w:val="00061422"/>
    <w:rsid w:val="00061456"/>
    <w:rsid w:val="000614A5"/>
    <w:rsid w:val="000614F7"/>
    <w:rsid w:val="000616B8"/>
    <w:rsid w:val="0006172B"/>
    <w:rsid w:val="00061817"/>
    <w:rsid w:val="000618FE"/>
    <w:rsid w:val="00061907"/>
    <w:rsid w:val="00061926"/>
    <w:rsid w:val="00061A1C"/>
    <w:rsid w:val="00061A69"/>
    <w:rsid w:val="00061AB4"/>
    <w:rsid w:val="00061ADA"/>
    <w:rsid w:val="00061C99"/>
    <w:rsid w:val="00061CCD"/>
    <w:rsid w:val="00061D4B"/>
    <w:rsid w:val="00061E05"/>
    <w:rsid w:val="00061E41"/>
    <w:rsid w:val="00061E43"/>
    <w:rsid w:val="00061E5E"/>
    <w:rsid w:val="00061E80"/>
    <w:rsid w:val="00061E83"/>
    <w:rsid w:val="00061E9A"/>
    <w:rsid w:val="00061F99"/>
    <w:rsid w:val="00062004"/>
    <w:rsid w:val="00062036"/>
    <w:rsid w:val="00062094"/>
    <w:rsid w:val="000621C0"/>
    <w:rsid w:val="000621FF"/>
    <w:rsid w:val="00062211"/>
    <w:rsid w:val="00062289"/>
    <w:rsid w:val="000622AE"/>
    <w:rsid w:val="000623A3"/>
    <w:rsid w:val="000623D9"/>
    <w:rsid w:val="00062492"/>
    <w:rsid w:val="000625BA"/>
    <w:rsid w:val="00062645"/>
    <w:rsid w:val="0006277E"/>
    <w:rsid w:val="0006281A"/>
    <w:rsid w:val="00062823"/>
    <w:rsid w:val="0006283A"/>
    <w:rsid w:val="0006285A"/>
    <w:rsid w:val="000628BD"/>
    <w:rsid w:val="00062978"/>
    <w:rsid w:val="000629A0"/>
    <w:rsid w:val="00062A0C"/>
    <w:rsid w:val="00062A44"/>
    <w:rsid w:val="00062B28"/>
    <w:rsid w:val="00062B8F"/>
    <w:rsid w:val="00062C65"/>
    <w:rsid w:val="00062CD5"/>
    <w:rsid w:val="00062D36"/>
    <w:rsid w:val="00062D46"/>
    <w:rsid w:val="00062DAC"/>
    <w:rsid w:val="00062DCF"/>
    <w:rsid w:val="00062DDC"/>
    <w:rsid w:val="00062DE0"/>
    <w:rsid w:val="00062E15"/>
    <w:rsid w:val="00062E56"/>
    <w:rsid w:val="00062EF8"/>
    <w:rsid w:val="00062FC5"/>
    <w:rsid w:val="00063009"/>
    <w:rsid w:val="0006303B"/>
    <w:rsid w:val="000630E5"/>
    <w:rsid w:val="00063104"/>
    <w:rsid w:val="00063150"/>
    <w:rsid w:val="000631AA"/>
    <w:rsid w:val="000632CD"/>
    <w:rsid w:val="000632CF"/>
    <w:rsid w:val="00063318"/>
    <w:rsid w:val="00063321"/>
    <w:rsid w:val="00063469"/>
    <w:rsid w:val="000634E1"/>
    <w:rsid w:val="00063501"/>
    <w:rsid w:val="00063538"/>
    <w:rsid w:val="00063546"/>
    <w:rsid w:val="000635FC"/>
    <w:rsid w:val="0006363C"/>
    <w:rsid w:val="0006363E"/>
    <w:rsid w:val="00063679"/>
    <w:rsid w:val="000636A5"/>
    <w:rsid w:val="000636CB"/>
    <w:rsid w:val="00063707"/>
    <w:rsid w:val="00063865"/>
    <w:rsid w:val="0006389B"/>
    <w:rsid w:val="000638AD"/>
    <w:rsid w:val="00063942"/>
    <w:rsid w:val="000639C8"/>
    <w:rsid w:val="00063ABB"/>
    <w:rsid w:val="00063AC5"/>
    <w:rsid w:val="00063B1A"/>
    <w:rsid w:val="00063B25"/>
    <w:rsid w:val="00063B48"/>
    <w:rsid w:val="00063B7F"/>
    <w:rsid w:val="00063B89"/>
    <w:rsid w:val="00063BD6"/>
    <w:rsid w:val="00063BEC"/>
    <w:rsid w:val="00063BFE"/>
    <w:rsid w:val="00063C51"/>
    <w:rsid w:val="00063D4F"/>
    <w:rsid w:val="00063DC6"/>
    <w:rsid w:val="00063E01"/>
    <w:rsid w:val="00063EDF"/>
    <w:rsid w:val="00063F37"/>
    <w:rsid w:val="00063F54"/>
    <w:rsid w:val="00063FA4"/>
    <w:rsid w:val="00064003"/>
    <w:rsid w:val="00064014"/>
    <w:rsid w:val="0006404D"/>
    <w:rsid w:val="0006406C"/>
    <w:rsid w:val="000640FD"/>
    <w:rsid w:val="000641BD"/>
    <w:rsid w:val="0006420F"/>
    <w:rsid w:val="00064276"/>
    <w:rsid w:val="00064277"/>
    <w:rsid w:val="000645BC"/>
    <w:rsid w:val="00064655"/>
    <w:rsid w:val="00064744"/>
    <w:rsid w:val="0006475D"/>
    <w:rsid w:val="00064784"/>
    <w:rsid w:val="000647EF"/>
    <w:rsid w:val="00064825"/>
    <w:rsid w:val="00064974"/>
    <w:rsid w:val="0006497A"/>
    <w:rsid w:val="00064A80"/>
    <w:rsid w:val="00064AA2"/>
    <w:rsid w:val="00064AED"/>
    <w:rsid w:val="00064B19"/>
    <w:rsid w:val="00064BB0"/>
    <w:rsid w:val="00064BDF"/>
    <w:rsid w:val="00064C7C"/>
    <w:rsid w:val="00064D1C"/>
    <w:rsid w:val="00064D5B"/>
    <w:rsid w:val="00064D60"/>
    <w:rsid w:val="00064D85"/>
    <w:rsid w:val="00064DF5"/>
    <w:rsid w:val="00064ECB"/>
    <w:rsid w:val="00064F03"/>
    <w:rsid w:val="00064F04"/>
    <w:rsid w:val="00064F2B"/>
    <w:rsid w:val="00064F82"/>
    <w:rsid w:val="0006505D"/>
    <w:rsid w:val="0006506F"/>
    <w:rsid w:val="00065108"/>
    <w:rsid w:val="00065168"/>
    <w:rsid w:val="0006516F"/>
    <w:rsid w:val="0006519C"/>
    <w:rsid w:val="000651B3"/>
    <w:rsid w:val="0006522E"/>
    <w:rsid w:val="0006523E"/>
    <w:rsid w:val="000652A9"/>
    <w:rsid w:val="000652FC"/>
    <w:rsid w:val="00065356"/>
    <w:rsid w:val="0006543D"/>
    <w:rsid w:val="000654AF"/>
    <w:rsid w:val="0006551A"/>
    <w:rsid w:val="00065550"/>
    <w:rsid w:val="0006570E"/>
    <w:rsid w:val="00065782"/>
    <w:rsid w:val="0006578D"/>
    <w:rsid w:val="000657A9"/>
    <w:rsid w:val="00065827"/>
    <w:rsid w:val="0006590F"/>
    <w:rsid w:val="000659B4"/>
    <w:rsid w:val="00065B11"/>
    <w:rsid w:val="00065B31"/>
    <w:rsid w:val="00065B32"/>
    <w:rsid w:val="00065B78"/>
    <w:rsid w:val="00065BB3"/>
    <w:rsid w:val="00065BEA"/>
    <w:rsid w:val="00065C5F"/>
    <w:rsid w:val="00065C80"/>
    <w:rsid w:val="00065CE0"/>
    <w:rsid w:val="00065D8E"/>
    <w:rsid w:val="00065E03"/>
    <w:rsid w:val="00065E31"/>
    <w:rsid w:val="00065E49"/>
    <w:rsid w:val="00065E8B"/>
    <w:rsid w:val="00065E8D"/>
    <w:rsid w:val="00065F32"/>
    <w:rsid w:val="00065F7F"/>
    <w:rsid w:val="0006608B"/>
    <w:rsid w:val="00066148"/>
    <w:rsid w:val="00066190"/>
    <w:rsid w:val="000661F1"/>
    <w:rsid w:val="000662B7"/>
    <w:rsid w:val="000662B8"/>
    <w:rsid w:val="000662BB"/>
    <w:rsid w:val="000662C0"/>
    <w:rsid w:val="00066302"/>
    <w:rsid w:val="000663E1"/>
    <w:rsid w:val="000663EB"/>
    <w:rsid w:val="0006662E"/>
    <w:rsid w:val="00066680"/>
    <w:rsid w:val="00066689"/>
    <w:rsid w:val="000666A2"/>
    <w:rsid w:val="000666D6"/>
    <w:rsid w:val="00066825"/>
    <w:rsid w:val="00066846"/>
    <w:rsid w:val="0006685D"/>
    <w:rsid w:val="00066870"/>
    <w:rsid w:val="0006688A"/>
    <w:rsid w:val="000668E1"/>
    <w:rsid w:val="0006691A"/>
    <w:rsid w:val="0006692C"/>
    <w:rsid w:val="00066934"/>
    <w:rsid w:val="0006699D"/>
    <w:rsid w:val="00066A49"/>
    <w:rsid w:val="00066A74"/>
    <w:rsid w:val="00066A8F"/>
    <w:rsid w:val="00066A99"/>
    <w:rsid w:val="00066B6E"/>
    <w:rsid w:val="00066C06"/>
    <w:rsid w:val="00066C4F"/>
    <w:rsid w:val="00066D31"/>
    <w:rsid w:val="00066D53"/>
    <w:rsid w:val="00066D83"/>
    <w:rsid w:val="00066E01"/>
    <w:rsid w:val="00066E18"/>
    <w:rsid w:val="00066EE7"/>
    <w:rsid w:val="00066FC2"/>
    <w:rsid w:val="000670B1"/>
    <w:rsid w:val="000670C1"/>
    <w:rsid w:val="00067149"/>
    <w:rsid w:val="00067170"/>
    <w:rsid w:val="00067192"/>
    <w:rsid w:val="00067196"/>
    <w:rsid w:val="0006722A"/>
    <w:rsid w:val="0006722B"/>
    <w:rsid w:val="00067302"/>
    <w:rsid w:val="00067308"/>
    <w:rsid w:val="0006733A"/>
    <w:rsid w:val="00067344"/>
    <w:rsid w:val="0006737A"/>
    <w:rsid w:val="000674EA"/>
    <w:rsid w:val="00067533"/>
    <w:rsid w:val="00067656"/>
    <w:rsid w:val="00067694"/>
    <w:rsid w:val="000676ED"/>
    <w:rsid w:val="000676F4"/>
    <w:rsid w:val="0006772A"/>
    <w:rsid w:val="0006774F"/>
    <w:rsid w:val="00067752"/>
    <w:rsid w:val="0006778D"/>
    <w:rsid w:val="000677D1"/>
    <w:rsid w:val="000677FD"/>
    <w:rsid w:val="000678C5"/>
    <w:rsid w:val="00067946"/>
    <w:rsid w:val="000679B8"/>
    <w:rsid w:val="000679EC"/>
    <w:rsid w:val="000679F5"/>
    <w:rsid w:val="00067A35"/>
    <w:rsid w:val="00067AB2"/>
    <w:rsid w:val="00067AF5"/>
    <w:rsid w:val="00067C26"/>
    <w:rsid w:val="00067C69"/>
    <w:rsid w:val="00067C88"/>
    <w:rsid w:val="00067CC9"/>
    <w:rsid w:val="00067DB4"/>
    <w:rsid w:val="00067DF2"/>
    <w:rsid w:val="00067E1A"/>
    <w:rsid w:val="00067EA7"/>
    <w:rsid w:val="00067EAB"/>
    <w:rsid w:val="00067EC9"/>
    <w:rsid w:val="00067F17"/>
    <w:rsid w:val="00067F5D"/>
    <w:rsid w:val="00067F7D"/>
    <w:rsid w:val="00067F92"/>
    <w:rsid w:val="00067FB8"/>
    <w:rsid w:val="00067FBE"/>
    <w:rsid w:val="00067FE7"/>
    <w:rsid w:val="00067FF4"/>
    <w:rsid w:val="0007004A"/>
    <w:rsid w:val="0007007E"/>
    <w:rsid w:val="000700D4"/>
    <w:rsid w:val="00070145"/>
    <w:rsid w:val="0007019C"/>
    <w:rsid w:val="000701B8"/>
    <w:rsid w:val="0007024C"/>
    <w:rsid w:val="000702D3"/>
    <w:rsid w:val="00070304"/>
    <w:rsid w:val="0007040C"/>
    <w:rsid w:val="00070462"/>
    <w:rsid w:val="00070478"/>
    <w:rsid w:val="0007051E"/>
    <w:rsid w:val="00070520"/>
    <w:rsid w:val="00070540"/>
    <w:rsid w:val="0007056C"/>
    <w:rsid w:val="0007059E"/>
    <w:rsid w:val="000705B9"/>
    <w:rsid w:val="00070609"/>
    <w:rsid w:val="00070614"/>
    <w:rsid w:val="0007065C"/>
    <w:rsid w:val="00070668"/>
    <w:rsid w:val="000706D7"/>
    <w:rsid w:val="00070765"/>
    <w:rsid w:val="0007079B"/>
    <w:rsid w:val="00070800"/>
    <w:rsid w:val="0007080A"/>
    <w:rsid w:val="000708EB"/>
    <w:rsid w:val="000709F2"/>
    <w:rsid w:val="00070A8B"/>
    <w:rsid w:val="00070AB9"/>
    <w:rsid w:val="00070ABD"/>
    <w:rsid w:val="00070AC0"/>
    <w:rsid w:val="00070B4C"/>
    <w:rsid w:val="00070C01"/>
    <w:rsid w:val="00070C29"/>
    <w:rsid w:val="00070C69"/>
    <w:rsid w:val="00070CA5"/>
    <w:rsid w:val="00070CE9"/>
    <w:rsid w:val="00070D59"/>
    <w:rsid w:val="00070E21"/>
    <w:rsid w:val="00070E2A"/>
    <w:rsid w:val="00070E4A"/>
    <w:rsid w:val="00070E55"/>
    <w:rsid w:val="00070E78"/>
    <w:rsid w:val="00070E99"/>
    <w:rsid w:val="00070FE1"/>
    <w:rsid w:val="00071058"/>
    <w:rsid w:val="00071079"/>
    <w:rsid w:val="00071088"/>
    <w:rsid w:val="00071112"/>
    <w:rsid w:val="0007112D"/>
    <w:rsid w:val="0007120A"/>
    <w:rsid w:val="00071459"/>
    <w:rsid w:val="00071497"/>
    <w:rsid w:val="00071652"/>
    <w:rsid w:val="00071680"/>
    <w:rsid w:val="00071778"/>
    <w:rsid w:val="000717BE"/>
    <w:rsid w:val="00071814"/>
    <w:rsid w:val="0007183D"/>
    <w:rsid w:val="00071869"/>
    <w:rsid w:val="00071921"/>
    <w:rsid w:val="000719C3"/>
    <w:rsid w:val="00071A10"/>
    <w:rsid w:val="00071A38"/>
    <w:rsid w:val="00071BCB"/>
    <w:rsid w:val="00071BD0"/>
    <w:rsid w:val="00071BF2"/>
    <w:rsid w:val="00071C19"/>
    <w:rsid w:val="00071CD7"/>
    <w:rsid w:val="00071D61"/>
    <w:rsid w:val="00071DAE"/>
    <w:rsid w:val="00071DF5"/>
    <w:rsid w:val="00071E1D"/>
    <w:rsid w:val="00071F29"/>
    <w:rsid w:val="00071F75"/>
    <w:rsid w:val="00072001"/>
    <w:rsid w:val="0007207E"/>
    <w:rsid w:val="000720E2"/>
    <w:rsid w:val="000720FB"/>
    <w:rsid w:val="0007210B"/>
    <w:rsid w:val="0007213A"/>
    <w:rsid w:val="00072195"/>
    <w:rsid w:val="000722B0"/>
    <w:rsid w:val="000723AA"/>
    <w:rsid w:val="0007245E"/>
    <w:rsid w:val="00072472"/>
    <w:rsid w:val="000724AB"/>
    <w:rsid w:val="000724AE"/>
    <w:rsid w:val="00072530"/>
    <w:rsid w:val="00072591"/>
    <w:rsid w:val="000725B0"/>
    <w:rsid w:val="000725C8"/>
    <w:rsid w:val="00072697"/>
    <w:rsid w:val="000726DD"/>
    <w:rsid w:val="000727AD"/>
    <w:rsid w:val="000727BB"/>
    <w:rsid w:val="0007289A"/>
    <w:rsid w:val="00072950"/>
    <w:rsid w:val="00072953"/>
    <w:rsid w:val="00072AE8"/>
    <w:rsid w:val="00072B54"/>
    <w:rsid w:val="00072C75"/>
    <w:rsid w:val="00072CBE"/>
    <w:rsid w:val="00072D78"/>
    <w:rsid w:val="00072D8C"/>
    <w:rsid w:val="00072E25"/>
    <w:rsid w:val="00072F17"/>
    <w:rsid w:val="00072F4D"/>
    <w:rsid w:val="00072F64"/>
    <w:rsid w:val="00072F67"/>
    <w:rsid w:val="00073052"/>
    <w:rsid w:val="000731EE"/>
    <w:rsid w:val="00073392"/>
    <w:rsid w:val="000733A8"/>
    <w:rsid w:val="000733D4"/>
    <w:rsid w:val="00073482"/>
    <w:rsid w:val="0007355C"/>
    <w:rsid w:val="00073584"/>
    <w:rsid w:val="00073648"/>
    <w:rsid w:val="00073709"/>
    <w:rsid w:val="00073747"/>
    <w:rsid w:val="0007388A"/>
    <w:rsid w:val="00073919"/>
    <w:rsid w:val="0007395A"/>
    <w:rsid w:val="00073961"/>
    <w:rsid w:val="000739CD"/>
    <w:rsid w:val="000739D0"/>
    <w:rsid w:val="000739DB"/>
    <w:rsid w:val="00073A6D"/>
    <w:rsid w:val="00073AD1"/>
    <w:rsid w:val="00073B49"/>
    <w:rsid w:val="00073B64"/>
    <w:rsid w:val="00073BEF"/>
    <w:rsid w:val="00073C3A"/>
    <w:rsid w:val="00073CF5"/>
    <w:rsid w:val="00073D3B"/>
    <w:rsid w:val="00073DE8"/>
    <w:rsid w:val="00073E3A"/>
    <w:rsid w:val="00073E76"/>
    <w:rsid w:val="00073E9C"/>
    <w:rsid w:val="00073EBD"/>
    <w:rsid w:val="00073EF8"/>
    <w:rsid w:val="00073FA8"/>
    <w:rsid w:val="00074025"/>
    <w:rsid w:val="0007411F"/>
    <w:rsid w:val="00074173"/>
    <w:rsid w:val="0007417E"/>
    <w:rsid w:val="000741F7"/>
    <w:rsid w:val="00074236"/>
    <w:rsid w:val="00074265"/>
    <w:rsid w:val="000743B3"/>
    <w:rsid w:val="000743E0"/>
    <w:rsid w:val="00074465"/>
    <w:rsid w:val="0007447E"/>
    <w:rsid w:val="000744C0"/>
    <w:rsid w:val="000745A5"/>
    <w:rsid w:val="000745D4"/>
    <w:rsid w:val="00074609"/>
    <w:rsid w:val="00074642"/>
    <w:rsid w:val="0007465F"/>
    <w:rsid w:val="000746E2"/>
    <w:rsid w:val="00074749"/>
    <w:rsid w:val="0007476E"/>
    <w:rsid w:val="000747A7"/>
    <w:rsid w:val="000747D8"/>
    <w:rsid w:val="000747EC"/>
    <w:rsid w:val="00074805"/>
    <w:rsid w:val="00074810"/>
    <w:rsid w:val="00074818"/>
    <w:rsid w:val="000748B5"/>
    <w:rsid w:val="000748D5"/>
    <w:rsid w:val="000749F1"/>
    <w:rsid w:val="000749F2"/>
    <w:rsid w:val="000749FF"/>
    <w:rsid w:val="00074AEA"/>
    <w:rsid w:val="00074BC4"/>
    <w:rsid w:val="00074C5D"/>
    <w:rsid w:val="00074D70"/>
    <w:rsid w:val="00074DA7"/>
    <w:rsid w:val="00074DE9"/>
    <w:rsid w:val="00074E95"/>
    <w:rsid w:val="00074F27"/>
    <w:rsid w:val="00074FF6"/>
    <w:rsid w:val="00074FFE"/>
    <w:rsid w:val="00075037"/>
    <w:rsid w:val="0007509D"/>
    <w:rsid w:val="000750AB"/>
    <w:rsid w:val="0007510D"/>
    <w:rsid w:val="00075171"/>
    <w:rsid w:val="000751A3"/>
    <w:rsid w:val="000751FB"/>
    <w:rsid w:val="00075258"/>
    <w:rsid w:val="000753A7"/>
    <w:rsid w:val="000753B9"/>
    <w:rsid w:val="00075402"/>
    <w:rsid w:val="00075405"/>
    <w:rsid w:val="00075464"/>
    <w:rsid w:val="00075473"/>
    <w:rsid w:val="00075533"/>
    <w:rsid w:val="00075540"/>
    <w:rsid w:val="000755FD"/>
    <w:rsid w:val="00075601"/>
    <w:rsid w:val="00075604"/>
    <w:rsid w:val="00075622"/>
    <w:rsid w:val="0007564B"/>
    <w:rsid w:val="0007564C"/>
    <w:rsid w:val="0007568E"/>
    <w:rsid w:val="00075756"/>
    <w:rsid w:val="0007576F"/>
    <w:rsid w:val="00075790"/>
    <w:rsid w:val="000757B8"/>
    <w:rsid w:val="0007580F"/>
    <w:rsid w:val="00075847"/>
    <w:rsid w:val="0007587F"/>
    <w:rsid w:val="0007588B"/>
    <w:rsid w:val="000758DB"/>
    <w:rsid w:val="00075994"/>
    <w:rsid w:val="000759F8"/>
    <w:rsid w:val="000759FA"/>
    <w:rsid w:val="00075A1E"/>
    <w:rsid w:val="00075B19"/>
    <w:rsid w:val="00075C95"/>
    <w:rsid w:val="00075D1B"/>
    <w:rsid w:val="00075D8B"/>
    <w:rsid w:val="00075DC6"/>
    <w:rsid w:val="00075DED"/>
    <w:rsid w:val="00075E3D"/>
    <w:rsid w:val="00075ECD"/>
    <w:rsid w:val="00075F0B"/>
    <w:rsid w:val="00075F31"/>
    <w:rsid w:val="00075F46"/>
    <w:rsid w:val="00075F4C"/>
    <w:rsid w:val="00075F61"/>
    <w:rsid w:val="00076106"/>
    <w:rsid w:val="00076147"/>
    <w:rsid w:val="0007615B"/>
    <w:rsid w:val="00076174"/>
    <w:rsid w:val="000761BD"/>
    <w:rsid w:val="000761EE"/>
    <w:rsid w:val="0007629A"/>
    <w:rsid w:val="000762DA"/>
    <w:rsid w:val="00076361"/>
    <w:rsid w:val="00076364"/>
    <w:rsid w:val="00076368"/>
    <w:rsid w:val="000763DD"/>
    <w:rsid w:val="00076431"/>
    <w:rsid w:val="0007648B"/>
    <w:rsid w:val="0007649F"/>
    <w:rsid w:val="000764B5"/>
    <w:rsid w:val="000764FA"/>
    <w:rsid w:val="00076509"/>
    <w:rsid w:val="000765DA"/>
    <w:rsid w:val="000765E4"/>
    <w:rsid w:val="000765E9"/>
    <w:rsid w:val="000766E0"/>
    <w:rsid w:val="000766F8"/>
    <w:rsid w:val="00076714"/>
    <w:rsid w:val="00076888"/>
    <w:rsid w:val="00076894"/>
    <w:rsid w:val="000768DE"/>
    <w:rsid w:val="0007690E"/>
    <w:rsid w:val="0007693F"/>
    <w:rsid w:val="00076969"/>
    <w:rsid w:val="000769DB"/>
    <w:rsid w:val="00076AA6"/>
    <w:rsid w:val="00076ABD"/>
    <w:rsid w:val="00076ADF"/>
    <w:rsid w:val="00076AE2"/>
    <w:rsid w:val="00076C3D"/>
    <w:rsid w:val="00076C7C"/>
    <w:rsid w:val="00076CD4"/>
    <w:rsid w:val="00076CEB"/>
    <w:rsid w:val="00076CF9"/>
    <w:rsid w:val="00076EC1"/>
    <w:rsid w:val="00077006"/>
    <w:rsid w:val="00077082"/>
    <w:rsid w:val="00077090"/>
    <w:rsid w:val="00077153"/>
    <w:rsid w:val="000771AF"/>
    <w:rsid w:val="000771D1"/>
    <w:rsid w:val="000771E3"/>
    <w:rsid w:val="0007720D"/>
    <w:rsid w:val="0007737D"/>
    <w:rsid w:val="000773CE"/>
    <w:rsid w:val="000773DC"/>
    <w:rsid w:val="0007740D"/>
    <w:rsid w:val="00077454"/>
    <w:rsid w:val="000774BA"/>
    <w:rsid w:val="00077591"/>
    <w:rsid w:val="00077675"/>
    <w:rsid w:val="0007776A"/>
    <w:rsid w:val="00077805"/>
    <w:rsid w:val="0007789F"/>
    <w:rsid w:val="000778E9"/>
    <w:rsid w:val="0007799A"/>
    <w:rsid w:val="00077A00"/>
    <w:rsid w:val="00077A76"/>
    <w:rsid w:val="00077AA5"/>
    <w:rsid w:val="00077B7A"/>
    <w:rsid w:val="00077B80"/>
    <w:rsid w:val="00077BAE"/>
    <w:rsid w:val="00077BAF"/>
    <w:rsid w:val="00077BB9"/>
    <w:rsid w:val="00077C43"/>
    <w:rsid w:val="00077CEF"/>
    <w:rsid w:val="00077EB8"/>
    <w:rsid w:val="00077EDD"/>
    <w:rsid w:val="00077EE3"/>
    <w:rsid w:val="0008000D"/>
    <w:rsid w:val="00080026"/>
    <w:rsid w:val="00080099"/>
    <w:rsid w:val="000800CD"/>
    <w:rsid w:val="0008012E"/>
    <w:rsid w:val="0008018D"/>
    <w:rsid w:val="00080201"/>
    <w:rsid w:val="00080224"/>
    <w:rsid w:val="00080239"/>
    <w:rsid w:val="00080275"/>
    <w:rsid w:val="000802B9"/>
    <w:rsid w:val="000802E6"/>
    <w:rsid w:val="000802F2"/>
    <w:rsid w:val="0008037D"/>
    <w:rsid w:val="00080382"/>
    <w:rsid w:val="000803C2"/>
    <w:rsid w:val="00080433"/>
    <w:rsid w:val="000804BD"/>
    <w:rsid w:val="0008056A"/>
    <w:rsid w:val="000805AF"/>
    <w:rsid w:val="000805BB"/>
    <w:rsid w:val="0008062F"/>
    <w:rsid w:val="00080689"/>
    <w:rsid w:val="000806BF"/>
    <w:rsid w:val="000806CF"/>
    <w:rsid w:val="00080734"/>
    <w:rsid w:val="00080751"/>
    <w:rsid w:val="0008076E"/>
    <w:rsid w:val="00080773"/>
    <w:rsid w:val="000807FE"/>
    <w:rsid w:val="00080803"/>
    <w:rsid w:val="00080843"/>
    <w:rsid w:val="0008087C"/>
    <w:rsid w:val="00080888"/>
    <w:rsid w:val="000808A7"/>
    <w:rsid w:val="00080983"/>
    <w:rsid w:val="0008098A"/>
    <w:rsid w:val="000809FE"/>
    <w:rsid w:val="00080A95"/>
    <w:rsid w:val="00080AB1"/>
    <w:rsid w:val="00080AE0"/>
    <w:rsid w:val="00080B70"/>
    <w:rsid w:val="00080C0D"/>
    <w:rsid w:val="00080CB4"/>
    <w:rsid w:val="00080CCD"/>
    <w:rsid w:val="00080D14"/>
    <w:rsid w:val="00080D1B"/>
    <w:rsid w:val="00080D83"/>
    <w:rsid w:val="00080DA1"/>
    <w:rsid w:val="00080F32"/>
    <w:rsid w:val="00080F4F"/>
    <w:rsid w:val="00080F9A"/>
    <w:rsid w:val="00080FDB"/>
    <w:rsid w:val="0008101A"/>
    <w:rsid w:val="00081022"/>
    <w:rsid w:val="00081031"/>
    <w:rsid w:val="000810E8"/>
    <w:rsid w:val="0008110D"/>
    <w:rsid w:val="00081156"/>
    <w:rsid w:val="000811E8"/>
    <w:rsid w:val="0008126F"/>
    <w:rsid w:val="00081314"/>
    <w:rsid w:val="00081320"/>
    <w:rsid w:val="00081334"/>
    <w:rsid w:val="0008145E"/>
    <w:rsid w:val="0008147D"/>
    <w:rsid w:val="000815B2"/>
    <w:rsid w:val="00081608"/>
    <w:rsid w:val="0008160E"/>
    <w:rsid w:val="0008161B"/>
    <w:rsid w:val="000817E7"/>
    <w:rsid w:val="0008187E"/>
    <w:rsid w:val="0008189D"/>
    <w:rsid w:val="000818C4"/>
    <w:rsid w:val="00081929"/>
    <w:rsid w:val="0008195F"/>
    <w:rsid w:val="00081AFE"/>
    <w:rsid w:val="00081B74"/>
    <w:rsid w:val="00081B9E"/>
    <w:rsid w:val="00081C0F"/>
    <w:rsid w:val="00081C5E"/>
    <w:rsid w:val="00081CE6"/>
    <w:rsid w:val="00081D68"/>
    <w:rsid w:val="00081E01"/>
    <w:rsid w:val="00081E36"/>
    <w:rsid w:val="00081E7F"/>
    <w:rsid w:val="00081EB3"/>
    <w:rsid w:val="00081EBF"/>
    <w:rsid w:val="00081F70"/>
    <w:rsid w:val="00081FB6"/>
    <w:rsid w:val="00081FE3"/>
    <w:rsid w:val="00081FED"/>
    <w:rsid w:val="00082019"/>
    <w:rsid w:val="00082058"/>
    <w:rsid w:val="0008205C"/>
    <w:rsid w:val="0008215B"/>
    <w:rsid w:val="00082185"/>
    <w:rsid w:val="00082196"/>
    <w:rsid w:val="000821A0"/>
    <w:rsid w:val="000821B4"/>
    <w:rsid w:val="0008228D"/>
    <w:rsid w:val="00082299"/>
    <w:rsid w:val="000822AC"/>
    <w:rsid w:val="000822BF"/>
    <w:rsid w:val="000822CA"/>
    <w:rsid w:val="000822D4"/>
    <w:rsid w:val="000823D6"/>
    <w:rsid w:val="000824CF"/>
    <w:rsid w:val="0008256B"/>
    <w:rsid w:val="00082580"/>
    <w:rsid w:val="00082625"/>
    <w:rsid w:val="0008262D"/>
    <w:rsid w:val="00082673"/>
    <w:rsid w:val="000826E1"/>
    <w:rsid w:val="00082793"/>
    <w:rsid w:val="00082808"/>
    <w:rsid w:val="000828C3"/>
    <w:rsid w:val="000828FB"/>
    <w:rsid w:val="000829BC"/>
    <w:rsid w:val="00082B6E"/>
    <w:rsid w:val="00082C7F"/>
    <w:rsid w:val="00082D03"/>
    <w:rsid w:val="00082D12"/>
    <w:rsid w:val="00082D98"/>
    <w:rsid w:val="00082DE3"/>
    <w:rsid w:val="00082E5F"/>
    <w:rsid w:val="00082EA7"/>
    <w:rsid w:val="00082FD6"/>
    <w:rsid w:val="00083053"/>
    <w:rsid w:val="00083061"/>
    <w:rsid w:val="0008313E"/>
    <w:rsid w:val="00083160"/>
    <w:rsid w:val="00083163"/>
    <w:rsid w:val="00083167"/>
    <w:rsid w:val="00083197"/>
    <w:rsid w:val="000831A4"/>
    <w:rsid w:val="000831DF"/>
    <w:rsid w:val="000831E5"/>
    <w:rsid w:val="00083243"/>
    <w:rsid w:val="00083244"/>
    <w:rsid w:val="00083330"/>
    <w:rsid w:val="00083335"/>
    <w:rsid w:val="0008333A"/>
    <w:rsid w:val="00083384"/>
    <w:rsid w:val="000833BC"/>
    <w:rsid w:val="000833FF"/>
    <w:rsid w:val="0008358A"/>
    <w:rsid w:val="00083663"/>
    <w:rsid w:val="00083693"/>
    <w:rsid w:val="00083759"/>
    <w:rsid w:val="00083859"/>
    <w:rsid w:val="00083876"/>
    <w:rsid w:val="0008387B"/>
    <w:rsid w:val="0008390C"/>
    <w:rsid w:val="000839D0"/>
    <w:rsid w:val="00083AB4"/>
    <w:rsid w:val="00083B42"/>
    <w:rsid w:val="00083B51"/>
    <w:rsid w:val="00083BD6"/>
    <w:rsid w:val="00083C73"/>
    <w:rsid w:val="00083CA7"/>
    <w:rsid w:val="00083D0C"/>
    <w:rsid w:val="00083D43"/>
    <w:rsid w:val="00083DA6"/>
    <w:rsid w:val="00083DC8"/>
    <w:rsid w:val="00083DD0"/>
    <w:rsid w:val="00083DEE"/>
    <w:rsid w:val="00083E33"/>
    <w:rsid w:val="00083F19"/>
    <w:rsid w:val="00083F61"/>
    <w:rsid w:val="00083FEB"/>
    <w:rsid w:val="0008400B"/>
    <w:rsid w:val="00084056"/>
    <w:rsid w:val="00084062"/>
    <w:rsid w:val="00084064"/>
    <w:rsid w:val="0008417D"/>
    <w:rsid w:val="000841D3"/>
    <w:rsid w:val="000841D7"/>
    <w:rsid w:val="00084223"/>
    <w:rsid w:val="0008424B"/>
    <w:rsid w:val="000842E5"/>
    <w:rsid w:val="00084303"/>
    <w:rsid w:val="0008431D"/>
    <w:rsid w:val="0008432D"/>
    <w:rsid w:val="00084330"/>
    <w:rsid w:val="000843DE"/>
    <w:rsid w:val="000844DA"/>
    <w:rsid w:val="000844DC"/>
    <w:rsid w:val="0008450D"/>
    <w:rsid w:val="00084551"/>
    <w:rsid w:val="00084594"/>
    <w:rsid w:val="00084646"/>
    <w:rsid w:val="00084660"/>
    <w:rsid w:val="00084663"/>
    <w:rsid w:val="0008471E"/>
    <w:rsid w:val="000847B8"/>
    <w:rsid w:val="00084838"/>
    <w:rsid w:val="00084871"/>
    <w:rsid w:val="00084876"/>
    <w:rsid w:val="000848FB"/>
    <w:rsid w:val="00084A68"/>
    <w:rsid w:val="00084A7F"/>
    <w:rsid w:val="00084A89"/>
    <w:rsid w:val="00084AB4"/>
    <w:rsid w:val="00084AB9"/>
    <w:rsid w:val="00084AC5"/>
    <w:rsid w:val="00084B65"/>
    <w:rsid w:val="00084C56"/>
    <w:rsid w:val="00084C62"/>
    <w:rsid w:val="00084CAB"/>
    <w:rsid w:val="00084CE0"/>
    <w:rsid w:val="00084D2D"/>
    <w:rsid w:val="00084D4E"/>
    <w:rsid w:val="00084E0A"/>
    <w:rsid w:val="00084F9B"/>
    <w:rsid w:val="00084FC9"/>
    <w:rsid w:val="00085009"/>
    <w:rsid w:val="00085053"/>
    <w:rsid w:val="00085073"/>
    <w:rsid w:val="000850BB"/>
    <w:rsid w:val="000850EB"/>
    <w:rsid w:val="00085143"/>
    <w:rsid w:val="00085235"/>
    <w:rsid w:val="00085241"/>
    <w:rsid w:val="00085288"/>
    <w:rsid w:val="0008536A"/>
    <w:rsid w:val="00085373"/>
    <w:rsid w:val="0008551C"/>
    <w:rsid w:val="0008552E"/>
    <w:rsid w:val="00085585"/>
    <w:rsid w:val="00085777"/>
    <w:rsid w:val="0008577E"/>
    <w:rsid w:val="000857C2"/>
    <w:rsid w:val="00085826"/>
    <w:rsid w:val="00085971"/>
    <w:rsid w:val="00085992"/>
    <w:rsid w:val="00085A64"/>
    <w:rsid w:val="00085A86"/>
    <w:rsid w:val="00085AB8"/>
    <w:rsid w:val="00085C5E"/>
    <w:rsid w:val="00085C90"/>
    <w:rsid w:val="00085D30"/>
    <w:rsid w:val="00085D68"/>
    <w:rsid w:val="00085D9E"/>
    <w:rsid w:val="00085E88"/>
    <w:rsid w:val="00085F78"/>
    <w:rsid w:val="00085FB9"/>
    <w:rsid w:val="0008603A"/>
    <w:rsid w:val="000860AB"/>
    <w:rsid w:val="000860F6"/>
    <w:rsid w:val="0008618A"/>
    <w:rsid w:val="000861C0"/>
    <w:rsid w:val="000861CF"/>
    <w:rsid w:val="0008625F"/>
    <w:rsid w:val="00086280"/>
    <w:rsid w:val="000862B1"/>
    <w:rsid w:val="0008637E"/>
    <w:rsid w:val="000863A6"/>
    <w:rsid w:val="000863F6"/>
    <w:rsid w:val="0008641A"/>
    <w:rsid w:val="000864B4"/>
    <w:rsid w:val="000867BE"/>
    <w:rsid w:val="000867F2"/>
    <w:rsid w:val="00086850"/>
    <w:rsid w:val="0008687B"/>
    <w:rsid w:val="0008688E"/>
    <w:rsid w:val="000868BA"/>
    <w:rsid w:val="0008690B"/>
    <w:rsid w:val="00086925"/>
    <w:rsid w:val="00086929"/>
    <w:rsid w:val="0008696E"/>
    <w:rsid w:val="0008697D"/>
    <w:rsid w:val="000869C3"/>
    <w:rsid w:val="00086AF8"/>
    <w:rsid w:val="00086B5C"/>
    <w:rsid w:val="00086B90"/>
    <w:rsid w:val="00086C07"/>
    <w:rsid w:val="00086CB7"/>
    <w:rsid w:val="00086CD0"/>
    <w:rsid w:val="00086CD6"/>
    <w:rsid w:val="00086D24"/>
    <w:rsid w:val="00086D92"/>
    <w:rsid w:val="00086E49"/>
    <w:rsid w:val="00086F08"/>
    <w:rsid w:val="0008709E"/>
    <w:rsid w:val="000870F0"/>
    <w:rsid w:val="00087106"/>
    <w:rsid w:val="00087114"/>
    <w:rsid w:val="000871FC"/>
    <w:rsid w:val="00087257"/>
    <w:rsid w:val="000872D7"/>
    <w:rsid w:val="000872F7"/>
    <w:rsid w:val="00087332"/>
    <w:rsid w:val="00087598"/>
    <w:rsid w:val="00087681"/>
    <w:rsid w:val="000876A7"/>
    <w:rsid w:val="0008771A"/>
    <w:rsid w:val="000877AB"/>
    <w:rsid w:val="000877CF"/>
    <w:rsid w:val="000877DE"/>
    <w:rsid w:val="0008780E"/>
    <w:rsid w:val="0008787B"/>
    <w:rsid w:val="000878D0"/>
    <w:rsid w:val="000879E9"/>
    <w:rsid w:val="00087A72"/>
    <w:rsid w:val="00087BA8"/>
    <w:rsid w:val="00087C19"/>
    <w:rsid w:val="00087C8C"/>
    <w:rsid w:val="00087CAB"/>
    <w:rsid w:val="00087CB3"/>
    <w:rsid w:val="00087D3E"/>
    <w:rsid w:val="00087DE7"/>
    <w:rsid w:val="00087E7F"/>
    <w:rsid w:val="00087F10"/>
    <w:rsid w:val="00087F74"/>
    <w:rsid w:val="00090053"/>
    <w:rsid w:val="00090082"/>
    <w:rsid w:val="00090117"/>
    <w:rsid w:val="000901D6"/>
    <w:rsid w:val="000901DB"/>
    <w:rsid w:val="000901E2"/>
    <w:rsid w:val="000901F6"/>
    <w:rsid w:val="00090372"/>
    <w:rsid w:val="0009037C"/>
    <w:rsid w:val="000903D2"/>
    <w:rsid w:val="0009040E"/>
    <w:rsid w:val="00090497"/>
    <w:rsid w:val="000904D0"/>
    <w:rsid w:val="00090524"/>
    <w:rsid w:val="00090527"/>
    <w:rsid w:val="0009052B"/>
    <w:rsid w:val="0009056F"/>
    <w:rsid w:val="000905D6"/>
    <w:rsid w:val="000905D7"/>
    <w:rsid w:val="00090656"/>
    <w:rsid w:val="00090671"/>
    <w:rsid w:val="000906BE"/>
    <w:rsid w:val="000906D1"/>
    <w:rsid w:val="000906E0"/>
    <w:rsid w:val="0009078C"/>
    <w:rsid w:val="000907D0"/>
    <w:rsid w:val="00090884"/>
    <w:rsid w:val="000908AA"/>
    <w:rsid w:val="000908C9"/>
    <w:rsid w:val="00090908"/>
    <w:rsid w:val="0009092F"/>
    <w:rsid w:val="0009098C"/>
    <w:rsid w:val="00090A31"/>
    <w:rsid w:val="00090A37"/>
    <w:rsid w:val="00090AE7"/>
    <w:rsid w:val="00090B07"/>
    <w:rsid w:val="00090B1D"/>
    <w:rsid w:val="00090C7B"/>
    <w:rsid w:val="00090D1D"/>
    <w:rsid w:val="00090D3F"/>
    <w:rsid w:val="00090D5A"/>
    <w:rsid w:val="00090DE9"/>
    <w:rsid w:val="00090E5A"/>
    <w:rsid w:val="00090FB8"/>
    <w:rsid w:val="0009102E"/>
    <w:rsid w:val="0009103E"/>
    <w:rsid w:val="00091081"/>
    <w:rsid w:val="0009118C"/>
    <w:rsid w:val="000911E2"/>
    <w:rsid w:val="0009124E"/>
    <w:rsid w:val="00091286"/>
    <w:rsid w:val="000912F1"/>
    <w:rsid w:val="00091352"/>
    <w:rsid w:val="000915B2"/>
    <w:rsid w:val="00091636"/>
    <w:rsid w:val="0009164A"/>
    <w:rsid w:val="00091744"/>
    <w:rsid w:val="0009177F"/>
    <w:rsid w:val="000917B1"/>
    <w:rsid w:val="000917F6"/>
    <w:rsid w:val="000917FC"/>
    <w:rsid w:val="00091894"/>
    <w:rsid w:val="000918EE"/>
    <w:rsid w:val="0009190B"/>
    <w:rsid w:val="00091963"/>
    <w:rsid w:val="000919AB"/>
    <w:rsid w:val="00091A03"/>
    <w:rsid w:val="00091A45"/>
    <w:rsid w:val="00091A9A"/>
    <w:rsid w:val="00091B2D"/>
    <w:rsid w:val="00091BA4"/>
    <w:rsid w:val="00091C7E"/>
    <w:rsid w:val="00091CE5"/>
    <w:rsid w:val="00091F25"/>
    <w:rsid w:val="00091F27"/>
    <w:rsid w:val="00091F31"/>
    <w:rsid w:val="00091F7A"/>
    <w:rsid w:val="00091FF8"/>
    <w:rsid w:val="000920EC"/>
    <w:rsid w:val="000921A0"/>
    <w:rsid w:val="000921C1"/>
    <w:rsid w:val="0009221F"/>
    <w:rsid w:val="00092232"/>
    <w:rsid w:val="00092275"/>
    <w:rsid w:val="0009229E"/>
    <w:rsid w:val="000922BA"/>
    <w:rsid w:val="000922F2"/>
    <w:rsid w:val="00092326"/>
    <w:rsid w:val="000923B7"/>
    <w:rsid w:val="0009240E"/>
    <w:rsid w:val="00092435"/>
    <w:rsid w:val="00092478"/>
    <w:rsid w:val="0009247A"/>
    <w:rsid w:val="00092483"/>
    <w:rsid w:val="00092504"/>
    <w:rsid w:val="00092516"/>
    <w:rsid w:val="0009254E"/>
    <w:rsid w:val="00092559"/>
    <w:rsid w:val="000925E6"/>
    <w:rsid w:val="000926AE"/>
    <w:rsid w:val="000926CC"/>
    <w:rsid w:val="00092771"/>
    <w:rsid w:val="000927D1"/>
    <w:rsid w:val="00092939"/>
    <w:rsid w:val="00092968"/>
    <w:rsid w:val="0009299D"/>
    <w:rsid w:val="00092A28"/>
    <w:rsid w:val="00092A8A"/>
    <w:rsid w:val="00092ACC"/>
    <w:rsid w:val="00092BEB"/>
    <w:rsid w:val="00092BF2"/>
    <w:rsid w:val="00092C69"/>
    <w:rsid w:val="00092D35"/>
    <w:rsid w:val="00092DBE"/>
    <w:rsid w:val="00092DCD"/>
    <w:rsid w:val="00092E07"/>
    <w:rsid w:val="00092F0A"/>
    <w:rsid w:val="00092F40"/>
    <w:rsid w:val="00092F43"/>
    <w:rsid w:val="00092FBF"/>
    <w:rsid w:val="00092FD3"/>
    <w:rsid w:val="0009305B"/>
    <w:rsid w:val="00093118"/>
    <w:rsid w:val="00093131"/>
    <w:rsid w:val="0009317F"/>
    <w:rsid w:val="0009338F"/>
    <w:rsid w:val="000933AB"/>
    <w:rsid w:val="000933DB"/>
    <w:rsid w:val="0009349F"/>
    <w:rsid w:val="0009352D"/>
    <w:rsid w:val="00093574"/>
    <w:rsid w:val="000935DF"/>
    <w:rsid w:val="00093627"/>
    <w:rsid w:val="00093685"/>
    <w:rsid w:val="0009373E"/>
    <w:rsid w:val="000937D3"/>
    <w:rsid w:val="000938B6"/>
    <w:rsid w:val="0009392E"/>
    <w:rsid w:val="000939D6"/>
    <w:rsid w:val="000939DB"/>
    <w:rsid w:val="000939E0"/>
    <w:rsid w:val="00093A7A"/>
    <w:rsid w:val="00093AB8"/>
    <w:rsid w:val="00093B01"/>
    <w:rsid w:val="00093B6A"/>
    <w:rsid w:val="00093BE6"/>
    <w:rsid w:val="00093C01"/>
    <w:rsid w:val="00093C20"/>
    <w:rsid w:val="00093C4C"/>
    <w:rsid w:val="00093D0D"/>
    <w:rsid w:val="00093D3D"/>
    <w:rsid w:val="00093D7D"/>
    <w:rsid w:val="00093D87"/>
    <w:rsid w:val="00093DA9"/>
    <w:rsid w:val="00093DFE"/>
    <w:rsid w:val="00093ECE"/>
    <w:rsid w:val="00093F00"/>
    <w:rsid w:val="00093F09"/>
    <w:rsid w:val="00093F23"/>
    <w:rsid w:val="00093F94"/>
    <w:rsid w:val="00093F9E"/>
    <w:rsid w:val="00093FC0"/>
    <w:rsid w:val="0009405E"/>
    <w:rsid w:val="00094077"/>
    <w:rsid w:val="000940AC"/>
    <w:rsid w:val="000940FC"/>
    <w:rsid w:val="00094116"/>
    <w:rsid w:val="000941EC"/>
    <w:rsid w:val="00094205"/>
    <w:rsid w:val="0009428C"/>
    <w:rsid w:val="000942AD"/>
    <w:rsid w:val="000942BC"/>
    <w:rsid w:val="00094325"/>
    <w:rsid w:val="00094332"/>
    <w:rsid w:val="0009433A"/>
    <w:rsid w:val="00094340"/>
    <w:rsid w:val="000944AF"/>
    <w:rsid w:val="000944EE"/>
    <w:rsid w:val="0009457B"/>
    <w:rsid w:val="00094594"/>
    <w:rsid w:val="000945C8"/>
    <w:rsid w:val="000945FF"/>
    <w:rsid w:val="00094779"/>
    <w:rsid w:val="000948C4"/>
    <w:rsid w:val="000948F7"/>
    <w:rsid w:val="00094950"/>
    <w:rsid w:val="0009498C"/>
    <w:rsid w:val="00094A5B"/>
    <w:rsid w:val="00094B50"/>
    <w:rsid w:val="00094CCD"/>
    <w:rsid w:val="00094CE2"/>
    <w:rsid w:val="00094D1B"/>
    <w:rsid w:val="00094D73"/>
    <w:rsid w:val="00094DCB"/>
    <w:rsid w:val="00094E1B"/>
    <w:rsid w:val="00094EA3"/>
    <w:rsid w:val="00094EA4"/>
    <w:rsid w:val="00094ECF"/>
    <w:rsid w:val="00094F03"/>
    <w:rsid w:val="00094F56"/>
    <w:rsid w:val="00094FD5"/>
    <w:rsid w:val="00095043"/>
    <w:rsid w:val="00095094"/>
    <w:rsid w:val="00095136"/>
    <w:rsid w:val="00095192"/>
    <w:rsid w:val="000951DE"/>
    <w:rsid w:val="0009525E"/>
    <w:rsid w:val="00095262"/>
    <w:rsid w:val="00095297"/>
    <w:rsid w:val="000952C7"/>
    <w:rsid w:val="000952F6"/>
    <w:rsid w:val="00095389"/>
    <w:rsid w:val="0009543D"/>
    <w:rsid w:val="0009549D"/>
    <w:rsid w:val="00095505"/>
    <w:rsid w:val="0009554D"/>
    <w:rsid w:val="0009562B"/>
    <w:rsid w:val="00095681"/>
    <w:rsid w:val="0009583B"/>
    <w:rsid w:val="00095867"/>
    <w:rsid w:val="000958DD"/>
    <w:rsid w:val="000958E5"/>
    <w:rsid w:val="000958FE"/>
    <w:rsid w:val="000959AD"/>
    <w:rsid w:val="000959AE"/>
    <w:rsid w:val="000959D3"/>
    <w:rsid w:val="000959D5"/>
    <w:rsid w:val="000959DC"/>
    <w:rsid w:val="000959F3"/>
    <w:rsid w:val="00095A96"/>
    <w:rsid w:val="00095B12"/>
    <w:rsid w:val="00095B70"/>
    <w:rsid w:val="00095BCD"/>
    <w:rsid w:val="00095C21"/>
    <w:rsid w:val="00095C49"/>
    <w:rsid w:val="00095C97"/>
    <w:rsid w:val="00095D40"/>
    <w:rsid w:val="00095DB0"/>
    <w:rsid w:val="00095DF1"/>
    <w:rsid w:val="00095E12"/>
    <w:rsid w:val="00095EBF"/>
    <w:rsid w:val="00095EC6"/>
    <w:rsid w:val="00095F2B"/>
    <w:rsid w:val="00095F65"/>
    <w:rsid w:val="00096066"/>
    <w:rsid w:val="000960DA"/>
    <w:rsid w:val="00096186"/>
    <w:rsid w:val="0009618B"/>
    <w:rsid w:val="00096299"/>
    <w:rsid w:val="0009632F"/>
    <w:rsid w:val="00096345"/>
    <w:rsid w:val="00096372"/>
    <w:rsid w:val="0009638E"/>
    <w:rsid w:val="00096392"/>
    <w:rsid w:val="00096398"/>
    <w:rsid w:val="00096414"/>
    <w:rsid w:val="00096423"/>
    <w:rsid w:val="0009643F"/>
    <w:rsid w:val="00096451"/>
    <w:rsid w:val="000965C1"/>
    <w:rsid w:val="000965EA"/>
    <w:rsid w:val="00096697"/>
    <w:rsid w:val="000966BB"/>
    <w:rsid w:val="00096724"/>
    <w:rsid w:val="0009680B"/>
    <w:rsid w:val="0009684A"/>
    <w:rsid w:val="000968AC"/>
    <w:rsid w:val="000968C8"/>
    <w:rsid w:val="00096919"/>
    <w:rsid w:val="00096933"/>
    <w:rsid w:val="00096962"/>
    <w:rsid w:val="00096963"/>
    <w:rsid w:val="00096968"/>
    <w:rsid w:val="00096997"/>
    <w:rsid w:val="000969FD"/>
    <w:rsid w:val="00096AD5"/>
    <w:rsid w:val="00096ADA"/>
    <w:rsid w:val="00096AEC"/>
    <w:rsid w:val="00096B4A"/>
    <w:rsid w:val="00096B50"/>
    <w:rsid w:val="00096CE3"/>
    <w:rsid w:val="00096CFC"/>
    <w:rsid w:val="00096D6B"/>
    <w:rsid w:val="00096D75"/>
    <w:rsid w:val="00096DB9"/>
    <w:rsid w:val="00096DF9"/>
    <w:rsid w:val="00096E7F"/>
    <w:rsid w:val="00096EFA"/>
    <w:rsid w:val="00096F08"/>
    <w:rsid w:val="00096F3B"/>
    <w:rsid w:val="0009704D"/>
    <w:rsid w:val="00097082"/>
    <w:rsid w:val="00097128"/>
    <w:rsid w:val="000971D0"/>
    <w:rsid w:val="0009728E"/>
    <w:rsid w:val="000972E8"/>
    <w:rsid w:val="00097388"/>
    <w:rsid w:val="000973C3"/>
    <w:rsid w:val="000973FF"/>
    <w:rsid w:val="0009747D"/>
    <w:rsid w:val="0009748B"/>
    <w:rsid w:val="00097496"/>
    <w:rsid w:val="000974C7"/>
    <w:rsid w:val="000974CF"/>
    <w:rsid w:val="00097517"/>
    <w:rsid w:val="0009753C"/>
    <w:rsid w:val="00097632"/>
    <w:rsid w:val="000976F1"/>
    <w:rsid w:val="000976F4"/>
    <w:rsid w:val="0009772C"/>
    <w:rsid w:val="0009775B"/>
    <w:rsid w:val="000977B9"/>
    <w:rsid w:val="00097850"/>
    <w:rsid w:val="00097918"/>
    <w:rsid w:val="0009791B"/>
    <w:rsid w:val="0009795D"/>
    <w:rsid w:val="0009798B"/>
    <w:rsid w:val="00097ACB"/>
    <w:rsid w:val="00097BC8"/>
    <w:rsid w:val="00097D28"/>
    <w:rsid w:val="00097D6E"/>
    <w:rsid w:val="00097DC4"/>
    <w:rsid w:val="00097E9F"/>
    <w:rsid w:val="00097F54"/>
    <w:rsid w:val="00097F76"/>
    <w:rsid w:val="00097FE7"/>
    <w:rsid w:val="000A0026"/>
    <w:rsid w:val="000A0043"/>
    <w:rsid w:val="000A008E"/>
    <w:rsid w:val="000A00A3"/>
    <w:rsid w:val="000A00B2"/>
    <w:rsid w:val="000A0118"/>
    <w:rsid w:val="000A01B4"/>
    <w:rsid w:val="000A01F8"/>
    <w:rsid w:val="000A02D9"/>
    <w:rsid w:val="000A0396"/>
    <w:rsid w:val="000A03B1"/>
    <w:rsid w:val="000A0489"/>
    <w:rsid w:val="000A04E1"/>
    <w:rsid w:val="000A059E"/>
    <w:rsid w:val="000A05F2"/>
    <w:rsid w:val="000A0680"/>
    <w:rsid w:val="000A0719"/>
    <w:rsid w:val="000A079D"/>
    <w:rsid w:val="000A07A2"/>
    <w:rsid w:val="000A07DE"/>
    <w:rsid w:val="000A0847"/>
    <w:rsid w:val="000A0869"/>
    <w:rsid w:val="000A0877"/>
    <w:rsid w:val="000A08A7"/>
    <w:rsid w:val="000A09AC"/>
    <w:rsid w:val="000A0A1E"/>
    <w:rsid w:val="000A0A35"/>
    <w:rsid w:val="000A0A4E"/>
    <w:rsid w:val="000A0A65"/>
    <w:rsid w:val="000A0AF9"/>
    <w:rsid w:val="000A0B0F"/>
    <w:rsid w:val="000A0CAE"/>
    <w:rsid w:val="000A0DBA"/>
    <w:rsid w:val="000A0DD5"/>
    <w:rsid w:val="000A0DE6"/>
    <w:rsid w:val="000A0E98"/>
    <w:rsid w:val="000A0EC7"/>
    <w:rsid w:val="000A0F03"/>
    <w:rsid w:val="000A0F08"/>
    <w:rsid w:val="000A0F6A"/>
    <w:rsid w:val="000A0F9E"/>
    <w:rsid w:val="000A0FF3"/>
    <w:rsid w:val="000A1007"/>
    <w:rsid w:val="000A104B"/>
    <w:rsid w:val="000A10A1"/>
    <w:rsid w:val="000A12EB"/>
    <w:rsid w:val="000A1331"/>
    <w:rsid w:val="000A13AE"/>
    <w:rsid w:val="000A1439"/>
    <w:rsid w:val="000A14A6"/>
    <w:rsid w:val="000A1501"/>
    <w:rsid w:val="000A152B"/>
    <w:rsid w:val="000A152C"/>
    <w:rsid w:val="000A15E9"/>
    <w:rsid w:val="000A16F7"/>
    <w:rsid w:val="000A1786"/>
    <w:rsid w:val="000A179C"/>
    <w:rsid w:val="000A18AF"/>
    <w:rsid w:val="000A18B2"/>
    <w:rsid w:val="000A18BE"/>
    <w:rsid w:val="000A18E6"/>
    <w:rsid w:val="000A19B6"/>
    <w:rsid w:val="000A19E2"/>
    <w:rsid w:val="000A1A66"/>
    <w:rsid w:val="000A1A94"/>
    <w:rsid w:val="000A1A98"/>
    <w:rsid w:val="000A1C35"/>
    <w:rsid w:val="000A1C3E"/>
    <w:rsid w:val="000A1C7A"/>
    <w:rsid w:val="000A1CA7"/>
    <w:rsid w:val="000A1D3B"/>
    <w:rsid w:val="000A1DD6"/>
    <w:rsid w:val="000A1E28"/>
    <w:rsid w:val="000A1E50"/>
    <w:rsid w:val="000A1F40"/>
    <w:rsid w:val="000A1F51"/>
    <w:rsid w:val="000A1FFB"/>
    <w:rsid w:val="000A2001"/>
    <w:rsid w:val="000A200F"/>
    <w:rsid w:val="000A2082"/>
    <w:rsid w:val="000A20EA"/>
    <w:rsid w:val="000A2196"/>
    <w:rsid w:val="000A221F"/>
    <w:rsid w:val="000A2324"/>
    <w:rsid w:val="000A239B"/>
    <w:rsid w:val="000A23A9"/>
    <w:rsid w:val="000A23E8"/>
    <w:rsid w:val="000A2457"/>
    <w:rsid w:val="000A2477"/>
    <w:rsid w:val="000A2646"/>
    <w:rsid w:val="000A2667"/>
    <w:rsid w:val="000A2678"/>
    <w:rsid w:val="000A2693"/>
    <w:rsid w:val="000A26BF"/>
    <w:rsid w:val="000A278D"/>
    <w:rsid w:val="000A2806"/>
    <w:rsid w:val="000A2921"/>
    <w:rsid w:val="000A29C5"/>
    <w:rsid w:val="000A2AD8"/>
    <w:rsid w:val="000A2ADC"/>
    <w:rsid w:val="000A2B4D"/>
    <w:rsid w:val="000A2BFC"/>
    <w:rsid w:val="000A2C44"/>
    <w:rsid w:val="000A2C85"/>
    <w:rsid w:val="000A2C9B"/>
    <w:rsid w:val="000A2CE0"/>
    <w:rsid w:val="000A2DEA"/>
    <w:rsid w:val="000A2DF9"/>
    <w:rsid w:val="000A2E32"/>
    <w:rsid w:val="000A2EEB"/>
    <w:rsid w:val="000A2F16"/>
    <w:rsid w:val="000A2F3F"/>
    <w:rsid w:val="000A3032"/>
    <w:rsid w:val="000A30A6"/>
    <w:rsid w:val="000A318F"/>
    <w:rsid w:val="000A3261"/>
    <w:rsid w:val="000A32CD"/>
    <w:rsid w:val="000A3325"/>
    <w:rsid w:val="000A3356"/>
    <w:rsid w:val="000A344F"/>
    <w:rsid w:val="000A3547"/>
    <w:rsid w:val="000A35F2"/>
    <w:rsid w:val="000A35F8"/>
    <w:rsid w:val="000A363D"/>
    <w:rsid w:val="000A36B2"/>
    <w:rsid w:val="000A36B8"/>
    <w:rsid w:val="000A37B2"/>
    <w:rsid w:val="000A3818"/>
    <w:rsid w:val="000A38AA"/>
    <w:rsid w:val="000A394B"/>
    <w:rsid w:val="000A398F"/>
    <w:rsid w:val="000A39DB"/>
    <w:rsid w:val="000A3A3D"/>
    <w:rsid w:val="000A3B08"/>
    <w:rsid w:val="000A3BD4"/>
    <w:rsid w:val="000A3C3C"/>
    <w:rsid w:val="000A3C68"/>
    <w:rsid w:val="000A3D02"/>
    <w:rsid w:val="000A3D73"/>
    <w:rsid w:val="000A3E29"/>
    <w:rsid w:val="000A3E41"/>
    <w:rsid w:val="000A3E52"/>
    <w:rsid w:val="000A3E5B"/>
    <w:rsid w:val="000A3EE5"/>
    <w:rsid w:val="000A3F7C"/>
    <w:rsid w:val="000A403A"/>
    <w:rsid w:val="000A4119"/>
    <w:rsid w:val="000A41A9"/>
    <w:rsid w:val="000A41DA"/>
    <w:rsid w:val="000A4210"/>
    <w:rsid w:val="000A4248"/>
    <w:rsid w:val="000A4264"/>
    <w:rsid w:val="000A4295"/>
    <w:rsid w:val="000A4298"/>
    <w:rsid w:val="000A4308"/>
    <w:rsid w:val="000A4360"/>
    <w:rsid w:val="000A4382"/>
    <w:rsid w:val="000A438D"/>
    <w:rsid w:val="000A43BB"/>
    <w:rsid w:val="000A43C2"/>
    <w:rsid w:val="000A4405"/>
    <w:rsid w:val="000A4665"/>
    <w:rsid w:val="000A46A6"/>
    <w:rsid w:val="000A46B9"/>
    <w:rsid w:val="000A46BE"/>
    <w:rsid w:val="000A4856"/>
    <w:rsid w:val="000A486D"/>
    <w:rsid w:val="000A48C0"/>
    <w:rsid w:val="000A4A1B"/>
    <w:rsid w:val="000A4A49"/>
    <w:rsid w:val="000A4B0F"/>
    <w:rsid w:val="000A4B14"/>
    <w:rsid w:val="000A4B27"/>
    <w:rsid w:val="000A4BFC"/>
    <w:rsid w:val="000A4D3E"/>
    <w:rsid w:val="000A4DC1"/>
    <w:rsid w:val="000A4DF9"/>
    <w:rsid w:val="000A4DFA"/>
    <w:rsid w:val="000A4E38"/>
    <w:rsid w:val="000A4E48"/>
    <w:rsid w:val="000A4EFD"/>
    <w:rsid w:val="000A4F17"/>
    <w:rsid w:val="000A4F78"/>
    <w:rsid w:val="000A4FA8"/>
    <w:rsid w:val="000A4FF2"/>
    <w:rsid w:val="000A5020"/>
    <w:rsid w:val="000A5038"/>
    <w:rsid w:val="000A50AF"/>
    <w:rsid w:val="000A5138"/>
    <w:rsid w:val="000A517D"/>
    <w:rsid w:val="000A5184"/>
    <w:rsid w:val="000A5274"/>
    <w:rsid w:val="000A52A8"/>
    <w:rsid w:val="000A530E"/>
    <w:rsid w:val="000A5310"/>
    <w:rsid w:val="000A5395"/>
    <w:rsid w:val="000A5439"/>
    <w:rsid w:val="000A5494"/>
    <w:rsid w:val="000A54C7"/>
    <w:rsid w:val="000A55DD"/>
    <w:rsid w:val="000A5642"/>
    <w:rsid w:val="000A5686"/>
    <w:rsid w:val="000A5689"/>
    <w:rsid w:val="000A56AC"/>
    <w:rsid w:val="000A575B"/>
    <w:rsid w:val="000A57BA"/>
    <w:rsid w:val="000A5866"/>
    <w:rsid w:val="000A58AE"/>
    <w:rsid w:val="000A58CE"/>
    <w:rsid w:val="000A5929"/>
    <w:rsid w:val="000A59C1"/>
    <w:rsid w:val="000A5A03"/>
    <w:rsid w:val="000A5A36"/>
    <w:rsid w:val="000A5AF4"/>
    <w:rsid w:val="000A5AFF"/>
    <w:rsid w:val="000A5B77"/>
    <w:rsid w:val="000A5C30"/>
    <w:rsid w:val="000A5D6E"/>
    <w:rsid w:val="000A5DD3"/>
    <w:rsid w:val="000A5DD5"/>
    <w:rsid w:val="000A5E29"/>
    <w:rsid w:val="000A5EC3"/>
    <w:rsid w:val="000A5FB3"/>
    <w:rsid w:val="000A6026"/>
    <w:rsid w:val="000A6129"/>
    <w:rsid w:val="000A6140"/>
    <w:rsid w:val="000A6236"/>
    <w:rsid w:val="000A6247"/>
    <w:rsid w:val="000A6252"/>
    <w:rsid w:val="000A627D"/>
    <w:rsid w:val="000A62BD"/>
    <w:rsid w:val="000A62DF"/>
    <w:rsid w:val="000A6306"/>
    <w:rsid w:val="000A636C"/>
    <w:rsid w:val="000A6372"/>
    <w:rsid w:val="000A64DC"/>
    <w:rsid w:val="000A64FA"/>
    <w:rsid w:val="000A6501"/>
    <w:rsid w:val="000A655B"/>
    <w:rsid w:val="000A65A4"/>
    <w:rsid w:val="000A6644"/>
    <w:rsid w:val="000A66BB"/>
    <w:rsid w:val="000A66C3"/>
    <w:rsid w:val="000A66C8"/>
    <w:rsid w:val="000A670B"/>
    <w:rsid w:val="000A6778"/>
    <w:rsid w:val="000A6787"/>
    <w:rsid w:val="000A681F"/>
    <w:rsid w:val="000A6880"/>
    <w:rsid w:val="000A6893"/>
    <w:rsid w:val="000A6930"/>
    <w:rsid w:val="000A69B0"/>
    <w:rsid w:val="000A6A33"/>
    <w:rsid w:val="000A6B95"/>
    <w:rsid w:val="000A6B9F"/>
    <w:rsid w:val="000A6C3F"/>
    <w:rsid w:val="000A6D24"/>
    <w:rsid w:val="000A6D5F"/>
    <w:rsid w:val="000A6D9C"/>
    <w:rsid w:val="000A6E04"/>
    <w:rsid w:val="000A6E0B"/>
    <w:rsid w:val="000A6E0E"/>
    <w:rsid w:val="000A6E84"/>
    <w:rsid w:val="000A6E8D"/>
    <w:rsid w:val="000A6ED6"/>
    <w:rsid w:val="000A6EFE"/>
    <w:rsid w:val="000A6F89"/>
    <w:rsid w:val="000A6FA4"/>
    <w:rsid w:val="000A7042"/>
    <w:rsid w:val="000A7045"/>
    <w:rsid w:val="000A719C"/>
    <w:rsid w:val="000A7200"/>
    <w:rsid w:val="000A7211"/>
    <w:rsid w:val="000A7224"/>
    <w:rsid w:val="000A7277"/>
    <w:rsid w:val="000A72A4"/>
    <w:rsid w:val="000A72BA"/>
    <w:rsid w:val="000A73B1"/>
    <w:rsid w:val="000A74AD"/>
    <w:rsid w:val="000A74E7"/>
    <w:rsid w:val="000A752A"/>
    <w:rsid w:val="000A7550"/>
    <w:rsid w:val="000A75B8"/>
    <w:rsid w:val="000A76A9"/>
    <w:rsid w:val="000A76EC"/>
    <w:rsid w:val="000A7750"/>
    <w:rsid w:val="000A7769"/>
    <w:rsid w:val="000A7821"/>
    <w:rsid w:val="000A78AF"/>
    <w:rsid w:val="000A78F8"/>
    <w:rsid w:val="000A799D"/>
    <w:rsid w:val="000A7A33"/>
    <w:rsid w:val="000A7A35"/>
    <w:rsid w:val="000A7A4C"/>
    <w:rsid w:val="000A7AE1"/>
    <w:rsid w:val="000A7B10"/>
    <w:rsid w:val="000A7C0D"/>
    <w:rsid w:val="000A7C10"/>
    <w:rsid w:val="000A7C59"/>
    <w:rsid w:val="000A7D39"/>
    <w:rsid w:val="000A7D6D"/>
    <w:rsid w:val="000A7D86"/>
    <w:rsid w:val="000A7D9E"/>
    <w:rsid w:val="000A7DCF"/>
    <w:rsid w:val="000A7DD3"/>
    <w:rsid w:val="000A7DF0"/>
    <w:rsid w:val="000A7E2E"/>
    <w:rsid w:val="000A7E40"/>
    <w:rsid w:val="000A7E76"/>
    <w:rsid w:val="000A7EB4"/>
    <w:rsid w:val="000A7F2E"/>
    <w:rsid w:val="000A7F3D"/>
    <w:rsid w:val="000A7F94"/>
    <w:rsid w:val="000A7F9F"/>
    <w:rsid w:val="000A7FDC"/>
    <w:rsid w:val="000B0041"/>
    <w:rsid w:val="000B005B"/>
    <w:rsid w:val="000B007F"/>
    <w:rsid w:val="000B008C"/>
    <w:rsid w:val="000B00B9"/>
    <w:rsid w:val="000B01D1"/>
    <w:rsid w:val="000B022E"/>
    <w:rsid w:val="000B0234"/>
    <w:rsid w:val="000B024D"/>
    <w:rsid w:val="000B0279"/>
    <w:rsid w:val="000B0301"/>
    <w:rsid w:val="000B0359"/>
    <w:rsid w:val="000B0373"/>
    <w:rsid w:val="000B03BB"/>
    <w:rsid w:val="000B0436"/>
    <w:rsid w:val="000B04AC"/>
    <w:rsid w:val="000B04B1"/>
    <w:rsid w:val="000B050A"/>
    <w:rsid w:val="000B059A"/>
    <w:rsid w:val="000B05AF"/>
    <w:rsid w:val="000B0601"/>
    <w:rsid w:val="000B063E"/>
    <w:rsid w:val="000B066E"/>
    <w:rsid w:val="000B06BB"/>
    <w:rsid w:val="000B06D4"/>
    <w:rsid w:val="000B06EF"/>
    <w:rsid w:val="000B0712"/>
    <w:rsid w:val="000B0719"/>
    <w:rsid w:val="000B07DE"/>
    <w:rsid w:val="000B086D"/>
    <w:rsid w:val="000B0913"/>
    <w:rsid w:val="000B09E4"/>
    <w:rsid w:val="000B09F6"/>
    <w:rsid w:val="000B0A12"/>
    <w:rsid w:val="000B0A35"/>
    <w:rsid w:val="000B0B1B"/>
    <w:rsid w:val="000B0B7D"/>
    <w:rsid w:val="000B0B87"/>
    <w:rsid w:val="000B0C04"/>
    <w:rsid w:val="000B0C31"/>
    <w:rsid w:val="000B0C4D"/>
    <w:rsid w:val="000B0CAB"/>
    <w:rsid w:val="000B0E0B"/>
    <w:rsid w:val="000B0E3E"/>
    <w:rsid w:val="000B0E46"/>
    <w:rsid w:val="000B0E82"/>
    <w:rsid w:val="000B0EB2"/>
    <w:rsid w:val="000B0F13"/>
    <w:rsid w:val="000B0F2C"/>
    <w:rsid w:val="000B0F46"/>
    <w:rsid w:val="000B0FF3"/>
    <w:rsid w:val="000B1034"/>
    <w:rsid w:val="000B1076"/>
    <w:rsid w:val="000B108E"/>
    <w:rsid w:val="000B11CF"/>
    <w:rsid w:val="000B12B2"/>
    <w:rsid w:val="000B133C"/>
    <w:rsid w:val="000B13B7"/>
    <w:rsid w:val="000B1404"/>
    <w:rsid w:val="000B14BE"/>
    <w:rsid w:val="000B1511"/>
    <w:rsid w:val="000B15CC"/>
    <w:rsid w:val="000B1608"/>
    <w:rsid w:val="000B16B0"/>
    <w:rsid w:val="000B1754"/>
    <w:rsid w:val="000B17DD"/>
    <w:rsid w:val="000B189F"/>
    <w:rsid w:val="000B195D"/>
    <w:rsid w:val="000B1991"/>
    <w:rsid w:val="000B19A7"/>
    <w:rsid w:val="000B19AF"/>
    <w:rsid w:val="000B1B07"/>
    <w:rsid w:val="000B1B0E"/>
    <w:rsid w:val="000B1BE1"/>
    <w:rsid w:val="000B1BEE"/>
    <w:rsid w:val="000B1C05"/>
    <w:rsid w:val="000B1D07"/>
    <w:rsid w:val="000B1E14"/>
    <w:rsid w:val="000B1E8C"/>
    <w:rsid w:val="000B1EBF"/>
    <w:rsid w:val="000B1FB5"/>
    <w:rsid w:val="000B1FC4"/>
    <w:rsid w:val="000B2024"/>
    <w:rsid w:val="000B2102"/>
    <w:rsid w:val="000B21B0"/>
    <w:rsid w:val="000B21B5"/>
    <w:rsid w:val="000B2225"/>
    <w:rsid w:val="000B225D"/>
    <w:rsid w:val="000B228A"/>
    <w:rsid w:val="000B22B1"/>
    <w:rsid w:val="000B22E2"/>
    <w:rsid w:val="000B2345"/>
    <w:rsid w:val="000B2351"/>
    <w:rsid w:val="000B2385"/>
    <w:rsid w:val="000B23E3"/>
    <w:rsid w:val="000B240F"/>
    <w:rsid w:val="000B244E"/>
    <w:rsid w:val="000B24D5"/>
    <w:rsid w:val="000B2582"/>
    <w:rsid w:val="000B2620"/>
    <w:rsid w:val="000B2638"/>
    <w:rsid w:val="000B26A5"/>
    <w:rsid w:val="000B26FC"/>
    <w:rsid w:val="000B272D"/>
    <w:rsid w:val="000B27F1"/>
    <w:rsid w:val="000B27FF"/>
    <w:rsid w:val="000B28B6"/>
    <w:rsid w:val="000B2A55"/>
    <w:rsid w:val="000B2A80"/>
    <w:rsid w:val="000B2B2C"/>
    <w:rsid w:val="000B2B5E"/>
    <w:rsid w:val="000B2C38"/>
    <w:rsid w:val="000B2C8A"/>
    <w:rsid w:val="000B2DA3"/>
    <w:rsid w:val="000B2E19"/>
    <w:rsid w:val="000B2E52"/>
    <w:rsid w:val="000B2E83"/>
    <w:rsid w:val="000B2FE5"/>
    <w:rsid w:val="000B3081"/>
    <w:rsid w:val="000B30B6"/>
    <w:rsid w:val="000B3102"/>
    <w:rsid w:val="000B3106"/>
    <w:rsid w:val="000B3146"/>
    <w:rsid w:val="000B316C"/>
    <w:rsid w:val="000B3171"/>
    <w:rsid w:val="000B31CC"/>
    <w:rsid w:val="000B31F3"/>
    <w:rsid w:val="000B3219"/>
    <w:rsid w:val="000B3228"/>
    <w:rsid w:val="000B32CA"/>
    <w:rsid w:val="000B32CB"/>
    <w:rsid w:val="000B334D"/>
    <w:rsid w:val="000B3371"/>
    <w:rsid w:val="000B338C"/>
    <w:rsid w:val="000B340B"/>
    <w:rsid w:val="000B3438"/>
    <w:rsid w:val="000B3477"/>
    <w:rsid w:val="000B3484"/>
    <w:rsid w:val="000B3555"/>
    <w:rsid w:val="000B356B"/>
    <w:rsid w:val="000B356C"/>
    <w:rsid w:val="000B35C8"/>
    <w:rsid w:val="000B367A"/>
    <w:rsid w:val="000B3714"/>
    <w:rsid w:val="000B3766"/>
    <w:rsid w:val="000B3789"/>
    <w:rsid w:val="000B37C0"/>
    <w:rsid w:val="000B3803"/>
    <w:rsid w:val="000B3817"/>
    <w:rsid w:val="000B382F"/>
    <w:rsid w:val="000B3832"/>
    <w:rsid w:val="000B3882"/>
    <w:rsid w:val="000B389C"/>
    <w:rsid w:val="000B38AB"/>
    <w:rsid w:val="000B38EF"/>
    <w:rsid w:val="000B3903"/>
    <w:rsid w:val="000B3BC6"/>
    <w:rsid w:val="000B3BCD"/>
    <w:rsid w:val="000B3BDC"/>
    <w:rsid w:val="000B3C22"/>
    <w:rsid w:val="000B3C5C"/>
    <w:rsid w:val="000B3D47"/>
    <w:rsid w:val="000B3DE3"/>
    <w:rsid w:val="000B3E1F"/>
    <w:rsid w:val="000B3E3B"/>
    <w:rsid w:val="000B3E44"/>
    <w:rsid w:val="000B3E61"/>
    <w:rsid w:val="000B3EBD"/>
    <w:rsid w:val="000B3EE4"/>
    <w:rsid w:val="000B3EF0"/>
    <w:rsid w:val="000B3F93"/>
    <w:rsid w:val="000B3FC7"/>
    <w:rsid w:val="000B400A"/>
    <w:rsid w:val="000B4049"/>
    <w:rsid w:val="000B42A7"/>
    <w:rsid w:val="000B42DF"/>
    <w:rsid w:val="000B43EA"/>
    <w:rsid w:val="000B4432"/>
    <w:rsid w:val="000B4440"/>
    <w:rsid w:val="000B445D"/>
    <w:rsid w:val="000B446B"/>
    <w:rsid w:val="000B44CE"/>
    <w:rsid w:val="000B44EB"/>
    <w:rsid w:val="000B4525"/>
    <w:rsid w:val="000B47A0"/>
    <w:rsid w:val="000B47B1"/>
    <w:rsid w:val="000B47C8"/>
    <w:rsid w:val="000B47E0"/>
    <w:rsid w:val="000B47E4"/>
    <w:rsid w:val="000B47F1"/>
    <w:rsid w:val="000B480D"/>
    <w:rsid w:val="000B4882"/>
    <w:rsid w:val="000B497F"/>
    <w:rsid w:val="000B49AC"/>
    <w:rsid w:val="000B49CF"/>
    <w:rsid w:val="000B4A2C"/>
    <w:rsid w:val="000B4A3E"/>
    <w:rsid w:val="000B4A72"/>
    <w:rsid w:val="000B4B2C"/>
    <w:rsid w:val="000B4B32"/>
    <w:rsid w:val="000B4BA0"/>
    <w:rsid w:val="000B4BCB"/>
    <w:rsid w:val="000B4BEC"/>
    <w:rsid w:val="000B4C77"/>
    <w:rsid w:val="000B4C8D"/>
    <w:rsid w:val="000B4CC8"/>
    <w:rsid w:val="000B4D6A"/>
    <w:rsid w:val="000B4DF1"/>
    <w:rsid w:val="000B4E0D"/>
    <w:rsid w:val="000B4F0F"/>
    <w:rsid w:val="000B4F2A"/>
    <w:rsid w:val="000B4F65"/>
    <w:rsid w:val="000B4F8E"/>
    <w:rsid w:val="000B4FBF"/>
    <w:rsid w:val="000B5016"/>
    <w:rsid w:val="000B5051"/>
    <w:rsid w:val="000B506F"/>
    <w:rsid w:val="000B5091"/>
    <w:rsid w:val="000B50B0"/>
    <w:rsid w:val="000B50DD"/>
    <w:rsid w:val="000B5105"/>
    <w:rsid w:val="000B518C"/>
    <w:rsid w:val="000B51F1"/>
    <w:rsid w:val="000B51F9"/>
    <w:rsid w:val="000B528C"/>
    <w:rsid w:val="000B5306"/>
    <w:rsid w:val="000B5327"/>
    <w:rsid w:val="000B5369"/>
    <w:rsid w:val="000B54C2"/>
    <w:rsid w:val="000B54E0"/>
    <w:rsid w:val="000B5544"/>
    <w:rsid w:val="000B5613"/>
    <w:rsid w:val="000B5633"/>
    <w:rsid w:val="000B5646"/>
    <w:rsid w:val="000B56E2"/>
    <w:rsid w:val="000B5703"/>
    <w:rsid w:val="000B5715"/>
    <w:rsid w:val="000B573D"/>
    <w:rsid w:val="000B584C"/>
    <w:rsid w:val="000B58DA"/>
    <w:rsid w:val="000B59E8"/>
    <w:rsid w:val="000B5A08"/>
    <w:rsid w:val="000B5AB0"/>
    <w:rsid w:val="000B5AD0"/>
    <w:rsid w:val="000B5BFE"/>
    <w:rsid w:val="000B5C0A"/>
    <w:rsid w:val="000B5C2B"/>
    <w:rsid w:val="000B5C2D"/>
    <w:rsid w:val="000B5C47"/>
    <w:rsid w:val="000B5C9F"/>
    <w:rsid w:val="000B5CA4"/>
    <w:rsid w:val="000B5D58"/>
    <w:rsid w:val="000B5D5A"/>
    <w:rsid w:val="000B5D5F"/>
    <w:rsid w:val="000B5D61"/>
    <w:rsid w:val="000B5D83"/>
    <w:rsid w:val="000B5D8E"/>
    <w:rsid w:val="000B5DBA"/>
    <w:rsid w:val="000B5E38"/>
    <w:rsid w:val="000B5E92"/>
    <w:rsid w:val="000B60B6"/>
    <w:rsid w:val="000B621B"/>
    <w:rsid w:val="000B6247"/>
    <w:rsid w:val="000B627C"/>
    <w:rsid w:val="000B63E8"/>
    <w:rsid w:val="000B6478"/>
    <w:rsid w:val="000B655C"/>
    <w:rsid w:val="000B6620"/>
    <w:rsid w:val="000B6628"/>
    <w:rsid w:val="000B6664"/>
    <w:rsid w:val="000B66E2"/>
    <w:rsid w:val="000B673F"/>
    <w:rsid w:val="000B6758"/>
    <w:rsid w:val="000B67D6"/>
    <w:rsid w:val="000B6874"/>
    <w:rsid w:val="000B688C"/>
    <w:rsid w:val="000B68A1"/>
    <w:rsid w:val="000B6941"/>
    <w:rsid w:val="000B698B"/>
    <w:rsid w:val="000B6A03"/>
    <w:rsid w:val="000B6A07"/>
    <w:rsid w:val="000B6AD9"/>
    <w:rsid w:val="000B6B2D"/>
    <w:rsid w:val="000B6B75"/>
    <w:rsid w:val="000B6DE7"/>
    <w:rsid w:val="000B6E39"/>
    <w:rsid w:val="000B6E49"/>
    <w:rsid w:val="000B6E95"/>
    <w:rsid w:val="000B6EA8"/>
    <w:rsid w:val="000B6EC3"/>
    <w:rsid w:val="000B6F62"/>
    <w:rsid w:val="000B6F82"/>
    <w:rsid w:val="000B6FE5"/>
    <w:rsid w:val="000B7005"/>
    <w:rsid w:val="000B700E"/>
    <w:rsid w:val="000B704A"/>
    <w:rsid w:val="000B7089"/>
    <w:rsid w:val="000B7090"/>
    <w:rsid w:val="000B70CA"/>
    <w:rsid w:val="000B72E2"/>
    <w:rsid w:val="000B72EC"/>
    <w:rsid w:val="000B7429"/>
    <w:rsid w:val="000B748C"/>
    <w:rsid w:val="000B74AD"/>
    <w:rsid w:val="000B7519"/>
    <w:rsid w:val="000B759F"/>
    <w:rsid w:val="000B75F0"/>
    <w:rsid w:val="000B75F1"/>
    <w:rsid w:val="000B75F4"/>
    <w:rsid w:val="000B7611"/>
    <w:rsid w:val="000B76C1"/>
    <w:rsid w:val="000B781A"/>
    <w:rsid w:val="000B78B0"/>
    <w:rsid w:val="000B78E5"/>
    <w:rsid w:val="000B7932"/>
    <w:rsid w:val="000B79A6"/>
    <w:rsid w:val="000B79AC"/>
    <w:rsid w:val="000B7A32"/>
    <w:rsid w:val="000B7ABA"/>
    <w:rsid w:val="000B7AC9"/>
    <w:rsid w:val="000B7AE8"/>
    <w:rsid w:val="000B7B12"/>
    <w:rsid w:val="000B7B56"/>
    <w:rsid w:val="000B7BEE"/>
    <w:rsid w:val="000B7C5F"/>
    <w:rsid w:val="000B7C8B"/>
    <w:rsid w:val="000B7D1E"/>
    <w:rsid w:val="000B7D4F"/>
    <w:rsid w:val="000B7E64"/>
    <w:rsid w:val="000B7F02"/>
    <w:rsid w:val="000B7F50"/>
    <w:rsid w:val="000B7FDA"/>
    <w:rsid w:val="000C0088"/>
    <w:rsid w:val="000C008B"/>
    <w:rsid w:val="000C0133"/>
    <w:rsid w:val="000C0137"/>
    <w:rsid w:val="000C0176"/>
    <w:rsid w:val="000C01D1"/>
    <w:rsid w:val="000C01E2"/>
    <w:rsid w:val="000C01F9"/>
    <w:rsid w:val="000C0288"/>
    <w:rsid w:val="000C02AC"/>
    <w:rsid w:val="000C0346"/>
    <w:rsid w:val="000C0353"/>
    <w:rsid w:val="000C0369"/>
    <w:rsid w:val="000C04F7"/>
    <w:rsid w:val="000C057B"/>
    <w:rsid w:val="000C05CD"/>
    <w:rsid w:val="000C05F6"/>
    <w:rsid w:val="000C069D"/>
    <w:rsid w:val="000C0834"/>
    <w:rsid w:val="000C0870"/>
    <w:rsid w:val="000C08B3"/>
    <w:rsid w:val="000C08CC"/>
    <w:rsid w:val="000C09CC"/>
    <w:rsid w:val="000C0A23"/>
    <w:rsid w:val="000C0AA9"/>
    <w:rsid w:val="000C0AB2"/>
    <w:rsid w:val="000C0B0D"/>
    <w:rsid w:val="000C0B2B"/>
    <w:rsid w:val="000C0B37"/>
    <w:rsid w:val="000C0C01"/>
    <w:rsid w:val="000C0C9B"/>
    <w:rsid w:val="000C0D43"/>
    <w:rsid w:val="000C0DC1"/>
    <w:rsid w:val="000C0E04"/>
    <w:rsid w:val="000C0E41"/>
    <w:rsid w:val="000C0FA7"/>
    <w:rsid w:val="000C0FEF"/>
    <w:rsid w:val="000C106B"/>
    <w:rsid w:val="000C1103"/>
    <w:rsid w:val="000C11E2"/>
    <w:rsid w:val="000C124E"/>
    <w:rsid w:val="000C124F"/>
    <w:rsid w:val="000C1270"/>
    <w:rsid w:val="000C12AE"/>
    <w:rsid w:val="000C12DA"/>
    <w:rsid w:val="000C1305"/>
    <w:rsid w:val="000C1362"/>
    <w:rsid w:val="000C136A"/>
    <w:rsid w:val="000C13C0"/>
    <w:rsid w:val="000C13C4"/>
    <w:rsid w:val="000C13F0"/>
    <w:rsid w:val="000C1506"/>
    <w:rsid w:val="000C151E"/>
    <w:rsid w:val="000C1527"/>
    <w:rsid w:val="000C15BD"/>
    <w:rsid w:val="000C15CB"/>
    <w:rsid w:val="000C1630"/>
    <w:rsid w:val="000C1657"/>
    <w:rsid w:val="000C167D"/>
    <w:rsid w:val="000C16A2"/>
    <w:rsid w:val="000C16D0"/>
    <w:rsid w:val="000C1714"/>
    <w:rsid w:val="000C17C4"/>
    <w:rsid w:val="000C17D7"/>
    <w:rsid w:val="000C194B"/>
    <w:rsid w:val="000C1A55"/>
    <w:rsid w:val="000C1B4F"/>
    <w:rsid w:val="000C1BB6"/>
    <w:rsid w:val="000C1BC1"/>
    <w:rsid w:val="000C1C8B"/>
    <w:rsid w:val="000C1CBA"/>
    <w:rsid w:val="000C1CE3"/>
    <w:rsid w:val="000C1EBD"/>
    <w:rsid w:val="000C1F12"/>
    <w:rsid w:val="000C1F69"/>
    <w:rsid w:val="000C1FC2"/>
    <w:rsid w:val="000C2127"/>
    <w:rsid w:val="000C2137"/>
    <w:rsid w:val="000C21B5"/>
    <w:rsid w:val="000C21C0"/>
    <w:rsid w:val="000C21C6"/>
    <w:rsid w:val="000C21C7"/>
    <w:rsid w:val="000C21C8"/>
    <w:rsid w:val="000C2202"/>
    <w:rsid w:val="000C229A"/>
    <w:rsid w:val="000C2318"/>
    <w:rsid w:val="000C233D"/>
    <w:rsid w:val="000C237D"/>
    <w:rsid w:val="000C2383"/>
    <w:rsid w:val="000C239E"/>
    <w:rsid w:val="000C23F4"/>
    <w:rsid w:val="000C2416"/>
    <w:rsid w:val="000C2515"/>
    <w:rsid w:val="000C258C"/>
    <w:rsid w:val="000C25A4"/>
    <w:rsid w:val="000C2611"/>
    <w:rsid w:val="000C2616"/>
    <w:rsid w:val="000C262F"/>
    <w:rsid w:val="000C2636"/>
    <w:rsid w:val="000C2658"/>
    <w:rsid w:val="000C267C"/>
    <w:rsid w:val="000C26D5"/>
    <w:rsid w:val="000C26E8"/>
    <w:rsid w:val="000C2765"/>
    <w:rsid w:val="000C27AA"/>
    <w:rsid w:val="000C27C2"/>
    <w:rsid w:val="000C27D0"/>
    <w:rsid w:val="000C27DF"/>
    <w:rsid w:val="000C2829"/>
    <w:rsid w:val="000C284C"/>
    <w:rsid w:val="000C28BA"/>
    <w:rsid w:val="000C2916"/>
    <w:rsid w:val="000C2927"/>
    <w:rsid w:val="000C2A8A"/>
    <w:rsid w:val="000C2AB9"/>
    <w:rsid w:val="000C2AEF"/>
    <w:rsid w:val="000C2B70"/>
    <w:rsid w:val="000C2BC7"/>
    <w:rsid w:val="000C2BE9"/>
    <w:rsid w:val="000C2C04"/>
    <w:rsid w:val="000C2C23"/>
    <w:rsid w:val="000C2CA4"/>
    <w:rsid w:val="000C2D29"/>
    <w:rsid w:val="000C2DD1"/>
    <w:rsid w:val="000C2E11"/>
    <w:rsid w:val="000C2E70"/>
    <w:rsid w:val="000C2F69"/>
    <w:rsid w:val="000C30E1"/>
    <w:rsid w:val="000C310E"/>
    <w:rsid w:val="000C316E"/>
    <w:rsid w:val="000C31D0"/>
    <w:rsid w:val="000C31F6"/>
    <w:rsid w:val="000C3396"/>
    <w:rsid w:val="000C340B"/>
    <w:rsid w:val="000C342F"/>
    <w:rsid w:val="000C3457"/>
    <w:rsid w:val="000C34BC"/>
    <w:rsid w:val="000C34D5"/>
    <w:rsid w:val="000C34E2"/>
    <w:rsid w:val="000C34EA"/>
    <w:rsid w:val="000C3513"/>
    <w:rsid w:val="000C3574"/>
    <w:rsid w:val="000C3596"/>
    <w:rsid w:val="000C35EB"/>
    <w:rsid w:val="000C35F6"/>
    <w:rsid w:val="000C3690"/>
    <w:rsid w:val="000C36D3"/>
    <w:rsid w:val="000C376D"/>
    <w:rsid w:val="000C3774"/>
    <w:rsid w:val="000C37E2"/>
    <w:rsid w:val="000C3898"/>
    <w:rsid w:val="000C38AF"/>
    <w:rsid w:val="000C38B2"/>
    <w:rsid w:val="000C3908"/>
    <w:rsid w:val="000C397E"/>
    <w:rsid w:val="000C3A25"/>
    <w:rsid w:val="000C3B1D"/>
    <w:rsid w:val="000C3B60"/>
    <w:rsid w:val="000C3B88"/>
    <w:rsid w:val="000C3B90"/>
    <w:rsid w:val="000C3BD4"/>
    <w:rsid w:val="000C3C50"/>
    <w:rsid w:val="000C3C64"/>
    <w:rsid w:val="000C3CA3"/>
    <w:rsid w:val="000C3D21"/>
    <w:rsid w:val="000C3D23"/>
    <w:rsid w:val="000C3DA2"/>
    <w:rsid w:val="000C3DAD"/>
    <w:rsid w:val="000C3F46"/>
    <w:rsid w:val="000C3F6C"/>
    <w:rsid w:val="000C3FDE"/>
    <w:rsid w:val="000C3FF9"/>
    <w:rsid w:val="000C4125"/>
    <w:rsid w:val="000C416C"/>
    <w:rsid w:val="000C4223"/>
    <w:rsid w:val="000C4260"/>
    <w:rsid w:val="000C42B7"/>
    <w:rsid w:val="000C42BC"/>
    <w:rsid w:val="000C4342"/>
    <w:rsid w:val="000C43AE"/>
    <w:rsid w:val="000C43E4"/>
    <w:rsid w:val="000C44C7"/>
    <w:rsid w:val="000C44FF"/>
    <w:rsid w:val="000C4548"/>
    <w:rsid w:val="000C45C2"/>
    <w:rsid w:val="000C4646"/>
    <w:rsid w:val="000C4649"/>
    <w:rsid w:val="000C47AA"/>
    <w:rsid w:val="000C486E"/>
    <w:rsid w:val="000C4967"/>
    <w:rsid w:val="000C49B0"/>
    <w:rsid w:val="000C49EA"/>
    <w:rsid w:val="000C4A61"/>
    <w:rsid w:val="000C4AC6"/>
    <w:rsid w:val="000C4AE2"/>
    <w:rsid w:val="000C4B13"/>
    <w:rsid w:val="000C4B64"/>
    <w:rsid w:val="000C4C87"/>
    <w:rsid w:val="000C4CDD"/>
    <w:rsid w:val="000C4CF8"/>
    <w:rsid w:val="000C4D94"/>
    <w:rsid w:val="000C4E90"/>
    <w:rsid w:val="000C4F21"/>
    <w:rsid w:val="000C4F6F"/>
    <w:rsid w:val="000C5093"/>
    <w:rsid w:val="000C5107"/>
    <w:rsid w:val="000C5115"/>
    <w:rsid w:val="000C51FC"/>
    <w:rsid w:val="000C5293"/>
    <w:rsid w:val="000C52D5"/>
    <w:rsid w:val="000C52DB"/>
    <w:rsid w:val="000C52F4"/>
    <w:rsid w:val="000C533B"/>
    <w:rsid w:val="000C5499"/>
    <w:rsid w:val="000C5522"/>
    <w:rsid w:val="000C553F"/>
    <w:rsid w:val="000C5572"/>
    <w:rsid w:val="000C5615"/>
    <w:rsid w:val="000C5652"/>
    <w:rsid w:val="000C565F"/>
    <w:rsid w:val="000C5662"/>
    <w:rsid w:val="000C56A9"/>
    <w:rsid w:val="000C583C"/>
    <w:rsid w:val="000C5866"/>
    <w:rsid w:val="000C5970"/>
    <w:rsid w:val="000C5989"/>
    <w:rsid w:val="000C599B"/>
    <w:rsid w:val="000C59FB"/>
    <w:rsid w:val="000C5B09"/>
    <w:rsid w:val="000C5B34"/>
    <w:rsid w:val="000C5B64"/>
    <w:rsid w:val="000C5B78"/>
    <w:rsid w:val="000C5BCB"/>
    <w:rsid w:val="000C5BFB"/>
    <w:rsid w:val="000C5BFC"/>
    <w:rsid w:val="000C5C5F"/>
    <w:rsid w:val="000C5D83"/>
    <w:rsid w:val="000C5D8C"/>
    <w:rsid w:val="000C5D9C"/>
    <w:rsid w:val="000C5F11"/>
    <w:rsid w:val="000C5F9B"/>
    <w:rsid w:val="000C5FB4"/>
    <w:rsid w:val="000C5FB6"/>
    <w:rsid w:val="000C5FBB"/>
    <w:rsid w:val="000C5FE1"/>
    <w:rsid w:val="000C602C"/>
    <w:rsid w:val="000C608E"/>
    <w:rsid w:val="000C60E5"/>
    <w:rsid w:val="000C6186"/>
    <w:rsid w:val="000C61E6"/>
    <w:rsid w:val="000C6251"/>
    <w:rsid w:val="000C630A"/>
    <w:rsid w:val="000C6353"/>
    <w:rsid w:val="000C6358"/>
    <w:rsid w:val="000C6368"/>
    <w:rsid w:val="000C639B"/>
    <w:rsid w:val="000C640B"/>
    <w:rsid w:val="000C645C"/>
    <w:rsid w:val="000C64EC"/>
    <w:rsid w:val="000C6530"/>
    <w:rsid w:val="000C6549"/>
    <w:rsid w:val="000C65A6"/>
    <w:rsid w:val="000C6681"/>
    <w:rsid w:val="000C66C7"/>
    <w:rsid w:val="000C6940"/>
    <w:rsid w:val="000C6AB4"/>
    <w:rsid w:val="000C6B06"/>
    <w:rsid w:val="000C6B1B"/>
    <w:rsid w:val="000C6B77"/>
    <w:rsid w:val="000C6BB7"/>
    <w:rsid w:val="000C6C33"/>
    <w:rsid w:val="000C6C44"/>
    <w:rsid w:val="000C6C89"/>
    <w:rsid w:val="000C6D15"/>
    <w:rsid w:val="000C6D2E"/>
    <w:rsid w:val="000C6D4D"/>
    <w:rsid w:val="000C6D9D"/>
    <w:rsid w:val="000C6DE5"/>
    <w:rsid w:val="000C6E4E"/>
    <w:rsid w:val="000C6EBE"/>
    <w:rsid w:val="000C6EED"/>
    <w:rsid w:val="000C6FB0"/>
    <w:rsid w:val="000C7006"/>
    <w:rsid w:val="000C701C"/>
    <w:rsid w:val="000C7051"/>
    <w:rsid w:val="000C7172"/>
    <w:rsid w:val="000C71BC"/>
    <w:rsid w:val="000C71CD"/>
    <w:rsid w:val="000C71D6"/>
    <w:rsid w:val="000C7225"/>
    <w:rsid w:val="000C72CE"/>
    <w:rsid w:val="000C72E4"/>
    <w:rsid w:val="000C72EB"/>
    <w:rsid w:val="000C72F7"/>
    <w:rsid w:val="000C72FC"/>
    <w:rsid w:val="000C731D"/>
    <w:rsid w:val="000C7326"/>
    <w:rsid w:val="000C7330"/>
    <w:rsid w:val="000C742A"/>
    <w:rsid w:val="000C747A"/>
    <w:rsid w:val="000C74BF"/>
    <w:rsid w:val="000C756E"/>
    <w:rsid w:val="000C75B6"/>
    <w:rsid w:val="000C76A9"/>
    <w:rsid w:val="000C76BE"/>
    <w:rsid w:val="000C76EB"/>
    <w:rsid w:val="000C76F0"/>
    <w:rsid w:val="000C77EA"/>
    <w:rsid w:val="000C7843"/>
    <w:rsid w:val="000C791C"/>
    <w:rsid w:val="000C79E5"/>
    <w:rsid w:val="000C7A2F"/>
    <w:rsid w:val="000C7A43"/>
    <w:rsid w:val="000C7A83"/>
    <w:rsid w:val="000C7B8E"/>
    <w:rsid w:val="000C7BA3"/>
    <w:rsid w:val="000C7BB8"/>
    <w:rsid w:val="000C7BF1"/>
    <w:rsid w:val="000C7C3D"/>
    <w:rsid w:val="000C7C9F"/>
    <w:rsid w:val="000C7D01"/>
    <w:rsid w:val="000C7D38"/>
    <w:rsid w:val="000C7D5F"/>
    <w:rsid w:val="000C7DC0"/>
    <w:rsid w:val="000C7E4B"/>
    <w:rsid w:val="000C7EC6"/>
    <w:rsid w:val="000C7EDB"/>
    <w:rsid w:val="000C7F93"/>
    <w:rsid w:val="000D0109"/>
    <w:rsid w:val="000D0119"/>
    <w:rsid w:val="000D0178"/>
    <w:rsid w:val="000D01C3"/>
    <w:rsid w:val="000D021A"/>
    <w:rsid w:val="000D0226"/>
    <w:rsid w:val="000D025A"/>
    <w:rsid w:val="000D029B"/>
    <w:rsid w:val="000D02D7"/>
    <w:rsid w:val="000D0360"/>
    <w:rsid w:val="000D03A7"/>
    <w:rsid w:val="000D04AA"/>
    <w:rsid w:val="000D04B4"/>
    <w:rsid w:val="000D04D0"/>
    <w:rsid w:val="000D0580"/>
    <w:rsid w:val="000D0583"/>
    <w:rsid w:val="000D05BD"/>
    <w:rsid w:val="000D05F2"/>
    <w:rsid w:val="000D062D"/>
    <w:rsid w:val="000D0665"/>
    <w:rsid w:val="000D06DB"/>
    <w:rsid w:val="000D06E6"/>
    <w:rsid w:val="000D070E"/>
    <w:rsid w:val="000D0778"/>
    <w:rsid w:val="000D0779"/>
    <w:rsid w:val="000D07B3"/>
    <w:rsid w:val="000D0814"/>
    <w:rsid w:val="000D0864"/>
    <w:rsid w:val="000D088A"/>
    <w:rsid w:val="000D08BA"/>
    <w:rsid w:val="000D091C"/>
    <w:rsid w:val="000D0937"/>
    <w:rsid w:val="000D094D"/>
    <w:rsid w:val="000D0969"/>
    <w:rsid w:val="000D0A15"/>
    <w:rsid w:val="000D0A46"/>
    <w:rsid w:val="000D0ADD"/>
    <w:rsid w:val="000D0B7F"/>
    <w:rsid w:val="000D0C7D"/>
    <w:rsid w:val="000D0CDB"/>
    <w:rsid w:val="000D0E14"/>
    <w:rsid w:val="000D0E47"/>
    <w:rsid w:val="000D0E57"/>
    <w:rsid w:val="000D0E86"/>
    <w:rsid w:val="000D0EFE"/>
    <w:rsid w:val="000D0F31"/>
    <w:rsid w:val="000D0F92"/>
    <w:rsid w:val="000D1010"/>
    <w:rsid w:val="000D110E"/>
    <w:rsid w:val="000D1119"/>
    <w:rsid w:val="000D1160"/>
    <w:rsid w:val="000D11CA"/>
    <w:rsid w:val="000D11DD"/>
    <w:rsid w:val="000D11F3"/>
    <w:rsid w:val="000D1215"/>
    <w:rsid w:val="000D1264"/>
    <w:rsid w:val="000D13BF"/>
    <w:rsid w:val="000D13D6"/>
    <w:rsid w:val="000D1462"/>
    <w:rsid w:val="000D156E"/>
    <w:rsid w:val="000D1574"/>
    <w:rsid w:val="000D15D1"/>
    <w:rsid w:val="000D1650"/>
    <w:rsid w:val="000D1654"/>
    <w:rsid w:val="000D166A"/>
    <w:rsid w:val="000D1676"/>
    <w:rsid w:val="000D171C"/>
    <w:rsid w:val="000D177E"/>
    <w:rsid w:val="000D182F"/>
    <w:rsid w:val="000D18B9"/>
    <w:rsid w:val="000D18E9"/>
    <w:rsid w:val="000D195B"/>
    <w:rsid w:val="000D1A27"/>
    <w:rsid w:val="000D1A34"/>
    <w:rsid w:val="000D1A3C"/>
    <w:rsid w:val="000D1A85"/>
    <w:rsid w:val="000D1B02"/>
    <w:rsid w:val="000D1B63"/>
    <w:rsid w:val="000D1BCE"/>
    <w:rsid w:val="000D1BD3"/>
    <w:rsid w:val="000D1C68"/>
    <w:rsid w:val="000D1D2B"/>
    <w:rsid w:val="000D1D51"/>
    <w:rsid w:val="000D1E4F"/>
    <w:rsid w:val="000D1E67"/>
    <w:rsid w:val="000D1E83"/>
    <w:rsid w:val="000D1E8B"/>
    <w:rsid w:val="000D1EB6"/>
    <w:rsid w:val="000D1FED"/>
    <w:rsid w:val="000D2017"/>
    <w:rsid w:val="000D2068"/>
    <w:rsid w:val="000D2102"/>
    <w:rsid w:val="000D21EB"/>
    <w:rsid w:val="000D22B7"/>
    <w:rsid w:val="000D2306"/>
    <w:rsid w:val="000D2360"/>
    <w:rsid w:val="000D2375"/>
    <w:rsid w:val="000D238A"/>
    <w:rsid w:val="000D23E4"/>
    <w:rsid w:val="000D2464"/>
    <w:rsid w:val="000D24A4"/>
    <w:rsid w:val="000D25B0"/>
    <w:rsid w:val="000D2642"/>
    <w:rsid w:val="000D2655"/>
    <w:rsid w:val="000D267F"/>
    <w:rsid w:val="000D26C4"/>
    <w:rsid w:val="000D26EC"/>
    <w:rsid w:val="000D2737"/>
    <w:rsid w:val="000D2847"/>
    <w:rsid w:val="000D2869"/>
    <w:rsid w:val="000D2877"/>
    <w:rsid w:val="000D28BD"/>
    <w:rsid w:val="000D28F6"/>
    <w:rsid w:val="000D2914"/>
    <w:rsid w:val="000D29B5"/>
    <w:rsid w:val="000D2A07"/>
    <w:rsid w:val="000D2A12"/>
    <w:rsid w:val="000D2A2B"/>
    <w:rsid w:val="000D2A6F"/>
    <w:rsid w:val="000D2A9A"/>
    <w:rsid w:val="000D2AAE"/>
    <w:rsid w:val="000D2AC8"/>
    <w:rsid w:val="000D2B6B"/>
    <w:rsid w:val="000D2B71"/>
    <w:rsid w:val="000D2BF9"/>
    <w:rsid w:val="000D2EBD"/>
    <w:rsid w:val="000D2EC4"/>
    <w:rsid w:val="000D2F8D"/>
    <w:rsid w:val="000D301C"/>
    <w:rsid w:val="000D303E"/>
    <w:rsid w:val="000D30F8"/>
    <w:rsid w:val="000D319E"/>
    <w:rsid w:val="000D31CB"/>
    <w:rsid w:val="000D3207"/>
    <w:rsid w:val="000D3300"/>
    <w:rsid w:val="000D3341"/>
    <w:rsid w:val="000D33F6"/>
    <w:rsid w:val="000D3411"/>
    <w:rsid w:val="000D3424"/>
    <w:rsid w:val="000D3459"/>
    <w:rsid w:val="000D346C"/>
    <w:rsid w:val="000D34CD"/>
    <w:rsid w:val="000D34FA"/>
    <w:rsid w:val="000D361F"/>
    <w:rsid w:val="000D36E3"/>
    <w:rsid w:val="000D37C5"/>
    <w:rsid w:val="000D3839"/>
    <w:rsid w:val="000D3939"/>
    <w:rsid w:val="000D39B6"/>
    <w:rsid w:val="000D39C1"/>
    <w:rsid w:val="000D3A81"/>
    <w:rsid w:val="000D3B22"/>
    <w:rsid w:val="000D3B88"/>
    <w:rsid w:val="000D3B89"/>
    <w:rsid w:val="000D3C49"/>
    <w:rsid w:val="000D3C58"/>
    <w:rsid w:val="000D3DF4"/>
    <w:rsid w:val="000D3E12"/>
    <w:rsid w:val="000D3E19"/>
    <w:rsid w:val="000D3E34"/>
    <w:rsid w:val="000D3ECC"/>
    <w:rsid w:val="000D3F14"/>
    <w:rsid w:val="000D3FC3"/>
    <w:rsid w:val="000D402F"/>
    <w:rsid w:val="000D4036"/>
    <w:rsid w:val="000D4090"/>
    <w:rsid w:val="000D41EB"/>
    <w:rsid w:val="000D421A"/>
    <w:rsid w:val="000D4229"/>
    <w:rsid w:val="000D424E"/>
    <w:rsid w:val="000D4253"/>
    <w:rsid w:val="000D4288"/>
    <w:rsid w:val="000D42C6"/>
    <w:rsid w:val="000D4319"/>
    <w:rsid w:val="000D4362"/>
    <w:rsid w:val="000D43ED"/>
    <w:rsid w:val="000D4412"/>
    <w:rsid w:val="000D4418"/>
    <w:rsid w:val="000D4421"/>
    <w:rsid w:val="000D450D"/>
    <w:rsid w:val="000D45A1"/>
    <w:rsid w:val="000D4654"/>
    <w:rsid w:val="000D4665"/>
    <w:rsid w:val="000D46C3"/>
    <w:rsid w:val="000D4732"/>
    <w:rsid w:val="000D47D8"/>
    <w:rsid w:val="000D47E3"/>
    <w:rsid w:val="000D47ED"/>
    <w:rsid w:val="000D482E"/>
    <w:rsid w:val="000D486D"/>
    <w:rsid w:val="000D4A07"/>
    <w:rsid w:val="000D4A39"/>
    <w:rsid w:val="000D4A50"/>
    <w:rsid w:val="000D4A67"/>
    <w:rsid w:val="000D4B4D"/>
    <w:rsid w:val="000D4BB3"/>
    <w:rsid w:val="000D4BC8"/>
    <w:rsid w:val="000D4C10"/>
    <w:rsid w:val="000D4CA2"/>
    <w:rsid w:val="000D4CF9"/>
    <w:rsid w:val="000D4D06"/>
    <w:rsid w:val="000D4D0C"/>
    <w:rsid w:val="000D4E43"/>
    <w:rsid w:val="000D4EB8"/>
    <w:rsid w:val="000D4EDA"/>
    <w:rsid w:val="000D4EE8"/>
    <w:rsid w:val="000D4EEC"/>
    <w:rsid w:val="000D4EEF"/>
    <w:rsid w:val="000D4F75"/>
    <w:rsid w:val="000D50F5"/>
    <w:rsid w:val="000D5130"/>
    <w:rsid w:val="000D5157"/>
    <w:rsid w:val="000D518C"/>
    <w:rsid w:val="000D51D4"/>
    <w:rsid w:val="000D5206"/>
    <w:rsid w:val="000D5211"/>
    <w:rsid w:val="000D525E"/>
    <w:rsid w:val="000D5286"/>
    <w:rsid w:val="000D5299"/>
    <w:rsid w:val="000D5316"/>
    <w:rsid w:val="000D5331"/>
    <w:rsid w:val="000D5390"/>
    <w:rsid w:val="000D5404"/>
    <w:rsid w:val="000D54AC"/>
    <w:rsid w:val="000D55A5"/>
    <w:rsid w:val="000D564D"/>
    <w:rsid w:val="000D565A"/>
    <w:rsid w:val="000D566C"/>
    <w:rsid w:val="000D56B8"/>
    <w:rsid w:val="000D5706"/>
    <w:rsid w:val="000D574D"/>
    <w:rsid w:val="000D5770"/>
    <w:rsid w:val="000D590B"/>
    <w:rsid w:val="000D5925"/>
    <w:rsid w:val="000D5928"/>
    <w:rsid w:val="000D5983"/>
    <w:rsid w:val="000D59A4"/>
    <w:rsid w:val="000D59D5"/>
    <w:rsid w:val="000D5A47"/>
    <w:rsid w:val="000D5A60"/>
    <w:rsid w:val="000D5A8C"/>
    <w:rsid w:val="000D5B88"/>
    <w:rsid w:val="000D5BE3"/>
    <w:rsid w:val="000D5C87"/>
    <w:rsid w:val="000D5CD9"/>
    <w:rsid w:val="000D5CE8"/>
    <w:rsid w:val="000D5D77"/>
    <w:rsid w:val="000D5D80"/>
    <w:rsid w:val="000D5D89"/>
    <w:rsid w:val="000D5E0A"/>
    <w:rsid w:val="000D5E82"/>
    <w:rsid w:val="000D6045"/>
    <w:rsid w:val="000D6087"/>
    <w:rsid w:val="000D608C"/>
    <w:rsid w:val="000D6098"/>
    <w:rsid w:val="000D60A9"/>
    <w:rsid w:val="000D6195"/>
    <w:rsid w:val="000D6216"/>
    <w:rsid w:val="000D631D"/>
    <w:rsid w:val="000D63A7"/>
    <w:rsid w:val="000D6432"/>
    <w:rsid w:val="000D657E"/>
    <w:rsid w:val="000D6591"/>
    <w:rsid w:val="000D65CD"/>
    <w:rsid w:val="000D65D3"/>
    <w:rsid w:val="000D6687"/>
    <w:rsid w:val="000D670B"/>
    <w:rsid w:val="000D6772"/>
    <w:rsid w:val="000D679F"/>
    <w:rsid w:val="000D686A"/>
    <w:rsid w:val="000D68F4"/>
    <w:rsid w:val="000D695B"/>
    <w:rsid w:val="000D6985"/>
    <w:rsid w:val="000D6A3D"/>
    <w:rsid w:val="000D6BF6"/>
    <w:rsid w:val="000D6C6B"/>
    <w:rsid w:val="000D6C8F"/>
    <w:rsid w:val="000D6D67"/>
    <w:rsid w:val="000D6E3C"/>
    <w:rsid w:val="000D6EA3"/>
    <w:rsid w:val="000D6EEB"/>
    <w:rsid w:val="000D6EF7"/>
    <w:rsid w:val="000D6F26"/>
    <w:rsid w:val="000D6FD4"/>
    <w:rsid w:val="000D6FDA"/>
    <w:rsid w:val="000D6FE1"/>
    <w:rsid w:val="000D6FE9"/>
    <w:rsid w:val="000D7065"/>
    <w:rsid w:val="000D709C"/>
    <w:rsid w:val="000D70AA"/>
    <w:rsid w:val="000D70B1"/>
    <w:rsid w:val="000D70BE"/>
    <w:rsid w:val="000D71E9"/>
    <w:rsid w:val="000D7301"/>
    <w:rsid w:val="000D736B"/>
    <w:rsid w:val="000D7405"/>
    <w:rsid w:val="000D7424"/>
    <w:rsid w:val="000D7427"/>
    <w:rsid w:val="000D7465"/>
    <w:rsid w:val="000D748A"/>
    <w:rsid w:val="000D7579"/>
    <w:rsid w:val="000D757C"/>
    <w:rsid w:val="000D75D8"/>
    <w:rsid w:val="000D76A9"/>
    <w:rsid w:val="000D7708"/>
    <w:rsid w:val="000D7727"/>
    <w:rsid w:val="000D7746"/>
    <w:rsid w:val="000D775C"/>
    <w:rsid w:val="000D777F"/>
    <w:rsid w:val="000D77BD"/>
    <w:rsid w:val="000D7813"/>
    <w:rsid w:val="000D7835"/>
    <w:rsid w:val="000D7898"/>
    <w:rsid w:val="000D78AF"/>
    <w:rsid w:val="000D78D9"/>
    <w:rsid w:val="000D790D"/>
    <w:rsid w:val="000D7A5C"/>
    <w:rsid w:val="000D7AEE"/>
    <w:rsid w:val="000D7B3A"/>
    <w:rsid w:val="000D7B63"/>
    <w:rsid w:val="000D7B81"/>
    <w:rsid w:val="000D7BA1"/>
    <w:rsid w:val="000D7BF0"/>
    <w:rsid w:val="000D7C17"/>
    <w:rsid w:val="000D7CE4"/>
    <w:rsid w:val="000D7D5A"/>
    <w:rsid w:val="000D7D85"/>
    <w:rsid w:val="000D7DF4"/>
    <w:rsid w:val="000D7E59"/>
    <w:rsid w:val="000D7E5E"/>
    <w:rsid w:val="000D7E94"/>
    <w:rsid w:val="000D7F96"/>
    <w:rsid w:val="000E005B"/>
    <w:rsid w:val="000E01CA"/>
    <w:rsid w:val="000E01FA"/>
    <w:rsid w:val="000E0241"/>
    <w:rsid w:val="000E026D"/>
    <w:rsid w:val="000E027D"/>
    <w:rsid w:val="000E02A4"/>
    <w:rsid w:val="000E02DD"/>
    <w:rsid w:val="000E02EE"/>
    <w:rsid w:val="000E030E"/>
    <w:rsid w:val="000E032D"/>
    <w:rsid w:val="000E0333"/>
    <w:rsid w:val="000E0352"/>
    <w:rsid w:val="000E036D"/>
    <w:rsid w:val="000E03F6"/>
    <w:rsid w:val="000E041D"/>
    <w:rsid w:val="000E051A"/>
    <w:rsid w:val="000E056F"/>
    <w:rsid w:val="000E067A"/>
    <w:rsid w:val="000E06D5"/>
    <w:rsid w:val="000E071E"/>
    <w:rsid w:val="000E0858"/>
    <w:rsid w:val="000E0865"/>
    <w:rsid w:val="000E088C"/>
    <w:rsid w:val="000E0950"/>
    <w:rsid w:val="000E097B"/>
    <w:rsid w:val="000E09AC"/>
    <w:rsid w:val="000E09B2"/>
    <w:rsid w:val="000E0AE6"/>
    <w:rsid w:val="000E0B11"/>
    <w:rsid w:val="000E0B75"/>
    <w:rsid w:val="000E0B83"/>
    <w:rsid w:val="000E0B8E"/>
    <w:rsid w:val="000E0C2E"/>
    <w:rsid w:val="000E0CE8"/>
    <w:rsid w:val="000E0D17"/>
    <w:rsid w:val="000E0D4F"/>
    <w:rsid w:val="000E0D9B"/>
    <w:rsid w:val="000E0DBD"/>
    <w:rsid w:val="000E0DDE"/>
    <w:rsid w:val="000E0DDF"/>
    <w:rsid w:val="000E0ECF"/>
    <w:rsid w:val="000E0F70"/>
    <w:rsid w:val="000E0FF5"/>
    <w:rsid w:val="000E118F"/>
    <w:rsid w:val="000E11EC"/>
    <w:rsid w:val="000E120A"/>
    <w:rsid w:val="000E12C9"/>
    <w:rsid w:val="000E133B"/>
    <w:rsid w:val="000E1354"/>
    <w:rsid w:val="000E1427"/>
    <w:rsid w:val="000E148E"/>
    <w:rsid w:val="000E14F6"/>
    <w:rsid w:val="000E1588"/>
    <w:rsid w:val="000E15DB"/>
    <w:rsid w:val="000E16B0"/>
    <w:rsid w:val="000E16F0"/>
    <w:rsid w:val="000E16F4"/>
    <w:rsid w:val="000E17AE"/>
    <w:rsid w:val="000E17B3"/>
    <w:rsid w:val="000E17E8"/>
    <w:rsid w:val="000E1880"/>
    <w:rsid w:val="000E1921"/>
    <w:rsid w:val="000E194A"/>
    <w:rsid w:val="000E1960"/>
    <w:rsid w:val="000E19A5"/>
    <w:rsid w:val="000E1A3A"/>
    <w:rsid w:val="000E1A47"/>
    <w:rsid w:val="000E1A59"/>
    <w:rsid w:val="000E1ABA"/>
    <w:rsid w:val="000E1B47"/>
    <w:rsid w:val="000E1B49"/>
    <w:rsid w:val="000E1C40"/>
    <w:rsid w:val="000E1C57"/>
    <w:rsid w:val="000E1CB1"/>
    <w:rsid w:val="000E1CB7"/>
    <w:rsid w:val="000E1CEB"/>
    <w:rsid w:val="000E1D69"/>
    <w:rsid w:val="000E1D84"/>
    <w:rsid w:val="000E1E03"/>
    <w:rsid w:val="000E1E23"/>
    <w:rsid w:val="000E1E86"/>
    <w:rsid w:val="000E1EE1"/>
    <w:rsid w:val="000E1FE4"/>
    <w:rsid w:val="000E1FE7"/>
    <w:rsid w:val="000E201A"/>
    <w:rsid w:val="000E20B3"/>
    <w:rsid w:val="000E210E"/>
    <w:rsid w:val="000E2114"/>
    <w:rsid w:val="000E21CC"/>
    <w:rsid w:val="000E21FA"/>
    <w:rsid w:val="000E221A"/>
    <w:rsid w:val="000E2236"/>
    <w:rsid w:val="000E2285"/>
    <w:rsid w:val="000E2294"/>
    <w:rsid w:val="000E22C7"/>
    <w:rsid w:val="000E22CF"/>
    <w:rsid w:val="000E23F7"/>
    <w:rsid w:val="000E240B"/>
    <w:rsid w:val="000E2480"/>
    <w:rsid w:val="000E24B7"/>
    <w:rsid w:val="000E258B"/>
    <w:rsid w:val="000E25C5"/>
    <w:rsid w:val="000E2600"/>
    <w:rsid w:val="000E2637"/>
    <w:rsid w:val="000E265B"/>
    <w:rsid w:val="000E265F"/>
    <w:rsid w:val="000E2696"/>
    <w:rsid w:val="000E26BC"/>
    <w:rsid w:val="000E2704"/>
    <w:rsid w:val="000E2738"/>
    <w:rsid w:val="000E2795"/>
    <w:rsid w:val="000E27BA"/>
    <w:rsid w:val="000E2810"/>
    <w:rsid w:val="000E287C"/>
    <w:rsid w:val="000E2892"/>
    <w:rsid w:val="000E2934"/>
    <w:rsid w:val="000E296D"/>
    <w:rsid w:val="000E2975"/>
    <w:rsid w:val="000E29B5"/>
    <w:rsid w:val="000E29D9"/>
    <w:rsid w:val="000E2A14"/>
    <w:rsid w:val="000E2A32"/>
    <w:rsid w:val="000E2A37"/>
    <w:rsid w:val="000E2A51"/>
    <w:rsid w:val="000E2A53"/>
    <w:rsid w:val="000E2A55"/>
    <w:rsid w:val="000E2AAD"/>
    <w:rsid w:val="000E2AFF"/>
    <w:rsid w:val="000E2C13"/>
    <w:rsid w:val="000E2C26"/>
    <w:rsid w:val="000E2C67"/>
    <w:rsid w:val="000E2CA9"/>
    <w:rsid w:val="000E2D27"/>
    <w:rsid w:val="000E2D87"/>
    <w:rsid w:val="000E2DD1"/>
    <w:rsid w:val="000E2EE9"/>
    <w:rsid w:val="000E3097"/>
    <w:rsid w:val="000E309D"/>
    <w:rsid w:val="000E30AF"/>
    <w:rsid w:val="000E30DA"/>
    <w:rsid w:val="000E3119"/>
    <w:rsid w:val="000E3135"/>
    <w:rsid w:val="000E316D"/>
    <w:rsid w:val="000E317B"/>
    <w:rsid w:val="000E3222"/>
    <w:rsid w:val="000E3236"/>
    <w:rsid w:val="000E329C"/>
    <w:rsid w:val="000E32FD"/>
    <w:rsid w:val="000E3376"/>
    <w:rsid w:val="000E339E"/>
    <w:rsid w:val="000E33A3"/>
    <w:rsid w:val="000E33B9"/>
    <w:rsid w:val="000E347E"/>
    <w:rsid w:val="000E3487"/>
    <w:rsid w:val="000E348C"/>
    <w:rsid w:val="000E34FE"/>
    <w:rsid w:val="000E3506"/>
    <w:rsid w:val="000E3535"/>
    <w:rsid w:val="000E3661"/>
    <w:rsid w:val="000E36D0"/>
    <w:rsid w:val="000E374F"/>
    <w:rsid w:val="000E37E4"/>
    <w:rsid w:val="000E386C"/>
    <w:rsid w:val="000E3899"/>
    <w:rsid w:val="000E389D"/>
    <w:rsid w:val="000E38DB"/>
    <w:rsid w:val="000E39CA"/>
    <w:rsid w:val="000E3AEE"/>
    <w:rsid w:val="000E3B6B"/>
    <w:rsid w:val="000E3BA1"/>
    <w:rsid w:val="000E3BF8"/>
    <w:rsid w:val="000E3C8D"/>
    <w:rsid w:val="000E3CAB"/>
    <w:rsid w:val="000E3CB1"/>
    <w:rsid w:val="000E3D63"/>
    <w:rsid w:val="000E3DC3"/>
    <w:rsid w:val="000E3DCA"/>
    <w:rsid w:val="000E3E86"/>
    <w:rsid w:val="000E3EC9"/>
    <w:rsid w:val="000E3ECE"/>
    <w:rsid w:val="000E3ECF"/>
    <w:rsid w:val="000E3EFA"/>
    <w:rsid w:val="000E3F68"/>
    <w:rsid w:val="000E3FAD"/>
    <w:rsid w:val="000E40A6"/>
    <w:rsid w:val="000E40AE"/>
    <w:rsid w:val="000E4149"/>
    <w:rsid w:val="000E415F"/>
    <w:rsid w:val="000E4195"/>
    <w:rsid w:val="000E41A8"/>
    <w:rsid w:val="000E4246"/>
    <w:rsid w:val="000E4314"/>
    <w:rsid w:val="000E432F"/>
    <w:rsid w:val="000E43B0"/>
    <w:rsid w:val="000E4464"/>
    <w:rsid w:val="000E447B"/>
    <w:rsid w:val="000E4533"/>
    <w:rsid w:val="000E4564"/>
    <w:rsid w:val="000E45FF"/>
    <w:rsid w:val="000E4616"/>
    <w:rsid w:val="000E469C"/>
    <w:rsid w:val="000E46DE"/>
    <w:rsid w:val="000E4743"/>
    <w:rsid w:val="000E4765"/>
    <w:rsid w:val="000E476B"/>
    <w:rsid w:val="000E47BF"/>
    <w:rsid w:val="000E47EA"/>
    <w:rsid w:val="000E489D"/>
    <w:rsid w:val="000E48EF"/>
    <w:rsid w:val="000E4942"/>
    <w:rsid w:val="000E4981"/>
    <w:rsid w:val="000E49A3"/>
    <w:rsid w:val="000E49AC"/>
    <w:rsid w:val="000E4A56"/>
    <w:rsid w:val="000E4AC3"/>
    <w:rsid w:val="000E4B32"/>
    <w:rsid w:val="000E4B54"/>
    <w:rsid w:val="000E4B7F"/>
    <w:rsid w:val="000E4BB1"/>
    <w:rsid w:val="000E4BC6"/>
    <w:rsid w:val="000E4BD3"/>
    <w:rsid w:val="000E4BE4"/>
    <w:rsid w:val="000E4C98"/>
    <w:rsid w:val="000E4CFD"/>
    <w:rsid w:val="000E4D2A"/>
    <w:rsid w:val="000E4DB4"/>
    <w:rsid w:val="000E4DB5"/>
    <w:rsid w:val="000E4DC2"/>
    <w:rsid w:val="000E4DCE"/>
    <w:rsid w:val="000E4DDA"/>
    <w:rsid w:val="000E4E59"/>
    <w:rsid w:val="000E4FB0"/>
    <w:rsid w:val="000E4FC2"/>
    <w:rsid w:val="000E5075"/>
    <w:rsid w:val="000E50CD"/>
    <w:rsid w:val="000E510C"/>
    <w:rsid w:val="000E5176"/>
    <w:rsid w:val="000E522E"/>
    <w:rsid w:val="000E527C"/>
    <w:rsid w:val="000E528E"/>
    <w:rsid w:val="000E52B7"/>
    <w:rsid w:val="000E52C5"/>
    <w:rsid w:val="000E5385"/>
    <w:rsid w:val="000E544F"/>
    <w:rsid w:val="000E54AA"/>
    <w:rsid w:val="000E54DA"/>
    <w:rsid w:val="000E55B6"/>
    <w:rsid w:val="000E55D4"/>
    <w:rsid w:val="000E560D"/>
    <w:rsid w:val="000E5664"/>
    <w:rsid w:val="000E56B9"/>
    <w:rsid w:val="000E56D7"/>
    <w:rsid w:val="000E5736"/>
    <w:rsid w:val="000E577E"/>
    <w:rsid w:val="000E57C0"/>
    <w:rsid w:val="000E57E0"/>
    <w:rsid w:val="000E57E2"/>
    <w:rsid w:val="000E587B"/>
    <w:rsid w:val="000E590F"/>
    <w:rsid w:val="000E597C"/>
    <w:rsid w:val="000E599D"/>
    <w:rsid w:val="000E59A5"/>
    <w:rsid w:val="000E5A3B"/>
    <w:rsid w:val="000E5A46"/>
    <w:rsid w:val="000E5A90"/>
    <w:rsid w:val="000E5A9B"/>
    <w:rsid w:val="000E5AA0"/>
    <w:rsid w:val="000E5B28"/>
    <w:rsid w:val="000E5B2E"/>
    <w:rsid w:val="000E5B60"/>
    <w:rsid w:val="000E5B65"/>
    <w:rsid w:val="000E5BBC"/>
    <w:rsid w:val="000E5C2D"/>
    <w:rsid w:val="000E5C54"/>
    <w:rsid w:val="000E5CA0"/>
    <w:rsid w:val="000E5CB5"/>
    <w:rsid w:val="000E5CE8"/>
    <w:rsid w:val="000E5D4C"/>
    <w:rsid w:val="000E5DB5"/>
    <w:rsid w:val="000E5DCE"/>
    <w:rsid w:val="000E5DEB"/>
    <w:rsid w:val="000E5E4B"/>
    <w:rsid w:val="000E5E5C"/>
    <w:rsid w:val="000E5E74"/>
    <w:rsid w:val="000E5E88"/>
    <w:rsid w:val="000E5E92"/>
    <w:rsid w:val="000E5EB7"/>
    <w:rsid w:val="000E5F2B"/>
    <w:rsid w:val="000E6013"/>
    <w:rsid w:val="000E6025"/>
    <w:rsid w:val="000E6091"/>
    <w:rsid w:val="000E6102"/>
    <w:rsid w:val="000E6149"/>
    <w:rsid w:val="000E6164"/>
    <w:rsid w:val="000E61C4"/>
    <w:rsid w:val="000E61DF"/>
    <w:rsid w:val="000E6263"/>
    <w:rsid w:val="000E634B"/>
    <w:rsid w:val="000E6489"/>
    <w:rsid w:val="000E648C"/>
    <w:rsid w:val="000E652C"/>
    <w:rsid w:val="000E65A4"/>
    <w:rsid w:val="000E65BC"/>
    <w:rsid w:val="000E6643"/>
    <w:rsid w:val="000E66D7"/>
    <w:rsid w:val="000E671C"/>
    <w:rsid w:val="000E6725"/>
    <w:rsid w:val="000E678E"/>
    <w:rsid w:val="000E6895"/>
    <w:rsid w:val="000E6942"/>
    <w:rsid w:val="000E6967"/>
    <w:rsid w:val="000E69B8"/>
    <w:rsid w:val="000E6A7E"/>
    <w:rsid w:val="000E6AA5"/>
    <w:rsid w:val="000E6B6C"/>
    <w:rsid w:val="000E6B88"/>
    <w:rsid w:val="000E6BB0"/>
    <w:rsid w:val="000E6BC4"/>
    <w:rsid w:val="000E6BDE"/>
    <w:rsid w:val="000E6C1B"/>
    <w:rsid w:val="000E6CC5"/>
    <w:rsid w:val="000E6D51"/>
    <w:rsid w:val="000E6D99"/>
    <w:rsid w:val="000E6DDE"/>
    <w:rsid w:val="000E6DE5"/>
    <w:rsid w:val="000E6E1C"/>
    <w:rsid w:val="000E6E88"/>
    <w:rsid w:val="000E6ECA"/>
    <w:rsid w:val="000E6ED8"/>
    <w:rsid w:val="000E6F7F"/>
    <w:rsid w:val="000E6FBB"/>
    <w:rsid w:val="000E6FE0"/>
    <w:rsid w:val="000E708F"/>
    <w:rsid w:val="000E7187"/>
    <w:rsid w:val="000E724A"/>
    <w:rsid w:val="000E724E"/>
    <w:rsid w:val="000E7307"/>
    <w:rsid w:val="000E7313"/>
    <w:rsid w:val="000E7318"/>
    <w:rsid w:val="000E735D"/>
    <w:rsid w:val="000E737D"/>
    <w:rsid w:val="000E739C"/>
    <w:rsid w:val="000E73A3"/>
    <w:rsid w:val="000E7459"/>
    <w:rsid w:val="000E7523"/>
    <w:rsid w:val="000E7586"/>
    <w:rsid w:val="000E75B0"/>
    <w:rsid w:val="000E75DA"/>
    <w:rsid w:val="000E7631"/>
    <w:rsid w:val="000E769D"/>
    <w:rsid w:val="000E774F"/>
    <w:rsid w:val="000E77BB"/>
    <w:rsid w:val="000E7838"/>
    <w:rsid w:val="000E78CE"/>
    <w:rsid w:val="000E78FA"/>
    <w:rsid w:val="000E7933"/>
    <w:rsid w:val="000E794C"/>
    <w:rsid w:val="000E798C"/>
    <w:rsid w:val="000E7A2A"/>
    <w:rsid w:val="000E7A40"/>
    <w:rsid w:val="000E7A7A"/>
    <w:rsid w:val="000E7B01"/>
    <w:rsid w:val="000E7B03"/>
    <w:rsid w:val="000E7BDA"/>
    <w:rsid w:val="000E7C82"/>
    <w:rsid w:val="000E7D0A"/>
    <w:rsid w:val="000E7D25"/>
    <w:rsid w:val="000E7D2A"/>
    <w:rsid w:val="000E7D66"/>
    <w:rsid w:val="000E7DB0"/>
    <w:rsid w:val="000E7DDB"/>
    <w:rsid w:val="000E7DF7"/>
    <w:rsid w:val="000E7E5F"/>
    <w:rsid w:val="000E7EE7"/>
    <w:rsid w:val="000E7EEC"/>
    <w:rsid w:val="000E7EED"/>
    <w:rsid w:val="000E7EEE"/>
    <w:rsid w:val="000E7F35"/>
    <w:rsid w:val="000F0099"/>
    <w:rsid w:val="000F00F5"/>
    <w:rsid w:val="000F010F"/>
    <w:rsid w:val="000F014A"/>
    <w:rsid w:val="000F0177"/>
    <w:rsid w:val="000F01A9"/>
    <w:rsid w:val="000F022D"/>
    <w:rsid w:val="000F02D6"/>
    <w:rsid w:val="000F0350"/>
    <w:rsid w:val="000F0356"/>
    <w:rsid w:val="000F0415"/>
    <w:rsid w:val="000F047D"/>
    <w:rsid w:val="000F0504"/>
    <w:rsid w:val="000F059A"/>
    <w:rsid w:val="000F061F"/>
    <w:rsid w:val="000F06BD"/>
    <w:rsid w:val="000F0787"/>
    <w:rsid w:val="000F079A"/>
    <w:rsid w:val="000F07D5"/>
    <w:rsid w:val="000F0802"/>
    <w:rsid w:val="000F0874"/>
    <w:rsid w:val="000F08D7"/>
    <w:rsid w:val="000F0959"/>
    <w:rsid w:val="000F09A8"/>
    <w:rsid w:val="000F09BA"/>
    <w:rsid w:val="000F0A51"/>
    <w:rsid w:val="000F0A55"/>
    <w:rsid w:val="000F0AC5"/>
    <w:rsid w:val="000F0B60"/>
    <w:rsid w:val="000F0BE4"/>
    <w:rsid w:val="000F0C02"/>
    <w:rsid w:val="000F0C3E"/>
    <w:rsid w:val="000F0CD9"/>
    <w:rsid w:val="000F0CF6"/>
    <w:rsid w:val="000F0DEB"/>
    <w:rsid w:val="000F0E7F"/>
    <w:rsid w:val="000F0EC5"/>
    <w:rsid w:val="000F1108"/>
    <w:rsid w:val="000F113D"/>
    <w:rsid w:val="000F124C"/>
    <w:rsid w:val="000F1264"/>
    <w:rsid w:val="000F1332"/>
    <w:rsid w:val="000F137E"/>
    <w:rsid w:val="000F1406"/>
    <w:rsid w:val="000F1409"/>
    <w:rsid w:val="000F14AB"/>
    <w:rsid w:val="000F1502"/>
    <w:rsid w:val="000F161E"/>
    <w:rsid w:val="000F164E"/>
    <w:rsid w:val="000F16B7"/>
    <w:rsid w:val="000F173E"/>
    <w:rsid w:val="000F1840"/>
    <w:rsid w:val="000F18D3"/>
    <w:rsid w:val="000F1904"/>
    <w:rsid w:val="000F19A6"/>
    <w:rsid w:val="000F19BD"/>
    <w:rsid w:val="000F19CA"/>
    <w:rsid w:val="000F1A60"/>
    <w:rsid w:val="000F1AAA"/>
    <w:rsid w:val="000F1AEA"/>
    <w:rsid w:val="000F1AFF"/>
    <w:rsid w:val="000F1BA7"/>
    <w:rsid w:val="000F1C2D"/>
    <w:rsid w:val="000F1C64"/>
    <w:rsid w:val="000F1C87"/>
    <w:rsid w:val="000F1CEA"/>
    <w:rsid w:val="000F1CF2"/>
    <w:rsid w:val="000F1D3E"/>
    <w:rsid w:val="000F1D63"/>
    <w:rsid w:val="000F1D74"/>
    <w:rsid w:val="000F1D8E"/>
    <w:rsid w:val="000F1EA4"/>
    <w:rsid w:val="000F1F0D"/>
    <w:rsid w:val="000F1F17"/>
    <w:rsid w:val="000F1FA4"/>
    <w:rsid w:val="000F20AE"/>
    <w:rsid w:val="000F2100"/>
    <w:rsid w:val="000F2106"/>
    <w:rsid w:val="000F22D2"/>
    <w:rsid w:val="000F2324"/>
    <w:rsid w:val="000F234C"/>
    <w:rsid w:val="000F2385"/>
    <w:rsid w:val="000F2462"/>
    <w:rsid w:val="000F248C"/>
    <w:rsid w:val="000F2555"/>
    <w:rsid w:val="000F25F5"/>
    <w:rsid w:val="000F25FF"/>
    <w:rsid w:val="000F260D"/>
    <w:rsid w:val="000F2665"/>
    <w:rsid w:val="000F26BE"/>
    <w:rsid w:val="000F270C"/>
    <w:rsid w:val="000F271A"/>
    <w:rsid w:val="000F2752"/>
    <w:rsid w:val="000F2758"/>
    <w:rsid w:val="000F2777"/>
    <w:rsid w:val="000F2791"/>
    <w:rsid w:val="000F288B"/>
    <w:rsid w:val="000F289F"/>
    <w:rsid w:val="000F28B2"/>
    <w:rsid w:val="000F28C8"/>
    <w:rsid w:val="000F2939"/>
    <w:rsid w:val="000F297C"/>
    <w:rsid w:val="000F2A20"/>
    <w:rsid w:val="000F2B30"/>
    <w:rsid w:val="000F2BA7"/>
    <w:rsid w:val="000F2BE5"/>
    <w:rsid w:val="000F2C0B"/>
    <w:rsid w:val="000F2C22"/>
    <w:rsid w:val="000F2C28"/>
    <w:rsid w:val="000F2C68"/>
    <w:rsid w:val="000F2C6B"/>
    <w:rsid w:val="000F2D08"/>
    <w:rsid w:val="000F2D0F"/>
    <w:rsid w:val="000F2E3E"/>
    <w:rsid w:val="000F2E82"/>
    <w:rsid w:val="000F2EE2"/>
    <w:rsid w:val="000F2FD4"/>
    <w:rsid w:val="000F2FE3"/>
    <w:rsid w:val="000F3000"/>
    <w:rsid w:val="000F300A"/>
    <w:rsid w:val="000F3013"/>
    <w:rsid w:val="000F30FE"/>
    <w:rsid w:val="000F3198"/>
    <w:rsid w:val="000F31A6"/>
    <w:rsid w:val="000F3237"/>
    <w:rsid w:val="000F327B"/>
    <w:rsid w:val="000F32C5"/>
    <w:rsid w:val="000F33AD"/>
    <w:rsid w:val="000F3440"/>
    <w:rsid w:val="000F351B"/>
    <w:rsid w:val="000F3654"/>
    <w:rsid w:val="000F36B7"/>
    <w:rsid w:val="000F3706"/>
    <w:rsid w:val="000F3724"/>
    <w:rsid w:val="000F3802"/>
    <w:rsid w:val="000F3825"/>
    <w:rsid w:val="000F3831"/>
    <w:rsid w:val="000F38C3"/>
    <w:rsid w:val="000F38D0"/>
    <w:rsid w:val="000F392F"/>
    <w:rsid w:val="000F3950"/>
    <w:rsid w:val="000F3995"/>
    <w:rsid w:val="000F3A3E"/>
    <w:rsid w:val="000F3A6D"/>
    <w:rsid w:val="000F3A99"/>
    <w:rsid w:val="000F3B66"/>
    <w:rsid w:val="000F3B6A"/>
    <w:rsid w:val="000F3B9F"/>
    <w:rsid w:val="000F3C62"/>
    <w:rsid w:val="000F3CEF"/>
    <w:rsid w:val="000F3D39"/>
    <w:rsid w:val="000F3D9E"/>
    <w:rsid w:val="000F3DEE"/>
    <w:rsid w:val="000F3F35"/>
    <w:rsid w:val="000F3F5C"/>
    <w:rsid w:val="000F3FC7"/>
    <w:rsid w:val="000F4004"/>
    <w:rsid w:val="000F407E"/>
    <w:rsid w:val="000F409C"/>
    <w:rsid w:val="000F40F0"/>
    <w:rsid w:val="000F415A"/>
    <w:rsid w:val="000F4174"/>
    <w:rsid w:val="000F41B9"/>
    <w:rsid w:val="000F4213"/>
    <w:rsid w:val="000F425F"/>
    <w:rsid w:val="000F42C5"/>
    <w:rsid w:val="000F4324"/>
    <w:rsid w:val="000F4332"/>
    <w:rsid w:val="000F435E"/>
    <w:rsid w:val="000F43BD"/>
    <w:rsid w:val="000F43E3"/>
    <w:rsid w:val="000F4438"/>
    <w:rsid w:val="000F4465"/>
    <w:rsid w:val="000F4488"/>
    <w:rsid w:val="000F4502"/>
    <w:rsid w:val="000F4520"/>
    <w:rsid w:val="000F45F9"/>
    <w:rsid w:val="000F46B2"/>
    <w:rsid w:val="000F4823"/>
    <w:rsid w:val="000F4863"/>
    <w:rsid w:val="000F48B5"/>
    <w:rsid w:val="000F4914"/>
    <w:rsid w:val="000F4955"/>
    <w:rsid w:val="000F499F"/>
    <w:rsid w:val="000F4A41"/>
    <w:rsid w:val="000F4A4D"/>
    <w:rsid w:val="000F4A69"/>
    <w:rsid w:val="000F4ADD"/>
    <w:rsid w:val="000F4B01"/>
    <w:rsid w:val="000F4B7D"/>
    <w:rsid w:val="000F4C38"/>
    <w:rsid w:val="000F4C58"/>
    <w:rsid w:val="000F4C5C"/>
    <w:rsid w:val="000F4C99"/>
    <w:rsid w:val="000F4D09"/>
    <w:rsid w:val="000F4D35"/>
    <w:rsid w:val="000F4E2A"/>
    <w:rsid w:val="000F4F12"/>
    <w:rsid w:val="000F4F20"/>
    <w:rsid w:val="000F4F65"/>
    <w:rsid w:val="000F4F91"/>
    <w:rsid w:val="000F4FCB"/>
    <w:rsid w:val="000F5032"/>
    <w:rsid w:val="000F5115"/>
    <w:rsid w:val="000F51B5"/>
    <w:rsid w:val="000F521D"/>
    <w:rsid w:val="000F5270"/>
    <w:rsid w:val="000F5293"/>
    <w:rsid w:val="000F52E0"/>
    <w:rsid w:val="000F547A"/>
    <w:rsid w:val="000F5531"/>
    <w:rsid w:val="000F555E"/>
    <w:rsid w:val="000F55CA"/>
    <w:rsid w:val="000F55DB"/>
    <w:rsid w:val="000F55EC"/>
    <w:rsid w:val="000F566B"/>
    <w:rsid w:val="000F5670"/>
    <w:rsid w:val="000F56B7"/>
    <w:rsid w:val="000F56BD"/>
    <w:rsid w:val="000F56E8"/>
    <w:rsid w:val="000F573E"/>
    <w:rsid w:val="000F57ED"/>
    <w:rsid w:val="000F5812"/>
    <w:rsid w:val="000F5849"/>
    <w:rsid w:val="000F58F1"/>
    <w:rsid w:val="000F5A07"/>
    <w:rsid w:val="000F5A30"/>
    <w:rsid w:val="000F5A41"/>
    <w:rsid w:val="000F5AB3"/>
    <w:rsid w:val="000F5B8A"/>
    <w:rsid w:val="000F5B93"/>
    <w:rsid w:val="000F5BA3"/>
    <w:rsid w:val="000F5BD1"/>
    <w:rsid w:val="000F5C1A"/>
    <w:rsid w:val="000F5C21"/>
    <w:rsid w:val="000F5D03"/>
    <w:rsid w:val="000F5D3F"/>
    <w:rsid w:val="000F5E04"/>
    <w:rsid w:val="000F5E93"/>
    <w:rsid w:val="000F5EAF"/>
    <w:rsid w:val="000F5ECB"/>
    <w:rsid w:val="000F5EFB"/>
    <w:rsid w:val="000F5F2C"/>
    <w:rsid w:val="000F5F32"/>
    <w:rsid w:val="000F5FB5"/>
    <w:rsid w:val="000F6049"/>
    <w:rsid w:val="000F60AE"/>
    <w:rsid w:val="000F60B2"/>
    <w:rsid w:val="000F6136"/>
    <w:rsid w:val="000F617A"/>
    <w:rsid w:val="000F62C1"/>
    <w:rsid w:val="000F63E0"/>
    <w:rsid w:val="000F6508"/>
    <w:rsid w:val="000F6533"/>
    <w:rsid w:val="000F65BE"/>
    <w:rsid w:val="000F66B6"/>
    <w:rsid w:val="000F66C7"/>
    <w:rsid w:val="000F6729"/>
    <w:rsid w:val="000F675F"/>
    <w:rsid w:val="000F67EE"/>
    <w:rsid w:val="000F6846"/>
    <w:rsid w:val="000F68EC"/>
    <w:rsid w:val="000F6A0F"/>
    <w:rsid w:val="000F6A2F"/>
    <w:rsid w:val="000F6AAB"/>
    <w:rsid w:val="000F6AC3"/>
    <w:rsid w:val="000F6ADF"/>
    <w:rsid w:val="000F6B4A"/>
    <w:rsid w:val="000F6C2C"/>
    <w:rsid w:val="000F6CCF"/>
    <w:rsid w:val="000F6D06"/>
    <w:rsid w:val="000F6D20"/>
    <w:rsid w:val="000F6DDC"/>
    <w:rsid w:val="000F6E81"/>
    <w:rsid w:val="000F6EBA"/>
    <w:rsid w:val="000F6EC5"/>
    <w:rsid w:val="000F6F7D"/>
    <w:rsid w:val="000F6F88"/>
    <w:rsid w:val="000F7030"/>
    <w:rsid w:val="000F70B6"/>
    <w:rsid w:val="000F70CE"/>
    <w:rsid w:val="000F7156"/>
    <w:rsid w:val="000F71A5"/>
    <w:rsid w:val="000F71E2"/>
    <w:rsid w:val="000F721F"/>
    <w:rsid w:val="000F72C1"/>
    <w:rsid w:val="000F7312"/>
    <w:rsid w:val="000F744B"/>
    <w:rsid w:val="000F747E"/>
    <w:rsid w:val="000F748D"/>
    <w:rsid w:val="000F74C9"/>
    <w:rsid w:val="000F7500"/>
    <w:rsid w:val="000F753B"/>
    <w:rsid w:val="000F7584"/>
    <w:rsid w:val="000F759B"/>
    <w:rsid w:val="000F75FF"/>
    <w:rsid w:val="000F766D"/>
    <w:rsid w:val="000F7688"/>
    <w:rsid w:val="000F769F"/>
    <w:rsid w:val="000F76CF"/>
    <w:rsid w:val="000F7797"/>
    <w:rsid w:val="000F77D9"/>
    <w:rsid w:val="000F77F4"/>
    <w:rsid w:val="000F7870"/>
    <w:rsid w:val="000F787E"/>
    <w:rsid w:val="000F78A3"/>
    <w:rsid w:val="000F78A4"/>
    <w:rsid w:val="000F78E0"/>
    <w:rsid w:val="000F7947"/>
    <w:rsid w:val="000F7975"/>
    <w:rsid w:val="000F7A1F"/>
    <w:rsid w:val="000F7AC0"/>
    <w:rsid w:val="000F7B0F"/>
    <w:rsid w:val="000F7B25"/>
    <w:rsid w:val="000F7B96"/>
    <w:rsid w:val="000F7C1D"/>
    <w:rsid w:val="000F7C41"/>
    <w:rsid w:val="000F7D2B"/>
    <w:rsid w:val="000F7EC3"/>
    <w:rsid w:val="000F7ED7"/>
    <w:rsid w:val="000F7F5E"/>
    <w:rsid w:val="000F7F87"/>
    <w:rsid w:val="000F7FAC"/>
    <w:rsid w:val="00100004"/>
    <w:rsid w:val="00100033"/>
    <w:rsid w:val="00100069"/>
    <w:rsid w:val="00100093"/>
    <w:rsid w:val="001000A6"/>
    <w:rsid w:val="001000BF"/>
    <w:rsid w:val="001000C7"/>
    <w:rsid w:val="001000D2"/>
    <w:rsid w:val="001000DE"/>
    <w:rsid w:val="00100284"/>
    <w:rsid w:val="001002AF"/>
    <w:rsid w:val="001002E6"/>
    <w:rsid w:val="00100371"/>
    <w:rsid w:val="0010039A"/>
    <w:rsid w:val="001003F2"/>
    <w:rsid w:val="00100423"/>
    <w:rsid w:val="00100424"/>
    <w:rsid w:val="001004AD"/>
    <w:rsid w:val="00100518"/>
    <w:rsid w:val="0010058D"/>
    <w:rsid w:val="00100616"/>
    <w:rsid w:val="00100621"/>
    <w:rsid w:val="00100662"/>
    <w:rsid w:val="00100683"/>
    <w:rsid w:val="001006EA"/>
    <w:rsid w:val="0010085D"/>
    <w:rsid w:val="0010089C"/>
    <w:rsid w:val="001008B1"/>
    <w:rsid w:val="001008DD"/>
    <w:rsid w:val="00100926"/>
    <w:rsid w:val="001009C4"/>
    <w:rsid w:val="00100A4F"/>
    <w:rsid w:val="00100A5F"/>
    <w:rsid w:val="00100C03"/>
    <w:rsid w:val="00100C09"/>
    <w:rsid w:val="00100C44"/>
    <w:rsid w:val="00100D72"/>
    <w:rsid w:val="00100E61"/>
    <w:rsid w:val="00100E6F"/>
    <w:rsid w:val="00100E85"/>
    <w:rsid w:val="00100E99"/>
    <w:rsid w:val="00100FAB"/>
    <w:rsid w:val="00100FE3"/>
    <w:rsid w:val="00101059"/>
    <w:rsid w:val="00101061"/>
    <w:rsid w:val="00101080"/>
    <w:rsid w:val="001010CB"/>
    <w:rsid w:val="00101107"/>
    <w:rsid w:val="00101113"/>
    <w:rsid w:val="00101188"/>
    <w:rsid w:val="001011A8"/>
    <w:rsid w:val="001011DF"/>
    <w:rsid w:val="0010123C"/>
    <w:rsid w:val="001012D1"/>
    <w:rsid w:val="001012F2"/>
    <w:rsid w:val="0010145F"/>
    <w:rsid w:val="00101465"/>
    <w:rsid w:val="001014A4"/>
    <w:rsid w:val="001014A9"/>
    <w:rsid w:val="001014C2"/>
    <w:rsid w:val="001014C4"/>
    <w:rsid w:val="001014C7"/>
    <w:rsid w:val="001014EF"/>
    <w:rsid w:val="00101502"/>
    <w:rsid w:val="00101524"/>
    <w:rsid w:val="00101530"/>
    <w:rsid w:val="0010157D"/>
    <w:rsid w:val="00101580"/>
    <w:rsid w:val="00101593"/>
    <w:rsid w:val="001015FA"/>
    <w:rsid w:val="001016E2"/>
    <w:rsid w:val="0010172B"/>
    <w:rsid w:val="00101760"/>
    <w:rsid w:val="0010177C"/>
    <w:rsid w:val="0010178B"/>
    <w:rsid w:val="001017FC"/>
    <w:rsid w:val="00101864"/>
    <w:rsid w:val="001018B5"/>
    <w:rsid w:val="0010195F"/>
    <w:rsid w:val="001019AF"/>
    <w:rsid w:val="001019CB"/>
    <w:rsid w:val="00101A4C"/>
    <w:rsid w:val="00101A8C"/>
    <w:rsid w:val="00101AF2"/>
    <w:rsid w:val="00101B83"/>
    <w:rsid w:val="00101BAE"/>
    <w:rsid w:val="00101BE0"/>
    <w:rsid w:val="00101C06"/>
    <w:rsid w:val="00101C87"/>
    <w:rsid w:val="00101D21"/>
    <w:rsid w:val="00101D7C"/>
    <w:rsid w:val="00101ECB"/>
    <w:rsid w:val="00101F05"/>
    <w:rsid w:val="00101F74"/>
    <w:rsid w:val="00102054"/>
    <w:rsid w:val="00102073"/>
    <w:rsid w:val="00102078"/>
    <w:rsid w:val="0010209D"/>
    <w:rsid w:val="00102210"/>
    <w:rsid w:val="0010225F"/>
    <w:rsid w:val="001022EE"/>
    <w:rsid w:val="00102305"/>
    <w:rsid w:val="001023F9"/>
    <w:rsid w:val="00102435"/>
    <w:rsid w:val="0010245D"/>
    <w:rsid w:val="00102462"/>
    <w:rsid w:val="00102492"/>
    <w:rsid w:val="001024F3"/>
    <w:rsid w:val="001025A6"/>
    <w:rsid w:val="00102656"/>
    <w:rsid w:val="0010269B"/>
    <w:rsid w:val="0010271A"/>
    <w:rsid w:val="00102732"/>
    <w:rsid w:val="00102738"/>
    <w:rsid w:val="001027D6"/>
    <w:rsid w:val="0010281F"/>
    <w:rsid w:val="00102872"/>
    <w:rsid w:val="00102943"/>
    <w:rsid w:val="001029A5"/>
    <w:rsid w:val="001029BB"/>
    <w:rsid w:val="001029BD"/>
    <w:rsid w:val="00102AA7"/>
    <w:rsid w:val="00102AB6"/>
    <w:rsid w:val="00102AE4"/>
    <w:rsid w:val="00102B55"/>
    <w:rsid w:val="00102B76"/>
    <w:rsid w:val="00102BD4"/>
    <w:rsid w:val="00102C4B"/>
    <w:rsid w:val="00102C7C"/>
    <w:rsid w:val="00102CEB"/>
    <w:rsid w:val="00102DB3"/>
    <w:rsid w:val="00102DE8"/>
    <w:rsid w:val="00102E21"/>
    <w:rsid w:val="00102F45"/>
    <w:rsid w:val="00102FBC"/>
    <w:rsid w:val="00102FE1"/>
    <w:rsid w:val="001030C5"/>
    <w:rsid w:val="001030E2"/>
    <w:rsid w:val="001030EF"/>
    <w:rsid w:val="00103180"/>
    <w:rsid w:val="001031EB"/>
    <w:rsid w:val="0010324D"/>
    <w:rsid w:val="00103284"/>
    <w:rsid w:val="001032F8"/>
    <w:rsid w:val="00103375"/>
    <w:rsid w:val="00103383"/>
    <w:rsid w:val="0010342E"/>
    <w:rsid w:val="00103497"/>
    <w:rsid w:val="00103559"/>
    <w:rsid w:val="001035DA"/>
    <w:rsid w:val="00103633"/>
    <w:rsid w:val="0010364B"/>
    <w:rsid w:val="00103710"/>
    <w:rsid w:val="0010374A"/>
    <w:rsid w:val="001037FE"/>
    <w:rsid w:val="0010382F"/>
    <w:rsid w:val="001038CE"/>
    <w:rsid w:val="0010395C"/>
    <w:rsid w:val="00103A90"/>
    <w:rsid w:val="00103AC1"/>
    <w:rsid w:val="00103AF1"/>
    <w:rsid w:val="00103BC5"/>
    <w:rsid w:val="00103BF2"/>
    <w:rsid w:val="00103C3F"/>
    <w:rsid w:val="00103D47"/>
    <w:rsid w:val="00103D6B"/>
    <w:rsid w:val="00103E22"/>
    <w:rsid w:val="00103F43"/>
    <w:rsid w:val="00103F73"/>
    <w:rsid w:val="0010400F"/>
    <w:rsid w:val="001040C9"/>
    <w:rsid w:val="00104179"/>
    <w:rsid w:val="00104198"/>
    <w:rsid w:val="001041B8"/>
    <w:rsid w:val="0010423E"/>
    <w:rsid w:val="00104284"/>
    <w:rsid w:val="0010446F"/>
    <w:rsid w:val="001044B8"/>
    <w:rsid w:val="001044DF"/>
    <w:rsid w:val="00104501"/>
    <w:rsid w:val="001045BC"/>
    <w:rsid w:val="0010461F"/>
    <w:rsid w:val="00104656"/>
    <w:rsid w:val="00104695"/>
    <w:rsid w:val="00104699"/>
    <w:rsid w:val="001046A4"/>
    <w:rsid w:val="001047E6"/>
    <w:rsid w:val="00104858"/>
    <w:rsid w:val="001049B6"/>
    <w:rsid w:val="001049BC"/>
    <w:rsid w:val="00104A53"/>
    <w:rsid w:val="00104A5E"/>
    <w:rsid w:val="00104AA4"/>
    <w:rsid w:val="00104ABD"/>
    <w:rsid w:val="00104BD0"/>
    <w:rsid w:val="00104BF5"/>
    <w:rsid w:val="00104CB5"/>
    <w:rsid w:val="00104D6D"/>
    <w:rsid w:val="00104DC1"/>
    <w:rsid w:val="00104E1C"/>
    <w:rsid w:val="00104E4E"/>
    <w:rsid w:val="00104EAE"/>
    <w:rsid w:val="00104ECA"/>
    <w:rsid w:val="00104F1A"/>
    <w:rsid w:val="0010501C"/>
    <w:rsid w:val="00105055"/>
    <w:rsid w:val="001050C9"/>
    <w:rsid w:val="00105100"/>
    <w:rsid w:val="00105115"/>
    <w:rsid w:val="0010512F"/>
    <w:rsid w:val="00105141"/>
    <w:rsid w:val="00105182"/>
    <w:rsid w:val="001052BE"/>
    <w:rsid w:val="001052FC"/>
    <w:rsid w:val="00105308"/>
    <w:rsid w:val="00105330"/>
    <w:rsid w:val="00105337"/>
    <w:rsid w:val="0010538F"/>
    <w:rsid w:val="001054DC"/>
    <w:rsid w:val="00105505"/>
    <w:rsid w:val="0010550D"/>
    <w:rsid w:val="00105526"/>
    <w:rsid w:val="00105602"/>
    <w:rsid w:val="0010564C"/>
    <w:rsid w:val="0010569E"/>
    <w:rsid w:val="001057BA"/>
    <w:rsid w:val="00105850"/>
    <w:rsid w:val="00105852"/>
    <w:rsid w:val="001058A8"/>
    <w:rsid w:val="00105A1D"/>
    <w:rsid w:val="00105A6F"/>
    <w:rsid w:val="00105AFD"/>
    <w:rsid w:val="00105B77"/>
    <w:rsid w:val="00105BE2"/>
    <w:rsid w:val="00105C56"/>
    <w:rsid w:val="00105D98"/>
    <w:rsid w:val="00105F0D"/>
    <w:rsid w:val="00105F1B"/>
    <w:rsid w:val="00105F39"/>
    <w:rsid w:val="00106027"/>
    <w:rsid w:val="00106046"/>
    <w:rsid w:val="00106049"/>
    <w:rsid w:val="0010605D"/>
    <w:rsid w:val="001060C6"/>
    <w:rsid w:val="00106163"/>
    <w:rsid w:val="00106183"/>
    <w:rsid w:val="0010618F"/>
    <w:rsid w:val="00106235"/>
    <w:rsid w:val="00106313"/>
    <w:rsid w:val="00106379"/>
    <w:rsid w:val="001063C9"/>
    <w:rsid w:val="00106491"/>
    <w:rsid w:val="001064B2"/>
    <w:rsid w:val="001064C4"/>
    <w:rsid w:val="001064C7"/>
    <w:rsid w:val="0010655B"/>
    <w:rsid w:val="001066B8"/>
    <w:rsid w:val="001066CC"/>
    <w:rsid w:val="00106721"/>
    <w:rsid w:val="00106735"/>
    <w:rsid w:val="00106753"/>
    <w:rsid w:val="001067CF"/>
    <w:rsid w:val="001067FD"/>
    <w:rsid w:val="00106856"/>
    <w:rsid w:val="00106897"/>
    <w:rsid w:val="0010689C"/>
    <w:rsid w:val="001068C4"/>
    <w:rsid w:val="001068C5"/>
    <w:rsid w:val="001068D7"/>
    <w:rsid w:val="00106945"/>
    <w:rsid w:val="001069E8"/>
    <w:rsid w:val="00106A04"/>
    <w:rsid w:val="00106A69"/>
    <w:rsid w:val="00106AD0"/>
    <w:rsid w:val="00106AFD"/>
    <w:rsid w:val="00106C1C"/>
    <w:rsid w:val="00106C30"/>
    <w:rsid w:val="00106D1B"/>
    <w:rsid w:val="00106D1D"/>
    <w:rsid w:val="00106D50"/>
    <w:rsid w:val="00106DB5"/>
    <w:rsid w:val="00106E11"/>
    <w:rsid w:val="00106E1A"/>
    <w:rsid w:val="00106E59"/>
    <w:rsid w:val="00106E9F"/>
    <w:rsid w:val="00106ED7"/>
    <w:rsid w:val="00106EF6"/>
    <w:rsid w:val="00106F03"/>
    <w:rsid w:val="001070B4"/>
    <w:rsid w:val="00107138"/>
    <w:rsid w:val="00107164"/>
    <w:rsid w:val="001071F7"/>
    <w:rsid w:val="00107264"/>
    <w:rsid w:val="001072B3"/>
    <w:rsid w:val="001072BB"/>
    <w:rsid w:val="0010732A"/>
    <w:rsid w:val="00107338"/>
    <w:rsid w:val="00107376"/>
    <w:rsid w:val="00107401"/>
    <w:rsid w:val="0010743A"/>
    <w:rsid w:val="0010745B"/>
    <w:rsid w:val="0010746B"/>
    <w:rsid w:val="001074E5"/>
    <w:rsid w:val="0010758A"/>
    <w:rsid w:val="00107634"/>
    <w:rsid w:val="0010765A"/>
    <w:rsid w:val="001076E5"/>
    <w:rsid w:val="00107763"/>
    <w:rsid w:val="001077E9"/>
    <w:rsid w:val="00107888"/>
    <w:rsid w:val="001078AF"/>
    <w:rsid w:val="001079BF"/>
    <w:rsid w:val="00107A0C"/>
    <w:rsid w:val="00107B11"/>
    <w:rsid w:val="00107B24"/>
    <w:rsid w:val="00107B65"/>
    <w:rsid w:val="00107BB7"/>
    <w:rsid w:val="00107BCA"/>
    <w:rsid w:val="00107BF0"/>
    <w:rsid w:val="00107D2D"/>
    <w:rsid w:val="00107D7B"/>
    <w:rsid w:val="00107EC5"/>
    <w:rsid w:val="00107F90"/>
    <w:rsid w:val="0011008E"/>
    <w:rsid w:val="001100E4"/>
    <w:rsid w:val="00110104"/>
    <w:rsid w:val="0011014C"/>
    <w:rsid w:val="0011019A"/>
    <w:rsid w:val="001101AE"/>
    <w:rsid w:val="001101EF"/>
    <w:rsid w:val="00110259"/>
    <w:rsid w:val="00110319"/>
    <w:rsid w:val="00110336"/>
    <w:rsid w:val="0011035E"/>
    <w:rsid w:val="0011042C"/>
    <w:rsid w:val="00110513"/>
    <w:rsid w:val="00110538"/>
    <w:rsid w:val="00110541"/>
    <w:rsid w:val="001105AE"/>
    <w:rsid w:val="001105E1"/>
    <w:rsid w:val="00110628"/>
    <w:rsid w:val="00110665"/>
    <w:rsid w:val="00110756"/>
    <w:rsid w:val="00110891"/>
    <w:rsid w:val="001108D5"/>
    <w:rsid w:val="00110940"/>
    <w:rsid w:val="00110988"/>
    <w:rsid w:val="001109CA"/>
    <w:rsid w:val="001109E4"/>
    <w:rsid w:val="00110A2C"/>
    <w:rsid w:val="00110AE8"/>
    <w:rsid w:val="00110B26"/>
    <w:rsid w:val="00110B9D"/>
    <w:rsid w:val="00110BF0"/>
    <w:rsid w:val="00110C38"/>
    <w:rsid w:val="00110C9B"/>
    <w:rsid w:val="00110D22"/>
    <w:rsid w:val="00110DB0"/>
    <w:rsid w:val="00110DB5"/>
    <w:rsid w:val="00110E2A"/>
    <w:rsid w:val="00110EC7"/>
    <w:rsid w:val="00110EDD"/>
    <w:rsid w:val="00110FFA"/>
    <w:rsid w:val="0011106A"/>
    <w:rsid w:val="0011109D"/>
    <w:rsid w:val="001110AB"/>
    <w:rsid w:val="00111148"/>
    <w:rsid w:val="00111153"/>
    <w:rsid w:val="001111E6"/>
    <w:rsid w:val="00111228"/>
    <w:rsid w:val="0011128A"/>
    <w:rsid w:val="001112B0"/>
    <w:rsid w:val="001112E3"/>
    <w:rsid w:val="00111314"/>
    <w:rsid w:val="00111351"/>
    <w:rsid w:val="001113D9"/>
    <w:rsid w:val="00111425"/>
    <w:rsid w:val="00111486"/>
    <w:rsid w:val="0011149D"/>
    <w:rsid w:val="001115B2"/>
    <w:rsid w:val="001115D0"/>
    <w:rsid w:val="0011164D"/>
    <w:rsid w:val="0011166E"/>
    <w:rsid w:val="00111673"/>
    <w:rsid w:val="001116A8"/>
    <w:rsid w:val="00111782"/>
    <w:rsid w:val="001117DC"/>
    <w:rsid w:val="001117DD"/>
    <w:rsid w:val="001117E1"/>
    <w:rsid w:val="0011181E"/>
    <w:rsid w:val="00111AAB"/>
    <w:rsid w:val="00111AD9"/>
    <w:rsid w:val="00111ADE"/>
    <w:rsid w:val="00111B26"/>
    <w:rsid w:val="00111B84"/>
    <w:rsid w:val="00111BF1"/>
    <w:rsid w:val="00111C21"/>
    <w:rsid w:val="00111C52"/>
    <w:rsid w:val="00111C88"/>
    <w:rsid w:val="00111C94"/>
    <w:rsid w:val="00111CD0"/>
    <w:rsid w:val="00111EB4"/>
    <w:rsid w:val="00111EDE"/>
    <w:rsid w:val="00111F31"/>
    <w:rsid w:val="00111F4D"/>
    <w:rsid w:val="00111FB4"/>
    <w:rsid w:val="0011202E"/>
    <w:rsid w:val="00112142"/>
    <w:rsid w:val="0011217E"/>
    <w:rsid w:val="001121BD"/>
    <w:rsid w:val="0011221D"/>
    <w:rsid w:val="00112227"/>
    <w:rsid w:val="00112285"/>
    <w:rsid w:val="00112291"/>
    <w:rsid w:val="001122B1"/>
    <w:rsid w:val="001122C3"/>
    <w:rsid w:val="0011233D"/>
    <w:rsid w:val="00112354"/>
    <w:rsid w:val="0011239D"/>
    <w:rsid w:val="001123AF"/>
    <w:rsid w:val="0011247F"/>
    <w:rsid w:val="0011250F"/>
    <w:rsid w:val="0011251A"/>
    <w:rsid w:val="00112621"/>
    <w:rsid w:val="0011263E"/>
    <w:rsid w:val="001126C9"/>
    <w:rsid w:val="0011270C"/>
    <w:rsid w:val="001127A2"/>
    <w:rsid w:val="001127BB"/>
    <w:rsid w:val="00112844"/>
    <w:rsid w:val="001128E0"/>
    <w:rsid w:val="00112954"/>
    <w:rsid w:val="0011296B"/>
    <w:rsid w:val="001129BD"/>
    <w:rsid w:val="001129CE"/>
    <w:rsid w:val="00112A0A"/>
    <w:rsid w:val="00112A58"/>
    <w:rsid w:val="00112A76"/>
    <w:rsid w:val="00112A92"/>
    <w:rsid w:val="00112A95"/>
    <w:rsid w:val="00112AEA"/>
    <w:rsid w:val="00112B05"/>
    <w:rsid w:val="00112B60"/>
    <w:rsid w:val="00112BA6"/>
    <w:rsid w:val="00112BCD"/>
    <w:rsid w:val="00112BF2"/>
    <w:rsid w:val="00112BFA"/>
    <w:rsid w:val="00112D4D"/>
    <w:rsid w:val="00112E27"/>
    <w:rsid w:val="00112E5B"/>
    <w:rsid w:val="00112E8F"/>
    <w:rsid w:val="00113010"/>
    <w:rsid w:val="001130E7"/>
    <w:rsid w:val="00113113"/>
    <w:rsid w:val="0011313C"/>
    <w:rsid w:val="0011321B"/>
    <w:rsid w:val="00113240"/>
    <w:rsid w:val="0011327E"/>
    <w:rsid w:val="00113434"/>
    <w:rsid w:val="00113491"/>
    <w:rsid w:val="001134E9"/>
    <w:rsid w:val="001135AB"/>
    <w:rsid w:val="0011373B"/>
    <w:rsid w:val="00113767"/>
    <w:rsid w:val="0011383C"/>
    <w:rsid w:val="001138E6"/>
    <w:rsid w:val="001139D7"/>
    <w:rsid w:val="00113A12"/>
    <w:rsid w:val="00113A96"/>
    <w:rsid w:val="00113ACF"/>
    <w:rsid w:val="00113B1A"/>
    <w:rsid w:val="00113B7D"/>
    <w:rsid w:val="00113C17"/>
    <w:rsid w:val="00113C27"/>
    <w:rsid w:val="00113C43"/>
    <w:rsid w:val="00113CE0"/>
    <w:rsid w:val="00113CF3"/>
    <w:rsid w:val="00113DC0"/>
    <w:rsid w:val="00113E9E"/>
    <w:rsid w:val="00113FA7"/>
    <w:rsid w:val="00114013"/>
    <w:rsid w:val="00114052"/>
    <w:rsid w:val="00114132"/>
    <w:rsid w:val="001141C7"/>
    <w:rsid w:val="00114240"/>
    <w:rsid w:val="00114319"/>
    <w:rsid w:val="0011431A"/>
    <w:rsid w:val="0011439B"/>
    <w:rsid w:val="00114458"/>
    <w:rsid w:val="0011445E"/>
    <w:rsid w:val="00114482"/>
    <w:rsid w:val="001146A0"/>
    <w:rsid w:val="001146F8"/>
    <w:rsid w:val="001146F9"/>
    <w:rsid w:val="00114763"/>
    <w:rsid w:val="001147A8"/>
    <w:rsid w:val="0011486F"/>
    <w:rsid w:val="00114894"/>
    <w:rsid w:val="001148EB"/>
    <w:rsid w:val="001148EE"/>
    <w:rsid w:val="0011491A"/>
    <w:rsid w:val="00114998"/>
    <w:rsid w:val="00114A31"/>
    <w:rsid w:val="00114A3D"/>
    <w:rsid w:val="00114A57"/>
    <w:rsid w:val="00114A89"/>
    <w:rsid w:val="00114AD5"/>
    <w:rsid w:val="00114B27"/>
    <w:rsid w:val="00114BC3"/>
    <w:rsid w:val="00114C93"/>
    <w:rsid w:val="00114CA6"/>
    <w:rsid w:val="00114CBC"/>
    <w:rsid w:val="00114D6F"/>
    <w:rsid w:val="00114D78"/>
    <w:rsid w:val="00114DA2"/>
    <w:rsid w:val="00114E32"/>
    <w:rsid w:val="00114ED2"/>
    <w:rsid w:val="00114EEB"/>
    <w:rsid w:val="00114F3D"/>
    <w:rsid w:val="00114FE6"/>
    <w:rsid w:val="00114FFF"/>
    <w:rsid w:val="0011511C"/>
    <w:rsid w:val="0011512E"/>
    <w:rsid w:val="001151D1"/>
    <w:rsid w:val="00115326"/>
    <w:rsid w:val="001153D1"/>
    <w:rsid w:val="001153FB"/>
    <w:rsid w:val="001153FE"/>
    <w:rsid w:val="00115449"/>
    <w:rsid w:val="00115509"/>
    <w:rsid w:val="00115580"/>
    <w:rsid w:val="001155EC"/>
    <w:rsid w:val="0011564E"/>
    <w:rsid w:val="00115727"/>
    <w:rsid w:val="00115812"/>
    <w:rsid w:val="0011581A"/>
    <w:rsid w:val="0011587A"/>
    <w:rsid w:val="001158BA"/>
    <w:rsid w:val="001158D0"/>
    <w:rsid w:val="00115961"/>
    <w:rsid w:val="00115A14"/>
    <w:rsid w:val="00115A15"/>
    <w:rsid w:val="00115A29"/>
    <w:rsid w:val="00115A33"/>
    <w:rsid w:val="00115A3D"/>
    <w:rsid w:val="00115BC1"/>
    <w:rsid w:val="00115C4D"/>
    <w:rsid w:val="00115C61"/>
    <w:rsid w:val="00115CAA"/>
    <w:rsid w:val="00115D02"/>
    <w:rsid w:val="00115D1A"/>
    <w:rsid w:val="00115D25"/>
    <w:rsid w:val="00115DCF"/>
    <w:rsid w:val="00115DEA"/>
    <w:rsid w:val="00115E17"/>
    <w:rsid w:val="00115EB5"/>
    <w:rsid w:val="00115F8D"/>
    <w:rsid w:val="00115FAE"/>
    <w:rsid w:val="00115FB9"/>
    <w:rsid w:val="00115FD6"/>
    <w:rsid w:val="00116071"/>
    <w:rsid w:val="00116091"/>
    <w:rsid w:val="00116107"/>
    <w:rsid w:val="00116198"/>
    <w:rsid w:val="00116263"/>
    <w:rsid w:val="00116300"/>
    <w:rsid w:val="00116362"/>
    <w:rsid w:val="0011639D"/>
    <w:rsid w:val="001163D5"/>
    <w:rsid w:val="001163E9"/>
    <w:rsid w:val="00116400"/>
    <w:rsid w:val="0011640D"/>
    <w:rsid w:val="0011647E"/>
    <w:rsid w:val="00116538"/>
    <w:rsid w:val="00116541"/>
    <w:rsid w:val="0011656B"/>
    <w:rsid w:val="00116588"/>
    <w:rsid w:val="0011663A"/>
    <w:rsid w:val="0011668D"/>
    <w:rsid w:val="00116690"/>
    <w:rsid w:val="001166A9"/>
    <w:rsid w:val="001167D2"/>
    <w:rsid w:val="00116882"/>
    <w:rsid w:val="001168CF"/>
    <w:rsid w:val="00116934"/>
    <w:rsid w:val="00116BEF"/>
    <w:rsid w:val="00116C36"/>
    <w:rsid w:val="00116C77"/>
    <w:rsid w:val="00116C80"/>
    <w:rsid w:val="00116CA0"/>
    <w:rsid w:val="00116CCC"/>
    <w:rsid w:val="00116CDA"/>
    <w:rsid w:val="00116CF4"/>
    <w:rsid w:val="00116DA5"/>
    <w:rsid w:val="00116E42"/>
    <w:rsid w:val="00116E4C"/>
    <w:rsid w:val="00116E7C"/>
    <w:rsid w:val="00116E9A"/>
    <w:rsid w:val="00116F24"/>
    <w:rsid w:val="00116F77"/>
    <w:rsid w:val="00116FB6"/>
    <w:rsid w:val="00116FBA"/>
    <w:rsid w:val="00116FCD"/>
    <w:rsid w:val="00117043"/>
    <w:rsid w:val="001170C4"/>
    <w:rsid w:val="0011717A"/>
    <w:rsid w:val="001171FB"/>
    <w:rsid w:val="0011721B"/>
    <w:rsid w:val="001172B2"/>
    <w:rsid w:val="001172DC"/>
    <w:rsid w:val="001173C2"/>
    <w:rsid w:val="001174AF"/>
    <w:rsid w:val="001174F1"/>
    <w:rsid w:val="0011753A"/>
    <w:rsid w:val="0011756C"/>
    <w:rsid w:val="00117642"/>
    <w:rsid w:val="0011769D"/>
    <w:rsid w:val="0011770F"/>
    <w:rsid w:val="00117831"/>
    <w:rsid w:val="0011785F"/>
    <w:rsid w:val="0011792C"/>
    <w:rsid w:val="00117939"/>
    <w:rsid w:val="001179A4"/>
    <w:rsid w:val="001179CF"/>
    <w:rsid w:val="00117A01"/>
    <w:rsid w:val="00117AB2"/>
    <w:rsid w:val="00117BC8"/>
    <w:rsid w:val="00117BEB"/>
    <w:rsid w:val="00117C0E"/>
    <w:rsid w:val="00117D0B"/>
    <w:rsid w:val="00117DA9"/>
    <w:rsid w:val="00117DB9"/>
    <w:rsid w:val="00117F19"/>
    <w:rsid w:val="00117FC9"/>
    <w:rsid w:val="00117FD6"/>
    <w:rsid w:val="00120136"/>
    <w:rsid w:val="001202AA"/>
    <w:rsid w:val="00120327"/>
    <w:rsid w:val="0012032C"/>
    <w:rsid w:val="00120471"/>
    <w:rsid w:val="00120537"/>
    <w:rsid w:val="0012058D"/>
    <w:rsid w:val="001205B7"/>
    <w:rsid w:val="001206C9"/>
    <w:rsid w:val="001206F2"/>
    <w:rsid w:val="00120702"/>
    <w:rsid w:val="00120792"/>
    <w:rsid w:val="00120806"/>
    <w:rsid w:val="00120832"/>
    <w:rsid w:val="00120834"/>
    <w:rsid w:val="00120840"/>
    <w:rsid w:val="00120948"/>
    <w:rsid w:val="00120991"/>
    <w:rsid w:val="00120A28"/>
    <w:rsid w:val="00120A50"/>
    <w:rsid w:val="00120A5B"/>
    <w:rsid w:val="00120B0D"/>
    <w:rsid w:val="00120B23"/>
    <w:rsid w:val="00120B2C"/>
    <w:rsid w:val="00120B3A"/>
    <w:rsid w:val="00120B6B"/>
    <w:rsid w:val="00120CA1"/>
    <w:rsid w:val="00120D2E"/>
    <w:rsid w:val="00120D69"/>
    <w:rsid w:val="00120D7F"/>
    <w:rsid w:val="00120FB5"/>
    <w:rsid w:val="001210EE"/>
    <w:rsid w:val="0012116D"/>
    <w:rsid w:val="0012117D"/>
    <w:rsid w:val="00121214"/>
    <w:rsid w:val="00121215"/>
    <w:rsid w:val="00121221"/>
    <w:rsid w:val="0012127F"/>
    <w:rsid w:val="001212F2"/>
    <w:rsid w:val="00121466"/>
    <w:rsid w:val="00121524"/>
    <w:rsid w:val="00121568"/>
    <w:rsid w:val="00121599"/>
    <w:rsid w:val="00121605"/>
    <w:rsid w:val="00121634"/>
    <w:rsid w:val="001216A8"/>
    <w:rsid w:val="001216B3"/>
    <w:rsid w:val="001216DE"/>
    <w:rsid w:val="00121703"/>
    <w:rsid w:val="0012174E"/>
    <w:rsid w:val="00121775"/>
    <w:rsid w:val="00121821"/>
    <w:rsid w:val="00121916"/>
    <w:rsid w:val="00121969"/>
    <w:rsid w:val="001219C4"/>
    <w:rsid w:val="00121A83"/>
    <w:rsid w:val="00121AB7"/>
    <w:rsid w:val="00121B14"/>
    <w:rsid w:val="00121B63"/>
    <w:rsid w:val="00121BC9"/>
    <w:rsid w:val="00121BD5"/>
    <w:rsid w:val="00121C0C"/>
    <w:rsid w:val="00121C5E"/>
    <w:rsid w:val="00121CE9"/>
    <w:rsid w:val="00121D9F"/>
    <w:rsid w:val="00121DBE"/>
    <w:rsid w:val="00121DFB"/>
    <w:rsid w:val="00121E74"/>
    <w:rsid w:val="00121EB5"/>
    <w:rsid w:val="00121EF9"/>
    <w:rsid w:val="00121F73"/>
    <w:rsid w:val="00121FB1"/>
    <w:rsid w:val="00122070"/>
    <w:rsid w:val="00122072"/>
    <w:rsid w:val="00122075"/>
    <w:rsid w:val="00122080"/>
    <w:rsid w:val="001220B9"/>
    <w:rsid w:val="001220C8"/>
    <w:rsid w:val="001221CB"/>
    <w:rsid w:val="001221D8"/>
    <w:rsid w:val="001222A8"/>
    <w:rsid w:val="0012230A"/>
    <w:rsid w:val="0012233E"/>
    <w:rsid w:val="0012236B"/>
    <w:rsid w:val="001223AF"/>
    <w:rsid w:val="00122409"/>
    <w:rsid w:val="0012254D"/>
    <w:rsid w:val="0012256D"/>
    <w:rsid w:val="0012257B"/>
    <w:rsid w:val="00122584"/>
    <w:rsid w:val="00122596"/>
    <w:rsid w:val="00122672"/>
    <w:rsid w:val="0012269F"/>
    <w:rsid w:val="001227AD"/>
    <w:rsid w:val="001227D8"/>
    <w:rsid w:val="001227E1"/>
    <w:rsid w:val="00122889"/>
    <w:rsid w:val="001228C2"/>
    <w:rsid w:val="001228D9"/>
    <w:rsid w:val="00122923"/>
    <w:rsid w:val="001229DB"/>
    <w:rsid w:val="001229ED"/>
    <w:rsid w:val="00122A37"/>
    <w:rsid w:val="00122A4F"/>
    <w:rsid w:val="00122A72"/>
    <w:rsid w:val="00122AD9"/>
    <w:rsid w:val="00122B16"/>
    <w:rsid w:val="00122B34"/>
    <w:rsid w:val="00122B65"/>
    <w:rsid w:val="00122B9C"/>
    <w:rsid w:val="00122D51"/>
    <w:rsid w:val="00122DDE"/>
    <w:rsid w:val="00122DDF"/>
    <w:rsid w:val="00122EDD"/>
    <w:rsid w:val="00122F5C"/>
    <w:rsid w:val="00122F8F"/>
    <w:rsid w:val="0012309A"/>
    <w:rsid w:val="00123125"/>
    <w:rsid w:val="00123236"/>
    <w:rsid w:val="001232B1"/>
    <w:rsid w:val="001232B4"/>
    <w:rsid w:val="001232F3"/>
    <w:rsid w:val="0012331C"/>
    <w:rsid w:val="00123327"/>
    <w:rsid w:val="00123357"/>
    <w:rsid w:val="001234AA"/>
    <w:rsid w:val="00123516"/>
    <w:rsid w:val="00123582"/>
    <w:rsid w:val="00123689"/>
    <w:rsid w:val="0012377F"/>
    <w:rsid w:val="001237E4"/>
    <w:rsid w:val="0012383E"/>
    <w:rsid w:val="00123843"/>
    <w:rsid w:val="00123935"/>
    <w:rsid w:val="0012396A"/>
    <w:rsid w:val="001239B0"/>
    <w:rsid w:val="001239D4"/>
    <w:rsid w:val="00123A72"/>
    <w:rsid w:val="00123A82"/>
    <w:rsid w:val="00123AD0"/>
    <w:rsid w:val="00123B40"/>
    <w:rsid w:val="00123B63"/>
    <w:rsid w:val="00123D2F"/>
    <w:rsid w:val="00123D43"/>
    <w:rsid w:val="00123DCB"/>
    <w:rsid w:val="00123E3A"/>
    <w:rsid w:val="00123E40"/>
    <w:rsid w:val="00123E5A"/>
    <w:rsid w:val="00123E8B"/>
    <w:rsid w:val="00123EE3"/>
    <w:rsid w:val="00123F04"/>
    <w:rsid w:val="00123F07"/>
    <w:rsid w:val="00123F42"/>
    <w:rsid w:val="00123F4C"/>
    <w:rsid w:val="00124060"/>
    <w:rsid w:val="001240E6"/>
    <w:rsid w:val="001240EF"/>
    <w:rsid w:val="001241C5"/>
    <w:rsid w:val="001241DB"/>
    <w:rsid w:val="0012422C"/>
    <w:rsid w:val="00124234"/>
    <w:rsid w:val="00124350"/>
    <w:rsid w:val="00124362"/>
    <w:rsid w:val="00124375"/>
    <w:rsid w:val="0012439F"/>
    <w:rsid w:val="001243BA"/>
    <w:rsid w:val="001243F0"/>
    <w:rsid w:val="0012442D"/>
    <w:rsid w:val="00124430"/>
    <w:rsid w:val="00124443"/>
    <w:rsid w:val="00124445"/>
    <w:rsid w:val="0012459A"/>
    <w:rsid w:val="00124600"/>
    <w:rsid w:val="00124673"/>
    <w:rsid w:val="00124881"/>
    <w:rsid w:val="0012493D"/>
    <w:rsid w:val="00124994"/>
    <w:rsid w:val="001249BE"/>
    <w:rsid w:val="00124A28"/>
    <w:rsid w:val="00124A71"/>
    <w:rsid w:val="00124ABC"/>
    <w:rsid w:val="00124B25"/>
    <w:rsid w:val="00124B94"/>
    <w:rsid w:val="00124B95"/>
    <w:rsid w:val="00124BD2"/>
    <w:rsid w:val="00124C81"/>
    <w:rsid w:val="00124DCC"/>
    <w:rsid w:val="00124DEB"/>
    <w:rsid w:val="00124DEC"/>
    <w:rsid w:val="00124E12"/>
    <w:rsid w:val="00124E1D"/>
    <w:rsid w:val="00124ED4"/>
    <w:rsid w:val="00124EF6"/>
    <w:rsid w:val="00124F73"/>
    <w:rsid w:val="00124FB8"/>
    <w:rsid w:val="00124FF0"/>
    <w:rsid w:val="00125113"/>
    <w:rsid w:val="00125232"/>
    <w:rsid w:val="0012523B"/>
    <w:rsid w:val="001252AD"/>
    <w:rsid w:val="001252D7"/>
    <w:rsid w:val="00125459"/>
    <w:rsid w:val="001255D0"/>
    <w:rsid w:val="001255D2"/>
    <w:rsid w:val="00125657"/>
    <w:rsid w:val="0012567D"/>
    <w:rsid w:val="00125735"/>
    <w:rsid w:val="00125743"/>
    <w:rsid w:val="00125760"/>
    <w:rsid w:val="00125785"/>
    <w:rsid w:val="001257AD"/>
    <w:rsid w:val="001257E7"/>
    <w:rsid w:val="001257F9"/>
    <w:rsid w:val="00125856"/>
    <w:rsid w:val="00125898"/>
    <w:rsid w:val="001258BA"/>
    <w:rsid w:val="001258C6"/>
    <w:rsid w:val="001258D0"/>
    <w:rsid w:val="0012590C"/>
    <w:rsid w:val="0012594C"/>
    <w:rsid w:val="001259C4"/>
    <w:rsid w:val="00125AD8"/>
    <w:rsid w:val="00125BA9"/>
    <w:rsid w:val="00125BBB"/>
    <w:rsid w:val="00125C49"/>
    <w:rsid w:val="00125CC7"/>
    <w:rsid w:val="00125D4E"/>
    <w:rsid w:val="00125E05"/>
    <w:rsid w:val="00125E89"/>
    <w:rsid w:val="00125EB2"/>
    <w:rsid w:val="00125EC8"/>
    <w:rsid w:val="00125F0D"/>
    <w:rsid w:val="00125F36"/>
    <w:rsid w:val="00125F9C"/>
    <w:rsid w:val="00125FF3"/>
    <w:rsid w:val="0012600E"/>
    <w:rsid w:val="00126183"/>
    <w:rsid w:val="001262F2"/>
    <w:rsid w:val="001263AD"/>
    <w:rsid w:val="001263EB"/>
    <w:rsid w:val="00126402"/>
    <w:rsid w:val="0012643B"/>
    <w:rsid w:val="00126461"/>
    <w:rsid w:val="0012647C"/>
    <w:rsid w:val="001264D7"/>
    <w:rsid w:val="00126572"/>
    <w:rsid w:val="00126574"/>
    <w:rsid w:val="00126615"/>
    <w:rsid w:val="00126655"/>
    <w:rsid w:val="0012679D"/>
    <w:rsid w:val="00126877"/>
    <w:rsid w:val="0012689D"/>
    <w:rsid w:val="001268BC"/>
    <w:rsid w:val="00126992"/>
    <w:rsid w:val="0012699B"/>
    <w:rsid w:val="001269A5"/>
    <w:rsid w:val="001269F0"/>
    <w:rsid w:val="00126A32"/>
    <w:rsid w:val="00126A43"/>
    <w:rsid w:val="00126A65"/>
    <w:rsid w:val="00126A7F"/>
    <w:rsid w:val="00126AA3"/>
    <w:rsid w:val="00126B14"/>
    <w:rsid w:val="00126B44"/>
    <w:rsid w:val="00126B6C"/>
    <w:rsid w:val="00126B9F"/>
    <w:rsid w:val="00126BAB"/>
    <w:rsid w:val="00126C59"/>
    <w:rsid w:val="00126C9D"/>
    <w:rsid w:val="00126CE6"/>
    <w:rsid w:val="00126D7B"/>
    <w:rsid w:val="00126D96"/>
    <w:rsid w:val="00126E37"/>
    <w:rsid w:val="00126EB4"/>
    <w:rsid w:val="00126F39"/>
    <w:rsid w:val="00126F9D"/>
    <w:rsid w:val="00126FEF"/>
    <w:rsid w:val="00127011"/>
    <w:rsid w:val="0012706D"/>
    <w:rsid w:val="001270C8"/>
    <w:rsid w:val="0012716B"/>
    <w:rsid w:val="00127184"/>
    <w:rsid w:val="001271C0"/>
    <w:rsid w:val="001271CF"/>
    <w:rsid w:val="00127300"/>
    <w:rsid w:val="001273C2"/>
    <w:rsid w:val="001273C3"/>
    <w:rsid w:val="001273C8"/>
    <w:rsid w:val="0012745B"/>
    <w:rsid w:val="001274A8"/>
    <w:rsid w:val="001274AA"/>
    <w:rsid w:val="00127558"/>
    <w:rsid w:val="00127583"/>
    <w:rsid w:val="001275F9"/>
    <w:rsid w:val="001275FC"/>
    <w:rsid w:val="0012763A"/>
    <w:rsid w:val="00127702"/>
    <w:rsid w:val="00127727"/>
    <w:rsid w:val="001277ED"/>
    <w:rsid w:val="0012790B"/>
    <w:rsid w:val="001279AB"/>
    <w:rsid w:val="001279D9"/>
    <w:rsid w:val="00127A56"/>
    <w:rsid w:val="00127AAD"/>
    <w:rsid w:val="00127B36"/>
    <w:rsid w:val="00127B5E"/>
    <w:rsid w:val="00127B82"/>
    <w:rsid w:val="00127B8C"/>
    <w:rsid w:val="00127BB3"/>
    <w:rsid w:val="00127BC5"/>
    <w:rsid w:val="00127BCB"/>
    <w:rsid w:val="00127D28"/>
    <w:rsid w:val="00127E69"/>
    <w:rsid w:val="0013003B"/>
    <w:rsid w:val="001300C4"/>
    <w:rsid w:val="001300D0"/>
    <w:rsid w:val="001300F6"/>
    <w:rsid w:val="00130170"/>
    <w:rsid w:val="00130176"/>
    <w:rsid w:val="001301B5"/>
    <w:rsid w:val="001301C6"/>
    <w:rsid w:val="0013020D"/>
    <w:rsid w:val="0013022B"/>
    <w:rsid w:val="00130259"/>
    <w:rsid w:val="00130395"/>
    <w:rsid w:val="001303D3"/>
    <w:rsid w:val="0013044A"/>
    <w:rsid w:val="00130478"/>
    <w:rsid w:val="001304EA"/>
    <w:rsid w:val="001304EB"/>
    <w:rsid w:val="00130513"/>
    <w:rsid w:val="001305C2"/>
    <w:rsid w:val="001305C4"/>
    <w:rsid w:val="0013063A"/>
    <w:rsid w:val="0013066A"/>
    <w:rsid w:val="001306A6"/>
    <w:rsid w:val="001308B7"/>
    <w:rsid w:val="001308D0"/>
    <w:rsid w:val="001308E4"/>
    <w:rsid w:val="001309F1"/>
    <w:rsid w:val="00130AD9"/>
    <w:rsid w:val="00130B68"/>
    <w:rsid w:val="00130B95"/>
    <w:rsid w:val="00130BE4"/>
    <w:rsid w:val="00130C0A"/>
    <w:rsid w:val="00130C56"/>
    <w:rsid w:val="00130CEC"/>
    <w:rsid w:val="00130DC9"/>
    <w:rsid w:val="00130E16"/>
    <w:rsid w:val="00130E8F"/>
    <w:rsid w:val="00130EA3"/>
    <w:rsid w:val="00130EB3"/>
    <w:rsid w:val="00130EFC"/>
    <w:rsid w:val="00130F36"/>
    <w:rsid w:val="00130F81"/>
    <w:rsid w:val="00130FF3"/>
    <w:rsid w:val="0013101B"/>
    <w:rsid w:val="001310B2"/>
    <w:rsid w:val="00131139"/>
    <w:rsid w:val="0013113A"/>
    <w:rsid w:val="001311B5"/>
    <w:rsid w:val="001311B9"/>
    <w:rsid w:val="0013126E"/>
    <w:rsid w:val="0013127B"/>
    <w:rsid w:val="001312BE"/>
    <w:rsid w:val="00131307"/>
    <w:rsid w:val="00131313"/>
    <w:rsid w:val="00131383"/>
    <w:rsid w:val="00131384"/>
    <w:rsid w:val="001313BF"/>
    <w:rsid w:val="001313C5"/>
    <w:rsid w:val="0013140A"/>
    <w:rsid w:val="0013145E"/>
    <w:rsid w:val="001314FC"/>
    <w:rsid w:val="00131523"/>
    <w:rsid w:val="001315A8"/>
    <w:rsid w:val="001315E8"/>
    <w:rsid w:val="001316DD"/>
    <w:rsid w:val="001316E5"/>
    <w:rsid w:val="0013170C"/>
    <w:rsid w:val="001318CE"/>
    <w:rsid w:val="001318FD"/>
    <w:rsid w:val="0013197C"/>
    <w:rsid w:val="00131A05"/>
    <w:rsid w:val="00131A08"/>
    <w:rsid w:val="00131A3B"/>
    <w:rsid w:val="00131A87"/>
    <w:rsid w:val="00131B13"/>
    <w:rsid w:val="00131C54"/>
    <w:rsid w:val="00131CDD"/>
    <w:rsid w:val="00131CF7"/>
    <w:rsid w:val="00131DC6"/>
    <w:rsid w:val="00131DFE"/>
    <w:rsid w:val="00131E0F"/>
    <w:rsid w:val="00131EE2"/>
    <w:rsid w:val="00131EF5"/>
    <w:rsid w:val="00131EFF"/>
    <w:rsid w:val="00131F40"/>
    <w:rsid w:val="00131FA4"/>
    <w:rsid w:val="00132119"/>
    <w:rsid w:val="001321E9"/>
    <w:rsid w:val="001321F6"/>
    <w:rsid w:val="00132277"/>
    <w:rsid w:val="00132289"/>
    <w:rsid w:val="001322B8"/>
    <w:rsid w:val="001322BA"/>
    <w:rsid w:val="001322C0"/>
    <w:rsid w:val="001322E1"/>
    <w:rsid w:val="0013234E"/>
    <w:rsid w:val="00132383"/>
    <w:rsid w:val="00132385"/>
    <w:rsid w:val="001323FE"/>
    <w:rsid w:val="00132405"/>
    <w:rsid w:val="001324C6"/>
    <w:rsid w:val="001324E8"/>
    <w:rsid w:val="00132563"/>
    <w:rsid w:val="00132665"/>
    <w:rsid w:val="0013268D"/>
    <w:rsid w:val="0013268E"/>
    <w:rsid w:val="001326A4"/>
    <w:rsid w:val="001326C3"/>
    <w:rsid w:val="00132731"/>
    <w:rsid w:val="00132785"/>
    <w:rsid w:val="001327FA"/>
    <w:rsid w:val="0013283D"/>
    <w:rsid w:val="0013288B"/>
    <w:rsid w:val="001328B3"/>
    <w:rsid w:val="001328B6"/>
    <w:rsid w:val="001329AC"/>
    <w:rsid w:val="00132B96"/>
    <w:rsid w:val="00132C2B"/>
    <w:rsid w:val="00132C66"/>
    <w:rsid w:val="00132C77"/>
    <w:rsid w:val="00132D10"/>
    <w:rsid w:val="00132D14"/>
    <w:rsid w:val="00132D50"/>
    <w:rsid w:val="00132D97"/>
    <w:rsid w:val="00132DB9"/>
    <w:rsid w:val="00132EB9"/>
    <w:rsid w:val="00132F82"/>
    <w:rsid w:val="00132FBB"/>
    <w:rsid w:val="00132FDA"/>
    <w:rsid w:val="00132FE3"/>
    <w:rsid w:val="0013306B"/>
    <w:rsid w:val="001330B3"/>
    <w:rsid w:val="001330DE"/>
    <w:rsid w:val="00133112"/>
    <w:rsid w:val="0013311D"/>
    <w:rsid w:val="001332F5"/>
    <w:rsid w:val="0013332A"/>
    <w:rsid w:val="00133368"/>
    <w:rsid w:val="001333F0"/>
    <w:rsid w:val="0013340C"/>
    <w:rsid w:val="0013356C"/>
    <w:rsid w:val="0013358D"/>
    <w:rsid w:val="001336AB"/>
    <w:rsid w:val="001336B4"/>
    <w:rsid w:val="001336CE"/>
    <w:rsid w:val="001336D6"/>
    <w:rsid w:val="00133731"/>
    <w:rsid w:val="00133737"/>
    <w:rsid w:val="001337AA"/>
    <w:rsid w:val="001337E1"/>
    <w:rsid w:val="00133895"/>
    <w:rsid w:val="001338D3"/>
    <w:rsid w:val="00133907"/>
    <w:rsid w:val="001339D3"/>
    <w:rsid w:val="001339F6"/>
    <w:rsid w:val="001339FA"/>
    <w:rsid w:val="00133A6C"/>
    <w:rsid w:val="00133A86"/>
    <w:rsid w:val="00133AE2"/>
    <w:rsid w:val="00133B04"/>
    <w:rsid w:val="00133B8A"/>
    <w:rsid w:val="00133BC6"/>
    <w:rsid w:val="00133BE0"/>
    <w:rsid w:val="00133BEA"/>
    <w:rsid w:val="00133BFE"/>
    <w:rsid w:val="00133CC7"/>
    <w:rsid w:val="00133CE3"/>
    <w:rsid w:val="00133D8C"/>
    <w:rsid w:val="00133E0B"/>
    <w:rsid w:val="00133E0E"/>
    <w:rsid w:val="00133E44"/>
    <w:rsid w:val="00133E87"/>
    <w:rsid w:val="00133EA1"/>
    <w:rsid w:val="00133EF8"/>
    <w:rsid w:val="00133F13"/>
    <w:rsid w:val="00133F33"/>
    <w:rsid w:val="0013406B"/>
    <w:rsid w:val="00134184"/>
    <w:rsid w:val="0013419A"/>
    <w:rsid w:val="001341E4"/>
    <w:rsid w:val="00134260"/>
    <w:rsid w:val="0013436C"/>
    <w:rsid w:val="0013439A"/>
    <w:rsid w:val="001343E6"/>
    <w:rsid w:val="00134474"/>
    <w:rsid w:val="001344BE"/>
    <w:rsid w:val="00134529"/>
    <w:rsid w:val="00134584"/>
    <w:rsid w:val="0013468E"/>
    <w:rsid w:val="0013471F"/>
    <w:rsid w:val="00134725"/>
    <w:rsid w:val="00134983"/>
    <w:rsid w:val="001349C1"/>
    <w:rsid w:val="00134B37"/>
    <w:rsid w:val="00134B61"/>
    <w:rsid w:val="00134B66"/>
    <w:rsid w:val="00134B84"/>
    <w:rsid w:val="00134BDB"/>
    <w:rsid w:val="00134BE3"/>
    <w:rsid w:val="00134BFA"/>
    <w:rsid w:val="00134C7C"/>
    <w:rsid w:val="00134CFF"/>
    <w:rsid w:val="00134E02"/>
    <w:rsid w:val="00134E5A"/>
    <w:rsid w:val="00134EA9"/>
    <w:rsid w:val="00134EAB"/>
    <w:rsid w:val="00134FD6"/>
    <w:rsid w:val="00134FD8"/>
    <w:rsid w:val="0013504D"/>
    <w:rsid w:val="0013505D"/>
    <w:rsid w:val="001350AD"/>
    <w:rsid w:val="001350CC"/>
    <w:rsid w:val="001350CF"/>
    <w:rsid w:val="00135203"/>
    <w:rsid w:val="00135227"/>
    <w:rsid w:val="0013525C"/>
    <w:rsid w:val="00135376"/>
    <w:rsid w:val="001353C7"/>
    <w:rsid w:val="0013543E"/>
    <w:rsid w:val="001354CF"/>
    <w:rsid w:val="001354DF"/>
    <w:rsid w:val="00135500"/>
    <w:rsid w:val="0013554E"/>
    <w:rsid w:val="00135585"/>
    <w:rsid w:val="001355CD"/>
    <w:rsid w:val="001355E7"/>
    <w:rsid w:val="00135711"/>
    <w:rsid w:val="00135715"/>
    <w:rsid w:val="00135757"/>
    <w:rsid w:val="0013576D"/>
    <w:rsid w:val="001357C5"/>
    <w:rsid w:val="0013596B"/>
    <w:rsid w:val="001359E3"/>
    <w:rsid w:val="00135A27"/>
    <w:rsid w:val="00135A68"/>
    <w:rsid w:val="00135A7A"/>
    <w:rsid w:val="00135A82"/>
    <w:rsid w:val="00135A94"/>
    <w:rsid w:val="00135B28"/>
    <w:rsid w:val="00135B90"/>
    <w:rsid w:val="00135CD9"/>
    <w:rsid w:val="00135D49"/>
    <w:rsid w:val="00135D5B"/>
    <w:rsid w:val="00135D69"/>
    <w:rsid w:val="00135E0D"/>
    <w:rsid w:val="00135F0C"/>
    <w:rsid w:val="00135F50"/>
    <w:rsid w:val="00135F65"/>
    <w:rsid w:val="00135FBE"/>
    <w:rsid w:val="00136017"/>
    <w:rsid w:val="001361F3"/>
    <w:rsid w:val="0013625B"/>
    <w:rsid w:val="00136276"/>
    <w:rsid w:val="00136335"/>
    <w:rsid w:val="0013635A"/>
    <w:rsid w:val="001364F7"/>
    <w:rsid w:val="0013668A"/>
    <w:rsid w:val="001366DC"/>
    <w:rsid w:val="001367F3"/>
    <w:rsid w:val="0013680F"/>
    <w:rsid w:val="0013688A"/>
    <w:rsid w:val="001368CD"/>
    <w:rsid w:val="00136912"/>
    <w:rsid w:val="0013691D"/>
    <w:rsid w:val="00136971"/>
    <w:rsid w:val="00136976"/>
    <w:rsid w:val="00136A38"/>
    <w:rsid w:val="00136B06"/>
    <w:rsid w:val="00136B38"/>
    <w:rsid w:val="00136B99"/>
    <w:rsid w:val="00136BFC"/>
    <w:rsid w:val="00136C12"/>
    <w:rsid w:val="00136C88"/>
    <w:rsid w:val="00136CFC"/>
    <w:rsid w:val="00136D9A"/>
    <w:rsid w:val="00136DC0"/>
    <w:rsid w:val="00136E68"/>
    <w:rsid w:val="00136E87"/>
    <w:rsid w:val="00136EBF"/>
    <w:rsid w:val="00136F55"/>
    <w:rsid w:val="00136F77"/>
    <w:rsid w:val="00136FAE"/>
    <w:rsid w:val="00137023"/>
    <w:rsid w:val="00137028"/>
    <w:rsid w:val="00137053"/>
    <w:rsid w:val="00137093"/>
    <w:rsid w:val="001370B2"/>
    <w:rsid w:val="00137126"/>
    <w:rsid w:val="00137145"/>
    <w:rsid w:val="00137226"/>
    <w:rsid w:val="0013722E"/>
    <w:rsid w:val="00137256"/>
    <w:rsid w:val="0013726E"/>
    <w:rsid w:val="00137306"/>
    <w:rsid w:val="00137336"/>
    <w:rsid w:val="00137346"/>
    <w:rsid w:val="00137355"/>
    <w:rsid w:val="001373B6"/>
    <w:rsid w:val="001373C4"/>
    <w:rsid w:val="00137437"/>
    <w:rsid w:val="00137469"/>
    <w:rsid w:val="00137495"/>
    <w:rsid w:val="001374C2"/>
    <w:rsid w:val="00137523"/>
    <w:rsid w:val="001375D4"/>
    <w:rsid w:val="00137671"/>
    <w:rsid w:val="00137722"/>
    <w:rsid w:val="00137780"/>
    <w:rsid w:val="001377FF"/>
    <w:rsid w:val="00137828"/>
    <w:rsid w:val="001378A8"/>
    <w:rsid w:val="00137958"/>
    <w:rsid w:val="001379DC"/>
    <w:rsid w:val="00137A00"/>
    <w:rsid w:val="00137A05"/>
    <w:rsid w:val="00137A69"/>
    <w:rsid w:val="00137ACD"/>
    <w:rsid w:val="00137B8D"/>
    <w:rsid w:val="00137BD5"/>
    <w:rsid w:val="00137BF4"/>
    <w:rsid w:val="00137C21"/>
    <w:rsid w:val="00137C83"/>
    <w:rsid w:val="00137D63"/>
    <w:rsid w:val="00137D6A"/>
    <w:rsid w:val="00137DAA"/>
    <w:rsid w:val="00137DDA"/>
    <w:rsid w:val="00137E21"/>
    <w:rsid w:val="00137E24"/>
    <w:rsid w:val="00137E56"/>
    <w:rsid w:val="00137ED7"/>
    <w:rsid w:val="00137F72"/>
    <w:rsid w:val="00137F86"/>
    <w:rsid w:val="00137FAB"/>
    <w:rsid w:val="00137FE8"/>
    <w:rsid w:val="0014000C"/>
    <w:rsid w:val="00140023"/>
    <w:rsid w:val="00140060"/>
    <w:rsid w:val="00140089"/>
    <w:rsid w:val="00140137"/>
    <w:rsid w:val="001401BE"/>
    <w:rsid w:val="001402A8"/>
    <w:rsid w:val="0014031F"/>
    <w:rsid w:val="0014036F"/>
    <w:rsid w:val="0014050C"/>
    <w:rsid w:val="0014058D"/>
    <w:rsid w:val="00140699"/>
    <w:rsid w:val="001406F3"/>
    <w:rsid w:val="00140753"/>
    <w:rsid w:val="00140775"/>
    <w:rsid w:val="00140784"/>
    <w:rsid w:val="0014079F"/>
    <w:rsid w:val="001407C0"/>
    <w:rsid w:val="001407F2"/>
    <w:rsid w:val="001408EE"/>
    <w:rsid w:val="00140901"/>
    <w:rsid w:val="001409A4"/>
    <w:rsid w:val="001409F9"/>
    <w:rsid w:val="00140A1A"/>
    <w:rsid w:val="00140A54"/>
    <w:rsid w:val="00140A9A"/>
    <w:rsid w:val="00140A9B"/>
    <w:rsid w:val="00140AA3"/>
    <w:rsid w:val="00140AAE"/>
    <w:rsid w:val="00140AB5"/>
    <w:rsid w:val="00140E6D"/>
    <w:rsid w:val="00140E7B"/>
    <w:rsid w:val="00140EFE"/>
    <w:rsid w:val="00140F19"/>
    <w:rsid w:val="00140F23"/>
    <w:rsid w:val="00140F7F"/>
    <w:rsid w:val="00140FF1"/>
    <w:rsid w:val="00141027"/>
    <w:rsid w:val="00141116"/>
    <w:rsid w:val="00141124"/>
    <w:rsid w:val="00141138"/>
    <w:rsid w:val="0014119E"/>
    <w:rsid w:val="001411EA"/>
    <w:rsid w:val="001411FD"/>
    <w:rsid w:val="00141211"/>
    <w:rsid w:val="00141218"/>
    <w:rsid w:val="0014127C"/>
    <w:rsid w:val="001412B8"/>
    <w:rsid w:val="001412BE"/>
    <w:rsid w:val="0014134F"/>
    <w:rsid w:val="0014139C"/>
    <w:rsid w:val="0014143D"/>
    <w:rsid w:val="00141505"/>
    <w:rsid w:val="0014164A"/>
    <w:rsid w:val="00141662"/>
    <w:rsid w:val="0014167D"/>
    <w:rsid w:val="001416A9"/>
    <w:rsid w:val="0014178E"/>
    <w:rsid w:val="00141817"/>
    <w:rsid w:val="00141907"/>
    <w:rsid w:val="0014191C"/>
    <w:rsid w:val="00141998"/>
    <w:rsid w:val="001419B2"/>
    <w:rsid w:val="001419C5"/>
    <w:rsid w:val="001419CA"/>
    <w:rsid w:val="00141A27"/>
    <w:rsid w:val="00141A2B"/>
    <w:rsid w:val="00141A49"/>
    <w:rsid w:val="00141AB1"/>
    <w:rsid w:val="00141AD2"/>
    <w:rsid w:val="00141B8F"/>
    <w:rsid w:val="00141CBD"/>
    <w:rsid w:val="00141D65"/>
    <w:rsid w:val="00141E0A"/>
    <w:rsid w:val="00141EE5"/>
    <w:rsid w:val="00142099"/>
    <w:rsid w:val="001420B1"/>
    <w:rsid w:val="001420C0"/>
    <w:rsid w:val="001420C6"/>
    <w:rsid w:val="001421A0"/>
    <w:rsid w:val="001421A1"/>
    <w:rsid w:val="001421B5"/>
    <w:rsid w:val="001421C6"/>
    <w:rsid w:val="001422DD"/>
    <w:rsid w:val="00142334"/>
    <w:rsid w:val="0014234D"/>
    <w:rsid w:val="001423D9"/>
    <w:rsid w:val="0014241C"/>
    <w:rsid w:val="0014243C"/>
    <w:rsid w:val="00142462"/>
    <w:rsid w:val="00142509"/>
    <w:rsid w:val="00142648"/>
    <w:rsid w:val="001426BB"/>
    <w:rsid w:val="001426E9"/>
    <w:rsid w:val="0014270B"/>
    <w:rsid w:val="001427E2"/>
    <w:rsid w:val="00142832"/>
    <w:rsid w:val="0014285D"/>
    <w:rsid w:val="0014285F"/>
    <w:rsid w:val="00142871"/>
    <w:rsid w:val="001429DA"/>
    <w:rsid w:val="001429EE"/>
    <w:rsid w:val="001429FD"/>
    <w:rsid w:val="00142AF1"/>
    <w:rsid w:val="00142BD3"/>
    <w:rsid w:val="00142C1D"/>
    <w:rsid w:val="00142C46"/>
    <w:rsid w:val="00142C78"/>
    <w:rsid w:val="00142C92"/>
    <w:rsid w:val="00142CC9"/>
    <w:rsid w:val="00142D35"/>
    <w:rsid w:val="00142D79"/>
    <w:rsid w:val="00142DE6"/>
    <w:rsid w:val="00142E25"/>
    <w:rsid w:val="00142E66"/>
    <w:rsid w:val="00142F35"/>
    <w:rsid w:val="00142F53"/>
    <w:rsid w:val="00142F6E"/>
    <w:rsid w:val="001431EC"/>
    <w:rsid w:val="0014325E"/>
    <w:rsid w:val="001432D3"/>
    <w:rsid w:val="0014331B"/>
    <w:rsid w:val="00143403"/>
    <w:rsid w:val="0014350C"/>
    <w:rsid w:val="001435B0"/>
    <w:rsid w:val="001435EF"/>
    <w:rsid w:val="00143664"/>
    <w:rsid w:val="001436D0"/>
    <w:rsid w:val="001437E2"/>
    <w:rsid w:val="001437E6"/>
    <w:rsid w:val="001437FF"/>
    <w:rsid w:val="0014385D"/>
    <w:rsid w:val="00143920"/>
    <w:rsid w:val="001439B0"/>
    <w:rsid w:val="001439FE"/>
    <w:rsid w:val="00143AFF"/>
    <w:rsid w:val="00143BB1"/>
    <w:rsid w:val="00143C94"/>
    <w:rsid w:val="00143D0E"/>
    <w:rsid w:val="00143E71"/>
    <w:rsid w:val="00143EBE"/>
    <w:rsid w:val="00143F7B"/>
    <w:rsid w:val="00144032"/>
    <w:rsid w:val="0014406F"/>
    <w:rsid w:val="00144078"/>
    <w:rsid w:val="00144211"/>
    <w:rsid w:val="0014423B"/>
    <w:rsid w:val="00144248"/>
    <w:rsid w:val="001442C5"/>
    <w:rsid w:val="001443BC"/>
    <w:rsid w:val="00144439"/>
    <w:rsid w:val="00144442"/>
    <w:rsid w:val="0014449B"/>
    <w:rsid w:val="001444A7"/>
    <w:rsid w:val="001444CB"/>
    <w:rsid w:val="0014463B"/>
    <w:rsid w:val="00144690"/>
    <w:rsid w:val="001446EC"/>
    <w:rsid w:val="00144757"/>
    <w:rsid w:val="00144765"/>
    <w:rsid w:val="0014479C"/>
    <w:rsid w:val="001447ED"/>
    <w:rsid w:val="00144828"/>
    <w:rsid w:val="0014482B"/>
    <w:rsid w:val="001448E3"/>
    <w:rsid w:val="00144941"/>
    <w:rsid w:val="001449F3"/>
    <w:rsid w:val="00144A75"/>
    <w:rsid w:val="00144A7D"/>
    <w:rsid w:val="00144AA2"/>
    <w:rsid w:val="00144AD0"/>
    <w:rsid w:val="00144B24"/>
    <w:rsid w:val="00144B51"/>
    <w:rsid w:val="00144BAF"/>
    <w:rsid w:val="00144C94"/>
    <w:rsid w:val="00144CE6"/>
    <w:rsid w:val="00144D76"/>
    <w:rsid w:val="00144D83"/>
    <w:rsid w:val="00144DA0"/>
    <w:rsid w:val="00144DC3"/>
    <w:rsid w:val="00144E40"/>
    <w:rsid w:val="00144F43"/>
    <w:rsid w:val="00144F6B"/>
    <w:rsid w:val="00144F8B"/>
    <w:rsid w:val="00144FB2"/>
    <w:rsid w:val="00145019"/>
    <w:rsid w:val="0014502F"/>
    <w:rsid w:val="0014521F"/>
    <w:rsid w:val="001452BE"/>
    <w:rsid w:val="001452E6"/>
    <w:rsid w:val="00145300"/>
    <w:rsid w:val="00145398"/>
    <w:rsid w:val="001453F4"/>
    <w:rsid w:val="0014540E"/>
    <w:rsid w:val="00145447"/>
    <w:rsid w:val="00145469"/>
    <w:rsid w:val="001454B5"/>
    <w:rsid w:val="00145537"/>
    <w:rsid w:val="0014557F"/>
    <w:rsid w:val="001455CA"/>
    <w:rsid w:val="001455D2"/>
    <w:rsid w:val="001455E9"/>
    <w:rsid w:val="00145631"/>
    <w:rsid w:val="0014565F"/>
    <w:rsid w:val="001456DE"/>
    <w:rsid w:val="0014570E"/>
    <w:rsid w:val="001457AF"/>
    <w:rsid w:val="001457FC"/>
    <w:rsid w:val="0014585B"/>
    <w:rsid w:val="001458DF"/>
    <w:rsid w:val="00145969"/>
    <w:rsid w:val="001459A4"/>
    <w:rsid w:val="00145A8D"/>
    <w:rsid w:val="00145A91"/>
    <w:rsid w:val="00145B12"/>
    <w:rsid w:val="00145B54"/>
    <w:rsid w:val="00145BA4"/>
    <w:rsid w:val="00145BAE"/>
    <w:rsid w:val="00145BC5"/>
    <w:rsid w:val="00145BC9"/>
    <w:rsid w:val="00145C98"/>
    <w:rsid w:val="00145CC1"/>
    <w:rsid w:val="00145CCF"/>
    <w:rsid w:val="00145CF6"/>
    <w:rsid w:val="00145D52"/>
    <w:rsid w:val="00145E61"/>
    <w:rsid w:val="00145EEB"/>
    <w:rsid w:val="00145F1E"/>
    <w:rsid w:val="00145F23"/>
    <w:rsid w:val="00146142"/>
    <w:rsid w:val="00146175"/>
    <w:rsid w:val="001461D5"/>
    <w:rsid w:val="00146218"/>
    <w:rsid w:val="001462CE"/>
    <w:rsid w:val="001462DE"/>
    <w:rsid w:val="00146307"/>
    <w:rsid w:val="00146390"/>
    <w:rsid w:val="001463CC"/>
    <w:rsid w:val="00146597"/>
    <w:rsid w:val="001465D8"/>
    <w:rsid w:val="00146686"/>
    <w:rsid w:val="00146695"/>
    <w:rsid w:val="001466AC"/>
    <w:rsid w:val="001466F1"/>
    <w:rsid w:val="00146701"/>
    <w:rsid w:val="00146721"/>
    <w:rsid w:val="00146800"/>
    <w:rsid w:val="0014687B"/>
    <w:rsid w:val="0014687D"/>
    <w:rsid w:val="00146894"/>
    <w:rsid w:val="0014689F"/>
    <w:rsid w:val="001469B7"/>
    <w:rsid w:val="00146A31"/>
    <w:rsid w:val="00146A34"/>
    <w:rsid w:val="00146A46"/>
    <w:rsid w:val="00146ABE"/>
    <w:rsid w:val="00146AD9"/>
    <w:rsid w:val="00146B2B"/>
    <w:rsid w:val="00146BA7"/>
    <w:rsid w:val="00146BDF"/>
    <w:rsid w:val="00146BEF"/>
    <w:rsid w:val="00146C73"/>
    <w:rsid w:val="00146CD1"/>
    <w:rsid w:val="00146CEE"/>
    <w:rsid w:val="00146D03"/>
    <w:rsid w:val="00146D88"/>
    <w:rsid w:val="00146DB1"/>
    <w:rsid w:val="00146DD0"/>
    <w:rsid w:val="00146E21"/>
    <w:rsid w:val="00146E6F"/>
    <w:rsid w:val="00146E90"/>
    <w:rsid w:val="00146EFF"/>
    <w:rsid w:val="00147038"/>
    <w:rsid w:val="0014704E"/>
    <w:rsid w:val="001470D9"/>
    <w:rsid w:val="00147124"/>
    <w:rsid w:val="0014719A"/>
    <w:rsid w:val="001471A8"/>
    <w:rsid w:val="0014720A"/>
    <w:rsid w:val="00147238"/>
    <w:rsid w:val="0014733E"/>
    <w:rsid w:val="00147392"/>
    <w:rsid w:val="001473B4"/>
    <w:rsid w:val="00147418"/>
    <w:rsid w:val="00147440"/>
    <w:rsid w:val="0014745B"/>
    <w:rsid w:val="00147475"/>
    <w:rsid w:val="001474C0"/>
    <w:rsid w:val="001475B9"/>
    <w:rsid w:val="001475F9"/>
    <w:rsid w:val="00147614"/>
    <w:rsid w:val="0014761E"/>
    <w:rsid w:val="0014764D"/>
    <w:rsid w:val="00147685"/>
    <w:rsid w:val="001476BE"/>
    <w:rsid w:val="001476BF"/>
    <w:rsid w:val="001476C6"/>
    <w:rsid w:val="001476CA"/>
    <w:rsid w:val="0014770F"/>
    <w:rsid w:val="001477F1"/>
    <w:rsid w:val="001479F5"/>
    <w:rsid w:val="00147A1A"/>
    <w:rsid w:val="00147A32"/>
    <w:rsid w:val="00147A5A"/>
    <w:rsid w:val="00147A67"/>
    <w:rsid w:val="00147A81"/>
    <w:rsid w:val="00147AF2"/>
    <w:rsid w:val="00147AFC"/>
    <w:rsid w:val="00147B51"/>
    <w:rsid w:val="00147B60"/>
    <w:rsid w:val="00147BA2"/>
    <w:rsid w:val="00147C25"/>
    <w:rsid w:val="00147C27"/>
    <w:rsid w:val="00147E3B"/>
    <w:rsid w:val="00147E65"/>
    <w:rsid w:val="00147E87"/>
    <w:rsid w:val="00147E92"/>
    <w:rsid w:val="00147F16"/>
    <w:rsid w:val="00147F6E"/>
    <w:rsid w:val="00147FBA"/>
    <w:rsid w:val="0015001B"/>
    <w:rsid w:val="00150062"/>
    <w:rsid w:val="0015009D"/>
    <w:rsid w:val="001500C9"/>
    <w:rsid w:val="001500EF"/>
    <w:rsid w:val="00150132"/>
    <w:rsid w:val="00150159"/>
    <w:rsid w:val="00150196"/>
    <w:rsid w:val="0015033F"/>
    <w:rsid w:val="0015040C"/>
    <w:rsid w:val="00150466"/>
    <w:rsid w:val="00150492"/>
    <w:rsid w:val="001504BF"/>
    <w:rsid w:val="001504DE"/>
    <w:rsid w:val="00150523"/>
    <w:rsid w:val="00150542"/>
    <w:rsid w:val="00150605"/>
    <w:rsid w:val="00150853"/>
    <w:rsid w:val="00150870"/>
    <w:rsid w:val="00150879"/>
    <w:rsid w:val="001509ED"/>
    <w:rsid w:val="00150A8E"/>
    <w:rsid w:val="00150B80"/>
    <w:rsid w:val="00150BAB"/>
    <w:rsid w:val="00150BDE"/>
    <w:rsid w:val="00150CFF"/>
    <w:rsid w:val="00150D18"/>
    <w:rsid w:val="00150D2A"/>
    <w:rsid w:val="00150D72"/>
    <w:rsid w:val="00150E5D"/>
    <w:rsid w:val="00150E7F"/>
    <w:rsid w:val="00150FCF"/>
    <w:rsid w:val="00150FD5"/>
    <w:rsid w:val="00151111"/>
    <w:rsid w:val="00151121"/>
    <w:rsid w:val="0015125F"/>
    <w:rsid w:val="0015128A"/>
    <w:rsid w:val="00151318"/>
    <w:rsid w:val="0015131B"/>
    <w:rsid w:val="0015131E"/>
    <w:rsid w:val="0015138A"/>
    <w:rsid w:val="00151455"/>
    <w:rsid w:val="001515EF"/>
    <w:rsid w:val="001515F3"/>
    <w:rsid w:val="00151618"/>
    <w:rsid w:val="00151677"/>
    <w:rsid w:val="001516D8"/>
    <w:rsid w:val="001516E4"/>
    <w:rsid w:val="0015191D"/>
    <w:rsid w:val="00151952"/>
    <w:rsid w:val="00151989"/>
    <w:rsid w:val="00151A68"/>
    <w:rsid w:val="00151AA3"/>
    <w:rsid w:val="00151B9C"/>
    <w:rsid w:val="00151BE4"/>
    <w:rsid w:val="00151BEA"/>
    <w:rsid w:val="00151BEC"/>
    <w:rsid w:val="00151C17"/>
    <w:rsid w:val="00151D0B"/>
    <w:rsid w:val="00151D2F"/>
    <w:rsid w:val="00151D9A"/>
    <w:rsid w:val="00151E00"/>
    <w:rsid w:val="00151EED"/>
    <w:rsid w:val="00151F21"/>
    <w:rsid w:val="00151F55"/>
    <w:rsid w:val="00151F87"/>
    <w:rsid w:val="00151FC7"/>
    <w:rsid w:val="00151FCD"/>
    <w:rsid w:val="00151FF5"/>
    <w:rsid w:val="00152008"/>
    <w:rsid w:val="00152011"/>
    <w:rsid w:val="0015201F"/>
    <w:rsid w:val="00152047"/>
    <w:rsid w:val="0015208F"/>
    <w:rsid w:val="001520EF"/>
    <w:rsid w:val="001520F5"/>
    <w:rsid w:val="00152106"/>
    <w:rsid w:val="0015216C"/>
    <w:rsid w:val="001521D3"/>
    <w:rsid w:val="00152266"/>
    <w:rsid w:val="001522E4"/>
    <w:rsid w:val="00152374"/>
    <w:rsid w:val="00152391"/>
    <w:rsid w:val="001523FC"/>
    <w:rsid w:val="00152434"/>
    <w:rsid w:val="0015255E"/>
    <w:rsid w:val="00152562"/>
    <w:rsid w:val="0015258A"/>
    <w:rsid w:val="001525D6"/>
    <w:rsid w:val="00152698"/>
    <w:rsid w:val="0015288D"/>
    <w:rsid w:val="0015292F"/>
    <w:rsid w:val="00152965"/>
    <w:rsid w:val="0015296B"/>
    <w:rsid w:val="0015298F"/>
    <w:rsid w:val="00152A4E"/>
    <w:rsid w:val="00152BED"/>
    <w:rsid w:val="00152C78"/>
    <w:rsid w:val="00152C86"/>
    <w:rsid w:val="00152C8D"/>
    <w:rsid w:val="00152CC6"/>
    <w:rsid w:val="00152D05"/>
    <w:rsid w:val="00152E46"/>
    <w:rsid w:val="00152F54"/>
    <w:rsid w:val="0015302E"/>
    <w:rsid w:val="0015318A"/>
    <w:rsid w:val="0015324B"/>
    <w:rsid w:val="00153257"/>
    <w:rsid w:val="00153258"/>
    <w:rsid w:val="00153289"/>
    <w:rsid w:val="001532EE"/>
    <w:rsid w:val="00153332"/>
    <w:rsid w:val="0015345B"/>
    <w:rsid w:val="00153487"/>
    <w:rsid w:val="00153494"/>
    <w:rsid w:val="001534E0"/>
    <w:rsid w:val="0015351C"/>
    <w:rsid w:val="001535B1"/>
    <w:rsid w:val="001535C5"/>
    <w:rsid w:val="00153609"/>
    <w:rsid w:val="00153644"/>
    <w:rsid w:val="0015364D"/>
    <w:rsid w:val="00153674"/>
    <w:rsid w:val="00153685"/>
    <w:rsid w:val="001536C2"/>
    <w:rsid w:val="00153734"/>
    <w:rsid w:val="00153777"/>
    <w:rsid w:val="001537F0"/>
    <w:rsid w:val="00153816"/>
    <w:rsid w:val="00153875"/>
    <w:rsid w:val="00153937"/>
    <w:rsid w:val="001539F4"/>
    <w:rsid w:val="00153A25"/>
    <w:rsid w:val="00153A68"/>
    <w:rsid w:val="00153A80"/>
    <w:rsid w:val="00153A96"/>
    <w:rsid w:val="00153AA4"/>
    <w:rsid w:val="00153AE8"/>
    <w:rsid w:val="00153B5D"/>
    <w:rsid w:val="00153CE1"/>
    <w:rsid w:val="00153D11"/>
    <w:rsid w:val="00153D3F"/>
    <w:rsid w:val="00153E31"/>
    <w:rsid w:val="00153E72"/>
    <w:rsid w:val="00153E77"/>
    <w:rsid w:val="00153F37"/>
    <w:rsid w:val="00153F44"/>
    <w:rsid w:val="001540B0"/>
    <w:rsid w:val="001540D0"/>
    <w:rsid w:val="00154165"/>
    <w:rsid w:val="0015418D"/>
    <w:rsid w:val="001541A2"/>
    <w:rsid w:val="001541E9"/>
    <w:rsid w:val="001541F5"/>
    <w:rsid w:val="00154221"/>
    <w:rsid w:val="001542AB"/>
    <w:rsid w:val="001542F8"/>
    <w:rsid w:val="001543DC"/>
    <w:rsid w:val="0015441A"/>
    <w:rsid w:val="00154560"/>
    <w:rsid w:val="00154566"/>
    <w:rsid w:val="0015458C"/>
    <w:rsid w:val="001545FE"/>
    <w:rsid w:val="001546E2"/>
    <w:rsid w:val="0015479E"/>
    <w:rsid w:val="001547AF"/>
    <w:rsid w:val="0015496B"/>
    <w:rsid w:val="001549A9"/>
    <w:rsid w:val="001549CF"/>
    <w:rsid w:val="00154A2F"/>
    <w:rsid w:val="00154AA3"/>
    <w:rsid w:val="00154AEE"/>
    <w:rsid w:val="00154AFC"/>
    <w:rsid w:val="00154B06"/>
    <w:rsid w:val="00154BA9"/>
    <w:rsid w:val="00154BAE"/>
    <w:rsid w:val="00154C25"/>
    <w:rsid w:val="00154CBC"/>
    <w:rsid w:val="00154D50"/>
    <w:rsid w:val="00154DEC"/>
    <w:rsid w:val="00154E0D"/>
    <w:rsid w:val="00154E1A"/>
    <w:rsid w:val="00154E31"/>
    <w:rsid w:val="00154E41"/>
    <w:rsid w:val="00154F3E"/>
    <w:rsid w:val="00154FEF"/>
    <w:rsid w:val="0015504D"/>
    <w:rsid w:val="0015505C"/>
    <w:rsid w:val="00155097"/>
    <w:rsid w:val="001550BE"/>
    <w:rsid w:val="001550CA"/>
    <w:rsid w:val="00155116"/>
    <w:rsid w:val="0015516D"/>
    <w:rsid w:val="0015516F"/>
    <w:rsid w:val="001551CB"/>
    <w:rsid w:val="0015521C"/>
    <w:rsid w:val="00155302"/>
    <w:rsid w:val="0015535B"/>
    <w:rsid w:val="001554A5"/>
    <w:rsid w:val="00155544"/>
    <w:rsid w:val="0015558A"/>
    <w:rsid w:val="001555C5"/>
    <w:rsid w:val="001555E4"/>
    <w:rsid w:val="001556C8"/>
    <w:rsid w:val="00155765"/>
    <w:rsid w:val="001557BA"/>
    <w:rsid w:val="001557DE"/>
    <w:rsid w:val="00155823"/>
    <w:rsid w:val="001558E6"/>
    <w:rsid w:val="00155951"/>
    <w:rsid w:val="0015597B"/>
    <w:rsid w:val="001559C4"/>
    <w:rsid w:val="001559D6"/>
    <w:rsid w:val="00155A94"/>
    <w:rsid w:val="00155B31"/>
    <w:rsid w:val="00155B8B"/>
    <w:rsid w:val="00155BFB"/>
    <w:rsid w:val="00155CBC"/>
    <w:rsid w:val="00155CE7"/>
    <w:rsid w:val="00155D69"/>
    <w:rsid w:val="00155E43"/>
    <w:rsid w:val="00155E61"/>
    <w:rsid w:val="00155F20"/>
    <w:rsid w:val="00155F5F"/>
    <w:rsid w:val="00155F8D"/>
    <w:rsid w:val="00156090"/>
    <w:rsid w:val="0015609B"/>
    <w:rsid w:val="001560ED"/>
    <w:rsid w:val="00156190"/>
    <w:rsid w:val="001561D8"/>
    <w:rsid w:val="0015623B"/>
    <w:rsid w:val="001562CF"/>
    <w:rsid w:val="00156445"/>
    <w:rsid w:val="00156462"/>
    <w:rsid w:val="00156463"/>
    <w:rsid w:val="0015650B"/>
    <w:rsid w:val="00156518"/>
    <w:rsid w:val="00156557"/>
    <w:rsid w:val="001565B9"/>
    <w:rsid w:val="001565DF"/>
    <w:rsid w:val="00156826"/>
    <w:rsid w:val="00156838"/>
    <w:rsid w:val="00156843"/>
    <w:rsid w:val="0015684F"/>
    <w:rsid w:val="0015689C"/>
    <w:rsid w:val="001568EC"/>
    <w:rsid w:val="00156A1F"/>
    <w:rsid w:val="00156AF3"/>
    <w:rsid w:val="00156C84"/>
    <w:rsid w:val="00156D48"/>
    <w:rsid w:val="00156D83"/>
    <w:rsid w:val="00156DC2"/>
    <w:rsid w:val="00156DDD"/>
    <w:rsid w:val="00156DF4"/>
    <w:rsid w:val="00156E21"/>
    <w:rsid w:val="00156E23"/>
    <w:rsid w:val="00156E31"/>
    <w:rsid w:val="00156EE6"/>
    <w:rsid w:val="00156EF5"/>
    <w:rsid w:val="00156F0B"/>
    <w:rsid w:val="00156F21"/>
    <w:rsid w:val="00157039"/>
    <w:rsid w:val="00157108"/>
    <w:rsid w:val="00157116"/>
    <w:rsid w:val="0015719A"/>
    <w:rsid w:val="001571EE"/>
    <w:rsid w:val="001572A3"/>
    <w:rsid w:val="001572E7"/>
    <w:rsid w:val="001572F5"/>
    <w:rsid w:val="0015730C"/>
    <w:rsid w:val="00157324"/>
    <w:rsid w:val="0015737A"/>
    <w:rsid w:val="00157386"/>
    <w:rsid w:val="00157461"/>
    <w:rsid w:val="00157469"/>
    <w:rsid w:val="00157514"/>
    <w:rsid w:val="00157598"/>
    <w:rsid w:val="001575A4"/>
    <w:rsid w:val="001575FC"/>
    <w:rsid w:val="00157633"/>
    <w:rsid w:val="0015770B"/>
    <w:rsid w:val="00157715"/>
    <w:rsid w:val="001577DE"/>
    <w:rsid w:val="001577EC"/>
    <w:rsid w:val="00157832"/>
    <w:rsid w:val="00157866"/>
    <w:rsid w:val="0015788C"/>
    <w:rsid w:val="0015789A"/>
    <w:rsid w:val="00157A36"/>
    <w:rsid w:val="00157A4A"/>
    <w:rsid w:val="00157A78"/>
    <w:rsid w:val="00157A98"/>
    <w:rsid w:val="00157AF6"/>
    <w:rsid w:val="00157AFB"/>
    <w:rsid w:val="00157B09"/>
    <w:rsid w:val="00157BF7"/>
    <w:rsid w:val="00157C5F"/>
    <w:rsid w:val="00157CDD"/>
    <w:rsid w:val="00157CFA"/>
    <w:rsid w:val="00157D21"/>
    <w:rsid w:val="00157DA1"/>
    <w:rsid w:val="00157E23"/>
    <w:rsid w:val="0016002A"/>
    <w:rsid w:val="0016009F"/>
    <w:rsid w:val="001600AA"/>
    <w:rsid w:val="001600C5"/>
    <w:rsid w:val="001600E9"/>
    <w:rsid w:val="0016018A"/>
    <w:rsid w:val="0016023D"/>
    <w:rsid w:val="0016030F"/>
    <w:rsid w:val="00160328"/>
    <w:rsid w:val="001603AC"/>
    <w:rsid w:val="001603BA"/>
    <w:rsid w:val="00160446"/>
    <w:rsid w:val="00160450"/>
    <w:rsid w:val="001604B3"/>
    <w:rsid w:val="00160530"/>
    <w:rsid w:val="00160535"/>
    <w:rsid w:val="0016058C"/>
    <w:rsid w:val="00160751"/>
    <w:rsid w:val="00160788"/>
    <w:rsid w:val="0016080A"/>
    <w:rsid w:val="00160834"/>
    <w:rsid w:val="001608A5"/>
    <w:rsid w:val="0016093F"/>
    <w:rsid w:val="00160964"/>
    <w:rsid w:val="00160A9D"/>
    <w:rsid w:val="00160B15"/>
    <w:rsid w:val="00160B79"/>
    <w:rsid w:val="00160CBF"/>
    <w:rsid w:val="00160D51"/>
    <w:rsid w:val="00160D61"/>
    <w:rsid w:val="00160DB9"/>
    <w:rsid w:val="00160DE1"/>
    <w:rsid w:val="00160DE4"/>
    <w:rsid w:val="00160E29"/>
    <w:rsid w:val="00160EC0"/>
    <w:rsid w:val="00160ECC"/>
    <w:rsid w:val="00160EFE"/>
    <w:rsid w:val="00160F37"/>
    <w:rsid w:val="00160F3E"/>
    <w:rsid w:val="00160FEC"/>
    <w:rsid w:val="001610E5"/>
    <w:rsid w:val="00161140"/>
    <w:rsid w:val="0016120D"/>
    <w:rsid w:val="0016125F"/>
    <w:rsid w:val="00161306"/>
    <w:rsid w:val="00161376"/>
    <w:rsid w:val="00161413"/>
    <w:rsid w:val="00161430"/>
    <w:rsid w:val="00161478"/>
    <w:rsid w:val="00161498"/>
    <w:rsid w:val="001614F6"/>
    <w:rsid w:val="00161582"/>
    <w:rsid w:val="0016159D"/>
    <w:rsid w:val="0016161D"/>
    <w:rsid w:val="00161703"/>
    <w:rsid w:val="0016172B"/>
    <w:rsid w:val="001617A6"/>
    <w:rsid w:val="0016187A"/>
    <w:rsid w:val="00161966"/>
    <w:rsid w:val="00161A03"/>
    <w:rsid w:val="00161A0F"/>
    <w:rsid w:val="00161A41"/>
    <w:rsid w:val="00161AA9"/>
    <w:rsid w:val="00161AB0"/>
    <w:rsid w:val="00161B81"/>
    <w:rsid w:val="00161BC8"/>
    <w:rsid w:val="00161E5F"/>
    <w:rsid w:val="00161EAC"/>
    <w:rsid w:val="00161F37"/>
    <w:rsid w:val="00161FC8"/>
    <w:rsid w:val="001620AB"/>
    <w:rsid w:val="0016213B"/>
    <w:rsid w:val="0016232A"/>
    <w:rsid w:val="00162385"/>
    <w:rsid w:val="00162386"/>
    <w:rsid w:val="00162416"/>
    <w:rsid w:val="00162523"/>
    <w:rsid w:val="00162548"/>
    <w:rsid w:val="00162560"/>
    <w:rsid w:val="00162594"/>
    <w:rsid w:val="001625DD"/>
    <w:rsid w:val="0016261A"/>
    <w:rsid w:val="00162632"/>
    <w:rsid w:val="0016265A"/>
    <w:rsid w:val="00162675"/>
    <w:rsid w:val="001626AC"/>
    <w:rsid w:val="001626B8"/>
    <w:rsid w:val="001627AF"/>
    <w:rsid w:val="001627F1"/>
    <w:rsid w:val="001628F0"/>
    <w:rsid w:val="00162A0B"/>
    <w:rsid w:val="00162AA2"/>
    <w:rsid w:val="00162BB9"/>
    <w:rsid w:val="00162C40"/>
    <w:rsid w:val="00162CA4"/>
    <w:rsid w:val="00162D7B"/>
    <w:rsid w:val="00162D82"/>
    <w:rsid w:val="00162DD2"/>
    <w:rsid w:val="00162DF1"/>
    <w:rsid w:val="00162EBA"/>
    <w:rsid w:val="00162F5B"/>
    <w:rsid w:val="00162FB6"/>
    <w:rsid w:val="0016300A"/>
    <w:rsid w:val="001630CB"/>
    <w:rsid w:val="0016312E"/>
    <w:rsid w:val="00163198"/>
    <w:rsid w:val="0016326D"/>
    <w:rsid w:val="001632BC"/>
    <w:rsid w:val="001632E9"/>
    <w:rsid w:val="0016330B"/>
    <w:rsid w:val="00163364"/>
    <w:rsid w:val="00163398"/>
    <w:rsid w:val="001633AC"/>
    <w:rsid w:val="001633E8"/>
    <w:rsid w:val="001634ED"/>
    <w:rsid w:val="0016353B"/>
    <w:rsid w:val="00163623"/>
    <w:rsid w:val="001636A8"/>
    <w:rsid w:val="0016374C"/>
    <w:rsid w:val="00163774"/>
    <w:rsid w:val="0016382A"/>
    <w:rsid w:val="00163AB9"/>
    <w:rsid w:val="00163ACE"/>
    <w:rsid w:val="00163B22"/>
    <w:rsid w:val="00163B28"/>
    <w:rsid w:val="00163BBE"/>
    <w:rsid w:val="00163C3A"/>
    <w:rsid w:val="00163CC6"/>
    <w:rsid w:val="00163DB8"/>
    <w:rsid w:val="00163E27"/>
    <w:rsid w:val="00163E3D"/>
    <w:rsid w:val="00163E68"/>
    <w:rsid w:val="00163EEC"/>
    <w:rsid w:val="00163F3D"/>
    <w:rsid w:val="00163F42"/>
    <w:rsid w:val="00163F52"/>
    <w:rsid w:val="00164049"/>
    <w:rsid w:val="0016407F"/>
    <w:rsid w:val="00164094"/>
    <w:rsid w:val="00164099"/>
    <w:rsid w:val="00164229"/>
    <w:rsid w:val="00164333"/>
    <w:rsid w:val="00164373"/>
    <w:rsid w:val="001643A4"/>
    <w:rsid w:val="0016444F"/>
    <w:rsid w:val="0016448A"/>
    <w:rsid w:val="001644A3"/>
    <w:rsid w:val="001644B1"/>
    <w:rsid w:val="001644F3"/>
    <w:rsid w:val="00164506"/>
    <w:rsid w:val="00164648"/>
    <w:rsid w:val="0016467F"/>
    <w:rsid w:val="00164682"/>
    <w:rsid w:val="0016469C"/>
    <w:rsid w:val="001646DC"/>
    <w:rsid w:val="0016474E"/>
    <w:rsid w:val="001647AE"/>
    <w:rsid w:val="001647B4"/>
    <w:rsid w:val="001647C2"/>
    <w:rsid w:val="0016486C"/>
    <w:rsid w:val="001648C9"/>
    <w:rsid w:val="001648F8"/>
    <w:rsid w:val="001649FB"/>
    <w:rsid w:val="00164BBF"/>
    <w:rsid w:val="00164C0B"/>
    <w:rsid w:val="00164C60"/>
    <w:rsid w:val="00164CEB"/>
    <w:rsid w:val="00164D24"/>
    <w:rsid w:val="00164D7E"/>
    <w:rsid w:val="00164E44"/>
    <w:rsid w:val="00164EB2"/>
    <w:rsid w:val="00164FEA"/>
    <w:rsid w:val="0016501A"/>
    <w:rsid w:val="0016504A"/>
    <w:rsid w:val="001650A5"/>
    <w:rsid w:val="0016523B"/>
    <w:rsid w:val="00165270"/>
    <w:rsid w:val="00165271"/>
    <w:rsid w:val="0016539F"/>
    <w:rsid w:val="001653FC"/>
    <w:rsid w:val="00165534"/>
    <w:rsid w:val="0016555B"/>
    <w:rsid w:val="0016555C"/>
    <w:rsid w:val="0016558E"/>
    <w:rsid w:val="00165595"/>
    <w:rsid w:val="001656A9"/>
    <w:rsid w:val="001656ED"/>
    <w:rsid w:val="00165718"/>
    <w:rsid w:val="001657B6"/>
    <w:rsid w:val="0016580A"/>
    <w:rsid w:val="00165837"/>
    <w:rsid w:val="00165876"/>
    <w:rsid w:val="0016589B"/>
    <w:rsid w:val="00165973"/>
    <w:rsid w:val="00165993"/>
    <w:rsid w:val="00165A7A"/>
    <w:rsid w:val="00165A97"/>
    <w:rsid w:val="00165B17"/>
    <w:rsid w:val="00165B8F"/>
    <w:rsid w:val="00165C99"/>
    <w:rsid w:val="00165CCD"/>
    <w:rsid w:val="00165D40"/>
    <w:rsid w:val="00165D6A"/>
    <w:rsid w:val="00165DDE"/>
    <w:rsid w:val="00165EAE"/>
    <w:rsid w:val="00165F84"/>
    <w:rsid w:val="0016602B"/>
    <w:rsid w:val="0016603A"/>
    <w:rsid w:val="00166047"/>
    <w:rsid w:val="00166064"/>
    <w:rsid w:val="001660D7"/>
    <w:rsid w:val="00166187"/>
    <w:rsid w:val="0016618F"/>
    <w:rsid w:val="001661B7"/>
    <w:rsid w:val="001661BA"/>
    <w:rsid w:val="00166346"/>
    <w:rsid w:val="001663E0"/>
    <w:rsid w:val="0016643F"/>
    <w:rsid w:val="001664E2"/>
    <w:rsid w:val="00166501"/>
    <w:rsid w:val="00166531"/>
    <w:rsid w:val="0016658A"/>
    <w:rsid w:val="0016659F"/>
    <w:rsid w:val="001665EE"/>
    <w:rsid w:val="00166643"/>
    <w:rsid w:val="00166676"/>
    <w:rsid w:val="00166701"/>
    <w:rsid w:val="00166746"/>
    <w:rsid w:val="001667F0"/>
    <w:rsid w:val="00166921"/>
    <w:rsid w:val="00166994"/>
    <w:rsid w:val="001669A0"/>
    <w:rsid w:val="001669A3"/>
    <w:rsid w:val="001669BD"/>
    <w:rsid w:val="001669C5"/>
    <w:rsid w:val="00166A96"/>
    <w:rsid w:val="00166AF0"/>
    <w:rsid w:val="00166B12"/>
    <w:rsid w:val="00166B16"/>
    <w:rsid w:val="00166BA4"/>
    <w:rsid w:val="00166C30"/>
    <w:rsid w:val="00166C4F"/>
    <w:rsid w:val="00166D3A"/>
    <w:rsid w:val="00166D41"/>
    <w:rsid w:val="00166DE9"/>
    <w:rsid w:val="00166E36"/>
    <w:rsid w:val="00166F35"/>
    <w:rsid w:val="00167048"/>
    <w:rsid w:val="00167082"/>
    <w:rsid w:val="001670A5"/>
    <w:rsid w:val="001670D5"/>
    <w:rsid w:val="0016716A"/>
    <w:rsid w:val="0016721D"/>
    <w:rsid w:val="001672A9"/>
    <w:rsid w:val="001672B2"/>
    <w:rsid w:val="001672CB"/>
    <w:rsid w:val="001673AD"/>
    <w:rsid w:val="00167466"/>
    <w:rsid w:val="0016747B"/>
    <w:rsid w:val="00167492"/>
    <w:rsid w:val="001674E6"/>
    <w:rsid w:val="001674E7"/>
    <w:rsid w:val="001674F2"/>
    <w:rsid w:val="00167528"/>
    <w:rsid w:val="0016753A"/>
    <w:rsid w:val="0016764C"/>
    <w:rsid w:val="00167653"/>
    <w:rsid w:val="0016768F"/>
    <w:rsid w:val="001676B8"/>
    <w:rsid w:val="0016772D"/>
    <w:rsid w:val="00167744"/>
    <w:rsid w:val="0016777B"/>
    <w:rsid w:val="0016780B"/>
    <w:rsid w:val="001678E2"/>
    <w:rsid w:val="00167938"/>
    <w:rsid w:val="001679BB"/>
    <w:rsid w:val="001679CE"/>
    <w:rsid w:val="00167AB6"/>
    <w:rsid w:val="00167AD0"/>
    <w:rsid w:val="00167AEE"/>
    <w:rsid w:val="00167B2D"/>
    <w:rsid w:val="00167B96"/>
    <w:rsid w:val="00167C27"/>
    <w:rsid w:val="00167C8F"/>
    <w:rsid w:val="00167CB4"/>
    <w:rsid w:val="00167CC0"/>
    <w:rsid w:val="00167D04"/>
    <w:rsid w:val="00167D6E"/>
    <w:rsid w:val="00167DCA"/>
    <w:rsid w:val="00167E17"/>
    <w:rsid w:val="00167E29"/>
    <w:rsid w:val="00167E32"/>
    <w:rsid w:val="00167EFC"/>
    <w:rsid w:val="00170070"/>
    <w:rsid w:val="00170110"/>
    <w:rsid w:val="0017011D"/>
    <w:rsid w:val="00170151"/>
    <w:rsid w:val="0017019F"/>
    <w:rsid w:val="00170200"/>
    <w:rsid w:val="001702B6"/>
    <w:rsid w:val="00170385"/>
    <w:rsid w:val="00170389"/>
    <w:rsid w:val="0017038D"/>
    <w:rsid w:val="001703DB"/>
    <w:rsid w:val="001703EC"/>
    <w:rsid w:val="00170425"/>
    <w:rsid w:val="00170430"/>
    <w:rsid w:val="0017044F"/>
    <w:rsid w:val="00170457"/>
    <w:rsid w:val="001704D5"/>
    <w:rsid w:val="00170534"/>
    <w:rsid w:val="001705E3"/>
    <w:rsid w:val="0017069F"/>
    <w:rsid w:val="00170746"/>
    <w:rsid w:val="00170791"/>
    <w:rsid w:val="001707AB"/>
    <w:rsid w:val="00170893"/>
    <w:rsid w:val="001708F6"/>
    <w:rsid w:val="001709B9"/>
    <w:rsid w:val="001709D1"/>
    <w:rsid w:val="00170A11"/>
    <w:rsid w:val="00170A1C"/>
    <w:rsid w:val="00170A46"/>
    <w:rsid w:val="00170AEE"/>
    <w:rsid w:val="00170BBF"/>
    <w:rsid w:val="00170BEA"/>
    <w:rsid w:val="00170C0D"/>
    <w:rsid w:val="00170CA2"/>
    <w:rsid w:val="00170DA3"/>
    <w:rsid w:val="00170DCD"/>
    <w:rsid w:val="00170E89"/>
    <w:rsid w:val="00170E98"/>
    <w:rsid w:val="00170F1C"/>
    <w:rsid w:val="00170F9E"/>
    <w:rsid w:val="0017118B"/>
    <w:rsid w:val="001711E6"/>
    <w:rsid w:val="0017120F"/>
    <w:rsid w:val="00171214"/>
    <w:rsid w:val="00171219"/>
    <w:rsid w:val="00171224"/>
    <w:rsid w:val="0017124D"/>
    <w:rsid w:val="0017138B"/>
    <w:rsid w:val="001713E9"/>
    <w:rsid w:val="0017141C"/>
    <w:rsid w:val="00171435"/>
    <w:rsid w:val="001714AF"/>
    <w:rsid w:val="001714F3"/>
    <w:rsid w:val="0017161F"/>
    <w:rsid w:val="00171640"/>
    <w:rsid w:val="001716FB"/>
    <w:rsid w:val="00171729"/>
    <w:rsid w:val="00171750"/>
    <w:rsid w:val="00171773"/>
    <w:rsid w:val="00171786"/>
    <w:rsid w:val="00171830"/>
    <w:rsid w:val="00171875"/>
    <w:rsid w:val="00171915"/>
    <w:rsid w:val="00171984"/>
    <w:rsid w:val="00171996"/>
    <w:rsid w:val="001719DD"/>
    <w:rsid w:val="001719FA"/>
    <w:rsid w:val="00171A1C"/>
    <w:rsid w:val="00171A54"/>
    <w:rsid w:val="00171A7E"/>
    <w:rsid w:val="00171A8D"/>
    <w:rsid w:val="00171A91"/>
    <w:rsid w:val="00171AC1"/>
    <w:rsid w:val="00171B25"/>
    <w:rsid w:val="00171B37"/>
    <w:rsid w:val="00171B9B"/>
    <w:rsid w:val="00171C1C"/>
    <w:rsid w:val="00171C8D"/>
    <w:rsid w:val="00171D48"/>
    <w:rsid w:val="00171E33"/>
    <w:rsid w:val="00171E61"/>
    <w:rsid w:val="00171EA4"/>
    <w:rsid w:val="00171EFF"/>
    <w:rsid w:val="00171F70"/>
    <w:rsid w:val="00171FD0"/>
    <w:rsid w:val="00171FD4"/>
    <w:rsid w:val="001720C9"/>
    <w:rsid w:val="0017217E"/>
    <w:rsid w:val="001721A3"/>
    <w:rsid w:val="00172236"/>
    <w:rsid w:val="00172302"/>
    <w:rsid w:val="0017230C"/>
    <w:rsid w:val="0017234D"/>
    <w:rsid w:val="0017237D"/>
    <w:rsid w:val="001723D4"/>
    <w:rsid w:val="0017241C"/>
    <w:rsid w:val="00172522"/>
    <w:rsid w:val="00172535"/>
    <w:rsid w:val="00172567"/>
    <w:rsid w:val="001725FA"/>
    <w:rsid w:val="0017260A"/>
    <w:rsid w:val="00172615"/>
    <w:rsid w:val="0017268E"/>
    <w:rsid w:val="00172723"/>
    <w:rsid w:val="00172747"/>
    <w:rsid w:val="001727C6"/>
    <w:rsid w:val="001727D3"/>
    <w:rsid w:val="001727E3"/>
    <w:rsid w:val="001727F4"/>
    <w:rsid w:val="001727FA"/>
    <w:rsid w:val="00172845"/>
    <w:rsid w:val="0017287F"/>
    <w:rsid w:val="00172889"/>
    <w:rsid w:val="001728B3"/>
    <w:rsid w:val="00172907"/>
    <w:rsid w:val="00172997"/>
    <w:rsid w:val="001729A3"/>
    <w:rsid w:val="001729B1"/>
    <w:rsid w:val="00172A22"/>
    <w:rsid w:val="00172AA8"/>
    <w:rsid w:val="00172AC0"/>
    <w:rsid w:val="00172AD0"/>
    <w:rsid w:val="00172AF3"/>
    <w:rsid w:val="00172AF9"/>
    <w:rsid w:val="00172B6B"/>
    <w:rsid w:val="00172B95"/>
    <w:rsid w:val="00172BE8"/>
    <w:rsid w:val="00172C2B"/>
    <w:rsid w:val="00172C54"/>
    <w:rsid w:val="00172CCF"/>
    <w:rsid w:val="00172CF8"/>
    <w:rsid w:val="00172D0E"/>
    <w:rsid w:val="00172DB8"/>
    <w:rsid w:val="00172DF5"/>
    <w:rsid w:val="00172E73"/>
    <w:rsid w:val="00172EFB"/>
    <w:rsid w:val="00172F2D"/>
    <w:rsid w:val="00172FBA"/>
    <w:rsid w:val="00172FDF"/>
    <w:rsid w:val="00172FF3"/>
    <w:rsid w:val="0017305F"/>
    <w:rsid w:val="00173077"/>
    <w:rsid w:val="0017307B"/>
    <w:rsid w:val="00173138"/>
    <w:rsid w:val="00173266"/>
    <w:rsid w:val="001734C1"/>
    <w:rsid w:val="0017352C"/>
    <w:rsid w:val="00173593"/>
    <w:rsid w:val="001735B3"/>
    <w:rsid w:val="001735DA"/>
    <w:rsid w:val="00173658"/>
    <w:rsid w:val="0017381F"/>
    <w:rsid w:val="0017382B"/>
    <w:rsid w:val="001738C8"/>
    <w:rsid w:val="001738D6"/>
    <w:rsid w:val="001738F0"/>
    <w:rsid w:val="001739C1"/>
    <w:rsid w:val="00173AA3"/>
    <w:rsid w:val="00173AC9"/>
    <w:rsid w:val="00173B41"/>
    <w:rsid w:val="00173BB5"/>
    <w:rsid w:val="00173C4A"/>
    <w:rsid w:val="00173CC9"/>
    <w:rsid w:val="00173DD3"/>
    <w:rsid w:val="00173E86"/>
    <w:rsid w:val="00173EE8"/>
    <w:rsid w:val="00173F4B"/>
    <w:rsid w:val="00173F91"/>
    <w:rsid w:val="00173FD0"/>
    <w:rsid w:val="00173FDC"/>
    <w:rsid w:val="00173FF1"/>
    <w:rsid w:val="00174040"/>
    <w:rsid w:val="001740A4"/>
    <w:rsid w:val="00174134"/>
    <w:rsid w:val="00174142"/>
    <w:rsid w:val="00174159"/>
    <w:rsid w:val="00174224"/>
    <w:rsid w:val="001742D5"/>
    <w:rsid w:val="00174464"/>
    <w:rsid w:val="0017446A"/>
    <w:rsid w:val="00174480"/>
    <w:rsid w:val="001744E0"/>
    <w:rsid w:val="001744F5"/>
    <w:rsid w:val="00174595"/>
    <w:rsid w:val="001745A5"/>
    <w:rsid w:val="001745A6"/>
    <w:rsid w:val="00174618"/>
    <w:rsid w:val="00174646"/>
    <w:rsid w:val="0017467B"/>
    <w:rsid w:val="001746BD"/>
    <w:rsid w:val="0017474B"/>
    <w:rsid w:val="00174761"/>
    <w:rsid w:val="00174765"/>
    <w:rsid w:val="00174810"/>
    <w:rsid w:val="0017484F"/>
    <w:rsid w:val="0017489F"/>
    <w:rsid w:val="0017490F"/>
    <w:rsid w:val="00174992"/>
    <w:rsid w:val="001749FB"/>
    <w:rsid w:val="00174A0F"/>
    <w:rsid w:val="00174B17"/>
    <w:rsid w:val="00174BA1"/>
    <w:rsid w:val="00174BF8"/>
    <w:rsid w:val="00174C09"/>
    <w:rsid w:val="00174CBE"/>
    <w:rsid w:val="00174D5E"/>
    <w:rsid w:val="00174D61"/>
    <w:rsid w:val="00174D83"/>
    <w:rsid w:val="00174D9B"/>
    <w:rsid w:val="00174EBD"/>
    <w:rsid w:val="00174F37"/>
    <w:rsid w:val="00174F78"/>
    <w:rsid w:val="00175027"/>
    <w:rsid w:val="0017502C"/>
    <w:rsid w:val="00175068"/>
    <w:rsid w:val="0017508B"/>
    <w:rsid w:val="00175091"/>
    <w:rsid w:val="001750CB"/>
    <w:rsid w:val="001750D5"/>
    <w:rsid w:val="00175123"/>
    <w:rsid w:val="00175199"/>
    <w:rsid w:val="001751B8"/>
    <w:rsid w:val="001751C8"/>
    <w:rsid w:val="001751E6"/>
    <w:rsid w:val="001751E8"/>
    <w:rsid w:val="00175266"/>
    <w:rsid w:val="001752DC"/>
    <w:rsid w:val="00175459"/>
    <w:rsid w:val="00175547"/>
    <w:rsid w:val="00175590"/>
    <w:rsid w:val="001756EE"/>
    <w:rsid w:val="00175725"/>
    <w:rsid w:val="00175757"/>
    <w:rsid w:val="0017576A"/>
    <w:rsid w:val="00175783"/>
    <w:rsid w:val="001757DF"/>
    <w:rsid w:val="0017583E"/>
    <w:rsid w:val="0017584F"/>
    <w:rsid w:val="0017593A"/>
    <w:rsid w:val="0017597F"/>
    <w:rsid w:val="001759B5"/>
    <w:rsid w:val="001759B9"/>
    <w:rsid w:val="001759C0"/>
    <w:rsid w:val="00175A27"/>
    <w:rsid w:val="00175A56"/>
    <w:rsid w:val="00175ABB"/>
    <w:rsid w:val="00175AC4"/>
    <w:rsid w:val="00175ACD"/>
    <w:rsid w:val="00175B80"/>
    <w:rsid w:val="00175B97"/>
    <w:rsid w:val="00175C13"/>
    <w:rsid w:val="00175C67"/>
    <w:rsid w:val="00175E07"/>
    <w:rsid w:val="00175E6A"/>
    <w:rsid w:val="00175EE0"/>
    <w:rsid w:val="00175EF8"/>
    <w:rsid w:val="00175F28"/>
    <w:rsid w:val="00175F4A"/>
    <w:rsid w:val="00175F9F"/>
    <w:rsid w:val="0017603D"/>
    <w:rsid w:val="00176078"/>
    <w:rsid w:val="00176083"/>
    <w:rsid w:val="001760B5"/>
    <w:rsid w:val="0017623D"/>
    <w:rsid w:val="00176244"/>
    <w:rsid w:val="00176279"/>
    <w:rsid w:val="00176287"/>
    <w:rsid w:val="00176319"/>
    <w:rsid w:val="00176464"/>
    <w:rsid w:val="00176475"/>
    <w:rsid w:val="001764B6"/>
    <w:rsid w:val="0017665C"/>
    <w:rsid w:val="00176664"/>
    <w:rsid w:val="0017668C"/>
    <w:rsid w:val="001766BF"/>
    <w:rsid w:val="001766C5"/>
    <w:rsid w:val="001766D0"/>
    <w:rsid w:val="001767B3"/>
    <w:rsid w:val="0017684B"/>
    <w:rsid w:val="001769D5"/>
    <w:rsid w:val="00176A91"/>
    <w:rsid w:val="00176AC4"/>
    <w:rsid w:val="00176B72"/>
    <w:rsid w:val="00176BE6"/>
    <w:rsid w:val="00176BF6"/>
    <w:rsid w:val="00176C40"/>
    <w:rsid w:val="00176C4E"/>
    <w:rsid w:val="00176C86"/>
    <w:rsid w:val="00176CA2"/>
    <w:rsid w:val="00176CC0"/>
    <w:rsid w:val="00176CDF"/>
    <w:rsid w:val="00176CEE"/>
    <w:rsid w:val="00176CF3"/>
    <w:rsid w:val="00176D15"/>
    <w:rsid w:val="00176D42"/>
    <w:rsid w:val="00176D65"/>
    <w:rsid w:val="00176D72"/>
    <w:rsid w:val="00176E0C"/>
    <w:rsid w:val="00176E4C"/>
    <w:rsid w:val="00176EAC"/>
    <w:rsid w:val="00176FE4"/>
    <w:rsid w:val="00176FF7"/>
    <w:rsid w:val="00177033"/>
    <w:rsid w:val="001770F5"/>
    <w:rsid w:val="00177111"/>
    <w:rsid w:val="00177124"/>
    <w:rsid w:val="00177203"/>
    <w:rsid w:val="00177219"/>
    <w:rsid w:val="00177224"/>
    <w:rsid w:val="00177274"/>
    <w:rsid w:val="001773B6"/>
    <w:rsid w:val="001773BD"/>
    <w:rsid w:val="001773F9"/>
    <w:rsid w:val="001774F4"/>
    <w:rsid w:val="001774FA"/>
    <w:rsid w:val="0017750E"/>
    <w:rsid w:val="00177538"/>
    <w:rsid w:val="00177587"/>
    <w:rsid w:val="001775CD"/>
    <w:rsid w:val="001775FF"/>
    <w:rsid w:val="0017767B"/>
    <w:rsid w:val="001776CD"/>
    <w:rsid w:val="001776EC"/>
    <w:rsid w:val="00177706"/>
    <w:rsid w:val="0017771F"/>
    <w:rsid w:val="00177746"/>
    <w:rsid w:val="0017778F"/>
    <w:rsid w:val="001777A0"/>
    <w:rsid w:val="001777D6"/>
    <w:rsid w:val="0017786C"/>
    <w:rsid w:val="001778F6"/>
    <w:rsid w:val="001779AB"/>
    <w:rsid w:val="00177A4A"/>
    <w:rsid w:val="00177B68"/>
    <w:rsid w:val="00177BEB"/>
    <w:rsid w:val="00177BFF"/>
    <w:rsid w:val="00177C14"/>
    <w:rsid w:val="00177C26"/>
    <w:rsid w:val="00177C6D"/>
    <w:rsid w:val="00177CA2"/>
    <w:rsid w:val="00177CB4"/>
    <w:rsid w:val="00177CCC"/>
    <w:rsid w:val="00177CD4"/>
    <w:rsid w:val="00177D52"/>
    <w:rsid w:val="00177DA5"/>
    <w:rsid w:val="00177E71"/>
    <w:rsid w:val="00177E78"/>
    <w:rsid w:val="00177F56"/>
    <w:rsid w:val="00177F62"/>
    <w:rsid w:val="00177F72"/>
    <w:rsid w:val="00177FFE"/>
    <w:rsid w:val="001800FA"/>
    <w:rsid w:val="00180158"/>
    <w:rsid w:val="0018017A"/>
    <w:rsid w:val="00180195"/>
    <w:rsid w:val="0018022F"/>
    <w:rsid w:val="00180237"/>
    <w:rsid w:val="001802F4"/>
    <w:rsid w:val="00180310"/>
    <w:rsid w:val="00180383"/>
    <w:rsid w:val="001804C0"/>
    <w:rsid w:val="001804F3"/>
    <w:rsid w:val="00180509"/>
    <w:rsid w:val="00180587"/>
    <w:rsid w:val="001805FB"/>
    <w:rsid w:val="00180610"/>
    <w:rsid w:val="00180619"/>
    <w:rsid w:val="00180642"/>
    <w:rsid w:val="0018068B"/>
    <w:rsid w:val="001806FF"/>
    <w:rsid w:val="00180713"/>
    <w:rsid w:val="00180788"/>
    <w:rsid w:val="00180876"/>
    <w:rsid w:val="0018087D"/>
    <w:rsid w:val="001808A1"/>
    <w:rsid w:val="001808B4"/>
    <w:rsid w:val="001809C2"/>
    <w:rsid w:val="001809F2"/>
    <w:rsid w:val="00180A56"/>
    <w:rsid w:val="00180A5A"/>
    <w:rsid w:val="00180AF0"/>
    <w:rsid w:val="00180B6A"/>
    <w:rsid w:val="00180CD6"/>
    <w:rsid w:val="00180D35"/>
    <w:rsid w:val="00180D78"/>
    <w:rsid w:val="00180F1B"/>
    <w:rsid w:val="00180F4C"/>
    <w:rsid w:val="00180F6D"/>
    <w:rsid w:val="00180F93"/>
    <w:rsid w:val="00180FBA"/>
    <w:rsid w:val="00181066"/>
    <w:rsid w:val="001810C5"/>
    <w:rsid w:val="001810F0"/>
    <w:rsid w:val="00181121"/>
    <w:rsid w:val="00181161"/>
    <w:rsid w:val="0018116D"/>
    <w:rsid w:val="0018119B"/>
    <w:rsid w:val="0018120D"/>
    <w:rsid w:val="00181262"/>
    <w:rsid w:val="001812AF"/>
    <w:rsid w:val="0018133D"/>
    <w:rsid w:val="00181427"/>
    <w:rsid w:val="00181438"/>
    <w:rsid w:val="001814C5"/>
    <w:rsid w:val="00181521"/>
    <w:rsid w:val="0018155F"/>
    <w:rsid w:val="00181581"/>
    <w:rsid w:val="001815B7"/>
    <w:rsid w:val="001816C6"/>
    <w:rsid w:val="0018172D"/>
    <w:rsid w:val="001817BF"/>
    <w:rsid w:val="00181861"/>
    <w:rsid w:val="001818B2"/>
    <w:rsid w:val="001818D1"/>
    <w:rsid w:val="001818F9"/>
    <w:rsid w:val="0018191E"/>
    <w:rsid w:val="0018199A"/>
    <w:rsid w:val="001819AF"/>
    <w:rsid w:val="001819E7"/>
    <w:rsid w:val="00181A4D"/>
    <w:rsid w:val="00181A72"/>
    <w:rsid w:val="00181A9C"/>
    <w:rsid w:val="00181AA7"/>
    <w:rsid w:val="00181AD6"/>
    <w:rsid w:val="00181B2D"/>
    <w:rsid w:val="00181BF8"/>
    <w:rsid w:val="00181C91"/>
    <w:rsid w:val="00181D1E"/>
    <w:rsid w:val="00181D33"/>
    <w:rsid w:val="00181D73"/>
    <w:rsid w:val="00181D80"/>
    <w:rsid w:val="00181D96"/>
    <w:rsid w:val="00181E16"/>
    <w:rsid w:val="00181E1E"/>
    <w:rsid w:val="00181E94"/>
    <w:rsid w:val="00181EA2"/>
    <w:rsid w:val="00181EB6"/>
    <w:rsid w:val="00181FB2"/>
    <w:rsid w:val="00182009"/>
    <w:rsid w:val="00182034"/>
    <w:rsid w:val="0018204A"/>
    <w:rsid w:val="001820D8"/>
    <w:rsid w:val="00182107"/>
    <w:rsid w:val="0018211C"/>
    <w:rsid w:val="001822CE"/>
    <w:rsid w:val="00182321"/>
    <w:rsid w:val="001824AA"/>
    <w:rsid w:val="001824F9"/>
    <w:rsid w:val="0018251E"/>
    <w:rsid w:val="00182528"/>
    <w:rsid w:val="001825B9"/>
    <w:rsid w:val="001825BA"/>
    <w:rsid w:val="00182664"/>
    <w:rsid w:val="0018272E"/>
    <w:rsid w:val="0018274E"/>
    <w:rsid w:val="00182777"/>
    <w:rsid w:val="0018278E"/>
    <w:rsid w:val="00182833"/>
    <w:rsid w:val="00182852"/>
    <w:rsid w:val="00182874"/>
    <w:rsid w:val="00182929"/>
    <w:rsid w:val="00182931"/>
    <w:rsid w:val="0018294B"/>
    <w:rsid w:val="0018297F"/>
    <w:rsid w:val="001829BC"/>
    <w:rsid w:val="00182A0F"/>
    <w:rsid w:val="00182A1C"/>
    <w:rsid w:val="00182A32"/>
    <w:rsid w:val="00182A40"/>
    <w:rsid w:val="00182AA6"/>
    <w:rsid w:val="00182AE7"/>
    <w:rsid w:val="00182AF1"/>
    <w:rsid w:val="00182BC3"/>
    <w:rsid w:val="00182BD1"/>
    <w:rsid w:val="00182CC2"/>
    <w:rsid w:val="00182DF4"/>
    <w:rsid w:val="00182F62"/>
    <w:rsid w:val="0018304D"/>
    <w:rsid w:val="00183128"/>
    <w:rsid w:val="0018313F"/>
    <w:rsid w:val="00183172"/>
    <w:rsid w:val="001831D7"/>
    <w:rsid w:val="001832B1"/>
    <w:rsid w:val="001832DC"/>
    <w:rsid w:val="001832EF"/>
    <w:rsid w:val="00183357"/>
    <w:rsid w:val="00183392"/>
    <w:rsid w:val="0018339C"/>
    <w:rsid w:val="001833AA"/>
    <w:rsid w:val="001833CD"/>
    <w:rsid w:val="00183433"/>
    <w:rsid w:val="0018348B"/>
    <w:rsid w:val="001834C1"/>
    <w:rsid w:val="001834C3"/>
    <w:rsid w:val="00183548"/>
    <w:rsid w:val="0018356B"/>
    <w:rsid w:val="001835A9"/>
    <w:rsid w:val="001835B5"/>
    <w:rsid w:val="001835E0"/>
    <w:rsid w:val="001835FD"/>
    <w:rsid w:val="00183641"/>
    <w:rsid w:val="00183724"/>
    <w:rsid w:val="00183787"/>
    <w:rsid w:val="00183809"/>
    <w:rsid w:val="0018387D"/>
    <w:rsid w:val="001838BD"/>
    <w:rsid w:val="001838FA"/>
    <w:rsid w:val="0018397F"/>
    <w:rsid w:val="00183A02"/>
    <w:rsid w:val="00183A1E"/>
    <w:rsid w:val="00183A1F"/>
    <w:rsid w:val="00183A80"/>
    <w:rsid w:val="00183ADB"/>
    <w:rsid w:val="00183B24"/>
    <w:rsid w:val="00183B25"/>
    <w:rsid w:val="00183B78"/>
    <w:rsid w:val="00183BE8"/>
    <w:rsid w:val="00183C51"/>
    <w:rsid w:val="00183C8F"/>
    <w:rsid w:val="00183D72"/>
    <w:rsid w:val="00183D85"/>
    <w:rsid w:val="00183D8E"/>
    <w:rsid w:val="00183DEF"/>
    <w:rsid w:val="00183E12"/>
    <w:rsid w:val="00183E1B"/>
    <w:rsid w:val="00184064"/>
    <w:rsid w:val="001840E5"/>
    <w:rsid w:val="001840EC"/>
    <w:rsid w:val="0018412D"/>
    <w:rsid w:val="001841CA"/>
    <w:rsid w:val="0018426A"/>
    <w:rsid w:val="00184270"/>
    <w:rsid w:val="00184284"/>
    <w:rsid w:val="0018433D"/>
    <w:rsid w:val="00184377"/>
    <w:rsid w:val="0018438F"/>
    <w:rsid w:val="0018440C"/>
    <w:rsid w:val="00184442"/>
    <w:rsid w:val="00184453"/>
    <w:rsid w:val="0018445D"/>
    <w:rsid w:val="00184514"/>
    <w:rsid w:val="0018455E"/>
    <w:rsid w:val="0018456A"/>
    <w:rsid w:val="0018465C"/>
    <w:rsid w:val="0018465E"/>
    <w:rsid w:val="001846A5"/>
    <w:rsid w:val="00184750"/>
    <w:rsid w:val="0018486B"/>
    <w:rsid w:val="00184873"/>
    <w:rsid w:val="0018488C"/>
    <w:rsid w:val="001848D6"/>
    <w:rsid w:val="0018490C"/>
    <w:rsid w:val="0018493C"/>
    <w:rsid w:val="00184994"/>
    <w:rsid w:val="001849B0"/>
    <w:rsid w:val="00184A2B"/>
    <w:rsid w:val="00184BB4"/>
    <w:rsid w:val="00184BD0"/>
    <w:rsid w:val="00184C7C"/>
    <w:rsid w:val="00184CE2"/>
    <w:rsid w:val="00184E3D"/>
    <w:rsid w:val="00184E6A"/>
    <w:rsid w:val="00184E9E"/>
    <w:rsid w:val="00184EC6"/>
    <w:rsid w:val="00184F1E"/>
    <w:rsid w:val="00184F82"/>
    <w:rsid w:val="00184F88"/>
    <w:rsid w:val="00184FBD"/>
    <w:rsid w:val="00184FDD"/>
    <w:rsid w:val="0018500F"/>
    <w:rsid w:val="001850DE"/>
    <w:rsid w:val="001850F6"/>
    <w:rsid w:val="00185144"/>
    <w:rsid w:val="00185166"/>
    <w:rsid w:val="00185172"/>
    <w:rsid w:val="00185194"/>
    <w:rsid w:val="001851B2"/>
    <w:rsid w:val="0018521A"/>
    <w:rsid w:val="0018525C"/>
    <w:rsid w:val="001852D1"/>
    <w:rsid w:val="0018535C"/>
    <w:rsid w:val="0018538F"/>
    <w:rsid w:val="0018548C"/>
    <w:rsid w:val="001854DF"/>
    <w:rsid w:val="00185540"/>
    <w:rsid w:val="001855C2"/>
    <w:rsid w:val="001855ED"/>
    <w:rsid w:val="0018563F"/>
    <w:rsid w:val="001856F1"/>
    <w:rsid w:val="001856F5"/>
    <w:rsid w:val="0018578D"/>
    <w:rsid w:val="001857C4"/>
    <w:rsid w:val="00185802"/>
    <w:rsid w:val="00185828"/>
    <w:rsid w:val="0018599C"/>
    <w:rsid w:val="001859A3"/>
    <w:rsid w:val="001859E3"/>
    <w:rsid w:val="00185A1C"/>
    <w:rsid w:val="00185A36"/>
    <w:rsid w:val="00185A9D"/>
    <w:rsid w:val="00185B1F"/>
    <w:rsid w:val="00185B4D"/>
    <w:rsid w:val="00185CF0"/>
    <w:rsid w:val="00185D6F"/>
    <w:rsid w:val="00185D76"/>
    <w:rsid w:val="00185D7A"/>
    <w:rsid w:val="00185D90"/>
    <w:rsid w:val="00185E0E"/>
    <w:rsid w:val="00185E29"/>
    <w:rsid w:val="00185E37"/>
    <w:rsid w:val="00185E39"/>
    <w:rsid w:val="00185F68"/>
    <w:rsid w:val="0018601C"/>
    <w:rsid w:val="0018608C"/>
    <w:rsid w:val="001860B2"/>
    <w:rsid w:val="0018611E"/>
    <w:rsid w:val="00186232"/>
    <w:rsid w:val="00186283"/>
    <w:rsid w:val="001862E3"/>
    <w:rsid w:val="00186346"/>
    <w:rsid w:val="001863E2"/>
    <w:rsid w:val="001864EF"/>
    <w:rsid w:val="00186503"/>
    <w:rsid w:val="00186514"/>
    <w:rsid w:val="00186550"/>
    <w:rsid w:val="001865AD"/>
    <w:rsid w:val="00186633"/>
    <w:rsid w:val="0018665E"/>
    <w:rsid w:val="001866D9"/>
    <w:rsid w:val="00186773"/>
    <w:rsid w:val="0018677C"/>
    <w:rsid w:val="001867C6"/>
    <w:rsid w:val="001867D6"/>
    <w:rsid w:val="001867FF"/>
    <w:rsid w:val="00186896"/>
    <w:rsid w:val="00186944"/>
    <w:rsid w:val="0018699C"/>
    <w:rsid w:val="001869A2"/>
    <w:rsid w:val="00186A52"/>
    <w:rsid w:val="00186C06"/>
    <w:rsid w:val="00186E3D"/>
    <w:rsid w:val="00186F07"/>
    <w:rsid w:val="00186F38"/>
    <w:rsid w:val="00186FDB"/>
    <w:rsid w:val="00187034"/>
    <w:rsid w:val="00187097"/>
    <w:rsid w:val="00187115"/>
    <w:rsid w:val="0018712D"/>
    <w:rsid w:val="0018714F"/>
    <w:rsid w:val="001871BF"/>
    <w:rsid w:val="001871C3"/>
    <w:rsid w:val="0018726F"/>
    <w:rsid w:val="001872B0"/>
    <w:rsid w:val="001872CF"/>
    <w:rsid w:val="00187336"/>
    <w:rsid w:val="00187341"/>
    <w:rsid w:val="00187377"/>
    <w:rsid w:val="001873F7"/>
    <w:rsid w:val="00187430"/>
    <w:rsid w:val="00187461"/>
    <w:rsid w:val="001874CD"/>
    <w:rsid w:val="00187532"/>
    <w:rsid w:val="001875A4"/>
    <w:rsid w:val="00187684"/>
    <w:rsid w:val="001876BD"/>
    <w:rsid w:val="00187763"/>
    <w:rsid w:val="001877B6"/>
    <w:rsid w:val="0018789C"/>
    <w:rsid w:val="001878B9"/>
    <w:rsid w:val="001878D2"/>
    <w:rsid w:val="00187905"/>
    <w:rsid w:val="00187956"/>
    <w:rsid w:val="00187992"/>
    <w:rsid w:val="001879EA"/>
    <w:rsid w:val="00187A39"/>
    <w:rsid w:val="00187B53"/>
    <w:rsid w:val="00187B74"/>
    <w:rsid w:val="00187C90"/>
    <w:rsid w:val="00187CA4"/>
    <w:rsid w:val="00187D31"/>
    <w:rsid w:val="00187D8E"/>
    <w:rsid w:val="00187DAE"/>
    <w:rsid w:val="00187E1D"/>
    <w:rsid w:val="00187E1E"/>
    <w:rsid w:val="00187EAE"/>
    <w:rsid w:val="00187ED7"/>
    <w:rsid w:val="00187EE0"/>
    <w:rsid w:val="00187F05"/>
    <w:rsid w:val="00187F86"/>
    <w:rsid w:val="00187FCB"/>
    <w:rsid w:val="00190008"/>
    <w:rsid w:val="0019004A"/>
    <w:rsid w:val="00190060"/>
    <w:rsid w:val="001900AB"/>
    <w:rsid w:val="001900D4"/>
    <w:rsid w:val="0019013D"/>
    <w:rsid w:val="0019015A"/>
    <w:rsid w:val="001901A7"/>
    <w:rsid w:val="001901F5"/>
    <w:rsid w:val="0019020C"/>
    <w:rsid w:val="0019025F"/>
    <w:rsid w:val="0019031A"/>
    <w:rsid w:val="00190433"/>
    <w:rsid w:val="00190481"/>
    <w:rsid w:val="001904D3"/>
    <w:rsid w:val="00190527"/>
    <w:rsid w:val="001905FE"/>
    <w:rsid w:val="001906CC"/>
    <w:rsid w:val="001906E9"/>
    <w:rsid w:val="00190770"/>
    <w:rsid w:val="001907A8"/>
    <w:rsid w:val="001907CE"/>
    <w:rsid w:val="00190813"/>
    <w:rsid w:val="0019082C"/>
    <w:rsid w:val="001908A3"/>
    <w:rsid w:val="00190912"/>
    <w:rsid w:val="001909BE"/>
    <w:rsid w:val="00190A86"/>
    <w:rsid w:val="00190AFA"/>
    <w:rsid w:val="00190B50"/>
    <w:rsid w:val="00190BAD"/>
    <w:rsid w:val="00190D03"/>
    <w:rsid w:val="00190D43"/>
    <w:rsid w:val="00190DC8"/>
    <w:rsid w:val="00190DF0"/>
    <w:rsid w:val="00190F13"/>
    <w:rsid w:val="00190F2C"/>
    <w:rsid w:val="00190F7F"/>
    <w:rsid w:val="00191105"/>
    <w:rsid w:val="00191180"/>
    <w:rsid w:val="001911F1"/>
    <w:rsid w:val="0019120A"/>
    <w:rsid w:val="0019120B"/>
    <w:rsid w:val="00191257"/>
    <w:rsid w:val="00191426"/>
    <w:rsid w:val="00191512"/>
    <w:rsid w:val="00191514"/>
    <w:rsid w:val="00191534"/>
    <w:rsid w:val="00191548"/>
    <w:rsid w:val="00191580"/>
    <w:rsid w:val="001915A0"/>
    <w:rsid w:val="0019162D"/>
    <w:rsid w:val="001916A6"/>
    <w:rsid w:val="001916C8"/>
    <w:rsid w:val="00191717"/>
    <w:rsid w:val="00191798"/>
    <w:rsid w:val="001917BB"/>
    <w:rsid w:val="0019183E"/>
    <w:rsid w:val="0019184F"/>
    <w:rsid w:val="00191855"/>
    <w:rsid w:val="00191875"/>
    <w:rsid w:val="0019187C"/>
    <w:rsid w:val="001918BB"/>
    <w:rsid w:val="00191965"/>
    <w:rsid w:val="00191A0A"/>
    <w:rsid w:val="00191A5B"/>
    <w:rsid w:val="00191B29"/>
    <w:rsid w:val="00191BC2"/>
    <w:rsid w:val="00191C1A"/>
    <w:rsid w:val="00191C4E"/>
    <w:rsid w:val="00191D84"/>
    <w:rsid w:val="00191D94"/>
    <w:rsid w:val="00191D9A"/>
    <w:rsid w:val="00191DF5"/>
    <w:rsid w:val="00191DFA"/>
    <w:rsid w:val="00191E63"/>
    <w:rsid w:val="00191E6F"/>
    <w:rsid w:val="00191EA9"/>
    <w:rsid w:val="00191EAE"/>
    <w:rsid w:val="00191F12"/>
    <w:rsid w:val="00191F4D"/>
    <w:rsid w:val="00191FA1"/>
    <w:rsid w:val="00191FBB"/>
    <w:rsid w:val="0019202B"/>
    <w:rsid w:val="00192038"/>
    <w:rsid w:val="0019206B"/>
    <w:rsid w:val="00192072"/>
    <w:rsid w:val="001920EC"/>
    <w:rsid w:val="0019211A"/>
    <w:rsid w:val="00192186"/>
    <w:rsid w:val="001922DE"/>
    <w:rsid w:val="001922E2"/>
    <w:rsid w:val="001922EA"/>
    <w:rsid w:val="0019230E"/>
    <w:rsid w:val="0019232E"/>
    <w:rsid w:val="001923A5"/>
    <w:rsid w:val="001923B1"/>
    <w:rsid w:val="001924B2"/>
    <w:rsid w:val="001924CD"/>
    <w:rsid w:val="0019253F"/>
    <w:rsid w:val="0019255E"/>
    <w:rsid w:val="001925EE"/>
    <w:rsid w:val="00192652"/>
    <w:rsid w:val="001926EC"/>
    <w:rsid w:val="00192751"/>
    <w:rsid w:val="001927C0"/>
    <w:rsid w:val="00192887"/>
    <w:rsid w:val="00192900"/>
    <w:rsid w:val="0019293B"/>
    <w:rsid w:val="001929CE"/>
    <w:rsid w:val="001929DB"/>
    <w:rsid w:val="00192AD0"/>
    <w:rsid w:val="00192AD8"/>
    <w:rsid w:val="00192AFE"/>
    <w:rsid w:val="00192B5D"/>
    <w:rsid w:val="00192B8A"/>
    <w:rsid w:val="00192BAF"/>
    <w:rsid w:val="00192BCB"/>
    <w:rsid w:val="00192C1D"/>
    <w:rsid w:val="00192C3F"/>
    <w:rsid w:val="00192D35"/>
    <w:rsid w:val="00192D98"/>
    <w:rsid w:val="00192DC4"/>
    <w:rsid w:val="00192DC9"/>
    <w:rsid w:val="00192DCA"/>
    <w:rsid w:val="00192E18"/>
    <w:rsid w:val="00192E1E"/>
    <w:rsid w:val="00192EB4"/>
    <w:rsid w:val="00192EDA"/>
    <w:rsid w:val="00192F19"/>
    <w:rsid w:val="00192F55"/>
    <w:rsid w:val="00192FD5"/>
    <w:rsid w:val="00192FDA"/>
    <w:rsid w:val="00193071"/>
    <w:rsid w:val="001930F2"/>
    <w:rsid w:val="00193151"/>
    <w:rsid w:val="001931A8"/>
    <w:rsid w:val="001931C3"/>
    <w:rsid w:val="001932AF"/>
    <w:rsid w:val="001932B4"/>
    <w:rsid w:val="00193390"/>
    <w:rsid w:val="001933F4"/>
    <w:rsid w:val="00193460"/>
    <w:rsid w:val="0019346C"/>
    <w:rsid w:val="001934DE"/>
    <w:rsid w:val="001934F5"/>
    <w:rsid w:val="00193558"/>
    <w:rsid w:val="001935FD"/>
    <w:rsid w:val="00193611"/>
    <w:rsid w:val="00193691"/>
    <w:rsid w:val="001936DD"/>
    <w:rsid w:val="001936EB"/>
    <w:rsid w:val="0019370A"/>
    <w:rsid w:val="00193783"/>
    <w:rsid w:val="001937BB"/>
    <w:rsid w:val="0019380D"/>
    <w:rsid w:val="0019381A"/>
    <w:rsid w:val="0019385A"/>
    <w:rsid w:val="00193988"/>
    <w:rsid w:val="001939CB"/>
    <w:rsid w:val="00193AC8"/>
    <w:rsid w:val="00193B36"/>
    <w:rsid w:val="00193B8B"/>
    <w:rsid w:val="00193BA7"/>
    <w:rsid w:val="00193C7C"/>
    <w:rsid w:val="00193CBF"/>
    <w:rsid w:val="00193D0E"/>
    <w:rsid w:val="00193D80"/>
    <w:rsid w:val="00193D9E"/>
    <w:rsid w:val="00193DA7"/>
    <w:rsid w:val="00193DED"/>
    <w:rsid w:val="00193E48"/>
    <w:rsid w:val="00193ED7"/>
    <w:rsid w:val="00193EF1"/>
    <w:rsid w:val="00193F05"/>
    <w:rsid w:val="00193F54"/>
    <w:rsid w:val="00193F5C"/>
    <w:rsid w:val="0019405B"/>
    <w:rsid w:val="00194060"/>
    <w:rsid w:val="0019406E"/>
    <w:rsid w:val="0019408A"/>
    <w:rsid w:val="001941AA"/>
    <w:rsid w:val="001941C6"/>
    <w:rsid w:val="001941D8"/>
    <w:rsid w:val="00194240"/>
    <w:rsid w:val="0019429F"/>
    <w:rsid w:val="001942AD"/>
    <w:rsid w:val="001942C7"/>
    <w:rsid w:val="00194308"/>
    <w:rsid w:val="0019434D"/>
    <w:rsid w:val="0019435A"/>
    <w:rsid w:val="00194378"/>
    <w:rsid w:val="001943C8"/>
    <w:rsid w:val="00194401"/>
    <w:rsid w:val="00194412"/>
    <w:rsid w:val="00194469"/>
    <w:rsid w:val="0019448A"/>
    <w:rsid w:val="00194499"/>
    <w:rsid w:val="0019449D"/>
    <w:rsid w:val="001944E9"/>
    <w:rsid w:val="001944F1"/>
    <w:rsid w:val="0019457E"/>
    <w:rsid w:val="001945D0"/>
    <w:rsid w:val="0019461B"/>
    <w:rsid w:val="00194638"/>
    <w:rsid w:val="00194654"/>
    <w:rsid w:val="00194723"/>
    <w:rsid w:val="0019472E"/>
    <w:rsid w:val="00194806"/>
    <w:rsid w:val="0019485E"/>
    <w:rsid w:val="001949C8"/>
    <w:rsid w:val="00194A20"/>
    <w:rsid w:val="00194A5C"/>
    <w:rsid w:val="00194ADB"/>
    <w:rsid w:val="00194AFF"/>
    <w:rsid w:val="00194B52"/>
    <w:rsid w:val="00194B6F"/>
    <w:rsid w:val="00194C77"/>
    <w:rsid w:val="00194CBA"/>
    <w:rsid w:val="00194CF3"/>
    <w:rsid w:val="00194D23"/>
    <w:rsid w:val="00194D2E"/>
    <w:rsid w:val="00194D93"/>
    <w:rsid w:val="00194D98"/>
    <w:rsid w:val="00194DD2"/>
    <w:rsid w:val="00194E96"/>
    <w:rsid w:val="00194F0C"/>
    <w:rsid w:val="00194FAF"/>
    <w:rsid w:val="001950CF"/>
    <w:rsid w:val="001950F8"/>
    <w:rsid w:val="00195114"/>
    <w:rsid w:val="0019520B"/>
    <w:rsid w:val="00195217"/>
    <w:rsid w:val="0019529F"/>
    <w:rsid w:val="001952D1"/>
    <w:rsid w:val="001952F2"/>
    <w:rsid w:val="00195346"/>
    <w:rsid w:val="0019540F"/>
    <w:rsid w:val="00195488"/>
    <w:rsid w:val="001954E5"/>
    <w:rsid w:val="001955B0"/>
    <w:rsid w:val="001955B7"/>
    <w:rsid w:val="001955B9"/>
    <w:rsid w:val="001955F0"/>
    <w:rsid w:val="001955FB"/>
    <w:rsid w:val="0019565B"/>
    <w:rsid w:val="0019566E"/>
    <w:rsid w:val="001956AC"/>
    <w:rsid w:val="001957BF"/>
    <w:rsid w:val="001957F9"/>
    <w:rsid w:val="00195818"/>
    <w:rsid w:val="00195824"/>
    <w:rsid w:val="00195876"/>
    <w:rsid w:val="00195880"/>
    <w:rsid w:val="001958CD"/>
    <w:rsid w:val="00195985"/>
    <w:rsid w:val="00195A2F"/>
    <w:rsid w:val="00195A5F"/>
    <w:rsid w:val="00195A88"/>
    <w:rsid w:val="00195AA3"/>
    <w:rsid w:val="00195B2F"/>
    <w:rsid w:val="00195B3C"/>
    <w:rsid w:val="00195B62"/>
    <w:rsid w:val="00195BE5"/>
    <w:rsid w:val="00195C15"/>
    <w:rsid w:val="00195C74"/>
    <w:rsid w:val="00195C7B"/>
    <w:rsid w:val="00195C8A"/>
    <w:rsid w:val="00195CA5"/>
    <w:rsid w:val="00195CBA"/>
    <w:rsid w:val="00195CF3"/>
    <w:rsid w:val="00195DB3"/>
    <w:rsid w:val="00195E3A"/>
    <w:rsid w:val="00195E70"/>
    <w:rsid w:val="00195E88"/>
    <w:rsid w:val="00195EC9"/>
    <w:rsid w:val="00195EF9"/>
    <w:rsid w:val="00195F2F"/>
    <w:rsid w:val="00195F30"/>
    <w:rsid w:val="00195F3F"/>
    <w:rsid w:val="00195FA9"/>
    <w:rsid w:val="00195FAA"/>
    <w:rsid w:val="00195FC5"/>
    <w:rsid w:val="0019603A"/>
    <w:rsid w:val="0019606D"/>
    <w:rsid w:val="001961AF"/>
    <w:rsid w:val="001961D5"/>
    <w:rsid w:val="001962E3"/>
    <w:rsid w:val="001962ED"/>
    <w:rsid w:val="00196417"/>
    <w:rsid w:val="0019642E"/>
    <w:rsid w:val="00196476"/>
    <w:rsid w:val="00196492"/>
    <w:rsid w:val="001964A3"/>
    <w:rsid w:val="001964B7"/>
    <w:rsid w:val="0019659F"/>
    <w:rsid w:val="001965A9"/>
    <w:rsid w:val="00196661"/>
    <w:rsid w:val="00196664"/>
    <w:rsid w:val="0019670C"/>
    <w:rsid w:val="00196747"/>
    <w:rsid w:val="001967D2"/>
    <w:rsid w:val="0019692A"/>
    <w:rsid w:val="00196948"/>
    <w:rsid w:val="00196966"/>
    <w:rsid w:val="001969B6"/>
    <w:rsid w:val="00196B5E"/>
    <w:rsid w:val="00196C1B"/>
    <w:rsid w:val="00196C62"/>
    <w:rsid w:val="00196C85"/>
    <w:rsid w:val="00196CCE"/>
    <w:rsid w:val="00196CCF"/>
    <w:rsid w:val="00196D0A"/>
    <w:rsid w:val="00196D34"/>
    <w:rsid w:val="00196D64"/>
    <w:rsid w:val="00196DE1"/>
    <w:rsid w:val="00196ED4"/>
    <w:rsid w:val="00196EE9"/>
    <w:rsid w:val="00196F60"/>
    <w:rsid w:val="00196FC3"/>
    <w:rsid w:val="00196FEC"/>
    <w:rsid w:val="00197074"/>
    <w:rsid w:val="00197096"/>
    <w:rsid w:val="001971B7"/>
    <w:rsid w:val="00197227"/>
    <w:rsid w:val="001972FD"/>
    <w:rsid w:val="001973A7"/>
    <w:rsid w:val="0019740A"/>
    <w:rsid w:val="0019748A"/>
    <w:rsid w:val="001974E7"/>
    <w:rsid w:val="0019753B"/>
    <w:rsid w:val="00197680"/>
    <w:rsid w:val="0019772A"/>
    <w:rsid w:val="00197730"/>
    <w:rsid w:val="001977DE"/>
    <w:rsid w:val="00197865"/>
    <w:rsid w:val="00197872"/>
    <w:rsid w:val="001978DE"/>
    <w:rsid w:val="0019791C"/>
    <w:rsid w:val="001979E6"/>
    <w:rsid w:val="001979FE"/>
    <w:rsid w:val="00197A4B"/>
    <w:rsid w:val="00197B45"/>
    <w:rsid w:val="00197BA6"/>
    <w:rsid w:val="00197BCB"/>
    <w:rsid w:val="00197BFA"/>
    <w:rsid w:val="00197C1D"/>
    <w:rsid w:val="00197C1F"/>
    <w:rsid w:val="00197C92"/>
    <w:rsid w:val="00197DBA"/>
    <w:rsid w:val="00197E27"/>
    <w:rsid w:val="00197E7C"/>
    <w:rsid w:val="00197E97"/>
    <w:rsid w:val="00197EA6"/>
    <w:rsid w:val="00197EC5"/>
    <w:rsid w:val="00197ECC"/>
    <w:rsid w:val="00197EF0"/>
    <w:rsid w:val="00197F03"/>
    <w:rsid w:val="00197FDB"/>
    <w:rsid w:val="00197FF4"/>
    <w:rsid w:val="001A0008"/>
    <w:rsid w:val="001A001E"/>
    <w:rsid w:val="001A005D"/>
    <w:rsid w:val="001A0083"/>
    <w:rsid w:val="001A00C7"/>
    <w:rsid w:val="001A012E"/>
    <w:rsid w:val="001A0218"/>
    <w:rsid w:val="001A0245"/>
    <w:rsid w:val="001A0272"/>
    <w:rsid w:val="001A02AF"/>
    <w:rsid w:val="001A02EF"/>
    <w:rsid w:val="001A0308"/>
    <w:rsid w:val="001A0339"/>
    <w:rsid w:val="001A033D"/>
    <w:rsid w:val="001A0348"/>
    <w:rsid w:val="001A0445"/>
    <w:rsid w:val="001A0472"/>
    <w:rsid w:val="001A0489"/>
    <w:rsid w:val="001A058D"/>
    <w:rsid w:val="001A05CD"/>
    <w:rsid w:val="001A05FD"/>
    <w:rsid w:val="001A06CB"/>
    <w:rsid w:val="001A0755"/>
    <w:rsid w:val="001A076A"/>
    <w:rsid w:val="001A07D5"/>
    <w:rsid w:val="001A0814"/>
    <w:rsid w:val="001A0831"/>
    <w:rsid w:val="001A09B3"/>
    <w:rsid w:val="001A0A19"/>
    <w:rsid w:val="001A0BCE"/>
    <w:rsid w:val="001A0C36"/>
    <w:rsid w:val="001A0D15"/>
    <w:rsid w:val="001A0D77"/>
    <w:rsid w:val="001A0DAD"/>
    <w:rsid w:val="001A0DBA"/>
    <w:rsid w:val="001A0E0E"/>
    <w:rsid w:val="001A0E28"/>
    <w:rsid w:val="001A0EBC"/>
    <w:rsid w:val="001A0ECA"/>
    <w:rsid w:val="001A0F2D"/>
    <w:rsid w:val="001A0F9E"/>
    <w:rsid w:val="001A1009"/>
    <w:rsid w:val="001A101C"/>
    <w:rsid w:val="001A1026"/>
    <w:rsid w:val="001A12AD"/>
    <w:rsid w:val="001A12CD"/>
    <w:rsid w:val="001A13A7"/>
    <w:rsid w:val="001A14A7"/>
    <w:rsid w:val="001A14C4"/>
    <w:rsid w:val="001A14DD"/>
    <w:rsid w:val="001A1524"/>
    <w:rsid w:val="001A1567"/>
    <w:rsid w:val="001A1604"/>
    <w:rsid w:val="001A1648"/>
    <w:rsid w:val="001A1700"/>
    <w:rsid w:val="001A1790"/>
    <w:rsid w:val="001A17CC"/>
    <w:rsid w:val="001A17D1"/>
    <w:rsid w:val="001A17EC"/>
    <w:rsid w:val="001A1879"/>
    <w:rsid w:val="001A18B8"/>
    <w:rsid w:val="001A18EE"/>
    <w:rsid w:val="001A190A"/>
    <w:rsid w:val="001A196A"/>
    <w:rsid w:val="001A19C2"/>
    <w:rsid w:val="001A19FA"/>
    <w:rsid w:val="001A1A0D"/>
    <w:rsid w:val="001A1A4C"/>
    <w:rsid w:val="001A1A89"/>
    <w:rsid w:val="001A1B53"/>
    <w:rsid w:val="001A1C38"/>
    <w:rsid w:val="001A1C7A"/>
    <w:rsid w:val="001A1CA4"/>
    <w:rsid w:val="001A1CDD"/>
    <w:rsid w:val="001A1D12"/>
    <w:rsid w:val="001A1D4B"/>
    <w:rsid w:val="001A1D95"/>
    <w:rsid w:val="001A1DA5"/>
    <w:rsid w:val="001A1E69"/>
    <w:rsid w:val="001A1EBC"/>
    <w:rsid w:val="001A1EE0"/>
    <w:rsid w:val="001A1F4D"/>
    <w:rsid w:val="001A1F50"/>
    <w:rsid w:val="001A1F7B"/>
    <w:rsid w:val="001A1FEB"/>
    <w:rsid w:val="001A2034"/>
    <w:rsid w:val="001A2054"/>
    <w:rsid w:val="001A2078"/>
    <w:rsid w:val="001A20CE"/>
    <w:rsid w:val="001A213E"/>
    <w:rsid w:val="001A219F"/>
    <w:rsid w:val="001A2218"/>
    <w:rsid w:val="001A2315"/>
    <w:rsid w:val="001A233A"/>
    <w:rsid w:val="001A23D3"/>
    <w:rsid w:val="001A2479"/>
    <w:rsid w:val="001A247E"/>
    <w:rsid w:val="001A249F"/>
    <w:rsid w:val="001A24C3"/>
    <w:rsid w:val="001A2565"/>
    <w:rsid w:val="001A2568"/>
    <w:rsid w:val="001A2656"/>
    <w:rsid w:val="001A265B"/>
    <w:rsid w:val="001A26BA"/>
    <w:rsid w:val="001A273F"/>
    <w:rsid w:val="001A27CD"/>
    <w:rsid w:val="001A2904"/>
    <w:rsid w:val="001A2A10"/>
    <w:rsid w:val="001A2AD2"/>
    <w:rsid w:val="001A2B4D"/>
    <w:rsid w:val="001A2D1D"/>
    <w:rsid w:val="001A2D9E"/>
    <w:rsid w:val="001A2DAC"/>
    <w:rsid w:val="001A2E4D"/>
    <w:rsid w:val="001A2E64"/>
    <w:rsid w:val="001A2EAD"/>
    <w:rsid w:val="001A2EC2"/>
    <w:rsid w:val="001A2EEA"/>
    <w:rsid w:val="001A2F22"/>
    <w:rsid w:val="001A2F32"/>
    <w:rsid w:val="001A2F53"/>
    <w:rsid w:val="001A2F5D"/>
    <w:rsid w:val="001A30FF"/>
    <w:rsid w:val="001A3136"/>
    <w:rsid w:val="001A31CD"/>
    <w:rsid w:val="001A31F6"/>
    <w:rsid w:val="001A321C"/>
    <w:rsid w:val="001A32D7"/>
    <w:rsid w:val="001A32D9"/>
    <w:rsid w:val="001A3337"/>
    <w:rsid w:val="001A336F"/>
    <w:rsid w:val="001A33F4"/>
    <w:rsid w:val="001A342C"/>
    <w:rsid w:val="001A343C"/>
    <w:rsid w:val="001A3488"/>
    <w:rsid w:val="001A35C7"/>
    <w:rsid w:val="001A3649"/>
    <w:rsid w:val="001A366C"/>
    <w:rsid w:val="001A36AB"/>
    <w:rsid w:val="001A3788"/>
    <w:rsid w:val="001A37A2"/>
    <w:rsid w:val="001A37B0"/>
    <w:rsid w:val="001A3807"/>
    <w:rsid w:val="001A384C"/>
    <w:rsid w:val="001A3866"/>
    <w:rsid w:val="001A38B6"/>
    <w:rsid w:val="001A38E4"/>
    <w:rsid w:val="001A3911"/>
    <w:rsid w:val="001A3935"/>
    <w:rsid w:val="001A39B2"/>
    <w:rsid w:val="001A39D3"/>
    <w:rsid w:val="001A3A28"/>
    <w:rsid w:val="001A3A76"/>
    <w:rsid w:val="001A3A83"/>
    <w:rsid w:val="001A3AD7"/>
    <w:rsid w:val="001A3AE5"/>
    <w:rsid w:val="001A3B23"/>
    <w:rsid w:val="001A3B3A"/>
    <w:rsid w:val="001A3B81"/>
    <w:rsid w:val="001A3B93"/>
    <w:rsid w:val="001A3BA9"/>
    <w:rsid w:val="001A3C20"/>
    <w:rsid w:val="001A3C6D"/>
    <w:rsid w:val="001A3D19"/>
    <w:rsid w:val="001A3DE4"/>
    <w:rsid w:val="001A3E42"/>
    <w:rsid w:val="001A3E47"/>
    <w:rsid w:val="001A3F14"/>
    <w:rsid w:val="001A3F8D"/>
    <w:rsid w:val="001A4095"/>
    <w:rsid w:val="001A40B4"/>
    <w:rsid w:val="001A40F2"/>
    <w:rsid w:val="001A410F"/>
    <w:rsid w:val="001A4128"/>
    <w:rsid w:val="001A41D1"/>
    <w:rsid w:val="001A420A"/>
    <w:rsid w:val="001A4248"/>
    <w:rsid w:val="001A425A"/>
    <w:rsid w:val="001A42F9"/>
    <w:rsid w:val="001A434F"/>
    <w:rsid w:val="001A4420"/>
    <w:rsid w:val="001A444E"/>
    <w:rsid w:val="001A4470"/>
    <w:rsid w:val="001A455E"/>
    <w:rsid w:val="001A4571"/>
    <w:rsid w:val="001A45FB"/>
    <w:rsid w:val="001A4704"/>
    <w:rsid w:val="001A4708"/>
    <w:rsid w:val="001A4947"/>
    <w:rsid w:val="001A49C0"/>
    <w:rsid w:val="001A49E1"/>
    <w:rsid w:val="001A4A80"/>
    <w:rsid w:val="001A4AB0"/>
    <w:rsid w:val="001A4B6D"/>
    <w:rsid w:val="001A4BA7"/>
    <w:rsid w:val="001A4BE8"/>
    <w:rsid w:val="001A4C82"/>
    <w:rsid w:val="001A4C8A"/>
    <w:rsid w:val="001A4D23"/>
    <w:rsid w:val="001A4D3E"/>
    <w:rsid w:val="001A4D44"/>
    <w:rsid w:val="001A4DC2"/>
    <w:rsid w:val="001A4DE8"/>
    <w:rsid w:val="001A4DF1"/>
    <w:rsid w:val="001A4E79"/>
    <w:rsid w:val="001A4F63"/>
    <w:rsid w:val="001A4FAC"/>
    <w:rsid w:val="001A4FAD"/>
    <w:rsid w:val="001A4FC8"/>
    <w:rsid w:val="001A4FC9"/>
    <w:rsid w:val="001A5002"/>
    <w:rsid w:val="001A5061"/>
    <w:rsid w:val="001A5099"/>
    <w:rsid w:val="001A50EE"/>
    <w:rsid w:val="001A5181"/>
    <w:rsid w:val="001A5198"/>
    <w:rsid w:val="001A526B"/>
    <w:rsid w:val="001A52D3"/>
    <w:rsid w:val="001A52FF"/>
    <w:rsid w:val="001A5510"/>
    <w:rsid w:val="001A55F5"/>
    <w:rsid w:val="001A5607"/>
    <w:rsid w:val="001A56FA"/>
    <w:rsid w:val="001A572E"/>
    <w:rsid w:val="001A57C4"/>
    <w:rsid w:val="001A57C8"/>
    <w:rsid w:val="001A583C"/>
    <w:rsid w:val="001A5870"/>
    <w:rsid w:val="001A58FE"/>
    <w:rsid w:val="001A5964"/>
    <w:rsid w:val="001A599A"/>
    <w:rsid w:val="001A59FC"/>
    <w:rsid w:val="001A5A6E"/>
    <w:rsid w:val="001A5BCB"/>
    <w:rsid w:val="001A5C80"/>
    <w:rsid w:val="001A5C8E"/>
    <w:rsid w:val="001A5DB4"/>
    <w:rsid w:val="001A5E20"/>
    <w:rsid w:val="001A5E8E"/>
    <w:rsid w:val="001A5EC8"/>
    <w:rsid w:val="001A5EFF"/>
    <w:rsid w:val="001A5FBE"/>
    <w:rsid w:val="001A5FC0"/>
    <w:rsid w:val="001A6025"/>
    <w:rsid w:val="001A60CB"/>
    <w:rsid w:val="001A60D4"/>
    <w:rsid w:val="001A6118"/>
    <w:rsid w:val="001A6150"/>
    <w:rsid w:val="001A6192"/>
    <w:rsid w:val="001A6193"/>
    <w:rsid w:val="001A6281"/>
    <w:rsid w:val="001A62AE"/>
    <w:rsid w:val="001A633D"/>
    <w:rsid w:val="001A6367"/>
    <w:rsid w:val="001A6398"/>
    <w:rsid w:val="001A6419"/>
    <w:rsid w:val="001A64B5"/>
    <w:rsid w:val="001A6570"/>
    <w:rsid w:val="001A6661"/>
    <w:rsid w:val="001A66A2"/>
    <w:rsid w:val="001A66B3"/>
    <w:rsid w:val="001A66C0"/>
    <w:rsid w:val="001A66E4"/>
    <w:rsid w:val="001A6714"/>
    <w:rsid w:val="001A6719"/>
    <w:rsid w:val="001A6826"/>
    <w:rsid w:val="001A68A5"/>
    <w:rsid w:val="001A68B9"/>
    <w:rsid w:val="001A6A20"/>
    <w:rsid w:val="001A6B3D"/>
    <w:rsid w:val="001A6BDE"/>
    <w:rsid w:val="001A6C29"/>
    <w:rsid w:val="001A6C9E"/>
    <w:rsid w:val="001A6CB1"/>
    <w:rsid w:val="001A6DF8"/>
    <w:rsid w:val="001A6E67"/>
    <w:rsid w:val="001A6E69"/>
    <w:rsid w:val="001A6E8B"/>
    <w:rsid w:val="001A6E9B"/>
    <w:rsid w:val="001A6FC0"/>
    <w:rsid w:val="001A7039"/>
    <w:rsid w:val="001A71A0"/>
    <w:rsid w:val="001A7208"/>
    <w:rsid w:val="001A725A"/>
    <w:rsid w:val="001A7270"/>
    <w:rsid w:val="001A7315"/>
    <w:rsid w:val="001A732D"/>
    <w:rsid w:val="001A7348"/>
    <w:rsid w:val="001A73D2"/>
    <w:rsid w:val="001A7444"/>
    <w:rsid w:val="001A74F4"/>
    <w:rsid w:val="001A75A4"/>
    <w:rsid w:val="001A76DD"/>
    <w:rsid w:val="001A7725"/>
    <w:rsid w:val="001A774B"/>
    <w:rsid w:val="001A776B"/>
    <w:rsid w:val="001A7796"/>
    <w:rsid w:val="001A77BD"/>
    <w:rsid w:val="001A7807"/>
    <w:rsid w:val="001A787D"/>
    <w:rsid w:val="001A78B1"/>
    <w:rsid w:val="001A78C0"/>
    <w:rsid w:val="001A793B"/>
    <w:rsid w:val="001A79A9"/>
    <w:rsid w:val="001A7A09"/>
    <w:rsid w:val="001A7AA4"/>
    <w:rsid w:val="001A7AFB"/>
    <w:rsid w:val="001A7C1E"/>
    <w:rsid w:val="001A7CA6"/>
    <w:rsid w:val="001A7CB7"/>
    <w:rsid w:val="001A7CDE"/>
    <w:rsid w:val="001A7CE7"/>
    <w:rsid w:val="001A7DA9"/>
    <w:rsid w:val="001A7EA1"/>
    <w:rsid w:val="001A7F92"/>
    <w:rsid w:val="001A7FAF"/>
    <w:rsid w:val="001B0093"/>
    <w:rsid w:val="001B00B4"/>
    <w:rsid w:val="001B00E5"/>
    <w:rsid w:val="001B0134"/>
    <w:rsid w:val="001B0145"/>
    <w:rsid w:val="001B0185"/>
    <w:rsid w:val="001B027C"/>
    <w:rsid w:val="001B0283"/>
    <w:rsid w:val="001B0285"/>
    <w:rsid w:val="001B02D2"/>
    <w:rsid w:val="001B02F3"/>
    <w:rsid w:val="001B0319"/>
    <w:rsid w:val="001B0330"/>
    <w:rsid w:val="001B040E"/>
    <w:rsid w:val="001B0461"/>
    <w:rsid w:val="001B04A6"/>
    <w:rsid w:val="001B04F9"/>
    <w:rsid w:val="001B054E"/>
    <w:rsid w:val="001B0571"/>
    <w:rsid w:val="001B058E"/>
    <w:rsid w:val="001B05EC"/>
    <w:rsid w:val="001B0605"/>
    <w:rsid w:val="001B0640"/>
    <w:rsid w:val="001B0746"/>
    <w:rsid w:val="001B0776"/>
    <w:rsid w:val="001B07EC"/>
    <w:rsid w:val="001B0877"/>
    <w:rsid w:val="001B08BF"/>
    <w:rsid w:val="001B0931"/>
    <w:rsid w:val="001B094C"/>
    <w:rsid w:val="001B0959"/>
    <w:rsid w:val="001B0A29"/>
    <w:rsid w:val="001B0A58"/>
    <w:rsid w:val="001B0A65"/>
    <w:rsid w:val="001B0BB7"/>
    <w:rsid w:val="001B0C15"/>
    <w:rsid w:val="001B0C39"/>
    <w:rsid w:val="001B0C51"/>
    <w:rsid w:val="001B0CAE"/>
    <w:rsid w:val="001B0D8B"/>
    <w:rsid w:val="001B0F2D"/>
    <w:rsid w:val="001B0F78"/>
    <w:rsid w:val="001B101D"/>
    <w:rsid w:val="001B1027"/>
    <w:rsid w:val="001B10F0"/>
    <w:rsid w:val="001B11B9"/>
    <w:rsid w:val="001B11F6"/>
    <w:rsid w:val="001B121B"/>
    <w:rsid w:val="001B1236"/>
    <w:rsid w:val="001B124F"/>
    <w:rsid w:val="001B12BA"/>
    <w:rsid w:val="001B1359"/>
    <w:rsid w:val="001B1399"/>
    <w:rsid w:val="001B142E"/>
    <w:rsid w:val="001B1456"/>
    <w:rsid w:val="001B14E9"/>
    <w:rsid w:val="001B154A"/>
    <w:rsid w:val="001B155A"/>
    <w:rsid w:val="001B15D3"/>
    <w:rsid w:val="001B15D8"/>
    <w:rsid w:val="001B1605"/>
    <w:rsid w:val="001B16BF"/>
    <w:rsid w:val="001B1715"/>
    <w:rsid w:val="001B1733"/>
    <w:rsid w:val="001B1762"/>
    <w:rsid w:val="001B177D"/>
    <w:rsid w:val="001B17AC"/>
    <w:rsid w:val="001B1812"/>
    <w:rsid w:val="001B1985"/>
    <w:rsid w:val="001B1A65"/>
    <w:rsid w:val="001B1CFD"/>
    <w:rsid w:val="001B1E23"/>
    <w:rsid w:val="001B1E39"/>
    <w:rsid w:val="001B1F21"/>
    <w:rsid w:val="001B1F52"/>
    <w:rsid w:val="001B1F7C"/>
    <w:rsid w:val="001B1FD2"/>
    <w:rsid w:val="001B20E3"/>
    <w:rsid w:val="001B211B"/>
    <w:rsid w:val="001B2292"/>
    <w:rsid w:val="001B22AB"/>
    <w:rsid w:val="001B22B5"/>
    <w:rsid w:val="001B22E2"/>
    <w:rsid w:val="001B22E5"/>
    <w:rsid w:val="001B22FD"/>
    <w:rsid w:val="001B2300"/>
    <w:rsid w:val="001B230B"/>
    <w:rsid w:val="001B2342"/>
    <w:rsid w:val="001B2360"/>
    <w:rsid w:val="001B23B7"/>
    <w:rsid w:val="001B246D"/>
    <w:rsid w:val="001B248D"/>
    <w:rsid w:val="001B2499"/>
    <w:rsid w:val="001B24DD"/>
    <w:rsid w:val="001B24E8"/>
    <w:rsid w:val="001B251B"/>
    <w:rsid w:val="001B254E"/>
    <w:rsid w:val="001B2580"/>
    <w:rsid w:val="001B25B1"/>
    <w:rsid w:val="001B25B4"/>
    <w:rsid w:val="001B2646"/>
    <w:rsid w:val="001B2650"/>
    <w:rsid w:val="001B267C"/>
    <w:rsid w:val="001B267D"/>
    <w:rsid w:val="001B2697"/>
    <w:rsid w:val="001B277A"/>
    <w:rsid w:val="001B2786"/>
    <w:rsid w:val="001B27C9"/>
    <w:rsid w:val="001B2913"/>
    <w:rsid w:val="001B2955"/>
    <w:rsid w:val="001B29E9"/>
    <w:rsid w:val="001B2AE5"/>
    <w:rsid w:val="001B2B19"/>
    <w:rsid w:val="001B2B4F"/>
    <w:rsid w:val="001B2C69"/>
    <w:rsid w:val="001B2C73"/>
    <w:rsid w:val="001B2C9C"/>
    <w:rsid w:val="001B2CDA"/>
    <w:rsid w:val="001B2D0D"/>
    <w:rsid w:val="001B2D27"/>
    <w:rsid w:val="001B2D98"/>
    <w:rsid w:val="001B2E13"/>
    <w:rsid w:val="001B2E1D"/>
    <w:rsid w:val="001B2E31"/>
    <w:rsid w:val="001B2E41"/>
    <w:rsid w:val="001B2EEA"/>
    <w:rsid w:val="001B2EF4"/>
    <w:rsid w:val="001B2FD6"/>
    <w:rsid w:val="001B30F7"/>
    <w:rsid w:val="001B3163"/>
    <w:rsid w:val="001B318E"/>
    <w:rsid w:val="001B319A"/>
    <w:rsid w:val="001B31AD"/>
    <w:rsid w:val="001B31DB"/>
    <w:rsid w:val="001B31EF"/>
    <w:rsid w:val="001B324F"/>
    <w:rsid w:val="001B32D0"/>
    <w:rsid w:val="001B32EA"/>
    <w:rsid w:val="001B3333"/>
    <w:rsid w:val="001B340A"/>
    <w:rsid w:val="001B3421"/>
    <w:rsid w:val="001B3424"/>
    <w:rsid w:val="001B3481"/>
    <w:rsid w:val="001B34F3"/>
    <w:rsid w:val="001B3557"/>
    <w:rsid w:val="001B35CA"/>
    <w:rsid w:val="001B365E"/>
    <w:rsid w:val="001B3689"/>
    <w:rsid w:val="001B36C4"/>
    <w:rsid w:val="001B3754"/>
    <w:rsid w:val="001B3765"/>
    <w:rsid w:val="001B3906"/>
    <w:rsid w:val="001B3A4B"/>
    <w:rsid w:val="001B3A4C"/>
    <w:rsid w:val="001B3A9F"/>
    <w:rsid w:val="001B3AAA"/>
    <w:rsid w:val="001B3ABC"/>
    <w:rsid w:val="001B3C23"/>
    <w:rsid w:val="001B3D36"/>
    <w:rsid w:val="001B3DAC"/>
    <w:rsid w:val="001B3DC1"/>
    <w:rsid w:val="001B3DD2"/>
    <w:rsid w:val="001B3E08"/>
    <w:rsid w:val="001B3E13"/>
    <w:rsid w:val="001B3E57"/>
    <w:rsid w:val="001B3EC6"/>
    <w:rsid w:val="001B3F75"/>
    <w:rsid w:val="001B3F7E"/>
    <w:rsid w:val="001B3F8D"/>
    <w:rsid w:val="001B404C"/>
    <w:rsid w:val="001B4089"/>
    <w:rsid w:val="001B40A3"/>
    <w:rsid w:val="001B40F8"/>
    <w:rsid w:val="001B4180"/>
    <w:rsid w:val="001B41C9"/>
    <w:rsid w:val="001B41CB"/>
    <w:rsid w:val="001B4228"/>
    <w:rsid w:val="001B4282"/>
    <w:rsid w:val="001B42F5"/>
    <w:rsid w:val="001B43B6"/>
    <w:rsid w:val="001B4417"/>
    <w:rsid w:val="001B447B"/>
    <w:rsid w:val="001B44A8"/>
    <w:rsid w:val="001B452F"/>
    <w:rsid w:val="001B4550"/>
    <w:rsid w:val="001B45BF"/>
    <w:rsid w:val="001B45D7"/>
    <w:rsid w:val="001B465C"/>
    <w:rsid w:val="001B4674"/>
    <w:rsid w:val="001B4678"/>
    <w:rsid w:val="001B475A"/>
    <w:rsid w:val="001B4800"/>
    <w:rsid w:val="001B480A"/>
    <w:rsid w:val="001B482F"/>
    <w:rsid w:val="001B485E"/>
    <w:rsid w:val="001B4897"/>
    <w:rsid w:val="001B4A6C"/>
    <w:rsid w:val="001B4AB1"/>
    <w:rsid w:val="001B4B59"/>
    <w:rsid w:val="001B4B72"/>
    <w:rsid w:val="001B4C11"/>
    <w:rsid w:val="001B4CFA"/>
    <w:rsid w:val="001B4D77"/>
    <w:rsid w:val="001B4D88"/>
    <w:rsid w:val="001B4DCB"/>
    <w:rsid w:val="001B4E0F"/>
    <w:rsid w:val="001B4E2B"/>
    <w:rsid w:val="001B4E85"/>
    <w:rsid w:val="001B4EE8"/>
    <w:rsid w:val="001B4FB1"/>
    <w:rsid w:val="001B524F"/>
    <w:rsid w:val="001B5357"/>
    <w:rsid w:val="001B53AB"/>
    <w:rsid w:val="001B53EB"/>
    <w:rsid w:val="001B546C"/>
    <w:rsid w:val="001B5473"/>
    <w:rsid w:val="001B54AA"/>
    <w:rsid w:val="001B54DE"/>
    <w:rsid w:val="001B551A"/>
    <w:rsid w:val="001B5526"/>
    <w:rsid w:val="001B5527"/>
    <w:rsid w:val="001B5581"/>
    <w:rsid w:val="001B55AD"/>
    <w:rsid w:val="001B5674"/>
    <w:rsid w:val="001B56D4"/>
    <w:rsid w:val="001B5705"/>
    <w:rsid w:val="001B5717"/>
    <w:rsid w:val="001B5754"/>
    <w:rsid w:val="001B5756"/>
    <w:rsid w:val="001B57B5"/>
    <w:rsid w:val="001B57CA"/>
    <w:rsid w:val="001B5808"/>
    <w:rsid w:val="001B5887"/>
    <w:rsid w:val="001B588D"/>
    <w:rsid w:val="001B594A"/>
    <w:rsid w:val="001B5978"/>
    <w:rsid w:val="001B59B9"/>
    <w:rsid w:val="001B5A35"/>
    <w:rsid w:val="001B5A3E"/>
    <w:rsid w:val="001B5C01"/>
    <w:rsid w:val="001B5C62"/>
    <w:rsid w:val="001B5C75"/>
    <w:rsid w:val="001B5C7B"/>
    <w:rsid w:val="001B5CAB"/>
    <w:rsid w:val="001B5CE1"/>
    <w:rsid w:val="001B5D3F"/>
    <w:rsid w:val="001B5D55"/>
    <w:rsid w:val="001B5D5E"/>
    <w:rsid w:val="001B5DB9"/>
    <w:rsid w:val="001B5DD5"/>
    <w:rsid w:val="001B5ED2"/>
    <w:rsid w:val="001B5F7D"/>
    <w:rsid w:val="001B6058"/>
    <w:rsid w:val="001B6104"/>
    <w:rsid w:val="001B610C"/>
    <w:rsid w:val="001B61C4"/>
    <w:rsid w:val="001B61D0"/>
    <w:rsid w:val="001B6228"/>
    <w:rsid w:val="001B62BD"/>
    <w:rsid w:val="001B6326"/>
    <w:rsid w:val="001B6333"/>
    <w:rsid w:val="001B635E"/>
    <w:rsid w:val="001B63DF"/>
    <w:rsid w:val="001B63E8"/>
    <w:rsid w:val="001B63E9"/>
    <w:rsid w:val="001B64E1"/>
    <w:rsid w:val="001B6523"/>
    <w:rsid w:val="001B65EB"/>
    <w:rsid w:val="001B661D"/>
    <w:rsid w:val="001B661F"/>
    <w:rsid w:val="001B6753"/>
    <w:rsid w:val="001B6791"/>
    <w:rsid w:val="001B67B3"/>
    <w:rsid w:val="001B682C"/>
    <w:rsid w:val="001B68EE"/>
    <w:rsid w:val="001B699A"/>
    <w:rsid w:val="001B6A72"/>
    <w:rsid w:val="001B6AC9"/>
    <w:rsid w:val="001B6B0A"/>
    <w:rsid w:val="001B6B5B"/>
    <w:rsid w:val="001B6C74"/>
    <w:rsid w:val="001B6D36"/>
    <w:rsid w:val="001B6D65"/>
    <w:rsid w:val="001B6DDD"/>
    <w:rsid w:val="001B6E07"/>
    <w:rsid w:val="001B6F52"/>
    <w:rsid w:val="001B7003"/>
    <w:rsid w:val="001B7016"/>
    <w:rsid w:val="001B7023"/>
    <w:rsid w:val="001B70D7"/>
    <w:rsid w:val="001B70EC"/>
    <w:rsid w:val="001B710C"/>
    <w:rsid w:val="001B7121"/>
    <w:rsid w:val="001B7241"/>
    <w:rsid w:val="001B7267"/>
    <w:rsid w:val="001B727A"/>
    <w:rsid w:val="001B7283"/>
    <w:rsid w:val="001B72A6"/>
    <w:rsid w:val="001B72B9"/>
    <w:rsid w:val="001B72BD"/>
    <w:rsid w:val="001B736F"/>
    <w:rsid w:val="001B7395"/>
    <w:rsid w:val="001B741C"/>
    <w:rsid w:val="001B7456"/>
    <w:rsid w:val="001B7501"/>
    <w:rsid w:val="001B7514"/>
    <w:rsid w:val="001B752C"/>
    <w:rsid w:val="001B7669"/>
    <w:rsid w:val="001B76C5"/>
    <w:rsid w:val="001B77C0"/>
    <w:rsid w:val="001B7844"/>
    <w:rsid w:val="001B798F"/>
    <w:rsid w:val="001B79C8"/>
    <w:rsid w:val="001B7A69"/>
    <w:rsid w:val="001B7AFA"/>
    <w:rsid w:val="001B7C11"/>
    <w:rsid w:val="001B7C5A"/>
    <w:rsid w:val="001B7C6B"/>
    <w:rsid w:val="001B7C72"/>
    <w:rsid w:val="001B7C83"/>
    <w:rsid w:val="001B7CEF"/>
    <w:rsid w:val="001B7D2C"/>
    <w:rsid w:val="001B7D43"/>
    <w:rsid w:val="001B7D8E"/>
    <w:rsid w:val="001B7EBB"/>
    <w:rsid w:val="001B7EEC"/>
    <w:rsid w:val="001B7F16"/>
    <w:rsid w:val="001B7FAD"/>
    <w:rsid w:val="001C000F"/>
    <w:rsid w:val="001C0030"/>
    <w:rsid w:val="001C0096"/>
    <w:rsid w:val="001C00A7"/>
    <w:rsid w:val="001C0169"/>
    <w:rsid w:val="001C019A"/>
    <w:rsid w:val="001C020E"/>
    <w:rsid w:val="001C0212"/>
    <w:rsid w:val="001C0285"/>
    <w:rsid w:val="001C02D6"/>
    <w:rsid w:val="001C0310"/>
    <w:rsid w:val="001C03D4"/>
    <w:rsid w:val="001C0444"/>
    <w:rsid w:val="001C058C"/>
    <w:rsid w:val="001C063E"/>
    <w:rsid w:val="001C0727"/>
    <w:rsid w:val="001C0774"/>
    <w:rsid w:val="001C0831"/>
    <w:rsid w:val="001C084F"/>
    <w:rsid w:val="001C08C4"/>
    <w:rsid w:val="001C0940"/>
    <w:rsid w:val="001C0A0F"/>
    <w:rsid w:val="001C0ABC"/>
    <w:rsid w:val="001C0BE0"/>
    <w:rsid w:val="001C0C04"/>
    <w:rsid w:val="001C0C0E"/>
    <w:rsid w:val="001C0D28"/>
    <w:rsid w:val="001C0D3D"/>
    <w:rsid w:val="001C0D3E"/>
    <w:rsid w:val="001C0D48"/>
    <w:rsid w:val="001C0DA5"/>
    <w:rsid w:val="001C0DC4"/>
    <w:rsid w:val="001C0E57"/>
    <w:rsid w:val="001C0F86"/>
    <w:rsid w:val="001C0FD2"/>
    <w:rsid w:val="001C0FD4"/>
    <w:rsid w:val="001C0FDD"/>
    <w:rsid w:val="001C1017"/>
    <w:rsid w:val="001C1060"/>
    <w:rsid w:val="001C11BC"/>
    <w:rsid w:val="001C11DD"/>
    <w:rsid w:val="001C11FD"/>
    <w:rsid w:val="001C1274"/>
    <w:rsid w:val="001C129B"/>
    <w:rsid w:val="001C12A8"/>
    <w:rsid w:val="001C12DE"/>
    <w:rsid w:val="001C1408"/>
    <w:rsid w:val="001C1431"/>
    <w:rsid w:val="001C147F"/>
    <w:rsid w:val="001C149A"/>
    <w:rsid w:val="001C14DB"/>
    <w:rsid w:val="001C15C3"/>
    <w:rsid w:val="001C15F9"/>
    <w:rsid w:val="001C167F"/>
    <w:rsid w:val="001C16B6"/>
    <w:rsid w:val="001C1710"/>
    <w:rsid w:val="001C1733"/>
    <w:rsid w:val="001C17FA"/>
    <w:rsid w:val="001C1800"/>
    <w:rsid w:val="001C1805"/>
    <w:rsid w:val="001C1819"/>
    <w:rsid w:val="001C18A4"/>
    <w:rsid w:val="001C18BC"/>
    <w:rsid w:val="001C1943"/>
    <w:rsid w:val="001C1A33"/>
    <w:rsid w:val="001C1AB9"/>
    <w:rsid w:val="001C1AD9"/>
    <w:rsid w:val="001C1B2E"/>
    <w:rsid w:val="001C1B49"/>
    <w:rsid w:val="001C1B61"/>
    <w:rsid w:val="001C1BAA"/>
    <w:rsid w:val="001C1BAD"/>
    <w:rsid w:val="001C1BC0"/>
    <w:rsid w:val="001C1BCD"/>
    <w:rsid w:val="001C1BE4"/>
    <w:rsid w:val="001C1BEE"/>
    <w:rsid w:val="001C1C70"/>
    <w:rsid w:val="001C1CA9"/>
    <w:rsid w:val="001C1D7E"/>
    <w:rsid w:val="001C1D81"/>
    <w:rsid w:val="001C1E3A"/>
    <w:rsid w:val="001C1E96"/>
    <w:rsid w:val="001C1F4E"/>
    <w:rsid w:val="001C2072"/>
    <w:rsid w:val="001C20F9"/>
    <w:rsid w:val="001C214C"/>
    <w:rsid w:val="001C217A"/>
    <w:rsid w:val="001C218A"/>
    <w:rsid w:val="001C21BF"/>
    <w:rsid w:val="001C21EC"/>
    <w:rsid w:val="001C2207"/>
    <w:rsid w:val="001C2265"/>
    <w:rsid w:val="001C22BD"/>
    <w:rsid w:val="001C231B"/>
    <w:rsid w:val="001C233F"/>
    <w:rsid w:val="001C239B"/>
    <w:rsid w:val="001C2452"/>
    <w:rsid w:val="001C2479"/>
    <w:rsid w:val="001C24D2"/>
    <w:rsid w:val="001C257F"/>
    <w:rsid w:val="001C25A0"/>
    <w:rsid w:val="001C27AE"/>
    <w:rsid w:val="001C2895"/>
    <w:rsid w:val="001C2923"/>
    <w:rsid w:val="001C292C"/>
    <w:rsid w:val="001C292F"/>
    <w:rsid w:val="001C2A0E"/>
    <w:rsid w:val="001C2A5E"/>
    <w:rsid w:val="001C2ABB"/>
    <w:rsid w:val="001C2AC9"/>
    <w:rsid w:val="001C2AD2"/>
    <w:rsid w:val="001C2AF2"/>
    <w:rsid w:val="001C2C55"/>
    <w:rsid w:val="001C2CAB"/>
    <w:rsid w:val="001C2CF4"/>
    <w:rsid w:val="001C2DCA"/>
    <w:rsid w:val="001C2DCF"/>
    <w:rsid w:val="001C2EF6"/>
    <w:rsid w:val="001C3036"/>
    <w:rsid w:val="001C30BF"/>
    <w:rsid w:val="001C30D7"/>
    <w:rsid w:val="001C3107"/>
    <w:rsid w:val="001C3127"/>
    <w:rsid w:val="001C3191"/>
    <w:rsid w:val="001C31BA"/>
    <w:rsid w:val="001C31E2"/>
    <w:rsid w:val="001C3297"/>
    <w:rsid w:val="001C3303"/>
    <w:rsid w:val="001C3318"/>
    <w:rsid w:val="001C3393"/>
    <w:rsid w:val="001C3461"/>
    <w:rsid w:val="001C3517"/>
    <w:rsid w:val="001C35FA"/>
    <w:rsid w:val="001C3663"/>
    <w:rsid w:val="001C36AF"/>
    <w:rsid w:val="001C36BD"/>
    <w:rsid w:val="001C373E"/>
    <w:rsid w:val="001C3796"/>
    <w:rsid w:val="001C37E5"/>
    <w:rsid w:val="001C3810"/>
    <w:rsid w:val="001C38BE"/>
    <w:rsid w:val="001C39FD"/>
    <w:rsid w:val="001C3A00"/>
    <w:rsid w:val="001C3A20"/>
    <w:rsid w:val="001C3B26"/>
    <w:rsid w:val="001C3BCF"/>
    <w:rsid w:val="001C3C0E"/>
    <w:rsid w:val="001C3CA1"/>
    <w:rsid w:val="001C3D9B"/>
    <w:rsid w:val="001C3E06"/>
    <w:rsid w:val="001C3EF7"/>
    <w:rsid w:val="001C3F9B"/>
    <w:rsid w:val="001C3FD3"/>
    <w:rsid w:val="001C3FEF"/>
    <w:rsid w:val="001C4055"/>
    <w:rsid w:val="001C4149"/>
    <w:rsid w:val="001C4245"/>
    <w:rsid w:val="001C4250"/>
    <w:rsid w:val="001C427D"/>
    <w:rsid w:val="001C42B2"/>
    <w:rsid w:val="001C42B8"/>
    <w:rsid w:val="001C42C3"/>
    <w:rsid w:val="001C43E7"/>
    <w:rsid w:val="001C4431"/>
    <w:rsid w:val="001C443C"/>
    <w:rsid w:val="001C4469"/>
    <w:rsid w:val="001C45CA"/>
    <w:rsid w:val="001C4650"/>
    <w:rsid w:val="001C4654"/>
    <w:rsid w:val="001C4658"/>
    <w:rsid w:val="001C4669"/>
    <w:rsid w:val="001C46A9"/>
    <w:rsid w:val="001C46F9"/>
    <w:rsid w:val="001C483F"/>
    <w:rsid w:val="001C489A"/>
    <w:rsid w:val="001C490F"/>
    <w:rsid w:val="001C491B"/>
    <w:rsid w:val="001C491F"/>
    <w:rsid w:val="001C494B"/>
    <w:rsid w:val="001C4976"/>
    <w:rsid w:val="001C4993"/>
    <w:rsid w:val="001C499B"/>
    <w:rsid w:val="001C49AC"/>
    <w:rsid w:val="001C49B8"/>
    <w:rsid w:val="001C4B1A"/>
    <w:rsid w:val="001C4B4E"/>
    <w:rsid w:val="001C4C39"/>
    <w:rsid w:val="001C4C6C"/>
    <w:rsid w:val="001C4C79"/>
    <w:rsid w:val="001C4C9B"/>
    <w:rsid w:val="001C4CAF"/>
    <w:rsid w:val="001C4CF6"/>
    <w:rsid w:val="001C4D14"/>
    <w:rsid w:val="001C4D23"/>
    <w:rsid w:val="001C4D44"/>
    <w:rsid w:val="001C4DBA"/>
    <w:rsid w:val="001C4DCD"/>
    <w:rsid w:val="001C4E19"/>
    <w:rsid w:val="001C4E2C"/>
    <w:rsid w:val="001C4EBA"/>
    <w:rsid w:val="001C4F59"/>
    <w:rsid w:val="001C505E"/>
    <w:rsid w:val="001C50C0"/>
    <w:rsid w:val="001C50C7"/>
    <w:rsid w:val="001C50D5"/>
    <w:rsid w:val="001C50E5"/>
    <w:rsid w:val="001C50E7"/>
    <w:rsid w:val="001C5119"/>
    <w:rsid w:val="001C512A"/>
    <w:rsid w:val="001C5134"/>
    <w:rsid w:val="001C5170"/>
    <w:rsid w:val="001C521C"/>
    <w:rsid w:val="001C5255"/>
    <w:rsid w:val="001C528B"/>
    <w:rsid w:val="001C53D8"/>
    <w:rsid w:val="001C5428"/>
    <w:rsid w:val="001C5439"/>
    <w:rsid w:val="001C5515"/>
    <w:rsid w:val="001C5578"/>
    <w:rsid w:val="001C55A0"/>
    <w:rsid w:val="001C55A8"/>
    <w:rsid w:val="001C55CD"/>
    <w:rsid w:val="001C5728"/>
    <w:rsid w:val="001C57BA"/>
    <w:rsid w:val="001C57EA"/>
    <w:rsid w:val="001C5878"/>
    <w:rsid w:val="001C5946"/>
    <w:rsid w:val="001C5B2D"/>
    <w:rsid w:val="001C5C69"/>
    <w:rsid w:val="001C5C8F"/>
    <w:rsid w:val="001C5CB2"/>
    <w:rsid w:val="001C5D08"/>
    <w:rsid w:val="001C5D5F"/>
    <w:rsid w:val="001C5D83"/>
    <w:rsid w:val="001C5DE6"/>
    <w:rsid w:val="001C5E10"/>
    <w:rsid w:val="001C5E25"/>
    <w:rsid w:val="001C5EC7"/>
    <w:rsid w:val="001C5F11"/>
    <w:rsid w:val="001C5F71"/>
    <w:rsid w:val="001C5F8B"/>
    <w:rsid w:val="001C60A5"/>
    <w:rsid w:val="001C61E4"/>
    <w:rsid w:val="001C6278"/>
    <w:rsid w:val="001C6287"/>
    <w:rsid w:val="001C6309"/>
    <w:rsid w:val="001C63A1"/>
    <w:rsid w:val="001C645E"/>
    <w:rsid w:val="001C64ED"/>
    <w:rsid w:val="001C655B"/>
    <w:rsid w:val="001C658D"/>
    <w:rsid w:val="001C65A6"/>
    <w:rsid w:val="001C65B4"/>
    <w:rsid w:val="001C661B"/>
    <w:rsid w:val="001C6620"/>
    <w:rsid w:val="001C662D"/>
    <w:rsid w:val="001C66B1"/>
    <w:rsid w:val="001C6700"/>
    <w:rsid w:val="001C67D7"/>
    <w:rsid w:val="001C6835"/>
    <w:rsid w:val="001C6892"/>
    <w:rsid w:val="001C68CB"/>
    <w:rsid w:val="001C68EE"/>
    <w:rsid w:val="001C6A9E"/>
    <w:rsid w:val="001C6AEC"/>
    <w:rsid w:val="001C6BFA"/>
    <w:rsid w:val="001C6C44"/>
    <w:rsid w:val="001C6C5D"/>
    <w:rsid w:val="001C6C76"/>
    <w:rsid w:val="001C6D02"/>
    <w:rsid w:val="001C6D1E"/>
    <w:rsid w:val="001C6D32"/>
    <w:rsid w:val="001C6D64"/>
    <w:rsid w:val="001C6E44"/>
    <w:rsid w:val="001C6F78"/>
    <w:rsid w:val="001C6F8C"/>
    <w:rsid w:val="001C6FE2"/>
    <w:rsid w:val="001C7084"/>
    <w:rsid w:val="001C70E9"/>
    <w:rsid w:val="001C717F"/>
    <w:rsid w:val="001C7247"/>
    <w:rsid w:val="001C725F"/>
    <w:rsid w:val="001C7264"/>
    <w:rsid w:val="001C7266"/>
    <w:rsid w:val="001C7339"/>
    <w:rsid w:val="001C7388"/>
    <w:rsid w:val="001C73B9"/>
    <w:rsid w:val="001C73C6"/>
    <w:rsid w:val="001C740C"/>
    <w:rsid w:val="001C74FC"/>
    <w:rsid w:val="001C75D3"/>
    <w:rsid w:val="001C763C"/>
    <w:rsid w:val="001C7681"/>
    <w:rsid w:val="001C7744"/>
    <w:rsid w:val="001C774A"/>
    <w:rsid w:val="001C77B2"/>
    <w:rsid w:val="001C7807"/>
    <w:rsid w:val="001C7828"/>
    <w:rsid w:val="001C7835"/>
    <w:rsid w:val="001C7896"/>
    <w:rsid w:val="001C7947"/>
    <w:rsid w:val="001C794A"/>
    <w:rsid w:val="001C7955"/>
    <w:rsid w:val="001C79A3"/>
    <w:rsid w:val="001C7A22"/>
    <w:rsid w:val="001C7A63"/>
    <w:rsid w:val="001C7A81"/>
    <w:rsid w:val="001C7ABD"/>
    <w:rsid w:val="001C7B2C"/>
    <w:rsid w:val="001C7BDA"/>
    <w:rsid w:val="001C7C11"/>
    <w:rsid w:val="001C7C4E"/>
    <w:rsid w:val="001C7D48"/>
    <w:rsid w:val="001C7DD0"/>
    <w:rsid w:val="001C7E88"/>
    <w:rsid w:val="001C7EAE"/>
    <w:rsid w:val="001C7F9C"/>
    <w:rsid w:val="001D004C"/>
    <w:rsid w:val="001D00D5"/>
    <w:rsid w:val="001D0121"/>
    <w:rsid w:val="001D01D8"/>
    <w:rsid w:val="001D0222"/>
    <w:rsid w:val="001D023F"/>
    <w:rsid w:val="001D0240"/>
    <w:rsid w:val="001D0284"/>
    <w:rsid w:val="001D02F2"/>
    <w:rsid w:val="001D031A"/>
    <w:rsid w:val="001D0447"/>
    <w:rsid w:val="001D04C1"/>
    <w:rsid w:val="001D04D9"/>
    <w:rsid w:val="001D0580"/>
    <w:rsid w:val="001D059F"/>
    <w:rsid w:val="001D05A1"/>
    <w:rsid w:val="001D0649"/>
    <w:rsid w:val="001D06BD"/>
    <w:rsid w:val="001D071A"/>
    <w:rsid w:val="001D0735"/>
    <w:rsid w:val="001D0780"/>
    <w:rsid w:val="001D090D"/>
    <w:rsid w:val="001D0996"/>
    <w:rsid w:val="001D09FC"/>
    <w:rsid w:val="001D0B3C"/>
    <w:rsid w:val="001D0B5A"/>
    <w:rsid w:val="001D0C2B"/>
    <w:rsid w:val="001D0C5E"/>
    <w:rsid w:val="001D0CA2"/>
    <w:rsid w:val="001D0CD0"/>
    <w:rsid w:val="001D0E17"/>
    <w:rsid w:val="001D0E22"/>
    <w:rsid w:val="001D0E3B"/>
    <w:rsid w:val="001D0E44"/>
    <w:rsid w:val="001D0EFA"/>
    <w:rsid w:val="001D0F71"/>
    <w:rsid w:val="001D0F89"/>
    <w:rsid w:val="001D1002"/>
    <w:rsid w:val="001D10DD"/>
    <w:rsid w:val="001D11E2"/>
    <w:rsid w:val="001D1237"/>
    <w:rsid w:val="001D12BC"/>
    <w:rsid w:val="001D12F4"/>
    <w:rsid w:val="001D133C"/>
    <w:rsid w:val="001D1388"/>
    <w:rsid w:val="001D154B"/>
    <w:rsid w:val="001D161F"/>
    <w:rsid w:val="001D1638"/>
    <w:rsid w:val="001D1676"/>
    <w:rsid w:val="001D16BD"/>
    <w:rsid w:val="001D16C0"/>
    <w:rsid w:val="001D16F2"/>
    <w:rsid w:val="001D1731"/>
    <w:rsid w:val="001D174C"/>
    <w:rsid w:val="001D1756"/>
    <w:rsid w:val="001D1766"/>
    <w:rsid w:val="001D177F"/>
    <w:rsid w:val="001D17A9"/>
    <w:rsid w:val="001D1887"/>
    <w:rsid w:val="001D18C8"/>
    <w:rsid w:val="001D1A25"/>
    <w:rsid w:val="001D1ACD"/>
    <w:rsid w:val="001D1B81"/>
    <w:rsid w:val="001D1BB8"/>
    <w:rsid w:val="001D1BBB"/>
    <w:rsid w:val="001D1BC7"/>
    <w:rsid w:val="001D1BF4"/>
    <w:rsid w:val="001D1CB0"/>
    <w:rsid w:val="001D1CC5"/>
    <w:rsid w:val="001D1CFC"/>
    <w:rsid w:val="001D1E3F"/>
    <w:rsid w:val="001D1E95"/>
    <w:rsid w:val="001D1F16"/>
    <w:rsid w:val="001D1FDC"/>
    <w:rsid w:val="001D1FF1"/>
    <w:rsid w:val="001D2050"/>
    <w:rsid w:val="001D20E9"/>
    <w:rsid w:val="001D20FD"/>
    <w:rsid w:val="001D2194"/>
    <w:rsid w:val="001D24A3"/>
    <w:rsid w:val="001D24C3"/>
    <w:rsid w:val="001D24E4"/>
    <w:rsid w:val="001D251F"/>
    <w:rsid w:val="001D2524"/>
    <w:rsid w:val="001D2556"/>
    <w:rsid w:val="001D2594"/>
    <w:rsid w:val="001D25D2"/>
    <w:rsid w:val="001D25FB"/>
    <w:rsid w:val="001D265C"/>
    <w:rsid w:val="001D2673"/>
    <w:rsid w:val="001D26A2"/>
    <w:rsid w:val="001D26CF"/>
    <w:rsid w:val="001D278A"/>
    <w:rsid w:val="001D27EB"/>
    <w:rsid w:val="001D27FE"/>
    <w:rsid w:val="001D2828"/>
    <w:rsid w:val="001D28F6"/>
    <w:rsid w:val="001D2975"/>
    <w:rsid w:val="001D2982"/>
    <w:rsid w:val="001D2998"/>
    <w:rsid w:val="001D2A18"/>
    <w:rsid w:val="001D2A92"/>
    <w:rsid w:val="001D2B12"/>
    <w:rsid w:val="001D2B20"/>
    <w:rsid w:val="001D2B56"/>
    <w:rsid w:val="001D2BB7"/>
    <w:rsid w:val="001D2C64"/>
    <w:rsid w:val="001D2D07"/>
    <w:rsid w:val="001D2D5A"/>
    <w:rsid w:val="001D2D6B"/>
    <w:rsid w:val="001D2DF0"/>
    <w:rsid w:val="001D2ED3"/>
    <w:rsid w:val="001D2FB1"/>
    <w:rsid w:val="001D3103"/>
    <w:rsid w:val="001D3126"/>
    <w:rsid w:val="001D328D"/>
    <w:rsid w:val="001D333D"/>
    <w:rsid w:val="001D3390"/>
    <w:rsid w:val="001D347A"/>
    <w:rsid w:val="001D348C"/>
    <w:rsid w:val="001D34D0"/>
    <w:rsid w:val="001D35A7"/>
    <w:rsid w:val="001D35BD"/>
    <w:rsid w:val="001D3651"/>
    <w:rsid w:val="001D366B"/>
    <w:rsid w:val="001D3675"/>
    <w:rsid w:val="001D3723"/>
    <w:rsid w:val="001D3730"/>
    <w:rsid w:val="001D376F"/>
    <w:rsid w:val="001D3809"/>
    <w:rsid w:val="001D3929"/>
    <w:rsid w:val="001D393E"/>
    <w:rsid w:val="001D3966"/>
    <w:rsid w:val="001D3A16"/>
    <w:rsid w:val="001D3ACC"/>
    <w:rsid w:val="001D3ADA"/>
    <w:rsid w:val="001D3AFD"/>
    <w:rsid w:val="001D3B97"/>
    <w:rsid w:val="001D3BBB"/>
    <w:rsid w:val="001D3BC9"/>
    <w:rsid w:val="001D3BFC"/>
    <w:rsid w:val="001D3C25"/>
    <w:rsid w:val="001D3CBA"/>
    <w:rsid w:val="001D3D41"/>
    <w:rsid w:val="001D3DA8"/>
    <w:rsid w:val="001D3DB1"/>
    <w:rsid w:val="001D3E4D"/>
    <w:rsid w:val="001D3E9F"/>
    <w:rsid w:val="001D3ECD"/>
    <w:rsid w:val="001D3F84"/>
    <w:rsid w:val="001D3F8D"/>
    <w:rsid w:val="001D3FA1"/>
    <w:rsid w:val="001D3FA2"/>
    <w:rsid w:val="001D3FA5"/>
    <w:rsid w:val="001D4029"/>
    <w:rsid w:val="001D4050"/>
    <w:rsid w:val="001D4121"/>
    <w:rsid w:val="001D41ED"/>
    <w:rsid w:val="001D420F"/>
    <w:rsid w:val="001D42D0"/>
    <w:rsid w:val="001D4352"/>
    <w:rsid w:val="001D44E9"/>
    <w:rsid w:val="001D44EC"/>
    <w:rsid w:val="001D4701"/>
    <w:rsid w:val="001D4713"/>
    <w:rsid w:val="001D4776"/>
    <w:rsid w:val="001D481A"/>
    <w:rsid w:val="001D483D"/>
    <w:rsid w:val="001D483E"/>
    <w:rsid w:val="001D489A"/>
    <w:rsid w:val="001D490F"/>
    <w:rsid w:val="001D4949"/>
    <w:rsid w:val="001D4A29"/>
    <w:rsid w:val="001D4ABF"/>
    <w:rsid w:val="001D4B39"/>
    <w:rsid w:val="001D4B74"/>
    <w:rsid w:val="001D4BC1"/>
    <w:rsid w:val="001D4C9D"/>
    <w:rsid w:val="001D4CD7"/>
    <w:rsid w:val="001D4CF2"/>
    <w:rsid w:val="001D4D0E"/>
    <w:rsid w:val="001D4D2A"/>
    <w:rsid w:val="001D4D85"/>
    <w:rsid w:val="001D4E50"/>
    <w:rsid w:val="001D4E60"/>
    <w:rsid w:val="001D4F2B"/>
    <w:rsid w:val="001D4F44"/>
    <w:rsid w:val="001D4FD6"/>
    <w:rsid w:val="001D4FFF"/>
    <w:rsid w:val="001D5019"/>
    <w:rsid w:val="001D5027"/>
    <w:rsid w:val="001D505E"/>
    <w:rsid w:val="001D5152"/>
    <w:rsid w:val="001D51A3"/>
    <w:rsid w:val="001D5250"/>
    <w:rsid w:val="001D5264"/>
    <w:rsid w:val="001D527E"/>
    <w:rsid w:val="001D52D1"/>
    <w:rsid w:val="001D53C8"/>
    <w:rsid w:val="001D53DE"/>
    <w:rsid w:val="001D53E9"/>
    <w:rsid w:val="001D5404"/>
    <w:rsid w:val="001D5473"/>
    <w:rsid w:val="001D548F"/>
    <w:rsid w:val="001D553F"/>
    <w:rsid w:val="001D557F"/>
    <w:rsid w:val="001D55DF"/>
    <w:rsid w:val="001D55FA"/>
    <w:rsid w:val="001D5654"/>
    <w:rsid w:val="001D568A"/>
    <w:rsid w:val="001D57AF"/>
    <w:rsid w:val="001D585D"/>
    <w:rsid w:val="001D5869"/>
    <w:rsid w:val="001D58E3"/>
    <w:rsid w:val="001D5950"/>
    <w:rsid w:val="001D598B"/>
    <w:rsid w:val="001D59A5"/>
    <w:rsid w:val="001D5A2A"/>
    <w:rsid w:val="001D5A2C"/>
    <w:rsid w:val="001D5A6A"/>
    <w:rsid w:val="001D5AAC"/>
    <w:rsid w:val="001D5AEA"/>
    <w:rsid w:val="001D5B09"/>
    <w:rsid w:val="001D5BE4"/>
    <w:rsid w:val="001D5C29"/>
    <w:rsid w:val="001D5CC5"/>
    <w:rsid w:val="001D5D01"/>
    <w:rsid w:val="001D5D31"/>
    <w:rsid w:val="001D5D4D"/>
    <w:rsid w:val="001D5D59"/>
    <w:rsid w:val="001D5DB8"/>
    <w:rsid w:val="001D5DE5"/>
    <w:rsid w:val="001D5E10"/>
    <w:rsid w:val="001D5E42"/>
    <w:rsid w:val="001D5E50"/>
    <w:rsid w:val="001D5E8D"/>
    <w:rsid w:val="001D5EAC"/>
    <w:rsid w:val="001D5EC3"/>
    <w:rsid w:val="001D5F1B"/>
    <w:rsid w:val="001D600D"/>
    <w:rsid w:val="001D612D"/>
    <w:rsid w:val="001D6147"/>
    <w:rsid w:val="001D6167"/>
    <w:rsid w:val="001D61AB"/>
    <w:rsid w:val="001D6243"/>
    <w:rsid w:val="001D6346"/>
    <w:rsid w:val="001D63CD"/>
    <w:rsid w:val="001D63EA"/>
    <w:rsid w:val="001D6508"/>
    <w:rsid w:val="001D6510"/>
    <w:rsid w:val="001D6536"/>
    <w:rsid w:val="001D657E"/>
    <w:rsid w:val="001D6619"/>
    <w:rsid w:val="001D664A"/>
    <w:rsid w:val="001D6694"/>
    <w:rsid w:val="001D672D"/>
    <w:rsid w:val="001D6784"/>
    <w:rsid w:val="001D679A"/>
    <w:rsid w:val="001D68DA"/>
    <w:rsid w:val="001D699D"/>
    <w:rsid w:val="001D69CB"/>
    <w:rsid w:val="001D6A6C"/>
    <w:rsid w:val="001D6A82"/>
    <w:rsid w:val="001D6A85"/>
    <w:rsid w:val="001D6AB0"/>
    <w:rsid w:val="001D6B25"/>
    <w:rsid w:val="001D6B4B"/>
    <w:rsid w:val="001D6B61"/>
    <w:rsid w:val="001D6B8A"/>
    <w:rsid w:val="001D6BB4"/>
    <w:rsid w:val="001D6BD1"/>
    <w:rsid w:val="001D6C22"/>
    <w:rsid w:val="001D6C52"/>
    <w:rsid w:val="001D6CA5"/>
    <w:rsid w:val="001D6D49"/>
    <w:rsid w:val="001D6D52"/>
    <w:rsid w:val="001D6E02"/>
    <w:rsid w:val="001D6E19"/>
    <w:rsid w:val="001D6E61"/>
    <w:rsid w:val="001D6EBD"/>
    <w:rsid w:val="001D6F60"/>
    <w:rsid w:val="001D6FAB"/>
    <w:rsid w:val="001D6FF5"/>
    <w:rsid w:val="001D70C3"/>
    <w:rsid w:val="001D70C6"/>
    <w:rsid w:val="001D7133"/>
    <w:rsid w:val="001D714B"/>
    <w:rsid w:val="001D71A0"/>
    <w:rsid w:val="001D71FA"/>
    <w:rsid w:val="001D721A"/>
    <w:rsid w:val="001D747A"/>
    <w:rsid w:val="001D74D5"/>
    <w:rsid w:val="001D752D"/>
    <w:rsid w:val="001D75D1"/>
    <w:rsid w:val="001D7605"/>
    <w:rsid w:val="001D762A"/>
    <w:rsid w:val="001D7677"/>
    <w:rsid w:val="001D76CF"/>
    <w:rsid w:val="001D7739"/>
    <w:rsid w:val="001D7754"/>
    <w:rsid w:val="001D78A3"/>
    <w:rsid w:val="001D78DE"/>
    <w:rsid w:val="001D78E8"/>
    <w:rsid w:val="001D7929"/>
    <w:rsid w:val="001D7B51"/>
    <w:rsid w:val="001D7B8E"/>
    <w:rsid w:val="001D7B92"/>
    <w:rsid w:val="001D7B9E"/>
    <w:rsid w:val="001D7C88"/>
    <w:rsid w:val="001D7D8D"/>
    <w:rsid w:val="001D7D9B"/>
    <w:rsid w:val="001D7DB9"/>
    <w:rsid w:val="001D7DCF"/>
    <w:rsid w:val="001D7E08"/>
    <w:rsid w:val="001D7E24"/>
    <w:rsid w:val="001D7E3E"/>
    <w:rsid w:val="001D7E71"/>
    <w:rsid w:val="001D7E72"/>
    <w:rsid w:val="001D7F92"/>
    <w:rsid w:val="001E0019"/>
    <w:rsid w:val="001E00EF"/>
    <w:rsid w:val="001E0117"/>
    <w:rsid w:val="001E01D2"/>
    <w:rsid w:val="001E029B"/>
    <w:rsid w:val="001E02C1"/>
    <w:rsid w:val="001E02CB"/>
    <w:rsid w:val="001E02DD"/>
    <w:rsid w:val="001E03D1"/>
    <w:rsid w:val="001E0429"/>
    <w:rsid w:val="001E04A3"/>
    <w:rsid w:val="001E04AF"/>
    <w:rsid w:val="001E04D1"/>
    <w:rsid w:val="001E0528"/>
    <w:rsid w:val="001E053C"/>
    <w:rsid w:val="001E0638"/>
    <w:rsid w:val="001E069E"/>
    <w:rsid w:val="001E073F"/>
    <w:rsid w:val="001E080F"/>
    <w:rsid w:val="001E0813"/>
    <w:rsid w:val="001E087E"/>
    <w:rsid w:val="001E0A0E"/>
    <w:rsid w:val="001E0A89"/>
    <w:rsid w:val="001E0AD3"/>
    <w:rsid w:val="001E0B75"/>
    <w:rsid w:val="001E0BF3"/>
    <w:rsid w:val="001E0C11"/>
    <w:rsid w:val="001E0C3E"/>
    <w:rsid w:val="001E0C52"/>
    <w:rsid w:val="001E0C54"/>
    <w:rsid w:val="001E0D32"/>
    <w:rsid w:val="001E0E62"/>
    <w:rsid w:val="001E0ED8"/>
    <w:rsid w:val="001E0F4E"/>
    <w:rsid w:val="001E0F60"/>
    <w:rsid w:val="001E0FA4"/>
    <w:rsid w:val="001E0FFD"/>
    <w:rsid w:val="001E1067"/>
    <w:rsid w:val="001E107A"/>
    <w:rsid w:val="001E10ED"/>
    <w:rsid w:val="001E1170"/>
    <w:rsid w:val="001E1253"/>
    <w:rsid w:val="001E13FE"/>
    <w:rsid w:val="001E1421"/>
    <w:rsid w:val="001E144C"/>
    <w:rsid w:val="001E152B"/>
    <w:rsid w:val="001E159D"/>
    <w:rsid w:val="001E15B5"/>
    <w:rsid w:val="001E15DF"/>
    <w:rsid w:val="001E16E3"/>
    <w:rsid w:val="001E176F"/>
    <w:rsid w:val="001E1871"/>
    <w:rsid w:val="001E1896"/>
    <w:rsid w:val="001E189B"/>
    <w:rsid w:val="001E1945"/>
    <w:rsid w:val="001E1949"/>
    <w:rsid w:val="001E1966"/>
    <w:rsid w:val="001E19B2"/>
    <w:rsid w:val="001E19FC"/>
    <w:rsid w:val="001E1A3D"/>
    <w:rsid w:val="001E1B2E"/>
    <w:rsid w:val="001E1BE3"/>
    <w:rsid w:val="001E1C77"/>
    <w:rsid w:val="001E1CF3"/>
    <w:rsid w:val="001E1D45"/>
    <w:rsid w:val="001E1D60"/>
    <w:rsid w:val="001E1D7B"/>
    <w:rsid w:val="001E1D80"/>
    <w:rsid w:val="001E1DCF"/>
    <w:rsid w:val="001E1DD6"/>
    <w:rsid w:val="001E1DF3"/>
    <w:rsid w:val="001E1DF5"/>
    <w:rsid w:val="001E1E53"/>
    <w:rsid w:val="001E1EEC"/>
    <w:rsid w:val="001E1F54"/>
    <w:rsid w:val="001E1F5D"/>
    <w:rsid w:val="001E1F66"/>
    <w:rsid w:val="001E1F70"/>
    <w:rsid w:val="001E20B3"/>
    <w:rsid w:val="001E20BB"/>
    <w:rsid w:val="001E20E5"/>
    <w:rsid w:val="001E20F0"/>
    <w:rsid w:val="001E219A"/>
    <w:rsid w:val="001E21A1"/>
    <w:rsid w:val="001E21AE"/>
    <w:rsid w:val="001E21B9"/>
    <w:rsid w:val="001E21E5"/>
    <w:rsid w:val="001E220A"/>
    <w:rsid w:val="001E224E"/>
    <w:rsid w:val="001E225E"/>
    <w:rsid w:val="001E2306"/>
    <w:rsid w:val="001E23DC"/>
    <w:rsid w:val="001E23FF"/>
    <w:rsid w:val="001E2452"/>
    <w:rsid w:val="001E2458"/>
    <w:rsid w:val="001E2461"/>
    <w:rsid w:val="001E2493"/>
    <w:rsid w:val="001E2569"/>
    <w:rsid w:val="001E2581"/>
    <w:rsid w:val="001E25AE"/>
    <w:rsid w:val="001E25E7"/>
    <w:rsid w:val="001E2613"/>
    <w:rsid w:val="001E2656"/>
    <w:rsid w:val="001E265F"/>
    <w:rsid w:val="001E2693"/>
    <w:rsid w:val="001E2694"/>
    <w:rsid w:val="001E26AC"/>
    <w:rsid w:val="001E2705"/>
    <w:rsid w:val="001E2708"/>
    <w:rsid w:val="001E2709"/>
    <w:rsid w:val="001E271C"/>
    <w:rsid w:val="001E29A8"/>
    <w:rsid w:val="001E2A46"/>
    <w:rsid w:val="001E2A9A"/>
    <w:rsid w:val="001E2AE6"/>
    <w:rsid w:val="001E2B2E"/>
    <w:rsid w:val="001E2B38"/>
    <w:rsid w:val="001E2B73"/>
    <w:rsid w:val="001E2BCD"/>
    <w:rsid w:val="001E2BD0"/>
    <w:rsid w:val="001E2BD9"/>
    <w:rsid w:val="001E2C40"/>
    <w:rsid w:val="001E2C98"/>
    <w:rsid w:val="001E2CDD"/>
    <w:rsid w:val="001E2CF5"/>
    <w:rsid w:val="001E2D18"/>
    <w:rsid w:val="001E2D52"/>
    <w:rsid w:val="001E2D8B"/>
    <w:rsid w:val="001E2D9A"/>
    <w:rsid w:val="001E2DBA"/>
    <w:rsid w:val="001E2E71"/>
    <w:rsid w:val="001E2F0D"/>
    <w:rsid w:val="001E2F1D"/>
    <w:rsid w:val="001E2F46"/>
    <w:rsid w:val="001E2FBD"/>
    <w:rsid w:val="001E2FC2"/>
    <w:rsid w:val="001E301F"/>
    <w:rsid w:val="001E3064"/>
    <w:rsid w:val="001E3071"/>
    <w:rsid w:val="001E3072"/>
    <w:rsid w:val="001E30E5"/>
    <w:rsid w:val="001E311E"/>
    <w:rsid w:val="001E31B5"/>
    <w:rsid w:val="001E3236"/>
    <w:rsid w:val="001E327E"/>
    <w:rsid w:val="001E328E"/>
    <w:rsid w:val="001E32A7"/>
    <w:rsid w:val="001E32CB"/>
    <w:rsid w:val="001E32DD"/>
    <w:rsid w:val="001E3392"/>
    <w:rsid w:val="001E3396"/>
    <w:rsid w:val="001E33DA"/>
    <w:rsid w:val="001E33E9"/>
    <w:rsid w:val="001E3410"/>
    <w:rsid w:val="001E34C2"/>
    <w:rsid w:val="001E35E4"/>
    <w:rsid w:val="001E3602"/>
    <w:rsid w:val="001E3608"/>
    <w:rsid w:val="001E3625"/>
    <w:rsid w:val="001E3663"/>
    <w:rsid w:val="001E367A"/>
    <w:rsid w:val="001E3685"/>
    <w:rsid w:val="001E3748"/>
    <w:rsid w:val="001E3817"/>
    <w:rsid w:val="001E3822"/>
    <w:rsid w:val="001E386E"/>
    <w:rsid w:val="001E389D"/>
    <w:rsid w:val="001E3960"/>
    <w:rsid w:val="001E39D7"/>
    <w:rsid w:val="001E3A6E"/>
    <w:rsid w:val="001E3ACD"/>
    <w:rsid w:val="001E3B04"/>
    <w:rsid w:val="001E3B12"/>
    <w:rsid w:val="001E3B1B"/>
    <w:rsid w:val="001E3B25"/>
    <w:rsid w:val="001E3B67"/>
    <w:rsid w:val="001E3BDF"/>
    <w:rsid w:val="001E3BE3"/>
    <w:rsid w:val="001E3BFB"/>
    <w:rsid w:val="001E3C35"/>
    <w:rsid w:val="001E3C73"/>
    <w:rsid w:val="001E3CA8"/>
    <w:rsid w:val="001E3CD1"/>
    <w:rsid w:val="001E3D55"/>
    <w:rsid w:val="001E3D66"/>
    <w:rsid w:val="001E3DF3"/>
    <w:rsid w:val="001E3E71"/>
    <w:rsid w:val="001E3E73"/>
    <w:rsid w:val="001E3F8C"/>
    <w:rsid w:val="001E3FAC"/>
    <w:rsid w:val="001E3FF0"/>
    <w:rsid w:val="001E4004"/>
    <w:rsid w:val="001E4071"/>
    <w:rsid w:val="001E408B"/>
    <w:rsid w:val="001E411F"/>
    <w:rsid w:val="001E4128"/>
    <w:rsid w:val="001E4134"/>
    <w:rsid w:val="001E4151"/>
    <w:rsid w:val="001E4162"/>
    <w:rsid w:val="001E4171"/>
    <w:rsid w:val="001E418E"/>
    <w:rsid w:val="001E41FE"/>
    <w:rsid w:val="001E430E"/>
    <w:rsid w:val="001E441B"/>
    <w:rsid w:val="001E4458"/>
    <w:rsid w:val="001E445A"/>
    <w:rsid w:val="001E44D7"/>
    <w:rsid w:val="001E4521"/>
    <w:rsid w:val="001E4528"/>
    <w:rsid w:val="001E4560"/>
    <w:rsid w:val="001E45FB"/>
    <w:rsid w:val="001E4747"/>
    <w:rsid w:val="001E4780"/>
    <w:rsid w:val="001E4791"/>
    <w:rsid w:val="001E47A9"/>
    <w:rsid w:val="001E4833"/>
    <w:rsid w:val="001E483E"/>
    <w:rsid w:val="001E4874"/>
    <w:rsid w:val="001E4907"/>
    <w:rsid w:val="001E4982"/>
    <w:rsid w:val="001E49BC"/>
    <w:rsid w:val="001E49C5"/>
    <w:rsid w:val="001E4A00"/>
    <w:rsid w:val="001E4B19"/>
    <w:rsid w:val="001E4B6D"/>
    <w:rsid w:val="001E4B98"/>
    <w:rsid w:val="001E4C22"/>
    <w:rsid w:val="001E4CF0"/>
    <w:rsid w:val="001E4D18"/>
    <w:rsid w:val="001E4D39"/>
    <w:rsid w:val="001E4DE4"/>
    <w:rsid w:val="001E4E0F"/>
    <w:rsid w:val="001E4E29"/>
    <w:rsid w:val="001E4F46"/>
    <w:rsid w:val="001E4F64"/>
    <w:rsid w:val="001E4F6B"/>
    <w:rsid w:val="001E4F91"/>
    <w:rsid w:val="001E4FD4"/>
    <w:rsid w:val="001E5136"/>
    <w:rsid w:val="001E5153"/>
    <w:rsid w:val="001E5160"/>
    <w:rsid w:val="001E5270"/>
    <w:rsid w:val="001E52A5"/>
    <w:rsid w:val="001E53E2"/>
    <w:rsid w:val="001E54C0"/>
    <w:rsid w:val="001E54F4"/>
    <w:rsid w:val="001E55CD"/>
    <w:rsid w:val="001E5605"/>
    <w:rsid w:val="001E5616"/>
    <w:rsid w:val="001E561F"/>
    <w:rsid w:val="001E5635"/>
    <w:rsid w:val="001E5686"/>
    <w:rsid w:val="001E56B1"/>
    <w:rsid w:val="001E56EF"/>
    <w:rsid w:val="001E57CB"/>
    <w:rsid w:val="001E5803"/>
    <w:rsid w:val="001E5829"/>
    <w:rsid w:val="001E5832"/>
    <w:rsid w:val="001E5848"/>
    <w:rsid w:val="001E5857"/>
    <w:rsid w:val="001E5894"/>
    <w:rsid w:val="001E58F8"/>
    <w:rsid w:val="001E59A1"/>
    <w:rsid w:val="001E5A10"/>
    <w:rsid w:val="001E5A18"/>
    <w:rsid w:val="001E5A84"/>
    <w:rsid w:val="001E5A85"/>
    <w:rsid w:val="001E5AE6"/>
    <w:rsid w:val="001E5B08"/>
    <w:rsid w:val="001E5B3B"/>
    <w:rsid w:val="001E5B72"/>
    <w:rsid w:val="001E5C4F"/>
    <w:rsid w:val="001E5C9B"/>
    <w:rsid w:val="001E5CE2"/>
    <w:rsid w:val="001E5D31"/>
    <w:rsid w:val="001E5D89"/>
    <w:rsid w:val="001E5DA2"/>
    <w:rsid w:val="001E5DE2"/>
    <w:rsid w:val="001E5E44"/>
    <w:rsid w:val="001E5E47"/>
    <w:rsid w:val="001E5E58"/>
    <w:rsid w:val="001E5EEA"/>
    <w:rsid w:val="001E5F1C"/>
    <w:rsid w:val="001E5F33"/>
    <w:rsid w:val="001E5F56"/>
    <w:rsid w:val="001E614E"/>
    <w:rsid w:val="001E61D4"/>
    <w:rsid w:val="001E6252"/>
    <w:rsid w:val="001E627A"/>
    <w:rsid w:val="001E6381"/>
    <w:rsid w:val="001E64CB"/>
    <w:rsid w:val="001E64E6"/>
    <w:rsid w:val="001E64FE"/>
    <w:rsid w:val="001E6604"/>
    <w:rsid w:val="001E665D"/>
    <w:rsid w:val="001E66E1"/>
    <w:rsid w:val="001E66F7"/>
    <w:rsid w:val="001E6794"/>
    <w:rsid w:val="001E67A7"/>
    <w:rsid w:val="001E67C6"/>
    <w:rsid w:val="001E6808"/>
    <w:rsid w:val="001E68FA"/>
    <w:rsid w:val="001E69A3"/>
    <w:rsid w:val="001E69CE"/>
    <w:rsid w:val="001E6A09"/>
    <w:rsid w:val="001E6A2C"/>
    <w:rsid w:val="001E6A5C"/>
    <w:rsid w:val="001E6A74"/>
    <w:rsid w:val="001E6A7D"/>
    <w:rsid w:val="001E6AB2"/>
    <w:rsid w:val="001E6AEA"/>
    <w:rsid w:val="001E6B10"/>
    <w:rsid w:val="001E6B27"/>
    <w:rsid w:val="001E6CD9"/>
    <w:rsid w:val="001E6CFB"/>
    <w:rsid w:val="001E6D22"/>
    <w:rsid w:val="001E6E1C"/>
    <w:rsid w:val="001E6E9E"/>
    <w:rsid w:val="001E6EEE"/>
    <w:rsid w:val="001E6FFC"/>
    <w:rsid w:val="001E7024"/>
    <w:rsid w:val="001E7048"/>
    <w:rsid w:val="001E7113"/>
    <w:rsid w:val="001E7168"/>
    <w:rsid w:val="001E71B5"/>
    <w:rsid w:val="001E72B5"/>
    <w:rsid w:val="001E72C1"/>
    <w:rsid w:val="001E732B"/>
    <w:rsid w:val="001E7394"/>
    <w:rsid w:val="001E7465"/>
    <w:rsid w:val="001E7473"/>
    <w:rsid w:val="001E74E3"/>
    <w:rsid w:val="001E7509"/>
    <w:rsid w:val="001E7521"/>
    <w:rsid w:val="001E7564"/>
    <w:rsid w:val="001E7600"/>
    <w:rsid w:val="001E7604"/>
    <w:rsid w:val="001E7609"/>
    <w:rsid w:val="001E762F"/>
    <w:rsid w:val="001E763A"/>
    <w:rsid w:val="001E76B8"/>
    <w:rsid w:val="001E76D0"/>
    <w:rsid w:val="001E76F5"/>
    <w:rsid w:val="001E7766"/>
    <w:rsid w:val="001E77CB"/>
    <w:rsid w:val="001E77D9"/>
    <w:rsid w:val="001E77E6"/>
    <w:rsid w:val="001E77FB"/>
    <w:rsid w:val="001E781D"/>
    <w:rsid w:val="001E7827"/>
    <w:rsid w:val="001E782F"/>
    <w:rsid w:val="001E7857"/>
    <w:rsid w:val="001E7871"/>
    <w:rsid w:val="001E789D"/>
    <w:rsid w:val="001E78B5"/>
    <w:rsid w:val="001E793D"/>
    <w:rsid w:val="001E79AB"/>
    <w:rsid w:val="001E79E4"/>
    <w:rsid w:val="001E7A71"/>
    <w:rsid w:val="001E7CBD"/>
    <w:rsid w:val="001E7D05"/>
    <w:rsid w:val="001E7D20"/>
    <w:rsid w:val="001E7E45"/>
    <w:rsid w:val="001E7F09"/>
    <w:rsid w:val="001E7F80"/>
    <w:rsid w:val="001E7FB1"/>
    <w:rsid w:val="001F000C"/>
    <w:rsid w:val="001F0046"/>
    <w:rsid w:val="001F0070"/>
    <w:rsid w:val="001F0137"/>
    <w:rsid w:val="001F0151"/>
    <w:rsid w:val="001F01C2"/>
    <w:rsid w:val="001F0208"/>
    <w:rsid w:val="001F024A"/>
    <w:rsid w:val="001F0300"/>
    <w:rsid w:val="001F036B"/>
    <w:rsid w:val="001F0374"/>
    <w:rsid w:val="001F037C"/>
    <w:rsid w:val="001F044C"/>
    <w:rsid w:val="001F0452"/>
    <w:rsid w:val="001F045E"/>
    <w:rsid w:val="001F0571"/>
    <w:rsid w:val="001F080B"/>
    <w:rsid w:val="001F0826"/>
    <w:rsid w:val="001F0837"/>
    <w:rsid w:val="001F0838"/>
    <w:rsid w:val="001F08B3"/>
    <w:rsid w:val="001F0998"/>
    <w:rsid w:val="001F09A3"/>
    <w:rsid w:val="001F09FB"/>
    <w:rsid w:val="001F0A26"/>
    <w:rsid w:val="001F0A57"/>
    <w:rsid w:val="001F0A60"/>
    <w:rsid w:val="001F0AF7"/>
    <w:rsid w:val="001F0B18"/>
    <w:rsid w:val="001F0BC9"/>
    <w:rsid w:val="001F0C29"/>
    <w:rsid w:val="001F0D5B"/>
    <w:rsid w:val="001F0EE1"/>
    <w:rsid w:val="001F0F91"/>
    <w:rsid w:val="001F1013"/>
    <w:rsid w:val="001F105A"/>
    <w:rsid w:val="001F1115"/>
    <w:rsid w:val="001F11F1"/>
    <w:rsid w:val="001F12CB"/>
    <w:rsid w:val="001F13C1"/>
    <w:rsid w:val="001F13CE"/>
    <w:rsid w:val="001F14D1"/>
    <w:rsid w:val="001F14EF"/>
    <w:rsid w:val="001F158B"/>
    <w:rsid w:val="001F1599"/>
    <w:rsid w:val="001F159F"/>
    <w:rsid w:val="001F15E0"/>
    <w:rsid w:val="001F16CF"/>
    <w:rsid w:val="001F16E3"/>
    <w:rsid w:val="001F171C"/>
    <w:rsid w:val="001F178C"/>
    <w:rsid w:val="001F179D"/>
    <w:rsid w:val="001F17FB"/>
    <w:rsid w:val="001F1848"/>
    <w:rsid w:val="001F1870"/>
    <w:rsid w:val="001F1884"/>
    <w:rsid w:val="001F18F7"/>
    <w:rsid w:val="001F1951"/>
    <w:rsid w:val="001F196E"/>
    <w:rsid w:val="001F1995"/>
    <w:rsid w:val="001F19F2"/>
    <w:rsid w:val="001F1A19"/>
    <w:rsid w:val="001F1ACF"/>
    <w:rsid w:val="001F1AEA"/>
    <w:rsid w:val="001F1C2E"/>
    <w:rsid w:val="001F1C38"/>
    <w:rsid w:val="001F1C75"/>
    <w:rsid w:val="001F1CB8"/>
    <w:rsid w:val="001F1CC6"/>
    <w:rsid w:val="001F1D7C"/>
    <w:rsid w:val="001F1DED"/>
    <w:rsid w:val="001F1E47"/>
    <w:rsid w:val="001F1E9A"/>
    <w:rsid w:val="001F1EB9"/>
    <w:rsid w:val="001F1ED4"/>
    <w:rsid w:val="001F1EF7"/>
    <w:rsid w:val="001F1EFB"/>
    <w:rsid w:val="001F1F47"/>
    <w:rsid w:val="001F1F96"/>
    <w:rsid w:val="001F1FDB"/>
    <w:rsid w:val="001F1FFB"/>
    <w:rsid w:val="001F1FFD"/>
    <w:rsid w:val="001F20B9"/>
    <w:rsid w:val="001F2120"/>
    <w:rsid w:val="001F213D"/>
    <w:rsid w:val="001F21F7"/>
    <w:rsid w:val="001F2200"/>
    <w:rsid w:val="001F2275"/>
    <w:rsid w:val="001F2305"/>
    <w:rsid w:val="001F2322"/>
    <w:rsid w:val="001F245F"/>
    <w:rsid w:val="001F24D5"/>
    <w:rsid w:val="001F24D8"/>
    <w:rsid w:val="001F24ED"/>
    <w:rsid w:val="001F256D"/>
    <w:rsid w:val="001F25DF"/>
    <w:rsid w:val="001F269C"/>
    <w:rsid w:val="001F26A0"/>
    <w:rsid w:val="001F2715"/>
    <w:rsid w:val="001F276A"/>
    <w:rsid w:val="001F287E"/>
    <w:rsid w:val="001F28A8"/>
    <w:rsid w:val="001F28A9"/>
    <w:rsid w:val="001F29F2"/>
    <w:rsid w:val="001F2A11"/>
    <w:rsid w:val="001F2A6F"/>
    <w:rsid w:val="001F2B1E"/>
    <w:rsid w:val="001F2B26"/>
    <w:rsid w:val="001F2B3C"/>
    <w:rsid w:val="001F2B9C"/>
    <w:rsid w:val="001F2C92"/>
    <w:rsid w:val="001F2CB8"/>
    <w:rsid w:val="001F2D58"/>
    <w:rsid w:val="001F2DC8"/>
    <w:rsid w:val="001F2E0D"/>
    <w:rsid w:val="001F2FF2"/>
    <w:rsid w:val="001F2FFE"/>
    <w:rsid w:val="001F3086"/>
    <w:rsid w:val="001F308C"/>
    <w:rsid w:val="001F30C0"/>
    <w:rsid w:val="001F3103"/>
    <w:rsid w:val="001F3124"/>
    <w:rsid w:val="001F328D"/>
    <w:rsid w:val="001F3375"/>
    <w:rsid w:val="001F3379"/>
    <w:rsid w:val="001F33E4"/>
    <w:rsid w:val="001F340F"/>
    <w:rsid w:val="001F3425"/>
    <w:rsid w:val="001F344B"/>
    <w:rsid w:val="001F3466"/>
    <w:rsid w:val="001F3484"/>
    <w:rsid w:val="001F34FC"/>
    <w:rsid w:val="001F35BB"/>
    <w:rsid w:val="001F360A"/>
    <w:rsid w:val="001F377E"/>
    <w:rsid w:val="001F37AA"/>
    <w:rsid w:val="001F386D"/>
    <w:rsid w:val="001F389C"/>
    <w:rsid w:val="001F38C8"/>
    <w:rsid w:val="001F38D0"/>
    <w:rsid w:val="001F3961"/>
    <w:rsid w:val="001F399C"/>
    <w:rsid w:val="001F3A6A"/>
    <w:rsid w:val="001F3A71"/>
    <w:rsid w:val="001F3A7B"/>
    <w:rsid w:val="001F3ADA"/>
    <w:rsid w:val="001F3C1F"/>
    <w:rsid w:val="001F3C38"/>
    <w:rsid w:val="001F3C3F"/>
    <w:rsid w:val="001F3D0E"/>
    <w:rsid w:val="001F3D6C"/>
    <w:rsid w:val="001F3D83"/>
    <w:rsid w:val="001F3DE9"/>
    <w:rsid w:val="001F3EEB"/>
    <w:rsid w:val="001F3EFB"/>
    <w:rsid w:val="001F3F0A"/>
    <w:rsid w:val="001F3F74"/>
    <w:rsid w:val="001F3FA0"/>
    <w:rsid w:val="001F40AA"/>
    <w:rsid w:val="001F4125"/>
    <w:rsid w:val="001F4126"/>
    <w:rsid w:val="001F425B"/>
    <w:rsid w:val="001F42B3"/>
    <w:rsid w:val="001F4390"/>
    <w:rsid w:val="001F43D0"/>
    <w:rsid w:val="001F4455"/>
    <w:rsid w:val="001F446D"/>
    <w:rsid w:val="001F449D"/>
    <w:rsid w:val="001F4647"/>
    <w:rsid w:val="001F468D"/>
    <w:rsid w:val="001F4699"/>
    <w:rsid w:val="001F46FC"/>
    <w:rsid w:val="001F4781"/>
    <w:rsid w:val="001F4816"/>
    <w:rsid w:val="001F4835"/>
    <w:rsid w:val="001F4862"/>
    <w:rsid w:val="001F48E5"/>
    <w:rsid w:val="001F4901"/>
    <w:rsid w:val="001F4921"/>
    <w:rsid w:val="001F4935"/>
    <w:rsid w:val="001F4986"/>
    <w:rsid w:val="001F4A86"/>
    <w:rsid w:val="001F4AD2"/>
    <w:rsid w:val="001F4B66"/>
    <w:rsid w:val="001F4B6B"/>
    <w:rsid w:val="001F4B6D"/>
    <w:rsid w:val="001F4B89"/>
    <w:rsid w:val="001F4C0D"/>
    <w:rsid w:val="001F4D0F"/>
    <w:rsid w:val="001F4D21"/>
    <w:rsid w:val="001F4DCB"/>
    <w:rsid w:val="001F4E07"/>
    <w:rsid w:val="001F4E29"/>
    <w:rsid w:val="001F4E2A"/>
    <w:rsid w:val="001F4E48"/>
    <w:rsid w:val="001F4E56"/>
    <w:rsid w:val="001F4EA7"/>
    <w:rsid w:val="001F4F0F"/>
    <w:rsid w:val="001F4F3F"/>
    <w:rsid w:val="001F4F40"/>
    <w:rsid w:val="001F4F4C"/>
    <w:rsid w:val="001F4FA6"/>
    <w:rsid w:val="001F50A4"/>
    <w:rsid w:val="001F5112"/>
    <w:rsid w:val="001F51A9"/>
    <w:rsid w:val="001F51D0"/>
    <w:rsid w:val="001F51DB"/>
    <w:rsid w:val="001F52F8"/>
    <w:rsid w:val="001F530C"/>
    <w:rsid w:val="001F533F"/>
    <w:rsid w:val="001F536A"/>
    <w:rsid w:val="001F5380"/>
    <w:rsid w:val="001F53BE"/>
    <w:rsid w:val="001F53C8"/>
    <w:rsid w:val="001F5451"/>
    <w:rsid w:val="001F54D3"/>
    <w:rsid w:val="001F5514"/>
    <w:rsid w:val="001F5515"/>
    <w:rsid w:val="001F55A2"/>
    <w:rsid w:val="001F55AD"/>
    <w:rsid w:val="001F55B3"/>
    <w:rsid w:val="001F5621"/>
    <w:rsid w:val="001F56B6"/>
    <w:rsid w:val="001F56DB"/>
    <w:rsid w:val="001F574D"/>
    <w:rsid w:val="001F57E3"/>
    <w:rsid w:val="001F57E7"/>
    <w:rsid w:val="001F590A"/>
    <w:rsid w:val="001F59A6"/>
    <w:rsid w:val="001F59CB"/>
    <w:rsid w:val="001F59EA"/>
    <w:rsid w:val="001F5A45"/>
    <w:rsid w:val="001F5A51"/>
    <w:rsid w:val="001F5A60"/>
    <w:rsid w:val="001F5AF1"/>
    <w:rsid w:val="001F5B60"/>
    <w:rsid w:val="001F5C16"/>
    <w:rsid w:val="001F5C25"/>
    <w:rsid w:val="001F5C30"/>
    <w:rsid w:val="001F5CDE"/>
    <w:rsid w:val="001F5CE0"/>
    <w:rsid w:val="001F5CE8"/>
    <w:rsid w:val="001F5D2A"/>
    <w:rsid w:val="001F5F49"/>
    <w:rsid w:val="001F5F60"/>
    <w:rsid w:val="001F602B"/>
    <w:rsid w:val="001F604F"/>
    <w:rsid w:val="001F607F"/>
    <w:rsid w:val="001F6095"/>
    <w:rsid w:val="001F61E8"/>
    <w:rsid w:val="001F6221"/>
    <w:rsid w:val="001F6227"/>
    <w:rsid w:val="001F62D8"/>
    <w:rsid w:val="001F6327"/>
    <w:rsid w:val="001F6336"/>
    <w:rsid w:val="001F6356"/>
    <w:rsid w:val="001F635D"/>
    <w:rsid w:val="001F643B"/>
    <w:rsid w:val="001F652A"/>
    <w:rsid w:val="001F6580"/>
    <w:rsid w:val="001F65AD"/>
    <w:rsid w:val="001F65BE"/>
    <w:rsid w:val="001F65D0"/>
    <w:rsid w:val="001F6625"/>
    <w:rsid w:val="001F6696"/>
    <w:rsid w:val="001F67B2"/>
    <w:rsid w:val="001F683F"/>
    <w:rsid w:val="001F686C"/>
    <w:rsid w:val="001F688F"/>
    <w:rsid w:val="001F68B2"/>
    <w:rsid w:val="001F68B9"/>
    <w:rsid w:val="001F68C4"/>
    <w:rsid w:val="001F6901"/>
    <w:rsid w:val="001F6A91"/>
    <w:rsid w:val="001F6AE2"/>
    <w:rsid w:val="001F6AE9"/>
    <w:rsid w:val="001F6B0A"/>
    <w:rsid w:val="001F6BF9"/>
    <w:rsid w:val="001F6CA0"/>
    <w:rsid w:val="001F6D78"/>
    <w:rsid w:val="001F6E11"/>
    <w:rsid w:val="001F6E9F"/>
    <w:rsid w:val="001F6F51"/>
    <w:rsid w:val="001F6F6C"/>
    <w:rsid w:val="001F6FB0"/>
    <w:rsid w:val="001F700C"/>
    <w:rsid w:val="001F7052"/>
    <w:rsid w:val="001F70B8"/>
    <w:rsid w:val="001F7113"/>
    <w:rsid w:val="001F7149"/>
    <w:rsid w:val="001F7164"/>
    <w:rsid w:val="001F71A7"/>
    <w:rsid w:val="001F71D3"/>
    <w:rsid w:val="001F7286"/>
    <w:rsid w:val="001F7293"/>
    <w:rsid w:val="001F72AC"/>
    <w:rsid w:val="001F73A9"/>
    <w:rsid w:val="001F742A"/>
    <w:rsid w:val="001F747D"/>
    <w:rsid w:val="001F74E4"/>
    <w:rsid w:val="001F750F"/>
    <w:rsid w:val="001F762B"/>
    <w:rsid w:val="001F7666"/>
    <w:rsid w:val="001F766B"/>
    <w:rsid w:val="001F76C4"/>
    <w:rsid w:val="001F76E4"/>
    <w:rsid w:val="001F76E5"/>
    <w:rsid w:val="001F78D0"/>
    <w:rsid w:val="001F794D"/>
    <w:rsid w:val="001F79E6"/>
    <w:rsid w:val="001F7A37"/>
    <w:rsid w:val="001F7A6D"/>
    <w:rsid w:val="001F7A8D"/>
    <w:rsid w:val="001F7A95"/>
    <w:rsid w:val="001F7AE4"/>
    <w:rsid w:val="001F7B06"/>
    <w:rsid w:val="001F7C28"/>
    <w:rsid w:val="001F7C2C"/>
    <w:rsid w:val="001F7C5C"/>
    <w:rsid w:val="001F7CBD"/>
    <w:rsid w:val="001F7CCC"/>
    <w:rsid w:val="001F7D81"/>
    <w:rsid w:val="001F7E39"/>
    <w:rsid w:val="001F7E4B"/>
    <w:rsid w:val="001F7EC1"/>
    <w:rsid w:val="001F7EEF"/>
    <w:rsid w:val="001F7F1C"/>
    <w:rsid w:val="001F7F2D"/>
    <w:rsid w:val="001F7FF0"/>
    <w:rsid w:val="00200105"/>
    <w:rsid w:val="0020011F"/>
    <w:rsid w:val="0020012D"/>
    <w:rsid w:val="002001AB"/>
    <w:rsid w:val="0020020C"/>
    <w:rsid w:val="002002AA"/>
    <w:rsid w:val="00200388"/>
    <w:rsid w:val="0020039C"/>
    <w:rsid w:val="00200406"/>
    <w:rsid w:val="0020043E"/>
    <w:rsid w:val="00200440"/>
    <w:rsid w:val="00200457"/>
    <w:rsid w:val="002004BD"/>
    <w:rsid w:val="002004D9"/>
    <w:rsid w:val="002005BC"/>
    <w:rsid w:val="002005C9"/>
    <w:rsid w:val="002005E6"/>
    <w:rsid w:val="0020065D"/>
    <w:rsid w:val="00200680"/>
    <w:rsid w:val="00200704"/>
    <w:rsid w:val="00200726"/>
    <w:rsid w:val="00200794"/>
    <w:rsid w:val="002007F4"/>
    <w:rsid w:val="00200817"/>
    <w:rsid w:val="002008C9"/>
    <w:rsid w:val="00200938"/>
    <w:rsid w:val="0020094E"/>
    <w:rsid w:val="002009F7"/>
    <w:rsid w:val="00200A5F"/>
    <w:rsid w:val="00200A63"/>
    <w:rsid w:val="00200A65"/>
    <w:rsid w:val="00200B26"/>
    <w:rsid w:val="00200C9D"/>
    <w:rsid w:val="00200DB0"/>
    <w:rsid w:val="00200E09"/>
    <w:rsid w:val="00200E1C"/>
    <w:rsid w:val="00200E36"/>
    <w:rsid w:val="00200E4E"/>
    <w:rsid w:val="00200E9F"/>
    <w:rsid w:val="00200F1C"/>
    <w:rsid w:val="00200F44"/>
    <w:rsid w:val="00200F89"/>
    <w:rsid w:val="00200F9D"/>
    <w:rsid w:val="00200FBC"/>
    <w:rsid w:val="00200FBD"/>
    <w:rsid w:val="00200FFD"/>
    <w:rsid w:val="00201030"/>
    <w:rsid w:val="00201084"/>
    <w:rsid w:val="0020109B"/>
    <w:rsid w:val="00201163"/>
    <w:rsid w:val="002011BF"/>
    <w:rsid w:val="00201206"/>
    <w:rsid w:val="00201226"/>
    <w:rsid w:val="00201236"/>
    <w:rsid w:val="00201246"/>
    <w:rsid w:val="00201307"/>
    <w:rsid w:val="00201320"/>
    <w:rsid w:val="002013C0"/>
    <w:rsid w:val="00201482"/>
    <w:rsid w:val="00201499"/>
    <w:rsid w:val="002014E6"/>
    <w:rsid w:val="0020150E"/>
    <w:rsid w:val="00201562"/>
    <w:rsid w:val="002015FB"/>
    <w:rsid w:val="00201828"/>
    <w:rsid w:val="0020188D"/>
    <w:rsid w:val="00201943"/>
    <w:rsid w:val="00201975"/>
    <w:rsid w:val="002019CF"/>
    <w:rsid w:val="00201A38"/>
    <w:rsid w:val="00201A3F"/>
    <w:rsid w:val="00201AA8"/>
    <w:rsid w:val="00201AE4"/>
    <w:rsid w:val="00201AFA"/>
    <w:rsid w:val="00201B44"/>
    <w:rsid w:val="00201B62"/>
    <w:rsid w:val="00201B9E"/>
    <w:rsid w:val="00201C11"/>
    <w:rsid w:val="00201C1B"/>
    <w:rsid w:val="00201C28"/>
    <w:rsid w:val="00201C86"/>
    <w:rsid w:val="00201C92"/>
    <w:rsid w:val="00201CBB"/>
    <w:rsid w:val="00201CEB"/>
    <w:rsid w:val="00201D09"/>
    <w:rsid w:val="00201D6C"/>
    <w:rsid w:val="00201E2E"/>
    <w:rsid w:val="00201E4C"/>
    <w:rsid w:val="00201F11"/>
    <w:rsid w:val="00201FDB"/>
    <w:rsid w:val="00202003"/>
    <w:rsid w:val="0020204A"/>
    <w:rsid w:val="0020210B"/>
    <w:rsid w:val="00202182"/>
    <w:rsid w:val="002021A0"/>
    <w:rsid w:val="002021AA"/>
    <w:rsid w:val="0020224E"/>
    <w:rsid w:val="0020227A"/>
    <w:rsid w:val="00202291"/>
    <w:rsid w:val="002022D4"/>
    <w:rsid w:val="00202346"/>
    <w:rsid w:val="00202372"/>
    <w:rsid w:val="00202393"/>
    <w:rsid w:val="002023A7"/>
    <w:rsid w:val="002023D3"/>
    <w:rsid w:val="00202445"/>
    <w:rsid w:val="002024D0"/>
    <w:rsid w:val="002024D7"/>
    <w:rsid w:val="00202522"/>
    <w:rsid w:val="002025BC"/>
    <w:rsid w:val="00202614"/>
    <w:rsid w:val="00202668"/>
    <w:rsid w:val="00202705"/>
    <w:rsid w:val="0020276A"/>
    <w:rsid w:val="0020282B"/>
    <w:rsid w:val="00202847"/>
    <w:rsid w:val="0020289C"/>
    <w:rsid w:val="002028D4"/>
    <w:rsid w:val="00202A43"/>
    <w:rsid w:val="00202AAF"/>
    <w:rsid w:val="00202AB1"/>
    <w:rsid w:val="00202AC7"/>
    <w:rsid w:val="00202ADA"/>
    <w:rsid w:val="00202AEB"/>
    <w:rsid w:val="00202B59"/>
    <w:rsid w:val="00202BC3"/>
    <w:rsid w:val="00202BC5"/>
    <w:rsid w:val="00202BC6"/>
    <w:rsid w:val="00202BF6"/>
    <w:rsid w:val="00202C38"/>
    <w:rsid w:val="00202CB8"/>
    <w:rsid w:val="00202EE6"/>
    <w:rsid w:val="00202F52"/>
    <w:rsid w:val="00203283"/>
    <w:rsid w:val="002032D0"/>
    <w:rsid w:val="0020333D"/>
    <w:rsid w:val="0020338B"/>
    <w:rsid w:val="002033EC"/>
    <w:rsid w:val="00203423"/>
    <w:rsid w:val="0020346B"/>
    <w:rsid w:val="002034C6"/>
    <w:rsid w:val="00203526"/>
    <w:rsid w:val="0020355B"/>
    <w:rsid w:val="002035C2"/>
    <w:rsid w:val="00203603"/>
    <w:rsid w:val="0020369A"/>
    <w:rsid w:val="002036B9"/>
    <w:rsid w:val="0020371F"/>
    <w:rsid w:val="0020376F"/>
    <w:rsid w:val="002037BC"/>
    <w:rsid w:val="002037D1"/>
    <w:rsid w:val="00203813"/>
    <w:rsid w:val="0020381C"/>
    <w:rsid w:val="00203830"/>
    <w:rsid w:val="002038B9"/>
    <w:rsid w:val="0020394D"/>
    <w:rsid w:val="00203A34"/>
    <w:rsid w:val="00203A5C"/>
    <w:rsid w:val="00203AE7"/>
    <w:rsid w:val="00203B07"/>
    <w:rsid w:val="00203B65"/>
    <w:rsid w:val="00203BA1"/>
    <w:rsid w:val="00203C46"/>
    <w:rsid w:val="00203C50"/>
    <w:rsid w:val="00203C9F"/>
    <w:rsid w:val="00203CA8"/>
    <w:rsid w:val="00203CDE"/>
    <w:rsid w:val="00203DA7"/>
    <w:rsid w:val="00203DF6"/>
    <w:rsid w:val="00203E35"/>
    <w:rsid w:val="00203E65"/>
    <w:rsid w:val="00203E75"/>
    <w:rsid w:val="00203E7E"/>
    <w:rsid w:val="00203ECB"/>
    <w:rsid w:val="00203F15"/>
    <w:rsid w:val="00203F3B"/>
    <w:rsid w:val="00203F40"/>
    <w:rsid w:val="00203FC9"/>
    <w:rsid w:val="00204025"/>
    <w:rsid w:val="002040D2"/>
    <w:rsid w:val="002040DF"/>
    <w:rsid w:val="002042FC"/>
    <w:rsid w:val="002043AA"/>
    <w:rsid w:val="002043E4"/>
    <w:rsid w:val="002044D7"/>
    <w:rsid w:val="002044FF"/>
    <w:rsid w:val="00204504"/>
    <w:rsid w:val="0020453E"/>
    <w:rsid w:val="002045D4"/>
    <w:rsid w:val="00204690"/>
    <w:rsid w:val="002046AE"/>
    <w:rsid w:val="002046DE"/>
    <w:rsid w:val="00204701"/>
    <w:rsid w:val="0020472B"/>
    <w:rsid w:val="0020483D"/>
    <w:rsid w:val="002048A0"/>
    <w:rsid w:val="00204945"/>
    <w:rsid w:val="0020498C"/>
    <w:rsid w:val="002049B1"/>
    <w:rsid w:val="00204A79"/>
    <w:rsid w:val="00204B91"/>
    <w:rsid w:val="00204CC1"/>
    <w:rsid w:val="00204CCE"/>
    <w:rsid w:val="00204D6D"/>
    <w:rsid w:val="00204D72"/>
    <w:rsid w:val="00204DDB"/>
    <w:rsid w:val="00204E0A"/>
    <w:rsid w:val="00204E1E"/>
    <w:rsid w:val="00204E43"/>
    <w:rsid w:val="00204F59"/>
    <w:rsid w:val="00204F93"/>
    <w:rsid w:val="00204FF6"/>
    <w:rsid w:val="00205004"/>
    <w:rsid w:val="002051EB"/>
    <w:rsid w:val="0020523B"/>
    <w:rsid w:val="00205300"/>
    <w:rsid w:val="0020539D"/>
    <w:rsid w:val="002053A1"/>
    <w:rsid w:val="00205445"/>
    <w:rsid w:val="0020549F"/>
    <w:rsid w:val="002054B3"/>
    <w:rsid w:val="002054B7"/>
    <w:rsid w:val="0020555D"/>
    <w:rsid w:val="00205583"/>
    <w:rsid w:val="00205589"/>
    <w:rsid w:val="0020565D"/>
    <w:rsid w:val="0020567E"/>
    <w:rsid w:val="002056B8"/>
    <w:rsid w:val="00205A26"/>
    <w:rsid w:val="00205A3B"/>
    <w:rsid w:val="00205B00"/>
    <w:rsid w:val="00205B38"/>
    <w:rsid w:val="00205B82"/>
    <w:rsid w:val="00205B8D"/>
    <w:rsid w:val="00205BB1"/>
    <w:rsid w:val="00205C5F"/>
    <w:rsid w:val="00205C86"/>
    <w:rsid w:val="00205CD9"/>
    <w:rsid w:val="00205DAA"/>
    <w:rsid w:val="00205ED0"/>
    <w:rsid w:val="00205ED3"/>
    <w:rsid w:val="00205F4D"/>
    <w:rsid w:val="0020606D"/>
    <w:rsid w:val="0020615B"/>
    <w:rsid w:val="002061A4"/>
    <w:rsid w:val="002061D6"/>
    <w:rsid w:val="002061ED"/>
    <w:rsid w:val="00206241"/>
    <w:rsid w:val="0020624E"/>
    <w:rsid w:val="002062A8"/>
    <w:rsid w:val="002062E1"/>
    <w:rsid w:val="002063CB"/>
    <w:rsid w:val="002064AC"/>
    <w:rsid w:val="002064CD"/>
    <w:rsid w:val="002064E7"/>
    <w:rsid w:val="002065D8"/>
    <w:rsid w:val="002065F9"/>
    <w:rsid w:val="00206664"/>
    <w:rsid w:val="002066B2"/>
    <w:rsid w:val="00206788"/>
    <w:rsid w:val="0020679D"/>
    <w:rsid w:val="002067C8"/>
    <w:rsid w:val="0020684A"/>
    <w:rsid w:val="00206990"/>
    <w:rsid w:val="00206A29"/>
    <w:rsid w:val="00206A7E"/>
    <w:rsid w:val="00206A89"/>
    <w:rsid w:val="00206AA6"/>
    <w:rsid w:val="00206ABC"/>
    <w:rsid w:val="00206AD9"/>
    <w:rsid w:val="00206ADF"/>
    <w:rsid w:val="00206B39"/>
    <w:rsid w:val="00206B9A"/>
    <w:rsid w:val="00206BB0"/>
    <w:rsid w:val="00206C0B"/>
    <w:rsid w:val="00206C49"/>
    <w:rsid w:val="00206CA8"/>
    <w:rsid w:val="00206D23"/>
    <w:rsid w:val="00206D89"/>
    <w:rsid w:val="00206EFC"/>
    <w:rsid w:val="00206F45"/>
    <w:rsid w:val="00206F49"/>
    <w:rsid w:val="00206FAA"/>
    <w:rsid w:val="00206FF1"/>
    <w:rsid w:val="00206FFA"/>
    <w:rsid w:val="00207096"/>
    <w:rsid w:val="00207099"/>
    <w:rsid w:val="002070AF"/>
    <w:rsid w:val="002070FC"/>
    <w:rsid w:val="00207227"/>
    <w:rsid w:val="002072DA"/>
    <w:rsid w:val="00207301"/>
    <w:rsid w:val="00207340"/>
    <w:rsid w:val="00207378"/>
    <w:rsid w:val="00207396"/>
    <w:rsid w:val="002073F6"/>
    <w:rsid w:val="00207449"/>
    <w:rsid w:val="0020747F"/>
    <w:rsid w:val="0020750C"/>
    <w:rsid w:val="00207561"/>
    <w:rsid w:val="00207575"/>
    <w:rsid w:val="0020765A"/>
    <w:rsid w:val="0020767D"/>
    <w:rsid w:val="002076BD"/>
    <w:rsid w:val="002076CA"/>
    <w:rsid w:val="00207718"/>
    <w:rsid w:val="00207725"/>
    <w:rsid w:val="00207770"/>
    <w:rsid w:val="0020778E"/>
    <w:rsid w:val="002077C5"/>
    <w:rsid w:val="002077C6"/>
    <w:rsid w:val="002077ED"/>
    <w:rsid w:val="002078C1"/>
    <w:rsid w:val="00207924"/>
    <w:rsid w:val="0020793E"/>
    <w:rsid w:val="00207967"/>
    <w:rsid w:val="00207A3D"/>
    <w:rsid w:val="00207A3E"/>
    <w:rsid w:val="00207ACA"/>
    <w:rsid w:val="00207B68"/>
    <w:rsid w:val="00207BBF"/>
    <w:rsid w:val="00207C15"/>
    <w:rsid w:val="00207C16"/>
    <w:rsid w:val="00207CB6"/>
    <w:rsid w:val="00207CD1"/>
    <w:rsid w:val="00207D51"/>
    <w:rsid w:val="00207DB5"/>
    <w:rsid w:val="00207DF9"/>
    <w:rsid w:val="00207E72"/>
    <w:rsid w:val="00207F75"/>
    <w:rsid w:val="00207FB0"/>
    <w:rsid w:val="00207FF0"/>
    <w:rsid w:val="0021015F"/>
    <w:rsid w:val="002101E7"/>
    <w:rsid w:val="00210259"/>
    <w:rsid w:val="002102E6"/>
    <w:rsid w:val="0021030B"/>
    <w:rsid w:val="00210356"/>
    <w:rsid w:val="002103BE"/>
    <w:rsid w:val="002103E7"/>
    <w:rsid w:val="0021043A"/>
    <w:rsid w:val="00210480"/>
    <w:rsid w:val="002104B3"/>
    <w:rsid w:val="00210546"/>
    <w:rsid w:val="002105AD"/>
    <w:rsid w:val="002105BD"/>
    <w:rsid w:val="00210610"/>
    <w:rsid w:val="00210613"/>
    <w:rsid w:val="0021064F"/>
    <w:rsid w:val="0021067D"/>
    <w:rsid w:val="002106C1"/>
    <w:rsid w:val="002107A7"/>
    <w:rsid w:val="0021083B"/>
    <w:rsid w:val="00210872"/>
    <w:rsid w:val="00210965"/>
    <w:rsid w:val="00210ACF"/>
    <w:rsid w:val="00210ADA"/>
    <w:rsid w:val="00210ADD"/>
    <w:rsid w:val="00210B1A"/>
    <w:rsid w:val="00210BBC"/>
    <w:rsid w:val="00210BD2"/>
    <w:rsid w:val="00210BFD"/>
    <w:rsid w:val="00210C83"/>
    <w:rsid w:val="00210CF6"/>
    <w:rsid w:val="00210DBF"/>
    <w:rsid w:val="00210DD5"/>
    <w:rsid w:val="00210E18"/>
    <w:rsid w:val="00210EC5"/>
    <w:rsid w:val="00210EEE"/>
    <w:rsid w:val="00210FA1"/>
    <w:rsid w:val="0021102F"/>
    <w:rsid w:val="00211063"/>
    <w:rsid w:val="002110DD"/>
    <w:rsid w:val="002110FE"/>
    <w:rsid w:val="002111B1"/>
    <w:rsid w:val="00211222"/>
    <w:rsid w:val="0021127E"/>
    <w:rsid w:val="002112EC"/>
    <w:rsid w:val="00211305"/>
    <w:rsid w:val="0021132D"/>
    <w:rsid w:val="0021138A"/>
    <w:rsid w:val="0021139C"/>
    <w:rsid w:val="002113F4"/>
    <w:rsid w:val="00211499"/>
    <w:rsid w:val="0021151D"/>
    <w:rsid w:val="00211539"/>
    <w:rsid w:val="00211579"/>
    <w:rsid w:val="002115C3"/>
    <w:rsid w:val="00211601"/>
    <w:rsid w:val="00211633"/>
    <w:rsid w:val="002117A1"/>
    <w:rsid w:val="0021180A"/>
    <w:rsid w:val="00211818"/>
    <w:rsid w:val="0021185E"/>
    <w:rsid w:val="0021187D"/>
    <w:rsid w:val="00211885"/>
    <w:rsid w:val="002118B1"/>
    <w:rsid w:val="002118C7"/>
    <w:rsid w:val="0021197E"/>
    <w:rsid w:val="00211A0C"/>
    <w:rsid w:val="00211B7F"/>
    <w:rsid w:val="00211BE7"/>
    <w:rsid w:val="00211C2B"/>
    <w:rsid w:val="00211C84"/>
    <w:rsid w:val="00211CE8"/>
    <w:rsid w:val="00211D06"/>
    <w:rsid w:val="00211DBF"/>
    <w:rsid w:val="00211E2A"/>
    <w:rsid w:val="00211EDB"/>
    <w:rsid w:val="00211EE5"/>
    <w:rsid w:val="00211FBF"/>
    <w:rsid w:val="00212007"/>
    <w:rsid w:val="00212060"/>
    <w:rsid w:val="002120D3"/>
    <w:rsid w:val="00212121"/>
    <w:rsid w:val="0021214B"/>
    <w:rsid w:val="002121A4"/>
    <w:rsid w:val="00212307"/>
    <w:rsid w:val="00212316"/>
    <w:rsid w:val="00212374"/>
    <w:rsid w:val="002123CC"/>
    <w:rsid w:val="00212428"/>
    <w:rsid w:val="002124B4"/>
    <w:rsid w:val="0021252C"/>
    <w:rsid w:val="00212552"/>
    <w:rsid w:val="002125A0"/>
    <w:rsid w:val="00212613"/>
    <w:rsid w:val="0021266A"/>
    <w:rsid w:val="002126BB"/>
    <w:rsid w:val="002126D3"/>
    <w:rsid w:val="002126DB"/>
    <w:rsid w:val="002126E6"/>
    <w:rsid w:val="00212701"/>
    <w:rsid w:val="00212768"/>
    <w:rsid w:val="0021278D"/>
    <w:rsid w:val="002127D9"/>
    <w:rsid w:val="00212877"/>
    <w:rsid w:val="002128F2"/>
    <w:rsid w:val="002129AD"/>
    <w:rsid w:val="00212A06"/>
    <w:rsid w:val="00212A1D"/>
    <w:rsid w:val="00212B7A"/>
    <w:rsid w:val="00212B9A"/>
    <w:rsid w:val="00212BC7"/>
    <w:rsid w:val="00212C59"/>
    <w:rsid w:val="00212D5C"/>
    <w:rsid w:val="00212DAE"/>
    <w:rsid w:val="00212DD4"/>
    <w:rsid w:val="00212DD5"/>
    <w:rsid w:val="00212E03"/>
    <w:rsid w:val="00212E7B"/>
    <w:rsid w:val="00212EF7"/>
    <w:rsid w:val="00212FE8"/>
    <w:rsid w:val="00213040"/>
    <w:rsid w:val="002130C0"/>
    <w:rsid w:val="00213111"/>
    <w:rsid w:val="00213122"/>
    <w:rsid w:val="00213167"/>
    <w:rsid w:val="002131B6"/>
    <w:rsid w:val="002131CA"/>
    <w:rsid w:val="0021329E"/>
    <w:rsid w:val="002132C3"/>
    <w:rsid w:val="00213322"/>
    <w:rsid w:val="00213476"/>
    <w:rsid w:val="0021350E"/>
    <w:rsid w:val="0021352D"/>
    <w:rsid w:val="0021361C"/>
    <w:rsid w:val="00213672"/>
    <w:rsid w:val="00213683"/>
    <w:rsid w:val="002136BE"/>
    <w:rsid w:val="002136CE"/>
    <w:rsid w:val="002136DC"/>
    <w:rsid w:val="00213775"/>
    <w:rsid w:val="002137F2"/>
    <w:rsid w:val="002138BE"/>
    <w:rsid w:val="002138E7"/>
    <w:rsid w:val="002138F0"/>
    <w:rsid w:val="00213A0F"/>
    <w:rsid w:val="00213AA2"/>
    <w:rsid w:val="00213AEA"/>
    <w:rsid w:val="00213AF6"/>
    <w:rsid w:val="00213B95"/>
    <w:rsid w:val="00213CC5"/>
    <w:rsid w:val="00213D12"/>
    <w:rsid w:val="00213D44"/>
    <w:rsid w:val="00213DF4"/>
    <w:rsid w:val="00213E24"/>
    <w:rsid w:val="00213E4F"/>
    <w:rsid w:val="00213E80"/>
    <w:rsid w:val="00213EB3"/>
    <w:rsid w:val="00213EC1"/>
    <w:rsid w:val="00213ED3"/>
    <w:rsid w:val="00213F06"/>
    <w:rsid w:val="00213F31"/>
    <w:rsid w:val="00213F4E"/>
    <w:rsid w:val="00214016"/>
    <w:rsid w:val="0021407B"/>
    <w:rsid w:val="002140E5"/>
    <w:rsid w:val="00214126"/>
    <w:rsid w:val="00214127"/>
    <w:rsid w:val="00214135"/>
    <w:rsid w:val="00214139"/>
    <w:rsid w:val="00214154"/>
    <w:rsid w:val="002141AD"/>
    <w:rsid w:val="002141C1"/>
    <w:rsid w:val="002141D9"/>
    <w:rsid w:val="0021436C"/>
    <w:rsid w:val="0021437E"/>
    <w:rsid w:val="00214478"/>
    <w:rsid w:val="0021447A"/>
    <w:rsid w:val="00214502"/>
    <w:rsid w:val="00214533"/>
    <w:rsid w:val="002145C1"/>
    <w:rsid w:val="002145D0"/>
    <w:rsid w:val="002145FF"/>
    <w:rsid w:val="00214615"/>
    <w:rsid w:val="0021462D"/>
    <w:rsid w:val="002146A5"/>
    <w:rsid w:val="002146DF"/>
    <w:rsid w:val="0021471F"/>
    <w:rsid w:val="0021474C"/>
    <w:rsid w:val="002147E8"/>
    <w:rsid w:val="002147F1"/>
    <w:rsid w:val="002147FC"/>
    <w:rsid w:val="00214813"/>
    <w:rsid w:val="00214849"/>
    <w:rsid w:val="00214850"/>
    <w:rsid w:val="0021485B"/>
    <w:rsid w:val="002148F1"/>
    <w:rsid w:val="00214965"/>
    <w:rsid w:val="0021499A"/>
    <w:rsid w:val="0021499B"/>
    <w:rsid w:val="00214A00"/>
    <w:rsid w:val="00214A2B"/>
    <w:rsid w:val="00214A66"/>
    <w:rsid w:val="00214A72"/>
    <w:rsid w:val="00214AE4"/>
    <w:rsid w:val="00214B0A"/>
    <w:rsid w:val="00214B57"/>
    <w:rsid w:val="00214B90"/>
    <w:rsid w:val="00214BA3"/>
    <w:rsid w:val="00214BAE"/>
    <w:rsid w:val="00214CC0"/>
    <w:rsid w:val="00214CFF"/>
    <w:rsid w:val="00214D03"/>
    <w:rsid w:val="00214D5A"/>
    <w:rsid w:val="00214D61"/>
    <w:rsid w:val="00214E65"/>
    <w:rsid w:val="00214EBD"/>
    <w:rsid w:val="00214EF4"/>
    <w:rsid w:val="00214F22"/>
    <w:rsid w:val="00214F2E"/>
    <w:rsid w:val="00214F92"/>
    <w:rsid w:val="00214FF0"/>
    <w:rsid w:val="002150B5"/>
    <w:rsid w:val="002150E5"/>
    <w:rsid w:val="00215123"/>
    <w:rsid w:val="0021512B"/>
    <w:rsid w:val="0021513A"/>
    <w:rsid w:val="00215156"/>
    <w:rsid w:val="00215243"/>
    <w:rsid w:val="00215259"/>
    <w:rsid w:val="00215315"/>
    <w:rsid w:val="0021533A"/>
    <w:rsid w:val="00215395"/>
    <w:rsid w:val="002153E2"/>
    <w:rsid w:val="002153E6"/>
    <w:rsid w:val="00215425"/>
    <w:rsid w:val="0021548A"/>
    <w:rsid w:val="002154DE"/>
    <w:rsid w:val="002154F5"/>
    <w:rsid w:val="00215530"/>
    <w:rsid w:val="0021556B"/>
    <w:rsid w:val="00215577"/>
    <w:rsid w:val="00215596"/>
    <w:rsid w:val="00215608"/>
    <w:rsid w:val="0021574E"/>
    <w:rsid w:val="00215782"/>
    <w:rsid w:val="002157DA"/>
    <w:rsid w:val="002157ED"/>
    <w:rsid w:val="00215804"/>
    <w:rsid w:val="00215841"/>
    <w:rsid w:val="0021598F"/>
    <w:rsid w:val="00215ADB"/>
    <w:rsid w:val="00215BC5"/>
    <w:rsid w:val="00215C1D"/>
    <w:rsid w:val="00215C2F"/>
    <w:rsid w:val="00215CD0"/>
    <w:rsid w:val="00215CD7"/>
    <w:rsid w:val="00215CDC"/>
    <w:rsid w:val="00215D0E"/>
    <w:rsid w:val="00215D10"/>
    <w:rsid w:val="00215D3E"/>
    <w:rsid w:val="00215D68"/>
    <w:rsid w:val="00215DB5"/>
    <w:rsid w:val="00215DE0"/>
    <w:rsid w:val="00215DF2"/>
    <w:rsid w:val="00215E23"/>
    <w:rsid w:val="00215E29"/>
    <w:rsid w:val="00215E58"/>
    <w:rsid w:val="0021608B"/>
    <w:rsid w:val="002160D6"/>
    <w:rsid w:val="002160F3"/>
    <w:rsid w:val="0021619D"/>
    <w:rsid w:val="0021620E"/>
    <w:rsid w:val="0021629E"/>
    <w:rsid w:val="00216336"/>
    <w:rsid w:val="00216348"/>
    <w:rsid w:val="00216378"/>
    <w:rsid w:val="002163AE"/>
    <w:rsid w:val="002163BA"/>
    <w:rsid w:val="0021645C"/>
    <w:rsid w:val="0021655D"/>
    <w:rsid w:val="00216586"/>
    <w:rsid w:val="00216591"/>
    <w:rsid w:val="0021672F"/>
    <w:rsid w:val="00216774"/>
    <w:rsid w:val="0021677E"/>
    <w:rsid w:val="002167AE"/>
    <w:rsid w:val="0021684A"/>
    <w:rsid w:val="00216946"/>
    <w:rsid w:val="00216965"/>
    <w:rsid w:val="002169D4"/>
    <w:rsid w:val="002169E8"/>
    <w:rsid w:val="002169F3"/>
    <w:rsid w:val="00216A19"/>
    <w:rsid w:val="00216A69"/>
    <w:rsid w:val="00216B5E"/>
    <w:rsid w:val="00216CE6"/>
    <w:rsid w:val="00216CFD"/>
    <w:rsid w:val="00216D03"/>
    <w:rsid w:val="00216D25"/>
    <w:rsid w:val="00216D5A"/>
    <w:rsid w:val="00216DAD"/>
    <w:rsid w:val="00216DB0"/>
    <w:rsid w:val="00216DE0"/>
    <w:rsid w:val="00216E39"/>
    <w:rsid w:val="00216E97"/>
    <w:rsid w:val="00216F3F"/>
    <w:rsid w:val="00216F56"/>
    <w:rsid w:val="00216F87"/>
    <w:rsid w:val="00216FD0"/>
    <w:rsid w:val="00216FF3"/>
    <w:rsid w:val="002170B4"/>
    <w:rsid w:val="002170F6"/>
    <w:rsid w:val="00217101"/>
    <w:rsid w:val="00217166"/>
    <w:rsid w:val="00217287"/>
    <w:rsid w:val="002172CC"/>
    <w:rsid w:val="0021735C"/>
    <w:rsid w:val="002173EF"/>
    <w:rsid w:val="00217412"/>
    <w:rsid w:val="00217444"/>
    <w:rsid w:val="0021748D"/>
    <w:rsid w:val="00217491"/>
    <w:rsid w:val="00217550"/>
    <w:rsid w:val="00217568"/>
    <w:rsid w:val="00217598"/>
    <w:rsid w:val="00217633"/>
    <w:rsid w:val="0021765A"/>
    <w:rsid w:val="00217689"/>
    <w:rsid w:val="00217740"/>
    <w:rsid w:val="00217788"/>
    <w:rsid w:val="002177DE"/>
    <w:rsid w:val="002177EA"/>
    <w:rsid w:val="002178BE"/>
    <w:rsid w:val="0021791D"/>
    <w:rsid w:val="00217974"/>
    <w:rsid w:val="00217997"/>
    <w:rsid w:val="002179DC"/>
    <w:rsid w:val="00217A48"/>
    <w:rsid w:val="00217A7A"/>
    <w:rsid w:val="00217AE8"/>
    <w:rsid w:val="00217B02"/>
    <w:rsid w:val="00217B6C"/>
    <w:rsid w:val="00217B90"/>
    <w:rsid w:val="00217C10"/>
    <w:rsid w:val="00217C7B"/>
    <w:rsid w:val="00217D13"/>
    <w:rsid w:val="00217E20"/>
    <w:rsid w:val="00217E55"/>
    <w:rsid w:val="00217EA0"/>
    <w:rsid w:val="00217EEE"/>
    <w:rsid w:val="00217F14"/>
    <w:rsid w:val="00217F6B"/>
    <w:rsid w:val="0022008A"/>
    <w:rsid w:val="0022010E"/>
    <w:rsid w:val="0022019C"/>
    <w:rsid w:val="00220294"/>
    <w:rsid w:val="002202D6"/>
    <w:rsid w:val="002202DA"/>
    <w:rsid w:val="0022031C"/>
    <w:rsid w:val="00220326"/>
    <w:rsid w:val="00220333"/>
    <w:rsid w:val="0022033A"/>
    <w:rsid w:val="00220370"/>
    <w:rsid w:val="002203E6"/>
    <w:rsid w:val="0022041E"/>
    <w:rsid w:val="00220452"/>
    <w:rsid w:val="00220509"/>
    <w:rsid w:val="00220535"/>
    <w:rsid w:val="00220539"/>
    <w:rsid w:val="00220591"/>
    <w:rsid w:val="002205AA"/>
    <w:rsid w:val="0022078F"/>
    <w:rsid w:val="002207E8"/>
    <w:rsid w:val="0022081C"/>
    <w:rsid w:val="0022086A"/>
    <w:rsid w:val="002209B1"/>
    <w:rsid w:val="00220A06"/>
    <w:rsid w:val="00220A47"/>
    <w:rsid w:val="00220A4C"/>
    <w:rsid w:val="00220B05"/>
    <w:rsid w:val="00220B88"/>
    <w:rsid w:val="00220C40"/>
    <w:rsid w:val="00220C4A"/>
    <w:rsid w:val="00220C6D"/>
    <w:rsid w:val="00220CC4"/>
    <w:rsid w:val="00220CDF"/>
    <w:rsid w:val="00220D56"/>
    <w:rsid w:val="00220D76"/>
    <w:rsid w:val="00220D84"/>
    <w:rsid w:val="00220DB9"/>
    <w:rsid w:val="00220DBE"/>
    <w:rsid w:val="00220DCD"/>
    <w:rsid w:val="00220E9B"/>
    <w:rsid w:val="00220ED5"/>
    <w:rsid w:val="00220F35"/>
    <w:rsid w:val="00220F44"/>
    <w:rsid w:val="00220FDE"/>
    <w:rsid w:val="00220FE4"/>
    <w:rsid w:val="00221029"/>
    <w:rsid w:val="00221045"/>
    <w:rsid w:val="00221082"/>
    <w:rsid w:val="002210E4"/>
    <w:rsid w:val="00221140"/>
    <w:rsid w:val="002211E9"/>
    <w:rsid w:val="0022127E"/>
    <w:rsid w:val="0022129F"/>
    <w:rsid w:val="002212E3"/>
    <w:rsid w:val="002212EE"/>
    <w:rsid w:val="0022139A"/>
    <w:rsid w:val="002213D4"/>
    <w:rsid w:val="00221418"/>
    <w:rsid w:val="002214FE"/>
    <w:rsid w:val="0022159C"/>
    <w:rsid w:val="0022163B"/>
    <w:rsid w:val="002217C8"/>
    <w:rsid w:val="002217CA"/>
    <w:rsid w:val="002217DB"/>
    <w:rsid w:val="00221800"/>
    <w:rsid w:val="00221823"/>
    <w:rsid w:val="00221896"/>
    <w:rsid w:val="0022189A"/>
    <w:rsid w:val="00221AB7"/>
    <w:rsid w:val="00221B3B"/>
    <w:rsid w:val="00221BE8"/>
    <w:rsid w:val="00221D2F"/>
    <w:rsid w:val="00221D88"/>
    <w:rsid w:val="00221DE9"/>
    <w:rsid w:val="00221E1C"/>
    <w:rsid w:val="00221E96"/>
    <w:rsid w:val="00221EDD"/>
    <w:rsid w:val="00221F9C"/>
    <w:rsid w:val="00221FC9"/>
    <w:rsid w:val="00221FE6"/>
    <w:rsid w:val="00221FF2"/>
    <w:rsid w:val="002221AD"/>
    <w:rsid w:val="00222239"/>
    <w:rsid w:val="00222347"/>
    <w:rsid w:val="002223F2"/>
    <w:rsid w:val="0022248A"/>
    <w:rsid w:val="002224A5"/>
    <w:rsid w:val="002224CC"/>
    <w:rsid w:val="00222573"/>
    <w:rsid w:val="0022259F"/>
    <w:rsid w:val="0022261E"/>
    <w:rsid w:val="00222629"/>
    <w:rsid w:val="0022266B"/>
    <w:rsid w:val="00222683"/>
    <w:rsid w:val="002226A0"/>
    <w:rsid w:val="002226B3"/>
    <w:rsid w:val="002226BD"/>
    <w:rsid w:val="002226C1"/>
    <w:rsid w:val="00222738"/>
    <w:rsid w:val="002227B9"/>
    <w:rsid w:val="002227D9"/>
    <w:rsid w:val="002227EE"/>
    <w:rsid w:val="00222832"/>
    <w:rsid w:val="0022287E"/>
    <w:rsid w:val="00222928"/>
    <w:rsid w:val="00222955"/>
    <w:rsid w:val="002229A3"/>
    <w:rsid w:val="002229A7"/>
    <w:rsid w:val="002229B7"/>
    <w:rsid w:val="002229B8"/>
    <w:rsid w:val="002229F1"/>
    <w:rsid w:val="00222A2E"/>
    <w:rsid w:val="00222A69"/>
    <w:rsid w:val="00222B65"/>
    <w:rsid w:val="00222B8A"/>
    <w:rsid w:val="00222BB2"/>
    <w:rsid w:val="00222C21"/>
    <w:rsid w:val="00222C8E"/>
    <w:rsid w:val="00222CC1"/>
    <w:rsid w:val="00222D30"/>
    <w:rsid w:val="00222D3E"/>
    <w:rsid w:val="00222D7A"/>
    <w:rsid w:val="00222DB3"/>
    <w:rsid w:val="00222E56"/>
    <w:rsid w:val="00222EFF"/>
    <w:rsid w:val="0022300E"/>
    <w:rsid w:val="002230B1"/>
    <w:rsid w:val="002230D1"/>
    <w:rsid w:val="002230E0"/>
    <w:rsid w:val="0022314F"/>
    <w:rsid w:val="00223176"/>
    <w:rsid w:val="00223184"/>
    <w:rsid w:val="00223186"/>
    <w:rsid w:val="00223194"/>
    <w:rsid w:val="002231E8"/>
    <w:rsid w:val="002231F8"/>
    <w:rsid w:val="00223201"/>
    <w:rsid w:val="0022325F"/>
    <w:rsid w:val="00223288"/>
    <w:rsid w:val="00223306"/>
    <w:rsid w:val="0022331C"/>
    <w:rsid w:val="00223338"/>
    <w:rsid w:val="00223422"/>
    <w:rsid w:val="0022349D"/>
    <w:rsid w:val="00223577"/>
    <w:rsid w:val="00223659"/>
    <w:rsid w:val="0022381B"/>
    <w:rsid w:val="00223854"/>
    <w:rsid w:val="00223871"/>
    <w:rsid w:val="002238C5"/>
    <w:rsid w:val="00223903"/>
    <w:rsid w:val="00223961"/>
    <w:rsid w:val="002239DD"/>
    <w:rsid w:val="00223B50"/>
    <w:rsid w:val="00223BE9"/>
    <w:rsid w:val="00223C65"/>
    <w:rsid w:val="00223C6C"/>
    <w:rsid w:val="00223C6E"/>
    <w:rsid w:val="00223C7C"/>
    <w:rsid w:val="00223C7F"/>
    <w:rsid w:val="00223C82"/>
    <w:rsid w:val="00223CD6"/>
    <w:rsid w:val="00223D22"/>
    <w:rsid w:val="00223D8A"/>
    <w:rsid w:val="00223DBA"/>
    <w:rsid w:val="00223F1E"/>
    <w:rsid w:val="00223F37"/>
    <w:rsid w:val="00223F5A"/>
    <w:rsid w:val="00223F60"/>
    <w:rsid w:val="00223FBE"/>
    <w:rsid w:val="00224087"/>
    <w:rsid w:val="00224147"/>
    <w:rsid w:val="002241BD"/>
    <w:rsid w:val="002241DE"/>
    <w:rsid w:val="002241EB"/>
    <w:rsid w:val="00224200"/>
    <w:rsid w:val="0022420E"/>
    <w:rsid w:val="00224279"/>
    <w:rsid w:val="0022427C"/>
    <w:rsid w:val="00224343"/>
    <w:rsid w:val="0022438E"/>
    <w:rsid w:val="002243C8"/>
    <w:rsid w:val="002243C9"/>
    <w:rsid w:val="002243FE"/>
    <w:rsid w:val="00224483"/>
    <w:rsid w:val="0022448B"/>
    <w:rsid w:val="002244DC"/>
    <w:rsid w:val="00224519"/>
    <w:rsid w:val="00224549"/>
    <w:rsid w:val="002245F5"/>
    <w:rsid w:val="00224640"/>
    <w:rsid w:val="0022465B"/>
    <w:rsid w:val="0022468B"/>
    <w:rsid w:val="0022468D"/>
    <w:rsid w:val="00224703"/>
    <w:rsid w:val="00224776"/>
    <w:rsid w:val="002247A9"/>
    <w:rsid w:val="002247BB"/>
    <w:rsid w:val="00224851"/>
    <w:rsid w:val="00224874"/>
    <w:rsid w:val="0022495C"/>
    <w:rsid w:val="00224A66"/>
    <w:rsid w:val="00224A96"/>
    <w:rsid w:val="00224AD4"/>
    <w:rsid w:val="00224AF0"/>
    <w:rsid w:val="00224B27"/>
    <w:rsid w:val="00224C0C"/>
    <w:rsid w:val="00224C8A"/>
    <w:rsid w:val="00224CAD"/>
    <w:rsid w:val="00224CB1"/>
    <w:rsid w:val="00224CFA"/>
    <w:rsid w:val="00224D53"/>
    <w:rsid w:val="00224DC8"/>
    <w:rsid w:val="00224DEF"/>
    <w:rsid w:val="00224E0A"/>
    <w:rsid w:val="00224E80"/>
    <w:rsid w:val="00224E98"/>
    <w:rsid w:val="00224EA8"/>
    <w:rsid w:val="00224EB5"/>
    <w:rsid w:val="00224EDC"/>
    <w:rsid w:val="00224EEE"/>
    <w:rsid w:val="00224F46"/>
    <w:rsid w:val="00224F5D"/>
    <w:rsid w:val="0022501B"/>
    <w:rsid w:val="00225045"/>
    <w:rsid w:val="0022507E"/>
    <w:rsid w:val="002250B3"/>
    <w:rsid w:val="002251CC"/>
    <w:rsid w:val="002251D9"/>
    <w:rsid w:val="0022520B"/>
    <w:rsid w:val="00225217"/>
    <w:rsid w:val="00225371"/>
    <w:rsid w:val="002253B4"/>
    <w:rsid w:val="0022548F"/>
    <w:rsid w:val="00225552"/>
    <w:rsid w:val="00225560"/>
    <w:rsid w:val="002255AD"/>
    <w:rsid w:val="002255D9"/>
    <w:rsid w:val="0022563D"/>
    <w:rsid w:val="002256DF"/>
    <w:rsid w:val="0022571B"/>
    <w:rsid w:val="0022572F"/>
    <w:rsid w:val="0022588B"/>
    <w:rsid w:val="00225945"/>
    <w:rsid w:val="0022599D"/>
    <w:rsid w:val="002259AA"/>
    <w:rsid w:val="00225A54"/>
    <w:rsid w:val="00225B4D"/>
    <w:rsid w:val="00225B6B"/>
    <w:rsid w:val="00225C2E"/>
    <w:rsid w:val="00225C5A"/>
    <w:rsid w:val="00225C8E"/>
    <w:rsid w:val="00225D89"/>
    <w:rsid w:val="00225DA4"/>
    <w:rsid w:val="00225DE6"/>
    <w:rsid w:val="00225DFC"/>
    <w:rsid w:val="00225DFD"/>
    <w:rsid w:val="00225E87"/>
    <w:rsid w:val="00225EF0"/>
    <w:rsid w:val="00225F6F"/>
    <w:rsid w:val="00226004"/>
    <w:rsid w:val="00226014"/>
    <w:rsid w:val="00226088"/>
    <w:rsid w:val="002260FB"/>
    <w:rsid w:val="0022613F"/>
    <w:rsid w:val="0022614E"/>
    <w:rsid w:val="002261A7"/>
    <w:rsid w:val="00226209"/>
    <w:rsid w:val="00226212"/>
    <w:rsid w:val="0022622B"/>
    <w:rsid w:val="0022623E"/>
    <w:rsid w:val="002262D9"/>
    <w:rsid w:val="002262FE"/>
    <w:rsid w:val="00226302"/>
    <w:rsid w:val="002263B8"/>
    <w:rsid w:val="002263D8"/>
    <w:rsid w:val="0022640A"/>
    <w:rsid w:val="00226436"/>
    <w:rsid w:val="002264B3"/>
    <w:rsid w:val="002264B6"/>
    <w:rsid w:val="002265BA"/>
    <w:rsid w:val="002265DA"/>
    <w:rsid w:val="0022660A"/>
    <w:rsid w:val="00226612"/>
    <w:rsid w:val="0022661D"/>
    <w:rsid w:val="00226673"/>
    <w:rsid w:val="00226691"/>
    <w:rsid w:val="002266AE"/>
    <w:rsid w:val="002266D0"/>
    <w:rsid w:val="0022674B"/>
    <w:rsid w:val="002267FD"/>
    <w:rsid w:val="002268C0"/>
    <w:rsid w:val="002268E0"/>
    <w:rsid w:val="002268F9"/>
    <w:rsid w:val="00226B22"/>
    <w:rsid w:val="00226BC3"/>
    <w:rsid w:val="00226C26"/>
    <w:rsid w:val="00226C31"/>
    <w:rsid w:val="00226C90"/>
    <w:rsid w:val="00226D69"/>
    <w:rsid w:val="00226E22"/>
    <w:rsid w:val="00226EA3"/>
    <w:rsid w:val="00226EFD"/>
    <w:rsid w:val="00226FD3"/>
    <w:rsid w:val="00226FD5"/>
    <w:rsid w:val="00227034"/>
    <w:rsid w:val="002270DE"/>
    <w:rsid w:val="002270DF"/>
    <w:rsid w:val="0022717B"/>
    <w:rsid w:val="002271A7"/>
    <w:rsid w:val="002271B8"/>
    <w:rsid w:val="002271EA"/>
    <w:rsid w:val="002272C3"/>
    <w:rsid w:val="00227370"/>
    <w:rsid w:val="002273BB"/>
    <w:rsid w:val="0022752A"/>
    <w:rsid w:val="00227712"/>
    <w:rsid w:val="00227724"/>
    <w:rsid w:val="002277B0"/>
    <w:rsid w:val="002277C6"/>
    <w:rsid w:val="00227859"/>
    <w:rsid w:val="00227945"/>
    <w:rsid w:val="0022796D"/>
    <w:rsid w:val="0022799F"/>
    <w:rsid w:val="002279B6"/>
    <w:rsid w:val="002279FD"/>
    <w:rsid w:val="00227B4E"/>
    <w:rsid w:val="00227C1F"/>
    <w:rsid w:val="00227C2E"/>
    <w:rsid w:val="00227C50"/>
    <w:rsid w:val="00227C8C"/>
    <w:rsid w:val="00227D65"/>
    <w:rsid w:val="00227DDF"/>
    <w:rsid w:val="00227E14"/>
    <w:rsid w:val="00227E3C"/>
    <w:rsid w:val="00227E5D"/>
    <w:rsid w:val="00227EDE"/>
    <w:rsid w:val="00227F4C"/>
    <w:rsid w:val="00227FC8"/>
    <w:rsid w:val="0023002C"/>
    <w:rsid w:val="00230065"/>
    <w:rsid w:val="002300BF"/>
    <w:rsid w:val="002300C1"/>
    <w:rsid w:val="002301BB"/>
    <w:rsid w:val="00230257"/>
    <w:rsid w:val="002302E4"/>
    <w:rsid w:val="00230397"/>
    <w:rsid w:val="002303EE"/>
    <w:rsid w:val="0023042E"/>
    <w:rsid w:val="0023046F"/>
    <w:rsid w:val="002304C6"/>
    <w:rsid w:val="00230533"/>
    <w:rsid w:val="00230586"/>
    <w:rsid w:val="002305A2"/>
    <w:rsid w:val="002305AB"/>
    <w:rsid w:val="002305BF"/>
    <w:rsid w:val="002305C5"/>
    <w:rsid w:val="00230620"/>
    <w:rsid w:val="0023068B"/>
    <w:rsid w:val="0023068C"/>
    <w:rsid w:val="00230694"/>
    <w:rsid w:val="0023077E"/>
    <w:rsid w:val="0023087E"/>
    <w:rsid w:val="0023088D"/>
    <w:rsid w:val="002308A0"/>
    <w:rsid w:val="002308A9"/>
    <w:rsid w:val="002308D1"/>
    <w:rsid w:val="00230A4F"/>
    <w:rsid w:val="00230AFD"/>
    <w:rsid w:val="00230B20"/>
    <w:rsid w:val="00230B6C"/>
    <w:rsid w:val="00230B77"/>
    <w:rsid w:val="00230C14"/>
    <w:rsid w:val="00230C19"/>
    <w:rsid w:val="00230C1E"/>
    <w:rsid w:val="00230C35"/>
    <w:rsid w:val="00230C72"/>
    <w:rsid w:val="00230C7A"/>
    <w:rsid w:val="00230CB0"/>
    <w:rsid w:val="00230CD9"/>
    <w:rsid w:val="00230DBF"/>
    <w:rsid w:val="00230DDD"/>
    <w:rsid w:val="00230E31"/>
    <w:rsid w:val="00230E73"/>
    <w:rsid w:val="00230ECE"/>
    <w:rsid w:val="00230ED0"/>
    <w:rsid w:val="00230F2A"/>
    <w:rsid w:val="00231246"/>
    <w:rsid w:val="0023126B"/>
    <w:rsid w:val="00231293"/>
    <w:rsid w:val="00231309"/>
    <w:rsid w:val="0023139C"/>
    <w:rsid w:val="00231415"/>
    <w:rsid w:val="00231417"/>
    <w:rsid w:val="00231431"/>
    <w:rsid w:val="00231447"/>
    <w:rsid w:val="0023147B"/>
    <w:rsid w:val="0023148A"/>
    <w:rsid w:val="0023154F"/>
    <w:rsid w:val="0023176A"/>
    <w:rsid w:val="00231845"/>
    <w:rsid w:val="002318D8"/>
    <w:rsid w:val="00231A1D"/>
    <w:rsid w:val="00231A50"/>
    <w:rsid w:val="00231B38"/>
    <w:rsid w:val="00231B4C"/>
    <w:rsid w:val="00231B5A"/>
    <w:rsid w:val="00231B69"/>
    <w:rsid w:val="00231C0B"/>
    <w:rsid w:val="00231D26"/>
    <w:rsid w:val="00231D6A"/>
    <w:rsid w:val="00231D76"/>
    <w:rsid w:val="00231D98"/>
    <w:rsid w:val="00231E40"/>
    <w:rsid w:val="00231F7B"/>
    <w:rsid w:val="00231F7C"/>
    <w:rsid w:val="00232007"/>
    <w:rsid w:val="00232018"/>
    <w:rsid w:val="00232065"/>
    <w:rsid w:val="00232125"/>
    <w:rsid w:val="00232282"/>
    <w:rsid w:val="0023229D"/>
    <w:rsid w:val="002322C3"/>
    <w:rsid w:val="0023232D"/>
    <w:rsid w:val="00232335"/>
    <w:rsid w:val="002323BF"/>
    <w:rsid w:val="00232403"/>
    <w:rsid w:val="00232473"/>
    <w:rsid w:val="00232505"/>
    <w:rsid w:val="0023252A"/>
    <w:rsid w:val="00232558"/>
    <w:rsid w:val="00232571"/>
    <w:rsid w:val="002325C0"/>
    <w:rsid w:val="00232624"/>
    <w:rsid w:val="00232667"/>
    <w:rsid w:val="00232668"/>
    <w:rsid w:val="002326C4"/>
    <w:rsid w:val="002326D2"/>
    <w:rsid w:val="00232736"/>
    <w:rsid w:val="002327C5"/>
    <w:rsid w:val="0023283D"/>
    <w:rsid w:val="002328EB"/>
    <w:rsid w:val="002328F2"/>
    <w:rsid w:val="00232921"/>
    <w:rsid w:val="00232934"/>
    <w:rsid w:val="0023293E"/>
    <w:rsid w:val="00232942"/>
    <w:rsid w:val="002329B0"/>
    <w:rsid w:val="00232A91"/>
    <w:rsid w:val="00232AB0"/>
    <w:rsid w:val="00232AB4"/>
    <w:rsid w:val="00232B0F"/>
    <w:rsid w:val="00232B42"/>
    <w:rsid w:val="00232B9A"/>
    <w:rsid w:val="00232BE4"/>
    <w:rsid w:val="00232BE9"/>
    <w:rsid w:val="00232C07"/>
    <w:rsid w:val="00232C0D"/>
    <w:rsid w:val="00232C18"/>
    <w:rsid w:val="00232C88"/>
    <w:rsid w:val="00232C94"/>
    <w:rsid w:val="00232D30"/>
    <w:rsid w:val="00232D61"/>
    <w:rsid w:val="00232D91"/>
    <w:rsid w:val="00232DDD"/>
    <w:rsid w:val="00232E47"/>
    <w:rsid w:val="00232E48"/>
    <w:rsid w:val="00232E7F"/>
    <w:rsid w:val="00232EEE"/>
    <w:rsid w:val="00232EFB"/>
    <w:rsid w:val="00232F7C"/>
    <w:rsid w:val="00232F83"/>
    <w:rsid w:val="00232FB2"/>
    <w:rsid w:val="00233028"/>
    <w:rsid w:val="0023302E"/>
    <w:rsid w:val="00233038"/>
    <w:rsid w:val="0023303A"/>
    <w:rsid w:val="0023314D"/>
    <w:rsid w:val="002332BD"/>
    <w:rsid w:val="0023332F"/>
    <w:rsid w:val="0023335A"/>
    <w:rsid w:val="00233390"/>
    <w:rsid w:val="0023343B"/>
    <w:rsid w:val="0023345E"/>
    <w:rsid w:val="002335B8"/>
    <w:rsid w:val="0023364C"/>
    <w:rsid w:val="002336CD"/>
    <w:rsid w:val="002337A6"/>
    <w:rsid w:val="00233830"/>
    <w:rsid w:val="00233984"/>
    <w:rsid w:val="002339AD"/>
    <w:rsid w:val="002339CA"/>
    <w:rsid w:val="002339E9"/>
    <w:rsid w:val="00233A2E"/>
    <w:rsid w:val="00233A2F"/>
    <w:rsid w:val="00233A56"/>
    <w:rsid w:val="00233A8E"/>
    <w:rsid w:val="00233AA4"/>
    <w:rsid w:val="00233AAE"/>
    <w:rsid w:val="00233AFF"/>
    <w:rsid w:val="00233B02"/>
    <w:rsid w:val="00233B43"/>
    <w:rsid w:val="00233B48"/>
    <w:rsid w:val="00233B71"/>
    <w:rsid w:val="00233BA1"/>
    <w:rsid w:val="00233BB2"/>
    <w:rsid w:val="00233BB6"/>
    <w:rsid w:val="00233BCD"/>
    <w:rsid w:val="00233C3B"/>
    <w:rsid w:val="00233C46"/>
    <w:rsid w:val="00233DF3"/>
    <w:rsid w:val="00233E22"/>
    <w:rsid w:val="00233E73"/>
    <w:rsid w:val="00233F0C"/>
    <w:rsid w:val="00233F3F"/>
    <w:rsid w:val="00233F86"/>
    <w:rsid w:val="00233FC8"/>
    <w:rsid w:val="00234041"/>
    <w:rsid w:val="00234083"/>
    <w:rsid w:val="002340CC"/>
    <w:rsid w:val="00234153"/>
    <w:rsid w:val="002341B7"/>
    <w:rsid w:val="002341F7"/>
    <w:rsid w:val="00234234"/>
    <w:rsid w:val="002342BF"/>
    <w:rsid w:val="002342E3"/>
    <w:rsid w:val="002342E7"/>
    <w:rsid w:val="00234422"/>
    <w:rsid w:val="0023448F"/>
    <w:rsid w:val="0023455C"/>
    <w:rsid w:val="002345D7"/>
    <w:rsid w:val="002345DB"/>
    <w:rsid w:val="00234603"/>
    <w:rsid w:val="00234653"/>
    <w:rsid w:val="00234671"/>
    <w:rsid w:val="0023472F"/>
    <w:rsid w:val="002347A7"/>
    <w:rsid w:val="002347AA"/>
    <w:rsid w:val="002347D8"/>
    <w:rsid w:val="00234839"/>
    <w:rsid w:val="00234936"/>
    <w:rsid w:val="002349D1"/>
    <w:rsid w:val="002349F6"/>
    <w:rsid w:val="00234A6A"/>
    <w:rsid w:val="00234A75"/>
    <w:rsid w:val="00234B0E"/>
    <w:rsid w:val="00234B49"/>
    <w:rsid w:val="00234B4A"/>
    <w:rsid w:val="00234B5B"/>
    <w:rsid w:val="00234C37"/>
    <w:rsid w:val="00234CB4"/>
    <w:rsid w:val="00234CCB"/>
    <w:rsid w:val="00234D01"/>
    <w:rsid w:val="00234D49"/>
    <w:rsid w:val="00234ED5"/>
    <w:rsid w:val="00234F14"/>
    <w:rsid w:val="00234FD7"/>
    <w:rsid w:val="00235015"/>
    <w:rsid w:val="00235018"/>
    <w:rsid w:val="00235134"/>
    <w:rsid w:val="002351A0"/>
    <w:rsid w:val="00235213"/>
    <w:rsid w:val="00235272"/>
    <w:rsid w:val="002352CF"/>
    <w:rsid w:val="00235307"/>
    <w:rsid w:val="0023530E"/>
    <w:rsid w:val="00235317"/>
    <w:rsid w:val="0023532A"/>
    <w:rsid w:val="002353B3"/>
    <w:rsid w:val="002353F9"/>
    <w:rsid w:val="0023544D"/>
    <w:rsid w:val="00235547"/>
    <w:rsid w:val="002355F6"/>
    <w:rsid w:val="0023560E"/>
    <w:rsid w:val="00235615"/>
    <w:rsid w:val="002356C5"/>
    <w:rsid w:val="00235780"/>
    <w:rsid w:val="0023582E"/>
    <w:rsid w:val="0023588F"/>
    <w:rsid w:val="00235899"/>
    <w:rsid w:val="00235955"/>
    <w:rsid w:val="00235968"/>
    <w:rsid w:val="002359B2"/>
    <w:rsid w:val="002359F3"/>
    <w:rsid w:val="00235A09"/>
    <w:rsid w:val="00235A85"/>
    <w:rsid w:val="00235A95"/>
    <w:rsid w:val="00235AD4"/>
    <w:rsid w:val="00235B1A"/>
    <w:rsid w:val="00235B25"/>
    <w:rsid w:val="00235B8C"/>
    <w:rsid w:val="00235C12"/>
    <w:rsid w:val="00235C2E"/>
    <w:rsid w:val="00235C76"/>
    <w:rsid w:val="00235C78"/>
    <w:rsid w:val="00235C9F"/>
    <w:rsid w:val="00235CC9"/>
    <w:rsid w:val="00235CED"/>
    <w:rsid w:val="00235EE4"/>
    <w:rsid w:val="00235F0C"/>
    <w:rsid w:val="00235F0F"/>
    <w:rsid w:val="00235F26"/>
    <w:rsid w:val="00235F56"/>
    <w:rsid w:val="00235FEE"/>
    <w:rsid w:val="00235FF6"/>
    <w:rsid w:val="0023608A"/>
    <w:rsid w:val="002361F9"/>
    <w:rsid w:val="00236260"/>
    <w:rsid w:val="00236298"/>
    <w:rsid w:val="002362A2"/>
    <w:rsid w:val="00236377"/>
    <w:rsid w:val="0023639E"/>
    <w:rsid w:val="002363C3"/>
    <w:rsid w:val="00236432"/>
    <w:rsid w:val="002364B3"/>
    <w:rsid w:val="002364F9"/>
    <w:rsid w:val="002366D7"/>
    <w:rsid w:val="00236766"/>
    <w:rsid w:val="002367E2"/>
    <w:rsid w:val="0023684A"/>
    <w:rsid w:val="002368A7"/>
    <w:rsid w:val="002368D5"/>
    <w:rsid w:val="00236A27"/>
    <w:rsid w:val="00236A42"/>
    <w:rsid w:val="00236AF5"/>
    <w:rsid w:val="00236B0A"/>
    <w:rsid w:val="00236B29"/>
    <w:rsid w:val="00236B2E"/>
    <w:rsid w:val="00236B3D"/>
    <w:rsid w:val="00236B68"/>
    <w:rsid w:val="00236B9B"/>
    <w:rsid w:val="00236BE8"/>
    <w:rsid w:val="00236C62"/>
    <w:rsid w:val="00236C82"/>
    <w:rsid w:val="00236D9E"/>
    <w:rsid w:val="00236E51"/>
    <w:rsid w:val="00236E70"/>
    <w:rsid w:val="00236EE2"/>
    <w:rsid w:val="00236FB2"/>
    <w:rsid w:val="00236FE8"/>
    <w:rsid w:val="0023719C"/>
    <w:rsid w:val="002372A4"/>
    <w:rsid w:val="002372C8"/>
    <w:rsid w:val="0023735E"/>
    <w:rsid w:val="002373E1"/>
    <w:rsid w:val="00237447"/>
    <w:rsid w:val="0023744B"/>
    <w:rsid w:val="0023749A"/>
    <w:rsid w:val="0023758C"/>
    <w:rsid w:val="0023762C"/>
    <w:rsid w:val="0023763D"/>
    <w:rsid w:val="00237719"/>
    <w:rsid w:val="0023773E"/>
    <w:rsid w:val="0023774E"/>
    <w:rsid w:val="0023775E"/>
    <w:rsid w:val="002377DA"/>
    <w:rsid w:val="0023786E"/>
    <w:rsid w:val="00237897"/>
    <w:rsid w:val="002378A7"/>
    <w:rsid w:val="00237A2D"/>
    <w:rsid w:val="00237A63"/>
    <w:rsid w:val="00237A72"/>
    <w:rsid w:val="00237AD3"/>
    <w:rsid w:val="00237B28"/>
    <w:rsid w:val="00237B7A"/>
    <w:rsid w:val="00237B96"/>
    <w:rsid w:val="00237C6E"/>
    <w:rsid w:val="00237C9E"/>
    <w:rsid w:val="00237D50"/>
    <w:rsid w:val="00237D53"/>
    <w:rsid w:val="00237D58"/>
    <w:rsid w:val="00237D94"/>
    <w:rsid w:val="00237DA4"/>
    <w:rsid w:val="00237DCE"/>
    <w:rsid w:val="00237DF1"/>
    <w:rsid w:val="00237F36"/>
    <w:rsid w:val="00237F79"/>
    <w:rsid w:val="00237F7A"/>
    <w:rsid w:val="00240006"/>
    <w:rsid w:val="00240022"/>
    <w:rsid w:val="0024006A"/>
    <w:rsid w:val="0024009A"/>
    <w:rsid w:val="002400F9"/>
    <w:rsid w:val="0024011E"/>
    <w:rsid w:val="002401A4"/>
    <w:rsid w:val="00240244"/>
    <w:rsid w:val="00240284"/>
    <w:rsid w:val="0024029B"/>
    <w:rsid w:val="002402D9"/>
    <w:rsid w:val="00240357"/>
    <w:rsid w:val="00240379"/>
    <w:rsid w:val="00240384"/>
    <w:rsid w:val="00240387"/>
    <w:rsid w:val="0024039C"/>
    <w:rsid w:val="002403A0"/>
    <w:rsid w:val="002403BE"/>
    <w:rsid w:val="002403C7"/>
    <w:rsid w:val="00240431"/>
    <w:rsid w:val="002404A6"/>
    <w:rsid w:val="002404C5"/>
    <w:rsid w:val="002404EF"/>
    <w:rsid w:val="00240503"/>
    <w:rsid w:val="00240540"/>
    <w:rsid w:val="0024058B"/>
    <w:rsid w:val="00240744"/>
    <w:rsid w:val="0024077F"/>
    <w:rsid w:val="00240797"/>
    <w:rsid w:val="002407CB"/>
    <w:rsid w:val="0024081B"/>
    <w:rsid w:val="0024083A"/>
    <w:rsid w:val="00240919"/>
    <w:rsid w:val="00240951"/>
    <w:rsid w:val="002409BB"/>
    <w:rsid w:val="00240A99"/>
    <w:rsid w:val="00240B0B"/>
    <w:rsid w:val="00240B52"/>
    <w:rsid w:val="00240BAF"/>
    <w:rsid w:val="00240BEE"/>
    <w:rsid w:val="00240C04"/>
    <w:rsid w:val="00240C58"/>
    <w:rsid w:val="00240D01"/>
    <w:rsid w:val="00240D42"/>
    <w:rsid w:val="00240D4B"/>
    <w:rsid w:val="00240DC5"/>
    <w:rsid w:val="00240DEF"/>
    <w:rsid w:val="00240E71"/>
    <w:rsid w:val="00240EB0"/>
    <w:rsid w:val="00240F44"/>
    <w:rsid w:val="00240FED"/>
    <w:rsid w:val="00241020"/>
    <w:rsid w:val="00241022"/>
    <w:rsid w:val="00241182"/>
    <w:rsid w:val="002411A4"/>
    <w:rsid w:val="002411B2"/>
    <w:rsid w:val="00241223"/>
    <w:rsid w:val="00241236"/>
    <w:rsid w:val="0024127F"/>
    <w:rsid w:val="00241402"/>
    <w:rsid w:val="002414EE"/>
    <w:rsid w:val="00241504"/>
    <w:rsid w:val="00241514"/>
    <w:rsid w:val="0024152E"/>
    <w:rsid w:val="00241574"/>
    <w:rsid w:val="00241644"/>
    <w:rsid w:val="00241728"/>
    <w:rsid w:val="00241737"/>
    <w:rsid w:val="0024175E"/>
    <w:rsid w:val="0024176A"/>
    <w:rsid w:val="002417AF"/>
    <w:rsid w:val="002417CD"/>
    <w:rsid w:val="002417FE"/>
    <w:rsid w:val="0024183D"/>
    <w:rsid w:val="0024184D"/>
    <w:rsid w:val="00241863"/>
    <w:rsid w:val="00241879"/>
    <w:rsid w:val="002418F3"/>
    <w:rsid w:val="00241932"/>
    <w:rsid w:val="0024196B"/>
    <w:rsid w:val="00241977"/>
    <w:rsid w:val="002419F0"/>
    <w:rsid w:val="002419FE"/>
    <w:rsid w:val="00241B38"/>
    <w:rsid w:val="00241B53"/>
    <w:rsid w:val="00241BD6"/>
    <w:rsid w:val="00241BE3"/>
    <w:rsid w:val="00241C1A"/>
    <w:rsid w:val="00241C86"/>
    <w:rsid w:val="00241CA3"/>
    <w:rsid w:val="00241CF0"/>
    <w:rsid w:val="00241DAD"/>
    <w:rsid w:val="00241E92"/>
    <w:rsid w:val="00241F05"/>
    <w:rsid w:val="00241F4B"/>
    <w:rsid w:val="00241F4D"/>
    <w:rsid w:val="00241F54"/>
    <w:rsid w:val="00241FB4"/>
    <w:rsid w:val="00241FDE"/>
    <w:rsid w:val="00242001"/>
    <w:rsid w:val="00242027"/>
    <w:rsid w:val="00242126"/>
    <w:rsid w:val="00242147"/>
    <w:rsid w:val="002421D8"/>
    <w:rsid w:val="0024229B"/>
    <w:rsid w:val="0024229D"/>
    <w:rsid w:val="00242363"/>
    <w:rsid w:val="0024240E"/>
    <w:rsid w:val="0024244D"/>
    <w:rsid w:val="0024250E"/>
    <w:rsid w:val="0024254C"/>
    <w:rsid w:val="0024255F"/>
    <w:rsid w:val="00242563"/>
    <w:rsid w:val="002425FB"/>
    <w:rsid w:val="00242613"/>
    <w:rsid w:val="00242627"/>
    <w:rsid w:val="002426AE"/>
    <w:rsid w:val="002426F0"/>
    <w:rsid w:val="00242713"/>
    <w:rsid w:val="002427B9"/>
    <w:rsid w:val="00242809"/>
    <w:rsid w:val="0024282D"/>
    <w:rsid w:val="00242874"/>
    <w:rsid w:val="002428B9"/>
    <w:rsid w:val="002428D4"/>
    <w:rsid w:val="00242925"/>
    <w:rsid w:val="00242965"/>
    <w:rsid w:val="00242982"/>
    <w:rsid w:val="00242A4B"/>
    <w:rsid w:val="00242AA6"/>
    <w:rsid w:val="00242AE2"/>
    <w:rsid w:val="00242B83"/>
    <w:rsid w:val="00242B95"/>
    <w:rsid w:val="00242BB9"/>
    <w:rsid w:val="00242BFA"/>
    <w:rsid w:val="00242C02"/>
    <w:rsid w:val="00242CAF"/>
    <w:rsid w:val="00242CE8"/>
    <w:rsid w:val="00242D59"/>
    <w:rsid w:val="00242D8E"/>
    <w:rsid w:val="00242D93"/>
    <w:rsid w:val="00242D9D"/>
    <w:rsid w:val="00242DE8"/>
    <w:rsid w:val="00242E51"/>
    <w:rsid w:val="00242E68"/>
    <w:rsid w:val="00242E8E"/>
    <w:rsid w:val="00242E9C"/>
    <w:rsid w:val="00242EA8"/>
    <w:rsid w:val="00242EBE"/>
    <w:rsid w:val="00242EDC"/>
    <w:rsid w:val="00242EF9"/>
    <w:rsid w:val="00242F1E"/>
    <w:rsid w:val="00242F4A"/>
    <w:rsid w:val="00242F9E"/>
    <w:rsid w:val="00242FF3"/>
    <w:rsid w:val="00242FFB"/>
    <w:rsid w:val="0024300A"/>
    <w:rsid w:val="00243134"/>
    <w:rsid w:val="0024316D"/>
    <w:rsid w:val="00243180"/>
    <w:rsid w:val="00243270"/>
    <w:rsid w:val="0024336B"/>
    <w:rsid w:val="002433D6"/>
    <w:rsid w:val="002433EC"/>
    <w:rsid w:val="00243470"/>
    <w:rsid w:val="002434A5"/>
    <w:rsid w:val="002434F2"/>
    <w:rsid w:val="00243513"/>
    <w:rsid w:val="002435C4"/>
    <w:rsid w:val="002435DF"/>
    <w:rsid w:val="002435EE"/>
    <w:rsid w:val="002435F2"/>
    <w:rsid w:val="00243601"/>
    <w:rsid w:val="00243638"/>
    <w:rsid w:val="0024387B"/>
    <w:rsid w:val="00243886"/>
    <w:rsid w:val="002439C7"/>
    <w:rsid w:val="00243AB5"/>
    <w:rsid w:val="00243B06"/>
    <w:rsid w:val="00243BCE"/>
    <w:rsid w:val="00243C0E"/>
    <w:rsid w:val="00243C0F"/>
    <w:rsid w:val="00243C3F"/>
    <w:rsid w:val="00243CD3"/>
    <w:rsid w:val="00243CDF"/>
    <w:rsid w:val="00243D74"/>
    <w:rsid w:val="00243E66"/>
    <w:rsid w:val="00243EDE"/>
    <w:rsid w:val="00243F58"/>
    <w:rsid w:val="00244000"/>
    <w:rsid w:val="00244074"/>
    <w:rsid w:val="0024410A"/>
    <w:rsid w:val="00244138"/>
    <w:rsid w:val="0024416C"/>
    <w:rsid w:val="00244208"/>
    <w:rsid w:val="00244224"/>
    <w:rsid w:val="00244260"/>
    <w:rsid w:val="00244303"/>
    <w:rsid w:val="0024430E"/>
    <w:rsid w:val="00244333"/>
    <w:rsid w:val="0024436D"/>
    <w:rsid w:val="00244387"/>
    <w:rsid w:val="00244405"/>
    <w:rsid w:val="00244563"/>
    <w:rsid w:val="00244588"/>
    <w:rsid w:val="002445B1"/>
    <w:rsid w:val="002445C8"/>
    <w:rsid w:val="002446BE"/>
    <w:rsid w:val="002446F9"/>
    <w:rsid w:val="0024474D"/>
    <w:rsid w:val="0024475A"/>
    <w:rsid w:val="0024475E"/>
    <w:rsid w:val="002447E0"/>
    <w:rsid w:val="0024487F"/>
    <w:rsid w:val="00244A5A"/>
    <w:rsid w:val="00244A5C"/>
    <w:rsid w:val="00244B12"/>
    <w:rsid w:val="00244B16"/>
    <w:rsid w:val="00244B33"/>
    <w:rsid w:val="00244BCB"/>
    <w:rsid w:val="00244C33"/>
    <w:rsid w:val="00244CF7"/>
    <w:rsid w:val="00244D80"/>
    <w:rsid w:val="00244F77"/>
    <w:rsid w:val="00244FE1"/>
    <w:rsid w:val="00245030"/>
    <w:rsid w:val="002450A2"/>
    <w:rsid w:val="002450A3"/>
    <w:rsid w:val="0024518A"/>
    <w:rsid w:val="002451CA"/>
    <w:rsid w:val="00245229"/>
    <w:rsid w:val="0024523A"/>
    <w:rsid w:val="0024529D"/>
    <w:rsid w:val="002452B4"/>
    <w:rsid w:val="002452BE"/>
    <w:rsid w:val="00245312"/>
    <w:rsid w:val="00245391"/>
    <w:rsid w:val="002453B5"/>
    <w:rsid w:val="00245423"/>
    <w:rsid w:val="0024550B"/>
    <w:rsid w:val="0024565C"/>
    <w:rsid w:val="00245798"/>
    <w:rsid w:val="002457DE"/>
    <w:rsid w:val="0024585B"/>
    <w:rsid w:val="00245911"/>
    <w:rsid w:val="00245931"/>
    <w:rsid w:val="002459D5"/>
    <w:rsid w:val="002459E8"/>
    <w:rsid w:val="00245A30"/>
    <w:rsid w:val="00245A61"/>
    <w:rsid w:val="00245A6A"/>
    <w:rsid w:val="00245A73"/>
    <w:rsid w:val="00245AD5"/>
    <w:rsid w:val="00245AF5"/>
    <w:rsid w:val="00245CAA"/>
    <w:rsid w:val="00245CF0"/>
    <w:rsid w:val="00245D4D"/>
    <w:rsid w:val="00245E11"/>
    <w:rsid w:val="00245E3C"/>
    <w:rsid w:val="00245E73"/>
    <w:rsid w:val="00245EFA"/>
    <w:rsid w:val="00245FA0"/>
    <w:rsid w:val="00245FD2"/>
    <w:rsid w:val="00246057"/>
    <w:rsid w:val="002460BD"/>
    <w:rsid w:val="00246109"/>
    <w:rsid w:val="002461CC"/>
    <w:rsid w:val="002461E7"/>
    <w:rsid w:val="0024624D"/>
    <w:rsid w:val="00246266"/>
    <w:rsid w:val="002462F6"/>
    <w:rsid w:val="0024637E"/>
    <w:rsid w:val="0024638B"/>
    <w:rsid w:val="0024641A"/>
    <w:rsid w:val="00246435"/>
    <w:rsid w:val="00246455"/>
    <w:rsid w:val="00246468"/>
    <w:rsid w:val="002464A7"/>
    <w:rsid w:val="002464CD"/>
    <w:rsid w:val="002464D6"/>
    <w:rsid w:val="00246508"/>
    <w:rsid w:val="0024657B"/>
    <w:rsid w:val="002465B5"/>
    <w:rsid w:val="002465C7"/>
    <w:rsid w:val="002465F2"/>
    <w:rsid w:val="00246601"/>
    <w:rsid w:val="0024665D"/>
    <w:rsid w:val="002466F9"/>
    <w:rsid w:val="002467A0"/>
    <w:rsid w:val="002467C5"/>
    <w:rsid w:val="00246849"/>
    <w:rsid w:val="00246979"/>
    <w:rsid w:val="002469A5"/>
    <w:rsid w:val="00246A6E"/>
    <w:rsid w:val="00246AAF"/>
    <w:rsid w:val="00246ACD"/>
    <w:rsid w:val="00246B60"/>
    <w:rsid w:val="00246BCF"/>
    <w:rsid w:val="00246BDE"/>
    <w:rsid w:val="00246BFC"/>
    <w:rsid w:val="00246C63"/>
    <w:rsid w:val="00246C66"/>
    <w:rsid w:val="00246C6A"/>
    <w:rsid w:val="00246CB0"/>
    <w:rsid w:val="00246CE4"/>
    <w:rsid w:val="00246CFF"/>
    <w:rsid w:val="00246D11"/>
    <w:rsid w:val="00246D3D"/>
    <w:rsid w:val="00246D7A"/>
    <w:rsid w:val="00246D89"/>
    <w:rsid w:val="00246DDE"/>
    <w:rsid w:val="00246DF3"/>
    <w:rsid w:val="00246E15"/>
    <w:rsid w:val="00246E61"/>
    <w:rsid w:val="00246EBC"/>
    <w:rsid w:val="00246ED0"/>
    <w:rsid w:val="00246F65"/>
    <w:rsid w:val="00247012"/>
    <w:rsid w:val="0024701A"/>
    <w:rsid w:val="00247079"/>
    <w:rsid w:val="002470C8"/>
    <w:rsid w:val="00247141"/>
    <w:rsid w:val="00247187"/>
    <w:rsid w:val="002472A9"/>
    <w:rsid w:val="002472F2"/>
    <w:rsid w:val="002473A5"/>
    <w:rsid w:val="002473C2"/>
    <w:rsid w:val="0024742E"/>
    <w:rsid w:val="00247442"/>
    <w:rsid w:val="00247458"/>
    <w:rsid w:val="002474C1"/>
    <w:rsid w:val="00247572"/>
    <w:rsid w:val="0024758F"/>
    <w:rsid w:val="0024759E"/>
    <w:rsid w:val="00247607"/>
    <w:rsid w:val="00247662"/>
    <w:rsid w:val="0024766F"/>
    <w:rsid w:val="00247671"/>
    <w:rsid w:val="002476AF"/>
    <w:rsid w:val="002476B9"/>
    <w:rsid w:val="0024770E"/>
    <w:rsid w:val="0024771F"/>
    <w:rsid w:val="00247764"/>
    <w:rsid w:val="002477A6"/>
    <w:rsid w:val="002477B2"/>
    <w:rsid w:val="00247802"/>
    <w:rsid w:val="00247821"/>
    <w:rsid w:val="00247823"/>
    <w:rsid w:val="00247837"/>
    <w:rsid w:val="002478F0"/>
    <w:rsid w:val="0024790B"/>
    <w:rsid w:val="0024792D"/>
    <w:rsid w:val="00247939"/>
    <w:rsid w:val="00247941"/>
    <w:rsid w:val="002479F3"/>
    <w:rsid w:val="00247A49"/>
    <w:rsid w:val="00247A4C"/>
    <w:rsid w:val="00247A7E"/>
    <w:rsid w:val="00247A85"/>
    <w:rsid w:val="00247AD1"/>
    <w:rsid w:val="00247AEC"/>
    <w:rsid w:val="00247B56"/>
    <w:rsid w:val="00247CE6"/>
    <w:rsid w:val="00247CEA"/>
    <w:rsid w:val="00247CF1"/>
    <w:rsid w:val="00247F8E"/>
    <w:rsid w:val="00250005"/>
    <w:rsid w:val="002500A8"/>
    <w:rsid w:val="002500C6"/>
    <w:rsid w:val="002500F9"/>
    <w:rsid w:val="00250103"/>
    <w:rsid w:val="00250104"/>
    <w:rsid w:val="0025012A"/>
    <w:rsid w:val="0025013E"/>
    <w:rsid w:val="00250157"/>
    <w:rsid w:val="002501D5"/>
    <w:rsid w:val="00250269"/>
    <w:rsid w:val="00250277"/>
    <w:rsid w:val="0025035A"/>
    <w:rsid w:val="002503E5"/>
    <w:rsid w:val="00250436"/>
    <w:rsid w:val="002504B3"/>
    <w:rsid w:val="002504D8"/>
    <w:rsid w:val="002505AB"/>
    <w:rsid w:val="002505CA"/>
    <w:rsid w:val="002505DE"/>
    <w:rsid w:val="00250679"/>
    <w:rsid w:val="002506FC"/>
    <w:rsid w:val="0025077C"/>
    <w:rsid w:val="002507B9"/>
    <w:rsid w:val="00250804"/>
    <w:rsid w:val="002508D0"/>
    <w:rsid w:val="0025095F"/>
    <w:rsid w:val="00250962"/>
    <w:rsid w:val="00250992"/>
    <w:rsid w:val="00250A7F"/>
    <w:rsid w:val="00250A9A"/>
    <w:rsid w:val="00250B39"/>
    <w:rsid w:val="00250B75"/>
    <w:rsid w:val="00250B7D"/>
    <w:rsid w:val="00250BF9"/>
    <w:rsid w:val="00250D35"/>
    <w:rsid w:val="00250D60"/>
    <w:rsid w:val="00250DF2"/>
    <w:rsid w:val="00250E07"/>
    <w:rsid w:val="00250F29"/>
    <w:rsid w:val="00250FEB"/>
    <w:rsid w:val="00250FEC"/>
    <w:rsid w:val="0025103A"/>
    <w:rsid w:val="002510C3"/>
    <w:rsid w:val="002510FF"/>
    <w:rsid w:val="00251121"/>
    <w:rsid w:val="002511B7"/>
    <w:rsid w:val="00251245"/>
    <w:rsid w:val="002512CF"/>
    <w:rsid w:val="002512D3"/>
    <w:rsid w:val="0025133F"/>
    <w:rsid w:val="0025149B"/>
    <w:rsid w:val="0025152A"/>
    <w:rsid w:val="0025153E"/>
    <w:rsid w:val="00251597"/>
    <w:rsid w:val="002515D4"/>
    <w:rsid w:val="00251731"/>
    <w:rsid w:val="0025173D"/>
    <w:rsid w:val="002517DE"/>
    <w:rsid w:val="0025189A"/>
    <w:rsid w:val="002518A4"/>
    <w:rsid w:val="002518CA"/>
    <w:rsid w:val="00251971"/>
    <w:rsid w:val="00251984"/>
    <w:rsid w:val="00251998"/>
    <w:rsid w:val="002519C4"/>
    <w:rsid w:val="002519E9"/>
    <w:rsid w:val="00251A15"/>
    <w:rsid w:val="00251A23"/>
    <w:rsid w:val="00251A7D"/>
    <w:rsid w:val="00251B44"/>
    <w:rsid w:val="00251C68"/>
    <w:rsid w:val="00251C77"/>
    <w:rsid w:val="00251CA2"/>
    <w:rsid w:val="00251D44"/>
    <w:rsid w:val="00251DCA"/>
    <w:rsid w:val="00251DEF"/>
    <w:rsid w:val="00251DF0"/>
    <w:rsid w:val="00251F10"/>
    <w:rsid w:val="00251F68"/>
    <w:rsid w:val="00252025"/>
    <w:rsid w:val="0025209A"/>
    <w:rsid w:val="002520B1"/>
    <w:rsid w:val="002520B7"/>
    <w:rsid w:val="002520F3"/>
    <w:rsid w:val="00252101"/>
    <w:rsid w:val="00252115"/>
    <w:rsid w:val="002521FD"/>
    <w:rsid w:val="0025226C"/>
    <w:rsid w:val="002522B0"/>
    <w:rsid w:val="002523BC"/>
    <w:rsid w:val="002523BE"/>
    <w:rsid w:val="002523C8"/>
    <w:rsid w:val="002523F8"/>
    <w:rsid w:val="00252426"/>
    <w:rsid w:val="00252460"/>
    <w:rsid w:val="00252491"/>
    <w:rsid w:val="002524AE"/>
    <w:rsid w:val="00252550"/>
    <w:rsid w:val="0025258A"/>
    <w:rsid w:val="002525BE"/>
    <w:rsid w:val="002525FC"/>
    <w:rsid w:val="00252602"/>
    <w:rsid w:val="002526BD"/>
    <w:rsid w:val="002526F0"/>
    <w:rsid w:val="0025278E"/>
    <w:rsid w:val="00252801"/>
    <w:rsid w:val="00252817"/>
    <w:rsid w:val="00252833"/>
    <w:rsid w:val="00252860"/>
    <w:rsid w:val="002529B9"/>
    <w:rsid w:val="002529D5"/>
    <w:rsid w:val="00252A03"/>
    <w:rsid w:val="00252A1C"/>
    <w:rsid w:val="00252A95"/>
    <w:rsid w:val="00252AFE"/>
    <w:rsid w:val="00252B60"/>
    <w:rsid w:val="00252B69"/>
    <w:rsid w:val="00252C27"/>
    <w:rsid w:val="00252DC9"/>
    <w:rsid w:val="00252E38"/>
    <w:rsid w:val="00252E6F"/>
    <w:rsid w:val="00252E78"/>
    <w:rsid w:val="00252EAA"/>
    <w:rsid w:val="00252F37"/>
    <w:rsid w:val="00252FB4"/>
    <w:rsid w:val="00252FD4"/>
    <w:rsid w:val="0025300A"/>
    <w:rsid w:val="00253061"/>
    <w:rsid w:val="00253068"/>
    <w:rsid w:val="0025318D"/>
    <w:rsid w:val="002531AA"/>
    <w:rsid w:val="002531C8"/>
    <w:rsid w:val="0025323E"/>
    <w:rsid w:val="0025326A"/>
    <w:rsid w:val="0025327F"/>
    <w:rsid w:val="0025349D"/>
    <w:rsid w:val="00253508"/>
    <w:rsid w:val="00253519"/>
    <w:rsid w:val="0025354B"/>
    <w:rsid w:val="00253592"/>
    <w:rsid w:val="002535E3"/>
    <w:rsid w:val="002535F1"/>
    <w:rsid w:val="0025363E"/>
    <w:rsid w:val="0025366B"/>
    <w:rsid w:val="0025372C"/>
    <w:rsid w:val="00253810"/>
    <w:rsid w:val="00253818"/>
    <w:rsid w:val="0025392C"/>
    <w:rsid w:val="00253A21"/>
    <w:rsid w:val="00253A32"/>
    <w:rsid w:val="00253B8F"/>
    <w:rsid w:val="00253BA1"/>
    <w:rsid w:val="00253BBB"/>
    <w:rsid w:val="00253C6D"/>
    <w:rsid w:val="00253C9D"/>
    <w:rsid w:val="00253D25"/>
    <w:rsid w:val="00253D28"/>
    <w:rsid w:val="00253D29"/>
    <w:rsid w:val="00253D30"/>
    <w:rsid w:val="00253D6A"/>
    <w:rsid w:val="00253D74"/>
    <w:rsid w:val="00253D8F"/>
    <w:rsid w:val="00253E2A"/>
    <w:rsid w:val="00253EED"/>
    <w:rsid w:val="00253F08"/>
    <w:rsid w:val="00253F38"/>
    <w:rsid w:val="0025400D"/>
    <w:rsid w:val="0025402A"/>
    <w:rsid w:val="00254088"/>
    <w:rsid w:val="002541A1"/>
    <w:rsid w:val="00254266"/>
    <w:rsid w:val="002542CE"/>
    <w:rsid w:val="002543EC"/>
    <w:rsid w:val="002543ED"/>
    <w:rsid w:val="0025441A"/>
    <w:rsid w:val="0025442E"/>
    <w:rsid w:val="0025442F"/>
    <w:rsid w:val="002545B4"/>
    <w:rsid w:val="00254601"/>
    <w:rsid w:val="00254604"/>
    <w:rsid w:val="00254614"/>
    <w:rsid w:val="0025461B"/>
    <w:rsid w:val="0025467F"/>
    <w:rsid w:val="002546C9"/>
    <w:rsid w:val="0025472D"/>
    <w:rsid w:val="00254852"/>
    <w:rsid w:val="002548BD"/>
    <w:rsid w:val="00254937"/>
    <w:rsid w:val="00254A71"/>
    <w:rsid w:val="00254AEC"/>
    <w:rsid w:val="00254B3F"/>
    <w:rsid w:val="00254C13"/>
    <w:rsid w:val="00254CB8"/>
    <w:rsid w:val="00254D6B"/>
    <w:rsid w:val="00254E58"/>
    <w:rsid w:val="00254F2B"/>
    <w:rsid w:val="00254FA3"/>
    <w:rsid w:val="00255076"/>
    <w:rsid w:val="002550A4"/>
    <w:rsid w:val="002550BB"/>
    <w:rsid w:val="002550C9"/>
    <w:rsid w:val="00255152"/>
    <w:rsid w:val="00255171"/>
    <w:rsid w:val="002551E2"/>
    <w:rsid w:val="002552C0"/>
    <w:rsid w:val="00255358"/>
    <w:rsid w:val="002553A0"/>
    <w:rsid w:val="00255420"/>
    <w:rsid w:val="002554E2"/>
    <w:rsid w:val="002555A9"/>
    <w:rsid w:val="002555DE"/>
    <w:rsid w:val="002556A0"/>
    <w:rsid w:val="002556F2"/>
    <w:rsid w:val="00255727"/>
    <w:rsid w:val="00255795"/>
    <w:rsid w:val="00255799"/>
    <w:rsid w:val="002557E1"/>
    <w:rsid w:val="002558E0"/>
    <w:rsid w:val="00255974"/>
    <w:rsid w:val="002559AB"/>
    <w:rsid w:val="002559AC"/>
    <w:rsid w:val="002559FE"/>
    <w:rsid w:val="00255A15"/>
    <w:rsid w:val="00255A92"/>
    <w:rsid w:val="00255AA6"/>
    <w:rsid w:val="00255BC9"/>
    <w:rsid w:val="00255CBC"/>
    <w:rsid w:val="00255CE8"/>
    <w:rsid w:val="00255D0E"/>
    <w:rsid w:val="00255D87"/>
    <w:rsid w:val="00255DA3"/>
    <w:rsid w:val="00255DD3"/>
    <w:rsid w:val="00255E08"/>
    <w:rsid w:val="00255E11"/>
    <w:rsid w:val="00255E51"/>
    <w:rsid w:val="00255EAB"/>
    <w:rsid w:val="00255F2B"/>
    <w:rsid w:val="00255F31"/>
    <w:rsid w:val="00255F46"/>
    <w:rsid w:val="00255F50"/>
    <w:rsid w:val="00255FB0"/>
    <w:rsid w:val="0025602B"/>
    <w:rsid w:val="0025607F"/>
    <w:rsid w:val="002560B2"/>
    <w:rsid w:val="0025610B"/>
    <w:rsid w:val="0025617B"/>
    <w:rsid w:val="002561DA"/>
    <w:rsid w:val="002561E3"/>
    <w:rsid w:val="002561F4"/>
    <w:rsid w:val="0025622C"/>
    <w:rsid w:val="002562A2"/>
    <w:rsid w:val="002562FA"/>
    <w:rsid w:val="002562FF"/>
    <w:rsid w:val="0025639D"/>
    <w:rsid w:val="002563F8"/>
    <w:rsid w:val="002565D2"/>
    <w:rsid w:val="002566B6"/>
    <w:rsid w:val="0025674B"/>
    <w:rsid w:val="0025678B"/>
    <w:rsid w:val="00256868"/>
    <w:rsid w:val="002568F2"/>
    <w:rsid w:val="002569D5"/>
    <w:rsid w:val="002569FD"/>
    <w:rsid w:val="00256A91"/>
    <w:rsid w:val="00256B88"/>
    <w:rsid w:val="00256C72"/>
    <w:rsid w:val="00256C77"/>
    <w:rsid w:val="00256CB0"/>
    <w:rsid w:val="00256D2B"/>
    <w:rsid w:val="00256D8A"/>
    <w:rsid w:val="00256E1E"/>
    <w:rsid w:val="00256E38"/>
    <w:rsid w:val="00256E47"/>
    <w:rsid w:val="00256F00"/>
    <w:rsid w:val="00256FAD"/>
    <w:rsid w:val="00257061"/>
    <w:rsid w:val="00257064"/>
    <w:rsid w:val="002570DD"/>
    <w:rsid w:val="002571DF"/>
    <w:rsid w:val="002572FA"/>
    <w:rsid w:val="00257483"/>
    <w:rsid w:val="002574B6"/>
    <w:rsid w:val="002574F7"/>
    <w:rsid w:val="0025756D"/>
    <w:rsid w:val="002575BC"/>
    <w:rsid w:val="002575D2"/>
    <w:rsid w:val="0025761C"/>
    <w:rsid w:val="0025763B"/>
    <w:rsid w:val="00257674"/>
    <w:rsid w:val="00257805"/>
    <w:rsid w:val="00257819"/>
    <w:rsid w:val="00257829"/>
    <w:rsid w:val="0025789D"/>
    <w:rsid w:val="002578AD"/>
    <w:rsid w:val="002579B2"/>
    <w:rsid w:val="00257A00"/>
    <w:rsid w:val="00257A3C"/>
    <w:rsid w:val="00257A46"/>
    <w:rsid w:val="00257A4D"/>
    <w:rsid w:val="00257AAA"/>
    <w:rsid w:val="00257B26"/>
    <w:rsid w:val="00257B96"/>
    <w:rsid w:val="00257C00"/>
    <w:rsid w:val="00257C3E"/>
    <w:rsid w:val="00257C4A"/>
    <w:rsid w:val="00257C68"/>
    <w:rsid w:val="00257D64"/>
    <w:rsid w:val="00257E2B"/>
    <w:rsid w:val="00257E79"/>
    <w:rsid w:val="00257E9E"/>
    <w:rsid w:val="00257EB4"/>
    <w:rsid w:val="00257F55"/>
    <w:rsid w:val="00257F96"/>
    <w:rsid w:val="00257FA0"/>
    <w:rsid w:val="00257FE4"/>
    <w:rsid w:val="0026009E"/>
    <w:rsid w:val="002600A9"/>
    <w:rsid w:val="0026014C"/>
    <w:rsid w:val="00260167"/>
    <w:rsid w:val="002601A7"/>
    <w:rsid w:val="002601BB"/>
    <w:rsid w:val="002601FF"/>
    <w:rsid w:val="00260255"/>
    <w:rsid w:val="0026039D"/>
    <w:rsid w:val="00260400"/>
    <w:rsid w:val="0026049F"/>
    <w:rsid w:val="002604A2"/>
    <w:rsid w:val="002604F2"/>
    <w:rsid w:val="00260538"/>
    <w:rsid w:val="002605E3"/>
    <w:rsid w:val="002605FE"/>
    <w:rsid w:val="00260612"/>
    <w:rsid w:val="0026068D"/>
    <w:rsid w:val="002606C0"/>
    <w:rsid w:val="00260716"/>
    <w:rsid w:val="00260785"/>
    <w:rsid w:val="002607DE"/>
    <w:rsid w:val="00260834"/>
    <w:rsid w:val="00260868"/>
    <w:rsid w:val="0026086E"/>
    <w:rsid w:val="002608DF"/>
    <w:rsid w:val="002608F8"/>
    <w:rsid w:val="00260904"/>
    <w:rsid w:val="00260A5E"/>
    <w:rsid w:val="00260A6B"/>
    <w:rsid w:val="00260AD8"/>
    <w:rsid w:val="00260B45"/>
    <w:rsid w:val="00260BD3"/>
    <w:rsid w:val="00260BDB"/>
    <w:rsid w:val="00260C07"/>
    <w:rsid w:val="00260C08"/>
    <w:rsid w:val="00260C09"/>
    <w:rsid w:val="00260C1D"/>
    <w:rsid w:val="00260CA5"/>
    <w:rsid w:val="00260D0E"/>
    <w:rsid w:val="00260D5E"/>
    <w:rsid w:val="00260D70"/>
    <w:rsid w:val="00260DEA"/>
    <w:rsid w:val="00260E52"/>
    <w:rsid w:val="00260E65"/>
    <w:rsid w:val="00260F43"/>
    <w:rsid w:val="00260F59"/>
    <w:rsid w:val="00260F5F"/>
    <w:rsid w:val="00260F7A"/>
    <w:rsid w:val="00260FEC"/>
    <w:rsid w:val="00261041"/>
    <w:rsid w:val="00261118"/>
    <w:rsid w:val="002612B4"/>
    <w:rsid w:val="00261321"/>
    <w:rsid w:val="002613CB"/>
    <w:rsid w:val="00261412"/>
    <w:rsid w:val="00261426"/>
    <w:rsid w:val="0026167F"/>
    <w:rsid w:val="002617C3"/>
    <w:rsid w:val="0026180A"/>
    <w:rsid w:val="00261822"/>
    <w:rsid w:val="002618A6"/>
    <w:rsid w:val="002618B5"/>
    <w:rsid w:val="002618C3"/>
    <w:rsid w:val="002618FA"/>
    <w:rsid w:val="002619B0"/>
    <w:rsid w:val="00261A51"/>
    <w:rsid w:val="00261ADA"/>
    <w:rsid w:val="00261B09"/>
    <w:rsid w:val="00261B0C"/>
    <w:rsid w:val="00261B46"/>
    <w:rsid w:val="00261BAB"/>
    <w:rsid w:val="00261C94"/>
    <w:rsid w:val="00261CB5"/>
    <w:rsid w:val="00261D0B"/>
    <w:rsid w:val="00261D33"/>
    <w:rsid w:val="00261DC7"/>
    <w:rsid w:val="00261E57"/>
    <w:rsid w:val="00261E92"/>
    <w:rsid w:val="00261F2A"/>
    <w:rsid w:val="00261F4A"/>
    <w:rsid w:val="00261F6D"/>
    <w:rsid w:val="00262022"/>
    <w:rsid w:val="00262038"/>
    <w:rsid w:val="002620A1"/>
    <w:rsid w:val="0026210E"/>
    <w:rsid w:val="00262155"/>
    <w:rsid w:val="00262229"/>
    <w:rsid w:val="0026222A"/>
    <w:rsid w:val="00262313"/>
    <w:rsid w:val="00262314"/>
    <w:rsid w:val="0026237F"/>
    <w:rsid w:val="002624AC"/>
    <w:rsid w:val="00262543"/>
    <w:rsid w:val="00262638"/>
    <w:rsid w:val="0026268E"/>
    <w:rsid w:val="0026270C"/>
    <w:rsid w:val="00262789"/>
    <w:rsid w:val="0026280F"/>
    <w:rsid w:val="00262828"/>
    <w:rsid w:val="00262849"/>
    <w:rsid w:val="00262861"/>
    <w:rsid w:val="0026286E"/>
    <w:rsid w:val="0026287F"/>
    <w:rsid w:val="002628B0"/>
    <w:rsid w:val="0026298B"/>
    <w:rsid w:val="0026298D"/>
    <w:rsid w:val="002629AB"/>
    <w:rsid w:val="00262A90"/>
    <w:rsid w:val="00262AC9"/>
    <w:rsid w:val="00262B0B"/>
    <w:rsid w:val="00262B2B"/>
    <w:rsid w:val="00262BAB"/>
    <w:rsid w:val="00262BFA"/>
    <w:rsid w:val="00262D0E"/>
    <w:rsid w:val="00262DE8"/>
    <w:rsid w:val="00262E03"/>
    <w:rsid w:val="00262EBD"/>
    <w:rsid w:val="00262EED"/>
    <w:rsid w:val="00262EEF"/>
    <w:rsid w:val="00262F69"/>
    <w:rsid w:val="002630E0"/>
    <w:rsid w:val="002630F5"/>
    <w:rsid w:val="002631F2"/>
    <w:rsid w:val="0026323C"/>
    <w:rsid w:val="002632A9"/>
    <w:rsid w:val="00263302"/>
    <w:rsid w:val="00263390"/>
    <w:rsid w:val="002633F9"/>
    <w:rsid w:val="0026348F"/>
    <w:rsid w:val="002634AF"/>
    <w:rsid w:val="002635AB"/>
    <w:rsid w:val="002635AF"/>
    <w:rsid w:val="002635D4"/>
    <w:rsid w:val="00263665"/>
    <w:rsid w:val="002636C7"/>
    <w:rsid w:val="00263701"/>
    <w:rsid w:val="00263759"/>
    <w:rsid w:val="002637A3"/>
    <w:rsid w:val="00263802"/>
    <w:rsid w:val="0026386F"/>
    <w:rsid w:val="00263887"/>
    <w:rsid w:val="0026389C"/>
    <w:rsid w:val="002638A4"/>
    <w:rsid w:val="002638CF"/>
    <w:rsid w:val="00263966"/>
    <w:rsid w:val="002639D3"/>
    <w:rsid w:val="00263A06"/>
    <w:rsid w:val="00263A24"/>
    <w:rsid w:val="00263A3C"/>
    <w:rsid w:val="00263A5A"/>
    <w:rsid w:val="00263C0E"/>
    <w:rsid w:val="00263C20"/>
    <w:rsid w:val="00263C2D"/>
    <w:rsid w:val="00263C7A"/>
    <w:rsid w:val="00263CD8"/>
    <w:rsid w:val="00263D09"/>
    <w:rsid w:val="00263D13"/>
    <w:rsid w:val="00263D17"/>
    <w:rsid w:val="00263D61"/>
    <w:rsid w:val="00263D6D"/>
    <w:rsid w:val="00263D7C"/>
    <w:rsid w:val="00263F14"/>
    <w:rsid w:val="00264029"/>
    <w:rsid w:val="00264042"/>
    <w:rsid w:val="00264051"/>
    <w:rsid w:val="002640E5"/>
    <w:rsid w:val="00264103"/>
    <w:rsid w:val="00264135"/>
    <w:rsid w:val="002643C4"/>
    <w:rsid w:val="00264454"/>
    <w:rsid w:val="00264456"/>
    <w:rsid w:val="002644BA"/>
    <w:rsid w:val="002644DD"/>
    <w:rsid w:val="0026458B"/>
    <w:rsid w:val="00264631"/>
    <w:rsid w:val="00264685"/>
    <w:rsid w:val="00264695"/>
    <w:rsid w:val="0026477B"/>
    <w:rsid w:val="00264782"/>
    <w:rsid w:val="002647DE"/>
    <w:rsid w:val="00264819"/>
    <w:rsid w:val="00264829"/>
    <w:rsid w:val="00264831"/>
    <w:rsid w:val="00264845"/>
    <w:rsid w:val="002648CB"/>
    <w:rsid w:val="002648E2"/>
    <w:rsid w:val="0026494C"/>
    <w:rsid w:val="00264989"/>
    <w:rsid w:val="00264ACE"/>
    <w:rsid w:val="00264B2A"/>
    <w:rsid w:val="00264BFA"/>
    <w:rsid w:val="00264C7B"/>
    <w:rsid w:val="00264C91"/>
    <w:rsid w:val="00264DCA"/>
    <w:rsid w:val="00264E2D"/>
    <w:rsid w:val="00264E70"/>
    <w:rsid w:val="00264EE8"/>
    <w:rsid w:val="00264EEE"/>
    <w:rsid w:val="00264EF5"/>
    <w:rsid w:val="00264F38"/>
    <w:rsid w:val="00264F4A"/>
    <w:rsid w:val="0026502D"/>
    <w:rsid w:val="002650E5"/>
    <w:rsid w:val="0026514D"/>
    <w:rsid w:val="002651CF"/>
    <w:rsid w:val="00265213"/>
    <w:rsid w:val="00265293"/>
    <w:rsid w:val="002652D0"/>
    <w:rsid w:val="0026539A"/>
    <w:rsid w:val="0026546A"/>
    <w:rsid w:val="002654C0"/>
    <w:rsid w:val="002654D8"/>
    <w:rsid w:val="002654F2"/>
    <w:rsid w:val="002654F3"/>
    <w:rsid w:val="00265503"/>
    <w:rsid w:val="00265571"/>
    <w:rsid w:val="002655A2"/>
    <w:rsid w:val="00265610"/>
    <w:rsid w:val="0026568E"/>
    <w:rsid w:val="0026578D"/>
    <w:rsid w:val="002657A1"/>
    <w:rsid w:val="002657C8"/>
    <w:rsid w:val="00265801"/>
    <w:rsid w:val="002658BB"/>
    <w:rsid w:val="00265913"/>
    <w:rsid w:val="00265918"/>
    <w:rsid w:val="0026591D"/>
    <w:rsid w:val="00265924"/>
    <w:rsid w:val="002659CA"/>
    <w:rsid w:val="00265A32"/>
    <w:rsid w:val="00265AD3"/>
    <w:rsid w:val="00265B06"/>
    <w:rsid w:val="00265B52"/>
    <w:rsid w:val="00265B58"/>
    <w:rsid w:val="00265BF5"/>
    <w:rsid w:val="00265C39"/>
    <w:rsid w:val="00265C8A"/>
    <w:rsid w:val="00265CA9"/>
    <w:rsid w:val="00265CB6"/>
    <w:rsid w:val="00265CBE"/>
    <w:rsid w:val="00265CE8"/>
    <w:rsid w:val="00265DBD"/>
    <w:rsid w:val="00265DE5"/>
    <w:rsid w:val="00265E2D"/>
    <w:rsid w:val="00265ED0"/>
    <w:rsid w:val="00265FB1"/>
    <w:rsid w:val="00265FB8"/>
    <w:rsid w:val="00265FCA"/>
    <w:rsid w:val="00266018"/>
    <w:rsid w:val="00266047"/>
    <w:rsid w:val="00266191"/>
    <w:rsid w:val="002661F5"/>
    <w:rsid w:val="0026637E"/>
    <w:rsid w:val="00266397"/>
    <w:rsid w:val="0026639F"/>
    <w:rsid w:val="002663A8"/>
    <w:rsid w:val="0026645E"/>
    <w:rsid w:val="0026656B"/>
    <w:rsid w:val="002665EA"/>
    <w:rsid w:val="00266640"/>
    <w:rsid w:val="0026666E"/>
    <w:rsid w:val="00266686"/>
    <w:rsid w:val="002666AE"/>
    <w:rsid w:val="002666E5"/>
    <w:rsid w:val="002667B7"/>
    <w:rsid w:val="0026685B"/>
    <w:rsid w:val="0026689E"/>
    <w:rsid w:val="002668D0"/>
    <w:rsid w:val="00266955"/>
    <w:rsid w:val="00266A57"/>
    <w:rsid w:val="00266A86"/>
    <w:rsid w:val="00266B5F"/>
    <w:rsid w:val="00266BA3"/>
    <w:rsid w:val="00266BFD"/>
    <w:rsid w:val="00266C92"/>
    <w:rsid w:val="00266CE9"/>
    <w:rsid w:val="00266DBD"/>
    <w:rsid w:val="00266F06"/>
    <w:rsid w:val="00266FF0"/>
    <w:rsid w:val="002671A9"/>
    <w:rsid w:val="002671B9"/>
    <w:rsid w:val="00267221"/>
    <w:rsid w:val="002672F4"/>
    <w:rsid w:val="00267371"/>
    <w:rsid w:val="00267379"/>
    <w:rsid w:val="002673FF"/>
    <w:rsid w:val="002674AF"/>
    <w:rsid w:val="002674D4"/>
    <w:rsid w:val="002674EA"/>
    <w:rsid w:val="002674F4"/>
    <w:rsid w:val="00267539"/>
    <w:rsid w:val="00267546"/>
    <w:rsid w:val="00267602"/>
    <w:rsid w:val="00267659"/>
    <w:rsid w:val="0026765B"/>
    <w:rsid w:val="00267838"/>
    <w:rsid w:val="00267854"/>
    <w:rsid w:val="00267863"/>
    <w:rsid w:val="0026790C"/>
    <w:rsid w:val="0026792A"/>
    <w:rsid w:val="002679AF"/>
    <w:rsid w:val="002679EC"/>
    <w:rsid w:val="00267A21"/>
    <w:rsid w:val="00267BCE"/>
    <w:rsid w:val="00267C44"/>
    <w:rsid w:val="00267CB0"/>
    <w:rsid w:val="00267D2E"/>
    <w:rsid w:val="00267DCA"/>
    <w:rsid w:val="00267F00"/>
    <w:rsid w:val="00267F49"/>
    <w:rsid w:val="00267F5F"/>
    <w:rsid w:val="00267FB5"/>
    <w:rsid w:val="00270042"/>
    <w:rsid w:val="00270058"/>
    <w:rsid w:val="002700C8"/>
    <w:rsid w:val="00270151"/>
    <w:rsid w:val="0027018A"/>
    <w:rsid w:val="0027019F"/>
    <w:rsid w:val="0027021D"/>
    <w:rsid w:val="00270370"/>
    <w:rsid w:val="00270394"/>
    <w:rsid w:val="002703C7"/>
    <w:rsid w:val="0027043E"/>
    <w:rsid w:val="00270464"/>
    <w:rsid w:val="00270508"/>
    <w:rsid w:val="00270526"/>
    <w:rsid w:val="002705E0"/>
    <w:rsid w:val="0027062C"/>
    <w:rsid w:val="00270678"/>
    <w:rsid w:val="0027070D"/>
    <w:rsid w:val="0027075E"/>
    <w:rsid w:val="00270834"/>
    <w:rsid w:val="00270885"/>
    <w:rsid w:val="002708AB"/>
    <w:rsid w:val="00270952"/>
    <w:rsid w:val="00270969"/>
    <w:rsid w:val="00270A10"/>
    <w:rsid w:val="00270A67"/>
    <w:rsid w:val="00270AA8"/>
    <w:rsid w:val="00270AB1"/>
    <w:rsid w:val="00270ABE"/>
    <w:rsid w:val="00270AD6"/>
    <w:rsid w:val="00270B46"/>
    <w:rsid w:val="00270B66"/>
    <w:rsid w:val="00270B86"/>
    <w:rsid w:val="00270BE9"/>
    <w:rsid w:val="00270CB6"/>
    <w:rsid w:val="00270CD6"/>
    <w:rsid w:val="00270D2C"/>
    <w:rsid w:val="00270D4B"/>
    <w:rsid w:val="00270DC4"/>
    <w:rsid w:val="00270E12"/>
    <w:rsid w:val="00270E51"/>
    <w:rsid w:val="00270E95"/>
    <w:rsid w:val="00270ED6"/>
    <w:rsid w:val="00270F11"/>
    <w:rsid w:val="00270F26"/>
    <w:rsid w:val="00270FCE"/>
    <w:rsid w:val="00270FD7"/>
    <w:rsid w:val="002710B3"/>
    <w:rsid w:val="00271204"/>
    <w:rsid w:val="0027125D"/>
    <w:rsid w:val="002712B4"/>
    <w:rsid w:val="00271378"/>
    <w:rsid w:val="0027141C"/>
    <w:rsid w:val="0027150E"/>
    <w:rsid w:val="00271546"/>
    <w:rsid w:val="0027156D"/>
    <w:rsid w:val="002715DC"/>
    <w:rsid w:val="0027164A"/>
    <w:rsid w:val="00271715"/>
    <w:rsid w:val="00271775"/>
    <w:rsid w:val="002718B5"/>
    <w:rsid w:val="002718F7"/>
    <w:rsid w:val="00271928"/>
    <w:rsid w:val="00271948"/>
    <w:rsid w:val="002719F9"/>
    <w:rsid w:val="00271A64"/>
    <w:rsid w:val="00271A9B"/>
    <w:rsid w:val="00271B91"/>
    <w:rsid w:val="00271BD1"/>
    <w:rsid w:val="00271C4F"/>
    <w:rsid w:val="00271C5D"/>
    <w:rsid w:val="00271C7E"/>
    <w:rsid w:val="00271C82"/>
    <w:rsid w:val="00271D42"/>
    <w:rsid w:val="00271D83"/>
    <w:rsid w:val="00271D8C"/>
    <w:rsid w:val="00271DF3"/>
    <w:rsid w:val="00271DFA"/>
    <w:rsid w:val="00271E3C"/>
    <w:rsid w:val="00271E7F"/>
    <w:rsid w:val="00272013"/>
    <w:rsid w:val="00272060"/>
    <w:rsid w:val="00272065"/>
    <w:rsid w:val="00272092"/>
    <w:rsid w:val="002720C6"/>
    <w:rsid w:val="002720E8"/>
    <w:rsid w:val="002721E1"/>
    <w:rsid w:val="0027223F"/>
    <w:rsid w:val="002722E6"/>
    <w:rsid w:val="00272307"/>
    <w:rsid w:val="0027235C"/>
    <w:rsid w:val="002723AB"/>
    <w:rsid w:val="002723FD"/>
    <w:rsid w:val="0027241D"/>
    <w:rsid w:val="00272428"/>
    <w:rsid w:val="002724B3"/>
    <w:rsid w:val="002724E8"/>
    <w:rsid w:val="0027250C"/>
    <w:rsid w:val="0027253F"/>
    <w:rsid w:val="0027256E"/>
    <w:rsid w:val="0027258D"/>
    <w:rsid w:val="002725D3"/>
    <w:rsid w:val="002725E2"/>
    <w:rsid w:val="0027267F"/>
    <w:rsid w:val="00272730"/>
    <w:rsid w:val="00272829"/>
    <w:rsid w:val="0027282E"/>
    <w:rsid w:val="00272896"/>
    <w:rsid w:val="0027289C"/>
    <w:rsid w:val="002728C7"/>
    <w:rsid w:val="002728FA"/>
    <w:rsid w:val="00272923"/>
    <w:rsid w:val="0027295A"/>
    <w:rsid w:val="00272967"/>
    <w:rsid w:val="00272A24"/>
    <w:rsid w:val="00272BC6"/>
    <w:rsid w:val="00272BE4"/>
    <w:rsid w:val="00272C05"/>
    <w:rsid w:val="00272C2D"/>
    <w:rsid w:val="00272C39"/>
    <w:rsid w:val="00272CBE"/>
    <w:rsid w:val="00272DE5"/>
    <w:rsid w:val="00272DFD"/>
    <w:rsid w:val="00272E3D"/>
    <w:rsid w:val="00272EA3"/>
    <w:rsid w:val="00272ECD"/>
    <w:rsid w:val="00272FCA"/>
    <w:rsid w:val="00272FFB"/>
    <w:rsid w:val="00273137"/>
    <w:rsid w:val="00273155"/>
    <w:rsid w:val="0027317E"/>
    <w:rsid w:val="002731C0"/>
    <w:rsid w:val="002731FA"/>
    <w:rsid w:val="00273212"/>
    <w:rsid w:val="0027325D"/>
    <w:rsid w:val="002732AE"/>
    <w:rsid w:val="00273339"/>
    <w:rsid w:val="00273430"/>
    <w:rsid w:val="002734D4"/>
    <w:rsid w:val="00273599"/>
    <w:rsid w:val="002735EC"/>
    <w:rsid w:val="00273673"/>
    <w:rsid w:val="0027368E"/>
    <w:rsid w:val="0027375A"/>
    <w:rsid w:val="00273827"/>
    <w:rsid w:val="00273842"/>
    <w:rsid w:val="002738E4"/>
    <w:rsid w:val="00273920"/>
    <w:rsid w:val="00273991"/>
    <w:rsid w:val="00273A27"/>
    <w:rsid w:val="00273A91"/>
    <w:rsid w:val="00273AF1"/>
    <w:rsid w:val="00273C21"/>
    <w:rsid w:val="00273C25"/>
    <w:rsid w:val="00273C33"/>
    <w:rsid w:val="00273C3C"/>
    <w:rsid w:val="00273C60"/>
    <w:rsid w:val="00273CCB"/>
    <w:rsid w:val="00273DA4"/>
    <w:rsid w:val="00273DD3"/>
    <w:rsid w:val="00273DE3"/>
    <w:rsid w:val="00273E86"/>
    <w:rsid w:val="00273F12"/>
    <w:rsid w:val="0027403B"/>
    <w:rsid w:val="0027408C"/>
    <w:rsid w:val="002741DA"/>
    <w:rsid w:val="002741F6"/>
    <w:rsid w:val="00274200"/>
    <w:rsid w:val="0027424E"/>
    <w:rsid w:val="00274262"/>
    <w:rsid w:val="0027426D"/>
    <w:rsid w:val="002742A6"/>
    <w:rsid w:val="002742B9"/>
    <w:rsid w:val="00274341"/>
    <w:rsid w:val="0027435F"/>
    <w:rsid w:val="00274366"/>
    <w:rsid w:val="00274393"/>
    <w:rsid w:val="00274426"/>
    <w:rsid w:val="0027443B"/>
    <w:rsid w:val="002744C4"/>
    <w:rsid w:val="0027452F"/>
    <w:rsid w:val="002745E4"/>
    <w:rsid w:val="002745F8"/>
    <w:rsid w:val="00274635"/>
    <w:rsid w:val="0027463D"/>
    <w:rsid w:val="00274663"/>
    <w:rsid w:val="0027478F"/>
    <w:rsid w:val="002747CF"/>
    <w:rsid w:val="00274886"/>
    <w:rsid w:val="0027499D"/>
    <w:rsid w:val="00274A53"/>
    <w:rsid w:val="00274B0F"/>
    <w:rsid w:val="00274B18"/>
    <w:rsid w:val="00274BCC"/>
    <w:rsid w:val="00274C90"/>
    <w:rsid w:val="00274CBB"/>
    <w:rsid w:val="00274DDF"/>
    <w:rsid w:val="00274EA0"/>
    <w:rsid w:val="00274ECF"/>
    <w:rsid w:val="00274ED1"/>
    <w:rsid w:val="00274ED8"/>
    <w:rsid w:val="00274EF6"/>
    <w:rsid w:val="00274F8D"/>
    <w:rsid w:val="0027501C"/>
    <w:rsid w:val="0027506F"/>
    <w:rsid w:val="0027509D"/>
    <w:rsid w:val="002750D9"/>
    <w:rsid w:val="00275102"/>
    <w:rsid w:val="0027511D"/>
    <w:rsid w:val="002751B6"/>
    <w:rsid w:val="002752BF"/>
    <w:rsid w:val="00275365"/>
    <w:rsid w:val="00275373"/>
    <w:rsid w:val="002753B9"/>
    <w:rsid w:val="002753CF"/>
    <w:rsid w:val="00275434"/>
    <w:rsid w:val="0027555E"/>
    <w:rsid w:val="002755B2"/>
    <w:rsid w:val="00275649"/>
    <w:rsid w:val="002756DC"/>
    <w:rsid w:val="002756EA"/>
    <w:rsid w:val="00275703"/>
    <w:rsid w:val="00275708"/>
    <w:rsid w:val="00275864"/>
    <w:rsid w:val="002758AC"/>
    <w:rsid w:val="002758C0"/>
    <w:rsid w:val="00275987"/>
    <w:rsid w:val="0027598A"/>
    <w:rsid w:val="00275A77"/>
    <w:rsid w:val="00275AAA"/>
    <w:rsid w:val="00275B0D"/>
    <w:rsid w:val="00275B41"/>
    <w:rsid w:val="00275B47"/>
    <w:rsid w:val="00275B49"/>
    <w:rsid w:val="00275B4C"/>
    <w:rsid w:val="00275B73"/>
    <w:rsid w:val="00275BBD"/>
    <w:rsid w:val="00275C5E"/>
    <w:rsid w:val="00275C94"/>
    <w:rsid w:val="00275CFB"/>
    <w:rsid w:val="00275D09"/>
    <w:rsid w:val="00275D34"/>
    <w:rsid w:val="00275D89"/>
    <w:rsid w:val="00275E43"/>
    <w:rsid w:val="00275E72"/>
    <w:rsid w:val="00275E8A"/>
    <w:rsid w:val="00275EDC"/>
    <w:rsid w:val="00275F4E"/>
    <w:rsid w:val="00276009"/>
    <w:rsid w:val="00276057"/>
    <w:rsid w:val="002760A9"/>
    <w:rsid w:val="002760BC"/>
    <w:rsid w:val="002760CE"/>
    <w:rsid w:val="00276140"/>
    <w:rsid w:val="002761BD"/>
    <w:rsid w:val="00276220"/>
    <w:rsid w:val="00276259"/>
    <w:rsid w:val="0027628C"/>
    <w:rsid w:val="0027637E"/>
    <w:rsid w:val="00276391"/>
    <w:rsid w:val="00276446"/>
    <w:rsid w:val="00276522"/>
    <w:rsid w:val="00276592"/>
    <w:rsid w:val="002765C2"/>
    <w:rsid w:val="0027661F"/>
    <w:rsid w:val="00276651"/>
    <w:rsid w:val="002766EA"/>
    <w:rsid w:val="002766ED"/>
    <w:rsid w:val="002766FC"/>
    <w:rsid w:val="002767BF"/>
    <w:rsid w:val="002767C2"/>
    <w:rsid w:val="002767CC"/>
    <w:rsid w:val="002767DC"/>
    <w:rsid w:val="002768AC"/>
    <w:rsid w:val="002768EE"/>
    <w:rsid w:val="00276997"/>
    <w:rsid w:val="002769B7"/>
    <w:rsid w:val="002769CE"/>
    <w:rsid w:val="00276A5C"/>
    <w:rsid w:val="00276A67"/>
    <w:rsid w:val="00276BFE"/>
    <w:rsid w:val="00276C15"/>
    <w:rsid w:val="00276C82"/>
    <w:rsid w:val="00276CE2"/>
    <w:rsid w:val="00276DA7"/>
    <w:rsid w:val="00276E09"/>
    <w:rsid w:val="00276E49"/>
    <w:rsid w:val="00276E60"/>
    <w:rsid w:val="00276ECA"/>
    <w:rsid w:val="00276F30"/>
    <w:rsid w:val="00276FAC"/>
    <w:rsid w:val="00276FC7"/>
    <w:rsid w:val="00276FCB"/>
    <w:rsid w:val="002770A3"/>
    <w:rsid w:val="002770AC"/>
    <w:rsid w:val="0027711F"/>
    <w:rsid w:val="00277162"/>
    <w:rsid w:val="00277228"/>
    <w:rsid w:val="0027726D"/>
    <w:rsid w:val="002773CA"/>
    <w:rsid w:val="0027748B"/>
    <w:rsid w:val="002774FA"/>
    <w:rsid w:val="00277535"/>
    <w:rsid w:val="002775A2"/>
    <w:rsid w:val="00277607"/>
    <w:rsid w:val="002776FA"/>
    <w:rsid w:val="00277772"/>
    <w:rsid w:val="00277788"/>
    <w:rsid w:val="002777C4"/>
    <w:rsid w:val="00277850"/>
    <w:rsid w:val="00277858"/>
    <w:rsid w:val="00277A4B"/>
    <w:rsid w:val="00277AC1"/>
    <w:rsid w:val="00277B36"/>
    <w:rsid w:val="00277B38"/>
    <w:rsid w:val="00277B5B"/>
    <w:rsid w:val="00277B9D"/>
    <w:rsid w:val="00277C01"/>
    <w:rsid w:val="00277C16"/>
    <w:rsid w:val="00277C1D"/>
    <w:rsid w:val="00277C3F"/>
    <w:rsid w:val="00277C45"/>
    <w:rsid w:val="00277C82"/>
    <w:rsid w:val="00277CF0"/>
    <w:rsid w:val="00277CF6"/>
    <w:rsid w:val="00277D78"/>
    <w:rsid w:val="00277E00"/>
    <w:rsid w:val="00277EB2"/>
    <w:rsid w:val="00277EDD"/>
    <w:rsid w:val="00277EFF"/>
    <w:rsid w:val="00277F8C"/>
    <w:rsid w:val="00277FC2"/>
    <w:rsid w:val="00280020"/>
    <w:rsid w:val="00280036"/>
    <w:rsid w:val="00280063"/>
    <w:rsid w:val="002800A5"/>
    <w:rsid w:val="002800AE"/>
    <w:rsid w:val="002800ED"/>
    <w:rsid w:val="0028011D"/>
    <w:rsid w:val="0028018C"/>
    <w:rsid w:val="0028020F"/>
    <w:rsid w:val="00280322"/>
    <w:rsid w:val="00280379"/>
    <w:rsid w:val="00280406"/>
    <w:rsid w:val="002804B8"/>
    <w:rsid w:val="00280576"/>
    <w:rsid w:val="0028064F"/>
    <w:rsid w:val="0028065F"/>
    <w:rsid w:val="0028071A"/>
    <w:rsid w:val="00280749"/>
    <w:rsid w:val="00280775"/>
    <w:rsid w:val="00280779"/>
    <w:rsid w:val="00280781"/>
    <w:rsid w:val="002807D9"/>
    <w:rsid w:val="002807DB"/>
    <w:rsid w:val="00280828"/>
    <w:rsid w:val="002808A3"/>
    <w:rsid w:val="00280966"/>
    <w:rsid w:val="00280969"/>
    <w:rsid w:val="002809AC"/>
    <w:rsid w:val="00280A4B"/>
    <w:rsid w:val="00280A8D"/>
    <w:rsid w:val="00280AA1"/>
    <w:rsid w:val="00280AED"/>
    <w:rsid w:val="00280C0B"/>
    <w:rsid w:val="00280CF1"/>
    <w:rsid w:val="00280D0E"/>
    <w:rsid w:val="00280D2E"/>
    <w:rsid w:val="00280EA4"/>
    <w:rsid w:val="00280F0A"/>
    <w:rsid w:val="00280F0F"/>
    <w:rsid w:val="00280F2D"/>
    <w:rsid w:val="00280F6E"/>
    <w:rsid w:val="00280FBC"/>
    <w:rsid w:val="00280FD4"/>
    <w:rsid w:val="00281003"/>
    <w:rsid w:val="00281072"/>
    <w:rsid w:val="002810D9"/>
    <w:rsid w:val="002810E5"/>
    <w:rsid w:val="00281100"/>
    <w:rsid w:val="0028112C"/>
    <w:rsid w:val="002811D0"/>
    <w:rsid w:val="00281200"/>
    <w:rsid w:val="00281276"/>
    <w:rsid w:val="002812C8"/>
    <w:rsid w:val="002812E2"/>
    <w:rsid w:val="002813E4"/>
    <w:rsid w:val="002814DA"/>
    <w:rsid w:val="002814E6"/>
    <w:rsid w:val="002816EB"/>
    <w:rsid w:val="002817B7"/>
    <w:rsid w:val="00281804"/>
    <w:rsid w:val="0028188F"/>
    <w:rsid w:val="002818C6"/>
    <w:rsid w:val="002818C8"/>
    <w:rsid w:val="00281910"/>
    <w:rsid w:val="00281943"/>
    <w:rsid w:val="00281A06"/>
    <w:rsid w:val="00281A54"/>
    <w:rsid w:val="00281AA9"/>
    <w:rsid w:val="00281B42"/>
    <w:rsid w:val="00281BB3"/>
    <w:rsid w:val="00281C04"/>
    <w:rsid w:val="00281C19"/>
    <w:rsid w:val="00281C22"/>
    <w:rsid w:val="00281C3D"/>
    <w:rsid w:val="00281C61"/>
    <w:rsid w:val="00281D1E"/>
    <w:rsid w:val="00281DA2"/>
    <w:rsid w:val="00281DF1"/>
    <w:rsid w:val="00281E33"/>
    <w:rsid w:val="00281E38"/>
    <w:rsid w:val="00281E8C"/>
    <w:rsid w:val="00281EF9"/>
    <w:rsid w:val="00281F1F"/>
    <w:rsid w:val="00281F35"/>
    <w:rsid w:val="0028206A"/>
    <w:rsid w:val="00282075"/>
    <w:rsid w:val="002820BD"/>
    <w:rsid w:val="002821F8"/>
    <w:rsid w:val="0028223A"/>
    <w:rsid w:val="0028227C"/>
    <w:rsid w:val="00282362"/>
    <w:rsid w:val="0028236D"/>
    <w:rsid w:val="00282387"/>
    <w:rsid w:val="002823D2"/>
    <w:rsid w:val="00282450"/>
    <w:rsid w:val="002824D0"/>
    <w:rsid w:val="00282518"/>
    <w:rsid w:val="0028255E"/>
    <w:rsid w:val="00282565"/>
    <w:rsid w:val="00282591"/>
    <w:rsid w:val="002825CD"/>
    <w:rsid w:val="0028262A"/>
    <w:rsid w:val="002826C9"/>
    <w:rsid w:val="002826E0"/>
    <w:rsid w:val="00282701"/>
    <w:rsid w:val="00282742"/>
    <w:rsid w:val="00282759"/>
    <w:rsid w:val="00282849"/>
    <w:rsid w:val="0028285D"/>
    <w:rsid w:val="00282993"/>
    <w:rsid w:val="0028299A"/>
    <w:rsid w:val="002829A8"/>
    <w:rsid w:val="00282A49"/>
    <w:rsid w:val="00282AE5"/>
    <w:rsid w:val="00282AF1"/>
    <w:rsid w:val="00282B09"/>
    <w:rsid w:val="00282B35"/>
    <w:rsid w:val="00282B99"/>
    <w:rsid w:val="00282BC5"/>
    <w:rsid w:val="00282BCA"/>
    <w:rsid w:val="00282C8C"/>
    <w:rsid w:val="00282CB0"/>
    <w:rsid w:val="00282D8B"/>
    <w:rsid w:val="00282E1D"/>
    <w:rsid w:val="00282E50"/>
    <w:rsid w:val="00282EBA"/>
    <w:rsid w:val="00282FA4"/>
    <w:rsid w:val="00282FBA"/>
    <w:rsid w:val="00282FCB"/>
    <w:rsid w:val="0028302F"/>
    <w:rsid w:val="00283042"/>
    <w:rsid w:val="00283174"/>
    <w:rsid w:val="0028318F"/>
    <w:rsid w:val="00283199"/>
    <w:rsid w:val="00283219"/>
    <w:rsid w:val="00283227"/>
    <w:rsid w:val="0028322F"/>
    <w:rsid w:val="0028325E"/>
    <w:rsid w:val="0028333E"/>
    <w:rsid w:val="00283359"/>
    <w:rsid w:val="002833AB"/>
    <w:rsid w:val="00283417"/>
    <w:rsid w:val="002834E2"/>
    <w:rsid w:val="00283515"/>
    <w:rsid w:val="00283567"/>
    <w:rsid w:val="00283574"/>
    <w:rsid w:val="002835BD"/>
    <w:rsid w:val="002835EF"/>
    <w:rsid w:val="00283618"/>
    <w:rsid w:val="00283623"/>
    <w:rsid w:val="0028364B"/>
    <w:rsid w:val="00283686"/>
    <w:rsid w:val="002836B1"/>
    <w:rsid w:val="002836D1"/>
    <w:rsid w:val="002837C9"/>
    <w:rsid w:val="002837CE"/>
    <w:rsid w:val="00283886"/>
    <w:rsid w:val="00283891"/>
    <w:rsid w:val="00283908"/>
    <w:rsid w:val="0028399C"/>
    <w:rsid w:val="002839F9"/>
    <w:rsid w:val="00283A00"/>
    <w:rsid w:val="00283A4D"/>
    <w:rsid w:val="00283A76"/>
    <w:rsid w:val="00283A82"/>
    <w:rsid w:val="00283A91"/>
    <w:rsid w:val="00283B7C"/>
    <w:rsid w:val="00283BA7"/>
    <w:rsid w:val="00283C0F"/>
    <w:rsid w:val="00283C2C"/>
    <w:rsid w:val="00283C30"/>
    <w:rsid w:val="00283C6C"/>
    <w:rsid w:val="00283CA3"/>
    <w:rsid w:val="00283D41"/>
    <w:rsid w:val="00283D95"/>
    <w:rsid w:val="00283E49"/>
    <w:rsid w:val="00283E51"/>
    <w:rsid w:val="00283E6F"/>
    <w:rsid w:val="00283F96"/>
    <w:rsid w:val="002841BE"/>
    <w:rsid w:val="002841E2"/>
    <w:rsid w:val="00284243"/>
    <w:rsid w:val="00284295"/>
    <w:rsid w:val="0028431F"/>
    <w:rsid w:val="00284355"/>
    <w:rsid w:val="002843F2"/>
    <w:rsid w:val="0028453D"/>
    <w:rsid w:val="0028459E"/>
    <w:rsid w:val="002845A5"/>
    <w:rsid w:val="002845E4"/>
    <w:rsid w:val="002845EE"/>
    <w:rsid w:val="002845FF"/>
    <w:rsid w:val="00284668"/>
    <w:rsid w:val="0028468F"/>
    <w:rsid w:val="00284860"/>
    <w:rsid w:val="0028487E"/>
    <w:rsid w:val="002848D7"/>
    <w:rsid w:val="002848DC"/>
    <w:rsid w:val="002849E8"/>
    <w:rsid w:val="00284A4D"/>
    <w:rsid w:val="00284A6F"/>
    <w:rsid w:val="00284B2C"/>
    <w:rsid w:val="00284B57"/>
    <w:rsid w:val="00284BA0"/>
    <w:rsid w:val="00284BCB"/>
    <w:rsid w:val="00284BCC"/>
    <w:rsid w:val="00284CBC"/>
    <w:rsid w:val="00284CC9"/>
    <w:rsid w:val="00284DA1"/>
    <w:rsid w:val="00284DDB"/>
    <w:rsid w:val="00284E08"/>
    <w:rsid w:val="00284E21"/>
    <w:rsid w:val="00284E84"/>
    <w:rsid w:val="0028502E"/>
    <w:rsid w:val="0028513A"/>
    <w:rsid w:val="0028513F"/>
    <w:rsid w:val="00285149"/>
    <w:rsid w:val="002851F0"/>
    <w:rsid w:val="0028532D"/>
    <w:rsid w:val="002853F5"/>
    <w:rsid w:val="0028545C"/>
    <w:rsid w:val="002854AF"/>
    <w:rsid w:val="002855C5"/>
    <w:rsid w:val="00285617"/>
    <w:rsid w:val="00285620"/>
    <w:rsid w:val="002856AA"/>
    <w:rsid w:val="002856C8"/>
    <w:rsid w:val="002856EC"/>
    <w:rsid w:val="00285733"/>
    <w:rsid w:val="00285994"/>
    <w:rsid w:val="00285998"/>
    <w:rsid w:val="00285A08"/>
    <w:rsid w:val="00285AAC"/>
    <w:rsid w:val="00285AE1"/>
    <w:rsid w:val="00285B6B"/>
    <w:rsid w:val="00285BA2"/>
    <w:rsid w:val="00285BE2"/>
    <w:rsid w:val="00285BEB"/>
    <w:rsid w:val="00285BF6"/>
    <w:rsid w:val="00285C0F"/>
    <w:rsid w:val="00285C60"/>
    <w:rsid w:val="00285C7F"/>
    <w:rsid w:val="00285CC9"/>
    <w:rsid w:val="00285D3F"/>
    <w:rsid w:val="00285D53"/>
    <w:rsid w:val="00285DF4"/>
    <w:rsid w:val="00285E30"/>
    <w:rsid w:val="00285E7B"/>
    <w:rsid w:val="00285EF9"/>
    <w:rsid w:val="00285F78"/>
    <w:rsid w:val="00286018"/>
    <w:rsid w:val="002860BD"/>
    <w:rsid w:val="002860FA"/>
    <w:rsid w:val="002861F4"/>
    <w:rsid w:val="002862F4"/>
    <w:rsid w:val="00286364"/>
    <w:rsid w:val="002863CD"/>
    <w:rsid w:val="0028649C"/>
    <w:rsid w:val="002864F3"/>
    <w:rsid w:val="00286501"/>
    <w:rsid w:val="002865E1"/>
    <w:rsid w:val="00286617"/>
    <w:rsid w:val="00286625"/>
    <w:rsid w:val="00286659"/>
    <w:rsid w:val="002866C6"/>
    <w:rsid w:val="002866D0"/>
    <w:rsid w:val="002867CC"/>
    <w:rsid w:val="0028684E"/>
    <w:rsid w:val="0028688F"/>
    <w:rsid w:val="00286975"/>
    <w:rsid w:val="00286A0A"/>
    <w:rsid w:val="00286BF2"/>
    <w:rsid w:val="00286C4A"/>
    <w:rsid w:val="00286C59"/>
    <w:rsid w:val="00286C66"/>
    <w:rsid w:val="00286C6B"/>
    <w:rsid w:val="00286D87"/>
    <w:rsid w:val="00286DF4"/>
    <w:rsid w:val="00286E4E"/>
    <w:rsid w:val="00286E7C"/>
    <w:rsid w:val="00286FB5"/>
    <w:rsid w:val="00286FBD"/>
    <w:rsid w:val="00286FC9"/>
    <w:rsid w:val="002870CF"/>
    <w:rsid w:val="00287114"/>
    <w:rsid w:val="00287116"/>
    <w:rsid w:val="00287265"/>
    <w:rsid w:val="002872B3"/>
    <w:rsid w:val="002873B6"/>
    <w:rsid w:val="002873E6"/>
    <w:rsid w:val="00287420"/>
    <w:rsid w:val="00287554"/>
    <w:rsid w:val="00287599"/>
    <w:rsid w:val="0028764C"/>
    <w:rsid w:val="0028767C"/>
    <w:rsid w:val="00287742"/>
    <w:rsid w:val="00287766"/>
    <w:rsid w:val="002878CE"/>
    <w:rsid w:val="0028793E"/>
    <w:rsid w:val="0028799F"/>
    <w:rsid w:val="002879C1"/>
    <w:rsid w:val="002879CF"/>
    <w:rsid w:val="00287A19"/>
    <w:rsid w:val="00287AB7"/>
    <w:rsid w:val="00287B11"/>
    <w:rsid w:val="00287B6B"/>
    <w:rsid w:val="00287D4B"/>
    <w:rsid w:val="00287D53"/>
    <w:rsid w:val="00287DAE"/>
    <w:rsid w:val="00287E10"/>
    <w:rsid w:val="00287E41"/>
    <w:rsid w:val="00287E51"/>
    <w:rsid w:val="00287E75"/>
    <w:rsid w:val="00287ECF"/>
    <w:rsid w:val="00287F1E"/>
    <w:rsid w:val="00287F37"/>
    <w:rsid w:val="00287FF9"/>
    <w:rsid w:val="00290038"/>
    <w:rsid w:val="00290066"/>
    <w:rsid w:val="002900EB"/>
    <w:rsid w:val="0029011C"/>
    <w:rsid w:val="002901A3"/>
    <w:rsid w:val="00290220"/>
    <w:rsid w:val="002903D7"/>
    <w:rsid w:val="002903D8"/>
    <w:rsid w:val="002903E1"/>
    <w:rsid w:val="0029045E"/>
    <w:rsid w:val="00290471"/>
    <w:rsid w:val="002905D0"/>
    <w:rsid w:val="002907BC"/>
    <w:rsid w:val="00290848"/>
    <w:rsid w:val="0029086B"/>
    <w:rsid w:val="002908A5"/>
    <w:rsid w:val="00290919"/>
    <w:rsid w:val="00290943"/>
    <w:rsid w:val="0029097B"/>
    <w:rsid w:val="002909A6"/>
    <w:rsid w:val="00290A3D"/>
    <w:rsid w:val="00290AE5"/>
    <w:rsid w:val="00290B1D"/>
    <w:rsid w:val="00290B26"/>
    <w:rsid w:val="00290B2B"/>
    <w:rsid w:val="00290BD1"/>
    <w:rsid w:val="00290C2C"/>
    <w:rsid w:val="00290C40"/>
    <w:rsid w:val="00290CE5"/>
    <w:rsid w:val="00290D0C"/>
    <w:rsid w:val="00290D2B"/>
    <w:rsid w:val="00290E01"/>
    <w:rsid w:val="00290E04"/>
    <w:rsid w:val="00290E62"/>
    <w:rsid w:val="00290E7C"/>
    <w:rsid w:val="00290EBC"/>
    <w:rsid w:val="00290ECF"/>
    <w:rsid w:val="00290F3E"/>
    <w:rsid w:val="00290F6D"/>
    <w:rsid w:val="00290FD7"/>
    <w:rsid w:val="0029106E"/>
    <w:rsid w:val="0029111B"/>
    <w:rsid w:val="00291153"/>
    <w:rsid w:val="002911B3"/>
    <w:rsid w:val="002911E3"/>
    <w:rsid w:val="00291299"/>
    <w:rsid w:val="002912CA"/>
    <w:rsid w:val="002912E5"/>
    <w:rsid w:val="00291355"/>
    <w:rsid w:val="002913CE"/>
    <w:rsid w:val="0029141D"/>
    <w:rsid w:val="00291427"/>
    <w:rsid w:val="00291462"/>
    <w:rsid w:val="00291481"/>
    <w:rsid w:val="002914FB"/>
    <w:rsid w:val="00291676"/>
    <w:rsid w:val="00291682"/>
    <w:rsid w:val="00291696"/>
    <w:rsid w:val="002916B7"/>
    <w:rsid w:val="002916BB"/>
    <w:rsid w:val="002916E8"/>
    <w:rsid w:val="0029170B"/>
    <w:rsid w:val="0029170C"/>
    <w:rsid w:val="00291726"/>
    <w:rsid w:val="00291751"/>
    <w:rsid w:val="00291888"/>
    <w:rsid w:val="00291954"/>
    <w:rsid w:val="00291A74"/>
    <w:rsid w:val="00291A97"/>
    <w:rsid w:val="00291A9E"/>
    <w:rsid w:val="00291BB6"/>
    <w:rsid w:val="00291C20"/>
    <w:rsid w:val="00291C49"/>
    <w:rsid w:val="00291C50"/>
    <w:rsid w:val="00291CB0"/>
    <w:rsid w:val="00291CD0"/>
    <w:rsid w:val="00291CF3"/>
    <w:rsid w:val="00291D13"/>
    <w:rsid w:val="00291D28"/>
    <w:rsid w:val="00291D54"/>
    <w:rsid w:val="00291E0D"/>
    <w:rsid w:val="00291E2C"/>
    <w:rsid w:val="00291E46"/>
    <w:rsid w:val="00291F09"/>
    <w:rsid w:val="00291F42"/>
    <w:rsid w:val="00291F4A"/>
    <w:rsid w:val="00291FB2"/>
    <w:rsid w:val="00291FF8"/>
    <w:rsid w:val="00292055"/>
    <w:rsid w:val="00292082"/>
    <w:rsid w:val="002920B6"/>
    <w:rsid w:val="0029218E"/>
    <w:rsid w:val="00292199"/>
    <w:rsid w:val="00292252"/>
    <w:rsid w:val="00292563"/>
    <w:rsid w:val="0029259B"/>
    <w:rsid w:val="00292617"/>
    <w:rsid w:val="00292669"/>
    <w:rsid w:val="00292690"/>
    <w:rsid w:val="00292785"/>
    <w:rsid w:val="002927A8"/>
    <w:rsid w:val="002927DC"/>
    <w:rsid w:val="00292848"/>
    <w:rsid w:val="0029286B"/>
    <w:rsid w:val="00292878"/>
    <w:rsid w:val="00292966"/>
    <w:rsid w:val="00292971"/>
    <w:rsid w:val="00292A09"/>
    <w:rsid w:val="00292A25"/>
    <w:rsid w:val="00292AA5"/>
    <w:rsid w:val="00292AA7"/>
    <w:rsid w:val="00292AF5"/>
    <w:rsid w:val="00292B30"/>
    <w:rsid w:val="00292B33"/>
    <w:rsid w:val="00292B71"/>
    <w:rsid w:val="00292B88"/>
    <w:rsid w:val="00292B89"/>
    <w:rsid w:val="00292B94"/>
    <w:rsid w:val="00292BB0"/>
    <w:rsid w:val="00292C1F"/>
    <w:rsid w:val="00292C3E"/>
    <w:rsid w:val="00292D55"/>
    <w:rsid w:val="00292DF4"/>
    <w:rsid w:val="00292E18"/>
    <w:rsid w:val="00292E25"/>
    <w:rsid w:val="00292E3C"/>
    <w:rsid w:val="00292E53"/>
    <w:rsid w:val="00292E69"/>
    <w:rsid w:val="00292F06"/>
    <w:rsid w:val="00292F63"/>
    <w:rsid w:val="00292FAA"/>
    <w:rsid w:val="0029302B"/>
    <w:rsid w:val="0029304C"/>
    <w:rsid w:val="00293098"/>
    <w:rsid w:val="0029309F"/>
    <w:rsid w:val="0029313C"/>
    <w:rsid w:val="002931E1"/>
    <w:rsid w:val="002931F5"/>
    <w:rsid w:val="002931FA"/>
    <w:rsid w:val="002933FD"/>
    <w:rsid w:val="002934E5"/>
    <w:rsid w:val="0029352E"/>
    <w:rsid w:val="0029353E"/>
    <w:rsid w:val="0029356F"/>
    <w:rsid w:val="00293570"/>
    <w:rsid w:val="00293619"/>
    <w:rsid w:val="00293669"/>
    <w:rsid w:val="0029369F"/>
    <w:rsid w:val="002936B4"/>
    <w:rsid w:val="002936BD"/>
    <w:rsid w:val="002936CF"/>
    <w:rsid w:val="00293710"/>
    <w:rsid w:val="0029377B"/>
    <w:rsid w:val="002937C8"/>
    <w:rsid w:val="002937EA"/>
    <w:rsid w:val="0029384D"/>
    <w:rsid w:val="00293891"/>
    <w:rsid w:val="0029389B"/>
    <w:rsid w:val="002938B4"/>
    <w:rsid w:val="00293A5E"/>
    <w:rsid w:val="00293B11"/>
    <w:rsid w:val="00293B12"/>
    <w:rsid w:val="00293B68"/>
    <w:rsid w:val="00293C66"/>
    <w:rsid w:val="00293C98"/>
    <w:rsid w:val="00293CB8"/>
    <w:rsid w:val="00293CF5"/>
    <w:rsid w:val="00293D99"/>
    <w:rsid w:val="00293E8F"/>
    <w:rsid w:val="00293E98"/>
    <w:rsid w:val="00293EC6"/>
    <w:rsid w:val="00293FBB"/>
    <w:rsid w:val="00294007"/>
    <w:rsid w:val="00294018"/>
    <w:rsid w:val="00294039"/>
    <w:rsid w:val="0029409A"/>
    <w:rsid w:val="002940BA"/>
    <w:rsid w:val="0029414B"/>
    <w:rsid w:val="002941A3"/>
    <w:rsid w:val="002941D8"/>
    <w:rsid w:val="002942C4"/>
    <w:rsid w:val="00294347"/>
    <w:rsid w:val="002944C8"/>
    <w:rsid w:val="002944D8"/>
    <w:rsid w:val="002944EB"/>
    <w:rsid w:val="002946E3"/>
    <w:rsid w:val="0029471B"/>
    <w:rsid w:val="0029474D"/>
    <w:rsid w:val="002948A6"/>
    <w:rsid w:val="0029498E"/>
    <w:rsid w:val="002949DD"/>
    <w:rsid w:val="00294A39"/>
    <w:rsid w:val="00294B72"/>
    <w:rsid w:val="00294BD1"/>
    <w:rsid w:val="00294BD7"/>
    <w:rsid w:val="00294BE6"/>
    <w:rsid w:val="00294C47"/>
    <w:rsid w:val="00294C66"/>
    <w:rsid w:val="00294CD8"/>
    <w:rsid w:val="00294D1A"/>
    <w:rsid w:val="00294D32"/>
    <w:rsid w:val="00294D5F"/>
    <w:rsid w:val="00294E25"/>
    <w:rsid w:val="00294EC1"/>
    <w:rsid w:val="00294F31"/>
    <w:rsid w:val="00294FA5"/>
    <w:rsid w:val="00294FC7"/>
    <w:rsid w:val="002950BB"/>
    <w:rsid w:val="0029513F"/>
    <w:rsid w:val="002951D3"/>
    <w:rsid w:val="002951E6"/>
    <w:rsid w:val="0029526C"/>
    <w:rsid w:val="002952FD"/>
    <w:rsid w:val="00295312"/>
    <w:rsid w:val="00295330"/>
    <w:rsid w:val="0029533B"/>
    <w:rsid w:val="0029535C"/>
    <w:rsid w:val="0029547C"/>
    <w:rsid w:val="00295525"/>
    <w:rsid w:val="0029559B"/>
    <w:rsid w:val="002955B4"/>
    <w:rsid w:val="0029566B"/>
    <w:rsid w:val="00295702"/>
    <w:rsid w:val="0029572C"/>
    <w:rsid w:val="002957DE"/>
    <w:rsid w:val="002957F4"/>
    <w:rsid w:val="002958E7"/>
    <w:rsid w:val="002959DD"/>
    <w:rsid w:val="002959E8"/>
    <w:rsid w:val="00295A05"/>
    <w:rsid w:val="00295A08"/>
    <w:rsid w:val="00295A2F"/>
    <w:rsid w:val="00295A4A"/>
    <w:rsid w:val="00295A71"/>
    <w:rsid w:val="00295AD6"/>
    <w:rsid w:val="00295B7A"/>
    <w:rsid w:val="00295B9E"/>
    <w:rsid w:val="00295C0B"/>
    <w:rsid w:val="00295C58"/>
    <w:rsid w:val="00295CCB"/>
    <w:rsid w:val="00295D2D"/>
    <w:rsid w:val="00295D57"/>
    <w:rsid w:val="00295D5E"/>
    <w:rsid w:val="00295E2D"/>
    <w:rsid w:val="00295E75"/>
    <w:rsid w:val="00295F15"/>
    <w:rsid w:val="00295F7E"/>
    <w:rsid w:val="00296020"/>
    <w:rsid w:val="00296133"/>
    <w:rsid w:val="00296138"/>
    <w:rsid w:val="002961CE"/>
    <w:rsid w:val="0029624D"/>
    <w:rsid w:val="00296267"/>
    <w:rsid w:val="00296300"/>
    <w:rsid w:val="00296367"/>
    <w:rsid w:val="00296376"/>
    <w:rsid w:val="00296416"/>
    <w:rsid w:val="002964A0"/>
    <w:rsid w:val="00296567"/>
    <w:rsid w:val="00296627"/>
    <w:rsid w:val="00296680"/>
    <w:rsid w:val="0029668F"/>
    <w:rsid w:val="002966CD"/>
    <w:rsid w:val="002966FB"/>
    <w:rsid w:val="00296711"/>
    <w:rsid w:val="0029674A"/>
    <w:rsid w:val="0029684C"/>
    <w:rsid w:val="002968AB"/>
    <w:rsid w:val="00296918"/>
    <w:rsid w:val="00296921"/>
    <w:rsid w:val="0029692C"/>
    <w:rsid w:val="00296A17"/>
    <w:rsid w:val="00296A1D"/>
    <w:rsid w:val="00296A43"/>
    <w:rsid w:val="00296B45"/>
    <w:rsid w:val="00296C46"/>
    <w:rsid w:val="00296C78"/>
    <w:rsid w:val="00296D39"/>
    <w:rsid w:val="00296DCD"/>
    <w:rsid w:val="00296EE4"/>
    <w:rsid w:val="00296F1B"/>
    <w:rsid w:val="00296F4F"/>
    <w:rsid w:val="00296F95"/>
    <w:rsid w:val="00296FB6"/>
    <w:rsid w:val="002970A4"/>
    <w:rsid w:val="002971CB"/>
    <w:rsid w:val="002971E0"/>
    <w:rsid w:val="002972AE"/>
    <w:rsid w:val="00297330"/>
    <w:rsid w:val="00297337"/>
    <w:rsid w:val="00297357"/>
    <w:rsid w:val="002974B4"/>
    <w:rsid w:val="00297578"/>
    <w:rsid w:val="00297608"/>
    <w:rsid w:val="00297679"/>
    <w:rsid w:val="0029768C"/>
    <w:rsid w:val="002976A7"/>
    <w:rsid w:val="0029772A"/>
    <w:rsid w:val="00297798"/>
    <w:rsid w:val="002977A4"/>
    <w:rsid w:val="002977D4"/>
    <w:rsid w:val="00297824"/>
    <w:rsid w:val="002978B5"/>
    <w:rsid w:val="00297909"/>
    <w:rsid w:val="00297A20"/>
    <w:rsid w:val="00297A8F"/>
    <w:rsid w:val="00297AC2"/>
    <w:rsid w:val="00297ADA"/>
    <w:rsid w:val="00297C15"/>
    <w:rsid w:val="00297C18"/>
    <w:rsid w:val="00297C28"/>
    <w:rsid w:val="00297C8F"/>
    <w:rsid w:val="00297D37"/>
    <w:rsid w:val="00297D44"/>
    <w:rsid w:val="00297E85"/>
    <w:rsid w:val="00297EDC"/>
    <w:rsid w:val="00297F28"/>
    <w:rsid w:val="002A0007"/>
    <w:rsid w:val="002A00BB"/>
    <w:rsid w:val="002A00EF"/>
    <w:rsid w:val="002A0185"/>
    <w:rsid w:val="002A01AB"/>
    <w:rsid w:val="002A020B"/>
    <w:rsid w:val="002A02DD"/>
    <w:rsid w:val="002A033F"/>
    <w:rsid w:val="002A038F"/>
    <w:rsid w:val="002A049A"/>
    <w:rsid w:val="002A05B0"/>
    <w:rsid w:val="002A05BD"/>
    <w:rsid w:val="002A061E"/>
    <w:rsid w:val="002A068D"/>
    <w:rsid w:val="002A073C"/>
    <w:rsid w:val="002A0746"/>
    <w:rsid w:val="002A0788"/>
    <w:rsid w:val="002A078F"/>
    <w:rsid w:val="002A07FA"/>
    <w:rsid w:val="002A0828"/>
    <w:rsid w:val="002A0830"/>
    <w:rsid w:val="002A0855"/>
    <w:rsid w:val="002A0886"/>
    <w:rsid w:val="002A0895"/>
    <w:rsid w:val="002A08C6"/>
    <w:rsid w:val="002A08D5"/>
    <w:rsid w:val="002A0923"/>
    <w:rsid w:val="002A0938"/>
    <w:rsid w:val="002A093E"/>
    <w:rsid w:val="002A0970"/>
    <w:rsid w:val="002A0A08"/>
    <w:rsid w:val="002A0A26"/>
    <w:rsid w:val="002A0A2F"/>
    <w:rsid w:val="002A0A82"/>
    <w:rsid w:val="002A0A9B"/>
    <w:rsid w:val="002A0B5F"/>
    <w:rsid w:val="002A0BEE"/>
    <w:rsid w:val="002A0CDA"/>
    <w:rsid w:val="002A0D4B"/>
    <w:rsid w:val="002A0D69"/>
    <w:rsid w:val="002A0D6B"/>
    <w:rsid w:val="002A0D9F"/>
    <w:rsid w:val="002A0DD9"/>
    <w:rsid w:val="002A0E8E"/>
    <w:rsid w:val="002A0F32"/>
    <w:rsid w:val="002A0F9D"/>
    <w:rsid w:val="002A1051"/>
    <w:rsid w:val="002A10C4"/>
    <w:rsid w:val="002A10CB"/>
    <w:rsid w:val="002A10D2"/>
    <w:rsid w:val="002A1110"/>
    <w:rsid w:val="002A132C"/>
    <w:rsid w:val="002A1347"/>
    <w:rsid w:val="002A1349"/>
    <w:rsid w:val="002A135C"/>
    <w:rsid w:val="002A13E4"/>
    <w:rsid w:val="002A1436"/>
    <w:rsid w:val="002A146F"/>
    <w:rsid w:val="002A1499"/>
    <w:rsid w:val="002A14A1"/>
    <w:rsid w:val="002A14D5"/>
    <w:rsid w:val="002A15C4"/>
    <w:rsid w:val="002A1614"/>
    <w:rsid w:val="002A1630"/>
    <w:rsid w:val="002A168D"/>
    <w:rsid w:val="002A169A"/>
    <w:rsid w:val="002A1732"/>
    <w:rsid w:val="002A1903"/>
    <w:rsid w:val="002A196C"/>
    <w:rsid w:val="002A19BB"/>
    <w:rsid w:val="002A1A06"/>
    <w:rsid w:val="002A1A6C"/>
    <w:rsid w:val="002A1A75"/>
    <w:rsid w:val="002A1BBD"/>
    <w:rsid w:val="002A1BE7"/>
    <w:rsid w:val="002A1C23"/>
    <w:rsid w:val="002A1C60"/>
    <w:rsid w:val="002A1D33"/>
    <w:rsid w:val="002A1D71"/>
    <w:rsid w:val="002A1DDB"/>
    <w:rsid w:val="002A1E0A"/>
    <w:rsid w:val="002A1E6F"/>
    <w:rsid w:val="002A1E8A"/>
    <w:rsid w:val="002A1F42"/>
    <w:rsid w:val="002A1F9F"/>
    <w:rsid w:val="002A1FC0"/>
    <w:rsid w:val="002A1FD6"/>
    <w:rsid w:val="002A1FEA"/>
    <w:rsid w:val="002A200C"/>
    <w:rsid w:val="002A2059"/>
    <w:rsid w:val="002A20AF"/>
    <w:rsid w:val="002A20E8"/>
    <w:rsid w:val="002A212B"/>
    <w:rsid w:val="002A2140"/>
    <w:rsid w:val="002A2182"/>
    <w:rsid w:val="002A21B9"/>
    <w:rsid w:val="002A21BF"/>
    <w:rsid w:val="002A22D9"/>
    <w:rsid w:val="002A22F4"/>
    <w:rsid w:val="002A22F9"/>
    <w:rsid w:val="002A235D"/>
    <w:rsid w:val="002A2371"/>
    <w:rsid w:val="002A237D"/>
    <w:rsid w:val="002A23A3"/>
    <w:rsid w:val="002A241C"/>
    <w:rsid w:val="002A2456"/>
    <w:rsid w:val="002A2494"/>
    <w:rsid w:val="002A2495"/>
    <w:rsid w:val="002A24C3"/>
    <w:rsid w:val="002A24FA"/>
    <w:rsid w:val="002A2521"/>
    <w:rsid w:val="002A2532"/>
    <w:rsid w:val="002A25DA"/>
    <w:rsid w:val="002A2611"/>
    <w:rsid w:val="002A2688"/>
    <w:rsid w:val="002A2762"/>
    <w:rsid w:val="002A278C"/>
    <w:rsid w:val="002A27C3"/>
    <w:rsid w:val="002A27CF"/>
    <w:rsid w:val="002A2ACB"/>
    <w:rsid w:val="002A2ACF"/>
    <w:rsid w:val="002A2AD4"/>
    <w:rsid w:val="002A2C9A"/>
    <w:rsid w:val="002A2C9D"/>
    <w:rsid w:val="002A2D1E"/>
    <w:rsid w:val="002A2E19"/>
    <w:rsid w:val="002A2ED8"/>
    <w:rsid w:val="002A2F2D"/>
    <w:rsid w:val="002A2F9B"/>
    <w:rsid w:val="002A2FB2"/>
    <w:rsid w:val="002A2FBB"/>
    <w:rsid w:val="002A2FDF"/>
    <w:rsid w:val="002A301B"/>
    <w:rsid w:val="002A3029"/>
    <w:rsid w:val="002A3037"/>
    <w:rsid w:val="002A3065"/>
    <w:rsid w:val="002A30C4"/>
    <w:rsid w:val="002A30DA"/>
    <w:rsid w:val="002A3106"/>
    <w:rsid w:val="002A3127"/>
    <w:rsid w:val="002A3150"/>
    <w:rsid w:val="002A323A"/>
    <w:rsid w:val="002A3265"/>
    <w:rsid w:val="002A32AA"/>
    <w:rsid w:val="002A3412"/>
    <w:rsid w:val="002A3559"/>
    <w:rsid w:val="002A35E0"/>
    <w:rsid w:val="002A362C"/>
    <w:rsid w:val="002A367C"/>
    <w:rsid w:val="002A3694"/>
    <w:rsid w:val="002A36B7"/>
    <w:rsid w:val="002A36EB"/>
    <w:rsid w:val="002A37C7"/>
    <w:rsid w:val="002A3842"/>
    <w:rsid w:val="002A3866"/>
    <w:rsid w:val="002A386D"/>
    <w:rsid w:val="002A3933"/>
    <w:rsid w:val="002A39A6"/>
    <w:rsid w:val="002A39B9"/>
    <w:rsid w:val="002A3A9F"/>
    <w:rsid w:val="002A3AF9"/>
    <w:rsid w:val="002A3BD4"/>
    <w:rsid w:val="002A3BDD"/>
    <w:rsid w:val="002A3BEE"/>
    <w:rsid w:val="002A3BF6"/>
    <w:rsid w:val="002A3BF8"/>
    <w:rsid w:val="002A3CEA"/>
    <w:rsid w:val="002A3E95"/>
    <w:rsid w:val="002A3F23"/>
    <w:rsid w:val="002A3F3C"/>
    <w:rsid w:val="002A3F5F"/>
    <w:rsid w:val="002A3F98"/>
    <w:rsid w:val="002A3FC9"/>
    <w:rsid w:val="002A3FDA"/>
    <w:rsid w:val="002A4024"/>
    <w:rsid w:val="002A4044"/>
    <w:rsid w:val="002A40E1"/>
    <w:rsid w:val="002A40E6"/>
    <w:rsid w:val="002A4182"/>
    <w:rsid w:val="002A421F"/>
    <w:rsid w:val="002A4279"/>
    <w:rsid w:val="002A436C"/>
    <w:rsid w:val="002A44AD"/>
    <w:rsid w:val="002A44BA"/>
    <w:rsid w:val="002A450D"/>
    <w:rsid w:val="002A4555"/>
    <w:rsid w:val="002A4592"/>
    <w:rsid w:val="002A45A3"/>
    <w:rsid w:val="002A45B5"/>
    <w:rsid w:val="002A45C2"/>
    <w:rsid w:val="002A4601"/>
    <w:rsid w:val="002A460D"/>
    <w:rsid w:val="002A4636"/>
    <w:rsid w:val="002A4650"/>
    <w:rsid w:val="002A4672"/>
    <w:rsid w:val="002A470E"/>
    <w:rsid w:val="002A4736"/>
    <w:rsid w:val="002A4749"/>
    <w:rsid w:val="002A47A5"/>
    <w:rsid w:val="002A47B4"/>
    <w:rsid w:val="002A4865"/>
    <w:rsid w:val="002A4868"/>
    <w:rsid w:val="002A48A0"/>
    <w:rsid w:val="002A48D8"/>
    <w:rsid w:val="002A496D"/>
    <w:rsid w:val="002A49F2"/>
    <w:rsid w:val="002A4A45"/>
    <w:rsid w:val="002A4A4C"/>
    <w:rsid w:val="002A4A58"/>
    <w:rsid w:val="002A4A94"/>
    <w:rsid w:val="002A4B53"/>
    <w:rsid w:val="002A4B80"/>
    <w:rsid w:val="002A4B83"/>
    <w:rsid w:val="002A4BBB"/>
    <w:rsid w:val="002A4C10"/>
    <w:rsid w:val="002A4C4D"/>
    <w:rsid w:val="002A4D61"/>
    <w:rsid w:val="002A4E69"/>
    <w:rsid w:val="002A4EB2"/>
    <w:rsid w:val="002A4EF7"/>
    <w:rsid w:val="002A4F5A"/>
    <w:rsid w:val="002A4FCD"/>
    <w:rsid w:val="002A4FDD"/>
    <w:rsid w:val="002A5006"/>
    <w:rsid w:val="002A500A"/>
    <w:rsid w:val="002A50F8"/>
    <w:rsid w:val="002A510D"/>
    <w:rsid w:val="002A512D"/>
    <w:rsid w:val="002A514A"/>
    <w:rsid w:val="002A5279"/>
    <w:rsid w:val="002A529D"/>
    <w:rsid w:val="002A52D9"/>
    <w:rsid w:val="002A5492"/>
    <w:rsid w:val="002A54E0"/>
    <w:rsid w:val="002A552F"/>
    <w:rsid w:val="002A56DA"/>
    <w:rsid w:val="002A5721"/>
    <w:rsid w:val="002A572E"/>
    <w:rsid w:val="002A577B"/>
    <w:rsid w:val="002A57C6"/>
    <w:rsid w:val="002A57F5"/>
    <w:rsid w:val="002A58C0"/>
    <w:rsid w:val="002A5913"/>
    <w:rsid w:val="002A5A08"/>
    <w:rsid w:val="002A5B2A"/>
    <w:rsid w:val="002A5BA7"/>
    <w:rsid w:val="002A5BF5"/>
    <w:rsid w:val="002A5C5C"/>
    <w:rsid w:val="002A5CC4"/>
    <w:rsid w:val="002A5D57"/>
    <w:rsid w:val="002A5D73"/>
    <w:rsid w:val="002A5DEC"/>
    <w:rsid w:val="002A5E42"/>
    <w:rsid w:val="002A5E5D"/>
    <w:rsid w:val="002A5ED3"/>
    <w:rsid w:val="002A5EDE"/>
    <w:rsid w:val="002A5EFF"/>
    <w:rsid w:val="002A5F18"/>
    <w:rsid w:val="002A5F28"/>
    <w:rsid w:val="002A5F2F"/>
    <w:rsid w:val="002A5FCF"/>
    <w:rsid w:val="002A605B"/>
    <w:rsid w:val="002A60AD"/>
    <w:rsid w:val="002A60CD"/>
    <w:rsid w:val="002A61C0"/>
    <w:rsid w:val="002A61CA"/>
    <w:rsid w:val="002A620F"/>
    <w:rsid w:val="002A623A"/>
    <w:rsid w:val="002A6270"/>
    <w:rsid w:val="002A6276"/>
    <w:rsid w:val="002A6278"/>
    <w:rsid w:val="002A62B2"/>
    <w:rsid w:val="002A62BE"/>
    <w:rsid w:val="002A62C3"/>
    <w:rsid w:val="002A62D3"/>
    <w:rsid w:val="002A6315"/>
    <w:rsid w:val="002A63DC"/>
    <w:rsid w:val="002A63FD"/>
    <w:rsid w:val="002A640C"/>
    <w:rsid w:val="002A6416"/>
    <w:rsid w:val="002A6566"/>
    <w:rsid w:val="002A6588"/>
    <w:rsid w:val="002A6595"/>
    <w:rsid w:val="002A65D4"/>
    <w:rsid w:val="002A6616"/>
    <w:rsid w:val="002A663A"/>
    <w:rsid w:val="002A666B"/>
    <w:rsid w:val="002A672C"/>
    <w:rsid w:val="002A6754"/>
    <w:rsid w:val="002A680C"/>
    <w:rsid w:val="002A68C4"/>
    <w:rsid w:val="002A68E6"/>
    <w:rsid w:val="002A68F8"/>
    <w:rsid w:val="002A692A"/>
    <w:rsid w:val="002A692D"/>
    <w:rsid w:val="002A6A0D"/>
    <w:rsid w:val="002A6A38"/>
    <w:rsid w:val="002A6A42"/>
    <w:rsid w:val="002A6AB8"/>
    <w:rsid w:val="002A6AD5"/>
    <w:rsid w:val="002A6BC5"/>
    <w:rsid w:val="002A6C63"/>
    <w:rsid w:val="002A6C6D"/>
    <w:rsid w:val="002A6CC3"/>
    <w:rsid w:val="002A6CCF"/>
    <w:rsid w:val="002A6CEB"/>
    <w:rsid w:val="002A6D22"/>
    <w:rsid w:val="002A6E32"/>
    <w:rsid w:val="002A6E9E"/>
    <w:rsid w:val="002A6F30"/>
    <w:rsid w:val="002A6F91"/>
    <w:rsid w:val="002A6FA3"/>
    <w:rsid w:val="002A7072"/>
    <w:rsid w:val="002A70A2"/>
    <w:rsid w:val="002A71AE"/>
    <w:rsid w:val="002A71BA"/>
    <w:rsid w:val="002A7266"/>
    <w:rsid w:val="002A72F1"/>
    <w:rsid w:val="002A736F"/>
    <w:rsid w:val="002A7389"/>
    <w:rsid w:val="002A73C6"/>
    <w:rsid w:val="002A7477"/>
    <w:rsid w:val="002A7485"/>
    <w:rsid w:val="002A7491"/>
    <w:rsid w:val="002A74D1"/>
    <w:rsid w:val="002A74E9"/>
    <w:rsid w:val="002A7632"/>
    <w:rsid w:val="002A772B"/>
    <w:rsid w:val="002A7802"/>
    <w:rsid w:val="002A788D"/>
    <w:rsid w:val="002A78CF"/>
    <w:rsid w:val="002A78EC"/>
    <w:rsid w:val="002A78F9"/>
    <w:rsid w:val="002A79B5"/>
    <w:rsid w:val="002A79CE"/>
    <w:rsid w:val="002A79FF"/>
    <w:rsid w:val="002A7B0B"/>
    <w:rsid w:val="002A7B10"/>
    <w:rsid w:val="002A7B3E"/>
    <w:rsid w:val="002A7B52"/>
    <w:rsid w:val="002A7B54"/>
    <w:rsid w:val="002A7BA2"/>
    <w:rsid w:val="002A7C38"/>
    <w:rsid w:val="002A7C8D"/>
    <w:rsid w:val="002A7D5E"/>
    <w:rsid w:val="002A7D6D"/>
    <w:rsid w:val="002A7DDB"/>
    <w:rsid w:val="002A7E1C"/>
    <w:rsid w:val="002A7E61"/>
    <w:rsid w:val="002A7EBA"/>
    <w:rsid w:val="002A7EE5"/>
    <w:rsid w:val="002A7F39"/>
    <w:rsid w:val="002A7F96"/>
    <w:rsid w:val="002A7FC7"/>
    <w:rsid w:val="002B0163"/>
    <w:rsid w:val="002B0176"/>
    <w:rsid w:val="002B01B6"/>
    <w:rsid w:val="002B020F"/>
    <w:rsid w:val="002B0236"/>
    <w:rsid w:val="002B0302"/>
    <w:rsid w:val="002B031A"/>
    <w:rsid w:val="002B03B0"/>
    <w:rsid w:val="002B046A"/>
    <w:rsid w:val="002B056C"/>
    <w:rsid w:val="002B0577"/>
    <w:rsid w:val="002B05C3"/>
    <w:rsid w:val="002B0699"/>
    <w:rsid w:val="002B06E0"/>
    <w:rsid w:val="002B06F9"/>
    <w:rsid w:val="002B0706"/>
    <w:rsid w:val="002B07E8"/>
    <w:rsid w:val="002B0845"/>
    <w:rsid w:val="002B090D"/>
    <w:rsid w:val="002B092C"/>
    <w:rsid w:val="002B094A"/>
    <w:rsid w:val="002B0952"/>
    <w:rsid w:val="002B09AF"/>
    <w:rsid w:val="002B09CE"/>
    <w:rsid w:val="002B09D9"/>
    <w:rsid w:val="002B0A5A"/>
    <w:rsid w:val="002B0BC8"/>
    <w:rsid w:val="002B0BEC"/>
    <w:rsid w:val="002B0C49"/>
    <w:rsid w:val="002B0C55"/>
    <w:rsid w:val="002B0CCD"/>
    <w:rsid w:val="002B0D21"/>
    <w:rsid w:val="002B0D81"/>
    <w:rsid w:val="002B0DD2"/>
    <w:rsid w:val="002B0E02"/>
    <w:rsid w:val="002B0E10"/>
    <w:rsid w:val="002B0E47"/>
    <w:rsid w:val="002B0E65"/>
    <w:rsid w:val="002B0E70"/>
    <w:rsid w:val="002B0EED"/>
    <w:rsid w:val="002B0F1B"/>
    <w:rsid w:val="002B0F2A"/>
    <w:rsid w:val="002B0F38"/>
    <w:rsid w:val="002B0F58"/>
    <w:rsid w:val="002B0F72"/>
    <w:rsid w:val="002B0FA9"/>
    <w:rsid w:val="002B1032"/>
    <w:rsid w:val="002B10AD"/>
    <w:rsid w:val="002B126F"/>
    <w:rsid w:val="002B12FE"/>
    <w:rsid w:val="002B136D"/>
    <w:rsid w:val="002B13F4"/>
    <w:rsid w:val="002B14A0"/>
    <w:rsid w:val="002B14E6"/>
    <w:rsid w:val="002B1594"/>
    <w:rsid w:val="002B1598"/>
    <w:rsid w:val="002B15B2"/>
    <w:rsid w:val="002B15DA"/>
    <w:rsid w:val="002B1600"/>
    <w:rsid w:val="002B164B"/>
    <w:rsid w:val="002B1679"/>
    <w:rsid w:val="002B1754"/>
    <w:rsid w:val="002B17B0"/>
    <w:rsid w:val="002B1867"/>
    <w:rsid w:val="002B189A"/>
    <w:rsid w:val="002B1920"/>
    <w:rsid w:val="002B192D"/>
    <w:rsid w:val="002B198C"/>
    <w:rsid w:val="002B19DD"/>
    <w:rsid w:val="002B19F6"/>
    <w:rsid w:val="002B19FB"/>
    <w:rsid w:val="002B1A31"/>
    <w:rsid w:val="002B1A3C"/>
    <w:rsid w:val="002B1A57"/>
    <w:rsid w:val="002B1B31"/>
    <w:rsid w:val="002B1B53"/>
    <w:rsid w:val="002B1BEA"/>
    <w:rsid w:val="002B1BF2"/>
    <w:rsid w:val="002B1BF3"/>
    <w:rsid w:val="002B1C84"/>
    <w:rsid w:val="002B1C95"/>
    <w:rsid w:val="002B1CAF"/>
    <w:rsid w:val="002B1CB6"/>
    <w:rsid w:val="002B1CC9"/>
    <w:rsid w:val="002B1CEC"/>
    <w:rsid w:val="002B1D98"/>
    <w:rsid w:val="002B1E0E"/>
    <w:rsid w:val="002B1E34"/>
    <w:rsid w:val="002B1EB6"/>
    <w:rsid w:val="002B1F3A"/>
    <w:rsid w:val="002B1FC0"/>
    <w:rsid w:val="002B2032"/>
    <w:rsid w:val="002B20A9"/>
    <w:rsid w:val="002B2123"/>
    <w:rsid w:val="002B21DD"/>
    <w:rsid w:val="002B21E7"/>
    <w:rsid w:val="002B2246"/>
    <w:rsid w:val="002B2328"/>
    <w:rsid w:val="002B2330"/>
    <w:rsid w:val="002B236A"/>
    <w:rsid w:val="002B2393"/>
    <w:rsid w:val="002B23E1"/>
    <w:rsid w:val="002B23ED"/>
    <w:rsid w:val="002B2465"/>
    <w:rsid w:val="002B2478"/>
    <w:rsid w:val="002B24B8"/>
    <w:rsid w:val="002B24DA"/>
    <w:rsid w:val="002B262E"/>
    <w:rsid w:val="002B26A3"/>
    <w:rsid w:val="002B2764"/>
    <w:rsid w:val="002B27BC"/>
    <w:rsid w:val="002B281E"/>
    <w:rsid w:val="002B297E"/>
    <w:rsid w:val="002B2991"/>
    <w:rsid w:val="002B29C6"/>
    <w:rsid w:val="002B2AB7"/>
    <w:rsid w:val="002B2AC7"/>
    <w:rsid w:val="002B2BB3"/>
    <w:rsid w:val="002B2CD5"/>
    <w:rsid w:val="002B2D85"/>
    <w:rsid w:val="002B2F25"/>
    <w:rsid w:val="002B2F93"/>
    <w:rsid w:val="002B2FB8"/>
    <w:rsid w:val="002B2FD0"/>
    <w:rsid w:val="002B3017"/>
    <w:rsid w:val="002B3092"/>
    <w:rsid w:val="002B30D7"/>
    <w:rsid w:val="002B3129"/>
    <w:rsid w:val="002B315D"/>
    <w:rsid w:val="002B32C7"/>
    <w:rsid w:val="002B3305"/>
    <w:rsid w:val="002B330E"/>
    <w:rsid w:val="002B33B8"/>
    <w:rsid w:val="002B33E8"/>
    <w:rsid w:val="002B34AE"/>
    <w:rsid w:val="002B34C5"/>
    <w:rsid w:val="002B34E3"/>
    <w:rsid w:val="002B3505"/>
    <w:rsid w:val="002B3507"/>
    <w:rsid w:val="002B3530"/>
    <w:rsid w:val="002B36DD"/>
    <w:rsid w:val="002B37B4"/>
    <w:rsid w:val="002B3812"/>
    <w:rsid w:val="002B384F"/>
    <w:rsid w:val="002B38D3"/>
    <w:rsid w:val="002B38DD"/>
    <w:rsid w:val="002B3962"/>
    <w:rsid w:val="002B39D7"/>
    <w:rsid w:val="002B3A74"/>
    <w:rsid w:val="002B3AAA"/>
    <w:rsid w:val="002B3B27"/>
    <w:rsid w:val="002B3B9F"/>
    <w:rsid w:val="002B3C19"/>
    <w:rsid w:val="002B3C2C"/>
    <w:rsid w:val="002B3C69"/>
    <w:rsid w:val="002B3C9A"/>
    <w:rsid w:val="002B3CCF"/>
    <w:rsid w:val="002B3D5C"/>
    <w:rsid w:val="002B3D75"/>
    <w:rsid w:val="002B3D8F"/>
    <w:rsid w:val="002B3D91"/>
    <w:rsid w:val="002B3E2C"/>
    <w:rsid w:val="002B3E62"/>
    <w:rsid w:val="002B3EAC"/>
    <w:rsid w:val="002B3ED6"/>
    <w:rsid w:val="002B3F75"/>
    <w:rsid w:val="002B400F"/>
    <w:rsid w:val="002B405D"/>
    <w:rsid w:val="002B411F"/>
    <w:rsid w:val="002B413A"/>
    <w:rsid w:val="002B414A"/>
    <w:rsid w:val="002B41F8"/>
    <w:rsid w:val="002B4231"/>
    <w:rsid w:val="002B4284"/>
    <w:rsid w:val="002B4289"/>
    <w:rsid w:val="002B4310"/>
    <w:rsid w:val="002B4316"/>
    <w:rsid w:val="002B4334"/>
    <w:rsid w:val="002B439E"/>
    <w:rsid w:val="002B43D7"/>
    <w:rsid w:val="002B43E8"/>
    <w:rsid w:val="002B449D"/>
    <w:rsid w:val="002B44AE"/>
    <w:rsid w:val="002B44DB"/>
    <w:rsid w:val="002B4531"/>
    <w:rsid w:val="002B458C"/>
    <w:rsid w:val="002B45A9"/>
    <w:rsid w:val="002B4652"/>
    <w:rsid w:val="002B467A"/>
    <w:rsid w:val="002B46A4"/>
    <w:rsid w:val="002B47E0"/>
    <w:rsid w:val="002B489F"/>
    <w:rsid w:val="002B48D9"/>
    <w:rsid w:val="002B48E9"/>
    <w:rsid w:val="002B4933"/>
    <w:rsid w:val="002B49BD"/>
    <w:rsid w:val="002B4A1E"/>
    <w:rsid w:val="002B4A98"/>
    <w:rsid w:val="002B4B18"/>
    <w:rsid w:val="002B4B5D"/>
    <w:rsid w:val="002B4BCF"/>
    <w:rsid w:val="002B4C87"/>
    <w:rsid w:val="002B4D35"/>
    <w:rsid w:val="002B4D48"/>
    <w:rsid w:val="002B4D74"/>
    <w:rsid w:val="002B4D9E"/>
    <w:rsid w:val="002B4E44"/>
    <w:rsid w:val="002B4E46"/>
    <w:rsid w:val="002B4E97"/>
    <w:rsid w:val="002B4F1C"/>
    <w:rsid w:val="002B4F66"/>
    <w:rsid w:val="002B4F88"/>
    <w:rsid w:val="002B50A0"/>
    <w:rsid w:val="002B50B9"/>
    <w:rsid w:val="002B50FA"/>
    <w:rsid w:val="002B511D"/>
    <w:rsid w:val="002B52DD"/>
    <w:rsid w:val="002B52F1"/>
    <w:rsid w:val="002B538E"/>
    <w:rsid w:val="002B53F4"/>
    <w:rsid w:val="002B5402"/>
    <w:rsid w:val="002B5473"/>
    <w:rsid w:val="002B549A"/>
    <w:rsid w:val="002B54F0"/>
    <w:rsid w:val="002B553D"/>
    <w:rsid w:val="002B55F4"/>
    <w:rsid w:val="002B56E9"/>
    <w:rsid w:val="002B577D"/>
    <w:rsid w:val="002B5886"/>
    <w:rsid w:val="002B588A"/>
    <w:rsid w:val="002B58A9"/>
    <w:rsid w:val="002B58C2"/>
    <w:rsid w:val="002B59A3"/>
    <w:rsid w:val="002B5A3D"/>
    <w:rsid w:val="002B5A60"/>
    <w:rsid w:val="002B5BE1"/>
    <w:rsid w:val="002B5DB5"/>
    <w:rsid w:val="002B5DEB"/>
    <w:rsid w:val="002B5E07"/>
    <w:rsid w:val="002B5E97"/>
    <w:rsid w:val="002B5ED9"/>
    <w:rsid w:val="002B5EDF"/>
    <w:rsid w:val="002B5F05"/>
    <w:rsid w:val="002B5FAF"/>
    <w:rsid w:val="002B6010"/>
    <w:rsid w:val="002B60AB"/>
    <w:rsid w:val="002B61C3"/>
    <w:rsid w:val="002B6297"/>
    <w:rsid w:val="002B62AD"/>
    <w:rsid w:val="002B62CD"/>
    <w:rsid w:val="002B632D"/>
    <w:rsid w:val="002B637E"/>
    <w:rsid w:val="002B6408"/>
    <w:rsid w:val="002B6546"/>
    <w:rsid w:val="002B66C5"/>
    <w:rsid w:val="002B67B3"/>
    <w:rsid w:val="002B6811"/>
    <w:rsid w:val="002B6815"/>
    <w:rsid w:val="002B6928"/>
    <w:rsid w:val="002B692B"/>
    <w:rsid w:val="002B6973"/>
    <w:rsid w:val="002B697C"/>
    <w:rsid w:val="002B6ABD"/>
    <w:rsid w:val="002B6B7F"/>
    <w:rsid w:val="002B6BCA"/>
    <w:rsid w:val="002B6C06"/>
    <w:rsid w:val="002B6C20"/>
    <w:rsid w:val="002B6C3F"/>
    <w:rsid w:val="002B6CF5"/>
    <w:rsid w:val="002B6D42"/>
    <w:rsid w:val="002B6E67"/>
    <w:rsid w:val="002B6E80"/>
    <w:rsid w:val="002B6EBC"/>
    <w:rsid w:val="002B6F18"/>
    <w:rsid w:val="002B6F81"/>
    <w:rsid w:val="002B7019"/>
    <w:rsid w:val="002B7130"/>
    <w:rsid w:val="002B7160"/>
    <w:rsid w:val="002B72C4"/>
    <w:rsid w:val="002B737E"/>
    <w:rsid w:val="002B7454"/>
    <w:rsid w:val="002B74E9"/>
    <w:rsid w:val="002B74F5"/>
    <w:rsid w:val="002B75CF"/>
    <w:rsid w:val="002B75F8"/>
    <w:rsid w:val="002B7695"/>
    <w:rsid w:val="002B776B"/>
    <w:rsid w:val="002B777B"/>
    <w:rsid w:val="002B77D1"/>
    <w:rsid w:val="002B782C"/>
    <w:rsid w:val="002B7870"/>
    <w:rsid w:val="002B7914"/>
    <w:rsid w:val="002B7949"/>
    <w:rsid w:val="002B7975"/>
    <w:rsid w:val="002B79DC"/>
    <w:rsid w:val="002B79F4"/>
    <w:rsid w:val="002B7A20"/>
    <w:rsid w:val="002B7A91"/>
    <w:rsid w:val="002B7AAD"/>
    <w:rsid w:val="002B7B56"/>
    <w:rsid w:val="002B7C66"/>
    <w:rsid w:val="002B7CB7"/>
    <w:rsid w:val="002B7DBD"/>
    <w:rsid w:val="002B7E1B"/>
    <w:rsid w:val="002B7F00"/>
    <w:rsid w:val="002B7F4B"/>
    <w:rsid w:val="002C0043"/>
    <w:rsid w:val="002C0055"/>
    <w:rsid w:val="002C006C"/>
    <w:rsid w:val="002C0083"/>
    <w:rsid w:val="002C0089"/>
    <w:rsid w:val="002C00B6"/>
    <w:rsid w:val="002C00DB"/>
    <w:rsid w:val="002C0141"/>
    <w:rsid w:val="002C0151"/>
    <w:rsid w:val="002C02B3"/>
    <w:rsid w:val="002C02BA"/>
    <w:rsid w:val="002C0383"/>
    <w:rsid w:val="002C0396"/>
    <w:rsid w:val="002C042D"/>
    <w:rsid w:val="002C0494"/>
    <w:rsid w:val="002C04BA"/>
    <w:rsid w:val="002C058A"/>
    <w:rsid w:val="002C06B3"/>
    <w:rsid w:val="002C06F3"/>
    <w:rsid w:val="002C07D2"/>
    <w:rsid w:val="002C080F"/>
    <w:rsid w:val="002C0831"/>
    <w:rsid w:val="002C0874"/>
    <w:rsid w:val="002C08BD"/>
    <w:rsid w:val="002C0A7D"/>
    <w:rsid w:val="002C0B38"/>
    <w:rsid w:val="002C0BA0"/>
    <w:rsid w:val="002C0BD3"/>
    <w:rsid w:val="002C0BF8"/>
    <w:rsid w:val="002C0D1E"/>
    <w:rsid w:val="002C0D34"/>
    <w:rsid w:val="002C0D92"/>
    <w:rsid w:val="002C0E5A"/>
    <w:rsid w:val="002C0E9C"/>
    <w:rsid w:val="002C0F1B"/>
    <w:rsid w:val="002C0FC2"/>
    <w:rsid w:val="002C0FE3"/>
    <w:rsid w:val="002C104B"/>
    <w:rsid w:val="002C10AE"/>
    <w:rsid w:val="002C1102"/>
    <w:rsid w:val="002C1128"/>
    <w:rsid w:val="002C1286"/>
    <w:rsid w:val="002C1427"/>
    <w:rsid w:val="002C1437"/>
    <w:rsid w:val="002C1467"/>
    <w:rsid w:val="002C152F"/>
    <w:rsid w:val="002C154F"/>
    <w:rsid w:val="002C1639"/>
    <w:rsid w:val="002C16DE"/>
    <w:rsid w:val="002C172F"/>
    <w:rsid w:val="002C17CC"/>
    <w:rsid w:val="002C17D8"/>
    <w:rsid w:val="002C1851"/>
    <w:rsid w:val="002C187B"/>
    <w:rsid w:val="002C1903"/>
    <w:rsid w:val="002C19AC"/>
    <w:rsid w:val="002C19B4"/>
    <w:rsid w:val="002C19EE"/>
    <w:rsid w:val="002C1AAC"/>
    <w:rsid w:val="002C1B07"/>
    <w:rsid w:val="002C1C25"/>
    <w:rsid w:val="002C1C67"/>
    <w:rsid w:val="002C1CA3"/>
    <w:rsid w:val="002C1CEC"/>
    <w:rsid w:val="002C1D46"/>
    <w:rsid w:val="002C1D9E"/>
    <w:rsid w:val="002C1E26"/>
    <w:rsid w:val="002C1E62"/>
    <w:rsid w:val="002C1EE1"/>
    <w:rsid w:val="002C1EF9"/>
    <w:rsid w:val="002C1F2A"/>
    <w:rsid w:val="002C1F8F"/>
    <w:rsid w:val="002C2008"/>
    <w:rsid w:val="002C2021"/>
    <w:rsid w:val="002C20FC"/>
    <w:rsid w:val="002C2111"/>
    <w:rsid w:val="002C229E"/>
    <w:rsid w:val="002C22F2"/>
    <w:rsid w:val="002C231A"/>
    <w:rsid w:val="002C2329"/>
    <w:rsid w:val="002C234E"/>
    <w:rsid w:val="002C2396"/>
    <w:rsid w:val="002C23B4"/>
    <w:rsid w:val="002C2436"/>
    <w:rsid w:val="002C248E"/>
    <w:rsid w:val="002C2508"/>
    <w:rsid w:val="002C2520"/>
    <w:rsid w:val="002C25A3"/>
    <w:rsid w:val="002C25F3"/>
    <w:rsid w:val="002C261F"/>
    <w:rsid w:val="002C26D0"/>
    <w:rsid w:val="002C26DE"/>
    <w:rsid w:val="002C2748"/>
    <w:rsid w:val="002C278F"/>
    <w:rsid w:val="002C27FF"/>
    <w:rsid w:val="002C2804"/>
    <w:rsid w:val="002C2815"/>
    <w:rsid w:val="002C2858"/>
    <w:rsid w:val="002C288D"/>
    <w:rsid w:val="002C28D6"/>
    <w:rsid w:val="002C2956"/>
    <w:rsid w:val="002C295F"/>
    <w:rsid w:val="002C29BE"/>
    <w:rsid w:val="002C2B02"/>
    <w:rsid w:val="002C2C51"/>
    <w:rsid w:val="002C2C5D"/>
    <w:rsid w:val="002C2CF2"/>
    <w:rsid w:val="002C2D4D"/>
    <w:rsid w:val="002C2EE3"/>
    <w:rsid w:val="002C30D7"/>
    <w:rsid w:val="002C3117"/>
    <w:rsid w:val="002C3126"/>
    <w:rsid w:val="002C3152"/>
    <w:rsid w:val="002C3199"/>
    <w:rsid w:val="002C3230"/>
    <w:rsid w:val="002C3386"/>
    <w:rsid w:val="002C3399"/>
    <w:rsid w:val="002C3432"/>
    <w:rsid w:val="002C34D6"/>
    <w:rsid w:val="002C3542"/>
    <w:rsid w:val="002C3595"/>
    <w:rsid w:val="002C35B2"/>
    <w:rsid w:val="002C35F9"/>
    <w:rsid w:val="002C367E"/>
    <w:rsid w:val="002C36C3"/>
    <w:rsid w:val="002C36D1"/>
    <w:rsid w:val="002C3712"/>
    <w:rsid w:val="002C3740"/>
    <w:rsid w:val="002C3782"/>
    <w:rsid w:val="002C37AF"/>
    <w:rsid w:val="002C37DD"/>
    <w:rsid w:val="002C39A3"/>
    <w:rsid w:val="002C39C8"/>
    <w:rsid w:val="002C3A8F"/>
    <w:rsid w:val="002C3AC3"/>
    <w:rsid w:val="002C3AFF"/>
    <w:rsid w:val="002C3B23"/>
    <w:rsid w:val="002C3BC8"/>
    <w:rsid w:val="002C3BEB"/>
    <w:rsid w:val="002C3C32"/>
    <w:rsid w:val="002C3CE4"/>
    <w:rsid w:val="002C3D3C"/>
    <w:rsid w:val="002C3D46"/>
    <w:rsid w:val="002C3D81"/>
    <w:rsid w:val="002C3E9E"/>
    <w:rsid w:val="002C3F2B"/>
    <w:rsid w:val="002C3F97"/>
    <w:rsid w:val="002C41B6"/>
    <w:rsid w:val="002C4227"/>
    <w:rsid w:val="002C423D"/>
    <w:rsid w:val="002C424C"/>
    <w:rsid w:val="002C429C"/>
    <w:rsid w:val="002C4311"/>
    <w:rsid w:val="002C4456"/>
    <w:rsid w:val="002C44BE"/>
    <w:rsid w:val="002C44C8"/>
    <w:rsid w:val="002C4568"/>
    <w:rsid w:val="002C463E"/>
    <w:rsid w:val="002C46B4"/>
    <w:rsid w:val="002C46C7"/>
    <w:rsid w:val="002C4720"/>
    <w:rsid w:val="002C47C8"/>
    <w:rsid w:val="002C4857"/>
    <w:rsid w:val="002C4894"/>
    <w:rsid w:val="002C48B1"/>
    <w:rsid w:val="002C4993"/>
    <w:rsid w:val="002C4A2C"/>
    <w:rsid w:val="002C4B19"/>
    <w:rsid w:val="002C4B64"/>
    <w:rsid w:val="002C4B89"/>
    <w:rsid w:val="002C4C21"/>
    <w:rsid w:val="002C4CCA"/>
    <w:rsid w:val="002C4CE3"/>
    <w:rsid w:val="002C4D35"/>
    <w:rsid w:val="002C4D4C"/>
    <w:rsid w:val="002C4D72"/>
    <w:rsid w:val="002C4D8C"/>
    <w:rsid w:val="002C4D97"/>
    <w:rsid w:val="002C4DD0"/>
    <w:rsid w:val="002C4DD6"/>
    <w:rsid w:val="002C4E2E"/>
    <w:rsid w:val="002C4E3B"/>
    <w:rsid w:val="002C4E52"/>
    <w:rsid w:val="002C4ED3"/>
    <w:rsid w:val="002C4F28"/>
    <w:rsid w:val="002C4FF6"/>
    <w:rsid w:val="002C51CC"/>
    <w:rsid w:val="002C52BA"/>
    <w:rsid w:val="002C5340"/>
    <w:rsid w:val="002C5404"/>
    <w:rsid w:val="002C549B"/>
    <w:rsid w:val="002C54EB"/>
    <w:rsid w:val="002C551D"/>
    <w:rsid w:val="002C5543"/>
    <w:rsid w:val="002C5638"/>
    <w:rsid w:val="002C5645"/>
    <w:rsid w:val="002C573E"/>
    <w:rsid w:val="002C5749"/>
    <w:rsid w:val="002C5771"/>
    <w:rsid w:val="002C581A"/>
    <w:rsid w:val="002C5881"/>
    <w:rsid w:val="002C5985"/>
    <w:rsid w:val="002C59B2"/>
    <w:rsid w:val="002C59B9"/>
    <w:rsid w:val="002C5A9A"/>
    <w:rsid w:val="002C5ACD"/>
    <w:rsid w:val="002C5B18"/>
    <w:rsid w:val="002C5B76"/>
    <w:rsid w:val="002C5CAB"/>
    <w:rsid w:val="002C5CC1"/>
    <w:rsid w:val="002C5D18"/>
    <w:rsid w:val="002C5DFB"/>
    <w:rsid w:val="002C5E92"/>
    <w:rsid w:val="002C5EAF"/>
    <w:rsid w:val="002C5F07"/>
    <w:rsid w:val="002C5F19"/>
    <w:rsid w:val="002C60BB"/>
    <w:rsid w:val="002C60CC"/>
    <w:rsid w:val="002C6134"/>
    <w:rsid w:val="002C6153"/>
    <w:rsid w:val="002C6164"/>
    <w:rsid w:val="002C617A"/>
    <w:rsid w:val="002C6208"/>
    <w:rsid w:val="002C62A6"/>
    <w:rsid w:val="002C62D4"/>
    <w:rsid w:val="002C62E8"/>
    <w:rsid w:val="002C636F"/>
    <w:rsid w:val="002C6420"/>
    <w:rsid w:val="002C64D5"/>
    <w:rsid w:val="002C6597"/>
    <w:rsid w:val="002C65D8"/>
    <w:rsid w:val="002C6625"/>
    <w:rsid w:val="002C6629"/>
    <w:rsid w:val="002C66BA"/>
    <w:rsid w:val="002C6794"/>
    <w:rsid w:val="002C67A9"/>
    <w:rsid w:val="002C67AC"/>
    <w:rsid w:val="002C67BB"/>
    <w:rsid w:val="002C67F5"/>
    <w:rsid w:val="002C693E"/>
    <w:rsid w:val="002C6983"/>
    <w:rsid w:val="002C6A4D"/>
    <w:rsid w:val="002C6A6A"/>
    <w:rsid w:val="002C6A7C"/>
    <w:rsid w:val="002C6AB9"/>
    <w:rsid w:val="002C6AEC"/>
    <w:rsid w:val="002C6B45"/>
    <w:rsid w:val="002C6B80"/>
    <w:rsid w:val="002C6BE9"/>
    <w:rsid w:val="002C6BF4"/>
    <w:rsid w:val="002C6BFB"/>
    <w:rsid w:val="002C6C34"/>
    <w:rsid w:val="002C6C3F"/>
    <w:rsid w:val="002C6CB2"/>
    <w:rsid w:val="002C6F6A"/>
    <w:rsid w:val="002C6F6F"/>
    <w:rsid w:val="002C6FE7"/>
    <w:rsid w:val="002C7047"/>
    <w:rsid w:val="002C709A"/>
    <w:rsid w:val="002C714A"/>
    <w:rsid w:val="002C7218"/>
    <w:rsid w:val="002C72A4"/>
    <w:rsid w:val="002C7308"/>
    <w:rsid w:val="002C7379"/>
    <w:rsid w:val="002C73C1"/>
    <w:rsid w:val="002C745B"/>
    <w:rsid w:val="002C755D"/>
    <w:rsid w:val="002C7619"/>
    <w:rsid w:val="002C761A"/>
    <w:rsid w:val="002C7655"/>
    <w:rsid w:val="002C7683"/>
    <w:rsid w:val="002C76F5"/>
    <w:rsid w:val="002C7780"/>
    <w:rsid w:val="002C77AF"/>
    <w:rsid w:val="002C77B0"/>
    <w:rsid w:val="002C787D"/>
    <w:rsid w:val="002C78D6"/>
    <w:rsid w:val="002C7966"/>
    <w:rsid w:val="002C797E"/>
    <w:rsid w:val="002C7A8D"/>
    <w:rsid w:val="002C7B2F"/>
    <w:rsid w:val="002C7B50"/>
    <w:rsid w:val="002C7C49"/>
    <w:rsid w:val="002C7D07"/>
    <w:rsid w:val="002C7DEA"/>
    <w:rsid w:val="002C7E45"/>
    <w:rsid w:val="002C7E88"/>
    <w:rsid w:val="002C7F28"/>
    <w:rsid w:val="002C7F51"/>
    <w:rsid w:val="002C7F82"/>
    <w:rsid w:val="002C7FF7"/>
    <w:rsid w:val="002D00CC"/>
    <w:rsid w:val="002D0184"/>
    <w:rsid w:val="002D02A0"/>
    <w:rsid w:val="002D02E1"/>
    <w:rsid w:val="002D0325"/>
    <w:rsid w:val="002D0354"/>
    <w:rsid w:val="002D03BA"/>
    <w:rsid w:val="002D040B"/>
    <w:rsid w:val="002D044A"/>
    <w:rsid w:val="002D04C0"/>
    <w:rsid w:val="002D04E3"/>
    <w:rsid w:val="002D04E9"/>
    <w:rsid w:val="002D04EF"/>
    <w:rsid w:val="002D054F"/>
    <w:rsid w:val="002D0669"/>
    <w:rsid w:val="002D07A3"/>
    <w:rsid w:val="002D095D"/>
    <w:rsid w:val="002D0A00"/>
    <w:rsid w:val="002D0A1C"/>
    <w:rsid w:val="002D0A69"/>
    <w:rsid w:val="002D0AD9"/>
    <w:rsid w:val="002D0ADC"/>
    <w:rsid w:val="002D0B54"/>
    <w:rsid w:val="002D0B57"/>
    <w:rsid w:val="002D0B65"/>
    <w:rsid w:val="002D0B6B"/>
    <w:rsid w:val="002D0D30"/>
    <w:rsid w:val="002D0D40"/>
    <w:rsid w:val="002D0F00"/>
    <w:rsid w:val="002D0F08"/>
    <w:rsid w:val="002D0F14"/>
    <w:rsid w:val="002D0F15"/>
    <w:rsid w:val="002D0F36"/>
    <w:rsid w:val="002D0F5B"/>
    <w:rsid w:val="002D0FDC"/>
    <w:rsid w:val="002D1092"/>
    <w:rsid w:val="002D10FC"/>
    <w:rsid w:val="002D134C"/>
    <w:rsid w:val="002D140B"/>
    <w:rsid w:val="002D14A1"/>
    <w:rsid w:val="002D16C9"/>
    <w:rsid w:val="002D173A"/>
    <w:rsid w:val="002D173B"/>
    <w:rsid w:val="002D17DA"/>
    <w:rsid w:val="002D1815"/>
    <w:rsid w:val="002D1844"/>
    <w:rsid w:val="002D1873"/>
    <w:rsid w:val="002D188A"/>
    <w:rsid w:val="002D18D5"/>
    <w:rsid w:val="002D19A0"/>
    <w:rsid w:val="002D19B3"/>
    <w:rsid w:val="002D1AFE"/>
    <w:rsid w:val="002D1B47"/>
    <w:rsid w:val="002D1B75"/>
    <w:rsid w:val="002D1B87"/>
    <w:rsid w:val="002D1C57"/>
    <w:rsid w:val="002D1CBF"/>
    <w:rsid w:val="002D1D6B"/>
    <w:rsid w:val="002D1D88"/>
    <w:rsid w:val="002D1E15"/>
    <w:rsid w:val="002D1E4D"/>
    <w:rsid w:val="002D1E7E"/>
    <w:rsid w:val="002D1EB0"/>
    <w:rsid w:val="002D1EB5"/>
    <w:rsid w:val="002D1FF4"/>
    <w:rsid w:val="002D214C"/>
    <w:rsid w:val="002D21CE"/>
    <w:rsid w:val="002D21F0"/>
    <w:rsid w:val="002D23A3"/>
    <w:rsid w:val="002D23A9"/>
    <w:rsid w:val="002D23F0"/>
    <w:rsid w:val="002D254E"/>
    <w:rsid w:val="002D2563"/>
    <w:rsid w:val="002D2580"/>
    <w:rsid w:val="002D25D5"/>
    <w:rsid w:val="002D25DB"/>
    <w:rsid w:val="002D2614"/>
    <w:rsid w:val="002D265D"/>
    <w:rsid w:val="002D26E6"/>
    <w:rsid w:val="002D26E8"/>
    <w:rsid w:val="002D26FD"/>
    <w:rsid w:val="002D27DF"/>
    <w:rsid w:val="002D27ED"/>
    <w:rsid w:val="002D2827"/>
    <w:rsid w:val="002D288F"/>
    <w:rsid w:val="002D28DA"/>
    <w:rsid w:val="002D2940"/>
    <w:rsid w:val="002D296B"/>
    <w:rsid w:val="002D297B"/>
    <w:rsid w:val="002D297C"/>
    <w:rsid w:val="002D29B3"/>
    <w:rsid w:val="002D29CB"/>
    <w:rsid w:val="002D2A8C"/>
    <w:rsid w:val="002D2B0B"/>
    <w:rsid w:val="002D2B79"/>
    <w:rsid w:val="002D2BBC"/>
    <w:rsid w:val="002D2C94"/>
    <w:rsid w:val="002D2DD9"/>
    <w:rsid w:val="002D2E2D"/>
    <w:rsid w:val="002D2E43"/>
    <w:rsid w:val="002D2E86"/>
    <w:rsid w:val="002D2F49"/>
    <w:rsid w:val="002D303B"/>
    <w:rsid w:val="002D3079"/>
    <w:rsid w:val="002D30AC"/>
    <w:rsid w:val="002D30B2"/>
    <w:rsid w:val="002D30F5"/>
    <w:rsid w:val="002D30FB"/>
    <w:rsid w:val="002D3117"/>
    <w:rsid w:val="002D31AB"/>
    <w:rsid w:val="002D31DB"/>
    <w:rsid w:val="002D31E3"/>
    <w:rsid w:val="002D32AB"/>
    <w:rsid w:val="002D32EC"/>
    <w:rsid w:val="002D3326"/>
    <w:rsid w:val="002D3336"/>
    <w:rsid w:val="002D3371"/>
    <w:rsid w:val="002D337A"/>
    <w:rsid w:val="002D33A2"/>
    <w:rsid w:val="002D3435"/>
    <w:rsid w:val="002D3495"/>
    <w:rsid w:val="002D352B"/>
    <w:rsid w:val="002D3565"/>
    <w:rsid w:val="002D357B"/>
    <w:rsid w:val="002D3632"/>
    <w:rsid w:val="002D365D"/>
    <w:rsid w:val="002D36BA"/>
    <w:rsid w:val="002D36DB"/>
    <w:rsid w:val="002D36E2"/>
    <w:rsid w:val="002D3705"/>
    <w:rsid w:val="002D37CD"/>
    <w:rsid w:val="002D384B"/>
    <w:rsid w:val="002D3888"/>
    <w:rsid w:val="002D38FB"/>
    <w:rsid w:val="002D3955"/>
    <w:rsid w:val="002D39AB"/>
    <w:rsid w:val="002D3A42"/>
    <w:rsid w:val="002D3C94"/>
    <w:rsid w:val="002D3CA0"/>
    <w:rsid w:val="002D3DBC"/>
    <w:rsid w:val="002D3E7E"/>
    <w:rsid w:val="002D3EC3"/>
    <w:rsid w:val="002D3F04"/>
    <w:rsid w:val="002D3F67"/>
    <w:rsid w:val="002D3FF9"/>
    <w:rsid w:val="002D4035"/>
    <w:rsid w:val="002D404E"/>
    <w:rsid w:val="002D40C4"/>
    <w:rsid w:val="002D40DD"/>
    <w:rsid w:val="002D4219"/>
    <w:rsid w:val="002D4255"/>
    <w:rsid w:val="002D42F1"/>
    <w:rsid w:val="002D4310"/>
    <w:rsid w:val="002D43FA"/>
    <w:rsid w:val="002D444A"/>
    <w:rsid w:val="002D4580"/>
    <w:rsid w:val="002D4599"/>
    <w:rsid w:val="002D46AB"/>
    <w:rsid w:val="002D470C"/>
    <w:rsid w:val="002D476E"/>
    <w:rsid w:val="002D47A5"/>
    <w:rsid w:val="002D47F1"/>
    <w:rsid w:val="002D4893"/>
    <w:rsid w:val="002D48C2"/>
    <w:rsid w:val="002D490C"/>
    <w:rsid w:val="002D49F0"/>
    <w:rsid w:val="002D4A9A"/>
    <w:rsid w:val="002D4AF6"/>
    <w:rsid w:val="002D4B34"/>
    <w:rsid w:val="002D4B62"/>
    <w:rsid w:val="002D4C01"/>
    <w:rsid w:val="002D4C22"/>
    <w:rsid w:val="002D4C29"/>
    <w:rsid w:val="002D4E12"/>
    <w:rsid w:val="002D4E1A"/>
    <w:rsid w:val="002D4F3A"/>
    <w:rsid w:val="002D4FA0"/>
    <w:rsid w:val="002D5027"/>
    <w:rsid w:val="002D5041"/>
    <w:rsid w:val="002D5081"/>
    <w:rsid w:val="002D50AC"/>
    <w:rsid w:val="002D50CB"/>
    <w:rsid w:val="002D5161"/>
    <w:rsid w:val="002D5184"/>
    <w:rsid w:val="002D5199"/>
    <w:rsid w:val="002D5212"/>
    <w:rsid w:val="002D528E"/>
    <w:rsid w:val="002D52A2"/>
    <w:rsid w:val="002D5326"/>
    <w:rsid w:val="002D53A6"/>
    <w:rsid w:val="002D5437"/>
    <w:rsid w:val="002D548E"/>
    <w:rsid w:val="002D54F6"/>
    <w:rsid w:val="002D554F"/>
    <w:rsid w:val="002D55B3"/>
    <w:rsid w:val="002D55B8"/>
    <w:rsid w:val="002D55D3"/>
    <w:rsid w:val="002D5618"/>
    <w:rsid w:val="002D5656"/>
    <w:rsid w:val="002D56DF"/>
    <w:rsid w:val="002D574C"/>
    <w:rsid w:val="002D5752"/>
    <w:rsid w:val="002D57D8"/>
    <w:rsid w:val="002D57F5"/>
    <w:rsid w:val="002D5819"/>
    <w:rsid w:val="002D58B2"/>
    <w:rsid w:val="002D5967"/>
    <w:rsid w:val="002D59B4"/>
    <w:rsid w:val="002D5A2B"/>
    <w:rsid w:val="002D5A7B"/>
    <w:rsid w:val="002D5B1E"/>
    <w:rsid w:val="002D5B6C"/>
    <w:rsid w:val="002D5BB4"/>
    <w:rsid w:val="002D5BF0"/>
    <w:rsid w:val="002D5C28"/>
    <w:rsid w:val="002D5C6A"/>
    <w:rsid w:val="002D5CB1"/>
    <w:rsid w:val="002D5D6C"/>
    <w:rsid w:val="002D5DE8"/>
    <w:rsid w:val="002D5F32"/>
    <w:rsid w:val="002D5F83"/>
    <w:rsid w:val="002D5F95"/>
    <w:rsid w:val="002D6085"/>
    <w:rsid w:val="002D60F3"/>
    <w:rsid w:val="002D618A"/>
    <w:rsid w:val="002D6191"/>
    <w:rsid w:val="002D6197"/>
    <w:rsid w:val="002D6215"/>
    <w:rsid w:val="002D6223"/>
    <w:rsid w:val="002D624A"/>
    <w:rsid w:val="002D62E3"/>
    <w:rsid w:val="002D62FD"/>
    <w:rsid w:val="002D6418"/>
    <w:rsid w:val="002D6475"/>
    <w:rsid w:val="002D6480"/>
    <w:rsid w:val="002D6491"/>
    <w:rsid w:val="002D649F"/>
    <w:rsid w:val="002D64A2"/>
    <w:rsid w:val="002D64B6"/>
    <w:rsid w:val="002D6559"/>
    <w:rsid w:val="002D6629"/>
    <w:rsid w:val="002D6666"/>
    <w:rsid w:val="002D6673"/>
    <w:rsid w:val="002D66B3"/>
    <w:rsid w:val="002D66F1"/>
    <w:rsid w:val="002D6B85"/>
    <w:rsid w:val="002D6C2F"/>
    <w:rsid w:val="002D6C79"/>
    <w:rsid w:val="002D6C83"/>
    <w:rsid w:val="002D6CED"/>
    <w:rsid w:val="002D6D7A"/>
    <w:rsid w:val="002D6DE9"/>
    <w:rsid w:val="002D6DF3"/>
    <w:rsid w:val="002D6DF9"/>
    <w:rsid w:val="002D6DFC"/>
    <w:rsid w:val="002D6E1A"/>
    <w:rsid w:val="002D6E35"/>
    <w:rsid w:val="002D6EB8"/>
    <w:rsid w:val="002D6F64"/>
    <w:rsid w:val="002D6FA8"/>
    <w:rsid w:val="002D6FF5"/>
    <w:rsid w:val="002D7005"/>
    <w:rsid w:val="002D704A"/>
    <w:rsid w:val="002D70E7"/>
    <w:rsid w:val="002D70FC"/>
    <w:rsid w:val="002D7177"/>
    <w:rsid w:val="002D7287"/>
    <w:rsid w:val="002D728D"/>
    <w:rsid w:val="002D72FB"/>
    <w:rsid w:val="002D731D"/>
    <w:rsid w:val="002D74B7"/>
    <w:rsid w:val="002D75AE"/>
    <w:rsid w:val="002D75BE"/>
    <w:rsid w:val="002D7621"/>
    <w:rsid w:val="002D7638"/>
    <w:rsid w:val="002D7653"/>
    <w:rsid w:val="002D767D"/>
    <w:rsid w:val="002D7699"/>
    <w:rsid w:val="002D76B9"/>
    <w:rsid w:val="002D76ED"/>
    <w:rsid w:val="002D7742"/>
    <w:rsid w:val="002D7763"/>
    <w:rsid w:val="002D7770"/>
    <w:rsid w:val="002D7859"/>
    <w:rsid w:val="002D786A"/>
    <w:rsid w:val="002D788A"/>
    <w:rsid w:val="002D791D"/>
    <w:rsid w:val="002D794A"/>
    <w:rsid w:val="002D79D4"/>
    <w:rsid w:val="002D7A3F"/>
    <w:rsid w:val="002D7AE3"/>
    <w:rsid w:val="002D7AF4"/>
    <w:rsid w:val="002D7B62"/>
    <w:rsid w:val="002D7C02"/>
    <w:rsid w:val="002D7C0D"/>
    <w:rsid w:val="002D7DB7"/>
    <w:rsid w:val="002D7E5F"/>
    <w:rsid w:val="002D7E8D"/>
    <w:rsid w:val="002D7EFB"/>
    <w:rsid w:val="002D7F7A"/>
    <w:rsid w:val="002D7F9C"/>
    <w:rsid w:val="002D7FC3"/>
    <w:rsid w:val="002D7FF5"/>
    <w:rsid w:val="002E0017"/>
    <w:rsid w:val="002E0066"/>
    <w:rsid w:val="002E0097"/>
    <w:rsid w:val="002E00C1"/>
    <w:rsid w:val="002E00CF"/>
    <w:rsid w:val="002E0104"/>
    <w:rsid w:val="002E013C"/>
    <w:rsid w:val="002E01D0"/>
    <w:rsid w:val="002E031F"/>
    <w:rsid w:val="002E0381"/>
    <w:rsid w:val="002E05D2"/>
    <w:rsid w:val="002E05DD"/>
    <w:rsid w:val="002E05E7"/>
    <w:rsid w:val="002E05F2"/>
    <w:rsid w:val="002E0720"/>
    <w:rsid w:val="002E0758"/>
    <w:rsid w:val="002E085E"/>
    <w:rsid w:val="002E086E"/>
    <w:rsid w:val="002E0962"/>
    <w:rsid w:val="002E0968"/>
    <w:rsid w:val="002E09B3"/>
    <w:rsid w:val="002E0AE6"/>
    <w:rsid w:val="002E0AEE"/>
    <w:rsid w:val="002E0B1E"/>
    <w:rsid w:val="002E0BBE"/>
    <w:rsid w:val="002E0C1D"/>
    <w:rsid w:val="002E0C9C"/>
    <w:rsid w:val="002E0C9F"/>
    <w:rsid w:val="002E0D2B"/>
    <w:rsid w:val="002E0D5B"/>
    <w:rsid w:val="002E0D67"/>
    <w:rsid w:val="002E0D7B"/>
    <w:rsid w:val="002E0D8F"/>
    <w:rsid w:val="002E0DEA"/>
    <w:rsid w:val="002E0E5B"/>
    <w:rsid w:val="002E0EC0"/>
    <w:rsid w:val="002E10FC"/>
    <w:rsid w:val="002E1125"/>
    <w:rsid w:val="002E1169"/>
    <w:rsid w:val="002E11E5"/>
    <w:rsid w:val="002E1220"/>
    <w:rsid w:val="002E122D"/>
    <w:rsid w:val="002E1248"/>
    <w:rsid w:val="002E13CE"/>
    <w:rsid w:val="002E144E"/>
    <w:rsid w:val="002E1464"/>
    <w:rsid w:val="002E14AC"/>
    <w:rsid w:val="002E15C6"/>
    <w:rsid w:val="002E15D4"/>
    <w:rsid w:val="002E1682"/>
    <w:rsid w:val="002E16C7"/>
    <w:rsid w:val="002E16E0"/>
    <w:rsid w:val="002E170D"/>
    <w:rsid w:val="002E1737"/>
    <w:rsid w:val="002E1771"/>
    <w:rsid w:val="002E1776"/>
    <w:rsid w:val="002E17C3"/>
    <w:rsid w:val="002E17C4"/>
    <w:rsid w:val="002E1912"/>
    <w:rsid w:val="002E1950"/>
    <w:rsid w:val="002E1967"/>
    <w:rsid w:val="002E197B"/>
    <w:rsid w:val="002E19A1"/>
    <w:rsid w:val="002E19B5"/>
    <w:rsid w:val="002E19CD"/>
    <w:rsid w:val="002E19E2"/>
    <w:rsid w:val="002E19ED"/>
    <w:rsid w:val="002E1A29"/>
    <w:rsid w:val="002E1ABF"/>
    <w:rsid w:val="002E1AD4"/>
    <w:rsid w:val="002E1B23"/>
    <w:rsid w:val="002E1BA7"/>
    <w:rsid w:val="002E1CDE"/>
    <w:rsid w:val="002E1D1C"/>
    <w:rsid w:val="002E1D92"/>
    <w:rsid w:val="002E1E07"/>
    <w:rsid w:val="002E1E42"/>
    <w:rsid w:val="002E1E60"/>
    <w:rsid w:val="002E1EBF"/>
    <w:rsid w:val="002E1F59"/>
    <w:rsid w:val="002E1F6C"/>
    <w:rsid w:val="002E1F83"/>
    <w:rsid w:val="002E200C"/>
    <w:rsid w:val="002E2023"/>
    <w:rsid w:val="002E2043"/>
    <w:rsid w:val="002E2071"/>
    <w:rsid w:val="002E20E2"/>
    <w:rsid w:val="002E2145"/>
    <w:rsid w:val="002E2164"/>
    <w:rsid w:val="002E2165"/>
    <w:rsid w:val="002E21E0"/>
    <w:rsid w:val="002E2209"/>
    <w:rsid w:val="002E2358"/>
    <w:rsid w:val="002E2442"/>
    <w:rsid w:val="002E24AB"/>
    <w:rsid w:val="002E24EA"/>
    <w:rsid w:val="002E25BC"/>
    <w:rsid w:val="002E2644"/>
    <w:rsid w:val="002E2698"/>
    <w:rsid w:val="002E26E4"/>
    <w:rsid w:val="002E27DA"/>
    <w:rsid w:val="002E2838"/>
    <w:rsid w:val="002E287B"/>
    <w:rsid w:val="002E28D8"/>
    <w:rsid w:val="002E29A1"/>
    <w:rsid w:val="002E29C2"/>
    <w:rsid w:val="002E2A36"/>
    <w:rsid w:val="002E2A94"/>
    <w:rsid w:val="002E2A9A"/>
    <w:rsid w:val="002E2AD3"/>
    <w:rsid w:val="002E2AEA"/>
    <w:rsid w:val="002E2B61"/>
    <w:rsid w:val="002E2BA0"/>
    <w:rsid w:val="002E2C0F"/>
    <w:rsid w:val="002E2CA6"/>
    <w:rsid w:val="002E2CE8"/>
    <w:rsid w:val="002E2D62"/>
    <w:rsid w:val="002E2DD3"/>
    <w:rsid w:val="002E2E78"/>
    <w:rsid w:val="002E2F08"/>
    <w:rsid w:val="002E2F76"/>
    <w:rsid w:val="002E2F90"/>
    <w:rsid w:val="002E2FAB"/>
    <w:rsid w:val="002E2FB5"/>
    <w:rsid w:val="002E2FC7"/>
    <w:rsid w:val="002E302D"/>
    <w:rsid w:val="002E3093"/>
    <w:rsid w:val="002E30F4"/>
    <w:rsid w:val="002E3108"/>
    <w:rsid w:val="002E31FD"/>
    <w:rsid w:val="002E323A"/>
    <w:rsid w:val="002E326C"/>
    <w:rsid w:val="002E3275"/>
    <w:rsid w:val="002E327A"/>
    <w:rsid w:val="002E339C"/>
    <w:rsid w:val="002E3417"/>
    <w:rsid w:val="002E34BC"/>
    <w:rsid w:val="002E34BE"/>
    <w:rsid w:val="002E3534"/>
    <w:rsid w:val="002E355B"/>
    <w:rsid w:val="002E358C"/>
    <w:rsid w:val="002E3590"/>
    <w:rsid w:val="002E35C8"/>
    <w:rsid w:val="002E3623"/>
    <w:rsid w:val="002E3718"/>
    <w:rsid w:val="002E378B"/>
    <w:rsid w:val="002E37A8"/>
    <w:rsid w:val="002E37AD"/>
    <w:rsid w:val="002E383A"/>
    <w:rsid w:val="002E397D"/>
    <w:rsid w:val="002E3A19"/>
    <w:rsid w:val="002E3B43"/>
    <w:rsid w:val="002E3B6C"/>
    <w:rsid w:val="002E3B89"/>
    <w:rsid w:val="002E3C4C"/>
    <w:rsid w:val="002E3C94"/>
    <w:rsid w:val="002E3CE2"/>
    <w:rsid w:val="002E3CEA"/>
    <w:rsid w:val="002E3D1C"/>
    <w:rsid w:val="002E3D8F"/>
    <w:rsid w:val="002E3DA8"/>
    <w:rsid w:val="002E3DBE"/>
    <w:rsid w:val="002E3EE4"/>
    <w:rsid w:val="002E3F19"/>
    <w:rsid w:val="002E3F43"/>
    <w:rsid w:val="002E3FEB"/>
    <w:rsid w:val="002E405C"/>
    <w:rsid w:val="002E406F"/>
    <w:rsid w:val="002E416D"/>
    <w:rsid w:val="002E41AA"/>
    <w:rsid w:val="002E42A0"/>
    <w:rsid w:val="002E42C3"/>
    <w:rsid w:val="002E42D3"/>
    <w:rsid w:val="002E42E2"/>
    <w:rsid w:val="002E433D"/>
    <w:rsid w:val="002E436F"/>
    <w:rsid w:val="002E441E"/>
    <w:rsid w:val="002E4444"/>
    <w:rsid w:val="002E4477"/>
    <w:rsid w:val="002E44B2"/>
    <w:rsid w:val="002E44FB"/>
    <w:rsid w:val="002E4592"/>
    <w:rsid w:val="002E4605"/>
    <w:rsid w:val="002E4668"/>
    <w:rsid w:val="002E467A"/>
    <w:rsid w:val="002E46C1"/>
    <w:rsid w:val="002E4735"/>
    <w:rsid w:val="002E47B3"/>
    <w:rsid w:val="002E47CA"/>
    <w:rsid w:val="002E4910"/>
    <w:rsid w:val="002E492D"/>
    <w:rsid w:val="002E4955"/>
    <w:rsid w:val="002E4961"/>
    <w:rsid w:val="002E4A54"/>
    <w:rsid w:val="002E4A85"/>
    <w:rsid w:val="002E4AA4"/>
    <w:rsid w:val="002E4AB2"/>
    <w:rsid w:val="002E4AFC"/>
    <w:rsid w:val="002E4BF8"/>
    <w:rsid w:val="002E4C29"/>
    <w:rsid w:val="002E4C86"/>
    <w:rsid w:val="002E4D1B"/>
    <w:rsid w:val="002E4D88"/>
    <w:rsid w:val="002E4E74"/>
    <w:rsid w:val="002E4EA4"/>
    <w:rsid w:val="002E4EAF"/>
    <w:rsid w:val="002E4EE7"/>
    <w:rsid w:val="002E4F92"/>
    <w:rsid w:val="002E4FB7"/>
    <w:rsid w:val="002E5031"/>
    <w:rsid w:val="002E50DB"/>
    <w:rsid w:val="002E50DC"/>
    <w:rsid w:val="002E510C"/>
    <w:rsid w:val="002E518C"/>
    <w:rsid w:val="002E51C3"/>
    <w:rsid w:val="002E51D2"/>
    <w:rsid w:val="002E5209"/>
    <w:rsid w:val="002E523C"/>
    <w:rsid w:val="002E52E3"/>
    <w:rsid w:val="002E52E8"/>
    <w:rsid w:val="002E5348"/>
    <w:rsid w:val="002E5365"/>
    <w:rsid w:val="002E53D8"/>
    <w:rsid w:val="002E53DD"/>
    <w:rsid w:val="002E54B2"/>
    <w:rsid w:val="002E5516"/>
    <w:rsid w:val="002E551F"/>
    <w:rsid w:val="002E5541"/>
    <w:rsid w:val="002E555E"/>
    <w:rsid w:val="002E5646"/>
    <w:rsid w:val="002E5696"/>
    <w:rsid w:val="002E56FC"/>
    <w:rsid w:val="002E5731"/>
    <w:rsid w:val="002E577A"/>
    <w:rsid w:val="002E57A7"/>
    <w:rsid w:val="002E57BB"/>
    <w:rsid w:val="002E587A"/>
    <w:rsid w:val="002E59A1"/>
    <w:rsid w:val="002E59A5"/>
    <w:rsid w:val="002E59D8"/>
    <w:rsid w:val="002E5BF7"/>
    <w:rsid w:val="002E5C02"/>
    <w:rsid w:val="002E5CD2"/>
    <w:rsid w:val="002E5CE0"/>
    <w:rsid w:val="002E5D0F"/>
    <w:rsid w:val="002E5D30"/>
    <w:rsid w:val="002E5D8A"/>
    <w:rsid w:val="002E5DB5"/>
    <w:rsid w:val="002E5E01"/>
    <w:rsid w:val="002E5E39"/>
    <w:rsid w:val="002E5E48"/>
    <w:rsid w:val="002E5E6C"/>
    <w:rsid w:val="002E5E87"/>
    <w:rsid w:val="002E5EAA"/>
    <w:rsid w:val="002E5F55"/>
    <w:rsid w:val="002E5F59"/>
    <w:rsid w:val="002E5FED"/>
    <w:rsid w:val="002E60E7"/>
    <w:rsid w:val="002E6115"/>
    <w:rsid w:val="002E613A"/>
    <w:rsid w:val="002E61DB"/>
    <w:rsid w:val="002E62B1"/>
    <w:rsid w:val="002E632B"/>
    <w:rsid w:val="002E63AF"/>
    <w:rsid w:val="002E63B9"/>
    <w:rsid w:val="002E63EC"/>
    <w:rsid w:val="002E6437"/>
    <w:rsid w:val="002E64B0"/>
    <w:rsid w:val="002E6512"/>
    <w:rsid w:val="002E6559"/>
    <w:rsid w:val="002E656C"/>
    <w:rsid w:val="002E6572"/>
    <w:rsid w:val="002E6669"/>
    <w:rsid w:val="002E66AE"/>
    <w:rsid w:val="002E676C"/>
    <w:rsid w:val="002E677B"/>
    <w:rsid w:val="002E67BB"/>
    <w:rsid w:val="002E67D6"/>
    <w:rsid w:val="002E6833"/>
    <w:rsid w:val="002E68D0"/>
    <w:rsid w:val="002E69B0"/>
    <w:rsid w:val="002E69BA"/>
    <w:rsid w:val="002E6A9F"/>
    <w:rsid w:val="002E6B75"/>
    <w:rsid w:val="002E6BFF"/>
    <w:rsid w:val="002E6C8B"/>
    <w:rsid w:val="002E6CA7"/>
    <w:rsid w:val="002E6CE0"/>
    <w:rsid w:val="002E6D6A"/>
    <w:rsid w:val="002E6DBA"/>
    <w:rsid w:val="002E6DD2"/>
    <w:rsid w:val="002E6E7E"/>
    <w:rsid w:val="002E6EB6"/>
    <w:rsid w:val="002E6EEC"/>
    <w:rsid w:val="002E6F10"/>
    <w:rsid w:val="002E6F4B"/>
    <w:rsid w:val="002E70C1"/>
    <w:rsid w:val="002E70CD"/>
    <w:rsid w:val="002E70D0"/>
    <w:rsid w:val="002E7167"/>
    <w:rsid w:val="002E71DE"/>
    <w:rsid w:val="002E71EC"/>
    <w:rsid w:val="002E721C"/>
    <w:rsid w:val="002E7245"/>
    <w:rsid w:val="002E7283"/>
    <w:rsid w:val="002E7337"/>
    <w:rsid w:val="002E7510"/>
    <w:rsid w:val="002E7535"/>
    <w:rsid w:val="002E7552"/>
    <w:rsid w:val="002E7565"/>
    <w:rsid w:val="002E7594"/>
    <w:rsid w:val="002E75AE"/>
    <w:rsid w:val="002E7603"/>
    <w:rsid w:val="002E7620"/>
    <w:rsid w:val="002E7689"/>
    <w:rsid w:val="002E76A1"/>
    <w:rsid w:val="002E76FC"/>
    <w:rsid w:val="002E7739"/>
    <w:rsid w:val="002E7808"/>
    <w:rsid w:val="002E780C"/>
    <w:rsid w:val="002E7838"/>
    <w:rsid w:val="002E7853"/>
    <w:rsid w:val="002E787A"/>
    <w:rsid w:val="002E7960"/>
    <w:rsid w:val="002E79BD"/>
    <w:rsid w:val="002E7A0E"/>
    <w:rsid w:val="002E7A51"/>
    <w:rsid w:val="002E7A55"/>
    <w:rsid w:val="002E7ACA"/>
    <w:rsid w:val="002E7B72"/>
    <w:rsid w:val="002E7B74"/>
    <w:rsid w:val="002E7CD8"/>
    <w:rsid w:val="002E7DB9"/>
    <w:rsid w:val="002E7E33"/>
    <w:rsid w:val="002E7E91"/>
    <w:rsid w:val="002E7EB0"/>
    <w:rsid w:val="002E7EBF"/>
    <w:rsid w:val="002E7ECE"/>
    <w:rsid w:val="002E7EF7"/>
    <w:rsid w:val="002E7EFA"/>
    <w:rsid w:val="002E7F3E"/>
    <w:rsid w:val="002E7F54"/>
    <w:rsid w:val="002E7FA5"/>
    <w:rsid w:val="002E7FA6"/>
    <w:rsid w:val="002F00A7"/>
    <w:rsid w:val="002F00AC"/>
    <w:rsid w:val="002F00C2"/>
    <w:rsid w:val="002F019D"/>
    <w:rsid w:val="002F0208"/>
    <w:rsid w:val="002F0308"/>
    <w:rsid w:val="002F0324"/>
    <w:rsid w:val="002F0374"/>
    <w:rsid w:val="002F0401"/>
    <w:rsid w:val="002F04C8"/>
    <w:rsid w:val="002F04D9"/>
    <w:rsid w:val="002F058C"/>
    <w:rsid w:val="002F069D"/>
    <w:rsid w:val="002F06AC"/>
    <w:rsid w:val="002F06CF"/>
    <w:rsid w:val="002F085A"/>
    <w:rsid w:val="002F089A"/>
    <w:rsid w:val="002F08C2"/>
    <w:rsid w:val="002F0906"/>
    <w:rsid w:val="002F09A5"/>
    <w:rsid w:val="002F0AAA"/>
    <w:rsid w:val="002F0B1B"/>
    <w:rsid w:val="002F0C77"/>
    <w:rsid w:val="002F0D5E"/>
    <w:rsid w:val="002F0D67"/>
    <w:rsid w:val="002F0F3B"/>
    <w:rsid w:val="002F0F4B"/>
    <w:rsid w:val="002F1012"/>
    <w:rsid w:val="002F1017"/>
    <w:rsid w:val="002F1079"/>
    <w:rsid w:val="002F1091"/>
    <w:rsid w:val="002F1101"/>
    <w:rsid w:val="002F112B"/>
    <w:rsid w:val="002F1169"/>
    <w:rsid w:val="002F116E"/>
    <w:rsid w:val="002F1212"/>
    <w:rsid w:val="002F1227"/>
    <w:rsid w:val="002F1236"/>
    <w:rsid w:val="002F12CD"/>
    <w:rsid w:val="002F131F"/>
    <w:rsid w:val="002F136D"/>
    <w:rsid w:val="002F1380"/>
    <w:rsid w:val="002F13AB"/>
    <w:rsid w:val="002F13C2"/>
    <w:rsid w:val="002F1404"/>
    <w:rsid w:val="002F155C"/>
    <w:rsid w:val="002F1594"/>
    <w:rsid w:val="002F15C3"/>
    <w:rsid w:val="002F15DA"/>
    <w:rsid w:val="002F15E9"/>
    <w:rsid w:val="002F1607"/>
    <w:rsid w:val="002F164F"/>
    <w:rsid w:val="002F16FD"/>
    <w:rsid w:val="002F173E"/>
    <w:rsid w:val="002F1742"/>
    <w:rsid w:val="002F181E"/>
    <w:rsid w:val="002F1838"/>
    <w:rsid w:val="002F183F"/>
    <w:rsid w:val="002F1879"/>
    <w:rsid w:val="002F18A2"/>
    <w:rsid w:val="002F192C"/>
    <w:rsid w:val="002F19E6"/>
    <w:rsid w:val="002F1A0C"/>
    <w:rsid w:val="002F1A44"/>
    <w:rsid w:val="002F1A4E"/>
    <w:rsid w:val="002F1AB0"/>
    <w:rsid w:val="002F1ABD"/>
    <w:rsid w:val="002F1AE1"/>
    <w:rsid w:val="002F1AE4"/>
    <w:rsid w:val="002F1DC6"/>
    <w:rsid w:val="002F1DF1"/>
    <w:rsid w:val="002F1E45"/>
    <w:rsid w:val="002F1E99"/>
    <w:rsid w:val="002F1F96"/>
    <w:rsid w:val="002F205C"/>
    <w:rsid w:val="002F2070"/>
    <w:rsid w:val="002F2093"/>
    <w:rsid w:val="002F209E"/>
    <w:rsid w:val="002F21DB"/>
    <w:rsid w:val="002F2240"/>
    <w:rsid w:val="002F2273"/>
    <w:rsid w:val="002F22FB"/>
    <w:rsid w:val="002F2355"/>
    <w:rsid w:val="002F236E"/>
    <w:rsid w:val="002F23D3"/>
    <w:rsid w:val="002F2471"/>
    <w:rsid w:val="002F24B8"/>
    <w:rsid w:val="002F24D3"/>
    <w:rsid w:val="002F2572"/>
    <w:rsid w:val="002F257E"/>
    <w:rsid w:val="002F2587"/>
    <w:rsid w:val="002F2595"/>
    <w:rsid w:val="002F26A3"/>
    <w:rsid w:val="002F26A7"/>
    <w:rsid w:val="002F26E0"/>
    <w:rsid w:val="002F26E7"/>
    <w:rsid w:val="002F2749"/>
    <w:rsid w:val="002F277A"/>
    <w:rsid w:val="002F2784"/>
    <w:rsid w:val="002F27BC"/>
    <w:rsid w:val="002F27FD"/>
    <w:rsid w:val="002F2864"/>
    <w:rsid w:val="002F2871"/>
    <w:rsid w:val="002F291F"/>
    <w:rsid w:val="002F297D"/>
    <w:rsid w:val="002F2981"/>
    <w:rsid w:val="002F2993"/>
    <w:rsid w:val="002F29D6"/>
    <w:rsid w:val="002F29DB"/>
    <w:rsid w:val="002F29E2"/>
    <w:rsid w:val="002F2A87"/>
    <w:rsid w:val="002F2AA0"/>
    <w:rsid w:val="002F2AD1"/>
    <w:rsid w:val="002F2C0C"/>
    <w:rsid w:val="002F2C16"/>
    <w:rsid w:val="002F2C4B"/>
    <w:rsid w:val="002F2C4F"/>
    <w:rsid w:val="002F2CBE"/>
    <w:rsid w:val="002F2DE8"/>
    <w:rsid w:val="002F2E47"/>
    <w:rsid w:val="002F2E83"/>
    <w:rsid w:val="002F2EE4"/>
    <w:rsid w:val="002F2F06"/>
    <w:rsid w:val="002F2F31"/>
    <w:rsid w:val="002F2FB3"/>
    <w:rsid w:val="002F2FB4"/>
    <w:rsid w:val="002F2FB9"/>
    <w:rsid w:val="002F301A"/>
    <w:rsid w:val="002F306A"/>
    <w:rsid w:val="002F311B"/>
    <w:rsid w:val="002F31A1"/>
    <w:rsid w:val="002F329A"/>
    <w:rsid w:val="002F3349"/>
    <w:rsid w:val="002F3427"/>
    <w:rsid w:val="002F342E"/>
    <w:rsid w:val="002F34C2"/>
    <w:rsid w:val="002F34EE"/>
    <w:rsid w:val="002F3502"/>
    <w:rsid w:val="002F3569"/>
    <w:rsid w:val="002F35CB"/>
    <w:rsid w:val="002F3630"/>
    <w:rsid w:val="002F3655"/>
    <w:rsid w:val="002F366D"/>
    <w:rsid w:val="002F3707"/>
    <w:rsid w:val="002F3749"/>
    <w:rsid w:val="002F376A"/>
    <w:rsid w:val="002F3776"/>
    <w:rsid w:val="002F3794"/>
    <w:rsid w:val="002F3821"/>
    <w:rsid w:val="002F3825"/>
    <w:rsid w:val="002F3885"/>
    <w:rsid w:val="002F388B"/>
    <w:rsid w:val="002F389B"/>
    <w:rsid w:val="002F3910"/>
    <w:rsid w:val="002F3980"/>
    <w:rsid w:val="002F39AA"/>
    <w:rsid w:val="002F3B02"/>
    <w:rsid w:val="002F3B2B"/>
    <w:rsid w:val="002F3B58"/>
    <w:rsid w:val="002F3BEF"/>
    <w:rsid w:val="002F3C28"/>
    <w:rsid w:val="002F3E1D"/>
    <w:rsid w:val="002F3E87"/>
    <w:rsid w:val="002F3E8B"/>
    <w:rsid w:val="002F3FA7"/>
    <w:rsid w:val="002F404B"/>
    <w:rsid w:val="002F405D"/>
    <w:rsid w:val="002F416D"/>
    <w:rsid w:val="002F4182"/>
    <w:rsid w:val="002F41F9"/>
    <w:rsid w:val="002F426B"/>
    <w:rsid w:val="002F42CA"/>
    <w:rsid w:val="002F431F"/>
    <w:rsid w:val="002F4371"/>
    <w:rsid w:val="002F43AE"/>
    <w:rsid w:val="002F4460"/>
    <w:rsid w:val="002F44EF"/>
    <w:rsid w:val="002F4578"/>
    <w:rsid w:val="002F45DE"/>
    <w:rsid w:val="002F45F8"/>
    <w:rsid w:val="002F4627"/>
    <w:rsid w:val="002F46B7"/>
    <w:rsid w:val="002F46DD"/>
    <w:rsid w:val="002F46DF"/>
    <w:rsid w:val="002F4803"/>
    <w:rsid w:val="002F4834"/>
    <w:rsid w:val="002F4861"/>
    <w:rsid w:val="002F486D"/>
    <w:rsid w:val="002F494B"/>
    <w:rsid w:val="002F4956"/>
    <w:rsid w:val="002F496C"/>
    <w:rsid w:val="002F4973"/>
    <w:rsid w:val="002F49CA"/>
    <w:rsid w:val="002F49D6"/>
    <w:rsid w:val="002F4A47"/>
    <w:rsid w:val="002F4A4B"/>
    <w:rsid w:val="002F4A9C"/>
    <w:rsid w:val="002F4ADB"/>
    <w:rsid w:val="002F4B6B"/>
    <w:rsid w:val="002F4BCC"/>
    <w:rsid w:val="002F4C18"/>
    <w:rsid w:val="002F4C6F"/>
    <w:rsid w:val="002F4CD8"/>
    <w:rsid w:val="002F4D1F"/>
    <w:rsid w:val="002F4D81"/>
    <w:rsid w:val="002F4D92"/>
    <w:rsid w:val="002F4E0A"/>
    <w:rsid w:val="002F4E31"/>
    <w:rsid w:val="002F4E62"/>
    <w:rsid w:val="002F4ED6"/>
    <w:rsid w:val="002F4F92"/>
    <w:rsid w:val="002F509A"/>
    <w:rsid w:val="002F50E3"/>
    <w:rsid w:val="002F5145"/>
    <w:rsid w:val="002F5175"/>
    <w:rsid w:val="002F51B8"/>
    <w:rsid w:val="002F5203"/>
    <w:rsid w:val="002F522B"/>
    <w:rsid w:val="002F52CC"/>
    <w:rsid w:val="002F52FC"/>
    <w:rsid w:val="002F5321"/>
    <w:rsid w:val="002F5362"/>
    <w:rsid w:val="002F5392"/>
    <w:rsid w:val="002F53EF"/>
    <w:rsid w:val="002F53F6"/>
    <w:rsid w:val="002F5496"/>
    <w:rsid w:val="002F54EB"/>
    <w:rsid w:val="002F54F8"/>
    <w:rsid w:val="002F550E"/>
    <w:rsid w:val="002F566A"/>
    <w:rsid w:val="002F569D"/>
    <w:rsid w:val="002F5702"/>
    <w:rsid w:val="002F5815"/>
    <w:rsid w:val="002F58CF"/>
    <w:rsid w:val="002F5908"/>
    <w:rsid w:val="002F5931"/>
    <w:rsid w:val="002F5955"/>
    <w:rsid w:val="002F59B8"/>
    <w:rsid w:val="002F5A3E"/>
    <w:rsid w:val="002F5ACD"/>
    <w:rsid w:val="002F5AFE"/>
    <w:rsid w:val="002F5B5B"/>
    <w:rsid w:val="002F5BA3"/>
    <w:rsid w:val="002F5C07"/>
    <w:rsid w:val="002F5D07"/>
    <w:rsid w:val="002F5D2F"/>
    <w:rsid w:val="002F5D63"/>
    <w:rsid w:val="002F5D7C"/>
    <w:rsid w:val="002F5D8E"/>
    <w:rsid w:val="002F5E73"/>
    <w:rsid w:val="002F5EF7"/>
    <w:rsid w:val="002F5F8B"/>
    <w:rsid w:val="002F6028"/>
    <w:rsid w:val="002F603F"/>
    <w:rsid w:val="002F6071"/>
    <w:rsid w:val="002F60BA"/>
    <w:rsid w:val="002F60FE"/>
    <w:rsid w:val="002F6127"/>
    <w:rsid w:val="002F61BA"/>
    <w:rsid w:val="002F6258"/>
    <w:rsid w:val="002F629A"/>
    <w:rsid w:val="002F62D2"/>
    <w:rsid w:val="002F633B"/>
    <w:rsid w:val="002F6386"/>
    <w:rsid w:val="002F63D4"/>
    <w:rsid w:val="002F6401"/>
    <w:rsid w:val="002F6445"/>
    <w:rsid w:val="002F64AD"/>
    <w:rsid w:val="002F64C3"/>
    <w:rsid w:val="002F651A"/>
    <w:rsid w:val="002F653A"/>
    <w:rsid w:val="002F6570"/>
    <w:rsid w:val="002F657A"/>
    <w:rsid w:val="002F6580"/>
    <w:rsid w:val="002F659E"/>
    <w:rsid w:val="002F6749"/>
    <w:rsid w:val="002F6765"/>
    <w:rsid w:val="002F688C"/>
    <w:rsid w:val="002F6896"/>
    <w:rsid w:val="002F68DC"/>
    <w:rsid w:val="002F6945"/>
    <w:rsid w:val="002F6A3C"/>
    <w:rsid w:val="002F6ADD"/>
    <w:rsid w:val="002F6BBE"/>
    <w:rsid w:val="002F6C7A"/>
    <w:rsid w:val="002F6CA8"/>
    <w:rsid w:val="002F6CBF"/>
    <w:rsid w:val="002F6D7E"/>
    <w:rsid w:val="002F6E28"/>
    <w:rsid w:val="002F6E64"/>
    <w:rsid w:val="002F6E6B"/>
    <w:rsid w:val="002F6E81"/>
    <w:rsid w:val="002F6EF8"/>
    <w:rsid w:val="002F6F77"/>
    <w:rsid w:val="002F6FAA"/>
    <w:rsid w:val="002F7068"/>
    <w:rsid w:val="002F7093"/>
    <w:rsid w:val="002F71FD"/>
    <w:rsid w:val="002F7245"/>
    <w:rsid w:val="002F7313"/>
    <w:rsid w:val="002F732C"/>
    <w:rsid w:val="002F733D"/>
    <w:rsid w:val="002F73C0"/>
    <w:rsid w:val="002F73E7"/>
    <w:rsid w:val="002F7419"/>
    <w:rsid w:val="002F748B"/>
    <w:rsid w:val="002F74BB"/>
    <w:rsid w:val="002F74C3"/>
    <w:rsid w:val="002F75DF"/>
    <w:rsid w:val="002F763A"/>
    <w:rsid w:val="002F76F3"/>
    <w:rsid w:val="002F7716"/>
    <w:rsid w:val="002F771B"/>
    <w:rsid w:val="002F774D"/>
    <w:rsid w:val="002F78E5"/>
    <w:rsid w:val="002F7905"/>
    <w:rsid w:val="002F795A"/>
    <w:rsid w:val="002F7A97"/>
    <w:rsid w:val="002F7AC2"/>
    <w:rsid w:val="002F7B0E"/>
    <w:rsid w:val="002F7B88"/>
    <w:rsid w:val="002F7BB1"/>
    <w:rsid w:val="002F7BC8"/>
    <w:rsid w:val="002F7C89"/>
    <w:rsid w:val="002F7CFB"/>
    <w:rsid w:val="002F7D0F"/>
    <w:rsid w:val="002F7D6A"/>
    <w:rsid w:val="002F7D7A"/>
    <w:rsid w:val="002F7DC2"/>
    <w:rsid w:val="002F7DF6"/>
    <w:rsid w:val="002F7E16"/>
    <w:rsid w:val="002F7E27"/>
    <w:rsid w:val="002F7E7F"/>
    <w:rsid w:val="002F7EB2"/>
    <w:rsid w:val="002F7EB5"/>
    <w:rsid w:val="002F7ECA"/>
    <w:rsid w:val="002F7F41"/>
    <w:rsid w:val="002F7F69"/>
    <w:rsid w:val="002F7FAC"/>
    <w:rsid w:val="002F7FDB"/>
    <w:rsid w:val="0030004A"/>
    <w:rsid w:val="003000B4"/>
    <w:rsid w:val="003000E0"/>
    <w:rsid w:val="00300104"/>
    <w:rsid w:val="00300165"/>
    <w:rsid w:val="00300186"/>
    <w:rsid w:val="0030025F"/>
    <w:rsid w:val="0030027D"/>
    <w:rsid w:val="00300297"/>
    <w:rsid w:val="003002A6"/>
    <w:rsid w:val="00300393"/>
    <w:rsid w:val="003003E6"/>
    <w:rsid w:val="00300440"/>
    <w:rsid w:val="003004DC"/>
    <w:rsid w:val="00300603"/>
    <w:rsid w:val="00300707"/>
    <w:rsid w:val="0030079C"/>
    <w:rsid w:val="003007BF"/>
    <w:rsid w:val="003007FC"/>
    <w:rsid w:val="0030089E"/>
    <w:rsid w:val="003008D3"/>
    <w:rsid w:val="0030094F"/>
    <w:rsid w:val="00300960"/>
    <w:rsid w:val="00300A20"/>
    <w:rsid w:val="00300A39"/>
    <w:rsid w:val="00300A7A"/>
    <w:rsid w:val="00300ACF"/>
    <w:rsid w:val="00300B5E"/>
    <w:rsid w:val="00300BAC"/>
    <w:rsid w:val="00300CED"/>
    <w:rsid w:val="00300CF8"/>
    <w:rsid w:val="00300D7B"/>
    <w:rsid w:val="00300E04"/>
    <w:rsid w:val="00300E09"/>
    <w:rsid w:val="00300E93"/>
    <w:rsid w:val="00300ED1"/>
    <w:rsid w:val="00300ED4"/>
    <w:rsid w:val="00300F1A"/>
    <w:rsid w:val="0030103C"/>
    <w:rsid w:val="00301053"/>
    <w:rsid w:val="00301076"/>
    <w:rsid w:val="0030108B"/>
    <w:rsid w:val="003010A3"/>
    <w:rsid w:val="00301169"/>
    <w:rsid w:val="0030127C"/>
    <w:rsid w:val="00301296"/>
    <w:rsid w:val="003012F1"/>
    <w:rsid w:val="00301322"/>
    <w:rsid w:val="0030139C"/>
    <w:rsid w:val="003013CD"/>
    <w:rsid w:val="003013FA"/>
    <w:rsid w:val="00301434"/>
    <w:rsid w:val="00301440"/>
    <w:rsid w:val="00301451"/>
    <w:rsid w:val="00301470"/>
    <w:rsid w:val="00301476"/>
    <w:rsid w:val="0030147F"/>
    <w:rsid w:val="003014B4"/>
    <w:rsid w:val="003014ED"/>
    <w:rsid w:val="003014FF"/>
    <w:rsid w:val="00301615"/>
    <w:rsid w:val="0030161B"/>
    <w:rsid w:val="003016F7"/>
    <w:rsid w:val="00301708"/>
    <w:rsid w:val="0030171A"/>
    <w:rsid w:val="0030172A"/>
    <w:rsid w:val="00301755"/>
    <w:rsid w:val="003017B5"/>
    <w:rsid w:val="00301880"/>
    <w:rsid w:val="0030189E"/>
    <w:rsid w:val="003018DE"/>
    <w:rsid w:val="00301900"/>
    <w:rsid w:val="00301959"/>
    <w:rsid w:val="00301966"/>
    <w:rsid w:val="003019FD"/>
    <w:rsid w:val="003019FF"/>
    <w:rsid w:val="00301A61"/>
    <w:rsid w:val="00301A75"/>
    <w:rsid w:val="00301AA1"/>
    <w:rsid w:val="00301AA5"/>
    <w:rsid w:val="00301AB5"/>
    <w:rsid w:val="00301AB9"/>
    <w:rsid w:val="00301BD8"/>
    <w:rsid w:val="00301BDF"/>
    <w:rsid w:val="00301C21"/>
    <w:rsid w:val="00301C6C"/>
    <w:rsid w:val="00301C72"/>
    <w:rsid w:val="00301C93"/>
    <w:rsid w:val="00301D00"/>
    <w:rsid w:val="00301D90"/>
    <w:rsid w:val="00301DC2"/>
    <w:rsid w:val="00301DE1"/>
    <w:rsid w:val="00301F0A"/>
    <w:rsid w:val="00301F4F"/>
    <w:rsid w:val="00301F6E"/>
    <w:rsid w:val="00301FF7"/>
    <w:rsid w:val="0030205F"/>
    <w:rsid w:val="0030207E"/>
    <w:rsid w:val="00302083"/>
    <w:rsid w:val="003021AE"/>
    <w:rsid w:val="003021AF"/>
    <w:rsid w:val="003021C3"/>
    <w:rsid w:val="003021D3"/>
    <w:rsid w:val="00302258"/>
    <w:rsid w:val="003022E6"/>
    <w:rsid w:val="003022FE"/>
    <w:rsid w:val="0030233C"/>
    <w:rsid w:val="003023AE"/>
    <w:rsid w:val="003023E8"/>
    <w:rsid w:val="003024F7"/>
    <w:rsid w:val="00302621"/>
    <w:rsid w:val="00302639"/>
    <w:rsid w:val="00302689"/>
    <w:rsid w:val="003026B8"/>
    <w:rsid w:val="003026CA"/>
    <w:rsid w:val="0030273B"/>
    <w:rsid w:val="0030277A"/>
    <w:rsid w:val="003027BC"/>
    <w:rsid w:val="003028E7"/>
    <w:rsid w:val="003029D3"/>
    <w:rsid w:val="003029DD"/>
    <w:rsid w:val="003029F5"/>
    <w:rsid w:val="00302A04"/>
    <w:rsid w:val="00302A8B"/>
    <w:rsid w:val="00302AC2"/>
    <w:rsid w:val="00302AD6"/>
    <w:rsid w:val="00302B96"/>
    <w:rsid w:val="00302BAB"/>
    <w:rsid w:val="00302BDD"/>
    <w:rsid w:val="00302C68"/>
    <w:rsid w:val="00302CD6"/>
    <w:rsid w:val="00302D21"/>
    <w:rsid w:val="00302D5D"/>
    <w:rsid w:val="00302DA1"/>
    <w:rsid w:val="00302E64"/>
    <w:rsid w:val="00302EEB"/>
    <w:rsid w:val="00302F28"/>
    <w:rsid w:val="00302F2C"/>
    <w:rsid w:val="00302F97"/>
    <w:rsid w:val="0030306E"/>
    <w:rsid w:val="00303078"/>
    <w:rsid w:val="003030AC"/>
    <w:rsid w:val="003030C9"/>
    <w:rsid w:val="003030DA"/>
    <w:rsid w:val="00303158"/>
    <w:rsid w:val="003032D4"/>
    <w:rsid w:val="003032ED"/>
    <w:rsid w:val="003033A0"/>
    <w:rsid w:val="00303466"/>
    <w:rsid w:val="003034FD"/>
    <w:rsid w:val="00303523"/>
    <w:rsid w:val="0030358F"/>
    <w:rsid w:val="003035B8"/>
    <w:rsid w:val="003036BE"/>
    <w:rsid w:val="003036EE"/>
    <w:rsid w:val="00303704"/>
    <w:rsid w:val="0030372C"/>
    <w:rsid w:val="003037A3"/>
    <w:rsid w:val="003037DB"/>
    <w:rsid w:val="003038BD"/>
    <w:rsid w:val="003038FF"/>
    <w:rsid w:val="0030395B"/>
    <w:rsid w:val="003039B7"/>
    <w:rsid w:val="003039DC"/>
    <w:rsid w:val="00303A19"/>
    <w:rsid w:val="00303A7E"/>
    <w:rsid w:val="00303B39"/>
    <w:rsid w:val="00303C4B"/>
    <w:rsid w:val="00303C55"/>
    <w:rsid w:val="00303CEB"/>
    <w:rsid w:val="00303D80"/>
    <w:rsid w:val="00303DD4"/>
    <w:rsid w:val="00303DDB"/>
    <w:rsid w:val="00303E25"/>
    <w:rsid w:val="00303E41"/>
    <w:rsid w:val="00303E51"/>
    <w:rsid w:val="00303F50"/>
    <w:rsid w:val="00304057"/>
    <w:rsid w:val="00304077"/>
    <w:rsid w:val="00304110"/>
    <w:rsid w:val="00304119"/>
    <w:rsid w:val="003041C1"/>
    <w:rsid w:val="00304227"/>
    <w:rsid w:val="003042D9"/>
    <w:rsid w:val="0030433D"/>
    <w:rsid w:val="00304368"/>
    <w:rsid w:val="003043AC"/>
    <w:rsid w:val="00304482"/>
    <w:rsid w:val="003044AD"/>
    <w:rsid w:val="0030450C"/>
    <w:rsid w:val="0030455F"/>
    <w:rsid w:val="00304601"/>
    <w:rsid w:val="0030463C"/>
    <w:rsid w:val="0030465D"/>
    <w:rsid w:val="00304674"/>
    <w:rsid w:val="00304746"/>
    <w:rsid w:val="0030474F"/>
    <w:rsid w:val="003047BE"/>
    <w:rsid w:val="003047E7"/>
    <w:rsid w:val="00304883"/>
    <w:rsid w:val="003048DB"/>
    <w:rsid w:val="003049A2"/>
    <w:rsid w:val="003049AD"/>
    <w:rsid w:val="00304A01"/>
    <w:rsid w:val="00304A04"/>
    <w:rsid w:val="00304A51"/>
    <w:rsid w:val="00304A74"/>
    <w:rsid w:val="00304A84"/>
    <w:rsid w:val="00304A86"/>
    <w:rsid w:val="00304B17"/>
    <w:rsid w:val="00304C07"/>
    <w:rsid w:val="00304C97"/>
    <w:rsid w:val="00304CB6"/>
    <w:rsid w:val="00304D5B"/>
    <w:rsid w:val="00304D72"/>
    <w:rsid w:val="00304E9E"/>
    <w:rsid w:val="00304F88"/>
    <w:rsid w:val="00304F93"/>
    <w:rsid w:val="00304FB0"/>
    <w:rsid w:val="0030512D"/>
    <w:rsid w:val="0030516C"/>
    <w:rsid w:val="00305171"/>
    <w:rsid w:val="0030517D"/>
    <w:rsid w:val="00305193"/>
    <w:rsid w:val="0030519E"/>
    <w:rsid w:val="003051DC"/>
    <w:rsid w:val="003051FA"/>
    <w:rsid w:val="003052C3"/>
    <w:rsid w:val="003052FE"/>
    <w:rsid w:val="003053E9"/>
    <w:rsid w:val="0030540B"/>
    <w:rsid w:val="00305418"/>
    <w:rsid w:val="003054BD"/>
    <w:rsid w:val="003054C0"/>
    <w:rsid w:val="00305500"/>
    <w:rsid w:val="00305536"/>
    <w:rsid w:val="00305566"/>
    <w:rsid w:val="003055B2"/>
    <w:rsid w:val="003055DB"/>
    <w:rsid w:val="00305602"/>
    <w:rsid w:val="00305634"/>
    <w:rsid w:val="00305654"/>
    <w:rsid w:val="00305675"/>
    <w:rsid w:val="003056A1"/>
    <w:rsid w:val="003056C9"/>
    <w:rsid w:val="003056FE"/>
    <w:rsid w:val="0030575D"/>
    <w:rsid w:val="00305869"/>
    <w:rsid w:val="00305899"/>
    <w:rsid w:val="00305940"/>
    <w:rsid w:val="0030596E"/>
    <w:rsid w:val="003059D7"/>
    <w:rsid w:val="003059F1"/>
    <w:rsid w:val="00305A67"/>
    <w:rsid w:val="00305AD0"/>
    <w:rsid w:val="00305ADB"/>
    <w:rsid w:val="00305AF4"/>
    <w:rsid w:val="00305B19"/>
    <w:rsid w:val="00305BF0"/>
    <w:rsid w:val="00305C60"/>
    <w:rsid w:val="00305CB1"/>
    <w:rsid w:val="00305DFC"/>
    <w:rsid w:val="00305E7B"/>
    <w:rsid w:val="00305E90"/>
    <w:rsid w:val="00305EB7"/>
    <w:rsid w:val="00305EE5"/>
    <w:rsid w:val="00305F02"/>
    <w:rsid w:val="00305F29"/>
    <w:rsid w:val="00305F47"/>
    <w:rsid w:val="00305F49"/>
    <w:rsid w:val="00305F5F"/>
    <w:rsid w:val="00305FCB"/>
    <w:rsid w:val="00306083"/>
    <w:rsid w:val="003060E2"/>
    <w:rsid w:val="0030613F"/>
    <w:rsid w:val="00306170"/>
    <w:rsid w:val="00306209"/>
    <w:rsid w:val="0030633E"/>
    <w:rsid w:val="00306409"/>
    <w:rsid w:val="00306424"/>
    <w:rsid w:val="00306472"/>
    <w:rsid w:val="00306473"/>
    <w:rsid w:val="00306496"/>
    <w:rsid w:val="003064A5"/>
    <w:rsid w:val="003064AA"/>
    <w:rsid w:val="003064DD"/>
    <w:rsid w:val="003064E3"/>
    <w:rsid w:val="003065F2"/>
    <w:rsid w:val="00306678"/>
    <w:rsid w:val="003066CC"/>
    <w:rsid w:val="003066E1"/>
    <w:rsid w:val="003067E2"/>
    <w:rsid w:val="003067F2"/>
    <w:rsid w:val="00306923"/>
    <w:rsid w:val="00306924"/>
    <w:rsid w:val="00306933"/>
    <w:rsid w:val="00306965"/>
    <w:rsid w:val="003069A6"/>
    <w:rsid w:val="003069B9"/>
    <w:rsid w:val="00306A95"/>
    <w:rsid w:val="00306AD1"/>
    <w:rsid w:val="00306B07"/>
    <w:rsid w:val="00306B1B"/>
    <w:rsid w:val="00306BB2"/>
    <w:rsid w:val="00306C35"/>
    <w:rsid w:val="00306C49"/>
    <w:rsid w:val="00306C54"/>
    <w:rsid w:val="00306C6B"/>
    <w:rsid w:val="00306CDE"/>
    <w:rsid w:val="00306CFC"/>
    <w:rsid w:val="00306DCE"/>
    <w:rsid w:val="00306DFA"/>
    <w:rsid w:val="00306E0E"/>
    <w:rsid w:val="00306E0F"/>
    <w:rsid w:val="00306E51"/>
    <w:rsid w:val="00306EA8"/>
    <w:rsid w:val="00306EF0"/>
    <w:rsid w:val="00306F73"/>
    <w:rsid w:val="00306F75"/>
    <w:rsid w:val="00307099"/>
    <w:rsid w:val="003070AA"/>
    <w:rsid w:val="003070DA"/>
    <w:rsid w:val="003070E8"/>
    <w:rsid w:val="00307295"/>
    <w:rsid w:val="003072D3"/>
    <w:rsid w:val="0030733B"/>
    <w:rsid w:val="00307410"/>
    <w:rsid w:val="00307423"/>
    <w:rsid w:val="003074A8"/>
    <w:rsid w:val="003074FB"/>
    <w:rsid w:val="003074FF"/>
    <w:rsid w:val="00307544"/>
    <w:rsid w:val="00307557"/>
    <w:rsid w:val="003075A2"/>
    <w:rsid w:val="003075B6"/>
    <w:rsid w:val="003075F4"/>
    <w:rsid w:val="00307646"/>
    <w:rsid w:val="00307647"/>
    <w:rsid w:val="00307781"/>
    <w:rsid w:val="003077CB"/>
    <w:rsid w:val="00307847"/>
    <w:rsid w:val="003078C2"/>
    <w:rsid w:val="0030793E"/>
    <w:rsid w:val="003079E9"/>
    <w:rsid w:val="00307A2C"/>
    <w:rsid w:val="00307A5E"/>
    <w:rsid w:val="00307AA4"/>
    <w:rsid w:val="00307B11"/>
    <w:rsid w:val="00307B43"/>
    <w:rsid w:val="00307C4E"/>
    <w:rsid w:val="00307CD0"/>
    <w:rsid w:val="00307DA8"/>
    <w:rsid w:val="00307DF0"/>
    <w:rsid w:val="00307DF2"/>
    <w:rsid w:val="00307EE5"/>
    <w:rsid w:val="0031000F"/>
    <w:rsid w:val="00310027"/>
    <w:rsid w:val="003100DB"/>
    <w:rsid w:val="00310126"/>
    <w:rsid w:val="00310137"/>
    <w:rsid w:val="00310164"/>
    <w:rsid w:val="00310171"/>
    <w:rsid w:val="003101D9"/>
    <w:rsid w:val="003101F0"/>
    <w:rsid w:val="003101F1"/>
    <w:rsid w:val="003101F5"/>
    <w:rsid w:val="0031027B"/>
    <w:rsid w:val="003102A3"/>
    <w:rsid w:val="00310362"/>
    <w:rsid w:val="00310371"/>
    <w:rsid w:val="0031044E"/>
    <w:rsid w:val="00310476"/>
    <w:rsid w:val="003104A6"/>
    <w:rsid w:val="003104DE"/>
    <w:rsid w:val="0031052A"/>
    <w:rsid w:val="00310578"/>
    <w:rsid w:val="003105F8"/>
    <w:rsid w:val="00310734"/>
    <w:rsid w:val="003107A3"/>
    <w:rsid w:val="003107E6"/>
    <w:rsid w:val="00310808"/>
    <w:rsid w:val="00310843"/>
    <w:rsid w:val="00310885"/>
    <w:rsid w:val="00310909"/>
    <w:rsid w:val="0031090D"/>
    <w:rsid w:val="0031094A"/>
    <w:rsid w:val="003109C6"/>
    <w:rsid w:val="00310A2C"/>
    <w:rsid w:val="00310B14"/>
    <w:rsid w:val="00310B29"/>
    <w:rsid w:val="00310B44"/>
    <w:rsid w:val="00310BF6"/>
    <w:rsid w:val="00310BF8"/>
    <w:rsid w:val="00310C7A"/>
    <w:rsid w:val="00310D32"/>
    <w:rsid w:val="00310D49"/>
    <w:rsid w:val="00310DDB"/>
    <w:rsid w:val="00310E33"/>
    <w:rsid w:val="00310E3B"/>
    <w:rsid w:val="003110C2"/>
    <w:rsid w:val="003110E6"/>
    <w:rsid w:val="003111A5"/>
    <w:rsid w:val="003111CD"/>
    <w:rsid w:val="003111DD"/>
    <w:rsid w:val="0031120E"/>
    <w:rsid w:val="00311212"/>
    <w:rsid w:val="00311220"/>
    <w:rsid w:val="00311227"/>
    <w:rsid w:val="00311284"/>
    <w:rsid w:val="003112BE"/>
    <w:rsid w:val="003112FD"/>
    <w:rsid w:val="00311314"/>
    <w:rsid w:val="0031134D"/>
    <w:rsid w:val="003113E9"/>
    <w:rsid w:val="00311427"/>
    <w:rsid w:val="00311482"/>
    <w:rsid w:val="00311590"/>
    <w:rsid w:val="003115BF"/>
    <w:rsid w:val="003115D1"/>
    <w:rsid w:val="00311631"/>
    <w:rsid w:val="003116C8"/>
    <w:rsid w:val="003116EC"/>
    <w:rsid w:val="003117A1"/>
    <w:rsid w:val="003117BC"/>
    <w:rsid w:val="0031182A"/>
    <w:rsid w:val="00311834"/>
    <w:rsid w:val="0031183E"/>
    <w:rsid w:val="003118C6"/>
    <w:rsid w:val="00311A05"/>
    <w:rsid w:val="00311A7E"/>
    <w:rsid w:val="00311B52"/>
    <w:rsid w:val="00311BE1"/>
    <w:rsid w:val="00311C9F"/>
    <w:rsid w:val="00311CD2"/>
    <w:rsid w:val="00311D05"/>
    <w:rsid w:val="00311D0C"/>
    <w:rsid w:val="00311D53"/>
    <w:rsid w:val="00311D96"/>
    <w:rsid w:val="00311DB4"/>
    <w:rsid w:val="00311F5D"/>
    <w:rsid w:val="00311FEB"/>
    <w:rsid w:val="00312049"/>
    <w:rsid w:val="00312052"/>
    <w:rsid w:val="00312075"/>
    <w:rsid w:val="003121BC"/>
    <w:rsid w:val="003121DD"/>
    <w:rsid w:val="003122B1"/>
    <w:rsid w:val="003122E2"/>
    <w:rsid w:val="003123B2"/>
    <w:rsid w:val="00312464"/>
    <w:rsid w:val="00312486"/>
    <w:rsid w:val="0031249B"/>
    <w:rsid w:val="003124BE"/>
    <w:rsid w:val="003124D3"/>
    <w:rsid w:val="003124E8"/>
    <w:rsid w:val="00312576"/>
    <w:rsid w:val="00312592"/>
    <w:rsid w:val="00312606"/>
    <w:rsid w:val="0031261A"/>
    <w:rsid w:val="0031263D"/>
    <w:rsid w:val="00312698"/>
    <w:rsid w:val="003127AD"/>
    <w:rsid w:val="003127D0"/>
    <w:rsid w:val="003127D8"/>
    <w:rsid w:val="003128D8"/>
    <w:rsid w:val="0031290B"/>
    <w:rsid w:val="00312938"/>
    <w:rsid w:val="0031299B"/>
    <w:rsid w:val="00312A43"/>
    <w:rsid w:val="00312A8B"/>
    <w:rsid w:val="00312A9A"/>
    <w:rsid w:val="00312B2D"/>
    <w:rsid w:val="00312C51"/>
    <w:rsid w:val="00312CEC"/>
    <w:rsid w:val="00312D54"/>
    <w:rsid w:val="00312DC3"/>
    <w:rsid w:val="00312E00"/>
    <w:rsid w:val="00312E66"/>
    <w:rsid w:val="00312EB6"/>
    <w:rsid w:val="00312EC2"/>
    <w:rsid w:val="0031300F"/>
    <w:rsid w:val="00313016"/>
    <w:rsid w:val="00313019"/>
    <w:rsid w:val="00313056"/>
    <w:rsid w:val="00313085"/>
    <w:rsid w:val="003130B6"/>
    <w:rsid w:val="003130BF"/>
    <w:rsid w:val="003130DD"/>
    <w:rsid w:val="0031317C"/>
    <w:rsid w:val="003131B7"/>
    <w:rsid w:val="00313208"/>
    <w:rsid w:val="00313213"/>
    <w:rsid w:val="00313222"/>
    <w:rsid w:val="00313289"/>
    <w:rsid w:val="003132C8"/>
    <w:rsid w:val="003132D7"/>
    <w:rsid w:val="00313309"/>
    <w:rsid w:val="0031331A"/>
    <w:rsid w:val="003134EB"/>
    <w:rsid w:val="003134FC"/>
    <w:rsid w:val="0031350D"/>
    <w:rsid w:val="00313534"/>
    <w:rsid w:val="0031355F"/>
    <w:rsid w:val="00313713"/>
    <w:rsid w:val="00313715"/>
    <w:rsid w:val="0031374B"/>
    <w:rsid w:val="00313764"/>
    <w:rsid w:val="003137B3"/>
    <w:rsid w:val="00313875"/>
    <w:rsid w:val="00313889"/>
    <w:rsid w:val="003138B6"/>
    <w:rsid w:val="003138D5"/>
    <w:rsid w:val="00313A30"/>
    <w:rsid w:val="00313A8D"/>
    <w:rsid w:val="00313A8F"/>
    <w:rsid w:val="00313AA0"/>
    <w:rsid w:val="00313B16"/>
    <w:rsid w:val="00313BA3"/>
    <w:rsid w:val="00313C40"/>
    <w:rsid w:val="00313C6F"/>
    <w:rsid w:val="00313D4F"/>
    <w:rsid w:val="00313D8D"/>
    <w:rsid w:val="00313DFA"/>
    <w:rsid w:val="00313F8D"/>
    <w:rsid w:val="00313FA7"/>
    <w:rsid w:val="00313FAA"/>
    <w:rsid w:val="00313FBF"/>
    <w:rsid w:val="00313FE5"/>
    <w:rsid w:val="00314054"/>
    <w:rsid w:val="003140F0"/>
    <w:rsid w:val="003140F1"/>
    <w:rsid w:val="00314113"/>
    <w:rsid w:val="00314172"/>
    <w:rsid w:val="00314273"/>
    <w:rsid w:val="003142A5"/>
    <w:rsid w:val="003142B5"/>
    <w:rsid w:val="003143C4"/>
    <w:rsid w:val="003144C0"/>
    <w:rsid w:val="00314506"/>
    <w:rsid w:val="0031451A"/>
    <w:rsid w:val="0031454C"/>
    <w:rsid w:val="0031458F"/>
    <w:rsid w:val="003145A2"/>
    <w:rsid w:val="0031460D"/>
    <w:rsid w:val="0031467D"/>
    <w:rsid w:val="003146DC"/>
    <w:rsid w:val="003147DF"/>
    <w:rsid w:val="00314810"/>
    <w:rsid w:val="00314827"/>
    <w:rsid w:val="003148B1"/>
    <w:rsid w:val="0031490D"/>
    <w:rsid w:val="00314944"/>
    <w:rsid w:val="00314991"/>
    <w:rsid w:val="003149BE"/>
    <w:rsid w:val="003149D5"/>
    <w:rsid w:val="00314A4C"/>
    <w:rsid w:val="00314AEF"/>
    <w:rsid w:val="00314B1B"/>
    <w:rsid w:val="00314B40"/>
    <w:rsid w:val="00314B49"/>
    <w:rsid w:val="00314BAC"/>
    <w:rsid w:val="00314BEA"/>
    <w:rsid w:val="00314D27"/>
    <w:rsid w:val="00314D2C"/>
    <w:rsid w:val="00314E03"/>
    <w:rsid w:val="00314E29"/>
    <w:rsid w:val="00314E55"/>
    <w:rsid w:val="00314F1B"/>
    <w:rsid w:val="00314F7C"/>
    <w:rsid w:val="00314FBC"/>
    <w:rsid w:val="0031502A"/>
    <w:rsid w:val="0031502E"/>
    <w:rsid w:val="00315052"/>
    <w:rsid w:val="00315098"/>
    <w:rsid w:val="003150C0"/>
    <w:rsid w:val="0031515D"/>
    <w:rsid w:val="00315423"/>
    <w:rsid w:val="00315498"/>
    <w:rsid w:val="003155EF"/>
    <w:rsid w:val="0031565F"/>
    <w:rsid w:val="00315667"/>
    <w:rsid w:val="00315770"/>
    <w:rsid w:val="003157A5"/>
    <w:rsid w:val="00315823"/>
    <w:rsid w:val="00315826"/>
    <w:rsid w:val="00315872"/>
    <w:rsid w:val="003158E6"/>
    <w:rsid w:val="00315939"/>
    <w:rsid w:val="0031597C"/>
    <w:rsid w:val="003159D1"/>
    <w:rsid w:val="00315A1B"/>
    <w:rsid w:val="00315A22"/>
    <w:rsid w:val="00315A62"/>
    <w:rsid w:val="00315AC4"/>
    <w:rsid w:val="00315B00"/>
    <w:rsid w:val="00315B29"/>
    <w:rsid w:val="00315C0E"/>
    <w:rsid w:val="00315C1F"/>
    <w:rsid w:val="00315C26"/>
    <w:rsid w:val="00315CE8"/>
    <w:rsid w:val="00315CFA"/>
    <w:rsid w:val="00315D69"/>
    <w:rsid w:val="00315E72"/>
    <w:rsid w:val="00315F04"/>
    <w:rsid w:val="00315F2C"/>
    <w:rsid w:val="00315F2E"/>
    <w:rsid w:val="00315F5A"/>
    <w:rsid w:val="00315FE5"/>
    <w:rsid w:val="0031604E"/>
    <w:rsid w:val="00316071"/>
    <w:rsid w:val="0031607E"/>
    <w:rsid w:val="003160AE"/>
    <w:rsid w:val="00316153"/>
    <w:rsid w:val="003162C4"/>
    <w:rsid w:val="003162EB"/>
    <w:rsid w:val="00316364"/>
    <w:rsid w:val="00316370"/>
    <w:rsid w:val="003163A4"/>
    <w:rsid w:val="003164E7"/>
    <w:rsid w:val="0031653E"/>
    <w:rsid w:val="0031657F"/>
    <w:rsid w:val="00316596"/>
    <w:rsid w:val="003166A4"/>
    <w:rsid w:val="00316792"/>
    <w:rsid w:val="00316820"/>
    <w:rsid w:val="003168E7"/>
    <w:rsid w:val="0031692F"/>
    <w:rsid w:val="0031695A"/>
    <w:rsid w:val="00316986"/>
    <w:rsid w:val="003169F8"/>
    <w:rsid w:val="00316B59"/>
    <w:rsid w:val="00316BF6"/>
    <w:rsid w:val="00316C16"/>
    <w:rsid w:val="00316C7C"/>
    <w:rsid w:val="00316C89"/>
    <w:rsid w:val="00316CE7"/>
    <w:rsid w:val="00316DAB"/>
    <w:rsid w:val="00316DBD"/>
    <w:rsid w:val="00316E2B"/>
    <w:rsid w:val="00316EF0"/>
    <w:rsid w:val="00317001"/>
    <w:rsid w:val="00317017"/>
    <w:rsid w:val="00317027"/>
    <w:rsid w:val="0031702C"/>
    <w:rsid w:val="0031708B"/>
    <w:rsid w:val="003170A0"/>
    <w:rsid w:val="00317100"/>
    <w:rsid w:val="003171D1"/>
    <w:rsid w:val="00317230"/>
    <w:rsid w:val="00317297"/>
    <w:rsid w:val="003172B7"/>
    <w:rsid w:val="0031733D"/>
    <w:rsid w:val="00317375"/>
    <w:rsid w:val="003173AA"/>
    <w:rsid w:val="003173CC"/>
    <w:rsid w:val="003173D7"/>
    <w:rsid w:val="00317418"/>
    <w:rsid w:val="003174E5"/>
    <w:rsid w:val="00317581"/>
    <w:rsid w:val="003175D5"/>
    <w:rsid w:val="0031761E"/>
    <w:rsid w:val="0031762E"/>
    <w:rsid w:val="00317735"/>
    <w:rsid w:val="003177A9"/>
    <w:rsid w:val="00317803"/>
    <w:rsid w:val="0031783F"/>
    <w:rsid w:val="0031793D"/>
    <w:rsid w:val="00317940"/>
    <w:rsid w:val="003179D8"/>
    <w:rsid w:val="003179E3"/>
    <w:rsid w:val="00317A79"/>
    <w:rsid w:val="00317BF4"/>
    <w:rsid w:val="00317CB1"/>
    <w:rsid w:val="00317CD1"/>
    <w:rsid w:val="00317D36"/>
    <w:rsid w:val="00317E08"/>
    <w:rsid w:val="00317E3D"/>
    <w:rsid w:val="00317E4B"/>
    <w:rsid w:val="00317ECF"/>
    <w:rsid w:val="00317ED0"/>
    <w:rsid w:val="00317F1C"/>
    <w:rsid w:val="00317F23"/>
    <w:rsid w:val="0032002E"/>
    <w:rsid w:val="0032003D"/>
    <w:rsid w:val="00320050"/>
    <w:rsid w:val="00320053"/>
    <w:rsid w:val="0032006C"/>
    <w:rsid w:val="0032007B"/>
    <w:rsid w:val="003200AB"/>
    <w:rsid w:val="003200F2"/>
    <w:rsid w:val="00320132"/>
    <w:rsid w:val="0032019D"/>
    <w:rsid w:val="00320261"/>
    <w:rsid w:val="0032027E"/>
    <w:rsid w:val="003202DC"/>
    <w:rsid w:val="00320302"/>
    <w:rsid w:val="00320306"/>
    <w:rsid w:val="00320386"/>
    <w:rsid w:val="00320392"/>
    <w:rsid w:val="003203A6"/>
    <w:rsid w:val="00320485"/>
    <w:rsid w:val="003204B1"/>
    <w:rsid w:val="003204EA"/>
    <w:rsid w:val="003205AB"/>
    <w:rsid w:val="0032063D"/>
    <w:rsid w:val="00320655"/>
    <w:rsid w:val="0032069A"/>
    <w:rsid w:val="003206D8"/>
    <w:rsid w:val="00320751"/>
    <w:rsid w:val="003207CB"/>
    <w:rsid w:val="0032080E"/>
    <w:rsid w:val="00320882"/>
    <w:rsid w:val="003209ED"/>
    <w:rsid w:val="00320B68"/>
    <w:rsid w:val="00320BB1"/>
    <w:rsid w:val="00320C09"/>
    <w:rsid w:val="00320C13"/>
    <w:rsid w:val="00320C1F"/>
    <w:rsid w:val="00320C28"/>
    <w:rsid w:val="00320C2D"/>
    <w:rsid w:val="00320C3F"/>
    <w:rsid w:val="00320C54"/>
    <w:rsid w:val="00320C75"/>
    <w:rsid w:val="00320C83"/>
    <w:rsid w:val="00320CE0"/>
    <w:rsid w:val="00320D73"/>
    <w:rsid w:val="00320E19"/>
    <w:rsid w:val="00320E1B"/>
    <w:rsid w:val="00320E96"/>
    <w:rsid w:val="00320F21"/>
    <w:rsid w:val="00321014"/>
    <w:rsid w:val="00321022"/>
    <w:rsid w:val="00321051"/>
    <w:rsid w:val="00321075"/>
    <w:rsid w:val="003210FC"/>
    <w:rsid w:val="00321107"/>
    <w:rsid w:val="00321176"/>
    <w:rsid w:val="00321193"/>
    <w:rsid w:val="003211C1"/>
    <w:rsid w:val="00321202"/>
    <w:rsid w:val="00321205"/>
    <w:rsid w:val="00321213"/>
    <w:rsid w:val="00321272"/>
    <w:rsid w:val="003212E0"/>
    <w:rsid w:val="00321372"/>
    <w:rsid w:val="00321469"/>
    <w:rsid w:val="00321487"/>
    <w:rsid w:val="003215CC"/>
    <w:rsid w:val="0032160E"/>
    <w:rsid w:val="00321615"/>
    <w:rsid w:val="00321640"/>
    <w:rsid w:val="00321670"/>
    <w:rsid w:val="003217F1"/>
    <w:rsid w:val="003217FF"/>
    <w:rsid w:val="00321856"/>
    <w:rsid w:val="003218BE"/>
    <w:rsid w:val="003218C8"/>
    <w:rsid w:val="003219B7"/>
    <w:rsid w:val="003219EA"/>
    <w:rsid w:val="00321A10"/>
    <w:rsid w:val="00321A70"/>
    <w:rsid w:val="00321A8C"/>
    <w:rsid w:val="00321AD1"/>
    <w:rsid w:val="00321BAB"/>
    <w:rsid w:val="00321BB4"/>
    <w:rsid w:val="00321BBD"/>
    <w:rsid w:val="00321BE5"/>
    <w:rsid w:val="00321BF6"/>
    <w:rsid w:val="00321BFB"/>
    <w:rsid w:val="00321C11"/>
    <w:rsid w:val="00321C4D"/>
    <w:rsid w:val="00321CA9"/>
    <w:rsid w:val="00321D4D"/>
    <w:rsid w:val="00321D6D"/>
    <w:rsid w:val="00321D79"/>
    <w:rsid w:val="00321DF7"/>
    <w:rsid w:val="00321E99"/>
    <w:rsid w:val="00321EC7"/>
    <w:rsid w:val="00321F20"/>
    <w:rsid w:val="00321F67"/>
    <w:rsid w:val="00322160"/>
    <w:rsid w:val="003221F7"/>
    <w:rsid w:val="00322256"/>
    <w:rsid w:val="003222F8"/>
    <w:rsid w:val="00322341"/>
    <w:rsid w:val="003223A8"/>
    <w:rsid w:val="003223D2"/>
    <w:rsid w:val="003223D3"/>
    <w:rsid w:val="00322423"/>
    <w:rsid w:val="003225BD"/>
    <w:rsid w:val="00322695"/>
    <w:rsid w:val="003226B8"/>
    <w:rsid w:val="00322766"/>
    <w:rsid w:val="003227BC"/>
    <w:rsid w:val="0032281A"/>
    <w:rsid w:val="00322835"/>
    <w:rsid w:val="00322887"/>
    <w:rsid w:val="00322910"/>
    <w:rsid w:val="003229B5"/>
    <w:rsid w:val="003229DF"/>
    <w:rsid w:val="00322A18"/>
    <w:rsid w:val="00322B45"/>
    <w:rsid w:val="00322BE5"/>
    <w:rsid w:val="00322C31"/>
    <w:rsid w:val="00322C53"/>
    <w:rsid w:val="00322CF7"/>
    <w:rsid w:val="00322E55"/>
    <w:rsid w:val="00322F1B"/>
    <w:rsid w:val="00322F44"/>
    <w:rsid w:val="00322FA3"/>
    <w:rsid w:val="00323077"/>
    <w:rsid w:val="003230B0"/>
    <w:rsid w:val="0032324A"/>
    <w:rsid w:val="00323252"/>
    <w:rsid w:val="003232BE"/>
    <w:rsid w:val="003232E3"/>
    <w:rsid w:val="0032332F"/>
    <w:rsid w:val="0032335D"/>
    <w:rsid w:val="00323400"/>
    <w:rsid w:val="00323463"/>
    <w:rsid w:val="00323464"/>
    <w:rsid w:val="003234B5"/>
    <w:rsid w:val="003234F7"/>
    <w:rsid w:val="00323505"/>
    <w:rsid w:val="00323598"/>
    <w:rsid w:val="003235F0"/>
    <w:rsid w:val="0032377A"/>
    <w:rsid w:val="003237EF"/>
    <w:rsid w:val="00323816"/>
    <w:rsid w:val="0032388D"/>
    <w:rsid w:val="00323A2B"/>
    <w:rsid w:val="00323A51"/>
    <w:rsid w:val="00323B49"/>
    <w:rsid w:val="00323B55"/>
    <w:rsid w:val="00323B87"/>
    <w:rsid w:val="00323B93"/>
    <w:rsid w:val="00323BB2"/>
    <w:rsid w:val="00323C0C"/>
    <w:rsid w:val="00323C94"/>
    <w:rsid w:val="00323CA1"/>
    <w:rsid w:val="00323D39"/>
    <w:rsid w:val="00323D5E"/>
    <w:rsid w:val="00323D62"/>
    <w:rsid w:val="00323DDE"/>
    <w:rsid w:val="00323E1D"/>
    <w:rsid w:val="00323E63"/>
    <w:rsid w:val="00323E82"/>
    <w:rsid w:val="00323E9E"/>
    <w:rsid w:val="00323ED3"/>
    <w:rsid w:val="00324089"/>
    <w:rsid w:val="003240B2"/>
    <w:rsid w:val="0032413F"/>
    <w:rsid w:val="00324143"/>
    <w:rsid w:val="00324153"/>
    <w:rsid w:val="00324203"/>
    <w:rsid w:val="00324346"/>
    <w:rsid w:val="003243CB"/>
    <w:rsid w:val="00324497"/>
    <w:rsid w:val="00324537"/>
    <w:rsid w:val="00324578"/>
    <w:rsid w:val="003245EE"/>
    <w:rsid w:val="00324794"/>
    <w:rsid w:val="00324814"/>
    <w:rsid w:val="00324822"/>
    <w:rsid w:val="0032482E"/>
    <w:rsid w:val="0032485B"/>
    <w:rsid w:val="0032486A"/>
    <w:rsid w:val="00324877"/>
    <w:rsid w:val="00324921"/>
    <w:rsid w:val="0032496E"/>
    <w:rsid w:val="00324AC3"/>
    <w:rsid w:val="00324B8A"/>
    <w:rsid w:val="00324C19"/>
    <w:rsid w:val="00324CF7"/>
    <w:rsid w:val="00324D38"/>
    <w:rsid w:val="00324D6D"/>
    <w:rsid w:val="00324E21"/>
    <w:rsid w:val="00324E4F"/>
    <w:rsid w:val="00324EC8"/>
    <w:rsid w:val="00324FCE"/>
    <w:rsid w:val="00325021"/>
    <w:rsid w:val="00325026"/>
    <w:rsid w:val="00325121"/>
    <w:rsid w:val="00325165"/>
    <w:rsid w:val="0032525A"/>
    <w:rsid w:val="00325269"/>
    <w:rsid w:val="00325424"/>
    <w:rsid w:val="00325433"/>
    <w:rsid w:val="0032543C"/>
    <w:rsid w:val="00325590"/>
    <w:rsid w:val="003255E3"/>
    <w:rsid w:val="00325602"/>
    <w:rsid w:val="0032561F"/>
    <w:rsid w:val="00325681"/>
    <w:rsid w:val="003256FF"/>
    <w:rsid w:val="00325746"/>
    <w:rsid w:val="00325795"/>
    <w:rsid w:val="003257B6"/>
    <w:rsid w:val="003257FC"/>
    <w:rsid w:val="00325979"/>
    <w:rsid w:val="003259A3"/>
    <w:rsid w:val="003259A4"/>
    <w:rsid w:val="00325A1A"/>
    <w:rsid w:val="00325A25"/>
    <w:rsid w:val="00325A54"/>
    <w:rsid w:val="00325A85"/>
    <w:rsid w:val="00325A93"/>
    <w:rsid w:val="00325B24"/>
    <w:rsid w:val="00325B57"/>
    <w:rsid w:val="00325B77"/>
    <w:rsid w:val="00325D1C"/>
    <w:rsid w:val="00325D31"/>
    <w:rsid w:val="00325D77"/>
    <w:rsid w:val="00325DFE"/>
    <w:rsid w:val="00325E83"/>
    <w:rsid w:val="00325F99"/>
    <w:rsid w:val="00325FA8"/>
    <w:rsid w:val="00325FD8"/>
    <w:rsid w:val="00326029"/>
    <w:rsid w:val="00326099"/>
    <w:rsid w:val="0032611D"/>
    <w:rsid w:val="00326125"/>
    <w:rsid w:val="00326240"/>
    <w:rsid w:val="003262C3"/>
    <w:rsid w:val="003262E4"/>
    <w:rsid w:val="0032630B"/>
    <w:rsid w:val="0032635B"/>
    <w:rsid w:val="003263BE"/>
    <w:rsid w:val="00326406"/>
    <w:rsid w:val="0032641C"/>
    <w:rsid w:val="00326494"/>
    <w:rsid w:val="003264AF"/>
    <w:rsid w:val="00326511"/>
    <w:rsid w:val="00326675"/>
    <w:rsid w:val="003266D4"/>
    <w:rsid w:val="0032670E"/>
    <w:rsid w:val="003267B7"/>
    <w:rsid w:val="003267D9"/>
    <w:rsid w:val="0032681B"/>
    <w:rsid w:val="00326861"/>
    <w:rsid w:val="003268A1"/>
    <w:rsid w:val="003268A6"/>
    <w:rsid w:val="003268BD"/>
    <w:rsid w:val="00326A36"/>
    <w:rsid w:val="00326AFE"/>
    <w:rsid w:val="00326B3C"/>
    <w:rsid w:val="00326B47"/>
    <w:rsid w:val="00326B78"/>
    <w:rsid w:val="00326B94"/>
    <w:rsid w:val="00326C10"/>
    <w:rsid w:val="00326C1C"/>
    <w:rsid w:val="00326DD0"/>
    <w:rsid w:val="00326DD1"/>
    <w:rsid w:val="00326DF6"/>
    <w:rsid w:val="00326F03"/>
    <w:rsid w:val="00326F25"/>
    <w:rsid w:val="00326F7B"/>
    <w:rsid w:val="00326FCC"/>
    <w:rsid w:val="00326FDD"/>
    <w:rsid w:val="00327018"/>
    <w:rsid w:val="0032705D"/>
    <w:rsid w:val="0032710A"/>
    <w:rsid w:val="00327196"/>
    <w:rsid w:val="003271BE"/>
    <w:rsid w:val="00327215"/>
    <w:rsid w:val="00327300"/>
    <w:rsid w:val="0032734F"/>
    <w:rsid w:val="0032739C"/>
    <w:rsid w:val="00327407"/>
    <w:rsid w:val="00327477"/>
    <w:rsid w:val="00327594"/>
    <w:rsid w:val="003275A1"/>
    <w:rsid w:val="003275B4"/>
    <w:rsid w:val="00327679"/>
    <w:rsid w:val="0032767A"/>
    <w:rsid w:val="0032769E"/>
    <w:rsid w:val="003276B2"/>
    <w:rsid w:val="0032779B"/>
    <w:rsid w:val="003277E4"/>
    <w:rsid w:val="0032786F"/>
    <w:rsid w:val="00327891"/>
    <w:rsid w:val="00327925"/>
    <w:rsid w:val="00327954"/>
    <w:rsid w:val="003279BE"/>
    <w:rsid w:val="003279F2"/>
    <w:rsid w:val="003279FA"/>
    <w:rsid w:val="00327A18"/>
    <w:rsid w:val="00327AD9"/>
    <w:rsid w:val="00327B32"/>
    <w:rsid w:val="00327B8C"/>
    <w:rsid w:val="00327B9D"/>
    <w:rsid w:val="00327BC0"/>
    <w:rsid w:val="00327BDD"/>
    <w:rsid w:val="00327C42"/>
    <w:rsid w:val="00327C52"/>
    <w:rsid w:val="00327CBB"/>
    <w:rsid w:val="00327D39"/>
    <w:rsid w:val="00327D7F"/>
    <w:rsid w:val="00327DD9"/>
    <w:rsid w:val="00327E22"/>
    <w:rsid w:val="00327E56"/>
    <w:rsid w:val="00327E72"/>
    <w:rsid w:val="00327E82"/>
    <w:rsid w:val="00327E8F"/>
    <w:rsid w:val="00327EC8"/>
    <w:rsid w:val="00327EF5"/>
    <w:rsid w:val="00327F46"/>
    <w:rsid w:val="00327FB1"/>
    <w:rsid w:val="00327FD0"/>
    <w:rsid w:val="00327FD3"/>
    <w:rsid w:val="003300D4"/>
    <w:rsid w:val="003301FB"/>
    <w:rsid w:val="00330242"/>
    <w:rsid w:val="00330295"/>
    <w:rsid w:val="003302F3"/>
    <w:rsid w:val="003303AF"/>
    <w:rsid w:val="003303C7"/>
    <w:rsid w:val="003303FA"/>
    <w:rsid w:val="0033046A"/>
    <w:rsid w:val="00330489"/>
    <w:rsid w:val="0033048D"/>
    <w:rsid w:val="003304AA"/>
    <w:rsid w:val="003304B4"/>
    <w:rsid w:val="003304B9"/>
    <w:rsid w:val="003304CA"/>
    <w:rsid w:val="00330546"/>
    <w:rsid w:val="00330575"/>
    <w:rsid w:val="00330592"/>
    <w:rsid w:val="00330607"/>
    <w:rsid w:val="0033064E"/>
    <w:rsid w:val="00330676"/>
    <w:rsid w:val="003306A2"/>
    <w:rsid w:val="003306BA"/>
    <w:rsid w:val="00330712"/>
    <w:rsid w:val="00330786"/>
    <w:rsid w:val="003307A4"/>
    <w:rsid w:val="003307B2"/>
    <w:rsid w:val="003307B7"/>
    <w:rsid w:val="00330839"/>
    <w:rsid w:val="0033083D"/>
    <w:rsid w:val="0033099A"/>
    <w:rsid w:val="0033099B"/>
    <w:rsid w:val="003309B9"/>
    <w:rsid w:val="003309E9"/>
    <w:rsid w:val="003309F2"/>
    <w:rsid w:val="00330A4A"/>
    <w:rsid w:val="00330A69"/>
    <w:rsid w:val="00330A9C"/>
    <w:rsid w:val="00330B15"/>
    <w:rsid w:val="00330BE3"/>
    <w:rsid w:val="00330C11"/>
    <w:rsid w:val="00330C87"/>
    <w:rsid w:val="00330C88"/>
    <w:rsid w:val="00330CD1"/>
    <w:rsid w:val="00330CE8"/>
    <w:rsid w:val="00330CEE"/>
    <w:rsid w:val="00330D2F"/>
    <w:rsid w:val="00330E35"/>
    <w:rsid w:val="00330E4C"/>
    <w:rsid w:val="00330EA7"/>
    <w:rsid w:val="00330EB9"/>
    <w:rsid w:val="00330ED4"/>
    <w:rsid w:val="00330F2D"/>
    <w:rsid w:val="00331076"/>
    <w:rsid w:val="003310B6"/>
    <w:rsid w:val="0033116F"/>
    <w:rsid w:val="003311C1"/>
    <w:rsid w:val="0033123C"/>
    <w:rsid w:val="00331251"/>
    <w:rsid w:val="0033131F"/>
    <w:rsid w:val="00331355"/>
    <w:rsid w:val="00331386"/>
    <w:rsid w:val="003313BA"/>
    <w:rsid w:val="0033140A"/>
    <w:rsid w:val="0033145E"/>
    <w:rsid w:val="0033166D"/>
    <w:rsid w:val="0033167B"/>
    <w:rsid w:val="0033167E"/>
    <w:rsid w:val="0033170A"/>
    <w:rsid w:val="00331761"/>
    <w:rsid w:val="003317AA"/>
    <w:rsid w:val="003317E2"/>
    <w:rsid w:val="00331858"/>
    <w:rsid w:val="0033188A"/>
    <w:rsid w:val="003318BF"/>
    <w:rsid w:val="003319D4"/>
    <w:rsid w:val="00331A21"/>
    <w:rsid w:val="00331A90"/>
    <w:rsid w:val="00331B40"/>
    <w:rsid w:val="00331B75"/>
    <w:rsid w:val="00331BAC"/>
    <w:rsid w:val="00331BB5"/>
    <w:rsid w:val="00331C3F"/>
    <w:rsid w:val="00331C4E"/>
    <w:rsid w:val="00331C5B"/>
    <w:rsid w:val="00331D32"/>
    <w:rsid w:val="00331D9C"/>
    <w:rsid w:val="00331DAB"/>
    <w:rsid w:val="00331DE3"/>
    <w:rsid w:val="00331F41"/>
    <w:rsid w:val="00331FD0"/>
    <w:rsid w:val="00332046"/>
    <w:rsid w:val="003320A4"/>
    <w:rsid w:val="00332141"/>
    <w:rsid w:val="00332287"/>
    <w:rsid w:val="003322EA"/>
    <w:rsid w:val="00332316"/>
    <w:rsid w:val="003323B5"/>
    <w:rsid w:val="003323E9"/>
    <w:rsid w:val="003324AE"/>
    <w:rsid w:val="003324F4"/>
    <w:rsid w:val="00332556"/>
    <w:rsid w:val="00332571"/>
    <w:rsid w:val="003325D5"/>
    <w:rsid w:val="00332601"/>
    <w:rsid w:val="00332614"/>
    <w:rsid w:val="003326F9"/>
    <w:rsid w:val="00332755"/>
    <w:rsid w:val="003327B7"/>
    <w:rsid w:val="0033294B"/>
    <w:rsid w:val="0033295F"/>
    <w:rsid w:val="0033296E"/>
    <w:rsid w:val="003329AA"/>
    <w:rsid w:val="003329FD"/>
    <w:rsid w:val="00332A92"/>
    <w:rsid w:val="00332B02"/>
    <w:rsid w:val="00332B75"/>
    <w:rsid w:val="00332C19"/>
    <w:rsid w:val="00332C31"/>
    <w:rsid w:val="00332E7C"/>
    <w:rsid w:val="00332EDD"/>
    <w:rsid w:val="00332F74"/>
    <w:rsid w:val="00332F75"/>
    <w:rsid w:val="00333007"/>
    <w:rsid w:val="00333046"/>
    <w:rsid w:val="0033304D"/>
    <w:rsid w:val="00333077"/>
    <w:rsid w:val="0033308F"/>
    <w:rsid w:val="00333154"/>
    <w:rsid w:val="0033315C"/>
    <w:rsid w:val="003331E9"/>
    <w:rsid w:val="003332F3"/>
    <w:rsid w:val="003334B7"/>
    <w:rsid w:val="0033351D"/>
    <w:rsid w:val="00333549"/>
    <w:rsid w:val="0033359B"/>
    <w:rsid w:val="003335F2"/>
    <w:rsid w:val="00333690"/>
    <w:rsid w:val="00333705"/>
    <w:rsid w:val="0033370C"/>
    <w:rsid w:val="00333718"/>
    <w:rsid w:val="00333770"/>
    <w:rsid w:val="00333779"/>
    <w:rsid w:val="0033378D"/>
    <w:rsid w:val="003337B8"/>
    <w:rsid w:val="003337EA"/>
    <w:rsid w:val="0033381B"/>
    <w:rsid w:val="00333847"/>
    <w:rsid w:val="0033384C"/>
    <w:rsid w:val="00333858"/>
    <w:rsid w:val="00333951"/>
    <w:rsid w:val="003339CC"/>
    <w:rsid w:val="00333A7A"/>
    <w:rsid w:val="00333A90"/>
    <w:rsid w:val="00333AC7"/>
    <w:rsid w:val="00333B3C"/>
    <w:rsid w:val="00333BF3"/>
    <w:rsid w:val="00333C8F"/>
    <w:rsid w:val="00333CCD"/>
    <w:rsid w:val="00333CF2"/>
    <w:rsid w:val="00333D0A"/>
    <w:rsid w:val="00333D3C"/>
    <w:rsid w:val="00333E7E"/>
    <w:rsid w:val="00333EA1"/>
    <w:rsid w:val="00333F16"/>
    <w:rsid w:val="00333F59"/>
    <w:rsid w:val="00333FB8"/>
    <w:rsid w:val="00333FFB"/>
    <w:rsid w:val="0033400A"/>
    <w:rsid w:val="0033400F"/>
    <w:rsid w:val="00334046"/>
    <w:rsid w:val="00334062"/>
    <w:rsid w:val="003340B7"/>
    <w:rsid w:val="003340E1"/>
    <w:rsid w:val="003340EF"/>
    <w:rsid w:val="00334150"/>
    <w:rsid w:val="003341A8"/>
    <w:rsid w:val="00334385"/>
    <w:rsid w:val="0033449D"/>
    <w:rsid w:val="003344AB"/>
    <w:rsid w:val="003344B9"/>
    <w:rsid w:val="00334544"/>
    <w:rsid w:val="00334566"/>
    <w:rsid w:val="0033460B"/>
    <w:rsid w:val="00334690"/>
    <w:rsid w:val="003346DC"/>
    <w:rsid w:val="003346F3"/>
    <w:rsid w:val="00334769"/>
    <w:rsid w:val="003347DE"/>
    <w:rsid w:val="003347E2"/>
    <w:rsid w:val="00334800"/>
    <w:rsid w:val="00334883"/>
    <w:rsid w:val="0033498F"/>
    <w:rsid w:val="0033499C"/>
    <w:rsid w:val="003349CD"/>
    <w:rsid w:val="00334A29"/>
    <w:rsid w:val="00334B13"/>
    <w:rsid w:val="00334B38"/>
    <w:rsid w:val="00334B5B"/>
    <w:rsid w:val="00334B7A"/>
    <w:rsid w:val="00334BBC"/>
    <w:rsid w:val="00334BF0"/>
    <w:rsid w:val="00334C1F"/>
    <w:rsid w:val="00334C20"/>
    <w:rsid w:val="00334C36"/>
    <w:rsid w:val="00334C7A"/>
    <w:rsid w:val="00334C87"/>
    <w:rsid w:val="00334CBC"/>
    <w:rsid w:val="00334CC7"/>
    <w:rsid w:val="00334D84"/>
    <w:rsid w:val="00334D96"/>
    <w:rsid w:val="00334DE2"/>
    <w:rsid w:val="00334E24"/>
    <w:rsid w:val="00334E39"/>
    <w:rsid w:val="00334E90"/>
    <w:rsid w:val="00334ECC"/>
    <w:rsid w:val="00334EE5"/>
    <w:rsid w:val="00334F44"/>
    <w:rsid w:val="00334FC5"/>
    <w:rsid w:val="00334FCE"/>
    <w:rsid w:val="0033506E"/>
    <w:rsid w:val="003350FA"/>
    <w:rsid w:val="003350FC"/>
    <w:rsid w:val="0033515B"/>
    <w:rsid w:val="003351B0"/>
    <w:rsid w:val="00335227"/>
    <w:rsid w:val="0033522D"/>
    <w:rsid w:val="00335255"/>
    <w:rsid w:val="00335284"/>
    <w:rsid w:val="003352C7"/>
    <w:rsid w:val="00335349"/>
    <w:rsid w:val="00335440"/>
    <w:rsid w:val="003354BE"/>
    <w:rsid w:val="003354ED"/>
    <w:rsid w:val="0033563D"/>
    <w:rsid w:val="00335642"/>
    <w:rsid w:val="0033587A"/>
    <w:rsid w:val="003358C7"/>
    <w:rsid w:val="00335924"/>
    <w:rsid w:val="00335A0A"/>
    <w:rsid w:val="00335A7F"/>
    <w:rsid w:val="00335AD7"/>
    <w:rsid w:val="00335B17"/>
    <w:rsid w:val="00335B60"/>
    <w:rsid w:val="00335C18"/>
    <w:rsid w:val="00335C55"/>
    <w:rsid w:val="00335CEC"/>
    <w:rsid w:val="00335D2C"/>
    <w:rsid w:val="00335D38"/>
    <w:rsid w:val="00335DFE"/>
    <w:rsid w:val="00335E33"/>
    <w:rsid w:val="00335E6D"/>
    <w:rsid w:val="00335E8E"/>
    <w:rsid w:val="00335EBD"/>
    <w:rsid w:val="00335F0C"/>
    <w:rsid w:val="00335F34"/>
    <w:rsid w:val="00335FC2"/>
    <w:rsid w:val="0033604D"/>
    <w:rsid w:val="003360BA"/>
    <w:rsid w:val="003360FA"/>
    <w:rsid w:val="0033610D"/>
    <w:rsid w:val="00336113"/>
    <w:rsid w:val="0033611C"/>
    <w:rsid w:val="0033618A"/>
    <w:rsid w:val="003361AA"/>
    <w:rsid w:val="003361CE"/>
    <w:rsid w:val="003361E4"/>
    <w:rsid w:val="00336297"/>
    <w:rsid w:val="003362F6"/>
    <w:rsid w:val="00336355"/>
    <w:rsid w:val="0033649B"/>
    <w:rsid w:val="00336684"/>
    <w:rsid w:val="003366A0"/>
    <w:rsid w:val="00336725"/>
    <w:rsid w:val="00336735"/>
    <w:rsid w:val="0033675F"/>
    <w:rsid w:val="0033677A"/>
    <w:rsid w:val="00336897"/>
    <w:rsid w:val="003369B7"/>
    <w:rsid w:val="003369D7"/>
    <w:rsid w:val="00336A1D"/>
    <w:rsid w:val="00336BDB"/>
    <w:rsid w:val="00336CD8"/>
    <w:rsid w:val="00336CE2"/>
    <w:rsid w:val="00336DF0"/>
    <w:rsid w:val="00336EAB"/>
    <w:rsid w:val="00336EBF"/>
    <w:rsid w:val="00336ECB"/>
    <w:rsid w:val="00336F04"/>
    <w:rsid w:val="00336F28"/>
    <w:rsid w:val="00336F79"/>
    <w:rsid w:val="00337006"/>
    <w:rsid w:val="00337009"/>
    <w:rsid w:val="0033703B"/>
    <w:rsid w:val="0033704D"/>
    <w:rsid w:val="00337057"/>
    <w:rsid w:val="003370B8"/>
    <w:rsid w:val="00337100"/>
    <w:rsid w:val="00337175"/>
    <w:rsid w:val="00337176"/>
    <w:rsid w:val="00337181"/>
    <w:rsid w:val="0033725D"/>
    <w:rsid w:val="003372AE"/>
    <w:rsid w:val="00337362"/>
    <w:rsid w:val="003373FC"/>
    <w:rsid w:val="00337434"/>
    <w:rsid w:val="0033744A"/>
    <w:rsid w:val="003374B8"/>
    <w:rsid w:val="003374FD"/>
    <w:rsid w:val="00337511"/>
    <w:rsid w:val="0033751E"/>
    <w:rsid w:val="00337521"/>
    <w:rsid w:val="0033763B"/>
    <w:rsid w:val="00337777"/>
    <w:rsid w:val="00337810"/>
    <w:rsid w:val="0033783C"/>
    <w:rsid w:val="0033792A"/>
    <w:rsid w:val="0033794D"/>
    <w:rsid w:val="0033795C"/>
    <w:rsid w:val="003379C8"/>
    <w:rsid w:val="00337A12"/>
    <w:rsid w:val="00337A13"/>
    <w:rsid w:val="00337A20"/>
    <w:rsid w:val="00337A93"/>
    <w:rsid w:val="00337AA5"/>
    <w:rsid w:val="00337AB8"/>
    <w:rsid w:val="00337B31"/>
    <w:rsid w:val="00337B5E"/>
    <w:rsid w:val="00337C99"/>
    <w:rsid w:val="00337D49"/>
    <w:rsid w:val="00337DF0"/>
    <w:rsid w:val="00337E48"/>
    <w:rsid w:val="00337E74"/>
    <w:rsid w:val="00337ED2"/>
    <w:rsid w:val="00337EFB"/>
    <w:rsid w:val="00337FDD"/>
    <w:rsid w:val="00340055"/>
    <w:rsid w:val="003400C9"/>
    <w:rsid w:val="0034022C"/>
    <w:rsid w:val="0034026E"/>
    <w:rsid w:val="003402E7"/>
    <w:rsid w:val="00340374"/>
    <w:rsid w:val="00340386"/>
    <w:rsid w:val="003403E9"/>
    <w:rsid w:val="00340417"/>
    <w:rsid w:val="0034043C"/>
    <w:rsid w:val="0034054E"/>
    <w:rsid w:val="0034062F"/>
    <w:rsid w:val="003406B6"/>
    <w:rsid w:val="003407EF"/>
    <w:rsid w:val="00340821"/>
    <w:rsid w:val="00340825"/>
    <w:rsid w:val="00340838"/>
    <w:rsid w:val="0034088B"/>
    <w:rsid w:val="003408DE"/>
    <w:rsid w:val="003408EB"/>
    <w:rsid w:val="003408F2"/>
    <w:rsid w:val="00340952"/>
    <w:rsid w:val="00340AC8"/>
    <w:rsid w:val="00340AF4"/>
    <w:rsid w:val="00340BA1"/>
    <w:rsid w:val="00340BCA"/>
    <w:rsid w:val="00340BEF"/>
    <w:rsid w:val="00340C77"/>
    <w:rsid w:val="00340D04"/>
    <w:rsid w:val="00340D1E"/>
    <w:rsid w:val="00340D65"/>
    <w:rsid w:val="00340DCE"/>
    <w:rsid w:val="00340DDC"/>
    <w:rsid w:val="00340DEF"/>
    <w:rsid w:val="00340F08"/>
    <w:rsid w:val="00340F2A"/>
    <w:rsid w:val="00340F80"/>
    <w:rsid w:val="00340FCB"/>
    <w:rsid w:val="00341006"/>
    <w:rsid w:val="0034107C"/>
    <w:rsid w:val="00341116"/>
    <w:rsid w:val="0034112D"/>
    <w:rsid w:val="0034114E"/>
    <w:rsid w:val="0034115F"/>
    <w:rsid w:val="0034118E"/>
    <w:rsid w:val="00341268"/>
    <w:rsid w:val="003412A1"/>
    <w:rsid w:val="00341370"/>
    <w:rsid w:val="003413C9"/>
    <w:rsid w:val="0034145C"/>
    <w:rsid w:val="003414F7"/>
    <w:rsid w:val="003414FE"/>
    <w:rsid w:val="0034159B"/>
    <w:rsid w:val="0034159F"/>
    <w:rsid w:val="00341615"/>
    <w:rsid w:val="00341675"/>
    <w:rsid w:val="003416A8"/>
    <w:rsid w:val="003416BD"/>
    <w:rsid w:val="003416C0"/>
    <w:rsid w:val="003416C2"/>
    <w:rsid w:val="003417A7"/>
    <w:rsid w:val="00341843"/>
    <w:rsid w:val="00341947"/>
    <w:rsid w:val="0034195A"/>
    <w:rsid w:val="0034197B"/>
    <w:rsid w:val="00341AC4"/>
    <w:rsid w:val="00341B3E"/>
    <w:rsid w:val="00341BDD"/>
    <w:rsid w:val="00341BF6"/>
    <w:rsid w:val="00341C1F"/>
    <w:rsid w:val="00341CCA"/>
    <w:rsid w:val="00341CFA"/>
    <w:rsid w:val="00341DD0"/>
    <w:rsid w:val="00341E14"/>
    <w:rsid w:val="00341F47"/>
    <w:rsid w:val="00341FA4"/>
    <w:rsid w:val="00341FE7"/>
    <w:rsid w:val="00342003"/>
    <w:rsid w:val="00342012"/>
    <w:rsid w:val="00342052"/>
    <w:rsid w:val="003420CC"/>
    <w:rsid w:val="003420DE"/>
    <w:rsid w:val="003420F6"/>
    <w:rsid w:val="00342134"/>
    <w:rsid w:val="003421A6"/>
    <w:rsid w:val="00342218"/>
    <w:rsid w:val="003422FD"/>
    <w:rsid w:val="00342364"/>
    <w:rsid w:val="003423D2"/>
    <w:rsid w:val="003423DF"/>
    <w:rsid w:val="003423E5"/>
    <w:rsid w:val="0034240A"/>
    <w:rsid w:val="003424F0"/>
    <w:rsid w:val="0034257F"/>
    <w:rsid w:val="003425F4"/>
    <w:rsid w:val="00342606"/>
    <w:rsid w:val="00342647"/>
    <w:rsid w:val="00342659"/>
    <w:rsid w:val="003426E4"/>
    <w:rsid w:val="003427B3"/>
    <w:rsid w:val="003428E5"/>
    <w:rsid w:val="003429D4"/>
    <w:rsid w:val="003429FC"/>
    <w:rsid w:val="00342BEC"/>
    <w:rsid w:val="00342C82"/>
    <w:rsid w:val="00342D36"/>
    <w:rsid w:val="00342D3E"/>
    <w:rsid w:val="00342F62"/>
    <w:rsid w:val="00342FE6"/>
    <w:rsid w:val="00342FF9"/>
    <w:rsid w:val="00343014"/>
    <w:rsid w:val="00343044"/>
    <w:rsid w:val="003430CE"/>
    <w:rsid w:val="003430FA"/>
    <w:rsid w:val="00343104"/>
    <w:rsid w:val="00343127"/>
    <w:rsid w:val="0034316D"/>
    <w:rsid w:val="00343170"/>
    <w:rsid w:val="003431C1"/>
    <w:rsid w:val="00343281"/>
    <w:rsid w:val="003432A1"/>
    <w:rsid w:val="00343352"/>
    <w:rsid w:val="00343367"/>
    <w:rsid w:val="003434A2"/>
    <w:rsid w:val="0034354E"/>
    <w:rsid w:val="003435CE"/>
    <w:rsid w:val="003435DC"/>
    <w:rsid w:val="003435E1"/>
    <w:rsid w:val="00343610"/>
    <w:rsid w:val="00343680"/>
    <w:rsid w:val="0034371F"/>
    <w:rsid w:val="00343778"/>
    <w:rsid w:val="0034381D"/>
    <w:rsid w:val="0034385D"/>
    <w:rsid w:val="0034387E"/>
    <w:rsid w:val="003438B1"/>
    <w:rsid w:val="003438E5"/>
    <w:rsid w:val="0034397C"/>
    <w:rsid w:val="00343984"/>
    <w:rsid w:val="00343A0E"/>
    <w:rsid w:val="00343A70"/>
    <w:rsid w:val="00343A7E"/>
    <w:rsid w:val="00343A9A"/>
    <w:rsid w:val="00343AA6"/>
    <w:rsid w:val="00343B46"/>
    <w:rsid w:val="00343BE6"/>
    <w:rsid w:val="00343BEF"/>
    <w:rsid w:val="00343C3F"/>
    <w:rsid w:val="00343CB7"/>
    <w:rsid w:val="00343E62"/>
    <w:rsid w:val="00343EF5"/>
    <w:rsid w:val="00343F05"/>
    <w:rsid w:val="003440B7"/>
    <w:rsid w:val="003440F8"/>
    <w:rsid w:val="00344158"/>
    <w:rsid w:val="00344171"/>
    <w:rsid w:val="00344198"/>
    <w:rsid w:val="003441C0"/>
    <w:rsid w:val="00344350"/>
    <w:rsid w:val="0034435D"/>
    <w:rsid w:val="00344380"/>
    <w:rsid w:val="003443CA"/>
    <w:rsid w:val="003443D7"/>
    <w:rsid w:val="003443F3"/>
    <w:rsid w:val="00344416"/>
    <w:rsid w:val="00344442"/>
    <w:rsid w:val="0034444E"/>
    <w:rsid w:val="003444C8"/>
    <w:rsid w:val="0034450A"/>
    <w:rsid w:val="0034453F"/>
    <w:rsid w:val="00344549"/>
    <w:rsid w:val="0034468A"/>
    <w:rsid w:val="00344692"/>
    <w:rsid w:val="0034470A"/>
    <w:rsid w:val="00344782"/>
    <w:rsid w:val="00344798"/>
    <w:rsid w:val="003447C3"/>
    <w:rsid w:val="003448F4"/>
    <w:rsid w:val="003448FB"/>
    <w:rsid w:val="00344946"/>
    <w:rsid w:val="0034498D"/>
    <w:rsid w:val="003449E7"/>
    <w:rsid w:val="00344A5B"/>
    <w:rsid w:val="00344A89"/>
    <w:rsid w:val="00344B23"/>
    <w:rsid w:val="00344B4A"/>
    <w:rsid w:val="00344B54"/>
    <w:rsid w:val="00344BC4"/>
    <w:rsid w:val="00344BF0"/>
    <w:rsid w:val="00344C09"/>
    <w:rsid w:val="00344C64"/>
    <w:rsid w:val="00344E24"/>
    <w:rsid w:val="00344E37"/>
    <w:rsid w:val="00344E55"/>
    <w:rsid w:val="00344E5D"/>
    <w:rsid w:val="00344E8C"/>
    <w:rsid w:val="00344F08"/>
    <w:rsid w:val="00344F50"/>
    <w:rsid w:val="00344F6C"/>
    <w:rsid w:val="00344F7A"/>
    <w:rsid w:val="00344FE1"/>
    <w:rsid w:val="0034513E"/>
    <w:rsid w:val="00345155"/>
    <w:rsid w:val="003452C8"/>
    <w:rsid w:val="0034531F"/>
    <w:rsid w:val="0034539C"/>
    <w:rsid w:val="003453BA"/>
    <w:rsid w:val="003453CD"/>
    <w:rsid w:val="003453EE"/>
    <w:rsid w:val="00345411"/>
    <w:rsid w:val="0034548B"/>
    <w:rsid w:val="003454D4"/>
    <w:rsid w:val="003454E8"/>
    <w:rsid w:val="0034552A"/>
    <w:rsid w:val="0034562C"/>
    <w:rsid w:val="00345640"/>
    <w:rsid w:val="0034564A"/>
    <w:rsid w:val="00345686"/>
    <w:rsid w:val="003456B2"/>
    <w:rsid w:val="003456B9"/>
    <w:rsid w:val="00345715"/>
    <w:rsid w:val="00345822"/>
    <w:rsid w:val="0034583E"/>
    <w:rsid w:val="003458CD"/>
    <w:rsid w:val="00345A1E"/>
    <w:rsid w:val="00345A21"/>
    <w:rsid w:val="00345A35"/>
    <w:rsid w:val="00345CAA"/>
    <w:rsid w:val="00345D09"/>
    <w:rsid w:val="00345DBD"/>
    <w:rsid w:val="00345E5F"/>
    <w:rsid w:val="00345E61"/>
    <w:rsid w:val="00345F43"/>
    <w:rsid w:val="00345F87"/>
    <w:rsid w:val="00345FC3"/>
    <w:rsid w:val="00345FCC"/>
    <w:rsid w:val="0034600F"/>
    <w:rsid w:val="00346022"/>
    <w:rsid w:val="00346086"/>
    <w:rsid w:val="0034608F"/>
    <w:rsid w:val="003460E4"/>
    <w:rsid w:val="003461C9"/>
    <w:rsid w:val="003461E3"/>
    <w:rsid w:val="003461F3"/>
    <w:rsid w:val="003461FD"/>
    <w:rsid w:val="003462AF"/>
    <w:rsid w:val="00346376"/>
    <w:rsid w:val="0034637A"/>
    <w:rsid w:val="003463BD"/>
    <w:rsid w:val="00346444"/>
    <w:rsid w:val="00346492"/>
    <w:rsid w:val="003464D3"/>
    <w:rsid w:val="00346504"/>
    <w:rsid w:val="00346515"/>
    <w:rsid w:val="00346582"/>
    <w:rsid w:val="00346599"/>
    <w:rsid w:val="00346648"/>
    <w:rsid w:val="0034666A"/>
    <w:rsid w:val="003466A6"/>
    <w:rsid w:val="0034680A"/>
    <w:rsid w:val="003468A1"/>
    <w:rsid w:val="003468E3"/>
    <w:rsid w:val="0034690E"/>
    <w:rsid w:val="00346916"/>
    <w:rsid w:val="00346939"/>
    <w:rsid w:val="00346989"/>
    <w:rsid w:val="00346A16"/>
    <w:rsid w:val="00346A29"/>
    <w:rsid w:val="00346B20"/>
    <w:rsid w:val="00346B40"/>
    <w:rsid w:val="00346B51"/>
    <w:rsid w:val="00346BF4"/>
    <w:rsid w:val="00346C27"/>
    <w:rsid w:val="00346CC6"/>
    <w:rsid w:val="00346D87"/>
    <w:rsid w:val="00346DD5"/>
    <w:rsid w:val="00346E79"/>
    <w:rsid w:val="00346ED7"/>
    <w:rsid w:val="00346EFA"/>
    <w:rsid w:val="00346F77"/>
    <w:rsid w:val="00346F8E"/>
    <w:rsid w:val="0034706A"/>
    <w:rsid w:val="003470EC"/>
    <w:rsid w:val="003470F8"/>
    <w:rsid w:val="00347138"/>
    <w:rsid w:val="003471A4"/>
    <w:rsid w:val="003471C0"/>
    <w:rsid w:val="003471D0"/>
    <w:rsid w:val="003471FA"/>
    <w:rsid w:val="00347247"/>
    <w:rsid w:val="003472AA"/>
    <w:rsid w:val="00347341"/>
    <w:rsid w:val="0034734F"/>
    <w:rsid w:val="00347372"/>
    <w:rsid w:val="00347386"/>
    <w:rsid w:val="00347473"/>
    <w:rsid w:val="00347496"/>
    <w:rsid w:val="003474A0"/>
    <w:rsid w:val="003474AB"/>
    <w:rsid w:val="003474E5"/>
    <w:rsid w:val="00347527"/>
    <w:rsid w:val="00347565"/>
    <w:rsid w:val="00347596"/>
    <w:rsid w:val="003475BF"/>
    <w:rsid w:val="0034765B"/>
    <w:rsid w:val="00347669"/>
    <w:rsid w:val="003476DE"/>
    <w:rsid w:val="0034772C"/>
    <w:rsid w:val="00347790"/>
    <w:rsid w:val="003477B8"/>
    <w:rsid w:val="003477F2"/>
    <w:rsid w:val="003477F3"/>
    <w:rsid w:val="0034780A"/>
    <w:rsid w:val="00347867"/>
    <w:rsid w:val="003478C4"/>
    <w:rsid w:val="003478E3"/>
    <w:rsid w:val="003478EB"/>
    <w:rsid w:val="00347904"/>
    <w:rsid w:val="00347911"/>
    <w:rsid w:val="00347940"/>
    <w:rsid w:val="00347965"/>
    <w:rsid w:val="003479CE"/>
    <w:rsid w:val="00347AF0"/>
    <w:rsid w:val="00347B07"/>
    <w:rsid w:val="00347B9C"/>
    <w:rsid w:val="00347BBB"/>
    <w:rsid w:val="00347C0A"/>
    <w:rsid w:val="00347C29"/>
    <w:rsid w:val="00347CAB"/>
    <w:rsid w:val="00347CE3"/>
    <w:rsid w:val="00347D33"/>
    <w:rsid w:val="00347D80"/>
    <w:rsid w:val="00347DBC"/>
    <w:rsid w:val="00347DDE"/>
    <w:rsid w:val="00347E14"/>
    <w:rsid w:val="00347EEA"/>
    <w:rsid w:val="00347F00"/>
    <w:rsid w:val="00347F17"/>
    <w:rsid w:val="00347F9F"/>
    <w:rsid w:val="00350019"/>
    <w:rsid w:val="003500E2"/>
    <w:rsid w:val="0035011F"/>
    <w:rsid w:val="00350163"/>
    <w:rsid w:val="003501BA"/>
    <w:rsid w:val="003501C8"/>
    <w:rsid w:val="00350206"/>
    <w:rsid w:val="00350232"/>
    <w:rsid w:val="00350278"/>
    <w:rsid w:val="0035027A"/>
    <w:rsid w:val="00350290"/>
    <w:rsid w:val="003502ED"/>
    <w:rsid w:val="0035031E"/>
    <w:rsid w:val="00350329"/>
    <w:rsid w:val="003503D2"/>
    <w:rsid w:val="0035042A"/>
    <w:rsid w:val="0035042E"/>
    <w:rsid w:val="003504E7"/>
    <w:rsid w:val="0035051D"/>
    <w:rsid w:val="00350543"/>
    <w:rsid w:val="0035056B"/>
    <w:rsid w:val="0035063E"/>
    <w:rsid w:val="0035073D"/>
    <w:rsid w:val="00350790"/>
    <w:rsid w:val="003507D0"/>
    <w:rsid w:val="003507E5"/>
    <w:rsid w:val="0035083E"/>
    <w:rsid w:val="0035087E"/>
    <w:rsid w:val="003508C6"/>
    <w:rsid w:val="003508D5"/>
    <w:rsid w:val="00350990"/>
    <w:rsid w:val="003509B3"/>
    <w:rsid w:val="00350BA2"/>
    <w:rsid w:val="00350BAF"/>
    <w:rsid w:val="00350BEC"/>
    <w:rsid w:val="00350BEF"/>
    <w:rsid w:val="00350C12"/>
    <w:rsid w:val="00350CA2"/>
    <w:rsid w:val="00350D1C"/>
    <w:rsid w:val="00350D32"/>
    <w:rsid w:val="00350D48"/>
    <w:rsid w:val="00350D76"/>
    <w:rsid w:val="00350EAA"/>
    <w:rsid w:val="00350ED5"/>
    <w:rsid w:val="00350EDC"/>
    <w:rsid w:val="00350EF5"/>
    <w:rsid w:val="00350F66"/>
    <w:rsid w:val="00350FC1"/>
    <w:rsid w:val="00350FC9"/>
    <w:rsid w:val="00350FD0"/>
    <w:rsid w:val="00350FD1"/>
    <w:rsid w:val="0035111F"/>
    <w:rsid w:val="0035112E"/>
    <w:rsid w:val="003511A2"/>
    <w:rsid w:val="003511C8"/>
    <w:rsid w:val="003511F1"/>
    <w:rsid w:val="0035125C"/>
    <w:rsid w:val="00351286"/>
    <w:rsid w:val="0035131A"/>
    <w:rsid w:val="00351351"/>
    <w:rsid w:val="00351468"/>
    <w:rsid w:val="0035161D"/>
    <w:rsid w:val="0035161F"/>
    <w:rsid w:val="00351638"/>
    <w:rsid w:val="00351669"/>
    <w:rsid w:val="00351680"/>
    <w:rsid w:val="003516C1"/>
    <w:rsid w:val="00351718"/>
    <w:rsid w:val="00351731"/>
    <w:rsid w:val="0035184B"/>
    <w:rsid w:val="003518C7"/>
    <w:rsid w:val="003518CE"/>
    <w:rsid w:val="003518F8"/>
    <w:rsid w:val="00351929"/>
    <w:rsid w:val="00351938"/>
    <w:rsid w:val="003519AD"/>
    <w:rsid w:val="003519B8"/>
    <w:rsid w:val="00351A55"/>
    <w:rsid w:val="00351C96"/>
    <w:rsid w:val="00351C9A"/>
    <w:rsid w:val="00351CB5"/>
    <w:rsid w:val="00351D17"/>
    <w:rsid w:val="00351E60"/>
    <w:rsid w:val="00351EBA"/>
    <w:rsid w:val="00351F77"/>
    <w:rsid w:val="00351FFA"/>
    <w:rsid w:val="003520D0"/>
    <w:rsid w:val="003520F7"/>
    <w:rsid w:val="00352108"/>
    <w:rsid w:val="003521A1"/>
    <w:rsid w:val="003521DB"/>
    <w:rsid w:val="00352256"/>
    <w:rsid w:val="00352261"/>
    <w:rsid w:val="0035227D"/>
    <w:rsid w:val="003522BB"/>
    <w:rsid w:val="00352330"/>
    <w:rsid w:val="00352349"/>
    <w:rsid w:val="0035236A"/>
    <w:rsid w:val="003523C3"/>
    <w:rsid w:val="003523EA"/>
    <w:rsid w:val="00352414"/>
    <w:rsid w:val="00352440"/>
    <w:rsid w:val="00352478"/>
    <w:rsid w:val="00352512"/>
    <w:rsid w:val="003526D2"/>
    <w:rsid w:val="003526D6"/>
    <w:rsid w:val="003526DF"/>
    <w:rsid w:val="00352766"/>
    <w:rsid w:val="003527C9"/>
    <w:rsid w:val="00352800"/>
    <w:rsid w:val="0035280E"/>
    <w:rsid w:val="003528FC"/>
    <w:rsid w:val="003528FE"/>
    <w:rsid w:val="00352925"/>
    <w:rsid w:val="003529D3"/>
    <w:rsid w:val="00352A0C"/>
    <w:rsid w:val="00352A27"/>
    <w:rsid w:val="00352A92"/>
    <w:rsid w:val="00352A9A"/>
    <w:rsid w:val="00352B08"/>
    <w:rsid w:val="00352BD8"/>
    <w:rsid w:val="00352C45"/>
    <w:rsid w:val="00352C4B"/>
    <w:rsid w:val="00352C65"/>
    <w:rsid w:val="00352CAC"/>
    <w:rsid w:val="00352CE6"/>
    <w:rsid w:val="00352CEF"/>
    <w:rsid w:val="00352D69"/>
    <w:rsid w:val="00352E04"/>
    <w:rsid w:val="00352EAF"/>
    <w:rsid w:val="00352F0A"/>
    <w:rsid w:val="00352FD4"/>
    <w:rsid w:val="00352FED"/>
    <w:rsid w:val="00353013"/>
    <w:rsid w:val="00353081"/>
    <w:rsid w:val="003530B9"/>
    <w:rsid w:val="003530EE"/>
    <w:rsid w:val="00353102"/>
    <w:rsid w:val="003531E9"/>
    <w:rsid w:val="00353261"/>
    <w:rsid w:val="00353273"/>
    <w:rsid w:val="00353274"/>
    <w:rsid w:val="003532CE"/>
    <w:rsid w:val="0035335F"/>
    <w:rsid w:val="0035336E"/>
    <w:rsid w:val="003533A1"/>
    <w:rsid w:val="003533A6"/>
    <w:rsid w:val="003533B2"/>
    <w:rsid w:val="0035342A"/>
    <w:rsid w:val="00353450"/>
    <w:rsid w:val="003534BB"/>
    <w:rsid w:val="003534C2"/>
    <w:rsid w:val="003534F5"/>
    <w:rsid w:val="0035357D"/>
    <w:rsid w:val="00353603"/>
    <w:rsid w:val="00353639"/>
    <w:rsid w:val="00353713"/>
    <w:rsid w:val="0035380F"/>
    <w:rsid w:val="00353829"/>
    <w:rsid w:val="00353850"/>
    <w:rsid w:val="003538E4"/>
    <w:rsid w:val="0035392A"/>
    <w:rsid w:val="0035396C"/>
    <w:rsid w:val="003539A4"/>
    <w:rsid w:val="003539E3"/>
    <w:rsid w:val="00353A8C"/>
    <w:rsid w:val="00353B07"/>
    <w:rsid w:val="00353B1C"/>
    <w:rsid w:val="00353B40"/>
    <w:rsid w:val="00353C0A"/>
    <w:rsid w:val="00353CBD"/>
    <w:rsid w:val="00353D28"/>
    <w:rsid w:val="00353D4E"/>
    <w:rsid w:val="00353E3A"/>
    <w:rsid w:val="00353E41"/>
    <w:rsid w:val="00353E56"/>
    <w:rsid w:val="00353EBF"/>
    <w:rsid w:val="00353ECE"/>
    <w:rsid w:val="00353EDD"/>
    <w:rsid w:val="00353F62"/>
    <w:rsid w:val="00353FA9"/>
    <w:rsid w:val="00353FF2"/>
    <w:rsid w:val="00354004"/>
    <w:rsid w:val="00354054"/>
    <w:rsid w:val="0035406F"/>
    <w:rsid w:val="003540CE"/>
    <w:rsid w:val="00354130"/>
    <w:rsid w:val="00354162"/>
    <w:rsid w:val="00354189"/>
    <w:rsid w:val="0035419A"/>
    <w:rsid w:val="003541F2"/>
    <w:rsid w:val="00354223"/>
    <w:rsid w:val="003542CE"/>
    <w:rsid w:val="00354346"/>
    <w:rsid w:val="00354368"/>
    <w:rsid w:val="003543E8"/>
    <w:rsid w:val="003545F3"/>
    <w:rsid w:val="00354643"/>
    <w:rsid w:val="0035464C"/>
    <w:rsid w:val="00354696"/>
    <w:rsid w:val="003546BC"/>
    <w:rsid w:val="0035489C"/>
    <w:rsid w:val="003548A9"/>
    <w:rsid w:val="003548B9"/>
    <w:rsid w:val="003548E6"/>
    <w:rsid w:val="003548ED"/>
    <w:rsid w:val="003549B8"/>
    <w:rsid w:val="003549D5"/>
    <w:rsid w:val="00354A63"/>
    <w:rsid w:val="00354A7D"/>
    <w:rsid w:val="00354AC6"/>
    <w:rsid w:val="00354B89"/>
    <w:rsid w:val="00354BE9"/>
    <w:rsid w:val="00354C57"/>
    <w:rsid w:val="00354CA6"/>
    <w:rsid w:val="00354D57"/>
    <w:rsid w:val="00354EB3"/>
    <w:rsid w:val="00354EDC"/>
    <w:rsid w:val="00354F0E"/>
    <w:rsid w:val="00354F3C"/>
    <w:rsid w:val="00354FA7"/>
    <w:rsid w:val="0035503F"/>
    <w:rsid w:val="0035510B"/>
    <w:rsid w:val="0035510F"/>
    <w:rsid w:val="0035513F"/>
    <w:rsid w:val="00355153"/>
    <w:rsid w:val="0035519A"/>
    <w:rsid w:val="003551CA"/>
    <w:rsid w:val="003551E9"/>
    <w:rsid w:val="003552C8"/>
    <w:rsid w:val="003553B9"/>
    <w:rsid w:val="003553F0"/>
    <w:rsid w:val="00355406"/>
    <w:rsid w:val="003554D0"/>
    <w:rsid w:val="00355501"/>
    <w:rsid w:val="0035551C"/>
    <w:rsid w:val="00355573"/>
    <w:rsid w:val="003555AC"/>
    <w:rsid w:val="003555E0"/>
    <w:rsid w:val="00355610"/>
    <w:rsid w:val="00355652"/>
    <w:rsid w:val="0035567D"/>
    <w:rsid w:val="00355729"/>
    <w:rsid w:val="00355774"/>
    <w:rsid w:val="0035580A"/>
    <w:rsid w:val="0035584F"/>
    <w:rsid w:val="0035587C"/>
    <w:rsid w:val="00355880"/>
    <w:rsid w:val="00355912"/>
    <w:rsid w:val="00355958"/>
    <w:rsid w:val="0035597C"/>
    <w:rsid w:val="003559ED"/>
    <w:rsid w:val="00355A59"/>
    <w:rsid w:val="00355A9A"/>
    <w:rsid w:val="00355B21"/>
    <w:rsid w:val="00355B6E"/>
    <w:rsid w:val="00355BB6"/>
    <w:rsid w:val="00355BD0"/>
    <w:rsid w:val="00355E03"/>
    <w:rsid w:val="00355E15"/>
    <w:rsid w:val="00355E93"/>
    <w:rsid w:val="00355EC3"/>
    <w:rsid w:val="00355ECD"/>
    <w:rsid w:val="00355EE7"/>
    <w:rsid w:val="00355F5F"/>
    <w:rsid w:val="00355FB8"/>
    <w:rsid w:val="00355FC2"/>
    <w:rsid w:val="00356011"/>
    <w:rsid w:val="003560A9"/>
    <w:rsid w:val="003560B4"/>
    <w:rsid w:val="003560B7"/>
    <w:rsid w:val="00356116"/>
    <w:rsid w:val="0035611C"/>
    <w:rsid w:val="0035613F"/>
    <w:rsid w:val="00356166"/>
    <w:rsid w:val="0035620B"/>
    <w:rsid w:val="00356296"/>
    <w:rsid w:val="003562D7"/>
    <w:rsid w:val="003562FC"/>
    <w:rsid w:val="00356312"/>
    <w:rsid w:val="00356321"/>
    <w:rsid w:val="003563DB"/>
    <w:rsid w:val="003563FD"/>
    <w:rsid w:val="00356409"/>
    <w:rsid w:val="00356469"/>
    <w:rsid w:val="00356483"/>
    <w:rsid w:val="003564EE"/>
    <w:rsid w:val="003564EF"/>
    <w:rsid w:val="00356515"/>
    <w:rsid w:val="00356554"/>
    <w:rsid w:val="00356562"/>
    <w:rsid w:val="00356587"/>
    <w:rsid w:val="0035662A"/>
    <w:rsid w:val="003566B7"/>
    <w:rsid w:val="00356709"/>
    <w:rsid w:val="0035677A"/>
    <w:rsid w:val="003567BD"/>
    <w:rsid w:val="003567FC"/>
    <w:rsid w:val="00356823"/>
    <w:rsid w:val="00356886"/>
    <w:rsid w:val="0035692B"/>
    <w:rsid w:val="0035693A"/>
    <w:rsid w:val="0035696A"/>
    <w:rsid w:val="00356A61"/>
    <w:rsid w:val="00356A6F"/>
    <w:rsid w:val="00356C10"/>
    <w:rsid w:val="00356C4C"/>
    <w:rsid w:val="00356CB9"/>
    <w:rsid w:val="00356D1A"/>
    <w:rsid w:val="00356DB5"/>
    <w:rsid w:val="00356F45"/>
    <w:rsid w:val="00357126"/>
    <w:rsid w:val="003571ED"/>
    <w:rsid w:val="00357279"/>
    <w:rsid w:val="0035727A"/>
    <w:rsid w:val="003572DF"/>
    <w:rsid w:val="003573BC"/>
    <w:rsid w:val="003573F6"/>
    <w:rsid w:val="00357420"/>
    <w:rsid w:val="00357437"/>
    <w:rsid w:val="003574B1"/>
    <w:rsid w:val="003574F7"/>
    <w:rsid w:val="0035750D"/>
    <w:rsid w:val="00357520"/>
    <w:rsid w:val="00357537"/>
    <w:rsid w:val="003575A3"/>
    <w:rsid w:val="003575B1"/>
    <w:rsid w:val="003575D2"/>
    <w:rsid w:val="00357632"/>
    <w:rsid w:val="003576B3"/>
    <w:rsid w:val="00357780"/>
    <w:rsid w:val="003577E1"/>
    <w:rsid w:val="003578D5"/>
    <w:rsid w:val="00357983"/>
    <w:rsid w:val="00357A73"/>
    <w:rsid w:val="00357AC7"/>
    <w:rsid w:val="00357C36"/>
    <w:rsid w:val="00357D41"/>
    <w:rsid w:val="00357DDE"/>
    <w:rsid w:val="00357E67"/>
    <w:rsid w:val="00357F4C"/>
    <w:rsid w:val="00357F5E"/>
    <w:rsid w:val="00357F82"/>
    <w:rsid w:val="00357F99"/>
    <w:rsid w:val="00360037"/>
    <w:rsid w:val="00360056"/>
    <w:rsid w:val="00360087"/>
    <w:rsid w:val="003600A5"/>
    <w:rsid w:val="003600B3"/>
    <w:rsid w:val="003600B6"/>
    <w:rsid w:val="00360253"/>
    <w:rsid w:val="0036029E"/>
    <w:rsid w:val="0036032E"/>
    <w:rsid w:val="0036039C"/>
    <w:rsid w:val="003603AC"/>
    <w:rsid w:val="003603DD"/>
    <w:rsid w:val="00360469"/>
    <w:rsid w:val="003604BD"/>
    <w:rsid w:val="003604C9"/>
    <w:rsid w:val="003604F2"/>
    <w:rsid w:val="0036053C"/>
    <w:rsid w:val="00360577"/>
    <w:rsid w:val="0036059A"/>
    <w:rsid w:val="003605DE"/>
    <w:rsid w:val="00360611"/>
    <w:rsid w:val="0036063C"/>
    <w:rsid w:val="00360654"/>
    <w:rsid w:val="003606AD"/>
    <w:rsid w:val="003607BC"/>
    <w:rsid w:val="00360833"/>
    <w:rsid w:val="0036089D"/>
    <w:rsid w:val="003608A8"/>
    <w:rsid w:val="0036094D"/>
    <w:rsid w:val="003609C8"/>
    <w:rsid w:val="00360A2B"/>
    <w:rsid w:val="00360A84"/>
    <w:rsid w:val="00360ACC"/>
    <w:rsid w:val="00360B9D"/>
    <w:rsid w:val="00360C03"/>
    <w:rsid w:val="00360CEE"/>
    <w:rsid w:val="00360D25"/>
    <w:rsid w:val="00360D58"/>
    <w:rsid w:val="00360D6A"/>
    <w:rsid w:val="00360E01"/>
    <w:rsid w:val="00360ED4"/>
    <w:rsid w:val="00360F84"/>
    <w:rsid w:val="00360F8D"/>
    <w:rsid w:val="0036102A"/>
    <w:rsid w:val="003610A0"/>
    <w:rsid w:val="003610BA"/>
    <w:rsid w:val="00361231"/>
    <w:rsid w:val="00361276"/>
    <w:rsid w:val="00361278"/>
    <w:rsid w:val="003612A4"/>
    <w:rsid w:val="00361303"/>
    <w:rsid w:val="00361330"/>
    <w:rsid w:val="00361365"/>
    <w:rsid w:val="00361374"/>
    <w:rsid w:val="003613CB"/>
    <w:rsid w:val="003613EC"/>
    <w:rsid w:val="00361503"/>
    <w:rsid w:val="00361527"/>
    <w:rsid w:val="0036154E"/>
    <w:rsid w:val="003615B7"/>
    <w:rsid w:val="003615F1"/>
    <w:rsid w:val="00361694"/>
    <w:rsid w:val="003616C4"/>
    <w:rsid w:val="003616D9"/>
    <w:rsid w:val="0036172E"/>
    <w:rsid w:val="00361730"/>
    <w:rsid w:val="00361832"/>
    <w:rsid w:val="0036185F"/>
    <w:rsid w:val="003618A5"/>
    <w:rsid w:val="00361909"/>
    <w:rsid w:val="0036198D"/>
    <w:rsid w:val="003619F7"/>
    <w:rsid w:val="003619F9"/>
    <w:rsid w:val="00361A83"/>
    <w:rsid w:val="00361ACA"/>
    <w:rsid w:val="00361AF6"/>
    <w:rsid w:val="00361B94"/>
    <w:rsid w:val="00361BEA"/>
    <w:rsid w:val="00361C9C"/>
    <w:rsid w:val="00361D9E"/>
    <w:rsid w:val="00361DCC"/>
    <w:rsid w:val="00361E31"/>
    <w:rsid w:val="00361E76"/>
    <w:rsid w:val="00361FE8"/>
    <w:rsid w:val="003620B5"/>
    <w:rsid w:val="00362141"/>
    <w:rsid w:val="00362199"/>
    <w:rsid w:val="003621CC"/>
    <w:rsid w:val="003622B8"/>
    <w:rsid w:val="003622CE"/>
    <w:rsid w:val="003623A8"/>
    <w:rsid w:val="003623CD"/>
    <w:rsid w:val="00362416"/>
    <w:rsid w:val="003624F0"/>
    <w:rsid w:val="00362505"/>
    <w:rsid w:val="00362559"/>
    <w:rsid w:val="003625E9"/>
    <w:rsid w:val="0036260E"/>
    <w:rsid w:val="00362610"/>
    <w:rsid w:val="003626AE"/>
    <w:rsid w:val="003626CC"/>
    <w:rsid w:val="003626D1"/>
    <w:rsid w:val="003627D2"/>
    <w:rsid w:val="00362811"/>
    <w:rsid w:val="00362840"/>
    <w:rsid w:val="0036287F"/>
    <w:rsid w:val="003628F7"/>
    <w:rsid w:val="0036290D"/>
    <w:rsid w:val="003629E9"/>
    <w:rsid w:val="003629EC"/>
    <w:rsid w:val="00362A19"/>
    <w:rsid w:val="00362A47"/>
    <w:rsid w:val="00362AEE"/>
    <w:rsid w:val="00362B5D"/>
    <w:rsid w:val="00362BCC"/>
    <w:rsid w:val="00362BE7"/>
    <w:rsid w:val="00362C2A"/>
    <w:rsid w:val="00362C59"/>
    <w:rsid w:val="00362C76"/>
    <w:rsid w:val="00362CAE"/>
    <w:rsid w:val="00362CD9"/>
    <w:rsid w:val="00362CDB"/>
    <w:rsid w:val="00362E93"/>
    <w:rsid w:val="00362ED2"/>
    <w:rsid w:val="00362FAA"/>
    <w:rsid w:val="0036309B"/>
    <w:rsid w:val="003630C4"/>
    <w:rsid w:val="00363156"/>
    <w:rsid w:val="00363165"/>
    <w:rsid w:val="00363216"/>
    <w:rsid w:val="003632F2"/>
    <w:rsid w:val="003633DE"/>
    <w:rsid w:val="003633E7"/>
    <w:rsid w:val="00363403"/>
    <w:rsid w:val="003634ED"/>
    <w:rsid w:val="0036350A"/>
    <w:rsid w:val="0036353E"/>
    <w:rsid w:val="0036355A"/>
    <w:rsid w:val="0036355D"/>
    <w:rsid w:val="00363578"/>
    <w:rsid w:val="0036368B"/>
    <w:rsid w:val="0036368D"/>
    <w:rsid w:val="0036369B"/>
    <w:rsid w:val="0036369F"/>
    <w:rsid w:val="0036381C"/>
    <w:rsid w:val="00363823"/>
    <w:rsid w:val="00363843"/>
    <w:rsid w:val="003638E3"/>
    <w:rsid w:val="00363949"/>
    <w:rsid w:val="0036398E"/>
    <w:rsid w:val="003639CF"/>
    <w:rsid w:val="00363A6F"/>
    <w:rsid w:val="00363AA5"/>
    <w:rsid w:val="00363B14"/>
    <w:rsid w:val="00363B63"/>
    <w:rsid w:val="00363B73"/>
    <w:rsid w:val="00363C1A"/>
    <w:rsid w:val="00363CDE"/>
    <w:rsid w:val="00363D01"/>
    <w:rsid w:val="00363D36"/>
    <w:rsid w:val="00363E36"/>
    <w:rsid w:val="00363E6D"/>
    <w:rsid w:val="00363F53"/>
    <w:rsid w:val="00363F70"/>
    <w:rsid w:val="00363F7C"/>
    <w:rsid w:val="00363FF8"/>
    <w:rsid w:val="003640BD"/>
    <w:rsid w:val="003640E1"/>
    <w:rsid w:val="00364105"/>
    <w:rsid w:val="00364136"/>
    <w:rsid w:val="0036414C"/>
    <w:rsid w:val="003641EF"/>
    <w:rsid w:val="003641FC"/>
    <w:rsid w:val="00364245"/>
    <w:rsid w:val="003642E0"/>
    <w:rsid w:val="003642F3"/>
    <w:rsid w:val="0036433A"/>
    <w:rsid w:val="00364386"/>
    <w:rsid w:val="00364432"/>
    <w:rsid w:val="00364484"/>
    <w:rsid w:val="00364501"/>
    <w:rsid w:val="003645C3"/>
    <w:rsid w:val="00364636"/>
    <w:rsid w:val="00364680"/>
    <w:rsid w:val="003646BB"/>
    <w:rsid w:val="003646BF"/>
    <w:rsid w:val="00364784"/>
    <w:rsid w:val="003647A9"/>
    <w:rsid w:val="003647DF"/>
    <w:rsid w:val="003647E0"/>
    <w:rsid w:val="003647FE"/>
    <w:rsid w:val="00364854"/>
    <w:rsid w:val="00364859"/>
    <w:rsid w:val="0036486C"/>
    <w:rsid w:val="003648BD"/>
    <w:rsid w:val="003648E2"/>
    <w:rsid w:val="00364964"/>
    <w:rsid w:val="00364992"/>
    <w:rsid w:val="00364998"/>
    <w:rsid w:val="003649F7"/>
    <w:rsid w:val="00364A03"/>
    <w:rsid w:val="00364A08"/>
    <w:rsid w:val="00364A9A"/>
    <w:rsid w:val="00364ADB"/>
    <w:rsid w:val="00364B64"/>
    <w:rsid w:val="00364B8A"/>
    <w:rsid w:val="00364C17"/>
    <w:rsid w:val="00364C36"/>
    <w:rsid w:val="00364C5E"/>
    <w:rsid w:val="00364C9F"/>
    <w:rsid w:val="00364CCB"/>
    <w:rsid w:val="00364DC5"/>
    <w:rsid w:val="00364DD7"/>
    <w:rsid w:val="00364DEA"/>
    <w:rsid w:val="00364E43"/>
    <w:rsid w:val="00364E9C"/>
    <w:rsid w:val="00364EA2"/>
    <w:rsid w:val="00364ECC"/>
    <w:rsid w:val="00364EF0"/>
    <w:rsid w:val="00364F2E"/>
    <w:rsid w:val="00364F72"/>
    <w:rsid w:val="0036500C"/>
    <w:rsid w:val="00365077"/>
    <w:rsid w:val="003650BC"/>
    <w:rsid w:val="003650CE"/>
    <w:rsid w:val="00365124"/>
    <w:rsid w:val="003652A8"/>
    <w:rsid w:val="00365369"/>
    <w:rsid w:val="003653E0"/>
    <w:rsid w:val="003653EB"/>
    <w:rsid w:val="00365426"/>
    <w:rsid w:val="00365512"/>
    <w:rsid w:val="00365584"/>
    <w:rsid w:val="003655C1"/>
    <w:rsid w:val="003655D3"/>
    <w:rsid w:val="003655DF"/>
    <w:rsid w:val="00365690"/>
    <w:rsid w:val="003656D3"/>
    <w:rsid w:val="0036571B"/>
    <w:rsid w:val="00365752"/>
    <w:rsid w:val="00365753"/>
    <w:rsid w:val="003657E2"/>
    <w:rsid w:val="0036586C"/>
    <w:rsid w:val="0036598B"/>
    <w:rsid w:val="003659DC"/>
    <w:rsid w:val="00365A0B"/>
    <w:rsid w:val="00365A9B"/>
    <w:rsid w:val="00365AB9"/>
    <w:rsid w:val="00365AE3"/>
    <w:rsid w:val="00365B13"/>
    <w:rsid w:val="00365B15"/>
    <w:rsid w:val="00365B5C"/>
    <w:rsid w:val="00365C36"/>
    <w:rsid w:val="00365C9A"/>
    <w:rsid w:val="00365D02"/>
    <w:rsid w:val="00365D6A"/>
    <w:rsid w:val="00365DA5"/>
    <w:rsid w:val="00365DAD"/>
    <w:rsid w:val="00365E08"/>
    <w:rsid w:val="00365E7F"/>
    <w:rsid w:val="00365F46"/>
    <w:rsid w:val="00365F96"/>
    <w:rsid w:val="00365FAF"/>
    <w:rsid w:val="00365FC1"/>
    <w:rsid w:val="00365FCB"/>
    <w:rsid w:val="00366031"/>
    <w:rsid w:val="003660A9"/>
    <w:rsid w:val="00366159"/>
    <w:rsid w:val="0036615E"/>
    <w:rsid w:val="00366209"/>
    <w:rsid w:val="0036629A"/>
    <w:rsid w:val="003662FA"/>
    <w:rsid w:val="003663DE"/>
    <w:rsid w:val="003663F8"/>
    <w:rsid w:val="00366448"/>
    <w:rsid w:val="00366453"/>
    <w:rsid w:val="003664F7"/>
    <w:rsid w:val="00366574"/>
    <w:rsid w:val="003665CA"/>
    <w:rsid w:val="00366684"/>
    <w:rsid w:val="0036671A"/>
    <w:rsid w:val="00366766"/>
    <w:rsid w:val="00366846"/>
    <w:rsid w:val="0036689B"/>
    <w:rsid w:val="003668BB"/>
    <w:rsid w:val="00366943"/>
    <w:rsid w:val="00366A24"/>
    <w:rsid w:val="00366A3C"/>
    <w:rsid w:val="00366AD0"/>
    <w:rsid w:val="00366B6B"/>
    <w:rsid w:val="00366BC9"/>
    <w:rsid w:val="00366C5F"/>
    <w:rsid w:val="00366D05"/>
    <w:rsid w:val="00366E1A"/>
    <w:rsid w:val="00366E25"/>
    <w:rsid w:val="00366E3A"/>
    <w:rsid w:val="00366ED8"/>
    <w:rsid w:val="00366EE0"/>
    <w:rsid w:val="00366F4D"/>
    <w:rsid w:val="00366F8A"/>
    <w:rsid w:val="00366FBF"/>
    <w:rsid w:val="00366FE5"/>
    <w:rsid w:val="0036703D"/>
    <w:rsid w:val="0036714D"/>
    <w:rsid w:val="003671C3"/>
    <w:rsid w:val="0036720B"/>
    <w:rsid w:val="00367261"/>
    <w:rsid w:val="003672AD"/>
    <w:rsid w:val="00367313"/>
    <w:rsid w:val="00367349"/>
    <w:rsid w:val="0036738B"/>
    <w:rsid w:val="003673A7"/>
    <w:rsid w:val="00367467"/>
    <w:rsid w:val="0036749B"/>
    <w:rsid w:val="00367550"/>
    <w:rsid w:val="003675C0"/>
    <w:rsid w:val="00367612"/>
    <w:rsid w:val="00367616"/>
    <w:rsid w:val="0036761D"/>
    <w:rsid w:val="0036762D"/>
    <w:rsid w:val="0036763D"/>
    <w:rsid w:val="00367647"/>
    <w:rsid w:val="003676DC"/>
    <w:rsid w:val="003676E5"/>
    <w:rsid w:val="0036773E"/>
    <w:rsid w:val="0036775B"/>
    <w:rsid w:val="0036777A"/>
    <w:rsid w:val="003679B5"/>
    <w:rsid w:val="003679FF"/>
    <w:rsid w:val="00367A6E"/>
    <w:rsid w:val="00367A79"/>
    <w:rsid w:val="00367A8E"/>
    <w:rsid w:val="00367B4C"/>
    <w:rsid w:val="00367B7E"/>
    <w:rsid w:val="00367BF2"/>
    <w:rsid w:val="00367C37"/>
    <w:rsid w:val="00367C4A"/>
    <w:rsid w:val="00367C9D"/>
    <w:rsid w:val="00367D34"/>
    <w:rsid w:val="00367DA4"/>
    <w:rsid w:val="00367DE1"/>
    <w:rsid w:val="00367E18"/>
    <w:rsid w:val="00367E56"/>
    <w:rsid w:val="00367F64"/>
    <w:rsid w:val="00367FB4"/>
    <w:rsid w:val="00370030"/>
    <w:rsid w:val="0037013A"/>
    <w:rsid w:val="00370193"/>
    <w:rsid w:val="00370267"/>
    <w:rsid w:val="0037027D"/>
    <w:rsid w:val="00370375"/>
    <w:rsid w:val="0037038D"/>
    <w:rsid w:val="00370395"/>
    <w:rsid w:val="003703DB"/>
    <w:rsid w:val="003703F3"/>
    <w:rsid w:val="00370425"/>
    <w:rsid w:val="0037052D"/>
    <w:rsid w:val="00370602"/>
    <w:rsid w:val="00370638"/>
    <w:rsid w:val="003706C2"/>
    <w:rsid w:val="003706D6"/>
    <w:rsid w:val="00370708"/>
    <w:rsid w:val="00370761"/>
    <w:rsid w:val="00370788"/>
    <w:rsid w:val="003707B3"/>
    <w:rsid w:val="003708AE"/>
    <w:rsid w:val="00370966"/>
    <w:rsid w:val="00370978"/>
    <w:rsid w:val="003709CA"/>
    <w:rsid w:val="00370A98"/>
    <w:rsid w:val="00370B1D"/>
    <w:rsid w:val="00370B5E"/>
    <w:rsid w:val="00370C01"/>
    <w:rsid w:val="00370D04"/>
    <w:rsid w:val="00370DAA"/>
    <w:rsid w:val="00370DEE"/>
    <w:rsid w:val="00370E04"/>
    <w:rsid w:val="00370F1D"/>
    <w:rsid w:val="00370F7A"/>
    <w:rsid w:val="00370FD9"/>
    <w:rsid w:val="00371077"/>
    <w:rsid w:val="0037107D"/>
    <w:rsid w:val="003710AE"/>
    <w:rsid w:val="003710C2"/>
    <w:rsid w:val="0037115E"/>
    <w:rsid w:val="00371213"/>
    <w:rsid w:val="00371295"/>
    <w:rsid w:val="003712B3"/>
    <w:rsid w:val="0037133F"/>
    <w:rsid w:val="003713A7"/>
    <w:rsid w:val="003713B7"/>
    <w:rsid w:val="003713CF"/>
    <w:rsid w:val="00371438"/>
    <w:rsid w:val="0037143E"/>
    <w:rsid w:val="00371456"/>
    <w:rsid w:val="0037153F"/>
    <w:rsid w:val="00371559"/>
    <w:rsid w:val="00371580"/>
    <w:rsid w:val="003715A9"/>
    <w:rsid w:val="003715AE"/>
    <w:rsid w:val="0037163A"/>
    <w:rsid w:val="00371669"/>
    <w:rsid w:val="0037166B"/>
    <w:rsid w:val="003716EF"/>
    <w:rsid w:val="00371727"/>
    <w:rsid w:val="00371740"/>
    <w:rsid w:val="003719D4"/>
    <w:rsid w:val="003719DD"/>
    <w:rsid w:val="003719E8"/>
    <w:rsid w:val="00371ABE"/>
    <w:rsid w:val="00371B55"/>
    <w:rsid w:val="00371B94"/>
    <w:rsid w:val="00371BED"/>
    <w:rsid w:val="00371C05"/>
    <w:rsid w:val="00371C12"/>
    <w:rsid w:val="00371D59"/>
    <w:rsid w:val="00371DF0"/>
    <w:rsid w:val="00371E77"/>
    <w:rsid w:val="00371F94"/>
    <w:rsid w:val="00372018"/>
    <w:rsid w:val="00372086"/>
    <w:rsid w:val="003720C5"/>
    <w:rsid w:val="00372136"/>
    <w:rsid w:val="003721CF"/>
    <w:rsid w:val="003721FD"/>
    <w:rsid w:val="003722A5"/>
    <w:rsid w:val="00372383"/>
    <w:rsid w:val="003723C6"/>
    <w:rsid w:val="003723FB"/>
    <w:rsid w:val="0037247D"/>
    <w:rsid w:val="003724D6"/>
    <w:rsid w:val="0037251F"/>
    <w:rsid w:val="00372523"/>
    <w:rsid w:val="0037257B"/>
    <w:rsid w:val="003725E5"/>
    <w:rsid w:val="003725FD"/>
    <w:rsid w:val="003725FE"/>
    <w:rsid w:val="00372601"/>
    <w:rsid w:val="00372625"/>
    <w:rsid w:val="00372631"/>
    <w:rsid w:val="00372645"/>
    <w:rsid w:val="00372650"/>
    <w:rsid w:val="00372657"/>
    <w:rsid w:val="0037267F"/>
    <w:rsid w:val="0037270B"/>
    <w:rsid w:val="00372799"/>
    <w:rsid w:val="00372820"/>
    <w:rsid w:val="0037286E"/>
    <w:rsid w:val="00372876"/>
    <w:rsid w:val="003728A1"/>
    <w:rsid w:val="003728D6"/>
    <w:rsid w:val="003728FE"/>
    <w:rsid w:val="00372933"/>
    <w:rsid w:val="00372988"/>
    <w:rsid w:val="003729E0"/>
    <w:rsid w:val="003729F2"/>
    <w:rsid w:val="00372A38"/>
    <w:rsid w:val="00372A65"/>
    <w:rsid w:val="00372A8F"/>
    <w:rsid w:val="00372B0F"/>
    <w:rsid w:val="00372B30"/>
    <w:rsid w:val="00372D04"/>
    <w:rsid w:val="00372D64"/>
    <w:rsid w:val="00372DC1"/>
    <w:rsid w:val="00372DE4"/>
    <w:rsid w:val="00372E64"/>
    <w:rsid w:val="00372EC0"/>
    <w:rsid w:val="00372F06"/>
    <w:rsid w:val="00372F7C"/>
    <w:rsid w:val="00372FBA"/>
    <w:rsid w:val="00373217"/>
    <w:rsid w:val="0037322A"/>
    <w:rsid w:val="0037327C"/>
    <w:rsid w:val="0037328C"/>
    <w:rsid w:val="003732A1"/>
    <w:rsid w:val="003732B3"/>
    <w:rsid w:val="00373321"/>
    <w:rsid w:val="00373335"/>
    <w:rsid w:val="0037334B"/>
    <w:rsid w:val="0037342A"/>
    <w:rsid w:val="003734A5"/>
    <w:rsid w:val="003735DA"/>
    <w:rsid w:val="0037360F"/>
    <w:rsid w:val="00373637"/>
    <w:rsid w:val="00373644"/>
    <w:rsid w:val="003737BF"/>
    <w:rsid w:val="00373854"/>
    <w:rsid w:val="00373895"/>
    <w:rsid w:val="003738D9"/>
    <w:rsid w:val="00373925"/>
    <w:rsid w:val="0037392F"/>
    <w:rsid w:val="00373946"/>
    <w:rsid w:val="00373983"/>
    <w:rsid w:val="00373A17"/>
    <w:rsid w:val="00373AA7"/>
    <w:rsid w:val="00373B24"/>
    <w:rsid w:val="00373BCF"/>
    <w:rsid w:val="00373BE1"/>
    <w:rsid w:val="00373C84"/>
    <w:rsid w:val="00373D40"/>
    <w:rsid w:val="00373D6C"/>
    <w:rsid w:val="00373DBB"/>
    <w:rsid w:val="00373F00"/>
    <w:rsid w:val="00373F0F"/>
    <w:rsid w:val="00373F7F"/>
    <w:rsid w:val="00374054"/>
    <w:rsid w:val="003740B2"/>
    <w:rsid w:val="003740C8"/>
    <w:rsid w:val="003740CB"/>
    <w:rsid w:val="00374126"/>
    <w:rsid w:val="0037412A"/>
    <w:rsid w:val="0037412C"/>
    <w:rsid w:val="00374182"/>
    <w:rsid w:val="003741A0"/>
    <w:rsid w:val="00374232"/>
    <w:rsid w:val="00374242"/>
    <w:rsid w:val="0037425C"/>
    <w:rsid w:val="00374296"/>
    <w:rsid w:val="0037435B"/>
    <w:rsid w:val="0037439A"/>
    <w:rsid w:val="003743BA"/>
    <w:rsid w:val="003743D2"/>
    <w:rsid w:val="003743DA"/>
    <w:rsid w:val="00374447"/>
    <w:rsid w:val="00374461"/>
    <w:rsid w:val="0037453B"/>
    <w:rsid w:val="0037456E"/>
    <w:rsid w:val="003745EE"/>
    <w:rsid w:val="00374631"/>
    <w:rsid w:val="003746C0"/>
    <w:rsid w:val="003746ED"/>
    <w:rsid w:val="00374776"/>
    <w:rsid w:val="003747E1"/>
    <w:rsid w:val="00374828"/>
    <w:rsid w:val="00374880"/>
    <w:rsid w:val="003748C9"/>
    <w:rsid w:val="00374978"/>
    <w:rsid w:val="00374A3E"/>
    <w:rsid w:val="00374AC0"/>
    <w:rsid w:val="00374B33"/>
    <w:rsid w:val="00374BE8"/>
    <w:rsid w:val="00374CB4"/>
    <w:rsid w:val="00374CD7"/>
    <w:rsid w:val="00374D40"/>
    <w:rsid w:val="00374D50"/>
    <w:rsid w:val="00374D5C"/>
    <w:rsid w:val="00374DBD"/>
    <w:rsid w:val="00374DEE"/>
    <w:rsid w:val="00374DFC"/>
    <w:rsid w:val="00374E93"/>
    <w:rsid w:val="00374E97"/>
    <w:rsid w:val="00374F1A"/>
    <w:rsid w:val="00374F2B"/>
    <w:rsid w:val="00374FAD"/>
    <w:rsid w:val="00374FE4"/>
    <w:rsid w:val="00374FEF"/>
    <w:rsid w:val="00374FF9"/>
    <w:rsid w:val="00375011"/>
    <w:rsid w:val="0037506C"/>
    <w:rsid w:val="003750C8"/>
    <w:rsid w:val="00375117"/>
    <w:rsid w:val="00375151"/>
    <w:rsid w:val="003751AF"/>
    <w:rsid w:val="00375233"/>
    <w:rsid w:val="00375247"/>
    <w:rsid w:val="003753E7"/>
    <w:rsid w:val="00375441"/>
    <w:rsid w:val="00375473"/>
    <w:rsid w:val="00375528"/>
    <w:rsid w:val="00375599"/>
    <w:rsid w:val="003755F8"/>
    <w:rsid w:val="00375699"/>
    <w:rsid w:val="003756E9"/>
    <w:rsid w:val="00375864"/>
    <w:rsid w:val="003758A3"/>
    <w:rsid w:val="0037599C"/>
    <w:rsid w:val="003759F8"/>
    <w:rsid w:val="00375AB5"/>
    <w:rsid w:val="00375B70"/>
    <w:rsid w:val="00375BA9"/>
    <w:rsid w:val="00375BC5"/>
    <w:rsid w:val="00375BE3"/>
    <w:rsid w:val="00375BE8"/>
    <w:rsid w:val="00375BED"/>
    <w:rsid w:val="00375C91"/>
    <w:rsid w:val="00375C9F"/>
    <w:rsid w:val="00375D05"/>
    <w:rsid w:val="00375D0E"/>
    <w:rsid w:val="00375D5A"/>
    <w:rsid w:val="00375DFF"/>
    <w:rsid w:val="00375E1F"/>
    <w:rsid w:val="00375E27"/>
    <w:rsid w:val="00375E66"/>
    <w:rsid w:val="00375EA6"/>
    <w:rsid w:val="00375F6E"/>
    <w:rsid w:val="00375F95"/>
    <w:rsid w:val="00375FE3"/>
    <w:rsid w:val="0037603F"/>
    <w:rsid w:val="00376055"/>
    <w:rsid w:val="003760B8"/>
    <w:rsid w:val="003760BA"/>
    <w:rsid w:val="00376126"/>
    <w:rsid w:val="0037613A"/>
    <w:rsid w:val="0037614F"/>
    <w:rsid w:val="0037616C"/>
    <w:rsid w:val="003762DC"/>
    <w:rsid w:val="0037630B"/>
    <w:rsid w:val="00376371"/>
    <w:rsid w:val="0037644A"/>
    <w:rsid w:val="0037647F"/>
    <w:rsid w:val="00376491"/>
    <w:rsid w:val="0037649D"/>
    <w:rsid w:val="0037649E"/>
    <w:rsid w:val="00376528"/>
    <w:rsid w:val="0037659B"/>
    <w:rsid w:val="003765B2"/>
    <w:rsid w:val="003765B6"/>
    <w:rsid w:val="003765DC"/>
    <w:rsid w:val="00376680"/>
    <w:rsid w:val="00376743"/>
    <w:rsid w:val="0037677E"/>
    <w:rsid w:val="003768E8"/>
    <w:rsid w:val="0037693C"/>
    <w:rsid w:val="0037696D"/>
    <w:rsid w:val="003769B6"/>
    <w:rsid w:val="00376A15"/>
    <w:rsid w:val="00376A55"/>
    <w:rsid w:val="00376AE2"/>
    <w:rsid w:val="00376AEB"/>
    <w:rsid w:val="00376B39"/>
    <w:rsid w:val="00376B44"/>
    <w:rsid w:val="00376C0C"/>
    <w:rsid w:val="00376C5A"/>
    <w:rsid w:val="00376CEC"/>
    <w:rsid w:val="00376DCF"/>
    <w:rsid w:val="00376DE6"/>
    <w:rsid w:val="00376E10"/>
    <w:rsid w:val="00376EE0"/>
    <w:rsid w:val="00376F18"/>
    <w:rsid w:val="0037701A"/>
    <w:rsid w:val="00377058"/>
    <w:rsid w:val="00377060"/>
    <w:rsid w:val="0037713C"/>
    <w:rsid w:val="003771E4"/>
    <w:rsid w:val="0037721D"/>
    <w:rsid w:val="00377261"/>
    <w:rsid w:val="00377266"/>
    <w:rsid w:val="00377326"/>
    <w:rsid w:val="0037746E"/>
    <w:rsid w:val="003774E1"/>
    <w:rsid w:val="0037754B"/>
    <w:rsid w:val="0037757A"/>
    <w:rsid w:val="00377586"/>
    <w:rsid w:val="003775C4"/>
    <w:rsid w:val="00377622"/>
    <w:rsid w:val="0037763E"/>
    <w:rsid w:val="00377647"/>
    <w:rsid w:val="00377756"/>
    <w:rsid w:val="0037785D"/>
    <w:rsid w:val="003778AF"/>
    <w:rsid w:val="00377947"/>
    <w:rsid w:val="0037794A"/>
    <w:rsid w:val="00377960"/>
    <w:rsid w:val="003779BC"/>
    <w:rsid w:val="00377A07"/>
    <w:rsid w:val="00377A1E"/>
    <w:rsid w:val="00377A2C"/>
    <w:rsid w:val="00377A3A"/>
    <w:rsid w:val="00377A4C"/>
    <w:rsid w:val="00377A64"/>
    <w:rsid w:val="00377A88"/>
    <w:rsid w:val="00377BB3"/>
    <w:rsid w:val="00377DD9"/>
    <w:rsid w:val="00377DF7"/>
    <w:rsid w:val="00377DFE"/>
    <w:rsid w:val="00377EA1"/>
    <w:rsid w:val="00377EE0"/>
    <w:rsid w:val="0038003B"/>
    <w:rsid w:val="00380042"/>
    <w:rsid w:val="00380063"/>
    <w:rsid w:val="003800DB"/>
    <w:rsid w:val="00380109"/>
    <w:rsid w:val="00380194"/>
    <w:rsid w:val="003801AB"/>
    <w:rsid w:val="00380267"/>
    <w:rsid w:val="003802C7"/>
    <w:rsid w:val="00380314"/>
    <w:rsid w:val="00380387"/>
    <w:rsid w:val="003803BD"/>
    <w:rsid w:val="00380426"/>
    <w:rsid w:val="003804BE"/>
    <w:rsid w:val="0038051F"/>
    <w:rsid w:val="003806B9"/>
    <w:rsid w:val="003806BE"/>
    <w:rsid w:val="0038070C"/>
    <w:rsid w:val="00380779"/>
    <w:rsid w:val="003807C7"/>
    <w:rsid w:val="00380813"/>
    <w:rsid w:val="0038086D"/>
    <w:rsid w:val="003808C3"/>
    <w:rsid w:val="003808FC"/>
    <w:rsid w:val="0038093B"/>
    <w:rsid w:val="003809EF"/>
    <w:rsid w:val="00380A5E"/>
    <w:rsid w:val="00380ACD"/>
    <w:rsid w:val="00380AD6"/>
    <w:rsid w:val="00380B60"/>
    <w:rsid w:val="00380B63"/>
    <w:rsid w:val="00380BC6"/>
    <w:rsid w:val="00380C05"/>
    <w:rsid w:val="00380CA3"/>
    <w:rsid w:val="00380D4E"/>
    <w:rsid w:val="00380E77"/>
    <w:rsid w:val="00380E7D"/>
    <w:rsid w:val="00380EEC"/>
    <w:rsid w:val="00380FCD"/>
    <w:rsid w:val="00380FF6"/>
    <w:rsid w:val="00381010"/>
    <w:rsid w:val="00381012"/>
    <w:rsid w:val="0038102A"/>
    <w:rsid w:val="0038104D"/>
    <w:rsid w:val="0038106A"/>
    <w:rsid w:val="00381114"/>
    <w:rsid w:val="0038111A"/>
    <w:rsid w:val="00381188"/>
    <w:rsid w:val="003811E9"/>
    <w:rsid w:val="0038127E"/>
    <w:rsid w:val="00381287"/>
    <w:rsid w:val="003812BA"/>
    <w:rsid w:val="003812CD"/>
    <w:rsid w:val="00381373"/>
    <w:rsid w:val="0038141A"/>
    <w:rsid w:val="00381457"/>
    <w:rsid w:val="00381524"/>
    <w:rsid w:val="0038153A"/>
    <w:rsid w:val="0038153E"/>
    <w:rsid w:val="00381566"/>
    <w:rsid w:val="00381592"/>
    <w:rsid w:val="003815A8"/>
    <w:rsid w:val="00381643"/>
    <w:rsid w:val="0038167D"/>
    <w:rsid w:val="003816D7"/>
    <w:rsid w:val="003816F4"/>
    <w:rsid w:val="003816FA"/>
    <w:rsid w:val="00381775"/>
    <w:rsid w:val="00381789"/>
    <w:rsid w:val="0038178A"/>
    <w:rsid w:val="00381855"/>
    <w:rsid w:val="00381881"/>
    <w:rsid w:val="003818B4"/>
    <w:rsid w:val="003819E6"/>
    <w:rsid w:val="00381A39"/>
    <w:rsid w:val="00381B18"/>
    <w:rsid w:val="00381B1D"/>
    <w:rsid w:val="00381B4D"/>
    <w:rsid w:val="00381B58"/>
    <w:rsid w:val="00381B63"/>
    <w:rsid w:val="00381BE9"/>
    <w:rsid w:val="00381C1C"/>
    <w:rsid w:val="00381CB8"/>
    <w:rsid w:val="00381CFB"/>
    <w:rsid w:val="00381D0D"/>
    <w:rsid w:val="00381D71"/>
    <w:rsid w:val="00381D87"/>
    <w:rsid w:val="00381DCF"/>
    <w:rsid w:val="00381E34"/>
    <w:rsid w:val="00381E39"/>
    <w:rsid w:val="00381E6E"/>
    <w:rsid w:val="00381E70"/>
    <w:rsid w:val="00381EC3"/>
    <w:rsid w:val="00381F36"/>
    <w:rsid w:val="00381F96"/>
    <w:rsid w:val="00382037"/>
    <w:rsid w:val="00382075"/>
    <w:rsid w:val="003820FB"/>
    <w:rsid w:val="00382109"/>
    <w:rsid w:val="0038226D"/>
    <w:rsid w:val="00382295"/>
    <w:rsid w:val="00382328"/>
    <w:rsid w:val="00382370"/>
    <w:rsid w:val="003823D8"/>
    <w:rsid w:val="00382420"/>
    <w:rsid w:val="00382461"/>
    <w:rsid w:val="0038246D"/>
    <w:rsid w:val="0038247B"/>
    <w:rsid w:val="003825A5"/>
    <w:rsid w:val="003826B2"/>
    <w:rsid w:val="003826C4"/>
    <w:rsid w:val="003826FA"/>
    <w:rsid w:val="00382714"/>
    <w:rsid w:val="00382761"/>
    <w:rsid w:val="0038278A"/>
    <w:rsid w:val="003827F5"/>
    <w:rsid w:val="003828B4"/>
    <w:rsid w:val="003828B6"/>
    <w:rsid w:val="003828C3"/>
    <w:rsid w:val="00382988"/>
    <w:rsid w:val="0038299E"/>
    <w:rsid w:val="003829C7"/>
    <w:rsid w:val="003829DB"/>
    <w:rsid w:val="003829EF"/>
    <w:rsid w:val="00382A20"/>
    <w:rsid w:val="00382A3B"/>
    <w:rsid w:val="00382A48"/>
    <w:rsid w:val="00382A5B"/>
    <w:rsid w:val="00382AF5"/>
    <w:rsid w:val="00382AFE"/>
    <w:rsid w:val="00382B06"/>
    <w:rsid w:val="00382B07"/>
    <w:rsid w:val="00382B46"/>
    <w:rsid w:val="00382B4F"/>
    <w:rsid w:val="00382B55"/>
    <w:rsid w:val="00382B5A"/>
    <w:rsid w:val="00382BED"/>
    <w:rsid w:val="00382C17"/>
    <w:rsid w:val="00382C62"/>
    <w:rsid w:val="00382CB9"/>
    <w:rsid w:val="00382DB3"/>
    <w:rsid w:val="00382DD7"/>
    <w:rsid w:val="00382E23"/>
    <w:rsid w:val="00382EE1"/>
    <w:rsid w:val="00382EFB"/>
    <w:rsid w:val="00382F06"/>
    <w:rsid w:val="00382F50"/>
    <w:rsid w:val="00382F67"/>
    <w:rsid w:val="00382F84"/>
    <w:rsid w:val="00383237"/>
    <w:rsid w:val="00383251"/>
    <w:rsid w:val="0038331F"/>
    <w:rsid w:val="0038333D"/>
    <w:rsid w:val="003833B4"/>
    <w:rsid w:val="00383425"/>
    <w:rsid w:val="00383464"/>
    <w:rsid w:val="003834E0"/>
    <w:rsid w:val="0038352F"/>
    <w:rsid w:val="00383571"/>
    <w:rsid w:val="003835BD"/>
    <w:rsid w:val="0038368D"/>
    <w:rsid w:val="00383710"/>
    <w:rsid w:val="0038373D"/>
    <w:rsid w:val="003838AC"/>
    <w:rsid w:val="003838E1"/>
    <w:rsid w:val="0038392A"/>
    <w:rsid w:val="00383979"/>
    <w:rsid w:val="00383A28"/>
    <w:rsid w:val="00383A80"/>
    <w:rsid w:val="00383B92"/>
    <w:rsid w:val="00383BA3"/>
    <w:rsid w:val="00383BAE"/>
    <w:rsid w:val="00383D44"/>
    <w:rsid w:val="00383DC6"/>
    <w:rsid w:val="00383E0E"/>
    <w:rsid w:val="00383E4F"/>
    <w:rsid w:val="00383E9C"/>
    <w:rsid w:val="00383ED6"/>
    <w:rsid w:val="00383FA6"/>
    <w:rsid w:val="00383FDA"/>
    <w:rsid w:val="00384042"/>
    <w:rsid w:val="00384051"/>
    <w:rsid w:val="00384097"/>
    <w:rsid w:val="003841B5"/>
    <w:rsid w:val="003841B7"/>
    <w:rsid w:val="003841E5"/>
    <w:rsid w:val="00384227"/>
    <w:rsid w:val="00384284"/>
    <w:rsid w:val="00384308"/>
    <w:rsid w:val="00384351"/>
    <w:rsid w:val="0038435B"/>
    <w:rsid w:val="00384363"/>
    <w:rsid w:val="00384421"/>
    <w:rsid w:val="003844A8"/>
    <w:rsid w:val="00384509"/>
    <w:rsid w:val="00384528"/>
    <w:rsid w:val="003845FA"/>
    <w:rsid w:val="00384655"/>
    <w:rsid w:val="0038466F"/>
    <w:rsid w:val="00384674"/>
    <w:rsid w:val="00384680"/>
    <w:rsid w:val="003846EB"/>
    <w:rsid w:val="00384706"/>
    <w:rsid w:val="0038471D"/>
    <w:rsid w:val="0038478D"/>
    <w:rsid w:val="0038487C"/>
    <w:rsid w:val="00384883"/>
    <w:rsid w:val="003848BF"/>
    <w:rsid w:val="003848DD"/>
    <w:rsid w:val="003848EC"/>
    <w:rsid w:val="003848FF"/>
    <w:rsid w:val="00384905"/>
    <w:rsid w:val="0038490B"/>
    <w:rsid w:val="00384959"/>
    <w:rsid w:val="00384966"/>
    <w:rsid w:val="00384A14"/>
    <w:rsid w:val="00384AB4"/>
    <w:rsid w:val="00384AD4"/>
    <w:rsid w:val="00384AFD"/>
    <w:rsid w:val="00384C71"/>
    <w:rsid w:val="00384D13"/>
    <w:rsid w:val="00384D4C"/>
    <w:rsid w:val="00384DAC"/>
    <w:rsid w:val="00384DF7"/>
    <w:rsid w:val="00384F00"/>
    <w:rsid w:val="00384F46"/>
    <w:rsid w:val="00384FC6"/>
    <w:rsid w:val="00385108"/>
    <w:rsid w:val="003851AC"/>
    <w:rsid w:val="00385239"/>
    <w:rsid w:val="00385386"/>
    <w:rsid w:val="003853C7"/>
    <w:rsid w:val="003853F8"/>
    <w:rsid w:val="0038547B"/>
    <w:rsid w:val="00385609"/>
    <w:rsid w:val="00385658"/>
    <w:rsid w:val="00385697"/>
    <w:rsid w:val="0038577C"/>
    <w:rsid w:val="003857E0"/>
    <w:rsid w:val="00385895"/>
    <w:rsid w:val="003858B6"/>
    <w:rsid w:val="00385901"/>
    <w:rsid w:val="0038592B"/>
    <w:rsid w:val="00385938"/>
    <w:rsid w:val="00385943"/>
    <w:rsid w:val="00385955"/>
    <w:rsid w:val="00385976"/>
    <w:rsid w:val="003859FB"/>
    <w:rsid w:val="00385A6A"/>
    <w:rsid w:val="00385BA1"/>
    <w:rsid w:val="00385C29"/>
    <w:rsid w:val="00385D00"/>
    <w:rsid w:val="00385D3D"/>
    <w:rsid w:val="00385DA4"/>
    <w:rsid w:val="00385E06"/>
    <w:rsid w:val="00385F17"/>
    <w:rsid w:val="00385F67"/>
    <w:rsid w:val="00386004"/>
    <w:rsid w:val="003860BB"/>
    <w:rsid w:val="003860F5"/>
    <w:rsid w:val="00386184"/>
    <w:rsid w:val="003861D3"/>
    <w:rsid w:val="003861D4"/>
    <w:rsid w:val="00386225"/>
    <w:rsid w:val="003862CA"/>
    <w:rsid w:val="0038630C"/>
    <w:rsid w:val="0038645D"/>
    <w:rsid w:val="00386656"/>
    <w:rsid w:val="00386663"/>
    <w:rsid w:val="00386747"/>
    <w:rsid w:val="00386754"/>
    <w:rsid w:val="003867AC"/>
    <w:rsid w:val="00386822"/>
    <w:rsid w:val="0038693E"/>
    <w:rsid w:val="00386946"/>
    <w:rsid w:val="0038694A"/>
    <w:rsid w:val="00386961"/>
    <w:rsid w:val="00386A01"/>
    <w:rsid w:val="00386A42"/>
    <w:rsid w:val="00386AC6"/>
    <w:rsid w:val="00386B0D"/>
    <w:rsid w:val="00386C37"/>
    <w:rsid w:val="00386C66"/>
    <w:rsid w:val="00386CE0"/>
    <w:rsid w:val="00386D77"/>
    <w:rsid w:val="00386D8A"/>
    <w:rsid w:val="00386DC1"/>
    <w:rsid w:val="00386E84"/>
    <w:rsid w:val="00386F35"/>
    <w:rsid w:val="00386FB3"/>
    <w:rsid w:val="0038701B"/>
    <w:rsid w:val="0038706F"/>
    <w:rsid w:val="0038707A"/>
    <w:rsid w:val="003870B5"/>
    <w:rsid w:val="0038713F"/>
    <w:rsid w:val="0038716C"/>
    <w:rsid w:val="003871A7"/>
    <w:rsid w:val="003871F0"/>
    <w:rsid w:val="003872B3"/>
    <w:rsid w:val="003872CE"/>
    <w:rsid w:val="003872E7"/>
    <w:rsid w:val="0038732E"/>
    <w:rsid w:val="00387353"/>
    <w:rsid w:val="003873DF"/>
    <w:rsid w:val="00387402"/>
    <w:rsid w:val="0038742D"/>
    <w:rsid w:val="00387496"/>
    <w:rsid w:val="00387540"/>
    <w:rsid w:val="00387556"/>
    <w:rsid w:val="0038763F"/>
    <w:rsid w:val="00387700"/>
    <w:rsid w:val="0038771E"/>
    <w:rsid w:val="003877C6"/>
    <w:rsid w:val="003877FD"/>
    <w:rsid w:val="00387800"/>
    <w:rsid w:val="00387886"/>
    <w:rsid w:val="003878F7"/>
    <w:rsid w:val="00387950"/>
    <w:rsid w:val="003879A0"/>
    <w:rsid w:val="003879BE"/>
    <w:rsid w:val="003879EF"/>
    <w:rsid w:val="00387A24"/>
    <w:rsid w:val="00387A3A"/>
    <w:rsid w:val="00387A97"/>
    <w:rsid w:val="00387ABE"/>
    <w:rsid w:val="00387B28"/>
    <w:rsid w:val="00387B8E"/>
    <w:rsid w:val="00387BB6"/>
    <w:rsid w:val="00387C27"/>
    <w:rsid w:val="00387C62"/>
    <w:rsid w:val="00387C7B"/>
    <w:rsid w:val="00387CA5"/>
    <w:rsid w:val="00387D5E"/>
    <w:rsid w:val="00387D73"/>
    <w:rsid w:val="00387DB2"/>
    <w:rsid w:val="00387DDD"/>
    <w:rsid w:val="00387E06"/>
    <w:rsid w:val="00387F18"/>
    <w:rsid w:val="00387F3D"/>
    <w:rsid w:val="00390006"/>
    <w:rsid w:val="00390080"/>
    <w:rsid w:val="0039009D"/>
    <w:rsid w:val="003901EA"/>
    <w:rsid w:val="003901FB"/>
    <w:rsid w:val="0039026E"/>
    <w:rsid w:val="003902EE"/>
    <w:rsid w:val="00390380"/>
    <w:rsid w:val="003903A1"/>
    <w:rsid w:val="003903BC"/>
    <w:rsid w:val="0039046D"/>
    <w:rsid w:val="003904D0"/>
    <w:rsid w:val="003905C3"/>
    <w:rsid w:val="003905E1"/>
    <w:rsid w:val="00390677"/>
    <w:rsid w:val="003906BC"/>
    <w:rsid w:val="003907C6"/>
    <w:rsid w:val="003907D6"/>
    <w:rsid w:val="003907EC"/>
    <w:rsid w:val="00390821"/>
    <w:rsid w:val="00390847"/>
    <w:rsid w:val="003908EB"/>
    <w:rsid w:val="003908F6"/>
    <w:rsid w:val="0039093A"/>
    <w:rsid w:val="003909CD"/>
    <w:rsid w:val="003909D4"/>
    <w:rsid w:val="003909F9"/>
    <w:rsid w:val="00390A2E"/>
    <w:rsid w:val="00390CE7"/>
    <w:rsid w:val="00390D17"/>
    <w:rsid w:val="00390D4D"/>
    <w:rsid w:val="00390D78"/>
    <w:rsid w:val="00390D94"/>
    <w:rsid w:val="00390DFC"/>
    <w:rsid w:val="00390E27"/>
    <w:rsid w:val="00390E2B"/>
    <w:rsid w:val="00390E2E"/>
    <w:rsid w:val="00390E52"/>
    <w:rsid w:val="00390E7D"/>
    <w:rsid w:val="00390E99"/>
    <w:rsid w:val="00390E9F"/>
    <w:rsid w:val="00390F27"/>
    <w:rsid w:val="00390FA0"/>
    <w:rsid w:val="00391043"/>
    <w:rsid w:val="0039104A"/>
    <w:rsid w:val="00391159"/>
    <w:rsid w:val="00391173"/>
    <w:rsid w:val="003911E6"/>
    <w:rsid w:val="00391213"/>
    <w:rsid w:val="00391279"/>
    <w:rsid w:val="00391301"/>
    <w:rsid w:val="00391313"/>
    <w:rsid w:val="0039131C"/>
    <w:rsid w:val="00391377"/>
    <w:rsid w:val="003913C3"/>
    <w:rsid w:val="003914A6"/>
    <w:rsid w:val="003914B0"/>
    <w:rsid w:val="003914CC"/>
    <w:rsid w:val="0039155D"/>
    <w:rsid w:val="00391572"/>
    <w:rsid w:val="0039157F"/>
    <w:rsid w:val="003915D6"/>
    <w:rsid w:val="003915DE"/>
    <w:rsid w:val="0039162B"/>
    <w:rsid w:val="00391675"/>
    <w:rsid w:val="00391712"/>
    <w:rsid w:val="0039176B"/>
    <w:rsid w:val="003917D2"/>
    <w:rsid w:val="0039183F"/>
    <w:rsid w:val="003918BB"/>
    <w:rsid w:val="00391A44"/>
    <w:rsid w:val="00391A5E"/>
    <w:rsid w:val="00391B68"/>
    <w:rsid w:val="00391B81"/>
    <w:rsid w:val="00391B88"/>
    <w:rsid w:val="00391BAF"/>
    <w:rsid w:val="00391C77"/>
    <w:rsid w:val="00391CFA"/>
    <w:rsid w:val="00391D70"/>
    <w:rsid w:val="00391D73"/>
    <w:rsid w:val="00391D80"/>
    <w:rsid w:val="00391E1B"/>
    <w:rsid w:val="00391F01"/>
    <w:rsid w:val="00391F97"/>
    <w:rsid w:val="00391FAA"/>
    <w:rsid w:val="00391FF8"/>
    <w:rsid w:val="00392052"/>
    <w:rsid w:val="00392061"/>
    <w:rsid w:val="00392067"/>
    <w:rsid w:val="0039209A"/>
    <w:rsid w:val="003920B9"/>
    <w:rsid w:val="00392108"/>
    <w:rsid w:val="0039211B"/>
    <w:rsid w:val="00392185"/>
    <w:rsid w:val="00392235"/>
    <w:rsid w:val="00392267"/>
    <w:rsid w:val="003922A5"/>
    <w:rsid w:val="00392344"/>
    <w:rsid w:val="003923D8"/>
    <w:rsid w:val="0039240E"/>
    <w:rsid w:val="0039246E"/>
    <w:rsid w:val="003924D0"/>
    <w:rsid w:val="0039268B"/>
    <w:rsid w:val="003926CE"/>
    <w:rsid w:val="003926D2"/>
    <w:rsid w:val="00392754"/>
    <w:rsid w:val="00392785"/>
    <w:rsid w:val="003927D2"/>
    <w:rsid w:val="00392831"/>
    <w:rsid w:val="00392866"/>
    <w:rsid w:val="00392880"/>
    <w:rsid w:val="00392895"/>
    <w:rsid w:val="003928AA"/>
    <w:rsid w:val="00392918"/>
    <w:rsid w:val="0039291D"/>
    <w:rsid w:val="003929C0"/>
    <w:rsid w:val="003929EE"/>
    <w:rsid w:val="00392A31"/>
    <w:rsid w:val="00392ABC"/>
    <w:rsid w:val="00392AEE"/>
    <w:rsid w:val="00392BA3"/>
    <w:rsid w:val="00392BD7"/>
    <w:rsid w:val="00392BF9"/>
    <w:rsid w:val="00392C2F"/>
    <w:rsid w:val="00392C55"/>
    <w:rsid w:val="00392C62"/>
    <w:rsid w:val="00392C9F"/>
    <w:rsid w:val="00392E26"/>
    <w:rsid w:val="00392E47"/>
    <w:rsid w:val="00392E8E"/>
    <w:rsid w:val="00392EC0"/>
    <w:rsid w:val="00392FAE"/>
    <w:rsid w:val="00393001"/>
    <w:rsid w:val="00393066"/>
    <w:rsid w:val="00393072"/>
    <w:rsid w:val="0039317A"/>
    <w:rsid w:val="0039317B"/>
    <w:rsid w:val="003931F6"/>
    <w:rsid w:val="0039325B"/>
    <w:rsid w:val="003932F9"/>
    <w:rsid w:val="00393303"/>
    <w:rsid w:val="0039330E"/>
    <w:rsid w:val="0039338A"/>
    <w:rsid w:val="003933AC"/>
    <w:rsid w:val="0039340C"/>
    <w:rsid w:val="003934F1"/>
    <w:rsid w:val="00393501"/>
    <w:rsid w:val="0039350E"/>
    <w:rsid w:val="003935C3"/>
    <w:rsid w:val="00393814"/>
    <w:rsid w:val="00393868"/>
    <w:rsid w:val="003938DB"/>
    <w:rsid w:val="003938F4"/>
    <w:rsid w:val="0039396C"/>
    <w:rsid w:val="00393ABA"/>
    <w:rsid w:val="00393AC1"/>
    <w:rsid w:val="00393C0C"/>
    <w:rsid w:val="00393D05"/>
    <w:rsid w:val="00393E12"/>
    <w:rsid w:val="00393E34"/>
    <w:rsid w:val="00393E96"/>
    <w:rsid w:val="00393EEE"/>
    <w:rsid w:val="00393F32"/>
    <w:rsid w:val="00393FCF"/>
    <w:rsid w:val="00393FE8"/>
    <w:rsid w:val="0039409D"/>
    <w:rsid w:val="00394343"/>
    <w:rsid w:val="00394345"/>
    <w:rsid w:val="00394387"/>
    <w:rsid w:val="003943D0"/>
    <w:rsid w:val="00394463"/>
    <w:rsid w:val="0039453A"/>
    <w:rsid w:val="00394587"/>
    <w:rsid w:val="003945A4"/>
    <w:rsid w:val="0039461F"/>
    <w:rsid w:val="0039465C"/>
    <w:rsid w:val="00394671"/>
    <w:rsid w:val="003946E5"/>
    <w:rsid w:val="0039476F"/>
    <w:rsid w:val="003947B7"/>
    <w:rsid w:val="003947DF"/>
    <w:rsid w:val="003948A5"/>
    <w:rsid w:val="003948D5"/>
    <w:rsid w:val="00394912"/>
    <w:rsid w:val="0039492B"/>
    <w:rsid w:val="00394A50"/>
    <w:rsid w:val="00394AAD"/>
    <w:rsid w:val="00394AE1"/>
    <w:rsid w:val="00394B92"/>
    <w:rsid w:val="00394BC6"/>
    <w:rsid w:val="00394C79"/>
    <w:rsid w:val="00394C7D"/>
    <w:rsid w:val="00394CB7"/>
    <w:rsid w:val="00394D0D"/>
    <w:rsid w:val="00394DF3"/>
    <w:rsid w:val="00394DFD"/>
    <w:rsid w:val="00394FA7"/>
    <w:rsid w:val="00395018"/>
    <w:rsid w:val="00395095"/>
    <w:rsid w:val="003950BE"/>
    <w:rsid w:val="00395214"/>
    <w:rsid w:val="00395218"/>
    <w:rsid w:val="00395262"/>
    <w:rsid w:val="0039526A"/>
    <w:rsid w:val="003953BA"/>
    <w:rsid w:val="00395470"/>
    <w:rsid w:val="003957E0"/>
    <w:rsid w:val="0039580F"/>
    <w:rsid w:val="0039581C"/>
    <w:rsid w:val="0039582D"/>
    <w:rsid w:val="00395917"/>
    <w:rsid w:val="00395943"/>
    <w:rsid w:val="00395A69"/>
    <w:rsid w:val="00395A6B"/>
    <w:rsid w:val="00395AFD"/>
    <w:rsid w:val="00395E53"/>
    <w:rsid w:val="00395EC9"/>
    <w:rsid w:val="00395EFE"/>
    <w:rsid w:val="00395F64"/>
    <w:rsid w:val="00395F7A"/>
    <w:rsid w:val="00395FCB"/>
    <w:rsid w:val="00396013"/>
    <w:rsid w:val="0039606C"/>
    <w:rsid w:val="00396130"/>
    <w:rsid w:val="003961D0"/>
    <w:rsid w:val="0039629D"/>
    <w:rsid w:val="003962A0"/>
    <w:rsid w:val="00396330"/>
    <w:rsid w:val="0039637B"/>
    <w:rsid w:val="003963DB"/>
    <w:rsid w:val="0039642E"/>
    <w:rsid w:val="00396478"/>
    <w:rsid w:val="00396569"/>
    <w:rsid w:val="003966A7"/>
    <w:rsid w:val="0039672F"/>
    <w:rsid w:val="003967CB"/>
    <w:rsid w:val="003967CE"/>
    <w:rsid w:val="003969A3"/>
    <w:rsid w:val="00396A55"/>
    <w:rsid w:val="00396B3D"/>
    <w:rsid w:val="00396B4B"/>
    <w:rsid w:val="00396B4C"/>
    <w:rsid w:val="00396B67"/>
    <w:rsid w:val="00396C23"/>
    <w:rsid w:val="00396C9A"/>
    <w:rsid w:val="00396DA0"/>
    <w:rsid w:val="00396DF7"/>
    <w:rsid w:val="00396E09"/>
    <w:rsid w:val="00396E66"/>
    <w:rsid w:val="00396F5E"/>
    <w:rsid w:val="00396F82"/>
    <w:rsid w:val="00396F93"/>
    <w:rsid w:val="00397026"/>
    <w:rsid w:val="003970C7"/>
    <w:rsid w:val="00397155"/>
    <w:rsid w:val="0039716B"/>
    <w:rsid w:val="0039718F"/>
    <w:rsid w:val="00397207"/>
    <w:rsid w:val="0039721E"/>
    <w:rsid w:val="00397228"/>
    <w:rsid w:val="0039725D"/>
    <w:rsid w:val="00397276"/>
    <w:rsid w:val="00397300"/>
    <w:rsid w:val="003973A1"/>
    <w:rsid w:val="003973DC"/>
    <w:rsid w:val="0039740E"/>
    <w:rsid w:val="0039746F"/>
    <w:rsid w:val="0039752B"/>
    <w:rsid w:val="0039753F"/>
    <w:rsid w:val="00397637"/>
    <w:rsid w:val="003976AA"/>
    <w:rsid w:val="0039774E"/>
    <w:rsid w:val="0039782D"/>
    <w:rsid w:val="003978C0"/>
    <w:rsid w:val="00397945"/>
    <w:rsid w:val="0039797E"/>
    <w:rsid w:val="003979C4"/>
    <w:rsid w:val="003979C6"/>
    <w:rsid w:val="00397AA9"/>
    <w:rsid w:val="00397B29"/>
    <w:rsid w:val="00397B41"/>
    <w:rsid w:val="00397BBE"/>
    <w:rsid w:val="00397BC7"/>
    <w:rsid w:val="00397D6A"/>
    <w:rsid w:val="00397DE9"/>
    <w:rsid w:val="00397E66"/>
    <w:rsid w:val="00397F28"/>
    <w:rsid w:val="00397F36"/>
    <w:rsid w:val="00397F38"/>
    <w:rsid w:val="00397F61"/>
    <w:rsid w:val="00397FBC"/>
    <w:rsid w:val="00397FD5"/>
    <w:rsid w:val="00397FE5"/>
    <w:rsid w:val="003A005F"/>
    <w:rsid w:val="003A00B9"/>
    <w:rsid w:val="003A011D"/>
    <w:rsid w:val="003A01CD"/>
    <w:rsid w:val="003A01F1"/>
    <w:rsid w:val="003A032A"/>
    <w:rsid w:val="003A03E1"/>
    <w:rsid w:val="003A0416"/>
    <w:rsid w:val="003A0473"/>
    <w:rsid w:val="003A054B"/>
    <w:rsid w:val="003A055B"/>
    <w:rsid w:val="003A0625"/>
    <w:rsid w:val="003A0635"/>
    <w:rsid w:val="003A0654"/>
    <w:rsid w:val="003A077E"/>
    <w:rsid w:val="003A08AA"/>
    <w:rsid w:val="003A0995"/>
    <w:rsid w:val="003A09B4"/>
    <w:rsid w:val="003A0A31"/>
    <w:rsid w:val="003A0B22"/>
    <w:rsid w:val="003A0B44"/>
    <w:rsid w:val="003A0B6F"/>
    <w:rsid w:val="003A0B95"/>
    <w:rsid w:val="003A0C24"/>
    <w:rsid w:val="003A0C6F"/>
    <w:rsid w:val="003A0C76"/>
    <w:rsid w:val="003A0C9F"/>
    <w:rsid w:val="003A0CA2"/>
    <w:rsid w:val="003A0CB1"/>
    <w:rsid w:val="003A0CD9"/>
    <w:rsid w:val="003A0D63"/>
    <w:rsid w:val="003A0D6A"/>
    <w:rsid w:val="003A0DDC"/>
    <w:rsid w:val="003A0E52"/>
    <w:rsid w:val="003A0E5A"/>
    <w:rsid w:val="003A0F0A"/>
    <w:rsid w:val="003A0F57"/>
    <w:rsid w:val="003A0FF3"/>
    <w:rsid w:val="003A1077"/>
    <w:rsid w:val="003A10B2"/>
    <w:rsid w:val="003A10C0"/>
    <w:rsid w:val="003A10D6"/>
    <w:rsid w:val="003A1118"/>
    <w:rsid w:val="003A117D"/>
    <w:rsid w:val="003A11E7"/>
    <w:rsid w:val="003A131D"/>
    <w:rsid w:val="003A1355"/>
    <w:rsid w:val="003A13DB"/>
    <w:rsid w:val="003A13EE"/>
    <w:rsid w:val="003A1427"/>
    <w:rsid w:val="003A142C"/>
    <w:rsid w:val="003A1507"/>
    <w:rsid w:val="003A1519"/>
    <w:rsid w:val="003A1545"/>
    <w:rsid w:val="003A1640"/>
    <w:rsid w:val="003A165F"/>
    <w:rsid w:val="003A16AD"/>
    <w:rsid w:val="003A1702"/>
    <w:rsid w:val="003A1760"/>
    <w:rsid w:val="003A1787"/>
    <w:rsid w:val="003A1800"/>
    <w:rsid w:val="003A191F"/>
    <w:rsid w:val="003A1921"/>
    <w:rsid w:val="003A1954"/>
    <w:rsid w:val="003A1973"/>
    <w:rsid w:val="003A1B14"/>
    <w:rsid w:val="003A1B23"/>
    <w:rsid w:val="003A1B91"/>
    <w:rsid w:val="003A1BF4"/>
    <w:rsid w:val="003A1BFD"/>
    <w:rsid w:val="003A1C1A"/>
    <w:rsid w:val="003A1C21"/>
    <w:rsid w:val="003A1C3A"/>
    <w:rsid w:val="003A1D57"/>
    <w:rsid w:val="003A1DD7"/>
    <w:rsid w:val="003A1E00"/>
    <w:rsid w:val="003A1F0F"/>
    <w:rsid w:val="003A1F94"/>
    <w:rsid w:val="003A2023"/>
    <w:rsid w:val="003A2107"/>
    <w:rsid w:val="003A2121"/>
    <w:rsid w:val="003A218A"/>
    <w:rsid w:val="003A2228"/>
    <w:rsid w:val="003A231F"/>
    <w:rsid w:val="003A238F"/>
    <w:rsid w:val="003A2549"/>
    <w:rsid w:val="003A2580"/>
    <w:rsid w:val="003A2586"/>
    <w:rsid w:val="003A25CF"/>
    <w:rsid w:val="003A2694"/>
    <w:rsid w:val="003A26E1"/>
    <w:rsid w:val="003A289B"/>
    <w:rsid w:val="003A28E6"/>
    <w:rsid w:val="003A28F0"/>
    <w:rsid w:val="003A298B"/>
    <w:rsid w:val="003A29BD"/>
    <w:rsid w:val="003A29D2"/>
    <w:rsid w:val="003A29DB"/>
    <w:rsid w:val="003A2A1C"/>
    <w:rsid w:val="003A2AE6"/>
    <w:rsid w:val="003A2BA7"/>
    <w:rsid w:val="003A2BB2"/>
    <w:rsid w:val="003A2BDB"/>
    <w:rsid w:val="003A2BDF"/>
    <w:rsid w:val="003A2C11"/>
    <w:rsid w:val="003A2C7B"/>
    <w:rsid w:val="003A2CD6"/>
    <w:rsid w:val="003A2D08"/>
    <w:rsid w:val="003A2D17"/>
    <w:rsid w:val="003A2D2F"/>
    <w:rsid w:val="003A2D57"/>
    <w:rsid w:val="003A2DC8"/>
    <w:rsid w:val="003A2DCA"/>
    <w:rsid w:val="003A2DD6"/>
    <w:rsid w:val="003A2DE0"/>
    <w:rsid w:val="003A2E8B"/>
    <w:rsid w:val="003A2E93"/>
    <w:rsid w:val="003A2EB7"/>
    <w:rsid w:val="003A2EBC"/>
    <w:rsid w:val="003A302A"/>
    <w:rsid w:val="003A3042"/>
    <w:rsid w:val="003A304E"/>
    <w:rsid w:val="003A308E"/>
    <w:rsid w:val="003A309E"/>
    <w:rsid w:val="003A30D2"/>
    <w:rsid w:val="003A3114"/>
    <w:rsid w:val="003A3151"/>
    <w:rsid w:val="003A31D1"/>
    <w:rsid w:val="003A31FD"/>
    <w:rsid w:val="003A3212"/>
    <w:rsid w:val="003A322B"/>
    <w:rsid w:val="003A3238"/>
    <w:rsid w:val="003A3282"/>
    <w:rsid w:val="003A32C7"/>
    <w:rsid w:val="003A3346"/>
    <w:rsid w:val="003A33AE"/>
    <w:rsid w:val="003A3438"/>
    <w:rsid w:val="003A3452"/>
    <w:rsid w:val="003A345E"/>
    <w:rsid w:val="003A34B7"/>
    <w:rsid w:val="003A34BC"/>
    <w:rsid w:val="003A351A"/>
    <w:rsid w:val="003A3557"/>
    <w:rsid w:val="003A357A"/>
    <w:rsid w:val="003A367A"/>
    <w:rsid w:val="003A36F5"/>
    <w:rsid w:val="003A373A"/>
    <w:rsid w:val="003A3741"/>
    <w:rsid w:val="003A377B"/>
    <w:rsid w:val="003A3816"/>
    <w:rsid w:val="003A38AE"/>
    <w:rsid w:val="003A38F3"/>
    <w:rsid w:val="003A3968"/>
    <w:rsid w:val="003A39C2"/>
    <w:rsid w:val="003A3A2B"/>
    <w:rsid w:val="003A3AA3"/>
    <w:rsid w:val="003A3AD3"/>
    <w:rsid w:val="003A3AD7"/>
    <w:rsid w:val="003A3AE9"/>
    <w:rsid w:val="003A3B08"/>
    <w:rsid w:val="003A3B2B"/>
    <w:rsid w:val="003A3B43"/>
    <w:rsid w:val="003A3B8E"/>
    <w:rsid w:val="003A3BA2"/>
    <w:rsid w:val="003A3C3A"/>
    <w:rsid w:val="003A3C5E"/>
    <w:rsid w:val="003A3CBE"/>
    <w:rsid w:val="003A3CFB"/>
    <w:rsid w:val="003A3D4E"/>
    <w:rsid w:val="003A3D8A"/>
    <w:rsid w:val="003A3DC1"/>
    <w:rsid w:val="003A3E52"/>
    <w:rsid w:val="003A3EF8"/>
    <w:rsid w:val="003A3F33"/>
    <w:rsid w:val="003A3F65"/>
    <w:rsid w:val="003A3F73"/>
    <w:rsid w:val="003A4070"/>
    <w:rsid w:val="003A4078"/>
    <w:rsid w:val="003A40F4"/>
    <w:rsid w:val="003A410C"/>
    <w:rsid w:val="003A4123"/>
    <w:rsid w:val="003A4141"/>
    <w:rsid w:val="003A4151"/>
    <w:rsid w:val="003A4223"/>
    <w:rsid w:val="003A4226"/>
    <w:rsid w:val="003A4260"/>
    <w:rsid w:val="003A4289"/>
    <w:rsid w:val="003A42B2"/>
    <w:rsid w:val="003A42D6"/>
    <w:rsid w:val="003A4301"/>
    <w:rsid w:val="003A430B"/>
    <w:rsid w:val="003A431D"/>
    <w:rsid w:val="003A4320"/>
    <w:rsid w:val="003A432E"/>
    <w:rsid w:val="003A434F"/>
    <w:rsid w:val="003A4384"/>
    <w:rsid w:val="003A43D6"/>
    <w:rsid w:val="003A43E1"/>
    <w:rsid w:val="003A4449"/>
    <w:rsid w:val="003A4455"/>
    <w:rsid w:val="003A4459"/>
    <w:rsid w:val="003A44D0"/>
    <w:rsid w:val="003A44D1"/>
    <w:rsid w:val="003A451D"/>
    <w:rsid w:val="003A452D"/>
    <w:rsid w:val="003A4542"/>
    <w:rsid w:val="003A455E"/>
    <w:rsid w:val="003A4578"/>
    <w:rsid w:val="003A45D7"/>
    <w:rsid w:val="003A460D"/>
    <w:rsid w:val="003A4636"/>
    <w:rsid w:val="003A46D7"/>
    <w:rsid w:val="003A4792"/>
    <w:rsid w:val="003A47DA"/>
    <w:rsid w:val="003A47E0"/>
    <w:rsid w:val="003A4897"/>
    <w:rsid w:val="003A48D6"/>
    <w:rsid w:val="003A48FF"/>
    <w:rsid w:val="003A49D4"/>
    <w:rsid w:val="003A49DC"/>
    <w:rsid w:val="003A4A89"/>
    <w:rsid w:val="003A4B29"/>
    <w:rsid w:val="003A4B9C"/>
    <w:rsid w:val="003A4C01"/>
    <w:rsid w:val="003A4C0C"/>
    <w:rsid w:val="003A4C3C"/>
    <w:rsid w:val="003A4D7B"/>
    <w:rsid w:val="003A4E42"/>
    <w:rsid w:val="003A4E68"/>
    <w:rsid w:val="003A4E71"/>
    <w:rsid w:val="003A4ED7"/>
    <w:rsid w:val="003A4EE0"/>
    <w:rsid w:val="003A50BC"/>
    <w:rsid w:val="003A5115"/>
    <w:rsid w:val="003A51A4"/>
    <w:rsid w:val="003A51C2"/>
    <w:rsid w:val="003A52A3"/>
    <w:rsid w:val="003A52A8"/>
    <w:rsid w:val="003A52F9"/>
    <w:rsid w:val="003A5370"/>
    <w:rsid w:val="003A53D2"/>
    <w:rsid w:val="003A5453"/>
    <w:rsid w:val="003A549F"/>
    <w:rsid w:val="003A56B3"/>
    <w:rsid w:val="003A571D"/>
    <w:rsid w:val="003A57AD"/>
    <w:rsid w:val="003A57F6"/>
    <w:rsid w:val="003A5835"/>
    <w:rsid w:val="003A58FD"/>
    <w:rsid w:val="003A5924"/>
    <w:rsid w:val="003A5983"/>
    <w:rsid w:val="003A5AF9"/>
    <w:rsid w:val="003A5BC4"/>
    <w:rsid w:val="003A5BD1"/>
    <w:rsid w:val="003A5C02"/>
    <w:rsid w:val="003A5C74"/>
    <w:rsid w:val="003A5C83"/>
    <w:rsid w:val="003A5C87"/>
    <w:rsid w:val="003A5CED"/>
    <w:rsid w:val="003A5D3C"/>
    <w:rsid w:val="003A5E18"/>
    <w:rsid w:val="003A5EE3"/>
    <w:rsid w:val="003A5EE5"/>
    <w:rsid w:val="003A5FA5"/>
    <w:rsid w:val="003A5FBE"/>
    <w:rsid w:val="003A6052"/>
    <w:rsid w:val="003A6075"/>
    <w:rsid w:val="003A608F"/>
    <w:rsid w:val="003A6357"/>
    <w:rsid w:val="003A6436"/>
    <w:rsid w:val="003A6439"/>
    <w:rsid w:val="003A6448"/>
    <w:rsid w:val="003A6455"/>
    <w:rsid w:val="003A6511"/>
    <w:rsid w:val="003A6512"/>
    <w:rsid w:val="003A65BB"/>
    <w:rsid w:val="003A65BE"/>
    <w:rsid w:val="003A65E4"/>
    <w:rsid w:val="003A6604"/>
    <w:rsid w:val="003A6618"/>
    <w:rsid w:val="003A665E"/>
    <w:rsid w:val="003A6691"/>
    <w:rsid w:val="003A6737"/>
    <w:rsid w:val="003A674F"/>
    <w:rsid w:val="003A67A1"/>
    <w:rsid w:val="003A6803"/>
    <w:rsid w:val="003A6812"/>
    <w:rsid w:val="003A686A"/>
    <w:rsid w:val="003A6880"/>
    <w:rsid w:val="003A6965"/>
    <w:rsid w:val="003A698C"/>
    <w:rsid w:val="003A69B9"/>
    <w:rsid w:val="003A69D5"/>
    <w:rsid w:val="003A6A0B"/>
    <w:rsid w:val="003A6A9B"/>
    <w:rsid w:val="003A6B5E"/>
    <w:rsid w:val="003A6B84"/>
    <w:rsid w:val="003A6BE5"/>
    <w:rsid w:val="003A6C5D"/>
    <w:rsid w:val="003A6C6C"/>
    <w:rsid w:val="003A6C9E"/>
    <w:rsid w:val="003A6D82"/>
    <w:rsid w:val="003A6E25"/>
    <w:rsid w:val="003A6EA3"/>
    <w:rsid w:val="003A6F50"/>
    <w:rsid w:val="003A6F7B"/>
    <w:rsid w:val="003A6FAD"/>
    <w:rsid w:val="003A709D"/>
    <w:rsid w:val="003A70DE"/>
    <w:rsid w:val="003A7141"/>
    <w:rsid w:val="003A71F7"/>
    <w:rsid w:val="003A723B"/>
    <w:rsid w:val="003A7283"/>
    <w:rsid w:val="003A7305"/>
    <w:rsid w:val="003A73D3"/>
    <w:rsid w:val="003A73E6"/>
    <w:rsid w:val="003A7429"/>
    <w:rsid w:val="003A743E"/>
    <w:rsid w:val="003A7471"/>
    <w:rsid w:val="003A7474"/>
    <w:rsid w:val="003A7587"/>
    <w:rsid w:val="003A7591"/>
    <w:rsid w:val="003A773E"/>
    <w:rsid w:val="003A785C"/>
    <w:rsid w:val="003A799B"/>
    <w:rsid w:val="003A79A4"/>
    <w:rsid w:val="003A79C1"/>
    <w:rsid w:val="003A79C9"/>
    <w:rsid w:val="003A7AA1"/>
    <w:rsid w:val="003A7ADE"/>
    <w:rsid w:val="003A7AE7"/>
    <w:rsid w:val="003A7AF5"/>
    <w:rsid w:val="003A7B26"/>
    <w:rsid w:val="003A7BBB"/>
    <w:rsid w:val="003A7BC9"/>
    <w:rsid w:val="003A7C44"/>
    <w:rsid w:val="003A7C4A"/>
    <w:rsid w:val="003A7C4B"/>
    <w:rsid w:val="003A7CC4"/>
    <w:rsid w:val="003A7CE1"/>
    <w:rsid w:val="003A7D89"/>
    <w:rsid w:val="003A7E0F"/>
    <w:rsid w:val="003A7E2F"/>
    <w:rsid w:val="003A7E31"/>
    <w:rsid w:val="003A7F3B"/>
    <w:rsid w:val="003A7F43"/>
    <w:rsid w:val="003A7F48"/>
    <w:rsid w:val="003A7F4B"/>
    <w:rsid w:val="003A7F9F"/>
    <w:rsid w:val="003A7FBB"/>
    <w:rsid w:val="003A7FD1"/>
    <w:rsid w:val="003B0102"/>
    <w:rsid w:val="003B0185"/>
    <w:rsid w:val="003B0226"/>
    <w:rsid w:val="003B029E"/>
    <w:rsid w:val="003B02B0"/>
    <w:rsid w:val="003B032D"/>
    <w:rsid w:val="003B036B"/>
    <w:rsid w:val="003B03E2"/>
    <w:rsid w:val="003B03F8"/>
    <w:rsid w:val="003B040D"/>
    <w:rsid w:val="003B049C"/>
    <w:rsid w:val="003B04F8"/>
    <w:rsid w:val="003B04FA"/>
    <w:rsid w:val="003B054A"/>
    <w:rsid w:val="003B0565"/>
    <w:rsid w:val="003B0609"/>
    <w:rsid w:val="003B066B"/>
    <w:rsid w:val="003B0788"/>
    <w:rsid w:val="003B088F"/>
    <w:rsid w:val="003B0894"/>
    <w:rsid w:val="003B0897"/>
    <w:rsid w:val="003B099B"/>
    <w:rsid w:val="003B0A4A"/>
    <w:rsid w:val="003B0A91"/>
    <w:rsid w:val="003B0ADD"/>
    <w:rsid w:val="003B0C80"/>
    <w:rsid w:val="003B0D51"/>
    <w:rsid w:val="003B0DAF"/>
    <w:rsid w:val="003B0E05"/>
    <w:rsid w:val="003B0E9E"/>
    <w:rsid w:val="003B0F96"/>
    <w:rsid w:val="003B10A2"/>
    <w:rsid w:val="003B10AF"/>
    <w:rsid w:val="003B10B7"/>
    <w:rsid w:val="003B116A"/>
    <w:rsid w:val="003B1180"/>
    <w:rsid w:val="003B12B9"/>
    <w:rsid w:val="003B12C4"/>
    <w:rsid w:val="003B12F6"/>
    <w:rsid w:val="003B13D2"/>
    <w:rsid w:val="003B1426"/>
    <w:rsid w:val="003B1438"/>
    <w:rsid w:val="003B1467"/>
    <w:rsid w:val="003B14F4"/>
    <w:rsid w:val="003B150D"/>
    <w:rsid w:val="003B15FC"/>
    <w:rsid w:val="003B16AE"/>
    <w:rsid w:val="003B1717"/>
    <w:rsid w:val="003B1815"/>
    <w:rsid w:val="003B1848"/>
    <w:rsid w:val="003B1885"/>
    <w:rsid w:val="003B18C7"/>
    <w:rsid w:val="003B1B09"/>
    <w:rsid w:val="003B1B1E"/>
    <w:rsid w:val="003B1B67"/>
    <w:rsid w:val="003B1BD6"/>
    <w:rsid w:val="003B1C0E"/>
    <w:rsid w:val="003B1C59"/>
    <w:rsid w:val="003B1C6B"/>
    <w:rsid w:val="003B1C8F"/>
    <w:rsid w:val="003B1CA5"/>
    <w:rsid w:val="003B1DE3"/>
    <w:rsid w:val="003B1E1B"/>
    <w:rsid w:val="003B1E4B"/>
    <w:rsid w:val="003B1ED1"/>
    <w:rsid w:val="003B1F19"/>
    <w:rsid w:val="003B1F2B"/>
    <w:rsid w:val="003B1FD3"/>
    <w:rsid w:val="003B20BE"/>
    <w:rsid w:val="003B20D5"/>
    <w:rsid w:val="003B2156"/>
    <w:rsid w:val="003B2162"/>
    <w:rsid w:val="003B21C2"/>
    <w:rsid w:val="003B21DB"/>
    <w:rsid w:val="003B2239"/>
    <w:rsid w:val="003B22FC"/>
    <w:rsid w:val="003B2491"/>
    <w:rsid w:val="003B263D"/>
    <w:rsid w:val="003B264A"/>
    <w:rsid w:val="003B2690"/>
    <w:rsid w:val="003B26C0"/>
    <w:rsid w:val="003B26DE"/>
    <w:rsid w:val="003B2702"/>
    <w:rsid w:val="003B2724"/>
    <w:rsid w:val="003B279D"/>
    <w:rsid w:val="003B27F4"/>
    <w:rsid w:val="003B288F"/>
    <w:rsid w:val="003B28D8"/>
    <w:rsid w:val="003B28F4"/>
    <w:rsid w:val="003B2935"/>
    <w:rsid w:val="003B29BF"/>
    <w:rsid w:val="003B2A1A"/>
    <w:rsid w:val="003B2A34"/>
    <w:rsid w:val="003B2A5C"/>
    <w:rsid w:val="003B2A5E"/>
    <w:rsid w:val="003B2A8A"/>
    <w:rsid w:val="003B2AE3"/>
    <w:rsid w:val="003B2B50"/>
    <w:rsid w:val="003B2C09"/>
    <w:rsid w:val="003B2C13"/>
    <w:rsid w:val="003B2C21"/>
    <w:rsid w:val="003B2C51"/>
    <w:rsid w:val="003B2CBD"/>
    <w:rsid w:val="003B2CEC"/>
    <w:rsid w:val="003B2CEE"/>
    <w:rsid w:val="003B2D10"/>
    <w:rsid w:val="003B2D42"/>
    <w:rsid w:val="003B2DBB"/>
    <w:rsid w:val="003B2E6C"/>
    <w:rsid w:val="003B2E73"/>
    <w:rsid w:val="003B2E9B"/>
    <w:rsid w:val="003B2ED4"/>
    <w:rsid w:val="003B2EDD"/>
    <w:rsid w:val="003B2FD1"/>
    <w:rsid w:val="003B3017"/>
    <w:rsid w:val="003B30D8"/>
    <w:rsid w:val="003B311C"/>
    <w:rsid w:val="003B314E"/>
    <w:rsid w:val="003B3169"/>
    <w:rsid w:val="003B31D7"/>
    <w:rsid w:val="003B31DD"/>
    <w:rsid w:val="003B320A"/>
    <w:rsid w:val="003B327D"/>
    <w:rsid w:val="003B32E4"/>
    <w:rsid w:val="003B33C5"/>
    <w:rsid w:val="003B33E5"/>
    <w:rsid w:val="003B340E"/>
    <w:rsid w:val="003B3437"/>
    <w:rsid w:val="003B351E"/>
    <w:rsid w:val="003B353A"/>
    <w:rsid w:val="003B353E"/>
    <w:rsid w:val="003B3547"/>
    <w:rsid w:val="003B3570"/>
    <w:rsid w:val="003B360D"/>
    <w:rsid w:val="003B3618"/>
    <w:rsid w:val="003B365C"/>
    <w:rsid w:val="003B370B"/>
    <w:rsid w:val="003B3751"/>
    <w:rsid w:val="003B3797"/>
    <w:rsid w:val="003B37D1"/>
    <w:rsid w:val="003B37E4"/>
    <w:rsid w:val="003B38BB"/>
    <w:rsid w:val="003B392A"/>
    <w:rsid w:val="003B3986"/>
    <w:rsid w:val="003B398E"/>
    <w:rsid w:val="003B3A4D"/>
    <w:rsid w:val="003B3BF8"/>
    <w:rsid w:val="003B3C20"/>
    <w:rsid w:val="003B3C36"/>
    <w:rsid w:val="003B3C6F"/>
    <w:rsid w:val="003B3CAC"/>
    <w:rsid w:val="003B3DA7"/>
    <w:rsid w:val="003B3F53"/>
    <w:rsid w:val="003B40AE"/>
    <w:rsid w:val="003B40F6"/>
    <w:rsid w:val="003B417A"/>
    <w:rsid w:val="003B4283"/>
    <w:rsid w:val="003B43A2"/>
    <w:rsid w:val="003B43CE"/>
    <w:rsid w:val="003B43D0"/>
    <w:rsid w:val="003B43E0"/>
    <w:rsid w:val="003B4429"/>
    <w:rsid w:val="003B4468"/>
    <w:rsid w:val="003B451B"/>
    <w:rsid w:val="003B4545"/>
    <w:rsid w:val="003B455F"/>
    <w:rsid w:val="003B4622"/>
    <w:rsid w:val="003B462E"/>
    <w:rsid w:val="003B464D"/>
    <w:rsid w:val="003B46C6"/>
    <w:rsid w:val="003B46C7"/>
    <w:rsid w:val="003B46FC"/>
    <w:rsid w:val="003B4840"/>
    <w:rsid w:val="003B4879"/>
    <w:rsid w:val="003B487C"/>
    <w:rsid w:val="003B48AA"/>
    <w:rsid w:val="003B4985"/>
    <w:rsid w:val="003B4A28"/>
    <w:rsid w:val="003B4A70"/>
    <w:rsid w:val="003B4A88"/>
    <w:rsid w:val="003B4AA4"/>
    <w:rsid w:val="003B4AA5"/>
    <w:rsid w:val="003B4BBA"/>
    <w:rsid w:val="003B4BCD"/>
    <w:rsid w:val="003B4C37"/>
    <w:rsid w:val="003B4CE6"/>
    <w:rsid w:val="003B4D4D"/>
    <w:rsid w:val="003B4D85"/>
    <w:rsid w:val="003B4D95"/>
    <w:rsid w:val="003B4ED6"/>
    <w:rsid w:val="003B4F85"/>
    <w:rsid w:val="003B4FDC"/>
    <w:rsid w:val="003B4FEC"/>
    <w:rsid w:val="003B5095"/>
    <w:rsid w:val="003B510D"/>
    <w:rsid w:val="003B5195"/>
    <w:rsid w:val="003B51EF"/>
    <w:rsid w:val="003B5221"/>
    <w:rsid w:val="003B5267"/>
    <w:rsid w:val="003B52B3"/>
    <w:rsid w:val="003B52BA"/>
    <w:rsid w:val="003B52EC"/>
    <w:rsid w:val="003B531C"/>
    <w:rsid w:val="003B5350"/>
    <w:rsid w:val="003B5368"/>
    <w:rsid w:val="003B5388"/>
    <w:rsid w:val="003B5397"/>
    <w:rsid w:val="003B53D5"/>
    <w:rsid w:val="003B540E"/>
    <w:rsid w:val="003B5448"/>
    <w:rsid w:val="003B548F"/>
    <w:rsid w:val="003B54BD"/>
    <w:rsid w:val="003B54E1"/>
    <w:rsid w:val="003B5520"/>
    <w:rsid w:val="003B55B0"/>
    <w:rsid w:val="003B562C"/>
    <w:rsid w:val="003B5779"/>
    <w:rsid w:val="003B57A3"/>
    <w:rsid w:val="003B57F7"/>
    <w:rsid w:val="003B58CC"/>
    <w:rsid w:val="003B58D9"/>
    <w:rsid w:val="003B5910"/>
    <w:rsid w:val="003B5990"/>
    <w:rsid w:val="003B5A0C"/>
    <w:rsid w:val="003B5A2D"/>
    <w:rsid w:val="003B5A32"/>
    <w:rsid w:val="003B5A51"/>
    <w:rsid w:val="003B5AC2"/>
    <w:rsid w:val="003B5B47"/>
    <w:rsid w:val="003B5BA9"/>
    <w:rsid w:val="003B5BCB"/>
    <w:rsid w:val="003B5C00"/>
    <w:rsid w:val="003B5D2C"/>
    <w:rsid w:val="003B5D77"/>
    <w:rsid w:val="003B5EEE"/>
    <w:rsid w:val="003B5EF1"/>
    <w:rsid w:val="003B5F34"/>
    <w:rsid w:val="003B5F88"/>
    <w:rsid w:val="003B5FAA"/>
    <w:rsid w:val="003B5FE5"/>
    <w:rsid w:val="003B6045"/>
    <w:rsid w:val="003B604E"/>
    <w:rsid w:val="003B6083"/>
    <w:rsid w:val="003B60ED"/>
    <w:rsid w:val="003B6115"/>
    <w:rsid w:val="003B61B3"/>
    <w:rsid w:val="003B61F6"/>
    <w:rsid w:val="003B62B1"/>
    <w:rsid w:val="003B630F"/>
    <w:rsid w:val="003B6380"/>
    <w:rsid w:val="003B63CB"/>
    <w:rsid w:val="003B6403"/>
    <w:rsid w:val="003B640C"/>
    <w:rsid w:val="003B6432"/>
    <w:rsid w:val="003B64D2"/>
    <w:rsid w:val="003B6515"/>
    <w:rsid w:val="003B6598"/>
    <w:rsid w:val="003B660D"/>
    <w:rsid w:val="003B6615"/>
    <w:rsid w:val="003B6622"/>
    <w:rsid w:val="003B6623"/>
    <w:rsid w:val="003B66AC"/>
    <w:rsid w:val="003B6708"/>
    <w:rsid w:val="003B67AC"/>
    <w:rsid w:val="003B67D7"/>
    <w:rsid w:val="003B6815"/>
    <w:rsid w:val="003B6861"/>
    <w:rsid w:val="003B68A8"/>
    <w:rsid w:val="003B690B"/>
    <w:rsid w:val="003B69B5"/>
    <w:rsid w:val="003B6A17"/>
    <w:rsid w:val="003B6A7B"/>
    <w:rsid w:val="003B6ACA"/>
    <w:rsid w:val="003B6B83"/>
    <w:rsid w:val="003B6B9A"/>
    <w:rsid w:val="003B6BC2"/>
    <w:rsid w:val="003B6C2E"/>
    <w:rsid w:val="003B6D2A"/>
    <w:rsid w:val="003B6E2C"/>
    <w:rsid w:val="003B6FA0"/>
    <w:rsid w:val="003B6FA9"/>
    <w:rsid w:val="003B7009"/>
    <w:rsid w:val="003B705B"/>
    <w:rsid w:val="003B70AE"/>
    <w:rsid w:val="003B717C"/>
    <w:rsid w:val="003B7190"/>
    <w:rsid w:val="003B71C2"/>
    <w:rsid w:val="003B71DB"/>
    <w:rsid w:val="003B7228"/>
    <w:rsid w:val="003B726B"/>
    <w:rsid w:val="003B72C9"/>
    <w:rsid w:val="003B72D1"/>
    <w:rsid w:val="003B730C"/>
    <w:rsid w:val="003B732A"/>
    <w:rsid w:val="003B734E"/>
    <w:rsid w:val="003B73AA"/>
    <w:rsid w:val="003B73CF"/>
    <w:rsid w:val="003B7417"/>
    <w:rsid w:val="003B7509"/>
    <w:rsid w:val="003B7588"/>
    <w:rsid w:val="003B75C1"/>
    <w:rsid w:val="003B75F9"/>
    <w:rsid w:val="003B7605"/>
    <w:rsid w:val="003B761C"/>
    <w:rsid w:val="003B76B3"/>
    <w:rsid w:val="003B7706"/>
    <w:rsid w:val="003B7772"/>
    <w:rsid w:val="003B77E6"/>
    <w:rsid w:val="003B781D"/>
    <w:rsid w:val="003B78B7"/>
    <w:rsid w:val="003B793B"/>
    <w:rsid w:val="003B794C"/>
    <w:rsid w:val="003B7961"/>
    <w:rsid w:val="003B79BD"/>
    <w:rsid w:val="003B7A3F"/>
    <w:rsid w:val="003B7A92"/>
    <w:rsid w:val="003B7AA3"/>
    <w:rsid w:val="003B7AA7"/>
    <w:rsid w:val="003B7AF8"/>
    <w:rsid w:val="003B7C3E"/>
    <w:rsid w:val="003B7C62"/>
    <w:rsid w:val="003B7D17"/>
    <w:rsid w:val="003B7D48"/>
    <w:rsid w:val="003B7D7E"/>
    <w:rsid w:val="003B7DB1"/>
    <w:rsid w:val="003B7DC3"/>
    <w:rsid w:val="003B7E09"/>
    <w:rsid w:val="003B7E1B"/>
    <w:rsid w:val="003B7E4D"/>
    <w:rsid w:val="003B7E9A"/>
    <w:rsid w:val="003B7EDD"/>
    <w:rsid w:val="003C0001"/>
    <w:rsid w:val="003C0112"/>
    <w:rsid w:val="003C01D4"/>
    <w:rsid w:val="003C01DD"/>
    <w:rsid w:val="003C01ED"/>
    <w:rsid w:val="003C0276"/>
    <w:rsid w:val="003C028D"/>
    <w:rsid w:val="003C02AA"/>
    <w:rsid w:val="003C03A0"/>
    <w:rsid w:val="003C040C"/>
    <w:rsid w:val="003C0460"/>
    <w:rsid w:val="003C04D8"/>
    <w:rsid w:val="003C04F9"/>
    <w:rsid w:val="003C0509"/>
    <w:rsid w:val="003C0586"/>
    <w:rsid w:val="003C05D1"/>
    <w:rsid w:val="003C0727"/>
    <w:rsid w:val="003C0838"/>
    <w:rsid w:val="003C0844"/>
    <w:rsid w:val="003C08B7"/>
    <w:rsid w:val="003C08EE"/>
    <w:rsid w:val="003C08FC"/>
    <w:rsid w:val="003C0969"/>
    <w:rsid w:val="003C0980"/>
    <w:rsid w:val="003C0991"/>
    <w:rsid w:val="003C0994"/>
    <w:rsid w:val="003C0997"/>
    <w:rsid w:val="003C0A44"/>
    <w:rsid w:val="003C0B40"/>
    <w:rsid w:val="003C0B41"/>
    <w:rsid w:val="003C0BBB"/>
    <w:rsid w:val="003C0C09"/>
    <w:rsid w:val="003C0C56"/>
    <w:rsid w:val="003C0CA2"/>
    <w:rsid w:val="003C0E6B"/>
    <w:rsid w:val="003C0EF3"/>
    <w:rsid w:val="003C0F5D"/>
    <w:rsid w:val="003C0FF9"/>
    <w:rsid w:val="003C103C"/>
    <w:rsid w:val="003C104F"/>
    <w:rsid w:val="003C10A3"/>
    <w:rsid w:val="003C10AF"/>
    <w:rsid w:val="003C10C5"/>
    <w:rsid w:val="003C1131"/>
    <w:rsid w:val="003C1169"/>
    <w:rsid w:val="003C1356"/>
    <w:rsid w:val="003C136A"/>
    <w:rsid w:val="003C13D2"/>
    <w:rsid w:val="003C13FA"/>
    <w:rsid w:val="003C1421"/>
    <w:rsid w:val="003C1443"/>
    <w:rsid w:val="003C1484"/>
    <w:rsid w:val="003C14CD"/>
    <w:rsid w:val="003C15B6"/>
    <w:rsid w:val="003C16D8"/>
    <w:rsid w:val="003C1798"/>
    <w:rsid w:val="003C1862"/>
    <w:rsid w:val="003C18EF"/>
    <w:rsid w:val="003C194E"/>
    <w:rsid w:val="003C1A08"/>
    <w:rsid w:val="003C1A6E"/>
    <w:rsid w:val="003C1AE9"/>
    <w:rsid w:val="003C1B0A"/>
    <w:rsid w:val="003C1B28"/>
    <w:rsid w:val="003C1B98"/>
    <w:rsid w:val="003C1C7F"/>
    <w:rsid w:val="003C1C80"/>
    <w:rsid w:val="003C1D2E"/>
    <w:rsid w:val="003C1D36"/>
    <w:rsid w:val="003C1DC6"/>
    <w:rsid w:val="003C1E20"/>
    <w:rsid w:val="003C1E34"/>
    <w:rsid w:val="003C1EC0"/>
    <w:rsid w:val="003C1F72"/>
    <w:rsid w:val="003C1F90"/>
    <w:rsid w:val="003C1FB8"/>
    <w:rsid w:val="003C1FDC"/>
    <w:rsid w:val="003C2027"/>
    <w:rsid w:val="003C2048"/>
    <w:rsid w:val="003C236C"/>
    <w:rsid w:val="003C2390"/>
    <w:rsid w:val="003C239E"/>
    <w:rsid w:val="003C23A4"/>
    <w:rsid w:val="003C23F1"/>
    <w:rsid w:val="003C2420"/>
    <w:rsid w:val="003C2510"/>
    <w:rsid w:val="003C2543"/>
    <w:rsid w:val="003C260C"/>
    <w:rsid w:val="003C260D"/>
    <w:rsid w:val="003C2660"/>
    <w:rsid w:val="003C26C2"/>
    <w:rsid w:val="003C26D1"/>
    <w:rsid w:val="003C279F"/>
    <w:rsid w:val="003C27A7"/>
    <w:rsid w:val="003C27D8"/>
    <w:rsid w:val="003C28C7"/>
    <w:rsid w:val="003C28CA"/>
    <w:rsid w:val="003C28E8"/>
    <w:rsid w:val="003C28F9"/>
    <w:rsid w:val="003C29AD"/>
    <w:rsid w:val="003C29B1"/>
    <w:rsid w:val="003C29CC"/>
    <w:rsid w:val="003C2AE0"/>
    <w:rsid w:val="003C2AE5"/>
    <w:rsid w:val="003C2C1B"/>
    <w:rsid w:val="003C2CC3"/>
    <w:rsid w:val="003C2D76"/>
    <w:rsid w:val="003C2DAE"/>
    <w:rsid w:val="003C2DC0"/>
    <w:rsid w:val="003C2DCA"/>
    <w:rsid w:val="003C2DE4"/>
    <w:rsid w:val="003C2E44"/>
    <w:rsid w:val="003C2EE2"/>
    <w:rsid w:val="003C2EFD"/>
    <w:rsid w:val="003C2FF7"/>
    <w:rsid w:val="003C3086"/>
    <w:rsid w:val="003C3130"/>
    <w:rsid w:val="003C3269"/>
    <w:rsid w:val="003C32D9"/>
    <w:rsid w:val="003C3328"/>
    <w:rsid w:val="003C3358"/>
    <w:rsid w:val="003C33F1"/>
    <w:rsid w:val="003C3460"/>
    <w:rsid w:val="003C3462"/>
    <w:rsid w:val="003C378B"/>
    <w:rsid w:val="003C379D"/>
    <w:rsid w:val="003C37B5"/>
    <w:rsid w:val="003C385F"/>
    <w:rsid w:val="003C3929"/>
    <w:rsid w:val="003C394F"/>
    <w:rsid w:val="003C39A8"/>
    <w:rsid w:val="003C39DA"/>
    <w:rsid w:val="003C3A55"/>
    <w:rsid w:val="003C3A84"/>
    <w:rsid w:val="003C3ABD"/>
    <w:rsid w:val="003C3AD2"/>
    <w:rsid w:val="003C3BEE"/>
    <w:rsid w:val="003C3C05"/>
    <w:rsid w:val="003C3CF4"/>
    <w:rsid w:val="003C3E9A"/>
    <w:rsid w:val="003C3F35"/>
    <w:rsid w:val="003C401F"/>
    <w:rsid w:val="003C40D2"/>
    <w:rsid w:val="003C4144"/>
    <w:rsid w:val="003C428E"/>
    <w:rsid w:val="003C43BE"/>
    <w:rsid w:val="003C43CA"/>
    <w:rsid w:val="003C43CC"/>
    <w:rsid w:val="003C4437"/>
    <w:rsid w:val="003C446B"/>
    <w:rsid w:val="003C44E5"/>
    <w:rsid w:val="003C455C"/>
    <w:rsid w:val="003C4595"/>
    <w:rsid w:val="003C45EC"/>
    <w:rsid w:val="003C45FD"/>
    <w:rsid w:val="003C469D"/>
    <w:rsid w:val="003C475D"/>
    <w:rsid w:val="003C480D"/>
    <w:rsid w:val="003C4810"/>
    <w:rsid w:val="003C483C"/>
    <w:rsid w:val="003C48CB"/>
    <w:rsid w:val="003C48F2"/>
    <w:rsid w:val="003C4929"/>
    <w:rsid w:val="003C4A11"/>
    <w:rsid w:val="003C4AE3"/>
    <w:rsid w:val="003C4B7B"/>
    <w:rsid w:val="003C4BDA"/>
    <w:rsid w:val="003C4BEF"/>
    <w:rsid w:val="003C4C72"/>
    <w:rsid w:val="003C4CBA"/>
    <w:rsid w:val="003C4CF8"/>
    <w:rsid w:val="003C4D59"/>
    <w:rsid w:val="003C4D67"/>
    <w:rsid w:val="003C4EAE"/>
    <w:rsid w:val="003C4EDE"/>
    <w:rsid w:val="003C4F77"/>
    <w:rsid w:val="003C4FB4"/>
    <w:rsid w:val="003C5014"/>
    <w:rsid w:val="003C5022"/>
    <w:rsid w:val="003C5078"/>
    <w:rsid w:val="003C507A"/>
    <w:rsid w:val="003C50A5"/>
    <w:rsid w:val="003C51E4"/>
    <w:rsid w:val="003C520D"/>
    <w:rsid w:val="003C522C"/>
    <w:rsid w:val="003C52AC"/>
    <w:rsid w:val="003C52C0"/>
    <w:rsid w:val="003C52E0"/>
    <w:rsid w:val="003C530C"/>
    <w:rsid w:val="003C5326"/>
    <w:rsid w:val="003C53AF"/>
    <w:rsid w:val="003C54E2"/>
    <w:rsid w:val="003C5502"/>
    <w:rsid w:val="003C552D"/>
    <w:rsid w:val="003C5567"/>
    <w:rsid w:val="003C55A4"/>
    <w:rsid w:val="003C55EE"/>
    <w:rsid w:val="003C56AE"/>
    <w:rsid w:val="003C576A"/>
    <w:rsid w:val="003C576F"/>
    <w:rsid w:val="003C57BC"/>
    <w:rsid w:val="003C57F2"/>
    <w:rsid w:val="003C587C"/>
    <w:rsid w:val="003C5883"/>
    <w:rsid w:val="003C58DC"/>
    <w:rsid w:val="003C5931"/>
    <w:rsid w:val="003C5939"/>
    <w:rsid w:val="003C5A8F"/>
    <w:rsid w:val="003C5AA4"/>
    <w:rsid w:val="003C5BBB"/>
    <w:rsid w:val="003C5BF4"/>
    <w:rsid w:val="003C5C10"/>
    <w:rsid w:val="003C5C8E"/>
    <w:rsid w:val="003C5CA3"/>
    <w:rsid w:val="003C5D0A"/>
    <w:rsid w:val="003C5D2C"/>
    <w:rsid w:val="003C5D43"/>
    <w:rsid w:val="003C5D5E"/>
    <w:rsid w:val="003C5DCD"/>
    <w:rsid w:val="003C5DEC"/>
    <w:rsid w:val="003C5DED"/>
    <w:rsid w:val="003C5E48"/>
    <w:rsid w:val="003C5F35"/>
    <w:rsid w:val="003C5FF7"/>
    <w:rsid w:val="003C60BE"/>
    <w:rsid w:val="003C6162"/>
    <w:rsid w:val="003C61AF"/>
    <w:rsid w:val="003C6248"/>
    <w:rsid w:val="003C6256"/>
    <w:rsid w:val="003C62B4"/>
    <w:rsid w:val="003C62DB"/>
    <w:rsid w:val="003C631E"/>
    <w:rsid w:val="003C63CD"/>
    <w:rsid w:val="003C63FE"/>
    <w:rsid w:val="003C643D"/>
    <w:rsid w:val="003C644A"/>
    <w:rsid w:val="003C6450"/>
    <w:rsid w:val="003C646E"/>
    <w:rsid w:val="003C64A2"/>
    <w:rsid w:val="003C6513"/>
    <w:rsid w:val="003C651C"/>
    <w:rsid w:val="003C6576"/>
    <w:rsid w:val="003C65F8"/>
    <w:rsid w:val="003C665C"/>
    <w:rsid w:val="003C6667"/>
    <w:rsid w:val="003C668C"/>
    <w:rsid w:val="003C6692"/>
    <w:rsid w:val="003C6733"/>
    <w:rsid w:val="003C6751"/>
    <w:rsid w:val="003C6786"/>
    <w:rsid w:val="003C67C4"/>
    <w:rsid w:val="003C67EA"/>
    <w:rsid w:val="003C6807"/>
    <w:rsid w:val="003C6819"/>
    <w:rsid w:val="003C6866"/>
    <w:rsid w:val="003C6892"/>
    <w:rsid w:val="003C698F"/>
    <w:rsid w:val="003C69BF"/>
    <w:rsid w:val="003C69DA"/>
    <w:rsid w:val="003C6A01"/>
    <w:rsid w:val="003C6A0A"/>
    <w:rsid w:val="003C6A95"/>
    <w:rsid w:val="003C6A97"/>
    <w:rsid w:val="003C6B65"/>
    <w:rsid w:val="003C6BE6"/>
    <w:rsid w:val="003C6C07"/>
    <w:rsid w:val="003C6CC0"/>
    <w:rsid w:val="003C6D4E"/>
    <w:rsid w:val="003C6DA6"/>
    <w:rsid w:val="003C6E1D"/>
    <w:rsid w:val="003C6E32"/>
    <w:rsid w:val="003C6E8A"/>
    <w:rsid w:val="003C6EE1"/>
    <w:rsid w:val="003C6F42"/>
    <w:rsid w:val="003C6F8B"/>
    <w:rsid w:val="003C7063"/>
    <w:rsid w:val="003C70B5"/>
    <w:rsid w:val="003C7172"/>
    <w:rsid w:val="003C7240"/>
    <w:rsid w:val="003C745C"/>
    <w:rsid w:val="003C7491"/>
    <w:rsid w:val="003C7569"/>
    <w:rsid w:val="003C762C"/>
    <w:rsid w:val="003C7681"/>
    <w:rsid w:val="003C777D"/>
    <w:rsid w:val="003C77D2"/>
    <w:rsid w:val="003C7814"/>
    <w:rsid w:val="003C7898"/>
    <w:rsid w:val="003C78FB"/>
    <w:rsid w:val="003C792C"/>
    <w:rsid w:val="003C7975"/>
    <w:rsid w:val="003C7A5D"/>
    <w:rsid w:val="003C7AC4"/>
    <w:rsid w:val="003C7AE5"/>
    <w:rsid w:val="003C7BE8"/>
    <w:rsid w:val="003C7BEE"/>
    <w:rsid w:val="003C7C22"/>
    <w:rsid w:val="003C7D13"/>
    <w:rsid w:val="003C7E00"/>
    <w:rsid w:val="003C7E30"/>
    <w:rsid w:val="003C7E36"/>
    <w:rsid w:val="003C7E38"/>
    <w:rsid w:val="003C7E60"/>
    <w:rsid w:val="003C7E64"/>
    <w:rsid w:val="003C7E86"/>
    <w:rsid w:val="003C7EC0"/>
    <w:rsid w:val="003C7EC8"/>
    <w:rsid w:val="003C7EF6"/>
    <w:rsid w:val="003C7F42"/>
    <w:rsid w:val="003C7FA7"/>
    <w:rsid w:val="003D00BE"/>
    <w:rsid w:val="003D016E"/>
    <w:rsid w:val="003D01B0"/>
    <w:rsid w:val="003D026E"/>
    <w:rsid w:val="003D02B7"/>
    <w:rsid w:val="003D02C5"/>
    <w:rsid w:val="003D0319"/>
    <w:rsid w:val="003D038C"/>
    <w:rsid w:val="003D0441"/>
    <w:rsid w:val="003D0487"/>
    <w:rsid w:val="003D0496"/>
    <w:rsid w:val="003D0597"/>
    <w:rsid w:val="003D05E9"/>
    <w:rsid w:val="003D0724"/>
    <w:rsid w:val="003D07A9"/>
    <w:rsid w:val="003D0819"/>
    <w:rsid w:val="003D08F7"/>
    <w:rsid w:val="003D098F"/>
    <w:rsid w:val="003D09DE"/>
    <w:rsid w:val="003D09EE"/>
    <w:rsid w:val="003D0ABE"/>
    <w:rsid w:val="003D0B16"/>
    <w:rsid w:val="003D0C18"/>
    <w:rsid w:val="003D0C3A"/>
    <w:rsid w:val="003D0C70"/>
    <w:rsid w:val="003D0C73"/>
    <w:rsid w:val="003D0CEA"/>
    <w:rsid w:val="003D0CF1"/>
    <w:rsid w:val="003D0DC3"/>
    <w:rsid w:val="003D0E30"/>
    <w:rsid w:val="003D0E9E"/>
    <w:rsid w:val="003D0F1A"/>
    <w:rsid w:val="003D0F2F"/>
    <w:rsid w:val="003D0F60"/>
    <w:rsid w:val="003D103E"/>
    <w:rsid w:val="003D10F1"/>
    <w:rsid w:val="003D1194"/>
    <w:rsid w:val="003D12A7"/>
    <w:rsid w:val="003D12CD"/>
    <w:rsid w:val="003D12E0"/>
    <w:rsid w:val="003D130C"/>
    <w:rsid w:val="003D138B"/>
    <w:rsid w:val="003D13B3"/>
    <w:rsid w:val="003D14AC"/>
    <w:rsid w:val="003D14E3"/>
    <w:rsid w:val="003D152F"/>
    <w:rsid w:val="003D1592"/>
    <w:rsid w:val="003D15A1"/>
    <w:rsid w:val="003D15CE"/>
    <w:rsid w:val="003D162F"/>
    <w:rsid w:val="003D163F"/>
    <w:rsid w:val="003D1641"/>
    <w:rsid w:val="003D1666"/>
    <w:rsid w:val="003D1670"/>
    <w:rsid w:val="003D16D8"/>
    <w:rsid w:val="003D16E6"/>
    <w:rsid w:val="003D1763"/>
    <w:rsid w:val="003D17B1"/>
    <w:rsid w:val="003D1855"/>
    <w:rsid w:val="003D1977"/>
    <w:rsid w:val="003D19C8"/>
    <w:rsid w:val="003D1AA3"/>
    <w:rsid w:val="003D1B31"/>
    <w:rsid w:val="003D1B52"/>
    <w:rsid w:val="003D1BFA"/>
    <w:rsid w:val="003D1C91"/>
    <w:rsid w:val="003D1D26"/>
    <w:rsid w:val="003D1E0C"/>
    <w:rsid w:val="003D1EBA"/>
    <w:rsid w:val="003D1F11"/>
    <w:rsid w:val="003D200A"/>
    <w:rsid w:val="003D2059"/>
    <w:rsid w:val="003D207C"/>
    <w:rsid w:val="003D20B9"/>
    <w:rsid w:val="003D2127"/>
    <w:rsid w:val="003D21C6"/>
    <w:rsid w:val="003D2210"/>
    <w:rsid w:val="003D221B"/>
    <w:rsid w:val="003D229F"/>
    <w:rsid w:val="003D2312"/>
    <w:rsid w:val="003D23A3"/>
    <w:rsid w:val="003D242F"/>
    <w:rsid w:val="003D24A5"/>
    <w:rsid w:val="003D24A8"/>
    <w:rsid w:val="003D24AF"/>
    <w:rsid w:val="003D2572"/>
    <w:rsid w:val="003D2599"/>
    <w:rsid w:val="003D25A4"/>
    <w:rsid w:val="003D25E7"/>
    <w:rsid w:val="003D26CD"/>
    <w:rsid w:val="003D26DD"/>
    <w:rsid w:val="003D283C"/>
    <w:rsid w:val="003D28BC"/>
    <w:rsid w:val="003D28D6"/>
    <w:rsid w:val="003D28EE"/>
    <w:rsid w:val="003D291B"/>
    <w:rsid w:val="003D291C"/>
    <w:rsid w:val="003D29E8"/>
    <w:rsid w:val="003D2B2F"/>
    <w:rsid w:val="003D2BEE"/>
    <w:rsid w:val="003D2C4A"/>
    <w:rsid w:val="003D2CBD"/>
    <w:rsid w:val="003D2D18"/>
    <w:rsid w:val="003D2E80"/>
    <w:rsid w:val="003D2E98"/>
    <w:rsid w:val="003D2F52"/>
    <w:rsid w:val="003D2F8C"/>
    <w:rsid w:val="003D3013"/>
    <w:rsid w:val="003D30EF"/>
    <w:rsid w:val="003D31B5"/>
    <w:rsid w:val="003D3294"/>
    <w:rsid w:val="003D3393"/>
    <w:rsid w:val="003D339D"/>
    <w:rsid w:val="003D33B8"/>
    <w:rsid w:val="003D3425"/>
    <w:rsid w:val="003D343A"/>
    <w:rsid w:val="003D343E"/>
    <w:rsid w:val="003D3461"/>
    <w:rsid w:val="003D3541"/>
    <w:rsid w:val="003D3547"/>
    <w:rsid w:val="003D3564"/>
    <w:rsid w:val="003D35E6"/>
    <w:rsid w:val="003D36D1"/>
    <w:rsid w:val="003D36FB"/>
    <w:rsid w:val="003D3702"/>
    <w:rsid w:val="003D3750"/>
    <w:rsid w:val="003D3787"/>
    <w:rsid w:val="003D37C6"/>
    <w:rsid w:val="003D37EE"/>
    <w:rsid w:val="003D3899"/>
    <w:rsid w:val="003D38AC"/>
    <w:rsid w:val="003D38D2"/>
    <w:rsid w:val="003D3909"/>
    <w:rsid w:val="003D3978"/>
    <w:rsid w:val="003D39B9"/>
    <w:rsid w:val="003D39C8"/>
    <w:rsid w:val="003D3A65"/>
    <w:rsid w:val="003D3B75"/>
    <w:rsid w:val="003D3BC0"/>
    <w:rsid w:val="003D3BC5"/>
    <w:rsid w:val="003D3C8F"/>
    <w:rsid w:val="003D3D1E"/>
    <w:rsid w:val="003D3D20"/>
    <w:rsid w:val="003D3D90"/>
    <w:rsid w:val="003D3D97"/>
    <w:rsid w:val="003D3F51"/>
    <w:rsid w:val="003D4011"/>
    <w:rsid w:val="003D40C0"/>
    <w:rsid w:val="003D416B"/>
    <w:rsid w:val="003D41E5"/>
    <w:rsid w:val="003D421F"/>
    <w:rsid w:val="003D4462"/>
    <w:rsid w:val="003D448E"/>
    <w:rsid w:val="003D44D6"/>
    <w:rsid w:val="003D44E2"/>
    <w:rsid w:val="003D453D"/>
    <w:rsid w:val="003D4550"/>
    <w:rsid w:val="003D45BA"/>
    <w:rsid w:val="003D4605"/>
    <w:rsid w:val="003D461D"/>
    <w:rsid w:val="003D4630"/>
    <w:rsid w:val="003D4727"/>
    <w:rsid w:val="003D47B7"/>
    <w:rsid w:val="003D486C"/>
    <w:rsid w:val="003D487A"/>
    <w:rsid w:val="003D489B"/>
    <w:rsid w:val="003D4950"/>
    <w:rsid w:val="003D496F"/>
    <w:rsid w:val="003D4983"/>
    <w:rsid w:val="003D4990"/>
    <w:rsid w:val="003D49A8"/>
    <w:rsid w:val="003D4A2B"/>
    <w:rsid w:val="003D4A36"/>
    <w:rsid w:val="003D4A42"/>
    <w:rsid w:val="003D4A95"/>
    <w:rsid w:val="003D4A98"/>
    <w:rsid w:val="003D4A9C"/>
    <w:rsid w:val="003D4B45"/>
    <w:rsid w:val="003D4B66"/>
    <w:rsid w:val="003D4B67"/>
    <w:rsid w:val="003D4BD2"/>
    <w:rsid w:val="003D4C22"/>
    <w:rsid w:val="003D4C30"/>
    <w:rsid w:val="003D4C4A"/>
    <w:rsid w:val="003D4CBA"/>
    <w:rsid w:val="003D4CCE"/>
    <w:rsid w:val="003D4D0A"/>
    <w:rsid w:val="003D4DFB"/>
    <w:rsid w:val="003D4E37"/>
    <w:rsid w:val="003D4E55"/>
    <w:rsid w:val="003D4E5E"/>
    <w:rsid w:val="003D4EEA"/>
    <w:rsid w:val="003D4EF9"/>
    <w:rsid w:val="003D4F01"/>
    <w:rsid w:val="003D4FCC"/>
    <w:rsid w:val="003D5010"/>
    <w:rsid w:val="003D5023"/>
    <w:rsid w:val="003D5154"/>
    <w:rsid w:val="003D5174"/>
    <w:rsid w:val="003D51DC"/>
    <w:rsid w:val="003D530C"/>
    <w:rsid w:val="003D5324"/>
    <w:rsid w:val="003D539B"/>
    <w:rsid w:val="003D53B0"/>
    <w:rsid w:val="003D5544"/>
    <w:rsid w:val="003D5554"/>
    <w:rsid w:val="003D55B3"/>
    <w:rsid w:val="003D566D"/>
    <w:rsid w:val="003D5671"/>
    <w:rsid w:val="003D56A1"/>
    <w:rsid w:val="003D56F4"/>
    <w:rsid w:val="003D571C"/>
    <w:rsid w:val="003D5726"/>
    <w:rsid w:val="003D572C"/>
    <w:rsid w:val="003D574D"/>
    <w:rsid w:val="003D5769"/>
    <w:rsid w:val="003D57A7"/>
    <w:rsid w:val="003D5818"/>
    <w:rsid w:val="003D5856"/>
    <w:rsid w:val="003D59BD"/>
    <w:rsid w:val="003D5A01"/>
    <w:rsid w:val="003D5A5B"/>
    <w:rsid w:val="003D5A5D"/>
    <w:rsid w:val="003D5AB5"/>
    <w:rsid w:val="003D5AB6"/>
    <w:rsid w:val="003D5AC9"/>
    <w:rsid w:val="003D5BF4"/>
    <w:rsid w:val="003D5C15"/>
    <w:rsid w:val="003D5C20"/>
    <w:rsid w:val="003D5C78"/>
    <w:rsid w:val="003D5C82"/>
    <w:rsid w:val="003D5C9A"/>
    <w:rsid w:val="003D5CBA"/>
    <w:rsid w:val="003D5D46"/>
    <w:rsid w:val="003D5D89"/>
    <w:rsid w:val="003D5D8A"/>
    <w:rsid w:val="003D5E0E"/>
    <w:rsid w:val="003D5E46"/>
    <w:rsid w:val="003D5E94"/>
    <w:rsid w:val="003D5EC4"/>
    <w:rsid w:val="003D5EDC"/>
    <w:rsid w:val="003D5F47"/>
    <w:rsid w:val="003D5F68"/>
    <w:rsid w:val="003D5F87"/>
    <w:rsid w:val="003D5FB8"/>
    <w:rsid w:val="003D60DD"/>
    <w:rsid w:val="003D63E0"/>
    <w:rsid w:val="003D63EA"/>
    <w:rsid w:val="003D63F5"/>
    <w:rsid w:val="003D6442"/>
    <w:rsid w:val="003D6486"/>
    <w:rsid w:val="003D6637"/>
    <w:rsid w:val="003D663A"/>
    <w:rsid w:val="003D6648"/>
    <w:rsid w:val="003D66DB"/>
    <w:rsid w:val="003D66E0"/>
    <w:rsid w:val="003D6723"/>
    <w:rsid w:val="003D6739"/>
    <w:rsid w:val="003D688A"/>
    <w:rsid w:val="003D68D0"/>
    <w:rsid w:val="003D690B"/>
    <w:rsid w:val="003D6986"/>
    <w:rsid w:val="003D698B"/>
    <w:rsid w:val="003D6A01"/>
    <w:rsid w:val="003D6A08"/>
    <w:rsid w:val="003D6A36"/>
    <w:rsid w:val="003D6A46"/>
    <w:rsid w:val="003D6A53"/>
    <w:rsid w:val="003D6A6E"/>
    <w:rsid w:val="003D6D01"/>
    <w:rsid w:val="003D6D03"/>
    <w:rsid w:val="003D6D7A"/>
    <w:rsid w:val="003D6DB9"/>
    <w:rsid w:val="003D6DCB"/>
    <w:rsid w:val="003D6E33"/>
    <w:rsid w:val="003D6FF4"/>
    <w:rsid w:val="003D70BF"/>
    <w:rsid w:val="003D70D5"/>
    <w:rsid w:val="003D70F2"/>
    <w:rsid w:val="003D711F"/>
    <w:rsid w:val="003D7145"/>
    <w:rsid w:val="003D7146"/>
    <w:rsid w:val="003D719E"/>
    <w:rsid w:val="003D71C6"/>
    <w:rsid w:val="003D7254"/>
    <w:rsid w:val="003D7268"/>
    <w:rsid w:val="003D7298"/>
    <w:rsid w:val="003D72E4"/>
    <w:rsid w:val="003D73E5"/>
    <w:rsid w:val="003D7427"/>
    <w:rsid w:val="003D743C"/>
    <w:rsid w:val="003D7473"/>
    <w:rsid w:val="003D74B0"/>
    <w:rsid w:val="003D74F3"/>
    <w:rsid w:val="003D754F"/>
    <w:rsid w:val="003D7561"/>
    <w:rsid w:val="003D7577"/>
    <w:rsid w:val="003D763E"/>
    <w:rsid w:val="003D7651"/>
    <w:rsid w:val="003D767C"/>
    <w:rsid w:val="003D76CF"/>
    <w:rsid w:val="003D77D0"/>
    <w:rsid w:val="003D7824"/>
    <w:rsid w:val="003D78A3"/>
    <w:rsid w:val="003D78A8"/>
    <w:rsid w:val="003D7943"/>
    <w:rsid w:val="003D7946"/>
    <w:rsid w:val="003D7949"/>
    <w:rsid w:val="003D795A"/>
    <w:rsid w:val="003D7977"/>
    <w:rsid w:val="003D79D0"/>
    <w:rsid w:val="003D7A09"/>
    <w:rsid w:val="003D7A62"/>
    <w:rsid w:val="003D7A8F"/>
    <w:rsid w:val="003D7AA4"/>
    <w:rsid w:val="003D7B6B"/>
    <w:rsid w:val="003D7BD1"/>
    <w:rsid w:val="003D7C29"/>
    <w:rsid w:val="003D7CD7"/>
    <w:rsid w:val="003D7CE3"/>
    <w:rsid w:val="003D7D4E"/>
    <w:rsid w:val="003D7D5C"/>
    <w:rsid w:val="003D7DC5"/>
    <w:rsid w:val="003D7DC9"/>
    <w:rsid w:val="003D7DF4"/>
    <w:rsid w:val="003D7EB0"/>
    <w:rsid w:val="003D7ED6"/>
    <w:rsid w:val="003D7F47"/>
    <w:rsid w:val="003D7F68"/>
    <w:rsid w:val="003E003B"/>
    <w:rsid w:val="003E017A"/>
    <w:rsid w:val="003E0279"/>
    <w:rsid w:val="003E0340"/>
    <w:rsid w:val="003E0345"/>
    <w:rsid w:val="003E0382"/>
    <w:rsid w:val="003E0388"/>
    <w:rsid w:val="003E043E"/>
    <w:rsid w:val="003E0615"/>
    <w:rsid w:val="003E076E"/>
    <w:rsid w:val="003E0771"/>
    <w:rsid w:val="003E07BA"/>
    <w:rsid w:val="003E0800"/>
    <w:rsid w:val="003E082E"/>
    <w:rsid w:val="003E0888"/>
    <w:rsid w:val="003E0895"/>
    <w:rsid w:val="003E0939"/>
    <w:rsid w:val="003E0968"/>
    <w:rsid w:val="003E09E9"/>
    <w:rsid w:val="003E09F9"/>
    <w:rsid w:val="003E0AC8"/>
    <w:rsid w:val="003E0B17"/>
    <w:rsid w:val="003E0BC0"/>
    <w:rsid w:val="003E0BFE"/>
    <w:rsid w:val="003E0CEF"/>
    <w:rsid w:val="003E0CF1"/>
    <w:rsid w:val="003E0D78"/>
    <w:rsid w:val="003E0E7D"/>
    <w:rsid w:val="003E0EEB"/>
    <w:rsid w:val="003E0EFC"/>
    <w:rsid w:val="003E0F12"/>
    <w:rsid w:val="003E0FB2"/>
    <w:rsid w:val="003E0FEB"/>
    <w:rsid w:val="003E100A"/>
    <w:rsid w:val="003E102F"/>
    <w:rsid w:val="003E10E3"/>
    <w:rsid w:val="003E1124"/>
    <w:rsid w:val="003E11A5"/>
    <w:rsid w:val="003E11DF"/>
    <w:rsid w:val="003E121D"/>
    <w:rsid w:val="003E1375"/>
    <w:rsid w:val="003E1399"/>
    <w:rsid w:val="003E13C2"/>
    <w:rsid w:val="003E13CB"/>
    <w:rsid w:val="003E13F2"/>
    <w:rsid w:val="003E141F"/>
    <w:rsid w:val="003E1480"/>
    <w:rsid w:val="003E1535"/>
    <w:rsid w:val="003E1585"/>
    <w:rsid w:val="003E15AB"/>
    <w:rsid w:val="003E15F2"/>
    <w:rsid w:val="003E1622"/>
    <w:rsid w:val="003E1662"/>
    <w:rsid w:val="003E173D"/>
    <w:rsid w:val="003E18AF"/>
    <w:rsid w:val="003E18BB"/>
    <w:rsid w:val="003E18C9"/>
    <w:rsid w:val="003E1949"/>
    <w:rsid w:val="003E1995"/>
    <w:rsid w:val="003E19B3"/>
    <w:rsid w:val="003E19CA"/>
    <w:rsid w:val="003E1A1A"/>
    <w:rsid w:val="003E1A1C"/>
    <w:rsid w:val="003E1A29"/>
    <w:rsid w:val="003E1A97"/>
    <w:rsid w:val="003E1A99"/>
    <w:rsid w:val="003E1B08"/>
    <w:rsid w:val="003E1B0E"/>
    <w:rsid w:val="003E1B64"/>
    <w:rsid w:val="003E1B9C"/>
    <w:rsid w:val="003E1BCB"/>
    <w:rsid w:val="003E1BEB"/>
    <w:rsid w:val="003E1C3D"/>
    <w:rsid w:val="003E1C6B"/>
    <w:rsid w:val="003E1CCD"/>
    <w:rsid w:val="003E1CF2"/>
    <w:rsid w:val="003E1D33"/>
    <w:rsid w:val="003E1D56"/>
    <w:rsid w:val="003E1DF0"/>
    <w:rsid w:val="003E1E9B"/>
    <w:rsid w:val="003E1F08"/>
    <w:rsid w:val="003E1F0D"/>
    <w:rsid w:val="003E1F50"/>
    <w:rsid w:val="003E1F54"/>
    <w:rsid w:val="003E20C4"/>
    <w:rsid w:val="003E2184"/>
    <w:rsid w:val="003E219F"/>
    <w:rsid w:val="003E21B2"/>
    <w:rsid w:val="003E21ED"/>
    <w:rsid w:val="003E220E"/>
    <w:rsid w:val="003E222B"/>
    <w:rsid w:val="003E22E5"/>
    <w:rsid w:val="003E22FA"/>
    <w:rsid w:val="003E2370"/>
    <w:rsid w:val="003E23E2"/>
    <w:rsid w:val="003E2411"/>
    <w:rsid w:val="003E2422"/>
    <w:rsid w:val="003E252F"/>
    <w:rsid w:val="003E256B"/>
    <w:rsid w:val="003E2585"/>
    <w:rsid w:val="003E25E5"/>
    <w:rsid w:val="003E266F"/>
    <w:rsid w:val="003E26A4"/>
    <w:rsid w:val="003E26DC"/>
    <w:rsid w:val="003E270F"/>
    <w:rsid w:val="003E2740"/>
    <w:rsid w:val="003E2834"/>
    <w:rsid w:val="003E2895"/>
    <w:rsid w:val="003E2949"/>
    <w:rsid w:val="003E2A6F"/>
    <w:rsid w:val="003E2B0C"/>
    <w:rsid w:val="003E2B23"/>
    <w:rsid w:val="003E2BB9"/>
    <w:rsid w:val="003E2BCD"/>
    <w:rsid w:val="003E2C0D"/>
    <w:rsid w:val="003E2D59"/>
    <w:rsid w:val="003E2D92"/>
    <w:rsid w:val="003E2DDA"/>
    <w:rsid w:val="003E2DE5"/>
    <w:rsid w:val="003E2EBD"/>
    <w:rsid w:val="003E2EC9"/>
    <w:rsid w:val="003E2ED3"/>
    <w:rsid w:val="003E2EFA"/>
    <w:rsid w:val="003E2F06"/>
    <w:rsid w:val="003E2F13"/>
    <w:rsid w:val="003E2F50"/>
    <w:rsid w:val="003E2F57"/>
    <w:rsid w:val="003E2F64"/>
    <w:rsid w:val="003E2F8E"/>
    <w:rsid w:val="003E2FBE"/>
    <w:rsid w:val="003E312A"/>
    <w:rsid w:val="003E316D"/>
    <w:rsid w:val="003E3221"/>
    <w:rsid w:val="003E3264"/>
    <w:rsid w:val="003E3274"/>
    <w:rsid w:val="003E32D8"/>
    <w:rsid w:val="003E335B"/>
    <w:rsid w:val="003E337B"/>
    <w:rsid w:val="003E339D"/>
    <w:rsid w:val="003E33CB"/>
    <w:rsid w:val="003E33F9"/>
    <w:rsid w:val="003E3420"/>
    <w:rsid w:val="003E34F9"/>
    <w:rsid w:val="003E35E1"/>
    <w:rsid w:val="003E3653"/>
    <w:rsid w:val="003E36A0"/>
    <w:rsid w:val="003E36C3"/>
    <w:rsid w:val="003E3703"/>
    <w:rsid w:val="003E371C"/>
    <w:rsid w:val="003E37C1"/>
    <w:rsid w:val="003E37E4"/>
    <w:rsid w:val="003E37F4"/>
    <w:rsid w:val="003E3993"/>
    <w:rsid w:val="003E3AE4"/>
    <w:rsid w:val="003E3C14"/>
    <w:rsid w:val="003E3C66"/>
    <w:rsid w:val="003E3CE1"/>
    <w:rsid w:val="003E3CF7"/>
    <w:rsid w:val="003E3E11"/>
    <w:rsid w:val="003E3E3A"/>
    <w:rsid w:val="003E3E6D"/>
    <w:rsid w:val="003E3ED9"/>
    <w:rsid w:val="003E3F16"/>
    <w:rsid w:val="003E3F21"/>
    <w:rsid w:val="003E3FA8"/>
    <w:rsid w:val="003E3FB8"/>
    <w:rsid w:val="003E4056"/>
    <w:rsid w:val="003E405B"/>
    <w:rsid w:val="003E4086"/>
    <w:rsid w:val="003E40BF"/>
    <w:rsid w:val="003E414C"/>
    <w:rsid w:val="003E4150"/>
    <w:rsid w:val="003E4172"/>
    <w:rsid w:val="003E41E6"/>
    <w:rsid w:val="003E4238"/>
    <w:rsid w:val="003E4244"/>
    <w:rsid w:val="003E42BB"/>
    <w:rsid w:val="003E42C1"/>
    <w:rsid w:val="003E4306"/>
    <w:rsid w:val="003E433D"/>
    <w:rsid w:val="003E437C"/>
    <w:rsid w:val="003E437D"/>
    <w:rsid w:val="003E4471"/>
    <w:rsid w:val="003E44A2"/>
    <w:rsid w:val="003E4567"/>
    <w:rsid w:val="003E4574"/>
    <w:rsid w:val="003E460A"/>
    <w:rsid w:val="003E463E"/>
    <w:rsid w:val="003E472B"/>
    <w:rsid w:val="003E4735"/>
    <w:rsid w:val="003E4736"/>
    <w:rsid w:val="003E47E4"/>
    <w:rsid w:val="003E47EC"/>
    <w:rsid w:val="003E48AC"/>
    <w:rsid w:val="003E48B7"/>
    <w:rsid w:val="003E48BF"/>
    <w:rsid w:val="003E4904"/>
    <w:rsid w:val="003E4930"/>
    <w:rsid w:val="003E4A0D"/>
    <w:rsid w:val="003E4B1C"/>
    <w:rsid w:val="003E4B95"/>
    <w:rsid w:val="003E4BA4"/>
    <w:rsid w:val="003E4BE6"/>
    <w:rsid w:val="003E4C18"/>
    <w:rsid w:val="003E4D7D"/>
    <w:rsid w:val="003E4D80"/>
    <w:rsid w:val="003E4D97"/>
    <w:rsid w:val="003E4D9A"/>
    <w:rsid w:val="003E4DC3"/>
    <w:rsid w:val="003E4E06"/>
    <w:rsid w:val="003E4E49"/>
    <w:rsid w:val="003E4EFC"/>
    <w:rsid w:val="003E4F5A"/>
    <w:rsid w:val="003E4F79"/>
    <w:rsid w:val="003E4FC8"/>
    <w:rsid w:val="003E5030"/>
    <w:rsid w:val="003E5225"/>
    <w:rsid w:val="003E527A"/>
    <w:rsid w:val="003E5297"/>
    <w:rsid w:val="003E529C"/>
    <w:rsid w:val="003E52E7"/>
    <w:rsid w:val="003E52F0"/>
    <w:rsid w:val="003E52FF"/>
    <w:rsid w:val="003E5409"/>
    <w:rsid w:val="003E5468"/>
    <w:rsid w:val="003E5578"/>
    <w:rsid w:val="003E55D8"/>
    <w:rsid w:val="003E569A"/>
    <w:rsid w:val="003E56CF"/>
    <w:rsid w:val="003E57A3"/>
    <w:rsid w:val="003E584A"/>
    <w:rsid w:val="003E5865"/>
    <w:rsid w:val="003E589A"/>
    <w:rsid w:val="003E5910"/>
    <w:rsid w:val="003E5987"/>
    <w:rsid w:val="003E5A11"/>
    <w:rsid w:val="003E5A65"/>
    <w:rsid w:val="003E5B0F"/>
    <w:rsid w:val="003E5CB8"/>
    <w:rsid w:val="003E5D2C"/>
    <w:rsid w:val="003E5D41"/>
    <w:rsid w:val="003E5D6D"/>
    <w:rsid w:val="003E5DBC"/>
    <w:rsid w:val="003E5E68"/>
    <w:rsid w:val="003E5E91"/>
    <w:rsid w:val="003E5EA7"/>
    <w:rsid w:val="003E5EDF"/>
    <w:rsid w:val="003E5EE0"/>
    <w:rsid w:val="003E5F00"/>
    <w:rsid w:val="003E5FED"/>
    <w:rsid w:val="003E6055"/>
    <w:rsid w:val="003E606B"/>
    <w:rsid w:val="003E60C7"/>
    <w:rsid w:val="003E60DF"/>
    <w:rsid w:val="003E60FB"/>
    <w:rsid w:val="003E611E"/>
    <w:rsid w:val="003E620F"/>
    <w:rsid w:val="003E62B0"/>
    <w:rsid w:val="003E6307"/>
    <w:rsid w:val="003E63A0"/>
    <w:rsid w:val="003E63FD"/>
    <w:rsid w:val="003E6422"/>
    <w:rsid w:val="003E6479"/>
    <w:rsid w:val="003E66B4"/>
    <w:rsid w:val="003E678E"/>
    <w:rsid w:val="003E6797"/>
    <w:rsid w:val="003E6872"/>
    <w:rsid w:val="003E68B7"/>
    <w:rsid w:val="003E68B9"/>
    <w:rsid w:val="003E68DD"/>
    <w:rsid w:val="003E68F1"/>
    <w:rsid w:val="003E68F4"/>
    <w:rsid w:val="003E694E"/>
    <w:rsid w:val="003E69C9"/>
    <w:rsid w:val="003E6A34"/>
    <w:rsid w:val="003E6A64"/>
    <w:rsid w:val="003E6A92"/>
    <w:rsid w:val="003E6B2D"/>
    <w:rsid w:val="003E6B4A"/>
    <w:rsid w:val="003E6BB8"/>
    <w:rsid w:val="003E6C32"/>
    <w:rsid w:val="003E6C76"/>
    <w:rsid w:val="003E6C9A"/>
    <w:rsid w:val="003E6CB1"/>
    <w:rsid w:val="003E6CEA"/>
    <w:rsid w:val="003E6D13"/>
    <w:rsid w:val="003E6DC4"/>
    <w:rsid w:val="003E6DC5"/>
    <w:rsid w:val="003E6E8C"/>
    <w:rsid w:val="003E6EBD"/>
    <w:rsid w:val="003E6EE1"/>
    <w:rsid w:val="003E6F29"/>
    <w:rsid w:val="003E6FB0"/>
    <w:rsid w:val="003E6FF7"/>
    <w:rsid w:val="003E701B"/>
    <w:rsid w:val="003E7063"/>
    <w:rsid w:val="003E7092"/>
    <w:rsid w:val="003E7100"/>
    <w:rsid w:val="003E7188"/>
    <w:rsid w:val="003E718E"/>
    <w:rsid w:val="003E7246"/>
    <w:rsid w:val="003E7272"/>
    <w:rsid w:val="003E727D"/>
    <w:rsid w:val="003E727E"/>
    <w:rsid w:val="003E72B7"/>
    <w:rsid w:val="003E72DD"/>
    <w:rsid w:val="003E73B5"/>
    <w:rsid w:val="003E7458"/>
    <w:rsid w:val="003E7634"/>
    <w:rsid w:val="003E7655"/>
    <w:rsid w:val="003E76A1"/>
    <w:rsid w:val="003E7765"/>
    <w:rsid w:val="003E77D0"/>
    <w:rsid w:val="003E77D1"/>
    <w:rsid w:val="003E780F"/>
    <w:rsid w:val="003E7886"/>
    <w:rsid w:val="003E78E4"/>
    <w:rsid w:val="003E79AE"/>
    <w:rsid w:val="003E79B4"/>
    <w:rsid w:val="003E7A31"/>
    <w:rsid w:val="003E7A64"/>
    <w:rsid w:val="003E7B5B"/>
    <w:rsid w:val="003E7B9E"/>
    <w:rsid w:val="003E7C10"/>
    <w:rsid w:val="003E7C11"/>
    <w:rsid w:val="003E7C54"/>
    <w:rsid w:val="003E7CBE"/>
    <w:rsid w:val="003E7CCC"/>
    <w:rsid w:val="003E7CEA"/>
    <w:rsid w:val="003E7D61"/>
    <w:rsid w:val="003E7D79"/>
    <w:rsid w:val="003E7DE0"/>
    <w:rsid w:val="003E7E2E"/>
    <w:rsid w:val="003E7F6C"/>
    <w:rsid w:val="003E7F7B"/>
    <w:rsid w:val="003E7FC0"/>
    <w:rsid w:val="003E7FCF"/>
    <w:rsid w:val="003F0020"/>
    <w:rsid w:val="003F006A"/>
    <w:rsid w:val="003F00E4"/>
    <w:rsid w:val="003F0199"/>
    <w:rsid w:val="003F0214"/>
    <w:rsid w:val="003F0256"/>
    <w:rsid w:val="003F0294"/>
    <w:rsid w:val="003F02CE"/>
    <w:rsid w:val="003F0360"/>
    <w:rsid w:val="003F038B"/>
    <w:rsid w:val="003F03DE"/>
    <w:rsid w:val="003F03F4"/>
    <w:rsid w:val="003F0400"/>
    <w:rsid w:val="003F0409"/>
    <w:rsid w:val="003F044F"/>
    <w:rsid w:val="003F04F3"/>
    <w:rsid w:val="003F0520"/>
    <w:rsid w:val="003F06D6"/>
    <w:rsid w:val="003F06F8"/>
    <w:rsid w:val="003F0714"/>
    <w:rsid w:val="003F0874"/>
    <w:rsid w:val="003F090B"/>
    <w:rsid w:val="003F096F"/>
    <w:rsid w:val="003F09B9"/>
    <w:rsid w:val="003F09E2"/>
    <w:rsid w:val="003F09F4"/>
    <w:rsid w:val="003F0A45"/>
    <w:rsid w:val="003F0A69"/>
    <w:rsid w:val="003F0AC4"/>
    <w:rsid w:val="003F0AEE"/>
    <w:rsid w:val="003F0B6C"/>
    <w:rsid w:val="003F0BB8"/>
    <w:rsid w:val="003F0C85"/>
    <w:rsid w:val="003F0E26"/>
    <w:rsid w:val="003F0EF5"/>
    <w:rsid w:val="003F0EFA"/>
    <w:rsid w:val="003F0F29"/>
    <w:rsid w:val="003F0F58"/>
    <w:rsid w:val="003F0FE4"/>
    <w:rsid w:val="003F10B9"/>
    <w:rsid w:val="003F10E1"/>
    <w:rsid w:val="003F1111"/>
    <w:rsid w:val="003F1117"/>
    <w:rsid w:val="003F116E"/>
    <w:rsid w:val="003F11E6"/>
    <w:rsid w:val="003F1257"/>
    <w:rsid w:val="003F128B"/>
    <w:rsid w:val="003F135F"/>
    <w:rsid w:val="003F1445"/>
    <w:rsid w:val="003F1519"/>
    <w:rsid w:val="003F15B2"/>
    <w:rsid w:val="003F15BF"/>
    <w:rsid w:val="003F15F2"/>
    <w:rsid w:val="003F1671"/>
    <w:rsid w:val="003F16E4"/>
    <w:rsid w:val="003F1748"/>
    <w:rsid w:val="003F1812"/>
    <w:rsid w:val="003F1834"/>
    <w:rsid w:val="003F187C"/>
    <w:rsid w:val="003F1906"/>
    <w:rsid w:val="003F191F"/>
    <w:rsid w:val="003F195D"/>
    <w:rsid w:val="003F1981"/>
    <w:rsid w:val="003F19AF"/>
    <w:rsid w:val="003F1A88"/>
    <w:rsid w:val="003F1AF2"/>
    <w:rsid w:val="003F1B56"/>
    <w:rsid w:val="003F1BE7"/>
    <w:rsid w:val="003F1C27"/>
    <w:rsid w:val="003F1C5E"/>
    <w:rsid w:val="003F1C6A"/>
    <w:rsid w:val="003F1C79"/>
    <w:rsid w:val="003F1C9C"/>
    <w:rsid w:val="003F1CC6"/>
    <w:rsid w:val="003F1D55"/>
    <w:rsid w:val="003F1DD7"/>
    <w:rsid w:val="003F1DF3"/>
    <w:rsid w:val="003F1E1C"/>
    <w:rsid w:val="003F1E4B"/>
    <w:rsid w:val="003F1EBB"/>
    <w:rsid w:val="003F1EFC"/>
    <w:rsid w:val="003F1F82"/>
    <w:rsid w:val="003F2077"/>
    <w:rsid w:val="003F20D1"/>
    <w:rsid w:val="003F212E"/>
    <w:rsid w:val="003F21B0"/>
    <w:rsid w:val="003F2210"/>
    <w:rsid w:val="003F2220"/>
    <w:rsid w:val="003F224B"/>
    <w:rsid w:val="003F2252"/>
    <w:rsid w:val="003F22E7"/>
    <w:rsid w:val="003F22EB"/>
    <w:rsid w:val="003F232F"/>
    <w:rsid w:val="003F2331"/>
    <w:rsid w:val="003F239C"/>
    <w:rsid w:val="003F2495"/>
    <w:rsid w:val="003F24F4"/>
    <w:rsid w:val="003F25B0"/>
    <w:rsid w:val="003F25F8"/>
    <w:rsid w:val="003F264E"/>
    <w:rsid w:val="003F275B"/>
    <w:rsid w:val="003F277D"/>
    <w:rsid w:val="003F2808"/>
    <w:rsid w:val="003F2984"/>
    <w:rsid w:val="003F29F6"/>
    <w:rsid w:val="003F2AD8"/>
    <w:rsid w:val="003F2B16"/>
    <w:rsid w:val="003F2B48"/>
    <w:rsid w:val="003F2B83"/>
    <w:rsid w:val="003F2C14"/>
    <w:rsid w:val="003F2C1D"/>
    <w:rsid w:val="003F2CC3"/>
    <w:rsid w:val="003F2CF0"/>
    <w:rsid w:val="003F2D28"/>
    <w:rsid w:val="003F2E42"/>
    <w:rsid w:val="003F2E7A"/>
    <w:rsid w:val="003F2E93"/>
    <w:rsid w:val="003F2EAD"/>
    <w:rsid w:val="003F2F22"/>
    <w:rsid w:val="003F2F45"/>
    <w:rsid w:val="003F2FBB"/>
    <w:rsid w:val="003F3015"/>
    <w:rsid w:val="003F3063"/>
    <w:rsid w:val="003F309B"/>
    <w:rsid w:val="003F30C0"/>
    <w:rsid w:val="003F3119"/>
    <w:rsid w:val="003F315D"/>
    <w:rsid w:val="003F31C1"/>
    <w:rsid w:val="003F3282"/>
    <w:rsid w:val="003F3391"/>
    <w:rsid w:val="003F33A9"/>
    <w:rsid w:val="003F341D"/>
    <w:rsid w:val="003F3440"/>
    <w:rsid w:val="003F3447"/>
    <w:rsid w:val="003F346A"/>
    <w:rsid w:val="003F347D"/>
    <w:rsid w:val="003F3503"/>
    <w:rsid w:val="003F3573"/>
    <w:rsid w:val="003F3583"/>
    <w:rsid w:val="003F35C0"/>
    <w:rsid w:val="003F38DD"/>
    <w:rsid w:val="003F3963"/>
    <w:rsid w:val="003F39AB"/>
    <w:rsid w:val="003F3A46"/>
    <w:rsid w:val="003F3A79"/>
    <w:rsid w:val="003F3C07"/>
    <w:rsid w:val="003F3C42"/>
    <w:rsid w:val="003F3CAB"/>
    <w:rsid w:val="003F3CDC"/>
    <w:rsid w:val="003F3D08"/>
    <w:rsid w:val="003F3DD6"/>
    <w:rsid w:val="003F3E8E"/>
    <w:rsid w:val="003F3F15"/>
    <w:rsid w:val="003F3F86"/>
    <w:rsid w:val="003F40E1"/>
    <w:rsid w:val="003F41D9"/>
    <w:rsid w:val="003F426F"/>
    <w:rsid w:val="003F4311"/>
    <w:rsid w:val="003F44DF"/>
    <w:rsid w:val="003F4501"/>
    <w:rsid w:val="003F4509"/>
    <w:rsid w:val="003F45C1"/>
    <w:rsid w:val="003F47D2"/>
    <w:rsid w:val="003F4815"/>
    <w:rsid w:val="003F496E"/>
    <w:rsid w:val="003F498A"/>
    <w:rsid w:val="003F49B3"/>
    <w:rsid w:val="003F4A9C"/>
    <w:rsid w:val="003F4AA0"/>
    <w:rsid w:val="003F4B0E"/>
    <w:rsid w:val="003F4BF6"/>
    <w:rsid w:val="003F4C0E"/>
    <w:rsid w:val="003F4C2A"/>
    <w:rsid w:val="003F4CEC"/>
    <w:rsid w:val="003F4D0F"/>
    <w:rsid w:val="003F4DBD"/>
    <w:rsid w:val="003F4DC5"/>
    <w:rsid w:val="003F4DFE"/>
    <w:rsid w:val="003F4E51"/>
    <w:rsid w:val="003F4E53"/>
    <w:rsid w:val="003F4E9E"/>
    <w:rsid w:val="003F4F1E"/>
    <w:rsid w:val="003F511A"/>
    <w:rsid w:val="003F516E"/>
    <w:rsid w:val="003F5172"/>
    <w:rsid w:val="003F5181"/>
    <w:rsid w:val="003F531D"/>
    <w:rsid w:val="003F53EB"/>
    <w:rsid w:val="003F54A4"/>
    <w:rsid w:val="003F54B3"/>
    <w:rsid w:val="003F5518"/>
    <w:rsid w:val="003F564D"/>
    <w:rsid w:val="003F56BD"/>
    <w:rsid w:val="003F5798"/>
    <w:rsid w:val="003F57A5"/>
    <w:rsid w:val="003F58B8"/>
    <w:rsid w:val="003F58BA"/>
    <w:rsid w:val="003F5996"/>
    <w:rsid w:val="003F59D6"/>
    <w:rsid w:val="003F5A09"/>
    <w:rsid w:val="003F5A97"/>
    <w:rsid w:val="003F5AFF"/>
    <w:rsid w:val="003F5B02"/>
    <w:rsid w:val="003F5B09"/>
    <w:rsid w:val="003F5B36"/>
    <w:rsid w:val="003F5D09"/>
    <w:rsid w:val="003F5D18"/>
    <w:rsid w:val="003F5DFB"/>
    <w:rsid w:val="003F5E70"/>
    <w:rsid w:val="003F5E8F"/>
    <w:rsid w:val="003F5F38"/>
    <w:rsid w:val="003F5FA6"/>
    <w:rsid w:val="003F600A"/>
    <w:rsid w:val="003F600C"/>
    <w:rsid w:val="003F601E"/>
    <w:rsid w:val="003F609F"/>
    <w:rsid w:val="003F610E"/>
    <w:rsid w:val="003F6126"/>
    <w:rsid w:val="003F618D"/>
    <w:rsid w:val="003F61C0"/>
    <w:rsid w:val="003F6252"/>
    <w:rsid w:val="003F631E"/>
    <w:rsid w:val="003F636D"/>
    <w:rsid w:val="003F638F"/>
    <w:rsid w:val="003F642E"/>
    <w:rsid w:val="003F6529"/>
    <w:rsid w:val="003F653A"/>
    <w:rsid w:val="003F658F"/>
    <w:rsid w:val="003F65BC"/>
    <w:rsid w:val="003F6655"/>
    <w:rsid w:val="003F6677"/>
    <w:rsid w:val="003F66A4"/>
    <w:rsid w:val="003F66D3"/>
    <w:rsid w:val="003F66DB"/>
    <w:rsid w:val="003F66FE"/>
    <w:rsid w:val="003F6705"/>
    <w:rsid w:val="003F6766"/>
    <w:rsid w:val="003F67C2"/>
    <w:rsid w:val="003F67CF"/>
    <w:rsid w:val="003F6802"/>
    <w:rsid w:val="003F6852"/>
    <w:rsid w:val="003F686D"/>
    <w:rsid w:val="003F6871"/>
    <w:rsid w:val="003F6883"/>
    <w:rsid w:val="003F68AF"/>
    <w:rsid w:val="003F68BB"/>
    <w:rsid w:val="003F68C1"/>
    <w:rsid w:val="003F692D"/>
    <w:rsid w:val="003F6931"/>
    <w:rsid w:val="003F6958"/>
    <w:rsid w:val="003F6964"/>
    <w:rsid w:val="003F69F4"/>
    <w:rsid w:val="003F6A0F"/>
    <w:rsid w:val="003F6A13"/>
    <w:rsid w:val="003F6A2F"/>
    <w:rsid w:val="003F6A57"/>
    <w:rsid w:val="003F6B5F"/>
    <w:rsid w:val="003F6BED"/>
    <w:rsid w:val="003F6C03"/>
    <w:rsid w:val="003F6C28"/>
    <w:rsid w:val="003F6CB7"/>
    <w:rsid w:val="003F6CBC"/>
    <w:rsid w:val="003F6CD5"/>
    <w:rsid w:val="003F6D67"/>
    <w:rsid w:val="003F6D84"/>
    <w:rsid w:val="003F6D94"/>
    <w:rsid w:val="003F6DAB"/>
    <w:rsid w:val="003F6DB9"/>
    <w:rsid w:val="003F6E44"/>
    <w:rsid w:val="003F6E71"/>
    <w:rsid w:val="003F6EEF"/>
    <w:rsid w:val="003F6F0E"/>
    <w:rsid w:val="003F6F1A"/>
    <w:rsid w:val="003F6F8E"/>
    <w:rsid w:val="003F6FA8"/>
    <w:rsid w:val="003F6FE5"/>
    <w:rsid w:val="003F706A"/>
    <w:rsid w:val="003F7093"/>
    <w:rsid w:val="003F70E3"/>
    <w:rsid w:val="003F711C"/>
    <w:rsid w:val="003F7250"/>
    <w:rsid w:val="003F7382"/>
    <w:rsid w:val="003F7454"/>
    <w:rsid w:val="003F7498"/>
    <w:rsid w:val="003F74FC"/>
    <w:rsid w:val="003F7504"/>
    <w:rsid w:val="003F75EE"/>
    <w:rsid w:val="003F7629"/>
    <w:rsid w:val="003F7665"/>
    <w:rsid w:val="003F7694"/>
    <w:rsid w:val="003F772D"/>
    <w:rsid w:val="003F7772"/>
    <w:rsid w:val="003F77B6"/>
    <w:rsid w:val="003F787E"/>
    <w:rsid w:val="003F78A9"/>
    <w:rsid w:val="003F78B6"/>
    <w:rsid w:val="003F7996"/>
    <w:rsid w:val="003F7A2D"/>
    <w:rsid w:val="003F7A60"/>
    <w:rsid w:val="003F7B79"/>
    <w:rsid w:val="003F7B85"/>
    <w:rsid w:val="003F7C3F"/>
    <w:rsid w:val="003F7C95"/>
    <w:rsid w:val="003F7CF7"/>
    <w:rsid w:val="003F7D09"/>
    <w:rsid w:val="003F7D69"/>
    <w:rsid w:val="003F7DAF"/>
    <w:rsid w:val="003F7E25"/>
    <w:rsid w:val="003F7E2F"/>
    <w:rsid w:val="003F7E66"/>
    <w:rsid w:val="003F7E93"/>
    <w:rsid w:val="003F7EDA"/>
    <w:rsid w:val="003F7EE6"/>
    <w:rsid w:val="003F7F52"/>
    <w:rsid w:val="003F7F8B"/>
    <w:rsid w:val="003F7F90"/>
    <w:rsid w:val="003F7FCB"/>
    <w:rsid w:val="00400013"/>
    <w:rsid w:val="00400078"/>
    <w:rsid w:val="004000E7"/>
    <w:rsid w:val="0040022D"/>
    <w:rsid w:val="004002D5"/>
    <w:rsid w:val="00400332"/>
    <w:rsid w:val="00400353"/>
    <w:rsid w:val="0040037E"/>
    <w:rsid w:val="004004A6"/>
    <w:rsid w:val="004004C7"/>
    <w:rsid w:val="004004C8"/>
    <w:rsid w:val="004005F7"/>
    <w:rsid w:val="0040060F"/>
    <w:rsid w:val="004006AC"/>
    <w:rsid w:val="004006BD"/>
    <w:rsid w:val="00400772"/>
    <w:rsid w:val="004007A0"/>
    <w:rsid w:val="00400896"/>
    <w:rsid w:val="00400905"/>
    <w:rsid w:val="00400930"/>
    <w:rsid w:val="004009B2"/>
    <w:rsid w:val="00400A68"/>
    <w:rsid w:val="00400A7C"/>
    <w:rsid w:val="00400A8C"/>
    <w:rsid w:val="00400AC8"/>
    <w:rsid w:val="00400BAB"/>
    <w:rsid w:val="00400BD8"/>
    <w:rsid w:val="00400CF6"/>
    <w:rsid w:val="00400D69"/>
    <w:rsid w:val="00400DF0"/>
    <w:rsid w:val="00400E14"/>
    <w:rsid w:val="00400E6C"/>
    <w:rsid w:val="00400F45"/>
    <w:rsid w:val="00400F4B"/>
    <w:rsid w:val="00400F55"/>
    <w:rsid w:val="00400F7A"/>
    <w:rsid w:val="00401019"/>
    <w:rsid w:val="00401025"/>
    <w:rsid w:val="00401040"/>
    <w:rsid w:val="004010A3"/>
    <w:rsid w:val="004010F8"/>
    <w:rsid w:val="00401244"/>
    <w:rsid w:val="00401287"/>
    <w:rsid w:val="004012AF"/>
    <w:rsid w:val="0040134E"/>
    <w:rsid w:val="004013DE"/>
    <w:rsid w:val="004014D9"/>
    <w:rsid w:val="00401554"/>
    <w:rsid w:val="004015D6"/>
    <w:rsid w:val="00401775"/>
    <w:rsid w:val="00401828"/>
    <w:rsid w:val="00401851"/>
    <w:rsid w:val="00401884"/>
    <w:rsid w:val="004018C6"/>
    <w:rsid w:val="004018DD"/>
    <w:rsid w:val="0040193C"/>
    <w:rsid w:val="004019A6"/>
    <w:rsid w:val="004019DB"/>
    <w:rsid w:val="00401A2B"/>
    <w:rsid w:val="00401A61"/>
    <w:rsid w:val="00401A9D"/>
    <w:rsid w:val="00401BB9"/>
    <w:rsid w:val="00401C1A"/>
    <w:rsid w:val="00401C24"/>
    <w:rsid w:val="00401C79"/>
    <w:rsid w:val="00401CA2"/>
    <w:rsid w:val="00401DE3"/>
    <w:rsid w:val="00401E57"/>
    <w:rsid w:val="00401F8C"/>
    <w:rsid w:val="00401F8F"/>
    <w:rsid w:val="00401FD6"/>
    <w:rsid w:val="00402008"/>
    <w:rsid w:val="00402030"/>
    <w:rsid w:val="00402114"/>
    <w:rsid w:val="00402160"/>
    <w:rsid w:val="004021AC"/>
    <w:rsid w:val="004021F9"/>
    <w:rsid w:val="0040222F"/>
    <w:rsid w:val="00402277"/>
    <w:rsid w:val="004022A9"/>
    <w:rsid w:val="004022AE"/>
    <w:rsid w:val="00402303"/>
    <w:rsid w:val="00402313"/>
    <w:rsid w:val="00402321"/>
    <w:rsid w:val="00402361"/>
    <w:rsid w:val="004023A3"/>
    <w:rsid w:val="0040247D"/>
    <w:rsid w:val="00402580"/>
    <w:rsid w:val="004025D7"/>
    <w:rsid w:val="00402659"/>
    <w:rsid w:val="00402677"/>
    <w:rsid w:val="00402682"/>
    <w:rsid w:val="004028A8"/>
    <w:rsid w:val="00402919"/>
    <w:rsid w:val="00402A02"/>
    <w:rsid w:val="00402A1D"/>
    <w:rsid w:val="00402AEB"/>
    <w:rsid w:val="00402B5A"/>
    <w:rsid w:val="00402BE1"/>
    <w:rsid w:val="00402C3B"/>
    <w:rsid w:val="00402C43"/>
    <w:rsid w:val="00402C58"/>
    <w:rsid w:val="00402C7B"/>
    <w:rsid w:val="00402CAC"/>
    <w:rsid w:val="00402CDB"/>
    <w:rsid w:val="00402CE3"/>
    <w:rsid w:val="00402D0B"/>
    <w:rsid w:val="00402D92"/>
    <w:rsid w:val="00402DCD"/>
    <w:rsid w:val="00402E0C"/>
    <w:rsid w:val="00402E68"/>
    <w:rsid w:val="00402E9D"/>
    <w:rsid w:val="00402EC6"/>
    <w:rsid w:val="00402ED7"/>
    <w:rsid w:val="00402F0A"/>
    <w:rsid w:val="00402F0F"/>
    <w:rsid w:val="00402F81"/>
    <w:rsid w:val="00402FA4"/>
    <w:rsid w:val="00402FCE"/>
    <w:rsid w:val="00403052"/>
    <w:rsid w:val="0040306C"/>
    <w:rsid w:val="00403072"/>
    <w:rsid w:val="004030B1"/>
    <w:rsid w:val="0040323B"/>
    <w:rsid w:val="0040324D"/>
    <w:rsid w:val="00403251"/>
    <w:rsid w:val="00403332"/>
    <w:rsid w:val="00403386"/>
    <w:rsid w:val="00403396"/>
    <w:rsid w:val="004033DC"/>
    <w:rsid w:val="004033F5"/>
    <w:rsid w:val="004035D0"/>
    <w:rsid w:val="004036A0"/>
    <w:rsid w:val="00403713"/>
    <w:rsid w:val="0040372E"/>
    <w:rsid w:val="0040377D"/>
    <w:rsid w:val="004037F0"/>
    <w:rsid w:val="004037F6"/>
    <w:rsid w:val="0040381C"/>
    <w:rsid w:val="004038E2"/>
    <w:rsid w:val="00403A58"/>
    <w:rsid w:val="00403B5F"/>
    <w:rsid w:val="00403BA1"/>
    <w:rsid w:val="00403BB7"/>
    <w:rsid w:val="00403C83"/>
    <w:rsid w:val="00403CAF"/>
    <w:rsid w:val="00403CF7"/>
    <w:rsid w:val="00403D44"/>
    <w:rsid w:val="00403E01"/>
    <w:rsid w:val="00403E09"/>
    <w:rsid w:val="00403E49"/>
    <w:rsid w:val="00403E9C"/>
    <w:rsid w:val="00403F5C"/>
    <w:rsid w:val="00403F85"/>
    <w:rsid w:val="0040402B"/>
    <w:rsid w:val="00404052"/>
    <w:rsid w:val="00404080"/>
    <w:rsid w:val="004040FB"/>
    <w:rsid w:val="0040412E"/>
    <w:rsid w:val="00404159"/>
    <w:rsid w:val="00404160"/>
    <w:rsid w:val="004041CA"/>
    <w:rsid w:val="004041D5"/>
    <w:rsid w:val="004041EB"/>
    <w:rsid w:val="0040421E"/>
    <w:rsid w:val="00404231"/>
    <w:rsid w:val="004042B1"/>
    <w:rsid w:val="00404326"/>
    <w:rsid w:val="00404329"/>
    <w:rsid w:val="0040438D"/>
    <w:rsid w:val="00404435"/>
    <w:rsid w:val="0040443F"/>
    <w:rsid w:val="0040449D"/>
    <w:rsid w:val="004044D8"/>
    <w:rsid w:val="004044FD"/>
    <w:rsid w:val="0040453D"/>
    <w:rsid w:val="00404562"/>
    <w:rsid w:val="00404588"/>
    <w:rsid w:val="0040469F"/>
    <w:rsid w:val="004046F9"/>
    <w:rsid w:val="0040474B"/>
    <w:rsid w:val="00404757"/>
    <w:rsid w:val="00404794"/>
    <w:rsid w:val="004047E6"/>
    <w:rsid w:val="00404853"/>
    <w:rsid w:val="004048C8"/>
    <w:rsid w:val="00404A56"/>
    <w:rsid w:val="00404ACF"/>
    <w:rsid w:val="00404AE7"/>
    <w:rsid w:val="00404B08"/>
    <w:rsid w:val="00404B0E"/>
    <w:rsid w:val="00404B38"/>
    <w:rsid w:val="00404B49"/>
    <w:rsid w:val="00404B97"/>
    <w:rsid w:val="00404BD8"/>
    <w:rsid w:val="00404BE5"/>
    <w:rsid w:val="00404C34"/>
    <w:rsid w:val="00404C49"/>
    <w:rsid w:val="00404CD9"/>
    <w:rsid w:val="00404CDD"/>
    <w:rsid w:val="00404DAC"/>
    <w:rsid w:val="00404DB5"/>
    <w:rsid w:val="00404E4F"/>
    <w:rsid w:val="00404EB7"/>
    <w:rsid w:val="00404EC1"/>
    <w:rsid w:val="00404F25"/>
    <w:rsid w:val="00404F4A"/>
    <w:rsid w:val="00404F84"/>
    <w:rsid w:val="00404FF4"/>
    <w:rsid w:val="00405019"/>
    <w:rsid w:val="0040501D"/>
    <w:rsid w:val="004050AB"/>
    <w:rsid w:val="004050AF"/>
    <w:rsid w:val="0040513E"/>
    <w:rsid w:val="0040525A"/>
    <w:rsid w:val="00405293"/>
    <w:rsid w:val="004052C2"/>
    <w:rsid w:val="004052E9"/>
    <w:rsid w:val="004053C1"/>
    <w:rsid w:val="004053DD"/>
    <w:rsid w:val="0040540B"/>
    <w:rsid w:val="00405475"/>
    <w:rsid w:val="004054CD"/>
    <w:rsid w:val="00405657"/>
    <w:rsid w:val="004056AA"/>
    <w:rsid w:val="004056D2"/>
    <w:rsid w:val="004056F4"/>
    <w:rsid w:val="0040573E"/>
    <w:rsid w:val="0040578F"/>
    <w:rsid w:val="004057A6"/>
    <w:rsid w:val="004057C8"/>
    <w:rsid w:val="004057E2"/>
    <w:rsid w:val="00405895"/>
    <w:rsid w:val="0040593D"/>
    <w:rsid w:val="00405981"/>
    <w:rsid w:val="004059D4"/>
    <w:rsid w:val="00405A04"/>
    <w:rsid w:val="00405A93"/>
    <w:rsid w:val="00405AB7"/>
    <w:rsid w:val="00405ACF"/>
    <w:rsid w:val="00405AE8"/>
    <w:rsid w:val="00405B17"/>
    <w:rsid w:val="00405B98"/>
    <w:rsid w:val="00405D31"/>
    <w:rsid w:val="00405D7A"/>
    <w:rsid w:val="00405DA9"/>
    <w:rsid w:val="00405DBD"/>
    <w:rsid w:val="00405E1B"/>
    <w:rsid w:val="00405E97"/>
    <w:rsid w:val="00405F39"/>
    <w:rsid w:val="00405FD2"/>
    <w:rsid w:val="004060B3"/>
    <w:rsid w:val="004060D8"/>
    <w:rsid w:val="004060E4"/>
    <w:rsid w:val="0040611F"/>
    <w:rsid w:val="0040633D"/>
    <w:rsid w:val="00406342"/>
    <w:rsid w:val="00406396"/>
    <w:rsid w:val="004063D0"/>
    <w:rsid w:val="00406471"/>
    <w:rsid w:val="004064F7"/>
    <w:rsid w:val="00406619"/>
    <w:rsid w:val="0040664E"/>
    <w:rsid w:val="00406676"/>
    <w:rsid w:val="0040668C"/>
    <w:rsid w:val="004066BD"/>
    <w:rsid w:val="004066C3"/>
    <w:rsid w:val="00406700"/>
    <w:rsid w:val="00406743"/>
    <w:rsid w:val="004067A7"/>
    <w:rsid w:val="00406845"/>
    <w:rsid w:val="004068AB"/>
    <w:rsid w:val="004068D8"/>
    <w:rsid w:val="00406A02"/>
    <w:rsid w:val="00406A03"/>
    <w:rsid w:val="00406A0A"/>
    <w:rsid w:val="00406ADE"/>
    <w:rsid w:val="00406AEF"/>
    <w:rsid w:val="00406AFE"/>
    <w:rsid w:val="00406C5B"/>
    <w:rsid w:val="00406C7B"/>
    <w:rsid w:val="00406CB6"/>
    <w:rsid w:val="00406CE2"/>
    <w:rsid w:val="00406D15"/>
    <w:rsid w:val="00406D81"/>
    <w:rsid w:val="00406DB2"/>
    <w:rsid w:val="00406DCC"/>
    <w:rsid w:val="00406E01"/>
    <w:rsid w:val="00406EE0"/>
    <w:rsid w:val="00406FA3"/>
    <w:rsid w:val="00406FC9"/>
    <w:rsid w:val="00406FDF"/>
    <w:rsid w:val="00407002"/>
    <w:rsid w:val="00407058"/>
    <w:rsid w:val="00407090"/>
    <w:rsid w:val="004070E4"/>
    <w:rsid w:val="00407122"/>
    <w:rsid w:val="00407157"/>
    <w:rsid w:val="004071B9"/>
    <w:rsid w:val="0040729C"/>
    <w:rsid w:val="004073B8"/>
    <w:rsid w:val="004073CF"/>
    <w:rsid w:val="00407425"/>
    <w:rsid w:val="00407469"/>
    <w:rsid w:val="004074F9"/>
    <w:rsid w:val="0040757C"/>
    <w:rsid w:val="00407609"/>
    <w:rsid w:val="00407699"/>
    <w:rsid w:val="004076CF"/>
    <w:rsid w:val="004076D8"/>
    <w:rsid w:val="00407755"/>
    <w:rsid w:val="00407764"/>
    <w:rsid w:val="0040777A"/>
    <w:rsid w:val="004077DA"/>
    <w:rsid w:val="004077DC"/>
    <w:rsid w:val="004077FA"/>
    <w:rsid w:val="00407801"/>
    <w:rsid w:val="0040786C"/>
    <w:rsid w:val="004078D7"/>
    <w:rsid w:val="004078E9"/>
    <w:rsid w:val="00407901"/>
    <w:rsid w:val="00407989"/>
    <w:rsid w:val="004079B7"/>
    <w:rsid w:val="00407B17"/>
    <w:rsid w:val="00407B1F"/>
    <w:rsid w:val="00407B3A"/>
    <w:rsid w:val="00407B90"/>
    <w:rsid w:val="00407BAE"/>
    <w:rsid w:val="00407C45"/>
    <w:rsid w:val="00407D0A"/>
    <w:rsid w:val="00407D24"/>
    <w:rsid w:val="00407D98"/>
    <w:rsid w:val="00407D9E"/>
    <w:rsid w:val="00407E75"/>
    <w:rsid w:val="00407EAB"/>
    <w:rsid w:val="00407EBB"/>
    <w:rsid w:val="00407F54"/>
    <w:rsid w:val="00407F7A"/>
    <w:rsid w:val="00407F97"/>
    <w:rsid w:val="00410075"/>
    <w:rsid w:val="00410107"/>
    <w:rsid w:val="00410151"/>
    <w:rsid w:val="0041015C"/>
    <w:rsid w:val="0041025C"/>
    <w:rsid w:val="00410274"/>
    <w:rsid w:val="004102A2"/>
    <w:rsid w:val="004104A6"/>
    <w:rsid w:val="004104E1"/>
    <w:rsid w:val="004105C3"/>
    <w:rsid w:val="004105D2"/>
    <w:rsid w:val="0041064B"/>
    <w:rsid w:val="00410672"/>
    <w:rsid w:val="004106D6"/>
    <w:rsid w:val="004106DF"/>
    <w:rsid w:val="0041079A"/>
    <w:rsid w:val="00410802"/>
    <w:rsid w:val="004108CD"/>
    <w:rsid w:val="00410901"/>
    <w:rsid w:val="004109B4"/>
    <w:rsid w:val="004109BB"/>
    <w:rsid w:val="004109C0"/>
    <w:rsid w:val="004109C6"/>
    <w:rsid w:val="004109DD"/>
    <w:rsid w:val="00410A35"/>
    <w:rsid w:val="00410AF5"/>
    <w:rsid w:val="00410B51"/>
    <w:rsid w:val="00410B5E"/>
    <w:rsid w:val="00410B77"/>
    <w:rsid w:val="00410B9C"/>
    <w:rsid w:val="00410BBF"/>
    <w:rsid w:val="00410C36"/>
    <w:rsid w:val="00410DE8"/>
    <w:rsid w:val="00410F11"/>
    <w:rsid w:val="00411011"/>
    <w:rsid w:val="00411041"/>
    <w:rsid w:val="00411053"/>
    <w:rsid w:val="004110B6"/>
    <w:rsid w:val="0041113B"/>
    <w:rsid w:val="004111B3"/>
    <w:rsid w:val="00411232"/>
    <w:rsid w:val="004112C8"/>
    <w:rsid w:val="0041132E"/>
    <w:rsid w:val="0041133B"/>
    <w:rsid w:val="004113CF"/>
    <w:rsid w:val="00411441"/>
    <w:rsid w:val="0041147F"/>
    <w:rsid w:val="004114AF"/>
    <w:rsid w:val="004114B3"/>
    <w:rsid w:val="0041153D"/>
    <w:rsid w:val="0041154E"/>
    <w:rsid w:val="0041157C"/>
    <w:rsid w:val="00411742"/>
    <w:rsid w:val="00411756"/>
    <w:rsid w:val="004117C0"/>
    <w:rsid w:val="004117F4"/>
    <w:rsid w:val="004117FB"/>
    <w:rsid w:val="0041184F"/>
    <w:rsid w:val="00411860"/>
    <w:rsid w:val="004118BF"/>
    <w:rsid w:val="004119EB"/>
    <w:rsid w:val="004119EF"/>
    <w:rsid w:val="00411A21"/>
    <w:rsid w:val="00411AAF"/>
    <w:rsid w:val="00411BB9"/>
    <w:rsid w:val="00411BDC"/>
    <w:rsid w:val="00411C4F"/>
    <w:rsid w:val="00411C6F"/>
    <w:rsid w:val="00411DE0"/>
    <w:rsid w:val="00411E2F"/>
    <w:rsid w:val="00411E5C"/>
    <w:rsid w:val="00411EDB"/>
    <w:rsid w:val="00411EF2"/>
    <w:rsid w:val="00411F88"/>
    <w:rsid w:val="00411FA4"/>
    <w:rsid w:val="00412041"/>
    <w:rsid w:val="0041208F"/>
    <w:rsid w:val="004120A5"/>
    <w:rsid w:val="004120F5"/>
    <w:rsid w:val="00412177"/>
    <w:rsid w:val="004121AD"/>
    <w:rsid w:val="00412266"/>
    <w:rsid w:val="00412290"/>
    <w:rsid w:val="004122C7"/>
    <w:rsid w:val="004122CF"/>
    <w:rsid w:val="00412341"/>
    <w:rsid w:val="00412384"/>
    <w:rsid w:val="00412399"/>
    <w:rsid w:val="004124D6"/>
    <w:rsid w:val="00412586"/>
    <w:rsid w:val="004125E2"/>
    <w:rsid w:val="004125E8"/>
    <w:rsid w:val="00412677"/>
    <w:rsid w:val="0041267B"/>
    <w:rsid w:val="004126E4"/>
    <w:rsid w:val="0041272D"/>
    <w:rsid w:val="0041273D"/>
    <w:rsid w:val="00412741"/>
    <w:rsid w:val="004127F6"/>
    <w:rsid w:val="004129D5"/>
    <w:rsid w:val="004129F3"/>
    <w:rsid w:val="00412AAB"/>
    <w:rsid w:val="00412B35"/>
    <w:rsid w:val="00412B3E"/>
    <w:rsid w:val="00412B45"/>
    <w:rsid w:val="00412B69"/>
    <w:rsid w:val="00412BC8"/>
    <w:rsid w:val="00412C0E"/>
    <w:rsid w:val="00412C2A"/>
    <w:rsid w:val="00412C2C"/>
    <w:rsid w:val="00412CAE"/>
    <w:rsid w:val="00412CD9"/>
    <w:rsid w:val="00412D09"/>
    <w:rsid w:val="00412D30"/>
    <w:rsid w:val="00412E82"/>
    <w:rsid w:val="00412E9F"/>
    <w:rsid w:val="0041313B"/>
    <w:rsid w:val="00413242"/>
    <w:rsid w:val="00413265"/>
    <w:rsid w:val="004132C1"/>
    <w:rsid w:val="0041337C"/>
    <w:rsid w:val="00413439"/>
    <w:rsid w:val="00413453"/>
    <w:rsid w:val="004134E5"/>
    <w:rsid w:val="00413538"/>
    <w:rsid w:val="00413546"/>
    <w:rsid w:val="0041356A"/>
    <w:rsid w:val="00413575"/>
    <w:rsid w:val="004135A5"/>
    <w:rsid w:val="00413605"/>
    <w:rsid w:val="0041367D"/>
    <w:rsid w:val="004136F6"/>
    <w:rsid w:val="00413792"/>
    <w:rsid w:val="004137B6"/>
    <w:rsid w:val="004137EC"/>
    <w:rsid w:val="00413810"/>
    <w:rsid w:val="004138A0"/>
    <w:rsid w:val="004138A8"/>
    <w:rsid w:val="004138B6"/>
    <w:rsid w:val="004138E7"/>
    <w:rsid w:val="004138EC"/>
    <w:rsid w:val="00413919"/>
    <w:rsid w:val="004139A3"/>
    <w:rsid w:val="00413A39"/>
    <w:rsid w:val="00413A3C"/>
    <w:rsid w:val="00413A79"/>
    <w:rsid w:val="00413AC9"/>
    <w:rsid w:val="00413B0D"/>
    <w:rsid w:val="00413B1D"/>
    <w:rsid w:val="00413B72"/>
    <w:rsid w:val="00413BA4"/>
    <w:rsid w:val="00413D5D"/>
    <w:rsid w:val="00413D70"/>
    <w:rsid w:val="00413DCC"/>
    <w:rsid w:val="00413E90"/>
    <w:rsid w:val="00413EF0"/>
    <w:rsid w:val="00413F1D"/>
    <w:rsid w:val="00413F35"/>
    <w:rsid w:val="00413F91"/>
    <w:rsid w:val="0041405E"/>
    <w:rsid w:val="004140B7"/>
    <w:rsid w:val="00414203"/>
    <w:rsid w:val="004142CC"/>
    <w:rsid w:val="0041430D"/>
    <w:rsid w:val="00414329"/>
    <w:rsid w:val="004143BE"/>
    <w:rsid w:val="004143FB"/>
    <w:rsid w:val="0041449F"/>
    <w:rsid w:val="004144C4"/>
    <w:rsid w:val="00414505"/>
    <w:rsid w:val="0041452F"/>
    <w:rsid w:val="00414667"/>
    <w:rsid w:val="0041466A"/>
    <w:rsid w:val="004146D8"/>
    <w:rsid w:val="00414703"/>
    <w:rsid w:val="004147A1"/>
    <w:rsid w:val="00414818"/>
    <w:rsid w:val="00414873"/>
    <w:rsid w:val="00414A20"/>
    <w:rsid w:val="00414A51"/>
    <w:rsid w:val="00414A64"/>
    <w:rsid w:val="00414A87"/>
    <w:rsid w:val="00414A8E"/>
    <w:rsid w:val="00414AA9"/>
    <w:rsid w:val="00414B33"/>
    <w:rsid w:val="00414B3E"/>
    <w:rsid w:val="00414B6A"/>
    <w:rsid w:val="00414B78"/>
    <w:rsid w:val="00414C5E"/>
    <w:rsid w:val="00414C9D"/>
    <w:rsid w:val="00414CA0"/>
    <w:rsid w:val="00414CEA"/>
    <w:rsid w:val="00414D7B"/>
    <w:rsid w:val="00414D81"/>
    <w:rsid w:val="00414F1C"/>
    <w:rsid w:val="00414F27"/>
    <w:rsid w:val="00414F64"/>
    <w:rsid w:val="00414FF2"/>
    <w:rsid w:val="00415059"/>
    <w:rsid w:val="00415081"/>
    <w:rsid w:val="00415083"/>
    <w:rsid w:val="004150DC"/>
    <w:rsid w:val="004150E9"/>
    <w:rsid w:val="004150F4"/>
    <w:rsid w:val="0041510B"/>
    <w:rsid w:val="00415165"/>
    <w:rsid w:val="004151E4"/>
    <w:rsid w:val="004151E9"/>
    <w:rsid w:val="004151F3"/>
    <w:rsid w:val="00415206"/>
    <w:rsid w:val="0041520D"/>
    <w:rsid w:val="00415342"/>
    <w:rsid w:val="00415355"/>
    <w:rsid w:val="0041544A"/>
    <w:rsid w:val="0041547A"/>
    <w:rsid w:val="004154F4"/>
    <w:rsid w:val="00415520"/>
    <w:rsid w:val="00415523"/>
    <w:rsid w:val="00415525"/>
    <w:rsid w:val="00415553"/>
    <w:rsid w:val="0041559E"/>
    <w:rsid w:val="00415682"/>
    <w:rsid w:val="004156BA"/>
    <w:rsid w:val="004156C1"/>
    <w:rsid w:val="004156D9"/>
    <w:rsid w:val="004157DF"/>
    <w:rsid w:val="004157E4"/>
    <w:rsid w:val="00415893"/>
    <w:rsid w:val="004159FD"/>
    <w:rsid w:val="00415A0E"/>
    <w:rsid w:val="00415A3E"/>
    <w:rsid w:val="00415A85"/>
    <w:rsid w:val="00415AFA"/>
    <w:rsid w:val="00415B82"/>
    <w:rsid w:val="00415BCD"/>
    <w:rsid w:val="00415BFD"/>
    <w:rsid w:val="00415D69"/>
    <w:rsid w:val="00415DAF"/>
    <w:rsid w:val="00415E32"/>
    <w:rsid w:val="00415E79"/>
    <w:rsid w:val="00415EC4"/>
    <w:rsid w:val="00415EED"/>
    <w:rsid w:val="00415F59"/>
    <w:rsid w:val="00416039"/>
    <w:rsid w:val="00416085"/>
    <w:rsid w:val="00416108"/>
    <w:rsid w:val="0041610E"/>
    <w:rsid w:val="00416163"/>
    <w:rsid w:val="004161E2"/>
    <w:rsid w:val="00416212"/>
    <w:rsid w:val="0041623E"/>
    <w:rsid w:val="0041624B"/>
    <w:rsid w:val="00416257"/>
    <w:rsid w:val="00416259"/>
    <w:rsid w:val="004162D1"/>
    <w:rsid w:val="00416379"/>
    <w:rsid w:val="004163E3"/>
    <w:rsid w:val="004164AF"/>
    <w:rsid w:val="004164CA"/>
    <w:rsid w:val="004164DA"/>
    <w:rsid w:val="0041670F"/>
    <w:rsid w:val="00416731"/>
    <w:rsid w:val="0041678C"/>
    <w:rsid w:val="0041685A"/>
    <w:rsid w:val="00416873"/>
    <w:rsid w:val="00416896"/>
    <w:rsid w:val="00416899"/>
    <w:rsid w:val="004168CE"/>
    <w:rsid w:val="004168FD"/>
    <w:rsid w:val="00416906"/>
    <w:rsid w:val="00416930"/>
    <w:rsid w:val="004169CC"/>
    <w:rsid w:val="004169F0"/>
    <w:rsid w:val="00416B08"/>
    <w:rsid w:val="00416B29"/>
    <w:rsid w:val="00416B6C"/>
    <w:rsid w:val="00416C21"/>
    <w:rsid w:val="00416CD4"/>
    <w:rsid w:val="00416D97"/>
    <w:rsid w:val="00416EB4"/>
    <w:rsid w:val="00416F18"/>
    <w:rsid w:val="00416F64"/>
    <w:rsid w:val="00416FD9"/>
    <w:rsid w:val="00416FFA"/>
    <w:rsid w:val="0041702F"/>
    <w:rsid w:val="00417069"/>
    <w:rsid w:val="004170DD"/>
    <w:rsid w:val="0041710D"/>
    <w:rsid w:val="00417146"/>
    <w:rsid w:val="0041715B"/>
    <w:rsid w:val="004171BF"/>
    <w:rsid w:val="00417240"/>
    <w:rsid w:val="0041724B"/>
    <w:rsid w:val="004172AA"/>
    <w:rsid w:val="004173E2"/>
    <w:rsid w:val="00417451"/>
    <w:rsid w:val="0041746D"/>
    <w:rsid w:val="004174E8"/>
    <w:rsid w:val="0041753A"/>
    <w:rsid w:val="0041754B"/>
    <w:rsid w:val="0041755D"/>
    <w:rsid w:val="0041755E"/>
    <w:rsid w:val="0041759A"/>
    <w:rsid w:val="004175D0"/>
    <w:rsid w:val="00417614"/>
    <w:rsid w:val="00417727"/>
    <w:rsid w:val="004177F8"/>
    <w:rsid w:val="0041780E"/>
    <w:rsid w:val="00417921"/>
    <w:rsid w:val="004179F8"/>
    <w:rsid w:val="00417AAA"/>
    <w:rsid w:val="00417AAD"/>
    <w:rsid w:val="00417AAF"/>
    <w:rsid w:val="00417B83"/>
    <w:rsid w:val="00417B87"/>
    <w:rsid w:val="00417C94"/>
    <w:rsid w:val="00417DDB"/>
    <w:rsid w:val="00417E3A"/>
    <w:rsid w:val="00417ED2"/>
    <w:rsid w:val="00417EE3"/>
    <w:rsid w:val="00417F1A"/>
    <w:rsid w:val="00417F69"/>
    <w:rsid w:val="00417F71"/>
    <w:rsid w:val="00417FCA"/>
    <w:rsid w:val="00417FD9"/>
    <w:rsid w:val="0042015F"/>
    <w:rsid w:val="004201ED"/>
    <w:rsid w:val="0042024B"/>
    <w:rsid w:val="0042025D"/>
    <w:rsid w:val="0042032E"/>
    <w:rsid w:val="0042033A"/>
    <w:rsid w:val="0042035E"/>
    <w:rsid w:val="004203AB"/>
    <w:rsid w:val="0042059E"/>
    <w:rsid w:val="004205B5"/>
    <w:rsid w:val="00420708"/>
    <w:rsid w:val="00420876"/>
    <w:rsid w:val="004208DB"/>
    <w:rsid w:val="004208E6"/>
    <w:rsid w:val="00420A4C"/>
    <w:rsid w:val="00420A97"/>
    <w:rsid w:val="00420AB1"/>
    <w:rsid w:val="00420ADE"/>
    <w:rsid w:val="00420B32"/>
    <w:rsid w:val="00420C60"/>
    <w:rsid w:val="00420C6D"/>
    <w:rsid w:val="00420C98"/>
    <w:rsid w:val="00420CB9"/>
    <w:rsid w:val="00420CC5"/>
    <w:rsid w:val="00420CC7"/>
    <w:rsid w:val="00420D10"/>
    <w:rsid w:val="00420DD8"/>
    <w:rsid w:val="00420DF7"/>
    <w:rsid w:val="00420E1D"/>
    <w:rsid w:val="00420E1E"/>
    <w:rsid w:val="00420ECB"/>
    <w:rsid w:val="00420ECD"/>
    <w:rsid w:val="00420EFA"/>
    <w:rsid w:val="00420F0E"/>
    <w:rsid w:val="00420F27"/>
    <w:rsid w:val="00420F31"/>
    <w:rsid w:val="00420F55"/>
    <w:rsid w:val="0042101E"/>
    <w:rsid w:val="0042104B"/>
    <w:rsid w:val="00421067"/>
    <w:rsid w:val="00421168"/>
    <w:rsid w:val="00421184"/>
    <w:rsid w:val="0042121B"/>
    <w:rsid w:val="00421251"/>
    <w:rsid w:val="0042126E"/>
    <w:rsid w:val="004212BA"/>
    <w:rsid w:val="0042132B"/>
    <w:rsid w:val="004213CB"/>
    <w:rsid w:val="004213E4"/>
    <w:rsid w:val="004213F0"/>
    <w:rsid w:val="00421468"/>
    <w:rsid w:val="0042149D"/>
    <w:rsid w:val="004214A4"/>
    <w:rsid w:val="00421508"/>
    <w:rsid w:val="0042154A"/>
    <w:rsid w:val="004215D3"/>
    <w:rsid w:val="00421617"/>
    <w:rsid w:val="00421730"/>
    <w:rsid w:val="004217E1"/>
    <w:rsid w:val="0042180F"/>
    <w:rsid w:val="0042182A"/>
    <w:rsid w:val="00421881"/>
    <w:rsid w:val="00421A20"/>
    <w:rsid w:val="00421A24"/>
    <w:rsid w:val="00421B0D"/>
    <w:rsid w:val="00421B39"/>
    <w:rsid w:val="00421C0E"/>
    <w:rsid w:val="00421C4D"/>
    <w:rsid w:val="00421CC6"/>
    <w:rsid w:val="00421D4E"/>
    <w:rsid w:val="00421DA0"/>
    <w:rsid w:val="00421DDD"/>
    <w:rsid w:val="00421EC1"/>
    <w:rsid w:val="00421EE5"/>
    <w:rsid w:val="00421F52"/>
    <w:rsid w:val="00421F59"/>
    <w:rsid w:val="00421F7A"/>
    <w:rsid w:val="00421F8C"/>
    <w:rsid w:val="00421F96"/>
    <w:rsid w:val="00421F9D"/>
    <w:rsid w:val="0042202D"/>
    <w:rsid w:val="0042207C"/>
    <w:rsid w:val="00422096"/>
    <w:rsid w:val="00422098"/>
    <w:rsid w:val="004220B2"/>
    <w:rsid w:val="00422160"/>
    <w:rsid w:val="00422176"/>
    <w:rsid w:val="004221DA"/>
    <w:rsid w:val="004221F3"/>
    <w:rsid w:val="00422200"/>
    <w:rsid w:val="00422215"/>
    <w:rsid w:val="00422262"/>
    <w:rsid w:val="004223C4"/>
    <w:rsid w:val="004224B5"/>
    <w:rsid w:val="00422548"/>
    <w:rsid w:val="00422561"/>
    <w:rsid w:val="0042258E"/>
    <w:rsid w:val="00422590"/>
    <w:rsid w:val="004225A0"/>
    <w:rsid w:val="004225D0"/>
    <w:rsid w:val="00422614"/>
    <w:rsid w:val="004226F7"/>
    <w:rsid w:val="0042271C"/>
    <w:rsid w:val="0042276E"/>
    <w:rsid w:val="004227E8"/>
    <w:rsid w:val="00422885"/>
    <w:rsid w:val="0042296C"/>
    <w:rsid w:val="004229F9"/>
    <w:rsid w:val="00422A13"/>
    <w:rsid w:val="00422A45"/>
    <w:rsid w:val="00422A60"/>
    <w:rsid w:val="00422A66"/>
    <w:rsid w:val="00422AD6"/>
    <w:rsid w:val="00422B3E"/>
    <w:rsid w:val="00422B64"/>
    <w:rsid w:val="00422B96"/>
    <w:rsid w:val="00422C0E"/>
    <w:rsid w:val="00422CE6"/>
    <w:rsid w:val="00422D70"/>
    <w:rsid w:val="00422E72"/>
    <w:rsid w:val="00422E96"/>
    <w:rsid w:val="00422F02"/>
    <w:rsid w:val="00422F14"/>
    <w:rsid w:val="00422F3F"/>
    <w:rsid w:val="00422F6F"/>
    <w:rsid w:val="00423007"/>
    <w:rsid w:val="00423013"/>
    <w:rsid w:val="004230A5"/>
    <w:rsid w:val="004230FA"/>
    <w:rsid w:val="00423111"/>
    <w:rsid w:val="004231F6"/>
    <w:rsid w:val="00423339"/>
    <w:rsid w:val="0042339A"/>
    <w:rsid w:val="004233EB"/>
    <w:rsid w:val="0042349E"/>
    <w:rsid w:val="0042351A"/>
    <w:rsid w:val="00423530"/>
    <w:rsid w:val="0042354F"/>
    <w:rsid w:val="0042358D"/>
    <w:rsid w:val="004235B3"/>
    <w:rsid w:val="00423646"/>
    <w:rsid w:val="00423670"/>
    <w:rsid w:val="004236BB"/>
    <w:rsid w:val="004236BD"/>
    <w:rsid w:val="0042376E"/>
    <w:rsid w:val="004237B3"/>
    <w:rsid w:val="00423873"/>
    <w:rsid w:val="00423885"/>
    <w:rsid w:val="00423891"/>
    <w:rsid w:val="004238AC"/>
    <w:rsid w:val="004238F7"/>
    <w:rsid w:val="00423971"/>
    <w:rsid w:val="004239C3"/>
    <w:rsid w:val="004239E8"/>
    <w:rsid w:val="00423A53"/>
    <w:rsid w:val="00423ACD"/>
    <w:rsid w:val="00423AD5"/>
    <w:rsid w:val="00423B15"/>
    <w:rsid w:val="00423C33"/>
    <w:rsid w:val="00423CBB"/>
    <w:rsid w:val="00423CD0"/>
    <w:rsid w:val="00423E30"/>
    <w:rsid w:val="00423E80"/>
    <w:rsid w:val="00423ED0"/>
    <w:rsid w:val="00423F7E"/>
    <w:rsid w:val="00424094"/>
    <w:rsid w:val="004240CF"/>
    <w:rsid w:val="00424101"/>
    <w:rsid w:val="00424136"/>
    <w:rsid w:val="0042431D"/>
    <w:rsid w:val="0042437B"/>
    <w:rsid w:val="004243BD"/>
    <w:rsid w:val="004243DA"/>
    <w:rsid w:val="0042445F"/>
    <w:rsid w:val="004244A2"/>
    <w:rsid w:val="0042456E"/>
    <w:rsid w:val="00424720"/>
    <w:rsid w:val="004247FB"/>
    <w:rsid w:val="00424806"/>
    <w:rsid w:val="004248AF"/>
    <w:rsid w:val="004248CC"/>
    <w:rsid w:val="004248EB"/>
    <w:rsid w:val="00424927"/>
    <w:rsid w:val="00424972"/>
    <w:rsid w:val="00424A6C"/>
    <w:rsid w:val="00424B6B"/>
    <w:rsid w:val="00424BB9"/>
    <w:rsid w:val="00424BE1"/>
    <w:rsid w:val="00424C48"/>
    <w:rsid w:val="00424C59"/>
    <w:rsid w:val="00424C9C"/>
    <w:rsid w:val="00424CB8"/>
    <w:rsid w:val="00424DC9"/>
    <w:rsid w:val="00424E0B"/>
    <w:rsid w:val="00424E22"/>
    <w:rsid w:val="00424E86"/>
    <w:rsid w:val="00424E95"/>
    <w:rsid w:val="00424F6A"/>
    <w:rsid w:val="00424F9C"/>
    <w:rsid w:val="00424FAE"/>
    <w:rsid w:val="00424FC4"/>
    <w:rsid w:val="00425021"/>
    <w:rsid w:val="00425037"/>
    <w:rsid w:val="00425042"/>
    <w:rsid w:val="00425079"/>
    <w:rsid w:val="0042508F"/>
    <w:rsid w:val="004250EB"/>
    <w:rsid w:val="0042512C"/>
    <w:rsid w:val="0042516A"/>
    <w:rsid w:val="00425175"/>
    <w:rsid w:val="0042517E"/>
    <w:rsid w:val="00425284"/>
    <w:rsid w:val="00425292"/>
    <w:rsid w:val="0042534B"/>
    <w:rsid w:val="004253B6"/>
    <w:rsid w:val="00425434"/>
    <w:rsid w:val="004254AC"/>
    <w:rsid w:val="004254D5"/>
    <w:rsid w:val="0042550C"/>
    <w:rsid w:val="0042551C"/>
    <w:rsid w:val="00425532"/>
    <w:rsid w:val="0042554B"/>
    <w:rsid w:val="00425608"/>
    <w:rsid w:val="00425618"/>
    <w:rsid w:val="00425787"/>
    <w:rsid w:val="0042578A"/>
    <w:rsid w:val="0042579F"/>
    <w:rsid w:val="004257B7"/>
    <w:rsid w:val="00425868"/>
    <w:rsid w:val="00425913"/>
    <w:rsid w:val="00425963"/>
    <w:rsid w:val="00425A28"/>
    <w:rsid w:val="00425A4D"/>
    <w:rsid w:val="00425A65"/>
    <w:rsid w:val="00425B2C"/>
    <w:rsid w:val="00425B77"/>
    <w:rsid w:val="00425B89"/>
    <w:rsid w:val="00425BB6"/>
    <w:rsid w:val="00425C29"/>
    <w:rsid w:val="00425C9F"/>
    <w:rsid w:val="00425CC7"/>
    <w:rsid w:val="00425D03"/>
    <w:rsid w:val="00425D20"/>
    <w:rsid w:val="00425D53"/>
    <w:rsid w:val="00425DBC"/>
    <w:rsid w:val="00425DDC"/>
    <w:rsid w:val="00425EAD"/>
    <w:rsid w:val="00425F01"/>
    <w:rsid w:val="00425F9C"/>
    <w:rsid w:val="00426002"/>
    <w:rsid w:val="004260BB"/>
    <w:rsid w:val="0042629E"/>
    <w:rsid w:val="004262EF"/>
    <w:rsid w:val="0042633D"/>
    <w:rsid w:val="00426381"/>
    <w:rsid w:val="004263E2"/>
    <w:rsid w:val="00426415"/>
    <w:rsid w:val="00426480"/>
    <w:rsid w:val="004264BC"/>
    <w:rsid w:val="00426575"/>
    <w:rsid w:val="00426584"/>
    <w:rsid w:val="004265AE"/>
    <w:rsid w:val="004265EF"/>
    <w:rsid w:val="004266BB"/>
    <w:rsid w:val="004266C1"/>
    <w:rsid w:val="00426773"/>
    <w:rsid w:val="004267D1"/>
    <w:rsid w:val="004267ED"/>
    <w:rsid w:val="0042691F"/>
    <w:rsid w:val="00426981"/>
    <w:rsid w:val="0042698F"/>
    <w:rsid w:val="00426AA5"/>
    <w:rsid w:val="00426ACE"/>
    <w:rsid w:val="00426B3F"/>
    <w:rsid w:val="00426BA3"/>
    <w:rsid w:val="00426BC4"/>
    <w:rsid w:val="00426BD7"/>
    <w:rsid w:val="00426BEA"/>
    <w:rsid w:val="00426C04"/>
    <w:rsid w:val="00426C5C"/>
    <w:rsid w:val="00426C71"/>
    <w:rsid w:val="00426CE1"/>
    <w:rsid w:val="00426D21"/>
    <w:rsid w:val="00426DF8"/>
    <w:rsid w:val="00426E4D"/>
    <w:rsid w:val="00426E57"/>
    <w:rsid w:val="00426F00"/>
    <w:rsid w:val="00426F76"/>
    <w:rsid w:val="004271BD"/>
    <w:rsid w:val="004271C4"/>
    <w:rsid w:val="004271FF"/>
    <w:rsid w:val="00427208"/>
    <w:rsid w:val="0042723E"/>
    <w:rsid w:val="00427247"/>
    <w:rsid w:val="00427276"/>
    <w:rsid w:val="004272B2"/>
    <w:rsid w:val="00427397"/>
    <w:rsid w:val="00427471"/>
    <w:rsid w:val="00427543"/>
    <w:rsid w:val="004275C0"/>
    <w:rsid w:val="00427700"/>
    <w:rsid w:val="0042772B"/>
    <w:rsid w:val="00427768"/>
    <w:rsid w:val="004277D2"/>
    <w:rsid w:val="004277DA"/>
    <w:rsid w:val="00427840"/>
    <w:rsid w:val="00427852"/>
    <w:rsid w:val="004278A2"/>
    <w:rsid w:val="004278D7"/>
    <w:rsid w:val="0042790A"/>
    <w:rsid w:val="0042792A"/>
    <w:rsid w:val="00427A73"/>
    <w:rsid w:val="00427A86"/>
    <w:rsid w:val="00427B09"/>
    <w:rsid w:val="00427B28"/>
    <w:rsid w:val="00427B8D"/>
    <w:rsid w:val="00427BFD"/>
    <w:rsid w:val="00427C09"/>
    <w:rsid w:val="00427C14"/>
    <w:rsid w:val="00427C83"/>
    <w:rsid w:val="00427D10"/>
    <w:rsid w:val="00427E03"/>
    <w:rsid w:val="00427E06"/>
    <w:rsid w:val="00427E1F"/>
    <w:rsid w:val="00427E77"/>
    <w:rsid w:val="00427EAE"/>
    <w:rsid w:val="00427F2B"/>
    <w:rsid w:val="00427F3A"/>
    <w:rsid w:val="00427F53"/>
    <w:rsid w:val="00427FFD"/>
    <w:rsid w:val="0043001B"/>
    <w:rsid w:val="00430062"/>
    <w:rsid w:val="00430073"/>
    <w:rsid w:val="004301C2"/>
    <w:rsid w:val="004301C7"/>
    <w:rsid w:val="004301EB"/>
    <w:rsid w:val="00430301"/>
    <w:rsid w:val="00430309"/>
    <w:rsid w:val="00430336"/>
    <w:rsid w:val="004303AB"/>
    <w:rsid w:val="00430446"/>
    <w:rsid w:val="0043046F"/>
    <w:rsid w:val="00430498"/>
    <w:rsid w:val="004304FD"/>
    <w:rsid w:val="0043052B"/>
    <w:rsid w:val="00430531"/>
    <w:rsid w:val="00430540"/>
    <w:rsid w:val="00430554"/>
    <w:rsid w:val="00430557"/>
    <w:rsid w:val="00430579"/>
    <w:rsid w:val="0043057C"/>
    <w:rsid w:val="0043063D"/>
    <w:rsid w:val="004307F6"/>
    <w:rsid w:val="004308E6"/>
    <w:rsid w:val="004308F1"/>
    <w:rsid w:val="0043090D"/>
    <w:rsid w:val="0043098F"/>
    <w:rsid w:val="004309E0"/>
    <w:rsid w:val="00430A13"/>
    <w:rsid w:val="00430AAE"/>
    <w:rsid w:val="00430AD1"/>
    <w:rsid w:val="00430B11"/>
    <w:rsid w:val="00430B29"/>
    <w:rsid w:val="00430B2A"/>
    <w:rsid w:val="00430B46"/>
    <w:rsid w:val="00430D29"/>
    <w:rsid w:val="00430E00"/>
    <w:rsid w:val="00430E29"/>
    <w:rsid w:val="00430E52"/>
    <w:rsid w:val="00430E86"/>
    <w:rsid w:val="00430EC5"/>
    <w:rsid w:val="00430FA5"/>
    <w:rsid w:val="00430FAA"/>
    <w:rsid w:val="00430FD6"/>
    <w:rsid w:val="00431038"/>
    <w:rsid w:val="00431154"/>
    <w:rsid w:val="004311DB"/>
    <w:rsid w:val="004311FB"/>
    <w:rsid w:val="004312E1"/>
    <w:rsid w:val="00431300"/>
    <w:rsid w:val="00431346"/>
    <w:rsid w:val="0043135D"/>
    <w:rsid w:val="00431361"/>
    <w:rsid w:val="004313A9"/>
    <w:rsid w:val="004313CB"/>
    <w:rsid w:val="00431401"/>
    <w:rsid w:val="004314D8"/>
    <w:rsid w:val="004314F1"/>
    <w:rsid w:val="00431523"/>
    <w:rsid w:val="0043169E"/>
    <w:rsid w:val="004316B7"/>
    <w:rsid w:val="0043172E"/>
    <w:rsid w:val="00431768"/>
    <w:rsid w:val="0043178E"/>
    <w:rsid w:val="004317C9"/>
    <w:rsid w:val="0043186B"/>
    <w:rsid w:val="004318CC"/>
    <w:rsid w:val="00431933"/>
    <w:rsid w:val="00431996"/>
    <w:rsid w:val="00431A4D"/>
    <w:rsid w:val="00431A55"/>
    <w:rsid w:val="00431A79"/>
    <w:rsid w:val="00431AA5"/>
    <w:rsid w:val="00431AE4"/>
    <w:rsid w:val="00431B84"/>
    <w:rsid w:val="00431CF4"/>
    <w:rsid w:val="00431D6B"/>
    <w:rsid w:val="00431D78"/>
    <w:rsid w:val="00431DBB"/>
    <w:rsid w:val="00431E00"/>
    <w:rsid w:val="00431E11"/>
    <w:rsid w:val="00431E22"/>
    <w:rsid w:val="00431EF3"/>
    <w:rsid w:val="00432002"/>
    <w:rsid w:val="00432021"/>
    <w:rsid w:val="00432045"/>
    <w:rsid w:val="00432066"/>
    <w:rsid w:val="004320BA"/>
    <w:rsid w:val="004320C0"/>
    <w:rsid w:val="004320C1"/>
    <w:rsid w:val="004321A2"/>
    <w:rsid w:val="004321AF"/>
    <w:rsid w:val="004321FD"/>
    <w:rsid w:val="00432262"/>
    <w:rsid w:val="0043227B"/>
    <w:rsid w:val="0043227C"/>
    <w:rsid w:val="00432289"/>
    <w:rsid w:val="004322B4"/>
    <w:rsid w:val="00432388"/>
    <w:rsid w:val="004323C6"/>
    <w:rsid w:val="004323D1"/>
    <w:rsid w:val="004323D2"/>
    <w:rsid w:val="004324A1"/>
    <w:rsid w:val="004325AD"/>
    <w:rsid w:val="0043261C"/>
    <w:rsid w:val="00432640"/>
    <w:rsid w:val="00432651"/>
    <w:rsid w:val="0043276D"/>
    <w:rsid w:val="004327AD"/>
    <w:rsid w:val="004327C2"/>
    <w:rsid w:val="004327DE"/>
    <w:rsid w:val="00432802"/>
    <w:rsid w:val="00432886"/>
    <w:rsid w:val="00432912"/>
    <w:rsid w:val="00432929"/>
    <w:rsid w:val="00432947"/>
    <w:rsid w:val="0043294F"/>
    <w:rsid w:val="0043298E"/>
    <w:rsid w:val="00432998"/>
    <w:rsid w:val="00432A0A"/>
    <w:rsid w:val="00432A94"/>
    <w:rsid w:val="00432B48"/>
    <w:rsid w:val="00432BE0"/>
    <w:rsid w:val="00432C41"/>
    <w:rsid w:val="00432CBE"/>
    <w:rsid w:val="00432CE6"/>
    <w:rsid w:val="00432D2A"/>
    <w:rsid w:val="00432DC5"/>
    <w:rsid w:val="00432DD7"/>
    <w:rsid w:val="00432DF1"/>
    <w:rsid w:val="00432DF4"/>
    <w:rsid w:val="00432E1A"/>
    <w:rsid w:val="00432E3F"/>
    <w:rsid w:val="00432EDB"/>
    <w:rsid w:val="00432F09"/>
    <w:rsid w:val="00432F0A"/>
    <w:rsid w:val="00432FDF"/>
    <w:rsid w:val="00432FFB"/>
    <w:rsid w:val="00433032"/>
    <w:rsid w:val="00433069"/>
    <w:rsid w:val="0043306F"/>
    <w:rsid w:val="0043323B"/>
    <w:rsid w:val="0043324A"/>
    <w:rsid w:val="00433251"/>
    <w:rsid w:val="00433254"/>
    <w:rsid w:val="0043326B"/>
    <w:rsid w:val="0043326D"/>
    <w:rsid w:val="004333BC"/>
    <w:rsid w:val="00433425"/>
    <w:rsid w:val="0043343F"/>
    <w:rsid w:val="0043344A"/>
    <w:rsid w:val="004334E3"/>
    <w:rsid w:val="0043355B"/>
    <w:rsid w:val="004335AD"/>
    <w:rsid w:val="00433606"/>
    <w:rsid w:val="00433635"/>
    <w:rsid w:val="004336C4"/>
    <w:rsid w:val="004336CA"/>
    <w:rsid w:val="00433715"/>
    <w:rsid w:val="0043375A"/>
    <w:rsid w:val="00433771"/>
    <w:rsid w:val="00433806"/>
    <w:rsid w:val="00433944"/>
    <w:rsid w:val="0043395B"/>
    <w:rsid w:val="004339CE"/>
    <w:rsid w:val="00433A37"/>
    <w:rsid w:val="00433AE7"/>
    <w:rsid w:val="00433B68"/>
    <w:rsid w:val="00433BF2"/>
    <w:rsid w:val="00433CAC"/>
    <w:rsid w:val="00433CBB"/>
    <w:rsid w:val="00433CD1"/>
    <w:rsid w:val="00433D0D"/>
    <w:rsid w:val="00433D54"/>
    <w:rsid w:val="00433D7A"/>
    <w:rsid w:val="00433E1F"/>
    <w:rsid w:val="00433E61"/>
    <w:rsid w:val="00433F0E"/>
    <w:rsid w:val="00433F1A"/>
    <w:rsid w:val="00433FB8"/>
    <w:rsid w:val="00433FDE"/>
    <w:rsid w:val="0043406F"/>
    <w:rsid w:val="004340BE"/>
    <w:rsid w:val="0043418B"/>
    <w:rsid w:val="004341C1"/>
    <w:rsid w:val="004341D2"/>
    <w:rsid w:val="0043423A"/>
    <w:rsid w:val="00434258"/>
    <w:rsid w:val="004342BA"/>
    <w:rsid w:val="0043432E"/>
    <w:rsid w:val="00434336"/>
    <w:rsid w:val="00434379"/>
    <w:rsid w:val="004343A0"/>
    <w:rsid w:val="004343DB"/>
    <w:rsid w:val="00434491"/>
    <w:rsid w:val="0043450B"/>
    <w:rsid w:val="00434578"/>
    <w:rsid w:val="004345C7"/>
    <w:rsid w:val="004345E8"/>
    <w:rsid w:val="004345F0"/>
    <w:rsid w:val="00434676"/>
    <w:rsid w:val="004346E7"/>
    <w:rsid w:val="00434710"/>
    <w:rsid w:val="00434731"/>
    <w:rsid w:val="00434743"/>
    <w:rsid w:val="0043478F"/>
    <w:rsid w:val="004347BC"/>
    <w:rsid w:val="004348DE"/>
    <w:rsid w:val="00434907"/>
    <w:rsid w:val="00434A8C"/>
    <w:rsid w:val="00434ACD"/>
    <w:rsid w:val="00434AD0"/>
    <w:rsid w:val="00434B4D"/>
    <w:rsid w:val="00434BAF"/>
    <w:rsid w:val="00434C04"/>
    <w:rsid w:val="00434C3F"/>
    <w:rsid w:val="00434C90"/>
    <w:rsid w:val="00434E7D"/>
    <w:rsid w:val="00434EB1"/>
    <w:rsid w:val="00434EE5"/>
    <w:rsid w:val="00434F51"/>
    <w:rsid w:val="00434F72"/>
    <w:rsid w:val="00434F84"/>
    <w:rsid w:val="00435075"/>
    <w:rsid w:val="004351AB"/>
    <w:rsid w:val="0043520C"/>
    <w:rsid w:val="00435265"/>
    <w:rsid w:val="004353DF"/>
    <w:rsid w:val="004353F6"/>
    <w:rsid w:val="00435527"/>
    <w:rsid w:val="0043553B"/>
    <w:rsid w:val="004355A8"/>
    <w:rsid w:val="00435634"/>
    <w:rsid w:val="0043578B"/>
    <w:rsid w:val="004357AD"/>
    <w:rsid w:val="004357B3"/>
    <w:rsid w:val="004357B7"/>
    <w:rsid w:val="004357FA"/>
    <w:rsid w:val="0043582D"/>
    <w:rsid w:val="00435888"/>
    <w:rsid w:val="0043594A"/>
    <w:rsid w:val="0043594B"/>
    <w:rsid w:val="0043599A"/>
    <w:rsid w:val="00435A4F"/>
    <w:rsid w:val="00435A55"/>
    <w:rsid w:val="00435B12"/>
    <w:rsid w:val="00435BC0"/>
    <w:rsid w:val="00435C3E"/>
    <w:rsid w:val="00435C55"/>
    <w:rsid w:val="00435C8D"/>
    <w:rsid w:val="00435CEB"/>
    <w:rsid w:val="00435D6D"/>
    <w:rsid w:val="00435D83"/>
    <w:rsid w:val="00435EBD"/>
    <w:rsid w:val="00435F2C"/>
    <w:rsid w:val="00435F6E"/>
    <w:rsid w:val="00435F7C"/>
    <w:rsid w:val="00435FFD"/>
    <w:rsid w:val="00436066"/>
    <w:rsid w:val="00436081"/>
    <w:rsid w:val="00436096"/>
    <w:rsid w:val="004360B4"/>
    <w:rsid w:val="004361FD"/>
    <w:rsid w:val="00436227"/>
    <w:rsid w:val="0043626D"/>
    <w:rsid w:val="004362DF"/>
    <w:rsid w:val="0043636E"/>
    <w:rsid w:val="0043639C"/>
    <w:rsid w:val="0043640D"/>
    <w:rsid w:val="00436587"/>
    <w:rsid w:val="00436589"/>
    <w:rsid w:val="004365AD"/>
    <w:rsid w:val="004365D9"/>
    <w:rsid w:val="0043665A"/>
    <w:rsid w:val="004366E0"/>
    <w:rsid w:val="00436714"/>
    <w:rsid w:val="0043676C"/>
    <w:rsid w:val="004367D3"/>
    <w:rsid w:val="004367D8"/>
    <w:rsid w:val="00436844"/>
    <w:rsid w:val="00436856"/>
    <w:rsid w:val="00436946"/>
    <w:rsid w:val="004369CB"/>
    <w:rsid w:val="004369CD"/>
    <w:rsid w:val="004369F8"/>
    <w:rsid w:val="00436A49"/>
    <w:rsid w:val="00436A8D"/>
    <w:rsid w:val="00436B1B"/>
    <w:rsid w:val="00436B2F"/>
    <w:rsid w:val="00436B9E"/>
    <w:rsid w:val="00436C46"/>
    <w:rsid w:val="00436CE2"/>
    <w:rsid w:val="00436CF6"/>
    <w:rsid w:val="00436DC7"/>
    <w:rsid w:val="00436ED0"/>
    <w:rsid w:val="00436EF1"/>
    <w:rsid w:val="00436FFF"/>
    <w:rsid w:val="004370DF"/>
    <w:rsid w:val="004371B5"/>
    <w:rsid w:val="004371F6"/>
    <w:rsid w:val="0043724B"/>
    <w:rsid w:val="00437267"/>
    <w:rsid w:val="00437292"/>
    <w:rsid w:val="00437360"/>
    <w:rsid w:val="00437450"/>
    <w:rsid w:val="00437459"/>
    <w:rsid w:val="004374D2"/>
    <w:rsid w:val="0043752A"/>
    <w:rsid w:val="00437540"/>
    <w:rsid w:val="00437565"/>
    <w:rsid w:val="0043757E"/>
    <w:rsid w:val="004375D1"/>
    <w:rsid w:val="004375F5"/>
    <w:rsid w:val="004375F7"/>
    <w:rsid w:val="00437603"/>
    <w:rsid w:val="004376D3"/>
    <w:rsid w:val="004377A1"/>
    <w:rsid w:val="004377AC"/>
    <w:rsid w:val="00437831"/>
    <w:rsid w:val="00437889"/>
    <w:rsid w:val="004378E9"/>
    <w:rsid w:val="0043799A"/>
    <w:rsid w:val="004379C2"/>
    <w:rsid w:val="00437A99"/>
    <w:rsid w:val="00437B13"/>
    <w:rsid w:val="00437B6B"/>
    <w:rsid w:val="00437B7B"/>
    <w:rsid w:val="00437B82"/>
    <w:rsid w:val="00437B95"/>
    <w:rsid w:val="00437BA1"/>
    <w:rsid w:val="00437BD7"/>
    <w:rsid w:val="00437C5A"/>
    <w:rsid w:val="00437C6C"/>
    <w:rsid w:val="00437C80"/>
    <w:rsid w:val="00437CBF"/>
    <w:rsid w:val="00437CF7"/>
    <w:rsid w:val="00437E06"/>
    <w:rsid w:val="00437E16"/>
    <w:rsid w:val="00437EB2"/>
    <w:rsid w:val="00437F54"/>
    <w:rsid w:val="00437F6C"/>
    <w:rsid w:val="00437F9F"/>
    <w:rsid w:val="00437FFA"/>
    <w:rsid w:val="00440000"/>
    <w:rsid w:val="0044000E"/>
    <w:rsid w:val="004400CF"/>
    <w:rsid w:val="004400DD"/>
    <w:rsid w:val="004400E8"/>
    <w:rsid w:val="004401CC"/>
    <w:rsid w:val="004401F9"/>
    <w:rsid w:val="004402E1"/>
    <w:rsid w:val="0044033C"/>
    <w:rsid w:val="00440365"/>
    <w:rsid w:val="004403C9"/>
    <w:rsid w:val="0044040E"/>
    <w:rsid w:val="004404B5"/>
    <w:rsid w:val="00440563"/>
    <w:rsid w:val="00440595"/>
    <w:rsid w:val="004405F9"/>
    <w:rsid w:val="0044068D"/>
    <w:rsid w:val="004406BF"/>
    <w:rsid w:val="0044073B"/>
    <w:rsid w:val="00440771"/>
    <w:rsid w:val="00440789"/>
    <w:rsid w:val="004407AB"/>
    <w:rsid w:val="00440831"/>
    <w:rsid w:val="00440845"/>
    <w:rsid w:val="004408AC"/>
    <w:rsid w:val="004408FD"/>
    <w:rsid w:val="004409B0"/>
    <w:rsid w:val="004409B4"/>
    <w:rsid w:val="00440A02"/>
    <w:rsid w:val="00440A91"/>
    <w:rsid w:val="00440A99"/>
    <w:rsid w:val="00440BE4"/>
    <w:rsid w:val="00440D01"/>
    <w:rsid w:val="00440D58"/>
    <w:rsid w:val="00440D8F"/>
    <w:rsid w:val="00440DDE"/>
    <w:rsid w:val="00440E69"/>
    <w:rsid w:val="00440ECE"/>
    <w:rsid w:val="00440ED3"/>
    <w:rsid w:val="00440F1F"/>
    <w:rsid w:val="00440FB1"/>
    <w:rsid w:val="00440FB7"/>
    <w:rsid w:val="00441035"/>
    <w:rsid w:val="00441087"/>
    <w:rsid w:val="004410A3"/>
    <w:rsid w:val="004410B4"/>
    <w:rsid w:val="004410D4"/>
    <w:rsid w:val="004410FB"/>
    <w:rsid w:val="004410FC"/>
    <w:rsid w:val="0044111C"/>
    <w:rsid w:val="004411C1"/>
    <w:rsid w:val="004412E9"/>
    <w:rsid w:val="004412F6"/>
    <w:rsid w:val="00441312"/>
    <w:rsid w:val="00441326"/>
    <w:rsid w:val="00441330"/>
    <w:rsid w:val="004413F3"/>
    <w:rsid w:val="004413F6"/>
    <w:rsid w:val="00441432"/>
    <w:rsid w:val="00441436"/>
    <w:rsid w:val="004415C0"/>
    <w:rsid w:val="004415ED"/>
    <w:rsid w:val="00441670"/>
    <w:rsid w:val="0044168E"/>
    <w:rsid w:val="0044169A"/>
    <w:rsid w:val="004416B6"/>
    <w:rsid w:val="004416D0"/>
    <w:rsid w:val="00441851"/>
    <w:rsid w:val="00441880"/>
    <w:rsid w:val="004418AB"/>
    <w:rsid w:val="00441919"/>
    <w:rsid w:val="00441927"/>
    <w:rsid w:val="00441A32"/>
    <w:rsid w:val="00441B38"/>
    <w:rsid w:val="00441B53"/>
    <w:rsid w:val="00441B56"/>
    <w:rsid w:val="00441BF7"/>
    <w:rsid w:val="00441C37"/>
    <w:rsid w:val="00441C57"/>
    <w:rsid w:val="00441C6C"/>
    <w:rsid w:val="00441CAB"/>
    <w:rsid w:val="00441CE0"/>
    <w:rsid w:val="00441CE6"/>
    <w:rsid w:val="00441D0F"/>
    <w:rsid w:val="00441D1C"/>
    <w:rsid w:val="00441D45"/>
    <w:rsid w:val="00441DAF"/>
    <w:rsid w:val="00441E2A"/>
    <w:rsid w:val="00441E7E"/>
    <w:rsid w:val="00441EB1"/>
    <w:rsid w:val="00441ECF"/>
    <w:rsid w:val="00441F3E"/>
    <w:rsid w:val="00441F79"/>
    <w:rsid w:val="00441F94"/>
    <w:rsid w:val="00441FE8"/>
    <w:rsid w:val="004420D0"/>
    <w:rsid w:val="004420D1"/>
    <w:rsid w:val="0044214C"/>
    <w:rsid w:val="004421BC"/>
    <w:rsid w:val="0044221D"/>
    <w:rsid w:val="004422A8"/>
    <w:rsid w:val="0044230E"/>
    <w:rsid w:val="00442396"/>
    <w:rsid w:val="00442422"/>
    <w:rsid w:val="0044246D"/>
    <w:rsid w:val="00442475"/>
    <w:rsid w:val="00442481"/>
    <w:rsid w:val="0044248B"/>
    <w:rsid w:val="00442507"/>
    <w:rsid w:val="00442524"/>
    <w:rsid w:val="004425F5"/>
    <w:rsid w:val="00442626"/>
    <w:rsid w:val="004426BB"/>
    <w:rsid w:val="004427EF"/>
    <w:rsid w:val="004428D8"/>
    <w:rsid w:val="00442953"/>
    <w:rsid w:val="00442994"/>
    <w:rsid w:val="00442A1F"/>
    <w:rsid w:val="00442A30"/>
    <w:rsid w:val="00442A5D"/>
    <w:rsid w:val="00442AFF"/>
    <w:rsid w:val="00442B2A"/>
    <w:rsid w:val="00442B71"/>
    <w:rsid w:val="00442C7F"/>
    <w:rsid w:val="00442CD5"/>
    <w:rsid w:val="00442D02"/>
    <w:rsid w:val="00442D65"/>
    <w:rsid w:val="00442D94"/>
    <w:rsid w:val="00442DF5"/>
    <w:rsid w:val="00442E3E"/>
    <w:rsid w:val="00442E92"/>
    <w:rsid w:val="00443002"/>
    <w:rsid w:val="00443028"/>
    <w:rsid w:val="004430D5"/>
    <w:rsid w:val="00443140"/>
    <w:rsid w:val="00443172"/>
    <w:rsid w:val="004431A4"/>
    <w:rsid w:val="004431F4"/>
    <w:rsid w:val="004432BE"/>
    <w:rsid w:val="00443331"/>
    <w:rsid w:val="00443456"/>
    <w:rsid w:val="004434C2"/>
    <w:rsid w:val="004434E9"/>
    <w:rsid w:val="004435CA"/>
    <w:rsid w:val="004435CC"/>
    <w:rsid w:val="00443614"/>
    <w:rsid w:val="00443646"/>
    <w:rsid w:val="00443756"/>
    <w:rsid w:val="00443758"/>
    <w:rsid w:val="0044375E"/>
    <w:rsid w:val="00443791"/>
    <w:rsid w:val="00443882"/>
    <w:rsid w:val="0044388B"/>
    <w:rsid w:val="004438C3"/>
    <w:rsid w:val="004438F1"/>
    <w:rsid w:val="00443933"/>
    <w:rsid w:val="0044394D"/>
    <w:rsid w:val="00443996"/>
    <w:rsid w:val="00443A82"/>
    <w:rsid w:val="00443AB4"/>
    <w:rsid w:val="00443AED"/>
    <w:rsid w:val="00443B4C"/>
    <w:rsid w:val="00443B96"/>
    <w:rsid w:val="00443BCA"/>
    <w:rsid w:val="00443C8C"/>
    <w:rsid w:val="00443CF3"/>
    <w:rsid w:val="00443D1B"/>
    <w:rsid w:val="00443DF6"/>
    <w:rsid w:val="00443E3C"/>
    <w:rsid w:val="00443E75"/>
    <w:rsid w:val="00443F10"/>
    <w:rsid w:val="00443F63"/>
    <w:rsid w:val="00443FBC"/>
    <w:rsid w:val="00443FE7"/>
    <w:rsid w:val="00444016"/>
    <w:rsid w:val="0044402E"/>
    <w:rsid w:val="00444050"/>
    <w:rsid w:val="004440FD"/>
    <w:rsid w:val="00444142"/>
    <w:rsid w:val="00444184"/>
    <w:rsid w:val="00444256"/>
    <w:rsid w:val="004443D3"/>
    <w:rsid w:val="004443DA"/>
    <w:rsid w:val="00444474"/>
    <w:rsid w:val="00444486"/>
    <w:rsid w:val="00444496"/>
    <w:rsid w:val="0044451E"/>
    <w:rsid w:val="004445ED"/>
    <w:rsid w:val="004445FD"/>
    <w:rsid w:val="00444605"/>
    <w:rsid w:val="00444699"/>
    <w:rsid w:val="004446E6"/>
    <w:rsid w:val="004446E9"/>
    <w:rsid w:val="00444735"/>
    <w:rsid w:val="00444751"/>
    <w:rsid w:val="00444785"/>
    <w:rsid w:val="0044481A"/>
    <w:rsid w:val="00444825"/>
    <w:rsid w:val="00444842"/>
    <w:rsid w:val="004448D8"/>
    <w:rsid w:val="004448EF"/>
    <w:rsid w:val="00444935"/>
    <w:rsid w:val="00444988"/>
    <w:rsid w:val="00444A1C"/>
    <w:rsid w:val="00444A58"/>
    <w:rsid w:val="00444AB8"/>
    <w:rsid w:val="00444AF3"/>
    <w:rsid w:val="00444B3F"/>
    <w:rsid w:val="00444B5A"/>
    <w:rsid w:val="00444BC7"/>
    <w:rsid w:val="00444BCF"/>
    <w:rsid w:val="00444BFF"/>
    <w:rsid w:val="00444C43"/>
    <w:rsid w:val="00444CC6"/>
    <w:rsid w:val="00444EC9"/>
    <w:rsid w:val="00444EE4"/>
    <w:rsid w:val="00444F17"/>
    <w:rsid w:val="0044503F"/>
    <w:rsid w:val="00445053"/>
    <w:rsid w:val="0044506D"/>
    <w:rsid w:val="00445125"/>
    <w:rsid w:val="004451F7"/>
    <w:rsid w:val="0044522C"/>
    <w:rsid w:val="00445241"/>
    <w:rsid w:val="004452B4"/>
    <w:rsid w:val="004453D0"/>
    <w:rsid w:val="004453DB"/>
    <w:rsid w:val="00445424"/>
    <w:rsid w:val="00445434"/>
    <w:rsid w:val="0044548C"/>
    <w:rsid w:val="0044557C"/>
    <w:rsid w:val="00445611"/>
    <w:rsid w:val="00445674"/>
    <w:rsid w:val="0044570D"/>
    <w:rsid w:val="0044578D"/>
    <w:rsid w:val="0044579C"/>
    <w:rsid w:val="0044579D"/>
    <w:rsid w:val="004457E4"/>
    <w:rsid w:val="004458B5"/>
    <w:rsid w:val="0044591F"/>
    <w:rsid w:val="0044599F"/>
    <w:rsid w:val="00445A2E"/>
    <w:rsid w:val="00445A65"/>
    <w:rsid w:val="00445A82"/>
    <w:rsid w:val="00445AE8"/>
    <w:rsid w:val="00445B15"/>
    <w:rsid w:val="00445B23"/>
    <w:rsid w:val="00445C9D"/>
    <w:rsid w:val="00445CEB"/>
    <w:rsid w:val="00445D72"/>
    <w:rsid w:val="00445DD6"/>
    <w:rsid w:val="00445EE0"/>
    <w:rsid w:val="00445F26"/>
    <w:rsid w:val="00445F3E"/>
    <w:rsid w:val="00445F45"/>
    <w:rsid w:val="00445FE8"/>
    <w:rsid w:val="00446017"/>
    <w:rsid w:val="00446051"/>
    <w:rsid w:val="00446098"/>
    <w:rsid w:val="00446171"/>
    <w:rsid w:val="004461B5"/>
    <w:rsid w:val="0044624F"/>
    <w:rsid w:val="004462C2"/>
    <w:rsid w:val="0044632A"/>
    <w:rsid w:val="004464B6"/>
    <w:rsid w:val="0044658C"/>
    <w:rsid w:val="004465B9"/>
    <w:rsid w:val="004466B9"/>
    <w:rsid w:val="00446712"/>
    <w:rsid w:val="004467EC"/>
    <w:rsid w:val="0044681A"/>
    <w:rsid w:val="0044684B"/>
    <w:rsid w:val="004468FE"/>
    <w:rsid w:val="00446920"/>
    <w:rsid w:val="004469DC"/>
    <w:rsid w:val="00446A1C"/>
    <w:rsid w:val="00446A33"/>
    <w:rsid w:val="00446A67"/>
    <w:rsid w:val="00446ABB"/>
    <w:rsid w:val="00446AC6"/>
    <w:rsid w:val="00446B40"/>
    <w:rsid w:val="00446B6C"/>
    <w:rsid w:val="00446BFC"/>
    <w:rsid w:val="00446C8E"/>
    <w:rsid w:val="00446CB8"/>
    <w:rsid w:val="00446D36"/>
    <w:rsid w:val="00446D92"/>
    <w:rsid w:val="00446DC5"/>
    <w:rsid w:val="00446E66"/>
    <w:rsid w:val="00446EA4"/>
    <w:rsid w:val="00446F57"/>
    <w:rsid w:val="00446F58"/>
    <w:rsid w:val="00446FAC"/>
    <w:rsid w:val="00446FB5"/>
    <w:rsid w:val="00446FD9"/>
    <w:rsid w:val="00447007"/>
    <w:rsid w:val="00447096"/>
    <w:rsid w:val="00447097"/>
    <w:rsid w:val="0044717B"/>
    <w:rsid w:val="00447181"/>
    <w:rsid w:val="004471E9"/>
    <w:rsid w:val="00447208"/>
    <w:rsid w:val="00447284"/>
    <w:rsid w:val="004472FE"/>
    <w:rsid w:val="0044731B"/>
    <w:rsid w:val="00447393"/>
    <w:rsid w:val="0044741A"/>
    <w:rsid w:val="0044748D"/>
    <w:rsid w:val="004474A2"/>
    <w:rsid w:val="004474B0"/>
    <w:rsid w:val="004474FF"/>
    <w:rsid w:val="00447521"/>
    <w:rsid w:val="00447530"/>
    <w:rsid w:val="00447610"/>
    <w:rsid w:val="00447657"/>
    <w:rsid w:val="0044769B"/>
    <w:rsid w:val="004476A1"/>
    <w:rsid w:val="00447728"/>
    <w:rsid w:val="004477B7"/>
    <w:rsid w:val="00447812"/>
    <w:rsid w:val="0044782F"/>
    <w:rsid w:val="00447841"/>
    <w:rsid w:val="00447890"/>
    <w:rsid w:val="00447893"/>
    <w:rsid w:val="00447902"/>
    <w:rsid w:val="0044790C"/>
    <w:rsid w:val="0044791C"/>
    <w:rsid w:val="004479B8"/>
    <w:rsid w:val="004479E3"/>
    <w:rsid w:val="004479E6"/>
    <w:rsid w:val="00447AA3"/>
    <w:rsid w:val="00447B2F"/>
    <w:rsid w:val="00447B4F"/>
    <w:rsid w:val="00447C51"/>
    <w:rsid w:val="00447C7F"/>
    <w:rsid w:val="00447CAD"/>
    <w:rsid w:val="00447CF0"/>
    <w:rsid w:val="00447DC6"/>
    <w:rsid w:val="00447FB3"/>
    <w:rsid w:val="00447FDB"/>
    <w:rsid w:val="0045018D"/>
    <w:rsid w:val="0045018F"/>
    <w:rsid w:val="00450233"/>
    <w:rsid w:val="0045027A"/>
    <w:rsid w:val="0045038F"/>
    <w:rsid w:val="00450394"/>
    <w:rsid w:val="004503AA"/>
    <w:rsid w:val="004503E8"/>
    <w:rsid w:val="00450644"/>
    <w:rsid w:val="004506DB"/>
    <w:rsid w:val="0045084E"/>
    <w:rsid w:val="00450852"/>
    <w:rsid w:val="004508EC"/>
    <w:rsid w:val="00450962"/>
    <w:rsid w:val="00450BB8"/>
    <w:rsid w:val="00450C80"/>
    <w:rsid w:val="00450CA6"/>
    <w:rsid w:val="00450D18"/>
    <w:rsid w:val="00450D36"/>
    <w:rsid w:val="00450D94"/>
    <w:rsid w:val="00450E0E"/>
    <w:rsid w:val="00450E42"/>
    <w:rsid w:val="00450EE8"/>
    <w:rsid w:val="00450F53"/>
    <w:rsid w:val="00451062"/>
    <w:rsid w:val="004510DE"/>
    <w:rsid w:val="00451103"/>
    <w:rsid w:val="00451230"/>
    <w:rsid w:val="004512D3"/>
    <w:rsid w:val="0045132F"/>
    <w:rsid w:val="00451394"/>
    <w:rsid w:val="004513F9"/>
    <w:rsid w:val="0045143F"/>
    <w:rsid w:val="004517ED"/>
    <w:rsid w:val="00451835"/>
    <w:rsid w:val="00451838"/>
    <w:rsid w:val="00451A51"/>
    <w:rsid w:val="00451A52"/>
    <w:rsid w:val="00451A6A"/>
    <w:rsid w:val="00451A81"/>
    <w:rsid w:val="00451B81"/>
    <w:rsid w:val="00451BA3"/>
    <w:rsid w:val="00451C22"/>
    <w:rsid w:val="00451CE0"/>
    <w:rsid w:val="00451D15"/>
    <w:rsid w:val="00451D4B"/>
    <w:rsid w:val="00451D9E"/>
    <w:rsid w:val="00451DC5"/>
    <w:rsid w:val="00451E47"/>
    <w:rsid w:val="00451E56"/>
    <w:rsid w:val="00451E5D"/>
    <w:rsid w:val="00451F60"/>
    <w:rsid w:val="00451F63"/>
    <w:rsid w:val="00451FAD"/>
    <w:rsid w:val="00451FE7"/>
    <w:rsid w:val="00451FF3"/>
    <w:rsid w:val="0045204C"/>
    <w:rsid w:val="0045214A"/>
    <w:rsid w:val="00452155"/>
    <w:rsid w:val="00452346"/>
    <w:rsid w:val="0045234B"/>
    <w:rsid w:val="0045238F"/>
    <w:rsid w:val="004523FB"/>
    <w:rsid w:val="00452496"/>
    <w:rsid w:val="004524FB"/>
    <w:rsid w:val="00452527"/>
    <w:rsid w:val="00452574"/>
    <w:rsid w:val="00452652"/>
    <w:rsid w:val="004526DC"/>
    <w:rsid w:val="00452710"/>
    <w:rsid w:val="00452730"/>
    <w:rsid w:val="0045274B"/>
    <w:rsid w:val="00452852"/>
    <w:rsid w:val="00452888"/>
    <w:rsid w:val="0045288C"/>
    <w:rsid w:val="004528A5"/>
    <w:rsid w:val="004528A8"/>
    <w:rsid w:val="00452923"/>
    <w:rsid w:val="00452951"/>
    <w:rsid w:val="004529BC"/>
    <w:rsid w:val="00452A28"/>
    <w:rsid w:val="00452A7D"/>
    <w:rsid w:val="00452A81"/>
    <w:rsid w:val="00452A87"/>
    <w:rsid w:val="00452AB2"/>
    <w:rsid w:val="00452B98"/>
    <w:rsid w:val="00452C5C"/>
    <w:rsid w:val="00452C74"/>
    <w:rsid w:val="00452C93"/>
    <w:rsid w:val="00452C96"/>
    <w:rsid w:val="00452CBE"/>
    <w:rsid w:val="00452CE5"/>
    <w:rsid w:val="00452D72"/>
    <w:rsid w:val="00452D84"/>
    <w:rsid w:val="00452D98"/>
    <w:rsid w:val="00452E10"/>
    <w:rsid w:val="00452E5B"/>
    <w:rsid w:val="00452EDD"/>
    <w:rsid w:val="00452F21"/>
    <w:rsid w:val="00452F7D"/>
    <w:rsid w:val="00452FAC"/>
    <w:rsid w:val="00452FB8"/>
    <w:rsid w:val="00453002"/>
    <w:rsid w:val="00453004"/>
    <w:rsid w:val="004530A9"/>
    <w:rsid w:val="004530AE"/>
    <w:rsid w:val="00453118"/>
    <w:rsid w:val="0045328F"/>
    <w:rsid w:val="004532B6"/>
    <w:rsid w:val="00453367"/>
    <w:rsid w:val="00453376"/>
    <w:rsid w:val="0045339A"/>
    <w:rsid w:val="004533A8"/>
    <w:rsid w:val="004534C0"/>
    <w:rsid w:val="00453516"/>
    <w:rsid w:val="004535D8"/>
    <w:rsid w:val="00453639"/>
    <w:rsid w:val="00453688"/>
    <w:rsid w:val="004536ED"/>
    <w:rsid w:val="004536FA"/>
    <w:rsid w:val="00453745"/>
    <w:rsid w:val="00453813"/>
    <w:rsid w:val="00453915"/>
    <w:rsid w:val="00453934"/>
    <w:rsid w:val="00453944"/>
    <w:rsid w:val="00453961"/>
    <w:rsid w:val="0045399C"/>
    <w:rsid w:val="004539DE"/>
    <w:rsid w:val="004539FC"/>
    <w:rsid w:val="00453A15"/>
    <w:rsid w:val="00453A5E"/>
    <w:rsid w:val="00453B27"/>
    <w:rsid w:val="00453BA5"/>
    <w:rsid w:val="00453BD9"/>
    <w:rsid w:val="00453C21"/>
    <w:rsid w:val="00453C86"/>
    <w:rsid w:val="00453E51"/>
    <w:rsid w:val="00453EA9"/>
    <w:rsid w:val="00453EBD"/>
    <w:rsid w:val="00453ECF"/>
    <w:rsid w:val="00453EED"/>
    <w:rsid w:val="00453F40"/>
    <w:rsid w:val="00453FDC"/>
    <w:rsid w:val="00454026"/>
    <w:rsid w:val="00454093"/>
    <w:rsid w:val="004540F0"/>
    <w:rsid w:val="0045416D"/>
    <w:rsid w:val="0045417D"/>
    <w:rsid w:val="0045417F"/>
    <w:rsid w:val="00454230"/>
    <w:rsid w:val="0045424A"/>
    <w:rsid w:val="0045426E"/>
    <w:rsid w:val="00454274"/>
    <w:rsid w:val="00454313"/>
    <w:rsid w:val="0045433A"/>
    <w:rsid w:val="00454341"/>
    <w:rsid w:val="00454344"/>
    <w:rsid w:val="004543D3"/>
    <w:rsid w:val="0045440E"/>
    <w:rsid w:val="00454438"/>
    <w:rsid w:val="004544A3"/>
    <w:rsid w:val="004544AA"/>
    <w:rsid w:val="004544D6"/>
    <w:rsid w:val="0045465B"/>
    <w:rsid w:val="00454662"/>
    <w:rsid w:val="0045468D"/>
    <w:rsid w:val="004546DB"/>
    <w:rsid w:val="0045470B"/>
    <w:rsid w:val="00454765"/>
    <w:rsid w:val="0045479A"/>
    <w:rsid w:val="004547BA"/>
    <w:rsid w:val="004547E2"/>
    <w:rsid w:val="00454806"/>
    <w:rsid w:val="00454824"/>
    <w:rsid w:val="00454839"/>
    <w:rsid w:val="0045485A"/>
    <w:rsid w:val="00454864"/>
    <w:rsid w:val="0045488A"/>
    <w:rsid w:val="00454945"/>
    <w:rsid w:val="0045498E"/>
    <w:rsid w:val="004549BF"/>
    <w:rsid w:val="004549FF"/>
    <w:rsid w:val="00454AA9"/>
    <w:rsid w:val="00454AAD"/>
    <w:rsid w:val="00454B0E"/>
    <w:rsid w:val="00454B20"/>
    <w:rsid w:val="00454B69"/>
    <w:rsid w:val="00454C26"/>
    <w:rsid w:val="00454C29"/>
    <w:rsid w:val="00454C4B"/>
    <w:rsid w:val="00454C7A"/>
    <w:rsid w:val="00454C84"/>
    <w:rsid w:val="00454C95"/>
    <w:rsid w:val="00454CF8"/>
    <w:rsid w:val="00454F4A"/>
    <w:rsid w:val="00454F56"/>
    <w:rsid w:val="00454FC9"/>
    <w:rsid w:val="00455031"/>
    <w:rsid w:val="00455042"/>
    <w:rsid w:val="0045505D"/>
    <w:rsid w:val="0045506D"/>
    <w:rsid w:val="004550D8"/>
    <w:rsid w:val="004551DA"/>
    <w:rsid w:val="004553C8"/>
    <w:rsid w:val="004553DF"/>
    <w:rsid w:val="00455480"/>
    <w:rsid w:val="00455498"/>
    <w:rsid w:val="004554A1"/>
    <w:rsid w:val="004554ED"/>
    <w:rsid w:val="004554F1"/>
    <w:rsid w:val="00455537"/>
    <w:rsid w:val="0045556C"/>
    <w:rsid w:val="00455588"/>
    <w:rsid w:val="004555D2"/>
    <w:rsid w:val="004556E9"/>
    <w:rsid w:val="004556FF"/>
    <w:rsid w:val="0045572A"/>
    <w:rsid w:val="0045576B"/>
    <w:rsid w:val="004557FB"/>
    <w:rsid w:val="00455801"/>
    <w:rsid w:val="0045584D"/>
    <w:rsid w:val="00455872"/>
    <w:rsid w:val="0045587B"/>
    <w:rsid w:val="0045592B"/>
    <w:rsid w:val="0045593E"/>
    <w:rsid w:val="00455950"/>
    <w:rsid w:val="0045598B"/>
    <w:rsid w:val="004559D3"/>
    <w:rsid w:val="00455A05"/>
    <w:rsid w:val="00455A68"/>
    <w:rsid w:val="00455C7D"/>
    <w:rsid w:val="00455CD0"/>
    <w:rsid w:val="00455D6C"/>
    <w:rsid w:val="00455E63"/>
    <w:rsid w:val="00455F97"/>
    <w:rsid w:val="00455FA1"/>
    <w:rsid w:val="00455FBB"/>
    <w:rsid w:val="00455FEE"/>
    <w:rsid w:val="00456020"/>
    <w:rsid w:val="00456069"/>
    <w:rsid w:val="00456092"/>
    <w:rsid w:val="004560B2"/>
    <w:rsid w:val="004560F8"/>
    <w:rsid w:val="00456104"/>
    <w:rsid w:val="00456221"/>
    <w:rsid w:val="00456281"/>
    <w:rsid w:val="0045628D"/>
    <w:rsid w:val="004562B7"/>
    <w:rsid w:val="004562F1"/>
    <w:rsid w:val="00456362"/>
    <w:rsid w:val="004564A3"/>
    <w:rsid w:val="00456589"/>
    <w:rsid w:val="00456610"/>
    <w:rsid w:val="00456719"/>
    <w:rsid w:val="0045678C"/>
    <w:rsid w:val="004567CD"/>
    <w:rsid w:val="0045686B"/>
    <w:rsid w:val="00456927"/>
    <w:rsid w:val="00456952"/>
    <w:rsid w:val="004569BF"/>
    <w:rsid w:val="004569C9"/>
    <w:rsid w:val="004569DD"/>
    <w:rsid w:val="004569EB"/>
    <w:rsid w:val="00456A43"/>
    <w:rsid w:val="00456AF2"/>
    <w:rsid w:val="00456B95"/>
    <w:rsid w:val="00456B9F"/>
    <w:rsid w:val="00456C0A"/>
    <w:rsid w:val="00456C4F"/>
    <w:rsid w:val="00456C55"/>
    <w:rsid w:val="00456C9D"/>
    <w:rsid w:val="00456CC5"/>
    <w:rsid w:val="00456D1D"/>
    <w:rsid w:val="00456D29"/>
    <w:rsid w:val="00456D4A"/>
    <w:rsid w:val="00456DDF"/>
    <w:rsid w:val="00456F71"/>
    <w:rsid w:val="00456FF8"/>
    <w:rsid w:val="00456FFC"/>
    <w:rsid w:val="00457037"/>
    <w:rsid w:val="00457064"/>
    <w:rsid w:val="004570B4"/>
    <w:rsid w:val="00457116"/>
    <w:rsid w:val="00457188"/>
    <w:rsid w:val="00457229"/>
    <w:rsid w:val="004572A6"/>
    <w:rsid w:val="004572E6"/>
    <w:rsid w:val="004572EE"/>
    <w:rsid w:val="0045738D"/>
    <w:rsid w:val="004573A6"/>
    <w:rsid w:val="004573F1"/>
    <w:rsid w:val="0045743E"/>
    <w:rsid w:val="00457480"/>
    <w:rsid w:val="00457520"/>
    <w:rsid w:val="00457526"/>
    <w:rsid w:val="00457563"/>
    <w:rsid w:val="004575C8"/>
    <w:rsid w:val="0045760C"/>
    <w:rsid w:val="0045767D"/>
    <w:rsid w:val="00457695"/>
    <w:rsid w:val="00457782"/>
    <w:rsid w:val="004577B1"/>
    <w:rsid w:val="004577C5"/>
    <w:rsid w:val="0045781E"/>
    <w:rsid w:val="0045788C"/>
    <w:rsid w:val="004578A6"/>
    <w:rsid w:val="004578CA"/>
    <w:rsid w:val="00457946"/>
    <w:rsid w:val="0045795E"/>
    <w:rsid w:val="00457985"/>
    <w:rsid w:val="004579DA"/>
    <w:rsid w:val="004579E2"/>
    <w:rsid w:val="00457A19"/>
    <w:rsid w:val="00457A5D"/>
    <w:rsid w:val="00457AC9"/>
    <w:rsid w:val="00457B04"/>
    <w:rsid w:val="00457BA5"/>
    <w:rsid w:val="00457C00"/>
    <w:rsid w:val="00457C0D"/>
    <w:rsid w:val="00457C2F"/>
    <w:rsid w:val="00457D22"/>
    <w:rsid w:val="00457D40"/>
    <w:rsid w:val="00457E09"/>
    <w:rsid w:val="00457E26"/>
    <w:rsid w:val="00457E2E"/>
    <w:rsid w:val="00457EFE"/>
    <w:rsid w:val="00457F31"/>
    <w:rsid w:val="0046003B"/>
    <w:rsid w:val="004600B0"/>
    <w:rsid w:val="00460108"/>
    <w:rsid w:val="00460143"/>
    <w:rsid w:val="004601CA"/>
    <w:rsid w:val="004601EA"/>
    <w:rsid w:val="004602BE"/>
    <w:rsid w:val="004602C7"/>
    <w:rsid w:val="00460333"/>
    <w:rsid w:val="0046036C"/>
    <w:rsid w:val="00460406"/>
    <w:rsid w:val="0046041C"/>
    <w:rsid w:val="00460442"/>
    <w:rsid w:val="0046055F"/>
    <w:rsid w:val="0046063B"/>
    <w:rsid w:val="00460664"/>
    <w:rsid w:val="004607DD"/>
    <w:rsid w:val="004607F1"/>
    <w:rsid w:val="004607FD"/>
    <w:rsid w:val="0046084A"/>
    <w:rsid w:val="00460889"/>
    <w:rsid w:val="00460A1D"/>
    <w:rsid w:val="00460A42"/>
    <w:rsid w:val="00460A5B"/>
    <w:rsid w:val="00460AAD"/>
    <w:rsid w:val="00460BF5"/>
    <w:rsid w:val="00460C46"/>
    <w:rsid w:val="00460C6D"/>
    <w:rsid w:val="00460CA2"/>
    <w:rsid w:val="00460D17"/>
    <w:rsid w:val="00460D18"/>
    <w:rsid w:val="00460D22"/>
    <w:rsid w:val="00460D64"/>
    <w:rsid w:val="00460D96"/>
    <w:rsid w:val="00460E5A"/>
    <w:rsid w:val="00460EBB"/>
    <w:rsid w:val="00460F72"/>
    <w:rsid w:val="00460FC0"/>
    <w:rsid w:val="00460FEE"/>
    <w:rsid w:val="0046101C"/>
    <w:rsid w:val="00461026"/>
    <w:rsid w:val="004610D2"/>
    <w:rsid w:val="0046122E"/>
    <w:rsid w:val="004612BE"/>
    <w:rsid w:val="0046131F"/>
    <w:rsid w:val="0046132E"/>
    <w:rsid w:val="00461425"/>
    <w:rsid w:val="0046146C"/>
    <w:rsid w:val="0046152E"/>
    <w:rsid w:val="004615BA"/>
    <w:rsid w:val="004615D7"/>
    <w:rsid w:val="0046168B"/>
    <w:rsid w:val="00461693"/>
    <w:rsid w:val="00461705"/>
    <w:rsid w:val="0046177A"/>
    <w:rsid w:val="00461792"/>
    <w:rsid w:val="0046179D"/>
    <w:rsid w:val="004617C2"/>
    <w:rsid w:val="004618BD"/>
    <w:rsid w:val="00461BE7"/>
    <w:rsid w:val="00461BFC"/>
    <w:rsid w:val="00461BFD"/>
    <w:rsid w:val="00461C10"/>
    <w:rsid w:val="00461CE9"/>
    <w:rsid w:val="00461D77"/>
    <w:rsid w:val="00461DEC"/>
    <w:rsid w:val="00461E95"/>
    <w:rsid w:val="00461FAF"/>
    <w:rsid w:val="0046200A"/>
    <w:rsid w:val="00462014"/>
    <w:rsid w:val="0046205A"/>
    <w:rsid w:val="00462152"/>
    <w:rsid w:val="00462183"/>
    <w:rsid w:val="004621AA"/>
    <w:rsid w:val="004621FE"/>
    <w:rsid w:val="00462215"/>
    <w:rsid w:val="0046225C"/>
    <w:rsid w:val="0046229C"/>
    <w:rsid w:val="004622D2"/>
    <w:rsid w:val="00462312"/>
    <w:rsid w:val="00462328"/>
    <w:rsid w:val="00462387"/>
    <w:rsid w:val="004623A8"/>
    <w:rsid w:val="004623D3"/>
    <w:rsid w:val="00462407"/>
    <w:rsid w:val="00462428"/>
    <w:rsid w:val="004624E8"/>
    <w:rsid w:val="0046252B"/>
    <w:rsid w:val="00462557"/>
    <w:rsid w:val="004625B9"/>
    <w:rsid w:val="004625E1"/>
    <w:rsid w:val="00462609"/>
    <w:rsid w:val="00462622"/>
    <w:rsid w:val="00462625"/>
    <w:rsid w:val="0046263E"/>
    <w:rsid w:val="004626B7"/>
    <w:rsid w:val="00462798"/>
    <w:rsid w:val="00462820"/>
    <w:rsid w:val="00462843"/>
    <w:rsid w:val="00462879"/>
    <w:rsid w:val="00462930"/>
    <w:rsid w:val="00462975"/>
    <w:rsid w:val="00462A01"/>
    <w:rsid w:val="00462A19"/>
    <w:rsid w:val="00462A51"/>
    <w:rsid w:val="00462A8F"/>
    <w:rsid w:val="00462B6C"/>
    <w:rsid w:val="00462B90"/>
    <w:rsid w:val="00462C08"/>
    <w:rsid w:val="00462CCE"/>
    <w:rsid w:val="00462CDA"/>
    <w:rsid w:val="00462D50"/>
    <w:rsid w:val="00462E40"/>
    <w:rsid w:val="00462E54"/>
    <w:rsid w:val="00462E98"/>
    <w:rsid w:val="00462F46"/>
    <w:rsid w:val="00463064"/>
    <w:rsid w:val="0046307D"/>
    <w:rsid w:val="0046309F"/>
    <w:rsid w:val="00463116"/>
    <w:rsid w:val="004631A9"/>
    <w:rsid w:val="004631DD"/>
    <w:rsid w:val="004631E8"/>
    <w:rsid w:val="004631FD"/>
    <w:rsid w:val="0046325E"/>
    <w:rsid w:val="004632A8"/>
    <w:rsid w:val="004632DA"/>
    <w:rsid w:val="0046336C"/>
    <w:rsid w:val="004633A0"/>
    <w:rsid w:val="00463510"/>
    <w:rsid w:val="00463553"/>
    <w:rsid w:val="00463582"/>
    <w:rsid w:val="004635BA"/>
    <w:rsid w:val="004635FD"/>
    <w:rsid w:val="00463617"/>
    <w:rsid w:val="00463687"/>
    <w:rsid w:val="0046368E"/>
    <w:rsid w:val="00463693"/>
    <w:rsid w:val="004636D8"/>
    <w:rsid w:val="004637C5"/>
    <w:rsid w:val="0046383C"/>
    <w:rsid w:val="0046383F"/>
    <w:rsid w:val="004638D9"/>
    <w:rsid w:val="004638E1"/>
    <w:rsid w:val="00463963"/>
    <w:rsid w:val="004639A0"/>
    <w:rsid w:val="004639B0"/>
    <w:rsid w:val="004639D8"/>
    <w:rsid w:val="00463A4F"/>
    <w:rsid w:val="00463AC4"/>
    <w:rsid w:val="00463B16"/>
    <w:rsid w:val="00463B6F"/>
    <w:rsid w:val="00463B7A"/>
    <w:rsid w:val="00463BA8"/>
    <w:rsid w:val="00463C01"/>
    <w:rsid w:val="00463C6C"/>
    <w:rsid w:val="00463CBB"/>
    <w:rsid w:val="00463D8F"/>
    <w:rsid w:val="00463DAC"/>
    <w:rsid w:val="00463E18"/>
    <w:rsid w:val="00463E40"/>
    <w:rsid w:val="00463E8D"/>
    <w:rsid w:val="00463E91"/>
    <w:rsid w:val="00463EA0"/>
    <w:rsid w:val="00463ED7"/>
    <w:rsid w:val="00463EDB"/>
    <w:rsid w:val="00463EFF"/>
    <w:rsid w:val="00463F75"/>
    <w:rsid w:val="00463F7B"/>
    <w:rsid w:val="00463F8D"/>
    <w:rsid w:val="00463FB1"/>
    <w:rsid w:val="00463FF6"/>
    <w:rsid w:val="0046400A"/>
    <w:rsid w:val="0046401A"/>
    <w:rsid w:val="004640FA"/>
    <w:rsid w:val="00464101"/>
    <w:rsid w:val="00464153"/>
    <w:rsid w:val="0046416A"/>
    <w:rsid w:val="00464199"/>
    <w:rsid w:val="004641E5"/>
    <w:rsid w:val="00464263"/>
    <w:rsid w:val="004642A4"/>
    <w:rsid w:val="004642C9"/>
    <w:rsid w:val="004642D2"/>
    <w:rsid w:val="004642FA"/>
    <w:rsid w:val="0046439F"/>
    <w:rsid w:val="00464456"/>
    <w:rsid w:val="00464461"/>
    <w:rsid w:val="0046448A"/>
    <w:rsid w:val="0046450B"/>
    <w:rsid w:val="0046455F"/>
    <w:rsid w:val="004645C1"/>
    <w:rsid w:val="0046463B"/>
    <w:rsid w:val="0046476D"/>
    <w:rsid w:val="0046479F"/>
    <w:rsid w:val="0046488E"/>
    <w:rsid w:val="004648A2"/>
    <w:rsid w:val="00464988"/>
    <w:rsid w:val="004649A3"/>
    <w:rsid w:val="004649FB"/>
    <w:rsid w:val="00464A23"/>
    <w:rsid w:val="00464A48"/>
    <w:rsid w:val="00464A74"/>
    <w:rsid w:val="00464AFB"/>
    <w:rsid w:val="00464B2C"/>
    <w:rsid w:val="00464B53"/>
    <w:rsid w:val="00464BE0"/>
    <w:rsid w:val="00464C12"/>
    <w:rsid w:val="00464C6D"/>
    <w:rsid w:val="00464C9C"/>
    <w:rsid w:val="00464CAF"/>
    <w:rsid w:val="00464CEE"/>
    <w:rsid w:val="00464D21"/>
    <w:rsid w:val="00464D2C"/>
    <w:rsid w:val="00464E05"/>
    <w:rsid w:val="00464E10"/>
    <w:rsid w:val="00464E11"/>
    <w:rsid w:val="00464E5C"/>
    <w:rsid w:val="00464F8D"/>
    <w:rsid w:val="00464FF8"/>
    <w:rsid w:val="004650A1"/>
    <w:rsid w:val="004650FD"/>
    <w:rsid w:val="00465194"/>
    <w:rsid w:val="0046519B"/>
    <w:rsid w:val="004651C1"/>
    <w:rsid w:val="004651F8"/>
    <w:rsid w:val="00465256"/>
    <w:rsid w:val="0046537E"/>
    <w:rsid w:val="00465452"/>
    <w:rsid w:val="00465453"/>
    <w:rsid w:val="004654F5"/>
    <w:rsid w:val="0046551F"/>
    <w:rsid w:val="004655C8"/>
    <w:rsid w:val="0046562C"/>
    <w:rsid w:val="004656CF"/>
    <w:rsid w:val="004657DB"/>
    <w:rsid w:val="004657FE"/>
    <w:rsid w:val="00465843"/>
    <w:rsid w:val="0046584B"/>
    <w:rsid w:val="004659D4"/>
    <w:rsid w:val="004659FA"/>
    <w:rsid w:val="00465A19"/>
    <w:rsid w:val="00465B9C"/>
    <w:rsid w:val="00465BBC"/>
    <w:rsid w:val="00465C0A"/>
    <w:rsid w:val="00465C2B"/>
    <w:rsid w:val="00465C5E"/>
    <w:rsid w:val="00465DAC"/>
    <w:rsid w:val="00465DED"/>
    <w:rsid w:val="00465E39"/>
    <w:rsid w:val="00465EBE"/>
    <w:rsid w:val="00465F40"/>
    <w:rsid w:val="0046605B"/>
    <w:rsid w:val="00466067"/>
    <w:rsid w:val="004660BF"/>
    <w:rsid w:val="0046622C"/>
    <w:rsid w:val="004662D0"/>
    <w:rsid w:val="0046634D"/>
    <w:rsid w:val="00466351"/>
    <w:rsid w:val="00466390"/>
    <w:rsid w:val="004663C9"/>
    <w:rsid w:val="004663E9"/>
    <w:rsid w:val="0046640B"/>
    <w:rsid w:val="004664D7"/>
    <w:rsid w:val="00466755"/>
    <w:rsid w:val="00466789"/>
    <w:rsid w:val="00466845"/>
    <w:rsid w:val="00466980"/>
    <w:rsid w:val="004669C6"/>
    <w:rsid w:val="00466A23"/>
    <w:rsid w:val="00466AD3"/>
    <w:rsid w:val="00466AE0"/>
    <w:rsid w:val="00466B71"/>
    <w:rsid w:val="00466BBA"/>
    <w:rsid w:val="00466C37"/>
    <w:rsid w:val="00466C74"/>
    <w:rsid w:val="00466C86"/>
    <w:rsid w:val="00466CD0"/>
    <w:rsid w:val="00466CDC"/>
    <w:rsid w:val="00466CEC"/>
    <w:rsid w:val="00466D1D"/>
    <w:rsid w:val="00466D39"/>
    <w:rsid w:val="00466D4A"/>
    <w:rsid w:val="00466D4F"/>
    <w:rsid w:val="00466E1C"/>
    <w:rsid w:val="00466EB1"/>
    <w:rsid w:val="00466ED7"/>
    <w:rsid w:val="00466F1F"/>
    <w:rsid w:val="00466F8C"/>
    <w:rsid w:val="00466FA8"/>
    <w:rsid w:val="00467037"/>
    <w:rsid w:val="00467091"/>
    <w:rsid w:val="004670E6"/>
    <w:rsid w:val="00467159"/>
    <w:rsid w:val="004671A4"/>
    <w:rsid w:val="004671A5"/>
    <w:rsid w:val="00467246"/>
    <w:rsid w:val="004672C9"/>
    <w:rsid w:val="0046738A"/>
    <w:rsid w:val="004673B2"/>
    <w:rsid w:val="00467408"/>
    <w:rsid w:val="00467414"/>
    <w:rsid w:val="00467447"/>
    <w:rsid w:val="0046761B"/>
    <w:rsid w:val="004677DA"/>
    <w:rsid w:val="004677DE"/>
    <w:rsid w:val="00467817"/>
    <w:rsid w:val="00467860"/>
    <w:rsid w:val="0046792A"/>
    <w:rsid w:val="0046793A"/>
    <w:rsid w:val="0046796F"/>
    <w:rsid w:val="00467989"/>
    <w:rsid w:val="0046799D"/>
    <w:rsid w:val="004679B8"/>
    <w:rsid w:val="00467A3E"/>
    <w:rsid w:val="00467AB1"/>
    <w:rsid w:val="00467B4F"/>
    <w:rsid w:val="00467C14"/>
    <w:rsid w:val="00467C15"/>
    <w:rsid w:val="00467C3A"/>
    <w:rsid w:val="00467C6A"/>
    <w:rsid w:val="00467C83"/>
    <w:rsid w:val="00467C91"/>
    <w:rsid w:val="00467D24"/>
    <w:rsid w:val="00467D53"/>
    <w:rsid w:val="00467DAF"/>
    <w:rsid w:val="00467DB4"/>
    <w:rsid w:val="00467DD9"/>
    <w:rsid w:val="00467DFB"/>
    <w:rsid w:val="00467E57"/>
    <w:rsid w:val="00467E81"/>
    <w:rsid w:val="00467ED7"/>
    <w:rsid w:val="00467EEA"/>
    <w:rsid w:val="00467F39"/>
    <w:rsid w:val="00467F5F"/>
    <w:rsid w:val="00470102"/>
    <w:rsid w:val="00470129"/>
    <w:rsid w:val="00470177"/>
    <w:rsid w:val="0047017B"/>
    <w:rsid w:val="00470201"/>
    <w:rsid w:val="00470232"/>
    <w:rsid w:val="00470245"/>
    <w:rsid w:val="004703CC"/>
    <w:rsid w:val="00470501"/>
    <w:rsid w:val="00470543"/>
    <w:rsid w:val="00470581"/>
    <w:rsid w:val="0047058B"/>
    <w:rsid w:val="004705AE"/>
    <w:rsid w:val="004705DC"/>
    <w:rsid w:val="004705EB"/>
    <w:rsid w:val="004706DE"/>
    <w:rsid w:val="00470715"/>
    <w:rsid w:val="0047076F"/>
    <w:rsid w:val="00470894"/>
    <w:rsid w:val="00470A46"/>
    <w:rsid w:val="00470A51"/>
    <w:rsid w:val="00470BC2"/>
    <w:rsid w:val="00470BD4"/>
    <w:rsid w:val="00470BD8"/>
    <w:rsid w:val="00470BDF"/>
    <w:rsid w:val="00470C37"/>
    <w:rsid w:val="00470CA1"/>
    <w:rsid w:val="00470CB0"/>
    <w:rsid w:val="00470CE9"/>
    <w:rsid w:val="00470D1B"/>
    <w:rsid w:val="00470DBB"/>
    <w:rsid w:val="00470DE5"/>
    <w:rsid w:val="00470E14"/>
    <w:rsid w:val="00470F38"/>
    <w:rsid w:val="00470F9B"/>
    <w:rsid w:val="00470FC4"/>
    <w:rsid w:val="004710FE"/>
    <w:rsid w:val="0047124B"/>
    <w:rsid w:val="00471279"/>
    <w:rsid w:val="004712DA"/>
    <w:rsid w:val="004712FA"/>
    <w:rsid w:val="00471333"/>
    <w:rsid w:val="0047135D"/>
    <w:rsid w:val="00471362"/>
    <w:rsid w:val="00471394"/>
    <w:rsid w:val="004713C3"/>
    <w:rsid w:val="004714BF"/>
    <w:rsid w:val="00471514"/>
    <w:rsid w:val="0047161D"/>
    <w:rsid w:val="00471668"/>
    <w:rsid w:val="004716B7"/>
    <w:rsid w:val="004716D9"/>
    <w:rsid w:val="004716EA"/>
    <w:rsid w:val="00471736"/>
    <w:rsid w:val="0047179A"/>
    <w:rsid w:val="004717A8"/>
    <w:rsid w:val="004718B7"/>
    <w:rsid w:val="004718E6"/>
    <w:rsid w:val="0047191E"/>
    <w:rsid w:val="004719A9"/>
    <w:rsid w:val="00471A71"/>
    <w:rsid w:val="00471AE0"/>
    <w:rsid w:val="00471B6D"/>
    <w:rsid w:val="00471BDC"/>
    <w:rsid w:val="00471C4A"/>
    <w:rsid w:val="00471CAD"/>
    <w:rsid w:val="00471D3A"/>
    <w:rsid w:val="00471DC4"/>
    <w:rsid w:val="00471E32"/>
    <w:rsid w:val="00471E4A"/>
    <w:rsid w:val="00471E9C"/>
    <w:rsid w:val="00471F40"/>
    <w:rsid w:val="00471F50"/>
    <w:rsid w:val="00471FC9"/>
    <w:rsid w:val="0047200B"/>
    <w:rsid w:val="00472022"/>
    <w:rsid w:val="004720FA"/>
    <w:rsid w:val="00472124"/>
    <w:rsid w:val="0047213C"/>
    <w:rsid w:val="00472150"/>
    <w:rsid w:val="004721A6"/>
    <w:rsid w:val="004721FF"/>
    <w:rsid w:val="00472331"/>
    <w:rsid w:val="0047237C"/>
    <w:rsid w:val="00472414"/>
    <w:rsid w:val="00472437"/>
    <w:rsid w:val="004724A6"/>
    <w:rsid w:val="004724B0"/>
    <w:rsid w:val="004724C3"/>
    <w:rsid w:val="004724E5"/>
    <w:rsid w:val="0047258F"/>
    <w:rsid w:val="004725E3"/>
    <w:rsid w:val="004725F4"/>
    <w:rsid w:val="00472634"/>
    <w:rsid w:val="004726CA"/>
    <w:rsid w:val="004726CE"/>
    <w:rsid w:val="004727B5"/>
    <w:rsid w:val="00472851"/>
    <w:rsid w:val="004728A0"/>
    <w:rsid w:val="004728C2"/>
    <w:rsid w:val="004729BA"/>
    <w:rsid w:val="00472A4E"/>
    <w:rsid w:val="00472AE5"/>
    <w:rsid w:val="00472AEE"/>
    <w:rsid w:val="00472B07"/>
    <w:rsid w:val="00472B43"/>
    <w:rsid w:val="00472B7E"/>
    <w:rsid w:val="00472B81"/>
    <w:rsid w:val="00472BCE"/>
    <w:rsid w:val="00472CE2"/>
    <w:rsid w:val="00472D0B"/>
    <w:rsid w:val="00472D17"/>
    <w:rsid w:val="00472DD5"/>
    <w:rsid w:val="00472EBF"/>
    <w:rsid w:val="00472EF3"/>
    <w:rsid w:val="00472F01"/>
    <w:rsid w:val="00472F2A"/>
    <w:rsid w:val="00472FB2"/>
    <w:rsid w:val="00473121"/>
    <w:rsid w:val="00473172"/>
    <w:rsid w:val="004731DB"/>
    <w:rsid w:val="004732BC"/>
    <w:rsid w:val="00473443"/>
    <w:rsid w:val="004734E7"/>
    <w:rsid w:val="00473540"/>
    <w:rsid w:val="0047358E"/>
    <w:rsid w:val="004735F7"/>
    <w:rsid w:val="0047369E"/>
    <w:rsid w:val="004736AA"/>
    <w:rsid w:val="00473784"/>
    <w:rsid w:val="00473828"/>
    <w:rsid w:val="0047382C"/>
    <w:rsid w:val="00473830"/>
    <w:rsid w:val="00473852"/>
    <w:rsid w:val="004738A3"/>
    <w:rsid w:val="004738B0"/>
    <w:rsid w:val="0047397C"/>
    <w:rsid w:val="00473996"/>
    <w:rsid w:val="004739AA"/>
    <w:rsid w:val="00473A16"/>
    <w:rsid w:val="00473B7B"/>
    <w:rsid w:val="00473B90"/>
    <w:rsid w:val="00473D5F"/>
    <w:rsid w:val="00473DE8"/>
    <w:rsid w:val="00473DFB"/>
    <w:rsid w:val="00473E06"/>
    <w:rsid w:val="00473E1A"/>
    <w:rsid w:val="00473E30"/>
    <w:rsid w:val="00473E35"/>
    <w:rsid w:val="00473F98"/>
    <w:rsid w:val="00473FA7"/>
    <w:rsid w:val="004740C5"/>
    <w:rsid w:val="0047410F"/>
    <w:rsid w:val="00474223"/>
    <w:rsid w:val="004742DD"/>
    <w:rsid w:val="004743F7"/>
    <w:rsid w:val="0047443B"/>
    <w:rsid w:val="004744FD"/>
    <w:rsid w:val="00474503"/>
    <w:rsid w:val="004745A4"/>
    <w:rsid w:val="00474678"/>
    <w:rsid w:val="00474761"/>
    <w:rsid w:val="0047476E"/>
    <w:rsid w:val="00474787"/>
    <w:rsid w:val="004747A4"/>
    <w:rsid w:val="00474877"/>
    <w:rsid w:val="004748D0"/>
    <w:rsid w:val="004748D2"/>
    <w:rsid w:val="004748F7"/>
    <w:rsid w:val="004748FE"/>
    <w:rsid w:val="0047495B"/>
    <w:rsid w:val="00474A82"/>
    <w:rsid w:val="00474BA3"/>
    <w:rsid w:val="00474CAF"/>
    <w:rsid w:val="00474CBF"/>
    <w:rsid w:val="00474CDF"/>
    <w:rsid w:val="00474CEA"/>
    <w:rsid w:val="00474CFC"/>
    <w:rsid w:val="00474D40"/>
    <w:rsid w:val="00474D78"/>
    <w:rsid w:val="00474E04"/>
    <w:rsid w:val="00474E9C"/>
    <w:rsid w:val="00474F39"/>
    <w:rsid w:val="00474F7E"/>
    <w:rsid w:val="00474F8B"/>
    <w:rsid w:val="00475032"/>
    <w:rsid w:val="0047513F"/>
    <w:rsid w:val="0047518B"/>
    <w:rsid w:val="00475231"/>
    <w:rsid w:val="00475240"/>
    <w:rsid w:val="0047526D"/>
    <w:rsid w:val="004752CB"/>
    <w:rsid w:val="0047530D"/>
    <w:rsid w:val="00475374"/>
    <w:rsid w:val="004753F4"/>
    <w:rsid w:val="00475460"/>
    <w:rsid w:val="004755F2"/>
    <w:rsid w:val="00475666"/>
    <w:rsid w:val="0047566F"/>
    <w:rsid w:val="0047571B"/>
    <w:rsid w:val="00475756"/>
    <w:rsid w:val="004757F3"/>
    <w:rsid w:val="00475820"/>
    <w:rsid w:val="0047583F"/>
    <w:rsid w:val="00475868"/>
    <w:rsid w:val="00475915"/>
    <w:rsid w:val="004759FE"/>
    <w:rsid w:val="00475A9D"/>
    <w:rsid w:val="00475AC8"/>
    <w:rsid w:val="00475B28"/>
    <w:rsid w:val="00475B71"/>
    <w:rsid w:val="00475B8E"/>
    <w:rsid w:val="00475BBE"/>
    <w:rsid w:val="00475BD2"/>
    <w:rsid w:val="00475C22"/>
    <w:rsid w:val="00475CA8"/>
    <w:rsid w:val="00475D9E"/>
    <w:rsid w:val="00475DAC"/>
    <w:rsid w:val="00475DC2"/>
    <w:rsid w:val="00475E21"/>
    <w:rsid w:val="00475F0D"/>
    <w:rsid w:val="00475F9B"/>
    <w:rsid w:val="00475FA5"/>
    <w:rsid w:val="0047605B"/>
    <w:rsid w:val="004761D5"/>
    <w:rsid w:val="004761FE"/>
    <w:rsid w:val="0047624B"/>
    <w:rsid w:val="0047624D"/>
    <w:rsid w:val="0047629B"/>
    <w:rsid w:val="004762C0"/>
    <w:rsid w:val="004763F8"/>
    <w:rsid w:val="00476451"/>
    <w:rsid w:val="00476452"/>
    <w:rsid w:val="004765C0"/>
    <w:rsid w:val="00476644"/>
    <w:rsid w:val="0047664C"/>
    <w:rsid w:val="004767B5"/>
    <w:rsid w:val="00476802"/>
    <w:rsid w:val="00476910"/>
    <w:rsid w:val="00476941"/>
    <w:rsid w:val="0047694C"/>
    <w:rsid w:val="004769AB"/>
    <w:rsid w:val="00476A65"/>
    <w:rsid w:val="00476AC9"/>
    <w:rsid w:val="00476B97"/>
    <w:rsid w:val="00476BF9"/>
    <w:rsid w:val="00476CF8"/>
    <w:rsid w:val="00476D15"/>
    <w:rsid w:val="00476D1E"/>
    <w:rsid w:val="00476D21"/>
    <w:rsid w:val="00476D97"/>
    <w:rsid w:val="00476EBB"/>
    <w:rsid w:val="00476F48"/>
    <w:rsid w:val="00476F8E"/>
    <w:rsid w:val="00477020"/>
    <w:rsid w:val="0047704F"/>
    <w:rsid w:val="004770F2"/>
    <w:rsid w:val="0047711B"/>
    <w:rsid w:val="00477136"/>
    <w:rsid w:val="0047718D"/>
    <w:rsid w:val="0047720A"/>
    <w:rsid w:val="0047730E"/>
    <w:rsid w:val="00477399"/>
    <w:rsid w:val="004773BE"/>
    <w:rsid w:val="0047746E"/>
    <w:rsid w:val="0047748E"/>
    <w:rsid w:val="0047757C"/>
    <w:rsid w:val="004775AA"/>
    <w:rsid w:val="0047767E"/>
    <w:rsid w:val="00477692"/>
    <w:rsid w:val="00477752"/>
    <w:rsid w:val="00477778"/>
    <w:rsid w:val="0047777E"/>
    <w:rsid w:val="004777AC"/>
    <w:rsid w:val="00477883"/>
    <w:rsid w:val="00477924"/>
    <w:rsid w:val="004779D2"/>
    <w:rsid w:val="00477A69"/>
    <w:rsid w:val="00477BD8"/>
    <w:rsid w:val="00477C24"/>
    <w:rsid w:val="00477DAA"/>
    <w:rsid w:val="00477DCF"/>
    <w:rsid w:val="00477F13"/>
    <w:rsid w:val="00477F27"/>
    <w:rsid w:val="00477F3B"/>
    <w:rsid w:val="00477F6C"/>
    <w:rsid w:val="00477F80"/>
    <w:rsid w:val="00477FEB"/>
    <w:rsid w:val="00480078"/>
    <w:rsid w:val="004801E4"/>
    <w:rsid w:val="00480200"/>
    <w:rsid w:val="0048037B"/>
    <w:rsid w:val="004803A2"/>
    <w:rsid w:val="00480434"/>
    <w:rsid w:val="00480440"/>
    <w:rsid w:val="00480453"/>
    <w:rsid w:val="004804A0"/>
    <w:rsid w:val="00480605"/>
    <w:rsid w:val="00480619"/>
    <w:rsid w:val="004806AE"/>
    <w:rsid w:val="004806CC"/>
    <w:rsid w:val="004806FA"/>
    <w:rsid w:val="004807E4"/>
    <w:rsid w:val="00480866"/>
    <w:rsid w:val="0048086A"/>
    <w:rsid w:val="0048088A"/>
    <w:rsid w:val="004808F2"/>
    <w:rsid w:val="00480958"/>
    <w:rsid w:val="0048095B"/>
    <w:rsid w:val="0048096F"/>
    <w:rsid w:val="0048099F"/>
    <w:rsid w:val="004809B8"/>
    <w:rsid w:val="00480A40"/>
    <w:rsid w:val="00480A54"/>
    <w:rsid w:val="00480A7A"/>
    <w:rsid w:val="00480A81"/>
    <w:rsid w:val="00480AAD"/>
    <w:rsid w:val="00480B24"/>
    <w:rsid w:val="00480BD0"/>
    <w:rsid w:val="00480BDA"/>
    <w:rsid w:val="00480C73"/>
    <w:rsid w:val="00480DC2"/>
    <w:rsid w:val="00480E23"/>
    <w:rsid w:val="00480EF0"/>
    <w:rsid w:val="00481060"/>
    <w:rsid w:val="004810CF"/>
    <w:rsid w:val="0048112D"/>
    <w:rsid w:val="004811B5"/>
    <w:rsid w:val="004811E9"/>
    <w:rsid w:val="0048125C"/>
    <w:rsid w:val="00481288"/>
    <w:rsid w:val="004812FF"/>
    <w:rsid w:val="00481323"/>
    <w:rsid w:val="00481332"/>
    <w:rsid w:val="004813EC"/>
    <w:rsid w:val="004814E8"/>
    <w:rsid w:val="00481549"/>
    <w:rsid w:val="00481604"/>
    <w:rsid w:val="00481653"/>
    <w:rsid w:val="004816E0"/>
    <w:rsid w:val="00481709"/>
    <w:rsid w:val="0048177C"/>
    <w:rsid w:val="0048182D"/>
    <w:rsid w:val="0048182E"/>
    <w:rsid w:val="004818E6"/>
    <w:rsid w:val="00481935"/>
    <w:rsid w:val="004819A2"/>
    <w:rsid w:val="004819ED"/>
    <w:rsid w:val="00481AEA"/>
    <w:rsid w:val="00481C4B"/>
    <w:rsid w:val="00481C82"/>
    <w:rsid w:val="00481C83"/>
    <w:rsid w:val="00481CEC"/>
    <w:rsid w:val="00481CFA"/>
    <w:rsid w:val="00481D04"/>
    <w:rsid w:val="00481D64"/>
    <w:rsid w:val="00481DB1"/>
    <w:rsid w:val="00481E16"/>
    <w:rsid w:val="00481E54"/>
    <w:rsid w:val="00481F4A"/>
    <w:rsid w:val="00481F66"/>
    <w:rsid w:val="00481FD5"/>
    <w:rsid w:val="00481FF4"/>
    <w:rsid w:val="00482001"/>
    <w:rsid w:val="0048206D"/>
    <w:rsid w:val="00482070"/>
    <w:rsid w:val="0048214A"/>
    <w:rsid w:val="0048216C"/>
    <w:rsid w:val="004821CC"/>
    <w:rsid w:val="0048221B"/>
    <w:rsid w:val="00482233"/>
    <w:rsid w:val="00482237"/>
    <w:rsid w:val="0048225A"/>
    <w:rsid w:val="004822B9"/>
    <w:rsid w:val="004823B5"/>
    <w:rsid w:val="00482670"/>
    <w:rsid w:val="00482689"/>
    <w:rsid w:val="0048271C"/>
    <w:rsid w:val="0048274D"/>
    <w:rsid w:val="00482780"/>
    <w:rsid w:val="004827E3"/>
    <w:rsid w:val="00482807"/>
    <w:rsid w:val="00482847"/>
    <w:rsid w:val="00482867"/>
    <w:rsid w:val="00482875"/>
    <w:rsid w:val="004828F0"/>
    <w:rsid w:val="00482999"/>
    <w:rsid w:val="004829AF"/>
    <w:rsid w:val="004829DA"/>
    <w:rsid w:val="00482A38"/>
    <w:rsid w:val="00482A78"/>
    <w:rsid w:val="00482AE6"/>
    <w:rsid w:val="00482B00"/>
    <w:rsid w:val="00482B3C"/>
    <w:rsid w:val="00482B59"/>
    <w:rsid w:val="00482B62"/>
    <w:rsid w:val="00482B79"/>
    <w:rsid w:val="00482C20"/>
    <w:rsid w:val="00482CD8"/>
    <w:rsid w:val="00482D73"/>
    <w:rsid w:val="00482E1C"/>
    <w:rsid w:val="00482E1D"/>
    <w:rsid w:val="00482E83"/>
    <w:rsid w:val="00482EC0"/>
    <w:rsid w:val="00482EDF"/>
    <w:rsid w:val="00482F05"/>
    <w:rsid w:val="00482F54"/>
    <w:rsid w:val="00482F6A"/>
    <w:rsid w:val="00483009"/>
    <w:rsid w:val="004831C4"/>
    <w:rsid w:val="00483212"/>
    <w:rsid w:val="0048331D"/>
    <w:rsid w:val="0048332C"/>
    <w:rsid w:val="00483356"/>
    <w:rsid w:val="0048338F"/>
    <w:rsid w:val="004833E1"/>
    <w:rsid w:val="0048341C"/>
    <w:rsid w:val="0048343E"/>
    <w:rsid w:val="0048345B"/>
    <w:rsid w:val="004834C0"/>
    <w:rsid w:val="004834ED"/>
    <w:rsid w:val="0048365E"/>
    <w:rsid w:val="004836A1"/>
    <w:rsid w:val="004836FE"/>
    <w:rsid w:val="00483769"/>
    <w:rsid w:val="0048377D"/>
    <w:rsid w:val="004837ED"/>
    <w:rsid w:val="004837F1"/>
    <w:rsid w:val="00483882"/>
    <w:rsid w:val="004838C8"/>
    <w:rsid w:val="0048393C"/>
    <w:rsid w:val="00483942"/>
    <w:rsid w:val="0048395C"/>
    <w:rsid w:val="00483964"/>
    <w:rsid w:val="00483971"/>
    <w:rsid w:val="00483973"/>
    <w:rsid w:val="00483978"/>
    <w:rsid w:val="00483995"/>
    <w:rsid w:val="00483999"/>
    <w:rsid w:val="00483A38"/>
    <w:rsid w:val="00483A41"/>
    <w:rsid w:val="00483AE6"/>
    <w:rsid w:val="00483B68"/>
    <w:rsid w:val="00483BC0"/>
    <w:rsid w:val="00483C42"/>
    <w:rsid w:val="00483C50"/>
    <w:rsid w:val="00483CAB"/>
    <w:rsid w:val="00483D19"/>
    <w:rsid w:val="00483DC6"/>
    <w:rsid w:val="00483DE2"/>
    <w:rsid w:val="00483E33"/>
    <w:rsid w:val="00483E73"/>
    <w:rsid w:val="00483F1B"/>
    <w:rsid w:val="00483F4E"/>
    <w:rsid w:val="0048405B"/>
    <w:rsid w:val="004840A2"/>
    <w:rsid w:val="004840BB"/>
    <w:rsid w:val="004840F1"/>
    <w:rsid w:val="00484163"/>
    <w:rsid w:val="0048419E"/>
    <w:rsid w:val="00484208"/>
    <w:rsid w:val="00484228"/>
    <w:rsid w:val="00484261"/>
    <w:rsid w:val="004842B4"/>
    <w:rsid w:val="004842E0"/>
    <w:rsid w:val="004843BF"/>
    <w:rsid w:val="004843CF"/>
    <w:rsid w:val="004843D9"/>
    <w:rsid w:val="004844F6"/>
    <w:rsid w:val="00484576"/>
    <w:rsid w:val="00484590"/>
    <w:rsid w:val="0048469D"/>
    <w:rsid w:val="004846E1"/>
    <w:rsid w:val="0048471D"/>
    <w:rsid w:val="00484777"/>
    <w:rsid w:val="0048479C"/>
    <w:rsid w:val="004847AA"/>
    <w:rsid w:val="004847F6"/>
    <w:rsid w:val="00484800"/>
    <w:rsid w:val="00484902"/>
    <w:rsid w:val="0048491F"/>
    <w:rsid w:val="00484986"/>
    <w:rsid w:val="00484A04"/>
    <w:rsid w:val="00484B45"/>
    <w:rsid w:val="00484C00"/>
    <w:rsid w:val="00484C38"/>
    <w:rsid w:val="00484C6D"/>
    <w:rsid w:val="00484C7A"/>
    <w:rsid w:val="00484D1B"/>
    <w:rsid w:val="00484D7C"/>
    <w:rsid w:val="00484D90"/>
    <w:rsid w:val="00484E00"/>
    <w:rsid w:val="00484E11"/>
    <w:rsid w:val="00484E48"/>
    <w:rsid w:val="00484E96"/>
    <w:rsid w:val="00484EA1"/>
    <w:rsid w:val="00484EF7"/>
    <w:rsid w:val="00484F15"/>
    <w:rsid w:val="00484F28"/>
    <w:rsid w:val="00484FA6"/>
    <w:rsid w:val="00485007"/>
    <w:rsid w:val="00485071"/>
    <w:rsid w:val="004850C0"/>
    <w:rsid w:val="00485148"/>
    <w:rsid w:val="0048523C"/>
    <w:rsid w:val="00485378"/>
    <w:rsid w:val="0048538A"/>
    <w:rsid w:val="00485390"/>
    <w:rsid w:val="004853E9"/>
    <w:rsid w:val="00485412"/>
    <w:rsid w:val="00485452"/>
    <w:rsid w:val="004854FD"/>
    <w:rsid w:val="00485529"/>
    <w:rsid w:val="00485595"/>
    <w:rsid w:val="0048559A"/>
    <w:rsid w:val="0048567D"/>
    <w:rsid w:val="00485775"/>
    <w:rsid w:val="004857E2"/>
    <w:rsid w:val="00485825"/>
    <w:rsid w:val="00485864"/>
    <w:rsid w:val="00485865"/>
    <w:rsid w:val="00485886"/>
    <w:rsid w:val="0048593A"/>
    <w:rsid w:val="004859A1"/>
    <w:rsid w:val="004859CE"/>
    <w:rsid w:val="00485A55"/>
    <w:rsid w:val="00485AA7"/>
    <w:rsid w:val="00485B78"/>
    <w:rsid w:val="00485B8F"/>
    <w:rsid w:val="00485C2B"/>
    <w:rsid w:val="00485C3B"/>
    <w:rsid w:val="00485C9A"/>
    <w:rsid w:val="00485D3C"/>
    <w:rsid w:val="00485D8D"/>
    <w:rsid w:val="00485D9E"/>
    <w:rsid w:val="00485E0C"/>
    <w:rsid w:val="00485EA7"/>
    <w:rsid w:val="00485EF1"/>
    <w:rsid w:val="00485F51"/>
    <w:rsid w:val="0048609D"/>
    <w:rsid w:val="004860DF"/>
    <w:rsid w:val="00486166"/>
    <w:rsid w:val="00486287"/>
    <w:rsid w:val="004862F0"/>
    <w:rsid w:val="00486319"/>
    <w:rsid w:val="00486344"/>
    <w:rsid w:val="0048643B"/>
    <w:rsid w:val="0048649C"/>
    <w:rsid w:val="004864F5"/>
    <w:rsid w:val="004865B0"/>
    <w:rsid w:val="004865D5"/>
    <w:rsid w:val="00486695"/>
    <w:rsid w:val="004866D6"/>
    <w:rsid w:val="00486705"/>
    <w:rsid w:val="0048670D"/>
    <w:rsid w:val="00486738"/>
    <w:rsid w:val="0048673E"/>
    <w:rsid w:val="0048674E"/>
    <w:rsid w:val="004867A9"/>
    <w:rsid w:val="00486812"/>
    <w:rsid w:val="00486841"/>
    <w:rsid w:val="00486859"/>
    <w:rsid w:val="0048699B"/>
    <w:rsid w:val="00486AE6"/>
    <w:rsid w:val="00486B53"/>
    <w:rsid w:val="00486C66"/>
    <w:rsid w:val="00486D48"/>
    <w:rsid w:val="00486D79"/>
    <w:rsid w:val="00486D90"/>
    <w:rsid w:val="00486E8A"/>
    <w:rsid w:val="00486E9A"/>
    <w:rsid w:val="00486EA4"/>
    <w:rsid w:val="00486EA9"/>
    <w:rsid w:val="00486F02"/>
    <w:rsid w:val="00486F19"/>
    <w:rsid w:val="00486F94"/>
    <w:rsid w:val="00487083"/>
    <w:rsid w:val="00487098"/>
    <w:rsid w:val="00487155"/>
    <w:rsid w:val="004871B3"/>
    <w:rsid w:val="004871BD"/>
    <w:rsid w:val="004871E4"/>
    <w:rsid w:val="00487236"/>
    <w:rsid w:val="00487270"/>
    <w:rsid w:val="004872E9"/>
    <w:rsid w:val="0048730D"/>
    <w:rsid w:val="004873B1"/>
    <w:rsid w:val="004873D1"/>
    <w:rsid w:val="0048742B"/>
    <w:rsid w:val="0048749A"/>
    <w:rsid w:val="004874B9"/>
    <w:rsid w:val="0048756E"/>
    <w:rsid w:val="004875C0"/>
    <w:rsid w:val="004875E9"/>
    <w:rsid w:val="004875F4"/>
    <w:rsid w:val="004876EC"/>
    <w:rsid w:val="00487739"/>
    <w:rsid w:val="0048788B"/>
    <w:rsid w:val="00487896"/>
    <w:rsid w:val="004878F5"/>
    <w:rsid w:val="00487AA0"/>
    <w:rsid w:val="00487B04"/>
    <w:rsid w:val="00487B25"/>
    <w:rsid w:val="00487B8C"/>
    <w:rsid w:val="00487B92"/>
    <w:rsid w:val="00487E17"/>
    <w:rsid w:val="00487E5F"/>
    <w:rsid w:val="00487E8F"/>
    <w:rsid w:val="00487EC2"/>
    <w:rsid w:val="00487ED9"/>
    <w:rsid w:val="00487F39"/>
    <w:rsid w:val="00487F9A"/>
    <w:rsid w:val="004900E7"/>
    <w:rsid w:val="00490114"/>
    <w:rsid w:val="00490169"/>
    <w:rsid w:val="004901CC"/>
    <w:rsid w:val="00490269"/>
    <w:rsid w:val="00490311"/>
    <w:rsid w:val="00490316"/>
    <w:rsid w:val="00490336"/>
    <w:rsid w:val="00490356"/>
    <w:rsid w:val="00490376"/>
    <w:rsid w:val="004903AF"/>
    <w:rsid w:val="00490423"/>
    <w:rsid w:val="00490424"/>
    <w:rsid w:val="00490510"/>
    <w:rsid w:val="0049052B"/>
    <w:rsid w:val="00490629"/>
    <w:rsid w:val="00490741"/>
    <w:rsid w:val="004907F4"/>
    <w:rsid w:val="0049083E"/>
    <w:rsid w:val="00490862"/>
    <w:rsid w:val="0049090E"/>
    <w:rsid w:val="00490925"/>
    <w:rsid w:val="004909E3"/>
    <w:rsid w:val="00490A57"/>
    <w:rsid w:val="00490B26"/>
    <w:rsid w:val="00490B54"/>
    <w:rsid w:val="00490B75"/>
    <w:rsid w:val="00490C32"/>
    <w:rsid w:val="00490C5E"/>
    <w:rsid w:val="00490D41"/>
    <w:rsid w:val="00490D57"/>
    <w:rsid w:val="00490D91"/>
    <w:rsid w:val="00490DA8"/>
    <w:rsid w:val="00490DB9"/>
    <w:rsid w:val="00490E6E"/>
    <w:rsid w:val="00490E80"/>
    <w:rsid w:val="00490EB6"/>
    <w:rsid w:val="00490FD2"/>
    <w:rsid w:val="00490FDC"/>
    <w:rsid w:val="0049106B"/>
    <w:rsid w:val="0049116B"/>
    <w:rsid w:val="004911BA"/>
    <w:rsid w:val="0049123F"/>
    <w:rsid w:val="0049124B"/>
    <w:rsid w:val="004912D3"/>
    <w:rsid w:val="004912D6"/>
    <w:rsid w:val="004913BB"/>
    <w:rsid w:val="00491423"/>
    <w:rsid w:val="0049147B"/>
    <w:rsid w:val="004914E2"/>
    <w:rsid w:val="0049155C"/>
    <w:rsid w:val="00491575"/>
    <w:rsid w:val="00491633"/>
    <w:rsid w:val="00491844"/>
    <w:rsid w:val="00491850"/>
    <w:rsid w:val="004918BA"/>
    <w:rsid w:val="004918EC"/>
    <w:rsid w:val="004918F1"/>
    <w:rsid w:val="00491976"/>
    <w:rsid w:val="00491A05"/>
    <w:rsid w:val="00491A4B"/>
    <w:rsid w:val="00491AE5"/>
    <w:rsid w:val="00491B02"/>
    <w:rsid w:val="00491B2A"/>
    <w:rsid w:val="00491BBD"/>
    <w:rsid w:val="00491BD3"/>
    <w:rsid w:val="00491C52"/>
    <w:rsid w:val="00491C84"/>
    <w:rsid w:val="00491DA1"/>
    <w:rsid w:val="00491EBC"/>
    <w:rsid w:val="00491F13"/>
    <w:rsid w:val="00491F2E"/>
    <w:rsid w:val="00491F3C"/>
    <w:rsid w:val="00491FD3"/>
    <w:rsid w:val="00492015"/>
    <w:rsid w:val="0049204B"/>
    <w:rsid w:val="0049206B"/>
    <w:rsid w:val="00492084"/>
    <w:rsid w:val="0049213A"/>
    <w:rsid w:val="0049215E"/>
    <w:rsid w:val="0049218A"/>
    <w:rsid w:val="004921DC"/>
    <w:rsid w:val="00492223"/>
    <w:rsid w:val="0049230C"/>
    <w:rsid w:val="00492363"/>
    <w:rsid w:val="0049238E"/>
    <w:rsid w:val="004923CE"/>
    <w:rsid w:val="00492422"/>
    <w:rsid w:val="00492487"/>
    <w:rsid w:val="004924A3"/>
    <w:rsid w:val="004924CD"/>
    <w:rsid w:val="004924F3"/>
    <w:rsid w:val="004925D7"/>
    <w:rsid w:val="004925E8"/>
    <w:rsid w:val="00492652"/>
    <w:rsid w:val="00492759"/>
    <w:rsid w:val="0049277F"/>
    <w:rsid w:val="004927D6"/>
    <w:rsid w:val="004927FE"/>
    <w:rsid w:val="00492862"/>
    <w:rsid w:val="004928A4"/>
    <w:rsid w:val="004928D5"/>
    <w:rsid w:val="004928DD"/>
    <w:rsid w:val="00492950"/>
    <w:rsid w:val="00492960"/>
    <w:rsid w:val="00492972"/>
    <w:rsid w:val="00492980"/>
    <w:rsid w:val="00492996"/>
    <w:rsid w:val="00492A22"/>
    <w:rsid w:val="00492AB6"/>
    <w:rsid w:val="00492B2A"/>
    <w:rsid w:val="00492B8A"/>
    <w:rsid w:val="00492C1C"/>
    <w:rsid w:val="00492C39"/>
    <w:rsid w:val="00492C86"/>
    <w:rsid w:val="00492D13"/>
    <w:rsid w:val="00492F66"/>
    <w:rsid w:val="0049300C"/>
    <w:rsid w:val="00493053"/>
    <w:rsid w:val="00493077"/>
    <w:rsid w:val="004930A1"/>
    <w:rsid w:val="004930AF"/>
    <w:rsid w:val="0049315F"/>
    <w:rsid w:val="00493315"/>
    <w:rsid w:val="00493323"/>
    <w:rsid w:val="00493346"/>
    <w:rsid w:val="0049337C"/>
    <w:rsid w:val="0049339D"/>
    <w:rsid w:val="004933C7"/>
    <w:rsid w:val="004933E1"/>
    <w:rsid w:val="0049344E"/>
    <w:rsid w:val="00493450"/>
    <w:rsid w:val="00493470"/>
    <w:rsid w:val="004934A0"/>
    <w:rsid w:val="004934D4"/>
    <w:rsid w:val="004934E5"/>
    <w:rsid w:val="00493596"/>
    <w:rsid w:val="0049374F"/>
    <w:rsid w:val="00493751"/>
    <w:rsid w:val="00493775"/>
    <w:rsid w:val="00493826"/>
    <w:rsid w:val="00493892"/>
    <w:rsid w:val="004939CD"/>
    <w:rsid w:val="00493A1C"/>
    <w:rsid w:val="00493AC1"/>
    <w:rsid w:val="00493AD4"/>
    <w:rsid w:val="00493AF4"/>
    <w:rsid w:val="00493AFB"/>
    <w:rsid w:val="00493B32"/>
    <w:rsid w:val="00493C0B"/>
    <w:rsid w:val="00493C66"/>
    <w:rsid w:val="00493CA7"/>
    <w:rsid w:val="00493CA8"/>
    <w:rsid w:val="00493D12"/>
    <w:rsid w:val="00493D1B"/>
    <w:rsid w:val="00493DA8"/>
    <w:rsid w:val="00493DD8"/>
    <w:rsid w:val="00493DE9"/>
    <w:rsid w:val="00493F47"/>
    <w:rsid w:val="00493F97"/>
    <w:rsid w:val="00493FA2"/>
    <w:rsid w:val="0049402C"/>
    <w:rsid w:val="004940CE"/>
    <w:rsid w:val="004940D1"/>
    <w:rsid w:val="004940D8"/>
    <w:rsid w:val="0049413B"/>
    <w:rsid w:val="0049416D"/>
    <w:rsid w:val="0049429B"/>
    <w:rsid w:val="00494372"/>
    <w:rsid w:val="004943AF"/>
    <w:rsid w:val="004944D6"/>
    <w:rsid w:val="004944EC"/>
    <w:rsid w:val="0049455D"/>
    <w:rsid w:val="004945EF"/>
    <w:rsid w:val="00494652"/>
    <w:rsid w:val="004946BA"/>
    <w:rsid w:val="004946D0"/>
    <w:rsid w:val="0049489F"/>
    <w:rsid w:val="004948F7"/>
    <w:rsid w:val="0049490E"/>
    <w:rsid w:val="0049493B"/>
    <w:rsid w:val="0049499C"/>
    <w:rsid w:val="00494A1B"/>
    <w:rsid w:val="00494ABE"/>
    <w:rsid w:val="00494B54"/>
    <w:rsid w:val="00494C51"/>
    <w:rsid w:val="00494CB6"/>
    <w:rsid w:val="00494D10"/>
    <w:rsid w:val="00494DCC"/>
    <w:rsid w:val="00494F1B"/>
    <w:rsid w:val="00494FAA"/>
    <w:rsid w:val="00494FE7"/>
    <w:rsid w:val="00495005"/>
    <w:rsid w:val="00495064"/>
    <w:rsid w:val="0049506D"/>
    <w:rsid w:val="004950C6"/>
    <w:rsid w:val="004951A9"/>
    <w:rsid w:val="00495364"/>
    <w:rsid w:val="004953B0"/>
    <w:rsid w:val="004953CB"/>
    <w:rsid w:val="004953E5"/>
    <w:rsid w:val="004954BD"/>
    <w:rsid w:val="0049550C"/>
    <w:rsid w:val="00495510"/>
    <w:rsid w:val="0049551A"/>
    <w:rsid w:val="00495598"/>
    <w:rsid w:val="00495626"/>
    <w:rsid w:val="00495662"/>
    <w:rsid w:val="00495697"/>
    <w:rsid w:val="004957F2"/>
    <w:rsid w:val="00495824"/>
    <w:rsid w:val="0049582B"/>
    <w:rsid w:val="00495851"/>
    <w:rsid w:val="004958B5"/>
    <w:rsid w:val="004958D0"/>
    <w:rsid w:val="0049592D"/>
    <w:rsid w:val="0049592E"/>
    <w:rsid w:val="00495939"/>
    <w:rsid w:val="0049599F"/>
    <w:rsid w:val="004959A4"/>
    <w:rsid w:val="00495A24"/>
    <w:rsid w:val="00495A54"/>
    <w:rsid w:val="00495A72"/>
    <w:rsid w:val="00495AA4"/>
    <w:rsid w:val="00495C60"/>
    <w:rsid w:val="00495CB0"/>
    <w:rsid w:val="00495CFF"/>
    <w:rsid w:val="00495D46"/>
    <w:rsid w:val="00495DC4"/>
    <w:rsid w:val="00495DE8"/>
    <w:rsid w:val="00495E13"/>
    <w:rsid w:val="00495E84"/>
    <w:rsid w:val="00495E9F"/>
    <w:rsid w:val="00495F1F"/>
    <w:rsid w:val="0049604B"/>
    <w:rsid w:val="00496051"/>
    <w:rsid w:val="00496167"/>
    <w:rsid w:val="004961E8"/>
    <w:rsid w:val="0049625A"/>
    <w:rsid w:val="00496334"/>
    <w:rsid w:val="00496386"/>
    <w:rsid w:val="00496406"/>
    <w:rsid w:val="00496483"/>
    <w:rsid w:val="004964E1"/>
    <w:rsid w:val="00496500"/>
    <w:rsid w:val="0049654D"/>
    <w:rsid w:val="004965F2"/>
    <w:rsid w:val="0049669C"/>
    <w:rsid w:val="004966EA"/>
    <w:rsid w:val="00496700"/>
    <w:rsid w:val="00496709"/>
    <w:rsid w:val="00496784"/>
    <w:rsid w:val="0049685D"/>
    <w:rsid w:val="0049687E"/>
    <w:rsid w:val="004968F9"/>
    <w:rsid w:val="0049690F"/>
    <w:rsid w:val="00496A34"/>
    <w:rsid w:val="00496AD6"/>
    <w:rsid w:val="00496B12"/>
    <w:rsid w:val="00496B83"/>
    <w:rsid w:val="00496B92"/>
    <w:rsid w:val="00496BA8"/>
    <w:rsid w:val="00496BEA"/>
    <w:rsid w:val="00496CF5"/>
    <w:rsid w:val="00496D75"/>
    <w:rsid w:val="00496E0F"/>
    <w:rsid w:val="00496E5D"/>
    <w:rsid w:val="00496E94"/>
    <w:rsid w:val="00496ED6"/>
    <w:rsid w:val="0049701E"/>
    <w:rsid w:val="0049707B"/>
    <w:rsid w:val="0049711E"/>
    <w:rsid w:val="004971F3"/>
    <w:rsid w:val="00497299"/>
    <w:rsid w:val="004972D3"/>
    <w:rsid w:val="00497375"/>
    <w:rsid w:val="0049739C"/>
    <w:rsid w:val="004973ED"/>
    <w:rsid w:val="004974CA"/>
    <w:rsid w:val="00497502"/>
    <w:rsid w:val="00497573"/>
    <w:rsid w:val="004976A1"/>
    <w:rsid w:val="00497722"/>
    <w:rsid w:val="00497724"/>
    <w:rsid w:val="00497818"/>
    <w:rsid w:val="004978A9"/>
    <w:rsid w:val="004978B8"/>
    <w:rsid w:val="00497917"/>
    <w:rsid w:val="0049795E"/>
    <w:rsid w:val="004979A6"/>
    <w:rsid w:val="004979C6"/>
    <w:rsid w:val="004979EF"/>
    <w:rsid w:val="00497A22"/>
    <w:rsid w:val="00497A85"/>
    <w:rsid w:val="00497AA1"/>
    <w:rsid w:val="00497AC6"/>
    <w:rsid w:val="00497ACC"/>
    <w:rsid w:val="00497AEA"/>
    <w:rsid w:val="00497AEF"/>
    <w:rsid w:val="00497BC0"/>
    <w:rsid w:val="00497C22"/>
    <w:rsid w:val="00497C7D"/>
    <w:rsid w:val="00497CA1"/>
    <w:rsid w:val="00497CBE"/>
    <w:rsid w:val="00497CC8"/>
    <w:rsid w:val="00497D67"/>
    <w:rsid w:val="00497DA5"/>
    <w:rsid w:val="00497F35"/>
    <w:rsid w:val="00497F45"/>
    <w:rsid w:val="00497FCF"/>
    <w:rsid w:val="004A0003"/>
    <w:rsid w:val="004A00D2"/>
    <w:rsid w:val="004A00DA"/>
    <w:rsid w:val="004A0199"/>
    <w:rsid w:val="004A021E"/>
    <w:rsid w:val="004A0257"/>
    <w:rsid w:val="004A027A"/>
    <w:rsid w:val="004A0309"/>
    <w:rsid w:val="004A0351"/>
    <w:rsid w:val="004A035C"/>
    <w:rsid w:val="004A03D3"/>
    <w:rsid w:val="004A0581"/>
    <w:rsid w:val="004A0595"/>
    <w:rsid w:val="004A0631"/>
    <w:rsid w:val="004A063A"/>
    <w:rsid w:val="004A074B"/>
    <w:rsid w:val="004A07AB"/>
    <w:rsid w:val="004A08AE"/>
    <w:rsid w:val="004A0900"/>
    <w:rsid w:val="004A0920"/>
    <w:rsid w:val="004A09AE"/>
    <w:rsid w:val="004A09C0"/>
    <w:rsid w:val="004A09E6"/>
    <w:rsid w:val="004A0B02"/>
    <w:rsid w:val="004A0BFC"/>
    <w:rsid w:val="004A0C40"/>
    <w:rsid w:val="004A0C76"/>
    <w:rsid w:val="004A0D68"/>
    <w:rsid w:val="004A0DD0"/>
    <w:rsid w:val="004A0DD9"/>
    <w:rsid w:val="004A0E29"/>
    <w:rsid w:val="004A0E2B"/>
    <w:rsid w:val="004A0ED1"/>
    <w:rsid w:val="004A0FAB"/>
    <w:rsid w:val="004A0FD6"/>
    <w:rsid w:val="004A106B"/>
    <w:rsid w:val="004A10D5"/>
    <w:rsid w:val="004A110F"/>
    <w:rsid w:val="004A1199"/>
    <w:rsid w:val="004A11BA"/>
    <w:rsid w:val="004A1273"/>
    <w:rsid w:val="004A12E9"/>
    <w:rsid w:val="004A1318"/>
    <w:rsid w:val="004A14E4"/>
    <w:rsid w:val="004A1534"/>
    <w:rsid w:val="004A15B8"/>
    <w:rsid w:val="004A167B"/>
    <w:rsid w:val="004A168A"/>
    <w:rsid w:val="004A16E6"/>
    <w:rsid w:val="004A1757"/>
    <w:rsid w:val="004A1832"/>
    <w:rsid w:val="004A1839"/>
    <w:rsid w:val="004A187C"/>
    <w:rsid w:val="004A197B"/>
    <w:rsid w:val="004A19B3"/>
    <w:rsid w:val="004A19B8"/>
    <w:rsid w:val="004A19EA"/>
    <w:rsid w:val="004A1A84"/>
    <w:rsid w:val="004A1B4B"/>
    <w:rsid w:val="004A1B6D"/>
    <w:rsid w:val="004A1B84"/>
    <w:rsid w:val="004A1B94"/>
    <w:rsid w:val="004A1C79"/>
    <w:rsid w:val="004A1C95"/>
    <w:rsid w:val="004A1D30"/>
    <w:rsid w:val="004A1DD4"/>
    <w:rsid w:val="004A1E10"/>
    <w:rsid w:val="004A1E49"/>
    <w:rsid w:val="004A1E56"/>
    <w:rsid w:val="004A1E85"/>
    <w:rsid w:val="004A1EF2"/>
    <w:rsid w:val="004A1FAE"/>
    <w:rsid w:val="004A1FEE"/>
    <w:rsid w:val="004A2012"/>
    <w:rsid w:val="004A2013"/>
    <w:rsid w:val="004A20C1"/>
    <w:rsid w:val="004A20DD"/>
    <w:rsid w:val="004A2130"/>
    <w:rsid w:val="004A2217"/>
    <w:rsid w:val="004A22DB"/>
    <w:rsid w:val="004A2305"/>
    <w:rsid w:val="004A2357"/>
    <w:rsid w:val="004A2417"/>
    <w:rsid w:val="004A24D0"/>
    <w:rsid w:val="004A24FE"/>
    <w:rsid w:val="004A26C7"/>
    <w:rsid w:val="004A26DD"/>
    <w:rsid w:val="004A2739"/>
    <w:rsid w:val="004A279D"/>
    <w:rsid w:val="004A284E"/>
    <w:rsid w:val="004A285F"/>
    <w:rsid w:val="004A288B"/>
    <w:rsid w:val="004A2958"/>
    <w:rsid w:val="004A29B8"/>
    <w:rsid w:val="004A29C9"/>
    <w:rsid w:val="004A2A00"/>
    <w:rsid w:val="004A2A04"/>
    <w:rsid w:val="004A2A48"/>
    <w:rsid w:val="004A2AD7"/>
    <w:rsid w:val="004A2B91"/>
    <w:rsid w:val="004A2C0F"/>
    <w:rsid w:val="004A2C56"/>
    <w:rsid w:val="004A2CF1"/>
    <w:rsid w:val="004A2DEC"/>
    <w:rsid w:val="004A2F1A"/>
    <w:rsid w:val="004A2F3B"/>
    <w:rsid w:val="004A2F56"/>
    <w:rsid w:val="004A2F99"/>
    <w:rsid w:val="004A2FB8"/>
    <w:rsid w:val="004A2FC2"/>
    <w:rsid w:val="004A2FD3"/>
    <w:rsid w:val="004A304B"/>
    <w:rsid w:val="004A329C"/>
    <w:rsid w:val="004A3401"/>
    <w:rsid w:val="004A341A"/>
    <w:rsid w:val="004A3499"/>
    <w:rsid w:val="004A34EA"/>
    <w:rsid w:val="004A36DD"/>
    <w:rsid w:val="004A3708"/>
    <w:rsid w:val="004A370F"/>
    <w:rsid w:val="004A3714"/>
    <w:rsid w:val="004A379E"/>
    <w:rsid w:val="004A386B"/>
    <w:rsid w:val="004A392C"/>
    <w:rsid w:val="004A3961"/>
    <w:rsid w:val="004A39A1"/>
    <w:rsid w:val="004A3A1C"/>
    <w:rsid w:val="004A3ADB"/>
    <w:rsid w:val="004A3B7E"/>
    <w:rsid w:val="004A3BAF"/>
    <w:rsid w:val="004A3C2B"/>
    <w:rsid w:val="004A3C55"/>
    <w:rsid w:val="004A3C82"/>
    <w:rsid w:val="004A3C9E"/>
    <w:rsid w:val="004A3DB5"/>
    <w:rsid w:val="004A3EB6"/>
    <w:rsid w:val="004A3EFB"/>
    <w:rsid w:val="004A3F78"/>
    <w:rsid w:val="004A3F81"/>
    <w:rsid w:val="004A3FA3"/>
    <w:rsid w:val="004A40F2"/>
    <w:rsid w:val="004A417A"/>
    <w:rsid w:val="004A41AE"/>
    <w:rsid w:val="004A41E3"/>
    <w:rsid w:val="004A4226"/>
    <w:rsid w:val="004A42FB"/>
    <w:rsid w:val="004A436C"/>
    <w:rsid w:val="004A4418"/>
    <w:rsid w:val="004A4458"/>
    <w:rsid w:val="004A445C"/>
    <w:rsid w:val="004A445F"/>
    <w:rsid w:val="004A44AD"/>
    <w:rsid w:val="004A44B7"/>
    <w:rsid w:val="004A45FA"/>
    <w:rsid w:val="004A4661"/>
    <w:rsid w:val="004A466F"/>
    <w:rsid w:val="004A4773"/>
    <w:rsid w:val="004A48A8"/>
    <w:rsid w:val="004A48AE"/>
    <w:rsid w:val="004A48BE"/>
    <w:rsid w:val="004A4A7E"/>
    <w:rsid w:val="004A4A80"/>
    <w:rsid w:val="004A4BF9"/>
    <w:rsid w:val="004A4D0D"/>
    <w:rsid w:val="004A4D17"/>
    <w:rsid w:val="004A4D55"/>
    <w:rsid w:val="004A4D83"/>
    <w:rsid w:val="004A4DCE"/>
    <w:rsid w:val="004A4DF9"/>
    <w:rsid w:val="004A4E27"/>
    <w:rsid w:val="004A4E89"/>
    <w:rsid w:val="004A4FB4"/>
    <w:rsid w:val="004A506A"/>
    <w:rsid w:val="004A50FE"/>
    <w:rsid w:val="004A51DF"/>
    <w:rsid w:val="004A526B"/>
    <w:rsid w:val="004A5298"/>
    <w:rsid w:val="004A5325"/>
    <w:rsid w:val="004A5405"/>
    <w:rsid w:val="004A5441"/>
    <w:rsid w:val="004A5586"/>
    <w:rsid w:val="004A5588"/>
    <w:rsid w:val="004A55B3"/>
    <w:rsid w:val="004A55DB"/>
    <w:rsid w:val="004A5647"/>
    <w:rsid w:val="004A566F"/>
    <w:rsid w:val="004A575A"/>
    <w:rsid w:val="004A575B"/>
    <w:rsid w:val="004A57D7"/>
    <w:rsid w:val="004A57DD"/>
    <w:rsid w:val="004A5910"/>
    <w:rsid w:val="004A5941"/>
    <w:rsid w:val="004A5958"/>
    <w:rsid w:val="004A5989"/>
    <w:rsid w:val="004A59EC"/>
    <w:rsid w:val="004A5AAC"/>
    <w:rsid w:val="004A5AAD"/>
    <w:rsid w:val="004A5B00"/>
    <w:rsid w:val="004A5BAB"/>
    <w:rsid w:val="004A5BDF"/>
    <w:rsid w:val="004A5C21"/>
    <w:rsid w:val="004A5C2F"/>
    <w:rsid w:val="004A5C3E"/>
    <w:rsid w:val="004A5D1E"/>
    <w:rsid w:val="004A5E72"/>
    <w:rsid w:val="004A5EF0"/>
    <w:rsid w:val="004A605F"/>
    <w:rsid w:val="004A6071"/>
    <w:rsid w:val="004A60F7"/>
    <w:rsid w:val="004A614F"/>
    <w:rsid w:val="004A6205"/>
    <w:rsid w:val="004A62B1"/>
    <w:rsid w:val="004A63B0"/>
    <w:rsid w:val="004A63B3"/>
    <w:rsid w:val="004A640A"/>
    <w:rsid w:val="004A649D"/>
    <w:rsid w:val="004A64EA"/>
    <w:rsid w:val="004A6513"/>
    <w:rsid w:val="004A6683"/>
    <w:rsid w:val="004A66AB"/>
    <w:rsid w:val="004A66B5"/>
    <w:rsid w:val="004A6712"/>
    <w:rsid w:val="004A6717"/>
    <w:rsid w:val="004A6780"/>
    <w:rsid w:val="004A67F1"/>
    <w:rsid w:val="004A6817"/>
    <w:rsid w:val="004A6893"/>
    <w:rsid w:val="004A6965"/>
    <w:rsid w:val="004A6A9D"/>
    <w:rsid w:val="004A6B28"/>
    <w:rsid w:val="004A6B45"/>
    <w:rsid w:val="004A6C21"/>
    <w:rsid w:val="004A6D20"/>
    <w:rsid w:val="004A6D84"/>
    <w:rsid w:val="004A6D8C"/>
    <w:rsid w:val="004A6DDD"/>
    <w:rsid w:val="004A6E30"/>
    <w:rsid w:val="004A6E41"/>
    <w:rsid w:val="004A6F46"/>
    <w:rsid w:val="004A7094"/>
    <w:rsid w:val="004A70B5"/>
    <w:rsid w:val="004A70BE"/>
    <w:rsid w:val="004A7100"/>
    <w:rsid w:val="004A710A"/>
    <w:rsid w:val="004A713D"/>
    <w:rsid w:val="004A7277"/>
    <w:rsid w:val="004A7289"/>
    <w:rsid w:val="004A72FC"/>
    <w:rsid w:val="004A72FE"/>
    <w:rsid w:val="004A7304"/>
    <w:rsid w:val="004A734A"/>
    <w:rsid w:val="004A740C"/>
    <w:rsid w:val="004A741A"/>
    <w:rsid w:val="004A7432"/>
    <w:rsid w:val="004A743E"/>
    <w:rsid w:val="004A744A"/>
    <w:rsid w:val="004A755E"/>
    <w:rsid w:val="004A756E"/>
    <w:rsid w:val="004A75D7"/>
    <w:rsid w:val="004A760C"/>
    <w:rsid w:val="004A7664"/>
    <w:rsid w:val="004A76B4"/>
    <w:rsid w:val="004A7708"/>
    <w:rsid w:val="004A7720"/>
    <w:rsid w:val="004A77A6"/>
    <w:rsid w:val="004A77FD"/>
    <w:rsid w:val="004A78C0"/>
    <w:rsid w:val="004A78ED"/>
    <w:rsid w:val="004A798A"/>
    <w:rsid w:val="004A79B9"/>
    <w:rsid w:val="004A7AAD"/>
    <w:rsid w:val="004A7AF6"/>
    <w:rsid w:val="004A7D19"/>
    <w:rsid w:val="004A7D49"/>
    <w:rsid w:val="004A7D7E"/>
    <w:rsid w:val="004A7E12"/>
    <w:rsid w:val="004A7F01"/>
    <w:rsid w:val="004A7F28"/>
    <w:rsid w:val="004A7FE8"/>
    <w:rsid w:val="004A7FFD"/>
    <w:rsid w:val="004B0006"/>
    <w:rsid w:val="004B013C"/>
    <w:rsid w:val="004B0162"/>
    <w:rsid w:val="004B01C7"/>
    <w:rsid w:val="004B0261"/>
    <w:rsid w:val="004B027D"/>
    <w:rsid w:val="004B02A7"/>
    <w:rsid w:val="004B0352"/>
    <w:rsid w:val="004B042D"/>
    <w:rsid w:val="004B0439"/>
    <w:rsid w:val="004B048E"/>
    <w:rsid w:val="004B0508"/>
    <w:rsid w:val="004B051E"/>
    <w:rsid w:val="004B05B0"/>
    <w:rsid w:val="004B05BC"/>
    <w:rsid w:val="004B05CC"/>
    <w:rsid w:val="004B05D3"/>
    <w:rsid w:val="004B068D"/>
    <w:rsid w:val="004B0735"/>
    <w:rsid w:val="004B0782"/>
    <w:rsid w:val="004B07D7"/>
    <w:rsid w:val="004B0821"/>
    <w:rsid w:val="004B08AF"/>
    <w:rsid w:val="004B0925"/>
    <w:rsid w:val="004B0976"/>
    <w:rsid w:val="004B0994"/>
    <w:rsid w:val="004B099B"/>
    <w:rsid w:val="004B0A0E"/>
    <w:rsid w:val="004B0A4D"/>
    <w:rsid w:val="004B0A5C"/>
    <w:rsid w:val="004B0B4C"/>
    <w:rsid w:val="004B0B60"/>
    <w:rsid w:val="004B0BDB"/>
    <w:rsid w:val="004B0C26"/>
    <w:rsid w:val="004B0CDE"/>
    <w:rsid w:val="004B0D37"/>
    <w:rsid w:val="004B0D5D"/>
    <w:rsid w:val="004B0E29"/>
    <w:rsid w:val="004B0E40"/>
    <w:rsid w:val="004B0ED5"/>
    <w:rsid w:val="004B0F15"/>
    <w:rsid w:val="004B0F3F"/>
    <w:rsid w:val="004B0F56"/>
    <w:rsid w:val="004B0F83"/>
    <w:rsid w:val="004B0F93"/>
    <w:rsid w:val="004B1060"/>
    <w:rsid w:val="004B10AF"/>
    <w:rsid w:val="004B1123"/>
    <w:rsid w:val="004B113C"/>
    <w:rsid w:val="004B114E"/>
    <w:rsid w:val="004B1177"/>
    <w:rsid w:val="004B1211"/>
    <w:rsid w:val="004B1241"/>
    <w:rsid w:val="004B125D"/>
    <w:rsid w:val="004B12B8"/>
    <w:rsid w:val="004B12BA"/>
    <w:rsid w:val="004B1488"/>
    <w:rsid w:val="004B149C"/>
    <w:rsid w:val="004B14CC"/>
    <w:rsid w:val="004B1531"/>
    <w:rsid w:val="004B1636"/>
    <w:rsid w:val="004B16C9"/>
    <w:rsid w:val="004B16CD"/>
    <w:rsid w:val="004B16CE"/>
    <w:rsid w:val="004B16E0"/>
    <w:rsid w:val="004B16E9"/>
    <w:rsid w:val="004B1775"/>
    <w:rsid w:val="004B177C"/>
    <w:rsid w:val="004B1788"/>
    <w:rsid w:val="004B17D2"/>
    <w:rsid w:val="004B17E5"/>
    <w:rsid w:val="004B17EB"/>
    <w:rsid w:val="004B1839"/>
    <w:rsid w:val="004B18CE"/>
    <w:rsid w:val="004B190A"/>
    <w:rsid w:val="004B194A"/>
    <w:rsid w:val="004B194F"/>
    <w:rsid w:val="004B19CA"/>
    <w:rsid w:val="004B1A07"/>
    <w:rsid w:val="004B1A0C"/>
    <w:rsid w:val="004B1A0E"/>
    <w:rsid w:val="004B1B96"/>
    <w:rsid w:val="004B1B99"/>
    <w:rsid w:val="004B1C0B"/>
    <w:rsid w:val="004B1C12"/>
    <w:rsid w:val="004B1C2F"/>
    <w:rsid w:val="004B1C91"/>
    <w:rsid w:val="004B1CE9"/>
    <w:rsid w:val="004B1D21"/>
    <w:rsid w:val="004B1D79"/>
    <w:rsid w:val="004B1D7A"/>
    <w:rsid w:val="004B1DBD"/>
    <w:rsid w:val="004B1E28"/>
    <w:rsid w:val="004B1E4C"/>
    <w:rsid w:val="004B1E4F"/>
    <w:rsid w:val="004B1EFE"/>
    <w:rsid w:val="004B1F8F"/>
    <w:rsid w:val="004B1FAF"/>
    <w:rsid w:val="004B1FBC"/>
    <w:rsid w:val="004B1FD9"/>
    <w:rsid w:val="004B1FF4"/>
    <w:rsid w:val="004B2016"/>
    <w:rsid w:val="004B2069"/>
    <w:rsid w:val="004B20EE"/>
    <w:rsid w:val="004B211F"/>
    <w:rsid w:val="004B214C"/>
    <w:rsid w:val="004B2156"/>
    <w:rsid w:val="004B21A4"/>
    <w:rsid w:val="004B21C0"/>
    <w:rsid w:val="004B21D8"/>
    <w:rsid w:val="004B220A"/>
    <w:rsid w:val="004B2235"/>
    <w:rsid w:val="004B22CC"/>
    <w:rsid w:val="004B2416"/>
    <w:rsid w:val="004B2482"/>
    <w:rsid w:val="004B24D1"/>
    <w:rsid w:val="004B251C"/>
    <w:rsid w:val="004B2553"/>
    <w:rsid w:val="004B2588"/>
    <w:rsid w:val="004B2625"/>
    <w:rsid w:val="004B2633"/>
    <w:rsid w:val="004B2677"/>
    <w:rsid w:val="004B273C"/>
    <w:rsid w:val="004B280F"/>
    <w:rsid w:val="004B2881"/>
    <w:rsid w:val="004B28B3"/>
    <w:rsid w:val="004B28D0"/>
    <w:rsid w:val="004B291F"/>
    <w:rsid w:val="004B2958"/>
    <w:rsid w:val="004B2973"/>
    <w:rsid w:val="004B299D"/>
    <w:rsid w:val="004B2A36"/>
    <w:rsid w:val="004B2A89"/>
    <w:rsid w:val="004B2B40"/>
    <w:rsid w:val="004B2BC0"/>
    <w:rsid w:val="004B2C94"/>
    <w:rsid w:val="004B2DCC"/>
    <w:rsid w:val="004B2EEF"/>
    <w:rsid w:val="004B2FD1"/>
    <w:rsid w:val="004B2FF1"/>
    <w:rsid w:val="004B3134"/>
    <w:rsid w:val="004B3143"/>
    <w:rsid w:val="004B31A9"/>
    <w:rsid w:val="004B32D3"/>
    <w:rsid w:val="004B32F2"/>
    <w:rsid w:val="004B3325"/>
    <w:rsid w:val="004B338E"/>
    <w:rsid w:val="004B33E4"/>
    <w:rsid w:val="004B34F9"/>
    <w:rsid w:val="004B3530"/>
    <w:rsid w:val="004B3570"/>
    <w:rsid w:val="004B35A8"/>
    <w:rsid w:val="004B35B2"/>
    <w:rsid w:val="004B35C8"/>
    <w:rsid w:val="004B36DE"/>
    <w:rsid w:val="004B36FB"/>
    <w:rsid w:val="004B3743"/>
    <w:rsid w:val="004B380C"/>
    <w:rsid w:val="004B3864"/>
    <w:rsid w:val="004B38C6"/>
    <w:rsid w:val="004B3946"/>
    <w:rsid w:val="004B394D"/>
    <w:rsid w:val="004B39C7"/>
    <w:rsid w:val="004B3A25"/>
    <w:rsid w:val="004B3A6B"/>
    <w:rsid w:val="004B3AA9"/>
    <w:rsid w:val="004B3B31"/>
    <w:rsid w:val="004B3B43"/>
    <w:rsid w:val="004B3B44"/>
    <w:rsid w:val="004B3B4F"/>
    <w:rsid w:val="004B3C54"/>
    <w:rsid w:val="004B3C56"/>
    <w:rsid w:val="004B3CA9"/>
    <w:rsid w:val="004B3D31"/>
    <w:rsid w:val="004B3DA1"/>
    <w:rsid w:val="004B3DDA"/>
    <w:rsid w:val="004B3DF5"/>
    <w:rsid w:val="004B3E2A"/>
    <w:rsid w:val="004B3F57"/>
    <w:rsid w:val="004B3FC7"/>
    <w:rsid w:val="004B3FEA"/>
    <w:rsid w:val="004B400E"/>
    <w:rsid w:val="004B401C"/>
    <w:rsid w:val="004B4045"/>
    <w:rsid w:val="004B405B"/>
    <w:rsid w:val="004B40C1"/>
    <w:rsid w:val="004B40E9"/>
    <w:rsid w:val="004B416E"/>
    <w:rsid w:val="004B4228"/>
    <w:rsid w:val="004B42F5"/>
    <w:rsid w:val="004B4303"/>
    <w:rsid w:val="004B434B"/>
    <w:rsid w:val="004B446A"/>
    <w:rsid w:val="004B4522"/>
    <w:rsid w:val="004B452D"/>
    <w:rsid w:val="004B4587"/>
    <w:rsid w:val="004B458A"/>
    <w:rsid w:val="004B45C9"/>
    <w:rsid w:val="004B45F0"/>
    <w:rsid w:val="004B461E"/>
    <w:rsid w:val="004B469C"/>
    <w:rsid w:val="004B4755"/>
    <w:rsid w:val="004B482B"/>
    <w:rsid w:val="004B4888"/>
    <w:rsid w:val="004B48A1"/>
    <w:rsid w:val="004B49CC"/>
    <w:rsid w:val="004B49F1"/>
    <w:rsid w:val="004B4A23"/>
    <w:rsid w:val="004B4A86"/>
    <w:rsid w:val="004B4AB6"/>
    <w:rsid w:val="004B4AB8"/>
    <w:rsid w:val="004B4AF6"/>
    <w:rsid w:val="004B4AF9"/>
    <w:rsid w:val="004B4B98"/>
    <w:rsid w:val="004B4B9A"/>
    <w:rsid w:val="004B4BAA"/>
    <w:rsid w:val="004B4C77"/>
    <w:rsid w:val="004B4D34"/>
    <w:rsid w:val="004B4D9D"/>
    <w:rsid w:val="004B4E9E"/>
    <w:rsid w:val="004B501C"/>
    <w:rsid w:val="004B5053"/>
    <w:rsid w:val="004B50A1"/>
    <w:rsid w:val="004B50D7"/>
    <w:rsid w:val="004B50EB"/>
    <w:rsid w:val="004B514D"/>
    <w:rsid w:val="004B5182"/>
    <w:rsid w:val="004B5191"/>
    <w:rsid w:val="004B51DA"/>
    <w:rsid w:val="004B523D"/>
    <w:rsid w:val="004B528B"/>
    <w:rsid w:val="004B52A3"/>
    <w:rsid w:val="004B53A6"/>
    <w:rsid w:val="004B547C"/>
    <w:rsid w:val="004B54D4"/>
    <w:rsid w:val="004B54DD"/>
    <w:rsid w:val="004B552C"/>
    <w:rsid w:val="004B5596"/>
    <w:rsid w:val="004B55BD"/>
    <w:rsid w:val="004B55ED"/>
    <w:rsid w:val="004B5680"/>
    <w:rsid w:val="004B56AF"/>
    <w:rsid w:val="004B56B4"/>
    <w:rsid w:val="004B5718"/>
    <w:rsid w:val="004B573A"/>
    <w:rsid w:val="004B5750"/>
    <w:rsid w:val="004B578B"/>
    <w:rsid w:val="004B57C1"/>
    <w:rsid w:val="004B582E"/>
    <w:rsid w:val="004B58AA"/>
    <w:rsid w:val="004B5944"/>
    <w:rsid w:val="004B596B"/>
    <w:rsid w:val="004B597A"/>
    <w:rsid w:val="004B5A25"/>
    <w:rsid w:val="004B5A56"/>
    <w:rsid w:val="004B5A85"/>
    <w:rsid w:val="004B5B02"/>
    <w:rsid w:val="004B5B30"/>
    <w:rsid w:val="004B5C34"/>
    <w:rsid w:val="004B5C4E"/>
    <w:rsid w:val="004B5CBF"/>
    <w:rsid w:val="004B5D1C"/>
    <w:rsid w:val="004B5D5B"/>
    <w:rsid w:val="004B5DC4"/>
    <w:rsid w:val="004B5DEE"/>
    <w:rsid w:val="004B5E37"/>
    <w:rsid w:val="004B5E8E"/>
    <w:rsid w:val="004B5EF2"/>
    <w:rsid w:val="004B5F1D"/>
    <w:rsid w:val="004B5F6F"/>
    <w:rsid w:val="004B5F78"/>
    <w:rsid w:val="004B5FE6"/>
    <w:rsid w:val="004B6041"/>
    <w:rsid w:val="004B609E"/>
    <w:rsid w:val="004B60D8"/>
    <w:rsid w:val="004B6190"/>
    <w:rsid w:val="004B624F"/>
    <w:rsid w:val="004B628F"/>
    <w:rsid w:val="004B62DA"/>
    <w:rsid w:val="004B62FB"/>
    <w:rsid w:val="004B634B"/>
    <w:rsid w:val="004B634C"/>
    <w:rsid w:val="004B6479"/>
    <w:rsid w:val="004B6521"/>
    <w:rsid w:val="004B653C"/>
    <w:rsid w:val="004B6558"/>
    <w:rsid w:val="004B6583"/>
    <w:rsid w:val="004B6599"/>
    <w:rsid w:val="004B65DB"/>
    <w:rsid w:val="004B6606"/>
    <w:rsid w:val="004B6609"/>
    <w:rsid w:val="004B663C"/>
    <w:rsid w:val="004B66C5"/>
    <w:rsid w:val="004B6777"/>
    <w:rsid w:val="004B678C"/>
    <w:rsid w:val="004B67C6"/>
    <w:rsid w:val="004B6805"/>
    <w:rsid w:val="004B6915"/>
    <w:rsid w:val="004B69E3"/>
    <w:rsid w:val="004B6B36"/>
    <w:rsid w:val="004B6C0A"/>
    <w:rsid w:val="004B6C51"/>
    <w:rsid w:val="004B6D02"/>
    <w:rsid w:val="004B6D5E"/>
    <w:rsid w:val="004B6D89"/>
    <w:rsid w:val="004B6E14"/>
    <w:rsid w:val="004B6E9C"/>
    <w:rsid w:val="004B6EB6"/>
    <w:rsid w:val="004B6FC4"/>
    <w:rsid w:val="004B6FD7"/>
    <w:rsid w:val="004B709E"/>
    <w:rsid w:val="004B7153"/>
    <w:rsid w:val="004B717F"/>
    <w:rsid w:val="004B718F"/>
    <w:rsid w:val="004B71A0"/>
    <w:rsid w:val="004B726F"/>
    <w:rsid w:val="004B73DE"/>
    <w:rsid w:val="004B73ED"/>
    <w:rsid w:val="004B745A"/>
    <w:rsid w:val="004B74BC"/>
    <w:rsid w:val="004B74EE"/>
    <w:rsid w:val="004B7592"/>
    <w:rsid w:val="004B75B8"/>
    <w:rsid w:val="004B7624"/>
    <w:rsid w:val="004B7742"/>
    <w:rsid w:val="004B774C"/>
    <w:rsid w:val="004B7854"/>
    <w:rsid w:val="004B786D"/>
    <w:rsid w:val="004B791B"/>
    <w:rsid w:val="004B794D"/>
    <w:rsid w:val="004B796E"/>
    <w:rsid w:val="004B79A6"/>
    <w:rsid w:val="004B79BD"/>
    <w:rsid w:val="004B79CB"/>
    <w:rsid w:val="004B79E0"/>
    <w:rsid w:val="004B79E3"/>
    <w:rsid w:val="004B79FC"/>
    <w:rsid w:val="004B7A0E"/>
    <w:rsid w:val="004B7A39"/>
    <w:rsid w:val="004B7A75"/>
    <w:rsid w:val="004B7A84"/>
    <w:rsid w:val="004B7AEF"/>
    <w:rsid w:val="004B7B0E"/>
    <w:rsid w:val="004B7C03"/>
    <w:rsid w:val="004B7C43"/>
    <w:rsid w:val="004B7C68"/>
    <w:rsid w:val="004B7D4F"/>
    <w:rsid w:val="004B7DD0"/>
    <w:rsid w:val="004B7E29"/>
    <w:rsid w:val="004B7E70"/>
    <w:rsid w:val="004B7EA4"/>
    <w:rsid w:val="004B7F14"/>
    <w:rsid w:val="004B7F2F"/>
    <w:rsid w:val="004B7FE2"/>
    <w:rsid w:val="004C0019"/>
    <w:rsid w:val="004C008C"/>
    <w:rsid w:val="004C00AC"/>
    <w:rsid w:val="004C00F1"/>
    <w:rsid w:val="004C015F"/>
    <w:rsid w:val="004C01AA"/>
    <w:rsid w:val="004C01E8"/>
    <w:rsid w:val="004C0283"/>
    <w:rsid w:val="004C0299"/>
    <w:rsid w:val="004C02CA"/>
    <w:rsid w:val="004C0351"/>
    <w:rsid w:val="004C0373"/>
    <w:rsid w:val="004C03FB"/>
    <w:rsid w:val="004C043D"/>
    <w:rsid w:val="004C0453"/>
    <w:rsid w:val="004C0475"/>
    <w:rsid w:val="004C04CE"/>
    <w:rsid w:val="004C0503"/>
    <w:rsid w:val="004C05AA"/>
    <w:rsid w:val="004C05C8"/>
    <w:rsid w:val="004C0603"/>
    <w:rsid w:val="004C0625"/>
    <w:rsid w:val="004C0634"/>
    <w:rsid w:val="004C0658"/>
    <w:rsid w:val="004C071C"/>
    <w:rsid w:val="004C074D"/>
    <w:rsid w:val="004C076F"/>
    <w:rsid w:val="004C0799"/>
    <w:rsid w:val="004C079E"/>
    <w:rsid w:val="004C0916"/>
    <w:rsid w:val="004C093C"/>
    <w:rsid w:val="004C0941"/>
    <w:rsid w:val="004C0AB2"/>
    <w:rsid w:val="004C0B10"/>
    <w:rsid w:val="004C0B8B"/>
    <w:rsid w:val="004C0BFA"/>
    <w:rsid w:val="004C0CA2"/>
    <w:rsid w:val="004C0D48"/>
    <w:rsid w:val="004C0E00"/>
    <w:rsid w:val="004C0E1A"/>
    <w:rsid w:val="004C0EBA"/>
    <w:rsid w:val="004C0EC4"/>
    <w:rsid w:val="004C0ECE"/>
    <w:rsid w:val="004C0F34"/>
    <w:rsid w:val="004C101F"/>
    <w:rsid w:val="004C1026"/>
    <w:rsid w:val="004C1036"/>
    <w:rsid w:val="004C1076"/>
    <w:rsid w:val="004C10A8"/>
    <w:rsid w:val="004C10B9"/>
    <w:rsid w:val="004C10F3"/>
    <w:rsid w:val="004C111E"/>
    <w:rsid w:val="004C119F"/>
    <w:rsid w:val="004C1277"/>
    <w:rsid w:val="004C129F"/>
    <w:rsid w:val="004C12B5"/>
    <w:rsid w:val="004C12E6"/>
    <w:rsid w:val="004C132B"/>
    <w:rsid w:val="004C13CA"/>
    <w:rsid w:val="004C13E6"/>
    <w:rsid w:val="004C1431"/>
    <w:rsid w:val="004C14B9"/>
    <w:rsid w:val="004C15C8"/>
    <w:rsid w:val="004C162A"/>
    <w:rsid w:val="004C164C"/>
    <w:rsid w:val="004C1650"/>
    <w:rsid w:val="004C1711"/>
    <w:rsid w:val="004C1716"/>
    <w:rsid w:val="004C17BD"/>
    <w:rsid w:val="004C17C2"/>
    <w:rsid w:val="004C1837"/>
    <w:rsid w:val="004C18F4"/>
    <w:rsid w:val="004C1904"/>
    <w:rsid w:val="004C19A6"/>
    <w:rsid w:val="004C19BE"/>
    <w:rsid w:val="004C1A08"/>
    <w:rsid w:val="004C1A75"/>
    <w:rsid w:val="004C1A9B"/>
    <w:rsid w:val="004C1ACB"/>
    <w:rsid w:val="004C1ADE"/>
    <w:rsid w:val="004C1BA6"/>
    <w:rsid w:val="004C1BD5"/>
    <w:rsid w:val="004C1BD9"/>
    <w:rsid w:val="004C1C11"/>
    <w:rsid w:val="004C1C1D"/>
    <w:rsid w:val="004C1C9D"/>
    <w:rsid w:val="004C1CC2"/>
    <w:rsid w:val="004C1D31"/>
    <w:rsid w:val="004C1E2C"/>
    <w:rsid w:val="004C1EB5"/>
    <w:rsid w:val="004C1EC5"/>
    <w:rsid w:val="004C1EF7"/>
    <w:rsid w:val="004C1F0E"/>
    <w:rsid w:val="004C1F2E"/>
    <w:rsid w:val="004C1FF1"/>
    <w:rsid w:val="004C2183"/>
    <w:rsid w:val="004C21E2"/>
    <w:rsid w:val="004C22B0"/>
    <w:rsid w:val="004C22EC"/>
    <w:rsid w:val="004C2305"/>
    <w:rsid w:val="004C2320"/>
    <w:rsid w:val="004C2572"/>
    <w:rsid w:val="004C2579"/>
    <w:rsid w:val="004C2639"/>
    <w:rsid w:val="004C263F"/>
    <w:rsid w:val="004C26C8"/>
    <w:rsid w:val="004C27E9"/>
    <w:rsid w:val="004C288F"/>
    <w:rsid w:val="004C292D"/>
    <w:rsid w:val="004C29D6"/>
    <w:rsid w:val="004C2A36"/>
    <w:rsid w:val="004C2A4B"/>
    <w:rsid w:val="004C2B6D"/>
    <w:rsid w:val="004C2BB4"/>
    <w:rsid w:val="004C2BCA"/>
    <w:rsid w:val="004C2BCE"/>
    <w:rsid w:val="004C2C10"/>
    <w:rsid w:val="004C2C18"/>
    <w:rsid w:val="004C2C69"/>
    <w:rsid w:val="004C2C90"/>
    <w:rsid w:val="004C2D9E"/>
    <w:rsid w:val="004C2DBA"/>
    <w:rsid w:val="004C2E00"/>
    <w:rsid w:val="004C2E3C"/>
    <w:rsid w:val="004C2E4D"/>
    <w:rsid w:val="004C2E5E"/>
    <w:rsid w:val="004C2E62"/>
    <w:rsid w:val="004C2EEB"/>
    <w:rsid w:val="004C2F06"/>
    <w:rsid w:val="004C2F13"/>
    <w:rsid w:val="004C2F96"/>
    <w:rsid w:val="004C2FCC"/>
    <w:rsid w:val="004C2FD5"/>
    <w:rsid w:val="004C2FEC"/>
    <w:rsid w:val="004C3014"/>
    <w:rsid w:val="004C304D"/>
    <w:rsid w:val="004C3097"/>
    <w:rsid w:val="004C30BF"/>
    <w:rsid w:val="004C315E"/>
    <w:rsid w:val="004C31C4"/>
    <w:rsid w:val="004C31EF"/>
    <w:rsid w:val="004C3202"/>
    <w:rsid w:val="004C334D"/>
    <w:rsid w:val="004C347E"/>
    <w:rsid w:val="004C34A4"/>
    <w:rsid w:val="004C34C3"/>
    <w:rsid w:val="004C34D2"/>
    <w:rsid w:val="004C3500"/>
    <w:rsid w:val="004C352A"/>
    <w:rsid w:val="004C35A4"/>
    <w:rsid w:val="004C35C7"/>
    <w:rsid w:val="004C35C9"/>
    <w:rsid w:val="004C35D6"/>
    <w:rsid w:val="004C35FF"/>
    <w:rsid w:val="004C3667"/>
    <w:rsid w:val="004C3692"/>
    <w:rsid w:val="004C3722"/>
    <w:rsid w:val="004C3725"/>
    <w:rsid w:val="004C3729"/>
    <w:rsid w:val="004C3899"/>
    <w:rsid w:val="004C38D2"/>
    <w:rsid w:val="004C38E1"/>
    <w:rsid w:val="004C3900"/>
    <w:rsid w:val="004C3964"/>
    <w:rsid w:val="004C39CB"/>
    <w:rsid w:val="004C3A23"/>
    <w:rsid w:val="004C3A66"/>
    <w:rsid w:val="004C3A81"/>
    <w:rsid w:val="004C3ACD"/>
    <w:rsid w:val="004C3B1C"/>
    <w:rsid w:val="004C3B32"/>
    <w:rsid w:val="004C3B67"/>
    <w:rsid w:val="004C3B88"/>
    <w:rsid w:val="004C3BC6"/>
    <w:rsid w:val="004C3BF1"/>
    <w:rsid w:val="004C3BF2"/>
    <w:rsid w:val="004C3CEA"/>
    <w:rsid w:val="004C3D70"/>
    <w:rsid w:val="004C3E8E"/>
    <w:rsid w:val="004C3EB9"/>
    <w:rsid w:val="004C3EF0"/>
    <w:rsid w:val="004C3F63"/>
    <w:rsid w:val="004C4079"/>
    <w:rsid w:val="004C407F"/>
    <w:rsid w:val="004C4116"/>
    <w:rsid w:val="004C421B"/>
    <w:rsid w:val="004C4354"/>
    <w:rsid w:val="004C435C"/>
    <w:rsid w:val="004C4388"/>
    <w:rsid w:val="004C43B3"/>
    <w:rsid w:val="004C43BE"/>
    <w:rsid w:val="004C452E"/>
    <w:rsid w:val="004C45AF"/>
    <w:rsid w:val="004C45CC"/>
    <w:rsid w:val="004C45F7"/>
    <w:rsid w:val="004C45FA"/>
    <w:rsid w:val="004C460F"/>
    <w:rsid w:val="004C4804"/>
    <w:rsid w:val="004C4823"/>
    <w:rsid w:val="004C483D"/>
    <w:rsid w:val="004C48B5"/>
    <w:rsid w:val="004C48EF"/>
    <w:rsid w:val="004C4930"/>
    <w:rsid w:val="004C499B"/>
    <w:rsid w:val="004C49BA"/>
    <w:rsid w:val="004C49CE"/>
    <w:rsid w:val="004C49D2"/>
    <w:rsid w:val="004C4A30"/>
    <w:rsid w:val="004C4A38"/>
    <w:rsid w:val="004C4A9E"/>
    <w:rsid w:val="004C4B2B"/>
    <w:rsid w:val="004C4B34"/>
    <w:rsid w:val="004C4BB2"/>
    <w:rsid w:val="004C4BB8"/>
    <w:rsid w:val="004C4BDB"/>
    <w:rsid w:val="004C4C44"/>
    <w:rsid w:val="004C4CB2"/>
    <w:rsid w:val="004C4CD7"/>
    <w:rsid w:val="004C4CF2"/>
    <w:rsid w:val="004C4D5F"/>
    <w:rsid w:val="004C4D8B"/>
    <w:rsid w:val="004C4E0F"/>
    <w:rsid w:val="004C4E53"/>
    <w:rsid w:val="004C4E7E"/>
    <w:rsid w:val="004C4F11"/>
    <w:rsid w:val="004C4F81"/>
    <w:rsid w:val="004C5185"/>
    <w:rsid w:val="004C5186"/>
    <w:rsid w:val="004C51A5"/>
    <w:rsid w:val="004C51A7"/>
    <w:rsid w:val="004C5291"/>
    <w:rsid w:val="004C52E5"/>
    <w:rsid w:val="004C5424"/>
    <w:rsid w:val="004C545B"/>
    <w:rsid w:val="004C545F"/>
    <w:rsid w:val="004C55C3"/>
    <w:rsid w:val="004C55E8"/>
    <w:rsid w:val="004C568C"/>
    <w:rsid w:val="004C579F"/>
    <w:rsid w:val="004C587A"/>
    <w:rsid w:val="004C58A1"/>
    <w:rsid w:val="004C58D8"/>
    <w:rsid w:val="004C590F"/>
    <w:rsid w:val="004C594F"/>
    <w:rsid w:val="004C59A1"/>
    <w:rsid w:val="004C59B9"/>
    <w:rsid w:val="004C5A68"/>
    <w:rsid w:val="004C5B23"/>
    <w:rsid w:val="004C5B4C"/>
    <w:rsid w:val="004C5B66"/>
    <w:rsid w:val="004C5B6A"/>
    <w:rsid w:val="004C5C4A"/>
    <w:rsid w:val="004C5C54"/>
    <w:rsid w:val="004C5CA9"/>
    <w:rsid w:val="004C5D26"/>
    <w:rsid w:val="004C5DED"/>
    <w:rsid w:val="004C5E85"/>
    <w:rsid w:val="004C5ED0"/>
    <w:rsid w:val="004C5F40"/>
    <w:rsid w:val="004C6034"/>
    <w:rsid w:val="004C6080"/>
    <w:rsid w:val="004C60AF"/>
    <w:rsid w:val="004C60DD"/>
    <w:rsid w:val="004C610A"/>
    <w:rsid w:val="004C61DC"/>
    <w:rsid w:val="004C6218"/>
    <w:rsid w:val="004C6224"/>
    <w:rsid w:val="004C62EF"/>
    <w:rsid w:val="004C6313"/>
    <w:rsid w:val="004C6317"/>
    <w:rsid w:val="004C6472"/>
    <w:rsid w:val="004C64B8"/>
    <w:rsid w:val="004C6502"/>
    <w:rsid w:val="004C659F"/>
    <w:rsid w:val="004C6657"/>
    <w:rsid w:val="004C66AE"/>
    <w:rsid w:val="004C6728"/>
    <w:rsid w:val="004C676F"/>
    <w:rsid w:val="004C683D"/>
    <w:rsid w:val="004C68CC"/>
    <w:rsid w:val="004C690B"/>
    <w:rsid w:val="004C6A2A"/>
    <w:rsid w:val="004C6B03"/>
    <w:rsid w:val="004C6B16"/>
    <w:rsid w:val="004C6B30"/>
    <w:rsid w:val="004C6B5D"/>
    <w:rsid w:val="004C6B81"/>
    <w:rsid w:val="004C6BA4"/>
    <w:rsid w:val="004C6BE0"/>
    <w:rsid w:val="004C6C1C"/>
    <w:rsid w:val="004C6C65"/>
    <w:rsid w:val="004C6C7B"/>
    <w:rsid w:val="004C6C94"/>
    <w:rsid w:val="004C6CB0"/>
    <w:rsid w:val="004C6CED"/>
    <w:rsid w:val="004C6D36"/>
    <w:rsid w:val="004C6EA8"/>
    <w:rsid w:val="004C6EE4"/>
    <w:rsid w:val="004C6EF5"/>
    <w:rsid w:val="004C6F36"/>
    <w:rsid w:val="004C6F7C"/>
    <w:rsid w:val="004C6FBC"/>
    <w:rsid w:val="004C6FD2"/>
    <w:rsid w:val="004C6FEE"/>
    <w:rsid w:val="004C7057"/>
    <w:rsid w:val="004C7190"/>
    <w:rsid w:val="004C7194"/>
    <w:rsid w:val="004C719B"/>
    <w:rsid w:val="004C71B4"/>
    <w:rsid w:val="004C71DB"/>
    <w:rsid w:val="004C722C"/>
    <w:rsid w:val="004C728C"/>
    <w:rsid w:val="004C7298"/>
    <w:rsid w:val="004C72B8"/>
    <w:rsid w:val="004C733B"/>
    <w:rsid w:val="004C737B"/>
    <w:rsid w:val="004C74B0"/>
    <w:rsid w:val="004C74BA"/>
    <w:rsid w:val="004C74FE"/>
    <w:rsid w:val="004C765B"/>
    <w:rsid w:val="004C7681"/>
    <w:rsid w:val="004C7697"/>
    <w:rsid w:val="004C76B4"/>
    <w:rsid w:val="004C76FD"/>
    <w:rsid w:val="004C7742"/>
    <w:rsid w:val="004C776D"/>
    <w:rsid w:val="004C7777"/>
    <w:rsid w:val="004C79A7"/>
    <w:rsid w:val="004C7A4F"/>
    <w:rsid w:val="004C7ADF"/>
    <w:rsid w:val="004C7BF4"/>
    <w:rsid w:val="004C7C45"/>
    <w:rsid w:val="004C7C6B"/>
    <w:rsid w:val="004C7C7A"/>
    <w:rsid w:val="004C7D09"/>
    <w:rsid w:val="004C7E1B"/>
    <w:rsid w:val="004C7E38"/>
    <w:rsid w:val="004C7F13"/>
    <w:rsid w:val="004C7FC3"/>
    <w:rsid w:val="004D002D"/>
    <w:rsid w:val="004D003A"/>
    <w:rsid w:val="004D0050"/>
    <w:rsid w:val="004D0051"/>
    <w:rsid w:val="004D00AB"/>
    <w:rsid w:val="004D0121"/>
    <w:rsid w:val="004D0155"/>
    <w:rsid w:val="004D018D"/>
    <w:rsid w:val="004D01C2"/>
    <w:rsid w:val="004D0202"/>
    <w:rsid w:val="004D021E"/>
    <w:rsid w:val="004D0233"/>
    <w:rsid w:val="004D0237"/>
    <w:rsid w:val="004D0280"/>
    <w:rsid w:val="004D0288"/>
    <w:rsid w:val="004D02D3"/>
    <w:rsid w:val="004D064E"/>
    <w:rsid w:val="004D06BF"/>
    <w:rsid w:val="004D06C9"/>
    <w:rsid w:val="004D06DE"/>
    <w:rsid w:val="004D079B"/>
    <w:rsid w:val="004D07B5"/>
    <w:rsid w:val="004D0811"/>
    <w:rsid w:val="004D0899"/>
    <w:rsid w:val="004D08FA"/>
    <w:rsid w:val="004D094F"/>
    <w:rsid w:val="004D09C4"/>
    <w:rsid w:val="004D09F9"/>
    <w:rsid w:val="004D0A39"/>
    <w:rsid w:val="004D0A4F"/>
    <w:rsid w:val="004D0AAB"/>
    <w:rsid w:val="004D0B05"/>
    <w:rsid w:val="004D0BC4"/>
    <w:rsid w:val="004D0BFD"/>
    <w:rsid w:val="004D0C26"/>
    <w:rsid w:val="004D0C68"/>
    <w:rsid w:val="004D0CC5"/>
    <w:rsid w:val="004D0D01"/>
    <w:rsid w:val="004D0D61"/>
    <w:rsid w:val="004D0E2E"/>
    <w:rsid w:val="004D0EC0"/>
    <w:rsid w:val="004D0F5F"/>
    <w:rsid w:val="004D0FF9"/>
    <w:rsid w:val="004D1026"/>
    <w:rsid w:val="004D1054"/>
    <w:rsid w:val="004D11C0"/>
    <w:rsid w:val="004D1280"/>
    <w:rsid w:val="004D12BE"/>
    <w:rsid w:val="004D1340"/>
    <w:rsid w:val="004D1374"/>
    <w:rsid w:val="004D147A"/>
    <w:rsid w:val="004D14B0"/>
    <w:rsid w:val="004D15AB"/>
    <w:rsid w:val="004D15CF"/>
    <w:rsid w:val="004D15D8"/>
    <w:rsid w:val="004D15FC"/>
    <w:rsid w:val="004D1704"/>
    <w:rsid w:val="004D1737"/>
    <w:rsid w:val="004D1790"/>
    <w:rsid w:val="004D186B"/>
    <w:rsid w:val="004D1880"/>
    <w:rsid w:val="004D18C8"/>
    <w:rsid w:val="004D196F"/>
    <w:rsid w:val="004D1970"/>
    <w:rsid w:val="004D19E2"/>
    <w:rsid w:val="004D1A35"/>
    <w:rsid w:val="004D1A45"/>
    <w:rsid w:val="004D1A4D"/>
    <w:rsid w:val="004D1AAC"/>
    <w:rsid w:val="004D1AFE"/>
    <w:rsid w:val="004D1B51"/>
    <w:rsid w:val="004D1BD8"/>
    <w:rsid w:val="004D1CB2"/>
    <w:rsid w:val="004D1CE1"/>
    <w:rsid w:val="004D1CF0"/>
    <w:rsid w:val="004D1D1D"/>
    <w:rsid w:val="004D1DF5"/>
    <w:rsid w:val="004D1EB1"/>
    <w:rsid w:val="004D1F56"/>
    <w:rsid w:val="004D1F70"/>
    <w:rsid w:val="004D1F91"/>
    <w:rsid w:val="004D1FDE"/>
    <w:rsid w:val="004D2022"/>
    <w:rsid w:val="004D2035"/>
    <w:rsid w:val="004D206C"/>
    <w:rsid w:val="004D20A6"/>
    <w:rsid w:val="004D2124"/>
    <w:rsid w:val="004D21AD"/>
    <w:rsid w:val="004D2203"/>
    <w:rsid w:val="004D2236"/>
    <w:rsid w:val="004D22A9"/>
    <w:rsid w:val="004D22CC"/>
    <w:rsid w:val="004D233B"/>
    <w:rsid w:val="004D234B"/>
    <w:rsid w:val="004D2360"/>
    <w:rsid w:val="004D23A9"/>
    <w:rsid w:val="004D248F"/>
    <w:rsid w:val="004D249C"/>
    <w:rsid w:val="004D2598"/>
    <w:rsid w:val="004D2660"/>
    <w:rsid w:val="004D2689"/>
    <w:rsid w:val="004D2693"/>
    <w:rsid w:val="004D2697"/>
    <w:rsid w:val="004D27DD"/>
    <w:rsid w:val="004D2833"/>
    <w:rsid w:val="004D286D"/>
    <w:rsid w:val="004D28CF"/>
    <w:rsid w:val="004D29D5"/>
    <w:rsid w:val="004D29F4"/>
    <w:rsid w:val="004D2A60"/>
    <w:rsid w:val="004D2AD0"/>
    <w:rsid w:val="004D2ADE"/>
    <w:rsid w:val="004D2AE6"/>
    <w:rsid w:val="004D2B45"/>
    <w:rsid w:val="004D2B4A"/>
    <w:rsid w:val="004D2B97"/>
    <w:rsid w:val="004D2BB3"/>
    <w:rsid w:val="004D2BE9"/>
    <w:rsid w:val="004D2C07"/>
    <w:rsid w:val="004D2C7B"/>
    <w:rsid w:val="004D2C9E"/>
    <w:rsid w:val="004D2CC2"/>
    <w:rsid w:val="004D2CD9"/>
    <w:rsid w:val="004D2CDF"/>
    <w:rsid w:val="004D2CF5"/>
    <w:rsid w:val="004D2CF7"/>
    <w:rsid w:val="004D2D82"/>
    <w:rsid w:val="004D2D84"/>
    <w:rsid w:val="004D2D98"/>
    <w:rsid w:val="004D2DC2"/>
    <w:rsid w:val="004D2DC6"/>
    <w:rsid w:val="004D2E34"/>
    <w:rsid w:val="004D2F30"/>
    <w:rsid w:val="004D2FD4"/>
    <w:rsid w:val="004D3066"/>
    <w:rsid w:val="004D30DB"/>
    <w:rsid w:val="004D317E"/>
    <w:rsid w:val="004D31F7"/>
    <w:rsid w:val="004D3242"/>
    <w:rsid w:val="004D324D"/>
    <w:rsid w:val="004D328F"/>
    <w:rsid w:val="004D3314"/>
    <w:rsid w:val="004D334F"/>
    <w:rsid w:val="004D3376"/>
    <w:rsid w:val="004D33D6"/>
    <w:rsid w:val="004D3529"/>
    <w:rsid w:val="004D3595"/>
    <w:rsid w:val="004D35B5"/>
    <w:rsid w:val="004D35E7"/>
    <w:rsid w:val="004D3631"/>
    <w:rsid w:val="004D36A5"/>
    <w:rsid w:val="004D370D"/>
    <w:rsid w:val="004D3774"/>
    <w:rsid w:val="004D3790"/>
    <w:rsid w:val="004D37D8"/>
    <w:rsid w:val="004D3843"/>
    <w:rsid w:val="004D38A7"/>
    <w:rsid w:val="004D3A85"/>
    <w:rsid w:val="004D3B3D"/>
    <w:rsid w:val="004D3B45"/>
    <w:rsid w:val="004D3B86"/>
    <w:rsid w:val="004D3BE9"/>
    <w:rsid w:val="004D3C64"/>
    <w:rsid w:val="004D3C74"/>
    <w:rsid w:val="004D3C91"/>
    <w:rsid w:val="004D3CAD"/>
    <w:rsid w:val="004D3D34"/>
    <w:rsid w:val="004D3D42"/>
    <w:rsid w:val="004D3E1D"/>
    <w:rsid w:val="004D3E45"/>
    <w:rsid w:val="004D3F0F"/>
    <w:rsid w:val="004D3F46"/>
    <w:rsid w:val="004D3F48"/>
    <w:rsid w:val="004D3F58"/>
    <w:rsid w:val="004D400E"/>
    <w:rsid w:val="004D4035"/>
    <w:rsid w:val="004D4077"/>
    <w:rsid w:val="004D40E1"/>
    <w:rsid w:val="004D41D4"/>
    <w:rsid w:val="004D4354"/>
    <w:rsid w:val="004D439B"/>
    <w:rsid w:val="004D4413"/>
    <w:rsid w:val="004D448C"/>
    <w:rsid w:val="004D44A8"/>
    <w:rsid w:val="004D44D2"/>
    <w:rsid w:val="004D45FF"/>
    <w:rsid w:val="004D46EF"/>
    <w:rsid w:val="004D46F7"/>
    <w:rsid w:val="004D477C"/>
    <w:rsid w:val="004D477E"/>
    <w:rsid w:val="004D4840"/>
    <w:rsid w:val="004D4843"/>
    <w:rsid w:val="004D489D"/>
    <w:rsid w:val="004D4970"/>
    <w:rsid w:val="004D4994"/>
    <w:rsid w:val="004D49E2"/>
    <w:rsid w:val="004D4A58"/>
    <w:rsid w:val="004D4A75"/>
    <w:rsid w:val="004D4BFE"/>
    <w:rsid w:val="004D4D2A"/>
    <w:rsid w:val="004D4D3C"/>
    <w:rsid w:val="004D4D46"/>
    <w:rsid w:val="004D4E09"/>
    <w:rsid w:val="004D4E3B"/>
    <w:rsid w:val="004D4E45"/>
    <w:rsid w:val="004D4E85"/>
    <w:rsid w:val="004D4EAB"/>
    <w:rsid w:val="004D4EB2"/>
    <w:rsid w:val="004D4ECB"/>
    <w:rsid w:val="004D4F6F"/>
    <w:rsid w:val="004D4FA9"/>
    <w:rsid w:val="004D51A5"/>
    <w:rsid w:val="004D51DA"/>
    <w:rsid w:val="004D51E0"/>
    <w:rsid w:val="004D524F"/>
    <w:rsid w:val="004D52D9"/>
    <w:rsid w:val="004D52E2"/>
    <w:rsid w:val="004D537E"/>
    <w:rsid w:val="004D53BF"/>
    <w:rsid w:val="004D53D5"/>
    <w:rsid w:val="004D5469"/>
    <w:rsid w:val="004D550F"/>
    <w:rsid w:val="004D559A"/>
    <w:rsid w:val="004D55B1"/>
    <w:rsid w:val="004D55D2"/>
    <w:rsid w:val="004D55D5"/>
    <w:rsid w:val="004D57AA"/>
    <w:rsid w:val="004D5821"/>
    <w:rsid w:val="004D587D"/>
    <w:rsid w:val="004D58FF"/>
    <w:rsid w:val="004D5997"/>
    <w:rsid w:val="004D5A44"/>
    <w:rsid w:val="004D5A84"/>
    <w:rsid w:val="004D5AC9"/>
    <w:rsid w:val="004D5B4E"/>
    <w:rsid w:val="004D5B7C"/>
    <w:rsid w:val="004D5BFA"/>
    <w:rsid w:val="004D5C26"/>
    <w:rsid w:val="004D5C2D"/>
    <w:rsid w:val="004D5C57"/>
    <w:rsid w:val="004D5C65"/>
    <w:rsid w:val="004D5CD1"/>
    <w:rsid w:val="004D5CE5"/>
    <w:rsid w:val="004D5CEE"/>
    <w:rsid w:val="004D5D18"/>
    <w:rsid w:val="004D5D67"/>
    <w:rsid w:val="004D5DD0"/>
    <w:rsid w:val="004D5E0A"/>
    <w:rsid w:val="004D5E19"/>
    <w:rsid w:val="004D5E1B"/>
    <w:rsid w:val="004D5EE1"/>
    <w:rsid w:val="004D5F60"/>
    <w:rsid w:val="004D5FEE"/>
    <w:rsid w:val="004D5FFF"/>
    <w:rsid w:val="004D6102"/>
    <w:rsid w:val="004D6166"/>
    <w:rsid w:val="004D6173"/>
    <w:rsid w:val="004D61AC"/>
    <w:rsid w:val="004D624D"/>
    <w:rsid w:val="004D6257"/>
    <w:rsid w:val="004D62EC"/>
    <w:rsid w:val="004D6305"/>
    <w:rsid w:val="004D63EC"/>
    <w:rsid w:val="004D63FA"/>
    <w:rsid w:val="004D640F"/>
    <w:rsid w:val="004D6413"/>
    <w:rsid w:val="004D64F2"/>
    <w:rsid w:val="004D6608"/>
    <w:rsid w:val="004D6649"/>
    <w:rsid w:val="004D6671"/>
    <w:rsid w:val="004D670A"/>
    <w:rsid w:val="004D6721"/>
    <w:rsid w:val="004D6751"/>
    <w:rsid w:val="004D67F0"/>
    <w:rsid w:val="004D681C"/>
    <w:rsid w:val="004D6887"/>
    <w:rsid w:val="004D6898"/>
    <w:rsid w:val="004D6951"/>
    <w:rsid w:val="004D698F"/>
    <w:rsid w:val="004D69C8"/>
    <w:rsid w:val="004D6A09"/>
    <w:rsid w:val="004D6A69"/>
    <w:rsid w:val="004D6BC1"/>
    <w:rsid w:val="004D6DF6"/>
    <w:rsid w:val="004D6ED3"/>
    <w:rsid w:val="004D6F08"/>
    <w:rsid w:val="004D6F31"/>
    <w:rsid w:val="004D6F6B"/>
    <w:rsid w:val="004D7000"/>
    <w:rsid w:val="004D7045"/>
    <w:rsid w:val="004D705D"/>
    <w:rsid w:val="004D7148"/>
    <w:rsid w:val="004D716B"/>
    <w:rsid w:val="004D71C6"/>
    <w:rsid w:val="004D71F8"/>
    <w:rsid w:val="004D7214"/>
    <w:rsid w:val="004D726F"/>
    <w:rsid w:val="004D735F"/>
    <w:rsid w:val="004D74E5"/>
    <w:rsid w:val="004D754A"/>
    <w:rsid w:val="004D75B7"/>
    <w:rsid w:val="004D765F"/>
    <w:rsid w:val="004D7684"/>
    <w:rsid w:val="004D7725"/>
    <w:rsid w:val="004D7740"/>
    <w:rsid w:val="004D775B"/>
    <w:rsid w:val="004D775D"/>
    <w:rsid w:val="004D779E"/>
    <w:rsid w:val="004D77B4"/>
    <w:rsid w:val="004D77C0"/>
    <w:rsid w:val="004D784C"/>
    <w:rsid w:val="004D786D"/>
    <w:rsid w:val="004D788F"/>
    <w:rsid w:val="004D7901"/>
    <w:rsid w:val="004D791B"/>
    <w:rsid w:val="004D794D"/>
    <w:rsid w:val="004D7967"/>
    <w:rsid w:val="004D79B7"/>
    <w:rsid w:val="004D7A71"/>
    <w:rsid w:val="004D7AA9"/>
    <w:rsid w:val="004D7AC4"/>
    <w:rsid w:val="004D7B00"/>
    <w:rsid w:val="004D7B2D"/>
    <w:rsid w:val="004D7BEF"/>
    <w:rsid w:val="004D7CA7"/>
    <w:rsid w:val="004D7CBA"/>
    <w:rsid w:val="004D7DAD"/>
    <w:rsid w:val="004D7DDB"/>
    <w:rsid w:val="004D7EF2"/>
    <w:rsid w:val="004D7F0E"/>
    <w:rsid w:val="004D7F47"/>
    <w:rsid w:val="004D7F78"/>
    <w:rsid w:val="004D7F96"/>
    <w:rsid w:val="004E001C"/>
    <w:rsid w:val="004E005D"/>
    <w:rsid w:val="004E009B"/>
    <w:rsid w:val="004E00E8"/>
    <w:rsid w:val="004E0113"/>
    <w:rsid w:val="004E0147"/>
    <w:rsid w:val="004E016A"/>
    <w:rsid w:val="004E01E3"/>
    <w:rsid w:val="004E0253"/>
    <w:rsid w:val="004E025D"/>
    <w:rsid w:val="004E0286"/>
    <w:rsid w:val="004E037C"/>
    <w:rsid w:val="004E03AB"/>
    <w:rsid w:val="004E048D"/>
    <w:rsid w:val="004E052B"/>
    <w:rsid w:val="004E0566"/>
    <w:rsid w:val="004E058D"/>
    <w:rsid w:val="004E0597"/>
    <w:rsid w:val="004E05A9"/>
    <w:rsid w:val="004E05C9"/>
    <w:rsid w:val="004E062C"/>
    <w:rsid w:val="004E063E"/>
    <w:rsid w:val="004E0667"/>
    <w:rsid w:val="004E06CA"/>
    <w:rsid w:val="004E073B"/>
    <w:rsid w:val="004E085A"/>
    <w:rsid w:val="004E0912"/>
    <w:rsid w:val="004E0925"/>
    <w:rsid w:val="004E0937"/>
    <w:rsid w:val="004E0988"/>
    <w:rsid w:val="004E0B2D"/>
    <w:rsid w:val="004E0D4A"/>
    <w:rsid w:val="004E0D6D"/>
    <w:rsid w:val="004E0D89"/>
    <w:rsid w:val="004E0DB7"/>
    <w:rsid w:val="004E0DE2"/>
    <w:rsid w:val="004E0DFF"/>
    <w:rsid w:val="004E0E5A"/>
    <w:rsid w:val="004E0EC7"/>
    <w:rsid w:val="004E0EFF"/>
    <w:rsid w:val="004E0FA1"/>
    <w:rsid w:val="004E0FCA"/>
    <w:rsid w:val="004E0FCE"/>
    <w:rsid w:val="004E0FE0"/>
    <w:rsid w:val="004E10C9"/>
    <w:rsid w:val="004E10D9"/>
    <w:rsid w:val="004E1128"/>
    <w:rsid w:val="004E1178"/>
    <w:rsid w:val="004E119C"/>
    <w:rsid w:val="004E11BE"/>
    <w:rsid w:val="004E1233"/>
    <w:rsid w:val="004E1251"/>
    <w:rsid w:val="004E14BB"/>
    <w:rsid w:val="004E1601"/>
    <w:rsid w:val="004E1630"/>
    <w:rsid w:val="004E16A0"/>
    <w:rsid w:val="004E17A9"/>
    <w:rsid w:val="004E1891"/>
    <w:rsid w:val="004E18FB"/>
    <w:rsid w:val="004E197E"/>
    <w:rsid w:val="004E1A1C"/>
    <w:rsid w:val="004E1A2E"/>
    <w:rsid w:val="004E1A56"/>
    <w:rsid w:val="004E1C02"/>
    <w:rsid w:val="004E1C1C"/>
    <w:rsid w:val="004E1C49"/>
    <w:rsid w:val="004E1CBD"/>
    <w:rsid w:val="004E1CDC"/>
    <w:rsid w:val="004E1DC1"/>
    <w:rsid w:val="004E1DE3"/>
    <w:rsid w:val="004E1E68"/>
    <w:rsid w:val="004E1F35"/>
    <w:rsid w:val="004E1F43"/>
    <w:rsid w:val="004E1F4B"/>
    <w:rsid w:val="004E1FE4"/>
    <w:rsid w:val="004E20FE"/>
    <w:rsid w:val="004E221D"/>
    <w:rsid w:val="004E22AA"/>
    <w:rsid w:val="004E22BD"/>
    <w:rsid w:val="004E235E"/>
    <w:rsid w:val="004E2447"/>
    <w:rsid w:val="004E24D7"/>
    <w:rsid w:val="004E24E5"/>
    <w:rsid w:val="004E2523"/>
    <w:rsid w:val="004E2551"/>
    <w:rsid w:val="004E25C2"/>
    <w:rsid w:val="004E2686"/>
    <w:rsid w:val="004E269C"/>
    <w:rsid w:val="004E26FC"/>
    <w:rsid w:val="004E271F"/>
    <w:rsid w:val="004E27FE"/>
    <w:rsid w:val="004E2804"/>
    <w:rsid w:val="004E28C6"/>
    <w:rsid w:val="004E2973"/>
    <w:rsid w:val="004E297D"/>
    <w:rsid w:val="004E29B3"/>
    <w:rsid w:val="004E29CE"/>
    <w:rsid w:val="004E29EB"/>
    <w:rsid w:val="004E2A38"/>
    <w:rsid w:val="004E2B04"/>
    <w:rsid w:val="004E2B6E"/>
    <w:rsid w:val="004E2BA2"/>
    <w:rsid w:val="004E2BC2"/>
    <w:rsid w:val="004E2BDB"/>
    <w:rsid w:val="004E2C13"/>
    <w:rsid w:val="004E2C6C"/>
    <w:rsid w:val="004E2D79"/>
    <w:rsid w:val="004E2DC7"/>
    <w:rsid w:val="004E2E68"/>
    <w:rsid w:val="004E2F1A"/>
    <w:rsid w:val="004E2FC6"/>
    <w:rsid w:val="004E307F"/>
    <w:rsid w:val="004E3318"/>
    <w:rsid w:val="004E3323"/>
    <w:rsid w:val="004E3353"/>
    <w:rsid w:val="004E336B"/>
    <w:rsid w:val="004E3371"/>
    <w:rsid w:val="004E33A2"/>
    <w:rsid w:val="004E33A3"/>
    <w:rsid w:val="004E33CC"/>
    <w:rsid w:val="004E357F"/>
    <w:rsid w:val="004E3598"/>
    <w:rsid w:val="004E35B4"/>
    <w:rsid w:val="004E36B3"/>
    <w:rsid w:val="004E3752"/>
    <w:rsid w:val="004E37D4"/>
    <w:rsid w:val="004E3898"/>
    <w:rsid w:val="004E38A2"/>
    <w:rsid w:val="004E38BF"/>
    <w:rsid w:val="004E38D7"/>
    <w:rsid w:val="004E390A"/>
    <w:rsid w:val="004E3946"/>
    <w:rsid w:val="004E3A23"/>
    <w:rsid w:val="004E3ACD"/>
    <w:rsid w:val="004E3B78"/>
    <w:rsid w:val="004E3B79"/>
    <w:rsid w:val="004E3B94"/>
    <w:rsid w:val="004E3C36"/>
    <w:rsid w:val="004E3C91"/>
    <w:rsid w:val="004E3CA6"/>
    <w:rsid w:val="004E3CCA"/>
    <w:rsid w:val="004E3D21"/>
    <w:rsid w:val="004E3D22"/>
    <w:rsid w:val="004E3DAC"/>
    <w:rsid w:val="004E3E63"/>
    <w:rsid w:val="004E3EAF"/>
    <w:rsid w:val="004E3ED9"/>
    <w:rsid w:val="004E3F1A"/>
    <w:rsid w:val="004E3F9F"/>
    <w:rsid w:val="004E3FAC"/>
    <w:rsid w:val="004E407C"/>
    <w:rsid w:val="004E40EE"/>
    <w:rsid w:val="004E4107"/>
    <w:rsid w:val="004E4132"/>
    <w:rsid w:val="004E4162"/>
    <w:rsid w:val="004E41A4"/>
    <w:rsid w:val="004E4209"/>
    <w:rsid w:val="004E42FD"/>
    <w:rsid w:val="004E4326"/>
    <w:rsid w:val="004E432E"/>
    <w:rsid w:val="004E4338"/>
    <w:rsid w:val="004E4387"/>
    <w:rsid w:val="004E438E"/>
    <w:rsid w:val="004E43DA"/>
    <w:rsid w:val="004E43E2"/>
    <w:rsid w:val="004E4442"/>
    <w:rsid w:val="004E4474"/>
    <w:rsid w:val="004E4534"/>
    <w:rsid w:val="004E45E4"/>
    <w:rsid w:val="004E4699"/>
    <w:rsid w:val="004E46AC"/>
    <w:rsid w:val="004E47B3"/>
    <w:rsid w:val="004E4821"/>
    <w:rsid w:val="004E48C0"/>
    <w:rsid w:val="004E48D3"/>
    <w:rsid w:val="004E48DA"/>
    <w:rsid w:val="004E493B"/>
    <w:rsid w:val="004E493E"/>
    <w:rsid w:val="004E49A1"/>
    <w:rsid w:val="004E4AD0"/>
    <w:rsid w:val="004E4B31"/>
    <w:rsid w:val="004E4C31"/>
    <w:rsid w:val="004E4C99"/>
    <w:rsid w:val="004E4E19"/>
    <w:rsid w:val="004E4E37"/>
    <w:rsid w:val="004E4E5D"/>
    <w:rsid w:val="004E4E75"/>
    <w:rsid w:val="004E4EAD"/>
    <w:rsid w:val="004E4EF5"/>
    <w:rsid w:val="004E4F76"/>
    <w:rsid w:val="004E5025"/>
    <w:rsid w:val="004E5120"/>
    <w:rsid w:val="004E51C7"/>
    <w:rsid w:val="004E51D4"/>
    <w:rsid w:val="004E52C9"/>
    <w:rsid w:val="004E52FF"/>
    <w:rsid w:val="004E530F"/>
    <w:rsid w:val="004E5311"/>
    <w:rsid w:val="004E531D"/>
    <w:rsid w:val="004E533D"/>
    <w:rsid w:val="004E535B"/>
    <w:rsid w:val="004E53A3"/>
    <w:rsid w:val="004E5434"/>
    <w:rsid w:val="004E5491"/>
    <w:rsid w:val="004E54BC"/>
    <w:rsid w:val="004E5509"/>
    <w:rsid w:val="004E551A"/>
    <w:rsid w:val="004E5534"/>
    <w:rsid w:val="004E5592"/>
    <w:rsid w:val="004E5628"/>
    <w:rsid w:val="004E56FF"/>
    <w:rsid w:val="004E572E"/>
    <w:rsid w:val="004E5737"/>
    <w:rsid w:val="004E574A"/>
    <w:rsid w:val="004E57C8"/>
    <w:rsid w:val="004E57EB"/>
    <w:rsid w:val="004E58E3"/>
    <w:rsid w:val="004E5970"/>
    <w:rsid w:val="004E598C"/>
    <w:rsid w:val="004E5A6B"/>
    <w:rsid w:val="004E5A80"/>
    <w:rsid w:val="004E5A97"/>
    <w:rsid w:val="004E5B4B"/>
    <w:rsid w:val="004E5BB1"/>
    <w:rsid w:val="004E5CF7"/>
    <w:rsid w:val="004E5D29"/>
    <w:rsid w:val="004E5D8C"/>
    <w:rsid w:val="004E5DED"/>
    <w:rsid w:val="004E5E8A"/>
    <w:rsid w:val="004E5EC7"/>
    <w:rsid w:val="004E5ECE"/>
    <w:rsid w:val="004E5FFC"/>
    <w:rsid w:val="004E604E"/>
    <w:rsid w:val="004E6066"/>
    <w:rsid w:val="004E608B"/>
    <w:rsid w:val="004E6122"/>
    <w:rsid w:val="004E612C"/>
    <w:rsid w:val="004E6158"/>
    <w:rsid w:val="004E6176"/>
    <w:rsid w:val="004E6179"/>
    <w:rsid w:val="004E61E3"/>
    <w:rsid w:val="004E6262"/>
    <w:rsid w:val="004E629C"/>
    <w:rsid w:val="004E629D"/>
    <w:rsid w:val="004E630E"/>
    <w:rsid w:val="004E632D"/>
    <w:rsid w:val="004E637D"/>
    <w:rsid w:val="004E6386"/>
    <w:rsid w:val="004E63AD"/>
    <w:rsid w:val="004E63B0"/>
    <w:rsid w:val="004E6482"/>
    <w:rsid w:val="004E6488"/>
    <w:rsid w:val="004E64DE"/>
    <w:rsid w:val="004E653C"/>
    <w:rsid w:val="004E6544"/>
    <w:rsid w:val="004E65B5"/>
    <w:rsid w:val="004E65E6"/>
    <w:rsid w:val="004E66A3"/>
    <w:rsid w:val="004E67C6"/>
    <w:rsid w:val="004E67FC"/>
    <w:rsid w:val="004E6852"/>
    <w:rsid w:val="004E688F"/>
    <w:rsid w:val="004E68B4"/>
    <w:rsid w:val="004E68FB"/>
    <w:rsid w:val="004E69F0"/>
    <w:rsid w:val="004E6A5F"/>
    <w:rsid w:val="004E6A70"/>
    <w:rsid w:val="004E6AD1"/>
    <w:rsid w:val="004E6ADE"/>
    <w:rsid w:val="004E6AE9"/>
    <w:rsid w:val="004E6B29"/>
    <w:rsid w:val="004E6B2A"/>
    <w:rsid w:val="004E6C68"/>
    <w:rsid w:val="004E6CA1"/>
    <w:rsid w:val="004E6CA5"/>
    <w:rsid w:val="004E6D14"/>
    <w:rsid w:val="004E6D9A"/>
    <w:rsid w:val="004E6DE1"/>
    <w:rsid w:val="004E6E30"/>
    <w:rsid w:val="004E6EDC"/>
    <w:rsid w:val="004E6F96"/>
    <w:rsid w:val="004E6FC3"/>
    <w:rsid w:val="004E7006"/>
    <w:rsid w:val="004E7016"/>
    <w:rsid w:val="004E703A"/>
    <w:rsid w:val="004E7065"/>
    <w:rsid w:val="004E70AD"/>
    <w:rsid w:val="004E70C9"/>
    <w:rsid w:val="004E7119"/>
    <w:rsid w:val="004E7142"/>
    <w:rsid w:val="004E722D"/>
    <w:rsid w:val="004E72C8"/>
    <w:rsid w:val="004E72D6"/>
    <w:rsid w:val="004E7349"/>
    <w:rsid w:val="004E735B"/>
    <w:rsid w:val="004E73A3"/>
    <w:rsid w:val="004E741C"/>
    <w:rsid w:val="004E74AF"/>
    <w:rsid w:val="004E75B8"/>
    <w:rsid w:val="004E760A"/>
    <w:rsid w:val="004E7625"/>
    <w:rsid w:val="004E7640"/>
    <w:rsid w:val="004E7654"/>
    <w:rsid w:val="004E76D6"/>
    <w:rsid w:val="004E76E9"/>
    <w:rsid w:val="004E7736"/>
    <w:rsid w:val="004E773D"/>
    <w:rsid w:val="004E77AC"/>
    <w:rsid w:val="004E77B4"/>
    <w:rsid w:val="004E77CB"/>
    <w:rsid w:val="004E77E8"/>
    <w:rsid w:val="004E7801"/>
    <w:rsid w:val="004E782C"/>
    <w:rsid w:val="004E78D9"/>
    <w:rsid w:val="004E790E"/>
    <w:rsid w:val="004E792B"/>
    <w:rsid w:val="004E7957"/>
    <w:rsid w:val="004E79CA"/>
    <w:rsid w:val="004E79CD"/>
    <w:rsid w:val="004E79DD"/>
    <w:rsid w:val="004E7A61"/>
    <w:rsid w:val="004E7AA2"/>
    <w:rsid w:val="004E7C33"/>
    <w:rsid w:val="004E7CCC"/>
    <w:rsid w:val="004E7D1C"/>
    <w:rsid w:val="004E7DF4"/>
    <w:rsid w:val="004E7EB4"/>
    <w:rsid w:val="004E7ED4"/>
    <w:rsid w:val="004E7EE3"/>
    <w:rsid w:val="004E7EEF"/>
    <w:rsid w:val="004E7F0D"/>
    <w:rsid w:val="004E7F80"/>
    <w:rsid w:val="004F000B"/>
    <w:rsid w:val="004F0032"/>
    <w:rsid w:val="004F01A1"/>
    <w:rsid w:val="004F0236"/>
    <w:rsid w:val="004F024F"/>
    <w:rsid w:val="004F0255"/>
    <w:rsid w:val="004F02B7"/>
    <w:rsid w:val="004F0300"/>
    <w:rsid w:val="004F046C"/>
    <w:rsid w:val="004F0536"/>
    <w:rsid w:val="004F0564"/>
    <w:rsid w:val="004F0642"/>
    <w:rsid w:val="004F0672"/>
    <w:rsid w:val="004F06CC"/>
    <w:rsid w:val="004F0711"/>
    <w:rsid w:val="004F0719"/>
    <w:rsid w:val="004F0768"/>
    <w:rsid w:val="004F082E"/>
    <w:rsid w:val="004F0850"/>
    <w:rsid w:val="004F088F"/>
    <w:rsid w:val="004F0896"/>
    <w:rsid w:val="004F0898"/>
    <w:rsid w:val="004F089D"/>
    <w:rsid w:val="004F08B0"/>
    <w:rsid w:val="004F08BB"/>
    <w:rsid w:val="004F091D"/>
    <w:rsid w:val="004F0943"/>
    <w:rsid w:val="004F0946"/>
    <w:rsid w:val="004F0950"/>
    <w:rsid w:val="004F09BB"/>
    <w:rsid w:val="004F09C9"/>
    <w:rsid w:val="004F0A0A"/>
    <w:rsid w:val="004F0A2A"/>
    <w:rsid w:val="004F0A4C"/>
    <w:rsid w:val="004F0A51"/>
    <w:rsid w:val="004F0AE7"/>
    <w:rsid w:val="004F0AFA"/>
    <w:rsid w:val="004F0B7B"/>
    <w:rsid w:val="004F0D11"/>
    <w:rsid w:val="004F0D12"/>
    <w:rsid w:val="004F0D40"/>
    <w:rsid w:val="004F0DA2"/>
    <w:rsid w:val="004F0E78"/>
    <w:rsid w:val="004F0EAC"/>
    <w:rsid w:val="004F0EDE"/>
    <w:rsid w:val="004F0EFC"/>
    <w:rsid w:val="004F0FB1"/>
    <w:rsid w:val="004F0FB4"/>
    <w:rsid w:val="004F1006"/>
    <w:rsid w:val="004F101B"/>
    <w:rsid w:val="004F102C"/>
    <w:rsid w:val="004F10E0"/>
    <w:rsid w:val="004F11B6"/>
    <w:rsid w:val="004F1254"/>
    <w:rsid w:val="004F129D"/>
    <w:rsid w:val="004F134B"/>
    <w:rsid w:val="004F138F"/>
    <w:rsid w:val="004F1398"/>
    <w:rsid w:val="004F13AC"/>
    <w:rsid w:val="004F145E"/>
    <w:rsid w:val="004F146E"/>
    <w:rsid w:val="004F149F"/>
    <w:rsid w:val="004F14C2"/>
    <w:rsid w:val="004F14CC"/>
    <w:rsid w:val="004F16C1"/>
    <w:rsid w:val="004F16CB"/>
    <w:rsid w:val="004F16E2"/>
    <w:rsid w:val="004F1796"/>
    <w:rsid w:val="004F17B0"/>
    <w:rsid w:val="004F1878"/>
    <w:rsid w:val="004F187D"/>
    <w:rsid w:val="004F18BC"/>
    <w:rsid w:val="004F18E3"/>
    <w:rsid w:val="004F1962"/>
    <w:rsid w:val="004F196F"/>
    <w:rsid w:val="004F1991"/>
    <w:rsid w:val="004F1A49"/>
    <w:rsid w:val="004F1A74"/>
    <w:rsid w:val="004F1ACA"/>
    <w:rsid w:val="004F1BCD"/>
    <w:rsid w:val="004F1C36"/>
    <w:rsid w:val="004F1C51"/>
    <w:rsid w:val="004F1C8C"/>
    <w:rsid w:val="004F1EC0"/>
    <w:rsid w:val="004F1F42"/>
    <w:rsid w:val="004F1F53"/>
    <w:rsid w:val="004F1FCB"/>
    <w:rsid w:val="004F20A5"/>
    <w:rsid w:val="004F2137"/>
    <w:rsid w:val="004F214C"/>
    <w:rsid w:val="004F21B6"/>
    <w:rsid w:val="004F220F"/>
    <w:rsid w:val="004F2266"/>
    <w:rsid w:val="004F2297"/>
    <w:rsid w:val="004F22AB"/>
    <w:rsid w:val="004F22F7"/>
    <w:rsid w:val="004F239D"/>
    <w:rsid w:val="004F23AF"/>
    <w:rsid w:val="004F23C6"/>
    <w:rsid w:val="004F23D2"/>
    <w:rsid w:val="004F23DC"/>
    <w:rsid w:val="004F2504"/>
    <w:rsid w:val="004F2547"/>
    <w:rsid w:val="004F2691"/>
    <w:rsid w:val="004F277F"/>
    <w:rsid w:val="004F2825"/>
    <w:rsid w:val="004F2831"/>
    <w:rsid w:val="004F2910"/>
    <w:rsid w:val="004F2A2A"/>
    <w:rsid w:val="004F2ACB"/>
    <w:rsid w:val="004F2B21"/>
    <w:rsid w:val="004F2B89"/>
    <w:rsid w:val="004F2C15"/>
    <w:rsid w:val="004F2C7D"/>
    <w:rsid w:val="004F2C93"/>
    <w:rsid w:val="004F2CF0"/>
    <w:rsid w:val="004F2D03"/>
    <w:rsid w:val="004F2D0A"/>
    <w:rsid w:val="004F2DE0"/>
    <w:rsid w:val="004F2E47"/>
    <w:rsid w:val="004F2FF8"/>
    <w:rsid w:val="004F3003"/>
    <w:rsid w:val="004F300A"/>
    <w:rsid w:val="004F3025"/>
    <w:rsid w:val="004F3032"/>
    <w:rsid w:val="004F304D"/>
    <w:rsid w:val="004F3098"/>
    <w:rsid w:val="004F3148"/>
    <w:rsid w:val="004F320B"/>
    <w:rsid w:val="004F326E"/>
    <w:rsid w:val="004F3381"/>
    <w:rsid w:val="004F345A"/>
    <w:rsid w:val="004F3517"/>
    <w:rsid w:val="004F352E"/>
    <w:rsid w:val="004F35B3"/>
    <w:rsid w:val="004F36F1"/>
    <w:rsid w:val="004F3734"/>
    <w:rsid w:val="004F3760"/>
    <w:rsid w:val="004F3870"/>
    <w:rsid w:val="004F38A0"/>
    <w:rsid w:val="004F38D9"/>
    <w:rsid w:val="004F3985"/>
    <w:rsid w:val="004F3991"/>
    <w:rsid w:val="004F39CA"/>
    <w:rsid w:val="004F3A41"/>
    <w:rsid w:val="004F3B4F"/>
    <w:rsid w:val="004F3BEA"/>
    <w:rsid w:val="004F3CD1"/>
    <w:rsid w:val="004F3CE4"/>
    <w:rsid w:val="004F3D34"/>
    <w:rsid w:val="004F3DC2"/>
    <w:rsid w:val="004F3DFB"/>
    <w:rsid w:val="004F3E03"/>
    <w:rsid w:val="004F3E22"/>
    <w:rsid w:val="004F3E38"/>
    <w:rsid w:val="004F3F0A"/>
    <w:rsid w:val="004F3F3A"/>
    <w:rsid w:val="004F3F92"/>
    <w:rsid w:val="004F405B"/>
    <w:rsid w:val="004F407A"/>
    <w:rsid w:val="004F4089"/>
    <w:rsid w:val="004F408E"/>
    <w:rsid w:val="004F4114"/>
    <w:rsid w:val="004F41B6"/>
    <w:rsid w:val="004F41E7"/>
    <w:rsid w:val="004F420C"/>
    <w:rsid w:val="004F423E"/>
    <w:rsid w:val="004F4349"/>
    <w:rsid w:val="004F438D"/>
    <w:rsid w:val="004F43FA"/>
    <w:rsid w:val="004F4435"/>
    <w:rsid w:val="004F45BF"/>
    <w:rsid w:val="004F466F"/>
    <w:rsid w:val="004F46E8"/>
    <w:rsid w:val="004F471B"/>
    <w:rsid w:val="004F4833"/>
    <w:rsid w:val="004F4860"/>
    <w:rsid w:val="004F48C1"/>
    <w:rsid w:val="004F48FA"/>
    <w:rsid w:val="004F4901"/>
    <w:rsid w:val="004F4A24"/>
    <w:rsid w:val="004F4ABE"/>
    <w:rsid w:val="004F4AC8"/>
    <w:rsid w:val="004F4B03"/>
    <w:rsid w:val="004F4B12"/>
    <w:rsid w:val="004F4B57"/>
    <w:rsid w:val="004F4B59"/>
    <w:rsid w:val="004F4C37"/>
    <w:rsid w:val="004F4CD5"/>
    <w:rsid w:val="004F4E3D"/>
    <w:rsid w:val="004F4E82"/>
    <w:rsid w:val="004F4EFB"/>
    <w:rsid w:val="004F4F3E"/>
    <w:rsid w:val="004F4FCE"/>
    <w:rsid w:val="004F5004"/>
    <w:rsid w:val="004F5090"/>
    <w:rsid w:val="004F5143"/>
    <w:rsid w:val="004F5198"/>
    <w:rsid w:val="004F52B9"/>
    <w:rsid w:val="004F52C1"/>
    <w:rsid w:val="004F52FD"/>
    <w:rsid w:val="004F5368"/>
    <w:rsid w:val="004F5393"/>
    <w:rsid w:val="004F53EA"/>
    <w:rsid w:val="004F5414"/>
    <w:rsid w:val="004F54CE"/>
    <w:rsid w:val="004F54CF"/>
    <w:rsid w:val="004F5522"/>
    <w:rsid w:val="004F557E"/>
    <w:rsid w:val="004F5679"/>
    <w:rsid w:val="004F56C1"/>
    <w:rsid w:val="004F575E"/>
    <w:rsid w:val="004F577E"/>
    <w:rsid w:val="004F58E2"/>
    <w:rsid w:val="004F5914"/>
    <w:rsid w:val="004F59BF"/>
    <w:rsid w:val="004F59F2"/>
    <w:rsid w:val="004F5A1F"/>
    <w:rsid w:val="004F5AA7"/>
    <w:rsid w:val="004F5AF6"/>
    <w:rsid w:val="004F5AFD"/>
    <w:rsid w:val="004F5B32"/>
    <w:rsid w:val="004F5B58"/>
    <w:rsid w:val="004F5BF4"/>
    <w:rsid w:val="004F5BFD"/>
    <w:rsid w:val="004F5C26"/>
    <w:rsid w:val="004F5C41"/>
    <w:rsid w:val="004F5C8B"/>
    <w:rsid w:val="004F5D83"/>
    <w:rsid w:val="004F5DC4"/>
    <w:rsid w:val="004F5DE8"/>
    <w:rsid w:val="004F5DF8"/>
    <w:rsid w:val="004F5DFA"/>
    <w:rsid w:val="004F5F60"/>
    <w:rsid w:val="004F5F80"/>
    <w:rsid w:val="004F5F88"/>
    <w:rsid w:val="004F6036"/>
    <w:rsid w:val="004F613B"/>
    <w:rsid w:val="004F6171"/>
    <w:rsid w:val="004F619D"/>
    <w:rsid w:val="004F621D"/>
    <w:rsid w:val="004F621F"/>
    <w:rsid w:val="004F62A9"/>
    <w:rsid w:val="004F62CF"/>
    <w:rsid w:val="004F62D2"/>
    <w:rsid w:val="004F62F8"/>
    <w:rsid w:val="004F637B"/>
    <w:rsid w:val="004F63A8"/>
    <w:rsid w:val="004F63B8"/>
    <w:rsid w:val="004F6450"/>
    <w:rsid w:val="004F64AE"/>
    <w:rsid w:val="004F660F"/>
    <w:rsid w:val="004F6644"/>
    <w:rsid w:val="004F669C"/>
    <w:rsid w:val="004F6740"/>
    <w:rsid w:val="004F684A"/>
    <w:rsid w:val="004F68B3"/>
    <w:rsid w:val="004F68E9"/>
    <w:rsid w:val="004F6966"/>
    <w:rsid w:val="004F698E"/>
    <w:rsid w:val="004F69C7"/>
    <w:rsid w:val="004F69E2"/>
    <w:rsid w:val="004F69FB"/>
    <w:rsid w:val="004F6A01"/>
    <w:rsid w:val="004F6A0E"/>
    <w:rsid w:val="004F6A36"/>
    <w:rsid w:val="004F6A43"/>
    <w:rsid w:val="004F6A66"/>
    <w:rsid w:val="004F6A6D"/>
    <w:rsid w:val="004F6A78"/>
    <w:rsid w:val="004F6ABE"/>
    <w:rsid w:val="004F6AD4"/>
    <w:rsid w:val="004F6B23"/>
    <w:rsid w:val="004F6B53"/>
    <w:rsid w:val="004F6B55"/>
    <w:rsid w:val="004F6B70"/>
    <w:rsid w:val="004F6B84"/>
    <w:rsid w:val="004F6BD8"/>
    <w:rsid w:val="004F6C17"/>
    <w:rsid w:val="004F6C95"/>
    <w:rsid w:val="004F6CEB"/>
    <w:rsid w:val="004F6E4A"/>
    <w:rsid w:val="004F6E7A"/>
    <w:rsid w:val="004F6EB8"/>
    <w:rsid w:val="004F6EF5"/>
    <w:rsid w:val="004F6F6E"/>
    <w:rsid w:val="004F7088"/>
    <w:rsid w:val="004F70D8"/>
    <w:rsid w:val="004F71AE"/>
    <w:rsid w:val="004F739C"/>
    <w:rsid w:val="004F73AB"/>
    <w:rsid w:val="004F73C9"/>
    <w:rsid w:val="004F73F9"/>
    <w:rsid w:val="004F744B"/>
    <w:rsid w:val="004F745E"/>
    <w:rsid w:val="004F759A"/>
    <w:rsid w:val="004F75BC"/>
    <w:rsid w:val="004F75C4"/>
    <w:rsid w:val="004F762E"/>
    <w:rsid w:val="004F765D"/>
    <w:rsid w:val="004F76D9"/>
    <w:rsid w:val="004F771C"/>
    <w:rsid w:val="004F772C"/>
    <w:rsid w:val="004F7774"/>
    <w:rsid w:val="004F77EB"/>
    <w:rsid w:val="004F77FD"/>
    <w:rsid w:val="004F7833"/>
    <w:rsid w:val="004F788C"/>
    <w:rsid w:val="004F791D"/>
    <w:rsid w:val="004F7930"/>
    <w:rsid w:val="004F7961"/>
    <w:rsid w:val="004F797D"/>
    <w:rsid w:val="004F7986"/>
    <w:rsid w:val="004F79AC"/>
    <w:rsid w:val="004F79FB"/>
    <w:rsid w:val="004F7A0B"/>
    <w:rsid w:val="004F7A8D"/>
    <w:rsid w:val="004F7AA4"/>
    <w:rsid w:val="004F7B39"/>
    <w:rsid w:val="004F7BC7"/>
    <w:rsid w:val="004F7C46"/>
    <w:rsid w:val="004F7C80"/>
    <w:rsid w:val="004F7CA2"/>
    <w:rsid w:val="004F7D74"/>
    <w:rsid w:val="004F7DF5"/>
    <w:rsid w:val="004F7E21"/>
    <w:rsid w:val="004F7E2B"/>
    <w:rsid w:val="004F7F53"/>
    <w:rsid w:val="004F7F5B"/>
    <w:rsid w:val="004F7FCC"/>
    <w:rsid w:val="004F7FD2"/>
    <w:rsid w:val="004F7FDD"/>
    <w:rsid w:val="0050006E"/>
    <w:rsid w:val="005000B1"/>
    <w:rsid w:val="00500123"/>
    <w:rsid w:val="00500127"/>
    <w:rsid w:val="0050019C"/>
    <w:rsid w:val="00500235"/>
    <w:rsid w:val="00500261"/>
    <w:rsid w:val="0050026A"/>
    <w:rsid w:val="00500271"/>
    <w:rsid w:val="00500278"/>
    <w:rsid w:val="005002E0"/>
    <w:rsid w:val="00500314"/>
    <w:rsid w:val="0050038F"/>
    <w:rsid w:val="0050044D"/>
    <w:rsid w:val="00500522"/>
    <w:rsid w:val="005005B8"/>
    <w:rsid w:val="005005EA"/>
    <w:rsid w:val="00500657"/>
    <w:rsid w:val="00500658"/>
    <w:rsid w:val="00500672"/>
    <w:rsid w:val="005006DF"/>
    <w:rsid w:val="005006E3"/>
    <w:rsid w:val="0050073D"/>
    <w:rsid w:val="0050075A"/>
    <w:rsid w:val="00500774"/>
    <w:rsid w:val="005007AB"/>
    <w:rsid w:val="00500817"/>
    <w:rsid w:val="00500895"/>
    <w:rsid w:val="0050089D"/>
    <w:rsid w:val="005008DA"/>
    <w:rsid w:val="005008F7"/>
    <w:rsid w:val="0050090B"/>
    <w:rsid w:val="0050090D"/>
    <w:rsid w:val="00500958"/>
    <w:rsid w:val="00500975"/>
    <w:rsid w:val="005009B5"/>
    <w:rsid w:val="005009F3"/>
    <w:rsid w:val="005009F5"/>
    <w:rsid w:val="00500A25"/>
    <w:rsid w:val="00500BEA"/>
    <w:rsid w:val="00500C2D"/>
    <w:rsid w:val="00500CCF"/>
    <w:rsid w:val="00500CF9"/>
    <w:rsid w:val="00500D49"/>
    <w:rsid w:val="00500D5F"/>
    <w:rsid w:val="00500D9F"/>
    <w:rsid w:val="00500E44"/>
    <w:rsid w:val="00500EA1"/>
    <w:rsid w:val="00500F0C"/>
    <w:rsid w:val="00500FAB"/>
    <w:rsid w:val="00500FBA"/>
    <w:rsid w:val="00500FD1"/>
    <w:rsid w:val="00501069"/>
    <w:rsid w:val="0050119D"/>
    <w:rsid w:val="005011C5"/>
    <w:rsid w:val="005011CA"/>
    <w:rsid w:val="005011E0"/>
    <w:rsid w:val="005011F4"/>
    <w:rsid w:val="00501220"/>
    <w:rsid w:val="00501298"/>
    <w:rsid w:val="0050129D"/>
    <w:rsid w:val="00501361"/>
    <w:rsid w:val="005013CC"/>
    <w:rsid w:val="005013D0"/>
    <w:rsid w:val="00501491"/>
    <w:rsid w:val="005014AD"/>
    <w:rsid w:val="005015A6"/>
    <w:rsid w:val="0050163A"/>
    <w:rsid w:val="00501654"/>
    <w:rsid w:val="005016A4"/>
    <w:rsid w:val="0050172C"/>
    <w:rsid w:val="0050173B"/>
    <w:rsid w:val="00501740"/>
    <w:rsid w:val="0050176B"/>
    <w:rsid w:val="0050177D"/>
    <w:rsid w:val="005017BD"/>
    <w:rsid w:val="00501802"/>
    <w:rsid w:val="0050183E"/>
    <w:rsid w:val="005018DA"/>
    <w:rsid w:val="005018F5"/>
    <w:rsid w:val="0050194A"/>
    <w:rsid w:val="00501959"/>
    <w:rsid w:val="00501A06"/>
    <w:rsid w:val="00501A3C"/>
    <w:rsid w:val="00501A6A"/>
    <w:rsid w:val="00501A6F"/>
    <w:rsid w:val="00501AE5"/>
    <w:rsid w:val="00501AFD"/>
    <w:rsid w:val="00501B2C"/>
    <w:rsid w:val="00501BF1"/>
    <w:rsid w:val="00501C2D"/>
    <w:rsid w:val="00501C77"/>
    <w:rsid w:val="00501C9D"/>
    <w:rsid w:val="00501CB1"/>
    <w:rsid w:val="00501CB5"/>
    <w:rsid w:val="00501CE6"/>
    <w:rsid w:val="00501DD6"/>
    <w:rsid w:val="00501E98"/>
    <w:rsid w:val="00501E9A"/>
    <w:rsid w:val="00501EE9"/>
    <w:rsid w:val="00501F04"/>
    <w:rsid w:val="00501F28"/>
    <w:rsid w:val="00501F83"/>
    <w:rsid w:val="00501FD1"/>
    <w:rsid w:val="00502004"/>
    <w:rsid w:val="005020A5"/>
    <w:rsid w:val="005020BF"/>
    <w:rsid w:val="005020DC"/>
    <w:rsid w:val="005021A5"/>
    <w:rsid w:val="005022A7"/>
    <w:rsid w:val="00502309"/>
    <w:rsid w:val="00502387"/>
    <w:rsid w:val="005023C0"/>
    <w:rsid w:val="0050240B"/>
    <w:rsid w:val="0050241E"/>
    <w:rsid w:val="00502500"/>
    <w:rsid w:val="00502550"/>
    <w:rsid w:val="00502592"/>
    <w:rsid w:val="00502663"/>
    <w:rsid w:val="0050268A"/>
    <w:rsid w:val="005026F3"/>
    <w:rsid w:val="005026F5"/>
    <w:rsid w:val="0050271E"/>
    <w:rsid w:val="00502731"/>
    <w:rsid w:val="005027FD"/>
    <w:rsid w:val="00502923"/>
    <w:rsid w:val="00502978"/>
    <w:rsid w:val="00502A7F"/>
    <w:rsid w:val="00502AE8"/>
    <w:rsid w:val="00502B60"/>
    <w:rsid w:val="00502BE4"/>
    <w:rsid w:val="00502C98"/>
    <w:rsid w:val="00502CA5"/>
    <w:rsid w:val="00502D3A"/>
    <w:rsid w:val="00502D8E"/>
    <w:rsid w:val="00502E18"/>
    <w:rsid w:val="00502E21"/>
    <w:rsid w:val="00502E73"/>
    <w:rsid w:val="00502ECA"/>
    <w:rsid w:val="00502EEB"/>
    <w:rsid w:val="00502F62"/>
    <w:rsid w:val="00502F68"/>
    <w:rsid w:val="00502FA2"/>
    <w:rsid w:val="00502FEA"/>
    <w:rsid w:val="00503032"/>
    <w:rsid w:val="00503052"/>
    <w:rsid w:val="0050305B"/>
    <w:rsid w:val="00503060"/>
    <w:rsid w:val="0050309D"/>
    <w:rsid w:val="005030A1"/>
    <w:rsid w:val="005030ED"/>
    <w:rsid w:val="00503141"/>
    <w:rsid w:val="0050317B"/>
    <w:rsid w:val="0050318D"/>
    <w:rsid w:val="00503241"/>
    <w:rsid w:val="00503291"/>
    <w:rsid w:val="005032CA"/>
    <w:rsid w:val="00503337"/>
    <w:rsid w:val="00503388"/>
    <w:rsid w:val="00503398"/>
    <w:rsid w:val="00503435"/>
    <w:rsid w:val="00503567"/>
    <w:rsid w:val="0050357F"/>
    <w:rsid w:val="0050365F"/>
    <w:rsid w:val="005036CA"/>
    <w:rsid w:val="005036F8"/>
    <w:rsid w:val="00503722"/>
    <w:rsid w:val="0050373C"/>
    <w:rsid w:val="0050376F"/>
    <w:rsid w:val="005037C0"/>
    <w:rsid w:val="00503862"/>
    <w:rsid w:val="00503891"/>
    <w:rsid w:val="005038AF"/>
    <w:rsid w:val="005038C7"/>
    <w:rsid w:val="00503912"/>
    <w:rsid w:val="0050391A"/>
    <w:rsid w:val="00503998"/>
    <w:rsid w:val="00503A08"/>
    <w:rsid w:val="00503B66"/>
    <w:rsid w:val="00503C45"/>
    <w:rsid w:val="00503C62"/>
    <w:rsid w:val="00503CA1"/>
    <w:rsid w:val="00503CDA"/>
    <w:rsid w:val="00503D01"/>
    <w:rsid w:val="00503DB5"/>
    <w:rsid w:val="00503DB6"/>
    <w:rsid w:val="00503DD5"/>
    <w:rsid w:val="00503E20"/>
    <w:rsid w:val="00503E38"/>
    <w:rsid w:val="00503E9D"/>
    <w:rsid w:val="00503F22"/>
    <w:rsid w:val="00503F84"/>
    <w:rsid w:val="00504005"/>
    <w:rsid w:val="00504203"/>
    <w:rsid w:val="005042EA"/>
    <w:rsid w:val="005042F4"/>
    <w:rsid w:val="005042FD"/>
    <w:rsid w:val="00504308"/>
    <w:rsid w:val="00504312"/>
    <w:rsid w:val="00504327"/>
    <w:rsid w:val="00504331"/>
    <w:rsid w:val="0050448A"/>
    <w:rsid w:val="00504552"/>
    <w:rsid w:val="00504561"/>
    <w:rsid w:val="0050475F"/>
    <w:rsid w:val="0050476D"/>
    <w:rsid w:val="00504774"/>
    <w:rsid w:val="005047DD"/>
    <w:rsid w:val="005047EF"/>
    <w:rsid w:val="0050482F"/>
    <w:rsid w:val="0050488D"/>
    <w:rsid w:val="005048CC"/>
    <w:rsid w:val="0050492D"/>
    <w:rsid w:val="005049CD"/>
    <w:rsid w:val="005049ED"/>
    <w:rsid w:val="005049F6"/>
    <w:rsid w:val="00504A7B"/>
    <w:rsid w:val="00504A86"/>
    <w:rsid w:val="00504B30"/>
    <w:rsid w:val="00504B79"/>
    <w:rsid w:val="00504B7F"/>
    <w:rsid w:val="00504BA2"/>
    <w:rsid w:val="00504C2C"/>
    <w:rsid w:val="00504C53"/>
    <w:rsid w:val="00504D03"/>
    <w:rsid w:val="00504D32"/>
    <w:rsid w:val="00504D54"/>
    <w:rsid w:val="00504D71"/>
    <w:rsid w:val="00504EC4"/>
    <w:rsid w:val="00504F3A"/>
    <w:rsid w:val="00504F3C"/>
    <w:rsid w:val="00504F46"/>
    <w:rsid w:val="00504F80"/>
    <w:rsid w:val="0050501C"/>
    <w:rsid w:val="00505077"/>
    <w:rsid w:val="00505123"/>
    <w:rsid w:val="00505133"/>
    <w:rsid w:val="0050515B"/>
    <w:rsid w:val="0050516A"/>
    <w:rsid w:val="005052BC"/>
    <w:rsid w:val="005052C5"/>
    <w:rsid w:val="005052F1"/>
    <w:rsid w:val="00505322"/>
    <w:rsid w:val="005054A8"/>
    <w:rsid w:val="0050559C"/>
    <w:rsid w:val="005055EB"/>
    <w:rsid w:val="00505645"/>
    <w:rsid w:val="00505666"/>
    <w:rsid w:val="00505694"/>
    <w:rsid w:val="00505698"/>
    <w:rsid w:val="005056B2"/>
    <w:rsid w:val="005056CF"/>
    <w:rsid w:val="00505717"/>
    <w:rsid w:val="00505748"/>
    <w:rsid w:val="005057D8"/>
    <w:rsid w:val="00505815"/>
    <w:rsid w:val="005058C5"/>
    <w:rsid w:val="005058FA"/>
    <w:rsid w:val="00505901"/>
    <w:rsid w:val="0050598D"/>
    <w:rsid w:val="00505A0E"/>
    <w:rsid w:val="00505A87"/>
    <w:rsid w:val="00505B13"/>
    <w:rsid w:val="00505B20"/>
    <w:rsid w:val="00505B7B"/>
    <w:rsid w:val="00505BD2"/>
    <w:rsid w:val="00505BF4"/>
    <w:rsid w:val="00505C59"/>
    <w:rsid w:val="00505DDC"/>
    <w:rsid w:val="00505E3A"/>
    <w:rsid w:val="00505F06"/>
    <w:rsid w:val="00505F8A"/>
    <w:rsid w:val="00505FBA"/>
    <w:rsid w:val="00506186"/>
    <w:rsid w:val="00506188"/>
    <w:rsid w:val="005061DA"/>
    <w:rsid w:val="00506225"/>
    <w:rsid w:val="00506251"/>
    <w:rsid w:val="00506359"/>
    <w:rsid w:val="00506386"/>
    <w:rsid w:val="00506393"/>
    <w:rsid w:val="005063DC"/>
    <w:rsid w:val="005063F5"/>
    <w:rsid w:val="00506459"/>
    <w:rsid w:val="0050650C"/>
    <w:rsid w:val="00506525"/>
    <w:rsid w:val="0050652A"/>
    <w:rsid w:val="00506545"/>
    <w:rsid w:val="005066AB"/>
    <w:rsid w:val="005066D2"/>
    <w:rsid w:val="0050670B"/>
    <w:rsid w:val="005067C1"/>
    <w:rsid w:val="0050681E"/>
    <w:rsid w:val="0050696E"/>
    <w:rsid w:val="00506AE0"/>
    <w:rsid w:val="00506AE5"/>
    <w:rsid w:val="00506B08"/>
    <w:rsid w:val="00506B75"/>
    <w:rsid w:val="00506BF3"/>
    <w:rsid w:val="00506C2A"/>
    <w:rsid w:val="00506C3B"/>
    <w:rsid w:val="00506D1C"/>
    <w:rsid w:val="00506E31"/>
    <w:rsid w:val="00506EF6"/>
    <w:rsid w:val="00506F25"/>
    <w:rsid w:val="00506F41"/>
    <w:rsid w:val="00506FF0"/>
    <w:rsid w:val="0050705D"/>
    <w:rsid w:val="00507115"/>
    <w:rsid w:val="00507155"/>
    <w:rsid w:val="00507232"/>
    <w:rsid w:val="005072A9"/>
    <w:rsid w:val="00507328"/>
    <w:rsid w:val="00507379"/>
    <w:rsid w:val="00507448"/>
    <w:rsid w:val="00507511"/>
    <w:rsid w:val="00507548"/>
    <w:rsid w:val="0050764C"/>
    <w:rsid w:val="0050768E"/>
    <w:rsid w:val="005076F0"/>
    <w:rsid w:val="005076FD"/>
    <w:rsid w:val="00507701"/>
    <w:rsid w:val="0050776C"/>
    <w:rsid w:val="00507786"/>
    <w:rsid w:val="005077A7"/>
    <w:rsid w:val="005077B4"/>
    <w:rsid w:val="005077C6"/>
    <w:rsid w:val="005077EF"/>
    <w:rsid w:val="00507852"/>
    <w:rsid w:val="00507965"/>
    <w:rsid w:val="0050799A"/>
    <w:rsid w:val="00507A62"/>
    <w:rsid w:val="00507B3D"/>
    <w:rsid w:val="00507BAF"/>
    <w:rsid w:val="00507BF6"/>
    <w:rsid w:val="00507C19"/>
    <w:rsid w:val="00507D27"/>
    <w:rsid w:val="00507D4F"/>
    <w:rsid w:val="00507DA2"/>
    <w:rsid w:val="00507DB1"/>
    <w:rsid w:val="00507F34"/>
    <w:rsid w:val="00510036"/>
    <w:rsid w:val="00510076"/>
    <w:rsid w:val="0051009C"/>
    <w:rsid w:val="005100AB"/>
    <w:rsid w:val="0051018A"/>
    <w:rsid w:val="005101F5"/>
    <w:rsid w:val="00510231"/>
    <w:rsid w:val="00510284"/>
    <w:rsid w:val="005102EE"/>
    <w:rsid w:val="0051030D"/>
    <w:rsid w:val="005103AE"/>
    <w:rsid w:val="0051040B"/>
    <w:rsid w:val="00510412"/>
    <w:rsid w:val="00510475"/>
    <w:rsid w:val="00510564"/>
    <w:rsid w:val="00510595"/>
    <w:rsid w:val="005105B0"/>
    <w:rsid w:val="005105B4"/>
    <w:rsid w:val="0051073F"/>
    <w:rsid w:val="005107A2"/>
    <w:rsid w:val="0051087D"/>
    <w:rsid w:val="0051094A"/>
    <w:rsid w:val="0051094C"/>
    <w:rsid w:val="00510952"/>
    <w:rsid w:val="00510959"/>
    <w:rsid w:val="005109B6"/>
    <w:rsid w:val="00510A37"/>
    <w:rsid w:val="00510BE6"/>
    <w:rsid w:val="00510C27"/>
    <w:rsid w:val="00510C37"/>
    <w:rsid w:val="00510D5C"/>
    <w:rsid w:val="00510D9A"/>
    <w:rsid w:val="00510DD3"/>
    <w:rsid w:val="00510DF7"/>
    <w:rsid w:val="00510F05"/>
    <w:rsid w:val="00510F7A"/>
    <w:rsid w:val="00510FEF"/>
    <w:rsid w:val="00511018"/>
    <w:rsid w:val="005110C8"/>
    <w:rsid w:val="005111AC"/>
    <w:rsid w:val="0051125A"/>
    <w:rsid w:val="005112C4"/>
    <w:rsid w:val="005113B3"/>
    <w:rsid w:val="00511417"/>
    <w:rsid w:val="0051148A"/>
    <w:rsid w:val="005115D9"/>
    <w:rsid w:val="005115E5"/>
    <w:rsid w:val="00511648"/>
    <w:rsid w:val="00511678"/>
    <w:rsid w:val="005116AF"/>
    <w:rsid w:val="00511776"/>
    <w:rsid w:val="0051184D"/>
    <w:rsid w:val="00511890"/>
    <w:rsid w:val="005118DC"/>
    <w:rsid w:val="00511909"/>
    <w:rsid w:val="00511912"/>
    <w:rsid w:val="00511914"/>
    <w:rsid w:val="00511A09"/>
    <w:rsid w:val="00511A3A"/>
    <w:rsid w:val="00511A64"/>
    <w:rsid w:val="00511A6D"/>
    <w:rsid w:val="00511A9F"/>
    <w:rsid w:val="00511AB8"/>
    <w:rsid w:val="00511AC4"/>
    <w:rsid w:val="00511AFE"/>
    <w:rsid w:val="00511B29"/>
    <w:rsid w:val="00511BAB"/>
    <w:rsid w:val="00511BB2"/>
    <w:rsid w:val="00511BC4"/>
    <w:rsid w:val="00511C13"/>
    <w:rsid w:val="00511CB5"/>
    <w:rsid w:val="00511CE3"/>
    <w:rsid w:val="00511D43"/>
    <w:rsid w:val="00511DC8"/>
    <w:rsid w:val="00511E17"/>
    <w:rsid w:val="00511E6E"/>
    <w:rsid w:val="00511E70"/>
    <w:rsid w:val="00511EC4"/>
    <w:rsid w:val="00511F24"/>
    <w:rsid w:val="00511FA3"/>
    <w:rsid w:val="00511FAA"/>
    <w:rsid w:val="00511FF3"/>
    <w:rsid w:val="00512056"/>
    <w:rsid w:val="00512095"/>
    <w:rsid w:val="0051209E"/>
    <w:rsid w:val="00512106"/>
    <w:rsid w:val="0051216C"/>
    <w:rsid w:val="005121EA"/>
    <w:rsid w:val="0051233C"/>
    <w:rsid w:val="00512359"/>
    <w:rsid w:val="005123AA"/>
    <w:rsid w:val="005123BD"/>
    <w:rsid w:val="005123E3"/>
    <w:rsid w:val="005123F4"/>
    <w:rsid w:val="005123FF"/>
    <w:rsid w:val="0051243C"/>
    <w:rsid w:val="005124ED"/>
    <w:rsid w:val="00512585"/>
    <w:rsid w:val="005125DF"/>
    <w:rsid w:val="005126AA"/>
    <w:rsid w:val="00512705"/>
    <w:rsid w:val="00512766"/>
    <w:rsid w:val="00512767"/>
    <w:rsid w:val="00512779"/>
    <w:rsid w:val="005127C9"/>
    <w:rsid w:val="005127E9"/>
    <w:rsid w:val="00512815"/>
    <w:rsid w:val="00512833"/>
    <w:rsid w:val="0051285F"/>
    <w:rsid w:val="00512861"/>
    <w:rsid w:val="00512863"/>
    <w:rsid w:val="005128D1"/>
    <w:rsid w:val="0051292C"/>
    <w:rsid w:val="00512932"/>
    <w:rsid w:val="00512949"/>
    <w:rsid w:val="00512980"/>
    <w:rsid w:val="0051298F"/>
    <w:rsid w:val="00512AAE"/>
    <w:rsid w:val="00512BB4"/>
    <w:rsid w:val="00512C12"/>
    <w:rsid w:val="00512C69"/>
    <w:rsid w:val="00512C84"/>
    <w:rsid w:val="00512D8D"/>
    <w:rsid w:val="00512DC5"/>
    <w:rsid w:val="00512DE2"/>
    <w:rsid w:val="00512F53"/>
    <w:rsid w:val="00512F54"/>
    <w:rsid w:val="00512F84"/>
    <w:rsid w:val="00512FC2"/>
    <w:rsid w:val="005130A0"/>
    <w:rsid w:val="00513132"/>
    <w:rsid w:val="00513195"/>
    <w:rsid w:val="005131AA"/>
    <w:rsid w:val="005131CE"/>
    <w:rsid w:val="0051322A"/>
    <w:rsid w:val="00513255"/>
    <w:rsid w:val="00513362"/>
    <w:rsid w:val="00513388"/>
    <w:rsid w:val="005133CC"/>
    <w:rsid w:val="005133E7"/>
    <w:rsid w:val="00513404"/>
    <w:rsid w:val="00513409"/>
    <w:rsid w:val="005134B5"/>
    <w:rsid w:val="005134DF"/>
    <w:rsid w:val="005134F2"/>
    <w:rsid w:val="00513527"/>
    <w:rsid w:val="005135A3"/>
    <w:rsid w:val="005135E5"/>
    <w:rsid w:val="005135F0"/>
    <w:rsid w:val="00513789"/>
    <w:rsid w:val="005137B7"/>
    <w:rsid w:val="005137B8"/>
    <w:rsid w:val="005137D8"/>
    <w:rsid w:val="005137F3"/>
    <w:rsid w:val="00513821"/>
    <w:rsid w:val="00513833"/>
    <w:rsid w:val="0051391E"/>
    <w:rsid w:val="0051398E"/>
    <w:rsid w:val="005139A8"/>
    <w:rsid w:val="005139F5"/>
    <w:rsid w:val="00513AAF"/>
    <w:rsid w:val="00513AD1"/>
    <w:rsid w:val="00513C13"/>
    <w:rsid w:val="00513C25"/>
    <w:rsid w:val="00513C3F"/>
    <w:rsid w:val="00513C57"/>
    <w:rsid w:val="00513CFB"/>
    <w:rsid w:val="00513E37"/>
    <w:rsid w:val="00513FB5"/>
    <w:rsid w:val="00513FF2"/>
    <w:rsid w:val="00513FF5"/>
    <w:rsid w:val="00513FF7"/>
    <w:rsid w:val="0051402E"/>
    <w:rsid w:val="0051403F"/>
    <w:rsid w:val="0051410E"/>
    <w:rsid w:val="0051414B"/>
    <w:rsid w:val="00514154"/>
    <w:rsid w:val="00514192"/>
    <w:rsid w:val="005141E8"/>
    <w:rsid w:val="0051423F"/>
    <w:rsid w:val="0051425A"/>
    <w:rsid w:val="00514300"/>
    <w:rsid w:val="005143BE"/>
    <w:rsid w:val="00514476"/>
    <w:rsid w:val="0051447D"/>
    <w:rsid w:val="005144E3"/>
    <w:rsid w:val="00514505"/>
    <w:rsid w:val="00514576"/>
    <w:rsid w:val="005145D0"/>
    <w:rsid w:val="00514611"/>
    <w:rsid w:val="00514624"/>
    <w:rsid w:val="00514641"/>
    <w:rsid w:val="00514692"/>
    <w:rsid w:val="005146C8"/>
    <w:rsid w:val="0051471A"/>
    <w:rsid w:val="00514758"/>
    <w:rsid w:val="00514796"/>
    <w:rsid w:val="0051481C"/>
    <w:rsid w:val="0051487E"/>
    <w:rsid w:val="0051488A"/>
    <w:rsid w:val="00514908"/>
    <w:rsid w:val="00514921"/>
    <w:rsid w:val="0051495D"/>
    <w:rsid w:val="005149A5"/>
    <w:rsid w:val="005149D3"/>
    <w:rsid w:val="00514A36"/>
    <w:rsid w:val="00514A4C"/>
    <w:rsid w:val="00514A90"/>
    <w:rsid w:val="00514AAF"/>
    <w:rsid w:val="00514AE4"/>
    <w:rsid w:val="00514AE5"/>
    <w:rsid w:val="00514B5E"/>
    <w:rsid w:val="00514CD4"/>
    <w:rsid w:val="00514D86"/>
    <w:rsid w:val="00514DF9"/>
    <w:rsid w:val="00514E96"/>
    <w:rsid w:val="00514F9A"/>
    <w:rsid w:val="00514FA7"/>
    <w:rsid w:val="0051509A"/>
    <w:rsid w:val="00515167"/>
    <w:rsid w:val="0051516D"/>
    <w:rsid w:val="005151D4"/>
    <w:rsid w:val="005151E2"/>
    <w:rsid w:val="0051522D"/>
    <w:rsid w:val="00515242"/>
    <w:rsid w:val="00515247"/>
    <w:rsid w:val="00515325"/>
    <w:rsid w:val="0051532A"/>
    <w:rsid w:val="005153C2"/>
    <w:rsid w:val="00515493"/>
    <w:rsid w:val="005154C3"/>
    <w:rsid w:val="005154FC"/>
    <w:rsid w:val="00515504"/>
    <w:rsid w:val="00515570"/>
    <w:rsid w:val="00515573"/>
    <w:rsid w:val="005155E4"/>
    <w:rsid w:val="0051566C"/>
    <w:rsid w:val="00515697"/>
    <w:rsid w:val="00515723"/>
    <w:rsid w:val="0051574C"/>
    <w:rsid w:val="00515777"/>
    <w:rsid w:val="005157F8"/>
    <w:rsid w:val="0051585B"/>
    <w:rsid w:val="00515980"/>
    <w:rsid w:val="00515A44"/>
    <w:rsid w:val="00515A82"/>
    <w:rsid w:val="00515B0C"/>
    <w:rsid w:val="00515B5C"/>
    <w:rsid w:val="00515C18"/>
    <w:rsid w:val="00515C39"/>
    <w:rsid w:val="00515C82"/>
    <w:rsid w:val="00515CE3"/>
    <w:rsid w:val="00515E40"/>
    <w:rsid w:val="00515F01"/>
    <w:rsid w:val="00515FE3"/>
    <w:rsid w:val="00516059"/>
    <w:rsid w:val="00516092"/>
    <w:rsid w:val="00516277"/>
    <w:rsid w:val="00516280"/>
    <w:rsid w:val="005162C0"/>
    <w:rsid w:val="005162FA"/>
    <w:rsid w:val="0051636A"/>
    <w:rsid w:val="0051638C"/>
    <w:rsid w:val="0051640C"/>
    <w:rsid w:val="00516417"/>
    <w:rsid w:val="00516468"/>
    <w:rsid w:val="00516574"/>
    <w:rsid w:val="00516669"/>
    <w:rsid w:val="00516672"/>
    <w:rsid w:val="005166EF"/>
    <w:rsid w:val="0051674F"/>
    <w:rsid w:val="00516887"/>
    <w:rsid w:val="005168B2"/>
    <w:rsid w:val="005168B9"/>
    <w:rsid w:val="005168E2"/>
    <w:rsid w:val="00516923"/>
    <w:rsid w:val="0051693F"/>
    <w:rsid w:val="00516952"/>
    <w:rsid w:val="005169FE"/>
    <w:rsid w:val="00516A3D"/>
    <w:rsid w:val="00516A89"/>
    <w:rsid w:val="00516AA2"/>
    <w:rsid w:val="00516AED"/>
    <w:rsid w:val="00516BA1"/>
    <w:rsid w:val="00516BA9"/>
    <w:rsid w:val="00516C42"/>
    <w:rsid w:val="00516C5D"/>
    <w:rsid w:val="00516C6A"/>
    <w:rsid w:val="00516D17"/>
    <w:rsid w:val="00516D49"/>
    <w:rsid w:val="00516DA4"/>
    <w:rsid w:val="00516DB4"/>
    <w:rsid w:val="00516DE0"/>
    <w:rsid w:val="00516E5B"/>
    <w:rsid w:val="00516E9B"/>
    <w:rsid w:val="00516EA6"/>
    <w:rsid w:val="00516ED4"/>
    <w:rsid w:val="00516F22"/>
    <w:rsid w:val="00516F68"/>
    <w:rsid w:val="00516FCB"/>
    <w:rsid w:val="00516FFB"/>
    <w:rsid w:val="00517046"/>
    <w:rsid w:val="00517124"/>
    <w:rsid w:val="00517131"/>
    <w:rsid w:val="00517157"/>
    <w:rsid w:val="00517193"/>
    <w:rsid w:val="005171A2"/>
    <w:rsid w:val="005171D0"/>
    <w:rsid w:val="0051722C"/>
    <w:rsid w:val="00517257"/>
    <w:rsid w:val="00517277"/>
    <w:rsid w:val="005172AA"/>
    <w:rsid w:val="0051738E"/>
    <w:rsid w:val="005174F9"/>
    <w:rsid w:val="00517530"/>
    <w:rsid w:val="00517546"/>
    <w:rsid w:val="00517558"/>
    <w:rsid w:val="00517599"/>
    <w:rsid w:val="0051773F"/>
    <w:rsid w:val="00517746"/>
    <w:rsid w:val="0051777C"/>
    <w:rsid w:val="0051779F"/>
    <w:rsid w:val="00517805"/>
    <w:rsid w:val="00517880"/>
    <w:rsid w:val="005178BC"/>
    <w:rsid w:val="00517949"/>
    <w:rsid w:val="005179EC"/>
    <w:rsid w:val="00517A7F"/>
    <w:rsid w:val="00517AB0"/>
    <w:rsid w:val="00517B2A"/>
    <w:rsid w:val="00517C17"/>
    <w:rsid w:val="00517D01"/>
    <w:rsid w:val="00517D0F"/>
    <w:rsid w:val="00517DC5"/>
    <w:rsid w:val="00517E06"/>
    <w:rsid w:val="00517E0F"/>
    <w:rsid w:val="00517FAF"/>
    <w:rsid w:val="00520049"/>
    <w:rsid w:val="0052004B"/>
    <w:rsid w:val="00520083"/>
    <w:rsid w:val="005200CC"/>
    <w:rsid w:val="00520152"/>
    <w:rsid w:val="00520194"/>
    <w:rsid w:val="005201CD"/>
    <w:rsid w:val="005201EE"/>
    <w:rsid w:val="00520201"/>
    <w:rsid w:val="005202BA"/>
    <w:rsid w:val="005202DE"/>
    <w:rsid w:val="005202EF"/>
    <w:rsid w:val="0052041B"/>
    <w:rsid w:val="0052041D"/>
    <w:rsid w:val="0052046D"/>
    <w:rsid w:val="005204C5"/>
    <w:rsid w:val="0052056A"/>
    <w:rsid w:val="005205B4"/>
    <w:rsid w:val="0052066B"/>
    <w:rsid w:val="005206CB"/>
    <w:rsid w:val="005206E4"/>
    <w:rsid w:val="00520790"/>
    <w:rsid w:val="005207A3"/>
    <w:rsid w:val="005207D1"/>
    <w:rsid w:val="00520817"/>
    <w:rsid w:val="0052083D"/>
    <w:rsid w:val="00520938"/>
    <w:rsid w:val="00520956"/>
    <w:rsid w:val="0052098F"/>
    <w:rsid w:val="00520A7B"/>
    <w:rsid w:val="00520A95"/>
    <w:rsid w:val="00520AFF"/>
    <w:rsid w:val="00520C7B"/>
    <w:rsid w:val="00520D2B"/>
    <w:rsid w:val="00520D82"/>
    <w:rsid w:val="00520DE4"/>
    <w:rsid w:val="00520E39"/>
    <w:rsid w:val="00520E9D"/>
    <w:rsid w:val="00520E9F"/>
    <w:rsid w:val="00520EBA"/>
    <w:rsid w:val="00520F9F"/>
    <w:rsid w:val="00521092"/>
    <w:rsid w:val="005210F3"/>
    <w:rsid w:val="005210F8"/>
    <w:rsid w:val="005210FE"/>
    <w:rsid w:val="00521102"/>
    <w:rsid w:val="005211A6"/>
    <w:rsid w:val="005211FD"/>
    <w:rsid w:val="00521242"/>
    <w:rsid w:val="0052128E"/>
    <w:rsid w:val="0052129C"/>
    <w:rsid w:val="00521354"/>
    <w:rsid w:val="00521388"/>
    <w:rsid w:val="005213B2"/>
    <w:rsid w:val="0052140E"/>
    <w:rsid w:val="00521476"/>
    <w:rsid w:val="00521586"/>
    <w:rsid w:val="005215BA"/>
    <w:rsid w:val="005215EF"/>
    <w:rsid w:val="0052166F"/>
    <w:rsid w:val="00521699"/>
    <w:rsid w:val="005216A3"/>
    <w:rsid w:val="0052176E"/>
    <w:rsid w:val="00521801"/>
    <w:rsid w:val="00521842"/>
    <w:rsid w:val="00521845"/>
    <w:rsid w:val="0052184A"/>
    <w:rsid w:val="00521880"/>
    <w:rsid w:val="005218A7"/>
    <w:rsid w:val="005218C7"/>
    <w:rsid w:val="0052196B"/>
    <w:rsid w:val="0052196D"/>
    <w:rsid w:val="00521B08"/>
    <w:rsid w:val="00521B32"/>
    <w:rsid w:val="00521B3E"/>
    <w:rsid w:val="00521B90"/>
    <w:rsid w:val="00521C2F"/>
    <w:rsid w:val="00521C44"/>
    <w:rsid w:val="00521C59"/>
    <w:rsid w:val="00521C75"/>
    <w:rsid w:val="00521CBA"/>
    <w:rsid w:val="00521D5E"/>
    <w:rsid w:val="00521E1E"/>
    <w:rsid w:val="00521F2D"/>
    <w:rsid w:val="00521F50"/>
    <w:rsid w:val="0052212C"/>
    <w:rsid w:val="00522240"/>
    <w:rsid w:val="00522246"/>
    <w:rsid w:val="00522247"/>
    <w:rsid w:val="005222C2"/>
    <w:rsid w:val="005223EF"/>
    <w:rsid w:val="00522439"/>
    <w:rsid w:val="00522442"/>
    <w:rsid w:val="005224C0"/>
    <w:rsid w:val="005225AA"/>
    <w:rsid w:val="00522630"/>
    <w:rsid w:val="00522656"/>
    <w:rsid w:val="00522662"/>
    <w:rsid w:val="00522812"/>
    <w:rsid w:val="0052285F"/>
    <w:rsid w:val="005228B8"/>
    <w:rsid w:val="0052290F"/>
    <w:rsid w:val="00522992"/>
    <w:rsid w:val="00522A48"/>
    <w:rsid w:val="00522C93"/>
    <w:rsid w:val="00522C95"/>
    <w:rsid w:val="00522D04"/>
    <w:rsid w:val="00522DC6"/>
    <w:rsid w:val="00522E3B"/>
    <w:rsid w:val="00522E45"/>
    <w:rsid w:val="00522E51"/>
    <w:rsid w:val="00522F56"/>
    <w:rsid w:val="00523062"/>
    <w:rsid w:val="0052314F"/>
    <w:rsid w:val="00523153"/>
    <w:rsid w:val="0052315A"/>
    <w:rsid w:val="00523172"/>
    <w:rsid w:val="005231C6"/>
    <w:rsid w:val="005231D2"/>
    <w:rsid w:val="00523255"/>
    <w:rsid w:val="005232F9"/>
    <w:rsid w:val="0052338F"/>
    <w:rsid w:val="00523439"/>
    <w:rsid w:val="0052343F"/>
    <w:rsid w:val="00523519"/>
    <w:rsid w:val="00523585"/>
    <w:rsid w:val="005235AA"/>
    <w:rsid w:val="00523608"/>
    <w:rsid w:val="00523636"/>
    <w:rsid w:val="005236A6"/>
    <w:rsid w:val="005236F9"/>
    <w:rsid w:val="00523705"/>
    <w:rsid w:val="0052371E"/>
    <w:rsid w:val="00523723"/>
    <w:rsid w:val="0052372D"/>
    <w:rsid w:val="00523769"/>
    <w:rsid w:val="0052379D"/>
    <w:rsid w:val="0052384F"/>
    <w:rsid w:val="00523A0F"/>
    <w:rsid w:val="00523A12"/>
    <w:rsid w:val="00523AA9"/>
    <w:rsid w:val="00523B90"/>
    <w:rsid w:val="00523C36"/>
    <w:rsid w:val="00523C78"/>
    <w:rsid w:val="00523CB3"/>
    <w:rsid w:val="00523CD3"/>
    <w:rsid w:val="00523CE8"/>
    <w:rsid w:val="00523DDC"/>
    <w:rsid w:val="00523E2C"/>
    <w:rsid w:val="00523E5A"/>
    <w:rsid w:val="00523E65"/>
    <w:rsid w:val="00523EB4"/>
    <w:rsid w:val="00523EBD"/>
    <w:rsid w:val="00523EBF"/>
    <w:rsid w:val="00523EFA"/>
    <w:rsid w:val="00523F55"/>
    <w:rsid w:val="00523FF1"/>
    <w:rsid w:val="00524037"/>
    <w:rsid w:val="00524045"/>
    <w:rsid w:val="00524085"/>
    <w:rsid w:val="005240CE"/>
    <w:rsid w:val="005241F1"/>
    <w:rsid w:val="0052421F"/>
    <w:rsid w:val="005242F9"/>
    <w:rsid w:val="00524339"/>
    <w:rsid w:val="00524368"/>
    <w:rsid w:val="0052440F"/>
    <w:rsid w:val="00524447"/>
    <w:rsid w:val="00524463"/>
    <w:rsid w:val="005244C0"/>
    <w:rsid w:val="00524510"/>
    <w:rsid w:val="0052455E"/>
    <w:rsid w:val="00524568"/>
    <w:rsid w:val="0052456B"/>
    <w:rsid w:val="005245FA"/>
    <w:rsid w:val="00524865"/>
    <w:rsid w:val="0052498D"/>
    <w:rsid w:val="005249C9"/>
    <w:rsid w:val="00524A1D"/>
    <w:rsid w:val="00524AFF"/>
    <w:rsid w:val="00524B07"/>
    <w:rsid w:val="00524B3E"/>
    <w:rsid w:val="00524BBB"/>
    <w:rsid w:val="00524BDA"/>
    <w:rsid w:val="00524BF0"/>
    <w:rsid w:val="00524C06"/>
    <w:rsid w:val="00524D2E"/>
    <w:rsid w:val="00524D5E"/>
    <w:rsid w:val="00524DC9"/>
    <w:rsid w:val="00524F19"/>
    <w:rsid w:val="00524F39"/>
    <w:rsid w:val="00525032"/>
    <w:rsid w:val="00525044"/>
    <w:rsid w:val="00525070"/>
    <w:rsid w:val="005250E5"/>
    <w:rsid w:val="005251F3"/>
    <w:rsid w:val="0052522B"/>
    <w:rsid w:val="00525377"/>
    <w:rsid w:val="005253F2"/>
    <w:rsid w:val="0052545D"/>
    <w:rsid w:val="0052545E"/>
    <w:rsid w:val="0052552C"/>
    <w:rsid w:val="00525531"/>
    <w:rsid w:val="005255E4"/>
    <w:rsid w:val="00525717"/>
    <w:rsid w:val="0052573B"/>
    <w:rsid w:val="005257BE"/>
    <w:rsid w:val="005257DC"/>
    <w:rsid w:val="0052588D"/>
    <w:rsid w:val="005258A6"/>
    <w:rsid w:val="005258D5"/>
    <w:rsid w:val="005258F7"/>
    <w:rsid w:val="00525A04"/>
    <w:rsid w:val="00525BBC"/>
    <w:rsid w:val="00525BD5"/>
    <w:rsid w:val="00525C1D"/>
    <w:rsid w:val="00525CE9"/>
    <w:rsid w:val="00525D6F"/>
    <w:rsid w:val="00525DE0"/>
    <w:rsid w:val="00525E53"/>
    <w:rsid w:val="00525E62"/>
    <w:rsid w:val="00525E84"/>
    <w:rsid w:val="00525EFA"/>
    <w:rsid w:val="00525F35"/>
    <w:rsid w:val="00525F4B"/>
    <w:rsid w:val="00525F64"/>
    <w:rsid w:val="00525F6C"/>
    <w:rsid w:val="00525F8F"/>
    <w:rsid w:val="00525F9A"/>
    <w:rsid w:val="0052603B"/>
    <w:rsid w:val="0052606A"/>
    <w:rsid w:val="00526086"/>
    <w:rsid w:val="005260F2"/>
    <w:rsid w:val="0052611A"/>
    <w:rsid w:val="00526195"/>
    <w:rsid w:val="005261AF"/>
    <w:rsid w:val="005261E2"/>
    <w:rsid w:val="00526223"/>
    <w:rsid w:val="0052624D"/>
    <w:rsid w:val="00526305"/>
    <w:rsid w:val="00526403"/>
    <w:rsid w:val="0052647D"/>
    <w:rsid w:val="0052647E"/>
    <w:rsid w:val="0052648D"/>
    <w:rsid w:val="005264B3"/>
    <w:rsid w:val="005264CA"/>
    <w:rsid w:val="005265BF"/>
    <w:rsid w:val="005265C5"/>
    <w:rsid w:val="005265E0"/>
    <w:rsid w:val="00526628"/>
    <w:rsid w:val="00526751"/>
    <w:rsid w:val="00526781"/>
    <w:rsid w:val="0052678E"/>
    <w:rsid w:val="00526802"/>
    <w:rsid w:val="00526809"/>
    <w:rsid w:val="005268B3"/>
    <w:rsid w:val="005268CC"/>
    <w:rsid w:val="00526923"/>
    <w:rsid w:val="00526951"/>
    <w:rsid w:val="005269B7"/>
    <w:rsid w:val="005269D1"/>
    <w:rsid w:val="005269E0"/>
    <w:rsid w:val="00526A34"/>
    <w:rsid w:val="00526A6C"/>
    <w:rsid w:val="00526C19"/>
    <w:rsid w:val="00526E0B"/>
    <w:rsid w:val="00526E8B"/>
    <w:rsid w:val="00526E8D"/>
    <w:rsid w:val="00526ED4"/>
    <w:rsid w:val="00526FFF"/>
    <w:rsid w:val="00527002"/>
    <w:rsid w:val="005270A1"/>
    <w:rsid w:val="0052717F"/>
    <w:rsid w:val="005271BC"/>
    <w:rsid w:val="00527243"/>
    <w:rsid w:val="00527362"/>
    <w:rsid w:val="00527388"/>
    <w:rsid w:val="005273F0"/>
    <w:rsid w:val="005274F2"/>
    <w:rsid w:val="00527511"/>
    <w:rsid w:val="0052756A"/>
    <w:rsid w:val="00527589"/>
    <w:rsid w:val="005275F2"/>
    <w:rsid w:val="0052762A"/>
    <w:rsid w:val="00527641"/>
    <w:rsid w:val="0052768E"/>
    <w:rsid w:val="005276EF"/>
    <w:rsid w:val="0052770C"/>
    <w:rsid w:val="00527738"/>
    <w:rsid w:val="0052773C"/>
    <w:rsid w:val="005277AF"/>
    <w:rsid w:val="005277F4"/>
    <w:rsid w:val="00527817"/>
    <w:rsid w:val="0052784A"/>
    <w:rsid w:val="00527888"/>
    <w:rsid w:val="00527896"/>
    <w:rsid w:val="005278AF"/>
    <w:rsid w:val="005278C4"/>
    <w:rsid w:val="00527909"/>
    <w:rsid w:val="00527939"/>
    <w:rsid w:val="00527956"/>
    <w:rsid w:val="00527982"/>
    <w:rsid w:val="005279CA"/>
    <w:rsid w:val="00527A05"/>
    <w:rsid w:val="00527A18"/>
    <w:rsid w:val="00527A57"/>
    <w:rsid w:val="00527AAF"/>
    <w:rsid w:val="00527B4F"/>
    <w:rsid w:val="00527C01"/>
    <w:rsid w:val="00527C03"/>
    <w:rsid w:val="00527CA8"/>
    <w:rsid w:val="00527CBA"/>
    <w:rsid w:val="00527CD5"/>
    <w:rsid w:val="00527CEA"/>
    <w:rsid w:val="00527D15"/>
    <w:rsid w:val="00527D5B"/>
    <w:rsid w:val="00527DBC"/>
    <w:rsid w:val="00527DD3"/>
    <w:rsid w:val="00527DE2"/>
    <w:rsid w:val="00527E03"/>
    <w:rsid w:val="00527E5B"/>
    <w:rsid w:val="00527F44"/>
    <w:rsid w:val="00527FC1"/>
    <w:rsid w:val="0053002A"/>
    <w:rsid w:val="00530055"/>
    <w:rsid w:val="005301DE"/>
    <w:rsid w:val="005302D6"/>
    <w:rsid w:val="005302EA"/>
    <w:rsid w:val="00530396"/>
    <w:rsid w:val="005303A1"/>
    <w:rsid w:val="00530506"/>
    <w:rsid w:val="0053052D"/>
    <w:rsid w:val="00530592"/>
    <w:rsid w:val="005305D0"/>
    <w:rsid w:val="00530684"/>
    <w:rsid w:val="005306B8"/>
    <w:rsid w:val="00530715"/>
    <w:rsid w:val="00530872"/>
    <w:rsid w:val="005308D3"/>
    <w:rsid w:val="00530914"/>
    <w:rsid w:val="005309B0"/>
    <w:rsid w:val="00530A15"/>
    <w:rsid w:val="00530A1C"/>
    <w:rsid w:val="00530A29"/>
    <w:rsid w:val="00530A2E"/>
    <w:rsid w:val="00530A56"/>
    <w:rsid w:val="00530A68"/>
    <w:rsid w:val="00530A6F"/>
    <w:rsid w:val="00530AAD"/>
    <w:rsid w:val="00530AE6"/>
    <w:rsid w:val="00530B24"/>
    <w:rsid w:val="00530B72"/>
    <w:rsid w:val="00530BFF"/>
    <w:rsid w:val="00530C80"/>
    <w:rsid w:val="00530D0E"/>
    <w:rsid w:val="00530D51"/>
    <w:rsid w:val="00530E57"/>
    <w:rsid w:val="00530EF2"/>
    <w:rsid w:val="00530F09"/>
    <w:rsid w:val="00530FA3"/>
    <w:rsid w:val="00530FFA"/>
    <w:rsid w:val="0053101F"/>
    <w:rsid w:val="005310AF"/>
    <w:rsid w:val="005310B7"/>
    <w:rsid w:val="005310FA"/>
    <w:rsid w:val="00531215"/>
    <w:rsid w:val="0053126E"/>
    <w:rsid w:val="005312A8"/>
    <w:rsid w:val="005312EF"/>
    <w:rsid w:val="005313BD"/>
    <w:rsid w:val="005313F4"/>
    <w:rsid w:val="00531429"/>
    <w:rsid w:val="005314F7"/>
    <w:rsid w:val="00531538"/>
    <w:rsid w:val="00531697"/>
    <w:rsid w:val="00531792"/>
    <w:rsid w:val="00531800"/>
    <w:rsid w:val="00531829"/>
    <w:rsid w:val="00531867"/>
    <w:rsid w:val="0053191A"/>
    <w:rsid w:val="0053198E"/>
    <w:rsid w:val="0053199E"/>
    <w:rsid w:val="005319CD"/>
    <w:rsid w:val="00531ADF"/>
    <w:rsid w:val="00531B3C"/>
    <w:rsid w:val="00531BB5"/>
    <w:rsid w:val="00531BDE"/>
    <w:rsid w:val="00531C2A"/>
    <w:rsid w:val="00531C47"/>
    <w:rsid w:val="00531C5F"/>
    <w:rsid w:val="00531C64"/>
    <w:rsid w:val="00531CE2"/>
    <w:rsid w:val="00531D18"/>
    <w:rsid w:val="00531DAC"/>
    <w:rsid w:val="00531DC7"/>
    <w:rsid w:val="00531E18"/>
    <w:rsid w:val="00531E30"/>
    <w:rsid w:val="00531E3D"/>
    <w:rsid w:val="00531E5F"/>
    <w:rsid w:val="00531FF2"/>
    <w:rsid w:val="0053204E"/>
    <w:rsid w:val="0053213C"/>
    <w:rsid w:val="00532182"/>
    <w:rsid w:val="005321B4"/>
    <w:rsid w:val="005321D4"/>
    <w:rsid w:val="005321E9"/>
    <w:rsid w:val="00532260"/>
    <w:rsid w:val="0053229D"/>
    <w:rsid w:val="005322F3"/>
    <w:rsid w:val="0053231D"/>
    <w:rsid w:val="00532323"/>
    <w:rsid w:val="0053236B"/>
    <w:rsid w:val="00532398"/>
    <w:rsid w:val="005324B9"/>
    <w:rsid w:val="00532500"/>
    <w:rsid w:val="005325AE"/>
    <w:rsid w:val="0053274E"/>
    <w:rsid w:val="00532760"/>
    <w:rsid w:val="00532799"/>
    <w:rsid w:val="0053283B"/>
    <w:rsid w:val="0053284F"/>
    <w:rsid w:val="00532A53"/>
    <w:rsid w:val="00532B55"/>
    <w:rsid w:val="00532B7E"/>
    <w:rsid w:val="00532B7F"/>
    <w:rsid w:val="00532B97"/>
    <w:rsid w:val="00532C7D"/>
    <w:rsid w:val="00532C7E"/>
    <w:rsid w:val="00532D6E"/>
    <w:rsid w:val="00532DCA"/>
    <w:rsid w:val="00532E39"/>
    <w:rsid w:val="00532F25"/>
    <w:rsid w:val="00532F2A"/>
    <w:rsid w:val="00532FCA"/>
    <w:rsid w:val="00532FD5"/>
    <w:rsid w:val="005330F2"/>
    <w:rsid w:val="0053313D"/>
    <w:rsid w:val="00533141"/>
    <w:rsid w:val="00533144"/>
    <w:rsid w:val="005331AC"/>
    <w:rsid w:val="0053320C"/>
    <w:rsid w:val="0053325B"/>
    <w:rsid w:val="00533336"/>
    <w:rsid w:val="0053335B"/>
    <w:rsid w:val="0053338E"/>
    <w:rsid w:val="00533392"/>
    <w:rsid w:val="005333E1"/>
    <w:rsid w:val="005333F2"/>
    <w:rsid w:val="0053351F"/>
    <w:rsid w:val="00533554"/>
    <w:rsid w:val="00533596"/>
    <w:rsid w:val="005335B5"/>
    <w:rsid w:val="0053361A"/>
    <w:rsid w:val="00533676"/>
    <w:rsid w:val="005336A6"/>
    <w:rsid w:val="005336C3"/>
    <w:rsid w:val="005336CC"/>
    <w:rsid w:val="005336EB"/>
    <w:rsid w:val="00533717"/>
    <w:rsid w:val="00533801"/>
    <w:rsid w:val="0053384E"/>
    <w:rsid w:val="00533870"/>
    <w:rsid w:val="005339F9"/>
    <w:rsid w:val="00533A05"/>
    <w:rsid w:val="00533AC7"/>
    <w:rsid w:val="00533B4D"/>
    <w:rsid w:val="00533B5B"/>
    <w:rsid w:val="00533B66"/>
    <w:rsid w:val="00533CF5"/>
    <w:rsid w:val="00533D57"/>
    <w:rsid w:val="00533D8C"/>
    <w:rsid w:val="00533DC1"/>
    <w:rsid w:val="00533DF8"/>
    <w:rsid w:val="00533F56"/>
    <w:rsid w:val="00533FD3"/>
    <w:rsid w:val="00534113"/>
    <w:rsid w:val="0053412F"/>
    <w:rsid w:val="00534166"/>
    <w:rsid w:val="005341E4"/>
    <w:rsid w:val="00534258"/>
    <w:rsid w:val="00534298"/>
    <w:rsid w:val="005342D9"/>
    <w:rsid w:val="00534317"/>
    <w:rsid w:val="005343C4"/>
    <w:rsid w:val="00534424"/>
    <w:rsid w:val="0053445E"/>
    <w:rsid w:val="00534491"/>
    <w:rsid w:val="005344BA"/>
    <w:rsid w:val="005344C0"/>
    <w:rsid w:val="005345A0"/>
    <w:rsid w:val="005345AB"/>
    <w:rsid w:val="005345B9"/>
    <w:rsid w:val="005345EA"/>
    <w:rsid w:val="0053470B"/>
    <w:rsid w:val="005347F7"/>
    <w:rsid w:val="00534806"/>
    <w:rsid w:val="005348A2"/>
    <w:rsid w:val="0053491E"/>
    <w:rsid w:val="00534921"/>
    <w:rsid w:val="00534989"/>
    <w:rsid w:val="00534A64"/>
    <w:rsid w:val="00534A97"/>
    <w:rsid w:val="00534A9B"/>
    <w:rsid w:val="00534AF5"/>
    <w:rsid w:val="00534B05"/>
    <w:rsid w:val="00534B37"/>
    <w:rsid w:val="00534BC0"/>
    <w:rsid w:val="00534C00"/>
    <w:rsid w:val="00534C10"/>
    <w:rsid w:val="00534C3D"/>
    <w:rsid w:val="00534CBF"/>
    <w:rsid w:val="00534CF3"/>
    <w:rsid w:val="00534DEC"/>
    <w:rsid w:val="00534DFA"/>
    <w:rsid w:val="00534E84"/>
    <w:rsid w:val="00534F78"/>
    <w:rsid w:val="00535219"/>
    <w:rsid w:val="005352FD"/>
    <w:rsid w:val="00535394"/>
    <w:rsid w:val="00535447"/>
    <w:rsid w:val="0053547F"/>
    <w:rsid w:val="005354A4"/>
    <w:rsid w:val="00535595"/>
    <w:rsid w:val="00535710"/>
    <w:rsid w:val="00535759"/>
    <w:rsid w:val="005357ED"/>
    <w:rsid w:val="005357F0"/>
    <w:rsid w:val="00535839"/>
    <w:rsid w:val="005358A3"/>
    <w:rsid w:val="00535913"/>
    <w:rsid w:val="00535930"/>
    <w:rsid w:val="00535931"/>
    <w:rsid w:val="005359BC"/>
    <w:rsid w:val="00535AA8"/>
    <w:rsid w:val="00535B38"/>
    <w:rsid w:val="00535BAD"/>
    <w:rsid w:val="00535BCA"/>
    <w:rsid w:val="00535BD4"/>
    <w:rsid w:val="00535D23"/>
    <w:rsid w:val="00535DD1"/>
    <w:rsid w:val="00535E28"/>
    <w:rsid w:val="00535E84"/>
    <w:rsid w:val="00535EA2"/>
    <w:rsid w:val="00535EAC"/>
    <w:rsid w:val="00535F02"/>
    <w:rsid w:val="00535F34"/>
    <w:rsid w:val="00535FEA"/>
    <w:rsid w:val="00535FFA"/>
    <w:rsid w:val="00536023"/>
    <w:rsid w:val="0053602D"/>
    <w:rsid w:val="0053604E"/>
    <w:rsid w:val="00536051"/>
    <w:rsid w:val="005360FD"/>
    <w:rsid w:val="0053615E"/>
    <w:rsid w:val="005361B0"/>
    <w:rsid w:val="005361B1"/>
    <w:rsid w:val="005361BC"/>
    <w:rsid w:val="005361CB"/>
    <w:rsid w:val="00536240"/>
    <w:rsid w:val="0053636B"/>
    <w:rsid w:val="005363CF"/>
    <w:rsid w:val="005363FD"/>
    <w:rsid w:val="00536422"/>
    <w:rsid w:val="00536447"/>
    <w:rsid w:val="00536473"/>
    <w:rsid w:val="005364EC"/>
    <w:rsid w:val="00536505"/>
    <w:rsid w:val="00536511"/>
    <w:rsid w:val="0053653A"/>
    <w:rsid w:val="0053654E"/>
    <w:rsid w:val="00536647"/>
    <w:rsid w:val="00536693"/>
    <w:rsid w:val="005366A9"/>
    <w:rsid w:val="005366AC"/>
    <w:rsid w:val="005366E1"/>
    <w:rsid w:val="00536740"/>
    <w:rsid w:val="00536748"/>
    <w:rsid w:val="0053674C"/>
    <w:rsid w:val="0053676B"/>
    <w:rsid w:val="005367A3"/>
    <w:rsid w:val="005367C7"/>
    <w:rsid w:val="00536818"/>
    <w:rsid w:val="00536843"/>
    <w:rsid w:val="0053685B"/>
    <w:rsid w:val="005368DE"/>
    <w:rsid w:val="00536950"/>
    <w:rsid w:val="005369EB"/>
    <w:rsid w:val="00536A19"/>
    <w:rsid w:val="00536A39"/>
    <w:rsid w:val="00536ABD"/>
    <w:rsid w:val="00536B6D"/>
    <w:rsid w:val="00536BB2"/>
    <w:rsid w:val="00536BFC"/>
    <w:rsid w:val="00536C07"/>
    <w:rsid w:val="00536C2D"/>
    <w:rsid w:val="00536C69"/>
    <w:rsid w:val="00536CF5"/>
    <w:rsid w:val="00536DA1"/>
    <w:rsid w:val="00537098"/>
    <w:rsid w:val="005370A6"/>
    <w:rsid w:val="0053716C"/>
    <w:rsid w:val="00537196"/>
    <w:rsid w:val="0053725D"/>
    <w:rsid w:val="00537275"/>
    <w:rsid w:val="00537276"/>
    <w:rsid w:val="005372BB"/>
    <w:rsid w:val="0053736D"/>
    <w:rsid w:val="005373AD"/>
    <w:rsid w:val="005373FA"/>
    <w:rsid w:val="005374C0"/>
    <w:rsid w:val="005374C1"/>
    <w:rsid w:val="005374C5"/>
    <w:rsid w:val="005374D8"/>
    <w:rsid w:val="005374DB"/>
    <w:rsid w:val="005374F4"/>
    <w:rsid w:val="00537513"/>
    <w:rsid w:val="005375DD"/>
    <w:rsid w:val="005375E9"/>
    <w:rsid w:val="005375F3"/>
    <w:rsid w:val="0053761A"/>
    <w:rsid w:val="0053762D"/>
    <w:rsid w:val="00537636"/>
    <w:rsid w:val="00537663"/>
    <w:rsid w:val="005376BA"/>
    <w:rsid w:val="005376D0"/>
    <w:rsid w:val="00537773"/>
    <w:rsid w:val="00537826"/>
    <w:rsid w:val="00537833"/>
    <w:rsid w:val="00537852"/>
    <w:rsid w:val="005378E8"/>
    <w:rsid w:val="00537945"/>
    <w:rsid w:val="0053796E"/>
    <w:rsid w:val="005379A8"/>
    <w:rsid w:val="005379D1"/>
    <w:rsid w:val="00537A87"/>
    <w:rsid w:val="00537AC3"/>
    <w:rsid w:val="00537B04"/>
    <w:rsid w:val="00537B1B"/>
    <w:rsid w:val="00537B3F"/>
    <w:rsid w:val="00537BC5"/>
    <w:rsid w:val="00537C0E"/>
    <w:rsid w:val="00537C41"/>
    <w:rsid w:val="00537C94"/>
    <w:rsid w:val="00537CBF"/>
    <w:rsid w:val="00537CEA"/>
    <w:rsid w:val="00537CF3"/>
    <w:rsid w:val="00537DC3"/>
    <w:rsid w:val="00537E35"/>
    <w:rsid w:val="00537E86"/>
    <w:rsid w:val="00537F1D"/>
    <w:rsid w:val="00537F45"/>
    <w:rsid w:val="00537FE6"/>
    <w:rsid w:val="00540013"/>
    <w:rsid w:val="00540076"/>
    <w:rsid w:val="005400FA"/>
    <w:rsid w:val="0054028D"/>
    <w:rsid w:val="0054034F"/>
    <w:rsid w:val="005403FA"/>
    <w:rsid w:val="00540427"/>
    <w:rsid w:val="0054042B"/>
    <w:rsid w:val="00540457"/>
    <w:rsid w:val="005404F1"/>
    <w:rsid w:val="005405AE"/>
    <w:rsid w:val="0054061F"/>
    <w:rsid w:val="00540707"/>
    <w:rsid w:val="005407BD"/>
    <w:rsid w:val="005407F1"/>
    <w:rsid w:val="00540827"/>
    <w:rsid w:val="00540845"/>
    <w:rsid w:val="0054084F"/>
    <w:rsid w:val="0054089D"/>
    <w:rsid w:val="005408A6"/>
    <w:rsid w:val="00540964"/>
    <w:rsid w:val="00540B70"/>
    <w:rsid w:val="00540B9A"/>
    <w:rsid w:val="00540BE3"/>
    <w:rsid w:val="00540DAC"/>
    <w:rsid w:val="00540DEE"/>
    <w:rsid w:val="00540E7A"/>
    <w:rsid w:val="00540F4A"/>
    <w:rsid w:val="00540F66"/>
    <w:rsid w:val="00540F82"/>
    <w:rsid w:val="00540FD1"/>
    <w:rsid w:val="00541001"/>
    <w:rsid w:val="0054100D"/>
    <w:rsid w:val="0054105A"/>
    <w:rsid w:val="005410F7"/>
    <w:rsid w:val="0054116D"/>
    <w:rsid w:val="00541172"/>
    <w:rsid w:val="00541224"/>
    <w:rsid w:val="0054125A"/>
    <w:rsid w:val="0054132D"/>
    <w:rsid w:val="0054135A"/>
    <w:rsid w:val="00541368"/>
    <w:rsid w:val="005413F0"/>
    <w:rsid w:val="0054140E"/>
    <w:rsid w:val="0054144E"/>
    <w:rsid w:val="0054145C"/>
    <w:rsid w:val="00541484"/>
    <w:rsid w:val="00541485"/>
    <w:rsid w:val="0054149C"/>
    <w:rsid w:val="00541578"/>
    <w:rsid w:val="005415CA"/>
    <w:rsid w:val="005415DC"/>
    <w:rsid w:val="00541666"/>
    <w:rsid w:val="00541744"/>
    <w:rsid w:val="0054175B"/>
    <w:rsid w:val="0054179C"/>
    <w:rsid w:val="005417AA"/>
    <w:rsid w:val="005417D0"/>
    <w:rsid w:val="0054190B"/>
    <w:rsid w:val="00541956"/>
    <w:rsid w:val="00541976"/>
    <w:rsid w:val="005419AB"/>
    <w:rsid w:val="00541A0A"/>
    <w:rsid w:val="00541A6A"/>
    <w:rsid w:val="00541AA1"/>
    <w:rsid w:val="00541ADE"/>
    <w:rsid w:val="00541AFD"/>
    <w:rsid w:val="00541B89"/>
    <w:rsid w:val="00541C24"/>
    <w:rsid w:val="00541C87"/>
    <w:rsid w:val="00541CA6"/>
    <w:rsid w:val="00541D8B"/>
    <w:rsid w:val="00541E01"/>
    <w:rsid w:val="00541E0A"/>
    <w:rsid w:val="00541E18"/>
    <w:rsid w:val="00541E27"/>
    <w:rsid w:val="00541F4D"/>
    <w:rsid w:val="00541F7B"/>
    <w:rsid w:val="00541FB5"/>
    <w:rsid w:val="00542034"/>
    <w:rsid w:val="005420B3"/>
    <w:rsid w:val="005420F0"/>
    <w:rsid w:val="00542110"/>
    <w:rsid w:val="0054211E"/>
    <w:rsid w:val="00542180"/>
    <w:rsid w:val="005421E9"/>
    <w:rsid w:val="00542232"/>
    <w:rsid w:val="005422C0"/>
    <w:rsid w:val="005422EE"/>
    <w:rsid w:val="005422FC"/>
    <w:rsid w:val="0054233A"/>
    <w:rsid w:val="005423E6"/>
    <w:rsid w:val="00542464"/>
    <w:rsid w:val="0054247D"/>
    <w:rsid w:val="0054252F"/>
    <w:rsid w:val="00542650"/>
    <w:rsid w:val="005426E2"/>
    <w:rsid w:val="00542781"/>
    <w:rsid w:val="0054278E"/>
    <w:rsid w:val="005427B5"/>
    <w:rsid w:val="005427F7"/>
    <w:rsid w:val="00542827"/>
    <w:rsid w:val="00542892"/>
    <w:rsid w:val="00542944"/>
    <w:rsid w:val="0054296C"/>
    <w:rsid w:val="005429B4"/>
    <w:rsid w:val="005429D4"/>
    <w:rsid w:val="00542A2D"/>
    <w:rsid w:val="00542BA9"/>
    <w:rsid w:val="00542C4A"/>
    <w:rsid w:val="00542C8D"/>
    <w:rsid w:val="00542D91"/>
    <w:rsid w:val="00542E38"/>
    <w:rsid w:val="00542E86"/>
    <w:rsid w:val="00542ED7"/>
    <w:rsid w:val="00542F20"/>
    <w:rsid w:val="00542F2C"/>
    <w:rsid w:val="00542F32"/>
    <w:rsid w:val="00542F5E"/>
    <w:rsid w:val="00542F69"/>
    <w:rsid w:val="00542F70"/>
    <w:rsid w:val="00542FAB"/>
    <w:rsid w:val="00542FAE"/>
    <w:rsid w:val="0054307B"/>
    <w:rsid w:val="00543101"/>
    <w:rsid w:val="00543219"/>
    <w:rsid w:val="005432C2"/>
    <w:rsid w:val="00543391"/>
    <w:rsid w:val="00543431"/>
    <w:rsid w:val="0054344A"/>
    <w:rsid w:val="0054346F"/>
    <w:rsid w:val="005434B7"/>
    <w:rsid w:val="005434F7"/>
    <w:rsid w:val="0054351E"/>
    <w:rsid w:val="00543539"/>
    <w:rsid w:val="0054354F"/>
    <w:rsid w:val="00543672"/>
    <w:rsid w:val="0054369E"/>
    <w:rsid w:val="005436DE"/>
    <w:rsid w:val="00543730"/>
    <w:rsid w:val="005437C3"/>
    <w:rsid w:val="00543816"/>
    <w:rsid w:val="0054381D"/>
    <w:rsid w:val="0054383D"/>
    <w:rsid w:val="005438E8"/>
    <w:rsid w:val="00543912"/>
    <w:rsid w:val="00543922"/>
    <w:rsid w:val="00543A82"/>
    <w:rsid w:val="00543A8A"/>
    <w:rsid w:val="00543BA0"/>
    <w:rsid w:val="00543D1A"/>
    <w:rsid w:val="00543D36"/>
    <w:rsid w:val="00543D48"/>
    <w:rsid w:val="00543E26"/>
    <w:rsid w:val="00543E6A"/>
    <w:rsid w:val="00543FAE"/>
    <w:rsid w:val="00543FEC"/>
    <w:rsid w:val="0054402C"/>
    <w:rsid w:val="00544105"/>
    <w:rsid w:val="0054419F"/>
    <w:rsid w:val="005441EA"/>
    <w:rsid w:val="0054433D"/>
    <w:rsid w:val="005443F0"/>
    <w:rsid w:val="00544516"/>
    <w:rsid w:val="005445E2"/>
    <w:rsid w:val="00544603"/>
    <w:rsid w:val="00544628"/>
    <w:rsid w:val="0054464F"/>
    <w:rsid w:val="005446ED"/>
    <w:rsid w:val="00544776"/>
    <w:rsid w:val="00544791"/>
    <w:rsid w:val="005447C7"/>
    <w:rsid w:val="00544802"/>
    <w:rsid w:val="0054480B"/>
    <w:rsid w:val="00544810"/>
    <w:rsid w:val="005448C8"/>
    <w:rsid w:val="005448C9"/>
    <w:rsid w:val="0054494E"/>
    <w:rsid w:val="00544992"/>
    <w:rsid w:val="00544A28"/>
    <w:rsid w:val="00544AD3"/>
    <w:rsid w:val="00544B03"/>
    <w:rsid w:val="00544B41"/>
    <w:rsid w:val="00544B42"/>
    <w:rsid w:val="00544BE7"/>
    <w:rsid w:val="00544C4A"/>
    <w:rsid w:val="00544C80"/>
    <w:rsid w:val="00544C8E"/>
    <w:rsid w:val="00544CE2"/>
    <w:rsid w:val="00544D1D"/>
    <w:rsid w:val="00544D34"/>
    <w:rsid w:val="00544D6C"/>
    <w:rsid w:val="00544E15"/>
    <w:rsid w:val="00544E67"/>
    <w:rsid w:val="00544E78"/>
    <w:rsid w:val="00544F46"/>
    <w:rsid w:val="00544F52"/>
    <w:rsid w:val="00544F91"/>
    <w:rsid w:val="00544FC3"/>
    <w:rsid w:val="0054502B"/>
    <w:rsid w:val="00545068"/>
    <w:rsid w:val="005450F1"/>
    <w:rsid w:val="00545146"/>
    <w:rsid w:val="00545197"/>
    <w:rsid w:val="005451CC"/>
    <w:rsid w:val="005451D0"/>
    <w:rsid w:val="005451DB"/>
    <w:rsid w:val="005451F2"/>
    <w:rsid w:val="00545224"/>
    <w:rsid w:val="0054524C"/>
    <w:rsid w:val="005452FC"/>
    <w:rsid w:val="0054531D"/>
    <w:rsid w:val="0054546C"/>
    <w:rsid w:val="005454D4"/>
    <w:rsid w:val="005455B6"/>
    <w:rsid w:val="005455DB"/>
    <w:rsid w:val="0054563F"/>
    <w:rsid w:val="005456AF"/>
    <w:rsid w:val="005456DF"/>
    <w:rsid w:val="0054576D"/>
    <w:rsid w:val="005458E7"/>
    <w:rsid w:val="005458FD"/>
    <w:rsid w:val="005459C2"/>
    <w:rsid w:val="005459F8"/>
    <w:rsid w:val="00545A91"/>
    <w:rsid w:val="00545AAD"/>
    <w:rsid w:val="00545B62"/>
    <w:rsid w:val="00545B65"/>
    <w:rsid w:val="00545B67"/>
    <w:rsid w:val="00545BBD"/>
    <w:rsid w:val="00545C47"/>
    <w:rsid w:val="00545C91"/>
    <w:rsid w:val="00545D2F"/>
    <w:rsid w:val="00545D71"/>
    <w:rsid w:val="00545DCE"/>
    <w:rsid w:val="00545EB9"/>
    <w:rsid w:val="00546040"/>
    <w:rsid w:val="005460BF"/>
    <w:rsid w:val="0054612A"/>
    <w:rsid w:val="00546167"/>
    <w:rsid w:val="0054619E"/>
    <w:rsid w:val="005461C8"/>
    <w:rsid w:val="005462AB"/>
    <w:rsid w:val="00546341"/>
    <w:rsid w:val="0054639E"/>
    <w:rsid w:val="005463B2"/>
    <w:rsid w:val="005465B5"/>
    <w:rsid w:val="00546662"/>
    <w:rsid w:val="005468AD"/>
    <w:rsid w:val="00546915"/>
    <w:rsid w:val="0054691A"/>
    <w:rsid w:val="00546992"/>
    <w:rsid w:val="005469BE"/>
    <w:rsid w:val="00546A60"/>
    <w:rsid w:val="00546A74"/>
    <w:rsid w:val="00546B33"/>
    <w:rsid w:val="00546BA3"/>
    <w:rsid w:val="00546BCA"/>
    <w:rsid w:val="00546BCD"/>
    <w:rsid w:val="00546C37"/>
    <w:rsid w:val="00546C3B"/>
    <w:rsid w:val="00546C46"/>
    <w:rsid w:val="00546CDA"/>
    <w:rsid w:val="00546CDC"/>
    <w:rsid w:val="00546DCE"/>
    <w:rsid w:val="00546E1E"/>
    <w:rsid w:val="00546EAB"/>
    <w:rsid w:val="00546F26"/>
    <w:rsid w:val="00546F3A"/>
    <w:rsid w:val="0054700F"/>
    <w:rsid w:val="0054710E"/>
    <w:rsid w:val="00547262"/>
    <w:rsid w:val="0054728D"/>
    <w:rsid w:val="00547333"/>
    <w:rsid w:val="005473A8"/>
    <w:rsid w:val="005473DE"/>
    <w:rsid w:val="00547416"/>
    <w:rsid w:val="00547471"/>
    <w:rsid w:val="005474D3"/>
    <w:rsid w:val="005474F0"/>
    <w:rsid w:val="0054751A"/>
    <w:rsid w:val="00547567"/>
    <w:rsid w:val="005475B8"/>
    <w:rsid w:val="005475C0"/>
    <w:rsid w:val="005475DD"/>
    <w:rsid w:val="00547600"/>
    <w:rsid w:val="00547869"/>
    <w:rsid w:val="00547876"/>
    <w:rsid w:val="0054787A"/>
    <w:rsid w:val="00547887"/>
    <w:rsid w:val="005478ED"/>
    <w:rsid w:val="005478F7"/>
    <w:rsid w:val="00547912"/>
    <w:rsid w:val="0054795A"/>
    <w:rsid w:val="005479AB"/>
    <w:rsid w:val="005479CE"/>
    <w:rsid w:val="00547AC0"/>
    <w:rsid w:val="00547B0D"/>
    <w:rsid w:val="00547B12"/>
    <w:rsid w:val="00547B33"/>
    <w:rsid w:val="00547B61"/>
    <w:rsid w:val="00547BB5"/>
    <w:rsid w:val="00547C18"/>
    <w:rsid w:val="00547C3F"/>
    <w:rsid w:val="00547C7D"/>
    <w:rsid w:val="00547CDD"/>
    <w:rsid w:val="00547D76"/>
    <w:rsid w:val="00547E64"/>
    <w:rsid w:val="00547EB2"/>
    <w:rsid w:val="00547F02"/>
    <w:rsid w:val="00547F38"/>
    <w:rsid w:val="00547F4B"/>
    <w:rsid w:val="00547FB1"/>
    <w:rsid w:val="00547FC2"/>
    <w:rsid w:val="00550057"/>
    <w:rsid w:val="005500D0"/>
    <w:rsid w:val="00550152"/>
    <w:rsid w:val="005501B0"/>
    <w:rsid w:val="005501C8"/>
    <w:rsid w:val="005501D1"/>
    <w:rsid w:val="005501E2"/>
    <w:rsid w:val="005501E7"/>
    <w:rsid w:val="0055023A"/>
    <w:rsid w:val="0055027E"/>
    <w:rsid w:val="00550314"/>
    <w:rsid w:val="005503A0"/>
    <w:rsid w:val="005503AB"/>
    <w:rsid w:val="00550418"/>
    <w:rsid w:val="0055044C"/>
    <w:rsid w:val="00550550"/>
    <w:rsid w:val="00550572"/>
    <w:rsid w:val="005505BB"/>
    <w:rsid w:val="0055064E"/>
    <w:rsid w:val="005506C9"/>
    <w:rsid w:val="005507EF"/>
    <w:rsid w:val="00550860"/>
    <w:rsid w:val="005509B0"/>
    <w:rsid w:val="00550A3B"/>
    <w:rsid w:val="00550A73"/>
    <w:rsid w:val="00550A8C"/>
    <w:rsid w:val="00550B43"/>
    <w:rsid w:val="00550BCC"/>
    <w:rsid w:val="00550C99"/>
    <w:rsid w:val="00550CE2"/>
    <w:rsid w:val="00550D45"/>
    <w:rsid w:val="00550D5F"/>
    <w:rsid w:val="00550D6B"/>
    <w:rsid w:val="00550E36"/>
    <w:rsid w:val="00550E7B"/>
    <w:rsid w:val="00550F61"/>
    <w:rsid w:val="00550FA7"/>
    <w:rsid w:val="00551207"/>
    <w:rsid w:val="0055123E"/>
    <w:rsid w:val="00551287"/>
    <w:rsid w:val="0055135F"/>
    <w:rsid w:val="005513B3"/>
    <w:rsid w:val="00551400"/>
    <w:rsid w:val="0055140A"/>
    <w:rsid w:val="00551428"/>
    <w:rsid w:val="0055146E"/>
    <w:rsid w:val="005514DD"/>
    <w:rsid w:val="00551566"/>
    <w:rsid w:val="005515DA"/>
    <w:rsid w:val="0055162B"/>
    <w:rsid w:val="005516A1"/>
    <w:rsid w:val="00551725"/>
    <w:rsid w:val="0055174B"/>
    <w:rsid w:val="005517AB"/>
    <w:rsid w:val="00551830"/>
    <w:rsid w:val="0055188D"/>
    <w:rsid w:val="0055189B"/>
    <w:rsid w:val="005518CF"/>
    <w:rsid w:val="0055199C"/>
    <w:rsid w:val="005519BB"/>
    <w:rsid w:val="005519DC"/>
    <w:rsid w:val="005519F4"/>
    <w:rsid w:val="00551A82"/>
    <w:rsid w:val="00551A98"/>
    <w:rsid w:val="00551AAE"/>
    <w:rsid w:val="00551AF3"/>
    <w:rsid w:val="00551B04"/>
    <w:rsid w:val="00551B25"/>
    <w:rsid w:val="00551B52"/>
    <w:rsid w:val="00551B65"/>
    <w:rsid w:val="00551B6D"/>
    <w:rsid w:val="00551B73"/>
    <w:rsid w:val="00551B87"/>
    <w:rsid w:val="00551BE0"/>
    <w:rsid w:val="00551C8C"/>
    <w:rsid w:val="00551C93"/>
    <w:rsid w:val="00551CDD"/>
    <w:rsid w:val="00551CE2"/>
    <w:rsid w:val="00551D61"/>
    <w:rsid w:val="00551D75"/>
    <w:rsid w:val="00551DA1"/>
    <w:rsid w:val="00551E0B"/>
    <w:rsid w:val="00551E78"/>
    <w:rsid w:val="00551F20"/>
    <w:rsid w:val="00551F2B"/>
    <w:rsid w:val="00551FE8"/>
    <w:rsid w:val="0055211E"/>
    <w:rsid w:val="0055212D"/>
    <w:rsid w:val="005521FD"/>
    <w:rsid w:val="00552240"/>
    <w:rsid w:val="005522A3"/>
    <w:rsid w:val="005522C1"/>
    <w:rsid w:val="005522E1"/>
    <w:rsid w:val="0055232B"/>
    <w:rsid w:val="00552336"/>
    <w:rsid w:val="005523CC"/>
    <w:rsid w:val="005523DB"/>
    <w:rsid w:val="005523FB"/>
    <w:rsid w:val="00552425"/>
    <w:rsid w:val="00552432"/>
    <w:rsid w:val="0055243B"/>
    <w:rsid w:val="00552444"/>
    <w:rsid w:val="0055247C"/>
    <w:rsid w:val="00552495"/>
    <w:rsid w:val="005524BF"/>
    <w:rsid w:val="00552598"/>
    <w:rsid w:val="0055259A"/>
    <w:rsid w:val="005525EF"/>
    <w:rsid w:val="00552631"/>
    <w:rsid w:val="005526CD"/>
    <w:rsid w:val="005526D1"/>
    <w:rsid w:val="00552763"/>
    <w:rsid w:val="0055277D"/>
    <w:rsid w:val="00552973"/>
    <w:rsid w:val="0055298F"/>
    <w:rsid w:val="005529DC"/>
    <w:rsid w:val="00552A90"/>
    <w:rsid w:val="00552ABF"/>
    <w:rsid w:val="00552B56"/>
    <w:rsid w:val="00552BB9"/>
    <w:rsid w:val="00552BE8"/>
    <w:rsid w:val="00552C86"/>
    <w:rsid w:val="00552C8A"/>
    <w:rsid w:val="00552C9E"/>
    <w:rsid w:val="00552CB4"/>
    <w:rsid w:val="00552CE4"/>
    <w:rsid w:val="00552D4E"/>
    <w:rsid w:val="00552D5D"/>
    <w:rsid w:val="00552D81"/>
    <w:rsid w:val="00552FDC"/>
    <w:rsid w:val="00552FF2"/>
    <w:rsid w:val="0055307E"/>
    <w:rsid w:val="00553098"/>
    <w:rsid w:val="005530B2"/>
    <w:rsid w:val="0055311E"/>
    <w:rsid w:val="0055315C"/>
    <w:rsid w:val="005531CB"/>
    <w:rsid w:val="0055328A"/>
    <w:rsid w:val="005532B0"/>
    <w:rsid w:val="00553307"/>
    <w:rsid w:val="00553350"/>
    <w:rsid w:val="0055336D"/>
    <w:rsid w:val="005533B1"/>
    <w:rsid w:val="00553413"/>
    <w:rsid w:val="00553419"/>
    <w:rsid w:val="00553441"/>
    <w:rsid w:val="00553552"/>
    <w:rsid w:val="00553597"/>
    <w:rsid w:val="005535B9"/>
    <w:rsid w:val="00553654"/>
    <w:rsid w:val="005536BC"/>
    <w:rsid w:val="005536E2"/>
    <w:rsid w:val="00553754"/>
    <w:rsid w:val="0055376A"/>
    <w:rsid w:val="0055376C"/>
    <w:rsid w:val="00553860"/>
    <w:rsid w:val="00553889"/>
    <w:rsid w:val="00553932"/>
    <w:rsid w:val="00553948"/>
    <w:rsid w:val="00553987"/>
    <w:rsid w:val="005539B5"/>
    <w:rsid w:val="005539EA"/>
    <w:rsid w:val="00553A1D"/>
    <w:rsid w:val="00553A9C"/>
    <w:rsid w:val="00553CE8"/>
    <w:rsid w:val="00553EEB"/>
    <w:rsid w:val="00553F5F"/>
    <w:rsid w:val="00553F60"/>
    <w:rsid w:val="00554012"/>
    <w:rsid w:val="00554113"/>
    <w:rsid w:val="00554189"/>
    <w:rsid w:val="005541B3"/>
    <w:rsid w:val="0055424B"/>
    <w:rsid w:val="005542CB"/>
    <w:rsid w:val="005542E4"/>
    <w:rsid w:val="00554339"/>
    <w:rsid w:val="00554372"/>
    <w:rsid w:val="0055439E"/>
    <w:rsid w:val="005543FA"/>
    <w:rsid w:val="005544AD"/>
    <w:rsid w:val="005544FD"/>
    <w:rsid w:val="0055451E"/>
    <w:rsid w:val="00554545"/>
    <w:rsid w:val="0055456A"/>
    <w:rsid w:val="005545A3"/>
    <w:rsid w:val="005545A6"/>
    <w:rsid w:val="005545CE"/>
    <w:rsid w:val="00554606"/>
    <w:rsid w:val="00554632"/>
    <w:rsid w:val="005546AA"/>
    <w:rsid w:val="005547C8"/>
    <w:rsid w:val="005548E1"/>
    <w:rsid w:val="005548EE"/>
    <w:rsid w:val="005548F2"/>
    <w:rsid w:val="00554931"/>
    <w:rsid w:val="005549EE"/>
    <w:rsid w:val="00554A22"/>
    <w:rsid w:val="00554AD3"/>
    <w:rsid w:val="00554AD9"/>
    <w:rsid w:val="00554AE2"/>
    <w:rsid w:val="00554AE3"/>
    <w:rsid w:val="00554AF7"/>
    <w:rsid w:val="00554B00"/>
    <w:rsid w:val="00554B42"/>
    <w:rsid w:val="00554BB8"/>
    <w:rsid w:val="00554BD9"/>
    <w:rsid w:val="00554BF8"/>
    <w:rsid w:val="00554D3E"/>
    <w:rsid w:val="00554DA6"/>
    <w:rsid w:val="00554DCD"/>
    <w:rsid w:val="00554E14"/>
    <w:rsid w:val="00555056"/>
    <w:rsid w:val="0055506E"/>
    <w:rsid w:val="005550AF"/>
    <w:rsid w:val="005551CF"/>
    <w:rsid w:val="005551D9"/>
    <w:rsid w:val="005551F2"/>
    <w:rsid w:val="00555204"/>
    <w:rsid w:val="00555240"/>
    <w:rsid w:val="0055524E"/>
    <w:rsid w:val="0055527C"/>
    <w:rsid w:val="00555286"/>
    <w:rsid w:val="005552C6"/>
    <w:rsid w:val="0055530D"/>
    <w:rsid w:val="00555329"/>
    <w:rsid w:val="00555363"/>
    <w:rsid w:val="00555388"/>
    <w:rsid w:val="0055542D"/>
    <w:rsid w:val="0055545D"/>
    <w:rsid w:val="00555476"/>
    <w:rsid w:val="0055549C"/>
    <w:rsid w:val="0055551C"/>
    <w:rsid w:val="00555526"/>
    <w:rsid w:val="0055556F"/>
    <w:rsid w:val="005555EE"/>
    <w:rsid w:val="00555638"/>
    <w:rsid w:val="00555733"/>
    <w:rsid w:val="0055576A"/>
    <w:rsid w:val="00555781"/>
    <w:rsid w:val="0055579C"/>
    <w:rsid w:val="00555869"/>
    <w:rsid w:val="00555876"/>
    <w:rsid w:val="005558B2"/>
    <w:rsid w:val="005558EF"/>
    <w:rsid w:val="0055599F"/>
    <w:rsid w:val="005559CB"/>
    <w:rsid w:val="005559D0"/>
    <w:rsid w:val="00555AA1"/>
    <w:rsid w:val="00555AB2"/>
    <w:rsid w:val="00555AD5"/>
    <w:rsid w:val="00555AF3"/>
    <w:rsid w:val="00555B05"/>
    <w:rsid w:val="00555B34"/>
    <w:rsid w:val="00555BBA"/>
    <w:rsid w:val="00555BE6"/>
    <w:rsid w:val="00555C05"/>
    <w:rsid w:val="00555DC0"/>
    <w:rsid w:val="00555EAD"/>
    <w:rsid w:val="00555F74"/>
    <w:rsid w:val="00555FC3"/>
    <w:rsid w:val="00555FE9"/>
    <w:rsid w:val="00556020"/>
    <w:rsid w:val="00556034"/>
    <w:rsid w:val="005560EC"/>
    <w:rsid w:val="0055619C"/>
    <w:rsid w:val="005561EA"/>
    <w:rsid w:val="00556250"/>
    <w:rsid w:val="00556266"/>
    <w:rsid w:val="005562B5"/>
    <w:rsid w:val="0055639A"/>
    <w:rsid w:val="005564EC"/>
    <w:rsid w:val="00556575"/>
    <w:rsid w:val="005566A5"/>
    <w:rsid w:val="0055679A"/>
    <w:rsid w:val="0055679E"/>
    <w:rsid w:val="0055681E"/>
    <w:rsid w:val="005568E6"/>
    <w:rsid w:val="00556902"/>
    <w:rsid w:val="00556923"/>
    <w:rsid w:val="005569AE"/>
    <w:rsid w:val="005569B0"/>
    <w:rsid w:val="005569D1"/>
    <w:rsid w:val="005569D7"/>
    <w:rsid w:val="005569D9"/>
    <w:rsid w:val="00556A5E"/>
    <w:rsid w:val="00556A9C"/>
    <w:rsid w:val="00556AAA"/>
    <w:rsid w:val="00556AB2"/>
    <w:rsid w:val="00556AB8"/>
    <w:rsid w:val="00556AF0"/>
    <w:rsid w:val="00556B17"/>
    <w:rsid w:val="00556BBB"/>
    <w:rsid w:val="00556D99"/>
    <w:rsid w:val="00556ED4"/>
    <w:rsid w:val="00556EDD"/>
    <w:rsid w:val="00556EF1"/>
    <w:rsid w:val="00556F2E"/>
    <w:rsid w:val="00556F58"/>
    <w:rsid w:val="00556FCD"/>
    <w:rsid w:val="00557041"/>
    <w:rsid w:val="0055704A"/>
    <w:rsid w:val="00557064"/>
    <w:rsid w:val="0055706F"/>
    <w:rsid w:val="00557145"/>
    <w:rsid w:val="00557178"/>
    <w:rsid w:val="005571A6"/>
    <w:rsid w:val="0055722F"/>
    <w:rsid w:val="0055726F"/>
    <w:rsid w:val="00557371"/>
    <w:rsid w:val="00557439"/>
    <w:rsid w:val="00557476"/>
    <w:rsid w:val="0055762B"/>
    <w:rsid w:val="00557693"/>
    <w:rsid w:val="005576A5"/>
    <w:rsid w:val="005576F9"/>
    <w:rsid w:val="00557722"/>
    <w:rsid w:val="005577C8"/>
    <w:rsid w:val="005577E9"/>
    <w:rsid w:val="00557802"/>
    <w:rsid w:val="0055781D"/>
    <w:rsid w:val="0055784D"/>
    <w:rsid w:val="0055785C"/>
    <w:rsid w:val="005578FE"/>
    <w:rsid w:val="00557958"/>
    <w:rsid w:val="00557AA4"/>
    <w:rsid w:val="00557AA9"/>
    <w:rsid w:val="00557ADF"/>
    <w:rsid w:val="00557B2D"/>
    <w:rsid w:val="00557B7D"/>
    <w:rsid w:val="00557BB2"/>
    <w:rsid w:val="00557C75"/>
    <w:rsid w:val="00557D5F"/>
    <w:rsid w:val="00557FA8"/>
    <w:rsid w:val="00557FC8"/>
    <w:rsid w:val="0056003A"/>
    <w:rsid w:val="00560046"/>
    <w:rsid w:val="005600C4"/>
    <w:rsid w:val="00560111"/>
    <w:rsid w:val="00560219"/>
    <w:rsid w:val="00560243"/>
    <w:rsid w:val="0056028B"/>
    <w:rsid w:val="005602E4"/>
    <w:rsid w:val="00560479"/>
    <w:rsid w:val="00560633"/>
    <w:rsid w:val="0056063E"/>
    <w:rsid w:val="005606EB"/>
    <w:rsid w:val="0056073F"/>
    <w:rsid w:val="0056077E"/>
    <w:rsid w:val="00560881"/>
    <w:rsid w:val="005608FA"/>
    <w:rsid w:val="005608FF"/>
    <w:rsid w:val="005609C4"/>
    <w:rsid w:val="005609F6"/>
    <w:rsid w:val="00560A83"/>
    <w:rsid w:val="00560B79"/>
    <w:rsid w:val="00560B98"/>
    <w:rsid w:val="00560BFE"/>
    <w:rsid w:val="00560C74"/>
    <w:rsid w:val="00560CE0"/>
    <w:rsid w:val="00560CE4"/>
    <w:rsid w:val="00560D4D"/>
    <w:rsid w:val="00560D82"/>
    <w:rsid w:val="00560D8E"/>
    <w:rsid w:val="00560E24"/>
    <w:rsid w:val="00560E7E"/>
    <w:rsid w:val="00560EB2"/>
    <w:rsid w:val="00560F35"/>
    <w:rsid w:val="00560F56"/>
    <w:rsid w:val="00560F90"/>
    <w:rsid w:val="00560F9F"/>
    <w:rsid w:val="00560FAE"/>
    <w:rsid w:val="005610AA"/>
    <w:rsid w:val="0056111B"/>
    <w:rsid w:val="00561129"/>
    <w:rsid w:val="005611A9"/>
    <w:rsid w:val="00561204"/>
    <w:rsid w:val="005612D7"/>
    <w:rsid w:val="005613AB"/>
    <w:rsid w:val="005613CF"/>
    <w:rsid w:val="0056141E"/>
    <w:rsid w:val="00561447"/>
    <w:rsid w:val="0056147F"/>
    <w:rsid w:val="005614D0"/>
    <w:rsid w:val="00561525"/>
    <w:rsid w:val="00561561"/>
    <w:rsid w:val="005615D0"/>
    <w:rsid w:val="005615F8"/>
    <w:rsid w:val="00561625"/>
    <w:rsid w:val="00561680"/>
    <w:rsid w:val="00561688"/>
    <w:rsid w:val="005616B3"/>
    <w:rsid w:val="00561783"/>
    <w:rsid w:val="00561786"/>
    <w:rsid w:val="005617DB"/>
    <w:rsid w:val="00561825"/>
    <w:rsid w:val="005618EA"/>
    <w:rsid w:val="005618F7"/>
    <w:rsid w:val="0056192A"/>
    <w:rsid w:val="0056193B"/>
    <w:rsid w:val="00561943"/>
    <w:rsid w:val="005619AF"/>
    <w:rsid w:val="005619FB"/>
    <w:rsid w:val="00561A69"/>
    <w:rsid w:val="00561A9E"/>
    <w:rsid w:val="00561AD3"/>
    <w:rsid w:val="00561AE9"/>
    <w:rsid w:val="00561B69"/>
    <w:rsid w:val="00561CB7"/>
    <w:rsid w:val="00561D08"/>
    <w:rsid w:val="00561D12"/>
    <w:rsid w:val="00561D2B"/>
    <w:rsid w:val="00561D52"/>
    <w:rsid w:val="00561DA0"/>
    <w:rsid w:val="00561E1E"/>
    <w:rsid w:val="00561E66"/>
    <w:rsid w:val="00561E87"/>
    <w:rsid w:val="00561F53"/>
    <w:rsid w:val="00561FEC"/>
    <w:rsid w:val="00561FF8"/>
    <w:rsid w:val="0056200C"/>
    <w:rsid w:val="0056202A"/>
    <w:rsid w:val="00562039"/>
    <w:rsid w:val="00562078"/>
    <w:rsid w:val="0056211B"/>
    <w:rsid w:val="00562141"/>
    <w:rsid w:val="005621E0"/>
    <w:rsid w:val="0056223E"/>
    <w:rsid w:val="005622A2"/>
    <w:rsid w:val="005622E2"/>
    <w:rsid w:val="0056231D"/>
    <w:rsid w:val="00562351"/>
    <w:rsid w:val="005623D3"/>
    <w:rsid w:val="005623DF"/>
    <w:rsid w:val="00562410"/>
    <w:rsid w:val="0056268B"/>
    <w:rsid w:val="0056269A"/>
    <w:rsid w:val="005626B0"/>
    <w:rsid w:val="00562712"/>
    <w:rsid w:val="00562770"/>
    <w:rsid w:val="0056278A"/>
    <w:rsid w:val="005627CA"/>
    <w:rsid w:val="00562804"/>
    <w:rsid w:val="00562816"/>
    <w:rsid w:val="005628ED"/>
    <w:rsid w:val="005629CA"/>
    <w:rsid w:val="005629FB"/>
    <w:rsid w:val="00562A1F"/>
    <w:rsid w:val="00562AD9"/>
    <w:rsid w:val="00562B16"/>
    <w:rsid w:val="00562B48"/>
    <w:rsid w:val="00562B70"/>
    <w:rsid w:val="00562C7A"/>
    <w:rsid w:val="00562C90"/>
    <w:rsid w:val="00562D91"/>
    <w:rsid w:val="00562DE8"/>
    <w:rsid w:val="00562DEE"/>
    <w:rsid w:val="00562E46"/>
    <w:rsid w:val="00562E82"/>
    <w:rsid w:val="00562EA4"/>
    <w:rsid w:val="00562F1A"/>
    <w:rsid w:val="00562FBB"/>
    <w:rsid w:val="00563080"/>
    <w:rsid w:val="005630BE"/>
    <w:rsid w:val="00563178"/>
    <w:rsid w:val="005631BB"/>
    <w:rsid w:val="0056323A"/>
    <w:rsid w:val="0056324A"/>
    <w:rsid w:val="00563355"/>
    <w:rsid w:val="00563368"/>
    <w:rsid w:val="0056342C"/>
    <w:rsid w:val="005634D7"/>
    <w:rsid w:val="0056353D"/>
    <w:rsid w:val="00563727"/>
    <w:rsid w:val="0056375C"/>
    <w:rsid w:val="0056381F"/>
    <w:rsid w:val="005638E9"/>
    <w:rsid w:val="005638F8"/>
    <w:rsid w:val="00563945"/>
    <w:rsid w:val="005639B5"/>
    <w:rsid w:val="005639D5"/>
    <w:rsid w:val="00563A99"/>
    <w:rsid w:val="00563C18"/>
    <w:rsid w:val="00563CAB"/>
    <w:rsid w:val="00563CDB"/>
    <w:rsid w:val="00563D2D"/>
    <w:rsid w:val="00563D4B"/>
    <w:rsid w:val="00563D88"/>
    <w:rsid w:val="00563DBF"/>
    <w:rsid w:val="00563E75"/>
    <w:rsid w:val="00563F8F"/>
    <w:rsid w:val="00563FA8"/>
    <w:rsid w:val="00563FC5"/>
    <w:rsid w:val="005640FC"/>
    <w:rsid w:val="00564194"/>
    <w:rsid w:val="00564232"/>
    <w:rsid w:val="0056428B"/>
    <w:rsid w:val="00564292"/>
    <w:rsid w:val="005642A9"/>
    <w:rsid w:val="005642B9"/>
    <w:rsid w:val="005642C9"/>
    <w:rsid w:val="00564374"/>
    <w:rsid w:val="005643F8"/>
    <w:rsid w:val="00564459"/>
    <w:rsid w:val="005644BF"/>
    <w:rsid w:val="005644D3"/>
    <w:rsid w:val="0056454B"/>
    <w:rsid w:val="00564656"/>
    <w:rsid w:val="005646A2"/>
    <w:rsid w:val="005646E9"/>
    <w:rsid w:val="0056472B"/>
    <w:rsid w:val="00564768"/>
    <w:rsid w:val="005647DA"/>
    <w:rsid w:val="0056481B"/>
    <w:rsid w:val="005649CF"/>
    <w:rsid w:val="005649FF"/>
    <w:rsid w:val="00564A49"/>
    <w:rsid w:val="00564A5C"/>
    <w:rsid w:val="00564ACD"/>
    <w:rsid w:val="00564B13"/>
    <w:rsid w:val="00564B3E"/>
    <w:rsid w:val="00564B5F"/>
    <w:rsid w:val="00564BFA"/>
    <w:rsid w:val="00564C50"/>
    <w:rsid w:val="00564D2B"/>
    <w:rsid w:val="00564D2D"/>
    <w:rsid w:val="00564D8E"/>
    <w:rsid w:val="00564DFE"/>
    <w:rsid w:val="00564E03"/>
    <w:rsid w:val="00564E20"/>
    <w:rsid w:val="00564E58"/>
    <w:rsid w:val="00564EDB"/>
    <w:rsid w:val="00564F1E"/>
    <w:rsid w:val="00564F33"/>
    <w:rsid w:val="00564FCE"/>
    <w:rsid w:val="00564FDC"/>
    <w:rsid w:val="00565061"/>
    <w:rsid w:val="00565121"/>
    <w:rsid w:val="005651AB"/>
    <w:rsid w:val="005651B8"/>
    <w:rsid w:val="005651C5"/>
    <w:rsid w:val="00565293"/>
    <w:rsid w:val="005652A4"/>
    <w:rsid w:val="00565307"/>
    <w:rsid w:val="00565319"/>
    <w:rsid w:val="00565335"/>
    <w:rsid w:val="00565372"/>
    <w:rsid w:val="00565409"/>
    <w:rsid w:val="005654BB"/>
    <w:rsid w:val="005654C9"/>
    <w:rsid w:val="00565526"/>
    <w:rsid w:val="0056559F"/>
    <w:rsid w:val="00565686"/>
    <w:rsid w:val="0056568B"/>
    <w:rsid w:val="005656BB"/>
    <w:rsid w:val="005656BE"/>
    <w:rsid w:val="005656F6"/>
    <w:rsid w:val="00565845"/>
    <w:rsid w:val="0056585F"/>
    <w:rsid w:val="005658AE"/>
    <w:rsid w:val="00565927"/>
    <w:rsid w:val="00565957"/>
    <w:rsid w:val="00565960"/>
    <w:rsid w:val="00565AEE"/>
    <w:rsid w:val="00565AF7"/>
    <w:rsid w:val="00565B11"/>
    <w:rsid w:val="00565B86"/>
    <w:rsid w:val="00565BEB"/>
    <w:rsid w:val="00565C1D"/>
    <w:rsid w:val="00565C52"/>
    <w:rsid w:val="00565C7A"/>
    <w:rsid w:val="00565D08"/>
    <w:rsid w:val="00565D93"/>
    <w:rsid w:val="00565DF0"/>
    <w:rsid w:val="00565E3B"/>
    <w:rsid w:val="00565E57"/>
    <w:rsid w:val="00565EF2"/>
    <w:rsid w:val="00565F04"/>
    <w:rsid w:val="00565FB3"/>
    <w:rsid w:val="00565FE0"/>
    <w:rsid w:val="0056608A"/>
    <w:rsid w:val="005660D9"/>
    <w:rsid w:val="005660F2"/>
    <w:rsid w:val="00566137"/>
    <w:rsid w:val="0056613E"/>
    <w:rsid w:val="005661E0"/>
    <w:rsid w:val="00566205"/>
    <w:rsid w:val="00566259"/>
    <w:rsid w:val="00566295"/>
    <w:rsid w:val="005662F2"/>
    <w:rsid w:val="00566345"/>
    <w:rsid w:val="00566431"/>
    <w:rsid w:val="005664A6"/>
    <w:rsid w:val="005664FE"/>
    <w:rsid w:val="00566540"/>
    <w:rsid w:val="0056659B"/>
    <w:rsid w:val="005665BB"/>
    <w:rsid w:val="0056666C"/>
    <w:rsid w:val="005666C9"/>
    <w:rsid w:val="0056670D"/>
    <w:rsid w:val="0056672E"/>
    <w:rsid w:val="0056673D"/>
    <w:rsid w:val="005667AB"/>
    <w:rsid w:val="00566801"/>
    <w:rsid w:val="0056682A"/>
    <w:rsid w:val="00566943"/>
    <w:rsid w:val="00566A6D"/>
    <w:rsid w:val="00566A8F"/>
    <w:rsid w:val="00566AC4"/>
    <w:rsid w:val="00566B27"/>
    <w:rsid w:val="00566B78"/>
    <w:rsid w:val="00566BCC"/>
    <w:rsid w:val="00566C1E"/>
    <w:rsid w:val="00566C4B"/>
    <w:rsid w:val="00566C62"/>
    <w:rsid w:val="00566C6E"/>
    <w:rsid w:val="00566C9C"/>
    <w:rsid w:val="00566CA9"/>
    <w:rsid w:val="00566D01"/>
    <w:rsid w:val="00566D1E"/>
    <w:rsid w:val="00566D68"/>
    <w:rsid w:val="00566E0B"/>
    <w:rsid w:val="00566E57"/>
    <w:rsid w:val="00566EA8"/>
    <w:rsid w:val="00566EC9"/>
    <w:rsid w:val="00566ECB"/>
    <w:rsid w:val="00566ED3"/>
    <w:rsid w:val="00566F40"/>
    <w:rsid w:val="005670DA"/>
    <w:rsid w:val="00567199"/>
    <w:rsid w:val="005671B1"/>
    <w:rsid w:val="00567250"/>
    <w:rsid w:val="00567343"/>
    <w:rsid w:val="00567359"/>
    <w:rsid w:val="005673AF"/>
    <w:rsid w:val="00567434"/>
    <w:rsid w:val="005674C6"/>
    <w:rsid w:val="0056755F"/>
    <w:rsid w:val="0056757A"/>
    <w:rsid w:val="005675F7"/>
    <w:rsid w:val="0056766D"/>
    <w:rsid w:val="00567687"/>
    <w:rsid w:val="00567722"/>
    <w:rsid w:val="00567736"/>
    <w:rsid w:val="00567812"/>
    <w:rsid w:val="00567847"/>
    <w:rsid w:val="005678C4"/>
    <w:rsid w:val="00567953"/>
    <w:rsid w:val="00567A09"/>
    <w:rsid w:val="00567A24"/>
    <w:rsid w:val="00567A8A"/>
    <w:rsid w:val="00567B13"/>
    <w:rsid w:val="00567B23"/>
    <w:rsid w:val="00567BA2"/>
    <w:rsid w:val="00567C29"/>
    <w:rsid w:val="00567C6B"/>
    <w:rsid w:val="00567CB6"/>
    <w:rsid w:val="00567D07"/>
    <w:rsid w:val="00567D75"/>
    <w:rsid w:val="00567D89"/>
    <w:rsid w:val="00567E08"/>
    <w:rsid w:val="00567E1A"/>
    <w:rsid w:val="00567E2F"/>
    <w:rsid w:val="00567E49"/>
    <w:rsid w:val="00567E4B"/>
    <w:rsid w:val="00567E9D"/>
    <w:rsid w:val="00567EC5"/>
    <w:rsid w:val="00567F0C"/>
    <w:rsid w:val="00567F6D"/>
    <w:rsid w:val="00570019"/>
    <w:rsid w:val="00570089"/>
    <w:rsid w:val="0057019A"/>
    <w:rsid w:val="005701C5"/>
    <w:rsid w:val="00570242"/>
    <w:rsid w:val="005703BC"/>
    <w:rsid w:val="00570463"/>
    <w:rsid w:val="00570491"/>
    <w:rsid w:val="00570496"/>
    <w:rsid w:val="005704A2"/>
    <w:rsid w:val="005704A4"/>
    <w:rsid w:val="005704A8"/>
    <w:rsid w:val="005704B9"/>
    <w:rsid w:val="005704C0"/>
    <w:rsid w:val="00570517"/>
    <w:rsid w:val="00570612"/>
    <w:rsid w:val="0057067D"/>
    <w:rsid w:val="00570689"/>
    <w:rsid w:val="005706AB"/>
    <w:rsid w:val="005706D3"/>
    <w:rsid w:val="00570703"/>
    <w:rsid w:val="00570710"/>
    <w:rsid w:val="00570737"/>
    <w:rsid w:val="00570748"/>
    <w:rsid w:val="00570777"/>
    <w:rsid w:val="00570839"/>
    <w:rsid w:val="005708F6"/>
    <w:rsid w:val="00570944"/>
    <w:rsid w:val="0057099A"/>
    <w:rsid w:val="00570A25"/>
    <w:rsid w:val="00570AF2"/>
    <w:rsid w:val="00570B34"/>
    <w:rsid w:val="00570B89"/>
    <w:rsid w:val="00570C02"/>
    <w:rsid w:val="00570C3A"/>
    <w:rsid w:val="00570CE7"/>
    <w:rsid w:val="00570D66"/>
    <w:rsid w:val="00570D8E"/>
    <w:rsid w:val="00570DE6"/>
    <w:rsid w:val="00570E05"/>
    <w:rsid w:val="00570E74"/>
    <w:rsid w:val="00570EA7"/>
    <w:rsid w:val="00570F47"/>
    <w:rsid w:val="00570F4E"/>
    <w:rsid w:val="00571010"/>
    <w:rsid w:val="005710A8"/>
    <w:rsid w:val="005710A9"/>
    <w:rsid w:val="00571138"/>
    <w:rsid w:val="00571176"/>
    <w:rsid w:val="00571185"/>
    <w:rsid w:val="00571188"/>
    <w:rsid w:val="00571273"/>
    <w:rsid w:val="005712C1"/>
    <w:rsid w:val="005712CF"/>
    <w:rsid w:val="0057135F"/>
    <w:rsid w:val="00571360"/>
    <w:rsid w:val="00571371"/>
    <w:rsid w:val="005713B8"/>
    <w:rsid w:val="00571488"/>
    <w:rsid w:val="005714BE"/>
    <w:rsid w:val="0057154E"/>
    <w:rsid w:val="005715FD"/>
    <w:rsid w:val="00571614"/>
    <w:rsid w:val="0057167B"/>
    <w:rsid w:val="00571692"/>
    <w:rsid w:val="005717EA"/>
    <w:rsid w:val="005718FB"/>
    <w:rsid w:val="00571901"/>
    <w:rsid w:val="0057190E"/>
    <w:rsid w:val="005719AC"/>
    <w:rsid w:val="005719B6"/>
    <w:rsid w:val="00571A47"/>
    <w:rsid w:val="00571AAF"/>
    <w:rsid w:val="00571B54"/>
    <w:rsid w:val="00571BED"/>
    <w:rsid w:val="00571C03"/>
    <w:rsid w:val="00571C38"/>
    <w:rsid w:val="00571C54"/>
    <w:rsid w:val="00571C90"/>
    <w:rsid w:val="00571CBA"/>
    <w:rsid w:val="00571CDF"/>
    <w:rsid w:val="00571CE0"/>
    <w:rsid w:val="00571DA9"/>
    <w:rsid w:val="00571E3B"/>
    <w:rsid w:val="00571E9C"/>
    <w:rsid w:val="00571F26"/>
    <w:rsid w:val="0057205A"/>
    <w:rsid w:val="005720AA"/>
    <w:rsid w:val="005720FB"/>
    <w:rsid w:val="005721F1"/>
    <w:rsid w:val="005721F6"/>
    <w:rsid w:val="0057221C"/>
    <w:rsid w:val="0057222B"/>
    <w:rsid w:val="00572244"/>
    <w:rsid w:val="00572270"/>
    <w:rsid w:val="0057228B"/>
    <w:rsid w:val="005723A8"/>
    <w:rsid w:val="00572420"/>
    <w:rsid w:val="00572422"/>
    <w:rsid w:val="00572437"/>
    <w:rsid w:val="00572543"/>
    <w:rsid w:val="005725C6"/>
    <w:rsid w:val="005725F5"/>
    <w:rsid w:val="00572691"/>
    <w:rsid w:val="005726AB"/>
    <w:rsid w:val="005726E6"/>
    <w:rsid w:val="00572708"/>
    <w:rsid w:val="00572733"/>
    <w:rsid w:val="00572753"/>
    <w:rsid w:val="00572758"/>
    <w:rsid w:val="00572759"/>
    <w:rsid w:val="00572771"/>
    <w:rsid w:val="005727AF"/>
    <w:rsid w:val="005727EB"/>
    <w:rsid w:val="00572919"/>
    <w:rsid w:val="00572949"/>
    <w:rsid w:val="00572976"/>
    <w:rsid w:val="005729CE"/>
    <w:rsid w:val="005729D3"/>
    <w:rsid w:val="00572AAA"/>
    <w:rsid w:val="00572AC7"/>
    <w:rsid w:val="00572BED"/>
    <w:rsid w:val="00572C17"/>
    <w:rsid w:val="00572C4D"/>
    <w:rsid w:val="00572C73"/>
    <w:rsid w:val="00572C82"/>
    <w:rsid w:val="00572CC7"/>
    <w:rsid w:val="00572CD0"/>
    <w:rsid w:val="00572D8C"/>
    <w:rsid w:val="00572D94"/>
    <w:rsid w:val="00572E34"/>
    <w:rsid w:val="00572E88"/>
    <w:rsid w:val="00572EEF"/>
    <w:rsid w:val="00572F45"/>
    <w:rsid w:val="00572FD5"/>
    <w:rsid w:val="00572FDF"/>
    <w:rsid w:val="0057308F"/>
    <w:rsid w:val="005730A2"/>
    <w:rsid w:val="005730FB"/>
    <w:rsid w:val="00573110"/>
    <w:rsid w:val="0057314C"/>
    <w:rsid w:val="00573166"/>
    <w:rsid w:val="0057329B"/>
    <w:rsid w:val="00573390"/>
    <w:rsid w:val="005733A7"/>
    <w:rsid w:val="00573404"/>
    <w:rsid w:val="00573434"/>
    <w:rsid w:val="00573470"/>
    <w:rsid w:val="0057350D"/>
    <w:rsid w:val="0057356E"/>
    <w:rsid w:val="0057357F"/>
    <w:rsid w:val="005735C4"/>
    <w:rsid w:val="005735D6"/>
    <w:rsid w:val="0057372B"/>
    <w:rsid w:val="0057374F"/>
    <w:rsid w:val="00573750"/>
    <w:rsid w:val="00573780"/>
    <w:rsid w:val="005737B7"/>
    <w:rsid w:val="005737F5"/>
    <w:rsid w:val="005738C7"/>
    <w:rsid w:val="005738E7"/>
    <w:rsid w:val="005739C8"/>
    <w:rsid w:val="00573A9B"/>
    <w:rsid w:val="00573AA0"/>
    <w:rsid w:val="00573ABB"/>
    <w:rsid w:val="00573AE5"/>
    <w:rsid w:val="00573B45"/>
    <w:rsid w:val="00573B55"/>
    <w:rsid w:val="00573C49"/>
    <w:rsid w:val="00573D04"/>
    <w:rsid w:val="00573D17"/>
    <w:rsid w:val="00573DAD"/>
    <w:rsid w:val="00573DF2"/>
    <w:rsid w:val="00573DFD"/>
    <w:rsid w:val="00573E16"/>
    <w:rsid w:val="00573E20"/>
    <w:rsid w:val="00573F74"/>
    <w:rsid w:val="00573F7A"/>
    <w:rsid w:val="00573FCB"/>
    <w:rsid w:val="0057406E"/>
    <w:rsid w:val="005740AD"/>
    <w:rsid w:val="005740D8"/>
    <w:rsid w:val="005740E7"/>
    <w:rsid w:val="00574157"/>
    <w:rsid w:val="00574170"/>
    <w:rsid w:val="0057418D"/>
    <w:rsid w:val="005741D5"/>
    <w:rsid w:val="0057427A"/>
    <w:rsid w:val="00574285"/>
    <w:rsid w:val="00574297"/>
    <w:rsid w:val="00574298"/>
    <w:rsid w:val="00574320"/>
    <w:rsid w:val="0057434A"/>
    <w:rsid w:val="005743CE"/>
    <w:rsid w:val="0057448E"/>
    <w:rsid w:val="00574555"/>
    <w:rsid w:val="005745C2"/>
    <w:rsid w:val="005745C5"/>
    <w:rsid w:val="005745F2"/>
    <w:rsid w:val="00574618"/>
    <w:rsid w:val="0057462C"/>
    <w:rsid w:val="00574696"/>
    <w:rsid w:val="0057488C"/>
    <w:rsid w:val="005748B9"/>
    <w:rsid w:val="005749EB"/>
    <w:rsid w:val="00574A22"/>
    <w:rsid w:val="00574AB0"/>
    <w:rsid w:val="00574ADC"/>
    <w:rsid w:val="00574B43"/>
    <w:rsid w:val="00574B7C"/>
    <w:rsid w:val="00574B86"/>
    <w:rsid w:val="00574B9F"/>
    <w:rsid w:val="00574BE5"/>
    <w:rsid w:val="00574C4D"/>
    <w:rsid w:val="00574C79"/>
    <w:rsid w:val="00574C81"/>
    <w:rsid w:val="00574CAA"/>
    <w:rsid w:val="00574D05"/>
    <w:rsid w:val="00574DB7"/>
    <w:rsid w:val="00574DDF"/>
    <w:rsid w:val="00574F1C"/>
    <w:rsid w:val="00574F21"/>
    <w:rsid w:val="00574F26"/>
    <w:rsid w:val="00575094"/>
    <w:rsid w:val="005750BA"/>
    <w:rsid w:val="005751DB"/>
    <w:rsid w:val="00575404"/>
    <w:rsid w:val="00575440"/>
    <w:rsid w:val="005754AB"/>
    <w:rsid w:val="005754FD"/>
    <w:rsid w:val="00575548"/>
    <w:rsid w:val="00575556"/>
    <w:rsid w:val="005755AA"/>
    <w:rsid w:val="00575633"/>
    <w:rsid w:val="005756F8"/>
    <w:rsid w:val="005757A4"/>
    <w:rsid w:val="005757EA"/>
    <w:rsid w:val="005757FE"/>
    <w:rsid w:val="0057581F"/>
    <w:rsid w:val="00575903"/>
    <w:rsid w:val="00575916"/>
    <w:rsid w:val="0057597F"/>
    <w:rsid w:val="00575981"/>
    <w:rsid w:val="005759A7"/>
    <w:rsid w:val="00575BE2"/>
    <w:rsid w:val="00575BFB"/>
    <w:rsid w:val="00575C55"/>
    <w:rsid w:val="00575E9A"/>
    <w:rsid w:val="00575EC4"/>
    <w:rsid w:val="00575ECE"/>
    <w:rsid w:val="00575ECF"/>
    <w:rsid w:val="00575EEC"/>
    <w:rsid w:val="00575F77"/>
    <w:rsid w:val="00575FDA"/>
    <w:rsid w:val="00576034"/>
    <w:rsid w:val="00576055"/>
    <w:rsid w:val="00576156"/>
    <w:rsid w:val="005761AE"/>
    <w:rsid w:val="00576201"/>
    <w:rsid w:val="00576271"/>
    <w:rsid w:val="00576344"/>
    <w:rsid w:val="00576365"/>
    <w:rsid w:val="0057645B"/>
    <w:rsid w:val="0057654D"/>
    <w:rsid w:val="0057656A"/>
    <w:rsid w:val="00576662"/>
    <w:rsid w:val="00576697"/>
    <w:rsid w:val="005766F4"/>
    <w:rsid w:val="00576885"/>
    <w:rsid w:val="00576896"/>
    <w:rsid w:val="005768B2"/>
    <w:rsid w:val="005768C0"/>
    <w:rsid w:val="005769D6"/>
    <w:rsid w:val="00576A3B"/>
    <w:rsid w:val="00576A4F"/>
    <w:rsid w:val="00576A87"/>
    <w:rsid w:val="00576ACF"/>
    <w:rsid w:val="00576B12"/>
    <w:rsid w:val="00576B66"/>
    <w:rsid w:val="00576BB6"/>
    <w:rsid w:val="00576C3A"/>
    <w:rsid w:val="00576CE5"/>
    <w:rsid w:val="00576D01"/>
    <w:rsid w:val="00576D54"/>
    <w:rsid w:val="00576E09"/>
    <w:rsid w:val="00576E35"/>
    <w:rsid w:val="00576E70"/>
    <w:rsid w:val="00576EBE"/>
    <w:rsid w:val="00576FAE"/>
    <w:rsid w:val="00576FAF"/>
    <w:rsid w:val="00577037"/>
    <w:rsid w:val="00577066"/>
    <w:rsid w:val="005770D5"/>
    <w:rsid w:val="005770DC"/>
    <w:rsid w:val="00577101"/>
    <w:rsid w:val="0057710F"/>
    <w:rsid w:val="00577113"/>
    <w:rsid w:val="00577198"/>
    <w:rsid w:val="005771A5"/>
    <w:rsid w:val="005771F8"/>
    <w:rsid w:val="005772CA"/>
    <w:rsid w:val="005773AA"/>
    <w:rsid w:val="00577494"/>
    <w:rsid w:val="0057749A"/>
    <w:rsid w:val="00577521"/>
    <w:rsid w:val="00577531"/>
    <w:rsid w:val="0057753A"/>
    <w:rsid w:val="00577547"/>
    <w:rsid w:val="00577551"/>
    <w:rsid w:val="00577566"/>
    <w:rsid w:val="005776C2"/>
    <w:rsid w:val="005776C8"/>
    <w:rsid w:val="005776F4"/>
    <w:rsid w:val="0057776D"/>
    <w:rsid w:val="005777DA"/>
    <w:rsid w:val="0057780E"/>
    <w:rsid w:val="005778E2"/>
    <w:rsid w:val="00577905"/>
    <w:rsid w:val="00577936"/>
    <w:rsid w:val="005779AC"/>
    <w:rsid w:val="00577A92"/>
    <w:rsid w:val="00577B1E"/>
    <w:rsid w:val="00577BB7"/>
    <w:rsid w:val="00577C31"/>
    <w:rsid w:val="00577C48"/>
    <w:rsid w:val="00577CD8"/>
    <w:rsid w:val="00577CDA"/>
    <w:rsid w:val="00577CE8"/>
    <w:rsid w:val="00577ED7"/>
    <w:rsid w:val="00577EF5"/>
    <w:rsid w:val="005801AF"/>
    <w:rsid w:val="0058022F"/>
    <w:rsid w:val="0058025E"/>
    <w:rsid w:val="00580299"/>
    <w:rsid w:val="005802D4"/>
    <w:rsid w:val="0058038F"/>
    <w:rsid w:val="005803E0"/>
    <w:rsid w:val="005803F1"/>
    <w:rsid w:val="0058042F"/>
    <w:rsid w:val="0058043D"/>
    <w:rsid w:val="00580463"/>
    <w:rsid w:val="0058048C"/>
    <w:rsid w:val="005804E5"/>
    <w:rsid w:val="00580550"/>
    <w:rsid w:val="00580585"/>
    <w:rsid w:val="005805E9"/>
    <w:rsid w:val="005806D6"/>
    <w:rsid w:val="005807F4"/>
    <w:rsid w:val="0058080F"/>
    <w:rsid w:val="00580841"/>
    <w:rsid w:val="005808C9"/>
    <w:rsid w:val="0058095E"/>
    <w:rsid w:val="005809CA"/>
    <w:rsid w:val="00580A18"/>
    <w:rsid w:val="00580A2B"/>
    <w:rsid w:val="00580A65"/>
    <w:rsid w:val="00580ACD"/>
    <w:rsid w:val="00580B10"/>
    <w:rsid w:val="00580B21"/>
    <w:rsid w:val="00580BF9"/>
    <w:rsid w:val="00580C18"/>
    <w:rsid w:val="00580C4D"/>
    <w:rsid w:val="00580D82"/>
    <w:rsid w:val="00580D90"/>
    <w:rsid w:val="00580DD2"/>
    <w:rsid w:val="00580DE0"/>
    <w:rsid w:val="00580DE5"/>
    <w:rsid w:val="00580DF8"/>
    <w:rsid w:val="00580DFA"/>
    <w:rsid w:val="00580E65"/>
    <w:rsid w:val="00580F39"/>
    <w:rsid w:val="00581004"/>
    <w:rsid w:val="00581107"/>
    <w:rsid w:val="00581176"/>
    <w:rsid w:val="00581184"/>
    <w:rsid w:val="00581211"/>
    <w:rsid w:val="0058136B"/>
    <w:rsid w:val="0058140B"/>
    <w:rsid w:val="00581445"/>
    <w:rsid w:val="00581498"/>
    <w:rsid w:val="005815FB"/>
    <w:rsid w:val="00581722"/>
    <w:rsid w:val="00581A06"/>
    <w:rsid w:val="00581A39"/>
    <w:rsid w:val="00581B7B"/>
    <w:rsid w:val="00581B97"/>
    <w:rsid w:val="00581B9D"/>
    <w:rsid w:val="00581BB8"/>
    <w:rsid w:val="00581BD5"/>
    <w:rsid w:val="00581BE5"/>
    <w:rsid w:val="00581CC4"/>
    <w:rsid w:val="00581CD5"/>
    <w:rsid w:val="00581CE5"/>
    <w:rsid w:val="00581D54"/>
    <w:rsid w:val="00581DB3"/>
    <w:rsid w:val="00581DB5"/>
    <w:rsid w:val="00581DCA"/>
    <w:rsid w:val="00581DED"/>
    <w:rsid w:val="00581E3B"/>
    <w:rsid w:val="00581E73"/>
    <w:rsid w:val="00581F1A"/>
    <w:rsid w:val="00581F80"/>
    <w:rsid w:val="00581FA6"/>
    <w:rsid w:val="00582007"/>
    <w:rsid w:val="0058201E"/>
    <w:rsid w:val="00582030"/>
    <w:rsid w:val="005820B1"/>
    <w:rsid w:val="005820EE"/>
    <w:rsid w:val="00582142"/>
    <w:rsid w:val="0058217C"/>
    <w:rsid w:val="005821BB"/>
    <w:rsid w:val="00582221"/>
    <w:rsid w:val="00582235"/>
    <w:rsid w:val="0058225D"/>
    <w:rsid w:val="0058226A"/>
    <w:rsid w:val="00582319"/>
    <w:rsid w:val="00582344"/>
    <w:rsid w:val="0058237D"/>
    <w:rsid w:val="005823AD"/>
    <w:rsid w:val="0058241B"/>
    <w:rsid w:val="00582504"/>
    <w:rsid w:val="005825F7"/>
    <w:rsid w:val="00582602"/>
    <w:rsid w:val="005826EC"/>
    <w:rsid w:val="005826F4"/>
    <w:rsid w:val="00582708"/>
    <w:rsid w:val="00582783"/>
    <w:rsid w:val="0058278F"/>
    <w:rsid w:val="005827BD"/>
    <w:rsid w:val="00582947"/>
    <w:rsid w:val="00582A10"/>
    <w:rsid w:val="00582A4C"/>
    <w:rsid w:val="00582A6C"/>
    <w:rsid w:val="00582A84"/>
    <w:rsid w:val="00582AC1"/>
    <w:rsid w:val="00582ADC"/>
    <w:rsid w:val="00582C39"/>
    <w:rsid w:val="00582C80"/>
    <w:rsid w:val="00582C93"/>
    <w:rsid w:val="00582C96"/>
    <w:rsid w:val="00582CA8"/>
    <w:rsid w:val="00582CAD"/>
    <w:rsid w:val="00582D90"/>
    <w:rsid w:val="00582DE4"/>
    <w:rsid w:val="00582E7D"/>
    <w:rsid w:val="00582E93"/>
    <w:rsid w:val="00582ECC"/>
    <w:rsid w:val="0058304F"/>
    <w:rsid w:val="0058317B"/>
    <w:rsid w:val="00583183"/>
    <w:rsid w:val="005831E7"/>
    <w:rsid w:val="00583251"/>
    <w:rsid w:val="00583298"/>
    <w:rsid w:val="0058340E"/>
    <w:rsid w:val="0058346B"/>
    <w:rsid w:val="0058346E"/>
    <w:rsid w:val="0058348A"/>
    <w:rsid w:val="005834BA"/>
    <w:rsid w:val="005834DF"/>
    <w:rsid w:val="005834EC"/>
    <w:rsid w:val="00583509"/>
    <w:rsid w:val="005835A5"/>
    <w:rsid w:val="005835A9"/>
    <w:rsid w:val="0058362E"/>
    <w:rsid w:val="0058369E"/>
    <w:rsid w:val="0058377C"/>
    <w:rsid w:val="00583787"/>
    <w:rsid w:val="0058378F"/>
    <w:rsid w:val="0058380C"/>
    <w:rsid w:val="0058383E"/>
    <w:rsid w:val="0058383F"/>
    <w:rsid w:val="005838CE"/>
    <w:rsid w:val="00583992"/>
    <w:rsid w:val="005839CA"/>
    <w:rsid w:val="005839FB"/>
    <w:rsid w:val="00583AC4"/>
    <w:rsid w:val="00583ADB"/>
    <w:rsid w:val="00583B05"/>
    <w:rsid w:val="00583BCB"/>
    <w:rsid w:val="00583C6D"/>
    <w:rsid w:val="00583D8C"/>
    <w:rsid w:val="00583DF6"/>
    <w:rsid w:val="00583EBC"/>
    <w:rsid w:val="00583F44"/>
    <w:rsid w:val="00583F83"/>
    <w:rsid w:val="00583FCF"/>
    <w:rsid w:val="0058405F"/>
    <w:rsid w:val="00584174"/>
    <w:rsid w:val="005841C3"/>
    <w:rsid w:val="005841FC"/>
    <w:rsid w:val="0058422D"/>
    <w:rsid w:val="00584231"/>
    <w:rsid w:val="0058427B"/>
    <w:rsid w:val="0058427D"/>
    <w:rsid w:val="00584320"/>
    <w:rsid w:val="00584361"/>
    <w:rsid w:val="0058438B"/>
    <w:rsid w:val="005843BA"/>
    <w:rsid w:val="00584410"/>
    <w:rsid w:val="00584471"/>
    <w:rsid w:val="005844AD"/>
    <w:rsid w:val="0058456B"/>
    <w:rsid w:val="005847DB"/>
    <w:rsid w:val="0058488C"/>
    <w:rsid w:val="005848C3"/>
    <w:rsid w:val="00584928"/>
    <w:rsid w:val="005849AC"/>
    <w:rsid w:val="00584A2D"/>
    <w:rsid w:val="00584A41"/>
    <w:rsid w:val="00584A42"/>
    <w:rsid w:val="00584A9E"/>
    <w:rsid w:val="00584B4A"/>
    <w:rsid w:val="00584BC9"/>
    <w:rsid w:val="00584C07"/>
    <w:rsid w:val="00584C11"/>
    <w:rsid w:val="00584D35"/>
    <w:rsid w:val="00584D3D"/>
    <w:rsid w:val="00584DAA"/>
    <w:rsid w:val="00584DAB"/>
    <w:rsid w:val="00584DB7"/>
    <w:rsid w:val="00584DFD"/>
    <w:rsid w:val="00584F01"/>
    <w:rsid w:val="00584F3E"/>
    <w:rsid w:val="00584F74"/>
    <w:rsid w:val="00584FCD"/>
    <w:rsid w:val="005850A7"/>
    <w:rsid w:val="005850D0"/>
    <w:rsid w:val="005850F2"/>
    <w:rsid w:val="005851A6"/>
    <w:rsid w:val="00585211"/>
    <w:rsid w:val="0058524D"/>
    <w:rsid w:val="00585250"/>
    <w:rsid w:val="005852E6"/>
    <w:rsid w:val="005852EE"/>
    <w:rsid w:val="00585366"/>
    <w:rsid w:val="00585395"/>
    <w:rsid w:val="00585405"/>
    <w:rsid w:val="00585411"/>
    <w:rsid w:val="0058543B"/>
    <w:rsid w:val="00585457"/>
    <w:rsid w:val="005854C9"/>
    <w:rsid w:val="00585506"/>
    <w:rsid w:val="0058554F"/>
    <w:rsid w:val="00585551"/>
    <w:rsid w:val="00585674"/>
    <w:rsid w:val="00585686"/>
    <w:rsid w:val="005856A8"/>
    <w:rsid w:val="005856AF"/>
    <w:rsid w:val="005856EC"/>
    <w:rsid w:val="0058575A"/>
    <w:rsid w:val="0058578A"/>
    <w:rsid w:val="0058589E"/>
    <w:rsid w:val="005858AB"/>
    <w:rsid w:val="005858C4"/>
    <w:rsid w:val="0058592C"/>
    <w:rsid w:val="0058595D"/>
    <w:rsid w:val="005859A5"/>
    <w:rsid w:val="005859B4"/>
    <w:rsid w:val="005859D8"/>
    <w:rsid w:val="00585A30"/>
    <w:rsid w:val="00585A66"/>
    <w:rsid w:val="00585A82"/>
    <w:rsid w:val="00585ABD"/>
    <w:rsid w:val="00585AF2"/>
    <w:rsid w:val="00585BDF"/>
    <w:rsid w:val="00585C86"/>
    <w:rsid w:val="00585CA9"/>
    <w:rsid w:val="00585D04"/>
    <w:rsid w:val="00585D54"/>
    <w:rsid w:val="00585DA0"/>
    <w:rsid w:val="00585DC8"/>
    <w:rsid w:val="00585DDE"/>
    <w:rsid w:val="00585E05"/>
    <w:rsid w:val="00585E0B"/>
    <w:rsid w:val="00585E4C"/>
    <w:rsid w:val="00585E8F"/>
    <w:rsid w:val="00585ED9"/>
    <w:rsid w:val="00585F5E"/>
    <w:rsid w:val="00585F8F"/>
    <w:rsid w:val="00585FCD"/>
    <w:rsid w:val="0058600A"/>
    <w:rsid w:val="00586043"/>
    <w:rsid w:val="005860E5"/>
    <w:rsid w:val="0058610A"/>
    <w:rsid w:val="0058611C"/>
    <w:rsid w:val="00586128"/>
    <w:rsid w:val="005861A4"/>
    <w:rsid w:val="005861AC"/>
    <w:rsid w:val="00586223"/>
    <w:rsid w:val="00586287"/>
    <w:rsid w:val="005862AB"/>
    <w:rsid w:val="005862EA"/>
    <w:rsid w:val="00586342"/>
    <w:rsid w:val="0058634A"/>
    <w:rsid w:val="005863DA"/>
    <w:rsid w:val="00586452"/>
    <w:rsid w:val="005864C0"/>
    <w:rsid w:val="00586618"/>
    <w:rsid w:val="00586717"/>
    <w:rsid w:val="00586832"/>
    <w:rsid w:val="00586858"/>
    <w:rsid w:val="00586937"/>
    <w:rsid w:val="00586953"/>
    <w:rsid w:val="0058699F"/>
    <w:rsid w:val="005869C4"/>
    <w:rsid w:val="00586A57"/>
    <w:rsid w:val="00586A94"/>
    <w:rsid w:val="00586AA9"/>
    <w:rsid w:val="00586AD0"/>
    <w:rsid w:val="00586B11"/>
    <w:rsid w:val="00586B19"/>
    <w:rsid w:val="00586B5B"/>
    <w:rsid w:val="00586BA2"/>
    <w:rsid w:val="00586BEE"/>
    <w:rsid w:val="00586C6A"/>
    <w:rsid w:val="00586E8A"/>
    <w:rsid w:val="00586E9F"/>
    <w:rsid w:val="00586EB7"/>
    <w:rsid w:val="00586F10"/>
    <w:rsid w:val="00586F52"/>
    <w:rsid w:val="00586F67"/>
    <w:rsid w:val="00586FA0"/>
    <w:rsid w:val="0058708C"/>
    <w:rsid w:val="005870C4"/>
    <w:rsid w:val="00587132"/>
    <w:rsid w:val="005871A2"/>
    <w:rsid w:val="005872B8"/>
    <w:rsid w:val="005872F7"/>
    <w:rsid w:val="005873D3"/>
    <w:rsid w:val="00587428"/>
    <w:rsid w:val="005874B4"/>
    <w:rsid w:val="00587551"/>
    <w:rsid w:val="0058757E"/>
    <w:rsid w:val="00587583"/>
    <w:rsid w:val="00587664"/>
    <w:rsid w:val="0058767D"/>
    <w:rsid w:val="005876FC"/>
    <w:rsid w:val="0058774F"/>
    <w:rsid w:val="00587833"/>
    <w:rsid w:val="00587886"/>
    <w:rsid w:val="00587897"/>
    <w:rsid w:val="005878DD"/>
    <w:rsid w:val="0058790C"/>
    <w:rsid w:val="00587931"/>
    <w:rsid w:val="00587A0B"/>
    <w:rsid w:val="00587A7E"/>
    <w:rsid w:val="00587AB1"/>
    <w:rsid w:val="00587AB9"/>
    <w:rsid w:val="00587B10"/>
    <w:rsid w:val="00587BB1"/>
    <w:rsid w:val="00587BDF"/>
    <w:rsid w:val="00587C62"/>
    <w:rsid w:val="00587D21"/>
    <w:rsid w:val="00587DB4"/>
    <w:rsid w:val="00587DBC"/>
    <w:rsid w:val="00587DF9"/>
    <w:rsid w:val="00587E32"/>
    <w:rsid w:val="00587E5F"/>
    <w:rsid w:val="00587EB2"/>
    <w:rsid w:val="00587ECE"/>
    <w:rsid w:val="00587F27"/>
    <w:rsid w:val="0059003D"/>
    <w:rsid w:val="00590066"/>
    <w:rsid w:val="005900C1"/>
    <w:rsid w:val="005900F2"/>
    <w:rsid w:val="00590148"/>
    <w:rsid w:val="0059014D"/>
    <w:rsid w:val="00590287"/>
    <w:rsid w:val="005902A3"/>
    <w:rsid w:val="005902B6"/>
    <w:rsid w:val="005902FF"/>
    <w:rsid w:val="00590406"/>
    <w:rsid w:val="0059041A"/>
    <w:rsid w:val="00590428"/>
    <w:rsid w:val="00590481"/>
    <w:rsid w:val="00590511"/>
    <w:rsid w:val="005905AF"/>
    <w:rsid w:val="005905C6"/>
    <w:rsid w:val="00590625"/>
    <w:rsid w:val="00590675"/>
    <w:rsid w:val="00590683"/>
    <w:rsid w:val="005906A5"/>
    <w:rsid w:val="005906C1"/>
    <w:rsid w:val="0059079A"/>
    <w:rsid w:val="0059079D"/>
    <w:rsid w:val="005907F2"/>
    <w:rsid w:val="00590802"/>
    <w:rsid w:val="00590805"/>
    <w:rsid w:val="00590850"/>
    <w:rsid w:val="0059090F"/>
    <w:rsid w:val="0059094C"/>
    <w:rsid w:val="0059095D"/>
    <w:rsid w:val="00590AC6"/>
    <w:rsid w:val="00590B25"/>
    <w:rsid w:val="00590B57"/>
    <w:rsid w:val="00590BD3"/>
    <w:rsid w:val="00590C37"/>
    <w:rsid w:val="00590C39"/>
    <w:rsid w:val="00590C66"/>
    <w:rsid w:val="00590D09"/>
    <w:rsid w:val="00590D0C"/>
    <w:rsid w:val="00590D7E"/>
    <w:rsid w:val="00590DB1"/>
    <w:rsid w:val="00590DE2"/>
    <w:rsid w:val="00590EA9"/>
    <w:rsid w:val="00590F5B"/>
    <w:rsid w:val="00590FA8"/>
    <w:rsid w:val="00590FBB"/>
    <w:rsid w:val="00590FC5"/>
    <w:rsid w:val="00590FF1"/>
    <w:rsid w:val="00590FFF"/>
    <w:rsid w:val="00591020"/>
    <w:rsid w:val="00591050"/>
    <w:rsid w:val="005911B7"/>
    <w:rsid w:val="005911C1"/>
    <w:rsid w:val="00591220"/>
    <w:rsid w:val="0059125B"/>
    <w:rsid w:val="005912B2"/>
    <w:rsid w:val="005912D1"/>
    <w:rsid w:val="005912E8"/>
    <w:rsid w:val="0059139F"/>
    <w:rsid w:val="005913AF"/>
    <w:rsid w:val="005913D1"/>
    <w:rsid w:val="00591414"/>
    <w:rsid w:val="00591448"/>
    <w:rsid w:val="00591532"/>
    <w:rsid w:val="00591547"/>
    <w:rsid w:val="00591560"/>
    <w:rsid w:val="0059156A"/>
    <w:rsid w:val="005915B9"/>
    <w:rsid w:val="005915D4"/>
    <w:rsid w:val="0059160E"/>
    <w:rsid w:val="0059163D"/>
    <w:rsid w:val="0059164D"/>
    <w:rsid w:val="0059168C"/>
    <w:rsid w:val="005916FC"/>
    <w:rsid w:val="0059170B"/>
    <w:rsid w:val="00591724"/>
    <w:rsid w:val="0059175C"/>
    <w:rsid w:val="00591784"/>
    <w:rsid w:val="00591861"/>
    <w:rsid w:val="00591A04"/>
    <w:rsid w:val="00591B05"/>
    <w:rsid w:val="00591B07"/>
    <w:rsid w:val="00591B3D"/>
    <w:rsid w:val="00591BA9"/>
    <w:rsid w:val="00591C21"/>
    <w:rsid w:val="00591CFC"/>
    <w:rsid w:val="00591D7F"/>
    <w:rsid w:val="00591DB7"/>
    <w:rsid w:val="00591DD4"/>
    <w:rsid w:val="00591DEE"/>
    <w:rsid w:val="00591ECA"/>
    <w:rsid w:val="00591EFD"/>
    <w:rsid w:val="00591F47"/>
    <w:rsid w:val="00591F61"/>
    <w:rsid w:val="00591FB2"/>
    <w:rsid w:val="00591FDC"/>
    <w:rsid w:val="00591FFE"/>
    <w:rsid w:val="00592029"/>
    <w:rsid w:val="0059204E"/>
    <w:rsid w:val="00592064"/>
    <w:rsid w:val="00592075"/>
    <w:rsid w:val="0059214B"/>
    <w:rsid w:val="0059217B"/>
    <w:rsid w:val="005921EF"/>
    <w:rsid w:val="00592200"/>
    <w:rsid w:val="00592244"/>
    <w:rsid w:val="00592247"/>
    <w:rsid w:val="005922B8"/>
    <w:rsid w:val="005922BB"/>
    <w:rsid w:val="005922DC"/>
    <w:rsid w:val="00592377"/>
    <w:rsid w:val="005923A3"/>
    <w:rsid w:val="005923B5"/>
    <w:rsid w:val="005923BD"/>
    <w:rsid w:val="00592442"/>
    <w:rsid w:val="00592448"/>
    <w:rsid w:val="00592481"/>
    <w:rsid w:val="005924AD"/>
    <w:rsid w:val="00592529"/>
    <w:rsid w:val="005925A3"/>
    <w:rsid w:val="00592620"/>
    <w:rsid w:val="00592686"/>
    <w:rsid w:val="005926A4"/>
    <w:rsid w:val="005926CA"/>
    <w:rsid w:val="00592844"/>
    <w:rsid w:val="00592846"/>
    <w:rsid w:val="0059285E"/>
    <w:rsid w:val="005928AA"/>
    <w:rsid w:val="005928BE"/>
    <w:rsid w:val="005928F6"/>
    <w:rsid w:val="0059294E"/>
    <w:rsid w:val="005929E3"/>
    <w:rsid w:val="00592A7B"/>
    <w:rsid w:val="00592A8D"/>
    <w:rsid w:val="00592C24"/>
    <w:rsid w:val="00592D1E"/>
    <w:rsid w:val="00592D70"/>
    <w:rsid w:val="00592DFA"/>
    <w:rsid w:val="00592E97"/>
    <w:rsid w:val="00592EB5"/>
    <w:rsid w:val="00592EDC"/>
    <w:rsid w:val="00592EE0"/>
    <w:rsid w:val="00592F34"/>
    <w:rsid w:val="00592F6E"/>
    <w:rsid w:val="00592F80"/>
    <w:rsid w:val="0059301D"/>
    <w:rsid w:val="005930A4"/>
    <w:rsid w:val="005930C5"/>
    <w:rsid w:val="005930EC"/>
    <w:rsid w:val="0059320C"/>
    <w:rsid w:val="00593229"/>
    <w:rsid w:val="005932D0"/>
    <w:rsid w:val="00593314"/>
    <w:rsid w:val="00593419"/>
    <w:rsid w:val="005934AA"/>
    <w:rsid w:val="0059351A"/>
    <w:rsid w:val="00593527"/>
    <w:rsid w:val="005935FA"/>
    <w:rsid w:val="00593666"/>
    <w:rsid w:val="0059368E"/>
    <w:rsid w:val="005936A2"/>
    <w:rsid w:val="005936AD"/>
    <w:rsid w:val="005936FD"/>
    <w:rsid w:val="005937A9"/>
    <w:rsid w:val="005937AA"/>
    <w:rsid w:val="005937DE"/>
    <w:rsid w:val="005937F9"/>
    <w:rsid w:val="00593836"/>
    <w:rsid w:val="0059385B"/>
    <w:rsid w:val="00593870"/>
    <w:rsid w:val="00593939"/>
    <w:rsid w:val="00593953"/>
    <w:rsid w:val="005939DD"/>
    <w:rsid w:val="00593A86"/>
    <w:rsid w:val="00593AB6"/>
    <w:rsid w:val="00593B83"/>
    <w:rsid w:val="00593B89"/>
    <w:rsid w:val="00593B8C"/>
    <w:rsid w:val="00593BDB"/>
    <w:rsid w:val="00593BF5"/>
    <w:rsid w:val="00593C08"/>
    <w:rsid w:val="00593C0C"/>
    <w:rsid w:val="00593C40"/>
    <w:rsid w:val="00593DFD"/>
    <w:rsid w:val="00593E2B"/>
    <w:rsid w:val="00593EB7"/>
    <w:rsid w:val="00593F5A"/>
    <w:rsid w:val="00593F6C"/>
    <w:rsid w:val="00593F7C"/>
    <w:rsid w:val="00593FA7"/>
    <w:rsid w:val="00593FE5"/>
    <w:rsid w:val="0059403E"/>
    <w:rsid w:val="00594059"/>
    <w:rsid w:val="005940EA"/>
    <w:rsid w:val="005940F9"/>
    <w:rsid w:val="00594126"/>
    <w:rsid w:val="00594130"/>
    <w:rsid w:val="00594223"/>
    <w:rsid w:val="005942D3"/>
    <w:rsid w:val="0059431C"/>
    <w:rsid w:val="0059438C"/>
    <w:rsid w:val="0059439C"/>
    <w:rsid w:val="005943A0"/>
    <w:rsid w:val="0059444B"/>
    <w:rsid w:val="00594491"/>
    <w:rsid w:val="00594496"/>
    <w:rsid w:val="005944E4"/>
    <w:rsid w:val="00594557"/>
    <w:rsid w:val="00594583"/>
    <w:rsid w:val="005945C2"/>
    <w:rsid w:val="0059465A"/>
    <w:rsid w:val="00594690"/>
    <w:rsid w:val="005946BF"/>
    <w:rsid w:val="005947E3"/>
    <w:rsid w:val="005947FC"/>
    <w:rsid w:val="0059480E"/>
    <w:rsid w:val="00594841"/>
    <w:rsid w:val="00594859"/>
    <w:rsid w:val="005948B4"/>
    <w:rsid w:val="005948DB"/>
    <w:rsid w:val="005948E6"/>
    <w:rsid w:val="005948EF"/>
    <w:rsid w:val="00594936"/>
    <w:rsid w:val="005949C1"/>
    <w:rsid w:val="00594A44"/>
    <w:rsid w:val="00594AB8"/>
    <w:rsid w:val="00594AC4"/>
    <w:rsid w:val="00594BA2"/>
    <w:rsid w:val="00594BC4"/>
    <w:rsid w:val="00594BD9"/>
    <w:rsid w:val="00594C30"/>
    <w:rsid w:val="00594CEF"/>
    <w:rsid w:val="00594D12"/>
    <w:rsid w:val="00594DCB"/>
    <w:rsid w:val="00594E83"/>
    <w:rsid w:val="00594E9E"/>
    <w:rsid w:val="00594EA6"/>
    <w:rsid w:val="00594EF9"/>
    <w:rsid w:val="00594F9C"/>
    <w:rsid w:val="00594FC3"/>
    <w:rsid w:val="00595101"/>
    <w:rsid w:val="0059517B"/>
    <w:rsid w:val="005951B2"/>
    <w:rsid w:val="0059520B"/>
    <w:rsid w:val="00595223"/>
    <w:rsid w:val="00595279"/>
    <w:rsid w:val="0059528B"/>
    <w:rsid w:val="005952C5"/>
    <w:rsid w:val="005952CE"/>
    <w:rsid w:val="00595375"/>
    <w:rsid w:val="005953AE"/>
    <w:rsid w:val="005953BA"/>
    <w:rsid w:val="005953D0"/>
    <w:rsid w:val="00595435"/>
    <w:rsid w:val="0059559A"/>
    <w:rsid w:val="005955B2"/>
    <w:rsid w:val="00595660"/>
    <w:rsid w:val="00595665"/>
    <w:rsid w:val="005956D3"/>
    <w:rsid w:val="005957DD"/>
    <w:rsid w:val="0059580E"/>
    <w:rsid w:val="005958A0"/>
    <w:rsid w:val="005958CF"/>
    <w:rsid w:val="0059595F"/>
    <w:rsid w:val="005959C7"/>
    <w:rsid w:val="00595A30"/>
    <w:rsid w:val="00595A61"/>
    <w:rsid w:val="00595A6B"/>
    <w:rsid w:val="00595AD8"/>
    <w:rsid w:val="00595B2F"/>
    <w:rsid w:val="00595B4B"/>
    <w:rsid w:val="00595BAC"/>
    <w:rsid w:val="00595BBD"/>
    <w:rsid w:val="00595BDB"/>
    <w:rsid w:val="00595C35"/>
    <w:rsid w:val="00595CBA"/>
    <w:rsid w:val="00595D29"/>
    <w:rsid w:val="00595D80"/>
    <w:rsid w:val="00595EC8"/>
    <w:rsid w:val="00595F02"/>
    <w:rsid w:val="00595F17"/>
    <w:rsid w:val="00595F8B"/>
    <w:rsid w:val="00595FEC"/>
    <w:rsid w:val="00595FF6"/>
    <w:rsid w:val="00596008"/>
    <w:rsid w:val="0059603C"/>
    <w:rsid w:val="0059605E"/>
    <w:rsid w:val="005961B9"/>
    <w:rsid w:val="005961E9"/>
    <w:rsid w:val="00596286"/>
    <w:rsid w:val="005962F2"/>
    <w:rsid w:val="00596358"/>
    <w:rsid w:val="00596365"/>
    <w:rsid w:val="00596370"/>
    <w:rsid w:val="0059641C"/>
    <w:rsid w:val="00596489"/>
    <w:rsid w:val="00596536"/>
    <w:rsid w:val="005965A8"/>
    <w:rsid w:val="005965BC"/>
    <w:rsid w:val="005965ED"/>
    <w:rsid w:val="00596607"/>
    <w:rsid w:val="0059662F"/>
    <w:rsid w:val="0059667E"/>
    <w:rsid w:val="00596742"/>
    <w:rsid w:val="00596767"/>
    <w:rsid w:val="00596799"/>
    <w:rsid w:val="0059679B"/>
    <w:rsid w:val="005967DA"/>
    <w:rsid w:val="0059681F"/>
    <w:rsid w:val="0059684B"/>
    <w:rsid w:val="0059689B"/>
    <w:rsid w:val="0059691B"/>
    <w:rsid w:val="00596930"/>
    <w:rsid w:val="00596A61"/>
    <w:rsid w:val="00596AF6"/>
    <w:rsid w:val="00596B55"/>
    <w:rsid w:val="00596B6B"/>
    <w:rsid w:val="00596BB0"/>
    <w:rsid w:val="00596BE6"/>
    <w:rsid w:val="00596C52"/>
    <w:rsid w:val="00596C60"/>
    <w:rsid w:val="00596C63"/>
    <w:rsid w:val="00596C80"/>
    <w:rsid w:val="00596C86"/>
    <w:rsid w:val="00596CE5"/>
    <w:rsid w:val="00596D98"/>
    <w:rsid w:val="00596DAE"/>
    <w:rsid w:val="00596DBE"/>
    <w:rsid w:val="00596F10"/>
    <w:rsid w:val="00596F12"/>
    <w:rsid w:val="00596F16"/>
    <w:rsid w:val="00596F3C"/>
    <w:rsid w:val="00596F65"/>
    <w:rsid w:val="005970D7"/>
    <w:rsid w:val="005970E6"/>
    <w:rsid w:val="0059712B"/>
    <w:rsid w:val="0059713F"/>
    <w:rsid w:val="005971AE"/>
    <w:rsid w:val="00597242"/>
    <w:rsid w:val="005972B1"/>
    <w:rsid w:val="005972E3"/>
    <w:rsid w:val="0059739C"/>
    <w:rsid w:val="005973E4"/>
    <w:rsid w:val="0059743E"/>
    <w:rsid w:val="005974D7"/>
    <w:rsid w:val="0059751C"/>
    <w:rsid w:val="0059754A"/>
    <w:rsid w:val="0059757C"/>
    <w:rsid w:val="00597586"/>
    <w:rsid w:val="005975BC"/>
    <w:rsid w:val="00597685"/>
    <w:rsid w:val="005976BD"/>
    <w:rsid w:val="00597906"/>
    <w:rsid w:val="005979CA"/>
    <w:rsid w:val="005979F6"/>
    <w:rsid w:val="00597ADC"/>
    <w:rsid w:val="00597B5B"/>
    <w:rsid w:val="00597BBA"/>
    <w:rsid w:val="00597C37"/>
    <w:rsid w:val="00597C71"/>
    <w:rsid w:val="00597CE5"/>
    <w:rsid w:val="00597D37"/>
    <w:rsid w:val="00597D71"/>
    <w:rsid w:val="00597D87"/>
    <w:rsid w:val="00597E3D"/>
    <w:rsid w:val="00597EF4"/>
    <w:rsid w:val="00597FA9"/>
    <w:rsid w:val="005A001B"/>
    <w:rsid w:val="005A0039"/>
    <w:rsid w:val="005A012F"/>
    <w:rsid w:val="005A017F"/>
    <w:rsid w:val="005A01B6"/>
    <w:rsid w:val="005A0259"/>
    <w:rsid w:val="005A025E"/>
    <w:rsid w:val="005A033E"/>
    <w:rsid w:val="005A0373"/>
    <w:rsid w:val="005A03C1"/>
    <w:rsid w:val="005A03E5"/>
    <w:rsid w:val="005A040B"/>
    <w:rsid w:val="005A0421"/>
    <w:rsid w:val="005A047C"/>
    <w:rsid w:val="005A04B0"/>
    <w:rsid w:val="005A04DD"/>
    <w:rsid w:val="005A04E8"/>
    <w:rsid w:val="005A0590"/>
    <w:rsid w:val="005A0593"/>
    <w:rsid w:val="005A0594"/>
    <w:rsid w:val="005A05E5"/>
    <w:rsid w:val="005A0638"/>
    <w:rsid w:val="005A0650"/>
    <w:rsid w:val="005A0694"/>
    <w:rsid w:val="005A06C3"/>
    <w:rsid w:val="005A0825"/>
    <w:rsid w:val="005A0842"/>
    <w:rsid w:val="005A089C"/>
    <w:rsid w:val="005A08F5"/>
    <w:rsid w:val="005A0958"/>
    <w:rsid w:val="005A0969"/>
    <w:rsid w:val="005A098F"/>
    <w:rsid w:val="005A09B7"/>
    <w:rsid w:val="005A09DD"/>
    <w:rsid w:val="005A09FA"/>
    <w:rsid w:val="005A0A14"/>
    <w:rsid w:val="005A0A56"/>
    <w:rsid w:val="005A0A8C"/>
    <w:rsid w:val="005A0B25"/>
    <w:rsid w:val="005A0B87"/>
    <w:rsid w:val="005A0BBC"/>
    <w:rsid w:val="005A0BE6"/>
    <w:rsid w:val="005A0C03"/>
    <w:rsid w:val="005A0C09"/>
    <w:rsid w:val="005A0C14"/>
    <w:rsid w:val="005A0C2B"/>
    <w:rsid w:val="005A0CAB"/>
    <w:rsid w:val="005A0CC4"/>
    <w:rsid w:val="005A0CE6"/>
    <w:rsid w:val="005A0D40"/>
    <w:rsid w:val="005A0E0C"/>
    <w:rsid w:val="005A0EA5"/>
    <w:rsid w:val="005A0EC4"/>
    <w:rsid w:val="005A0F40"/>
    <w:rsid w:val="005A0F61"/>
    <w:rsid w:val="005A0F87"/>
    <w:rsid w:val="005A10F6"/>
    <w:rsid w:val="005A11C4"/>
    <w:rsid w:val="005A11D9"/>
    <w:rsid w:val="005A12E3"/>
    <w:rsid w:val="005A1355"/>
    <w:rsid w:val="005A13D2"/>
    <w:rsid w:val="005A13FC"/>
    <w:rsid w:val="005A1534"/>
    <w:rsid w:val="005A153F"/>
    <w:rsid w:val="005A15BB"/>
    <w:rsid w:val="005A15C0"/>
    <w:rsid w:val="005A16BB"/>
    <w:rsid w:val="005A17D9"/>
    <w:rsid w:val="005A1843"/>
    <w:rsid w:val="005A188F"/>
    <w:rsid w:val="005A189F"/>
    <w:rsid w:val="005A1ABB"/>
    <w:rsid w:val="005A1ACE"/>
    <w:rsid w:val="005A1BB0"/>
    <w:rsid w:val="005A1C62"/>
    <w:rsid w:val="005A1D59"/>
    <w:rsid w:val="005A1D9A"/>
    <w:rsid w:val="005A1DA5"/>
    <w:rsid w:val="005A1DEC"/>
    <w:rsid w:val="005A1E4D"/>
    <w:rsid w:val="005A1E8B"/>
    <w:rsid w:val="005A1EDE"/>
    <w:rsid w:val="005A1F33"/>
    <w:rsid w:val="005A1FB4"/>
    <w:rsid w:val="005A1FF4"/>
    <w:rsid w:val="005A2079"/>
    <w:rsid w:val="005A207A"/>
    <w:rsid w:val="005A2122"/>
    <w:rsid w:val="005A22AD"/>
    <w:rsid w:val="005A2336"/>
    <w:rsid w:val="005A2482"/>
    <w:rsid w:val="005A2491"/>
    <w:rsid w:val="005A2493"/>
    <w:rsid w:val="005A24A2"/>
    <w:rsid w:val="005A25CB"/>
    <w:rsid w:val="005A25DB"/>
    <w:rsid w:val="005A2655"/>
    <w:rsid w:val="005A281C"/>
    <w:rsid w:val="005A284A"/>
    <w:rsid w:val="005A2913"/>
    <w:rsid w:val="005A297D"/>
    <w:rsid w:val="005A29AB"/>
    <w:rsid w:val="005A29C7"/>
    <w:rsid w:val="005A29F2"/>
    <w:rsid w:val="005A2A1C"/>
    <w:rsid w:val="005A2A67"/>
    <w:rsid w:val="005A2A7E"/>
    <w:rsid w:val="005A2AD2"/>
    <w:rsid w:val="005A2B67"/>
    <w:rsid w:val="005A2BCC"/>
    <w:rsid w:val="005A2BF2"/>
    <w:rsid w:val="005A2C3F"/>
    <w:rsid w:val="005A2C70"/>
    <w:rsid w:val="005A2CC1"/>
    <w:rsid w:val="005A2CE5"/>
    <w:rsid w:val="005A2D1F"/>
    <w:rsid w:val="005A2E14"/>
    <w:rsid w:val="005A2E5F"/>
    <w:rsid w:val="005A2F27"/>
    <w:rsid w:val="005A2F29"/>
    <w:rsid w:val="005A2F93"/>
    <w:rsid w:val="005A2FA5"/>
    <w:rsid w:val="005A2FD2"/>
    <w:rsid w:val="005A3017"/>
    <w:rsid w:val="005A304E"/>
    <w:rsid w:val="005A3053"/>
    <w:rsid w:val="005A30B3"/>
    <w:rsid w:val="005A3159"/>
    <w:rsid w:val="005A3198"/>
    <w:rsid w:val="005A31DC"/>
    <w:rsid w:val="005A325C"/>
    <w:rsid w:val="005A325D"/>
    <w:rsid w:val="005A32B8"/>
    <w:rsid w:val="005A32F0"/>
    <w:rsid w:val="005A3351"/>
    <w:rsid w:val="005A3357"/>
    <w:rsid w:val="005A336F"/>
    <w:rsid w:val="005A34A6"/>
    <w:rsid w:val="005A34BC"/>
    <w:rsid w:val="005A34F6"/>
    <w:rsid w:val="005A3500"/>
    <w:rsid w:val="005A35CE"/>
    <w:rsid w:val="005A35F6"/>
    <w:rsid w:val="005A35F9"/>
    <w:rsid w:val="005A372D"/>
    <w:rsid w:val="005A3767"/>
    <w:rsid w:val="005A380F"/>
    <w:rsid w:val="005A38F7"/>
    <w:rsid w:val="005A3970"/>
    <w:rsid w:val="005A397D"/>
    <w:rsid w:val="005A39BE"/>
    <w:rsid w:val="005A39C9"/>
    <w:rsid w:val="005A3B4C"/>
    <w:rsid w:val="005A3B64"/>
    <w:rsid w:val="005A3CA6"/>
    <w:rsid w:val="005A3CD3"/>
    <w:rsid w:val="005A3D30"/>
    <w:rsid w:val="005A3DE0"/>
    <w:rsid w:val="005A3EC2"/>
    <w:rsid w:val="005A3EF1"/>
    <w:rsid w:val="005A4036"/>
    <w:rsid w:val="005A405C"/>
    <w:rsid w:val="005A40AE"/>
    <w:rsid w:val="005A40FB"/>
    <w:rsid w:val="005A4130"/>
    <w:rsid w:val="005A417F"/>
    <w:rsid w:val="005A420B"/>
    <w:rsid w:val="005A4223"/>
    <w:rsid w:val="005A4235"/>
    <w:rsid w:val="005A425A"/>
    <w:rsid w:val="005A42B7"/>
    <w:rsid w:val="005A43CA"/>
    <w:rsid w:val="005A4428"/>
    <w:rsid w:val="005A4466"/>
    <w:rsid w:val="005A447A"/>
    <w:rsid w:val="005A44BF"/>
    <w:rsid w:val="005A4517"/>
    <w:rsid w:val="005A45D9"/>
    <w:rsid w:val="005A45DB"/>
    <w:rsid w:val="005A462D"/>
    <w:rsid w:val="005A4678"/>
    <w:rsid w:val="005A468A"/>
    <w:rsid w:val="005A4714"/>
    <w:rsid w:val="005A47C4"/>
    <w:rsid w:val="005A486D"/>
    <w:rsid w:val="005A48AC"/>
    <w:rsid w:val="005A48C5"/>
    <w:rsid w:val="005A48D5"/>
    <w:rsid w:val="005A4965"/>
    <w:rsid w:val="005A4996"/>
    <w:rsid w:val="005A49F0"/>
    <w:rsid w:val="005A49F5"/>
    <w:rsid w:val="005A49F8"/>
    <w:rsid w:val="005A4A04"/>
    <w:rsid w:val="005A4A97"/>
    <w:rsid w:val="005A4AA9"/>
    <w:rsid w:val="005A4B12"/>
    <w:rsid w:val="005A4B24"/>
    <w:rsid w:val="005A4BA0"/>
    <w:rsid w:val="005A4BC0"/>
    <w:rsid w:val="005A4C24"/>
    <w:rsid w:val="005A4C41"/>
    <w:rsid w:val="005A4C7C"/>
    <w:rsid w:val="005A4CC6"/>
    <w:rsid w:val="005A4D8F"/>
    <w:rsid w:val="005A4E3C"/>
    <w:rsid w:val="005A4ED7"/>
    <w:rsid w:val="005A4F1A"/>
    <w:rsid w:val="005A4F1C"/>
    <w:rsid w:val="005A5026"/>
    <w:rsid w:val="005A509E"/>
    <w:rsid w:val="005A50D9"/>
    <w:rsid w:val="005A511F"/>
    <w:rsid w:val="005A5123"/>
    <w:rsid w:val="005A53B4"/>
    <w:rsid w:val="005A53F6"/>
    <w:rsid w:val="005A5455"/>
    <w:rsid w:val="005A5461"/>
    <w:rsid w:val="005A54B6"/>
    <w:rsid w:val="005A54EF"/>
    <w:rsid w:val="005A553D"/>
    <w:rsid w:val="005A5569"/>
    <w:rsid w:val="005A55A6"/>
    <w:rsid w:val="005A55A8"/>
    <w:rsid w:val="005A55E6"/>
    <w:rsid w:val="005A5607"/>
    <w:rsid w:val="005A561D"/>
    <w:rsid w:val="005A5689"/>
    <w:rsid w:val="005A56CF"/>
    <w:rsid w:val="005A56D1"/>
    <w:rsid w:val="005A57E6"/>
    <w:rsid w:val="005A57EA"/>
    <w:rsid w:val="005A57EC"/>
    <w:rsid w:val="005A57F6"/>
    <w:rsid w:val="005A580D"/>
    <w:rsid w:val="005A582B"/>
    <w:rsid w:val="005A5870"/>
    <w:rsid w:val="005A58F8"/>
    <w:rsid w:val="005A5A4C"/>
    <w:rsid w:val="005A5AE4"/>
    <w:rsid w:val="005A5AF2"/>
    <w:rsid w:val="005A5BD5"/>
    <w:rsid w:val="005A5BFB"/>
    <w:rsid w:val="005A5C2B"/>
    <w:rsid w:val="005A5CB0"/>
    <w:rsid w:val="005A5D04"/>
    <w:rsid w:val="005A5D37"/>
    <w:rsid w:val="005A5DFA"/>
    <w:rsid w:val="005A5E6C"/>
    <w:rsid w:val="005A5F19"/>
    <w:rsid w:val="005A5F73"/>
    <w:rsid w:val="005A61EC"/>
    <w:rsid w:val="005A6206"/>
    <w:rsid w:val="005A62D2"/>
    <w:rsid w:val="005A62F2"/>
    <w:rsid w:val="005A62F6"/>
    <w:rsid w:val="005A646A"/>
    <w:rsid w:val="005A650B"/>
    <w:rsid w:val="005A65DD"/>
    <w:rsid w:val="005A6602"/>
    <w:rsid w:val="005A6661"/>
    <w:rsid w:val="005A66AB"/>
    <w:rsid w:val="005A66F3"/>
    <w:rsid w:val="005A67B7"/>
    <w:rsid w:val="005A67C8"/>
    <w:rsid w:val="005A67E6"/>
    <w:rsid w:val="005A6824"/>
    <w:rsid w:val="005A6833"/>
    <w:rsid w:val="005A68A0"/>
    <w:rsid w:val="005A68A6"/>
    <w:rsid w:val="005A68CB"/>
    <w:rsid w:val="005A690A"/>
    <w:rsid w:val="005A6986"/>
    <w:rsid w:val="005A6A01"/>
    <w:rsid w:val="005A6A38"/>
    <w:rsid w:val="005A6A7C"/>
    <w:rsid w:val="005A6ACE"/>
    <w:rsid w:val="005A6BB0"/>
    <w:rsid w:val="005A6C00"/>
    <w:rsid w:val="005A6C32"/>
    <w:rsid w:val="005A6CA4"/>
    <w:rsid w:val="005A6CCE"/>
    <w:rsid w:val="005A6CED"/>
    <w:rsid w:val="005A6E55"/>
    <w:rsid w:val="005A6F36"/>
    <w:rsid w:val="005A6F9A"/>
    <w:rsid w:val="005A6FFF"/>
    <w:rsid w:val="005A7039"/>
    <w:rsid w:val="005A704E"/>
    <w:rsid w:val="005A71B8"/>
    <w:rsid w:val="005A71DE"/>
    <w:rsid w:val="005A724F"/>
    <w:rsid w:val="005A7305"/>
    <w:rsid w:val="005A7321"/>
    <w:rsid w:val="005A7331"/>
    <w:rsid w:val="005A7343"/>
    <w:rsid w:val="005A7541"/>
    <w:rsid w:val="005A7653"/>
    <w:rsid w:val="005A76AB"/>
    <w:rsid w:val="005A76D6"/>
    <w:rsid w:val="005A76F5"/>
    <w:rsid w:val="005A77A6"/>
    <w:rsid w:val="005A77BF"/>
    <w:rsid w:val="005A7868"/>
    <w:rsid w:val="005A7885"/>
    <w:rsid w:val="005A78D7"/>
    <w:rsid w:val="005A78F9"/>
    <w:rsid w:val="005A79CA"/>
    <w:rsid w:val="005A7A2A"/>
    <w:rsid w:val="005A7B15"/>
    <w:rsid w:val="005A7B1D"/>
    <w:rsid w:val="005A7BAF"/>
    <w:rsid w:val="005A7BFB"/>
    <w:rsid w:val="005A7C37"/>
    <w:rsid w:val="005A7CD1"/>
    <w:rsid w:val="005A7D20"/>
    <w:rsid w:val="005A7D4B"/>
    <w:rsid w:val="005A7E76"/>
    <w:rsid w:val="005A7E78"/>
    <w:rsid w:val="005A7E93"/>
    <w:rsid w:val="005A7F3C"/>
    <w:rsid w:val="005A7F5D"/>
    <w:rsid w:val="005A7F91"/>
    <w:rsid w:val="005A7FB2"/>
    <w:rsid w:val="005A7FD0"/>
    <w:rsid w:val="005B00D8"/>
    <w:rsid w:val="005B013D"/>
    <w:rsid w:val="005B0278"/>
    <w:rsid w:val="005B02E1"/>
    <w:rsid w:val="005B0356"/>
    <w:rsid w:val="005B03ED"/>
    <w:rsid w:val="005B051A"/>
    <w:rsid w:val="005B0524"/>
    <w:rsid w:val="005B0535"/>
    <w:rsid w:val="005B0544"/>
    <w:rsid w:val="005B05BD"/>
    <w:rsid w:val="005B0679"/>
    <w:rsid w:val="005B070F"/>
    <w:rsid w:val="005B079E"/>
    <w:rsid w:val="005B07C0"/>
    <w:rsid w:val="005B0830"/>
    <w:rsid w:val="005B0943"/>
    <w:rsid w:val="005B0953"/>
    <w:rsid w:val="005B0982"/>
    <w:rsid w:val="005B09DD"/>
    <w:rsid w:val="005B0AAD"/>
    <w:rsid w:val="005B0B78"/>
    <w:rsid w:val="005B0CB0"/>
    <w:rsid w:val="005B0CCB"/>
    <w:rsid w:val="005B0D87"/>
    <w:rsid w:val="005B0E98"/>
    <w:rsid w:val="005B0EAD"/>
    <w:rsid w:val="005B0F05"/>
    <w:rsid w:val="005B0FEA"/>
    <w:rsid w:val="005B1005"/>
    <w:rsid w:val="005B102F"/>
    <w:rsid w:val="005B108A"/>
    <w:rsid w:val="005B108F"/>
    <w:rsid w:val="005B111F"/>
    <w:rsid w:val="005B113D"/>
    <w:rsid w:val="005B113F"/>
    <w:rsid w:val="005B1172"/>
    <w:rsid w:val="005B1203"/>
    <w:rsid w:val="005B1206"/>
    <w:rsid w:val="005B1249"/>
    <w:rsid w:val="005B1259"/>
    <w:rsid w:val="005B136B"/>
    <w:rsid w:val="005B13AE"/>
    <w:rsid w:val="005B142F"/>
    <w:rsid w:val="005B1462"/>
    <w:rsid w:val="005B1498"/>
    <w:rsid w:val="005B14C3"/>
    <w:rsid w:val="005B14D7"/>
    <w:rsid w:val="005B1508"/>
    <w:rsid w:val="005B15C7"/>
    <w:rsid w:val="005B171F"/>
    <w:rsid w:val="005B1743"/>
    <w:rsid w:val="005B1776"/>
    <w:rsid w:val="005B183C"/>
    <w:rsid w:val="005B19FE"/>
    <w:rsid w:val="005B1A57"/>
    <w:rsid w:val="005B1A7F"/>
    <w:rsid w:val="005B1B1A"/>
    <w:rsid w:val="005B1B49"/>
    <w:rsid w:val="005B1BA3"/>
    <w:rsid w:val="005B1C46"/>
    <w:rsid w:val="005B1D56"/>
    <w:rsid w:val="005B1D72"/>
    <w:rsid w:val="005B1DA1"/>
    <w:rsid w:val="005B1DDD"/>
    <w:rsid w:val="005B1E1A"/>
    <w:rsid w:val="005B1EDF"/>
    <w:rsid w:val="005B1EE9"/>
    <w:rsid w:val="005B1EF0"/>
    <w:rsid w:val="005B1EFE"/>
    <w:rsid w:val="005B1F1E"/>
    <w:rsid w:val="005B1F66"/>
    <w:rsid w:val="005B1F8F"/>
    <w:rsid w:val="005B2022"/>
    <w:rsid w:val="005B20C2"/>
    <w:rsid w:val="005B2111"/>
    <w:rsid w:val="005B2139"/>
    <w:rsid w:val="005B21BB"/>
    <w:rsid w:val="005B2213"/>
    <w:rsid w:val="005B2233"/>
    <w:rsid w:val="005B22E5"/>
    <w:rsid w:val="005B230D"/>
    <w:rsid w:val="005B235E"/>
    <w:rsid w:val="005B2375"/>
    <w:rsid w:val="005B23A9"/>
    <w:rsid w:val="005B246E"/>
    <w:rsid w:val="005B249F"/>
    <w:rsid w:val="005B2566"/>
    <w:rsid w:val="005B26CF"/>
    <w:rsid w:val="005B26DE"/>
    <w:rsid w:val="005B26EC"/>
    <w:rsid w:val="005B286A"/>
    <w:rsid w:val="005B2870"/>
    <w:rsid w:val="005B2892"/>
    <w:rsid w:val="005B2925"/>
    <w:rsid w:val="005B2946"/>
    <w:rsid w:val="005B2968"/>
    <w:rsid w:val="005B29C4"/>
    <w:rsid w:val="005B29D0"/>
    <w:rsid w:val="005B29FA"/>
    <w:rsid w:val="005B2A45"/>
    <w:rsid w:val="005B2A4F"/>
    <w:rsid w:val="005B2B23"/>
    <w:rsid w:val="005B2B6D"/>
    <w:rsid w:val="005B2C0A"/>
    <w:rsid w:val="005B2C5D"/>
    <w:rsid w:val="005B2C9E"/>
    <w:rsid w:val="005B2CC1"/>
    <w:rsid w:val="005B2CC8"/>
    <w:rsid w:val="005B2D18"/>
    <w:rsid w:val="005B2D94"/>
    <w:rsid w:val="005B2DA2"/>
    <w:rsid w:val="005B2DF7"/>
    <w:rsid w:val="005B2E0D"/>
    <w:rsid w:val="005B2E25"/>
    <w:rsid w:val="005B2FB4"/>
    <w:rsid w:val="005B2FCC"/>
    <w:rsid w:val="005B2FDB"/>
    <w:rsid w:val="005B30A3"/>
    <w:rsid w:val="005B3198"/>
    <w:rsid w:val="005B31BB"/>
    <w:rsid w:val="005B3253"/>
    <w:rsid w:val="005B326E"/>
    <w:rsid w:val="005B3285"/>
    <w:rsid w:val="005B32FB"/>
    <w:rsid w:val="005B3339"/>
    <w:rsid w:val="005B3388"/>
    <w:rsid w:val="005B33DB"/>
    <w:rsid w:val="005B33E8"/>
    <w:rsid w:val="005B3427"/>
    <w:rsid w:val="005B3439"/>
    <w:rsid w:val="005B34A0"/>
    <w:rsid w:val="005B354B"/>
    <w:rsid w:val="005B355F"/>
    <w:rsid w:val="005B3588"/>
    <w:rsid w:val="005B358E"/>
    <w:rsid w:val="005B35CE"/>
    <w:rsid w:val="005B3646"/>
    <w:rsid w:val="005B3752"/>
    <w:rsid w:val="005B3775"/>
    <w:rsid w:val="005B37DC"/>
    <w:rsid w:val="005B3885"/>
    <w:rsid w:val="005B3926"/>
    <w:rsid w:val="005B3A3E"/>
    <w:rsid w:val="005B3A50"/>
    <w:rsid w:val="005B3A86"/>
    <w:rsid w:val="005B3B00"/>
    <w:rsid w:val="005B3B28"/>
    <w:rsid w:val="005B3B43"/>
    <w:rsid w:val="005B3B8F"/>
    <w:rsid w:val="005B3BF8"/>
    <w:rsid w:val="005B3BFC"/>
    <w:rsid w:val="005B3C36"/>
    <w:rsid w:val="005B3C5A"/>
    <w:rsid w:val="005B3CA3"/>
    <w:rsid w:val="005B3CF4"/>
    <w:rsid w:val="005B3E4D"/>
    <w:rsid w:val="005B3EAC"/>
    <w:rsid w:val="005B3F76"/>
    <w:rsid w:val="005B3FBB"/>
    <w:rsid w:val="005B3FED"/>
    <w:rsid w:val="005B407A"/>
    <w:rsid w:val="005B407C"/>
    <w:rsid w:val="005B40E6"/>
    <w:rsid w:val="005B40F6"/>
    <w:rsid w:val="005B412A"/>
    <w:rsid w:val="005B41B1"/>
    <w:rsid w:val="005B42A6"/>
    <w:rsid w:val="005B42C1"/>
    <w:rsid w:val="005B42D5"/>
    <w:rsid w:val="005B434A"/>
    <w:rsid w:val="005B4358"/>
    <w:rsid w:val="005B4368"/>
    <w:rsid w:val="005B4416"/>
    <w:rsid w:val="005B44B9"/>
    <w:rsid w:val="005B4553"/>
    <w:rsid w:val="005B4599"/>
    <w:rsid w:val="005B459A"/>
    <w:rsid w:val="005B45A9"/>
    <w:rsid w:val="005B464B"/>
    <w:rsid w:val="005B46E0"/>
    <w:rsid w:val="005B478C"/>
    <w:rsid w:val="005B4793"/>
    <w:rsid w:val="005B47AC"/>
    <w:rsid w:val="005B4858"/>
    <w:rsid w:val="005B49D8"/>
    <w:rsid w:val="005B4B58"/>
    <w:rsid w:val="005B4C3F"/>
    <w:rsid w:val="005B4D4C"/>
    <w:rsid w:val="005B4D94"/>
    <w:rsid w:val="005B4E24"/>
    <w:rsid w:val="005B4E88"/>
    <w:rsid w:val="005B4E95"/>
    <w:rsid w:val="005B4EB5"/>
    <w:rsid w:val="005B4F33"/>
    <w:rsid w:val="005B4F6F"/>
    <w:rsid w:val="005B4F77"/>
    <w:rsid w:val="005B4F8A"/>
    <w:rsid w:val="005B5008"/>
    <w:rsid w:val="005B5021"/>
    <w:rsid w:val="005B5022"/>
    <w:rsid w:val="005B5040"/>
    <w:rsid w:val="005B50F0"/>
    <w:rsid w:val="005B510B"/>
    <w:rsid w:val="005B5117"/>
    <w:rsid w:val="005B511F"/>
    <w:rsid w:val="005B514F"/>
    <w:rsid w:val="005B51DA"/>
    <w:rsid w:val="005B51E7"/>
    <w:rsid w:val="005B520B"/>
    <w:rsid w:val="005B5245"/>
    <w:rsid w:val="005B52FA"/>
    <w:rsid w:val="005B5318"/>
    <w:rsid w:val="005B5324"/>
    <w:rsid w:val="005B5340"/>
    <w:rsid w:val="005B5359"/>
    <w:rsid w:val="005B5367"/>
    <w:rsid w:val="005B537D"/>
    <w:rsid w:val="005B5435"/>
    <w:rsid w:val="005B54AA"/>
    <w:rsid w:val="005B54AF"/>
    <w:rsid w:val="005B54C3"/>
    <w:rsid w:val="005B551B"/>
    <w:rsid w:val="005B5580"/>
    <w:rsid w:val="005B55D8"/>
    <w:rsid w:val="005B57CA"/>
    <w:rsid w:val="005B57DB"/>
    <w:rsid w:val="005B5844"/>
    <w:rsid w:val="005B5854"/>
    <w:rsid w:val="005B58F4"/>
    <w:rsid w:val="005B591B"/>
    <w:rsid w:val="005B59B0"/>
    <w:rsid w:val="005B59D7"/>
    <w:rsid w:val="005B5A27"/>
    <w:rsid w:val="005B5A70"/>
    <w:rsid w:val="005B5A9D"/>
    <w:rsid w:val="005B5AB7"/>
    <w:rsid w:val="005B5B27"/>
    <w:rsid w:val="005B5B32"/>
    <w:rsid w:val="005B5BDB"/>
    <w:rsid w:val="005B5C86"/>
    <w:rsid w:val="005B5C93"/>
    <w:rsid w:val="005B5CE3"/>
    <w:rsid w:val="005B5D33"/>
    <w:rsid w:val="005B5D72"/>
    <w:rsid w:val="005B5D8D"/>
    <w:rsid w:val="005B5D91"/>
    <w:rsid w:val="005B5DEB"/>
    <w:rsid w:val="005B5E42"/>
    <w:rsid w:val="005B5E89"/>
    <w:rsid w:val="005B5E96"/>
    <w:rsid w:val="005B5EA2"/>
    <w:rsid w:val="005B5ECA"/>
    <w:rsid w:val="005B5EF8"/>
    <w:rsid w:val="005B5FF3"/>
    <w:rsid w:val="005B6069"/>
    <w:rsid w:val="005B61AF"/>
    <w:rsid w:val="005B622B"/>
    <w:rsid w:val="005B628F"/>
    <w:rsid w:val="005B62AD"/>
    <w:rsid w:val="005B6369"/>
    <w:rsid w:val="005B63ED"/>
    <w:rsid w:val="005B64A2"/>
    <w:rsid w:val="005B6512"/>
    <w:rsid w:val="005B652B"/>
    <w:rsid w:val="005B65CE"/>
    <w:rsid w:val="005B662C"/>
    <w:rsid w:val="005B6633"/>
    <w:rsid w:val="005B6641"/>
    <w:rsid w:val="005B6695"/>
    <w:rsid w:val="005B66BA"/>
    <w:rsid w:val="005B6831"/>
    <w:rsid w:val="005B683D"/>
    <w:rsid w:val="005B6854"/>
    <w:rsid w:val="005B687D"/>
    <w:rsid w:val="005B6949"/>
    <w:rsid w:val="005B69E4"/>
    <w:rsid w:val="005B69E9"/>
    <w:rsid w:val="005B6A8B"/>
    <w:rsid w:val="005B6B25"/>
    <w:rsid w:val="005B6C10"/>
    <w:rsid w:val="005B6C1B"/>
    <w:rsid w:val="005B6C76"/>
    <w:rsid w:val="005B6D0F"/>
    <w:rsid w:val="005B6D20"/>
    <w:rsid w:val="005B6DF2"/>
    <w:rsid w:val="005B6DF7"/>
    <w:rsid w:val="005B6E3B"/>
    <w:rsid w:val="005B6ECB"/>
    <w:rsid w:val="005B6ED8"/>
    <w:rsid w:val="005B6EE8"/>
    <w:rsid w:val="005B7051"/>
    <w:rsid w:val="005B70AB"/>
    <w:rsid w:val="005B70C4"/>
    <w:rsid w:val="005B718B"/>
    <w:rsid w:val="005B7194"/>
    <w:rsid w:val="005B719A"/>
    <w:rsid w:val="005B719C"/>
    <w:rsid w:val="005B71A1"/>
    <w:rsid w:val="005B7224"/>
    <w:rsid w:val="005B7270"/>
    <w:rsid w:val="005B72C9"/>
    <w:rsid w:val="005B72F2"/>
    <w:rsid w:val="005B73D9"/>
    <w:rsid w:val="005B745B"/>
    <w:rsid w:val="005B7468"/>
    <w:rsid w:val="005B7469"/>
    <w:rsid w:val="005B74B5"/>
    <w:rsid w:val="005B74F4"/>
    <w:rsid w:val="005B7526"/>
    <w:rsid w:val="005B759F"/>
    <w:rsid w:val="005B7628"/>
    <w:rsid w:val="005B772C"/>
    <w:rsid w:val="005B77BC"/>
    <w:rsid w:val="005B77BF"/>
    <w:rsid w:val="005B7827"/>
    <w:rsid w:val="005B782D"/>
    <w:rsid w:val="005B7860"/>
    <w:rsid w:val="005B78D7"/>
    <w:rsid w:val="005B7922"/>
    <w:rsid w:val="005B799C"/>
    <w:rsid w:val="005B79D7"/>
    <w:rsid w:val="005B7AE4"/>
    <w:rsid w:val="005B7AEA"/>
    <w:rsid w:val="005B7AF4"/>
    <w:rsid w:val="005B7AF8"/>
    <w:rsid w:val="005B7B57"/>
    <w:rsid w:val="005B7C8A"/>
    <w:rsid w:val="005B7CA2"/>
    <w:rsid w:val="005B7D83"/>
    <w:rsid w:val="005B7DAD"/>
    <w:rsid w:val="005B7DC9"/>
    <w:rsid w:val="005B7E01"/>
    <w:rsid w:val="005B7E64"/>
    <w:rsid w:val="005B7E73"/>
    <w:rsid w:val="005B7EC9"/>
    <w:rsid w:val="005B7FE4"/>
    <w:rsid w:val="005C000E"/>
    <w:rsid w:val="005C004C"/>
    <w:rsid w:val="005C008D"/>
    <w:rsid w:val="005C01B6"/>
    <w:rsid w:val="005C025F"/>
    <w:rsid w:val="005C02EC"/>
    <w:rsid w:val="005C02F0"/>
    <w:rsid w:val="005C032D"/>
    <w:rsid w:val="005C03D5"/>
    <w:rsid w:val="005C0450"/>
    <w:rsid w:val="005C04CC"/>
    <w:rsid w:val="005C04EF"/>
    <w:rsid w:val="005C0557"/>
    <w:rsid w:val="005C05C3"/>
    <w:rsid w:val="005C05E0"/>
    <w:rsid w:val="005C0652"/>
    <w:rsid w:val="005C0658"/>
    <w:rsid w:val="005C06C5"/>
    <w:rsid w:val="005C0782"/>
    <w:rsid w:val="005C083D"/>
    <w:rsid w:val="005C0881"/>
    <w:rsid w:val="005C08E4"/>
    <w:rsid w:val="005C08FA"/>
    <w:rsid w:val="005C0926"/>
    <w:rsid w:val="005C0937"/>
    <w:rsid w:val="005C0A63"/>
    <w:rsid w:val="005C0A9A"/>
    <w:rsid w:val="005C0AF9"/>
    <w:rsid w:val="005C0B3B"/>
    <w:rsid w:val="005C0C04"/>
    <w:rsid w:val="005C0D4E"/>
    <w:rsid w:val="005C0D51"/>
    <w:rsid w:val="005C0DB6"/>
    <w:rsid w:val="005C0EB6"/>
    <w:rsid w:val="005C0F7F"/>
    <w:rsid w:val="005C0FDD"/>
    <w:rsid w:val="005C10E4"/>
    <w:rsid w:val="005C1115"/>
    <w:rsid w:val="005C112C"/>
    <w:rsid w:val="005C1148"/>
    <w:rsid w:val="005C115B"/>
    <w:rsid w:val="005C116F"/>
    <w:rsid w:val="005C11B0"/>
    <w:rsid w:val="005C11C3"/>
    <w:rsid w:val="005C11EA"/>
    <w:rsid w:val="005C1225"/>
    <w:rsid w:val="005C12BF"/>
    <w:rsid w:val="005C13E6"/>
    <w:rsid w:val="005C1450"/>
    <w:rsid w:val="005C1638"/>
    <w:rsid w:val="005C1676"/>
    <w:rsid w:val="005C16D9"/>
    <w:rsid w:val="005C16F3"/>
    <w:rsid w:val="005C170E"/>
    <w:rsid w:val="005C1721"/>
    <w:rsid w:val="005C1750"/>
    <w:rsid w:val="005C175F"/>
    <w:rsid w:val="005C17AE"/>
    <w:rsid w:val="005C17CA"/>
    <w:rsid w:val="005C1854"/>
    <w:rsid w:val="005C185D"/>
    <w:rsid w:val="005C18F2"/>
    <w:rsid w:val="005C1912"/>
    <w:rsid w:val="005C1A4E"/>
    <w:rsid w:val="005C1B84"/>
    <w:rsid w:val="005C1BE1"/>
    <w:rsid w:val="005C1BF7"/>
    <w:rsid w:val="005C1C8D"/>
    <w:rsid w:val="005C1D91"/>
    <w:rsid w:val="005C1DC9"/>
    <w:rsid w:val="005C1DE7"/>
    <w:rsid w:val="005C1DF5"/>
    <w:rsid w:val="005C1DF7"/>
    <w:rsid w:val="005C1E51"/>
    <w:rsid w:val="005C1F05"/>
    <w:rsid w:val="005C1F37"/>
    <w:rsid w:val="005C1FBA"/>
    <w:rsid w:val="005C1FE1"/>
    <w:rsid w:val="005C2014"/>
    <w:rsid w:val="005C2017"/>
    <w:rsid w:val="005C202C"/>
    <w:rsid w:val="005C208B"/>
    <w:rsid w:val="005C2093"/>
    <w:rsid w:val="005C212C"/>
    <w:rsid w:val="005C21D5"/>
    <w:rsid w:val="005C2258"/>
    <w:rsid w:val="005C2276"/>
    <w:rsid w:val="005C229C"/>
    <w:rsid w:val="005C22A1"/>
    <w:rsid w:val="005C2366"/>
    <w:rsid w:val="005C23C2"/>
    <w:rsid w:val="005C23F9"/>
    <w:rsid w:val="005C2451"/>
    <w:rsid w:val="005C2458"/>
    <w:rsid w:val="005C2471"/>
    <w:rsid w:val="005C2490"/>
    <w:rsid w:val="005C251F"/>
    <w:rsid w:val="005C2594"/>
    <w:rsid w:val="005C25D4"/>
    <w:rsid w:val="005C25DE"/>
    <w:rsid w:val="005C2690"/>
    <w:rsid w:val="005C26AD"/>
    <w:rsid w:val="005C280F"/>
    <w:rsid w:val="005C2830"/>
    <w:rsid w:val="005C2895"/>
    <w:rsid w:val="005C28AE"/>
    <w:rsid w:val="005C2902"/>
    <w:rsid w:val="005C2907"/>
    <w:rsid w:val="005C2949"/>
    <w:rsid w:val="005C29A2"/>
    <w:rsid w:val="005C2A06"/>
    <w:rsid w:val="005C2A40"/>
    <w:rsid w:val="005C2A69"/>
    <w:rsid w:val="005C2A9E"/>
    <w:rsid w:val="005C2ACA"/>
    <w:rsid w:val="005C2AE0"/>
    <w:rsid w:val="005C2D55"/>
    <w:rsid w:val="005C2DEC"/>
    <w:rsid w:val="005C2E21"/>
    <w:rsid w:val="005C2E41"/>
    <w:rsid w:val="005C2E75"/>
    <w:rsid w:val="005C2E76"/>
    <w:rsid w:val="005C2EA3"/>
    <w:rsid w:val="005C2F02"/>
    <w:rsid w:val="005C2F5E"/>
    <w:rsid w:val="005C2F8C"/>
    <w:rsid w:val="005C2FBF"/>
    <w:rsid w:val="005C2FED"/>
    <w:rsid w:val="005C30A2"/>
    <w:rsid w:val="005C316A"/>
    <w:rsid w:val="005C3344"/>
    <w:rsid w:val="005C3380"/>
    <w:rsid w:val="005C34D3"/>
    <w:rsid w:val="005C3517"/>
    <w:rsid w:val="005C35AA"/>
    <w:rsid w:val="005C35F5"/>
    <w:rsid w:val="005C361E"/>
    <w:rsid w:val="005C36A2"/>
    <w:rsid w:val="005C37E0"/>
    <w:rsid w:val="005C381F"/>
    <w:rsid w:val="005C384D"/>
    <w:rsid w:val="005C3911"/>
    <w:rsid w:val="005C3946"/>
    <w:rsid w:val="005C39F9"/>
    <w:rsid w:val="005C3A53"/>
    <w:rsid w:val="005C3A98"/>
    <w:rsid w:val="005C3ACC"/>
    <w:rsid w:val="005C3B38"/>
    <w:rsid w:val="005C3B76"/>
    <w:rsid w:val="005C3B92"/>
    <w:rsid w:val="005C3BAD"/>
    <w:rsid w:val="005C3BF0"/>
    <w:rsid w:val="005C3C59"/>
    <w:rsid w:val="005C3CB5"/>
    <w:rsid w:val="005C3CEA"/>
    <w:rsid w:val="005C3D95"/>
    <w:rsid w:val="005C3DCA"/>
    <w:rsid w:val="005C3E47"/>
    <w:rsid w:val="005C3E5B"/>
    <w:rsid w:val="005C3E81"/>
    <w:rsid w:val="005C3E95"/>
    <w:rsid w:val="005C3EA6"/>
    <w:rsid w:val="005C3F0B"/>
    <w:rsid w:val="005C3FC8"/>
    <w:rsid w:val="005C3FDB"/>
    <w:rsid w:val="005C3FF8"/>
    <w:rsid w:val="005C4013"/>
    <w:rsid w:val="005C40C8"/>
    <w:rsid w:val="005C417A"/>
    <w:rsid w:val="005C42AE"/>
    <w:rsid w:val="005C42E5"/>
    <w:rsid w:val="005C4352"/>
    <w:rsid w:val="005C436F"/>
    <w:rsid w:val="005C43E0"/>
    <w:rsid w:val="005C4481"/>
    <w:rsid w:val="005C44D8"/>
    <w:rsid w:val="005C4553"/>
    <w:rsid w:val="005C45BB"/>
    <w:rsid w:val="005C45E8"/>
    <w:rsid w:val="005C465B"/>
    <w:rsid w:val="005C4673"/>
    <w:rsid w:val="005C4689"/>
    <w:rsid w:val="005C46D8"/>
    <w:rsid w:val="005C46E4"/>
    <w:rsid w:val="005C46E6"/>
    <w:rsid w:val="005C4744"/>
    <w:rsid w:val="005C4763"/>
    <w:rsid w:val="005C4769"/>
    <w:rsid w:val="005C4866"/>
    <w:rsid w:val="005C4899"/>
    <w:rsid w:val="005C489E"/>
    <w:rsid w:val="005C48B6"/>
    <w:rsid w:val="005C48EF"/>
    <w:rsid w:val="005C49F4"/>
    <w:rsid w:val="005C4A6E"/>
    <w:rsid w:val="005C4B06"/>
    <w:rsid w:val="005C4B54"/>
    <w:rsid w:val="005C4B71"/>
    <w:rsid w:val="005C4BB4"/>
    <w:rsid w:val="005C4CBB"/>
    <w:rsid w:val="005C4D6F"/>
    <w:rsid w:val="005C4D87"/>
    <w:rsid w:val="005C4E10"/>
    <w:rsid w:val="005C4E79"/>
    <w:rsid w:val="005C4ED6"/>
    <w:rsid w:val="005C4EDA"/>
    <w:rsid w:val="005C4F07"/>
    <w:rsid w:val="005C4F90"/>
    <w:rsid w:val="005C4F9A"/>
    <w:rsid w:val="005C4FB9"/>
    <w:rsid w:val="005C4FC6"/>
    <w:rsid w:val="005C4FE3"/>
    <w:rsid w:val="005C500C"/>
    <w:rsid w:val="005C5055"/>
    <w:rsid w:val="005C505F"/>
    <w:rsid w:val="005C5079"/>
    <w:rsid w:val="005C5086"/>
    <w:rsid w:val="005C512D"/>
    <w:rsid w:val="005C52AF"/>
    <w:rsid w:val="005C5301"/>
    <w:rsid w:val="005C532E"/>
    <w:rsid w:val="005C5358"/>
    <w:rsid w:val="005C5392"/>
    <w:rsid w:val="005C5437"/>
    <w:rsid w:val="005C54B9"/>
    <w:rsid w:val="005C54E4"/>
    <w:rsid w:val="005C5562"/>
    <w:rsid w:val="005C5570"/>
    <w:rsid w:val="005C55CF"/>
    <w:rsid w:val="005C5620"/>
    <w:rsid w:val="005C568F"/>
    <w:rsid w:val="005C56AD"/>
    <w:rsid w:val="005C5725"/>
    <w:rsid w:val="005C57E4"/>
    <w:rsid w:val="005C585A"/>
    <w:rsid w:val="005C586F"/>
    <w:rsid w:val="005C591A"/>
    <w:rsid w:val="005C5947"/>
    <w:rsid w:val="005C5984"/>
    <w:rsid w:val="005C59A9"/>
    <w:rsid w:val="005C5A1C"/>
    <w:rsid w:val="005C5B75"/>
    <w:rsid w:val="005C5BD3"/>
    <w:rsid w:val="005C5C31"/>
    <w:rsid w:val="005C5D76"/>
    <w:rsid w:val="005C5D92"/>
    <w:rsid w:val="005C5E24"/>
    <w:rsid w:val="005C5E8C"/>
    <w:rsid w:val="005C5EAB"/>
    <w:rsid w:val="005C5EFA"/>
    <w:rsid w:val="005C5F0A"/>
    <w:rsid w:val="005C5F1E"/>
    <w:rsid w:val="005C5F31"/>
    <w:rsid w:val="005C5FA2"/>
    <w:rsid w:val="005C6004"/>
    <w:rsid w:val="005C613E"/>
    <w:rsid w:val="005C6141"/>
    <w:rsid w:val="005C61CD"/>
    <w:rsid w:val="005C6216"/>
    <w:rsid w:val="005C62CA"/>
    <w:rsid w:val="005C63B3"/>
    <w:rsid w:val="005C63E1"/>
    <w:rsid w:val="005C63E8"/>
    <w:rsid w:val="005C6448"/>
    <w:rsid w:val="005C6457"/>
    <w:rsid w:val="005C6481"/>
    <w:rsid w:val="005C654D"/>
    <w:rsid w:val="005C6558"/>
    <w:rsid w:val="005C65D2"/>
    <w:rsid w:val="005C65DD"/>
    <w:rsid w:val="005C6618"/>
    <w:rsid w:val="005C6628"/>
    <w:rsid w:val="005C66E8"/>
    <w:rsid w:val="005C6710"/>
    <w:rsid w:val="005C677E"/>
    <w:rsid w:val="005C6786"/>
    <w:rsid w:val="005C679E"/>
    <w:rsid w:val="005C67D5"/>
    <w:rsid w:val="005C67DC"/>
    <w:rsid w:val="005C6893"/>
    <w:rsid w:val="005C68F2"/>
    <w:rsid w:val="005C6916"/>
    <w:rsid w:val="005C692F"/>
    <w:rsid w:val="005C6975"/>
    <w:rsid w:val="005C699A"/>
    <w:rsid w:val="005C6A32"/>
    <w:rsid w:val="005C6BAE"/>
    <w:rsid w:val="005C6BE0"/>
    <w:rsid w:val="005C6BE8"/>
    <w:rsid w:val="005C6BF9"/>
    <w:rsid w:val="005C6C20"/>
    <w:rsid w:val="005C6D70"/>
    <w:rsid w:val="005C6E41"/>
    <w:rsid w:val="005C6E53"/>
    <w:rsid w:val="005C6E61"/>
    <w:rsid w:val="005C6E86"/>
    <w:rsid w:val="005C6EB5"/>
    <w:rsid w:val="005C6F0C"/>
    <w:rsid w:val="005C6F9D"/>
    <w:rsid w:val="005C6FD7"/>
    <w:rsid w:val="005C6FDA"/>
    <w:rsid w:val="005C7020"/>
    <w:rsid w:val="005C7049"/>
    <w:rsid w:val="005C709E"/>
    <w:rsid w:val="005C709F"/>
    <w:rsid w:val="005C70BE"/>
    <w:rsid w:val="005C70E0"/>
    <w:rsid w:val="005C70E9"/>
    <w:rsid w:val="005C7143"/>
    <w:rsid w:val="005C71B2"/>
    <w:rsid w:val="005C71EB"/>
    <w:rsid w:val="005C727A"/>
    <w:rsid w:val="005C7344"/>
    <w:rsid w:val="005C734A"/>
    <w:rsid w:val="005C736C"/>
    <w:rsid w:val="005C74DF"/>
    <w:rsid w:val="005C753E"/>
    <w:rsid w:val="005C7589"/>
    <w:rsid w:val="005C75A1"/>
    <w:rsid w:val="005C7636"/>
    <w:rsid w:val="005C7680"/>
    <w:rsid w:val="005C76A3"/>
    <w:rsid w:val="005C76AB"/>
    <w:rsid w:val="005C771A"/>
    <w:rsid w:val="005C773D"/>
    <w:rsid w:val="005C7745"/>
    <w:rsid w:val="005C7748"/>
    <w:rsid w:val="005C77AC"/>
    <w:rsid w:val="005C78D8"/>
    <w:rsid w:val="005C7973"/>
    <w:rsid w:val="005C7983"/>
    <w:rsid w:val="005C7AF6"/>
    <w:rsid w:val="005C7B4F"/>
    <w:rsid w:val="005C7B62"/>
    <w:rsid w:val="005C7B76"/>
    <w:rsid w:val="005C7B8A"/>
    <w:rsid w:val="005C7BCC"/>
    <w:rsid w:val="005C7C17"/>
    <w:rsid w:val="005C7CAC"/>
    <w:rsid w:val="005C7D3C"/>
    <w:rsid w:val="005C7D68"/>
    <w:rsid w:val="005C7F16"/>
    <w:rsid w:val="005C7F73"/>
    <w:rsid w:val="005C7FC4"/>
    <w:rsid w:val="005C7FDE"/>
    <w:rsid w:val="005D010B"/>
    <w:rsid w:val="005D0189"/>
    <w:rsid w:val="005D01C3"/>
    <w:rsid w:val="005D0202"/>
    <w:rsid w:val="005D0265"/>
    <w:rsid w:val="005D0271"/>
    <w:rsid w:val="005D02F3"/>
    <w:rsid w:val="005D030A"/>
    <w:rsid w:val="005D036A"/>
    <w:rsid w:val="005D03C9"/>
    <w:rsid w:val="005D0479"/>
    <w:rsid w:val="005D04A0"/>
    <w:rsid w:val="005D04A3"/>
    <w:rsid w:val="005D04D1"/>
    <w:rsid w:val="005D0506"/>
    <w:rsid w:val="005D068C"/>
    <w:rsid w:val="005D08F7"/>
    <w:rsid w:val="005D08FD"/>
    <w:rsid w:val="005D092A"/>
    <w:rsid w:val="005D0942"/>
    <w:rsid w:val="005D0944"/>
    <w:rsid w:val="005D097F"/>
    <w:rsid w:val="005D0A10"/>
    <w:rsid w:val="005D0A2A"/>
    <w:rsid w:val="005D0A90"/>
    <w:rsid w:val="005D0B08"/>
    <w:rsid w:val="005D0BE9"/>
    <w:rsid w:val="005D0C4B"/>
    <w:rsid w:val="005D0CC4"/>
    <w:rsid w:val="005D0DA8"/>
    <w:rsid w:val="005D0DAE"/>
    <w:rsid w:val="005D0E23"/>
    <w:rsid w:val="005D0E2D"/>
    <w:rsid w:val="005D0F4E"/>
    <w:rsid w:val="005D0F97"/>
    <w:rsid w:val="005D102C"/>
    <w:rsid w:val="005D1048"/>
    <w:rsid w:val="005D1088"/>
    <w:rsid w:val="005D1091"/>
    <w:rsid w:val="005D11A0"/>
    <w:rsid w:val="005D11AB"/>
    <w:rsid w:val="005D11D1"/>
    <w:rsid w:val="005D1296"/>
    <w:rsid w:val="005D12C6"/>
    <w:rsid w:val="005D139D"/>
    <w:rsid w:val="005D1461"/>
    <w:rsid w:val="005D14E1"/>
    <w:rsid w:val="005D14F2"/>
    <w:rsid w:val="005D158B"/>
    <w:rsid w:val="005D15D9"/>
    <w:rsid w:val="005D16D2"/>
    <w:rsid w:val="005D191C"/>
    <w:rsid w:val="005D194C"/>
    <w:rsid w:val="005D1982"/>
    <w:rsid w:val="005D198C"/>
    <w:rsid w:val="005D1A00"/>
    <w:rsid w:val="005D1A11"/>
    <w:rsid w:val="005D1A1B"/>
    <w:rsid w:val="005D1A8D"/>
    <w:rsid w:val="005D1A9A"/>
    <w:rsid w:val="005D1B35"/>
    <w:rsid w:val="005D1B58"/>
    <w:rsid w:val="005D1B67"/>
    <w:rsid w:val="005D1CA1"/>
    <w:rsid w:val="005D1CA2"/>
    <w:rsid w:val="005D1CCF"/>
    <w:rsid w:val="005D1CD6"/>
    <w:rsid w:val="005D1D8D"/>
    <w:rsid w:val="005D1DE3"/>
    <w:rsid w:val="005D1E27"/>
    <w:rsid w:val="005D1E2B"/>
    <w:rsid w:val="005D1E62"/>
    <w:rsid w:val="005D1EEC"/>
    <w:rsid w:val="005D1F70"/>
    <w:rsid w:val="005D1FD7"/>
    <w:rsid w:val="005D1FDB"/>
    <w:rsid w:val="005D2014"/>
    <w:rsid w:val="005D2163"/>
    <w:rsid w:val="005D217E"/>
    <w:rsid w:val="005D21B0"/>
    <w:rsid w:val="005D2231"/>
    <w:rsid w:val="005D227F"/>
    <w:rsid w:val="005D22EA"/>
    <w:rsid w:val="005D22FD"/>
    <w:rsid w:val="005D230E"/>
    <w:rsid w:val="005D23BD"/>
    <w:rsid w:val="005D2498"/>
    <w:rsid w:val="005D24B6"/>
    <w:rsid w:val="005D25B0"/>
    <w:rsid w:val="005D25C4"/>
    <w:rsid w:val="005D25F3"/>
    <w:rsid w:val="005D260E"/>
    <w:rsid w:val="005D2741"/>
    <w:rsid w:val="005D282D"/>
    <w:rsid w:val="005D282E"/>
    <w:rsid w:val="005D2971"/>
    <w:rsid w:val="005D298D"/>
    <w:rsid w:val="005D29E5"/>
    <w:rsid w:val="005D2A29"/>
    <w:rsid w:val="005D2A6F"/>
    <w:rsid w:val="005D2ABD"/>
    <w:rsid w:val="005D2BB8"/>
    <w:rsid w:val="005D2C2D"/>
    <w:rsid w:val="005D2C35"/>
    <w:rsid w:val="005D2CE7"/>
    <w:rsid w:val="005D2DAC"/>
    <w:rsid w:val="005D2DC3"/>
    <w:rsid w:val="005D2EEB"/>
    <w:rsid w:val="005D2F20"/>
    <w:rsid w:val="005D2F90"/>
    <w:rsid w:val="005D304A"/>
    <w:rsid w:val="005D3056"/>
    <w:rsid w:val="005D3067"/>
    <w:rsid w:val="005D30DC"/>
    <w:rsid w:val="005D3133"/>
    <w:rsid w:val="005D317C"/>
    <w:rsid w:val="005D31AA"/>
    <w:rsid w:val="005D31DD"/>
    <w:rsid w:val="005D31F1"/>
    <w:rsid w:val="005D32F5"/>
    <w:rsid w:val="005D32FF"/>
    <w:rsid w:val="005D3349"/>
    <w:rsid w:val="005D33C4"/>
    <w:rsid w:val="005D340F"/>
    <w:rsid w:val="005D3454"/>
    <w:rsid w:val="005D345C"/>
    <w:rsid w:val="005D34FE"/>
    <w:rsid w:val="005D3537"/>
    <w:rsid w:val="005D35BC"/>
    <w:rsid w:val="005D361F"/>
    <w:rsid w:val="005D3692"/>
    <w:rsid w:val="005D36DE"/>
    <w:rsid w:val="005D36EA"/>
    <w:rsid w:val="005D371D"/>
    <w:rsid w:val="005D376E"/>
    <w:rsid w:val="005D379F"/>
    <w:rsid w:val="005D37B3"/>
    <w:rsid w:val="005D37F9"/>
    <w:rsid w:val="005D3865"/>
    <w:rsid w:val="005D38BF"/>
    <w:rsid w:val="005D393A"/>
    <w:rsid w:val="005D3A4B"/>
    <w:rsid w:val="005D3A5B"/>
    <w:rsid w:val="005D3A84"/>
    <w:rsid w:val="005D3AA9"/>
    <w:rsid w:val="005D3ADF"/>
    <w:rsid w:val="005D3BAA"/>
    <w:rsid w:val="005D3C06"/>
    <w:rsid w:val="005D3C9C"/>
    <w:rsid w:val="005D3CA7"/>
    <w:rsid w:val="005D3E1C"/>
    <w:rsid w:val="005D3EF7"/>
    <w:rsid w:val="005D400F"/>
    <w:rsid w:val="005D404A"/>
    <w:rsid w:val="005D4075"/>
    <w:rsid w:val="005D4079"/>
    <w:rsid w:val="005D4179"/>
    <w:rsid w:val="005D424C"/>
    <w:rsid w:val="005D42A0"/>
    <w:rsid w:val="005D4302"/>
    <w:rsid w:val="005D4368"/>
    <w:rsid w:val="005D43EB"/>
    <w:rsid w:val="005D4424"/>
    <w:rsid w:val="005D44D0"/>
    <w:rsid w:val="005D4503"/>
    <w:rsid w:val="005D458C"/>
    <w:rsid w:val="005D45E5"/>
    <w:rsid w:val="005D460A"/>
    <w:rsid w:val="005D4624"/>
    <w:rsid w:val="005D463C"/>
    <w:rsid w:val="005D46AD"/>
    <w:rsid w:val="005D46EA"/>
    <w:rsid w:val="005D4773"/>
    <w:rsid w:val="005D4831"/>
    <w:rsid w:val="005D4876"/>
    <w:rsid w:val="005D48D3"/>
    <w:rsid w:val="005D493B"/>
    <w:rsid w:val="005D4970"/>
    <w:rsid w:val="005D4AA6"/>
    <w:rsid w:val="005D4B27"/>
    <w:rsid w:val="005D4B75"/>
    <w:rsid w:val="005D4C43"/>
    <w:rsid w:val="005D4C53"/>
    <w:rsid w:val="005D4D0B"/>
    <w:rsid w:val="005D4D38"/>
    <w:rsid w:val="005D4D44"/>
    <w:rsid w:val="005D4DCB"/>
    <w:rsid w:val="005D4DDC"/>
    <w:rsid w:val="005D4DE8"/>
    <w:rsid w:val="005D4EF5"/>
    <w:rsid w:val="005D4F0E"/>
    <w:rsid w:val="005D4F90"/>
    <w:rsid w:val="005D4FD1"/>
    <w:rsid w:val="005D5042"/>
    <w:rsid w:val="005D5058"/>
    <w:rsid w:val="005D5073"/>
    <w:rsid w:val="005D50E2"/>
    <w:rsid w:val="005D51A9"/>
    <w:rsid w:val="005D52E3"/>
    <w:rsid w:val="005D532A"/>
    <w:rsid w:val="005D5385"/>
    <w:rsid w:val="005D5386"/>
    <w:rsid w:val="005D53A6"/>
    <w:rsid w:val="005D5438"/>
    <w:rsid w:val="005D5535"/>
    <w:rsid w:val="005D5573"/>
    <w:rsid w:val="005D55DB"/>
    <w:rsid w:val="005D5623"/>
    <w:rsid w:val="005D56FE"/>
    <w:rsid w:val="005D5798"/>
    <w:rsid w:val="005D57C0"/>
    <w:rsid w:val="005D5813"/>
    <w:rsid w:val="005D5897"/>
    <w:rsid w:val="005D59E0"/>
    <w:rsid w:val="005D5A1D"/>
    <w:rsid w:val="005D5A35"/>
    <w:rsid w:val="005D5A9F"/>
    <w:rsid w:val="005D5AB9"/>
    <w:rsid w:val="005D5AED"/>
    <w:rsid w:val="005D5BE0"/>
    <w:rsid w:val="005D5C9F"/>
    <w:rsid w:val="005D5D55"/>
    <w:rsid w:val="005D5D62"/>
    <w:rsid w:val="005D5D91"/>
    <w:rsid w:val="005D5E25"/>
    <w:rsid w:val="005D5E2E"/>
    <w:rsid w:val="005D5E93"/>
    <w:rsid w:val="005D6026"/>
    <w:rsid w:val="005D60DC"/>
    <w:rsid w:val="005D6157"/>
    <w:rsid w:val="005D615B"/>
    <w:rsid w:val="005D619F"/>
    <w:rsid w:val="005D61DC"/>
    <w:rsid w:val="005D632D"/>
    <w:rsid w:val="005D6378"/>
    <w:rsid w:val="005D639E"/>
    <w:rsid w:val="005D64B6"/>
    <w:rsid w:val="005D654F"/>
    <w:rsid w:val="005D65FD"/>
    <w:rsid w:val="005D6619"/>
    <w:rsid w:val="005D6646"/>
    <w:rsid w:val="005D6677"/>
    <w:rsid w:val="005D66F3"/>
    <w:rsid w:val="005D670C"/>
    <w:rsid w:val="005D6743"/>
    <w:rsid w:val="005D6814"/>
    <w:rsid w:val="005D6853"/>
    <w:rsid w:val="005D6861"/>
    <w:rsid w:val="005D68DB"/>
    <w:rsid w:val="005D68E0"/>
    <w:rsid w:val="005D6924"/>
    <w:rsid w:val="005D6950"/>
    <w:rsid w:val="005D69FD"/>
    <w:rsid w:val="005D6A03"/>
    <w:rsid w:val="005D6ABA"/>
    <w:rsid w:val="005D6B42"/>
    <w:rsid w:val="005D6BCB"/>
    <w:rsid w:val="005D6CA5"/>
    <w:rsid w:val="005D6D05"/>
    <w:rsid w:val="005D6E44"/>
    <w:rsid w:val="005D6E6C"/>
    <w:rsid w:val="005D6E9A"/>
    <w:rsid w:val="005D6EF7"/>
    <w:rsid w:val="005D6F10"/>
    <w:rsid w:val="005D6F2D"/>
    <w:rsid w:val="005D6F8D"/>
    <w:rsid w:val="005D6F9C"/>
    <w:rsid w:val="005D6FE3"/>
    <w:rsid w:val="005D7072"/>
    <w:rsid w:val="005D70B7"/>
    <w:rsid w:val="005D70DF"/>
    <w:rsid w:val="005D713B"/>
    <w:rsid w:val="005D71ED"/>
    <w:rsid w:val="005D720A"/>
    <w:rsid w:val="005D7308"/>
    <w:rsid w:val="005D7397"/>
    <w:rsid w:val="005D745A"/>
    <w:rsid w:val="005D74B5"/>
    <w:rsid w:val="005D752F"/>
    <w:rsid w:val="005D7616"/>
    <w:rsid w:val="005D7677"/>
    <w:rsid w:val="005D768A"/>
    <w:rsid w:val="005D768F"/>
    <w:rsid w:val="005D76C8"/>
    <w:rsid w:val="005D76E6"/>
    <w:rsid w:val="005D76FF"/>
    <w:rsid w:val="005D7714"/>
    <w:rsid w:val="005D77FB"/>
    <w:rsid w:val="005D784C"/>
    <w:rsid w:val="005D7898"/>
    <w:rsid w:val="005D79F1"/>
    <w:rsid w:val="005D79FE"/>
    <w:rsid w:val="005D7B26"/>
    <w:rsid w:val="005D7B79"/>
    <w:rsid w:val="005D7B7E"/>
    <w:rsid w:val="005D7B96"/>
    <w:rsid w:val="005D7BAD"/>
    <w:rsid w:val="005D7C57"/>
    <w:rsid w:val="005D7C87"/>
    <w:rsid w:val="005D7CBB"/>
    <w:rsid w:val="005D7D26"/>
    <w:rsid w:val="005D7DD6"/>
    <w:rsid w:val="005D7E38"/>
    <w:rsid w:val="005D7ED1"/>
    <w:rsid w:val="005D7F6D"/>
    <w:rsid w:val="005E0010"/>
    <w:rsid w:val="005E0034"/>
    <w:rsid w:val="005E00BE"/>
    <w:rsid w:val="005E0196"/>
    <w:rsid w:val="005E01BB"/>
    <w:rsid w:val="005E0211"/>
    <w:rsid w:val="005E02DD"/>
    <w:rsid w:val="005E036E"/>
    <w:rsid w:val="005E0405"/>
    <w:rsid w:val="005E043F"/>
    <w:rsid w:val="005E0457"/>
    <w:rsid w:val="005E045F"/>
    <w:rsid w:val="005E0474"/>
    <w:rsid w:val="005E04CD"/>
    <w:rsid w:val="005E04E4"/>
    <w:rsid w:val="005E053C"/>
    <w:rsid w:val="005E0550"/>
    <w:rsid w:val="005E06DC"/>
    <w:rsid w:val="005E070E"/>
    <w:rsid w:val="005E072C"/>
    <w:rsid w:val="005E07B0"/>
    <w:rsid w:val="005E0841"/>
    <w:rsid w:val="005E0875"/>
    <w:rsid w:val="005E09DD"/>
    <w:rsid w:val="005E09FC"/>
    <w:rsid w:val="005E0A3C"/>
    <w:rsid w:val="005E0A7B"/>
    <w:rsid w:val="005E0A85"/>
    <w:rsid w:val="005E0A99"/>
    <w:rsid w:val="005E0AC0"/>
    <w:rsid w:val="005E0B30"/>
    <w:rsid w:val="005E0B3D"/>
    <w:rsid w:val="005E0BB1"/>
    <w:rsid w:val="005E0CFC"/>
    <w:rsid w:val="005E0D71"/>
    <w:rsid w:val="005E0DCB"/>
    <w:rsid w:val="005E0E13"/>
    <w:rsid w:val="005E0F6D"/>
    <w:rsid w:val="005E0FBE"/>
    <w:rsid w:val="005E10E4"/>
    <w:rsid w:val="005E1161"/>
    <w:rsid w:val="005E11BC"/>
    <w:rsid w:val="005E11F8"/>
    <w:rsid w:val="005E122B"/>
    <w:rsid w:val="005E12ED"/>
    <w:rsid w:val="005E13D0"/>
    <w:rsid w:val="005E13D6"/>
    <w:rsid w:val="005E13E8"/>
    <w:rsid w:val="005E147C"/>
    <w:rsid w:val="005E14F1"/>
    <w:rsid w:val="005E151E"/>
    <w:rsid w:val="005E156B"/>
    <w:rsid w:val="005E1573"/>
    <w:rsid w:val="005E15A3"/>
    <w:rsid w:val="005E162F"/>
    <w:rsid w:val="005E1633"/>
    <w:rsid w:val="005E1654"/>
    <w:rsid w:val="005E1664"/>
    <w:rsid w:val="005E1681"/>
    <w:rsid w:val="005E16A9"/>
    <w:rsid w:val="005E1769"/>
    <w:rsid w:val="005E183E"/>
    <w:rsid w:val="005E184B"/>
    <w:rsid w:val="005E186A"/>
    <w:rsid w:val="005E1950"/>
    <w:rsid w:val="005E1977"/>
    <w:rsid w:val="005E197B"/>
    <w:rsid w:val="005E1981"/>
    <w:rsid w:val="005E198B"/>
    <w:rsid w:val="005E1A73"/>
    <w:rsid w:val="005E1A8C"/>
    <w:rsid w:val="005E1AA5"/>
    <w:rsid w:val="005E1AC6"/>
    <w:rsid w:val="005E1B62"/>
    <w:rsid w:val="005E1B77"/>
    <w:rsid w:val="005E1BCF"/>
    <w:rsid w:val="005E1C1D"/>
    <w:rsid w:val="005E1C31"/>
    <w:rsid w:val="005E1CA7"/>
    <w:rsid w:val="005E1CCA"/>
    <w:rsid w:val="005E1D89"/>
    <w:rsid w:val="005E1DB5"/>
    <w:rsid w:val="005E1E0E"/>
    <w:rsid w:val="005E1E27"/>
    <w:rsid w:val="005E1F42"/>
    <w:rsid w:val="005E219F"/>
    <w:rsid w:val="005E21D1"/>
    <w:rsid w:val="005E21DC"/>
    <w:rsid w:val="005E2200"/>
    <w:rsid w:val="005E22B5"/>
    <w:rsid w:val="005E2341"/>
    <w:rsid w:val="005E23EE"/>
    <w:rsid w:val="005E253B"/>
    <w:rsid w:val="005E2548"/>
    <w:rsid w:val="005E2549"/>
    <w:rsid w:val="005E259E"/>
    <w:rsid w:val="005E26AF"/>
    <w:rsid w:val="005E273F"/>
    <w:rsid w:val="005E275E"/>
    <w:rsid w:val="005E278E"/>
    <w:rsid w:val="005E280C"/>
    <w:rsid w:val="005E28BC"/>
    <w:rsid w:val="005E28EB"/>
    <w:rsid w:val="005E2A90"/>
    <w:rsid w:val="005E2B45"/>
    <w:rsid w:val="005E2C78"/>
    <w:rsid w:val="005E2C94"/>
    <w:rsid w:val="005E2CB8"/>
    <w:rsid w:val="005E2D1D"/>
    <w:rsid w:val="005E2D2D"/>
    <w:rsid w:val="005E2D69"/>
    <w:rsid w:val="005E2D81"/>
    <w:rsid w:val="005E2DC8"/>
    <w:rsid w:val="005E2DCC"/>
    <w:rsid w:val="005E2E41"/>
    <w:rsid w:val="005E2F5C"/>
    <w:rsid w:val="005E2FD2"/>
    <w:rsid w:val="005E309D"/>
    <w:rsid w:val="005E30C3"/>
    <w:rsid w:val="005E3126"/>
    <w:rsid w:val="005E312A"/>
    <w:rsid w:val="005E319F"/>
    <w:rsid w:val="005E3218"/>
    <w:rsid w:val="005E321E"/>
    <w:rsid w:val="005E332A"/>
    <w:rsid w:val="005E3342"/>
    <w:rsid w:val="005E336C"/>
    <w:rsid w:val="005E3388"/>
    <w:rsid w:val="005E3406"/>
    <w:rsid w:val="005E340A"/>
    <w:rsid w:val="005E34E7"/>
    <w:rsid w:val="005E3589"/>
    <w:rsid w:val="005E3618"/>
    <w:rsid w:val="005E3625"/>
    <w:rsid w:val="005E364D"/>
    <w:rsid w:val="005E3720"/>
    <w:rsid w:val="005E3721"/>
    <w:rsid w:val="005E3735"/>
    <w:rsid w:val="005E375B"/>
    <w:rsid w:val="005E3803"/>
    <w:rsid w:val="005E38CC"/>
    <w:rsid w:val="005E39AF"/>
    <w:rsid w:val="005E3A18"/>
    <w:rsid w:val="005E3A23"/>
    <w:rsid w:val="005E3A52"/>
    <w:rsid w:val="005E3A79"/>
    <w:rsid w:val="005E3ACE"/>
    <w:rsid w:val="005E3B1A"/>
    <w:rsid w:val="005E3B3C"/>
    <w:rsid w:val="005E3B7B"/>
    <w:rsid w:val="005E3B93"/>
    <w:rsid w:val="005E3B98"/>
    <w:rsid w:val="005E3BCE"/>
    <w:rsid w:val="005E3BFF"/>
    <w:rsid w:val="005E3C27"/>
    <w:rsid w:val="005E3CD1"/>
    <w:rsid w:val="005E3D83"/>
    <w:rsid w:val="005E3DA1"/>
    <w:rsid w:val="005E3DF5"/>
    <w:rsid w:val="005E3ED5"/>
    <w:rsid w:val="005E3EF7"/>
    <w:rsid w:val="005E3F04"/>
    <w:rsid w:val="005E3FE3"/>
    <w:rsid w:val="005E4077"/>
    <w:rsid w:val="005E4086"/>
    <w:rsid w:val="005E40A6"/>
    <w:rsid w:val="005E40A8"/>
    <w:rsid w:val="005E4131"/>
    <w:rsid w:val="005E41A7"/>
    <w:rsid w:val="005E41B4"/>
    <w:rsid w:val="005E41B6"/>
    <w:rsid w:val="005E425B"/>
    <w:rsid w:val="005E42F3"/>
    <w:rsid w:val="005E4332"/>
    <w:rsid w:val="005E4392"/>
    <w:rsid w:val="005E4395"/>
    <w:rsid w:val="005E443B"/>
    <w:rsid w:val="005E4470"/>
    <w:rsid w:val="005E448A"/>
    <w:rsid w:val="005E44FD"/>
    <w:rsid w:val="005E45A2"/>
    <w:rsid w:val="005E4641"/>
    <w:rsid w:val="005E464B"/>
    <w:rsid w:val="005E4679"/>
    <w:rsid w:val="005E46D9"/>
    <w:rsid w:val="005E46F8"/>
    <w:rsid w:val="005E4766"/>
    <w:rsid w:val="005E48D2"/>
    <w:rsid w:val="005E48D7"/>
    <w:rsid w:val="005E490E"/>
    <w:rsid w:val="005E490F"/>
    <w:rsid w:val="005E4933"/>
    <w:rsid w:val="005E4966"/>
    <w:rsid w:val="005E4976"/>
    <w:rsid w:val="005E4A00"/>
    <w:rsid w:val="005E4A95"/>
    <w:rsid w:val="005E4AF8"/>
    <w:rsid w:val="005E4BA9"/>
    <w:rsid w:val="005E4BAF"/>
    <w:rsid w:val="005E4C85"/>
    <w:rsid w:val="005E4CC9"/>
    <w:rsid w:val="005E4D22"/>
    <w:rsid w:val="005E4D33"/>
    <w:rsid w:val="005E4D6A"/>
    <w:rsid w:val="005E4DC9"/>
    <w:rsid w:val="005E4DE8"/>
    <w:rsid w:val="005E4EDB"/>
    <w:rsid w:val="005E4F49"/>
    <w:rsid w:val="005E4FB6"/>
    <w:rsid w:val="005E5182"/>
    <w:rsid w:val="005E5196"/>
    <w:rsid w:val="005E5275"/>
    <w:rsid w:val="005E5315"/>
    <w:rsid w:val="005E531A"/>
    <w:rsid w:val="005E538A"/>
    <w:rsid w:val="005E53E1"/>
    <w:rsid w:val="005E5491"/>
    <w:rsid w:val="005E54EC"/>
    <w:rsid w:val="005E55D0"/>
    <w:rsid w:val="005E563D"/>
    <w:rsid w:val="005E5690"/>
    <w:rsid w:val="005E56A9"/>
    <w:rsid w:val="005E576C"/>
    <w:rsid w:val="005E577C"/>
    <w:rsid w:val="005E578E"/>
    <w:rsid w:val="005E5794"/>
    <w:rsid w:val="005E581B"/>
    <w:rsid w:val="005E585A"/>
    <w:rsid w:val="005E586D"/>
    <w:rsid w:val="005E58B2"/>
    <w:rsid w:val="005E58C3"/>
    <w:rsid w:val="005E58D6"/>
    <w:rsid w:val="005E590F"/>
    <w:rsid w:val="005E5915"/>
    <w:rsid w:val="005E5954"/>
    <w:rsid w:val="005E597D"/>
    <w:rsid w:val="005E59AC"/>
    <w:rsid w:val="005E5A38"/>
    <w:rsid w:val="005E5A58"/>
    <w:rsid w:val="005E5B03"/>
    <w:rsid w:val="005E5B1B"/>
    <w:rsid w:val="005E5B7C"/>
    <w:rsid w:val="005E5B94"/>
    <w:rsid w:val="005E5BF2"/>
    <w:rsid w:val="005E5C39"/>
    <w:rsid w:val="005E5C5F"/>
    <w:rsid w:val="005E5D2D"/>
    <w:rsid w:val="005E5D54"/>
    <w:rsid w:val="005E5DB0"/>
    <w:rsid w:val="005E5E19"/>
    <w:rsid w:val="005E5E5F"/>
    <w:rsid w:val="005E5F45"/>
    <w:rsid w:val="005E5FAE"/>
    <w:rsid w:val="005E6124"/>
    <w:rsid w:val="005E62AC"/>
    <w:rsid w:val="005E62C5"/>
    <w:rsid w:val="005E62E3"/>
    <w:rsid w:val="005E6330"/>
    <w:rsid w:val="005E63D8"/>
    <w:rsid w:val="005E63DA"/>
    <w:rsid w:val="005E63EF"/>
    <w:rsid w:val="005E642F"/>
    <w:rsid w:val="005E655E"/>
    <w:rsid w:val="005E6585"/>
    <w:rsid w:val="005E667E"/>
    <w:rsid w:val="005E667F"/>
    <w:rsid w:val="005E6680"/>
    <w:rsid w:val="005E6698"/>
    <w:rsid w:val="005E6725"/>
    <w:rsid w:val="005E6731"/>
    <w:rsid w:val="005E6750"/>
    <w:rsid w:val="005E6752"/>
    <w:rsid w:val="005E67C5"/>
    <w:rsid w:val="005E67E5"/>
    <w:rsid w:val="005E6848"/>
    <w:rsid w:val="005E6874"/>
    <w:rsid w:val="005E688C"/>
    <w:rsid w:val="005E6908"/>
    <w:rsid w:val="005E693A"/>
    <w:rsid w:val="005E693D"/>
    <w:rsid w:val="005E69F8"/>
    <w:rsid w:val="005E6A01"/>
    <w:rsid w:val="005E6A2D"/>
    <w:rsid w:val="005E6A48"/>
    <w:rsid w:val="005E6A5A"/>
    <w:rsid w:val="005E6A69"/>
    <w:rsid w:val="005E6B89"/>
    <w:rsid w:val="005E6C8D"/>
    <w:rsid w:val="005E6D21"/>
    <w:rsid w:val="005E6D2B"/>
    <w:rsid w:val="005E6D38"/>
    <w:rsid w:val="005E6D53"/>
    <w:rsid w:val="005E6D56"/>
    <w:rsid w:val="005E6D99"/>
    <w:rsid w:val="005E6DB8"/>
    <w:rsid w:val="005E6E45"/>
    <w:rsid w:val="005E6E4F"/>
    <w:rsid w:val="005E6EA3"/>
    <w:rsid w:val="005E6EDD"/>
    <w:rsid w:val="005E6F26"/>
    <w:rsid w:val="005E6F5E"/>
    <w:rsid w:val="005E6F67"/>
    <w:rsid w:val="005E702C"/>
    <w:rsid w:val="005E7062"/>
    <w:rsid w:val="005E708F"/>
    <w:rsid w:val="005E71D6"/>
    <w:rsid w:val="005E71DA"/>
    <w:rsid w:val="005E71EB"/>
    <w:rsid w:val="005E725D"/>
    <w:rsid w:val="005E728D"/>
    <w:rsid w:val="005E72BF"/>
    <w:rsid w:val="005E7377"/>
    <w:rsid w:val="005E73DE"/>
    <w:rsid w:val="005E740E"/>
    <w:rsid w:val="005E753A"/>
    <w:rsid w:val="005E7571"/>
    <w:rsid w:val="005E7683"/>
    <w:rsid w:val="005E7693"/>
    <w:rsid w:val="005E7749"/>
    <w:rsid w:val="005E78DD"/>
    <w:rsid w:val="005E7952"/>
    <w:rsid w:val="005E7964"/>
    <w:rsid w:val="005E79CB"/>
    <w:rsid w:val="005E7A00"/>
    <w:rsid w:val="005E7A17"/>
    <w:rsid w:val="005E7A28"/>
    <w:rsid w:val="005E7A7D"/>
    <w:rsid w:val="005E7AA4"/>
    <w:rsid w:val="005E7AC1"/>
    <w:rsid w:val="005E7AD6"/>
    <w:rsid w:val="005E7B36"/>
    <w:rsid w:val="005E7BD6"/>
    <w:rsid w:val="005E7C1D"/>
    <w:rsid w:val="005E7CB0"/>
    <w:rsid w:val="005E7CEA"/>
    <w:rsid w:val="005E7D89"/>
    <w:rsid w:val="005E7DC9"/>
    <w:rsid w:val="005E7DF8"/>
    <w:rsid w:val="005E7EA6"/>
    <w:rsid w:val="005F004F"/>
    <w:rsid w:val="005F00E2"/>
    <w:rsid w:val="005F011D"/>
    <w:rsid w:val="005F016D"/>
    <w:rsid w:val="005F01E3"/>
    <w:rsid w:val="005F01F2"/>
    <w:rsid w:val="005F022A"/>
    <w:rsid w:val="005F0284"/>
    <w:rsid w:val="005F0327"/>
    <w:rsid w:val="005F032D"/>
    <w:rsid w:val="005F0363"/>
    <w:rsid w:val="005F03F9"/>
    <w:rsid w:val="005F0400"/>
    <w:rsid w:val="005F042B"/>
    <w:rsid w:val="005F04D0"/>
    <w:rsid w:val="005F04EA"/>
    <w:rsid w:val="005F0524"/>
    <w:rsid w:val="005F05AB"/>
    <w:rsid w:val="005F062D"/>
    <w:rsid w:val="005F06C3"/>
    <w:rsid w:val="005F07E5"/>
    <w:rsid w:val="005F081A"/>
    <w:rsid w:val="005F083B"/>
    <w:rsid w:val="005F087C"/>
    <w:rsid w:val="005F08EE"/>
    <w:rsid w:val="005F0903"/>
    <w:rsid w:val="005F09D3"/>
    <w:rsid w:val="005F0C6A"/>
    <w:rsid w:val="005F0C99"/>
    <w:rsid w:val="005F0CC6"/>
    <w:rsid w:val="005F0D1B"/>
    <w:rsid w:val="005F0D88"/>
    <w:rsid w:val="005F0D8D"/>
    <w:rsid w:val="005F0DAE"/>
    <w:rsid w:val="005F0DEC"/>
    <w:rsid w:val="005F0E0B"/>
    <w:rsid w:val="005F0EB0"/>
    <w:rsid w:val="005F0EC7"/>
    <w:rsid w:val="005F0EF0"/>
    <w:rsid w:val="005F0EF6"/>
    <w:rsid w:val="005F0F00"/>
    <w:rsid w:val="005F0F4C"/>
    <w:rsid w:val="005F0F75"/>
    <w:rsid w:val="005F1003"/>
    <w:rsid w:val="005F1013"/>
    <w:rsid w:val="005F1090"/>
    <w:rsid w:val="005F116F"/>
    <w:rsid w:val="005F11B1"/>
    <w:rsid w:val="005F11CA"/>
    <w:rsid w:val="005F1209"/>
    <w:rsid w:val="005F1243"/>
    <w:rsid w:val="005F129A"/>
    <w:rsid w:val="005F12BD"/>
    <w:rsid w:val="005F12C2"/>
    <w:rsid w:val="005F12F4"/>
    <w:rsid w:val="005F1322"/>
    <w:rsid w:val="005F1349"/>
    <w:rsid w:val="005F141F"/>
    <w:rsid w:val="005F1488"/>
    <w:rsid w:val="005F14C3"/>
    <w:rsid w:val="005F14EC"/>
    <w:rsid w:val="005F16D7"/>
    <w:rsid w:val="005F16F0"/>
    <w:rsid w:val="005F1725"/>
    <w:rsid w:val="005F1737"/>
    <w:rsid w:val="005F174F"/>
    <w:rsid w:val="005F1752"/>
    <w:rsid w:val="005F17B1"/>
    <w:rsid w:val="005F17CC"/>
    <w:rsid w:val="005F1807"/>
    <w:rsid w:val="005F181B"/>
    <w:rsid w:val="005F188C"/>
    <w:rsid w:val="005F188F"/>
    <w:rsid w:val="005F18D5"/>
    <w:rsid w:val="005F194D"/>
    <w:rsid w:val="005F1954"/>
    <w:rsid w:val="005F1958"/>
    <w:rsid w:val="005F19B6"/>
    <w:rsid w:val="005F1AB7"/>
    <w:rsid w:val="005F1AC5"/>
    <w:rsid w:val="005F1AD6"/>
    <w:rsid w:val="005F1B8B"/>
    <w:rsid w:val="005F1BD4"/>
    <w:rsid w:val="005F1BFA"/>
    <w:rsid w:val="005F1C0C"/>
    <w:rsid w:val="005F1C4F"/>
    <w:rsid w:val="005F1C51"/>
    <w:rsid w:val="005F1C56"/>
    <w:rsid w:val="005F1C71"/>
    <w:rsid w:val="005F1DA4"/>
    <w:rsid w:val="005F1DAB"/>
    <w:rsid w:val="005F1DFD"/>
    <w:rsid w:val="005F1FFB"/>
    <w:rsid w:val="005F200C"/>
    <w:rsid w:val="005F2041"/>
    <w:rsid w:val="005F20AB"/>
    <w:rsid w:val="005F214D"/>
    <w:rsid w:val="005F21F8"/>
    <w:rsid w:val="005F2399"/>
    <w:rsid w:val="005F2462"/>
    <w:rsid w:val="005F2469"/>
    <w:rsid w:val="005F24DF"/>
    <w:rsid w:val="005F255B"/>
    <w:rsid w:val="005F25FD"/>
    <w:rsid w:val="005F2671"/>
    <w:rsid w:val="005F26EF"/>
    <w:rsid w:val="005F27DA"/>
    <w:rsid w:val="005F27DB"/>
    <w:rsid w:val="005F2846"/>
    <w:rsid w:val="005F2848"/>
    <w:rsid w:val="005F284D"/>
    <w:rsid w:val="005F28E2"/>
    <w:rsid w:val="005F28E7"/>
    <w:rsid w:val="005F28EC"/>
    <w:rsid w:val="005F2A71"/>
    <w:rsid w:val="005F2A89"/>
    <w:rsid w:val="005F2A93"/>
    <w:rsid w:val="005F2AD9"/>
    <w:rsid w:val="005F2B48"/>
    <w:rsid w:val="005F2B9E"/>
    <w:rsid w:val="005F2BAC"/>
    <w:rsid w:val="005F2BE5"/>
    <w:rsid w:val="005F2BE9"/>
    <w:rsid w:val="005F2C05"/>
    <w:rsid w:val="005F2C36"/>
    <w:rsid w:val="005F2D36"/>
    <w:rsid w:val="005F2D89"/>
    <w:rsid w:val="005F2DE4"/>
    <w:rsid w:val="005F2E95"/>
    <w:rsid w:val="005F2EC5"/>
    <w:rsid w:val="005F2F27"/>
    <w:rsid w:val="005F2F50"/>
    <w:rsid w:val="005F2FA9"/>
    <w:rsid w:val="005F2FCF"/>
    <w:rsid w:val="005F2FE5"/>
    <w:rsid w:val="005F3061"/>
    <w:rsid w:val="005F3083"/>
    <w:rsid w:val="005F308C"/>
    <w:rsid w:val="005F30E8"/>
    <w:rsid w:val="005F30E9"/>
    <w:rsid w:val="005F310C"/>
    <w:rsid w:val="005F31BD"/>
    <w:rsid w:val="005F3401"/>
    <w:rsid w:val="005F340D"/>
    <w:rsid w:val="005F34AC"/>
    <w:rsid w:val="005F351E"/>
    <w:rsid w:val="005F3534"/>
    <w:rsid w:val="005F355D"/>
    <w:rsid w:val="005F356D"/>
    <w:rsid w:val="005F3680"/>
    <w:rsid w:val="005F3687"/>
    <w:rsid w:val="005F36A3"/>
    <w:rsid w:val="005F36AC"/>
    <w:rsid w:val="005F3730"/>
    <w:rsid w:val="005F37CA"/>
    <w:rsid w:val="005F3830"/>
    <w:rsid w:val="005F38EF"/>
    <w:rsid w:val="005F3992"/>
    <w:rsid w:val="005F39D0"/>
    <w:rsid w:val="005F3A48"/>
    <w:rsid w:val="005F3A8B"/>
    <w:rsid w:val="005F3B01"/>
    <w:rsid w:val="005F3B15"/>
    <w:rsid w:val="005F3B3D"/>
    <w:rsid w:val="005F3BA2"/>
    <w:rsid w:val="005F3BD5"/>
    <w:rsid w:val="005F3C1C"/>
    <w:rsid w:val="005F3C26"/>
    <w:rsid w:val="005F3E7B"/>
    <w:rsid w:val="005F3EA2"/>
    <w:rsid w:val="005F3EB3"/>
    <w:rsid w:val="005F3EC1"/>
    <w:rsid w:val="005F3F53"/>
    <w:rsid w:val="005F3F89"/>
    <w:rsid w:val="005F3FAF"/>
    <w:rsid w:val="005F3FEF"/>
    <w:rsid w:val="005F4034"/>
    <w:rsid w:val="005F4201"/>
    <w:rsid w:val="005F420F"/>
    <w:rsid w:val="005F423E"/>
    <w:rsid w:val="005F427E"/>
    <w:rsid w:val="005F42C3"/>
    <w:rsid w:val="005F4327"/>
    <w:rsid w:val="005F434B"/>
    <w:rsid w:val="005F4353"/>
    <w:rsid w:val="005F43BF"/>
    <w:rsid w:val="005F43E1"/>
    <w:rsid w:val="005F44AE"/>
    <w:rsid w:val="005F44EF"/>
    <w:rsid w:val="005F4500"/>
    <w:rsid w:val="005F4687"/>
    <w:rsid w:val="005F4718"/>
    <w:rsid w:val="005F4725"/>
    <w:rsid w:val="005F4789"/>
    <w:rsid w:val="005F47CC"/>
    <w:rsid w:val="005F4940"/>
    <w:rsid w:val="005F4A38"/>
    <w:rsid w:val="005F4AD4"/>
    <w:rsid w:val="005F4ADC"/>
    <w:rsid w:val="005F4AFB"/>
    <w:rsid w:val="005F4B83"/>
    <w:rsid w:val="005F4BC8"/>
    <w:rsid w:val="005F4CD1"/>
    <w:rsid w:val="005F4CF4"/>
    <w:rsid w:val="005F4D7A"/>
    <w:rsid w:val="005F4E13"/>
    <w:rsid w:val="005F4E49"/>
    <w:rsid w:val="005F4E58"/>
    <w:rsid w:val="005F4F65"/>
    <w:rsid w:val="005F503A"/>
    <w:rsid w:val="005F505D"/>
    <w:rsid w:val="005F507F"/>
    <w:rsid w:val="005F5095"/>
    <w:rsid w:val="005F50A1"/>
    <w:rsid w:val="005F5143"/>
    <w:rsid w:val="005F5163"/>
    <w:rsid w:val="005F525D"/>
    <w:rsid w:val="005F526E"/>
    <w:rsid w:val="005F527B"/>
    <w:rsid w:val="005F52E1"/>
    <w:rsid w:val="005F536E"/>
    <w:rsid w:val="005F53F5"/>
    <w:rsid w:val="005F5479"/>
    <w:rsid w:val="005F54C1"/>
    <w:rsid w:val="005F55A4"/>
    <w:rsid w:val="005F5614"/>
    <w:rsid w:val="005F567F"/>
    <w:rsid w:val="005F56C6"/>
    <w:rsid w:val="005F57AA"/>
    <w:rsid w:val="005F57D4"/>
    <w:rsid w:val="005F5857"/>
    <w:rsid w:val="005F5896"/>
    <w:rsid w:val="005F58AB"/>
    <w:rsid w:val="005F5911"/>
    <w:rsid w:val="005F597F"/>
    <w:rsid w:val="005F5A20"/>
    <w:rsid w:val="005F5A5E"/>
    <w:rsid w:val="005F5AB2"/>
    <w:rsid w:val="005F5B5D"/>
    <w:rsid w:val="005F5B6C"/>
    <w:rsid w:val="005F5C05"/>
    <w:rsid w:val="005F5C24"/>
    <w:rsid w:val="005F5C29"/>
    <w:rsid w:val="005F5C6F"/>
    <w:rsid w:val="005F5CE3"/>
    <w:rsid w:val="005F5D0B"/>
    <w:rsid w:val="005F5D92"/>
    <w:rsid w:val="005F5DFE"/>
    <w:rsid w:val="005F5E6F"/>
    <w:rsid w:val="005F5F03"/>
    <w:rsid w:val="005F5FE2"/>
    <w:rsid w:val="005F6040"/>
    <w:rsid w:val="005F6046"/>
    <w:rsid w:val="005F60EE"/>
    <w:rsid w:val="005F615D"/>
    <w:rsid w:val="005F6166"/>
    <w:rsid w:val="005F616A"/>
    <w:rsid w:val="005F61AE"/>
    <w:rsid w:val="005F624E"/>
    <w:rsid w:val="005F627E"/>
    <w:rsid w:val="005F62CC"/>
    <w:rsid w:val="005F638F"/>
    <w:rsid w:val="005F63F7"/>
    <w:rsid w:val="005F6408"/>
    <w:rsid w:val="005F6470"/>
    <w:rsid w:val="005F64E5"/>
    <w:rsid w:val="005F659E"/>
    <w:rsid w:val="005F65DF"/>
    <w:rsid w:val="005F6614"/>
    <w:rsid w:val="005F6660"/>
    <w:rsid w:val="005F6665"/>
    <w:rsid w:val="005F6674"/>
    <w:rsid w:val="005F6675"/>
    <w:rsid w:val="005F66BE"/>
    <w:rsid w:val="005F6723"/>
    <w:rsid w:val="005F6790"/>
    <w:rsid w:val="005F6869"/>
    <w:rsid w:val="005F686D"/>
    <w:rsid w:val="005F6917"/>
    <w:rsid w:val="005F6943"/>
    <w:rsid w:val="005F697F"/>
    <w:rsid w:val="005F69A9"/>
    <w:rsid w:val="005F6A4E"/>
    <w:rsid w:val="005F6A83"/>
    <w:rsid w:val="005F6BA9"/>
    <w:rsid w:val="005F6C3A"/>
    <w:rsid w:val="005F6C3C"/>
    <w:rsid w:val="005F6D55"/>
    <w:rsid w:val="005F6D89"/>
    <w:rsid w:val="005F6E6D"/>
    <w:rsid w:val="005F6EBA"/>
    <w:rsid w:val="005F6F02"/>
    <w:rsid w:val="005F6F8B"/>
    <w:rsid w:val="005F6FCB"/>
    <w:rsid w:val="005F70A0"/>
    <w:rsid w:val="005F70CC"/>
    <w:rsid w:val="005F70CD"/>
    <w:rsid w:val="005F7147"/>
    <w:rsid w:val="005F72CE"/>
    <w:rsid w:val="005F7392"/>
    <w:rsid w:val="005F7409"/>
    <w:rsid w:val="005F7420"/>
    <w:rsid w:val="005F74E9"/>
    <w:rsid w:val="005F751E"/>
    <w:rsid w:val="005F75B0"/>
    <w:rsid w:val="005F7671"/>
    <w:rsid w:val="005F76AA"/>
    <w:rsid w:val="005F76CF"/>
    <w:rsid w:val="005F76E5"/>
    <w:rsid w:val="005F7726"/>
    <w:rsid w:val="005F7753"/>
    <w:rsid w:val="005F77A0"/>
    <w:rsid w:val="005F77A3"/>
    <w:rsid w:val="005F7849"/>
    <w:rsid w:val="005F789E"/>
    <w:rsid w:val="005F78A1"/>
    <w:rsid w:val="005F792B"/>
    <w:rsid w:val="005F7943"/>
    <w:rsid w:val="005F7949"/>
    <w:rsid w:val="005F796B"/>
    <w:rsid w:val="005F79D0"/>
    <w:rsid w:val="005F79F0"/>
    <w:rsid w:val="005F7A1D"/>
    <w:rsid w:val="005F7A4C"/>
    <w:rsid w:val="005F7A6D"/>
    <w:rsid w:val="005F7AE2"/>
    <w:rsid w:val="005F7B3C"/>
    <w:rsid w:val="005F7B7C"/>
    <w:rsid w:val="005F7C2F"/>
    <w:rsid w:val="005F7CE4"/>
    <w:rsid w:val="005F7DF5"/>
    <w:rsid w:val="005F7E3F"/>
    <w:rsid w:val="005F7E7B"/>
    <w:rsid w:val="005F7ED5"/>
    <w:rsid w:val="005F7F2B"/>
    <w:rsid w:val="005F7FFB"/>
    <w:rsid w:val="006002EA"/>
    <w:rsid w:val="00600325"/>
    <w:rsid w:val="00600368"/>
    <w:rsid w:val="00600407"/>
    <w:rsid w:val="006004B7"/>
    <w:rsid w:val="006004EE"/>
    <w:rsid w:val="0060051E"/>
    <w:rsid w:val="00600579"/>
    <w:rsid w:val="006005D0"/>
    <w:rsid w:val="00600662"/>
    <w:rsid w:val="00600678"/>
    <w:rsid w:val="006006A4"/>
    <w:rsid w:val="00600738"/>
    <w:rsid w:val="006007C3"/>
    <w:rsid w:val="006007DE"/>
    <w:rsid w:val="006007E3"/>
    <w:rsid w:val="0060085E"/>
    <w:rsid w:val="00600925"/>
    <w:rsid w:val="006009CE"/>
    <w:rsid w:val="00600A44"/>
    <w:rsid w:val="00600B02"/>
    <w:rsid w:val="00600B28"/>
    <w:rsid w:val="00600C1F"/>
    <w:rsid w:val="00600C62"/>
    <w:rsid w:val="00600C8C"/>
    <w:rsid w:val="00600CEC"/>
    <w:rsid w:val="00600CED"/>
    <w:rsid w:val="00600CF0"/>
    <w:rsid w:val="00600D53"/>
    <w:rsid w:val="00600D81"/>
    <w:rsid w:val="00600E08"/>
    <w:rsid w:val="00600E1A"/>
    <w:rsid w:val="00600E1F"/>
    <w:rsid w:val="00600E74"/>
    <w:rsid w:val="00600F09"/>
    <w:rsid w:val="006010A0"/>
    <w:rsid w:val="0060112C"/>
    <w:rsid w:val="00601167"/>
    <w:rsid w:val="006011AF"/>
    <w:rsid w:val="0060120D"/>
    <w:rsid w:val="00601256"/>
    <w:rsid w:val="00601283"/>
    <w:rsid w:val="00601324"/>
    <w:rsid w:val="00601363"/>
    <w:rsid w:val="0060143D"/>
    <w:rsid w:val="00601442"/>
    <w:rsid w:val="0060147C"/>
    <w:rsid w:val="00601491"/>
    <w:rsid w:val="006014F3"/>
    <w:rsid w:val="006014FA"/>
    <w:rsid w:val="006014FC"/>
    <w:rsid w:val="0060161B"/>
    <w:rsid w:val="0060161C"/>
    <w:rsid w:val="006016C7"/>
    <w:rsid w:val="006016D0"/>
    <w:rsid w:val="0060176A"/>
    <w:rsid w:val="00601771"/>
    <w:rsid w:val="00601789"/>
    <w:rsid w:val="0060183D"/>
    <w:rsid w:val="006018BB"/>
    <w:rsid w:val="006018F1"/>
    <w:rsid w:val="00601909"/>
    <w:rsid w:val="00601964"/>
    <w:rsid w:val="006019AD"/>
    <w:rsid w:val="006019DB"/>
    <w:rsid w:val="006019DF"/>
    <w:rsid w:val="006019FA"/>
    <w:rsid w:val="00601AAA"/>
    <w:rsid w:val="00601B49"/>
    <w:rsid w:val="00601B5B"/>
    <w:rsid w:val="00601B81"/>
    <w:rsid w:val="00601BB5"/>
    <w:rsid w:val="00601C25"/>
    <w:rsid w:val="00601D19"/>
    <w:rsid w:val="00601D64"/>
    <w:rsid w:val="00601D94"/>
    <w:rsid w:val="00601DDB"/>
    <w:rsid w:val="00601E85"/>
    <w:rsid w:val="00601F1B"/>
    <w:rsid w:val="00601F99"/>
    <w:rsid w:val="0060200B"/>
    <w:rsid w:val="006020E6"/>
    <w:rsid w:val="0060213C"/>
    <w:rsid w:val="00602198"/>
    <w:rsid w:val="006021DA"/>
    <w:rsid w:val="0060224D"/>
    <w:rsid w:val="0060225D"/>
    <w:rsid w:val="006022A2"/>
    <w:rsid w:val="00602318"/>
    <w:rsid w:val="00602405"/>
    <w:rsid w:val="0060246E"/>
    <w:rsid w:val="006024B5"/>
    <w:rsid w:val="006024B6"/>
    <w:rsid w:val="006025F2"/>
    <w:rsid w:val="00602601"/>
    <w:rsid w:val="00602631"/>
    <w:rsid w:val="0060266F"/>
    <w:rsid w:val="00602697"/>
    <w:rsid w:val="006026A9"/>
    <w:rsid w:val="0060270A"/>
    <w:rsid w:val="00602734"/>
    <w:rsid w:val="00602784"/>
    <w:rsid w:val="00602875"/>
    <w:rsid w:val="00602930"/>
    <w:rsid w:val="00602947"/>
    <w:rsid w:val="006029FB"/>
    <w:rsid w:val="00602A09"/>
    <w:rsid w:val="00602A6C"/>
    <w:rsid w:val="00602CE8"/>
    <w:rsid w:val="00602DD0"/>
    <w:rsid w:val="00602E5B"/>
    <w:rsid w:val="00602E89"/>
    <w:rsid w:val="00602EF8"/>
    <w:rsid w:val="00602F07"/>
    <w:rsid w:val="00603053"/>
    <w:rsid w:val="006030AD"/>
    <w:rsid w:val="00603177"/>
    <w:rsid w:val="006031A2"/>
    <w:rsid w:val="006031CC"/>
    <w:rsid w:val="006031D1"/>
    <w:rsid w:val="006031F8"/>
    <w:rsid w:val="0060320E"/>
    <w:rsid w:val="0060327E"/>
    <w:rsid w:val="0060339B"/>
    <w:rsid w:val="006033C7"/>
    <w:rsid w:val="006035F1"/>
    <w:rsid w:val="0060367B"/>
    <w:rsid w:val="006036D8"/>
    <w:rsid w:val="0060378F"/>
    <w:rsid w:val="006037C9"/>
    <w:rsid w:val="006037D3"/>
    <w:rsid w:val="00603803"/>
    <w:rsid w:val="00603852"/>
    <w:rsid w:val="0060388D"/>
    <w:rsid w:val="006038CA"/>
    <w:rsid w:val="00603920"/>
    <w:rsid w:val="00603924"/>
    <w:rsid w:val="00603976"/>
    <w:rsid w:val="006039BA"/>
    <w:rsid w:val="006039C9"/>
    <w:rsid w:val="006039FA"/>
    <w:rsid w:val="00603B1C"/>
    <w:rsid w:val="00603B78"/>
    <w:rsid w:val="00603C8D"/>
    <w:rsid w:val="00603CA0"/>
    <w:rsid w:val="00603CAD"/>
    <w:rsid w:val="00603CC0"/>
    <w:rsid w:val="00603D23"/>
    <w:rsid w:val="00603D81"/>
    <w:rsid w:val="00603DDB"/>
    <w:rsid w:val="00603E95"/>
    <w:rsid w:val="00603EB5"/>
    <w:rsid w:val="00603F03"/>
    <w:rsid w:val="00603F6A"/>
    <w:rsid w:val="00603F88"/>
    <w:rsid w:val="00603FD5"/>
    <w:rsid w:val="00603FDF"/>
    <w:rsid w:val="006040BF"/>
    <w:rsid w:val="006040FE"/>
    <w:rsid w:val="006041F4"/>
    <w:rsid w:val="006041F7"/>
    <w:rsid w:val="006041FA"/>
    <w:rsid w:val="0060420C"/>
    <w:rsid w:val="006043FB"/>
    <w:rsid w:val="0060458C"/>
    <w:rsid w:val="006045C7"/>
    <w:rsid w:val="006046CE"/>
    <w:rsid w:val="006046F3"/>
    <w:rsid w:val="00604711"/>
    <w:rsid w:val="006047D9"/>
    <w:rsid w:val="0060484E"/>
    <w:rsid w:val="00604976"/>
    <w:rsid w:val="006049AE"/>
    <w:rsid w:val="006049DD"/>
    <w:rsid w:val="00604B0C"/>
    <w:rsid w:val="00604B4C"/>
    <w:rsid w:val="00604B95"/>
    <w:rsid w:val="00604BA3"/>
    <w:rsid w:val="00604C9B"/>
    <w:rsid w:val="00604D79"/>
    <w:rsid w:val="00604DDC"/>
    <w:rsid w:val="00604E1F"/>
    <w:rsid w:val="00604F31"/>
    <w:rsid w:val="00604F4E"/>
    <w:rsid w:val="00604F99"/>
    <w:rsid w:val="00604FBA"/>
    <w:rsid w:val="006050D5"/>
    <w:rsid w:val="00605135"/>
    <w:rsid w:val="0060517F"/>
    <w:rsid w:val="006051F2"/>
    <w:rsid w:val="00605294"/>
    <w:rsid w:val="006052E1"/>
    <w:rsid w:val="00605348"/>
    <w:rsid w:val="0060549B"/>
    <w:rsid w:val="006054D5"/>
    <w:rsid w:val="006054D8"/>
    <w:rsid w:val="0060552A"/>
    <w:rsid w:val="006055C2"/>
    <w:rsid w:val="0060560D"/>
    <w:rsid w:val="0060562B"/>
    <w:rsid w:val="0060568D"/>
    <w:rsid w:val="0060572D"/>
    <w:rsid w:val="006057CA"/>
    <w:rsid w:val="006057F2"/>
    <w:rsid w:val="00605854"/>
    <w:rsid w:val="0060587F"/>
    <w:rsid w:val="0060588A"/>
    <w:rsid w:val="0060588F"/>
    <w:rsid w:val="00605973"/>
    <w:rsid w:val="006059ED"/>
    <w:rsid w:val="00605A54"/>
    <w:rsid w:val="00605AE4"/>
    <w:rsid w:val="00605B8A"/>
    <w:rsid w:val="00605B90"/>
    <w:rsid w:val="00605BA0"/>
    <w:rsid w:val="00605C06"/>
    <w:rsid w:val="00605C3C"/>
    <w:rsid w:val="00605C5C"/>
    <w:rsid w:val="00605CBF"/>
    <w:rsid w:val="00605CD3"/>
    <w:rsid w:val="00605CD6"/>
    <w:rsid w:val="00605CE6"/>
    <w:rsid w:val="00605D53"/>
    <w:rsid w:val="00605DA4"/>
    <w:rsid w:val="00605DBA"/>
    <w:rsid w:val="00605DCB"/>
    <w:rsid w:val="00605DE7"/>
    <w:rsid w:val="00605ED5"/>
    <w:rsid w:val="00605EF8"/>
    <w:rsid w:val="00605FEE"/>
    <w:rsid w:val="006060A8"/>
    <w:rsid w:val="006060CB"/>
    <w:rsid w:val="00606152"/>
    <w:rsid w:val="00606159"/>
    <w:rsid w:val="006062B5"/>
    <w:rsid w:val="006062FE"/>
    <w:rsid w:val="006063CF"/>
    <w:rsid w:val="0060642D"/>
    <w:rsid w:val="0060648B"/>
    <w:rsid w:val="006064AC"/>
    <w:rsid w:val="00606553"/>
    <w:rsid w:val="00606560"/>
    <w:rsid w:val="00606647"/>
    <w:rsid w:val="0060678A"/>
    <w:rsid w:val="006067B0"/>
    <w:rsid w:val="006067CE"/>
    <w:rsid w:val="006067D5"/>
    <w:rsid w:val="006067FB"/>
    <w:rsid w:val="0060680B"/>
    <w:rsid w:val="0060687A"/>
    <w:rsid w:val="0060688C"/>
    <w:rsid w:val="006068C2"/>
    <w:rsid w:val="00606926"/>
    <w:rsid w:val="0060692C"/>
    <w:rsid w:val="00606938"/>
    <w:rsid w:val="0060693D"/>
    <w:rsid w:val="0060696E"/>
    <w:rsid w:val="006069ED"/>
    <w:rsid w:val="00606AA7"/>
    <w:rsid w:val="00606AB8"/>
    <w:rsid w:val="00606AD1"/>
    <w:rsid w:val="00606B13"/>
    <w:rsid w:val="00606B86"/>
    <w:rsid w:val="00606BD2"/>
    <w:rsid w:val="00606C7E"/>
    <w:rsid w:val="00606CA5"/>
    <w:rsid w:val="00606DCA"/>
    <w:rsid w:val="00606E23"/>
    <w:rsid w:val="00606F0E"/>
    <w:rsid w:val="00606F2D"/>
    <w:rsid w:val="00606FD5"/>
    <w:rsid w:val="00606FE0"/>
    <w:rsid w:val="00607021"/>
    <w:rsid w:val="00607074"/>
    <w:rsid w:val="00607148"/>
    <w:rsid w:val="006071E5"/>
    <w:rsid w:val="00607228"/>
    <w:rsid w:val="00607252"/>
    <w:rsid w:val="00607256"/>
    <w:rsid w:val="0060727F"/>
    <w:rsid w:val="0060737D"/>
    <w:rsid w:val="0060737F"/>
    <w:rsid w:val="006073C0"/>
    <w:rsid w:val="006074FD"/>
    <w:rsid w:val="006075EC"/>
    <w:rsid w:val="006075FC"/>
    <w:rsid w:val="006076AA"/>
    <w:rsid w:val="00607802"/>
    <w:rsid w:val="0060790F"/>
    <w:rsid w:val="00607931"/>
    <w:rsid w:val="00607A47"/>
    <w:rsid w:val="00607B9C"/>
    <w:rsid w:val="00607C11"/>
    <w:rsid w:val="00607C13"/>
    <w:rsid w:val="00607C85"/>
    <w:rsid w:val="00607CBE"/>
    <w:rsid w:val="00607CDA"/>
    <w:rsid w:val="00607D17"/>
    <w:rsid w:val="00607D4F"/>
    <w:rsid w:val="00607D8B"/>
    <w:rsid w:val="00607E67"/>
    <w:rsid w:val="00607EC7"/>
    <w:rsid w:val="00607F03"/>
    <w:rsid w:val="00607F1B"/>
    <w:rsid w:val="00607F5D"/>
    <w:rsid w:val="00607FBD"/>
    <w:rsid w:val="00607FF3"/>
    <w:rsid w:val="0061000A"/>
    <w:rsid w:val="00610026"/>
    <w:rsid w:val="00610057"/>
    <w:rsid w:val="006100B3"/>
    <w:rsid w:val="006100B5"/>
    <w:rsid w:val="006100CD"/>
    <w:rsid w:val="006100EE"/>
    <w:rsid w:val="00610145"/>
    <w:rsid w:val="00610172"/>
    <w:rsid w:val="006101DB"/>
    <w:rsid w:val="006101F4"/>
    <w:rsid w:val="006102D6"/>
    <w:rsid w:val="0061035F"/>
    <w:rsid w:val="00610427"/>
    <w:rsid w:val="00610439"/>
    <w:rsid w:val="006104E6"/>
    <w:rsid w:val="00610556"/>
    <w:rsid w:val="00610584"/>
    <w:rsid w:val="006105FF"/>
    <w:rsid w:val="00610627"/>
    <w:rsid w:val="00610681"/>
    <w:rsid w:val="006106DD"/>
    <w:rsid w:val="00610727"/>
    <w:rsid w:val="006107E5"/>
    <w:rsid w:val="0061085E"/>
    <w:rsid w:val="0061097E"/>
    <w:rsid w:val="006109CD"/>
    <w:rsid w:val="006109E7"/>
    <w:rsid w:val="00610AF5"/>
    <w:rsid w:val="00610B37"/>
    <w:rsid w:val="00610B6E"/>
    <w:rsid w:val="00610B93"/>
    <w:rsid w:val="00610BCF"/>
    <w:rsid w:val="00610CD6"/>
    <w:rsid w:val="00610D7F"/>
    <w:rsid w:val="00610DB8"/>
    <w:rsid w:val="00610DDE"/>
    <w:rsid w:val="00610E7A"/>
    <w:rsid w:val="00610E7D"/>
    <w:rsid w:val="00610F2C"/>
    <w:rsid w:val="00610F33"/>
    <w:rsid w:val="00610F54"/>
    <w:rsid w:val="00610F6C"/>
    <w:rsid w:val="00610FAF"/>
    <w:rsid w:val="00610FB9"/>
    <w:rsid w:val="00611073"/>
    <w:rsid w:val="00611095"/>
    <w:rsid w:val="006110AE"/>
    <w:rsid w:val="006110FF"/>
    <w:rsid w:val="0061110D"/>
    <w:rsid w:val="00611204"/>
    <w:rsid w:val="00611236"/>
    <w:rsid w:val="00611306"/>
    <w:rsid w:val="006113B6"/>
    <w:rsid w:val="006113E6"/>
    <w:rsid w:val="006113EF"/>
    <w:rsid w:val="00611422"/>
    <w:rsid w:val="00611461"/>
    <w:rsid w:val="00611518"/>
    <w:rsid w:val="00611586"/>
    <w:rsid w:val="006115BB"/>
    <w:rsid w:val="00611610"/>
    <w:rsid w:val="006116B3"/>
    <w:rsid w:val="00611730"/>
    <w:rsid w:val="0061173C"/>
    <w:rsid w:val="006118BF"/>
    <w:rsid w:val="00611917"/>
    <w:rsid w:val="00611A54"/>
    <w:rsid w:val="00611AAF"/>
    <w:rsid w:val="00611B28"/>
    <w:rsid w:val="00611BEF"/>
    <w:rsid w:val="00611CE5"/>
    <w:rsid w:val="00611D1F"/>
    <w:rsid w:val="00611DAC"/>
    <w:rsid w:val="00611DCB"/>
    <w:rsid w:val="00611DE4"/>
    <w:rsid w:val="00611E2B"/>
    <w:rsid w:val="00611E30"/>
    <w:rsid w:val="00611E4E"/>
    <w:rsid w:val="00611E5F"/>
    <w:rsid w:val="00611EB9"/>
    <w:rsid w:val="00611EF2"/>
    <w:rsid w:val="00611F4D"/>
    <w:rsid w:val="00611FA1"/>
    <w:rsid w:val="00611FEF"/>
    <w:rsid w:val="006120B8"/>
    <w:rsid w:val="006120DC"/>
    <w:rsid w:val="0061212D"/>
    <w:rsid w:val="00612149"/>
    <w:rsid w:val="0061214F"/>
    <w:rsid w:val="00612160"/>
    <w:rsid w:val="006121CB"/>
    <w:rsid w:val="00612203"/>
    <w:rsid w:val="00612233"/>
    <w:rsid w:val="0061227A"/>
    <w:rsid w:val="006122BE"/>
    <w:rsid w:val="006122E0"/>
    <w:rsid w:val="006122ED"/>
    <w:rsid w:val="006122F8"/>
    <w:rsid w:val="00612312"/>
    <w:rsid w:val="00612368"/>
    <w:rsid w:val="0061242F"/>
    <w:rsid w:val="00612491"/>
    <w:rsid w:val="006125BD"/>
    <w:rsid w:val="006125C8"/>
    <w:rsid w:val="00612678"/>
    <w:rsid w:val="00612730"/>
    <w:rsid w:val="006127A8"/>
    <w:rsid w:val="00612887"/>
    <w:rsid w:val="006128DF"/>
    <w:rsid w:val="00612904"/>
    <w:rsid w:val="0061290A"/>
    <w:rsid w:val="00612A20"/>
    <w:rsid w:val="00612A3C"/>
    <w:rsid w:val="00612AA2"/>
    <w:rsid w:val="00612AC0"/>
    <w:rsid w:val="00612B1D"/>
    <w:rsid w:val="00612B3B"/>
    <w:rsid w:val="00612BAD"/>
    <w:rsid w:val="00612C04"/>
    <w:rsid w:val="00612C1C"/>
    <w:rsid w:val="00612C31"/>
    <w:rsid w:val="00612DB0"/>
    <w:rsid w:val="00612DBC"/>
    <w:rsid w:val="00612E9A"/>
    <w:rsid w:val="00612EA1"/>
    <w:rsid w:val="00612EF3"/>
    <w:rsid w:val="00612F2D"/>
    <w:rsid w:val="00612F79"/>
    <w:rsid w:val="006130D9"/>
    <w:rsid w:val="00613151"/>
    <w:rsid w:val="00613166"/>
    <w:rsid w:val="006131B6"/>
    <w:rsid w:val="0061320A"/>
    <w:rsid w:val="006133BD"/>
    <w:rsid w:val="0061342E"/>
    <w:rsid w:val="00613444"/>
    <w:rsid w:val="0061344B"/>
    <w:rsid w:val="006134C6"/>
    <w:rsid w:val="006134E4"/>
    <w:rsid w:val="00613529"/>
    <w:rsid w:val="0061355B"/>
    <w:rsid w:val="0061361A"/>
    <w:rsid w:val="006137B6"/>
    <w:rsid w:val="00613826"/>
    <w:rsid w:val="00613889"/>
    <w:rsid w:val="006138A2"/>
    <w:rsid w:val="0061392A"/>
    <w:rsid w:val="006139B0"/>
    <w:rsid w:val="00613AC2"/>
    <w:rsid w:val="00613AC4"/>
    <w:rsid w:val="00613ACD"/>
    <w:rsid w:val="00613AFE"/>
    <w:rsid w:val="00613B3D"/>
    <w:rsid w:val="00613B81"/>
    <w:rsid w:val="00613BB3"/>
    <w:rsid w:val="00613C09"/>
    <w:rsid w:val="00613C56"/>
    <w:rsid w:val="00613CCD"/>
    <w:rsid w:val="00613CEA"/>
    <w:rsid w:val="00613D1A"/>
    <w:rsid w:val="00613DB2"/>
    <w:rsid w:val="00613DF1"/>
    <w:rsid w:val="00613E39"/>
    <w:rsid w:val="00613E87"/>
    <w:rsid w:val="00613ECD"/>
    <w:rsid w:val="00613EE1"/>
    <w:rsid w:val="00613F56"/>
    <w:rsid w:val="0061400D"/>
    <w:rsid w:val="00614029"/>
    <w:rsid w:val="00614060"/>
    <w:rsid w:val="0061409D"/>
    <w:rsid w:val="006140A2"/>
    <w:rsid w:val="006140A7"/>
    <w:rsid w:val="006140B1"/>
    <w:rsid w:val="006140DC"/>
    <w:rsid w:val="006140FF"/>
    <w:rsid w:val="00614137"/>
    <w:rsid w:val="00614147"/>
    <w:rsid w:val="00614149"/>
    <w:rsid w:val="0061414F"/>
    <w:rsid w:val="00614160"/>
    <w:rsid w:val="006141AD"/>
    <w:rsid w:val="0061422D"/>
    <w:rsid w:val="0061423C"/>
    <w:rsid w:val="006142DE"/>
    <w:rsid w:val="006142EF"/>
    <w:rsid w:val="00614410"/>
    <w:rsid w:val="0061442A"/>
    <w:rsid w:val="0061451E"/>
    <w:rsid w:val="0061452C"/>
    <w:rsid w:val="0061456A"/>
    <w:rsid w:val="0061458E"/>
    <w:rsid w:val="006145C8"/>
    <w:rsid w:val="006145D0"/>
    <w:rsid w:val="006145E5"/>
    <w:rsid w:val="006147B9"/>
    <w:rsid w:val="006149A3"/>
    <w:rsid w:val="00614A51"/>
    <w:rsid w:val="00614A75"/>
    <w:rsid w:val="00614A82"/>
    <w:rsid w:val="00614AB5"/>
    <w:rsid w:val="00614B59"/>
    <w:rsid w:val="00614C18"/>
    <w:rsid w:val="00614C3B"/>
    <w:rsid w:val="00614C72"/>
    <w:rsid w:val="00614CB0"/>
    <w:rsid w:val="00614CED"/>
    <w:rsid w:val="00614D7B"/>
    <w:rsid w:val="00614D7D"/>
    <w:rsid w:val="00614D84"/>
    <w:rsid w:val="00614E72"/>
    <w:rsid w:val="00614EE3"/>
    <w:rsid w:val="00614EF8"/>
    <w:rsid w:val="00614F8A"/>
    <w:rsid w:val="00614FBA"/>
    <w:rsid w:val="00615082"/>
    <w:rsid w:val="006150D3"/>
    <w:rsid w:val="006150EF"/>
    <w:rsid w:val="00615104"/>
    <w:rsid w:val="006151C4"/>
    <w:rsid w:val="00615226"/>
    <w:rsid w:val="00615268"/>
    <w:rsid w:val="006152EB"/>
    <w:rsid w:val="00615363"/>
    <w:rsid w:val="0061536F"/>
    <w:rsid w:val="00615385"/>
    <w:rsid w:val="0061538F"/>
    <w:rsid w:val="006153A8"/>
    <w:rsid w:val="006153EC"/>
    <w:rsid w:val="00615571"/>
    <w:rsid w:val="006156D3"/>
    <w:rsid w:val="0061577B"/>
    <w:rsid w:val="006157B6"/>
    <w:rsid w:val="006158B2"/>
    <w:rsid w:val="0061599B"/>
    <w:rsid w:val="00615A50"/>
    <w:rsid w:val="00615AD7"/>
    <w:rsid w:val="00615AE6"/>
    <w:rsid w:val="00615B0A"/>
    <w:rsid w:val="00615B35"/>
    <w:rsid w:val="00615C16"/>
    <w:rsid w:val="00615C2E"/>
    <w:rsid w:val="00615C74"/>
    <w:rsid w:val="00615C95"/>
    <w:rsid w:val="00615CD9"/>
    <w:rsid w:val="00615D56"/>
    <w:rsid w:val="00615DBD"/>
    <w:rsid w:val="00615E1D"/>
    <w:rsid w:val="00615E50"/>
    <w:rsid w:val="00615ECD"/>
    <w:rsid w:val="00615ED0"/>
    <w:rsid w:val="00615F41"/>
    <w:rsid w:val="00615F58"/>
    <w:rsid w:val="00615F71"/>
    <w:rsid w:val="00615FA7"/>
    <w:rsid w:val="00615FE0"/>
    <w:rsid w:val="00615FFA"/>
    <w:rsid w:val="00616034"/>
    <w:rsid w:val="006160AF"/>
    <w:rsid w:val="006160E7"/>
    <w:rsid w:val="0061611F"/>
    <w:rsid w:val="00616133"/>
    <w:rsid w:val="00616140"/>
    <w:rsid w:val="0061625C"/>
    <w:rsid w:val="0061638E"/>
    <w:rsid w:val="006164EB"/>
    <w:rsid w:val="006164F0"/>
    <w:rsid w:val="0061651D"/>
    <w:rsid w:val="00616520"/>
    <w:rsid w:val="0061653E"/>
    <w:rsid w:val="006165C9"/>
    <w:rsid w:val="006165DA"/>
    <w:rsid w:val="00616601"/>
    <w:rsid w:val="0061667C"/>
    <w:rsid w:val="0061670A"/>
    <w:rsid w:val="00616759"/>
    <w:rsid w:val="00616771"/>
    <w:rsid w:val="006167A7"/>
    <w:rsid w:val="006167F2"/>
    <w:rsid w:val="006168E7"/>
    <w:rsid w:val="00616A52"/>
    <w:rsid w:val="00616A59"/>
    <w:rsid w:val="00616ACD"/>
    <w:rsid w:val="00616AD6"/>
    <w:rsid w:val="00616B55"/>
    <w:rsid w:val="00616BB0"/>
    <w:rsid w:val="00616BC2"/>
    <w:rsid w:val="00616BD0"/>
    <w:rsid w:val="00616C09"/>
    <w:rsid w:val="00616CAD"/>
    <w:rsid w:val="00616CC7"/>
    <w:rsid w:val="00616CF9"/>
    <w:rsid w:val="00616D61"/>
    <w:rsid w:val="00616DA1"/>
    <w:rsid w:val="00616DBE"/>
    <w:rsid w:val="00616DC8"/>
    <w:rsid w:val="00616DFB"/>
    <w:rsid w:val="00616E24"/>
    <w:rsid w:val="00616E60"/>
    <w:rsid w:val="00616ED2"/>
    <w:rsid w:val="00616F83"/>
    <w:rsid w:val="00617014"/>
    <w:rsid w:val="0061705C"/>
    <w:rsid w:val="006170A5"/>
    <w:rsid w:val="006170F9"/>
    <w:rsid w:val="006171F9"/>
    <w:rsid w:val="0061720C"/>
    <w:rsid w:val="006172C3"/>
    <w:rsid w:val="006173CD"/>
    <w:rsid w:val="006173EA"/>
    <w:rsid w:val="00617415"/>
    <w:rsid w:val="0061743A"/>
    <w:rsid w:val="0061759F"/>
    <w:rsid w:val="00617691"/>
    <w:rsid w:val="006176C1"/>
    <w:rsid w:val="006176E8"/>
    <w:rsid w:val="0061784E"/>
    <w:rsid w:val="0061788C"/>
    <w:rsid w:val="006178AB"/>
    <w:rsid w:val="00617904"/>
    <w:rsid w:val="006179A0"/>
    <w:rsid w:val="00617A0D"/>
    <w:rsid w:val="00617A73"/>
    <w:rsid w:val="00617AAB"/>
    <w:rsid w:val="00617B67"/>
    <w:rsid w:val="00617B88"/>
    <w:rsid w:val="00617BFE"/>
    <w:rsid w:val="00617CDC"/>
    <w:rsid w:val="00617CDE"/>
    <w:rsid w:val="00617D0F"/>
    <w:rsid w:val="00617D86"/>
    <w:rsid w:val="00617E38"/>
    <w:rsid w:val="00617E85"/>
    <w:rsid w:val="00617ECE"/>
    <w:rsid w:val="00617EE1"/>
    <w:rsid w:val="00617F08"/>
    <w:rsid w:val="00617FA7"/>
    <w:rsid w:val="00620016"/>
    <w:rsid w:val="006200D2"/>
    <w:rsid w:val="006200DD"/>
    <w:rsid w:val="00620114"/>
    <w:rsid w:val="006201E0"/>
    <w:rsid w:val="00620280"/>
    <w:rsid w:val="006202C1"/>
    <w:rsid w:val="00620343"/>
    <w:rsid w:val="0062048B"/>
    <w:rsid w:val="00620548"/>
    <w:rsid w:val="006205B6"/>
    <w:rsid w:val="006205D9"/>
    <w:rsid w:val="0062062A"/>
    <w:rsid w:val="00620658"/>
    <w:rsid w:val="00620715"/>
    <w:rsid w:val="006207A8"/>
    <w:rsid w:val="00620856"/>
    <w:rsid w:val="00620872"/>
    <w:rsid w:val="0062093B"/>
    <w:rsid w:val="006209DF"/>
    <w:rsid w:val="00620A50"/>
    <w:rsid w:val="00620A99"/>
    <w:rsid w:val="00620ACB"/>
    <w:rsid w:val="00620B6C"/>
    <w:rsid w:val="00620B71"/>
    <w:rsid w:val="00620BF7"/>
    <w:rsid w:val="00620BFE"/>
    <w:rsid w:val="00620C52"/>
    <w:rsid w:val="00620CCF"/>
    <w:rsid w:val="00620D7F"/>
    <w:rsid w:val="00620E2D"/>
    <w:rsid w:val="00620E54"/>
    <w:rsid w:val="00620EC6"/>
    <w:rsid w:val="00620ECF"/>
    <w:rsid w:val="00620F3F"/>
    <w:rsid w:val="00620F67"/>
    <w:rsid w:val="00620F76"/>
    <w:rsid w:val="00620F83"/>
    <w:rsid w:val="00620FEB"/>
    <w:rsid w:val="0062104A"/>
    <w:rsid w:val="0062106D"/>
    <w:rsid w:val="006210E1"/>
    <w:rsid w:val="0062113E"/>
    <w:rsid w:val="00621145"/>
    <w:rsid w:val="006211CA"/>
    <w:rsid w:val="006211FA"/>
    <w:rsid w:val="00621265"/>
    <w:rsid w:val="00621295"/>
    <w:rsid w:val="006212C3"/>
    <w:rsid w:val="0062134F"/>
    <w:rsid w:val="00621419"/>
    <w:rsid w:val="00621431"/>
    <w:rsid w:val="006214C9"/>
    <w:rsid w:val="006214D5"/>
    <w:rsid w:val="0062153D"/>
    <w:rsid w:val="0062156C"/>
    <w:rsid w:val="0062163F"/>
    <w:rsid w:val="00621675"/>
    <w:rsid w:val="00621686"/>
    <w:rsid w:val="006216CF"/>
    <w:rsid w:val="00621728"/>
    <w:rsid w:val="006217C7"/>
    <w:rsid w:val="00621827"/>
    <w:rsid w:val="0062188F"/>
    <w:rsid w:val="00621941"/>
    <w:rsid w:val="00621A4F"/>
    <w:rsid w:val="00621A5B"/>
    <w:rsid w:val="00621B00"/>
    <w:rsid w:val="00621B57"/>
    <w:rsid w:val="00621B86"/>
    <w:rsid w:val="00621BCB"/>
    <w:rsid w:val="00621C1D"/>
    <w:rsid w:val="00621CAA"/>
    <w:rsid w:val="00621CF3"/>
    <w:rsid w:val="00621D49"/>
    <w:rsid w:val="00621D8A"/>
    <w:rsid w:val="00621DA3"/>
    <w:rsid w:val="00621E0D"/>
    <w:rsid w:val="00621E12"/>
    <w:rsid w:val="00621E54"/>
    <w:rsid w:val="00621E76"/>
    <w:rsid w:val="00621F05"/>
    <w:rsid w:val="00621F2D"/>
    <w:rsid w:val="00621F49"/>
    <w:rsid w:val="00621FC9"/>
    <w:rsid w:val="00621FFB"/>
    <w:rsid w:val="0062204C"/>
    <w:rsid w:val="006221C8"/>
    <w:rsid w:val="006222BC"/>
    <w:rsid w:val="006222C7"/>
    <w:rsid w:val="0062242B"/>
    <w:rsid w:val="0062246E"/>
    <w:rsid w:val="0062252D"/>
    <w:rsid w:val="006225D5"/>
    <w:rsid w:val="006226A8"/>
    <w:rsid w:val="006226BD"/>
    <w:rsid w:val="00622714"/>
    <w:rsid w:val="00622790"/>
    <w:rsid w:val="0062279A"/>
    <w:rsid w:val="006227AB"/>
    <w:rsid w:val="006227B9"/>
    <w:rsid w:val="00622864"/>
    <w:rsid w:val="00622948"/>
    <w:rsid w:val="0062296D"/>
    <w:rsid w:val="0062299C"/>
    <w:rsid w:val="00622A20"/>
    <w:rsid w:val="00622A3A"/>
    <w:rsid w:val="00622A69"/>
    <w:rsid w:val="00622AB6"/>
    <w:rsid w:val="00622ADC"/>
    <w:rsid w:val="00622C8E"/>
    <w:rsid w:val="00622C92"/>
    <w:rsid w:val="00622CCD"/>
    <w:rsid w:val="00622D5E"/>
    <w:rsid w:val="00622DE5"/>
    <w:rsid w:val="00622E21"/>
    <w:rsid w:val="00622F13"/>
    <w:rsid w:val="0062301C"/>
    <w:rsid w:val="00623024"/>
    <w:rsid w:val="00623026"/>
    <w:rsid w:val="00623098"/>
    <w:rsid w:val="006230F4"/>
    <w:rsid w:val="006231CA"/>
    <w:rsid w:val="00623303"/>
    <w:rsid w:val="00623312"/>
    <w:rsid w:val="0062341A"/>
    <w:rsid w:val="0062343F"/>
    <w:rsid w:val="00623554"/>
    <w:rsid w:val="006235AE"/>
    <w:rsid w:val="006235C1"/>
    <w:rsid w:val="0062369F"/>
    <w:rsid w:val="006236E2"/>
    <w:rsid w:val="006236F9"/>
    <w:rsid w:val="00623708"/>
    <w:rsid w:val="0062378F"/>
    <w:rsid w:val="006237B3"/>
    <w:rsid w:val="006237DA"/>
    <w:rsid w:val="00623802"/>
    <w:rsid w:val="006238D2"/>
    <w:rsid w:val="006238FA"/>
    <w:rsid w:val="006238FD"/>
    <w:rsid w:val="0062391C"/>
    <w:rsid w:val="0062399A"/>
    <w:rsid w:val="006239B7"/>
    <w:rsid w:val="006239D0"/>
    <w:rsid w:val="00623A25"/>
    <w:rsid w:val="00623AB9"/>
    <w:rsid w:val="00623AEE"/>
    <w:rsid w:val="00623BAF"/>
    <w:rsid w:val="00623BC7"/>
    <w:rsid w:val="00623C61"/>
    <w:rsid w:val="00623CB0"/>
    <w:rsid w:val="00623CBC"/>
    <w:rsid w:val="00623CCF"/>
    <w:rsid w:val="00623CF0"/>
    <w:rsid w:val="00623D37"/>
    <w:rsid w:val="00623E3C"/>
    <w:rsid w:val="00623EA5"/>
    <w:rsid w:val="00623ECA"/>
    <w:rsid w:val="00623F15"/>
    <w:rsid w:val="00623FF3"/>
    <w:rsid w:val="006240A8"/>
    <w:rsid w:val="006240DC"/>
    <w:rsid w:val="0062415D"/>
    <w:rsid w:val="00624164"/>
    <w:rsid w:val="0062416A"/>
    <w:rsid w:val="006241D3"/>
    <w:rsid w:val="006241DE"/>
    <w:rsid w:val="00624288"/>
    <w:rsid w:val="006242E4"/>
    <w:rsid w:val="006243AC"/>
    <w:rsid w:val="006243F9"/>
    <w:rsid w:val="00624561"/>
    <w:rsid w:val="00624570"/>
    <w:rsid w:val="0062458F"/>
    <w:rsid w:val="006245C7"/>
    <w:rsid w:val="006245CC"/>
    <w:rsid w:val="00624696"/>
    <w:rsid w:val="00624730"/>
    <w:rsid w:val="006247B0"/>
    <w:rsid w:val="00624835"/>
    <w:rsid w:val="006248D9"/>
    <w:rsid w:val="006248DA"/>
    <w:rsid w:val="00624961"/>
    <w:rsid w:val="00624995"/>
    <w:rsid w:val="00624A31"/>
    <w:rsid w:val="00624B82"/>
    <w:rsid w:val="00624B90"/>
    <w:rsid w:val="00624C56"/>
    <w:rsid w:val="00624C59"/>
    <w:rsid w:val="00624C9E"/>
    <w:rsid w:val="00624CD1"/>
    <w:rsid w:val="00624D3A"/>
    <w:rsid w:val="00624DFC"/>
    <w:rsid w:val="00624F83"/>
    <w:rsid w:val="00625013"/>
    <w:rsid w:val="0062506A"/>
    <w:rsid w:val="00625128"/>
    <w:rsid w:val="0062512C"/>
    <w:rsid w:val="00625180"/>
    <w:rsid w:val="006251D5"/>
    <w:rsid w:val="0062528F"/>
    <w:rsid w:val="006252AE"/>
    <w:rsid w:val="006252EC"/>
    <w:rsid w:val="00625345"/>
    <w:rsid w:val="0062534C"/>
    <w:rsid w:val="00625386"/>
    <w:rsid w:val="00625493"/>
    <w:rsid w:val="006254D7"/>
    <w:rsid w:val="0062554F"/>
    <w:rsid w:val="006255A2"/>
    <w:rsid w:val="006257EC"/>
    <w:rsid w:val="006257FB"/>
    <w:rsid w:val="00625807"/>
    <w:rsid w:val="00625809"/>
    <w:rsid w:val="00625812"/>
    <w:rsid w:val="0062591C"/>
    <w:rsid w:val="00625938"/>
    <w:rsid w:val="0062593C"/>
    <w:rsid w:val="0062597E"/>
    <w:rsid w:val="00625A0C"/>
    <w:rsid w:val="00625A3F"/>
    <w:rsid w:val="00625A49"/>
    <w:rsid w:val="00625B5B"/>
    <w:rsid w:val="00625B7B"/>
    <w:rsid w:val="00625B92"/>
    <w:rsid w:val="00625B9F"/>
    <w:rsid w:val="00625BC4"/>
    <w:rsid w:val="00625C45"/>
    <w:rsid w:val="00625CED"/>
    <w:rsid w:val="00625D33"/>
    <w:rsid w:val="00625DEA"/>
    <w:rsid w:val="00625E54"/>
    <w:rsid w:val="00625F98"/>
    <w:rsid w:val="00626034"/>
    <w:rsid w:val="0062603B"/>
    <w:rsid w:val="0062603F"/>
    <w:rsid w:val="006260E6"/>
    <w:rsid w:val="006260FA"/>
    <w:rsid w:val="0062618B"/>
    <w:rsid w:val="006261AC"/>
    <w:rsid w:val="00626200"/>
    <w:rsid w:val="00626229"/>
    <w:rsid w:val="00626251"/>
    <w:rsid w:val="00626258"/>
    <w:rsid w:val="0062625F"/>
    <w:rsid w:val="0062626A"/>
    <w:rsid w:val="0062629D"/>
    <w:rsid w:val="00626369"/>
    <w:rsid w:val="00626393"/>
    <w:rsid w:val="006264D3"/>
    <w:rsid w:val="00626550"/>
    <w:rsid w:val="00626569"/>
    <w:rsid w:val="00626577"/>
    <w:rsid w:val="006265E4"/>
    <w:rsid w:val="00626616"/>
    <w:rsid w:val="0062662B"/>
    <w:rsid w:val="00626680"/>
    <w:rsid w:val="006266B1"/>
    <w:rsid w:val="006266C9"/>
    <w:rsid w:val="006266D2"/>
    <w:rsid w:val="00626847"/>
    <w:rsid w:val="0062687D"/>
    <w:rsid w:val="0062689F"/>
    <w:rsid w:val="006268AF"/>
    <w:rsid w:val="0062690F"/>
    <w:rsid w:val="0062691C"/>
    <w:rsid w:val="00626938"/>
    <w:rsid w:val="00626A43"/>
    <w:rsid w:val="00626B40"/>
    <w:rsid w:val="00626C14"/>
    <w:rsid w:val="00626CF7"/>
    <w:rsid w:val="00626D22"/>
    <w:rsid w:val="00626D71"/>
    <w:rsid w:val="00626E13"/>
    <w:rsid w:val="00626E33"/>
    <w:rsid w:val="00626E3A"/>
    <w:rsid w:val="00626EF8"/>
    <w:rsid w:val="00626F1E"/>
    <w:rsid w:val="00626F2E"/>
    <w:rsid w:val="00626F78"/>
    <w:rsid w:val="00626F93"/>
    <w:rsid w:val="00627028"/>
    <w:rsid w:val="0062702F"/>
    <w:rsid w:val="0062704D"/>
    <w:rsid w:val="006270BC"/>
    <w:rsid w:val="006270F8"/>
    <w:rsid w:val="006270FC"/>
    <w:rsid w:val="00627172"/>
    <w:rsid w:val="0062719A"/>
    <w:rsid w:val="006271F1"/>
    <w:rsid w:val="00627263"/>
    <w:rsid w:val="006272BB"/>
    <w:rsid w:val="006272D1"/>
    <w:rsid w:val="006273CE"/>
    <w:rsid w:val="006273FD"/>
    <w:rsid w:val="00627483"/>
    <w:rsid w:val="006274FE"/>
    <w:rsid w:val="0062750D"/>
    <w:rsid w:val="00627519"/>
    <w:rsid w:val="00627568"/>
    <w:rsid w:val="0062757E"/>
    <w:rsid w:val="006275B4"/>
    <w:rsid w:val="00627649"/>
    <w:rsid w:val="0062765D"/>
    <w:rsid w:val="0062766B"/>
    <w:rsid w:val="0062768F"/>
    <w:rsid w:val="0062770D"/>
    <w:rsid w:val="00627789"/>
    <w:rsid w:val="0062784D"/>
    <w:rsid w:val="006278A3"/>
    <w:rsid w:val="006278AD"/>
    <w:rsid w:val="00627955"/>
    <w:rsid w:val="00627A52"/>
    <w:rsid w:val="00627AC3"/>
    <w:rsid w:val="00627B3E"/>
    <w:rsid w:val="00627B96"/>
    <w:rsid w:val="00627BB4"/>
    <w:rsid w:val="00627C13"/>
    <w:rsid w:val="00627C1C"/>
    <w:rsid w:val="00627D12"/>
    <w:rsid w:val="00627D1D"/>
    <w:rsid w:val="00627D21"/>
    <w:rsid w:val="00627DE2"/>
    <w:rsid w:val="00627ED8"/>
    <w:rsid w:val="00627EEF"/>
    <w:rsid w:val="00627F7A"/>
    <w:rsid w:val="00627FA9"/>
    <w:rsid w:val="00630043"/>
    <w:rsid w:val="00630052"/>
    <w:rsid w:val="00630064"/>
    <w:rsid w:val="006300C9"/>
    <w:rsid w:val="006300DE"/>
    <w:rsid w:val="00630103"/>
    <w:rsid w:val="00630151"/>
    <w:rsid w:val="006301FF"/>
    <w:rsid w:val="00630257"/>
    <w:rsid w:val="006303B9"/>
    <w:rsid w:val="00630415"/>
    <w:rsid w:val="00630429"/>
    <w:rsid w:val="006304EB"/>
    <w:rsid w:val="00630630"/>
    <w:rsid w:val="00630715"/>
    <w:rsid w:val="00630738"/>
    <w:rsid w:val="00630782"/>
    <w:rsid w:val="006307E1"/>
    <w:rsid w:val="00630841"/>
    <w:rsid w:val="00630849"/>
    <w:rsid w:val="0063084C"/>
    <w:rsid w:val="0063085F"/>
    <w:rsid w:val="0063086C"/>
    <w:rsid w:val="006308B3"/>
    <w:rsid w:val="00630902"/>
    <w:rsid w:val="0063095E"/>
    <w:rsid w:val="00630A01"/>
    <w:rsid w:val="00630A15"/>
    <w:rsid w:val="00630AC2"/>
    <w:rsid w:val="00630AFB"/>
    <w:rsid w:val="00630B1F"/>
    <w:rsid w:val="00630B54"/>
    <w:rsid w:val="00630BFD"/>
    <w:rsid w:val="00630C81"/>
    <w:rsid w:val="00630C82"/>
    <w:rsid w:val="00630CB2"/>
    <w:rsid w:val="00630DD9"/>
    <w:rsid w:val="00630E93"/>
    <w:rsid w:val="00630EC9"/>
    <w:rsid w:val="00630F02"/>
    <w:rsid w:val="00630F25"/>
    <w:rsid w:val="00630F29"/>
    <w:rsid w:val="00630FDD"/>
    <w:rsid w:val="0063107D"/>
    <w:rsid w:val="006310E3"/>
    <w:rsid w:val="0063112F"/>
    <w:rsid w:val="006311C5"/>
    <w:rsid w:val="006311C7"/>
    <w:rsid w:val="0063121B"/>
    <w:rsid w:val="00631221"/>
    <w:rsid w:val="00631233"/>
    <w:rsid w:val="00631283"/>
    <w:rsid w:val="00631368"/>
    <w:rsid w:val="006313AC"/>
    <w:rsid w:val="006313C0"/>
    <w:rsid w:val="0063140B"/>
    <w:rsid w:val="0063141E"/>
    <w:rsid w:val="0063148F"/>
    <w:rsid w:val="006314B9"/>
    <w:rsid w:val="00631523"/>
    <w:rsid w:val="00631628"/>
    <w:rsid w:val="0063165E"/>
    <w:rsid w:val="006316AB"/>
    <w:rsid w:val="006316F0"/>
    <w:rsid w:val="00631714"/>
    <w:rsid w:val="006317DE"/>
    <w:rsid w:val="00631801"/>
    <w:rsid w:val="00631803"/>
    <w:rsid w:val="00631832"/>
    <w:rsid w:val="006318F3"/>
    <w:rsid w:val="00631921"/>
    <w:rsid w:val="00631998"/>
    <w:rsid w:val="006319DA"/>
    <w:rsid w:val="00631A28"/>
    <w:rsid w:val="00631A2B"/>
    <w:rsid w:val="00631B0A"/>
    <w:rsid w:val="00631B1D"/>
    <w:rsid w:val="00631B45"/>
    <w:rsid w:val="00631C29"/>
    <w:rsid w:val="00631C36"/>
    <w:rsid w:val="00631DDB"/>
    <w:rsid w:val="00631DED"/>
    <w:rsid w:val="00631E05"/>
    <w:rsid w:val="00631E28"/>
    <w:rsid w:val="00631E58"/>
    <w:rsid w:val="00631F53"/>
    <w:rsid w:val="00631F85"/>
    <w:rsid w:val="00631FEA"/>
    <w:rsid w:val="006321CE"/>
    <w:rsid w:val="006321DC"/>
    <w:rsid w:val="00632220"/>
    <w:rsid w:val="00632283"/>
    <w:rsid w:val="006323A0"/>
    <w:rsid w:val="0063240A"/>
    <w:rsid w:val="00632464"/>
    <w:rsid w:val="006324EE"/>
    <w:rsid w:val="00632542"/>
    <w:rsid w:val="0063263B"/>
    <w:rsid w:val="00632645"/>
    <w:rsid w:val="00632709"/>
    <w:rsid w:val="00632739"/>
    <w:rsid w:val="00632744"/>
    <w:rsid w:val="006327CE"/>
    <w:rsid w:val="00632864"/>
    <w:rsid w:val="006328CB"/>
    <w:rsid w:val="00632B30"/>
    <w:rsid w:val="00632BC3"/>
    <w:rsid w:val="00632C40"/>
    <w:rsid w:val="00632C4C"/>
    <w:rsid w:val="00632C50"/>
    <w:rsid w:val="00632CE1"/>
    <w:rsid w:val="00632D05"/>
    <w:rsid w:val="00632D3B"/>
    <w:rsid w:val="00632D52"/>
    <w:rsid w:val="00632D91"/>
    <w:rsid w:val="00632DA2"/>
    <w:rsid w:val="00632EFC"/>
    <w:rsid w:val="00632F57"/>
    <w:rsid w:val="00633004"/>
    <w:rsid w:val="006330B9"/>
    <w:rsid w:val="006330E1"/>
    <w:rsid w:val="00633100"/>
    <w:rsid w:val="0063326A"/>
    <w:rsid w:val="00633327"/>
    <w:rsid w:val="00633348"/>
    <w:rsid w:val="00633360"/>
    <w:rsid w:val="0063339A"/>
    <w:rsid w:val="006333B7"/>
    <w:rsid w:val="00633435"/>
    <w:rsid w:val="00633546"/>
    <w:rsid w:val="00633641"/>
    <w:rsid w:val="00633679"/>
    <w:rsid w:val="006336D2"/>
    <w:rsid w:val="006337B8"/>
    <w:rsid w:val="0063380C"/>
    <w:rsid w:val="00633822"/>
    <w:rsid w:val="0063383F"/>
    <w:rsid w:val="0063386E"/>
    <w:rsid w:val="00633893"/>
    <w:rsid w:val="00633894"/>
    <w:rsid w:val="006338B5"/>
    <w:rsid w:val="0063399F"/>
    <w:rsid w:val="00633A14"/>
    <w:rsid w:val="00633AB1"/>
    <w:rsid w:val="00633B05"/>
    <w:rsid w:val="00633B14"/>
    <w:rsid w:val="00633B1D"/>
    <w:rsid w:val="00633B75"/>
    <w:rsid w:val="00633BD7"/>
    <w:rsid w:val="00633C83"/>
    <w:rsid w:val="00633CBA"/>
    <w:rsid w:val="00633D12"/>
    <w:rsid w:val="00633D19"/>
    <w:rsid w:val="00633D8F"/>
    <w:rsid w:val="00633DA4"/>
    <w:rsid w:val="00633E89"/>
    <w:rsid w:val="00633FD3"/>
    <w:rsid w:val="00634000"/>
    <w:rsid w:val="00634157"/>
    <w:rsid w:val="006341DC"/>
    <w:rsid w:val="006341E4"/>
    <w:rsid w:val="0063433E"/>
    <w:rsid w:val="00634509"/>
    <w:rsid w:val="00634537"/>
    <w:rsid w:val="0063458E"/>
    <w:rsid w:val="006346DC"/>
    <w:rsid w:val="00634708"/>
    <w:rsid w:val="00634721"/>
    <w:rsid w:val="00634747"/>
    <w:rsid w:val="00634804"/>
    <w:rsid w:val="0063483B"/>
    <w:rsid w:val="0063483F"/>
    <w:rsid w:val="006348E6"/>
    <w:rsid w:val="0063497A"/>
    <w:rsid w:val="00634A41"/>
    <w:rsid w:val="00634B7E"/>
    <w:rsid w:val="00634BB6"/>
    <w:rsid w:val="00634BB8"/>
    <w:rsid w:val="00634C00"/>
    <w:rsid w:val="00634C31"/>
    <w:rsid w:val="00634DBE"/>
    <w:rsid w:val="00634DCD"/>
    <w:rsid w:val="00634DE5"/>
    <w:rsid w:val="00634E5D"/>
    <w:rsid w:val="00634E88"/>
    <w:rsid w:val="00634E8E"/>
    <w:rsid w:val="00634F8D"/>
    <w:rsid w:val="00635031"/>
    <w:rsid w:val="006350CD"/>
    <w:rsid w:val="00635192"/>
    <w:rsid w:val="006351CE"/>
    <w:rsid w:val="00635283"/>
    <w:rsid w:val="0063529F"/>
    <w:rsid w:val="006352BC"/>
    <w:rsid w:val="006352D5"/>
    <w:rsid w:val="00635300"/>
    <w:rsid w:val="0063533B"/>
    <w:rsid w:val="00635353"/>
    <w:rsid w:val="00635383"/>
    <w:rsid w:val="006353E0"/>
    <w:rsid w:val="006353E1"/>
    <w:rsid w:val="006353FC"/>
    <w:rsid w:val="00635414"/>
    <w:rsid w:val="0063544A"/>
    <w:rsid w:val="0063545C"/>
    <w:rsid w:val="00635485"/>
    <w:rsid w:val="0063551D"/>
    <w:rsid w:val="006355DF"/>
    <w:rsid w:val="00635615"/>
    <w:rsid w:val="00635648"/>
    <w:rsid w:val="00635663"/>
    <w:rsid w:val="006356EB"/>
    <w:rsid w:val="006356F0"/>
    <w:rsid w:val="006357FB"/>
    <w:rsid w:val="0063581F"/>
    <w:rsid w:val="0063589D"/>
    <w:rsid w:val="006359C1"/>
    <w:rsid w:val="00635A3C"/>
    <w:rsid w:val="00635BB8"/>
    <w:rsid w:val="00635BF0"/>
    <w:rsid w:val="00635C0F"/>
    <w:rsid w:val="00635D05"/>
    <w:rsid w:val="00635D3A"/>
    <w:rsid w:val="00635DDF"/>
    <w:rsid w:val="00635E3C"/>
    <w:rsid w:val="00635E52"/>
    <w:rsid w:val="00635E73"/>
    <w:rsid w:val="00635E94"/>
    <w:rsid w:val="00635ED8"/>
    <w:rsid w:val="00635F12"/>
    <w:rsid w:val="00635F71"/>
    <w:rsid w:val="00636049"/>
    <w:rsid w:val="0063607A"/>
    <w:rsid w:val="006360BA"/>
    <w:rsid w:val="006361DC"/>
    <w:rsid w:val="00636251"/>
    <w:rsid w:val="006362BA"/>
    <w:rsid w:val="00636325"/>
    <w:rsid w:val="00636363"/>
    <w:rsid w:val="006363C7"/>
    <w:rsid w:val="00636409"/>
    <w:rsid w:val="006364C8"/>
    <w:rsid w:val="00636534"/>
    <w:rsid w:val="00636571"/>
    <w:rsid w:val="006365DE"/>
    <w:rsid w:val="00636645"/>
    <w:rsid w:val="0063664E"/>
    <w:rsid w:val="00636653"/>
    <w:rsid w:val="00636659"/>
    <w:rsid w:val="006366A2"/>
    <w:rsid w:val="00636731"/>
    <w:rsid w:val="006367C3"/>
    <w:rsid w:val="006368D8"/>
    <w:rsid w:val="00636A40"/>
    <w:rsid w:val="00636AD1"/>
    <w:rsid w:val="00636AF0"/>
    <w:rsid w:val="00636B74"/>
    <w:rsid w:val="00636B8B"/>
    <w:rsid w:val="00636BAD"/>
    <w:rsid w:val="00636D20"/>
    <w:rsid w:val="00636D38"/>
    <w:rsid w:val="00636E02"/>
    <w:rsid w:val="00636E27"/>
    <w:rsid w:val="00636EA4"/>
    <w:rsid w:val="00636EAC"/>
    <w:rsid w:val="00636EE2"/>
    <w:rsid w:val="00636FED"/>
    <w:rsid w:val="00637036"/>
    <w:rsid w:val="006370B7"/>
    <w:rsid w:val="006370C7"/>
    <w:rsid w:val="006370DD"/>
    <w:rsid w:val="0063713C"/>
    <w:rsid w:val="0063719E"/>
    <w:rsid w:val="006371C9"/>
    <w:rsid w:val="00637273"/>
    <w:rsid w:val="00637276"/>
    <w:rsid w:val="006372C1"/>
    <w:rsid w:val="00637361"/>
    <w:rsid w:val="00637380"/>
    <w:rsid w:val="0063738A"/>
    <w:rsid w:val="00637397"/>
    <w:rsid w:val="00637418"/>
    <w:rsid w:val="00637489"/>
    <w:rsid w:val="0063751B"/>
    <w:rsid w:val="00637555"/>
    <w:rsid w:val="0063757D"/>
    <w:rsid w:val="006375A7"/>
    <w:rsid w:val="006375B4"/>
    <w:rsid w:val="0063765C"/>
    <w:rsid w:val="0063767C"/>
    <w:rsid w:val="00637687"/>
    <w:rsid w:val="006376A1"/>
    <w:rsid w:val="006376AE"/>
    <w:rsid w:val="006377D6"/>
    <w:rsid w:val="00637813"/>
    <w:rsid w:val="0063785C"/>
    <w:rsid w:val="0063788A"/>
    <w:rsid w:val="006378AF"/>
    <w:rsid w:val="006378CC"/>
    <w:rsid w:val="0063791D"/>
    <w:rsid w:val="00637924"/>
    <w:rsid w:val="00637959"/>
    <w:rsid w:val="006379B6"/>
    <w:rsid w:val="00637AA9"/>
    <w:rsid w:val="00637AC1"/>
    <w:rsid w:val="00637BA4"/>
    <w:rsid w:val="00637BB3"/>
    <w:rsid w:val="00637C6E"/>
    <w:rsid w:val="00637CD8"/>
    <w:rsid w:val="00637D0C"/>
    <w:rsid w:val="00637D2C"/>
    <w:rsid w:val="00637D7B"/>
    <w:rsid w:val="00637DBE"/>
    <w:rsid w:val="00637E1E"/>
    <w:rsid w:val="00637E33"/>
    <w:rsid w:val="00637F87"/>
    <w:rsid w:val="00637F8E"/>
    <w:rsid w:val="00640074"/>
    <w:rsid w:val="00640105"/>
    <w:rsid w:val="0064012D"/>
    <w:rsid w:val="00640186"/>
    <w:rsid w:val="00640188"/>
    <w:rsid w:val="00640227"/>
    <w:rsid w:val="00640234"/>
    <w:rsid w:val="00640363"/>
    <w:rsid w:val="00640377"/>
    <w:rsid w:val="0064037C"/>
    <w:rsid w:val="00640400"/>
    <w:rsid w:val="0064040E"/>
    <w:rsid w:val="006404B2"/>
    <w:rsid w:val="006404B5"/>
    <w:rsid w:val="006404F5"/>
    <w:rsid w:val="00640500"/>
    <w:rsid w:val="00640507"/>
    <w:rsid w:val="00640552"/>
    <w:rsid w:val="0064059B"/>
    <w:rsid w:val="006405AE"/>
    <w:rsid w:val="006405E6"/>
    <w:rsid w:val="006405EB"/>
    <w:rsid w:val="0064066B"/>
    <w:rsid w:val="006406DC"/>
    <w:rsid w:val="00640812"/>
    <w:rsid w:val="00640841"/>
    <w:rsid w:val="0064084E"/>
    <w:rsid w:val="006408CD"/>
    <w:rsid w:val="006408F5"/>
    <w:rsid w:val="006409E2"/>
    <w:rsid w:val="00640A33"/>
    <w:rsid w:val="00640A91"/>
    <w:rsid w:val="00640B31"/>
    <w:rsid w:val="00640B43"/>
    <w:rsid w:val="00640B54"/>
    <w:rsid w:val="00640BEE"/>
    <w:rsid w:val="00640C02"/>
    <w:rsid w:val="00640C2C"/>
    <w:rsid w:val="00640C30"/>
    <w:rsid w:val="00640D2F"/>
    <w:rsid w:val="00640D4B"/>
    <w:rsid w:val="00640D5A"/>
    <w:rsid w:val="00640D73"/>
    <w:rsid w:val="00640D76"/>
    <w:rsid w:val="00640DA1"/>
    <w:rsid w:val="00640E08"/>
    <w:rsid w:val="00641047"/>
    <w:rsid w:val="00641050"/>
    <w:rsid w:val="006410FE"/>
    <w:rsid w:val="00641140"/>
    <w:rsid w:val="00641278"/>
    <w:rsid w:val="00641297"/>
    <w:rsid w:val="006412A2"/>
    <w:rsid w:val="006412FC"/>
    <w:rsid w:val="00641301"/>
    <w:rsid w:val="00641331"/>
    <w:rsid w:val="00641347"/>
    <w:rsid w:val="006413D4"/>
    <w:rsid w:val="00641402"/>
    <w:rsid w:val="0064145A"/>
    <w:rsid w:val="006414F9"/>
    <w:rsid w:val="006415BD"/>
    <w:rsid w:val="00641626"/>
    <w:rsid w:val="00641672"/>
    <w:rsid w:val="006416D5"/>
    <w:rsid w:val="006416DA"/>
    <w:rsid w:val="0064177C"/>
    <w:rsid w:val="00641788"/>
    <w:rsid w:val="006417D5"/>
    <w:rsid w:val="00641806"/>
    <w:rsid w:val="0064180A"/>
    <w:rsid w:val="006418B4"/>
    <w:rsid w:val="00641910"/>
    <w:rsid w:val="00641944"/>
    <w:rsid w:val="0064195F"/>
    <w:rsid w:val="00641964"/>
    <w:rsid w:val="00641A99"/>
    <w:rsid w:val="00641B0A"/>
    <w:rsid w:val="00641BC5"/>
    <w:rsid w:val="00641CBD"/>
    <w:rsid w:val="00641CC0"/>
    <w:rsid w:val="00641CF8"/>
    <w:rsid w:val="00641D0B"/>
    <w:rsid w:val="00641D44"/>
    <w:rsid w:val="00641D73"/>
    <w:rsid w:val="00641E21"/>
    <w:rsid w:val="00641E35"/>
    <w:rsid w:val="00641E72"/>
    <w:rsid w:val="00641E7A"/>
    <w:rsid w:val="00641EBA"/>
    <w:rsid w:val="00641F66"/>
    <w:rsid w:val="00642089"/>
    <w:rsid w:val="00642200"/>
    <w:rsid w:val="00642269"/>
    <w:rsid w:val="00642391"/>
    <w:rsid w:val="0064242C"/>
    <w:rsid w:val="00642474"/>
    <w:rsid w:val="00642497"/>
    <w:rsid w:val="006424B5"/>
    <w:rsid w:val="006424D5"/>
    <w:rsid w:val="00642512"/>
    <w:rsid w:val="006425B4"/>
    <w:rsid w:val="006425CA"/>
    <w:rsid w:val="0064261E"/>
    <w:rsid w:val="00642627"/>
    <w:rsid w:val="00642667"/>
    <w:rsid w:val="00642781"/>
    <w:rsid w:val="006427B2"/>
    <w:rsid w:val="00642862"/>
    <w:rsid w:val="00642898"/>
    <w:rsid w:val="006428B9"/>
    <w:rsid w:val="0064290A"/>
    <w:rsid w:val="0064291B"/>
    <w:rsid w:val="0064294B"/>
    <w:rsid w:val="00642981"/>
    <w:rsid w:val="00642A26"/>
    <w:rsid w:val="00642A3A"/>
    <w:rsid w:val="00642B72"/>
    <w:rsid w:val="00642BCE"/>
    <w:rsid w:val="00642C6A"/>
    <w:rsid w:val="00642CBD"/>
    <w:rsid w:val="00642D1F"/>
    <w:rsid w:val="00642D3F"/>
    <w:rsid w:val="00642E17"/>
    <w:rsid w:val="00642E55"/>
    <w:rsid w:val="00642E6A"/>
    <w:rsid w:val="00642EEE"/>
    <w:rsid w:val="00642F39"/>
    <w:rsid w:val="00642F81"/>
    <w:rsid w:val="00642FEC"/>
    <w:rsid w:val="0064301A"/>
    <w:rsid w:val="00643091"/>
    <w:rsid w:val="006430A8"/>
    <w:rsid w:val="006430D2"/>
    <w:rsid w:val="0064318F"/>
    <w:rsid w:val="006431D4"/>
    <w:rsid w:val="006431D9"/>
    <w:rsid w:val="006431F9"/>
    <w:rsid w:val="006432DA"/>
    <w:rsid w:val="0064331A"/>
    <w:rsid w:val="00643359"/>
    <w:rsid w:val="00643443"/>
    <w:rsid w:val="00643479"/>
    <w:rsid w:val="0064348B"/>
    <w:rsid w:val="00643493"/>
    <w:rsid w:val="006434A5"/>
    <w:rsid w:val="006434C8"/>
    <w:rsid w:val="006434C9"/>
    <w:rsid w:val="006434E0"/>
    <w:rsid w:val="00643567"/>
    <w:rsid w:val="00643580"/>
    <w:rsid w:val="006435B9"/>
    <w:rsid w:val="006435D9"/>
    <w:rsid w:val="00643675"/>
    <w:rsid w:val="006436CA"/>
    <w:rsid w:val="006436ED"/>
    <w:rsid w:val="0064376C"/>
    <w:rsid w:val="006437D0"/>
    <w:rsid w:val="006437DE"/>
    <w:rsid w:val="00643840"/>
    <w:rsid w:val="006438C5"/>
    <w:rsid w:val="006439CB"/>
    <w:rsid w:val="00643A60"/>
    <w:rsid w:val="00643B49"/>
    <w:rsid w:val="00643BF3"/>
    <w:rsid w:val="00643C2A"/>
    <w:rsid w:val="00643C55"/>
    <w:rsid w:val="00643C83"/>
    <w:rsid w:val="00643C90"/>
    <w:rsid w:val="00643CD9"/>
    <w:rsid w:val="00643D2E"/>
    <w:rsid w:val="00643D64"/>
    <w:rsid w:val="00643D7A"/>
    <w:rsid w:val="00643D85"/>
    <w:rsid w:val="00643E5A"/>
    <w:rsid w:val="00643E80"/>
    <w:rsid w:val="00643EA6"/>
    <w:rsid w:val="00643EAC"/>
    <w:rsid w:val="00643EE6"/>
    <w:rsid w:val="00643F31"/>
    <w:rsid w:val="00643FB3"/>
    <w:rsid w:val="0064400E"/>
    <w:rsid w:val="0064403A"/>
    <w:rsid w:val="00644042"/>
    <w:rsid w:val="0064406E"/>
    <w:rsid w:val="0064412F"/>
    <w:rsid w:val="00644177"/>
    <w:rsid w:val="0064418D"/>
    <w:rsid w:val="006441BA"/>
    <w:rsid w:val="00644219"/>
    <w:rsid w:val="006443F8"/>
    <w:rsid w:val="00644407"/>
    <w:rsid w:val="006444D8"/>
    <w:rsid w:val="00644519"/>
    <w:rsid w:val="0064452A"/>
    <w:rsid w:val="00644546"/>
    <w:rsid w:val="0064456F"/>
    <w:rsid w:val="00644667"/>
    <w:rsid w:val="0064466F"/>
    <w:rsid w:val="0064467F"/>
    <w:rsid w:val="006446EC"/>
    <w:rsid w:val="0064473B"/>
    <w:rsid w:val="00644752"/>
    <w:rsid w:val="00644798"/>
    <w:rsid w:val="006447B7"/>
    <w:rsid w:val="006448B0"/>
    <w:rsid w:val="0064492C"/>
    <w:rsid w:val="0064492F"/>
    <w:rsid w:val="00644A12"/>
    <w:rsid w:val="00644A81"/>
    <w:rsid w:val="00644BB9"/>
    <w:rsid w:val="00644F1F"/>
    <w:rsid w:val="00644F5E"/>
    <w:rsid w:val="00645008"/>
    <w:rsid w:val="0064500A"/>
    <w:rsid w:val="00645061"/>
    <w:rsid w:val="0064510C"/>
    <w:rsid w:val="0064518D"/>
    <w:rsid w:val="006451BA"/>
    <w:rsid w:val="006451EF"/>
    <w:rsid w:val="00645221"/>
    <w:rsid w:val="00645239"/>
    <w:rsid w:val="00645250"/>
    <w:rsid w:val="006452D0"/>
    <w:rsid w:val="00645339"/>
    <w:rsid w:val="00645376"/>
    <w:rsid w:val="00645381"/>
    <w:rsid w:val="00645395"/>
    <w:rsid w:val="006454C1"/>
    <w:rsid w:val="00645511"/>
    <w:rsid w:val="00645585"/>
    <w:rsid w:val="006455EE"/>
    <w:rsid w:val="006455F9"/>
    <w:rsid w:val="00645601"/>
    <w:rsid w:val="00645609"/>
    <w:rsid w:val="0064563C"/>
    <w:rsid w:val="0064567A"/>
    <w:rsid w:val="0064569A"/>
    <w:rsid w:val="0064578B"/>
    <w:rsid w:val="00645871"/>
    <w:rsid w:val="0064589B"/>
    <w:rsid w:val="006458C4"/>
    <w:rsid w:val="006458EB"/>
    <w:rsid w:val="006459AC"/>
    <w:rsid w:val="00645A16"/>
    <w:rsid w:val="00645A7D"/>
    <w:rsid w:val="00645ACC"/>
    <w:rsid w:val="00645B2B"/>
    <w:rsid w:val="00645D65"/>
    <w:rsid w:val="00645E0B"/>
    <w:rsid w:val="00645E10"/>
    <w:rsid w:val="00645E44"/>
    <w:rsid w:val="00645E52"/>
    <w:rsid w:val="00645E95"/>
    <w:rsid w:val="00645EBD"/>
    <w:rsid w:val="00645EEA"/>
    <w:rsid w:val="00645F1E"/>
    <w:rsid w:val="00645F23"/>
    <w:rsid w:val="00645F54"/>
    <w:rsid w:val="00645F8A"/>
    <w:rsid w:val="00645FA9"/>
    <w:rsid w:val="00645FE8"/>
    <w:rsid w:val="006460C3"/>
    <w:rsid w:val="0064610E"/>
    <w:rsid w:val="0064612B"/>
    <w:rsid w:val="006461CF"/>
    <w:rsid w:val="00646226"/>
    <w:rsid w:val="006462AE"/>
    <w:rsid w:val="006462E8"/>
    <w:rsid w:val="006462F1"/>
    <w:rsid w:val="00646314"/>
    <w:rsid w:val="0064636F"/>
    <w:rsid w:val="006463BF"/>
    <w:rsid w:val="0064649D"/>
    <w:rsid w:val="006464B3"/>
    <w:rsid w:val="0064652F"/>
    <w:rsid w:val="00646588"/>
    <w:rsid w:val="006465AA"/>
    <w:rsid w:val="006465B3"/>
    <w:rsid w:val="00646625"/>
    <w:rsid w:val="0064662A"/>
    <w:rsid w:val="006466E3"/>
    <w:rsid w:val="00646726"/>
    <w:rsid w:val="00646815"/>
    <w:rsid w:val="00646817"/>
    <w:rsid w:val="0064683B"/>
    <w:rsid w:val="00646872"/>
    <w:rsid w:val="006468F2"/>
    <w:rsid w:val="0064692E"/>
    <w:rsid w:val="0064693F"/>
    <w:rsid w:val="006469B7"/>
    <w:rsid w:val="00646A45"/>
    <w:rsid w:val="00646AC1"/>
    <w:rsid w:val="00646B0C"/>
    <w:rsid w:val="00646B11"/>
    <w:rsid w:val="00646B31"/>
    <w:rsid w:val="00646B84"/>
    <w:rsid w:val="00646C33"/>
    <w:rsid w:val="00646C64"/>
    <w:rsid w:val="00646CAF"/>
    <w:rsid w:val="00646CE4"/>
    <w:rsid w:val="00646CE8"/>
    <w:rsid w:val="00646DB6"/>
    <w:rsid w:val="00646EB3"/>
    <w:rsid w:val="00646ECF"/>
    <w:rsid w:val="00646F2B"/>
    <w:rsid w:val="00646F45"/>
    <w:rsid w:val="00646F9B"/>
    <w:rsid w:val="00647016"/>
    <w:rsid w:val="0064707B"/>
    <w:rsid w:val="0064707D"/>
    <w:rsid w:val="00647139"/>
    <w:rsid w:val="0064715C"/>
    <w:rsid w:val="006471C1"/>
    <w:rsid w:val="006471FD"/>
    <w:rsid w:val="006472D0"/>
    <w:rsid w:val="00647367"/>
    <w:rsid w:val="006473B6"/>
    <w:rsid w:val="00647479"/>
    <w:rsid w:val="006474FB"/>
    <w:rsid w:val="00647529"/>
    <w:rsid w:val="006475BD"/>
    <w:rsid w:val="006475E3"/>
    <w:rsid w:val="00647687"/>
    <w:rsid w:val="00647709"/>
    <w:rsid w:val="0064772F"/>
    <w:rsid w:val="0064774A"/>
    <w:rsid w:val="00647754"/>
    <w:rsid w:val="00647778"/>
    <w:rsid w:val="006477AE"/>
    <w:rsid w:val="006478E5"/>
    <w:rsid w:val="006478EC"/>
    <w:rsid w:val="00647944"/>
    <w:rsid w:val="0064798E"/>
    <w:rsid w:val="006479AE"/>
    <w:rsid w:val="006479FA"/>
    <w:rsid w:val="00647A2B"/>
    <w:rsid w:val="00647A48"/>
    <w:rsid w:val="00647A58"/>
    <w:rsid w:val="00647A70"/>
    <w:rsid w:val="00647ABE"/>
    <w:rsid w:val="00647AC2"/>
    <w:rsid w:val="00647AE7"/>
    <w:rsid w:val="00647B2E"/>
    <w:rsid w:val="00647BD6"/>
    <w:rsid w:val="00647C2F"/>
    <w:rsid w:val="00647C3A"/>
    <w:rsid w:val="00647C63"/>
    <w:rsid w:val="00647CA9"/>
    <w:rsid w:val="00647CB5"/>
    <w:rsid w:val="00647CD9"/>
    <w:rsid w:val="00647CE0"/>
    <w:rsid w:val="00647D86"/>
    <w:rsid w:val="00647D8B"/>
    <w:rsid w:val="00647DA6"/>
    <w:rsid w:val="00647E0C"/>
    <w:rsid w:val="00647E58"/>
    <w:rsid w:val="00647E83"/>
    <w:rsid w:val="00647E8E"/>
    <w:rsid w:val="00647ED2"/>
    <w:rsid w:val="00647F22"/>
    <w:rsid w:val="00647F5F"/>
    <w:rsid w:val="00647FCE"/>
    <w:rsid w:val="00647FD2"/>
    <w:rsid w:val="0065005E"/>
    <w:rsid w:val="006501FD"/>
    <w:rsid w:val="006502B8"/>
    <w:rsid w:val="00650307"/>
    <w:rsid w:val="00650367"/>
    <w:rsid w:val="00650396"/>
    <w:rsid w:val="00650399"/>
    <w:rsid w:val="00650500"/>
    <w:rsid w:val="00650570"/>
    <w:rsid w:val="00650631"/>
    <w:rsid w:val="00650661"/>
    <w:rsid w:val="00650667"/>
    <w:rsid w:val="00650685"/>
    <w:rsid w:val="00650695"/>
    <w:rsid w:val="006506A8"/>
    <w:rsid w:val="006506CF"/>
    <w:rsid w:val="0065082E"/>
    <w:rsid w:val="00650845"/>
    <w:rsid w:val="00650885"/>
    <w:rsid w:val="006508AD"/>
    <w:rsid w:val="006508E6"/>
    <w:rsid w:val="00650944"/>
    <w:rsid w:val="0065098B"/>
    <w:rsid w:val="00650A39"/>
    <w:rsid w:val="00650A3B"/>
    <w:rsid w:val="00650AA7"/>
    <w:rsid w:val="00650AE4"/>
    <w:rsid w:val="00650BA6"/>
    <w:rsid w:val="00650C15"/>
    <w:rsid w:val="00650C22"/>
    <w:rsid w:val="00650CB9"/>
    <w:rsid w:val="00650CDF"/>
    <w:rsid w:val="00650DE4"/>
    <w:rsid w:val="00650E3B"/>
    <w:rsid w:val="00650EC1"/>
    <w:rsid w:val="00650F73"/>
    <w:rsid w:val="00650F75"/>
    <w:rsid w:val="00650FC9"/>
    <w:rsid w:val="00650FEF"/>
    <w:rsid w:val="0065109F"/>
    <w:rsid w:val="006510CD"/>
    <w:rsid w:val="006510D1"/>
    <w:rsid w:val="00651170"/>
    <w:rsid w:val="0065117C"/>
    <w:rsid w:val="006511A7"/>
    <w:rsid w:val="0065130B"/>
    <w:rsid w:val="00651336"/>
    <w:rsid w:val="006513BD"/>
    <w:rsid w:val="006513C0"/>
    <w:rsid w:val="00651429"/>
    <w:rsid w:val="00651556"/>
    <w:rsid w:val="0065159B"/>
    <w:rsid w:val="006516C2"/>
    <w:rsid w:val="006516F8"/>
    <w:rsid w:val="0065176A"/>
    <w:rsid w:val="006517C3"/>
    <w:rsid w:val="00651803"/>
    <w:rsid w:val="00651841"/>
    <w:rsid w:val="00651846"/>
    <w:rsid w:val="006518D5"/>
    <w:rsid w:val="006518FD"/>
    <w:rsid w:val="0065195F"/>
    <w:rsid w:val="006519BB"/>
    <w:rsid w:val="006519F2"/>
    <w:rsid w:val="00651ABD"/>
    <w:rsid w:val="00651B59"/>
    <w:rsid w:val="00651C1A"/>
    <w:rsid w:val="00651C90"/>
    <w:rsid w:val="00651CF5"/>
    <w:rsid w:val="00651D58"/>
    <w:rsid w:val="00651D7E"/>
    <w:rsid w:val="00651DA7"/>
    <w:rsid w:val="00651DED"/>
    <w:rsid w:val="00651E2A"/>
    <w:rsid w:val="00651EAC"/>
    <w:rsid w:val="00651EE4"/>
    <w:rsid w:val="00651F95"/>
    <w:rsid w:val="00651FE2"/>
    <w:rsid w:val="00652061"/>
    <w:rsid w:val="00652096"/>
    <w:rsid w:val="00652191"/>
    <w:rsid w:val="006521D9"/>
    <w:rsid w:val="006521FF"/>
    <w:rsid w:val="00652279"/>
    <w:rsid w:val="00652290"/>
    <w:rsid w:val="006522B1"/>
    <w:rsid w:val="0065231F"/>
    <w:rsid w:val="0065234A"/>
    <w:rsid w:val="0065236A"/>
    <w:rsid w:val="00652388"/>
    <w:rsid w:val="006523B6"/>
    <w:rsid w:val="006523F8"/>
    <w:rsid w:val="006524B1"/>
    <w:rsid w:val="00652549"/>
    <w:rsid w:val="006525CB"/>
    <w:rsid w:val="006526C9"/>
    <w:rsid w:val="00652723"/>
    <w:rsid w:val="0065272A"/>
    <w:rsid w:val="0065276C"/>
    <w:rsid w:val="00652778"/>
    <w:rsid w:val="006527FF"/>
    <w:rsid w:val="006528A6"/>
    <w:rsid w:val="00652934"/>
    <w:rsid w:val="00652974"/>
    <w:rsid w:val="00652978"/>
    <w:rsid w:val="006529F4"/>
    <w:rsid w:val="00652A5C"/>
    <w:rsid w:val="00652A84"/>
    <w:rsid w:val="00652A90"/>
    <w:rsid w:val="00652AB7"/>
    <w:rsid w:val="00652ABE"/>
    <w:rsid w:val="00652B94"/>
    <w:rsid w:val="00652BA2"/>
    <w:rsid w:val="00652BCA"/>
    <w:rsid w:val="00652BEC"/>
    <w:rsid w:val="00652C38"/>
    <w:rsid w:val="00652C5D"/>
    <w:rsid w:val="00652C7F"/>
    <w:rsid w:val="00652C9E"/>
    <w:rsid w:val="00652CC2"/>
    <w:rsid w:val="00652CE0"/>
    <w:rsid w:val="00652CEF"/>
    <w:rsid w:val="00652E16"/>
    <w:rsid w:val="00652E53"/>
    <w:rsid w:val="00652E63"/>
    <w:rsid w:val="00652E7D"/>
    <w:rsid w:val="00652EF3"/>
    <w:rsid w:val="00652F47"/>
    <w:rsid w:val="00652F50"/>
    <w:rsid w:val="00652F6D"/>
    <w:rsid w:val="00652F82"/>
    <w:rsid w:val="00652FE1"/>
    <w:rsid w:val="0065300B"/>
    <w:rsid w:val="00653015"/>
    <w:rsid w:val="006530E9"/>
    <w:rsid w:val="006530F1"/>
    <w:rsid w:val="006531E8"/>
    <w:rsid w:val="00653210"/>
    <w:rsid w:val="00653226"/>
    <w:rsid w:val="0065327D"/>
    <w:rsid w:val="006532BF"/>
    <w:rsid w:val="0065330B"/>
    <w:rsid w:val="0065332F"/>
    <w:rsid w:val="00653346"/>
    <w:rsid w:val="0065335E"/>
    <w:rsid w:val="0065336C"/>
    <w:rsid w:val="0065343C"/>
    <w:rsid w:val="00653455"/>
    <w:rsid w:val="0065345B"/>
    <w:rsid w:val="00653469"/>
    <w:rsid w:val="006534F0"/>
    <w:rsid w:val="006535C9"/>
    <w:rsid w:val="00653616"/>
    <w:rsid w:val="0065368A"/>
    <w:rsid w:val="0065368D"/>
    <w:rsid w:val="006536E7"/>
    <w:rsid w:val="00653722"/>
    <w:rsid w:val="00653767"/>
    <w:rsid w:val="0065379D"/>
    <w:rsid w:val="006537AE"/>
    <w:rsid w:val="0065381F"/>
    <w:rsid w:val="00653889"/>
    <w:rsid w:val="006539A8"/>
    <w:rsid w:val="006539FB"/>
    <w:rsid w:val="00653A0A"/>
    <w:rsid w:val="00653A6B"/>
    <w:rsid w:val="00653AC6"/>
    <w:rsid w:val="00653B84"/>
    <w:rsid w:val="00653C03"/>
    <w:rsid w:val="00653C29"/>
    <w:rsid w:val="00653C36"/>
    <w:rsid w:val="00653CAD"/>
    <w:rsid w:val="00653CEF"/>
    <w:rsid w:val="00653CFE"/>
    <w:rsid w:val="00653DF2"/>
    <w:rsid w:val="00653DF9"/>
    <w:rsid w:val="00653E29"/>
    <w:rsid w:val="00653E41"/>
    <w:rsid w:val="00653EC9"/>
    <w:rsid w:val="00653EDE"/>
    <w:rsid w:val="00653EE8"/>
    <w:rsid w:val="00653F2A"/>
    <w:rsid w:val="00653F5B"/>
    <w:rsid w:val="00653FA1"/>
    <w:rsid w:val="0065401F"/>
    <w:rsid w:val="006540A5"/>
    <w:rsid w:val="006540D5"/>
    <w:rsid w:val="00654171"/>
    <w:rsid w:val="006541B3"/>
    <w:rsid w:val="00654291"/>
    <w:rsid w:val="006542C7"/>
    <w:rsid w:val="00654319"/>
    <w:rsid w:val="00654321"/>
    <w:rsid w:val="006543B2"/>
    <w:rsid w:val="006543EC"/>
    <w:rsid w:val="006543FB"/>
    <w:rsid w:val="00654497"/>
    <w:rsid w:val="006544DB"/>
    <w:rsid w:val="0065461C"/>
    <w:rsid w:val="00654672"/>
    <w:rsid w:val="006546F5"/>
    <w:rsid w:val="00654704"/>
    <w:rsid w:val="00654750"/>
    <w:rsid w:val="00654763"/>
    <w:rsid w:val="0065476E"/>
    <w:rsid w:val="00654792"/>
    <w:rsid w:val="00654813"/>
    <w:rsid w:val="00654836"/>
    <w:rsid w:val="006548DA"/>
    <w:rsid w:val="00654908"/>
    <w:rsid w:val="00654938"/>
    <w:rsid w:val="0065494A"/>
    <w:rsid w:val="0065495D"/>
    <w:rsid w:val="00654987"/>
    <w:rsid w:val="0065498E"/>
    <w:rsid w:val="00654A07"/>
    <w:rsid w:val="00654A16"/>
    <w:rsid w:val="00654A3A"/>
    <w:rsid w:val="00654B1E"/>
    <w:rsid w:val="00654BDC"/>
    <w:rsid w:val="00654C6B"/>
    <w:rsid w:val="00654CEF"/>
    <w:rsid w:val="00654D2C"/>
    <w:rsid w:val="00654D4B"/>
    <w:rsid w:val="00654E2C"/>
    <w:rsid w:val="00654E39"/>
    <w:rsid w:val="00654F0D"/>
    <w:rsid w:val="00654F17"/>
    <w:rsid w:val="00654F18"/>
    <w:rsid w:val="00654FDA"/>
    <w:rsid w:val="006550AA"/>
    <w:rsid w:val="006550DB"/>
    <w:rsid w:val="00655106"/>
    <w:rsid w:val="0065511E"/>
    <w:rsid w:val="00655179"/>
    <w:rsid w:val="006551E9"/>
    <w:rsid w:val="006552B5"/>
    <w:rsid w:val="006552D0"/>
    <w:rsid w:val="00655425"/>
    <w:rsid w:val="00655429"/>
    <w:rsid w:val="006555A4"/>
    <w:rsid w:val="00655685"/>
    <w:rsid w:val="00655694"/>
    <w:rsid w:val="006556E1"/>
    <w:rsid w:val="006556E5"/>
    <w:rsid w:val="00655710"/>
    <w:rsid w:val="00655747"/>
    <w:rsid w:val="006557C6"/>
    <w:rsid w:val="0065585B"/>
    <w:rsid w:val="00655888"/>
    <w:rsid w:val="0065591F"/>
    <w:rsid w:val="00655971"/>
    <w:rsid w:val="00655AA9"/>
    <w:rsid w:val="00655B72"/>
    <w:rsid w:val="00655B7D"/>
    <w:rsid w:val="00655B9E"/>
    <w:rsid w:val="00655BE7"/>
    <w:rsid w:val="00655BED"/>
    <w:rsid w:val="00655C3F"/>
    <w:rsid w:val="00655CA0"/>
    <w:rsid w:val="00655CAB"/>
    <w:rsid w:val="00655CB3"/>
    <w:rsid w:val="00655D04"/>
    <w:rsid w:val="00655E4D"/>
    <w:rsid w:val="00655ED5"/>
    <w:rsid w:val="00655F02"/>
    <w:rsid w:val="00655F2B"/>
    <w:rsid w:val="00655F2D"/>
    <w:rsid w:val="00655F82"/>
    <w:rsid w:val="00656095"/>
    <w:rsid w:val="006560AA"/>
    <w:rsid w:val="006560D4"/>
    <w:rsid w:val="0065618D"/>
    <w:rsid w:val="006561E8"/>
    <w:rsid w:val="006561E9"/>
    <w:rsid w:val="00656249"/>
    <w:rsid w:val="0065625B"/>
    <w:rsid w:val="00656279"/>
    <w:rsid w:val="00656319"/>
    <w:rsid w:val="006563A7"/>
    <w:rsid w:val="006563B3"/>
    <w:rsid w:val="006563B4"/>
    <w:rsid w:val="0065642D"/>
    <w:rsid w:val="006564BA"/>
    <w:rsid w:val="006564D2"/>
    <w:rsid w:val="0065650F"/>
    <w:rsid w:val="0065657B"/>
    <w:rsid w:val="0065661C"/>
    <w:rsid w:val="00656629"/>
    <w:rsid w:val="00656647"/>
    <w:rsid w:val="00656693"/>
    <w:rsid w:val="006566E0"/>
    <w:rsid w:val="0065671B"/>
    <w:rsid w:val="00656837"/>
    <w:rsid w:val="00656900"/>
    <w:rsid w:val="00656902"/>
    <w:rsid w:val="00656A5C"/>
    <w:rsid w:val="00656A8A"/>
    <w:rsid w:val="00656B45"/>
    <w:rsid w:val="00656B4F"/>
    <w:rsid w:val="00656BA9"/>
    <w:rsid w:val="00656BF6"/>
    <w:rsid w:val="00656CB8"/>
    <w:rsid w:val="00656D5B"/>
    <w:rsid w:val="00656D6E"/>
    <w:rsid w:val="00656D77"/>
    <w:rsid w:val="00656D7C"/>
    <w:rsid w:val="00656ED5"/>
    <w:rsid w:val="00656ED6"/>
    <w:rsid w:val="00656EDC"/>
    <w:rsid w:val="00656EE3"/>
    <w:rsid w:val="00656EFC"/>
    <w:rsid w:val="00656F5C"/>
    <w:rsid w:val="00656FEB"/>
    <w:rsid w:val="00656FF4"/>
    <w:rsid w:val="00657006"/>
    <w:rsid w:val="0065702B"/>
    <w:rsid w:val="0065705A"/>
    <w:rsid w:val="006570AE"/>
    <w:rsid w:val="006570B1"/>
    <w:rsid w:val="006571B5"/>
    <w:rsid w:val="006572D8"/>
    <w:rsid w:val="0065736B"/>
    <w:rsid w:val="0065739B"/>
    <w:rsid w:val="00657403"/>
    <w:rsid w:val="00657415"/>
    <w:rsid w:val="00657421"/>
    <w:rsid w:val="006574AB"/>
    <w:rsid w:val="00657512"/>
    <w:rsid w:val="006575AC"/>
    <w:rsid w:val="006575E6"/>
    <w:rsid w:val="00657989"/>
    <w:rsid w:val="00657A31"/>
    <w:rsid w:val="00657A47"/>
    <w:rsid w:val="00657A90"/>
    <w:rsid w:val="00657AD9"/>
    <w:rsid w:val="00657B20"/>
    <w:rsid w:val="00657DDE"/>
    <w:rsid w:val="00657DEE"/>
    <w:rsid w:val="00657E53"/>
    <w:rsid w:val="00657E88"/>
    <w:rsid w:val="00657E8E"/>
    <w:rsid w:val="00657E9F"/>
    <w:rsid w:val="00657F14"/>
    <w:rsid w:val="00657F4B"/>
    <w:rsid w:val="00657F62"/>
    <w:rsid w:val="006600F1"/>
    <w:rsid w:val="00660115"/>
    <w:rsid w:val="0066015A"/>
    <w:rsid w:val="0066015E"/>
    <w:rsid w:val="00660181"/>
    <w:rsid w:val="00660202"/>
    <w:rsid w:val="00660223"/>
    <w:rsid w:val="0066025E"/>
    <w:rsid w:val="00660289"/>
    <w:rsid w:val="006604C4"/>
    <w:rsid w:val="00660532"/>
    <w:rsid w:val="0066055C"/>
    <w:rsid w:val="006605A2"/>
    <w:rsid w:val="006605EF"/>
    <w:rsid w:val="00660610"/>
    <w:rsid w:val="0066063E"/>
    <w:rsid w:val="006606E4"/>
    <w:rsid w:val="006606EA"/>
    <w:rsid w:val="0066070B"/>
    <w:rsid w:val="00660753"/>
    <w:rsid w:val="0066077B"/>
    <w:rsid w:val="006607B7"/>
    <w:rsid w:val="006608EE"/>
    <w:rsid w:val="0066099D"/>
    <w:rsid w:val="00660A3A"/>
    <w:rsid w:val="00660A5F"/>
    <w:rsid w:val="00660A66"/>
    <w:rsid w:val="00660A68"/>
    <w:rsid w:val="00660A6C"/>
    <w:rsid w:val="00660CB6"/>
    <w:rsid w:val="00660CD6"/>
    <w:rsid w:val="00660D47"/>
    <w:rsid w:val="00660D64"/>
    <w:rsid w:val="00660DE8"/>
    <w:rsid w:val="00660DEE"/>
    <w:rsid w:val="00660EE5"/>
    <w:rsid w:val="00660F2D"/>
    <w:rsid w:val="00660F4C"/>
    <w:rsid w:val="00660F94"/>
    <w:rsid w:val="00660FBB"/>
    <w:rsid w:val="00660FF5"/>
    <w:rsid w:val="00661020"/>
    <w:rsid w:val="006610E2"/>
    <w:rsid w:val="006610F8"/>
    <w:rsid w:val="006611BE"/>
    <w:rsid w:val="006611C5"/>
    <w:rsid w:val="006611FE"/>
    <w:rsid w:val="00661263"/>
    <w:rsid w:val="0066130D"/>
    <w:rsid w:val="00661317"/>
    <w:rsid w:val="00661374"/>
    <w:rsid w:val="006613C4"/>
    <w:rsid w:val="006613EB"/>
    <w:rsid w:val="0066153B"/>
    <w:rsid w:val="00661669"/>
    <w:rsid w:val="0066168F"/>
    <w:rsid w:val="00661694"/>
    <w:rsid w:val="006616A9"/>
    <w:rsid w:val="006616E9"/>
    <w:rsid w:val="00661782"/>
    <w:rsid w:val="00661825"/>
    <w:rsid w:val="00661872"/>
    <w:rsid w:val="0066192B"/>
    <w:rsid w:val="00661965"/>
    <w:rsid w:val="0066197D"/>
    <w:rsid w:val="00661B34"/>
    <w:rsid w:val="00661B3A"/>
    <w:rsid w:val="00661BAC"/>
    <w:rsid w:val="00661BC0"/>
    <w:rsid w:val="00661BF7"/>
    <w:rsid w:val="00661C2C"/>
    <w:rsid w:val="00661C71"/>
    <w:rsid w:val="00661CF1"/>
    <w:rsid w:val="00661D57"/>
    <w:rsid w:val="00661D7D"/>
    <w:rsid w:val="00661EE1"/>
    <w:rsid w:val="00661FB5"/>
    <w:rsid w:val="00661FD0"/>
    <w:rsid w:val="006620D0"/>
    <w:rsid w:val="006620D2"/>
    <w:rsid w:val="006620E9"/>
    <w:rsid w:val="0066213E"/>
    <w:rsid w:val="00662190"/>
    <w:rsid w:val="006621CB"/>
    <w:rsid w:val="00662209"/>
    <w:rsid w:val="006622EB"/>
    <w:rsid w:val="00662414"/>
    <w:rsid w:val="006624D0"/>
    <w:rsid w:val="006624EA"/>
    <w:rsid w:val="00662548"/>
    <w:rsid w:val="00662564"/>
    <w:rsid w:val="006625C6"/>
    <w:rsid w:val="0066272E"/>
    <w:rsid w:val="00662746"/>
    <w:rsid w:val="0066279C"/>
    <w:rsid w:val="006627C6"/>
    <w:rsid w:val="006627D5"/>
    <w:rsid w:val="00662805"/>
    <w:rsid w:val="006628F1"/>
    <w:rsid w:val="006628F2"/>
    <w:rsid w:val="00662A41"/>
    <w:rsid w:val="00662AE8"/>
    <w:rsid w:val="00662B2C"/>
    <w:rsid w:val="00662BF9"/>
    <w:rsid w:val="00662C33"/>
    <w:rsid w:val="00662C6E"/>
    <w:rsid w:val="00662D6F"/>
    <w:rsid w:val="00662D82"/>
    <w:rsid w:val="00662D89"/>
    <w:rsid w:val="00662DCF"/>
    <w:rsid w:val="00662E70"/>
    <w:rsid w:val="00662F1C"/>
    <w:rsid w:val="00663033"/>
    <w:rsid w:val="00663069"/>
    <w:rsid w:val="0066320F"/>
    <w:rsid w:val="00663252"/>
    <w:rsid w:val="00663277"/>
    <w:rsid w:val="006632BB"/>
    <w:rsid w:val="006632DE"/>
    <w:rsid w:val="006632EE"/>
    <w:rsid w:val="0066337D"/>
    <w:rsid w:val="006633B8"/>
    <w:rsid w:val="00663416"/>
    <w:rsid w:val="006634A7"/>
    <w:rsid w:val="006634BE"/>
    <w:rsid w:val="0066353F"/>
    <w:rsid w:val="0066355C"/>
    <w:rsid w:val="0066357D"/>
    <w:rsid w:val="0066359A"/>
    <w:rsid w:val="00663697"/>
    <w:rsid w:val="006636C3"/>
    <w:rsid w:val="006636E3"/>
    <w:rsid w:val="00663714"/>
    <w:rsid w:val="00663727"/>
    <w:rsid w:val="00663742"/>
    <w:rsid w:val="0066377B"/>
    <w:rsid w:val="006637B6"/>
    <w:rsid w:val="006637E6"/>
    <w:rsid w:val="00663820"/>
    <w:rsid w:val="0066382C"/>
    <w:rsid w:val="006638DC"/>
    <w:rsid w:val="00663911"/>
    <w:rsid w:val="006639EF"/>
    <w:rsid w:val="00663A84"/>
    <w:rsid w:val="00663A96"/>
    <w:rsid w:val="00663AD7"/>
    <w:rsid w:val="00663B04"/>
    <w:rsid w:val="00663B2B"/>
    <w:rsid w:val="00663B80"/>
    <w:rsid w:val="00663BC6"/>
    <w:rsid w:val="00663C42"/>
    <w:rsid w:val="00663C86"/>
    <w:rsid w:val="00663D2C"/>
    <w:rsid w:val="00663E18"/>
    <w:rsid w:val="00663E1B"/>
    <w:rsid w:val="00663E23"/>
    <w:rsid w:val="00663E6B"/>
    <w:rsid w:val="00663F08"/>
    <w:rsid w:val="00663F25"/>
    <w:rsid w:val="00663F3D"/>
    <w:rsid w:val="00663F57"/>
    <w:rsid w:val="00663F96"/>
    <w:rsid w:val="00663FED"/>
    <w:rsid w:val="00664087"/>
    <w:rsid w:val="006640D7"/>
    <w:rsid w:val="006640F7"/>
    <w:rsid w:val="00664125"/>
    <w:rsid w:val="0066412B"/>
    <w:rsid w:val="00664145"/>
    <w:rsid w:val="0066419B"/>
    <w:rsid w:val="006641E2"/>
    <w:rsid w:val="00664274"/>
    <w:rsid w:val="0066429D"/>
    <w:rsid w:val="0066429E"/>
    <w:rsid w:val="006642AB"/>
    <w:rsid w:val="0066430F"/>
    <w:rsid w:val="00664381"/>
    <w:rsid w:val="006643A6"/>
    <w:rsid w:val="00664413"/>
    <w:rsid w:val="00664458"/>
    <w:rsid w:val="0066450C"/>
    <w:rsid w:val="00664551"/>
    <w:rsid w:val="00664696"/>
    <w:rsid w:val="006646BC"/>
    <w:rsid w:val="006646BF"/>
    <w:rsid w:val="006646DE"/>
    <w:rsid w:val="00664795"/>
    <w:rsid w:val="00664799"/>
    <w:rsid w:val="0066479C"/>
    <w:rsid w:val="0066487D"/>
    <w:rsid w:val="00664896"/>
    <w:rsid w:val="006648AA"/>
    <w:rsid w:val="006648C0"/>
    <w:rsid w:val="0066495E"/>
    <w:rsid w:val="00664A3C"/>
    <w:rsid w:val="00664A49"/>
    <w:rsid w:val="00664AAA"/>
    <w:rsid w:val="00664B16"/>
    <w:rsid w:val="00664B8D"/>
    <w:rsid w:val="00664C27"/>
    <w:rsid w:val="00664C3D"/>
    <w:rsid w:val="00664CC5"/>
    <w:rsid w:val="00664D18"/>
    <w:rsid w:val="00664D1D"/>
    <w:rsid w:val="00664DBB"/>
    <w:rsid w:val="00664E4F"/>
    <w:rsid w:val="00664E56"/>
    <w:rsid w:val="00664ECA"/>
    <w:rsid w:val="00664FC3"/>
    <w:rsid w:val="00664FC8"/>
    <w:rsid w:val="0066500B"/>
    <w:rsid w:val="00665030"/>
    <w:rsid w:val="006651E3"/>
    <w:rsid w:val="00665241"/>
    <w:rsid w:val="0066524B"/>
    <w:rsid w:val="00665280"/>
    <w:rsid w:val="0066537D"/>
    <w:rsid w:val="0066537E"/>
    <w:rsid w:val="006653C7"/>
    <w:rsid w:val="00665413"/>
    <w:rsid w:val="0066543B"/>
    <w:rsid w:val="006654A5"/>
    <w:rsid w:val="006654B7"/>
    <w:rsid w:val="00665542"/>
    <w:rsid w:val="00665546"/>
    <w:rsid w:val="006656E5"/>
    <w:rsid w:val="0066576A"/>
    <w:rsid w:val="006658AD"/>
    <w:rsid w:val="006658F5"/>
    <w:rsid w:val="00665952"/>
    <w:rsid w:val="0066596E"/>
    <w:rsid w:val="00665B12"/>
    <w:rsid w:val="00665B16"/>
    <w:rsid w:val="00665D4D"/>
    <w:rsid w:val="00665E26"/>
    <w:rsid w:val="00665E58"/>
    <w:rsid w:val="00665EDA"/>
    <w:rsid w:val="00665F5C"/>
    <w:rsid w:val="00665FB5"/>
    <w:rsid w:val="006660DA"/>
    <w:rsid w:val="0066610D"/>
    <w:rsid w:val="00666137"/>
    <w:rsid w:val="00666189"/>
    <w:rsid w:val="00666204"/>
    <w:rsid w:val="00666285"/>
    <w:rsid w:val="006662FC"/>
    <w:rsid w:val="00666301"/>
    <w:rsid w:val="0066634C"/>
    <w:rsid w:val="00666497"/>
    <w:rsid w:val="0066652B"/>
    <w:rsid w:val="0066655D"/>
    <w:rsid w:val="0066657D"/>
    <w:rsid w:val="006665BD"/>
    <w:rsid w:val="006665FC"/>
    <w:rsid w:val="006666E7"/>
    <w:rsid w:val="006667EB"/>
    <w:rsid w:val="00666851"/>
    <w:rsid w:val="0066688B"/>
    <w:rsid w:val="006668EE"/>
    <w:rsid w:val="00666945"/>
    <w:rsid w:val="006669F8"/>
    <w:rsid w:val="00666A39"/>
    <w:rsid w:val="00666A4C"/>
    <w:rsid w:val="00666B23"/>
    <w:rsid w:val="00666B62"/>
    <w:rsid w:val="00666C06"/>
    <w:rsid w:val="00666EAB"/>
    <w:rsid w:val="00666EE7"/>
    <w:rsid w:val="00666F12"/>
    <w:rsid w:val="00666FC7"/>
    <w:rsid w:val="00667063"/>
    <w:rsid w:val="00667074"/>
    <w:rsid w:val="00667086"/>
    <w:rsid w:val="006670A0"/>
    <w:rsid w:val="00667109"/>
    <w:rsid w:val="00667112"/>
    <w:rsid w:val="00667115"/>
    <w:rsid w:val="0066715C"/>
    <w:rsid w:val="006671AF"/>
    <w:rsid w:val="00667291"/>
    <w:rsid w:val="006672A6"/>
    <w:rsid w:val="006672BF"/>
    <w:rsid w:val="00667372"/>
    <w:rsid w:val="006673ED"/>
    <w:rsid w:val="00667406"/>
    <w:rsid w:val="0066741E"/>
    <w:rsid w:val="00667489"/>
    <w:rsid w:val="0066751B"/>
    <w:rsid w:val="00667600"/>
    <w:rsid w:val="00667627"/>
    <w:rsid w:val="00667634"/>
    <w:rsid w:val="006677EA"/>
    <w:rsid w:val="00667879"/>
    <w:rsid w:val="006679E1"/>
    <w:rsid w:val="00667A00"/>
    <w:rsid w:val="00667B2B"/>
    <w:rsid w:val="00667B3F"/>
    <w:rsid w:val="00667B41"/>
    <w:rsid w:val="00667B44"/>
    <w:rsid w:val="00667B75"/>
    <w:rsid w:val="00667BF7"/>
    <w:rsid w:val="00667C59"/>
    <w:rsid w:val="00667CC3"/>
    <w:rsid w:val="00667D47"/>
    <w:rsid w:val="00667E12"/>
    <w:rsid w:val="00667F07"/>
    <w:rsid w:val="00667F1D"/>
    <w:rsid w:val="00667F42"/>
    <w:rsid w:val="00667FBF"/>
    <w:rsid w:val="0067001C"/>
    <w:rsid w:val="00670087"/>
    <w:rsid w:val="00670098"/>
    <w:rsid w:val="006700B6"/>
    <w:rsid w:val="006700EF"/>
    <w:rsid w:val="0067013D"/>
    <w:rsid w:val="006701B4"/>
    <w:rsid w:val="0067022C"/>
    <w:rsid w:val="00670257"/>
    <w:rsid w:val="0067030A"/>
    <w:rsid w:val="00670501"/>
    <w:rsid w:val="0067054D"/>
    <w:rsid w:val="00670581"/>
    <w:rsid w:val="00670583"/>
    <w:rsid w:val="006705AC"/>
    <w:rsid w:val="00670646"/>
    <w:rsid w:val="00670657"/>
    <w:rsid w:val="00670669"/>
    <w:rsid w:val="0067067F"/>
    <w:rsid w:val="00670684"/>
    <w:rsid w:val="006706B5"/>
    <w:rsid w:val="00670879"/>
    <w:rsid w:val="00670918"/>
    <w:rsid w:val="0067093D"/>
    <w:rsid w:val="00670941"/>
    <w:rsid w:val="006709EF"/>
    <w:rsid w:val="00670A54"/>
    <w:rsid w:val="00670A87"/>
    <w:rsid w:val="00670AE3"/>
    <w:rsid w:val="00670B1D"/>
    <w:rsid w:val="00670B31"/>
    <w:rsid w:val="00670B41"/>
    <w:rsid w:val="00670B77"/>
    <w:rsid w:val="00670BBB"/>
    <w:rsid w:val="00670BF8"/>
    <w:rsid w:val="00670BF9"/>
    <w:rsid w:val="00670C02"/>
    <w:rsid w:val="00670C68"/>
    <w:rsid w:val="00670C94"/>
    <w:rsid w:val="00670C96"/>
    <w:rsid w:val="00670D8A"/>
    <w:rsid w:val="00670EB1"/>
    <w:rsid w:val="00670F89"/>
    <w:rsid w:val="006710C6"/>
    <w:rsid w:val="006710E2"/>
    <w:rsid w:val="006710F2"/>
    <w:rsid w:val="0067124D"/>
    <w:rsid w:val="00671329"/>
    <w:rsid w:val="00671330"/>
    <w:rsid w:val="0067143B"/>
    <w:rsid w:val="00671472"/>
    <w:rsid w:val="006714AE"/>
    <w:rsid w:val="006714DD"/>
    <w:rsid w:val="006714EA"/>
    <w:rsid w:val="00671503"/>
    <w:rsid w:val="00671682"/>
    <w:rsid w:val="006716D1"/>
    <w:rsid w:val="0067178F"/>
    <w:rsid w:val="00671824"/>
    <w:rsid w:val="006718D4"/>
    <w:rsid w:val="00671906"/>
    <w:rsid w:val="00671952"/>
    <w:rsid w:val="00671A3F"/>
    <w:rsid w:val="00671A4A"/>
    <w:rsid w:val="00671AA5"/>
    <w:rsid w:val="00671B21"/>
    <w:rsid w:val="00671BAA"/>
    <w:rsid w:val="00671C07"/>
    <w:rsid w:val="00671D03"/>
    <w:rsid w:val="00671D28"/>
    <w:rsid w:val="00671DA2"/>
    <w:rsid w:val="00671E4F"/>
    <w:rsid w:val="00671EAB"/>
    <w:rsid w:val="00671F14"/>
    <w:rsid w:val="00671F95"/>
    <w:rsid w:val="00672047"/>
    <w:rsid w:val="006720B7"/>
    <w:rsid w:val="006720DD"/>
    <w:rsid w:val="006721E4"/>
    <w:rsid w:val="006721E6"/>
    <w:rsid w:val="0067228C"/>
    <w:rsid w:val="006722B0"/>
    <w:rsid w:val="006722B1"/>
    <w:rsid w:val="0067231D"/>
    <w:rsid w:val="00672384"/>
    <w:rsid w:val="006723A6"/>
    <w:rsid w:val="006724E5"/>
    <w:rsid w:val="0067255F"/>
    <w:rsid w:val="00672561"/>
    <w:rsid w:val="00672618"/>
    <w:rsid w:val="00672655"/>
    <w:rsid w:val="00672683"/>
    <w:rsid w:val="006726B8"/>
    <w:rsid w:val="0067270A"/>
    <w:rsid w:val="0067278E"/>
    <w:rsid w:val="006727FF"/>
    <w:rsid w:val="00672809"/>
    <w:rsid w:val="006728A5"/>
    <w:rsid w:val="00672A02"/>
    <w:rsid w:val="00672A55"/>
    <w:rsid w:val="00672A89"/>
    <w:rsid w:val="00672BDC"/>
    <w:rsid w:val="00672CCE"/>
    <w:rsid w:val="00672D5D"/>
    <w:rsid w:val="00672E2F"/>
    <w:rsid w:val="00672FB6"/>
    <w:rsid w:val="00672FBC"/>
    <w:rsid w:val="00672FEC"/>
    <w:rsid w:val="0067302F"/>
    <w:rsid w:val="006730C2"/>
    <w:rsid w:val="006730C6"/>
    <w:rsid w:val="006730FA"/>
    <w:rsid w:val="006730FE"/>
    <w:rsid w:val="0067310D"/>
    <w:rsid w:val="0067311F"/>
    <w:rsid w:val="00673120"/>
    <w:rsid w:val="0067314F"/>
    <w:rsid w:val="006731C7"/>
    <w:rsid w:val="00673206"/>
    <w:rsid w:val="006732B7"/>
    <w:rsid w:val="0067337B"/>
    <w:rsid w:val="006733B7"/>
    <w:rsid w:val="006733C0"/>
    <w:rsid w:val="006734AB"/>
    <w:rsid w:val="006734D6"/>
    <w:rsid w:val="006734E1"/>
    <w:rsid w:val="006735E1"/>
    <w:rsid w:val="006735E9"/>
    <w:rsid w:val="006735F0"/>
    <w:rsid w:val="006735FC"/>
    <w:rsid w:val="0067360C"/>
    <w:rsid w:val="00673636"/>
    <w:rsid w:val="0067368D"/>
    <w:rsid w:val="006736DE"/>
    <w:rsid w:val="0067374C"/>
    <w:rsid w:val="006737F0"/>
    <w:rsid w:val="00673843"/>
    <w:rsid w:val="00673977"/>
    <w:rsid w:val="0067399E"/>
    <w:rsid w:val="006739B9"/>
    <w:rsid w:val="006739C3"/>
    <w:rsid w:val="00673A29"/>
    <w:rsid w:val="00673A34"/>
    <w:rsid w:val="00673AA3"/>
    <w:rsid w:val="00673AAE"/>
    <w:rsid w:val="00673BAA"/>
    <w:rsid w:val="00673BE4"/>
    <w:rsid w:val="00673C39"/>
    <w:rsid w:val="00673C72"/>
    <w:rsid w:val="00673C7B"/>
    <w:rsid w:val="00673CE2"/>
    <w:rsid w:val="00673D63"/>
    <w:rsid w:val="00673DA6"/>
    <w:rsid w:val="00673E7C"/>
    <w:rsid w:val="00673F3B"/>
    <w:rsid w:val="00673FBD"/>
    <w:rsid w:val="00673FDB"/>
    <w:rsid w:val="00673FFF"/>
    <w:rsid w:val="00674011"/>
    <w:rsid w:val="006740EA"/>
    <w:rsid w:val="00674110"/>
    <w:rsid w:val="0067417C"/>
    <w:rsid w:val="006741E6"/>
    <w:rsid w:val="006741E9"/>
    <w:rsid w:val="00674237"/>
    <w:rsid w:val="0067428C"/>
    <w:rsid w:val="00674297"/>
    <w:rsid w:val="0067430C"/>
    <w:rsid w:val="0067450D"/>
    <w:rsid w:val="00674599"/>
    <w:rsid w:val="006745B7"/>
    <w:rsid w:val="006746A3"/>
    <w:rsid w:val="00674701"/>
    <w:rsid w:val="0067473D"/>
    <w:rsid w:val="006747AB"/>
    <w:rsid w:val="006747EB"/>
    <w:rsid w:val="006748A6"/>
    <w:rsid w:val="006748C4"/>
    <w:rsid w:val="0067491A"/>
    <w:rsid w:val="0067495E"/>
    <w:rsid w:val="00674A48"/>
    <w:rsid w:val="00674AF0"/>
    <w:rsid w:val="00674B77"/>
    <w:rsid w:val="00674C7A"/>
    <w:rsid w:val="00674D05"/>
    <w:rsid w:val="00674D19"/>
    <w:rsid w:val="00674D46"/>
    <w:rsid w:val="00674D75"/>
    <w:rsid w:val="00674D8E"/>
    <w:rsid w:val="00674E10"/>
    <w:rsid w:val="00674E54"/>
    <w:rsid w:val="00674E88"/>
    <w:rsid w:val="00674EE8"/>
    <w:rsid w:val="00674F2D"/>
    <w:rsid w:val="00674F3C"/>
    <w:rsid w:val="00675066"/>
    <w:rsid w:val="006752D3"/>
    <w:rsid w:val="00675312"/>
    <w:rsid w:val="0067533D"/>
    <w:rsid w:val="00675496"/>
    <w:rsid w:val="006754E5"/>
    <w:rsid w:val="00675544"/>
    <w:rsid w:val="00675558"/>
    <w:rsid w:val="006755A7"/>
    <w:rsid w:val="006755A9"/>
    <w:rsid w:val="00675630"/>
    <w:rsid w:val="006756BB"/>
    <w:rsid w:val="006757FF"/>
    <w:rsid w:val="00675839"/>
    <w:rsid w:val="0067589B"/>
    <w:rsid w:val="006758AB"/>
    <w:rsid w:val="006758BA"/>
    <w:rsid w:val="006758F5"/>
    <w:rsid w:val="00675962"/>
    <w:rsid w:val="0067598B"/>
    <w:rsid w:val="00675AAE"/>
    <w:rsid w:val="00675AD9"/>
    <w:rsid w:val="00675AF8"/>
    <w:rsid w:val="00675B7B"/>
    <w:rsid w:val="00675BE7"/>
    <w:rsid w:val="00675C57"/>
    <w:rsid w:val="00675D5A"/>
    <w:rsid w:val="00675DCA"/>
    <w:rsid w:val="00675E2D"/>
    <w:rsid w:val="00675F17"/>
    <w:rsid w:val="00675FD7"/>
    <w:rsid w:val="00676026"/>
    <w:rsid w:val="0067606B"/>
    <w:rsid w:val="0067606C"/>
    <w:rsid w:val="00676177"/>
    <w:rsid w:val="0067618B"/>
    <w:rsid w:val="00676205"/>
    <w:rsid w:val="0067626A"/>
    <w:rsid w:val="0067633F"/>
    <w:rsid w:val="00676352"/>
    <w:rsid w:val="0067636B"/>
    <w:rsid w:val="0067636E"/>
    <w:rsid w:val="006763DF"/>
    <w:rsid w:val="00676598"/>
    <w:rsid w:val="006765EB"/>
    <w:rsid w:val="00676775"/>
    <w:rsid w:val="006767A8"/>
    <w:rsid w:val="006767AF"/>
    <w:rsid w:val="00676829"/>
    <w:rsid w:val="00676841"/>
    <w:rsid w:val="0067685B"/>
    <w:rsid w:val="006768F1"/>
    <w:rsid w:val="0067691A"/>
    <w:rsid w:val="00676954"/>
    <w:rsid w:val="006769B0"/>
    <w:rsid w:val="00676A6D"/>
    <w:rsid w:val="00676A85"/>
    <w:rsid w:val="00676AA1"/>
    <w:rsid w:val="00676B27"/>
    <w:rsid w:val="00676B58"/>
    <w:rsid w:val="00676B66"/>
    <w:rsid w:val="00676C8F"/>
    <w:rsid w:val="00676C91"/>
    <w:rsid w:val="00676C9A"/>
    <w:rsid w:val="00676D47"/>
    <w:rsid w:val="00676DF4"/>
    <w:rsid w:val="00676F29"/>
    <w:rsid w:val="00676F77"/>
    <w:rsid w:val="00676F9E"/>
    <w:rsid w:val="00677091"/>
    <w:rsid w:val="0067709E"/>
    <w:rsid w:val="0067711F"/>
    <w:rsid w:val="006772A4"/>
    <w:rsid w:val="006772D6"/>
    <w:rsid w:val="0067733E"/>
    <w:rsid w:val="00677379"/>
    <w:rsid w:val="006773A2"/>
    <w:rsid w:val="006773C2"/>
    <w:rsid w:val="006773FF"/>
    <w:rsid w:val="0067743A"/>
    <w:rsid w:val="006774B4"/>
    <w:rsid w:val="00677508"/>
    <w:rsid w:val="00677543"/>
    <w:rsid w:val="006775D3"/>
    <w:rsid w:val="006775F2"/>
    <w:rsid w:val="006775F4"/>
    <w:rsid w:val="006776A7"/>
    <w:rsid w:val="006776E7"/>
    <w:rsid w:val="00677757"/>
    <w:rsid w:val="00677782"/>
    <w:rsid w:val="006777C9"/>
    <w:rsid w:val="0067787A"/>
    <w:rsid w:val="0067790B"/>
    <w:rsid w:val="0067790E"/>
    <w:rsid w:val="00677935"/>
    <w:rsid w:val="0067799B"/>
    <w:rsid w:val="006779B3"/>
    <w:rsid w:val="00677A25"/>
    <w:rsid w:val="00677B16"/>
    <w:rsid w:val="00677C44"/>
    <w:rsid w:val="00677CDE"/>
    <w:rsid w:val="00677CF4"/>
    <w:rsid w:val="00677DF7"/>
    <w:rsid w:val="00677E5A"/>
    <w:rsid w:val="00677E90"/>
    <w:rsid w:val="00677EB6"/>
    <w:rsid w:val="00677EBF"/>
    <w:rsid w:val="00677FF3"/>
    <w:rsid w:val="006800BC"/>
    <w:rsid w:val="006800F4"/>
    <w:rsid w:val="00680109"/>
    <w:rsid w:val="0068010F"/>
    <w:rsid w:val="00680131"/>
    <w:rsid w:val="00680198"/>
    <w:rsid w:val="006802FE"/>
    <w:rsid w:val="006803BD"/>
    <w:rsid w:val="006804B8"/>
    <w:rsid w:val="00680528"/>
    <w:rsid w:val="00680566"/>
    <w:rsid w:val="006805DF"/>
    <w:rsid w:val="00680738"/>
    <w:rsid w:val="0068075B"/>
    <w:rsid w:val="00680795"/>
    <w:rsid w:val="006807BC"/>
    <w:rsid w:val="0068080E"/>
    <w:rsid w:val="00680882"/>
    <w:rsid w:val="0068094D"/>
    <w:rsid w:val="00680988"/>
    <w:rsid w:val="006809A5"/>
    <w:rsid w:val="006809DC"/>
    <w:rsid w:val="00680A10"/>
    <w:rsid w:val="00680BB9"/>
    <w:rsid w:val="00680C18"/>
    <w:rsid w:val="00680C85"/>
    <w:rsid w:val="00680D98"/>
    <w:rsid w:val="00680DA9"/>
    <w:rsid w:val="00680DBB"/>
    <w:rsid w:val="00680DCF"/>
    <w:rsid w:val="00680E6F"/>
    <w:rsid w:val="00680EA6"/>
    <w:rsid w:val="00680EBA"/>
    <w:rsid w:val="00680EC2"/>
    <w:rsid w:val="00680F78"/>
    <w:rsid w:val="00681077"/>
    <w:rsid w:val="0068107F"/>
    <w:rsid w:val="00681138"/>
    <w:rsid w:val="0068115C"/>
    <w:rsid w:val="00681251"/>
    <w:rsid w:val="0068125B"/>
    <w:rsid w:val="00681284"/>
    <w:rsid w:val="00681300"/>
    <w:rsid w:val="006813AC"/>
    <w:rsid w:val="00681427"/>
    <w:rsid w:val="00681434"/>
    <w:rsid w:val="00681530"/>
    <w:rsid w:val="00681542"/>
    <w:rsid w:val="006815D2"/>
    <w:rsid w:val="0068164B"/>
    <w:rsid w:val="00681680"/>
    <w:rsid w:val="00681690"/>
    <w:rsid w:val="0068172D"/>
    <w:rsid w:val="006817D3"/>
    <w:rsid w:val="00681809"/>
    <w:rsid w:val="00681868"/>
    <w:rsid w:val="006818D8"/>
    <w:rsid w:val="00681937"/>
    <w:rsid w:val="00681B76"/>
    <w:rsid w:val="00681B77"/>
    <w:rsid w:val="00681BB6"/>
    <w:rsid w:val="00681C10"/>
    <w:rsid w:val="00681C4D"/>
    <w:rsid w:val="00681FAD"/>
    <w:rsid w:val="00681FC1"/>
    <w:rsid w:val="0068202A"/>
    <w:rsid w:val="0068205A"/>
    <w:rsid w:val="00682082"/>
    <w:rsid w:val="006821C4"/>
    <w:rsid w:val="00682255"/>
    <w:rsid w:val="0068230F"/>
    <w:rsid w:val="00682344"/>
    <w:rsid w:val="0068240E"/>
    <w:rsid w:val="00682423"/>
    <w:rsid w:val="00682449"/>
    <w:rsid w:val="0068244E"/>
    <w:rsid w:val="00682561"/>
    <w:rsid w:val="006825A9"/>
    <w:rsid w:val="006825C9"/>
    <w:rsid w:val="00682655"/>
    <w:rsid w:val="00682695"/>
    <w:rsid w:val="006826AE"/>
    <w:rsid w:val="006826AF"/>
    <w:rsid w:val="006826B6"/>
    <w:rsid w:val="006826C1"/>
    <w:rsid w:val="0068278F"/>
    <w:rsid w:val="0068279C"/>
    <w:rsid w:val="006827A1"/>
    <w:rsid w:val="00682818"/>
    <w:rsid w:val="00682882"/>
    <w:rsid w:val="006828B3"/>
    <w:rsid w:val="00682A21"/>
    <w:rsid w:val="00682A50"/>
    <w:rsid w:val="00682A7D"/>
    <w:rsid w:val="00682A8D"/>
    <w:rsid w:val="00682AC6"/>
    <w:rsid w:val="00682B56"/>
    <w:rsid w:val="00682C30"/>
    <w:rsid w:val="00682C8D"/>
    <w:rsid w:val="00682D65"/>
    <w:rsid w:val="00682E15"/>
    <w:rsid w:val="00682F41"/>
    <w:rsid w:val="00682FD6"/>
    <w:rsid w:val="00682FFB"/>
    <w:rsid w:val="00683018"/>
    <w:rsid w:val="006831AC"/>
    <w:rsid w:val="006831D3"/>
    <w:rsid w:val="006831EE"/>
    <w:rsid w:val="006831EF"/>
    <w:rsid w:val="0068328E"/>
    <w:rsid w:val="0068332A"/>
    <w:rsid w:val="00683333"/>
    <w:rsid w:val="00683355"/>
    <w:rsid w:val="00683371"/>
    <w:rsid w:val="00683392"/>
    <w:rsid w:val="0068340F"/>
    <w:rsid w:val="00683415"/>
    <w:rsid w:val="006834A0"/>
    <w:rsid w:val="0068354E"/>
    <w:rsid w:val="00683559"/>
    <w:rsid w:val="006835BA"/>
    <w:rsid w:val="006835E9"/>
    <w:rsid w:val="00683642"/>
    <w:rsid w:val="0068368E"/>
    <w:rsid w:val="006836F3"/>
    <w:rsid w:val="006837C9"/>
    <w:rsid w:val="006837F2"/>
    <w:rsid w:val="00683808"/>
    <w:rsid w:val="0068382F"/>
    <w:rsid w:val="006838AF"/>
    <w:rsid w:val="006839BF"/>
    <w:rsid w:val="00683A31"/>
    <w:rsid w:val="00683A34"/>
    <w:rsid w:val="00683A78"/>
    <w:rsid w:val="00683B04"/>
    <w:rsid w:val="00683B37"/>
    <w:rsid w:val="00683B43"/>
    <w:rsid w:val="00683B84"/>
    <w:rsid w:val="00683BEF"/>
    <w:rsid w:val="00683C95"/>
    <w:rsid w:val="00683CD2"/>
    <w:rsid w:val="00683CD8"/>
    <w:rsid w:val="00683D16"/>
    <w:rsid w:val="00683E45"/>
    <w:rsid w:val="00683E54"/>
    <w:rsid w:val="00683EDA"/>
    <w:rsid w:val="00683FCA"/>
    <w:rsid w:val="00684062"/>
    <w:rsid w:val="006840A0"/>
    <w:rsid w:val="00684130"/>
    <w:rsid w:val="0068419F"/>
    <w:rsid w:val="006841A4"/>
    <w:rsid w:val="0068420E"/>
    <w:rsid w:val="006843B4"/>
    <w:rsid w:val="006843CD"/>
    <w:rsid w:val="006844AC"/>
    <w:rsid w:val="006844B6"/>
    <w:rsid w:val="006844FA"/>
    <w:rsid w:val="00684591"/>
    <w:rsid w:val="006846C0"/>
    <w:rsid w:val="00684740"/>
    <w:rsid w:val="0068478C"/>
    <w:rsid w:val="0068489B"/>
    <w:rsid w:val="006848DD"/>
    <w:rsid w:val="00684957"/>
    <w:rsid w:val="0068497E"/>
    <w:rsid w:val="006849C7"/>
    <w:rsid w:val="006849F3"/>
    <w:rsid w:val="00684A00"/>
    <w:rsid w:val="00684ADB"/>
    <w:rsid w:val="00684B94"/>
    <w:rsid w:val="00684C8C"/>
    <w:rsid w:val="00684CB9"/>
    <w:rsid w:val="00684CEC"/>
    <w:rsid w:val="00684D15"/>
    <w:rsid w:val="00684D7C"/>
    <w:rsid w:val="00684DD0"/>
    <w:rsid w:val="00684DE7"/>
    <w:rsid w:val="00684DF9"/>
    <w:rsid w:val="00684E24"/>
    <w:rsid w:val="00684F1C"/>
    <w:rsid w:val="00684F4F"/>
    <w:rsid w:val="00684F63"/>
    <w:rsid w:val="00685057"/>
    <w:rsid w:val="00685098"/>
    <w:rsid w:val="006850A7"/>
    <w:rsid w:val="0068510F"/>
    <w:rsid w:val="00685141"/>
    <w:rsid w:val="006851C2"/>
    <w:rsid w:val="0068525D"/>
    <w:rsid w:val="00685401"/>
    <w:rsid w:val="0068540C"/>
    <w:rsid w:val="0068541D"/>
    <w:rsid w:val="0068545D"/>
    <w:rsid w:val="00685702"/>
    <w:rsid w:val="006857F9"/>
    <w:rsid w:val="00685862"/>
    <w:rsid w:val="0068586F"/>
    <w:rsid w:val="00685876"/>
    <w:rsid w:val="00685898"/>
    <w:rsid w:val="006858A5"/>
    <w:rsid w:val="00685946"/>
    <w:rsid w:val="0068597C"/>
    <w:rsid w:val="00685981"/>
    <w:rsid w:val="00685982"/>
    <w:rsid w:val="006859FA"/>
    <w:rsid w:val="00685ABC"/>
    <w:rsid w:val="00685C44"/>
    <w:rsid w:val="00685CF2"/>
    <w:rsid w:val="00685D5A"/>
    <w:rsid w:val="00685E08"/>
    <w:rsid w:val="00685E13"/>
    <w:rsid w:val="00685E97"/>
    <w:rsid w:val="00685EAE"/>
    <w:rsid w:val="00685FBB"/>
    <w:rsid w:val="00685FD3"/>
    <w:rsid w:val="00685FD6"/>
    <w:rsid w:val="00686181"/>
    <w:rsid w:val="00686198"/>
    <w:rsid w:val="0068629B"/>
    <w:rsid w:val="006862A3"/>
    <w:rsid w:val="006862E6"/>
    <w:rsid w:val="00686356"/>
    <w:rsid w:val="00686366"/>
    <w:rsid w:val="006864A2"/>
    <w:rsid w:val="00686528"/>
    <w:rsid w:val="00686555"/>
    <w:rsid w:val="0068657A"/>
    <w:rsid w:val="006865E9"/>
    <w:rsid w:val="0068660D"/>
    <w:rsid w:val="00686645"/>
    <w:rsid w:val="00686653"/>
    <w:rsid w:val="00686660"/>
    <w:rsid w:val="0068669E"/>
    <w:rsid w:val="0068669F"/>
    <w:rsid w:val="0068670F"/>
    <w:rsid w:val="0068674F"/>
    <w:rsid w:val="0068683F"/>
    <w:rsid w:val="00686903"/>
    <w:rsid w:val="006869C0"/>
    <w:rsid w:val="006869E1"/>
    <w:rsid w:val="006869EC"/>
    <w:rsid w:val="006869ED"/>
    <w:rsid w:val="00686A43"/>
    <w:rsid w:val="00686A4A"/>
    <w:rsid w:val="00686AE5"/>
    <w:rsid w:val="00686BB7"/>
    <w:rsid w:val="00686BC3"/>
    <w:rsid w:val="00686BEF"/>
    <w:rsid w:val="00686C2E"/>
    <w:rsid w:val="00686C5A"/>
    <w:rsid w:val="00686C65"/>
    <w:rsid w:val="00686C8F"/>
    <w:rsid w:val="00686CDA"/>
    <w:rsid w:val="00686CEF"/>
    <w:rsid w:val="00686CF2"/>
    <w:rsid w:val="00686D03"/>
    <w:rsid w:val="00686DE1"/>
    <w:rsid w:val="00686E62"/>
    <w:rsid w:val="00686EDB"/>
    <w:rsid w:val="00686EED"/>
    <w:rsid w:val="00686FEB"/>
    <w:rsid w:val="0068707D"/>
    <w:rsid w:val="006870A4"/>
    <w:rsid w:val="006870B5"/>
    <w:rsid w:val="0068717C"/>
    <w:rsid w:val="00687197"/>
    <w:rsid w:val="0068724F"/>
    <w:rsid w:val="00687266"/>
    <w:rsid w:val="006872FA"/>
    <w:rsid w:val="00687463"/>
    <w:rsid w:val="0068746A"/>
    <w:rsid w:val="006874B7"/>
    <w:rsid w:val="006874FC"/>
    <w:rsid w:val="00687506"/>
    <w:rsid w:val="00687526"/>
    <w:rsid w:val="006875B9"/>
    <w:rsid w:val="0068761D"/>
    <w:rsid w:val="00687669"/>
    <w:rsid w:val="006877D1"/>
    <w:rsid w:val="006877DF"/>
    <w:rsid w:val="0068780B"/>
    <w:rsid w:val="0068784F"/>
    <w:rsid w:val="0068789E"/>
    <w:rsid w:val="006878FE"/>
    <w:rsid w:val="0068794C"/>
    <w:rsid w:val="0068799D"/>
    <w:rsid w:val="006879A9"/>
    <w:rsid w:val="00687A17"/>
    <w:rsid w:val="00687A6F"/>
    <w:rsid w:val="00687A9F"/>
    <w:rsid w:val="00687AB9"/>
    <w:rsid w:val="00687AC5"/>
    <w:rsid w:val="00687CC0"/>
    <w:rsid w:val="00687D2B"/>
    <w:rsid w:val="00687D5D"/>
    <w:rsid w:val="00687DEC"/>
    <w:rsid w:val="00687F5D"/>
    <w:rsid w:val="0069002A"/>
    <w:rsid w:val="00690061"/>
    <w:rsid w:val="00690233"/>
    <w:rsid w:val="00690273"/>
    <w:rsid w:val="006902AD"/>
    <w:rsid w:val="0069031C"/>
    <w:rsid w:val="006903EC"/>
    <w:rsid w:val="0069058B"/>
    <w:rsid w:val="006905FC"/>
    <w:rsid w:val="00690650"/>
    <w:rsid w:val="0069066A"/>
    <w:rsid w:val="0069069A"/>
    <w:rsid w:val="006906B2"/>
    <w:rsid w:val="006906BE"/>
    <w:rsid w:val="006906F9"/>
    <w:rsid w:val="0069073F"/>
    <w:rsid w:val="00690797"/>
    <w:rsid w:val="0069079D"/>
    <w:rsid w:val="006907C0"/>
    <w:rsid w:val="0069080B"/>
    <w:rsid w:val="0069086C"/>
    <w:rsid w:val="0069094D"/>
    <w:rsid w:val="0069099B"/>
    <w:rsid w:val="0069099C"/>
    <w:rsid w:val="006909CC"/>
    <w:rsid w:val="00690A7F"/>
    <w:rsid w:val="00690A8D"/>
    <w:rsid w:val="00690A92"/>
    <w:rsid w:val="00690B11"/>
    <w:rsid w:val="00690BA2"/>
    <w:rsid w:val="00690C1F"/>
    <w:rsid w:val="00690C20"/>
    <w:rsid w:val="00690C67"/>
    <w:rsid w:val="00690C9A"/>
    <w:rsid w:val="00690D07"/>
    <w:rsid w:val="00690D0D"/>
    <w:rsid w:val="00690D4F"/>
    <w:rsid w:val="00690E7C"/>
    <w:rsid w:val="00690F67"/>
    <w:rsid w:val="00691010"/>
    <w:rsid w:val="00691028"/>
    <w:rsid w:val="00691062"/>
    <w:rsid w:val="0069106D"/>
    <w:rsid w:val="006910E5"/>
    <w:rsid w:val="00691132"/>
    <w:rsid w:val="0069116F"/>
    <w:rsid w:val="006911E8"/>
    <w:rsid w:val="00691274"/>
    <w:rsid w:val="00691351"/>
    <w:rsid w:val="006913C1"/>
    <w:rsid w:val="006913DB"/>
    <w:rsid w:val="00691430"/>
    <w:rsid w:val="006914A1"/>
    <w:rsid w:val="006914F9"/>
    <w:rsid w:val="0069151D"/>
    <w:rsid w:val="00691544"/>
    <w:rsid w:val="0069165C"/>
    <w:rsid w:val="00691669"/>
    <w:rsid w:val="006916FD"/>
    <w:rsid w:val="006916FF"/>
    <w:rsid w:val="00691778"/>
    <w:rsid w:val="00691800"/>
    <w:rsid w:val="006918CE"/>
    <w:rsid w:val="006919BD"/>
    <w:rsid w:val="00691AAB"/>
    <w:rsid w:val="00691B04"/>
    <w:rsid w:val="00691B53"/>
    <w:rsid w:val="00691B60"/>
    <w:rsid w:val="00691BD7"/>
    <w:rsid w:val="00691C00"/>
    <w:rsid w:val="00691C63"/>
    <w:rsid w:val="00691CD3"/>
    <w:rsid w:val="00691D17"/>
    <w:rsid w:val="00691DB7"/>
    <w:rsid w:val="00691DBD"/>
    <w:rsid w:val="00691DD3"/>
    <w:rsid w:val="00691E23"/>
    <w:rsid w:val="00691E5D"/>
    <w:rsid w:val="00691F0D"/>
    <w:rsid w:val="00691FCB"/>
    <w:rsid w:val="00692054"/>
    <w:rsid w:val="00692087"/>
    <w:rsid w:val="006920F2"/>
    <w:rsid w:val="00692184"/>
    <w:rsid w:val="00692254"/>
    <w:rsid w:val="0069226D"/>
    <w:rsid w:val="00692288"/>
    <w:rsid w:val="006922BC"/>
    <w:rsid w:val="00692328"/>
    <w:rsid w:val="0069235D"/>
    <w:rsid w:val="00692384"/>
    <w:rsid w:val="00692433"/>
    <w:rsid w:val="0069244E"/>
    <w:rsid w:val="00692470"/>
    <w:rsid w:val="006924A4"/>
    <w:rsid w:val="006924AC"/>
    <w:rsid w:val="0069255D"/>
    <w:rsid w:val="00692583"/>
    <w:rsid w:val="006925A9"/>
    <w:rsid w:val="006925B6"/>
    <w:rsid w:val="00692650"/>
    <w:rsid w:val="00692659"/>
    <w:rsid w:val="006927A8"/>
    <w:rsid w:val="006927EE"/>
    <w:rsid w:val="006927F1"/>
    <w:rsid w:val="006927F9"/>
    <w:rsid w:val="00692852"/>
    <w:rsid w:val="00692865"/>
    <w:rsid w:val="0069286E"/>
    <w:rsid w:val="006928A0"/>
    <w:rsid w:val="006928E8"/>
    <w:rsid w:val="00692909"/>
    <w:rsid w:val="0069295F"/>
    <w:rsid w:val="0069296A"/>
    <w:rsid w:val="006929F5"/>
    <w:rsid w:val="00692A04"/>
    <w:rsid w:val="00692A54"/>
    <w:rsid w:val="00692A92"/>
    <w:rsid w:val="00692ACF"/>
    <w:rsid w:val="00692B65"/>
    <w:rsid w:val="00692BF7"/>
    <w:rsid w:val="00692C73"/>
    <w:rsid w:val="00692C8F"/>
    <w:rsid w:val="00692CBA"/>
    <w:rsid w:val="00692CE8"/>
    <w:rsid w:val="00692D98"/>
    <w:rsid w:val="00692DB6"/>
    <w:rsid w:val="00692E25"/>
    <w:rsid w:val="00692E3E"/>
    <w:rsid w:val="00692E9B"/>
    <w:rsid w:val="00692EDE"/>
    <w:rsid w:val="00692F62"/>
    <w:rsid w:val="00692FD1"/>
    <w:rsid w:val="00693068"/>
    <w:rsid w:val="0069306E"/>
    <w:rsid w:val="0069308B"/>
    <w:rsid w:val="006930E4"/>
    <w:rsid w:val="0069312D"/>
    <w:rsid w:val="00693144"/>
    <w:rsid w:val="0069314A"/>
    <w:rsid w:val="006931B8"/>
    <w:rsid w:val="006931BC"/>
    <w:rsid w:val="00693234"/>
    <w:rsid w:val="00693238"/>
    <w:rsid w:val="00693340"/>
    <w:rsid w:val="0069334E"/>
    <w:rsid w:val="006933D1"/>
    <w:rsid w:val="006933DA"/>
    <w:rsid w:val="006933EB"/>
    <w:rsid w:val="0069341D"/>
    <w:rsid w:val="0069342A"/>
    <w:rsid w:val="00693445"/>
    <w:rsid w:val="00693447"/>
    <w:rsid w:val="006934B5"/>
    <w:rsid w:val="006934D5"/>
    <w:rsid w:val="006935EE"/>
    <w:rsid w:val="0069367F"/>
    <w:rsid w:val="00693699"/>
    <w:rsid w:val="0069369A"/>
    <w:rsid w:val="006937F8"/>
    <w:rsid w:val="0069381F"/>
    <w:rsid w:val="006938A7"/>
    <w:rsid w:val="00693944"/>
    <w:rsid w:val="006939AB"/>
    <w:rsid w:val="006939F0"/>
    <w:rsid w:val="006939FC"/>
    <w:rsid w:val="00693A21"/>
    <w:rsid w:val="00693B61"/>
    <w:rsid w:val="00693B7C"/>
    <w:rsid w:val="00693B98"/>
    <w:rsid w:val="00693BD3"/>
    <w:rsid w:val="00693C8C"/>
    <w:rsid w:val="00693CA4"/>
    <w:rsid w:val="00693D46"/>
    <w:rsid w:val="00693E8B"/>
    <w:rsid w:val="00693EA3"/>
    <w:rsid w:val="00693EA9"/>
    <w:rsid w:val="00693EBB"/>
    <w:rsid w:val="00693F3C"/>
    <w:rsid w:val="00693F7E"/>
    <w:rsid w:val="00693FF4"/>
    <w:rsid w:val="006940AA"/>
    <w:rsid w:val="00694119"/>
    <w:rsid w:val="00694120"/>
    <w:rsid w:val="00694167"/>
    <w:rsid w:val="00694242"/>
    <w:rsid w:val="006942AB"/>
    <w:rsid w:val="006942E9"/>
    <w:rsid w:val="006942ED"/>
    <w:rsid w:val="00694341"/>
    <w:rsid w:val="00694399"/>
    <w:rsid w:val="006944A4"/>
    <w:rsid w:val="006944E0"/>
    <w:rsid w:val="0069474F"/>
    <w:rsid w:val="006947E6"/>
    <w:rsid w:val="006947F9"/>
    <w:rsid w:val="00694868"/>
    <w:rsid w:val="0069487D"/>
    <w:rsid w:val="00694888"/>
    <w:rsid w:val="006948E4"/>
    <w:rsid w:val="00694931"/>
    <w:rsid w:val="00694945"/>
    <w:rsid w:val="00694995"/>
    <w:rsid w:val="006949D0"/>
    <w:rsid w:val="00694A2C"/>
    <w:rsid w:val="00694A38"/>
    <w:rsid w:val="00694AEA"/>
    <w:rsid w:val="00694C63"/>
    <w:rsid w:val="00694C91"/>
    <w:rsid w:val="00694C9C"/>
    <w:rsid w:val="00694D23"/>
    <w:rsid w:val="00694D92"/>
    <w:rsid w:val="00694E5D"/>
    <w:rsid w:val="00694E72"/>
    <w:rsid w:val="00694F52"/>
    <w:rsid w:val="00694F6E"/>
    <w:rsid w:val="00694F84"/>
    <w:rsid w:val="00694F8C"/>
    <w:rsid w:val="00694F98"/>
    <w:rsid w:val="00694FCA"/>
    <w:rsid w:val="00695013"/>
    <w:rsid w:val="0069504E"/>
    <w:rsid w:val="00695065"/>
    <w:rsid w:val="006950A0"/>
    <w:rsid w:val="006950B4"/>
    <w:rsid w:val="00695154"/>
    <w:rsid w:val="006951EA"/>
    <w:rsid w:val="006951ED"/>
    <w:rsid w:val="00695204"/>
    <w:rsid w:val="00695245"/>
    <w:rsid w:val="00695258"/>
    <w:rsid w:val="006952E1"/>
    <w:rsid w:val="0069539A"/>
    <w:rsid w:val="00695416"/>
    <w:rsid w:val="0069548C"/>
    <w:rsid w:val="006954A9"/>
    <w:rsid w:val="0069550C"/>
    <w:rsid w:val="00695568"/>
    <w:rsid w:val="0069557B"/>
    <w:rsid w:val="006955D5"/>
    <w:rsid w:val="006956E7"/>
    <w:rsid w:val="006957F1"/>
    <w:rsid w:val="00695870"/>
    <w:rsid w:val="006959E1"/>
    <w:rsid w:val="00695A1A"/>
    <w:rsid w:val="00695A1F"/>
    <w:rsid w:val="00695A8D"/>
    <w:rsid w:val="00695C0B"/>
    <w:rsid w:val="00695CF3"/>
    <w:rsid w:val="00695D42"/>
    <w:rsid w:val="00695D70"/>
    <w:rsid w:val="00695E9E"/>
    <w:rsid w:val="00695F17"/>
    <w:rsid w:val="00695F91"/>
    <w:rsid w:val="00695FD6"/>
    <w:rsid w:val="00696019"/>
    <w:rsid w:val="00696030"/>
    <w:rsid w:val="0069610A"/>
    <w:rsid w:val="006961B4"/>
    <w:rsid w:val="00696274"/>
    <w:rsid w:val="0069631C"/>
    <w:rsid w:val="0069638C"/>
    <w:rsid w:val="00696391"/>
    <w:rsid w:val="006963A7"/>
    <w:rsid w:val="006963D6"/>
    <w:rsid w:val="0069641D"/>
    <w:rsid w:val="0069650B"/>
    <w:rsid w:val="00696571"/>
    <w:rsid w:val="0069659C"/>
    <w:rsid w:val="006965A3"/>
    <w:rsid w:val="00696635"/>
    <w:rsid w:val="006966B1"/>
    <w:rsid w:val="006966BB"/>
    <w:rsid w:val="0069674C"/>
    <w:rsid w:val="006968EB"/>
    <w:rsid w:val="0069694E"/>
    <w:rsid w:val="006969EB"/>
    <w:rsid w:val="00696A44"/>
    <w:rsid w:val="00696A97"/>
    <w:rsid w:val="00696ABB"/>
    <w:rsid w:val="00696AD4"/>
    <w:rsid w:val="00696B5A"/>
    <w:rsid w:val="00696BCF"/>
    <w:rsid w:val="00696C00"/>
    <w:rsid w:val="00696C15"/>
    <w:rsid w:val="00696D0D"/>
    <w:rsid w:val="00696D26"/>
    <w:rsid w:val="00696E23"/>
    <w:rsid w:val="00696E75"/>
    <w:rsid w:val="00696F36"/>
    <w:rsid w:val="00696F55"/>
    <w:rsid w:val="00696FE1"/>
    <w:rsid w:val="00696FFB"/>
    <w:rsid w:val="006970A7"/>
    <w:rsid w:val="006970F7"/>
    <w:rsid w:val="00697199"/>
    <w:rsid w:val="006971DC"/>
    <w:rsid w:val="00697212"/>
    <w:rsid w:val="00697278"/>
    <w:rsid w:val="0069728C"/>
    <w:rsid w:val="006972FE"/>
    <w:rsid w:val="00697397"/>
    <w:rsid w:val="006974AA"/>
    <w:rsid w:val="0069753A"/>
    <w:rsid w:val="006975BA"/>
    <w:rsid w:val="00697614"/>
    <w:rsid w:val="006976E4"/>
    <w:rsid w:val="00697727"/>
    <w:rsid w:val="0069774F"/>
    <w:rsid w:val="00697790"/>
    <w:rsid w:val="006977B8"/>
    <w:rsid w:val="006977C8"/>
    <w:rsid w:val="0069781E"/>
    <w:rsid w:val="006978B2"/>
    <w:rsid w:val="006978FC"/>
    <w:rsid w:val="00697911"/>
    <w:rsid w:val="00697941"/>
    <w:rsid w:val="006979B5"/>
    <w:rsid w:val="006979D5"/>
    <w:rsid w:val="006979E3"/>
    <w:rsid w:val="006979F7"/>
    <w:rsid w:val="00697A33"/>
    <w:rsid w:val="00697AE9"/>
    <w:rsid w:val="00697B07"/>
    <w:rsid w:val="00697C54"/>
    <w:rsid w:val="00697C5B"/>
    <w:rsid w:val="00697CDB"/>
    <w:rsid w:val="00697D27"/>
    <w:rsid w:val="00697E10"/>
    <w:rsid w:val="00697E4A"/>
    <w:rsid w:val="00697EE3"/>
    <w:rsid w:val="00697F23"/>
    <w:rsid w:val="00697F6B"/>
    <w:rsid w:val="00697F9A"/>
    <w:rsid w:val="00697FDA"/>
    <w:rsid w:val="00697FDF"/>
    <w:rsid w:val="006A0026"/>
    <w:rsid w:val="006A0029"/>
    <w:rsid w:val="006A0073"/>
    <w:rsid w:val="006A0111"/>
    <w:rsid w:val="006A01F9"/>
    <w:rsid w:val="006A0281"/>
    <w:rsid w:val="006A02BC"/>
    <w:rsid w:val="006A02BF"/>
    <w:rsid w:val="006A02E6"/>
    <w:rsid w:val="006A0317"/>
    <w:rsid w:val="006A032C"/>
    <w:rsid w:val="006A037E"/>
    <w:rsid w:val="006A03A5"/>
    <w:rsid w:val="006A03CF"/>
    <w:rsid w:val="006A0412"/>
    <w:rsid w:val="006A045C"/>
    <w:rsid w:val="006A04C9"/>
    <w:rsid w:val="006A0535"/>
    <w:rsid w:val="006A0562"/>
    <w:rsid w:val="006A0615"/>
    <w:rsid w:val="006A0624"/>
    <w:rsid w:val="006A063F"/>
    <w:rsid w:val="006A0699"/>
    <w:rsid w:val="006A0711"/>
    <w:rsid w:val="006A074C"/>
    <w:rsid w:val="006A07E1"/>
    <w:rsid w:val="006A07FC"/>
    <w:rsid w:val="006A081A"/>
    <w:rsid w:val="006A08E0"/>
    <w:rsid w:val="006A0959"/>
    <w:rsid w:val="006A09C7"/>
    <w:rsid w:val="006A09E9"/>
    <w:rsid w:val="006A0AF6"/>
    <w:rsid w:val="006A0B61"/>
    <w:rsid w:val="006A0B6E"/>
    <w:rsid w:val="006A0B98"/>
    <w:rsid w:val="006A0BE0"/>
    <w:rsid w:val="006A0D6A"/>
    <w:rsid w:val="006A0D6F"/>
    <w:rsid w:val="006A0DA4"/>
    <w:rsid w:val="006A0DF3"/>
    <w:rsid w:val="006A0E47"/>
    <w:rsid w:val="006A0E96"/>
    <w:rsid w:val="006A0E9C"/>
    <w:rsid w:val="006A0ECF"/>
    <w:rsid w:val="006A0EE5"/>
    <w:rsid w:val="006A0EE9"/>
    <w:rsid w:val="006A0EEF"/>
    <w:rsid w:val="006A0F54"/>
    <w:rsid w:val="006A0F56"/>
    <w:rsid w:val="006A0F96"/>
    <w:rsid w:val="006A0FD2"/>
    <w:rsid w:val="006A0FF6"/>
    <w:rsid w:val="006A105B"/>
    <w:rsid w:val="006A1134"/>
    <w:rsid w:val="006A1248"/>
    <w:rsid w:val="006A130B"/>
    <w:rsid w:val="006A1368"/>
    <w:rsid w:val="006A13FC"/>
    <w:rsid w:val="006A141F"/>
    <w:rsid w:val="006A162C"/>
    <w:rsid w:val="006A17BF"/>
    <w:rsid w:val="006A18B6"/>
    <w:rsid w:val="006A1902"/>
    <w:rsid w:val="006A1903"/>
    <w:rsid w:val="006A19C2"/>
    <w:rsid w:val="006A1B06"/>
    <w:rsid w:val="006A1B11"/>
    <w:rsid w:val="006A1B70"/>
    <w:rsid w:val="006A1C08"/>
    <w:rsid w:val="006A1C13"/>
    <w:rsid w:val="006A1C9D"/>
    <w:rsid w:val="006A1D8E"/>
    <w:rsid w:val="006A1D97"/>
    <w:rsid w:val="006A1DC0"/>
    <w:rsid w:val="006A1DEF"/>
    <w:rsid w:val="006A1E3C"/>
    <w:rsid w:val="006A1E42"/>
    <w:rsid w:val="006A1E45"/>
    <w:rsid w:val="006A1E49"/>
    <w:rsid w:val="006A1E55"/>
    <w:rsid w:val="006A2051"/>
    <w:rsid w:val="006A206B"/>
    <w:rsid w:val="006A20CB"/>
    <w:rsid w:val="006A2222"/>
    <w:rsid w:val="006A228F"/>
    <w:rsid w:val="006A2311"/>
    <w:rsid w:val="006A239D"/>
    <w:rsid w:val="006A23C2"/>
    <w:rsid w:val="006A2451"/>
    <w:rsid w:val="006A248D"/>
    <w:rsid w:val="006A2550"/>
    <w:rsid w:val="006A2559"/>
    <w:rsid w:val="006A25BD"/>
    <w:rsid w:val="006A2645"/>
    <w:rsid w:val="006A2702"/>
    <w:rsid w:val="006A27E9"/>
    <w:rsid w:val="006A2844"/>
    <w:rsid w:val="006A290F"/>
    <w:rsid w:val="006A2AC7"/>
    <w:rsid w:val="006A2AD2"/>
    <w:rsid w:val="006A2AF4"/>
    <w:rsid w:val="006A2B24"/>
    <w:rsid w:val="006A2B84"/>
    <w:rsid w:val="006A2C7E"/>
    <w:rsid w:val="006A2D2A"/>
    <w:rsid w:val="006A2D97"/>
    <w:rsid w:val="006A2EB9"/>
    <w:rsid w:val="006A2EC1"/>
    <w:rsid w:val="006A2ECB"/>
    <w:rsid w:val="006A2EFC"/>
    <w:rsid w:val="006A2F2C"/>
    <w:rsid w:val="006A2F80"/>
    <w:rsid w:val="006A304C"/>
    <w:rsid w:val="006A307C"/>
    <w:rsid w:val="006A309F"/>
    <w:rsid w:val="006A30B1"/>
    <w:rsid w:val="006A30EC"/>
    <w:rsid w:val="006A313B"/>
    <w:rsid w:val="006A316A"/>
    <w:rsid w:val="006A31A8"/>
    <w:rsid w:val="006A324A"/>
    <w:rsid w:val="006A326E"/>
    <w:rsid w:val="006A3294"/>
    <w:rsid w:val="006A32C3"/>
    <w:rsid w:val="006A3313"/>
    <w:rsid w:val="006A3340"/>
    <w:rsid w:val="006A34A1"/>
    <w:rsid w:val="006A350D"/>
    <w:rsid w:val="006A3606"/>
    <w:rsid w:val="006A362F"/>
    <w:rsid w:val="006A3673"/>
    <w:rsid w:val="006A36FD"/>
    <w:rsid w:val="006A37E4"/>
    <w:rsid w:val="006A3844"/>
    <w:rsid w:val="006A38F0"/>
    <w:rsid w:val="006A3942"/>
    <w:rsid w:val="006A39A1"/>
    <w:rsid w:val="006A39DF"/>
    <w:rsid w:val="006A3A7E"/>
    <w:rsid w:val="006A3AA3"/>
    <w:rsid w:val="006A3AE8"/>
    <w:rsid w:val="006A3B2F"/>
    <w:rsid w:val="006A3B88"/>
    <w:rsid w:val="006A3BAD"/>
    <w:rsid w:val="006A3C0E"/>
    <w:rsid w:val="006A3C50"/>
    <w:rsid w:val="006A3C9D"/>
    <w:rsid w:val="006A3CD8"/>
    <w:rsid w:val="006A3D0B"/>
    <w:rsid w:val="006A3D13"/>
    <w:rsid w:val="006A3DB8"/>
    <w:rsid w:val="006A3DDC"/>
    <w:rsid w:val="006A3DFA"/>
    <w:rsid w:val="006A3E47"/>
    <w:rsid w:val="006A3E93"/>
    <w:rsid w:val="006A3ECC"/>
    <w:rsid w:val="006A3EDC"/>
    <w:rsid w:val="006A3F1D"/>
    <w:rsid w:val="006A3F23"/>
    <w:rsid w:val="006A3F52"/>
    <w:rsid w:val="006A3F61"/>
    <w:rsid w:val="006A403D"/>
    <w:rsid w:val="006A4043"/>
    <w:rsid w:val="006A408A"/>
    <w:rsid w:val="006A40D5"/>
    <w:rsid w:val="006A40DF"/>
    <w:rsid w:val="006A41A5"/>
    <w:rsid w:val="006A41B0"/>
    <w:rsid w:val="006A4228"/>
    <w:rsid w:val="006A42FC"/>
    <w:rsid w:val="006A42FD"/>
    <w:rsid w:val="006A433B"/>
    <w:rsid w:val="006A448A"/>
    <w:rsid w:val="006A4581"/>
    <w:rsid w:val="006A45A2"/>
    <w:rsid w:val="006A45D9"/>
    <w:rsid w:val="006A4603"/>
    <w:rsid w:val="006A469B"/>
    <w:rsid w:val="006A46E3"/>
    <w:rsid w:val="006A473D"/>
    <w:rsid w:val="006A4743"/>
    <w:rsid w:val="006A4778"/>
    <w:rsid w:val="006A47CE"/>
    <w:rsid w:val="006A47F3"/>
    <w:rsid w:val="006A481F"/>
    <w:rsid w:val="006A4903"/>
    <w:rsid w:val="006A491F"/>
    <w:rsid w:val="006A4945"/>
    <w:rsid w:val="006A495C"/>
    <w:rsid w:val="006A4986"/>
    <w:rsid w:val="006A49A0"/>
    <w:rsid w:val="006A4A19"/>
    <w:rsid w:val="006A4A68"/>
    <w:rsid w:val="006A4A98"/>
    <w:rsid w:val="006A4ABB"/>
    <w:rsid w:val="006A4AC6"/>
    <w:rsid w:val="006A4ACD"/>
    <w:rsid w:val="006A4B2D"/>
    <w:rsid w:val="006A4B59"/>
    <w:rsid w:val="006A4B84"/>
    <w:rsid w:val="006A4B8B"/>
    <w:rsid w:val="006A4BA7"/>
    <w:rsid w:val="006A4BE7"/>
    <w:rsid w:val="006A4C28"/>
    <w:rsid w:val="006A4C6D"/>
    <w:rsid w:val="006A4C98"/>
    <w:rsid w:val="006A4D19"/>
    <w:rsid w:val="006A4D37"/>
    <w:rsid w:val="006A4D93"/>
    <w:rsid w:val="006A4DC2"/>
    <w:rsid w:val="006A4DCF"/>
    <w:rsid w:val="006A4E3F"/>
    <w:rsid w:val="006A4E91"/>
    <w:rsid w:val="006A4F02"/>
    <w:rsid w:val="006A4FB5"/>
    <w:rsid w:val="006A4FEB"/>
    <w:rsid w:val="006A52DA"/>
    <w:rsid w:val="006A5303"/>
    <w:rsid w:val="006A53AF"/>
    <w:rsid w:val="006A54AC"/>
    <w:rsid w:val="006A54DE"/>
    <w:rsid w:val="006A5510"/>
    <w:rsid w:val="006A5533"/>
    <w:rsid w:val="006A556B"/>
    <w:rsid w:val="006A5595"/>
    <w:rsid w:val="006A55AC"/>
    <w:rsid w:val="006A55E7"/>
    <w:rsid w:val="006A563A"/>
    <w:rsid w:val="006A5682"/>
    <w:rsid w:val="006A56DA"/>
    <w:rsid w:val="006A5738"/>
    <w:rsid w:val="006A5798"/>
    <w:rsid w:val="006A57BA"/>
    <w:rsid w:val="006A5886"/>
    <w:rsid w:val="006A5899"/>
    <w:rsid w:val="006A5997"/>
    <w:rsid w:val="006A59E7"/>
    <w:rsid w:val="006A5A94"/>
    <w:rsid w:val="006A5ADF"/>
    <w:rsid w:val="006A5B48"/>
    <w:rsid w:val="006A5BAC"/>
    <w:rsid w:val="006A5C45"/>
    <w:rsid w:val="006A5CA3"/>
    <w:rsid w:val="006A5CCF"/>
    <w:rsid w:val="006A5D56"/>
    <w:rsid w:val="006A5DDE"/>
    <w:rsid w:val="006A5E8D"/>
    <w:rsid w:val="006A5ED0"/>
    <w:rsid w:val="006A5FD9"/>
    <w:rsid w:val="006A6043"/>
    <w:rsid w:val="006A60E2"/>
    <w:rsid w:val="006A60E5"/>
    <w:rsid w:val="006A6190"/>
    <w:rsid w:val="006A61C2"/>
    <w:rsid w:val="006A61ED"/>
    <w:rsid w:val="006A61F5"/>
    <w:rsid w:val="006A6225"/>
    <w:rsid w:val="006A623B"/>
    <w:rsid w:val="006A623C"/>
    <w:rsid w:val="006A6242"/>
    <w:rsid w:val="006A62C0"/>
    <w:rsid w:val="006A62D2"/>
    <w:rsid w:val="006A6393"/>
    <w:rsid w:val="006A63BC"/>
    <w:rsid w:val="006A63FF"/>
    <w:rsid w:val="006A642E"/>
    <w:rsid w:val="006A6478"/>
    <w:rsid w:val="006A6481"/>
    <w:rsid w:val="006A6490"/>
    <w:rsid w:val="006A6576"/>
    <w:rsid w:val="006A6589"/>
    <w:rsid w:val="006A667E"/>
    <w:rsid w:val="006A67F0"/>
    <w:rsid w:val="006A6807"/>
    <w:rsid w:val="006A689F"/>
    <w:rsid w:val="006A68F2"/>
    <w:rsid w:val="006A6A3A"/>
    <w:rsid w:val="006A6A6A"/>
    <w:rsid w:val="006A6A6D"/>
    <w:rsid w:val="006A6A8E"/>
    <w:rsid w:val="006A6AB9"/>
    <w:rsid w:val="006A6ABB"/>
    <w:rsid w:val="006A6B20"/>
    <w:rsid w:val="006A6B51"/>
    <w:rsid w:val="006A6B93"/>
    <w:rsid w:val="006A6B9E"/>
    <w:rsid w:val="006A6BB0"/>
    <w:rsid w:val="006A6CD6"/>
    <w:rsid w:val="006A6D54"/>
    <w:rsid w:val="006A6D74"/>
    <w:rsid w:val="006A6D79"/>
    <w:rsid w:val="006A6D9F"/>
    <w:rsid w:val="006A6DF3"/>
    <w:rsid w:val="006A6DFF"/>
    <w:rsid w:val="006A6E58"/>
    <w:rsid w:val="006A6EF0"/>
    <w:rsid w:val="006A6F35"/>
    <w:rsid w:val="006A6FE4"/>
    <w:rsid w:val="006A6FE6"/>
    <w:rsid w:val="006A7050"/>
    <w:rsid w:val="006A7069"/>
    <w:rsid w:val="006A70A0"/>
    <w:rsid w:val="006A70E1"/>
    <w:rsid w:val="006A715C"/>
    <w:rsid w:val="006A7162"/>
    <w:rsid w:val="006A7182"/>
    <w:rsid w:val="006A71F4"/>
    <w:rsid w:val="006A726E"/>
    <w:rsid w:val="006A7285"/>
    <w:rsid w:val="006A72CC"/>
    <w:rsid w:val="006A72E5"/>
    <w:rsid w:val="006A72F0"/>
    <w:rsid w:val="006A733B"/>
    <w:rsid w:val="006A73D4"/>
    <w:rsid w:val="006A74D1"/>
    <w:rsid w:val="006A7600"/>
    <w:rsid w:val="006A7625"/>
    <w:rsid w:val="006A7632"/>
    <w:rsid w:val="006A768B"/>
    <w:rsid w:val="006A7714"/>
    <w:rsid w:val="006A775B"/>
    <w:rsid w:val="006A77D2"/>
    <w:rsid w:val="006A787A"/>
    <w:rsid w:val="006A7887"/>
    <w:rsid w:val="006A7A11"/>
    <w:rsid w:val="006A7A28"/>
    <w:rsid w:val="006A7A9F"/>
    <w:rsid w:val="006A7AAA"/>
    <w:rsid w:val="006A7ACE"/>
    <w:rsid w:val="006A7B86"/>
    <w:rsid w:val="006A7BF5"/>
    <w:rsid w:val="006A7C13"/>
    <w:rsid w:val="006A7C16"/>
    <w:rsid w:val="006A7C9E"/>
    <w:rsid w:val="006A7CE9"/>
    <w:rsid w:val="006A7D20"/>
    <w:rsid w:val="006A7DE1"/>
    <w:rsid w:val="006A7DE5"/>
    <w:rsid w:val="006A7E2A"/>
    <w:rsid w:val="006A7EBA"/>
    <w:rsid w:val="006A7EE9"/>
    <w:rsid w:val="006A7F55"/>
    <w:rsid w:val="006A7F66"/>
    <w:rsid w:val="006A7F75"/>
    <w:rsid w:val="006A7F7B"/>
    <w:rsid w:val="006A7FF8"/>
    <w:rsid w:val="006B005C"/>
    <w:rsid w:val="006B005E"/>
    <w:rsid w:val="006B00AA"/>
    <w:rsid w:val="006B00BD"/>
    <w:rsid w:val="006B00C5"/>
    <w:rsid w:val="006B0183"/>
    <w:rsid w:val="006B01A1"/>
    <w:rsid w:val="006B021C"/>
    <w:rsid w:val="006B0243"/>
    <w:rsid w:val="006B02BA"/>
    <w:rsid w:val="006B0319"/>
    <w:rsid w:val="006B039B"/>
    <w:rsid w:val="006B0491"/>
    <w:rsid w:val="006B0543"/>
    <w:rsid w:val="006B0586"/>
    <w:rsid w:val="006B0636"/>
    <w:rsid w:val="006B0638"/>
    <w:rsid w:val="006B067D"/>
    <w:rsid w:val="006B06D0"/>
    <w:rsid w:val="006B06E7"/>
    <w:rsid w:val="006B074E"/>
    <w:rsid w:val="006B081A"/>
    <w:rsid w:val="006B08DA"/>
    <w:rsid w:val="006B08EE"/>
    <w:rsid w:val="006B0920"/>
    <w:rsid w:val="006B09B6"/>
    <w:rsid w:val="006B0A65"/>
    <w:rsid w:val="006B0B0E"/>
    <w:rsid w:val="006B0BA3"/>
    <w:rsid w:val="006B0BEF"/>
    <w:rsid w:val="006B0C66"/>
    <w:rsid w:val="006B0C69"/>
    <w:rsid w:val="006B0C86"/>
    <w:rsid w:val="006B0CD9"/>
    <w:rsid w:val="006B0CEA"/>
    <w:rsid w:val="006B0D53"/>
    <w:rsid w:val="006B0E0E"/>
    <w:rsid w:val="006B0E39"/>
    <w:rsid w:val="006B0ECB"/>
    <w:rsid w:val="006B0FB2"/>
    <w:rsid w:val="006B10A0"/>
    <w:rsid w:val="006B110C"/>
    <w:rsid w:val="006B1150"/>
    <w:rsid w:val="006B12C0"/>
    <w:rsid w:val="006B132C"/>
    <w:rsid w:val="006B14BB"/>
    <w:rsid w:val="006B14F9"/>
    <w:rsid w:val="006B157F"/>
    <w:rsid w:val="006B1581"/>
    <w:rsid w:val="006B15AA"/>
    <w:rsid w:val="006B15AB"/>
    <w:rsid w:val="006B15B6"/>
    <w:rsid w:val="006B164E"/>
    <w:rsid w:val="006B171D"/>
    <w:rsid w:val="006B17AD"/>
    <w:rsid w:val="006B18F2"/>
    <w:rsid w:val="006B190E"/>
    <w:rsid w:val="006B1A4A"/>
    <w:rsid w:val="006B1AC7"/>
    <w:rsid w:val="006B1B51"/>
    <w:rsid w:val="006B1BC9"/>
    <w:rsid w:val="006B1C6A"/>
    <w:rsid w:val="006B1CA5"/>
    <w:rsid w:val="006B1D09"/>
    <w:rsid w:val="006B1D1D"/>
    <w:rsid w:val="006B1D1F"/>
    <w:rsid w:val="006B1DC4"/>
    <w:rsid w:val="006B1DF2"/>
    <w:rsid w:val="006B1E19"/>
    <w:rsid w:val="006B1E38"/>
    <w:rsid w:val="006B1E42"/>
    <w:rsid w:val="006B1EB7"/>
    <w:rsid w:val="006B1F15"/>
    <w:rsid w:val="006B1F64"/>
    <w:rsid w:val="006B209B"/>
    <w:rsid w:val="006B20D8"/>
    <w:rsid w:val="006B2127"/>
    <w:rsid w:val="006B2133"/>
    <w:rsid w:val="006B21C9"/>
    <w:rsid w:val="006B2256"/>
    <w:rsid w:val="006B225B"/>
    <w:rsid w:val="006B226E"/>
    <w:rsid w:val="006B22C5"/>
    <w:rsid w:val="006B23A7"/>
    <w:rsid w:val="006B2442"/>
    <w:rsid w:val="006B244B"/>
    <w:rsid w:val="006B2476"/>
    <w:rsid w:val="006B255E"/>
    <w:rsid w:val="006B262E"/>
    <w:rsid w:val="006B2687"/>
    <w:rsid w:val="006B26A4"/>
    <w:rsid w:val="006B26F4"/>
    <w:rsid w:val="006B27A2"/>
    <w:rsid w:val="006B27B9"/>
    <w:rsid w:val="006B27ED"/>
    <w:rsid w:val="006B2894"/>
    <w:rsid w:val="006B2972"/>
    <w:rsid w:val="006B29BD"/>
    <w:rsid w:val="006B29D5"/>
    <w:rsid w:val="006B29D9"/>
    <w:rsid w:val="006B2A08"/>
    <w:rsid w:val="006B2A98"/>
    <w:rsid w:val="006B2AD1"/>
    <w:rsid w:val="006B2B53"/>
    <w:rsid w:val="006B2B92"/>
    <w:rsid w:val="006B2BBB"/>
    <w:rsid w:val="006B2BDD"/>
    <w:rsid w:val="006B2C1F"/>
    <w:rsid w:val="006B2CB6"/>
    <w:rsid w:val="006B2D85"/>
    <w:rsid w:val="006B2DFE"/>
    <w:rsid w:val="006B2E77"/>
    <w:rsid w:val="006B2F00"/>
    <w:rsid w:val="006B2F28"/>
    <w:rsid w:val="006B2F93"/>
    <w:rsid w:val="006B2FE6"/>
    <w:rsid w:val="006B2FE8"/>
    <w:rsid w:val="006B2FF8"/>
    <w:rsid w:val="006B3008"/>
    <w:rsid w:val="006B3021"/>
    <w:rsid w:val="006B30C0"/>
    <w:rsid w:val="006B317B"/>
    <w:rsid w:val="006B317E"/>
    <w:rsid w:val="006B318C"/>
    <w:rsid w:val="006B31DC"/>
    <w:rsid w:val="006B31E1"/>
    <w:rsid w:val="006B3253"/>
    <w:rsid w:val="006B327D"/>
    <w:rsid w:val="006B3377"/>
    <w:rsid w:val="006B340E"/>
    <w:rsid w:val="006B3414"/>
    <w:rsid w:val="006B3469"/>
    <w:rsid w:val="006B347B"/>
    <w:rsid w:val="006B34C9"/>
    <w:rsid w:val="006B35A6"/>
    <w:rsid w:val="006B35AB"/>
    <w:rsid w:val="006B3614"/>
    <w:rsid w:val="006B36AA"/>
    <w:rsid w:val="006B36F5"/>
    <w:rsid w:val="006B36F8"/>
    <w:rsid w:val="006B3758"/>
    <w:rsid w:val="006B37EA"/>
    <w:rsid w:val="006B381E"/>
    <w:rsid w:val="006B3923"/>
    <w:rsid w:val="006B3934"/>
    <w:rsid w:val="006B396B"/>
    <w:rsid w:val="006B3A1B"/>
    <w:rsid w:val="006B3B48"/>
    <w:rsid w:val="006B3B58"/>
    <w:rsid w:val="006B3B5D"/>
    <w:rsid w:val="006B3B94"/>
    <w:rsid w:val="006B3BF4"/>
    <w:rsid w:val="006B3CB4"/>
    <w:rsid w:val="006B3D04"/>
    <w:rsid w:val="006B3DBD"/>
    <w:rsid w:val="006B3E06"/>
    <w:rsid w:val="006B3E8C"/>
    <w:rsid w:val="006B3EAA"/>
    <w:rsid w:val="006B3EF7"/>
    <w:rsid w:val="006B3F03"/>
    <w:rsid w:val="006B3F07"/>
    <w:rsid w:val="006B3F2E"/>
    <w:rsid w:val="006B3F6B"/>
    <w:rsid w:val="006B3FD5"/>
    <w:rsid w:val="006B405D"/>
    <w:rsid w:val="006B409A"/>
    <w:rsid w:val="006B40B4"/>
    <w:rsid w:val="006B40C7"/>
    <w:rsid w:val="006B4135"/>
    <w:rsid w:val="006B41F4"/>
    <w:rsid w:val="006B423F"/>
    <w:rsid w:val="006B437D"/>
    <w:rsid w:val="006B43D6"/>
    <w:rsid w:val="006B4585"/>
    <w:rsid w:val="006B460F"/>
    <w:rsid w:val="006B4685"/>
    <w:rsid w:val="006B46A1"/>
    <w:rsid w:val="006B46FA"/>
    <w:rsid w:val="006B472F"/>
    <w:rsid w:val="006B4736"/>
    <w:rsid w:val="006B484A"/>
    <w:rsid w:val="006B4850"/>
    <w:rsid w:val="006B48B2"/>
    <w:rsid w:val="006B48C5"/>
    <w:rsid w:val="006B4946"/>
    <w:rsid w:val="006B4A64"/>
    <w:rsid w:val="006B4B65"/>
    <w:rsid w:val="006B4B92"/>
    <w:rsid w:val="006B4BEF"/>
    <w:rsid w:val="006B4BFA"/>
    <w:rsid w:val="006B4C05"/>
    <w:rsid w:val="006B4C62"/>
    <w:rsid w:val="006B4C73"/>
    <w:rsid w:val="006B4C9D"/>
    <w:rsid w:val="006B4CB9"/>
    <w:rsid w:val="006B4CCD"/>
    <w:rsid w:val="006B4CEA"/>
    <w:rsid w:val="006B4D2A"/>
    <w:rsid w:val="006B4DCF"/>
    <w:rsid w:val="006B4E3A"/>
    <w:rsid w:val="006B4E64"/>
    <w:rsid w:val="006B4EF4"/>
    <w:rsid w:val="006B4F2D"/>
    <w:rsid w:val="006B501B"/>
    <w:rsid w:val="006B51D4"/>
    <w:rsid w:val="006B51D7"/>
    <w:rsid w:val="006B51E8"/>
    <w:rsid w:val="006B51FA"/>
    <w:rsid w:val="006B5241"/>
    <w:rsid w:val="006B5307"/>
    <w:rsid w:val="006B542A"/>
    <w:rsid w:val="006B54AD"/>
    <w:rsid w:val="006B54E8"/>
    <w:rsid w:val="006B54FB"/>
    <w:rsid w:val="006B556D"/>
    <w:rsid w:val="006B55AD"/>
    <w:rsid w:val="006B5625"/>
    <w:rsid w:val="006B56C7"/>
    <w:rsid w:val="006B56CB"/>
    <w:rsid w:val="006B5737"/>
    <w:rsid w:val="006B579F"/>
    <w:rsid w:val="006B580D"/>
    <w:rsid w:val="006B5847"/>
    <w:rsid w:val="006B5875"/>
    <w:rsid w:val="006B5895"/>
    <w:rsid w:val="006B589F"/>
    <w:rsid w:val="006B58CD"/>
    <w:rsid w:val="006B592C"/>
    <w:rsid w:val="006B5AE6"/>
    <w:rsid w:val="006B5AEA"/>
    <w:rsid w:val="006B5B24"/>
    <w:rsid w:val="006B5B33"/>
    <w:rsid w:val="006B5B56"/>
    <w:rsid w:val="006B5C6D"/>
    <w:rsid w:val="006B5CD2"/>
    <w:rsid w:val="006B5D0A"/>
    <w:rsid w:val="006B5D26"/>
    <w:rsid w:val="006B5D32"/>
    <w:rsid w:val="006B5D5F"/>
    <w:rsid w:val="006B5D95"/>
    <w:rsid w:val="006B5DB6"/>
    <w:rsid w:val="006B5E0E"/>
    <w:rsid w:val="006B5EDA"/>
    <w:rsid w:val="006B5FD6"/>
    <w:rsid w:val="006B5FE1"/>
    <w:rsid w:val="006B60D9"/>
    <w:rsid w:val="006B60EA"/>
    <w:rsid w:val="006B61FF"/>
    <w:rsid w:val="006B6226"/>
    <w:rsid w:val="006B624F"/>
    <w:rsid w:val="006B6285"/>
    <w:rsid w:val="006B628B"/>
    <w:rsid w:val="006B631E"/>
    <w:rsid w:val="006B6326"/>
    <w:rsid w:val="006B6332"/>
    <w:rsid w:val="006B640E"/>
    <w:rsid w:val="006B642A"/>
    <w:rsid w:val="006B646D"/>
    <w:rsid w:val="006B648E"/>
    <w:rsid w:val="006B64C0"/>
    <w:rsid w:val="006B6501"/>
    <w:rsid w:val="006B650C"/>
    <w:rsid w:val="006B6516"/>
    <w:rsid w:val="006B6549"/>
    <w:rsid w:val="006B6552"/>
    <w:rsid w:val="006B65B7"/>
    <w:rsid w:val="006B6640"/>
    <w:rsid w:val="006B666E"/>
    <w:rsid w:val="006B66C4"/>
    <w:rsid w:val="006B6788"/>
    <w:rsid w:val="006B6804"/>
    <w:rsid w:val="006B6848"/>
    <w:rsid w:val="006B688C"/>
    <w:rsid w:val="006B693F"/>
    <w:rsid w:val="006B6989"/>
    <w:rsid w:val="006B6A1A"/>
    <w:rsid w:val="006B6AE6"/>
    <w:rsid w:val="006B6B3E"/>
    <w:rsid w:val="006B6B9A"/>
    <w:rsid w:val="006B6BAE"/>
    <w:rsid w:val="006B6BB2"/>
    <w:rsid w:val="006B6BC1"/>
    <w:rsid w:val="006B6C3B"/>
    <w:rsid w:val="006B6C55"/>
    <w:rsid w:val="006B6CA7"/>
    <w:rsid w:val="006B6CF7"/>
    <w:rsid w:val="006B6D14"/>
    <w:rsid w:val="006B6D58"/>
    <w:rsid w:val="006B6D6C"/>
    <w:rsid w:val="006B6D6F"/>
    <w:rsid w:val="006B6D83"/>
    <w:rsid w:val="006B6DF8"/>
    <w:rsid w:val="006B6EAF"/>
    <w:rsid w:val="006B6F23"/>
    <w:rsid w:val="006B6F25"/>
    <w:rsid w:val="006B700D"/>
    <w:rsid w:val="006B7043"/>
    <w:rsid w:val="006B7049"/>
    <w:rsid w:val="006B7108"/>
    <w:rsid w:val="006B7123"/>
    <w:rsid w:val="006B7152"/>
    <w:rsid w:val="006B715C"/>
    <w:rsid w:val="006B7269"/>
    <w:rsid w:val="006B726E"/>
    <w:rsid w:val="006B72C9"/>
    <w:rsid w:val="006B72FD"/>
    <w:rsid w:val="006B7382"/>
    <w:rsid w:val="006B738A"/>
    <w:rsid w:val="006B73EF"/>
    <w:rsid w:val="006B7469"/>
    <w:rsid w:val="006B746C"/>
    <w:rsid w:val="006B74D5"/>
    <w:rsid w:val="006B756F"/>
    <w:rsid w:val="006B75B4"/>
    <w:rsid w:val="006B760D"/>
    <w:rsid w:val="006B7679"/>
    <w:rsid w:val="006B7702"/>
    <w:rsid w:val="006B7747"/>
    <w:rsid w:val="006B7782"/>
    <w:rsid w:val="006B77B8"/>
    <w:rsid w:val="006B77F4"/>
    <w:rsid w:val="006B77F7"/>
    <w:rsid w:val="006B7801"/>
    <w:rsid w:val="006B7813"/>
    <w:rsid w:val="006B78FC"/>
    <w:rsid w:val="006B792E"/>
    <w:rsid w:val="006B79D6"/>
    <w:rsid w:val="006B79F8"/>
    <w:rsid w:val="006B7A92"/>
    <w:rsid w:val="006B7A98"/>
    <w:rsid w:val="006B7A9F"/>
    <w:rsid w:val="006B7ABF"/>
    <w:rsid w:val="006B7AEC"/>
    <w:rsid w:val="006B7B03"/>
    <w:rsid w:val="006B7B37"/>
    <w:rsid w:val="006B7B38"/>
    <w:rsid w:val="006B7BA4"/>
    <w:rsid w:val="006B7BA9"/>
    <w:rsid w:val="006B7BB4"/>
    <w:rsid w:val="006B7BE9"/>
    <w:rsid w:val="006B7C2E"/>
    <w:rsid w:val="006B7C98"/>
    <w:rsid w:val="006B7CC8"/>
    <w:rsid w:val="006B7D6C"/>
    <w:rsid w:val="006B7DA3"/>
    <w:rsid w:val="006B7DF5"/>
    <w:rsid w:val="006B7ED1"/>
    <w:rsid w:val="006B7FB3"/>
    <w:rsid w:val="006B7FBE"/>
    <w:rsid w:val="006C0035"/>
    <w:rsid w:val="006C003A"/>
    <w:rsid w:val="006C008A"/>
    <w:rsid w:val="006C00D7"/>
    <w:rsid w:val="006C01A3"/>
    <w:rsid w:val="006C01E8"/>
    <w:rsid w:val="006C02E8"/>
    <w:rsid w:val="006C031F"/>
    <w:rsid w:val="006C043A"/>
    <w:rsid w:val="006C044B"/>
    <w:rsid w:val="006C0498"/>
    <w:rsid w:val="006C053D"/>
    <w:rsid w:val="006C063B"/>
    <w:rsid w:val="006C0642"/>
    <w:rsid w:val="006C0781"/>
    <w:rsid w:val="006C07D8"/>
    <w:rsid w:val="006C0874"/>
    <w:rsid w:val="006C0891"/>
    <w:rsid w:val="006C08A1"/>
    <w:rsid w:val="006C0903"/>
    <w:rsid w:val="006C0979"/>
    <w:rsid w:val="006C0A32"/>
    <w:rsid w:val="006C0A50"/>
    <w:rsid w:val="006C0AB7"/>
    <w:rsid w:val="006C0AC0"/>
    <w:rsid w:val="006C0AFB"/>
    <w:rsid w:val="006C0B76"/>
    <w:rsid w:val="006C0CEF"/>
    <w:rsid w:val="006C0D86"/>
    <w:rsid w:val="006C0E46"/>
    <w:rsid w:val="006C0E95"/>
    <w:rsid w:val="006C0EF5"/>
    <w:rsid w:val="006C0F40"/>
    <w:rsid w:val="006C0F4C"/>
    <w:rsid w:val="006C0FF9"/>
    <w:rsid w:val="006C1001"/>
    <w:rsid w:val="006C1040"/>
    <w:rsid w:val="006C1054"/>
    <w:rsid w:val="006C1062"/>
    <w:rsid w:val="006C10C4"/>
    <w:rsid w:val="006C10D9"/>
    <w:rsid w:val="006C10DA"/>
    <w:rsid w:val="006C1156"/>
    <w:rsid w:val="006C11D3"/>
    <w:rsid w:val="006C12BC"/>
    <w:rsid w:val="006C12C5"/>
    <w:rsid w:val="006C13AD"/>
    <w:rsid w:val="006C13F0"/>
    <w:rsid w:val="006C144B"/>
    <w:rsid w:val="006C14A7"/>
    <w:rsid w:val="006C14D8"/>
    <w:rsid w:val="006C155C"/>
    <w:rsid w:val="006C15F7"/>
    <w:rsid w:val="006C1647"/>
    <w:rsid w:val="006C16EE"/>
    <w:rsid w:val="006C17E8"/>
    <w:rsid w:val="006C1816"/>
    <w:rsid w:val="006C1831"/>
    <w:rsid w:val="006C1859"/>
    <w:rsid w:val="006C1871"/>
    <w:rsid w:val="006C1885"/>
    <w:rsid w:val="006C18AF"/>
    <w:rsid w:val="006C1906"/>
    <w:rsid w:val="006C193E"/>
    <w:rsid w:val="006C19A0"/>
    <w:rsid w:val="006C19B0"/>
    <w:rsid w:val="006C1A61"/>
    <w:rsid w:val="006C1AC2"/>
    <w:rsid w:val="006C1B1E"/>
    <w:rsid w:val="006C1B81"/>
    <w:rsid w:val="006C1B85"/>
    <w:rsid w:val="006C1BB7"/>
    <w:rsid w:val="006C1C2F"/>
    <w:rsid w:val="006C1C3A"/>
    <w:rsid w:val="006C1CCB"/>
    <w:rsid w:val="006C1CD8"/>
    <w:rsid w:val="006C1DA6"/>
    <w:rsid w:val="006C1DCA"/>
    <w:rsid w:val="006C1F49"/>
    <w:rsid w:val="006C1F73"/>
    <w:rsid w:val="006C1FC8"/>
    <w:rsid w:val="006C20C6"/>
    <w:rsid w:val="006C20E0"/>
    <w:rsid w:val="006C219A"/>
    <w:rsid w:val="006C21E6"/>
    <w:rsid w:val="006C22F2"/>
    <w:rsid w:val="006C2341"/>
    <w:rsid w:val="006C23C3"/>
    <w:rsid w:val="006C23CC"/>
    <w:rsid w:val="006C23E3"/>
    <w:rsid w:val="006C23F5"/>
    <w:rsid w:val="006C248A"/>
    <w:rsid w:val="006C255E"/>
    <w:rsid w:val="006C265E"/>
    <w:rsid w:val="006C26BB"/>
    <w:rsid w:val="006C26E0"/>
    <w:rsid w:val="006C26ED"/>
    <w:rsid w:val="006C26FA"/>
    <w:rsid w:val="006C2708"/>
    <w:rsid w:val="006C27C7"/>
    <w:rsid w:val="006C281E"/>
    <w:rsid w:val="006C28F0"/>
    <w:rsid w:val="006C28FC"/>
    <w:rsid w:val="006C2904"/>
    <w:rsid w:val="006C290D"/>
    <w:rsid w:val="006C2910"/>
    <w:rsid w:val="006C293C"/>
    <w:rsid w:val="006C29C2"/>
    <w:rsid w:val="006C2A08"/>
    <w:rsid w:val="006C2A75"/>
    <w:rsid w:val="006C2AC3"/>
    <w:rsid w:val="006C2B1A"/>
    <w:rsid w:val="006C2C76"/>
    <w:rsid w:val="006C2C94"/>
    <w:rsid w:val="006C2C9D"/>
    <w:rsid w:val="006C2CD3"/>
    <w:rsid w:val="006C2D34"/>
    <w:rsid w:val="006C2D6C"/>
    <w:rsid w:val="006C2DB7"/>
    <w:rsid w:val="006C2E35"/>
    <w:rsid w:val="006C2E54"/>
    <w:rsid w:val="006C2EDD"/>
    <w:rsid w:val="006C2EE1"/>
    <w:rsid w:val="006C2FC5"/>
    <w:rsid w:val="006C301A"/>
    <w:rsid w:val="006C3043"/>
    <w:rsid w:val="006C3112"/>
    <w:rsid w:val="006C315D"/>
    <w:rsid w:val="006C31A3"/>
    <w:rsid w:val="006C31D7"/>
    <w:rsid w:val="006C320D"/>
    <w:rsid w:val="006C321D"/>
    <w:rsid w:val="006C3310"/>
    <w:rsid w:val="006C3454"/>
    <w:rsid w:val="006C3486"/>
    <w:rsid w:val="006C348A"/>
    <w:rsid w:val="006C3584"/>
    <w:rsid w:val="006C35F2"/>
    <w:rsid w:val="006C35FF"/>
    <w:rsid w:val="006C36D5"/>
    <w:rsid w:val="006C3748"/>
    <w:rsid w:val="006C380A"/>
    <w:rsid w:val="006C3840"/>
    <w:rsid w:val="006C38CC"/>
    <w:rsid w:val="006C38CE"/>
    <w:rsid w:val="006C395C"/>
    <w:rsid w:val="006C3994"/>
    <w:rsid w:val="006C39AB"/>
    <w:rsid w:val="006C39E2"/>
    <w:rsid w:val="006C3A01"/>
    <w:rsid w:val="006C3A5F"/>
    <w:rsid w:val="006C3A84"/>
    <w:rsid w:val="006C3ACE"/>
    <w:rsid w:val="006C3BF9"/>
    <w:rsid w:val="006C3C03"/>
    <w:rsid w:val="006C3DAA"/>
    <w:rsid w:val="006C3EAC"/>
    <w:rsid w:val="006C3ED9"/>
    <w:rsid w:val="006C3F24"/>
    <w:rsid w:val="006C3F6A"/>
    <w:rsid w:val="006C40E1"/>
    <w:rsid w:val="006C4129"/>
    <w:rsid w:val="006C418D"/>
    <w:rsid w:val="006C418E"/>
    <w:rsid w:val="006C4233"/>
    <w:rsid w:val="006C4235"/>
    <w:rsid w:val="006C424C"/>
    <w:rsid w:val="006C42BB"/>
    <w:rsid w:val="006C42BC"/>
    <w:rsid w:val="006C42F9"/>
    <w:rsid w:val="006C436C"/>
    <w:rsid w:val="006C43C3"/>
    <w:rsid w:val="006C441B"/>
    <w:rsid w:val="006C4422"/>
    <w:rsid w:val="006C4445"/>
    <w:rsid w:val="006C44C2"/>
    <w:rsid w:val="006C44F4"/>
    <w:rsid w:val="006C44F9"/>
    <w:rsid w:val="006C459F"/>
    <w:rsid w:val="006C4607"/>
    <w:rsid w:val="006C462D"/>
    <w:rsid w:val="006C46AA"/>
    <w:rsid w:val="006C46C7"/>
    <w:rsid w:val="006C46D8"/>
    <w:rsid w:val="006C481F"/>
    <w:rsid w:val="006C484D"/>
    <w:rsid w:val="006C48D8"/>
    <w:rsid w:val="006C4923"/>
    <w:rsid w:val="006C4AF4"/>
    <w:rsid w:val="006C4B3C"/>
    <w:rsid w:val="006C4B54"/>
    <w:rsid w:val="006C4B91"/>
    <w:rsid w:val="006C4B96"/>
    <w:rsid w:val="006C4BA4"/>
    <w:rsid w:val="006C4BAB"/>
    <w:rsid w:val="006C4BC5"/>
    <w:rsid w:val="006C4C27"/>
    <w:rsid w:val="006C4C82"/>
    <w:rsid w:val="006C4CA0"/>
    <w:rsid w:val="006C4CE9"/>
    <w:rsid w:val="006C4D59"/>
    <w:rsid w:val="006C4E66"/>
    <w:rsid w:val="006C4E8D"/>
    <w:rsid w:val="006C4ECB"/>
    <w:rsid w:val="006C4F20"/>
    <w:rsid w:val="006C4F3C"/>
    <w:rsid w:val="006C501D"/>
    <w:rsid w:val="006C508E"/>
    <w:rsid w:val="006C516E"/>
    <w:rsid w:val="006C5197"/>
    <w:rsid w:val="006C5215"/>
    <w:rsid w:val="006C52B4"/>
    <w:rsid w:val="006C52BC"/>
    <w:rsid w:val="006C5337"/>
    <w:rsid w:val="006C537A"/>
    <w:rsid w:val="006C53BA"/>
    <w:rsid w:val="006C53C7"/>
    <w:rsid w:val="006C540D"/>
    <w:rsid w:val="006C5558"/>
    <w:rsid w:val="006C55F2"/>
    <w:rsid w:val="006C55F3"/>
    <w:rsid w:val="006C565F"/>
    <w:rsid w:val="006C5692"/>
    <w:rsid w:val="006C56D1"/>
    <w:rsid w:val="006C5759"/>
    <w:rsid w:val="006C5766"/>
    <w:rsid w:val="006C576D"/>
    <w:rsid w:val="006C5784"/>
    <w:rsid w:val="006C5852"/>
    <w:rsid w:val="006C58C7"/>
    <w:rsid w:val="006C5912"/>
    <w:rsid w:val="006C5975"/>
    <w:rsid w:val="006C5986"/>
    <w:rsid w:val="006C59FD"/>
    <w:rsid w:val="006C5A04"/>
    <w:rsid w:val="006C5A40"/>
    <w:rsid w:val="006C5AEE"/>
    <w:rsid w:val="006C5C3C"/>
    <w:rsid w:val="006C5C7E"/>
    <w:rsid w:val="006C5CB4"/>
    <w:rsid w:val="006C5D4D"/>
    <w:rsid w:val="006C5E07"/>
    <w:rsid w:val="006C5E64"/>
    <w:rsid w:val="006C5E74"/>
    <w:rsid w:val="006C5E86"/>
    <w:rsid w:val="006C5ECD"/>
    <w:rsid w:val="006C5EFC"/>
    <w:rsid w:val="006C5F5C"/>
    <w:rsid w:val="006C5F9C"/>
    <w:rsid w:val="006C5FBB"/>
    <w:rsid w:val="006C607F"/>
    <w:rsid w:val="006C6125"/>
    <w:rsid w:val="006C6126"/>
    <w:rsid w:val="006C6141"/>
    <w:rsid w:val="006C6142"/>
    <w:rsid w:val="006C6162"/>
    <w:rsid w:val="006C6198"/>
    <w:rsid w:val="006C61A3"/>
    <w:rsid w:val="006C61A6"/>
    <w:rsid w:val="006C61D6"/>
    <w:rsid w:val="006C6203"/>
    <w:rsid w:val="006C6265"/>
    <w:rsid w:val="006C6299"/>
    <w:rsid w:val="006C6340"/>
    <w:rsid w:val="006C6387"/>
    <w:rsid w:val="006C63B7"/>
    <w:rsid w:val="006C63C3"/>
    <w:rsid w:val="006C63E6"/>
    <w:rsid w:val="006C63FB"/>
    <w:rsid w:val="006C6458"/>
    <w:rsid w:val="006C64E8"/>
    <w:rsid w:val="006C659F"/>
    <w:rsid w:val="006C6664"/>
    <w:rsid w:val="006C66ED"/>
    <w:rsid w:val="006C67BA"/>
    <w:rsid w:val="006C6853"/>
    <w:rsid w:val="006C6906"/>
    <w:rsid w:val="006C6979"/>
    <w:rsid w:val="006C69EE"/>
    <w:rsid w:val="006C6A25"/>
    <w:rsid w:val="006C6A86"/>
    <w:rsid w:val="006C6AA7"/>
    <w:rsid w:val="006C6AF5"/>
    <w:rsid w:val="006C6AFA"/>
    <w:rsid w:val="006C6B26"/>
    <w:rsid w:val="006C6B5C"/>
    <w:rsid w:val="006C6B85"/>
    <w:rsid w:val="006C6BB7"/>
    <w:rsid w:val="006C6BF9"/>
    <w:rsid w:val="006C6CB6"/>
    <w:rsid w:val="006C6CE4"/>
    <w:rsid w:val="006C6E14"/>
    <w:rsid w:val="006C6E47"/>
    <w:rsid w:val="006C6EB4"/>
    <w:rsid w:val="006C709C"/>
    <w:rsid w:val="006C712B"/>
    <w:rsid w:val="006C7175"/>
    <w:rsid w:val="006C71CE"/>
    <w:rsid w:val="006C720E"/>
    <w:rsid w:val="006C724E"/>
    <w:rsid w:val="006C72A6"/>
    <w:rsid w:val="006C72F0"/>
    <w:rsid w:val="006C72F5"/>
    <w:rsid w:val="006C730C"/>
    <w:rsid w:val="006C733F"/>
    <w:rsid w:val="006C737D"/>
    <w:rsid w:val="006C73BA"/>
    <w:rsid w:val="006C73D6"/>
    <w:rsid w:val="006C7427"/>
    <w:rsid w:val="006C7450"/>
    <w:rsid w:val="006C754D"/>
    <w:rsid w:val="006C76D4"/>
    <w:rsid w:val="006C7734"/>
    <w:rsid w:val="006C7739"/>
    <w:rsid w:val="006C78E5"/>
    <w:rsid w:val="006C78ED"/>
    <w:rsid w:val="006C797A"/>
    <w:rsid w:val="006C79BC"/>
    <w:rsid w:val="006C79F0"/>
    <w:rsid w:val="006C7A00"/>
    <w:rsid w:val="006C7A12"/>
    <w:rsid w:val="006C7AD7"/>
    <w:rsid w:val="006C7C91"/>
    <w:rsid w:val="006C7CA4"/>
    <w:rsid w:val="006C7CAE"/>
    <w:rsid w:val="006C7CC5"/>
    <w:rsid w:val="006C7D0A"/>
    <w:rsid w:val="006C7DC3"/>
    <w:rsid w:val="006C7DF1"/>
    <w:rsid w:val="006C7DF3"/>
    <w:rsid w:val="006C7E76"/>
    <w:rsid w:val="006C7E8B"/>
    <w:rsid w:val="006C7EC0"/>
    <w:rsid w:val="006C7F37"/>
    <w:rsid w:val="006C7F5A"/>
    <w:rsid w:val="006C7F5E"/>
    <w:rsid w:val="006C7F79"/>
    <w:rsid w:val="006C7FC0"/>
    <w:rsid w:val="006D0052"/>
    <w:rsid w:val="006D0193"/>
    <w:rsid w:val="006D01AF"/>
    <w:rsid w:val="006D01C0"/>
    <w:rsid w:val="006D026B"/>
    <w:rsid w:val="006D040C"/>
    <w:rsid w:val="006D0417"/>
    <w:rsid w:val="006D04C9"/>
    <w:rsid w:val="006D0508"/>
    <w:rsid w:val="006D054B"/>
    <w:rsid w:val="006D0573"/>
    <w:rsid w:val="006D05BE"/>
    <w:rsid w:val="006D0608"/>
    <w:rsid w:val="006D069B"/>
    <w:rsid w:val="006D07CA"/>
    <w:rsid w:val="006D0945"/>
    <w:rsid w:val="006D0950"/>
    <w:rsid w:val="006D095B"/>
    <w:rsid w:val="006D09A9"/>
    <w:rsid w:val="006D0A0E"/>
    <w:rsid w:val="006D0A6D"/>
    <w:rsid w:val="006D0AA9"/>
    <w:rsid w:val="006D0ABE"/>
    <w:rsid w:val="006D0AC1"/>
    <w:rsid w:val="006D0B21"/>
    <w:rsid w:val="006D0BAE"/>
    <w:rsid w:val="006D0BCD"/>
    <w:rsid w:val="006D0C0D"/>
    <w:rsid w:val="006D0C1D"/>
    <w:rsid w:val="006D0C3A"/>
    <w:rsid w:val="006D0C8F"/>
    <w:rsid w:val="006D0C97"/>
    <w:rsid w:val="006D0CC6"/>
    <w:rsid w:val="006D0DA4"/>
    <w:rsid w:val="006D0E6A"/>
    <w:rsid w:val="006D0EEA"/>
    <w:rsid w:val="006D0F70"/>
    <w:rsid w:val="006D10B6"/>
    <w:rsid w:val="006D10CE"/>
    <w:rsid w:val="006D121C"/>
    <w:rsid w:val="006D1243"/>
    <w:rsid w:val="006D1420"/>
    <w:rsid w:val="006D1423"/>
    <w:rsid w:val="006D152C"/>
    <w:rsid w:val="006D158D"/>
    <w:rsid w:val="006D15FA"/>
    <w:rsid w:val="006D164C"/>
    <w:rsid w:val="006D1658"/>
    <w:rsid w:val="006D17A0"/>
    <w:rsid w:val="006D17CD"/>
    <w:rsid w:val="006D17DE"/>
    <w:rsid w:val="006D182A"/>
    <w:rsid w:val="006D183B"/>
    <w:rsid w:val="006D184B"/>
    <w:rsid w:val="006D18EC"/>
    <w:rsid w:val="006D1947"/>
    <w:rsid w:val="006D1961"/>
    <w:rsid w:val="006D19E0"/>
    <w:rsid w:val="006D19E9"/>
    <w:rsid w:val="006D1B09"/>
    <w:rsid w:val="006D1BFD"/>
    <w:rsid w:val="006D1C17"/>
    <w:rsid w:val="006D1C24"/>
    <w:rsid w:val="006D1C2E"/>
    <w:rsid w:val="006D1C3B"/>
    <w:rsid w:val="006D1E08"/>
    <w:rsid w:val="006D1E26"/>
    <w:rsid w:val="006D1EF4"/>
    <w:rsid w:val="006D1F51"/>
    <w:rsid w:val="006D1FC4"/>
    <w:rsid w:val="006D2095"/>
    <w:rsid w:val="006D20E8"/>
    <w:rsid w:val="006D2241"/>
    <w:rsid w:val="006D224C"/>
    <w:rsid w:val="006D2250"/>
    <w:rsid w:val="006D22E2"/>
    <w:rsid w:val="006D2348"/>
    <w:rsid w:val="006D234F"/>
    <w:rsid w:val="006D2362"/>
    <w:rsid w:val="006D2387"/>
    <w:rsid w:val="006D23C3"/>
    <w:rsid w:val="006D2422"/>
    <w:rsid w:val="006D24C7"/>
    <w:rsid w:val="006D2515"/>
    <w:rsid w:val="006D254F"/>
    <w:rsid w:val="006D2591"/>
    <w:rsid w:val="006D25BC"/>
    <w:rsid w:val="006D2681"/>
    <w:rsid w:val="006D2697"/>
    <w:rsid w:val="006D26C1"/>
    <w:rsid w:val="006D26FF"/>
    <w:rsid w:val="006D2713"/>
    <w:rsid w:val="006D273B"/>
    <w:rsid w:val="006D274A"/>
    <w:rsid w:val="006D2774"/>
    <w:rsid w:val="006D2789"/>
    <w:rsid w:val="006D27F7"/>
    <w:rsid w:val="006D2860"/>
    <w:rsid w:val="006D2958"/>
    <w:rsid w:val="006D296B"/>
    <w:rsid w:val="006D29B7"/>
    <w:rsid w:val="006D29CD"/>
    <w:rsid w:val="006D2A0D"/>
    <w:rsid w:val="006D2AA8"/>
    <w:rsid w:val="006D2AB5"/>
    <w:rsid w:val="006D2AD2"/>
    <w:rsid w:val="006D2BB2"/>
    <w:rsid w:val="006D2BDB"/>
    <w:rsid w:val="006D2BF6"/>
    <w:rsid w:val="006D2C23"/>
    <w:rsid w:val="006D2C3D"/>
    <w:rsid w:val="006D2C61"/>
    <w:rsid w:val="006D2D45"/>
    <w:rsid w:val="006D2D6D"/>
    <w:rsid w:val="006D2D71"/>
    <w:rsid w:val="006D2DA3"/>
    <w:rsid w:val="006D2DAF"/>
    <w:rsid w:val="006D2DB4"/>
    <w:rsid w:val="006D2DB8"/>
    <w:rsid w:val="006D2E30"/>
    <w:rsid w:val="006D2E63"/>
    <w:rsid w:val="006D2EE8"/>
    <w:rsid w:val="006D2EEC"/>
    <w:rsid w:val="006D2FC4"/>
    <w:rsid w:val="006D2FDF"/>
    <w:rsid w:val="006D3018"/>
    <w:rsid w:val="006D307B"/>
    <w:rsid w:val="006D30E5"/>
    <w:rsid w:val="006D3174"/>
    <w:rsid w:val="006D3191"/>
    <w:rsid w:val="006D325A"/>
    <w:rsid w:val="006D3386"/>
    <w:rsid w:val="006D33B9"/>
    <w:rsid w:val="006D340D"/>
    <w:rsid w:val="006D3483"/>
    <w:rsid w:val="006D3487"/>
    <w:rsid w:val="006D34BC"/>
    <w:rsid w:val="006D34DF"/>
    <w:rsid w:val="006D353A"/>
    <w:rsid w:val="006D35D3"/>
    <w:rsid w:val="006D3600"/>
    <w:rsid w:val="006D36DE"/>
    <w:rsid w:val="006D3703"/>
    <w:rsid w:val="006D37BB"/>
    <w:rsid w:val="006D3837"/>
    <w:rsid w:val="006D3865"/>
    <w:rsid w:val="006D38D0"/>
    <w:rsid w:val="006D3A3C"/>
    <w:rsid w:val="006D3B0E"/>
    <w:rsid w:val="006D3B84"/>
    <w:rsid w:val="006D3C9A"/>
    <w:rsid w:val="006D3D2D"/>
    <w:rsid w:val="006D3D86"/>
    <w:rsid w:val="006D3DBE"/>
    <w:rsid w:val="006D3E18"/>
    <w:rsid w:val="006D3F2F"/>
    <w:rsid w:val="006D3F9A"/>
    <w:rsid w:val="006D3FE0"/>
    <w:rsid w:val="006D4058"/>
    <w:rsid w:val="006D4078"/>
    <w:rsid w:val="006D4096"/>
    <w:rsid w:val="006D413E"/>
    <w:rsid w:val="006D41AA"/>
    <w:rsid w:val="006D41BA"/>
    <w:rsid w:val="006D41FD"/>
    <w:rsid w:val="006D4248"/>
    <w:rsid w:val="006D4267"/>
    <w:rsid w:val="006D42CE"/>
    <w:rsid w:val="006D42D0"/>
    <w:rsid w:val="006D430E"/>
    <w:rsid w:val="006D4345"/>
    <w:rsid w:val="006D449C"/>
    <w:rsid w:val="006D44DD"/>
    <w:rsid w:val="006D450D"/>
    <w:rsid w:val="006D4556"/>
    <w:rsid w:val="006D45EB"/>
    <w:rsid w:val="006D45F5"/>
    <w:rsid w:val="006D4624"/>
    <w:rsid w:val="006D46BC"/>
    <w:rsid w:val="006D477D"/>
    <w:rsid w:val="006D4780"/>
    <w:rsid w:val="006D479B"/>
    <w:rsid w:val="006D47B7"/>
    <w:rsid w:val="006D4834"/>
    <w:rsid w:val="006D4842"/>
    <w:rsid w:val="006D4940"/>
    <w:rsid w:val="006D49B8"/>
    <w:rsid w:val="006D49E4"/>
    <w:rsid w:val="006D4A06"/>
    <w:rsid w:val="006D4A94"/>
    <w:rsid w:val="006D4CD6"/>
    <w:rsid w:val="006D4CFA"/>
    <w:rsid w:val="006D4D37"/>
    <w:rsid w:val="006D4D95"/>
    <w:rsid w:val="006D4DB0"/>
    <w:rsid w:val="006D4DFD"/>
    <w:rsid w:val="006D4E56"/>
    <w:rsid w:val="006D4E7F"/>
    <w:rsid w:val="006D4EBD"/>
    <w:rsid w:val="006D4EF3"/>
    <w:rsid w:val="006D4F09"/>
    <w:rsid w:val="006D4F27"/>
    <w:rsid w:val="006D4F31"/>
    <w:rsid w:val="006D4F3C"/>
    <w:rsid w:val="006D4F74"/>
    <w:rsid w:val="006D503D"/>
    <w:rsid w:val="006D5060"/>
    <w:rsid w:val="006D506F"/>
    <w:rsid w:val="006D5153"/>
    <w:rsid w:val="006D5187"/>
    <w:rsid w:val="006D51B2"/>
    <w:rsid w:val="006D5235"/>
    <w:rsid w:val="006D5275"/>
    <w:rsid w:val="006D5427"/>
    <w:rsid w:val="006D5490"/>
    <w:rsid w:val="006D5498"/>
    <w:rsid w:val="006D54A5"/>
    <w:rsid w:val="006D54C1"/>
    <w:rsid w:val="006D5550"/>
    <w:rsid w:val="006D5552"/>
    <w:rsid w:val="006D561C"/>
    <w:rsid w:val="006D5651"/>
    <w:rsid w:val="006D5652"/>
    <w:rsid w:val="006D5678"/>
    <w:rsid w:val="006D56C1"/>
    <w:rsid w:val="006D56EC"/>
    <w:rsid w:val="006D574B"/>
    <w:rsid w:val="006D5774"/>
    <w:rsid w:val="006D57A8"/>
    <w:rsid w:val="006D57AE"/>
    <w:rsid w:val="006D5884"/>
    <w:rsid w:val="006D589D"/>
    <w:rsid w:val="006D5943"/>
    <w:rsid w:val="006D595B"/>
    <w:rsid w:val="006D5984"/>
    <w:rsid w:val="006D5991"/>
    <w:rsid w:val="006D5A20"/>
    <w:rsid w:val="006D5A29"/>
    <w:rsid w:val="006D5A33"/>
    <w:rsid w:val="006D5ABC"/>
    <w:rsid w:val="006D5B1F"/>
    <w:rsid w:val="006D5B7D"/>
    <w:rsid w:val="006D5C54"/>
    <w:rsid w:val="006D5C8B"/>
    <w:rsid w:val="006D5DC4"/>
    <w:rsid w:val="006D5DEA"/>
    <w:rsid w:val="006D5E96"/>
    <w:rsid w:val="006D5E9B"/>
    <w:rsid w:val="006D5E9E"/>
    <w:rsid w:val="006D5EE5"/>
    <w:rsid w:val="006D5F4F"/>
    <w:rsid w:val="006D5F5B"/>
    <w:rsid w:val="006D5F73"/>
    <w:rsid w:val="006D6097"/>
    <w:rsid w:val="006D60BF"/>
    <w:rsid w:val="006D60CE"/>
    <w:rsid w:val="006D6123"/>
    <w:rsid w:val="006D6266"/>
    <w:rsid w:val="006D6276"/>
    <w:rsid w:val="006D6280"/>
    <w:rsid w:val="006D63AF"/>
    <w:rsid w:val="006D63BC"/>
    <w:rsid w:val="006D63CF"/>
    <w:rsid w:val="006D6479"/>
    <w:rsid w:val="006D64F5"/>
    <w:rsid w:val="006D6553"/>
    <w:rsid w:val="006D6576"/>
    <w:rsid w:val="006D6624"/>
    <w:rsid w:val="006D6640"/>
    <w:rsid w:val="006D6689"/>
    <w:rsid w:val="006D6722"/>
    <w:rsid w:val="006D6731"/>
    <w:rsid w:val="006D67A6"/>
    <w:rsid w:val="006D68C3"/>
    <w:rsid w:val="006D68E7"/>
    <w:rsid w:val="006D6945"/>
    <w:rsid w:val="006D6997"/>
    <w:rsid w:val="006D699F"/>
    <w:rsid w:val="006D6A10"/>
    <w:rsid w:val="006D6ABE"/>
    <w:rsid w:val="006D6ADB"/>
    <w:rsid w:val="006D6ADC"/>
    <w:rsid w:val="006D6C1F"/>
    <w:rsid w:val="006D6C37"/>
    <w:rsid w:val="006D6C9D"/>
    <w:rsid w:val="006D6D54"/>
    <w:rsid w:val="006D6D83"/>
    <w:rsid w:val="006D6DDF"/>
    <w:rsid w:val="006D6E0E"/>
    <w:rsid w:val="006D6E17"/>
    <w:rsid w:val="006D6E35"/>
    <w:rsid w:val="006D6E8D"/>
    <w:rsid w:val="006D6ED5"/>
    <w:rsid w:val="006D6F08"/>
    <w:rsid w:val="006D6FF1"/>
    <w:rsid w:val="006D7007"/>
    <w:rsid w:val="006D7074"/>
    <w:rsid w:val="006D70E3"/>
    <w:rsid w:val="006D7166"/>
    <w:rsid w:val="006D722F"/>
    <w:rsid w:val="006D72D0"/>
    <w:rsid w:val="006D72EC"/>
    <w:rsid w:val="006D7313"/>
    <w:rsid w:val="006D73DD"/>
    <w:rsid w:val="006D73FC"/>
    <w:rsid w:val="006D744F"/>
    <w:rsid w:val="006D746B"/>
    <w:rsid w:val="006D7477"/>
    <w:rsid w:val="006D74D0"/>
    <w:rsid w:val="006D750C"/>
    <w:rsid w:val="006D7599"/>
    <w:rsid w:val="006D75A7"/>
    <w:rsid w:val="006D75E7"/>
    <w:rsid w:val="006D7648"/>
    <w:rsid w:val="006D7679"/>
    <w:rsid w:val="006D7695"/>
    <w:rsid w:val="006D76CB"/>
    <w:rsid w:val="006D7729"/>
    <w:rsid w:val="006D7747"/>
    <w:rsid w:val="006D77A2"/>
    <w:rsid w:val="006D77ED"/>
    <w:rsid w:val="006D77F3"/>
    <w:rsid w:val="006D7842"/>
    <w:rsid w:val="006D7904"/>
    <w:rsid w:val="006D7929"/>
    <w:rsid w:val="006D7992"/>
    <w:rsid w:val="006D79D9"/>
    <w:rsid w:val="006D7A32"/>
    <w:rsid w:val="006D7A38"/>
    <w:rsid w:val="006D7A3F"/>
    <w:rsid w:val="006D7AF3"/>
    <w:rsid w:val="006D7CD9"/>
    <w:rsid w:val="006D7CFA"/>
    <w:rsid w:val="006D7D56"/>
    <w:rsid w:val="006D7D57"/>
    <w:rsid w:val="006D7D79"/>
    <w:rsid w:val="006D7DD4"/>
    <w:rsid w:val="006D7DEF"/>
    <w:rsid w:val="006D7E0B"/>
    <w:rsid w:val="006D7E4A"/>
    <w:rsid w:val="006D7E92"/>
    <w:rsid w:val="006D7E94"/>
    <w:rsid w:val="006D7F44"/>
    <w:rsid w:val="006D7F5E"/>
    <w:rsid w:val="006D7F95"/>
    <w:rsid w:val="006D7FC0"/>
    <w:rsid w:val="006D7FFA"/>
    <w:rsid w:val="006E0059"/>
    <w:rsid w:val="006E00DA"/>
    <w:rsid w:val="006E01EB"/>
    <w:rsid w:val="006E0218"/>
    <w:rsid w:val="006E02BD"/>
    <w:rsid w:val="006E0335"/>
    <w:rsid w:val="006E038D"/>
    <w:rsid w:val="006E03E3"/>
    <w:rsid w:val="006E0415"/>
    <w:rsid w:val="006E042F"/>
    <w:rsid w:val="006E05E1"/>
    <w:rsid w:val="006E05F3"/>
    <w:rsid w:val="006E0657"/>
    <w:rsid w:val="006E065C"/>
    <w:rsid w:val="006E0661"/>
    <w:rsid w:val="006E067E"/>
    <w:rsid w:val="006E06A2"/>
    <w:rsid w:val="006E0715"/>
    <w:rsid w:val="006E0785"/>
    <w:rsid w:val="006E078D"/>
    <w:rsid w:val="006E07AE"/>
    <w:rsid w:val="006E07E2"/>
    <w:rsid w:val="006E086F"/>
    <w:rsid w:val="006E0953"/>
    <w:rsid w:val="006E0ACF"/>
    <w:rsid w:val="006E0B68"/>
    <w:rsid w:val="006E0B72"/>
    <w:rsid w:val="006E0BC8"/>
    <w:rsid w:val="006E0BCE"/>
    <w:rsid w:val="006E0BDB"/>
    <w:rsid w:val="006E0C2E"/>
    <w:rsid w:val="006E0D0B"/>
    <w:rsid w:val="006E0D5A"/>
    <w:rsid w:val="006E0DCD"/>
    <w:rsid w:val="006E0F58"/>
    <w:rsid w:val="006E0FBB"/>
    <w:rsid w:val="006E10E1"/>
    <w:rsid w:val="006E10FD"/>
    <w:rsid w:val="006E1128"/>
    <w:rsid w:val="006E11A1"/>
    <w:rsid w:val="006E1232"/>
    <w:rsid w:val="006E12B1"/>
    <w:rsid w:val="006E1386"/>
    <w:rsid w:val="006E1431"/>
    <w:rsid w:val="006E1435"/>
    <w:rsid w:val="006E14AD"/>
    <w:rsid w:val="006E14CC"/>
    <w:rsid w:val="006E14EB"/>
    <w:rsid w:val="006E156A"/>
    <w:rsid w:val="006E15BC"/>
    <w:rsid w:val="006E1642"/>
    <w:rsid w:val="006E168C"/>
    <w:rsid w:val="006E1693"/>
    <w:rsid w:val="006E16F0"/>
    <w:rsid w:val="006E171F"/>
    <w:rsid w:val="006E1731"/>
    <w:rsid w:val="006E1764"/>
    <w:rsid w:val="006E178B"/>
    <w:rsid w:val="006E1809"/>
    <w:rsid w:val="006E183B"/>
    <w:rsid w:val="006E184F"/>
    <w:rsid w:val="006E1850"/>
    <w:rsid w:val="006E189E"/>
    <w:rsid w:val="006E18A6"/>
    <w:rsid w:val="006E18D8"/>
    <w:rsid w:val="006E1A46"/>
    <w:rsid w:val="006E1AC4"/>
    <w:rsid w:val="006E1AF1"/>
    <w:rsid w:val="006E1B3C"/>
    <w:rsid w:val="006E1C67"/>
    <w:rsid w:val="006E1C80"/>
    <w:rsid w:val="006E1C85"/>
    <w:rsid w:val="006E1CD5"/>
    <w:rsid w:val="006E1D01"/>
    <w:rsid w:val="006E1D07"/>
    <w:rsid w:val="006E1D2E"/>
    <w:rsid w:val="006E1D33"/>
    <w:rsid w:val="006E1D58"/>
    <w:rsid w:val="006E1D6F"/>
    <w:rsid w:val="006E1D8A"/>
    <w:rsid w:val="006E1DF5"/>
    <w:rsid w:val="006E1E4D"/>
    <w:rsid w:val="006E1E9A"/>
    <w:rsid w:val="006E1EA3"/>
    <w:rsid w:val="006E1EEE"/>
    <w:rsid w:val="006E1F84"/>
    <w:rsid w:val="006E1FD7"/>
    <w:rsid w:val="006E2045"/>
    <w:rsid w:val="006E205D"/>
    <w:rsid w:val="006E206C"/>
    <w:rsid w:val="006E2119"/>
    <w:rsid w:val="006E2135"/>
    <w:rsid w:val="006E214B"/>
    <w:rsid w:val="006E214F"/>
    <w:rsid w:val="006E222A"/>
    <w:rsid w:val="006E23E9"/>
    <w:rsid w:val="006E2416"/>
    <w:rsid w:val="006E242C"/>
    <w:rsid w:val="006E25D8"/>
    <w:rsid w:val="006E25E7"/>
    <w:rsid w:val="006E2657"/>
    <w:rsid w:val="006E266E"/>
    <w:rsid w:val="006E2786"/>
    <w:rsid w:val="006E27D2"/>
    <w:rsid w:val="006E27F4"/>
    <w:rsid w:val="006E27FE"/>
    <w:rsid w:val="006E2902"/>
    <w:rsid w:val="006E2982"/>
    <w:rsid w:val="006E2A85"/>
    <w:rsid w:val="006E2A86"/>
    <w:rsid w:val="006E2AEE"/>
    <w:rsid w:val="006E2AF2"/>
    <w:rsid w:val="006E2B45"/>
    <w:rsid w:val="006E2B84"/>
    <w:rsid w:val="006E2BB8"/>
    <w:rsid w:val="006E2C33"/>
    <w:rsid w:val="006E2C3D"/>
    <w:rsid w:val="006E2CA3"/>
    <w:rsid w:val="006E2CE7"/>
    <w:rsid w:val="006E2CF5"/>
    <w:rsid w:val="006E2CFF"/>
    <w:rsid w:val="006E2D42"/>
    <w:rsid w:val="006E2E87"/>
    <w:rsid w:val="006E2EB9"/>
    <w:rsid w:val="006E2EC3"/>
    <w:rsid w:val="006E2ED3"/>
    <w:rsid w:val="006E2F65"/>
    <w:rsid w:val="006E2F77"/>
    <w:rsid w:val="006E2FCE"/>
    <w:rsid w:val="006E3036"/>
    <w:rsid w:val="006E30CC"/>
    <w:rsid w:val="006E30D8"/>
    <w:rsid w:val="006E316D"/>
    <w:rsid w:val="006E3173"/>
    <w:rsid w:val="006E32B8"/>
    <w:rsid w:val="006E3321"/>
    <w:rsid w:val="006E335D"/>
    <w:rsid w:val="006E345F"/>
    <w:rsid w:val="006E34A9"/>
    <w:rsid w:val="006E34B2"/>
    <w:rsid w:val="006E34F0"/>
    <w:rsid w:val="006E351B"/>
    <w:rsid w:val="006E3536"/>
    <w:rsid w:val="006E353B"/>
    <w:rsid w:val="006E355B"/>
    <w:rsid w:val="006E361E"/>
    <w:rsid w:val="006E36B7"/>
    <w:rsid w:val="006E36FD"/>
    <w:rsid w:val="006E3720"/>
    <w:rsid w:val="006E373C"/>
    <w:rsid w:val="006E37C8"/>
    <w:rsid w:val="006E3847"/>
    <w:rsid w:val="006E39B0"/>
    <w:rsid w:val="006E39D5"/>
    <w:rsid w:val="006E39DD"/>
    <w:rsid w:val="006E3A09"/>
    <w:rsid w:val="006E3A94"/>
    <w:rsid w:val="006E3AA5"/>
    <w:rsid w:val="006E3B35"/>
    <w:rsid w:val="006E3B4C"/>
    <w:rsid w:val="006E3CFA"/>
    <w:rsid w:val="006E3D7E"/>
    <w:rsid w:val="006E3D9F"/>
    <w:rsid w:val="006E3DAA"/>
    <w:rsid w:val="006E3DBD"/>
    <w:rsid w:val="006E3DC3"/>
    <w:rsid w:val="006E3E0C"/>
    <w:rsid w:val="006E3E4C"/>
    <w:rsid w:val="006E3E5A"/>
    <w:rsid w:val="006E3E89"/>
    <w:rsid w:val="006E3EB1"/>
    <w:rsid w:val="006E3EE2"/>
    <w:rsid w:val="006E3F5A"/>
    <w:rsid w:val="006E3FBA"/>
    <w:rsid w:val="006E40C7"/>
    <w:rsid w:val="006E4230"/>
    <w:rsid w:val="006E4251"/>
    <w:rsid w:val="006E42C1"/>
    <w:rsid w:val="006E431D"/>
    <w:rsid w:val="006E441A"/>
    <w:rsid w:val="006E4476"/>
    <w:rsid w:val="006E44BD"/>
    <w:rsid w:val="006E44C4"/>
    <w:rsid w:val="006E454F"/>
    <w:rsid w:val="006E4571"/>
    <w:rsid w:val="006E461C"/>
    <w:rsid w:val="006E46A7"/>
    <w:rsid w:val="006E46EA"/>
    <w:rsid w:val="006E48D4"/>
    <w:rsid w:val="006E499A"/>
    <w:rsid w:val="006E4A27"/>
    <w:rsid w:val="006E4A4E"/>
    <w:rsid w:val="006E4A9D"/>
    <w:rsid w:val="006E4BFA"/>
    <w:rsid w:val="006E4C3F"/>
    <w:rsid w:val="006E4CFB"/>
    <w:rsid w:val="006E4D04"/>
    <w:rsid w:val="006E4D17"/>
    <w:rsid w:val="006E4D58"/>
    <w:rsid w:val="006E4D76"/>
    <w:rsid w:val="006E4DC5"/>
    <w:rsid w:val="006E4DDC"/>
    <w:rsid w:val="006E4DE3"/>
    <w:rsid w:val="006E4E04"/>
    <w:rsid w:val="006E4E6D"/>
    <w:rsid w:val="006E4E73"/>
    <w:rsid w:val="006E4ED5"/>
    <w:rsid w:val="006E4F83"/>
    <w:rsid w:val="006E5040"/>
    <w:rsid w:val="006E505E"/>
    <w:rsid w:val="006E5072"/>
    <w:rsid w:val="006E5180"/>
    <w:rsid w:val="006E520E"/>
    <w:rsid w:val="006E5299"/>
    <w:rsid w:val="006E52D4"/>
    <w:rsid w:val="006E531A"/>
    <w:rsid w:val="006E53BD"/>
    <w:rsid w:val="006E53E4"/>
    <w:rsid w:val="006E53FF"/>
    <w:rsid w:val="006E5517"/>
    <w:rsid w:val="006E5519"/>
    <w:rsid w:val="006E553A"/>
    <w:rsid w:val="006E5582"/>
    <w:rsid w:val="006E5592"/>
    <w:rsid w:val="006E55A6"/>
    <w:rsid w:val="006E565D"/>
    <w:rsid w:val="006E56D0"/>
    <w:rsid w:val="006E5701"/>
    <w:rsid w:val="006E572D"/>
    <w:rsid w:val="006E576A"/>
    <w:rsid w:val="006E5849"/>
    <w:rsid w:val="006E5895"/>
    <w:rsid w:val="006E5947"/>
    <w:rsid w:val="006E596F"/>
    <w:rsid w:val="006E59A4"/>
    <w:rsid w:val="006E59CB"/>
    <w:rsid w:val="006E59D5"/>
    <w:rsid w:val="006E5A43"/>
    <w:rsid w:val="006E5A6C"/>
    <w:rsid w:val="006E5B6B"/>
    <w:rsid w:val="006E5BE7"/>
    <w:rsid w:val="006E5C91"/>
    <w:rsid w:val="006E5E10"/>
    <w:rsid w:val="006E5E29"/>
    <w:rsid w:val="006E5F89"/>
    <w:rsid w:val="006E6009"/>
    <w:rsid w:val="006E607D"/>
    <w:rsid w:val="006E6167"/>
    <w:rsid w:val="006E6168"/>
    <w:rsid w:val="006E623E"/>
    <w:rsid w:val="006E62A4"/>
    <w:rsid w:val="006E62B6"/>
    <w:rsid w:val="006E62E7"/>
    <w:rsid w:val="006E6388"/>
    <w:rsid w:val="006E6423"/>
    <w:rsid w:val="006E6489"/>
    <w:rsid w:val="006E648A"/>
    <w:rsid w:val="006E64C5"/>
    <w:rsid w:val="006E6520"/>
    <w:rsid w:val="006E658D"/>
    <w:rsid w:val="006E6605"/>
    <w:rsid w:val="006E66EA"/>
    <w:rsid w:val="006E6703"/>
    <w:rsid w:val="006E674C"/>
    <w:rsid w:val="006E6757"/>
    <w:rsid w:val="006E6768"/>
    <w:rsid w:val="006E67A6"/>
    <w:rsid w:val="006E686A"/>
    <w:rsid w:val="006E6877"/>
    <w:rsid w:val="006E6892"/>
    <w:rsid w:val="006E68C4"/>
    <w:rsid w:val="006E68D8"/>
    <w:rsid w:val="006E68E8"/>
    <w:rsid w:val="006E6913"/>
    <w:rsid w:val="006E695F"/>
    <w:rsid w:val="006E69F4"/>
    <w:rsid w:val="006E6AF8"/>
    <w:rsid w:val="006E6B6B"/>
    <w:rsid w:val="006E6B82"/>
    <w:rsid w:val="006E6C39"/>
    <w:rsid w:val="006E6C54"/>
    <w:rsid w:val="006E6CEF"/>
    <w:rsid w:val="006E6D41"/>
    <w:rsid w:val="006E6D46"/>
    <w:rsid w:val="006E6D68"/>
    <w:rsid w:val="006E6DF9"/>
    <w:rsid w:val="006E6E19"/>
    <w:rsid w:val="006E6E45"/>
    <w:rsid w:val="006E6F6B"/>
    <w:rsid w:val="006E6F7C"/>
    <w:rsid w:val="006E6FA9"/>
    <w:rsid w:val="006E702C"/>
    <w:rsid w:val="006E703F"/>
    <w:rsid w:val="006E704C"/>
    <w:rsid w:val="006E7144"/>
    <w:rsid w:val="006E7165"/>
    <w:rsid w:val="006E7299"/>
    <w:rsid w:val="006E7368"/>
    <w:rsid w:val="006E73E4"/>
    <w:rsid w:val="006E74A6"/>
    <w:rsid w:val="006E754C"/>
    <w:rsid w:val="006E7582"/>
    <w:rsid w:val="006E75BD"/>
    <w:rsid w:val="006E75E4"/>
    <w:rsid w:val="006E76E9"/>
    <w:rsid w:val="006E76EA"/>
    <w:rsid w:val="006E77CE"/>
    <w:rsid w:val="006E7838"/>
    <w:rsid w:val="006E7851"/>
    <w:rsid w:val="006E7860"/>
    <w:rsid w:val="006E7874"/>
    <w:rsid w:val="006E791B"/>
    <w:rsid w:val="006E792E"/>
    <w:rsid w:val="006E799D"/>
    <w:rsid w:val="006E79C7"/>
    <w:rsid w:val="006E7A3C"/>
    <w:rsid w:val="006E7A40"/>
    <w:rsid w:val="006E7B18"/>
    <w:rsid w:val="006E7BE2"/>
    <w:rsid w:val="006E7C1A"/>
    <w:rsid w:val="006E7C76"/>
    <w:rsid w:val="006E7C7C"/>
    <w:rsid w:val="006E7CEE"/>
    <w:rsid w:val="006E7CF6"/>
    <w:rsid w:val="006E7D0F"/>
    <w:rsid w:val="006E7D1C"/>
    <w:rsid w:val="006E7D37"/>
    <w:rsid w:val="006E7D53"/>
    <w:rsid w:val="006E7E5A"/>
    <w:rsid w:val="006E7E8F"/>
    <w:rsid w:val="006E7E99"/>
    <w:rsid w:val="006E7EE1"/>
    <w:rsid w:val="006E7F27"/>
    <w:rsid w:val="006E7F3A"/>
    <w:rsid w:val="006E7FD4"/>
    <w:rsid w:val="006E7FFD"/>
    <w:rsid w:val="006F00E5"/>
    <w:rsid w:val="006F0150"/>
    <w:rsid w:val="006F0162"/>
    <w:rsid w:val="006F01C8"/>
    <w:rsid w:val="006F01F5"/>
    <w:rsid w:val="006F0224"/>
    <w:rsid w:val="006F0294"/>
    <w:rsid w:val="006F02A2"/>
    <w:rsid w:val="006F02C5"/>
    <w:rsid w:val="006F0329"/>
    <w:rsid w:val="006F03FE"/>
    <w:rsid w:val="006F049B"/>
    <w:rsid w:val="006F04A8"/>
    <w:rsid w:val="006F04A9"/>
    <w:rsid w:val="006F04FF"/>
    <w:rsid w:val="006F0554"/>
    <w:rsid w:val="006F057C"/>
    <w:rsid w:val="006F05CD"/>
    <w:rsid w:val="006F0626"/>
    <w:rsid w:val="006F0627"/>
    <w:rsid w:val="006F0735"/>
    <w:rsid w:val="006F0834"/>
    <w:rsid w:val="006F0876"/>
    <w:rsid w:val="006F088D"/>
    <w:rsid w:val="006F0920"/>
    <w:rsid w:val="006F0943"/>
    <w:rsid w:val="006F09BF"/>
    <w:rsid w:val="006F09F1"/>
    <w:rsid w:val="006F0A34"/>
    <w:rsid w:val="006F0ACE"/>
    <w:rsid w:val="006F0BA4"/>
    <w:rsid w:val="006F0BFC"/>
    <w:rsid w:val="006F0C38"/>
    <w:rsid w:val="006F0C4B"/>
    <w:rsid w:val="006F0C9E"/>
    <w:rsid w:val="006F0CF6"/>
    <w:rsid w:val="006F0D01"/>
    <w:rsid w:val="006F0D09"/>
    <w:rsid w:val="006F0D8D"/>
    <w:rsid w:val="006F0E7D"/>
    <w:rsid w:val="006F100A"/>
    <w:rsid w:val="006F10B9"/>
    <w:rsid w:val="006F10C1"/>
    <w:rsid w:val="006F10DF"/>
    <w:rsid w:val="006F10E2"/>
    <w:rsid w:val="006F1154"/>
    <w:rsid w:val="006F115B"/>
    <w:rsid w:val="006F1177"/>
    <w:rsid w:val="006F1188"/>
    <w:rsid w:val="006F11D6"/>
    <w:rsid w:val="006F121B"/>
    <w:rsid w:val="006F126E"/>
    <w:rsid w:val="006F1279"/>
    <w:rsid w:val="006F1283"/>
    <w:rsid w:val="006F13D1"/>
    <w:rsid w:val="006F14CF"/>
    <w:rsid w:val="006F160D"/>
    <w:rsid w:val="006F1614"/>
    <w:rsid w:val="006F161D"/>
    <w:rsid w:val="006F16A1"/>
    <w:rsid w:val="006F170C"/>
    <w:rsid w:val="006F1717"/>
    <w:rsid w:val="006F172E"/>
    <w:rsid w:val="006F17A2"/>
    <w:rsid w:val="006F1808"/>
    <w:rsid w:val="006F18E1"/>
    <w:rsid w:val="006F193E"/>
    <w:rsid w:val="006F19E0"/>
    <w:rsid w:val="006F1AD8"/>
    <w:rsid w:val="006F1B54"/>
    <w:rsid w:val="006F1CAE"/>
    <w:rsid w:val="006F1D18"/>
    <w:rsid w:val="006F1D6D"/>
    <w:rsid w:val="006F1DA1"/>
    <w:rsid w:val="006F1E2E"/>
    <w:rsid w:val="006F1E88"/>
    <w:rsid w:val="006F1ED9"/>
    <w:rsid w:val="006F1F97"/>
    <w:rsid w:val="006F1FCE"/>
    <w:rsid w:val="006F2002"/>
    <w:rsid w:val="006F206E"/>
    <w:rsid w:val="006F208D"/>
    <w:rsid w:val="006F20A0"/>
    <w:rsid w:val="006F2129"/>
    <w:rsid w:val="006F2190"/>
    <w:rsid w:val="006F22D7"/>
    <w:rsid w:val="006F22DD"/>
    <w:rsid w:val="006F23A8"/>
    <w:rsid w:val="006F23D4"/>
    <w:rsid w:val="006F23F7"/>
    <w:rsid w:val="006F2464"/>
    <w:rsid w:val="006F24A0"/>
    <w:rsid w:val="006F24E4"/>
    <w:rsid w:val="006F258B"/>
    <w:rsid w:val="006F258E"/>
    <w:rsid w:val="006F25C9"/>
    <w:rsid w:val="006F268C"/>
    <w:rsid w:val="006F26D3"/>
    <w:rsid w:val="006F27AC"/>
    <w:rsid w:val="006F27C5"/>
    <w:rsid w:val="006F2814"/>
    <w:rsid w:val="006F285F"/>
    <w:rsid w:val="006F2873"/>
    <w:rsid w:val="006F288A"/>
    <w:rsid w:val="006F29CE"/>
    <w:rsid w:val="006F2A64"/>
    <w:rsid w:val="006F2AAE"/>
    <w:rsid w:val="006F2B06"/>
    <w:rsid w:val="006F2B69"/>
    <w:rsid w:val="006F2C0B"/>
    <w:rsid w:val="006F2C2B"/>
    <w:rsid w:val="006F2C42"/>
    <w:rsid w:val="006F2D7B"/>
    <w:rsid w:val="006F2D81"/>
    <w:rsid w:val="006F2DB0"/>
    <w:rsid w:val="006F2E6A"/>
    <w:rsid w:val="006F2E77"/>
    <w:rsid w:val="006F2F32"/>
    <w:rsid w:val="006F2F41"/>
    <w:rsid w:val="006F2F5C"/>
    <w:rsid w:val="006F2FBD"/>
    <w:rsid w:val="006F300C"/>
    <w:rsid w:val="006F300F"/>
    <w:rsid w:val="006F3016"/>
    <w:rsid w:val="006F301A"/>
    <w:rsid w:val="006F3118"/>
    <w:rsid w:val="006F3167"/>
    <w:rsid w:val="006F3198"/>
    <w:rsid w:val="006F3211"/>
    <w:rsid w:val="006F3269"/>
    <w:rsid w:val="006F3343"/>
    <w:rsid w:val="006F337F"/>
    <w:rsid w:val="006F338F"/>
    <w:rsid w:val="006F33D2"/>
    <w:rsid w:val="006F342E"/>
    <w:rsid w:val="006F3459"/>
    <w:rsid w:val="006F347B"/>
    <w:rsid w:val="006F3486"/>
    <w:rsid w:val="006F3553"/>
    <w:rsid w:val="006F3633"/>
    <w:rsid w:val="006F36EC"/>
    <w:rsid w:val="006F3886"/>
    <w:rsid w:val="006F388B"/>
    <w:rsid w:val="006F38EC"/>
    <w:rsid w:val="006F3A16"/>
    <w:rsid w:val="006F3A9D"/>
    <w:rsid w:val="006F3AAE"/>
    <w:rsid w:val="006F3AE3"/>
    <w:rsid w:val="006F3B21"/>
    <w:rsid w:val="006F3B7C"/>
    <w:rsid w:val="006F3BD4"/>
    <w:rsid w:val="006F3BD8"/>
    <w:rsid w:val="006F3BE6"/>
    <w:rsid w:val="006F3C08"/>
    <w:rsid w:val="006F3C1E"/>
    <w:rsid w:val="006F3C91"/>
    <w:rsid w:val="006F3CE7"/>
    <w:rsid w:val="006F3D0F"/>
    <w:rsid w:val="006F3D11"/>
    <w:rsid w:val="006F3D22"/>
    <w:rsid w:val="006F3D27"/>
    <w:rsid w:val="006F3D98"/>
    <w:rsid w:val="006F3EF5"/>
    <w:rsid w:val="006F3F59"/>
    <w:rsid w:val="006F411A"/>
    <w:rsid w:val="006F412C"/>
    <w:rsid w:val="006F419C"/>
    <w:rsid w:val="006F42EF"/>
    <w:rsid w:val="006F43B2"/>
    <w:rsid w:val="006F43CE"/>
    <w:rsid w:val="006F43E6"/>
    <w:rsid w:val="006F4415"/>
    <w:rsid w:val="006F447E"/>
    <w:rsid w:val="006F4483"/>
    <w:rsid w:val="006F4520"/>
    <w:rsid w:val="006F4601"/>
    <w:rsid w:val="006F461C"/>
    <w:rsid w:val="006F4658"/>
    <w:rsid w:val="006F474E"/>
    <w:rsid w:val="006F4753"/>
    <w:rsid w:val="006F4778"/>
    <w:rsid w:val="006F4928"/>
    <w:rsid w:val="006F4947"/>
    <w:rsid w:val="006F4952"/>
    <w:rsid w:val="006F4A00"/>
    <w:rsid w:val="006F4A17"/>
    <w:rsid w:val="006F4A2B"/>
    <w:rsid w:val="006F4A3C"/>
    <w:rsid w:val="006F4A51"/>
    <w:rsid w:val="006F4A62"/>
    <w:rsid w:val="006F4A7A"/>
    <w:rsid w:val="006F4B6B"/>
    <w:rsid w:val="006F4B9E"/>
    <w:rsid w:val="006F4BFA"/>
    <w:rsid w:val="006F4C0A"/>
    <w:rsid w:val="006F4C42"/>
    <w:rsid w:val="006F4C98"/>
    <w:rsid w:val="006F4CAB"/>
    <w:rsid w:val="006F4CF0"/>
    <w:rsid w:val="006F4D09"/>
    <w:rsid w:val="006F4E82"/>
    <w:rsid w:val="006F4E92"/>
    <w:rsid w:val="006F4EDC"/>
    <w:rsid w:val="006F4EE0"/>
    <w:rsid w:val="006F4F01"/>
    <w:rsid w:val="006F4F66"/>
    <w:rsid w:val="006F4FD7"/>
    <w:rsid w:val="006F4FE7"/>
    <w:rsid w:val="006F5033"/>
    <w:rsid w:val="006F5053"/>
    <w:rsid w:val="006F508D"/>
    <w:rsid w:val="006F5098"/>
    <w:rsid w:val="006F50E0"/>
    <w:rsid w:val="006F50E1"/>
    <w:rsid w:val="006F5133"/>
    <w:rsid w:val="006F514B"/>
    <w:rsid w:val="006F51C4"/>
    <w:rsid w:val="006F520E"/>
    <w:rsid w:val="006F5267"/>
    <w:rsid w:val="006F528F"/>
    <w:rsid w:val="006F5430"/>
    <w:rsid w:val="006F54C8"/>
    <w:rsid w:val="006F5548"/>
    <w:rsid w:val="006F5582"/>
    <w:rsid w:val="006F55C7"/>
    <w:rsid w:val="006F55FA"/>
    <w:rsid w:val="006F561E"/>
    <w:rsid w:val="006F56DB"/>
    <w:rsid w:val="006F5709"/>
    <w:rsid w:val="006F57A4"/>
    <w:rsid w:val="006F57F2"/>
    <w:rsid w:val="006F5888"/>
    <w:rsid w:val="006F58C4"/>
    <w:rsid w:val="006F58F7"/>
    <w:rsid w:val="006F58F9"/>
    <w:rsid w:val="006F5958"/>
    <w:rsid w:val="006F5ADC"/>
    <w:rsid w:val="006F5B2A"/>
    <w:rsid w:val="006F5B86"/>
    <w:rsid w:val="006F5BE4"/>
    <w:rsid w:val="006F5CB6"/>
    <w:rsid w:val="006F5CD5"/>
    <w:rsid w:val="006F5CE9"/>
    <w:rsid w:val="006F5D06"/>
    <w:rsid w:val="006F5D08"/>
    <w:rsid w:val="006F5D41"/>
    <w:rsid w:val="006F5D85"/>
    <w:rsid w:val="006F5D87"/>
    <w:rsid w:val="006F5DF3"/>
    <w:rsid w:val="006F5E21"/>
    <w:rsid w:val="006F5EE6"/>
    <w:rsid w:val="006F5EEE"/>
    <w:rsid w:val="006F5FB4"/>
    <w:rsid w:val="006F600B"/>
    <w:rsid w:val="006F6144"/>
    <w:rsid w:val="006F6159"/>
    <w:rsid w:val="006F61A8"/>
    <w:rsid w:val="006F61F5"/>
    <w:rsid w:val="006F624F"/>
    <w:rsid w:val="006F6269"/>
    <w:rsid w:val="006F62ED"/>
    <w:rsid w:val="006F634B"/>
    <w:rsid w:val="006F635F"/>
    <w:rsid w:val="006F6384"/>
    <w:rsid w:val="006F6427"/>
    <w:rsid w:val="006F643F"/>
    <w:rsid w:val="006F6595"/>
    <w:rsid w:val="006F65AC"/>
    <w:rsid w:val="006F6658"/>
    <w:rsid w:val="006F6690"/>
    <w:rsid w:val="006F6752"/>
    <w:rsid w:val="006F67D5"/>
    <w:rsid w:val="006F67F0"/>
    <w:rsid w:val="006F6830"/>
    <w:rsid w:val="006F6859"/>
    <w:rsid w:val="006F6860"/>
    <w:rsid w:val="006F6898"/>
    <w:rsid w:val="006F6944"/>
    <w:rsid w:val="006F6A54"/>
    <w:rsid w:val="006F6A6E"/>
    <w:rsid w:val="006F6A7E"/>
    <w:rsid w:val="006F6ABD"/>
    <w:rsid w:val="006F6AF3"/>
    <w:rsid w:val="006F6B65"/>
    <w:rsid w:val="006F6BB9"/>
    <w:rsid w:val="006F6C6E"/>
    <w:rsid w:val="006F6C7F"/>
    <w:rsid w:val="006F6C91"/>
    <w:rsid w:val="006F6CDD"/>
    <w:rsid w:val="006F6CE0"/>
    <w:rsid w:val="006F6D51"/>
    <w:rsid w:val="006F6D68"/>
    <w:rsid w:val="006F6DB2"/>
    <w:rsid w:val="006F6DFF"/>
    <w:rsid w:val="006F6E94"/>
    <w:rsid w:val="006F6EBE"/>
    <w:rsid w:val="006F6F59"/>
    <w:rsid w:val="006F6F83"/>
    <w:rsid w:val="006F7034"/>
    <w:rsid w:val="006F70F7"/>
    <w:rsid w:val="006F7164"/>
    <w:rsid w:val="006F71D6"/>
    <w:rsid w:val="006F71DA"/>
    <w:rsid w:val="006F7201"/>
    <w:rsid w:val="006F7252"/>
    <w:rsid w:val="006F728B"/>
    <w:rsid w:val="006F72A1"/>
    <w:rsid w:val="006F7315"/>
    <w:rsid w:val="006F734F"/>
    <w:rsid w:val="006F7354"/>
    <w:rsid w:val="006F741F"/>
    <w:rsid w:val="006F7498"/>
    <w:rsid w:val="006F74C1"/>
    <w:rsid w:val="006F74DD"/>
    <w:rsid w:val="006F74DE"/>
    <w:rsid w:val="006F7534"/>
    <w:rsid w:val="006F757D"/>
    <w:rsid w:val="006F760B"/>
    <w:rsid w:val="006F760F"/>
    <w:rsid w:val="006F7632"/>
    <w:rsid w:val="006F7635"/>
    <w:rsid w:val="006F76B6"/>
    <w:rsid w:val="006F76D3"/>
    <w:rsid w:val="006F76E6"/>
    <w:rsid w:val="006F77B0"/>
    <w:rsid w:val="006F77E5"/>
    <w:rsid w:val="006F7824"/>
    <w:rsid w:val="006F782C"/>
    <w:rsid w:val="006F784D"/>
    <w:rsid w:val="006F78BC"/>
    <w:rsid w:val="006F78DE"/>
    <w:rsid w:val="006F7972"/>
    <w:rsid w:val="006F7977"/>
    <w:rsid w:val="006F79DF"/>
    <w:rsid w:val="006F7A4D"/>
    <w:rsid w:val="006F7B1A"/>
    <w:rsid w:val="006F7C39"/>
    <w:rsid w:val="006F7C57"/>
    <w:rsid w:val="006F7C75"/>
    <w:rsid w:val="006F7D38"/>
    <w:rsid w:val="006F7DC5"/>
    <w:rsid w:val="006F7E0D"/>
    <w:rsid w:val="006F7ECA"/>
    <w:rsid w:val="006F7ED8"/>
    <w:rsid w:val="006F7EED"/>
    <w:rsid w:val="006F7F95"/>
    <w:rsid w:val="006F7FD0"/>
    <w:rsid w:val="006F7FD4"/>
    <w:rsid w:val="006F7FE1"/>
    <w:rsid w:val="00700002"/>
    <w:rsid w:val="0070006D"/>
    <w:rsid w:val="007000BD"/>
    <w:rsid w:val="007000E2"/>
    <w:rsid w:val="0070019A"/>
    <w:rsid w:val="007001D5"/>
    <w:rsid w:val="0070029A"/>
    <w:rsid w:val="00700336"/>
    <w:rsid w:val="007003A4"/>
    <w:rsid w:val="007004EB"/>
    <w:rsid w:val="007004FD"/>
    <w:rsid w:val="00700502"/>
    <w:rsid w:val="00700529"/>
    <w:rsid w:val="00700541"/>
    <w:rsid w:val="00700670"/>
    <w:rsid w:val="0070069C"/>
    <w:rsid w:val="00700704"/>
    <w:rsid w:val="00700708"/>
    <w:rsid w:val="00700758"/>
    <w:rsid w:val="00700761"/>
    <w:rsid w:val="00700780"/>
    <w:rsid w:val="007007E2"/>
    <w:rsid w:val="0070094C"/>
    <w:rsid w:val="00700989"/>
    <w:rsid w:val="007009E3"/>
    <w:rsid w:val="00700A8E"/>
    <w:rsid w:val="00700AD4"/>
    <w:rsid w:val="00700AE4"/>
    <w:rsid w:val="00700AEC"/>
    <w:rsid w:val="00700B2B"/>
    <w:rsid w:val="00700B68"/>
    <w:rsid w:val="00700B82"/>
    <w:rsid w:val="00700B8A"/>
    <w:rsid w:val="00700C1F"/>
    <w:rsid w:val="00700C8A"/>
    <w:rsid w:val="00700CBF"/>
    <w:rsid w:val="00700D0B"/>
    <w:rsid w:val="00700D54"/>
    <w:rsid w:val="00700E2C"/>
    <w:rsid w:val="00700E38"/>
    <w:rsid w:val="00700EB2"/>
    <w:rsid w:val="00700EE2"/>
    <w:rsid w:val="00700EF1"/>
    <w:rsid w:val="00700F24"/>
    <w:rsid w:val="00700F6F"/>
    <w:rsid w:val="00701011"/>
    <w:rsid w:val="007010AE"/>
    <w:rsid w:val="007010D0"/>
    <w:rsid w:val="00701100"/>
    <w:rsid w:val="0070115C"/>
    <w:rsid w:val="007011C1"/>
    <w:rsid w:val="0070125B"/>
    <w:rsid w:val="0070127E"/>
    <w:rsid w:val="0070137F"/>
    <w:rsid w:val="00701589"/>
    <w:rsid w:val="007017DE"/>
    <w:rsid w:val="0070182A"/>
    <w:rsid w:val="00701832"/>
    <w:rsid w:val="007018F2"/>
    <w:rsid w:val="0070195C"/>
    <w:rsid w:val="0070196E"/>
    <w:rsid w:val="00701985"/>
    <w:rsid w:val="007019F5"/>
    <w:rsid w:val="007019F8"/>
    <w:rsid w:val="00701A8C"/>
    <w:rsid w:val="00701AC2"/>
    <w:rsid w:val="00701AF7"/>
    <w:rsid w:val="00701B01"/>
    <w:rsid w:val="00701B06"/>
    <w:rsid w:val="00701B73"/>
    <w:rsid w:val="00701B82"/>
    <w:rsid w:val="00701BDC"/>
    <w:rsid w:val="00701BDD"/>
    <w:rsid w:val="00701C68"/>
    <w:rsid w:val="00701CA1"/>
    <w:rsid w:val="00701CBB"/>
    <w:rsid w:val="00701CF2"/>
    <w:rsid w:val="00701D2C"/>
    <w:rsid w:val="00701D76"/>
    <w:rsid w:val="00701DB8"/>
    <w:rsid w:val="00701E1D"/>
    <w:rsid w:val="00701E2A"/>
    <w:rsid w:val="00701E2D"/>
    <w:rsid w:val="00701E3F"/>
    <w:rsid w:val="00701E95"/>
    <w:rsid w:val="00701F62"/>
    <w:rsid w:val="00701F76"/>
    <w:rsid w:val="007020DC"/>
    <w:rsid w:val="007020FE"/>
    <w:rsid w:val="00702106"/>
    <w:rsid w:val="0070210B"/>
    <w:rsid w:val="00702176"/>
    <w:rsid w:val="00702194"/>
    <w:rsid w:val="007021B3"/>
    <w:rsid w:val="007022BA"/>
    <w:rsid w:val="00702308"/>
    <w:rsid w:val="00702335"/>
    <w:rsid w:val="0070235B"/>
    <w:rsid w:val="00702534"/>
    <w:rsid w:val="007025A3"/>
    <w:rsid w:val="007026CF"/>
    <w:rsid w:val="00702707"/>
    <w:rsid w:val="00702719"/>
    <w:rsid w:val="00702768"/>
    <w:rsid w:val="00702847"/>
    <w:rsid w:val="00702865"/>
    <w:rsid w:val="007028A2"/>
    <w:rsid w:val="007028C5"/>
    <w:rsid w:val="007029D2"/>
    <w:rsid w:val="00702A4A"/>
    <w:rsid w:val="00702A93"/>
    <w:rsid w:val="00702AFD"/>
    <w:rsid w:val="00702B54"/>
    <w:rsid w:val="00702B75"/>
    <w:rsid w:val="00702B7B"/>
    <w:rsid w:val="00702C10"/>
    <w:rsid w:val="00702C26"/>
    <w:rsid w:val="00702C65"/>
    <w:rsid w:val="00702C8C"/>
    <w:rsid w:val="00702CA5"/>
    <w:rsid w:val="00702CF9"/>
    <w:rsid w:val="00702E2A"/>
    <w:rsid w:val="00702E64"/>
    <w:rsid w:val="00702E76"/>
    <w:rsid w:val="00702E79"/>
    <w:rsid w:val="00702F14"/>
    <w:rsid w:val="00702F87"/>
    <w:rsid w:val="00703007"/>
    <w:rsid w:val="0070304F"/>
    <w:rsid w:val="007030D6"/>
    <w:rsid w:val="007030F7"/>
    <w:rsid w:val="00703146"/>
    <w:rsid w:val="00703261"/>
    <w:rsid w:val="00703291"/>
    <w:rsid w:val="007032AF"/>
    <w:rsid w:val="0070330F"/>
    <w:rsid w:val="0070339C"/>
    <w:rsid w:val="007033AB"/>
    <w:rsid w:val="00703433"/>
    <w:rsid w:val="0070344F"/>
    <w:rsid w:val="007034E2"/>
    <w:rsid w:val="00703508"/>
    <w:rsid w:val="00703532"/>
    <w:rsid w:val="0070357D"/>
    <w:rsid w:val="007036C1"/>
    <w:rsid w:val="00703755"/>
    <w:rsid w:val="007038B5"/>
    <w:rsid w:val="007038C8"/>
    <w:rsid w:val="00703902"/>
    <w:rsid w:val="00703908"/>
    <w:rsid w:val="0070397C"/>
    <w:rsid w:val="007039D8"/>
    <w:rsid w:val="00703A1A"/>
    <w:rsid w:val="00703B04"/>
    <w:rsid w:val="00703B51"/>
    <w:rsid w:val="00703B55"/>
    <w:rsid w:val="00703B80"/>
    <w:rsid w:val="00703BB9"/>
    <w:rsid w:val="00703BFB"/>
    <w:rsid w:val="00703C2F"/>
    <w:rsid w:val="00703C5B"/>
    <w:rsid w:val="00703C73"/>
    <w:rsid w:val="00703CE8"/>
    <w:rsid w:val="00703D20"/>
    <w:rsid w:val="00703D84"/>
    <w:rsid w:val="00703DB7"/>
    <w:rsid w:val="00703F10"/>
    <w:rsid w:val="00703F65"/>
    <w:rsid w:val="00703F69"/>
    <w:rsid w:val="00703F6D"/>
    <w:rsid w:val="00703FC6"/>
    <w:rsid w:val="00703FD7"/>
    <w:rsid w:val="0070406D"/>
    <w:rsid w:val="0070421F"/>
    <w:rsid w:val="007042EB"/>
    <w:rsid w:val="00704421"/>
    <w:rsid w:val="00704498"/>
    <w:rsid w:val="007045CB"/>
    <w:rsid w:val="0070462F"/>
    <w:rsid w:val="00704735"/>
    <w:rsid w:val="00704940"/>
    <w:rsid w:val="0070496E"/>
    <w:rsid w:val="007049A3"/>
    <w:rsid w:val="007049CE"/>
    <w:rsid w:val="00704A82"/>
    <w:rsid w:val="00704AD3"/>
    <w:rsid w:val="00704B02"/>
    <w:rsid w:val="00704C1D"/>
    <w:rsid w:val="00704C62"/>
    <w:rsid w:val="00704C83"/>
    <w:rsid w:val="00704D14"/>
    <w:rsid w:val="00704D36"/>
    <w:rsid w:val="00704D9F"/>
    <w:rsid w:val="00704DA0"/>
    <w:rsid w:val="00704EFB"/>
    <w:rsid w:val="00704F79"/>
    <w:rsid w:val="00704FCF"/>
    <w:rsid w:val="00704FD6"/>
    <w:rsid w:val="00704FE4"/>
    <w:rsid w:val="0070511D"/>
    <w:rsid w:val="00705130"/>
    <w:rsid w:val="0070514C"/>
    <w:rsid w:val="0070520A"/>
    <w:rsid w:val="0070529B"/>
    <w:rsid w:val="007052A1"/>
    <w:rsid w:val="007052C7"/>
    <w:rsid w:val="00705321"/>
    <w:rsid w:val="0070532A"/>
    <w:rsid w:val="00705398"/>
    <w:rsid w:val="00705462"/>
    <w:rsid w:val="0070549A"/>
    <w:rsid w:val="007054EC"/>
    <w:rsid w:val="0070552E"/>
    <w:rsid w:val="0070554C"/>
    <w:rsid w:val="0070560A"/>
    <w:rsid w:val="0070563A"/>
    <w:rsid w:val="0070564A"/>
    <w:rsid w:val="0070564E"/>
    <w:rsid w:val="00705656"/>
    <w:rsid w:val="0070565F"/>
    <w:rsid w:val="007057AD"/>
    <w:rsid w:val="0070595E"/>
    <w:rsid w:val="00705960"/>
    <w:rsid w:val="0070597C"/>
    <w:rsid w:val="007059BF"/>
    <w:rsid w:val="007059DB"/>
    <w:rsid w:val="00705A5C"/>
    <w:rsid w:val="00705A6A"/>
    <w:rsid w:val="00705A8C"/>
    <w:rsid w:val="00705AC4"/>
    <w:rsid w:val="00705AF8"/>
    <w:rsid w:val="00705B5E"/>
    <w:rsid w:val="00705B9B"/>
    <w:rsid w:val="00705C9A"/>
    <w:rsid w:val="00705CE9"/>
    <w:rsid w:val="00705D2E"/>
    <w:rsid w:val="00705D5E"/>
    <w:rsid w:val="00705D86"/>
    <w:rsid w:val="00705DB7"/>
    <w:rsid w:val="00705DE1"/>
    <w:rsid w:val="00705E5A"/>
    <w:rsid w:val="00705E92"/>
    <w:rsid w:val="00705F82"/>
    <w:rsid w:val="00705FC7"/>
    <w:rsid w:val="00706089"/>
    <w:rsid w:val="007060C0"/>
    <w:rsid w:val="007060FD"/>
    <w:rsid w:val="007061E9"/>
    <w:rsid w:val="007063F6"/>
    <w:rsid w:val="0070643A"/>
    <w:rsid w:val="00706454"/>
    <w:rsid w:val="007064A4"/>
    <w:rsid w:val="0070652B"/>
    <w:rsid w:val="0070654C"/>
    <w:rsid w:val="00706695"/>
    <w:rsid w:val="0070675C"/>
    <w:rsid w:val="007067A7"/>
    <w:rsid w:val="00706875"/>
    <w:rsid w:val="00706878"/>
    <w:rsid w:val="00706897"/>
    <w:rsid w:val="007068EB"/>
    <w:rsid w:val="00706972"/>
    <w:rsid w:val="007069F3"/>
    <w:rsid w:val="00706A19"/>
    <w:rsid w:val="00706A61"/>
    <w:rsid w:val="00706A8E"/>
    <w:rsid w:val="00706C0A"/>
    <w:rsid w:val="00706CAF"/>
    <w:rsid w:val="00706D4D"/>
    <w:rsid w:val="00706D77"/>
    <w:rsid w:val="00706D85"/>
    <w:rsid w:val="00706D86"/>
    <w:rsid w:val="00706DB2"/>
    <w:rsid w:val="00706E7A"/>
    <w:rsid w:val="00706F8F"/>
    <w:rsid w:val="00706FAE"/>
    <w:rsid w:val="00707033"/>
    <w:rsid w:val="00707211"/>
    <w:rsid w:val="0070729F"/>
    <w:rsid w:val="0070734C"/>
    <w:rsid w:val="0070737B"/>
    <w:rsid w:val="0070747E"/>
    <w:rsid w:val="007074D3"/>
    <w:rsid w:val="00707546"/>
    <w:rsid w:val="0070761D"/>
    <w:rsid w:val="0070773D"/>
    <w:rsid w:val="007078CE"/>
    <w:rsid w:val="00707906"/>
    <w:rsid w:val="00707A25"/>
    <w:rsid w:val="00707A67"/>
    <w:rsid w:val="00707AB5"/>
    <w:rsid w:val="00707B06"/>
    <w:rsid w:val="00707B5A"/>
    <w:rsid w:val="00707BEB"/>
    <w:rsid w:val="00707C06"/>
    <w:rsid w:val="00707C3C"/>
    <w:rsid w:val="00707C5C"/>
    <w:rsid w:val="00707C5F"/>
    <w:rsid w:val="00707C6A"/>
    <w:rsid w:val="00707C8E"/>
    <w:rsid w:val="00707E6D"/>
    <w:rsid w:val="00707EE6"/>
    <w:rsid w:val="00707F68"/>
    <w:rsid w:val="00707FB6"/>
    <w:rsid w:val="00707FC6"/>
    <w:rsid w:val="007100A2"/>
    <w:rsid w:val="007100AB"/>
    <w:rsid w:val="0071012F"/>
    <w:rsid w:val="00710184"/>
    <w:rsid w:val="007101B7"/>
    <w:rsid w:val="007101B8"/>
    <w:rsid w:val="00710240"/>
    <w:rsid w:val="007102C2"/>
    <w:rsid w:val="007102CD"/>
    <w:rsid w:val="0071039F"/>
    <w:rsid w:val="0071046B"/>
    <w:rsid w:val="0071049F"/>
    <w:rsid w:val="007104EB"/>
    <w:rsid w:val="00710516"/>
    <w:rsid w:val="00710533"/>
    <w:rsid w:val="0071054E"/>
    <w:rsid w:val="00710628"/>
    <w:rsid w:val="00710646"/>
    <w:rsid w:val="0071070B"/>
    <w:rsid w:val="0071076B"/>
    <w:rsid w:val="007107BF"/>
    <w:rsid w:val="007107FE"/>
    <w:rsid w:val="00710826"/>
    <w:rsid w:val="007108E5"/>
    <w:rsid w:val="0071093B"/>
    <w:rsid w:val="00710966"/>
    <w:rsid w:val="00710982"/>
    <w:rsid w:val="00710A8D"/>
    <w:rsid w:val="00710B0D"/>
    <w:rsid w:val="00710C11"/>
    <w:rsid w:val="00710C89"/>
    <w:rsid w:val="00710F9F"/>
    <w:rsid w:val="00710FCD"/>
    <w:rsid w:val="0071100E"/>
    <w:rsid w:val="00711026"/>
    <w:rsid w:val="00711049"/>
    <w:rsid w:val="007110B2"/>
    <w:rsid w:val="007110E6"/>
    <w:rsid w:val="0071120C"/>
    <w:rsid w:val="0071121C"/>
    <w:rsid w:val="00711239"/>
    <w:rsid w:val="00711282"/>
    <w:rsid w:val="0071128D"/>
    <w:rsid w:val="007112A0"/>
    <w:rsid w:val="007112A9"/>
    <w:rsid w:val="00711352"/>
    <w:rsid w:val="0071139D"/>
    <w:rsid w:val="007113FE"/>
    <w:rsid w:val="0071145B"/>
    <w:rsid w:val="0071146A"/>
    <w:rsid w:val="007114B7"/>
    <w:rsid w:val="00711512"/>
    <w:rsid w:val="00711538"/>
    <w:rsid w:val="00711543"/>
    <w:rsid w:val="0071160C"/>
    <w:rsid w:val="0071161B"/>
    <w:rsid w:val="00711669"/>
    <w:rsid w:val="007116E0"/>
    <w:rsid w:val="0071172F"/>
    <w:rsid w:val="007117F3"/>
    <w:rsid w:val="007117F5"/>
    <w:rsid w:val="00711812"/>
    <w:rsid w:val="007118BF"/>
    <w:rsid w:val="007118D0"/>
    <w:rsid w:val="007118E7"/>
    <w:rsid w:val="0071193D"/>
    <w:rsid w:val="00711A19"/>
    <w:rsid w:val="00711A2D"/>
    <w:rsid w:val="00711B1E"/>
    <w:rsid w:val="00711B64"/>
    <w:rsid w:val="00711C57"/>
    <w:rsid w:val="00711CB5"/>
    <w:rsid w:val="00711DEA"/>
    <w:rsid w:val="00711E36"/>
    <w:rsid w:val="00711E8B"/>
    <w:rsid w:val="00711EAD"/>
    <w:rsid w:val="00711F35"/>
    <w:rsid w:val="00711F8E"/>
    <w:rsid w:val="00711FCD"/>
    <w:rsid w:val="00711FEB"/>
    <w:rsid w:val="0071200C"/>
    <w:rsid w:val="0071204A"/>
    <w:rsid w:val="0071212E"/>
    <w:rsid w:val="007121F9"/>
    <w:rsid w:val="0071225D"/>
    <w:rsid w:val="00712288"/>
    <w:rsid w:val="00712337"/>
    <w:rsid w:val="00712346"/>
    <w:rsid w:val="007123D9"/>
    <w:rsid w:val="007123FB"/>
    <w:rsid w:val="00712433"/>
    <w:rsid w:val="007124F0"/>
    <w:rsid w:val="00712632"/>
    <w:rsid w:val="0071268A"/>
    <w:rsid w:val="0071271B"/>
    <w:rsid w:val="00712758"/>
    <w:rsid w:val="007127A0"/>
    <w:rsid w:val="007127A6"/>
    <w:rsid w:val="007127B7"/>
    <w:rsid w:val="00712821"/>
    <w:rsid w:val="0071288E"/>
    <w:rsid w:val="00712896"/>
    <w:rsid w:val="007128C3"/>
    <w:rsid w:val="00712980"/>
    <w:rsid w:val="00712983"/>
    <w:rsid w:val="0071299F"/>
    <w:rsid w:val="007129EE"/>
    <w:rsid w:val="00712A65"/>
    <w:rsid w:val="00712AAC"/>
    <w:rsid w:val="00712AB4"/>
    <w:rsid w:val="00712BAD"/>
    <w:rsid w:val="00712C19"/>
    <w:rsid w:val="00712C21"/>
    <w:rsid w:val="00712C5D"/>
    <w:rsid w:val="00712C7D"/>
    <w:rsid w:val="00712C88"/>
    <w:rsid w:val="00712D6C"/>
    <w:rsid w:val="00712D7C"/>
    <w:rsid w:val="00712DDE"/>
    <w:rsid w:val="00712E9D"/>
    <w:rsid w:val="00712ECF"/>
    <w:rsid w:val="00713003"/>
    <w:rsid w:val="00713124"/>
    <w:rsid w:val="00713129"/>
    <w:rsid w:val="0071313C"/>
    <w:rsid w:val="007131CC"/>
    <w:rsid w:val="00713285"/>
    <w:rsid w:val="00713288"/>
    <w:rsid w:val="0071334A"/>
    <w:rsid w:val="007133B7"/>
    <w:rsid w:val="0071346F"/>
    <w:rsid w:val="00713572"/>
    <w:rsid w:val="007136D8"/>
    <w:rsid w:val="00713713"/>
    <w:rsid w:val="00713766"/>
    <w:rsid w:val="00713770"/>
    <w:rsid w:val="00713782"/>
    <w:rsid w:val="00713787"/>
    <w:rsid w:val="007137BB"/>
    <w:rsid w:val="007137CC"/>
    <w:rsid w:val="007137E6"/>
    <w:rsid w:val="00713831"/>
    <w:rsid w:val="007138B3"/>
    <w:rsid w:val="007139AD"/>
    <w:rsid w:val="007139DE"/>
    <w:rsid w:val="00713A1B"/>
    <w:rsid w:val="00713A4D"/>
    <w:rsid w:val="00713B02"/>
    <w:rsid w:val="00713B90"/>
    <w:rsid w:val="00713CD7"/>
    <w:rsid w:val="00713D32"/>
    <w:rsid w:val="00713DAA"/>
    <w:rsid w:val="00713E5C"/>
    <w:rsid w:val="00713E9B"/>
    <w:rsid w:val="00713ECD"/>
    <w:rsid w:val="00713F3C"/>
    <w:rsid w:val="0071400A"/>
    <w:rsid w:val="00714018"/>
    <w:rsid w:val="00714104"/>
    <w:rsid w:val="007142FA"/>
    <w:rsid w:val="00714488"/>
    <w:rsid w:val="0071448C"/>
    <w:rsid w:val="0071449B"/>
    <w:rsid w:val="007144D3"/>
    <w:rsid w:val="00714551"/>
    <w:rsid w:val="0071473E"/>
    <w:rsid w:val="0071475F"/>
    <w:rsid w:val="00714769"/>
    <w:rsid w:val="007147DE"/>
    <w:rsid w:val="00714947"/>
    <w:rsid w:val="0071494C"/>
    <w:rsid w:val="0071497E"/>
    <w:rsid w:val="007149B4"/>
    <w:rsid w:val="007149F6"/>
    <w:rsid w:val="00714A17"/>
    <w:rsid w:val="00714A51"/>
    <w:rsid w:val="00714A9F"/>
    <w:rsid w:val="00714AE5"/>
    <w:rsid w:val="00714AEF"/>
    <w:rsid w:val="00714B00"/>
    <w:rsid w:val="00714B2D"/>
    <w:rsid w:val="00714C42"/>
    <w:rsid w:val="00714CD5"/>
    <w:rsid w:val="00714CE6"/>
    <w:rsid w:val="00714D9E"/>
    <w:rsid w:val="00714DB1"/>
    <w:rsid w:val="00714DC0"/>
    <w:rsid w:val="00714DF4"/>
    <w:rsid w:val="00714E0F"/>
    <w:rsid w:val="00714E17"/>
    <w:rsid w:val="00714E99"/>
    <w:rsid w:val="00714EB4"/>
    <w:rsid w:val="00714EEC"/>
    <w:rsid w:val="00714F0A"/>
    <w:rsid w:val="00714F26"/>
    <w:rsid w:val="00714F38"/>
    <w:rsid w:val="00714F41"/>
    <w:rsid w:val="00714F5F"/>
    <w:rsid w:val="00714F62"/>
    <w:rsid w:val="00714FAF"/>
    <w:rsid w:val="00714FC0"/>
    <w:rsid w:val="007150F8"/>
    <w:rsid w:val="00715100"/>
    <w:rsid w:val="0071513A"/>
    <w:rsid w:val="00715228"/>
    <w:rsid w:val="007153AA"/>
    <w:rsid w:val="007153BB"/>
    <w:rsid w:val="0071543B"/>
    <w:rsid w:val="007154C9"/>
    <w:rsid w:val="007154F7"/>
    <w:rsid w:val="00715570"/>
    <w:rsid w:val="007155A7"/>
    <w:rsid w:val="007155A9"/>
    <w:rsid w:val="007156A1"/>
    <w:rsid w:val="0071577B"/>
    <w:rsid w:val="007157A0"/>
    <w:rsid w:val="007157A1"/>
    <w:rsid w:val="007157B0"/>
    <w:rsid w:val="007157B1"/>
    <w:rsid w:val="007157B4"/>
    <w:rsid w:val="007157B7"/>
    <w:rsid w:val="007157C9"/>
    <w:rsid w:val="007157D5"/>
    <w:rsid w:val="007158C6"/>
    <w:rsid w:val="0071592C"/>
    <w:rsid w:val="00715945"/>
    <w:rsid w:val="00715947"/>
    <w:rsid w:val="0071598B"/>
    <w:rsid w:val="007159B1"/>
    <w:rsid w:val="007159FD"/>
    <w:rsid w:val="00715A93"/>
    <w:rsid w:val="00715B0B"/>
    <w:rsid w:val="00715BA0"/>
    <w:rsid w:val="00715BD2"/>
    <w:rsid w:val="00715C47"/>
    <w:rsid w:val="00715D20"/>
    <w:rsid w:val="00715D83"/>
    <w:rsid w:val="00715DC7"/>
    <w:rsid w:val="00715E6A"/>
    <w:rsid w:val="00715EFB"/>
    <w:rsid w:val="00715F0D"/>
    <w:rsid w:val="00715F5D"/>
    <w:rsid w:val="00715F65"/>
    <w:rsid w:val="00715FD6"/>
    <w:rsid w:val="00716095"/>
    <w:rsid w:val="007161B1"/>
    <w:rsid w:val="007161C9"/>
    <w:rsid w:val="007162F0"/>
    <w:rsid w:val="00716367"/>
    <w:rsid w:val="00716394"/>
    <w:rsid w:val="007163CB"/>
    <w:rsid w:val="0071643E"/>
    <w:rsid w:val="00716450"/>
    <w:rsid w:val="007166A4"/>
    <w:rsid w:val="00716729"/>
    <w:rsid w:val="00716770"/>
    <w:rsid w:val="007168AB"/>
    <w:rsid w:val="007168BD"/>
    <w:rsid w:val="0071695B"/>
    <w:rsid w:val="00716A46"/>
    <w:rsid w:val="00716A9F"/>
    <w:rsid w:val="00716AEC"/>
    <w:rsid w:val="00716B42"/>
    <w:rsid w:val="00716B86"/>
    <w:rsid w:val="00716BD0"/>
    <w:rsid w:val="00716C4D"/>
    <w:rsid w:val="00716C8E"/>
    <w:rsid w:val="00716CDD"/>
    <w:rsid w:val="00716CF1"/>
    <w:rsid w:val="00716E0B"/>
    <w:rsid w:val="00716EE3"/>
    <w:rsid w:val="00716F18"/>
    <w:rsid w:val="0071703F"/>
    <w:rsid w:val="0071705B"/>
    <w:rsid w:val="00717182"/>
    <w:rsid w:val="007172C2"/>
    <w:rsid w:val="007172FF"/>
    <w:rsid w:val="007173ED"/>
    <w:rsid w:val="007173EE"/>
    <w:rsid w:val="0071741E"/>
    <w:rsid w:val="007174A8"/>
    <w:rsid w:val="00717572"/>
    <w:rsid w:val="0071760A"/>
    <w:rsid w:val="0071764E"/>
    <w:rsid w:val="00717788"/>
    <w:rsid w:val="0071779F"/>
    <w:rsid w:val="0071784B"/>
    <w:rsid w:val="00717899"/>
    <w:rsid w:val="007178A6"/>
    <w:rsid w:val="007178DA"/>
    <w:rsid w:val="007179C2"/>
    <w:rsid w:val="007179F8"/>
    <w:rsid w:val="00717A07"/>
    <w:rsid w:val="00717A4D"/>
    <w:rsid w:val="00717A5C"/>
    <w:rsid w:val="00717A90"/>
    <w:rsid w:val="00717A96"/>
    <w:rsid w:val="00717AD4"/>
    <w:rsid w:val="00717BC0"/>
    <w:rsid w:val="00717BD0"/>
    <w:rsid w:val="00717C17"/>
    <w:rsid w:val="00717C1E"/>
    <w:rsid w:val="00717C24"/>
    <w:rsid w:val="00717C8D"/>
    <w:rsid w:val="00717CF2"/>
    <w:rsid w:val="00717DCB"/>
    <w:rsid w:val="00717E6E"/>
    <w:rsid w:val="00717EF1"/>
    <w:rsid w:val="00717F31"/>
    <w:rsid w:val="0072001C"/>
    <w:rsid w:val="0072005D"/>
    <w:rsid w:val="007200A6"/>
    <w:rsid w:val="00720133"/>
    <w:rsid w:val="00720179"/>
    <w:rsid w:val="007201BA"/>
    <w:rsid w:val="007201FA"/>
    <w:rsid w:val="00720201"/>
    <w:rsid w:val="0072022F"/>
    <w:rsid w:val="007202D9"/>
    <w:rsid w:val="0072039C"/>
    <w:rsid w:val="00720445"/>
    <w:rsid w:val="00720475"/>
    <w:rsid w:val="00720507"/>
    <w:rsid w:val="007205DA"/>
    <w:rsid w:val="007205F3"/>
    <w:rsid w:val="00720902"/>
    <w:rsid w:val="00720910"/>
    <w:rsid w:val="007209F0"/>
    <w:rsid w:val="00720AA8"/>
    <w:rsid w:val="00720B27"/>
    <w:rsid w:val="00720B3E"/>
    <w:rsid w:val="00720B92"/>
    <w:rsid w:val="00720B9C"/>
    <w:rsid w:val="00720BB3"/>
    <w:rsid w:val="00720D4C"/>
    <w:rsid w:val="00720D9A"/>
    <w:rsid w:val="00720E37"/>
    <w:rsid w:val="00720E5F"/>
    <w:rsid w:val="00720EA8"/>
    <w:rsid w:val="00720EFE"/>
    <w:rsid w:val="00720F22"/>
    <w:rsid w:val="00721069"/>
    <w:rsid w:val="00721084"/>
    <w:rsid w:val="0072112E"/>
    <w:rsid w:val="00721163"/>
    <w:rsid w:val="00721172"/>
    <w:rsid w:val="007211A1"/>
    <w:rsid w:val="007211B5"/>
    <w:rsid w:val="007211CE"/>
    <w:rsid w:val="007212A8"/>
    <w:rsid w:val="007212B7"/>
    <w:rsid w:val="007212F7"/>
    <w:rsid w:val="0072144C"/>
    <w:rsid w:val="00721464"/>
    <w:rsid w:val="00721519"/>
    <w:rsid w:val="007215D6"/>
    <w:rsid w:val="007215EF"/>
    <w:rsid w:val="0072162D"/>
    <w:rsid w:val="0072164F"/>
    <w:rsid w:val="007216D2"/>
    <w:rsid w:val="007216F8"/>
    <w:rsid w:val="00721772"/>
    <w:rsid w:val="00721776"/>
    <w:rsid w:val="00721796"/>
    <w:rsid w:val="0072182C"/>
    <w:rsid w:val="00721985"/>
    <w:rsid w:val="007219C3"/>
    <w:rsid w:val="00721A0A"/>
    <w:rsid w:val="00721AF6"/>
    <w:rsid w:val="00721B04"/>
    <w:rsid w:val="00721C21"/>
    <w:rsid w:val="00721DE3"/>
    <w:rsid w:val="00721E30"/>
    <w:rsid w:val="00721E51"/>
    <w:rsid w:val="00721F81"/>
    <w:rsid w:val="00721FD4"/>
    <w:rsid w:val="00722035"/>
    <w:rsid w:val="007220D5"/>
    <w:rsid w:val="00722287"/>
    <w:rsid w:val="00722294"/>
    <w:rsid w:val="007222D2"/>
    <w:rsid w:val="00722362"/>
    <w:rsid w:val="00722466"/>
    <w:rsid w:val="00722480"/>
    <w:rsid w:val="0072250C"/>
    <w:rsid w:val="0072252F"/>
    <w:rsid w:val="0072254B"/>
    <w:rsid w:val="00722576"/>
    <w:rsid w:val="007225B1"/>
    <w:rsid w:val="007225F1"/>
    <w:rsid w:val="00722650"/>
    <w:rsid w:val="0072276A"/>
    <w:rsid w:val="007227B2"/>
    <w:rsid w:val="007227E2"/>
    <w:rsid w:val="0072284F"/>
    <w:rsid w:val="00722928"/>
    <w:rsid w:val="00722946"/>
    <w:rsid w:val="00722A15"/>
    <w:rsid w:val="00722A16"/>
    <w:rsid w:val="00722A9C"/>
    <w:rsid w:val="00722AE9"/>
    <w:rsid w:val="00722BD7"/>
    <w:rsid w:val="00722BEF"/>
    <w:rsid w:val="00722C9F"/>
    <w:rsid w:val="00722CAB"/>
    <w:rsid w:val="00722CD9"/>
    <w:rsid w:val="00722D28"/>
    <w:rsid w:val="00722D58"/>
    <w:rsid w:val="00722D66"/>
    <w:rsid w:val="00722DD4"/>
    <w:rsid w:val="00722DEB"/>
    <w:rsid w:val="00722E1B"/>
    <w:rsid w:val="00722E83"/>
    <w:rsid w:val="00722E98"/>
    <w:rsid w:val="00722EB0"/>
    <w:rsid w:val="00722ED7"/>
    <w:rsid w:val="00722F69"/>
    <w:rsid w:val="00722F73"/>
    <w:rsid w:val="00722F76"/>
    <w:rsid w:val="00722FFA"/>
    <w:rsid w:val="00723025"/>
    <w:rsid w:val="00723027"/>
    <w:rsid w:val="0072308C"/>
    <w:rsid w:val="00723130"/>
    <w:rsid w:val="0072315E"/>
    <w:rsid w:val="00723188"/>
    <w:rsid w:val="00723343"/>
    <w:rsid w:val="00723354"/>
    <w:rsid w:val="007233A0"/>
    <w:rsid w:val="007233D4"/>
    <w:rsid w:val="00723460"/>
    <w:rsid w:val="00723474"/>
    <w:rsid w:val="0072349C"/>
    <w:rsid w:val="007234E7"/>
    <w:rsid w:val="0072352F"/>
    <w:rsid w:val="007235B5"/>
    <w:rsid w:val="00723635"/>
    <w:rsid w:val="007236FC"/>
    <w:rsid w:val="00723768"/>
    <w:rsid w:val="00723838"/>
    <w:rsid w:val="00723866"/>
    <w:rsid w:val="007238E6"/>
    <w:rsid w:val="007238EB"/>
    <w:rsid w:val="0072391A"/>
    <w:rsid w:val="00723939"/>
    <w:rsid w:val="0072398E"/>
    <w:rsid w:val="007239B7"/>
    <w:rsid w:val="007239F1"/>
    <w:rsid w:val="00723A9E"/>
    <w:rsid w:val="00723ABE"/>
    <w:rsid w:val="00723B40"/>
    <w:rsid w:val="00723B54"/>
    <w:rsid w:val="00723B97"/>
    <w:rsid w:val="00723CF4"/>
    <w:rsid w:val="00723CF8"/>
    <w:rsid w:val="00723D6E"/>
    <w:rsid w:val="00723D8E"/>
    <w:rsid w:val="00723E13"/>
    <w:rsid w:val="00723E4D"/>
    <w:rsid w:val="00723E91"/>
    <w:rsid w:val="00723F24"/>
    <w:rsid w:val="00723F57"/>
    <w:rsid w:val="00724003"/>
    <w:rsid w:val="00724053"/>
    <w:rsid w:val="007240CF"/>
    <w:rsid w:val="007240DE"/>
    <w:rsid w:val="007240F5"/>
    <w:rsid w:val="0072410B"/>
    <w:rsid w:val="0072417D"/>
    <w:rsid w:val="0072417E"/>
    <w:rsid w:val="007241F3"/>
    <w:rsid w:val="0072426B"/>
    <w:rsid w:val="007242CF"/>
    <w:rsid w:val="0072432A"/>
    <w:rsid w:val="0072437D"/>
    <w:rsid w:val="007243DE"/>
    <w:rsid w:val="0072449C"/>
    <w:rsid w:val="007244C1"/>
    <w:rsid w:val="007244C9"/>
    <w:rsid w:val="0072467A"/>
    <w:rsid w:val="0072471A"/>
    <w:rsid w:val="00724748"/>
    <w:rsid w:val="007248BA"/>
    <w:rsid w:val="007248E9"/>
    <w:rsid w:val="00724953"/>
    <w:rsid w:val="0072497B"/>
    <w:rsid w:val="007249E8"/>
    <w:rsid w:val="007249EA"/>
    <w:rsid w:val="007249F5"/>
    <w:rsid w:val="00724A7F"/>
    <w:rsid w:val="00724AF5"/>
    <w:rsid w:val="00724AFE"/>
    <w:rsid w:val="00724B2C"/>
    <w:rsid w:val="00724BFA"/>
    <w:rsid w:val="00724C9F"/>
    <w:rsid w:val="00724CD1"/>
    <w:rsid w:val="00724D54"/>
    <w:rsid w:val="00724E03"/>
    <w:rsid w:val="00724E23"/>
    <w:rsid w:val="00724E2F"/>
    <w:rsid w:val="00724E3D"/>
    <w:rsid w:val="00724E99"/>
    <w:rsid w:val="00724EB8"/>
    <w:rsid w:val="00724EBC"/>
    <w:rsid w:val="007250A2"/>
    <w:rsid w:val="00725130"/>
    <w:rsid w:val="0072519D"/>
    <w:rsid w:val="007251B5"/>
    <w:rsid w:val="00725252"/>
    <w:rsid w:val="007252AE"/>
    <w:rsid w:val="00725325"/>
    <w:rsid w:val="00725368"/>
    <w:rsid w:val="007253B6"/>
    <w:rsid w:val="007253C9"/>
    <w:rsid w:val="007253CF"/>
    <w:rsid w:val="007253D1"/>
    <w:rsid w:val="00725415"/>
    <w:rsid w:val="0072554F"/>
    <w:rsid w:val="0072557B"/>
    <w:rsid w:val="007255A3"/>
    <w:rsid w:val="00725635"/>
    <w:rsid w:val="007256B1"/>
    <w:rsid w:val="007256D2"/>
    <w:rsid w:val="00725721"/>
    <w:rsid w:val="007257B8"/>
    <w:rsid w:val="007257EC"/>
    <w:rsid w:val="007257F0"/>
    <w:rsid w:val="00725850"/>
    <w:rsid w:val="00725993"/>
    <w:rsid w:val="007259B4"/>
    <w:rsid w:val="007259C1"/>
    <w:rsid w:val="007259DB"/>
    <w:rsid w:val="00725A2A"/>
    <w:rsid w:val="00725AA8"/>
    <w:rsid w:val="00725BB0"/>
    <w:rsid w:val="00725BB1"/>
    <w:rsid w:val="00725BD3"/>
    <w:rsid w:val="00725BDB"/>
    <w:rsid w:val="00725C22"/>
    <w:rsid w:val="00725CB5"/>
    <w:rsid w:val="00725D74"/>
    <w:rsid w:val="00725ECD"/>
    <w:rsid w:val="00725F83"/>
    <w:rsid w:val="0072603B"/>
    <w:rsid w:val="00726125"/>
    <w:rsid w:val="00726190"/>
    <w:rsid w:val="0072627A"/>
    <w:rsid w:val="0072630F"/>
    <w:rsid w:val="007263DA"/>
    <w:rsid w:val="00726454"/>
    <w:rsid w:val="007264C9"/>
    <w:rsid w:val="00726548"/>
    <w:rsid w:val="007265A3"/>
    <w:rsid w:val="007265B9"/>
    <w:rsid w:val="00726652"/>
    <w:rsid w:val="007266CA"/>
    <w:rsid w:val="00726737"/>
    <w:rsid w:val="007267B3"/>
    <w:rsid w:val="00726813"/>
    <w:rsid w:val="00726817"/>
    <w:rsid w:val="0072681D"/>
    <w:rsid w:val="0072683A"/>
    <w:rsid w:val="007268B3"/>
    <w:rsid w:val="0072697E"/>
    <w:rsid w:val="007269D6"/>
    <w:rsid w:val="00726A16"/>
    <w:rsid w:val="00726B23"/>
    <w:rsid w:val="00726B30"/>
    <w:rsid w:val="00726C50"/>
    <w:rsid w:val="00726CA2"/>
    <w:rsid w:val="00726CD1"/>
    <w:rsid w:val="00726D21"/>
    <w:rsid w:val="00726DA6"/>
    <w:rsid w:val="00726DE3"/>
    <w:rsid w:val="00726E0F"/>
    <w:rsid w:val="00726E2E"/>
    <w:rsid w:val="00726EEC"/>
    <w:rsid w:val="00726F27"/>
    <w:rsid w:val="00726F51"/>
    <w:rsid w:val="00726FAE"/>
    <w:rsid w:val="00727005"/>
    <w:rsid w:val="00727121"/>
    <w:rsid w:val="00727174"/>
    <w:rsid w:val="0072717F"/>
    <w:rsid w:val="00727184"/>
    <w:rsid w:val="007271B6"/>
    <w:rsid w:val="007271CF"/>
    <w:rsid w:val="00727288"/>
    <w:rsid w:val="007272C6"/>
    <w:rsid w:val="007272E0"/>
    <w:rsid w:val="00727359"/>
    <w:rsid w:val="0072742A"/>
    <w:rsid w:val="00727484"/>
    <w:rsid w:val="00727492"/>
    <w:rsid w:val="007274C8"/>
    <w:rsid w:val="00727576"/>
    <w:rsid w:val="007275B4"/>
    <w:rsid w:val="0072760B"/>
    <w:rsid w:val="00727638"/>
    <w:rsid w:val="0072769E"/>
    <w:rsid w:val="007276A1"/>
    <w:rsid w:val="007276A2"/>
    <w:rsid w:val="0072782B"/>
    <w:rsid w:val="007278BE"/>
    <w:rsid w:val="0072790D"/>
    <w:rsid w:val="00727A8A"/>
    <w:rsid w:val="00727A95"/>
    <w:rsid w:val="00727AA5"/>
    <w:rsid w:val="00727B0C"/>
    <w:rsid w:val="00727B30"/>
    <w:rsid w:val="00727B96"/>
    <w:rsid w:val="00727BB3"/>
    <w:rsid w:val="00727BF6"/>
    <w:rsid w:val="00727D85"/>
    <w:rsid w:val="00727E08"/>
    <w:rsid w:val="00727EAB"/>
    <w:rsid w:val="00727ED2"/>
    <w:rsid w:val="00727F0E"/>
    <w:rsid w:val="00727FB5"/>
    <w:rsid w:val="0073007C"/>
    <w:rsid w:val="00730088"/>
    <w:rsid w:val="007300FA"/>
    <w:rsid w:val="0073015B"/>
    <w:rsid w:val="00730169"/>
    <w:rsid w:val="0073016F"/>
    <w:rsid w:val="00730182"/>
    <w:rsid w:val="007301C9"/>
    <w:rsid w:val="007301F4"/>
    <w:rsid w:val="007301FA"/>
    <w:rsid w:val="007302B5"/>
    <w:rsid w:val="00730357"/>
    <w:rsid w:val="0073035C"/>
    <w:rsid w:val="00730373"/>
    <w:rsid w:val="00730386"/>
    <w:rsid w:val="00730408"/>
    <w:rsid w:val="00730439"/>
    <w:rsid w:val="007304A2"/>
    <w:rsid w:val="00730532"/>
    <w:rsid w:val="00730538"/>
    <w:rsid w:val="0073055E"/>
    <w:rsid w:val="0073059F"/>
    <w:rsid w:val="007305B5"/>
    <w:rsid w:val="007305C6"/>
    <w:rsid w:val="007305FF"/>
    <w:rsid w:val="0073063B"/>
    <w:rsid w:val="0073064C"/>
    <w:rsid w:val="0073075A"/>
    <w:rsid w:val="007307B3"/>
    <w:rsid w:val="007307C2"/>
    <w:rsid w:val="0073085A"/>
    <w:rsid w:val="007308DE"/>
    <w:rsid w:val="00730975"/>
    <w:rsid w:val="00730985"/>
    <w:rsid w:val="007309C1"/>
    <w:rsid w:val="00730A22"/>
    <w:rsid w:val="00730A9C"/>
    <w:rsid w:val="00730AFF"/>
    <w:rsid w:val="00730C71"/>
    <w:rsid w:val="00730CA0"/>
    <w:rsid w:val="00730D06"/>
    <w:rsid w:val="00730D38"/>
    <w:rsid w:val="00730D56"/>
    <w:rsid w:val="00730D5A"/>
    <w:rsid w:val="00730E0D"/>
    <w:rsid w:val="00730ECD"/>
    <w:rsid w:val="00730F57"/>
    <w:rsid w:val="00730FA0"/>
    <w:rsid w:val="00730FC6"/>
    <w:rsid w:val="00730FE1"/>
    <w:rsid w:val="0073127D"/>
    <w:rsid w:val="00731372"/>
    <w:rsid w:val="007313CE"/>
    <w:rsid w:val="007313EF"/>
    <w:rsid w:val="0073145F"/>
    <w:rsid w:val="00731462"/>
    <w:rsid w:val="0073149B"/>
    <w:rsid w:val="007315B9"/>
    <w:rsid w:val="0073162E"/>
    <w:rsid w:val="00731657"/>
    <w:rsid w:val="007316AC"/>
    <w:rsid w:val="007316D4"/>
    <w:rsid w:val="00731760"/>
    <w:rsid w:val="00731814"/>
    <w:rsid w:val="00731898"/>
    <w:rsid w:val="0073189E"/>
    <w:rsid w:val="007318C6"/>
    <w:rsid w:val="00731905"/>
    <w:rsid w:val="0073192A"/>
    <w:rsid w:val="00731938"/>
    <w:rsid w:val="0073193C"/>
    <w:rsid w:val="00731966"/>
    <w:rsid w:val="00731994"/>
    <w:rsid w:val="007319A1"/>
    <w:rsid w:val="00731A12"/>
    <w:rsid w:val="00731A1F"/>
    <w:rsid w:val="00731A38"/>
    <w:rsid w:val="00731AE0"/>
    <w:rsid w:val="00731AEC"/>
    <w:rsid w:val="00731B88"/>
    <w:rsid w:val="00731B95"/>
    <w:rsid w:val="00731BD9"/>
    <w:rsid w:val="00731C1D"/>
    <w:rsid w:val="00731CF0"/>
    <w:rsid w:val="00731D09"/>
    <w:rsid w:val="00731E60"/>
    <w:rsid w:val="00731EF5"/>
    <w:rsid w:val="00731F69"/>
    <w:rsid w:val="007321A1"/>
    <w:rsid w:val="00732216"/>
    <w:rsid w:val="0073221E"/>
    <w:rsid w:val="00732243"/>
    <w:rsid w:val="007322B1"/>
    <w:rsid w:val="007322C6"/>
    <w:rsid w:val="007323BD"/>
    <w:rsid w:val="00732442"/>
    <w:rsid w:val="00732455"/>
    <w:rsid w:val="0073251B"/>
    <w:rsid w:val="007325B7"/>
    <w:rsid w:val="00732621"/>
    <w:rsid w:val="00732625"/>
    <w:rsid w:val="00732638"/>
    <w:rsid w:val="007327EC"/>
    <w:rsid w:val="0073286C"/>
    <w:rsid w:val="00732877"/>
    <w:rsid w:val="0073288A"/>
    <w:rsid w:val="007328D4"/>
    <w:rsid w:val="00732958"/>
    <w:rsid w:val="007329A7"/>
    <w:rsid w:val="007329B3"/>
    <w:rsid w:val="00732BB6"/>
    <w:rsid w:val="00732C90"/>
    <w:rsid w:val="00732CAD"/>
    <w:rsid w:val="00732D53"/>
    <w:rsid w:val="00732E39"/>
    <w:rsid w:val="00732ED5"/>
    <w:rsid w:val="00732F7A"/>
    <w:rsid w:val="00732F94"/>
    <w:rsid w:val="00732FD2"/>
    <w:rsid w:val="00733086"/>
    <w:rsid w:val="007330C6"/>
    <w:rsid w:val="007330D7"/>
    <w:rsid w:val="00733103"/>
    <w:rsid w:val="00733289"/>
    <w:rsid w:val="007332D3"/>
    <w:rsid w:val="007333CF"/>
    <w:rsid w:val="00733434"/>
    <w:rsid w:val="00733482"/>
    <w:rsid w:val="007334A6"/>
    <w:rsid w:val="007334D3"/>
    <w:rsid w:val="007334FE"/>
    <w:rsid w:val="00733534"/>
    <w:rsid w:val="00733563"/>
    <w:rsid w:val="007335BB"/>
    <w:rsid w:val="007338AA"/>
    <w:rsid w:val="007338BB"/>
    <w:rsid w:val="007338C6"/>
    <w:rsid w:val="007338DE"/>
    <w:rsid w:val="0073393E"/>
    <w:rsid w:val="00733964"/>
    <w:rsid w:val="007339CF"/>
    <w:rsid w:val="00733A40"/>
    <w:rsid w:val="00733ACE"/>
    <w:rsid w:val="00733B6F"/>
    <w:rsid w:val="00733C4E"/>
    <w:rsid w:val="00733CB5"/>
    <w:rsid w:val="00733CDF"/>
    <w:rsid w:val="00733CF2"/>
    <w:rsid w:val="00733CFD"/>
    <w:rsid w:val="00733D52"/>
    <w:rsid w:val="00733DC2"/>
    <w:rsid w:val="00733DEB"/>
    <w:rsid w:val="00733E72"/>
    <w:rsid w:val="00733F09"/>
    <w:rsid w:val="00733F91"/>
    <w:rsid w:val="00733FB9"/>
    <w:rsid w:val="0073400E"/>
    <w:rsid w:val="00734015"/>
    <w:rsid w:val="00734020"/>
    <w:rsid w:val="00734050"/>
    <w:rsid w:val="0073407A"/>
    <w:rsid w:val="0073408C"/>
    <w:rsid w:val="007340A9"/>
    <w:rsid w:val="007340B2"/>
    <w:rsid w:val="007340DC"/>
    <w:rsid w:val="00734117"/>
    <w:rsid w:val="0073415C"/>
    <w:rsid w:val="00734221"/>
    <w:rsid w:val="00734256"/>
    <w:rsid w:val="0073431D"/>
    <w:rsid w:val="0073435D"/>
    <w:rsid w:val="0073447E"/>
    <w:rsid w:val="00734484"/>
    <w:rsid w:val="007344BB"/>
    <w:rsid w:val="007345C9"/>
    <w:rsid w:val="007345EE"/>
    <w:rsid w:val="0073460A"/>
    <w:rsid w:val="00734657"/>
    <w:rsid w:val="007346AB"/>
    <w:rsid w:val="00734745"/>
    <w:rsid w:val="00734761"/>
    <w:rsid w:val="00734764"/>
    <w:rsid w:val="0073476B"/>
    <w:rsid w:val="007347C6"/>
    <w:rsid w:val="007347CD"/>
    <w:rsid w:val="00734824"/>
    <w:rsid w:val="00734860"/>
    <w:rsid w:val="00734872"/>
    <w:rsid w:val="007348CF"/>
    <w:rsid w:val="00734962"/>
    <w:rsid w:val="007349B9"/>
    <w:rsid w:val="00734BED"/>
    <w:rsid w:val="00734C84"/>
    <w:rsid w:val="00734CDE"/>
    <w:rsid w:val="00734D30"/>
    <w:rsid w:val="00734D8E"/>
    <w:rsid w:val="00734DF0"/>
    <w:rsid w:val="00734E8B"/>
    <w:rsid w:val="00734EF1"/>
    <w:rsid w:val="00734F10"/>
    <w:rsid w:val="00734F57"/>
    <w:rsid w:val="0073502C"/>
    <w:rsid w:val="00735120"/>
    <w:rsid w:val="00735158"/>
    <w:rsid w:val="0073518B"/>
    <w:rsid w:val="0073521D"/>
    <w:rsid w:val="007352C5"/>
    <w:rsid w:val="00735318"/>
    <w:rsid w:val="00735363"/>
    <w:rsid w:val="007353F1"/>
    <w:rsid w:val="007353F5"/>
    <w:rsid w:val="0073540C"/>
    <w:rsid w:val="00735469"/>
    <w:rsid w:val="00735473"/>
    <w:rsid w:val="007354A1"/>
    <w:rsid w:val="007354E9"/>
    <w:rsid w:val="00735503"/>
    <w:rsid w:val="00735538"/>
    <w:rsid w:val="0073553C"/>
    <w:rsid w:val="0073554E"/>
    <w:rsid w:val="007355E5"/>
    <w:rsid w:val="007356C0"/>
    <w:rsid w:val="007356F4"/>
    <w:rsid w:val="00735707"/>
    <w:rsid w:val="0073578F"/>
    <w:rsid w:val="007357BF"/>
    <w:rsid w:val="007357F6"/>
    <w:rsid w:val="0073582E"/>
    <w:rsid w:val="0073589D"/>
    <w:rsid w:val="007358A0"/>
    <w:rsid w:val="0073591D"/>
    <w:rsid w:val="00735989"/>
    <w:rsid w:val="007359C9"/>
    <w:rsid w:val="00735A26"/>
    <w:rsid w:val="00735B12"/>
    <w:rsid w:val="00735B39"/>
    <w:rsid w:val="00735B7D"/>
    <w:rsid w:val="00735BAC"/>
    <w:rsid w:val="00735C0D"/>
    <w:rsid w:val="00735C8A"/>
    <w:rsid w:val="00735C9E"/>
    <w:rsid w:val="00735CA8"/>
    <w:rsid w:val="00735CAA"/>
    <w:rsid w:val="00735D1F"/>
    <w:rsid w:val="00735D24"/>
    <w:rsid w:val="00735D93"/>
    <w:rsid w:val="00735DB0"/>
    <w:rsid w:val="00735EC0"/>
    <w:rsid w:val="00735F27"/>
    <w:rsid w:val="00735F33"/>
    <w:rsid w:val="00735F7B"/>
    <w:rsid w:val="00735F7E"/>
    <w:rsid w:val="00735F8A"/>
    <w:rsid w:val="00735FAA"/>
    <w:rsid w:val="00736034"/>
    <w:rsid w:val="00736195"/>
    <w:rsid w:val="00736297"/>
    <w:rsid w:val="0073629A"/>
    <w:rsid w:val="007362A8"/>
    <w:rsid w:val="007362C9"/>
    <w:rsid w:val="007362EB"/>
    <w:rsid w:val="007363E4"/>
    <w:rsid w:val="00736437"/>
    <w:rsid w:val="0073645A"/>
    <w:rsid w:val="007364FE"/>
    <w:rsid w:val="00736543"/>
    <w:rsid w:val="0073657D"/>
    <w:rsid w:val="007365D3"/>
    <w:rsid w:val="00736648"/>
    <w:rsid w:val="00736671"/>
    <w:rsid w:val="00736695"/>
    <w:rsid w:val="007366A4"/>
    <w:rsid w:val="007366C7"/>
    <w:rsid w:val="007367A8"/>
    <w:rsid w:val="0073690C"/>
    <w:rsid w:val="0073692F"/>
    <w:rsid w:val="00736972"/>
    <w:rsid w:val="00736A92"/>
    <w:rsid w:val="00736A98"/>
    <w:rsid w:val="00736BFF"/>
    <w:rsid w:val="00736C66"/>
    <w:rsid w:val="00736D3B"/>
    <w:rsid w:val="00736D4F"/>
    <w:rsid w:val="00736DB3"/>
    <w:rsid w:val="00736E32"/>
    <w:rsid w:val="00736E6E"/>
    <w:rsid w:val="00736E9B"/>
    <w:rsid w:val="00736EDE"/>
    <w:rsid w:val="00736F82"/>
    <w:rsid w:val="00736FAF"/>
    <w:rsid w:val="00737076"/>
    <w:rsid w:val="007370E2"/>
    <w:rsid w:val="0073711A"/>
    <w:rsid w:val="00737134"/>
    <w:rsid w:val="0073714E"/>
    <w:rsid w:val="007371DA"/>
    <w:rsid w:val="007372A5"/>
    <w:rsid w:val="007372C9"/>
    <w:rsid w:val="00737309"/>
    <w:rsid w:val="00737336"/>
    <w:rsid w:val="0073734C"/>
    <w:rsid w:val="00737370"/>
    <w:rsid w:val="007373F6"/>
    <w:rsid w:val="0073741A"/>
    <w:rsid w:val="0073750C"/>
    <w:rsid w:val="00737511"/>
    <w:rsid w:val="00737669"/>
    <w:rsid w:val="007376E1"/>
    <w:rsid w:val="00737740"/>
    <w:rsid w:val="007377F1"/>
    <w:rsid w:val="0073780A"/>
    <w:rsid w:val="00737871"/>
    <w:rsid w:val="007379E1"/>
    <w:rsid w:val="00737A55"/>
    <w:rsid w:val="00737A82"/>
    <w:rsid w:val="00737A9A"/>
    <w:rsid w:val="00737B16"/>
    <w:rsid w:val="00737B54"/>
    <w:rsid w:val="00737BFA"/>
    <w:rsid w:val="00737C07"/>
    <w:rsid w:val="00737C55"/>
    <w:rsid w:val="00737C9A"/>
    <w:rsid w:val="00737CF2"/>
    <w:rsid w:val="00737CF8"/>
    <w:rsid w:val="00737D68"/>
    <w:rsid w:val="00737DA3"/>
    <w:rsid w:val="00737DB1"/>
    <w:rsid w:val="00737E1B"/>
    <w:rsid w:val="00737E38"/>
    <w:rsid w:val="00737E49"/>
    <w:rsid w:val="00737F63"/>
    <w:rsid w:val="00740062"/>
    <w:rsid w:val="00740080"/>
    <w:rsid w:val="00740162"/>
    <w:rsid w:val="00740165"/>
    <w:rsid w:val="00740179"/>
    <w:rsid w:val="007401EE"/>
    <w:rsid w:val="0074025A"/>
    <w:rsid w:val="0074028E"/>
    <w:rsid w:val="0074029D"/>
    <w:rsid w:val="007403DC"/>
    <w:rsid w:val="00740443"/>
    <w:rsid w:val="007404FF"/>
    <w:rsid w:val="00740521"/>
    <w:rsid w:val="007405C8"/>
    <w:rsid w:val="007405DE"/>
    <w:rsid w:val="007405F1"/>
    <w:rsid w:val="007406C4"/>
    <w:rsid w:val="0074074F"/>
    <w:rsid w:val="00740756"/>
    <w:rsid w:val="007407E8"/>
    <w:rsid w:val="00740813"/>
    <w:rsid w:val="00740871"/>
    <w:rsid w:val="00740921"/>
    <w:rsid w:val="00740923"/>
    <w:rsid w:val="00740936"/>
    <w:rsid w:val="0074096F"/>
    <w:rsid w:val="00740987"/>
    <w:rsid w:val="007409E3"/>
    <w:rsid w:val="00740B36"/>
    <w:rsid w:val="00740B96"/>
    <w:rsid w:val="00740BC4"/>
    <w:rsid w:val="00740BC7"/>
    <w:rsid w:val="00740C1E"/>
    <w:rsid w:val="00740CEE"/>
    <w:rsid w:val="00740CFA"/>
    <w:rsid w:val="00740D77"/>
    <w:rsid w:val="00740DCA"/>
    <w:rsid w:val="00740DDE"/>
    <w:rsid w:val="00740F4A"/>
    <w:rsid w:val="00740F5C"/>
    <w:rsid w:val="00740F62"/>
    <w:rsid w:val="00740FE7"/>
    <w:rsid w:val="00740FEE"/>
    <w:rsid w:val="00740FFB"/>
    <w:rsid w:val="00741043"/>
    <w:rsid w:val="00741062"/>
    <w:rsid w:val="0074110F"/>
    <w:rsid w:val="00741224"/>
    <w:rsid w:val="007412FA"/>
    <w:rsid w:val="00741319"/>
    <w:rsid w:val="00741362"/>
    <w:rsid w:val="00741414"/>
    <w:rsid w:val="00741480"/>
    <w:rsid w:val="007414CE"/>
    <w:rsid w:val="007414DA"/>
    <w:rsid w:val="007414DD"/>
    <w:rsid w:val="0074155B"/>
    <w:rsid w:val="007415A5"/>
    <w:rsid w:val="007415FC"/>
    <w:rsid w:val="00741694"/>
    <w:rsid w:val="007417BF"/>
    <w:rsid w:val="007417F5"/>
    <w:rsid w:val="00741839"/>
    <w:rsid w:val="0074184B"/>
    <w:rsid w:val="00741861"/>
    <w:rsid w:val="0074187C"/>
    <w:rsid w:val="00741899"/>
    <w:rsid w:val="007418E4"/>
    <w:rsid w:val="00741A2D"/>
    <w:rsid w:val="00741A60"/>
    <w:rsid w:val="00741AB0"/>
    <w:rsid w:val="00741AEB"/>
    <w:rsid w:val="00741AFD"/>
    <w:rsid w:val="00741B2F"/>
    <w:rsid w:val="00741B34"/>
    <w:rsid w:val="00741B69"/>
    <w:rsid w:val="00741B6B"/>
    <w:rsid w:val="00741BD6"/>
    <w:rsid w:val="00741C01"/>
    <w:rsid w:val="00741C47"/>
    <w:rsid w:val="00741C7A"/>
    <w:rsid w:val="00741D4B"/>
    <w:rsid w:val="00741D68"/>
    <w:rsid w:val="00741D6D"/>
    <w:rsid w:val="00741DD0"/>
    <w:rsid w:val="00741E4D"/>
    <w:rsid w:val="00741E84"/>
    <w:rsid w:val="00741F4A"/>
    <w:rsid w:val="00741F8A"/>
    <w:rsid w:val="00741FC5"/>
    <w:rsid w:val="00741FE0"/>
    <w:rsid w:val="0074201F"/>
    <w:rsid w:val="0074205F"/>
    <w:rsid w:val="00742128"/>
    <w:rsid w:val="00742131"/>
    <w:rsid w:val="00742136"/>
    <w:rsid w:val="00742177"/>
    <w:rsid w:val="0074226F"/>
    <w:rsid w:val="007422A2"/>
    <w:rsid w:val="007422BE"/>
    <w:rsid w:val="007422FC"/>
    <w:rsid w:val="00742341"/>
    <w:rsid w:val="00742388"/>
    <w:rsid w:val="007423CA"/>
    <w:rsid w:val="00742404"/>
    <w:rsid w:val="00742422"/>
    <w:rsid w:val="00742430"/>
    <w:rsid w:val="007424A0"/>
    <w:rsid w:val="007424A2"/>
    <w:rsid w:val="00742522"/>
    <w:rsid w:val="007425AE"/>
    <w:rsid w:val="007425C4"/>
    <w:rsid w:val="007425E6"/>
    <w:rsid w:val="00742720"/>
    <w:rsid w:val="007427F7"/>
    <w:rsid w:val="0074283B"/>
    <w:rsid w:val="00742992"/>
    <w:rsid w:val="007429FA"/>
    <w:rsid w:val="00742B11"/>
    <w:rsid w:val="00742B1C"/>
    <w:rsid w:val="00742B5C"/>
    <w:rsid w:val="00742B72"/>
    <w:rsid w:val="00742B9C"/>
    <w:rsid w:val="00742BC6"/>
    <w:rsid w:val="00742C71"/>
    <w:rsid w:val="00742C94"/>
    <w:rsid w:val="00742CBB"/>
    <w:rsid w:val="00742CCA"/>
    <w:rsid w:val="00742CCC"/>
    <w:rsid w:val="00742D41"/>
    <w:rsid w:val="00742DB8"/>
    <w:rsid w:val="00742DC5"/>
    <w:rsid w:val="00742EAD"/>
    <w:rsid w:val="00742F0D"/>
    <w:rsid w:val="0074302E"/>
    <w:rsid w:val="00743089"/>
    <w:rsid w:val="0074309A"/>
    <w:rsid w:val="007430C0"/>
    <w:rsid w:val="007430CD"/>
    <w:rsid w:val="007431C8"/>
    <w:rsid w:val="00743200"/>
    <w:rsid w:val="00743205"/>
    <w:rsid w:val="0074330A"/>
    <w:rsid w:val="00743322"/>
    <w:rsid w:val="00743331"/>
    <w:rsid w:val="00743393"/>
    <w:rsid w:val="007433FA"/>
    <w:rsid w:val="007433FF"/>
    <w:rsid w:val="0074349C"/>
    <w:rsid w:val="007434ED"/>
    <w:rsid w:val="00743548"/>
    <w:rsid w:val="00743615"/>
    <w:rsid w:val="00743680"/>
    <w:rsid w:val="007436AA"/>
    <w:rsid w:val="00743788"/>
    <w:rsid w:val="0074378B"/>
    <w:rsid w:val="0074378D"/>
    <w:rsid w:val="00743864"/>
    <w:rsid w:val="00743869"/>
    <w:rsid w:val="007438BD"/>
    <w:rsid w:val="0074396A"/>
    <w:rsid w:val="00743984"/>
    <w:rsid w:val="00743A2F"/>
    <w:rsid w:val="00743A34"/>
    <w:rsid w:val="00743AC0"/>
    <w:rsid w:val="00743B60"/>
    <w:rsid w:val="00743B90"/>
    <w:rsid w:val="00743C2A"/>
    <w:rsid w:val="00743C70"/>
    <w:rsid w:val="00743C84"/>
    <w:rsid w:val="00743CBC"/>
    <w:rsid w:val="00743DC0"/>
    <w:rsid w:val="00743E52"/>
    <w:rsid w:val="00743EB5"/>
    <w:rsid w:val="00743EE5"/>
    <w:rsid w:val="00743F19"/>
    <w:rsid w:val="00743F1E"/>
    <w:rsid w:val="00743F20"/>
    <w:rsid w:val="00743F4A"/>
    <w:rsid w:val="00743F83"/>
    <w:rsid w:val="00744010"/>
    <w:rsid w:val="0074403D"/>
    <w:rsid w:val="00744120"/>
    <w:rsid w:val="00744218"/>
    <w:rsid w:val="007443B7"/>
    <w:rsid w:val="00744441"/>
    <w:rsid w:val="0074448A"/>
    <w:rsid w:val="007444A9"/>
    <w:rsid w:val="007444C3"/>
    <w:rsid w:val="007444FB"/>
    <w:rsid w:val="00744518"/>
    <w:rsid w:val="00744555"/>
    <w:rsid w:val="0074455D"/>
    <w:rsid w:val="007445D6"/>
    <w:rsid w:val="007445EC"/>
    <w:rsid w:val="007445EE"/>
    <w:rsid w:val="007445FF"/>
    <w:rsid w:val="00744626"/>
    <w:rsid w:val="00744684"/>
    <w:rsid w:val="00744762"/>
    <w:rsid w:val="00744816"/>
    <w:rsid w:val="00744846"/>
    <w:rsid w:val="00744849"/>
    <w:rsid w:val="00744866"/>
    <w:rsid w:val="007448BE"/>
    <w:rsid w:val="007448DF"/>
    <w:rsid w:val="00744952"/>
    <w:rsid w:val="00744AFF"/>
    <w:rsid w:val="00744B24"/>
    <w:rsid w:val="00744C52"/>
    <w:rsid w:val="00744C7D"/>
    <w:rsid w:val="00744CCE"/>
    <w:rsid w:val="00744D10"/>
    <w:rsid w:val="00744D3C"/>
    <w:rsid w:val="00744E27"/>
    <w:rsid w:val="00744E9E"/>
    <w:rsid w:val="00744EC2"/>
    <w:rsid w:val="00744F81"/>
    <w:rsid w:val="00744FF7"/>
    <w:rsid w:val="0074501A"/>
    <w:rsid w:val="007450DD"/>
    <w:rsid w:val="00745124"/>
    <w:rsid w:val="0074524E"/>
    <w:rsid w:val="0074527C"/>
    <w:rsid w:val="0074531D"/>
    <w:rsid w:val="00745325"/>
    <w:rsid w:val="007453F8"/>
    <w:rsid w:val="0074544E"/>
    <w:rsid w:val="00745486"/>
    <w:rsid w:val="007454C2"/>
    <w:rsid w:val="0074553F"/>
    <w:rsid w:val="00745576"/>
    <w:rsid w:val="00745586"/>
    <w:rsid w:val="0074563F"/>
    <w:rsid w:val="00745683"/>
    <w:rsid w:val="00745790"/>
    <w:rsid w:val="00745887"/>
    <w:rsid w:val="0074589B"/>
    <w:rsid w:val="007458C9"/>
    <w:rsid w:val="007458F8"/>
    <w:rsid w:val="00745940"/>
    <w:rsid w:val="007459C8"/>
    <w:rsid w:val="007459EF"/>
    <w:rsid w:val="00745A69"/>
    <w:rsid w:val="00745AC8"/>
    <w:rsid w:val="00745B75"/>
    <w:rsid w:val="00745C0B"/>
    <w:rsid w:val="00745C4D"/>
    <w:rsid w:val="00745DA4"/>
    <w:rsid w:val="00745DD0"/>
    <w:rsid w:val="00745DFC"/>
    <w:rsid w:val="00745E21"/>
    <w:rsid w:val="00745E2D"/>
    <w:rsid w:val="00745E9F"/>
    <w:rsid w:val="00745EBA"/>
    <w:rsid w:val="00745F66"/>
    <w:rsid w:val="00745F8F"/>
    <w:rsid w:val="0074609C"/>
    <w:rsid w:val="007460CD"/>
    <w:rsid w:val="007460D2"/>
    <w:rsid w:val="00746118"/>
    <w:rsid w:val="00746153"/>
    <w:rsid w:val="0074619C"/>
    <w:rsid w:val="00746212"/>
    <w:rsid w:val="00746334"/>
    <w:rsid w:val="00746340"/>
    <w:rsid w:val="00746414"/>
    <w:rsid w:val="00746422"/>
    <w:rsid w:val="00746432"/>
    <w:rsid w:val="007464AB"/>
    <w:rsid w:val="007464AF"/>
    <w:rsid w:val="00746530"/>
    <w:rsid w:val="0074659F"/>
    <w:rsid w:val="0074665C"/>
    <w:rsid w:val="00746685"/>
    <w:rsid w:val="007466B2"/>
    <w:rsid w:val="0074675D"/>
    <w:rsid w:val="00746859"/>
    <w:rsid w:val="00746861"/>
    <w:rsid w:val="00746894"/>
    <w:rsid w:val="007469C9"/>
    <w:rsid w:val="00746A05"/>
    <w:rsid w:val="00746A7A"/>
    <w:rsid w:val="00746ACB"/>
    <w:rsid w:val="00746AE7"/>
    <w:rsid w:val="00746AFD"/>
    <w:rsid w:val="00746B0F"/>
    <w:rsid w:val="00746B37"/>
    <w:rsid w:val="00746B87"/>
    <w:rsid w:val="00746C3C"/>
    <w:rsid w:val="00746D60"/>
    <w:rsid w:val="00746D8C"/>
    <w:rsid w:val="00746D8E"/>
    <w:rsid w:val="00746DE9"/>
    <w:rsid w:val="00746DEE"/>
    <w:rsid w:val="00746E39"/>
    <w:rsid w:val="00746E49"/>
    <w:rsid w:val="00746ED6"/>
    <w:rsid w:val="00746F11"/>
    <w:rsid w:val="00746F29"/>
    <w:rsid w:val="00746F32"/>
    <w:rsid w:val="00746F88"/>
    <w:rsid w:val="00746FB6"/>
    <w:rsid w:val="00746FC2"/>
    <w:rsid w:val="0074707A"/>
    <w:rsid w:val="00747080"/>
    <w:rsid w:val="00747094"/>
    <w:rsid w:val="007470D4"/>
    <w:rsid w:val="007470FA"/>
    <w:rsid w:val="0074719A"/>
    <w:rsid w:val="007471A5"/>
    <w:rsid w:val="007471B6"/>
    <w:rsid w:val="007471C7"/>
    <w:rsid w:val="0074725A"/>
    <w:rsid w:val="00747276"/>
    <w:rsid w:val="007472F8"/>
    <w:rsid w:val="00747318"/>
    <w:rsid w:val="00747353"/>
    <w:rsid w:val="007473C8"/>
    <w:rsid w:val="0074741C"/>
    <w:rsid w:val="00747439"/>
    <w:rsid w:val="00747513"/>
    <w:rsid w:val="0074756C"/>
    <w:rsid w:val="007476B1"/>
    <w:rsid w:val="00747704"/>
    <w:rsid w:val="0074772B"/>
    <w:rsid w:val="007477A9"/>
    <w:rsid w:val="00747815"/>
    <w:rsid w:val="007478D0"/>
    <w:rsid w:val="007479C6"/>
    <w:rsid w:val="00747A12"/>
    <w:rsid w:val="00747A1C"/>
    <w:rsid w:val="00747A2F"/>
    <w:rsid w:val="00747A38"/>
    <w:rsid w:val="00747A6F"/>
    <w:rsid w:val="00747A70"/>
    <w:rsid w:val="00747AAE"/>
    <w:rsid w:val="00747B37"/>
    <w:rsid w:val="00747C02"/>
    <w:rsid w:val="00747C29"/>
    <w:rsid w:val="00747C4A"/>
    <w:rsid w:val="00747C71"/>
    <w:rsid w:val="00747C7A"/>
    <w:rsid w:val="00747CA6"/>
    <w:rsid w:val="00747D0D"/>
    <w:rsid w:val="00747DAF"/>
    <w:rsid w:val="00747E17"/>
    <w:rsid w:val="00747E43"/>
    <w:rsid w:val="00747EB4"/>
    <w:rsid w:val="00747EF2"/>
    <w:rsid w:val="00747EFE"/>
    <w:rsid w:val="00747F6C"/>
    <w:rsid w:val="00750021"/>
    <w:rsid w:val="00750053"/>
    <w:rsid w:val="0075011B"/>
    <w:rsid w:val="00750138"/>
    <w:rsid w:val="0075013B"/>
    <w:rsid w:val="00750140"/>
    <w:rsid w:val="00750283"/>
    <w:rsid w:val="00750284"/>
    <w:rsid w:val="007502C4"/>
    <w:rsid w:val="007502C6"/>
    <w:rsid w:val="007502F2"/>
    <w:rsid w:val="007502FA"/>
    <w:rsid w:val="00750332"/>
    <w:rsid w:val="00750375"/>
    <w:rsid w:val="00750376"/>
    <w:rsid w:val="0075042A"/>
    <w:rsid w:val="007504C6"/>
    <w:rsid w:val="00750525"/>
    <w:rsid w:val="0075054A"/>
    <w:rsid w:val="00750598"/>
    <w:rsid w:val="007505AA"/>
    <w:rsid w:val="0075061B"/>
    <w:rsid w:val="0075069A"/>
    <w:rsid w:val="007506C3"/>
    <w:rsid w:val="0075078A"/>
    <w:rsid w:val="007507AC"/>
    <w:rsid w:val="007507B9"/>
    <w:rsid w:val="007507C6"/>
    <w:rsid w:val="007507DC"/>
    <w:rsid w:val="0075081A"/>
    <w:rsid w:val="0075089D"/>
    <w:rsid w:val="0075095F"/>
    <w:rsid w:val="007509C9"/>
    <w:rsid w:val="00750A69"/>
    <w:rsid w:val="00750AB2"/>
    <w:rsid w:val="00750AE8"/>
    <w:rsid w:val="00750B56"/>
    <w:rsid w:val="00750B60"/>
    <w:rsid w:val="00750B67"/>
    <w:rsid w:val="00750C3D"/>
    <w:rsid w:val="00750CCD"/>
    <w:rsid w:val="00750CEE"/>
    <w:rsid w:val="00750D72"/>
    <w:rsid w:val="00750DEB"/>
    <w:rsid w:val="00750E7F"/>
    <w:rsid w:val="00750EAE"/>
    <w:rsid w:val="00750F48"/>
    <w:rsid w:val="00750F95"/>
    <w:rsid w:val="0075102A"/>
    <w:rsid w:val="0075102F"/>
    <w:rsid w:val="007510BF"/>
    <w:rsid w:val="00751185"/>
    <w:rsid w:val="007511D2"/>
    <w:rsid w:val="00751234"/>
    <w:rsid w:val="0075129A"/>
    <w:rsid w:val="00751335"/>
    <w:rsid w:val="00751340"/>
    <w:rsid w:val="00751417"/>
    <w:rsid w:val="0075146D"/>
    <w:rsid w:val="007514AC"/>
    <w:rsid w:val="007514D9"/>
    <w:rsid w:val="00751542"/>
    <w:rsid w:val="00751565"/>
    <w:rsid w:val="0075158D"/>
    <w:rsid w:val="0075160E"/>
    <w:rsid w:val="007516CA"/>
    <w:rsid w:val="00751752"/>
    <w:rsid w:val="007517BB"/>
    <w:rsid w:val="007517CB"/>
    <w:rsid w:val="007517EB"/>
    <w:rsid w:val="0075180C"/>
    <w:rsid w:val="007518A3"/>
    <w:rsid w:val="00751946"/>
    <w:rsid w:val="007519C2"/>
    <w:rsid w:val="007519D4"/>
    <w:rsid w:val="00751A36"/>
    <w:rsid w:val="00751A72"/>
    <w:rsid w:val="00751ABF"/>
    <w:rsid w:val="00751B5F"/>
    <w:rsid w:val="00751B68"/>
    <w:rsid w:val="00751B69"/>
    <w:rsid w:val="00751B8B"/>
    <w:rsid w:val="00751BAD"/>
    <w:rsid w:val="00751BB9"/>
    <w:rsid w:val="00751BD9"/>
    <w:rsid w:val="00751C8F"/>
    <w:rsid w:val="00751CAF"/>
    <w:rsid w:val="00751CE6"/>
    <w:rsid w:val="00751CF2"/>
    <w:rsid w:val="00751D44"/>
    <w:rsid w:val="00751D8C"/>
    <w:rsid w:val="00751E13"/>
    <w:rsid w:val="00751E49"/>
    <w:rsid w:val="00751EFC"/>
    <w:rsid w:val="00752127"/>
    <w:rsid w:val="00752226"/>
    <w:rsid w:val="0075222F"/>
    <w:rsid w:val="0075226B"/>
    <w:rsid w:val="007522DA"/>
    <w:rsid w:val="0075235A"/>
    <w:rsid w:val="00752456"/>
    <w:rsid w:val="00752494"/>
    <w:rsid w:val="007524A1"/>
    <w:rsid w:val="007524DB"/>
    <w:rsid w:val="0075254D"/>
    <w:rsid w:val="007526D7"/>
    <w:rsid w:val="0075272A"/>
    <w:rsid w:val="00752764"/>
    <w:rsid w:val="007527C9"/>
    <w:rsid w:val="007528BB"/>
    <w:rsid w:val="007528BF"/>
    <w:rsid w:val="007528D0"/>
    <w:rsid w:val="0075294B"/>
    <w:rsid w:val="00752989"/>
    <w:rsid w:val="007529B4"/>
    <w:rsid w:val="007529D3"/>
    <w:rsid w:val="00752A24"/>
    <w:rsid w:val="00752A7B"/>
    <w:rsid w:val="00752B26"/>
    <w:rsid w:val="00752B38"/>
    <w:rsid w:val="00752B3A"/>
    <w:rsid w:val="00752BA9"/>
    <w:rsid w:val="00752BDE"/>
    <w:rsid w:val="00752CCB"/>
    <w:rsid w:val="00752DCC"/>
    <w:rsid w:val="00752FB3"/>
    <w:rsid w:val="00752FBA"/>
    <w:rsid w:val="007530C9"/>
    <w:rsid w:val="007530F3"/>
    <w:rsid w:val="00753131"/>
    <w:rsid w:val="00753148"/>
    <w:rsid w:val="007531A2"/>
    <w:rsid w:val="00753201"/>
    <w:rsid w:val="0075327C"/>
    <w:rsid w:val="007532A4"/>
    <w:rsid w:val="007532B8"/>
    <w:rsid w:val="007533AA"/>
    <w:rsid w:val="007533E7"/>
    <w:rsid w:val="00753444"/>
    <w:rsid w:val="00753474"/>
    <w:rsid w:val="0075349E"/>
    <w:rsid w:val="007534E6"/>
    <w:rsid w:val="0075350E"/>
    <w:rsid w:val="007535B4"/>
    <w:rsid w:val="007535FB"/>
    <w:rsid w:val="0075360C"/>
    <w:rsid w:val="0075361D"/>
    <w:rsid w:val="0075362A"/>
    <w:rsid w:val="00753630"/>
    <w:rsid w:val="00753644"/>
    <w:rsid w:val="0075367C"/>
    <w:rsid w:val="00753689"/>
    <w:rsid w:val="0075376B"/>
    <w:rsid w:val="007537C2"/>
    <w:rsid w:val="0075385D"/>
    <w:rsid w:val="0075386F"/>
    <w:rsid w:val="00753893"/>
    <w:rsid w:val="007538FF"/>
    <w:rsid w:val="00753952"/>
    <w:rsid w:val="007539F3"/>
    <w:rsid w:val="00753A44"/>
    <w:rsid w:val="00753ABF"/>
    <w:rsid w:val="00753B4A"/>
    <w:rsid w:val="00753C81"/>
    <w:rsid w:val="00753CAF"/>
    <w:rsid w:val="00753CF4"/>
    <w:rsid w:val="00753D1B"/>
    <w:rsid w:val="00753D2E"/>
    <w:rsid w:val="00753DA6"/>
    <w:rsid w:val="00753DF4"/>
    <w:rsid w:val="00753E18"/>
    <w:rsid w:val="00753E6E"/>
    <w:rsid w:val="00753EFC"/>
    <w:rsid w:val="00753F52"/>
    <w:rsid w:val="00753FC8"/>
    <w:rsid w:val="00754031"/>
    <w:rsid w:val="007540D6"/>
    <w:rsid w:val="007540EA"/>
    <w:rsid w:val="007542C2"/>
    <w:rsid w:val="00754310"/>
    <w:rsid w:val="00754331"/>
    <w:rsid w:val="0075434B"/>
    <w:rsid w:val="0075437F"/>
    <w:rsid w:val="007543AC"/>
    <w:rsid w:val="00754407"/>
    <w:rsid w:val="00754419"/>
    <w:rsid w:val="00754423"/>
    <w:rsid w:val="00754482"/>
    <w:rsid w:val="007544A1"/>
    <w:rsid w:val="007544F9"/>
    <w:rsid w:val="0075458F"/>
    <w:rsid w:val="007545D7"/>
    <w:rsid w:val="0075466A"/>
    <w:rsid w:val="0075468E"/>
    <w:rsid w:val="0075469B"/>
    <w:rsid w:val="00754715"/>
    <w:rsid w:val="00754771"/>
    <w:rsid w:val="00754840"/>
    <w:rsid w:val="0075486A"/>
    <w:rsid w:val="007548BA"/>
    <w:rsid w:val="007548D6"/>
    <w:rsid w:val="0075495C"/>
    <w:rsid w:val="007549B7"/>
    <w:rsid w:val="00754A47"/>
    <w:rsid w:val="00754AAE"/>
    <w:rsid w:val="00754AC3"/>
    <w:rsid w:val="00754AD3"/>
    <w:rsid w:val="00754AE1"/>
    <w:rsid w:val="00754B13"/>
    <w:rsid w:val="00754BB8"/>
    <w:rsid w:val="00754C4E"/>
    <w:rsid w:val="00754C90"/>
    <w:rsid w:val="00754CBD"/>
    <w:rsid w:val="00754DDF"/>
    <w:rsid w:val="00754DE6"/>
    <w:rsid w:val="00754E50"/>
    <w:rsid w:val="00754E67"/>
    <w:rsid w:val="00754E72"/>
    <w:rsid w:val="00754F9E"/>
    <w:rsid w:val="0075503C"/>
    <w:rsid w:val="0075506F"/>
    <w:rsid w:val="007550AD"/>
    <w:rsid w:val="0075513C"/>
    <w:rsid w:val="0075521D"/>
    <w:rsid w:val="00755296"/>
    <w:rsid w:val="007552B1"/>
    <w:rsid w:val="0075534F"/>
    <w:rsid w:val="00755409"/>
    <w:rsid w:val="00755426"/>
    <w:rsid w:val="00755465"/>
    <w:rsid w:val="00755482"/>
    <w:rsid w:val="007554FF"/>
    <w:rsid w:val="00755502"/>
    <w:rsid w:val="00755582"/>
    <w:rsid w:val="0075560F"/>
    <w:rsid w:val="00755638"/>
    <w:rsid w:val="0075565C"/>
    <w:rsid w:val="00755741"/>
    <w:rsid w:val="0075575F"/>
    <w:rsid w:val="00755784"/>
    <w:rsid w:val="0075589A"/>
    <w:rsid w:val="007558F5"/>
    <w:rsid w:val="007558FB"/>
    <w:rsid w:val="00755914"/>
    <w:rsid w:val="007559E6"/>
    <w:rsid w:val="00755A95"/>
    <w:rsid w:val="00755B5F"/>
    <w:rsid w:val="00755C5E"/>
    <w:rsid w:val="00755C67"/>
    <w:rsid w:val="00755D26"/>
    <w:rsid w:val="00755D73"/>
    <w:rsid w:val="00755DC9"/>
    <w:rsid w:val="00755E4A"/>
    <w:rsid w:val="00755E8D"/>
    <w:rsid w:val="00755F4E"/>
    <w:rsid w:val="00755F5C"/>
    <w:rsid w:val="00755FBE"/>
    <w:rsid w:val="00755FFE"/>
    <w:rsid w:val="00756095"/>
    <w:rsid w:val="007560AE"/>
    <w:rsid w:val="007560BA"/>
    <w:rsid w:val="007560E0"/>
    <w:rsid w:val="007561C4"/>
    <w:rsid w:val="00756200"/>
    <w:rsid w:val="00756215"/>
    <w:rsid w:val="00756226"/>
    <w:rsid w:val="00756232"/>
    <w:rsid w:val="0075626D"/>
    <w:rsid w:val="00756272"/>
    <w:rsid w:val="0075627A"/>
    <w:rsid w:val="00756299"/>
    <w:rsid w:val="00756316"/>
    <w:rsid w:val="00756391"/>
    <w:rsid w:val="007563A9"/>
    <w:rsid w:val="00756497"/>
    <w:rsid w:val="007564AC"/>
    <w:rsid w:val="00756532"/>
    <w:rsid w:val="007565B0"/>
    <w:rsid w:val="007565F0"/>
    <w:rsid w:val="00756683"/>
    <w:rsid w:val="007566F5"/>
    <w:rsid w:val="0075670C"/>
    <w:rsid w:val="00756737"/>
    <w:rsid w:val="0075685A"/>
    <w:rsid w:val="0075688A"/>
    <w:rsid w:val="007568A4"/>
    <w:rsid w:val="007568B8"/>
    <w:rsid w:val="007569A8"/>
    <w:rsid w:val="007569DF"/>
    <w:rsid w:val="00756A80"/>
    <w:rsid w:val="00756AE4"/>
    <w:rsid w:val="00756B66"/>
    <w:rsid w:val="00756BA7"/>
    <w:rsid w:val="00756C01"/>
    <w:rsid w:val="00756C0D"/>
    <w:rsid w:val="00756C4A"/>
    <w:rsid w:val="00756C92"/>
    <w:rsid w:val="00756CBD"/>
    <w:rsid w:val="00756D3E"/>
    <w:rsid w:val="00756D6A"/>
    <w:rsid w:val="00756DCE"/>
    <w:rsid w:val="00756E16"/>
    <w:rsid w:val="00756E1F"/>
    <w:rsid w:val="00756E2F"/>
    <w:rsid w:val="00756E9F"/>
    <w:rsid w:val="00756EAB"/>
    <w:rsid w:val="00756F13"/>
    <w:rsid w:val="00756F2D"/>
    <w:rsid w:val="00756F36"/>
    <w:rsid w:val="00756F3F"/>
    <w:rsid w:val="00756F73"/>
    <w:rsid w:val="0075700A"/>
    <w:rsid w:val="0075705A"/>
    <w:rsid w:val="0075706C"/>
    <w:rsid w:val="0075711A"/>
    <w:rsid w:val="007571C9"/>
    <w:rsid w:val="007571F6"/>
    <w:rsid w:val="00757273"/>
    <w:rsid w:val="007572B9"/>
    <w:rsid w:val="007572E5"/>
    <w:rsid w:val="00757319"/>
    <w:rsid w:val="00757431"/>
    <w:rsid w:val="0075743E"/>
    <w:rsid w:val="0075744E"/>
    <w:rsid w:val="0075745D"/>
    <w:rsid w:val="00757489"/>
    <w:rsid w:val="0075749D"/>
    <w:rsid w:val="007575DB"/>
    <w:rsid w:val="007575F9"/>
    <w:rsid w:val="00757600"/>
    <w:rsid w:val="0075763C"/>
    <w:rsid w:val="00757673"/>
    <w:rsid w:val="007576ED"/>
    <w:rsid w:val="0075771D"/>
    <w:rsid w:val="00757738"/>
    <w:rsid w:val="00757757"/>
    <w:rsid w:val="0075778F"/>
    <w:rsid w:val="00757833"/>
    <w:rsid w:val="00757855"/>
    <w:rsid w:val="0075785B"/>
    <w:rsid w:val="0075789F"/>
    <w:rsid w:val="007578BB"/>
    <w:rsid w:val="007578CD"/>
    <w:rsid w:val="007578D6"/>
    <w:rsid w:val="00757945"/>
    <w:rsid w:val="0075794D"/>
    <w:rsid w:val="00757972"/>
    <w:rsid w:val="00757A23"/>
    <w:rsid w:val="00757A31"/>
    <w:rsid w:val="00757B79"/>
    <w:rsid w:val="00757CD6"/>
    <w:rsid w:val="00757D9B"/>
    <w:rsid w:val="00757E22"/>
    <w:rsid w:val="00757E41"/>
    <w:rsid w:val="00757EAD"/>
    <w:rsid w:val="00757F80"/>
    <w:rsid w:val="00760005"/>
    <w:rsid w:val="00760017"/>
    <w:rsid w:val="007600B5"/>
    <w:rsid w:val="007600F3"/>
    <w:rsid w:val="007601C0"/>
    <w:rsid w:val="007601C7"/>
    <w:rsid w:val="007601DD"/>
    <w:rsid w:val="007601E7"/>
    <w:rsid w:val="00760304"/>
    <w:rsid w:val="00760336"/>
    <w:rsid w:val="00760438"/>
    <w:rsid w:val="0076043A"/>
    <w:rsid w:val="007604AB"/>
    <w:rsid w:val="007604FF"/>
    <w:rsid w:val="00760627"/>
    <w:rsid w:val="00760668"/>
    <w:rsid w:val="0076067C"/>
    <w:rsid w:val="007607FD"/>
    <w:rsid w:val="007608CD"/>
    <w:rsid w:val="007608CE"/>
    <w:rsid w:val="00760984"/>
    <w:rsid w:val="00760A7F"/>
    <w:rsid w:val="00760A97"/>
    <w:rsid w:val="00760AD5"/>
    <w:rsid w:val="00760B0B"/>
    <w:rsid w:val="00760B99"/>
    <w:rsid w:val="00760BF4"/>
    <w:rsid w:val="00760CA3"/>
    <w:rsid w:val="00760CC1"/>
    <w:rsid w:val="00760CC8"/>
    <w:rsid w:val="00760CFE"/>
    <w:rsid w:val="00760D0D"/>
    <w:rsid w:val="00760E09"/>
    <w:rsid w:val="00760E1B"/>
    <w:rsid w:val="00760E1D"/>
    <w:rsid w:val="00760E21"/>
    <w:rsid w:val="00760E32"/>
    <w:rsid w:val="00760E63"/>
    <w:rsid w:val="00760EA3"/>
    <w:rsid w:val="00760EB7"/>
    <w:rsid w:val="00760EBE"/>
    <w:rsid w:val="00760EFA"/>
    <w:rsid w:val="00760FA6"/>
    <w:rsid w:val="00760FFC"/>
    <w:rsid w:val="00761030"/>
    <w:rsid w:val="0076103E"/>
    <w:rsid w:val="0076110B"/>
    <w:rsid w:val="00761114"/>
    <w:rsid w:val="0076115D"/>
    <w:rsid w:val="007611AF"/>
    <w:rsid w:val="00761212"/>
    <w:rsid w:val="00761275"/>
    <w:rsid w:val="0076128F"/>
    <w:rsid w:val="00761347"/>
    <w:rsid w:val="007613B1"/>
    <w:rsid w:val="007613EA"/>
    <w:rsid w:val="007614E6"/>
    <w:rsid w:val="007614FC"/>
    <w:rsid w:val="0076150D"/>
    <w:rsid w:val="0076156A"/>
    <w:rsid w:val="0076156D"/>
    <w:rsid w:val="0076169B"/>
    <w:rsid w:val="007616E3"/>
    <w:rsid w:val="007618D1"/>
    <w:rsid w:val="007619FA"/>
    <w:rsid w:val="00761A56"/>
    <w:rsid w:val="00761BC4"/>
    <w:rsid w:val="00761C07"/>
    <w:rsid w:val="00761C79"/>
    <w:rsid w:val="00761CBA"/>
    <w:rsid w:val="00761D17"/>
    <w:rsid w:val="00761D2C"/>
    <w:rsid w:val="00761D34"/>
    <w:rsid w:val="00761D5D"/>
    <w:rsid w:val="00761D73"/>
    <w:rsid w:val="00761E45"/>
    <w:rsid w:val="00761E5A"/>
    <w:rsid w:val="00761EFD"/>
    <w:rsid w:val="00761FF3"/>
    <w:rsid w:val="0076201A"/>
    <w:rsid w:val="0076202E"/>
    <w:rsid w:val="007620F8"/>
    <w:rsid w:val="0076213A"/>
    <w:rsid w:val="00762142"/>
    <w:rsid w:val="00762173"/>
    <w:rsid w:val="0076218B"/>
    <w:rsid w:val="007621A2"/>
    <w:rsid w:val="007621BA"/>
    <w:rsid w:val="007621D4"/>
    <w:rsid w:val="007621EF"/>
    <w:rsid w:val="0076227D"/>
    <w:rsid w:val="0076236E"/>
    <w:rsid w:val="00762380"/>
    <w:rsid w:val="007623F0"/>
    <w:rsid w:val="007623F2"/>
    <w:rsid w:val="007624BB"/>
    <w:rsid w:val="007624E8"/>
    <w:rsid w:val="00762525"/>
    <w:rsid w:val="007625B6"/>
    <w:rsid w:val="007625EB"/>
    <w:rsid w:val="0076260D"/>
    <w:rsid w:val="0076261C"/>
    <w:rsid w:val="00762644"/>
    <w:rsid w:val="0076267E"/>
    <w:rsid w:val="00762680"/>
    <w:rsid w:val="0076276F"/>
    <w:rsid w:val="007627A3"/>
    <w:rsid w:val="0076283D"/>
    <w:rsid w:val="00762852"/>
    <w:rsid w:val="007628A4"/>
    <w:rsid w:val="007628DE"/>
    <w:rsid w:val="0076290C"/>
    <w:rsid w:val="0076292D"/>
    <w:rsid w:val="007629EF"/>
    <w:rsid w:val="00762A4A"/>
    <w:rsid w:val="00762A6F"/>
    <w:rsid w:val="00762A9B"/>
    <w:rsid w:val="00762B0C"/>
    <w:rsid w:val="00762B87"/>
    <w:rsid w:val="00762BA6"/>
    <w:rsid w:val="00762BB7"/>
    <w:rsid w:val="00762BEF"/>
    <w:rsid w:val="00762C65"/>
    <w:rsid w:val="00762D2B"/>
    <w:rsid w:val="00762D7B"/>
    <w:rsid w:val="00762DFB"/>
    <w:rsid w:val="00762E18"/>
    <w:rsid w:val="00762E8F"/>
    <w:rsid w:val="00762EA1"/>
    <w:rsid w:val="00762ED8"/>
    <w:rsid w:val="00762F69"/>
    <w:rsid w:val="00762F8A"/>
    <w:rsid w:val="00762FCB"/>
    <w:rsid w:val="00762FE0"/>
    <w:rsid w:val="00763018"/>
    <w:rsid w:val="0076301F"/>
    <w:rsid w:val="007631D5"/>
    <w:rsid w:val="007631D7"/>
    <w:rsid w:val="00763210"/>
    <w:rsid w:val="00763242"/>
    <w:rsid w:val="0076325D"/>
    <w:rsid w:val="0076326C"/>
    <w:rsid w:val="0076327E"/>
    <w:rsid w:val="0076338D"/>
    <w:rsid w:val="00763460"/>
    <w:rsid w:val="00763470"/>
    <w:rsid w:val="007634D6"/>
    <w:rsid w:val="007634EF"/>
    <w:rsid w:val="00763534"/>
    <w:rsid w:val="00763555"/>
    <w:rsid w:val="00763591"/>
    <w:rsid w:val="00763592"/>
    <w:rsid w:val="007635BE"/>
    <w:rsid w:val="007635CA"/>
    <w:rsid w:val="00763624"/>
    <w:rsid w:val="0076375E"/>
    <w:rsid w:val="0076376C"/>
    <w:rsid w:val="00763A2E"/>
    <w:rsid w:val="00763A4E"/>
    <w:rsid w:val="00763B1F"/>
    <w:rsid w:val="00763BCD"/>
    <w:rsid w:val="00763C27"/>
    <w:rsid w:val="00763C2B"/>
    <w:rsid w:val="00763C6D"/>
    <w:rsid w:val="00763DEC"/>
    <w:rsid w:val="00763E5C"/>
    <w:rsid w:val="00763F1A"/>
    <w:rsid w:val="00763F30"/>
    <w:rsid w:val="00763F4A"/>
    <w:rsid w:val="00763FAF"/>
    <w:rsid w:val="00763FEA"/>
    <w:rsid w:val="0076400E"/>
    <w:rsid w:val="007640A3"/>
    <w:rsid w:val="007640F9"/>
    <w:rsid w:val="00764106"/>
    <w:rsid w:val="00764141"/>
    <w:rsid w:val="007641AF"/>
    <w:rsid w:val="00764249"/>
    <w:rsid w:val="007642C6"/>
    <w:rsid w:val="007642DA"/>
    <w:rsid w:val="00764453"/>
    <w:rsid w:val="007644F0"/>
    <w:rsid w:val="0076457F"/>
    <w:rsid w:val="00764593"/>
    <w:rsid w:val="007645C0"/>
    <w:rsid w:val="00764649"/>
    <w:rsid w:val="0076468B"/>
    <w:rsid w:val="0076471E"/>
    <w:rsid w:val="00764796"/>
    <w:rsid w:val="00764826"/>
    <w:rsid w:val="00764865"/>
    <w:rsid w:val="007648D7"/>
    <w:rsid w:val="007648FE"/>
    <w:rsid w:val="00764961"/>
    <w:rsid w:val="00764AE4"/>
    <w:rsid w:val="00764B36"/>
    <w:rsid w:val="00764B40"/>
    <w:rsid w:val="00764CCB"/>
    <w:rsid w:val="00764D05"/>
    <w:rsid w:val="00764D5E"/>
    <w:rsid w:val="00764D72"/>
    <w:rsid w:val="00764D96"/>
    <w:rsid w:val="00764E48"/>
    <w:rsid w:val="00764E7E"/>
    <w:rsid w:val="00764F2D"/>
    <w:rsid w:val="00764FE1"/>
    <w:rsid w:val="0076502B"/>
    <w:rsid w:val="00765098"/>
    <w:rsid w:val="007650D6"/>
    <w:rsid w:val="00765126"/>
    <w:rsid w:val="00765127"/>
    <w:rsid w:val="00765177"/>
    <w:rsid w:val="007651C7"/>
    <w:rsid w:val="007651DC"/>
    <w:rsid w:val="00765257"/>
    <w:rsid w:val="00765279"/>
    <w:rsid w:val="007652BF"/>
    <w:rsid w:val="00765303"/>
    <w:rsid w:val="0076531C"/>
    <w:rsid w:val="007653B8"/>
    <w:rsid w:val="007653CA"/>
    <w:rsid w:val="00765441"/>
    <w:rsid w:val="007654F1"/>
    <w:rsid w:val="00765575"/>
    <w:rsid w:val="00765579"/>
    <w:rsid w:val="007655D1"/>
    <w:rsid w:val="007655FD"/>
    <w:rsid w:val="0076573C"/>
    <w:rsid w:val="00765778"/>
    <w:rsid w:val="007657B2"/>
    <w:rsid w:val="007657DB"/>
    <w:rsid w:val="007658B7"/>
    <w:rsid w:val="00765976"/>
    <w:rsid w:val="0076599A"/>
    <w:rsid w:val="007659A1"/>
    <w:rsid w:val="00765A27"/>
    <w:rsid w:val="00765A35"/>
    <w:rsid w:val="00765A75"/>
    <w:rsid w:val="00765AE6"/>
    <w:rsid w:val="00765AE8"/>
    <w:rsid w:val="00765B44"/>
    <w:rsid w:val="00765BEE"/>
    <w:rsid w:val="00765C10"/>
    <w:rsid w:val="00765C43"/>
    <w:rsid w:val="00765C69"/>
    <w:rsid w:val="00765CB1"/>
    <w:rsid w:val="00765D63"/>
    <w:rsid w:val="00765D8E"/>
    <w:rsid w:val="00765DB6"/>
    <w:rsid w:val="00765DEF"/>
    <w:rsid w:val="00765E89"/>
    <w:rsid w:val="00765EE4"/>
    <w:rsid w:val="00765EF5"/>
    <w:rsid w:val="00765F99"/>
    <w:rsid w:val="00765FB5"/>
    <w:rsid w:val="00766049"/>
    <w:rsid w:val="00766050"/>
    <w:rsid w:val="00766062"/>
    <w:rsid w:val="00766071"/>
    <w:rsid w:val="00766125"/>
    <w:rsid w:val="00766150"/>
    <w:rsid w:val="00766157"/>
    <w:rsid w:val="00766263"/>
    <w:rsid w:val="00766348"/>
    <w:rsid w:val="00766366"/>
    <w:rsid w:val="0076638C"/>
    <w:rsid w:val="0076639B"/>
    <w:rsid w:val="0076646C"/>
    <w:rsid w:val="00766473"/>
    <w:rsid w:val="0076648C"/>
    <w:rsid w:val="00766494"/>
    <w:rsid w:val="007664A4"/>
    <w:rsid w:val="0076650B"/>
    <w:rsid w:val="00766550"/>
    <w:rsid w:val="00766560"/>
    <w:rsid w:val="0076661B"/>
    <w:rsid w:val="00766666"/>
    <w:rsid w:val="007666E6"/>
    <w:rsid w:val="00766735"/>
    <w:rsid w:val="0076673C"/>
    <w:rsid w:val="007667A5"/>
    <w:rsid w:val="007667F2"/>
    <w:rsid w:val="007667FA"/>
    <w:rsid w:val="00766839"/>
    <w:rsid w:val="0076689F"/>
    <w:rsid w:val="00766930"/>
    <w:rsid w:val="00766942"/>
    <w:rsid w:val="0076696C"/>
    <w:rsid w:val="00766993"/>
    <w:rsid w:val="007669A5"/>
    <w:rsid w:val="007669C8"/>
    <w:rsid w:val="007669CF"/>
    <w:rsid w:val="007669DE"/>
    <w:rsid w:val="00766A61"/>
    <w:rsid w:val="00766AE3"/>
    <w:rsid w:val="00766B2D"/>
    <w:rsid w:val="00766B4D"/>
    <w:rsid w:val="00766B6F"/>
    <w:rsid w:val="00766BE7"/>
    <w:rsid w:val="00766C13"/>
    <w:rsid w:val="00766CC5"/>
    <w:rsid w:val="00766D5E"/>
    <w:rsid w:val="00766D6D"/>
    <w:rsid w:val="00766DB5"/>
    <w:rsid w:val="00766E41"/>
    <w:rsid w:val="00766E44"/>
    <w:rsid w:val="00766E46"/>
    <w:rsid w:val="00766EA0"/>
    <w:rsid w:val="00766EC3"/>
    <w:rsid w:val="00766F83"/>
    <w:rsid w:val="00767047"/>
    <w:rsid w:val="0076707C"/>
    <w:rsid w:val="007670D6"/>
    <w:rsid w:val="0076714D"/>
    <w:rsid w:val="00767288"/>
    <w:rsid w:val="00767389"/>
    <w:rsid w:val="00767441"/>
    <w:rsid w:val="007674BE"/>
    <w:rsid w:val="0076755A"/>
    <w:rsid w:val="00767591"/>
    <w:rsid w:val="007675D4"/>
    <w:rsid w:val="007675DC"/>
    <w:rsid w:val="007675EE"/>
    <w:rsid w:val="00767607"/>
    <w:rsid w:val="0076761B"/>
    <w:rsid w:val="00767650"/>
    <w:rsid w:val="007676AA"/>
    <w:rsid w:val="007676E3"/>
    <w:rsid w:val="00767740"/>
    <w:rsid w:val="0076774A"/>
    <w:rsid w:val="00767826"/>
    <w:rsid w:val="00767892"/>
    <w:rsid w:val="007678C9"/>
    <w:rsid w:val="007678EB"/>
    <w:rsid w:val="00767984"/>
    <w:rsid w:val="007679AB"/>
    <w:rsid w:val="007679D3"/>
    <w:rsid w:val="00767B0B"/>
    <w:rsid w:val="00767B30"/>
    <w:rsid w:val="00767B36"/>
    <w:rsid w:val="00767B44"/>
    <w:rsid w:val="00767B6F"/>
    <w:rsid w:val="00767BC6"/>
    <w:rsid w:val="00767BF2"/>
    <w:rsid w:val="00767BF8"/>
    <w:rsid w:val="00767C1C"/>
    <w:rsid w:val="00767C3F"/>
    <w:rsid w:val="00767C93"/>
    <w:rsid w:val="00767D47"/>
    <w:rsid w:val="00767E68"/>
    <w:rsid w:val="00767E96"/>
    <w:rsid w:val="00767EAE"/>
    <w:rsid w:val="00767F55"/>
    <w:rsid w:val="00767F8C"/>
    <w:rsid w:val="00767F9A"/>
    <w:rsid w:val="00767FA8"/>
    <w:rsid w:val="00767FB6"/>
    <w:rsid w:val="0077001B"/>
    <w:rsid w:val="00770093"/>
    <w:rsid w:val="00770124"/>
    <w:rsid w:val="00770191"/>
    <w:rsid w:val="00770274"/>
    <w:rsid w:val="007702CA"/>
    <w:rsid w:val="0077031A"/>
    <w:rsid w:val="0077032E"/>
    <w:rsid w:val="00770333"/>
    <w:rsid w:val="00770389"/>
    <w:rsid w:val="0077038B"/>
    <w:rsid w:val="00770396"/>
    <w:rsid w:val="007703C8"/>
    <w:rsid w:val="00770448"/>
    <w:rsid w:val="0077050C"/>
    <w:rsid w:val="0077053F"/>
    <w:rsid w:val="007705B9"/>
    <w:rsid w:val="007705E5"/>
    <w:rsid w:val="007706E3"/>
    <w:rsid w:val="007707A8"/>
    <w:rsid w:val="00770892"/>
    <w:rsid w:val="007709A6"/>
    <w:rsid w:val="00770AD3"/>
    <w:rsid w:val="00770B5C"/>
    <w:rsid w:val="00770B93"/>
    <w:rsid w:val="00770D2C"/>
    <w:rsid w:val="00770DB0"/>
    <w:rsid w:val="00770DB1"/>
    <w:rsid w:val="00770E35"/>
    <w:rsid w:val="00770EBC"/>
    <w:rsid w:val="00770F39"/>
    <w:rsid w:val="00770F77"/>
    <w:rsid w:val="00770F8C"/>
    <w:rsid w:val="00770FFD"/>
    <w:rsid w:val="00771074"/>
    <w:rsid w:val="0077109F"/>
    <w:rsid w:val="007710BC"/>
    <w:rsid w:val="00771133"/>
    <w:rsid w:val="0077123A"/>
    <w:rsid w:val="007712AE"/>
    <w:rsid w:val="00771324"/>
    <w:rsid w:val="0077135F"/>
    <w:rsid w:val="00771377"/>
    <w:rsid w:val="0077143B"/>
    <w:rsid w:val="0077148F"/>
    <w:rsid w:val="0077151B"/>
    <w:rsid w:val="0077152E"/>
    <w:rsid w:val="00771547"/>
    <w:rsid w:val="00771561"/>
    <w:rsid w:val="0077159B"/>
    <w:rsid w:val="007715A7"/>
    <w:rsid w:val="007716D9"/>
    <w:rsid w:val="0077177E"/>
    <w:rsid w:val="00771839"/>
    <w:rsid w:val="0077183D"/>
    <w:rsid w:val="007718BF"/>
    <w:rsid w:val="00771971"/>
    <w:rsid w:val="00771980"/>
    <w:rsid w:val="00771984"/>
    <w:rsid w:val="00771AD7"/>
    <w:rsid w:val="00771AFD"/>
    <w:rsid w:val="00771B00"/>
    <w:rsid w:val="00771B26"/>
    <w:rsid w:val="00771B64"/>
    <w:rsid w:val="00771B8D"/>
    <w:rsid w:val="00771BA1"/>
    <w:rsid w:val="00771C58"/>
    <w:rsid w:val="00771CF1"/>
    <w:rsid w:val="00771D52"/>
    <w:rsid w:val="00771D7B"/>
    <w:rsid w:val="00771D87"/>
    <w:rsid w:val="00771D98"/>
    <w:rsid w:val="00771E45"/>
    <w:rsid w:val="00771F38"/>
    <w:rsid w:val="00771F62"/>
    <w:rsid w:val="0077200D"/>
    <w:rsid w:val="00772062"/>
    <w:rsid w:val="0077211F"/>
    <w:rsid w:val="00772124"/>
    <w:rsid w:val="00772291"/>
    <w:rsid w:val="00772298"/>
    <w:rsid w:val="0077243D"/>
    <w:rsid w:val="00772463"/>
    <w:rsid w:val="007724E7"/>
    <w:rsid w:val="00772532"/>
    <w:rsid w:val="00772567"/>
    <w:rsid w:val="00772635"/>
    <w:rsid w:val="00772735"/>
    <w:rsid w:val="007727D8"/>
    <w:rsid w:val="00772845"/>
    <w:rsid w:val="00772892"/>
    <w:rsid w:val="0077296E"/>
    <w:rsid w:val="00772A03"/>
    <w:rsid w:val="00772A47"/>
    <w:rsid w:val="00772A7B"/>
    <w:rsid w:val="00772AC3"/>
    <w:rsid w:val="00772B55"/>
    <w:rsid w:val="00772B62"/>
    <w:rsid w:val="00772B7A"/>
    <w:rsid w:val="00772BA3"/>
    <w:rsid w:val="00772C2A"/>
    <w:rsid w:val="00772C38"/>
    <w:rsid w:val="00772C5D"/>
    <w:rsid w:val="00772CA6"/>
    <w:rsid w:val="00772CE8"/>
    <w:rsid w:val="00772D10"/>
    <w:rsid w:val="00772D24"/>
    <w:rsid w:val="00772E1B"/>
    <w:rsid w:val="00772E8C"/>
    <w:rsid w:val="00772EAF"/>
    <w:rsid w:val="00772F16"/>
    <w:rsid w:val="00772F5F"/>
    <w:rsid w:val="00772F9D"/>
    <w:rsid w:val="00772FEE"/>
    <w:rsid w:val="00773121"/>
    <w:rsid w:val="00773153"/>
    <w:rsid w:val="007731BD"/>
    <w:rsid w:val="007731D3"/>
    <w:rsid w:val="007731F3"/>
    <w:rsid w:val="007731FE"/>
    <w:rsid w:val="00773230"/>
    <w:rsid w:val="007732BF"/>
    <w:rsid w:val="007732C4"/>
    <w:rsid w:val="007733D9"/>
    <w:rsid w:val="00773442"/>
    <w:rsid w:val="00773475"/>
    <w:rsid w:val="007734B2"/>
    <w:rsid w:val="007734E3"/>
    <w:rsid w:val="0077356D"/>
    <w:rsid w:val="007735E0"/>
    <w:rsid w:val="0077360D"/>
    <w:rsid w:val="0077369C"/>
    <w:rsid w:val="007736C1"/>
    <w:rsid w:val="00773704"/>
    <w:rsid w:val="00773741"/>
    <w:rsid w:val="0077376D"/>
    <w:rsid w:val="0077379D"/>
    <w:rsid w:val="007738FE"/>
    <w:rsid w:val="00773902"/>
    <w:rsid w:val="007739B3"/>
    <w:rsid w:val="007739ED"/>
    <w:rsid w:val="00773A5C"/>
    <w:rsid w:val="00773A8B"/>
    <w:rsid w:val="00773A9D"/>
    <w:rsid w:val="00773B6F"/>
    <w:rsid w:val="00773C89"/>
    <w:rsid w:val="00773CA9"/>
    <w:rsid w:val="00773D3B"/>
    <w:rsid w:val="00773DD0"/>
    <w:rsid w:val="00773DE1"/>
    <w:rsid w:val="00773E1A"/>
    <w:rsid w:val="00773E28"/>
    <w:rsid w:val="00773E7C"/>
    <w:rsid w:val="00773E96"/>
    <w:rsid w:val="00773E9F"/>
    <w:rsid w:val="00773F3D"/>
    <w:rsid w:val="00774021"/>
    <w:rsid w:val="00774035"/>
    <w:rsid w:val="0077403E"/>
    <w:rsid w:val="00774067"/>
    <w:rsid w:val="007741F3"/>
    <w:rsid w:val="0077421B"/>
    <w:rsid w:val="007742B0"/>
    <w:rsid w:val="007742E9"/>
    <w:rsid w:val="0077435C"/>
    <w:rsid w:val="0077439B"/>
    <w:rsid w:val="007743CB"/>
    <w:rsid w:val="0077446E"/>
    <w:rsid w:val="00774555"/>
    <w:rsid w:val="007745B3"/>
    <w:rsid w:val="007745EF"/>
    <w:rsid w:val="0077462F"/>
    <w:rsid w:val="0077463A"/>
    <w:rsid w:val="007746B7"/>
    <w:rsid w:val="0077476F"/>
    <w:rsid w:val="007747D1"/>
    <w:rsid w:val="00774840"/>
    <w:rsid w:val="0077489A"/>
    <w:rsid w:val="007748D8"/>
    <w:rsid w:val="007749E4"/>
    <w:rsid w:val="00774A1B"/>
    <w:rsid w:val="00774A22"/>
    <w:rsid w:val="00774A85"/>
    <w:rsid w:val="00774B18"/>
    <w:rsid w:val="00774BA8"/>
    <w:rsid w:val="00774BE1"/>
    <w:rsid w:val="00774CA1"/>
    <w:rsid w:val="00774D10"/>
    <w:rsid w:val="00774DB2"/>
    <w:rsid w:val="00774E45"/>
    <w:rsid w:val="00774E9E"/>
    <w:rsid w:val="00774F07"/>
    <w:rsid w:val="00774F4B"/>
    <w:rsid w:val="00774F72"/>
    <w:rsid w:val="00774FBD"/>
    <w:rsid w:val="00775035"/>
    <w:rsid w:val="00775041"/>
    <w:rsid w:val="00775045"/>
    <w:rsid w:val="00775165"/>
    <w:rsid w:val="0077519A"/>
    <w:rsid w:val="007751D7"/>
    <w:rsid w:val="0077520D"/>
    <w:rsid w:val="0077521F"/>
    <w:rsid w:val="00775220"/>
    <w:rsid w:val="0077530F"/>
    <w:rsid w:val="00775412"/>
    <w:rsid w:val="00775414"/>
    <w:rsid w:val="0077544A"/>
    <w:rsid w:val="00775451"/>
    <w:rsid w:val="00775475"/>
    <w:rsid w:val="007754B2"/>
    <w:rsid w:val="007754DA"/>
    <w:rsid w:val="00775538"/>
    <w:rsid w:val="00775564"/>
    <w:rsid w:val="007755B7"/>
    <w:rsid w:val="00775663"/>
    <w:rsid w:val="007756F2"/>
    <w:rsid w:val="007756FD"/>
    <w:rsid w:val="007756FE"/>
    <w:rsid w:val="0077576C"/>
    <w:rsid w:val="00775779"/>
    <w:rsid w:val="007757BD"/>
    <w:rsid w:val="0077581D"/>
    <w:rsid w:val="00775869"/>
    <w:rsid w:val="0077586D"/>
    <w:rsid w:val="007758F9"/>
    <w:rsid w:val="0077594E"/>
    <w:rsid w:val="00775971"/>
    <w:rsid w:val="00775A3C"/>
    <w:rsid w:val="00775AD4"/>
    <w:rsid w:val="00775AE1"/>
    <w:rsid w:val="00775B30"/>
    <w:rsid w:val="00775BAF"/>
    <w:rsid w:val="00775C20"/>
    <w:rsid w:val="00775D10"/>
    <w:rsid w:val="00775D6C"/>
    <w:rsid w:val="00775DE2"/>
    <w:rsid w:val="00775E06"/>
    <w:rsid w:val="00775E42"/>
    <w:rsid w:val="00775F1C"/>
    <w:rsid w:val="00775F4B"/>
    <w:rsid w:val="007760E0"/>
    <w:rsid w:val="0077613B"/>
    <w:rsid w:val="00776142"/>
    <w:rsid w:val="00776153"/>
    <w:rsid w:val="007761C6"/>
    <w:rsid w:val="00776237"/>
    <w:rsid w:val="0077627D"/>
    <w:rsid w:val="0077629D"/>
    <w:rsid w:val="007762CF"/>
    <w:rsid w:val="00776308"/>
    <w:rsid w:val="00776364"/>
    <w:rsid w:val="0077647A"/>
    <w:rsid w:val="00776500"/>
    <w:rsid w:val="00776540"/>
    <w:rsid w:val="00776598"/>
    <w:rsid w:val="007767AC"/>
    <w:rsid w:val="007767AF"/>
    <w:rsid w:val="00776969"/>
    <w:rsid w:val="007769F2"/>
    <w:rsid w:val="00776A27"/>
    <w:rsid w:val="00776A53"/>
    <w:rsid w:val="00776A9A"/>
    <w:rsid w:val="00776AA3"/>
    <w:rsid w:val="00776AC6"/>
    <w:rsid w:val="00776ADF"/>
    <w:rsid w:val="00776AEF"/>
    <w:rsid w:val="00776AF6"/>
    <w:rsid w:val="00776CC5"/>
    <w:rsid w:val="00776CCC"/>
    <w:rsid w:val="00776D08"/>
    <w:rsid w:val="00776D9F"/>
    <w:rsid w:val="00776DBA"/>
    <w:rsid w:val="00776E4D"/>
    <w:rsid w:val="0077702D"/>
    <w:rsid w:val="00777032"/>
    <w:rsid w:val="00777045"/>
    <w:rsid w:val="0077705F"/>
    <w:rsid w:val="007770B5"/>
    <w:rsid w:val="007770D1"/>
    <w:rsid w:val="00777184"/>
    <w:rsid w:val="0077718D"/>
    <w:rsid w:val="007771C7"/>
    <w:rsid w:val="007771ED"/>
    <w:rsid w:val="00777272"/>
    <w:rsid w:val="00777359"/>
    <w:rsid w:val="00777389"/>
    <w:rsid w:val="007773AF"/>
    <w:rsid w:val="007773BF"/>
    <w:rsid w:val="007773D4"/>
    <w:rsid w:val="00777465"/>
    <w:rsid w:val="007774C6"/>
    <w:rsid w:val="00777532"/>
    <w:rsid w:val="00777595"/>
    <w:rsid w:val="007775AD"/>
    <w:rsid w:val="0077764A"/>
    <w:rsid w:val="0077765E"/>
    <w:rsid w:val="00777670"/>
    <w:rsid w:val="007776D2"/>
    <w:rsid w:val="0077772E"/>
    <w:rsid w:val="0077779C"/>
    <w:rsid w:val="007777C3"/>
    <w:rsid w:val="007777E2"/>
    <w:rsid w:val="00777903"/>
    <w:rsid w:val="00777967"/>
    <w:rsid w:val="00777AC9"/>
    <w:rsid w:val="00777ACE"/>
    <w:rsid w:val="00777ACF"/>
    <w:rsid w:val="00777B6E"/>
    <w:rsid w:val="00777BD1"/>
    <w:rsid w:val="00777C46"/>
    <w:rsid w:val="00777C9F"/>
    <w:rsid w:val="00777D4F"/>
    <w:rsid w:val="00777D5B"/>
    <w:rsid w:val="00777DC1"/>
    <w:rsid w:val="00777E1F"/>
    <w:rsid w:val="00777F1B"/>
    <w:rsid w:val="00777FD6"/>
    <w:rsid w:val="0078007B"/>
    <w:rsid w:val="00780087"/>
    <w:rsid w:val="00780146"/>
    <w:rsid w:val="0078022E"/>
    <w:rsid w:val="00780411"/>
    <w:rsid w:val="0078043D"/>
    <w:rsid w:val="00780447"/>
    <w:rsid w:val="0078057B"/>
    <w:rsid w:val="007805EF"/>
    <w:rsid w:val="00780709"/>
    <w:rsid w:val="0078072B"/>
    <w:rsid w:val="007807F2"/>
    <w:rsid w:val="00780803"/>
    <w:rsid w:val="007808BF"/>
    <w:rsid w:val="007808D4"/>
    <w:rsid w:val="0078096A"/>
    <w:rsid w:val="00780974"/>
    <w:rsid w:val="007809C7"/>
    <w:rsid w:val="00780A4F"/>
    <w:rsid w:val="00780A72"/>
    <w:rsid w:val="00780AC1"/>
    <w:rsid w:val="00780B29"/>
    <w:rsid w:val="00780BBB"/>
    <w:rsid w:val="00780C35"/>
    <w:rsid w:val="00780D98"/>
    <w:rsid w:val="00780DF4"/>
    <w:rsid w:val="00780E33"/>
    <w:rsid w:val="00780EA8"/>
    <w:rsid w:val="00781017"/>
    <w:rsid w:val="00781083"/>
    <w:rsid w:val="007810E5"/>
    <w:rsid w:val="0078110E"/>
    <w:rsid w:val="0078111B"/>
    <w:rsid w:val="007813A4"/>
    <w:rsid w:val="007814FF"/>
    <w:rsid w:val="00781533"/>
    <w:rsid w:val="007815D9"/>
    <w:rsid w:val="00781644"/>
    <w:rsid w:val="0078164B"/>
    <w:rsid w:val="007816A0"/>
    <w:rsid w:val="007816DE"/>
    <w:rsid w:val="007817AD"/>
    <w:rsid w:val="00781806"/>
    <w:rsid w:val="0078181B"/>
    <w:rsid w:val="0078184B"/>
    <w:rsid w:val="007818CC"/>
    <w:rsid w:val="007818FB"/>
    <w:rsid w:val="0078191E"/>
    <w:rsid w:val="00781987"/>
    <w:rsid w:val="00781BB6"/>
    <w:rsid w:val="00781BBD"/>
    <w:rsid w:val="00781CBB"/>
    <w:rsid w:val="00781CD1"/>
    <w:rsid w:val="00781D30"/>
    <w:rsid w:val="00781DB6"/>
    <w:rsid w:val="00781E03"/>
    <w:rsid w:val="00781E11"/>
    <w:rsid w:val="00781E73"/>
    <w:rsid w:val="00781ED6"/>
    <w:rsid w:val="00781EDC"/>
    <w:rsid w:val="00781F7C"/>
    <w:rsid w:val="00781FF3"/>
    <w:rsid w:val="007820E2"/>
    <w:rsid w:val="0078210F"/>
    <w:rsid w:val="0078224C"/>
    <w:rsid w:val="00782260"/>
    <w:rsid w:val="00782278"/>
    <w:rsid w:val="00782285"/>
    <w:rsid w:val="007823B6"/>
    <w:rsid w:val="007823BA"/>
    <w:rsid w:val="00782475"/>
    <w:rsid w:val="00782477"/>
    <w:rsid w:val="007824A9"/>
    <w:rsid w:val="0078263F"/>
    <w:rsid w:val="007826C4"/>
    <w:rsid w:val="007826E2"/>
    <w:rsid w:val="0078272B"/>
    <w:rsid w:val="00782747"/>
    <w:rsid w:val="007827FB"/>
    <w:rsid w:val="0078280C"/>
    <w:rsid w:val="00782832"/>
    <w:rsid w:val="00782848"/>
    <w:rsid w:val="00782993"/>
    <w:rsid w:val="007829B6"/>
    <w:rsid w:val="007829FB"/>
    <w:rsid w:val="00782A0D"/>
    <w:rsid w:val="00782A78"/>
    <w:rsid w:val="00782AB2"/>
    <w:rsid w:val="00782B6B"/>
    <w:rsid w:val="00782C26"/>
    <w:rsid w:val="00782C2F"/>
    <w:rsid w:val="00782C34"/>
    <w:rsid w:val="00782D3A"/>
    <w:rsid w:val="00782DDF"/>
    <w:rsid w:val="00782E23"/>
    <w:rsid w:val="00782E55"/>
    <w:rsid w:val="00782FD7"/>
    <w:rsid w:val="00783083"/>
    <w:rsid w:val="007831BD"/>
    <w:rsid w:val="0078321C"/>
    <w:rsid w:val="00783235"/>
    <w:rsid w:val="00783294"/>
    <w:rsid w:val="00783399"/>
    <w:rsid w:val="007833A2"/>
    <w:rsid w:val="00783423"/>
    <w:rsid w:val="0078343C"/>
    <w:rsid w:val="007834B9"/>
    <w:rsid w:val="007834BE"/>
    <w:rsid w:val="0078350E"/>
    <w:rsid w:val="0078353C"/>
    <w:rsid w:val="00783549"/>
    <w:rsid w:val="007835AA"/>
    <w:rsid w:val="007835D5"/>
    <w:rsid w:val="00783660"/>
    <w:rsid w:val="0078366E"/>
    <w:rsid w:val="0078378F"/>
    <w:rsid w:val="0078382B"/>
    <w:rsid w:val="00783838"/>
    <w:rsid w:val="0078384F"/>
    <w:rsid w:val="00783867"/>
    <w:rsid w:val="007838BE"/>
    <w:rsid w:val="00783999"/>
    <w:rsid w:val="007839F3"/>
    <w:rsid w:val="00783A4F"/>
    <w:rsid w:val="00783A97"/>
    <w:rsid w:val="00783AA5"/>
    <w:rsid w:val="00783B09"/>
    <w:rsid w:val="00783B92"/>
    <w:rsid w:val="00783BF2"/>
    <w:rsid w:val="00783C10"/>
    <w:rsid w:val="00783C20"/>
    <w:rsid w:val="00783C44"/>
    <w:rsid w:val="00783D1D"/>
    <w:rsid w:val="00783D31"/>
    <w:rsid w:val="00783DD4"/>
    <w:rsid w:val="00783DD7"/>
    <w:rsid w:val="00783DF2"/>
    <w:rsid w:val="00783E7C"/>
    <w:rsid w:val="00783E8A"/>
    <w:rsid w:val="00783ECD"/>
    <w:rsid w:val="00783F7E"/>
    <w:rsid w:val="00783FFE"/>
    <w:rsid w:val="0078408B"/>
    <w:rsid w:val="007840E3"/>
    <w:rsid w:val="007840F3"/>
    <w:rsid w:val="00784146"/>
    <w:rsid w:val="007841F4"/>
    <w:rsid w:val="00784243"/>
    <w:rsid w:val="00784281"/>
    <w:rsid w:val="00784285"/>
    <w:rsid w:val="0078430F"/>
    <w:rsid w:val="00784310"/>
    <w:rsid w:val="00784366"/>
    <w:rsid w:val="007843B5"/>
    <w:rsid w:val="00784467"/>
    <w:rsid w:val="00784476"/>
    <w:rsid w:val="007844AB"/>
    <w:rsid w:val="007844B7"/>
    <w:rsid w:val="0078462C"/>
    <w:rsid w:val="0078472E"/>
    <w:rsid w:val="00784760"/>
    <w:rsid w:val="00784761"/>
    <w:rsid w:val="0078487F"/>
    <w:rsid w:val="00784953"/>
    <w:rsid w:val="00784977"/>
    <w:rsid w:val="007849E8"/>
    <w:rsid w:val="007849F9"/>
    <w:rsid w:val="00784A29"/>
    <w:rsid w:val="00784AC4"/>
    <w:rsid w:val="00784B10"/>
    <w:rsid w:val="00784B33"/>
    <w:rsid w:val="00784B38"/>
    <w:rsid w:val="00784C05"/>
    <w:rsid w:val="00784CE8"/>
    <w:rsid w:val="00784CF0"/>
    <w:rsid w:val="00784D43"/>
    <w:rsid w:val="00784D4C"/>
    <w:rsid w:val="00784D8D"/>
    <w:rsid w:val="00784D9D"/>
    <w:rsid w:val="00784DE0"/>
    <w:rsid w:val="00784E0F"/>
    <w:rsid w:val="00784E3F"/>
    <w:rsid w:val="00784EF2"/>
    <w:rsid w:val="00784F46"/>
    <w:rsid w:val="00784FCF"/>
    <w:rsid w:val="00785028"/>
    <w:rsid w:val="007850B5"/>
    <w:rsid w:val="007852D9"/>
    <w:rsid w:val="0078533C"/>
    <w:rsid w:val="00785355"/>
    <w:rsid w:val="00785394"/>
    <w:rsid w:val="007854EC"/>
    <w:rsid w:val="0078553D"/>
    <w:rsid w:val="007856A2"/>
    <w:rsid w:val="007856D4"/>
    <w:rsid w:val="007857C7"/>
    <w:rsid w:val="00785854"/>
    <w:rsid w:val="0078598E"/>
    <w:rsid w:val="0078599E"/>
    <w:rsid w:val="00785A11"/>
    <w:rsid w:val="00785A77"/>
    <w:rsid w:val="00785A9C"/>
    <w:rsid w:val="00785AC0"/>
    <w:rsid w:val="00785AEC"/>
    <w:rsid w:val="00785B1A"/>
    <w:rsid w:val="00785B29"/>
    <w:rsid w:val="00785B71"/>
    <w:rsid w:val="00785BE0"/>
    <w:rsid w:val="00785C0C"/>
    <w:rsid w:val="00785C10"/>
    <w:rsid w:val="00785C93"/>
    <w:rsid w:val="00785CC8"/>
    <w:rsid w:val="00785CD5"/>
    <w:rsid w:val="00785D65"/>
    <w:rsid w:val="00785D9D"/>
    <w:rsid w:val="00785DA7"/>
    <w:rsid w:val="00785E08"/>
    <w:rsid w:val="00785E18"/>
    <w:rsid w:val="00785EA2"/>
    <w:rsid w:val="00785ECD"/>
    <w:rsid w:val="00785ED9"/>
    <w:rsid w:val="00785F07"/>
    <w:rsid w:val="00785F5D"/>
    <w:rsid w:val="0078600C"/>
    <w:rsid w:val="00786023"/>
    <w:rsid w:val="0078609B"/>
    <w:rsid w:val="007861F9"/>
    <w:rsid w:val="00786301"/>
    <w:rsid w:val="00786315"/>
    <w:rsid w:val="00786328"/>
    <w:rsid w:val="00786333"/>
    <w:rsid w:val="00786363"/>
    <w:rsid w:val="007863D6"/>
    <w:rsid w:val="00786457"/>
    <w:rsid w:val="0078646E"/>
    <w:rsid w:val="00786523"/>
    <w:rsid w:val="00786530"/>
    <w:rsid w:val="00786571"/>
    <w:rsid w:val="00786595"/>
    <w:rsid w:val="0078659B"/>
    <w:rsid w:val="007865AB"/>
    <w:rsid w:val="00786737"/>
    <w:rsid w:val="00786764"/>
    <w:rsid w:val="00786768"/>
    <w:rsid w:val="0078679F"/>
    <w:rsid w:val="007867EE"/>
    <w:rsid w:val="00786809"/>
    <w:rsid w:val="0078685B"/>
    <w:rsid w:val="007868BB"/>
    <w:rsid w:val="007868DE"/>
    <w:rsid w:val="00786907"/>
    <w:rsid w:val="00786937"/>
    <w:rsid w:val="007869AB"/>
    <w:rsid w:val="00786A50"/>
    <w:rsid w:val="00786AE9"/>
    <w:rsid w:val="00786B35"/>
    <w:rsid w:val="00786C2B"/>
    <w:rsid w:val="00786C46"/>
    <w:rsid w:val="00786C9F"/>
    <w:rsid w:val="00786DBC"/>
    <w:rsid w:val="00786EB8"/>
    <w:rsid w:val="00786EC5"/>
    <w:rsid w:val="00786EEB"/>
    <w:rsid w:val="00786F18"/>
    <w:rsid w:val="00787043"/>
    <w:rsid w:val="00787127"/>
    <w:rsid w:val="0078714F"/>
    <w:rsid w:val="00787162"/>
    <w:rsid w:val="00787177"/>
    <w:rsid w:val="007871D4"/>
    <w:rsid w:val="00787201"/>
    <w:rsid w:val="00787299"/>
    <w:rsid w:val="00787359"/>
    <w:rsid w:val="0078737A"/>
    <w:rsid w:val="007873C2"/>
    <w:rsid w:val="007873E3"/>
    <w:rsid w:val="00787408"/>
    <w:rsid w:val="00787488"/>
    <w:rsid w:val="007874AA"/>
    <w:rsid w:val="00787537"/>
    <w:rsid w:val="00787560"/>
    <w:rsid w:val="007875BB"/>
    <w:rsid w:val="00787617"/>
    <w:rsid w:val="00787635"/>
    <w:rsid w:val="00787639"/>
    <w:rsid w:val="00787663"/>
    <w:rsid w:val="00787669"/>
    <w:rsid w:val="0078771B"/>
    <w:rsid w:val="0078772A"/>
    <w:rsid w:val="00787798"/>
    <w:rsid w:val="0078789A"/>
    <w:rsid w:val="007878BB"/>
    <w:rsid w:val="00787925"/>
    <w:rsid w:val="00787947"/>
    <w:rsid w:val="00787A5A"/>
    <w:rsid w:val="00787B99"/>
    <w:rsid w:val="00787C19"/>
    <w:rsid w:val="00787C39"/>
    <w:rsid w:val="00787D06"/>
    <w:rsid w:val="00787D43"/>
    <w:rsid w:val="00787E89"/>
    <w:rsid w:val="00787EC4"/>
    <w:rsid w:val="00787F32"/>
    <w:rsid w:val="00790095"/>
    <w:rsid w:val="007900A8"/>
    <w:rsid w:val="007900BA"/>
    <w:rsid w:val="007900F2"/>
    <w:rsid w:val="0079016B"/>
    <w:rsid w:val="00790237"/>
    <w:rsid w:val="00790266"/>
    <w:rsid w:val="0079026D"/>
    <w:rsid w:val="00790286"/>
    <w:rsid w:val="00790288"/>
    <w:rsid w:val="0079029A"/>
    <w:rsid w:val="007902BB"/>
    <w:rsid w:val="007903CB"/>
    <w:rsid w:val="007903DC"/>
    <w:rsid w:val="0079042B"/>
    <w:rsid w:val="00790468"/>
    <w:rsid w:val="00790484"/>
    <w:rsid w:val="007904A8"/>
    <w:rsid w:val="00790533"/>
    <w:rsid w:val="00790636"/>
    <w:rsid w:val="007906D3"/>
    <w:rsid w:val="00790882"/>
    <w:rsid w:val="007908F3"/>
    <w:rsid w:val="00790909"/>
    <w:rsid w:val="00790A01"/>
    <w:rsid w:val="00790A54"/>
    <w:rsid w:val="00790B4B"/>
    <w:rsid w:val="00790BDC"/>
    <w:rsid w:val="00790BF6"/>
    <w:rsid w:val="00790C31"/>
    <w:rsid w:val="00790C35"/>
    <w:rsid w:val="00790C7E"/>
    <w:rsid w:val="00790CFD"/>
    <w:rsid w:val="00790D22"/>
    <w:rsid w:val="00790DCE"/>
    <w:rsid w:val="00790E17"/>
    <w:rsid w:val="00790EAF"/>
    <w:rsid w:val="00790F1A"/>
    <w:rsid w:val="00790F2D"/>
    <w:rsid w:val="00790FF8"/>
    <w:rsid w:val="00791034"/>
    <w:rsid w:val="0079109C"/>
    <w:rsid w:val="00791157"/>
    <w:rsid w:val="0079117C"/>
    <w:rsid w:val="0079118F"/>
    <w:rsid w:val="007911C8"/>
    <w:rsid w:val="0079121A"/>
    <w:rsid w:val="00791225"/>
    <w:rsid w:val="00791248"/>
    <w:rsid w:val="007912AF"/>
    <w:rsid w:val="0079136E"/>
    <w:rsid w:val="00791394"/>
    <w:rsid w:val="0079148D"/>
    <w:rsid w:val="0079148E"/>
    <w:rsid w:val="007915CF"/>
    <w:rsid w:val="0079161A"/>
    <w:rsid w:val="0079163B"/>
    <w:rsid w:val="007916E7"/>
    <w:rsid w:val="00791744"/>
    <w:rsid w:val="007917C7"/>
    <w:rsid w:val="00791807"/>
    <w:rsid w:val="00791897"/>
    <w:rsid w:val="007918BA"/>
    <w:rsid w:val="0079195E"/>
    <w:rsid w:val="00791962"/>
    <w:rsid w:val="0079198D"/>
    <w:rsid w:val="007919BA"/>
    <w:rsid w:val="007919E1"/>
    <w:rsid w:val="007919EC"/>
    <w:rsid w:val="00791A0E"/>
    <w:rsid w:val="00791A82"/>
    <w:rsid w:val="00791B0E"/>
    <w:rsid w:val="00791B2F"/>
    <w:rsid w:val="00791B3F"/>
    <w:rsid w:val="00791B78"/>
    <w:rsid w:val="00791BC6"/>
    <w:rsid w:val="00791BDD"/>
    <w:rsid w:val="00791BE5"/>
    <w:rsid w:val="00791BE6"/>
    <w:rsid w:val="00791D25"/>
    <w:rsid w:val="00791DAD"/>
    <w:rsid w:val="00791DDE"/>
    <w:rsid w:val="00791E1F"/>
    <w:rsid w:val="00791F47"/>
    <w:rsid w:val="00791FA6"/>
    <w:rsid w:val="00792039"/>
    <w:rsid w:val="00792196"/>
    <w:rsid w:val="0079223B"/>
    <w:rsid w:val="0079231A"/>
    <w:rsid w:val="0079231F"/>
    <w:rsid w:val="00792342"/>
    <w:rsid w:val="00792344"/>
    <w:rsid w:val="0079236F"/>
    <w:rsid w:val="00792373"/>
    <w:rsid w:val="007923AB"/>
    <w:rsid w:val="00792425"/>
    <w:rsid w:val="0079248F"/>
    <w:rsid w:val="007925E3"/>
    <w:rsid w:val="0079260A"/>
    <w:rsid w:val="007926A8"/>
    <w:rsid w:val="00792707"/>
    <w:rsid w:val="0079276B"/>
    <w:rsid w:val="00792853"/>
    <w:rsid w:val="007928CF"/>
    <w:rsid w:val="00792941"/>
    <w:rsid w:val="00792960"/>
    <w:rsid w:val="00792965"/>
    <w:rsid w:val="00792966"/>
    <w:rsid w:val="00792A02"/>
    <w:rsid w:val="00792A0F"/>
    <w:rsid w:val="00792A1F"/>
    <w:rsid w:val="00792AE2"/>
    <w:rsid w:val="00792AF9"/>
    <w:rsid w:val="00792B30"/>
    <w:rsid w:val="00792B5B"/>
    <w:rsid w:val="00792BF4"/>
    <w:rsid w:val="00792C38"/>
    <w:rsid w:val="00792C96"/>
    <w:rsid w:val="00792D2D"/>
    <w:rsid w:val="00792E00"/>
    <w:rsid w:val="00792E5B"/>
    <w:rsid w:val="00792E70"/>
    <w:rsid w:val="00792E9A"/>
    <w:rsid w:val="00792ECE"/>
    <w:rsid w:val="00792ED4"/>
    <w:rsid w:val="00792FA3"/>
    <w:rsid w:val="00792FD7"/>
    <w:rsid w:val="00792FF2"/>
    <w:rsid w:val="00793036"/>
    <w:rsid w:val="0079303A"/>
    <w:rsid w:val="007930B0"/>
    <w:rsid w:val="007930E3"/>
    <w:rsid w:val="007930EA"/>
    <w:rsid w:val="00793134"/>
    <w:rsid w:val="00793147"/>
    <w:rsid w:val="007931AA"/>
    <w:rsid w:val="007931AC"/>
    <w:rsid w:val="007931B0"/>
    <w:rsid w:val="007931BD"/>
    <w:rsid w:val="0079326C"/>
    <w:rsid w:val="007932CC"/>
    <w:rsid w:val="007932FF"/>
    <w:rsid w:val="00793342"/>
    <w:rsid w:val="0079335A"/>
    <w:rsid w:val="00793367"/>
    <w:rsid w:val="00793558"/>
    <w:rsid w:val="0079356E"/>
    <w:rsid w:val="0079364A"/>
    <w:rsid w:val="00793684"/>
    <w:rsid w:val="007936EA"/>
    <w:rsid w:val="0079375C"/>
    <w:rsid w:val="007937B3"/>
    <w:rsid w:val="0079382E"/>
    <w:rsid w:val="00793855"/>
    <w:rsid w:val="007938B8"/>
    <w:rsid w:val="007938F5"/>
    <w:rsid w:val="0079390C"/>
    <w:rsid w:val="00793913"/>
    <w:rsid w:val="00793948"/>
    <w:rsid w:val="00793A11"/>
    <w:rsid w:val="00793AE9"/>
    <w:rsid w:val="00793BE2"/>
    <w:rsid w:val="00793BF6"/>
    <w:rsid w:val="00793C09"/>
    <w:rsid w:val="00793CA8"/>
    <w:rsid w:val="00793CE6"/>
    <w:rsid w:val="00793CFE"/>
    <w:rsid w:val="00793E63"/>
    <w:rsid w:val="00793E93"/>
    <w:rsid w:val="00793EA6"/>
    <w:rsid w:val="00793EB8"/>
    <w:rsid w:val="00793ED1"/>
    <w:rsid w:val="00793F9A"/>
    <w:rsid w:val="00794002"/>
    <w:rsid w:val="007940BB"/>
    <w:rsid w:val="00794122"/>
    <w:rsid w:val="0079414C"/>
    <w:rsid w:val="007941BE"/>
    <w:rsid w:val="00794208"/>
    <w:rsid w:val="00794311"/>
    <w:rsid w:val="00794370"/>
    <w:rsid w:val="00794378"/>
    <w:rsid w:val="00794387"/>
    <w:rsid w:val="0079438D"/>
    <w:rsid w:val="00794402"/>
    <w:rsid w:val="00794430"/>
    <w:rsid w:val="00794458"/>
    <w:rsid w:val="0079452C"/>
    <w:rsid w:val="0079457B"/>
    <w:rsid w:val="00794643"/>
    <w:rsid w:val="00794658"/>
    <w:rsid w:val="00794714"/>
    <w:rsid w:val="00794722"/>
    <w:rsid w:val="00794728"/>
    <w:rsid w:val="00794732"/>
    <w:rsid w:val="00794779"/>
    <w:rsid w:val="00794893"/>
    <w:rsid w:val="007948CB"/>
    <w:rsid w:val="007948E0"/>
    <w:rsid w:val="00794951"/>
    <w:rsid w:val="0079495F"/>
    <w:rsid w:val="007949BD"/>
    <w:rsid w:val="007949C2"/>
    <w:rsid w:val="007949DA"/>
    <w:rsid w:val="00794A02"/>
    <w:rsid w:val="00794A07"/>
    <w:rsid w:val="00794A11"/>
    <w:rsid w:val="00794BA6"/>
    <w:rsid w:val="00794BAC"/>
    <w:rsid w:val="00794BB1"/>
    <w:rsid w:val="00794BB9"/>
    <w:rsid w:val="00794BE9"/>
    <w:rsid w:val="00794C1C"/>
    <w:rsid w:val="00794CA2"/>
    <w:rsid w:val="00794D22"/>
    <w:rsid w:val="00794D51"/>
    <w:rsid w:val="00794D6A"/>
    <w:rsid w:val="00794E13"/>
    <w:rsid w:val="00794E6C"/>
    <w:rsid w:val="00794E9B"/>
    <w:rsid w:val="00794F0F"/>
    <w:rsid w:val="007950E5"/>
    <w:rsid w:val="007950F8"/>
    <w:rsid w:val="00795158"/>
    <w:rsid w:val="007951EA"/>
    <w:rsid w:val="007952D8"/>
    <w:rsid w:val="0079539B"/>
    <w:rsid w:val="007953F2"/>
    <w:rsid w:val="00795423"/>
    <w:rsid w:val="007954A9"/>
    <w:rsid w:val="00795552"/>
    <w:rsid w:val="00795580"/>
    <w:rsid w:val="00795617"/>
    <w:rsid w:val="0079582E"/>
    <w:rsid w:val="007958A3"/>
    <w:rsid w:val="007958FA"/>
    <w:rsid w:val="00795A44"/>
    <w:rsid w:val="00795AAB"/>
    <w:rsid w:val="00795BFF"/>
    <w:rsid w:val="00795CB9"/>
    <w:rsid w:val="00795CD3"/>
    <w:rsid w:val="00795CF4"/>
    <w:rsid w:val="00795D09"/>
    <w:rsid w:val="00795D7C"/>
    <w:rsid w:val="00795E06"/>
    <w:rsid w:val="00795E43"/>
    <w:rsid w:val="00795E70"/>
    <w:rsid w:val="00795F03"/>
    <w:rsid w:val="00795F1C"/>
    <w:rsid w:val="0079604A"/>
    <w:rsid w:val="007960BD"/>
    <w:rsid w:val="007960C8"/>
    <w:rsid w:val="0079616C"/>
    <w:rsid w:val="0079617D"/>
    <w:rsid w:val="00796193"/>
    <w:rsid w:val="00796239"/>
    <w:rsid w:val="007962CD"/>
    <w:rsid w:val="007962D0"/>
    <w:rsid w:val="00796331"/>
    <w:rsid w:val="00796368"/>
    <w:rsid w:val="00796496"/>
    <w:rsid w:val="007964C7"/>
    <w:rsid w:val="00796504"/>
    <w:rsid w:val="00796550"/>
    <w:rsid w:val="00796552"/>
    <w:rsid w:val="0079655A"/>
    <w:rsid w:val="007965E0"/>
    <w:rsid w:val="00796613"/>
    <w:rsid w:val="00796633"/>
    <w:rsid w:val="00796663"/>
    <w:rsid w:val="00796671"/>
    <w:rsid w:val="00796692"/>
    <w:rsid w:val="00796693"/>
    <w:rsid w:val="007966F0"/>
    <w:rsid w:val="00796706"/>
    <w:rsid w:val="0079679A"/>
    <w:rsid w:val="0079679C"/>
    <w:rsid w:val="007967D8"/>
    <w:rsid w:val="00796844"/>
    <w:rsid w:val="00796876"/>
    <w:rsid w:val="0079689D"/>
    <w:rsid w:val="007968C4"/>
    <w:rsid w:val="007968FE"/>
    <w:rsid w:val="00796921"/>
    <w:rsid w:val="00796926"/>
    <w:rsid w:val="00796959"/>
    <w:rsid w:val="0079697B"/>
    <w:rsid w:val="00796AAB"/>
    <w:rsid w:val="00796AAC"/>
    <w:rsid w:val="00796AE8"/>
    <w:rsid w:val="00796B5B"/>
    <w:rsid w:val="00796B6C"/>
    <w:rsid w:val="00796D26"/>
    <w:rsid w:val="00796D5E"/>
    <w:rsid w:val="00796DD7"/>
    <w:rsid w:val="00796DE7"/>
    <w:rsid w:val="00796E0F"/>
    <w:rsid w:val="00796E51"/>
    <w:rsid w:val="00796E58"/>
    <w:rsid w:val="00796E72"/>
    <w:rsid w:val="00796EA4"/>
    <w:rsid w:val="00796FA9"/>
    <w:rsid w:val="00797002"/>
    <w:rsid w:val="00797063"/>
    <w:rsid w:val="0079706B"/>
    <w:rsid w:val="007970B1"/>
    <w:rsid w:val="007970B8"/>
    <w:rsid w:val="00797155"/>
    <w:rsid w:val="007971BB"/>
    <w:rsid w:val="007971DA"/>
    <w:rsid w:val="00797210"/>
    <w:rsid w:val="0079733C"/>
    <w:rsid w:val="007973AC"/>
    <w:rsid w:val="00797506"/>
    <w:rsid w:val="0079752D"/>
    <w:rsid w:val="00797548"/>
    <w:rsid w:val="007975C4"/>
    <w:rsid w:val="0079760F"/>
    <w:rsid w:val="00797659"/>
    <w:rsid w:val="007976B4"/>
    <w:rsid w:val="00797722"/>
    <w:rsid w:val="0079778C"/>
    <w:rsid w:val="007977CD"/>
    <w:rsid w:val="0079783D"/>
    <w:rsid w:val="00797873"/>
    <w:rsid w:val="007978F6"/>
    <w:rsid w:val="0079790F"/>
    <w:rsid w:val="0079792C"/>
    <w:rsid w:val="00797A65"/>
    <w:rsid w:val="00797A98"/>
    <w:rsid w:val="00797B16"/>
    <w:rsid w:val="00797B95"/>
    <w:rsid w:val="00797C07"/>
    <w:rsid w:val="00797C21"/>
    <w:rsid w:val="00797C32"/>
    <w:rsid w:val="00797C88"/>
    <w:rsid w:val="00797C99"/>
    <w:rsid w:val="00797D53"/>
    <w:rsid w:val="00797E92"/>
    <w:rsid w:val="00797EB1"/>
    <w:rsid w:val="007A0114"/>
    <w:rsid w:val="007A011B"/>
    <w:rsid w:val="007A0125"/>
    <w:rsid w:val="007A0270"/>
    <w:rsid w:val="007A033D"/>
    <w:rsid w:val="007A0353"/>
    <w:rsid w:val="007A0363"/>
    <w:rsid w:val="007A044E"/>
    <w:rsid w:val="007A04DA"/>
    <w:rsid w:val="007A04DE"/>
    <w:rsid w:val="007A04F0"/>
    <w:rsid w:val="007A0518"/>
    <w:rsid w:val="007A05D1"/>
    <w:rsid w:val="007A06B4"/>
    <w:rsid w:val="007A06EC"/>
    <w:rsid w:val="007A074F"/>
    <w:rsid w:val="007A08F4"/>
    <w:rsid w:val="007A09DD"/>
    <w:rsid w:val="007A0A3A"/>
    <w:rsid w:val="007A0A5B"/>
    <w:rsid w:val="007A0A76"/>
    <w:rsid w:val="007A0B1C"/>
    <w:rsid w:val="007A0D14"/>
    <w:rsid w:val="007A0D34"/>
    <w:rsid w:val="007A0D5A"/>
    <w:rsid w:val="007A0D9D"/>
    <w:rsid w:val="007A0DF1"/>
    <w:rsid w:val="007A0EDA"/>
    <w:rsid w:val="007A0F56"/>
    <w:rsid w:val="007A0FCA"/>
    <w:rsid w:val="007A1035"/>
    <w:rsid w:val="007A1078"/>
    <w:rsid w:val="007A10F8"/>
    <w:rsid w:val="007A119A"/>
    <w:rsid w:val="007A119B"/>
    <w:rsid w:val="007A11AA"/>
    <w:rsid w:val="007A121B"/>
    <w:rsid w:val="007A1410"/>
    <w:rsid w:val="007A143B"/>
    <w:rsid w:val="007A1447"/>
    <w:rsid w:val="007A14DB"/>
    <w:rsid w:val="007A15C9"/>
    <w:rsid w:val="007A16FE"/>
    <w:rsid w:val="007A175C"/>
    <w:rsid w:val="007A1768"/>
    <w:rsid w:val="007A17DB"/>
    <w:rsid w:val="007A184B"/>
    <w:rsid w:val="007A1914"/>
    <w:rsid w:val="007A191E"/>
    <w:rsid w:val="007A1987"/>
    <w:rsid w:val="007A199E"/>
    <w:rsid w:val="007A19DF"/>
    <w:rsid w:val="007A1A31"/>
    <w:rsid w:val="007A1B75"/>
    <w:rsid w:val="007A1BC5"/>
    <w:rsid w:val="007A1BDA"/>
    <w:rsid w:val="007A1C4D"/>
    <w:rsid w:val="007A1D42"/>
    <w:rsid w:val="007A1D9F"/>
    <w:rsid w:val="007A1E8B"/>
    <w:rsid w:val="007A1EC3"/>
    <w:rsid w:val="007A1FEF"/>
    <w:rsid w:val="007A201A"/>
    <w:rsid w:val="007A206D"/>
    <w:rsid w:val="007A20E1"/>
    <w:rsid w:val="007A2171"/>
    <w:rsid w:val="007A217B"/>
    <w:rsid w:val="007A21FC"/>
    <w:rsid w:val="007A2244"/>
    <w:rsid w:val="007A2372"/>
    <w:rsid w:val="007A23CB"/>
    <w:rsid w:val="007A23EB"/>
    <w:rsid w:val="007A24F0"/>
    <w:rsid w:val="007A2626"/>
    <w:rsid w:val="007A26B1"/>
    <w:rsid w:val="007A26CF"/>
    <w:rsid w:val="007A26E6"/>
    <w:rsid w:val="007A273C"/>
    <w:rsid w:val="007A2789"/>
    <w:rsid w:val="007A280C"/>
    <w:rsid w:val="007A280D"/>
    <w:rsid w:val="007A2828"/>
    <w:rsid w:val="007A2860"/>
    <w:rsid w:val="007A294F"/>
    <w:rsid w:val="007A29B9"/>
    <w:rsid w:val="007A2A5F"/>
    <w:rsid w:val="007A2ACC"/>
    <w:rsid w:val="007A2AD4"/>
    <w:rsid w:val="007A2AF7"/>
    <w:rsid w:val="007A2B52"/>
    <w:rsid w:val="007A2B79"/>
    <w:rsid w:val="007A2BCB"/>
    <w:rsid w:val="007A2BE6"/>
    <w:rsid w:val="007A2C83"/>
    <w:rsid w:val="007A2D0E"/>
    <w:rsid w:val="007A2D64"/>
    <w:rsid w:val="007A2DF5"/>
    <w:rsid w:val="007A2E0D"/>
    <w:rsid w:val="007A2E23"/>
    <w:rsid w:val="007A2EB8"/>
    <w:rsid w:val="007A2ECE"/>
    <w:rsid w:val="007A2F0B"/>
    <w:rsid w:val="007A3036"/>
    <w:rsid w:val="007A31D8"/>
    <w:rsid w:val="007A32DA"/>
    <w:rsid w:val="007A3330"/>
    <w:rsid w:val="007A33C1"/>
    <w:rsid w:val="007A33C7"/>
    <w:rsid w:val="007A3472"/>
    <w:rsid w:val="007A3481"/>
    <w:rsid w:val="007A3482"/>
    <w:rsid w:val="007A34B7"/>
    <w:rsid w:val="007A34D4"/>
    <w:rsid w:val="007A3538"/>
    <w:rsid w:val="007A354D"/>
    <w:rsid w:val="007A355D"/>
    <w:rsid w:val="007A356A"/>
    <w:rsid w:val="007A361D"/>
    <w:rsid w:val="007A3654"/>
    <w:rsid w:val="007A36B5"/>
    <w:rsid w:val="007A36D1"/>
    <w:rsid w:val="007A372D"/>
    <w:rsid w:val="007A374B"/>
    <w:rsid w:val="007A3799"/>
    <w:rsid w:val="007A37AB"/>
    <w:rsid w:val="007A3845"/>
    <w:rsid w:val="007A386D"/>
    <w:rsid w:val="007A3884"/>
    <w:rsid w:val="007A3891"/>
    <w:rsid w:val="007A3920"/>
    <w:rsid w:val="007A3940"/>
    <w:rsid w:val="007A3959"/>
    <w:rsid w:val="007A3A13"/>
    <w:rsid w:val="007A3A9A"/>
    <w:rsid w:val="007A3AA0"/>
    <w:rsid w:val="007A3B17"/>
    <w:rsid w:val="007A3B76"/>
    <w:rsid w:val="007A3BFB"/>
    <w:rsid w:val="007A3C0E"/>
    <w:rsid w:val="007A3CED"/>
    <w:rsid w:val="007A3DA9"/>
    <w:rsid w:val="007A3DCF"/>
    <w:rsid w:val="007A3DE7"/>
    <w:rsid w:val="007A3E37"/>
    <w:rsid w:val="007A3E41"/>
    <w:rsid w:val="007A3E43"/>
    <w:rsid w:val="007A3E8A"/>
    <w:rsid w:val="007A3F36"/>
    <w:rsid w:val="007A3F79"/>
    <w:rsid w:val="007A4008"/>
    <w:rsid w:val="007A4089"/>
    <w:rsid w:val="007A4125"/>
    <w:rsid w:val="007A412D"/>
    <w:rsid w:val="007A41D6"/>
    <w:rsid w:val="007A4267"/>
    <w:rsid w:val="007A42BB"/>
    <w:rsid w:val="007A42DD"/>
    <w:rsid w:val="007A42EE"/>
    <w:rsid w:val="007A436F"/>
    <w:rsid w:val="007A43A7"/>
    <w:rsid w:val="007A44CD"/>
    <w:rsid w:val="007A451D"/>
    <w:rsid w:val="007A452F"/>
    <w:rsid w:val="007A4594"/>
    <w:rsid w:val="007A45E4"/>
    <w:rsid w:val="007A461A"/>
    <w:rsid w:val="007A47A6"/>
    <w:rsid w:val="007A481F"/>
    <w:rsid w:val="007A4841"/>
    <w:rsid w:val="007A487B"/>
    <w:rsid w:val="007A4880"/>
    <w:rsid w:val="007A4894"/>
    <w:rsid w:val="007A48EF"/>
    <w:rsid w:val="007A497A"/>
    <w:rsid w:val="007A4A82"/>
    <w:rsid w:val="007A4B04"/>
    <w:rsid w:val="007A4B7E"/>
    <w:rsid w:val="007A4BC6"/>
    <w:rsid w:val="007A4C25"/>
    <w:rsid w:val="007A4C37"/>
    <w:rsid w:val="007A4C57"/>
    <w:rsid w:val="007A4D24"/>
    <w:rsid w:val="007A4EFC"/>
    <w:rsid w:val="007A4EFE"/>
    <w:rsid w:val="007A4F20"/>
    <w:rsid w:val="007A4F82"/>
    <w:rsid w:val="007A4F99"/>
    <w:rsid w:val="007A4FBF"/>
    <w:rsid w:val="007A4FF2"/>
    <w:rsid w:val="007A500F"/>
    <w:rsid w:val="007A501F"/>
    <w:rsid w:val="007A5021"/>
    <w:rsid w:val="007A50AD"/>
    <w:rsid w:val="007A51AA"/>
    <w:rsid w:val="007A51AB"/>
    <w:rsid w:val="007A51C5"/>
    <w:rsid w:val="007A52AD"/>
    <w:rsid w:val="007A52F5"/>
    <w:rsid w:val="007A5323"/>
    <w:rsid w:val="007A532B"/>
    <w:rsid w:val="007A534B"/>
    <w:rsid w:val="007A537D"/>
    <w:rsid w:val="007A5398"/>
    <w:rsid w:val="007A5405"/>
    <w:rsid w:val="007A547C"/>
    <w:rsid w:val="007A54AC"/>
    <w:rsid w:val="007A54EE"/>
    <w:rsid w:val="007A555C"/>
    <w:rsid w:val="007A5561"/>
    <w:rsid w:val="007A55BB"/>
    <w:rsid w:val="007A55C9"/>
    <w:rsid w:val="007A5644"/>
    <w:rsid w:val="007A5649"/>
    <w:rsid w:val="007A5842"/>
    <w:rsid w:val="007A5856"/>
    <w:rsid w:val="007A585B"/>
    <w:rsid w:val="007A58B7"/>
    <w:rsid w:val="007A598E"/>
    <w:rsid w:val="007A59E9"/>
    <w:rsid w:val="007A5A5B"/>
    <w:rsid w:val="007A5A7C"/>
    <w:rsid w:val="007A5A92"/>
    <w:rsid w:val="007A5B30"/>
    <w:rsid w:val="007A5B50"/>
    <w:rsid w:val="007A5B70"/>
    <w:rsid w:val="007A5C36"/>
    <w:rsid w:val="007A5CB1"/>
    <w:rsid w:val="007A5DCC"/>
    <w:rsid w:val="007A5DDE"/>
    <w:rsid w:val="007A5E0F"/>
    <w:rsid w:val="007A5E8B"/>
    <w:rsid w:val="007A5F0A"/>
    <w:rsid w:val="007A5F83"/>
    <w:rsid w:val="007A5FE9"/>
    <w:rsid w:val="007A60D3"/>
    <w:rsid w:val="007A614C"/>
    <w:rsid w:val="007A619B"/>
    <w:rsid w:val="007A61EE"/>
    <w:rsid w:val="007A61FE"/>
    <w:rsid w:val="007A62B0"/>
    <w:rsid w:val="007A62E1"/>
    <w:rsid w:val="007A62F8"/>
    <w:rsid w:val="007A6362"/>
    <w:rsid w:val="007A6392"/>
    <w:rsid w:val="007A6407"/>
    <w:rsid w:val="007A654D"/>
    <w:rsid w:val="007A66CE"/>
    <w:rsid w:val="007A66E7"/>
    <w:rsid w:val="007A679B"/>
    <w:rsid w:val="007A67C8"/>
    <w:rsid w:val="007A67E7"/>
    <w:rsid w:val="007A67E9"/>
    <w:rsid w:val="007A680D"/>
    <w:rsid w:val="007A6842"/>
    <w:rsid w:val="007A688D"/>
    <w:rsid w:val="007A6952"/>
    <w:rsid w:val="007A6A21"/>
    <w:rsid w:val="007A6A92"/>
    <w:rsid w:val="007A6AB5"/>
    <w:rsid w:val="007A6AD5"/>
    <w:rsid w:val="007A6AFB"/>
    <w:rsid w:val="007A6B07"/>
    <w:rsid w:val="007A6B09"/>
    <w:rsid w:val="007A6B41"/>
    <w:rsid w:val="007A6B4B"/>
    <w:rsid w:val="007A6B76"/>
    <w:rsid w:val="007A6C17"/>
    <w:rsid w:val="007A6C51"/>
    <w:rsid w:val="007A6CA5"/>
    <w:rsid w:val="007A6D7D"/>
    <w:rsid w:val="007A6E1E"/>
    <w:rsid w:val="007A6EB0"/>
    <w:rsid w:val="007A6EB6"/>
    <w:rsid w:val="007A6EC6"/>
    <w:rsid w:val="007A6F24"/>
    <w:rsid w:val="007A6F8B"/>
    <w:rsid w:val="007A724D"/>
    <w:rsid w:val="007A72B4"/>
    <w:rsid w:val="007A72CF"/>
    <w:rsid w:val="007A72DB"/>
    <w:rsid w:val="007A7344"/>
    <w:rsid w:val="007A746A"/>
    <w:rsid w:val="007A746B"/>
    <w:rsid w:val="007A74C6"/>
    <w:rsid w:val="007A759F"/>
    <w:rsid w:val="007A75BF"/>
    <w:rsid w:val="007A75FA"/>
    <w:rsid w:val="007A7602"/>
    <w:rsid w:val="007A7629"/>
    <w:rsid w:val="007A766D"/>
    <w:rsid w:val="007A7680"/>
    <w:rsid w:val="007A76C5"/>
    <w:rsid w:val="007A7889"/>
    <w:rsid w:val="007A78B4"/>
    <w:rsid w:val="007A7949"/>
    <w:rsid w:val="007A79B8"/>
    <w:rsid w:val="007A7AD3"/>
    <w:rsid w:val="007A7BA0"/>
    <w:rsid w:val="007A7C4B"/>
    <w:rsid w:val="007A7C63"/>
    <w:rsid w:val="007A7CC3"/>
    <w:rsid w:val="007A7D27"/>
    <w:rsid w:val="007A7D98"/>
    <w:rsid w:val="007A7DCC"/>
    <w:rsid w:val="007A7DDF"/>
    <w:rsid w:val="007A7DF6"/>
    <w:rsid w:val="007A7E04"/>
    <w:rsid w:val="007A7EBF"/>
    <w:rsid w:val="007A7FD5"/>
    <w:rsid w:val="007B009B"/>
    <w:rsid w:val="007B00B4"/>
    <w:rsid w:val="007B00C4"/>
    <w:rsid w:val="007B016F"/>
    <w:rsid w:val="007B0172"/>
    <w:rsid w:val="007B01E7"/>
    <w:rsid w:val="007B021F"/>
    <w:rsid w:val="007B02EE"/>
    <w:rsid w:val="007B02F4"/>
    <w:rsid w:val="007B0309"/>
    <w:rsid w:val="007B03B5"/>
    <w:rsid w:val="007B042C"/>
    <w:rsid w:val="007B045B"/>
    <w:rsid w:val="007B0511"/>
    <w:rsid w:val="007B054F"/>
    <w:rsid w:val="007B0629"/>
    <w:rsid w:val="007B073E"/>
    <w:rsid w:val="007B0768"/>
    <w:rsid w:val="007B0794"/>
    <w:rsid w:val="007B07FB"/>
    <w:rsid w:val="007B0831"/>
    <w:rsid w:val="007B085F"/>
    <w:rsid w:val="007B08B4"/>
    <w:rsid w:val="007B096F"/>
    <w:rsid w:val="007B09D7"/>
    <w:rsid w:val="007B0A2D"/>
    <w:rsid w:val="007B0B13"/>
    <w:rsid w:val="007B0B42"/>
    <w:rsid w:val="007B0BA4"/>
    <w:rsid w:val="007B0BAA"/>
    <w:rsid w:val="007B0BD1"/>
    <w:rsid w:val="007B0C02"/>
    <w:rsid w:val="007B0C3E"/>
    <w:rsid w:val="007B0C5E"/>
    <w:rsid w:val="007B0C64"/>
    <w:rsid w:val="007B0C7A"/>
    <w:rsid w:val="007B0C86"/>
    <w:rsid w:val="007B0CB1"/>
    <w:rsid w:val="007B0DD4"/>
    <w:rsid w:val="007B10D1"/>
    <w:rsid w:val="007B10FD"/>
    <w:rsid w:val="007B114A"/>
    <w:rsid w:val="007B120C"/>
    <w:rsid w:val="007B1238"/>
    <w:rsid w:val="007B149F"/>
    <w:rsid w:val="007B14BA"/>
    <w:rsid w:val="007B14DF"/>
    <w:rsid w:val="007B1521"/>
    <w:rsid w:val="007B158A"/>
    <w:rsid w:val="007B17C2"/>
    <w:rsid w:val="007B1905"/>
    <w:rsid w:val="007B1909"/>
    <w:rsid w:val="007B1949"/>
    <w:rsid w:val="007B19BA"/>
    <w:rsid w:val="007B19C1"/>
    <w:rsid w:val="007B19C7"/>
    <w:rsid w:val="007B1A81"/>
    <w:rsid w:val="007B1AA9"/>
    <w:rsid w:val="007B1AC2"/>
    <w:rsid w:val="007B1B1C"/>
    <w:rsid w:val="007B1B22"/>
    <w:rsid w:val="007B1B75"/>
    <w:rsid w:val="007B1B76"/>
    <w:rsid w:val="007B1BC3"/>
    <w:rsid w:val="007B1D14"/>
    <w:rsid w:val="007B1E0B"/>
    <w:rsid w:val="007B1E1E"/>
    <w:rsid w:val="007B1EDE"/>
    <w:rsid w:val="007B1F0F"/>
    <w:rsid w:val="007B1F3C"/>
    <w:rsid w:val="007B1F8E"/>
    <w:rsid w:val="007B1FFD"/>
    <w:rsid w:val="007B2005"/>
    <w:rsid w:val="007B2012"/>
    <w:rsid w:val="007B20EB"/>
    <w:rsid w:val="007B20FA"/>
    <w:rsid w:val="007B22F4"/>
    <w:rsid w:val="007B233A"/>
    <w:rsid w:val="007B23A6"/>
    <w:rsid w:val="007B23B2"/>
    <w:rsid w:val="007B2439"/>
    <w:rsid w:val="007B24A8"/>
    <w:rsid w:val="007B24F9"/>
    <w:rsid w:val="007B2552"/>
    <w:rsid w:val="007B255E"/>
    <w:rsid w:val="007B25C3"/>
    <w:rsid w:val="007B2611"/>
    <w:rsid w:val="007B268E"/>
    <w:rsid w:val="007B26AD"/>
    <w:rsid w:val="007B2705"/>
    <w:rsid w:val="007B27D2"/>
    <w:rsid w:val="007B2914"/>
    <w:rsid w:val="007B291E"/>
    <w:rsid w:val="007B295A"/>
    <w:rsid w:val="007B29CA"/>
    <w:rsid w:val="007B2A3F"/>
    <w:rsid w:val="007B2AA0"/>
    <w:rsid w:val="007B2BFF"/>
    <w:rsid w:val="007B2C38"/>
    <w:rsid w:val="007B2C6B"/>
    <w:rsid w:val="007B2C6E"/>
    <w:rsid w:val="007B2CA3"/>
    <w:rsid w:val="007B2CB3"/>
    <w:rsid w:val="007B2D0B"/>
    <w:rsid w:val="007B2E78"/>
    <w:rsid w:val="007B2EB5"/>
    <w:rsid w:val="007B2ED1"/>
    <w:rsid w:val="007B2F50"/>
    <w:rsid w:val="007B2F82"/>
    <w:rsid w:val="007B301F"/>
    <w:rsid w:val="007B3070"/>
    <w:rsid w:val="007B307E"/>
    <w:rsid w:val="007B30AE"/>
    <w:rsid w:val="007B30FA"/>
    <w:rsid w:val="007B3109"/>
    <w:rsid w:val="007B3120"/>
    <w:rsid w:val="007B3218"/>
    <w:rsid w:val="007B323E"/>
    <w:rsid w:val="007B329C"/>
    <w:rsid w:val="007B32A6"/>
    <w:rsid w:val="007B32EF"/>
    <w:rsid w:val="007B3324"/>
    <w:rsid w:val="007B3418"/>
    <w:rsid w:val="007B3433"/>
    <w:rsid w:val="007B34D8"/>
    <w:rsid w:val="007B3517"/>
    <w:rsid w:val="007B351E"/>
    <w:rsid w:val="007B351F"/>
    <w:rsid w:val="007B35A1"/>
    <w:rsid w:val="007B3616"/>
    <w:rsid w:val="007B362E"/>
    <w:rsid w:val="007B366C"/>
    <w:rsid w:val="007B36A4"/>
    <w:rsid w:val="007B3700"/>
    <w:rsid w:val="007B3827"/>
    <w:rsid w:val="007B38E7"/>
    <w:rsid w:val="007B3937"/>
    <w:rsid w:val="007B396C"/>
    <w:rsid w:val="007B3984"/>
    <w:rsid w:val="007B39A2"/>
    <w:rsid w:val="007B3A46"/>
    <w:rsid w:val="007B3A5C"/>
    <w:rsid w:val="007B3A67"/>
    <w:rsid w:val="007B3A6D"/>
    <w:rsid w:val="007B3A8F"/>
    <w:rsid w:val="007B3B10"/>
    <w:rsid w:val="007B3B5A"/>
    <w:rsid w:val="007B3BDD"/>
    <w:rsid w:val="007B3D38"/>
    <w:rsid w:val="007B3D45"/>
    <w:rsid w:val="007B3D86"/>
    <w:rsid w:val="007B3E0B"/>
    <w:rsid w:val="007B3E2D"/>
    <w:rsid w:val="007B3EA4"/>
    <w:rsid w:val="007B3F85"/>
    <w:rsid w:val="007B40CB"/>
    <w:rsid w:val="007B4218"/>
    <w:rsid w:val="007B426E"/>
    <w:rsid w:val="007B43AA"/>
    <w:rsid w:val="007B43B2"/>
    <w:rsid w:val="007B43E6"/>
    <w:rsid w:val="007B443E"/>
    <w:rsid w:val="007B4495"/>
    <w:rsid w:val="007B44D9"/>
    <w:rsid w:val="007B464F"/>
    <w:rsid w:val="007B48E2"/>
    <w:rsid w:val="007B4A48"/>
    <w:rsid w:val="007B4A6B"/>
    <w:rsid w:val="007B4AD4"/>
    <w:rsid w:val="007B4B35"/>
    <w:rsid w:val="007B4B79"/>
    <w:rsid w:val="007B4C47"/>
    <w:rsid w:val="007B4CAF"/>
    <w:rsid w:val="007B4CDF"/>
    <w:rsid w:val="007B4CEE"/>
    <w:rsid w:val="007B4E4D"/>
    <w:rsid w:val="007B4EBA"/>
    <w:rsid w:val="007B4F34"/>
    <w:rsid w:val="007B4F88"/>
    <w:rsid w:val="007B4FBD"/>
    <w:rsid w:val="007B5099"/>
    <w:rsid w:val="007B51B5"/>
    <w:rsid w:val="007B51C5"/>
    <w:rsid w:val="007B5263"/>
    <w:rsid w:val="007B52A2"/>
    <w:rsid w:val="007B5306"/>
    <w:rsid w:val="007B5325"/>
    <w:rsid w:val="007B532C"/>
    <w:rsid w:val="007B53C1"/>
    <w:rsid w:val="007B53F2"/>
    <w:rsid w:val="007B5418"/>
    <w:rsid w:val="007B548D"/>
    <w:rsid w:val="007B5629"/>
    <w:rsid w:val="007B56AE"/>
    <w:rsid w:val="007B5707"/>
    <w:rsid w:val="007B571B"/>
    <w:rsid w:val="007B5736"/>
    <w:rsid w:val="007B5753"/>
    <w:rsid w:val="007B57D0"/>
    <w:rsid w:val="007B57F6"/>
    <w:rsid w:val="007B583D"/>
    <w:rsid w:val="007B58A5"/>
    <w:rsid w:val="007B58DF"/>
    <w:rsid w:val="007B5992"/>
    <w:rsid w:val="007B59DB"/>
    <w:rsid w:val="007B5A29"/>
    <w:rsid w:val="007B5AF1"/>
    <w:rsid w:val="007B5B76"/>
    <w:rsid w:val="007B5C5E"/>
    <w:rsid w:val="007B5D19"/>
    <w:rsid w:val="007B5D20"/>
    <w:rsid w:val="007B5DC7"/>
    <w:rsid w:val="007B5DD5"/>
    <w:rsid w:val="007B5E6C"/>
    <w:rsid w:val="007B5FB1"/>
    <w:rsid w:val="007B6008"/>
    <w:rsid w:val="007B60C0"/>
    <w:rsid w:val="007B6138"/>
    <w:rsid w:val="007B61C1"/>
    <w:rsid w:val="007B627D"/>
    <w:rsid w:val="007B62B6"/>
    <w:rsid w:val="007B62D1"/>
    <w:rsid w:val="007B6339"/>
    <w:rsid w:val="007B6357"/>
    <w:rsid w:val="007B6388"/>
    <w:rsid w:val="007B63F3"/>
    <w:rsid w:val="007B642E"/>
    <w:rsid w:val="007B64A2"/>
    <w:rsid w:val="007B64B4"/>
    <w:rsid w:val="007B64EC"/>
    <w:rsid w:val="007B652A"/>
    <w:rsid w:val="007B65A5"/>
    <w:rsid w:val="007B65AE"/>
    <w:rsid w:val="007B65D8"/>
    <w:rsid w:val="007B66A1"/>
    <w:rsid w:val="007B66A6"/>
    <w:rsid w:val="007B66D0"/>
    <w:rsid w:val="007B671C"/>
    <w:rsid w:val="007B676E"/>
    <w:rsid w:val="007B67D3"/>
    <w:rsid w:val="007B6833"/>
    <w:rsid w:val="007B683C"/>
    <w:rsid w:val="007B691A"/>
    <w:rsid w:val="007B69C8"/>
    <w:rsid w:val="007B6ADA"/>
    <w:rsid w:val="007B6B32"/>
    <w:rsid w:val="007B6C67"/>
    <w:rsid w:val="007B6C75"/>
    <w:rsid w:val="007B6DA6"/>
    <w:rsid w:val="007B6E08"/>
    <w:rsid w:val="007B6EC5"/>
    <w:rsid w:val="007B6EF8"/>
    <w:rsid w:val="007B6F4D"/>
    <w:rsid w:val="007B6F4E"/>
    <w:rsid w:val="007B6F83"/>
    <w:rsid w:val="007B6FF5"/>
    <w:rsid w:val="007B701B"/>
    <w:rsid w:val="007B7041"/>
    <w:rsid w:val="007B70BB"/>
    <w:rsid w:val="007B70D1"/>
    <w:rsid w:val="007B715B"/>
    <w:rsid w:val="007B7189"/>
    <w:rsid w:val="007B71AF"/>
    <w:rsid w:val="007B720F"/>
    <w:rsid w:val="007B7237"/>
    <w:rsid w:val="007B7304"/>
    <w:rsid w:val="007B7356"/>
    <w:rsid w:val="007B738C"/>
    <w:rsid w:val="007B73F9"/>
    <w:rsid w:val="007B7415"/>
    <w:rsid w:val="007B7503"/>
    <w:rsid w:val="007B7511"/>
    <w:rsid w:val="007B758F"/>
    <w:rsid w:val="007B75B9"/>
    <w:rsid w:val="007B7662"/>
    <w:rsid w:val="007B7665"/>
    <w:rsid w:val="007B767C"/>
    <w:rsid w:val="007B768E"/>
    <w:rsid w:val="007B769D"/>
    <w:rsid w:val="007B773D"/>
    <w:rsid w:val="007B7799"/>
    <w:rsid w:val="007B7855"/>
    <w:rsid w:val="007B788E"/>
    <w:rsid w:val="007B78D3"/>
    <w:rsid w:val="007B7988"/>
    <w:rsid w:val="007B7A0E"/>
    <w:rsid w:val="007B7A5D"/>
    <w:rsid w:val="007B7A66"/>
    <w:rsid w:val="007B7B53"/>
    <w:rsid w:val="007B7CD8"/>
    <w:rsid w:val="007B7D68"/>
    <w:rsid w:val="007B7E53"/>
    <w:rsid w:val="007C001F"/>
    <w:rsid w:val="007C004F"/>
    <w:rsid w:val="007C005B"/>
    <w:rsid w:val="007C0084"/>
    <w:rsid w:val="007C00BE"/>
    <w:rsid w:val="007C00D5"/>
    <w:rsid w:val="007C00E3"/>
    <w:rsid w:val="007C01C0"/>
    <w:rsid w:val="007C0266"/>
    <w:rsid w:val="007C028A"/>
    <w:rsid w:val="007C0294"/>
    <w:rsid w:val="007C02D4"/>
    <w:rsid w:val="007C02DC"/>
    <w:rsid w:val="007C030B"/>
    <w:rsid w:val="007C0355"/>
    <w:rsid w:val="007C03A0"/>
    <w:rsid w:val="007C03DF"/>
    <w:rsid w:val="007C04D9"/>
    <w:rsid w:val="007C04E0"/>
    <w:rsid w:val="007C0506"/>
    <w:rsid w:val="007C0523"/>
    <w:rsid w:val="007C0540"/>
    <w:rsid w:val="007C0564"/>
    <w:rsid w:val="007C05E6"/>
    <w:rsid w:val="007C06EF"/>
    <w:rsid w:val="007C07BE"/>
    <w:rsid w:val="007C07DB"/>
    <w:rsid w:val="007C07EC"/>
    <w:rsid w:val="007C08BC"/>
    <w:rsid w:val="007C091E"/>
    <w:rsid w:val="007C092C"/>
    <w:rsid w:val="007C0957"/>
    <w:rsid w:val="007C09FE"/>
    <w:rsid w:val="007C0B5E"/>
    <w:rsid w:val="007C0BA9"/>
    <w:rsid w:val="007C0C75"/>
    <w:rsid w:val="007C0D28"/>
    <w:rsid w:val="007C0DA6"/>
    <w:rsid w:val="007C0DAD"/>
    <w:rsid w:val="007C0E46"/>
    <w:rsid w:val="007C0E48"/>
    <w:rsid w:val="007C0E61"/>
    <w:rsid w:val="007C0E75"/>
    <w:rsid w:val="007C0FA0"/>
    <w:rsid w:val="007C1083"/>
    <w:rsid w:val="007C11A7"/>
    <w:rsid w:val="007C1388"/>
    <w:rsid w:val="007C13A2"/>
    <w:rsid w:val="007C141B"/>
    <w:rsid w:val="007C1437"/>
    <w:rsid w:val="007C148E"/>
    <w:rsid w:val="007C14B1"/>
    <w:rsid w:val="007C14E5"/>
    <w:rsid w:val="007C14FC"/>
    <w:rsid w:val="007C1538"/>
    <w:rsid w:val="007C15DF"/>
    <w:rsid w:val="007C16C5"/>
    <w:rsid w:val="007C177E"/>
    <w:rsid w:val="007C181C"/>
    <w:rsid w:val="007C181E"/>
    <w:rsid w:val="007C185D"/>
    <w:rsid w:val="007C187F"/>
    <w:rsid w:val="007C18EE"/>
    <w:rsid w:val="007C1930"/>
    <w:rsid w:val="007C19C6"/>
    <w:rsid w:val="007C1A52"/>
    <w:rsid w:val="007C1A5A"/>
    <w:rsid w:val="007C1AE9"/>
    <w:rsid w:val="007C1B01"/>
    <w:rsid w:val="007C1BF0"/>
    <w:rsid w:val="007C1C1C"/>
    <w:rsid w:val="007C1D8D"/>
    <w:rsid w:val="007C1D93"/>
    <w:rsid w:val="007C1DBC"/>
    <w:rsid w:val="007C1E1C"/>
    <w:rsid w:val="007C1EA3"/>
    <w:rsid w:val="007C1ECC"/>
    <w:rsid w:val="007C2020"/>
    <w:rsid w:val="007C2059"/>
    <w:rsid w:val="007C205E"/>
    <w:rsid w:val="007C2077"/>
    <w:rsid w:val="007C20B6"/>
    <w:rsid w:val="007C20EF"/>
    <w:rsid w:val="007C20F5"/>
    <w:rsid w:val="007C20F9"/>
    <w:rsid w:val="007C2126"/>
    <w:rsid w:val="007C21A2"/>
    <w:rsid w:val="007C21C9"/>
    <w:rsid w:val="007C21CA"/>
    <w:rsid w:val="007C22D9"/>
    <w:rsid w:val="007C22EF"/>
    <w:rsid w:val="007C2304"/>
    <w:rsid w:val="007C2313"/>
    <w:rsid w:val="007C23F4"/>
    <w:rsid w:val="007C24BC"/>
    <w:rsid w:val="007C2506"/>
    <w:rsid w:val="007C25D6"/>
    <w:rsid w:val="007C25E7"/>
    <w:rsid w:val="007C25F6"/>
    <w:rsid w:val="007C26AE"/>
    <w:rsid w:val="007C27D5"/>
    <w:rsid w:val="007C2844"/>
    <w:rsid w:val="007C2849"/>
    <w:rsid w:val="007C284B"/>
    <w:rsid w:val="007C286B"/>
    <w:rsid w:val="007C28D0"/>
    <w:rsid w:val="007C28DB"/>
    <w:rsid w:val="007C28FD"/>
    <w:rsid w:val="007C29C7"/>
    <w:rsid w:val="007C29EC"/>
    <w:rsid w:val="007C2A74"/>
    <w:rsid w:val="007C2ACC"/>
    <w:rsid w:val="007C2C1B"/>
    <w:rsid w:val="007C2CC0"/>
    <w:rsid w:val="007C2CCA"/>
    <w:rsid w:val="007C2D83"/>
    <w:rsid w:val="007C2D93"/>
    <w:rsid w:val="007C2DBD"/>
    <w:rsid w:val="007C2E0A"/>
    <w:rsid w:val="007C2F12"/>
    <w:rsid w:val="007C2FC4"/>
    <w:rsid w:val="007C2FF2"/>
    <w:rsid w:val="007C309C"/>
    <w:rsid w:val="007C30B8"/>
    <w:rsid w:val="007C310D"/>
    <w:rsid w:val="007C318C"/>
    <w:rsid w:val="007C319A"/>
    <w:rsid w:val="007C320D"/>
    <w:rsid w:val="007C3223"/>
    <w:rsid w:val="007C3233"/>
    <w:rsid w:val="007C324D"/>
    <w:rsid w:val="007C3292"/>
    <w:rsid w:val="007C32BF"/>
    <w:rsid w:val="007C3310"/>
    <w:rsid w:val="007C336B"/>
    <w:rsid w:val="007C3383"/>
    <w:rsid w:val="007C3399"/>
    <w:rsid w:val="007C3403"/>
    <w:rsid w:val="007C3472"/>
    <w:rsid w:val="007C3475"/>
    <w:rsid w:val="007C3556"/>
    <w:rsid w:val="007C3567"/>
    <w:rsid w:val="007C35D4"/>
    <w:rsid w:val="007C35E2"/>
    <w:rsid w:val="007C35E4"/>
    <w:rsid w:val="007C361E"/>
    <w:rsid w:val="007C3629"/>
    <w:rsid w:val="007C365B"/>
    <w:rsid w:val="007C3678"/>
    <w:rsid w:val="007C369E"/>
    <w:rsid w:val="007C36F6"/>
    <w:rsid w:val="007C3716"/>
    <w:rsid w:val="007C3758"/>
    <w:rsid w:val="007C376B"/>
    <w:rsid w:val="007C3839"/>
    <w:rsid w:val="007C383A"/>
    <w:rsid w:val="007C388E"/>
    <w:rsid w:val="007C38FC"/>
    <w:rsid w:val="007C39F5"/>
    <w:rsid w:val="007C3A17"/>
    <w:rsid w:val="007C3AE6"/>
    <w:rsid w:val="007C3C43"/>
    <w:rsid w:val="007C3C69"/>
    <w:rsid w:val="007C3C7B"/>
    <w:rsid w:val="007C3CD4"/>
    <w:rsid w:val="007C3CDF"/>
    <w:rsid w:val="007C3D43"/>
    <w:rsid w:val="007C3D87"/>
    <w:rsid w:val="007C3DDD"/>
    <w:rsid w:val="007C3E00"/>
    <w:rsid w:val="007C3F4E"/>
    <w:rsid w:val="007C3F55"/>
    <w:rsid w:val="007C3FD0"/>
    <w:rsid w:val="007C4004"/>
    <w:rsid w:val="007C405A"/>
    <w:rsid w:val="007C4111"/>
    <w:rsid w:val="007C4179"/>
    <w:rsid w:val="007C41AF"/>
    <w:rsid w:val="007C4273"/>
    <w:rsid w:val="007C42B3"/>
    <w:rsid w:val="007C43C3"/>
    <w:rsid w:val="007C443E"/>
    <w:rsid w:val="007C457F"/>
    <w:rsid w:val="007C45BE"/>
    <w:rsid w:val="007C45D9"/>
    <w:rsid w:val="007C46D7"/>
    <w:rsid w:val="007C46E5"/>
    <w:rsid w:val="007C46FF"/>
    <w:rsid w:val="007C475F"/>
    <w:rsid w:val="007C4792"/>
    <w:rsid w:val="007C47D7"/>
    <w:rsid w:val="007C4828"/>
    <w:rsid w:val="007C48E7"/>
    <w:rsid w:val="007C4904"/>
    <w:rsid w:val="007C490C"/>
    <w:rsid w:val="007C49B2"/>
    <w:rsid w:val="007C49E8"/>
    <w:rsid w:val="007C4A48"/>
    <w:rsid w:val="007C4A6A"/>
    <w:rsid w:val="007C4AA6"/>
    <w:rsid w:val="007C4B29"/>
    <w:rsid w:val="007C4B2D"/>
    <w:rsid w:val="007C4B6C"/>
    <w:rsid w:val="007C4BBD"/>
    <w:rsid w:val="007C4C8A"/>
    <w:rsid w:val="007C4CD4"/>
    <w:rsid w:val="007C4CF4"/>
    <w:rsid w:val="007C4D25"/>
    <w:rsid w:val="007C4E1F"/>
    <w:rsid w:val="007C4EA4"/>
    <w:rsid w:val="007C4EEA"/>
    <w:rsid w:val="007C4EEF"/>
    <w:rsid w:val="007C4F27"/>
    <w:rsid w:val="007C4F45"/>
    <w:rsid w:val="007C4F4F"/>
    <w:rsid w:val="007C4F69"/>
    <w:rsid w:val="007C4F86"/>
    <w:rsid w:val="007C4FD0"/>
    <w:rsid w:val="007C5083"/>
    <w:rsid w:val="007C50CB"/>
    <w:rsid w:val="007C5138"/>
    <w:rsid w:val="007C5178"/>
    <w:rsid w:val="007C5249"/>
    <w:rsid w:val="007C52DD"/>
    <w:rsid w:val="007C5374"/>
    <w:rsid w:val="007C53AD"/>
    <w:rsid w:val="007C5427"/>
    <w:rsid w:val="007C542E"/>
    <w:rsid w:val="007C55B2"/>
    <w:rsid w:val="007C5608"/>
    <w:rsid w:val="007C5697"/>
    <w:rsid w:val="007C56A9"/>
    <w:rsid w:val="007C5728"/>
    <w:rsid w:val="007C5730"/>
    <w:rsid w:val="007C57A2"/>
    <w:rsid w:val="007C57CF"/>
    <w:rsid w:val="007C58C1"/>
    <w:rsid w:val="007C5991"/>
    <w:rsid w:val="007C5A28"/>
    <w:rsid w:val="007C5A74"/>
    <w:rsid w:val="007C5A77"/>
    <w:rsid w:val="007C5AF7"/>
    <w:rsid w:val="007C5B8C"/>
    <w:rsid w:val="007C5BD1"/>
    <w:rsid w:val="007C5BDB"/>
    <w:rsid w:val="007C5C18"/>
    <w:rsid w:val="007C5C27"/>
    <w:rsid w:val="007C5C85"/>
    <w:rsid w:val="007C5C90"/>
    <w:rsid w:val="007C5D32"/>
    <w:rsid w:val="007C5DD4"/>
    <w:rsid w:val="007C5E6C"/>
    <w:rsid w:val="007C5FE8"/>
    <w:rsid w:val="007C5FEE"/>
    <w:rsid w:val="007C603C"/>
    <w:rsid w:val="007C6141"/>
    <w:rsid w:val="007C614E"/>
    <w:rsid w:val="007C619B"/>
    <w:rsid w:val="007C630B"/>
    <w:rsid w:val="007C632C"/>
    <w:rsid w:val="007C6387"/>
    <w:rsid w:val="007C643A"/>
    <w:rsid w:val="007C6478"/>
    <w:rsid w:val="007C652B"/>
    <w:rsid w:val="007C6563"/>
    <w:rsid w:val="007C6579"/>
    <w:rsid w:val="007C65FC"/>
    <w:rsid w:val="007C664F"/>
    <w:rsid w:val="007C672A"/>
    <w:rsid w:val="007C6759"/>
    <w:rsid w:val="007C67AE"/>
    <w:rsid w:val="007C67F5"/>
    <w:rsid w:val="007C6832"/>
    <w:rsid w:val="007C683E"/>
    <w:rsid w:val="007C6873"/>
    <w:rsid w:val="007C690E"/>
    <w:rsid w:val="007C6973"/>
    <w:rsid w:val="007C699B"/>
    <w:rsid w:val="007C6A49"/>
    <w:rsid w:val="007C6A6F"/>
    <w:rsid w:val="007C6AF4"/>
    <w:rsid w:val="007C6B8C"/>
    <w:rsid w:val="007C6B94"/>
    <w:rsid w:val="007C6BDE"/>
    <w:rsid w:val="007C6C00"/>
    <w:rsid w:val="007C6CDD"/>
    <w:rsid w:val="007C6D51"/>
    <w:rsid w:val="007C6D64"/>
    <w:rsid w:val="007C6D88"/>
    <w:rsid w:val="007C6DC5"/>
    <w:rsid w:val="007C6DFF"/>
    <w:rsid w:val="007C6E24"/>
    <w:rsid w:val="007C6E40"/>
    <w:rsid w:val="007C6E45"/>
    <w:rsid w:val="007C6E6E"/>
    <w:rsid w:val="007C6EF1"/>
    <w:rsid w:val="007C6F06"/>
    <w:rsid w:val="007C6F09"/>
    <w:rsid w:val="007C6F97"/>
    <w:rsid w:val="007C6FAC"/>
    <w:rsid w:val="007C6FCD"/>
    <w:rsid w:val="007C7054"/>
    <w:rsid w:val="007C70B7"/>
    <w:rsid w:val="007C70D6"/>
    <w:rsid w:val="007C70DC"/>
    <w:rsid w:val="007C716F"/>
    <w:rsid w:val="007C7177"/>
    <w:rsid w:val="007C72E6"/>
    <w:rsid w:val="007C7347"/>
    <w:rsid w:val="007C73AB"/>
    <w:rsid w:val="007C74A0"/>
    <w:rsid w:val="007C74A8"/>
    <w:rsid w:val="007C7503"/>
    <w:rsid w:val="007C753E"/>
    <w:rsid w:val="007C7586"/>
    <w:rsid w:val="007C75AF"/>
    <w:rsid w:val="007C7623"/>
    <w:rsid w:val="007C7672"/>
    <w:rsid w:val="007C7720"/>
    <w:rsid w:val="007C775B"/>
    <w:rsid w:val="007C7848"/>
    <w:rsid w:val="007C78A6"/>
    <w:rsid w:val="007C78B0"/>
    <w:rsid w:val="007C792F"/>
    <w:rsid w:val="007C7942"/>
    <w:rsid w:val="007C79BB"/>
    <w:rsid w:val="007C79F4"/>
    <w:rsid w:val="007C7A1B"/>
    <w:rsid w:val="007C7A22"/>
    <w:rsid w:val="007C7A79"/>
    <w:rsid w:val="007C7AB2"/>
    <w:rsid w:val="007C7BC0"/>
    <w:rsid w:val="007C7C26"/>
    <w:rsid w:val="007C7C3B"/>
    <w:rsid w:val="007C7C53"/>
    <w:rsid w:val="007C7D57"/>
    <w:rsid w:val="007C7E09"/>
    <w:rsid w:val="007C7E24"/>
    <w:rsid w:val="007C7E3C"/>
    <w:rsid w:val="007C7E5F"/>
    <w:rsid w:val="007C7F61"/>
    <w:rsid w:val="007C7F6C"/>
    <w:rsid w:val="007C7F9B"/>
    <w:rsid w:val="007C7FAF"/>
    <w:rsid w:val="007D000E"/>
    <w:rsid w:val="007D0030"/>
    <w:rsid w:val="007D0088"/>
    <w:rsid w:val="007D0105"/>
    <w:rsid w:val="007D018A"/>
    <w:rsid w:val="007D022D"/>
    <w:rsid w:val="007D0231"/>
    <w:rsid w:val="007D0294"/>
    <w:rsid w:val="007D029D"/>
    <w:rsid w:val="007D0368"/>
    <w:rsid w:val="007D0398"/>
    <w:rsid w:val="007D0409"/>
    <w:rsid w:val="007D042B"/>
    <w:rsid w:val="007D045B"/>
    <w:rsid w:val="007D045C"/>
    <w:rsid w:val="007D0464"/>
    <w:rsid w:val="007D0493"/>
    <w:rsid w:val="007D04F4"/>
    <w:rsid w:val="007D0501"/>
    <w:rsid w:val="007D054F"/>
    <w:rsid w:val="007D05E6"/>
    <w:rsid w:val="007D0611"/>
    <w:rsid w:val="007D061F"/>
    <w:rsid w:val="007D0622"/>
    <w:rsid w:val="007D0625"/>
    <w:rsid w:val="007D0655"/>
    <w:rsid w:val="007D06E7"/>
    <w:rsid w:val="007D071C"/>
    <w:rsid w:val="007D0727"/>
    <w:rsid w:val="007D0772"/>
    <w:rsid w:val="007D078B"/>
    <w:rsid w:val="007D078C"/>
    <w:rsid w:val="007D07C2"/>
    <w:rsid w:val="007D0804"/>
    <w:rsid w:val="007D0839"/>
    <w:rsid w:val="007D0868"/>
    <w:rsid w:val="007D087B"/>
    <w:rsid w:val="007D08E2"/>
    <w:rsid w:val="007D092A"/>
    <w:rsid w:val="007D09E4"/>
    <w:rsid w:val="007D0A13"/>
    <w:rsid w:val="007D0A49"/>
    <w:rsid w:val="007D0A5D"/>
    <w:rsid w:val="007D0AA7"/>
    <w:rsid w:val="007D0ACE"/>
    <w:rsid w:val="007D0BDC"/>
    <w:rsid w:val="007D0BF8"/>
    <w:rsid w:val="007D0C2C"/>
    <w:rsid w:val="007D0D2B"/>
    <w:rsid w:val="007D0D49"/>
    <w:rsid w:val="007D0D5B"/>
    <w:rsid w:val="007D0D5E"/>
    <w:rsid w:val="007D0D68"/>
    <w:rsid w:val="007D0DFC"/>
    <w:rsid w:val="007D0EC2"/>
    <w:rsid w:val="007D0EDA"/>
    <w:rsid w:val="007D0F2B"/>
    <w:rsid w:val="007D0F54"/>
    <w:rsid w:val="007D0F9A"/>
    <w:rsid w:val="007D0FAE"/>
    <w:rsid w:val="007D0FB2"/>
    <w:rsid w:val="007D1000"/>
    <w:rsid w:val="007D104C"/>
    <w:rsid w:val="007D1083"/>
    <w:rsid w:val="007D1139"/>
    <w:rsid w:val="007D1169"/>
    <w:rsid w:val="007D11F2"/>
    <w:rsid w:val="007D11F6"/>
    <w:rsid w:val="007D1281"/>
    <w:rsid w:val="007D1282"/>
    <w:rsid w:val="007D128A"/>
    <w:rsid w:val="007D1309"/>
    <w:rsid w:val="007D1396"/>
    <w:rsid w:val="007D13C6"/>
    <w:rsid w:val="007D143F"/>
    <w:rsid w:val="007D1444"/>
    <w:rsid w:val="007D14C4"/>
    <w:rsid w:val="007D151B"/>
    <w:rsid w:val="007D1530"/>
    <w:rsid w:val="007D1569"/>
    <w:rsid w:val="007D15ED"/>
    <w:rsid w:val="007D15EE"/>
    <w:rsid w:val="007D16CF"/>
    <w:rsid w:val="007D16F3"/>
    <w:rsid w:val="007D1724"/>
    <w:rsid w:val="007D1725"/>
    <w:rsid w:val="007D17C4"/>
    <w:rsid w:val="007D189E"/>
    <w:rsid w:val="007D18ED"/>
    <w:rsid w:val="007D190B"/>
    <w:rsid w:val="007D190D"/>
    <w:rsid w:val="007D1918"/>
    <w:rsid w:val="007D1920"/>
    <w:rsid w:val="007D193D"/>
    <w:rsid w:val="007D19C1"/>
    <w:rsid w:val="007D1AEE"/>
    <w:rsid w:val="007D1B2D"/>
    <w:rsid w:val="007D1B90"/>
    <w:rsid w:val="007D1BBD"/>
    <w:rsid w:val="007D1C03"/>
    <w:rsid w:val="007D1C22"/>
    <w:rsid w:val="007D1C4E"/>
    <w:rsid w:val="007D1CDE"/>
    <w:rsid w:val="007D1D89"/>
    <w:rsid w:val="007D1DC0"/>
    <w:rsid w:val="007D1DCE"/>
    <w:rsid w:val="007D1DF2"/>
    <w:rsid w:val="007D1E80"/>
    <w:rsid w:val="007D1E94"/>
    <w:rsid w:val="007D1F5A"/>
    <w:rsid w:val="007D1FB3"/>
    <w:rsid w:val="007D1FCA"/>
    <w:rsid w:val="007D1FFB"/>
    <w:rsid w:val="007D20DE"/>
    <w:rsid w:val="007D20E2"/>
    <w:rsid w:val="007D2110"/>
    <w:rsid w:val="007D220D"/>
    <w:rsid w:val="007D2225"/>
    <w:rsid w:val="007D224D"/>
    <w:rsid w:val="007D227C"/>
    <w:rsid w:val="007D22B5"/>
    <w:rsid w:val="007D22E4"/>
    <w:rsid w:val="007D233C"/>
    <w:rsid w:val="007D23FE"/>
    <w:rsid w:val="007D2480"/>
    <w:rsid w:val="007D248D"/>
    <w:rsid w:val="007D2503"/>
    <w:rsid w:val="007D2551"/>
    <w:rsid w:val="007D257F"/>
    <w:rsid w:val="007D25EB"/>
    <w:rsid w:val="007D26F1"/>
    <w:rsid w:val="007D273B"/>
    <w:rsid w:val="007D2792"/>
    <w:rsid w:val="007D2A25"/>
    <w:rsid w:val="007D2B26"/>
    <w:rsid w:val="007D2B7F"/>
    <w:rsid w:val="007D2B87"/>
    <w:rsid w:val="007D2B8C"/>
    <w:rsid w:val="007D2CE5"/>
    <w:rsid w:val="007D2DB4"/>
    <w:rsid w:val="007D2E0F"/>
    <w:rsid w:val="007D2E64"/>
    <w:rsid w:val="007D2ED8"/>
    <w:rsid w:val="007D2F20"/>
    <w:rsid w:val="007D2F23"/>
    <w:rsid w:val="007D2F3D"/>
    <w:rsid w:val="007D3038"/>
    <w:rsid w:val="007D30A3"/>
    <w:rsid w:val="007D30DF"/>
    <w:rsid w:val="007D30F5"/>
    <w:rsid w:val="007D3134"/>
    <w:rsid w:val="007D31D1"/>
    <w:rsid w:val="007D31F6"/>
    <w:rsid w:val="007D3338"/>
    <w:rsid w:val="007D333E"/>
    <w:rsid w:val="007D344D"/>
    <w:rsid w:val="007D34EC"/>
    <w:rsid w:val="007D357F"/>
    <w:rsid w:val="007D3604"/>
    <w:rsid w:val="007D3650"/>
    <w:rsid w:val="007D3682"/>
    <w:rsid w:val="007D3684"/>
    <w:rsid w:val="007D36BF"/>
    <w:rsid w:val="007D3724"/>
    <w:rsid w:val="007D3741"/>
    <w:rsid w:val="007D374E"/>
    <w:rsid w:val="007D377B"/>
    <w:rsid w:val="007D37BA"/>
    <w:rsid w:val="007D37DB"/>
    <w:rsid w:val="007D382E"/>
    <w:rsid w:val="007D3897"/>
    <w:rsid w:val="007D38EC"/>
    <w:rsid w:val="007D3991"/>
    <w:rsid w:val="007D39A6"/>
    <w:rsid w:val="007D39AE"/>
    <w:rsid w:val="007D39AF"/>
    <w:rsid w:val="007D3AA2"/>
    <w:rsid w:val="007D3AC9"/>
    <w:rsid w:val="007D3B9D"/>
    <w:rsid w:val="007D3BC1"/>
    <w:rsid w:val="007D3C64"/>
    <w:rsid w:val="007D3CBB"/>
    <w:rsid w:val="007D3CBC"/>
    <w:rsid w:val="007D3CD7"/>
    <w:rsid w:val="007D3CE0"/>
    <w:rsid w:val="007D3CE4"/>
    <w:rsid w:val="007D3D05"/>
    <w:rsid w:val="007D3D1E"/>
    <w:rsid w:val="007D3D69"/>
    <w:rsid w:val="007D3D99"/>
    <w:rsid w:val="007D3E15"/>
    <w:rsid w:val="007D3E35"/>
    <w:rsid w:val="007D3EA3"/>
    <w:rsid w:val="007D3EE5"/>
    <w:rsid w:val="007D3F24"/>
    <w:rsid w:val="007D3F32"/>
    <w:rsid w:val="007D3F76"/>
    <w:rsid w:val="007D3F95"/>
    <w:rsid w:val="007D4012"/>
    <w:rsid w:val="007D407A"/>
    <w:rsid w:val="007D40E0"/>
    <w:rsid w:val="007D4145"/>
    <w:rsid w:val="007D4198"/>
    <w:rsid w:val="007D41A1"/>
    <w:rsid w:val="007D41F9"/>
    <w:rsid w:val="007D42D2"/>
    <w:rsid w:val="007D4339"/>
    <w:rsid w:val="007D4350"/>
    <w:rsid w:val="007D43A7"/>
    <w:rsid w:val="007D43B1"/>
    <w:rsid w:val="007D44BA"/>
    <w:rsid w:val="007D4619"/>
    <w:rsid w:val="007D4710"/>
    <w:rsid w:val="007D4740"/>
    <w:rsid w:val="007D477D"/>
    <w:rsid w:val="007D482C"/>
    <w:rsid w:val="007D488F"/>
    <w:rsid w:val="007D48A4"/>
    <w:rsid w:val="007D48BE"/>
    <w:rsid w:val="007D48E0"/>
    <w:rsid w:val="007D4921"/>
    <w:rsid w:val="007D4969"/>
    <w:rsid w:val="007D49C0"/>
    <w:rsid w:val="007D4A17"/>
    <w:rsid w:val="007D4AE0"/>
    <w:rsid w:val="007D4B52"/>
    <w:rsid w:val="007D4BF8"/>
    <w:rsid w:val="007D4C52"/>
    <w:rsid w:val="007D4C53"/>
    <w:rsid w:val="007D4C83"/>
    <w:rsid w:val="007D4D18"/>
    <w:rsid w:val="007D4E2F"/>
    <w:rsid w:val="007D4E62"/>
    <w:rsid w:val="007D4E67"/>
    <w:rsid w:val="007D4EB2"/>
    <w:rsid w:val="007D4F51"/>
    <w:rsid w:val="007D4F70"/>
    <w:rsid w:val="007D5030"/>
    <w:rsid w:val="007D505F"/>
    <w:rsid w:val="007D50E8"/>
    <w:rsid w:val="007D5168"/>
    <w:rsid w:val="007D5177"/>
    <w:rsid w:val="007D51AD"/>
    <w:rsid w:val="007D51EB"/>
    <w:rsid w:val="007D520D"/>
    <w:rsid w:val="007D538D"/>
    <w:rsid w:val="007D5420"/>
    <w:rsid w:val="007D5428"/>
    <w:rsid w:val="007D544A"/>
    <w:rsid w:val="007D546A"/>
    <w:rsid w:val="007D54A6"/>
    <w:rsid w:val="007D54A7"/>
    <w:rsid w:val="007D5516"/>
    <w:rsid w:val="007D5595"/>
    <w:rsid w:val="007D5679"/>
    <w:rsid w:val="007D5699"/>
    <w:rsid w:val="007D5727"/>
    <w:rsid w:val="007D578B"/>
    <w:rsid w:val="007D57B0"/>
    <w:rsid w:val="007D57CC"/>
    <w:rsid w:val="007D57F9"/>
    <w:rsid w:val="007D5877"/>
    <w:rsid w:val="007D58AE"/>
    <w:rsid w:val="007D58D5"/>
    <w:rsid w:val="007D58F8"/>
    <w:rsid w:val="007D5A15"/>
    <w:rsid w:val="007D5AB2"/>
    <w:rsid w:val="007D5AC7"/>
    <w:rsid w:val="007D5B1B"/>
    <w:rsid w:val="007D5BDA"/>
    <w:rsid w:val="007D5E26"/>
    <w:rsid w:val="007D5F45"/>
    <w:rsid w:val="007D5F55"/>
    <w:rsid w:val="007D5F6C"/>
    <w:rsid w:val="007D600F"/>
    <w:rsid w:val="007D60DF"/>
    <w:rsid w:val="007D61A8"/>
    <w:rsid w:val="007D620D"/>
    <w:rsid w:val="007D623B"/>
    <w:rsid w:val="007D624A"/>
    <w:rsid w:val="007D625B"/>
    <w:rsid w:val="007D626C"/>
    <w:rsid w:val="007D6277"/>
    <w:rsid w:val="007D627D"/>
    <w:rsid w:val="007D6285"/>
    <w:rsid w:val="007D6311"/>
    <w:rsid w:val="007D6317"/>
    <w:rsid w:val="007D638F"/>
    <w:rsid w:val="007D63C1"/>
    <w:rsid w:val="007D6430"/>
    <w:rsid w:val="007D645A"/>
    <w:rsid w:val="007D64AB"/>
    <w:rsid w:val="007D6530"/>
    <w:rsid w:val="007D65B2"/>
    <w:rsid w:val="007D6655"/>
    <w:rsid w:val="007D6738"/>
    <w:rsid w:val="007D67B3"/>
    <w:rsid w:val="007D67E3"/>
    <w:rsid w:val="007D681B"/>
    <w:rsid w:val="007D69EA"/>
    <w:rsid w:val="007D69EC"/>
    <w:rsid w:val="007D6A30"/>
    <w:rsid w:val="007D6ADF"/>
    <w:rsid w:val="007D6BDB"/>
    <w:rsid w:val="007D6C0B"/>
    <w:rsid w:val="007D6C66"/>
    <w:rsid w:val="007D6C79"/>
    <w:rsid w:val="007D6D2F"/>
    <w:rsid w:val="007D6D3D"/>
    <w:rsid w:val="007D6D5B"/>
    <w:rsid w:val="007D6E23"/>
    <w:rsid w:val="007D6E25"/>
    <w:rsid w:val="007D6E7C"/>
    <w:rsid w:val="007D6EF3"/>
    <w:rsid w:val="007D6FD3"/>
    <w:rsid w:val="007D7010"/>
    <w:rsid w:val="007D7095"/>
    <w:rsid w:val="007D70AD"/>
    <w:rsid w:val="007D70DE"/>
    <w:rsid w:val="007D7162"/>
    <w:rsid w:val="007D71C0"/>
    <w:rsid w:val="007D71CB"/>
    <w:rsid w:val="007D720E"/>
    <w:rsid w:val="007D7282"/>
    <w:rsid w:val="007D72A4"/>
    <w:rsid w:val="007D72BC"/>
    <w:rsid w:val="007D735E"/>
    <w:rsid w:val="007D737E"/>
    <w:rsid w:val="007D73AB"/>
    <w:rsid w:val="007D744A"/>
    <w:rsid w:val="007D749A"/>
    <w:rsid w:val="007D7536"/>
    <w:rsid w:val="007D7596"/>
    <w:rsid w:val="007D76CC"/>
    <w:rsid w:val="007D76FE"/>
    <w:rsid w:val="007D77C2"/>
    <w:rsid w:val="007D77E9"/>
    <w:rsid w:val="007D77FE"/>
    <w:rsid w:val="007D7853"/>
    <w:rsid w:val="007D7865"/>
    <w:rsid w:val="007D78BA"/>
    <w:rsid w:val="007D78CF"/>
    <w:rsid w:val="007D78E6"/>
    <w:rsid w:val="007D79C8"/>
    <w:rsid w:val="007D79E3"/>
    <w:rsid w:val="007D7A2E"/>
    <w:rsid w:val="007D7A42"/>
    <w:rsid w:val="007D7A4E"/>
    <w:rsid w:val="007D7A52"/>
    <w:rsid w:val="007D7A62"/>
    <w:rsid w:val="007D7B00"/>
    <w:rsid w:val="007D7B45"/>
    <w:rsid w:val="007D7BC2"/>
    <w:rsid w:val="007D7BEB"/>
    <w:rsid w:val="007D7C5F"/>
    <w:rsid w:val="007D7D36"/>
    <w:rsid w:val="007D7D3F"/>
    <w:rsid w:val="007D7D51"/>
    <w:rsid w:val="007D7DC5"/>
    <w:rsid w:val="007D7E0B"/>
    <w:rsid w:val="007D7E29"/>
    <w:rsid w:val="007D7E67"/>
    <w:rsid w:val="007D7E70"/>
    <w:rsid w:val="007D7EE6"/>
    <w:rsid w:val="007D7EF3"/>
    <w:rsid w:val="007D7F0F"/>
    <w:rsid w:val="007D7F20"/>
    <w:rsid w:val="007D7FB1"/>
    <w:rsid w:val="007E0087"/>
    <w:rsid w:val="007E00C9"/>
    <w:rsid w:val="007E0179"/>
    <w:rsid w:val="007E017B"/>
    <w:rsid w:val="007E0196"/>
    <w:rsid w:val="007E0265"/>
    <w:rsid w:val="007E0336"/>
    <w:rsid w:val="007E033C"/>
    <w:rsid w:val="007E03E7"/>
    <w:rsid w:val="007E0402"/>
    <w:rsid w:val="007E045D"/>
    <w:rsid w:val="007E0464"/>
    <w:rsid w:val="007E04BC"/>
    <w:rsid w:val="007E04C9"/>
    <w:rsid w:val="007E0586"/>
    <w:rsid w:val="007E059C"/>
    <w:rsid w:val="007E059F"/>
    <w:rsid w:val="007E05E6"/>
    <w:rsid w:val="007E05EC"/>
    <w:rsid w:val="007E0657"/>
    <w:rsid w:val="007E0666"/>
    <w:rsid w:val="007E0735"/>
    <w:rsid w:val="007E073C"/>
    <w:rsid w:val="007E0855"/>
    <w:rsid w:val="007E0895"/>
    <w:rsid w:val="007E090F"/>
    <w:rsid w:val="007E0916"/>
    <w:rsid w:val="007E091C"/>
    <w:rsid w:val="007E0935"/>
    <w:rsid w:val="007E0973"/>
    <w:rsid w:val="007E0A78"/>
    <w:rsid w:val="007E0B3B"/>
    <w:rsid w:val="007E0BAD"/>
    <w:rsid w:val="007E0BEA"/>
    <w:rsid w:val="007E0D52"/>
    <w:rsid w:val="007E0DF2"/>
    <w:rsid w:val="007E0E77"/>
    <w:rsid w:val="007E0FA2"/>
    <w:rsid w:val="007E10BA"/>
    <w:rsid w:val="007E1111"/>
    <w:rsid w:val="007E1144"/>
    <w:rsid w:val="007E1174"/>
    <w:rsid w:val="007E11B6"/>
    <w:rsid w:val="007E11E1"/>
    <w:rsid w:val="007E1214"/>
    <w:rsid w:val="007E13B5"/>
    <w:rsid w:val="007E1461"/>
    <w:rsid w:val="007E149F"/>
    <w:rsid w:val="007E14F0"/>
    <w:rsid w:val="007E1541"/>
    <w:rsid w:val="007E1562"/>
    <w:rsid w:val="007E159A"/>
    <w:rsid w:val="007E15A5"/>
    <w:rsid w:val="007E15AD"/>
    <w:rsid w:val="007E15AE"/>
    <w:rsid w:val="007E15CE"/>
    <w:rsid w:val="007E1697"/>
    <w:rsid w:val="007E16D0"/>
    <w:rsid w:val="007E16D5"/>
    <w:rsid w:val="007E170B"/>
    <w:rsid w:val="007E1732"/>
    <w:rsid w:val="007E1733"/>
    <w:rsid w:val="007E176D"/>
    <w:rsid w:val="007E180F"/>
    <w:rsid w:val="007E1826"/>
    <w:rsid w:val="007E1850"/>
    <w:rsid w:val="007E19E2"/>
    <w:rsid w:val="007E1A38"/>
    <w:rsid w:val="007E1BFF"/>
    <w:rsid w:val="007E1C94"/>
    <w:rsid w:val="007E1D00"/>
    <w:rsid w:val="007E1D28"/>
    <w:rsid w:val="007E1D9C"/>
    <w:rsid w:val="007E1E24"/>
    <w:rsid w:val="007E1E4E"/>
    <w:rsid w:val="007E208D"/>
    <w:rsid w:val="007E20D0"/>
    <w:rsid w:val="007E214E"/>
    <w:rsid w:val="007E2157"/>
    <w:rsid w:val="007E219A"/>
    <w:rsid w:val="007E21A1"/>
    <w:rsid w:val="007E21A2"/>
    <w:rsid w:val="007E22FF"/>
    <w:rsid w:val="007E239A"/>
    <w:rsid w:val="007E23DE"/>
    <w:rsid w:val="007E23F1"/>
    <w:rsid w:val="007E241A"/>
    <w:rsid w:val="007E2466"/>
    <w:rsid w:val="007E248A"/>
    <w:rsid w:val="007E2554"/>
    <w:rsid w:val="007E25F7"/>
    <w:rsid w:val="007E266F"/>
    <w:rsid w:val="007E2687"/>
    <w:rsid w:val="007E272E"/>
    <w:rsid w:val="007E2776"/>
    <w:rsid w:val="007E277D"/>
    <w:rsid w:val="007E278A"/>
    <w:rsid w:val="007E27ED"/>
    <w:rsid w:val="007E2878"/>
    <w:rsid w:val="007E2896"/>
    <w:rsid w:val="007E2941"/>
    <w:rsid w:val="007E2982"/>
    <w:rsid w:val="007E2B0F"/>
    <w:rsid w:val="007E2BCB"/>
    <w:rsid w:val="007E2BCD"/>
    <w:rsid w:val="007E2C03"/>
    <w:rsid w:val="007E2C98"/>
    <w:rsid w:val="007E2D1A"/>
    <w:rsid w:val="007E2DC3"/>
    <w:rsid w:val="007E2DC4"/>
    <w:rsid w:val="007E2DCB"/>
    <w:rsid w:val="007E2E2E"/>
    <w:rsid w:val="007E2E2F"/>
    <w:rsid w:val="007E2E96"/>
    <w:rsid w:val="007E2F5B"/>
    <w:rsid w:val="007E2F73"/>
    <w:rsid w:val="007E2FD4"/>
    <w:rsid w:val="007E2FDF"/>
    <w:rsid w:val="007E300D"/>
    <w:rsid w:val="007E3039"/>
    <w:rsid w:val="007E30B4"/>
    <w:rsid w:val="007E30B9"/>
    <w:rsid w:val="007E30D4"/>
    <w:rsid w:val="007E30EA"/>
    <w:rsid w:val="007E3218"/>
    <w:rsid w:val="007E3344"/>
    <w:rsid w:val="007E33FD"/>
    <w:rsid w:val="007E3488"/>
    <w:rsid w:val="007E34A5"/>
    <w:rsid w:val="007E34A8"/>
    <w:rsid w:val="007E34C0"/>
    <w:rsid w:val="007E34E7"/>
    <w:rsid w:val="007E34FF"/>
    <w:rsid w:val="007E365D"/>
    <w:rsid w:val="007E3673"/>
    <w:rsid w:val="007E3698"/>
    <w:rsid w:val="007E36C9"/>
    <w:rsid w:val="007E36EE"/>
    <w:rsid w:val="007E3712"/>
    <w:rsid w:val="007E3747"/>
    <w:rsid w:val="007E394D"/>
    <w:rsid w:val="007E3972"/>
    <w:rsid w:val="007E398F"/>
    <w:rsid w:val="007E39C0"/>
    <w:rsid w:val="007E3AC2"/>
    <w:rsid w:val="007E3D18"/>
    <w:rsid w:val="007E3D41"/>
    <w:rsid w:val="007E3D9F"/>
    <w:rsid w:val="007E3E9B"/>
    <w:rsid w:val="007E3EB6"/>
    <w:rsid w:val="007E3F01"/>
    <w:rsid w:val="007E3F79"/>
    <w:rsid w:val="007E3FE0"/>
    <w:rsid w:val="007E4033"/>
    <w:rsid w:val="007E40AE"/>
    <w:rsid w:val="007E40D7"/>
    <w:rsid w:val="007E40FD"/>
    <w:rsid w:val="007E414D"/>
    <w:rsid w:val="007E4158"/>
    <w:rsid w:val="007E4164"/>
    <w:rsid w:val="007E4186"/>
    <w:rsid w:val="007E41DD"/>
    <w:rsid w:val="007E424E"/>
    <w:rsid w:val="007E4254"/>
    <w:rsid w:val="007E429F"/>
    <w:rsid w:val="007E42C0"/>
    <w:rsid w:val="007E42F5"/>
    <w:rsid w:val="007E43B7"/>
    <w:rsid w:val="007E43D3"/>
    <w:rsid w:val="007E43E4"/>
    <w:rsid w:val="007E43FA"/>
    <w:rsid w:val="007E4532"/>
    <w:rsid w:val="007E454C"/>
    <w:rsid w:val="007E45C8"/>
    <w:rsid w:val="007E45FA"/>
    <w:rsid w:val="007E4611"/>
    <w:rsid w:val="007E4647"/>
    <w:rsid w:val="007E46DD"/>
    <w:rsid w:val="007E46E8"/>
    <w:rsid w:val="007E4787"/>
    <w:rsid w:val="007E480C"/>
    <w:rsid w:val="007E4828"/>
    <w:rsid w:val="007E49A7"/>
    <w:rsid w:val="007E4AE7"/>
    <w:rsid w:val="007E4B20"/>
    <w:rsid w:val="007E4B48"/>
    <w:rsid w:val="007E4C09"/>
    <w:rsid w:val="007E4C51"/>
    <w:rsid w:val="007E4C9F"/>
    <w:rsid w:val="007E4CF0"/>
    <w:rsid w:val="007E4DA6"/>
    <w:rsid w:val="007E4E25"/>
    <w:rsid w:val="007E4E46"/>
    <w:rsid w:val="007E4E5A"/>
    <w:rsid w:val="007E4E74"/>
    <w:rsid w:val="007E4EAF"/>
    <w:rsid w:val="007E4EDC"/>
    <w:rsid w:val="007E4EE1"/>
    <w:rsid w:val="007E4EEC"/>
    <w:rsid w:val="007E4F1C"/>
    <w:rsid w:val="007E4F28"/>
    <w:rsid w:val="007E4FA0"/>
    <w:rsid w:val="007E4FBF"/>
    <w:rsid w:val="007E508E"/>
    <w:rsid w:val="007E5095"/>
    <w:rsid w:val="007E510A"/>
    <w:rsid w:val="007E51C1"/>
    <w:rsid w:val="007E5229"/>
    <w:rsid w:val="007E5265"/>
    <w:rsid w:val="007E5343"/>
    <w:rsid w:val="007E535E"/>
    <w:rsid w:val="007E5381"/>
    <w:rsid w:val="007E54B5"/>
    <w:rsid w:val="007E54C1"/>
    <w:rsid w:val="007E54D2"/>
    <w:rsid w:val="007E552E"/>
    <w:rsid w:val="007E55C8"/>
    <w:rsid w:val="007E5629"/>
    <w:rsid w:val="007E56AC"/>
    <w:rsid w:val="007E56D8"/>
    <w:rsid w:val="007E578E"/>
    <w:rsid w:val="007E582B"/>
    <w:rsid w:val="007E5849"/>
    <w:rsid w:val="007E5916"/>
    <w:rsid w:val="007E5927"/>
    <w:rsid w:val="007E595A"/>
    <w:rsid w:val="007E5960"/>
    <w:rsid w:val="007E5984"/>
    <w:rsid w:val="007E59A2"/>
    <w:rsid w:val="007E5A47"/>
    <w:rsid w:val="007E5A9D"/>
    <w:rsid w:val="007E5B2C"/>
    <w:rsid w:val="007E5B37"/>
    <w:rsid w:val="007E5B50"/>
    <w:rsid w:val="007E5B6E"/>
    <w:rsid w:val="007E5C28"/>
    <w:rsid w:val="007E5C40"/>
    <w:rsid w:val="007E5C45"/>
    <w:rsid w:val="007E5DD7"/>
    <w:rsid w:val="007E5E35"/>
    <w:rsid w:val="007E5E56"/>
    <w:rsid w:val="007E5E5A"/>
    <w:rsid w:val="007E5E7A"/>
    <w:rsid w:val="007E5F4A"/>
    <w:rsid w:val="007E5FB4"/>
    <w:rsid w:val="007E6146"/>
    <w:rsid w:val="007E61FE"/>
    <w:rsid w:val="007E6266"/>
    <w:rsid w:val="007E62AE"/>
    <w:rsid w:val="007E63A9"/>
    <w:rsid w:val="007E6470"/>
    <w:rsid w:val="007E6472"/>
    <w:rsid w:val="007E6511"/>
    <w:rsid w:val="007E6515"/>
    <w:rsid w:val="007E654C"/>
    <w:rsid w:val="007E659F"/>
    <w:rsid w:val="007E65DA"/>
    <w:rsid w:val="007E66AA"/>
    <w:rsid w:val="007E66C4"/>
    <w:rsid w:val="007E672E"/>
    <w:rsid w:val="007E6796"/>
    <w:rsid w:val="007E67AB"/>
    <w:rsid w:val="007E67C8"/>
    <w:rsid w:val="007E67DA"/>
    <w:rsid w:val="007E68E8"/>
    <w:rsid w:val="007E690E"/>
    <w:rsid w:val="007E6977"/>
    <w:rsid w:val="007E69EF"/>
    <w:rsid w:val="007E6AF4"/>
    <w:rsid w:val="007E6B37"/>
    <w:rsid w:val="007E6B64"/>
    <w:rsid w:val="007E6C71"/>
    <w:rsid w:val="007E6CD4"/>
    <w:rsid w:val="007E6D12"/>
    <w:rsid w:val="007E6EDC"/>
    <w:rsid w:val="007E6EF6"/>
    <w:rsid w:val="007E6F2B"/>
    <w:rsid w:val="007E6FAD"/>
    <w:rsid w:val="007E6FB0"/>
    <w:rsid w:val="007E6FC6"/>
    <w:rsid w:val="007E6FE9"/>
    <w:rsid w:val="007E6FFB"/>
    <w:rsid w:val="007E7031"/>
    <w:rsid w:val="007E7073"/>
    <w:rsid w:val="007E70BF"/>
    <w:rsid w:val="007E70C9"/>
    <w:rsid w:val="007E70E7"/>
    <w:rsid w:val="007E70F7"/>
    <w:rsid w:val="007E713A"/>
    <w:rsid w:val="007E723A"/>
    <w:rsid w:val="007E734C"/>
    <w:rsid w:val="007E736E"/>
    <w:rsid w:val="007E73B7"/>
    <w:rsid w:val="007E73C2"/>
    <w:rsid w:val="007E760A"/>
    <w:rsid w:val="007E76BB"/>
    <w:rsid w:val="007E773A"/>
    <w:rsid w:val="007E7765"/>
    <w:rsid w:val="007E77A9"/>
    <w:rsid w:val="007E77EB"/>
    <w:rsid w:val="007E7861"/>
    <w:rsid w:val="007E78C6"/>
    <w:rsid w:val="007E78EB"/>
    <w:rsid w:val="007E7A37"/>
    <w:rsid w:val="007E7A58"/>
    <w:rsid w:val="007E7AA8"/>
    <w:rsid w:val="007E7AD8"/>
    <w:rsid w:val="007E7BD2"/>
    <w:rsid w:val="007E7C4E"/>
    <w:rsid w:val="007E7C56"/>
    <w:rsid w:val="007E7C57"/>
    <w:rsid w:val="007E7CA0"/>
    <w:rsid w:val="007E7CA5"/>
    <w:rsid w:val="007E7CF5"/>
    <w:rsid w:val="007E7D60"/>
    <w:rsid w:val="007E7DE7"/>
    <w:rsid w:val="007E7E0F"/>
    <w:rsid w:val="007E7E5B"/>
    <w:rsid w:val="007E7F19"/>
    <w:rsid w:val="007E7F22"/>
    <w:rsid w:val="007E7F40"/>
    <w:rsid w:val="007E7F4B"/>
    <w:rsid w:val="007E7F86"/>
    <w:rsid w:val="007E7FDD"/>
    <w:rsid w:val="007E7FEC"/>
    <w:rsid w:val="007E7FF0"/>
    <w:rsid w:val="007F0152"/>
    <w:rsid w:val="007F0153"/>
    <w:rsid w:val="007F01D7"/>
    <w:rsid w:val="007F034F"/>
    <w:rsid w:val="007F035F"/>
    <w:rsid w:val="007F0362"/>
    <w:rsid w:val="007F038D"/>
    <w:rsid w:val="007F03B1"/>
    <w:rsid w:val="007F0482"/>
    <w:rsid w:val="007F05E7"/>
    <w:rsid w:val="007F061C"/>
    <w:rsid w:val="007F0620"/>
    <w:rsid w:val="007F0644"/>
    <w:rsid w:val="007F064C"/>
    <w:rsid w:val="007F0706"/>
    <w:rsid w:val="007F07BE"/>
    <w:rsid w:val="007F0816"/>
    <w:rsid w:val="007F0876"/>
    <w:rsid w:val="007F08E3"/>
    <w:rsid w:val="007F08FA"/>
    <w:rsid w:val="007F0901"/>
    <w:rsid w:val="007F0935"/>
    <w:rsid w:val="007F095A"/>
    <w:rsid w:val="007F09E0"/>
    <w:rsid w:val="007F09E9"/>
    <w:rsid w:val="007F0A0B"/>
    <w:rsid w:val="007F0A14"/>
    <w:rsid w:val="007F0B11"/>
    <w:rsid w:val="007F0B6C"/>
    <w:rsid w:val="007F0B9F"/>
    <w:rsid w:val="007F0CAC"/>
    <w:rsid w:val="007F0D28"/>
    <w:rsid w:val="007F0E2B"/>
    <w:rsid w:val="007F0E7F"/>
    <w:rsid w:val="007F0E88"/>
    <w:rsid w:val="007F0F98"/>
    <w:rsid w:val="007F10B4"/>
    <w:rsid w:val="007F1150"/>
    <w:rsid w:val="007F117E"/>
    <w:rsid w:val="007F11ED"/>
    <w:rsid w:val="007F1215"/>
    <w:rsid w:val="007F123C"/>
    <w:rsid w:val="007F127B"/>
    <w:rsid w:val="007F12C7"/>
    <w:rsid w:val="007F14DC"/>
    <w:rsid w:val="007F150D"/>
    <w:rsid w:val="007F153A"/>
    <w:rsid w:val="007F155C"/>
    <w:rsid w:val="007F1595"/>
    <w:rsid w:val="007F15F6"/>
    <w:rsid w:val="007F1610"/>
    <w:rsid w:val="007F1630"/>
    <w:rsid w:val="007F1663"/>
    <w:rsid w:val="007F16B2"/>
    <w:rsid w:val="007F1761"/>
    <w:rsid w:val="007F17C3"/>
    <w:rsid w:val="007F17CC"/>
    <w:rsid w:val="007F18AB"/>
    <w:rsid w:val="007F18C8"/>
    <w:rsid w:val="007F18D4"/>
    <w:rsid w:val="007F199F"/>
    <w:rsid w:val="007F19D9"/>
    <w:rsid w:val="007F1A0A"/>
    <w:rsid w:val="007F1A28"/>
    <w:rsid w:val="007F1A66"/>
    <w:rsid w:val="007F1ABB"/>
    <w:rsid w:val="007F1ABC"/>
    <w:rsid w:val="007F1B29"/>
    <w:rsid w:val="007F1C54"/>
    <w:rsid w:val="007F1C5A"/>
    <w:rsid w:val="007F1C77"/>
    <w:rsid w:val="007F1D74"/>
    <w:rsid w:val="007F1DB2"/>
    <w:rsid w:val="007F1DEE"/>
    <w:rsid w:val="007F1E8A"/>
    <w:rsid w:val="007F1EC2"/>
    <w:rsid w:val="007F1ED0"/>
    <w:rsid w:val="007F1EE4"/>
    <w:rsid w:val="007F1FC4"/>
    <w:rsid w:val="007F1FF0"/>
    <w:rsid w:val="007F204C"/>
    <w:rsid w:val="007F2091"/>
    <w:rsid w:val="007F20C3"/>
    <w:rsid w:val="007F2123"/>
    <w:rsid w:val="007F2154"/>
    <w:rsid w:val="007F225E"/>
    <w:rsid w:val="007F22CB"/>
    <w:rsid w:val="007F2353"/>
    <w:rsid w:val="007F2369"/>
    <w:rsid w:val="007F23AF"/>
    <w:rsid w:val="007F247C"/>
    <w:rsid w:val="007F249C"/>
    <w:rsid w:val="007F2594"/>
    <w:rsid w:val="007F25AB"/>
    <w:rsid w:val="007F25F8"/>
    <w:rsid w:val="007F2603"/>
    <w:rsid w:val="007F26E2"/>
    <w:rsid w:val="007F273E"/>
    <w:rsid w:val="007F2771"/>
    <w:rsid w:val="007F27A6"/>
    <w:rsid w:val="007F27CA"/>
    <w:rsid w:val="007F28C3"/>
    <w:rsid w:val="007F28F5"/>
    <w:rsid w:val="007F28F9"/>
    <w:rsid w:val="007F2980"/>
    <w:rsid w:val="007F29AB"/>
    <w:rsid w:val="007F29CF"/>
    <w:rsid w:val="007F2A5A"/>
    <w:rsid w:val="007F2A77"/>
    <w:rsid w:val="007F2AD3"/>
    <w:rsid w:val="007F2B01"/>
    <w:rsid w:val="007F2B2F"/>
    <w:rsid w:val="007F2B59"/>
    <w:rsid w:val="007F2B72"/>
    <w:rsid w:val="007F2B77"/>
    <w:rsid w:val="007F2C8A"/>
    <w:rsid w:val="007F2CF4"/>
    <w:rsid w:val="007F2DA1"/>
    <w:rsid w:val="007F2DA3"/>
    <w:rsid w:val="007F2DC7"/>
    <w:rsid w:val="007F2E3A"/>
    <w:rsid w:val="007F2E57"/>
    <w:rsid w:val="007F2E7A"/>
    <w:rsid w:val="007F2EF9"/>
    <w:rsid w:val="007F304C"/>
    <w:rsid w:val="007F30E4"/>
    <w:rsid w:val="007F3105"/>
    <w:rsid w:val="007F3288"/>
    <w:rsid w:val="007F332D"/>
    <w:rsid w:val="007F3404"/>
    <w:rsid w:val="007F3477"/>
    <w:rsid w:val="007F34D4"/>
    <w:rsid w:val="007F34E7"/>
    <w:rsid w:val="007F354E"/>
    <w:rsid w:val="007F35AD"/>
    <w:rsid w:val="007F36C3"/>
    <w:rsid w:val="007F3744"/>
    <w:rsid w:val="007F3767"/>
    <w:rsid w:val="007F37BC"/>
    <w:rsid w:val="007F380E"/>
    <w:rsid w:val="007F389E"/>
    <w:rsid w:val="007F39B7"/>
    <w:rsid w:val="007F39FC"/>
    <w:rsid w:val="007F3A0C"/>
    <w:rsid w:val="007F3A80"/>
    <w:rsid w:val="007F3A8E"/>
    <w:rsid w:val="007F3B33"/>
    <w:rsid w:val="007F3B4F"/>
    <w:rsid w:val="007F3C18"/>
    <w:rsid w:val="007F3C87"/>
    <w:rsid w:val="007F3CC5"/>
    <w:rsid w:val="007F3DE8"/>
    <w:rsid w:val="007F3E48"/>
    <w:rsid w:val="007F3EE2"/>
    <w:rsid w:val="007F3F3D"/>
    <w:rsid w:val="007F3F8B"/>
    <w:rsid w:val="007F3FAA"/>
    <w:rsid w:val="007F3FB0"/>
    <w:rsid w:val="007F3FB8"/>
    <w:rsid w:val="007F3FCF"/>
    <w:rsid w:val="007F3FDE"/>
    <w:rsid w:val="007F403E"/>
    <w:rsid w:val="007F4083"/>
    <w:rsid w:val="007F408E"/>
    <w:rsid w:val="007F40D6"/>
    <w:rsid w:val="007F40E7"/>
    <w:rsid w:val="007F412B"/>
    <w:rsid w:val="007F4158"/>
    <w:rsid w:val="007F41D9"/>
    <w:rsid w:val="007F4257"/>
    <w:rsid w:val="007F426B"/>
    <w:rsid w:val="007F4270"/>
    <w:rsid w:val="007F42A2"/>
    <w:rsid w:val="007F42B5"/>
    <w:rsid w:val="007F42FE"/>
    <w:rsid w:val="007F4316"/>
    <w:rsid w:val="007F435E"/>
    <w:rsid w:val="007F43DB"/>
    <w:rsid w:val="007F43E7"/>
    <w:rsid w:val="007F43E9"/>
    <w:rsid w:val="007F4484"/>
    <w:rsid w:val="007F4509"/>
    <w:rsid w:val="007F4510"/>
    <w:rsid w:val="007F4599"/>
    <w:rsid w:val="007F45BC"/>
    <w:rsid w:val="007F45C8"/>
    <w:rsid w:val="007F45ED"/>
    <w:rsid w:val="007F4604"/>
    <w:rsid w:val="007F463F"/>
    <w:rsid w:val="007F4687"/>
    <w:rsid w:val="007F46E5"/>
    <w:rsid w:val="007F483B"/>
    <w:rsid w:val="007F48C5"/>
    <w:rsid w:val="007F48C8"/>
    <w:rsid w:val="007F49C1"/>
    <w:rsid w:val="007F49CC"/>
    <w:rsid w:val="007F49FB"/>
    <w:rsid w:val="007F4A9A"/>
    <w:rsid w:val="007F4AA0"/>
    <w:rsid w:val="007F4AF5"/>
    <w:rsid w:val="007F4B09"/>
    <w:rsid w:val="007F4B6D"/>
    <w:rsid w:val="007F4B76"/>
    <w:rsid w:val="007F4BA4"/>
    <w:rsid w:val="007F4BC2"/>
    <w:rsid w:val="007F4BEB"/>
    <w:rsid w:val="007F4CC8"/>
    <w:rsid w:val="007F4D52"/>
    <w:rsid w:val="007F4E48"/>
    <w:rsid w:val="007F4E72"/>
    <w:rsid w:val="007F4F0B"/>
    <w:rsid w:val="007F4F83"/>
    <w:rsid w:val="007F4FBC"/>
    <w:rsid w:val="007F5054"/>
    <w:rsid w:val="007F51B3"/>
    <w:rsid w:val="007F51B6"/>
    <w:rsid w:val="007F5238"/>
    <w:rsid w:val="007F5290"/>
    <w:rsid w:val="007F53CB"/>
    <w:rsid w:val="007F54A8"/>
    <w:rsid w:val="007F55FB"/>
    <w:rsid w:val="007F567C"/>
    <w:rsid w:val="007F56A1"/>
    <w:rsid w:val="007F56C6"/>
    <w:rsid w:val="007F5780"/>
    <w:rsid w:val="007F5793"/>
    <w:rsid w:val="007F57B8"/>
    <w:rsid w:val="007F57D7"/>
    <w:rsid w:val="007F57D9"/>
    <w:rsid w:val="007F57DD"/>
    <w:rsid w:val="007F5815"/>
    <w:rsid w:val="007F584F"/>
    <w:rsid w:val="007F587E"/>
    <w:rsid w:val="007F5922"/>
    <w:rsid w:val="007F5956"/>
    <w:rsid w:val="007F5998"/>
    <w:rsid w:val="007F5A4A"/>
    <w:rsid w:val="007F5A6E"/>
    <w:rsid w:val="007F5B2B"/>
    <w:rsid w:val="007F5B33"/>
    <w:rsid w:val="007F5BEE"/>
    <w:rsid w:val="007F5C4D"/>
    <w:rsid w:val="007F5C6C"/>
    <w:rsid w:val="007F5CD0"/>
    <w:rsid w:val="007F5CE9"/>
    <w:rsid w:val="007F5CF7"/>
    <w:rsid w:val="007F5D9F"/>
    <w:rsid w:val="007F5DAB"/>
    <w:rsid w:val="007F5DF7"/>
    <w:rsid w:val="007F5E06"/>
    <w:rsid w:val="007F5E88"/>
    <w:rsid w:val="007F5E9A"/>
    <w:rsid w:val="007F5EA9"/>
    <w:rsid w:val="007F5EB8"/>
    <w:rsid w:val="007F5ED7"/>
    <w:rsid w:val="007F5F42"/>
    <w:rsid w:val="007F5F5A"/>
    <w:rsid w:val="007F5F74"/>
    <w:rsid w:val="007F5F87"/>
    <w:rsid w:val="007F5FCC"/>
    <w:rsid w:val="007F5FE2"/>
    <w:rsid w:val="007F607C"/>
    <w:rsid w:val="007F60A2"/>
    <w:rsid w:val="007F611B"/>
    <w:rsid w:val="007F61A0"/>
    <w:rsid w:val="007F61A2"/>
    <w:rsid w:val="007F61AA"/>
    <w:rsid w:val="007F6268"/>
    <w:rsid w:val="007F62F1"/>
    <w:rsid w:val="007F633C"/>
    <w:rsid w:val="007F6347"/>
    <w:rsid w:val="007F6353"/>
    <w:rsid w:val="007F638B"/>
    <w:rsid w:val="007F63AB"/>
    <w:rsid w:val="007F6467"/>
    <w:rsid w:val="007F6481"/>
    <w:rsid w:val="007F64A8"/>
    <w:rsid w:val="007F64CC"/>
    <w:rsid w:val="007F6521"/>
    <w:rsid w:val="007F65FD"/>
    <w:rsid w:val="007F6687"/>
    <w:rsid w:val="007F6697"/>
    <w:rsid w:val="007F66D2"/>
    <w:rsid w:val="007F6753"/>
    <w:rsid w:val="007F6874"/>
    <w:rsid w:val="007F6891"/>
    <w:rsid w:val="007F6907"/>
    <w:rsid w:val="007F6926"/>
    <w:rsid w:val="007F69E3"/>
    <w:rsid w:val="007F6A39"/>
    <w:rsid w:val="007F6A76"/>
    <w:rsid w:val="007F6AE9"/>
    <w:rsid w:val="007F6B1B"/>
    <w:rsid w:val="007F6BAA"/>
    <w:rsid w:val="007F6BBF"/>
    <w:rsid w:val="007F6BDE"/>
    <w:rsid w:val="007F6BE2"/>
    <w:rsid w:val="007F6C75"/>
    <w:rsid w:val="007F6CB6"/>
    <w:rsid w:val="007F6D03"/>
    <w:rsid w:val="007F6DA1"/>
    <w:rsid w:val="007F6DCA"/>
    <w:rsid w:val="007F6DE0"/>
    <w:rsid w:val="007F6E17"/>
    <w:rsid w:val="007F6E19"/>
    <w:rsid w:val="007F6E22"/>
    <w:rsid w:val="007F6EAC"/>
    <w:rsid w:val="007F6F0E"/>
    <w:rsid w:val="007F6F1A"/>
    <w:rsid w:val="007F6F25"/>
    <w:rsid w:val="007F6F5F"/>
    <w:rsid w:val="007F6F6E"/>
    <w:rsid w:val="007F7071"/>
    <w:rsid w:val="007F7087"/>
    <w:rsid w:val="007F7121"/>
    <w:rsid w:val="007F713A"/>
    <w:rsid w:val="007F71BB"/>
    <w:rsid w:val="007F7217"/>
    <w:rsid w:val="007F7221"/>
    <w:rsid w:val="007F7272"/>
    <w:rsid w:val="007F7295"/>
    <w:rsid w:val="007F733C"/>
    <w:rsid w:val="007F7392"/>
    <w:rsid w:val="007F7393"/>
    <w:rsid w:val="007F73E5"/>
    <w:rsid w:val="007F7425"/>
    <w:rsid w:val="007F742A"/>
    <w:rsid w:val="007F74EB"/>
    <w:rsid w:val="007F7508"/>
    <w:rsid w:val="007F752F"/>
    <w:rsid w:val="007F7548"/>
    <w:rsid w:val="007F757F"/>
    <w:rsid w:val="007F7619"/>
    <w:rsid w:val="007F765D"/>
    <w:rsid w:val="007F76A4"/>
    <w:rsid w:val="007F7716"/>
    <w:rsid w:val="007F7771"/>
    <w:rsid w:val="007F77C6"/>
    <w:rsid w:val="007F7A93"/>
    <w:rsid w:val="007F7BE5"/>
    <w:rsid w:val="007F7C8D"/>
    <w:rsid w:val="007F7D5A"/>
    <w:rsid w:val="007F7DC9"/>
    <w:rsid w:val="007F7E64"/>
    <w:rsid w:val="007F7EFE"/>
    <w:rsid w:val="007F7F32"/>
    <w:rsid w:val="007F7F53"/>
    <w:rsid w:val="0080000D"/>
    <w:rsid w:val="008000BD"/>
    <w:rsid w:val="008000DE"/>
    <w:rsid w:val="0080026A"/>
    <w:rsid w:val="0080030B"/>
    <w:rsid w:val="00800313"/>
    <w:rsid w:val="008003B5"/>
    <w:rsid w:val="008003DE"/>
    <w:rsid w:val="00800444"/>
    <w:rsid w:val="0080048C"/>
    <w:rsid w:val="008004B7"/>
    <w:rsid w:val="00800607"/>
    <w:rsid w:val="00800611"/>
    <w:rsid w:val="00800643"/>
    <w:rsid w:val="0080064A"/>
    <w:rsid w:val="00800678"/>
    <w:rsid w:val="00800744"/>
    <w:rsid w:val="0080077A"/>
    <w:rsid w:val="0080079C"/>
    <w:rsid w:val="008007A8"/>
    <w:rsid w:val="008007B4"/>
    <w:rsid w:val="00800847"/>
    <w:rsid w:val="008008D1"/>
    <w:rsid w:val="00800955"/>
    <w:rsid w:val="00800A05"/>
    <w:rsid w:val="00800A3B"/>
    <w:rsid w:val="00800A5A"/>
    <w:rsid w:val="00800AE7"/>
    <w:rsid w:val="00800B43"/>
    <w:rsid w:val="00800B97"/>
    <w:rsid w:val="00800C31"/>
    <w:rsid w:val="00800DA8"/>
    <w:rsid w:val="00800E7E"/>
    <w:rsid w:val="00800EB4"/>
    <w:rsid w:val="00800ECD"/>
    <w:rsid w:val="008010CC"/>
    <w:rsid w:val="008010D7"/>
    <w:rsid w:val="008010D8"/>
    <w:rsid w:val="0080115F"/>
    <w:rsid w:val="0080117F"/>
    <w:rsid w:val="00801219"/>
    <w:rsid w:val="0080127A"/>
    <w:rsid w:val="0080129A"/>
    <w:rsid w:val="008012A3"/>
    <w:rsid w:val="008012C3"/>
    <w:rsid w:val="00801306"/>
    <w:rsid w:val="00801334"/>
    <w:rsid w:val="00801467"/>
    <w:rsid w:val="0080148F"/>
    <w:rsid w:val="0080150A"/>
    <w:rsid w:val="0080153B"/>
    <w:rsid w:val="0080157F"/>
    <w:rsid w:val="00801613"/>
    <w:rsid w:val="00801625"/>
    <w:rsid w:val="00801660"/>
    <w:rsid w:val="008016A4"/>
    <w:rsid w:val="0080170C"/>
    <w:rsid w:val="008017BC"/>
    <w:rsid w:val="0080186E"/>
    <w:rsid w:val="008018C0"/>
    <w:rsid w:val="00801926"/>
    <w:rsid w:val="00801994"/>
    <w:rsid w:val="008019A4"/>
    <w:rsid w:val="008019C5"/>
    <w:rsid w:val="00801B09"/>
    <w:rsid w:val="00801B54"/>
    <w:rsid w:val="00801C7E"/>
    <w:rsid w:val="00801CDC"/>
    <w:rsid w:val="00801E37"/>
    <w:rsid w:val="00801EBC"/>
    <w:rsid w:val="00801F32"/>
    <w:rsid w:val="00802116"/>
    <w:rsid w:val="0080216A"/>
    <w:rsid w:val="008021B4"/>
    <w:rsid w:val="008022C0"/>
    <w:rsid w:val="0080233B"/>
    <w:rsid w:val="0080236B"/>
    <w:rsid w:val="00802396"/>
    <w:rsid w:val="008023B8"/>
    <w:rsid w:val="008023E1"/>
    <w:rsid w:val="008023E6"/>
    <w:rsid w:val="0080241F"/>
    <w:rsid w:val="00802427"/>
    <w:rsid w:val="00802438"/>
    <w:rsid w:val="00802586"/>
    <w:rsid w:val="00802592"/>
    <w:rsid w:val="00802621"/>
    <w:rsid w:val="00802668"/>
    <w:rsid w:val="008026BE"/>
    <w:rsid w:val="008026F3"/>
    <w:rsid w:val="008026FD"/>
    <w:rsid w:val="0080270D"/>
    <w:rsid w:val="00802755"/>
    <w:rsid w:val="008028A8"/>
    <w:rsid w:val="008028BA"/>
    <w:rsid w:val="008028C9"/>
    <w:rsid w:val="0080298D"/>
    <w:rsid w:val="008029D3"/>
    <w:rsid w:val="00802A22"/>
    <w:rsid w:val="00802A40"/>
    <w:rsid w:val="00802AE0"/>
    <w:rsid w:val="00802BE4"/>
    <w:rsid w:val="00802C55"/>
    <w:rsid w:val="00802CBB"/>
    <w:rsid w:val="00802CC1"/>
    <w:rsid w:val="00802D80"/>
    <w:rsid w:val="00802D9C"/>
    <w:rsid w:val="00802DD4"/>
    <w:rsid w:val="00802DEB"/>
    <w:rsid w:val="00802E54"/>
    <w:rsid w:val="00802E56"/>
    <w:rsid w:val="00802EEE"/>
    <w:rsid w:val="00802F21"/>
    <w:rsid w:val="00802F4F"/>
    <w:rsid w:val="00802F6C"/>
    <w:rsid w:val="008030A0"/>
    <w:rsid w:val="00803203"/>
    <w:rsid w:val="0080322B"/>
    <w:rsid w:val="008032C4"/>
    <w:rsid w:val="00803347"/>
    <w:rsid w:val="008033E0"/>
    <w:rsid w:val="00803431"/>
    <w:rsid w:val="0080344E"/>
    <w:rsid w:val="00803472"/>
    <w:rsid w:val="0080347C"/>
    <w:rsid w:val="0080347F"/>
    <w:rsid w:val="00803481"/>
    <w:rsid w:val="008034E6"/>
    <w:rsid w:val="008034FE"/>
    <w:rsid w:val="0080353F"/>
    <w:rsid w:val="00803555"/>
    <w:rsid w:val="008035C3"/>
    <w:rsid w:val="008036A1"/>
    <w:rsid w:val="008036B8"/>
    <w:rsid w:val="008036B9"/>
    <w:rsid w:val="00803719"/>
    <w:rsid w:val="00803837"/>
    <w:rsid w:val="008038B6"/>
    <w:rsid w:val="0080391A"/>
    <w:rsid w:val="00803985"/>
    <w:rsid w:val="008039C6"/>
    <w:rsid w:val="008039CB"/>
    <w:rsid w:val="008039E7"/>
    <w:rsid w:val="00803D16"/>
    <w:rsid w:val="00803D59"/>
    <w:rsid w:val="00803D8A"/>
    <w:rsid w:val="00803DAE"/>
    <w:rsid w:val="00803DFD"/>
    <w:rsid w:val="00803E50"/>
    <w:rsid w:val="00803F16"/>
    <w:rsid w:val="00803F26"/>
    <w:rsid w:val="00804030"/>
    <w:rsid w:val="008040F0"/>
    <w:rsid w:val="00804125"/>
    <w:rsid w:val="0080414A"/>
    <w:rsid w:val="00804210"/>
    <w:rsid w:val="00804249"/>
    <w:rsid w:val="008042B4"/>
    <w:rsid w:val="008042CA"/>
    <w:rsid w:val="008042CE"/>
    <w:rsid w:val="0080431A"/>
    <w:rsid w:val="00804323"/>
    <w:rsid w:val="0080436D"/>
    <w:rsid w:val="00804406"/>
    <w:rsid w:val="008044CC"/>
    <w:rsid w:val="008044E7"/>
    <w:rsid w:val="00804518"/>
    <w:rsid w:val="00804562"/>
    <w:rsid w:val="0080471A"/>
    <w:rsid w:val="00804769"/>
    <w:rsid w:val="00804799"/>
    <w:rsid w:val="008047E0"/>
    <w:rsid w:val="008047FC"/>
    <w:rsid w:val="00804805"/>
    <w:rsid w:val="00804875"/>
    <w:rsid w:val="008048A4"/>
    <w:rsid w:val="008049EC"/>
    <w:rsid w:val="008049F4"/>
    <w:rsid w:val="00804A1F"/>
    <w:rsid w:val="00804A3C"/>
    <w:rsid w:val="00804A41"/>
    <w:rsid w:val="00804A78"/>
    <w:rsid w:val="00804A90"/>
    <w:rsid w:val="00804AEE"/>
    <w:rsid w:val="00804B4C"/>
    <w:rsid w:val="00804B8B"/>
    <w:rsid w:val="00804C88"/>
    <w:rsid w:val="00804C9A"/>
    <w:rsid w:val="00804D00"/>
    <w:rsid w:val="00804D9C"/>
    <w:rsid w:val="00804DFE"/>
    <w:rsid w:val="00804E89"/>
    <w:rsid w:val="00804F2A"/>
    <w:rsid w:val="00804F6B"/>
    <w:rsid w:val="00804F77"/>
    <w:rsid w:val="00804F82"/>
    <w:rsid w:val="00804F9C"/>
    <w:rsid w:val="00804FB9"/>
    <w:rsid w:val="00804FD8"/>
    <w:rsid w:val="00804FD9"/>
    <w:rsid w:val="00805054"/>
    <w:rsid w:val="0080506E"/>
    <w:rsid w:val="00805075"/>
    <w:rsid w:val="00805076"/>
    <w:rsid w:val="008050DB"/>
    <w:rsid w:val="008050DD"/>
    <w:rsid w:val="00805141"/>
    <w:rsid w:val="00805143"/>
    <w:rsid w:val="0080521D"/>
    <w:rsid w:val="008052C1"/>
    <w:rsid w:val="008052CB"/>
    <w:rsid w:val="008052F5"/>
    <w:rsid w:val="00805309"/>
    <w:rsid w:val="00805347"/>
    <w:rsid w:val="00805351"/>
    <w:rsid w:val="008053E0"/>
    <w:rsid w:val="0080540D"/>
    <w:rsid w:val="008054C1"/>
    <w:rsid w:val="00805528"/>
    <w:rsid w:val="00805597"/>
    <w:rsid w:val="0080565B"/>
    <w:rsid w:val="0080565D"/>
    <w:rsid w:val="00805667"/>
    <w:rsid w:val="008056B5"/>
    <w:rsid w:val="0080576B"/>
    <w:rsid w:val="00805798"/>
    <w:rsid w:val="0080581F"/>
    <w:rsid w:val="00805838"/>
    <w:rsid w:val="00805842"/>
    <w:rsid w:val="00805852"/>
    <w:rsid w:val="008058CB"/>
    <w:rsid w:val="00805964"/>
    <w:rsid w:val="0080599B"/>
    <w:rsid w:val="008059C4"/>
    <w:rsid w:val="008059E6"/>
    <w:rsid w:val="00805A62"/>
    <w:rsid w:val="00805A9E"/>
    <w:rsid w:val="00805B24"/>
    <w:rsid w:val="00805B6C"/>
    <w:rsid w:val="00805BE1"/>
    <w:rsid w:val="00805BE8"/>
    <w:rsid w:val="00805BEA"/>
    <w:rsid w:val="00805C1A"/>
    <w:rsid w:val="00805C3F"/>
    <w:rsid w:val="00805CDD"/>
    <w:rsid w:val="00805CFE"/>
    <w:rsid w:val="00805D9B"/>
    <w:rsid w:val="00805DF8"/>
    <w:rsid w:val="00805E80"/>
    <w:rsid w:val="00805F71"/>
    <w:rsid w:val="00805FB8"/>
    <w:rsid w:val="00805FDC"/>
    <w:rsid w:val="008060CF"/>
    <w:rsid w:val="00806143"/>
    <w:rsid w:val="00806145"/>
    <w:rsid w:val="00806168"/>
    <w:rsid w:val="008061F2"/>
    <w:rsid w:val="0080629F"/>
    <w:rsid w:val="008062DB"/>
    <w:rsid w:val="008062F6"/>
    <w:rsid w:val="0080631D"/>
    <w:rsid w:val="00806336"/>
    <w:rsid w:val="00806337"/>
    <w:rsid w:val="008063F5"/>
    <w:rsid w:val="00806408"/>
    <w:rsid w:val="00806437"/>
    <w:rsid w:val="00806478"/>
    <w:rsid w:val="0080648A"/>
    <w:rsid w:val="00806497"/>
    <w:rsid w:val="008064FA"/>
    <w:rsid w:val="0080658C"/>
    <w:rsid w:val="008065AA"/>
    <w:rsid w:val="0080667B"/>
    <w:rsid w:val="008066F6"/>
    <w:rsid w:val="0080671D"/>
    <w:rsid w:val="00806740"/>
    <w:rsid w:val="00806775"/>
    <w:rsid w:val="008067E7"/>
    <w:rsid w:val="00806850"/>
    <w:rsid w:val="008068C9"/>
    <w:rsid w:val="008068CF"/>
    <w:rsid w:val="008068E2"/>
    <w:rsid w:val="0080695A"/>
    <w:rsid w:val="008069CC"/>
    <w:rsid w:val="008069D3"/>
    <w:rsid w:val="00806A39"/>
    <w:rsid w:val="00806B52"/>
    <w:rsid w:val="00806B66"/>
    <w:rsid w:val="00806BAA"/>
    <w:rsid w:val="00806BAF"/>
    <w:rsid w:val="00806C19"/>
    <w:rsid w:val="00806C39"/>
    <w:rsid w:val="00806CBC"/>
    <w:rsid w:val="00806DC2"/>
    <w:rsid w:val="00806E24"/>
    <w:rsid w:val="00806E3D"/>
    <w:rsid w:val="00806EB7"/>
    <w:rsid w:val="00806ECA"/>
    <w:rsid w:val="00806F63"/>
    <w:rsid w:val="00806FA8"/>
    <w:rsid w:val="00806FD6"/>
    <w:rsid w:val="00807007"/>
    <w:rsid w:val="0080701D"/>
    <w:rsid w:val="008070E0"/>
    <w:rsid w:val="0080713C"/>
    <w:rsid w:val="00807294"/>
    <w:rsid w:val="00807330"/>
    <w:rsid w:val="00807368"/>
    <w:rsid w:val="00807384"/>
    <w:rsid w:val="00807403"/>
    <w:rsid w:val="0080745A"/>
    <w:rsid w:val="00807468"/>
    <w:rsid w:val="008075AE"/>
    <w:rsid w:val="008075B8"/>
    <w:rsid w:val="0080778B"/>
    <w:rsid w:val="008077CF"/>
    <w:rsid w:val="0080786D"/>
    <w:rsid w:val="008078A6"/>
    <w:rsid w:val="008078F5"/>
    <w:rsid w:val="008079AA"/>
    <w:rsid w:val="008079FD"/>
    <w:rsid w:val="00807B18"/>
    <w:rsid w:val="00807B5C"/>
    <w:rsid w:val="00807B6E"/>
    <w:rsid w:val="00807C16"/>
    <w:rsid w:val="00807CC3"/>
    <w:rsid w:val="00807D26"/>
    <w:rsid w:val="00807D32"/>
    <w:rsid w:val="00807F06"/>
    <w:rsid w:val="00807F72"/>
    <w:rsid w:val="0081008D"/>
    <w:rsid w:val="00810119"/>
    <w:rsid w:val="008101B6"/>
    <w:rsid w:val="008101D5"/>
    <w:rsid w:val="008101E9"/>
    <w:rsid w:val="0081024E"/>
    <w:rsid w:val="0081025F"/>
    <w:rsid w:val="0081027C"/>
    <w:rsid w:val="0081028C"/>
    <w:rsid w:val="0081028D"/>
    <w:rsid w:val="00810296"/>
    <w:rsid w:val="0081029C"/>
    <w:rsid w:val="008102D8"/>
    <w:rsid w:val="00810342"/>
    <w:rsid w:val="0081035D"/>
    <w:rsid w:val="008103A3"/>
    <w:rsid w:val="008103AD"/>
    <w:rsid w:val="0081052F"/>
    <w:rsid w:val="00810574"/>
    <w:rsid w:val="00810586"/>
    <w:rsid w:val="008105EE"/>
    <w:rsid w:val="008106BC"/>
    <w:rsid w:val="0081070C"/>
    <w:rsid w:val="0081071D"/>
    <w:rsid w:val="008107CD"/>
    <w:rsid w:val="00810847"/>
    <w:rsid w:val="0081087C"/>
    <w:rsid w:val="0081087D"/>
    <w:rsid w:val="00810898"/>
    <w:rsid w:val="008108CD"/>
    <w:rsid w:val="00810983"/>
    <w:rsid w:val="00810A29"/>
    <w:rsid w:val="00810A80"/>
    <w:rsid w:val="00810B0D"/>
    <w:rsid w:val="00810C18"/>
    <w:rsid w:val="00810C60"/>
    <w:rsid w:val="00810C72"/>
    <w:rsid w:val="00810CCF"/>
    <w:rsid w:val="00810CF8"/>
    <w:rsid w:val="00810D5C"/>
    <w:rsid w:val="00810E54"/>
    <w:rsid w:val="00810E95"/>
    <w:rsid w:val="00810EA5"/>
    <w:rsid w:val="00810F2F"/>
    <w:rsid w:val="00811029"/>
    <w:rsid w:val="0081105C"/>
    <w:rsid w:val="00811069"/>
    <w:rsid w:val="008110D1"/>
    <w:rsid w:val="00811109"/>
    <w:rsid w:val="00811196"/>
    <w:rsid w:val="008111B6"/>
    <w:rsid w:val="0081125E"/>
    <w:rsid w:val="008112A9"/>
    <w:rsid w:val="008114F1"/>
    <w:rsid w:val="008114F7"/>
    <w:rsid w:val="00811510"/>
    <w:rsid w:val="0081153A"/>
    <w:rsid w:val="00811693"/>
    <w:rsid w:val="00811704"/>
    <w:rsid w:val="0081176A"/>
    <w:rsid w:val="00811814"/>
    <w:rsid w:val="008118DE"/>
    <w:rsid w:val="008118E8"/>
    <w:rsid w:val="008119A5"/>
    <w:rsid w:val="008119C0"/>
    <w:rsid w:val="00811A5E"/>
    <w:rsid w:val="00811B64"/>
    <w:rsid w:val="00811B7F"/>
    <w:rsid w:val="00811BF6"/>
    <w:rsid w:val="00811BFA"/>
    <w:rsid w:val="00811CCA"/>
    <w:rsid w:val="00811CE3"/>
    <w:rsid w:val="00811D38"/>
    <w:rsid w:val="00811DD2"/>
    <w:rsid w:val="00811E5E"/>
    <w:rsid w:val="00811ECC"/>
    <w:rsid w:val="00811ED4"/>
    <w:rsid w:val="00811EDA"/>
    <w:rsid w:val="00811F0E"/>
    <w:rsid w:val="00811FC8"/>
    <w:rsid w:val="00811FFE"/>
    <w:rsid w:val="00812024"/>
    <w:rsid w:val="0081203F"/>
    <w:rsid w:val="0081205F"/>
    <w:rsid w:val="00812071"/>
    <w:rsid w:val="00812077"/>
    <w:rsid w:val="0081219F"/>
    <w:rsid w:val="00812382"/>
    <w:rsid w:val="00812431"/>
    <w:rsid w:val="0081243E"/>
    <w:rsid w:val="0081246D"/>
    <w:rsid w:val="00812539"/>
    <w:rsid w:val="0081259C"/>
    <w:rsid w:val="008125A4"/>
    <w:rsid w:val="008125CA"/>
    <w:rsid w:val="0081266C"/>
    <w:rsid w:val="0081269C"/>
    <w:rsid w:val="008127A2"/>
    <w:rsid w:val="008127CD"/>
    <w:rsid w:val="00812844"/>
    <w:rsid w:val="008128BA"/>
    <w:rsid w:val="008128BB"/>
    <w:rsid w:val="00812914"/>
    <w:rsid w:val="0081291D"/>
    <w:rsid w:val="00812922"/>
    <w:rsid w:val="00812933"/>
    <w:rsid w:val="00812986"/>
    <w:rsid w:val="00812990"/>
    <w:rsid w:val="008129F1"/>
    <w:rsid w:val="00812A1F"/>
    <w:rsid w:val="00812A24"/>
    <w:rsid w:val="00812A74"/>
    <w:rsid w:val="00812AAE"/>
    <w:rsid w:val="00812B78"/>
    <w:rsid w:val="00812BDB"/>
    <w:rsid w:val="00812BF9"/>
    <w:rsid w:val="00812C08"/>
    <w:rsid w:val="00812C25"/>
    <w:rsid w:val="00812CDA"/>
    <w:rsid w:val="00812D05"/>
    <w:rsid w:val="00812D14"/>
    <w:rsid w:val="00812D5A"/>
    <w:rsid w:val="00812DEA"/>
    <w:rsid w:val="00812E5D"/>
    <w:rsid w:val="00812E8E"/>
    <w:rsid w:val="00812EC9"/>
    <w:rsid w:val="00812FD4"/>
    <w:rsid w:val="00813017"/>
    <w:rsid w:val="00813071"/>
    <w:rsid w:val="0081308E"/>
    <w:rsid w:val="008130BA"/>
    <w:rsid w:val="008131FB"/>
    <w:rsid w:val="00813297"/>
    <w:rsid w:val="00813308"/>
    <w:rsid w:val="00813318"/>
    <w:rsid w:val="00813323"/>
    <w:rsid w:val="008133EB"/>
    <w:rsid w:val="008133EE"/>
    <w:rsid w:val="00813485"/>
    <w:rsid w:val="008134DC"/>
    <w:rsid w:val="008135A9"/>
    <w:rsid w:val="00813674"/>
    <w:rsid w:val="00813681"/>
    <w:rsid w:val="008136CF"/>
    <w:rsid w:val="0081373E"/>
    <w:rsid w:val="00813784"/>
    <w:rsid w:val="00813785"/>
    <w:rsid w:val="00813796"/>
    <w:rsid w:val="008137F8"/>
    <w:rsid w:val="008138A7"/>
    <w:rsid w:val="008138E5"/>
    <w:rsid w:val="0081392E"/>
    <w:rsid w:val="00813A2E"/>
    <w:rsid w:val="00813AA1"/>
    <w:rsid w:val="00813AB9"/>
    <w:rsid w:val="00813AFD"/>
    <w:rsid w:val="00813B3A"/>
    <w:rsid w:val="00813BD7"/>
    <w:rsid w:val="00813C45"/>
    <w:rsid w:val="00813C61"/>
    <w:rsid w:val="00813C86"/>
    <w:rsid w:val="00813D12"/>
    <w:rsid w:val="00813E38"/>
    <w:rsid w:val="00813EE2"/>
    <w:rsid w:val="00813F05"/>
    <w:rsid w:val="00813F23"/>
    <w:rsid w:val="00813F60"/>
    <w:rsid w:val="00813F94"/>
    <w:rsid w:val="00813FF5"/>
    <w:rsid w:val="00814057"/>
    <w:rsid w:val="008140FF"/>
    <w:rsid w:val="0081410C"/>
    <w:rsid w:val="00814115"/>
    <w:rsid w:val="0081418B"/>
    <w:rsid w:val="008141F7"/>
    <w:rsid w:val="0081426F"/>
    <w:rsid w:val="00814314"/>
    <w:rsid w:val="0081431C"/>
    <w:rsid w:val="008143F8"/>
    <w:rsid w:val="00814422"/>
    <w:rsid w:val="00814451"/>
    <w:rsid w:val="00814455"/>
    <w:rsid w:val="008144BB"/>
    <w:rsid w:val="00814507"/>
    <w:rsid w:val="00814728"/>
    <w:rsid w:val="00814763"/>
    <w:rsid w:val="00814772"/>
    <w:rsid w:val="00814846"/>
    <w:rsid w:val="00814877"/>
    <w:rsid w:val="00814898"/>
    <w:rsid w:val="008148B0"/>
    <w:rsid w:val="0081493F"/>
    <w:rsid w:val="0081497E"/>
    <w:rsid w:val="00814992"/>
    <w:rsid w:val="00814996"/>
    <w:rsid w:val="008149ED"/>
    <w:rsid w:val="00814A50"/>
    <w:rsid w:val="00814ABB"/>
    <w:rsid w:val="00814AEB"/>
    <w:rsid w:val="00814B04"/>
    <w:rsid w:val="00814B5F"/>
    <w:rsid w:val="00814C08"/>
    <w:rsid w:val="00814C81"/>
    <w:rsid w:val="00814C83"/>
    <w:rsid w:val="00814D2E"/>
    <w:rsid w:val="00814D88"/>
    <w:rsid w:val="00814DC2"/>
    <w:rsid w:val="00814E49"/>
    <w:rsid w:val="00814EED"/>
    <w:rsid w:val="00814F86"/>
    <w:rsid w:val="00814FEF"/>
    <w:rsid w:val="00815005"/>
    <w:rsid w:val="0081505F"/>
    <w:rsid w:val="00815062"/>
    <w:rsid w:val="00815081"/>
    <w:rsid w:val="00815088"/>
    <w:rsid w:val="00815179"/>
    <w:rsid w:val="00815207"/>
    <w:rsid w:val="00815213"/>
    <w:rsid w:val="00815226"/>
    <w:rsid w:val="008152F8"/>
    <w:rsid w:val="00815324"/>
    <w:rsid w:val="0081533C"/>
    <w:rsid w:val="00815378"/>
    <w:rsid w:val="00815385"/>
    <w:rsid w:val="008153FD"/>
    <w:rsid w:val="00815407"/>
    <w:rsid w:val="0081547B"/>
    <w:rsid w:val="008154AD"/>
    <w:rsid w:val="00815508"/>
    <w:rsid w:val="0081550E"/>
    <w:rsid w:val="0081553A"/>
    <w:rsid w:val="008155A6"/>
    <w:rsid w:val="008155F4"/>
    <w:rsid w:val="00815610"/>
    <w:rsid w:val="00815634"/>
    <w:rsid w:val="00815635"/>
    <w:rsid w:val="008156F7"/>
    <w:rsid w:val="00815744"/>
    <w:rsid w:val="0081574B"/>
    <w:rsid w:val="008157AB"/>
    <w:rsid w:val="008157D6"/>
    <w:rsid w:val="00815821"/>
    <w:rsid w:val="0081582C"/>
    <w:rsid w:val="00815877"/>
    <w:rsid w:val="008158D3"/>
    <w:rsid w:val="0081590B"/>
    <w:rsid w:val="00815988"/>
    <w:rsid w:val="008159A0"/>
    <w:rsid w:val="00815CB4"/>
    <w:rsid w:val="00815CDF"/>
    <w:rsid w:val="00815D1C"/>
    <w:rsid w:val="00815D24"/>
    <w:rsid w:val="00815DDA"/>
    <w:rsid w:val="00815E0B"/>
    <w:rsid w:val="00815E3E"/>
    <w:rsid w:val="00815EC4"/>
    <w:rsid w:val="00815F3C"/>
    <w:rsid w:val="008160D1"/>
    <w:rsid w:val="00816123"/>
    <w:rsid w:val="008161D7"/>
    <w:rsid w:val="00816245"/>
    <w:rsid w:val="008162F9"/>
    <w:rsid w:val="0081636B"/>
    <w:rsid w:val="0081658D"/>
    <w:rsid w:val="008165AC"/>
    <w:rsid w:val="0081661C"/>
    <w:rsid w:val="008166B5"/>
    <w:rsid w:val="008166BF"/>
    <w:rsid w:val="008166DF"/>
    <w:rsid w:val="008166FB"/>
    <w:rsid w:val="00816704"/>
    <w:rsid w:val="0081674D"/>
    <w:rsid w:val="00816774"/>
    <w:rsid w:val="008167F7"/>
    <w:rsid w:val="00816820"/>
    <w:rsid w:val="00816828"/>
    <w:rsid w:val="00816860"/>
    <w:rsid w:val="00816868"/>
    <w:rsid w:val="00816973"/>
    <w:rsid w:val="00816ACB"/>
    <w:rsid w:val="00816C71"/>
    <w:rsid w:val="00816CB0"/>
    <w:rsid w:val="00816D61"/>
    <w:rsid w:val="00816D65"/>
    <w:rsid w:val="00816D91"/>
    <w:rsid w:val="00816DA4"/>
    <w:rsid w:val="00816DD8"/>
    <w:rsid w:val="00816EE8"/>
    <w:rsid w:val="00816F54"/>
    <w:rsid w:val="00817024"/>
    <w:rsid w:val="00817065"/>
    <w:rsid w:val="008170CA"/>
    <w:rsid w:val="0081712D"/>
    <w:rsid w:val="0081718B"/>
    <w:rsid w:val="008171A6"/>
    <w:rsid w:val="00817222"/>
    <w:rsid w:val="00817268"/>
    <w:rsid w:val="008172C0"/>
    <w:rsid w:val="008172C5"/>
    <w:rsid w:val="008173E8"/>
    <w:rsid w:val="008173EF"/>
    <w:rsid w:val="00817448"/>
    <w:rsid w:val="00817519"/>
    <w:rsid w:val="00817548"/>
    <w:rsid w:val="0081755C"/>
    <w:rsid w:val="0081758A"/>
    <w:rsid w:val="008175E2"/>
    <w:rsid w:val="00817692"/>
    <w:rsid w:val="00817698"/>
    <w:rsid w:val="008176F5"/>
    <w:rsid w:val="00817786"/>
    <w:rsid w:val="00817796"/>
    <w:rsid w:val="008177A3"/>
    <w:rsid w:val="00817845"/>
    <w:rsid w:val="008178C9"/>
    <w:rsid w:val="008178DC"/>
    <w:rsid w:val="00817901"/>
    <w:rsid w:val="00817A43"/>
    <w:rsid w:val="00817A94"/>
    <w:rsid w:val="00817AC0"/>
    <w:rsid w:val="00817AFE"/>
    <w:rsid w:val="00817B3B"/>
    <w:rsid w:val="00817B49"/>
    <w:rsid w:val="00817B6D"/>
    <w:rsid w:val="00817C0B"/>
    <w:rsid w:val="00817C65"/>
    <w:rsid w:val="00817CD3"/>
    <w:rsid w:val="00817D47"/>
    <w:rsid w:val="00817D63"/>
    <w:rsid w:val="00817DF1"/>
    <w:rsid w:val="00817E65"/>
    <w:rsid w:val="00817EAF"/>
    <w:rsid w:val="00817F40"/>
    <w:rsid w:val="0082006A"/>
    <w:rsid w:val="0082007E"/>
    <w:rsid w:val="00820082"/>
    <w:rsid w:val="00820087"/>
    <w:rsid w:val="00820166"/>
    <w:rsid w:val="0082016B"/>
    <w:rsid w:val="008201B1"/>
    <w:rsid w:val="008201C4"/>
    <w:rsid w:val="008201C7"/>
    <w:rsid w:val="008201E9"/>
    <w:rsid w:val="0082023A"/>
    <w:rsid w:val="00820256"/>
    <w:rsid w:val="0082026B"/>
    <w:rsid w:val="0082027A"/>
    <w:rsid w:val="00820342"/>
    <w:rsid w:val="008203CD"/>
    <w:rsid w:val="008203CE"/>
    <w:rsid w:val="008203D8"/>
    <w:rsid w:val="00820468"/>
    <w:rsid w:val="00820478"/>
    <w:rsid w:val="008204B6"/>
    <w:rsid w:val="008204D9"/>
    <w:rsid w:val="0082050F"/>
    <w:rsid w:val="00820539"/>
    <w:rsid w:val="00820541"/>
    <w:rsid w:val="008205C1"/>
    <w:rsid w:val="008205C9"/>
    <w:rsid w:val="00820605"/>
    <w:rsid w:val="00820650"/>
    <w:rsid w:val="00820661"/>
    <w:rsid w:val="0082070E"/>
    <w:rsid w:val="0082075F"/>
    <w:rsid w:val="0082079E"/>
    <w:rsid w:val="0082083E"/>
    <w:rsid w:val="0082088F"/>
    <w:rsid w:val="00820952"/>
    <w:rsid w:val="008209B5"/>
    <w:rsid w:val="00820AB8"/>
    <w:rsid w:val="00820AC8"/>
    <w:rsid w:val="00820ADF"/>
    <w:rsid w:val="00820B86"/>
    <w:rsid w:val="00820C3E"/>
    <w:rsid w:val="00820C44"/>
    <w:rsid w:val="00820C5D"/>
    <w:rsid w:val="00820C70"/>
    <w:rsid w:val="00820D2B"/>
    <w:rsid w:val="00820D61"/>
    <w:rsid w:val="00820D8D"/>
    <w:rsid w:val="00820D8E"/>
    <w:rsid w:val="00820DBE"/>
    <w:rsid w:val="00820DDE"/>
    <w:rsid w:val="00820DF7"/>
    <w:rsid w:val="00820E4B"/>
    <w:rsid w:val="00820E99"/>
    <w:rsid w:val="00820F87"/>
    <w:rsid w:val="00820FD5"/>
    <w:rsid w:val="00821043"/>
    <w:rsid w:val="008210C7"/>
    <w:rsid w:val="008210D4"/>
    <w:rsid w:val="008210D7"/>
    <w:rsid w:val="008210E1"/>
    <w:rsid w:val="00821133"/>
    <w:rsid w:val="008211E0"/>
    <w:rsid w:val="00821216"/>
    <w:rsid w:val="00821217"/>
    <w:rsid w:val="00821303"/>
    <w:rsid w:val="008213C6"/>
    <w:rsid w:val="0082152B"/>
    <w:rsid w:val="008216B3"/>
    <w:rsid w:val="008216BF"/>
    <w:rsid w:val="008216FC"/>
    <w:rsid w:val="00821716"/>
    <w:rsid w:val="0082172A"/>
    <w:rsid w:val="0082182C"/>
    <w:rsid w:val="00821838"/>
    <w:rsid w:val="00821872"/>
    <w:rsid w:val="008218A4"/>
    <w:rsid w:val="0082192C"/>
    <w:rsid w:val="008219EB"/>
    <w:rsid w:val="00821A14"/>
    <w:rsid w:val="00821A43"/>
    <w:rsid w:val="00821A50"/>
    <w:rsid w:val="00821A98"/>
    <w:rsid w:val="00821A9A"/>
    <w:rsid w:val="00821AAD"/>
    <w:rsid w:val="00821AB4"/>
    <w:rsid w:val="00821B4E"/>
    <w:rsid w:val="00821C90"/>
    <w:rsid w:val="00821D6F"/>
    <w:rsid w:val="00821DDC"/>
    <w:rsid w:val="00821E12"/>
    <w:rsid w:val="00821EB3"/>
    <w:rsid w:val="00821EC0"/>
    <w:rsid w:val="00821F2F"/>
    <w:rsid w:val="00821F36"/>
    <w:rsid w:val="00821F6A"/>
    <w:rsid w:val="00821FA8"/>
    <w:rsid w:val="00821FB6"/>
    <w:rsid w:val="00821FEE"/>
    <w:rsid w:val="00822006"/>
    <w:rsid w:val="00822022"/>
    <w:rsid w:val="008220B7"/>
    <w:rsid w:val="00822156"/>
    <w:rsid w:val="00822164"/>
    <w:rsid w:val="00822189"/>
    <w:rsid w:val="0082219A"/>
    <w:rsid w:val="00822214"/>
    <w:rsid w:val="008222A9"/>
    <w:rsid w:val="00822476"/>
    <w:rsid w:val="00822603"/>
    <w:rsid w:val="00822630"/>
    <w:rsid w:val="0082263E"/>
    <w:rsid w:val="00822680"/>
    <w:rsid w:val="0082277B"/>
    <w:rsid w:val="008227B2"/>
    <w:rsid w:val="00822888"/>
    <w:rsid w:val="00822956"/>
    <w:rsid w:val="0082296F"/>
    <w:rsid w:val="00822AB5"/>
    <w:rsid w:val="00822AE7"/>
    <w:rsid w:val="00822B9C"/>
    <w:rsid w:val="00822C65"/>
    <w:rsid w:val="00822C69"/>
    <w:rsid w:val="00822CC7"/>
    <w:rsid w:val="00822CE8"/>
    <w:rsid w:val="00822CFC"/>
    <w:rsid w:val="00822DAC"/>
    <w:rsid w:val="00822E41"/>
    <w:rsid w:val="00822E6E"/>
    <w:rsid w:val="00822E6F"/>
    <w:rsid w:val="00822EA0"/>
    <w:rsid w:val="00822EBA"/>
    <w:rsid w:val="00822EE2"/>
    <w:rsid w:val="00822F70"/>
    <w:rsid w:val="00822F8F"/>
    <w:rsid w:val="0082304C"/>
    <w:rsid w:val="0082306B"/>
    <w:rsid w:val="00823163"/>
    <w:rsid w:val="0082317B"/>
    <w:rsid w:val="008231E6"/>
    <w:rsid w:val="00823218"/>
    <w:rsid w:val="00823264"/>
    <w:rsid w:val="00823294"/>
    <w:rsid w:val="008232E7"/>
    <w:rsid w:val="00823335"/>
    <w:rsid w:val="0082334E"/>
    <w:rsid w:val="008233D2"/>
    <w:rsid w:val="00823448"/>
    <w:rsid w:val="00823470"/>
    <w:rsid w:val="008234FF"/>
    <w:rsid w:val="00823570"/>
    <w:rsid w:val="0082359B"/>
    <w:rsid w:val="008235CF"/>
    <w:rsid w:val="00823639"/>
    <w:rsid w:val="00823692"/>
    <w:rsid w:val="008236CD"/>
    <w:rsid w:val="008236E3"/>
    <w:rsid w:val="008236FB"/>
    <w:rsid w:val="0082373F"/>
    <w:rsid w:val="00823770"/>
    <w:rsid w:val="00823779"/>
    <w:rsid w:val="008237FD"/>
    <w:rsid w:val="00823807"/>
    <w:rsid w:val="00823850"/>
    <w:rsid w:val="00823857"/>
    <w:rsid w:val="00823865"/>
    <w:rsid w:val="00823921"/>
    <w:rsid w:val="00823938"/>
    <w:rsid w:val="0082396C"/>
    <w:rsid w:val="00823975"/>
    <w:rsid w:val="0082397B"/>
    <w:rsid w:val="00823A70"/>
    <w:rsid w:val="00823ABB"/>
    <w:rsid w:val="00823AC7"/>
    <w:rsid w:val="00823AFC"/>
    <w:rsid w:val="00823B5B"/>
    <w:rsid w:val="00823BA0"/>
    <w:rsid w:val="00823BB5"/>
    <w:rsid w:val="00823C44"/>
    <w:rsid w:val="00823C5E"/>
    <w:rsid w:val="00823D0F"/>
    <w:rsid w:val="00823D90"/>
    <w:rsid w:val="00823D95"/>
    <w:rsid w:val="00823EEA"/>
    <w:rsid w:val="00823F18"/>
    <w:rsid w:val="00823FD1"/>
    <w:rsid w:val="0082417E"/>
    <w:rsid w:val="008241E1"/>
    <w:rsid w:val="0082426C"/>
    <w:rsid w:val="008242B3"/>
    <w:rsid w:val="0082437F"/>
    <w:rsid w:val="008243DC"/>
    <w:rsid w:val="0082445E"/>
    <w:rsid w:val="00824534"/>
    <w:rsid w:val="00824569"/>
    <w:rsid w:val="0082457A"/>
    <w:rsid w:val="008245B0"/>
    <w:rsid w:val="00824601"/>
    <w:rsid w:val="00824648"/>
    <w:rsid w:val="0082465A"/>
    <w:rsid w:val="0082469C"/>
    <w:rsid w:val="0082469E"/>
    <w:rsid w:val="008246DB"/>
    <w:rsid w:val="008246F9"/>
    <w:rsid w:val="00824736"/>
    <w:rsid w:val="0082475E"/>
    <w:rsid w:val="008247A1"/>
    <w:rsid w:val="00824861"/>
    <w:rsid w:val="008248A3"/>
    <w:rsid w:val="008248C2"/>
    <w:rsid w:val="008248C8"/>
    <w:rsid w:val="00824967"/>
    <w:rsid w:val="00824ACD"/>
    <w:rsid w:val="00824B32"/>
    <w:rsid w:val="00824B4D"/>
    <w:rsid w:val="00824B53"/>
    <w:rsid w:val="00824BF8"/>
    <w:rsid w:val="00824C5D"/>
    <w:rsid w:val="00824C69"/>
    <w:rsid w:val="00824CD7"/>
    <w:rsid w:val="00824D16"/>
    <w:rsid w:val="00824D98"/>
    <w:rsid w:val="00824DEE"/>
    <w:rsid w:val="00824E64"/>
    <w:rsid w:val="00824E72"/>
    <w:rsid w:val="0082505A"/>
    <w:rsid w:val="0082512A"/>
    <w:rsid w:val="00825152"/>
    <w:rsid w:val="00825186"/>
    <w:rsid w:val="0082519D"/>
    <w:rsid w:val="0082519F"/>
    <w:rsid w:val="008251EC"/>
    <w:rsid w:val="0082520B"/>
    <w:rsid w:val="0082527A"/>
    <w:rsid w:val="00825289"/>
    <w:rsid w:val="00825293"/>
    <w:rsid w:val="008252D7"/>
    <w:rsid w:val="0082532C"/>
    <w:rsid w:val="00825332"/>
    <w:rsid w:val="00825381"/>
    <w:rsid w:val="0082539D"/>
    <w:rsid w:val="008253DA"/>
    <w:rsid w:val="00825440"/>
    <w:rsid w:val="00825581"/>
    <w:rsid w:val="00825605"/>
    <w:rsid w:val="00825646"/>
    <w:rsid w:val="008256C9"/>
    <w:rsid w:val="008257B7"/>
    <w:rsid w:val="0082586E"/>
    <w:rsid w:val="008258A9"/>
    <w:rsid w:val="00825A68"/>
    <w:rsid w:val="00825A89"/>
    <w:rsid w:val="00825A8B"/>
    <w:rsid w:val="00825ADC"/>
    <w:rsid w:val="00825AE2"/>
    <w:rsid w:val="00825B44"/>
    <w:rsid w:val="00825B4B"/>
    <w:rsid w:val="00825BA5"/>
    <w:rsid w:val="00825BFF"/>
    <w:rsid w:val="00825D24"/>
    <w:rsid w:val="00825D33"/>
    <w:rsid w:val="00825D53"/>
    <w:rsid w:val="00825D99"/>
    <w:rsid w:val="00825E47"/>
    <w:rsid w:val="00825F47"/>
    <w:rsid w:val="00825F9C"/>
    <w:rsid w:val="00825FDF"/>
    <w:rsid w:val="00826033"/>
    <w:rsid w:val="00826038"/>
    <w:rsid w:val="00826063"/>
    <w:rsid w:val="00826137"/>
    <w:rsid w:val="00826160"/>
    <w:rsid w:val="008261A0"/>
    <w:rsid w:val="0082624E"/>
    <w:rsid w:val="008262B7"/>
    <w:rsid w:val="00826308"/>
    <w:rsid w:val="0082631D"/>
    <w:rsid w:val="008263DC"/>
    <w:rsid w:val="008265A6"/>
    <w:rsid w:val="008265E0"/>
    <w:rsid w:val="008266E6"/>
    <w:rsid w:val="00826716"/>
    <w:rsid w:val="00826765"/>
    <w:rsid w:val="00826797"/>
    <w:rsid w:val="008267F5"/>
    <w:rsid w:val="00826808"/>
    <w:rsid w:val="00826857"/>
    <w:rsid w:val="0082689B"/>
    <w:rsid w:val="00826967"/>
    <w:rsid w:val="008269FF"/>
    <w:rsid w:val="00826A2F"/>
    <w:rsid w:val="00826AA7"/>
    <w:rsid w:val="00826C1B"/>
    <w:rsid w:val="00826C78"/>
    <w:rsid w:val="00826C84"/>
    <w:rsid w:val="00826CB7"/>
    <w:rsid w:val="00826CD4"/>
    <w:rsid w:val="00826CDE"/>
    <w:rsid w:val="00826CFE"/>
    <w:rsid w:val="00826D9C"/>
    <w:rsid w:val="00826DFC"/>
    <w:rsid w:val="00826E1F"/>
    <w:rsid w:val="00826F48"/>
    <w:rsid w:val="00826FBB"/>
    <w:rsid w:val="00827020"/>
    <w:rsid w:val="0082706F"/>
    <w:rsid w:val="0082712D"/>
    <w:rsid w:val="00827130"/>
    <w:rsid w:val="00827152"/>
    <w:rsid w:val="008271CA"/>
    <w:rsid w:val="008272BB"/>
    <w:rsid w:val="00827396"/>
    <w:rsid w:val="00827438"/>
    <w:rsid w:val="00827440"/>
    <w:rsid w:val="0082748A"/>
    <w:rsid w:val="008274CB"/>
    <w:rsid w:val="0082754D"/>
    <w:rsid w:val="0082754E"/>
    <w:rsid w:val="00827645"/>
    <w:rsid w:val="00827650"/>
    <w:rsid w:val="00827714"/>
    <w:rsid w:val="00827805"/>
    <w:rsid w:val="00827859"/>
    <w:rsid w:val="00827933"/>
    <w:rsid w:val="00827944"/>
    <w:rsid w:val="00827A5F"/>
    <w:rsid w:val="00827A98"/>
    <w:rsid w:val="00827B80"/>
    <w:rsid w:val="00827C29"/>
    <w:rsid w:val="00827C85"/>
    <w:rsid w:val="00827D66"/>
    <w:rsid w:val="00827D88"/>
    <w:rsid w:val="00827EAF"/>
    <w:rsid w:val="00827EF9"/>
    <w:rsid w:val="00827FC3"/>
    <w:rsid w:val="00830034"/>
    <w:rsid w:val="0083005E"/>
    <w:rsid w:val="00830083"/>
    <w:rsid w:val="008300CD"/>
    <w:rsid w:val="008302AE"/>
    <w:rsid w:val="0083040C"/>
    <w:rsid w:val="00830422"/>
    <w:rsid w:val="0083042D"/>
    <w:rsid w:val="0083043C"/>
    <w:rsid w:val="008304B7"/>
    <w:rsid w:val="00830540"/>
    <w:rsid w:val="0083059E"/>
    <w:rsid w:val="008305FB"/>
    <w:rsid w:val="0083068C"/>
    <w:rsid w:val="00830759"/>
    <w:rsid w:val="00830857"/>
    <w:rsid w:val="0083089A"/>
    <w:rsid w:val="00830955"/>
    <w:rsid w:val="008309AB"/>
    <w:rsid w:val="00830A0A"/>
    <w:rsid w:val="00830A1E"/>
    <w:rsid w:val="00830A90"/>
    <w:rsid w:val="00830AC4"/>
    <w:rsid w:val="00830AD0"/>
    <w:rsid w:val="00830BB2"/>
    <w:rsid w:val="00830BC1"/>
    <w:rsid w:val="00830BD4"/>
    <w:rsid w:val="00830BDB"/>
    <w:rsid w:val="00830C1A"/>
    <w:rsid w:val="00830C1F"/>
    <w:rsid w:val="00830CC1"/>
    <w:rsid w:val="00830D20"/>
    <w:rsid w:val="00830D5C"/>
    <w:rsid w:val="00830D8C"/>
    <w:rsid w:val="00830DA8"/>
    <w:rsid w:val="00830DCD"/>
    <w:rsid w:val="00830E0C"/>
    <w:rsid w:val="00830EC4"/>
    <w:rsid w:val="00830F5D"/>
    <w:rsid w:val="00830FAD"/>
    <w:rsid w:val="00830FB2"/>
    <w:rsid w:val="00830FEC"/>
    <w:rsid w:val="00830FED"/>
    <w:rsid w:val="00831120"/>
    <w:rsid w:val="008311E7"/>
    <w:rsid w:val="008311F7"/>
    <w:rsid w:val="0083120A"/>
    <w:rsid w:val="008312C5"/>
    <w:rsid w:val="008312FA"/>
    <w:rsid w:val="00831327"/>
    <w:rsid w:val="008313CC"/>
    <w:rsid w:val="0083141E"/>
    <w:rsid w:val="00831544"/>
    <w:rsid w:val="00831549"/>
    <w:rsid w:val="0083154D"/>
    <w:rsid w:val="008315E3"/>
    <w:rsid w:val="00831645"/>
    <w:rsid w:val="008316AE"/>
    <w:rsid w:val="008316DD"/>
    <w:rsid w:val="00831751"/>
    <w:rsid w:val="0083186E"/>
    <w:rsid w:val="008318D0"/>
    <w:rsid w:val="008318DF"/>
    <w:rsid w:val="0083190D"/>
    <w:rsid w:val="0083196D"/>
    <w:rsid w:val="0083199E"/>
    <w:rsid w:val="00831A42"/>
    <w:rsid w:val="00831A69"/>
    <w:rsid w:val="00831A8E"/>
    <w:rsid w:val="00831ADD"/>
    <w:rsid w:val="00831B87"/>
    <w:rsid w:val="00831BB2"/>
    <w:rsid w:val="00831C11"/>
    <w:rsid w:val="00831CE5"/>
    <w:rsid w:val="00831D34"/>
    <w:rsid w:val="00831D52"/>
    <w:rsid w:val="00831E11"/>
    <w:rsid w:val="00831E42"/>
    <w:rsid w:val="00831E47"/>
    <w:rsid w:val="00831E74"/>
    <w:rsid w:val="00831EED"/>
    <w:rsid w:val="00831F8B"/>
    <w:rsid w:val="00831FD0"/>
    <w:rsid w:val="0083209D"/>
    <w:rsid w:val="008320C2"/>
    <w:rsid w:val="008320F7"/>
    <w:rsid w:val="0083214F"/>
    <w:rsid w:val="008321B3"/>
    <w:rsid w:val="008321EE"/>
    <w:rsid w:val="008322BA"/>
    <w:rsid w:val="008323E7"/>
    <w:rsid w:val="008323F7"/>
    <w:rsid w:val="0083245B"/>
    <w:rsid w:val="00832463"/>
    <w:rsid w:val="00832535"/>
    <w:rsid w:val="008325AD"/>
    <w:rsid w:val="00832688"/>
    <w:rsid w:val="00832723"/>
    <w:rsid w:val="00832769"/>
    <w:rsid w:val="0083277E"/>
    <w:rsid w:val="008328C8"/>
    <w:rsid w:val="00832920"/>
    <w:rsid w:val="00832935"/>
    <w:rsid w:val="008329C9"/>
    <w:rsid w:val="008329E6"/>
    <w:rsid w:val="00832A2B"/>
    <w:rsid w:val="00832ADF"/>
    <w:rsid w:val="00832B35"/>
    <w:rsid w:val="00832C1F"/>
    <w:rsid w:val="00832C81"/>
    <w:rsid w:val="00832D22"/>
    <w:rsid w:val="00832D8F"/>
    <w:rsid w:val="00832D94"/>
    <w:rsid w:val="00832E74"/>
    <w:rsid w:val="00832E7E"/>
    <w:rsid w:val="00832F50"/>
    <w:rsid w:val="00832F88"/>
    <w:rsid w:val="00832FF5"/>
    <w:rsid w:val="00833135"/>
    <w:rsid w:val="008331FC"/>
    <w:rsid w:val="00833215"/>
    <w:rsid w:val="00833231"/>
    <w:rsid w:val="00833234"/>
    <w:rsid w:val="0083324F"/>
    <w:rsid w:val="00833264"/>
    <w:rsid w:val="008332B2"/>
    <w:rsid w:val="00833301"/>
    <w:rsid w:val="00833345"/>
    <w:rsid w:val="00833391"/>
    <w:rsid w:val="008333F8"/>
    <w:rsid w:val="0083344E"/>
    <w:rsid w:val="00833463"/>
    <w:rsid w:val="00833478"/>
    <w:rsid w:val="00833569"/>
    <w:rsid w:val="008335AC"/>
    <w:rsid w:val="008335B1"/>
    <w:rsid w:val="008335B6"/>
    <w:rsid w:val="008335D0"/>
    <w:rsid w:val="00833607"/>
    <w:rsid w:val="00833610"/>
    <w:rsid w:val="008336AB"/>
    <w:rsid w:val="00833787"/>
    <w:rsid w:val="00833815"/>
    <w:rsid w:val="00833871"/>
    <w:rsid w:val="008338BB"/>
    <w:rsid w:val="00833979"/>
    <w:rsid w:val="008339D7"/>
    <w:rsid w:val="00833A20"/>
    <w:rsid w:val="00833A21"/>
    <w:rsid w:val="00833AA1"/>
    <w:rsid w:val="00833ADC"/>
    <w:rsid w:val="00833AEE"/>
    <w:rsid w:val="00833B6B"/>
    <w:rsid w:val="00833C95"/>
    <w:rsid w:val="00833D0C"/>
    <w:rsid w:val="00833D29"/>
    <w:rsid w:val="00833D58"/>
    <w:rsid w:val="00833D6C"/>
    <w:rsid w:val="00833DBD"/>
    <w:rsid w:val="00833DC7"/>
    <w:rsid w:val="00833E6A"/>
    <w:rsid w:val="00833E79"/>
    <w:rsid w:val="00833EA9"/>
    <w:rsid w:val="00833EE3"/>
    <w:rsid w:val="00833F59"/>
    <w:rsid w:val="00833FE7"/>
    <w:rsid w:val="00834039"/>
    <w:rsid w:val="00834045"/>
    <w:rsid w:val="008340B2"/>
    <w:rsid w:val="00834188"/>
    <w:rsid w:val="008341FD"/>
    <w:rsid w:val="0083428E"/>
    <w:rsid w:val="008343D0"/>
    <w:rsid w:val="008343D2"/>
    <w:rsid w:val="008343DE"/>
    <w:rsid w:val="008343F6"/>
    <w:rsid w:val="00834486"/>
    <w:rsid w:val="008344B9"/>
    <w:rsid w:val="008344EF"/>
    <w:rsid w:val="008344F5"/>
    <w:rsid w:val="0083452D"/>
    <w:rsid w:val="00834541"/>
    <w:rsid w:val="008345A2"/>
    <w:rsid w:val="00834611"/>
    <w:rsid w:val="008346C0"/>
    <w:rsid w:val="008346C1"/>
    <w:rsid w:val="008346DB"/>
    <w:rsid w:val="0083478F"/>
    <w:rsid w:val="008347AC"/>
    <w:rsid w:val="008347CA"/>
    <w:rsid w:val="008347EA"/>
    <w:rsid w:val="008348AE"/>
    <w:rsid w:val="00834A06"/>
    <w:rsid w:val="00834A13"/>
    <w:rsid w:val="00834A57"/>
    <w:rsid w:val="00834B08"/>
    <w:rsid w:val="00834BC0"/>
    <w:rsid w:val="00834BD6"/>
    <w:rsid w:val="00834C3A"/>
    <w:rsid w:val="00834C58"/>
    <w:rsid w:val="00834D92"/>
    <w:rsid w:val="00834DE8"/>
    <w:rsid w:val="00834E12"/>
    <w:rsid w:val="00834E4A"/>
    <w:rsid w:val="008350E5"/>
    <w:rsid w:val="008350EE"/>
    <w:rsid w:val="00835134"/>
    <w:rsid w:val="008351DC"/>
    <w:rsid w:val="008351DE"/>
    <w:rsid w:val="0083521C"/>
    <w:rsid w:val="00835280"/>
    <w:rsid w:val="00835321"/>
    <w:rsid w:val="00835371"/>
    <w:rsid w:val="00835422"/>
    <w:rsid w:val="0083548D"/>
    <w:rsid w:val="008354F6"/>
    <w:rsid w:val="008354F9"/>
    <w:rsid w:val="00835519"/>
    <w:rsid w:val="0083559F"/>
    <w:rsid w:val="008357AB"/>
    <w:rsid w:val="008358A1"/>
    <w:rsid w:val="008358AB"/>
    <w:rsid w:val="008358C8"/>
    <w:rsid w:val="008359DA"/>
    <w:rsid w:val="00835A13"/>
    <w:rsid w:val="00835AEA"/>
    <w:rsid w:val="00835AEE"/>
    <w:rsid w:val="00835B99"/>
    <w:rsid w:val="00835C39"/>
    <w:rsid w:val="00835C43"/>
    <w:rsid w:val="00835C61"/>
    <w:rsid w:val="00835C6A"/>
    <w:rsid w:val="00835C6C"/>
    <w:rsid w:val="00835C8E"/>
    <w:rsid w:val="00835D69"/>
    <w:rsid w:val="00835D78"/>
    <w:rsid w:val="00835DAD"/>
    <w:rsid w:val="00835DC3"/>
    <w:rsid w:val="00835DCB"/>
    <w:rsid w:val="00835DEB"/>
    <w:rsid w:val="00835E1F"/>
    <w:rsid w:val="00835F19"/>
    <w:rsid w:val="00835F43"/>
    <w:rsid w:val="00835FA0"/>
    <w:rsid w:val="00836094"/>
    <w:rsid w:val="00836097"/>
    <w:rsid w:val="008360BD"/>
    <w:rsid w:val="00836132"/>
    <w:rsid w:val="00836214"/>
    <w:rsid w:val="0083624F"/>
    <w:rsid w:val="00836262"/>
    <w:rsid w:val="0083631C"/>
    <w:rsid w:val="0083649B"/>
    <w:rsid w:val="0083664C"/>
    <w:rsid w:val="0083668B"/>
    <w:rsid w:val="0083668C"/>
    <w:rsid w:val="008366FA"/>
    <w:rsid w:val="0083673A"/>
    <w:rsid w:val="0083676E"/>
    <w:rsid w:val="00836770"/>
    <w:rsid w:val="0083678C"/>
    <w:rsid w:val="008367A6"/>
    <w:rsid w:val="008367C9"/>
    <w:rsid w:val="00836832"/>
    <w:rsid w:val="00836840"/>
    <w:rsid w:val="00836856"/>
    <w:rsid w:val="008369D9"/>
    <w:rsid w:val="008369E9"/>
    <w:rsid w:val="00836A06"/>
    <w:rsid w:val="00836A2B"/>
    <w:rsid w:val="00836A6F"/>
    <w:rsid w:val="00836ABB"/>
    <w:rsid w:val="00836AE0"/>
    <w:rsid w:val="00836BC1"/>
    <w:rsid w:val="00836C66"/>
    <w:rsid w:val="00836C76"/>
    <w:rsid w:val="00836C89"/>
    <w:rsid w:val="00836C9E"/>
    <w:rsid w:val="00836D1C"/>
    <w:rsid w:val="00836DD7"/>
    <w:rsid w:val="00836E23"/>
    <w:rsid w:val="00836E3A"/>
    <w:rsid w:val="00836E3B"/>
    <w:rsid w:val="00836F67"/>
    <w:rsid w:val="00836F8B"/>
    <w:rsid w:val="00836FFF"/>
    <w:rsid w:val="0083703E"/>
    <w:rsid w:val="00837089"/>
    <w:rsid w:val="008371AA"/>
    <w:rsid w:val="00837210"/>
    <w:rsid w:val="00837276"/>
    <w:rsid w:val="0083727E"/>
    <w:rsid w:val="0083731B"/>
    <w:rsid w:val="00837391"/>
    <w:rsid w:val="008373E5"/>
    <w:rsid w:val="0083743E"/>
    <w:rsid w:val="00837494"/>
    <w:rsid w:val="0083752C"/>
    <w:rsid w:val="0083769E"/>
    <w:rsid w:val="00837792"/>
    <w:rsid w:val="008377A3"/>
    <w:rsid w:val="008377C2"/>
    <w:rsid w:val="008377F8"/>
    <w:rsid w:val="008377FC"/>
    <w:rsid w:val="00837986"/>
    <w:rsid w:val="00837991"/>
    <w:rsid w:val="008379C9"/>
    <w:rsid w:val="00837A19"/>
    <w:rsid w:val="00837A59"/>
    <w:rsid w:val="00837B65"/>
    <w:rsid w:val="00837BF9"/>
    <w:rsid w:val="00837C1A"/>
    <w:rsid w:val="00837C22"/>
    <w:rsid w:val="00837C4E"/>
    <w:rsid w:val="00837CAA"/>
    <w:rsid w:val="00837CBF"/>
    <w:rsid w:val="00837D2F"/>
    <w:rsid w:val="00837D75"/>
    <w:rsid w:val="00837E0C"/>
    <w:rsid w:val="00837E86"/>
    <w:rsid w:val="00837EA4"/>
    <w:rsid w:val="00837EFB"/>
    <w:rsid w:val="00840047"/>
    <w:rsid w:val="008400EB"/>
    <w:rsid w:val="008400ED"/>
    <w:rsid w:val="0084014F"/>
    <w:rsid w:val="00840195"/>
    <w:rsid w:val="0084024F"/>
    <w:rsid w:val="00840350"/>
    <w:rsid w:val="00840375"/>
    <w:rsid w:val="00840386"/>
    <w:rsid w:val="008403A0"/>
    <w:rsid w:val="008403CE"/>
    <w:rsid w:val="008403FE"/>
    <w:rsid w:val="008404CA"/>
    <w:rsid w:val="008404CD"/>
    <w:rsid w:val="00840567"/>
    <w:rsid w:val="00840570"/>
    <w:rsid w:val="008405BF"/>
    <w:rsid w:val="008405C2"/>
    <w:rsid w:val="008406C2"/>
    <w:rsid w:val="008406E7"/>
    <w:rsid w:val="0084072F"/>
    <w:rsid w:val="00840812"/>
    <w:rsid w:val="00840824"/>
    <w:rsid w:val="008408D7"/>
    <w:rsid w:val="008408F8"/>
    <w:rsid w:val="008409E2"/>
    <w:rsid w:val="00840A59"/>
    <w:rsid w:val="00840A9D"/>
    <w:rsid w:val="00840AA8"/>
    <w:rsid w:val="00840B2D"/>
    <w:rsid w:val="00840B74"/>
    <w:rsid w:val="00840C83"/>
    <w:rsid w:val="00840D47"/>
    <w:rsid w:val="00840DD2"/>
    <w:rsid w:val="00840DFA"/>
    <w:rsid w:val="00840E0D"/>
    <w:rsid w:val="00840F86"/>
    <w:rsid w:val="00840FDB"/>
    <w:rsid w:val="0084106D"/>
    <w:rsid w:val="008410FE"/>
    <w:rsid w:val="00841189"/>
    <w:rsid w:val="0084119B"/>
    <w:rsid w:val="008411F5"/>
    <w:rsid w:val="0084122A"/>
    <w:rsid w:val="008414B5"/>
    <w:rsid w:val="008415D1"/>
    <w:rsid w:val="008415D9"/>
    <w:rsid w:val="008415F2"/>
    <w:rsid w:val="00841833"/>
    <w:rsid w:val="00841A03"/>
    <w:rsid w:val="00841B4F"/>
    <w:rsid w:val="00841B81"/>
    <w:rsid w:val="00841B92"/>
    <w:rsid w:val="00841BC9"/>
    <w:rsid w:val="00841C6D"/>
    <w:rsid w:val="00841C95"/>
    <w:rsid w:val="00841CFE"/>
    <w:rsid w:val="00841D5E"/>
    <w:rsid w:val="00842032"/>
    <w:rsid w:val="00842042"/>
    <w:rsid w:val="00842111"/>
    <w:rsid w:val="008421BA"/>
    <w:rsid w:val="0084231B"/>
    <w:rsid w:val="00842389"/>
    <w:rsid w:val="0084238D"/>
    <w:rsid w:val="008423EB"/>
    <w:rsid w:val="008423F5"/>
    <w:rsid w:val="008424AF"/>
    <w:rsid w:val="008424BD"/>
    <w:rsid w:val="008426A2"/>
    <w:rsid w:val="00842715"/>
    <w:rsid w:val="008427B2"/>
    <w:rsid w:val="008427C2"/>
    <w:rsid w:val="0084284D"/>
    <w:rsid w:val="0084291A"/>
    <w:rsid w:val="00842A48"/>
    <w:rsid w:val="00842A5F"/>
    <w:rsid w:val="00842BAD"/>
    <w:rsid w:val="00842BAE"/>
    <w:rsid w:val="00842BC3"/>
    <w:rsid w:val="00842C86"/>
    <w:rsid w:val="00842E5A"/>
    <w:rsid w:val="00842ECC"/>
    <w:rsid w:val="00842EFB"/>
    <w:rsid w:val="0084304F"/>
    <w:rsid w:val="0084306E"/>
    <w:rsid w:val="00843079"/>
    <w:rsid w:val="00843085"/>
    <w:rsid w:val="008430BD"/>
    <w:rsid w:val="008430D8"/>
    <w:rsid w:val="008431A2"/>
    <w:rsid w:val="00843288"/>
    <w:rsid w:val="0084329B"/>
    <w:rsid w:val="008432EB"/>
    <w:rsid w:val="008433C3"/>
    <w:rsid w:val="008434E7"/>
    <w:rsid w:val="008434F7"/>
    <w:rsid w:val="008435A6"/>
    <w:rsid w:val="00843673"/>
    <w:rsid w:val="00843698"/>
    <w:rsid w:val="00843726"/>
    <w:rsid w:val="0084375F"/>
    <w:rsid w:val="00843771"/>
    <w:rsid w:val="008437C5"/>
    <w:rsid w:val="008437CF"/>
    <w:rsid w:val="008437D0"/>
    <w:rsid w:val="008437FE"/>
    <w:rsid w:val="00843801"/>
    <w:rsid w:val="008438FC"/>
    <w:rsid w:val="0084398C"/>
    <w:rsid w:val="00843AA2"/>
    <w:rsid w:val="00843BEA"/>
    <w:rsid w:val="00843C06"/>
    <w:rsid w:val="00843C0A"/>
    <w:rsid w:val="00843D10"/>
    <w:rsid w:val="00843D86"/>
    <w:rsid w:val="00843D89"/>
    <w:rsid w:val="00843D90"/>
    <w:rsid w:val="00843DD1"/>
    <w:rsid w:val="00843EE0"/>
    <w:rsid w:val="00843F18"/>
    <w:rsid w:val="00843F56"/>
    <w:rsid w:val="00844191"/>
    <w:rsid w:val="00844224"/>
    <w:rsid w:val="0084428C"/>
    <w:rsid w:val="00844295"/>
    <w:rsid w:val="008442BE"/>
    <w:rsid w:val="008442D4"/>
    <w:rsid w:val="008443C2"/>
    <w:rsid w:val="00844434"/>
    <w:rsid w:val="00844436"/>
    <w:rsid w:val="0084449E"/>
    <w:rsid w:val="0084451B"/>
    <w:rsid w:val="00844568"/>
    <w:rsid w:val="00844598"/>
    <w:rsid w:val="008445AC"/>
    <w:rsid w:val="0084461B"/>
    <w:rsid w:val="00844621"/>
    <w:rsid w:val="008446C0"/>
    <w:rsid w:val="008447AC"/>
    <w:rsid w:val="008447AF"/>
    <w:rsid w:val="00844832"/>
    <w:rsid w:val="008448D2"/>
    <w:rsid w:val="008448E8"/>
    <w:rsid w:val="00844908"/>
    <w:rsid w:val="0084493F"/>
    <w:rsid w:val="008449EE"/>
    <w:rsid w:val="00844A47"/>
    <w:rsid w:val="00844A7B"/>
    <w:rsid w:val="00844A8D"/>
    <w:rsid w:val="00844B7D"/>
    <w:rsid w:val="00844BA7"/>
    <w:rsid w:val="00844BF1"/>
    <w:rsid w:val="00844C22"/>
    <w:rsid w:val="00844CAA"/>
    <w:rsid w:val="00844CF8"/>
    <w:rsid w:val="00844D49"/>
    <w:rsid w:val="00844D65"/>
    <w:rsid w:val="00844E01"/>
    <w:rsid w:val="00844E12"/>
    <w:rsid w:val="00844E19"/>
    <w:rsid w:val="00844E77"/>
    <w:rsid w:val="00844EE4"/>
    <w:rsid w:val="00844F27"/>
    <w:rsid w:val="0084504B"/>
    <w:rsid w:val="00845090"/>
    <w:rsid w:val="008450A8"/>
    <w:rsid w:val="008450C4"/>
    <w:rsid w:val="0084514A"/>
    <w:rsid w:val="0084514F"/>
    <w:rsid w:val="0084517A"/>
    <w:rsid w:val="008451FF"/>
    <w:rsid w:val="00845253"/>
    <w:rsid w:val="00845262"/>
    <w:rsid w:val="008452F4"/>
    <w:rsid w:val="008453DD"/>
    <w:rsid w:val="008453FA"/>
    <w:rsid w:val="0084541C"/>
    <w:rsid w:val="0084542C"/>
    <w:rsid w:val="00845431"/>
    <w:rsid w:val="00845492"/>
    <w:rsid w:val="0084549E"/>
    <w:rsid w:val="00845534"/>
    <w:rsid w:val="00845572"/>
    <w:rsid w:val="008455B5"/>
    <w:rsid w:val="00845638"/>
    <w:rsid w:val="0084563D"/>
    <w:rsid w:val="008456B7"/>
    <w:rsid w:val="008456F9"/>
    <w:rsid w:val="0084582C"/>
    <w:rsid w:val="008458E5"/>
    <w:rsid w:val="00845934"/>
    <w:rsid w:val="00845985"/>
    <w:rsid w:val="008459BB"/>
    <w:rsid w:val="008459DC"/>
    <w:rsid w:val="008459F6"/>
    <w:rsid w:val="00845A3F"/>
    <w:rsid w:val="00845A7A"/>
    <w:rsid w:val="00845A99"/>
    <w:rsid w:val="00845B83"/>
    <w:rsid w:val="00845B97"/>
    <w:rsid w:val="00845C02"/>
    <w:rsid w:val="00845C13"/>
    <w:rsid w:val="00845C9A"/>
    <w:rsid w:val="00845E57"/>
    <w:rsid w:val="00845EA6"/>
    <w:rsid w:val="00845ED2"/>
    <w:rsid w:val="00845F7D"/>
    <w:rsid w:val="00845FCC"/>
    <w:rsid w:val="00846087"/>
    <w:rsid w:val="008460BD"/>
    <w:rsid w:val="0084613E"/>
    <w:rsid w:val="00846218"/>
    <w:rsid w:val="0084625B"/>
    <w:rsid w:val="008463A4"/>
    <w:rsid w:val="00846401"/>
    <w:rsid w:val="00846419"/>
    <w:rsid w:val="008465E4"/>
    <w:rsid w:val="0084660C"/>
    <w:rsid w:val="00846625"/>
    <w:rsid w:val="0084664A"/>
    <w:rsid w:val="008466D2"/>
    <w:rsid w:val="008466EF"/>
    <w:rsid w:val="00846758"/>
    <w:rsid w:val="0084679B"/>
    <w:rsid w:val="008467A3"/>
    <w:rsid w:val="00846805"/>
    <w:rsid w:val="00846897"/>
    <w:rsid w:val="0084689D"/>
    <w:rsid w:val="008468A4"/>
    <w:rsid w:val="008469AD"/>
    <w:rsid w:val="00846A11"/>
    <w:rsid w:val="00846A1E"/>
    <w:rsid w:val="00846A43"/>
    <w:rsid w:val="00846AD9"/>
    <w:rsid w:val="00846BA4"/>
    <w:rsid w:val="00846BB6"/>
    <w:rsid w:val="00846C38"/>
    <w:rsid w:val="00846C96"/>
    <w:rsid w:val="00846DD4"/>
    <w:rsid w:val="00846E65"/>
    <w:rsid w:val="00846E6E"/>
    <w:rsid w:val="00846E82"/>
    <w:rsid w:val="00846F31"/>
    <w:rsid w:val="00846F7E"/>
    <w:rsid w:val="00846FA0"/>
    <w:rsid w:val="00846FB9"/>
    <w:rsid w:val="00847011"/>
    <w:rsid w:val="00847144"/>
    <w:rsid w:val="008471BD"/>
    <w:rsid w:val="0084725D"/>
    <w:rsid w:val="00847298"/>
    <w:rsid w:val="008472B8"/>
    <w:rsid w:val="008472D7"/>
    <w:rsid w:val="00847370"/>
    <w:rsid w:val="00847393"/>
    <w:rsid w:val="00847431"/>
    <w:rsid w:val="008474A1"/>
    <w:rsid w:val="008474A6"/>
    <w:rsid w:val="008474CD"/>
    <w:rsid w:val="008474F8"/>
    <w:rsid w:val="0084756A"/>
    <w:rsid w:val="00847591"/>
    <w:rsid w:val="00847632"/>
    <w:rsid w:val="00847652"/>
    <w:rsid w:val="00847681"/>
    <w:rsid w:val="008476CC"/>
    <w:rsid w:val="0084773D"/>
    <w:rsid w:val="0084775D"/>
    <w:rsid w:val="0084779C"/>
    <w:rsid w:val="008477E1"/>
    <w:rsid w:val="00847867"/>
    <w:rsid w:val="008478FA"/>
    <w:rsid w:val="0084797D"/>
    <w:rsid w:val="00847A62"/>
    <w:rsid w:val="00847A96"/>
    <w:rsid w:val="00847A9B"/>
    <w:rsid w:val="00847B17"/>
    <w:rsid w:val="00847B5F"/>
    <w:rsid w:val="00847B9F"/>
    <w:rsid w:val="00847BBE"/>
    <w:rsid w:val="00847BF5"/>
    <w:rsid w:val="00847BFC"/>
    <w:rsid w:val="00847D31"/>
    <w:rsid w:val="00847DF6"/>
    <w:rsid w:val="00847E13"/>
    <w:rsid w:val="00847E3B"/>
    <w:rsid w:val="00847EA9"/>
    <w:rsid w:val="00847EB5"/>
    <w:rsid w:val="00847ED0"/>
    <w:rsid w:val="00847EF9"/>
    <w:rsid w:val="00847F2D"/>
    <w:rsid w:val="00847FA0"/>
    <w:rsid w:val="00850030"/>
    <w:rsid w:val="0085003E"/>
    <w:rsid w:val="00850059"/>
    <w:rsid w:val="008500B2"/>
    <w:rsid w:val="008500DE"/>
    <w:rsid w:val="008500FB"/>
    <w:rsid w:val="0085013B"/>
    <w:rsid w:val="00850152"/>
    <w:rsid w:val="008501DD"/>
    <w:rsid w:val="00850218"/>
    <w:rsid w:val="0085028F"/>
    <w:rsid w:val="008502A5"/>
    <w:rsid w:val="008503FE"/>
    <w:rsid w:val="0085044C"/>
    <w:rsid w:val="0085047E"/>
    <w:rsid w:val="008504E2"/>
    <w:rsid w:val="0085053B"/>
    <w:rsid w:val="00850574"/>
    <w:rsid w:val="00850630"/>
    <w:rsid w:val="0085066B"/>
    <w:rsid w:val="008506F0"/>
    <w:rsid w:val="0085071F"/>
    <w:rsid w:val="00850748"/>
    <w:rsid w:val="00850773"/>
    <w:rsid w:val="008507DB"/>
    <w:rsid w:val="0085082B"/>
    <w:rsid w:val="0085092F"/>
    <w:rsid w:val="00850A06"/>
    <w:rsid w:val="00850B4E"/>
    <w:rsid w:val="00850BA7"/>
    <w:rsid w:val="00850BC7"/>
    <w:rsid w:val="00850BF7"/>
    <w:rsid w:val="00850C24"/>
    <w:rsid w:val="00850C64"/>
    <w:rsid w:val="00850CB4"/>
    <w:rsid w:val="00850D49"/>
    <w:rsid w:val="00850DB4"/>
    <w:rsid w:val="00850DCA"/>
    <w:rsid w:val="00850E75"/>
    <w:rsid w:val="00850F03"/>
    <w:rsid w:val="00850F65"/>
    <w:rsid w:val="00850F7A"/>
    <w:rsid w:val="00850FCD"/>
    <w:rsid w:val="00850FE7"/>
    <w:rsid w:val="008510E3"/>
    <w:rsid w:val="008510F5"/>
    <w:rsid w:val="0085112A"/>
    <w:rsid w:val="00851158"/>
    <w:rsid w:val="00851189"/>
    <w:rsid w:val="008511EF"/>
    <w:rsid w:val="00851212"/>
    <w:rsid w:val="0085124A"/>
    <w:rsid w:val="0085130A"/>
    <w:rsid w:val="0085134A"/>
    <w:rsid w:val="008514B3"/>
    <w:rsid w:val="008514B7"/>
    <w:rsid w:val="0085154B"/>
    <w:rsid w:val="00851567"/>
    <w:rsid w:val="008515B9"/>
    <w:rsid w:val="008515D5"/>
    <w:rsid w:val="008515E2"/>
    <w:rsid w:val="008515F6"/>
    <w:rsid w:val="0085167A"/>
    <w:rsid w:val="008516E7"/>
    <w:rsid w:val="00851765"/>
    <w:rsid w:val="00851785"/>
    <w:rsid w:val="00851794"/>
    <w:rsid w:val="00851845"/>
    <w:rsid w:val="00851850"/>
    <w:rsid w:val="00851872"/>
    <w:rsid w:val="00851951"/>
    <w:rsid w:val="00851954"/>
    <w:rsid w:val="008519B0"/>
    <w:rsid w:val="00851A55"/>
    <w:rsid w:val="00851A7D"/>
    <w:rsid w:val="00851B05"/>
    <w:rsid w:val="00851BB1"/>
    <w:rsid w:val="00851BD1"/>
    <w:rsid w:val="00851C49"/>
    <w:rsid w:val="00851C6B"/>
    <w:rsid w:val="00851C7D"/>
    <w:rsid w:val="00851CEA"/>
    <w:rsid w:val="00851D68"/>
    <w:rsid w:val="00851DBC"/>
    <w:rsid w:val="00851DF7"/>
    <w:rsid w:val="00851DFA"/>
    <w:rsid w:val="00851E4D"/>
    <w:rsid w:val="00851E8C"/>
    <w:rsid w:val="00851F3C"/>
    <w:rsid w:val="00851F5D"/>
    <w:rsid w:val="0085202E"/>
    <w:rsid w:val="0085203A"/>
    <w:rsid w:val="00852155"/>
    <w:rsid w:val="00852197"/>
    <w:rsid w:val="008521C9"/>
    <w:rsid w:val="008521E0"/>
    <w:rsid w:val="0085225E"/>
    <w:rsid w:val="008522D6"/>
    <w:rsid w:val="008522F1"/>
    <w:rsid w:val="00852368"/>
    <w:rsid w:val="0085239F"/>
    <w:rsid w:val="008523D4"/>
    <w:rsid w:val="008524C5"/>
    <w:rsid w:val="00852559"/>
    <w:rsid w:val="008525AF"/>
    <w:rsid w:val="008525DD"/>
    <w:rsid w:val="008526A3"/>
    <w:rsid w:val="00852718"/>
    <w:rsid w:val="00852733"/>
    <w:rsid w:val="00852740"/>
    <w:rsid w:val="0085276D"/>
    <w:rsid w:val="008527B8"/>
    <w:rsid w:val="008527CD"/>
    <w:rsid w:val="00852852"/>
    <w:rsid w:val="0085285F"/>
    <w:rsid w:val="0085291E"/>
    <w:rsid w:val="0085292C"/>
    <w:rsid w:val="0085294B"/>
    <w:rsid w:val="0085294C"/>
    <w:rsid w:val="008529A2"/>
    <w:rsid w:val="008529B9"/>
    <w:rsid w:val="008529E0"/>
    <w:rsid w:val="00852A28"/>
    <w:rsid w:val="00852A60"/>
    <w:rsid w:val="00852B3D"/>
    <w:rsid w:val="00852B6A"/>
    <w:rsid w:val="00852BBC"/>
    <w:rsid w:val="00852BCE"/>
    <w:rsid w:val="00852C4E"/>
    <w:rsid w:val="00852CDA"/>
    <w:rsid w:val="00852D0D"/>
    <w:rsid w:val="00852D20"/>
    <w:rsid w:val="00852D63"/>
    <w:rsid w:val="00852DC6"/>
    <w:rsid w:val="00852DD7"/>
    <w:rsid w:val="00852E12"/>
    <w:rsid w:val="00852EE0"/>
    <w:rsid w:val="00852F35"/>
    <w:rsid w:val="00852F6D"/>
    <w:rsid w:val="00852F7F"/>
    <w:rsid w:val="0085308E"/>
    <w:rsid w:val="00853091"/>
    <w:rsid w:val="008531F0"/>
    <w:rsid w:val="00853255"/>
    <w:rsid w:val="008532DB"/>
    <w:rsid w:val="0085336A"/>
    <w:rsid w:val="008533E1"/>
    <w:rsid w:val="008533E7"/>
    <w:rsid w:val="0085341E"/>
    <w:rsid w:val="00853552"/>
    <w:rsid w:val="00853616"/>
    <w:rsid w:val="0085369B"/>
    <w:rsid w:val="00853726"/>
    <w:rsid w:val="00853760"/>
    <w:rsid w:val="0085377C"/>
    <w:rsid w:val="008537A0"/>
    <w:rsid w:val="0085382B"/>
    <w:rsid w:val="0085384F"/>
    <w:rsid w:val="00853859"/>
    <w:rsid w:val="0085385D"/>
    <w:rsid w:val="00853895"/>
    <w:rsid w:val="00853898"/>
    <w:rsid w:val="008539A6"/>
    <w:rsid w:val="008539CB"/>
    <w:rsid w:val="008539CD"/>
    <w:rsid w:val="008539DE"/>
    <w:rsid w:val="00853B35"/>
    <w:rsid w:val="00853BAB"/>
    <w:rsid w:val="00853BDB"/>
    <w:rsid w:val="00853BF4"/>
    <w:rsid w:val="00853C56"/>
    <w:rsid w:val="00853C6E"/>
    <w:rsid w:val="00853CAF"/>
    <w:rsid w:val="00853CC7"/>
    <w:rsid w:val="00853D2D"/>
    <w:rsid w:val="00853D43"/>
    <w:rsid w:val="00853DA6"/>
    <w:rsid w:val="00853DCC"/>
    <w:rsid w:val="00853E15"/>
    <w:rsid w:val="00853EC0"/>
    <w:rsid w:val="00853FC4"/>
    <w:rsid w:val="00853FD6"/>
    <w:rsid w:val="00854088"/>
    <w:rsid w:val="0085414E"/>
    <w:rsid w:val="008541D7"/>
    <w:rsid w:val="0085439B"/>
    <w:rsid w:val="00854469"/>
    <w:rsid w:val="0085447C"/>
    <w:rsid w:val="00854504"/>
    <w:rsid w:val="00854506"/>
    <w:rsid w:val="00854521"/>
    <w:rsid w:val="0085454C"/>
    <w:rsid w:val="0085460B"/>
    <w:rsid w:val="00854766"/>
    <w:rsid w:val="008547A4"/>
    <w:rsid w:val="00854890"/>
    <w:rsid w:val="0085498A"/>
    <w:rsid w:val="00854AE5"/>
    <w:rsid w:val="00854AEE"/>
    <w:rsid w:val="00854B95"/>
    <w:rsid w:val="00854BFF"/>
    <w:rsid w:val="00854C18"/>
    <w:rsid w:val="00854CBE"/>
    <w:rsid w:val="00854CED"/>
    <w:rsid w:val="00854CFE"/>
    <w:rsid w:val="00854D2F"/>
    <w:rsid w:val="00854E06"/>
    <w:rsid w:val="00854E12"/>
    <w:rsid w:val="00854E2B"/>
    <w:rsid w:val="00854ED5"/>
    <w:rsid w:val="00854F20"/>
    <w:rsid w:val="00854F5E"/>
    <w:rsid w:val="00854FBB"/>
    <w:rsid w:val="00854FD5"/>
    <w:rsid w:val="00855060"/>
    <w:rsid w:val="00855090"/>
    <w:rsid w:val="008550CB"/>
    <w:rsid w:val="008551CE"/>
    <w:rsid w:val="00855205"/>
    <w:rsid w:val="0085520D"/>
    <w:rsid w:val="00855245"/>
    <w:rsid w:val="00855296"/>
    <w:rsid w:val="008552BB"/>
    <w:rsid w:val="008553CD"/>
    <w:rsid w:val="0085541D"/>
    <w:rsid w:val="0085545B"/>
    <w:rsid w:val="008554BB"/>
    <w:rsid w:val="008554F0"/>
    <w:rsid w:val="0085553C"/>
    <w:rsid w:val="00855673"/>
    <w:rsid w:val="0085567C"/>
    <w:rsid w:val="008556AA"/>
    <w:rsid w:val="008556DA"/>
    <w:rsid w:val="008556DB"/>
    <w:rsid w:val="0085576A"/>
    <w:rsid w:val="0085584D"/>
    <w:rsid w:val="00855A08"/>
    <w:rsid w:val="00855A2B"/>
    <w:rsid w:val="00855A53"/>
    <w:rsid w:val="00855A72"/>
    <w:rsid w:val="00855AB3"/>
    <w:rsid w:val="00855ABE"/>
    <w:rsid w:val="00855B03"/>
    <w:rsid w:val="00855B0A"/>
    <w:rsid w:val="00855BD5"/>
    <w:rsid w:val="00855C08"/>
    <w:rsid w:val="00855C57"/>
    <w:rsid w:val="00855C61"/>
    <w:rsid w:val="00855C8C"/>
    <w:rsid w:val="00855CB8"/>
    <w:rsid w:val="00855D02"/>
    <w:rsid w:val="00855D1A"/>
    <w:rsid w:val="00855D38"/>
    <w:rsid w:val="00855DDA"/>
    <w:rsid w:val="00855DF3"/>
    <w:rsid w:val="00855DF9"/>
    <w:rsid w:val="00855EA5"/>
    <w:rsid w:val="00855EC9"/>
    <w:rsid w:val="00855F28"/>
    <w:rsid w:val="00856063"/>
    <w:rsid w:val="00856072"/>
    <w:rsid w:val="0085607B"/>
    <w:rsid w:val="00856080"/>
    <w:rsid w:val="008560EB"/>
    <w:rsid w:val="00856113"/>
    <w:rsid w:val="00856156"/>
    <w:rsid w:val="0085615F"/>
    <w:rsid w:val="0085619C"/>
    <w:rsid w:val="008561AB"/>
    <w:rsid w:val="0085620B"/>
    <w:rsid w:val="00856217"/>
    <w:rsid w:val="0085629E"/>
    <w:rsid w:val="008562E4"/>
    <w:rsid w:val="00856367"/>
    <w:rsid w:val="008563F0"/>
    <w:rsid w:val="0085643E"/>
    <w:rsid w:val="00856523"/>
    <w:rsid w:val="008565D9"/>
    <w:rsid w:val="008565FD"/>
    <w:rsid w:val="0085665F"/>
    <w:rsid w:val="008567A4"/>
    <w:rsid w:val="00856803"/>
    <w:rsid w:val="00856884"/>
    <w:rsid w:val="00856893"/>
    <w:rsid w:val="008568B8"/>
    <w:rsid w:val="0085692C"/>
    <w:rsid w:val="00856984"/>
    <w:rsid w:val="008569E9"/>
    <w:rsid w:val="00856A57"/>
    <w:rsid w:val="00856A6F"/>
    <w:rsid w:val="00856A7F"/>
    <w:rsid w:val="00856B3D"/>
    <w:rsid w:val="00856B60"/>
    <w:rsid w:val="00856B6A"/>
    <w:rsid w:val="00856B8A"/>
    <w:rsid w:val="00856BBF"/>
    <w:rsid w:val="00856C25"/>
    <w:rsid w:val="00856C38"/>
    <w:rsid w:val="00856C67"/>
    <w:rsid w:val="00856C71"/>
    <w:rsid w:val="00856C93"/>
    <w:rsid w:val="00856CE7"/>
    <w:rsid w:val="00856E1F"/>
    <w:rsid w:val="00856E38"/>
    <w:rsid w:val="00856E61"/>
    <w:rsid w:val="00856F40"/>
    <w:rsid w:val="00856F62"/>
    <w:rsid w:val="00856F72"/>
    <w:rsid w:val="0085706A"/>
    <w:rsid w:val="00857113"/>
    <w:rsid w:val="0085713D"/>
    <w:rsid w:val="00857150"/>
    <w:rsid w:val="0085716D"/>
    <w:rsid w:val="00857310"/>
    <w:rsid w:val="00857337"/>
    <w:rsid w:val="008573D5"/>
    <w:rsid w:val="008573E5"/>
    <w:rsid w:val="00857446"/>
    <w:rsid w:val="00857459"/>
    <w:rsid w:val="00857484"/>
    <w:rsid w:val="008574EB"/>
    <w:rsid w:val="008574FF"/>
    <w:rsid w:val="00857539"/>
    <w:rsid w:val="00857555"/>
    <w:rsid w:val="00857585"/>
    <w:rsid w:val="0085765F"/>
    <w:rsid w:val="00857695"/>
    <w:rsid w:val="008576E8"/>
    <w:rsid w:val="00857702"/>
    <w:rsid w:val="0085774C"/>
    <w:rsid w:val="00857784"/>
    <w:rsid w:val="00857827"/>
    <w:rsid w:val="008578EF"/>
    <w:rsid w:val="008579B4"/>
    <w:rsid w:val="00857A57"/>
    <w:rsid w:val="00857A62"/>
    <w:rsid w:val="00857C1B"/>
    <w:rsid w:val="00857C3A"/>
    <w:rsid w:val="00857CDE"/>
    <w:rsid w:val="00857CF6"/>
    <w:rsid w:val="00857D2E"/>
    <w:rsid w:val="00857EFC"/>
    <w:rsid w:val="00857F1A"/>
    <w:rsid w:val="00857F78"/>
    <w:rsid w:val="00857FBA"/>
    <w:rsid w:val="00857FD2"/>
    <w:rsid w:val="00860050"/>
    <w:rsid w:val="00860095"/>
    <w:rsid w:val="00860249"/>
    <w:rsid w:val="0086028A"/>
    <w:rsid w:val="0086029A"/>
    <w:rsid w:val="008602D1"/>
    <w:rsid w:val="008602E0"/>
    <w:rsid w:val="0086039E"/>
    <w:rsid w:val="0086048D"/>
    <w:rsid w:val="008604BF"/>
    <w:rsid w:val="00860573"/>
    <w:rsid w:val="008605BB"/>
    <w:rsid w:val="00860666"/>
    <w:rsid w:val="0086068C"/>
    <w:rsid w:val="008607EA"/>
    <w:rsid w:val="00860844"/>
    <w:rsid w:val="00860870"/>
    <w:rsid w:val="008608AC"/>
    <w:rsid w:val="00860983"/>
    <w:rsid w:val="008609BA"/>
    <w:rsid w:val="00860A07"/>
    <w:rsid w:val="00860ADD"/>
    <w:rsid w:val="00860AF4"/>
    <w:rsid w:val="00860B71"/>
    <w:rsid w:val="00860BD7"/>
    <w:rsid w:val="00860C7E"/>
    <w:rsid w:val="00860C80"/>
    <w:rsid w:val="00860D50"/>
    <w:rsid w:val="00860DCB"/>
    <w:rsid w:val="00860DFC"/>
    <w:rsid w:val="00860E10"/>
    <w:rsid w:val="00860E33"/>
    <w:rsid w:val="00860E3F"/>
    <w:rsid w:val="00860E4D"/>
    <w:rsid w:val="00860E82"/>
    <w:rsid w:val="00860E92"/>
    <w:rsid w:val="00860ED1"/>
    <w:rsid w:val="00860F51"/>
    <w:rsid w:val="00860F84"/>
    <w:rsid w:val="00860FF0"/>
    <w:rsid w:val="008610FB"/>
    <w:rsid w:val="00861149"/>
    <w:rsid w:val="0086118F"/>
    <w:rsid w:val="008611AE"/>
    <w:rsid w:val="0086124B"/>
    <w:rsid w:val="00861282"/>
    <w:rsid w:val="008612A5"/>
    <w:rsid w:val="008612E0"/>
    <w:rsid w:val="00861425"/>
    <w:rsid w:val="00861474"/>
    <w:rsid w:val="00861496"/>
    <w:rsid w:val="0086152D"/>
    <w:rsid w:val="0086154C"/>
    <w:rsid w:val="00861589"/>
    <w:rsid w:val="00861597"/>
    <w:rsid w:val="008615DF"/>
    <w:rsid w:val="008615FF"/>
    <w:rsid w:val="00861668"/>
    <w:rsid w:val="008617FD"/>
    <w:rsid w:val="0086186B"/>
    <w:rsid w:val="00861942"/>
    <w:rsid w:val="008619F6"/>
    <w:rsid w:val="00861AD0"/>
    <w:rsid w:val="00861B56"/>
    <w:rsid w:val="00861BD1"/>
    <w:rsid w:val="00861C1F"/>
    <w:rsid w:val="00861C4F"/>
    <w:rsid w:val="00861CBC"/>
    <w:rsid w:val="00861CC6"/>
    <w:rsid w:val="00861D53"/>
    <w:rsid w:val="00861D72"/>
    <w:rsid w:val="00861DDF"/>
    <w:rsid w:val="00861FC1"/>
    <w:rsid w:val="00861FDB"/>
    <w:rsid w:val="00861FE0"/>
    <w:rsid w:val="00862033"/>
    <w:rsid w:val="008620CA"/>
    <w:rsid w:val="00862114"/>
    <w:rsid w:val="00862117"/>
    <w:rsid w:val="00862195"/>
    <w:rsid w:val="008621A3"/>
    <w:rsid w:val="008621C4"/>
    <w:rsid w:val="0086228E"/>
    <w:rsid w:val="008622F0"/>
    <w:rsid w:val="00862409"/>
    <w:rsid w:val="00862469"/>
    <w:rsid w:val="008624B7"/>
    <w:rsid w:val="008624BF"/>
    <w:rsid w:val="008624DD"/>
    <w:rsid w:val="008624E5"/>
    <w:rsid w:val="00862536"/>
    <w:rsid w:val="0086256C"/>
    <w:rsid w:val="008625D5"/>
    <w:rsid w:val="008625E0"/>
    <w:rsid w:val="008626AE"/>
    <w:rsid w:val="00862711"/>
    <w:rsid w:val="00862787"/>
    <w:rsid w:val="008627BE"/>
    <w:rsid w:val="008627D1"/>
    <w:rsid w:val="00862816"/>
    <w:rsid w:val="0086285F"/>
    <w:rsid w:val="00862897"/>
    <w:rsid w:val="008628CC"/>
    <w:rsid w:val="00862983"/>
    <w:rsid w:val="00862989"/>
    <w:rsid w:val="00862996"/>
    <w:rsid w:val="008629C8"/>
    <w:rsid w:val="008629E6"/>
    <w:rsid w:val="00862A3F"/>
    <w:rsid w:val="00862A96"/>
    <w:rsid w:val="00862AC8"/>
    <w:rsid w:val="00862ADC"/>
    <w:rsid w:val="00862C93"/>
    <w:rsid w:val="00862D4F"/>
    <w:rsid w:val="00862D5B"/>
    <w:rsid w:val="00862D83"/>
    <w:rsid w:val="00862D92"/>
    <w:rsid w:val="00862DA0"/>
    <w:rsid w:val="00862E16"/>
    <w:rsid w:val="00862E8C"/>
    <w:rsid w:val="00862EA3"/>
    <w:rsid w:val="00862EDE"/>
    <w:rsid w:val="00862EE5"/>
    <w:rsid w:val="00862EFB"/>
    <w:rsid w:val="00862F0D"/>
    <w:rsid w:val="00862FB2"/>
    <w:rsid w:val="00862FFA"/>
    <w:rsid w:val="00862FFF"/>
    <w:rsid w:val="00863065"/>
    <w:rsid w:val="008630C8"/>
    <w:rsid w:val="008630E0"/>
    <w:rsid w:val="0086313D"/>
    <w:rsid w:val="0086314A"/>
    <w:rsid w:val="0086314C"/>
    <w:rsid w:val="0086314F"/>
    <w:rsid w:val="00863203"/>
    <w:rsid w:val="00863256"/>
    <w:rsid w:val="00863299"/>
    <w:rsid w:val="00863323"/>
    <w:rsid w:val="0086333B"/>
    <w:rsid w:val="00863352"/>
    <w:rsid w:val="00863373"/>
    <w:rsid w:val="00863398"/>
    <w:rsid w:val="008633F2"/>
    <w:rsid w:val="008633FB"/>
    <w:rsid w:val="0086343C"/>
    <w:rsid w:val="00863461"/>
    <w:rsid w:val="0086347A"/>
    <w:rsid w:val="008634C6"/>
    <w:rsid w:val="00863525"/>
    <w:rsid w:val="00863561"/>
    <w:rsid w:val="0086369D"/>
    <w:rsid w:val="008636D3"/>
    <w:rsid w:val="0086371F"/>
    <w:rsid w:val="00863770"/>
    <w:rsid w:val="008637D4"/>
    <w:rsid w:val="008638CB"/>
    <w:rsid w:val="008638D3"/>
    <w:rsid w:val="00863995"/>
    <w:rsid w:val="008639D5"/>
    <w:rsid w:val="008639FB"/>
    <w:rsid w:val="00863B94"/>
    <w:rsid w:val="00863B99"/>
    <w:rsid w:val="00863BCB"/>
    <w:rsid w:val="00863BD6"/>
    <w:rsid w:val="00863CCE"/>
    <w:rsid w:val="00863D1D"/>
    <w:rsid w:val="00863D2F"/>
    <w:rsid w:val="00863DAE"/>
    <w:rsid w:val="00863E83"/>
    <w:rsid w:val="00863EB0"/>
    <w:rsid w:val="00863EB3"/>
    <w:rsid w:val="00863EE6"/>
    <w:rsid w:val="00863EFD"/>
    <w:rsid w:val="00863F34"/>
    <w:rsid w:val="00863F49"/>
    <w:rsid w:val="00863F5B"/>
    <w:rsid w:val="00863FBE"/>
    <w:rsid w:val="00863FE0"/>
    <w:rsid w:val="00863FFA"/>
    <w:rsid w:val="00864074"/>
    <w:rsid w:val="008640A6"/>
    <w:rsid w:val="008640D9"/>
    <w:rsid w:val="0086416D"/>
    <w:rsid w:val="0086418D"/>
    <w:rsid w:val="008641B0"/>
    <w:rsid w:val="00864247"/>
    <w:rsid w:val="0086426E"/>
    <w:rsid w:val="00864280"/>
    <w:rsid w:val="008642AD"/>
    <w:rsid w:val="008642DF"/>
    <w:rsid w:val="00864333"/>
    <w:rsid w:val="008643ED"/>
    <w:rsid w:val="00864450"/>
    <w:rsid w:val="0086446D"/>
    <w:rsid w:val="0086448A"/>
    <w:rsid w:val="008644CE"/>
    <w:rsid w:val="0086452A"/>
    <w:rsid w:val="008645DB"/>
    <w:rsid w:val="0086464A"/>
    <w:rsid w:val="0086476E"/>
    <w:rsid w:val="008647FF"/>
    <w:rsid w:val="0086482A"/>
    <w:rsid w:val="0086483C"/>
    <w:rsid w:val="00864967"/>
    <w:rsid w:val="0086498A"/>
    <w:rsid w:val="0086499B"/>
    <w:rsid w:val="008649B1"/>
    <w:rsid w:val="008649BA"/>
    <w:rsid w:val="008649F5"/>
    <w:rsid w:val="00864A51"/>
    <w:rsid w:val="00864B91"/>
    <w:rsid w:val="00864BB8"/>
    <w:rsid w:val="00864CB3"/>
    <w:rsid w:val="00864D06"/>
    <w:rsid w:val="00864E30"/>
    <w:rsid w:val="00864E86"/>
    <w:rsid w:val="00864E99"/>
    <w:rsid w:val="00864EB0"/>
    <w:rsid w:val="00864F8D"/>
    <w:rsid w:val="00864FF6"/>
    <w:rsid w:val="008650DB"/>
    <w:rsid w:val="008650FF"/>
    <w:rsid w:val="00865127"/>
    <w:rsid w:val="0086512F"/>
    <w:rsid w:val="00865135"/>
    <w:rsid w:val="00865163"/>
    <w:rsid w:val="00865185"/>
    <w:rsid w:val="00865189"/>
    <w:rsid w:val="0086520C"/>
    <w:rsid w:val="0086528B"/>
    <w:rsid w:val="00865321"/>
    <w:rsid w:val="00865360"/>
    <w:rsid w:val="0086543D"/>
    <w:rsid w:val="008654BC"/>
    <w:rsid w:val="008654CD"/>
    <w:rsid w:val="0086550B"/>
    <w:rsid w:val="008655B1"/>
    <w:rsid w:val="008655C0"/>
    <w:rsid w:val="008655C3"/>
    <w:rsid w:val="0086564F"/>
    <w:rsid w:val="008656A2"/>
    <w:rsid w:val="008656BD"/>
    <w:rsid w:val="008656BE"/>
    <w:rsid w:val="0086571E"/>
    <w:rsid w:val="00865724"/>
    <w:rsid w:val="008657A7"/>
    <w:rsid w:val="008657C7"/>
    <w:rsid w:val="0086581F"/>
    <w:rsid w:val="0086584A"/>
    <w:rsid w:val="00865873"/>
    <w:rsid w:val="00865900"/>
    <w:rsid w:val="00865975"/>
    <w:rsid w:val="00865997"/>
    <w:rsid w:val="00865A68"/>
    <w:rsid w:val="00865AB6"/>
    <w:rsid w:val="00865AFB"/>
    <w:rsid w:val="00865BBB"/>
    <w:rsid w:val="00865BF7"/>
    <w:rsid w:val="00865CA6"/>
    <w:rsid w:val="00865CE3"/>
    <w:rsid w:val="00865CF2"/>
    <w:rsid w:val="00865D3B"/>
    <w:rsid w:val="00865DA2"/>
    <w:rsid w:val="00865DBC"/>
    <w:rsid w:val="00865DE2"/>
    <w:rsid w:val="00865E47"/>
    <w:rsid w:val="00865E5B"/>
    <w:rsid w:val="00865EBA"/>
    <w:rsid w:val="00865EE7"/>
    <w:rsid w:val="00865F4A"/>
    <w:rsid w:val="00865F4D"/>
    <w:rsid w:val="00865FAA"/>
    <w:rsid w:val="00866002"/>
    <w:rsid w:val="00866109"/>
    <w:rsid w:val="008661F6"/>
    <w:rsid w:val="00866216"/>
    <w:rsid w:val="00866225"/>
    <w:rsid w:val="00866321"/>
    <w:rsid w:val="00866396"/>
    <w:rsid w:val="0086639D"/>
    <w:rsid w:val="008663A4"/>
    <w:rsid w:val="00866428"/>
    <w:rsid w:val="00866465"/>
    <w:rsid w:val="0086647C"/>
    <w:rsid w:val="008664C1"/>
    <w:rsid w:val="008664CC"/>
    <w:rsid w:val="00866573"/>
    <w:rsid w:val="008665BD"/>
    <w:rsid w:val="00866641"/>
    <w:rsid w:val="00866667"/>
    <w:rsid w:val="008666D2"/>
    <w:rsid w:val="00866755"/>
    <w:rsid w:val="00866817"/>
    <w:rsid w:val="0086683E"/>
    <w:rsid w:val="008668B7"/>
    <w:rsid w:val="008668E7"/>
    <w:rsid w:val="00866993"/>
    <w:rsid w:val="008669C3"/>
    <w:rsid w:val="008669E5"/>
    <w:rsid w:val="00866A00"/>
    <w:rsid w:val="00866A2A"/>
    <w:rsid w:val="00866C33"/>
    <w:rsid w:val="00866C47"/>
    <w:rsid w:val="00866D26"/>
    <w:rsid w:val="00866D55"/>
    <w:rsid w:val="00866D72"/>
    <w:rsid w:val="00866DDE"/>
    <w:rsid w:val="00866DE1"/>
    <w:rsid w:val="00866E9E"/>
    <w:rsid w:val="00866EED"/>
    <w:rsid w:val="00866F01"/>
    <w:rsid w:val="00866F4C"/>
    <w:rsid w:val="00866F79"/>
    <w:rsid w:val="00866F7E"/>
    <w:rsid w:val="00866FD5"/>
    <w:rsid w:val="00866FEE"/>
    <w:rsid w:val="00867027"/>
    <w:rsid w:val="00867092"/>
    <w:rsid w:val="00867095"/>
    <w:rsid w:val="00867128"/>
    <w:rsid w:val="00867355"/>
    <w:rsid w:val="0086739D"/>
    <w:rsid w:val="00867426"/>
    <w:rsid w:val="008674F4"/>
    <w:rsid w:val="00867517"/>
    <w:rsid w:val="0086758C"/>
    <w:rsid w:val="00867616"/>
    <w:rsid w:val="008676F1"/>
    <w:rsid w:val="00867854"/>
    <w:rsid w:val="008678DE"/>
    <w:rsid w:val="0086792D"/>
    <w:rsid w:val="008679C7"/>
    <w:rsid w:val="008679DD"/>
    <w:rsid w:val="00867B91"/>
    <w:rsid w:val="00867BBD"/>
    <w:rsid w:val="00867CB3"/>
    <w:rsid w:val="00867CF9"/>
    <w:rsid w:val="00867D1D"/>
    <w:rsid w:val="00867D43"/>
    <w:rsid w:val="00867DB1"/>
    <w:rsid w:val="00867DE5"/>
    <w:rsid w:val="00867E4C"/>
    <w:rsid w:val="00867EBF"/>
    <w:rsid w:val="00867EC1"/>
    <w:rsid w:val="00867F73"/>
    <w:rsid w:val="00867FBF"/>
    <w:rsid w:val="00870053"/>
    <w:rsid w:val="0087008B"/>
    <w:rsid w:val="008701C6"/>
    <w:rsid w:val="0087027C"/>
    <w:rsid w:val="008702C5"/>
    <w:rsid w:val="00870311"/>
    <w:rsid w:val="0087031C"/>
    <w:rsid w:val="00870381"/>
    <w:rsid w:val="008703E3"/>
    <w:rsid w:val="0087047D"/>
    <w:rsid w:val="0087048B"/>
    <w:rsid w:val="008704F3"/>
    <w:rsid w:val="00870582"/>
    <w:rsid w:val="0087067C"/>
    <w:rsid w:val="008706F8"/>
    <w:rsid w:val="00870753"/>
    <w:rsid w:val="008707B2"/>
    <w:rsid w:val="00870882"/>
    <w:rsid w:val="008708D1"/>
    <w:rsid w:val="008708F7"/>
    <w:rsid w:val="0087098B"/>
    <w:rsid w:val="00870A76"/>
    <w:rsid w:val="00870B46"/>
    <w:rsid w:val="00870BCE"/>
    <w:rsid w:val="00870BF4"/>
    <w:rsid w:val="00870CA8"/>
    <w:rsid w:val="00870D03"/>
    <w:rsid w:val="00870D14"/>
    <w:rsid w:val="00870DCD"/>
    <w:rsid w:val="00870DEA"/>
    <w:rsid w:val="00870F22"/>
    <w:rsid w:val="00870F39"/>
    <w:rsid w:val="00871007"/>
    <w:rsid w:val="00871015"/>
    <w:rsid w:val="00871055"/>
    <w:rsid w:val="00871075"/>
    <w:rsid w:val="008710CA"/>
    <w:rsid w:val="008710FE"/>
    <w:rsid w:val="0087117F"/>
    <w:rsid w:val="008711E7"/>
    <w:rsid w:val="008711EB"/>
    <w:rsid w:val="0087120C"/>
    <w:rsid w:val="00871215"/>
    <w:rsid w:val="00871239"/>
    <w:rsid w:val="0087126E"/>
    <w:rsid w:val="00871291"/>
    <w:rsid w:val="008712F9"/>
    <w:rsid w:val="008712FE"/>
    <w:rsid w:val="00871315"/>
    <w:rsid w:val="00871413"/>
    <w:rsid w:val="00871419"/>
    <w:rsid w:val="00871437"/>
    <w:rsid w:val="00871445"/>
    <w:rsid w:val="00871560"/>
    <w:rsid w:val="00871647"/>
    <w:rsid w:val="00871782"/>
    <w:rsid w:val="00871796"/>
    <w:rsid w:val="008717A5"/>
    <w:rsid w:val="008717BE"/>
    <w:rsid w:val="00871879"/>
    <w:rsid w:val="008718ED"/>
    <w:rsid w:val="00871964"/>
    <w:rsid w:val="00871976"/>
    <w:rsid w:val="0087198F"/>
    <w:rsid w:val="008719C1"/>
    <w:rsid w:val="00871A4E"/>
    <w:rsid w:val="00871A6C"/>
    <w:rsid w:val="00871A99"/>
    <w:rsid w:val="00871B71"/>
    <w:rsid w:val="00871BDC"/>
    <w:rsid w:val="00871BE5"/>
    <w:rsid w:val="00871C04"/>
    <w:rsid w:val="00871D02"/>
    <w:rsid w:val="00871D45"/>
    <w:rsid w:val="00871D6B"/>
    <w:rsid w:val="00871E2A"/>
    <w:rsid w:val="00871EE0"/>
    <w:rsid w:val="00871F4D"/>
    <w:rsid w:val="00871FBD"/>
    <w:rsid w:val="00872002"/>
    <w:rsid w:val="00872116"/>
    <w:rsid w:val="00872177"/>
    <w:rsid w:val="008721C5"/>
    <w:rsid w:val="008721C8"/>
    <w:rsid w:val="00872217"/>
    <w:rsid w:val="0087225E"/>
    <w:rsid w:val="0087227F"/>
    <w:rsid w:val="008722A7"/>
    <w:rsid w:val="008722C1"/>
    <w:rsid w:val="00872308"/>
    <w:rsid w:val="00872408"/>
    <w:rsid w:val="00872481"/>
    <w:rsid w:val="0087248A"/>
    <w:rsid w:val="00872502"/>
    <w:rsid w:val="008725F5"/>
    <w:rsid w:val="00872696"/>
    <w:rsid w:val="008726C6"/>
    <w:rsid w:val="008726DF"/>
    <w:rsid w:val="008726F9"/>
    <w:rsid w:val="0087273B"/>
    <w:rsid w:val="00872774"/>
    <w:rsid w:val="00872777"/>
    <w:rsid w:val="00872807"/>
    <w:rsid w:val="00872871"/>
    <w:rsid w:val="00872886"/>
    <w:rsid w:val="008728A6"/>
    <w:rsid w:val="00872999"/>
    <w:rsid w:val="008729B4"/>
    <w:rsid w:val="008729BA"/>
    <w:rsid w:val="008729EC"/>
    <w:rsid w:val="00872A6F"/>
    <w:rsid w:val="00872AFC"/>
    <w:rsid w:val="00872B4E"/>
    <w:rsid w:val="00872BD1"/>
    <w:rsid w:val="00872BE0"/>
    <w:rsid w:val="00872BE9"/>
    <w:rsid w:val="00872BF6"/>
    <w:rsid w:val="00872C24"/>
    <w:rsid w:val="00872CF3"/>
    <w:rsid w:val="00872D1F"/>
    <w:rsid w:val="00872D6B"/>
    <w:rsid w:val="00872D8D"/>
    <w:rsid w:val="00872EA3"/>
    <w:rsid w:val="00872EAE"/>
    <w:rsid w:val="00872EFD"/>
    <w:rsid w:val="00872FC4"/>
    <w:rsid w:val="00872FDA"/>
    <w:rsid w:val="0087306C"/>
    <w:rsid w:val="008730BD"/>
    <w:rsid w:val="008730C9"/>
    <w:rsid w:val="008730DD"/>
    <w:rsid w:val="008730FB"/>
    <w:rsid w:val="0087316F"/>
    <w:rsid w:val="00873170"/>
    <w:rsid w:val="0087325C"/>
    <w:rsid w:val="0087331E"/>
    <w:rsid w:val="00873371"/>
    <w:rsid w:val="00873379"/>
    <w:rsid w:val="008733CB"/>
    <w:rsid w:val="008733DA"/>
    <w:rsid w:val="008733F0"/>
    <w:rsid w:val="0087346E"/>
    <w:rsid w:val="008734A3"/>
    <w:rsid w:val="008734DA"/>
    <w:rsid w:val="00873564"/>
    <w:rsid w:val="00873595"/>
    <w:rsid w:val="008735AB"/>
    <w:rsid w:val="0087360F"/>
    <w:rsid w:val="0087361F"/>
    <w:rsid w:val="0087364F"/>
    <w:rsid w:val="00873654"/>
    <w:rsid w:val="008736FA"/>
    <w:rsid w:val="0087373C"/>
    <w:rsid w:val="00873749"/>
    <w:rsid w:val="0087379D"/>
    <w:rsid w:val="00873843"/>
    <w:rsid w:val="0087386B"/>
    <w:rsid w:val="00873894"/>
    <w:rsid w:val="008739A4"/>
    <w:rsid w:val="00873A40"/>
    <w:rsid w:val="00873A9F"/>
    <w:rsid w:val="00873AA7"/>
    <w:rsid w:val="00873B00"/>
    <w:rsid w:val="00873B11"/>
    <w:rsid w:val="00873BB8"/>
    <w:rsid w:val="00873BF3"/>
    <w:rsid w:val="00873CD6"/>
    <w:rsid w:val="00873DA1"/>
    <w:rsid w:val="00873DCB"/>
    <w:rsid w:val="00873E01"/>
    <w:rsid w:val="00873EBB"/>
    <w:rsid w:val="00873F23"/>
    <w:rsid w:val="00873F59"/>
    <w:rsid w:val="00873F81"/>
    <w:rsid w:val="00873F9B"/>
    <w:rsid w:val="00874020"/>
    <w:rsid w:val="00874052"/>
    <w:rsid w:val="008740C6"/>
    <w:rsid w:val="008740E2"/>
    <w:rsid w:val="00874103"/>
    <w:rsid w:val="008741E6"/>
    <w:rsid w:val="0087420C"/>
    <w:rsid w:val="008742F2"/>
    <w:rsid w:val="00874374"/>
    <w:rsid w:val="008743A0"/>
    <w:rsid w:val="008743A6"/>
    <w:rsid w:val="008743D1"/>
    <w:rsid w:val="008743E1"/>
    <w:rsid w:val="0087449A"/>
    <w:rsid w:val="008744B2"/>
    <w:rsid w:val="008745B1"/>
    <w:rsid w:val="008745CD"/>
    <w:rsid w:val="0087464E"/>
    <w:rsid w:val="008747A4"/>
    <w:rsid w:val="0087482B"/>
    <w:rsid w:val="00874892"/>
    <w:rsid w:val="00874905"/>
    <w:rsid w:val="00874952"/>
    <w:rsid w:val="008749DE"/>
    <w:rsid w:val="008749DF"/>
    <w:rsid w:val="00874A4D"/>
    <w:rsid w:val="00874A5A"/>
    <w:rsid w:val="00874A8A"/>
    <w:rsid w:val="00874BA4"/>
    <w:rsid w:val="00874BC2"/>
    <w:rsid w:val="00874C3B"/>
    <w:rsid w:val="00874C4E"/>
    <w:rsid w:val="00874DE6"/>
    <w:rsid w:val="00874E52"/>
    <w:rsid w:val="00874E7D"/>
    <w:rsid w:val="00874F05"/>
    <w:rsid w:val="00874F67"/>
    <w:rsid w:val="00874FEF"/>
    <w:rsid w:val="00875003"/>
    <w:rsid w:val="00875031"/>
    <w:rsid w:val="00875055"/>
    <w:rsid w:val="008751F8"/>
    <w:rsid w:val="0087526A"/>
    <w:rsid w:val="00875276"/>
    <w:rsid w:val="008752D3"/>
    <w:rsid w:val="00875329"/>
    <w:rsid w:val="0087542B"/>
    <w:rsid w:val="00875434"/>
    <w:rsid w:val="008754B3"/>
    <w:rsid w:val="008754D9"/>
    <w:rsid w:val="008754FC"/>
    <w:rsid w:val="00875617"/>
    <w:rsid w:val="008756A0"/>
    <w:rsid w:val="00875790"/>
    <w:rsid w:val="00875792"/>
    <w:rsid w:val="008757AF"/>
    <w:rsid w:val="008757B1"/>
    <w:rsid w:val="00875853"/>
    <w:rsid w:val="00875889"/>
    <w:rsid w:val="008758A8"/>
    <w:rsid w:val="00875A35"/>
    <w:rsid w:val="00875A74"/>
    <w:rsid w:val="00875AC6"/>
    <w:rsid w:val="00875AE9"/>
    <w:rsid w:val="00875AEB"/>
    <w:rsid w:val="00875B38"/>
    <w:rsid w:val="00875B83"/>
    <w:rsid w:val="00875BD3"/>
    <w:rsid w:val="00875BD5"/>
    <w:rsid w:val="00875C14"/>
    <w:rsid w:val="00875C1C"/>
    <w:rsid w:val="00875C43"/>
    <w:rsid w:val="00875CCB"/>
    <w:rsid w:val="00875CD2"/>
    <w:rsid w:val="00875CD4"/>
    <w:rsid w:val="00875CE2"/>
    <w:rsid w:val="00875D82"/>
    <w:rsid w:val="00875DAE"/>
    <w:rsid w:val="00875DBC"/>
    <w:rsid w:val="00875E03"/>
    <w:rsid w:val="00875E80"/>
    <w:rsid w:val="00875EC3"/>
    <w:rsid w:val="00875ECE"/>
    <w:rsid w:val="00875F30"/>
    <w:rsid w:val="00875FDA"/>
    <w:rsid w:val="00876129"/>
    <w:rsid w:val="00876184"/>
    <w:rsid w:val="008761DD"/>
    <w:rsid w:val="00876292"/>
    <w:rsid w:val="008762D4"/>
    <w:rsid w:val="008762D5"/>
    <w:rsid w:val="008762F2"/>
    <w:rsid w:val="00876334"/>
    <w:rsid w:val="0087643B"/>
    <w:rsid w:val="00876442"/>
    <w:rsid w:val="0087650B"/>
    <w:rsid w:val="008765AD"/>
    <w:rsid w:val="0087665C"/>
    <w:rsid w:val="00876676"/>
    <w:rsid w:val="0087669E"/>
    <w:rsid w:val="008766AA"/>
    <w:rsid w:val="008766D7"/>
    <w:rsid w:val="00876802"/>
    <w:rsid w:val="008768A6"/>
    <w:rsid w:val="008768EC"/>
    <w:rsid w:val="00876975"/>
    <w:rsid w:val="00876A46"/>
    <w:rsid w:val="00876AA9"/>
    <w:rsid w:val="00876AD5"/>
    <w:rsid w:val="00876C2C"/>
    <w:rsid w:val="00876D17"/>
    <w:rsid w:val="00876D32"/>
    <w:rsid w:val="00876E52"/>
    <w:rsid w:val="00876F8F"/>
    <w:rsid w:val="00876F9E"/>
    <w:rsid w:val="00876FB1"/>
    <w:rsid w:val="00876FD6"/>
    <w:rsid w:val="00876FDD"/>
    <w:rsid w:val="00876FF8"/>
    <w:rsid w:val="00877016"/>
    <w:rsid w:val="00877107"/>
    <w:rsid w:val="0087716C"/>
    <w:rsid w:val="00877172"/>
    <w:rsid w:val="00877387"/>
    <w:rsid w:val="008773EF"/>
    <w:rsid w:val="00877428"/>
    <w:rsid w:val="008776A1"/>
    <w:rsid w:val="0087770D"/>
    <w:rsid w:val="0087772B"/>
    <w:rsid w:val="00877777"/>
    <w:rsid w:val="008777EC"/>
    <w:rsid w:val="00877865"/>
    <w:rsid w:val="00877934"/>
    <w:rsid w:val="0087795A"/>
    <w:rsid w:val="00877A17"/>
    <w:rsid w:val="00877A22"/>
    <w:rsid w:val="00877A89"/>
    <w:rsid w:val="00877AAB"/>
    <w:rsid w:val="00877B5A"/>
    <w:rsid w:val="00877C0E"/>
    <w:rsid w:val="00877C5F"/>
    <w:rsid w:val="00877C85"/>
    <w:rsid w:val="00877D4C"/>
    <w:rsid w:val="00877D61"/>
    <w:rsid w:val="00877DC2"/>
    <w:rsid w:val="00877DDD"/>
    <w:rsid w:val="00877F13"/>
    <w:rsid w:val="00877FDF"/>
    <w:rsid w:val="0088002F"/>
    <w:rsid w:val="0088010E"/>
    <w:rsid w:val="00880253"/>
    <w:rsid w:val="008802C7"/>
    <w:rsid w:val="00880378"/>
    <w:rsid w:val="0088037D"/>
    <w:rsid w:val="008803AF"/>
    <w:rsid w:val="008803C6"/>
    <w:rsid w:val="0088043E"/>
    <w:rsid w:val="00880450"/>
    <w:rsid w:val="008804B1"/>
    <w:rsid w:val="008805C3"/>
    <w:rsid w:val="0088064B"/>
    <w:rsid w:val="0088065D"/>
    <w:rsid w:val="00880672"/>
    <w:rsid w:val="0088072A"/>
    <w:rsid w:val="0088089B"/>
    <w:rsid w:val="00880959"/>
    <w:rsid w:val="00880995"/>
    <w:rsid w:val="00880A5B"/>
    <w:rsid w:val="00880A6F"/>
    <w:rsid w:val="00880AF1"/>
    <w:rsid w:val="00880AF3"/>
    <w:rsid w:val="00880BA8"/>
    <w:rsid w:val="00880BB7"/>
    <w:rsid w:val="00880C21"/>
    <w:rsid w:val="00880C56"/>
    <w:rsid w:val="00880CB1"/>
    <w:rsid w:val="00880CB8"/>
    <w:rsid w:val="00880CC3"/>
    <w:rsid w:val="00880CDC"/>
    <w:rsid w:val="00880CE2"/>
    <w:rsid w:val="00880D2A"/>
    <w:rsid w:val="00880D63"/>
    <w:rsid w:val="00880DE4"/>
    <w:rsid w:val="008810A3"/>
    <w:rsid w:val="008810D4"/>
    <w:rsid w:val="008810EE"/>
    <w:rsid w:val="00881185"/>
    <w:rsid w:val="00881198"/>
    <w:rsid w:val="008811E5"/>
    <w:rsid w:val="0088123D"/>
    <w:rsid w:val="00881363"/>
    <w:rsid w:val="0088142B"/>
    <w:rsid w:val="00881452"/>
    <w:rsid w:val="00881490"/>
    <w:rsid w:val="0088149D"/>
    <w:rsid w:val="008814C2"/>
    <w:rsid w:val="00881540"/>
    <w:rsid w:val="00881560"/>
    <w:rsid w:val="008815F7"/>
    <w:rsid w:val="0088166A"/>
    <w:rsid w:val="00881694"/>
    <w:rsid w:val="008816FE"/>
    <w:rsid w:val="0088172A"/>
    <w:rsid w:val="008817A3"/>
    <w:rsid w:val="008817B8"/>
    <w:rsid w:val="008817C5"/>
    <w:rsid w:val="008818A0"/>
    <w:rsid w:val="00881985"/>
    <w:rsid w:val="00881A0A"/>
    <w:rsid w:val="00881A61"/>
    <w:rsid w:val="00881AAB"/>
    <w:rsid w:val="00881B23"/>
    <w:rsid w:val="00881BE4"/>
    <w:rsid w:val="00881C19"/>
    <w:rsid w:val="00881C1F"/>
    <w:rsid w:val="00881C46"/>
    <w:rsid w:val="00881C5C"/>
    <w:rsid w:val="00881CB5"/>
    <w:rsid w:val="00881E0B"/>
    <w:rsid w:val="00881E5E"/>
    <w:rsid w:val="00881E92"/>
    <w:rsid w:val="00881EDF"/>
    <w:rsid w:val="00881FE4"/>
    <w:rsid w:val="0088200D"/>
    <w:rsid w:val="0088201A"/>
    <w:rsid w:val="00882025"/>
    <w:rsid w:val="008820A5"/>
    <w:rsid w:val="008820D4"/>
    <w:rsid w:val="008820F6"/>
    <w:rsid w:val="0088220C"/>
    <w:rsid w:val="0088240B"/>
    <w:rsid w:val="0088248F"/>
    <w:rsid w:val="008824AF"/>
    <w:rsid w:val="008824C6"/>
    <w:rsid w:val="008824F0"/>
    <w:rsid w:val="0088250F"/>
    <w:rsid w:val="0088261F"/>
    <w:rsid w:val="0088265E"/>
    <w:rsid w:val="00882689"/>
    <w:rsid w:val="00882694"/>
    <w:rsid w:val="00882702"/>
    <w:rsid w:val="00882737"/>
    <w:rsid w:val="0088273B"/>
    <w:rsid w:val="00882764"/>
    <w:rsid w:val="00882787"/>
    <w:rsid w:val="008827F5"/>
    <w:rsid w:val="008827F6"/>
    <w:rsid w:val="008828A9"/>
    <w:rsid w:val="00882927"/>
    <w:rsid w:val="00882983"/>
    <w:rsid w:val="0088299E"/>
    <w:rsid w:val="00882AE7"/>
    <w:rsid w:val="00882B53"/>
    <w:rsid w:val="00882B85"/>
    <w:rsid w:val="00882BBB"/>
    <w:rsid w:val="00882C6A"/>
    <w:rsid w:val="00882E24"/>
    <w:rsid w:val="00882E65"/>
    <w:rsid w:val="00882EB6"/>
    <w:rsid w:val="00882EEE"/>
    <w:rsid w:val="00882F89"/>
    <w:rsid w:val="0088308F"/>
    <w:rsid w:val="00883090"/>
    <w:rsid w:val="008830EA"/>
    <w:rsid w:val="008831E3"/>
    <w:rsid w:val="0088328F"/>
    <w:rsid w:val="008832C2"/>
    <w:rsid w:val="008833F3"/>
    <w:rsid w:val="008834A6"/>
    <w:rsid w:val="0088350B"/>
    <w:rsid w:val="0088353F"/>
    <w:rsid w:val="00883568"/>
    <w:rsid w:val="00883594"/>
    <w:rsid w:val="008835C3"/>
    <w:rsid w:val="008836A7"/>
    <w:rsid w:val="0088370A"/>
    <w:rsid w:val="00883727"/>
    <w:rsid w:val="0088374F"/>
    <w:rsid w:val="008837A1"/>
    <w:rsid w:val="008837CA"/>
    <w:rsid w:val="008837F4"/>
    <w:rsid w:val="0088383F"/>
    <w:rsid w:val="00883847"/>
    <w:rsid w:val="00883888"/>
    <w:rsid w:val="00883969"/>
    <w:rsid w:val="00883971"/>
    <w:rsid w:val="00883981"/>
    <w:rsid w:val="008839B6"/>
    <w:rsid w:val="008839CB"/>
    <w:rsid w:val="00883A0F"/>
    <w:rsid w:val="00883A14"/>
    <w:rsid w:val="00883A9D"/>
    <w:rsid w:val="00883B35"/>
    <w:rsid w:val="00883BF5"/>
    <w:rsid w:val="00883C57"/>
    <w:rsid w:val="00883C9A"/>
    <w:rsid w:val="00883CDC"/>
    <w:rsid w:val="00883D8F"/>
    <w:rsid w:val="00883E76"/>
    <w:rsid w:val="00883F0E"/>
    <w:rsid w:val="00883F7E"/>
    <w:rsid w:val="00883FA0"/>
    <w:rsid w:val="00883FC3"/>
    <w:rsid w:val="00884000"/>
    <w:rsid w:val="00884031"/>
    <w:rsid w:val="008840A6"/>
    <w:rsid w:val="008840AD"/>
    <w:rsid w:val="008840BC"/>
    <w:rsid w:val="0088410D"/>
    <w:rsid w:val="0088414C"/>
    <w:rsid w:val="00884171"/>
    <w:rsid w:val="008841E5"/>
    <w:rsid w:val="0088428C"/>
    <w:rsid w:val="0088433C"/>
    <w:rsid w:val="00884378"/>
    <w:rsid w:val="008843A3"/>
    <w:rsid w:val="00884462"/>
    <w:rsid w:val="008844E5"/>
    <w:rsid w:val="008845B4"/>
    <w:rsid w:val="0088460E"/>
    <w:rsid w:val="00884674"/>
    <w:rsid w:val="008846D8"/>
    <w:rsid w:val="00884708"/>
    <w:rsid w:val="0088471B"/>
    <w:rsid w:val="0088477D"/>
    <w:rsid w:val="008847F4"/>
    <w:rsid w:val="0088480B"/>
    <w:rsid w:val="00884865"/>
    <w:rsid w:val="00884896"/>
    <w:rsid w:val="00884916"/>
    <w:rsid w:val="0088494A"/>
    <w:rsid w:val="00884973"/>
    <w:rsid w:val="00884990"/>
    <w:rsid w:val="008849E0"/>
    <w:rsid w:val="008849ED"/>
    <w:rsid w:val="00884A8C"/>
    <w:rsid w:val="00884A91"/>
    <w:rsid w:val="00884ACD"/>
    <w:rsid w:val="00884B38"/>
    <w:rsid w:val="00884B40"/>
    <w:rsid w:val="00884BD9"/>
    <w:rsid w:val="00884C19"/>
    <w:rsid w:val="00884CA2"/>
    <w:rsid w:val="00884CBA"/>
    <w:rsid w:val="00884E56"/>
    <w:rsid w:val="00884E79"/>
    <w:rsid w:val="00884EB2"/>
    <w:rsid w:val="00884EFD"/>
    <w:rsid w:val="00884F5C"/>
    <w:rsid w:val="00884F85"/>
    <w:rsid w:val="00884FDB"/>
    <w:rsid w:val="00885035"/>
    <w:rsid w:val="008850C0"/>
    <w:rsid w:val="008850CC"/>
    <w:rsid w:val="00885120"/>
    <w:rsid w:val="0088512A"/>
    <w:rsid w:val="008851F9"/>
    <w:rsid w:val="0088524C"/>
    <w:rsid w:val="0088532D"/>
    <w:rsid w:val="00885355"/>
    <w:rsid w:val="008853DD"/>
    <w:rsid w:val="00885452"/>
    <w:rsid w:val="008854AF"/>
    <w:rsid w:val="008854E5"/>
    <w:rsid w:val="00885529"/>
    <w:rsid w:val="00885550"/>
    <w:rsid w:val="00885654"/>
    <w:rsid w:val="008856A4"/>
    <w:rsid w:val="0088574B"/>
    <w:rsid w:val="0088575D"/>
    <w:rsid w:val="00885793"/>
    <w:rsid w:val="00885803"/>
    <w:rsid w:val="00885810"/>
    <w:rsid w:val="00885878"/>
    <w:rsid w:val="0088592C"/>
    <w:rsid w:val="008859A7"/>
    <w:rsid w:val="008859DE"/>
    <w:rsid w:val="00885A11"/>
    <w:rsid w:val="00885A76"/>
    <w:rsid w:val="00885AF1"/>
    <w:rsid w:val="00885B14"/>
    <w:rsid w:val="00885C35"/>
    <w:rsid w:val="00885C76"/>
    <w:rsid w:val="00885C9F"/>
    <w:rsid w:val="00885CBD"/>
    <w:rsid w:val="00885CED"/>
    <w:rsid w:val="00885D55"/>
    <w:rsid w:val="00885D92"/>
    <w:rsid w:val="00885E40"/>
    <w:rsid w:val="00885EB0"/>
    <w:rsid w:val="00885EC1"/>
    <w:rsid w:val="00885F8E"/>
    <w:rsid w:val="0088602C"/>
    <w:rsid w:val="00886182"/>
    <w:rsid w:val="008861BD"/>
    <w:rsid w:val="00886210"/>
    <w:rsid w:val="00886341"/>
    <w:rsid w:val="00886494"/>
    <w:rsid w:val="0088650C"/>
    <w:rsid w:val="008865A1"/>
    <w:rsid w:val="008866E4"/>
    <w:rsid w:val="00886742"/>
    <w:rsid w:val="0088677F"/>
    <w:rsid w:val="008867D5"/>
    <w:rsid w:val="008867F2"/>
    <w:rsid w:val="0088681D"/>
    <w:rsid w:val="00886837"/>
    <w:rsid w:val="008868E5"/>
    <w:rsid w:val="00886919"/>
    <w:rsid w:val="008869D0"/>
    <w:rsid w:val="00886A54"/>
    <w:rsid w:val="00886AEB"/>
    <w:rsid w:val="00886B1D"/>
    <w:rsid w:val="00886B30"/>
    <w:rsid w:val="00886B46"/>
    <w:rsid w:val="00886BA2"/>
    <w:rsid w:val="00886C58"/>
    <w:rsid w:val="00886C96"/>
    <w:rsid w:val="00886CE4"/>
    <w:rsid w:val="00886D66"/>
    <w:rsid w:val="00886DAB"/>
    <w:rsid w:val="00886DE0"/>
    <w:rsid w:val="00886DFC"/>
    <w:rsid w:val="00886E22"/>
    <w:rsid w:val="00886E7C"/>
    <w:rsid w:val="00886F25"/>
    <w:rsid w:val="00886FAA"/>
    <w:rsid w:val="00887001"/>
    <w:rsid w:val="00887026"/>
    <w:rsid w:val="0088704A"/>
    <w:rsid w:val="00887063"/>
    <w:rsid w:val="008870A6"/>
    <w:rsid w:val="008870D0"/>
    <w:rsid w:val="00887111"/>
    <w:rsid w:val="0088711A"/>
    <w:rsid w:val="00887139"/>
    <w:rsid w:val="0088713A"/>
    <w:rsid w:val="0088713F"/>
    <w:rsid w:val="008871A5"/>
    <w:rsid w:val="00887219"/>
    <w:rsid w:val="008872E3"/>
    <w:rsid w:val="008873CB"/>
    <w:rsid w:val="008873F0"/>
    <w:rsid w:val="0088746F"/>
    <w:rsid w:val="00887526"/>
    <w:rsid w:val="00887685"/>
    <w:rsid w:val="008876EA"/>
    <w:rsid w:val="00887719"/>
    <w:rsid w:val="008877EE"/>
    <w:rsid w:val="00887857"/>
    <w:rsid w:val="008878A1"/>
    <w:rsid w:val="008878D9"/>
    <w:rsid w:val="008878DB"/>
    <w:rsid w:val="008878EB"/>
    <w:rsid w:val="008878F8"/>
    <w:rsid w:val="00887927"/>
    <w:rsid w:val="00887A66"/>
    <w:rsid w:val="00887AA2"/>
    <w:rsid w:val="00887B48"/>
    <w:rsid w:val="00887BB5"/>
    <w:rsid w:val="00887C2C"/>
    <w:rsid w:val="00887C30"/>
    <w:rsid w:val="00887C3B"/>
    <w:rsid w:val="00887C3E"/>
    <w:rsid w:val="00887CC1"/>
    <w:rsid w:val="00887D21"/>
    <w:rsid w:val="00887D44"/>
    <w:rsid w:val="00887D62"/>
    <w:rsid w:val="00887D7B"/>
    <w:rsid w:val="00887DCA"/>
    <w:rsid w:val="00887F29"/>
    <w:rsid w:val="00887F48"/>
    <w:rsid w:val="00890153"/>
    <w:rsid w:val="00890159"/>
    <w:rsid w:val="00890160"/>
    <w:rsid w:val="0089017E"/>
    <w:rsid w:val="0089017F"/>
    <w:rsid w:val="008901ED"/>
    <w:rsid w:val="00890219"/>
    <w:rsid w:val="00890262"/>
    <w:rsid w:val="0089029F"/>
    <w:rsid w:val="008902AB"/>
    <w:rsid w:val="008902AD"/>
    <w:rsid w:val="00890414"/>
    <w:rsid w:val="00890451"/>
    <w:rsid w:val="0089045B"/>
    <w:rsid w:val="0089055E"/>
    <w:rsid w:val="0089060D"/>
    <w:rsid w:val="00890634"/>
    <w:rsid w:val="0089067F"/>
    <w:rsid w:val="00890763"/>
    <w:rsid w:val="00890779"/>
    <w:rsid w:val="0089078C"/>
    <w:rsid w:val="008907BF"/>
    <w:rsid w:val="008907C6"/>
    <w:rsid w:val="00890825"/>
    <w:rsid w:val="0089082F"/>
    <w:rsid w:val="0089090E"/>
    <w:rsid w:val="00890912"/>
    <w:rsid w:val="0089099A"/>
    <w:rsid w:val="00890A51"/>
    <w:rsid w:val="00890A6F"/>
    <w:rsid w:val="00890AB8"/>
    <w:rsid w:val="00890ABF"/>
    <w:rsid w:val="00890C3D"/>
    <w:rsid w:val="00890C71"/>
    <w:rsid w:val="00890D3C"/>
    <w:rsid w:val="00890D7E"/>
    <w:rsid w:val="00890EF4"/>
    <w:rsid w:val="0089111A"/>
    <w:rsid w:val="008911A2"/>
    <w:rsid w:val="008912D3"/>
    <w:rsid w:val="00891336"/>
    <w:rsid w:val="0089133A"/>
    <w:rsid w:val="00891353"/>
    <w:rsid w:val="00891360"/>
    <w:rsid w:val="00891419"/>
    <w:rsid w:val="00891432"/>
    <w:rsid w:val="0089144B"/>
    <w:rsid w:val="008914A1"/>
    <w:rsid w:val="008914B3"/>
    <w:rsid w:val="008914D5"/>
    <w:rsid w:val="008914DC"/>
    <w:rsid w:val="00891562"/>
    <w:rsid w:val="008915D7"/>
    <w:rsid w:val="008915F5"/>
    <w:rsid w:val="00891624"/>
    <w:rsid w:val="00891727"/>
    <w:rsid w:val="00891751"/>
    <w:rsid w:val="008917BC"/>
    <w:rsid w:val="008917C7"/>
    <w:rsid w:val="0089189F"/>
    <w:rsid w:val="00891A08"/>
    <w:rsid w:val="00891AD3"/>
    <w:rsid w:val="00891B6A"/>
    <w:rsid w:val="00891F78"/>
    <w:rsid w:val="00891F92"/>
    <w:rsid w:val="00892007"/>
    <w:rsid w:val="0089200D"/>
    <w:rsid w:val="008920F3"/>
    <w:rsid w:val="0089212C"/>
    <w:rsid w:val="0089215B"/>
    <w:rsid w:val="00892313"/>
    <w:rsid w:val="0089236C"/>
    <w:rsid w:val="008924A7"/>
    <w:rsid w:val="008924DC"/>
    <w:rsid w:val="008924FB"/>
    <w:rsid w:val="00892502"/>
    <w:rsid w:val="00892528"/>
    <w:rsid w:val="008925AA"/>
    <w:rsid w:val="008925B1"/>
    <w:rsid w:val="008925F1"/>
    <w:rsid w:val="0089268A"/>
    <w:rsid w:val="008926B8"/>
    <w:rsid w:val="008926FC"/>
    <w:rsid w:val="0089270C"/>
    <w:rsid w:val="0089271E"/>
    <w:rsid w:val="008927FF"/>
    <w:rsid w:val="0089280A"/>
    <w:rsid w:val="008928DC"/>
    <w:rsid w:val="0089298E"/>
    <w:rsid w:val="008929D1"/>
    <w:rsid w:val="00892B11"/>
    <w:rsid w:val="00892B71"/>
    <w:rsid w:val="00892BA4"/>
    <w:rsid w:val="00892BC9"/>
    <w:rsid w:val="00892C58"/>
    <w:rsid w:val="00892C73"/>
    <w:rsid w:val="00892CB5"/>
    <w:rsid w:val="00892D51"/>
    <w:rsid w:val="00892D7A"/>
    <w:rsid w:val="00892DCD"/>
    <w:rsid w:val="00892E05"/>
    <w:rsid w:val="00892E21"/>
    <w:rsid w:val="00892E68"/>
    <w:rsid w:val="00892E70"/>
    <w:rsid w:val="00892EF2"/>
    <w:rsid w:val="00892EFA"/>
    <w:rsid w:val="00892F3E"/>
    <w:rsid w:val="00892F81"/>
    <w:rsid w:val="00892F9F"/>
    <w:rsid w:val="00892FF7"/>
    <w:rsid w:val="008930E4"/>
    <w:rsid w:val="008930EE"/>
    <w:rsid w:val="0089318E"/>
    <w:rsid w:val="008931F6"/>
    <w:rsid w:val="008931FE"/>
    <w:rsid w:val="00893208"/>
    <w:rsid w:val="00893225"/>
    <w:rsid w:val="00893286"/>
    <w:rsid w:val="008933E4"/>
    <w:rsid w:val="008934A3"/>
    <w:rsid w:val="00893508"/>
    <w:rsid w:val="00893516"/>
    <w:rsid w:val="008935E5"/>
    <w:rsid w:val="00893680"/>
    <w:rsid w:val="00893699"/>
    <w:rsid w:val="008936C7"/>
    <w:rsid w:val="008936E9"/>
    <w:rsid w:val="00893741"/>
    <w:rsid w:val="00893748"/>
    <w:rsid w:val="00893805"/>
    <w:rsid w:val="0089386B"/>
    <w:rsid w:val="00893932"/>
    <w:rsid w:val="00893945"/>
    <w:rsid w:val="0089398E"/>
    <w:rsid w:val="00893A0E"/>
    <w:rsid w:val="00893A80"/>
    <w:rsid w:val="00893AC2"/>
    <w:rsid w:val="00893ADC"/>
    <w:rsid w:val="00893AFC"/>
    <w:rsid w:val="00893C3F"/>
    <w:rsid w:val="00893C5D"/>
    <w:rsid w:val="00893CCD"/>
    <w:rsid w:val="00893D91"/>
    <w:rsid w:val="00893DC5"/>
    <w:rsid w:val="00893DCC"/>
    <w:rsid w:val="00893DF1"/>
    <w:rsid w:val="00893E16"/>
    <w:rsid w:val="00893E29"/>
    <w:rsid w:val="00893ED7"/>
    <w:rsid w:val="00893F50"/>
    <w:rsid w:val="00893FAF"/>
    <w:rsid w:val="00893FB1"/>
    <w:rsid w:val="00893FD3"/>
    <w:rsid w:val="00894010"/>
    <w:rsid w:val="00894011"/>
    <w:rsid w:val="0089405A"/>
    <w:rsid w:val="00894087"/>
    <w:rsid w:val="0089408E"/>
    <w:rsid w:val="00894095"/>
    <w:rsid w:val="008940DB"/>
    <w:rsid w:val="00894249"/>
    <w:rsid w:val="00894317"/>
    <w:rsid w:val="0089434D"/>
    <w:rsid w:val="00894365"/>
    <w:rsid w:val="0089437A"/>
    <w:rsid w:val="00894389"/>
    <w:rsid w:val="008943AC"/>
    <w:rsid w:val="008943DE"/>
    <w:rsid w:val="008943F1"/>
    <w:rsid w:val="0089447C"/>
    <w:rsid w:val="008944D2"/>
    <w:rsid w:val="00894502"/>
    <w:rsid w:val="008945B8"/>
    <w:rsid w:val="008945ED"/>
    <w:rsid w:val="008945F6"/>
    <w:rsid w:val="0089467E"/>
    <w:rsid w:val="00894731"/>
    <w:rsid w:val="0089474C"/>
    <w:rsid w:val="00894762"/>
    <w:rsid w:val="008947C8"/>
    <w:rsid w:val="008947F5"/>
    <w:rsid w:val="00894809"/>
    <w:rsid w:val="00894854"/>
    <w:rsid w:val="0089486A"/>
    <w:rsid w:val="0089499D"/>
    <w:rsid w:val="008949C2"/>
    <w:rsid w:val="008949F2"/>
    <w:rsid w:val="00894A6F"/>
    <w:rsid w:val="00894ABD"/>
    <w:rsid w:val="00894B09"/>
    <w:rsid w:val="00894C90"/>
    <w:rsid w:val="00894D24"/>
    <w:rsid w:val="00894D43"/>
    <w:rsid w:val="00894DA0"/>
    <w:rsid w:val="00894DBC"/>
    <w:rsid w:val="00894E0B"/>
    <w:rsid w:val="00894E7C"/>
    <w:rsid w:val="00894F98"/>
    <w:rsid w:val="00894FA3"/>
    <w:rsid w:val="008950B4"/>
    <w:rsid w:val="0089519F"/>
    <w:rsid w:val="00895260"/>
    <w:rsid w:val="0089532D"/>
    <w:rsid w:val="0089536C"/>
    <w:rsid w:val="00895383"/>
    <w:rsid w:val="008954EC"/>
    <w:rsid w:val="008954FD"/>
    <w:rsid w:val="0089551D"/>
    <w:rsid w:val="0089553B"/>
    <w:rsid w:val="00895545"/>
    <w:rsid w:val="00895562"/>
    <w:rsid w:val="00895617"/>
    <w:rsid w:val="00895628"/>
    <w:rsid w:val="008956D6"/>
    <w:rsid w:val="00895799"/>
    <w:rsid w:val="0089585C"/>
    <w:rsid w:val="00895950"/>
    <w:rsid w:val="00895973"/>
    <w:rsid w:val="008959E6"/>
    <w:rsid w:val="00895A98"/>
    <w:rsid w:val="00895AEE"/>
    <w:rsid w:val="00895B4A"/>
    <w:rsid w:val="00895BA9"/>
    <w:rsid w:val="00895BDE"/>
    <w:rsid w:val="00895CB8"/>
    <w:rsid w:val="00895DAB"/>
    <w:rsid w:val="00895DF0"/>
    <w:rsid w:val="00895F5F"/>
    <w:rsid w:val="00895F65"/>
    <w:rsid w:val="00895FB8"/>
    <w:rsid w:val="0089605E"/>
    <w:rsid w:val="008960A9"/>
    <w:rsid w:val="008960F5"/>
    <w:rsid w:val="008960FD"/>
    <w:rsid w:val="0089612A"/>
    <w:rsid w:val="00896156"/>
    <w:rsid w:val="00896193"/>
    <w:rsid w:val="008961DC"/>
    <w:rsid w:val="00896232"/>
    <w:rsid w:val="0089635F"/>
    <w:rsid w:val="008963FF"/>
    <w:rsid w:val="0089648A"/>
    <w:rsid w:val="00896496"/>
    <w:rsid w:val="00896523"/>
    <w:rsid w:val="00896532"/>
    <w:rsid w:val="00896598"/>
    <w:rsid w:val="00896616"/>
    <w:rsid w:val="00896643"/>
    <w:rsid w:val="00896671"/>
    <w:rsid w:val="00896686"/>
    <w:rsid w:val="008966A7"/>
    <w:rsid w:val="008966D9"/>
    <w:rsid w:val="008966F1"/>
    <w:rsid w:val="00896703"/>
    <w:rsid w:val="00896711"/>
    <w:rsid w:val="00896761"/>
    <w:rsid w:val="0089685C"/>
    <w:rsid w:val="0089689B"/>
    <w:rsid w:val="008968A1"/>
    <w:rsid w:val="008968AB"/>
    <w:rsid w:val="008968C8"/>
    <w:rsid w:val="00896924"/>
    <w:rsid w:val="00896950"/>
    <w:rsid w:val="008969A3"/>
    <w:rsid w:val="008969BC"/>
    <w:rsid w:val="008969EB"/>
    <w:rsid w:val="00896BA2"/>
    <w:rsid w:val="00896BE4"/>
    <w:rsid w:val="00896CBB"/>
    <w:rsid w:val="00896D47"/>
    <w:rsid w:val="00896DB3"/>
    <w:rsid w:val="00896DC1"/>
    <w:rsid w:val="00896DC2"/>
    <w:rsid w:val="00896E71"/>
    <w:rsid w:val="00896F47"/>
    <w:rsid w:val="00896F6D"/>
    <w:rsid w:val="00896FC8"/>
    <w:rsid w:val="008970B1"/>
    <w:rsid w:val="008970B7"/>
    <w:rsid w:val="00897119"/>
    <w:rsid w:val="0089712E"/>
    <w:rsid w:val="00897162"/>
    <w:rsid w:val="008971CC"/>
    <w:rsid w:val="00897210"/>
    <w:rsid w:val="00897232"/>
    <w:rsid w:val="008972E7"/>
    <w:rsid w:val="00897377"/>
    <w:rsid w:val="008973C3"/>
    <w:rsid w:val="0089746A"/>
    <w:rsid w:val="00897585"/>
    <w:rsid w:val="00897599"/>
    <w:rsid w:val="008975B4"/>
    <w:rsid w:val="00897677"/>
    <w:rsid w:val="0089774D"/>
    <w:rsid w:val="00897793"/>
    <w:rsid w:val="008977D1"/>
    <w:rsid w:val="0089782D"/>
    <w:rsid w:val="0089787F"/>
    <w:rsid w:val="0089789A"/>
    <w:rsid w:val="008978AE"/>
    <w:rsid w:val="008978B5"/>
    <w:rsid w:val="00897955"/>
    <w:rsid w:val="00897A31"/>
    <w:rsid w:val="00897A35"/>
    <w:rsid w:val="00897A8E"/>
    <w:rsid w:val="00897A9D"/>
    <w:rsid w:val="00897ABD"/>
    <w:rsid w:val="00897AF4"/>
    <w:rsid w:val="00897B7A"/>
    <w:rsid w:val="00897BA0"/>
    <w:rsid w:val="00897C17"/>
    <w:rsid w:val="00897C3B"/>
    <w:rsid w:val="00897D04"/>
    <w:rsid w:val="00897D4F"/>
    <w:rsid w:val="00897D67"/>
    <w:rsid w:val="00897E2A"/>
    <w:rsid w:val="00897E74"/>
    <w:rsid w:val="00897E89"/>
    <w:rsid w:val="00897EF8"/>
    <w:rsid w:val="00897EFD"/>
    <w:rsid w:val="00897FA7"/>
    <w:rsid w:val="00897FC6"/>
    <w:rsid w:val="0089C948"/>
    <w:rsid w:val="008A003A"/>
    <w:rsid w:val="008A0050"/>
    <w:rsid w:val="008A00A6"/>
    <w:rsid w:val="008A0140"/>
    <w:rsid w:val="008A0163"/>
    <w:rsid w:val="008A01F5"/>
    <w:rsid w:val="008A01FD"/>
    <w:rsid w:val="008A0216"/>
    <w:rsid w:val="008A0249"/>
    <w:rsid w:val="008A024C"/>
    <w:rsid w:val="008A0282"/>
    <w:rsid w:val="008A02B2"/>
    <w:rsid w:val="008A03C1"/>
    <w:rsid w:val="008A03CE"/>
    <w:rsid w:val="008A0592"/>
    <w:rsid w:val="008A05C4"/>
    <w:rsid w:val="008A0774"/>
    <w:rsid w:val="008A084D"/>
    <w:rsid w:val="008A09F6"/>
    <w:rsid w:val="008A0A10"/>
    <w:rsid w:val="008A0A5E"/>
    <w:rsid w:val="008A0A94"/>
    <w:rsid w:val="008A0AAC"/>
    <w:rsid w:val="008A0AC4"/>
    <w:rsid w:val="008A0AEE"/>
    <w:rsid w:val="008A0AF9"/>
    <w:rsid w:val="008A0C31"/>
    <w:rsid w:val="008A0C32"/>
    <w:rsid w:val="008A0C91"/>
    <w:rsid w:val="008A0CC9"/>
    <w:rsid w:val="008A0E01"/>
    <w:rsid w:val="008A0E5A"/>
    <w:rsid w:val="008A0E96"/>
    <w:rsid w:val="008A0F56"/>
    <w:rsid w:val="008A1009"/>
    <w:rsid w:val="008A1090"/>
    <w:rsid w:val="008A109D"/>
    <w:rsid w:val="008A118F"/>
    <w:rsid w:val="008A12BE"/>
    <w:rsid w:val="008A1380"/>
    <w:rsid w:val="008A1381"/>
    <w:rsid w:val="008A13C5"/>
    <w:rsid w:val="008A14CF"/>
    <w:rsid w:val="008A14D1"/>
    <w:rsid w:val="008A1512"/>
    <w:rsid w:val="008A154E"/>
    <w:rsid w:val="008A1585"/>
    <w:rsid w:val="008A1632"/>
    <w:rsid w:val="008A166A"/>
    <w:rsid w:val="008A16EF"/>
    <w:rsid w:val="008A173B"/>
    <w:rsid w:val="008A1767"/>
    <w:rsid w:val="008A17C7"/>
    <w:rsid w:val="008A17DC"/>
    <w:rsid w:val="008A17DE"/>
    <w:rsid w:val="008A1840"/>
    <w:rsid w:val="008A185C"/>
    <w:rsid w:val="008A1888"/>
    <w:rsid w:val="008A1890"/>
    <w:rsid w:val="008A19D2"/>
    <w:rsid w:val="008A1A47"/>
    <w:rsid w:val="008A1A77"/>
    <w:rsid w:val="008A1A97"/>
    <w:rsid w:val="008A1BB3"/>
    <w:rsid w:val="008A1C35"/>
    <w:rsid w:val="008A1C58"/>
    <w:rsid w:val="008A1CC3"/>
    <w:rsid w:val="008A1CDB"/>
    <w:rsid w:val="008A1CF3"/>
    <w:rsid w:val="008A1CF9"/>
    <w:rsid w:val="008A1D3E"/>
    <w:rsid w:val="008A1D74"/>
    <w:rsid w:val="008A1DF5"/>
    <w:rsid w:val="008A1E64"/>
    <w:rsid w:val="008A1E9B"/>
    <w:rsid w:val="008A1EA1"/>
    <w:rsid w:val="008A1EA3"/>
    <w:rsid w:val="008A1F9B"/>
    <w:rsid w:val="008A2058"/>
    <w:rsid w:val="008A2072"/>
    <w:rsid w:val="008A211A"/>
    <w:rsid w:val="008A2198"/>
    <w:rsid w:val="008A21DE"/>
    <w:rsid w:val="008A2283"/>
    <w:rsid w:val="008A22D1"/>
    <w:rsid w:val="008A22EE"/>
    <w:rsid w:val="008A2380"/>
    <w:rsid w:val="008A23C7"/>
    <w:rsid w:val="008A23E1"/>
    <w:rsid w:val="008A2465"/>
    <w:rsid w:val="008A24B6"/>
    <w:rsid w:val="008A257A"/>
    <w:rsid w:val="008A264A"/>
    <w:rsid w:val="008A2685"/>
    <w:rsid w:val="008A27E2"/>
    <w:rsid w:val="008A284E"/>
    <w:rsid w:val="008A2867"/>
    <w:rsid w:val="008A29D5"/>
    <w:rsid w:val="008A2A0F"/>
    <w:rsid w:val="008A2AAA"/>
    <w:rsid w:val="008A2B15"/>
    <w:rsid w:val="008A2B7D"/>
    <w:rsid w:val="008A2B94"/>
    <w:rsid w:val="008A2BAA"/>
    <w:rsid w:val="008A2C15"/>
    <w:rsid w:val="008A2C2D"/>
    <w:rsid w:val="008A2C34"/>
    <w:rsid w:val="008A2D47"/>
    <w:rsid w:val="008A2E65"/>
    <w:rsid w:val="008A2EAC"/>
    <w:rsid w:val="008A2EF0"/>
    <w:rsid w:val="008A2EF4"/>
    <w:rsid w:val="008A2FA8"/>
    <w:rsid w:val="008A2FCA"/>
    <w:rsid w:val="008A3079"/>
    <w:rsid w:val="008A30F1"/>
    <w:rsid w:val="008A3360"/>
    <w:rsid w:val="008A33AF"/>
    <w:rsid w:val="008A33E7"/>
    <w:rsid w:val="008A3456"/>
    <w:rsid w:val="008A3583"/>
    <w:rsid w:val="008A3629"/>
    <w:rsid w:val="008A36AD"/>
    <w:rsid w:val="008A36FB"/>
    <w:rsid w:val="008A3755"/>
    <w:rsid w:val="008A3771"/>
    <w:rsid w:val="008A3860"/>
    <w:rsid w:val="008A38EF"/>
    <w:rsid w:val="008A38FC"/>
    <w:rsid w:val="008A38FE"/>
    <w:rsid w:val="008A392B"/>
    <w:rsid w:val="008A39AD"/>
    <w:rsid w:val="008A3A15"/>
    <w:rsid w:val="008A3A5E"/>
    <w:rsid w:val="008A3A87"/>
    <w:rsid w:val="008A3B45"/>
    <w:rsid w:val="008A3B53"/>
    <w:rsid w:val="008A3B7C"/>
    <w:rsid w:val="008A3BAC"/>
    <w:rsid w:val="008A3CA0"/>
    <w:rsid w:val="008A3CBA"/>
    <w:rsid w:val="008A3D1E"/>
    <w:rsid w:val="008A3E0C"/>
    <w:rsid w:val="008A3FB7"/>
    <w:rsid w:val="008A40F0"/>
    <w:rsid w:val="008A41AA"/>
    <w:rsid w:val="008A4206"/>
    <w:rsid w:val="008A4222"/>
    <w:rsid w:val="008A422F"/>
    <w:rsid w:val="008A424F"/>
    <w:rsid w:val="008A4346"/>
    <w:rsid w:val="008A43AC"/>
    <w:rsid w:val="008A43AF"/>
    <w:rsid w:val="008A43B0"/>
    <w:rsid w:val="008A4470"/>
    <w:rsid w:val="008A447A"/>
    <w:rsid w:val="008A44E5"/>
    <w:rsid w:val="008A4506"/>
    <w:rsid w:val="008A4538"/>
    <w:rsid w:val="008A45E0"/>
    <w:rsid w:val="008A468B"/>
    <w:rsid w:val="008A46C9"/>
    <w:rsid w:val="008A46DB"/>
    <w:rsid w:val="008A46EB"/>
    <w:rsid w:val="008A4742"/>
    <w:rsid w:val="008A47B0"/>
    <w:rsid w:val="008A47B5"/>
    <w:rsid w:val="008A47EB"/>
    <w:rsid w:val="008A486F"/>
    <w:rsid w:val="008A49DA"/>
    <w:rsid w:val="008A4A43"/>
    <w:rsid w:val="008A4A9B"/>
    <w:rsid w:val="008A4AB1"/>
    <w:rsid w:val="008A4C09"/>
    <w:rsid w:val="008A4C1A"/>
    <w:rsid w:val="008A4C46"/>
    <w:rsid w:val="008A4C5A"/>
    <w:rsid w:val="008A4CA2"/>
    <w:rsid w:val="008A4CB9"/>
    <w:rsid w:val="008A4D1E"/>
    <w:rsid w:val="008A4D5D"/>
    <w:rsid w:val="008A4D88"/>
    <w:rsid w:val="008A4DD8"/>
    <w:rsid w:val="008A4E73"/>
    <w:rsid w:val="008A4EDD"/>
    <w:rsid w:val="008A4F6F"/>
    <w:rsid w:val="008A4FEA"/>
    <w:rsid w:val="008A5018"/>
    <w:rsid w:val="008A5076"/>
    <w:rsid w:val="008A5092"/>
    <w:rsid w:val="008A50CF"/>
    <w:rsid w:val="008A50DA"/>
    <w:rsid w:val="008A513F"/>
    <w:rsid w:val="008A514D"/>
    <w:rsid w:val="008A51BD"/>
    <w:rsid w:val="008A52A1"/>
    <w:rsid w:val="008A52DC"/>
    <w:rsid w:val="008A52DD"/>
    <w:rsid w:val="008A5331"/>
    <w:rsid w:val="008A5379"/>
    <w:rsid w:val="008A5393"/>
    <w:rsid w:val="008A55BC"/>
    <w:rsid w:val="008A561E"/>
    <w:rsid w:val="008A567F"/>
    <w:rsid w:val="008A568D"/>
    <w:rsid w:val="008A56A3"/>
    <w:rsid w:val="008A574D"/>
    <w:rsid w:val="008A5819"/>
    <w:rsid w:val="008A592C"/>
    <w:rsid w:val="008A59C3"/>
    <w:rsid w:val="008A5A36"/>
    <w:rsid w:val="008A5A71"/>
    <w:rsid w:val="008A5ABD"/>
    <w:rsid w:val="008A5B33"/>
    <w:rsid w:val="008A5B69"/>
    <w:rsid w:val="008A5B7A"/>
    <w:rsid w:val="008A5B9B"/>
    <w:rsid w:val="008A5BD1"/>
    <w:rsid w:val="008A5CD0"/>
    <w:rsid w:val="008A5D2C"/>
    <w:rsid w:val="008A5E78"/>
    <w:rsid w:val="008A5FE2"/>
    <w:rsid w:val="008A606B"/>
    <w:rsid w:val="008A60E8"/>
    <w:rsid w:val="008A61A5"/>
    <w:rsid w:val="008A61D8"/>
    <w:rsid w:val="008A6221"/>
    <w:rsid w:val="008A6222"/>
    <w:rsid w:val="008A6231"/>
    <w:rsid w:val="008A62CD"/>
    <w:rsid w:val="008A62F5"/>
    <w:rsid w:val="008A635F"/>
    <w:rsid w:val="008A6378"/>
    <w:rsid w:val="008A6438"/>
    <w:rsid w:val="008A643D"/>
    <w:rsid w:val="008A644F"/>
    <w:rsid w:val="008A6454"/>
    <w:rsid w:val="008A647F"/>
    <w:rsid w:val="008A6483"/>
    <w:rsid w:val="008A649B"/>
    <w:rsid w:val="008A64B5"/>
    <w:rsid w:val="008A64BD"/>
    <w:rsid w:val="008A64D1"/>
    <w:rsid w:val="008A64F5"/>
    <w:rsid w:val="008A64FA"/>
    <w:rsid w:val="008A651D"/>
    <w:rsid w:val="008A660C"/>
    <w:rsid w:val="008A66A1"/>
    <w:rsid w:val="008A67B8"/>
    <w:rsid w:val="008A67C1"/>
    <w:rsid w:val="008A68CE"/>
    <w:rsid w:val="008A6980"/>
    <w:rsid w:val="008A6B88"/>
    <w:rsid w:val="008A6BA0"/>
    <w:rsid w:val="008A6BAE"/>
    <w:rsid w:val="008A6C61"/>
    <w:rsid w:val="008A6C7B"/>
    <w:rsid w:val="008A6CBF"/>
    <w:rsid w:val="008A6D50"/>
    <w:rsid w:val="008A6DC5"/>
    <w:rsid w:val="008A6E0F"/>
    <w:rsid w:val="008A6E56"/>
    <w:rsid w:val="008A6F83"/>
    <w:rsid w:val="008A7014"/>
    <w:rsid w:val="008A704D"/>
    <w:rsid w:val="008A7169"/>
    <w:rsid w:val="008A719B"/>
    <w:rsid w:val="008A7263"/>
    <w:rsid w:val="008A7290"/>
    <w:rsid w:val="008A738B"/>
    <w:rsid w:val="008A739B"/>
    <w:rsid w:val="008A73AD"/>
    <w:rsid w:val="008A73FB"/>
    <w:rsid w:val="008A741F"/>
    <w:rsid w:val="008A744C"/>
    <w:rsid w:val="008A748E"/>
    <w:rsid w:val="008A74D9"/>
    <w:rsid w:val="008A7510"/>
    <w:rsid w:val="008A759D"/>
    <w:rsid w:val="008A75BC"/>
    <w:rsid w:val="008A75EC"/>
    <w:rsid w:val="008A76CD"/>
    <w:rsid w:val="008A7777"/>
    <w:rsid w:val="008A7802"/>
    <w:rsid w:val="008A7838"/>
    <w:rsid w:val="008A7852"/>
    <w:rsid w:val="008A786A"/>
    <w:rsid w:val="008A78B2"/>
    <w:rsid w:val="008A78CB"/>
    <w:rsid w:val="008A78D8"/>
    <w:rsid w:val="008A792C"/>
    <w:rsid w:val="008A795D"/>
    <w:rsid w:val="008A7972"/>
    <w:rsid w:val="008A79C0"/>
    <w:rsid w:val="008A7A20"/>
    <w:rsid w:val="008A7A5B"/>
    <w:rsid w:val="008A7C1B"/>
    <w:rsid w:val="008A7C72"/>
    <w:rsid w:val="008A7CD4"/>
    <w:rsid w:val="008A7CED"/>
    <w:rsid w:val="008A7D2D"/>
    <w:rsid w:val="008A7D43"/>
    <w:rsid w:val="008A7D45"/>
    <w:rsid w:val="008A7D8D"/>
    <w:rsid w:val="008A7E35"/>
    <w:rsid w:val="008A7ECE"/>
    <w:rsid w:val="008A7F0B"/>
    <w:rsid w:val="008A7FE6"/>
    <w:rsid w:val="008B003B"/>
    <w:rsid w:val="008B0079"/>
    <w:rsid w:val="008B007D"/>
    <w:rsid w:val="008B0082"/>
    <w:rsid w:val="008B00F5"/>
    <w:rsid w:val="008B011C"/>
    <w:rsid w:val="008B012E"/>
    <w:rsid w:val="008B01E1"/>
    <w:rsid w:val="008B0237"/>
    <w:rsid w:val="008B0271"/>
    <w:rsid w:val="008B0276"/>
    <w:rsid w:val="008B02F8"/>
    <w:rsid w:val="008B031B"/>
    <w:rsid w:val="008B0353"/>
    <w:rsid w:val="008B036D"/>
    <w:rsid w:val="008B038D"/>
    <w:rsid w:val="008B03B9"/>
    <w:rsid w:val="008B0511"/>
    <w:rsid w:val="008B058B"/>
    <w:rsid w:val="008B05C3"/>
    <w:rsid w:val="008B05E7"/>
    <w:rsid w:val="008B0603"/>
    <w:rsid w:val="008B0646"/>
    <w:rsid w:val="008B064A"/>
    <w:rsid w:val="008B0696"/>
    <w:rsid w:val="008B06CC"/>
    <w:rsid w:val="008B0712"/>
    <w:rsid w:val="008B073E"/>
    <w:rsid w:val="008B07D3"/>
    <w:rsid w:val="008B0934"/>
    <w:rsid w:val="008B0A66"/>
    <w:rsid w:val="008B0A73"/>
    <w:rsid w:val="008B0ABF"/>
    <w:rsid w:val="008B0B1C"/>
    <w:rsid w:val="008B0BB8"/>
    <w:rsid w:val="008B0BF0"/>
    <w:rsid w:val="008B0C09"/>
    <w:rsid w:val="008B0C47"/>
    <w:rsid w:val="008B0C6F"/>
    <w:rsid w:val="008B0CCE"/>
    <w:rsid w:val="008B0CFE"/>
    <w:rsid w:val="008B0D66"/>
    <w:rsid w:val="008B0D7A"/>
    <w:rsid w:val="008B0DC9"/>
    <w:rsid w:val="008B0E79"/>
    <w:rsid w:val="008B0E92"/>
    <w:rsid w:val="008B0F58"/>
    <w:rsid w:val="008B0F80"/>
    <w:rsid w:val="008B0FA0"/>
    <w:rsid w:val="008B109D"/>
    <w:rsid w:val="008B1118"/>
    <w:rsid w:val="008B129A"/>
    <w:rsid w:val="008B1454"/>
    <w:rsid w:val="008B152E"/>
    <w:rsid w:val="008B15E5"/>
    <w:rsid w:val="008B160C"/>
    <w:rsid w:val="008B1704"/>
    <w:rsid w:val="008B1733"/>
    <w:rsid w:val="008B1771"/>
    <w:rsid w:val="008B17B5"/>
    <w:rsid w:val="008B1848"/>
    <w:rsid w:val="008B188F"/>
    <w:rsid w:val="008B18A9"/>
    <w:rsid w:val="008B18D8"/>
    <w:rsid w:val="008B19A2"/>
    <w:rsid w:val="008B19D4"/>
    <w:rsid w:val="008B19E5"/>
    <w:rsid w:val="008B19F4"/>
    <w:rsid w:val="008B1A10"/>
    <w:rsid w:val="008B1A4E"/>
    <w:rsid w:val="008B1A50"/>
    <w:rsid w:val="008B1AA3"/>
    <w:rsid w:val="008B1B33"/>
    <w:rsid w:val="008B1B66"/>
    <w:rsid w:val="008B1BA0"/>
    <w:rsid w:val="008B1C26"/>
    <w:rsid w:val="008B1C7D"/>
    <w:rsid w:val="008B1D64"/>
    <w:rsid w:val="008B1D71"/>
    <w:rsid w:val="008B1E17"/>
    <w:rsid w:val="008B1E3C"/>
    <w:rsid w:val="008B1E52"/>
    <w:rsid w:val="008B1E6E"/>
    <w:rsid w:val="008B1F03"/>
    <w:rsid w:val="008B1F45"/>
    <w:rsid w:val="008B1F4D"/>
    <w:rsid w:val="008B2051"/>
    <w:rsid w:val="008B208E"/>
    <w:rsid w:val="008B20F0"/>
    <w:rsid w:val="008B2133"/>
    <w:rsid w:val="008B21C4"/>
    <w:rsid w:val="008B225A"/>
    <w:rsid w:val="008B2284"/>
    <w:rsid w:val="008B2291"/>
    <w:rsid w:val="008B22AC"/>
    <w:rsid w:val="008B22F0"/>
    <w:rsid w:val="008B2333"/>
    <w:rsid w:val="008B2362"/>
    <w:rsid w:val="008B23E1"/>
    <w:rsid w:val="008B24DF"/>
    <w:rsid w:val="008B24E6"/>
    <w:rsid w:val="008B25B5"/>
    <w:rsid w:val="008B262C"/>
    <w:rsid w:val="008B27C6"/>
    <w:rsid w:val="008B28C5"/>
    <w:rsid w:val="008B2900"/>
    <w:rsid w:val="008B29C5"/>
    <w:rsid w:val="008B29D4"/>
    <w:rsid w:val="008B2AD1"/>
    <w:rsid w:val="008B2AEA"/>
    <w:rsid w:val="008B2B53"/>
    <w:rsid w:val="008B2B77"/>
    <w:rsid w:val="008B2B7D"/>
    <w:rsid w:val="008B2C13"/>
    <w:rsid w:val="008B2C2D"/>
    <w:rsid w:val="008B2DD4"/>
    <w:rsid w:val="008B2DDB"/>
    <w:rsid w:val="008B2EB8"/>
    <w:rsid w:val="008B2ED7"/>
    <w:rsid w:val="008B2F00"/>
    <w:rsid w:val="008B2F9C"/>
    <w:rsid w:val="008B3022"/>
    <w:rsid w:val="008B3075"/>
    <w:rsid w:val="008B3093"/>
    <w:rsid w:val="008B30FF"/>
    <w:rsid w:val="008B3206"/>
    <w:rsid w:val="008B3237"/>
    <w:rsid w:val="008B3268"/>
    <w:rsid w:val="008B32B6"/>
    <w:rsid w:val="008B32B7"/>
    <w:rsid w:val="008B332D"/>
    <w:rsid w:val="008B33CB"/>
    <w:rsid w:val="008B3460"/>
    <w:rsid w:val="008B3588"/>
    <w:rsid w:val="008B35A2"/>
    <w:rsid w:val="008B361D"/>
    <w:rsid w:val="008B3693"/>
    <w:rsid w:val="008B3764"/>
    <w:rsid w:val="008B3779"/>
    <w:rsid w:val="008B3785"/>
    <w:rsid w:val="008B38D4"/>
    <w:rsid w:val="008B38F2"/>
    <w:rsid w:val="008B3917"/>
    <w:rsid w:val="008B399D"/>
    <w:rsid w:val="008B3A15"/>
    <w:rsid w:val="008B3A48"/>
    <w:rsid w:val="008B3A7D"/>
    <w:rsid w:val="008B3B78"/>
    <w:rsid w:val="008B3BF0"/>
    <w:rsid w:val="008B3C38"/>
    <w:rsid w:val="008B3CCA"/>
    <w:rsid w:val="008B3D26"/>
    <w:rsid w:val="008B3E3D"/>
    <w:rsid w:val="008B3EB7"/>
    <w:rsid w:val="008B3F74"/>
    <w:rsid w:val="008B3FC2"/>
    <w:rsid w:val="008B4030"/>
    <w:rsid w:val="008B407C"/>
    <w:rsid w:val="008B40D5"/>
    <w:rsid w:val="008B41D6"/>
    <w:rsid w:val="008B42C3"/>
    <w:rsid w:val="008B42C7"/>
    <w:rsid w:val="008B4392"/>
    <w:rsid w:val="008B43BA"/>
    <w:rsid w:val="008B43D1"/>
    <w:rsid w:val="008B446F"/>
    <w:rsid w:val="008B4493"/>
    <w:rsid w:val="008B44E7"/>
    <w:rsid w:val="008B450B"/>
    <w:rsid w:val="008B454A"/>
    <w:rsid w:val="008B455F"/>
    <w:rsid w:val="008B45D4"/>
    <w:rsid w:val="008B460E"/>
    <w:rsid w:val="008B4655"/>
    <w:rsid w:val="008B467E"/>
    <w:rsid w:val="008B46A2"/>
    <w:rsid w:val="008B46EA"/>
    <w:rsid w:val="008B470F"/>
    <w:rsid w:val="008B47E9"/>
    <w:rsid w:val="008B47EE"/>
    <w:rsid w:val="008B47FB"/>
    <w:rsid w:val="008B4811"/>
    <w:rsid w:val="008B48B9"/>
    <w:rsid w:val="008B48F7"/>
    <w:rsid w:val="008B492C"/>
    <w:rsid w:val="008B4965"/>
    <w:rsid w:val="008B496A"/>
    <w:rsid w:val="008B49A1"/>
    <w:rsid w:val="008B49F5"/>
    <w:rsid w:val="008B4A34"/>
    <w:rsid w:val="008B4AD3"/>
    <w:rsid w:val="008B4ADF"/>
    <w:rsid w:val="008B4B84"/>
    <w:rsid w:val="008B4B98"/>
    <w:rsid w:val="008B4BBF"/>
    <w:rsid w:val="008B4C19"/>
    <w:rsid w:val="008B4C32"/>
    <w:rsid w:val="008B4C7F"/>
    <w:rsid w:val="008B4D68"/>
    <w:rsid w:val="008B4D8A"/>
    <w:rsid w:val="008B4DD3"/>
    <w:rsid w:val="008B4E10"/>
    <w:rsid w:val="008B4E53"/>
    <w:rsid w:val="008B4E8D"/>
    <w:rsid w:val="008B4EE3"/>
    <w:rsid w:val="008B4EEB"/>
    <w:rsid w:val="008B4F6B"/>
    <w:rsid w:val="008B4F8E"/>
    <w:rsid w:val="008B4FA2"/>
    <w:rsid w:val="008B4FEA"/>
    <w:rsid w:val="008B4FF9"/>
    <w:rsid w:val="008B5046"/>
    <w:rsid w:val="008B5094"/>
    <w:rsid w:val="008B50ED"/>
    <w:rsid w:val="008B5174"/>
    <w:rsid w:val="008B5203"/>
    <w:rsid w:val="008B5214"/>
    <w:rsid w:val="008B525B"/>
    <w:rsid w:val="008B526A"/>
    <w:rsid w:val="008B52BA"/>
    <w:rsid w:val="008B537E"/>
    <w:rsid w:val="008B53A7"/>
    <w:rsid w:val="008B5410"/>
    <w:rsid w:val="008B54A9"/>
    <w:rsid w:val="008B54BF"/>
    <w:rsid w:val="008B5605"/>
    <w:rsid w:val="008B5630"/>
    <w:rsid w:val="008B5702"/>
    <w:rsid w:val="008B580E"/>
    <w:rsid w:val="008B5836"/>
    <w:rsid w:val="008B58AC"/>
    <w:rsid w:val="008B595F"/>
    <w:rsid w:val="008B5966"/>
    <w:rsid w:val="008B598E"/>
    <w:rsid w:val="008B59C8"/>
    <w:rsid w:val="008B5AA4"/>
    <w:rsid w:val="008B5AD0"/>
    <w:rsid w:val="008B5B51"/>
    <w:rsid w:val="008B5B5E"/>
    <w:rsid w:val="008B5D08"/>
    <w:rsid w:val="008B5D35"/>
    <w:rsid w:val="008B5DD6"/>
    <w:rsid w:val="008B5E11"/>
    <w:rsid w:val="008B5E12"/>
    <w:rsid w:val="008B5E3A"/>
    <w:rsid w:val="008B5E3E"/>
    <w:rsid w:val="008B5EE8"/>
    <w:rsid w:val="008B5F45"/>
    <w:rsid w:val="008B5F92"/>
    <w:rsid w:val="008B5FD3"/>
    <w:rsid w:val="008B6090"/>
    <w:rsid w:val="008B60FC"/>
    <w:rsid w:val="008B6136"/>
    <w:rsid w:val="008B6169"/>
    <w:rsid w:val="008B622D"/>
    <w:rsid w:val="008B62FB"/>
    <w:rsid w:val="008B63C5"/>
    <w:rsid w:val="008B63DA"/>
    <w:rsid w:val="008B644D"/>
    <w:rsid w:val="008B64B3"/>
    <w:rsid w:val="008B64CA"/>
    <w:rsid w:val="008B64EF"/>
    <w:rsid w:val="008B6554"/>
    <w:rsid w:val="008B6610"/>
    <w:rsid w:val="008B66DD"/>
    <w:rsid w:val="008B671C"/>
    <w:rsid w:val="008B6760"/>
    <w:rsid w:val="008B67BD"/>
    <w:rsid w:val="008B67E5"/>
    <w:rsid w:val="008B6838"/>
    <w:rsid w:val="008B6895"/>
    <w:rsid w:val="008B68B1"/>
    <w:rsid w:val="008B690C"/>
    <w:rsid w:val="008B6958"/>
    <w:rsid w:val="008B6990"/>
    <w:rsid w:val="008B6997"/>
    <w:rsid w:val="008B69B9"/>
    <w:rsid w:val="008B6A82"/>
    <w:rsid w:val="008B6AFF"/>
    <w:rsid w:val="008B6BF4"/>
    <w:rsid w:val="008B6C69"/>
    <w:rsid w:val="008B6C88"/>
    <w:rsid w:val="008B6C9B"/>
    <w:rsid w:val="008B6CCC"/>
    <w:rsid w:val="008B6D47"/>
    <w:rsid w:val="008B6D9B"/>
    <w:rsid w:val="008B6DE8"/>
    <w:rsid w:val="008B6E17"/>
    <w:rsid w:val="008B6EA9"/>
    <w:rsid w:val="008B6F18"/>
    <w:rsid w:val="008B6F62"/>
    <w:rsid w:val="008B6F76"/>
    <w:rsid w:val="008B6FAF"/>
    <w:rsid w:val="008B7033"/>
    <w:rsid w:val="008B7040"/>
    <w:rsid w:val="008B7074"/>
    <w:rsid w:val="008B70E3"/>
    <w:rsid w:val="008B721E"/>
    <w:rsid w:val="008B7281"/>
    <w:rsid w:val="008B7305"/>
    <w:rsid w:val="008B73F7"/>
    <w:rsid w:val="008B7451"/>
    <w:rsid w:val="008B74CE"/>
    <w:rsid w:val="008B7515"/>
    <w:rsid w:val="008B752F"/>
    <w:rsid w:val="008B755E"/>
    <w:rsid w:val="008B7576"/>
    <w:rsid w:val="008B758D"/>
    <w:rsid w:val="008B75B0"/>
    <w:rsid w:val="008B75F8"/>
    <w:rsid w:val="008B7619"/>
    <w:rsid w:val="008B762B"/>
    <w:rsid w:val="008B7725"/>
    <w:rsid w:val="008B7731"/>
    <w:rsid w:val="008B7741"/>
    <w:rsid w:val="008B77E2"/>
    <w:rsid w:val="008B7874"/>
    <w:rsid w:val="008B7888"/>
    <w:rsid w:val="008B78B1"/>
    <w:rsid w:val="008B78D5"/>
    <w:rsid w:val="008B7939"/>
    <w:rsid w:val="008B794F"/>
    <w:rsid w:val="008B79E2"/>
    <w:rsid w:val="008B7A23"/>
    <w:rsid w:val="008B7CBA"/>
    <w:rsid w:val="008B7CE3"/>
    <w:rsid w:val="008B7CFD"/>
    <w:rsid w:val="008B7D5A"/>
    <w:rsid w:val="008B7DE1"/>
    <w:rsid w:val="008B7E05"/>
    <w:rsid w:val="008B7E8E"/>
    <w:rsid w:val="008B7EA1"/>
    <w:rsid w:val="008B7EC3"/>
    <w:rsid w:val="008B7ED6"/>
    <w:rsid w:val="008B7F3B"/>
    <w:rsid w:val="008B7F83"/>
    <w:rsid w:val="008C0036"/>
    <w:rsid w:val="008C006D"/>
    <w:rsid w:val="008C016F"/>
    <w:rsid w:val="008C02C7"/>
    <w:rsid w:val="008C02C8"/>
    <w:rsid w:val="008C02F9"/>
    <w:rsid w:val="008C0312"/>
    <w:rsid w:val="008C03A7"/>
    <w:rsid w:val="008C03AD"/>
    <w:rsid w:val="008C03D9"/>
    <w:rsid w:val="008C03FD"/>
    <w:rsid w:val="008C0411"/>
    <w:rsid w:val="008C045F"/>
    <w:rsid w:val="008C04FD"/>
    <w:rsid w:val="008C0537"/>
    <w:rsid w:val="008C05AE"/>
    <w:rsid w:val="008C05B6"/>
    <w:rsid w:val="008C063A"/>
    <w:rsid w:val="008C063C"/>
    <w:rsid w:val="008C068C"/>
    <w:rsid w:val="008C06A3"/>
    <w:rsid w:val="008C06CC"/>
    <w:rsid w:val="008C06F6"/>
    <w:rsid w:val="008C0821"/>
    <w:rsid w:val="008C083C"/>
    <w:rsid w:val="008C08EB"/>
    <w:rsid w:val="008C09FD"/>
    <w:rsid w:val="008C0E03"/>
    <w:rsid w:val="008C0E1A"/>
    <w:rsid w:val="008C0E45"/>
    <w:rsid w:val="008C0EB7"/>
    <w:rsid w:val="008C1001"/>
    <w:rsid w:val="008C104F"/>
    <w:rsid w:val="008C105C"/>
    <w:rsid w:val="008C1062"/>
    <w:rsid w:val="008C1090"/>
    <w:rsid w:val="008C10E6"/>
    <w:rsid w:val="008C115D"/>
    <w:rsid w:val="008C119D"/>
    <w:rsid w:val="008C121B"/>
    <w:rsid w:val="008C1223"/>
    <w:rsid w:val="008C1345"/>
    <w:rsid w:val="008C139A"/>
    <w:rsid w:val="008C13EA"/>
    <w:rsid w:val="008C146A"/>
    <w:rsid w:val="008C14AC"/>
    <w:rsid w:val="008C1502"/>
    <w:rsid w:val="008C1505"/>
    <w:rsid w:val="008C1568"/>
    <w:rsid w:val="008C15BC"/>
    <w:rsid w:val="008C15BE"/>
    <w:rsid w:val="008C15F0"/>
    <w:rsid w:val="008C165F"/>
    <w:rsid w:val="008C16A4"/>
    <w:rsid w:val="008C16C8"/>
    <w:rsid w:val="008C17FD"/>
    <w:rsid w:val="008C1820"/>
    <w:rsid w:val="008C18F1"/>
    <w:rsid w:val="008C1980"/>
    <w:rsid w:val="008C19FA"/>
    <w:rsid w:val="008C1A05"/>
    <w:rsid w:val="008C1AB7"/>
    <w:rsid w:val="008C1B70"/>
    <w:rsid w:val="008C1B86"/>
    <w:rsid w:val="008C1BB6"/>
    <w:rsid w:val="008C1BBC"/>
    <w:rsid w:val="008C1BD0"/>
    <w:rsid w:val="008C1BF5"/>
    <w:rsid w:val="008C1C45"/>
    <w:rsid w:val="008C1C63"/>
    <w:rsid w:val="008C1CCF"/>
    <w:rsid w:val="008C1D0D"/>
    <w:rsid w:val="008C1E03"/>
    <w:rsid w:val="008C1EE8"/>
    <w:rsid w:val="008C1EFE"/>
    <w:rsid w:val="008C1F18"/>
    <w:rsid w:val="008C1F35"/>
    <w:rsid w:val="008C1F42"/>
    <w:rsid w:val="008C204B"/>
    <w:rsid w:val="008C2099"/>
    <w:rsid w:val="008C20A8"/>
    <w:rsid w:val="008C20B1"/>
    <w:rsid w:val="008C20B7"/>
    <w:rsid w:val="008C20D6"/>
    <w:rsid w:val="008C2182"/>
    <w:rsid w:val="008C21AA"/>
    <w:rsid w:val="008C21D4"/>
    <w:rsid w:val="008C21FB"/>
    <w:rsid w:val="008C2240"/>
    <w:rsid w:val="008C22B8"/>
    <w:rsid w:val="008C22C1"/>
    <w:rsid w:val="008C237C"/>
    <w:rsid w:val="008C23C6"/>
    <w:rsid w:val="008C2488"/>
    <w:rsid w:val="008C24E5"/>
    <w:rsid w:val="008C2548"/>
    <w:rsid w:val="008C2550"/>
    <w:rsid w:val="008C2563"/>
    <w:rsid w:val="008C2631"/>
    <w:rsid w:val="008C2673"/>
    <w:rsid w:val="008C269D"/>
    <w:rsid w:val="008C2790"/>
    <w:rsid w:val="008C27E1"/>
    <w:rsid w:val="008C2814"/>
    <w:rsid w:val="008C2875"/>
    <w:rsid w:val="008C295B"/>
    <w:rsid w:val="008C29A2"/>
    <w:rsid w:val="008C2A96"/>
    <w:rsid w:val="008C2ACA"/>
    <w:rsid w:val="008C2AD8"/>
    <w:rsid w:val="008C2B10"/>
    <w:rsid w:val="008C2BA4"/>
    <w:rsid w:val="008C2C2D"/>
    <w:rsid w:val="008C2C56"/>
    <w:rsid w:val="008C2CF0"/>
    <w:rsid w:val="008C2DA3"/>
    <w:rsid w:val="008C2E2D"/>
    <w:rsid w:val="008C2E47"/>
    <w:rsid w:val="008C2E94"/>
    <w:rsid w:val="008C2EEB"/>
    <w:rsid w:val="008C300D"/>
    <w:rsid w:val="008C306A"/>
    <w:rsid w:val="008C3091"/>
    <w:rsid w:val="008C30D5"/>
    <w:rsid w:val="008C30F6"/>
    <w:rsid w:val="008C319F"/>
    <w:rsid w:val="008C31B4"/>
    <w:rsid w:val="008C3343"/>
    <w:rsid w:val="008C3356"/>
    <w:rsid w:val="008C3395"/>
    <w:rsid w:val="008C33D2"/>
    <w:rsid w:val="008C33DB"/>
    <w:rsid w:val="008C34CE"/>
    <w:rsid w:val="008C3508"/>
    <w:rsid w:val="008C3555"/>
    <w:rsid w:val="008C3584"/>
    <w:rsid w:val="008C36D0"/>
    <w:rsid w:val="008C376A"/>
    <w:rsid w:val="008C38D6"/>
    <w:rsid w:val="008C38FF"/>
    <w:rsid w:val="008C39E0"/>
    <w:rsid w:val="008C3A95"/>
    <w:rsid w:val="008C3B0B"/>
    <w:rsid w:val="008C3B23"/>
    <w:rsid w:val="008C3B6F"/>
    <w:rsid w:val="008C3B94"/>
    <w:rsid w:val="008C3B96"/>
    <w:rsid w:val="008C3BF8"/>
    <w:rsid w:val="008C3CEF"/>
    <w:rsid w:val="008C3D3E"/>
    <w:rsid w:val="008C3D78"/>
    <w:rsid w:val="008C3E46"/>
    <w:rsid w:val="008C3FFF"/>
    <w:rsid w:val="008C4081"/>
    <w:rsid w:val="008C40A2"/>
    <w:rsid w:val="008C40BC"/>
    <w:rsid w:val="008C40C2"/>
    <w:rsid w:val="008C40C8"/>
    <w:rsid w:val="008C414B"/>
    <w:rsid w:val="008C4204"/>
    <w:rsid w:val="008C4280"/>
    <w:rsid w:val="008C42F3"/>
    <w:rsid w:val="008C4391"/>
    <w:rsid w:val="008C4489"/>
    <w:rsid w:val="008C44AE"/>
    <w:rsid w:val="008C44C1"/>
    <w:rsid w:val="008C44CB"/>
    <w:rsid w:val="008C450C"/>
    <w:rsid w:val="008C4564"/>
    <w:rsid w:val="008C45EC"/>
    <w:rsid w:val="008C461C"/>
    <w:rsid w:val="008C4650"/>
    <w:rsid w:val="008C4652"/>
    <w:rsid w:val="008C4699"/>
    <w:rsid w:val="008C470D"/>
    <w:rsid w:val="008C473E"/>
    <w:rsid w:val="008C476F"/>
    <w:rsid w:val="008C4870"/>
    <w:rsid w:val="008C4945"/>
    <w:rsid w:val="008C498D"/>
    <w:rsid w:val="008C499A"/>
    <w:rsid w:val="008C4A1A"/>
    <w:rsid w:val="008C4A3C"/>
    <w:rsid w:val="008C4A4E"/>
    <w:rsid w:val="008C4AA7"/>
    <w:rsid w:val="008C4C0D"/>
    <w:rsid w:val="008C4C2C"/>
    <w:rsid w:val="008C4C3C"/>
    <w:rsid w:val="008C4D57"/>
    <w:rsid w:val="008C4D76"/>
    <w:rsid w:val="008C4E03"/>
    <w:rsid w:val="008C4E24"/>
    <w:rsid w:val="008C4EAD"/>
    <w:rsid w:val="008C4EB3"/>
    <w:rsid w:val="008C4F16"/>
    <w:rsid w:val="008C4F55"/>
    <w:rsid w:val="008C4FAB"/>
    <w:rsid w:val="008C4FB9"/>
    <w:rsid w:val="008C4FBD"/>
    <w:rsid w:val="008C4FE8"/>
    <w:rsid w:val="008C503C"/>
    <w:rsid w:val="008C5112"/>
    <w:rsid w:val="008C5174"/>
    <w:rsid w:val="008C5298"/>
    <w:rsid w:val="008C52F1"/>
    <w:rsid w:val="008C53A0"/>
    <w:rsid w:val="008C53BC"/>
    <w:rsid w:val="008C545E"/>
    <w:rsid w:val="008C54B6"/>
    <w:rsid w:val="008C5509"/>
    <w:rsid w:val="008C5531"/>
    <w:rsid w:val="008C558C"/>
    <w:rsid w:val="008C55B4"/>
    <w:rsid w:val="008C5637"/>
    <w:rsid w:val="008C572B"/>
    <w:rsid w:val="008C58FE"/>
    <w:rsid w:val="008C5952"/>
    <w:rsid w:val="008C595A"/>
    <w:rsid w:val="008C597D"/>
    <w:rsid w:val="008C59DF"/>
    <w:rsid w:val="008C59FD"/>
    <w:rsid w:val="008C5A1E"/>
    <w:rsid w:val="008C5A2C"/>
    <w:rsid w:val="008C5AE4"/>
    <w:rsid w:val="008C5BC7"/>
    <w:rsid w:val="008C5C0F"/>
    <w:rsid w:val="008C5C36"/>
    <w:rsid w:val="008C5CE5"/>
    <w:rsid w:val="008C5D18"/>
    <w:rsid w:val="008C5D2E"/>
    <w:rsid w:val="008C5D36"/>
    <w:rsid w:val="008C5DCB"/>
    <w:rsid w:val="008C5DD9"/>
    <w:rsid w:val="008C5DFA"/>
    <w:rsid w:val="008C5ECD"/>
    <w:rsid w:val="008C5FE3"/>
    <w:rsid w:val="008C6166"/>
    <w:rsid w:val="008C619C"/>
    <w:rsid w:val="008C6257"/>
    <w:rsid w:val="008C62FB"/>
    <w:rsid w:val="008C6351"/>
    <w:rsid w:val="008C636D"/>
    <w:rsid w:val="008C63B7"/>
    <w:rsid w:val="008C6402"/>
    <w:rsid w:val="008C6447"/>
    <w:rsid w:val="008C6458"/>
    <w:rsid w:val="008C6547"/>
    <w:rsid w:val="008C655F"/>
    <w:rsid w:val="008C65B2"/>
    <w:rsid w:val="008C65C8"/>
    <w:rsid w:val="008C66C0"/>
    <w:rsid w:val="008C67C4"/>
    <w:rsid w:val="008C680F"/>
    <w:rsid w:val="008C6839"/>
    <w:rsid w:val="008C68D4"/>
    <w:rsid w:val="008C68FC"/>
    <w:rsid w:val="008C6917"/>
    <w:rsid w:val="008C6924"/>
    <w:rsid w:val="008C6983"/>
    <w:rsid w:val="008C69D6"/>
    <w:rsid w:val="008C6A23"/>
    <w:rsid w:val="008C6AD9"/>
    <w:rsid w:val="008C6BDB"/>
    <w:rsid w:val="008C6D3F"/>
    <w:rsid w:val="008C6D8F"/>
    <w:rsid w:val="008C6DB1"/>
    <w:rsid w:val="008C6DE9"/>
    <w:rsid w:val="008C6DF0"/>
    <w:rsid w:val="008C6E59"/>
    <w:rsid w:val="008C6E8B"/>
    <w:rsid w:val="008C6EA6"/>
    <w:rsid w:val="008C6F5D"/>
    <w:rsid w:val="008C6FD0"/>
    <w:rsid w:val="008C6FDE"/>
    <w:rsid w:val="008C6FEA"/>
    <w:rsid w:val="008C70B6"/>
    <w:rsid w:val="008C70F1"/>
    <w:rsid w:val="008C7153"/>
    <w:rsid w:val="008C7247"/>
    <w:rsid w:val="008C7251"/>
    <w:rsid w:val="008C726A"/>
    <w:rsid w:val="008C7280"/>
    <w:rsid w:val="008C72BE"/>
    <w:rsid w:val="008C72D8"/>
    <w:rsid w:val="008C73CC"/>
    <w:rsid w:val="008C75F2"/>
    <w:rsid w:val="008C76F2"/>
    <w:rsid w:val="008C782C"/>
    <w:rsid w:val="008C787D"/>
    <w:rsid w:val="008C78A6"/>
    <w:rsid w:val="008C7971"/>
    <w:rsid w:val="008C7ACA"/>
    <w:rsid w:val="008C7B1F"/>
    <w:rsid w:val="008C7BFC"/>
    <w:rsid w:val="008C7BFD"/>
    <w:rsid w:val="008C7C3E"/>
    <w:rsid w:val="008C7CB4"/>
    <w:rsid w:val="008C7CE9"/>
    <w:rsid w:val="008C7D33"/>
    <w:rsid w:val="008C7E4E"/>
    <w:rsid w:val="008C7E95"/>
    <w:rsid w:val="008C7F95"/>
    <w:rsid w:val="008C7FEB"/>
    <w:rsid w:val="008C7FFD"/>
    <w:rsid w:val="008D019E"/>
    <w:rsid w:val="008D01AA"/>
    <w:rsid w:val="008D01CB"/>
    <w:rsid w:val="008D0269"/>
    <w:rsid w:val="008D028F"/>
    <w:rsid w:val="008D033A"/>
    <w:rsid w:val="008D03B2"/>
    <w:rsid w:val="008D0428"/>
    <w:rsid w:val="008D04B3"/>
    <w:rsid w:val="008D04D7"/>
    <w:rsid w:val="008D059F"/>
    <w:rsid w:val="008D062D"/>
    <w:rsid w:val="008D0636"/>
    <w:rsid w:val="008D072B"/>
    <w:rsid w:val="008D0732"/>
    <w:rsid w:val="008D0796"/>
    <w:rsid w:val="008D07AF"/>
    <w:rsid w:val="008D0820"/>
    <w:rsid w:val="008D0843"/>
    <w:rsid w:val="008D0871"/>
    <w:rsid w:val="008D08DF"/>
    <w:rsid w:val="008D0990"/>
    <w:rsid w:val="008D0A03"/>
    <w:rsid w:val="008D0A25"/>
    <w:rsid w:val="008D0A6E"/>
    <w:rsid w:val="008D0A8F"/>
    <w:rsid w:val="008D0ADE"/>
    <w:rsid w:val="008D0AFB"/>
    <w:rsid w:val="008D0B05"/>
    <w:rsid w:val="008D0B84"/>
    <w:rsid w:val="008D0BEA"/>
    <w:rsid w:val="008D0C69"/>
    <w:rsid w:val="008D0C7D"/>
    <w:rsid w:val="008D0C7F"/>
    <w:rsid w:val="008D0CC2"/>
    <w:rsid w:val="008D0CDB"/>
    <w:rsid w:val="008D0CF9"/>
    <w:rsid w:val="008D0DBD"/>
    <w:rsid w:val="008D0DD0"/>
    <w:rsid w:val="008D0E00"/>
    <w:rsid w:val="008D0E4F"/>
    <w:rsid w:val="008D0E5B"/>
    <w:rsid w:val="008D0E5D"/>
    <w:rsid w:val="008D0E72"/>
    <w:rsid w:val="008D0F00"/>
    <w:rsid w:val="008D0F0B"/>
    <w:rsid w:val="008D0F3B"/>
    <w:rsid w:val="008D0FA7"/>
    <w:rsid w:val="008D101A"/>
    <w:rsid w:val="008D1040"/>
    <w:rsid w:val="008D1056"/>
    <w:rsid w:val="008D106F"/>
    <w:rsid w:val="008D110B"/>
    <w:rsid w:val="008D110C"/>
    <w:rsid w:val="008D114A"/>
    <w:rsid w:val="008D11D2"/>
    <w:rsid w:val="008D11D4"/>
    <w:rsid w:val="008D11D6"/>
    <w:rsid w:val="008D1262"/>
    <w:rsid w:val="008D1279"/>
    <w:rsid w:val="008D130C"/>
    <w:rsid w:val="008D1317"/>
    <w:rsid w:val="008D1341"/>
    <w:rsid w:val="008D1367"/>
    <w:rsid w:val="008D13F4"/>
    <w:rsid w:val="008D140D"/>
    <w:rsid w:val="008D1465"/>
    <w:rsid w:val="008D1488"/>
    <w:rsid w:val="008D14AA"/>
    <w:rsid w:val="008D14D5"/>
    <w:rsid w:val="008D1622"/>
    <w:rsid w:val="008D1740"/>
    <w:rsid w:val="008D176C"/>
    <w:rsid w:val="008D17A2"/>
    <w:rsid w:val="008D17E5"/>
    <w:rsid w:val="008D187A"/>
    <w:rsid w:val="008D1880"/>
    <w:rsid w:val="008D1895"/>
    <w:rsid w:val="008D18B7"/>
    <w:rsid w:val="008D19FD"/>
    <w:rsid w:val="008D1A44"/>
    <w:rsid w:val="008D1A4D"/>
    <w:rsid w:val="008D1A61"/>
    <w:rsid w:val="008D1ABD"/>
    <w:rsid w:val="008D1AD0"/>
    <w:rsid w:val="008D1B36"/>
    <w:rsid w:val="008D1B6A"/>
    <w:rsid w:val="008D1B73"/>
    <w:rsid w:val="008D1BDC"/>
    <w:rsid w:val="008D1C20"/>
    <w:rsid w:val="008D1CF8"/>
    <w:rsid w:val="008D1CF9"/>
    <w:rsid w:val="008D1D12"/>
    <w:rsid w:val="008D1E28"/>
    <w:rsid w:val="008D1E37"/>
    <w:rsid w:val="008D1EE7"/>
    <w:rsid w:val="008D1EE8"/>
    <w:rsid w:val="008D1EEC"/>
    <w:rsid w:val="008D1F58"/>
    <w:rsid w:val="008D1F63"/>
    <w:rsid w:val="008D1F7F"/>
    <w:rsid w:val="008D1F9D"/>
    <w:rsid w:val="008D1FA7"/>
    <w:rsid w:val="008D1FD2"/>
    <w:rsid w:val="008D2002"/>
    <w:rsid w:val="008D2059"/>
    <w:rsid w:val="008D2085"/>
    <w:rsid w:val="008D2092"/>
    <w:rsid w:val="008D20FC"/>
    <w:rsid w:val="008D21D2"/>
    <w:rsid w:val="008D21F6"/>
    <w:rsid w:val="008D2251"/>
    <w:rsid w:val="008D228D"/>
    <w:rsid w:val="008D2300"/>
    <w:rsid w:val="008D233D"/>
    <w:rsid w:val="008D2354"/>
    <w:rsid w:val="008D251D"/>
    <w:rsid w:val="008D25E8"/>
    <w:rsid w:val="008D2604"/>
    <w:rsid w:val="008D2617"/>
    <w:rsid w:val="008D261F"/>
    <w:rsid w:val="008D27BD"/>
    <w:rsid w:val="008D27E9"/>
    <w:rsid w:val="008D28A8"/>
    <w:rsid w:val="008D29A0"/>
    <w:rsid w:val="008D2A5B"/>
    <w:rsid w:val="008D2A67"/>
    <w:rsid w:val="008D2A6A"/>
    <w:rsid w:val="008D2A7E"/>
    <w:rsid w:val="008D2B5A"/>
    <w:rsid w:val="008D2BB4"/>
    <w:rsid w:val="008D2BCB"/>
    <w:rsid w:val="008D2C7E"/>
    <w:rsid w:val="008D2D66"/>
    <w:rsid w:val="008D2D7E"/>
    <w:rsid w:val="008D2D8C"/>
    <w:rsid w:val="008D2E7F"/>
    <w:rsid w:val="008D2EEB"/>
    <w:rsid w:val="008D2EF2"/>
    <w:rsid w:val="008D2F3D"/>
    <w:rsid w:val="008D30B6"/>
    <w:rsid w:val="008D30C0"/>
    <w:rsid w:val="008D310A"/>
    <w:rsid w:val="008D318E"/>
    <w:rsid w:val="008D31A6"/>
    <w:rsid w:val="008D3228"/>
    <w:rsid w:val="008D32B5"/>
    <w:rsid w:val="008D33D2"/>
    <w:rsid w:val="008D33F9"/>
    <w:rsid w:val="008D34E1"/>
    <w:rsid w:val="008D3570"/>
    <w:rsid w:val="008D3593"/>
    <w:rsid w:val="008D3622"/>
    <w:rsid w:val="008D364C"/>
    <w:rsid w:val="008D3681"/>
    <w:rsid w:val="008D37F5"/>
    <w:rsid w:val="008D3831"/>
    <w:rsid w:val="008D3887"/>
    <w:rsid w:val="008D39B4"/>
    <w:rsid w:val="008D39D5"/>
    <w:rsid w:val="008D3A0D"/>
    <w:rsid w:val="008D3AC3"/>
    <w:rsid w:val="008D3ADF"/>
    <w:rsid w:val="008D3B06"/>
    <w:rsid w:val="008D3B56"/>
    <w:rsid w:val="008D3BB9"/>
    <w:rsid w:val="008D3BFB"/>
    <w:rsid w:val="008D3C4B"/>
    <w:rsid w:val="008D3C90"/>
    <w:rsid w:val="008D3D0A"/>
    <w:rsid w:val="008D3D34"/>
    <w:rsid w:val="008D3DBF"/>
    <w:rsid w:val="008D3EC6"/>
    <w:rsid w:val="008D3F9A"/>
    <w:rsid w:val="008D3FD5"/>
    <w:rsid w:val="008D401E"/>
    <w:rsid w:val="008D4021"/>
    <w:rsid w:val="008D406C"/>
    <w:rsid w:val="008D4072"/>
    <w:rsid w:val="008D40D2"/>
    <w:rsid w:val="008D40E5"/>
    <w:rsid w:val="008D411F"/>
    <w:rsid w:val="008D41F5"/>
    <w:rsid w:val="008D4224"/>
    <w:rsid w:val="008D422B"/>
    <w:rsid w:val="008D4285"/>
    <w:rsid w:val="008D42A5"/>
    <w:rsid w:val="008D4389"/>
    <w:rsid w:val="008D43AE"/>
    <w:rsid w:val="008D43D8"/>
    <w:rsid w:val="008D4483"/>
    <w:rsid w:val="008D44AD"/>
    <w:rsid w:val="008D44BF"/>
    <w:rsid w:val="008D450C"/>
    <w:rsid w:val="008D45D8"/>
    <w:rsid w:val="008D4635"/>
    <w:rsid w:val="008D4714"/>
    <w:rsid w:val="008D4733"/>
    <w:rsid w:val="008D4753"/>
    <w:rsid w:val="008D47B8"/>
    <w:rsid w:val="008D47BC"/>
    <w:rsid w:val="008D48CE"/>
    <w:rsid w:val="008D4959"/>
    <w:rsid w:val="008D49D1"/>
    <w:rsid w:val="008D49EA"/>
    <w:rsid w:val="008D4A32"/>
    <w:rsid w:val="008D4B01"/>
    <w:rsid w:val="008D4B71"/>
    <w:rsid w:val="008D4B8B"/>
    <w:rsid w:val="008D4B9B"/>
    <w:rsid w:val="008D4C1A"/>
    <w:rsid w:val="008D4C94"/>
    <w:rsid w:val="008D4D29"/>
    <w:rsid w:val="008D4DA3"/>
    <w:rsid w:val="008D4DAF"/>
    <w:rsid w:val="008D4ECE"/>
    <w:rsid w:val="008D4EEB"/>
    <w:rsid w:val="008D4F0E"/>
    <w:rsid w:val="008D4F3E"/>
    <w:rsid w:val="008D4F90"/>
    <w:rsid w:val="008D4FB0"/>
    <w:rsid w:val="008D4FE3"/>
    <w:rsid w:val="008D4FEA"/>
    <w:rsid w:val="008D4FF0"/>
    <w:rsid w:val="008D5024"/>
    <w:rsid w:val="008D505B"/>
    <w:rsid w:val="008D507A"/>
    <w:rsid w:val="008D51A7"/>
    <w:rsid w:val="008D51BA"/>
    <w:rsid w:val="008D51D4"/>
    <w:rsid w:val="008D51F0"/>
    <w:rsid w:val="008D52E2"/>
    <w:rsid w:val="008D53F6"/>
    <w:rsid w:val="008D546A"/>
    <w:rsid w:val="008D54EA"/>
    <w:rsid w:val="008D5511"/>
    <w:rsid w:val="008D5535"/>
    <w:rsid w:val="008D56C6"/>
    <w:rsid w:val="008D570D"/>
    <w:rsid w:val="008D5770"/>
    <w:rsid w:val="008D583E"/>
    <w:rsid w:val="008D5913"/>
    <w:rsid w:val="008D5984"/>
    <w:rsid w:val="008D5995"/>
    <w:rsid w:val="008D59AD"/>
    <w:rsid w:val="008D59ED"/>
    <w:rsid w:val="008D59F4"/>
    <w:rsid w:val="008D5B0A"/>
    <w:rsid w:val="008D5B83"/>
    <w:rsid w:val="008D5C0F"/>
    <w:rsid w:val="008D5C70"/>
    <w:rsid w:val="008D5D86"/>
    <w:rsid w:val="008D5DF7"/>
    <w:rsid w:val="008D5E21"/>
    <w:rsid w:val="008D5F31"/>
    <w:rsid w:val="008D5F5F"/>
    <w:rsid w:val="008D5FCC"/>
    <w:rsid w:val="008D6031"/>
    <w:rsid w:val="008D608C"/>
    <w:rsid w:val="008D61DA"/>
    <w:rsid w:val="008D6208"/>
    <w:rsid w:val="008D6282"/>
    <w:rsid w:val="008D6283"/>
    <w:rsid w:val="008D62A8"/>
    <w:rsid w:val="008D6313"/>
    <w:rsid w:val="008D6323"/>
    <w:rsid w:val="008D6347"/>
    <w:rsid w:val="008D6363"/>
    <w:rsid w:val="008D637A"/>
    <w:rsid w:val="008D641F"/>
    <w:rsid w:val="008D6434"/>
    <w:rsid w:val="008D6482"/>
    <w:rsid w:val="008D64C6"/>
    <w:rsid w:val="008D6577"/>
    <w:rsid w:val="008D6675"/>
    <w:rsid w:val="008D668A"/>
    <w:rsid w:val="008D671C"/>
    <w:rsid w:val="008D6804"/>
    <w:rsid w:val="008D686A"/>
    <w:rsid w:val="008D6936"/>
    <w:rsid w:val="008D6938"/>
    <w:rsid w:val="008D69E1"/>
    <w:rsid w:val="008D69FC"/>
    <w:rsid w:val="008D6A64"/>
    <w:rsid w:val="008D6ADE"/>
    <w:rsid w:val="008D6B87"/>
    <w:rsid w:val="008D6C23"/>
    <w:rsid w:val="008D6CF2"/>
    <w:rsid w:val="008D6D27"/>
    <w:rsid w:val="008D6DB6"/>
    <w:rsid w:val="008D6E63"/>
    <w:rsid w:val="008D6EBF"/>
    <w:rsid w:val="008D6ED9"/>
    <w:rsid w:val="008D6FE3"/>
    <w:rsid w:val="008D7049"/>
    <w:rsid w:val="008D7086"/>
    <w:rsid w:val="008D714F"/>
    <w:rsid w:val="008D71D0"/>
    <w:rsid w:val="008D71F9"/>
    <w:rsid w:val="008D7214"/>
    <w:rsid w:val="008D738C"/>
    <w:rsid w:val="008D739F"/>
    <w:rsid w:val="008D73CD"/>
    <w:rsid w:val="008D7446"/>
    <w:rsid w:val="008D744A"/>
    <w:rsid w:val="008D75D9"/>
    <w:rsid w:val="008D75E9"/>
    <w:rsid w:val="008D7655"/>
    <w:rsid w:val="008D7688"/>
    <w:rsid w:val="008D76F1"/>
    <w:rsid w:val="008D7741"/>
    <w:rsid w:val="008D7756"/>
    <w:rsid w:val="008D77D5"/>
    <w:rsid w:val="008D77DE"/>
    <w:rsid w:val="008D7933"/>
    <w:rsid w:val="008D79E2"/>
    <w:rsid w:val="008D7A10"/>
    <w:rsid w:val="008D7A18"/>
    <w:rsid w:val="008D7A43"/>
    <w:rsid w:val="008D7A4A"/>
    <w:rsid w:val="008D7A84"/>
    <w:rsid w:val="008D7A86"/>
    <w:rsid w:val="008D7AA4"/>
    <w:rsid w:val="008D7B14"/>
    <w:rsid w:val="008D7B45"/>
    <w:rsid w:val="008D7B59"/>
    <w:rsid w:val="008D7B64"/>
    <w:rsid w:val="008D7C8E"/>
    <w:rsid w:val="008D7CA6"/>
    <w:rsid w:val="008D7CCB"/>
    <w:rsid w:val="008D7D0B"/>
    <w:rsid w:val="008D7D1C"/>
    <w:rsid w:val="008D7D4A"/>
    <w:rsid w:val="008D7D61"/>
    <w:rsid w:val="008D7D89"/>
    <w:rsid w:val="008D7E18"/>
    <w:rsid w:val="008D7E3E"/>
    <w:rsid w:val="008D7E5E"/>
    <w:rsid w:val="008D7E85"/>
    <w:rsid w:val="008D7F33"/>
    <w:rsid w:val="008D7F4B"/>
    <w:rsid w:val="008D7FC9"/>
    <w:rsid w:val="008E0018"/>
    <w:rsid w:val="008E002C"/>
    <w:rsid w:val="008E004C"/>
    <w:rsid w:val="008E00E9"/>
    <w:rsid w:val="008E00F5"/>
    <w:rsid w:val="008E010E"/>
    <w:rsid w:val="008E0132"/>
    <w:rsid w:val="008E0161"/>
    <w:rsid w:val="008E01BB"/>
    <w:rsid w:val="008E01FE"/>
    <w:rsid w:val="008E022E"/>
    <w:rsid w:val="008E0301"/>
    <w:rsid w:val="008E0310"/>
    <w:rsid w:val="008E0349"/>
    <w:rsid w:val="008E0373"/>
    <w:rsid w:val="008E046B"/>
    <w:rsid w:val="008E0575"/>
    <w:rsid w:val="008E059B"/>
    <w:rsid w:val="008E05BE"/>
    <w:rsid w:val="008E0708"/>
    <w:rsid w:val="008E07A1"/>
    <w:rsid w:val="008E0867"/>
    <w:rsid w:val="008E08AC"/>
    <w:rsid w:val="008E08EE"/>
    <w:rsid w:val="008E0902"/>
    <w:rsid w:val="008E0955"/>
    <w:rsid w:val="008E095B"/>
    <w:rsid w:val="008E0965"/>
    <w:rsid w:val="008E0970"/>
    <w:rsid w:val="008E0980"/>
    <w:rsid w:val="008E098E"/>
    <w:rsid w:val="008E099D"/>
    <w:rsid w:val="008E09EF"/>
    <w:rsid w:val="008E0A2D"/>
    <w:rsid w:val="008E0A5A"/>
    <w:rsid w:val="008E0A9F"/>
    <w:rsid w:val="008E0C1A"/>
    <w:rsid w:val="008E0C47"/>
    <w:rsid w:val="008E0C8A"/>
    <w:rsid w:val="008E0D1B"/>
    <w:rsid w:val="008E0DC0"/>
    <w:rsid w:val="008E0DE1"/>
    <w:rsid w:val="008E0E4E"/>
    <w:rsid w:val="008E0EB0"/>
    <w:rsid w:val="008E0EF0"/>
    <w:rsid w:val="008E0F86"/>
    <w:rsid w:val="008E0FA3"/>
    <w:rsid w:val="008E1014"/>
    <w:rsid w:val="008E1088"/>
    <w:rsid w:val="008E10EA"/>
    <w:rsid w:val="008E10FD"/>
    <w:rsid w:val="008E1146"/>
    <w:rsid w:val="008E117D"/>
    <w:rsid w:val="008E118C"/>
    <w:rsid w:val="008E11C5"/>
    <w:rsid w:val="008E11EB"/>
    <w:rsid w:val="008E12F5"/>
    <w:rsid w:val="008E132C"/>
    <w:rsid w:val="008E1376"/>
    <w:rsid w:val="008E1451"/>
    <w:rsid w:val="008E14AD"/>
    <w:rsid w:val="008E1574"/>
    <w:rsid w:val="008E1594"/>
    <w:rsid w:val="008E15FC"/>
    <w:rsid w:val="008E1648"/>
    <w:rsid w:val="008E1717"/>
    <w:rsid w:val="008E17B5"/>
    <w:rsid w:val="008E17CD"/>
    <w:rsid w:val="008E17EE"/>
    <w:rsid w:val="008E17F9"/>
    <w:rsid w:val="008E180D"/>
    <w:rsid w:val="008E186A"/>
    <w:rsid w:val="008E18EC"/>
    <w:rsid w:val="008E1941"/>
    <w:rsid w:val="008E1A2F"/>
    <w:rsid w:val="008E1AC9"/>
    <w:rsid w:val="008E1AFD"/>
    <w:rsid w:val="008E1C89"/>
    <w:rsid w:val="008E1CC0"/>
    <w:rsid w:val="008E1D74"/>
    <w:rsid w:val="008E1DD4"/>
    <w:rsid w:val="008E1DD5"/>
    <w:rsid w:val="008E1E25"/>
    <w:rsid w:val="008E1E33"/>
    <w:rsid w:val="008E1E7B"/>
    <w:rsid w:val="008E1F1C"/>
    <w:rsid w:val="008E1F43"/>
    <w:rsid w:val="008E2083"/>
    <w:rsid w:val="008E20D5"/>
    <w:rsid w:val="008E21B7"/>
    <w:rsid w:val="008E21D2"/>
    <w:rsid w:val="008E21EC"/>
    <w:rsid w:val="008E2213"/>
    <w:rsid w:val="008E2252"/>
    <w:rsid w:val="008E225E"/>
    <w:rsid w:val="008E2264"/>
    <w:rsid w:val="008E2291"/>
    <w:rsid w:val="008E22C6"/>
    <w:rsid w:val="008E22C9"/>
    <w:rsid w:val="008E22DB"/>
    <w:rsid w:val="008E22FB"/>
    <w:rsid w:val="008E232C"/>
    <w:rsid w:val="008E2416"/>
    <w:rsid w:val="008E256C"/>
    <w:rsid w:val="008E2582"/>
    <w:rsid w:val="008E258F"/>
    <w:rsid w:val="008E25C7"/>
    <w:rsid w:val="008E25D6"/>
    <w:rsid w:val="008E25DE"/>
    <w:rsid w:val="008E25ED"/>
    <w:rsid w:val="008E2602"/>
    <w:rsid w:val="008E2610"/>
    <w:rsid w:val="008E2637"/>
    <w:rsid w:val="008E2678"/>
    <w:rsid w:val="008E26DB"/>
    <w:rsid w:val="008E2700"/>
    <w:rsid w:val="008E2739"/>
    <w:rsid w:val="008E27E5"/>
    <w:rsid w:val="008E27EF"/>
    <w:rsid w:val="008E27FD"/>
    <w:rsid w:val="008E27FE"/>
    <w:rsid w:val="008E288C"/>
    <w:rsid w:val="008E28BA"/>
    <w:rsid w:val="008E293F"/>
    <w:rsid w:val="008E29F2"/>
    <w:rsid w:val="008E29F3"/>
    <w:rsid w:val="008E2AF7"/>
    <w:rsid w:val="008E2B4D"/>
    <w:rsid w:val="008E2C2F"/>
    <w:rsid w:val="008E2CC8"/>
    <w:rsid w:val="008E2CDF"/>
    <w:rsid w:val="008E2D07"/>
    <w:rsid w:val="008E2D09"/>
    <w:rsid w:val="008E2D2F"/>
    <w:rsid w:val="008E2DA3"/>
    <w:rsid w:val="008E2EAD"/>
    <w:rsid w:val="008E2ED8"/>
    <w:rsid w:val="008E2F6B"/>
    <w:rsid w:val="008E2FDD"/>
    <w:rsid w:val="008E30B0"/>
    <w:rsid w:val="008E30CA"/>
    <w:rsid w:val="008E30ED"/>
    <w:rsid w:val="008E31BB"/>
    <w:rsid w:val="008E327A"/>
    <w:rsid w:val="008E32BE"/>
    <w:rsid w:val="008E3316"/>
    <w:rsid w:val="008E33BC"/>
    <w:rsid w:val="008E33D0"/>
    <w:rsid w:val="008E3523"/>
    <w:rsid w:val="008E3633"/>
    <w:rsid w:val="008E3668"/>
    <w:rsid w:val="008E3810"/>
    <w:rsid w:val="008E391A"/>
    <w:rsid w:val="008E39B4"/>
    <w:rsid w:val="008E39CE"/>
    <w:rsid w:val="008E3A45"/>
    <w:rsid w:val="008E3AE6"/>
    <w:rsid w:val="008E3B2A"/>
    <w:rsid w:val="008E3B3C"/>
    <w:rsid w:val="008E3B62"/>
    <w:rsid w:val="008E3BC3"/>
    <w:rsid w:val="008E3BDB"/>
    <w:rsid w:val="008E3C1B"/>
    <w:rsid w:val="008E3C38"/>
    <w:rsid w:val="008E3C4E"/>
    <w:rsid w:val="008E3D20"/>
    <w:rsid w:val="008E3D49"/>
    <w:rsid w:val="008E3E42"/>
    <w:rsid w:val="008E3E97"/>
    <w:rsid w:val="008E3F67"/>
    <w:rsid w:val="008E3FD7"/>
    <w:rsid w:val="008E4101"/>
    <w:rsid w:val="008E4104"/>
    <w:rsid w:val="008E4133"/>
    <w:rsid w:val="008E4172"/>
    <w:rsid w:val="008E422E"/>
    <w:rsid w:val="008E4272"/>
    <w:rsid w:val="008E427B"/>
    <w:rsid w:val="008E428C"/>
    <w:rsid w:val="008E4433"/>
    <w:rsid w:val="008E443D"/>
    <w:rsid w:val="008E4471"/>
    <w:rsid w:val="008E4537"/>
    <w:rsid w:val="008E4577"/>
    <w:rsid w:val="008E45AC"/>
    <w:rsid w:val="008E4610"/>
    <w:rsid w:val="008E4620"/>
    <w:rsid w:val="008E4727"/>
    <w:rsid w:val="008E47A1"/>
    <w:rsid w:val="008E47F9"/>
    <w:rsid w:val="008E47FE"/>
    <w:rsid w:val="008E4886"/>
    <w:rsid w:val="008E48BB"/>
    <w:rsid w:val="008E4900"/>
    <w:rsid w:val="008E4957"/>
    <w:rsid w:val="008E49E6"/>
    <w:rsid w:val="008E4A77"/>
    <w:rsid w:val="008E4ADE"/>
    <w:rsid w:val="008E4CAB"/>
    <w:rsid w:val="008E4CEB"/>
    <w:rsid w:val="008E4CF0"/>
    <w:rsid w:val="008E4D78"/>
    <w:rsid w:val="008E4DEC"/>
    <w:rsid w:val="008E4E31"/>
    <w:rsid w:val="008E4EF8"/>
    <w:rsid w:val="008E4FA8"/>
    <w:rsid w:val="008E4FAA"/>
    <w:rsid w:val="008E4FB5"/>
    <w:rsid w:val="008E4FFB"/>
    <w:rsid w:val="008E5044"/>
    <w:rsid w:val="008E505B"/>
    <w:rsid w:val="008E50C4"/>
    <w:rsid w:val="008E5134"/>
    <w:rsid w:val="008E516E"/>
    <w:rsid w:val="008E5199"/>
    <w:rsid w:val="008E51D4"/>
    <w:rsid w:val="008E5219"/>
    <w:rsid w:val="008E52B9"/>
    <w:rsid w:val="008E5349"/>
    <w:rsid w:val="008E5371"/>
    <w:rsid w:val="008E53BA"/>
    <w:rsid w:val="008E53BE"/>
    <w:rsid w:val="008E53FD"/>
    <w:rsid w:val="008E540E"/>
    <w:rsid w:val="008E542D"/>
    <w:rsid w:val="008E5466"/>
    <w:rsid w:val="008E54A5"/>
    <w:rsid w:val="008E54F6"/>
    <w:rsid w:val="008E54FD"/>
    <w:rsid w:val="008E5519"/>
    <w:rsid w:val="008E5521"/>
    <w:rsid w:val="008E5525"/>
    <w:rsid w:val="008E5553"/>
    <w:rsid w:val="008E55FA"/>
    <w:rsid w:val="008E562F"/>
    <w:rsid w:val="008E5679"/>
    <w:rsid w:val="008E568C"/>
    <w:rsid w:val="008E56E6"/>
    <w:rsid w:val="008E5742"/>
    <w:rsid w:val="008E5788"/>
    <w:rsid w:val="008E5832"/>
    <w:rsid w:val="008E5896"/>
    <w:rsid w:val="008E58AD"/>
    <w:rsid w:val="008E58ED"/>
    <w:rsid w:val="008E595D"/>
    <w:rsid w:val="008E59B2"/>
    <w:rsid w:val="008E59BE"/>
    <w:rsid w:val="008E5A78"/>
    <w:rsid w:val="008E5A9E"/>
    <w:rsid w:val="008E5ADF"/>
    <w:rsid w:val="008E5AFE"/>
    <w:rsid w:val="008E5B70"/>
    <w:rsid w:val="008E5BFA"/>
    <w:rsid w:val="008E5C10"/>
    <w:rsid w:val="008E5C3C"/>
    <w:rsid w:val="008E5C50"/>
    <w:rsid w:val="008E5CE9"/>
    <w:rsid w:val="008E5D18"/>
    <w:rsid w:val="008E5E09"/>
    <w:rsid w:val="008E5E48"/>
    <w:rsid w:val="008E5F0C"/>
    <w:rsid w:val="008E5F69"/>
    <w:rsid w:val="008E60D3"/>
    <w:rsid w:val="008E60F9"/>
    <w:rsid w:val="008E6138"/>
    <w:rsid w:val="008E6160"/>
    <w:rsid w:val="008E6217"/>
    <w:rsid w:val="008E6268"/>
    <w:rsid w:val="008E6298"/>
    <w:rsid w:val="008E62D1"/>
    <w:rsid w:val="008E6356"/>
    <w:rsid w:val="008E63BA"/>
    <w:rsid w:val="008E63CA"/>
    <w:rsid w:val="008E63CB"/>
    <w:rsid w:val="008E6439"/>
    <w:rsid w:val="008E6510"/>
    <w:rsid w:val="008E6527"/>
    <w:rsid w:val="008E6538"/>
    <w:rsid w:val="008E655B"/>
    <w:rsid w:val="008E6561"/>
    <w:rsid w:val="008E65D3"/>
    <w:rsid w:val="008E6615"/>
    <w:rsid w:val="008E667B"/>
    <w:rsid w:val="008E6680"/>
    <w:rsid w:val="008E66AB"/>
    <w:rsid w:val="008E678E"/>
    <w:rsid w:val="008E6790"/>
    <w:rsid w:val="008E679A"/>
    <w:rsid w:val="008E67B2"/>
    <w:rsid w:val="008E6813"/>
    <w:rsid w:val="008E683C"/>
    <w:rsid w:val="008E689C"/>
    <w:rsid w:val="008E6917"/>
    <w:rsid w:val="008E69A9"/>
    <w:rsid w:val="008E69AB"/>
    <w:rsid w:val="008E69B0"/>
    <w:rsid w:val="008E6A06"/>
    <w:rsid w:val="008E6A3E"/>
    <w:rsid w:val="008E6A7E"/>
    <w:rsid w:val="008E6AA4"/>
    <w:rsid w:val="008E6ABB"/>
    <w:rsid w:val="008E6ACC"/>
    <w:rsid w:val="008E6B0B"/>
    <w:rsid w:val="008E6B30"/>
    <w:rsid w:val="008E6B4F"/>
    <w:rsid w:val="008E6BAD"/>
    <w:rsid w:val="008E6C6A"/>
    <w:rsid w:val="008E6D9D"/>
    <w:rsid w:val="008E6E5B"/>
    <w:rsid w:val="008E6E90"/>
    <w:rsid w:val="008E6E94"/>
    <w:rsid w:val="008E6EE4"/>
    <w:rsid w:val="008E6F80"/>
    <w:rsid w:val="008E6F82"/>
    <w:rsid w:val="008E6F99"/>
    <w:rsid w:val="008E6FCB"/>
    <w:rsid w:val="008E6FDB"/>
    <w:rsid w:val="008E7046"/>
    <w:rsid w:val="008E7050"/>
    <w:rsid w:val="008E7086"/>
    <w:rsid w:val="008E70E3"/>
    <w:rsid w:val="008E70FE"/>
    <w:rsid w:val="008E7151"/>
    <w:rsid w:val="008E7163"/>
    <w:rsid w:val="008E71A2"/>
    <w:rsid w:val="008E71E1"/>
    <w:rsid w:val="008E7260"/>
    <w:rsid w:val="008E7287"/>
    <w:rsid w:val="008E72E2"/>
    <w:rsid w:val="008E72F4"/>
    <w:rsid w:val="008E732F"/>
    <w:rsid w:val="008E735F"/>
    <w:rsid w:val="008E736C"/>
    <w:rsid w:val="008E73B6"/>
    <w:rsid w:val="008E73C2"/>
    <w:rsid w:val="008E73CB"/>
    <w:rsid w:val="008E73D4"/>
    <w:rsid w:val="008E73FB"/>
    <w:rsid w:val="008E7433"/>
    <w:rsid w:val="008E75AF"/>
    <w:rsid w:val="008E75D3"/>
    <w:rsid w:val="008E7752"/>
    <w:rsid w:val="008E775F"/>
    <w:rsid w:val="008E77B2"/>
    <w:rsid w:val="008E7837"/>
    <w:rsid w:val="008E78E2"/>
    <w:rsid w:val="008E798B"/>
    <w:rsid w:val="008E7A89"/>
    <w:rsid w:val="008E7B12"/>
    <w:rsid w:val="008E7B5F"/>
    <w:rsid w:val="008E7BD4"/>
    <w:rsid w:val="008E7BFE"/>
    <w:rsid w:val="008E7C81"/>
    <w:rsid w:val="008E7CE3"/>
    <w:rsid w:val="008E7D1A"/>
    <w:rsid w:val="008E7D5D"/>
    <w:rsid w:val="008E7D84"/>
    <w:rsid w:val="008E7DBA"/>
    <w:rsid w:val="008E7E71"/>
    <w:rsid w:val="008E7FCE"/>
    <w:rsid w:val="008E7FEE"/>
    <w:rsid w:val="008F000D"/>
    <w:rsid w:val="008F003A"/>
    <w:rsid w:val="008F007D"/>
    <w:rsid w:val="008F00C6"/>
    <w:rsid w:val="008F00C9"/>
    <w:rsid w:val="008F00D0"/>
    <w:rsid w:val="008F020A"/>
    <w:rsid w:val="008F022B"/>
    <w:rsid w:val="008F028D"/>
    <w:rsid w:val="008F030E"/>
    <w:rsid w:val="008F03B4"/>
    <w:rsid w:val="008F03C1"/>
    <w:rsid w:val="008F043F"/>
    <w:rsid w:val="008F0567"/>
    <w:rsid w:val="008F05BE"/>
    <w:rsid w:val="008F06B8"/>
    <w:rsid w:val="008F0830"/>
    <w:rsid w:val="008F0853"/>
    <w:rsid w:val="008F0984"/>
    <w:rsid w:val="008F0996"/>
    <w:rsid w:val="008F09D0"/>
    <w:rsid w:val="008F0A95"/>
    <w:rsid w:val="008F0AA3"/>
    <w:rsid w:val="008F0B1E"/>
    <w:rsid w:val="008F0BE7"/>
    <w:rsid w:val="008F0BEC"/>
    <w:rsid w:val="008F0C20"/>
    <w:rsid w:val="008F0CB5"/>
    <w:rsid w:val="008F0CDA"/>
    <w:rsid w:val="008F0E0C"/>
    <w:rsid w:val="008F0E26"/>
    <w:rsid w:val="008F0F03"/>
    <w:rsid w:val="008F0F3A"/>
    <w:rsid w:val="008F0F6D"/>
    <w:rsid w:val="008F0F81"/>
    <w:rsid w:val="008F108A"/>
    <w:rsid w:val="008F10BF"/>
    <w:rsid w:val="008F110B"/>
    <w:rsid w:val="008F111C"/>
    <w:rsid w:val="008F11CA"/>
    <w:rsid w:val="008F1232"/>
    <w:rsid w:val="008F12E7"/>
    <w:rsid w:val="008F1304"/>
    <w:rsid w:val="008F1329"/>
    <w:rsid w:val="008F1374"/>
    <w:rsid w:val="008F140C"/>
    <w:rsid w:val="008F144B"/>
    <w:rsid w:val="008F152B"/>
    <w:rsid w:val="008F15C0"/>
    <w:rsid w:val="008F15C8"/>
    <w:rsid w:val="008F172A"/>
    <w:rsid w:val="008F176F"/>
    <w:rsid w:val="008F17C2"/>
    <w:rsid w:val="008F1804"/>
    <w:rsid w:val="008F18B1"/>
    <w:rsid w:val="008F1901"/>
    <w:rsid w:val="008F19BB"/>
    <w:rsid w:val="008F1A0E"/>
    <w:rsid w:val="008F1A27"/>
    <w:rsid w:val="008F1A6F"/>
    <w:rsid w:val="008F1B49"/>
    <w:rsid w:val="008F1BCB"/>
    <w:rsid w:val="008F1E77"/>
    <w:rsid w:val="008F1E7E"/>
    <w:rsid w:val="008F1FA3"/>
    <w:rsid w:val="008F1FC5"/>
    <w:rsid w:val="008F20A8"/>
    <w:rsid w:val="008F20B4"/>
    <w:rsid w:val="008F20CB"/>
    <w:rsid w:val="008F20D3"/>
    <w:rsid w:val="008F2129"/>
    <w:rsid w:val="008F21B8"/>
    <w:rsid w:val="008F21FC"/>
    <w:rsid w:val="008F2207"/>
    <w:rsid w:val="008F22AC"/>
    <w:rsid w:val="008F248A"/>
    <w:rsid w:val="008F24CE"/>
    <w:rsid w:val="008F250C"/>
    <w:rsid w:val="008F257F"/>
    <w:rsid w:val="008F259D"/>
    <w:rsid w:val="008F25D6"/>
    <w:rsid w:val="008F25E7"/>
    <w:rsid w:val="008F2684"/>
    <w:rsid w:val="008F26A3"/>
    <w:rsid w:val="008F27A7"/>
    <w:rsid w:val="008F27D6"/>
    <w:rsid w:val="008F291D"/>
    <w:rsid w:val="008F2971"/>
    <w:rsid w:val="008F2A3D"/>
    <w:rsid w:val="008F2A51"/>
    <w:rsid w:val="008F2A8F"/>
    <w:rsid w:val="008F2AC1"/>
    <w:rsid w:val="008F2B74"/>
    <w:rsid w:val="008F2BAF"/>
    <w:rsid w:val="008F2C23"/>
    <w:rsid w:val="008F2C29"/>
    <w:rsid w:val="008F2CA9"/>
    <w:rsid w:val="008F2CFB"/>
    <w:rsid w:val="008F2D33"/>
    <w:rsid w:val="008F2D3A"/>
    <w:rsid w:val="008F2DB4"/>
    <w:rsid w:val="008F2DEF"/>
    <w:rsid w:val="008F2E0D"/>
    <w:rsid w:val="008F2E15"/>
    <w:rsid w:val="008F2E16"/>
    <w:rsid w:val="008F2E5B"/>
    <w:rsid w:val="008F2F0C"/>
    <w:rsid w:val="008F2F19"/>
    <w:rsid w:val="008F2F1C"/>
    <w:rsid w:val="008F2F53"/>
    <w:rsid w:val="008F2F7E"/>
    <w:rsid w:val="008F2FA6"/>
    <w:rsid w:val="008F3032"/>
    <w:rsid w:val="008F3183"/>
    <w:rsid w:val="008F3197"/>
    <w:rsid w:val="008F31C3"/>
    <w:rsid w:val="008F31C6"/>
    <w:rsid w:val="008F3245"/>
    <w:rsid w:val="008F32D4"/>
    <w:rsid w:val="008F35A7"/>
    <w:rsid w:val="008F3688"/>
    <w:rsid w:val="008F36A1"/>
    <w:rsid w:val="008F36D1"/>
    <w:rsid w:val="008F36FF"/>
    <w:rsid w:val="008F3726"/>
    <w:rsid w:val="008F373A"/>
    <w:rsid w:val="008F3772"/>
    <w:rsid w:val="008F3779"/>
    <w:rsid w:val="008F3825"/>
    <w:rsid w:val="008F3843"/>
    <w:rsid w:val="008F3861"/>
    <w:rsid w:val="008F38E3"/>
    <w:rsid w:val="008F395F"/>
    <w:rsid w:val="008F3967"/>
    <w:rsid w:val="008F396D"/>
    <w:rsid w:val="008F399A"/>
    <w:rsid w:val="008F39DF"/>
    <w:rsid w:val="008F3AEF"/>
    <w:rsid w:val="008F3B35"/>
    <w:rsid w:val="008F3B3B"/>
    <w:rsid w:val="008F3B4B"/>
    <w:rsid w:val="008F3B79"/>
    <w:rsid w:val="008F3BD3"/>
    <w:rsid w:val="008F3C6E"/>
    <w:rsid w:val="008F3CEB"/>
    <w:rsid w:val="008F3D2E"/>
    <w:rsid w:val="008F3D76"/>
    <w:rsid w:val="008F3DB3"/>
    <w:rsid w:val="008F3DE6"/>
    <w:rsid w:val="008F3E24"/>
    <w:rsid w:val="008F3E8E"/>
    <w:rsid w:val="008F3EF8"/>
    <w:rsid w:val="008F3F40"/>
    <w:rsid w:val="008F3F4E"/>
    <w:rsid w:val="008F3FB9"/>
    <w:rsid w:val="008F3FC1"/>
    <w:rsid w:val="008F3FCD"/>
    <w:rsid w:val="008F402E"/>
    <w:rsid w:val="008F4035"/>
    <w:rsid w:val="008F40EF"/>
    <w:rsid w:val="008F4128"/>
    <w:rsid w:val="008F4181"/>
    <w:rsid w:val="008F4296"/>
    <w:rsid w:val="008F42E4"/>
    <w:rsid w:val="008F4318"/>
    <w:rsid w:val="008F431E"/>
    <w:rsid w:val="008F4476"/>
    <w:rsid w:val="008F447C"/>
    <w:rsid w:val="008F44F9"/>
    <w:rsid w:val="008F454F"/>
    <w:rsid w:val="008F4559"/>
    <w:rsid w:val="008F45DC"/>
    <w:rsid w:val="008F45F8"/>
    <w:rsid w:val="008F46EF"/>
    <w:rsid w:val="008F4709"/>
    <w:rsid w:val="008F4762"/>
    <w:rsid w:val="008F47DA"/>
    <w:rsid w:val="008F4839"/>
    <w:rsid w:val="008F485D"/>
    <w:rsid w:val="008F488E"/>
    <w:rsid w:val="008F48A6"/>
    <w:rsid w:val="008F48B8"/>
    <w:rsid w:val="008F4924"/>
    <w:rsid w:val="008F4949"/>
    <w:rsid w:val="008F496B"/>
    <w:rsid w:val="008F49C1"/>
    <w:rsid w:val="008F4A04"/>
    <w:rsid w:val="008F4A4B"/>
    <w:rsid w:val="008F4A6E"/>
    <w:rsid w:val="008F4A7F"/>
    <w:rsid w:val="008F4B53"/>
    <w:rsid w:val="008F4B82"/>
    <w:rsid w:val="008F4C2A"/>
    <w:rsid w:val="008F4C49"/>
    <w:rsid w:val="008F4C70"/>
    <w:rsid w:val="008F4C7B"/>
    <w:rsid w:val="008F4CCC"/>
    <w:rsid w:val="008F4D69"/>
    <w:rsid w:val="008F4D88"/>
    <w:rsid w:val="008F4DF9"/>
    <w:rsid w:val="008F4E13"/>
    <w:rsid w:val="008F4E7C"/>
    <w:rsid w:val="008F4F37"/>
    <w:rsid w:val="008F4F60"/>
    <w:rsid w:val="008F4F7D"/>
    <w:rsid w:val="008F4FBE"/>
    <w:rsid w:val="008F5015"/>
    <w:rsid w:val="008F507E"/>
    <w:rsid w:val="008F5088"/>
    <w:rsid w:val="008F50B1"/>
    <w:rsid w:val="008F5158"/>
    <w:rsid w:val="008F5163"/>
    <w:rsid w:val="008F51E2"/>
    <w:rsid w:val="008F5205"/>
    <w:rsid w:val="008F5244"/>
    <w:rsid w:val="008F525E"/>
    <w:rsid w:val="008F5271"/>
    <w:rsid w:val="008F5273"/>
    <w:rsid w:val="008F5428"/>
    <w:rsid w:val="008F55E6"/>
    <w:rsid w:val="008F55F3"/>
    <w:rsid w:val="008F5616"/>
    <w:rsid w:val="008F567D"/>
    <w:rsid w:val="008F5687"/>
    <w:rsid w:val="008F56A5"/>
    <w:rsid w:val="008F570E"/>
    <w:rsid w:val="008F57E1"/>
    <w:rsid w:val="008F5819"/>
    <w:rsid w:val="008F5886"/>
    <w:rsid w:val="008F596F"/>
    <w:rsid w:val="008F5A35"/>
    <w:rsid w:val="008F5A61"/>
    <w:rsid w:val="008F5AC7"/>
    <w:rsid w:val="008F5B75"/>
    <w:rsid w:val="008F5BC2"/>
    <w:rsid w:val="008F5BF6"/>
    <w:rsid w:val="008F5C0C"/>
    <w:rsid w:val="008F5C7A"/>
    <w:rsid w:val="008F5C8D"/>
    <w:rsid w:val="008F5EB1"/>
    <w:rsid w:val="008F5EF7"/>
    <w:rsid w:val="008F5FF8"/>
    <w:rsid w:val="008F6088"/>
    <w:rsid w:val="008F610A"/>
    <w:rsid w:val="008F6145"/>
    <w:rsid w:val="008F6195"/>
    <w:rsid w:val="008F620F"/>
    <w:rsid w:val="008F6249"/>
    <w:rsid w:val="008F6277"/>
    <w:rsid w:val="008F62D0"/>
    <w:rsid w:val="008F62FE"/>
    <w:rsid w:val="008F636D"/>
    <w:rsid w:val="008F6495"/>
    <w:rsid w:val="008F661F"/>
    <w:rsid w:val="008F6748"/>
    <w:rsid w:val="008F679E"/>
    <w:rsid w:val="008F67AA"/>
    <w:rsid w:val="008F6870"/>
    <w:rsid w:val="008F6884"/>
    <w:rsid w:val="008F68D5"/>
    <w:rsid w:val="008F68EF"/>
    <w:rsid w:val="008F68F5"/>
    <w:rsid w:val="008F68F7"/>
    <w:rsid w:val="008F69BF"/>
    <w:rsid w:val="008F69CB"/>
    <w:rsid w:val="008F6A13"/>
    <w:rsid w:val="008F6A18"/>
    <w:rsid w:val="008F6A55"/>
    <w:rsid w:val="008F6ABD"/>
    <w:rsid w:val="008F6B3F"/>
    <w:rsid w:val="008F6BFC"/>
    <w:rsid w:val="008F6C93"/>
    <w:rsid w:val="008F6CFE"/>
    <w:rsid w:val="008F6D2E"/>
    <w:rsid w:val="008F6D62"/>
    <w:rsid w:val="008F6D72"/>
    <w:rsid w:val="008F6E1C"/>
    <w:rsid w:val="008F6EA5"/>
    <w:rsid w:val="008F6F03"/>
    <w:rsid w:val="008F6F1A"/>
    <w:rsid w:val="008F6FA3"/>
    <w:rsid w:val="008F7160"/>
    <w:rsid w:val="008F71A6"/>
    <w:rsid w:val="008F71B1"/>
    <w:rsid w:val="008F71BD"/>
    <w:rsid w:val="008F71F8"/>
    <w:rsid w:val="008F7232"/>
    <w:rsid w:val="008F7244"/>
    <w:rsid w:val="008F725F"/>
    <w:rsid w:val="008F72EE"/>
    <w:rsid w:val="008F730B"/>
    <w:rsid w:val="008F7311"/>
    <w:rsid w:val="008F731F"/>
    <w:rsid w:val="008F732F"/>
    <w:rsid w:val="008F7419"/>
    <w:rsid w:val="008F747D"/>
    <w:rsid w:val="008F74B6"/>
    <w:rsid w:val="008F74C8"/>
    <w:rsid w:val="008F74FB"/>
    <w:rsid w:val="008F7593"/>
    <w:rsid w:val="008F75BF"/>
    <w:rsid w:val="008F766B"/>
    <w:rsid w:val="008F7684"/>
    <w:rsid w:val="008F76DD"/>
    <w:rsid w:val="008F7727"/>
    <w:rsid w:val="008F773A"/>
    <w:rsid w:val="008F77C1"/>
    <w:rsid w:val="008F77DF"/>
    <w:rsid w:val="008F7823"/>
    <w:rsid w:val="008F7897"/>
    <w:rsid w:val="008F78AF"/>
    <w:rsid w:val="008F78C7"/>
    <w:rsid w:val="008F791C"/>
    <w:rsid w:val="008F795F"/>
    <w:rsid w:val="008F7968"/>
    <w:rsid w:val="008F7A35"/>
    <w:rsid w:val="008F7A7A"/>
    <w:rsid w:val="008F7AC1"/>
    <w:rsid w:val="008F7B67"/>
    <w:rsid w:val="008F7C43"/>
    <w:rsid w:val="008F7C60"/>
    <w:rsid w:val="008F7C63"/>
    <w:rsid w:val="008F7CCE"/>
    <w:rsid w:val="008F7D41"/>
    <w:rsid w:val="008F7E1E"/>
    <w:rsid w:val="008F7E24"/>
    <w:rsid w:val="008F7EBA"/>
    <w:rsid w:val="008F7F79"/>
    <w:rsid w:val="008F7F9E"/>
    <w:rsid w:val="008F7FA7"/>
    <w:rsid w:val="008F7FE1"/>
    <w:rsid w:val="009000E2"/>
    <w:rsid w:val="00900129"/>
    <w:rsid w:val="009001D7"/>
    <w:rsid w:val="0090021E"/>
    <w:rsid w:val="0090029A"/>
    <w:rsid w:val="009002B9"/>
    <w:rsid w:val="009003E5"/>
    <w:rsid w:val="0090049C"/>
    <w:rsid w:val="009004CB"/>
    <w:rsid w:val="00900510"/>
    <w:rsid w:val="00900533"/>
    <w:rsid w:val="00900563"/>
    <w:rsid w:val="009005AF"/>
    <w:rsid w:val="0090064D"/>
    <w:rsid w:val="00900763"/>
    <w:rsid w:val="009007CA"/>
    <w:rsid w:val="009007F1"/>
    <w:rsid w:val="00900868"/>
    <w:rsid w:val="00900883"/>
    <w:rsid w:val="0090093B"/>
    <w:rsid w:val="00900960"/>
    <w:rsid w:val="009009A4"/>
    <w:rsid w:val="00900A99"/>
    <w:rsid w:val="00900AAD"/>
    <w:rsid w:val="00900B0A"/>
    <w:rsid w:val="00900BEB"/>
    <w:rsid w:val="00900C4E"/>
    <w:rsid w:val="00900C63"/>
    <w:rsid w:val="00900CDD"/>
    <w:rsid w:val="00900CDE"/>
    <w:rsid w:val="00900D07"/>
    <w:rsid w:val="00900D0C"/>
    <w:rsid w:val="00900E1E"/>
    <w:rsid w:val="00900E75"/>
    <w:rsid w:val="00901031"/>
    <w:rsid w:val="0090104E"/>
    <w:rsid w:val="00901093"/>
    <w:rsid w:val="009010EE"/>
    <w:rsid w:val="00901129"/>
    <w:rsid w:val="00901195"/>
    <w:rsid w:val="009011B4"/>
    <w:rsid w:val="009011BA"/>
    <w:rsid w:val="009011F9"/>
    <w:rsid w:val="00901232"/>
    <w:rsid w:val="00901286"/>
    <w:rsid w:val="00901288"/>
    <w:rsid w:val="0090129D"/>
    <w:rsid w:val="009012D0"/>
    <w:rsid w:val="0090135E"/>
    <w:rsid w:val="0090137A"/>
    <w:rsid w:val="009013A3"/>
    <w:rsid w:val="0090144F"/>
    <w:rsid w:val="009014C0"/>
    <w:rsid w:val="00901606"/>
    <w:rsid w:val="0090173D"/>
    <w:rsid w:val="00901760"/>
    <w:rsid w:val="00901826"/>
    <w:rsid w:val="009018BC"/>
    <w:rsid w:val="0090192B"/>
    <w:rsid w:val="00901934"/>
    <w:rsid w:val="00901996"/>
    <w:rsid w:val="00901AE4"/>
    <w:rsid w:val="00901AFD"/>
    <w:rsid w:val="00901B0A"/>
    <w:rsid w:val="00901B14"/>
    <w:rsid w:val="00901B25"/>
    <w:rsid w:val="00901B89"/>
    <w:rsid w:val="00901BA4"/>
    <w:rsid w:val="00901BAF"/>
    <w:rsid w:val="00901C41"/>
    <w:rsid w:val="00901C4D"/>
    <w:rsid w:val="00901C85"/>
    <w:rsid w:val="00901D47"/>
    <w:rsid w:val="00901D48"/>
    <w:rsid w:val="00901D5E"/>
    <w:rsid w:val="00901D82"/>
    <w:rsid w:val="00901DBC"/>
    <w:rsid w:val="00901E10"/>
    <w:rsid w:val="00901E17"/>
    <w:rsid w:val="00901E40"/>
    <w:rsid w:val="00901E88"/>
    <w:rsid w:val="00901EE8"/>
    <w:rsid w:val="00901FA8"/>
    <w:rsid w:val="00901FF9"/>
    <w:rsid w:val="0090201D"/>
    <w:rsid w:val="0090208D"/>
    <w:rsid w:val="009020C0"/>
    <w:rsid w:val="009020D6"/>
    <w:rsid w:val="009020E5"/>
    <w:rsid w:val="00902110"/>
    <w:rsid w:val="00902116"/>
    <w:rsid w:val="0090213F"/>
    <w:rsid w:val="0090222F"/>
    <w:rsid w:val="00902262"/>
    <w:rsid w:val="0090227B"/>
    <w:rsid w:val="009022E6"/>
    <w:rsid w:val="0090236D"/>
    <w:rsid w:val="0090238F"/>
    <w:rsid w:val="009023AB"/>
    <w:rsid w:val="009023EE"/>
    <w:rsid w:val="009023FA"/>
    <w:rsid w:val="00902454"/>
    <w:rsid w:val="009024C2"/>
    <w:rsid w:val="00902511"/>
    <w:rsid w:val="00902534"/>
    <w:rsid w:val="0090259D"/>
    <w:rsid w:val="009025D0"/>
    <w:rsid w:val="00902630"/>
    <w:rsid w:val="00902646"/>
    <w:rsid w:val="0090265F"/>
    <w:rsid w:val="0090269A"/>
    <w:rsid w:val="009026AC"/>
    <w:rsid w:val="0090273C"/>
    <w:rsid w:val="009027BC"/>
    <w:rsid w:val="0090281B"/>
    <w:rsid w:val="009028CE"/>
    <w:rsid w:val="00902908"/>
    <w:rsid w:val="0090293C"/>
    <w:rsid w:val="0090294D"/>
    <w:rsid w:val="00902A3B"/>
    <w:rsid w:val="00902A89"/>
    <w:rsid w:val="00902AB3"/>
    <w:rsid w:val="00902B25"/>
    <w:rsid w:val="00902BCB"/>
    <w:rsid w:val="00902C6F"/>
    <w:rsid w:val="00902C7C"/>
    <w:rsid w:val="00902DC8"/>
    <w:rsid w:val="00902E04"/>
    <w:rsid w:val="00902F16"/>
    <w:rsid w:val="00902F77"/>
    <w:rsid w:val="00903040"/>
    <w:rsid w:val="00903043"/>
    <w:rsid w:val="009030A6"/>
    <w:rsid w:val="009030C7"/>
    <w:rsid w:val="009030E3"/>
    <w:rsid w:val="00903103"/>
    <w:rsid w:val="0090312A"/>
    <w:rsid w:val="00903152"/>
    <w:rsid w:val="00903167"/>
    <w:rsid w:val="009031A4"/>
    <w:rsid w:val="0090323D"/>
    <w:rsid w:val="009032C1"/>
    <w:rsid w:val="00903359"/>
    <w:rsid w:val="0090335F"/>
    <w:rsid w:val="00903370"/>
    <w:rsid w:val="009033C1"/>
    <w:rsid w:val="00903411"/>
    <w:rsid w:val="009034C7"/>
    <w:rsid w:val="009035CA"/>
    <w:rsid w:val="009037B8"/>
    <w:rsid w:val="009038E7"/>
    <w:rsid w:val="0090394E"/>
    <w:rsid w:val="00903982"/>
    <w:rsid w:val="009039C1"/>
    <w:rsid w:val="009039C9"/>
    <w:rsid w:val="00903A08"/>
    <w:rsid w:val="00903A82"/>
    <w:rsid w:val="00903A96"/>
    <w:rsid w:val="00903ABA"/>
    <w:rsid w:val="00903AC2"/>
    <w:rsid w:val="00903AE4"/>
    <w:rsid w:val="00903B9A"/>
    <w:rsid w:val="00903C45"/>
    <w:rsid w:val="00903CF2"/>
    <w:rsid w:val="00903DAF"/>
    <w:rsid w:val="00903DF4"/>
    <w:rsid w:val="00903EA0"/>
    <w:rsid w:val="00903F0C"/>
    <w:rsid w:val="00903F44"/>
    <w:rsid w:val="00903FB9"/>
    <w:rsid w:val="00903FE5"/>
    <w:rsid w:val="0090408B"/>
    <w:rsid w:val="0090409F"/>
    <w:rsid w:val="009040CE"/>
    <w:rsid w:val="0090416A"/>
    <w:rsid w:val="00904198"/>
    <w:rsid w:val="009041BD"/>
    <w:rsid w:val="0090420F"/>
    <w:rsid w:val="00904284"/>
    <w:rsid w:val="00904307"/>
    <w:rsid w:val="009043B6"/>
    <w:rsid w:val="0090447B"/>
    <w:rsid w:val="00904500"/>
    <w:rsid w:val="0090456C"/>
    <w:rsid w:val="0090458D"/>
    <w:rsid w:val="009045FF"/>
    <w:rsid w:val="0090460B"/>
    <w:rsid w:val="0090463A"/>
    <w:rsid w:val="00904689"/>
    <w:rsid w:val="00904794"/>
    <w:rsid w:val="00904796"/>
    <w:rsid w:val="009047B8"/>
    <w:rsid w:val="0090482E"/>
    <w:rsid w:val="009048A4"/>
    <w:rsid w:val="009048D1"/>
    <w:rsid w:val="00904909"/>
    <w:rsid w:val="00904910"/>
    <w:rsid w:val="00904934"/>
    <w:rsid w:val="0090497F"/>
    <w:rsid w:val="009049E1"/>
    <w:rsid w:val="00904A01"/>
    <w:rsid w:val="00904A20"/>
    <w:rsid w:val="00904A28"/>
    <w:rsid w:val="00904A82"/>
    <w:rsid w:val="00904A97"/>
    <w:rsid w:val="00904AB8"/>
    <w:rsid w:val="00904B05"/>
    <w:rsid w:val="00904B4A"/>
    <w:rsid w:val="00904C03"/>
    <w:rsid w:val="00904C5A"/>
    <w:rsid w:val="00904C76"/>
    <w:rsid w:val="00904CAB"/>
    <w:rsid w:val="00904D42"/>
    <w:rsid w:val="00904D77"/>
    <w:rsid w:val="00904E3C"/>
    <w:rsid w:val="00904EC7"/>
    <w:rsid w:val="00904F62"/>
    <w:rsid w:val="00904F64"/>
    <w:rsid w:val="00905011"/>
    <w:rsid w:val="00905016"/>
    <w:rsid w:val="0090506A"/>
    <w:rsid w:val="0090509B"/>
    <w:rsid w:val="0090510A"/>
    <w:rsid w:val="009051AA"/>
    <w:rsid w:val="00905209"/>
    <w:rsid w:val="0090530A"/>
    <w:rsid w:val="00905311"/>
    <w:rsid w:val="00905361"/>
    <w:rsid w:val="00905379"/>
    <w:rsid w:val="00905413"/>
    <w:rsid w:val="00905424"/>
    <w:rsid w:val="00905461"/>
    <w:rsid w:val="00905485"/>
    <w:rsid w:val="00905518"/>
    <w:rsid w:val="00905524"/>
    <w:rsid w:val="00905593"/>
    <w:rsid w:val="009055B1"/>
    <w:rsid w:val="0090560A"/>
    <w:rsid w:val="009056B5"/>
    <w:rsid w:val="009056BC"/>
    <w:rsid w:val="009056ED"/>
    <w:rsid w:val="00905917"/>
    <w:rsid w:val="00905962"/>
    <w:rsid w:val="00905973"/>
    <w:rsid w:val="00905A8F"/>
    <w:rsid w:val="00905A94"/>
    <w:rsid w:val="00905A9A"/>
    <w:rsid w:val="00905B44"/>
    <w:rsid w:val="00905B75"/>
    <w:rsid w:val="00905B9D"/>
    <w:rsid w:val="00905BCB"/>
    <w:rsid w:val="00905BDE"/>
    <w:rsid w:val="00905C1A"/>
    <w:rsid w:val="00905C68"/>
    <w:rsid w:val="00905C97"/>
    <w:rsid w:val="00905DBD"/>
    <w:rsid w:val="00905DBE"/>
    <w:rsid w:val="00905DF5"/>
    <w:rsid w:val="00905E6B"/>
    <w:rsid w:val="00905F08"/>
    <w:rsid w:val="00905F6F"/>
    <w:rsid w:val="00905FA1"/>
    <w:rsid w:val="00905FB2"/>
    <w:rsid w:val="00905FEB"/>
    <w:rsid w:val="00906020"/>
    <w:rsid w:val="0090602D"/>
    <w:rsid w:val="00906063"/>
    <w:rsid w:val="0090607B"/>
    <w:rsid w:val="009060AA"/>
    <w:rsid w:val="009060D7"/>
    <w:rsid w:val="00906199"/>
    <w:rsid w:val="009061BB"/>
    <w:rsid w:val="00906230"/>
    <w:rsid w:val="00906239"/>
    <w:rsid w:val="0090624E"/>
    <w:rsid w:val="009062A2"/>
    <w:rsid w:val="009062F0"/>
    <w:rsid w:val="009062F6"/>
    <w:rsid w:val="0090636E"/>
    <w:rsid w:val="00906417"/>
    <w:rsid w:val="00906432"/>
    <w:rsid w:val="009064BA"/>
    <w:rsid w:val="009065E6"/>
    <w:rsid w:val="00906635"/>
    <w:rsid w:val="009066CC"/>
    <w:rsid w:val="00906739"/>
    <w:rsid w:val="0090675E"/>
    <w:rsid w:val="009067B4"/>
    <w:rsid w:val="009067D6"/>
    <w:rsid w:val="009067E4"/>
    <w:rsid w:val="00906890"/>
    <w:rsid w:val="0090692C"/>
    <w:rsid w:val="00906997"/>
    <w:rsid w:val="009069E7"/>
    <w:rsid w:val="009069FF"/>
    <w:rsid w:val="00906A29"/>
    <w:rsid w:val="00906B26"/>
    <w:rsid w:val="00906B58"/>
    <w:rsid w:val="00906B65"/>
    <w:rsid w:val="00906BCA"/>
    <w:rsid w:val="00906C64"/>
    <w:rsid w:val="00906C87"/>
    <w:rsid w:val="00906CA3"/>
    <w:rsid w:val="00906CF9"/>
    <w:rsid w:val="00906DCD"/>
    <w:rsid w:val="00906E5A"/>
    <w:rsid w:val="00906E85"/>
    <w:rsid w:val="00906ED2"/>
    <w:rsid w:val="00906F38"/>
    <w:rsid w:val="00906F3E"/>
    <w:rsid w:val="00906F5A"/>
    <w:rsid w:val="00906FEF"/>
    <w:rsid w:val="00907042"/>
    <w:rsid w:val="0090706A"/>
    <w:rsid w:val="00907098"/>
    <w:rsid w:val="0090709C"/>
    <w:rsid w:val="009070C5"/>
    <w:rsid w:val="00907144"/>
    <w:rsid w:val="009071EB"/>
    <w:rsid w:val="0090725A"/>
    <w:rsid w:val="00907278"/>
    <w:rsid w:val="0090733C"/>
    <w:rsid w:val="00907364"/>
    <w:rsid w:val="009073C4"/>
    <w:rsid w:val="0090745D"/>
    <w:rsid w:val="0090751C"/>
    <w:rsid w:val="009076B0"/>
    <w:rsid w:val="009076C7"/>
    <w:rsid w:val="009077A3"/>
    <w:rsid w:val="00907800"/>
    <w:rsid w:val="00907821"/>
    <w:rsid w:val="00907840"/>
    <w:rsid w:val="00907875"/>
    <w:rsid w:val="009079AC"/>
    <w:rsid w:val="009079D8"/>
    <w:rsid w:val="00907A4F"/>
    <w:rsid w:val="00907B12"/>
    <w:rsid w:val="00907B8D"/>
    <w:rsid w:val="00907BCA"/>
    <w:rsid w:val="00907BD4"/>
    <w:rsid w:val="00907BE7"/>
    <w:rsid w:val="00907C0E"/>
    <w:rsid w:val="00907D07"/>
    <w:rsid w:val="00907D41"/>
    <w:rsid w:val="00907D53"/>
    <w:rsid w:val="00907E00"/>
    <w:rsid w:val="00907E8A"/>
    <w:rsid w:val="00907EEB"/>
    <w:rsid w:val="00907F5F"/>
    <w:rsid w:val="00907F63"/>
    <w:rsid w:val="00907FB8"/>
    <w:rsid w:val="009101AB"/>
    <w:rsid w:val="009101F9"/>
    <w:rsid w:val="009102AD"/>
    <w:rsid w:val="009102EC"/>
    <w:rsid w:val="00910300"/>
    <w:rsid w:val="009103A9"/>
    <w:rsid w:val="009103B1"/>
    <w:rsid w:val="00910412"/>
    <w:rsid w:val="0091044B"/>
    <w:rsid w:val="009104BC"/>
    <w:rsid w:val="00910507"/>
    <w:rsid w:val="0091050E"/>
    <w:rsid w:val="00910526"/>
    <w:rsid w:val="009105F9"/>
    <w:rsid w:val="00910605"/>
    <w:rsid w:val="00910619"/>
    <w:rsid w:val="00910653"/>
    <w:rsid w:val="009106F2"/>
    <w:rsid w:val="0091070A"/>
    <w:rsid w:val="00910724"/>
    <w:rsid w:val="0091078B"/>
    <w:rsid w:val="00910829"/>
    <w:rsid w:val="009108A1"/>
    <w:rsid w:val="0091095C"/>
    <w:rsid w:val="00910C1E"/>
    <w:rsid w:val="00910CB8"/>
    <w:rsid w:val="00910CC3"/>
    <w:rsid w:val="00910CE0"/>
    <w:rsid w:val="00910D2E"/>
    <w:rsid w:val="00910D60"/>
    <w:rsid w:val="00910E3E"/>
    <w:rsid w:val="00910E98"/>
    <w:rsid w:val="00910E9E"/>
    <w:rsid w:val="00911025"/>
    <w:rsid w:val="009110AB"/>
    <w:rsid w:val="0091123B"/>
    <w:rsid w:val="00911288"/>
    <w:rsid w:val="009112B7"/>
    <w:rsid w:val="009112C4"/>
    <w:rsid w:val="009113A7"/>
    <w:rsid w:val="009113E6"/>
    <w:rsid w:val="0091143D"/>
    <w:rsid w:val="00911498"/>
    <w:rsid w:val="009114F3"/>
    <w:rsid w:val="00911564"/>
    <w:rsid w:val="0091158B"/>
    <w:rsid w:val="009116F5"/>
    <w:rsid w:val="00911742"/>
    <w:rsid w:val="009117FA"/>
    <w:rsid w:val="00911815"/>
    <w:rsid w:val="00911854"/>
    <w:rsid w:val="00911949"/>
    <w:rsid w:val="00911A44"/>
    <w:rsid w:val="00911A50"/>
    <w:rsid w:val="00911A80"/>
    <w:rsid w:val="00911B1E"/>
    <w:rsid w:val="00911B2F"/>
    <w:rsid w:val="00911B60"/>
    <w:rsid w:val="00911BA9"/>
    <w:rsid w:val="00911BC8"/>
    <w:rsid w:val="00911CA9"/>
    <w:rsid w:val="00911D93"/>
    <w:rsid w:val="00911EAB"/>
    <w:rsid w:val="00911F20"/>
    <w:rsid w:val="00911F61"/>
    <w:rsid w:val="00911F69"/>
    <w:rsid w:val="00911F90"/>
    <w:rsid w:val="00911FCD"/>
    <w:rsid w:val="00912096"/>
    <w:rsid w:val="009120DD"/>
    <w:rsid w:val="0091214C"/>
    <w:rsid w:val="0091217E"/>
    <w:rsid w:val="009121BF"/>
    <w:rsid w:val="009121DF"/>
    <w:rsid w:val="00912291"/>
    <w:rsid w:val="00912309"/>
    <w:rsid w:val="00912358"/>
    <w:rsid w:val="009123BD"/>
    <w:rsid w:val="00912407"/>
    <w:rsid w:val="00912456"/>
    <w:rsid w:val="00912574"/>
    <w:rsid w:val="009125FD"/>
    <w:rsid w:val="0091263E"/>
    <w:rsid w:val="00912720"/>
    <w:rsid w:val="0091273D"/>
    <w:rsid w:val="0091278C"/>
    <w:rsid w:val="0091282A"/>
    <w:rsid w:val="00912884"/>
    <w:rsid w:val="00912890"/>
    <w:rsid w:val="009128E2"/>
    <w:rsid w:val="00912928"/>
    <w:rsid w:val="00912956"/>
    <w:rsid w:val="00912991"/>
    <w:rsid w:val="009129AB"/>
    <w:rsid w:val="00912A36"/>
    <w:rsid w:val="00912AC9"/>
    <w:rsid w:val="00912B71"/>
    <w:rsid w:val="00912B72"/>
    <w:rsid w:val="00912B7B"/>
    <w:rsid w:val="00912C36"/>
    <w:rsid w:val="00912CC6"/>
    <w:rsid w:val="00912CD8"/>
    <w:rsid w:val="00912E2F"/>
    <w:rsid w:val="00912EE5"/>
    <w:rsid w:val="00912F44"/>
    <w:rsid w:val="00912FC6"/>
    <w:rsid w:val="00912FE0"/>
    <w:rsid w:val="0091302F"/>
    <w:rsid w:val="009130A5"/>
    <w:rsid w:val="009130AF"/>
    <w:rsid w:val="00913182"/>
    <w:rsid w:val="009131A4"/>
    <w:rsid w:val="0091324D"/>
    <w:rsid w:val="00913265"/>
    <w:rsid w:val="0091336F"/>
    <w:rsid w:val="00913381"/>
    <w:rsid w:val="00913392"/>
    <w:rsid w:val="0091349A"/>
    <w:rsid w:val="009135BF"/>
    <w:rsid w:val="00913600"/>
    <w:rsid w:val="00913633"/>
    <w:rsid w:val="00913688"/>
    <w:rsid w:val="00913988"/>
    <w:rsid w:val="009139ED"/>
    <w:rsid w:val="009139FD"/>
    <w:rsid w:val="00913A3C"/>
    <w:rsid w:val="00913A53"/>
    <w:rsid w:val="00913AE4"/>
    <w:rsid w:val="00913AFF"/>
    <w:rsid w:val="00913B27"/>
    <w:rsid w:val="00913BBA"/>
    <w:rsid w:val="00913BC8"/>
    <w:rsid w:val="00913C9E"/>
    <w:rsid w:val="00913CB7"/>
    <w:rsid w:val="00913CDB"/>
    <w:rsid w:val="00913D3B"/>
    <w:rsid w:val="00913D3F"/>
    <w:rsid w:val="00913D96"/>
    <w:rsid w:val="00913DD6"/>
    <w:rsid w:val="00913E2F"/>
    <w:rsid w:val="00913E60"/>
    <w:rsid w:val="00913E76"/>
    <w:rsid w:val="00913EED"/>
    <w:rsid w:val="00913FBB"/>
    <w:rsid w:val="0091403A"/>
    <w:rsid w:val="00914050"/>
    <w:rsid w:val="00914073"/>
    <w:rsid w:val="009140AF"/>
    <w:rsid w:val="00914167"/>
    <w:rsid w:val="0091416A"/>
    <w:rsid w:val="009141D7"/>
    <w:rsid w:val="00914273"/>
    <w:rsid w:val="00914298"/>
    <w:rsid w:val="00914349"/>
    <w:rsid w:val="00914362"/>
    <w:rsid w:val="00914368"/>
    <w:rsid w:val="00914393"/>
    <w:rsid w:val="00914399"/>
    <w:rsid w:val="009143AF"/>
    <w:rsid w:val="009143B1"/>
    <w:rsid w:val="009143E6"/>
    <w:rsid w:val="00914517"/>
    <w:rsid w:val="0091451B"/>
    <w:rsid w:val="0091454F"/>
    <w:rsid w:val="009145CA"/>
    <w:rsid w:val="009145E9"/>
    <w:rsid w:val="009146FC"/>
    <w:rsid w:val="00914773"/>
    <w:rsid w:val="00914776"/>
    <w:rsid w:val="00914785"/>
    <w:rsid w:val="009147BA"/>
    <w:rsid w:val="00914830"/>
    <w:rsid w:val="00914852"/>
    <w:rsid w:val="009149CB"/>
    <w:rsid w:val="00914A10"/>
    <w:rsid w:val="00914A97"/>
    <w:rsid w:val="00914B16"/>
    <w:rsid w:val="00914B45"/>
    <w:rsid w:val="00914B98"/>
    <w:rsid w:val="00914C0F"/>
    <w:rsid w:val="00914C2A"/>
    <w:rsid w:val="00914C5C"/>
    <w:rsid w:val="00914CB7"/>
    <w:rsid w:val="00914D69"/>
    <w:rsid w:val="00914DDB"/>
    <w:rsid w:val="00914EA5"/>
    <w:rsid w:val="00914ED2"/>
    <w:rsid w:val="00914EDD"/>
    <w:rsid w:val="00914F1A"/>
    <w:rsid w:val="00914F7C"/>
    <w:rsid w:val="00915024"/>
    <w:rsid w:val="00915034"/>
    <w:rsid w:val="009150DC"/>
    <w:rsid w:val="00915187"/>
    <w:rsid w:val="009151A5"/>
    <w:rsid w:val="009151BC"/>
    <w:rsid w:val="009151D2"/>
    <w:rsid w:val="009151EE"/>
    <w:rsid w:val="0091530C"/>
    <w:rsid w:val="0091537F"/>
    <w:rsid w:val="0091539C"/>
    <w:rsid w:val="00915419"/>
    <w:rsid w:val="009154EB"/>
    <w:rsid w:val="0091561B"/>
    <w:rsid w:val="00915629"/>
    <w:rsid w:val="0091570E"/>
    <w:rsid w:val="00915762"/>
    <w:rsid w:val="009157AF"/>
    <w:rsid w:val="009157B7"/>
    <w:rsid w:val="00915807"/>
    <w:rsid w:val="0091587A"/>
    <w:rsid w:val="009158BF"/>
    <w:rsid w:val="0091592B"/>
    <w:rsid w:val="00915935"/>
    <w:rsid w:val="00915959"/>
    <w:rsid w:val="009159DC"/>
    <w:rsid w:val="00915AB8"/>
    <w:rsid w:val="00915B32"/>
    <w:rsid w:val="00915BE6"/>
    <w:rsid w:val="00915C79"/>
    <w:rsid w:val="00915CA6"/>
    <w:rsid w:val="00915CD3"/>
    <w:rsid w:val="00915CE4"/>
    <w:rsid w:val="00915ED8"/>
    <w:rsid w:val="00915F28"/>
    <w:rsid w:val="00915F88"/>
    <w:rsid w:val="00915FBB"/>
    <w:rsid w:val="0091608C"/>
    <w:rsid w:val="0091618D"/>
    <w:rsid w:val="00916265"/>
    <w:rsid w:val="009162F0"/>
    <w:rsid w:val="009163AA"/>
    <w:rsid w:val="00916437"/>
    <w:rsid w:val="00916442"/>
    <w:rsid w:val="0091647B"/>
    <w:rsid w:val="0091649B"/>
    <w:rsid w:val="009164B9"/>
    <w:rsid w:val="00916525"/>
    <w:rsid w:val="00916661"/>
    <w:rsid w:val="009166D3"/>
    <w:rsid w:val="009166E2"/>
    <w:rsid w:val="009166E5"/>
    <w:rsid w:val="0091674F"/>
    <w:rsid w:val="00916753"/>
    <w:rsid w:val="00916764"/>
    <w:rsid w:val="009167AF"/>
    <w:rsid w:val="009168DF"/>
    <w:rsid w:val="00916923"/>
    <w:rsid w:val="00916958"/>
    <w:rsid w:val="00916989"/>
    <w:rsid w:val="009169C5"/>
    <w:rsid w:val="009169FF"/>
    <w:rsid w:val="00916A20"/>
    <w:rsid w:val="00916A3F"/>
    <w:rsid w:val="00916ACD"/>
    <w:rsid w:val="00916B75"/>
    <w:rsid w:val="00916BA9"/>
    <w:rsid w:val="00916BB1"/>
    <w:rsid w:val="00916BDE"/>
    <w:rsid w:val="00916C63"/>
    <w:rsid w:val="00916CBD"/>
    <w:rsid w:val="00916D35"/>
    <w:rsid w:val="00916D64"/>
    <w:rsid w:val="00916DED"/>
    <w:rsid w:val="00916E66"/>
    <w:rsid w:val="00916E6D"/>
    <w:rsid w:val="00916F3B"/>
    <w:rsid w:val="00916F8E"/>
    <w:rsid w:val="00916F93"/>
    <w:rsid w:val="00917027"/>
    <w:rsid w:val="009170A8"/>
    <w:rsid w:val="009170B0"/>
    <w:rsid w:val="009170EF"/>
    <w:rsid w:val="00917122"/>
    <w:rsid w:val="00917165"/>
    <w:rsid w:val="00917215"/>
    <w:rsid w:val="0091721F"/>
    <w:rsid w:val="00917241"/>
    <w:rsid w:val="009172D1"/>
    <w:rsid w:val="009172E9"/>
    <w:rsid w:val="00917342"/>
    <w:rsid w:val="00917344"/>
    <w:rsid w:val="00917357"/>
    <w:rsid w:val="0091744F"/>
    <w:rsid w:val="00917523"/>
    <w:rsid w:val="009175DD"/>
    <w:rsid w:val="009175F3"/>
    <w:rsid w:val="00917616"/>
    <w:rsid w:val="00917690"/>
    <w:rsid w:val="00917769"/>
    <w:rsid w:val="009177D6"/>
    <w:rsid w:val="009178A7"/>
    <w:rsid w:val="009178D9"/>
    <w:rsid w:val="00917904"/>
    <w:rsid w:val="0091794E"/>
    <w:rsid w:val="009179A0"/>
    <w:rsid w:val="009179AD"/>
    <w:rsid w:val="00917A23"/>
    <w:rsid w:val="00917A3E"/>
    <w:rsid w:val="00917A91"/>
    <w:rsid w:val="00917B03"/>
    <w:rsid w:val="00917B59"/>
    <w:rsid w:val="00917B69"/>
    <w:rsid w:val="00917B9F"/>
    <w:rsid w:val="00917C26"/>
    <w:rsid w:val="00917C5D"/>
    <w:rsid w:val="00917CE7"/>
    <w:rsid w:val="00917D1E"/>
    <w:rsid w:val="00917DEB"/>
    <w:rsid w:val="00917E29"/>
    <w:rsid w:val="00917E53"/>
    <w:rsid w:val="00917F3E"/>
    <w:rsid w:val="00917FCB"/>
    <w:rsid w:val="00917FF1"/>
    <w:rsid w:val="00920016"/>
    <w:rsid w:val="0092009C"/>
    <w:rsid w:val="009200D9"/>
    <w:rsid w:val="00920116"/>
    <w:rsid w:val="00920178"/>
    <w:rsid w:val="00920224"/>
    <w:rsid w:val="0092026A"/>
    <w:rsid w:val="0092026F"/>
    <w:rsid w:val="00920301"/>
    <w:rsid w:val="0092038D"/>
    <w:rsid w:val="0092044C"/>
    <w:rsid w:val="00920537"/>
    <w:rsid w:val="00920595"/>
    <w:rsid w:val="009205AE"/>
    <w:rsid w:val="009205D0"/>
    <w:rsid w:val="0092063F"/>
    <w:rsid w:val="009206A1"/>
    <w:rsid w:val="009206BA"/>
    <w:rsid w:val="00920753"/>
    <w:rsid w:val="00920884"/>
    <w:rsid w:val="00920A34"/>
    <w:rsid w:val="00920A40"/>
    <w:rsid w:val="00920A96"/>
    <w:rsid w:val="00920B03"/>
    <w:rsid w:val="00920BB2"/>
    <w:rsid w:val="00920CBD"/>
    <w:rsid w:val="00920D86"/>
    <w:rsid w:val="00920DF5"/>
    <w:rsid w:val="00920E3E"/>
    <w:rsid w:val="00920F19"/>
    <w:rsid w:val="0092104C"/>
    <w:rsid w:val="009210F1"/>
    <w:rsid w:val="00921188"/>
    <w:rsid w:val="009211CA"/>
    <w:rsid w:val="00921267"/>
    <w:rsid w:val="009212C4"/>
    <w:rsid w:val="009212D2"/>
    <w:rsid w:val="009212DA"/>
    <w:rsid w:val="00921301"/>
    <w:rsid w:val="0092136F"/>
    <w:rsid w:val="00921387"/>
    <w:rsid w:val="0092138A"/>
    <w:rsid w:val="009213A7"/>
    <w:rsid w:val="00921479"/>
    <w:rsid w:val="009214EE"/>
    <w:rsid w:val="00921561"/>
    <w:rsid w:val="009215A2"/>
    <w:rsid w:val="009215E5"/>
    <w:rsid w:val="00921685"/>
    <w:rsid w:val="009216B9"/>
    <w:rsid w:val="00921717"/>
    <w:rsid w:val="00921748"/>
    <w:rsid w:val="009217D2"/>
    <w:rsid w:val="00921814"/>
    <w:rsid w:val="0092184A"/>
    <w:rsid w:val="009219C3"/>
    <w:rsid w:val="00921A24"/>
    <w:rsid w:val="00921A3E"/>
    <w:rsid w:val="00921A53"/>
    <w:rsid w:val="00921B12"/>
    <w:rsid w:val="00921B74"/>
    <w:rsid w:val="00921B82"/>
    <w:rsid w:val="00921C6C"/>
    <w:rsid w:val="00921CA1"/>
    <w:rsid w:val="00921CD4"/>
    <w:rsid w:val="00921CFD"/>
    <w:rsid w:val="00921CFE"/>
    <w:rsid w:val="00921D8B"/>
    <w:rsid w:val="00921E2A"/>
    <w:rsid w:val="00921E2E"/>
    <w:rsid w:val="00921E6A"/>
    <w:rsid w:val="00921E91"/>
    <w:rsid w:val="00921ED8"/>
    <w:rsid w:val="00921F85"/>
    <w:rsid w:val="00921FF0"/>
    <w:rsid w:val="00921FF6"/>
    <w:rsid w:val="0092203D"/>
    <w:rsid w:val="0092209B"/>
    <w:rsid w:val="009220E1"/>
    <w:rsid w:val="0092212E"/>
    <w:rsid w:val="00922234"/>
    <w:rsid w:val="0092225B"/>
    <w:rsid w:val="00922327"/>
    <w:rsid w:val="00922335"/>
    <w:rsid w:val="009224CB"/>
    <w:rsid w:val="009224F6"/>
    <w:rsid w:val="0092256A"/>
    <w:rsid w:val="0092266B"/>
    <w:rsid w:val="00922677"/>
    <w:rsid w:val="0092279E"/>
    <w:rsid w:val="009228A2"/>
    <w:rsid w:val="009228AB"/>
    <w:rsid w:val="00922927"/>
    <w:rsid w:val="00922A35"/>
    <w:rsid w:val="00922A6E"/>
    <w:rsid w:val="00922A6F"/>
    <w:rsid w:val="00922A79"/>
    <w:rsid w:val="00922A89"/>
    <w:rsid w:val="00922CA7"/>
    <w:rsid w:val="00922CB8"/>
    <w:rsid w:val="00922D24"/>
    <w:rsid w:val="00922D75"/>
    <w:rsid w:val="00922D9D"/>
    <w:rsid w:val="00922DED"/>
    <w:rsid w:val="00922E5B"/>
    <w:rsid w:val="00922F13"/>
    <w:rsid w:val="00922FB8"/>
    <w:rsid w:val="00923070"/>
    <w:rsid w:val="009230C8"/>
    <w:rsid w:val="009230FF"/>
    <w:rsid w:val="00923194"/>
    <w:rsid w:val="00923282"/>
    <w:rsid w:val="009232A7"/>
    <w:rsid w:val="00923329"/>
    <w:rsid w:val="009233C3"/>
    <w:rsid w:val="009233E5"/>
    <w:rsid w:val="009233E8"/>
    <w:rsid w:val="009233ED"/>
    <w:rsid w:val="0092345D"/>
    <w:rsid w:val="0092350F"/>
    <w:rsid w:val="00923647"/>
    <w:rsid w:val="009236E7"/>
    <w:rsid w:val="00923706"/>
    <w:rsid w:val="009237C7"/>
    <w:rsid w:val="009238D3"/>
    <w:rsid w:val="00923931"/>
    <w:rsid w:val="00923956"/>
    <w:rsid w:val="00923960"/>
    <w:rsid w:val="009239C7"/>
    <w:rsid w:val="00923A46"/>
    <w:rsid w:val="00923A47"/>
    <w:rsid w:val="00923B0F"/>
    <w:rsid w:val="00923BC6"/>
    <w:rsid w:val="00923C03"/>
    <w:rsid w:val="00923C08"/>
    <w:rsid w:val="00923C35"/>
    <w:rsid w:val="00923C57"/>
    <w:rsid w:val="00923C60"/>
    <w:rsid w:val="00923C6B"/>
    <w:rsid w:val="00923CDF"/>
    <w:rsid w:val="00923D07"/>
    <w:rsid w:val="00923D6A"/>
    <w:rsid w:val="00923DDF"/>
    <w:rsid w:val="00923E0F"/>
    <w:rsid w:val="00923F1E"/>
    <w:rsid w:val="00923FD4"/>
    <w:rsid w:val="00924029"/>
    <w:rsid w:val="0092403B"/>
    <w:rsid w:val="00924066"/>
    <w:rsid w:val="00924104"/>
    <w:rsid w:val="00924141"/>
    <w:rsid w:val="00924250"/>
    <w:rsid w:val="00924266"/>
    <w:rsid w:val="00924375"/>
    <w:rsid w:val="009243F7"/>
    <w:rsid w:val="009243FC"/>
    <w:rsid w:val="0092440F"/>
    <w:rsid w:val="00924472"/>
    <w:rsid w:val="009245A4"/>
    <w:rsid w:val="009245E2"/>
    <w:rsid w:val="00924633"/>
    <w:rsid w:val="00924675"/>
    <w:rsid w:val="0092468B"/>
    <w:rsid w:val="009246EA"/>
    <w:rsid w:val="0092471C"/>
    <w:rsid w:val="00924731"/>
    <w:rsid w:val="009247E4"/>
    <w:rsid w:val="0092487C"/>
    <w:rsid w:val="009248E0"/>
    <w:rsid w:val="009249C2"/>
    <w:rsid w:val="009249F0"/>
    <w:rsid w:val="00924B9F"/>
    <w:rsid w:val="00924BC5"/>
    <w:rsid w:val="00924C18"/>
    <w:rsid w:val="00924C5E"/>
    <w:rsid w:val="00924CC0"/>
    <w:rsid w:val="00924DC3"/>
    <w:rsid w:val="00924DDF"/>
    <w:rsid w:val="00924E18"/>
    <w:rsid w:val="00924ECF"/>
    <w:rsid w:val="00924FBE"/>
    <w:rsid w:val="00924FF6"/>
    <w:rsid w:val="00925018"/>
    <w:rsid w:val="00925063"/>
    <w:rsid w:val="00925100"/>
    <w:rsid w:val="00925155"/>
    <w:rsid w:val="0092517D"/>
    <w:rsid w:val="009251E3"/>
    <w:rsid w:val="00925237"/>
    <w:rsid w:val="0092526A"/>
    <w:rsid w:val="0092529E"/>
    <w:rsid w:val="0092531D"/>
    <w:rsid w:val="0092539A"/>
    <w:rsid w:val="009253B6"/>
    <w:rsid w:val="00925416"/>
    <w:rsid w:val="0092542F"/>
    <w:rsid w:val="00925434"/>
    <w:rsid w:val="009254FB"/>
    <w:rsid w:val="009255DF"/>
    <w:rsid w:val="00925626"/>
    <w:rsid w:val="00925633"/>
    <w:rsid w:val="00925669"/>
    <w:rsid w:val="009256FA"/>
    <w:rsid w:val="00925701"/>
    <w:rsid w:val="0092577F"/>
    <w:rsid w:val="00925854"/>
    <w:rsid w:val="00925941"/>
    <w:rsid w:val="009259AD"/>
    <w:rsid w:val="009259EB"/>
    <w:rsid w:val="00925A4B"/>
    <w:rsid w:val="00925B24"/>
    <w:rsid w:val="00925BCC"/>
    <w:rsid w:val="00925BDB"/>
    <w:rsid w:val="00925C33"/>
    <w:rsid w:val="00925D13"/>
    <w:rsid w:val="00925D90"/>
    <w:rsid w:val="00925DF5"/>
    <w:rsid w:val="00925E31"/>
    <w:rsid w:val="00925E39"/>
    <w:rsid w:val="00925E45"/>
    <w:rsid w:val="00925F17"/>
    <w:rsid w:val="00925F9B"/>
    <w:rsid w:val="0092608B"/>
    <w:rsid w:val="00926113"/>
    <w:rsid w:val="0092614E"/>
    <w:rsid w:val="00926184"/>
    <w:rsid w:val="00926221"/>
    <w:rsid w:val="00926252"/>
    <w:rsid w:val="00926346"/>
    <w:rsid w:val="009263AA"/>
    <w:rsid w:val="009263F0"/>
    <w:rsid w:val="00926449"/>
    <w:rsid w:val="009264B3"/>
    <w:rsid w:val="009264F3"/>
    <w:rsid w:val="00926557"/>
    <w:rsid w:val="009265F6"/>
    <w:rsid w:val="00926617"/>
    <w:rsid w:val="0092667F"/>
    <w:rsid w:val="0092669C"/>
    <w:rsid w:val="009266DC"/>
    <w:rsid w:val="0092674E"/>
    <w:rsid w:val="00926827"/>
    <w:rsid w:val="009268CA"/>
    <w:rsid w:val="009268D3"/>
    <w:rsid w:val="009268FA"/>
    <w:rsid w:val="00926933"/>
    <w:rsid w:val="0092698F"/>
    <w:rsid w:val="00926A56"/>
    <w:rsid w:val="00926AE3"/>
    <w:rsid w:val="00926AF1"/>
    <w:rsid w:val="00926B03"/>
    <w:rsid w:val="00926B0E"/>
    <w:rsid w:val="00926B84"/>
    <w:rsid w:val="00926BE8"/>
    <w:rsid w:val="00926C65"/>
    <w:rsid w:val="00926CF7"/>
    <w:rsid w:val="00926D4D"/>
    <w:rsid w:val="00926D87"/>
    <w:rsid w:val="00926E96"/>
    <w:rsid w:val="00926EEE"/>
    <w:rsid w:val="00926F90"/>
    <w:rsid w:val="00926FCD"/>
    <w:rsid w:val="00927132"/>
    <w:rsid w:val="009271BA"/>
    <w:rsid w:val="009271CD"/>
    <w:rsid w:val="00927329"/>
    <w:rsid w:val="0092736A"/>
    <w:rsid w:val="00927380"/>
    <w:rsid w:val="00927434"/>
    <w:rsid w:val="00927437"/>
    <w:rsid w:val="009274AC"/>
    <w:rsid w:val="009274E6"/>
    <w:rsid w:val="00927553"/>
    <w:rsid w:val="00927596"/>
    <w:rsid w:val="009275B3"/>
    <w:rsid w:val="009275B7"/>
    <w:rsid w:val="009275CE"/>
    <w:rsid w:val="009275FA"/>
    <w:rsid w:val="00927650"/>
    <w:rsid w:val="009276DF"/>
    <w:rsid w:val="0092773D"/>
    <w:rsid w:val="0092779C"/>
    <w:rsid w:val="009277B2"/>
    <w:rsid w:val="00927845"/>
    <w:rsid w:val="00927874"/>
    <w:rsid w:val="00927883"/>
    <w:rsid w:val="009278B7"/>
    <w:rsid w:val="00927918"/>
    <w:rsid w:val="0092796B"/>
    <w:rsid w:val="00927975"/>
    <w:rsid w:val="009279EB"/>
    <w:rsid w:val="00927A3B"/>
    <w:rsid w:val="00927A5E"/>
    <w:rsid w:val="00927A88"/>
    <w:rsid w:val="00927B2D"/>
    <w:rsid w:val="00927B41"/>
    <w:rsid w:val="00927B7C"/>
    <w:rsid w:val="00927C86"/>
    <w:rsid w:val="00927DE8"/>
    <w:rsid w:val="00927E7D"/>
    <w:rsid w:val="00927E83"/>
    <w:rsid w:val="00927F12"/>
    <w:rsid w:val="00927F38"/>
    <w:rsid w:val="00927F56"/>
    <w:rsid w:val="00927FB0"/>
    <w:rsid w:val="00930034"/>
    <w:rsid w:val="0093003A"/>
    <w:rsid w:val="0093005E"/>
    <w:rsid w:val="00930065"/>
    <w:rsid w:val="00930068"/>
    <w:rsid w:val="009300DC"/>
    <w:rsid w:val="009300EE"/>
    <w:rsid w:val="00930101"/>
    <w:rsid w:val="00930105"/>
    <w:rsid w:val="00930154"/>
    <w:rsid w:val="009301B5"/>
    <w:rsid w:val="009301BE"/>
    <w:rsid w:val="009301E0"/>
    <w:rsid w:val="009301F6"/>
    <w:rsid w:val="00930210"/>
    <w:rsid w:val="009302B9"/>
    <w:rsid w:val="009302F8"/>
    <w:rsid w:val="00930337"/>
    <w:rsid w:val="0093039F"/>
    <w:rsid w:val="009303C4"/>
    <w:rsid w:val="00930413"/>
    <w:rsid w:val="0093041F"/>
    <w:rsid w:val="00930431"/>
    <w:rsid w:val="00930438"/>
    <w:rsid w:val="00930451"/>
    <w:rsid w:val="009305C2"/>
    <w:rsid w:val="009305CF"/>
    <w:rsid w:val="00930728"/>
    <w:rsid w:val="00930755"/>
    <w:rsid w:val="00930775"/>
    <w:rsid w:val="009307B3"/>
    <w:rsid w:val="00930844"/>
    <w:rsid w:val="00930872"/>
    <w:rsid w:val="009308A2"/>
    <w:rsid w:val="009308CD"/>
    <w:rsid w:val="00930971"/>
    <w:rsid w:val="00930989"/>
    <w:rsid w:val="009309C0"/>
    <w:rsid w:val="00930A15"/>
    <w:rsid w:val="00930A6E"/>
    <w:rsid w:val="00930A7A"/>
    <w:rsid w:val="00930B38"/>
    <w:rsid w:val="00930CE8"/>
    <w:rsid w:val="00930D50"/>
    <w:rsid w:val="00930DAC"/>
    <w:rsid w:val="00930E53"/>
    <w:rsid w:val="00930E63"/>
    <w:rsid w:val="00930E67"/>
    <w:rsid w:val="00930FB6"/>
    <w:rsid w:val="00930FEA"/>
    <w:rsid w:val="00931100"/>
    <w:rsid w:val="0093112D"/>
    <w:rsid w:val="00931138"/>
    <w:rsid w:val="009311F0"/>
    <w:rsid w:val="00931204"/>
    <w:rsid w:val="0093125E"/>
    <w:rsid w:val="00931272"/>
    <w:rsid w:val="00931289"/>
    <w:rsid w:val="009314BC"/>
    <w:rsid w:val="00931608"/>
    <w:rsid w:val="0093166F"/>
    <w:rsid w:val="0093167A"/>
    <w:rsid w:val="00931681"/>
    <w:rsid w:val="009316B4"/>
    <w:rsid w:val="00931744"/>
    <w:rsid w:val="00931750"/>
    <w:rsid w:val="00931752"/>
    <w:rsid w:val="00931759"/>
    <w:rsid w:val="0093179A"/>
    <w:rsid w:val="009318EE"/>
    <w:rsid w:val="009318F2"/>
    <w:rsid w:val="009318F9"/>
    <w:rsid w:val="0093193A"/>
    <w:rsid w:val="00931959"/>
    <w:rsid w:val="00931976"/>
    <w:rsid w:val="00931A36"/>
    <w:rsid w:val="00931A60"/>
    <w:rsid w:val="00931A7E"/>
    <w:rsid w:val="00931AC5"/>
    <w:rsid w:val="00931B22"/>
    <w:rsid w:val="00931B2A"/>
    <w:rsid w:val="00931B82"/>
    <w:rsid w:val="00931B87"/>
    <w:rsid w:val="00931BD4"/>
    <w:rsid w:val="00931CB3"/>
    <w:rsid w:val="00931D11"/>
    <w:rsid w:val="00931DA5"/>
    <w:rsid w:val="00931E94"/>
    <w:rsid w:val="00931EC9"/>
    <w:rsid w:val="00931F95"/>
    <w:rsid w:val="00931F9F"/>
    <w:rsid w:val="00931FB9"/>
    <w:rsid w:val="00931FEC"/>
    <w:rsid w:val="00931FEF"/>
    <w:rsid w:val="00931FFC"/>
    <w:rsid w:val="00932034"/>
    <w:rsid w:val="009320EF"/>
    <w:rsid w:val="00932157"/>
    <w:rsid w:val="0093217B"/>
    <w:rsid w:val="009321F7"/>
    <w:rsid w:val="00932253"/>
    <w:rsid w:val="009322EA"/>
    <w:rsid w:val="00932391"/>
    <w:rsid w:val="00932438"/>
    <w:rsid w:val="00932540"/>
    <w:rsid w:val="009325FF"/>
    <w:rsid w:val="00932620"/>
    <w:rsid w:val="00932634"/>
    <w:rsid w:val="00932695"/>
    <w:rsid w:val="009327C1"/>
    <w:rsid w:val="00932810"/>
    <w:rsid w:val="00932815"/>
    <w:rsid w:val="00932861"/>
    <w:rsid w:val="00932866"/>
    <w:rsid w:val="00932873"/>
    <w:rsid w:val="009328BF"/>
    <w:rsid w:val="009328F9"/>
    <w:rsid w:val="00932918"/>
    <w:rsid w:val="00932923"/>
    <w:rsid w:val="009329C3"/>
    <w:rsid w:val="009329C4"/>
    <w:rsid w:val="009329F6"/>
    <w:rsid w:val="00932A14"/>
    <w:rsid w:val="00932A69"/>
    <w:rsid w:val="00932A9E"/>
    <w:rsid w:val="00932B57"/>
    <w:rsid w:val="00932C06"/>
    <w:rsid w:val="00932C23"/>
    <w:rsid w:val="00932C59"/>
    <w:rsid w:val="00932CE7"/>
    <w:rsid w:val="00932CF6"/>
    <w:rsid w:val="00932D77"/>
    <w:rsid w:val="00932F85"/>
    <w:rsid w:val="00932FE5"/>
    <w:rsid w:val="00932FF2"/>
    <w:rsid w:val="00933108"/>
    <w:rsid w:val="00933194"/>
    <w:rsid w:val="009331EC"/>
    <w:rsid w:val="00933223"/>
    <w:rsid w:val="00933244"/>
    <w:rsid w:val="009332CB"/>
    <w:rsid w:val="009332D6"/>
    <w:rsid w:val="00933364"/>
    <w:rsid w:val="00933368"/>
    <w:rsid w:val="0093338D"/>
    <w:rsid w:val="0093342E"/>
    <w:rsid w:val="00933445"/>
    <w:rsid w:val="00933475"/>
    <w:rsid w:val="00933487"/>
    <w:rsid w:val="009334C3"/>
    <w:rsid w:val="0093358B"/>
    <w:rsid w:val="009335BC"/>
    <w:rsid w:val="0093363C"/>
    <w:rsid w:val="009336A2"/>
    <w:rsid w:val="0093377E"/>
    <w:rsid w:val="009337EB"/>
    <w:rsid w:val="0093382A"/>
    <w:rsid w:val="0093382D"/>
    <w:rsid w:val="0093385F"/>
    <w:rsid w:val="009338DB"/>
    <w:rsid w:val="009338DE"/>
    <w:rsid w:val="009338FD"/>
    <w:rsid w:val="009339B6"/>
    <w:rsid w:val="00933A33"/>
    <w:rsid w:val="00933A7B"/>
    <w:rsid w:val="00933AD3"/>
    <w:rsid w:val="00933B03"/>
    <w:rsid w:val="00933B2B"/>
    <w:rsid w:val="00933B56"/>
    <w:rsid w:val="00933B79"/>
    <w:rsid w:val="00933BC5"/>
    <w:rsid w:val="00933BD7"/>
    <w:rsid w:val="00933BF4"/>
    <w:rsid w:val="00933C75"/>
    <w:rsid w:val="00933D64"/>
    <w:rsid w:val="00933E08"/>
    <w:rsid w:val="00933EDD"/>
    <w:rsid w:val="00933EF9"/>
    <w:rsid w:val="00933FA3"/>
    <w:rsid w:val="00933FB6"/>
    <w:rsid w:val="00933FE6"/>
    <w:rsid w:val="00934035"/>
    <w:rsid w:val="009340C0"/>
    <w:rsid w:val="009340D8"/>
    <w:rsid w:val="00934134"/>
    <w:rsid w:val="0093416E"/>
    <w:rsid w:val="0093417D"/>
    <w:rsid w:val="009341F6"/>
    <w:rsid w:val="00934202"/>
    <w:rsid w:val="00934219"/>
    <w:rsid w:val="009342FC"/>
    <w:rsid w:val="009343C2"/>
    <w:rsid w:val="00934420"/>
    <w:rsid w:val="0093446B"/>
    <w:rsid w:val="00934480"/>
    <w:rsid w:val="00934499"/>
    <w:rsid w:val="0093452C"/>
    <w:rsid w:val="00934549"/>
    <w:rsid w:val="0093454B"/>
    <w:rsid w:val="009345EA"/>
    <w:rsid w:val="0093477A"/>
    <w:rsid w:val="009347C2"/>
    <w:rsid w:val="0093481D"/>
    <w:rsid w:val="00934849"/>
    <w:rsid w:val="0093491C"/>
    <w:rsid w:val="00934936"/>
    <w:rsid w:val="00934989"/>
    <w:rsid w:val="009349B9"/>
    <w:rsid w:val="00934AF5"/>
    <w:rsid w:val="00934B2D"/>
    <w:rsid w:val="00934B6D"/>
    <w:rsid w:val="00934B7B"/>
    <w:rsid w:val="00934C70"/>
    <w:rsid w:val="00934C90"/>
    <w:rsid w:val="00934CEC"/>
    <w:rsid w:val="00934D29"/>
    <w:rsid w:val="00934DEF"/>
    <w:rsid w:val="00934EC6"/>
    <w:rsid w:val="00934FCC"/>
    <w:rsid w:val="00935043"/>
    <w:rsid w:val="009350C7"/>
    <w:rsid w:val="00935116"/>
    <w:rsid w:val="00935131"/>
    <w:rsid w:val="00935168"/>
    <w:rsid w:val="009351EB"/>
    <w:rsid w:val="009352C9"/>
    <w:rsid w:val="009352CA"/>
    <w:rsid w:val="009352CC"/>
    <w:rsid w:val="00935303"/>
    <w:rsid w:val="00935317"/>
    <w:rsid w:val="0093533C"/>
    <w:rsid w:val="00935372"/>
    <w:rsid w:val="009353BB"/>
    <w:rsid w:val="009355FC"/>
    <w:rsid w:val="0093561E"/>
    <w:rsid w:val="00935670"/>
    <w:rsid w:val="0093567F"/>
    <w:rsid w:val="009356F9"/>
    <w:rsid w:val="0093577E"/>
    <w:rsid w:val="00935794"/>
    <w:rsid w:val="0093581C"/>
    <w:rsid w:val="00935840"/>
    <w:rsid w:val="009358A7"/>
    <w:rsid w:val="009358CA"/>
    <w:rsid w:val="009358D7"/>
    <w:rsid w:val="009358F1"/>
    <w:rsid w:val="009359A2"/>
    <w:rsid w:val="00935A29"/>
    <w:rsid w:val="00935A9A"/>
    <w:rsid w:val="00935B51"/>
    <w:rsid w:val="00935B75"/>
    <w:rsid w:val="00935BBA"/>
    <w:rsid w:val="00935BC1"/>
    <w:rsid w:val="00935BF6"/>
    <w:rsid w:val="00935C1B"/>
    <w:rsid w:val="00935C33"/>
    <w:rsid w:val="00935C38"/>
    <w:rsid w:val="00935C3F"/>
    <w:rsid w:val="00935C9E"/>
    <w:rsid w:val="00935CAF"/>
    <w:rsid w:val="00935DD3"/>
    <w:rsid w:val="00935E1C"/>
    <w:rsid w:val="00935ED2"/>
    <w:rsid w:val="00935F16"/>
    <w:rsid w:val="00935F68"/>
    <w:rsid w:val="00935FA3"/>
    <w:rsid w:val="00935FCD"/>
    <w:rsid w:val="00935FEB"/>
    <w:rsid w:val="00935FF9"/>
    <w:rsid w:val="00936031"/>
    <w:rsid w:val="00936068"/>
    <w:rsid w:val="009360CB"/>
    <w:rsid w:val="009361BA"/>
    <w:rsid w:val="00936265"/>
    <w:rsid w:val="0093632A"/>
    <w:rsid w:val="009363F8"/>
    <w:rsid w:val="0093643E"/>
    <w:rsid w:val="00936477"/>
    <w:rsid w:val="00936494"/>
    <w:rsid w:val="0093649A"/>
    <w:rsid w:val="00936537"/>
    <w:rsid w:val="0093658A"/>
    <w:rsid w:val="009365A0"/>
    <w:rsid w:val="009365C8"/>
    <w:rsid w:val="00936681"/>
    <w:rsid w:val="009366A9"/>
    <w:rsid w:val="00936722"/>
    <w:rsid w:val="0093676C"/>
    <w:rsid w:val="009367B2"/>
    <w:rsid w:val="00936865"/>
    <w:rsid w:val="00936917"/>
    <w:rsid w:val="009369D0"/>
    <w:rsid w:val="00936ABC"/>
    <w:rsid w:val="00936B5E"/>
    <w:rsid w:val="00936BA5"/>
    <w:rsid w:val="00936BBA"/>
    <w:rsid w:val="00936CDB"/>
    <w:rsid w:val="00936D65"/>
    <w:rsid w:val="00936E8E"/>
    <w:rsid w:val="00936ED1"/>
    <w:rsid w:val="00936F29"/>
    <w:rsid w:val="00936F8B"/>
    <w:rsid w:val="00937017"/>
    <w:rsid w:val="00937042"/>
    <w:rsid w:val="00937089"/>
    <w:rsid w:val="009370E4"/>
    <w:rsid w:val="0093726E"/>
    <w:rsid w:val="009372CE"/>
    <w:rsid w:val="00937376"/>
    <w:rsid w:val="009373B3"/>
    <w:rsid w:val="009373BD"/>
    <w:rsid w:val="0093741C"/>
    <w:rsid w:val="0093749E"/>
    <w:rsid w:val="009374A5"/>
    <w:rsid w:val="009374DE"/>
    <w:rsid w:val="009375A9"/>
    <w:rsid w:val="0093765F"/>
    <w:rsid w:val="009376FA"/>
    <w:rsid w:val="009377F3"/>
    <w:rsid w:val="00937912"/>
    <w:rsid w:val="009379A6"/>
    <w:rsid w:val="009379D3"/>
    <w:rsid w:val="009379ED"/>
    <w:rsid w:val="00937A49"/>
    <w:rsid w:val="00937B19"/>
    <w:rsid w:val="00937B67"/>
    <w:rsid w:val="00937BFA"/>
    <w:rsid w:val="00937C33"/>
    <w:rsid w:val="00937C9F"/>
    <w:rsid w:val="00937CC1"/>
    <w:rsid w:val="00937D86"/>
    <w:rsid w:val="00937D8C"/>
    <w:rsid w:val="00937E3A"/>
    <w:rsid w:val="00937EC0"/>
    <w:rsid w:val="00937EC1"/>
    <w:rsid w:val="00937F3B"/>
    <w:rsid w:val="00937F59"/>
    <w:rsid w:val="009400CE"/>
    <w:rsid w:val="009401B0"/>
    <w:rsid w:val="00940214"/>
    <w:rsid w:val="00940222"/>
    <w:rsid w:val="00940244"/>
    <w:rsid w:val="00940250"/>
    <w:rsid w:val="00940376"/>
    <w:rsid w:val="00940403"/>
    <w:rsid w:val="0094043B"/>
    <w:rsid w:val="0094044B"/>
    <w:rsid w:val="009404A5"/>
    <w:rsid w:val="009405C6"/>
    <w:rsid w:val="0094077C"/>
    <w:rsid w:val="009408B8"/>
    <w:rsid w:val="00940901"/>
    <w:rsid w:val="00940905"/>
    <w:rsid w:val="009409BB"/>
    <w:rsid w:val="00940A5A"/>
    <w:rsid w:val="00940AC4"/>
    <w:rsid w:val="00940B27"/>
    <w:rsid w:val="00940B3B"/>
    <w:rsid w:val="00940BFB"/>
    <w:rsid w:val="00940C0A"/>
    <w:rsid w:val="00940C19"/>
    <w:rsid w:val="00940C24"/>
    <w:rsid w:val="00940C88"/>
    <w:rsid w:val="00940CF8"/>
    <w:rsid w:val="00940D10"/>
    <w:rsid w:val="00940D1E"/>
    <w:rsid w:val="00940DE9"/>
    <w:rsid w:val="00940E35"/>
    <w:rsid w:val="00940EBA"/>
    <w:rsid w:val="00940ED5"/>
    <w:rsid w:val="00940EF8"/>
    <w:rsid w:val="00940F00"/>
    <w:rsid w:val="00940F43"/>
    <w:rsid w:val="00940F7A"/>
    <w:rsid w:val="00940FD8"/>
    <w:rsid w:val="0094103A"/>
    <w:rsid w:val="00941067"/>
    <w:rsid w:val="009410CA"/>
    <w:rsid w:val="009410EF"/>
    <w:rsid w:val="00941149"/>
    <w:rsid w:val="009411C4"/>
    <w:rsid w:val="009411F9"/>
    <w:rsid w:val="0094123E"/>
    <w:rsid w:val="00941287"/>
    <w:rsid w:val="009412DB"/>
    <w:rsid w:val="00941347"/>
    <w:rsid w:val="009413A2"/>
    <w:rsid w:val="0094143B"/>
    <w:rsid w:val="0094146D"/>
    <w:rsid w:val="0094154B"/>
    <w:rsid w:val="00941567"/>
    <w:rsid w:val="009415A4"/>
    <w:rsid w:val="009415A7"/>
    <w:rsid w:val="009415E6"/>
    <w:rsid w:val="009416A2"/>
    <w:rsid w:val="009416A5"/>
    <w:rsid w:val="009416B8"/>
    <w:rsid w:val="009416E1"/>
    <w:rsid w:val="009416FB"/>
    <w:rsid w:val="00941736"/>
    <w:rsid w:val="009417CC"/>
    <w:rsid w:val="00941804"/>
    <w:rsid w:val="0094180F"/>
    <w:rsid w:val="00941810"/>
    <w:rsid w:val="0094181B"/>
    <w:rsid w:val="00941891"/>
    <w:rsid w:val="00941940"/>
    <w:rsid w:val="00941947"/>
    <w:rsid w:val="009419C7"/>
    <w:rsid w:val="00941AE3"/>
    <w:rsid w:val="00941B14"/>
    <w:rsid w:val="00941B38"/>
    <w:rsid w:val="00941BC0"/>
    <w:rsid w:val="00941BE1"/>
    <w:rsid w:val="00941C29"/>
    <w:rsid w:val="00941C54"/>
    <w:rsid w:val="00941C9B"/>
    <w:rsid w:val="00941CEB"/>
    <w:rsid w:val="00941D3F"/>
    <w:rsid w:val="00941D84"/>
    <w:rsid w:val="00941DA2"/>
    <w:rsid w:val="00941E30"/>
    <w:rsid w:val="00941EAD"/>
    <w:rsid w:val="00941ED3"/>
    <w:rsid w:val="00941F37"/>
    <w:rsid w:val="00941F86"/>
    <w:rsid w:val="00941F92"/>
    <w:rsid w:val="00941FBB"/>
    <w:rsid w:val="00942016"/>
    <w:rsid w:val="0094203E"/>
    <w:rsid w:val="009420B9"/>
    <w:rsid w:val="009420BB"/>
    <w:rsid w:val="009420F6"/>
    <w:rsid w:val="00942140"/>
    <w:rsid w:val="00942151"/>
    <w:rsid w:val="009421B6"/>
    <w:rsid w:val="009421E3"/>
    <w:rsid w:val="0094228B"/>
    <w:rsid w:val="00942293"/>
    <w:rsid w:val="009422C8"/>
    <w:rsid w:val="0094239D"/>
    <w:rsid w:val="009423A1"/>
    <w:rsid w:val="00942428"/>
    <w:rsid w:val="0094242B"/>
    <w:rsid w:val="0094248A"/>
    <w:rsid w:val="009425B2"/>
    <w:rsid w:val="009425E3"/>
    <w:rsid w:val="0094267D"/>
    <w:rsid w:val="009426A0"/>
    <w:rsid w:val="009426AD"/>
    <w:rsid w:val="009426B8"/>
    <w:rsid w:val="009426CB"/>
    <w:rsid w:val="0094272E"/>
    <w:rsid w:val="00942760"/>
    <w:rsid w:val="009427D0"/>
    <w:rsid w:val="00942801"/>
    <w:rsid w:val="00942841"/>
    <w:rsid w:val="009428B4"/>
    <w:rsid w:val="009428D4"/>
    <w:rsid w:val="00942987"/>
    <w:rsid w:val="00942A42"/>
    <w:rsid w:val="00942A44"/>
    <w:rsid w:val="00942A94"/>
    <w:rsid w:val="00942B16"/>
    <w:rsid w:val="00942B65"/>
    <w:rsid w:val="00942BFD"/>
    <w:rsid w:val="00942C86"/>
    <w:rsid w:val="00942CD5"/>
    <w:rsid w:val="00942DC3"/>
    <w:rsid w:val="00942F92"/>
    <w:rsid w:val="00942FFD"/>
    <w:rsid w:val="0094300A"/>
    <w:rsid w:val="009430B5"/>
    <w:rsid w:val="009430BF"/>
    <w:rsid w:val="0094311F"/>
    <w:rsid w:val="00943150"/>
    <w:rsid w:val="009431B4"/>
    <w:rsid w:val="009431BC"/>
    <w:rsid w:val="00943211"/>
    <w:rsid w:val="009432C3"/>
    <w:rsid w:val="0094339C"/>
    <w:rsid w:val="009433B4"/>
    <w:rsid w:val="009433C1"/>
    <w:rsid w:val="0094340B"/>
    <w:rsid w:val="009434C9"/>
    <w:rsid w:val="00943521"/>
    <w:rsid w:val="009435A9"/>
    <w:rsid w:val="009435B2"/>
    <w:rsid w:val="009435C6"/>
    <w:rsid w:val="00943613"/>
    <w:rsid w:val="0094363A"/>
    <w:rsid w:val="00943654"/>
    <w:rsid w:val="009436C6"/>
    <w:rsid w:val="009436FE"/>
    <w:rsid w:val="0094377E"/>
    <w:rsid w:val="009437C9"/>
    <w:rsid w:val="009437F2"/>
    <w:rsid w:val="00943806"/>
    <w:rsid w:val="00943817"/>
    <w:rsid w:val="0094382E"/>
    <w:rsid w:val="009438D2"/>
    <w:rsid w:val="009438E6"/>
    <w:rsid w:val="009438FA"/>
    <w:rsid w:val="009439F8"/>
    <w:rsid w:val="00943A0A"/>
    <w:rsid w:val="00943A39"/>
    <w:rsid w:val="00943A60"/>
    <w:rsid w:val="00943A7C"/>
    <w:rsid w:val="00943AD5"/>
    <w:rsid w:val="00943AFE"/>
    <w:rsid w:val="00943B83"/>
    <w:rsid w:val="00943B89"/>
    <w:rsid w:val="00943BF6"/>
    <w:rsid w:val="00943CF1"/>
    <w:rsid w:val="00943D1D"/>
    <w:rsid w:val="00943D52"/>
    <w:rsid w:val="00943DF9"/>
    <w:rsid w:val="00943E5C"/>
    <w:rsid w:val="00943E87"/>
    <w:rsid w:val="00943FAA"/>
    <w:rsid w:val="00944076"/>
    <w:rsid w:val="009440B6"/>
    <w:rsid w:val="009440D0"/>
    <w:rsid w:val="009440DE"/>
    <w:rsid w:val="0094412F"/>
    <w:rsid w:val="0094413C"/>
    <w:rsid w:val="00944142"/>
    <w:rsid w:val="0094419D"/>
    <w:rsid w:val="009442B1"/>
    <w:rsid w:val="009443FE"/>
    <w:rsid w:val="00944415"/>
    <w:rsid w:val="00944444"/>
    <w:rsid w:val="0094448B"/>
    <w:rsid w:val="00944495"/>
    <w:rsid w:val="009444FD"/>
    <w:rsid w:val="0094452A"/>
    <w:rsid w:val="0094461A"/>
    <w:rsid w:val="00944667"/>
    <w:rsid w:val="00944755"/>
    <w:rsid w:val="0094476C"/>
    <w:rsid w:val="009447AE"/>
    <w:rsid w:val="009448FC"/>
    <w:rsid w:val="00944912"/>
    <w:rsid w:val="00944999"/>
    <w:rsid w:val="009449D5"/>
    <w:rsid w:val="00944A05"/>
    <w:rsid w:val="00944B9F"/>
    <w:rsid w:val="00944BD8"/>
    <w:rsid w:val="00944C05"/>
    <w:rsid w:val="00944C5C"/>
    <w:rsid w:val="00944C73"/>
    <w:rsid w:val="00944CC3"/>
    <w:rsid w:val="00944D45"/>
    <w:rsid w:val="00944D4C"/>
    <w:rsid w:val="00944D7F"/>
    <w:rsid w:val="00944D8D"/>
    <w:rsid w:val="00944E22"/>
    <w:rsid w:val="00944E3D"/>
    <w:rsid w:val="00944E45"/>
    <w:rsid w:val="00944E46"/>
    <w:rsid w:val="00944EA2"/>
    <w:rsid w:val="00944EF9"/>
    <w:rsid w:val="009450CD"/>
    <w:rsid w:val="0094517D"/>
    <w:rsid w:val="009451F5"/>
    <w:rsid w:val="00945200"/>
    <w:rsid w:val="009452DA"/>
    <w:rsid w:val="0094534F"/>
    <w:rsid w:val="00945387"/>
    <w:rsid w:val="0094544D"/>
    <w:rsid w:val="00945471"/>
    <w:rsid w:val="009454B6"/>
    <w:rsid w:val="009454B7"/>
    <w:rsid w:val="009454C8"/>
    <w:rsid w:val="009454E8"/>
    <w:rsid w:val="0094553A"/>
    <w:rsid w:val="00945669"/>
    <w:rsid w:val="009456AA"/>
    <w:rsid w:val="0094572E"/>
    <w:rsid w:val="0094578C"/>
    <w:rsid w:val="009457D8"/>
    <w:rsid w:val="0094580E"/>
    <w:rsid w:val="0094581E"/>
    <w:rsid w:val="00945835"/>
    <w:rsid w:val="0094586B"/>
    <w:rsid w:val="009458EC"/>
    <w:rsid w:val="009458F0"/>
    <w:rsid w:val="0094597E"/>
    <w:rsid w:val="009459B7"/>
    <w:rsid w:val="00945A16"/>
    <w:rsid w:val="00945AA9"/>
    <w:rsid w:val="00945AB9"/>
    <w:rsid w:val="00945B1D"/>
    <w:rsid w:val="00945B80"/>
    <w:rsid w:val="00945BC3"/>
    <w:rsid w:val="00945C1A"/>
    <w:rsid w:val="00945CBE"/>
    <w:rsid w:val="00945CC5"/>
    <w:rsid w:val="00945D02"/>
    <w:rsid w:val="00945E31"/>
    <w:rsid w:val="00945E5F"/>
    <w:rsid w:val="00945EB5"/>
    <w:rsid w:val="00945F69"/>
    <w:rsid w:val="00945FE5"/>
    <w:rsid w:val="00946065"/>
    <w:rsid w:val="0094606A"/>
    <w:rsid w:val="0094609E"/>
    <w:rsid w:val="009460A4"/>
    <w:rsid w:val="009460C9"/>
    <w:rsid w:val="009460D7"/>
    <w:rsid w:val="00946100"/>
    <w:rsid w:val="0094617D"/>
    <w:rsid w:val="009461BE"/>
    <w:rsid w:val="009461C7"/>
    <w:rsid w:val="009461D5"/>
    <w:rsid w:val="009462AC"/>
    <w:rsid w:val="00946312"/>
    <w:rsid w:val="00946351"/>
    <w:rsid w:val="0094637E"/>
    <w:rsid w:val="00946396"/>
    <w:rsid w:val="0094642E"/>
    <w:rsid w:val="00946465"/>
    <w:rsid w:val="009464ED"/>
    <w:rsid w:val="00946526"/>
    <w:rsid w:val="00946588"/>
    <w:rsid w:val="009465C8"/>
    <w:rsid w:val="009465FC"/>
    <w:rsid w:val="00946655"/>
    <w:rsid w:val="009466CB"/>
    <w:rsid w:val="009466F3"/>
    <w:rsid w:val="00946740"/>
    <w:rsid w:val="009467BE"/>
    <w:rsid w:val="00946983"/>
    <w:rsid w:val="0094699A"/>
    <w:rsid w:val="009469BC"/>
    <w:rsid w:val="00946AB1"/>
    <w:rsid w:val="00946B06"/>
    <w:rsid w:val="00946B1B"/>
    <w:rsid w:val="00946C42"/>
    <w:rsid w:val="00946C57"/>
    <w:rsid w:val="00946C5B"/>
    <w:rsid w:val="00946CB0"/>
    <w:rsid w:val="00946CF3"/>
    <w:rsid w:val="00946D11"/>
    <w:rsid w:val="00946E3B"/>
    <w:rsid w:val="00946E85"/>
    <w:rsid w:val="00946F47"/>
    <w:rsid w:val="00946FED"/>
    <w:rsid w:val="00947098"/>
    <w:rsid w:val="009471E9"/>
    <w:rsid w:val="00947237"/>
    <w:rsid w:val="00947319"/>
    <w:rsid w:val="009473C6"/>
    <w:rsid w:val="009473CE"/>
    <w:rsid w:val="00947409"/>
    <w:rsid w:val="009475E5"/>
    <w:rsid w:val="009475F6"/>
    <w:rsid w:val="00947648"/>
    <w:rsid w:val="0094767F"/>
    <w:rsid w:val="00947687"/>
    <w:rsid w:val="009476A8"/>
    <w:rsid w:val="00947707"/>
    <w:rsid w:val="0094784C"/>
    <w:rsid w:val="00947A13"/>
    <w:rsid w:val="00947A27"/>
    <w:rsid w:val="00947A35"/>
    <w:rsid w:val="00947A5C"/>
    <w:rsid w:val="00947AC4"/>
    <w:rsid w:val="00947B91"/>
    <w:rsid w:val="00947BA8"/>
    <w:rsid w:val="00947BC4"/>
    <w:rsid w:val="00947BD0"/>
    <w:rsid w:val="00947BF5"/>
    <w:rsid w:val="00947C0E"/>
    <w:rsid w:val="00947C1C"/>
    <w:rsid w:val="00947CA0"/>
    <w:rsid w:val="00947D0E"/>
    <w:rsid w:val="00947D1B"/>
    <w:rsid w:val="00947D6B"/>
    <w:rsid w:val="00947E2A"/>
    <w:rsid w:val="00947E34"/>
    <w:rsid w:val="00947E93"/>
    <w:rsid w:val="00947F49"/>
    <w:rsid w:val="00947FDA"/>
    <w:rsid w:val="00950012"/>
    <w:rsid w:val="0095004A"/>
    <w:rsid w:val="00950159"/>
    <w:rsid w:val="00950217"/>
    <w:rsid w:val="0095028D"/>
    <w:rsid w:val="009502B9"/>
    <w:rsid w:val="00950333"/>
    <w:rsid w:val="0095036E"/>
    <w:rsid w:val="009503AF"/>
    <w:rsid w:val="009503CF"/>
    <w:rsid w:val="00950445"/>
    <w:rsid w:val="009504CE"/>
    <w:rsid w:val="0095051A"/>
    <w:rsid w:val="0095052E"/>
    <w:rsid w:val="009505BA"/>
    <w:rsid w:val="009505BE"/>
    <w:rsid w:val="0095061B"/>
    <w:rsid w:val="009506BA"/>
    <w:rsid w:val="00950728"/>
    <w:rsid w:val="009507E1"/>
    <w:rsid w:val="009508BA"/>
    <w:rsid w:val="009508FB"/>
    <w:rsid w:val="0095094C"/>
    <w:rsid w:val="00950990"/>
    <w:rsid w:val="0095099B"/>
    <w:rsid w:val="009509C8"/>
    <w:rsid w:val="00950A4B"/>
    <w:rsid w:val="00950A50"/>
    <w:rsid w:val="00950A60"/>
    <w:rsid w:val="00950A6F"/>
    <w:rsid w:val="00950AD8"/>
    <w:rsid w:val="00950B4D"/>
    <w:rsid w:val="00950B62"/>
    <w:rsid w:val="00950BA1"/>
    <w:rsid w:val="00950BF9"/>
    <w:rsid w:val="00950D2F"/>
    <w:rsid w:val="00950DDB"/>
    <w:rsid w:val="00950DE6"/>
    <w:rsid w:val="00950E4C"/>
    <w:rsid w:val="00950EBD"/>
    <w:rsid w:val="00950EDD"/>
    <w:rsid w:val="00950F39"/>
    <w:rsid w:val="00950F44"/>
    <w:rsid w:val="00950FC2"/>
    <w:rsid w:val="00951014"/>
    <w:rsid w:val="0095104B"/>
    <w:rsid w:val="009510CA"/>
    <w:rsid w:val="009510DE"/>
    <w:rsid w:val="00951130"/>
    <w:rsid w:val="0095113B"/>
    <w:rsid w:val="00951158"/>
    <w:rsid w:val="0095117B"/>
    <w:rsid w:val="009511F8"/>
    <w:rsid w:val="00951211"/>
    <w:rsid w:val="0095127A"/>
    <w:rsid w:val="00951315"/>
    <w:rsid w:val="009513B1"/>
    <w:rsid w:val="0095143C"/>
    <w:rsid w:val="009514AC"/>
    <w:rsid w:val="009514C8"/>
    <w:rsid w:val="009514F8"/>
    <w:rsid w:val="00951563"/>
    <w:rsid w:val="00951636"/>
    <w:rsid w:val="00951690"/>
    <w:rsid w:val="0095174E"/>
    <w:rsid w:val="009517CC"/>
    <w:rsid w:val="009517E9"/>
    <w:rsid w:val="009517F7"/>
    <w:rsid w:val="0095180F"/>
    <w:rsid w:val="00951899"/>
    <w:rsid w:val="009518CF"/>
    <w:rsid w:val="009518D5"/>
    <w:rsid w:val="009518F1"/>
    <w:rsid w:val="0095190C"/>
    <w:rsid w:val="00951931"/>
    <w:rsid w:val="009519C1"/>
    <w:rsid w:val="009519C5"/>
    <w:rsid w:val="009519EC"/>
    <w:rsid w:val="00951B1E"/>
    <w:rsid w:val="00951B44"/>
    <w:rsid w:val="00951C42"/>
    <w:rsid w:val="00951C4C"/>
    <w:rsid w:val="00951CBD"/>
    <w:rsid w:val="00951CD0"/>
    <w:rsid w:val="00951CE6"/>
    <w:rsid w:val="00951CFB"/>
    <w:rsid w:val="00951D95"/>
    <w:rsid w:val="00951D9C"/>
    <w:rsid w:val="00951DF3"/>
    <w:rsid w:val="00951E61"/>
    <w:rsid w:val="00951EAB"/>
    <w:rsid w:val="00951EC3"/>
    <w:rsid w:val="00951EF2"/>
    <w:rsid w:val="00951F39"/>
    <w:rsid w:val="00951F5A"/>
    <w:rsid w:val="00952018"/>
    <w:rsid w:val="00952064"/>
    <w:rsid w:val="0095207B"/>
    <w:rsid w:val="0095215B"/>
    <w:rsid w:val="00952173"/>
    <w:rsid w:val="00952207"/>
    <w:rsid w:val="009522BD"/>
    <w:rsid w:val="009522EE"/>
    <w:rsid w:val="009523E6"/>
    <w:rsid w:val="00952463"/>
    <w:rsid w:val="009524BB"/>
    <w:rsid w:val="009524E8"/>
    <w:rsid w:val="00952524"/>
    <w:rsid w:val="0095255D"/>
    <w:rsid w:val="00952561"/>
    <w:rsid w:val="0095259B"/>
    <w:rsid w:val="009525A4"/>
    <w:rsid w:val="009525D1"/>
    <w:rsid w:val="00952687"/>
    <w:rsid w:val="00952740"/>
    <w:rsid w:val="0095280A"/>
    <w:rsid w:val="0095291B"/>
    <w:rsid w:val="009529B7"/>
    <w:rsid w:val="009529CD"/>
    <w:rsid w:val="009529F1"/>
    <w:rsid w:val="00952A34"/>
    <w:rsid w:val="00952B70"/>
    <w:rsid w:val="00952B99"/>
    <w:rsid w:val="00952BCE"/>
    <w:rsid w:val="00952C49"/>
    <w:rsid w:val="00952C4E"/>
    <w:rsid w:val="00952C63"/>
    <w:rsid w:val="00952C69"/>
    <w:rsid w:val="00952CDE"/>
    <w:rsid w:val="00952CFD"/>
    <w:rsid w:val="00952D1A"/>
    <w:rsid w:val="00952D6C"/>
    <w:rsid w:val="00952E4D"/>
    <w:rsid w:val="00952E6F"/>
    <w:rsid w:val="00952ECF"/>
    <w:rsid w:val="009530BF"/>
    <w:rsid w:val="0095311A"/>
    <w:rsid w:val="009531FF"/>
    <w:rsid w:val="00953355"/>
    <w:rsid w:val="009533D7"/>
    <w:rsid w:val="00953450"/>
    <w:rsid w:val="00953493"/>
    <w:rsid w:val="009534AD"/>
    <w:rsid w:val="009534E0"/>
    <w:rsid w:val="009534F6"/>
    <w:rsid w:val="00953599"/>
    <w:rsid w:val="009535A5"/>
    <w:rsid w:val="009535F0"/>
    <w:rsid w:val="0095365F"/>
    <w:rsid w:val="00953676"/>
    <w:rsid w:val="009536EE"/>
    <w:rsid w:val="0095370E"/>
    <w:rsid w:val="00953773"/>
    <w:rsid w:val="009537A3"/>
    <w:rsid w:val="009537CF"/>
    <w:rsid w:val="00953809"/>
    <w:rsid w:val="0095385C"/>
    <w:rsid w:val="0095388D"/>
    <w:rsid w:val="00953948"/>
    <w:rsid w:val="00953975"/>
    <w:rsid w:val="0095397F"/>
    <w:rsid w:val="00953A0A"/>
    <w:rsid w:val="00953A4B"/>
    <w:rsid w:val="00953AB9"/>
    <w:rsid w:val="00953AD8"/>
    <w:rsid w:val="00953B55"/>
    <w:rsid w:val="00953B61"/>
    <w:rsid w:val="00953B72"/>
    <w:rsid w:val="00953C20"/>
    <w:rsid w:val="00953C59"/>
    <w:rsid w:val="00953C6C"/>
    <w:rsid w:val="00953CC9"/>
    <w:rsid w:val="00953CE2"/>
    <w:rsid w:val="00953D77"/>
    <w:rsid w:val="00953DF9"/>
    <w:rsid w:val="00953E00"/>
    <w:rsid w:val="00953EE0"/>
    <w:rsid w:val="00953F5E"/>
    <w:rsid w:val="00953FC5"/>
    <w:rsid w:val="00953FDE"/>
    <w:rsid w:val="0095414D"/>
    <w:rsid w:val="00954192"/>
    <w:rsid w:val="00954261"/>
    <w:rsid w:val="0095429B"/>
    <w:rsid w:val="00954347"/>
    <w:rsid w:val="00954362"/>
    <w:rsid w:val="0095441D"/>
    <w:rsid w:val="009544B7"/>
    <w:rsid w:val="009544C0"/>
    <w:rsid w:val="00954515"/>
    <w:rsid w:val="00954627"/>
    <w:rsid w:val="00954664"/>
    <w:rsid w:val="009546A0"/>
    <w:rsid w:val="009546A1"/>
    <w:rsid w:val="00954729"/>
    <w:rsid w:val="00954766"/>
    <w:rsid w:val="0095476B"/>
    <w:rsid w:val="00954773"/>
    <w:rsid w:val="0095478F"/>
    <w:rsid w:val="0095479F"/>
    <w:rsid w:val="00954974"/>
    <w:rsid w:val="009549BF"/>
    <w:rsid w:val="009549CD"/>
    <w:rsid w:val="009549E8"/>
    <w:rsid w:val="00954AA8"/>
    <w:rsid w:val="00954ABC"/>
    <w:rsid w:val="00954B3B"/>
    <w:rsid w:val="00954B71"/>
    <w:rsid w:val="00954B96"/>
    <w:rsid w:val="00954BD4"/>
    <w:rsid w:val="00954C2F"/>
    <w:rsid w:val="00954C45"/>
    <w:rsid w:val="00954DE1"/>
    <w:rsid w:val="00954EA4"/>
    <w:rsid w:val="00954ED7"/>
    <w:rsid w:val="00954F0E"/>
    <w:rsid w:val="00954F57"/>
    <w:rsid w:val="00954F9E"/>
    <w:rsid w:val="00955009"/>
    <w:rsid w:val="0095503F"/>
    <w:rsid w:val="0095510A"/>
    <w:rsid w:val="0095510F"/>
    <w:rsid w:val="00955175"/>
    <w:rsid w:val="00955177"/>
    <w:rsid w:val="009551E4"/>
    <w:rsid w:val="00955201"/>
    <w:rsid w:val="00955202"/>
    <w:rsid w:val="009552B0"/>
    <w:rsid w:val="00955378"/>
    <w:rsid w:val="0095544B"/>
    <w:rsid w:val="0095545D"/>
    <w:rsid w:val="009554B3"/>
    <w:rsid w:val="00955543"/>
    <w:rsid w:val="00955572"/>
    <w:rsid w:val="009555C4"/>
    <w:rsid w:val="0095570A"/>
    <w:rsid w:val="00955775"/>
    <w:rsid w:val="00955811"/>
    <w:rsid w:val="00955838"/>
    <w:rsid w:val="009558F0"/>
    <w:rsid w:val="009558F6"/>
    <w:rsid w:val="0095593B"/>
    <w:rsid w:val="00955997"/>
    <w:rsid w:val="009559AE"/>
    <w:rsid w:val="00955A7A"/>
    <w:rsid w:val="00955A8A"/>
    <w:rsid w:val="00955AC3"/>
    <w:rsid w:val="00955B0C"/>
    <w:rsid w:val="00955B2B"/>
    <w:rsid w:val="00955C29"/>
    <w:rsid w:val="00955C37"/>
    <w:rsid w:val="00955CBB"/>
    <w:rsid w:val="00955CBF"/>
    <w:rsid w:val="00955D08"/>
    <w:rsid w:val="00955D1C"/>
    <w:rsid w:val="00955DA9"/>
    <w:rsid w:val="00955DB3"/>
    <w:rsid w:val="00955DD7"/>
    <w:rsid w:val="00955DDB"/>
    <w:rsid w:val="00955E5F"/>
    <w:rsid w:val="00955E61"/>
    <w:rsid w:val="00955EAA"/>
    <w:rsid w:val="00955ECA"/>
    <w:rsid w:val="00955F7F"/>
    <w:rsid w:val="00955FF7"/>
    <w:rsid w:val="0095603C"/>
    <w:rsid w:val="00956089"/>
    <w:rsid w:val="00956209"/>
    <w:rsid w:val="0095622F"/>
    <w:rsid w:val="009562AA"/>
    <w:rsid w:val="009562FF"/>
    <w:rsid w:val="00956340"/>
    <w:rsid w:val="00956371"/>
    <w:rsid w:val="009563D4"/>
    <w:rsid w:val="009563EC"/>
    <w:rsid w:val="009563F3"/>
    <w:rsid w:val="00956429"/>
    <w:rsid w:val="0095647E"/>
    <w:rsid w:val="00956559"/>
    <w:rsid w:val="009565AA"/>
    <w:rsid w:val="009565BD"/>
    <w:rsid w:val="009565DA"/>
    <w:rsid w:val="009566E0"/>
    <w:rsid w:val="00956764"/>
    <w:rsid w:val="009567A2"/>
    <w:rsid w:val="00956808"/>
    <w:rsid w:val="009568B9"/>
    <w:rsid w:val="00956941"/>
    <w:rsid w:val="009569D2"/>
    <w:rsid w:val="00956A2B"/>
    <w:rsid w:val="00956A65"/>
    <w:rsid w:val="00956A78"/>
    <w:rsid w:val="00956ADE"/>
    <w:rsid w:val="00956AE7"/>
    <w:rsid w:val="00956B79"/>
    <w:rsid w:val="00956B95"/>
    <w:rsid w:val="00956BF4"/>
    <w:rsid w:val="00956CD9"/>
    <w:rsid w:val="00956D0F"/>
    <w:rsid w:val="00956D8B"/>
    <w:rsid w:val="00956E99"/>
    <w:rsid w:val="00956EE8"/>
    <w:rsid w:val="00956F1E"/>
    <w:rsid w:val="00956F35"/>
    <w:rsid w:val="00956F39"/>
    <w:rsid w:val="00957046"/>
    <w:rsid w:val="0095705B"/>
    <w:rsid w:val="00957117"/>
    <w:rsid w:val="00957169"/>
    <w:rsid w:val="009571A4"/>
    <w:rsid w:val="009571AE"/>
    <w:rsid w:val="00957255"/>
    <w:rsid w:val="009572F8"/>
    <w:rsid w:val="0095735F"/>
    <w:rsid w:val="0095740E"/>
    <w:rsid w:val="00957472"/>
    <w:rsid w:val="009574A8"/>
    <w:rsid w:val="00957551"/>
    <w:rsid w:val="00957562"/>
    <w:rsid w:val="00957588"/>
    <w:rsid w:val="009575A8"/>
    <w:rsid w:val="009575E4"/>
    <w:rsid w:val="00957631"/>
    <w:rsid w:val="009576A0"/>
    <w:rsid w:val="00957706"/>
    <w:rsid w:val="009578A0"/>
    <w:rsid w:val="009578AA"/>
    <w:rsid w:val="009578E7"/>
    <w:rsid w:val="0095791E"/>
    <w:rsid w:val="00957925"/>
    <w:rsid w:val="0095792D"/>
    <w:rsid w:val="00957934"/>
    <w:rsid w:val="00957A8B"/>
    <w:rsid w:val="00957AA4"/>
    <w:rsid w:val="00957AB0"/>
    <w:rsid w:val="00957AE1"/>
    <w:rsid w:val="00957B96"/>
    <w:rsid w:val="00957BBB"/>
    <w:rsid w:val="00957BE3"/>
    <w:rsid w:val="00957C07"/>
    <w:rsid w:val="00957C5E"/>
    <w:rsid w:val="00957CAF"/>
    <w:rsid w:val="00957D79"/>
    <w:rsid w:val="00957DB0"/>
    <w:rsid w:val="00957E0A"/>
    <w:rsid w:val="00957E0D"/>
    <w:rsid w:val="00957E54"/>
    <w:rsid w:val="00957E98"/>
    <w:rsid w:val="00957EBF"/>
    <w:rsid w:val="00957F09"/>
    <w:rsid w:val="00960052"/>
    <w:rsid w:val="009600C9"/>
    <w:rsid w:val="0096013F"/>
    <w:rsid w:val="0096022D"/>
    <w:rsid w:val="0096032A"/>
    <w:rsid w:val="00960338"/>
    <w:rsid w:val="00960357"/>
    <w:rsid w:val="009603B6"/>
    <w:rsid w:val="00960408"/>
    <w:rsid w:val="00960412"/>
    <w:rsid w:val="00960426"/>
    <w:rsid w:val="00960431"/>
    <w:rsid w:val="00960459"/>
    <w:rsid w:val="00960474"/>
    <w:rsid w:val="00960477"/>
    <w:rsid w:val="009604F3"/>
    <w:rsid w:val="0096050A"/>
    <w:rsid w:val="009605A2"/>
    <w:rsid w:val="009605A4"/>
    <w:rsid w:val="009605E1"/>
    <w:rsid w:val="0096067E"/>
    <w:rsid w:val="009606A6"/>
    <w:rsid w:val="00960751"/>
    <w:rsid w:val="00960796"/>
    <w:rsid w:val="0096079C"/>
    <w:rsid w:val="009607A8"/>
    <w:rsid w:val="00960889"/>
    <w:rsid w:val="00960980"/>
    <w:rsid w:val="009609C0"/>
    <w:rsid w:val="009609CE"/>
    <w:rsid w:val="00960A7C"/>
    <w:rsid w:val="00960A94"/>
    <w:rsid w:val="00960ABF"/>
    <w:rsid w:val="00960AD8"/>
    <w:rsid w:val="00960B1A"/>
    <w:rsid w:val="00960BA2"/>
    <w:rsid w:val="00960C26"/>
    <w:rsid w:val="00960CD6"/>
    <w:rsid w:val="00960CF2"/>
    <w:rsid w:val="00960D8A"/>
    <w:rsid w:val="00960D92"/>
    <w:rsid w:val="00960F1F"/>
    <w:rsid w:val="00960F85"/>
    <w:rsid w:val="00960FC0"/>
    <w:rsid w:val="0096104C"/>
    <w:rsid w:val="00961071"/>
    <w:rsid w:val="009610A2"/>
    <w:rsid w:val="00961187"/>
    <w:rsid w:val="009611FE"/>
    <w:rsid w:val="009612FD"/>
    <w:rsid w:val="0096130E"/>
    <w:rsid w:val="00961318"/>
    <w:rsid w:val="0096132B"/>
    <w:rsid w:val="009613A5"/>
    <w:rsid w:val="0096142C"/>
    <w:rsid w:val="0096149A"/>
    <w:rsid w:val="009614F9"/>
    <w:rsid w:val="00961500"/>
    <w:rsid w:val="00961501"/>
    <w:rsid w:val="009615D4"/>
    <w:rsid w:val="009615FB"/>
    <w:rsid w:val="0096162C"/>
    <w:rsid w:val="009616D0"/>
    <w:rsid w:val="00961700"/>
    <w:rsid w:val="00961713"/>
    <w:rsid w:val="00961715"/>
    <w:rsid w:val="0096178B"/>
    <w:rsid w:val="009617E1"/>
    <w:rsid w:val="0096194F"/>
    <w:rsid w:val="0096198B"/>
    <w:rsid w:val="009619D7"/>
    <w:rsid w:val="00961A49"/>
    <w:rsid w:val="00961B3C"/>
    <w:rsid w:val="00961B89"/>
    <w:rsid w:val="00961CF7"/>
    <w:rsid w:val="00961D4C"/>
    <w:rsid w:val="00961D54"/>
    <w:rsid w:val="00961D5E"/>
    <w:rsid w:val="00961DB2"/>
    <w:rsid w:val="00961DCF"/>
    <w:rsid w:val="00961E62"/>
    <w:rsid w:val="00961EA5"/>
    <w:rsid w:val="00961EBF"/>
    <w:rsid w:val="00961F73"/>
    <w:rsid w:val="00961FB5"/>
    <w:rsid w:val="009620C2"/>
    <w:rsid w:val="00962101"/>
    <w:rsid w:val="0096212F"/>
    <w:rsid w:val="0096219B"/>
    <w:rsid w:val="009621DE"/>
    <w:rsid w:val="00962235"/>
    <w:rsid w:val="0096224F"/>
    <w:rsid w:val="00962289"/>
    <w:rsid w:val="00962356"/>
    <w:rsid w:val="0096237B"/>
    <w:rsid w:val="0096244E"/>
    <w:rsid w:val="00962454"/>
    <w:rsid w:val="0096245C"/>
    <w:rsid w:val="00962474"/>
    <w:rsid w:val="0096251C"/>
    <w:rsid w:val="009625FB"/>
    <w:rsid w:val="0096271A"/>
    <w:rsid w:val="00962786"/>
    <w:rsid w:val="009627C1"/>
    <w:rsid w:val="009628DC"/>
    <w:rsid w:val="00962905"/>
    <w:rsid w:val="0096299A"/>
    <w:rsid w:val="00962A84"/>
    <w:rsid w:val="00962AE8"/>
    <w:rsid w:val="00962B53"/>
    <w:rsid w:val="00962B6B"/>
    <w:rsid w:val="00962BDC"/>
    <w:rsid w:val="00962BF2"/>
    <w:rsid w:val="00962C91"/>
    <w:rsid w:val="00962D93"/>
    <w:rsid w:val="00962DDA"/>
    <w:rsid w:val="00962E0E"/>
    <w:rsid w:val="00962F6F"/>
    <w:rsid w:val="00963021"/>
    <w:rsid w:val="009631B9"/>
    <w:rsid w:val="009633D9"/>
    <w:rsid w:val="009634BA"/>
    <w:rsid w:val="00963578"/>
    <w:rsid w:val="0096358D"/>
    <w:rsid w:val="0096359F"/>
    <w:rsid w:val="0096363C"/>
    <w:rsid w:val="0096364C"/>
    <w:rsid w:val="00963683"/>
    <w:rsid w:val="0096368E"/>
    <w:rsid w:val="009636A4"/>
    <w:rsid w:val="0096374A"/>
    <w:rsid w:val="009637C8"/>
    <w:rsid w:val="00963892"/>
    <w:rsid w:val="0096391D"/>
    <w:rsid w:val="0096398F"/>
    <w:rsid w:val="00963997"/>
    <w:rsid w:val="00963A2B"/>
    <w:rsid w:val="00963AE7"/>
    <w:rsid w:val="00963B06"/>
    <w:rsid w:val="00963B1D"/>
    <w:rsid w:val="00963BC1"/>
    <w:rsid w:val="00963BC3"/>
    <w:rsid w:val="00963C7D"/>
    <w:rsid w:val="00963D1B"/>
    <w:rsid w:val="00963E5D"/>
    <w:rsid w:val="0096416B"/>
    <w:rsid w:val="009641C7"/>
    <w:rsid w:val="009641C8"/>
    <w:rsid w:val="009641FE"/>
    <w:rsid w:val="00964217"/>
    <w:rsid w:val="009642BE"/>
    <w:rsid w:val="009643E0"/>
    <w:rsid w:val="009644BA"/>
    <w:rsid w:val="009646D5"/>
    <w:rsid w:val="009646E2"/>
    <w:rsid w:val="00964723"/>
    <w:rsid w:val="0096472E"/>
    <w:rsid w:val="0096473F"/>
    <w:rsid w:val="0096478A"/>
    <w:rsid w:val="009647AF"/>
    <w:rsid w:val="00964810"/>
    <w:rsid w:val="00964819"/>
    <w:rsid w:val="00964947"/>
    <w:rsid w:val="0096494D"/>
    <w:rsid w:val="00964999"/>
    <w:rsid w:val="00964A1F"/>
    <w:rsid w:val="00964A3A"/>
    <w:rsid w:val="00964A55"/>
    <w:rsid w:val="00964A88"/>
    <w:rsid w:val="00964B45"/>
    <w:rsid w:val="00964B6E"/>
    <w:rsid w:val="00964B9C"/>
    <w:rsid w:val="00964C7E"/>
    <w:rsid w:val="00964CBD"/>
    <w:rsid w:val="00964D24"/>
    <w:rsid w:val="00964DB5"/>
    <w:rsid w:val="00964EF1"/>
    <w:rsid w:val="0096505A"/>
    <w:rsid w:val="00965067"/>
    <w:rsid w:val="009651BF"/>
    <w:rsid w:val="009651EE"/>
    <w:rsid w:val="0096523B"/>
    <w:rsid w:val="009653B2"/>
    <w:rsid w:val="009653F0"/>
    <w:rsid w:val="0096540A"/>
    <w:rsid w:val="0096545F"/>
    <w:rsid w:val="00965499"/>
    <w:rsid w:val="0096553A"/>
    <w:rsid w:val="00965573"/>
    <w:rsid w:val="00965606"/>
    <w:rsid w:val="00965617"/>
    <w:rsid w:val="00965655"/>
    <w:rsid w:val="0096588E"/>
    <w:rsid w:val="0096591E"/>
    <w:rsid w:val="0096596D"/>
    <w:rsid w:val="009659BB"/>
    <w:rsid w:val="00965A0B"/>
    <w:rsid w:val="00965A12"/>
    <w:rsid w:val="00965ADE"/>
    <w:rsid w:val="00965B15"/>
    <w:rsid w:val="00965C0E"/>
    <w:rsid w:val="00965D23"/>
    <w:rsid w:val="00965D6E"/>
    <w:rsid w:val="00965E60"/>
    <w:rsid w:val="0096609B"/>
    <w:rsid w:val="009660B5"/>
    <w:rsid w:val="009660CA"/>
    <w:rsid w:val="009662C1"/>
    <w:rsid w:val="009662F6"/>
    <w:rsid w:val="00966347"/>
    <w:rsid w:val="009663EB"/>
    <w:rsid w:val="009664A5"/>
    <w:rsid w:val="00966545"/>
    <w:rsid w:val="00966577"/>
    <w:rsid w:val="00966580"/>
    <w:rsid w:val="009665A0"/>
    <w:rsid w:val="009665A7"/>
    <w:rsid w:val="009665E8"/>
    <w:rsid w:val="0096660A"/>
    <w:rsid w:val="0096668A"/>
    <w:rsid w:val="0096669A"/>
    <w:rsid w:val="0096674E"/>
    <w:rsid w:val="0096677B"/>
    <w:rsid w:val="0096679A"/>
    <w:rsid w:val="009667AB"/>
    <w:rsid w:val="009667C9"/>
    <w:rsid w:val="009667DC"/>
    <w:rsid w:val="00966868"/>
    <w:rsid w:val="009668A8"/>
    <w:rsid w:val="0096695F"/>
    <w:rsid w:val="00966A80"/>
    <w:rsid w:val="00966AE6"/>
    <w:rsid w:val="00966BFF"/>
    <w:rsid w:val="00966C21"/>
    <w:rsid w:val="00966C82"/>
    <w:rsid w:val="00966D09"/>
    <w:rsid w:val="00966D8E"/>
    <w:rsid w:val="00966DBC"/>
    <w:rsid w:val="00966E49"/>
    <w:rsid w:val="00966E6B"/>
    <w:rsid w:val="00966ECC"/>
    <w:rsid w:val="00966EFB"/>
    <w:rsid w:val="00966F30"/>
    <w:rsid w:val="00967001"/>
    <w:rsid w:val="00967009"/>
    <w:rsid w:val="009670F1"/>
    <w:rsid w:val="009670FA"/>
    <w:rsid w:val="009671A7"/>
    <w:rsid w:val="00967205"/>
    <w:rsid w:val="0096726D"/>
    <w:rsid w:val="00967272"/>
    <w:rsid w:val="009672C0"/>
    <w:rsid w:val="009672EA"/>
    <w:rsid w:val="0096737C"/>
    <w:rsid w:val="009673E6"/>
    <w:rsid w:val="009673F1"/>
    <w:rsid w:val="00967515"/>
    <w:rsid w:val="00967556"/>
    <w:rsid w:val="009675C9"/>
    <w:rsid w:val="009676A3"/>
    <w:rsid w:val="0096772E"/>
    <w:rsid w:val="009677C2"/>
    <w:rsid w:val="009677C4"/>
    <w:rsid w:val="0096782F"/>
    <w:rsid w:val="00967852"/>
    <w:rsid w:val="0096785E"/>
    <w:rsid w:val="009678AC"/>
    <w:rsid w:val="00967951"/>
    <w:rsid w:val="009679F7"/>
    <w:rsid w:val="00967A64"/>
    <w:rsid w:val="00967AF0"/>
    <w:rsid w:val="00967AF4"/>
    <w:rsid w:val="00967AF7"/>
    <w:rsid w:val="00967C29"/>
    <w:rsid w:val="00967CAC"/>
    <w:rsid w:val="00967D07"/>
    <w:rsid w:val="00967DD6"/>
    <w:rsid w:val="00967E1D"/>
    <w:rsid w:val="00967E21"/>
    <w:rsid w:val="00967EA7"/>
    <w:rsid w:val="00967EBF"/>
    <w:rsid w:val="00967EEC"/>
    <w:rsid w:val="00967FEE"/>
    <w:rsid w:val="00967FF7"/>
    <w:rsid w:val="00970045"/>
    <w:rsid w:val="00970094"/>
    <w:rsid w:val="009700F2"/>
    <w:rsid w:val="00970188"/>
    <w:rsid w:val="00970219"/>
    <w:rsid w:val="0097028B"/>
    <w:rsid w:val="0097031E"/>
    <w:rsid w:val="009703CE"/>
    <w:rsid w:val="009703DF"/>
    <w:rsid w:val="00970424"/>
    <w:rsid w:val="00970444"/>
    <w:rsid w:val="0097055C"/>
    <w:rsid w:val="00970594"/>
    <w:rsid w:val="00970599"/>
    <w:rsid w:val="009705D8"/>
    <w:rsid w:val="0097068C"/>
    <w:rsid w:val="00970771"/>
    <w:rsid w:val="009707AD"/>
    <w:rsid w:val="00970840"/>
    <w:rsid w:val="00970966"/>
    <w:rsid w:val="0097096F"/>
    <w:rsid w:val="00970996"/>
    <w:rsid w:val="009709D9"/>
    <w:rsid w:val="00970A20"/>
    <w:rsid w:val="00970AB4"/>
    <w:rsid w:val="00970AE4"/>
    <w:rsid w:val="00970B7D"/>
    <w:rsid w:val="00970C56"/>
    <w:rsid w:val="00970DEB"/>
    <w:rsid w:val="00970E7C"/>
    <w:rsid w:val="00970EA4"/>
    <w:rsid w:val="00970ED2"/>
    <w:rsid w:val="00970FD5"/>
    <w:rsid w:val="00970FD6"/>
    <w:rsid w:val="00970FDE"/>
    <w:rsid w:val="00971005"/>
    <w:rsid w:val="00971031"/>
    <w:rsid w:val="009710AC"/>
    <w:rsid w:val="009710B4"/>
    <w:rsid w:val="00971117"/>
    <w:rsid w:val="00971126"/>
    <w:rsid w:val="009711D3"/>
    <w:rsid w:val="009711D5"/>
    <w:rsid w:val="009711EA"/>
    <w:rsid w:val="00971234"/>
    <w:rsid w:val="00971292"/>
    <w:rsid w:val="0097134C"/>
    <w:rsid w:val="0097136D"/>
    <w:rsid w:val="009713C1"/>
    <w:rsid w:val="00971401"/>
    <w:rsid w:val="00971405"/>
    <w:rsid w:val="0097145C"/>
    <w:rsid w:val="0097146F"/>
    <w:rsid w:val="00971507"/>
    <w:rsid w:val="00971591"/>
    <w:rsid w:val="009715C1"/>
    <w:rsid w:val="0097163D"/>
    <w:rsid w:val="00971695"/>
    <w:rsid w:val="009716D5"/>
    <w:rsid w:val="009717CF"/>
    <w:rsid w:val="0097183E"/>
    <w:rsid w:val="009718F0"/>
    <w:rsid w:val="009719B0"/>
    <w:rsid w:val="00971A30"/>
    <w:rsid w:val="00971A9A"/>
    <w:rsid w:val="00971AA2"/>
    <w:rsid w:val="00971AF3"/>
    <w:rsid w:val="00971B28"/>
    <w:rsid w:val="00971B59"/>
    <w:rsid w:val="00971D0C"/>
    <w:rsid w:val="00971DF0"/>
    <w:rsid w:val="00971E39"/>
    <w:rsid w:val="00971E96"/>
    <w:rsid w:val="00971F24"/>
    <w:rsid w:val="00971F30"/>
    <w:rsid w:val="00971F44"/>
    <w:rsid w:val="00971F6E"/>
    <w:rsid w:val="00971FC8"/>
    <w:rsid w:val="00972063"/>
    <w:rsid w:val="00972129"/>
    <w:rsid w:val="0097214A"/>
    <w:rsid w:val="009721A4"/>
    <w:rsid w:val="009721F8"/>
    <w:rsid w:val="0097222E"/>
    <w:rsid w:val="009722CA"/>
    <w:rsid w:val="0097231C"/>
    <w:rsid w:val="0097241F"/>
    <w:rsid w:val="00972440"/>
    <w:rsid w:val="00972472"/>
    <w:rsid w:val="00972497"/>
    <w:rsid w:val="00972549"/>
    <w:rsid w:val="0097255B"/>
    <w:rsid w:val="0097269B"/>
    <w:rsid w:val="00972767"/>
    <w:rsid w:val="009727E8"/>
    <w:rsid w:val="0097280E"/>
    <w:rsid w:val="00972943"/>
    <w:rsid w:val="0097298C"/>
    <w:rsid w:val="00972A06"/>
    <w:rsid w:val="00972A35"/>
    <w:rsid w:val="00972B3D"/>
    <w:rsid w:val="00972B51"/>
    <w:rsid w:val="00972B98"/>
    <w:rsid w:val="00972BBF"/>
    <w:rsid w:val="00972C3F"/>
    <w:rsid w:val="00972CEF"/>
    <w:rsid w:val="00972CF1"/>
    <w:rsid w:val="00972D82"/>
    <w:rsid w:val="00972DC0"/>
    <w:rsid w:val="00972DC7"/>
    <w:rsid w:val="00972E75"/>
    <w:rsid w:val="00972E9D"/>
    <w:rsid w:val="00972F31"/>
    <w:rsid w:val="00972F92"/>
    <w:rsid w:val="00972F93"/>
    <w:rsid w:val="00972FAE"/>
    <w:rsid w:val="00972FF8"/>
    <w:rsid w:val="009730C4"/>
    <w:rsid w:val="00973104"/>
    <w:rsid w:val="00973125"/>
    <w:rsid w:val="00973129"/>
    <w:rsid w:val="00973141"/>
    <w:rsid w:val="00973162"/>
    <w:rsid w:val="0097329C"/>
    <w:rsid w:val="00973358"/>
    <w:rsid w:val="0097348F"/>
    <w:rsid w:val="009734EB"/>
    <w:rsid w:val="00973589"/>
    <w:rsid w:val="00973592"/>
    <w:rsid w:val="00973621"/>
    <w:rsid w:val="00973658"/>
    <w:rsid w:val="009736AE"/>
    <w:rsid w:val="0097370F"/>
    <w:rsid w:val="0097371B"/>
    <w:rsid w:val="00973785"/>
    <w:rsid w:val="00973856"/>
    <w:rsid w:val="00973943"/>
    <w:rsid w:val="009739B8"/>
    <w:rsid w:val="009739DA"/>
    <w:rsid w:val="00973A25"/>
    <w:rsid w:val="00973AC6"/>
    <w:rsid w:val="00973AFC"/>
    <w:rsid w:val="00973B21"/>
    <w:rsid w:val="00973CA4"/>
    <w:rsid w:val="00973D31"/>
    <w:rsid w:val="00973D48"/>
    <w:rsid w:val="00973DD4"/>
    <w:rsid w:val="00973E31"/>
    <w:rsid w:val="00973E92"/>
    <w:rsid w:val="00973EC9"/>
    <w:rsid w:val="00974106"/>
    <w:rsid w:val="0097414C"/>
    <w:rsid w:val="009741FD"/>
    <w:rsid w:val="00974207"/>
    <w:rsid w:val="0097425C"/>
    <w:rsid w:val="00974313"/>
    <w:rsid w:val="009744E1"/>
    <w:rsid w:val="00974506"/>
    <w:rsid w:val="00974522"/>
    <w:rsid w:val="00974677"/>
    <w:rsid w:val="0097468F"/>
    <w:rsid w:val="00974692"/>
    <w:rsid w:val="009746E6"/>
    <w:rsid w:val="009746F9"/>
    <w:rsid w:val="009746FA"/>
    <w:rsid w:val="00974755"/>
    <w:rsid w:val="00974771"/>
    <w:rsid w:val="00974793"/>
    <w:rsid w:val="009747D4"/>
    <w:rsid w:val="0097482A"/>
    <w:rsid w:val="0097483C"/>
    <w:rsid w:val="00974845"/>
    <w:rsid w:val="00974883"/>
    <w:rsid w:val="00974897"/>
    <w:rsid w:val="00974902"/>
    <w:rsid w:val="0097490E"/>
    <w:rsid w:val="0097494E"/>
    <w:rsid w:val="0097499C"/>
    <w:rsid w:val="009749A9"/>
    <w:rsid w:val="00974A27"/>
    <w:rsid w:val="00974A91"/>
    <w:rsid w:val="00974A97"/>
    <w:rsid w:val="00974AA0"/>
    <w:rsid w:val="00974B6B"/>
    <w:rsid w:val="00974B6E"/>
    <w:rsid w:val="00974BA1"/>
    <w:rsid w:val="00974BF6"/>
    <w:rsid w:val="00974C05"/>
    <w:rsid w:val="00974C94"/>
    <w:rsid w:val="00974CF3"/>
    <w:rsid w:val="00974D29"/>
    <w:rsid w:val="00974D81"/>
    <w:rsid w:val="00974D87"/>
    <w:rsid w:val="00974DB1"/>
    <w:rsid w:val="00974E94"/>
    <w:rsid w:val="00974E9A"/>
    <w:rsid w:val="00974F0F"/>
    <w:rsid w:val="00974F43"/>
    <w:rsid w:val="00974F54"/>
    <w:rsid w:val="00974FA1"/>
    <w:rsid w:val="0097502B"/>
    <w:rsid w:val="00975052"/>
    <w:rsid w:val="009750C6"/>
    <w:rsid w:val="00975136"/>
    <w:rsid w:val="0097516A"/>
    <w:rsid w:val="00975220"/>
    <w:rsid w:val="0097525B"/>
    <w:rsid w:val="00975291"/>
    <w:rsid w:val="00975308"/>
    <w:rsid w:val="00975335"/>
    <w:rsid w:val="0097534B"/>
    <w:rsid w:val="0097542D"/>
    <w:rsid w:val="009754D0"/>
    <w:rsid w:val="00975569"/>
    <w:rsid w:val="00975582"/>
    <w:rsid w:val="00975617"/>
    <w:rsid w:val="00975660"/>
    <w:rsid w:val="00975664"/>
    <w:rsid w:val="00975670"/>
    <w:rsid w:val="009756BE"/>
    <w:rsid w:val="009756C7"/>
    <w:rsid w:val="00975710"/>
    <w:rsid w:val="009757DC"/>
    <w:rsid w:val="009757F2"/>
    <w:rsid w:val="00975868"/>
    <w:rsid w:val="00975875"/>
    <w:rsid w:val="009758CC"/>
    <w:rsid w:val="00975921"/>
    <w:rsid w:val="00975AF4"/>
    <w:rsid w:val="00975C49"/>
    <w:rsid w:val="00975C74"/>
    <w:rsid w:val="00975CAD"/>
    <w:rsid w:val="00975CBF"/>
    <w:rsid w:val="00975DB0"/>
    <w:rsid w:val="00975E23"/>
    <w:rsid w:val="00975EB8"/>
    <w:rsid w:val="00975F06"/>
    <w:rsid w:val="00975F2C"/>
    <w:rsid w:val="00975F8B"/>
    <w:rsid w:val="00975FD2"/>
    <w:rsid w:val="00976023"/>
    <w:rsid w:val="00976062"/>
    <w:rsid w:val="00976142"/>
    <w:rsid w:val="00976185"/>
    <w:rsid w:val="009761AF"/>
    <w:rsid w:val="009761D4"/>
    <w:rsid w:val="00976455"/>
    <w:rsid w:val="009764A9"/>
    <w:rsid w:val="009764DF"/>
    <w:rsid w:val="0097655F"/>
    <w:rsid w:val="00976628"/>
    <w:rsid w:val="00976756"/>
    <w:rsid w:val="0097675E"/>
    <w:rsid w:val="009767CB"/>
    <w:rsid w:val="00976811"/>
    <w:rsid w:val="009768CD"/>
    <w:rsid w:val="0097691F"/>
    <w:rsid w:val="009769D0"/>
    <w:rsid w:val="009769F5"/>
    <w:rsid w:val="00976A22"/>
    <w:rsid w:val="00976AEC"/>
    <w:rsid w:val="00976B12"/>
    <w:rsid w:val="00976B58"/>
    <w:rsid w:val="00976BA7"/>
    <w:rsid w:val="00976C1B"/>
    <w:rsid w:val="00976C35"/>
    <w:rsid w:val="00976C52"/>
    <w:rsid w:val="00976D12"/>
    <w:rsid w:val="00976D69"/>
    <w:rsid w:val="00976D88"/>
    <w:rsid w:val="00976DCA"/>
    <w:rsid w:val="00976DF9"/>
    <w:rsid w:val="00976E05"/>
    <w:rsid w:val="00976E38"/>
    <w:rsid w:val="00976E4E"/>
    <w:rsid w:val="00976EFC"/>
    <w:rsid w:val="00976F33"/>
    <w:rsid w:val="00976F97"/>
    <w:rsid w:val="00976FF2"/>
    <w:rsid w:val="0097707A"/>
    <w:rsid w:val="00977084"/>
    <w:rsid w:val="0097708D"/>
    <w:rsid w:val="009770D6"/>
    <w:rsid w:val="00977185"/>
    <w:rsid w:val="009771A3"/>
    <w:rsid w:val="00977206"/>
    <w:rsid w:val="00977236"/>
    <w:rsid w:val="00977254"/>
    <w:rsid w:val="00977264"/>
    <w:rsid w:val="009772DD"/>
    <w:rsid w:val="009772F3"/>
    <w:rsid w:val="009772FC"/>
    <w:rsid w:val="00977301"/>
    <w:rsid w:val="00977357"/>
    <w:rsid w:val="00977376"/>
    <w:rsid w:val="009773B5"/>
    <w:rsid w:val="009774B1"/>
    <w:rsid w:val="00977596"/>
    <w:rsid w:val="009775F6"/>
    <w:rsid w:val="009777A9"/>
    <w:rsid w:val="00977865"/>
    <w:rsid w:val="00977885"/>
    <w:rsid w:val="0097789C"/>
    <w:rsid w:val="009778DC"/>
    <w:rsid w:val="00977A4A"/>
    <w:rsid w:val="00977A83"/>
    <w:rsid w:val="00977B29"/>
    <w:rsid w:val="00977C3A"/>
    <w:rsid w:val="00977CA5"/>
    <w:rsid w:val="00977D28"/>
    <w:rsid w:val="00977D2F"/>
    <w:rsid w:val="00977D52"/>
    <w:rsid w:val="00977DD8"/>
    <w:rsid w:val="00977E1A"/>
    <w:rsid w:val="00977E64"/>
    <w:rsid w:val="00977EA9"/>
    <w:rsid w:val="00977FEB"/>
    <w:rsid w:val="00980023"/>
    <w:rsid w:val="0098002B"/>
    <w:rsid w:val="00980096"/>
    <w:rsid w:val="009801B8"/>
    <w:rsid w:val="00980215"/>
    <w:rsid w:val="00980276"/>
    <w:rsid w:val="009803DB"/>
    <w:rsid w:val="00980461"/>
    <w:rsid w:val="00980465"/>
    <w:rsid w:val="009804CE"/>
    <w:rsid w:val="00980514"/>
    <w:rsid w:val="00980528"/>
    <w:rsid w:val="00980549"/>
    <w:rsid w:val="00980593"/>
    <w:rsid w:val="0098064A"/>
    <w:rsid w:val="0098065B"/>
    <w:rsid w:val="009806F2"/>
    <w:rsid w:val="00980707"/>
    <w:rsid w:val="00980778"/>
    <w:rsid w:val="0098078C"/>
    <w:rsid w:val="0098081B"/>
    <w:rsid w:val="0098081E"/>
    <w:rsid w:val="00980823"/>
    <w:rsid w:val="0098083C"/>
    <w:rsid w:val="009808C1"/>
    <w:rsid w:val="009809A0"/>
    <w:rsid w:val="00980A14"/>
    <w:rsid w:val="00980A6E"/>
    <w:rsid w:val="00980A8D"/>
    <w:rsid w:val="00980ACD"/>
    <w:rsid w:val="00980C3E"/>
    <w:rsid w:val="00980C87"/>
    <w:rsid w:val="00980D41"/>
    <w:rsid w:val="00980D6E"/>
    <w:rsid w:val="00980D99"/>
    <w:rsid w:val="00980E94"/>
    <w:rsid w:val="00980EAE"/>
    <w:rsid w:val="00980ED9"/>
    <w:rsid w:val="00980EFD"/>
    <w:rsid w:val="00980F1B"/>
    <w:rsid w:val="00980F2E"/>
    <w:rsid w:val="00980F86"/>
    <w:rsid w:val="0098108D"/>
    <w:rsid w:val="009812C6"/>
    <w:rsid w:val="00981381"/>
    <w:rsid w:val="0098158A"/>
    <w:rsid w:val="00981627"/>
    <w:rsid w:val="0098163C"/>
    <w:rsid w:val="0098163D"/>
    <w:rsid w:val="00981663"/>
    <w:rsid w:val="00981695"/>
    <w:rsid w:val="009816B6"/>
    <w:rsid w:val="00981721"/>
    <w:rsid w:val="00981768"/>
    <w:rsid w:val="00981812"/>
    <w:rsid w:val="009818B7"/>
    <w:rsid w:val="00981A21"/>
    <w:rsid w:val="00981A50"/>
    <w:rsid w:val="00981AD7"/>
    <w:rsid w:val="00981C21"/>
    <w:rsid w:val="00981C3E"/>
    <w:rsid w:val="00981CA3"/>
    <w:rsid w:val="00981D4D"/>
    <w:rsid w:val="00981EA4"/>
    <w:rsid w:val="00981F32"/>
    <w:rsid w:val="00981F49"/>
    <w:rsid w:val="0098208D"/>
    <w:rsid w:val="00982137"/>
    <w:rsid w:val="00982161"/>
    <w:rsid w:val="009821A3"/>
    <w:rsid w:val="009821BB"/>
    <w:rsid w:val="009821D7"/>
    <w:rsid w:val="00982238"/>
    <w:rsid w:val="00982382"/>
    <w:rsid w:val="00982431"/>
    <w:rsid w:val="0098243C"/>
    <w:rsid w:val="0098245B"/>
    <w:rsid w:val="0098248D"/>
    <w:rsid w:val="00982527"/>
    <w:rsid w:val="009825FF"/>
    <w:rsid w:val="00982641"/>
    <w:rsid w:val="00982779"/>
    <w:rsid w:val="009827A7"/>
    <w:rsid w:val="009827B6"/>
    <w:rsid w:val="009827F7"/>
    <w:rsid w:val="0098282F"/>
    <w:rsid w:val="0098287E"/>
    <w:rsid w:val="009828B9"/>
    <w:rsid w:val="00982909"/>
    <w:rsid w:val="00982997"/>
    <w:rsid w:val="00982A61"/>
    <w:rsid w:val="00982A71"/>
    <w:rsid w:val="00982A7F"/>
    <w:rsid w:val="00982B16"/>
    <w:rsid w:val="00982C2E"/>
    <w:rsid w:val="00982C7F"/>
    <w:rsid w:val="00982CAF"/>
    <w:rsid w:val="00982D1F"/>
    <w:rsid w:val="00982D20"/>
    <w:rsid w:val="00982D46"/>
    <w:rsid w:val="00982D95"/>
    <w:rsid w:val="00982DB2"/>
    <w:rsid w:val="00982E20"/>
    <w:rsid w:val="00982E41"/>
    <w:rsid w:val="00982E81"/>
    <w:rsid w:val="00982F74"/>
    <w:rsid w:val="00982FA0"/>
    <w:rsid w:val="009830B4"/>
    <w:rsid w:val="00983125"/>
    <w:rsid w:val="0098314A"/>
    <w:rsid w:val="0098317A"/>
    <w:rsid w:val="009831C8"/>
    <w:rsid w:val="00983201"/>
    <w:rsid w:val="00983209"/>
    <w:rsid w:val="00983219"/>
    <w:rsid w:val="009832D2"/>
    <w:rsid w:val="009832D9"/>
    <w:rsid w:val="00983335"/>
    <w:rsid w:val="00983349"/>
    <w:rsid w:val="00983435"/>
    <w:rsid w:val="009834BE"/>
    <w:rsid w:val="009834E4"/>
    <w:rsid w:val="009834F4"/>
    <w:rsid w:val="00983502"/>
    <w:rsid w:val="0098353D"/>
    <w:rsid w:val="00983589"/>
    <w:rsid w:val="009835D3"/>
    <w:rsid w:val="009835F4"/>
    <w:rsid w:val="0098368D"/>
    <w:rsid w:val="009836BF"/>
    <w:rsid w:val="009836EA"/>
    <w:rsid w:val="009837D3"/>
    <w:rsid w:val="0098383F"/>
    <w:rsid w:val="00983853"/>
    <w:rsid w:val="009838BA"/>
    <w:rsid w:val="00983910"/>
    <w:rsid w:val="00983954"/>
    <w:rsid w:val="00983975"/>
    <w:rsid w:val="009839EF"/>
    <w:rsid w:val="00983A8B"/>
    <w:rsid w:val="00983B5E"/>
    <w:rsid w:val="00983B6F"/>
    <w:rsid w:val="00983B9F"/>
    <w:rsid w:val="00983BA1"/>
    <w:rsid w:val="00983BC1"/>
    <w:rsid w:val="00983BFC"/>
    <w:rsid w:val="00983C00"/>
    <w:rsid w:val="00983C68"/>
    <w:rsid w:val="00983CAA"/>
    <w:rsid w:val="00983D10"/>
    <w:rsid w:val="00983D54"/>
    <w:rsid w:val="00983D70"/>
    <w:rsid w:val="00983D87"/>
    <w:rsid w:val="00983DCA"/>
    <w:rsid w:val="00983E1C"/>
    <w:rsid w:val="00983E30"/>
    <w:rsid w:val="00983E71"/>
    <w:rsid w:val="00983E9E"/>
    <w:rsid w:val="00983EB9"/>
    <w:rsid w:val="00983ED4"/>
    <w:rsid w:val="00983F0A"/>
    <w:rsid w:val="00983F2D"/>
    <w:rsid w:val="00983FE8"/>
    <w:rsid w:val="00984015"/>
    <w:rsid w:val="00984040"/>
    <w:rsid w:val="0098404A"/>
    <w:rsid w:val="00984097"/>
    <w:rsid w:val="009840F5"/>
    <w:rsid w:val="00984145"/>
    <w:rsid w:val="00984163"/>
    <w:rsid w:val="00984171"/>
    <w:rsid w:val="00984261"/>
    <w:rsid w:val="009842BA"/>
    <w:rsid w:val="009842C3"/>
    <w:rsid w:val="0098431E"/>
    <w:rsid w:val="0098440E"/>
    <w:rsid w:val="00984463"/>
    <w:rsid w:val="0098448E"/>
    <w:rsid w:val="00984496"/>
    <w:rsid w:val="009844F0"/>
    <w:rsid w:val="0098454E"/>
    <w:rsid w:val="00984650"/>
    <w:rsid w:val="009846F6"/>
    <w:rsid w:val="00984762"/>
    <w:rsid w:val="00984765"/>
    <w:rsid w:val="0098477E"/>
    <w:rsid w:val="009847F5"/>
    <w:rsid w:val="00984878"/>
    <w:rsid w:val="00984902"/>
    <w:rsid w:val="00984910"/>
    <w:rsid w:val="0098492C"/>
    <w:rsid w:val="00984A4A"/>
    <w:rsid w:val="00984A5C"/>
    <w:rsid w:val="00984ACE"/>
    <w:rsid w:val="00984B53"/>
    <w:rsid w:val="00984BA1"/>
    <w:rsid w:val="00984BFA"/>
    <w:rsid w:val="00984C40"/>
    <w:rsid w:val="00984C59"/>
    <w:rsid w:val="00984CE8"/>
    <w:rsid w:val="00984E83"/>
    <w:rsid w:val="00984EF3"/>
    <w:rsid w:val="00984F77"/>
    <w:rsid w:val="00985028"/>
    <w:rsid w:val="00985097"/>
    <w:rsid w:val="009850C3"/>
    <w:rsid w:val="009850EC"/>
    <w:rsid w:val="0098513A"/>
    <w:rsid w:val="0098516D"/>
    <w:rsid w:val="00985171"/>
    <w:rsid w:val="009851AE"/>
    <w:rsid w:val="00985372"/>
    <w:rsid w:val="00985405"/>
    <w:rsid w:val="00985448"/>
    <w:rsid w:val="00985462"/>
    <w:rsid w:val="00985480"/>
    <w:rsid w:val="0098550B"/>
    <w:rsid w:val="0098551B"/>
    <w:rsid w:val="00985633"/>
    <w:rsid w:val="009856B5"/>
    <w:rsid w:val="00985710"/>
    <w:rsid w:val="00985729"/>
    <w:rsid w:val="0098577D"/>
    <w:rsid w:val="00985782"/>
    <w:rsid w:val="0098581E"/>
    <w:rsid w:val="00985861"/>
    <w:rsid w:val="0098588E"/>
    <w:rsid w:val="0098592E"/>
    <w:rsid w:val="00985931"/>
    <w:rsid w:val="00985963"/>
    <w:rsid w:val="0098598F"/>
    <w:rsid w:val="009859B7"/>
    <w:rsid w:val="00985A89"/>
    <w:rsid w:val="00985B2E"/>
    <w:rsid w:val="00985B5A"/>
    <w:rsid w:val="00985B85"/>
    <w:rsid w:val="00985B91"/>
    <w:rsid w:val="00985C02"/>
    <w:rsid w:val="00985C22"/>
    <w:rsid w:val="00985C5A"/>
    <w:rsid w:val="00985CE4"/>
    <w:rsid w:val="00985D2E"/>
    <w:rsid w:val="00985D74"/>
    <w:rsid w:val="00985DA6"/>
    <w:rsid w:val="00985DFC"/>
    <w:rsid w:val="00985E03"/>
    <w:rsid w:val="00985EB4"/>
    <w:rsid w:val="00985EF6"/>
    <w:rsid w:val="00986091"/>
    <w:rsid w:val="0098613B"/>
    <w:rsid w:val="00986155"/>
    <w:rsid w:val="00986171"/>
    <w:rsid w:val="0098619E"/>
    <w:rsid w:val="00986212"/>
    <w:rsid w:val="009862D7"/>
    <w:rsid w:val="00986319"/>
    <w:rsid w:val="0098639D"/>
    <w:rsid w:val="009863B8"/>
    <w:rsid w:val="00986486"/>
    <w:rsid w:val="009864AF"/>
    <w:rsid w:val="0098658B"/>
    <w:rsid w:val="009865F1"/>
    <w:rsid w:val="009865FA"/>
    <w:rsid w:val="0098662D"/>
    <w:rsid w:val="009866E4"/>
    <w:rsid w:val="00986702"/>
    <w:rsid w:val="00986767"/>
    <w:rsid w:val="009867AB"/>
    <w:rsid w:val="009867B9"/>
    <w:rsid w:val="00986965"/>
    <w:rsid w:val="00986982"/>
    <w:rsid w:val="009869D3"/>
    <w:rsid w:val="00986AB3"/>
    <w:rsid w:val="00986B09"/>
    <w:rsid w:val="00986C09"/>
    <w:rsid w:val="00986C0D"/>
    <w:rsid w:val="00986C1C"/>
    <w:rsid w:val="00986CD5"/>
    <w:rsid w:val="00986D19"/>
    <w:rsid w:val="00986D3D"/>
    <w:rsid w:val="00986DBC"/>
    <w:rsid w:val="00986EAA"/>
    <w:rsid w:val="00986F34"/>
    <w:rsid w:val="00986FB4"/>
    <w:rsid w:val="00986FF9"/>
    <w:rsid w:val="00987000"/>
    <w:rsid w:val="00987091"/>
    <w:rsid w:val="00987124"/>
    <w:rsid w:val="009871D5"/>
    <w:rsid w:val="009871FC"/>
    <w:rsid w:val="00987212"/>
    <w:rsid w:val="00987296"/>
    <w:rsid w:val="009872F5"/>
    <w:rsid w:val="009872FC"/>
    <w:rsid w:val="00987309"/>
    <w:rsid w:val="00987395"/>
    <w:rsid w:val="009873B6"/>
    <w:rsid w:val="009873BB"/>
    <w:rsid w:val="0098743E"/>
    <w:rsid w:val="00987549"/>
    <w:rsid w:val="009875B9"/>
    <w:rsid w:val="009875D1"/>
    <w:rsid w:val="0098770B"/>
    <w:rsid w:val="00987794"/>
    <w:rsid w:val="009877F2"/>
    <w:rsid w:val="00987830"/>
    <w:rsid w:val="009878AB"/>
    <w:rsid w:val="009878C3"/>
    <w:rsid w:val="00987915"/>
    <w:rsid w:val="00987946"/>
    <w:rsid w:val="0098794F"/>
    <w:rsid w:val="00987A50"/>
    <w:rsid w:val="00987AF6"/>
    <w:rsid w:val="00987B51"/>
    <w:rsid w:val="00987B8B"/>
    <w:rsid w:val="00987BD3"/>
    <w:rsid w:val="00987C1F"/>
    <w:rsid w:val="00987C2C"/>
    <w:rsid w:val="00987D08"/>
    <w:rsid w:val="00987F5D"/>
    <w:rsid w:val="00987F87"/>
    <w:rsid w:val="00987F93"/>
    <w:rsid w:val="00987FA8"/>
    <w:rsid w:val="00987FF5"/>
    <w:rsid w:val="009900B8"/>
    <w:rsid w:val="009900DB"/>
    <w:rsid w:val="00990151"/>
    <w:rsid w:val="00990154"/>
    <w:rsid w:val="009901EC"/>
    <w:rsid w:val="009901F4"/>
    <w:rsid w:val="00990226"/>
    <w:rsid w:val="00990237"/>
    <w:rsid w:val="009902B7"/>
    <w:rsid w:val="009902BC"/>
    <w:rsid w:val="00990300"/>
    <w:rsid w:val="009903D4"/>
    <w:rsid w:val="009904BB"/>
    <w:rsid w:val="009905B0"/>
    <w:rsid w:val="009905E7"/>
    <w:rsid w:val="00990607"/>
    <w:rsid w:val="00990665"/>
    <w:rsid w:val="00990691"/>
    <w:rsid w:val="0099069B"/>
    <w:rsid w:val="009908CD"/>
    <w:rsid w:val="00990939"/>
    <w:rsid w:val="00990991"/>
    <w:rsid w:val="009909ED"/>
    <w:rsid w:val="00990A80"/>
    <w:rsid w:val="00990B58"/>
    <w:rsid w:val="00990B91"/>
    <w:rsid w:val="00990BBD"/>
    <w:rsid w:val="00990BF5"/>
    <w:rsid w:val="00990C81"/>
    <w:rsid w:val="00990D0D"/>
    <w:rsid w:val="00990D44"/>
    <w:rsid w:val="00990DA7"/>
    <w:rsid w:val="00990DAF"/>
    <w:rsid w:val="00990DBE"/>
    <w:rsid w:val="00990E40"/>
    <w:rsid w:val="00990E77"/>
    <w:rsid w:val="00990EAB"/>
    <w:rsid w:val="00990F42"/>
    <w:rsid w:val="00990F4D"/>
    <w:rsid w:val="00990FA1"/>
    <w:rsid w:val="00990FC6"/>
    <w:rsid w:val="00990FF9"/>
    <w:rsid w:val="00991009"/>
    <w:rsid w:val="00991017"/>
    <w:rsid w:val="00991041"/>
    <w:rsid w:val="00991046"/>
    <w:rsid w:val="009910EF"/>
    <w:rsid w:val="009912FA"/>
    <w:rsid w:val="00991302"/>
    <w:rsid w:val="009913E8"/>
    <w:rsid w:val="0099142C"/>
    <w:rsid w:val="00991442"/>
    <w:rsid w:val="00991489"/>
    <w:rsid w:val="009914BA"/>
    <w:rsid w:val="009914D7"/>
    <w:rsid w:val="009914E8"/>
    <w:rsid w:val="0099152C"/>
    <w:rsid w:val="0099154D"/>
    <w:rsid w:val="00991585"/>
    <w:rsid w:val="009915A8"/>
    <w:rsid w:val="009915AD"/>
    <w:rsid w:val="0099162B"/>
    <w:rsid w:val="00991633"/>
    <w:rsid w:val="00991647"/>
    <w:rsid w:val="009916BC"/>
    <w:rsid w:val="009916DD"/>
    <w:rsid w:val="00991718"/>
    <w:rsid w:val="00991768"/>
    <w:rsid w:val="0099177E"/>
    <w:rsid w:val="009917A5"/>
    <w:rsid w:val="009917BD"/>
    <w:rsid w:val="0099183C"/>
    <w:rsid w:val="0099185A"/>
    <w:rsid w:val="0099187A"/>
    <w:rsid w:val="00991935"/>
    <w:rsid w:val="00991971"/>
    <w:rsid w:val="00991AC7"/>
    <w:rsid w:val="00991AC9"/>
    <w:rsid w:val="00991ADD"/>
    <w:rsid w:val="00991B10"/>
    <w:rsid w:val="00991B6A"/>
    <w:rsid w:val="00991B70"/>
    <w:rsid w:val="00991BAC"/>
    <w:rsid w:val="00991BE6"/>
    <w:rsid w:val="00991C48"/>
    <w:rsid w:val="00991C6E"/>
    <w:rsid w:val="00991CA3"/>
    <w:rsid w:val="00991CBB"/>
    <w:rsid w:val="00991D1A"/>
    <w:rsid w:val="00991D86"/>
    <w:rsid w:val="00991E55"/>
    <w:rsid w:val="00991EA1"/>
    <w:rsid w:val="00991EC4"/>
    <w:rsid w:val="00991EE0"/>
    <w:rsid w:val="00991F06"/>
    <w:rsid w:val="00991F0E"/>
    <w:rsid w:val="00991F53"/>
    <w:rsid w:val="00991FFA"/>
    <w:rsid w:val="0099200B"/>
    <w:rsid w:val="0099201F"/>
    <w:rsid w:val="009920A1"/>
    <w:rsid w:val="00992140"/>
    <w:rsid w:val="00992169"/>
    <w:rsid w:val="0099226C"/>
    <w:rsid w:val="0099228D"/>
    <w:rsid w:val="009923E7"/>
    <w:rsid w:val="00992461"/>
    <w:rsid w:val="00992485"/>
    <w:rsid w:val="0099249C"/>
    <w:rsid w:val="0099249F"/>
    <w:rsid w:val="009924A8"/>
    <w:rsid w:val="00992518"/>
    <w:rsid w:val="00992542"/>
    <w:rsid w:val="009925D4"/>
    <w:rsid w:val="0099270B"/>
    <w:rsid w:val="00992724"/>
    <w:rsid w:val="0099273F"/>
    <w:rsid w:val="009927DB"/>
    <w:rsid w:val="009927F1"/>
    <w:rsid w:val="0099286A"/>
    <w:rsid w:val="00992886"/>
    <w:rsid w:val="009928AD"/>
    <w:rsid w:val="0099292D"/>
    <w:rsid w:val="00992999"/>
    <w:rsid w:val="009929AD"/>
    <w:rsid w:val="00992A4A"/>
    <w:rsid w:val="00992A55"/>
    <w:rsid w:val="00992AC8"/>
    <w:rsid w:val="00992B7C"/>
    <w:rsid w:val="00992C23"/>
    <w:rsid w:val="00992C3E"/>
    <w:rsid w:val="00992C43"/>
    <w:rsid w:val="00992D4F"/>
    <w:rsid w:val="00992E30"/>
    <w:rsid w:val="00992E6F"/>
    <w:rsid w:val="00992E7A"/>
    <w:rsid w:val="00992FA5"/>
    <w:rsid w:val="009931D3"/>
    <w:rsid w:val="00993248"/>
    <w:rsid w:val="0099335F"/>
    <w:rsid w:val="009933B8"/>
    <w:rsid w:val="009933C5"/>
    <w:rsid w:val="00993431"/>
    <w:rsid w:val="0099344A"/>
    <w:rsid w:val="00993471"/>
    <w:rsid w:val="009934CC"/>
    <w:rsid w:val="009935AC"/>
    <w:rsid w:val="00993658"/>
    <w:rsid w:val="0099366D"/>
    <w:rsid w:val="0099369E"/>
    <w:rsid w:val="009936E5"/>
    <w:rsid w:val="0099376A"/>
    <w:rsid w:val="00993776"/>
    <w:rsid w:val="00993926"/>
    <w:rsid w:val="00993A3C"/>
    <w:rsid w:val="00993AB0"/>
    <w:rsid w:val="00993B0E"/>
    <w:rsid w:val="00993B1A"/>
    <w:rsid w:val="00993B8B"/>
    <w:rsid w:val="00993BEF"/>
    <w:rsid w:val="00993C57"/>
    <w:rsid w:val="00993CA4"/>
    <w:rsid w:val="00993CA6"/>
    <w:rsid w:val="00993DA0"/>
    <w:rsid w:val="00993DCA"/>
    <w:rsid w:val="00993DE8"/>
    <w:rsid w:val="00993DF2"/>
    <w:rsid w:val="00993E61"/>
    <w:rsid w:val="00993FB5"/>
    <w:rsid w:val="00994122"/>
    <w:rsid w:val="00994171"/>
    <w:rsid w:val="0099427F"/>
    <w:rsid w:val="009942C7"/>
    <w:rsid w:val="00994346"/>
    <w:rsid w:val="0099435E"/>
    <w:rsid w:val="00994386"/>
    <w:rsid w:val="00994398"/>
    <w:rsid w:val="00994422"/>
    <w:rsid w:val="00994435"/>
    <w:rsid w:val="0099443E"/>
    <w:rsid w:val="0099445E"/>
    <w:rsid w:val="0099452F"/>
    <w:rsid w:val="009945BF"/>
    <w:rsid w:val="009946E5"/>
    <w:rsid w:val="00994708"/>
    <w:rsid w:val="00994722"/>
    <w:rsid w:val="00994740"/>
    <w:rsid w:val="0099474A"/>
    <w:rsid w:val="009947A4"/>
    <w:rsid w:val="00994827"/>
    <w:rsid w:val="00994842"/>
    <w:rsid w:val="00994877"/>
    <w:rsid w:val="009948CE"/>
    <w:rsid w:val="009948D1"/>
    <w:rsid w:val="0099490D"/>
    <w:rsid w:val="0099492E"/>
    <w:rsid w:val="00994938"/>
    <w:rsid w:val="009949EF"/>
    <w:rsid w:val="00994A1B"/>
    <w:rsid w:val="00994AC2"/>
    <w:rsid w:val="00994BAC"/>
    <w:rsid w:val="00994BCD"/>
    <w:rsid w:val="00994C27"/>
    <w:rsid w:val="00994C97"/>
    <w:rsid w:val="00994CA8"/>
    <w:rsid w:val="00994CD0"/>
    <w:rsid w:val="00994D1B"/>
    <w:rsid w:val="00994D50"/>
    <w:rsid w:val="00994DE8"/>
    <w:rsid w:val="00994ECF"/>
    <w:rsid w:val="00994F09"/>
    <w:rsid w:val="00994FA9"/>
    <w:rsid w:val="00994FB8"/>
    <w:rsid w:val="0099501D"/>
    <w:rsid w:val="00995027"/>
    <w:rsid w:val="00995117"/>
    <w:rsid w:val="00995138"/>
    <w:rsid w:val="00995226"/>
    <w:rsid w:val="00995227"/>
    <w:rsid w:val="0099524A"/>
    <w:rsid w:val="009952D4"/>
    <w:rsid w:val="00995303"/>
    <w:rsid w:val="00995339"/>
    <w:rsid w:val="009953FE"/>
    <w:rsid w:val="00995425"/>
    <w:rsid w:val="00995479"/>
    <w:rsid w:val="009954AD"/>
    <w:rsid w:val="009954CD"/>
    <w:rsid w:val="0099551F"/>
    <w:rsid w:val="009955C5"/>
    <w:rsid w:val="009955D3"/>
    <w:rsid w:val="00995615"/>
    <w:rsid w:val="0099564C"/>
    <w:rsid w:val="00995694"/>
    <w:rsid w:val="0099572F"/>
    <w:rsid w:val="0099582C"/>
    <w:rsid w:val="0099584E"/>
    <w:rsid w:val="009958BE"/>
    <w:rsid w:val="009958C0"/>
    <w:rsid w:val="00995958"/>
    <w:rsid w:val="00995981"/>
    <w:rsid w:val="00995982"/>
    <w:rsid w:val="0099599D"/>
    <w:rsid w:val="009959A5"/>
    <w:rsid w:val="009959EC"/>
    <w:rsid w:val="00995A67"/>
    <w:rsid w:val="00995A94"/>
    <w:rsid w:val="00995B43"/>
    <w:rsid w:val="00995B56"/>
    <w:rsid w:val="00995B9D"/>
    <w:rsid w:val="00995BAE"/>
    <w:rsid w:val="00995C0A"/>
    <w:rsid w:val="00995C81"/>
    <w:rsid w:val="00995CBC"/>
    <w:rsid w:val="00995CF9"/>
    <w:rsid w:val="00995E1B"/>
    <w:rsid w:val="00995EA6"/>
    <w:rsid w:val="00995F0A"/>
    <w:rsid w:val="00995F84"/>
    <w:rsid w:val="00995F9A"/>
    <w:rsid w:val="00995FF9"/>
    <w:rsid w:val="00996057"/>
    <w:rsid w:val="009960AC"/>
    <w:rsid w:val="009960B2"/>
    <w:rsid w:val="00996171"/>
    <w:rsid w:val="0099619A"/>
    <w:rsid w:val="00996213"/>
    <w:rsid w:val="00996267"/>
    <w:rsid w:val="009962B9"/>
    <w:rsid w:val="009962C5"/>
    <w:rsid w:val="009962DF"/>
    <w:rsid w:val="009962F0"/>
    <w:rsid w:val="0099632D"/>
    <w:rsid w:val="009963BD"/>
    <w:rsid w:val="009964C8"/>
    <w:rsid w:val="009964F0"/>
    <w:rsid w:val="0099661D"/>
    <w:rsid w:val="009966D1"/>
    <w:rsid w:val="00996700"/>
    <w:rsid w:val="0099676A"/>
    <w:rsid w:val="00996790"/>
    <w:rsid w:val="009967AF"/>
    <w:rsid w:val="009967C0"/>
    <w:rsid w:val="00996834"/>
    <w:rsid w:val="009968D9"/>
    <w:rsid w:val="009968F7"/>
    <w:rsid w:val="00996913"/>
    <w:rsid w:val="00996938"/>
    <w:rsid w:val="0099698C"/>
    <w:rsid w:val="009969C3"/>
    <w:rsid w:val="00996AB5"/>
    <w:rsid w:val="00996AFD"/>
    <w:rsid w:val="00996B00"/>
    <w:rsid w:val="00996CD9"/>
    <w:rsid w:val="00996DF1"/>
    <w:rsid w:val="00996E11"/>
    <w:rsid w:val="00996E69"/>
    <w:rsid w:val="00997093"/>
    <w:rsid w:val="009970B2"/>
    <w:rsid w:val="00997211"/>
    <w:rsid w:val="00997232"/>
    <w:rsid w:val="009972AF"/>
    <w:rsid w:val="00997322"/>
    <w:rsid w:val="00997346"/>
    <w:rsid w:val="00997352"/>
    <w:rsid w:val="009974B8"/>
    <w:rsid w:val="0099755E"/>
    <w:rsid w:val="009975B4"/>
    <w:rsid w:val="00997628"/>
    <w:rsid w:val="00997666"/>
    <w:rsid w:val="0099766E"/>
    <w:rsid w:val="009976C3"/>
    <w:rsid w:val="00997772"/>
    <w:rsid w:val="009978B1"/>
    <w:rsid w:val="009978C5"/>
    <w:rsid w:val="009978DB"/>
    <w:rsid w:val="00997931"/>
    <w:rsid w:val="009979B6"/>
    <w:rsid w:val="009979CC"/>
    <w:rsid w:val="009979D0"/>
    <w:rsid w:val="009979E3"/>
    <w:rsid w:val="00997A61"/>
    <w:rsid w:val="00997A9B"/>
    <w:rsid w:val="00997B2F"/>
    <w:rsid w:val="00997B32"/>
    <w:rsid w:val="00997B50"/>
    <w:rsid w:val="00997B63"/>
    <w:rsid w:val="00997C18"/>
    <w:rsid w:val="00997C4C"/>
    <w:rsid w:val="00997D52"/>
    <w:rsid w:val="00997D72"/>
    <w:rsid w:val="00997E19"/>
    <w:rsid w:val="00997E3B"/>
    <w:rsid w:val="00997E50"/>
    <w:rsid w:val="00997EBE"/>
    <w:rsid w:val="00997EDB"/>
    <w:rsid w:val="00997F3D"/>
    <w:rsid w:val="009A011E"/>
    <w:rsid w:val="009A0139"/>
    <w:rsid w:val="009A0198"/>
    <w:rsid w:val="009A01AA"/>
    <w:rsid w:val="009A01F2"/>
    <w:rsid w:val="009A0211"/>
    <w:rsid w:val="009A0332"/>
    <w:rsid w:val="009A041C"/>
    <w:rsid w:val="009A043D"/>
    <w:rsid w:val="009A05B1"/>
    <w:rsid w:val="009A05B4"/>
    <w:rsid w:val="009A0607"/>
    <w:rsid w:val="009A061A"/>
    <w:rsid w:val="009A0699"/>
    <w:rsid w:val="009A06F9"/>
    <w:rsid w:val="009A07A8"/>
    <w:rsid w:val="009A090A"/>
    <w:rsid w:val="009A0991"/>
    <w:rsid w:val="009A099E"/>
    <w:rsid w:val="009A09C9"/>
    <w:rsid w:val="009A0A03"/>
    <w:rsid w:val="009A0A1A"/>
    <w:rsid w:val="009A0A54"/>
    <w:rsid w:val="009A0A9D"/>
    <w:rsid w:val="009A0B19"/>
    <w:rsid w:val="009A0B1B"/>
    <w:rsid w:val="009A0B76"/>
    <w:rsid w:val="009A0C13"/>
    <w:rsid w:val="009A0C4D"/>
    <w:rsid w:val="009A0C88"/>
    <w:rsid w:val="009A0CB7"/>
    <w:rsid w:val="009A0CC8"/>
    <w:rsid w:val="009A0D15"/>
    <w:rsid w:val="009A0E07"/>
    <w:rsid w:val="009A0ED6"/>
    <w:rsid w:val="009A0F9C"/>
    <w:rsid w:val="009A0FB0"/>
    <w:rsid w:val="009A1039"/>
    <w:rsid w:val="009A105E"/>
    <w:rsid w:val="009A10B4"/>
    <w:rsid w:val="009A11F1"/>
    <w:rsid w:val="009A128B"/>
    <w:rsid w:val="009A12B3"/>
    <w:rsid w:val="009A1308"/>
    <w:rsid w:val="009A13B0"/>
    <w:rsid w:val="009A13B4"/>
    <w:rsid w:val="009A13F3"/>
    <w:rsid w:val="009A141E"/>
    <w:rsid w:val="009A1424"/>
    <w:rsid w:val="009A14BD"/>
    <w:rsid w:val="009A151D"/>
    <w:rsid w:val="009A1586"/>
    <w:rsid w:val="009A15C3"/>
    <w:rsid w:val="009A161D"/>
    <w:rsid w:val="009A1630"/>
    <w:rsid w:val="009A16A9"/>
    <w:rsid w:val="009A16B4"/>
    <w:rsid w:val="009A1770"/>
    <w:rsid w:val="009A178D"/>
    <w:rsid w:val="009A1A86"/>
    <w:rsid w:val="009A1AE5"/>
    <w:rsid w:val="009A1BD0"/>
    <w:rsid w:val="009A1C64"/>
    <w:rsid w:val="009A1C78"/>
    <w:rsid w:val="009A1C8B"/>
    <w:rsid w:val="009A1D7F"/>
    <w:rsid w:val="009A1DE3"/>
    <w:rsid w:val="009A1E65"/>
    <w:rsid w:val="009A1E70"/>
    <w:rsid w:val="009A1EC9"/>
    <w:rsid w:val="009A1EDD"/>
    <w:rsid w:val="009A1EDF"/>
    <w:rsid w:val="009A1FA6"/>
    <w:rsid w:val="009A1FBF"/>
    <w:rsid w:val="009A200D"/>
    <w:rsid w:val="009A214C"/>
    <w:rsid w:val="009A2156"/>
    <w:rsid w:val="009A2277"/>
    <w:rsid w:val="009A228A"/>
    <w:rsid w:val="009A22A5"/>
    <w:rsid w:val="009A22C1"/>
    <w:rsid w:val="009A2302"/>
    <w:rsid w:val="009A230B"/>
    <w:rsid w:val="009A23AB"/>
    <w:rsid w:val="009A23C7"/>
    <w:rsid w:val="009A23EA"/>
    <w:rsid w:val="009A245E"/>
    <w:rsid w:val="009A24E8"/>
    <w:rsid w:val="009A256C"/>
    <w:rsid w:val="009A25A6"/>
    <w:rsid w:val="009A25B7"/>
    <w:rsid w:val="009A2696"/>
    <w:rsid w:val="009A26FB"/>
    <w:rsid w:val="009A270B"/>
    <w:rsid w:val="009A2784"/>
    <w:rsid w:val="009A27C3"/>
    <w:rsid w:val="009A280B"/>
    <w:rsid w:val="009A2889"/>
    <w:rsid w:val="009A28CB"/>
    <w:rsid w:val="009A28E2"/>
    <w:rsid w:val="009A28F6"/>
    <w:rsid w:val="009A2900"/>
    <w:rsid w:val="009A29AF"/>
    <w:rsid w:val="009A2A0C"/>
    <w:rsid w:val="009A2A4F"/>
    <w:rsid w:val="009A2AAB"/>
    <w:rsid w:val="009A2B03"/>
    <w:rsid w:val="009A2BE0"/>
    <w:rsid w:val="009A2BF1"/>
    <w:rsid w:val="009A2CD5"/>
    <w:rsid w:val="009A2DA1"/>
    <w:rsid w:val="009A2DD2"/>
    <w:rsid w:val="009A2DDC"/>
    <w:rsid w:val="009A2DE1"/>
    <w:rsid w:val="009A2DFC"/>
    <w:rsid w:val="009A2E17"/>
    <w:rsid w:val="009A2E26"/>
    <w:rsid w:val="009A2E3E"/>
    <w:rsid w:val="009A2EC4"/>
    <w:rsid w:val="009A2F17"/>
    <w:rsid w:val="009A2F30"/>
    <w:rsid w:val="009A2F42"/>
    <w:rsid w:val="009A3073"/>
    <w:rsid w:val="009A3083"/>
    <w:rsid w:val="009A30D9"/>
    <w:rsid w:val="009A310A"/>
    <w:rsid w:val="009A310B"/>
    <w:rsid w:val="009A313D"/>
    <w:rsid w:val="009A3241"/>
    <w:rsid w:val="009A3288"/>
    <w:rsid w:val="009A32AB"/>
    <w:rsid w:val="009A32D1"/>
    <w:rsid w:val="009A332F"/>
    <w:rsid w:val="009A3374"/>
    <w:rsid w:val="009A338C"/>
    <w:rsid w:val="009A3412"/>
    <w:rsid w:val="009A3420"/>
    <w:rsid w:val="009A34AA"/>
    <w:rsid w:val="009A351D"/>
    <w:rsid w:val="009A3569"/>
    <w:rsid w:val="009A35D8"/>
    <w:rsid w:val="009A369B"/>
    <w:rsid w:val="009A36BF"/>
    <w:rsid w:val="009A36FB"/>
    <w:rsid w:val="009A3731"/>
    <w:rsid w:val="009A3779"/>
    <w:rsid w:val="009A38A1"/>
    <w:rsid w:val="009A38AA"/>
    <w:rsid w:val="009A38EE"/>
    <w:rsid w:val="009A3987"/>
    <w:rsid w:val="009A39C8"/>
    <w:rsid w:val="009A3A12"/>
    <w:rsid w:val="009A3AF4"/>
    <w:rsid w:val="009A3AF7"/>
    <w:rsid w:val="009A3BC9"/>
    <w:rsid w:val="009A3C2B"/>
    <w:rsid w:val="009A3CCB"/>
    <w:rsid w:val="009A3CCE"/>
    <w:rsid w:val="009A3D14"/>
    <w:rsid w:val="009A3D2B"/>
    <w:rsid w:val="009A3D6D"/>
    <w:rsid w:val="009A3DB0"/>
    <w:rsid w:val="009A3E03"/>
    <w:rsid w:val="009A3E8D"/>
    <w:rsid w:val="009A3EAB"/>
    <w:rsid w:val="009A3EC3"/>
    <w:rsid w:val="009A3EE0"/>
    <w:rsid w:val="009A3F0A"/>
    <w:rsid w:val="009A3F43"/>
    <w:rsid w:val="009A3FE7"/>
    <w:rsid w:val="009A40FA"/>
    <w:rsid w:val="009A4110"/>
    <w:rsid w:val="009A414D"/>
    <w:rsid w:val="009A4200"/>
    <w:rsid w:val="009A422A"/>
    <w:rsid w:val="009A4248"/>
    <w:rsid w:val="009A4270"/>
    <w:rsid w:val="009A42A2"/>
    <w:rsid w:val="009A42B0"/>
    <w:rsid w:val="009A42B8"/>
    <w:rsid w:val="009A436A"/>
    <w:rsid w:val="009A43B2"/>
    <w:rsid w:val="009A443B"/>
    <w:rsid w:val="009A44FB"/>
    <w:rsid w:val="009A4510"/>
    <w:rsid w:val="009A458F"/>
    <w:rsid w:val="009A45BD"/>
    <w:rsid w:val="009A45EB"/>
    <w:rsid w:val="009A45ED"/>
    <w:rsid w:val="009A4623"/>
    <w:rsid w:val="009A4694"/>
    <w:rsid w:val="009A4709"/>
    <w:rsid w:val="009A4720"/>
    <w:rsid w:val="009A4723"/>
    <w:rsid w:val="009A484A"/>
    <w:rsid w:val="009A486A"/>
    <w:rsid w:val="009A489D"/>
    <w:rsid w:val="009A48CC"/>
    <w:rsid w:val="009A48DE"/>
    <w:rsid w:val="009A490F"/>
    <w:rsid w:val="009A4AA4"/>
    <w:rsid w:val="009A4B5F"/>
    <w:rsid w:val="009A4BC7"/>
    <w:rsid w:val="009A4BD6"/>
    <w:rsid w:val="009A4BEB"/>
    <w:rsid w:val="009A4C0C"/>
    <w:rsid w:val="009A4C90"/>
    <w:rsid w:val="009A4CF8"/>
    <w:rsid w:val="009A4D1A"/>
    <w:rsid w:val="009A4E3C"/>
    <w:rsid w:val="009A4E63"/>
    <w:rsid w:val="009A4EB3"/>
    <w:rsid w:val="009A4ED3"/>
    <w:rsid w:val="009A4F1E"/>
    <w:rsid w:val="009A4F68"/>
    <w:rsid w:val="009A4F8E"/>
    <w:rsid w:val="009A4FC2"/>
    <w:rsid w:val="009A508A"/>
    <w:rsid w:val="009A508C"/>
    <w:rsid w:val="009A50DF"/>
    <w:rsid w:val="009A5118"/>
    <w:rsid w:val="009A5141"/>
    <w:rsid w:val="009A515E"/>
    <w:rsid w:val="009A5194"/>
    <w:rsid w:val="009A5449"/>
    <w:rsid w:val="009A544E"/>
    <w:rsid w:val="009A54B0"/>
    <w:rsid w:val="009A54D0"/>
    <w:rsid w:val="009A5506"/>
    <w:rsid w:val="009A5538"/>
    <w:rsid w:val="009A55A7"/>
    <w:rsid w:val="009A55BA"/>
    <w:rsid w:val="009A5655"/>
    <w:rsid w:val="009A565B"/>
    <w:rsid w:val="009A5795"/>
    <w:rsid w:val="009A57BC"/>
    <w:rsid w:val="009A5820"/>
    <w:rsid w:val="009A585A"/>
    <w:rsid w:val="009A5867"/>
    <w:rsid w:val="009A589E"/>
    <w:rsid w:val="009A589F"/>
    <w:rsid w:val="009A5905"/>
    <w:rsid w:val="009A59C5"/>
    <w:rsid w:val="009A59E1"/>
    <w:rsid w:val="009A59F5"/>
    <w:rsid w:val="009A5A05"/>
    <w:rsid w:val="009A5AB3"/>
    <w:rsid w:val="009A5AC8"/>
    <w:rsid w:val="009A5B38"/>
    <w:rsid w:val="009A5B84"/>
    <w:rsid w:val="009A5BED"/>
    <w:rsid w:val="009A5C5A"/>
    <w:rsid w:val="009A5CAA"/>
    <w:rsid w:val="009A5D08"/>
    <w:rsid w:val="009A5DA4"/>
    <w:rsid w:val="009A5DBF"/>
    <w:rsid w:val="009A5DDB"/>
    <w:rsid w:val="009A5DEE"/>
    <w:rsid w:val="009A5DFD"/>
    <w:rsid w:val="009A5E31"/>
    <w:rsid w:val="009A5E75"/>
    <w:rsid w:val="009A5F36"/>
    <w:rsid w:val="009A6003"/>
    <w:rsid w:val="009A6012"/>
    <w:rsid w:val="009A602E"/>
    <w:rsid w:val="009A6080"/>
    <w:rsid w:val="009A608B"/>
    <w:rsid w:val="009A6138"/>
    <w:rsid w:val="009A6189"/>
    <w:rsid w:val="009A628A"/>
    <w:rsid w:val="009A6296"/>
    <w:rsid w:val="009A62D2"/>
    <w:rsid w:val="009A62FE"/>
    <w:rsid w:val="009A6352"/>
    <w:rsid w:val="009A635B"/>
    <w:rsid w:val="009A638D"/>
    <w:rsid w:val="009A6479"/>
    <w:rsid w:val="009A6491"/>
    <w:rsid w:val="009A650D"/>
    <w:rsid w:val="009A657F"/>
    <w:rsid w:val="009A659C"/>
    <w:rsid w:val="009A65DD"/>
    <w:rsid w:val="009A663C"/>
    <w:rsid w:val="009A665E"/>
    <w:rsid w:val="009A6674"/>
    <w:rsid w:val="009A6677"/>
    <w:rsid w:val="009A66BD"/>
    <w:rsid w:val="009A6805"/>
    <w:rsid w:val="009A681E"/>
    <w:rsid w:val="009A684C"/>
    <w:rsid w:val="009A68D0"/>
    <w:rsid w:val="009A68F0"/>
    <w:rsid w:val="009A695F"/>
    <w:rsid w:val="009A6963"/>
    <w:rsid w:val="009A696B"/>
    <w:rsid w:val="009A6977"/>
    <w:rsid w:val="009A698E"/>
    <w:rsid w:val="009A69DC"/>
    <w:rsid w:val="009A6A0F"/>
    <w:rsid w:val="009A6A6A"/>
    <w:rsid w:val="009A6A8B"/>
    <w:rsid w:val="009A6C10"/>
    <w:rsid w:val="009A6CFD"/>
    <w:rsid w:val="009A6D4E"/>
    <w:rsid w:val="009A6DB5"/>
    <w:rsid w:val="009A6F2A"/>
    <w:rsid w:val="009A6F6D"/>
    <w:rsid w:val="009A6F83"/>
    <w:rsid w:val="009A7091"/>
    <w:rsid w:val="009A7092"/>
    <w:rsid w:val="009A71DE"/>
    <w:rsid w:val="009A7221"/>
    <w:rsid w:val="009A7226"/>
    <w:rsid w:val="009A723E"/>
    <w:rsid w:val="009A7266"/>
    <w:rsid w:val="009A7355"/>
    <w:rsid w:val="009A73C6"/>
    <w:rsid w:val="009A73F1"/>
    <w:rsid w:val="009A743D"/>
    <w:rsid w:val="009A7452"/>
    <w:rsid w:val="009A7473"/>
    <w:rsid w:val="009A747E"/>
    <w:rsid w:val="009A75B4"/>
    <w:rsid w:val="009A75F4"/>
    <w:rsid w:val="009A76B3"/>
    <w:rsid w:val="009A76E5"/>
    <w:rsid w:val="009A771F"/>
    <w:rsid w:val="009A7756"/>
    <w:rsid w:val="009A781B"/>
    <w:rsid w:val="009A787B"/>
    <w:rsid w:val="009A791E"/>
    <w:rsid w:val="009A7957"/>
    <w:rsid w:val="009A79B4"/>
    <w:rsid w:val="009A7A1B"/>
    <w:rsid w:val="009A7A47"/>
    <w:rsid w:val="009A7ABB"/>
    <w:rsid w:val="009A7ABC"/>
    <w:rsid w:val="009A7AEC"/>
    <w:rsid w:val="009A7B06"/>
    <w:rsid w:val="009A7B73"/>
    <w:rsid w:val="009A7B7F"/>
    <w:rsid w:val="009A7BCC"/>
    <w:rsid w:val="009A7C18"/>
    <w:rsid w:val="009A7C29"/>
    <w:rsid w:val="009A7C3B"/>
    <w:rsid w:val="009A7C55"/>
    <w:rsid w:val="009A7C92"/>
    <w:rsid w:val="009A7CFF"/>
    <w:rsid w:val="009A7D28"/>
    <w:rsid w:val="009A7E3E"/>
    <w:rsid w:val="009A7E51"/>
    <w:rsid w:val="009A7FC0"/>
    <w:rsid w:val="009B000D"/>
    <w:rsid w:val="009B019A"/>
    <w:rsid w:val="009B01B5"/>
    <w:rsid w:val="009B0280"/>
    <w:rsid w:val="009B0285"/>
    <w:rsid w:val="009B02DC"/>
    <w:rsid w:val="009B02FE"/>
    <w:rsid w:val="009B03CE"/>
    <w:rsid w:val="009B047D"/>
    <w:rsid w:val="009B04BA"/>
    <w:rsid w:val="009B04E4"/>
    <w:rsid w:val="009B05A6"/>
    <w:rsid w:val="009B0636"/>
    <w:rsid w:val="009B063B"/>
    <w:rsid w:val="009B070F"/>
    <w:rsid w:val="009B0759"/>
    <w:rsid w:val="009B076C"/>
    <w:rsid w:val="009B07B5"/>
    <w:rsid w:val="009B08E6"/>
    <w:rsid w:val="009B09F9"/>
    <w:rsid w:val="009B0A9E"/>
    <w:rsid w:val="009B0B1A"/>
    <w:rsid w:val="009B0C53"/>
    <w:rsid w:val="009B0D4A"/>
    <w:rsid w:val="009B0D6B"/>
    <w:rsid w:val="009B0DCE"/>
    <w:rsid w:val="009B0DE6"/>
    <w:rsid w:val="009B0EB2"/>
    <w:rsid w:val="009B0EDB"/>
    <w:rsid w:val="009B0EF0"/>
    <w:rsid w:val="009B0F16"/>
    <w:rsid w:val="009B0FD3"/>
    <w:rsid w:val="009B1007"/>
    <w:rsid w:val="009B101A"/>
    <w:rsid w:val="009B1087"/>
    <w:rsid w:val="009B10EB"/>
    <w:rsid w:val="009B111B"/>
    <w:rsid w:val="009B11EB"/>
    <w:rsid w:val="009B11ED"/>
    <w:rsid w:val="009B11F3"/>
    <w:rsid w:val="009B1268"/>
    <w:rsid w:val="009B1311"/>
    <w:rsid w:val="009B13C7"/>
    <w:rsid w:val="009B13F2"/>
    <w:rsid w:val="009B14D2"/>
    <w:rsid w:val="009B14F0"/>
    <w:rsid w:val="009B15A3"/>
    <w:rsid w:val="009B15F8"/>
    <w:rsid w:val="009B164E"/>
    <w:rsid w:val="009B1654"/>
    <w:rsid w:val="009B1733"/>
    <w:rsid w:val="009B1795"/>
    <w:rsid w:val="009B1882"/>
    <w:rsid w:val="009B1921"/>
    <w:rsid w:val="009B1AA6"/>
    <w:rsid w:val="009B1AFA"/>
    <w:rsid w:val="009B1B30"/>
    <w:rsid w:val="009B1C19"/>
    <w:rsid w:val="009B1C1E"/>
    <w:rsid w:val="009B1C6E"/>
    <w:rsid w:val="009B1D0B"/>
    <w:rsid w:val="009B1D1B"/>
    <w:rsid w:val="009B1D33"/>
    <w:rsid w:val="009B1D63"/>
    <w:rsid w:val="009B1D99"/>
    <w:rsid w:val="009B1E2C"/>
    <w:rsid w:val="009B1E4C"/>
    <w:rsid w:val="009B1E62"/>
    <w:rsid w:val="009B1EBA"/>
    <w:rsid w:val="009B1EBD"/>
    <w:rsid w:val="009B1F04"/>
    <w:rsid w:val="009B1F4B"/>
    <w:rsid w:val="009B1FD5"/>
    <w:rsid w:val="009B2155"/>
    <w:rsid w:val="009B21AF"/>
    <w:rsid w:val="009B221D"/>
    <w:rsid w:val="009B2220"/>
    <w:rsid w:val="009B2238"/>
    <w:rsid w:val="009B226C"/>
    <w:rsid w:val="009B22A4"/>
    <w:rsid w:val="009B22B1"/>
    <w:rsid w:val="009B2365"/>
    <w:rsid w:val="009B236B"/>
    <w:rsid w:val="009B2392"/>
    <w:rsid w:val="009B23C0"/>
    <w:rsid w:val="009B2441"/>
    <w:rsid w:val="009B244C"/>
    <w:rsid w:val="009B246B"/>
    <w:rsid w:val="009B2479"/>
    <w:rsid w:val="009B2527"/>
    <w:rsid w:val="009B2555"/>
    <w:rsid w:val="009B2599"/>
    <w:rsid w:val="009B261B"/>
    <w:rsid w:val="009B263B"/>
    <w:rsid w:val="009B2711"/>
    <w:rsid w:val="009B274B"/>
    <w:rsid w:val="009B27FE"/>
    <w:rsid w:val="009B2828"/>
    <w:rsid w:val="009B285F"/>
    <w:rsid w:val="009B2888"/>
    <w:rsid w:val="009B28D3"/>
    <w:rsid w:val="009B28F9"/>
    <w:rsid w:val="009B297F"/>
    <w:rsid w:val="009B29AE"/>
    <w:rsid w:val="009B2AAC"/>
    <w:rsid w:val="009B2ADE"/>
    <w:rsid w:val="009B2B7D"/>
    <w:rsid w:val="009B2BAD"/>
    <w:rsid w:val="009B2C21"/>
    <w:rsid w:val="009B2CE2"/>
    <w:rsid w:val="009B2D45"/>
    <w:rsid w:val="009B2E01"/>
    <w:rsid w:val="009B2E2F"/>
    <w:rsid w:val="009B2E3C"/>
    <w:rsid w:val="009B2EDA"/>
    <w:rsid w:val="009B2F48"/>
    <w:rsid w:val="009B2F52"/>
    <w:rsid w:val="009B2FA4"/>
    <w:rsid w:val="009B305D"/>
    <w:rsid w:val="009B3094"/>
    <w:rsid w:val="009B31CB"/>
    <w:rsid w:val="009B31DF"/>
    <w:rsid w:val="009B321A"/>
    <w:rsid w:val="009B32CA"/>
    <w:rsid w:val="009B32DB"/>
    <w:rsid w:val="009B337A"/>
    <w:rsid w:val="009B33A4"/>
    <w:rsid w:val="009B33E3"/>
    <w:rsid w:val="009B34C7"/>
    <w:rsid w:val="009B351B"/>
    <w:rsid w:val="009B3524"/>
    <w:rsid w:val="009B3713"/>
    <w:rsid w:val="009B37F5"/>
    <w:rsid w:val="009B3833"/>
    <w:rsid w:val="009B3878"/>
    <w:rsid w:val="009B38EE"/>
    <w:rsid w:val="009B3919"/>
    <w:rsid w:val="009B39A1"/>
    <w:rsid w:val="009B39C8"/>
    <w:rsid w:val="009B39E5"/>
    <w:rsid w:val="009B39EE"/>
    <w:rsid w:val="009B3A1B"/>
    <w:rsid w:val="009B3A2A"/>
    <w:rsid w:val="009B3AC8"/>
    <w:rsid w:val="009B3B09"/>
    <w:rsid w:val="009B3B59"/>
    <w:rsid w:val="009B3B6C"/>
    <w:rsid w:val="009B3B9A"/>
    <w:rsid w:val="009B3BAB"/>
    <w:rsid w:val="009B3BEA"/>
    <w:rsid w:val="009B3D90"/>
    <w:rsid w:val="009B3F43"/>
    <w:rsid w:val="009B410C"/>
    <w:rsid w:val="009B411D"/>
    <w:rsid w:val="009B421E"/>
    <w:rsid w:val="009B435D"/>
    <w:rsid w:val="009B43B1"/>
    <w:rsid w:val="009B4422"/>
    <w:rsid w:val="009B446C"/>
    <w:rsid w:val="009B452D"/>
    <w:rsid w:val="009B46AF"/>
    <w:rsid w:val="009B46B0"/>
    <w:rsid w:val="009B470F"/>
    <w:rsid w:val="009B4713"/>
    <w:rsid w:val="009B4744"/>
    <w:rsid w:val="009B47E0"/>
    <w:rsid w:val="009B47EE"/>
    <w:rsid w:val="009B4815"/>
    <w:rsid w:val="009B4880"/>
    <w:rsid w:val="009B4952"/>
    <w:rsid w:val="009B4A17"/>
    <w:rsid w:val="009B4A65"/>
    <w:rsid w:val="009B4B5A"/>
    <w:rsid w:val="009B4B90"/>
    <w:rsid w:val="009B4BAB"/>
    <w:rsid w:val="009B4C34"/>
    <w:rsid w:val="009B4C67"/>
    <w:rsid w:val="009B4CC9"/>
    <w:rsid w:val="009B4D15"/>
    <w:rsid w:val="009B4D24"/>
    <w:rsid w:val="009B4DD0"/>
    <w:rsid w:val="009B4DFC"/>
    <w:rsid w:val="009B4E92"/>
    <w:rsid w:val="009B4E96"/>
    <w:rsid w:val="009B4EC8"/>
    <w:rsid w:val="009B4EF5"/>
    <w:rsid w:val="009B4EFE"/>
    <w:rsid w:val="009B4FC1"/>
    <w:rsid w:val="009B4FDB"/>
    <w:rsid w:val="009B4FE0"/>
    <w:rsid w:val="009B503B"/>
    <w:rsid w:val="009B506B"/>
    <w:rsid w:val="009B5082"/>
    <w:rsid w:val="009B5084"/>
    <w:rsid w:val="009B508F"/>
    <w:rsid w:val="009B50A1"/>
    <w:rsid w:val="009B50BB"/>
    <w:rsid w:val="009B50D4"/>
    <w:rsid w:val="009B5147"/>
    <w:rsid w:val="009B5190"/>
    <w:rsid w:val="009B5260"/>
    <w:rsid w:val="009B5264"/>
    <w:rsid w:val="009B5273"/>
    <w:rsid w:val="009B52AC"/>
    <w:rsid w:val="009B538F"/>
    <w:rsid w:val="009B53A4"/>
    <w:rsid w:val="009B5427"/>
    <w:rsid w:val="009B542F"/>
    <w:rsid w:val="009B5442"/>
    <w:rsid w:val="009B54D2"/>
    <w:rsid w:val="009B5517"/>
    <w:rsid w:val="009B569A"/>
    <w:rsid w:val="009B56DA"/>
    <w:rsid w:val="009B56E2"/>
    <w:rsid w:val="009B5734"/>
    <w:rsid w:val="009B575B"/>
    <w:rsid w:val="009B577A"/>
    <w:rsid w:val="009B57D9"/>
    <w:rsid w:val="009B5845"/>
    <w:rsid w:val="009B585D"/>
    <w:rsid w:val="009B5864"/>
    <w:rsid w:val="009B58A9"/>
    <w:rsid w:val="009B58CF"/>
    <w:rsid w:val="009B58D1"/>
    <w:rsid w:val="009B58E8"/>
    <w:rsid w:val="009B58F0"/>
    <w:rsid w:val="009B595A"/>
    <w:rsid w:val="009B5981"/>
    <w:rsid w:val="009B5989"/>
    <w:rsid w:val="009B5994"/>
    <w:rsid w:val="009B59D3"/>
    <w:rsid w:val="009B5A94"/>
    <w:rsid w:val="009B5A9A"/>
    <w:rsid w:val="009B5AC2"/>
    <w:rsid w:val="009B5C72"/>
    <w:rsid w:val="009B5CAD"/>
    <w:rsid w:val="009B5DB1"/>
    <w:rsid w:val="009B5DF6"/>
    <w:rsid w:val="009B5E38"/>
    <w:rsid w:val="009B5E4D"/>
    <w:rsid w:val="009B5EE9"/>
    <w:rsid w:val="009B6069"/>
    <w:rsid w:val="009B60B7"/>
    <w:rsid w:val="009B615E"/>
    <w:rsid w:val="009B61A1"/>
    <w:rsid w:val="009B61BD"/>
    <w:rsid w:val="009B6311"/>
    <w:rsid w:val="009B634A"/>
    <w:rsid w:val="009B637C"/>
    <w:rsid w:val="009B6391"/>
    <w:rsid w:val="009B639F"/>
    <w:rsid w:val="009B642F"/>
    <w:rsid w:val="009B6487"/>
    <w:rsid w:val="009B64A5"/>
    <w:rsid w:val="009B64D4"/>
    <w:rsid w:val="009B6598"/>
    <w:rsid w:val="009B65C5"/>
    <w:rsid w:val="009B6640"/>
    <w:rsid w:val="009B66CF"/>
    <w:rsid w:val="009B66DB"/>
    <w:rsid w:val="009B66EE"/>
    <w:rsid w:val="009B68C9"/>
    <w:rsid w:val="009B6910"/>
    <w:rsid w:val="009B6915"/>
    <w:rsid w:val="009B6924"/>
    <w:rsid w:val="009B6926"/>
    <w:rsid w:val="009B6968"/>
    <w:rsid w:val="009B6978"/>
    <w:rsid w:val="009B698D"/>
    <w:rsid w:val="009B6A7C"/>
    <w:rsid w:val="009B6ABA"/>
    <w:rsid w:val="009B6ADD"/>
    <w:rsid w:val="009B6BE2"/>
    <w:rsid w:val="009B6C48"/>
    <w:rsid w:val="009B6C4D"/>
    <w:rsid w:val="009B6E21"/>
    <w:rsid w:val="009B6EA3"/>
    <w:rsid w:val="009B6EA7"/>
    <w:rsid w:val="009B6EA9"/>
    <w:rsid w:val="009B6EBB"/>
    <w:rsid w:val="009B6F3B"/>
    <w:rsid w:val="009B6FCC"/>
    <w:rsid w:val="009B6FFA"/>
    <w:rsid w:val="009B7059"/>
    <w:rsid w:val="009B7099"/>
    <w:rsid w:val="009B70B7"/>
    <w:rsid w:val="009B7185"/>
    <w:rsid w:val="009B71A4"/>
    <w:rsid w:val="009B71B0"/>
    <w:rsid w:val="009B71B9"/>
    <w:rsid w:val="009B71F9"/>
    <w:rsid w:val="009B72EB"/>
    <w:rsid w:val="009B738C"/>
    <w:rsid w:val="009B73DF"/>
    <w:rsid w:val="009B73EC"/>
    <w:rsid w:val="009B73F3"/>
    <w:rsid w:val="009B73F6"/>
    <w:rsid w:val="009B73FC"/>
    <w:rsid w:val="009B74F4"/>
    <w:rsid w:val="009B7510"/>
    <w:rsid w:val="009B7557"/>
    <w:rsid w:val="009B76CC"/>
    <w:rsid w:val="009B76DB"/>
    <w:rsid w:val="009B7766"/>
    <w:rsid w:val="009B783B"/>
    <w:rsid w:val="009B784F"/>
    <w:rsid w:val="009B7850"/>
    <w:rsid w:val="009B785A"/>
    <w:rsid w:val="009B78D4"/>
    <w:rsid w:val="009B7993"/>
    <w:rsid w:val="009B79EB"/>
    <w:rsid w:val="009B7A88"/>
    <w:rsid w:val="009B7AD1"/>
    <w:rsid w:val="009B7B22"/>
    <w:rsid w:val="009B7B2D"/>
    <w:rsid w:val="009B7BCF"/>
    <w:rsid w:val="009B7D5E"/>
    <w:rsid w:val="009B7D63"/>
    <w:rsid w:val="009B7DBF"/>
    <w:rsid w:val="009B7DCA"/>
    <w:rsid w:val="009B7F09"/>
    <w:rsid w:val="009B7F58"/>
    <w:rsid w:val="009C0085"/>
    <w:rsid w:val="009C01E7"/>
    <w:rsid w:val="009C0201"/>
    <w:rsid w:val="009C0345"/>
    <w:rsid w:val="009C034A"/>
    <w:rsid w:val="009C055F"/>
    <w:rsid w:val="009C057F"/>
    <w:rsid w:val="009C062B"/>
    <w:rsid w:val="009C0640"/>
    <w:rsid w:val="009C0772"/>
    <w:rsid w:val="009C084E"/>
    <w:rsid w:val="009C09CA"/>
    <w:rsid w:val="009C09F5"/>
    <w:rsid w:val="009C0A67"/>
    <w:rsid w:val="009C0A79"/>
    <w:rsid w:val="009C0A82"/>
    <w:rsid w:val="009C0AA6"/>
    <w:rsid w:val="009C0AE9"/>
    <w:rsid w:val="009C0B52"/>
    <w:rsid w:val="009C0B57"/>
    <w:rsid w:val="009C0BC1"/>
    <w:rsid w:val="009C0CD1"/>
    <w:rsid w:val="009C0CE3"/>
    <w:rsid w:val="009C0CE8"/>
    <w:rsid w:val="009C0D18"/>
    <w:rsid w:val="009C0D51"/>
    <w:rsid w:val="009C0D86"/>
    <w:rsid w:val="009C0DE8"/>
    <w:rsid w:val="009C0E04"/>
    <w:rsid w:val="009C0EB5"/>
    <w:rsid w:val="009C0FDD"/>
    <w:rsid w:val="009C0FFC"/>
    <w:rsid w:val="009C10A6"/>
    <w:rsid w:val="009C1146"/>
    <w:rsid w:val="009C114C"/>
    <w:rsid w:val="009C11B5"/>
    <w:rsid w:val="009C11DD"/>
    <w:rsid w:val="009C11F5"/>
    <w:rsid w:val="009C120F"/>
    <w:rsid w:val="009C12FE"/>
    <w:rsid w:val="009C1387"/>
    <w:rsid w:val="009C13D4"/>
    <w:rsid w:val="009C1431"/>
    <w:rsid w:val="009C1437"/>
    <w:rsid w:val="009C14A8"/>
    <w:rsid w:val="009C156C"/>
    <w:rsid w:val="009C1574"/>
    <w:rsid w:val="009C1576"/>
    <w:rsid w:val="009C15C0"/>
    <w:rsid w:val="009C161D"/>
    <w:rsid w:val="009C1623"/>
    <w:rsid w:val="009C1770"/>
    <w:rsid w:val="009C17D6"/>
    <w:rsid w:val="009C1865"/>
    <w:rsid w:val="009C18A4"/>
    <w:rsid w:val="009C18C6"/>
    <w:rsid w:val="009C18DE"/>
    <w:rsid w:val="009C195A"/>
    <w:rsid w:val="009C1983"/>
    <w:rsid w:val="009C19EF"/>
    <w:rsid w:val="009C19F6"/>
    <w:rsid w:val="009C1A37"/>
    <w:rsid w:val="009C1A82"/>
    <w:rsid w:val="009C1AC8"/>
    <w:rsid w:val="009C1B2A"/>
    <w:rsid w:val="009C1B71"/>
    <w:rsid w:val="009C1BA5"/>
    <w:rsid w:val="009C1CB1"/>
    <w:rsid w:val="009C1D33"/>
    <w:rsid w:val="009C1DD5"/>
    <w:rsid w:val="009C1E44"/>
    <w:rsid w:val="009C1E63"/>
    <w:rsid w:val="009C1EAE"/>
    <w:rsid w:val="009C1EF9"/>
    <w:rsid w:val="009C1EFF"/>
    <w:rsid w:val="009C1F0A"/>
    <w:rsid w:val="009C1F13"/>
    <w:rsid w:val="009C1F4A"/>
    <w:rsid w:val="009C2081"/>
    <w:rsid w:val="009C209B"/>
    <w:rsid w:val="009C2166"/>
    <w:rsid w:val="009C2174"/>
    <w:rsid w:val="009C218E"/>
    <w:rsid w:val="009C21B4"/>
    <w:rsid w:val="009C21FB"/>
    <w:rsid w:val="009C22FC"/>
    <w:rsid w:val="009C2322"/>
    <w:rsid w:val="009C236B"/>
    <w:rsid w:val="009C2396"/>
    <w:rsid w:val="009C23B8"/>
    <w:rsid w:val="009C2433"/>
    <w:rsid w:val="009C24B2"/>
    <w:rsid w:val="009C24D1"/>
    <w:rsid w:val="009C2557"/>
    <w:rsid w:val="009C2628"/>
    <w:rsid w:val="009C2669"/>
    <w:rsid w:val="009C27D9"/>
    <w:rsid w:val="009C27DB"/>
    <w:rsid w:val="009C2800"/>
    <w:rsid w:val="009C286F"/>
    <w:rsid w:val="009C2889"/>
    <w:rsid w:val="009C288E"/>
    <w:rsid w:val="009C2898"/>
    <w:rsid w:val="009C2A62"/>
    <w:rsid w:val="009C2A6E"/>
    <w:rsid w:val="009C2A8E"/>
    <w:rsid w:val="009C2AA3"/>
    <w:rsid w:val="009C2AA6"/>
    <w:rsid w:val="009C2AB2"/>
    <w:rsid w:val="009C2AC3"/>
    <w:rsid w:val="009C2AC4"/>
    <w:rsid w:val="009C2AD0"/>
    <w:rsid w:val="009C2B38"/>
    <w:rsid w:val="009C2BD1"/>
    <w:rsid w:val="009C2C36"/>
    <w:rsid w:val="009C2CB2"/>
    <w:rsid w:val="009C2CB8"/>
    <w:rsid w:val="009C2D22"/>
    <w:rsid w:val="009C2D68"/>
    <w:rsid w:val="009C2ECD"/>
    <w:rsid w:val="009C2ED3"/>
    <w:rsid w:val="009C2EDD"/>
    <w:rsid w:val="009C2FD9"/>
    <w:rsid w:val="009C3032"/>
    <w:rsid w:val="009C30F1"/>
    <w:rsid w:val="009C3116"/>
    <w:rsid w:val="009C316A"/>
    <w:rsid w:val="009C3204"/>
    <w:rsid w:val="009C33F5"/>
    <w:rsid w:val="009C3446"/>
    <w:rsid w:val="009C344F"/>
    <w:rsid w:val="009C355F"/>
    <w:rsid w:val="009C35C7"/>
    <w:rsid w:val="009C3618"/>
    <w:rsid w:val="009C361A"/>
    <w:rsid w:val="009C365D"/>
    <w:rsid w:val="009C366A"/>
    <w:rsid w:val="009C36A5"/>
    <w:rsid w:val="009C370A"/>
    <w:rsid w:val="009C3736"/>
    <w:rsid w:val="009C3798"/>
    <w:rsid w:val="009C37A0"/>
    <w:rsid w:val="009C37C2"/>
    <w:rsid w:val="009C37E7"/>
    <w:rsid w:val="009C3852"/>
    <w:rsid w:val="009C3889"/>
    <w:rsid w:val="009C38D0"/>
    <w:rsid w:val="009C38DA"/>
    <w:rsid w:val="009C3A0A"/>
    <w:rsid w:val="009C3B0D"/>
    <w:rsid w:val="009C3B20"/>
    <w:rsid w:val="009C3B25"/>
    <w:rsid w:val="009C3B68"/>
    <w:rsid w:val="009C3BFE"/>
    <w:rsid w:val="009C3CD0"/>
    <w:rsid w:val="009C3CE2"/>
    <w:rsid w:val="009C3D05"/>
    <w:rsid w:val="009C3D1D"/>
    <w:rsid w:val="009C3DD0"/>
    <w:rsid w:val="009C3E05"/>
    <w:rsid w:val="009C3E98"/>
    <w:rsid w:val="009C3E9C"/>
    <w:rsid w:val="009C3F05"/>
    <w:rsid w:val="009C3F2B"/>
    <w:rsid w:val="009C3F7E"/>
    <w:rsid w:val="009C3FE1"/>
    <w:rsid w:val="009C3FFD"/>
    <w:rsid w:val="009C4030"/>
    <w:rsid w:val="009C406E"/>
    <w:rsid w:val="009C4126"/>
    <w:rsid w:val="009C415F"/>
    <w:rsid w:val="009C41A8"/>
    <w:rsid w:val="009C4261"/>
    <w:rsid w:val="009C4346"/>
    <w:rsid w:val="009C437E"/>
    <w:rsid w:val="009C43BF"/>
    <w:rsid w:val="009C43D3"/>
    <w:rsid w:val="009C441C"/>
    <w:rsid w:val="009C4427"/>
    <w:rsid w:val="009C44BE"/>
    <w:rsid w:val="009C4533"/>
    <w:rsid w:val="009C4582"/>
    <w:rsid w:val="009C45DB"/>
    <w:rsid w:val="009C46A8"/>
    <w:rsid w:val="009C46C8"/>
    <w:rsid w:val="009C46F3"/>
    <w:rsid w:val="009C472E"/>
    <w:rsid w:val="009C487E"/>
    <w:rsid w:val="009C48B4"/>
    <w:rsid w:val="009C48D4"/>
    <w:rsid w:val="009C4958"/>
    <w:rsid w:val="009C49AB"/>
    <w:rsid w:val="009C4ADF"/>
    <w:rsid w:val="009C4B00"/>
    <w:rsid w:val="009C4CCD"/>
    <w:rsid w:val="009C4D20"/>
    <w:rsid w:val="009C4D32"/>
    <w:rsid w:val="009C4D53"/>
    <w:rsid w:val="009C4D6E"/>
    <w:rsid w:val="009C4D6F"/>
    <w:rsid w:val="009C4DA0"/>
    <w:rsid w:val="009C4E2A"/>
    <w:rsid w:val="009C4E8D"/>
    <w:rsid w:val="009C4EAE"/>
    <w:rsid w:val="009C4ED7"/>
    <w:rsid w:val="009C4F05"/>
    <w:rsid w:val="009C4F15"/>
    <w:rsid w:val="009C4F1F"/>
    <w:rsid w:val="009C4FBE"/>
    <w:rsid w:val="009C4FCD"/>
    <w:rsid w:val="009C4FEC"/>
    <w:rsid w:val="009C502C"/>
    <w:rsid w:val="009C5095"/>
    <w:rsid w:val="009C511E"/>
    <w:rsid w:val="009C51A3"/>
    <w:rsid w:val="009C51C3"/>
    <w:rsid w:val="009C51DD"/>
    <w:rsid w:val="009C51F2"/>
    <w:rsid w:val="009C52C4"/>
    <w:rsid w:val="009C5304"/>
    <w:rsid w:val="009C5326"/>
    <w:rsid w:val="009C5363"/>
    <w:rsid w:val="009C53A9"/>
    <w:rsid w:val="009C53BC"/>
    <w:rsid w:val="009C544A"/>
    <w:rsid w:val="009C544D"/>
    <w:rsid w:val="009C5517"/>
    <w:rsid w:val="009C5529"/>
    <w:rsid w:val="009C55CB"/>
    <w:rsid w:val="009C55D8"/>
    <w:rsid w:val="009C5651"/>
    <w:rsid w:val="009C56AC"/>
    <w:rsid w:val="009C5727"/>
    <w:rsid w:val="009C5760"/>
    <w:rsid w:val="009C57B8"/>
    <w:rsid w:val="009C5808"/>
    <w:rsid w:val="009C5831"/>
    <w:rsid w:val="009C5881"/>
    <w:rsid w:val="009C5913"/>
    <w:rsid w:val="009C591C"/>
    <w:rsid w:val="009C594D"/>
    <w:rsid w:val="009C596D"/>
    <w:rsid w:val="009C59ED"/>
    <w:rsid w:val="009C5AAB"/>
    <w:rsid w:val="009C5B0D"/>
    <w:rsid w:val="009C5B81"/>
    <w:rsid w:val="009C5BB1"/>
    <w:rsid w:val="009C5BC5"/>
    <w:rsid w:val="009C5BED"/>
    <w:rsid w:val="009C5BF5"/>
    <w:rsid w:val="009C5CB8"/>
    <w:rsid w:val="009C5CFC"/>
    <w:rsid w:val="009C5D11"/>
    <w:rsid w:val="009C5E58"/>
    <w:rsid w:val="009C5EF9"/>
    <w:rsid w:val="009C5F36"/>
    <w:rsid w:val="009C5F58"/>
    <w:rsid w:val="009C6004"/>
    <w:rsid w:val="009C6075"/>
    <w:rsid w:val="009C607C"/>
    <w:rsid w:val="009C60B8"/>
    <w:rsid w:val="009C6147"/>
    <w:rsid w:val="009C6164"/>
    <w:rsid w:val="009C6194"/>
    <w:rsid w:val="009C6229"/>
    <w:rsid w:val="009C6288"/>
    <w:rsid w:val="009C6330"/>
    <w:rsid w:val="009C6381"/>
    <w:rsid w:val="009C6401"/>
    <w:rsid w:val="009C640E"/>
    <w:rsid w:val="009C65E5"/>
    <w:rsid w:val="009C665F"/>
    <w:rsid w:val="009C6667"/>
    <w:rsid w:val="009C673E"/>
    <w:rsid w:val="009C679C"/>
    <w:rsid w:val="009C67E9"/>
    <w:rsid w:val="009C681C"/>
    <w:rsid w:val="009C6870"/>
    <w:rsid w:val="009C6872"/>
    <w:rsid w:val="009C6903"/>
    <w:rsid w:val="009C6978"/>
    <w:rsid w:val="009C69FE"/>
    <w:rsid w:val="009C6A1E"/>
    <w:rsid w:val="009C6A4E"/>
    <w:rsid w:val="009C6A89"/>
    <w:rsid w:val="009C6AA7"/>
    <w:rsid w:val="009C6AAA"/>
    <w:rsid w:val="009C6AAD"/>
    <w:rsid w:val="009C6B15"/>
    <w:rsid w:val="009C6BFA"/>
    <w:rsid w:val="009C6BFC"/>
    <w:rsid w:val="009C6CEA"/>
    <w:rsid w:val="009C6D2A"/>
    <w:rsid w:val="009C6D38"/>
    <w:rsid w:val="009C6D4E"/>
    <w:rsid w:val="009C6D58"/>
    <w:rsid w:val="009C6D94"/>
    <w:rsid w:val="009C6DE3"/>
    <w:rsid w:val="009C6E74"/>
    <w:rsid w:val="009C6F4D"/>
    <w:rsid w:val="009C6FFB"/>
    <w:rsid w:val="009C702B"/>
    <w:rsid w:val="009C7064"/>
    <w:rsid w:val="009C7105"/>
    <w:rsid w:val="009C716E"/>
    <w:rsid w:val="009C718F"/>
    <w:rsid w:val="009C71C1"/>
    <w:rsid w:val="009C7227"/>
    <w:rsid w:val="009C72AB"/>
    <w:rsid w:val="009C72F9"/>
    <w:rsid w:val="009C738F"/>
    <w:rsid w:val="009C73BF"/>
    <w:rsid w:val="009C73CC"/>
    <w:rsid w:val="009C74E2"/>
    <w:rsid w:val="009C7510"/>
    <w:rsid w:val="009C7565"/>
    <w:rsid w:val="009C7580"/>
    <w:rsid w:val="009C7585"/>
    <w:rsid w:val="009C7590"/>
    <w:rsid w:val="009C76A6"/>
    <w:rsid w:val="009C76B9"/>
    <w:rsid w:val="009C76E4"/>
    <w:rsid w:val="009C774B"/>
    <w:rsid w:val="009C77B5"/>
    <w:rsid w:val="009C77EE"/>
    <w:rsid w:val="009C7860"/>
    <w:rsid w:val="009C78C4"/>
    <w:rsid w:val="009C78F8"/>
    <w:rsid w:val="009C7915"/>
    <w:rsid w:val="009C793D"/>
    <w:rsid w:val="009C795B"/>
    <w:rsid w:val="009C7ABD"/>
    <w:rsid w:val="009C7ADE"/>
    <w:rsid w:val="009C7B08"/>
    <w:rsid w:val="009C7B77"/>
    <w:rsid w:val="009C7C08"/>
    <w:rsid w:val="009C7C77"/>
    <w:rsid w:val="009C7CF5"/>
    <w:rsid w:val="009C7D89"/>
    <w:rsid w:val="009C7E1A"/>
    <w:rsid w:val="009C7E40"/>
    <w:rsid w:val="009C7E62"/>
    <w:rsid w:val="009C7EC8"/>
    <w:rsid w:val="009C7EF8"/>
    <w:rsid w:val="009C7F23"/>
    <w:rsid w:val="009C7F40"/>
    <w:rsid w:val="009C7F5A"/>
    <w:rsid w:val="009C7F5B"/>
    <w:rsid w:val="009C7F6C"/>
    <w:rsid w:val="009C7F86"/>
    <w:rsid w:val="009D0043"/>
    <w:rsid w:val="009D00A4"/>
    <w:rsid w:val="009D0125"/>
    <w:rsid w:val="009D014D"/>
    <w:rsid w:val="009D0160"/>
    <w:rsid w:val="009D0164"/>
    <w:rsid w:val="009D0199"/>
    <w:rsid w:val="009D01A4"/>
    <w:rsid w:val="009D0295"/>
    <w:rsid w:val="009D0380"/>
    <w:rsid w:val="009D04AF"/>
    <w:rsid w:val="009D0627"/>
    <w:rsid w:val="009D0652"/>
    <w:rsid w:val="009D065B"/>
    <w:rsid w:val="009D06CB"/>
    <w:rsid w:val="009D07E1"/>
    <w:rsid w:val="009D087A"/>
    <w:rsid w:val="009D08D8"/>
    <w:rsid w:val="009D0922"/>
    <w:rsid w:val="009D0986"/>
    <w:rsid w:val="009D09D8"/>
    <w:rsid w:val="009D0A55"/>
    <w:rsid w:val="009D0AB2"/>
    <w:rsid w:val="009D0ABE"/>
    <w:rsid w:val="009D0AC3"/>
    <w:rsid w:val="009D0ADC"/>
    <w:rsid w:val="009D0B32"/>
    <w:rsid w:val="009D0B56"/>
    <w:rsid w:val="009D0BA8"/>
    <w:rsid w:val="009D0BC8"/>
    <w:rsid w:val="009D0BEE"/>
    <w:rsid w:val="009D0BF5"/>
    <w:rsid w:val="009D0BF6"/>
    <w:rsid w:val="009D0C6E"/>
    <w:rsid w:val="009D0CEF"/>
    <w:rsid w:val="009D0D03"/>
    <w:rsid w:val="009D0DBC"/>
    <w:rsid w:val="009D0DD9"/>
    <w:rsid w:val="009D0E3B"/>
    <w:rsid w:val="009D0E91"/>
    <w:rsid w:val="009D0E95"/>
    <w:rsid w:val="009D0E9A"/>
    <w:rsid w:val="009D0F47"/>
    <w:rsid w:val="009D0FAF"/>
    <w:rsid w:val="009D0FCB"/>
    <w:rsid w:val="009D0FE6"/>
    <w:rsid w:val="009D1018"/>
    <w:rsid w:val="009D10D1"/>
    <w:rsid w:val="009D11CA"/>
    <w:rsid w:val="009D11E5"/>
    <w:rsid w:val="009D11FA"/>
    <w:rsid w:val="009D1203"/>
    <w:rsid w:val="009D1395"/>
    <w:rsid w:val="009D13B2"/>
    <w:rsid w:val="009D13F4"/>
    <w:rsid w:val="009D1406"/>
    <w:rsid w:val="009D1421"/>
    <w:rsid w:val="009D14A4"/>
    <w:rsid w:val="009D1522"/>
    <w:rsid w:val="009D15AB"/>
    <w:rsid w:val="009D166E"/>
    <w:rsid w:val="009D1694"/>
    <w:rsid w:val="009D169F"/>
    <w:rsid w:val="009D16A4"/>
    <w:rsid w:val="009D175D"/>
    <w:rsid w:val="009D18CE"/>
    <w:rsid w:val="009D19A3"/>
    <w:rsid w:val="009D19DC"/>
    <w:rsid w:val="009D19E4"/>
    <w:rsid w:val="009D1A3D"/>
    <w:rsid w:val="009D1A44"/>
    <w:rsid w:val="009D1AA3"/>
    <w:rsid w:val="009D1ABE"/>
    <w:rsid w:val="009D1B25"/>
    <w:rsid w:val="009D1B68"/>
    <w:rsid w:val="009D1C12"/>
    <w:rsid w:val="009D1C68"/>
    <w:rsid w:val="009D1CB6"/>
    <w:rsid w:val="009D1CD4"/>
    <w:rsid w:val="009D1EA2"/>
    <w:rsid w:val="009D1F84"/>
    <w:rsid w:val="009D204C"/>
    <w:rsid w:val="009D20C5"/>
    <w:rsid w:val="009D20F8"/>
    <w:rsid w:val="009D20FE"/>
    <w:rsid w:val="009D216E"/>
    <w:rsid w:val="009D2170"/>
    <w:rsid w:val="009D21C2"/>
    <w:rsid w:val="009D21C6"/>
    <w:rsid w:val="009D21DB"/>
    <w:rsid w:val="009D222A"/>
    <w:rsid w:val="009D224B"/>
    <w:rsid w:val="009D22BD"/>
    <w:rsid w:val="009D232A"/>
    <w:rsid w:val="009D2343"/>
    <w:rsid w:val="009D23D5"/>
    <w:rsid w:val="009D2455"/>
    <w:rsid w:val="009D2468"/>
    <w:rsid w:val="009D24F5"/>
    <w:rsid w:val="009D2540"/>
    <w:rsid w:val="009D25A4"/>
    <w:rsid w:val="009D2626"/>
    <w:rsid w:val="009D2646"/>
    <w:rsid w:val="009D2657"/>
    <w:rsid w:val="009D26A3"/>
    <w:rsid w:val="009D26FC"/>
    <w:rsid w:val="009D27D1"/>
    <w:rsid w:val="009D2962"/>
    <w:rsid w:val="009D29A2"/>
    <w:rsid w:val="009D29B4"/>
    <w:rsid w:val="009D29F6"/>
    <w:rsid w:val="009D2A3D"/>
    <w:rsid w:val="009D2A5F"/>
    <w:rsid w:val="009D2B43"/>
    <w:rsid w:val="009D2B64"/>
    <w:rsid w:val="009D2B97"/>
    <w:rsid w:val="009D2BE8"/>
    <w:rsid w:val="009D2C08"/>
    <w:rsid w:val="009D2CB4"/>
    <w:rsid w:val="009D2D62"/>
    <w:rsid w:val="009D2D6C"/>
    <w:rsid w:val="009D2E7B"/>
    <w:rsid w:val="009D2E95"/>
    <w:rsid w:val="009D2F20"/>
    <w:rsid w:val="009D2FAF"/>
    <w:rsid w:val="009D3060"/>
    <w:rsid w:val="009D3071"/>
    <w:rsid w:val="009D3087"/>
    <w:rsid w:val="009D30E5"/>
    <w:rsid w:val="009D31BC"/>
    <w:rsid w:val="009D31DC"/>
    <w:rsid w:val="009D3241"/>
    <w:rsid w:val="009D3256"/>
    <w:rsid w:val="009D3257"/>
    <w:rsid w:val="009D3259"/>
    <w:rsid w:val="009D32F3"/>
    <w:rsid w:val="009D3310"/>
    <w:rsid w:val="009D338B"/>
    <w:rsid w:val="009D33E4"/>
    <w:rsid w:val="009D3481"/>
    <w:rsid w:val="009D3537"/>
    <w:rsid w:val="009D35A4"/>
    <w:rsid w:val="009D35B2"/>
    <w:rsid w:val="009D35CE"/>
    <w:rsid w:val="009D35FD"/>
    <w:rsid w:val="009D3742"/>
    <w:rsid w:val="009D375C"/>
    <w:rsid w:val="009D3791"/>
    <w:rsid w:val="009D382F"/>
    <w:rsid w:val="009D38A0"/>
    <w:rsid w:val="009D3982"/>
    <w:rsid w:val="009D39A3"/>
    <w:rsid w:val="009D3A62"/>
    <w:rsid w:val="009D3A88"/>
    <w:rsid w:val="009D3AAD"/>
    <w:rsid w:val="009D3AEE"/>
    <w:rsid w:val="009D3B34"/>
    <w:rsid w:val="009D3B44"/>
    <w:rsid w:val="009D3C03"/>
    <w:rsid w:val="009D3D29"/>
    <w:rsid w:val="009D3D78"/>
    <w:rsid w:val="009D3DA4"/>
    <w:rsid w:val="009D3DE9"/>
    <w:rsid w:val="009D3E4B"/>
    <w:rsid w:val="009D3EE3"/>
    <w:rsid w:val="009D3F02"/>
    <w:rsid w:val="009D3F04"/>
    <w:rsid w:val="009D3F57"/>
    <w:rsid w:val="009D3FAE"/>
    <w:rsid w:val="009D3FCF"/>
    <w:rsid w:val="009D400A"/>
    <w:rsid w:val="009D4027"/>
    <w:rsid w:val="009D40E1"/>
    <w:rsid w:val="009D413C"/>
    <w:rsid w:val="009D42A5"/>
    <w:rsid w:val="009D4374"/>
    <w:rsid w:val="009D4376"/>
    <w:rsid w:val="009D4380"/>
    <w:rsid w:val="009D44AA"/>
    <w:rsid w:val="009D44D9"/>
    <w:rsid w:val="009D44E0"/>
    <w:rsid w:val="009D4533"/>
    <w:rsid w:val="009D45EF"/>
    <w:rsid w:val="009D470C"/>
    <w:rsid w:val="009D4773"/>
    <w:rsid w:val="009D47B6"/>
    <w:rsid w:val="009D4805"/>
    <w:rsid w:val="009D4905"/>
    <w:rsid w:val="009D4945"/>
    <w:rsid w:val="009D49BA"/>
    <w:rsid w:val="009D49CF"/>
    <w:rsid w:val="009D4ABD"/>
    <w:rsid w:val="009D4B05"/>
    <w:rsid w:val="009D4B1D"/>
    <w:rsid w:val="009D4BDC"/>
    <w:rsid w:val="009D4C1F"/>
    <w:rsid w:val="009D4C21"/>
    <w:rsid w:val="009D4C9B"/>
    <w:rsid w:val="009D4CD4"/>
    <w:rsid w:val="009D4D2D"/>
    <w:rsid w:val="009D4D50"/>
    <w:rsid w:val="009D4D57"/>
    <w:rsid w:val="009D4D99"/>
    <w:rsid w:val="009D4D9C"/>
    <w:rsid w:val="009D4DF0"/>
    <w:rsid w:val="009D4E6D"/>
    <w:rsid w:val="009D4F07"/>
    <w:rsid w:val="009D4F50"/>
    <w:rsid w:val="009D4F81"/>
    <w:rsid w:val="009D5068"/>
    <w:rsid w:val="009D51AE"/>
    <w:rsid w:val="009D51F3"/>
    <w:rsid w:val="009D51FD"/>
    <w:rsid w:val="009D525E"/>
    <w:rsid w:val="009D52B5"/>
    <w:rsid w:val="009D52D5"/>
    <w:rsid w:val="009D5331"/>
    <w:rsid w:val="009D5427"/>
    <w:rsid w:val="009D5501"/>
    <w:rsid w:val="009D550D"/>
    <w:rsid w:val="009D5554"/>
    <w:rsid w:val="009D5563"/>
    <w:rsid w:val="009D556A"/>
    <w:rsid w:val="009D55BE"/>
    <w:rsid w:val="009D5609"/>
    <w:rsid w:val="009D57B2"/>
    <w:rsid w:val="009D57EF"/>
    <w:rsid w:val="009D57FC"/>
    <w:rsid w:val="009D58EB"/>
    <w:rsid w:val="009D5920"/>
    <w:rsid w:val="009D5A39"/>
    <w:rsid w:val="009D5A6F"/>
    <w:rsid w:val="009D5AD2"/>
    <w:rsid w:val="009D5AFC"/>
    <w:rsid w:val="009D5B2E"/>
    <w:rsid w:val="009D5B9C"/>
    <w:rsid w:val="009D5C21"/>
    <w:rsid w:val="009D5C3C"/>
    <w:rsid w:val="009D5EA6"/>
    <w:rsid w:val="009D5ED7"/>
    <w:rsid w:val="009D5FA7"/>
    <w:rsid w:val="009D6046"/>
    <w:rsid w:val="009D604F"/>
    <w:rsid w:val="009D60D2"/>
    <w:rsid w:val="009D60F3"/>
    <w:rsid w:val="009D6188"/>
    <w:rsid w:val="009D61CE"/>
    <w:rsid w:val="009D61E6"/>
    <w:rsid w:val="009D621B"/>
    <w:rsid w:val="009D6259"/>
    <w:rsid w:val="009D629D"/>
    <w:rsid w:val="009D636A"/>
    <w:rsid w:val="009D638C"/>
    <w:rsid w:val="009D63A4"/>
    <w:rsid w:val="009D6448"/>
    <w:rsid w:val="009D64F2"/>
    <w:rsid w:val="009D65AE"/>
    <w:rsid w:val="009D6613"/>
    <w:rsid w:val="009D6666"/>
    <w:rsid w:val="009D667D"/>
    <w:rsid w:val="009D66C7"/>
    <w:rsid w:val="009D66DD"/>
    <w:rsid w:val="009D6710"/>
    <w:rsid w:val="009D6738"/>
    <w:rsid w:val="009D6749"/>
    <w:rsid w:val="009D6774"/>
    <w:rsid w:val="009D68FE"/>
    <w:rsid w:val="009D69CA"/>
    <w:rsid w:val="009D6B4A"/>
    <w:rsid w:val="009D6BED"/>
    <w:rsid w:val="009D6C6D"/>
    <w:rsid w:val="009D6CEA"/>
    <w:rsid w:val="009D6D02"/>
    <w:rsid w:val="009D6D2C"/>
    <w:rsid w:val="009D6DBD"/>
    <w:rsid w:val="009D6DEA"/>
    <w:rsid w:val="009D6F76"/>
    <w:rsid w:val="009D7013"/>
    <w:rsid w:val="009D70F5"/>
    <w:rsid w:val="009D71F2"/>
    <w:rsid w:val="009D7358"/>
    <w:rsid w:val="009D7477"/>
    <w:rsid w:val="009D74AE"/>
    <w:rsid w:val="009D74FD"/>
    <w:rsid w:val="009D758B"/>
    <w:rsid w:val="009D75B0"/>
    <w:rsid w:val="009D7616"/>
    <w:rsid w:val="009D7642"/>
    <w:rsid w:val="009D7667"/>
    <w:rsid w:val="009D766D"/>
    <w:rsid w:val="009D76A5"/>
    <w:rsid w:val="009D77C6"/>
    <w:rsid w:val="009D7848"/>
    <w:rsid w:val="009D79B4"/>
    <w:rsid w:val="009D79C7"/>
    <w:rsid w:val="009D7A64"/>
    <w:rsid w:val="009D7A90"/>
    <w:rsid w:val="009D7BCB"/>
    <w:rsid w:val="009D7BEC"/>
    <w:rsid w:val="009D7C52"/>
    <w:rsid w:val="009D7C76"/>
    <w:rsid w:val="009D7C9D"/>
    <w:rsid w:val="009D7CBF"/>
    <w:rsid w:val="009D7D30"/>
    <w:rsid w:val="009D7D58"/>
    <w:rsid w:val="009D7E0D"/>
    <w:rsid w:val="009D7F23"/>
    <w:rsid w:val="009E00BA"/>
    <w:rsid w:val="009E00DF"/>
    <w:rsid w:val="009E0124"/>
    <w:rsid w:val="009E017F"/>
    <w:rsid w:val="009E0181"/>
    <w:rsid w:val="009E0245"/>
    <w:rsid w:val="009E02FD"/>
    <w:rsid w:val="009E0355"/>
    <w:rsid w:val="009E0410"/>
    <w:rsid w:val="009E0423"/>
    <w:rsid w:val="009E0492"/>
    <w:rsid w:val="009E04AB"/>
    <w:rsid w:val="009E0503"/>
    <w:rsid w:val="009E055A"/>
    <w:rsid w:val="009E05AA"/>
    <w:rsid w:val="009E05D8"/>
    <w:rsid w:val="009E08EC"/>
    <w:rsid w:val="009E09A7"/>
    <w:rsid w:val="009E09F6"/>
    <w:rsid w:val="009E0ABE"/>
    <w:rsid w:val="009E0AEA"/>
    <w:rsid w:val="009E0B74"/>
    <w:rsid w:val="009E0BC2"/>
    <w:rsid w:val="009E0BFC"/>
    <w:rsid w:val="009E0C0F"/>
    <w:rsid w:val="009E0C20"/>
    <w:rsid w:val="009E0C63"/>
    <w:rsid w:val="009E0D79"/>
    <w:rsid w:val="009E0DA3"/>
    <w:rsid w:val="009E0DE7"/>
    <w:rsid w:val="009E0E00"/>
    <w:rsid w:val="009E0E1E"/>
    <w:rsid w:val="009E0E30"/>
    <w:rsid w:val="009E0E58"/>
    <w:rsid w:val="009E0E65"/>
    <w:rsid w:val="009E0E83"/>
    <w:rsid w:val="009E0F8A"/>
    <w:rsid w:val="009E1012"/>
    <w:rsid w:val="009E101F"/>
    <w:rsid w:val="009E10A3"/>
    <w:rsid w:val="009E10AF"/>
    <w:rsid w:val="009E10FF"/>
    <w:rsid w:val="009E116D"/>
    <w:rsid w:val="009E120B"/>
    <w:rsid w:val="009E1244"/>
    <w:rsid w:val="009E12FF"/>
    <w:rsid w:val="009E13A9"/>
    <w:rsid w:val="009E13F4"/>
    <w:rsid w:val="009E13F9"/>
    <w:rsid w:val="009E142A"/>
    <w:rsid w:val="009E1656"/>
    <w:rsid w:val="009E1705"/>
    <w:rsid w:val="009E1726"/>
    <w:rsid w:val="009E1799"/>
    <w:rsid w:val="009E17EF"/>
    <w:rsid w:val="009E19A3"/>
    <w:rsid w:val="009E19F8"/>
    <w:rsid w:val="009E1A61"/>
    <w:rsid w:val="009E1A70"/>
    <w:rsid w:val="009E1A81"/>
    <w:rsid w:val="009E1ACB"/>
    <w:rsid w:val="009E1BD2"/>
    <w:rsid w:val="009E1C0E"/>
    <w:rsid w:val="009E1C56"/>
    <w:rsid w:val="009E1CC3"/>
    <w:rsid w:val="009E1CD2"/>
    <w:rsid w:val="009E1D11"/>
    <w:rsid w:val="009E1D6D"/>
    <w:rsid w:val="009E1DCB"/>
    <w:rsid w:val="009E1E7E"/>
    <w:rsid w:val="009E1ED8"/>
    <w:rsid w:val="009E1F98"/>
    <w:rsid w:val="009E1FAC"/>
    <w:rsid w:val="009E1FC8"/>
    <w:rsid w:val="009E1FF0"/>
    <w:rsid w:val="009E2005"/>
    <w:rsid w:val="009E2089"/>
    <w:rsid w:val="009E20CB"/>
    <w:rsid w:val="009E20E9"/>
    <w:rsid w:val="009E213E"/>
    <w:rsid w:val="009E2150"/>
    <w:rsid w:val="009E2157"/>
    <w:rsid w:val="009E21F0"/>
    <w:rsid w:val="009E227C"/>
    <w:rsid w:val="009E2326"/>
    <w:rsid w:val="009E2327"/>
    <w:rsid w:val="009E253B"/>
    <w:rsid w:val="009E25C0"/>
    <w:rsid w:val="009E25CE"/>
    <w:rsid w:val="009E25D4"/>
    <w:rsid w:val="009E26AE"/>
    <w:rsid w:val="009E26B3"/>
    <w:rsid w:val="009E279D"/>
    <w:rsid w:val="009E27CF"/>
    <w:rsid w:val="009E2902"/>
    <w:rsid w:val="009E29F0"/>
    <w:rsid w:val="009E2A44"/>
    <w:rsid w:val="009E2A7A"/>
    <w:rsid w:val="009E2A81"/>
    <w:rsid w:val="009E2A88"/>
    <w:rsid w:val="009E2B42"/>
    <w:rsid w:val="009E2B4E"/>
    <w:rsid w:val="009E2B8F"/>
    <w:rsid w:val="009E2BF5"/>
    <w:rsid w:val="009E2C26"/>
    <w:rsid w:val="009E2C7F"/>
    <w:rsid w:val="009E2D38"/>
    <w:rsid w:val="009E2D99"/>
    <w:rsid w:val="009E2DAB"/>
    <w:rsid w:val="009E2E09"/>
    <w:rsid w:val="009E2E1C"/>
    <w:rsid w:val="009E2F0F"/>
    <w:rsid w:val="009E2F3D"/>
    <w:rsid w:val="009E2F6D"/>
    <w:rsid w:val="009E2FB9"/>
    <w:rsid w:val="009E3023"/>
    <w:rsid w:val="009E311C"/>
    <w:rsid w:val="009E3195"/>
    <w:rsid w:val="009E3247"/>
    <w:rsid w:val="009E32A6"/>
    <w:rsid w:val="009E32A9"/>
    <w:rsid w:val="009E3321"/>
    <w:rsid w:val="009E3399"/>
    <w:rsid w:val="009E33B6"/>
    <w:rsid w:val="009E3488"/>
    <w:rsid w:val="009E349F"/>
    <w:rsid w:val="009E3515"/>
    <w:rsid w:val="009E3641"/>
    <w:rsid w:val="009E3651"/>
    <w:rsid w:val="009E36B8"/>
    <w:rsid w:val="009E36D2"/>
    <w:rsid w:val="009E3716"/>
    <w:rsid w:val="009E3746"/>
    <w:rsid w:val="009E37E0"/>
    <w:rsid w:val="009E3830"/>
    <w:rsid w:val="009E3839"/>
    <w:rsid w:val="009E3845"/>
    <w:rsid w:val="009E3880"/>
    <w:rsid w:val="009E3888"/>
    <w:rsid w:val="009E3891"/>
    <w:rsid w:val="009E38AE"/>
    <w:rsid w:val="009E38D5"/>
    <w:rsid w:val="009E3943"/>
    <w:rsid w:val="009E3B42"/>
    <w:rsid w:val="009E3B44"/>
    <w:rsid w:val="009E3B6E"/>
    <w:rsid w:val="009E3BBB"/>
    <w:rsid w:val="009E3BBF"/>
    <w:rsid w:val="009E3BD1"/>
    <w:rsid w:val="009E3C57"/>
    <w:rsid w:val="009E3CA9"/>
    <w:rsid w:val="009E3D1A"/>
    <w:rsid w:val="009E3EC8"/>
    <w:rsid w:val="009E3F20"/>
    <w:rsid w:val="009E3FAD"/>
    <w:rsid w:val="009E3FF9"/>
    <w:rsid w:val="009E4030"/>
    <w:rsid w:val="009E4045"/>
    <w:rsid w:val="009E414B"/>
    <w:rsid w:val="009E418C"/>
    <w:rsid w:val="009E419E"/>
    <w:rsid w:val="009E41F2"/>
    <w:rsid w:val="009E4209"/>
    <w:rsid w:val="009E424C"/>
    <w:rsid w:val="009E4272"/>
    <w:rsid w:val="009E4276"/>
    <w:rsid w:val="009E42BE"/>
    <w:rsid w:val="009E4300"/>
    <w:rsid w:val="009E43B0"/>
    <w:rsid w:val="009E43FF"/>
    <w:rsid w:val="009E4432"/>
    <w:rsid w:val="009E44D7"/>
    <w:rsid w:val="009E453B"/>
    <w:rsid w:val="009E45CB"/>
    <w:rsid w:val="009E45CF"/>
    <w:rsid w:val="009E4614"/>
    <w:rsid w:val="009E4617"/>
    <w:rsid w:val="009E4621"/>
    <w:rsid w:val="009E4665"/>
    <w:rsid w:val="009E467E"/>
    <w:rsid w:val="009E46B0"/>
    <w:rsid w:val="009E46B5"/>
    <w:rsid w:val="009E46DC"/>
    <w:rsid w:val="009E4762"/>
    <w:rsid w:val="009E4789"/>
    <w:rsid w:val="009E4798"/>
    <w:rsid w:val="009E4806"/>
    <w:rsid w:val="009E4886"/>
    <w:rsid w:val="009E48DE"/>
    <w:rsid w:val="009E495B"/>
    <w:rsid w:val="009E495F"/>
    <w:rsid w:val="009E49CB"/>
    <w:rsid w:val="009E4A72"/>
    <w:rsid w:val="009E4A75"/>
    <w:rsid w:val="009E4AD6"/>
    <w:rsid w:val="009E4B77"/>
    <w:rsid w:val="009E4BA7"/>
    <w:rsid w:val="009E4BB6"/>
    <w:rsid w:val="009E4BC7"/>
    <w:rsid w:val="009E4C8A"/>
    <w:rsid w:val="009E4CB7"/>
    <w:rsid w:val="009E4D19"/>
    <w:rsid w:val="009E4DC0"/>
    <w:rsid w:val="009E4E08"/>
    <w:rsid w:val="009E4E7E"/>
    <w:rsid w:val="009E4EB1"/>
    <w:rsid w:val="009E4EFE"/>
    <w:rsid w:val="009E5005"/>
    <w:rsid w:val="009E517F"/>
    <w:rsid w:val="009E51FF"/>
    <w:rsid w:val="009E5223"/>
    <w:rsid w:val="009E523A"/>
    <w:rsid w:val="009E5245"/>
    <w:rsid w:val="009E5256"/>
    <w:rsid w:val="009E5292"/>
    <w:rsid w:val="009E5332"/>
    <w:rsid w:val="009E53C8"/>
    <w:rsid w:val="009E53F2"/>
    <w:rsid w:val="009E54E2"/>
    <w:rsid w:val="009E550B"/>
    <w:rsid w:val="009E5595"/>
    <w:rsid w:val="009E55C2"/>
    <w:rsid w:val="009E5611"/>
    <w:rsid w:val="009E5734"/>
    <w:rsid w:val="009E5791"/>
    <w:rsid w:val="009E57C1"/>
    <w:rsid w:val="009E591C"/>
    <w:rsid w:val="009E5977"/>
    <w:rsid w:val="009E5A37"/>
    <w:rsid w:val="009E5A6F"/>
    <w:rsid w:val="009E5AB6"/>
    <w:rsid w:val="009E5B44"/>
    <w:rsid w:val="009E5C02"/>
    <w:rsid w:val="009E5C51"/>
    <w:rsid w:val="009E5C98"/>
    <w:rsid w:val="009E5DEB"/>
    <w:rsid w:val="009E5F8E"/>
    <w:rsid w:val="009E60BB"/>
    <w:rsid w:val="009E619A"/>
    <w:rsid w:val="009E61A8"/>
    <w:rsid w:val="009E6204"/>
    <w:rsid w:val="009E6225"/>
    <w:rsid w:val="009E63D5"/>
    <w:rsid w:val="009E64F2"/>
    <w:rsid w:val="009E6501"/>
    <w:rsid w:val="009E6519"/>
    <w:rsid w:val="009E65AD"/>
    <w:rsid w:val="009E669D"/>
    <w:rsid w:val="009E66E9"/>
    <w:rsid w:val="009E677D"/>
    <w:rsid w:val="009E6781"/>
    <w:rsid w:val="009E6863"/>
    <w:rsid w:val="009E68E9"/>
    <w:rsid w:val="009E6900"/>
    <w:rsid w:val="009E69A6"/>
    <w:rsid w:val="009E6A72"/>
    <w:rsid w:val="009E6A79"/>
    <w:rsid w:val="009E6D2E"/>
    <w:rsid w:val="009E6DA5"/>
    <w:rsid w:val="009E6DB9"/>
    <w:rsid w:val="009E6DC5"/>
    <w:rsid w:val="009E6EE4"/>
    <w:rsid w:val="009E6EFE"/>
    <w:rsid w:val="009E6F1E"/>
    <w:rsid w:val="009E6F40"/>
    <w:rsid w:val="009E6F7E"/>
    <w:rsid w:val="009E7084"/>
    <w:rsid w:val="009E708E"/>
    <w:rsid w:val="009E712E"/>
    <w:rsid w:val="009E716D"/>
    <w:rsid w:val="009E718C"/>
    <w:rsid w:val="009E71DD"/>
    <w:rsid w:val="009E730B"/>
    <w:rsid w:val="009E7370"/>
    <w:rsid w:val="009E7440"/>
    <w:rsid w:val="009E7493"/>
    <w:rsid w:val="009E755F"/>
    <w:rsid w:val="009E76E7"/>
    <w:rsid w:val="009E77C3"/>
    <w:rsid w:val="009E77DA"/>
    <w:rsid w:val="009E78E8"/>
    <w:rsid w:val="009E798F"/>
    <w:rsid w:val="009E7A16"/>
    <w:rsid w:val="009E7A9D"/>
    <w:rsid w:val="009E7B87"/>
    <w:rsid w:val="009E7BB6"/>
    <w:rsid w:val="009E7BE5"/>
    <w:rsid w:val="009E7C05"/>
    <w:rsid w:val="009E7C09"/>
    <w:rsid w:val="009E7C37"/>
    <w:rsid w:val="009E7C81"/>
    <w:rsid w:val="009E7C9F"/>
    <w:rsid w:val="009E7CB6"/>
    <w:rsid w:val="009E7CDC"/>
    <w:rsid w:val="009E7D2A"/>
    <w:rsid w:val="009E7DAC"/>
    <w:rsid w:val="009E7DC2"/>
    <w:rsid w:val="009E7DDF"/>
    <w:rsid w:val="009E7E07"/>
    <w:rsid w:val="009E7E9E"/>
    <w:rsid w:val="009E7EA1"/>
    <w:rsid w:val="009E7EBE"/>
    <w:rsid w:val="009E7F65"/>
    <w:rsid w:val="009E7FCB"/>
    <w:rsid w:val="009E7FEF"/>
    <w:rsid w:val="009F005B"/>
    <w:rsid w:val="009F00A4"/>
    <w:rsid w:val="009F00E6"/>
    <w:rsid w:val="009F0163"/>
    <w:rsid w:val="009F019A"/>
    <w:rsid w:val="009F01CB"/>
    <w:rsid w:val="009F0282"/>
    <w:rsid w:val="009F02DC"/>
    <w:rsid w:val="009F031B"/>
    <w:rsid w:val="009F0320"/>
    <w:rsid w:val="009F0348"/>
    <w:rsid w:val="009F03E1"/>
    <w:rsid w:val="009F0435"/>
    <w:rsid w:val="009F0481"/>
    <w:rsid w:val="009F04BD"/>
    <w:rsid w:val="009F0504"/>
    <w:rsid w:val="009F058E"/>
    <w:rsid w:val="009F05DC"/>
    <w:rsid w:val="009F05F1"/>
    <w:rsid w:val="009F062A"/>
    <w:rsid w:val="009F067A"/>
    <w:rsid w:val="009F06CD"/>
    <w:rsid w:val="009F07FC"/>
    <w:rsid w:val="009F089E"/>
    <w:rsid w:val="009F08BB"/>
    <w:rsid w:val="009F08F7"/>
    <w:rsid w:val="009F096F"/>
    <w:rsid w:val="009F09CA"/>
    <w:rsid w:val="009F0A33"/>
    <w:rsid w:val="009F0AD9"/>
    <w:rsid w:val="009F0AEE"/>
    <w:rsid w:val="009F0B87"/>
    <w:rsid w:val="009F0B8F"/>
    <w:rsid w:val="009F0B91"/>
    <w:rsid w:val="009F0B9D"/>
    <w:rsid w:val="009F0BE6"/>
    <w:rsid w:val="009F0CA4"/>
    <w:rsid w:val="009F0CE7"/>
    <w:rsid w:val="009F0D02"/>
    <w:rsid w:val="009F0EE2"/>
    <w:rsid w:val="009F1061"/>
    <w:rsid w:val="009F11E7"/>
    <w:rsid w:val="009F1233"/>
    <w:rsid w:val="009F1273"/>
    <w:rsid w:val="009F1318"/>
    <w:rsid w:val="009F139A"/>
    <w:rsid w:val="009F144F"/>
    <w:rsid w:val="009F1487"/>
    <w:rsid w:val="009F14B9"/>
    <w:rsid w:val="009F1505"/>
    <w:rsid w:val="009F1519"/>
    <w:rsid w:val="009F154A"/>
    <w:rsid w:val="009F156D"/>
    <w:rsid w:val="009F159C"/>
    <w:rsid w:val="009F1611"/>
    <w:rsid w:val="009F16AD"/>
    <w:rsid w:val="009F16DB"/>
    <w:rsid w:val="009F1940"/>
    <w:rsid w:val="009F1972"/>
    <w:rsid w:val="009F1991"/>
    <w:rsid w:val="009F1993"/>
    <w:rsid w:val="009F1A7E"/>
    <w:rsid w:val="009F1B97"/>
    <w:rsid w:val="009F1C01"/>
    <w:rsid w:val="009F1C17"/>
    <w:rsid w:val="009F1C40"/>
    <w:rsid w:val="009F1C86"/>
    <w:rsid w:val="009F1CC1"/>
    <w:rsid w:val="009F1D17"/>
    <w:rsid w:val="009F1D78"/>
    <w:rsid w:val="009F1DEE"/>
    <w:rsid w:val="009F1E1F"/>
    <w:rsid w:val="009F1ED8"/>
    <w:rsid w:val="009F1EE0"/>
    <w:rsid w:val="009F1F1E"/>
    <w:rsid w:val="009F1F55"/>
    <w:rsid w:val="009F202C"/>
    <w:rsid w:val="009F20A8"/>
    <w:rsid w:val="009F2121"/>
    <w:rsid w:val="009F2292"/>
    <w:rsid w:val="009F233E"/>
    <w:rsid w:val="009F2375"/>
    <w:rsid w:val="009F2379"/>
    <w:rsid w:val="009F2520"/>
    <w:rsid w:val="009F2588"/>
    <w:rsid w:val="009F25BD"/>
    <w:rsid w:val="009F25C1"/>
    <w:rsid w:val="009F26B9"/>
    <w:rsid w:val="009F26DC"/>
    <w:rsid w:val="009F26E1"/>
    <w:rsid w:val="009F26E9"/>
    <w:rsid w:val="009F277E"/>
    <w:rsid w:val="009F27CB"/>
    <w:rsid w:val="009F27F5"/>
    <w:rsid w:val="009F2A53"/>
    <w:rsid w:val="009F2AB1"/>
    <w:rsid w:val="009F2B2C"/>
    <w:rsid w:val="009F2B54"/>
    <w:rsid w:val="009F2BD2"/>
    <w:rsid w:val="009F2C83"/>
    <w:rsid w:val="009F2CB4"/>
    <w:rsid w:val="009F2CE7"/>
    <w:rsid w:val="009F2D3A"/>
    <w:rsid w:val="009F2DB6"/>
    <w:rsid w:val="009F2E14"/>
    <w:rsid w:val="009F2E3D"/>
    <w:rsid w:val="009F2EA6"/>
    <w:rsid w:val="009F2EE5"/>
    <w:rsid w:val="009F2EF3"/>
    <w:rsid w:val="009F2F7C"/>
    <w:rsid w:val="009F2FFA"/>
    <w:rsid w:val="009F3032"/>
    <w:rsid w:val="009F3050"/>
    <w:rsid w:val="009F30AB"/>
    <w:rsid w:val="009F30B6"/>
    <w:rsid w:val="009F30FB"/>
    <w:rsid w:val="009F3165"/>
    <w:rsid w:val="009F3242"/>
    <w:rsid w:val="009F32E0"/>
    <w:rsid w:val="009F3308"/>
    <w:rsid w:val="009F330A"/>
    <w:rsid w:val="009F335F"/>
    <w:rsid w:val="009F3362"/>
    <w:rsid w:val="009F3386"/>
    <w:rsid w:val="009F3425"/>
    <w:rsid w:val="009F3571"/>
    <w:rsid w:val="009F3576"/>
    <w:rsid w:val="009F357E"/>
    <w:rsid w:val="009F35C3"/>
    <w:rsid w:val="009F35F4"/>
    <w:rsid w:val="009F36ED"/>
    <w:rsid w:val="009F36F0"/>
    <w:rsid w:val="009F3715"/>
    <w:rsid w:val="009F3719"/>
    <w:rsid w:val="009F378A"/>
    <w:rsid w:val="009F3819"/>
    <w:rsid w:val="009F3841"/>
    <w:rsid w:val="009F3924"/>
    <w:rsid w:val="009F3A9F"/>
    <w:rsid w:val="009F3ACC"/>
    <w:rsid w:val="009F3C25"/>
    <w:rsid w:val="009F3CEE"/>
    <w:rsid w:val="009F3CFB"/>
    <w:rsid w:val="009F3D51"/>
    <w:rsid w:val="009F3DE1"/>
    <w:rsid w:val="009F3E1E"/>
    <w:rsid w:val="009F3EAC"/>
    <w:rsid w:val="009F3F0D"/>
    <w:rsid w:val="009F3F14"/>
    <w:rsid w:val="009F3F15"/>
    <w:rsid w:val="009F3F39"/>
    <w:rsid w:val="009F3F96"/>
    <w:rsid w:val="009F3FC5"/>
    <w:rsid w:val="009F3FE0"/>
    <w:rsid w:val="009F4035"/>
    <w:rsid w:val="009F4068"/>
    <w:rsid w:val="009F40A4"/>
    <w:rsid w:val="009F40A9"/>
    <w:rsid w:val="009F40E3"/>
    <w:rsid w:val="009F4168"/>
    <w:rsid w:val="009F41C3"/>
    <w:rsid w:val="009F41D1"/>
    <w:rsid w:val="009F42FE"/>
    <w:rsid w:val="009F4301"/>
    <w:rsid w:val="009F43AD"/>
    <w:rsid w:val="009F43E4"/>
    <w:rsid w:val="009F440E"/>
    <w:rsid w:val="009F4421"/>
    <w:rsid w:val="009F4562"/>
    <w:rsid w:val="009F4609"/>
    <w:rsid w:val="009F4633"/>
    <w:rsid w:val="009F471D"/>
    <w:rsid w:val="009F4734"/>
    <w:rsid w:val="009F4735"/>
    <w:rsid w:val="009F47A7"/>
    <w:rsid w:val="009F47FD"/>
    <w:rsid w:val="009F483F"/>
    <w:rsid w:val="009F4894"/>
    <w:rsid w:val="009F4896"/>
    <w:rsid w:val="009F48C2"/>
    <w:rsid w:val="009F4986"/>
    <w:rsid w:val="009F4992"/>
    <w:rsid w:val="009F4A39"/>
    <w:rsid w:val="009F4A3A"/>
    <w:rsid w:val="009F4B3A"/>
    <w:rsid w:val="009F4B6B"/>
    <w:rsid w:val="009F4BE4"/>
    <w:rsid w:val="009F4C5F"/>
    <w:rsid w:val="009F4C68"/>
    <w:rsid w:val="009F4D7F"/>
    <w:rsid w:val="009F4E21"/>
    <w:rsid w:val="009F4E27"/>
    <w:rsid w:val="009F4E9F"/>
    <w:rsid w:val="009F4ED6"/>
    <w:rsid w:val="009F4FC1"/>
    <w:rsid w:val="009F5025"/>
    <w:rsid w:val="009F5122"/>
    <w:rsid w:val="009F51DE"/>
    <w:rsid w:val="009F5254"/>
    <w:rsid w:val="009F5359"/>
    <w:rsid w:val="009F53CE"/>
    <w:rsid w:val="009F5400"/>
    <w:rsid w:val="009F5408"/>
    <w:rsid w:val="009F5431"/>
    <w:rsid w:val="009F54AE"/>
    <w:rsid w:val="009F55DD"/>
    <w:rsid w:val="009F55E7"/>
    <w:rsid w:val="009F5672"/>
    <w:rsid w:val="009F575E"/>
    <w:rsid w:val="009F5849"/>
    <w:rsid w:val="009F5854"/>
    <w:rsid w:val="009F58EE"/>
    <w:rsid w:val="009F5954"/>
    <w:rsid w:val="009F5AAC"/>
    <w:rsid w:val="009F5B49"/>
    <w:rsid w:val="009F5B55"/>
    <w:rsid w:val="009F5C0A"/>
    <w:rsid w:val="009F5DCD"/>
    <w:rsid w:val="009F5DDF"/>
    <w:rsid w:val="009F5E2A"/>
    <w:rsid w:val="009F5E9B"/>
    <w:rsid w:val="009F5F42"/>
    <w:rsid w:val="009F5F82"/>
    <w:rsid w:val="009F5F99"/>
    <w:rsid w:val="009F6092"/>
    <w:rsid w:val="009F6096"/>
    <w:rsid w:val="009F60AE"/>
    <w:rsid w:val="009F60F1"/>
    <w:rsid w:val="009F620D"/>
    <w:rsid w:val="009F623A"/>
    <w:rsid w:val="009F63A4"/>
    <w:rsid w:val="009F64D3"/>
    <w:rsid w:val="009F64F0"/>
    <w:rsid w:val="009F6536"/>
    <w:rsid w:val="009F6583"/>
    <w:rsid w:val="009F65A1"/>
    <w:rsid w:val="009F6612"/>
    <w:rsid w:val="009F6643"/>
    <w:rsid w:val="009F6699"/>
    <w:rsid w:val="009F67A9"/>
    <w:rsid w:val="009F686F"/>
    <w:rsid w:val="009F687C"/>
    <w:rsid w:val="009F68E2"/>
    <w:rsid w:val="009F68F5"/>
    <w:rsid w:val="009F69A8"/>
    <w:rsid w:val="009F6A0C"/>
    <w:rsid w:val="009F6A5E"/>
    <w:rsid w:val="009F6AB9"/>
    <w:rsid w:val="009F6BD6"/>
    <w:rsid w:val="009F6BE7"/>
    <w:rsid w:val="009F6C14"/>
    <w:rsid w:val="009F6C98"/>
    <w:rsid w:val="009F6CC9"/>
    <w:rsid w:val="009F6CCC"/>
    <w:rsid w:val="009F6CE1"/>
    <w:rsid w:val="009F6CF0"/>
    <w:rsid w:val="009F6DD5"/>
    <w:rsid w:val="009F6F62"/>
    <w:rsid w:val="009F6F63"/>
    <w:rsid w:val="009F6F7F"/>
    <w:rsid w:val="009F6FC1"/>
    <w:rsid w:val="009F6FCE"/>
    <w:rsid w:val="009F7034"/>
    <w:rsid w:val="009F70A5"/>
    <w:rsid w:val="009F7105"/>
    <w:rsid w:val="009F71F2"/>
    <w:rsid w:val="009F7222"/>
    <w:rsid w:val="009F72BA"/>
    <w:rsid w:val="009F72FA"/>
    <w:rsid w:val="009F7368"/>
    <w:rsid w:val="009F7425"/>
    <w:rsid w:val="009F7520"/>
    <w:rsid w:val="009F7523"/>
    <w:rsid w:val="009F7569"/>
    <w:rsid w:val="009F7610"/>
    <w:rsid w:val="009F7616"/>
    <w:rsid w:val="009F7629"/>
    <w:rsid w:val="009F7656"/>
    <w:rsid w:val="009F7690"/>
    <w:rsid w:val="009F76CF"/>
    <w:rsid w:val="009F76E6"/>
    <w:rsid w:val="009F7767"/>
    <w:rsid w:val="009F782B"/>
    <w:rsid w:val="009F785B"/>
    <w:rsid w:val="009F78A2"/>
    <w:rsid w:val="009F78FC"/>
    <w:rsid w:val="009F795B"/>
    <w:rsid w:val="009F7A39"/>
    <w:rsid w:val="009F7AC9"/>
    <w:rsid w:val="009F7C40"/>
    <w:rsid w:val="009F7C46"/>
    <w:rsid w:val="009F7CE6"/>
    <w:rsid w:val="009F7CFD"/>
    <w:rsid w:val="009F7DDD"/>
    <w:rsid w:val="009F7ED6"/>
    <w:rsid w:val="009F7F93"/>
    <w:rsid w:val="009F7FB5"/>
    <w:rsid w:val="00A0003E"/>
    <w:rsid w:val="00A000FF"/>
    <w:rsid w:val="00A00213"/>
    <w:rsid w:val="00A00216"/>
    <w:rsid w:val="00A0029D"/>
    <w:rsid w:val="00A002CC"/>
    <w:rsid w:val="00A002EE"/>
    <w:rsid w:val="00A0031B"/>
    <w:rsid w:val="00A00376"/>
    <w:rsid w:val="00A0044C"/>
    <w:rsid w:val="00A00474"/>
    <w:rsid w:val="00A0048A"/>
    <w:rsid w:val="00A0053A"/>
    <w:rsid w:val="00A00587"/>
    <w:rsid w:val="00A005B3"/>
    <w:rsid w:val="00A00643"/>
    <w:rsid w:val="00A00698"/>
    <w:rsid w:val="00A006B4"/>
    <w:rsid w:val="00A00746"/>
    <w:rsid w:val="00A0075F"/>
    <w:rsid w:val="00A007B5"/>
    <w:rsid w:val="00A007D9"/>
    <w:rsid w:val="00A007ED"/>
    <w:rsid w:val="00A0080D"/>
    <w:rsid w:val="00A00868"/>
    <w:rsid w:val="00A008B7"/>
    <w:rsid w:val="00A008C4"/>
    <w:rsid w:val="00A00927"/>
    <w:rsid w:val="00A0092D"/>
    <w:rsid w:val="00A00952"/>
    <w:rsid w:val="00A0097B"/>
    <w:rsid w:val="00A00A65"/>
    <w:rsid w:val="00A00A73"/>
    <w:rsid w:val="00A00AFB"/>
    <w:rsid w:val="00A00B58"/>
    <w:rsid w:val="00A00C07"/>
    <w:rsid w:val="00A00CB8"/>
    <w:rsid w:val="00A00CD0"/>
    <w:rsid w:val="00A00E4E"/>
    <w:rsid w:val="00A00E6B"/>
    <w:rsid w:val="00A00EA3"/>
    <w:rsid w:val="00A00F07"/>
    <w:rsid w:val="00A00FA3"/>
    <w:rsid w:val="00A00FD3"/>
    <w:rsid w:val="00A01019"/>
    <w:rsid w:val="00A01094"/>
    <w:rsid w:val="00A010C3"/>
    <w:rsid w:val="00A01173"/>
    <w:rsid w:val="00A01210"/>
    <w:rsid w:val="00A0131E"/>
    <w:rsid w:val="00A013E3"/>
    <w:rsid w:val="00A0147C"/>
    <w:rsid w:val="00A0147E"/>
    <w:rsid w:val="00A014EB"/>
    <w:rsid w:val="00A015EB"/>
    <w:rsid w:val="00A01612"/>
    <w:rsid w:val="00A01617"/>
    <w:rsid w:val="00A01634"/>
    <w:rsid w:val="00A016B1"/>
    <w:rsid w:val="00A017BC"/>
    <w:rsid w:val="00A018FB"/>
    <w:rsid w:val="00A0191E"/>
    <w:rsid w:val="00A019B2"/>
    <w:rsid w:val="00A01A2E"/>
    <w:rsid w:val="00A01A75"/>
    <w:rsid w:val="00A01AB9"/>
    <w:rsid w:val="00A01ABA"/>
    <w:rsid w:val="00A01AD8"/>
    <w:rsid w:val="00A01B09"/>
    <w:rsid w:val="00A01B57"/>
    <w:rsid w:val="00A01B8A"/>
    <w:rsid w:val="00A01BCF"/>
    <w:rsid w:val="00A01BEF"/>
    <w:rsid w:val="00A01C0D"/>
    <w:rsid w:val="00A01C2C"/>
    <w:rsid w:val="00A01D07"/>
    <w:rsid w:val="00A01DF7"/>
    <w:rsid w:val="00A01E15"/>
    <w:rsid w:val="00A01EF3"/>
    <w:rsid w:val="00A01F46"/>
    <w:rsid w:val="00A01F7B"/>
    <w:rsid w:val="00A02041"/>
    <w:rsid w:val="00A0206B"/>
    <w:rsid w:val="00A0207D"/>
    <w:rsid w:val="00A0208B"/>
    <w:rsid w:val="00A02091"/>
    <w:rsid w:val="00A02132"/>
    <w:rsid w:val="00A0217D"/>
    <w:rsid w:val="00A0223E"/>
    <w:rsid w:val="00A022AA"/>
    <w:rsid w:val="00A022EA"/>
    <w:rsid w:val="00A023CC"/>
    <w:rsid w:val="00A023FA"/>
    <w:rsid w:val="00A02400"/>
    <w:rsid w:val="00A024E8"/>
    <w:rsid w:val="00A024F1"/>
    <w:rsid w:val="00A02565"/>
    <w:rsid w:val="00A025D2"/>
    <w:rsid w:val="00A025DE"/>
    <w:rsid w:val="00A026D5"/>
    <w:rsid w:val="00A02863"/>
    <w:rsid w:val="00A028A9"/>
    <w:rsid w:val="00A028AF"/>
    <w:rsid w:val="00A02903"/>
    <w:rsid w:val="00A0291D"/>
    <w:rsid w:val="00A02AFA"/>
    <w:rsid w:val="00A02B38"/>
    <w:rsid w:val="00A02BE5"/>
    <w:rsid w:val="00A02C25"/>
    <w:rsid w:val="00A02C85"/>
    <w:rsid w:val="00A02CA5"/>
    <w:rsid w:val="00A02D0C"/>
    <w:rsid w:val="00A02D40"/>
    <w:rsid w:val="00A02D79"/>
    <w:rsid w:val="00A02D8A"/>
    <w:rsid w:val="00A02E07"/>
    <w:rsid w:val="00A02E44"/>
    <w:rsid w:val="00A02EBF"/>
    <w:rsid w:val="00A02EF9"/>
    <w:rsid w:val="00A02F1A"/>
    <w:rsid w:val="00A02F4D"/>
    <w:rsid w:val="00A02FEF"/>
    <w:rsid w:val="00A03053"/>
    <w:rsid w:val="00A03109"/>
    <w:rsid w:val="00A03179"/>
    <w:rsid w:val="00A031D2"/>
    <w:rsid w:val="00A03226"/>
    <w:rsid w:val="00A032E4"/>
    <w:rsid w:val="00A03374"/>
    <w:rsid w:val="00A0338E"/>
    <w:rsid w:val="00A033F2"/>
    <w:rsid w:val="00A03445"/>
    <w:rsid w:val="00A0346F"/>
    <w:rsid w:val="00A03479"/>
    <w:rsid w:val="00A03489"/>
    <w:rsid w:val="00A03493"/>
    <w:rsid w:val="00A034B6"/>
    <w:rsid w:val="00A0350C"/>
    <w:rsid w:val="00A035A0"/>
    <w:rsid w:val="00A035DF"/>
    <w:rsid w:val="00A03651"/>
    <w:rsid w:val="00A0367F"/>
    <w:rsid w:val="00A03765"/>
    <w:rsid w:val="00A037E6"/>
    <w:rsid w:val="00A037F0"/>
    <w:rsid w:val="00A03820"/>
    <w:rsid w:val="00A03823"/>
    <w:rsid w:val="00A0382C"/>
    <w:rsid w:val="00A03846"/>
    <w:rsid w:val="00A03878"/>
    <w:rsid w:val="00A03894"/>
    <w:rsid w:val="00A038FB"/>
    <w:rsid w:val="00A03900"/>
    <w:rsid w:val="00A03995"/>
    <w:rsid w:val="00A03A80"/>
    <w:rsid w:val="00A03B6E"/>
    <w:rsid w:val="00A03B9E"/>
    <w:rsid w:val="00A03BF1"/>
    <w:rsid w:val="00A03C75"/>
    <w:rsid w:val="00A03CBE"/>
    <w:rsid w:val="00A03D20"/>
    <w:rsid w:val="00A03D5B"/>
    <w:rsid w:val="00A03DFF"/>
    <w:rsid w:val="00A03E3C"/>
    <w:rsid w:val="00A03E84"/>
    <w:rsid w:val="00A03EB6"/>
    <w:rsid w:val="00A03EB7"/>
    <w:rsid w:val="00A03EE3"/>
    <w:rsid w:val="00A03EE4"/>
    <w:rsid w:val="00A03F8A"/>
    <w:rsid w:val="00A03F91"/>
    <w:rsid w:val="00A04074"/>
    <w:rsid w:val="00A040B7"/>
    <w:rsid w:val="00A0410E"/>
    <w:rsid w:val="00A0416C"/>
    <w:rsid w:val="00A04188"/>
    <w:rsid w:val="00A04193"/>
    <w:rsid w:val="00A041AF"/>
    <w:rsid w:val="00A041FD"/>
    <w:rsid w:val="00A04258"/>
    <w:rsid w:val="00A042A1"/>
    <w:rsid w:val="00A042DE"/>
    <w:rsid w:val="00A04399"/>
    <w:rsid w:val="00A043AC"/>
    <w:rsid w:val="00A04463"/>
    <w:rsid w:val="00A044C4"/>
    <w:rsid w:val="00A044DE"/>
    <w:rsid w:val="00A04519"/>
    <w:rsid w:val="00A0457C"/>
    <w:rsid w:val="00A04581"/>
    <w:rsid w:val="00A0458E"/>
    <w:rsid w:val="00A045BC"/>
    <w:rsid w:val="00A045E3"/>
    <w:rsid w:val="00A046E6"/>
    <w:rsid w:val="00A04755"/>
    <w:rsid w:val="00A0477F"/>
    <w:rsid w:val="00A04891"/>
    <w:rsid w:val="00A048EC"/>
    <w:rsid w:val="00A048FB"/>
    <w:rsid w:val="00A049FA"/>
    <w:rsid w:val="00A04A23"/>
    <w:rsid w:val="00A04A75"/>
    <w:rsid w:val="00A04AA8"/>
    <w:rsid w:val="00A04B00"/>
    <w:rsid w:val="00A04B01"/>
    <w:rsid w:val="00A04B07"/>
    <w:rsid w:val="00A04B50"/>
    <w:rsid w:val="00A04BB3"/>
    <w:rsid w:val="00A04BF0"/>
    <w:rsid w:val="00A04D3F"/>
    <w:rsid w:val="00A04DB1"/>
    <w:rsid w:val="00A04E9D"/>
    <w:rsid w:val="00A04EC4"/>
    <w:rsid w:val="00A04ECA"/>
    <w:rsid w:val="00A04F09"/>
    <w:rsid w:val="00A04F15"/>
    <w:rsid w:val="00A04F7F"/>
    <w:rsid w:val="00A04F91"/>
    <w:rsid w:val="00A04FB7"/>
    <w:rsid w:val="00A05069"/>
    <w:rsid w:val="00A05072"/>
    <w:rsid w:val="00A050CF"/>
    <w:rsid w:val="00A050DB"/>
    <w:rsid w:val="00A051B0"/>
    <w:rsid w:val="00A05228"/>
    <w:rsid w:val="00A05247"/>
    <w:rsid w:val="00A052A8"/>
    <w:rsid w:val="00A052AE"/>
    <w:rsid w:val="00A052FD"/>
    <w:rsid w:val="00A0531E"/>
    <w:rsid w:val="00A053C4"/>
    <w:rsid w:val="00A053E6"/>
    <w:rsid w:val="00A05419"/>
    <w:rsid w:val="00A0543A"/>
    <w:rsid w:val="00A0544C"/>
    <w:rsid w:val="00A05486"/>
    <w:rsid w:val="00A0549E"/>
    <w:rsid w:val="00A05511"/>
    <w:rsid w:val="00A05550"/>
    <w:rsid w:val="00A05557"/>
    <w:rsid w:val="00A05575"/>
    <w:rsid w:val="00A05602"/>
    <w:rsid w:val="00A0567F"/>
    <w:rsid w:val="00A057D6"/>
    <w:rsid w:val="00A05970"/>
    <w:rsid w:val="00A05977"/>
    <w:rsid w:val="00A05987"/>
    <w:rsid w:val="00A059AD"/>
    <w:rsid w:val="00A05A38"/>
    <w:rsid w:val="00A05B04"/>
    <w:rsid w:val="00A05BE8"/>
    <w:rsid w:val="00A05C14"/>
    <w:rsid w:val="00A05E3C"/>
    <w:rsid w:val="00A05E4F"/>
    <w:rsid w:val="00A05EB3"/>
    <w:rsid w:val="00A05F3C"/>
    <w:rsid w:val="00A06067"/>
    <w:rsid w:val="00A06093"/>
    <w:rsid w:val="00A060C8"/>
    <w:rsid w:val="00A060D2"/>
    <w:rsid w:val="00A06196"/>
    <w:rsid w:val="00A061A7"/>
    <w:rsid w:val="00A061E1"/>
    <w:rsid w:val="00A06206"/>
    <w:rsid w:val="00A06246"/>
    <w:rsid w:val="00A062AD"/>
    <w:rsid w:val="00A06325"/>
    <w:rsid w:val="00A06369"/>
    <w:rsid w:val="00A063C7"/>
    <w:rsid w:val="00A0642C"/>
    <w:rsid w:val="00A06434"/>
    <w:rsid w:val="00A065B1"/>
    <w:rsid w:val="00A06685"/>
    <w:rsid w:val="00A0674C"/>
    <w:rsid w:val="00A0677C"/>
    <w:rsid w:val="00A067B5"/>
    <w:rsid w:val="00A06801"/>
    <w:rsid w:val="00A0683F"/>
    <w:rsid w:val="00A0684F"/>
    <w:rsid w:val="00A06893"/>
    <w:rsid w:val="00A068A6"/>
    <w:rsid w:val="00A0690F"/>
    <w:rsid w:val="00A0692E"/>
    <w:rsid w:val="00A06935"/>
    <w:rsid w:val="00A0698B"/>
    <w:rsid w:val="00A069D1"/>
    <w:rsid w:val="00A069EC"/>
    <w:rsid w:val="00A06A0C"/>
    <w:rsid w:val="00A06B00"/>
    <w:rsid w:val="00A06B0E"/>
    <w:rsid w:val="00A06B6B"/>
    <w:rsid w:val="00A06CE3"/>
    <w:rsid w:val="00A06D2D"/>
    <w:rsid w:val="00A06D52"/>
    <w:rsid w:val="00A06D53"/>
    <w:rsid w:val="00A06D5D"/>
    <w:rsid w:val="00A06D61"/>
    <w:rsid w:val="00A06DC9"/>
    <w:rsid w:val="00A06E30"/>
    <w:rsid w:val="00A06E61"/>
    <w:rsid w:val="00A06E71"/>
    <w:rsid w:val="00A06E81"/>
    <w:rsid w:val="00A06F0E"/>
    <w:rsid w:val="00A06F10"/>
    <w:rsid w:val="00A06F79"/>
    <w:rsid w:val="00A06FFB"/>
    <w:rsid w:val="00A07044"/>
    <w:rsid w:val="00A070A4"/>
    <w:rsid w:val="00A07121"/>
    <w:rsid w:val="00A0716E"/>
    <w:rsid w:val="00A071A6"/>
    <w:rsid w:val="00A071C7"/>
    <w:rsid w:val="00A071F8"/>
    <w:rsid w:val="00A072C2"/>
    <w:rsid w:val="00A072D1"/>
    <w:rsid w:val="00A072E6"/>
    <w:rsid w:val="00A0737B"/>
    <w:rsid w:val="00A07462"/>
    <w:rsid w:val="00A074A2"/>
    <w:rsid w:val="00A074AC"/>
    <w:rsid w:val="00A074D2"/>
    <w:rsid w:val="00A074FE"/>
    <w:rsid w:val="00A07501"/>
    <w:rsid w:val="00A07530"/>
    <w:rsid w:val="00A0757A"/>
    <w:rsid w:val="00A0757F"/>
    <w:rsid w:val="00A07593"/>
    <w:rsid w:val="00A07681"/>
    <w:rsid w:val="00A076B2"/>
    <w:rsid w:val="00A07717"/>
    <w:rsid w:val="00A0771D"/>
    <w:rsid w:val="00A07777"/>
    <w:rsid w:val="00A07820"/>
    <w:rsid w:val="00A078A2"/>
    <w:rsid w:val="00A078EC"/>
    <w:rsid w:val="00A07962"/>
    <w:rsid w:val="00A079D6"/>
    <w:rsid w:val="00A079DA"/>
    <w:rsid w:val="00A07A79"/>
    <w:rsid w:val="00A07A94"/>
    <w:rsid w:val="00A07A95"/>
    <w:rsid w:val="00A07C1E"/>
    <w:rsid w:val="00A07C7A"/>
    <w:rsid w:val="00A07CD6"/>
    <w:rsid w:val="00A07D77"/>
    <w:rsid w:val="00A07E32"/>
    <w:rsid w:val="00A07E38"/>
    <w:rsid w:val="00A07E60"/>
    <w:rsid w:val="00A07E64"/>
    <w:rsid w:val="00A07EC8"/>
    <w:rsid w:val="00A07F08"/>
    <w:rsid w:val="00A07F16"/>
    <w:rsid w:val="00A07F81"/>
    <w:rsid w:val="00A07FA9"/>
    <w:rsid w:val="00A07FBE"/>
    <w:rsid w:val="00A10020"/>
    <w:rsid w:val="00A10138"/>
    <w:rsid w:val="00A10185"/>
    <w:rsid w:val="00A101AC"/>
    <w:rsid w:val="00A10234"/>
    <w:rsid w:val="00A10236"/>
    <w:rsid w:val="00A10351"/>
    <w:rsid w:val="00A10378"/>
    <w:rsid w:val="00A10383"/>
    <w:rsid w:val="00A103D2"/>
    <w:rsid w:val="00A1051B"/>
    <w:rsid w:val="00A105AB"/>
    <w:rsid w:val="00A105E3"/>
    <w:rsid w:val="00A1064F"/>
    <w:rsid w:val="00A106D2"/>
    <w:rsid w:val="00A106D4"/>
    <w:rsid w:val="00A1078B"/>
    <w:rsid w:val="00A107D3"/>
    <w:rsid w:val="00A10812"/>
    <w:rsid w:val="00A10822"/>
    <w:rsid w:val="00A1090D"/>
    <w:rsid w:val="00A10913"/>
    <w:rsid w:val="00A1092F"/>
    <w:rsid w:val="00A1094B"/>
    <w:rsid w:val="00A109C3"/>
    <w:rsid w:val="00A10A29"/>
    <w:rsid w:val="00A10ACE"/>
    <w:rsid w:val="00A10B26"/>
    <w:rsid w:val="00A10B3B"/>
    <w:rsid w:val="00A10B46"/>
    <w:rsid w:val="00A10BB3"/>
    <w:rsid w:val="00A10FC7"/>
    <w:rsid w:val="00A1101D"/>
    <w:rsid w:val="00A1104B"/>
    <w:rsid w:val="00A11126"/>
    <w:rsid w:val="00A11166"/>
    <w:rsid w:val="00A111DE"/>
    <w:rsid w:val="00A111FA"/>
    <w:rsid w:val="00A11222"/>
    <w:rsid w:val="00A1124F"/>
    <w:rsid w:val="00A112AF"/>
    <w:rsid w:val="00A113B8"/>
    <w:rsid w:val="00A113C3"/>
    <w:rsid w:val="00A1144E"/>
    <w:rsid w:val="00A1145E"/>
    <w:rsid w:val="00A11466"/>
    <w:rsid w:val="00A11478"/>
    <w:rsid w:val="00A11492"/>
    <w:rsid w:val="00A114AE"/>
    <w:rsid w:val="00A115A9"/>
    <w:rsid w:val="00A1161E"/>
    <w:rsid w:val="00A11626"/>
    <w:rsid w:val="00A116D8"/>
    <w:rsid w:val="00A116F5"/>
    <w:rsid w:val="00A1170A"/>
    <w:rsid w:val="00A117BD"/>
    <w:rsid w:val="00A11899"/>
    <w:rsid w:val="00A118F5"/>
    <w:rsid w:val="00A119D4"/>
    <w:rsid w:val="00A11A03"/>
    <w:rsid w:val="00A11A4C"/>
    <w:rsid w:val="00A11A59"/>
    <w:rsid w:val="00A11A6E"/>
    <w:rsid w:val="00A11ACE"/>
    <w:rsid w:val="00A11B56"/>
    <w:rsid w:val="00A11B5D"/>
    <w:rsid w:val="00A11BC3"/>
    <w:rsid w:val="00A11C33"/>
    <w:rsid w:val="00A11C9E"/>
    <w:rsid w:val="00A11CF4"/>
    <w:rsid w:val="00A11DF4"/>
    <w:rsid w:val="00A11E12"/>
    <w:rsid w:val="00A11E26"/>
    <w:rsid w:val="00A11EEB"/>
    <w:rsid w:val="00A11F07"/>
    <w:rsid w:val="00A11F1A"/>
    <w:rsid w:val="00A11F62"/>
    <w:rsid w:val="00A11F6F"/>
    <w:rsid w:val="00A11F92"/>
    <w:rsid w:val="00A11FC5"/>
    <w:rsid w:val="00A11FD7"/>
    <w:rsid w:val="00A11FDA"/>
    <w:rsid w:val="00A12000"/>
    <w:rsid w:val="00A1202B"/>
    <w:rsid w:val="00A1216A"/>
    <w:rsid w:val="00A121BC"/>
    <w:rsid w:val="00A12253"/>
    <w:rsid w:val="00A12267"/>
    <w:rsid w:val="00A122C9"/>
    <w:rsid w:val="00A12302"/>
    <w:rsid w:val="00A12385"/>
    <w:rsid w:val="00A1239B"/>
    <w:rsid w:val="00A123C9"/>
    <w:rsid w:val="00A123CF"/>
    <w:rsid w:val="00A123FC"/>
    <w:rsid w:val="00A12472"/>
    <w:rsid w:val="00A12493"/>
    <w:rsid w:val="00A12513"/>
    <w:rsid w:val="00A12546"/>
    <w:rsid w:val="00A12547"/>
    <w:rsid w:val="00A12549"/>
    <w:rsid w:val="00A126BA"/>
    <w:rsid w:val="00A12713"/>
    <w:rsid w:val="00A12719"/>
    <w:rsid w:val="00A1274B"/>
    <w:rsid w:val="00A1277E"/>
    <w:rsid w:val="00A12785"/>
    <w:rsid w:val="00A1281B"/>
    <w:rsid w:val="00A12897"/>
    <w:rsid w:val="00A128B7"/>
    <w:rsid w:val="00A12998"/>
    <w:rsid w:val="00A129FA"/>
    <w:rsid w:val="00A12A70"/>
    <w:rsid w:val="00A12A80"/>
    <w:rsid w:val="00A12AA6"/>
    <w:rsid w:val="00A12B01"/>
    <w:rsid w:val="00A12B84"/>
    <w:rsid w:val="00A12C88"/>
    <w:rsid w:val="00A12D39"/>
    <w:rsid w:val="00A12DDF"/>
    <w:rsid w:val="00A12E70"/>
    <w:rsid w:val="00A12E8B"/>
    <w:rsid w:val="00A12E8C"/>
    <w:rsid w:val="00A12F74"/>
    <w:rsid w:val="00A12F7F"/>
    <w:rsid w:val="00A12F81"/>
    <w:rsid w:val="00A12F89"/>
    <w:rsid w:val="00A130B5"/>
    <w:rsid w:val="00A1316C"/>
    <w:rsid w:val="00A131B1"/>
    <w:rsid w:val="00A13254"/>
    <w:rsid w:val="00A132E1"/>
    <w:rsid w:val="00A13428"/>
    <w:rsid w:val="00A1347D"/>
    <w:rsid w:val="00A134B7"/>
    <w:rsid w:val="00A135C8"/>
    <w:rsid w:val="00A135FB"/>
    <w:rsid w:val="00A13622"/>
    <w:rsid w:val="00A13664"/>
    <w:rsid w:val="00A136F5"/>
    <w:rsid w:val="00A137BA"/>
    <w:rsid w:val="00A1380A"/>
    <w:rsid w:val="00A1384D"/>
    <w:rsid w:val="00A13863"/>
    <w:rsid w:val="00A138C8"/>
    <w:rsid w:val="00A138E9"/>
    <w:rsid w:val="00A13945"/>
    <w:rsid w:val="00A1398A"/>
    <w:rsid w:val="00A1399B"/>
    <w:rsid w:val="00A139FD"/>
    <w:rsid w:val="00A13A1F"/>
    <w:rsid w:val="00A13A55"/>
    <w:rsid w:val="00A13B76"/>
    <w:rsid w:val="00A13B8E"/>
    <w:rsid w:val="00A13DCC"/>
    <w:rsid w:val="00A13E13"/>
    <w:rsid w:val="00A13E24"/>
    <w:rsid w:val="00A13E59"/>
    <w:rsid w:val="00A13EB3"/>
    <w:rsid w:val="00A13EFF"/>
    <w:rsid w:val="00A13F5F"/>
    <w:rsid w:val="00A13FE8"/>
    <w:rsid w:val="00A14061"/>
    <w:rsid w:val="00A14062"/>
    <w:rsid w:val="00A1409C"/>
    <w:rsid w:val="00A140DC"/>
    <w:rsid w:val="00A141A4"/>
    <w:rsid w:val="00A141C5"/>
    <w:rsid w:val="00A141FC"/>
    <w:rsid w:val="00A142AC"/>
    <w:rsid w:val="00A142EA"/>
    <w:rsid w:val="00A143AD"/>
    <w:rsid w:val="00A14477"/>
    <w:rsid w:val="00A1447D"/>
    <w:rsid w:val="00A144B8"/>
    <w:rsid w:val="00A14521"/>
    <w:rsid w:val="00A14545"/>
    <w:rsid w:val="00A14587"/>
    <w:rsid w:val="00A14616"/>
    <w:rsid w:val="00A14627"/>
    <w:rsid w:val="00A14635"/>
    <w:rsid w:val="00A1466F"/>
    <w:rsid w:val="00A146E3"/>
    <w:rsid w:val="00A14700"/>
    <w:rsid w:val="00A14752"/>
    <w:rsid w:val="00A1478F"/>
    <w:rsid w:val="00A147C9"/>
    <w:rsid w:val="00A14872"/>
    <w:rsid w:val="00A148ED"/>
    <w:rsid w:val="00A14910"/>
    <w:rsid w:val="00A14965"/>
    <w:rsid w:val="00A14975"/>
    <w:rsid w:val="00A14989"/>
    <w:rsid w:val="00A14A57"/>
    <w:rsid w:val="00A14C94"/>
    <w:rsid w:val="00A14D1D"/>
    <w:rsid w:val="00A14DDD"/>
    <w:rsid w:val="00A14E89"/>
    <w:rsid w:val="00A14E94"/>
    <w:rsid w:val="00A14EC0"/>
    <w:rsid w:val="00A14EF7"/>
    <w:rsid w:val="00A14F70"/>
    <w:rsid w:val="00A14FA2"/>
    <w:rsid w:val="00A14FD9"/>
    <w:rsid w:val="00A14FFA"/>
    <w:rsid w:val="00A15078"/>
    <w:rsid w:val="00A15095"/>
    <w:rsid w:val="00A150A9"/>
    <w:rsid w:val="00A151EB"/>
    <w:rsid w:val="00A1527F"/>
    <w:rsid w:val="00A152C3"/>
    <w:rsid w:val="00A152C7"/>
    <w:rsid w:val="00A152F5"/>
    <w:rsid w:val="00A15301"/>
    <w:rsid w:val="00A15348"/>
    <w:rsid w:val="00A15355"/>
    <w:rsid w:val="00A15409"/>
    <w:rsid w:val="00A15418"/>
    <w:rsid w:val="00A15432"/>
    <w:rsid w:val="00A1547A"/>
    <w:rsid w:val="00A154A9"/>
    <w:rsid w:val="00A154F3"/>
    <w:rsid w:val="00A154FB"/>
    <w:rsid w:val="00A1556C"/>
    <w:rsid w:val="00A155F6"/>
    <w:rsid w:val="00A155FF"/>
    <w:rsid w:val="00A1568B"/>
    <w:rsid w:val="00A15721"/>
    <w:rsid w:val="00A157BC"/>
    <w:rsid w:val="00A157BF"/>
    <w:rsid w:val="00A157DF"/>
    <w:rsid w:val="00A15810"/>
    <w:rsid w:val="00A1585D"/>
    <w:rsid w:val="00A15919"/>
    <w:rsid w:val="00A159AE"/>
    <w:rsid w:val="00A159B1"/>
    <w:rsid w:val="00A159F0"/>
    <w:rsid w:val="00A15AAE"/>
    <w:rsid w:val="00A15B6C"/>
    <w:rsid w:val="00A15BAE"/>
    <w:rsid w:val="00A15BF9"/>
    <w:rsid w:val="00A15ED2"/>
    <w:rsid w:val="00A15F5C"/>
    <w:rsid w:val="00A16059"/>
    <w:rsid w:val="00A162B8"/>
    <w:rsid w:val="00A162BB"/>
    <w:rsid w:val="00A16428"/>
    <w:rsid w:val="00A1643A"/>
    <w:rsid w:val="00A164D2"/>
    <w:rsid w:val="00A164F6"/>
    <w:rsid w:val="00A16522"/>
    <w:rsid w:val="00A1662C"/>
    <w:rsid w:val="00A166C3"/>
    <w:rsid w:val="00A16703"/>
    <w:rsid w:val="00A16721"/>
    <w:rsid w:val="00A1673B"/>
    <w:rsid w:val="00A1674D"/>
    <w:rsid w:val="00A167A0"/>
    <w:rsid w:val="00A167EE"/>
    <w:rsid w:val="00A16839"/>
    <w:rsid w:val="00A16849"/>
    <w:rsid w:val="00A168AD"/>
    <w:rsid w:val="00A168C3"/>
    <w:rsid w:val="00A168CE"/>
    <w:rsid w:val="00A16949"/>
    <w:rsid w:val="00A16A04"/>
    <w:rsid w:val="00A16A64"/>
    <w:rsid w:val="00A16A74"/>
    <w:rsid w:val="00A16C34"/>
    <w:rsid w:val="00A16C7C"/>
    <w:rsid w:val="00A16CDA"/>
    <w:rsid w:val="00A16D1A"/>
    <w:rsid w:val="00A16D20"/>
    <w:rsid w:val="00A16E28"/>
    <w:rsid w:val="00A16E8C"/>
    <w:rsid w:val="00A16F0A"/>
    <w:rsid w:val="00A16F54"/>
    <w:rsid w:val="00A16F6E"/>
    <w:rsid w:val="00A16FF0"/>
    <w:rsid w:val="00A17048"/>
    <w:rsid w:val="00A17151"/>
    <w:rsid w:val="00A171A8"/>
    <w:rsid w:val="00A171D5"/>
    <w:rsid w:val="00A171E1"/>
    <w:rsid w:val="00A171EA"/>
    <w:rsid w:val="00A17332"/>
    <w:rsid w:val="00A17391"/>
    <w:rsid w:val="00A17481"/>
    <w:rsid w:val="00A1748B"/>
    <w:rsid w:val="00A17499"/>
    <w:rsid w:val="00A174BA"/>
    <w:rsid w:val="00A174EF"/>
    <w:rsid w:val="00A1753F"/>
    <w:rsid w:val="00A175CE"/>
    <w:rsid w:val="00A175EF"/>
    <w:rsid w:val="00A175F7"/>
    <w:rsid w:val="00A17643"/>
    <w:rsid w:val="00A17695"/>
    <w:rsid w:val="00A176A6"/>
    <w:rsid w:val="00A177C3"/>
    <w:rsid w:val="00A1781B"/>
    <w:rsid w:val="00A1781E"/>
    <w:rsid w:val="00A178AD"/>
    <w:rsid w:val="00A178F9"/>
    <w:rsid w:val="00A1790C"/>
    <w:rsid w:val="00A1795B"/>
    <w:rsid w:val="00A17994"/>
    <w:rsid w:val="00A17A10"/>
    <w:rsid w:val="00A17A17"/>
    <w:rsid w:val="00A17A58"/>
    <w:rsid w:val="00A17A72"/>
    <w:rsid w:val="00A17BEC"/>
    <w:rsid w:val="00A17C19"/>
    <w:rsid w:val="00A17C44"/>
    <w:rsid w:val="00A17C52"/>
    <w:rsid w:val="00A17CAB"/>
    <w:rsid w:val="00A17D3D"/>
    <w:rsid w:val="00A17D4E"/>
    <w:rsid w:val="00A17E0F"/>
    <w:rsid w:val="00A17E97"/>
    <w:rsid w:val="00A17E9D"/>
    <w:rsid w:val="00A17EC3"/>
    <w:rsid w:val="00A17EE6"/>
    <w:rsid w:val="00A17F51"/>
    <w:rsid w:val="00A17F7E"/>
    <w:rsid w:val="00A20013"/>
    <w:rsid w:val="00A20077"/>
    <w:rsid w:val="00A200BD"/>
    <w:rsid w:val="00A20141"/>
    <w:rsid w:val="00A20154"/>
    <w:rsid w:val="00A201A7"/>
    <w:rsid w:val="00A201F1"/>
    <w:rsid w:val="00A2022C"/>
    <w:rsid w:val="00A2026B"/>
    <w:rsid w:val="00A20284"/>
    <w:rsid w:val="00A202BE"/>
    <w:rsid w:val="00A202EA"/>
    <w:rsid w:val="00A202F2"/>
    <w:rsid w:val="00A20350"/>
    <w:rsid w:val="00A2035C"/>
    <w:rsid w:val="00A20381"/>
    <w:rsid w:val="00A2047E"/>
    <w:rsid w:val="00A2049D"/>
    <w:rsid w:val="00A204F0"/>
    <w:rsid w:val="00A20510"/>
    <w:rsid w:val="00A20537"/>
    <w:rsid w:val="00A20564"/>
    <w:rsid w:val="00A205C7"/>
    <w:rsid w:val="00A206E8"/>
    <w:rsid w:val="00A20761"/>
    <w:rsid w:val="00A2079A"/>
    <w:rsid w:val="00A20808"/>
    <w:rsid w:val="00A2084C"/>
    <w:rsid w:val="00A20853"/>
    <w:rsid w:val="00A20A99"/>
    <w:rsid w:val="00A20B5A"/>
    <w:rsid w:val="00A20B7D"/>
    <w:rsid w:val="00A20BB0"/>
    <w:rsid w:val="00A20C54"/>
    <w:rsid w:val="00A20C67"/>
    <w:rsid w:val="00A20C70"/>
    <w:rsid w:val="00A20C79"/>
    <w:rsid w:val="00A20CA2"/>
    <w:rsid w:val="00A20CA6"/>
    <w:rsid w:val="00A20D92"/>
    <w:rsid w:val="00A20EE1"/>
    <w:rsid w:val="00A211ED"/>
    <w:rsid w:val="00A21235"/>
    <w:rsid w:val="00A21256"/>
    <w:rsid w:val="00A212BD"/>
    <w:rsid w:val="00A21337"/>
    <w:rsid w:val="00A2137E"/>
    <w:rsid w:val="00A213C4"/>
    <w:rsid w:val="00A213FB"/>
    <w:rsid w:val="00A2140B"/>
    <w:rsid w:val="00A2144E"/>
    <w:rsid w:val="00A2145F"/>
    <w:rsid w:val="00A214DD"/>
    <w:rsid w:val="00A214F3"/>
    <w:rsid w:val="00A214F6"/>
    <w:rsid w:val="00A21503"/>
    <w:rsid w:val="00A2152F"/>
    <w:rsid w:val="00A2157D"/>
    <w:rsid w:val="00A216CD"/>
    <w:rsid w:val="00A216F4"/>
    <w:rsid w:val="00A2174E"/>
    <w:rsid w:val="00A21750"/>
    <w:rsid w:val="00A2177B"/>
    <w:rsid w:val="00A21802"/>
    <w:rsid w:val="00A21835"/>
    <w:rsid w:val="00A2186E"/>
    <w:rsid w:val="00A218D4"/>
    <w:rsid w:val="00A2190F"/>
    <w:rsid w:val="00A21A73"/>
    <w:rsid w:val="00A21AD2"/>
    <w:rsid w:val="00A21B4B"/>
    <w:rsid w:val="00A21B71"/>
    <w:rsid w:val="00A21B77"/>
    <w:rsid w:val="00A21BC8"/>
    <w:rsid w:val="00A21BC9"/>
    <w:rsid w:val="00A21C25"/>
    <w:rsid w:val="00A21D2A"/>
    <w:rsid w:val="00A21D49"/>
    <w:rsid w:val="00A21D57"/>
    <w:rsid w:val="00A21DE8"/>
    <w:rsid w:val="00A21E0B"/>
    <w:rsid w:val="00A21E0C"/>
    <w:rsid w:val="00A21E7B"/>
    <w:rsid w:val="00A21F31"/>
    <w:rsid w:val="00A22007"/>
    <w:rsid w:val="00A22095"/>
    <w:rsid w:val="00A2211C"/>
    <w:rsid w:val="00A22183"/>
    <w:rsid w:val="00A2219D"/>
    <w:rsid w:val="00A221A3"/>
    <w:rsid w:val="00A22206"/>
    <w:rsid w:val="00A222C3"/>
    <w:rsid w:val="00A22329"/>
    <w:rsid w:val="00A22343"/>
    <w:rsid w:val="00A2235C"/>
    <w:rsid w:val="00A223DA"/>
    <w:rsid w:val="00A22454"/>
    <w:rsid w:val="00A2252F"/>
    <w:rsid w:val="00A22594"/>
    <w:rsid w:val="00A2271A"/>
    <w:rsid w:val="00A22730"/>
    <w:rsid w:val="00A227C0"/>
    <w:rsid w:val="00A227CB"/>
    <w:rsid w:val="00A227D1"/>
    <w:rsid w:val="00A227DF"/>
    <w:rsid w:val="00A22873"/>
    <w:rsid w:val="00A2289F"/>
    <w:rsid w:val="00A228BC"/>
    <w:rsid w:val="00A2292F"/>
    <w:rsid w:val="00A22996"/>
    <w:rsid w:val="00A229FF"/>
    <w:rsid w:val="00A22A0C"/>
    <w:rsid w:val="00A22A4A"/>
    <w:rsid w:val="00A22A61"/>
    <w:rsid w:val="00A22A78"/>
    <w:rsid w:val="00A22B2F"/>
    <w:rsid w:val="00A22B5E"/>
    <w:rsid w:val="00A22BE7"/>
    <w:rsid w:val="00A22C6D"/>
    <w:rsid w:val="00A22CAA"/>
    <w:rsid w:val="00A22CAF"/>
    <w:rsid w:val="00A22CD7"/>
    <w:rsid w:val="00A22D37"/>
    <w:rsid w:val="00A22E46"/>
    <w:rsid w:val="00A22E68"/>
    <w:rsid w:val="00A22EFA"/>
    <w:rsid w:val="00A22F1F"/>
    <w:rsid w:val="00A2336F"/>
    <w:rsid w:val="00A2338E"/>
    <w:rsid w:val="00A23397"/>
    <w:rsid w:val="00A23460"/>
    <w:rsid w:val="00A2348B"/>
    <w:rsid w:val="00A234C8"/>
    <w:rsid w:val="00A234D5"/>
    <w:rsid w:val="00A23543"/>
    <w:rsid w:val="00A235B1"/>
    <w:rsid w:val="00A235F4"/>
    <w:rsid w:val="00A23649"/>
    <w:rsid w:val="00A23673"/>
    <w:rsid w:val="00A236B5"/>
    <w:rsid w:val="00A236CC"/>
    <w:rsid w:val="00A2375E"/>
    <w:rsid w:val="00A23760"/>
    <w:rsid w:val="00A237CA"/>
    <w:rsid w:val="00A23925"/>
    <w:rsid w:val="00A2397B"/>
    <w:rsid w:val="00A23A5F"/>
    <w:rsid w:val="00A23B6E"/>
    <w:rsid w:val="00A23BC7"/>
    <w:rsid w:val="00A23BD0"/>
    <w:rsid w:val="00A23BD7"/>
    <w:rsid w:val="00A23BD8"/>
    <w:rsid w:val="00A23C50"/>
    <w:rsid w:val="00A23D06"/>
    <w:rsid w:val="00A23D42"/>
    <w:rsid w:val="00A23DF2"/>
    <w:rsid w:val="00A23E11"/>
    <w:rsid w:val="00A23E71"/>
    <w:rsid w:val="00A23E8E"/>
    <w:rsid w:val="00A23F35"/>
    <w:rsid w:val="00A24076"/>
    <w:rsid w:val="00A240EB"/>
    <w:rsid w:val="00A240F9"/>
    <w:rsid w:val="00A2412C"/>
    <w:rsid w:val="00A24198"/>
    <w:rsid w:val="00A242C0"/>
    <w:rsid w:val="00A24311"/>
    <w:rsid w:val="00A2434C"/>
    <w:rsid w:val="00A243BC"/>
    <w:rsid w:val="00A243D8"/>
    <w:rsid w:val="00A243E6"/>
    <w:rsid w:val="00A2458A"/>
    <w:rsid w:val="00A245E9"/>
    <w:rsid w:val="00A24637"/>
    <w:rsid w:val="00A2466B"/>
    <w:rsid w:val="00A246A1"/>
    <w:rsid w:val="00A2470E"/>
    <w:rsid w:val="00A24734"/>
    <w:rsid w:val="00A2475F"/>
    <w:rsid w:val="00A24760"/>
    <w:rsid w:val="00A247DA"/>
    <w:rsid w:val="00A247F8"/>
    <w:rsid w:val="00A2487F"/>
    <w:rsid w:val="00A248E3"/>
    <w:rsid w:val="00A24952"/>
    <w:rsid w:val="00A24959"/>
    <w:rsid w:val="00A249B3"/>
    <w:rsid w:val="00A249FB"/>
    <w:rsid w:val="00A24A60"/>
    <w:rsid w:val="00A24B26"/>
    <w:rsid w:val="00A24B30"/>
    <w:rsid w:val="00A24B4B"/>
    <w:rsid w:val="00A24B5D"/>
    <w:rsid w:val="00A24BA4"/>
    <w:rsid w:val="00A24BAF"/>
    <w:rsid w:val="00A24BDD"/>
    <w:rsid w:val="00A24CF0"/>
    <w:rsid w:val="00A24EE0"/>
    <w:rsid w:val="00A24F4E"/>
    <w:rsid w:val="00A24F9C"/>
    <w:rsid w:val="00A2503F"/>
    <w:rsid w:val="00A250B7"/>
    <w:rsid w:val="00A2516D"/>
    <w:rsid w:val="00A2518D"/>
    <w:rsid w:val="00A253E6"/>
    <w:rsid w:val="00A25458"/>
    <w:rsid w:val="00A2550E"/>
    <w:rsid w:val="00A255F5"/>
    <w:rsid w:val="00A25602"/>
    <w:rsid w:val="00A25639"/>
    <w:rsid w:val="00A256B4"/>
    <w:rsid w:val="00A256B8"/>
    <w:rsid w:val="00A257BA"/>
    <w:rsid w:val="00A2580C"/>
    <w:rsid w:val="00A25838"/>
    <w:rsid w:val="00A2583F"/>
    <w:rsid w:val="00A25985"/>
    <w:rsid w:val="00A25A53"/>
    <w:rsid w:val="00A25A6A"/>
    <w:rsid w:val="00A25AF6"/>
    <w:rsid w:val="00A25BE4"/>
    <w:rsid w:val="00A25C3A"/>
    <w:rsid w:val="00A25C3E"/>
    <w:rsid w:val="00A25C6B"/>
    <w:rsid w:val="00A25C76"/>
    <w:rsid w:val="00A25C99"/>
    <w:rsid w:val="00A25CA1"/>
    <w:rsid w:val="00A25D09"/>
    <w:rsid w:val="00A25D90"/>
    <w:rsid w:val="00A25DAD"/>
    <w:rsid w:val="00A25E19"/>
    <w:rsid w:val="00A25F06"/>
    <w:rsid w:val="00A25F1D"/>
    <w:rsid w:val="00A2601D"/>
    <w:rsid w:val="00A26117"/>
    <w:rsid w:val="00A26169"/>
    <w:rsid w:val="00A26247"/>
    <w:rsid w:val="00A26367"/>
    <w:rsid w:val="00A263DC"/>
    <w:rsid w:val="00A264CE"/>
    <w:rsid w:val="00A264E5"/>
    <w:rsid w:val="00A26610"/>
    <w:rsid w:val="00A266BD"/>
    <w:rsid w:val="00A2676B"/>
    <w:rsid w:val="00A26773"/>
    <w:rsid w:val="00A26778"/>
    <w:rsid w:val="00A267EF"/>
    <w:rsid w:val="00A26877"/>
    <w:rsid w:val="00A268DB"/>
    <w:rsid w:val="00A268FD"/>
    <w:rsid w:val="00A26A2E"/>
    <w:rsid w:val="00A26ADA"/>
    <w:rsid w:val="00A26B1F"/>
    <w:rsid w:val="00A26B77"/>
    <w:rsid w:val="00A26B82"/>
    <w:rsid w:val="00A26BEE"/>
    <w:rsid w:val="00A26C22"/>
    <w:rsid w:val="00A26C4C"/>
    <w:rsid w:val="00A26CA8"/>
    <w:rsid w:val="00A26CCC"/>
    <w:rsid w:val="00A26D40"/>
    <w:rsid w:val="00A26D66"/>
    <w:rsid w:val="00A26DA4"/>
    <w:rsid w:val="00A26E94"/>
    <w:rsid w:val="00A26EE8"/>
    <w:rsid w:val="00A26F1C"/>
    <w:rsid w:val="00A26FAF"/>
    <w:rsid w:val="00A26FF9"/>
    <w:rsid w:val="00A2700D"/>
    <w:rsid w:val="00A27012"/>
    <w:rsid w:val="00A2704F"/>
    <w:rsid w:val="00A27061"/>
    <w:rsid w:val="00A2706E"/>
    <w:rsid w:val="00A270C2"/>
    <w:rsid w:val="00A27151"/>
    <w:rsid w:val="00A271D6"/>
    <w:rsid w:val="00A271FE"/>
    <w:rsid w:val="00A27302"/>
    <w:rsid w:val="00A27335"/>
    <w:rsid w:val="00A27385"/>
    <w:rsid w:val="00A273C3"/>
    <w:rsid w:val="00A273C8"/>
    <w:rsid w:val="00A273E8"/>
    <w:rsid w:val="00A2742B"/>
    <w:rsid w:val="00A2745A"/>
    <w:rsid w:val="00A2749C"/>
    <w:rsid w:val="00A274B6"/>
    <w:rsid w:val="00A27533"/>
    <w:rsid w:val="00A27553"/>
    <w:rsid w:val="00A2759B"/>
    <w:rsid w:val="00A275AF"/>
    <w:rsid w:val="00A276BA"/>
    <w:rsid w:val="00A276DC"/>
    <w:rsid w:val="00A2773E"/>
    <w:rsid w:val="00A2776B"/>
    <w:rsid w:val="00A277B7"/>
    <w:rsid w:val="00A277CA"/>
    <w:rsid w:val="00A279D9"/>
    <w:rsid w:val="00A27A0B"/>
    <w:rsid w:val="00A27B39"/>
    <w:rsid w:val="00A27B3E"/>
    <w:rsid w:val="00A27B64"/>
    <w:rsid w:val="00A27BC8"/>
    <w:rsid w:val="00A27C4A"/>
    <w:rsid w:val="00A27C83"/>
    <w:rsid w:val="00A27C99"/>
    <w:rsid w:val="00A27CF2"/>
    <w:rsid w:val="00A27D95"/>
    <w:rsid w:val="00A27DC1"/>
    <w:rsid w:val="00A27E10"/>
    <w:rsid w:val="00A27ECB"/>
    <w:rsid w:val="00A27F3F"/>
    <w:rsid w:val="00A30037"/>
    <w:rsid w:val="00A30063"/>
    <w:rsid w:val="00A30101"/>
    <w:rsid w:val="00A30145"/>
    <w:rsid w:val="00A301B8"/>
    <w:rsid w:val="00A301FA"/>
    <w:rsid w:val="00A301FF"/>
    <w:rsid w:val="00A302ED"/>
    <w:rsid w:val="00A30361"/>
    <w:rsid w:val="00A3036A"/>
    <w:rsid w:val="00A30419"/>
    <w:rsid w:val="00A30444"/>
    <w:rsid w:val="00A30470"/>
    <w:rsid w:val="00A304A0"/>
    <w:rsid w:val="00A30587"/>
    <w:rsid w:val="00A30626"/>
    <w:rsid w:val="00A306C3"/>
    <w:rsid w:val="00A30773"/>
    <w:rsid w:val="00A30799"/>
    <w:rsid w:val="00A307CD"/>
    <w:rsid w:val="00A307E6"/>
    <w:rsid w:val="00A307EB"/>
    <w:rsid w:val="00A30803"/>
    <w:rsid w:val="00A30888"/>
    <w:rsid w:val="00A308F3"/>
    <w:rsid w:val="00A30936"/>
    <w:rsid w:val="00A30958"/>
    <w:rsid w:val="00A3096F"/>
    <w:rsid w:val="00A30ACD"/>
    <w:rsid w:val="00A30B3D"/>
    <w:rsid w:val="00A30B55"/>
    <w:rsid w:val="00A30B62"/>
    <w:rsid w:val="00A30BF1"/>
    <w:rsid w:val="00A30D15"/>
    <w:rsid w:val="00A30D90"/>
    <w:rsid w:val="00A30DFD"/>
    <w:rsid w:val="00A30F01"/>
    <w:rsid w:val="00A30F02"/>
    <w:rsid w:val="00A30F0C"/>
    <w:rsid w:val="00A30F89"/>
    <w:rsid w:val="00A30FBB"/>
    <w:rsid w:val="00A30FF8"/>
    <w:rsid w:val="00A31000"/>
    <w:rsid w:val="00A3108E"/>
    <w:rsid w:val="00A310FE"/>
    <w:rsid w:val="00A31134"/>
    <w:rsid w:val="00A31176"/>
    <w:rsid w:val="00A311B6"/>
    <w:rsid w:val="00A311EE"/>
    <w:rsid w:val="00A312BE"/>
    <w:rsid w:val="00A31355"/>
    <w:rsid w:val="00A31377"/>
    <w:rsid w:val="00A313FB"/>
    <w:rsid w:val="00A314F3"/>
    <w:rsid w:val="00A31500"/>
    <w:rsid w:val="00A31626"/>
    <w:rsid w:val="00A31680"/>
    <w:rsid w:val="00A31728"/>
    <w:rsid w:val="00A3175E"/>
    <w:rsid w:val="00A31761"/>
    <w:rsid w:val="00A3178E"/>
    <w:rsid w:val="00A318F4"/>
    <w:rsid w:val="00A31A24"/>
    <w:rsid w:val="00A31B3C"/>
    <w:rsid w:val="00A31B4D"/>
    <w:rsid w:val="00A31BDC"/>
    <w:rsid w:val="00A31C36"/>
    <w:rsid w:val="00A31C58"/>
    <w:rsid w:val="00A31CC6"/>
    <w:rsid w:val="00A31CE6"/>
    <w:rsid w:val="00A31DCF"/>
    <w:rsid w:val="00A31E0F"/>
    <w:rsid w:val="00A31E41"/>
    <w:rsid w:val="00A31E4E"/>
    <w:rsid w:val="00A31E6D"/>
    <w:rsid w:val="00A31E79"/>
    <w:rsid w:val="00A31E9F"/>
    <w:rsid w:val="00A31EF2"/>
    <w:rsid w:val="00A31F4D"/>
    <w:rsid w:val="00A31FCC"/>
    <w:rsid w:val="00A31FD8"/>
    <w:rsid w:val="00A3200D"/>
    <w:rsid w:val="00A32071"/>
    <w:rsid w:val="00A32248"/>
    <w:rsid w:val="00A3224D"/>
    <w:rsid w:val="00A32332"/>
    <w:rsid w:val="00A3234E"/>
    <w:rsid w:val="00A3236D"/>
    <w:rsid w:val="00A323CE"/>
    <w:rsid w:val="00A32476"/>
    <w:rsid w:val="00A3248E"/>
    <w:rsid w:val="00A324A9"/>
    <w:rsid w:val="00A324F8"/>
    <w:rsid w:val="00A3253A"/>
    <w:rsid w:val="00A3259E"/>
    <w:rsid w:val="00A325AB"/>
    <w:rsid w:val="00A326F4"/>
    <w:rsid w:val="00A326FF"/>
    <w:rsid w:val="00A32728"/>
    <w:rsid w:val="00A327DF"/>
    <w:rsid w:val="00A32811"/>
    <w:rsid w:val="00A32893"/>
    <w:rsid w:val="00A328F5"/>
    <w:rsid w:val="00A32918"/>
    <w:rsid w:val="00A32990"/>
    <w:rsid w:val="00A329D2"/>
    <w:rsid w:val="00A329E5"/>
    <w:rsid w:val="00A32A20"/>
    <w:rsid w:val="00A32A2C"/>
    <w:rsid w:val="00A32A30"/>
    <w:rsid w:val="00A32B13"/>
    <w:rsid w:val="00A32B15"/>
    <w:rsid w:val="00A32B1A"/>
    <w:rsid w:val="00A32C84"/>
    <w:rsid w:val="00A32CE8"/>
    <w:rsid w:val="00A32D0B"/>
    <w:rsid w:val="00A32D0D"/>
    <w:rsid w:val="00A32D5D"/>
    <w:rsid w:val="00A32D81"/>
    <w:rsid w:val="00A32DDA"/>
    <w:rsid w:val="00A32E0A"/>
    <w:rsid w:val="00A32E10"/>
    <w:rsid w:val="00A32E94"/>
    <w:rsid w:val="00A32F06"/>
    <w:rsid w:val="00A32F75"/>
    <w:rsid w:val="00A32F9B"/>
    <w:rsid w:val="00A32FA2"/>
    <w:rsid w:val="00A32FE0"/>
    <w:rsid w:val="00A33030"/>
    <w:rsid w:val="00A331CF"/>
    <w:rsid w:val="00A3325C"/>
    <w:rsid w:val="00A332DA"/>
    <w:rsid w:val="00A33379"/>
    <w:rsid w:val="00A333D4"/>
    <w:rsid w:val="00A333EA"/>
    <w:rsid w:val="00A334BA"/>
    <w:rsid w:val="00A334F2"/>
    <w:rsid w:val="00A33540"/>
    <w:rsid w:val="00A3356F"/>
    <w:rsid w:val="00A33675"/>
    <w:rsid w:val="00A336B5"/>
    <w:rsid w:val="00A336F2"/>
    <w:rsid w:val="00A33770"/>
    <w:rsid w:val="00A33812"/>
    <w:rsid w:val="00A33899"/>
    <w:rsid w:val="00A3391F"/>
    <w:rsid w:val="00A33970"/>
    <w:rsid w:val="00A33A0F"/>
    <w:rsid w:val="00A33A51"/>
    <w:rsid w:val="00A33B3B"/>
    <w:rsid w:val="00A33B3C"/>
    <w:rsid w:val="00A33D3A"/>
    <w:rsid w:val="00A33DB5"/>
    <w:rsid w:val="00A33E47"/>
    <w:rsid w:val="00A33E4D"/>
    <w:rsid w:val="00A33EB4"/>
    <w:rsid w:val="00A33EE5"/>
    <w:rsid w:val="00A33F34"/>
    <w:rsid w:val="00A33F3F"/>
    <w:rsid w:val="00A33F43"/>
    <w:rsid w:val="00A33F82"/>
    <w:rsid w:val="00A33FC6"/>
    <w:rsid w:val="00A33FF9"/>
    <w:rsid w:val="00A34000"/>
    <w:rsid w:val="00A34077"/>
    <w:rsid w:val="00A3415D"/>
    <w:rsid w:val="00A343AF"/>
    <w:rsid w:val="00A343ED"/>
    <w:rsid w:val="00A3443D"/>
    <w:rsid w:val="00A344F6"/>
    <w:rsid w:val="00A34502"/>
    <w:rsid w:val="00A34565"/>
    <w:rsid w:val="00A34573"/>
    <w:rsid w:val="00A345BC"/>
    <w:rsid w:val="00A345F9"/>
    <w:rsid w:val="00A34619"/>
    <w:rsid w:val="00A346A6"/>
    <w:rsid w:val="00A346CF"/>
    <w:rsid w:val="00A3470E"/>
    <w:rsid w:val="00A3470F"/>
    <w:rsid w:val="00A34758"/>
    <w:rsid w:val="00A34845"/>
    <w:rsid w:val="00A34854"/>
    <w:rsid w:val="00A34880"/>
    <w:rsid w:val="00A3489F"/>
    <w:rsid w:val="00A349F7"/>
    <w:rsid w:val="00A34A74"/>
    <w:rsid w:val="00A34A85"/>
    <w:rsid w:val="00A34AC6"/>
    <w:rsid w:val="00A34B34"/>
    <w:rsid w:val="00A34B3E"/>
    <w:rsid w:val="00A34C23"/>
    <w:rsid w:val="00A34CD1"/>
    <w:rsid w:val="00A34D84"/>
    <w:rsid w:val="00A34E6A"/>
    <w:rsid w:val="00A34E87"/>
    <w:rsid w:val="00A34EB3"/>
    <w:rsid w:val="00A34F01"/>
    <w:rsid w:val="00A3500C"/>
    <w:rsid w:val="00A350CC"/>
    <w:rsid w:val="00A35174"/>
    <w:rsid w:val="00A35217"/>
    <w:rsid w:val="00A3527E"/>
    <w:rsid w:val="00A352FD"/>
    <w:rsid w:val="00A35387"/>
    <w:rsid w:val="00A3538F"/>
    <w:rsid w:val="00A354AC"/>
    <w:rsid w:val="00A35503"/>
    <w:rsid w:val="00A35516"/>
    <w:rsid w:val="00A35532"/>
    <w:rsid w:val="00A35553"/>
    <w:rsid w:val="00A355D4"/>
    <w:rsid w:val="00A35611"/>
    <w:rsid w:val="00A35615"/>
    <w:rsid w:val="00A35729"/>
    <w:rsid w:val="00A35836"/>
    <w:rsid w:val="00A3583E"/>
    <w:rsid w:val="00A35882"/>
    <w:rsid w:val="00A35894"/>
    <w:rsid w:val="00A35896"/>
    <w:rsid w:val="00A358B5"/>
    <w:rsid w:val="00A35923"/>
    <w:rsid w:val="00A35945"/>
    <w:rsid w:val="00A35950"/>
    <w:rsid w:val="00A35A02"/>
    <w:rsid w:val="00A35A6C"/>
    <w:rsid w:val="00A35BC9"/>
    <w:rsid w:val="00A35BD4"/>
    <w:rsid w:val="00A35C20"/>
    <w:rsid w:val="00A35C57"/>
    <w:rsid w:val="00A35C96"/>
    <w:rsid w:val="00A35CC6"/>
    <w:rsid w:val="00A35D11"/>
    <w:rsid w:val="00A35D18"/>
    <w:rsid w:val="00A35D62"/>
    <w:rsid w:val="00A35D86"/>
    <w:rsid w:val="00A35E11"/>
    <w:rsid w:val="00A35E7E"/>
    <w:rsid w:val="00A35E86"/>
    <w:rsid w:val="00A35EDB"/>
    <w:rsid w:val="00A35F1B"/>
    <w:rsid w:val="00A35F58"/>
    <w:rsid w:val="00A35FE9"/>
    <w:rsid w:val="00A35FFC"/>
    <w:rsid w:val="00A36011"/>
    <w:rsid w:val="00A3601D"/>
    <w:rsid w:val="00A36144"/>
    <w:rsid w:val="00A3620E"/>
    <w:rsid w:val="00A36299"/>
    <w:rsid w:val="00A362A5"/>
    <w:rsid w:val="00A3633F"/>
    <w:rsid w:val="00A36388"/>
    <w:rsid w:val="00A3639D"/>
    <w:rsid w:val="00A36473"/>
    <w:rsid w:val="00A3647A"/>
    <w:rsid w:val="00A3648F"/>
    <w:rsid w:val="00A36499"/>
    <w:rsid w:val="00A364E6"/>
    <w:rsid w:val="00A364F8"/>
    <w:rsid w:val="00A3659D"/>
    <w:rsid w:val="00A366F0"/>
    <w:rsid w:val="00A366F2"/>
    <w:rsid w:val="00A3670B"/>
    <w:rsid w:val="00A3672C"/>
    <w:rsid w:val="00A367BF"/>
    <w:rsid w:val="00A36829"/>
    <w:rsid w:val="00A3682B"/>
    <w:rsid w:val="00A3684A"/>
    <w:rsid w:val="00A36936"/>
    <w:rsid w:val="00A3693C"/>
    <w:rsid w:val="00A3694A"/>
    <w:rsid w:val="00A36A1F"/>
    <w:rsid w:val="00A36A99"/>
    <w:rsid w:val="00A36B20"/>
    <w:rsid w:val="00A36B23"/>
    <w:rsid w:val="00A36B7C"/>
    <w:rsid w:val="00A36BCC"/>
    <w:rsid w:val="00A36BED"/>
    <w:rsid w:val="00A36C5A"/>
    <w:rsid w:val="00A36D43"/>
    <w:rsid w:val="00A36D55"/>
    <w:rsid w:val="00A36D7D"/>
    <w:rsid w:val="00A36DEE"/>
    <w:rsid w:val="00A36E67"/>
    <w:rsid w:val="00A36E8D"/>
    <w:rsid w:val="00A36FB8"/>
    <w:rsid w:val="00A370FA"/>
    <w:rsid w:val="00A370FE"/>
    <w:rsid w:val="00A37230"/>
    <w:rsid w:val="00A372B5"/>
    <w:rsid w:val="00A373CC"/>
    <w:rsid w:val="00A373EF"/>
    <w:rsid w:val="00A374D4"/>
    <w:rsid w:val="00A37538"/>
    <w:rsid w:val="00A375D7"/>
    <w:rsid w:val="00A37650"/>
    <w:rsid w:val="00A376BF"/>
    <w:rsid w:val="00A37711"/>
    <w:rsid w:val="00A37756"/>
    <w:rsid w:val="00A377A2"/>
    <w:rsid w:val="00A3782C"/>
    <w:rsid w:val="00A37891"/>
    <w:rsid w:val="00A378D1"/>
    <w:rsid w:val="00A378E5"/>
    <w:rsid w:val="00A378E8"/>
    <w:rsid w:val="00A37911"/>
    <w:rsid w:val="00A37A2A"/>
    <w:rsid w:val="00A37A86"/>
    <w:rsid w:val="00A37AFA"/>
    <w:rsid w:val="00A37B36"/>
    <w:rsid w:val="00A37C84"/>
    <w:rsid w:val="00A37C8B"/>
    <w:rsid w:val="00A37CA2"/>
    <w:rsid w:val="00A37CC5"/>
    <w:rsid w:val="00A37CE2"/>
    <w:rsid w:val="00A37D60"/>
    <w:rsid w:val="00A37D6C"/>
    <w:rsid w:val="00A37E06"/>
    <w:rsid w:val="00A37E53"/>
    <w:rsid w:val="00A37EAF"/>
    <w:rsid w:val="00A37ED9"/>
    <w:rsid w:val="00A37F5B"/>
    <w:rsid w:val="00A37F61"/>
    <w:rsid w:val="00A37F9E"/>
    <w:rsid w:val="00A400B5"/>
    <w:rsid w:val="00A40146"/>
    <w:rsid w:val="00A401A8"/>
    <w:rsid w:val="00A40211"/>
    <w:rsid w:val="00A403CD"/>
    <w:rsid w:val="00A403DD"/>
    <w:rsid w:val="00A404B2"/>
    <w:rsid w:val="00A404D7"/>
    <w:rsid w:val="00A404DE"/>
    <w:rsid w:val="00A40531"/>
    <w:rsid w:val="00A405DF"/>
    <w:rsid w:val="00A40617"/>
    <w:rsid w:val="00A40690"/>
    <w:rsid w:val="00A40746"/>
    <w:rsid w:val="00A40850"/>
    <w:rsid w:val="00A408BD"/>
    <w:rsid w:val="00A4095F"/>
    <w:rsid w:val="00A40A1B"/>
    <w:rsid w:val="00A40A91"/>
    <w:rsid w:val="00A40AC1"/>
    <w:rsid w:val="00A40C42"/>
    <w:rsid w:val="00A40D38"/>
    <w:rsid w:val="00A40E11"/>
    <w:rsid w:val="00A40E19"/>
    <w:rsid w:val="00A40E2D"/>
    <w:rsid w:val="00A40EA2"/>
    <w:rsid w:val="00A40EBF"/>
    <w:rsid w:val="00A40F93"/>
    <w:rsid w:val="00A40F9C"/>
    <w:rsid w:val="00A40F9D"/>
    <w:rsid w:val="00A40FEA"/>
    <w:rsid w:val="00A41101"/>
    <w:rsid w:val="00A411BB"/>
    <w:rsid w:val="00A41232"/>
    <w:rsid w:val="00A41294"/>
    <w:rsid w:val="00A4130E"/>
    <w:rsid w:val="00A413AF"/>
    <w:rsid w:val="00A413D8"/>
    <w:rsid w:val="00A414D9"/>
    <w:rsid w:val="00A414E5"/>
    <w:rsid w:val="00A415C6"/>
    <w:rsid w:val="00A415D5"/>
    <w:rsid w:val="00A41604"/>
    <w:rsid w:val="00A41660"/>
    <w:rsid w:val="00A416A3"/>
    <w:rsid w:val="00A416AD"/>
    <w:rsid w:val="00A4173F"/>
    <w:rsid w:val="00A4175F"/>
    <w:rsid w:val="00A4177D"/>
    <w:rsid w:val="00A4177E"/>
    <w:rsid w:val="00A418A0"/>
    <w:rsid w:val="00A41936"/>
    <w:rsid w:val="00A41979"/>
    <w:rsid w:val="00A41A3B"/>
    <w:rsid w:val="00A41A4F"/>
    <w:rsid w:val="00A41A55"/>
    <w:rsid w:val="00A41AF2"/>
    <w:rsid w:val="00A41B2B"/>
    <w:rsid w:val="00A41B8C"/>
    <w:rsid w:val="00A41BA3"/>
    <w:rsid w:val="00A41C23"/>
    <w:rsid w:val="00A41C85"/>
    <w:rsid w:val="00A41CFA"/>
    <w:rsid w:val="00A41D39"/>
    <w:rsid w:val="00A41D57"/>
    <w:rsid w:val="00A41EB9"/>
    <w:rsid w:val="00A41F36"/>
    <w:rsid w:val="00A420D7"/>
    <w:rsid w:val="00A420E9"/>
    <w:rsid w:val="00A4210A"/>
    <w:rsid w:val="00A421C9"/>
    <w:rsid w:val="00A4220C"/>
    <w:rsid w:val="00A42267"/>
    <w:rsid w:val="00A42275"/>
    <w:rsid w:val="00A423E5"/>
    <w:rsid w:val="00A42410"/>
    <w:rsid w:val="00A42433"/>
    <w:rsid w:val="00A42499"/>
    <w:rsid w:val="00A4252C"/>
    <w:rsid w:val="00A4264B"/>
    <w:rsid w:val="00A426D6"/>
    <w:rsid w:val="00A426E2"/>
    <w:rsid w:val="00A4277F"/>
    <w:rsid w:val="00A427D6"/>
    <w:rsid w:val="00A427E8"/>
    <w:rsid w:val="00A42805"/>
    <w:rsid w:val="00A42866"/>
    <w:rsid w:val="00A4289D"/>
    <w:rsid w:val="00A428C1"/>
    <w:rsid w:val="00A42950"/>
    <w:rsid w:val="00A42952"/>
    <w:rsid w:val="00A42A05"/>
    <w:rsid w:val="00A42A38"/>
    <w:rsid w:val="00A42A4D"/>
    <w:rsid w:val="00A42BA4"/>
    <w:rsid w:val="00A42C95"/>
    <w:rsid w:val="00A42CC1"/>
    <w:rsid w:val="00A42D14"/>
    <w:rsid w:val="00A42D3C"/>
    <w:rsid w:val="00A42D9A"/>
    <w:rsid w:val="00A42E51"/>
    <w:rsid w:val="00A42E55"/>
    <w:rsid w:val="00A42E64"/>
    <w:rsid w:val="00A42EA7"/>
    <w:rsid w:val="00A42F10"/>
    <w:rsid w:val="00A42F61"/>
    <w:rsid w:val="00A42F68"/>
    <w:rsid w:val="00A42FC5"/>
    <w:rsid w:val="00A42FCF"/>
    <w:rsid w:val="00A42FE2"/>
    <w:rsid w:val="00A4302D"/>
    <w:rsid w:val="00A43071"/>
    <w:rsid w:val="00A430A5"/>
    <w:rsid w:val="00A43150"/>
    <w:rsid w:val="00A43162"/>
    <w:rsid w:val="00A43209"/>
    <w:rsid w:val="00A4320D"/>
    <w:rsid w:val="00A43230"/>
    <w:rsid w:val="00A43306"/>
    <w:rsid w:val="00A43327"/>
    <w:rsid w:val="00A4339A"/>
    <w:rsid w:val="00A434AB"/>
    <w:rsid w:val="00A434FF"/>
    <w:rsid w:val="00A43516"/>
    <w:rsid w:val="00A43533"/>
    <w:rsid w:val="00A435CC"/>
    <w:rsid w:val="00A43797"/>
    <w:rsid w:val="00A437F9"/>
    <w:rsid w:val="00A43814"/>
    <w:rsid w:val="00A438E8"/>
    <w:rsid w:val="00A43947"/>
    <w:rsid w:val="00A43992"/>
    <w:rsid w:val="00A43A54"/>
    <w:rsid w:val="00A43B02"/>
    <w:rsid w:val="00A43B1A"/>
    <w:rsid w:val="00A43B47"/>
    <w:rsid w:val="00A43B61"/>
    <w:rsid w:val="00A43D2E"/>
    <w:rsid w:val="00A43D30"/>
    <w:rsid w:val="00A43D56"/>
    <w:rsid w:val="00A43D59"/>
    <w:rsid w:val="00A43D96"/>
    <w:rsid w:val="00A43DA0"/>
    <w:rsid w:val="00A43F7D"/>
    <w:rsid w:val="00A43F8D"/>
    <w:rsid w:val="00A43FF2"/>
    <w:rsid w:val="00A440F7"/>
    <w:rsid w:val="00A44100"/>
    <w:rsid w:val="00A44132"/>
    <w:rsid w:val="00A44159"/>
    <w:rsid w:val="00A441B5"/>
    <w:rsid w:val="00A441D7"/>
    <w:rsid w:val="00A441E3"/>
    <w:rsid w:val="00A4424F"/>
    <w:rsid w:val="00A443A4"/>
    <w:rsid w:val="00A443AF"/>
    <w:rsid w:val="00A443D9"/>
    <w:rsid w:val="00A44412"/>
    <w:rsid w:val="00A4445A"/>
    <w:rsid w:val="00A444CF"/>
    <w:rsid w:val="00A445CA"/>
    <w:rsid w:val="00A445D8"/>
    <w:rsid w:val="00A445DE"/>
    <w:rsid w:val="00A445DF"/>
    <w:rsid w:val="00A44604"/>
    <w:rsid w:val="00A4462B"/>
    <w:rsid w:val="00A44717"/>
    <w:rsid w:val="00A4471D"/>
    <w:rsid w:val="00A44786"/>
    <w:rsid w:val="00A4479D"/>
    <w:rsid w:val="00A447DA"/>
    <w:rsid w:val="00A448F7"/>
    <w:rsid w:val="00A4490E"/>
    <w:rsid w:val="00A44958"/>
    <w:rsid w:val="00A449AA"/>
    <w:rsid w:val="00A44B43"/>
    <w:rsid w:val="00A44B51"/>
    <w:rsid w:val="00A44C25"/>
    <w:rsid w:val="00A44C64"/>
    <w:rsid w:val="00A44C87"/>
    <w:rsid w:val="00A44D4D"/>
    <w:rsid w:val="00A44D74"/>
    <w:rsid w:val="00A44DAF"/>
    <w:rsid w:val="00A44E21"/>
    <w:rsid w:val="00A44F9D"/>
    <w:rsid w:val="00A4500A"/>
    <w:rsid w:val="00A4501F"/>
    <w:rsid w:val="00A4518C"/>
    <w:rsid w:val="00A451C4"/>
    <w:rsid w:val="00A451F1"/>
    <w:rsid w:val="00A45242"/>
    <w:rsid w:val="00A4528D"/>
    <w:rsid w:val="00A452AF"/>
    <w:rsid w:val="00A452E1"/>
    <w:rsid w:val="00A45339"/>
    <w:rsid w:val="00A45374"/>
    <w:rsid w:val="00A453A1"/>
    <w:rsid w:val="00A453EA"/>
    <w:rsid w:val="00A45401"/>
    <w:rsid w:val="00A45439"/>
    <w:rsid w:val="00A45478"/>
    <w:rsid w:val="00A454A8"/>
    <w:rsid w:val="00A454B8"/>
    <w:rsid w:val="00A454C3"/>
    <w:rsid w:val="00A45506"/>
    <w:rsid w:val="00A455C8"/>
    <w:rsid w:val="00A45632"/>
    <w:rsid w:val="00A457D2"/>
    <w:rsid w:val="00A45865"/>
    <w:rsid w:val="00A45866"/>
    <w:rsid w:val="00A459E1"/>
    <w:rsid w:val="00A459F9"/>
    <w:rsid w:val="00A45A14"/>
    <w:rsid w:val="00A45A5B"/>
    <w:rsid w:val="00A45A67"/>
    <w:rsid w:val="00A45A7F"/>
    <w:rsid w:val="00A45ACC"/>
    <w:rsid w:val="00A45AE4"/>
    <w:rsid w:val="00A45B03"/>
    <w:rsid w:val="00A45BCD"/>
    <w:rsid w:val="00A45C08"/>
    <w:rsid w:val="00A45C68"/>
    <w:rsid w:val="00A45D01"/>
    <w:rsid w:val="00A45D12"/>
    <w:rsid w:val="00A45DDD"/>
    <w:rsid w:val="00A45E9A"/>
    <w:rsid w:val="00A45F27"/>
    <w:rsid w:val="00A45FCA"/>
    <w:rsid w:val="00A45FF9"/>
    <w:rsid w:val="00A46076"/>
    <w:rsid w:val="00A460B8"/>
    <w:rsid w:val="00A46176"/>
    <w:rsid w:val="00A462A9"/>
    <w:rsid w:val="00A462D3"/>
    <w:rsid w:val="00A4637C"/>
    <w:rsid w:val="00A4642D"/>
    <w:rsid w:val="00A4646B"/>
    <w:rsid w:val="00A4648C"/>
    <w:rsid w:val="00A4649C"/>
    <w:rsid w:val="00A4662C"/>
    <w:rsid w:val="00A4663F"/>
    <w:rsid w:val="00A46720"/>
    <w:rsid w:val="00A46732"/>
    <w:rsid w:val="00A46770"/>
    <w:rsid w:val="00A46828"/>
    <w:rsid w:val="00A46843"/>
    <w:rsid w:val="00A46848"/>
    <w:rsid w:val="00A468AA"/>
    <w:rsid w:val="00A468D1"/>
    <w:rsid w:val="00A46932"/>
    <w:rsid w:val="00A469A1"/>
    <w:rsid w:val="00A46B36"/>
    <w:rsid w:val="00A46B5B"/>
    <w:rsid w:val="00A46C0D"/>
    <w:rsid w:val="00A46C1F"/>
    <w:rsid w:val="00A46C28"/>
    <w:rsid w:val="00A46C82"/>
    <w:rsid w:val="00A46CB0"/>
    <w:rsid w:val="00A46D02"/>
    <w:rsid w:val="00A46D5B"/>
    <w:rsid w:val="00A46DA1"/>
    <w:rsid w:val="00A46E07"/>
    <w:rsid w:val="00A46E40"/>
    <w:rsid w:val="00A46EC1"/>
    <w:rsid w:val="00A46F39"/>
    <w:rsid w:val="00A4707E"/>
    <w:rsid w:val="00A47089"/>
    <w:rsid w:val="00A470BD"/>
    <w:rsid w:val="00A471AE"/>
    <w:rsid w:val="00A471D2"/>
    <w:rsid w:val="00A47305"/>
    <w:rsid w:val="00A47376"/>
    <w:rsid w:val="00A4737B"/>
    <w:rsid w:val="00A474B9"/>
    <w:rsid w:val="00A4752F"/>
    <w:rsid w:val="00A475DA"/>
    <w:rsid w:val="00A4763C"/>
    <w:rsid w:val="00A47680"/>
    <w:rsid w:val="00A47684"/>
    <w:rsid w:val="00A4773C"/>
    <w:rsid w:val="00A47760"/>
    <w:rsid w:val="00A4778E"/>
    <w:rsid w:val="00A477AB"/>
    <w:rsid w:val="00A477C0"/>
    <w:rsid w:val="00A477C7"/>
    <w:rsid w:val="00A477DD"/>
    <w:rsid w:val="00A478D9"/>
    <w:rsid w:val="00A478E8"/>
    <w:rsid w:val="00A479DF"/>
    <w:rsid w:val="00A47AC3"/>
    <w:rsid w:val="00A47AD2"/>
    <w:rsid w:val="00A47ADB"/>
    <w:rsid w:val="00A47B08"/>
    <w:rsid w:val="00A47B22"/>
    <w:rsid w:val="00A47BBB"/>
    <w:rsid w:val="00A47BF9"/>
    <w:rsid w:val="00A47C11"/>
    <w:rsid w:val="00A47C1B"/>
    <w:rsid w:val="00A47C30"/>
    <w:rsid w:val="00A47C60"/>
    <w:rsid w:val="00A47C6E"/>
    <w:rsid w:val="00A47C87"/>
    <w:rsid w:val="00A47D6E"/>
    <w:rsid w:val="00A47D73"/>
    <w:rsid w:val="00A47DA9"/>
    <w:rsid w:val="00A47E60"/>
    <w:rsid w:val="00A47E62"/>
    <w:rsid w:val="00A47EA8"/>
    <w:rsid w:val="00A47EEF"/>
    <w:rsid w:val="00A47F01"/>
    <w:rsid w:val="00A47F4B"/>
    <w:rsid w:val="00A47FC8"/>
    <w:rsid w:val="00A47FE8"/>
    <w:rsid w:val="00A50097"/>
    <w:rsid w:val="00A500A7"/>
    <w:rsid w:val="00A500D1"/>
    <w:rsid w:val="00A500D2"/>
    <w:rsid w:val="00A500E7"/>
    <w:rsid w:val="00A50182"/>
    <w:rsid w:val="00A501C0"/>
    <w:rsid w:val="00A501FD"/>
    <w:rsid w:val="00A502A6"/>
    <w:rsid w:val="00A502A9"/>
    <w:rsid w:val="00A502CA"/>
    <w:rsid w:val="00A503EA"/>
    <w:rsid w:val="00A503ED"/>
    <w:rsid w:val="00A5042A"/>
    <w:rsid w:val="00A50464"/>
    <w:rsid w:val="00A504A9"/>
    <w:rsid w:val="00A504C8"/>
    <w:rsid w:val="00A50587"/>
    <w:rsid w:val="00A50612"/>
    <w:rsid w:val="00A5064E"/>
    <w:rsid w:val="00A506D1"/>
    <w:rsid w:val="00A50730"/>
    <w:rsid w:val="00A50763"/>
    <w:rsid w:val="00A507FB"/>
    <w:rsid w:val="00A50801"/>
    <w:rsid w:val="00A50892"/>
    <w:rsid w:val="00A508AC"/>
    <w:rsid w:val="00A5097F"/>
    <w:rsid w:val="00A50997"/>
    <w:rsid w:val="00A509DE"/>
    <w:rsid w:val="00A509E7"/>
    <w:rsid w:val="00A50ACC"/>
    <w:rsid w:val="00A50B59"/>
    <w:rsid w:val="00A50BB8"/>
    <w:rsid w:val="00A50C0C"/>
    <w:rsid w:val="00A50CD9"/>
    <w:rsid w:val="00A50D1A"/>
    <w:rsid w:val="00A50D2B"/>
    <w:rsid w:val="00A50D71"/>
    <w:rsid w:val="00A50D77"/>
    <w:rsid w:val="00A50E1C"/>
    <w:rsid w:val="00A50E51"/>
    <w:rsid w:val="00A50F53"/>
    <w:rsid w:val="00A50F8A"/>
    <w:rsid w:val="00A50FC3"/>
    <w:rsid w:val="00A51010"/>
    <w:rsid w:val="00A510DC"/>
    <w:rsid w:val="00A510FC"/>
    <w:rsid w:val="00A51207"/>
    <w:rsid w:val="00A51214"/>
    <w:rsid w:val="00A51278"/>
    <w:rsid w:val="00A512A2"/>
    <w:rsid w:val="00A512E6"/>
    <w:rsid w:val="00A51373"/>
    <w:rsid w:val="00A51374"/>
    <w:rsid w:val="00A51388"/>
    <w:rsid w:val="00A5139B"/>
    <w:rsid w:val="00A514E9"/>
    <w:rsid w:val="00A51546"/>
    <w:rsid w:val="00A5155B"/>
    <w:rsid w:val="00A515E9"/>
    <w:rsid w:val="00A51631"/>
    <w:rsid w:val="00A51653"/>
    <w:rsid w:val="00A516FD"/>
    <w:rsid w:val="00A517A6"/>
    <w:rsid w:val="00A517C7"/>
    <w:rsid w:val="00A517D0"/>
    <w:rsid w:val="00A517EF"/>
    <w:rsid w:val="00A51850"/>
    <w:rsid w:val="00A51887"/>
    <w:rsid w:val="00A519E7"/>
    <w:rsid w:val="00A51ACC"/>
    <w:rsid w:val="00A51BF6"/>
    <w:rsid w:val="00A51C3B"/>
    <w:rsid w:val="00A51CC1"/>
    <w:rsid w:val="00A51D79"/>
    <w:rsid w:val="00A51D7F"/>
    <w:rsid w:val="00A51D86"/>
    <w:rsid w:val="00A51D8D"/>
    <w:rsid w:val="00A51DA8"/>
    <w:rsid w:val="00A51E11"/>
    <w:rsid w:val="00A51E14"/>
    <w:rsid w:val="00A51E4A"/>
    <w:rsid w:val="00A51E4F"/>
    <w:rsid w:val="00A51E97"/>
    <w:rsid w:val="00A51EE5"/>
    <w:rsid w:val="00A51F32"/>
    <w:rsid w:val="00A51F36"/>
    <w:rsid w:val="00A51F5D"/>
    <w:rsid w:val="00A51F64"/>
    <w:rsid w:val="00A520D2"/>
    <w:rsid w:val="00A520D8"/>
    <w:rsid w:val="00A520EF"/>
    <w:rsid w:val="00A52160"/>
    <w:rsid w:val="00A52191"/>
    <w:rsid w:val="00A521A7"/>
    <w:rsid w:val="00A5230F"/>
    <w:rsid w:val="00A5256D"/>
    <w:rsid w:val="00A525A7"/>
    <w:rsid w:val="00A52607"/>
    <w:rsid w:val="00A52664"/>
    <w:rsid w:val="00A52697"/>
    <w:rsid w:val="00A526B9"/>
    <w:rsid w:val="00A526D5"/>
    <w:rsid w:val="00A52762"/>
    <w:rsid w:val="00A5278B"/>
    <w:rsid w:val="00A52823"/>
    <w:rsid w:val="00A5289D"/>
    <w:rsid w:val="00A528CC"/>
    <w:rsid w:val="00A52902"/>
    <w:rsid w:val="00A52919"/>
    <w:rsid w:val="00A52960"/>
    <w:rsid w:val="00A5296E"/>
    <w:rsid w:val="00A5296F"/>
    <w:rsid w:val="00A529B3"/>
    <w:rsid w:val="00A52A05"/>
    <w:rsid w:val="00A52AD0"/>
    <w:rsid w:val="00A52B1F"/>
    <w:rsid w:val="00A52B4B"/>
    <w:rsid w:val="00A52BCD"/>
    <w:rsid w:val="00A52C35"/>
    <w:rsid w:val="00A52DD3"/>
    <w:rsid w:val="00A52E6C"/>
    <w:rsid w:val="00A52E8F"/>
    <w:rsid w:val="00A52EF8"/>
    <w:rsid w:val="00A52F32"/>
    <w:rsid w:val="00A52F48"/>
    <w:rsid w:val="00A52F8C"/>
    <w:rsid w:val="00A52FBF"/>
    <w:rsid w:val="00A52FCC"/>
    <w:rsid w:val="00A5302F"/>
    <w:rsid w:val="00A53148"/>
    <w:rsid w:val="00A5316B"/>
    <w:rsid w:val="00A531E9"/>
    <w:rsid w:val="00A53241"/>
    <w:rsid w:val="00A53260"/>
    <w:rsid w:val="00A532F8"/>
    <w:rsid w:val="00A53353"/>
    <w:rsid w:val="00A53386"/>
    <w:rsid w:val="00A53440"/>
    <w:rsid w:val="00A5345D"/>
    <w:rsid w:val="00A535A0"/>
    <w:rsid w:val="00A535CB"/>
    <w:rsid w:val="00A53622"/>
    <w:rsid w:val="00A536A6"/>
    <w:rsid w:val="00A53748"/>
    <w:rsid w:val="00A5379B"/>
    <w:rsid w:val="00A53817"/>
    <w:rsid w:val="00A5390F"/>
    <w:rsid w:val="00A5396B"/>
    <w:rsid w:val="00A539A2"/>
    <w:rsid w:val="00A53A45"/>
    <w:rsid w:val="00A53AA2"/>
    <w:rsid w:val="00A53B3E"/>
    <w:rsid w:val="00A53B5B"/>
    <w:rsid w:val="00A53BE1"/>
    <w:rsid w:val="00A53C55"/>
    <w:rsid w:val="00A53CCD"/>
    <w:rsid w:val="00A53D1E"/>
    <w:rsid w:val="00A53D6E"/>
    <w:rsid w:val="00A53DF0"/>
    <w:rsid w:val="00A53E65"/>
    <w:rsid w:val="00A53EA0"/>
    <w:rsid w:val="00A53FD1"/>
    <w:rsid w:val="00A540A3"/>
    <w:rsid w:val="00A540D9"/>
    <w:rsid w:val="00A54122"/>
    <w:rsid w:val="00A54185"/>
    <w:rsid w:val="00A5418A"/>
    <w:rsid w:val="00A541CB"/>
    <w:rsid w:val="00A541D7"/>
    <w:rsid w:val="00A54284"/>
    <w:rsid w:val="00A54341"/>
    <w:rsid w:val="00A54394"/>
    <w:rsid w:val="00A5445B"/>
    <w:rsid w:val="00A54467"/>
    <w:rsid w:val="00A54524"/>
    <w:rsid w:val="00A54538"/>
    <w:rsid w:val="00A5459D"/>
    <w:rsid w:val="00A54661"/>
    <w:rsid w:val="00A5466B"/>
    <w:rsid w:val="00A547C8"/>
    <w:rsid w:val="00A548BD"/>
    <w:rsid w:val="00A54917"/>
    <w:rsid w:val="00A5497E"/>
    <w:rsid w:val="00A54992"/>
    <w:rsid w:val="00A549BD"/>
    <w:rsid w:val="00A54AC5"/>
    <w:rsid w:val="00A54BE3"/>
    <w:rsid w:val="00A54C92"/>
    <w:rsid w:val="00A54C9F"/>
    <w:rsid w:val="00A54D2C"/>
    <w:rsid w:val="00A54DA7"/>
    <w:rsid w:val="00A54E48"/>
    <w:rsid w:val="00A54EF4"/>
    <w:rsid w:val="00A54FE1"/>
    <w:rsid w:val="00A5502A"/>
    <w:rsid w:val="00A55054"/>
    <w:rsid w:val="00A550B7"/>
    <w:rsid w:val="00A550E4"/>
    <w:rsid w:val="00A55153"/>
    <w:rsid w:val="00A55174"/>
    <w:rsid w:val="00A551A9"/>
    <w:rsid w:val="00A55268"/>
    <w:rsid w:val="00A55273"/>
    <w:rsid w:val="00A5529A"/>
    <w:rsid w:val="00A552C9"/>
    <w:rsid w:val="00A552FD"/>
    <w:rsid w:val="00A5531A"/>
    <w:rsid w:val="00A55384"/>
    <w:rsid w:val="00A5550C"/>
    <w:rsid w:val="00A555A4"/>
    <w:rsid w:val="00A555EA"/>
    <w:rsid w:val="00A55679"/>
    <w:rsid w:val="00A5567D"/>
    <w:rsid w:val="00A5568B"/>
    <w:rsid w:val="00A5568C"/>
    <w:rsid w:val="00A5577F"/>
    <w:rsid w:val="00A55789"/>
    <w:rsid w:val="00A557DB"/>
    <w:rsid w:val="00A557FE"/>
    <w:rsid w:val="00A558B4"/>
    <w:rsid w:val="00A558C0"/>
    <w:rsid w:val="00A558C8"/>
    <w:rsid w:val="00A558CE"/>
    <w:rsid w:val="00A558FF"/>
    <w:rsid w:val="00A55902"/>
    <w:rsid w:val="00A55910"/>
    <w:rsid w:val="00A5592D"/>
    <w:rsid w:val="00A5595B"/>
    <w:rsid w:val="00A55B1E"/>
    <w:rsid w:val="00A55B3C"/>
    <w:rsid w:val="00A55B68"/>
    <w:rsid w:val="00A55BBF"/>
    <w:rsid w:val="00A55C41"/>
    <w:rsid w:val="00A55CAD"/>
    <w:rsid w:val="00A55CEF"/>
    <w:rsid w:val="00A55DF4"/>
    <w:rsid w:val="00A56050"/>
    <w:rsid w:val="00A56060"/>
    <w:rsid w:val="00A560DD"/>
    <w:rsid w:val="00A560E0"/>
    <w:rsid w:val="00A56168"/>
    <w:rsid w:val="00A56193"/>
    <w:rsid w:val="00A561D5"/>
    <w:rsid w:val="00A56208"/>
    <w:rsid w:val="00A562A2"/>
    <w:rsid w:val="00A562E1"/>
    <w:rsid w:val="00A562F2"/>
    <w:rsid w:val="00A5636D"/>
    <w:rsid w:val="00A563A5"/>
    <w:rsid w:val="00A563F9"/>
    <w:rsid w:val="00A56425"/>
    <w:rsid w:val="00A56449"/>
    <w:rsid w:val="00A565D2"/>
    <w:rsid w:val="00A56658"/>
    <w:rsid w:val="00A56707"/>
    <w:rsid w:val="00A567AB"/>
    <w:rsid w:val="00A5687A"/>
    <w:rsid w:val="00A56888"/>
    <w:rsid w:val="00A56895"/>
    <w:rsid w:val="00A56898"/>
    <w:rsid w:val="00A568A7"/>
    <w:rsid w:val="00A568CD"/>
    <w:rsid w:val="00A568EC"/>
    <w:rsid w:val="00A5693D"/>
    <w:rsid w:val="00A5696B"/>
    <w:rsid w:val="00A5698B"/>
    <w:rsid w:val="00A569A2"/>
    <w:rsid w:val="00A569B7"/>
    <w:rsid w:val="00A569CE"/>
    <w:rsid w:val="00A56A2F"/>
    <w:rsid w:val="00A56A5C"/>
    <w:rsid w:val="00A56BCE"/>
    <w:rsid w:val="00A56C89"/>
    <w:rsid w:val="00A56CE8"/>
    <w:rsid w:val="00A56CF5"/>
    <w:rsid w:val="00A56CF6"/>
    <w:rsid w:val="00A56D5C"/>
    <w:rsid w:val="00A56D8A"/>
    <w:rsid w:val="00A56D93"/>
    <w:rsid w:val="00A56D9E"/>
    <w:rsid w:val="00A56E78"/>
    <w:rsid w:val="00A56EBB"/>
    <w:rsid w:val="00A56EF2"/>
    <w:rsid w:val="00A56F2D"/>
    <w:rsid w:val="00A57025"/>
    <w:rsid w:val="00A5703F"/>
    <w:rsid w:val="00A570AF"/>
    <w:rsid w:val="00A57141"/>
    <w:rsid w:val="00A57154"/>
    <w:rsid w:val="00A57161"/>
    <w:rsid w:val="00A571C6"/>
    <w:rsid w:val="00A571CB"/>
    <w:rsid w:val="00A5729A"/>
    <w:rsid w:val="00A572F8"/>
    <w:rsid w:val="00A573CC"/>
    <w:rsid w:val="00A573EE"/>
    <w:rsid w:val="00A57402"/>
    <w:rsid w:val="00A574D2"/>
    <w:rsid w:val="00A574F3"/>
    <w:rsid w:val="00A574FB"/>
    <w:rsid w:val="00A57539"/>
    <w:rsid w:val="00A57568"/>
    <w:rsid w:val="00A575E4"/>
    <w:rsid w:val="00A576C0"/>
    <w:rsid w:val="00A576E7"/>
    <w:rsid w:val="00A5776B"/>
    <w:rsid w:val="00A577BB"/>
    <w:rsid w:val="00A577FD"/>
    <w:rsid w:val="00A57844"/>
    <w:rsid w:val="00A57878"/>
    <w:rsid w:val="00A57922"/>
    <w:rsid w:val="00A5795C"/>
    <w:rsid w:val="00A5795F"/>
    <w:rsid w:val="00A57966"/>
    <w:rsid w:val="00A579A1"/>
    <w:rsid w:val="00A579A6"/>
    <w:rsid w:val="00A57B0F"/>
    <w:rsid w:val="00A57B83"/>
    <w:rsid w:val="00A57C19"/>
    <w:rsid w:val="00A57C5A"/>
    <w:rsid w:val="00A57CDB"/>
    <w:rsid w:val="00A57D11"/>
    <w:rsid w:val="00A57D9C"/>
    <w:rsid w:val="00A57D9F"/>
    <w:rsid w:val="00A57DC3"/>
    <w:rsid w:val="00A57DD4"/>
    <w:rsid w:val="00A57DF8"/>
    <w:rsid w:val="00A57E52"/>
    <w:rsid w:val="00A57E7F"/>
    <w:rsid w:val="00A57F69"/>
    <w:rsid w:val="00A57FF7"/>
    <w:rsid w:val="00A60019"/>
    <w:rsid w:val="00A60063"/>
    <w:rsid w:val="00A6006C"/>
    <w:rsid w:val="00A6008E"/>
    <w:rsid w:val="00A60127"/>
    <w:rsid w:val="00A601AE"/>
    <w:rsid w:val="00A601B5"/>
    <w:rsid w:val="00A60204"/>
    <w:rsid w:val="00A60222"/>
    <w:rsid w:val="00A60235"/>
    <w:rsid w:val="00A60243"/>
    <w:rsid w:val="00A60261"/>
    <w:rsid w:val="00A6027E"/>
    <w:rsid w:val="00A602A0"/>
    <w:rsid w:val="00A602B0"/>
    <w:rsid w:val="00A6032B"/>
    <w:rsid w:val="00A6032F"/>
    <w:rsid w:val="00A60384"/>
    <w:rsid w:val="00A603C1"/>
    <w:rsid w:val="00A603F0"/>
    <w:rsid w:val="00A60426"/>
    <w:rsid w:val="00A6051A"/>
    <w:rsid w:val="00A6055D"/>
    <w:rsid w:val="00A6065C"/>
    <w:rsid w:val="00A606A1"/>
    <w:rsid w:val="00A606C2"/>
    <w:rsid w:val="00A60736"/>
    <w:rsid w:val="00A60773"/>
    <w:rsid w:val="00A6078F"/>
    <w:rsid w:val="00A60A02"/>
    <w:rsid w:val="00A60AB4"/>
    <w:rsid w:val="00A60B1A"/>
    <w:rsid w:val="00A60BA3"/>
    <w:rsid w:val="00A60BA5"/>
    <w:rsid w:val="00A60BBF"/>
    <w:rsid w:val="00A60BDA"/>
    <w:rsid w:val="00A60C5C"/>
    <w:rsid w:val="00A60C7D"/>
    <w:rsid w:val="00A60C90"/>
    <w:rsid w:val="00A60D13"/>
    <w:rsid w:val="00A60D4D"/>
    <w:rsid w:val="00A60D62"/>
    <w:rsid w:val="00A60E6C"/>
    <w:rsid w:val="00A60EB8"/>
    <w:rsid w:val="00A60EC3"/>
    <w:rsid w:val="00A60ECE"/>
    <w:rsid w:val="00A60EFA"/>
    <w:rsid w:val="00A60F1B"/>
    <w:rsid w:val="00A60F4E"/>
    <w:rsid w:val="00A60F78"/>
    <w:rsid w:val="00A60F80"/>
    <w:rsid w:val="00A60FE2"/>
    <w:rsid w:val="00A6102A"/>
    <w:rsid w:val="00A61045"/>
    <w:rsid w:val="00A6106A"/>
    <w:rsid w:val="00A610AB"/>
    <w:rsid w:val="00A610BC"/>
    <w:rsid w:val="00A610FF"/>
    <w:rsid w:val="00A61128"/>
    <w:rsid w:val="00A613C0"/>
    <w:rsid w:val="00A613C4"/>
    <w:rsid w:val="00A614D3"/>
    <w:rsid w:val="00A614DA"/>
    <w:rsid w:val="00A61521"/>
    <w:rsid w:val="00A615BD"/>
    <w:rsid w:val="00A61627"/>
    <w:rsid w:val="00A61648"/>
    <w:rsid w:val="00A61653"/>
    <w:rsid w:val="00A6169F"/>
    <w:rsid w:val="00A616C9"/>
    <w:rsid w:val="00A616F1"/>
    <w:rsid w:val="00A6176B"/>
    <w:rsid w:val="00A61786"/>
    <w:rsid w:val="00A6179A"/>
    <w:rsid w:val="00A617C5"/>
    <w:rsid w:val="00A6187B"/>
    <w:rsid w:val="00A61A59"/>
    <w:rsid w:val="00A61A95"/>
    <w:rsid w:val="00A61A9D"/>
    <w:rsid w:val="00A61BA3"/>
    <w:rsid w:val="00A61BA6"/>
    <w:rsid w:val="00A61C6F"/>
    <w:rsid w:val="00A61CD2"/>
    <w:rsid w:val="00A61D13"/>
    <w:rsid w:val="00A61DFA"/>
    <w:rsid w:val="00A61F25"/>
    <w:rsid w:val="00A61F40"/>
    <w:rsid w:val="00A61F4C"/>
    <w:rsid w:val="00A61F83"/>
    <w:rsid w:val="00A61FBB"/>
    <w:rsid w:val="00A61FF8"/>
    <w:rsid w:val="00A62008"/>
    <w:rsid w:val="00A620A3"/>
    <w:rsid w:val="00A621D7"/>
    <w:rsid w:val="00A62224"/>
    <w:rsid w:val="00A6229F"/>
    <w:rsid w:val="00A62327"/>
    <w:rsid w:val="00A62439"/>
    <w:rsid w:val="00A624B0"/>
    <w:rsid w:val="00A624C1"/>
    <w:rsid w:val="00A62548"/>
    <w:rsid w:val="00A6259F"/>
    <w:rsid w:val="00A625E2"/>
    <w:rsid w:val="00A62601"/>
    <w:rsid w:val="00A6260D"/>
    <w:rsid w:val="00A62634"/>
    <w:rsid w:val="00A62635"/>
    <w:rsid w:val="00A62655"/>
    <w:rsid w:val="00A626F3"/>
    <w:rsid w:val="00A6280A"/>
    <w:rsid w:val="00A62853"/>
    <w:rsid w:val="00A6286C"/>
    <w:rsid w:val="00A6287B"/>
    <w:rsid w:val="00A628BC"/>
    <w:rsid w:val="00A628C2"/>
    <w:rsid w:val="00A6291D"/>
    <w:rsid w:val="00A6293B"/>
    <w:rsid w:val="00A62942"/>
    <w:rsid w:val="00A62987"/>
    <w:rsid w:val="00A62AE8"/>
    <w:rsid w:val="00A62C46"/>
    <w:rsid w:val="00A62C4D"/>
    <w:rsid w:val="00A62C7B"/>
    <w:rsid w:val="00A62CC8"/>
    <w:rsid w:val="00A62CD4"/>
    <w:rsid w:val="00A62D36"/>
    <w:rsid w:val="00A62D5C"/>
    <w:rsid w:val="00A62D5E"/>
    <w:rsid w:val="00A62D9C"/>
    <w:rsid w:val="00A62E43"/>
    <w:rsid w:val="00A62E48"/>
    <w:rsid w:val="00A62E64"/>
    <w:rsid w:val="00A62E86"/>
    <w:rsid w:val="00A62ED6"/>
    <w:rsid w:val="00A62EEF"/>
    <w:rsid w:val="00A62FCB"/>
    <w:rsid w:val="00A62FCE"/>
    <w:rsid w:val="00A62FD4"/>
    <w:rsid w:val="00A63075"/>
    <w:rsid w:val="00A630C6"/>
    <w:rsid w:val="00A630C9"/>
    <w:rsid w:val="00A63144"/>
    <w:rsid w:val="00A63244"/>
    <w:rsid w:val="00A63256"/>
    <w:rsid w:val="00A63263"/>
    <w:rsid w:val="00A63265"/>
    <w:rsid w:val="00A632D8"/>
    <w:rsid w:val="00A6334B"/>
    <w:rsid w:val="00A633C0"/>
    <w:rsid w:val="00A633CF"/>
    <w:rsid w:val="00A633DC"/>
    <w:rsid w:val="00A633E7"/>
    <w:rsid w:val="00A63406"/>
    <w:rsid w:val="00A635BD"/>
    <w:rsid w:val="00A6364A"/>
    <w:rsid w:val="00A6371E"/>
    <w:rsid w:val="00A63759"/>
    <w:rsid w:val="00A63796"/>
    <w:rsid w:val="00A637A6"/>
    <w:rsid w:val="00A637D4"/>
    <w:rsid w:val="00A637DF"/>
    <w:rsid w:val="00A63829"/>
    <w:rsid w:val="00A6386F"/>
    <w:rsid w:val="00A6387A"/>
    <w:rsid w:val="00A638F7"/>
    <w:rsid w:val="00A63908"/>
    <w:rsid w:val="00A63A9D"/>
    <w:rsid w:val="00A63AA7"/>
    <w:rsid w:val="00A63ACB"/>
    <w:rsid w:val="00A63AF1"/>
    <w:rsid w:val="00A63B75"/>
    <w:rsid w:val="00A63B9C"/>
    <w:rsid w:val="00A63BAD"/>
    <w:rsid w:val="00A63BE8"/>
    <w:rsid w:val="00A63D5C"/>
    <w:rsid w:val="00A63DA5"/>
    <w:rsid w:val="00A63DEB"/>
    <w:rsid w:val="00A63E2D"/>
    <w:rsid w:val="00A63E6F"/>
    <w:rsid w:val="00A63EE4"/>
    <w:rsid w:val="00A63EEA"/>
    <w:rsid w:val="00A63F37"/>
    <w:rsid w:val="00A63F6E"/>
    <w:rsid w:val="00A6400B"/>
    <w:rsid w:val="00A64019"/>
    <w:rsid w:val="00A64026"/>
    <w:rsid w:val="00A640CB"/>
    <w:rsid w:val="00A6410D"/>
    <w:rsid w:val="00A6412C"/>
    <w:rsid w:val="00A6417C"/>
    <w:rsid w:val="00A641D3"/>
    <w:rsid w:val="00A64237"/>
    <w:rsid w:val="00A6423C"/>
    <w:rsid w:val="00A6430D"/>
    <w:rsid w:val="00A64383"/>
    <w:rsid w:val="00A6440B"/>
    <w:rsid w:val="00A6448D"/>
    <w:rsid w:val="00A644B5"/>
    <w:rsid w:val="00A644FD"/>
    <w:rsid w:val="00A64513"/>
    <w:rsid w:val="00A64559"/>
    <w:rsid w:val="00A6458F"/>
    <w:rsid w:val="00A645AF"/>
    <w:rsid w:val="00A645F0"/>
    <w:rsid w:val="00A6461A"/>
    <w:rsid w:val="00A6467D"/>
    <w:rsid w:val="00A64799"/>
    <w:rsid w:val="00A647DE"/>
    <w:rsid w:val="00A64830"/>
    <w:rsid w:val="00A64888"/>
    <w:rsid w:val="00A648CD"/>
    <w:rsid w:val="00A64907"/>
    <w:rsid w:val="00A6491B"/>
    <w:rsid w:val="00A64932"/>
    <w:rsid w:val="00A64A0E"/>
    <w:rsid w:val="00A64A41"/>
    <w:rsid w:val="00A64ACF"/>
    <w:rsid w:val="00A64B26"/>
    <w:rsid w:val="00A64B62"/>
    <w:rsid w:val="00A64C7F"/>
    <w:rsid w:val="00A64C87"/>
    <w:rsid w:val="00A64CC4"/>
    <w:rsid w:val="00A64CF3"/>
    <w:rsid w:val="00A64D86"/>
    <w:rsid w:val="00A64DD4"/>
    <w:rsid w:val="00A64E4C"/>
    <w:rsid w:val="00A64E98"/>
    <w:rsid w:val="00A64F05"/>
    <w:rsid w:val="00A64F90"/>
    <w:rsid w:val="00A65002"/>
    <w:rsid w:val="00A6505D"/>
    <w:rsid w:val="00A650B7"/>
    <w:rsid w:val="00A65108"/>
    <w:rsid w:val="00A65180"/>
    <w:rsid w:val="00A65219"/>
    <w:rsid w:val="00A6521E"/>
    <w:rsid w:val="00A6524D"/>
    <w:rsid w:val="00A6533C"/>
    <w:rsid w:val="00A6535D"/>
    <w:rsid w:val="00A654B4"/>
    <w:rsid w:val="00A654D2"/>
    <w:rsid w:val="00A6558E"/>
    <w:rsid w:val="00A655D3"/>
    <w:rsid w:val="00A65668"/>
    <w:rsid w:val="00A65678"/>
    <w:rsid w:val="00A65690"/>
    <w:rsid w:val="00A6569C"/>
    <w:rsid w:val="00A656C4"/>
    <w:rsid w:val="00A656F3"/>
    <w:rsid w:val="00A6572F"/>
    <w:rsid w:val="00A65775"/>
    <w:rsid w:val="00A657BE"/>
    <w:rsid w:val="00A657EE"/>
    <w:rsid w:val="00A65952"/>
    <w:rsid w:val="00A6595F"/>
    <w:rsid w:val="00A65968"/>
    <w:rsid w:val="00A65977"/>
    <w:rsid w:val="00A659B6"/>
    <w:rsid w:val="00A659BE"/>
    <w:rsid w:val="00A65A31"/>
    <w:rsid w:val="00A65A66"/>
    <w:rsid w:val="00A65A72"/>
    <w:rsid w:val="00A65A7A"/>
    <w:rsid w:val="00A65AB9"/>
    <w:rsid w:val="00A65B88"/>
    <w:rsid w:val="00A65C77"/>
    <w:rsid w:val="00A65CB5"/>
    <w:rsid w:val="00A65D7A"/>
    <w:rsid w:val="00A65DCB"/>
    <w:rsid w:val="00A65E04"/>
    <w:rsid w:val="00A65E49"/>
    <w:rsid w:val="00A65EB1"/>
    <w:rsid w:val="00A65EC2"/>
    <w:rsid w:val="00A65F83"/>
    <w:rsid w:val="00A66052"/>
    <w:rsid w:val="00A66091"/>
    <w:rsid w:val="00A6612D"/>
    <w:rsid w:val="00A6616D"/>
    <w:rsid w:val="00A6617E"/>
    <w:rsid w:val="00A661D0"/>
    <w:rsid w:val="00A661EB"/>
    <w:rsid w:val="00A66215"/>
    <w:rsid w:val="00A66232"/>
    <w:rsid w:val="00A6623E"/>
    <w:rsid w:val="00A66282"/>
    <w:rsid w:val="00A662C9"/>
    <w:rsid w:val="00A66367"/>
    <w:rsid w:val="00A6644F"/>
    <w:rsid w:val="00A66471"/>
    <w:rsid w:val="00A6647D"/>
    <w:rsid w:val="00A664DF"/>
    <w:rsid w:val="00A66509"/>
    <w:rsid w:val="00A6650C"/>
    <w:rsid w:val="00A66523"/>
    <w:rsid w:val="00A66528"/>
    <w:rsid w:val="00A66598"/>
    <w:rsid w:val="00A665D5"/>
    <w:rsid w:val="00A6660D"/>
    <w:rsid w:val="00A66640"/>
    <w:rsid w:val="00A6664E"/>
    <w:rsid w:val="00A66654"/>
    <w:rsid w:val="00A666FD"/>
    <w:rsid w:val="00A6670B"/>
    <w:rsid w:val="00A667C5"/>
    <w:rsid w:val="00A66810"/>
    <w:rsid w:val="00A6681E"/>
    <w:rsid w:val="00A66848"/>
    <w:rsid w:val="00A6687D"/>
    <w:rsid w:val="00A668C4"/>
    <w:rsid w:val="00A668D5"/>
    <w:rsid w:val="00A66960"/>
    <w:rsid w:val="00A66981"/>
    <w:rsid w:val="00A669EC"/>
    <w:rsid w:val="00A66A55"/>
    <w:rsid w:val="00A66A79"/>
    <w:rsid w:val="00A66AAC"/>
    <w:rsid w:val="00A66AB4"/>
    <w:rsid w:val="00A66C45"/>
    <w:rsid w:val="00A66C79"/>
    <w:rsid w:val="00A66CD5"/>
    <w:rsid w:val="00A66DD0"/>
    <w:rsid w:val="00A66DFF"/>
    <w:rsid w:val="00A66E75"/>
    <w:rsid w:val="00A66EC3"/>
    <w:rsid w:val="00A66EEA"/>
    <w:rsid w:val="00A66F3C"/>
    <w:rsid w:val="00A66FAE"/>
    <w:rsid w:val="00A66FBF"/>
    <w:rsid w:val="00A67000"/>
    <w:rsid w:val="00A67078"/>
    <w:rsid w:val="00A670E4"/>
    <w:rsid w:val="00A670F7"/>
    <w:rsid w:val="00A6710D"/>
    <w:rsid w:val="00A67150"/>
    <w:rsid w:val="00A671A0"/>
    <w:rsid w:val="00A672F2"/>
    <w:rsid w:val="00A67315"/>
    <w:rsid w:val="00A673F8"/>
    <w:rsid w:val="00A6741F"/>
    <w:rsid w:val="00A674A8"/>
    <w:rsid w:val="00A67513"/>
    <w:rsid w:val="00A67521"/>
    <w:rsid w:val="00A67578"/>
    <w:rsid w:val="00A6759C"/>
    <w:rsid w:val="00A6768B"/>
    <w:rsid w:val="00A6768D"/>
    <w:rsid w:val="00A676FF"/>
    <w:rsid w:val="00A6778E"/>
    <w:rsid w:val="00A677D4"/>
    <w:rsid w:val="00A67840"/>
    <w:rsid w:val="00A67862"/>
    <w:rsid w:val="00A6789B"/>
    <w:rsid w:val="00A678AC"/>
    <w:rsid w:val="00A67984"/>
    <w:rsid w:val="00A67A59"/>
    <w:rsid w:val="00A67AB5"/>
    <w:rsid w:val="00A67AC0"/>
    <w:rsid w:val="00A67AE7"/>
    <w:rsid w:val="00A67AF1"/>
    <w:rsid w:val="00A67B08"/>
    <w:rsid w:val="00A67B1F"/>
    <w:rsid w:val="00A67B86"/>
    <w:rsid w:val="00A67BD9"/>
    <w:rsid w:val="00A67BEC"/>
    <w:rsid w:val="00A67C4E"/>
    <w:rsid w:val="00A67C68"/>
    <w:rsid w:val="00A67CE1"/>
    <w:rsid w:val="00A67D00"/>
    <w:rsid w:val="00A67D8A"/>
    <w:rsid w:val="00A67D91"/>
    <w:rsid w:val="00A67E76"/>
    <w:rsid w:val="00A67EAD"/>
    <w:rsid w:val="00A67ED9"/>
    <w:rsid w:val="00A67F69"/>
    <w:rsid w:val="00A70048"/>
    <w:rsid w:val="00A700C2"/>
    <w:rsid w:val="00A70112"/>
    <w:rsid w:val="00A7014F"/>
    <w:rsid w:val="00A70174"/>
    <w:rsid w:val="00A702BD"/>
    <w:rsid w:val="00A70344"/>
    <w:rsid w:val="00A70359"/>
    <w:rsid w:val="00A7037E"/>
    <w:rsid w:val="00A7039E"/>
    <w:rsid w:val="00A703CF"/>
    <w:rsid w:val="00A703E0"/>
    <w:rsid w:val="00A703F8"/>
    <w:rsid w:val="00A70434"/>
    <w:rsid w:val="00A704D5"/>
    <w:rsid w:val="00A70516"/>
    <w:rsid w:val="00A7059F"/>
    <w:rsid w:val="00A70632"/>
    <w:rsid w:val="00A7064D"/>
    <w:rsid w:val="00A70682"/>
    <w:rsid w:val="00A706A6"/>
    <w:rsid w:val="00A7071D"/>
    <w:rsid w:val="00A70784"/>
    <w:rsid w:val="00A709D6"/>
    <w:rsid w:val="00A70A0C"/>
    <w:rsid w:val="00A70A16"/>
    <w:rsid w:val="00A70A48"/>
    <w:rsid w:val="00A70A78"/>
    <w:rsid w:val="00A70AEC"/>
    <w:rsid w:val="00A70B10"/>
    <w:rsid w:val="00A70B2E"/>
    <w:rsid w:val="00A70B64"/>
    <w:rsid w:val="00A70BC1"/>
    <w:rsid w:val="00A70BEB"/>
    <w:rsid w:val="00A70C3E"/>
    <w:rsid w:val="00A70C7D"/>
    <w:rsid w:val="00A70CA8"/>
    <w:rsid w:val="00A70CC8"/>
    <w:rsid w:val="00A70D1A"/>
    <w:rsid w:val="00A70D97"/>
    <w:rsid w:val="00A70EFB"/>
    <w:rsid w:val="00A70F30"/>
    <w:rsid w:val="00A70F9A"/>
    <w:rsid w:val="00A70FCD"/>
    <w:rsid w:val="00A71056"/>
    <w:rsid w:val="00A71066"/>
    <w:rsid w:val="00A710C8"/>
    <w:rsid w:val="00A71121"/>
    <w:rsid w:val="00A71192"/>
    <w:rsid w:val="00A711B3"/>
    <w:rsid w:val="00A711BB"/>
    <w:rsid w:val="00A71218"/>
    <w:rsid w:val="00A71224"/>
    <w:rsid w:val="00A71251"/>
    <w:rsid w:val="00A712F1"/>
    <w:rsid w:val="00A71304"/>
    <w:rsid w:val="00A71367"/>
    <w:rsid w:val="00A71403"/>
    <w:rsid w:val="00A71549"/>
    <w:rsid w:val="00A7159E"/>
    <w:rsid w:val="00A71636"/>
    <w:rsid w:val="00A7164A"/>
    <w:rsid w:val="00A716F6"/>
    <w:rsid w:val="00A71723"/>
    <w:rsid w:val="00A71753"/>
    <w:rsid w:val="00A7176D"/>
    <w:rsid w:val="00A7177F"/>
    <w:rsid w:val="00A7178F"/>
    <w:rsid w:val="00A718AA"/>
    <w:rsid w:val="00A718F1"/>
    <w:rsid w:val="00A71A02"/>
    <w:rsid w:val="00A71A1E"/>
    <w:rsid w:val="00A71A43"/>
    <w:rsid w:val="00A71AA5"/>
    <w:rsid w:val="00A71B0D"/>
    <w:rsid w:val="00A71C0E"/>
    <w:rsid w:val="00A71C60"/>
    <w:rsid w:val="00A71CED"/>
    <w:rsid w:val="00A71D2B"/>
    <w:rsid w:val="00A71D45"/>
    <w:rsid w:val="00A71DDB"/>
    <w:rsid w:val="00A71DF4"/>
    <w:rsid w:val="00A71EFD"/>
    <w:rsid w:val="00A72007"/>
    <w:rsid w:val="00A72025"/>
    <w:rsid w:val="00A72029"/>
    <w:rsid w:val="00A720AC"/>
    <w:rsid w:val="00A720E8"/>
    <w:rsid w:val="00A721AE"/>
    <w:rsid w:val="00A7223C"/>
    <w:rsid w:val="00A72325"/>
    <w:rsid w:val="00A72370"/>
    <w:rsid w:val="00A724AB"/>
    <w:rsid w:val="00A724CA"/>
    <w:rsid w:val="00A724CF"/>
    <w:rsid w:val="00A7256D"/>
    <w:rsid w:val="00A725B0"/>
    <w:rsid w:val="00A725D3"/>
    <w:rsid w:val="00A726E8"/>
    <w:rsid w:val="00A726F4"/>
    <w:rsid w:val="00A72853"/>
    <w:rsid w:val="00A728D4"/>
    <w:rsid w:val="00A72917"/>
    <w:rsid w:val="00A72943"/>
    <w:rsid w:val="00A72A01"/>
    <w:rsid w:val="00A72A4F"/>
    <w:rsid w:val="00A72A77"/>
    <w:rsid w:val="00A72AFC"/>
    <w:rsid w:val="00A72B3C"/>
    <w:rsid w:val="00A72BEC"/>
    <w:rsid w:val="00A72BEE"/>
    <w:rsid w:val="00A72C86"/>
    <w:rsid w:val="00A72CBC"/>
    <w:rsid w:val="00A72CEC"/>
    <w:rsid w:val="00A72D38"/>
    <w:rsid w:val="00A72DBD"/>
    <w:rsid w:val="00A72DCB"/>
    <w:rsid w:val="00A72E15"/>
    <w:rsid w:val="00A72E61"/>
    <w:rsid w:val="00A72F38"/>
    <w:rsid w:val="00A72FBE"/>
    <w:rsid w:val="00A73182"/>
    <w:rsid w:val="00A73271"/>
    <w:rsid w:val="00A7329B"/>
    <w:rsid w:val="00A732A1"/>
    <w:rsid w:val="00A73435"/>
    <w:rsid w:val="00A73506"/>
    <w:rsid w:val="00A73549"/>
    <w:rsid w:val="00A735A1"/>
    <w:rsid w:val="00A735CB"/>
    <w:rsid w:val="00A735DF"/>
    <w:rsid w:val="00A7371B"/>
    <w:rsid w:val="00A73800"/>
    <w:rsid w:val="00A73806"/>
    <w:rsid w:val="00A7382A"/>
    <w:rsid w:val="00A738AA"/>
    <w:rsid w:val="00A7393D"/>
    <w:rsid w:val="00A73981"/>
    <w:rsid w:val="00A7399D"/>
    <w:rsid w:val="00A739EA"/>
    <w:rsid w:val="00A73A35"/>
    <w:rsid w:val="00A73A68"/>
    <w:rsid w:val="00A73B38"/>
    <w:rsid w:val="00A73BB0"/>
    <w:rsid w:val="00A73BB8"/>
    <w:rsid w:val="00A73C1B"/>
    <w:rsid w:val="00A73C33"/>
    <w:rsid w:val="00A73C3E"/>
    <w:rsid w:val="00A73C65"/>
    <w:rsid w:val="00A73C97"/>
    <w:rsid w:val="00A73CC2"/>
    <w:rsid w:val="00A73CF4"/>
    <w:rsid w:val="00A73DC1"/>
    <w:rsid w:val="00A73DE4"/>
    <w:rsid w:val="00A73DF3"/>
    <w:rsid w:val="00A73EEB"/>
    <w:rsid w:val="00A73EF6"/>
    <w:rsid w:val="00A73F34"/>
    <w:rsid w:val="00A73F88"/>
    <w:rsid w:val="00A73FD2"/>
    <w:rsid w:val="00A74036"/>
    <w:rsid w:val="00A7407C"/>
    <w:rsid w:val="00A74106"/>
    <w:rsid w:val="00A74138"/>
    <w:rsid w:val="00A741A2"/>
    <w:rsid w:val="00A74369"/>
    <w:rsid w:val="00A743B0"/>
    <w:rsid w:val="00A743E6"/>
    <w:rsid w:val="00A744F1"/>
    <w:rsid w:val="00A7450C"/>
    <w:rsid w:val="00A745C4"/>
    <w:rsid w:val="00A746A3"/>
    <w:rsid w:val="00A746BC"/>
    <w:rsid w:val="00A746D6"/>
    <w:rsid w:val="00A74775"/>
    <w:rsid w:val="00A7478A"/>
    <w:rsid w:val="00A747CF"/>
    <w:rsid w:val="00A748F2"/>
    <w:rsid w:val="00A7491A"/>
    <w:rsid w:val="00A74992"/>
    <w:rsid w:val="00A749B9"/>
    <w:rsid w:val="00A74A27"/>
    <w:rsid w:val="00A74A6F"/>
    <w:rsid w:val="00A74B0E"/>
    <w:rsid w:val="00A74B3B"/>
    <w:rsid w:val="00A74B56"/>
    <w:rsid w:val="00A74C61"/>
    <w:rsid w:val="00A74C91"/>
    <w:rsid w:val="00A74D31"/>
    <w:rsid w:val="00A74D33"/>
    <w:rsid w:val="00A74D8A"/>
    <w:rsid w:val="00A74E3D"/>
    <w:rsid w:val="00A74E3F"/>
    <w:rsid w:val="00A74F1F"/>
    <w:rsid w:val="00A74FB0"/>
    <w:rsid w:val="00A74FC0"/>
    <w:rsid w:val="00A74FC2"/>
    <w:rsid w:val="00A74FD0"/>
    <w:rsid w:val="00A75060"/>
    <w:rsid w:val="00A750C6"/>
    <w:rsid w:val="00A750F8"/>
    <w:rsid w:val="00A7512A"/>
    <w:rsid w:val="00A7514D"/>
    <w:rsid w:val="00A7515A"/>
    <w:rsid w:val="00A75164"/>
    <w:rsid w:val="00A7518E"/>
    <w:rsid w:val="00A7536E"/>
    <w:rsid w:val="00A7538D"/>
    <w:rsid w:val="00A753B2"/>
    <w:rsid w:val="00A753C1"/>
    <w:rsid w:val="00A75483"/>
    <w:rsid w:val="00A75497"/>
    <w:rsid w:val="00A7555D"/>
    <w:rsid w:val="00A755DA"/>
    <w:rsid w:val="00A756CE"/>
    <w:rsid w:val="00A7578A"/>
    <w:rsid w:val="00A75828"/>
    <w:rsid w:val="00A75851"/>
    <w:rsid w:val="00A758A6"/>
    <w:rsid w:val="00A7591D"/>
    <w:rsid w:val="00A759AA"/>
    <w:rsid w:val="00A759C4"/>
    <w:rsid w:val="00A75A07"/>
    <w:rsid w:val="00A75A0B"/>
    <w:rsid w:val="00A75C1D"/>
    <w:rsid w:val="00A75C2C"/>
    <w:rsid w:val="00A75C5F"/>
    <w:rsid w:val="00A75CB7"/>
    <w:rsid w:val="00A75CD6"/>
    <w:rsid w:val="00A75D46"/>
    <w:rsid w:val="00A75D84"/>
    <w:rsid w:val="00A75DA7"/>
    <w:rsid w:val="00A75DCB"/>
    <w:rsid w:val="00A75E5F"/>
    <w:rsid w:val="00A75F52"/>
    <w:rsid w:val="00A75FDD"/>
    <w:rsid w:val="00A7602F"/>
    <w:rsid w:val="00A76034"/>
    <w:rsid w:val="00A76077"/>
    <w:rsid w:val="00A7608F"/>
    <w:rsid w:val="00A76092"/>
    <w:rsid w:val="00A760A1"/>
    <w:rsid w:val="00A760F5"/>
    <w:rsid w:val="00A760F6"/>
    <w:rsid w:val="00A761C8"/>
    <w:rsid w:val="00A761EF"/>
    <w:rsid w:val="00A76247"/>
    <w:rsid w:val="00A762B1"/>
    <w:rsid w:val="00A762E4"/>
    <w:rsid w:val="00A76383"/>
    <w:rsid w:val="00A76417"/>
    <w:rsid w:val="00A76461"/>
    <w:rsid w:val="00A76589"/>
    <w:rsid w:val="00A76590"/>
    <w:rsid w:val="00A76697"/>
    <w:rsid w:val="00A7669D"/>
    <w:rsid w:val="00A76709"/>
    <w:rsid w:val="00A76728"/>
    <w:rsid w:val="00A76745"/>
    <w:rsid w:val="00A7678C"/>
    <w:rsid w:val="00A76804"/>
    <w:rsid w:val="00A76876"/>
    <w:rsid w:val="00A768AF"/>
    <w:rsid w:val="00A768E2"/>
    <w:rsid w:val="00A76940"/>
    <w:rsid w:val="00A769D3"/>
    <w:rsid w:val="00A76A60"/>
    <w:rsid w:val="00A76B01"/>
    <w:rsid w:val="00A76B36"/>
    <w:rsid w:val="00A76B5F"/>
    <w:rsid w:val="00A76B8D"/>
    <w:rsid w:val="00A76BBB"/>
    <w:rsid w:val="00A76C10"/>
    <w:rsid w:val="00A76C25"/>
    <w:rsid w:val="00A76C46"/>
    <w:rsid w:val="00A76CDD"/>
    <w:rsid w:val="00A76CE4"/>
    <w:rsid w:val="00A76D99"/>
    <w:rsid w:val="00A76D9F"/>
    <w:rsid w:val="00A76E8B"/>
    <w:rsid w:val="00A76EB4"/>
    <w:rsid w:val="00A76F85"/>
    <w:rsid w:val="00A76FE9"/>
    <w:rsid w:val="00A76FF9"/>
    <w:rsid w:val="00A7700D"/>
    <w:rsid w:val="00A7700F"/>
    <w:rsid w:val="00A77115"/>
    <w:rsid w:val="00A7719D"/>
    <w:rsid w:val="00A771BD"/>
    <w:rsid w:val="00A771E8"/>
    <w:rsid w:val="00A7727B"/>
    <w:rsid w:val="00A772A1"/>
    <w:rsid w:val="00A772FE"/>
    <w:rsid w:val="00A773CD"/>
    <w:rsid w:val="00A773EA"/>
    <w:rsid w:val="00A7744E"/>
    <w:rsid w:val="00A77458"/>
    <w:rsid w:val="00A77464"/>
    <w:rsid w:val="00A77528"/>
    <w:rsid w:val="00A7759B"/>
    <w:rsid w:val="00A77678"/>
    <w:rsid w:val="00A776D8"/>
    <w:rsid w:val="00A776F6"/>
    <w:rsid w:val="00A77767"/>
    <w:rsid w:val="00A777A8"/>
    <w:rsid w:val="00A777C2"/>
    <w:rsid w:val="00A777DE"/>
    <w:rsid w:val="00A77854"/>
    <w:rsid w:val="00A77863"/>
    <w:rsid w:val="00A778C6"/>
    <w:rsid w:val="00A778FE"/>
    <w:rsid w:val="00A77901"/>
    <w:rsid w:val="00A7790C"/>
    <w:rsid w:val="00A77965"/>
    <w:rsid w:val="00A77979"/>
    <w:rsid w:val="00A77A38"/>
    <w:rsid w:val="00A77A8D"/>
    <w:rsid w:val="00A77A8E"/>
    <w:rsid w:val="00A77A9E"/>
    <w:rsid w:val="00A77AE1"/>
    <w:rsid w:val="00A77B24"/>
    <w:rsid w:val="00A77B86"/>
    <w:rsid w:val="00A77BE3"/>
    <w:rsid w:val="00A77C41"/>
    <w:rsid w:val="00A77CEE"/>
    <w:rsid w:val="00A77D0E"/>
    <w:rsid w:val="00A77DD0"/>
    <w:rsid w:val="00A77EDB"/>
    <w:rsid w:val="00A80034"/>
    <w:rsid w:val="00A8012D"/>
    <w:rsid w:val="00A80198"/>
    <w:rsid w:val="00A801D9"/>
    <w:rsid w:val="00A8021D"/>
    <w:rsid w:val="00A80238"/>
    <w:rsid w:val="00A8028C"/>
    <w:rsid w:val="00A802F8"/>
    <w:rsid w:val="00A8031D"/>
    <w:rsid w:val="00A8031E"/>
    <w:rsid w:val="00A803BD"/>
    <w:rsid w:val="00A80423"/>
    <w:rsid w:val="00A8072F"/>
    <w:rsid w:val="00A80734"/>
    <w:rsid w:val="00A80747"/>
    <w:rsid w:val="00A807A2"/>
    <w:rsid w:val="00A807A8"/>
    <w:rsid w:val="00A807B1"/>
    <w:rsid w:val="00A807DE"/>
    <w:rsid w:val="00A80809"/>
    <w:rsid w:val="00A808B4"/>
    <w:rsid w:val="00A808BA"/>
    <w:rsid w:val="00A808F0"/>
    <w:rsid w:val="00A8092C"/>
    <w:rsid w:val="00A809F9"/>
    <w:rsid w:val="00A809FD"/>
    <w:rsid w:val="00A80AAD"/>
    <w:rsid w:val="00A80AC6"/>
    <w:rsid w:val="00A80B38"/>
    <w:rsid w:val="00A80BA4"/>
    <w:rsid w:val="00A80C56"/>
    <w:rsid w:val="00A80CAA"/>
    <w:rsid w:val="00A80DB6"/>
    <w:rsid w:val="00A80F6A"/>
    <w:rsid w:val="00A8100A"/>
    <w:rsid w:val="00A81068"/>
    <w:rsid w:val="00A8109E"/>
    <w:rsid w:val="00A81157"/>
    <w:rsid w:val="00A8116A"/>
    <w:rsid w:val="00A811F3"/>
    <w:rsid w:val="00A8125F"/>
    <w:rsid w:val="00A812DD"/>
    <w:rsid w:val="00A81337"/>
    <w:rsid w:val="00A8138F"/>
    <w:rsid w:val="00A81397"/>
    <w:rsid w:val="00A8141B"/>
    <w:rsid w:val="00A81431"/>
    <w:rsid w:val="00A8144E"/>
    <w:rsid w:val="00A8149D"/>
    <w:rsid w:val="00A814C4"/>
    <w:rsid w:val="00A81575"/>
    <w:rsid w:val="00A81616"/>
    <w:rsid w:val="00A81655"/>
    <w:rsid w:val="00A81665"/>
    <w:rsid w:val="00A816C6"/>
    <w:rsid w:val="00A8183A"/>
    <w:rsid w:val="00A8194D"/>
    <w:rsid w:val="00A81963"/>
    <w:rsid w:val="00A819CF"/>
    <w:rsid w:val="00A819EF"/>
    <w:rsid w:val="00A81A65"/>
    <w:rsid w:val="00A81A75"/>
    <w:rsid w:val="00A81B0D"/>
    <w:rsid w:val="00A81B4E"/>
    <w:rsid w:val="00A81B66"/>
    <w:rsid w:val="00A81C18"/>
    <w:rsid w:val="00A81C2C"/>
    <w:rsid w:val="00A81D3F"/>
    <w:rsid w:val="00A81D62"/>
    <w:rsid w:val="00A81DE7"/>
    <w:rsid w:val="00A81E00"/>
    <w:rsid w:val="00A81E1D"/>
    <w:rsid w:val="00A81ED1"/>
    <w:rsid w:val="00A81F5D"/>
    <w:rsid w:val="00A81F9E"/>
    <w:rsid w:val="00A81FCE"/>
    <w:rsid w:val="00A81FD3"/>
    <w:rsid w:val="00A81FD8"/>
    <w:rsid w:val="00A82006"/>
    <w:rsid w:val="00A82104"/>
    <w:rsid w:val="00A8212E"/>
    <w:rsid w:val="00A82135"/>
    <w:rsid w:val="00A8215F"/>
    <w:rsid w:val="00A821AE"/>
    <w:rsid w:val="00A821F6"/>
    <w:rsid w:val="00A8225F"/>
    <w:rsid w:val="00A82286"/>
    <w:rsid w:val="00A822BC"/>
    <w:rsid w:val="00A822C6"/>
    <w:rsid w:val="00A822D4"/>
    <w:rsid w:val="00A822E9"/>
    <w:rsid w:val="00A822F2"/>
    <w:rsid w:val="00A82352"/>
    <w:rsid w:val="00A82369"/>
    <w:rsid w:val="00A823B6"/>
    <w:rsid w:val="00A824D4"/>
    <w:rsid w:val="00A82541"/>
    <w:rsid w:val="00A8257C"/>
    <w:rsid w:val="00A825AA"/>
    <w:rsid w:val="00A82609"/>
    <w:rsid w:val="00A826E1"/>
    <w:rsid w:val="00A826E2"/>
    <w:rsid w:val="00A826FC"/>
    <w:rsid w:val="00A82704"/>
    <w:rsid w:val="00A82824"/>
    <w:rsid w:val="00A8282A"/>
    <w:rsid w:val="00A82857"/>
    <w:rsid w:val="00A828FD"/>
    <w:rsid w:val="00A82909"/>
    <w:rsid w:val="00A82979"/>
    <w:rsid w:val="00A829EC"/>
    <w:rsid w:val="00A82B23"/>
    <w:rsid w:val="00A82B42"/>
    <w:rsid w:val="00A82BBA"/>
    <w:rsid w:val="00A82C75"/>
    <w:rsid w:val="00A82C8B"/>
    <w:rsid w:val="00A82D15"/>
    <w:rsid w:val="00A82E88"/>
    <w:rsid w:val="00A82E94"/>
    <w:rsid w:val="00A82EEC"/>
    <w:rsid w:val="00A82F5D"/>
    <w:rsid w:val="00A82F95"/>
    <w:rsid w:val="00A82FA3"/>
    <w:rsid w:val="00A82FAA"/>
    <w:rsid w:val="00A83035"/>
    <w:rsid w:val="00A8305C"/>
    <w:rsid w:val="00A83074"/>
    <w:rsid w:val="00A83088"/>
    <w:rsid w:val="00A830AF"/>
    <w:rsid w:val="00A83168"/>
    <w:rsid w:val="00A83252"/>
    <w:rsid w:val="00A8325E"/>
    <w:rsid w:val="00A832F3"/>
    <w:rsid w:val="00A8342D"/>
    <w:rsid w:val="00A83454"/>
    <w:rsid w:val="00A83518"/>
    <w:rsid w:val="00A835D4"/>
    <w:rsid w:val="00A83654"/>
    <w:rsid w:val="00A83656"/>
    <w:rsid w:val="00A836A5"/>
    <w:rsid w:val="00A836ED"/>
    <w:rsid w:val="00A837E8"/>
    <w:rsid w:val="00A8387C"/>
    <w:rsid w:val="00A838D3"/>
    <w:rsid w:val="00A839C3"/>
    <w:rsid w:val="00A83A2A"/>
    <w:rsid w:val="00A83A8C"/>
    <w:rsid w:val="00A83AE9"/>
    <w:rsid w:val="00A83C97"/>
    <w:rsid w:val="00A83C9C"/>
    <w:rsid w:val="00A83CDB"/>
    <w:rsid w:val="00A83CED"/>
    <w:rsid w:val="00A83CFA"/>
    <w:rsid w:val="00A83D05"/>
    <w:rsid w:val="00A83D55"/>
    <w:rsid w:val="00A83DA4"/>
    <w:rsid w:val="00A83E18"/>
    <w:rsid w:val="00A83F05"/>
    <w:rsid w:val="00A83F82"/>
    <w:rsid w:val="00A83FBF"/>
    <w:rsid w:val="00A83FD9"/>
    <w:rsid w:val="00A84084"/>
    <w:rsid w:val="00A840BF"/>
    <w:rsid w:val="00A840C5"/>
    <w:rsid w:val="00A841CC"/>
    <w:rsid w:val="00A84234"/>
    <w:rsid w:val="00A84285"/>
    <w:rsid w:val="00A842EF"/>
    <w:rsid w:val="00A84363"/>
    <w:rsid w:val="00A84369"/>
    <w:rsid w:val="00A84373"/>
    <w:rsid w:val="00A84425"/>
    <w:rsid w:val="00A8444B"/>
    <w:rsid w:val="00A844C7"/>
    <w:rsid w:val="00A84662"/>
    <w:rsid w:val="00A8468F"/>
    <w:rsid w:val="00A846EC"/>
    <w:rsid w:val="00A8472E"/>
    <w:rsid w:val="00A84878"/>
    <w:rsid w:val="00A84903"/>
    <w:rsid w:val="00A84983"/>
    <w:rsid w:val="00A84B05"/>
    <w:rsid w:val="00A84B50"/>
    <w:rsid w:val="00A84B70"/>
    <w:rsid w:val="00A84BD4"/>
    <w:rsid w:val="00A84BF7"/>
    <w:rsid w:val="00A84C33"/>
    <w:rsid w:val="00A84D0C"/>
    <w:rsid w:val="00A84D85"/>
    <w:rsid w:val="00A84E7F"/>
    <w:rsid w:val="00A84E9A"/>
    <w:rsid w:val="00A84ED8"/>
    <w:rsid w:val="00A84F2A"/>
    <w:rsid w:val="00A84F5F"/>
    <w:rsid w:val="00A84F80"/>
    <w:rsid w:val="00A84FCA"/>
    <w:rsid w:val="00A8506A"/>
    <w:rsid w:val="00A850F4"/>
    <w:rsid w:val="00A8519C"/>
    <w:rsid w:val="00A8519D"/>
    <w:rsid w:val="00A8525F"/>
    <w:rsid w:val="00A8529E"/>
    <w:rsid w:val="00A852C6"/>
    <w:rsid w:val="00A8530D"/>
    <w:rsid w:val="00A85441"/>
    <w:rsid w:val="00A8544D"/>
    <w:rsid w:val="00A85498"/>
    <w:rsid w:val="00A854FA"/>
    <w:rsid w:val="00A85520"/>
    <w:rsid w:val="00A856E5"/>
    <w:rsid w:val="00A856F7"/>
    <w:rsid w:val="00A857A0"/>
    <w:rsid w:val="00A857CD"/>
    <w:rsid w:val="00A85883"/>
    <w:rsid w:val="00A858E0"/>
    <w:rsid w:val="00A85972"/>
    <w:rsid w:val="00A85996"/>
    <w:rsid w:val="00A85AEC"/>
    <w:rsid w:val="00A85AF4"/>
    <w:rsid w:val="00A85AF7"/>
    <w:rsid w:val="00A85B3A"/>
    <w:rsid w:val="00A85C00"/>
    <w:rsid w:val="00A85C5F"/>
    <w:rsid w:val="00A85C6F"/>
    <w:rsid w:val="00A85D86"/>
    <w:rsid w:val="00A85FCE"/>
    <w:rsid w:val="00A86043"/>
    <w:rsid w:val="00A86051"/>
    <w:rsid w:val="00A860A0"/>
    <w:rsid w:val="00A860CB"/>
    <w:rsid w:val="00A8611C"/>
    <w:rsid w:val="00A861B2"/>
    <w:rsid w:val="00A86255"/>
    <w:rsid w:val="00A8625F"/>
    <w:rsid w:val="00A862C7"/>
    <w:rsid w:val="00A862D4"/>
    <w:rsid w:val="00A86350"/>
    <w:rsid w:val="00A86375"/>
    <w:rsid w:val="00A864B8"/>
    <w:rsid w:val="00A864D4"/>
    <w:rsid w:val="00A865A8"/>
    <w:rsid w:val="00A865FA"/>
    <w:rsid w:val="00A8666E"/>
    <w:rsid w:val="00A866C9"/>
    <w:rsid w:val="00A86753"/>
    <w:rsid w:val="00A867B6"/>
    <w:rsid w:val="00A8681B"/>
    <w:rsid w:val="00A868B7"/>
    <w:rsid w:val="00A8693C"/>
    <w:rsid w:val="00A86958"/>
    <w:rsid w:val="00A86960"/>
    <w:rsid w:val="00A86973"/>
    <w:rsid w:val="00A86A10"/>
    <w:rsid w:val="00A86A3D"/>
    <w:rsid w:val="00A86B09"/>
    <w:rsid w:val="00A86B0B"/>
    <w:rsid w:val="00A86B18"/>
    <w:rsid w:val="00A86B29"/>
    <w:rsid w:val="00A86B56"/>
    <w:rsid w:val="00A86C87"/>
    <w:rsid w:val="00A86C9B"/>
    <w:rsid w:val="00A86CFB"/>
    <w:rsid w:val="00A86D32"/>
    <w:rsid w:val="00A86E0F"/>
    <w:rsid w:val="00A86E46"/>
    <w:rsid w:val="00A86E70"/>
    <w:rsid w:val="00A86E8F"/>
    <w:rsid w:val="00A86F72"/>
    <w:rsid w:val="00A86FB5"/>
    <w:rsid w:val="00A87025"/>
    <w:rsid w:val="00A8712C"/>
    <w:rsid w:val="00A8716C"/>
    <w:rsid w:val="00A87196"/>
    <w:rsid w:val="00A8719A"/>
    <w:rsid w:val="00A87242"/>
    <w:rsid w:val="00A87258"/>
    <w:rsid w:val="00A87264"/>
    <w:rsid w:val="00A87273"/>
    <w:rsid w:val="00A87274"/>
    <w:rsid w:val="00A873A7"/>
    <w:rsid w:val="00A873CA"/>
    <w:rsid w:val="00A873FB"/>
    <w:rsid w:val="00A8743B"/>
    <w:rsid w:val="00A87446"/>
    <w:rsid w:val="00A8748D"/>
    <w:rsid w:val="00A876B6"/>
    <w:rsid w:val="00A876BD"/>
    <w:rsid w:val="00A87749"/>
    <w:rsid w:val="00A877BF"/>
    <w:rsid w:val="00A877CC"/>
    <w:rsid w:val="00A877D6"/>
    <w:rsid w:val="00A877D9"/>
    <w:rsid w:val="00A87841"/>
    <w:rsid w:val="00A8784D"/>
    <w:rsid w:val="00A87859"/>
    <w:rsid w:val="00A87863"/>
    <w:rsid w:val="00A878D6"/>
    <w:rsid w:val="00A87919"/>
    <w:rsid w:val="00A87921"/>
    <w:rsid w:val="00A87930"/>
    <w:rsid w:val="00A87996"/>
    <w:rsid w:val="00A879E5"/>
    <w:rsid w:val="00A879EB"/>
    <w:rsid w:val="00A87A30"/>
    <w:rsid w:val="00A87AB4"/>
    <w:rsid w:val="00A87AD3"/>
    <w:rsid w:val="00A87AD5"/>
    <w:rsid w:val="00A87C97"/>
    <w:rsid w:val="00A87CA5"/>
    <w:rsid w:val="00A87DC3"/>
    <w:rsid w:val="00A87DDB"/>
    <w:rsid w:val="00A87E1E"/>
    <w:rsid w:val="00A87E66"/>
    <w:rsid w:val="00A87E89"/>
    <w:rsid w:val="00A87EB3"/>
    <w:rsid w:val="00A87EC4"/>
    <w:rsid w:val="00A87FD4"/>
    <w:rsid w:val="00A90077"/>
    <w:rsid w:val="00A90151"/>
    <w:rsid w:val="00A90196"/>
    <w:rsid w:val="00A901E4"/>
    <w:rsid w:val="00A90206"/>
    <w:rsid w:val="00A90256"/>
    <w:rsid w:val="00A90308"/>
    <w:rsid w:val="00A9049E"/>
    <w:rsid w:val="00A904AE"/>
    <w:rsid w:val="00A90529"/>
    <w:rsid w:val="00A90597"/>
    <w:rsid w:val="00A90605"/>
    <w:rsid w:val="00A9062D"/>
    <w:rsid w:val="00A9063E"/>
    <w:rsid w:val="00A906FF"/>
    <w:rsid w:val="00A90799"/>
    <w:rsid w:val="00A907F8"/>
    <w:rsid w:val="00A90889"/>
    <w:rsid w:val="00A9089A"/>
    <w:rsid w:val="00A90946"/>
    <w:rsid w:val="00A9096A"/>
    <w:rsid w:val="00A9098E"/>
    <w:rsid w:val="00A909A3"/>
    <w:rsid w:val="00A909BC"/>
    <w:rsid w:val="00A909F2"/>
    <w:rsid w:val="00A90A16"/>
    <w:rsid w:val="00A90BFA"/>
    <w:rsid w:val="00A90C13"/>
    <w:rsid w:val="00A90C26"/>
    <w:rsid w:val="00A90C2B"/>
    <w:rsid w:val="00A90C8E"/>
    <w:rsid w:val="00A90CAD"/>
    <w:rsid w:val="00A90D81"/>
    <w:rsid w:val="00A90D84"/>
    <w:rsid w:val="00A90DB9"/>
    <w:rsid w:val="00A90E48"/>
    <w:rsid w:val="00A90F16"/>
    <w:rsid w:val="00A91001"/>
    <w:rsid w:val="00A91076"/>
    <w:rsid w:val="00A91157"/>
    <w:rsid w:val="00A91183"/>
    <w:rsid w:val="00A911FD"/>
    <w:rsid w:val="00A9123A"/>
    <w:rsid w:val="00A912AA"/>
    <w:rsid w:val="00A912D1"/>
    <w:rsid w:val="00A912E0"/>
    <w:rsid w:val="00A912F0"/>
    <w:rsid w:val="00A91320"/>
    <w:rsid w:val="00A9138E"/>
    <w:rsid w:val="00A91460"/>
    <w:rsid w:val="00A9146F"/>
    <w:rsid w:val="00A914D3"/>
    <w:rsid w:val="00A914D8"/>
    <w:rsid w:val="00A914E7"/>
    <w:rsid w:val="00A91504"/>
    <w:rsid w:val="00A91548"/>
    <w:rsid w:val="00A91551"/>
    <w:rsid w:val="00A91573"/>
    <w:rsid w:val="00A9158D"/>
    <w:rsid w:val="00A9159A"/>
    <w:rsid w:val="00A915F4"/>
    <w:rsid w:val="00A91686"/>
    <w:rsid w:val="00A9173A"/>
    <w:rsid w:val="00A9176D"/>
    <w:rsid w:val="00A917E5"/>
    <w:rsid w:val="00A9191F"/>
    <w:rsid w:val="00A91971"/>
    <w:rsid w:val="00A91999"/>
    <w:rsid w:val="00A91A4B"/>
    <w:rsid w:val="00A91A99"/>
    <w:rsid w:val="00A91B0F"/>
    <w:rsid w:val="00A91B1C"/>
    <w:rsid w:val="00A91B34"/>
    <w:rsid w:val="00A91B65"/>
    <w:rsid w:val="00A91B9E"/>
    <w:rsid w:val="00A91C14"/>
    <w:rsid w:val="00A91C17"/>
    <w:rsid w:val="00A91C63"/>
    <w:rsid w:val="00A91C6F"/>
    <w:rsid w:val="00A91CF2"/>
    <w:rsid w:val="00A91D02"/>
    <w:rsid w:val="00A91D20"/>
    <w:rsid w:val="00A91D4C"/>
    <w:rsid w:val="00A91D7A"/>
    <w:rsid w:val="00A91DF0"/>
    <w:rsid w:val="00A91E92"/>
    <w:rsid w:val="00A91EAE"/>
    <w:rsid w:val="00A91EE7"/>
    <w:rsid w:val="00A91F19"/>
    <w:rsid w:val="00A91F5A"/>
    <w:rsid w:val="00A91FAB"/>
    <w:rsid w:val="00A91FE7"/>
    <w:rsid w:val="00A92026"/>
    <w:rsid w:val="00A9204C"/>
    <w:rsid w:val="00A920DD"/>
    <w:rsid w:val="00A92105"/>
    <w:rsid w:val="00A92122"/>
    <w:rsid w:val="00A921FB"/>
    <w:rsid w:val="00A92200"/>
    <w:rsid w:val="00A92229"/>
    <w:rsid w:val="00A9235E"/>
    <w:rsid w:val="00A923BB"/>
    <w:rsid w:val="00A923F5"/>
    <w:rsid w:val="00A9246C"/>
    <w:rsid w:val="00A92490"/>
    <w:rsid w:val="00A925DE"/>
    <w:rsid w:val="00A925ED"/>
    <w:rsid w:val="00A926A1"/>
    <w:rsid w:val="00A92747"/>
    <w:rsid w:val="00A927B8"/>
    <w:rsid w:val="00A927FA"/>
    <w:rsid w:val="00A92821"/>
    <w:rsid w:val="00A928D4"/>
    <w:rsid w:val="00A92914"/>
    <w:rsid w:val="00A92961"/>
    <w:rsid w:val="00A929D4"/>
    <w:rsid w:val="00A92A3D"/>
    <w:rsid w:val="00A92AED"/>
    <w:rsid w:val="00A92BED"/>
    <w:rsid w:val="00A92C3B"/>
    <w:rsid w:val="00A92D8C"/>
    <w:rsid w:val="00A92DFA"/>
    <w:rsid w:val="00A92E4D"/>
    <w:rsid w:val="00A92E90"/>
    <w:rsid w:val="00A92EBE"/>
    <w:rsid w:val="00A92EEB"/>
    <w:rsid w:val="00A92F3B"/>
    <w:rsid w:val="00A92FD7"/>
    <w:rsid w:val="00A93025"/>
    <w:rsid w:val="00A9303F"/>
    <w:rsid w:val="00A93068"/>
    <w:rsid w:val="00A930E6"/>
    <w:rsid w:val="00A9312A"/>
    <w:rsid w:val="00A93135"/>
    <w:rsid w:val="00A93197"/>
    <w:rsid w:val="00A931A6"/>
    <w:rsid w:val="00A931CC"/>
    <w:rsid w:val="00A93304"/>
    <w:rsid w:val="00A93359"/>
    <w:rsid w:val="00A933A5"/>
    <w:rsid w:val="00A933E0"/>
    <w:rsid w:val="00A93512"/>
    <w:rsid w:val="00A9359B"/>
    <w:rsid w:val="00A935A0"/>
    <w:rsid w:val="00A935D9"/>
    <w:rsid w:val="00A93643"/>
    <w:rsid w:val="00A9365F"/>
    <w:rsid w:val="00A9367A"/>
    <w:rsid w:val="00A936BC"/>
    <w:rsid w:val="00A9373D"/>
    <w:rsid w:val="00A937A2"/>
    <w:rsid w:val="00A937FF"/>
    <w:rsid w:val="00A93862"/>
    <w:rsid w:val="00A93885"/>
    <w:rsid w:val="00A93911"/>
    <w:rsid w:val="00A93929"/>
    <w:rsid w:val="00A93954"/>
    <w:rsid w:val="00A939A5"/>
    <w:rsid w:val="00A93B13"/>
    <w:rsid w:val="00A93B64"/>
    <w:rsid w:val="00A93BAD"/>
    <w:rsid w:val="00A93BB6"/>
    <w:rsid w:val="00A93BEC"/>
    <w:rsid w:val="00A93C30"/>
    <w:rsid w:val="00A93C37"/>
    <w:rsid w:val="00A93D0D"/>
    <w:rsid w:val="00A93D6F"/>
    <w:rsid w:val="00A93DC4"/>
    <w:rsid w:val="00A93DFE"/>
    <w:rsid w:val="00A93E29"/>
    <w:rsid w:val="00A93EF5"/>
    <w:rsid w:val="00A93F68"/>
    <w:rsid w:val="00A941F8"/>
    <w:rsid w:val="00A94290"/>
    <w:rsid w:val="00A94292"/>
    <w:rsid w:val="00A942ED"/>
    <w:rsid w:val="00A9431F"/>
    <w:rsid w:val="00A94359"/>
    <w:rsid w:val="00A94377"/>
    <w:rsid w:val="00A9437A"/>
    <w:rsid w:val="00A9444A"/>
    <w:rsid w:val="00A94450"/>
    <w:rsid w:val="00A9446F"/>
    <w:rsid w:val="00A945D7"/>
    <w:rsid w:val="00A9469E"/>
    <w:rsid w:val="00A946B1"/>
    <w:rsid w:val="00A946B6"/>
    <w:rsid w:val="00A946DD"/>
    <w:rsid w:val="00A94730"/>
    <w:rsid w:val="00A94816"/>
    <w:rsid w:val="00A94832"/>
    <w:rsid w:val="00A94837"/>
    <w:rsid w:val="00A948B3"/>
    <w:rsid w:val="00A948FA"/>
    <w:rsid w:val="00A94970"/>
    <w:rsid w:val="00A949D9"/>
    <w:rsid w:val="00A949E5"/>
    <w:rsid w:val="00A94AAE"/>
    <w:rsid w:val="00A94AE8"/>
    <w:rsid w:val="00A94B48"/>
    <w:rsid w:val="00A94B59"/>
    <w:rsid w:val="00A94BF5"/>
    <w:rsid w:val="00A94BF8"/>
    <w:rsid w:val="00A94CDF"/>
    <w:rsid w:val="00A94D4D"/>
    <w:rsid w:val="00A94D69"/>
    <w:rsid w:val="00A94D7C"/>
    <w:rsid w:val="00A94D80"/>
    <w:rsid w:val="00A94DB5"/>
    <w:rsid w:val="00A94DEA"/>
    <w:rsid w:val="00A94E05"/>
    <w:rsid w:val="00A94E86"/>
    <w:rsid w:val="00A94E98"/>
    <w:rsid w:val="00A94FB9"/>
    <w:rsid w:val="00A94FDB"/>
    <w:rsid w:val="00A95095"/>
    <w:rsid w:val="00A950E7"/>
    <w:rsid w:val="00A951B0"/>
    <w:rsid w:val="00A951B6"/>
    <w:rsid w:val="00A95231"/>
    <w:rsid w:val="00A9523A"/>
    <w:rsid w:val="00A952C0"/>
    <w:rsid w:val="00A952C9"/>
    <w:rsid w:val="00A95324"/>
    <w:rsid w:val="00A95335"/>
    <w:rsid w:val="00A95340"/>
    <w:rsid w:val="00A953D1"/>
    <w:rsid w:val="00A95417"/>
    <w:rsid w:val="00A9545C"/>
    <w:rsid w:val="00A95490"/>
    <w:rsid w:val="00A95547"/>
    <w:rsid w:val="00A95559"/>
    <w:rsid w:val="00A9561F"/>
    <w:rsid w:val="00A95627"/>
    <w:rsid w:val="00A956AE"/>
    <w:rsid w:val="00A956B4"/>
    <w:rsid w:val="00A95708"/>
    <w:rsid w:val="00A95734"/>
    <w:rsid w:val="00A95768"/>
    <w:rsid w:val="00A95784"/>
    <w:rsid w:val="00A95902"/>
    <w:rsid w:val="00A9595A"/>
    <w:rsid w:val="00A95A0B"/>
    <w:rsid w:val="00A95A67"/>
    <w:rsid w:val="00A95B5E"/>
    <w:rsid w:val="00A95BC0"/>
    <w:rsid w:val="00A95BFF"/>
    <w:rsid w:val="00A95C31"/>
    <w:rsid w:val="00A95CEB"/>
    <w:rsid w:val="00A95D4D"/>
    <w:rsid w:val="00A95DA8"/>
    <w:rsid w:val="00A95DC2"/>
    <w:rsid w:val="00A95E5F"/>
    <w:rsid w:val="00A95F0B"/>
    <w:rsid w:val="00A95FFD"/>
    <w:rsid w:val="00A96066"/>
    <w:rsid w:val="00A960E2"/>
    <w:rsid w:val="00A96195"/>
    <w:rsid w:val="00A9633A"/>
    <w:rsid w:val="00A963C9"/>
    <w:rsid w:val="00A963DF"/>
    <w:rsid w:val="00A9650F"/>
    <w:rsid w:val="00A965DC"/>
    <w:rsid w:val="00A9669E"/>
    <w:rsid w:val="00A966DF"/>
    <w:rsid w:val="00A966E7"/>
    <w:rsid w:val="00A96704"/>
    <w:rsid w:val="00A9671C"/>
    <w:rsid w:val="00A9675B"/>
    <w:rsid w:val="00A9678E"/>
    <w:rsid w:val="00A9679E"/>
    <w:rsid w:val="00A967AB"/>
    <w:rsid w:val="00A967C1"/>
    <w:rsid w:val="00A967D0"/>
    <w:rsid w:val="00A967D8"/>
    <w:rsid w:val="00A96814"/>
    <w:rsid w:val="00A9682A"/>
    <w:rsid w:val="00A968A3"/>
    <w:rsid w:val="00A968B7"/>
    <w:rsid w:val="00A968BC"/>
    <w:rsid w:val="00A96906"/>
    <w:rsid w:val="00A96974"/>
    <w:rsid w:val="00A9699D"/>
    <w:rsid w:val="00A969ED"/>
    <w:rsid w:val="00A969F1"/>
    <w:rsid w:val="00A969F7"/>
    <w:rsid w:val="00A96A0D"/>
    <w:rsid w:val="00A96AA3"/>
    <w:rsid w:val="00A96BD4"/>
    <w:rsid w:val="00A96CDE"/>
    <w:rsid w:val="00A96CE1"/>
    <w:rsid w:val="00A96CF6"/>
    <w:rsid w:val="00A96D0E"/>
    <w:rsid w:val="00A96D23"/>
    <w:rsid w:val="00A96D26"/>
    <w:rsid w:val="00A96DC3"/>
    <w:rsid w:val="00A96E32"/>
    <w:rsid w:val="00A96E90"/>
    <w:rsid w:val="00A96EB7"/>
    <w:rsid w:val="00A96EF0"/>
    <w:rsid w:val="00A96EF3"/>
    <w:rsid w:val="00A96FD0"/>
    <w:rsid w:val="00A97088"/>
    <w:rsid w:val="00A970A6"/>
    <w:rsid w:val="00A970BE"/>
    <w:rsid w:val="00A9711D"/>
    <w:rsid w:val="00A97177"/>
    <w:rsid w:val="00A9725C"/>
    <w:rsid w:val="00A97261"/>
    <w:rsid w:val="00A9727E"/>
    <w:rsid w:val="00A972DF"/>
    <w:rsid w:val="00A97318"/>
    <w:rsid w:val="00A9738B"/>
    <w:rsid w:val="00A973D5"/>
    <w:rsid w:val="00A973F1"/>
    <w:rsid w:val="00A97461"/>
    <w:rsid w:val="00A97484"/>
    <w:rsid w:val="00A974A1"/>
    <w:rsid w:val="00A974E3"/>
    <w:rsid w:val="00A9752A"/>
    <w:rsid w:val="00A97544"/>
    <w:rsid w:val="00A9758D"/>
    <w:rsid w:val="00A97667"/>
    <w:rsid w:val="00A97689"/>
    <w:rsid w:val="00A9769D"/>
    <w:rsid w:val="00A976FC"/>
    <w:rsid w:val="00A9772C"/>
    <w:rsid w:val="00A9777E"/>
    <w:rsid w:val="00A97862"/>
    <w:rsid w:val="00A979F9"/>
    <w:rsid w:val="00A97A57"/>
    <w:rsid w:val="00A97BBA"/>
    <w:rsid w:val="00A97C56"/>
    <w:rsid w:val="00A97C60"/>
    <w:rsid w:val="00A97CA9"/>
    <w:rsid w:val="00A97CC6"/>
    <w:rsid w:val="00A97F6D"/>
    <w:rsid w:val="00A97F88"/>
    <w:rsid w:val="00A97FC1"/>
    <w:rsid w:val="00A97FC7"/>
    <w:rsid w:val="00A97FD5"/>
    <w:rsid w:val="00AA0062"/>
    <w:rsid w:val="00AA010D"/>
    <w:rsid w:val="00AA01BD"/>
    <w:rsid w:val="00AA01D5"/>
    <w:rsid w:val="00AA01FA"/>
    <w:rsid w:val="00AA0234"/>
    <w:rsid w:val="00AA0238"/>
    <w:rsid w:val="00AA025B"/>
    <w:rsid w:val="00AA02FE"/>
    <w:rsid w:val="00AA0477"/>
    <w:rsid w:val="00AA04BB"/>
    <w:rsid w:val="00AA0536"/>
    <w:rsid w:val="00AA0553"/>
    <w:rsid w:val="00AA059C"/>
    <w:rsid w:val="00AA065E"/>
    <w:rsid w:val="00AA0695"/>
    <w:rsid w:val="00AA06B6"/>
    <w:rsid w:val="00AA0764"/>
    <w:rsid w:val="00AA0866"/>
    <w:rsid w:val="00AA08D7"/>
    <w:rsid w:val="00AA0972"/>
    <w:rsid w:val="00AA09F4"/>
    <w:rsid w:val="00AA0A85"/>
    <w:rsid w:val="00AA0AC9"/>
    <w:rsid w:val="00AA0AEB"/>
    <w:rsid w:val="00AA0AF4"/>
    <w:rsid w:val="00AA0BB4"/>
    <w:rsid w:val="00AA0BBE"/>
    <w:rsid w:val="00AA0C7B"/>
    <w:rsid w:val="00AA0CE2"/>
    <w:rsid w:val="00AA0CF6"/>
    <w:rsid w:val="00AA0D35"/>
    <w:rsid w:val="00AA0D3B"/>
    <w:rsid w:val="00AA0DAC"/>
    <w:rsid w:val="00AA0ED2"/>
    <w:rsid w:val="00AA0F9A"/>
    <w:rsid w:val="00AA0FDF"/>
    <w:rsid w:val="00AA103D"/>
    <w:rsid w:val="00AA1078"/>
    <w:rsid w:val="00AA10B8"/>
    <w:rsid w:val="00AA11BF"/>
    <w:rsid w:val="00AA11CA"/>
    <w:rsid w:val="00AA13EF"/>
    <w:rsid w:val="00AA1405"/>
    <w:rsid w:val="00AA143A"/>
    <w:rsid w:val="00AA145A"/>
    <w:rsid w:val="00AA14BC"/>
    <w:rsid w:val="00AA14E0"/>
    <w:rsid w:val="00AA14E6"/>
    <w:rsid w:val="00AA1546"/>
    <w:rsid w:val="00AA1570"/>
    <w:rsid w:val="00AA15D9"/>
    <w:rsid w:val="00AA15E4"/>
    <w:rsid w:val="00AA1603"/>
    <w:rsid w:val="00AA163B"/>
    <w:rsid w:val="00AA1673"/>
    <w:rsid w:val="00AA1698"/>
    <w:rsid w:val="00AA16DC"/>
    <w:rsid w:val="00AA17F4"/>
    <w:rsid w:val="00AA1812"/>
    <w:rsid w:val="00AA1864"/>
    <w:rsid w:val="00AA188F"/>
    <w:rsid w:val="00AA18E3"/>
    <w:rsid w:val="00AA1905"/>
    <w:rsid w:val="00AA190F"/>
    <w:rsid w:val="00AA1946"/>
    <w:rsid w:val="00AA195C"/>
    <w:rsid w:val="00AA1975"/>
    <w:rsid w:val="00AA1A3B"/>
    <w:rsid w:val="00AA1AA7"/>
    <w:rsid w:val="00AA1BD0"/>
    <w:rsid w:val="00AA1BE2"/>
    <w:rsid w:val="00AA1C0A"/>
    <w:rsid w:val="00AA1C9C"/>
    <w:rsid w:val="00AA1CD0"/>
    <w:rsid w:val="00AA1D18"/>
    <w:rsid w:val="00AA1D82"/>
    <w:rsid w:val="00AA1DF6"/>
    <w:rsid w:val="00AA1E5C"/>
    <w:rsid w:val="00AA2024"/>
    <w:rsid w:val="00AA2087"/>
    <w:rsid w:val="00AA20AF"/>
    <w:rsid w:val="00AA212C"/>
    <w:rsid w:val="00AA2168"/>
    <w:rsid w:val="00AA21E9"/>
    <w:rsid w:val="00AA2209"/>
    <w:rsid w:val="00AA229B"/>
    <w:rsid w:val="00AA2319"/>
    <w:rsid w:val="00AA2355"/>
    <w:rsid w:val="00AA242C"/>
    <w:rsid w:val="00AA25AE"/>
    <w:rsid w:val="00AA266F"/>
    <w:rsid w:val="00AA2709"/>
    <w:rsid w:val="00AA2781"/>
    <w:rsid w:val="00AA27CB"/>
    <w:rsid w:val="00AA27CC"/>
    <w:rsid w:val="00AA27F3"/>
    <w:rsid w:val="00AA2815"/>
    <w:rsid w:val="00AA28A0"/>
    <w:rsid w:val="00AA28BA"/>
    <w:rsid w:val="00AA28C9"/>
    <w:rsid w:val="00AA29B6"/>
    <w:rsid w:val="00AA29CD"/>
    <w:rsid w:val="00AA2A47"/>
    <w:rsid w:val="00AA2ACE"/>
    <w:rsid w:val="00AA2AD4"/>
    <w:rsid w:val="00AA2B61"/>
    <w:rsid w:val="00AA2BA2"/>
    <w:rsid w:val="00AA2BFE"/>
    <w:rsid w:val="00AA2C48"/>
    <w:rsid w:val="00AA2C65"/>
    <w:rsid w:val="00AA2DB2"/>
    <w:rsid w:val="00AA2DFD"/>
    <w:rsid w:val="00AA2E43"/>
    <w:rsid w:val="00AA2E62"/>
    <w:rsid w:val="00AA2E77"/>
    <w:rsid w:val="00AA2E8B"/>
    <w:rsid w:val="00AA2F19"/>
    <w:rsid w:val="00AA2F2C"/>
    <w:rsid w:val="00AA2F84"/>
    <w:rsid w:val="00AA2FBC"/>
    <w:rsid w:val="00AA2FDA"/>
    <w:rsid w:val="00AA3019"/>
    <w:rsid w:val="00AA301A"/>
    <w:rsid w:val="00AA302F"/>
    <w:rsid w:val="00AA30AB"/>
    <w:rsid w:val="00AA30B4"/>
    <w:rsid w:val="00AA3150"/>
    <w:rsid w:val="00AA31D1"/>
    <w:rsid w:val="00AA31EB"/>
    <w:rsid w:val="00AA32C8"/>
    <w:rsid w:val="00AA3390"/>
    <w:rsid w:val="00AA3438"/>
    <w:rsid w:val="00AA346A"/>
    <w:rsid w:val="00AA348B"/>
    <w:rsid w:val="00AA3531"/>
    <w:rsid w:val="00AA3569"/>
    <w:rsid w:val="00AA35AF"/>
    <w:rsid w:val="00AA35BF"/>
    <w:rsid w:val="00AA35CD"/>
    <w:rsid w:val="00AA3620"/>
    <w:rsid w:val="00AA3699"/>
    <w:rsid w:val="00AA374D"/>
    <w:rsid w:val="00AA3770"/>
    <w:rsid w:val="00AA3804"/>
    <w:rsid w:val="00AA380B"/>
    <w:rsid w:val="00AA387C"/>
    <w:rsid w:val="00AA3919"/>
    <w:rsid w:val="00AA3961"/>
    <w:rsid w:val="00AA3998"/>
    <w:rsid w:val="00AA3A3B"/>
    <w:rsid w:val="00AA3A50"/>
    <w:rsid w:val="00AA3A53"/>
    <w:rsid w:val="00AA3AD1"/>
    <w:rsid w:val="00AA3AD8"/>
    <w:rsid w:val="00AA3B00"/>
    <w:rsid w:val="00AA3B10"/>
    <w:rsid w:val="00AA3B31"/>
    <w:rsid w:val="00AA3B61"/>
    <w:rsid w:val="00AA3C26"/>
    <w:rsid w:val="00AA3D97"/>
    <w:rsid w:val="00AA3E69"/>
    <w:rsid w:val="00AA3EC9"/>
    <w:rsid w:val="00AA3F0A"/>
    <w:rsid w:val="00AA3F7B"/>
    <w:rsid w:val="00AA3F87"/>
    <w:rsid w:val="00AA402B"/>
    <w:rsid w:val="00AA40CB"/>
    <w:rsid w:val="00AA40D1"/>
    <w:rsid w:val="00AA414C"/>
    <w:rsid w:val="00AA417C"/>
    <w:rsid w:val="00AA4207"/>
    <w:rsid w:val="00AA42B5"/>
    <w:rsid w:val="00AA4376"/>
    <w:rsid w:val="00AA4396"/>
    <w:rsid w:val="00AA43C8"/>
    <w:rsid w:val="00AA440A"/>
    <w:rsid w:val="00AA4457"/>
    <w:rsid w:val="00AA4532"/>
    <w:rsid w:val="00AA459D"/>
    <w:rsid w:val="00AA45B2"/>
    <w:rsid w:val="00AA4656"/>
    <w:rsid w:val="00AA4698"/>
    <w:rsid w:val="00AA47CD"/>
    <w:rsid w:val="00AA4800"/>
    <w:rsid w:val="00AA4869"/>
    <w:rsid w:val="00AA488B"/>
    <w:rsid w:val="00AA488F"/>
    <w:rsid w:val="00AA494A"/>
    <w:rsid w:val="00AA4981"/>
    <w:rsid w:val="00AA4A15"/>
    <w:rsid w:val="00AA4A60"/>
    <w:rsid w:val="00AA4AAD"/>
    <w:rsid w:val="00AA4AF0"/>
    <w:rsid w:val="00AA4B0C"/>
    <w:rsid w:val="00AA4B39"/>
    <w:rsid w:val="00AA4BCE"/>
    <w:rsid w:val="00AA4BF2"/>
    <w:rsid w:val="00AA4C07"/>
    <w:rsid w:val="00AA4C34"/>
    <w:rsid w:val="00AA4C7D"/>
    <w:rsid w:val="00AA4CD2"/>
    <w:rsid w:val="00AA4D29"/>
    <w:rsid w:val="00AA4D74"/>
    <w:rsid w:val="00AA4DA2"/>
    <w:rsid w:val="00AA4DDA"/>
    <w:rsid w:val="00AA4E3A"/>
    <w:rsid w:val="00AA4E86"/>
    <w:rsid w:val="00AA4FD2"/>
    <w:rsid w:val="00AA5082"/>
    <w:rsid w:val="00AA5105"/>
    <w:rsid w:val="00AA5112"/>
    <w:rsid w:val="00AA52FE"/>
    <w:rsid w:val="00AA5452"/>
    <w:rsid w:val="00AA5503"/>
    <w:rsid w:val="00AA5668"/>
    <w:rsid w:val="00AA568A"/>
    <w:rsid w:val="00AA5781"/>
    <w:rsid w:val="00AA5789"/>
    <w:rsid w:val="00AA5827"/>
    <w:rsid w:val="00AA587E"/>
    <w:rsid w:val="00AA58D3"/>
    <w:rsid w:val="00AA5955"/>
    <w:rsid w:val="00AA5973"/>
    <w:rsid w:val="00AA59B5"/>
    <w:rsid w:val="00AA5B43"/>
    <w:rsid w:val="00AA5B6D"/>
    <w:rsid w:val="00AA5BDD"/>
    <w:rsid w:val="00AA5C49"/>
    <w:rsid w:val="00AA5CA1"/>
    <w:rsid w:val="00AA5DED"/>
    <w:rsid w:val="00AA5E4C"/>
    <w:rsid w:val="00AA5E51"/>
    <w:rsid w:val="00AA5E7E"/>
    <w:rsid w:val="00AA5EED"/>
    <w:rsid w:val="00AA5EF9"/>
    <w:rsid w:val="00AA5F0E"/>
    <w:rsid w:val="00AA5F39"/>
    <w:rsid w:val="00AA5F59"/>
    <w:rsid w:val="00AA5F9F"/>
    <w:rsid w:val="00AA5FC8"/>
    <w:rsid w:val="00AA6041"/>
    <w:rsid w:val="00AA6049"/>
    <w:rsid w:val="00AA605A"/>
    <w:rsid w:val="00AA60AC"/>
    <w:rsid w:val="00AA60D8"/>
    <w:rsid w:val="00AA60E0"/>
    <w:rsid w:val="00AA6111"/>
    <w:rsid w:val="00AA6192"/>
    <w:rsid w:val="00AA6264"/>
    <w:rsid w:val="00AA62AD"/>
    <w:rsid w:val="00AA62E8"/>
    <w:rsid w:val="00AA6325"/>
    <w:rsid w:val="00AA6393"/>
    <w:rsid w:val="00AA63A9"/>
    <w:rsid w:val="00AA63DA"/>
    <w:rsid w:val="00AA6415"/>
    <w:rsid w:val="00AA654B"/>
    <w:rsid w:val="00AA655F"/>
    <w:rsid w:val="00AA65BF"/>
    <w:rsid w:val="00AA660F"/>
    <w:rsid w:val="00AA6631"/>
    <w:rsid w:val="00AA666D"/>
    <w:rsid w:val="00AA6688"/>
    <w:rsid w:val="00AA66C7"/>
    <w:rsid w:val="00AA66EB"/>
    <w:rsid w:val="00AA672D"/>
    <w:rsid w:val="00AA67E8"/>
    <w:rsid w:val="00AA6866"/>
    <w:rsid w:val="00AA6919"/>
    <w:rsid w:val="00AA6921"/>
    <w:rsid w:val="00AA6925"/>
    <w:rsid w:val="00AA6934"/>
    <w:rsid w:val="00AA695E"/>
    <w:rsid w:val="00AA6974"/>
    <w:rsid w:val="00AA6999"/>
    <w:rsid w:val="00AA69A9"/>
    <w:rsid w:val="00AA69E0"/>
    <w:rsid w:val="00AA69EA"/>
    <w:rsid w:val="00AA69ED"/>
    <w:rsid w:val="00AA6A37"/>
    <w:rsid w:val="00AA6BFA"/>
    <w:rsid w:val="00AA6D52"/>
    <w:rsid w:val="00AA6E74"/>
    <w:rsid w:val="00AA6E7A"/>
    <w:rsid w:val="00AA6FA1"/>
    <w:rsid w:val="00AA6FC6"/>
    <w:rsid w:val="00AA7048"/>
    <w:rsid w:val="00AA70FB"/>
    <w:rsid w:val="00AA71EF"/>
    <w:rsid w:val="00AA71F9"/>
    <w:rsid w:val="00AA7205"/>
    <w:rsid w:val="00AA723A"/>
    <w:rsid w:val="00AA72D6"/>
    <w:rsid w:val="00AA72DE"/>
    <w:rsid w:val="00AA7341"/>
    <w:rsid w:val="00AA7384"/>
    <w:rsid w:val="00AA73A3"/>
    <w:rsid w:val="00AA7425"/>
    <w:rsid w:val="00AA742F"/>
    <w:rsid w:val="00AA747A"/>
    <w:rsid w:val="00AA749E"/>
    <w:rsid w:val="00AA7502"/>
    <w:rsid w:val="00AA750B"/>
    <w:rsid w:val="00AA7511"/>
    <w:rsid w:val="00AA75D0"/>
    <w:rsid w:val="00AA7749"/>
    <w:rsid w:val="00AA77FA"/>
    <w:rsid w:val="00AA7801"/>
    <w:rsid w:val="00AA7826"/>
    <w:rsid w:val="00AA7851"/>
    <w:rsid w:val="00AA7865"/>
    <w:rsid w:val="00AA78CA"/>
    <w:rsid w:val="00AA78D0"/>
    <w:rsid w:val="00AA7930"/>
    <w:rsid w:val="00AA794D"/>
    <w:rsid w:val="00AA79B3"/>
    <w:rsid w:val="00AA7A74"/>
    <w:rsid w:val="00AA7AC5"/>
    <w:rsid w:val="00AA7B3E"/>
    <w:rsid w:val="00AA7C32"/>
    <w:rsid w:val="00AA7C3B"/>
    <w:rsid w:val="00AA7C7B"/>
    <w:rsid w:val="00AA7C84"/>
    <w:rsid w:val="00AA7C90"/>
    <w:rsid w:val="00AA7CB2"/>
    <w:rsid w:val="00AA7D2F"/>
    <w:rsid w:val="00AA7D87"/>
    <w:rsid w:val="00AA7DE5"/>
    <w:rsid w:val="00AA7E47"/>
    <w:rsid w:val="00AA7E4A"/>
    <w:rsid w:val="00AA7EB9"/>
    <w:rsid w:val="00AA7F14"/>
    <w:rsid w:val="00AA7F47"/>
    <w:rsid w:val="00AA7FDF"/>
    <w:rsid w:val="00AA7FF6"/>
    <w:rsid w:val="00AB00DA"/>
    <w:rsid w:val="00AB00EE"/>
    <w:rsid w:val="00AB0136"/>
    <w:rsid w:val="00AB0222"/>
    <w:rsid w:val="00AB0245"/>
    <w:rsid w:val="00AB024F"/>
    <w:rsid w:val="00AB0256"/>
    <w:rsid w:val="00AB0368"/>
    <w:rsid w:val="00AB0378"/>
    <w:rsid w:val="00AB037B"/>
    <w:rsid w:val="00AB0399"/>
    <w:rsid w:val="00AB03A9"/>
    <w:rsid w:val="00AB03C7"/>
    <w:rsid w:val="00AB0433"/>
    <w:rsid w:val="00AB04B5"/>
    <w:rsid w:val="00AB0520"/>
    <w:rsid w:val="00AB0535"/>
    <w:rsid w:val="00AB0573"/>
    <w:rsid w:val="00AB057C"/>
    <w:rsid w:val="00AB05C7"/>
    <w:rsid w:val="00AB05D0"/>
    <w:rsid w:val="00AB064D"/>
    <w:rsid w:val="00AB0693"/>
    <w:rsid w:val="00AB06AA"/>
    <w:rsid w:val="00AB06D5"/>
    <w:rsid w:val="00AB0845"/>
    <w:rsid w:val="00AB089C"/>
    <w:rsid w:val="00AB090F"/>
    <w:rsid w:val="00AB0923"/>
    <w:rsid w:val="00AB0933"/>
    <w:rsid w:val="00AB094C"/>
    <w:rsid w:val="00AB09B3"/>
    <w:rsid w:val="00AB0B40"/>
    <w:rsid w:val="00AB0B72"/>
    <w:rsid w:val="00AB0BA6"/>
    <w:rsid w:val="00AB0C21"/>
    <w:rsid w:val="00AB0CAA"/>
    <w:rsid w:val="00AB0D8A"/>
    <w:rsid w:val="00AB0DAC"/>
    <w:rsid w:val="00AB0E74"/>
    <w:rsid w:val="00AB0E77"/>
    <w:rsid w:val="00AB0E8C"/>
    <w:rsid w:val="00AB0F7D"/>
    <w:rsid w:val="00AB0FB7"/>
    <w:rsid w:val="00AB101C"/>
    <w:rsid w:val="00AB106A"/>
    <w:rsid w:val="00AB107D"/>
    <w:rsid w:val="00AB10B0"/>
    <w:rsid w:val="00AB10C7"/>
    <w:rsid w:val="00AB10F4"/>
    <w:rsid w:val="00AB1219"/>
    <w:rsid w:val="00AB12EC"/>
    <w:rsid w:val="00AB131A"/>
    <w:rsid w:val="00AB1329"/>
    <w:rsid w:val="00AB137E"/>
    <w:rsid w:val="00AB13BA"/>
    <w:rsid w:val="00AB1402"/>
    <w:rsid w:val="00AB14D3"/>
    <w:rsid w:val="00AB14E4"/>
    <w:rsid w:val="00AB16E6"/>
    <w:rsid w:val="00AB1702"/>
    <w:rsid w:val="00AB1716"/>
    <w:rsid w:val="00AB1764"/>
    <w:rsid w:val="00AB17C5"/>
    <w:rsid w:val="00AB1835"/>
    <w:rsid w:val="00AB1869"/>
    <w:rsid w:val="00AB18D3"/>
    <w:rsid w:val="00AB1A69"/>
    <w:rsid w:val="00AB1A94"/>
    <w:rsid w:val="00AB1AB1"/>
    <w:rsid w:val="00AB1AD2"/>
    <w:rsid w:val="00AB1B25"/>
    <w:rsid w:val="00AB1BBB"/>
    <w:rsid w:val="00AB1CE0"/>
    <w:rsid w:val="00AB1CEA"/>
    <w:rsid w:val="00AB1DB7"/>
    <w:rsid w:val="00AB1DFC"/>
    <w:rsid w:val="00AB1E2D"/>
    <w:rsid w:val="00AB1E65"/>
    <w:rsid w:val="00AB1E93"/>
    <w:rsid w:val="00AB1EC4"/>
    <w:rsid w:val="00AB1EE0"/>
    <w:rsid w:val="00AB1F07"/>
    <w:rsid w:val="00AB1F3A"/>
    <w:rsid w:val="00AB1F63"/>
    <w:rsid w:val="00AB2049"/>
    <w:rsid w:val="00AB20B0"/>
    <w:rsid w:val="00AB216F"/>
    <w:rsid w:val="00AB21B5"/>
    <w:rsid w:val="00AB21B6"/>
    <w:rsid w:val="00AB22F0"/>
    <w:rsid w:val="00AB22F7"/>
    <w:rsid w:val="00AB22F8"/>
    <w:rsid w:val="00AB2376"/>
    <w:rsid w:val="00AB23CA"/>
    <w:rsid w:val="00AB245F"/>
    <w:rsid w:val="00AB2494"/>
    <w:rsid w:val="00AB24A1"/>
    <w:rsid w:val="00AB2514"/>
    <w:rsid w:val="00AB2526"/>
    <w:rsid w:val="00AB2586"/>
    <w:rsid w:val="00AB258B"/>
    <w:rsid w:val="00AB25E9"/>
    <w:rsid w:val="00AB2625"/>
    <w:rsid w:val="00AB26E1"/>
    <w:rsid w:val="00AB2713"/>
    <w:rsid w:val="00AB2744"/>
    <w:rsid w:val="00AB2794"/>
    <w:rsid w:val="00AB2910"/>
    <w:rsid w:val="00AB2949"/>
    <w:rsid w:val="00AB294B"/>
    <w:rsid w:val="00AB2A5F"/>
    <w:rsid w:val="00AB2AA7"/>
    <w:rsid w:val="00AB2AE7"/>
    <w:rsid w:val="00AB2B71"/>
    <w:rsid w:val="00AB2B87"/>
    <w:rsid w:val="00AB2BB1"/>
    <w:rsid w:val="00AB2BB9"/>
    <w:rsid w:val="00AB2BC2"/>
    <w:rsid w:val="00AB2BE6"/>
    <w:rsid w:val="00AB2C65"/>
    <w:rsid w:val="00AB2CE3"/>
    <w:rsid w:val="00AB2D17"/>
    <w:rsid w:val="00AB2D65"/>
    <w:rsid w:val="00AB2D93"/>
    <w:rsid w:val="00AB2F61"/>
    <w:rsid w:val="00AB2F6D"/>
    <w:rsid w:val="00AB2FA4"/>
    <w:rsid w:val="00AB310B"/>
    <w:rsid w:val="00AB31C4"/>
    <w:rsid w:val="00AB322F"/>
    <w:rsid w:val="00AB329C"/>
    <w:rsid w:val="00AB32AC"/>
    <w:rsid w:val="00AB32B2"/>
    <w:rsid w:val="00AB32F5"/>
    <w:rsid w:val="00AB3331"/>
    <w:rsid w:val="00AB3340"/>
    <w:rsid w:val="00AB337A"/>
    <w:rsid w:val="00AB3392"/>
    <w:rsid w:val="00AB33BD"/>
    <w:rsid w:val="00AB33D3"/>
    <w:rsid w:val="00AB3402"/>
    <w:rsid w:val="00AB342D"/>
    <w:rsid w:val="00AB3437"/>
    <w:rsid w:val="00AB34AD"/>
    <w:rsid w:val="00AB34E1"/>
    <w:rsid w:val="00AB3546"/>
    <w:rsid w:val="00AB359E"/>
    <w:rsid w:val="00AB368B"/>
    <w:rsid w:val="00AB36DE"/>
    <w:rsid w:val="00AB36F2"/>
    <w:rsid w:val="00AB36FC"/>
    <w:rsid w:val="00AB3810"/>
    <w:rsid w:val="00AB3853"/>
    <w:rsid w:val="00AB38B9"/>
    <w:rsid w:val="00AB3954"/>
    <w:rsid w:val="00AB399A"/>
    <w:rsid w:val="00AB3A1F"/>
    <w:rsid w:val="00AB3A47"/>
    <w:rsid w:val="00AB3AAB"/>
    <w:rsid w:val="00AB3B13"/>
    <w:rsid w:val="00AB3B52"/>
    <w:rsid w:val="00AB3B80"/>
    <w:rsid w:val="00AB3C41"/>
    <w:rsid w:val="00AB3CEC"/>
    <w:rsid w:val="00AB3D09"/>
    <w:rsid w:val="00AB3D9A"/>
    <w:rsid w:val="00AB3DCC"/>
    <w:rsid w:val="00AB3E90"/>
    <w:rsid w:val="00AB3F39"/>
    <w:rsid w:val="00AB3FDE"/>
    <w:rsid w:val="00AB4104"/>
    <w:rsid w:val="00AB415B"/>
    <w:rsid w:val="00AB41CE"/>
    <w:rsid w:val="00AB420D"/>
    <w:rsid w:val="00AB424C"/>
    <w:rsid w:val="00AB4263"/>
    <w:rsid w:val="00AB42A0"/>
    <w:rsid w:val="00AB447D"/>
    <w:rsid w:val="00AB44F1"/>
    <w:rsid w:val="00AB44F5"/>
    <w:rsid w:val="00AB4542"/>
    <w:rsid w:val="00AB456B"/>
    <w:rsid w:val="00AB45A2"/>
    <w:rsid w:val="00AB4673"/>
    <w:rsid w:val="00AB46E2"/>
    <w:rsid w:val="00AB4734"/>
    <w:rsid w:val="00AB4744"/>
    <w:rsid w:val="00AB4762"/>
    <w:rsid w:val="00AB47CC"/>
    <w:rsid w:val="00AB481C"/>
    <w:rsid w:val="00AB483D"/>
    <w:rsid w:val="00AB4946"/>
    <w:rsid w:val="00AB495B"/>
    <w:rsid w:val="00AB49DD"/>
    <w:rsid w:val="00AB4A8A"/>
    <w:rsid w:val="00AB4A93"/>
    <w:rsid w:val="00AB4AAA"/>
    <w:rsid w:val="00AB4B36"/>
    <w:rsid w:val="00AB4BB2"/>
    <w:rsid w:val="00AB4BBA"/>
    <w:rsid w:val="00AB4BD8"/>
    <w:rsid w:val="00AB4C78"/>
    <w:rsid w:val="00AB4D3F"/>
    <w:rsid w:val="00AB4DC4"/>
    <w:rsid w:val="00AB4DDB"/>
    <w:rsid w:val="00AB4E01"/>
    <w:rsid w:val="00AB4E04"/>
    <w:rsid w:val="00AB4EF3"/>
    <w:rsid w:val="00AB4F35"/>
    <w:rsid w:val="00AB4F62"/>
    <w:rsid w:val="00AB4F70"/>
    <w:rsid w:val="00AB4F7D"/>
    <w:rsid w:val="00AB4F83"/>
    <w:rsid w:val="00AB4FCD"/>
    <w:rsid w:val="00AB5059"/>
    <w:rsid w:val="00AB506D"/>
    <w:rsid w:val="00AB519E"/>
    <w:rsid w:val="00AB51C6"/>
    <w:rsid w:val="00AB51E1"/>
    <w:rsid w:val="00AB5274"/>
    <w:rsid w:val="00AB5296"/>
    <w:rsid w:val="00AB52C1"/>
    <w:rsid w:val="00AB543A"/>
    <w:rsid w:val="00AB5537"/>
    <w:rsid w:val="00AB55CA"/>
    <w:rsid w:val="00AB55DF"/>
    <w:rsid w:val="00AB5632"/>
    <w:rsid w:val="00AB568A"/>
    <w:rsid w:val="00AB5690"/>
    <w:rsid w:val="00AB576F"/>
    <w:rsid w:val="00AB5775"/>
    <w:rsid w:val="00AB5805"/>
    <w:rsid w:val="00AB58B1"/>
    <w:rsid w:val="00AB5900"/>
    <w:rsid w:val="00AB594A"/>
    <w:rsid w:val="00AB59DC"/>
    <w:rsid w:val="00AB5A13"/>
    <w:rsid w:val="00AB5B12"/>
    <w:rsid w:val="00AB5C34"/>
    <w:rsid w:val="00AB5E48"/>
    <w:rsid w:val="00AB5E56"/>
    <w:rsid w:val="00AB5E6D"/>
    <w:rsid w:val="00AB5FA5"/>
    <w:rsid w:val="00AB603B"/>
    <w:rsid w:val="00AB6089"/>
    <w:rsid w:val="00AB613C"/>
    <w:rsid w:val="00AB617C"/>
    <w:rsid w:val="00AB619C"/>
    <w:rsid w:val="00AB6200"/>
    <w:rsid w:val="00AB6287"/>
    <w:rsid w:val="00AB62A4"/>
    <w:rsid w:val="00AB6301"/>
    <w:rsid w:val="00AB63F1"/>
    <w:rsid w:val="00AB641E"/>
    <w:rsid w:val="00AB64C3"/>
    <w:rsid w:val="00AB64C5"/>
    <w:rsid w:val="00AB658E"/>
    <w:rsid w:val="00AB6691"/>
    <w:rsid w:val="00AB66A9"/>
    <w:rsid w:val="00AB66F0"/>
    <w:rsid w:val="00AB6778"/>
    <w:rsid w:val="00AB6796"/>
    <w:rsid w:val="00AB697C"/>
    <w:rsid w:val="00AB6A8E"/>
    <w:rsid w:val="00AB6AE5"/>
    <w:rsid w:val="00AB6AEA"/>
    <w:rsid w:val="00AB6BE3"/>
    <w:rsid w:val="00AB6C85"/>
    <w:rsid w:val="00AB6CB6"/>
    <w:rsid w:val="00AB6D11"/>
    <w:rsid w:val="00AB6D55"/>
    <w:rsid w:val="00AB6D56"/>
    <w:rsid w:val="00AB6D96"/>
    <w:rsid w:val="00AB6EDD"/>
    <w:rsid w:val="00AB6F95"/>
    <w:rsid w:val="00AB704A"/>
    <w:rsid w:val="00AB7114"/>
    <w:rsid w:val="00AB711B"/>
    <w:rsid w:val="00AB718F"/>
    <w:rsid w:val="00AB71CC"/>
    <w:rsid w:val="00AB7203"/>
    <w:rsid w:val="00AB7224"/>
    <w:rsid w:val="00AB7231"/>
    <w:rsid w:val="00AB7239"/>
    <w:rsid w:val="00AB7294"/>
    <w:rsid w:val="00AB7352"/>
    <w:rsid w:val="00AB7354"/>
    <w:rsid w:val="00AB7381"/>
    <w:rsid w:val="00AB73E6"/>
    <w:rsid w:val="00AB7529"/>
    <w:rsid w:val="00AB7562"/>
    <w:rsid w:val="00AB7669"/>
    <w:rsid w:val="00AB76B7"/>
    <w:rsid w:val="00AB76B9"/>
    <w:rsid w:val="00AB76E5"/>
    <w:rsid w:val="00AB771E"/>
    <w:rsid w:val="00AB77A4"/>
    <w:rsid w:val="00AB77AA"/>
    <w:rsid w:val="00AB77ED"/>
    <w:rsid w:val="00AB7934"/>
    <w:rsid w:val="00AB79F6"/>
    <w:rsid w:val="00AB7A0D"/>
    <w:rsid w:val="00AB7A66"/>
    <w:rsid w:val="00AB7AD6"/>
    <w:rsid w:val="00AB7AFC"/>
    <w:rsid w:val="00AB7B2A"/>
    <w:rsid w:val="00AB7B36"/>
    <w:rsid w:val="00AB7BB7"/>
    <w:rsid w:val="00AB7C73"/>
    <w:rsid w:val="00AB7C77"/>
    <w:rsid w:val="00AB7CD4"/>
    <w:rsid w:val="00AB7CE7"/>
    <w:rsid w:val="00AB7CF3"/>
    <w:rsid w:val="00AB7D7F"/>
    <w:rsid w:val="00AB7DB3"/>
    <w:rsid w:val="00AB7E24"/>
    <w:rsid w:val="00AB7E62"/>
    <w:rsid w:val="00AB7EDB"/>
    <w:rsid w:val="00AB7FA7"/>
    <w:rsid w:val="00AC0043"/>
    <w:rsid w:val="00AC004F"/>
    <w:rsid w:val="00AC007F"/>
    <w:rsid w:val="00AC010D"/>
    <w:rsid w:val="00AC0142"/>
    <w:rsid w:val="00AC0160"/>
    <w:rsid w:val="00AC01A8"/>
    <w:rsid w:val="00AC01C1"/>
    <w:rsid w:val="00AC024D"/>
    <w:rsid w:val="00AC025F"/>
    <w:rsid w:val="00AC0318"/>
    <w:rsid w:val="00AC034C"/>
    <w:rsid w:val="00AC037F"/>
    <w:rsid w:val="00AC03C8"/>
    <w:rsid w:val="00AC046F"/>
    <w:rsid w:val="00AC047B"/>
    <w:rsid w:val="00AC0534"/>
    <w:rsid w:val="00AC05D9"/>
    <w:rsid w:val="00AC05EE"/>
    <w:rsid w:val="00AC0668"/>
    <w:rsid w:val="00AC06C3"/>
    <w:rsid w:val="00AC0719"/>
    <w:rsid w:val="00AC0750"/>
    <w:rsid w:val="00AC0829"/>
    <w:rsid w:val="00AC0872"/>
    <w:rsid w:val="00AC0875"/>
    <w:rsid w:val="00AC094C"/>
    <w:rsid w:val="00AC0A54"/>
    <w:rsid w:val="00AC0A94"/>
    <w:rsid w:val="00AC0AF4"/>
    <w:rsid w:val="00AC0B4A"/>
    <w:rsid w:val="00AC0BC6"/>
    <w:rsid w:val="00AC0BF8"/>
    <w:rsid w:val="00AC0C1A"/>
    <w:rsid w:val="00AC0C89"/>
    <w:rsid w:val="00AC0D74"/>
    <w:rsid w:val="00AC0D97"/>
    <w:rsid w:val="00AC0D9B"/>
    <w:rsid w:val="00AC0EB7"/>
    <w:rsid w:val="00AC0F7A"/>
    <w:rsid w:val="00AC10A8"/>
    <w:rsid w:val="00AC122B"/>
    <w:rsid w:val="00AC138B"/>
    <w:rsid w:val="00AC141F"/>
    <w:rsid w:val="00AC1458"/>
    <w:rsid w:val="00AC14A7"/>
    <w:rsid w:val="00AC14AF"/>
    <w:rsid w:val="00AC14F2"/>
    <w:rsid w:val="00AC1503"/>
    <w:rsid w:val="00AC1541"/>
    <w:rsid w:val="00AC157D"/>
    <w:rsid w:val="00AC15AB"/>
    <w:rsid w:val="00AC15AF"/>
    <w:rsid w:val="00AC16EC"/>
    <w:rsid w:val="00AC1705"/>
    <w:rsid w:val="00AC17D7"/>
    <w:rsid w:val="00AC18C6"/>
    <w:rsid w:val="00AC1902"/>
    <w:rsid w:val="00AC19C1"/>
    <w:rsid w:val="00AC1A40"/>
    <w:rsid w:val="00AC1A46"/>
    <w:rsid w:val="00AC1A51"/>
    <w:rsid w:val="00AC1AF2"/>
    <w:rsid w:val="00AC1B0E"/>
    <w:rsid w:val="00AC1B41"/>
    <w:rsid w:val="00AC1B9B"/>
    <w:rsid w:val="00AC1BE7"/>
    <w:rsid w:val="00AC1C38"/>
    <w:rsid w:val="00AC1C46"/>
    <w:rsid w:val="00AC1D3E"/>
    <w:rsid w:val="00AC1D4A"/>
    <w:rsid w:val="00AC1D54"/>
    <w:rsid w:val="00AC1D55"/>
    <w:rsid w:val="00AC1D92"/>
    <w:rsid w:val="00AC1DBA"/>
    <w:rsid w:val="00AC1E15"/>
    <w:rsid w:val="00AC1E1B"/>
    <w:rsid w:val="00AC1E35"/>
    <w:rsid w:val="00AC1ED0"/>
    <w:rsid w:val="00AC1F2F"/>
    <w:rsid w:val="00AC1FC4"/>
    <w:rsid w:val="00AC1FEC"/>
    <w:rsid w:val="00AC2028"/>
    <w:rsid w:val="00AC208D"/>
    <w:rsid w:val="00AC2195"/>
    <w:rsid w:val="00AC21A0"/>
    <w:rsid w:val="00AC2341"/>
    <w:rsid w:val="00AC234B"/>
    <w:rsid w:val="00AC237C"/>
    <w:rsid w:val="00AC2459"/>
    <w:rsid w:val="00AC246F"/>
    <w:rsid w:val="00AC247A"/>
    <w:rsid w:val="00AC248A"/>
    <w:rsid w:val="00AC24AE"/>
    <w:rsid w:val="00AC2503"/>
    <w:rsid w:val="00AC2506"/>
    <w:rsid w:val="00AC251A"/>
    <w:rsid w:val="00AC253E"/>
    <w:rsid w:val="00AC2580"/>
    <w:rsid w:val="00AC2585"/>
    <w:rsid w:val="00AC2755"/>
    <w:rsid w:val="00AC2792"/>
    <w:rsid w:val="00AC27A3"/>
    <w:rsid w:val="00AC29A3"/>
    <w:rsid w:val="00AC29CB"/>
    <w:rsid w:val="00AC29DB"/>
    <w:rsid w:val="00AC29F2"/>
    <w:rsid w:val="00AC2BE0"/>
    <w:rsid w:val="00AC2C9F"/>
    <w:rsid w:val="00AC2CEC"/>
    <w:rsid w:val="00AC2D08"/>
    <w:rsid w:val="00AC2D3F"/>
    <w:rsid w:val="00AC2D46"/>
    <w:rsid w:val="00AC2D78"/>
    <w:rsid w:val="00AC2D8B"/>
    <w:rsid w:val="00AC2DB5"/>
    <w:rsid w:val="00AC2E00"/>
    <w:rsid w:val="00AC2E40"/>
    <w:rsid w:val="00AC2F0E"/>
    <w:rsid w:val="00AC2F4D"/>
    <w:rsid w:val="00AC2F62"/>
    <w:rsid w:val="00AC2F88"/>
    <w:rsid w:val="00AC300D"/>
    <w:rsid w:val="00AC30B7"/>
    <w:rsid w:val="00AC3110"/>
    <w:rsid w:val="00AC31A4"/>
    <w:rsid w:val="00AC31F2"/>
    <w:rsid w:val="00AC32A5"/>
    <w:rsid w:val="00AC32B3"/>
    <w:rsid w:val="00AC33F2"/>
    <w:rsid w:val="00AC3498"/>
    <w:rsid w:val="00AC34C4"/>
    <w:rsid w:val="00AC355C"/>
    <w:rsid w:val="00AC35C9"/>
    <w:rsid w:val="00AC35E4"/>
    <w:rsid w:val="00AC35ED"/>
    <w:rsid w:val="00AC3639"/>
    <w:rsid w:val="00AC364A"/>
    <w:rsid w:val="00AC3697"/>
    <w:rsid w:val="00AC371D"/>
    <w:rsid w:val="00AC37C6"/>
    <w:rsid w:val="00AC3819"/>
    <w:rsid w:val="00AC3830"/>
    <w:rsid w:val="00AC38A1"/>
    <w:rsid w:val="00AC38BE"/>
    <w:rsid w:val="00AC38C6"/>
    <w:rsid w:val="00AC38E3"/>
    <w:rsid w:val="00AC38FA"/>
    <w:rsid w:val="00AC390C"/>
    <w:rsid w:val="00AC3954"/>
    <w:rsid w:val="00AC39B7"/>
    <w:rsid w:val="00AC39FC"/>
    <w:rsid w:val="00AC3A9C"/>
    <w:rsid w:val="00AC3AF1"/>
    <w:rsid w:val="00AC3CB9"/>
    <w:rsid w:val="00AC3D91"/>
    <w:rsid w:val="00AC3E0F"/>
    <w:rsid w:val="00AC3E24"/>
    <w:rsid w:val="00AC3E52"/>
    <w:rsid w:val="00AC3E6B"/>
    <w:rsid w:val="00AC3F0B"/>
    <w:rsid w:val="00AC3F81"/>
    <w:rsid w:val="00AC3F8E"/>
    <w:rsid w:val="00AC3F9B"/>
    <w:rsid w:val="00AC3FA0"/>
    <w:rsid w:val="00AC4049"/>
    <w:rsid w:val="00AC40D8"/>
    <w:rsid w:val="00AC41A6"/>
    <w:rsid w:val="00AC41E5"/>
    <w:rsid w:val="00AC424B"/>
    <w:rsid w:val="00AC4251"/>
    <w:rsid w:val="00AC427E"/>
    <w:rsid w:val="00AC42FE"/>
    <w:rsid w:val="00AC4324"/>
    <w:rsid w:val="00AC4394"/>
    <w:rsid w:val="00AC448B"/>
    <w:rsid w:val="00AC453C"/>
    <w:rsid w:val="00AC45DE"/>
    <w:rsid w:val="00AC46DB"/>
    <w:rsid w:val="00AC4731"/>
    <w:rsid w:val="00AC4733"/>
    <w:rsid w:val="00AC47B8"/>
    <w:rsid w:val="00AC4873"/>
    <w:rsid w:val="00AC48F8"/>
    <w:rsid w:val="00AC4951"/>
    <w:rsid w:val="00AC4994"/>
    <w:rsid w:val="00AC49A4"/>
    <w:rsid w:val="00AC49E8"/>
    <w:rsid w:val="00AC4A5E"/>
    <w:rsid w:val="00AC4ACE"/>
    <w:rsid w:val="00AC4B26"/>
    <w:rsid w:val="00AC4BB2"/>
    <w:rsid w:val="00AC4BC8"/>
    <w:rsid w:val="00AC4C47"/>
    <w:rsid w:val="00AC4C7B"/>
    <w:rsid w:val="00AC4C86"/>
    <w:rsid w:val="00AC4CEB"/>
    <w:rsid w:val="00AC4CFB"/>
    <w:rsid w:val="00AC4CFE"/>
    <w:rsid w:val="00AC4D0A"/>
    <w:rsid w:val="00AC4DE4"/>
    <w:rsid w:val="00AC4DE6"/>
    <w:rsid w:val="00AC4E03"/>
    <w:rsid w:val="00AC4E06"/>
    <w:rsid w:val="00AC4EC1"/>
    <w:rsid w:val="00AC4ED3"/>
    <w:rsid w:val="00AC4EF5"/>
    <w:rsid w:val="00AC4F34"/>
    <w:rsid w:val="00AC4F7C"/>
    <w:rsid w:val="00AC4FBE"/>
    <w:rsid w:val="00AC4FE3"/>
    <w:rsid w:val="00AC508B"/>
    <w:rsid w:val="00AC50AF"/>
    <w:rsid w:val="00AC50E5"/>
    <w:rsid w:val="00AC510C"/>
    <w:rsid w:val="00AC51AF"/>
    <w:rsid w:val="00AC51D3"/>
    <w:rsid w:val="00AC52AE"/>
    <w:rsid w:val="00AC52EA"/>
    <w:rsid w:val="00AC5314"/>
    <w:rsid w:val="00AC53FE"/>
    <w:rsid w:val="00AC540C"/>
    <w:rsid w:val="00AC5470"/>
    <w:rsid w:val="00AC54E6"/>
    <w:rsid w:val="00AC54F8"/>
    <w:rsid w:val="00AC550A"/>
    <w:rsid w:val="00AC55EB"/>
    <w:rsid w:val="00AC55F6"/>
    <w:rsid w:val="00AC562A"/>
    <w:rsid w:val="00AC564E"/>
    <w:rsid w:val="00AC5656"/>
    <w:rsid w:val="00AC57A5"/>
    <w:rsid w:val="00AC57AE"/>
    <w:rsid w:val="00AC587D"/>
    <w:rsid w:val="00AC58AE"/>
    <w:rsid w:val="00AC58B9"/>
    <w:rsid w:val="00AC58E2"/>
    <w:rsid w:val="00AC58E3"/>
    <w:rsid w:val="00AC596D"/>
    <w:rsid w:val="00AC5A09"/>
    <w:rsid w:val="00AC5A86"/>
    <w:rsid w:val="00AC5AC6"/>
    <w:rsid w:val="00AC5AF4"/>
    <w:rsid w:val="00AC5CA8"/>
    <w:rsid w:val="00AC5DFB"/>
    <w:rsid w:val="00AC5E6E"/>
    <w:rsid w:val="00AC5E70"/>
    <w:rsid w:val="00AC5E72"/>
    <w:rsid w:val="00AC5F99"/>
    <w:rsid w:val="00AC6018"/>
    <w:rsid w:val="00AC60B1"/>
    <w:rsid w:val="00AC60BB"/>
    <w:rsid w:val="00AC60C5"/>
    <w:rsid w:val="00AC61FE"/>
    <w:rsid w:val="00AC621C"/>
    <w:rsid w:val="00AC6260"/>
    <w:rsid w:val="00AC629F"/>
    <w:rsid w:val="00AC6333"/>
    <w:rsid w:val="00AC63A5"/>
    <w:rsid w:val="00AC6402"/>
    <w:rsid w:val="00AC640A"/>
    <w:rsid w:val="00AC6534"/>
    <w:rsid w:val="00AC656C"/>
    <w:rsid w:val="00AC661D"/>
    <w:rsid w:val="00AC6667"/>
    <w:rsid w:val="00AC6668"/>
    <w:rsid w:val="00AC6688"/>
    <w:rsid w:val="00AC6771"/>
    <w:rsid w:val="00AC67AE"/>
    <w:rsid w:val="00AC67BA"/>
    <w:rsid w:val="00AC685C"/>
    <w:rsid w:val="00AC6885"/>
    <w:rsid w:val="00AC689E"/>
    <w:rsid w:val="00AC68B3"/>
    <w:rsid w:val="00AC6917"/>
    <w:rsid w:val="00AC6989"/>
    <w:rsid w:val="00AC69CE"/>
    <w:rsid w:val="00AC6A10"/>
    <w:rsid w:val="00AC6A25"/>
    <w:rsid w:val="00AC6ADA"/>
    <w:rsid w:val="00AC6AE8"/>
    <w:rsid w:val="00AC6B17"/>
    <w:rsid w:val="00AC6BB4"/>
    <w:rsid w:val="00AC6BBE"/>
    <w:rsid w:val="00AC6BD3"/>
    <w:rsid w:val="00AC6C23"/>
    <w:rsid w:val="00AC6C50"/>
    <w:rsid w:val="00AC6D37"/>
    <w:rsid w:val="00AC6DA2"/>
    <w:rsid w:val="00AC6DBD"/>
    <w:rsid w:val="00AC6EBD"/>
    <w:rsid w:val="00AC6FB7"/>
    <w:rsid w:val="00AC6FFD"/>
    <w:rsid w:val="00AC702D"/>
    <w:rsid w:val="00AC70D4"/>
    <w:rsid w:val="00AC70F9"/>
    <w:rsid w:val="00AC7180"/>
    <w:rsid w:val="00AC718F"/>
    <w:rsid w:val="00AC7205"/>
    <w:rsid w:val="00AC721F"/>
    <w:rsid w:val="00AC7315"/>
    <w:rsid w:val="00AC7326"/>
    <w:rsid w:val="00AC7379"/>
    <w:rsid w:val="00AC73BA"/>
    <w:rsid w:val="00AC73DB"/>
    <w:rsid w:val="00AC7426"/>
    <w:rsid w:val="00AC7506"/>
    <w:rsid w:val="00AC7525"/>
    <w:rsid w:val="00AC7584"/>
    <w:rsid w:val="00AC7597"/>
    <w:rsid w:val="00AC761E"/>
    <w:rsid w:val="00AC7651"/>
    <w:rsid w:val="00AC7684"/>
    <w:rsid w:val="00AC76C7"/>
    <w:rsid w:val="00AC7772"/>
    <w:rsid w:val="00AC77BD"/>
    <w:rsid w:val="00AC7819"/>
    <w:rsid w:val="00AC78B8"/>
    <w:rsid w:val="00AC7901"/>
    <w:rsid w:val="00AC79AA"/>
    <w:rsid w:val="00AC7A19"/>
    <w:rsid w:val="00AC7A35"/>
    <w:rsid w:val="00AC7A4D"/>
    <w:rsid w:val="00AC7A76"/>
    <w:rsid w:val="00AC7B3E"/>
    <w:rsid w:val="00AC7B90"/>
    <w:rsid w:val="00AC7BE9"/>
    <w:rsid w:val="00AC7BFF"/>
    <w:rsid w:val="00AC7C5B"/>
    <w:rsid w:val="00AC7CC2"/>
    <w:rsid w:val="00AC7D5D"/>
    <w:rsid w:val="00AC7DBA"/>
    <w:rsid w:val="00AC7DCD"/>
    <w:rsid w:val="00AC7E1E"/>
    <w:rsid w:val="00AC7E49"/>
    <w:rsid w:val="00AC7E67"/>
    <w:rsid w:val="00AC7EA6"/>
    <w:rsid w:val="00AC7EB0"/>
    <w:rsid w:val="00AC7EF7"/>
    <w:rsid w:val="00AC7F33"/>
    <w:rsid w:val="00AD0004"/>
    <w:rsid w:val="00AD0043"/>
    <w:rsid w:val="00AD0080"/>
    <w:rsid w:val="00AD00F3"/>
    <w:rsid w:val="00AD01BA"/>
    <w:rsid w:val="00AD0228"/>
    <w:rsid w:val="00AD02D1"/>
    <w:rsid w:val="00AD0310"/>
    <w:rsid w:val="00AD03EC"/>
    <w:rsid w:val="00AD03F1"/>
    <w:rsid w:val="00AD03F2"/>
    <w:rsid w:val="00AD0472"/>
    <w:rsid w:val="00AD04A9"/>
    <w:rsid w:val="00AD04B8"/>
    <w:rsid w:val="00AD0520"/>
    <w:rsid w:val="00AD0527"/>
    <w:rsid w:val="00AD0581"/>
    <w:rsid w:val="00AD0693"/>
    <w:rsid w:val="00AD06B6"/>
    <w:rsid w:val="00AD06F1"/>
    <w:rsid w:val="00AD07A8"/>
    <w:rsid w:val="00AD0814"/>
    <w:rsid w:val="00AD0832"/>
    <w:rsid w:val="00AD0833"/>
    <w:rsid w:val="00AD0858"/>
    <w:rsid w:val="00AD086F"/>
    <w:rsid w:val="00AD08EE"/>
    <w:rsid w:val="00AD0946"/>
    <w:rsid w:val="00AD0A5C"/>
    <w:rsid w:val="00AD0AA1"/>
    <w:rsid w:val="00AD0AA7"/>
    <w:rsid w:val="00AD0B21"/>
    <w:rsid w:val="00AD0B4B"/>
    <w:rsid w:val="00AD0BE8"/>
    <w:rsid w:val="00AD0C5B"/>
    <w:rsid w:val="00AD0C5C"/>
    <w:rsid w:val="00AD0CBE"/>
    <w:rsid w:val="00AD0CE1"/>
    <w:rsid w:val="00AD0D1A"/>
    <w:rsid w:val="00AD0D29"/>
    <w:rsid w:val="00AD0D46"/>
    <w:rsid w:val="00AD0E42"/>
    <w:rsid w:val="00AD0EEB"/>
    <w:rsid w:val="00AD0F2A"/>
    <w:rsid w:val="00AD0F57"/>
    <w:rsid w:val="00AD0F6D"/>
    <w:rsid w:val="00AD0F86"/>
    <w:rsid w:val="00AD0F94"/>
    <w:rsid w:val="00AD100A"/>
    <w:rsid w:val="00AD102E"/>
    <w:rsid w:val="00AD1056"/>
    <w:rsid w:val="00AD112B"/>
    <w:rsid w:val="00AD113E"/>
    <w:rsid w:val="00AD1153"/>
    <w:rsid w:val="00AD117F"/>
    <w:rsid w:val="00AD122F"/>
    <w:rsid w:val="00AD1312"/>
    <w:rsid w:val="00AD1437"/>
    <w:rsid w:val="00AD151B"/>
    <w:rsid w:val="00AD155C"/>
    <w:rsid w:val="00AD1577"/>
    <w:rsid w:val="00AD157C"/>
    <w:rsid w:val="00AD1590"/>
    <w:rsid w:val="00AD1648"/>
    <w:rsid w:val="00AD1656"/>
    <w:rsid w:val="00AD183A"/>
    <w:rsid w:val="00AD1864"/>
    <w:rsid w:val="00AD19B9"/>
    <w:rsid w:val="00AD19E9"/>
    <w:rsid w:val="00AD1A68"/>
    <w:rsid w:val="00AD1AA2"/>
    <w:rsid w:val="00AD1AA4"/>
    <w:rsid w:val="00AD1AA5"/>
    <w:rsid w:val="00AD1AAC"/>
    <w:rsid w:val="00AD1AC0"/>
    <w:rsid w:val="00AD1B2D"/>
    <w:rsid w:val="00AD1B69"/>
    <w:rsid w:val="00AD1B84"/>
    <w:rsid w:val="00AD1CA9"/>
    <w:rsid w:val="00AD1D3B"/>
    <w:rsid w:val="00AD1D3D"/>
    <w:rsid w:val="00AD1D96"/>
    <w:rsid w:val="00AD1DE5"/>
    <w:rsid w:val="00AD1E68"/>
    <w:rsid w:val="00AD1E94"/>
    <w:rsid w:val="00AD1FBD"/>
    <w:rsid w:val="00AD1FC9"/>
    <w:rsid w:val="00AD1FCB"/>
    <w:rsid w:val="00AD1FDF"/>
    <w:rsid w:val="00AD203F"/>
    <w:rsid w:val="00AD2041"/>
    <w:rsid w:val="00AD2084"/>
    <w:rsid w:val="00AD20F4"/>
    <w:rsid w:val="00AD21A0"/>
    <w:rsid w:val="00AD21F9"/>
    <w:rsid w:val="00AD21FF"/>
    <w:rsid w:val="00AD223E"/>
    <w:rsid w:val="00AD225C"/>
    <w:rsid w:val="00AD227E"/>
    <w:rsid w:val="00AD22B9"/>
    <w:rsid w:val="00AD22C0"/>
    <w:rsid w:val="00AD22C1"/>
    <w:rsid w:val="00AD2316"/>
    <w:rsid w:val="00AD23AB"/>
    <w:rsid w:val="00AD2413"/>
    <w:rsid w:val="00AD241D"/>
    <w:rsid w:val="00AD24D4"/>
    <w:rsid w:val="00AD2538"/>
    <w:rsid w:val="00AD253A"/>
    <w:rsid w:val="00AD25EA"/>
    <w:rsid w:val="00AD2630"/>
    <w:rsid w:val="00AD263F"/>
    <w:rsid w:val="00AD2659"/>
    <w:rsid w:val="00AD2663"/>
    <w:rsid w:val="00AD26C3"/>
    <w:rsid w:val="00AD2837"/>
    <w:rsid w:val="00AD2889"/>
    <w:rsid w:val="00AD28DD"/>
    <w:rsid w:val="00AD2906"/>
    <w:rsid w:val="00AD295F"/>
    <w:rsid w:val="00AD2A3E"/>
    <w:rsid w:val="00AD2A77"/>
    <w:rsid w:val="00AD2A79"/>
    <w:rsid w:val="00AD2A9A"/>
    <w:rsid w:val="00AD2AAA"/>
    <w:rsid w:val="00AD2B43"/>
    <w:rsid w:val="00AD2B49"/>
    <w:rsid w:val="00AD2C02"/>
    <w:rsid w:val="00AD2C1E"/>
    <w:rsid w:val="00AD2C39"/>
    <w:rsid w:val="00AD2C4B"/>
    <w:rsid w:val="00AD2CBF"/>
    <w:rsid w:val="00AD2CCF"/>
    <w:rsid w:val="00AD2CD1"/>
    <w:rsid w:val="00AD2CD2"/>
    <w:rsid w:val="00AD2D36"/>
    <w:rsid w:val="00AD2D53"/>
    <w:rsid w:val="00AD2D64"/>
    <w:rsid w:val="00AD2D6B"/>
    <w:rsid w:val="00AD2DA9"/>
    <w:rsid w:val="00AD2DEE"/>
    <w:rsid w:val="00AD2E84"/>
    <w:rsid w:val="00AD2EE4"/>
    <w:rsid w:val="00AD2F5B"/>
    <w:rsid w:val="00AD2F6F"/>
    <w:rsid w:val="00AD3040"/>
    <w:rsid w:val="00AD3061"/>
    <w:rsid w:val="00AD30A1"/>
    <w:rsid w:val="00AD314C"/>
    <w:rsid w:val="00AD3186"/>
    <w:rsid w:val="00AD323E"/>
    <w:rsid w:val="00AD3253"/>
    <w:rsid w:val="00AD32D0"/>
    <w:rsid w:val="00AD336F"/>
    <w:rsid w:val="00AD3381"/>
    <w:rsid w:val="00AD33BA"/>
    <w:rsid w:val="00AD341A"/>
    <w:rsid w:val="00AD348B"/>
    <w:rsid w:val="00AD34D6"/>
    <w:rsid w:val="00AD352C"/>
    <w:rsid w:val="00AD35A9"/>
    <w:rsid w:val="00AD35D6"/>
    <w:rsid w:val="00AD35E7"/>
    <w:rsid w:val="00AD35FF"/>
    <w:rsid w:val="00AD360B"/>
    <w:rsid w:val="00AD36AC"/>
    <w:rsid w:val="00AD36E4"/>
    <w:rsid w:val="00AD3724"/>
    <w:rsid w:val="00AD3868"/>
    <w:rsid w:val="00AD38EF"/>
    <w:rsid w:val="00AD3914"/>
    <w:rsid w:val="00AD3977"/>
    <w:rsid w:val="00AD3AA1"/>
    <w:rsid w:val="00AD3ACE"/>
    <w:rsid w:val="00AD3B02"/>
    <w:rsid w:val="00AD3B76"/>
    <w:rsid w:val="00AD3C5C"/>
    <w:rsid w:val="00AD3C98"/>
    <w:rsid w:val="00AD3C99"/>
    <w:rsid w:val="00AD3C9C"/>
    <w:rsid w:val="00AD3CAB"/>
    <w:rsid w:val="00AD3D39"/>
    <w:rsid w:val="00AD3DFB"/>
    <w:rsid w:val="00AD3E6F"/>
    <w:rsid w:val="00AD3E7E"/>
    <w:rsid w:val="00AD3E9C"/>
    <w:rsid w:val="00AD3EE3"/>
    <w:rsid w:val="00AD3F30"/>
    <w:rsid w:val="00AD3F6D"/>
    <w:rsid w:val="00AD3FC5"/>
    <w:rsid w:val="00AD3FDE"/>
    <w:rsid w:val="00AD3FF2"/>
    <w:rsid w:val="00AD4083"/>
    <w:rsid w:val="00AD40B8"/>
    <w:rsid w:val="00AD418D"/>
    <w:rsid w:val="00AD41D8"/>
    <w:rsid w:val="00AD425F"/>
    <w:rsid w:val="00AD4296"/>
    <w:rsid w:val="00AD4372"/>
    <w:rsid w:val="00AD4376"/>
    <w:rsid w:val="00AD43A1"/>
    <w:rsid w:val="00AD43E1"/>
    <w:rsid w:val="00AD448A"/>
    <w:rsid w:val="00AD44CB"/>
    <w:rsid w:val="00AD44CE"/>
    <w:rsid w:val="00AD44ED"/>
    <w:rsid w:val="00AD44FD"/>
    <w:rsid w:val="00AD455E"/>
    <w:rsid w:val="00AD45D3"/>
    <w:rsid w:val="00AD45F5"/>
    <w:rsid w:val="00AD46CC"/>
    <w:rsid w:val="00AD4743"/>
    <w:rsid w:val="00AD474C"/>
    <w:rsid w:val="00AD47D4"/>
    <w:rsid w:val="00AD482B"/>
    <w:rsid w:val="00AD485A"/>
    <w:rsid w:val="00AD48D2"/>
    <w:rsid w:val="00AD48E6"/>
    <w:rsid w:val="00AD4908"/>
    <w:rsid w:val="00AD4916"/>
    <w:rsid w:val="00AD4940"/>
    <w:rsid w:val="00AD4A87"/>
    <w:rsid w:val="00AD4A92"/>
    <w:rsid w:val="00AD4B62"/>
    <w:rsid w:val="00AD4B6D"/>
    <w:rsid w:val="00AD4BD8"/>
    <w:rsid w:val="00AD4BEA"/>
    <w:rsid w:val="00AD4C54"/>
    <w:rsid w:val="00AD4C7C"/>
    <w:rsid w:val="00AD4CD2"/>
    <w:rsid w:val="00AD4CED"/>
    <w:rsid w:val="00AD4CFF"/>
    <w:rsid w:val="00AD4D43"/>
    <w:rsid w:val="00AD4D9B"/>
    <w:rsid w:val="00AD4E5B"/>
    <w:rsid w:val="00AD4E96"/>
    <w:rsid w:val="00AD4EB2"/>
    <w:rsid w:val="00AD4F90"/>
    <w:rsid w:val="00AD505A"/>
    <w:rsid w:val="00AD505D"/>
    <w:rsid w:val="00AD50CC"/>
    <w:rsid w:val="00AD510C"/>
    <w:rsid w:val="00AD5175"/>
    <w:rsid w:val="00AD5278"/>
    <w:rsid w:val="00AD52A3"/>
    <w:rsid w:val="00AD52F5"/>
    <w:rsid w:val="00AD5304"/>
    <w:rsid w:val="00AD5307"/>
    <w:rsid w:val="00AD5328"/>
    <w:rsid w:val="00AD5439"/>
    <w:rsid w:val="00AD579F"/>
    <w:rsid w:val="00AD57E4"/>
    <w:rsid w:val="00AD580D"/>
    <w:rsid w:val="00AD581C"/>
    <w:rsid w:val="00AD582C"/>
    <w:rsid w:val="00AD595A"/>
    <w:rsid w:val="00AD599D"/>
    <w:rsid w:val="00AD59AE"/>
    <w:rsid w:val="00AD59DE"/>
    <w:rsid w:val="00AD5A35"/>
    <w:rsid w:val="00AD5A75"/>
    <w:rsid w:val="00AD5AA2"/>
    <w:rsid w:val="00AD5B0B"/>
    <w:rsid w:val="00AD5B26"/>
    <w:rsid w:val="00AD5BF3"/>
    <w:rsid w:val="00AD5BFE"/>
    <w:rsid w:val="00AD5C17"/>
    <w:rsid w:val="00AD5C25"/>
    <w:rsid w:val="00AD5C60"/>
    <w:rsid w:val="00AD5C63"/>
    <w:rsid w:val="00AD5D1B"/>
    <w:rsid w:val="00AD5D8C"/>
    <w:rsid w:val="00AD5DA8"/>
    <w:rsid w:val="00AD5E66"/>
    <w:rsid w:val="00AD5EA9"/>
    <w:rsid w:val="00AD5EFA"/>
    <w:rsid w:val="00AD5F76"/>
    <w:rsid w:val="00AD5F94"/>
    <w:rsid w:val="00AD5F99"/>
    <w:rsid w:val="00AD5FFE"/>
    <w:rsid w:val="00AD601D"/>
    <w:rsid w:val="00AD615B"/>
    <w:rsid w:val="00AD617B"/>
    <w:rsid w:val="00AD6222"/>
    <w:rsid w:val="00AD62DF"/>
    <w:rsid w:val="00AD632A"/>
    <w:rsid w:val="00AD6338"/>
    <w:rsid w:val="00AD6373"/>
    <w:rsid w:val="00AD6433"/>
    <w:rsid w:val="00AD64A5"/>
    <w:rsid w:val="00AD64BD"/>
    <w:rsid w:val="00AD6524"/>
    <w:rsid w:val="00AD6550"/>
    <w:rsid w:val="00AD65CA"/>
    <w:rsid w:val="00AD6633"/>
    <w:rsid w:val="00AD671E"/>
    <w:rsid w:val="00AD675D"/>
    <w:rsid w:val="00AD6763"/>
    <w:rsid w:val="00AD6799"/>
    <w:rsid w:val="00AD67AC"/>
    <w:rsid w:val="00AD67FE"/>
    <w:rsid w:val="00AD6863"/>
    <w:rsid w:val="00AD6903"/>
    <w:rsid w:val="00AD6921"/>
    <w:rsid w:val="00AD693B"/>
    <w:rsid w:val="00AD69A3"/>
    <w:rsid w:val="00AD69B9"/>
    <w:rsid w:val="00AD6A07"/>
    <w:rsid w:val="00AD6A48"/>
    <w:rsid w:val="00AD6A63"/>
    <w:rsid w:val="00AD6A8D"/>
    <w:rsid w:val="00AD6A9A"/>
    <w:rsid w:val="00AD6B41"/>
    <w:rsid w:val="00AD6B93"/>
    <w:rsid w:val="00AD6C09"/>
    <w:rsid w:val="00AD6C29"/>
    <w:rsid w:val="00AD6C5C"/>
    <w:rsid w:val="00AD6CE6"/>
    <w:rsid w:val="00AD6DF7"/>
    <w:rsid w:val="00AD6EFA"/>
    <w:rsid w:val="00AD6F0C"/>
    <w:rsid w:val="00AD6F63"/>
    <w:rsid w:val="00AD6F7D"/>
    <w:rsid w:val="00AD6F86"/>
    <w:rsid w:val="00AD71A3"/>
    <w:rsid w:val="00AD722B"/>
    <w:rsid w:val="00AD727F"/>
    <w:rsid w:val="00AD72EF"/>
    <w:rsid w:val="00AD72F9"/>
    <w:rsid w:val="00AD7326"/>
    <w:rsid w:val="00AD734B"/>
    <w:rsid w:val="00AD73AB"/>
    <w:rsid w:val="00AD73E6"/>
    <w:rsid w:val="00AD74C9"/>
    <w:rsid w:val="00AD7553"/>
    <w:rsid w:val="00AD757C"/>
    <w:rsid w:val="00AD759E"/>
    <w:rsid w:val="00AD760E"/>
    <w:rsid w:val="00AD7651"/>
    <w:rsid w:val="00AD7658"/>
    <w:rsid w:val="00AD76CA"/>
    <w:rsid w:val="00AD76DA"/>
    <w:rsid w:val="00AD771A"/>
    <w:rsid w:val="00AD77E6"/>
    <w:rsid w:val="00AD781C"/>
    <w:rsid w:val="00AD784E"/>
    <w:rsid w:val="00AD787A"/>
    <w:rsid w:val="00AD78F8"/>
    <w:rsid w:val="00AD7A30"/>
    <w:rsid w:val="00AD7AD2"/>
    <w:rsid w:val="00AD7ADB"/>
    <w:rsid w:val="00AD7ADC"/>
    <w:rsid w:val="00AD7AE2"/>
    <w:rsid w:val="00AD7B3E"/>
    <w:rsid w:val="00AD7B8E"/>
    <w:rsid w:val="00AD7BFB"/>
    <w:rsid w:val="00AD7C63"/>
    <w:rsid w:val="00AD7C68"/>
    <w:rsid w:val="00AD7C8C"/>
    <w:rsid w:val="00AD7CB0"/>
    <w:rsid w:val="00AD7D84"/>
    <w:rsid w:val="00AD7D99"/>
    <w:rsid w:val="00AD7E67"/>
    <w:rsid w:val="00AD7E74"/>
    <w:rsid w:val="00AD7E89"/>
    <w:rsid w:val="00AD7EBF"/>
    <w:rsid w:val="00AD7F4F"/>
    <w:rsid w:val="00AD7F68"/>
    <w:rsid w:val="00AD7FBD"/>
    <w:rsid w:val="00AE00CA"/>
    <w:rsid w:val="00AE014A"/>
    <w:rsid w:val="00AE015F"/>
    <w:rsid w:val="00AE0170"/>
    <w:rsid w:val="00AE0194"/>
    <w:rsid w:val="00AE0201"/>
    <w:rsid w:val="00AE02DF"/>
    <w:rsid w:val="00AE03FD"/>
    <w:rsid w:val="00AE0403"/>
    <w:rsid w:val="00AE0418"/>
    <w:rsid w:val="00AE04D6"/>
    <w:rsid w:val="00AE060F"/>
    <w:rsid w:val="00AE062C"/>
    <w:rsid w:val="00AE06BD"/>
    <w:rsid w:val="00AE06C5"/>
    <w:rsid w:val="00AE06E4"/>
    <w:rsid w:val="00AE0735"/>
    <w:rsid w:val="00AE0745"/>
    <w:rsid w:val="00AE078A"/>
    <w:rsid w:val="00AE07E8"/>
    <w:rsid w:val="00AE07FF"/>
    <w:rsid w:val="00AE08AF"/>
    <w:rsid w:val="00AE0900"/>
    <w:rsid w:val="00AE09EC"/>
    <w:rsid w:val="00AE0AA0"/>
    <w:rsid w:val="00AE0BF2"/>
    <w:rsid w:val="00AE0C27"/>
    <w:rsid w:val="00AE0E33"/>
    <w:rsid w:val="00AE0E61"/>
    <w:rsid w:val="00AE0EA8"/>
    <w:rsid w:val="00AE0F0D"/>
    <w:rsid w:val="00AE0F85"/>
    <w:rsid w:val="00AE10B3"/>
    <w:rsid w:val="00AE10CE"/>
    <w:rsid w:val="00AE1110"/>
    <w:rsid w:val="00AE1130"/>
    <w:rsid w:val="00AE1158"/>
    <w:rsid w:val="00AE11B1"/>
    <w:rsid w:val="00AE1216"/>
    <w:rsid w:val="00AE12B6"/>
    <w:rsid w:val="00AE12DA"/>
    <w:rsid w:val="00AE1342"/>
    <w:rsid w:val="00AE1344"/>
    <w:rsid w:val="00AE136C"/>
    <w:rsid w:val="00AE13D1"/>
    <w:rsid w:val="00AE1413"/>
    <w:rsid w:val="00AE1417"/>
    <w:rsid w:val="00AE1433"/>
    <w:rsid w:val="00AE1443"/>
    <w:rsid w:val="00AE1511"/>
    <w:rsid w:val="00AE1569"/>
    <w:rsid w:val="00AE1595"/>
    <w:rsid w:val="00AE15F8"/>
    <w:rsid w:val="00AE168F"/>
    <w:rsid w:val="00AE16E9"/>
    <w:rsid w:val="00AE16F0"/>
    <w:rsid w:val="00AE16F3"/>
    <w:rsid w:val="00AE1739"/>
    <w:rsid w:val="00AE176B"/>
    <w:rsid w:val="00AE179B"/>
    <w:rsid w:val="00AE17AC"/>
    <w:rsid w:val="00AE17C4"/>
    <w:rsid w:val="00AE1816"/>
    <w:rsid w:val="00AE184F"/>
    <w:rsid w:val="00AE187C"/>
    <w:rsid w:val="00AE189D"/>
    <w:rsid w:val="00AE18B2"/>
    <w:rsid w:val="00AE18E4"/>
    <w:rsid w:val="00AE198F"/>
    <w:rsid w:val="00AE199D"/>
    <w:rsid w:val="00AE1A03"/>
    <w:rsid w:val="00AE1A7A"/>
    <w:rsid w:val="00AE1A7B"/>
    <w:rsid w:val="00AE1B43"/>
    <w:rsid w:val="00AE1B53"/>
    <w:rsid w:val="00AE1B5B"/>
    <w:rsid w:val="00AE1B85"/>
    <w:rsid w:val="00AE1BB5"/>
    <w:rsid w:val="00AE1BBB"/>
    <w:rsid w:val="00AE1D46"/>
    <w:rsid w:val="00AE1D83"/>
    <w:rsid w:val="00AE1D84"/>
    <w:rsid w:val="00AE1DBC"/>
    <w:rsid w:val="00AE1E09"/>
    <w:rsid w:val="00AE1E15"/>
    <w:rsid w:val="00AE1E33"/>
    <w:rsid w:val="00AE1E34"/>
    <w:rsid w:val="00AE1EA4"/>
    <w:rsid w:val="00AE1ED9"/>
    <w:rsid w:val="00AE1EDD"/>
    <w:rsid w:val="00AE1F6B"/>
    <w:rsid w:val="00AE1F8E"/>
    <w:rsid w:val="00AE200D"/>
    <w:rsid w:val="00AE2128"/>
    <w:rsid w:val="00AE2172"/>
    <w:rsid w:val="00AE21A6"/>
    <w:rsid w:val="00AE21C9"/>
    <w:rsid w:val="00AE221A"/>
    <w:rsid w:val="00AE2248"/>
    <w:rsid w:val="00AE225B"/>
    <w:rsid w:val="00AE229A"/>
    <w:rsid w:val="00AE23C9"/>
    <w:rsid w:val="00AE243F"/>
    <w:rsid w:val="00AE2452"/>
    <w:rsid w:val="00AE2459"/>
    <w:rsid w:val="00AE24BB"/>
    <w:rsid w:val="00AE24E0"/>
    <w:rsid w:val="00AE24EA"/>
    <w:rsid w:val="00AE2568"/>
    <w:rsid w:val="00AE258C"/>
    <w:rsid w:val="00AE2594"/>
    <w:rsid w:val="00AE25B3"/>
    <w:rsid w:val="00AE2626"/>
    <w:rsid w:val="00AE273E"/>
    <w:rsid w:val="00AE27BB"/>
    <w:rsid w:val="00AE27CB"/>
    <w:rsid w:val="00AE280E"/>
    <w:rsid w:val="00AE289A"/>
    <w:rsid w:val="00AE2910"/>
    <w:rsid w:val="00AE29B8"/>
    <w:rsid w:val="00AE29F1"/>
    <w:rsid w:val="00AE2A4B"/>
    <w:rsid w:val="00AE2AA1"/>
    <w:rsid w:val="00AE2AE9"/>
    <w:rsid w:val="00AE2B4B"/>
    <w:rsid w:val="00AE2B7E"/>
    <w:rsid w:val="00AE2BE0"/>
    <w:rsid w:val="00AE2BE4"/>
    <w:rsid w:val="00AE2BF9"/>
    <w:rsid w:val="00AE2BFD"/>
    <w:rsid w:val="00AE2C62"/>
    <w:rsid w:val="00AE2CA2"/>
    <w:rsid w:val="00AE2DAB"/>
    <w:rsid w:val="00AE2E2F"/>
    <w:rsid w:val="00AE2F8D"/>
    <w:rsid w:val="00AE2FC8"/>
    <w:rsid w:val="00AE3001"/>
    <w:rsid w:val="00AE3020"/>
    <w:rsid w:val="00AE3050"/>
    <w:rsid w:val="00AE305D"/>
    <w:rsid w:val="00AE3093"/>
    <w:rsid w:val="00AE31A2"/>
    <w:rsid w:val="00AE3345"/>
    <w:rsid w:val="00AE335A"/>
    <w:rsid w:val="00AE3382"/>
    <w:rsid w:val="00AE33EF"/>
    <w:rsid w:val="00AE3534"/>
    <w:rsid w:val="00AE3536"/>
    <w:rsid w:val="00AE3543"/>
    <w:rsid w:val="00AE355B"/>
    <w:rsid w:val="00AE35C6"/>
    <w:rsid w:val="00AE363A"/>
    <w:rsid w:val="00AE3663"/>
    <w:rsid w:val="00AE36DE"/>
    <w:rsid w:val="00AE375B"/>
    <w:rsid w:val="00AE37CC"/>
    <w:rsid w:val="00AE37E8"/>
    <w:rsid w:val="00AE3817"/>
    <w:rsid w:val="00AE381B"/>
    <w:rsid w:val="00AE3876"/>
    <w:rsid w:val="00AE38C9"/>
    <w:rsid w:val="00AE38E8"/>
    <w:rsid w:val="00AE3918"/>
    <w:rsid w:val="00AE39AA"/>
    <w:rsid w:val="00AE39E5"/>
    <w:rsid w:val="00AE3A68"/>
    <w:rsid w:val="00AE3AFD"/>
    <w:rsid w:val="00AE3BAE"/>
    <w:rsid w:val="00AE3BBC"/>
    <w:rsid w:val="00AE3C7D"/>
    <w:rsid w:val="00AE3D73"/>
    <w:rsid w:val="00AE3DFD"/>
    <w:rsid w:val="00AE3E31"/>
    <w:rsid w:val="00AE3E37"/>
    <w:rsid w:val="00AE3F05"/>
    <w:rsid w:val="00AE402B"/>
    <w:rsid w:val="00AE4057"/>
    <w:rsid w:val="00AE405F"/>
    <w:rsid w:val="00AE40EF"/>
    <w:rsid w:val="00AE4110"/>
    <w:rsid w:val="00AE412D"/>
    <w:rsid w:val="00AE4142"/>
    <w:rsid w:val="00AE4156"/>
    <w:rsid w:val="00AE4268"/>
    <w:rsid w:val="00AE4272"/>
    <w:rsid w:val="00AE429C"/>
    <w:rsid w:val="00AE4348"/>
    <w:rsid w:val="00AE438E"/>
    <w:rsid w:val="00AE43A0"/>
    <w:rsid w:val="00AE43E2"/>
    <w:rsid w:val="00AE4440"/>
    <w:rsid w:val="00AE4471"/>
    <w:rsid w:val="00AE449A"/>
    <w:rsid w:val="00AE44FE"/>
    <w:rsid w:val="00AE4530"/>
    <w:rsid w:val="00AE461F"/>
    <w:rsid w:val="00AE463F"/>
    <w:rsid w:val="00AE4641"/>
    <w:rsid w:val="00AE46A1"/>
    <w:rsid w:val="00AE46BD"/>
    <w:rsid w:val="00AE477E"/>
    <w:rsid w:val="00AE48D2"/>
    <w:rsid w:val="00AE491B"/>
    <w:rsid w:val="00AE4963"/>
    <w:rsid w:val="00AE49B6"/>
    <w:rsid w:val="00AE49C9"/>
    <w:rsid w:val="00AE4B34"/>
    <w:rsid w:val="00AE4C87"/>
    <w:rsid w:val="00AE4CF6"/>
    <w:rsid w:val="00AE4DE0"/>
    <w:rsid w:val="00AE4DF5"/>
    <w:rsid w:val="00AE4DFD"/>
    <w:rsid w:val="00AE4E18"/>
    <w:rsid w:val="00AE4E53"/>
    <w:rsid w:val="00AE4E96"/>
    <w:rsid w:val="00AE4E9C"/>
    <w:rsid w:val="00AE4EA2"/>
    <w:rsid w:val="00AE4F2E"/>
    <w:rsid w:val="00AE4F96"/>
    <w:rsid w:val="00AE502B"/>
    <w:rsid w:val="00AE5030"/>
    <w:rsid w:val="00AE5152"/>
    <w:rsid w:val="00AE51AC"/>
    <w:rsid w:val="00AE51B9"/>
    <w:rsid w:val="00AE521D"/>
    <w:rsid w:val="00AE528A"/>
    <w:rsid w:val="00AE52FF"/>
    <w:rsid w:val="00AE543C"/>
    <w:rsid w:val="00AE5494"/>
    <w:rsid w:val="00AE54BB"/>
    <w:rsid w:val="00AE5604"/>
    <w:rsid w:val="00AE57B7"/>
    <w:rsid w:val="00AE57C7"/>
    <w:rsid w:val="00AE5830"/>
    <w:rsid w:val="00AE5836"/>
    <w:rsid w:val="00AE5888"/>
    <w:rsid w:val="00AE5889"/>
    <w:rsid w:val="00AE58A2"/>
    <w:rsid w:val="00AE5941"/>
    <w:rsid w:val="00AE5965"/>
    <w:rsid w:val="00AE5969"/>
    <w:rsid w:val="00AE5A39"/>
    <w:rsid w:val="00AE5A90"/>
    <w:rsid w:val="00AE5ABB"/>
    <w:rsid w:val="00AE5AF4"/>
    <w:rsid w:val="00AE5B05"/>
    <w:rsid w:val="00AE5BF4"/>
    <w:rsid w:val="00AE5C2A"/>
    <w:rsid w:val="00AE5C92"/>
    <w:rsid w:val="00AE5D3F"/>
    <w:rsid w:val="00AE5E05"/>
    <w:rsid w:val="00AE5E66"/>
    <w:rsid w:val="00AE5EC1"/>
    <w:rsid w:val="00AE5F2E"/>
    <w:rsid w:val="00AE5F39"/>
    <w:rsid w:val="00AE5F6A"/>
    <w:rsid w:val="00AE5F70"/>
    <w:rsid w:val="00AE5FC4"/>
    <w:rsid w:val="00AE6016"/>
    <w:rsid w:val="00AE6041"/>
    <w:rsid w:val="00AE604F"/>
    <w:rsid w:val="00AE60DB"/>
    <w:rsid w:val="00AE6124"/>
    <w:rsid w:val="00AE6153"/>
    <w:rsid w:val="00AE6209"/>
    <w:rsid w:val="00AE6251"/>
    <w:rsid w:val="00AE6320"/>
    <w:rsid w:val="00AE634C"/>
    <w:rsid w:val="00AE63A4"/>
    <w:rsid w:val="00AE640B"/>
    <w:rsid w:val="00AE6429"/>
    <w:rsid w:val="00AE6533"/>
    <w:rsid w:val="00AE654C"/>
    <w:rsid w:val="00AE66EF"/>
    <w:rsid w:val="00AE674C"/>
    <w:rsid w:val="00AE67E4"/>
    <w:rsid w:val="00AE694D"/>
    <w:rsid w:val="00AE6954"/>
    <w:rsid w:val="00AE697F"/>
    <w:rsid w:val="00AE69BB"/>
    <w:rsid w:val="00AE69C4"/>
    <w:rsid w:val="00AE6A92"/>
    <w:rsid w:val="00AE6AC9"/>
    <w:rsid w:val="00AE6C11"/>
    <w:rsid w:val="00AE6C93"/>
    <w:rsid w:val="00AE6CAD"/>
    <w:rsid w:val="00AE6CFE"/>
    <w:rsid w:val="00AE6D04"/>
    <w:rsid w:val="00AE6D0F"/>
    <w:rsid w:val="00AE6D6E"/>
    <w:rsid w:val="00AE6DE1"/>
    <w:rsid w:val="00AE6E0D"/>
    <w:rsid w:val="00AE6E84"/>
    <w:rsid w:val="00AE6ECD"/>
    <w:rsid w:val="00AE7064"/>
    <w:rsid w:val="00AE7065"/>
    <w:rsid w:val="00AE70E5"/>
    <w:rsid w:val="00AE713B"/>
    <w:rsid w:val="00AE7341"/>
    <w:rsid w:val="00AE737D"/>
    <w:rsid w:val="00AE739B"/>
    <w:rsid w:val="00AE73AE"/>
    <w:rsid w:val="00AE73EC"/>
    <w:rsid w:val="00AE7479"/>
    <w:rsid w:val="00AE7481"/>
    <w:rsid w:val="00AE758E"/>
    <w:rsid w:val="00AE7597"/>
    <w:rsid w:val="00AE7758"/>
    <w:rsid w:val="00AE777E"/>
    <w:rsid w:val="00AE77A5"/>
    <w:rsid w:val="00AE7824"/>
    <w:rsid w:val="00AE784F"/>
    <w:rsid w:val="00AE7A17"/>
    <w:rsid w:val="00AE7A4F"/>
    <w:rsid w:val="00AE7A81"/>
    <w:rsid w:val="00AE7B71"/>
    <w:rsid w:val="00AE7C45"/>
    <w:rsid w:val="00AE7D63"/>
    <w:rsid w:val="00AE7E52"/>
    <w:rsid w:val="00AE7E75"/>
    <w:rsid w:val="00AE7F47"/>
    <w:rsid w:val="00AE7F4F"/>
    <w:rsid w:val="00AE7F59"/>
    <w:rsid w:val="00AE7FDA"/>
    <w:rsid w:val="00AF0164"/>
    <w:rsid w:val="00AF01A0"/>
    <w:rsid w:val="00AF01C0"/>
    <w:rsid w:val="00AF0207"/>
    <w:rsid w:val="00AF0236"/>
    <w:rsid w:val="00AF029D"/>
    <w:rsid w:val="00AF02BF"/>
    <w:rsid w:val="00AF02D5"/>
    <w:rsid w:val="00AF0356"/>
    <w:rsid w:val="00AF038B"/>
    <w:rsid w:val="00AF04B5"/>
    <w:rsid w:val="00AF0502"/>
    <w:rsid w:val="00AF0506"/>
    <w:rsid w:val="00AF0524"/>
    <w:rsid w:val="00AF05D5"/>
    <w:rsid w:val="00AF0600"/>
    <w:rsid w:val="00AF0629"/>
    <w:rsid w:val="00AF0644"/>
    <w:rsid w:val="00AF06AA"/>
    <w:rsid w:val="00AF06B1"/>
    <w:rsid w:val="00AF070D"/>
    <w:rsid w:val="00AF070E"/>
    <w:rsid w:val="00AF0711"/>
    <w:rsid w:val="00AF0730"/>
    <w:rsid w:val="00AF0741"/>
    <w:rsid w:val="00AF086C"/>
    <w:rsid w:val="00AF08DE"/>
    <w:rsid w:val="00AF08E1"/>
    <w:rsid w:val="00AF0912"/>
    <w:rsid w:val="00AF0985"/>
    <w:rsid w:val="00AF09D2"/>
    <w:rsid w:val="00AF0AB0"/>
    <w:rsid w:val="00AF0B34"/>
    <w:rsid w:val="00AF0BBF"/>
    <w:rsid w:val="00AF0BF7"/>
    <w:rsid w:val="00AF0C1F"/>
    <w:rsid w:val="00AF0C3B"/>
    <w:rsid w:val="00AF0C60"/>
    <w:rsid w:val="00AF0CD3"/>
    <w:rsid w:val="00AF0CED"/>
    <w:rsid w:val="00AF0D43"/>
    <w:rsid w:val="00AF0DCB"/>
    <w:rsid w:val="00AF0E0C"/>
    <w:rsid w:val="00AF0E32"/>
    <w:rsid w:val="00AF0E3F"/>
    <w:rsid w:val="00AF0EBE"/>
    <w:rsid w:val="00AF0EF4"/>
    <w:rsid w:val="00AF0F0D"/>
    <w:rsid w:val="00AF0F39"/>
    <w:rsid w:val="00AF0F70"/>
    <w:rsid w:val="00AF0F7F"/>
    <w:rsid w:val="00AF0FB6"/>
    <w:rsid w:val="00AF0FCB"/>
    <w:rsid w:val="00AF111D"/>
    <w:rsid w:val="00AF1180"/>
    <w:rsid w:val="00AF118E"/>
    <w:rsid w:val="00AF11E3"/>
    <w:rsid w:val="00AF1200"/>
    <w:rsid w:val="00AF120E"/>
    <w:rsid w:val="00AF1279"/>
    <w:rsid w:val="00AF1313"/>
    <w:rsid w:val="00AF137F"/>
    <w:rsid w:val="00AF140E"/>
    <w:rsid w:val="00AF143E"/>
    <w:rsid w:val="00AF162D"/>
    <w:rsid w:val="00AF1655"/>
    <w:rsid w:val="00AF16B3"/>
    <w:rsid w:val="00AF1763"/>
    <w:rsid w:val="00AF180E"/>
    <w:rsid w:val="00AF18B5"/>
    <w:rsid w:val="00AF18EF"/>
    <w:rsid w:val="00AF197E"/>
    <w:rsid w:val="00AF1996"/>
    <w:rsid w:val="00AF19A0"/>
    <w:rsid w:val="00AF1B5E"/>
    <w:rsid w:val="00AF1B92"/>
    <w:rsid w:val="00AF1C00"/>
    <w:rsid w:val="00AF1D18"/>
    <w:rsid w:val="00AF1E9F"/>
    <w:rsid w:val="00AF1F68"/>
    <w:rsid w:val="00AF1FF0"/>
    <w:rsid w:val="00AF2002"/>
    <w:rsid w:val="00AF20C0"/>
    <w:rsid w:val="00AF20E4"/>
    <w:rsid w:val="00AF2126"/>
    <w:rsid w:val="00AF2141"/>
    <w:rsid w:val="00AF2294"/>
    <w:rsid w:val="00AF2300"/>
    <w:rsid w:val="00AF2305"/>
    <w:rsid w:val="00AF2312"/>
    <w:rsid w:val="00AF233A"/>
    <w:rsid w:val="00AF239A"/>
    <w:rsid w:val="00AF23A6"/>
    <w:rsid w:val="00AF23D7"/>
    <w:rsid w:val="00AF2489"/>
    <w:rsid w:val="00AF24DD"/>
    <w:rsid w:val="00AF24E0"/>
    <w:rsid w:val="00AF2512"/>
    <w:rsid w:val="00AF2524"/>
    <w:rsid w:val="00AF2535"/>
    <w:rsid w:val="00AF2550"/>
    <w:rsid w:val="00AF2570"/>
    <w:rsid w:val="00AF2581"/>
    <w:rsid w:val="00AF25BE"/>
    <w:rsid w:val="00AF25D3"/>
    <w:rsid w:val="00AF260C"/>
    <w:rsid w:val="00AF2616"/>
    <w:rsid w:val="00AF2653"/>
    <w:rsid w:val="00AF2654"/>
    <w:rsid w:val="00AF274B"/>
    <w:rsid w:val="00AF2766"/>
    <w:rsid w:val="00AF27A5"/>
    <w:rsid w:val="00AF27E7"/>
    <w:rsid w:val="00AF27EA"/>
    <w:rsid w:val="00AF28A2"/>
    <w:rsid w:val="00AF293D"/>
    <w:rsid w:val="00AF294F"/>
    <w:rsid w:val="00AF29A9"/>
    <w:rsid w:val="00AF29B0"/>
    <w:rsid w:val="00AF29CB"/>
    <w:rsid w:val="00AF29DC"/>
    <w:rsid w:val="00AF2A3E"/>
    <w:rsid w:val="00AF2ACC"/>
    <w:rsid w:val="00AF2BAB"/>
    <w:rsid w:val="00AF2BD3"/>
    <w:rsid w:val="00AF2BF3"/>
    <w:rsid w:val="00AF2C10"/>
    <w:rsid w:val="00AF2CA1"/>
    <w:rsid w:val="00AF2CBD"/>
    <w:rsid w:val="00AF2DA9"/>
    <w:rsid w:val="00AF2DCD"/>
    <w:rsid w:val="00AF2E4B"/>
    <w:rsid w:val="00AF2EC6"/>
    <w:rsid w:val="00AF2F01"/>
    <w:rsid w:val="00AF2F29"/>
    <w:rsid w:val="00AF3076"/>
    <w:rsid w:val="00AF30D7"/>
    <w:rsid w:val="00AF31D8"/>
    <w:rsid w:val="00AF3273"/>
    <w:rsid w:val="00AF3283"/>
    <w:rsid w:val="00AF3296"/>
    <w:rsid w:val="00AF3390"/>
    <w:rsid w:val="00AF33FF"/>
    <w:rsid w:val="00AF3401"/>
    <w:rsid w:val="00AF341F"/>
    <w:rsid w:val="00AF34BA"/>
    <w:rsid w:val="00AF366B"/>
    <w:rsid w:val="00AF36B1"/>
    <w:rsid w:val="00AF382D"/>
    <w:rsid w:val="00AF3857"/>
    <w:rsid w:val="00AF38C1"/>
    <w:rsid w:val="00AF38D9"/>
    <w:rsid w:val="00AF397A"/>
    <w:rsid w:val="00AF39D8"/>
    <w:rsid w:val="00AF3A29"/>
    <w:rsid w:val="00AF3AE7"/>
    <w:rsid w:val="00AF3B34"/>
    <w:rsid w:val="00AF3BC6"/>
    <w:rsid w:val="00AF3BD9"/>
    <w:rsid w:val="00AF3C16"/>
    <w:rsid w:val="00AF3C4E"/>
    <w:rsid w:val="00AF3C7B"/>
    <w:rsid w:val="00AF3D21"/>
    <w:rsid w:val="00AF3D42"/>
    <w:rsid w:val="00AF3D4A"/>
    <w:rsid w:val="00AF3DE1"/>
    <w:rsid w:val="00AF3DE6"/>
    <w:rsid w:val="00AF3DEF"/>
    <w:rsid w:val="00AF3E23"/>
    <w:rsid w:val="00AF3E4B"/>
    <w:rsid w:val="00AF3F43"/>
    <w:rsid w:val="00AF3FA9"/>
    <w:rsid w:val="00AF4011"/>
    <w:rsid w:val="00AF410E"/>
    <w:rsid w:val="00AF412E"/>
    <w:rsid w:val="00AF41A2"/>
    <w:rsid w:val="00AF4256"/>
    <w:rsid w:val="00AF43A5"/>
    <w:rsid w:val="00AF43E6"/>
    <w:rsid w:val="00AF43FA"/>
    <w:rsid w:val="00AF441A"/>
    <w:rsid w:val="00AF443A"/>
    <w:rsid w:val="00AF44E2"/>
    <w:rsid w:val="00AF44EF"/>
    <w:rsid w:val="00AF4507"/>
    <w:rsid w:val="00AF456F"/>
    <w:rsid w:val="00AF4588"/>
    <w:rsid w:val="00AF459C"/>
    <w:rsid w:val="00AF45D9"/>
    <w:rsid w:val="00AF45F1"/>
    <w:rsid w:val="00AF462A"/>
    <w:rsid w:val="00AF4661"/>
    <w:rsid w:val="00AF46AF"/>
    <w:rsid w:val="00AF4765"/>
    <w:rsid w:val="00AF479F"/>
    <w:rsid w:val="00AF47DC"/>
    <w:rsid w:val="00AF482D"/>
    <w:rsid w:val="00AF4839"/>
    <w:rsid w:val="00AF488D"/>
    <w:rsid w:val="00AF4894"/>
    <w:rsid w:val="00AF48C3"/>
    <w:rsid w:val="00AF48DE"/>
    <w:rsid w:val="00AF4995"/>
    <w:rsid w:val="00AF4A12"/>
    <w:rsid w:val="00AF4A60"/>
    <w:rsid w:val="00AF4A6E"/>
    <w:rsid w:val="00AF4B26"/>
    <w:rsid w:val="00AF4B8E"/>
    <w:rsid w:val="00AF4BDF"/>
    <w:rsid w:val="00AF4C41"/>
    <w:rsid w:val="00AF4C51"/>
    <w:rsid w:val="00AF4D09"/>
    <w:rsid w:val="00AF4D48"/>
    <w:rsid w:val="00AF4D5D"/>
    <w:rsid w:val="00AF4D66"/>
    <w:rsid w:val="00AF4DD7"/>
    <w:rsid w:val="00AF4E1F"/>
    <w:rsid w:val="00AF4EBD"/>
    <w:rsid w:val="00AF4F20"/>
    <w:rsid w:val="00AF4F3B"/>
    <w:rsid w:val="00AF4FA9"/>
    <w:rsid w:val="00AF4FE7"/>
    <w:rsid w:val="00AF5029"/>
    <w:rsid w:val="00AF5066"/>
    <w:rsid w:val="00AF50D9"/>
    <w:rsid w:val="00AF50E1"/>
    <w:rsid w:val="00AF5109"/>
    <w:rsid w:val="00AF5130"/>
    <w:rsid w:val="00AF516C"/>
    <w:rsid w:val="00AF518B"/>
    <w:rsid w:val="00AF523F"/>
    <w:rsid w:val="00AF52B7"/>
    <w:rsid w:val="00AF5338"/>
    <w:rsid w:val="00AF5354"/>
    <w:rsid w:val="00AF5383"/>
    <w:rsid w:val="00AF53A1"/>
    <w:rsid w:val="00AF548A"/>
    <w:rsid w:val="00AF54A4"/>
    <w:rsid w:val="00AF54AA"/>
    <w:rsid w:val="00AF54D3"/>
    <w:rsid w:val="00AF54EC"/>
    <w:rsid w:val="00AF552A"/>
    <w:rsid w:val="00AF557A"/>
    <w:rsid w:val="00AF568F"/>
    <w:rsid w:val="00AF56F8"/>
    <w:rsid w:val="00AF56FC"/>
    <w:rsid w:val="00AF576F"/>
    <w:rsid w:val="00AF577B"/>
    <w:rsid w:val="00AF57AA"/>
    <w:rsid w:val="00AF580C"/>
    <w:rsid w:val="00AF5907"/>
    <w:rsid w:val="00AF5911"/>
    <w:rsid w:val="00AF5948"/>
    <w:rsid w:val="00AF5984"/>
    <w:rsid w:val="00AF59C6"/>
    <w:rsid w:val="00AF59F3"/>
    <w:rsid w:val="00AF5A0C"/>
    <w:rsid w:val="00AF5A79"/>
    <w:rsid w:val="00AF5A7F"/>
    <w:rsid w:val="00AF5A8F"/>
    <w:rsid w:val="00AF5AB5"/>
    <w:rsid w:val="00AF5B4D"/>
    <w:rsid w:val="00AF5B87"/>
    <w:rsid w:val="00AF5BD3"/>
    <w:rsid w:val="00AF5BDE"/>
    <w:rsid w:val="00AF5C43"/>
    <w:rsid w:val="00AF5C93"/>
    <w:rsid w:val="00AF5CFB"/>
    <w:rsid w:val="00AF5D2D"/>
    <w:rsid w:val="00AF5E27"/>
    <w:rsid w:val="00AF5ECB"/>
    <w:rsid w:val="00AF5EFE"/>
    <w:rsid w:val="00AF5FA4"/>
    <w:rsid w:val="00AF5FF1"/>
    <w:rsid w:val="00AF6046"/>
    <w:rsid w:val="00AF6074"/>
    <w:rsid w:val="00AF60D8"/>
    <w:rsid w:val="00AF60FE"/>
    <w:rsid w:val="00AF611C"/>
    <w:rsid w:val="00AF619E"/>
    <w:rsid w:val="00AF6224"/>
    <w:rsid w:val="00AF632F"/>
    <w:rsid w:val="00AF6395"/>
    <w:rsid w:val="00AF63D0"/>
    <w:rsid w:val="00AF6414"/>
    <w:rsid w:val="00AF6475"/>
    <w:rsid w:val="00AF6478"/>
    <w:rsid w:val="00AF650C"/>
    <w:rsid w:val="00AF6518"/>
    <w:rsid w:val="00AF655C"/>
    <w:rsid w:val="00AF6596"/>
    <w:rsid w:val="00AF65CB"/>
    <w:rsid w:val="00AF6649"/>
    <w:rsid w:val="00AF668B"/>
    <w:rsid w:val="00AF66F3"/>
    <w:rsid w:val="00AF67CE"/>
    <w:rsid w:val="00AF6820"/>
    <w:rsid w:val="00AF6844"/>
    <w:rsid w:val="00AF68E0"/>
    <w:rsid w:val="00AF6930"/>
    <w:rsid w:val="00AF695B"/>
    <w:rsid w:val="00AF6A43"/>
    <w:rsid w:val="00AF6BDD"/>
    <w:rsid w:val="00AF6C27"/>
    <w:rsid w:val="00AF6CCC"/>
    <w:rsid w:val="00AF6CE4"/>
    <w:rsid w:val="00AF6D25"/>
    <w:rsid w:val="00AF6D71"/>
    <w:rsid w:val="00AF6DA4"/>
    <w:rsid w:val="00AF6E4E"/>
    <w:rsid w:val="00AF6E99"/>
    <w:rsid w:val="00AF6EA4"/>
    <w:rsid w:val="00AF6FAC"/>
    <w:rsid w:val="00AF6FCE"/>
    <w:rsid w:val="00AF70DE"/>
    <w:rsid w:val="00AF710D"/>
    <w:rsid w:val="00AF7236"/>
    <w:rsid w:val="00AF72E3"/>
    <w:rsid w:val="00AF72FF"/>
    <w:rsid w:val="00AF7340"/>
    <w:rsid w:val="00AF7379"/>
    <w:rsid w:val="00AF738D"/>
    <w:rsid w:val="00AF73BA"/>
    <w:rsid w:val="00AF7466"/>
    <w:rsid w:val="00AF74B5"/>
    <w:rsid w:val="00AF7532"/>
    <w:rsid w:val="00AF7594"/>
    <w:rsid w:val="00AF75CF"/>
    <w:rsid w:val="00AF76D2"/>
    <w:rsid w:val="00AF7717"/>
    <w:rsid w:val="00AF7736"/>
    <w:rsid w:val="00AF7764"/>
    <w:rsid w:val="00AF77EB"/>
    <w:rsid w:val="00AF77F0"/>
    <w:rsid w:val="00AF781B"/>
    <w:rsid w:val="00AF7892"/>
    <w:rsid w:val="00AF79C0"/>
    <w:rsid w:val="00AF7B11"/>
    <w:rsid w:val="00AF7B32"/>
    <w:rsid w:val="00AF7BB9"/>
    <w:rsid w:val="00AF7C1B"/>
    <w:rsid w:val="00AF7C2C"/>
    <w:rsid w:val="00AF7C95"/>
    <w:rsid w:val="00AF7D31"/>
    <w:rsid w:val="00AF7D3C"/>
    <w:rsid w:val="00AF7D83"/>
    <w:rsid w:val="00AF7E1C"/>
    <w:rsid w:val="00AF7E52"/>
    <w:rsid w:val="00AF7E76"/>
    <w:rsid w:val="00AF7F1A"/>
    <w:rsid w:val="00AF7FB1"/>
    <w:rsid w:val="00AF7FC4"/>
    <w:rsid w:val="00AF7FCC"/>
    <w:rsid w:val="00B0003E"/>
    <w:rsid w:val="00B0003F"/>
    <w:rsid w:val="00B0008F"/>
    <w:rsid w:val="00B000E9"/>
    <w:rsid w:val="00B00140"/>
    <w:rsid w:val="00B001AD"/>
    <w:rsid w:val="00B00242"/>
    <w:rsid w:val="00B00243"/>
    <w:rsid w:val="00B00244"/>
    <w:rsid w:val="00B00246"/>
    <w:rsid w:val="00B0027D"/>
    <w:rsid w:val="00B002C5"/>
    <w:rsid w:val="00B002F3"/>
    <w:rsid w:val="00B0030D"/>
    <w:rsid w:val="00B0032D"/>
    <w:rsid w:val="00B0047B"/>
    <w:rsid w:val="00B004D0"/>
    <w:rsid w:val="00B004E3"/>
    <w:rsid w:val="00B0056C"/>
    <w:rsid w:val="00B0057E"/>
    <w:rsid w:val="00B0058E"/>
    <w:rsid w:val="00B005DB"/>
    <w:rsid w:val="00B0062A"/>
    <w:rsid w:val="00B0062F"/>
    <w:rsid w:val="00B00639"/>
    <w:rsid w:val="00B00696"/>
    <w:rsid w:val="00B006B6"/>
    <w:rsid w:val="00B006F3"/>
    <w:rsid w:val="00B0077F"/>
    <w:rsid w:val="00B007CB"/>
    <w:rsid w:val="00B00806"/>
    <w:rsid w:val="00B008D7"/>
    <w:rsid w:val="00B008EC"/>
    <w:rsid w:val="00B00934"/>
    <w:rsid w:val="00B00978"/>
    <w:rsid w:val="00B009C6"/>
    <w:rsid w:val="00B00A5A"/>
    <w:rsid w:val="00B00A90"/>
    <w:rsid w:val="00B00A91"/>
    <w:rsid w:val="00B00AB2"/>
    <w:rsid w:val="00B00C50"/>
    <w:rsid w:val="00B00D9A"/>
    <w:rsid w:val="00B00DA5"/>
    <w:rsid w:val="00B00DFB"/>
    <w:rsid w:val="00B00E36"/>
    <w:rsid w:val="00B00EE5"/>
    <w:rsid w:val="00B00F19"/>
    <w:rsid w:val="00B00F30"/>
    <w:rsid w:val="00B01071"/>
    <w:rsid w:val="00B0108F"/>
    <w:rsid w:val="00B010B2"/>
    <w:rsid w:val="00B010F1"/>
    <w:rsid w:val="00B01117"/>
    <w:rsid w:val="00B0114B"/>
    <w:rsid w:val="00B011BF"/>
    <w:rsid w:val="00B01366"/>
    <w:rsid w:val="00B013D4"/>
    <w:rsid w:val="00B01402"/>
    <w:rsid w:val="00B01581"/>
    <w:rsid w:val="00B015D5"/>
    <w:rsid w:val="00B01601"/>
    <w:rsid w:val="00B01611"/>
    <w:rsid w:val="00B0162D"/>
    <w:rsid w:val="00B01664"/>
    <w:rsid w:val="00B016FD"/>
    <w:rsid w:val="00B01770"/>
    <w:rsid w:val="00B017DB"/>
    <w:rsid w:val="00B017DF"/>
    <w:rsid w:val="00B01803"/>
    <w:rsid w:val="00B01939"/>
    <w:rsid w:val="00B01968"/>
    <w:rsid w:val="00B019AF"/>
    <w:rsid w:val="00B019F2"/>
    <w:rsid w:val="00B01A0A"/>
    <w:rsid w:val="00B01A24"/>
    <w:rsid w:val="00B01A62"/>
    <w:rsid w:val="00B01A63"/>
    <w:rsid w:val="00B01BBB"/>
    <w:rsid w:val="00B01BC4"/>
    <w:rsid w:val="00B01C05"/>
    <w:rsid w:val="00B01C14"/>
    <w:rsid w:val="00B01C9A"/>
    <w:rsid w:val="00B01D2D"/>
    <w:rsid w:val="00B01D52"/>
    <w:rsid w:val="00B01E51"/>
    <w:rsid w:val="00B01E6D"/>
    <w:rsid w:val="00B01EDB"/>
    <w:rsid w:val="00B01EFA"/>
    <w:rsid w:val="00B020A7"/>
    <w:rsid w:val="00B020D8"/>
    <w:rsid w:val="00B0210F"/>
    <w:rsid w:val="00B02132"/>
    <w:rsid w:val="00B021B0"/>
    <w:rsid w:val="00B0223B"/>
    <w:rsid w:val="00B022D9"/>
    <w:rsid w:val="00B02307"/>
    <w:rsid w:val="00B02466"/>
    <w:rsid w:val="00B0246D"/>
    <w:rsid w:val="00B0247C"/>
    <w:rsid w:val="00B026CE"/>
    <w:rsid w:val="00B027AD"/>
    <w:rsid w:val="00B02823"/>
    <w:rsid w:val="00B0284D"/>
    <w:rsid w:val="00B02879"/>
    <w:rsid w:val="00B02914"/>
    <w:rsid w:val="00B02923"/>
    <w:rsid w:val="00B029C8"/>
    <w:rsid w:val="00B02ACB"/>
    <w:rsid w:val="00B02B66"/>
    <w:rsid w:val="00B02C39"/>
    <w:rsid w:val="00B02C6D"/>
    <w:rsid w:val="00B02C80"/>
    <w:rsid w:val="00B02CDE"/>
    <w:rsid w:val="00B02D12"/>
    <w:rsid w:val="00B02E25"/>
    <w:rsid w:val="00B02E57"/>
    <w:rsid w:val="00B02EE5"/>
    <w:rsid w:val="00B02EED"/>
    <w:rsid w:val="00B02F3F"/>
    <w:rsid w:val="00B02FF1"/>
    <w:rsid w:val="00B03051"/>
    <w:rsid w:val="00B0305D"/>
    <w:rsid w:val="00B030C7"/>
    <w:rsid w:val="00B03182"/>
    <w:rsid w:val="00B031E7"/>
    <w:rsid w:val="00B031FE"/>
    <w:rsid w:val="00B03216"/>
    <w:rsid w:val="00B0333D"/>
    <w:rsid w:val="00B0339E"/>
    <w:rsid w:val="00B0341F"/>
    <w:rsid w:val="00B03473"/>
    <w:rsid w:val="00B03490"/>
    <w:rsid w:val="00B03497"/>
    <w:rsid w:val="00B034D6"/>
    <w:rsid w:val="00B03516"/>
    <w:rsid w:val="00B03558"/>
    <w:rsid w:val="00B03582"/>
    <w:rsid w:val="00B03742"/>
    <w:rsid w:val="00B03773"/>
    <w:rsid w:val="00B0378C"/>
    <w:rsid w:val="00B037EC"/>
    <w:rsid w:val="00B0380C"/>
    <w:rsid w:val="00B0398D"/>
    <w:rsid w:val="00B039EF"/>
    <w:rsid w:val="00B03A0D"/>
    <w:rsid w:val="00B03A14"/>
    <w:rsid w:val="00B03A3E"/>
    <w:rsid w:val="00B03A92"/>
    <w:rsid w:val="00B03ADA"/>
    <w:rsid w:val="00B03B24"/>
    <w:rsid w:val="00B03B31"/>
    <w:rsid w:val="00B03B85"/>
    <w:rsid w:val="00B03CED"/>
    <w:rsid w:val="00B03E03"/>
    <w:rsid w:val="00B03E82"/>
    <w:rsid w:val="00B03ECD"/>
    <w:rsid w:val="00B03EDA"/>
    <w:rsid w:val="00B03F0C"/>
    <w:rsid w:val="00B03F33"/>
    <w:rsid w:val="00B03F58"/>
    <w:rsid w:val="00B03FB2"/>
    <w:rsid w:val="00B0400E"/>
    <w:rsid w:val="00B0402E"/>
    <w:rsid w:val="00B04043"/>
    <w:rsid w:val="00B040B5"/>
    <w:rsid w:val="00B040D4"/>
    <w:rsid w:val="00B040FB"/>
    <w:rsid w:val="00B04119"/>
    <w:rsid w:val="00B0412E"/>
    <w:rsid w:val="00B04242"/>
    <w:rsid w:val="00B04287"/>
    <w:rsid w:val="00B0434B"/>
    <w:rsid w:val="00B04350"/>
    <w:rsid w:val="00B0438F"/>
    <w:rsid w:val="00B043C6"/>
    <w:rsid w:val="00B043E9"/>
    <w:rsid w:val="00B0448D"/>
    <w:rsid w:val="00B044BC"/>
    <w:rsid w:val="00B044EE"/>
    <w:rsid w:val="00B04582"/>
    <w:rsid w:val="00B045C9"/>
    <w:rsid w:val="00B0463A"/>
    <w:rsid w:val="00B04695"/>
    <w:rsid w:val="00B0469F"/>
    <w:rsid w:val="00B046CC"/>
    <w:rsid w:val="00B0470B"/>
    <w:rsid w:val="00B04895"/>
    <w:rsid w:val="00B048D9"/>
    <w:rsid w:val="00B048EC"/>
    <w:rsid w:val="00B04904"/>
    <w:rsid w:val="00B04939"/>
    <w:rsid w:val="00B0494C"/>
    <w:rsid w:val="00B049F4"/>
    <w:rsid w:val="00B04A2E"/>
    <w:rsid w:val="00B04B2D"/>
    <w:rsid w:val="00B04B32"/>
    <w:rsid w:val="00B04B5D"/>
    <w:rsid w:val="00B04B6A"/>
    <w:rsid w:val="00B04C01"/>
    <w:rsid w:val="00B04C16"/>
    <w:rsid w:val="00B04CED"/>
    <w:rsid w:val="00B04D40"/>
    <w:rsid w:val="00B04D4E"/>
    <w:rsid w:val="00B04DA2"/>
    <w:rsid w:val="00B04E09"/>
    <w:rsid w:val="00B04E1E"/>
    <w:rsid w:val="00B04E53"/>
    <w:rsid w:val="00B04EC7"/>
    <w:rsid w:val="00B04F52"/>
    <w:rsid w:val="00B04F55"/>
    <w:rsid w:val="00B04FC3"/>
    <w:rsid w:val="00B0506E"/>
    <w:rsid w:val="00B05095"/>
    <w:rsid w:val="00B05102"/>
    <w:rsid w:val="00B0513B"/>
    <w:rsid w:val="00B05152"/>
    <w:rsid w:val="00B051E0"/>
    <w:rsid w:val="00B0525C"/>
    <w:rsid w:val="00B0525D"/>
    <w:rsid w:val="00B05307"/>
    <w:rsid w:val="00B05355"/>
    <w:rsid w:val="00B0542E"/>
    <w:rsid w:val="00B054CB"/>
    <w:rsid w:val="00B0552E"/>
    <w:rsid w:val="00B0553F"/>
    <w:rsid w:val="00B05602"/>
    <w:rsid w:val="00B05685"/>
    <w:rsid w:val="00B056B1"/>
    <w:rsid w:val="00B0579A"/>
    <w:rsid w:val="00B057A3"/>
    <w:rsid w:val="00B057D3"/>
    <w:rsid w:val="00B0587C"/>
    <w:rsid w:val="00B05883"/>
    <w:rsid w:val="00B05884"/>
    <w:rsid w:val="00B0594F"/>
    <w:rsid w:val="00B059AA"/>
    <w:rsid w:val="00B059E3"/>
    <w:rsid w:val="00B05A6C"/>
    <w:rsid w:val="00B05ADC"/>
    <w:rsid w:val="00B05AEC"/>
    <w:rsid w:val="00B05B14"/>
    <w:rsid w:val="00B05B41"/>
    <w:rsid w:val="00B05B6C"/>
    <w:rsid w:val="00B05BFE"/>
    <w:rsid w:val="00B05C22"/>
    <w:rsid w:val="00B05C59"/>
    <w:rsid w:val="00B05C78"/>
    <w:rsid w:val="00B05D0E"/>
    <w:rsid w:val="00B05D22"/>
    <w:rsid w:val="00B05D56"/>
    <w:rsid w:val="00B05D67"/>
    <w:rsid w:val="00B05D85"/>
    <w:rsid w:val="00B05D8E"/>
    <w:rsid w:val="00B05DCC"/>
    <w:rsid w:val="00B05DF5"/>
    <w:rsid w:val="00B05E4B"/>
    <w:rsid w:val="00B05F0F"/>
    <w:rsid w:val="00B06091"/>
    <w:rsid w:val="00B060ED"/>
    <w:rsid w:val="00B06101"/>
    <w:rsid w:val="00B0614C"/>
    <w:rsid w:val="00B06219"/>
    <w:rsid w:val="00B0627B"/>
    <w:rsid w:val="00B062DF"/>
    <w:rsid w:val="00B06350"/>
    <w:rsid w:val="00B0635B"/>
    <w:rsid w:val="00B06371"/>
    <w:rsid w:val="00B06376"/>
    <w:rsid w:val="00B063C9"/>
    <w:rsid w:val="00B063CE"/>
    <w:rsid w:val="00B06578"/>
    <w:rsid w:val="00B06581"/>
    <w:rsid w:val="00B0660A"/>
    <w:rsid w:val="00B06671"/>
    <w:rsid w:val="00B0669C"/>
    <w:rsid w:val="00B066A1"/>
    <w:rsid w:val="00B066A9"/>
    <w:rsid w:val="00B066D1"/>
    <w:rsid w:val="00B06762"/>
    <w:rsid w:val="00B068A8"/>
    <w:rsid w:val="00B068CB"/>
    <w:rsid w:val="00B068D2"/>
    <w:rsid w:val="00B06919"/>
    <w:rsid w:val="00B0694A"/>
    <w:rsid w:val="00B06965"/>
    <w:rsid w:val="00B06AB9"/>
    <w:rsid w:val="00B06B39"/>
    <w:rsid w:val="00B06B77"/>
    <w:rsid w:val="00B06B79"/>
    <w:rsid w:val="00B06B88"/>
    <w:rsid w:val="00B06BA3"/>
    <w:rsid w:val="00B06BA6"/>
    <w:rsid w:val="00B06C26"/>
    <w:rsid w:val="00B06C6C"/>
    <w:rsid w:val="00B06DCE"/>
    <w:rsid w:val="00B06DF3"/>
    <w:rsid w:val="00B06E61"/>
    <w:rsid w:val="00B06E74"/>
    <w:rsid w:val="00B06EEA"/>
    <w:rsid w:val="00B06EEF"/>
    <w:rsid w:val="00B06F3A"/>
    <w:rsid w:val="00B06F99"/>
    <w:rsid w:val="00B06FDF"/>
    <w:rsid w:val="00B0707C"/>
    <w:rsid w:val="00B0712E"/>
    <w:rsid w:val="00B07137"/>
    <w:rsid w:val="00B071BD"/>
    <w:rsid w:val="00B0723E"/>
    <w:rsid w:val="00B07261"/>
    <w:rsid w:val="00B07333"/>
    <w:rsid w:val="00B073ED"/>
    <w:rsid w:val="00B0741A"/>
    <w:rsid w:val="00B07455"/>
    <w:rsid w:val="00B07497"/>
    <w:rsid w:val="00B074EF"/>
    <w:rsid w:val="00B0758C"/>
    <w:rsid w:val="00B075CF"/>
    <w:rsid w:val="00B075F2"/>
    <w:rsid w:val="00B07607"/>
    <w:rsid w:val="00B076C6"/>
    <w:rsid w:val="00B07749"/>
    <w:rsid w:val="00B07833"/>
    <w:rsid w:val="00B0784F"/>
    <w:rsid w:val="00B0787B"/>
    <w:rsid w:val="00B078A9"/>
    <w:rsid w:val="00B078B6"/>
    <w:rsid w:val="00B07920"/>
    <w:rsid w:val="00B07931"/>
    <w:rsid w:val="00B079EC"/>
    <w:rsid w:val="00B07AD7"/>
    <w:rsid w:val="00B07BB5"/>
    <w:rsid w:val="00B07C6E"/>
    <w:rsid w:val="00B07CAE"/>
    <w:rsid w:val="00B07CFB"/>
    <w:rsid w:val="00B07D0A"/>
    <w:rsid w:val="00B07D2B"/>
    <w:rsid w:val="00B07D67"/>
    <w:rsid w:val="00B07DBE"/>
    <w:rsid w:val="00B07E04"/>
    <w:rsid w:val="00B07E40"/>
    <w:rsid w:val="00B07E8C"/>
    <w:rsid w:val="00B07ECB"/>
    <w:rsid w:val="00B07EE6"/>
    <w:rsid w:val="00B07F44"/>
    <w:rsid w:val="00B07FC4"/>
    <w:rsid w:val="00B10052"/>
    <w:rsid w:val="00B10103"/>
    <w:rsid w:val="00B1013A"/>
    <w:rsid w:val="00B10217"/>
    <w:rsid w:val="00B1021C"/>
    <w:rsid w:val="00B102A2"/>
    <w:rsid w:val="00B102CE"/>
    <w:rsid w:val="00B102F5"/>
    <w:rsid w:val="00B103DA"/>
    <w:rsid w:val="00B1047F"/>
    <w:rsid w:val="00B104D0"/>
    <w:rsid w:val="00B10502"/>
    <w:rsid w:val="00B10507"/>
    <w:rsid w:val="00B10559"/>
    <w:rsid w:val="00B1055E"/>
    <w:rsid w:val="00B10568"/>
    <w:rsid w:val="00B105C2"/>
    <w:rsid w:val="00B1067E"/>
    <w:rsid w:val="00B1069A"/>
    <w:rsid w:val="00B106B2"/>
    <w:rsid w:val="00B106EA"/>
    <w:rsid w:val="00B106F1"/>
    <w:rsid w:val="00B10729"/>
    <w:rsid w:val="00B107CD"/>
    <w:rsid w:val="00B107D2"/>
    <w:rsid w:val="00B107F0"/>
    <w:rsid w:val="00B10820"/>
    <w:rsid w:val="00B1091D"/>
    <w:rsid w:val="00B10967"/>
    <w:rsid w:val="00B10979"/>
    <w:rsid w:val="00B1099F"/>
    <w:rsid w:val="00B109A7"/>
    <w:rsid w:val="00B109D6"/>
    <w:rsid w:val="00B109EA"/>
    <w:rsid w:val="00B10A46"/>
    <w:rsid w:val="00B10A83"/>
    <w:rsid w:val="00B10B84"/>
    <w:rsid w:val="00B10B88"/>
    <w:rsid w:val="00B10CB2"/>
    <w:rsid w:val="00B10CEE"/>
    <w:rsid w:val="00B10DB0"/>
    <w:rsid w:val="00B10DD8"/>
    <w:rsid w:val="00B10E44"/>
    <w:rsid w:val="00B10F18"/>
    <w:rsid w:val="00B10F73"/>
    <w:rsid w:val="00B10FCE"/>
    <w:rsid w:val="00B10FE9"/>
    <w:rsid w:val="00B11008"/>
    <w:rsid w:val="00B1107D"/>
    <w:rsid w:val="00B110D7"/>
    <w:rsid w:val="00B1113C"/>
    <w:rsid w:val="00B11176"/>
    <w:rsid w:val="00B111C5"/>
    <w:rsid w:val="00B1158B"/>
    <w:rsid w:val="00B115AB"/>
    <w:rsid w:val="00B11603"/>
    <w:rsid w:val="00B1163B"/>
    <w:rsid w:val="00B11659"/>
    <w:rsid w:val="00B11661"/>
    <w:rsid w:val="00B11674"/>
    <w:rsid w:val="00B11679"/>
    <w:rsid w:val="00B1167E"/>
    <w:rsid w:val="00B116CE"/>
    <w:rsid w:val="00B11738"/>
    <w:rsid w:val="00B1178A"/>
    <w:rsid w:val="00B11790"/>
    <w:rsid w:val="00B11882"/>
    <w:rsid w:val="00B118A7"/>
    <w:rsid w:val="00B118D6"/>
    <w:rsid w:val="00B119B7"/>
    <w:rsid w:val="00B119DF"/>
    <w:rsid w:val="00B11A03"/>
    <w:rsid w:val="00B11A60"/>
    <w:rsid w:val="00B11A81"/>
    <w:rsid w:val="00B11ADD"/>
    <w:rsid w:val="00B11BE3"/>
    <w:rsid w:val="00B11C3F"/>
    <w:rsid w:val="00B11C49"/>
    <w:rsid w:val="00B11D60"/>
    <w:rsid w:val="00B11E06"/>
    <w:rsid w:val="00B11E4D"/>
    <w:rsid w:val="00B11E4F"/>
    <w:rsid w:val="00B11F71"/>
    <w:rsid w:val="00B11F80"/>
    <w:rsid w:val="00B11FF5"/>
    <w:rsid w:val="00B12031"/>
    <w:rsid w:val="00B120A2"/>
    <w:rsid w:val="00B121F4"/>
    <w:rsid w:val="00B121F9"/>
    <w:rsid w:val="00B122B2"/>
    <w:rsid w:val="00B122D0"/>
    <w:rsid w:val="00B122F7"/>
    <w:rsid w:val="00B12306"/>
    <w:rsid w:val="00B123A3"/>
    <w:rsid w:val="00B123C1"/>
    <w:rsid w:val="00B1241D"/>
    <w:rsid w:val="00B12606"/>
    <w:rsid w:val="00B126BC"/>
    <w:rsid w:val="00B127D3"/>
    <w:rsid w:val="00B127E7"/>
    <w:rsid w:val="00B127FB"/>
    <w:rsid w:val="00B12811"/>
    <w:rsid w:val="00B12836"/>
    <w:rsid w:val="00B12890"/>
    <w:rsid w:val="00B128C9"/>
    <w:rsid w:val="00B12947"/>
    <w:rsid w:val="00B12AE8"/>
    <w:rsid w:val="00B12BB0"/>
    <w:rsid w:val="00B12C63"/>
    <w:rsid w:val="00B12C65"/>
    <w:rsid w:val="00B12C8E"/>
    <w:rsid w:val="00B12D00"/>
    <w:rsid w:val="00B12D4B"/>
    <w:rsid w:val="00B12DAF"/>
    <w:rsid w:val="00B12E1C"/>
    <w:rsid w:val="00B12E33"/>
    <w:rsid w:val="00B12EC1"/>
    <w:rsid w:val="00B12EDA"/>
    <w:rsid w:val="00B12EF2"/>
    <w:rsid w:val="00B12F8C"/>
    <w:rsid w:val="00B12FA6"/>
    <w:rsid w:val="00B12FB0"/>
    <w:rsid w:val="00B130DB"/>
    <w:rsid w:val="00B130F7"/>
    <w:rsid w:val="00B131BB"/>
    <w:rsid w:val="00B131C0"/>
    <w:rsid w:val="00B1321F"/>
    <w:rsid w:val="00B133E0"/>
    <w:rsid w:val="00B13447"/>
    <w:rsid w:val="00B134A9"/>
    <w:rsid w:val="00B134AA"/>
    <w:rsid w:val="00B134BF"/>
    <w:rsid w:val="00B1354F"/>
    <w:rsid w:val="00B13554"/>
    <w:rsid w:val="00B13578"/>
    <w:rsid w:val="00B13579"/>
    <w:rsid w:val="00B135C9"/>
    <w:rsid w:val="00B13670"/>
    <w:rsid w:val="00B13774"/>
    <w:rsid w:val="00B137C3"/>
    <w:rsid w:val="00B138C5"/>
    <w:rsid w:val="00B138E3"/>
    <w:rsid w:val="00B139AA"/>
    <w:rsid w:val="00B13A89"/>
    <w:rsid w:val="00B13BC7"/>
    <w:rsid w:val="00B13BEE"/>
    <w:rsid w:val="00B13C7B"/>
    <w:rsid w:val="00B13C8C"/>
    <w:rsid w:val="00B13CB7"/>
    <w:rsid w:val="00B13CC4"/>
    <w:rsid w:val="00B13DBC"/>
    <w:rsid w:val="00B13E8B"/>
    <w:rsid w:val="00B13ED5"/>
    <w:rsid w:val="00B13FB0"/>
    <w:rsid w:val="00B13FB7"/>
    <w:rsid w:val="00B13FBA"/>
    <w:rsid w:val="00B13FFF"/>
    <w:rsid w:val="00B14073"/>
    <w:rsid w:val="00B14128"/>
    <w:rsid w:val="00B14141"/>
    <w:rsid w:val="00B14198"/>
    <w:rsid w:val="00B1421F"/>
    <w:rsid w:val="00B142ED"/>
    <w:rsid w:val="00B1431C"/>
    <w:rsid w:val="00B14325"/>
    <w:rsid w:val="00B143E8"/>
    <w:rsid w:val="00B144B5"/>
    <w:rsid w:val="00B14516"/>
    <w:rsid w:val="00B1456D"/>
    <w:rsid w:val="00B1457C"/>
    <w:rsid w:val="00B146C4"/>
    <w:rsid w:val="00B146CE"/>
    <w:rsid w:val="00B14744"/>
    <w:rsid w:val="00B14749"/>
    <w:rsid w:val="00B14758"/>
    <w:rsid w:val="00B147F0"/>
    <w:rsid w:val="00B148B5"/>
    <w:rsid w:val="00B14903"/>
    <w:rsid w:val="00B149FF"/>
    <w:rsid w:val="00B14A0A"/>
    <w:rsid w:val="00B14A7E"/>
    <w:rsid w:val="00B14A9C"/>
    <w:rsid w:val="00B14B3C"/>
    <w:rsid w:val="00B14C5D"/>
    <w:rsid w:val="00B14CAF"/>
    <w:rsid w:val="00B14D3E"/>
    <w:rsid w:val="00B14D92"/>
    <w:rsid w:val="00B14DA0"/>
    <w:rsid w:val="00B14DC3"/>
    <w:rsid w:val="00B14E0A"/>
    <w:rsid w:val="00B14EA2"/>
    <w:rsid w:val="00B15070"/>
    <w:rsid w:val="00B1512B"/>
    <w:rsid w:val="00B152A0"/>
    <w:rsid w:val="00B152A5"/>
    <w:rsid w:val="00B152DB"/>
    <w:rsid w:val="00B15340"/>
    <w:rsid w:val="00B1534C"/>
    <w:rsid w:val="00B15428"/>
    <w:rsid w:val="00B154AD"/>
    <w:rsid w:val="00B15533"/>
    <w:rsid w:val="00B15592"/>
    <w:rsid w:val="00B155B7"/>
    <w:rsid w:val="00B15689"/>
    <w:rsid w:val="00B15711"/>
    <w:rsid w:val="00B157B4"/>
    <w:rsid w:val="00B157F8"/>
    <w:rsid w:val="00B1588C"/>
    <w:rsid w:val="00B158A1"/>
    <w:rsid w:val="00B158A4"/>
    <w:rsid w:val="00B15963"/>
    <w:rsid w:val="00B15B3A"/>
    <w:rsid w:val="00B15B3F"/>
    <w:rsid w:val="00B15BDE"/>
    <w:rsid w:val="00B15E36"/>
    <w:rsid w:val="00B15E52"/>
    <w:rsid w:val="00B15FA8"/>
    <w:rsid w:val="00B16053"/>
    <w:rsid w:val="00B160B4"/>
    <w:rsid w:val="00B160CA"/>
    <w:rsid w:val="00B161DC"/>
    <w:rsid w:val="00B162CD"/>
    <w:rsid w:val="00B163A6"/>
    <w:rsid w:val="00B16533"/>
    <w:rsid w:val="00B165ED"/>
    <w:rsid w:val="00B16600"/>
    <w:rsid w:val="00B166C5"/>
    <w:rsid w:val="00B16756"/>
    <w:rsid w:val="00B16762"/>
    <w:rsid w:val="00B1687F"/>
    <w:rsid w:val="00B168DC"/>
    <w:rsid w:val="00B1695D"/>
    <w:rsid w:val="00B169BD"/>
    <w:rsid w:val="00B169E2"/>
    <w:rsid w:val="00B16ADB"/>
    <w:rsid w:val="00B16B87"/>
    <w:rsid w:val="00B16C22"/>
    <w:rsid w:val="00B16C26"/>
    <w:rsid w:val="00B16CF8"/>
    <w:rsid w:val="00B16D31"/>
    <w:rsid w:val="00B16DB7"/>
    <w:rsid w:val="00B16DBD"/>
    <w:rsid w:val="00B16DD3"/>
    <w:rsid w:val="00B16DD4"/>
    <w:rsid w:val="00B16DF3"/>
    <w:rsid w:val="00B16E51"/>
    <w:rsid w:val="00B16EB4"/>
    <w:rsid w:val="00B17026"/>
    <w:rsid w:val="00B170D9"/>
    <w:rsid w:val="00B1717D"/>
    <w:rsid w:val="00B17180"/>
    <w:rsid w:val="00B171DF"/>
    <w:rsid w:val="00B1720D"/>
    <w:rsid w:val="00B1727C"/>
    <w:rsid w:val="00B172A5"/>
    <w:rsid w:val="00B1730B"/>
    <w:rsid w:val="00B1731B"/>
    <w:rsid w:val="00B17391"/>
    <w:rsid w:val="00B17403"/>
    <w:rsid w:val="00B17459"/>
    <w:rsid w:val="00B174B8"/>
    <w:rsid w:val="00B17616"/>
    <w:rsid w:val="00B17690"/>
    <w:rsid w:val="00B176FE"/>
    <w:rsid w:val="00B17761"/>
    <w:rsid w:val="00B17764"/>
    <w:rsid w:val="00B177A5"/>
    <w:rsid w:val="00B17853"/>
    <w:rsid w:val="00B17861"/>
    <w:rsid w:val="00B1793A"/>
    <w:rsid w:val="00B1796F"/>
    <w:rsid w:val="00B179E1"/>
    <w:rsid w:val="00B179FB"/>
    <w:rsid w:val="00B17A5B"/>
    <w:rsid w:val="00B17C42"/>
    <w:rsid w:val="00B17D7B"/>
    <w:rsid w:val="00B17DB0"/>
    <w:rsid w:val="00B17DBB"/>
    <w:rsid w:val="00B17DF5"/>
    <w:rsid w:val="00B17E3B"/>
    <w:rsid w:val="00B17E8A"/>
    <w:rsid w:val="00B17EC7"/>
    <w:rsid w:val="00B17EF4"/>
    <w:rsid w:val="00B17F2E"/>
    <w:rsid w:val="00B17F51"/>
    <w:rsid w:val="00B17FD1"/>
    <w:rsid w:val="00B20214"/>
    <w:rsid w:val="00B20246"/>
    <w:rsid w:val="00B20288"/>
    <w:rsid w:val="00B203BA"/>
    <w:rsid w:val="00B203D9"/>
    <w:rsid w:val="00B2047C"/>
    <w:rsid w:val="00B204EB"/>
    <w:rsid w:val="00B20513"/>
    <w:rsid w:val="00B205CA"/>
    <w:rsid w:val="00B205EF"/>
    <w:rsid w:val="00B20648"/>
    <w:rsid w:val="00B2066B"/>
    <w:rsid w:val="00B2068F"/>
    <w:rsid w:val="00B206D2"/>
    <w:rsid w:val="00B206E8"/>
    <w:rsid w:val="00B206F1"/>
    <w:rsid w:val="00B20717"/>
    <w:rsid w:val="00B20745"/>
    <w:rsid w:val="00B2078B"/>
    <w:rsid w:val="00B2080D"/>
    <w:rsid w:val="00B20827"/>
    <w:rsid w:val="00B20870"/>
    <w:rsid w:val="00B2092B"/>
    <w:rsid w:val="00B2094E"/>
    <w:rsid w:val="00B20A24"/>
    <w:rsid w:val="00B20A31"/>
    <w:rsid w:val="00B20AE4"/>
    <w:rsid w:val="00B20AE5"/>
    <w:rsid w:val="00B20B07"/>
    <w:rsid w:val="00B20B4F"/>
    <w:rsid w:val="00B20BDD"/>
    <w:rsid w:val="00B20C21"/>
    <w:rsid w:val="00B20CB0"/>
    <w:rsid w:val="00B20E3C"/>
    <w:rsid w:val="00B20E51"/>
    <w:rsid w:val="00B21022"/>
    <w:rsid w:val="00B211BE"/>
    <w:rsid w:val="00B21273"/>
    <w:rsid w:val="00B21306"/>
    <w:rsid w:val="00B21342"/>
    <w:rsid w:val="00B213E5"/>
    <w:rsid w:val="00B213FA"/>
    <w:rsid w:val="00B2153F"/>
    <w:rsid w:val="00B2157E"/>
    <w:rsid w:val="00B21594"/>
    <w:rsid w:val="00B21659"/>
    <w:rsid w:val="00B216C9"/>
    <w:rsid w:val="00B21819"/>
    <w:rsid w:val="00B21909"/>
    <w:rsid w:val="00B21913"/>
    <w:rsid w:val="00B21915"/>
    <w:rsid w:val="00B219FF"/>
    <w:rsid w:val="00B21A77"/>
    <w:rsid w:val="00B21AF4"/>
    <w:rsid w:val="00B21B92"/>
    <w:rsid w:val="00B21C4D"/>
    <w:rsid w:val="00B21C58"/>
    <w:rsid w:val="00B21C90"/>
    <w:rsid w:val="00B21CD1"/>
    <w:rsid w:val="00B21D0B"/>
    <w:rsid w:val="00B21D2C"/>
    <w:rsid w:val="00B21DE2"/>
    <w:rsid w:val="00B21E40"/>
    <w:rsid w:val="00B21E5F"/>
    <w:rsid w:val="00B21E8B"/>
    <w:rsid w:val="00B21E93"/>
    <w:rsid w:val="00B21ECB"/>
    <w:rsid w:val="00B21EDB"/>
    <w:rsid w:val="00B21F32"/>
    <w:rsid w:val="00B22055"/>
    <w:rsid w:val="00B221D5"/>
    <w:rsid w:val="00B22249"/>
    <w:rsid w:val="00B22414"/>
    <w:rsid w:val="00B224A5"/>
    <w:rsid w:val="00B225A4"/>
    <w:rsid w:val="00B225E1"/>
    <w:rsid w:val="00B226F4"/>
    <w:rsid w:val="00B22743"/>
    <w:rsid w:val="00B22750"/>
    <w:rsid w:val="00B2275F"/>
    <w:rsid w:val="00B22788"/>
    <w:rsid w:val="00B227B2"/>
    <w:rsid w:val="00B228A7"/>
    <w:rsid w:val="00B228CD"/>
    <w:rsid w:val="00B22918"/>
    <w:rsid w:val="00B2292B"/>
    <w:rsid w:val="00B22982"/>
    <w:rsid w:val="00B22AA3"/>
    <w:rsid w:val="00B22AC9"/>
    <w:rsid w:val="00B22AD2"/>
    <w:rsid w:val="00B22B34"/>
    <w:rsid w:val="00B22BB7"/>
    <w:rsid w:val="00B22CB0"/>
    <w:rsid w:val="00B22D51"/>
    <w:rsid w:val="00B22DD3"/>
    <w:rsid w:val="00B22E5A"/>
    <w:rsid w:val="00B22F20"/>
    <w:rsid w:val="00B22F87"/>
    <w:rsid w:val="00B2301F"/>
    <w:rsid w:val="00B23030"/>
    <w:rsid w:val="00B2314F"/>
    <w:rsid w:val="00B231BD"/>
    <w:rsid w:val="00B23258"/>
    <w:rsid w:val="00B232D2"/>
    <w:rsid w:val="00B23364"/>
    <w:rsid w:val="00B23390"/>
    <w:rsid w:val="00B23397"/>
    <w:rsid w:val="00B23430"/>
    <w:rsid w:val="00B2347E"/>
    <w:rsid w:val="00B234C3"/>
    <w:rsid w:val="00B234C7"/>
    <w:rsid w:val="00B23585"/>
    <w:rsid w:val="00B235E6"/>
    <w:rsid w:val="00B23603"/>
    <w:rsid w:val="00B2362B"/>
    <w:rsid w:val="00B23674"/>
    <w:rsid w:val="00B236AD"/>
    <w:rsid w:val="00B23840"/>
    <w:rsid w:val="00B23881"/>
    <w:rsid w:val="00B238A2"/>
    <w:rsid w:val="00B2391D"/>
    <w:rsid w:val="00B23921"/>
    <w:rsid w:val="00B23944"/>
    <w:rsid w:val="00B239BF"/>
    <w:rsid w:val="00B239EE"/>
    <w:rsid w:val="00B23A11"/>
    <w:rsid w:val="00B23AB9"/>
    <w:rsid w:val="00B23B62"/>
    <w:rsid w:val="00B23BB2"/>
    <w:rsid w:val="00B23BDA"/>
    <w:rsid w:val="00B23BDB"/>
    <w:rsid w:val="00B23BF8"/>
    <w:rsid w:val="00B23C97"/>
    <w:rsid w:val="00B23D17"/>
    <w:rsid w:val="00B23DDC"/>
    <w:rsid w:val="00B23E0F"/>
    <w:rsid w:val="00B23F0D"/>
    <w:rsid w:val="00B23F46"/>
    <w:rsid w:val="00B23F55"/>
    <w:rsid w:val="00B23F8E"/>
    <w:rsid w:val="00B23FDA"/>
    <w:rsid w:val="00B2413C"/>
    <w:rsid w:val="00B2419F"/>
    <w:rsid w:val="00B24251"/>
    <w:rsid w:val="00B2433A"/>
    <w:rsid w:val="00B24397"/>
    <w:rsid w:val="00B2447B"/>
    <w:rsid w:val="00B244E5"/>
    <w:rsid w:val="00B244E7"/>
    <w:rsid w:val="00B244F4"/>
    <w:rsid w:val="00B24541"/>
    <w:rsid w:val="00B2456D"/>
    <w:rsid w:val="00B245C6"/>
    <w:rsid w:val="00B245CE"/>
    <w:rsid w:val="00B245D2"/>
    <w:rsid w:val="00B247E5"/>
    <w:rsid w:val="00B24810"/>
    <w:rsid w:val="00B24877"/>
    <w:rsid w:val="00B24893"/>
    <w:rsid w:val="00B248A3"/>
    <w:rsid w:val="00B248DD"/>
    <w:rsid w:val="00B24943"/>
    <w:rsid w:val="00B249A3"/>
    <w:rsid w:val="00B249AC"/>
    <w:rsid w:val="00B24A6F"/>
    <w:rsid w:val="00B24C2B"/>
    <w:rsid w:val="00B24C6D"/>
    <w:rsid w:val="00B24C71"/>
    <w:rsid w:val="00B24D9A"/>
    <w:rsid w:val="00B24DA7"/>
    <w:rsid w:val="00B24DF2"/>
    <w:rsid w:val="00B24EFB"/>
    <w:rsid w:val="00B24F9C"/>
    <w:rsid w:val="00B24F9D"/>
    <w:rsid w:val="00B24FDC"/>
    <w:rsid w:val="00B25078"/>
    <w:rsid w:val="00B250E1"/>
    <w:rsid w:val="00B250F0"/>
    <w:rsid w:val="00B25100"/>
    <w:rsid w:val="00B2517A"/>
    <w:rsid w:val="00B251E2"/>
    <w:rsid w:val="00B251E6"/>
    <w:rsid w:val="00B25219"/>
    <w:rsid w:val="00B25246"/>
    <w:rsid w:val="00B252C0"/>
    <w:rsid w:val="00B252D6"/>
    <w:rsid w:val="00B25383"/>
    <w:rsid w:val="00B253E0"/>
    <w:rsid w:val="00B25415"/>
    <w:rsid w:val="00B254FB"/>
    <w:rsid w:val="00B2551D"/>
    <w:rsid w:val="00B25591"/>
    <w:rsid w:val="00B25592"/>
    <w:rsid w:val="00B255A9"/>
    <w:rsid w:val="00B255AF"/>
    <w:rsid w:val="00B255D4"/>
    <w:rsid w:val="00B2561D"/>
    <w:rsid w:val="00B25639"/>
    <w:rsid w:val="00B256B6"/>
    <w:rsid w:val="00B2572E"/>
    <w:rsid w:val="00B25772"/>
    <w:rsid w:val="00B257BB"/>
    <w:rsid w:val="00B25935"/>
    <w:rsid w:val="00B25AB0"/>
    <w:rsid w:val="00B25AFD"/>
    <w:rsid w:val="00B25B41"/>
    <w:rsid w:val="00B25BFD"/>
    <w:rsid w:val="00B25C5B"/>
    <w:rsid w:val="00B25C7C"/>
    <w:rsid w:val="00B25CE7"/>
    <w:rsid w:val="00B25CF7"/>
    <w:rsid w:val="00B25D63"/>
    <w:rsid w:val="00B25E90"/>
    <w:rsid w:val="00B25F77"/>
    <w:rsid w:val="00B25F7F"/>
    <w:rsid w:val="00B25F95"/>
    <w:rsid w:val="00B25FB2"/>
    <w:rsid w:val="00B25FC7"/>
    <w:rsid w:val="00B25FF0"/>
    <w:rsid w:val="00B26077"/>
    <w:rsid w:val="00B2607F"/>
    <w:rsid w:val="00B261B4"/>
    <w:rsid w:val="00B261C0"/>
    <w:rsid w:val="00B261DB"/>
    <w:rsid w:val="00B2633F"/>
    <w:rsid w:val="00B26394"/>
    <w:rsid w:val="00B263E3"/>
    <w:rsid w:val="00B2646E"/>
    <w:rsid w:val="00B264A0"/>
    <w:rsid w:val="00B2650C"/>
    <w:rsid w:val="00B2657A"/>
    <w:rsid w:val="00B265A8"/>
    <w:rsid w:val="00B2664E"/>
    <w:rsid w:val="00B266AC"/>
    <w:rsid w:val="00B26735"/>
    <w:rsid w:val="00B26742"/>
    <w:rsid w:val="00B26769"/>
    <w:rsid w:val="00B2677D"/>
    <w:rsid w:val="00B26899"/>
    <w:rsid w:val="00B26915"/>
    <w:rsid w:val="00B26918"/>
    <w:rsid w:val="00B269C0"/>
    <w:rsid w:val="00B26A52"/>
    <w:rsid w:val="00B26A69"/>
    <w:rsid w:val="00B26AA4"/>
    <w:rsid w:val="00B26AC8"/>
    <w:rsid w:val="00B26B98"/>
    <w:rsid w:val="00B26BA1"/>
    <w:rsid w:val="00B26BE0"/>
    <w:rsid w:val="00B26C43"/>
    <w:rsid w:val="00B26C7C"/>
    <w:rsid w:val="00B26C7D"/>
    <w:rsid w:val="00B26C8D"/>
    <w:rsid w:val="00B26D5A"/>
    <w:rsid w:val="00B26E23"/>
    <w:rsid w:val="00B26E2E"/>
    <w:rsid w:val="00B26E6F"/>
    <w:rsid w:val="00B26E81"/>
    <w:rsid w:val="00B26E93"/>
    <w:rsid w:val="00B26EC9"/>
    <w:rsid w:val="00B26EFD"/>
    <w:rsid w:val="00B26F1F"/>
    <w:rsid w:val="00B26F35"/>
    <w:rsid w:val="00B26F41"/>
    <w:rsid w:val="00B26FA4"/>
    <w:rsid w:val="00B26FF6"/>
    <w:rsid w:val="00B27089"/>
    <w:rsid w:val="00B27164"/>
    <w:rsid w:val="00B271D8"/>
    <w:rsid w:val="00B27316"/>
    <w:rsid w:val="00B27332"/>
    <w:rsid w:val="00B2736C"/>
    <w:rsid w:val="00B27383"/>
    <w:rsid w:val="00B273C7"/>
    <w:rsid w:val="00B273F6"/>
    <w:rsid w:val="00B2744D"/>
    <w:rsid w:val="00B27454"/>
    <w:rsid w:val="00B274DA"/>
    <w:rsid w:val="00B27522"/>
    <w:rsid w:val="00B2754D"/>
    <w:rsid w:val="00B27613"/>
    <w:rsid w:val="00B2761F"/>
    <w:rsid w:val="00B27721"/>
    <w:rsid w:val="00B27745"/>
    <w:rsid w:val="00B2777F"/>
    <w:rsid w:val="00B277F0"/>
    <w:rsid w:val="00B2780E"/>
    <w:rsid w:val="00B2782D"/>
    <w:rsid w:val="00B27854"/>
    <w:rsid w:val="00B27919"/>
    <w:rsid w:val="00B27975"/>
    <w:rsid w:val="00B279BA"/>
    <w:rsid w:val="00B279DD"/>
    <w:rsid w:val="00B27A8E"/>
    <w:rsid w:val="00B27B07"/>
    <w:rsid w:val="00B27B3E"/>
    <w:rsid w:val="00B27B5A"/>
    <w:rsid w:val="00B27B87"/>
    <w:rsid w:val="00B27D1B"/>
    <w:rsid w:val="00B27DC8"/>
    <w:rsid w:val="00B27F71"/>
    <w:rsid w:val="00B27FD9"/>
    <w:rsid w:val="00B30000"/>
    <w:rsid w:val="00B30073"/>
    <w:rsid w:val="00B30096"/>
    <w:rsid w:val="00B30149"/>
    <w:rsid w:val="00B30151"/>
    <w:rsid w:val="00B3026C"/>
    <w:rsid w:val="00B3026E"/>
    <w:rsid w:val="00B3028F"/>
    <w:rsid w:val="00B302F6"/>
    <w:rsid w:val="00B302FA"/>
    <w:rsid w:val="00B30314"/>
    <w:rsid w:val="00B30334"/>
    <w:rsid w:val="00B30378"/>
    <w:rsid w:val="00B303AF"/>
    <w:rsid w:val="00B303F7"/>
    <w:rsid w:val="00B3041C"/>
    <w:rsid w:val="00B3042A"/>
    <w:rsid w:val="00B30435"/>
    <w:rsid w:val="00B3047C"/>
    <w:rsid w:val="00B30661"/>
    <w:rsid w:val="00B30685"/>
    <w:rsid w:val="00B30695"/>
    <w:rsid w:val="00B306E5"/>
    <w:rsid w:val="00B30720"/>
    <w:rsid w:val="00B30797"/>
    <w:rsid w:val="00B307B5"/>
    <w:rsid w:val="00B307D8"/>
    <w:rsid w:val="00B3081B"/>
    <w:rsid w:val="00B308A7"/>
    <w:rsid w:val="00B30916"/>
    <w:rsid w:val="00B30998"/>
    <w:rsid w:val="00B309A5"/>
    <w:rsid w:val="00B309B0"/>
    <w:rsid w:val="00B309CE"/>
    <w:rsid w:val="00B309F3"/>
    <w:rsid w:val="00B30A38"/>
    <w:rsid w:val="00B30AA5"/>
    <w:rsid w:val="00B30AD5"/>
    <w:rsid w:val="00B30AE5"/>
    <w:rsid w:val="00B30BB1"/>
    <w:rsid w:val="00B30BE0"/>
    <w:rsid w:val="00B30D4C"/>
    <w:rsid w:val="00B30DE5"/>
    <w:rsid w:val="00B30E6E"/>
    <w:rsid w:val="00B30EB3"/>
    <w:rsid w:val="00B30EDA"/>
    <w:rsid w:val="00B30F76"/>
    <w:rsid w:val="00B31009"/>
    <w:rsid w:val="00B31020"/>
    <w:rsid w:val="00B3105F"/>
    <w:rsid w:val="00B310D2"/>
    <w:rsid w:val="00B31202"/>
    <w:rsid w:val="00B31238"/>
    <w:rsid w:val="00B3124C"/>
    <w:rsid w:val="00B31270"/>
    <w:rsid w:val="00B312C7"/>
    <w:rsid w:val="00B312CD"/>
    <w:rsid w:val="00B3131A"/>
    <w:rsid w:val="00B3132A"/>
    <w:rsid w:val="00B313AE"/>
    <w:rsid w:val="00B314A1"/>
    <w:rsid w:val="00B315D1"/>
    <w:rsid w:val="00B316A1"/>
    <w:rsid w:val="00B3174F"/>
    <w:rsid w:val="00B317FA"/>
    <w:rsid w:val="00B31867"/>
    <w:rsid w:val="00B31869"/>
    <w:rsid w:val="00B318C3"/>
    <w:rsid w:val="00B318E2"/>
    <w:rsid w:val="00B31925"/>
    <w:rsid w:val="00B3192C"/>
    <w:rsid w:val="00B31A00"/>
    <w:rsid w:val="00B31A13"/>
    <w:rsid w:val="00B31A31"/>
    <w:rsid w:val="00B31A3C"/>
    <w:rsid w:val="00B31AAD"/>
    <w:rsid w:val="00B31AE7"/>
    <w:rsid w:val="00B31B0D"/>
    <w:rsid w:val="00B31B51"/>
    <w:rsid w:val="00B31BDD"/>
    <w:rsid w:val="00B31C85"/>
    <w:rsid w:val="00B31CB3"/>
    <w:rsid w:val="00B31D27"/>
    <w:rsid w:val="00B31E34"/>
    <w:rsid w:val="00B31E68"/>
    <w:rsid w:val="00B31E85"/>
    <w:rsid w:val="00B31EBA"/>
    <w:rsid w:val="00B31FD9"/>
    <w:rsid w:val="00B31FDC"/>
    <w:rsid w:val="00B32090"/>
    <w:rsid w:val="00B3209C"/>
    <w:rsid w:val="00B32161"/>
    <w:rsid w:val="00B32164"/>
    <w:rsid w:val="00B321A4"/>
    <w:rsid w:val="00B321F9"/>
    <w:rsid w:val="00B32253"/>
    <w:rsid w:val="00B3229B"/>
    <w:rsid w:val="00B322D4"/>
    <w:rsid w:val="00B32314"/>
    <w:rsid w:val="00B323F5"/>
    <w:rsid w:val="00B32406"/>
    <w:rsid w:val="00B324C0"/>
    <w:rsid w:val="00B32516"/>
    <w:rsid w:val="00B325B9"/>
    <w:rsid w:val="00B3260E"/>
    <w:rsid w:val="00B32664"/>
    <w:rsid w:val="00B3266C"/>
    <w:rsid w:val="00B32698"/>
    <w:rsid w:val="00B3273D"/>
    <w:rsid w:val="00B32797"/>
    <w:rsid w:val="00B32828"/>
    <w:rsid w:val="00B328C5"/>
    <w:rsid w:val="00B329A7"/>
    <w:rsid w:val="00B32A5D"/>
    <w:rsid w:val="00B32B85"/>
    <w:rsid w:val="00B32C7B"/>
    <w:rsid w:val="00B32CB8"/>
    <w:rsid w:val="00B32CED"/>
    <w:rsid w:val="00B32D26"/>
    <w:rsid w:val="00B32D6C"/>
    <w:rsid w:val="00B32DD6"/>
    <w:rsid w:val="00B32E04"/>
    <w:rsid w:val="00B32E48"/>
    <w:rsid w:val="00B32F2F"/>
    <w:rsid w:val="00B32F92"/>
    <w:rsid w:val="00B33111"/>
    <w:rsid w:val="00B3317C"/>
    <w:rsid w:val="00B3319E"/>
    <w:rsid w:val="00B3319F"/>
    <w:rsid w:val="00B33225"/>
    <w:rsid w:val="00B33253"/>
    <w:rsid w:val="00B33262"/>
    <w:rsid w:val="00B332B9"/>
    <w:rsid w:val="00B332CC"/>
    <w:rsid w:val="00B33332"/>
    <w:rsid w:val="00B333A0"/>
    <w:rsid w:val="00B33529"/>
    <w:rsid w:val="00B33590"/>
    <w:rsid w:val="00B335A2"/>
    <w:rsid w:val="00B335DB"/>
    <w:rsid w:val="00B335DF"/>
    <w:rsid w:val="00B336A2"/>
    <w:rsid w:val="00B337DB"/>
    <w:rsid w:val="00B33886"/>
    <w:rsid w:val="00B338B8"/>
    <w:rsid w:val="00B338CD"/>
    <w:rsid w:val="00B338D1"/>
    <w:rsid w:val="00B33980"/>
    <w:rsid w:val="00B339A5"/>
    <w:rsid w:val="00B33A13"/>
    <w:rsid w:val="00B33AC6"/>
    <w:rsid w:val="00B33AE2"/>
    <w:rsid w:val="00B33AF9"/>
    <w:rsid w:val="00B33B8A"/>
    <w:rsid w:val="00B33BB9"/>
    <w:rsid w:val="00B33BCF"/>
    <w:rsid w:val="00B33C49"/>
    <w:rsid w:val="00B33CDC"/>
    <w:rsid w:val="00B33CF0"/>
    <w:rsid w:val="00B33D10"/>
    <w:rsid w:val="00B33D91"/>
    <w:rsid w:val="00B33DF3"/>
    <w:rsid w:val="00B33DFE"/>
    <w:rsid w:val="00B33E70"/>
    <w:rsid w:val="00B33F2D"/>
    <w:rsid w:val="00B33F84"/>
    <w:rsid w:val="00B34048"/>
    <w:rsid w:val="00B34081"/>
    <w:rsid w:val="00B3408E"/>
    <w:rsid w:val="00B34108"/>
    <w:rsid w:val="00B34203"/>
    <w:rsid w:val="00B34253"/>
    <w:rsid w:val="00B3426E"/>
    <w:rsid w:val="00B34325"/>
    <w:rsid w:val="00B34342"/>
    <w:rsid w:val="00B3435B"/>
    <w:rsid w:val="00B343A6"/>
    <w:rsid w:val="00B344CC"/>
    <w:rsid w:val="00B344CD"/>
    <w:rsid w:val="00B34507"/>
    <w:rsid w:val="00B34508"/>
    <w:rsid w:val="00B345A3"/>
    <w:rsid w:val="00B345F7"/>
    <w:rsid w:val="00B3460F"/>
    <w:rsid w:val="00B3468C"/>
    <w:rsid w:val="00B346F6"/>
    <w:rsid w:val="00B34757"/>
    <w:rsid w:val="00B34786"/>
    <w:rsid w:val="00B347A4"/>
    <w:rsid w:val="00B347C1"/>
    <w:rsid w:val="00B348A1"/>
    <w:rsid w:val="00B348F7"/>
    <w:rsid w:val="00B349FE"/>
    <w:rsid w:val="00B34BC8"/>
    <w:rsid w:val="00B34BDC"/>
    <w:rsid w:val="00B34BDD"/>
    <w:rsid w:val="00B34CAA"/>
    <w:rsid w:val="00B34DCC"/>
    <w:rsid w:val="00B34DD3"/>
    <w:rsid w:val="00B34E93"/>
    <w:rsid w:val="00B34F9B"/>
    <w:rsid w:val="00B34FE0"/>
    <w:rsid w:val="00B34FE9"/>
    <w:rsid w:val="00B35085"/>
    <w:rsid w:val="00B35229"/>
    <w:rsid w:val="00B3522E"/>
    <w:rsid w:val="00B353AC"/>
    <w:rsid w:val="00B354EB"/>
    <w:rsid w:val="00B3556D"/>
    <w:rsid w:val="00B355C3"/>
    <w:rsid w:val="00B355E9"/>
    <w:rsid w:val="00B35639"/>
    <w:rsid w:val="00B35803"/>
    <w:rsid w:val="00B35839"/>
    <w:rsid w:val="00B35851"/>
    <w:rsid w:val="00B35880"/>
    <w:rsid w:val="00B35894"/>
    <w:rsid w:val="00B358E0"/>
    <w:rsid w:val="00B3597A"/>
    <w:rsid w:val="00B35B88"/>
    <w:rsid w:val="00B35BA2"/>
    <w:rsid w:val="00B35BDD"/>
    <w:rsid w:val="00B35C7E"/>
    <w:rsid w:val="00B35CE6"/>
    <w:rsid w:val="00B35D8A"/>
    <w:rsid w:val="00B35F27"/>
    <w:rsid w:val="00B35F3D"/>
    <w:rsid w:val="00B35F63"/>
    <w:rsid w:val="00B35FFA"/>
    <w:rsid w:val="00B3600B"/>
    <w:rsid w:val="00B3601A"/>
    <w:rsid w:val="00B3601B"/>
    <w:rsid w:val="00B36078"/>
    <w:rsid w:val="00B36086"/>
    <w:rsid w:val="00B360A4"/>
    <w:rsid w:val="00B360A6"/>
    <w:rsid w:val="00B3613A"/>
    <w:rsid w:val="00B36175"/>
    <w:rsid w:val="00B361C9"/>
    <w:rsid w:val="00B362A8"/>
    <w:rsid w:val="00B36325"/>
    <w:rsid w:val="00B36331"/>
    <w:rsid w:val="00B3633D"/>
    <w:rsid w:val="00B3638B"/>
    <w:rsid w:val="00B36401"/>
    <w:rsid w:val="00B364D5"/>
    <w:rsid w:val="00B36551"/>
    <w:rsid w:val="00B36570"/>
    <w:rsid w:val="00B36615"/>
    <w:rsid w:val="00B3665A"/>
    <w:rsid w:val="00B36691"/>
    <w:rsid w:val="00B366A2"/>
    <w:rsid w:val="00B36732"/>
    <w:rsid w:val="00B36872"/>
    <w:rsid w:val="00B368A0"/>
    <w:rsid w:val="00B368A3"/>
    <w:rsid w:val="00B36928"/>
    <w:rsid w:val="00B369C4"/>
    <w:rsid w:val="00B369FD"/>
    <w:rsid w:val="00B36AD1"/>
    <w:rsid w:val="00B36B3F"/>
    <w:rsid w:val="00B36B66"/>
    <w:rsid w:val="00B36BC7"/>
    <w:rsid w:val="00B36CA6"/>
    <w:rsid w:val="00B36CB6"/>
    <w:rsid w:val="00B36D11"/>
    <w:rsid w:val="00B36D3E"/>
    <w:rsid w:val="00B36D8A"/>
    <w:rsid w:val="00B36E99"/>
    <w:rsid w:val="00B36E9B"/>
    <w:rsid w:val="00B36F23"/>
    <w:rsid w:val="00B36F4C"/>
    <w:rsid w:val="00B36F74"/>
    <w:rsid w:val="00B36F91"/>
    <w:rsid w:val="00B36F97"/>
    <w:rsid w:val="00B36F9C"/>
    <w:rsid w:val="00B36FB0"/>
    <w:rsid w:val="00B36FCC"/>
    <w:rsid w:val="00B37022"/>
    <w:rsid w:val="00B370F3"/>
    <w:rsid w:val="00B370F6"/>
    <w:rsid w:val="00B37204"/>
    <w:rsid w:val="00B37212"/>
    <w:rsid w:val="00B37220"/>
    <w:rsid w:val="00B37256"/>
    <w:rsid w:val="00B3725E"/>
    <w:rsid w:val="00B37295"/>
    <w:rsid w:val="00B372FB"/>
    <w:rsid w:val="00B3738E"/>
    <w:rsid w:val="00B373AE"/>
    <w:rsid w:val="00B3749D"/>
    <w:rsid w:val="00B374DB"/>
    <w:rsid w:val="00B374E8"/>
    <w:rsid w:val="00B37512"/>
    <w:rsid w:val="00B3764B"/>
    <w:rsid w:val="00B378C2"/>
    <w:rsid w:val="00B37972"/>
    <w:rsid w:val="00B37995"/>
    <w:rsid w:val="00B379B3"/>
    <w:rsid w:val="00B379C4"/>
    <w:rsid w:val="00B379E0"/>
    <w:rsid w:val="00B37A74"/>
    <w:rsid w:val="00B37B08"/>
    <w:rsid w:val="00B37B2F"/>
    <w:rsid w:val="00B37B76"/>
    <w:rsid w:val="00B37B7F"/>
    <w:rsid w:val="00B37C19"/>
    <w:rsid w:val="00B37C32"/>
    <w:rsid w:val="00B37C69"/>
    <w:rsid w:val="00B37CCE"/>
    <w:rsid w:val="00B37D24"/>
    <w:rsid w:val="00B37D3B"/>
    <w:rsid w:val="00B37DA8"/>
    <w:rsid w:val="00B37DFF"/>
    <w:rsid w:val="00B37EE9"/>
    <w:rsid w:val="00B37EF7"/>
    <w:rsid w:val="00B37F00"/>
    <w:rsid w:val="00B37F30"/>
    <w:rsid w:val="00B37F70"/>
    <w:rsid w:val="00B37F84"/>
    <w:rsid w:val="00B37FC8"/>
    <w:rsid w:val="00B4007B"/>
    <w:rsid w:val="00B40082"/>
    <w:rsid w:val="00B400C3"/>
    <w:rsid w:val="00B400D9"/>
    <w:rsid w:val="00B400E2"/>
    <w:rsid w:val="00B400F0"/>
    <w:rsid w:val="00B4010C"/>
    <w:rsid w:val="00B401CE"/>
    <w:rsid w:val="00B40216"/>
    <w:rsid w:val="00B40311"/>
    <w:rsid w:val="00B40313"/>
    <w:rsid w:val="00B40346"/>
    <w:rsid w:val="00B404B4"/>
    <w:rsid w:val="00B40516"/>
    <w:rsid w:val="00B40582"/>
    <w:rsid w:val="00B405E0"/>
    <w:rsid w:val="00B405F8"/>
    <w:rsid w:val="00B40627"/>
    <w:rsid w:val="00B40670"/>
    <w:rsid w:val="00B406D5"/>
    <w:rsid w:val="00B406EE"/>
    <w:rsid w:val="00B40711"/>
    <w:rsid w:val="00B4078E"/>
    <w:rsid w:val="00B40805"/>
    <w:rsid w:val="00B40878"/>
    <w:rsid w:val="00B40945"/>
    <w:rsid w:val="00B40A7B"/>
    <w:rsid w:val="00B40B45"/>
    <w:rsid w:val="00B40B68"/>
    <w:rsid w:val="00B40BBD"/>
    <w:rsid w:val="00B40BF7"/>
    <w:rsid w:val="00B40BFC"/>
    <w:rsid w:val="00B40C01"/>
    <w:rsid w:val="00B40DB0"/>
    <w:rsid w:val="00B40DEA"/>
    <w:rsid w:val="00B40DF8"/>
    <w:rsid w:val="00B40EB2"/>
    <w:rsid w:val="00B40EE1"/>
    <w:rsid w:val="00B40F22"/>
    <w:rsid w:val="00B40F76"/>
    <w:rsid w:val="00B40FF8"/>
    <w:rsid w:val="00B4106D"/>
    <w:rsid w:val="00B41154"/>
    <w:rsid w:val="00B41157"/>
    <w:rsid w:val="00B4118E"/>
    <w:rsid w:val="00B4120F"/>
    <w:rsid w:val="00B41213"/>
    <w:rsid w:val="00B41271"/>
    <w:rsid w:val="00B41281"/>
    <w:rsid w:val="00B4135A"/>
    <w:rsid w:val="00B413A4"/>
    <w:rsid w:val="00B4141C"/>
    <w:rsid w:val="00B414DD"/>
    <w:rsid w:val="00B4157E"/>
    <w:rsid w:val="00B41611"/>
    <w:rsid w:val="00B41624"/>
    <w:rsid w:val="00B4162E"/>
    <w:rsid w:val="00B416CE"/>
    <w:rsid w:val="00B41700"/>
    <w:rsid w:val="00B41763"/>
    <w:rsid w:val="00B4185C"/>
    <w:rsid w:val="00B418B2"/>
    <w:rsid w:val="00B418D2"/>
    <w:rsid w:val="00B418D4"/>
    <w:rsid w:val="00B4197F"/>
    <w:rsid w:val="00B419A7"/>
    <w:rsid w:val="00B419DC"/>
    <w:rsid w:val="00B41A17"/>
    <w:rsid w:val="00B41A21"/>
    <w:rsid w:val="00B41ABD"/>
    <w:rsid w:val="00B41AE0"/>
    <w:rsid w:val="00B41B9A"/>
    <w:rsid w:val="00B41C2C"/>
    <w:rsid w:val="00B41C9C"/>
    <w:rsid w:val="00B41D4F"/>
    <w:rsid w:val="00B41D9E"/>
    <w:rsid w:val="00B41DD0"/>
    <w:rsid w:val="00B41DEB"/>
    <w:rsid w:val="00B41E77"/>
    <w:rsid w:val="00B41E7E"/>
    <w:rsid w:val="00B41EB3"/>
    <w:rsid w:val="00B41EF7"/>
    <w:rsid w:val="00B41F18"/>
    <w:rsid w:val="00B41FA6"/>
    <w:rsid w:val="00B4205C"/>
    <w:rsid w:val="00B420EE"/>
    <w:rsid w:val="00B42155"/>
    <w:rsid w:val="00B42185"/>
    <w:rsid w:val="00B42193"/>
    <w:rsid w:val="00B42199"/>
    <w:rsid w:val="00B42215"/>
    <w:rsid w:val="00B42277"/>
    <w:rsid w:val="00B42279"/>
    <w:rsid w:val="00B42321"/>
    <w:rsid w:val="00B42427"/>
    <w:rsid w:val="00B42482"/>
    <w:rsid w:val="00B4254C"/>
    <w:rsid w:val="00B42564"/>
    <w:rsid w:val="00B42566"/>
    <w:rsid w:val="00B4265F"/>
    <w:rsid w:val="00B4275A"/>
    <w:rsid w:val="00B42769"/>
    <w:rsid w:val="00B427CA"/>
    <w:rsid w:val="00B42849"/>
    <w:rsid w:val="00B42875"/>
    <w:rsid w:val="00B429C2"/>
    <w:rsid w:val="00B42A78"/>
    <w:rsid w:val="00B42AE8"/>
    <w:rsid w:val="00B42B1E"/>
    <w:rsid w:val="00B42B45"/>
    <w:rsid w:val="00B42B59"/>
    <w:rsid w:val="00B42BF8"/>
    <w:rsid w:val="00B42C48"/>
    <w:rsid w:val="00B42C7D"/>
    <w:rsid w:val="00B42CAD"/>
    <w:rsid w:val="00B42CC2"/>
    <w:rsid w:val="00B42D13"/>
    <w:rsid w:val="00B42D27"/>
    <w:rsid w:val="00B42D5E"/>
    <w:rsid w:val="00B42DB0"/>
    <w:rsid w:val="00B42E24"/>
    <w:rsid w:val="00B42E34"/>
    <w:rsid w:val="00B42E37"/>
    <w:rsid w:val="00B42F34"/>
    <w:rsid w:val="00B42F9C"/>
    <w:rsid w:val="00B42FCA"/>
    <w:rsid w:val="00B42FF3"/>
    <w:rsid w:val="00B4304C"/>
    <w:rsid w:val="00B430DF"/>
    <w:rsid w:val="00B430E5"/>
    <w:rsid w:val="00B43133"/>
    <w:rsid w:val="00B4313D"/>
    <w:rsid w:val="00B43163"/>
    <w:rsid w:val="00B432AA"/>
    <w:rsid w:val="00B432B5"/>
    <w:rsid w:val="00B432C0"/>
    <w:rsid w:val="00B432F6"/>
    <w:rsid w:val="00B43303"/>
    <w:rsid w:val="00B433D1"/>
    <w:rsid w:val="00B43465"/>
    <w:rsid w:val="00B43493"/>
    <w:rsid w:val="00B43571"/>
    <w:rsid w:val="00B43682"/>
    <w:rsid w:val="00B436D1"/>
    <w:rsid w:val="00B436E2"/>
    <w:rsid w:val="00B436ED"/>
    <w:rsid w:val="00B4370D"/>
    <w:rsid w:val="00B4371F"/>
    <w:rsid w:val="00B4388A"/>
    <w:rsid w:val="00B4391D"/>
    <w:rsid w:val="00B43992"/>
    <w:rsid w:val="00B4399A"/>
    <w:rsid w:val="00B43A06"/>
    <w:rsid w:val="00B43A65"/>
    <w:rsid w:val="00B43A76"/>
    <w:rsid w:val="00B43A8E"/>
    <w:rsid w:val="00B43AA6"/>
    <w:rsid w:val="00B43B8D"/>
    <w:rsid w:val="00B43D9A"/>
    <w:rsid w:val="00B43DD7"/>
    <w:rsid w:val="00B43DF8"/>
    <w:rsid w:val="00B43F7F"/>
    <w:rsid w:val="00B44054"/>
    <w:rsid w:val="00B44070"/>
    <w:rsid w:val="00B44090"/>
    <w:rsid w:val="00B4409D"/>
    <w:rsid w:val="00B440AC"/>
    <w:rsid w:val="00B440E7"/>
    <w:rsid w:val="00B44154"/>
    <w:rsid w:val="00B44258"/>
    <w:rsid w:val="00B44273"/>
    <w:rsid w:val="00B44307"/>
    <w:rsid w:val="00B4437F"/>
    <w:rsid w:val="00B443CC"/>
    <w:rsid w:val="00B443F1"/>
    <w:rsid w:val="00B4442D"/>
    <w:rsid w:val="00B444DA"/>
    <w:rsid w:val="00B44606"/>
    <w:rsid w:val="00B44667"/>
    <w:rsid w:val="00B4467E"/>
    <w:rsid w:val="00B446A3"/>
    <w:rsid w:val="00B446C7"/>
    <w:rsid w:val="00B44953"/>
    <w:rsid w:val="00B44962"/>
    <w:rsid w:val="00B44A27"/>
    <w:rsid w:val="00B44B3D"/>
    <w:rsid w:val="00B44BCB"/>
    <w:rsid w:val="00B44C02"/>
    <w:rsid w:val="00B44C6D"/>
    <w:rsid w:val="00B44CCA"/>
    <w:rsid w:val="00B44CF1"/>
    <w:rsid w:val="00B44D23"/>
    <w:rsid w:val="00B44D60"/>
    <w:rsid w:val="00B44E3B"/>
    <w:rsid w:val="00B44EFF"/>
    <w:rsid w:val="00B44F73"/>
    <w:rsid w:val="00B45113"/>
    <w:rsid w:val="00B4517A"/>
    <w:rsid w:val="00B4527B"/>
    <w:rsid w:val="00B45323"/>
    <w:rsid w:val="00B45389"/>
    <w:rsid w:val="00B45445"/>
    <w:rsid w:val="00B4558A"/>
    <w:rsid w:val="00B4559E"/>
    <w:rsid w:val="00B45674"/>
    <w:rsid w:val="00B45677"/>
    <w:rsid w:val="00B456CD"/>
    <w:rsid w:val="00B45722"/>
    <w:rsid w:val="00B45785"/>
    <w:rsid w:val="00B4586E"/>
    <w:rsid w:val="00B45A41"/>
    <w:rsid w:val="00B45AAE"/>
    <w:rsid w:val="00B45AC2"/>
    <w:rsid w:val="00B45C2D"/>
    <w:rsid w:val="00B45D1E"/>
    <w:rsid w:val="00B45D23"/>
    <w:rsid w:val="00B45D51"/>
    <w:rsid w:val="00B45D7A"/>
    <w:rsid w:val="00B45DBE"/>
    <w:rsid w:val="00B45DC9"/>
    <w:rsid w:val="00B45E29"/>
    <w:rsid w:val="00B45E57"/>
    <w:rsid w:val="00B45E92"/>
    <w:rsid w:val="00B45EDE"/>
    <w:rsid w:val="00B45EDF"/>
    <w:rsid w:val="00B45F0B"/>
    <w:rsid w:val="00B45F31"/>
    <w:rsid w:val="00B45FA2"/>
    <w:rsid w:val="00B45FFF"/>
    <w:rsid w:val="00B4609D"/>
    <w:rsid w:val="00B460C5"/>
    <w:rsid w:val="00B461E2"/>
    <w:rsid w:val="00B461F8"/>
    <w:rsid w:val="00B462EA"/>
    <w:rsid w:val="00B46384"/>
    <w:rsid w:val="00B4645A"/>
    <w:rsid w:val="00B464C3"/>
    <w:rsid w:val="00B46508"/>
    <w:rsid w:val="00B4654A"/>
    <w:rsid w:val="00B4667D"/>
    <w:rsid w:val="00B46778"/>
    <w:rsid w:val="00B467BB"/>
    <w:rsid w:val="00B467C3"/>
    <w:rsid w:val="00B46805"/>
    <w:rsid w:val="00B4683D"/>
    <w:rsid w:val="00B46960"/>
    <w:rsid w:val="00B46A77"/>
    <w:rsid w:val="00B46B5C"/>
    <w:rsid w:val="00B46B8A"/>
    <w:rsid w:val="00B46C0B"/>
    <w:rsid w:val="00B46C4D"/>
    <w:rsid w:val="00B46C7C"/>
    <w:rsid w:val="00B46E01"/>
    <w:rsid w:val="00B46E2E"/>
    <w:rsid w:val="00B46E6E"/>
    <w:rsid w:val="00B46ECF"/>
    <w:rsid w:val="00B46F20"/>
    <w:rsid w:val="00B46F41"/>
    <w:rsid w:val="00B46F59"/>
    <w:rsid w:val="00B46FC7"/>
    <w:rsid w:val="00B47003"/>
    <w:rsid w:val="00B47058"/>
    <w:rsid w:val="00B470EB"/>
    <w:rsid w:val="00B47171"/>
    <w:rsid w:val="00B47174"/>
    <w:rsid w:val="00B471D4"/>
    <w:rsid w:val="00B471D5"/>
    <w:rsid w:val="00B471EE"/>
    <w:rsid w:val="00B4720C"/>
    <w:rsid w:val="00B47278"/>
    <w:rsid w:val="00B47282"/>
    <w:rsid w:val="00B472DA"/>
    <w:rsid w:val="00B47308"/>
    <w:rsid w:val="00B47380"/>
    <w:rsid w:val="00B47487"/>
    <w:rsid w:val="00B474DA"/>
    <w:rsid w:val="00B47514"/>
    <w:rsid w:val="00B47524"/>
    <w:rsid w:val="00B4753D"/>
    <w:rsid w:val="00B47552"/>
    <w:rsid w:val="00B475EA"/>
    <w:rsid w:val="00B47776"/>
    <w:rsid w:val="00B4778C"/>
    <w:rsid w:val="00B477E5"/>
    <w:rsid w:val="00B478B6"/>
    <w:rsid w:val="00B478E2"/>
    <w:rsid w:val="00B47A09"/>
    <w:rsid w:val="00B47A11"/>
    <w:rsid w:val="00B47A4F"/>
    <w:rsid w:val="00B47A96"/>
    <w:rsid w:val="00B47AF7"/>
    <w:rsid w:val="00B47B34"/>
    <w:rsid w:val="00B47BD7"/>
    <w:rsid w:val="00B47C55"/>
    <w:rsid w:val="00B47C88"/>
    <w:rsid w:val="00B47CAB"/>
    <w:rsid w:val="00B47F01"/>
    <w:rsid w:val="00B47F50"/>
    <w:rsid w:val="00B47F5D"/>
    <w:rsid w:val="00B47F91"/>
    <w:rsid w:val="00B47F9A"/>
    <w:rsid w:val="00B50030"/>
    <w:rsid w:val="00B5004C"/>
    <w:rsid w:val="00B500DC"/>
    <w:rsid w:val="00B500E8"/>
    <w:rsid w:val="00B50113"/>
    <w:rsid w:val="00B501C9"/>
    <w:rsid w:val="00B5020C"/>
    <w:rsid w:val="00B50290"/>
    <w:rsid w:val="00B502AB"/>
    <w:rsid w:val="00B503A8"/>
    <w:rsid w:val="00B5047A"/>
    <w:rsid w:val="00B50482"/>
    <w:rsid w:val="00B5048B"/>
    <w:rsid w:val="00B50513"/>
    <w:rsid w:val="00B5052B"/>
    <w:rsid w:val="00B5052D"/>
    <w:rsid w:val="00B50656"/>
    <w:rsid w:val="00B50676"/>
    <w:rsid w:val="00B50695"/>
    <w:rsid w:val="00B50721"/>
    <w:rsid w:val="00B50746"/>
    <w:rsid w:val="00B50769"/>
    <w:rsid w:val="00B50797"/>
    <w:rsid w:val="00B507F5"/>
    <w:rsid w:val="00B50850"/>
    <w:rsid w:val="00B508D7"/>
    <w:rsid w:val="00B50A07"/>
    <w:rsid w:val="00B50AAE"/>
    <w:rsid w:val="00B50BD7"/>
    <w:rsid w:val="00B50C15"/>
    <w:rsid w:val="00B50C68"/>
    <w:rsid w:val="00B50CB5"/>
    <w:rsid w:val="00B50CBF"/>
    <w:rsid w:val="00B50DBC"/>
    <w:rsid w:val="00B50DF9"/>
    <w:rsid w:val="00B50E29"/>
    <w:rsid w:val="00B50E95"/>
    <w:rsid w:val="00B50ED6"/>
    <w:rsid w:val="00B50EF6"/>
    <w:rsid w:val="00B50FD4"/>
    <w:rsid w:val="00B51005"/>
    <w:rsid w:val="00B510A1"/>
    <w:rsid w:val="00B5115B"/>
    <w:rsid w:val="00B511C4"/>
    <w:rsid w:val="00B511EB"/>
    <w:rsid w:val="00B5126F"/>
    <w:rsid w:val="00B512D9"/>
    <w:rsid w:val="00B51307"/>
    <w:rsid w:val="00B51315"/>
    <w:rsid w:val="00B5140F"/>
    <w:rsid w:val="00B5141E"/>
    <w:rsid w:val="00B514AC"/>
    <w:rsid w:val="00B51520"/>
    <w:rsid w:val="00B51545"/>
    <w:rsid w:val="00B51665"/>
    <w:rsid w:val="00B5166E"/>
    <w:rsid w:val="00B51674"/>
    <w:rsid w:val="00B516BF"/>
    <w:rsid w:val="00B51704"/>
    <w:rsid w:val="00B51713"/>
    <w:rsid w:val="00B51716"/>
    <w:rsid w:val="00B5173C"/>
    <w:rsid w:val="00B51760"/>
    <w:rsid w:val="00B5183E"/>
    <w:rsid w:val="00B51846"/>
    <w:rsid w:val="00B51885"/>
    <w:rsid w:val="00B519C5"/>
    <w:rsid w:val="00B519D1"/>
    <w:rsid w:val="00B51A0E"/>
    <w:rsid w:val="00B51A48"/>
    <w:rsid w:val="00B51A63"/>
    <w:rsid w:val="00B51A99"/>
    <w:rsid w:val="00B51ADF"/>
    <w:rsid w:val="00B51B08"/>
    <w:rsid w:val="00B51B4B"/>
    <w:rsid w:val="00B51B7C"/>
    <w:rsid w:val="00B51BD5"/>
    <w:rsid w:val="00B51C08"/>
    <w:rsid w:val="00B51C40"/>
    <w:rsid w:val="00B51C79"/>
    <w:rsid w:val="00B51D5C"/>
    <w:rsid w:val="00B51D9E"/>
    <w:rsid w:val="00B51DF2"/>
    <w:rsid w:val="00B51F82"/>
    <w:rsid w:val="00B51F96"/>
    <w:rsid w:val="00B51FEF"/>
    <w:rsid w:val="00B520B0"/>
    <w:rsid w:val="00B521B0"/>
    <w:rsid w:val="00B52259"/>
    <w:rsid w:val="00B522B3"/>
    <w:rsid w:val="00B5231B"/>
    <w:rsid w:val="00B5239C"/>
    <w:rsid w:val="00B5254E"/>
    <w:rsid w:val="00B52573"/>
    <w:rsid w:val="00B525DD"/>
    <w:rsid w:val="00B52644"/>
    <w:rsid w:val="00B52666"/>
    <w:rsid w:val="00B52794"/>
    <w:rsid w:val="00B527AD"/>
    <w:rsid w:val="00B52842"/>
    <w:rsid w:val="00B5294D"/>
    <w:rsid w:val="00B52993"/>
    <w:rsid w:val="00B529B7"/>
    <w:rsid w:val="00B52A23"/>
    <w:rsid w:val="00B52A40"/>
    <w:rsid w:val="00B52A86"/>
    <w:rsid w:val="00B52AD7"/>
    <w:rsid w:val="00B52AF8"/>
    <w:rsid w:val="00B52B88"/>
    <w:rsid w:val="00B52C7D"/>
    <w:rsid w:val="00B52CC4"/>
    <w:rsid w:val="00B52CE3"/>
    <w:rsid w:val="00B52CED"/>
    <w:rsid w:val="00B52D22"/>
    <w:rsid w:val="00B52D71"/>
    <w:rsid w:val="00B52D85"/>
    <w:rsid w:val="00B52E48"/>
    <w:rsid w:val="00B52E86"/>
    <w:rsid w:val="00B52E91"/>
    <w:rsid w:val="00B52F43"/>
    <w:rsid w:val="00B52F6E"/>
    <w:rsid w:val="00B52F9D"/>
    <w:rsid w:val="00B53034"/>
    <w:rsid w:val="00B53087"/>
    <w:rsid w:val="00B5308B"/>
    <w:rsid w:val="00B53104"/>
    <w:rsid w:val="00B53236"/>
    <w:rsid w:val="00B53294"/>
    <w:rsid w:val="00B532C1"/>
    <w:rsid w:val="00B5330B"/>
    <w:rsid w:val="00B5332D"/>
    <w:rsid w:val="00B5346C"/>
    <w:rsid w:val="00B53472"/>
    <w:rsid w:val="00B534A0"/>
    <w:rsid w:val="00B53518"/>
    <w:rsid w:val="00B53660"/>
    <w:rsid w:val="00B536E1"/>
    <w:rsid w:val="00B5370A"/>
    <w:rsid w:val="00B53727"/>
    <w:rsid w:val="00B5373C"/>
    <w:rsid w:val="00B537E2"/>
    <w:rsid w:val="00B53881"/>
    <w:rsid w:val="00B538A3"/>
    <w:rsid w:val="00B538C8"/>
    <w:rsid w:val="00B538F0"/>
    <w:rsid w:val="00B53954"/>
    <w:rsid w:val="00B53955"/>
    <w:rsid w:val="00B53A4E"/>
    <w:rsid w:val="00B53A57"/>
    <w:rsid w:val="00B53B48"/>
    <w:rsid w:val="00B53C27"/>
    <w:rsid w:val="00B53CC8"/>
    <w:rsid w:val="00B53D03"/>
    <w:rsid w:val="00B53D50"/>
    <w:rsid w:val="00B53D6B"/>
    <w:rsid w:val="00B53D6F"/>
    <w:rsid w:val="00B53DBA"/>
    <w:rsid w:val="00B53E68"/>
    <w:rsid w:val="00B53EF3"/>
    <w:rsid w:val="00B53F99"/>
    <w:rsid w:val="00B54007"/>
    <w:rsid w:val="00B54038"/>
    <w:rsid w:val="00B54128"/>
    <w:rsid w:val="00B541CD"/>
    <w:rsid w:val="00B54217"/>
    <w:rsid w:val="00B54346"/>
    <w:rsid w:val="00B54378"/>
    <w:rsid w:val="00B54391"/>
    <w:rsid w:val="00B54395"/>
    <w:rsid w:val="00B543E5"/>
    <w:rsid w:val="00B5442D"/>
    <w:rsid w:val="00B54440"/>
    <w:rsid w:val="00B544EE"/>
    <w:rsid w:val="00B544FD"/>
    <w:rsid w:val="00B54500"/>
    <w:rsid w:val="00B5458C"/>
    <w:rsid w:val="00B545D1"/>
    <w:rsid w:val="00B545D4"/>
    <w:rsid w:val="00B545FE"/>
    <w:rsid w:val="00B5464A"/>
    <w:rsid w:val="00B54725"/>
    <w:rsid w:val="00B5472D"/>
    <w:rsid w:val="00B54786"/>
    <w:rsid w:val="00B547A5"/>
    <w:rsid w:val="00B547AD"/>
    <w:rsid w:val="00B54849"/>
    <w:rsid w:val="00B54850"/>
    <w:rsid w:val="00B54856"/>
    <w:rsid w:val="00B54867"/>
    <w:rsid w:val="00B54872"/>
    <w:rsid w:val="00B54878"/>
    <w:rsid w:val="00B548CE"/>
    <w:rsid w:val="00B54915"/>
    <w:rsid w:val="00B54918"/>
    <w:rsid w:val="00B54958"/>
    <w:rsid w:val="00B54A23"/>
    <w:rsid w:val="00B54A99"/>
    <w:rsid w:val="00B54B08"/>
    <w:rsid w:val="00B54B2A"/>
    <w:rsid w:val="00B54B4D"/>
    <w:rsid w:val="00B54B98"/>
    <w:rsid w:val="00B54D53"/>
    <w:rsid w:val="00B54DC6"/>
    <w:rsid w:val="00B54DD6"/>
    <w:rsid w:val="00B54F40"/>
    <w:rsid w:val="00B54F85"/>
    <w:rsid w:val="00B5503E"/>
    <w:rsid w:val="00B550F0"/>
    <w:rsid w:val="00B55161"/>
    <w:rsid w:val="00B5520F"/>
    <w:rsid w:val="00B55252"/>
    <w:rsid w:val="00B5527D"/>
    <w:rsid w:val="00B55289"/>
    <w:rsid w:val="00B552CF"/>
    <w:rsid w:val="00B553C7"/>
    <w:rsid w:val="00B553CB"/>
    <w:rsid w:val="00B554F7"/>
    <w:rsid w:val="00B555B6"/>
    <w:rsid w:val="00B55652"/>
    <w:rsid w:val="00B556FB"/>
    <w:rsid w:val="00B5574E"/>
    <w:rsid w:val="00B5588E"/>
    <w:rsid w:val="00B558EB"/>
    <w:rsid w:val="00B5599C"/>
    <w:rsid w:val="00B559BF"/>
    <w:rsid w:val="00B55A0C"/>
    <w:rsid w:val="00B55A88"/>
    <w:rsid w:val="00B55A96"/>
    <w:rsid w:val="00B55C32"/>
    <w:rsid w:val="00B55C5E"/>
    <w:rsid w:val="00B55D17"/>
    <w:rsid w:val="00B55D32"/>
    <w:rsid w:val="00B55E7A"/>
    <w:rsid w:val="00B55E7C"/>
    <w:rsid w:val="00B55F3A"/>
    <w:rsid w:val="00B55F3B"/>
    <w:rsid w:val="00B5601C"/>
    <w:rsid w:val="00B5606C"/>
    <w:rsid w:val="00B560AD"/>
    <w:rsid w:val="00B560B8"/>
    <w:rsid w:val="00B56150"/>
    <w:rsid w:val="00B56228"/>
    <w:rsid w:val="00B56232"/>
    <w:rsid w:val="00B5623B"/>
    <w:rsid w:val="00B562C3"/>
    <w:rsid w:val="00B56367"/>
    <w:rsid w:val="00B5636E"/>
    <w:rsid w:val="00B563CA"/>
    <w:rsid w:val="00B56423"/>
    <w:rsid w:val="00B56428"/>
    <w:rsid w:val="00B566AC"/>
    <w:rsid w:val="00B568AB"/>
    <w:rsid w:val="00B56984"/>
    <w:rsid w:val="00B56A45"/>
    <w:rsid w:val="00B56B3E"/>
    <w:rsid w:val="00B56B98"/>
    <w:rsid w:val="00B56BF5"/>
    <w:rsid w:val="00B56C47"/>
    <w:rsid w:val="00B56D23"/>
    <w:rsid w:val="00B56D4B"/>
    <w:rsid w:val="00B56D96"/>
    <w:rsid w:val="00B56D9D"/>
    <w:rsid w:val="00B56DD2"/>
    <w:rsid w:val="00B56E14"/>
    <w:rsid w:val="00B56E31"/>
    <w:rsid w:val="00B56E4F"/>
    <w:rsid w:val="00B56E61"/>
    <w:rsid w:val="00B56ED6"/>
    <w:rsid w:val="00B56F3A"/>
    <w:rsid w:val="00B56F44"/>
    <w:rsid w:val="00B56F60"/>
    <w:rsid w:val="00B56FB5"/>
    <w:rsid w:val="00B56FEC"/>
    <w:rsid w:val="00B57007"/>
    <w:rsid w:val="00B57017"/>
    <w:rsid w:val="00B57022"/>
    <w:rsid w:val="00B5703F"/>
    <w:rsid w:val="00B57062"/>
    <w:rsid w:val="00B57068"/>
    <w:rsid w:val="00B570BC"/>
    <w:rsid w:val="00B570D8"/>
    <w:rsid w:val="00B5710A"/>
    <w:rsid w:val="00B57177"/>
    <w:rsid w:val="00B57184"/>
    <w:rsid w:val="00B57191"/>
    <w:rsid w:val="00B572E6"/>
    <w:rsid w:val="00B572FF"/>
    <w:rsid w:val="00B57351"/>
    <w:rsid w:val="00B573FE"/>
    <w:rsid w:val="00B5745A"/>
    <w:rsid w:val="00B574F5"/>
    <w:rsid w:val="00B574F9"/>
    <w:rsid w:val="00B57541"/>
    <w:rsid w:val="00B576B1"/>
    <w:rsid w:val="00B576D5"/>
    <w:rsid w:val="00B57755"/>
    <w:rsid w:val="00B5775A"/>
    <w:rsid w:val="00B5775B"/>
    <w:rsid w:val="00B577E6"/>
    <w:rsid w:val="00B5788A"/>
    <w:rsid w:val="00B578BB"/>
    <w:rsid w:val="00B578CD"/>
    <w:rsid w:val="00B578EA"/>
    <w:rsid w:val="00B57932"/>
    <w:rsid w:val="00B57986"/>
    <w:rsid w:val="00B579BC"/>
    <w:rsid w:val="00B57A06"/>
    <w:rsid w:val="00B57A66"/>
    <w:rsid w:val="00B57A78"/>
    <w:rsid w:val="00B57A8F"/>
    <w:rsid w:val="00B57AAB"/>
    <w:rsid w:val="00B57AAC"/>
    <w:rsid w:val="00B57AAE"/>
    <w:rsid w:val="00B57AD9"/>
    <w:rsid w:val="00B57AF4"/>
    <w:rsid w:val="00B57B30"/>
    <w:rsid w:val="00B57B74"/>
    <w:rsid w:val="00B57BBB"/>
    <w:rsid w:val="00B57CE5"/>
    <w:rsid w:val="00B57D0D"/>
    <w:rsid w:val="00B57D46"/>
    <w:rsid w:val="00B57DDB"/>
    <w:rsid w:val="00B57E96"/>
    <w:rsid w:val="00B57EE6"/>
    <w:rsid w:val="00B57F1E"/>
    <w:rsid w:val="00B57F4C"/>
    <w:rsid w:val="00B57F6D"/>
    <w:rsid w:val="00B57F91"/>
    <w:rsid w:val="00B5F873"/>
    <w:rsid w:val="00B60071"/>
    <w:rsid w:val="00B600C8"/>
    <w:rsid w:val="00B60104"/>
    <w:rsid w:val="00B6014A"/>
    <w:rsid w:val="00B60166"/>
    <w:rsid w:val="00B602C5"/>
    <w:rsid w:val="00B602ED"/>
    <w:rsid w:val="00B6030A"/>
    <w:rsid w:val="00B603E0"/>
    <w:rsid w:val="00B603E8"/>
    <w:rsid w:val="00B60428"/>
    <w:rsid w:val="00B605A4"/>
    <w:rsid w:val="00B60651"/>
    <w:rsid w:val="00B606EB"/>
    <w:rsid w:val="00B6074D"/>
    <w:rsid w:val="00B6077C"/>
    <w:rsid w:val="00B60784"/>
    <w:rsid w:val="00B60796"/>
    <w:rsid w:val="00B607AE"/>
    <w:rsid w:val="00B607E0"/>
    <w:rsid w:val="00B60808"/>
    <w:rsid w:val="00B608CA"/>
    <w:rsid w:val="00B608F9"/>
    <w:rsid w:val="00B6091D"/>
    <w:rsid w:val="00B6094E"/>
    <w:rsid w:val="00B60959"/>
    <w:rsid w:val="00B6097F"/>
    <w:rsid w:val="00B60A0B"/>
    <w:rsid w:val="00B60A58"/>
    <w:rsid w:val="00B60B95"/>
    <w:rsid w:val="00B60CE3"/>
    <w:rsid w:val="00B60D48"/>
    <w:rsid w:val="00B60D78"/>
    <w:rsid w:val="00B60E48"/>
    <w:rsid w:val="00B60F24"/>
    <w:rsid w:val="00B60FD8"/>
    <w:rsid w:val="00B60FE0"/>
    <w:rsid w:val="00B61048"/>
    <w:rsid w:val="00B610AF"/>
    <w:rsid w:val="00B610B5"/>
    <w:rsid w:val="00B611B6"/>
    <w:rsid w:val="00B6121D"/>
    <w:rsid w:val="00B6129F"/>
    <w:rsid w:val="00B61340"/>
    <w:rsid w:val="00B61361"/>
    <w:rsid w:val="00B61371"/>
    <w:rsid w:val="00B6139C"/>
    <w:rsid w:val="00B6142D"/>
    <w:rsid w:val="00B6149B"/>
    <w:rsid w:val="00B614DE"/>
    <w:rsid w:val="00B61551"/>
    <w:rsid w:val="00B61577"/>
    <w:rsid w:val="00B6157B"/>
    <w:rsid w:val="00B61608"/>
    <w:rsid w:val="00B61673"/>
    <w:rsid w:val="00B6169F"/>
    <w:rsid w:val="00B617F0"/>
    <w:rsid w:val="00B61942"/>
    <w:rsid w:val="00B6195E"/>
    <w:rsid w:val="00B619CC"/>
    <w:rsid w:val="00B619D1"/>
    <w:rsid w:val="00B61A84"/>
    <w:rsid w:val="00B61B5A"/>
    <w:rsid w:val="00B61BB5"/>
    <w:rsid w:val="00B61CC2"/>
    <w:rsid w:val="00B61CD9"/>
    <w:rsid w:val="00B61D27"/>
    <w:rsid w:val="00B61D70"/>
    <w:rsid w:val="00B61E14"/>
    <w:rsid w:val="00B61EFC"/>
    <w:rsid w:val="00B61FA7"/>
    <w:rsid w:val="00B620D4"/>
    <w:rsid w:val="00B6211B"/>
    <w:rsid w:val="00B621D8"/>
    <w:rsid w:val="00B6221F"/>
    <w:rsid w:val="00B62224"/>
    <w:rsid w:val="00B6228A"/>
    <w:rsid w:val="00B622CB"/>
    <w:rsid w:val="00B62307"/>
    <w:rsid w:val="00B623FF"/>
    <w:rsid w:val="00B62427"/>
    <w:rsid w:val="00B6247C"/>
    <w:rsid w:val="00B625FC"/>
    <w:rsid w:val="00B62638"/>
    <w:rsid w:val="00B6269C"/>
    <w:rsid w:val="00B627C2"/>
    <w:rsid w:val="00B627C8"/>
    <w:rsid w:val="00B62831"/>
    <w:rsid w:val="00B62952"/>
    <w:rsid w:val="00B629E0"/>
    <w:rsid w:val="00B62A9A"/>
    <w:rsid w:val="00B62ADC"/>
    <w:rsid w:val="00B62B1C"/>
    <w:rsid w:val="00B62B7B"/>
    <w:rsid w:val="00B62BB9"/>
    <w:rsid w:val="00B62BC9"/>
    <w:rsid w:val="00B62BEF"/>
    <w:rsid w:val="00B62C11"/>
    <w:rsid w:val="00B62C80"/>
    <w:rsid w:val="00B62C8C"/>
    <w:rsid w:val="00B62DC1"/>
    <w:rsid w:val="00B62E25"/>
    <w:rsid w:val="00B62E5E"/>
    <w:rsid w:val="00B62E82"/>
    <w:rsid w:val="00B62F86"/>
    <w:rsid w:val="00B62F93"/>
    <w:rsid w:val="00B63040"/>
    <w:rsid w:val="00B63081"/>
    <w:rsid w:val="00B63097"/>
    <w:rsid w:val="00B6315F"/>
    <w:rsid w:val="00B63167"/>
    <w:rsid w:val="00B63169"/>
    <w:rsid w:val="00B63193"/>
    <w:rsid w:val="00B631C8"/>
    <w:rsid w:val="00B631DB"/>
    <w:rsid w:val="00B63298"/>
    <w:rsid w:val="00B632BC"/>
    <w:rsid w:val="00B6338F"/>
    <w:rsid w:val="00B633C2"/>
    <w:rsid w:val="00B634BE"/>
    <w:rsid w:val="00B634C8"/>
    <w:rsid w:val="00B6355D"/>
    <w:rsid w:val="00B63579"/>
    <w:rsid w:val="00B635CB"/>
    <w:rsid w:val="00B636A0"/>
    <w:rsid w:val="00B6371D"/>
    <w:rsid w:val="00B6373C"/>
    <w:rsid w:val="00B6379B"/>
    <w:rsid w:val="00B6379C"/>
    <w:rsid w:val="00B637D1"/>
    <w:rsid w:val="00B63848"/>
    <w:rsid w:val="00B63864"/>
    <w:rsid w:val="00B63892"/>
    <w:rsid w:val="00B6390A"/>
    <w:rsid w:val="00B6394F"/>
    <w:rsid w:val="00B639FE"/>
    <w:rsid w:val="00B63AC3"/>
    <w:rsid w:val="00B63B9C"/>
    <w:rsid w:val="00B63B9D"/>
    <w:rsid w:val="00B63BE0"/>
    <w:rsid w:val="00B63C92"/>
    <w:rsid w:val="00B63DAD"/>
    <w:rsid w:val="00B63E1E"/>
    <w:rsid w:val="00B63E57"/>
    <w:rsid w:val="00B63ECA"/>
    <w:rsid w:val="00B63EFA"/>
    <w:rsid w:val="00B63F13"/>
    <w:rsid w:val="00B63FD9"/>
    <w:rsid w:val="00B6406A"/>
    <w:rsid w:val="00B64153"/>
    <w:rsid w:val="00B64178"/>
    <w:rsid w:val="00B6424A"/>
    <w:rsid w:val="00B64286"/>
    <w:rsid w:val="00B64288"/>
    <w:rsid w:val="00B6429E"/>
    <w:rsid w:val="00B64306"/>
    <w:rsid w:val="00B643B2"/>
    <w:rsid w:val="00B64409"/>
    <w:rsid w:val="00B64412"/>
    <w:rsid w:val="00B6443A"/>
    <w:rsid w:val="00B64448"/>
    <w:rsid w:val="00B6445A"/>
    <w:rsid w:val="00B6446C"/>
    <w:rsid w:val="00B6448E"/>
    <w:rsid w:val="00B644A6"/>
    <w:rsid w:val="00B6451C"/>
    <w:rsid w:val="00B6454B"/>
    <w:rsid w:val="00B6457C"/>
    <w:rsid w:val="00B645AD"/>
    <w:rsid w:val="00B645E1"/>
    <w:rsid w:val="00B645F1"/>
    <w:rsid w:val="00B64603"/>
    <w:rsid w:val="00B64662"/>
    <w:rsid w:val="00B646DC"/>
    <w:rsid w:val="00B646E4"/>
    <w:rsid w:val="00B646ED"/>
    <w:rsid w:val="00B647ED"/>
    <w:rsid w:val="00B64841"/>
    <w:rsid w:val="00B6488C"/>
    <w:rsid w:val="00B648B5"/>
    <w:rsid w:val="00B648DC"/>
    <w:rsid w:val="00B64900"/>
    <w:rsid w:val="00B6491C"/>
    <w:rsid w:val="00B64A32"/>
    <w:rsid w:val="00B64AD2"/>
    <w:rsid w:val="00B64B43"/>
    <w:rsid w:val="00B64B59"/>
    <w:rsid w:val="00B64BEF"/>
    <w:rsid w:val="00B64BF1"/>
    <w:rsid w:val="00B64BF9"/>
    <w:rsid w:val="00B64C10"/>
    <w:rsid w:val="00B64C55"/>
    <w:rsid w:val="00B64C6E"/>
    <w:rsid w:val="00B64C92"/>
    <w:rsid w:val="00B64D22"/>
    <w:rsid w:val="00B64DC5"/>
    <w:rsid w:val="00B64E51"/>
    <w:rsid w:val="00B64E53"/>
    <w:rsid w:val="00B64E55"/>
    <w:rsid w:val="00B64EA8"/>
    <w:rsid w:val="00B64EDD"/>
    <w:rsid w:val="00B64F09"/>
    <w:rsid w:val="00B64F80"/>
    <w:rsid w:val="00B64F91"/>
    <w:rsid w:val="00B6500F"/>
    <w:rsid w:val="00B650E8"/>
    <w:rsid w:val="00B65106"/>
    <w:rsid w:val="00B651E4"/>
    <w:rsid w:val="00B65265"/>
    <w:rsid w:val="00B65292"/>
    <w:rsid w:val="00B652AA"/>
    <w:rsid w:val="00B653AA"/>
    <w:rsid w:val="00B6549A"/>
    <w:rsid w:val="00B654A9"/>
    <w:rsid w:val="00B654B1"/>
    <w:rsid w:val="00B65551"/>
    <w:rsid w:val="00B65580"/>
    <w:rsid w:val="00B65661"/>
    <w:rsid w:val="00B656C8"/>
    <w:rsid w:val="00B6573A"/>
    <w:rsid w:val="00B657BC"/>
    <w:rsid w:val="00B65800"/>
    <w:rsid w:val="00B658E5"/>
    <w:rsid w:val="00B65942"/>
    <w:rsid w:val="00B65A9B"/>
    <w:rsid w:val="00B65B75"/>
    <w:rsid w:val="00B65BB5"/>
    <w:rsid w:val="00B65CE1"/>
    <w:rsid w:val="00B65D68"/>
    <w:rsid w:val="00B65DAA"/>
    <w:rsid w:val="00B65DAB"/>
    <w:rsid w:val="00B65DE7"/>
    <w:rsid w:val="00B65F36"/>
    <w:rsid w:val="00B65F3B"/>
    <w:rsid w:val="00B65F44"/>
    <w:rsid w:val="00B65F7B"/>
    <w:rsid w:val="00B65F9F"/>
    <w:rsid w:val="00B65FEA"/>
    <w:rsid w:val="00B65FF4"/>
    <w:rsid w:val="00B660AE"/>
    <w:rsid w:val="00B6612F"/>
    <w:rsid w:val="00B66132"/>
    <w:rsid w:val="00B661DD"/>
    <w:rsid w:val="00B66245"/>
    <w:rsid w:val="00B6626B"/>
    <w:rsid w:val="00B6626C"/>
    <w:rsid w:val="00B662B0"/>
    <w:rsid w:val="00B662FD"/>
    <w:rsid w:val="00B6637B"/>
    <w:rsid w:val="00B663E9"/>
    <w:rsid w:val="00B6652A"/>
    <w:rsid w:val="00B66546"/>
    <w:rsid w:val="00B66551"/>
    <w:rsid w:val="00B66591"/>
    <w:rsid w:val="00B665E7"/>
    <w:rsid w:val="00B66612"/>
    <w:rsid w:val="00B66662"/>
    <w:rsid w:val="00B6668B"/>
    <w:rsid w:val="00B66744"/>
    <w:rsid w:val="00B6685B"/>
    <w:rsid w:val="00B6686C"/>
    <w:rsid w:val="00B6686F"/>
    <w:rsid w:val="00B66896"/>
    <w:rsid w:val="00B669AA"/>
    <w:rsid w:val="00B669C5"/>
    <w:rsid w:val="00B66A7E"/>
    <w:rsid w:val="00B66AC4"/>
    <w:rsid w:val="00B66AD0"/>
    <w:rsid w:val="00B66B2F"/>
    <w:rsid w:val="00B66B5A"/>
    <w:rsid w:val="00B66C12"/>
    <w:rsid w:val="00B66C74"/>
    <w:rsid w:val="00B66D83"/>
    <w:rsid w:val="00B66DD5"/>
    <w:rsid w:val="00B66EB4"/>
    <w:rsid w:val="00B66EBD"/>
    <w:rsid w:val="00B66EDD"/>
    <w:rsid w:val="00B66F60"/>
    <w:rsid w:val="00B66F67"/>
    <w:rsid w:val="00B66F91"/>
    <w:rsid w:val="00B66FDC"/>
    <w:rsid w:val="00B67025"/>
    <w:rsid w:val="00B670BD"/>
    <w:rsid w:val="00B670F2"/>
    <w:rsid w:val="00B6710C"/>
    <w:rsid w:val="00B6716A"/>
    <w:rsid w:val="00B671DA"/>
    <w:rsid w:val="00B6722A"/>
    <w:rsid w:val="00B6725E"/>
    <w:rsid w:val="00B672EC"/>
    <w:rsid w:val="00B67319"/>
    <w:rsid w:val="00B673B9"/>
    <w:rsid w:val="00B673BC"/>
    <w:rsid w:val="00B673F1"/>
    <w:rsid w:val="00B673F4"/>
    <w:rsid w:val="00B6746A"/>
    <w:rsid w:val="00B6753B"/>
    <w:rsid w:val="00B6757D"/>
    <w:rsid w:val="00B67593"/>
    <w:rsid w:val="00B676FE"/>
    <w:rsid w:val="00B67701"/>
    <w:rsid w:val="00B677B0"/>
    <w:rsid w:val="00B678A3"/>
    <w:rsid w:val="00B678C5"/>
    <w:rsid w:val="00B678CA"/>
    <w:rsid w:val="00B6793B"/>
    <w:rsid w:val="00B67984"/>
    <w:rsid w:val="00B679E4"/>
    <w:rsid w:val="00B67B13"/>
    <w:rsid w:val="00B67B5E"/>
    <w:rsid w:val="00B67C4F"/>
    <w:rsid w:val="00B67D2E"/>
    <w:rsid w:val="00B67D62"/>
    <w:rsid w:val="00B67E37"/>
    <w:rsid w:val="00B67E6C"/>
    <w:rsid w:val="00B67ED9"/>
    <w:rsid w:val="00B67F3C"/>
    <w:rsid w:val="00B67F92"/>
    <w:rsid w:val="00B67FA1"/>
    <w:rsid w:val="00B700AD"/>
    <w:rsid w:val="00B700C8"/>
    <w:rsid w:val="00B701BE"/>
    <w:rsid w:val="00B70236"/>
    <w:rsid w:val="00B70283"/>
    <w:rsid w:val="00B702CD"/>
    <w:rsid w:val="00B7034A"/>
    <w:rsid w:val="00B70399"/>
    <w:rsid w:val="00B703DE"/>
    <w:rsid w:val="00B703ED"/>
    <w:rsid w:val="00B704CB"/>
    <w:rsid w:val="00B70541"/>
    <w:rsid w:val="00B705C1"/>
    <w:rsid w:val="00B705D8"/>
    <w:rsid w:val="00B70697"/>
    <w:rsid w:val="00B706B4"/>
    <w:rsid w:val="00B70740"/>
    <w:rsid w:val="00B70785"/>
    <w:rsid w:val="00B707C1"/>
    <w:rsid w:val="00B70809"/>
    <w:rsid w:val="00B70821"/>
    <w:rsid w:val="00B70843"/>
    <w:rsid w:val="00B70875"/>
    <w:rsid w:val="00B7091C"/>
    <w:rsid w:val="00B7099C"/>
    <w:rsid w:val="00B709E6"/>
    <w:rsid w:val="00B70A7A"/>
    <w:rsid w:val="00B70B09"/>
    <w:rsid w:val="00B70B1D"/>
    <w:rsid w:val="00B70B6C"/>
    <w:rsid w:val="00B70C33"/>
    <w:rsid w:val="00B70C89"/>
    <w:rsid w:val="00B70CAF"/>
    <w:rsid w:val="00B70D0C"/>
    <w:rsid w:val="00B70DDD"/>
    <w:rsid w:val="00B70E2C"/>
    <w:rsid w:val="00B70F10"/>
    <w:rsid w:val="00B71151"/>
    <w:rsid w:val="00B7120C"/>
    <w:rsid w:val="00B71235"/>
    <w:rsid w:val="00B71247"/>
    <w:rsid w:val="00B712A8"/>
    <w:rsid w:val="00B712EF"/>
    <w:rsid w:val="00B71303"/>
    <w:rsid w:val="00B71333"/>
    <w:rsid w:val="00B7133C"/>
    <w:rsid w:val="00B71363"/>
    <w:rsid w:val="00B7147B"/>
    <w:rsid w:val="00B71575"/>
    <w:rsid w:val="00B715F1"/>
    <w:rsid w:val="00B716B8"/>
    <w:rsid w:val="00B71705"/>
    <w:rsid w:val="00B71706"/>
    <w:rsid w:val="00B71741"/>
    <w:rsid w:val="00B71744"/>
    <w:rsid w:val="00B718D8"/>
    <w:rsid w:val="00B7193C"/>
    <w:rsid w:val="00B71943"/>
    <w:rsid w:val="00B7195C"/>
    <w:rsid w:val="00B7197B"/>
    <w:rsid w:val="00B719A9"/>
    <w:rsid w:val="00B71AD8"/>
    <w:rsid w:val="00B71AED"/>
    <w:rsid w:val="00B71AF2"/>
    <w:rsid w:val="00B71B24"/>
    <w:rsid w:val="00B71B2D"/>
    <w:rsid w:val="00B71B7E"/>
    <w:rsid w:val="00B71C41"/>
    <w:rsid w:val="00B71C6C"/>
    <w:rsid w:val="00B71CAA"/>
    <w:rsid w:val="00B71CEE"/>
    <w:rsid w:val="00B71D49"/>
    <w:rsid w:val="00B71D4D"/>
    <w:rsid w:val="00B71D60"/>
    <w:rsid w:val="00B71D61"/>
    <w:rsid w:val="00B71D66"/>
    <w:rsid w:val="00B71DDF"/>
    <w:rsid w:val="00B71E93"/>
    <w:rsid w:val="00B71E9C"/>
    <w:rsid w:val="00B71EB7"/>
    <w:rsid w:val="00B71EB9"/>
    <w:rsid w:val="00B71EE8"/>
    <w:rsid w:val="00B71F99"/>
    <w:rsid w:val="00B71FCF"/>
    <w:rsid w:val="00B72087"/>
    <w:rsid w:val="00B720C9"/>
    <w:rsid w:val="00B720EC"/>
    <w:rsid w:val="00B721D0"/>
    <w:rsid w:val="00B721FE"/>
    <w:rsid w:val="00B72268"/>
    <w:rsid w:val="00B7234C"/>
    <w:rsid w:val="00B72435"/>
    <w:rsid w:val="00B72580"/>
    <w:rsid w:val="00B7258D"/>
    <w:rsid w:val="00B725C3"/>
    <w:rsid w:val="00B725CC"/>
    <w:rsid w:val="00B7261C"/>
    <w:rsid w:val="00B726A8"/>
    <w:rsid w:val="00B726CC"/>
    <w:rsid w:val="00B726F2"/>
    <w:rsid w:val="00B72796"/>
    <w:rsid w:val="00B727CF"/>
    <w:rsid w:val="00B7284C"/>
    <w:rsid w:val="00B728BC"/>
    <w:rsid w:val="00B728EF"/>
    <w:rsid w:val="00B7291F"/>
    <w:rsid w:val="00B7294A"/>
    <w:rsid w:val="00B7294F"/>
    <w:rsid w:val="00B729B1"/>
    <w:rsid w:val="00B729F8"/>
    <w:rsid w:val="00B72AAD"/>
    <w:rsid w:val="00B72AF3"/>
    <w:rsid w:val="00B72B14"/>
    <w:rsid w:val="00B72B2D"/>
    <w:rsid w:val="00B72B32"/>
    <w:rsid w:val="00B72C7C"/>
    <w:rsid w:val="00B72C7F"/>
    <w:rsid w:val="00B72C86"/>
    <w:rsid w:val="00B72D0A"/>
    <w:rsid w:val="00B72D8D"/>
    <w:rsid w:val="00B72DBA"/>
    <w:rsid w:val="00B72E28"/>
    <w:rsid w:val="00B72E7A"/>
    <w:rsid w:val="00B72E97"/>
    <w:rsid w:val="00B72F27"/>
    <w:rsid w:val="00B72F94"/>
    <w:rsid w:val="00B72FE7"/>
    <w:rsid w:val="00B73043"/>
    <w:rsid w:val="00B73054"/>
    <w:rsid w:val="00B7305E"/>
    <w:rsid w:val="00B7307A"/>
    <w:rsid w:val="00B730B8"/>
    <w:rsid w:val="00B730E8"/>
    <w:rsid w:val="00B7310F"/>
    <w:rsid w:val="00B73184"/>
    <w:rsid w:val="00B731D0"/>
    <w:rsid w:val="00B731ED"/>
    <w:rsid w:val="00B73209"/>
    <w:rsid w:val="00B7329E"/>
    <w:rsid w:val="00B732B0"/>
    <w:rsid w:val="00B73302"/>
    <w:rsid w:val="00B73334"/>
    <w:rsid w:val="00B73395"/>
    <w:rsid w:val="00B733F8"/>
    <w:rsid w:val="00B73426"/>
    <w:rsid w:val="00B73429"/>
    <w:rsid w:val="00B73505"/>
    <w:rsid w:val="00B735C5"/>
    <w:rsid w:val="00B735EC"/>
    <w:rsid w:val="00B735F4"/>
    <w:rsid w:val="00B736E8"/>
    <w:rsid w:val="00B7372A"/>
    <w:rsid w:val="00B7372C"/>
    <w:rsid w:val="00B7382A"/>
    <w:rsid w:val="00B7384E"/>
    <w:rsid w:val="00B738D7"/>
    <w:rsid w:val="00B7395E"/>
    <w:rsid w:val="00B739C6"/>
    <w:rsid w:val="00B73A10"/>
    <w:rsid w:val="00B73A25"/>
    <w:rsid w:val="00B73A9A"/>
    <w:rsid w:val="00B73AD6"/>
    <w:rsid w:val="00B73B04"/>
    <w:rsid w:val="00B73B1D"/>
    <w:rsid w:val="00B73B85"/>
    <w:rsid w:val="00B73BD9"/>
    <w:rsid w:val="00B73C22"/>
    <w:rsid w:val="00B73CA2"/>
    <w:rsid w:val="00B73CBD"/>
    <w:rsid w:val="00B73D0B"/>
    <w:rsid w:val="00B73DF8"/>
    <w:rsid w:val="00B73EFD"/>
    <w:rsid w:val="00B73F3C"/>
    <w:rsid w:val="00B73F42"/>
    <w:rsid w:val="00B73F7F"/>
    <w:rsid w:val="00B73FA9"/>
    <w:rsid w:val="00B73FFD"/>
    <w:rsid w:val="00B740C7"/>
    <w:rsid w:val="00B74112"/>
    <w:rsid w:val="00B7412F"/>
    <w:rsid w:val="00B7415B"/>
    <w:rsid w:val="00B741DD"/>
    <w:rsid w:val="00B741E2"/>
    <w:rsid w:val="00B7429D"/>
    <w:rsid w:val="00B742F2"/>
    <w:rsid w:val="00B74337"/>
    <w:rsid w:val="00B743AC"/>
    <w:rsid w:val="00B743DF"/>
    <w:rsid w:val="00B743FA"/>
    <w:rsid w:val="00B74407"/>
    <w:rsid w:val="00B7440C"/>
    <w:rsid w:val="00B74433"/>
    <w:rsid w:val="00B7446A"/>
    <w:rsid w:val="00B744B4"/>
    <w:rsid w:val="00B7455B"/>
    <w:rsid w:val="00B74601"/>
    <w:rsid w:val="00B7462F"/>
    <w:rsid w:val="00B7467F"/>
    <w:rsid w:val="00B74681"/>
    <w:rsid w:val="00B7469B"/>
    <w:rsid w:val="00B7473F"/>
    <w:rsid w:val="00B7474B"/>
    <w:rsid w:val="00B7476A"/>
    <w:rsid w:val="00B747CB"/>
    <w:rsid w:val="00B747E6"/>
    <w:rsid w:val="00B74933"/>
    <w:rsid w:val="00B7499E"/>
    <w:rsid w:val="00B749C3"/>
    <w:rsid w:val="00B749FE"/>
    <w:rsid w:val="00B74A16"/>
    <w:rsid w:val="00B74C04"/>
    <w:rsid w:val="00B74C57"/>
    <w:rsid w:val="00B74CCF"/>
    <w:rsid w:val="00B74E35"/>
    <w:rsid w:val="00B74E8E"/>
    <w:rsid w:val="00B74F49"/>
    <w:rsid w:val="00B74F7F"/>
    <w:rsid w:val="00B74FC1"/>
    <w:rsid w:val="00B75018"/>
    <w:rsid w:val="00B750BB"/>
    <w:rsid w:val="00B750D7"/>
    <w:rsid w:val="00B751A5"/>
    <w:rsid w:val="00B751C3"/>
    <w:rsid w:val="00B75215"/>
    <w:rsid w:val="00B7522B"/>
    <w:rsid w:val="00B75268"/>
    <w:rsid w:val="00B75281"/>
    <w:rsid w:val="00B753E3"/>
    <w:rsid w:val="00B7547C"/>
    <w:rsid w:val="00B754D4"/>
    <w:rsid w:val="00B7552F"/>
    <w:rsid w:val="00B75593"/>
    <w:rsid w:val="00B755E6"/>
    <w:rsid w:val="00B7563C"/>
    <w:rsid w:val="00B7576F"/>
    <w:rsid w:val="00B75794"/>
    <w:rsid w:val="00B75797"/>
    <w:rsid w:val="00B75805"/>
    <w:rsid w:val="00B75819"/>
    <w:rsid w:val="00B75967"/>
    <w:rsid w:val="00B7599B"/>
    <w:rsid w:val="00B75A1E"/>
    <w:rsid w:val="00B75A7B"/>
    <w:rsid w:val="00B75AF2"/>
    <w:rsid w:val="00B75B08"/>
    <w:rsid w:val="00B75B15"/>
    <w:rsid w:val="00B75D5B"/>
    <w:rsid w:val="00B75E13"/>
    <w:rsid w:val="00B75EBF"/>
    <w:rsid w:val="00B75F7D"/>
    <w:rsid w:val="00B75F9C"/>
    <w:rsid w:val="00B75FA0"/>
    <w:rsid w:val="00B76057"/>
    <w:rsid w:val="00B7622C"/>
    <w:rsid w:val="00B76309"/>
    <w:rsid w:val="00B7630E"/>
    <w:rsid w:val="00B7635C"/>
    <w:rsid w:val="00B7643B"/>
    <w:rsid w:val="00B76502"/>
    <w:rsid w:val="00B765F6"/>
    <w:rsid w:val="00B7662F"/>
    <w:rsid w:val="00B7663C"/>
    <w:rsid w:val="00B766DD"/>
    <w:rsid w:val="00B767D9"/>
    <w:rsid w:val="00B767DB"/>
    <w:rsid w:val="00B76863"/>
    <w:rsid w:val="00B76867"/>
    <w:rsid w:val="00B768F0"/>
    <w:rsid w:val="00B76925"/>
    <w:rsid w:val="00B769BB"/>
    <w:rsid w:val="00B76AB9"/>
    <w:rsid w:val="00B76AC5"/>
    <w:rsid w:val="00B76B43"/>
    <w:rsid w:val="00B76B68"/>
    <w:rsid w:val="00B76C20"/>
    <w:rsid w:val="00B76C55"/>
    <w:rsid w:val="00B76C7B"/>
    <w:rsid w:val="00B76CA3"/>
    <w:rsid w:val="00B76CD1"/>
    <w:rsid w:val="00B76D09"/>
    <w:rsid w:val="00B76D0C"/>
    <w:rsid w:val="00B76D44"/>
    <w:rsid w:val="00B76DEE"/>
    <w:rsid w:val="00B76E1A"/>
    <w:rsid w:val="00B76E1C"/>
    <w:rsid w:val="00B76E5A"/>
    <w:rsid w:val="00B76E7D"/>
    <w:rsid w:val="00B76E9F"/>
    <w:rsid w:val="00B76EE1"/>
    <w:rsid w:val="00B76F1C"/>
    <w:rsid w:val="00B77029"/>
    <w:rsid w:val="00B77099"/>
    <w:rsid w:val="00B77140"/>
    <w:rsid w:val="00B771DD"/>
    <w:rsid w:val="00B771E7"/>
    <w:rsid w:val="00B771FF"/>
    <w:rsid w:val="00B77256"/>
    <w:rsid w:val="00B77319"/>
    <w:rsid w:val="00B77327"/>
    <w:rsid w:val="00B77341"/>
    <w:rsid w:val="00B773EC"/>
    <w:rsid w:val="00B77423"/>
    <w:rsid w:val="00B77432"/>
    <w:rsid w:val="00B774AB"/>
    <w:rsid w:val="00B774FF"/>
    <w:rsid w:val="00B7756E"/>
    <w:rsid w:val="00B775DE"/>
    <w:rsid w:val="00B776F0"/>
    <w:rsid w:val="00B7770B"/>
    <w:rsid w:val="00B7770C"/>
    <w:rsid w:val="00B7773B"/>
    <w:rsid w:val="00B7784B"/>
    <w:rsid w:val="00B778C5"/>
    <w:rsid w:val="00B778E2"/>
    <w:rsid w:val="00B77947"/>
    <w:rsid w:val="00B77984"/>
    <w:rsid w:val="00B779D1"/>
    <w:rsid w:val="00B77A42"/>
    <w:rsid w:val="00B77AB2"/>
    <w:rsid w:val="00B77AC7"/>
    <w:rsid w:val="00B77B4B"/>
    <w:rsid w:val="00B77B4D"/>
    <w:rsid w:val="00B77BC5"/>
    <w:rsid w:val="00B77BD7"/>
    <w:rsid w:val="00B77E8C"/>
    <w:rsid w:val="00B77F74"/>
    <w:rsid w:val="00B77FB9"/>
    <w:rsid w:val="00B80011"/>
    <w:rsid w:val="00B80109"/>
    <w:rsid w:val="00B801BF"/>
    <w:rsid w:val="00B8021F"/>
    <w:rsid w:val="00B80254"/>
    <w:rsid w:val="00B80258"/>
    <w:rsid w:val="00B80288"/>
    <w:rsid w:val="00B80298"/>
    <w:rsid w:val="00B802B7"/>
    <w:rsid w:val="00B8030F"/>
    <w:rsid w:val="00B8034D"/>
    <w:rsid w:val="00B803EB"/>
    <w:rsid w:val="00B80427"/>
    <w:rsid w:val="00B80447"/>
    <w:rsid w:val="00B804DE"/>
    <w:rsid w:val="00B804E2"/>
    <w:rsid w:val="00B80522"/>
    <w:rsid w:val="00B8056E"/>
    <w:rsid w:val="00B805C7"/>
    <w:rsid w:val="00B80646"/>
    <w:rsid w:val="00B80772"/>
    <w:rsid w:val="00B8079D"/>
    <w:rsid w:val="00B807D4"/>
    <w:rsid w:val="00B80890"/>
    <w:rsid w:val="00B808BC"/>
    <w:rsid w:val="00B80981"/>
    <w:rsid w:val="00B809AB"/>
    <w:rsid w:val="00B809CB"/>
    <w:rsid w:val="00B809F4"/>
    <w:rsid w:val="00B80A2A"/>
    <w:rsid w:val="00B80A63"/>
    <w:rsid w:val="00B80A91"/>
    <w:rsid w:val="00B80AB8"/>
    <w:rsid w:val="00B80AE8"/>
    <w:rsid w:val="00B80B2F"/>
    <w:rsid w:val="00B80B7A"/>
    <w:rsid w:val="00B80BC8"/>
    <w:rsid w:val="00B80C20"/>
    <w:rsid w:val="00B80CE9"/>
    <w:rsid w:val="00B80D5B"/>
    <w:rsid w:val="00B80E9F"/>
    <w:rsid w:val="00B80EBA"/>
    <w:rsid w:val="00B80F33"/>
    <w:rsid w:val="00B80F94"/>
    <w:rsid w:val="00B80FB3"/>
    <w:rsid w:val="00B81099"/>
    <w:rsid w:val="00B810FD"/>
    <w:rsid w:val="00B8116D"/>
    <w:rsid w:val="00B8143E"/>
    <w:rsid w:val="00B8145E"/>
    <w:rsid w:val="00B8153F"/>
    <w:rsid w:val="00B81567"/>
    <w:rsid w:val="00B8157C"/>
    <w:rsid w:val="00B8165F"/>
    <w:rsid w:val="00B816B1"/>
    <w:rsid w:val="00B8170E"/>
    <w:rsid w:val="00B81718"/>
    <w:rsid w:val="00B8172B"/>
    <w:rsid w:val="00B8178C"/>
    <w:rsid w:val="00B81827"/>
    <w:rsid w:val="00B818B7"/>
    <w:rsid w:val="00B81A32"/>
    <w:rsid w:val="00B81A34"/>
    <w:rsid w:val="00B81AD6"/>
    <w:rsid w:val="00B81B83"/>
    <w:rsid w:val="00B81B9E"/>
    <w:rsid w:val="00B81BA0"/>
    <w:rsid w:val="00B81C53"/>
    <w:rsid w:val="00B81C87"/>
    <w:rsid w:val="00B81CBF"/>
    <w:rsid w:val="00B81E30"/>
    <w:rsid w:val="00B81EA4"/>
    <w:rsid w:val="00B81F02"/>
    <w:rsid w:val="00B81F35"/>
    <w:rsid w:val="00B81F45"/>
    <w:rsid w:val="00B81F82"/>
    <w:rsid w:val="00B8208D"/>
    <w:rsid w:val="00B820C5"/>
    <w:rsid w:val="00B8210E"/>
    <w:rsid w:val="00B82147"/>
    <w:rsid w:val="00B82165"/>
    <w:rsid w:val="00B8219B"/>
    <w:rsid w:val="00B821BD"/>
    <w:rsid w:val="00B821C5"/>
    <w:rsid w:val="00B821C7"/>
    <w:rsid w:val="00B821E9"/>
    <w:rsid w:val="00B82215"/>
    <w:rsid w:val="00B82391"/>
    <w:rsid w:val="00B82392"/>
    <w:rsid w:val="00B823C8"/>
    <w:rsid w:val="00B8243F"/>
    <w:rsid w:val="00B8245A"/>
    <w:rsid w:val="00B8248E"/>
    <w:rsid w:val="00B824E7"/>
    <w:rsid w:val="00B82527"/>
    <w:rsid w:val="00B82543"/>
    <w:rsid w:val="00B825A7"/>
    <w:rsid w:val="00B82623"/>
    <w:rsid w:val="00B8269B"/>
    <w:rsid w:val="00B826E0"/>
    <w:rsid w:val="00B82710"/>
    <w:rsid w:val="00B82778"/>
    <w:rsid w:val="00B82841"/>
    <w:rsid w:val="00B82873"/>
    <w:rsid w:val="00B828B1"/>
    <w:rsid w:val="00B828CF"/>
    <w:rsid w:val="00B8291F"/>
    <w:rsid w:val="00B8297E"/>
    <w:rsid w:val="00B82993"/>
    <w:rsid w:val="00B82999"/>
    <w:rsid w:val="00B829A8"/>
    <w:rsid w:val="00B829CC"/>
    <w:rsid w:val="00B82A28"/>
    <w:rsid w:val="00B82AA5"/>
    <w:rsid w:val="00B82AD3"/>
    <w:rsid w:val="00B82ADB"/>
    <w:rsid w:val="00B82AE3"/>
    <w:rsid w:val="00B82BC6"/>
    <w:rsid w:val="00B82C7D"/>
    <w:rsid w:val="00B82C98"/>
    <w:rsid w:val="00B82CCF"/>
    <w:rsid w:val="00B82CF0"/>
    <w:rsid w:val="00B82CFF"/>
    <w:rsid w:val="00B82D2D"/>
    <w:rsid w:val="00B82D39"/>
    <w:rsid w:val="00B82D3A"/>
    <w:rsid w:val="00B82D3F"/>
    <w:rsid w:val="00B82D72"/>
    <w:rsid w:val="00B82E01"/>
    <w:rsid w:val="00B82EE1"/>
    <w:rsid w:val="00B82F29"/>
    <w:rsid w:val="00B82F65"/>
    <w:rsid w:val="00B82FB3"/>
    <w:rsid w:val="00B82FCD"/>
    <w:rsid w:val="00B83032"/>
    <w:rsid w:val="00B83039"/>
    <w:rsid w:val="00B83064"/>
    <w:rsid w:val="00B8308E"/>
    <w:rsid w:val="00B830CD"/>
    <w:rsid w:val="00B83185"/>
    <w:rsid w:val="00B831BC"/>
    <w:rsid w:val="00B831D2"/>
    <w:rsid w:val="00B83265"/>
    <w:rsid w:val="00B832B0"/>
    <w:rsid w:val="00B832D3"/>
    <w:rsid w:val="00B83388"/>
    <w:rsid w:val="00B833EF"/>
    <w:rsid w:val="00B83412"/>
    <w:rsid w:val="00B834AE"/>
    <w:rsid w:val="00B834C2"/>
    <w:rsid w:val="00B83519"/>
    <w:rsid w:val="00B835EE"/>
    <w:rsid w:val="00B83666"/>
    <w:rsid w:val="00B836B4"/>
    <w:rsid w:val="00B836CB"/>
    <w:rsid w:val="00B8372D"/>
    <w:rsid w:val="00B83771"/>
    <w:rsid w:val="00B837EE"/>
    <w:rsid w:val="00B83823"/>
    <w:rsid w:val="00B8387A"/>
    <w:rsid w:val="00B83897"/>
    <w:rsid w:val="00B838D8"/>
    <w:rsid w:val="00B838E1"/>
    <w:rsid w:val="00B838E4"/>
    <w:rsid w:val="00B83926"/>
    <w:rsid w:val="00B83A18"/>
    <w:rsid w:val="00B83A3E"/>
    <w:rsid w:val="00B83A82"/>
    <w:rsid w:val="00B83AFA"/>
    <w:rsid w:val="00B83B17"/>
    <w:rsid w:val="00B83C43"/>
    <w:rsid w:val="00B83C5B"/>
    <w:rsid w:val="00B83D40"/>
    <w:rsid w:val="00B83D52"/>
    <w:rsid w:val="00B83E0D"/>
    <w:rsid w:val="00B83E60"/>
    <w:rsid w:val="00B83F25"/>
    <w:rsid w:val="00B83F2F"/>
    <w:rsid w:val="00B83F48"/>
    <w:rsid w:val="00B83FC3"/>
    <w:rsid w:val="00B8407C"/>
    <w:rsid w:val="00B840F5"/>
    <w:rsid w:val="00B8415C"/>
    <w:rsid w:val="00B841EE"/>
    <w:rsid w:val="00B841F3"/>
    <w:rsid w:val="00B8422B"/>
    <w:rsid w:val="00B842A9"/>
    <w:rsid w:val="00B84349"/>
    <w:rsid w:val="00B843C5"/>
    <w:rsid w:val="00B843D1"/>
    <w:rsid w:val="00B843E1"/>
    <w:rsid w:val="00B8444D"/>
    <w:rsid w:val="00B844A8"/>
    <w:rsid w:val="00B84557"/>
    <w:rsid w:val="00B845A0"/>
    <w:rsid w:val="00B845C9"/>
    <w:rsid w:val="00B845DD"/>
    <w:rsid w:val="00B845E5"/>
    <w:rsid w:val="00B8481F"/>
    <w:rsid w:val="00B84833"/>
    <w:rsid w:val="00B84869"/>
    <w:rsid w:val="00B848A4"/>
    <w:rsid w:val="00B848AC"/>
    <w:rsid w:val="00B848B5"/>
    <w:rsid w:val="00B84934"/>
    <w:rsid w:val="00B849C1"/>
    <w:rsid w:val="00B84A18"/>
    <w:rsid w:val="00B84A1C"/>
    <w:rsid w:val="00B84A56"/>
    <w:rsid w:val="00B84A9C"/>
    <w:rsid w:val="00B84B4A"/>
    <w:rsid w:val="00B84B85"/>
    <w:rsid w:val="00B84C7E"/>
    <w:rsid w:val="00B84CC9"/>
    <w:rsid w:val="00B84D83"/>
    <w:rsid w:val="00B84DDB"/>
    <w:rsid w:val="00B84E18"/>
    <w:rsid w:val="00B84E27"/>
    <w:rsid w:val="00B84E9B"/>
    <w:rsid w:val="00B84F35"/>
    <w:rsid w:val="00B84F74"/>
    <w:rsid w:val="00B84F80"/>
    <w:rsid w:val="00B8500D"/>
    <w:rsid w:val="00B850DF"/>
    <w:rsid w:val="00B850EF"/>
    <w:rsid w:val="00B8510B"/>
    <w:rsid w:val="00B85137"/>
    <w:rsid w:val="00B851DB"/>
    <w:rsid w:val="00B85320"/>
    <w:rsid w:val="00B853BE"/>
    <w:rsid w:val="00B85434"/>
    <w:rsid w:val="00B85517"/>
    <w:rsid w:val="00B85521"/>
    <w:rsid w:val="00B85557"/>
    <w:rsid w:val="00B85566"/>
    <w:rsid w:val="00B85573"/>
    <w:rsid w:val="00B85603"/>
    <w:rsid w:val="00B85626"/>
    <w:rsid w:val="00B8567A"/>
    <w:rsid w:val="00B8579A"/>
    <w:rsid w:val="00B857AC"/>
    <w:rsid w:val="00B857EF"/>
    <w:rsid w:val="00B85818"/>
    <w:rsid w:val="00B858A1"/>
    <w:rsid w:val="00B8594A"/>
    <w:rsid w:val="00B8597E"/>
    <w:rsid w:val="00B85A1D"/>
    <w:rsid w:val="00B85A3E"/>
    <w:rsid w:val="00B85AF2"/>
    <w:rsid w:val="00B85B4D"/>
    <w:rsid w:val="00B85BBC"/>
    <w:rsid w:val="00B85BF9"/>
    <w:rsid w:val="00B85D76"/>
    <w:rsid w:val="00B85DB6"/>
    <w:rsid w:val="00B85E28"/>
    <w:rsid w:val="00B85E5C"/>
    <w:rsid w:val="00B85F22"/>
    <w:rsid w:val="00B86030"/>
    <w:rsid w:val="00B86110"/>
    <w:rsid w:val="00B86170"/>
    <w:rsid w:val="00B862A6"/>
    <w:rsid w:val="00B862AB"/>
    <w:rsid w:val="00B862B8"/>
    <w:rsid w:val="00B8638B"/>
    <w:rsid w:val="00B863C3"/>
    <w:rsid w:val="00B86607"/>
    <w:rsid w:val="00B866BF"/>
    <w:rsid w:val="00B86720"/>
    <w:rsid w:val="00B86724"/>
    <w:rsid w:val="00B867A0"/>
    <w:rsid w:val="00B86808"/>
    <w:rsid w:val="00B868B6"/>
    <w:rsid w:val="00B86A0C"/>
    <w:rsid w:val="00B86A60"/>
    <w:rsid w:val="00B86A84"/>
    <w:rsid w:val="00B86AD3"/>
    <w:rsid w:val="00B86AFB"/>
    <w:rsid w:val="00B86B7A"/>
    <w:rsid w:val="00B86B9A"/>
    <w:rsid w:val="00B86CF6"/>
    <w:rsid w:val="00B86D0A"/>
    <w:rsid w:val="00B86E18"/>
    <w:rsid w:val="00B86E21"/>
    <w:rsid w:val="00B86E2F"/>
    <w:rsid w:val="00B86EA7"/>
    <w:rsid w:val="00B86EF2"/>
    <w:rsid w:val="00B87008"/>
    <w:rsid w:val="00B87057"/>
    <w:rsid w:val="00B870E7"/>
    <w:rsid w:val="00B870FE"/>
    <w:rsid w:val="00B87105"/>
    <w:rsid w:val="00B87152"/>
    <w:rsid w:val="00B871F5"/>
    <w:rsid w:val="00B87234"/>
    <w:rsid w:val="00B87249"/>
    <w:rsid w:val="00B87253"/>
    <w:rsid w:val="00B872D3"/>
    <w:rsid w:val="00B87324"/>
    <w:rsid w:val="00B87418"/>
    <w:rsid w:val="00B8745A"/>
    <w:rsid w:val="00B874A0"/>
    <w:rsid w:val="00B875F0"/>
    <w:rsid w:val="00B87637"/>
    <w:rsid w:val="00B876A4"/>
    <w:rsid w:val="00B876D8"/>
    <w:rsid w:val="00B877C4"/>
    <w:rsid w:val="00B877ED"/>
    <w:rsid w:val="00B8781F"/>
    <w:rsid w:val="00B87844"/>
    <w:rsid w:val="00B87859"/>
    <w:rsid w:val="00B8789E"/>
    <w:rsid w:val="00B87912"/>
    <w:rsid w:val="00B879C9"/>
    <w:rsid w:val="00B879EE"/>
    <w:rsid w:val="00B87BBB"/>
    <w:rsid w:val="00B87C52"/>
    <w:rsid w:val="00B87C5B"/>
    <w:rsid w:val="00B87C5F"/>
    <w:rsid w:val="00B87C73"/>
    <w:rsid w:val="00B87D4D"/>
    <w:rsid w:val="00B87D97"/>
    <w:rsid w:val="00B87E60"/>
    <w:rsid w:val="00B87F1C"/>
    <w:rsid w:val="00B87FAD"/>
    <w:rsid w:val="00B9003C"/>
    <w:rsid w:val="00B90092"/>
    <w:rsid w:val="00B90151"/>
    <w:rsid w:val="00B90194"/>
    <w:rsid w:val="00B90208"/>
    <w:rsid w:val="00B90246"/>
    <w:rsid w:val="00B9027C"/>
    <w:rsid w:val="00B902F2"/>
    <w:rsid w:val="00B904F1"/>
    <w:rsid w:val="00B90515"/>
    <w:rsid w:val="00B90541"/>
    <w:rsid w:val="00B905B3"/>
    <w:rsid w:val="00B905FB"/>
    <w:rsid w:val="00B9061E"/>
    <w:rsid w:val="00B90624"/>
    <w:rsid w:val="00B9062F"/>
    <w:rsid w:val="00B9065E"/>
    <w:rsid w:val="00B90691"/>
    <w:rsid w:val="00B90730"/>
    <w:rsid w:val="00B9082D"/>
    <w:rsid w:val="00B908A9"/>
    <w:rsid w:val="00B908B7"/>
    <w:rsid w:val="00B908C1"/>
    <w:rsid w:val="00B90929"/>
    <w:rsid w:val="00B9095C"/>
    <w:rsid w:val="00B909DA"/>
    <w:rsid w:val="00B90A00"/>
    <w:rsid w:val="00B90A3A"/>
    <w:rsid w:val="00B90BAB"/>
    <w:rsid w:val="00B90BC2"/>
    <w:rsid w:val="00B90C1A"/>
    <w:rsid w:val="00B90C9A"/>
    <w:rsid w:val="00B90D31"/>
    <w:rsid w:val="00B90D37"/>
    <w:rsid w:val="00B90D43"/>
    <w:rsid w:val="00B90D64"/>
    <w:rsid w:val="00B90D6E"/>
    <w:rsid w:val="00B90DAC"/>
    <w:rsid w:val="00B90DC9"/>
    <w:rsid w:val="00B90E3E"/>
    <w:rsid w:val="00B90E5C"/>
    <w:rsid w:val="00B90F25"/>
    <w:rsid w:val="00B90F38"/>
    <w:rsid w:val="00B90FD1"/>
    <w:rsid w:val="00B9100F"/>
    <w:rsid w:val="00B91162"/>
    <w:rsid w:val="00B91176"/>
    <w:rsid w:val="00B91209"/>
    <w:rsid w:val="00B912C4"/>
    <w:rsid w:val="00B91365"/>
    <w:rsid w:val="00B91536"/>
    <w:rsid w:val="00B915A6"/>
    <w:rsid w:val="00B9169F"/>
    <w:rsid w:val="00B916C1"/>
    <w:rsid w:val="00B9173E"/>
    <w:rsid w:val="00B917B1"/>
    <w:rsid w:val="00B9184E"/>
    <w:rsid w:val="00B91871"/>
    <w:rsid w:val="00B918F8"/>
    <w:rsid w:val="00B9190B"/>
    <w:rsid w:val="00B9194B"/>
    <w:rsid w:val="00B91A2E"/>
    <w:rsid w:val="00B91B27"/>
    <w:rsid w:val="00B91B3B"/>
    <w:rsid w:val="00B91B64"/>
    <w:rsid w:val="00B91B67"/>
    <w:rsid w:val="00B91B6A"/>
    <w:rsid w:val="00B91BB3"/>
    <w:rsid w:val="00B91BD3"/>
    <w:rsid w:val="00B91BE7"/>
    <w:rsid w:val="00B91C1D"/>
    <w:rsid w:val="00B91C3D"/>
    <w:rsid w:val="00B91C91"/>
    <w:rsid w:val="00B91CC4"/>
    <w:rsid w:val="00B91D47"/>
    <w:rsid w:val="00B91D80"/>
    <w:rsid w:val="00B91E2A"/>
    <w:rsid w:val="00B91E57"/>
    <w:rsid w:val="00B91ECE"/>
    <w:rsid w:val="00B91F01"/>
    <w:rsid w:val="00B91F5B"/>
    <w:rsid w:val="00B91FD8"/>
    <w:rsid w:val="00B91FFB"/>
    <w:rsid w:val="00B92038"/>
    <w:rsid w:val="00B9209D"/>
    <w:rsid w:val="00B92136"/>
    <w:rsid w:val="00B9215B"/>
    <w:rsid w:val="00B9230F"/>
    <w:rsid w:val="00B92341"/>
    <w:rsid w:val="00B923FF"/>
    <w:rsid w:val="00B92428"/>
    <w:rsid w:val="00B92435"/>
    <w:rsid w:val="00B9261B"/>
    <w:rsid w:val="00B92671"/>
    <w:rsid w:val="00B9269C"/>
    <w:rsid w:val="00B926A8"/>
    <w:rsid w:val="00B926BE"/>
    <w:rsid w:val="00B926FC"/>
    <w:rsid w:val="00B92757"/>
    <w:rsid w:val="00B9275D"/>
    <w:rsid w:val="00B92771"/>
    <w:rsid w:val="00B927E2"/>
    <w:rsid w:val="00B927FC"/>
    <w:rsid w:val="00B92893"/>
    <w:rsid w:val="00B928A6"/>
    <w:rsid w:val="00B9291A"/>
    <w:rsid w:val="00B9292F"/>
    <w:rsid w:val="00B9298D"/>
    <w:rsid w:val="00B929B2"/>
    <w:rsid w:val="00B92A00"/>
    <w:rsid w:val="00B92BAD"/>
    <w:rsid w:val="00B92BAE"/>
    <w:rsid w:val="00B92BB8"/>
    <w:rsid w:val="00B92BF6"/>
    <w:rsid w:val="00B92CD3"/>
    <w:rsid w:val="00B92D03"/>
    <w:rsid w:val="00B92D84"/>
    <w:rsid w:val="00B92E82"/>
    <w:rsid w:val="00B92EC9"/>
    <w:rsid w:val="00B92F65"/>
    <w:rsid w:val="00B930D3"/>
    <w:rsid w:val="00B930D7"/>
    <w:rsid w:val="00B930EC"/>
    <w:rsid w:val="00B93102"/>
    <w:rsid w:val="00B9318A"/>
    <w:rsid w:val="00B931AE"/>
    <w:rsid w:val="00B931BA"/>
    <w:rsid w:val="00B9324D"/>
    <w:rsid w:val="00B93268"/>
    <w:rsid w:val="00B9328A"/>
    <w:rsid w:val="00B932A2"/>
    <w:rsid w:val="00B932B7"/>
    <w:rsid w:val="00B932BA"/>
    <w:rsid w:val="00B93326"/>
    <w:rsid w:val="00B9332C"/>
    <w:rsid w:val="00B9338B"/>
    <w:rsid w:val="00B933A3"/>
    <w:rsid w:val="00B933B6"/>
    <w:rsid w:val="00B93452"/>
    <w:rsid w:val="00B9356E"/>
    <w:rsid w:val="00B936C2"/>
    <w:rsid w:val="00B936DA"/>
    <w:rsid w:val="00B936EE"/>
    <w:rsid w:val="00B9379D"/>
    <w:rsid w:val="00B93846"/>
    <w:rsid w:val="00B93857"/>
    <w:rsid w:val="00B938A7"/>
    <w:rsid w:val="00B93903"/>
    <w:rsid w:val="00B93951"/>
    <w:rsid w:val="00B939A7"/>
    <w:rsid w:val="00B93A00"/>
    <w:rsid w:val="00B93AD6"/>
    <w:rsid w:val="00B93AFB"/>
    <w:rsid w:val="00B93B62"/>
    <w:rsid w:val="00B93B88"/>
    <w:rsid w:val="00B93BF3"/>
    <w:rsid w:val="00B93C08"/>
    <w:rsid w:val="00B93CB4"/>
    <w:rsid w:val="00B93D43"/>
    <w:rsid w:val="00B93DB5"/>
    <w:rsid w:val="00B93DD7"/>
    <w:rsid w:val="00B93DD9"/>
    <w:rsid w:val="00B93DDC"/>
    <w:rsid w:val="00B93E48"/>
    <w:rsid w:val="00B93E6B"/>
    <w:rsid w:val="00B93F90"/>
    <w:rsid w:val="00B94024"/>
    <w:rsid w:val="00B94039"/>
    <w:rsid w:val="00B94087"/>
    <w:rsid w:val="00B9408F"/>
    <w:rsid w:val="00B940BC"/>
    <w:rsid w:val="00B9411B"/>
    <w:rsid w:val="00B94159"/>
    <w:rsid w:val="00B94194"/>
    <w:rsid w:val="00B941B5"/>
    <w:rsid w:val="00B941CE"/>
    <w:rsid w:val="00B94244"/>
    <w:rsid w:val="00B94260"/>
    <w:rsid w:val="00B942A3"/>
    <w:rsid w:val="00B94302"/>
    <w:rsid w:val="00B94363"/>
    <w:rsid w:val="00B943B9"/>
    <w:rsid w:val="00B943BA"/>
    <w:rsid w:val="00B94423"/>
    <w:rsid w:val="00B94468"/>
    <w:rsid w:val="00B944E0"/>
    <w:rsid w:val="00B944F0"/>
    <w:rsid w:val="00B9457F"/>
    <w:rsid w:val="00B945F1"/>
    <w:rsid w:val="00B9464D"/>
    <w:rsid w:val="00B94803"/>
    <w:rsid w:val="00B94840"/>
    <w:rsid w:val="00B94881"/>
    <w:rsid w:val="00B94907"/>
    <w:rsid w:val="00B94932"/>
    <w:rsid w:val="00B94978"/>
    <w:rsid w:val="00B94AD9"/>
    <w:rsid w:val="00B94B2D"/>
    <w:rsid w:val="00B94B3C"/>
    <w:rsid w:val="00B94BA1"/>
    <w:rsid w:val="00B94BF1"/>
    <w:rsid w:val="00B94C7B"/>
    <w:rsid w:val="00B94CBF"/>
    <w:rsid w:val="00B94D33"/>
    <w:rsid w:val="00B94D5B"/>
    <w:rsid w:val="00B94DC0"/>
    <w:rsid w:val="00B94DCD"/>
    <w:rsid w:val="00B94DE3"/>
    <w:rsid w:val="00B94EF8"/>
    <w:rsid w:val="00B94F8C"/>
    <w:rsid w:val="00B94FC7"/>
    <w:rsid w:val="00B95005"/>
    <w:rsid w:val="00B950D4"/>
    <w:rsid w:val="00B950EA"/>
    <w:rsid w:val="00B9514E"/>
    <w:rsid w:val="00B9515F"/>
    <w:rsid w:val="00B95183"/>
    <w:rsid w:val="00B95188"/>
    <w:rsid w:val="00B951C5"/>
    <w:rsid w:val="00B95288"/>
    <w:rsid w:val="00B9528F"/>
    <w:rsid w:val="00B95295"/>
    <w:rsid w:val="00B95390"/>
    <w:rsid w:val="00B95397"/>
    <w:rsid w:val="00B953C6"/>
    <w:rsid w:val="00B953E2"/>
    <w:rsid w:val="00B95416"/>
    <w:rsid w:val="00B954BD"/>
    <w:rsid w:val="00B954EC"/>
    <w:rsid w:val="00B95580"/>
    <w:rsid w:val="00B955C0"/>
    <w:rsid w:val="00B95603"/>
    <w:rsid w:val="00B95649"/>
    <w:rsid w:val="00B9573D"/>
    <w:rsid w:val="00B95814"/>
    <w:rsid w:val="00B9581D"/>
    <w:rsid w:val="00B95854"/>
    <w:rsid w:val="00B95877"/>
    <w:rsid w:val="00B958D5"/>
    <w:rsid w:val="00B9590C"/>
    <w:rsid w:val="00B959B1"/>
    <w:rsid w:val="00B95A2C"/>
    <w:rsid w:val="00B95A75"/>
    <w:rsid w:val="00B95A77"/>
    <w:rsid w:val="00B95A84"/>
    <w:rsid w:val="00B95A94"/>
    <w:rsid w:val="00B95A9E"/>
    <w:rsid w:val="00B95BF4"/>
    <w:rsid w:val="00B95C04"/>
    <w:rsid w:val="00B95C64"/>
    <w:rsid w:val="00B95C92"/>
    <w:rsid w:val="00B95D2A"/>
    <w:rsid w:val="00B95D56"/>
    <w:rsid w:val="00B95DF1"/>
    <w:rsid w:val="00B95E7D"/>
    <w:rsid w:val="00B95ED9"/>
    <w:rsid w:val="00B96023"/>
    <w:rsid w:val="00B9602B"/>
    <w:rsid w:val="00B9603C"/>
    <w:rsid w:val="00B96054"/>
    <w:rsid w:val="00B9606B"/>
    <w:rsid w:val="00B960C1"/>
    <w:rsid w:val="00B960DA"/>
    <w:rsid w:val="00B96109"/>
    <w:rsid w:val="00B96259"/>
    <w:rsid w:val="00B9629D"/>
    <w:rsid w:val="00B963BB"/>
    <w:rsid w:val="00B96468"/>
    <w:rsid w:val="00B96481"/>
    <w:rsid w:val="00B96516"/>
    <w:rsid w:val="00B965E8"/>
    <w:rsid w:val="00B965FE"/>
    <w:rsid w:val="00B96623"/>
    <w:rsid w:val="00B96776"/>
    <w:rsid w:val="00B9679A"/>
    <w:rsid w:val="00B967D5"/>
    <w:rsid w:val="00B96865"/>
    <w:rsid w:val="00B9690A"/>
    <w:rsid w:val="00B96C04"/>
    <w:rsid w:val="00B96C21"/>
    <w:rsid w:val="00B96C5C"/>
    <w:rsid w:val="00B96C98"/>
    <w:rsid w:val="00B96CE0"/>
    <w:rsid w:val="00B96CE3"/>
    <w:rsid w:val="00B96D1C"/>
    <w:rsid w:val="00B96D68"/>
    <w:rsid w:val="00B96DA8"/>
    <w:rsid w:val="00B96DC7"/>
    <w:rsid w:val="00B96E16"/>
    <w:rsid w:val="00B96E81"/>
    <w:rsid w:val="00B96EDF"/>
    <w:rsid w:val="00B96EE9"/>
    <w:rsid w:val="00B96F82"/>
    <w:rsid w:val="00B96FAD"/>
    <w:rsid w:val="00B96FCA"/>
    <w:rsid w:val="00B96FFE"/>
    <w:rsid w:val="00B97031"/>
    <w:rsid w:val="00B9706D"/>
    <w:rsid w:val="00B970DA"/>
    <w:rsid w:val="00B97111"/>
    <w:rsid w:val="00B9728F"/>
    <w:rsid w:val="00B97388"/>
    <w:rsid w:val="00B973F8"/>
    <w:rsid w:val="00B97538"/>
    <w:rsid w:val="00B9764B"/>
    <w:rsid w:val="00B97669"/>
    <w:rsid w:val="00B976D0"/>
    <w:rsid w:val="00B976DA"/>
    <w:rsid w:val="00B97701"/>
    <w:rsid w:val="00B9770B"/>
    <w:rsid w:val="00B97736"/>
    <w:rsid w:val="00B97737"/>
    <w:rsid w:val="00B977B2"/>
    <w:rsid w:val="00B97875"/>
    <w:rsid w:val="00B978E5"/>
    <w:rsid w:val="00B978F2"/>
    <w:rsid w:val="00B97A02"/>
    <w:rsid w:val="00B97A3F"/>
    <w:rsid w:val="00B97AAB"/>
    <w:rsid w:val="00B97AB4"/>
    <w:rsid w:val="00B97B5C"/>
    <w:rsid w:val="00B97C33"/>
    <w:rsid w:val="00B97C90"/>
    <w:rsid w:val="00B97CA3"/>
    <w:rsid w:val="00B97CB5"/>
    <w:rsid w:val="00B97D64"/>
    <w:rsid w:val="00B97EF3"/>
    <w:rsid w:val="00B97EF8"/>
    <w:rsid w:val="00B97F95"/>
    <w:rsid w:val="00BA0013"/>
    <w:rsid w:val="00BA001E"/>
    <w:rsid w:val="00BA006B"/>
    <w:rsid w:val="00BA007E"/>
    <w:rsid w:val="00BA008A"/>
    <w:rsid w:val="00BA00DD"/>
    <w:rsid w:val="00BA013A"/>
    <w:rsid w:val="00BA01A5"/>
    <w:rsid w:val="00BA020B"/>
    <w:rsid w:val="00BA0248"/>
    <w:rsid w:val="00BA032C"/>
    <w:rsid w:val="00BA03CB"/>
    <w:rsid w:val="00BA03D7"/>
    <w:rsid w:val="00BA042B"/>
    <w:rsid w:val="00BA0437"/>
    <w:rsid w:val="00BA04A1"/>
    <w:rsid w:val="00BA05F9"/>
    <w:rsid w:val="00BA05FF"/>
    <w:rsid w:val="00BA0640"/>
    <w:rsid w:val="00BA07F6"/>
    <w:rsid w:val="00BA086A"/>
    <w:rsid w:val="00BA0888"/>
    <w:rsid w:val="00BA0896"/>
    <w:rsid w:val="00BA08E7"/>
    <w:rsid w:val="00BA0931"/>
    <w:rsid w:val="00BA09B7"/>
    <w:rsid w:val="00BA0A71"/>
    <w:rsid w:val="00BA0A7E"/>
    <w:rsid w:val="00BA0B05"/>
    <w:rsid w:val="00BA0B9A"/>
    <w:rsid w:val="00BA0C09"/>
    <w:rsid w:val="00BA0C9D"/>
    <w:rsid w:val="00BA0CE9"/>
    <w:rsid w:val="00BA0D14"/>
    <w:rsid w:val="00BA0D37"/>
    <w:rsid w:val="00BA0D3C"/>
    <w:rsid w:val="00BA0E32"/>
    <w:rsid w:val="00BA0E61"/>
    <w:rsid w:val="00BA0E97"/>
    <w:rsid w:val="00BA0ECB"/>
    <w:rsid w:val="00BA0ECE"/>
    <w:rsid w:val="00BA0F8B"/>
    <w:rsid w:val="00BA1060"/>
    <w:rsid w:val="00BA10B5"/>
    <w:rsid w:val="00BA118E"/>
    <w:rsid w:val="00BA11B9"/>
    <w:rsid w:val="00BA1256"/>
    <w:rsid w:val="00BA1303"/>
    <w:rsid w:val="00BA1344"/>
    <w:rsid w:val="00BA134A"/>
    <w:rsid w:val="00BA139A"/>
    <w:rsid w:val="00BA13CD"/>
    <w:rsid w:val="00BA1413"/>
    <w:rsid w:val="00BA1418"/>
    <w:rsid w:val="00BA1434"/>
    <w:rsid w:val="00BA1570"/>
    <w:rsid w:val="00BA15F9"/>
    <w:rsid w:val="00BA16C6"/>
    <w:rsid w:val="00BA16DF"/>
    <w:rsid w:val="00BA1708"/>
    <w:rsid w:val="00BA1769"/>
    <w:rsid w:val="00BA182F"/>
    <w:rsid w:val="00BA1860"/>
    <w:rsid w:val="00BA1873"/>
    <w:rsid w:val="00BA1891"/>
    <w:rsid w:val="00BA1922"/>
    <w:rsid w:val="00BA194C"/>
    <w:rsid w:val="00BA1978"/>
    <w:rsid w:val="00BA1A7A"/>
    <w:rsid w:val="00BA1C2D"/>
    <w:rsid w:val="00BA1C68"/>
    <w:rsid w:val="00BA1CAE"/>
    <w:rsid w:val="00BA1CCA"/>
    <w:rsid w:val="00BA1CDD"/>
    <w:rsid w:val="00BA1D26"/>
    <w:rsid w:val="00BA1D67"/>
    <w:rsid w:val="00BA1E0F"/>
    <w:rsid w:val="00BA1E52"/>
    <w:rsid w:val="00BA1F33"/>
    <w:rsid w:val="00BA1F85"/>
    <w:rsid w:val="00BA1FBE"/>
    <w:rsid w:val="00BA1FD0"/>
    <w:rsid w:val="00BA20B7"/>
    <w:rsid w:val="00BA20FB"/>
    <w:rsid w:val="00BA2130"/>
    <w:rsid w:val="00BA21B7"/>
    <w:rsid w:val="00BA2203"/>
    <w:rsid w:val="00BA222C"/>
    <w:rsid w:val="00BA2244"/>
    <w:rsid w:val="00BA231E"/>
    <w:rsid w:val="00BA238A"/>
    <w:rsid w:val="00BA23BE"/>
    <w:rsid w:val="00BA23D2"/>
    <w:rsid w:val="00BA246A"/>
    <w:rsid w:val="00BA2515"/>
    <w:rsid w:val="00BA2642"/>
    <w:rsid w:val="00BA26E8"/>
    <w:rsid w:val="00BA2718"/>
    <w:rsid w:val="00BA274C"/>
    <w:rsid w:val="00BA28C1"/>
    <w:rsid w:val="00BA294A"/>
    <w:rsid w:val="00BA29AC"/>
    <w:rsid w:val="00BA2A48"/>
    <w:rsid w:val="00BA2D9E"/>
    <w:rsid w:val="00BA2E20"/>
    <w:rsid w:val="00BA2E8C"/>
    <w:rsid w:val="00BA2F09"/>
    <w:rsid w:val="00BA2F5D"/>
    <w:rsid w:val="00BA2F5E"/>
    <w:rsid w:val="00BA2FEB"/>
    <w:rsid w:val="00BA3071"/>
    <w:rsid w:val="00BA30AB"/>
    <w:rsid w:val="00BA30EA"/>
    <w:rsid w:val="00BA30FA"/>
    <w:rsid w:val="00BA3141"/>
    <w:rsid w:val="00BA31C0"/>
    <w:rsid w:val="00BA31C2"/>
    <w:rsid w:val="00BA329A"/>
    <w:rsid w:val="00BA32B2"/>
    <w:rsid w:val="00BA3376"/>
    <w:rsid w:val="00BA3456"/>
    <w:rsid w:val="00BA346E"/>
    <w:rsid w:val="00BA3473"/>
    <w:rsid w:val="00BA3486"/>
    <w:rsid w:val="00BA351E"/>
    <w:rsid w:val="00BA3563"/>
    <w:rsid w:val="00BA359E"/>
    <w:rsid w:val="00BA3619"/>
    <w:rsid w:val="00BA363A"/>
    <w:rsid w:val="00BA367A"/>
    <w:rsid w:val="00BA36D1"/>
    <w:rsid w:val="00BA36F2"/>
    <w:rsid w:val="00BA3757"/>
    <w:rsid w:val="00BA3797"/>
    <w:rsid w:val="00BA37F6"/>
    <w:rsid w:val="00BA381B"/>
    <w:rsid w:val="00BA387A"/>
    <w:rsid w:val="00BA38A2"/>
    <w:rsid w:val="00BA392A"/>
    <w:rsid w:val="00BA396A"/>
    <w:rsid w:val="00BA396C"/>
    <w:rsid w:val="00BA397E"/>
    <w:rsid w:val="00BA3A53"/>
    <w:rsid w:val="00BA3A9C"/>
    <w:rsid w:val="00BA3ACC"/>
    <w:rsid w:val="00BA3B0B"/>
    <w:rsid w:val="00BA3B26"/>
    <w:rsid w:val="00BA3B5F"/>
    <w:rsid w:val="00BA3BB2"/>
    <w:rsid w:val="00BA3BDB"/>
    <w:rsid w:val="00BA3BEB"/>
    <w:rsid w:val="00BA3BF2"/>
    <w:rsid w:val="00BA3C55"/>
    <w:rsid w:val="00BA3CB6"/>
    <w:rsid w:val="00BA3CB8"/>
    <w:rsid w:val="00BA3D04"/>
    <w:rsid w:val="00BA3D90"/>
    <w:rsid w:val="00BA3D97"/>
    <w:rsid w:val="00BA3F0B"/>
    <w:rsid w:val="00BA3F73"/>
    <w:rsid w:val="00BA3FBD"/>
    <w:rsid w:val="00BA3FE7"/>
    <w:rsid w:val="00BA40D5"/>
    <w:rsid w:val="00BA40E6"/>
    <w:rsid w:val="00BA4105"/>
    <w:rsid w:val="00BA4189"/>
    <w:rsid w:val="00BA4337"/>
    <w:rsid w:val="00BA4360"/>
    <w:rsid w:val="00BA4410"/>
    <w:rsid w:val="00BA445F"/>
    <w:rsid w:val="00BA446C"/>
    <w:rsid w:val="00BA453B"/>
    <w:rsid w:val="00BA45CC"/>
    <w:rsid w:val="00BA4703"/>
    <w:rsid w:val="00BA47FD"/>
    <w:rsid w:val="00BA483B"/>
    <w:rsid w:val="00BA488B"/>
    <w:rsid w:val="00BA48B4"/>
    <w:rsid w:val="00BA495D"/>
    <w:rsid w:val="00BA4970"/>
    <w:rsid w:val="00BA49C4"/>
    <w:rsid w:val="00BA49DB"/>
    <w:rsid w:val="00BA4A29"/>
    <w:rsid w:val="00BA4A6F"/>
    <w:rsid w:val="00BA4A88"/>
    <w:rsid w:val="00BA4AC6"/>
    <w:rsid w:val="00BA4B1F"/>
    <w:rsid w:val="00BA4BAA"/>
    <w:rsid w:val="00BA4BAD"/>
    <w:rsid w:val="00BA4C0F"/>
    <w:rsid w:val="00BA4C3B"/>
    <w:rsid w:val="00BA4C50"/>
    <w:rsid w:val="00BA4C60"/>
    <w:rsid w:val="00BA4D8B"/>
    <w:rsid w:val="00BA4E06"/>
    <w:rsid w:val="00BA4E27"/>
    <w:rsid w:val="00BA4E9A"/>
    <w:rsid w:val="00BA4EDD"/>
    <w:rsid w:val="00BA4EED"/>
    <w:rsid w:val="00BA4EFD"/>
    <w:rsid w:val="00BA4F86"/>
    <w:rsid w:val="00BA4FCE"/>
    <w:rsid w:val="00BA50A7"/>
    <w:rsid w:val="00BA50D4"/>
    <w:rsid w:val="00BA50EC"/>
    <w:rsid w:val="00BA50F0"/>
    <w:rsid w:val="00BA511B"/>
    <w:rsid w:val="00BA5126"/>
    <w:rsid w:val="00BA5189"/>
    <w:rsid w:val="00BA51C9"/>
    <w:rsid w:val="00BA52D0"/>
    <w:rsid w:val="00BA53FB"/>
    <w:rsid w:val="00BA5410"/>
    <w:rsid w:val="00BA542B"/>
    <w:rsid w:val="00BA547F"/>
    <w:rsid w:val="00BA54F3"/>
    <w:rsid w:val="00BA553E"/>
    <w:rsid w:val="00BA5549"/>
    <w:rsid w:val="00BA5560"/>
    <w:rsid w:val="00BA55C8"/>
    <w:rsid w:val="00BA563F"/>
    <w:rsid w:val="00BA5641"/>
    <w:rsid w:val="00BA5674"/>
    <w:rsid w:val="00BA56DA"/>
    <w:rsid w:val="00BA571A"/>
    <w:rsid w:val="00BA572C"/>
    <w:rsid w:val="00BA572D"/>
    <w:rsid w:val="00BA575C"/>
    <w:rsid w:val="00BA575E"/>
    <w:rsid w:val="00BA577A"/>
    <w:rsid w:val="00BA57B8"/>
    <w:rsid w:val="00BA57EB"/>
    <w:rsid w:val="00BA5880"/>
    <w:rsid w:val="00BA594A"/>
    <w:rsid w:val="00BA595F"/>
    <w:rsid w:val="00BA5966"/>
    <w:rsid w:val="00BA59D6"/>
    <w:rsid w:val="00BA5A76"/>
    <w:rsid w:val="00BA5A86"/>
    <w:rsid w:val="00BA5B3C"/>
    <w:rsid w:val="00BA5B77"/>
    <w:rsid w:val="00BA5B79"/>
    <w:rsid w:val="00BA5B85"/>
    <w:rsid w:val="00BA5C0E"/>
    <w:rsid w:val="00BA5C4C"/>
    <w:rsid w:val="00BA5DE9"/>
    <w:rsid w:val="00BA5DFE"/>
    <w:rsid w:val="00BA5E2E"/>
    <w:rsid w:val="00BA5EA8"/>
    <w:rsid w:val="00BA5ED8"/>
    <w:rsid w:val="00BA5FC4"/>
    <w:rsid w:val="00BA60AC"/>
    <w:rsid w:val="00BA6180"/>
    <w:rsid w:val="00BA61F3"/>
    <w:rsid w:val="00BA6211"/>
    <w:rsid w:val="00BA6285"/>
    <w:rsid w:val="00BA62C9"/>
    <w:rsid w:val="00BA6302"/>
    <w:rsid w:val="00BA630E"/>
    <w:rsid w:val="00BA6313"/>
    <w:rsid w:val="00BA6325"/>
    <w:rsid w:val="00BA6332"/>
    <w:rsid w:val="00BA635C"/>
    <w:rsid w:val="00BA641C"/>
    <w:rsid w:val="00BA6429"/>
    <w:rsid w:val="00BA64ED"/>
    <w:rsid w:val="00BA65E4"/>
    <w:rsid w:val="00BA662D"/>
    <w:rsid w:val="00BA6702"/>
    <w:rsid w:val="00BA671A"/>
    <w:rsid w:val="00BA6750"/>
    <w:rsid w:val="00BA6880"/>
    <w:rsid w:val="00BA68AE"/>
    <w:rsid w:val="00BA68E8"/>
    <w:rsid w:val="00BA691C"/>
    <w:rsid w:val="00BA6972"/>
    <w:rsid w:val="00BA698D"/>
    <w:rsid w:val="00BA6ABD"/>
    <w:rsid w:val="00BA6ACB"/>
    <w:rsid w:val="00BA6B2B"/>
    <w:rsid w:val="00BA6B4C"/>
    <w:rsid w:val="00BA6B8A"/>
    <w:rsid w:val="00BA6B92"/>
    <w:rsid w:val="00BA6B96"/>
    <w:rsid w:val="00BA6C52"/>
    <w:rsid w:val="00BA6C5F"/>
    <w:rsid w:val="00BA6C6D"/>
    <w:rsid w:val="00BA6D68"/>
    <w:rsid w:val="00BA6DCC"/>
    <w:rsid w:val="00BA6F1A"/>
    <w:rsid w:val="00BA6F49"/>
    <w:rsid w:val="00BA6FB6"/>
    <w:rsid w:val="00BA7027"/>
    <w:rsid w:val="00BA7035"/>
    <w:rsid w:val="00BA7042"/>
    <w:rsid w:val="00BA706B"/>
    <w:rsid w:val="00BA70A8"/>
    <w:rsid w:val="00BA70D3"/>
    <w:rsid w:val="00BA70F0"/>
    <w:rsid w:val="00BA7236"/>
    <w:rsid w:val="00BA72DD"/>
    <w:rsid w:val="00BA7301"/>
    <w:rsid w:val="00BA7386"/>
    <w:rsid w:val="00BA744E"/>
    <w:rsid w:val="00BA74F1"/>
    <w:rsid w:val="00BA7500"/>
    <w:rsid w:val="00BA7623"/>
    <w:rsid w:val="00BA76DA"/>
    <w:rsid w:val="00BA7727"/>
    <w:rsid w:val="00BA7782"/>
    <w:rsid w:val="00BA778E"/>
    <w:rsid w:val="00BA77CE"/>
    <w:rsid w:val="00BA7802"/>
    <w:rsid w:val="00BA7812"/>
    <w:rsid w:val="00BA7838"/>
    <w:rsid w:val="00BA791C"/>
    <w:rsid w:val="00BA7934"/>
    <w:rsid w:val="00BA79F8"/>
    <w:rsid w:val="00BA7A24"/>
    <w:rsid w:val="00BA7A79"/>
    <w:rsid w:val="00BA7AA5"/>
    <w:rsid w:val="00BA7AC4"/>
    <w:rsid w:val="00BA7AE5"/>
    <w:rsid w:val="00BA7BA8"/>
    <w:rsid w:val="00BA7CA8"/>
    <w:rsid w:val="00BA7D01"/>
    <w:rsid w:val="00BA7D19"/>
    <w:rsid w:val="00BA7E72"/>
    <w:rsid w:val="00BA7EF6"/>
    <w:rsid w:val="00BA7F5B"/>
    <w:rsid w:val="00BA7FA5"/>
    <w:rsid w:val="00BB00C3"/>
    <w:rsid w:val="00BB00D4"/>
    <w:rsid w:val="00BB0108"/>
    <w:rsid w:val="00BB01D5"/>
    <w:rsid w:val="00BB01D6"/>
    <w:rsid w:val="00BB01E5"/>
    <w:rsid w:val="00BB025C"/>
    <w:rsid w:val="00BB02C7"/>
    <w:rsid w:val="00BB0359"/>
    <w:rsid w:val="00BB0438"/>
    <w:rsid w:val="00BB044A"/>
    <w:rsid w:val="00BB0460"/>
    <w:rsid w:val="00BB04CD"/>
    <w:rsid w:val="00BB0527"/>
    <w:rsid w:val="00BB052A"/>
    <w:rsid w:val="00BB0563"/>
    <w:rsid w:val="00BB05ED"/>
    <w:rsid w:val="00BB06C3"/>
    <w:rsid w:val="00BB0721"/>
    <w:rsid w:val="00BB0747"/>
    <w:rsid w:val="00BB0798"/>
    <w:rsid w:val="00BB082E"/>
    <w:rsid w:val="00BB091F"/>
    <w:rsid w:val="00BB0A50"/>
    <w:rsid w:val="00BB0A76"/>
    <w:rsid w:val="00BB0BE6"/>
    <w:rsid w:val="00BB0C3E"/>
    <w:rsid w:val="00BB0CD8"/>
    <w:rsid w:val="00BB0DB1"/>
    <w:rsid w:val="00BB0DE5"/>
    <w:rsid w:val="00BB0E90"/>
    <w:rsid w:val="00BB0F55"/>
    <w:rsid w:val="00BB0FEF"/>
    <w:rsid w:val="00BB105A"/>
    <w:rsid w:val="00BB10EA"/>
    <w:rsid w:val="00BB1130"/>
    <w:rsid w:val="00BB113D"/>
    <w:rsid w:val="00BB1204"/>
    <w:rsid w:val="00BB13F2"/>
    <w:rsid w:val="00BB141D"/>
    <w:rsid w:val="00BB1451"/>
    <w:rsid w:val="00BB152F"/>
    <w:rsid w:val="00BB15B6"/>
    <w:rsid w:val="00BB15EB"/>
    <w:rsid w:val="00BB16A1"/>
    <w:rsid w:val="00BB16C6"/>
    <w:rsid w:val="00BB16E4"/>
    <w:rsid w:val="00BB1727"/>
    <w:rsid w:val="00BB1728"/>
    <w:rsid w:val="00BB173D"/>
    <w:rsid w:val="00BB1760"/>
    <w:rsid w:val="00BB1790"/>
    <w:rsid w:val="00BB1840"/>
    <w:rsid w:val="00BB186E"/>
    <w:rsid w:val="00BB1871"/>
    <w:rsid w:val="00BB188F"/>
    <w:rsid w:val="00BB18C4"/>
    <w:rsid w:val="00BB19C8"/>
    <w:rsid w:val="00BB1A05"/>
    <w:rsid w:val="00BB1A24"/>
    <w:rsid w:val="00BB1A28"/>
    <w:rsid w:val="00BB1A94"/>
    <w:rsid w:val="00BB1AA9"/>
    <w:rsid w:val="00BB1B5F"/>
    <w:rsid w:val="00BB1BF1"/>
    <w:rsid w:val="00BB1CAD"/>
    <w:rsid w:val="00BB1CF3"/>
    <w:rsid w:val="00BB1D35"/>
    <w:rsid w:val="00BB1D50"/>
    <w:rsid w:val="00BB1DE9"/>
    <w:rsid w:val="00BB1E2C"/>
    <w:rsid w:val="00BB1E77"/>
    <w:rsid w:val="00BB1F49"/>
    <w:rsid w:val="00BB1F95"/>
    <w:rsid w:val="00BB1FD3"/>
    <w:rsid w:val="00BB202C"/>
    <w:rsid w:val="00BB20B2"/>
    <w:rsid w:val="00BB2188"/>
    <w:rsid w:val="00BB21FF"/>
    <w:rsid w:val="00BB2282"/>
    <w:rsid w:val="00BB22FF"/>
    <w:rsid w:val="00BB231B"/>
    <w:rsid w:val="00BB23D5"/>
    <w:rsid w:val="00BB240A"/>
    <w:rsid w:val="00BB2422"/>
    <w:rsid w:val="00BB2432"/>
    <w:rsid w:val="00BB2518"/>
    <w:rsid w:val="00BB2546"/>
    <w:rsid w:val="00BB2584"/>
    <w:rsid w:val="00BB25B6"/>
    <w:rsid w:val="00BB261F"/>
    <w:rsid w:val="00BB2656"/>
    <w:rsid w:val="00BB2682"/>
    <w:rsid w:val="00BB26A0"/>
    <w:rsid w:val="00BB26F5"/>
    <w:rsid w:val="00BB2727"/>
    <w:rsid w:val="00BB2778"/>
    <w:rsid w:val="00BB27CA"/>
    <w:rsid w:val="00BB281D"/>
    <w:rsid w:val="00BB28B8"/>
    <w:rsid w:val="00BB2967"/>
    <w:rsid w:val="00BB29FF"/>
    <w:rsid w:val="00BB2A11"/>
    <w:rsid w:val="00BB2A4C"/>
    <w:rsid w:val="00BB2A7F"/>
    <w:rsid w:val="00BB2C36"/>
    <w:rsid w:val="00BB2D1A"/>
    <w:rsid w:val="00BB2D1B"/>
    <w:rsid w:val="00BB2E5D"/>
    <w:rsid w:val="00BB2E61"/>
    <w:rsid w:val="00BB2ED3"/>
    <w:rsid w:val="00BB2ED7"/>
    <w:rsid w:val="00BB2F09"/>
    <w:rsid w:val="00BB2F82"/>
    <w:rsid w:val="00BB2FBA"/>
    <w:rsid w:val="00BB2FEA"/>
    <w:rsid w:val="00BB3003"/>
    <w:rsid w:val="00BB3031"/>
    <w:rsid w:val="00BB3079"/>
    <w:rsid w:val="00BB30AD"/>
    <w:rsid w:val="00BB30BD"/>
    <w:rsid w:val="00BB30BE"/>
    <w:rsid w:val="00BB3161"/>
    <w:rsid w:val="00BB31FB"/>
    <w:rsid w:val="00BB3221"/>
    <w:rsid w:val="00BB3224"/>
    <w:rsid w:val="00BB3241"/>
    <w:rsid w:val="00BB326F"/>
    <w:rsid w:val="00BB32B8"/>
    <w:rsid w:val="00BB335D"/>
    <w:rsid w:val="00BB338C"/>
    <w:rsid w:val="00BB33A9"/>
    <w:rsid w:val="00BB348B"/>
    <w:rsid w:val="00BB350A"/>
    <w:rsid w:val="00BB353B"/>
    <w:rsid w:val="00BB35ED"/>
    <w:rsid w:val="00BB3664"/>
    <w:rsid w:val="00BB366E"/>
    <w:rsid w:val="00BB36B0"/>
    <w:rsid w:val="00BB375E"/>
    <w:rsid w:val="00BB37D8"/>
    <w:rsid w:val="00BB37E7"/>
    <w:rsid w:val="00BB3804"/>
    <w:rsid w:val="00BB3840"/>
    <w:rsid w:val="00BB388D"/>
    <w:rsid w:val="00BB392A"/>
    <w:rsid w:val="00BB3963"/>
    <w:rsid w:val="00BB398E"/>
    <w:rsid w:val="00BB3A57"/>
    <w:rsid w:val="00BB3BA8"/>
    <w:rsid w:val="00BB3C33"/>
    <w:rsid w:val="00BB3C88"/>
    <w:rsid w:val="00BB3CB8"/>
    <w:rsid w:val="00BB3D39"/>
    <w:rsid w:val="00BB3DBF"/>
    <w:rsid w:val="00BB3DDC"/>
    <w:rsid w:val="00BB3DE4"/>
    <w:rsid w:val="00BB3E77"/>
    <w:rsid w:val="00BB3EAE"/>
    <w:rsid w:val="00BB3F0A"/>
    <w:rsid w:val="00BB3F46"/>
    <w:rsid w:val="00BB3F7E"/>
    <w:rsid w:val="00BB402F"/>
    <w:rsid w:val="00BB4046"/>
    <w:rsid w:val="00BB4077"/>
    <w:rsid w:val="00BB4134"/>
    <w:rsid w:val="00BB416C"/>
    <w:rsid w:val="00BB41C6"/>
    <w:rsid w:val="00BB42C1"/>
    <w:rsid w:val="00BB42C7"/>
    <w:rsid w:val="00BB434E"/>
    <w:rsid w:val="00BB4360"/>
    <w:rsid w:val="00BB4381"/>
    <w:rsid w:val="00BB43EF"/>
    <w:rsid w:val="00BB4411"/>
    <w:rsid w:val="00BB4475"/>
    <w:rsid w:val="00BB448C"/>
    <w:rsid w:val="00BB4491"/>
    <w:rsid w:val="00BB44CE"/>
    <w:rsid w:val="00BB451A"/>
    <w:rsid w:val="00BB4534"/>
    <w:rsid w:val="00BB455C"/>
    <w:rsid w:val="00BB4585"/>
    <w:rsid w:val="00BB45D7"/>
    <w:rsid w:val="00BB45D9"/>
    <w:rsid w:val="00BB460F"/>
    <w:rsid w:val="00BB4685"/>
    <w:rsid w:val="00BB46A1"/>
    <w:rsid w:val="00BB46BE"/>
    <w:rsid w:val="00BB4703"/>
    <w:rsid w:val="00BB4707"/>
    <w:rsid w:val="00BB472D"/>
    <w:rsid w:val="00BB475B"/>
    <w:rsid w:val="00BB476D"/>
    <w:rsid w:val="00BB4774"/>
    <w:rsid w:val="00BB47EC"/>
    <w:rsid w:val="00BB4808"/>
    <w:rsid w:val="00BB4834"/>
    <w:rsid w:val="00BB4866"/>
    <w:rsid w:val="00BB48B9"/>
    <w:rsid w:val="00BB48ED"/>
    <w:rsid w:val="00BB490F"/>
    <w:rsid w:val="00BB496E"/>
    <w:rsid w:val="00BB4A00"/>
    <w:rsid w:val="00BB4AF1"/>
    <w:rsid w:val="00BB4B00"/>
    <w:rsid w:val="00BB4B7E"/>
    <w:rsid w:val="00BB4BCA"/>
    <w:rsid w:val="00BB4BD9"/>
    <w:rsid w:val="00BB4C42"/>
    <w:rsid w:val="00BB4D03"/>
    <w:rsid w:val="00BB4DE4"/>
    <w:rsid w:val="00BB4E23"/>
    <w:rsid w:val="00BB4E44"/>
    <w:rsid w:val="00BB4E88"/>
    <w:rsid w:val="00BB4EDC"/>
    <w:rsid w:val="00BB4EE2"/>
    <w:rsid w:val="00BB4F3D"/>
    <w:rsid w:val="00BB4F3E"/>
    <w:rsid w:val="00BB5057"/>
    <w:rsid w:val="00BB508C"/>
    <w:rsid w:val="00BB50B9"/>
    <w:rsid w:val="00BB5112"/>
    <w:rsid w:val="00BB51C9"/>
    <w:rsid w:val="00BB51D2"/>
    <w:rsid w:val="00BB51DB"/>
    <w:rsid w:val="00BB5242"/>
    <w:rsid w:val="00BB52BA"/>
    <w:rsid w:val="00BB5375"/>
    <w:rsid w:val="00BB53FE"/>
    <w:rsid w:val="00BB54C1"/>
    <w:rsid w:val="00BB551B"/>
    <w:rsid w:val="00BB55C3"/>
    <w:rsid w:val="00BB5633"/>
    <w:rsid w:val="00BB5656"/>
    <w:rsid w:val="00BB56AB"/>
    <w:rsid w:val="00BB56C1"/>
    <w:rsid w:val="00BB56EA"/>
    <w:rsid w:val="00BB5710"/>
    <w:rsid w:val="00BB5778"/>
    <w:rsid w:val="00BB57D2"/>
    <w:rsid w:val="00BB582D"/>
    <w:rsid w:val="00BB582E"/>
    <w:rsid w:val="00BB5884"/>
    <w:rsid w:val="00BB58C4"/>
    <w:rsid w:val="00BB58DE"/>
    <w:rsid w:val="00BB5937"/>
    <w:rsid w:val="00BB599A"/>
    <w:rsid w:val="00BB59D9"/>
    <w:rsid w:val="00BB5A04"/>
    <w:rsid w:val="00BB5A16"/>
    <w:rsid w:val="00BB5A6F"/>
    <w:rsid w:val="00BB5BCA"/>
    <w:rsid w:val="00BB5BF5"/>
    <w:rsid w:val="00BB5CA1"/>
    <w:rsid w:val="00BB5CAD"/>
    <w:rsid w:val="00BB5E2B"/>
    <w:rsid w:val="00BB5E50"/>
    <w:rsid w:val="00BB5E58"/>
    <w:rsid w:val="00BB5E9B"/>
    <w:rsid w:val="00BB5EC5"/>
    <w:rsid w:val="00BB5F69"/>
    <w:rsid w:val="00BB5FAE"/>
    <w:rsid w:val="00BB605D"/>
    <w:rsid w:val="00BB609F"/>
    <w:rsid w:val="00BB612B"/>
    <w:rsid w:val="00BB6227"/>
    <w:rsid w:val="00BB622E"/>
    <w:rsid w:val="00BB626F"/>
    <w:rsid w:val="00BB62B4"/>
    <w:rsid w:val="00BB635E"/>
    <w:rsid w:val="00BB63EB"/>
    <w:rsid w:val="00BB64AC"/>
    <w:rsid w:val="00BB6557"/>
    <w:rsid w:val="00BB6566"/>
    <w:rsid w:val="00BB6674"/>
    <w:rsid w:val="00BB667D"/>
    <w:rsid w:val="00BB66CA"/>
    <w:rsid w:val="00BB66D1"/>
    <w:rsid w:val="00BB66FD"/>
    <w:rsid w:val="00BB67EC"/>
    <w:rsid w:val="00BB6800"/>
    <w:rsid w:val="00BB6806"/>
    <w:rsid w:val="00BB6931"/>
    <w:rsid w:val="00BB6964"/>
    <w:rsid w:val="00BB6AE3"/>
    <w:rsid w:val="00BB6B2F"/>
    <w:rsid w:val="00BB6B3E"/>
    <w:rsid w:val="00BB6BB0"/>
    <w:rsid w:val="00BB6BB4"/>
    <w:rsid w:val="00BB6C47"/>
    <w:rsid w:val="00BB6C60"/>
    <w:rsid w:val="00BB6C63"/>
    <w:rsid w:val="00BB6CC6"/>
    <w:rsid w:val="00BB6CD5"/>
    <w:rsid w:val="00BB6CF0"/>
    <w:rsid w:val="00BB6E10"/>
    <w:rsid w:val="00BB6E29"/>
    <w:rsid w:val="00BB6E46"/>
    <w:rsid w:val="00BB6E49"/>
    <w:rsid w:val="00BB6E65"/>
    <w:rsid w:val="00BB6E83"/>
    <w:rsid w:val="00BB6F86"/>
    <w:rsid w:val="00BB6FBE"/>
    <w:rsid w:val="00BB6FE8"/>
    <w:rsid w:val="00BB7013"/>
    <w:rsid w:val="00BB702A"/>
    <w:rsid w:val="00BB7075"/>
    <w:rsid w:val="00BB7099"/>
    <w:rsid w:val="00BB70A5"/>
    <w:rsid w:val="00BB7137"/>
    <w:rsid w:val="00BB71B8"/>
    <w:rsid w:val="00BB71C0"/>
    <w:rsid w:val="00BB71C1"/>
    <w:rsid w:val="00BB71E2"/>
    <w:rsid w:val="00BB7214"/>
    <w:rsid w:val="00BB7232"/>
    <w:rsid w:val="00BB725D"/>
    <w:rsid w:val="00BB7264"/>
    <w:rsid w:val="00BB72F6"/>
    <w:rsid w:val="00BB730B"/>
    <w:rsid w:val="00BB730C"/>
    <w:rsid w:val="00BB73AD"/>
    <w:rsid w:val="00BB73EF"/>
    <w:rsid w:val="00BB73F1"/>
    <w:rsid w:val="00BB747C"/>
    <w:rsid w:val="00BB7540"/>
    <w:rsid w:val="00BB7550"/>
    <w:rsid w:val="00BB7576"/>
    <w:rsid w:val="00BB75E3"/>
    <w:rsid w:val="00BB760C"/>
    <w:rsid w:val="00BB7616"/>
    <w:rsid w:val="00BB76FC"/>
    <w:rsid w:val="00BB76FE"/>
    <w:rsid w:val="00BB7742"/>
    <w:rsid w:val="00BB781C"/>
    <w:rsid w:val="00BB781E"/>
    <w:rsid w:val="00BB78A6"/>
    <w:rsid w:val="00BB79A3"/>
    <w:rsid w:val="00BB7A9F"/>
    <w:rsid w:val="00BB7AA3"/>
    <w:rsid w:val="00BB7AE8"/>
    <w:rsid w:val="00BB7B34"/>
    <w:rsid w:val="00BB7B7D"/>
    <w:rsid w:val="00BB7BB8"/>
    <w:rsid w:val="00BB7C26"/>
    <w:rsid w:val="00BB7C66"/>
    <w:rsid w:val="00BB7CB0"/>
    <w:rsid w:val="00BB7CD7"/>
    <w:rsid w:val="00BB7D0D"/>
    <w:rsid w:val="00BB7D4F"/>
    <w:rsid w:val="00BB7DDF"/>
    <w:rsid w:val="00BB7E09"/>
    <w:rsid w:val="00BB7E3F"/>
    <w:rsid w:val="00BB7F2A"/>
    <w:rsid w:val="00BB7F7F"/>
    <w:rsid w:val="00BC005F"/>
    <w:rsid w:val="00BC0074"/>
    <w:rsid w:val="00BC00FC"/>
    <w:rsid w:val="00BC012C"/>
    <w:rsid w:val="00BC0131"/>
    <w:rsid w:val="00BC0162"/>
    <w:rsid w:val="00BC018F"/>
    <w:rsid w:val="00BC0307"/>
    <w:rsid w:val="00BC038B"/>
    <w:rsid w:val="00BC03B3"/>
    <w:rsid w:val="00BC03C1"/>
    <w:rsid w:val="00BC03D0"/>
    <w:rsid w:val="00BC03E4"/>
    <w:rsid w:val="00BC0446"/>
    <w:rsid w:val="00BC0487"/>
    <w:rsid w:val="00BC04A0"/>
    <w:rsid w:val="00BC04B0"/>
    <w:rsid w:val="00BC04B8"/>
    <w:rsid w:val="00BC04E6"/>
    <w:rsid w:val="00BC04EB"/>
    <w:rsid w:val="00BC0527"/>
    <w:rsid w:val="00BC0528"/>
    <w:rsid w:val="00BC0605"/>
    <w:rsid w:val="00BC0727"/>
    <w:rsid w:val="00BC07B6"/>
    <w:rsid w:val="00BC07B7"/>
    <w:rsid w:val="00BC081C"/>
    <w:rsid w:val="00BC08B0"/>
    <w:rsid w:val="00BC09D3"/>
    <w:rsid w:val="00BC0ABE"/>
    <w:rsid w:val="00BC0AD5"/>
    <w:rsid w:val="00BC0B1C"/>
    <w:rsid w:val="00BC0B55"/>
    <w:rsid w:val="00BC0B9A"/>
    <w:rsid w:val="00BC0C70"/>
    <w:rsid w:val="00BC0DCE"/>
    <w:rsid w:val="00BC0E6A"/>
    <w:rsid w:val="00BC0E83"/>
    <w:rsid w:val="00BC0F03"/>
    <w:rsid w:val="00BC103A"/>
    <w:rsid w:val="00BC1076"/>
    <w:rsid w:val="00BC10BB"/>
    <w:rsid w:val="00BC114F"/>
    <w:rsid w:val="00BC120A"/>
    <w:rsid w:val="00BC127C"/>
    <w:rsid w:val="00BC12D5"/>
    <w:rsid w:val="00BC139F"/>
    <w:rsid w:val="00BC13E5"/>
    <w:rsid w:val="00BC1415"/>
    <w:rsid w:val="00BC1477"/>
    <w:rsid w:val="00BC1510"/>
    <w:rsid w:val="00BC1578"/>
    <w:rsid w:val="00BC159B"/>
    <w:rsid w:val="00BC15D8"/>
    <w:rsid w:val="00BC1642"/>
    <w:rsid w:val="00BC1819"/>
    <w:rsid w:val="00BC1884"/>
    <w:rsid w:val="00BC18B3"/>
    <w:rsid w:val="00BC194B"/>
    <w:rsid w:val="00BC19E4"/>
    <w:rsid w:val="00BC19ED"/>
    <w:rsid w:val="00BC1B46"/>
    <w:rsid w:val="00BC1BED"/>
    <w:rsid w:val="00BC1C6F"/>
    <w:rsid w:val="00BC1C7B"/>
    <w:rsid w:val="00BC1C9B"/>
    <w:rsid w:val="00BC1D1D"/>
    <w:rsid w:val="00BC1D25"/>
    <w:rsid w:val="00BC1D72"/>
    <w:rsid w:val="00BC1F95"/>
    <w:rsid w:val="00BC201C"/>
    <w:rsid w:val="00BC2048"/>
    <w:rsid w:val="00BC20AB"/>
    <w:rsid w:val="00BC20C1"/>
    <w:rsid w:val="00BC20DE"/>
    <w:rsid w:val="00BC210A"/>
    <w:rsid w:val="00BC21BB"/>
    <w:rsid w:val="00BC21DA"/>
    <w:rsid w:val="00BC2211"/>
    <w:rsid w:val="00BC2229"/>
    <w:rsid w:val="00BC223E"/>
    <w:rsid w:val="00BC2287"/>
    <w:rsid w:val="00BC239B"/>
    <w:rsid w:val="00BC23A4"/>
    <w:rsid w:val="00BC23C3"/>
    <w:rsid w:val="00BC23C7"/>
    <w:rsid w:val="00BC242C"/>
    <w:rsid w:val="00BC2448"/>
    <w:rsid w:val="00BC24D6"/>
    <w:rsid w:val="00BC24E1"/>
    <w:rsid w:val="00BC251B"/>
    <w:rsid w:val="00BC254E"/>
    <w:rsid w:val="00BC25EB"/>
    <w:rsid w:val="00BC2635"/>
    <w:rsid w:val="00BC271E"/>
    <w:rsid w:val="00BC2727"/>
    <w:rsid w:val="00BC2910"/>
    <w:rsid w:val="00BC29BD"/>
    <w:rsid w:val="00BC29E8"/>
    <w:rsid w:val="00BC2BB1"/>
    <w:rsid w:val="00BC2BDD"/>
    <w:rsid w:val="00BC2C23"/>
    <w:rsid w:val="00BC2C57"/>
    <w:rsid w:val="00BC2CD1"/>
    <w:rsid w:val="00BC2D24"/>
    <w:rsid w:val="00BC2D3A"/>
    <w:rsid w:val="00BC2E35"/>
    <w:rsid w:val="00BC2E9F"/>
    <w:rsid w:val="00BC2ECC"/>
    <w:rsid w:val="00BC2EF2"/>
    <w:rsid w:val="00BC2F15"/>
    <w:rsid w:val="00BC2F54"/>
    <w:rsid w:val="00BC2F61"/>
    <w:rsid w:val="00BC2F66"/>
    <w:rsid w:val="00BC2F6E"/>
    <w:rsid w:val="00BC2F7F"/>
    <w:rsid w:val="00BC2F8C"/>
    <w:rsid w:val="00BC304C"/>
    <w:rsid w:val="00BC31F1"/>
    <w:rsid w:val="00BC3291"/>
    <w:rsid w:val="00BC3295"/>
    <w:rsid w:val="00BC32EF"/>
    <w:rsid w:val="00BC3313"/>
    <w:rsid w:val="00BC3348"/>
    <w:rsid w:val="00BC3362"/>
    <w:rsid w:val="00BC337A"/>
    <w:rsid w:val="00BC33B4"/>
    <w:rsid w:val="00BC34A8"/>
    <w:rsid w:val="00BC3523"/>
    <w:rsid w:val="00BC370D"/>
    <w:rsid w:val="00BC375D"/>
    <w:rsid w:val="00BC37BB"/>
    <w:rsid w:val="00BC3811"/>
    <w:rsid w:val="00BC3852"/>
    <w:rsid w:val="00BC388A"/>
    <w:rsid w:val="00BC39A4"/>
    <w:rsid w:val="00BC3A78"/>
    <w:rsid w:val="00BC3AC3"/>
    <w:rsid w:val="00BC3AC6"/>
    <w:rsid w:val="00BC3AF0"/>
    <w:rsid w:val="00BC3C3D"/>
    <w:rsid w:val="00BC3D49"/>
    <w:rsid w:val="00BC3DD3"/>
    <w:rsid w:val="00BC3DFE"/>
    <w:rsid w:val="00BC3EEB"/>
    <w:rsid w:val="00BC3EF5"/>
    <w:rsid w:val="00BC3F97"/>
    <w:rsid w:val="00BC3FC4"/>
    <w:rsid w:val="00BC40A7"/>
    <w:rsid w:val="00BC4124"/>
    <w:rsid w:val="00BC4146"/>
    <w:rsid w:val="00BC416E"/>
    <w:rsid w:val="00BC418F"/>
    <w:rsid w:val="00BC41B0"/>
    <w:rsid w:val="00BC41DB"/>
    <w:rsid w:val="00BC41ED"/>
    <w:rsid w:val="00BC423F"/>
    <w:rsid w:val="00BC428B"/>
    <w:rsid w:val="00BC4475"/>
    <w:rsid w:val="00BC44CF"/>
    <w:rsid w:val="00BC4514"/>
    <w:rsid w:val="00BC452F"/>
    <w:rsid w:val="00BC4539"/>
    <w:rsid w:val="00BC4582"/>
    <w:rsid w:val="00BC45E6"/>
    <w:rsid w:val="00BC4629"/>
    <w:rsid w:val="00BC462D"/>
    <w:rsid w:val="00BC4676"/>
    <w:rsid w:val="00BC4686"/>
    <w:rsid w:val="00BC46C6"/>
    <w:rsid w:val="00BC46DC"/>
    <w:rsid w:val="00BC46EB"/>
    <w:rsid w:val="00BC4745"/>
    <w:rsid w:val="00BC4767"/>
    <w:rsid w:val="00BC476C"/>
    <w:rsid w:val="00BC4791"/>
    <w:rsid w:val="00BC4794"/>
    <w:rsid w:val="00BC48A7"/>
    <w:rsid w:val="00BC4910"/>
    <w:rsid w:val="00BC491A"/>
    <w:rsid w:val="00BC4941"/>
    <w:rsid w:val="00BC497C"/>
    <w:rsid w:val="00BC49DB"/>
    <w:rsid w:val="00BC4A60"/>
    <w:rsid w:val="00BC4A68"/>
    <w:rsid w:val="00BC4AD6"/>
    <w:rsid w:val="00BC4B22"/>
    <w:rsid w:val="00BC4BC0"/>
    <w:rsid w:val="00BC4C26"/>
    <w:rsid w:val="00BC4C51"/>
    <w:rsid w:val="00BC4CC8"/>
    <w:rsid w:val="00BC4CF6"/>
    <w:rsid w:val="00BC4DAD"/>
    <w:rsid w:val="00BC4DD1"/>
    <w:rsid w:val="00BC4E2A"/>
    <w:rsid w:val="00BC4E48"/>
    <w:rsid w:val="00BC4E50"/>
    <w:rsid w:val="00BC4EBD"/>
    <w:rsid w:val="00BC4ED9"/>
    <w:rsid w:val="00BC4EFC"/>
    <w:rsid w:val="00BC4F10"/>
    <w:rsid w:val="00BC4F57"/>
    <w:rsid w:val="00BC4FA1"/>
    <w:rsid w:val="00BC4FEF"/>
    <w:rsid w:val="00BC502C"/>
    <w:rsid w:val="00BC507F"/>
    <w:rsid w:val="00BC50AB"/>
    <w:rsid w:val="00BC50B6"/>
    <w:rsid w:val="00BC5125"/>
    <w:rsid w:val="00BC517F"/>
    <w:rsid w:val="00BC52BA"/>
    <w:rsid w:val="00BC5302"/>
    <w:rsid w:val="00BC5443"/>
    <w:rsid w:val="00BC54AF"/>
    <w:rsid w:val="00BC54D6"/>
    <w:rsid w:val="00BC54EC"/>
    <w:rsid w:val="00BC5515"/>
    <w:rsid w:val="00BC5542"/>
    <w:rsid w:val="00BC55A1"/>
    <w:rsid w:val="00BC5626"/>
    <w:rsid w:val="00BC5637"/>
    <w:rsid w:val="00BC56A7"/>
    <w:rsid w:val="00BC56B2"/>
    <w:rsid w:val="00BC56FA"/>
    <w:rsid w:val="00BC5732"/>
    <w:rsid w:val="00BC5794"/>
    <w:rsid w:val="00BC57B9"/>
    <w:rsid w:val="00BC57F3"/>
    <w:rsid w:val="00BC5819"/>
    <w:rsid w:val="00BC5921"/>
    <w:rsid w:val="00BC592E"/>
    <w:rsid w:val="00BC5938"/>
    <w:rsid w:val="00BC59A5"/>
    <w:rsid w:val="00BC5B06"/>
    <w:rsid w:val="00BC5B23"/>
    <w:rsid w:val="00BC5B25"/>
    <w:rsid w:val="00BC5B45"/>
    <w:rsid w:val="00BC5B9C"/>
    <w:rsid w:val="00BC5BAE"/>
    <w:rsid w:val="00BC5BEB"/>
    <w:rsid w:val="00BC5CAB"/>
    <w:rsid w:val="00BC5D99"/>
    <w:rsid w:val="00BC5DFE"/>
    <w:rsid w:val="00BC5E06"/>
    <w:rsid w:val="00BC5E38"/>
    <w:rsid w:val="00BC5E4B"/>
    <w:rsid w:val="00BC5E63"/>
    <w:rsid w:val="00BC5E91"/>
    <w:rsid w:val="00BC5EA4"/>
    <w:rsid w:val="00BC5F4A"/>
    <w:rsid w:val="00BC5FB6"/>
    <w:rsid w:val="00BC606D"/>
    <w:rsid w:val="00BC60C1"/>
    <w:rsid w:val="00BC60CD"/>
    <w:rsid w:val="00BC6110"/>
    <w:rsid w:val="00BC6124"/>
    <w:rsid w:val="00BC61A4"/>
    <w:rsid w:val="00BC6204"/>
    <w:rsid w:val="00BC62A8"/>
    <w:rsid w:val="00BC62BF"/>
    <w:rsid w:val="00BC6316"/>
    <w:rsid w:val="00BC6345"/>
    <w:rsid w:val="00BC636E"/>
    <w:rsid w:val="00BC63FC"/>
    <w:rsid w:val="00BC642D"/>
    <w:rsid w:val="00BC643C"/>
    <w:rsid w:val="00BC649B"/>
    <w:rsid w:val="00BC6511"/>
    <w:rsid w:val="00BC654E"/>
    <w:rsid w:val="00BC6553"/>
    <w:rsid w:val="00BC6590"/>
    <w:rsid w:val="00BC65C4"/>
    <w:rsid w:val="00BC6606"/>
    <w:rsid w:val="00BC6673"/>
    <w:rsid w:val="00BC667C"/>
    <w:rsid w:val="00BC6713"/>
    <w:rsid w:val="00BC679F"/>
    <w:rsid w:val="00BC6899"/>
    <w:rsid w:val="00BC68D4"/>
    <w:rsid w:val="00BC68DE"/>
    <w:rsid w:val="00BC69A4"/>
    <w:rsid w:val="00BC69FF"/>
    <w:rsid w:val="00BC6A1C"/>
    <w:rsid w:val="00BC6A2F"/>
    <w:rsid w:val="00BC6A3D"/>
    <w:rsid w:val="00BC6A75"/>
    <w:rsid w:val="00BC6B01"/>
    <w:rsid w:val="00BC6B13"/>
    <w:rsid w:val="00BC6C08"/>
    <w:rsid w:val="00BC6C59"/>
    <w:rsid w:val="00BC6CA0"/>
    <w:rsid w:val="00BC6CB0"/>
    <w:rsid w:val="00BC6CD5"/>
    <w:rsid w:val="00BC6DBE"/>
    <w:rsid w:val="00BC6DC7"/>
    <w:rsid w:val="00BC6E74"/>
    <w:rsid w:val="00BC6F7C"/>
    <w:rsid w:val="00BC6FF8"/>
    <w:rsid w:val="00BC7037"/>
    <w:rsid w:val="00BC7048"/>
    <w:rsid w:val="00BC7182"/>
    <w:rsid w:val="00BC7189"/>
    <w:rsid w:val="00BC722D"/>
    <w:rsid w:val="00BC72B8"/>
    <w:rsid w:val="00BC72EC"/>
    <w:rsid w:val="00BC7322"/>
    <w:rsid w:val="00BC7326"/>
    <w:rsid w:val="00BC734D"/>
    <w:rsid w:val="00BC7351"/>
    <w:rsid w:val="00BC7372"/>
    <w:rsid w:val="00BC739D"/>
    <w:rsid w:val="00BC740D"/>
    <w:rsid w:val="00BC7482"/>
    <w:rsid w:val="00BC7518"/>
    <w:rsid w:val="00BC752E"/>
    <w:rsid w:val="00BC7599"/>
    <w:rsid w:val="00BC7686"/>
    <w:rsid w:val="00BC7688"/>
    <w:rsid w:val="00BC7811"/>
    <w:rsid w:val="00BC7898"/>
    <w:rsid w:val="00BC78DB"/>
    <w:rsid w:val="00BC79C2"/>
    <w:rsid w:val="00BC7BB2"/>
    <w:rsid w:val="00BC7BF1"/>
    <w:rsid w:val="00BC7C1B"/>
    <w:rsid w:val="00BC7C1C"/>
    <w:rsid w:val="00BC7D90"/>
    <w:rsid w:val="00BC7E7B"/>
    <w:rsid w:val="00BC7EC3"/>
    <w:rsid w:val="00BC7F84"/>
    <w:rsid w:val="00BC7FEA"/>
    <w:rsid w:val="00BD001B"/>
    <w:rsid w:val="00BD0091"/>
    <w:rsid w:val="00BD00AC"/>
    <w:rsid w:val="00BD00C0"/>
    <w:rsid w:val="00BD00C2"/>
    <w:rsid w:val="00BD01CF"/>
    <w:rsid w:val="00BD0215"/>
    <w:rsid w:val="00BD022D"/>
    <w:rsid w:val="00BD0245"/>
    <w:rsid w:val="00BD0335"/>
    <w:rsid w:val="00BD0349"/>
    <w:rsid w:val="00BD0476"/>
    <w:rsid w:val="00BD0487"/>
    <w:rsid w:val="00BD04AC"/>
    <w:rsid w:val="00BD04C7"/>
    <w:rsid w:val="00BD0524"/>
    <w:rsid w:val="00BD0549"/>
    <w:rsid w:val="00BD0577"/>
    <w:rsid w:val="00BD05C8"/>
    <w:rsid w:val="00BD05FC"/>
    <w:rsid w:val="00BD0684"/>
    <w:rsid w:val="00BD06C5"/>
    <w:rsid w:val="00BD06D3"/>
    <w:rsid w:val="00BD078F"/>
    <w:rsid w:val="00BD07DA"/>
    <w:rsid w:val="00BD07DC"/>
    <w:rsid w:val="00BD0812"/>
    <w:rsid w:val="00BD0826"/>
    <w:rsid w:val="00BD086F"/>
    <w:rsid w:val="00BD089B"/>
    <w:rsid w:val="00BD089D"/>
    <w:rsid w:val="00BD09CC"/>
    <w:rsid w:val="00BD09D6"/>
    <w:rsid w:val="00BD09F6"/>
    <w:rsid w:val="00BD0A26"/>
    <w:rsid w:val="00BD0A89"/>
    <w:rsid w:val="00BD0C26"/>
    <w:rsid w:val="00BD0D4F"/>
    <w:rsid w:val="00BD0D8D"/>
    <w:rsid w:val="00BD0DC3"/>
    <w:rsid w:val="00BD0E80"/>
    <w:rsid w:val="00BD0EBC"/>
    <w:rsid w:val="00BD0EE0"/>
    <w:rsid w:val="00BD0EFF"/>
    <w:rsid w:val="00BD0FDF"/>
    <w:rsid w:val="00BD1092"/>
    <w:rsid w:val="00BD11E5"/>
    <w:rsid w:val="00BD120D"/>
    <w:rsid w:val="00BD1289"/>
    <w:rsid w:val="00BD12B0"/>
    <w:rsid w:val="00BD12B3"/>
    <w:rsid w:val="00BD1319"/>
    <w:rsid w:val="00BD13A8"/>
    <w:rsid w:val="00BD13E1"/>
    <w:rsid w:val="00BD1491"/>
    <w:rsid w:val="00BD14AC"/>
    <w:rsid w:val="00BD14C8"/>
    <w:rsid w:val="00BD1530"/>
    <w:rsid w:val="00BD15D4"/>
    <w:rsid w:val="00BD166C"/>
    <w:rsid w:val="00BD1682"/>
    <w:rsid w:val="00BD16E7"/>
    <w:rsid w:val="00BD176C"/>
    <w:rsid w:val="00BD18A5"/>
    <w:rsid w:val="00BD18B0"/>
    <w:rsid w:val="00BD18FD"/>
    <w:rsid w:val="00BD190D"/>
    <w:rsid w:val="00BD190F"/>
    <w:rsid w:val="00BD197D"/>
    <w:rsid w:val="00BD1998"/>
    <w:rsid w:val="00BD19B1"/>
    <w:rsid w:val="00BD19BA"/>
    <w:rsid w:val="00BD1CD4"/>
    <w:rsid w:val="00BD1D0E"/>
    <w:rsid w:val="00BD1D65"/>
    <w:rsid w:val="00BD1E1F"/>
    <w:rsid w:val="00BD1E48"/>
    <w:rsid w:val="00BD1E4C"/>
    <w:rsid w:val="00BD1F49"/>
    <w:rsid w:val="00BD1FB0"/>
    <w:rsid w:val="00BD1FD3"/>
    <w:rsid w:val="00BD2035"/>
    <w:rsid w:val="00BD20F4"/>
    <w:rsid w:val="00BD2125"/>
    <w:rsid w:val="00BD2188"/>
    <w:rsid w:val="00BD2193"/>
    <w:rsid w:val="00BD21B1"/>
    <w:rsid w:val="00BD229E"/>
    <w:rsid w:val="00BD2385"/>
    <w:rsid w:val="00BD238E"/>
    <w:rsid w:val="00BD23E0"/>
    <w:rsid w:val="00BD23FE"/>
    <w:rsid w:val="00BD2507"/>
    <w:rsid w:val="00BD257B"/>
    <w:rsid w:val="00BD2643"/>
    <w:rsid w:val="00BD2695"/>
    <w:rsid w:val="00BD26AA"/>
    <w:rsid w:val="00BD26B0"/>
    <w:rsid w:val="00BD2883"/>
    <w:rsid w:val="00BD2899"/>
    <w:rsid w:val="00BD2903"/>
    <w:rsid w:val="00BD299D"/>
    <w:rsid w:val="00BD29CC"/>
    <w:rsid w:val="00BD29E0"/>
    <w:rsid w:val="00BD2A1A"/>
    <w:rsid w:val="00BD2A8B"/>
    <w:rsid w:val="00BD2AD0"/>
    <w:rsid w:val="00BD2B7F"/>
    <w:rsid w:val="00BD2BAB"/>
    <w:rsid w:val="00BD2C50"/>
    <w:rsid w:val="00BD2CA0"/>
    <w:rsid w:val="00BD2DD9"/>
    <w:rsid w:val="00BD2DF8"/>
    <w:rsid w:val="00BD2E49"/>
    <w:rsid w:val="00BD2E92"/>
    <w:rsid w:val="00BD2EA7"/>
    <w:rsid w:val="00BD2F69"/>
    <w:rsid w:val="00BD2FA0"/>
    <w:rsid w:val="00BD2FAC"/>
    <w:rsid w:val="00BD2FBB"/>
    <w:rsid w:val="00BD2FDE"/>
    <w:rsid w:val="00BD300A"/>
    <w:rsid w:val="00BD308B"/>
    <w:rsid w:val="00BD30CC"/>
    <w:rsid w:val="00BD31B4"/>
    <w:rsid w:val="00BD32B6"/>
    <w:rsid w:val="00BD32CB"/>
    <w:rsid w:val="00BD338C"/>
    <w:rsid w:val="00BD33E3"/>
    <w:rsid w:val="00BD34E3"/>
    <w:rsid w:val="00BD34ED"/>
    <w:rsid w:val="00BD36BB"/>
    <w:rsid w:val="00BD378C"/>
    <w:rsid w:val="00BD383F"/>
    <w:rsid w:val="00BD38DB"/>
    <w:rsid w:val="00BD38F6"/>
    <w:rsid w:val="00BD3904"/>
    <w:rsid w:val="00BD3925"/>
    <w:rsid w:val="00BD3926"/>
    <w:rsid w:val="00BD392D"/>
    <w:rsid w:val="00BD39A7"/>
    <w:rsid w:val="00BD39F1"/>
    <w:rsid w:val="00BD3A18"/>
    <w:rsid w:val="00BD3ADA"/>
    <w:rsid w:val="00BD3AFB"/>
    <w:rsid w:val="00BD3B09"/>
    <w:rsid w:val="00BD3BA7"/>
    <w:rsid w:val="00BD3BC8"/>
    <w:rsid w:val="00BD3C74"/>
    <w:rsid w:val="00BD3CAC"/>
    <w:rsid w:val="00BD3CEC"/>
    <w:rsid w:val="00BD3DA0"/>
    <w:rsid w:val="00BD3E1E"/>
    <w:rsid w:val="00BD3E8F"/>
    <w:rsid w:val="00BD3EC8"/>
    <w:rsid w:val="00BD3F28"/>
    <w:rsid w:val="00BD3FC6"/>
    <w:rsid w:val="00BD3FDA"/>
    <w:rsid w:val="00BD4004"/>
    <w:rsid w:val="00BD40D7"/>
    <w:rsid w:val="00BD4156"/>
    <w:rsid w:val="00BD4165"/>
    <w:rsid w:val="00BD41B6"/>
    <w:rsid w:val="00BD41D2"/>
    <w:rsid w:val="00BD4246"/>
    <w:rsid w:val="00BD42F5"/>
    <w:rsid w:val="00BD4344"/>
    <w:rsid w:val="00BD43F2"/>
    <w:rsid w:val="00BD4449"/>
    <w:rsid w:val="00BD444A"/>
    <w:rsid w:val="00BD44AD"/>
    <w:rsid w:val="00BD44BB"/>
    <w:rsid w:val="00BD44C6"/>
    <w:rsid w:val="00BD44E0"/>
    <w:rsid w:val="00BD44E8"/>
    <w:rsid w:val="00BD44F4"/>
    <w:rsid w:val="00BD45C9"/>
    <w:rsid w:val="00BD45DB"/>
    <w:rsid w:val="00BD4674"/>
    <w:rsid w:val="00BD467C"/>
    <w:rsid w:val="00BD46A0"/>
    <w:rsid w:val="00BD46AA"/>
    <w:rsid w:val="00BD46E5"/>
    <w:rsid w:val="00BD4721"/>
    <w:rsid w:val="00BD473B"/>
    <w:rsid w:val="00BD47CC"/>
    <w:rsid w:val="00BD47EC"/>
    <w:rsid w:val="00BD483B"/>
    <w:rsid w:val="00BD48BF"/>
    <w:rsid w:val="00BD4908"/>
    <w:rsid w:val="00BD491D"/>
    <w:rsid w:val="00BD4926"/>
    <w:rsid w:val="00BD4998"/>
    <w:rsid w:val="00BD4A8D"/>
    <w:rsid w:val="00BD4A93"/>
    <w:rsid w:val="00BD4B01"/>
    <w:rsid w:val="00BD4B65"/>
    <w:rsid w:val="00BD4C19"/>
    <w:rsid w:val="00BD4C3F"/>
    <w:rsid w:val="00BD4CFA"/>
    <w:rsid w:val="00BD4D08"/>
    <w:rsid w:val="00BD4D8B"/>
    <w:rsid w:val="00BD4E5D"/>
    <w:rsid w:val="00BD4EEF"/>
    <w:rsid w:val="00BD4F7E"/>
    <w:rsid w:val="00BD50B5"/>
    <w:rsid w:val="00BD5115"/>
    <w:rsid w:val="00BD5180"/>
    <w:rsid w:val="00BD5196"/>
    <w:rsid w:val="00BD5200"/>
    <w:rsid w:val="00BD522A"/>
    <w:rsid w:val="00BD522E"/>
    <w:rsid w:val="00BD523C"/>
    <w:rsid w:val="00BD528B"/>
    <w:rsid w:val="00BD52B7"/>
    <w:rsid w:val="00BD52FC"/>
    <w:rsid w:val="00BD5383"/>
    <w:rsid w:val="00BD53AF"/>
    <w:rsid w:val="00BD53CD"/>
    <w:rsid w:val="00BD53E5"/>
    <w:rsid w:val="00BD5416"/>
    <w:rsid w:val="00BD5469"/>
    <w:rsid w:val="00BD5498"/>
    <w:rsid w:val="00BD5520"/>
    <w:rsid w:val="00BD5622"/>
    <w:rsid w:val="00BD562C"/>
    <w:rsid w:val="00BD5660"/>
    <w:rsid w:val="00BD5703"/>
    <w:rsid w:val="00BD57A2"/>
    <w:rsid w:val="00BD583B"/>
    <w:rsid w:val="00BD589D"/>
    <w:rsid w:val="00BD596C"/>
    <w:rsid w:val="00BD5A4B"/>
    <w:rsid w:val="00BD5B45"/>
    <w:rsid w:val="00BD5BA8"/>
    <w:rsid w:val="00BD5C71"/>
    <w:rsid w:val="00BD5CB1"/>
    <w:rsid w:val="00BD5D15"/>
    <w:rsid w:val="00BD5D1E"/>
    <w:rsid w:val="00BD5D41"/>
    <w:rsid w:val="00BD5DA8"/>
    <w:rsid w:val="00BD5DCF"/>
    <w:rsid w:val="00BD5E05"/>
    <w:rsid w:val="00BD60A1"/>
    <w:rsid w:val="00BD6137"/>
    <w:rsid w:val="00BD613D"/>
    <w:rsid w:val="00BD6162"/>
    <w:rsid w:val="00BD6177"/>
    <w:rsid w:val="00BD6224"/>
    <w:rsid w:val="00BD625A"/>
    <w:rsid w:val="00BD6309"/>
    <w:rsid w:val="00BD639E"/>
    <w:rsid w:val="00BD63C3"/>
    <w:rsid w:val="00BD64C6"/>
    <w:rsid w:val="00BD64E3"/>
    <w:rsid w:val="00BD652D"/>
    <w:rsid w:val="00BD659E"/>
    <w:rsid w:val="00BD65A7"/>
    <w:rsid w:val="00BD65D3"/>
    <w:rsid w:val="00BD65EC"/>
    <w:rsid w:val="00BD65F5"/>
    <w:rsid w:val="00BD663F"/>
    <w:rsid w:val="00BD66AA"/>
    <w:rsid w:val="00BD66B9"/>
    <w:rsid w:val="00BD6764"/>
    <w:rsid w:val="00BD67D3"/>
    <w:rsid w:val="00BD67DA"/>
    <w:rsid w:val="00BD6877"/>
    <w:rsid w:val="00BD6927"/>
    <w:rsid w:val="00BD6966"/>
    <w:rsid w:val="00BD6974"/>
    <w:rsid w:val="00BD69E1"/>
    <w:rsid w:val="00BD6A1E"/>
    <w:rsid w:val="00BD6A9A"/>
    <w:rsid w:val="00BD6AFE"/>
    <w:rsid w:val="00BD6BB1"/>
    <w:rsid w:val="00BD6BE9"/>
    <w:rsid w:val="00BD6C66"/>
    <w:rsid w:val="00BD6D7C"/>
    <w:rsid w:val="00BD6DA4"/>
    <w:rsid w:val="00BD6DE5"/>
    <w:rsid w:val="00BD6ED8"/>
    <w:rsid w:val="00BD6F55"/>
    <w:rsid w:val="00BD6FE9"/>
    <w:rsid w:val="00BD7003"/>
    <w:rsid w:val="00BD7010"/>
    <w:rsid w:val="00BD7045"/>
    <w:rsid w:val="00BD7060"/>
    <w:rsid w:val="00BD7076"/>
    <w:rsid w:val="00BD708B"/>
    <w:rsid w:val="00BD70E8"/>
    <w:rsid w:val="00BD7153"/>
    <w:rsid w:val="00BD71A6"/>
    <w:rsid w:val="00BD7234"/>
    <w:rsid w:val="00BD7264"/>
    <w:rsid w:val="00BD729E"/>
    <w:rsid w:val="00BD72B4"/>
    <w:rsid w:val="00BD72C7"/>
    <w:rsid w:val="00BD731F"/>
    <w:rsid w:val="00BD7388"/>
    <w:rsid w:val="00BD73C6"/>
    <w:rsid w:val="00BD74A1"/>
    <w:rsid w:val="00BD7505"/>
    <w:rsid w:val="00BD7564"/>
    <w:rsid w:val="00BD7648"/>
    <w:rsid w:val="00BD76D3"/>
    <w:rsid w:val="00BD785A"/>
    <w:rsid w:val="00BD7894"/>
    <w:rsid w:val="00BD78B8"/>
    <w:rsid w:val="00BD79DA"/>
    <w:rsid w:val="00BD7A47"/>
    <w:rsid w:val="00BD7B2A"/>
    <w:rsid w:val="00BD7C2A"/>
    <w:rsid w:val="00BD7C40"/>
    <w:rsid w:val="00BD7C62"/>
    <w:rsid w:val="00BD7C7F"/>
    <w:rsid w:val="00BD7CEC"/>
    <w:rsid w:val="00BD7D17"/>
    <w:rsid w:val="00BD7F8A"/>
    <w:rsid w:val="00BD7F9B"/>
    <w:rsid w:val="00BD7FC1"/>
    <w:rsid w:val="00BE0003"/>
    <w:rsid w:val="00BE0048"/>
    <w:rsid w:val="00BE004A"/>
    <w:rsid w:val="00BE0062"/>
    <w:rsid w:val="00BE00C5"/>
    <w:rsid w:val="00BE00D2"/>
    <w:rsid w:val="00BE00E6"/>
    <w:rsid w:val="00BE01A5"/>
    <w:rsid w:val="00BE01CB"/>
    <w:rsid w:val="00BE0398"/>
    <w:rsid w:val="00BE0479"/>
    <w:rsid w:val="00BE04B5"/>
    <w:rsid w:val="00BE04D3"/>
    <w:rsid w:val="00BE05EC"/>
    <w:rsid w:val="00BE0619"/>
    <w:rsid w:val="00BE0756"/>
    <w:rsid w:val="00BE0823"/>
    <w:rsid w:val="00BE088C"/>
    <w:rsid w:val="00BE0948"/>
    <w:rsid w:val="00BE0A53"/>
    <w:rsid w:val="00BE0AA5"/>
    <w:rsid w:val="00BE0AA8"/>
    <w:rsid w:val="00BE0AE2"/>
    <w:rsid w:val="00BE0B3B"/>
    <w:rsid w:val="00BE0B68"/>
    <w:rsid w:val="00BE0C36"/>
    <w:rsid w:val="00BE0C76"/>
    <w:rsid w:val="00BE0C7A"/>
    <w:rsid w:val="00BE0C81"/>
    <w:rsid w:val="00BE0C8D"/>
    <w:rsid w:val="00BE0E83"/>
    <w:rsid w:val="00BE0E9D"/>
    <w:rsid w:val="00BE0EEE"/>
    <w:rsid w:val="00BE0F65"/>
    <w:rsid w:val="00BE1158"/>
    <w:rsid w:val="00BE1170"/>
    <w:rsid w:val="00BE11B7"/>
    <w:rsid w:val="00BE11BE"/>
    <w:rsid w:val="00BE11BF"/>
    <w:rsid w:val="00BE11C0"/>
    <w:rsid w:val="00BE11D9"/>
    <w:rsid w:val="00BE1225"/>
    <w:rsid w:val="00BE12DF"/>
    <w:rsid w:val="00BE1334"/>
    <w:rsid w:val="00BE13A3"/>
    <w:rsid w:val="00BE13A8"/>
    <w:rsid w:val="00BE13C8"/>
    <w:rsid w:val="00BE13CB"/>
    <w:rsid w:val="00BE143E"/>
    <w:rsid w:val="00BE1475"/>
    <w:rsid w:val="00BE1497"/>
    <w:rsid w:val="00BE1542"/>
    <w:rsid w:val="00BE1581"/>
    <w:rsid w:val="00BE160F"/>
    <w:rsid w:val="00BE1661"/>
    <w:rsid w:val="00BE16BC"/>
    <w:rsid w:val="00BE1752"/>
    <w:rsid w:val="00BE1817"/>
    <w:rsid w:val="00BE1849"/>
    <w:rsid w:val="00BE18AF"/>
    <w:rsid w:val="00BE1908"/>
    <w:rsid w:val="00BE194B"/>
    <w:rsid w:val="00BE19A9"/>
    <w:rsid w:val="00BE19E0"/>
    <w:rsid w:val="00BE1A22"/>
    <w:rsid w:val="00BE1A3D"/>
    <w:rsid w:val="00BE1A4A"/>
    <w:rsid w:val="00BE1ADF"/>
    <w:rsid w:val="00BE1C1C"/>
    <w:rsid w:val="00BE1CA4"/>
    <w:rsid w:val="00BE1D80"/>
    <w:rsid w:val="00BE1D84"/>
    <w:rsid w:val="00BE1DCB"/>
    <w:rsid w:val="00BE1DD5"/>
    <w:rsid w:val="00BE1DF2"/>
    <w:rsid w:val="00BE1E51"/>
    <w:rsid w:val="00BE1E62"/>
    <w:rsid w:val="00BE1E9F"/>
    <w:rsid w:val="00BE1F2E"/>
    <w:rsid w:val="00BE1F4E"/>
    <w:rsid w:val="00BE1F88"/>
    <w:rsid w:val="00BE202F"/>
    <w:rsid w:val="00BE2069"/>
    <w:rsid w:val="00BE213B"/>
    <w:rsid w:val="00BE2157"/>
    <w:rsid w:val="00BE21BF"/>
    <w:rsid w:val="00BE21FA"/>
    <w:rsid w:val="00BE2347"/>
    <w:rsid w:val="00BE23AA"/>
    <w:rsid w:val="00BE23CD"/>
    <w:rsid w:val="00BE2480"/>
    <w:rsid w:val="00BE24C0"/>
    <w:rsid w:val="00BE2512"/>
    <w:rsid w:val="00BE255A"/>
    <w:rsid w:val="00BE26D3"/>
    <w:rsid w:val="00BE26D4"/>
    <w:rsid w:val="00BE26E8"/>
    <w:rsid w:val="00BE26EE"/>
    <w:rsid w:val="00BE2769"/>
    <w:rsid w:val="00BE27D9"/>
    <w:rsid w:val="00BE27E2"/>
    <w:rsid w:val="00BE2856"/>
    <w:rsid w:val="00BE29A8"/>
    <w:rsid w:val="00BE29FC"/>
    <w:rsid w:val="00BE2A0B"/>
    <w:rsid w:val="00BE2A20"/>
    <w:rsid w:val="00BE2AD0"/>
    <w:rsid w:val="00BE2AE4"/>
    <w:rsid w:val="00BE2AFD"/>
    <w:rsid w:val="00BE2B0B"/>
    <w:rsid w:val="00BE2B54"/>
    <w:rsid w:val="00BE2B88"/>
    <w:rsid w:val="00BE2B91"/>
    <w:rsid w:val="00BE2BFF"/>
    <w:rsid w:val="00BE2C9D"/>
    <w:rsid w:val="00BE2CC3"/>
    <w:rsid w:val="00BE2D78"/>
    <w:rsid w:val="00BE2D9D"/>
    <w:rsid w:val="00BE2DB7"/>
    <w:rsid w:val="00BE2DDE"/>
    <w:rsid w:val="00BE2E29"/>
    <w:rsid w:val="00BE2E3B"/>
    <w:rsid w:val="00BE2E8A"/>
    <w:rsid w:val="00BE2F11"/>
    <w:rsid w:val="00BE2F4F"/>
    <w:rsid w:val="00BE2F8B"/>
    <w:rsid w:val="00BE30A3"/>
    <w:rsid w:val="00BE30B6"/>
    <w:rsid w:val="00BE30BB"/>
    <w:rsid w:val="00BE30C6"/>
    <w:rsid w:val="00BE30E8"/>
    <w:rsid w:val="00BE30E9"/>
    <w:rsid w:val="00BE31CD"/>
    <w:rsid w:val="00BE3246"/>
    <w:rsid w:val="00BE32FE"/>
    <w:rsid w:val="00BE3331"/>
    <w:rsid w:val="00BE3337"/>
    <w:rsid w:val="00BE3364"/>
    <w:rsid w:val="00BE336F"/>
    <w:rsid w:val="00BE342B"/>
    <w:rsid w:val="00BE34AA"/>
    <w:rsid w:val="00BE34DB"/>
    <w:rsid w:val="00BE3555"/>
    <w:rsid w:val="00BE356C"/>
    <w:rsid w:val="00BE3575"/>
    <w:rsid w:val="00BE35C4"/>
    <w:rsid w:val="00BE35D7"/>
    <w:rsid w:val="00BE35D9"/>
    <w:rsid w:val="00BE3610"/>
    <w:rsid w:val="00BE3620"/>
    <w:rsid w:val="00BE3642"/>
    <w:rsid w:val="00BE3645"/>
    <w:rsid w:val="00BE37B1"/>
    <w:rsid w:val="00BE384D"/>
    <w:rsid w:val="00BE3859"/>
    <w:rsid w:val="00BE385D"/>
    <w:rsid w:val="00BE3866"/>
    <w:rsid w:val="00BE38C2"/>
    <w:rsid w:val="00BE390C"/>
    <w:rsid w:val="00BE3941"/>
    <w:rsid w:val="00BE3974"/>
    <w:rsid w:val="00BE39B7"/>
    <w:rsid w:val="00BE3AAC"/>
    <w:rsid w:val="00BE3B83"/>
    <w:rsid w:val="00BE3B89"/>
    <w:rsid w:val="00BE3BC4"/>
    <w:rsid w:val="00BE3C54"/>
    <w:rsid w:val="00BE3CD9"/>
    <w:rsid w:val="00BE3CE4"/>
    <w:rsid w:val="00BE3CF1"/>
    <w:rsid w:val="00BE3D1B"/>
    <w:rsid w:val="00BE3D35"/>
    <w:rsid w:val="00BE3D38"/>
    <w:rsid w:val="00BE3E3A"/>
    <w:rsid w:val="00BE3E9B"/>
    <w:rsid w:val="00BE3EEE"/>
    <w:rsid w:val="00BE3F8A"/>
    <w:rsid w:val="00BE407E"/>
    <w:rsid w:val="00BE412B"/>
    <w:rsid w:val="00BE4142"/>
    <w:rsid w:val="00BE416E"/>
    <w:rsid w:val="00BE41C2"/>
    <w:rsid w:val="00BE41D9"/>
    <w:rsid w:val="00BE4254"/>
    <w:rsid w:val="00BE42D7"/>
    <w:rsid w:val="00BE42EA"/>
    <w:rsid w:val="00BE4335"/>
    <w:rsid w:val="00BE441A"/>
    <w:rsid w:val="00BE4477"/>
    <w:rsid w:val="00BE4581"/>
    <w:rsid w:val="00BE45E3"/>
    <w:rsid w:val="00BE45EE"/>
    <w:rsid w:val="00BE478F"/>
    <w:rsid w:val="00BE47C6"/>
    <w:rsid w:val="00BE48A7"/>
    <w:rsid w:val="00BE4945"/>
    <w:rsid w:val="00BE4970"/>
    <w:rsid w:val="00BE4979"/>
    <w:rsid w:val="00BE49C2"/>
    <w:rsid w:val="00BE49D9"/>
    <w:rsid w:val="00BE4A5D"/>
    <w:rsid w:val="00BE4B08"/>
    <w:rsid w:val="00BE4BA6"/>
    <w:rsid w:val="00BE4C1E"/>
    <w:rsid w:val="00BE4C23"/>
    <w:rsid w:val="00BE4C6A"/>
    <w:rsid w:val="00BE4C80"/>
    <w:rsid w:val="00BE4E27"/>
    <w:rsid w:val="00BE4E3D"/>
    <w:rsid w:val="00BE4E75"/>
    <w:rsid w:val="00BE4F52"/>
    <w:rsid w:val="00BE4F7D"/>
    <w:rsid w:val="00BE5014"/>
    <w:rsid w:val="00BE501A"/>
    <w:rsid w:val="00BE501F"/>
    <w:rsid w:val="00BE5025"/>
    <w:rsid w:val="00BE51FB"/>
    <w:rsid w:val="00BE521C"/>
    <w:rsid w:val="00BE5220"/>
    <w:rsid w:val="00BE5223"/>
    <w:rsid w:val="00BE5254"/>
    <w:rsid w:val="00BE5339"/>
    <w:rsid w:val="00BE53A7"/>
    <w:rsid w:val="00BE53A8"/>
    <w:rsid w:val="00BE5442"/>
    <w:rsid w:val="00BE5447"/>
    <w:rsid w:val="00BE54CE"/>
    <w:rsid w:val="00BE54D6"/>
    <w:rsid w:val="00BE54E1"/>
    <w:rsid w:val="00BE5549"/>
    <w:rsid w:val="00BE5590"/>
    <w:rsid w:val="00BE56EE"/>
    <w:rsid w:val="00BE56F5"/>
    <w:rsid w:val="00BE571F"/>
    <w:rsid w:val="00BE5784"/>
    <w:rsid w:val="00BE5889"/>
    <w:rsid w:val="00BE5893"/>
    <w:rsid w:val="00BE58D6"/>
    <w:rsid w:val="00BE58F2"/>
    <w:rsid w:val="00BE59A5"/>
    <w:rsid w:val="00BE59BC"/>
    <w:rsid w:val="00BE59E2"/>
    <w:rsid w:val="00BE5A44"/>
    <w:rsid w:val="00BE5A9F"/>
    <w:rsid w:val="00BE5B22"/>
    <w:rsid w:val="00BE5B36"/>
    <w:rsid w:val="00BE5C36"/>
    <w:rsid w:val="00BE5C8D"/>
    <w:rsid w:val="00BE5CA8"/>
    <w:rsid w:val="00BE5D85"/>
    <w:rsid w:val="00BE5E1A"/>
    <w:rsid w:val="00BE5E92"/>
    <w:rsid w:val="00BE5F5D"/>
    <w:rsid w:val="00BE5F6B"/>
    <w:rsid w:val="00BE5FD0"/>
    <w:rsid w:val="00BE6092"/>
    <w:rsid w:val="00BE60A1"/>
    <w:rsid w:val="00BE60C2"/>
    <w:rsid w:val="00BE614D"/>
    <w:rsid w:val="00BE61DB"/>
    <w:rsid w:val="00BE61FB"/>
    <w:rsid w:val="00BE6211"/>
    <w:rsid w:val="00BE6216"/>
    <w:rsid w:val="00BE6295"/>
    <w:rsid w:val="00BE62AF"/>
    <w:rsid w:val="00BE62D0"/>
    <w:rsid w:val="00BE62F9"/>
    <w:rsid w:val="00BE6345"/>
    <w:rsid w:val="00BE6380"/>
    <w:rsid w:val="00BE6401"/>
    <w:rsid w:val="00BE646A"/>
    <w:rsid w:val="00BE64C2"/>
    <w:rsid w:val="00BE653F"/>
    <w:rsid w:val="00BE65AB"/>
    <w:rsid w:val="00BE6622"/>
    <w:rsid w:val="00BE665D"/>
    <w:rsid w:val="00BE66B3"/>
    <w:rsid w:val="00BE677E"/>
    <w:rsid w:val="00BE68DE"/>
    <w:rsid w:val="00BE69BD"/>
    <w:rsid w:val="00BE6AF4"/>
    <w:rsid w:val="00BE6AF8"/>
    <w:rsid w:val="00BE6B02"/>
    <w:rsid w:val="00BE6B86"/>
    <w:rsid w:val="00BE6BA5"/>
    <w:rsid w:val="00BE6C63"/>
    <w:rsid w:val="00BE6CB2"/>
    <w:rsid w:val="00BE6DFD"/>
    <w:rsid w:val="00BE6E2F"/>
    <w:rsid w:val="00BE6F4B"/>
    <w:rsid w:val="00BE70E4"/>
    <w:rsid w:val="00BE7146"/>
    <w:rsid w:val="00BE71C0"/>
    <w:rsid w:val="00BE71F2"/>
    <w:rsid w:val="00BE722C"/>
    <w:rsid w:val="00BE723B"/>
    <w:rsid w:val="00BE72C5"/>
    <w:rsid w:val="00BE7360"/>
    <w:rsid w:val="00BE7363"/>
    <w:rsid w:val="00BE73CF"/>
    <w:rsid w:val="00BE73D0"/>
    <w:rsid w:val="00BE74A1"/>
    <w:rsid w:val="00BE74ED"/>
    <w:rsid w:val="00BE7539"/>
    <w:rsid w:val="00BE7554"/>
    <w:rsid w:val="00BE75D5"/>
    <w:rsid w:val="00BE7639"/>
    <w:rsid w:val="00BE7687"/>
    <w:rsid w:val="00BE76A7"/>
    <w:rsid w:val="00BE7737"/>
    <w:rsid w:val="00BE7909"/>
    <w:rsid w:val="00BE793D"/>
    <w:rsid w:val="00BE795B"/>
    <w:rsid w:val="00BE797E"/>
    <w:rsid w:val="00BE7ACE"/>
    <w:rsid w:val="00BE7B07"/>
    <w:rsid w:val="00BE7B34"/>
    <w:rsid w:val="00BE7B5B"/>
    <w:rsid w:val="00BE7B7E"/>
    <w:rsid w:val="00BE7BEE"/>
    <w:rsid w:val="00BE7C03"/>
    <w:rsid w:val="00BE7C86"/>
    <w:rsid w:val="00BE7CB0"/>
    <w:rsid w:val="00BE7CDA"/>
    <w:rsid w:val="00BE7CEA"/>
    <w:rsid w:val="00BE7EEF"/>
    <w:rsid w:val="00BE7EF2"/>
    <w:rsid w:val="00BE7F47"/>
    <w:rsid w:val="00BE7F57"/>
    <w:rsid w:val="00BE7FB6"/>
    <w:rsid w:val="00BE7FC2"/>
    <w:rsid w:val="00BED2EA"/>
    <w:rsid w:val="00BF005F"/>
    <w:rsid w:val="00BF008A"/>
    <w:rsid w:val="00BF009B"/>
    <w:rsid w:val="00BF00F5"/>
    <w:rsid w:val="00BF0106"/>
    <w:rsid w:val="00BF0112"/>
    <w:rsid w:val="00BF015F"/>
    <w:rsid w:val="00BF0167"/>
    <w:rsid w:val="00BF0170"/>
    <w:rsid w:val="00BF017B"/>
    <w:rsid w:val="00BF01EB"/>
    <w:rsid w:val="00BF01EC"/>
    <w:rsid w:val="00BF0213"/>
    <w:rsid w:val="00BF0277"/>
    <w:rsid w:val="00BF02B6"/>
    <w:rsid w:val="00BF0338"/>
    <w:rsid w:val="00BF0403"/>
    <w:rsid w:val="00BF0446"/>
    <w:rsid w:val="00BF04DC"/>
    <w:rsid w:val="00BF04F4"/>
    <w:rsid w:val="00BF0527"/>
    <w:rsid w:val="00BF0580"/>
    <w:rsid w:val="00BF05C5"/>
    <w:rsid w:val="00BF069C"/>
    <w:rsid w:val="00BF071D"/>
    <w:rsid w:val="00BF096F"/>
    <w:rsid w:val="00BF0A41"/>
    <w:rsid w:val="00BF0B23"/>
    <w:rsid w:val="00BF0B79"/>
    <w:rsid w:val="00BF0C35"/>
    <w:rsid w:val="00BF0C5E"/>
    <w:rsid w:val="00BF0C6B"/>
    <w:rsid w:val="00BF0DB7"/>
    <w:rsid w:val="00BF0E19"/>
    <w:rsid w:val="00BF0E63"/>
    <w:rsid w:val="00BF0ED4"/>
    <w:rsid w:val="00BF0EF2"/>
    <w:rsid w:val="00BF0F21"/>
    <w:rsid w:val="00BF0F39"/>
    <w:rsid w:val="00BF0FAA"/>
    <w:rsid w:val="00BF0FCA"/>
    <w:rsid w:val="00BF106F"/>
    <w:rsid w:val="00BF10AE"/>
    <w:rsid w:val="00BF1102"/>
    <w:rsid w:val="00BF1167"/>
    <w:rsid w:val="00BF1176"/>
    <w:rsid w:val="00BF11A0"/>
    <w:rsid w:val="00BF11C7"/>
    <w:rsid w:val="00BF121B"/>
    <w:rsid w:val="00BF126F"/>
    <w:rsid w:val="00BF1373"/>
    <w:rsid w:val="00BF1418"/>
    <w:rsid w:val="00BF1421"/>
    <w:rsid w:val="00BF1454"/>
    <w:rsid w:val="00BF14B2"/>
    <w:rsid w:val="00BF14F3"/>
    <w:rsid w:val="00BF150B"/>
    <w:rsid w:val="00BF157B"/>
    <w:rsid w:val="00BF15B5"/>
    <w:rsid w:val="00BF15D0"/>
    <w:rsid w:val="00BF1624"/>
    <w:rsid w:val="00BF1634"/>
    <w:rsid w:val="00BF16C4"/>
    <w:rsid w:val="00BF16D6"/>
    <w:rsid w:val="00BF1747"/>
    <w:rsid w:val="00BF17E2"/>
    <w:rsid w:val="00BF1886"/>
    <w:rsid w:val="00BF18E7"/>
    <w:rsid w:val="00BF18F0"/>
    <w:rsid w:val="00BF19BA"/>
    <w:rsid w:val="00BF19C6"/>
    <w:rsid w:val="00BF19DB"/>
    <w:rsid w:val="00BF1B6D"/>
    <w:rsid w:val="00BF1BBE"/>
    <w:rsid w:val="00BF1BC5"/>
    <w:rsid w:val="00BF1BE5"/>
    <w:rsid w:val="00BF1C19"/>
    <w:rsid w:val="00BF1C99"/>
    <w:rsid w:val="00BF1D1F"/>
    <w:rsid w:val="00BF1D28"/>
    <w:rsid w:val="00BF1D35"/>
    <w:rsid w:val="00BF1FC9"/>
    <w:rsid w:val="00BF1FFB"/>
    <w:rsid w:val="00BF201F"/>
    <w:rsid w:val="00BF206E"/>
    <w:rsid w:val="00BF208A"/>
    <w:rsid w:val="00BF20E3"/>
    <w:rsid w:val="00BF2223"/>
    <w:rsid w:val="00BF22DE"/>
    <w:rsid w:val="00BF232B"/>
    <w:rsid w:val="00BF23A1"/>
    <w:rsid w:val="00BF245B"/>
    <w:rsid w:val="00BF2470"/>
    <w:rsid w:val="00BF24AA"/>
    <w:rsid w:val="00BF24C3"/>
    <w:rsid w:val="00BF2516"/>
    <w:rsid w:val="00BF253F"/>
    <w:rsid w:val="00BF2618"/>
    <w:rsid w:val="00BF2670"/>
    <w:rsid w:val="00BF2715"/>
    <w:rsid w:val="00BF298F"/>
    <w:rsid w:val="00BF2994"/>
    <w:rsid w:val="00BF2A25"/>
    <w:rsid w:val="00BF2AAE"/>
    <w:rsid w:val="00BF2B65"/>
    <w:rsid w:val="00BF2B84"/>
    <w:rsid w:val="00BF2B8A"/>
    <w:rsid w:val="00BF2BB9"/>
    <w:rsid w:val="00BF2C61"/>
    <w:rsid w:val="00BF2C96"/>
    <w:rsid w:val="00BF2CDD"/>
    <w:rsid w:val="00BF2D46"/>
    <w:rsid w:val="00BF2E04"/>
    <w:rsid w:val="00BF2E47"/>
    <w:rsid w:val="00BF2E7A"/>
    <w:rsid w:val="00BF2ECB"/>
    <w:rsid w:val="00BF2EF1"/>
    <w:rsid w:val="00BF2FA4"/>
    <w:rsid w:val="00BF3043"/>
    <w:rsid w:val="00BF30E2"/>
    <w:rsid w:val="00BF3152"/>
    <w:rsid w:val="00BF3200"/>
    <w:rsid w:val="00BF3220"/>
    <w:rsid w:val="00BF32D0"/>
    <w:rsid w:val="00BF32FA"/>
    <w:rsid w:val="00BF3440"/>
    <w:rsid w:val="00BF346D"/>
    <w:rsid w:val="00BF3496"/>
    <w:rsid w:val="00BF349B"/>
    <w:rsid w:val="00BF34E3"/>
    <w:rsid w:val="00BF36DD"/>
    <w:rsid w:val="00BF3738"/>
    <w:rsid w:val="00BF3746"/>
    <w:rsid w:val="00BF375B"/>
    <w:rsid w:val="00BF3772"/>
    <w:rsid w:val="00BF37C2"/>
    <w:rsid w:val="00BF37D7"/>
    <w:rsid w:val="00BF37EE"/>
    <w:rsid w:val="00BF3818"/>
    <w:rsid w:val="00BF3829"/>
    <w:rsid w:val="00BF3839"/>
    <w:rsid w:val="00BF385C"/>
    <w:rsid w:val="00BF3938"/>
    <w:rsid w:val="00BF394B"/>
    <w:rsid w:val="00BF3973"/>
    <w:rsid w:val="00BF3A85"/>
    <w:rsid w:val="00BF3AA3"/>
    <w:rsid w:val="00BF3AB5"/>
    <w:rsid w:val="00BF3B11"/>
    <w:rsid w:val="00BF3B3A"/>
    <w:rsid w:val="00BF3BC7"/>
    <w:rsid w:val="00BF3C2C"/>
    <w:rsid w:val="00BF3C65"/>
    <w:rsid w:val="00BF3C67"/>
    <w:rsid w:val="00BF3CBE"/>
    <w:rsid w:val="00BF3CF9"/>
    <w:rsid w:val="00BF3D3B"/>
    <w:rsid w:val="00BF3D4F"/>
    <w:rsid w:val="00BF3D7E"/>
    <w:rsid w:val="00BF3D83"/>
    <w:rsid w:val="00BF3D92"/>
    <w:rsid w:val="00BF3DDD"/>
    <w:rsid w:val="00BF3E49"/>
    <w:rsid w:val="00BF3E53"/>
    <w:rsid w:val="00BF3E70"/>
    <w:rsid w:val="00BF3E72"/>
    <w:rsid w:val="00BF3EB2"/>
    <w:rsid w:val="00BF3F12"/>
    <w:rsid w:val="00BF3F5A"/>
    <w:rsid w:val="00BF4019"/>
    <w:rsid w:val="00BF4026"/>
    <w:rsid w:val="00BF408E"/>
    <w:rsid w:val="00BF40B3"/>
    <w:rsid w:val="00BF40DF"/>
    <w:rsid w:val="00BF40F2"/>
    <w:rsid w:val="00BF40F7"/>
    <w:rsid w:val="00BF419D"/>
    <w:rsid w:val="00BF41D4"/>
    <w:rsid w:val="00BF4275"/>
    <w:rsid w:val="00BF4291"/>
    <w:rsid w:val="00BF42AF"/>
    <w:rsid w:val="00BF42ED"/>
    <w:rsid w:val="00BF437C"/>
    <w:rsid w:val="00BF43E4"/>
    <w:rsid w:val="00BF4426"/>
    <w:rsid w:val="00BF44D0"/>
    <w:rsid w:val="00BF44FB"/>
    <w:rsid w:val="00BF454E"/>
    <w:rsid w:val="00BF45F7"/>
    <w:rsid w:val="00BF4621"/>
    <w:rsid w:val="00BF4673"/>
    <w:rsid w:val="00BF46AE"/>
    <w:rsid w:val="00BF46D5"/>
    <w:rsid w:val="00BF46EB"/>
    <w:rsid w:val="00BF472A"/>
    <w:rsid w:val="00BF47AA"/>
    <w:rsid w:val="00BF47F0"/>
    <w:rsid w:val="00BF4842"/>
    <w:rsid w:val="00BF486B"/>
    <w:rsid w:val="00BF4872"/>
    <w:rsid w:val="00BF491F"/>
    <w:rsid w:val="00BF49F5"/>
    <w:rsid w:val="00BF4A69"/>
    <w:rsid w:val="00BF4A8F"/>
    <w:rsid w:val="00BF4ACD"/>
    <w:rsid w:val="00BF4ADB"/>
    <w:rsid w:val="00BF4ADD"/>
    <w:rsid w:val="00BF4B02"/>
    <w:rsid w:val="00BF4B0B"/>
    <w:rsid w:val="00BF4BF1"/>
    <w:rsid w:val="00BF4C15"/>
    <w:rsid w:val="00BF4CBF"/>
    <w:rsid w:val="00BF4D5F"/>
    <w:rsid w:val="00BF4DF5"/>
    <w:rsid w:val="00BF4E13"/>
    <w:rsid w:val="00BF4EEB"/>
    <w:rsid w:val="00BF4F16"/>
    <w:rsid w:val="00BF4F3A"/>
    <w:rsid w:val="00BF4F58"/>
    <w:rsid w:val="00BF4FEA"/>
    <w:rsid w:val="00BF5063"/>
    <w:rsid w:val="00BF510F"/>
    <w:rsid w:val="00BF524E"/>
    <w:rsid w:val="00BF52D4"/>
    <w:rsid w:val="00BF5391"/>
    <w:rsid w:val="00BF53CE"/>
    <w:rsid w:val="00BF540D"/>
    <w:rsid w:val="00BF5415"/>
    <w:rsid w:val="00BF5483"/>
    <w:rsid w:val="00BF5612"/>
    <w:rsid w:val="00BF561C"/>
    <w:rsid w:val="00BF5669"/>
    <w:rsid w:val="00BF57DA"/>
    <w:rsid w:val="00BF583E"/>
    <w:rsid w:val="00BF58A9"/>
    <w:rsid w:val="00BF58AF"/>
    <w:rsid w:val="00BF5988"/>
    <w:rsid w:val="00BF59C9"/>
    <w:rsid w:val="00BF59D3"/>
    <w:rsid w:val="00BF5A73"/>
    <w:rsid w:val="00BF5A91"/>
    <w:rsid w:val="00BF5BF7"/>
    <w:rsid w:val="00BF5C66"/>
    <w:rsid w:val="00BF5CBB"/>
    <w:rsid w:val="00BF5CDD"/>
    <w:rsid w:val="00BF5D1B"/>
    <w:rsid w:val="00BF5D22"/>
    <w:rsid w:val="00BF5D4C"/>
    <w:rsid w:val="00BF5D91"/>
    <w:rsid w:val="00BF5DDD"/>
    <w:rsid w:val="00BF5DE3"/>
    <w:rsid w:val="00BF5E0E"/>
    <w:rsid w:val="00BF5EE0"/>
    <w:rsid w:val="00BF5F01"/>
    <w:rsid w:val="00BF5FD9"/>
    <w:rsid w:val="00BF6050"/>
    <w:rsid w:val="00BF6098"/>
    <w:rsid w:val="00BF620D"/>
    <w:rsid w:val="00BF6240"/>
    <w:rsid w:val="00BF626B"/>
    <w:rsid w:val="00BF62B6"/>
    <w:rsid w:val="00BF62CF"/>
    <w:rsid w:val="00BF6442"/>
    <w:rsid w:val="00BF64A9"/>
    <w:rsid w:val="00BF652E"/>
    <w:rsid w:val="00BF656B"/>
    <w:rsid w:val="00BF6721"/>
    <w:rsid w:val="00BF6744"/>
    <w:rsid w:val="00BF6791"/>
    <w:rsid w:val="00BF682D"/>
    <w:rsid w:val="00BF68C8"/>
    <w:rsid w:val="00BF68FE"/>
    <w:rsid w:val="00BF6922"/>
    <w:rsid w:val="00BF692B"/>
    <w:rsid w:val="00BF6945"/>
    <w:rsid w:val="00BF6964"/>
    <w:rsid w:val="00BF69C7"/>
    <w:rsid w:val="00BF6A1B"/>
    <w:rsid w:val="00BF6AB8"/>
    <w:rsid w:val="00BF6ACC"/>
    <w:rsid w:val="00BF6B79"/>
    <w:rsid w:val="00BF6BB0"/>
    <w:rsid w:val="00BF6BC6"/>
    <w:rsid w:val="00BF6C61"/>
    <w:rsid w:val="00BF6C7E"/>
    <w:rsid w:val="00BF6D73"/>
    <w:rsid w:val="00BF6DC6"/>
    <w:rsid w:val="00BF6DE9"/>
    <w:rsid w:val="00BF6E37"/>
    <w:rsid w:val="00BF6EF6"/>
    <w:rsid w:val="00BF6F00"/>
    <w:rsid w:val="00BF6F53"/>
    <w:rsid w:val="00BF6F55"/>
    <w:rsid w:val="00BF7005"/>
    <w:rsid w:val="00BF7044"/>
    <w:rsid w:val="00BF7049"/>
    <w:rsid w:val="00BF7082"/>
    <w:rsid w:val="00BF70C6"/>
    <w:rsid w:val="00BF7113"/>
    <w:rsid w:val="00BF713D"/>
    <w:rsid w:val="00BF71AA"/>
    <w:rsid w:val="00BF71D9"/>
    <w:rsid w:val="00BF7201"/>
    <w:rsid w:val="00BF7210"/>
    <w:rsid w:val="00BF7234"/>
    <w:rsid w:val="00BF72EE"/>
    <w:rsid w:val="00BF72FC"/>
    <w:rsid w:val="00BF748F"/>
    <w:rsid w:val="00BF74D8"/>
    <w:rsid w:val="00BF7558"/>
    <w:rsid w:val="00BF7637"/>
    <w:rsid w:val="00BF7712"/>
    <w:rsid w:val="00BF7716"/>
    <w:rsid w:val="00BF7729"/>
    <w:rsid w:val="00BF7752"/>
    <w:rsid w:val="00BF776A"/>
    <w:rsid w:val="00BF7786"/>
    <w:rsid w:val="00BF7799"/>
    <w:rsid w:val="00BF784E"/>
    <w:rsid w:val="00BF785C"/>
    <w:rsid w:val="00BF7B39"/>
    <w:rsid w:val="00BF7C74"/>
    <w:rsid w:val="00BF7CAC"/>
    <w:rsid w:val="00BF7CC1"/>
    <w:rsid w:val="00BF7D24"/>
    <w:rsid w:val="00BF7D27"/>
    <w:rsid w:val="00BF7D4C"/>
    <w:rsid w:val="00BF7DA2"/>
    <w:rsid w:val="00BF7E0D"/>
    <w:rsid w:val="00BF7E5D"/>
    <w:rsid w:val="00BF7E70"/>
    <w:rsid w:val="00BF7EAB"/>
    <w:rsid w:val="00BF7EED"/>
    <w:rsid w:val="00BF7F65"/>
    <w:rsid w:val="00BF7F99"/>
    <w:rsid w:val="00BFC9CC"/>
    <w:rsid w:val="00C0001A"/>
    <w:rsid w:val="00C000DC"/>
    <w:rsid w:val="00C001C6"/>
    <w:rsid w:val="00C001DE"/>
    <w:rsid w:val="00C00209"/>
    <w:rsid w:val="00C00251"/>
    <w:rsid w:val="00C002CD"/>
    <w:rsid w:val="00C003C1"/>
    <w:rsid w:val="00C003E7"/>
    <w:rsid w:val="00C004AF"/>
    <w:rsid w:val="00C004D8"/>
    <w:rsid w:val="00C004EF"/>
    <w:rsid w:val="00C005F4"/>
    <w:rsid w:val="00C0063A"/>
    <w:rsid w:val="00C00719"/>
    <w:rsid w:val="00C00775"/>
    <w:rsid w:val="00C00833"/>
    <w:rsid w:val="00C008AE"/>
    <w:rsid w:val="00C00913"/>
    <w:rsid w:val="00C00935"/>
    <w:rsid w:val="00C0093B"/>
    <w:rsid w:val="00C00A7B"/>
    <w:rsid w:val="00C00A8A"/>
    <w:rsid w:val="00C00B59"/>
    <w:rsid w:val="00C00BF1"/>
    <w:rsid w:val="00C00C03"/>
    <w:rsid w:val="00C00D2A"/>
    <w:rsid w:val="00C00D43"/>
    <w:rsid w:val="00C00D7A"/>
    <w:rsid w:val="00C00D9B"/>
    <w:rsid w:val="00C00E2E"/>
    <w:rsid w:val="00C00E30"/>
    <w:rsid w:val="00C00F40"/>
    <w:rsid w:val="00C00F4D"/>
    <w:rsid w:val="00C00F6E"/>
    <w:rsid w:val="00C01022"/>
    <w:rsid w:val="00C0103F"/>
    <w:rsid w:val="00C01080"/>
    <w:rsid w:val="00C010CD"/>
    <w:rsid w:val="00C010E4"/>
    <w:rsid w:val="00C011AB"/>
    <w:rsid w:val="00C01253"/>
    <w:rsid w:val="00C01265"/>
    <w:rsid w:val="00C01274"/>
    <w:rsid w:val="00C0129B"/>
    <w:rsid w:val="00C012CA"/>
    <w:rsid w:val="00C01380"/>
    <w:rsid w:val="00C013F5"/>
    <w:rsid w:val="00C01482"/>
    <w:rsid w:val="00C01575"/>
    <w:rsid w:val="00C01596"/>
    <w:rsid w:val="00C015B6"/>
    <w:rsid w:val="00C015B8"/>
    <w:rsid w:val="00C015CA"/>
    <w:rsid w:val="00C015D2"/>
    <w:rsid w:val="00C0161A"/>
    <w:rsid w:val="00C016A3"/>
    <w:rsid w:val="00C01706"/>
    <w:rsid w:val="00C0173E"/>
    <w:rsid w:val="00C017CD"/>
    <w:rsid w:val="00C017ED"/>
    <w:rsid w:val="00C0184E"/>
    <w:rsid w:val="00C01861"/>
    <w:rsid w:val="00C018D2"/>
    <w:rsid w:val="00C01910"/>
    <w:rsid w:val="00C019A0"/>
    <w:rsid w:val="00C01AB4"/>
    <w:rsid w:val="00C01AC4"/>
    <w:rsid w:val="00C01B51"/>
    <w:rsid w:val="00C01BA2"/>
    <w:rsid w:val="00C01C96"/>
    <w:rsid w:val="00C01C9F"/>
    <w:rsid w:val="00C01CA6"/>
    <w:rsid w:val="00C01CBF"/>
    <w:rsid w:val="00C01CFC"/>
    <w:rsid w:val="00C01DA2"/>
    <w:rsid w:val="00C01E24"/>
    <w:rsid w:val="00C01E65"/>
    <w:rsid w:val="00C01E68"/>
    <w:rsid w:val="00C01EC3"/>
    <w:rsid w:val="00C01EC9"/>
    <w:rsid w:val="00C02007"/>
    <w:rsid w:val="00C0208A"/>
    <w:rsid w:val="00C0208D"/>
    <w:rsid w:val="00C020E7"/>
    <w:rsid w:val="00C02174"/>
    <w:rsid w:val="00C021DB"/>
    <w:rsid w:val="00C0226D"/>
    <w:rsid w:val="00C02301"/>
    <w:rsid w:val="00C02393"/>
    <w:rsid w:val="00C023B2"/>
    <w:rsid w:val="00C0243B"/>
    <w:rsid w:val="00C0244D"/>
    <w:rsid w:val="00C0246C"/>
    <w:rsid w:val="00C02470"/>
    <w:rsid w:val="00C02527"/>
    <w:rsid w:val="00C0256A"/>
    <w:rsid w:val="00C025D9"/>
    <w:rsid w:val="00C02638"/>
    <w:rsid w:val="00C02655"/>
    <w:rsid w:val="00C02705"/>
    <w:rsid w:val="00C0281A"/>
    <w:rsid w:val="00C0282A"/>
    <w:rsid w:val="00C028BE"/>
    <w:rsid w:val="00C028E8"/>
    <w:rsid w:val="00C028ED"/>
    <w:rsid w:val="00C02951"/>
    <w:rsid w:val="00C0298C"/>
    <w:rsid w:val="00C029A7"/>
    <w:rsid w:val="00C02A23"/>
    <w:rsid w:val="00C02A2F"/>
    <w:rsid w:val="00C02A4F"/>
    <w:rsid w:val="00C02A59"/>
    <w:rsid w:val="00C02A97"/>
    <w:rsid w:val="00C02AB1"/>
    <w:rsid w:val="00C02AB9"/>
    <w:rsid w:val="00C02AF8"/>
    <w:rsid w:val="00C02B07"/>
    <w:rsid w:val="00C02B34"/>
    <w:rsid w:val="00C02B43"/>
    <w:rsid w:val="00C02BAD"/>
    <w:rsid w:val="00C02BAE"/>
    <w:rsid w:val="00C02BC2"/>
    <w:rsid w:val="00C02C68"/>
    <w:rsid w:val="00C02C85"/>
    <w:rsid w:val="00C02C87"/>
    <w:rsid w:val="00C02C90"/>
    <w:rsid w:val="00C02D07"/>
    <w:rsid w:val="00C02D61"/>
    <w:rsid w:val="00C02D67"/>
    <w:rsid w:val="00C02D7F"/>
    <w:rsid w:val="00C02D84"/>
    <w:rsid w:val="00C02E3F"/>
    <w:rsid w:val="00C02E8E"/>
    <w:rsid w:val="00C02F5F"/>
    <w:rsid w:val="00C02F64"/>
    <w:rsid w:val="00C02FFE"/>
    <w:rsid w:val="00C03037"/>
    <w:rsid w:val="00C030CE"/>
    <w:rsid w:val="00C0310C"/>
    <w:rsid w:val="00C03132"/>
    <w:rsid w:val="00C031E1"/>
    <w:rsid w:val="00C0324D"/>
    <w:rsid w:val="00C03286"/>
    <w:rsid w:val="00C0328F"/>
    <w:rsid w:val="00C03295"/>
    <w:rsid w:val="00C03438"/>
    <w:rsid w:val="00C0343C"/>
    <w:rsid w:val="00C0347A"/>
    <w:rsid w:val="00C03488"/>
    <w:rsid w:val="00C0352F"/>
    <w:rsid w:val="00C03539"/>
    <w:rsid w:val="00C03581"/>
    <w:rsid w:val="00C03585"/>
    <w:rsid w:val="00C035B5"/>
    <w:rsid w:val="00C03734"/>
    <w:rsid w:val="00C03735"/>
    <w:rsid w:val="00C03770"/>
    <w:rsid w:val="00C0377A"/>
    <w:rsid w:val="00C03783"/>
    <w:rsid w:val="00C037D2"/>
    <w:rsid w:val="00C0381F"/>
    <w:rsid w:val="00C038A4"/>
    <w:rsid w:val="00C0397C"/>
    <w:rsid w:val="00C039A2"/>
    <w:rsid w:val="00C039DB"/>
    <w:rsid w:val="00C03A34"/>
    <w:rsid w:val="00C03A3E"/>
    <w:rsid w:val="00C03A8C"/>
    <w:rsid w:val="00C03B81"/>
    <w:rsid w:val="00C03BC5"/>
    <w:rsid w:val="00C03C34"/>
    <w:rsid w:val="00C03C4A"/>
    <w:rsid w:val="00C03C52"/>
    <w:rsid w:val="00C03D08"/>
    <w:rsid w:val="00C03DB9"/>
    <w:rsid w:val="00C03E05"/>
    <w:rsid w:val="00C03E6E"/>
    <w:rsid w:val="00C03F0F"/>
    <w:rsid w:val="00C03F2F"/>
    <w:rsid w:val="00C03F41"/>
    <w:rsid w:val="00C03F6C"/>
    <w:rsid w:val="00C03FBA"/>
    <w:rsid w:val="00C04072"/>
    <w:rsid w:val="00C0408C"/>
    <w:rsid w:val="00C04160"/>
    <w:rsid w:val="00C04199"/>
    <w:rsid w:val="00C0419A"/>
    <w:rsid w:val="00C04245"/>
    <w:rsid w:val="00C04266"/>
    <w:rsid w:val="00C0429E"/>
    <w:rsid w:val="00C042DA"/>
    <w:rsid w:val="00C042DC"/>
    <w:rsid w:val="00C04305"/>
    <w:rsid w:val="00C04372"/>
    <w:rsid w:val="00C0439F"/>
    <w:rsid w:val="00C043A1"/>
    <w:rsid w:val="00C043D4"/>
    <w:rsid w:val="00C04480"/>
    <w:rsid w:val="00C04492"/>
    <w:rsid w:val="00C045C5"/>
    <w:rsid w:val="00C045F6"/>
    <w:rsid w:val="00C04628"/>
    <w:rsid w:val="00C04631"/>
    <w:rsid w:val="00C04680"/>
    <w:rsid w:val="00C0468A"/>
    <w:rsid w:val="00C046D3"/>
    <w:rsid w:val="00C046FD"/>
    <w:rsid w:val="00C04786"/>
    <w:rsid w:val="00C047D1"/>
    <w:rsid w:val="00C047F0"/>
    <w:rsid w:val="00C0484E"/>
    <w:rsid w:val="00C0499F"/>
    <w:rsid w:val="00C049C8"/>
    <w:rsid w:val="00C049E0"/>
    <w:rsid w:val="00C049E8"/>
    <w:rsid w:val="00C04A26"/>
    <w:rsid w:val="00C04A83"/>
    <w:rsid w:val="00C04A89"/>
    <w:rsid w:val="00C04AA8"/>
    <w:rsid w:val="00C04B40"/>
    <w:rsid w:val="00C04B67"/>
    <w:rsid w:val="00C04B78"/>
    <w:rsid w:val="00C04B81"/>
    <w:rsid w:val="00C04B82"/>
    <w:rsid w:val="00C04BEC"/>
    <w:rsid w:val="00C04C0F"/>
    <w:rsid w:val="00C04CB5"/>
    <w:rsid w:val="00C04CD5"/>
    <w:rsid w:val="00C04D7A"/>
    <w:rsid w:val="00C04E85"/>
    <w:rsid w:val="00C04EF4"/>
    <w:rsid w:val="00C04F08"/>
    <w:rsid w:val="00C04F10"/>
    <w:rsid w:val="00C04F1F"/>
    <w:rsid w:val="00C04F33"/>
    <w:rsid w:val="00C04F75"/>
    <w:rsid w:val="00C04F80"/>
    <w:rsid w:val="00C04F8E"/>
    <w:rsid w:val="00C0503E"/>
    <w:rsid w:val="00C05040"/>
    <w:rsid w:val="00C050BA"/>
    <w:rsid w:val="00C050F2"/>
    <w:rsid w:val="00C05132"/>
    <w:rsid w:val="00C0515A"/>
    <w:rsid w:val="00C05163"/>
    <w:rsid w:val="00C051C7"/>
    <w:rsid w:val="00C053A1"/>
    <w:rsid w:val="00C053FC"/>
    <w:rsid w:val="00C05429"/>
    <w:rsid w:val="00C05496"/>
    <w:rsid w:val="00C05535"/>
    <w:rsid w:val="00C0553F"/>
    <w:rsid w:val="00C05558"/>
    <w:rsid w:val="00C0559D"/>
    <w:rsid w:val="00C055DD"/>
    <w:rsid w:val="00C05616"/>
    <w:rsid w:val="00C056B2"/>
    <w:rsid w:val="00C05896"/>
    <w:rsid w:val="00C058E6"/>
    <w:rsid w:val="00C05911"/>
    <w:rsid w:val="00C059BE"/>
    <w:rsid w:val="00C059BF"/>
    <w:rsid w:val="00C05A26"/>
    <w:rsid w:val="00C05A7A"/>
    <w:rsid w:val="00C05A92"/>
    <w:rsid w:val="00C05B74"/>
    <w:rsid w:val="00C05BD9"/>
    <w:rsid w:val="00C05C23"/>
    <w:rsid w:val="00C05C43"/>
    <w:rsid w:val="00C05CB7"/>
    <w:rsid w:val="00C05D81"/>
    <w:rsid w:val="00C05D91"/>
    <w:rsid w:val="00C05DC7"/>
    <w:rsid w:val="00C05E5A"/>
    <w:rsid w:val="00C05F69"/>
    <w:rsid w:val="00C0605A"/>
    <w:rsid w:val="00C060AC"/>
    <w:rsid w:val="00C0614F"/>
    <w:rsid w:val="00C061A8"/>
    <w:rsid w:val="00C061F0"/>
    <w:rsid w:val="00C061F8"/>
    <w:rsid w:val="00C061FB"/>
    <w:rsid w:val="00C06208"/>
    <w:rsid w:val="00C0621D"/>
    <w:rsid w:val="00C06245"/>
    <w:rsid w:val="00C0626E"/>
    <w:rsid w:val="00C062C2"/>
    <w:rsid w:val="00C06363"/>
    <w:rsid w:val="00C063D1"/>
    <w:rsid w:val="00C06466"/>
    <w:rsid w:val="00C064B8"/>
    <w:rsid w:val="00C064D0"/>
    <w:rsid w:val="00C06523"/>
    <w:rsid w:val="00C06551"/>
    <w:rsid w:val="00C065E1"/>
    <w:rsid w:val="00C065E2"/>
    <w:rsid w:val="00C06662"/>
    <w:rsid w:val="00C06670"/>
    <w:rsid w:val="00C068A3"/>
    <w:rsid w:val="00C06908"/>
    <w:rsid w:val="00C0699B"/>
    <w:rsid w:val="00C069C0"/>
    <w:rsid w:val="00C06A2C"/>
    <w:rsid w:val="00C06AA2"/>
    <w:rsid w:val="00C06B58"/>
    <w:rsid w:val="00C06B7E"/>
    <w:rsid w:val="00C06BAC"/>
    <w:rsid w:val="00C06BBA"/>
    <w:rsid w:val="00C06C17"/>
    <w:rsid w:val="00C06C8F"/>
    <w:rsid w:val="00C06CAA"/>
    <w:rsid w:val="00C06D48"/>
    <w:rsid w:val="00C06D7F"/>
    <w:rsid w:val="00C06E01"/>
    <w:rsid w:val="00C06E1A"/>
    <w:rsid w:val="00C06E41"/>
    <w:rsid w:val="00C06F74"/>
    <w:rsid w:val="00C07043"/>
    <w:rsid w:val="00C07045"/>
    <w:rsid w:val="00C070FC"/>
    <w:rsid w:val="00C07137"/>
    <w:rsid w:val="00C0715D"/>
    <w:rsid w:val="00C07186"/>
    <w:rsid w:val="00C07267"/>
    <w:rsid w:val="00C072CF"/>
    <w:rsid w:val="00C07332"/>
    <w:rsid w:val="00C07339"/>
    <w:rsid w:val="00C07363"/>
    <w:rsid w:val="00C073EC"/>
    <w:rsid w:val="00C074BD"/>
    <w:rsid w:val="00C07530"/>
    <w:rsid w:val="00C075C8"/>
    <w:rsid w:val="00C07681"/>
    <w:rsid w:val="00C0779A"/>
    <w:rsid w:val="00C077FA"/>
    <w:rsid w:val="00C078A8"/>
    <w:rsid w:val="00C078E5"/>
    <w:rsid w:val="00C07968"/>
    <w:rsid w:val="00C07A46"/>
    <w:rsid w:val="00C07B25"/>
    <w:rsid w:val="00C07B9F"/>
    <w:rsid w:val="00C07BA2"/>
    <w:rsid w:val="00C07C64"/>
    <w:rsid w:val="00C07CCF"/>
    <w:rsid w:val="00C07D0E"/>
    <w:rsid w:val="00C07D2F"/>
    <w:rsid w:val="00C07D3A"/>
    <w:rsid w:val="00C07D44"/>
    <w:rsid w:val="00C07D67"/>
    <w:rsid w:val="00C07DB3"/>
    <w:rsid w:val="00C07E67"/>
    <w:rsid w:val="00C07EFD"/>
    <w:rsid w:val="00C07FFC"/>
    <w:rsid w:val="00C07FFE"/>
    <w:rsid w:val="00C100E9"/>
    <w:rsid w:val="00C100EA"/>
    <w:rsid w:val="00C10108"/>
    <w:rsid w:val="00C1010C"/>
    <w:rsid w:val="00C10171"/>
    <w:rsid w:val="00C101D5"/>
    <w:rsid w:val="00C101E1"/>
    <w:rsid w:val="00C1024B"/>
    <w:rsid w:val="00C10272"/>
    <w:rsid w:val="00C1030B"/>
    <w:rsid w:val="00C103CE"/>
    <w:rsid w:val="00C1040A"/>
    <w:rsid w:val="00C1041F"/>
    <w:rsid w:val="00C104B8"/>
    <w:rsid w:val="00C10508"/>
    <w:rsid w:val="00C10599"/>
    <w:rsid w:val="00C105A9"/>
    <w:rsid w:val="00C105AD"/>
    <w:rsid w:val="00C105E0"/>
    <w:rsid w:val="00C10633"/>
    <w:rsid w:val="00C10657"/>
    <w:rsid w:val="00C1068E"/>
    <w:rsid w:val="00C10692"/>
    <w:rsid w:val="00C1073A"/>
    <w:rsid w:val="00C10764"/>
    <w:rsid w:val="00C10769"/>
    <w:rsid w:val="00C10845"/>
    <w:rsid w:val="00C10864"/>
    <w:rsid w:val="00C108CC"/>
    <w:rsid w:val="00C10916"/>
    <w:rsid w:val="00C10A11"/>
    <w:rsid w:val="00C10B17"/>
    <w:rsid w:val="00C10B83"/>
    <w:rsid w:val="00C10BFC"/>
    <w:rsid w:val="00C10C06"/>
    <w:rsid w:val="00C10D6C"/>
    <w:rsid w:val="00C10DED"/>
    <w:rsid w:val="00C10E37"/>
    <w:rsid w:val="00C10EA8"/>
    <w:rsid w:val="00C10F29"/>
    <w:rsid w:val="00C10F69"/>
    <w:rsid w:val="00C10F97"/>
    <w:rsid w:val="00C10FBB"/>
    <w:rsid w:val="00C10FCF"/>
    <w:rsid w:val="00C10FD2"/>
    <w:rsid w:val="00C11047"/>
    <w:rsid w:val="00C110C0"/>
    <w:rsid w:val="00C110D8"/>
    <w:rsid w:val="00C1112B"/>
    <w:rsid w:val="00C11154"/>
    <w:rsid w:val="00C111E0"/>
    <w:rsid w:val="00C111F4"/>
    <w:rsid w:val="00C112B9"/>
    <w:rsid w:val="00C11313"/>
    <w:rsid w:val="00C1136B"/>
    <w:rsid w:val="00C1137D"/>
    <w:rsid w:val="00C1139F"/>
    <w:rsid w:val="00C113F7"/>
    <w:rsid w:val="00C1142F"/>
    <w:rsid w:val="00C11438"/>
    <w:rsid w:val="00C11450"/>
    <w:rsid w:val="00C114CC"/>
    <w:rsid w:val="00C11537"/>
    <w:rsid w:val="00C11546"/>
    <w:rsid w:val="00C1160D"/>
    <w:rsid w:val="00C11611"/>
    <w:rsid w:val="00C11615"/>
    <w:rsid w:val="00C1171F"/>
    <w:rsid w:val="00C11739"/>
    <w:rsid w:val="00C117F1"/>
    <w:rsid w:val="00C11924"/>
    <w:rsid w:val="00C11932"/>
    <w:rsid w:val="00C119C4"/>
    <w:rsid w:val="00C11A80"/>
    <w:rsid w:val="00C11ACF"/>
    <w:rsid w:val="00C11B2D"/>
    <w:rsid w:val="00C11BB3"/>
    <w:rsid w:val="00C11C0E"/>
    <w:rsid w:val="00C11C3A"/>
    <w:rsid w:val="00C11C65"/>
    <w:rsid w:val="00C11C84"/>
    <w:rsid w:val="00C11C8C"/>
    <w:rsid w:val="00C11D84"/>
    <w:rsid w:val="00C11DA7"/>
    <w:rsid w:val="00C11DE3"/>
    <w:rsid w:val="00C11E5F"/>
    <w:rsid w:val="00C11E78"/>
    <w:rsid w:val="00C11EA1"/>
    <w:rsid w:val="00C11F76"/>
    <w:rsid w:val="00C11FE8"/>
    <w:rsid w:val="00C12035"/>
    <w:rsid w:val="00C12038"/>
    <w:rsid w:val="00C1205F"/>
    <w:rsid w:val="00C12084"/>
    <w:rsid w:val="00C120C8"/>
    <w:rsid w:val="00C1210C"/>
    <w:rsid w:val="00C12155"/>
    <w:rsid w:val="00C121AE"/>
    <w:rsid w:val="00C1220B"/>
    <w:rsid w:val="00C1222C"/>
    <w:rsid w:val="00C1222F"/>
    <w:rsid w:val="00C1224B"/>
    <w:rsid w:val="00C12325"/>
    <w:rsid w:val="00C12333"/>
    <w:rsid w:val="00C12347"/>
    <w:rsid w:val="00C123B1"/>
    <w:rsid w:val="00C1246F"/>
    <w:rsid w:val="00C12480"/>
    <w:rsid w:val="00C124D8"/>
    <w:rsid w:val="00C12599"/>
    <w:rsid w:val="00C125F9"/>
    <w:rsid w:val="00C1261E"/>
    <w:rsid w:val="00C1268C"/>
    <w:rsid w:val="00C126FC"/>
    <w:rsid w:val="00C128D4"/>
    <w:rsid w:val="00C128F6"/>
    <w:rsid w:val="00C1291D"/>
    <w:rsid w:val="00C129E1"/>
    <w:rsid w:val="00C12A2B"/>
    <w:rsid w:val="00C12A3D"/>
    <w:rsid w:val="00C12A5B"/>
    <w:rsid w:val="00C12A7F"/>
    <w:rsid w:val="00C12B08"/>
    <w:rsid w:val="00C12BC4"/>
    <w:rsid w:val="00C12BE1"/>
    <w:rsid w:val="00C12C61"/>
    <w:rsid w:val="00C12C89"/>
    <w:rsid w:val="00C12CB2"/>
    <w:rsid w:val="00C12CBC"/>
    <w:rsid w:val="00C12CC0"/>
    <w:rsid w:val="00C12D5E"/>
    <w:rsid w:val="00C12D6B"/>
    <w:rsid w:val="00C12DA0"/>
    <w:rsid w:val="00C12DD1"/>
    <w:rsid w:val="00C12DFA"/>
    <w:rsid w:val="00C12E31"/>
    <w:rsid w:val="00C12E76"/>
    <w:rsid w:val="00C12F66"/>
    <w:rsid w:val="00C12F95"/>
    <w:rsid w:val="00C12FBE"/>
    <w:rsid w:val="00C12FE0"/>
    <w:rsid w:val="00C13019"/>
    <w:rsid w:val="00C13060"/>
    <w:rsid w:val="00C1306E"/>
    <w:rsid w:val="00C1321F"/>
    <w:rsid w:val="00C13237"/>
    <w:rsid w:val="00C1324F"/>
    <w:rsid w:val="00C133CB"/>
    <w:rsid w:val="00C133FD"/>
    <w:rsid w:val="00C1340B"/>
    <w:rsid w:val="00C13576"/>
    <w:rsid w:val="00C13591"/>
    <w:rsid w:val="00C1362E"/>
    <w:rsid w:val="00C13646"/>
    <w:rsid w:val="00C1369E"/>
    <w:rsid w:val="00C136F5"/>
    <w:rsid w:val="00C13707"/>
    <w:rsid w:val="00C13743"/>
    <w:rsid w:val="00C1374E"/>
    <w:rsid w:val="00C13758"/>
    <w:rsid w:val="00C137A4"/>
    <w:rsid w:val="00C13869"/>
    <w:rsid w:val="00C1386F"/>
    <w:rsid w:val="00C138C1"/>
    <w:rsid w:val="00C138FC"/>
    <w:rsid w:val="00C13954"/>
    <w:rsid w:val="00C139F7"/>
    <w:rsid w:val="00C13AB5"/>
    <w:rsid w:val="00C13ACA"/>
    <w:rsid w:val="00C13ACD"/>
    <w:rsid w:val="00C13B59"/>
    <w:rsid w:val="00C13B78"/>
    <w:rsid w:val="00C13B8F"/>
    <w:rsid w:val="00C13CDC"/>
    <w:rsid w:val="00C13CE5"/>
    <w:rsid w:val="00C13D0C"/>
    <w:rsid w:val="00C13D1A"/>
    <w:rsid w:val="00C13D56"/>
    <w:rsid w:val="00C13D6A"/>
    <w:rsid w:val="00C13D6C"/>
    <w:rsid w:val="00C13D6E"/>
    <w:rsid w:val="00C13E90"/>
    <w:rsid w:val="00C13F32"/>
    <w:rsid w:val="00C14016"/>
    <w:rsid w:val="00C14130"/>
    <w:rsid w:val="00C1424B"/>
    <w:rsid w:val="00C1426E"/>
    <w:rsid w:val="00C14283"/>
    <w:rsid w:val="00C142BB"/>
    <w:rsid w:val="00C143A7"/>
    <w:rsid w:val="00C143E2"/>
    <w:rsid w:val="00C14424"/>
    <w:rsid w:val="00C14573"/>
    <w:rsid w:val="00C145E4"/>
    <w:rsid w:val="00C14610"/>
    <w:rsid w:val="00C146AA"/>
    <w:rsid w:val="00C146CC"/>
    <w:rsid w:val="00C1476C"/>
    <w:rsid w:val="00C14846"/>
    <w:rsid w:val="00C14875"/>
    <w:rsid w:val="00C148CA"/>
    <w:rsid w:val="00C1494E"/>
    <w:rsid w:val="00C14982"/>
    <w:rsid w:val="00C14989"/>
    <w:rsid w:val="00C149DF"/>
    <w:rsid w:val="00C14A15"/>
    <w:rsid w:val="00C14A26"/>
    <w:rsid w:val="00C14A7D"/>
    <w:rsid w:val="00C14ADC"/>
    <w:rsid w:val="00C14AFA"/>
    <w:rsid w:val="00C14B1F"/>
    <w:rsid w:val="00C14BA4"/>
    <w:rsid w:val="00C14C17"/>
    <w:rsid w:val="00C14CC1"/>
    <w:rsid w:val="00C14DBA"/>
    <w:rsid w:val="00C14DE5"/>
    <w:rsid w:val="00C14EA0"/>
    <w:rsid w:val="00C14EDA"/>
    <w:rsid w:val="00C14F6D"/>
    <w:rsid w:val="00C14FCF"/>
    <w:rsid w:val="00C15082"/>
    <w:rsid w:val="00C15123"/>
    <w:rsid w:val="00C15220"/>
    <w:rsid w:val="00C15241"/>
    <w:rsid w:val="00C15296"/>
    <w:rsid w:val="00C1538F"/>
    <w:rsid w:val="00C153AF"/>
    <w:rsid w:val="00C153CC"/>
    <w:rsid w:val="00C1545C"/>
    <w:rsid w:val="00C154A6"/>
    <w:rsid w:val="00C154F0"/>
    <w:rsid w:val="00C154FB"/>
    <w:rsid w:val="00C15523"/>
    <w:rsid w:val="00C15548"/>
    <w:rsid w:val="00C1576F"/>
    <w:rsid w:val="00C157F7"/>
    <w:rsid w:val="00C15947"/>
    <w:rsid w:val="00C1596B"/>
    <w:rsid w:val="00C159D4"/>
    <w:rsid w:val="00C15A4D"/>
    <w:rsid w:val="00C15A61"/>
    <w:rsid w:val="00C15A78"/>
    <w:rsid w:val="00C15B5F"/>
    <w:rsid w:val="00C15BAE"/>
    <w:rsid w:val="00C15BDD"/>
    <w:rsid w:val="00C15BF9"/>
    <w:rsid w:val="00C15D30"/>
    <w:rsid w:val="00C15D5C"/>
    <w:rsid w:val="00C15F20"/>
    <w:rsid w:val="00C16007"/>
    <w:rsid w:val="00C160B0"/>
    <w:rsid w:val="00C1616F"/>
    <w:rsid w:val="00C1617D"/>
    <w:rsid w:val="00C161B3"/>
    <w:rsid w:val="00C16217"/>
    <w:rsid w:val="00C16224"/>
    <w:rsid w:val="00C16236"/>
    <w:rsid w:val="00C1633E"/>
    <w:rsid w:val="00C163BA"/>
    <w:rsid w:val="00C163DD"/>
    <w:rsid w:val="00C16425"/>
    <w:rsid w:val="00C16471"/>
    <w:rsid w:val="00C164DF"/>
    <w:rsid w:val="00C164EB"/>
    <w:rsid w:val="00C16591"/>
    <w:rsid w:val="00C16689"/>
    <w:rsid w:val="00C1674D"/>
    <w:rsid w:val="00C1676E"/>
    <w:rsid w:val="00C167D8"/>
    <w:rsid w:val="00C168D8"/>
    <w:rsid w:val="00C1690A"/>
    <w:rsid w:val="00C1693A"/>
    <w:rsid w:val="00C1693D"/>
    <w:rsid w:val="00C169C0"/>
    <w:rsid w:val="00C16A83"/>
    <w:rsid w:val="00C16AD7"/>
    <w:rsid w:val="00C16BEC"/>
    <w:rsid w:val="00C16C67"/>
    <w:rsid w:val="00C16C7E"/>
    <w:rsid w:val="00C16C82"/>
    <w:rsid w:val="00C16C8A"/>
    <w:rsid w:val="00C16CDE"/>
    <w:rsid w:val="00C16CF9"/>
    <w:rsid w:val="00C16D10"/>
    <w:rsid w:val="00C16D9B"/>
    <w:rsid w:val="00C16E3D"/>
    <w:rsid w:val="00C16F5E"/>
    <w:rsid w:val="00C1704B"/>
    <w:rsid w:val="00C1708C"/>
    <w:rsid w:val="00C170E0"/>
    <w:rsid w:val="00C17133"/>
    <w:rsid w:val="00C171B5"/>
    <w:rsid w:val="00C171EC"/>
    <w:rsid w:val="00C17221"/>
    <w:rsid w:val="00C17271"/>
    <w:rsid w:val="00C1729C"/>
    <w:rsid w:val="00C172C2"/>
    <w:rsid w:val="00C1733C"/>
    <w:rsid w:val="00C1737F"/>
    <w:rsid w:val="00C1739E"/>
    <w:rsid w:val="00C17406"/>
    <w:rsid w:val="00C1745F"/>
    <w:rsid w:val="00C1746F"/>
    <w:rsid w:val="00C174ED"/>
    <w:rsid w:val="00C17547"/>
    <w:rsid w:val="00C17571"/>
    <w:rsid w:val="00C17601"/>
    <w:rsid w:val="00C17630"/>
    <w:rsid w:val="00C1765A"/>
    <w:rsid w:val="00C1767A"/>
    <w:rsid w:val="00C176AF"/>
    <w:rsid w:val="00C1770A"/>
    <w:rsid w:val="00C1776A"/>
    <w:rsid w:val="00C17771"/>
    <w:rsid w:val="00C1778C"/>
    <w:rsid w:val="00C177C2"/>
    <w:rsid w:val="00C17829"/>
    <w:rsid w:val="00C17849"/>
    <w:rsid w:val="00C17928"/>
    <w:rsid w:val="00C17976"/>
    <w:rsid w:val="00C17991"/>
    <w:rsid w:val="00C17A6D"/>
    <w:rsid w:val="00C17A91"/>
    <w:rsid w:val="00C17B02"/>
    <w:rsid w:val="00C17B09"/>
    <w:rsid w:val="00C17B0C"/>
    <w:rsid w:val="00C17B40"/>
    <w:rsid w:val="00C17B60"/>
    <w:rsid w:val="00C17C84"/>
    <w:rsid w:val="00C17C88"/>
    <w:rsid w:val="00C17CC4"/>
    <w:rsid w:val="00C17D23"/>
    <w:rsid w:val="00C17D7D"/>
    <w:rsid w:val="00C17D86"/>
    <w:rsid w:val="00C17DC7"/>
    <w:rsid w:val="00C17DEF"/>
    <w:rsid w:val="00C17E04"/>
    <w:rsid w:val="00C17E31"/>
    <w:rsid w:val="00C17E5D"/>
    <w:rsid w:val="00C17E99"/>
    <w:rsid w:val="00C17EB6"/>
    <w:rsid w:val="00C17F0B"/>
    <w:rsid w:val="00C17F64"/>
    <w:rsid w:val="00C17FD3"/>
    <w:rsid w:val="00C200B1"/>
    <w:rsid w:val="00C2013E"/>
    <w:rsid w:val="00C20189"/>
    <w:rsid w:val="00C20199"/>
    <w:rsid w:val="00C201B4"/>
    <w:rsid w:val="00C201E0"/>
    <w:rsid w:val="00C20298"/>
    <w:rsid w:val="00C20301"/>
    <w:rsid w:val="00C2033B"/>
    <w:rsid w:val="00C203B3"/>
    <w:rsid w:val="00C203B5"/>
    <w:rsid w:val="00C2042F"/>
    <w:rsid w:val="00C2047C"/>
    <w:rsid w:val="00C20496"/>
    <w:rsid w:val="00C204A3"/>
    <w:rsid w:val="00C20511"/>
    <w:rsid w:val="00C20566"/>
    <w:rsid w:val="00C20628"/>
    <w:rsid w:val="00C2064D"/>
    <w:rsid w:val="00C20652"/>
    <w:rsid w:val="00C20723"/>
    <w:rsid w:val="00C20727"/>
    <w:rsid w:val="00C20760"/>
    <w:rsid w:val="00C20775"/>
    <w:rsid w:val="00C207DB"/>
    <w:rsid w:val="00C207F1"/>
    <w:rsid w:val="00C207FF"/>
    <w:rsid w:val="00C20961"/>
    <w:rsid w:val="00C209C4"/>
    <w:rsid w:val="00C20A0E"/>
    <w:rsid w:val="00C20A6B"/>
    <w:rsid w:val="00C20A83"/>
    <w:rsid w:val="00C20ABA"/>
    <w:rsid w:val="00C20B2F"/>
    <w:rsid w:val="00C20B84"/>
    <w:rsid w:val="00C20BB9"/>
    <w:rsid w:val="00C20C4F"/>
    <w:rsid w:val="00C20C95"/>
    <w:rsid w:val="00C20CB4"/>
    <w:rsid w:val="00C20D9B"/>
    <w:rsid w:val="00C20E08"/>
    <w:rsid w:val="00C20E85"/>
    <w:rsid w:val="00C20EF1"/>
    <w:rsid w:val="00C20EFB"/>
    <w:rsid w:val="00C20F03"/>
    <w:rsid w:val="00C20F46"/>
    <w:rsid w:val="00C20F49"/>
    <w:rsid w:val="00C20F98"/>
    <w:rsid w:val="00C20FF8"/>
    <w:rsid w:val="00C21016"/>
    <w:rsid w:val="00C2108F"/>
    <w:rsid w:val="00C21253"/>
    <w:rsid w:val="00C21267"/>
    <w:rsid w:val="00C21297"/>
    <w:rsid w:val="00C21342"/>
    <w:rsid w:val="00C2137F"/>
    <w:rsid w:val="00C213C6"/>
    <w:rsid w:val="00C21407"/>
    <w:rsid w:val="00C2145F"/>
    <w:rsid w:val="00C214B0"/>
    <w:rsid w:val="00C214D8"/>
    <w:rsid w:val="00C214E8"/>
    <w:rsid w:val="00C21585"/>
    <w:rsid w:val="00C215C5"/>
    <w:rsid w:val="00C215D7"/>
    <w:rsid w:val="00C215E6"/>
    <w:rsid w:val="00C215EC"/>
    <w:rsid w:val="00C215F5"/>
    <w:rsid w:val="00C2164C"/>
    <w:rsid w:val="00C21668"/>
    <w:rsid w:val="00C2166E"/>
    <w:rsid w:val="00C21671"/>
    <w:rsid w:val="00C216B9"/>
    <w:rsid w:val="00C2178D"/>
    <w:rsid w:val="00C2186C"/>
    <w:rsid w:val="00C21871"/>
    <w:rsid w:val="00C218B7"/>
    <w:rsid w:val="00C218E4"/>
    <w:rsid w:val="00C218F7"/>
    <w:rsid w:val="00C21928"/>
    <w:rsid w:val="00C21930"/>
    <w:rsid w:val="00C21949"/>
    <w:rsid w:val="00C21970"/>
    <w:rsid w:val="00C21A35"/>
    <w:rsid w:val="00C21A39"/>
    <w:rsid w:val="00C21B40"/>
    <w:rsid w:val="00C21BC9"/>
    <w:rsid w:val="00C21C25"/>
    <w:rsid w:val="00C21C53"/>
    <w:rsid w:val="00C21C56"/>
    <w:rsid w:val="00C21C66"/>
    <w:rsid w:val="00C21C7E"/>
    <w:rsid w:val="00C21D2F"/>
    <w:rsid w:val="00C21D51"/>
    <w:rsid w:val="00C21D87"/>
    <w:rsid w:val="00C21E54"/>
    <w:rsid w:val="00C21EFD"/>
    <w:rsid w:val="00C21F2B"/>
    <w:rsid w:val="00C21FD9"/>
    <w:rsid w:val="00C21FDB"/>
    <w:rsid w:val="00C2202E"/>
    <w:rsid w:val="00C22030"/>
    <w:rsid w:val="00C22048"/>
    <w:rsid w:val="00C2213B"/>
    <w:rsid w:val="00C221A0"/>
    <w:rsid w:val="00C22246"/>
    <w:rsid w:val="00C222DE"/>
    <w:rsid w:val="00C222E2"/>
    <w:rsid w:val="00C22316"/>
    <w:rsid w:val="00C22325"/>
    <w:rsid w:val="00C2233D"/>
    <w:rsid w:val="00C2233E"/>
    <w:rsid w:val="00C2236F"/>
    <w:rsid w:val="00C223F7"/>
    <w:rsid w:val="00C22431"/>
    <w:rsid w:val="00C22481"/>
    <w:rsid w:val="00C224C8"/>
    <w:rsid w:val="00C2255C"/>
    <w:rsid w:val="00C22579"/>
    <w:rsid w:val="00C22634"/>
    <w:rsid w:val="00C2265B"/>
    <w:rsid w:val="00C226D3"/>
    <w:rsid w:val="00C22718"/>
    <w:rsid w:val="00C227EF"/>
    <w:rsid w:val="00C22848"/>
    <w:rsid w:val="00C2285B"/>
    <w:rsid w:val="00C2293A"/>
    <w:rsid w:val="00C22971"/>
    <w:rsid w:val="00C22983"/>
    <w:rsid w:val="00C229AB"/>
    <w:rsid w:val="00C22A0F"/>
    <w:rsid w:val="00C22A29"/>
    <w:rsid w:val="00C22A7F"/>
    <w:rsid w:val="00C22A88"/>
    <w:rsid w:val="00C22AB2"/>
    <w:rsid w:val="00C22AF6"/>
    <w:rsid w:val="00C22B27"/>
    <w:rsid w:val="00C22B4C"/>
    <w:rsid w:val="00C22BB4"/>
    <w:rsid w:val="00C22BD3"/>
    <w:rsid w:val="00C22CC8"/>
    <w:rsid w:val="00C22CCE"/>
    <w:rsid w:val="00C22CDB"/>
    <w:rsid w:val="00C22D3F"/>
    <w:rsid w:val="00C22D9E"/>
    <w:rsid w:val="00C22E40"/>
    <w:rsid w:val="00C22E5A"/>
    <w:rsid w:val="00C22ECC"/>
    <w:rsid w:val="00C22F04"/>
    <w:rsid w:val="00C22FA0"/>
    <w:rsid w:val="00C22FDB"/>
    <w:rsid w:val="00C23055"/>
    <w:rsid w:val="00C23073"/>
    <w:rsid w:val="00C230E6"/>
    <w:rsid w:val="00C230ED"/>
    <w:rsid w:val="00C23110"/>
    <w:rsid w:val="00C23159"/>
    <w:rsid w:val="00C23170"/>
    <w:rsid w:val="00C23247"/>
    <w:rsid w:val="00C2326A"/>
    <w:rsid w:val="00C2337A"/>
    <w:rsid w:val="00C233D5"/>
    <w:rsid w:val="00C233F0"/>
    <w:rsid w:val="00C23539"/>
    <w:rsid w:val="00C2353B"/>
    <w:rsid w:val="00C23579"/>
    <w:rsid w:val="00C235D5"/>
    <w:rsid w:val="00C23680"/>
    <w:rsid w:val="00C236A7"/>
    <w:rsid w:val="00C23706"/>
    <w:rsid w:val="00C23741"/>
    <w:rsid w:val="00C23803"/>
    <w:rsid w:val="00C2385E"/>
    <w:rsid w:val="00C23863"/>
    <w:rsid w:val="00C238D1"/>
    <w:rsid w:val="00C2395D"/>
    <w:rsid w:val="00C239F0"/>
    <w:rsid w:val="00C23B07"/>
    <w:rsid w:val="00C23C15"/>
    <w:rsid w:val="00C23D24"/>
    <w:rsid w:val="00C23D43"/>
    <w:rsid w:val="00C23D5F"/>
    <w:rsid w:val="00C23DCB"/>
    <w:rsid w:val="00C23E15"/>
    <w:rsid w:val="00C23EF7"/>
    <w:rsid w:val="00C23F16"/>
    <w:rsid w:val="00C23F2F"/>
    <w:rsid w:val="00C23F90"/>
    <w:rsid w:val="00C240A6"/>
    <w:rsid w:val="00C240B4"/>
    <w:rsid w:val="00C240F2"/>
    <w:rsid w:val="00C24117"/>
    <w:rsid w:val="00C24196"/>
    <w:rsid w:val="00C241EC"/>
    <w:rsid w:val="00C2429A"/>
    <w:rsid w:val="00C242AF"/>
    <w:rsid w:val="00C243E0"/>
    <w:rsid w:val="00C2441D"/>
    <w:rsid w:val="00C24492"/>
    <w:rsid w:val="00C24597"/>
    <w:rsid w:val="00C2461F"/>
    <w:rsid w:val="00C2463F"/>
    <w:rsid w:val="00C246E7"/>
    <w:rsid w:val="00C246E9"/>
    <w:rsid w:val="00C24718"/>
    <w:rsid w:val="00C2474E"/>
    <w:rsid w:val="00C248D9"/>
    <w:rsid w:val="00C2498C"/>
    <w:rsid w:val="00C24AB4"/>
    <w:rsid w:val="00C24B05"/>
    <w:rsid w:val="00C24BA2"/>
    <w:rsid w:val="00C24BE0"/>
    <w:rsid w:val="00C24C31"/>
    <w:rsid w:val="00C24C3A"/>
    <w:rsid w:val="00C24CC0"/>
    <w:rsid w:val="00C24CCD"/>
    <w:rsid w:val="00C24D0A"/>
    <w:rsid w:val="00C24E1F"/>
    <w:rsid w:val="00C24E4B"/>
    <w:rsid w:val="00C24EA0"/>
    <w:rsid w:val="00C24EBC"/>
    <w:rsid w:val="00C24F7A"/>
    <w:rsid w:val="00C25151"/>
    <w:rsid w:val="00C251DA"/>
    <w:rsid w:val="00C251F2"/>
    <w:rsid w:val="00C251F4"/>
    <w:rsid w:val="00C2522E"/>
    <w:rsid w:val="00C252E5"/>
    <w:rsid w:val="00C25308"/>
    <w:rsid w:val="00C2536F"/>
    <w:rsid w:val="00C253FE"/>
    <w:rsid w:val="00C2540E"/>
    <w:rsid w:val="00C2544A"/>
    <w:rsid w:val="00C2554B"/>
    <w:rsid w:val="00C25591"/>
    <w:rsid w:val="00C255C1"/>
    <w:rsid w:val="00C255CA"/>
    <w:rsid w:val="00C255E1"/>
    <w:rsid w:val="00C25629"/>
    <w:rsid w:val="00C2568F"/>
    <w:rsid w:val="00C256BE"/>
    <w:rsid w:val="00C2570C"/>
    <w:rsid w:val="00C2584D"/>
    <w:rsid w:val="00C25881"/>
    <w:rsid w:val="00C25943"/>
    <w:rsid w:val="00C25984"/>
    <w:rsid w:val="00C259A7"/>
    <w:rsid w:val="00C25A4B"/>
    <w:rsid w:val="00C25A5B"/>
    <w:rsid w:val="00C25B6C"/>
    <w:rsid w:val="00C25BEB"/>
    <w:rsid w:val="00C25C1B"/>
    <w:rsid w:val="00C25C46"/>
    <w:rsid w:val="00C25CE5"/>
    <w:rsid w:val="00C25CF7"/>
    <w:rsid w:val="00C25D03"/>
    <w:rsid w:val="00C25D1D"/>
    <w:rsid w:val="00C25D39"/>
    <w:rsid w:val="00C25D80"/>
    <w:rsid w:val="00C25DA6"/>
    <w:rsid w:val="00C25DB8"/>
    <w:rsid w:val="00C25DC6"/>
    <w:rsid w:val="00C25E08"/>
    <w:rsid w:val="00C25E22"/>
    <w:rsid w:val="00C25E48"/>
    <w:rsid w:val="00C25E59"/>
    <w:rsid w:val="00C25E71"/>
    <w:rsid w:val="00C25EA5"/>
    <w:rsid w:val="00C25F40"/>
    <w:rsid w:val="00C25F8C"/>
    <w:rsid w:val="00C25F8E"/>
    <w:rsid w:val="00C25F9A"/>
    <w:rsid w:val="00C26016"/>
    <w:rsid w:val="00C260A6"/>
    <w:rsid w:val="00C260B4"/>
    <w:rsid w:val="00C260B8"/>
    <w:rsid w:val="00C260E1"/>
    <w:rsid w:val="00C260F5"/>
    <w:rsid w:val="00C26127"/>
    <w:rsid w:val="00C2625C"/>
    <w:rsid w:val="00C26264"/>
    <w:rsid w:val="00C2627F"/>
    <w:rsid w:val="00C2629A"/>
    <w:rsid w:val="00C2633B"/>
    <w:rsid w:val="00C263CE"/>
    <w:rsid w:val="00C263FB"/>
    <w:rsid w:val="00C2646A"/>
    <w:rsid w:val="00C2646E"/>
    <w:rsid w:val="00C26593"/>
    <w:rsid w:val="00C265F8"/>
    <w:rsid w:val="00C2662C"/>
    <w:rsid w:val="00C26632"/>
    <w:rsid w:val="00C26651"/>
    <w:rsid w:val="00C266CA"/>
    <w:rsid w:val="00C266DD"/>
    <w:rsid w:val="00C26803"/>
    <w:rsid w:val="00C2686B"/>
    <w:rsid w:val="00C26891"/>
    <w:rsid w:val="00C26915"/>
    <w:rsid w:val="00C26919"/>
    <w:rsid w:val="00C2696F"/>
    <w:rsid w:val="00C26977"/>
    <w:rsid w:val="00C269A1"/>
    <w:rsid w:val="00C26A26"/>
    <w:rsid w:val="00C26DF3"/>
    <w:rsid w:val="00C26E52"/>
    <w:rsid w:val="00C26E59"/>
    <w:rsid w:val="00C26ED6"/>
    <w:rsid w:val="00C26EE9"/>
    <w:rsid w:val="00C26F45"/>
    <w:rsid w:val="00C27007"/>
    <w:rsid w:val="00C27088"/>
    <w:rsid w:val="00C2709D"/>
    <w:rsid w:val="00C27130"/>
    <w:rsid w:val="00C27173"/>
    <w:rsid w:val="00C27186"/>
    <w:rsid w:val="00C27296"/>
    <w:rsid w:val="00C272AD"/>
    <w:rsid w:val="00C272B1"/>
    <w:rsid w:val="00C27325"/>
    <w:rsid w:val="00C2736C"/>
    <w:rsid w:val="00C2739E"/>
    <w:rsid w:val="00C273EC"/>
    <w:rsid w:val="00C27441"/>
    <w:rsid w:val="00C2745C"/>
    <w:rsid w:val="00C2751B"/>
    <w:rsid w:val="00C27573"/>
    <w:rsid w:val="00C2757B"/>
    <w:rsid w:val="00C2762A"/>
    <w:rsid w:val="00C27712"/>
    <w:rsid w:val="00C2771A"/>
    <w:rsid w:val="00C2781B"/>
    <w:rsid w:val="00C27827"/>
    <w:rsid w:val="00C2782C"/>
    <w:rsid w:val="00C27B57"/>
    <w:rsid w:val="00C27BEF"/>
    <w:rsid w:val="00C27C19"/>
    <w:rsid w:val="00C27C9F"/>
    <w:rsid w:val="00C27D2F"/>
    <w:rsid w:val="00C27D3A"/>
    <w:rsid w:val="00C27D4A"/>
    <w:rsid w:val="00C27D58"/>
    <w:rsid w:val="00C27D8A"/>
    <w:rsid w:val="00C27F2F"/>
    <w:rsid w:val="00C27F49"/>
    <w:rsid w:val="00C27F58"/>
    <w:rsid w:val="00C27F68"/>
    <w:rsid w:val="00C27F71"/>
    <w:rsid w:val="00C27F72"/>
    <w:rsid w:val="00C300A3"/>
    <w:rsid w:val="00C300C4"/>
    <w:rsid w:val="00C301C9"/>
    <w:rsid w:val="00C301E0"/>
    <w:rsid w:val="00C3027B"/>
    <w:rsid w:val="00C302E3"/>
    <w:rsid w:val="00C3033E"/>
    <w:rsid w:val="00C30345"/>
    <w:rsid w:val="00C303BF"/>
    <w:rsid w:val="00C303C9"/>
    <w:rsid w:val="00C30490"/>
    <w:rsid w:val="00C304B5"/>
    <w:rsid w:val="00C304FB"/>
    <w:rsid w:val="00C30560"/>
    <w:rsid w:val="00C306C6"/>
    <w:rsid w:val="00C306D7"/>
    <w:rsid w:val="00C3073E"/>
    <w:rsid w:val="00C30744"/>
    <w:rsid w:val="00C307AE"/>
    <w:rsid w:val="00C307BE"/>
    <w:rsid w:val="00C30977"/>
    <w:rsid w:val="00C3099D"/>
    <w:rsid w:val="00C309CD"/>
    <w:rsid w:val="00C309DF"/>
    <w:rsid w:val="00C30A20"/>
    <w:rsid w:val="00C30A8C"/>
    <w:rsid w:val="00C30B2E"/>
    <w:rsid w:val="00C30B62"/>
    <w:rsid w:val="00C30BAA"/>
    <w:rsid w:val="00C30DC2"/>
    <w:rsid w:val="00C30E41"/>
    <w:rsid w:val="00C30F19"/>
    <w:rsid w:val="00C30F3F"/>
    <w:rsid w:val="00C30F4E"/>
    <w:rsid w:val="00C30F5E"/>
    <w:rsid w:val="00C31044"/>
    <w:rsid w:val="00C31051"/>
    <w:rsid w:val="00C3109C"/>
    <w:rsid w:val="00C310CA"/>
    <w:rsid w:val="00C311DB"/>
    <w:rsid w:val="00C31283"/>
    <w:rsid w:val="00C31325"/>
    <w:rsid w:val="00C3132D"/>
    <w:rsid w:val="00C31446"/>
    <w:rsid w:val="00C314D9"/>
    <w:rsid w:val="00C31521"/>
    <w:rsid w:val="00C31575"/>
    <w:rsid w:val="00C315A6"/>
    <w:rsid w:val="00C315FB"/>
    <w:rsid w:val="00C31633"/>
    <w:rsid w:val="00C316AD"/>
    <w:rsid w:val="00C3170A"/>
    <w:rsid w:val="00C31728"/>
    <w:rsid w:val="00C31769"/>
    <w:rsid w:val="00C3179B"/>
    <w:rsid w:val="00C31859"/>
    <w:rsid w:val="00C318CC"/>
    <w:rsid w:val="00C31970"/>
    <w:rsid w:val="00C31979"/>
    <w:rsid w:val="00C319A6"/>
    <w:rsid w:val="00C31A74"/>
    <w:rsid w:val="00C31ADE"/>
    <w:rsid w:val="00C31B06"/>
    <w:rsid w:val="00C31B16"/>
    <w:rsid w:val="00C31BE0"/>
    <w:rsid w:val="00C31C24"/>
    <w:rsid w:val="00C31CFB"/>
    <w:rsid w:val="00C31DF0"/>
    <w:rsid w:val="00C31E23"/>
    <w:rsid w:val="00C31E96"/>
    <w:rsid w:val="00C31F1B"/>
    <w:rsid w:val="00C31F35"/>
    <w:rsid w:val="00C31FA6"/>
    <w:rsid w:val="00C31FD3"/>
    <w:rsid w:val="00C31FFA"/>
    <w:rsid w:val="00C3204B"/>
    <w:rsid w:val="00C32055"/>
    <w:rsid w:val="00C3212C"/>
    <w:rsid w:val="00C32156"/>
    <w:rsid w:val="00C32160"/>
    <w:rsid w:val="00C321B8"/>
    <w:rsid w:val="00C322A3"/>
    <w:rsid w:val="00C322C5"/>
    <w:rsid w:val="00C322D6"/>
    <w:rsid w:val="00C32322"/>
    <w:rsid w:val="00C32328"/>
    <w:rsid w:val="00C32367"/>
    <w:rsid w:val="00C32378"/>
    <w:rsid w:val="00C323A0"/>
    <w:rsid w:val="00C323C4"/>
    <w:rsid w:val="00C323D4"/>
    <w:rsid w:val="00C32429"/>
    <w:rsid w:val="00C324CA"/>
    <w:rsid w:val="00C32523"/>
    <w:rsid w:val="00C32540"/>
    <w:rsid w:val="00C32568"/>
    <w:rsid w:val="00C325B7"/>
    <w:rsid w:val="00C325F9"/>
    <w:rsid w:val="00C32686"/>
    <w:rsid w:val="00C32691"/>
    <w:rsid w:val="00C326A0"/>
    <w:rsid w:val="00C326A8"/>
    <w:rsid w:val="00C326F9"/>
    <w:rsid w:val="00C326FC"/>
    <w:rsid w:val="00C3273E"/>
    <w:rsid w:val="00C32744"/>
    <w:rsid w:val="00C32826"/>
    <w:rsid w:val="00C3287D"/>
    <w:rsid w:val="00C3293D"/>
    <w:rsid w:val="00C3298C"/>
    <w:rsid w:val="00C3299A"/>
    <w:rsid w:val="00C32A48"/>
    <w:rsid w:val="00C32A55"/>
    <w:rsid w:val="00C32AF1"/>
    <w:rsid w:val="00C32B59"/>
    <w:rsid w:val="00C32B94"/>
    <w:rsid w:val="00C32D41"/>
    <w:rsid w:val="00C32D6F"/>
    <w:rsid w:val="00C32D8A"/>
    <w:rsid w:val="00C32D8C"/>
    <w:rsid w:val="00C32D95"/>
    <w:rsid w:val="00C32D96"/>
    <w:rsid w:val="00C32D9C"/>
    <w:rsid w:val="00C32E18"/>
    <w:rsid w:val="00C32E6D"/>
    <w:rsid w:val="00C32E74"/>
    <w:rsid w:val="00C32EA2"/>
    <w:rsid w:val="00C32F3C"/>
    <w:rsid w:val="00C32F3E"/>
    <w:rsid w:val="00C32FBC"/>
    <w:rsid w:val="00C330B6"/>
    <w:rsid w:val="00C330FD"/>
    <w:rsid w:val="00C33143"/>
    <w:rsid w:val="00C33150"/>
    <w:rsid w:val="00C331A5"/>
    <w:rsid w:val="00C331AC"/>
    <w:rsid w:val="00C331C2"/>
    <w:rsid w:val="00C33226"/>
    <w:rsid w:val="00C332E8"/>
    <w:rsid w:val="00C3333F"/>
    <w:rsid w:val="00C3335B"/>
    <w:rsid w:val="00C33374"/>
    <w:rsid w:val="00C33395"/>
    <w:rsid w:val="00C33494"/>
    <w:rsid w:val="00C335AE"/>
    <w:rsid w:val="00C335C3"/>
    <w:rsid w:val="00C3363D"/>
    <w:rsid w:val="00C336B3"/>
    <w:rsid w:val="00C336B8"/>
    <w:rsid w:val="00C336ED"/>
    <w:rsid w:val="00C337AA"/>
    <w:rsid w:val="00C337F4"/>
    <w:rsid w:val="00C3384A"/>
    <w:rsid w:val="00C338A8"/>
    <w:rsid w:val="00C338E4"/>
    <w:rsid w:val="00C33A05"/>
    <w:rsid w:val="00C33A14"/>
    <w:rsid w:val="00C33B62"/>
    <w:rsid w:val="00C33B6A"/>
    <w:rsid w:val="00C33B7B"/>
    <w:rsid w:val="00C33BAB"/>
    <w:rsid w:val="00C33BF2"/>
    <w:rsid w:val="00C33BFD"/>
    <w:rsid w:val="00C33C06"/>
    <w:rsid w:val="00C33C90"/>
    <w:rsid w:val="00C33D26"/>
    <w:rsid w:val="00C33E5B"/>
    <w:rsid w:val="00C33EBC"/>
    <w:rsid w:val="00C33EE8"/>
    <w:rsid w:val="00C33F09"/>
    <w:rsid w:val="00C33F82"/>
    <w:rsid w:val="00C33F95"/>
    <w:rsid w:val="00C33FB9"/>
    <w:rsid w:val="00C3402A"/>
    <w:rsid w:val="00C34076"/>
    <w:rsid w:val="00C34085"/>
    <w:rsid w:val="00C340C6"/>
    <w:rsid w:val="00C34103"/>
    <w:rsid w:val="00C34116"/>
    <w:rsid w:val="00C341E0"/>
    <w:rsid w:val="00C342ED"/>
    <w:rsid w:val="00C3435C"/>
    <w:rsid w:val="00C343B4"/>
    <w:rsid w:val="00C34427"/>
    <w:rsid w:val="00C3447C"/>
    <w:rsid w:val="00C3447D"/>
    <w:rsid w:val="00C344BE"/>
    <w:rsid w:val="00C344E8"/>
    <w:rsid w:val="00C3454F"/>
    <w:rsid w:val="00C34556"/>
    <w:rsid w:val="00C345AA"/>
    <w:rsid w:val="00C345D5"/>
    <w:rsid w:val="00C345D8"/>
    <w:rsid w:val="00C34805"/>
    <w:rsid w:val="00C34806"/>
    <w:rsid w:val="00C34819"/>
    <w:rsid w:val="00C34842"/>
    <w:rsid w:val="00C34858"/>
    <w:rsid w:val="00C348B0"/>
    <w:rsid w:val="00C34981"/>
    <w:rsid w:val="00C349D2"/>
    <w:rsid w:val="00C34A19"/>
    <w:rsid w:val="00C34A6B"/>
    <w:rsid w:val="00C34ADA"/>
    <w:rsid w:val="00C34BAE"/>
    <w:rsid w:val="00C34BB1"/>
    <w:rsid w:val="00C34CF6"/>
    <w:rsid w:val="00C34DBD"/>
    <w:rsid w:val="00C34DC6"/>
    <w:rsid w:val="00C34E10"/>
    <w:rsid w:val="00C34E4A"/>
    <w:rsid w:val="00C34ED6"/>
    <w:rsid w:val="00C34F33"/>
    <w:rsid w:val="00C34F73"/>
    <w:rsid w:val="00C34F79"/>
    <w:rsid w:val="00C34FA2"/>
    <w:rsid w:val="00C34FD3"/>
    <w:rsid w:val="00C3501E"/>
    <w:rsid w:val="00C35041"/>
    <w:rsid w:val="00C350E2"/>
    <w:rsid w:val="00C3513E"/>
    <w:rsid w:val="00C3514F"/>
    <w:rsid w:val="00C35173"/>
    <w:rsid w:val="00C35194"/>
    <w:rsid w:val="00C351D5"/>
    <w:rsid w:val="00C35240"/>
    <w:rsid w:val="00C35335"/>
    <w:rsid w:val="00C353D6"/>
    <w:rsid w:val="00C353DA"/>
    <w:rsid w:val="00C3553E"/>
    <w:rsid w:val="00C35552"/>
    <w:rsid w:val="00C35568"/>
    <w:rsid w:val="00C355D8"/>
    <w:rsid w:val="00C3563F"/>
    <w:rsid w:val="00C3567C"/>
    <w:rsid w:val="00C356E5"/>
    <w:rsid w:val="00C356F2"/>
    <w:rsid w:val="00C357AB"/>
    <w:rsid w:val="00C3580D"/>
    <w:rsid w:val="00C35825"/>
    <w:rsid w:val="00C3585D"/>
    <w:rsid w:val="00C3589B"/>
    <w:rsid w:val="00C358B2"/>
    <w:rsid w:val="00C35B97"/>
    <w:rsid w:val="00C35C08"/>
    <w:rsid w:val="00C35C1B"/>
    <w:rsid w:val="00C35C62"/>
    <w:rsid w:val="00C35CB2"/>
    <w:rsid w:val="00C35CD0"/>
    <w:rsid w:val="00C35D47"/>
    <w:rsid w:val="00C35E32"/>
    <w:rsid w:val="00C35E7B"/>
    <w:rsid w:val="00C35F3B"/>
    <w:rsid w:val="00C35F6A"/>
    <w:rsid w:val="00C35F84"/>
    <w:rsid w:val="00C35FEE"/>
    <w:rsid w:val="00C36000"/>
    <w:rsid w:val="00C36021"/>
    <w:rsid w:val="00C360A5"/>
    <w:rsid w:val="00C36169"/>
    <w:rsid w:val="00C361D7"/>
    <w:rsid w:val="00C361F1"/>
    <w:rsid w:val="00C3620A"/>
    <w:rsid w:val="00C3621B"/>
    <w:rsid w:val="00C362B0"/>
    <w:rsid w:val="00C362D1"/>
    <w:rsid w:val="00C362F2"/>
    <w:rsid w:val="00C362F4"/>
    <w:rsid w:val="00C36334"/>
    <w:rsid w:val="00C363ED"/>
    <w:rsid w:val="00C3644C"/>
    <w:rsid w:val="00C3646D"/>
    <w:rsid w:val="00C3649A"/>
    <w:rsid w:val="00C364D3"/>
    <w:rsid w:val="00C364EC"/>
    <w:rsid w:val="00C3651D"/>
    <w:rsid w:val="00C36535"/>
    <w:rsid w:val="00C365C6"/>
    <w:rsid w:val="00C365CB"/>
    <w:rsid w:val="00C365F7"/>
    <w:rsid w:val="00C366CC"/>
    <w:rsid w:val="00C367B6"/>
    <w:rsid w:val="00C367F0"/>
    <w:rsid w:val="00C36868"/>
    <w:rsid w:val="00C368F5"/>
    <w:rsid w:val="00C369FE"/>
    <w:rsid w:val="00C36A54"/>
    <w:rsid w:val="00C36AE4"/>
    <w:rsid w:val="00C36BA4"/>
    <w:rsid w:val="00C36C23"/>
    <w:rsid w:val="00C36C24"/>
    <w:rsid w:val="00C36C3D"/>
    <w:rsid w:val="00C36CE5"/>
    <w:rsid w:val="00C36D80"/>
    <w:rsid w:val="00C36D95"/>
    <w:rsid w:val="00C36DBA"/>
    <w:rsid w:val="00C36DD9"/>
    <w:rsid w:val="00C36E9A"/>
    <w:rsid w:val="00C36F12"/>
    <w:rsid w:val="00C36F18"/>
    <w:rsid w:val="00C36F82"/>
    <w:rsid w:val="00C36FFC"/>
    <w:rsid w:val="00C37011"/>
    <w:rsid w:val="00C37049"/>
    <w:rsid w:val="00C37150"/>
    <w:rsid w:val="00C371AD"/>
    <w:rsid w:val="00C3729B"/>
    <w:rsid w:val="00C372AB"/>
    <w:rsid w:val="00C37300"/>
    <w:rsid w:val="00C3737A"/>
    <w:rsid w:val="00C373B2"/>
    <w:rsid w:val="00C373BF"/>
    <w:rsid w:val="00C37424"/>
    <w:rsid w:val="00C374CB"/>
    <w:rsid w:val="00C374F8"/>
    <w:rsid w:val="00C374FF"/>
    <w:rsid w:val="00C37522"/>
    <w:rsid w:val="00C37594"/>
    <w:rsid w:val="00C37599"/>
    <w:rsid w:val="00C3759E"/>
    <w:rsid w:val="00C375CD"/>
    <w:rsid w:val="00C375DB"/>
    <w:rsid w:val="00C375E2"/>
    <w:rsid w:val="00C37688"/>
    <w:rsid w:val="00C3771F"/>
    <w:rsid w:val="00C3775F"/>
    <w:rsid w:val="00C37761"/>
    <w:rsid w:val="00C3778E"/>
    <w:rsid w:val="00C37811"/>
    <w:rsid w:val="00C3794F"/>
    <w:rsid w:val="00C3795D"/>
    <w:rsid w:val="00C37A0A"/>
    <w:rsid w:val="00C37A29"/>
    <w:rsid w:val="00C37A3B"/>
    <w:rsid w:val="00C37A97"/>
    <w:rsid w:val="00C37BCD"/>
    <w:rsid w:val="00C37C18"/>
    <w:rsid w:val="00C37C31"/>
    <w:rsid w:val="00C37C59"/>
    <w:rsid w:val="00C37C6E"/>
    <w:rsid w:val="00C37C8C"/>
    <w:rsid w:val="00C37D05"/>
    <w:rsid w:val="00C37D17"/>
    <w:rsid w:val="00C37D69"/>
    <w:rsid w:val="00C37D6D"/>
    <w:rsid w:val="00C37DD6"/>
    <w:rsid w:val="00C37E14"/>
    <w:rsid w:val="00C37E5D"/>
    <w:rsid w:val="00C37E63"/>
    <w:rsid w:val="00C37ED8"/>
    <w:rsid w:val="00C37EFF"/>
    <w:rsid w:val="00C37F3A"/>
    <w:rsid w:val="00C37F59"/>
    <w:rsid w:val="00C40018"/>
    <w:rsid w:val="00C40068"/>
    <w:rsid w:val="00C40098"/>
    <w:rsid w:val="00C4010C"/>
    <w:rsid w:val="00C40233"/>
    <w:rsid w:val="00C40249"/>
    <w:rsid w:val="00C402A9"/>
    <w:rsid w:val="00C402C1"/>
    <w:rsid w:val="00C402DB"/>
    <w:rsid w:val="00C402FA"/>
    <w:rsid w:val="00C4031B"/>
    <w:rsid w:val="00C40346"/>
    <w:rsid w:val="00C403AB"/>
    <w:rsid w:val="00C403F5"/>
    <w:rsid w:val="00C4049E"/>
    <w:rsid w:val="00C405A3"/>
    <w:rsid w:val="00C405C8"/>
    <w:rsid w:val="00C405F5"/>
    <w:rsid w:val="00C4061B"/>
    <w:rsid w:val="00C40638"/>
    <w:rsid w:val="00C4068C"/>
    <w:rsid w:val="00C406CB"/>
    <w:rsid w:val="00C4077B"/>
    <w:rsid w:val="00C40783"/>
    <w:rsid w:val="00C407E7"/>
    <w:rsid w:val="00C407EF"/>
    <w:rsid w:val="00C40846"/>
    <w:rsid w:val="00C408C0"/>
    <w:rsid w:val="00C408D1"/>
    <w:rsid w:val="00C40A21"/>
    <w:rsid w:val="00C40A69"/>
    <w:rsid w:val="00C40A76"/>
    <w:rsid w:val="00C40AB3"/>
    <w:rsid w:val="00C40AED"/>
    <w:rsid w:val="00C40B13"/>
    <w:rsid w:val="00C40B7B"/>
    <w:rsid w:val="00C40B80"/>
    <w:rsid w:val="00C40DDF"/>
    <w:rsid w:val="00C40E37"/>
    <w:rsid w:val="00C40F20"/>
    <w:rsid w:val="00C40F29"/>
    <w:rsid w:val="00C40F4D"/>
    <w:rsid w:val="00C40FF1"/>
    <w:rsid w:val="00C410AC"/>
    <w:rsid w:val="00C4111A"/>
    <w:rsid w:val="00C4117C"/>
    <w:rsid w:val="00C4126D"/>
    <w:rsid w:val="00C4128C"/>
    <w:rsid w:val="00C41346"/>
    <w:rsid w:val="00C4141A"/>
    <w:rsid w:val="00C41433"/>
    <w:rsid w:val="00C41508"/>
    <w:rsid w:val="00C41588"/>
    <w:rsid w:val="00C415D4"/>
    <w:rsid w:val="00C41618"/>
    <w:rsid w:val="00C4164E"/>
    <w:rsid w:val="00C4166B"/>
    <w:rsid w:val="00C416CC"/>
    <w:rsid w:val="00C416D6"/>
    <w:rsid w:val="00C417A2"/>
    <w:rsid w:val="00C41815"/>
    <w:rsid w:val="00C418C2"/>
    <w:rsid w:val="00C418D4"/>
    <w:rsid w:val="00C41969"/>
    <w:rsid w:val="00C41980"/>
    <w:rsid w:val="00C419E2"/>
    <w:rsid w:val="00C41ACA"/>
    <w:rsid w:val="00C41ACC"/>
    <w:rsid w:val="00C41B36"/>
    <w:rsid w:val="00C41B75"/>
    <w:rsid w:val="00C41B79"/>
    <w:rsid w:val="00C41BE1"/>
    <w:rsid w:val="00C41C5D"/>
    <w:rsid w:val="00C41D5B"/>
    <w:rsid w:val="00C41D68"/>
    <w:rsid w:val="00C41DA8"/>
    <w:rsid w:val="00C41EB4"/>
    <w:rsid w:val="00C41EE4"/>
    <w:rsid w:val="00C41F77"/>
    <w:rsid w:val="00C41FA4"/>
    <w:rsid w:val="00C41FE3"/>
    <w:rsid w:val="00C42026"/>
    <w:rsid w:val="00C42035"/>
    <w:rsid w:val="00C420C9"/>
    <w:rsid w:val="00C4216C"/>
    <w:rsid w:val="00C4217E"/>
    <w:rsid w:val="00C42282"/>
    <w:rsid w:val="00C4229A"/>
    <w:rsid w:val="00C422EA"/>
    <w:rsid w:val="00C42306"/>
    <w:rsid w:val="00C423E9"/>
    <w:rsid w:val="00C4241D"/>
    <w:rsid w:val="00C4251F"/>
    <w:rsid w:val="00C425BA"/>
    <w:rsid w:val="00C425F0"/>
    <w:rsid w:val="00C4266F"/>
    <w:rsid w:val="00C426F9"/>
    <w:rsid w:val="00C4272E"/>
    <w:rsid w:val="00C42740"/>
    <w:rsid w:val="00C4278A"/>
    <w:rsid w:val="00C427D3"/>
    <w:rsid w:val="00C42852"/>
    <w:rsid w:val="00C42912"/>
    <w:rsid w:val="00C42988"/>
    <w:rsid w:val="00C429DF"/>
    <w:rsid w:val="00C42A71"/>
    <w:rsid w:val="00C42B18"/>
    <w:rsid w:val="00C42B38"/>
    <w:rsid w:val="00C42B7C"/>
    <w:rsid w:val="00C42BB9"/>
    <w:rsid w:val="00C42C32"/>
    <w:rsid w:val="00C42C8F"/>
    <w:rsid w:val="00C42CA2"/>
    <w:rsid w:val="00C42CD1"/>
    <w:rsid w:val="00C42D2E"/>
    <w:rsid w:val="00C42D57"/>
    <w:rsid w:val="00C42ECF"/>
    <w:rsid w:val="00C43091"/>
    <w:rsid w:val="00C431D8"/>
    <w:rsid w:val="00C43265"/>
    <w:rsid w:val="00C43297"/>
    <w:rsid w:val="00C4331E"/>
    <w:rsid w:val="00C43406"/>
    <w:rsid w:val="00C4347C"/>
    <w:rsid w:val="00C434BE"/>
    <w:rsid w:val="00C434C0"/>
    <w:rsid w:val="00C43549"/>
    <w:rsid w:val="00C435E6"/>
    <w:rsid w:val="00C43669"/>
    <w:rsid w:val="00C4366F"/>
    <w:rsid w:val="00C4375D"/>
    <w:rsid w:val="00C437B7"/>
    <w:rsid w:val="00C43820"/>
    <w:rsid w:val="00C43835"/>
    <w:rsid w:val="00C43863"/>
    <w:rsid w:val="00C4388E"/>
    <w:rsid w:val="00C4395E"/>
    <w:rsid w:val="00C43990"/>
    <w:rsid w:val="00C439B3"/>
    <w:rsid w:val="00C439F7"/>
    <w:rsid w:val="00C43A3B"/>
    <w:rsid w:val="00C43B7A"/>
    <w:rsid w:val="00C43BE5"/>
    <w:rsid w:val="00C43C1F"/>
    <w:rsid w:val="00C43C6B"/>
    <w:rsid w:val="00C43C88"/>
    <w:rsid w:val="00C43CCB"/>
    <w:rsid w:val="00C43D24"/>
    <w:rsid w:val="00C43EAD"/>
    <w:rsid w:val="00C43EFC"/>
    <w:rsid w:val="00C43F4C"/>
    <w:rsid w:val="00C44016"/>
    <w:rsid w:val="00C44179"/>
    <w:rsid w:val="00C441AB"/>
    <w:rsid w:val="00C441D6"/>
    <w:rsid w:val="00C4425B"/>
    <w:rsid w:val="00C44273"/>
    <w:rsid w:val="00C44391"/>
    <w:rsid w:val="00C443E7"/>
    <w:rsid w:val="00C4443B"/>
    <w:rsid w:val="00C4449D"/>
    <w:rsid w:val="00C44535"/>
    <w:rsid w:val="00C44594"/>
    <w:rsid w:val="00C445FE"/>
    <w:rsid w:val="00C44600"/>
    <w:rsid w:val="00C446E5"/>
    <w:rsid w:val="00C448A5"/>
    <w:rsid w:val="00C448DF"/>
    <w:rsid w:val="00C449B1"/>
    <w:rsid w:val="00C44A0F"/>
    <w:rsid w:val="00C44A1D"/>
    <w:rsid w:val="00C44AAB"/>
    <w:rsid w:val="00C44B08"/>
    <w:rsid w:val="00C44B7B"/>
    <w:rsid w:val="00C44BFA"/>
    <w:rsid w:val="00C44C18"/>
    <w:rsid w:val="00C44C79"/>
    <w:rsid w:val="00C44C8E"/>
    <w:rsid w:val="00C44DE4"/>
    <w:rsid w:val="00C44DEA"/>
    <w:rsid w:val="00C44E3E"/>
    <w:rsid w:val="00C44F2D"/>
    <w:rsid w:val="00C44FA8"/>
    <w:rsid w:val="00C44FCF"/>
    <w:rsid w:val="00C44FF7"/>
    <w:rsid w:val="00C45062"/>
    <w:rsid w:val="00C4508D"/>
    <w:rsid w:val="00C4513D"/>
    <w:rsid w:val="00C45163"/>
    <w:rsid w:val="00C45258"/>
    <w:rsid w:val="00C4527D"/>
    <w:rsid w:val="00C452C4"/>
    <w:rsid w:val="00C453A7"/>
    <w:rsid w:val="00C45402"/>
    <w:rsid w:val="00C4549A"/>
    <w:rsid w:val="00C454E4"/>
    <w:rsid w:val="00C45516"/>
    <w:rsid w:val="00C455F1"/>
    <w:rsid w:val="00C45661"/>
    <w:rsid w:val="00C45694"/>
    <w:rsid w:val="00C4581B"/>
    <w:rsid w:val="00C45876"/>
    <w:rsid w:val="00C45889"/>
    <w:rsid w:val="00C458D4"/>
    <w:rsid w:val="00C458DC"/>
    <w:rsid w:val="00C459F8"/>
    <w:rsid w:val="00C45A0E"/>
    <w:rsid w:val="00C45A44"/>
    <w:rsid w:val="00C45A48"/>
    <w:rsid w:val="00C45AD6"/>
    <w:rsid w:val="00C45AEE"/>
    <w:rsid w:val="00C45AFF"/>
    <w:rsid w:val="00C45B4D"/>
    <w:rsid w:val="00C45BF3"/>
    <w:rsid w:val="00C45BFF"/>
    <w:rsid w:val="00C45C7D"/>
    <w:rsid w:val="00C45CD5"/>
    <w:rsid w:val="00C45E63"/>
    <w:rsid w:val="00C45E73"/>
    <w:rsid w:val="00C45E8E"/>
    <w:rsid w:val="00C45EA6"/>
    <w:rsid w:val="00C45EA8"/>
    <w:rsid w:val="00C45ED5"/>
    <w:rsid w:val="00C45EE0"/>
    <w:rsid w:val="00C45EEC"/>
    <w:rsid w:val="00C45F83"/>
    <w:rsid w:val="00C45FD5"/>
    <w:rsid w:val="00C45FEA"/>
    <w:rsid w:val="00C46042"/>
    <w:rsid w:val="00C46198"/>
    <w:rsid w:val="00C4642E"/>
    <w:rsid w:val="00C4647D"/>
    <w:rsid w:val="00C464A0"/>
    <w:rsid w:val="00C464A9"/>
    <w:rsid w:val="00C464D0"/>
    <w:rsid w:val="00C4653A"/>
    <w:rsid w:val="00C4659C"/>
    <w:rsid w:val="00C465FD"/>
    <w:rsid w:val="00C466F2"/>
    <w:rsid w:val="00C4678B"/>
    <w:rsid w:val="00C46790"/>
    <w:rsid w:val="00C467B2"/>
    <w:rsid w:val="00C467C7"/>
    <w:rsid w:val="00C4684C"/>
    <w:rsid w:val="00C46859"/>
    <w:rsid w:val="00C468DF"/>
    <w:rsid w:val="00C46951"/>
    <w:rsid w:val="00C4697B"/>
    <w:rsid w:val="00C469A9"/>
    <w:rsid w:val="00C46A11"/>
    <w:rsid w:val="00C46A25"/>
    <w:rsid w:val="00C46A3A"/>
    <w:rsid w:val="00C46A6A"/>
    <w:rsid w:val="00C46A8C"/>
    <w:rsid w:val="00C46D13"/>
    <w:rsid w:val="00C46D1C"/>
    <w:rsid w:val="00C46D22"/>
    <w:rsid w:val="00C46D48"/>
    <w:rsid w:val="00C46DD2"/>
    <w:rsid w:val="00C46E14"/>
    <w:rsid w:val="00C46E1D"/>
    <w:rsid w:val="00C46FED"/>
    <w:rsid w:val="00C46FF8"/>
    <w:rsid w:val="00C4704D"/>
    <w:rsid w:val="00C471AC"/>
    <w:rsid w:val="00C47252"/>
    <w:rsid w:val="00C473A4"/>
    <w:rsid w:val="00C473C7"/>
    <w:rsid w:val="00C47423"/>
    <w:rsid w:val="00C4749A"/>
    <w:rsid w:val="00C474D1"/>
    <w:rsid w:val="00C47595"/>
    <w:rsid w:val="00C475E7"/>
    <w:rsid w:val="00C475F4"/>
    <w:rsid w:val="00C47654"/>
    <w:rsid w:val="00C47702"/>
    <w:rsid w:val="00C47764"/>
    <w:rsid w:val="00C477F2"/>
    <w:rsid w:val="00C47855"/>
    <w:rsid w:val="00C4785B"/>
    <w:rsid w:val="00C478C9"/>
    <w:rsid w:val="00C478F9"/>
    <w:rsid w:val="00C47918"/>
    <w:rsid w:val="00C47A7A"/>
    <w:rsid w:val="00C47AEB"/>
    <w:rsid w:val="00C47B38"/>
    <w:rsid w:val="00C47B6D"/>
    <w:rsid w:val="00C47BCA"/>
    <w:rsid w:val="00C47BD1"/>
    <w:rsid w:val="00C47BE2"/>
    <w:rsid w:val="00C47D32"/>
    <w:rsid w:val="00C47D45"/>
    <w:rsid w:val="00C47E62"/>
    <w:rsid w:val="00C47EF1"/>
    <w:rsid w:val="00C47FC1"/>
    <w:rsid w:val="00C47FDB"/>
    <w:rsid w:val="00C50022"/>
    <w:rsid w:val="00C5005E"/>
    <w:rsid w:val="00C500CD"/>
    <w:rsid w:val="00C500FF"/>
    <w:rsid w:val="00C5010B"/>
    <w:rsid w:val="00C5016F"/>
    <w:rsid w:val="00C50197"/>
    <w:rsid w:val="00C502AB"/>
    <w:rsid w:val="00C502CF"/>
    <w:rsid w:val="00C50330"/>
    <w:rsid w:val="00C503C3"/>
    <w:rsid w:val="00C503C6"/>
    <w:rsid w:val="00C50461"/>
    <w:rsid w:val="00C5046C"/>
    <w:rsid w:val="00C5048A"/>
    <w:rsid w:val="00C50540"/>
    <w:rsid w:val="00C5054B"/>
    <w:rsid w:val="00C5055E"/>
    <w:rsid w:val="00C505DF"/>
    <w:rsid w:val="00C5062A"/>
    <w:rsid w:val="00C5071A"/>
    <w:rsid w:val="00C5074D"/>
    <w:rsid w:val="00C5074F"/>
    <w:rsid w:val="00C507C8"/>
    <w:rsid w:val="00C5080E"/>
    <w:rsid w:val="00C50840"/>
    <w:rsid w:val="00C5091B"/>
    <w:rsid w:val="00C50923"/>
    <w:rsid w:val="00C50A20"/>
    <w:rsid w:val="00C50A3D"/>
    <w:rsid w:val="00C50A40"/>
    <w:rsid w:val="00C50AA5"/>
    <w:rsid w:val="00C50C2E"/>
    <w:rsid w:val="00C50C8B"/>
    <w:rsid w:val="00C50CDB"/>
    <w:rsid w:val="00C50CF3"/>
    <w:rsid w:val="00C50D19"/>
    <w:rsid w:val="00C50D75"/>
    <w:rsid w:val="00C50D9B"/>
    <w:rsid w:val="00C50E71"/>
    <w:rsid w:val="00C50F7E"/>
    <w:rsid w:val="00C5108F"/>
    <w:rsid w:val="00C510AB"/>
    <w:rsid w:val="00C510BE"/>
    <w:rsid w:val="00C510FB"/>
    <w:rsid w:val="00C5111C"/>
    <w:rsid w:val="00C51146"/>
    <w:rsid w:val="00C51149"/>
    <w:rsid w:val="00C51236"/>
    <w:rsid w:val="00C51245"/>
    <w:rsid w:val="00C5128F"/>
    <w:rsid w:val="00C5129E"/>
    <w:rsid w:val="00C512E1"/>
    <w:rsid w:val="00C51313"/>
    <w:rsid w:val="00C513CC"/>
    <w:rsid w:val="00C5151A"/>
    <w:rsid w:val="00C51590"/>
    <w:rsid w:val="00C515A0"/>
    <w:rsid w:val="00C51679"/>
    <w:rsid w:val="00C51690"/>
    <w:rsid w:val="00C51696"/>
    <w:rsid w:val="00C516A8"/>
    <w:rsid w:val="00C516D9"/>
    <w:rsid w:val="00C5173E"/>
    <w:rsid w:val="00C517C5"/>
    <w:rsid w:val="00C517E3"/>
    <w:rsid w:val="00C51825"/>
    <w:rsid w:val="00C5182A"/>
    <w:rsid w:val="00C5182C"/>
    <w:rsid w:val="00C518A1"/>
    <w:rsid w:val="00C518D3"/>
    <w:rsid w:val="00C5198D"/>
    <w:rsid w:val="00C519C7"/>
    <w:rsid w:val="00C51A09"/>
    <w:rsid w:val="00C51AEB"/>
    <w:rsid w:val="00C51AFE"/>
    <w:rsid w:val="00C51BE8"/>
    <w:rsid w:val="00C51D6D"/>
    <w:rsid w:val="00C51D77"/>
    <w:rsid w:val="00C51DA4"/>
    <w:rsid w:val="00C51DFF"/>
    <w:rsid w:val="00C51EC4"/>
    <w:rsid w:val="00C51EDF"/>
    <w:rsid w:val="00C51F5B"/>
    <w:rsid w:val="00C51FBF"/>
    <w:rsid w:val="00C52008"/>
    <w:rsid w:val="00C52060"/>
    <w:rsid w:val="00C520D7"/>
    <w:rsid w:val="00C5218E"/>
    <w:rsid w:val="00C52190"/>
    <w:rsid w:val="00C521B6"/>
    <w:rsid w:val="00C52214"/>
    <w:rsid w:val="00C5222F"/>
    <w:rsid w:val="00C52325"/>
    <w:rsid w:val="00C5237A"/>
    <w:rsid w:val="00C523E7"/>
    <w:rsid w:val="00C523FA"/>
    <w:rsid w:val="00C52436"/>
    <w:rsid w:val="00C52483"/>
    <w:rsid w:val="00C5248A"/>
    <w:rsid w:val="00C524F3"/>
    <w:rsid w:val="00C52593"/>
    <w:rsid w:val="00C525C6"/>
    <w:rsid w:val="00C52681"/>
    <w:rsid w:val="00C52701"/>
    <w:rsid w:val="00C5273F"/>
    <w:rsid w:val="00C52860"/>
    <w:rsid w:val="00C528D5"/>
    <w:rsid w:val="00C528E4"/>
    <w:rsid w:val="00C528F7"/>
    <w:rsid w:val="00C52906"/>
    <w:rsid w:val="00C5293A"/>
    <w:rsid w:val="00C52AD2"/>
    <w:rsid w:val="00C52B8C"/>
    <w:rsid w:val="00C52BEA"/>
    <w:rsid w:val="00C52C3C"/>
    <w:rsid w:val="00C52CD8"/>
    <w:rsid w:val="00C52D96"/>
    <w:rsid w:val="00C52DBD"/>
    <w:rsid w:val="00C52DD5"/>
    <w:rsid w:val="00C52DE2"/>
    <w:rsid w:val="00C52EAA"/>
    <w:rsid w:val="00C52EAE"/>
    <w:rsid w:val="00C52FA6"/>
    <w:rsid w:val="00C52FA9"/>
    <w:rsid w:val="00C530C1"/>
    <w:rsid w:val="00C53102"/>
    <w:rsid w:val="00C53144"/>
    <w:rsid w:val="00C5327C"/>
    <w:rsid w:val="00C5328A"/>
    <w:rsid w:val="00C532A8"/>
    <w:rsid w:val="00C532D1"/>
    <w:rsid w:val="00C5337F"/>
    <w:rsid w:val="00C53389"/>
    <w:rsid w:val="00C533AA"/>
    <w:rsid w:val="00C53429"/>
    <w:rsid w:val="00C5343C"/>
    <w:rsid w:val="00C53473"/>
    <w:rsid w:val="00C534E7"/>
    <w:rsid w:val="00C534EC"/>
    <w:rsid w:val="00C5357A"/>
    <w:rsid w:val="00C5357E"/>
    <w:rsid w:val="00C536E2"/>
    <w:rsid w:val="00C5370F"/>
    <w:rsid w:val="00C53760"/>
    <w:rsid w:val="00C537A6"/>
    <w:rsid w:val="00C537C7"/>
    <w:rsid w:val="00C537D5"/>
    <w:rsid w:val="00C53822"/>
    <w:rsid w:val="00C538B6"/>
    <w:rsid w:val="00C53920"/>
    <w:rsid w:val="00C53964"/>
    <w:rsid w:val="00C53985"/>
    <w:rsid w:val="00C539C3"/>
    <w:rsid w:val="00C53A2D"/>
    <w:rsid w:val="00C53A54"/>
    <w:rsid w:val="00C53A95"/>
    <w:rsid w:val="00C53AF7"/>
    <w:rsid w:val="00C53B01"/>
    <w:rsid w:val="00C53B4E"/>
    <w:rsid w:val="00C53C40"/>
    <w:rsid w:val="00C53D1E"/>
    <w:rsid w:val="00C53E14"/>
    <w:rsid w:val="00C53E28"/>
    <w:rsid w:val="00C53EBF"/>
    <w:rsid w:val="00C53F50"/>
    <w:rsid w:val="00C53FA4"/>
    <w:rsid w:val="00C54002"/>
    <w:rsid w:val="00C54022"/>
    <w:rsid w:val="00C540DF"/>
    <w:rsid w:val="00C54167"/>
    <w:rsid w:val="00C542E3"/>
    <w:rsid w:val="00C5432E"/>
    <w:rsid w:val="00C54347"/>
    <w:rsid w:val="00C54362"/>
    <w:rsid w:val="00C543A3"/>
    <w:rsid w:val="00C543AB"/>
    <w:rsid w:val="00C543E3"/>
    <w:rsid w:val="00C5441F"/>
    <w:rsid w:val="00C544DC"/>
    <w:rsid w:val="00C54551"/>
    <w:rsid w:val="00C5457D"/>
    <w:rsid w:val="00C54582"/>
    <w:rsid w:val="00C545E6"/>
    <w:rsid w:val="00C545F5"/>
    <w:rsid w:val="00C54639"/>
    <w:rsid w:val="00C5463B"/>
    <w:rsid w:val="00C5464E"/>
    <w:rsid w:val="00C54694"/>
    <w:rsid w:val="00C546F2"/>
    <w:rsid w:val="00C5474B"/>
    <w:rsid w:val="00C54951"/>
    <w:rsid w:val="00C549BD"/>
    <w:rsid w:val="00C54A1C"/>
    <w:rsid w:val="00C54A3C"/>
    <w:rsid w:val="00C54ABB"/>
    <w:rsid w:val="00C54B04"/>
    <w:rsid w:val="00C54B0C"/>
    <w:rsid w:val="00C54CAF"/>
    <w:rsid w:val="00C54D2B"/>
    <w:rsid w:val="00C54E7E"/>
    <w:rsid w:val="00C54F69"/>
    <w:rsid w:val="00C54FCF"/>
    <w:rsid w:val="00C55003"/>
    <w:rsid w:val="00C550A0"/>
    <w:rsid w:val="00C551F0"/>
    <w:rsid w:val="00C552E0"/>
    <w:rsid w:val="00C55382"/>
    <w:rsid w:val="00C55392"/>
    <w:rsid w:val="00C553F7"/>
    <w:rsid w:val="00C5547A"/>
    <w:rsid w:val="00C554F2"/>
    <w:rsid w:val="00C554FC"/>
    <w:rsid w:val="00C55546"/>
    <w:rsid w:val="00C555B8"/>
    <w:rsid w:val="00C5564F"/>
    <w:rsid w:val="00C5567A"/>
    <w:rsid w:val="00C55688"/>
    <w:rsid w:val="00C5575C"/>
    <w:rsid w:val="00C5576E"/>
    <w:rsid w:val="00C557B5"/>
    <w:rsid w:val="00C55832"/>
    <w:rsid w:val="00C55885"/>
    <w:rsid w:val="00C558CE"/>
    <w:rsid w:val="00C55961"/>
    <w:rsid w:val="00C559A5"/>
    <w:rsid w:val="00C55A65"/>
    <w:rsid w:val="00C55A82"/>
    <w:rsid w:val="00C55B3F"/>
    <w:rsid w:val="00C55C21"/>
    <w:rsid w:val="00C55C4D"/>
    <w:rsid w:val="00C55D38"/>
    <w:rsid w:val="00C55DE4"/>
    <w:rsid w:val="00C55E33"/>
    <w:rsid w:val="00C5600F"/>
    <w:rsid w:val="00C56076"/>
    <w:rsid w:val="00C56084"/>
    <w:rsid w:val="00C56096"/>
    <w:rsid w:val="00C560C3"/>
    <w:rsid w:val="00C56100"/>
    <w:rsid w:val="00C56152"/>
    <w:rsid w:val="00C561A3"/>
    <w:rsid w:val="00C56224"/>
    <w:rsid w:val="00C5628D"/>
    <w:rsid w:val="00C562B6"/>
    <w:rsid w:val="00C562EB"/>
    <w:rsid w:val="00C563B2"/>
    <w:rsid w:val="00C563CE"/>
    <w:rsid w:val="00C564C3"/>
    <w:rsid w:val="00C564D7"/>
    <w:rsid w:val="00C564ED"/>
    <w:rsid w:val="00C5650F"/>
    <w:rsid w:val="00C565C5"/>
    <w:rsid w:val="00C56613"/>
    <w:rsid w:val="00C56666"/>
    <w:rsid w:val="00C566B8"/>
    <w:rsid w:val="00C566EB"/>
    <w:rsid w:val="00C566F8"/>
    <w:rsid w:val="00C5670D"/>
    <w:rsid w:val="00C56769"/>
    <w:rsid w:val="00C567A3"/>
    <w:rsid w:val="00C5682B"/>
    <w:rsid w:val="00C5688F"/>
    <w:rsid w:val="00C568A7"/>
    <w:rsid w:val="00C568E6"/>
    <w:rsid w:val="00C56990"/>
    <w:rsid w:val="00C5699E"/>
    <w:rsid w:val="00C569A3"/>
    <w:rsid w:val="00C569C4"/>
    <w:rsid w:val="00C56A60"/>
    <w:rsid w:val="00C56AB0"/>
    <w:rsid w:val="00C56B20"/>
    <w:rsid w:val="00C56B41"/>
    <w:rsid w:val="00C56B89"/>
    <w:rsid w:val="00C56BBE"/>
    <w:rsid w:val="00C56C4A"/>
    <w:rsid w:val="00C56C7D"/>
    <w:rsid w:val="00C56C92"/>
    <w:rsid w:val="00C56CB7"/>
    <w:rsid w:val="00C56CCC"/>
    <w:rsid w:val="00C56D65"/>
    <w:rsid w:val="00C56E22"/>
    <w:rsid w:val="00C56E63"/>
    <w:rsid w:val="00C57049"/>
    <w:rsid w:val="00C57058"/>
    <w:rsid w:val="00C570B4"/>
    <w:rsid w:val="00C57105"/>
    <w:rsid w:val="00C571A6"/>
    <w:rsid w:val="00C571BD"/>
    <w:rsid w:val="00C57228"/>
    <w:rsid w:val="00C5725A"/>
    <w:rsid w:val="00C572B1"/>
    <w:rsid w:val="00C5740F"/>
    <w:rsid w:val="00C57454"/>
    <w:rsid w:val="00C57478"/>
    <w:rsid w:val="00C574A3"/>
    <w:rsid w:val="00C574AD"/>
    <w:rsid w:val="00C574ED"/>
    <w:rsid w:val="00C57582"/>
    <w:rsid w:val="00C575B6"/>
    <w:rsid w:val="00C575C0"/>
    <w:rsid w:val="00C57606"/>
    <w:rsid w:val="00C57651"/>
    <w:rsid w:val="00C576D1"/>
    <w:rsid w:val="00C576F0"/>
    <w:rsid w:val="00C57729"/>
    <w:rsid w:val="00C57754"/>
    <w:rsid w:val="00C57780"/>
    <w:rsid w:val="00C57832"/>
    <w:rsid w:val="00C578DC"/>
    <w:rsid w:val="00C578FE"/>
    <w:rsid w:val="00C5796D"/>
    <w:rsid w:val="00C579A9"/>
    <w:rsid w:val="00C579BB"/>
    <w:rsid w:val="00C57BD4"/>
    <w:rsid w:val="00C57C48"/>
    <w:rsid w:val="00C57C99"/>
    <w:rsid w:val="00C57CBB"/>
    <w:rsid w:val="00C57CBF"/>
    <w:rsid w:val="00C57DB0"/>
    <w:rsid w:val="00C57E27"/>
    <w:rsid w:val="00C57E4F"/>
    <w:rsid w:val="00C57E69"/>
    <w:rsid w:val="00C57EA1"/>
    <w:rsid w:val="00C57F65"/>
    <w:rsid w:val="00C57FC8"/>
    <w:rsid w:val="00C600BA"/>
    <w:rsid w:val="00C60115"/>
    <w:rsid w:val="00C601D1"/>
    <w:rsid w:val="00C60205"/>
    <w:rsid w:val="00C60287"/>
    <w:rsid w:val="00C6028F"/>
    <w:rsid w:val="00C602F5"/>
    <w:rsid w:val="00C6035F"/>
    <w:rsid w:val="00C60408"/>
    <w:rsid w:val="00C6044B"/>
    <w:rsid w:val="00C604EE"/>
    <w:rsid w:val="00C60556"/>
    <w:rsid w:val="00C6055C"/>
    <w:rsid w:val="00C606AE"/>
    <w:rsid w:val="00C606EF"/>
    <w:rsid w:val="00C6081F"/>
    <w:rsid w:val="00C60830"/>
    <w:rsid w:val="00C60831"/>
    <w:rsid w:val="00C60956"/>
    <w:rsid w:val="00C6096A"/>
    <w:rsid w:val="00C6097C"/>
    <w:rsid w:val="00C60998"/>
    <w:rsid w:val="00C60A4F"/>
    <w:rsid w:val="00C60B27"/>
    <w:rsid w:val="00C60B54"/>
    <w:rsid w:val="00C60C50"/>
    <w:rsid w:val="00C60CD5"/>
    <w:rsid w:val="00C60CE8"/>
    <w:rsid w:val="00C60D09"/>
    <w:rsid w:val="00C60D88"/>
    <w:rsid w:val="00C60DE2"/>
    <w:rsid w:val="00C60E76"/>
    <w:rsid w:val="00C60ED1"/>
    <w:rsid w:val="00C60EFD"/>
    <w:rsid w:val="00C60F60"/>
    <w:rsid w:val="00C60F9F"/>
    <w:rsid w:val="00C60FB5"/>
    <w:rsid w:val="00C60FCA"/>
    <w:rsid w:val="00C61024"/>
    <w:rsid w:val="00C610A2"/>
    <w:rsid w:val="00C610C9"/>
    <w:rsid w:val="00C61120"/>
    <w:rsid w:val="00C611BA"/>
    <w:rsid w:val="00C611C9"/>
    <w:rsid w:val="00C61216"/>
    <w:rsid w:val="00C612FE"/>
    <w:rsid w:val="00C6134B"/>
    <w:rsid w:val="00C614B4"/>
    <w:rsid w:val="00C614CB"/>
    <w:rsid w:val="00C6150B"/>
    <w:rsid w:val="00C61521"/>
    <w:rsid w:val="00C6152F"/>
    <w:rsid w:val="00C615A6"/>
    <w:rsid w:val="00C61611"/>
    <w:rsid w:val="00C61648"/>
    <w:rsid w:val="00C61694"/>
    <w:rsid w:val="00C616BD"/>
    <w:rsid w:val="00C61794"/>
    <w:rsid w:val="00C6179C"/>
    <w:rsid w:val="00C617A3"/>
    <w:rsid w:val="00C61824"/>
    <w:rsid w:val="00C618EB"/>
    <w:rsid w:val="00C6191B"/>
    <w:rsid w:val="00C619C7"/>
    <w:rsid w:val="00C61A1C"/>
    <w:rsid w:val="00C61B07"/>
    <w:rsid w:val="00C61BBC"/>
    <w:rsid w:val="00C61BC4"/>
    <w:rsid w:val="00C61C6E"/>
    <w:rsid w:val="00C61C95"/>
    <w:rsid w:val="00C61D0C"/>
    <w:rsid w:val="00C61D60"/>
    <w:rsid w:val="00C61D61"/>
    <w:rsid w:val="00C61DE0"/>
    <w:rsid w:val="00C61E03"/>
    <w:rsid w:val="00C61EFE"/>
    <w:rsid w:val="00C61F08"/>
    <w:rsid w:val="00C61F16"/>
    <w:rsid w:val="00C61F3B"/>
    <w:rsid w:val="00C61F8A"/>
    <w:rsid w:val="00C61FE0"/>
    <w:rsid w:val="00C62086"/>
    <w:rsid w:val="00C620A6"/>
    <w:rsid w:val="00C620D6"/>
    <w:rsid w:val="00C621C4"/>
    <w:rsid w:val="00C6221F"/>
    <w:rsid w:val="00C62255"/>
    <w:rsid w:val="00C622A1"/>
    <w:rsid w:val="00C622BF"/>
    <w:rsid w:val="00C62458"/>
    <w:rsid w:val="00C624E1"/>
    <w:rsid w:val="00C62568"/>
    <w:rsid w:val="00C625E6"/>
    <w:rsid w:val="00C62601"/>
    <w:rsid w:val="00C62693"/>
    <w:rsid w:val="00C626DD"/>
    <w:rsid w:val="00C6289F"/>
    <w:rsid w:val="00C62999"/>
    <w:rsid w:val="00C62AC9"/>
    <w:rsid w:val="00C62AFF"/>
    <w:rsid w:val="00C62B6F"/>
    <w:rsid w:val="00C62BA2"/>
    <w:rsid w:val="00C62C3F"/>
    <w:rsid w:val="00C62C56"/>
    <w:rsid w:val="00C62C71"/>
    <w:rsid w:val="00C62C7C"/>
    <w:rsid w:val="00C62D4B"/>
    <w:rsid w:val="00C62DF5"/>
    <w:rsid w:val="00C62E00"/>
    <w:rsid w:val="00C62E16"/>
    <w:rsid w:val="00C62E34"/>
    <w:rsid w:val="00C62E3F"/>
    <w:rsid w:val="00C62E46"/>
    <w:rsid w:val="00C62F09"/>
    <w:rsid w:val="00C62F61"/>
    <w:rsid w:val="00C62F93"/>
    <w:rsid w:val="00C62FE7"/>
    <w:rsid w:val="00C63064"/>
    <w:rsid w:val="00C630D1"/>
    <w:rsid w:val="00C63119"/>
    <w:rsid w:val="00C63131"/>
    <w:rsid w:val="00C63269"/>
    <w:rsid w:val="00C6327E"/>
    <w:rsid w:val="00C6332D"/>
    <w:rsid w:val="00C63395"/>
    <w:rsid w:val="00C633CE"/>
    <w:rsid w:val="00C633DC"/>
    <w:rsid w:val="00C633EE"/>
    <w:rsid w:val="00C633F1"/>
    <w:rsid w:val="00C634EC"/>
    <w:rsid w:val="00C635A1"/>
    <w:rsid w:val="00C635A4"/>
    <w:rsid w:val="00C635BD"/>
    <w:rsid w:val="00C635CC"/>
    <w:rsid w:val="00C635E9"/>
    <w:rsid w:val="00C63685"/>
    <w:rsid w:val="00C6370C"/>
    <w:rsid w:val="00C6379B"/>
    <w:rsid w:val="00C637A0"/>
    <w:rsid w:val="00C6381F"/>
    <w:rsid w:val="00C63820"/>
    <w:rsid w:val="00C6383C"/>
    <w:rsid w:val="00C63854"/>
    <w:rsid w:val="00C638FC"/>
    <w:rsid w:val="00C63924"/>
    <w:rsid w:val="00C63940"/>
    <w:rsid w:val="00C639F2"/>
    <w:rsid w:val="00C63AAD"/>
    <w:rsid w:val="00C63AC9"/>
    <w:rsid w:val="00C63B3E"/>
    <w:rsid w:val="00C63C51"/>
    <w:rsid w:val="00C63D27"/>
    <w:rsid w:val="00C63D69"/>
    <w:rsid w:val="00C63DE8"/>
    <w:rsid w:val="00C63E0A"/>
    <w:rsid w:val="00C63F57"/>
    <w:rsid w:val="00C63F63"/>
    <w:rsid w:val="00C640C6"/>
    <w:rsid w:val="00C64280"/>
    <w:rsid w:val="00C642C4"/>
    <w:rsid w:val="00C643D4"/>
    <w:rsid w:val="00C644E9"/>
    <w:rsid w:val="00C645B8"/>
    <w:rsid w:val="00C64654"/>
    <w:rsid w:val="00C6466D"/>
    <w:rsid w:val="00C6466F"/>
    <w:rsid w:val="00C646E0"/>
    <w:rsid w:val="00C6470F"/>
    <w:rsid w:val="00C6472B"/>
    <w:rsid w:val="00C6472C"/>
    <w:rsid w:val="00C647F4"/>
    <w:rsid w:val="00C64810"/>
    <w:rsid w:val="00C648AD"/>
    <w:rsid w:val="00C648C2"/>
    <w:rsid w:val="00C648D2"/>
    <w:rsid w:val="00C648DC"/>
    <w:rsid w:val="00C64906"/>
    <w:rsid w:val="00C64918"/>
    <w:rsid w:val="00C64AA3"/>
    <w:rsid w:val="00C64AFC"/>
    <w:rsid w:val="00C64C53"/>
    <w:rsid w:val="00C64CD7"/>
    <w:rsid w:val="00C64CDF"/>
    <w:rsid w:val="00C64CF1"/>
    <w:rsid w:val="00C64D05"/>
    <w:rsid w:val="00C64EEC"/>
    <w:rsid w:val="00C64EFE"/>
    <w:rsid w:val="00C64FD7"/>
    <w:rsid w:val="00C64FE7"/>
    <w:rsid w:val="00C65203"/>
    <w:rsid w:val="00C6532E"/>
    <w:rsid w:val="00C65330"/>
    <w:rsid w:val="00C6539C"/>
    <w:rsid w:val="00C654CE"/>
    <w:rsid w:val="00C654CF"/>
    <w:rsid w:val="00C6552A"/>
    <w:rsid w:val="00C65531"/>
    <w:rsid w:val="00C6557D"/>
    <w:rsid w:val="00C655AC"/>
    <w:rsid w:val="00C65612"/>
    <w:rsid w:val="00C6566C"/>
    <w:rsid w:val="00C65721"/>
    <w:rsid w:val="00C6577F"/>
    <w:rsid w:val="00C6580D"/>
    <w:rsid w:val="00C6585F"/>
    <w:rsid w:val="00C65882"/>
    <w:rsid w:val="00C658DC"/>
    <w:rsid w:val="00C6594C"/>
    <w:rsid w:val="00C659BB"/>
    <w:rsid w:val="00C65A5E"/>
    <w:rsid w:val="00C65A79"/>
    <w:rsid w:val="00C65A7E"/>
    <w:rsid w:val="00C65AB7"/>
    <w:rsid w:val="00C65B0A"/>
    <w:rsid w:val="00C65BBD"/>
    <w:rsid w:val="00C65C30"/>
    <w:rsid w:val="00C65C4E"/>
    <w:rsid w:val="00C65CEE"/>
    <w:rsid w:val="00C65D2D"/>
    <w:rsid w:val="00C65D40"/>
    <w:rsid w:val="00C65D41"/>
    <w:rsid w:val="00C65D9B"/>
    <w:rsid w:val="00C65DC1"/>
    <w:rsid w:val="00C65EAC"/>
    <w:rsid w:val="00C65F18"/>
    <w:rsid w:val="00C65F73"/>
    <w:rsid w:val="00C66170"/>
    <w:rsid w:val="00C66242"/>
    <w:rsid w:val="00C66264"/>
    <w:rsid w:val="00C6633D"/>
    <w:rsid w:val="00C6634E"/>
    <w:rsid w:val="00C66357"/>
    <w:rsid w:val="00C6637F"/>
    <w:rsid w:val="00C663FF"/>
    <w:rsid w:val="00C6641A"/>
    <w:rsid w:val="00C66429"/>
    <w:rsid w:val="00C665C6"/>
    <w:rsid w:val="00C665D9"/>
    <w:rsid w:val="00C665FA"/>
    <w:rsid w:val="00C6662E"/>
    <w:rsid w:val="00C666B0"/>
    <w:rsid w:val="00C66807"/>
    <w:rsid w:val="00C66877"/>
    <w:rsid w:val="00C669B0"/>
    <w:rsid w:val="00C669D4"/>
    <w:rsid w:val="00C669E6"/>
    <w:rsid w:val="00C66A1B"/>
    <w:rsid w:val="00C66A62"/>
    <w:rsid w:val="00C66AB7"/>
    <w:rsid w:val="00C66AF3"/>
    <w:rsid w:val="00C66B04"/>
    <w:rsid w:val="00C66B1D"/>
    <w:rsid w:val="00C66B20"/>
    <w:rsid w:val="00C66B73"/>
    <w:rsid w:val="00C66C1E"/>
    <w:rsid w:val="00C66C41"/>
    <w:rsid w:val="00C66C46"/>
    <w:rsid w:val="00C66C97"/>
    <w:rsid w:val="00C66DC8"/>
    <w:rsid w:val="00C66E28"/>
    <w:rsid w:val="00C66E51"/>
    <w:rsid w:val="00C66E80"/>
    <w:rsid w:val="00C66EBB"/>
    <w:rsid w:val="00C66EBD"/>
    <w:rsid w:val="00C66ED0"/>
    <w:rsid w:val="00C66EEF"/>
    <w:rsid w:val="00C66FD4"/>
    <w:rsid w:val="00C66FDC"/>
    <w:rsid w:val="00C6713F"/>
    <w:rsid w:val="00C67181"/>
    <w:rsid w:val="00C671A6"/>
    <w:rsid w:val="00C67233"/>
    <w:rsid w:val="00C67288"/>
    <w:rsid w:val="00C672DF"/>
    <w:rsid w:val="00C67395"/>
    <w:rsid w:val="00C673B2"/>
    <w:rsid w:val="00C67438"/>
    <w:rsid w:val="00C67478"/>
    <w:rsid w:val="00C6747B"/>
    <w:rsid w:val="00C674EC"/>
    <w:rsid w:val="00C67585"/>
    <w:rsid w:val="00C67671"/>
    <w:rsid w:val="00C6768E"/>
    <w:rsid w:val="00C676AC"/>
    <w:rsid w:val="00C67715"/>
    <w:rsid w:val="00C67739"/>
    <w:rsid w:val="00C67798"/>
    <w:rsid w:val="00C677C0"/>
    <w:rsid w:val="00C677D6"/>
    <w:rsid w:val="00C677D8"/>
    <w:rsid w:val="00C67856"/>
    <w:rsid w:val="00C67871"/>
    <w:rsid w:val="00C678B9"/>
    <w:rsid w:val="00C67920"/>
    <w:rsid w:val="00C679C7"/>
    <w:rsid w:val="00C67ACD"/>
    <w:rsid w:val="00C67B1A"/>
    <w:rsid w:val="00C67BF0"/>
    <w:rsid w:val="00C67C5C"/>
    <w:rsid w:val="00C67C83"/>
    <w:rsid w:val="00C67C8B"/>
    <w:rsid w:val="00C67C8D"/>
    <w:rsid w:val="00C67CD2"/>
    <w:rsid w:val="00C67DDD"/>
    <w:rsid w:val="00C67E51"/>
    <w:rsid w:val="00C67E64"/>
    <w:rsid w:val="00C67EA5"/>
    <w:rsid w:val="00C67EAA"/>
    <w:rsid w:val="00C67EC7"/>
    <w:rsid w:val="00C67ED4"/>
    <w:rsid w:val="00C67F75"/>
    <w:rsid w:val="00C67FC6"/>
    <w:rsid w:val="00C70062"/>
    <w:rsid w:val="00C700A7"/>
    <w:rsid w:val="00C700C6"/>
    <w:rsid w:val="00C700CF"/>
    <w:rsid w:val="00C7028E"/>
    <w:rsid w:val="00C702A7"/>
    <w:rsid w:val="00C702D4"/>
    <w:rsid w:val="00C702FD"/>
    <w:rsid w:val="00C703AD"/>
    <w:rsid w:val="00C704C3"/>
    <w:rsid w:val="00C705A9"/>
    <w:rsid w:val="00C70604"/>
    <w:rsid w:val="00C70683"/>
    <w:rsid w:val="00C7068D"/>
    <w:rsid w:val="00C706C1"/>
    <w:rsid w:val="00C706C8"/>
    <w:rsid w:val="00C70768"/>
    <w:rsid w:val="00C707B8"/>
    <w:rsid w:val="00C70805"/>
    <w:rsid w:val="00C70806"/>
    <w:rsid w:val="00C70838"/>
    <w:rsid w:val="00C708B4"/>
    <w:rsid w:val="00C708BC"/>
    <w:rsid w:val="00C708CE"/>
    <w:rsid w:val="00C708DE"/>
    <w:rsid w:val="00C70953"/>
    <w:rsid w:val="00C7097D"/>
    <w:rsid w:val="00C709E0"/>
    <w:rsid w:val="00C709FB"/>
    <w:rsid w:val="00C70A52"/>
    <w:rsid w:val="00C70B64"/>
    <w:rsid w:val="00C70BA5"/>
    <w:rsid w:val="00C70BA6"/>
    <w:rsid w:val="00C70C37"/>
    <w:rsid w:val="00C70CCF"/>
    <w:rsid w:val="00C70CD8"/>
    <w:rsid w:val="00C70D45"/>
    <w:rsid w:val="00C70D80"/>
    <w:rsid w:val="00C70DCA"/>
    <w:rsid w:val="00C70E2F"/>
    <w:rsid w:val="00C70EFC"/>
    <w:rsid w:val="00C70F30"/>
    <w:rsid w:val="00C70F5D"/>
    <w:rsid w:val="00C70FE7"/>
    <w:rsid w:val="00C71150"/>
    <w:rsid w:val="00C7115E"/>
    <w:rsid w:val="00C7117A"/>
    <w:rsid w:val="00C711E1"/>
    <w:rsid w:val="00C7124B"/>
    <w:rsid w:val="00C71368"/>
    <w:rsid w:val="00C713E2"/>
    <w:rsid w:val="00C7146B"/>
    <w:rsid w:val="00C714B0"/>
    <w:rsid w:val="00C71543"/>
    <w:rsid w:val="00C715C3"/>
    <w:rsid w:val="00C71617"/>
    <w:rsid w:val="00C71688"/>
    <w:rsid w:val="00C7176E"/>
    <w:rsid w:val="00C71786"/>
    <w:rsid w:val="00C717CA"/>
    <w:rsid w:val="00C718F0"/>
    <w:rsid w:val="00C718FD"/>
    <w:rsid w:val="00C71925"/>
    <w:rsid w:val="00C71950"/>
    <w:rsid w:val="00C71957"/>
    <w:rsid w:val="00C719F4"/>
    <w:rsid w:val="00C71A35"/>
    <w:rsid w:val="00C71AC4"/>
    <w:rsid w:val="00C71B3F"/>
    <w:rsid w:val="00C71B46"/>
    <w:rsid w:val="00C71B9E"/>
    <w:rsid w:val="00C71BF8"/>
    <w:rsid w:val="00C71C12"/>
    <w:rsid w:val="00C71D3E"/>
    <w:rsid w:val="00C71D41"/>
    <w:rsid w:val="00C71D96"/>
    <w:rsid w:val="00C71DE1"/>
    <w:rsid w:val="00C71E89"/>
    <w:rsid w:val="00C71EDD"/>
    <w:rsid w:val="00C71EDF"/>
    <w:rsid w:val="00C71F1B"/>
    <w:rsid w:val="00C7206E"/>
    <w:rsid w:val="00C7218B"/>
    <w:rsid w:val="00C721C3"/>
    <w:rsid w:val="00C721F5"/>
    <w:rsid w:val="00C721FC"/>
    <w:rsid w:val="00C72359"/>
    <w:rsid w:val="00C7235E"/>
    <w:rsid w:val="00C723FF"/>
    <w:rsid w:val="00C72441"/>
    <w:rsid w:val="00C72495"/>
    <w:rsid w:val="00C7249E"/>
    <w:rsid w:val="00C724F8"/>
    <w:rsid w:val="00C725B1"/>
    <w:rsid w:val="00C7267C"/>
    <w:rsid w:val="00C72682"/>
    <w:rsid w:val="00C726BC"/>
    <w:rsid w:val="00C726D9"/>
    <w:rsid w:val="00C727CA"/>
    <w:rsid w:val="00C7289D"/>
    <w:rsid w:val="00C728AF"/>
    <w:rsid w:val="00C72905"/>
    <w:rsid w:val="00C729D6"/>
    <w:rsid w:val="00C72A54"/>
    <w:rsid w:val="00C72A71"/>
    <w:rsid w:val="00C72AA6"/>
    <w:rsid w:val="00C72AD9"/>
    <w:rsid w:val="00C72AE5"/>
    <w:rsid w:val="00C72AEB"/>
    <w:rsid w:val="00C72B2A"/>
    <w:rsid w:val="00C72B37"/>
    <w:rsid w:val="00C72B97"/>
    <w:rsid w:val="00C72BCC"/>
    <w:rsid w:val="00C72CAB"/>
    <w:rsid w:val="00C72D17"/>
    <w:rsid w:val="00C72D3D"/>
    <w:rsid w:val="00C72D77"/>
    <w:rsid w:val="00C72E4F"/>
    <w:rsid w:val="00C72F06"/>
    <w:rsid w:val="00C73000"/>
    <w:rsid w:val="00C7302D"/>
    <w:rsid w:val="00C7313A"/>
    <w:rsid w:val="00C73169"/>
    <w:rsid w:val="00C7320F"/>
    <w:rsid w:val="00C7322F"/>
    <w:rsid w:val="00C73270"/>
    <w:rsid w:val="00C733DB"/>
    <w:rsid w:val="00C734A5"/>
    <w:rsid w:val="00C734C1"/>
    <w:rsid w:val="00C73540"/>
    <w:rsid w:val="00C73553"/>
    <w:rsid w:val="00C735A9"/>
    <w:rsid w:val="00C735B3"/>
    <w:rsid w:val="00C73637"/>
    <w:rsid w:val="00C7368C"/>
    <w:rsid w:val="00C736A3"/>
    <w:rsid w:val="00C736AE"/>
    <w:rsid w:val="00C736E8"/>
    <w:rsid w:val="00C73718"/>
    <w:rsid w:val="00C7373C"/>
    <w:rsid w:val="00C7378F"/>
    <w:rsid w:val="00C73870"/>
    <w:rsid w:val="00C73886"/>
    <w:rsid w:val="00C738E4"/>
    <w:rsid w:val="00C73969"/>
    <w:rsid w:val="00C73AE8"/>
    <w:rsid w:val="00C73AF1"/>
    <w:rsid w:val="00C73B00"/>
    <w:rsid w:val="00C73B03"/>
    <w:rsid w:val="00C73B2F"/>
    <w:rsid w:val="00C73BC6"/>
    <w:rsid w:val="00C73C09"/>
    <w:rsid w:val="00C73C1C"/>
    <w:rsid w:val="00C73C4D"/>
    <w:rsid w:val="00C73D05"/>
    <w:rsid w:val="00C73D60"/>
    <w:rsid w:val="00C73D83"/>
    <w:rsid w:val="00C73E8C"/>
    <w:rsid w:val="00C73E97"/>
    <w:rsid w:val="00C73EBF"/>
    <w:rsid w:val="00C73ED9"/>
    <w:rsid w:val="00C73EF5"/>
    <w:rsid w:val="00C73F6F"/>
    <w:rsid w:val="00C73FC2"/>
    <w:rsid w:val="00C74038"/>
    <w:rsid w:val="00C74058"/>
    <w:rsid w:val="00C7405E"/>
    <w:rsid w:val="00C740A5"/>
    <w:rsid w:val="00C74190"/>
    <w:rsid w:val="00C74192"/>
    <w:rsid w:val="00C74207"/>
    <w:rsid w:val="00C7425E"/>
    <w:rsid w:val="00C742A1"/>
    <w:rsid w:val="00C742CE"/>
    <w:rsid w:val="00C74304"/>
    <w:rsid w:val="00C74306"/>
    <w:rsid w:val="00C743D4"/>
    <w:rsid w:val="00C743DE"/>
    <w:rsid w:val="00C743ED"/>
    <w:rsid w:val="00C74442"/>
    <w:rsid w:val="00C74465"/>
    <w:rsid w:val="00C74487"/>
    <w:rsid w:val="00C744A4"/>
    <w:rsid w:val="00C74528"/>
    <w:rsid w:val="00C7454D"/>
    <w:rsid w:val="00C7466E"/>
    <w:rsid w:val="00C746B1"/>
    <w:rsid w:val="00C746CC"/>
    <w:rsid w:val="00C746ED"/>
    <w:rsid w:val="00C7470A"/>
    <w:rsid w:val="00C74723"/>
    <w:rsid w:val="00C74726"/>
    <w:rsid w:val="00C7478C"/>
    <w:rsid w:val="00C747BE"/>
    <w:rsid w:val="00C7484E"/>
    <w:rsid w:val="00C748BB"/>
    <w:rsid w:val="00C749CC"/>
    <w:rsid w:val="00C749EF"/>
    <w:rsid w:val="00C749F2"/>
    <w:rsid w:val="00C74A88"/>
    <w:rsid w:val="00C74AC9"/>
    <w:rsid w:val="00C74BE7"/>
    <w:rsid w:val="00C74BF5"/>
    <w:rsid w:val="00C74C70"/>
    <w:rsid w:val="00C74CB3"/>
    <w:rsid w:val="00C74D0A"/>
    <w:rsid w:val="00C74DE6"/>
    <w:rsid w:val="00C74E1F"/>
    <w:rsid w:val="00C74E5D"/>
    <w:rsid w:val="00C74F0E"/>
    <w:rsid w:val="00C74F97"/>
    <w:rsid w:val="00C74FE2"/>
    <w:rsid w:val="00C75014"/>
    <w:rsid w:val="00C75039"/>
    <w:rsid w:val="00C750A6"/>
    <w:rsid w:val="00C750EE"/>
    <w:rsid w:val="00C75170"/>
    <w:rsid w:val="00C75321"/>
    <w:rsid w:val="00C75374"/>
    <w:rsid w:val="00C75488"/>
    <w:rsid w:val="00C75611"/>
    <w:rsid w:val="00C7575B"/>
    <w:rsid w:val="00C7579F"/>
    <w:rsid w:val="00C75863"/>
    <w:rsid w:val="00C75897"/>
    <w:rsid w:val="00C758CB"/>
    <w:rsid w:val="00C758F3"/>
    <w:rsid w:val="00C759BA"/>
    <w:rsid w:val="00C75A22"/>
    <w:rsid w:val="00C75AA3"/>
    <w:rsid w:val="00C75ABA"/>
    <w:rsid w:val="00C75AD9"/>
    <w:rsid w:val="00C75AE2"/>
    <w:rsid w:val="00C75B06"/>
    <w:rsid w:val="00C75B15"/>
    <w:rsid w:val="00C75B30"/>
    <w:rsid w:val="00C75C1A"/>
    <w:rsid w:val="00C75C56"/>
    <w:rsid w:val="00C75DCA"/>
    <w:rsid w:val="00C75E57"/>
    <w:rsid w:val="00C75F5E"/>
    <w:rsid w:val="00C75F7E"/>
    <w:rsid w:val="00C75F8F"/>
    <w:rsid w:val="00C76076"/>
    <w:rsid w:val="00C760B7"/>
    <w:rsid w:val="00C760FC"/>
    <w:rsid w:val="00C76106"/>
    <w:rsid w:val="00C7613C"/>
    <w:rsid w:val="00C76165"/>
    <w:rsid w:val="00C761A0"/>
    <w:rsid w:val="00C761B7"/>
    <w:rsid w:val="00C7621A"/>
    <w:rsid w:val="00C7626D"/>
    <w:rsid w:val="00C762F4"/>
    <w:rsid w:val="00C76338"/>
    <w:rsid w:val="00C7635F"/>
    <w:rsid w:val="00C76361"/>
    <w:rsid w:val="00C76385"/>
    <w:rsid w:val="00C764A3"/>
    <w:rsid w:val="00C764B2"/>
    <w:rsid w:val="00C764DE"/>
    <w:rsid w:val="00C765B4"/>
    <w:rsid w:val="00C765D1"/>
    <w:rsid w:val="00C76621"/>
    <w:rsid w:val="00C76665"/>
    <w:rsid w:val="00C76747"/>
    <w:rsid w:val="00C767C6"/>
    <w:rsid w:val="00C767DC"/>
    <w:rsid w:val="00C767F0"/>
    <w:rsid w:val="00C76823"/>
    <w:rsid w:val="00C76854"/>
    <w:rsid w:val="00C76864"/>
    <w:rsid w:val="00C76867"/>
    <w:rsid w:val="00C76876"/>
    <w:rsid w:val="00C768BA"/>
    <w:rsid w:val="00C768CE"/>
    <w:rsid w:val="00C768DD"/>
    <w:rsid w:val="00C768E2"/>
    <w:rsid w:val="00C769BA"/>
    <w:rsid w:val="00C76AE7"/>
    <w:rsid w:val="00C76B0E"/>
    <w:rsid w:val="00C76B1B"/>
    <w:rsid w:val="00C76BD1"/>
    <w:rsid w:val="00C76BE2"/>
    <w:rsid w:val="00C76CE7"/>
    <w:rsid w:val="00C76D1C"/>
    <w:rsid w:val="00C76D3D"/>
    <w:rsid w:val="00C76D4B"/>
    <w:rsid w:val="00C76D56"/>
    <w:rsid w:val="00C76D7F"/>
    <w:rsid w:val="00C76D82"/>
    <w:rsid w:val="00C76DC8"/>
    <w:rsid w:val="00C76DDB"/>
    <w:rsid w:val="00C76E2B"/>
    <w:rsid w:val="00C76E3D"/>
    <w:rsid w:val="00C77024"/>
    <w:rsid w:val="00C770E8"/>
    <w:rsid w:val="00C770F5"/>
    <w:rsid w:val="00C77151"/>
    <w:rsid w:val="00C7721F"/>
    <w:rsid w:val="00C77250"/>
    <w:rsid w:val="00C7726C"/>
    <w:rsid w:val="00C77279"/>
    <w:rsid w:val="00C7728B"/>
    <w:rsid w:val="00C7728C"/>
    <w:rsid w:val="00C772D1"/>
    <w:rsid w:val="00C772D6"/>
    <w:rsid w:val="00C77344"/>
    <w:rsid w:val="00C77418"/>
    <w:rsid w:val="00C7743D"/>
    <w:rsid w:val="00C774F5"/>
    <w:rsid w:val="00C77519"/>
    <w:rsid w:val="00C7754B"/>
    <w:rsid w:val="00C7756C"/>
    <w:rsid w:val="00C775A9"/>
    <w:rsid w:val="00C77648"/>
    <w:rsid w:val="00C77677"/>
    <w:rsid w:val="00C776D0"/>
    <w:rsid w:val="00C7770F"/>
    <w:rsid w:val="00C77710"/>
    <w:rsid w:val="00C7776E"/>
    <w:rsid w:val="00C77786"/>
    <w:rsid w:val="00C77807"/>
    <w:rsid w:val="00C7789E"/>
    <w:rsid w:val="00C7790F"/>
    <w:rsid w:val="00C77945"/>
    <w:rsid w:val="00C779D5"/>
    <w:rsid w:val="00C77A08"/>
    <w:rsid w:val="00C77A55"/>
    <w:rsid w:val="00C77AB3"/>
    <w:rsid w:val="00C77B0A"/>
    <w:rsid w:val="00C77B84"/>
    <w:rsid w:val="00C77B87"/>
    <w:rsid w:val="00C77BD7"/>
    <w:rsid w:val="00C77C73"/>
    <w:rsid w:val="00C77CE5"/>
    <w:rsid w:val="00C77DC3"/>
    <w:rsid w:val="00C77E27"/>
    <w:rsid w:val="00C77E68"/>
    <w:rsid w:val="00C77F2E"/>
    <w:rsid w:val="00C77FB7"/>
    <w:rsid w:val="00C77FDA"/>
    <w:rsid w:val="00C800E4"/>
    <w:rsid w:val="00C800FE"/>
    <w:rsid w:val="00C80108"/>
    <w:rsid w:val="00C80133"/>
    <w:rsid w:val="00C802B8"/>
    <w:rsid w:val="00C80395"/>
    <w:rsid w:val="00C80398"/>
    <w:rsid w:val="00C803F2"/>
    <w:rsid w:val="00C80436"/>
    <w:rsid w:val="00C80460"/>
    <w:rsid w:val="00C804AA"/>
    <w:rsid w:val="00C80504"/>
    <w:rsid w:val="00C80530"/>
    <w:rsid w:val="00C805D6"/>
    <w:rsid w:val="00C80684"/>
    <w:rsid w:val="00C8068E"/>
    <w:rsid w:val="00C806FE"/>
    <w:rsid w:val="00C8073E"/>
    <w:rsid w:val="00C807AA"/>
    <w:rsid w:val="00C80820"/>
    <w:rsid w:val="00C8083D"/>
    <w:rsid w:val="00C8085E"/>
    <w:rsid w:val="00C80A1C"/>
    <w:rsid w:val="00C80A2B"/>
    <w:rsid w:val="00C80A46"/>
    <w:rsid w:val="00C80A61"/>
    <w:rsid w:val="00C80A7C"/>
    <w:rsid w:val="00C80AA9"/>
    <w:rsid w:val="00C80ACE"/>
    <w:rsid w:val="00C80B3B"/>
    <w:rsid w:val="00C80B96"/>
    <w:rsid w:val="00C80BC1"/>
    <w:rsid w:val="00C80BF8"/>
    <w:rsid w:val="00C80C27"/>
    <w:rsid w:val="00C80CBE"/>
    <w:rsid w:val="00C80CE5"/>
    <w:rsid w:val="00C80D1E"/>
    <w:rsid w:val="00C80D66"/>
    <w:rsid w:val="00C80F54"/>
    <w:rsid w:val="00C80F5A"/>
    <w:rsid w:val="00C80F5E"/>
    <w:rsid w:val="00C80F6D"/>
    <w:rsid w:val="00C80F8B"/>
    <w:rsid w:val="00C81054"/>
    <w:rsid w:val="00C81059"/>
    <w:rsid w:val="00C810AB"/>
    <w:rsid w:val="00C810C4"/>
    <w:rsid w:val="00C81164"/>
    <w:rsid w:val="00C81294"/>
    <w:rsid w:val="00C813D3"/>
    <w:rsid w:val="00C813EE"/>
    <w:rsid w:val="00C81431"/>
    <w:rsid w:val="00C8157C"/>
    <w:rsid w:val="00C81608"/>
    <w:rsid w:val="00C81692"/>
    <w:rsid w:val="00C816C0"/>
    <w:rsid w:val="00C816F6"/>
    <w:rsid w:val="00C817FD"/>
    <w:rsid w:val="00C8181D"/>
    <w:rsid w:val="00C8182C"/>
    <w:rsid w:val="00C818F2"/>
    <w:rsid w:val="00C818F5"/>
    <w:rsid w:val="00C8191D"/>
    <w:rsid w:val="00C81966"/>
    <w:rsid w:val="00C81AB1"/>
    <w:rsid w:val="00C81AF8"/>
    <w:rsid w:val="00C81CA9"/>
    <w:rsid w:val="00C81CF4"/>
    <w:rsid w:val="00C81DED"/>
    <w:rsid w:val="00C81DF4"/>
    <w:rsid w:val="00C81E1A"/>
    <w:rsid w:val="00C81E46"/>
    <w:rsid w:val="00C81E52"/>
    <w:rsid w:val="00C81EB4"/>
    <w:rsid w:val="00C81F68"/>
    <w:rsid w:val="00C81F8E"/>
    <w:rsid w:val="00C81FAE"/>
    <w:rsid w:val="00C81FDD"/>
    <w:rsid w:val="00C81FF2"/>
    <w:rsid w:val="00C820F7"/>
    <w:rsid w:val="00C82110"/>
    <w:rsid w:val="00C82169"/>
    <w:rsid w:val="00C82230"/>
    <w:rsid w:val="00C8224D"/>
    <w:rsid w:val="00C822DF"/>
    <w:rsid w:val="00C82319"/>
    <w:rsid w:val="00C8235E"/>
    <w:rsid w:val="00C82383"/>
    <w:rsid w:val="00C823A6"/>
    <w:rsid w:val="00C823C9"/>
    <w:rsid w:val="00C8244C"/>
    <w:rsid w:val="00C824B6"/>
    <w:rsid w:val="00C824CC"/>
    <w:rsid w:val="00C824EE"/>
    <w:rsid w:val="00C8255D"/>
    <w:rsid w:val="00C8258D"/>
    <w:rsid w:val="00C825FF"/>
    <w:rsid w:val="00C82611"/>
    <w:rsid w:val="00C8263B"/>
    <w:rsid w:val="00C82713"/>
    <w:rsid w:val="00C82715"/>
    <w:rsid w:val="00C8274D"/>
    <w:rsid w:val="00C82832"/>
    <w:rsid w:val="00C828D4"/>
    <w:rsid w:val="00C82920"/>
    <w:rsid w:val="00C829B0"/>
    <w:rsid w:val="00C829C4"/>
    <w:rsid w:val="00C82A5B"/>
    <w:rsid w:val="00C82AB3"/>
    <w:rsid w:val="00C82B34"/>
    <w:rsid w:val="00C82C16"/>
    <w:rsid w:val="00C82C26"/>
    <w:rsid w:val="00C82D0A"/>
    <w:rsid w:val="00C82DA5"/>
    <w:rsid w:val="00C82DB0"/>
    <w:rsid w:val="00C82E04"/>
    <w:rsid w:val="00C82E17"/>
    <w:rsid w:val="00C82E33"/>
    <w:rsid w:val="00C82E42"/>
    <w:rsid w:val="00C82F1F"/>
    <w:rsid w:val="00C82F6D"/>
    <w:rsid w:val="00C82FC2"/>
    <w:rsid w:val="00C82FD7"/>
    <w:rsid w:val="00C82FEC"/>
    <w:rsid w:val="00C82FF4"/>
    <w:rsid w:val="00C83017"/>
    <w:rsid w:val="00C8301D"/>
    <w:rsid w:val="00C8304B"/>
    <w:rsid w:val="00C83169"/>
    <w:rsid w:val="00C831C0"/>
    <w:rsid w:val="00C832AA"/>
    <w:rsid w:val="00C832ED"/>
    <w:rsid w:val="00C8337C"/>
    <w:rsid w:val="00C8339C"/>
    <w:rsid w:val="00C833AC"/>
    <w:rsid w:val="00C833DC"/>
    <w:rsid w:val="00C8344D"/>
    <w:rsid w:val="00C8346C"/>
    <w:rsid w:val="00C834E0"/>
    <w:rsid w:val="00C83546"/>
    <w:rsid w:val="00C8356D"/>
    <w:rsid w:val="00C835F8"/>
    <w:rsid w:val="00C8368F"/>
    <w:rsid w:val="00C836B9"/>
    <w:rsid w:val="00C836F3"/>
    <w:rsid w:val="00C837F4"/>
    <w:rsid w:val="00C8383E"/>
    <w:rsid w:val="00C83848"/>
    <w:rsid w:val="00C83868"/>
    <w:rsid w:val="00C83873"/>
    <w:rsid w:val="00C83935"/>
    <w:rsid w:val="00C83977"/>
    <w:rsid w:val="00C839ED"/>
    <w:rsid w:val="00C839FB"/>
    <w:rsid w:val="00C83A53"/>
    <w:rsid w:val="00C83AAE"/>
    <w:rsid w:val="00C83AEC"/>
    <w:rsid w:val="00C83B64"/>
    <w:rsid w:val="00C83BBD"/>
    <w:rsid w:val="00C83C59"/>
    <w:rsid w:val="00C83C76"/>
    <w:rsid w:val="00C83C89"/>
    <w:rsid w:val="00C83CE3"/>
    <w:rsid w:val="00C83CF1"/>
    <w:rsid w:val="00C83D78"/>
    <w:rsid w:val="00C83D82"/>
    <w:rsid w:val="00C83DC6"/>
    <w:rsid w:val="00C83E1D"/>
    <w:rsid w:val="00C83E2A"/>
    <w:rsid w:val="00C83E58"/>
    <w:rsid w:val="00C83EF3"/>
    <w:rsid w:val="00C83F97"/>
    <w:rsid w:val="00C83FA0"/>
    <w:rsid w:val="00C83FDB"/>
    <w:rsid w:val="00C84053"/>
    <w:rsid w:val="00C84055"/>
    <w:rsid w:val="00C84062"/>
    <w:rsid w:val="00C84089"/>
    <w:rsid w:val="00C84096"/>
    <w:rsid w:val="00C840C0"/>
    <w:rsid w:val="00C840EC"/>
    <w:rsid w:val="00C8416A"/>
    <w:rsid w:val="00C84284"/>
    <w:rsid w:val="00C8446E"/>
    <w:rsid w:val="00C84477"/>
    <w:rsid w:val="00C84544"/>
    <w:rsid w:val="00C8456F"/>
    <w:rsid w:val="00C84657"/>
    <w:rsid w:val="00C84686"/>
    <w:rsid w:val="00C846B4"/>
    <w:rsid w:val="00C846FD"/>
    <w:rsid w:val="00C84718"/>
    <w:rsid w:val="00C84734"/>
    <w:rsid w:val="00C847D2"/>
    <w:rsid w:val="00C847E2"/>
    <w:rsid w:val="00C84805"/>
    <w:rsid w:val="00C84868"/>
    <w:rsid w:val="00C8488D"/>
    <w:rsid w:val="00C8489A"/>
    <w:rsid w:val="00C848FA"/>
    <w:rsid w:val="00C8491C"/>
    <w:rsid w:val="00C84926"/>
    <w:rsid w:val="00C84996"/>
    <w:rsid w:val="00C849E1"/>
    <w:rsid w:val="00C84AF0"/>
    <w:rsid w:val="00C84B46"/>
    <w:rsid w:val="00C84C16"/>
    <w:rsid w:val="00C84D19"/>
    <w:rsid w:val="00C84DC5"/>
    <w:rsid w:val="00C84E79"/>
    <w:rsid w:val="00C84E8C"/>
    <w:rsid w:val="00C84F56"/>
    <w:rsid w:val="00C8501A"/>
    <w:rsid w:val="00C85096"/>
    <w:rsid w:val="00C850F4"/>
    <w:rsid w:val="00C851EE"/>
    <w:rsid w:val="00C85244"/>
    <w:rsid w:val="00C852C5"/>
    <w:rsid w:val="00C852D0"/>
    <w:rsid w:val="00C85313"/>
    <w:rsid w:val="00C85368"/>
    <w:rsid w:val="00C85432"/>
    <w:rsid w:val="00C8546D"/>
    <w:rsid w:val="00C854CE"/>
    <w:rsid w:val="00C855B5"/>
    <w:rsid w:val="00C855C2"/>
    <w:rsid w:val="00C85632"/>
    <w:rsid w:val="00C856BF"/>
    <w:rsid w:val="00C8570C"/>
    <w:rsid w:val="00C8571B"/>
    <w:rsid w:val="00C85723"/>
    <w:rsid w:val="00C857EB"/>
    <w:rsid w:val="00C85850"/>
    <w:rsid w:val="00C85866"/>
    <w:rsid w:val="00C85870"/>
    <w:rsid w:val="00C8589F"/>
    <w:rsid w:val="00C858FD"/>
    <w:rsid w:val="00C8598F"/>
    <w:rsid w:val="00C859EF"/>
    <w:rsid w:val="00C85A84"/>
    <w:rsid w:val="00C85AE4"/>
    <w:rsid w:val="00C85AED"/>
    <w:rsid w:val="00C85B8D"/>
    <w:rsid w:val="00C85BD6"/>
    <w:rsid w:val="00C85BFE"/>
    <w:rsid w:val="00C85C32"/>
    <w:rsid w:val="00C85C4C"/>
    <w:rsid w:val="00C85CEB"/>
    <w:rsid w:val="00C85D1D"/>
    <w:rsid w:val="00C85D25"/>
    <w:rsid w:val="00C85DC4"/>
    <w:rsid w:val="00C85E2C"/>
    <w:rsid w:val="00C85E3D"/>
    <w:rsid w:val="00C85EAB"/>
    <w:rsid w:val="00C85EEE"/>
    <w:rsid w:val="00C85FF7"/>
    <w:rsid w:val="00C8600A"/>
    <w:rsid w:val="00C86048"/>
    <w:rsid w:val="00C86051"/>
    <w:rsid w:val="00C8607F"/>
    <w:rsid w:val="00C860D0"/>
    <w:rsid w:val="00C8610E"/>
    <w:rsid w:val="00C86224"/>
    <w:rsid w:val="00C862CD"/>
    <w:rsid w:val="00C86323"/>
    <w:rsid w:val="00C86331"/>
    <w:rsid w:val="00C8635E"/>
    <w:rsid w:val="00C86427"/>
    <w:rsid w:val="00C8648A"/>
    <w:rsid w:val="00C86607"/>
    <w:rsid w:val="00C8665E"/>
    <w:rsid w:val="00C86707"/>
    <w:rsid w:val="00C8671B"/>
    <w:rsid w:val="00C86883"/>
    <w:rsid w:val="00C868C9"/>
    <w:rsid w:val="00C868F6"/>
    <w:rsid w:val="00C86946"/>
    <w:rsid w:val="00C86967"/>
    <w:rsid w:val="00C869F5"/>
    <w:rsid w:val="00C86A11"/>
    <w:rsid w:val="00C86ADB"/>
    <w:rsid w:val="00C86B3F"/>
    <w:rsid w:val="00C86B9A"/>
    <w:rsid w:val="00C86BBD"/>
    <w:rsid w:val="00C86BC1"/>
    <w:rsid w:val="00C86BCA"/>
    <w:rsid w:val="00C86BE5"/>
    <w:rsid w:val="00C86BEC"/>
    <w:rsid w:val="00C86C27"/>
    <w:rsid w:val="00C86C28"/>
    <w:rsid w:val="00C86C78"/>
    <w:rsid w:val="00C86CAD"/>
    <w:rsid w:val="00C86D76"/>
    <w:rsid w:val="00C86DA1"/>
    <w:rsid w:val="00C86DE2"/>
    <w:rsid w:val="00C86E10"/>
    <w:rsid w:val="00C86E2E"/>
    <w:rsid w:val="00C86E42"/>
    <w:rsid w:val="00C86EA5"/>
    <w:rsid w:val="00C86F1D"/>
    <w:rsid w:val="00C86F28"/>
    <w:rsid w:val="00C86FAB"/>
    <w:rsid w:val="00C87016"/>
    <w:rsid w:val="00C87029"/>
    <w:rsid w:val="00C87045"/>
    <w:rsid w:val="00C8707A"/>
    <w:rsid w:val="00C87096"/>
    <w:rsid w:val="00C8718F"/>
    <w:rsid w:val="00C874AC"/>
    <w:rsid w:val="00C874F2"/>
    <w:rsid w:val="00C8750E"/>
    <w:rsid w:val="00C87522"/>
    <w:rsid w:val="00C8757E"/>
    <w:rsid w:val="00C8760E"/>
    <w:rsid w:val="00C87634"/>
    <w:rsid w:val="00C876BF"/>
    <w:rsid w:val="00C876FC"/>
    <w:rsid w:val="00C877EA"/>
    <w:rsid w:val="00C87803"/>
    <w:rsid w:val="00C8780D"/>
    <w:rsid w:val="00C87894"/>
    <w:rsid w:val="00C878C0"/>
    <w:rsid w:val="00C87933"/>
    <w:rsid w:val="00C879EB"/>
    <w:rsid w:val="00C879EF"/>
    <w:rsid w:val="00C87B31"/>
    <w:rsid w:val="00C87B3A"/>
    <w:rsid w:val="00C87C28"/>
    <w:rsid w:val="00C87C2F"/>
    <w:rsid w:val="00C87C69"/>
    <w:rsid w:val="00C87CBD"/>
    <w:rsid w:val="00C87D1D"/>
    <w:rsid w:val="00C87D49"/>
    <w:rsid w:val="00C87D53"/>
    <w:rsid w:val="00C87D6D"/>
    <w:rsid w:val="00C87DAB"/>
    <w:rsid w:val="00C87EEC"/>
    <w:rsid w:val="00C87F57"/>
    <w:rsid w:val="00C87FDE"/>
    <w:rsid w:val="00C90000"/>
    <w:rsid w:val="00C90073"/>
    <w:rsid w:val="00C900F0"/>
    <w:rsid w:val="00C90265"/>
    <w:rsid w:val="00C9027A"/>
    <w:rsid w:val="00C9028F"/>
    <w:rsid w:val="00C902EF"/>
    <w:rsid w:val="00C9033A"/>
    <w:rsid w:val="00C903A5"/>
    <w:rsid w:val="00C9041E"/>
    <w:rsid w:val="00C90449"/>
    <w:rsid w:val="00C9044D"/>
    <w:rsid w:val="00C90483"/>
    <w:rsid w:val="00C904B6"/>
    <w:rsid w:val="00C90512"/>
    <w:rsid w:val="00C90524"/>
    <w:rsid w:val="00C90535"/>
    <w:rsid w:val="00C90582"/>
    <w:rsid w:val="00C905BC"/>
    <w:rsid w:val="00C905F2"/>
    <w:rsid w:val="00C90679"/>
    <w:rsid w:val="00C9068C"/>
    <w:rsid w:val="00C906C2"/>
    <w:rsid w:val="00C906F5"/>
    <w:rsid w:val="00C9072B"/>
    <w:rsid w:val="00C9074C"/>
    <w:rsid w:val="00C907A0"/>
    <w:rsid w:val="00C907B6"/>
    <w:rsid w:val="00C907C0"/>
    <w:rsid w:val="00C9080D"/>
    <w:rsid w:val="00C9086F"/>
    <w:rsid w:val="00C908AB"/>
    <w:rsid w:val="00C90A31"/>
    <w:rsid w:val="00C90A37"/>
    <w:rsid w:val="00C90A87"/>
    <w:rsid w:val="00C90B2D"/>
    <w:rsid w:val="00C90B3F"/>
    <w:rsid w:val="00C90B6F"/>
    <w:rsid w:val="00C90B9F"/>
    <w:rsid w:val="00C90C03"/>
    <w:rsid w:val="00C90E5E"/>
    <w:rsid w:val="00C90ED1"/>
    <w:rsid w:val="00C90ED9"/>
    <w:rsid w:val="00C90F1D"/>
    <w:rsid w:val="00C90F4A"/>
    <w:rsid w:val="00C90F81"/>
    <w:rsid w:val="00C90FA8"/>
    <w:rsid w:val="00C910E7"/>
    <w:rsid w:val="00C91176"/>
    <w:rsid w:val="00C911B2"/>
    <w:rsid w:val="00C9127D"/>
    <w:rsid w:val="00C912A5"/>
    <w:rsid w:val="00C9133A"/>
    <w:rsid w:val="00C91359"/>
    <w:rsid w:val="00C91376"/>
    <w:rsid w:val="00C91474"/>
    <w:rsid w:val="00C915D2"/>
    <w:rsid w:val="00C91660"/>
    <w:rsid w:val="00C916AF"/>
    <w:rsid w:val="00C9196E"/>
    <w:rsid w:val="00C9199F"/>
    <w:rsid w:val="00C91AA2"/>
    <w:rsid w:val="00C91B20"/>
    <w:rsid w:val="00C91B4D"/>
    <w:rsid w:val="00C91B6C"/>
    <w:rsid w:val="00C91BA2"/>
    <w:rsid w:val="00C91BA8"/>
    <w:rsid w:val="00C91CBA"/>
    <w:rsid w:val="00C91CE4"/>
    <w:rsid w:val="00C91D5B"/>
    <w:rsid w:val="00C91D72"/>
    <w:rsid w:val="00C91E54"/>
    <w:rsid w:val="00C91E78"/>
    <w:rsid w:val="00C91F12"/>
    <w:rsid w:val="00C91F1C"/>
    <w:rsid w:val="00C92003"/>
    <w:rsid w:val="00C92019"/>
    <w:rsid w:val="00C92051"/>
    <w:rsid w:val="00C92053"/>
    <w:rsid w:val="00C92107"/>
    <w:rsid w:val="00C9215B"/>
    <w:rsid w:val="00C921A0"/>
    <w:rsid w:val="00C921CF"/>
    <w:rsid w:val="00C921EB"/>
    <w:rsid w:val="00C92201"/>
    <w:rsid w:val="00C9220D"/>
    <w:rsid w:val="00C9224E"/>
    <w:rsid w:val="00C922D5"/>
    <w:rsid w:val="00C92318"/>
    <w:rsid w:val="00C92388"/>
    <w:rsid w:val="00C9251F"/>
    <w:rsid w:val="00C92563"/>
    <w:rsid w:val="00C92573"/>
    <w:rsid w:val="00C92639"/>
    <w:rsid w:val="00C92651"/>
    <w:rsid w:val="00C92671"/>
    <w:rsid w:val="00C9268F"/>
    <w:rsid w:val="00C92698"/>
    <w:rsid w:val="00C926FA"/>
    <w:rsid w:val="00C92722"/>
    <w:rsid w:val="00C92730"/>
    <w:rsid w:val="00C9276C"/>
    <w:rsid w:val="00C927A5"/>
    <w:rsid w:val="00C927C9"/>
    <w:rsid w:val="00C92801"/>
    <w:rsid w:val="00C9281A"/>
    <w:rsid w:val="00C9282B"/>
    <w:rsid w:val="00C92886"/>
    <w:rsid w:val="00C9290D"/>
    <w:rsid w:val="00C92913"/>
    <w:rsid w:val="00C929AF"/>
    <w:rsid w:val="00C92A05"/>
    <w:rsid w:val="00C92A92"/>
    <w:rsid w:val="00C92AA6"/>
    <w:rsid w:val="00C92AE1"/>
    <w:rsid w:val="00C92BD0"/>
    <w:rsid w:val="00C92CEF"/>
    <w:rsid w:val="00C92E03"/>
    <w:rsid w:val="00C92E17"/>
    <w:rsid w:val="00C92E6B"/>
    <w:rsid w:val="00C92F01"/>
    <w:rsid w:val="00C92F4A"/>
    <w:rsid w:val="00C92F4E"/>
    <w:rsid w:val="00C92F60"/>
    <w:rsid w:val="00C92FDE"/>
    <w:rsid w:val="00C93008"/>
    <w:rsid w:val="00C9303F"/>
    <w:rsid w:val="00C93062"/>
    <w:rsid w:val="00C93289"/>
    <w:rsid w:val="00C932C9"/>
    <w:rsid w:val="00C932F3"/>
    <w:rsid w:val="00C9334B"/>
    <w:rsid w:val="00C93351"/>
    <w:rsid w:val="00C933E4"/>
    <w:rsid w:val="00C9348D"/>
    <w:rsid w:val="00C93566"/>
    <w:rsid w:val="00C93579"/>
    <w:rsid w:val="00C935FE"/>
    <w:rsid w:val="00C93692"/>
    <w:rsid w:val="00C9369D"/>
    <w:rsid w:val="00C936BC"/>
    <w:rsid w:val="00C936DE"/>
    <w:rsid w:val="00C936F6"/>
    <w:rsid w:val="00C9371E"/>
    <w:rsid w:val="00C937EB"/>
    <w:rsid w:val="00C93879"/>
    <w:rsid w:val="00C938AB"/>
    <w:rsid w:val="00C93A84"/>
    <w:rsid w:val="00C93B5C"/>
    <w:rsid w:val="00C93B6E"/>
    <w:rsid w:val="00C93BC1"/>
    <w:rsid w:val="00C93C70"/>
    <w:rsid w:val="00C93C74"/>
    <w:rsid w:val="00C93C85"/>
    <w:rsid w:val="00C93C89"/>
    <w:rsid w:val="00C93D50"/>
    <w:rsid w:val="00C93DC5"/>
    <w:rsid w:val="00C93E05"/>
    <w:rsid w:val="00C93E74"/>
    <w:rsid w:val="00C93F87"/>
    <w:rsid w:val="00C94000"/>
    <w:rsid w:val="00C940B1"/>
    <w:rsid w:val="00C941ED"/>
    <w:rsid w:val="00C9427A"/>
    <w:rsid w:val="00C94300"/>
    <w:rsid w:val="00C9431D"/>
    <w:rsid w:val="00C94433"/>
    <w:rsid w:val="00C944F4"/>
    <w:rsid w:val="00C94533"/>
    <w:rsid w:val="00C945C0"/>
    <w:rsid w:val="00C9463F"/>
    <w:rsid w:val="00C946C1"/>
    <w:rsid w:val="00C94739"/>
    <w:rsid w:val="00C9478E"/>
    <w:rsid w:val="00C947ED"/>
    <w:rsid w:val="00C947F4"/>
    <w:rsid w:val="00C948DF"/>
    <w:rsid w:val="00C948E4"/>
    <w:rsid w:val="00C94945"/>
    <w:rsid w:val="00C94981"/>
    <w:rsid w:val="00C9498D"/>
    <w:rsid w:val="00C949D5"/>
    <w:rsid w:val="00C949DB"/>
    <w:rsid w:val="00C949F2"/>
    <w:rsid w:val="00C949FB"/>
    <w:rsid w:val="00C94A0C"/>
    <w:rsid w:val="00C94A53"/>
    <w:rsid w:val="00C94AB0"/>
    <w:rsid w:val="00C94AF5"/>
    <w:rsid w:val="00C94B2C"/>
    <w:rsid w:val="00C94B5A"/>
    <w:rsid w:val="00C94B89"/>
    <w:rsid w:val="00C94BB8"/>
    <w:rsid w:val="00C94BEA"/>
    <w:rsid w:val="00C94CC5"/>
    <w:rsid w:val="00C94CF3"/>
    <w:rsid w:val="00C94D23"/>
    <w:rsid w:val="00C94D2C"/>
    <w:rsid w:val="00C94D41"/>
    <w:rsid w:val="00C94DC0"/>
    <w:rsid w:val="00C94E52"/>
    <w:rsid w:val="00C94ED0"/>
    <w:rsid w:val="00C94EDA"/>
    <w:rsid w:val="00C94EF7"/>
    <w:rsid w:val="00C94F2C"/>
    <w:rsid w:val="00C94F45"/>
    <w:rsid w:val="00C94F62"/>
    <w:rsid w:val="00C94F8B"/>
    <w:rsid w:val="00C94FD2"/>
    <w:rsid w:val="00C94FD7"/>
    <w:rsid w:val="00C9508B"/>
    <w:rsid w:val="00C950A2"/>
    <w:rsid w:val="00C950DF"/>
    <w:rsid w:val="00C95151"/>
    <w:rsid w:val="00C951DB"/>
    <w:rsid w:val="00C951E1"/>
    <w:rsid w:val="00C951F3"/>
    <w:rsid w:val="00C95274"/>
    <w:rsid w:val="00C95284"/>
    <w:rsid w:val="00C95312"/>
    <w:rsid w:val="00C95330"/>
    <w:rsid w:val="00C9535B"/>
    <w:rsid w:val="00C95368"/>
    <w:rsid w:val="00C95386"/>
    <w:rsid w:val="00C95444"/>
    <w:rsid w:val="00C954A2"/>
    <w:rsid w:val="00C95505"/>
    <w:rsid w:val="00C95513"/>
    <w:rsid w:val="00C9552C"/>
    <w:rsid w:val="00C9559C"/>
    <w:rsid w:val="00C955B2"/>
    <w:rsid w:val="00C956C5"/>
    <w:rsid w:val="00C956DA"/>
    <w:rsid w:val="00C956DB"/>
    <w:rsid w:val="00C9572F"/>
    <w:rsid w:val="00C95796"/>
    <w:rsid w:val="00C9582B"/>
    <w:rsid w:val="00C95A27"/>
    <w:rsid w:val="00C95AEA"/>
    <w:rsid w:val="00C95AFD"/>
    <w:rsid w:val="00C95BE7"/>
    <w:rsid w:val="00C95C08"/>
    <w:rsid w:val="00C95C20"/>
    <w:rsid w:val="00C95C47"/>
    <w:rsid w:val="00C95D89"/>
    <w:rsid w:val="00C95E27"/>
    <w:rsid w:val="00C95E2C"/>
    <w:rsid w:val="00C95E85"/>
    <w:rsid w:val="00C95EB5"/>
    <w:rsid w:val="00C95EBD"/>
    <w:rsid w:val="00C95ED6"/>
    <w:rsid w:val="00C95EEB"/>
    <w:rsid w:val="00C95EFD"/>
    <w:rsid w:val="00C95F48"/>
    <w:rsid w:val="00C95F62"/>
    <w:rsid w:val="00C95FCD"/>
    <w:rsid w:val="00C96196"/>
    <w:rsid w:val="00C96205"/>
    <w:rsid w:val="00C96296"/>
    <w:rsid w:val="00C962EA"/>
    <w:rsid w:val="00C96329"/>
    <w:rsid w:val="00C9633B"/>
    <w:rsid w:val="00C96360"/>
    <w:rsid w:val="00C963A1"/>
    <w:rsid w:val="00C963BC"/>
    <w:rsid w:val="00C963CF"/>
    <w:rsid w:val="00C9641C"/>
    <w:rsid w:val="00C9648B"/>
    <w:rsid w:val="00C9649F"/>
    <w:rsid w:val="00C964A4"/>
    <w:rsid w:val="00C964D8"/>
    <w:rsid w:val="00C965F4"/>
    <w:rsid w:val="00C966DB"/>
    <w:rsid w:val="00C966E7"/>
    <w:rsid w:val="00C96772"/>
    <w:rsid w:val="00C9679B"/>
    <w:rsid w:val="00C9679F"/>
    <w:rsid w:val="00C967B1"/>
    <w:rsid w:val="00C967D5"/>
    <w:rsid w:val="00C96847"/>
    <w:rsid w:val="00C96879"/>
    <w:rsid w:val="00C968D7"/>
    <w:rsid w:val="00C968ED"/>
    <w:rsid w:val="00C9696D"/>
    <w:rsid w:val="00C9697C"/>
    <w:rsid w:val="00C96999"/>
    <w:rsid w:val="00C969E2"/>
    <w:rsid w:val="00C96A37"/>
    <w:rsid w:val="00C96A95"/>
    <w:rsid w:val="00C96B5F"/>
    <w:rsid w:val="00C96BC8"/>
    <w:rsid w:val="00C96BCB"/>
    <w:rsid w:val="00C96C89"/>
    <w:rsid w:val="00C96C8F"/>
    <w:rsid w:val="00C96D4C"/>
    <w:rsid w:val="00C96D64"/>
    <w:rsid w:val="00C96DA7"/>
    <w:rsid w:val="00C96DF4"/>
    <w:rsid w:val="00C96E44"/>
    <w:rsid w:val="00C96E45"/>
    <w:rsid w:val="00C96F1D"/>
    <w:rsid w:val="00C96FF4"/>
    <w:rsid w:val="00C97036"/>
    <w:rsid w:val="00C970E1"/>
    <w:rsid w:val="00C971AF"/>
    <w:rsid w:val="00C971D7"/>
    <w:rsid w:val="00C97225"/>
    <w:rsid w:val="00C97277"/>
    <w:rsid w:val="00C9728D"/>
    <w:rsid w:val="00C9741A"/>
    <w:rsid w:val="00C97463"/>
    <w:rsid w:val="00C9746B"/>
    <w:rsid w:val="00C974F7"/>
    <w:rsid w:val="00C975C9"/>
    <w:rsid w:val="00C97605"/>
    <w:rsid w:val="00C97653"/>
    <w:rsid w:val="00C97664"/>
    <w:rsid w:val="00C976B6"/>
    <w:rsid w:val="00C97720"/>
    <w:rsid w:val="00C97787"/>
    <w:rsid w:val="00C977A8"/>
    <w:rsid w:val="00C977BE"/>
    <w:rsid w:val="00C97952"/>
    <w:rsid w:val="00C97A37"/>
    <w:rsid w:val="00C97A84"/>
    <w:rsid w:val="00C97B44"/>
    <w:rsid w:val="00C97C7A"/>
    <w:rsid w:val="00C97C87"/>
    <w:rsid w:val="00C97CBF"/>
    <w:rsid w:val="00C97DA9"/>
    <w:rsid w:val="00C97DE6"/>
    <w:rsid w:val="00C97F1E"/>
    <w:rsid w:val="00C97F38"/>
    <w:rsid w:val="00C97F82"/>
    <w:rsid w:val="00CA00F4"/>
    <w:rsid w:val="00CA016C"/>
    <w:rsid w:val="00CA017B"/>
    <w:rsid w:val="00CA0288"/>
    <w:rsid w:val="00CA02AC"/>
    <w:rsid w:val="00CA03BB"/>
    <w:rsid w:val="00CA03CB"/>
    <w:rsid w:val="00CA03FE"/>
    <w:rsid w:val="00CA040E"/>
    <w:rsid w:val="00CA043F"/>
    <w:rsid w:val="00CA055E"/>
    <w:rsid w:val="00CA0566"/>
    <w:rsid w:val="00CA059E"/>
    <w:rsid w:val="00CA063D"/>
    <w:rsid w:val="00CA06BD"/>
    <w:rsid w:val="00CA06EF"/>
    <w:rsid w:val="00CA06F9"/>
    <w:rsid w:val="00CA0759"/>
    <w:rsid w:val="00CA07F8"/>
    <w:rsid w:val="00CA0898"/>
    <w:rsid w:val="00CA08D1"/>
    <w:rsid w:val="00CA08D2"/>
    <w:rsid w:val="00CA091C"/>
    <w:rsid w:val="00CA099F"/>
    <w:rsid w:val="00CA0A0C"/>
    <w:rsid w:val="00CA0A95"/>
    <w:rsid w:val="00CA0A9C"/>
    <w:rsid w:val="00CA0B3F"/>
    <w:rsid w:val="00CA0CB5"/>
    <w:rsid w:val="00CA0CEA"/>
    <w:rsid w:val="00CA0CEB"/>
    <w:rsid w:val="00CA0E5F"/>
    <w:rsid w:val="00CA0E78"/>
    <w:rsid w:val="00CA0ED2"/>
    <w:rsid w:val="00CA0EF6"/>
    <w:rsid w:val="00CA0F9C"/>
    <w:rsid w:val="00CA106D"/>
    <w:rsid w:val="00CA10B1"/>
    <w:rsid w:val="00CA10E4"/>
    <w:rsid w:val="00CA10E7"/>
    <w:rsid w:val="00CA1153"/>
    <w:rsid w:val="00CA11FE"/>
    <w:rsid w:val="00CA1256"/>
    <w:rsid w:val="00CA12A9"/>
    <w:rsid w:val="00CA1329"/>
    <w:rsid w:val="00CA13AD"/>
    <w:rsid w:val="00CA13F5"/>
    <w:rsid w:val="00CA151B"/>
    <w:rsid w:val="00CA1560"/>
    <w:rsid w:val="00CA15C0"/>
    <w:rsid w:val="00CA15EA"/>
    <w:rsid w:val="00CA160A"/>
    <w:rsid w:val="00CA1624"/>
    <w:rsid w:val="00CA1678"/>
    <w:rsid w:val="00CA16E3"/>
    <w:rsid w:val="00CA1709"/>
    <w:rsid w:val="00CA1783"/>
    <w:rsid w:val="00CA1840"/>
    <w:rsid w:val="00CA1859"/>
    <w:rsid w:val="00CA1902"/>
    <w:rsid w:val="00CA19B4"/>
    <w:rsid w:val="00CA19E0"/>
    <w:rsid w:val="00CA1AC6"/>
    <w:rsid w:val="00CA1ACF"/>
    <w:rsid w:val="00CA1B9D"/>
    <w:rsid w:val="00CA1BCE"/>
    <w:rsid w:val="00CA1D15"/>
    <w:rsid w:val="00CA1D96"/>
    <w:rsid w:val="00CA1DF5"/>
    <w:rsid w:val="00CA1E08"/>
    <w:rsid w:val="00CA1F5B"/>
    <w:rsid w:val="00CA2061"/>
    <w:rsid w:val="00CA209C"/>
    <w:rsid w:val="00CA2159"/>
    <w:rsid w:val="00CA21E5"/>
    <w:rsid w:val="00CA21FB"/>
    <w:rsid w:val="00CA22BA"/>
    <w:rsid w:val="00CA231E"/>
    <w:rsid w:val="00CA24A2"/>
    <w:rsid w:val="00CA24DE"/>
    <w:rsid w:val="00CA253A"/>
    <w:rsid w:val="00CA2540"/>
    <w:rsid w:val="00CA25A6"/>
    <w:rsid w:val="00CA25B2"/>
    <w:rsid w:val="00CA25EA"/>
    <w:rsid w:val="00CA26A7"/>
    <w:rsid w:val="00CA2708"/>
    <w:rsid w:val="00CA2741"/>
    <w:rsid w:val="00CA274E"/>
    <w:rsid w:val="00CA27E8"/>
    <w:rsid w:val="00CA280B"/>
    <w:rsid w:val="00CA2828"/>
    <w:rsid w:val="00CA2887"/>
    <w:rsid w:val="00CA29EF"/>
    <w:rsid w:val="00CA2A00"/>
    <w:rsid w:val="00CA2A31"/>
    <w:rsid w:val="00CA2A9C"/>
    <w:rsid w:val="00CA2AF7"/>
    <w:rsid w:val="00CA2B4B"/>
    <w:rsid w:val="00CA2BA4"/>
    <w:rsid w:val="00CA2BB3"/>
    <w:rsid w:val="00CA2C97"/>
    <w:rsid w:val="00CA2CE6"/>
    <w:rsid w:val="00CA2CFC"/>
    <w:rsid w:val="00CA2D14"/>
    <w:rsid w:val="00CA2D79"/>
    <w:rsid w:val="00CA2F09"/>
    <w:rsid w:val="00CA2FCF"/>
    <w:rsid w:val="00CA3047"/>
    <w:rsid w:val="00CA308D"/>
    <w:rsid w:val="00CA30FC"/>
    <w:rsid w:val="00CA3101"/>
    <w:rsid w:val="00CA3114"/>
    <w:rsid w:val="00CA311F"/>
    <w:rsid w:val="00CA31C4"/>
    <w:rsid w:val="00CA31D6"/>
    <w:rsid w:val="00CA3233"/>
    <w:rsid w:val="00CA3235"/>
    <w:rsid w:val="00CA3363"/>
    <w:rsid w:val="00CA337F"/>
    <w:rsid w:val="00CA3413"/>
    <w:rsid w:val="00CA3419"/>
    <w:rsid w:val="00CA343B"/>
    <w:rsid w:val="00CA353A"/>
    <w:rsid w:val="00CA3756"/>
    <w:rsid w:val="00CA3772"/>
    <w:rsid w:val="00CA38F1"/>
    <w:rsid w:val="00CA39AB"/>
    <w:rsid w:val="00CA39CE"/>
    <w:rsid w:val="00CA3A0C"/>
    <w:rsid w:val="00CA3AFC"/>
    <w:rsid w:val="00CA3B01"/>
    <w:rsid w:val="00CA3B07"/>
    <w:rsid w:val="00CA3B6A"/>
    <w:rsid w:val="00CA3C49"/>
    <w:rsid w:val="00CA3C72"/>
    <w:rsid w:val="00CA3C79"/>
    <w:rsid w:val="00CA3CDF"/>
    <w:rsid w:val="00CA3CF1"/>
    <w:rsid w:val="00CA3D61"/>
    <w:rsid w:val="00CA3D62"/>
    <w:rsid w:val="00CA3ED9"/>
    <w:rsid w:val="00CA3EF4"/>
    <w:rsid w:val="00CA3F0F"/>
    <w:rsid w:val="00CA3F5F"/>
    <w:rsid w:val="00CA3F86"/>
    <w:rsid w:val="00CA4007"/>
    <w:rsid w:val="00CA4215"/>
    <w:rsid w:val="00CA4229"/>
    <w:rsid w:val="00CA4246"/>
    <w:rsid w:val="00CA42C4"/>
    <w:rsid w:val="00CA42DF"/>
    <w:rsid w:val="00CA4305"/>
    <w:rsid w:val="00CA4354"/>
    <w:rsid w:val="00CA4358"/>
    <w:rsid w:val="00CA438E"/>
    <w:rsid w:val="00CA43B8"/>
    <w:rsid w:val="00CA43F5"/>
    <w:rsid w:val="00CA442A"/>
    <w:rsid w:val="00CA44CE"/>
    <w:rsid w:val="00CA453B"/>
    <w:rsid w:val="00CA454F"/>
    <w:rsid w:val="00CA4577"/>
    <w:rsid w:val="00CA461E"/>
    <w:rsid w:val="00CA462C"/>
    <w:rsid w:val="00CA4681"/>
    <w:rsid w:val="00CA4697"/>
    <w:rsid w:val="00CA46ED"/>
    <w:rsid w:val="00CA46F7"/>
    <w:rsid w:val="00CA4705"/>
    <w:rsid w:val="00CA470A"/>
    <w:rsid w:val="00CA471A"/>
    <w:rsid w:val="00CA4791"/>
    <w:rsid w:val="00CA47CE"/>
    <w:rsid w:val="00CA47FA"/>
    <w:rsid w:val="00CA4856"/>
    <w:rsid w:val="00CA488E"/>
    <w:rsid w:val="00CA48D9"/>
    <w:rsid w:val="00CA491E"/>
    <w:rsid w:val="00CA494D"/>
    <w:rsid w:val="00CA4A1D"/>
    <w:rsid w:val="00CA4A7E"/>
    <w:rsid w:val="00CA4AF3"/>
    <w:rsid w:val="00CA4B09"/>
    <w:rsid w:val="00CA4B2B"/>
    <w:rsid w:val="00CA4B3A"/>
    <w:rsid w:val="00CA4B6D"/>
    <w:rsid w:val="00CA4BC7"/>
    <w:rsid w:val="00CA4BD8"/>
    <w:rsid w:val="00CA4BEC"/>
    <w:rsid w:val="00CA4C0C"/>
    <w:rsid w:val="00CA4D06"/>
    <w:rsid w:val="00CA4D22"/>
    <w:rsid w:val="00CA4DAA"/>
    <w:rsid w:val="00CA4DCF"/>
    <w:rsid w:val="00CA4E1F"/>
    <w:rsid w:val="00CA4E3D"/>
    <w:rsid w:val="00CA4E6C"/>
    <w:rsid w:val="00CA4F05"/>
    <w:rsid w:val="00CA5023"/>
    <w:rsid w:val="00CA525D"/>
    <w:rsid w:val="00CA5261"/>
    <w:rsid w:val="00CA52B2"/>
    <w:rsid w:val="00CA52C5"/>
    <w:rsid w:val="00CA52E6"/>
    <w:rsid w:val="00CA5321"/>
    <w:rsid w:val="00CA53C2"/>
    <w:rsid w:val="00CA53E3"/>
    <w:rsid w:val="00CA5485"/>
    <w:rsid w:val="00CA5598"/>
    <w:rsid w:val="00CA55B2"/>
    <w:rsid w:val="00CA5672"/>
    <w:rsid w:val="00CA5678"/>
    <w:rsid w:val="00CA5729"/>
    <w:rsid w:val="00CA573A"/>
    <w:rsid w:val="00CA5792"/>
    <w:rsid w:val="00CA5808"/>
    <w:rsid w:val="00CA5903"/>
    <w:rsid w:val="00CA5927"/>
    <w:rsid w:val="00CA59E7"/>
    <w:rsid w:val="00CA59F6"/>
    <w:rsid w:val="00CA5A05"/>
    <w:rsid w:val="00CA5AA0"/>
    <w:rsid w:val="00CA5B8F"/>
    <w:rsid w:val="00CA5BCA"/>
    <w:rsid w:val="00CA5C31"/>
    <w:rsid w:val="00CA5C65"/>
    <w:rsid w:val="00CA5C74"/>
    <w:rsid w:val="00CA5D51"/>
    <w:rsid w:val="00CA5D83"/>
    <w:rsid w:val="00CA5E11"/>
    <w:rsid w:val="00CA5E8E"/>
    <w:rsid w:val="00CA5EF0"/>
    <w:rsid w:val="00CA5F3E"/>
    <w:rsid w:val="00CA5F5F"/>
    <w:rsid w:val="00CA5FB0"/>
    <w:rsid w:val="00CA6172"/>
    <w:rsid w:val="00CA6256"/>
    <w:rsid w:val="00CA62FB"/>
    <w:rsid w:val="00CA6348"/>
    <w:rsid w:val="00CA6355"/>
    <w:rsid w:val="00CA635E"/>
    <w:rsid w:val="00CA63DD"/>
    <w:rsid w:val="00CA640C"/>
    <w:rsid w:val="00CA6417"/>
    <w:rsid w:val="00CA6570"/>
    <w:rsid w:val="00CA6654"/>
    <w:rsid w:val="00CA66EE"/>
    <w:rsid w:val="00CA675C"/>
    <w:rsid w:val="00CA676E"/>
    <w:rsid w:val="00CA6929"/>
    <w:rsid w:val="00CA69C8"/>
    <w:rsid w:val="00CA69DD"/>
    <w:rsid w:val="00CA6ABB"/>
    <w:rsid w:val="00CA6AC3"/>
    <w:rsid w:val="00CA6B1D"/>
    <w:rsid w:val="00CA6B8F"/>
    <w:rsid w:val="00CA6BA5"/>
    <w:rsid w:val="00CA6BF0"/>
    <w:rsid w:val="00CA6C5C"/>
    <w:rsid w:val="00CA6C8E"/>
    <w:rsid w:val="00CA6CFA"/>
    <w:rsid w:val="00CA6D62"/>
    <w:rsid w:val="00CA6E7A"/>
    <w:rsid w:val="00CA6FB6"/>
    <w:rsid w:val="00CA6FE2"/>
    <w:rsid w:val="00CA6FEA"/>
    <w:rsid w:val="00CA7047"/>
    <w:rsid w:val="00CA70B6"/>
    <w:rsid w:val="00CA70EA"/>
    <w:rsid w:val="00CA7148"/>
    <w:rsid w:val="00CA7175"/>
    <w:rsid w:val="00CA7212"/>
    <w:rsid w:val="00CA725D"/>
    <w:rsid w:val="00CA7297"/>
    <w:rsid w:val="00CA72EF"/>
    <w:rsid w:val="00CA7322"/>
    <w:rsid w:val="00CA7341"/>
    <w:rsid w:val="00CA7374"/>
    <w:rsid w:val="00CA73DA"/>
    <w:rsid w:val="00CA7429"/>
    <w:rsid w:val="00CA74A6"/>
    <w:rsid w:val="00CA74E9"/>
    <w:rsid w:val="00CA750D"/>
    <w:rsid w:val="00CA75EA"/>
    <w:rsid w:val="00CA75F6"/>
    <w:rsid w:val="00CA760B"/>
    <w:rsid w:val="00CA76B5"/>
    <w:rsid w:val="00CA76D9"/>
    <w:rsid w:val="00CA774B"/>
    <w:rsid w:val="00CA7754"/>
    <w:rsid w:val="00CA787F"/>
    <w:rsid w:val="00CA7921"/>
    <w:rsid w:val="00CA799C"/>
    <w:rsid w:val="00CA7A5B"/>
    <w:rsid w:val="00CA7B62"/>
    <w:rsid w:val="00CA7B7E"/>
    <w:rsid w:val="00CA7BF0"/>
    <w:rsid w:val="00CA7C25"/>
    <w:rsid w:val="00CA7CB9"/>
    <w:rsid w:val="00CA7CFB"/>
    <w:rsid w:val="00CA7D31"/>
    <w:rsid w:val="00CA7D49"/>
    <w:rsid w:val="00CA7DBF"/>
    <w:rsid w:val="00CA7E49"/>
    <w:rsid w:val="00CA7E85"/>
    <w:rsid w:val="00CA7F49"/>
    <w:rsid w:val="00CA7FB7"/>
    <w:rsid w:val="00CB0047"/>
    <w:rsid w:val="00CB00D5"/>
    <w:rsid w:val="00CB00E4"/>
    <w:rsid w:val="00CB00E8"/>
    <w:rsid w:val="00CB014F"/>
    <w:rsid w:val="00CB01D4"/>
    <w:rsid w:val="00CB023D"/>
    <w:rsid w:val="00CB02CB"/>
    <w:rsid w:val="00CB032E"/>
    <w:rsid w:val="00CB0381"/>
    <w:rsid w:val="00CB04D3"/>
    <w:rsid w:val="00CB056B"/>
    <w:rsid w:val="00CB0580"/>
    <w:rsid w:val="00CB0585"/>
    <w:rsid w:val="00CB05DB"/>
    <w:rsid w:val="00CB074C"/>
    <w:rsid w:val="00CB07D4"/>
    <w:rsid w:val="00CB0845"/>
    <w:rsid w:val="00CB086F"/>
    <w:rsid w:val="00CB0870"/>
    <w:rsid w:val="00CB08F3"/>
    <w:rsid w:val="00CB091F"/>
    <w:rsid w:val="00CB0962"/>
    <w:rsid w:val="00CB0965"/>
    <w:rsid w:val="00CB09EF"/>
    <w:rsid w:val="00CB0A08"/>
    <w:rsid w:val="00CB0A0C"/>
    <w:rsid w:val="00CB0A21"/>
    <w:rsid w:val="00CB0A3F"/>
    <w:rsid w:val="00CB0A55"/>
    <w:rsid w:val="00CB0A87"/>
    <w:rsid w:val="00CB0B11"/>
    <w:rsid w:val="00CB0B9A"/>
    <w:rsid w:val="00CB0CDA"/>
    <w:rsid w:val="00CB0CE8"/>
    <w:rsid w:val="00CB0CF3"/>
    <w:rsid w:val="00CB0D79"/>
    <w:rsid w:val="00CB0E1F"/>
    <w:rsid w:val="00CB0F0E"/>
    <w:rsid w:val="00CB0F1A"/>
    <w:rsid w:val="00CB0F49"/>
    <w:rsid w:val="00CB109F"/>
    <w:rsid w:val="00CB1153"/>
    <w:rsid w:val="00CB116E"/>
    <w:rsid w:val="00CB1219"/>
    <w:rsid w:val="00CB1224"/>
    <w:rsid w:val="00CB128E"/>
    <w:rsid w:val="00CB1364"/>
    <w:rsid w:val="00CB13C1"/>
    <w:rsid w:val="00CB156B"/>
    <w:rsid w:val="00CB1616"/>
    <w:rsid w:val="00CB161D"/>
    <w:rsid w:val="00CB164B"/>
    <w:rsid w:val="00CB164F"/>
    <w:rsid w:val="00CB1685"/>
    <w:rsid w:val="00CB16A5"/>
    <w:rsid w:val="00CB16B3"/>
    <w:rsid w:val="00CB16BF"/>
    <w:rsid w:val="00CB16F5"/>
    <w:rsid w:val="00CB16F6"/>
    <w:rsid w:val="00CB1758"/>
    <w:rsid w:val="00CB1764"/>
    <w:rsid w:val="00CB178F"/>
    <w:rsid w:val="00CB17A0"/>
    <w:rsid w:val="00CB17A2"/>
    <w:rsid w:val="00CB17AF"/>
    <w:rsid w:val="00CB17B6"/>
    <w:rsid w:val="00CB17BE"/>
    <w:rsid w:val="00CB199C"/>
    <w:rsid w:val="00CB19C0"/>
    <w:rsid w:val="00CB19FF"/>
    <w:rsid w:val="00CB1A72"/>
    <w:rsid w:val="00CB1B20"/>
    <w:rsid w:val="00CB1BA2"/>
    <w:rsid w:val="00CB1BAB"/>
    <w:rsid w:val="00CB1BC1"/>
    <w:rsid w:val="00CB1C3D"/>
    <w:rsid w:val="00CB1C54"/>
    <w:rsid w:val="00CB1D32"/>
    <w:rsid w:val="00CB1D62"/>
    <w:rsid w:val="00CB1DF9"/>
    <w:rsid w:val="00CB1E0D"/>
    <w:rsid w:val="00CB1E10"/>
    <w:rsid w:val="00CB1E17"/>
    <w:rsid w:val="00CB1EBB"/>
    <w:rsid w:val="00CB1F40"/>
    <w:rsid w:val="00CB1FE6"/>
    <w:rsid w:val="00CB2013"/>
    <w:rsid w:val="00CB2036"/>
    <w:rsid w:val="00CB2072"/>
    <w:rsid w:val="00CB20DE"/>
    <w:rsid w:val="00CB2125"/>
    <w:rsid w:val="00CB217F"/>
    <w:rsid w:val="00CB21B9"/>
    <w:rsid w:val="00CB2269"/>
    <w:rsid w:val="00CB2279"/>
    <w:rsid w:val="00CB22ED"/>
    <w:rsid w:val="00CB230D"/>
    <w:rsid w:val="00CB233E"/>
    <w:rsid w:val="00CB2373"/>
    <w:rsid w:val="00CB2486"/>
    <w:rsid w:val="00CB24A0"/>
    <w:rsid w:val="00CB24FE"/>
    <w:rsid w:val="00CB25B2"/>
    <w:rsid w:val="00CB263E"/>
    <w:rsid w:val="00CB2811"/>
    <w:rsid w:val="00CB288D"/>
    <w:rsid w:val="00CB28CE"/>
    <w:rsid w:val="00CB2940"/>
    <w:rsid w:val="00CB29BD"/>
    <w:rsid w:val="00CB2A03"/>
    <w:rsid w:val="00CB2A78"/>
    <w:rsid w:val="00CB2AB5"/>
    <w:rsid w:val="00CB2ABA"/>
    <w:rsid w:val="00CB2ADF"/>
    <w:rsid w:val="00CB2BC1"/>
    <w:rsid w:val="00CB2C38"/>
    <w:rsid w:val="00CB2CA5"/>
    <w:rsid w:val="00CB2CE1"/>
    <w:rsid w:val="00CB2D17"/>
    <w:rsid w:val="00CB2D38"/>
    <w:rsid w:val="00CB2D4C"/>
    <w:rsid w:val="00CB2EE9"/>
    <w:rsid w:val="00CB2F39"/>
    <w:rsid w:val="00CB2FBA"/>
    <w:rsid w:val="00CB304F"/>
    <w:rsid w:val="00CB3071"/>
    <w:rsid w:val="00CB309B"/>
    <w:rsid w:val="00CB30A5"/>
    <w:rsid w:val="00CB30CC"/>
    <w:rsid w:val="00CB30FA"/>
    <w:rsid w:val="00CB311C"/>
    <w:rsid w:val="00CB3122"/>
    <w:rsid w:val="00CB31AB"/>
    <w:rsid w:val="00CB3219"/>
    <w:rsid w:val="00CB322E"/>
    <w:rsid w:val="00CB322F"/>
    <w:rsid w:val="00CB329C"/>
    <w:rsid w:val="00CB336D"/>
    <w:rsid w:val="00CB3393"/>
    <w:rsid w:val="00CB33E1"/>
    <w:rsid w:val="00CB33E3"/>
    <w:rsid w:val="00CB33FC"/>
    <w:rsid w:val="00CB347C"/>
    <w:rsid w:val="00CB34C7"/>
    <w:rsid w:val="00CB34EE"/>
    <w:rsid w:val="00CB34F2"/>
    <w:rsid w:val="00CB352C"/>
    <w:rsid w:val="00CB357F"/>
    <w:rsid w:val="00CB35C7"/>
    <w:rsid w:val="00CB35F6"/>
    <w:rsid w:val="00CB362C"/>
    <w:rsid w:val="00CB366D"/>
    <w:rsid w:val="00CB37BF"/>
    <w:rsid w:val="00CB37EA"/>
    <w:rsid w:val="00CB3814"/>
    <w:rsid w:val="00CB3821"/>
    <w:rsid w:val="00CB3944"/>
    <w:rsid w:val="00CB39B7"/>
    <w:rsid w:val="00CB39E9"/>
    <w:rsid w:val="00CB39EC"/>
    <w:rsid w:val="00CB3A05"/>
    <w:rsid w:val="00CB3A92"/>
    <w:rsid w:val="00CB3B13"/>
    <w:rsid w:val="00CB3B23"/>
    <w:rsid w:val="00CB3B7A"/>
    <w:rsid w:val="00CB3B8C"/>
    <w:rsid w:val="00CB3BDD"/>
    <w:rsid w:val="00CB3C52"/>
    <w:rsid w:val="00CB3C62"/>
    <w:rsid w:val="00CB3CF6"/>
    <w:rsid w:val="00CB3D6A"/>
    <w:rsid w:val="00CB3DA7"/>
    <w:rsid w:val="00CB3DC8"/>
    <w:rsid w:val="00CB3DF5"/>
    <w:rsid w:val="00CB3E95"/>
    <w:rsid w:val="00CB4017"/>
    <w:rsid w:val="00CB4062"/>
    <w:rsid w:val="00CB40C7"/>
    <w:rsid w:val="00CB40CC"/>
    <w:rsid w:val="00CB4113"/>
    <w:rsid w:val="00CB4128"/>
    <w:rsid w:val="00CB4206"/>
    <w:rsid w:val="00CB4207"/>
    <w:rsid w:val="00CB4247"/>
    <w:rsid w:val="00CB42B3"/>
    <w:rsid w:val="00CB42B9"/>
    <w:rsid w:val="00CB4361"/>
    <w:rsid w:val="00CB43B9"/>
    <w:rsid w:val="00CB44B0"/>
    <w:rsid w:val="00CB44B1"/>
    <w:rsid w:val="00CB4501"/>
    <w:rsid w:val="00CB455A"/>
    <w:rsid w:val="00CB459A"/>
    <w:rsid w:val="00CB45CA"/>
    <w:rsid w:val="00CB4623"/>
    <w:rsid w:val="00CB4645"/>
    <w:rsid w:val="00CB4732"/>
    <w:rsid w:val="00CB473F"/>
    <w:rsid w:val="00CB4748"/>
    <w:rsid w:val="00CB47A9"/>
    <w:rsid w:val="00CB47DC"/>
    <w:rsid w:val="00CB484E"/>
    <w:rsid w:val="00CB4850"/>
    <w:rsid w:val="00CB4890"/>
    <w:rsid w:val="00CB48AF"/>
    <w:rsid w:val="00CB4969"/>
    <w:rsid w:val="00CB49D0"/>
    <w:rsid w:val="00CB4A27"/>
    <w:rsid w:val="00CB4B1A"/>
    <w:rsid w:val="00CB4B63"/>
    <w:rsid w:val="00CB4B96"/>
    <w:rsid w:val="00CB4CA3"/>
    <w:rsid w:val="00CB4D32"/>
    <w:rsid w:val="00CB4D40"/>
    <w:rsid w:val="00CB4D9C"/>
    <w:rsid w:val="00CB4E0D"/>
    <w:rsid w:val="00CB4E1B"/>
    <w:rsid w:val="00CB4E76"/>
    <w:rsid w:val="00CB4E88"/>
    <w:rsid w:val="00CB4E94"/>
    <w:rsid w:val="00CB4EC2"/>
    <w:rsid w:val="00CB4F0E"/>
    <w:rsid w:val="00CB4F21"/>
    <w:rsid w:val="00CB4F64"/>
    <w:rsid w:val="00CB5001"/>
    <w:rsid w:val="00CB5147"/>
    <w:rsid w:val="00CB5174"/>
    <w:rsid w:val="00CB51C4"/>
    <w:rsid w:val="00CB5207"/>
    <w:rsid w:val="00CB5331"/>
    <w:rsid w:val="00CB5337"/>
    <w:rsid w:val="00CB549A"/>
    <w:rsid w:val="00CB549F"/>
    <w:rsid w:val="00CB54D1"/>
    <w:rsid w:val="00CB553B"/>
    <w:rsid w:val="00CB55C5"/>
    <w:rsid w:val="00CB55F0"/>
    <w:rsid w:val="00CB56FA"/>
    <w:rsid w:val="00CB5707"/>
    <w:rsid w:val="00CB572D"/>
    <w:rsid w:val="00CB5736"/>
    <w:rsid w:val="00CB5785"/>
    <w:rsid w:val="00CB579E"/>
    <w:rsid w:val="00CB5808"/>
    <w:rsid w:val="00CB587F"/>
    <w:rsid w:val="00CB58A6"/>
    <w:rsid w:val="00CB58A7"/>
    <w:rsid w:val="00CB5937"/>
    <w:rsid w:val="00CB59F7"/>
    <w:rsid w:val="00CB5A2E"/>
    <w:rsid w:val="00CB5A68"/>
    <w:rsid w:val="00CB5BF7"/>
    <w:rsid w:val="00CB5C29"/>
    <w:rsid w:val="00CB5CDF"/>
    <w:rsid w:val="00CB5D1A"/>
    <w:rsid w:val="00CB5D8F"/>
    <w:rsid w:val="00CB5DA7"/>
    <w:rsid w:val="00CB5DBA"/>
    <w:rsid w:val="00CB5E3E"/>
    <w:rsid w:val="00CB5EA7"/>
    <w:rsid w:val="00CB5F96"/>
    <w:rsid w:val="00CB5FE8"/>
    <w:rsid w:val="00CB6013"/>
    <w:rsid w:val="00CB6064"/>
    <w:rsid w:val="00CB60DF"/>
    <w:rsid w:val="00CB611A"/>
    <w:rsid w:val="00CB61BA"/>
    <w:rsid w:val="00CB61F0"/>
    <w:rsid w:val="00CB623E"/>
    <w:rsid w:val="00CB62D7"/>
    <w:rsid w:val="00CB62E3"/>
    <w:rsid w:val="00CB63D0"/>
    <w:rsid w:val="00CB6456"/>
    <w:rsid w:val="00CB6479"/>
    <w:rsid w:val="00CB648B"/>
    <w:rsid w:val="00CB649F"/>
    <w:rsid w:val="00CB64A1"/>
    <w:rsid w:val="00CB64C8"/>
    <w:rsid w:val="00CB64F3"/>
    <w:rsid w:val="00CB65A5"/>
    <w:rsid w:val="00CB6616"/>
    <w:rsid w:val="00CB664D"/>
    <w:rsid w:val="00CB665E"/>
    <w:rsid w:val="00CB66FA"/>
    <w:rsid w:val="00CB6713"/>
    <w:rsid w:val="00CB67F2"/>
    <w:rsid w:val="00CB680A"/>
    <w:rsid w:val="00CB6821"/>
    <w:rsid w:val="00CB688C"/>
    <w:rsid w:val="00CB68DC"/>
    <w:rsid w:val="00CB6949"/>
    <w:rsid w:val="00CB69ED"/>
    <w:rsid w:val="00CB6ADC"/>
    <w:rsid w:val="00CB6B7C"/>
    <w:rsid w:val="00CB6BFE"/>
    <w:rsid w:val="00CB6C00"/>
    <w:rsid w:val="00CB6C1C"/>
    <w:rsid w:val="00CB6CD4"/>
    <w:rsid w:val="00CB6CDC"/>
    <w:rsid w:val="00CB6D65"/>
    <w:rsid w:val="00CB6DCE"/>
    <w:rsid w:val="00CB6E23"/>
    <w:rsid w:val="00CB6E6B"/>
    <w:rsid w:val="00CB6EC2"/>
    <w:rsid w:val="00CB6ECB"/>
    <w:rsid w:val="00CB6F5B"/>
    <w:rsid w:val="00CB6F6D"/>
    <w:rsid w:val="00CB702B"/>
    <w:rsid w:val="00CB70CD"/>
    <w:rsid w:val="00CB71F1"/>
    <w:rsid w:val="00CB7209"/>
    <w:rsid w:val="00CB720C"/>
    <w:rsid w:val="00CB7270"/>
    <w:rsid w:val="00CB727F"/>
    <w:rsid w:val="00CB72CE"/>
    <w:rsid w:val="00CB73CD"/>
    <w:rsid w:val="00CB73D5"/>
    <w:rsid w:val="00CB73DF"/>
    <w:rsid w:val="00CB73F8"/>
    <w:rsid w:val="00CB7401"/>
    <w:rsid w:val="00CB7453"/>
    <w:rsid w:val="00CB7477"/>
    <w:rsid w:val="00CB749B"/>
    <w:rsid w:val="00CB7531"/>
    <w:rsid w:val="00CB7547"/>
    <w:rsid w:val="00CB76BF"/>
    <w:rsid w:val="00CB7731"/>
    <w:rsid w:val="00CB7805"/>
    <w:rsid w:val="00CB78C3"/>
    <w:rsid w:val="00CB7959"/>
    <w:rsid w:val="00CB7A03"/>
    <w:rsid w:val="00CB7AA6"/>
    <w:rsid w:val="00CB7B6C"/>
    <w:rsid w:val="00CB7B8C"/>
    <w:rsid w:val="00CB7BA6"/>
    <w:rsid w:val="00CB7BB2"/>
    <w:rsid w:val="00CB7BD7"/>
    <w:rsid w:val="00CB7BE6"/>
    <w:rsid w:val="00CB7C17"/>
    <w:rsid w:val="00CB7C40"/>
    <w:rsid w:val="00CB7D41"/>
    <w:rsid w:val="00CB7DEF"/>
    <w:rsid w:val="00CB7E6C"/>
    <w:rsid w:val="00CB7EA0"/>
    <w:rsid w:val="00CB7EC8"/>
    <w:rsid w:val="00CB7F1D"/>
    <w:rsid w:val="00CB7FF9"/>
    <w:rsid w:val="00CC0055"/>
    <w:rsid w:val="00CC00A4"/>
    <w:rsid w:val="00CC0119"/>
    <w:rsid w:val="00CC016C"/>
    <w:rsid w:val="00CC018B"/>
    <w:rsid w:val="00CC01AC"/>
    <w:rsid w:val="00CC01DC"/>
    <w:rsid w:val="00CC01E3"/>
    <w:rsid w:val="00CC01E4"/>
    <w:rsid w:val="00CC01F3"/>
    <w:rsid w:val="00CC0228"/>
    <w:rsid w:val="00CC0251"/>
    <w:rsid w:val="00CC027A"/>
    <w:rsid w:val="00CC0294"/>
    <w:rsid w:val="00CC02AC"/>
    <w:rsid w:val="00CC0439"/>
    <w:rsid w:val="00CC0460"/>
    <w:rsid w:val="00CC050E"/>
    <w:rsid w:val="00CC06E7"/>
    <w:rsid w:val="00CC06F1"/>
    <w:rsid w:val="00CC072D"/>
    <w:rsid w:val="00CC075C"/>
    <w:rsid w:val="00CC081B"/>
    <w:rsid w:val="00CC0836"/>
    <w:rsid w:val="00CC0864"/>
    <w:rsid w:val="00CC0878"/>
    <w:rsid w:val="00CC0896"/>
    <w:rsid w:val="00CC08D6"/>
    <w:rsid w:val="00CC08F4"/>
    <w:rsid w:val="00CC095D"/>
    <w:rsid w:val="00CC09B0"/>
    <w:rsid w:val="00CC09B3"/>
    <w:rsid w:val="00CC0A1E"/>
    <w:rsid w:val="00CC0AE7"/>
    <w:rsid w:val="00CC0B3A"/>
    <w:rsid w:val="00CC0B6F"/>
    <w:rsid w:val="00CC0B75"/>
    <w:rsid w:val="00CC0B78"/>
    <w:rsid w:val="00CC0BEA"/>
    <w:rsid w:val="00CC0C12"/>
    <w:rsid w:val="00CC0C45"/>
    <w:rsid w:val="00CC0CC6"/>
    <w:rsid w:val="00CC0CDD"/>
    <w:rsid w:val="00CC0D8D"/>
    <w:rsid w:val="00CC0E0E"/>
    <w:rsid w:val="00CC0E28"/>
    <w:rsid w:val="00CC0E39"/>
    <w:rsid w:val="00CC0EBF"/>
    <w:rsid w:val="00CC0FC1"/>
    <w:rsid w:val="00CC1030"/>
    <w:rsid w:val="00CC1036"/>
    <w:rsid w:val="00CC1114"/>
    <w:rsid w:val="00CC11E1"/>
    <w:rsid w:val="00CC121F"/>
    <w:rsid w:val="00CC1245"/>
    <w:rsid w:val="00CC124A"/>
    <w:rsid w:val="00CC1337"/>
    <w:rsid w:val="00CC1383"/>
    <w:rsid w:val="00CC13A8"/>
    <w:rsid w:val="00CC1434"/>
    <w:rsid w:val="00CC1458"/>
    <w:rsid w:val="00CC145B"/>
    <w:rsid w:val="00CC1483"/>
    <w:rsid w:val="00CC14BD"/>
    <w:rsid w:val="00CC1512"/>
    <w:rsid w:val="00CC1562"/>
    <w:rsid w:val="00CC1734"/>
    <w:rsid w:val="00CC175F"/>
    <w:rsid w:val="00CC1767"/>
    <w:rsid w:val="00CC17B0"/>
    <w:rsid w:val="00CC1849"/>
    <w:rsid w:val="00CC18FC"/>
    <w:rsid w:val="00CC1927"/>
    <w:rsid w:val="00CC1945"/>
    <w:rsid w:val="00CC1A26"/>
    <w:rsid w:val="00CC1A2C"/>
    <w:rsid w:val="00CC1AC4"/>
    <w:rsid w:val="00CC1B2C"/>
    <w:rsid w:val="00CC1B8C"/>
    <w:rsid w:val="00CC1BF5"/>
    <w:rsid w:val="00CC1BF6"/>
    <w:rsid w:val="00CC1C41"/>
    <w:rsid w:val="00CC1C5E"/>
    <w:rsid w:val="00CC1CAF"/>
    <w:rsid w:val="00CC1D44"/>
    <w:rsid w:val="00CC1D54"/>
    <w:rsid w:val="00CC1D7E"/>
    <w:rsid w:val="00CC1DD3"/>
    <w:rsid w:val="00CC1E4F"/>
    <w:rsid w:val="00CC1F03"/>
    <w:rsid w:val="00CC1FA1"/>
    <w:rsid w:val="00CC2139"/>
    <w:rsid w:val="00CC2145"/>
    <w:rsid w:val="00CC21BF"/>
    <w:rsid w:val="00CC224D"/>
    <w:rsid w:val="00CC22A4"/>
    <w:rsid w:val="00CC2312"/>
    <w:rsid w:val="00CC234B"/>
    <w:rsid w:val="00CC238C"/>
    <w:rsid w:val="00CC241D"/>
    <w:rsid w:val="00CC24BB"/>
    <w:rsid w:val="00CC24EA"/>
    <w:rsid w:val="00CC24F9"/>
    <w:rsid w:val="00CC2505"/>
    <w:rsid w:val="00CC2531"/>
    <w:rsid w:val="00CC2537"/>
    <w:rsid w:val="00CC2656"/>
    <w:rsid w:val="00CC265D"/>
    <w:rsid w:val="00CC269D"/>
    <w:rsid w:val="00CC26E9"/>
    <w:rsid w:val="00CC276D"/>
    <w:rsid w:val="00CC276E"/>
    <w:rsid w:val="00CC279E"/>
    <w:rsid w:val="00CC28BD"/>
    <w:rsid w:val="00CC2907"/>
    <w:rsid w:val="00CC291E"/>
    <w:rsid w:val="00CC29A9"/>
    <w:rsid w:val="00CC29BF"/>
    <w:rsid w:val="00CC2A30"/>
    <w:rsid w:val="00CC2A7B"/>
    <w:rsid w:val="00CC2B50"/>
    <w:rsid w:val="00CC2BE8"/>
    <w:rsid w:val="00CC2D0F"/>
    <w:rsid w:val="00CC2D1C"/>
    <w:rsid w:val="00CC2E25"/>
    <w:rsid w:val="00CC2E30"/>
    <w:rsid w:val="00CC2E8D"/>
    <w:rsid w:val="00CC3026"/>
    <w:rsid w:val="00CC303C"/>
    <w:rsid w:val="00CC3080"/>
    <w:rsid w:val="00CC3140"/>
    <w:rsid w:val="00CC3155"/>
    <w:rsid w:val="00CC316D"/>
    <w:rsid w:val="00CC3214"/>
    <w:rsid w:val="00CC3250"/>
    <w:rsid w:val="00CC32ED"/>
    <w:rsid w:val="00CC3348"/>
    <w:rsid w:val="00CC338C"/>
    <w:rsid w:val="00CC33CC"/>
    <w:rsid w:val="00CC33F1"/>
    <w:rsid w:val="00CC3499"/>
    <w:rsid w:val="00CC34B0"/>
    <w:rsid w:val="00CC34CA"/>
    <w:rsid w:val="00CC35C5"/>
    <w:rsid w:val="00CC36D8"/>
    <w:rsid w:val="00CC3754"/>
    <w:rsid w:val="00CC378B"/>
    <w:rsid w:val="00CC3872"/>
    <w:rsid w:val="00CC388B"/>
    <w:rsid w:val="00CC38B3"/>
    <w:rsid w:val="00CC38DC"/>
    <w:rsid w:val="00CC38FF"/>
    <w:rsid w:val="00CC3B3E"/>
    <w:rsid w:val="00CC3C67"/>
    <w:rsid w:val="00CC3CD0"/>
    <w:rsid w:val="00CC3CD2"/>
    <w:rsid w:val="00CC3DD5"/>
    <w:rsid w:val="00CC3DE4"/>
    <w:rsid w:val="00CC3DFC"/>
    <w:rsid w:val="00CC3E84"/>
    <w:rsid w:val="00CC3EB4"/>
    <w:rsid w:val="00CC3EE5"/>
    <w:rsid w:val="00CC3F32"/>
    <w:rsid w:val="00CC3F77"/>
    <w:rsid w:val="00CC3F95"/>
    <w:rsid w:val="00CC40C6"/>
    <w:rsid w:val="00CC40F9"/>
    <w:rsid w:val="00CC4107"/>
    <w:rsid w:val="00CC4133"/>
    <w:rsid w:val="00CC426B"/>
    <w:rsid w:val="00CC42E0"/>
    <w:rsid w:val="00CC44A9"/>
    <w:rsid w:val="00CC4559"/>
    <w:rsid w:val="00CC459B"/>
    <w:rsid w:val="00CC463C"/>
    <w:rsid w:val="00CC46A0"/>
    <w:rsid w:val="00CC474B"/>
    <w:rsid w:val="00CC4776"/>
    <w:rsid w:val="00CC478C"/>
    <w:rsid w:val="00CC4791"/>
    <w:rsid w:val="00CC47E9"/>
    <w:rsid w:val="00CC480A"/>
    <w:rsid w:val="00CC48FD"/>
    <w:rsid w:val="00CC4950"/>
    <w:rsid w:val="00CC4A78"/>
    <w:rsid w:val="00CC4AAB"/>
    <w:rsid w:val="00CC4B08"/>
    <w:rsid w:val="00CC4B29"/>
    <w:rsid w:val="00CC4B4A"/>
    <w:rsid w:val="00CC4B51"/>
    <w:rsid w:val="00CC4CB2"/>
    <w:rsid w:val="00CC4D24"/>
    <w:rsid w:val="00CC4D47"/>
    <w:rsid w:val="00CC4DB1"/>
    <w:rsid w:val="00CC4E11"/>
    <w:rsid w:val="00CC4E19"/>
    <w:rsid w:val="00CC4E20"/>
    <w:rsid w:val="00CC4E2D"/>
    <w:rsid w:val="00CC4E8D"/>
    <w:rsid w:val="00CC4ECE"/>
    <w:rsid w:val="00CC4ED4"/>
    <w:rsid w:val="00CC4EF0"/>
    <w:rsid w:val="00CC4F0B"/>
    <w:rsid w:val="00CC4F20"/>
    <w:rsid w:val="00CC4FB7"/>
    <w:rsid w:val="00CC500C"/>
    <w:rsid w:val="00CC5075"/>
    <w:rsid w:val="00CC507C"/>
    <w:rsid w:val="00CC50C7"/>
    <w:rsid w:val="00CC5221"/>
    <w:rsid w:val="00CC5380"/>
    <w:rsid w:val="00CC5449"/>
    <w:rsid w:val="00CC549A"/>
    <w:rsid w:val="00CC54D3"/>
    <w:rsid w:val="00CC556F"/>
    <w:rsid w:val="00CC5605"/>
    <w:rsid w:val="00CC5767"/>
    <w:rsid w:val="00CC5855"/>
    <w:rsid w:val="00CC5871"/>
    <w:rsid w:val="00CC587B"/>
    <w:rsid w:val="00CC5976"/>
    <w:rsid w:val="00CC59AE"/>
    <w:rsid w:val="00CC5A50"/>
    <w:rsid w:val="00CC5A8A"/>
    <w:rsid w:val="00CC5B10"/>
    <w:rsid w:val="00CC5B17"/>
    <w:rsid w:val="00CC5B3F"/>
    <w:rsid w:val="00CC5B9D"/>
    <w:rsid w:val="00CC5BE8"/>
    <w:rsid w:val="00CC5C67"/>
    <w:rsid w:val="00CC5C82"/>
    <w:rsid w:val="00CC5CAB"/>
    <w:rsid w:val="00CC5D36"/>
    <w:rsid w:val="00CC5D3A"/>
    <w:rsid w:val="00CC5DAC"/>
    <w:rsid w:val="00CC5DF3"/>
    <w:rsid w:val="00CC5E19"/>
    <w:rsid w:val="00CC5E99"/>
    <w:rsid w:val="00CC5F31"/>
    <w:rsid w:val="00CC5F5B"/>
    <w:rsid w:val="00CC5F89"/>
    <w:rsid w:val="00CC5FA9"/>
    <w:rsid w:val="00CC60B8"/>
    <w:rsid w:val="00CC614C"/>
    <w:rsid w:val="00CC61AC"/>
    <w:rsid w:val="00CC6236"/>
    <w:rsid w:val="00CC6237"/>
    <w:rsid w:val="00CC627F"/>
    <w:rsid w:val="00CC6280"/>
    <w:rsid w:val="00CC6295"/>
    <w:rsid w:val="00CC62E4"/>
    <w:rsid w:val="00CC6379"/>
    <w:rsid w:val="00CC6398"/>
    <w:rsid w:val="00CC6474"/>
    <w:rsid w:val="00CC6508"/>
    <w:rsid w:val="00CC650C"/>
    <w:rsid w:val="00CC651B"/>
    <w:rsid w:val="00CC66FE"/>
    <w:rsid w:val="00CC6700"/>
    <w:rsid w:val="00CC6743"/>
    <w:rsid w:val="00CC67E0"/>
    <w:rsid w:val="00CC68A0"/>
    <w:rsid w:val="00CC68C6"/>
    <w:rsid w:val="00CC697C"/>
    <w:rsid w:val="00CC6A4E"/>
    <w:rsid w:val="00CC6A60"/>
    <w:rsid w:val="00CC6A82"/>
    <w:rsid w:val="00CC6C09"/>
    <w:rsid w:val="00CC6C9E"/>
    <w:rsid w:val="00CC6CA3"/>
    <w:rsid w:val="00CC6CC1"/>
    <w:rsid w:val="00CC6CCF"/>
    <w:rsid w:val="00CC6D7D"/>
    <w:rsid w:val="00CC6DEF"/>
    <w:rsid w:val="00CC6E2C"/>
    <w:rsid w:val="00CC6E40"/>
    <w:rsid w:val="00CC6ECA"/>
    <w:rsid w:val="00CC7002"/>
    <w:rsid w:val="00CC70C3"/>
    <w:rsid w:val="00CC7298"/>
    <w:rsid w:val="00CC72AC"/>
    <w:rsid w:val="00CC72FB"/>
    <w:rsid w:val="00CC7335"/>
    <w:rsid w:val="00CC735D"/>
    <w:rsid w:val="00CC7376"/>
    <w:rsid w:val="00CC7403"/>
    <w:rsid w:val="00CC741A"/>
    <w:rsid w:val="00CC741C"/>
    <w:rsid w:val="00CC7471"/>
    <w:rsid w:val="00CC7603"/>
    <w:rsid w:val="00CC7618"/>
    <w:rsid w:val="00CC7698"/>
    <w:rsid w:val="00CC76AB"/>
    <w:rsid w:val="00CC77F1"/>
    <w:rsid w:val="00CC77FF"/>
    <w:rsid w:val="00CC7834"/>
    <w:rsid w:val="00CC784D"/>
    <w:rsid w:val="00CC7882"/>
    <w:rsid w:val="00CC78D9"/>
    <w:rsid w:val="00CC798C"/>
    <w:rsid w:val="00CC7B05"/>
    <w:rsid w:val="00CC7C47"/>
    <w:rsid w:val="00CC7C90"/>
    <w:rsid w:val="00CC7C9B"/>
    <w:rsid w:val="00CC7CB7"/>
    <w:rsid w:val="00CC7CE2"/>
    <w:rsid w:val="00CC7D21"/>
    <w:rsid w:val="00CC7D2D"/>
    <w:rsid w:val="00CC7D5D"/>
    <w:rsid w:val="00CC7DA2"/>
    <w:rsid w:val="00CC7DC1"/>
    <w:rsid w:val="00CC7DC4"/>
    <w:rsid w:val="00CC7DCB"/>
    <w:rsid w:val="00CC7E6D"/>
    <w:rsid w:val="00CC7EAE"/>
    <w:rsid w:val="00CC7EB1"/>
    <w:rsid w:val="00CC7F3D"/>
    <w:rsid w:val="00CC7F66"/>
    <w:rsid w:val="00CC7FCF"/>
    <w:rsid w:val="00CC7FD4"/>
    <w:rsid w:val="00CD0166"/>
    <w:rsid w:val="00CD01B4"/>
    <w:rsid w:val="00CD02DC"/>
    <w:rsid w:val="00CD0310"/>
    <w:rsid w:val="00CD0336"/>
    <w:rsid w:val="00CD0346"/>
    <w:rsid w:val="00CD036E"/>
    <w:rsid w:val="00CD0391"/>
    <w:rsid w:val="00CD03D5"/>
    <w:rsid w:val="00CD03E0"/>
    <w:rsid w:val="00CD0498"/>
    <w:rsid w:val="00CD049E"/>
    <w:rsid w:val="00CD0575"/>
    <w:rsid w:val="00CD0671"/>
    <w:rsid w:val="00CD0687"/>
    <w:rsid w:val="00CD06AC"/>
    <w:rsid w:val="00CD0704"/>
    <w:rsid w:val="00CD0793"/>
    <w:rsid w:val="00CD07C6"/>
    <w:rsid w:val="00CD0840"/>
    <w:rsid w:val="00CD0850"/>
    <w:rsid w:val="00CD08D1"/>
    <w:rsid w:val="00CD0908"/>
    <w:rsid w:val="00CD0990"/>
    <w:rsid w:val="00CD09AD"/>
    <w:rsid w:val="00CD09CD"/>
    <w:rsid w:val="00CD09D4"/>
    <w:rsid w:val="00CD0A5B"/>
    <w:rsid w:val="00CD0A72"/>
    <w:rsid w:val="00CD0A85"/>
    <w:rsid w:val="00CD0B93"/>
    <w:rsid w:val="00CD0C51"/>
    <w:rsid w:val="00CD0CB6"/>
    <w:rsid w:val="00CD0D63"/>
    <w:rsid w:val="00CD0DAA"/>
    <w:rsid w:val="00CD0DC2"/>
    <w:rsid w:val="00CD0DF0"/>
    <w:rsid w:val="00CD0DF4"/>
    <w:rsid w:val="00CD0ECA"/>
    <w:rsid w:val="00CD0F54"/>
    <w:rsid w:val="00CD0F81"/>
    <w:rsid w:val="00CD0FE6"/>
    <w:rsid w:val="00CD103D"/>
    <w:rsid w:val="00CD106A"/>
    <w:rsid w:val="00CD10C3"/>
    <w:rsid w:val="00CD10CA"/>
    <w:rsid w:val="00CD117A"/>
    <w:rsid w:val="00CD11B6"/>
    <w:rsid w:val="00CD1230"/>
    <w:rsid w:val="00CD1268"/>
    <w:rsid w:val="00CD12F6"/>
    <w:rsid w:val="00CD1365"/>
    <w:rsid w:val="00CD1372"/>
    <w:rsid w:val="00CD1373"/>
    <w:rsid w:val="00CD137B"/>
    <w:rsid w:val="00CD13D7"/>
    <w:rsid w:val="00CD1435"/>
    <w:rsid w:val="00CD1459"/>
    <w:rsid w:val="00CD147E"/>
    <w:rsid w:val="00CD14A2"/>
    <w:rsid w:val="00CD14AB"/>
    <w:rsid w:val="00CD14FE"/>
    <w:rsid w:val="00CD1513"/>
    <w:rsid w:val="00CD151A"/>
    <w:rsid w:val="00CD1520"/>
    <w:rsid w:val="00CD1576"/>
    <w:rsid w:val="00CD1588"/>
    <w:rsid w:val="00CD15CA"/>
    <w:rsid w:val="00CD15E2"/>
    <w:rsid w:val="00CD164C"/>
    <w:rsid w:val="00CD164F"/>
    <w:rsid w:val="00CD1698"/>
    <w:rsid w:val="00CD17D3"/>
    <w:rsid w:val="00CD17F8"/>
    <w:rsid w:val="00CD1826"/>
    <w:rsid w:val="00CD1875"/>
    <w:rsid w:val="00CD187C"/>
    <w:rsid w:val="00CD1981"/>
    <w:rsid w:val="00CD1ACB"/>
    <w:rsid w:val="00CD1ACD"/>
    <w:rsid w:val="00CD1B48"/>
    <w:rsid w:val="00CD1B66"/>
    <w:rsid w:val="00CD1BDD"/>
    <w:rsid w:val="00CD1C5A"/>
    <w:rsid w:val="00CD1D7F"/>
    <w:rsid w:val="00CD1E96"/>
    <w:rsid w:val="00CD1E9C"/>
    <w:rsid w:val="00CD1F37"/>
    <w:rsid w:val="00CD1FB4"/>
    <w:rsid w:val="00CD2054"/>
    <w:rsid w:val="00CD2057"/>
    <w:rsid w:val="00CD2067"/>
    <w:rsid w:val="00CD206D"/>
    <w:rsid w:val="00CD207F"/>
    <w:rsid w:val="00CD2182"/>
    <w:rsid w:val="00CD21C9"/>
    <w:rsid w:val="00CD2231"/>
    <w:rsid w:val="00CD2240"/>
    <w:rsid w:val="00CD2288"/>
    <w:rsid w:val="00CD23F5"/>
    <w:rsid w:val="00CD2431"/>
    <w:rsid w:val="00CD25ED"/>
    <w:rsid w:val="00CD25FE"/>
    <w:rsid w:val="00CD26B2"/>
    <w:rsid w:val="00CD2766"/>
    <w:rsid w:val="00CD27F8"/>
    <w:rsid w:val="00CD283F"/>
    <w:rsid w:val="00CD2848"/>
    <w:rsid w:val="00CD2850"/>
    <w:rsid w:val="00CD2889"/>
    <w:rsid w:val="00CD28EF"/>
    <w:rsid w:val="00CD28F4"/>
    <w:rsid w:val="00CD2908"/>
    <w:rsid w:val="00CD295B"/>
    <w:rsid w:val="00CD29FF"/>
    <w:rsid w:val="00CD2A26"/>
    <w:rsid w:val="00CD2A4F"/>
    <w:rsid w:val="00CD2A89"/>
    <w:rsid w:val="00CD2A9D"/>
    <w:rsid w:val="00CD2AFF"/>
    <w:rsid w:val="00CD2B3B"/>
    <w:rsid w:val="00CD2B86"/>
    <w:rsid w:val="00CD2CD3"/>
    <w:rsid w:val="00CD2CF0"/>
    <w:rsid w:val="00CD2DFD"/>
    <w:rsid w:val="00CD2E18"/>
    <w:rsid w:val="00CD2E5F"/>
    <w:rsid w:val="00CD3013"/>
    <w:rsid w:val="00CD3028"/>
    <w:rsid w:val="00CD3147"/>
    <w:rsid w:val="00CD3271"/>
    <w:rsid w:val="00CD327A"/>
    <w:rsid w:val="00CD3461"/>
    <w:rsid w:val="00CD34B2"/>
    <w:rsid w:val="00CD369D"/>
    <w:rsid w:val="00CD37F2"/>
    <w:rsid w:val="00CD381B"/>
    <w:rsid w:val="00CD3833"/>
    <w:rsid w:val="00CD38B6"/>
    <w:rsid w:val="00CD38F0"/>
    <w:rsid w:val="00CD3984"/>
    <w:rsid w:val="00CD3A69"/>
    <w:rsid w:val="00CD3A91"/>
    <w:rsid w:val="00CD3ADE"/>
    <w:rsid w:val="00CD3AE4"/>
    <w:rsid w:val="00CD3AE9"/>
    <w:rsid w:val="00CD3AF0"/>
    <w:rsid w:val="00CD3C3D"/>
    <w:rsid w:val="00CD3C64"/>
    <w:rsid w:val="00CD3CD4"/>
    <w:rsid w:val="00CD3D27"/>
    <w:rsid w:val="00CD3D8C"/>
    <w:rsid w:val="00CD3EF2"/>
    <w:rsid w:val="00CD3FFC"/>
    <w:rsid w:val="00CD402F"/>
    <w:rsid w:val="00CD411E"/>
    <w:rsid w:val="00CD416A"/>
    <w:rsid w:val="00CD4213"/>
    <w:rsid w:val="00CD4314"/>
    <w:rsid w:val="00CD4322"/>
    <w:rsid w:val="00CD433B"/>
    <w:rsid w:val="00CD437B"/>
    <w:rsid w:val="00CD4387"/>
    <w:rsid w:val="00CD439D"/>
    <w:rsid w:val="00CD43A2"/>
    <w:rsid w:val="00CD43A6"/>
    <w:rsid w:val="00CD43B5"/>
    <w:rsid w:val="00CD43DB"/>
    <w:rsid w:val="00CD43FF"/>
    <w:rsid w:val="00CD455A"/>
    <w:rsid w:val="00CD462F"/>
    <w:rsid w:val="00CD46C5"/>
    <w:rsid w:val="00CD4709"/>
    <w:rsid w:val="00CD4795"/>
    <w:rsid w:val="00CD4896"/>
    <w:rsid w:val="00CD48FB"/>
    <w:rsid w:val="00CD4901"/>
    <w:rsid w:val="00CD4977"/>
    <w:rsid w:val="00CD49C5"/>
    <w:rsid w:val="00CD4A4D"/>
    <w:rsid w:val="00CD4A60"/>
    <w:rsid w:val="00CD4AEF"/>
    <w:rsid w:val="00CD4B6B"/>
    <w:rsid w:val="00CD4BD6"/>
    <w:rsid w:val="00CD4CD9"/>
    <w:rsid w:val="00CD4D45"/>
    <w:rsid w:val="00CD4D6A"/>
    <w:rsid w:val="00CD4D8D"/>
    <w:rsid w:val="00CD4DB5"/>
    <w:rsid w:val="00CD4F0F"/>
    <w:rsid w:val="00CD4F13"/>
    <w:rsid w:val="00CD4F3D"/>
    <w:rsid w:val="00CD4F7B"/>
    <w:rsid w:val="00CD502C"/>
    <w:rsid w:val="00CD5085"/>
    <w:rsid w:val="00CD50D6"/>
    <w:rsid w:val="00CD50F9"/>
    <w:rsid w:val="00CD5101"/>
    <w:rsid w:val="00CD514D"/>
    <w:rsid w:val="00CD5165"/>
    <w:rsid w:val="00CD51F6"/>
    <w:rsid w:val="00CD521D"/>
    <w:rsid w:val="00CD5235"/>
    <w:rsid w:val="00CD525F"/>
    <w:rsid w:val="00CD526C"/>
    <w:rsid w:val="00CD52BF"/>
    <w:rsid w:val="00CD5334"/>
    <w:rsid w:val="00CD53D8"/>
    <w:rsid w:val="00CD5457"/>
    <w:rsid w:val="00CD5464"/>
    <w:rsid w:val="00CD554B"/>
    <w:rsid w:val="00CD557C"/>
    <w:rsid w:val="00CD55E4"/>
    <w:rsid w:val="00CD55F0"/>
    <w:rsid w:val="00CD5647"/>
    <w:rsid w:val="00CD564B"/>
    <w:rsid w:val="00CD5722"/>
    <w:rsid w:val="00CD5762"/>
    <w:rsid w:val="00CD57D5"/>
    <w:rsid w:val="00CD582A"/>
    <w:rsid w:val="00CD5850"/>
    <w:rsid w:val="00CD5890"/>
    <w:rsid w:val="00CD58BA"/>
    <w:rsid w:val="00CD597B"/>
    <w:rsid w:val="00CD5B46"/>
    <w:rsid w:val="00CD5B53"/>
    <w:rsid w:val="00CD5B64"/>
    <w:rsid w:val="00CD5C44"/>
    <w:rsid w:val="00CD5C7A"/>
    <w:rsid w:val="00CD5D56"/>
    <w:rsid w:val="00CD5D93"/>
    <w:rsid w:val="00CD5DE4"/>
    <w:rsid w:val="00CD5E5C"/>
    <w:rsid w:val="00CD5E88"/>
    <w:rsid w:val="00CD5EA8"/>
    <w:rsid w:val="00CD5F39"/>
    <w:rsid w:val="00CD5F40"/>
    <w:rsid w:val="00CD5FBE"/>
    <w:rsid w:val="00CD5FDF"/>
    <w:rsid w:val="00CD6040"/>
    <w:rsid w:val="00CD608C"/>
    <w:rsid w:val="00CD6094"/>
    <w:rsid w:val="00CD6114"/>
    <w:rsid w:val="00CD61EB"/>
    <w:rsid w:val="00CD6217"/>
    <w:rsid w:val="00CD621A"/>
    <w:rsid w:val="00CD6272"/>
    <w:rsid w:val="00CD62ED"/>
    <w:rsid w:val="00CD6318"/>
    <w:rsid w:val="00CD6396"/>
    <w:rsid w:val="00CD63D1"/>
    <w:rsid w:val="00CD63ED"/>
    <w:rsid w:val="00CD6464"/>
    <w:rsid w:val="00CD6485"/>
    <w:rsid w:val="00CD64C1"/>
    <w:rsid w:val="00CD64E9"/>
    <w:rsid w:val="00CD652C"/>
    <w:rsid w:val="00CD657C"/>
    <w:rsid w:val="00CD6612"/>
    <w:rsid w:val="00CD6666"/>
    <w:rsid w:val="00CD6692"/>
    <w:rsid w:val="00CD66CC"/>
    <w:rsid w:val="00CD66ED"/>
    <w:rsid w:val="00CD6738"/>
    <w:rsid w:val="00CD6854"/>
    <w:rsid w:val="00CD68B1"/>
    <w:rsid w:val="00CD692E"/>
    <w:rsid w:val="00CD69E9"/>
    <w:rsid w:val="00CD6AAE"/>
    <w:rsid w:val="00CD6B82"/>
    <w:rsid w:val="00CD6BD5"/>
    <w:rsid w:val="00CD6BE8"/>
    <w:rsid w:val="00CD6C82"/>
    <w:rsid w:val="00CD6CF1"/>
    <w:rsid w:val="00CD6D06"/>
    <w:rsid w:val="00CD6D3F"/>
    <w:rsid w:val="00CD6E24"/>
    <w:rsid w:val="00CD6E2A"/>
    <w:rsid w:val="00CD6EAC"/>
    <w:rsid w:val="00CD6F7E"/>
    <w:rsid w:val="00CD700B"/>
    <w:rsid w:val="00CD716C"/>
    <w:rsid w:val="00CD716D"/>
    <w:rsid w:val="00CD7197"/>
    <w:rsid w:val="00CD71C9"/>
    <w:rsid w:val="00CD72F2"/>
    <w:rsid w:val="00CD7396"/>
    <w:rsid w:val="00CD73A9"/>
    <w:rsid w:val="00CD73D9"/>
    <w:rsid w:val="00CD7400"/>
    <w:rsid w:val="00CD7408"/>
    <w:rsid w:val="00CD7426"/>
    <w:rsid w:val="00CD7469"/>
    <w:rsid w:val="00CD746E"/>
    <w:rsid w:val="00CD7479"/>
    <w:rsid w:val="00CD74C6"/>
    <w:rsid w:val="00CD75E6"/>
    <w:rsid w:val="00CD7637"/>
    <w:rsid w:val="00CD76B6"/>
    <w:rsid w:val="00CD7759"/>
    <w:rsid w:val="00CD7804"/>
    <w:rsid w:val="00CD785F"/>
    <w:rsid w:val="00CD7880"/>
    <w:rsid w:val="00CD7887"/>
    <w:rsid w:val="00CD78B1"/>
    <w:rsid w:val="00CD78C0"/>
    <w:rsid w:val="00CD790D"/>
    <w:rsid w:val="00CD797C"/>
    <w:rsid w:val="00CD7988"/>
    <w:rsid w:val="00CD7990"/>
    <w:rsid w:val="00CD79B6"/>
    <w:rsid w:val="00CD7A35"/>
    <w:rsid w:val="00CD7A61"/>
    <w:rsid w:val="00CD7A69"/>
    <w:rsid w:val="00CD7A8E"/>
    <w:rsid w:val="00CD7AD3"/>
    <w:rsid w:val="00CD7ADE"/>
    <w:rsid w:val="00CD7AE5"/>
    <w:rsid w:val="00CD7B0F"/>
    <w:rsid w:val="00CD7B2B"/>
    <w:rsid w:val="00CD7C2E"/>
    <w:rsid w:val="00CD7C80"/>
    <w:rsid w:val="00CD7D52"/>
    <w:rsid w:val="00CD7D80"/>
    <w:rsid w:val="00CD7D89"/>
    <w:rsid w:val="00CD7E44"/>
    <w:rsid w:val="00CD7EAF"/>
    <w:rsid w:val="00CD7EB9"/>
    <w:rsid w:val="00CD7ECB"/>
    <w:rsid w:val="00CD7ED5"/>
    <w:rsid w:val="00CD7F25"/>
    <w:rsid w:val="00CD7F44"/>
    <w:rsid w:val="00CD7F61"/>
    <w:rsid w:val="00CD7F6F"/>
    <w:rsid w:val="00CE008F"/>
    <w:rsid w:val="00CE01AE"/>
    <w:rsid w:val="00CE0200"/>
    <w:rsid w:val="00CE0265"/>
    <w:rsid w:val="00CE02A6"/>
    <w:rsid w:val="00CE02B7"/>
    <w:rsid w:val="00CE02D3"/>
    <w:rsid w:val="00CE0342"/>
    <w:rsid w:val="00CE03C0"/>
    <w:rsid w:val="00CE04BC"/>
    <w:rsid w:val="00CE04FD"/>
    <w:rsid w:val="00CE0591"/>
    <w:rsid w:val="00CE0593"/>
    <w:rsid w:val="00CE05C2"/>
    <w:rsid w:val="00CE05C7"/>
    <w:rsid w:val="00CE05D8"/>
    <w:rsid w:val="00CE0605"/>
    <w:rsid w:val="00CE0609"/>
    <w:rsid w:val="00CE07B7"/>
    <w:rsid w:val="00CE07B9"/>
    <w:rsid w:val="00CE0804"/>
    <w:rsid w:val="00CE0823"/>
    <w:rsid w:val="00CE086E"/>
    <w:rsid w:val="00CE0870"/>
    <w:rsid w:val="00CE093D"/>
    <w:rsid w:val="00CE097C"/>
    <w:rsid w:val="00CE0A81"/>
    <w:rsid w:val="00CE0B15"/>
    <w:rsid w:val="00CE0BCC"/>
    <w:rsid w:val="00CE0BD6"/>
    <w:rsid w:val="00CE0CCA"/>
    <w:rsid w:val="00CE0DB1"/>
    <w:rsid w:val="00CE0E2A"/>
    <w:rsid w:val="00CE0E46"/>
    <w:rsid w:val="00CE0E6F"/>
    <w:rsid w:val="00CE0E8C"/>
    <w:rsid w:val="00CE0EEB"/>
    <w:rsid w:val="00CE0F07"/>
    <w:rsid w:val="00CE0F1B"/>
    <w:rsid w:val="00CE0F52"/>
    <w:rsid w:val="00CE0F75"/>
    <w:rsid w:val="00CE0F92"/>
    <w:rsid w:val="00CE1088"/>
    <w:rsid w:val="00CE10AE"/>
    <w:rsid w:val="00CE111C"/>
    <w:rsid w:val="00CE1183"/>
    <w:rsid w:val="00CE11B9"/>
    <w:rsid w:val="00CE11DA"/>
    <w:rsid w:val="00CE1285"/>
    <w:rsid w:val="00CE1323"/>
    <w:rsid w:val="00CE135C"/>
    <w:rsid w:val="00CE1441"/>
    <w:rsid w:val="00CE1479"/>
    <w:rsid w:val="00CE1501"/>
    <w:rsid w:val="00CE1551"/>
    <w:rsid w:val="00CE156D"/>
    <w:rsid w:val="00CE1582"/>
    <w:rsid w:val="00CE158C"/>
    <w:rsid w:val="00CE15DC"/>
    <w:rsid w:val="00CE15EB"/>
    <w:rsid w:val="00CE1670"/>
    <w:rsid w:val="00CE16CD"/>
    <w:rsid w:val="00CE170C"/>
    <w:rsid w:val="00CE1747"/>
    <w:rsid w:val="00CE17CB"/>
    <w:rsid w:val="00CE17E9"/>
    <w:rsid w:val="00CE1815"/>
    <w:rsid w:val="00CE194C"/>
    <w:rsid w:val="00CE19A8"/>
    <w:rsid w:val="00CE19A9"/>
    <w:rsid w:val="00CE19DD"/>
    <w:rsid w:val="00CE1A1A"/>
    <w:rsid w:val="00CE1A41"/>
    <w:rsid w:val="00CE1B13"/>
    <w:rsid w:val="00CE1B28"/>
    <w:rsid w:val="00CE1B53"/>
    <w:rsid w:val="00CE1B6D"/>
    <w:rsid w:val="00CE1B87"/>
    <w:rsid w:val="00CE1C45"/>
    <w:rsid w:val="00CE1C63"/>
    <w:rsid w:val="00CE1C81"/>
    <w:rsid w:val="00CE1D06"/>
    <w:rsid w:val="00CE1D98"/>
    <w:rsid w:val="00CE1DA9"/>
    <w:rsid w:val="00CE1DF1"/>
    <w:rsid w:val="00CE1E09"/>
    <w:rsid w:val="00CE1E88"/>
    <w:rsid w:val="00CE1F2E"/>
    <w:rsid w:val="00CE1FB5"/>
    <w:rsid w:val="00CE2022"/>
    <w:rsid w:val="00CE203E"/>
    <w:rsid w:val="00CE20AA"/>
    <w:rsid w:val="00CE20D5"/>
    <w:rsid w:val="00CE2133"/>
    <w:rsid w:val="00CE2134"/>
    <w:rsid w:val="00CE21C9"/>
    <w:rsid w:val="00CE2294"/>
    <w:rsid w:val="00CE229A"/>
    <w:rsid w:val="00CE22B8"/>
    <w:rsid w:val="00CE22ED"/>
    <w:rsid w:val="00CE22FA"/>
    <w:rsid w:val="00CE2314"/>
    <w:rsid w:val="00CE2386"/>
    <w:rsid w:val="00CE238B"/>
    <w:rsid w:val="00CE239A"/>
    <w:rsid w:val="00CE23F9"/>
    <w:rsid w:val="00CE23FA"/>
    <w:rsid w:val="00CE2506"/>
    <w:rsid w:val="00CE2542"/>
    <w:rsid w:val="00CE2549"/>
    <w:rsid w:val="00CE261C"/>
    <w:rsid w:val="00CE26BE"/>
    <w:rsid w:val="00CE26DF"/>
    <w:rsid w:val="00CE26FB"/>
    <w:rsid w:val="00CE2797"/>
    <w:rsid w:val="00CE279C"/>
    <w:rsid w:val="00CE296B"/>
    <w:rsid w:val="00CE296E"/>
    <w:rsid w:val="00CE2A06"/>
    <w:rsid w:val="00CE2AD9"/>
    <w:rsid w:val="00CE2B20"/>
    <w:rsid w:val="00CE2B68"/>
    <w:rsid w:val="00CE2BD8"/>
    <w:rsid w:val="00CE2BDB"/>
    <w:rsid w:val="00CE2C07"/>
    <w:rsid w:val="00CE2C58"/>
    <w:rsid w:val="00CE2D04"/>
    <w:rsid w:val="00CE2D2D"/>
    <w:rsid w:val="00CE2DA2"/>
    <w:rsid w:val="00CE2DB6"/>
    <w:rsid w:val="00CE2E04"/>
    <w:rsid w:val="00CE2E3E"/>
    <w:rsid w:val="00CE2E51"/>
    <w:rsid w:val="00CE2F06"/>
    <w:rsid w:val="00CE2F31"/>
    <w:rsid w:val="00CE2FB1"/>
    <w:rsid w:val="00CE2FDB"/>
    <w:rsid w:val="00CE305C"/>
    <w:rsid w:val="00CE308A"/>
    <w:rsid w:val="00CE311D"/>
    <w:rsid w:val="00CE31DD"/>
    <w:rsid w:val="00CE31F8"/>
    <w:rsid w:val="00CE331E"/>
    <w:rsid w:val="00CE3469"/>
    <w:rsid w:val="00CE3493"/>
    <w:rsid w:val="00CE34C5"/>
    <w:rsid w:val="00CE351B"/>
    <w:rsid w:val="00CE3528"/>
    <w:rsid w:val="00CE355B"/>
    <w:rsid w:val="00CE35E0"/>
    <w:rsid w:val="00CE36BD"/>
    <w:rsid w:val="00CE36C2"/>
    <w:rsid w:val="00CE36D1"/>
    <w:rsid w:val="00CE375A"/>
    <w:rsid w:val="00CE375C"/>
    <w:rsid w:val="00CE3821"/>
    <w:rsid w:val="00CE385C"/>
    <w:rsid w:val="00CE38C3"/>
    <w:rsid w:val="00CE39A0"/>
    <w:rsid w:val="00CE39C8"/>
    <w:rsid w:val="00CE3A7C"/>
    <w:rsid w:val="00CE3AEE"/>
    <w:rsid w:val="00CE3BCA"/>
    <w:rsid w:val="00CE3BF3"/>
    <w:rsid w:val="00CE3C21"/>
    <w:rsid w:val="00CE3C27"/>
    <w:rsid w:val="00CE3C4E"/>
    <w:rsid w:val="00CE3C5B"/>
    <w:rsid w:val="00CE3C79"/>
    <w:rsid w:val="00CE3CE1"/>
    <w:rsid w:val="00CE3D3B"/>
    <w:rsid w:val="00CE3DFD"/>
    <w:rsid w:val="00CE3E8C"/>
    <w:rsid w:val="00CE3EA2"/>
    <w:rsid w:val="00CE3EED"/>
    <w:rsid w:val="00CE3FA3"/>
    <w:rsid w:val="00CE3FCD"/>
    <w:rsid w:val="00CE403B"/>
    <w:rsid w:val="00CE412B"/>
    <w:rsid w:val="00CE41A0"/>
    <w:rsid w:val="00CE41BB"/>
    <w:rsid w:val="00CE425F"/>
    <w:rsid w:val="00CE42AE"/>
    <w:rsid w:val="00CE42BF"/>
    <w:rsid w:val="00CE42F6"/>
    <w:rsid w:val="00CE4335"/>
    <w:rsid w:val="00CE4392"/>
    <w:rsid w:val="00CE43AF"/>
    <w:rsid w:val="00CE446A"/>
    <w:rsid w:val="00CE4479"/>
    <w:rsid w:val="00CE448D"/>
    <w:rsid w:val="00CE4500"/>
    <w:rsid w:val="00CE450A"/>
    <w:rsid w:val="00CE4536"/>
    <w:rsid w:val="00CE4545"/>
    <w:rsid w:val="00CE45D8"/>
    <w:rsid w:val="00CE4608"/>
    <w:rsid w:val="00CE4764"/>
    <w:rsid w:val="00CE4767"/>
    <w:rsid w:val="00CE486C"/>
    <w:rsid w:val="00CE48B0"/>
    <w:rsid w:val="00CE4962"/>
    <w:rsid w:val="00CE49DE"/>
    <w:rsid w:val="00CE4AC7"/>
    <w:rsid w:val="00CE4AED"/>
    <w:rsid w:val="00CE4B84"/>
    <w:rsid w:val="00CE4C3B"/>
    <w:rsid w:val="00CE4C48"/>
    <w:rsid w:val="00CE4CC4"/>
    <w:rsid w:val="00CE4CF2"/>
    <w:rsid w:val="00CE4D25"/>
    <w:rsid w:val="00CE4D3A"/>
    <w:rsid w:val="00CE4DDE"/>
    <w:rsid w:val="00CE4E54"/>
    <w:rsid w:val="00CE4EF6"/>
    <w:rsid w:val="00CE4F63"/>
    <w:rsid w:val="00CE4F94"/>
    <w:rsid w:val="00CE500B"/>
    <w:rsid w:val="00CE50BF"/>
    <w:rsid w:val="00CE5153"/>
    <w:rsid w:val="00CE515B"/>
    <w:rsid w:val="00CE52B8"/>
    <w:rsid w:val="00CE52BB"/>
    <w:rsid w:val="00CE52C1"/>
    <w:rsid w:val="00CE5406"/>
    <w:rsid w:val="00CE5424"/>
    <w:rsid w:val="00CE5435"/>
    <w:rsid w:val="00CE5450"/>
    <w:rsid w:val="00CE5521"/>
    <w:rsid w:val="00CE5551"/>
    <w:rsid w:val="00CE5582"/>
    <w:rsid w:val="00CE5590"/>
    <w:rsid w:val="00CE5600"/>
    <w:rsid w:val="00CE562C"/>
    <w:rsid w:val="00CE56B6"/>
    <w:rsid w:val="00CE56C4"/>
    <w:rsid w:val="00CE578C"/>
    <w:rsid w:val="00CE57AC"/>
    <w:rsid w:val="00CE57B5"/>
    <w:rsid w:val="00CE5833"/>
    <w:rsid w:val="00CE58DF"/>
    <w:rsid w:val="00CE5959"/>
    <w:rsid w:val="00CE59B2"/>
    <w:rsid w:val="00CE59CD"/>
    <w:rsid w:val="00CE59DF"/>
    <w:rsid w:val="00CE5A2D"/>
    <w:rsid w:val="00CE5A62"/>
    <w:rsid w:val="00CE5A84"/>
    <w:rsid w:val="00CE5AB9"/>
    <w:rsid w:val="00CE5B3C"/>
    <w:rsid w:val="00CE5B5E"/>
    <w:rsid w:val="00CE5B8D"/>
    <w:rsid w:val="00CE5BB5"/>
    <w:rsid w:val="00CE5BFB"/>
    <w:rsid w:val="00CE5C2C"/>
    <w:rsid w:val="00CE5C9E"/>
    <w:rsid w:val="00CE5D18"/>
    <w:rsid w:val="00CE5D7C"/>
    <w:rsid w:val="00CE5F5A"/>
    <w:rsid w:val="00CE5FCA"/>
    <w:rsid w:val="00CE6018"/>
    <w:rsid w:val="00CE60B7"/>
    <w:rsid w:val="00CE6149"/>
    <w:rsid w:val="00CE6179"/>
    <w:rsid w:val="00CE626E"/>
    <w:rsid w:val="00CE62A5"/>
    <w:rsid w:val="00CE62C2"/>
    <w:rsid w:val="00CE62CF"/>
    <w:rsid w:val="00CE62E6"/>
    <w:rsid w:val="00CE6369"/>
    <w:rsid w:val="00CE6394"/>
    <w:rsid w:val="00CE63C2"/>
    <w:rsid w:val="00CE63E4"/>
    <w:rsid w:val="00CE6434"/>
    <w:rsid w:val="00CE64BB"/>
    <w:rsid w:val="00CE64FD"/>
    <w:rsid w:val="00CE656B"/>
    <w:rsid w:val="00CE65AE"/>
    <w:rsid w:val="00CE6619"/>
    <w:rsid w:val="00CE662B"/>
    <w:rsid w:val="00CE662C"/>
    <w:rsid w:val="00CE662E"/>
    <w:rsid w:val="00CE666A"/>
    <w:rsid w:val="00CE66CE"/>
    <w:rsid w:val="00CE6868"/>
    <w:rsid w:val="00CE68C1"/>
    <w:rsid w:val="00CE6926"/>
    <w:rsid w:val="00CE6955"/>
    <w:rsid w:val="00CE6977"/>
    <w:rsid w:val="00CE6995"/>
    <w:rsid w:val="00CE6A3E"/>
    <w:rsid w:val="00CE6A4E"/>
    <w:rsid w:val="00CE6AB0"/>
    <w:rsid w:val="00CE6AF3"/>
    <w:rsid w:val="00CE6B5E"/>
    <w:rsid w:val="00CE6BA1"/>
    <w:rsid w:val="00CE6BB8"/>
    <w:rsid w:val="00CE6C2E"/>
    <w:rsid w:val="00CE6CBC"/>
    <w:rsid w:val="00CE6D2C"/>
    <w:rsid w:val="00CE6D80"/>
    <w:rsid w:val="00CE6E40"/>
    <w:rsid w:val="00CE6ECB"/>
    <w:rsid w:val="00CE6EE9"/>
    <w:rsid w:val="00CE6F0B"/>
    <w:rsid w:val="00CE6F0D"/>
    <w:rsid w:val="00CE6F1A"/>
    <w:rsid w:val="00CE6F72"/>
    <w:rsid w:val="00CE6FC9"/>
    <w:rsid w:val="00CE7007"/>
    <w:rsid w:val="00CE70AF"/>
    <w:rsid w:val="00CE7115"/>
    <w:rsid w:val="00CE7155"/>
    <w:rsid w:val="00CE71C4"/>
    <w:rsid w:val="00CE71D0"/>
    <w:rsid w:val="00CE7206"/>
    <w:rsid w:val="00CE7236"/>
    <w:rsid w:val="00CE72F6"/>
    <w:rsid w:val="00CE72FE"/>
    <w:rsid w:val="00CE734E"/>
    <w:rsid w:val="00CE73FC"/>
    <w:rsid w:val="00CE742F"/>
    <w:rsid w:val="00CE7430"/>
    <w:rsid w:val="00CE75C5"/>
    <w:rsid w:val="00CE7605"/>
    <w:rsid w:val="00CE769B"/>
    <w:rsid w:val="00CE7702"/>
    <w:rsid w:val="00CE77A1"/>
    <w:rsid w:val="00CE7860"/>
    <w:rsid w:val="00CE786B"/>
    <w:rsid w:val="00CE7884"/>
    <w:rsid w:val="00CE78DA"/>
    <w:rsid w:val="00CE791F"/>
    <w:rsid w:val="00CE7958"/>
    <w:rsid w:val="00CE79AC"/>
    <w:rsid w:val="00CE7A9F"/>
    <w:rsid w:val="00CE7AAC"/>
    <w:rsid w:val="00CE7ADF"/>
    <w:rsid w:val="00CE7AF5"/>
    <w:rsid w:val="00CE7C3D"/>
    <w:rsid w:val="00CE7C74"/>
    <w:rsid w:val="00CE7DC7"/>
    <w:rsid w:val="00CE7DF0"/>
    <w:rsid w:val="00CE7E48"/>
    <w:rsid w:val="00CE7E8B"/>
    <w:rsid w:val="00CE7EA7"/>
    <w:rsid w:val="00CEA6CE"/>
    <w:rsid w:val="00CF00CB"/>
    <w:rsid w:val="00CF00F2"/>
    <w:rsid w:val="00CF010E"/>
    <w:rsid w:val="00CF020C"/>
    <w:rsid w:val="00CF023B"/>
    <w:rsid w:val="00CF025E"/>
    <w:rsid w:val="00CF027B"/>
    <w:rsid w:val="00CF0290"/>
    <w:rsid w:val="00CF02BF"/>
    <w:rsid w:val="00CF02E3"/>
    <w:rsid w:val="00CF02F0"/>
    <w:rsid w:val="00CF0304"/>
    <w:rsid w:val="00CF03A4"/>
    <w:rsid w:val="00CF03A8"/>
    <w:rsid w:val="00CF045B"/>
    <w:rsid w:val="00CF0485"/>
    <w:rsid w:val="00CF05F5"/>
    <w:rsid w:val="00CF060A"/>
    <w:rsid w:val="00CF06B8"/>
    <w:rsid w:val="00CF06F9"/>
    <w:rsid w:val="00CF07AA"/>
    <w:rsid w:val="00CF07B0"/>
    <w:rsid w:val="00CF07C7"/>
    <w:rsid w:val="00CF07DE"/>
    <w:rsid w:val="00CF08AC"/>
    <w:rsid w:val="00CF098D"/>
    <w:rsid w:val="00CF0A7F"/>
    <w:rsid w:val="00CF0A97"/>
    <w:rsid w:val="00CF0B8F"/>
    <w:rsid w:val="00CF0B91"/>
    <w:rsid w:val="00CF0C7B"/>
    <w:rsid w:val="00CF0C7C"/>
    <w:rsid w:val="00CF0D00"/>
    <w:rsid w:val="00CF0D4F"/>
    <w:rsid w:val="00CF0D9C"/>
    <w:rsid w:val="00CF0DA1"/>
    <w:rsid w:val="00CF0DCD"/>
    <w:rsid w:val="00CF0E52"/>
    <w:rsid w:val="00CF0EAF"/>
    <w:rsid w:val="00CF0EC7"/>
    <w:rsid w:val="00CF0F16"/>
    <w:rsid w:val="00CF0F2C"/>
    <w:rsid w:val="00CF0F2E"/>
    <w:rsid w:val="00CF0FD1"/>
    <w:rsid w:val="00CF1034"/>
    <w:rsid w:val="00CF1036"/>
    <w:rsid w:val="00CF1039"/>
    <w:rsid w:val="00CF1063"/>
    <w:rsid w:val="00CF107F"/>
    <w:rsid w:val="00CF1091"/>
    <w:rsid w:val="00CF1135"/>
    <w:rsid w:val="00CF114E"/>
    <w:rsid w:val="00CF1154"/>
    <w:rsid w:val="00CF11D4"/>
    <w:rsid w:val="00CF11FF"/>
    <w:rsid w:val="00CF1272"/>
    <w:rsid w:val="00CF127A"/>
    <w:rsid w:val="00CF12BA"/>
    <w:rsid w:val="00CF1399"/>
    <w:rsid w:val="00CF13E7"/>
    <w:rsid w:val="00CF1632"/>
    <w:rsid w:val="00CF16EC"/>
    <w:rsid w:val="00CF171B"/>
    <w:rsid w:val="00CF1773"/>
    <w:rsid w:val="00CF177C"/>
    <w:rsid w:val="00CF1816"/>
    <w:rsid w:val="00CF18A2"/>
    <w:rsid w:val="00CF19E1"/>
    <w:rsid w:val="00CF1A2E"/>
    <w:rsid w:val="00CF1A69"/>
    <w:rsid w:val="00CF1AF5"/>
    <w:rsid w:val="00CF1C3F"/>
    <w:rsid w:val="00CF1C5C"/>
    <w:rsid w:val="00CF1D19"/>
    <w:rsid w:val="00CF1DFE"/>
    <w:rsid w:val="00CF1EF0"/>
    <w:rsid w:val="00CF1FB5"/>
    <w:rsid w:val="00CF2042"/>
    <w:rsid w:val="00CF2069"/>
    <w:rsid w:val="00CF20F4"/>
    <w:rsid w:val="00CF213D"/>
    <w:rsid w:val="00CF2218"/>
    <w:rsid w:val="00CF2245"/>
    <w:rsid w:val="00CF225A"/>
    <w:rsid w:val="00CF226A"/>
    <w:rsid w:val="00CF22AD"/>
    <w:rsid w:val="00CF22FA"/>
    <w:rsid w:val="00CF2318"/>
    <w:rsid w:val="00CF23A7"/>
    <w:rsid w:val="00CF23AB"/>
    <w:rsid w:val="00CF23B8"/>
    <w:rsid w:val="00CF2411"/>
    <w:rsid w:val="00CF242E"/>
    <w:rsid w:val="00CF2543"/>
    <w:rsid w:val="00CF25D4"/>
    <w:rsid w:val="00CF261E"/>
    <w:rsid w:val="00CF2713"/>
    <w:rsid w:val="00CF279E"/>
    <w:rsid w:val="00CF2848"/>
    <w:rsid w:val="00CF287E"/>
    <w:rsid w:val="00CF28ED"/>
    <w:rsid w:val="00CF290B"/>
    <w:rsid w:val="00CF295A"/>
    <w:rsid w:val="00CF295E"/>
    <w:rsid w:val="00CF29B4"/>
    <w:rsid w:val="00CF2A0C"/>
    <w:rsid w:val="00CF2A11"/>
    <w:rsid w:val="00CF2A3E"/>
    <w:rsid w:val="00CF2AD2"/>
    <w:rsid w:val="00CF2AFF"/>
    <w:rsid w:val="00CF2B23"/>
    <w:rsid w:val="00CF2BFC"/>
    <w:rsid w:val="00CF2C14"/>
    <w:rsid w:val="00CF2C22"/>
    <w:rsid w:val="00CF2C27"/>
    <w:rsid w:val="00CF2CAC"/>
    <w:rsid w:val="00CF2D74"/>
    <w:rsid w:val="00CF2E27"/>
    <w:rsid w:val="00CF2E9D"/>
    <w:rsid w:val="00CF2EA6"/>
    <w:rsid w:val="00CF2F0A"/>
    <w:rsid w:val="00CF2F5F"/>
    <w:rsid w:val="00CF3075"/>
    <w:rsid w:val="00CF3125"/>
    <w:rsid w:val="00CF314B"/>
    <w:rsid w:val="00CF325A"/>
    <w:rsid w:val="00CF330D"/>
    <w:rsid w:val="00CF33D0"/>
    <w:rsid w:val="00CF343B"/>
    <w:rsid w:val="00CF3449"/>
    <w:rsid w:val="00CF34AE"/>
    <w:rsid w:val="00CF3533"/>
    <w:rsid w:val="00CF3597"/>
    <w:rsid w:val="00CF35AA"/>
    <w:rsid w:val="00CF35C9"/>
    <w:rsid w:val="00CF3792"/>
    <w:rsid w:val="00CF3842"/>
    <w:rsid w:val="00CF38E9"/>
    <w:rsid w:val="00CF39B8"/>
    <w:rsid w:val="00CF3A9F"/>
    <w:rsid w:val="00CF3B94"/>
    <w:rsid w:val="00CF3BF9"/>
    <w:rsid w:val="00CF3C52"/>
    <w:rsid w:val="00CF3C97"/>
    <w:rsid w:val="00CF3CC7"/>
    <w:rsid w:val="00CF3CD3"/>
    <w:rsid w:val="00CF3CE0"/>
    <w:rsid w:val="00CF3CFC"/>
    <w:rsid w:val="00CF3E50"/>
    <w:rsid w:val="00CF3E80"/>
    <w:rsid w:val="00CF3EA3"/>
    <w:rsid w:val="00CF3EF3"/>
    <w:rsid w:val="00CF3EFD"/>
    <w:rsid w:val="00CF3F6D"/>
    <w:rsid w:val="00CF3FD0"/>
    <w:rsid w:val="00CF4031"/>
    <w:rsid w:val="00CF40E8"/>
    <w:rsid w:val="00CF4104"/>
    <w:rsid w:val="00CF4123"/>
    <w:rsid w:val="00CF4281"/>
    <w:rsid w:val="00CF42F7"/>
    <w:rsid w:val="00CF433B"/>
    <w:rsid w:val="00CF4340"/>
    <w:rsid w:val="00CF4362"/>
    <w:rsid w:val="00CF4373"/>
    <w:rsid w:val="00CF45FC"/>
    <w:rsid w:val="00CF4613"/>
    <w:rsid w:val="00CF46C0"/>
    <w:rsid w:val="00CF46FC"/>
    <w:rsid w:val="00CF4752"/>
    <w:rsid w:val="00CF475A"/>
    <w:rsid w:val="00CF4796"/>
    <w:rsid w:val="00CF481B"/>
    <w:rsid w:val="00CF4845"/>
    <w:rsid w:val="00CF4849"/>
    <w:rsid w:val="00CF48F9"/>
    <w:rsid w:val="00CF4A77"/>
    <w:rsid w:val="00CF4A7D"/>
    <w:rsid w:val="00CF4AFB"/>
    <w:rsid w:val="00CF4B68"/>
    <w:rsid w:val="00CF4BC6"/>
    <w:rsid w:val="00CF4BEC"/>
    <w:rsid w:val="00CF4C65"/>
    <w:rsid w:val="00CF4C6A"/>
    <w:rsid w:val="00CF4C76"/>
    <w:rsid w:val="00CF4C91"/>
    <w:rsid w:val="00CF4C9A"/>
    <w:rsid w:val="00CF4D9A"/>
    <w:rsid w:val="00CF4E07"/>
    <w:rsid w:val="00CF4E93"/>
    <w:rsid w:val="00CF4F18"/>
    <w:rsid w:val="00CF5006"/>
    <w:rsid w:val="00CF5041"/>
    <w:rsid w:val="00CF5050"/>
    <w:rsid w:val="00CF505B"/>
    <w:rsid w:val="00CF5105"/>
    <w:rsid w:val="00CF5116"/>
    <w:rsid w:val="00CF5160"/>
    <w:rsid w:val="00CF5163"/>
    <w:rsid w:val="00CF5177"/>
    <w:rsid w:val="00CF51BC"/>
    <w:rsid w:val="00CF5200"/>
    <w:rsid w:val="00CF5244"/>
    <w:rsid w:val="00CF524D"/>
    <w:rsid w:val="00CF52B8"/>
    <w:rsid w:val="00CF52C8"/>
    <w:rsid w:val="00CF533E"/>
    <w:rsid w:val="00CF534D"/>
    <w:rsid w:val="00CF53A0"/>
    <w:rsid w:val="00CF53AA"/>
    <w:rsid w:val="00CF53B4"/>
    <w:rsid w:val="00CF54C2"/>
    <w:rsid w:val="00CF54D6"/>
    <w:rsid w:val="00CF5611"/>
    <w:rsid w:val="00CF562B"/>
    <w:rsid w:val="00CF564B"/>
    <w:rsid w:val="00CF570D"/>
    <w:rsid w:val="00CF5733"/>
    <w:rsid w:val="00CF57D6"/>
    <w:rsid w:val="00CF590C"/>
    <w:rsid w:val="00CF5936"/>
    <w:rsid w:val="00CF5937"/>
    <w:rsid w:val="00CF5A33"/>
    <w:rsid w:val="00CF5A8F"/>
    <w:rsid w:val="00CF5A94"/>
    <w:rsid w:val="00CF5AC0"/>
    <w:rsid w:val="00CF5C9C"/>
    <w:rsid w:val="00CF5D98"/>
    <w:rsid w:val="00CF5DDD"/>
    <w:rsid w:val="00CF5E02"/>
    <w:rsid w:val="00CF5EA3"/>
    <w:rsid w:val="00CF5F14"/>
    <w:rsid w:val="00CF5F27"/>
    <w:rsid w:val="00CF5F4D"/>
    <w:rsid w:val="00CF5FFC"/>
    <w:rsid w:val="00CF6010"/>
    <w:rsid w:val="00CF6067"/>
    <w:rsid w:val="00CF6068"/>
    <w:rsid w:val="00CF6071"/>
    <w:rsid w:val="00CF6077"/>
    <w:rsid w:val="00CF6092"/>
    <w:rsid w:val="00CF60A3"/>
    <w:rsid w:val="00CF60D4"/>
    <w:rsid w:val="00CF60D5"/>
    <w:rsid w:val="00CF60D8"/>
    <w:rsid w:val="00CF6142"/>
    <w:rsid w:val="00CF6164"/>
    <w:rsid w:val="00CF6170"/>
    <w:rsid w:val="00CF6194"/>
    <w:rsid w:val="00CF61C4"/>
    <w:rsid w:val="00CF622D"/>
    <w:rsid w:val="00CF6248"/>
    <w:rsid w:val="00CF627E"/>
    <w:rsid w:val="00CF62B0"/>
    <w:rsid w:val="00CF6310"/>
    <w:rsid w:val="00CF6352"/>
    <w:rsid w:val="00CF637A"/>
    <w:rsid w:val="00CF642E"/>
    <w:rsid w:val="00CF645A"/>
    <w:rsid w:val="00CF6476"/>
    <w:rsid w:val="00CF6477"/>
    <w:rsid w:val="00CF64B3"/>
    <w:rsid w:val="00CF64B7"/>
    <w:rsid w:val="00CF64DF"/>
    <w:rsid w:val="00CF65AD"/>
    <w:rsid w:val="00CF65E7"/>
    <w:rsid w:val="00CF66BC"/>
    <w:rsid w:val="00CF6702"/>
    <w:rsid w:val="00CF672E"/>
    <w:rsid w:val="00CF674C"/>
    <w:rsid w:val="00CF67BE"/>
    <w:rsid w:val="00CF6859"/>
    <w:rsid w:val="00CF68CC"/>
    <w:rsid w:val="00CF6987"/>
    <w:rsid w:val="00CF6997"/>
    <w:rsid w:val="00CF6A8C"/>
    <w:rsid w:val="00CF6ADF"/>
    <w:rsid w:val="00CF6B38"/>
    <w:rsid w:val="00CF6B64"/>
    <w:rsid w:val="00CF6B9A"/>
    <w:rsid w:val="00CF6C36"/>
    <w:rsid w:val="00CF6C70"/>
    <w:rsid w:val="00CF6DDD"/>
    <w:rsid w:val="00CF6E40"/>
    <w:rsid w:val="00CF6E4B"/>
    <w:rsid w:val="00CF6E86"/>
    <w:rsid w:val="00CF6E91"/>
    <w:rsid w:val="00CF6F2E"/>
    <w:rsid w:val="00CF6F59"/>
    <w:rsid w:val="00CF6FF7"/>
    <w:rsid w:val="00CF700B"/>
    <w:rsid w:val="00CF7044"/>
    <w:rsid w:val="00CF70AB"/>
    <w:rsid w:val="00CF70C7"/>
    <w:rsid w:val="00CF7118"/>
    <w:rsid w:val="00CF7125"/>
    <w:rsid w:val="00CF712F"/>
    <w:rsid w:val="00CF717C"/>
    <w:rsid w:val="00CF7199"/>
    <w:rsid w:val="00CF7226"/>
    <w:rsid w:val="00CF72A1"/>
    <w:rsid w:val="00CF72EB"/>
    <w:rsid w:val="00CF7351"/>
    <w:rsid w:val="00CF7361"/>
    <w:rsid w:val="00CF73EA"/>
    <w:rsid w:val="00CF7438"/>
    <w:rsid w:val="00CF74D2"/>
    <w:rsid w:val="00CF753B"/>
    <w:rsid w:val="00CF758B"/>
    <w:rsid w:val="00CF7731"/>
    <w:rsid w:val="00CF774F"/>
    <w:rsid w:val="00CF7805"/>
    <w:rsid w:val="00CF7820"/>
    <w:rsid w:val="00CF782D"/>
    <w:rsid w:val="00CF7845"/>
    <w:rsid w:val="00CF78D7"/>
    <w:rsid w:val="00CF7D18"/>
    <w:rsid w:val="00CF7D82"/>
    <w:rsid w:val="00CF7E2A"/>
    <w:rsid w:val="00CF7E93"/>
    <w:rsid w:val="00CF7EA2"/>
    <w:rsid w:val="00CF7EAD"/>
    <w:rsid w:val="00CF7ECB"/>
    <w:rsid w:val="00CF7EDF"/>
    <w:rsid w:val="00CF7F06"/>
    <w:rsid w:val="00CF7F19"/>
    <w:rsid w:val="00CF7F32"/>
    <w:rsid w:val="00CF7F8F"/>
    <w:rsid w:val="00CF7FD2"/>
    <w:rsid w:val="00D00000"/>
    <w:rsid w:val="00D000CA"/>
    <w:rsid w:val="00D00121"/>
    <w:rsid w:val="00D00158"/>
    <w:rsid w:val="00D00177"/>
    <w:rsid w:val="00D0019A"/>
    <w:rsid w:val="00D001A9"/>
    <w:rsid w:val="00D001AB"/>
    <w:rsid w:val="00D00312"/>
    <w:rsid w:val="00D00322"/>
    <w:rsid w:val="00D0037A"/>
    <w:rsid w:val="00D003AE"/>
    <w:rsid w:val="00D003BD"/>
    <w:rsid w:val="00D003FC"/>
    <w:rsid w:val="00D0041F"/>
    <w:rsid w:val="00D0044B"/>
    <w:rsid w:val="00D004A3"/>
    <w:rsid w:val="00D004CB"/>
    <w:rsid w:val="00D0053C"/>
    <w:rsid w:val="00D0055A"/>
    <w:rsid w:val="00D0056F"/>
    <w:rsid w:val="00D0066B"/>
    <w:rsid w:val="00D0080A"/>
    <w:rsid w:val="00D00838"/>
    <w:rsid w:val="00D0088C"/>
    <w:rsid w:val="00D00890"/>
    <w:rsid w:val="00D008F8"/>
    <w:rsid w:val="00D0092E"/>
    <w:rsid w:val="00D00937"/>
    <w:rsid w:val="00D00972"/>
    <w:rsid w:val="00D00AC8"/>
    <w:rsid w:val="00D00BD9"/>
    <w:rsid w:val="00D00BDB"/>
    <w:rsid w:val="00D00C79"/>
    <w:rsid w:val="00D00CD0"/>
    <w:rsid w:val="00D00D56"/>
    <w:rsid w:val="00D00D5F"/>
    <w:rsid w:val="00D00DCC"/>
    <w:rsid w:val="00D00DDB"/>
    <w:rsid w:val="00D00DDF"/>
    <w:rsid w:val="00D00E88"/>
    <w:rsid w:val="00D00F44"/>
    <w:rsid w:val="00D00F76"/>
    <w:rsid w:val="00D00FB5"/>
    <w:rsid w:val="00D00FF4"/>
    <w:rsid w:val="00D0106B"/>
    <w:rsid w:val="00D0107D"/>
    <w:rsid w:val="00D0108D"/>
    <w:rsid w:val="00D010BA"/>
    <w:rsid w:val="00D010C9"/>
    <w:rsid w:val="00D010F2"/>
    <w:rsid w:val="00D01101"/>
    <w:rsid w:val="00D01269"/>
    <w:rsid w:val="00D0129E"/>
    <w:rsid w:val="00D012B2"/>
    <w:rsid w:val="00D01374"/>
    <w:rsid w:val="00D013A7"/>
    <w:rsid w:val="00D013E0"/>
    <w:rsid w:val="00D01415"/>
    <w:rsid w:val="00D0144B"/>
    <w:rsid w:val="00D01473"/>
    <w:rsid w:val="00D01488"/>
    <w:rsid w:val="00D0156F"/>
    <w:rsid w:val="00D0157A"/>
    <w:rsid w:val="00D015CB"/>
    <w:rsid w:val="00D015CD"/>
    <w:rsid w:val="00D01615"/>
    <w:rsid w:val="00D01634"/>
    <w:rsid w:val="00D01642"/>
    <w:rsid w:val="00D0164B"/>
    <w:rsid w:val="00D016D4"/>
    <w:rsid w:val="00D016F6"/>
    <w:rsid w:val="00D01759"/>
    <w:rsid w:val="00D01762"/>
    <w:rsid w:val="00D01785"/>
    <w:rsid w:val="00D01808"/>
    <w:rsid w:val="00D018CF"/>
    <w:rsid w:val="00D018D3"/>
    <w:rsid w:val="00D01A62"/>
    <w:rsid w:val="00D01A64"/>
    <w:rsid w:val="00D01AA6"/>
    <w:rsid w:val="00D01B03"/>
    <w:rsid w:val="00D01B1A"/>
    <w:rsid w:val="00D01B1B"/>
    <w:rsid w:val="00D01B3C"/>
    <w:rsid w:val="00D01B4C"/>
    <w:rsid w:val="00D01B5A"/>
    <w:rsid w:val="00D01B8B"/>
    <w:rsid w:val="00D01BAE"/>
    <w:rsid w:val="00D01BE7"/>
    <w:rsid w:val="00D01C66"/>
    <w:rsid w:val="00D01D86"/>
    <w:rsid w:val="00D01D96"/>
    <w:rsid w:val="00D01DE2"/>
    <w:rsid w:val="00D01E46"/>
    <w:rsid w:val="00D01FAC"/>
    <w:rsid w:val="00D02039"/>
    <w:rsid w:val="00D0214E"/>
    <w:rsid w:val="00D0218C"/>
    <w:rsid w:val="00D021C8"/>
    <w:rsid w:val="00D021D5"/>
    <w:rsid w:val="00D021E8"/>
    <w:rsid w:val="00D021EF"/>
    <w:rsid w:val="00D021FB"/>
    <w:rsid w:val="00D02211"/>
    <w:rsid w:val="00D02220"/>
    <w:rsid w:val="00D022F1"/>
    <w:rsid w:val="00D0238F"/>
    <w:rsid w:val="00D023DB"/>
    <w:rsid w:val="00D02433"/>
    <w:rsid w:val="00D02440"/>
    <w:rsid w:val="00D0246B"/>
    <w:rsid w:val="00D024EF"/>
    <w:rsid w:val="00D02506"/>
    <w:rsid w:val="00D0252D"/>
    <w:rsid w:val="00D02530"/>
    <w:rsid w:val="00D02560"/>
    <w:rsid w:val="00D025CC"/>
    <w:rsid w:val="00D02860"/>
    <w:rsid w:val="00D02880"/>
    <w:rsid w:val="00D028CF"/>
    <w:rsid w:val="00D0299F"/>
    <w:rsid w:val="00D02A32"/>
    <w:rsid w:val="00D02A41"/>
    <w:rsid w:val="00D02B10"/>
    <w:rsid w:val="00D02BDA"/>
    <w:rsid w:val="00D02C11"/>
    <w:rsid w:val="00D02C25"/>
    <w:rsid w:val="00D02D92"/>
    <w:rsid w:val="00D02D98"/>
    <w:rsid w:val="00D02E9C"/>
    <w:rsid w:val="00D02EEB"/>
    <w:rsid w:val="00D02EEF"/>
    <w:rsid w:val="00D02F6E"/>
    <w:rsid w:val="00D02FD1"/>
    <w:rsid w:val="00D03041"/>
    <w:rsid w:val="00D0307D"/>
    <w:rsid w:val="00D03089"/>
    <w:rsid w:val="00D030D6"/>
    <w:rsid w:val="00D03120"/>
    <w:rsid w:val="00D031B1"/>
    <w:rsid w:val="00D031D7"/>
    <w:rsid w:val="00D031EB"/>
    <w:rsid w:val="00D03247"/>
    <w:rsid w:val="00D0325A"/>
    <w:rsid w:val="00D03273"/>
    <w:rsid w:val="00D032DF"/>
    <w:rsid w:val="00D032EB"/>
    <w:rsid w:val="00D03310"/>
    <w:rsid w:val="00D033CD"/>
    <w:rsid w:val="00D033EC"/>
    <w:rsid w:val="00D03523"/>
    <w:rsid w:val="00D0352E"/>
    <w:rsid w:val="00D0354B"/>
    <w:rsid w:val="00D0355F"/>
    <w:rsid w:val="00D03579"/>
    <w:rsid w:val="00D03637"/>
    <w:rsid w:val="00D03650"/>
    <w:rsid w:val="00D036BF"/>
    <w:rsid w:val="00D03715"/>
    <w:rsid w:val="00D0374C"/>
    <w:rsid w:val="00D03756"/>
    <w:rsid w:val="00D037DB"/>
    <w:rsid w:val="00D0389D"/>
    <w:rsid w:val="00D038B8"/>
    <w:rsid w:val="00D03979"/>
    <w:rsid w:val="00D039A2"/>
    <w:rsid w:val="00D039DE"/>
    <w:rsid w:val="00D03A12"/>
    <w:rsid w:val="00D03A4E"/>
    <w:rsid w:val="00D03A8C"/>
    <w:rsid w:val="00D03B39"/>
    <w:rsid w:val="00D03B79"/>
    <w:rsid w:val="00D03C1A"/>
    <w:rsid w:val="00D03C43"/>
    <w:rsid w:val="00D03C46"/>
    <w:rsid w:val="00D03C79"/>
    <w:rsid w:val="00D03CA8"/>
    <w:rsid w:val="00D03CBC"/>
    <w:rsid w:val="00D03CD9"/>
    <w:rsid w:val="00D03D85"/>
    <w:rsid w:val="00D03D9D"/>
    <w:rsid w:val="00D03DBE"/>
    <w:rsid w:val="00D03DE4"/>
    <w:rsid w:val="00D03E19"/>
    <w:rsid w:val="00D03E2D"/>
    <w:rsid w:val="00D03E36"/>
    <w:rsid w:val="00D03E80"/>
    <w:rsid w:val="00D03E8E"/>
    <w:rsid w:val="00D03F03"/>
    <w:rsid w:val="00D03FCE"/>
    <w:rsid w:val="00D03FD4"/>
    <w:rsid w:val="00D04036"/>
    <w:rsid w:val="00D040C3"/>
    <w:rsid w:val="00D04122"/>
    <w:rsid w:val="00D041ED"/>
    <w:rsid w:val="00D04227"/>
    <w:rsid w:val="00D0429D"/>
    <w:rsid w:val="00D042F1"/>
    <w:rsid w:val="00D043FA"/>
    <w:rsid w:val="00D04410"/>
    <w:rsid w:val="00D0444D"/>
    <w:rsid w:val="00D0446F"/>
    <w:rsid w:val="00D0458A"/>
    <w:rsid w:val="00D045C4"/>
    <w:rsid w:val="00D045D0"/>
    <w:rsid w:val="00D04650"/>
    <w:rsid w:val="00D04697"/>
    <w:rsid w:val="00D04727"/>
    <w:rsid w:val="00D04758"/>
    <w:rsid w:val="00D047AB"/>
    <w:rsid w:val="00D048B4"/>
    <w:rsid w:val="00D048C1"/>
    <w:rsid w:val="00D049DC"/>
    <w:rsid w:val="00D04A14"/>
    <w:rsid w:val="00D04A50"/>
    <w:rsid w:val="00D04A6C"/>
    <w:rsid w:val="00D04AAD"/>
    <w:rsid w:val="00D04AEC"/>
    <w:rsid w:val="00D04B70"/>
    <w:rsid w:val="00D04B7B"/>
    <w:rsid w:val="00D04BFA"/>
    <w:rsid w:val="00D04C39"/>
    <w:rsid w:val="00D04C90"/>
    <w:rsid w:val="00D04CE2"/>
    <w:rsid w:val="00D04D47"/>
    <w:rsid w:val="00D04DC7"/>
    <w:rsid w:val="00D04E00"/>
    <w:rsid w:val="00D04E1A"/>
    <w:rsid w:val="00D04E1F"/>
    <w:rsid w:val="00D04E4E"/>
    <w:rsid w:val="00D04E62"/>
    <w:rsid w:val="00D04E97"/>
    <w:rsid w:val="00D04F00"/>
    <w:rsid w:val="00D04F05"/>
    <w:rsid w:val="00D0501D"/>
    <w:rsid w:val="00D05037"/>
    <w:rsid w:val="00D050DE"/>
    <w:rsid w:val="00D05185"/>
    <w:rsid w:val="00D051A6"/>
    <w:rsid w:val="00D051C6"/>
    <w:rsid w:val="00D05216"/>
    <w:rsid w:val="00D05232"/>
    <w:rsid w:val="00D0523F"/>
    <w:rsid w:val="00D052F9"/>
    <w:rsid w:val="00D0533C"/>
    <w:rsid w:val="00D053FC"/>
    <w:rsid w:val="00D05444"/>
    <w:rsid w:val="00D05459"/>
    <w:rsid w:val="00D0549D"/>
    <w:rsid w:val="00D05554"/>
    <w:rsid w:val="00D055FC"/>
    <w:rsid w:val="00D056B6"/>
    <w:rsid w:val="00D057D0"/>
    <w:rsid w:val="00D057D5"/>
    <w:rsid w:val="00D0585E"/>
    <w:rsid w:val="00D058D7"/>
    <w:rsid w:val="00D058E1"/>
    <w:rsid w:val="00D05921"/>
    <w:rsid w:val="00D0594E"/>
    <w:rsid w:val="00D05977"/>
    <w:rsid w:val="00D059B6"/>
    <w:rsid w:val="00D05A41"/>
    <w:rsid w:val="00D05B03"/>
    <w:rsid w:val="00D05B21"/>
    <w:rsid w:val="00D05B34"/>
    <w:rsid w:val="00D05B78"/>
    <w:rsid w:val="00D05BD7"/>
    <w:rsid w:val="00D05C92"/>
    <w:rsid w:val="00D05CC6"/>
    <w:rsid w:val="00D05CFE"/>
    <w:rsid w:val="00D05DAE"/>
    <w:rsid w:val="00D05DF2"/>
    <w:rsid w:val="00D05E29"/>
    <w:rsid w:val="00D05E45"/>
    <w:rsid w:val="00D05F64"/>
    <w:rsid w:val="00D06005"/>
    <w:rsid w:val="00D06060"/>
    <w:rsid w:val="00D06095"/>
    <w:rsid w:val="00D060FA"/>
    <w:rsid w:val="00D061F8"/>
    <w:rsid w:val="00D06254"/>
    <w:rsid w:val="00D06274"/>
    <w:rsid w:val="00D062BB"/>
    <w:rsid w:val="00D06420"/>
    <w:rsid w:val="00D064DA"/>
    <w:rsid w:val="00D064E7"/>
    <w:rsid w:val="00D06539"/>
    <w:rsid w:val="00D06574"/>
    <w:rsid w:val="00D065E3"/>
    <w:rsid w:val="00D06638"/>
    <w:rsid w:val="00D066B2"/>
    <w:rsid w:val="00D06773"/>
    <w:rsid w:val="00D06806"/>
    <w:rsid w:val="00D0689D"/>
    <w:rsid w:val="00D068A8"/>
    <w:rsid w:val="00D068EE"/>
    <w:rsid w:val="00D06A3D"/>
    <w:rsid w:val="00D06A3F"/>
    <w:rsid w:val="00D06AA5"/>
    <w:rsid w:val="00D06BC4"/>
    <w:rsid w:val="00D06BE8"/>
    <w:rsid w:val="00D06C3E"/>
    <w:rsid w:val="00D06C4B"/>
    <w:rsid w:val="00D06C4D"/>
    <w:rsid w:val="00D06C85"/>
    <w:rsid w:val="00D06CB1"/>
    <w:rsid w:val="00D06D10"/>
    <w:rsid w:val="00D06DB1"/>
    <w:rsid w:val="00D06E01"/>
    <w:rsid w:val="00D06E12"/>
    <w:rsid w:val="00D06E22"/>
    <w:rsid w:val="00D06E6C"/>
    <w:rsid w:val="00D06E78"/>
    <w:rsid w:val="00D06E87"/>
    <w:rsid w:val="00D06EAD"/>
    <w:rsid w:val="00D06F49"/>
    <w:rsid w:val="00D06F98"/>
    <w:rsid w:val="00D06FA9"/>
    <w:rsid w:val="00D07062"/>
    <w:rsid w:val="00D07091"/>
    <w:rsid w:val="00D070C8"/>
    <w:rsid w:val="00D070F2"/>
    <w:rsid w:val="00D071A4"/>
    <w:rsid w:val="00D072BA"/>
    <w:rsid w:val="00D07331"/>
    <w:rsid w:val="00D073B9"/>
    <w:rsid w:val="00D073E5"/>
    <w:rsid w:val="00D073FE"/>
    <w:rsid w:val="00D0744B"/>
    <w:rsid w:val="00D07454"/>
    <w:rsid w:val="00D07471"/>
    <w:rsid w:val="00D0747C"/>
    <w:rsid w:val="00D07545"/>
    <w:rsid w:val="00D0759D"/>
    <w:rsid w:val="00D075B8"/>
    <w:rsid w:val="00D076BD"/>
    <w:rsid w:val="00D076C5"/>
    <w:rsid w:val="00D076E6"/>
    <w:rsid w:val="00D0776F"/>
    <w:rsid w:val="00D077D3"/>
    <w:rsid w:val="00D0785A"/>
    <w:rsid w:val="00D0788B"/>
    <w:rsid w:val="00D078FA"/>
    <w:rsid w:val="00D07920"/>
    <w:rsid w:val="00D0794E"/>
    <w:rsid w:val="00D07A1D"/>
    <w:rsid w:val="00D07BEC"/>
    <w:rsid w:val="00D07C99"/>
    <w:rsid w:val="00D07D05"/>
    <w:rsid w:val="00D07D71"/>
    <w:rsid w:val="00D07DB3"/>
    <w:rsid w:val="00D07DDF"/>
    <w:rsid w:val="00D07E88"/>
    <w:rsid w:val="00D07EDD"/>
    <w:rsid w:val="00D07F2D"/>
    <w:rsid w:val="00D07F7F"/>
    <w:rsid w:val="00D07F91"/>
    <w:rsid w:val="00D10019"/>
    <w:rsid w:val="00D10040"/>
    <w:rsid w:val="00D100A3"/>
    <w:rsid w:val="00D1016F"/>
    <w:rsid w:val="00D10180"/>
    <w:rsid w:val="00D101CD"/>
    <w:rsid w:val="00D10282"/>
    <w:rsid w:val="00D102B8"/>
    <w:rsid w:val="00D102DF"/>
    <w:rsid w:val="00D10301"/>
    <w:rsid w:val="00D10327"/>
    <w:rsid w:val="00D1033C"/>
    <w:rsid w:val="00D10354"/>
    <w:rsid w:val="00D10361"/>
    <w:rsid w:val="00D10413"/>
    <w:rsid w:val="00D10456"/>
    <w:rsid w:val="00D10484"/>
    <w:rsid w:val="00D10529"/>
    <w:rsid w:val="00D10532"/>
    <w:rsid w:val="00D10584"/>
    <w:rsid w:val="00D105E3"/>
    <w:rsid w:val="00D1061B"/>
    <w:rsid w:val="00D10650"/>
    <w:rsid w:val="00D10690"/>
    <w:rsid w:val="00D1069B"/>
    <w:rsid w:val="00D106CB"/>
    <w:rsid w:val="00D106D1"/>
    <w:rsid w:val="00D10735"/>
    <w:rsid w:val="00D10788"/>
    <w:rsid w:val="00D107A3"/>
    <w:rsid w:val="00D10991"/>
    <w:rsid w:val="00D109E7"/>
    <w:rsid w:val="00D10A41"/>
    <w:rsid w:val="00D10AE7"/>
    <w:rsid w:val="00D10B1D"/>
    <w:rsid w:val="00D10B80"/>
    <w:rsid w:val="00D10B95"/>
    <w:rsid w:val="00D10BCB"/>
    <w:rsid w:val="00D10BD5"/>
    <w:rsid w:val="00D10C36"/>
    <w:rsid w:val="00D10D2D"/>
    <w:rsid w:val="00D10DAE"/>
    <w:rsid w:val="00D10DF3"/>
    <w:rsid w:val="00D10E3D"/>
    <w:rsid w:val="00D10ECD"/>
    <w:rsid w:val="00D10F14"/>
    <w:rsid w:val="00D10F61"/>
    <w:rsid w:val="00D10F6A"/>
    <w:rsid w:val="00D11036"/>
    <w:rsid w:val="00D110AD"/>
    <w:rsid w:val="00D11138"/>
    <w:rsid w:val="00D11173"/>
    <w:rsid w:val="00D11229"/>
    <w:rsid w:val="00D112C9"/>
    <w:rsid w:val="00D11398"/>
    <w:rsid w:val="00D1145E"/>
    <w:rsid w:val="00D11601"/>
    <w:rsid w:val="00D11611"/>
    <w:rsid w:val="00D1163A"/>
    <w:rsid w:val="00D11662"/>
    <w:rsid w:val="00D1178E"/>
    <w:rsid w:val="00D11864"/>
    <w:rsid w:val="00D118CA"/>
    <w:rsid w:val="00D118CF"/>
    <w:rsid w:val="00D118E0"/>
    <w:rsid w:val="00D119AC"/>
    <w:rsid w:val="00D119FB"/>
    <w:rsid w:val="00D11A05"/>
    <w:rsid w:val="00D11B3E"/>
    <w:rsid w:val="00D11B4F"/>
    <w:rsid w:val="00D11B84"/>
    <w:rsid w:val="00D11BE0"/>
    <w:rsid w:val="00D11CAF"/>
    <w:rsid w:val="00D11CBD"/>
    <w:rsid w:val="00D11E26"/>
    <w:rsid w:val="00D11E5F"/>
    <w:rsid w:val="00D11E9E"/>
    <w:rsid w:val="00D11EE4"/>
    <w:rsid w:val="00D11EF8"/>
    <w:rsid w:val="00D12017"/>
    <w:rsid w:val="00D1209D"/>
    <w:rsid w:val="00D1220E"/>
    <w:rsid w:val="00D122ED"/>
    <w:rsid w:val="00D12366"/>
    <w:rsid w:val="00D1239D"/>
    <w:rsid w:val="00D12419"/>
    <w:rsid w:val="00D124C7"/>
    <w:rsid w:val="00D124CB"/>
    <w:rsid w:val="00D1251C"/>
    <w:rsid w:val="00D12524"/>
    <w:rsid w:val="00D1255E"/>
    <w:rsid w:val="00D1258A"/>
    <w:rsid w:val="00D125CA"/>
    <w:rsid w:val="00D125D5"/>
    <w:rsid w:val="00D125F0"/>
    <w:rsid w:val="00D12653"/>
    <w:rsid w:val="00D126B9"/>
    <w:rsid w:val="00D126BB"/>
    <w:rsid w:val="00D12725"/>
    <w:rsid w:val="00D12779"/>
    <w:rsid w:val="00D127B0"/>
    <w:rsid w:val="00D12861"/>
    <w:rsid w:val="00D128C7"/>
    <w:rsid w:val="00D128DD"/>
    <w:rsid w:val="00D12903"/>
    <w:rsid w:val="00D1298E"/>
    <w:rsid w:val="00D12A7B"/>
    <w:rsid w:val="00D12B2C"/>
    <w:rsid w:val="00D12B6E"/>
    <w:rsid w:val="00D12BB5"/>
    <w:rsid w:val="00D12CE0"/>
    <w:rsid w:val="00D12D5D"/>
    <w:rsid w:val="00D12E2C"/>
    <w:rsid w:val="00D12E7A"/>
    <w:rsid w:val="00D12E7E"/>
    <w:rsid w:val="00D12ED0"/>
    <w:rsid w:val="00D12F22"/>
    <w:rsid w:val="00D12F74"/>
    <w:rsid w:val="00D1300A"/>
    <w:rsid w:val="00D13096"/>
    <w:rsid w:val="00D130B3"/>
    <w:rsid w:val="00D13171"/>
    <w:rsid w:val="00D131C2"/>
    <w:rsid w:val="00D131F1"/>
    <w:rsid w:val="00D1327B"/>
    <w:rsid w:val="00D132AC"/>
    <w:rsid w:val="00D132FC"/>
    <w:rsid w:val="00D13300"/>
    <w:rsid w:val="00D1337D"/>
    <w:rsid w:val="00D13447"/>
    <w:rsid w:val="00D13462"/>
    <w:rsid w:val="00D13591"/>
    <w:rsid w:val="00D135B8"/>
    <w:rsid w:val="00D136F5"/>
    <w:rsid w:val="00D1373D"/>
    <w:rsid w:val="00D1374D"/>
    <w:rsid w:val="00D137BD"/>
    <w:rsid w:val="00D137BF"/>
    <w:rsid w:val="00D13805"/>
    <w:rsid w:val="00D13852"/>
    <w:rsid w:val="00D13864"/>
    <w:rsid w:val="00D138DD"/>
    <w:rsid w:val="00D138E5"/>
    <w:rsid w:val="00D13AB7"/>
    <w:rsid w:val="00D13B1A"/>
    <w:rsid w:val="00D13BDC"/>
    <w:rsid w:val="00D13C06"/>
    <w:rsid w:val="00D13C5B"/>
    <w:rsid w:val="00D13C9B"/>
    <w:rsid w:val="00D13D8F"/>
    <w:rsid w:val="00D13E53"/>
    <w:rsid w:val="00D13E87"/>
    <w:rsid w:val="00D13FAB"/>
    <w:rsid w:val="00D13FB7"/>
    <w:rsid w:val="00D14027"/>
    <w:rsid w:val="00D1404C"/>
    <w:rsid w:val="00D1406A"/>
    <w:rsid w:val="00D1409E"/>
    <w:rsid w:val="00D140A7"/>
    <w:rsid w:val="00D1410A"/>
    <w:rsid w:val="00D14152"/>
    <w:rsid w:val="00D141E0"/>
    <w:rsid w:val="00D141FE"/>
    <w:rsid w:val="00D1420D"/>
    <w:rsid w:val="00D14222"/>
    <w:rsid w:val="00D1422F"/>
    <w:rsid w:val="00D1423D"/>
    <w:rsid w:val="00D142C8"/>
    <w:rsid w:val="00D14345"/>
    <w:rsid w:val="00D1434F"/>
    <w:rsid w:val="00D14412"/>
    <w:rsid w:val="00D14415"/>
    <w:rsid w:val="00D14423"/>
    <w:rsid w:val="00D14485"/>
    <w:rsid w:val="00D144CC"/>
    <w:rsid w:val="00D1454B"/>
    <w:rsid w:val="00D14585"/>
    <w:rsid w:val="00D145E7"/>
    <w:rsid w:val="00D14607"/>
    <w:rsid w:val="00D14633"/>
    <w:rsid w:val="00D146D6"/>
    <w:rsid w:val="00D14783"/>
    <w:rsid w:val="00D1479B"/>
    <w:rsid w:val="00D147A7"/>
    <w:rsid w:val="00D147EB"/>
    <w:rsid w:val="00D1482A"/>
    <w:rsid w:val="00D14839"/>
    <w:rsid w:val="00D14845"/>
    <w:rsid w:val="00D1485A"/>
    <w:rsid w:val="00D14942"/>
    <w:rsid w:val="00D149A5"/>
    <w:rsid w:val="00D149BB"/>
    <w:rsid w:val="00D14A57"/>
    <w:rsid w:val="00D14AB6"/>
    <w:rsid w:val="00D14B49"/>
    <w:rsid w:val="00D14BB6"/>
    <w:rsid w:val="00D14BCD"/>
    <w:rsid w:val="00D14C08"/>
    <w:rsid w:val="00D14C64"/>
    <w:rsid w:val="00D14C78"/>
    <w:rsid w:val="00D14C95"/>
    <w:rsid w:val="00D14D71"/>
    <w:rsid w:val="00D14DF6"/>
    <w:rsid w:val="00D14E86"/>
    <w:rsid w:val="00D14E92"/>
    <w:rsid w:val="00D14EC0"/>
    <w:rsid w:val="00D14F96"/>
    <w:rsid w:val="00D15049"/>
    <w:rsid w:val="00D1504E"/>
    <w:rsid w:val="00D15072"/>
    <w:rsid w:val="00D1507A"/>
    <w:rsid w:val="00D15113"/>
    <w:rsid w:val="00D15192"/>
    <w:rsid w:val="00D151EB"/>
    <w:rsid w:val="00D152AC"/>
    <w:rsid w:val="00D152CF"/>
    <w:rsid w:val="00D15301"/>
    <w:rsid w:val="00D15331"/>
    <w:rsid w:val="00D15461"/>
    <w:rsid w:val="00D15484"/>
    <w:rsid w:val="00D154C3"/>
    <w:rsid w:val="00D1564C"/>
    <w:rsid w:val="00D1565B"/>
    <w:rsid w:val="00D15660"/>
    <w:rsid w:val="00D156D9"/>
    <w:rsid w:val="00D15739"/>
    <w:rsid w:val="00D157B4"/>
    <w:rsid w:val="00D157E8"/>
    <w:rsid w:val="00D157F4"/>
    <w:rsid w:val="00D157F5"/>
    <w:rsid w:val="00D1587D"/>
    <w:rsid w:val="00D158CA"/>
    <w:rsid w:val="00D158F7"/>
    <w:rsid w:val="00D1594E"/>
    <w:rsid w:val="00D159F7"/>
    <w:rsid w:val="00D15A8F"/>
    <w:rsid w:val="00D15AAF"/>
    <w:rsid w:val="00D15B7C"/>
    <w:rsid w:val="00D15B7D"/>
    <w:rsid w:val="00D15B99"/>
    <w:rsid w:val="00D15BD1"/>
    <w:rsid w:val="00D15C64"/>
    <w:rsid w:val="00D15D12"/>
    <w:rsid w:val="00D15D2E"/>
    <w:rsid w:val="00D15D47"/>
    <w:rsid w:val="00D15DBC"/>
    <w:rsid w:val="00D15DD2"/>
    <w:rsid w:val="00D15DDC"/>
    <w:rsid w:val="00D15DED"/>
    <w:rsid w:val="00D15DF7"/>
    <w:rsid w:val="00D15F74"/>
    <w:rsid w:val="00D16037"/>
    <w:rsid w:val="00D16170"/>
    <w:rsid w:val="00D16192"/>
    <w:rsid w:val="00D16226"/>
    <w:rsid w:val="00D162C3"/>
    <w:rsid w:val="00D162C6"/>
    <w:rsid w:val="00D162FF"/>
    <w:rsid w:val="00D16399"/>
    <w:rsid w:val="00D1643D"/>
    <w:rsid w:val="00D16445"/>
    <w:rsid w:val="00D1655C"/>
    <w:rsid w:val="00D165FE"/>
    <w:rsid w:val="00D16626"/>
    <w:rsid w:val="00D166A9"/>
    <w:rsid w:val="00D166E6"/>
    <w:rsid w:val="00D16714"/>
    <w:rsid w:val="00D1672D"/>
    <w:rsid w:val="00D16774"/>
    <w:rsid w:val="00D1682A"/>
    <w:rsid w:val="00D168CB"/>
    <w:rsid w:val="00D168D8"/>
    <w:rsid w:val="00D1694C"/>
    <w:rsid w:val="00D169D5"/>
    <w:rsid w:val="00D16A60"/>
    <w:rsid w:val="00D16B4C"/>
    <w:rsid w:val="00D16B71"/>
    <w:rsid w:val="00D16BED"/>
    <w:rsid w:val="00D16C06"/>
    <w:rsid w:val="00D16C5D"/>
    <w:rsid w:val="00D16CA9"/>
    <w:rsid w:val="00D16CBF"/>
    <w:rsid w:val="00D16D0F"/>
    <w:rsid w:val="00D16D33"/>
    <w:rsid w:val="00D16D91"/>
    <w:rsid w:val="00D16DE7"/>
    <w:rsid w:val="00D16F33"/>
    <w:rsid w:val="00D16F63"/>
    <w:rsid w:val="00D16F69"/>
    <w:rsid w:val="00D16F74"/>
    <w:rsid w:val="00D16F75"/>
    <w:rsid w:val="00D16FAF"/>
    <w:rsid w:val="00D16FB8"/>
    <w:rsid w:val="00D16FE1"/>
    <w:rsid w:val="00D1704B"/>
    <w:rsid w:val="00D170A0"/>
    <w:rsid w:val="00D170CF"/>
    <w:rsid w:val="00D17174"/>
    <w:rsid w:val="00D171B5"/>
    <w:rsid w:val="00D17291"/>
    <w:rsid w:val="00D172E7"/>
    <w:rsid w:val="00D17313"/>
    <w:rsid w:val="00D1734F"/>
    <w:rsid w:val="00D173A1"/>
    <w:rsid w:val="00D173A6"/>
    <w:rsid w:val="00D17443"/>
    <w:rsid w:val="00D17481"/>
    <w:rsid w:val="00D17490"/>
    <w:rsid w:val="00D17552"/>
    <w:rsid w:val="00D175C5"/>
    <w:rsid w:val="00D175FF"/>
    <w:rsid w:val="00D176A8"/>
    <w:rsid w:val="00D1777F"/>
    <w:rsid w:val="00D17836"/>
    <w:rsid w:val="00D1784A"/>
    <w:rsid w:val="00D1786A"/>
    <w:rsid w:val="00D1792B"/>
    <w:rsid w:val="00D179EE"/>
    <w:rsid w:val="00D17A36"/>
    <w:rsid w:val="00D17A55"/>
    <w:rsid w:val="00D17A5D"/>
    <w:rsid w:val="00D17B5C"/>
    <w:rsid w:val="00D17B71"/>
    <w:rsid w:val="00D17B84"/>
    <w:rsid w:val="00D17BA7"/>
    <w:rsid w:val="00D17BE1"/>
    <w:rsid w:val="00D17C95"/>
    <w:rsid w:val="00D17CC1"/>
    <w:rsid w:val="00D17CE8"/>
    <w:rsid w:val="00D17D11"/>
    <w:rsid w:val="00D17D12"/>
    <w:rsid w:val="00D17DFD"/>
    <w:rsid w:val="00D17E19"/>
    <w:rsid w:val="00D17E65"/>
    <w:rsid w:val="00D17EAC"/>
    <w:rsid w:val="00D17EBD"/>
    <w:rsid w:val="00D17F5D"/>
    <w:rsid w:val="00D2000E"/>
    <w:rsid w:val="00D2001F"/>
    <w:rsid w:val="00D20093"/>
    <w:rsid w:val="00D200C2"/>
    <w:rsid w:val="00D201B9"/>
    <w:rsid w:val="00D201F5"/>
    <w:rsid w:val="00D20201"/>
    <w:rsid w:val="00D202FA"/>
    <w:rsid w:val="00D20498"/>
    <w:rsid w:val="00D2056A"/>
    <w:rsid w:val="00D2064A"/>
    <w:rsid w:val="00D2066D"/>
    <w:rsid w:val="00D20830"/>
    <w:rsid w:val="00D2083A"/>
    <w:rsid w:val="00D2094D"/>
    <w:rsid w:val="00D20B26"/>
    <w:rsid w:val="00D20B4F"/>
    <w:rsid w:val="00D20B82"/>
    <w:rsid w:val="00D20B9A"/>
    <w:rsid w:val="00D20C26"/>
    <w:rsid w:val="00D20C29"/>
    <w:rsid w:val="00D20C50"/>
    <w:rsid w:val="00D20CAB"/>
    <w:rsid w:val="00D20CDD"/>
    <w:rsid w:val="00D20D4F"/>
    <w:rsid w:val="00D20DAA"/>
    <w:rsid w:val="00D20E0F"/>
    <w:rsid w:val="00D20E30"/>
    <w:rsid w:val="00D20E5A"/>
    <w:rsid w:val="00D20EFE"/>
    <w:rsid w:val="00D20F57"/>
    <w:rsid w:val="00D21035"/>
    <w:rsid w:val="00D210F3"/>
    <w:rsid w:val="00D21118"/>
    <w:rsid w:val="00D2112E"/>
    <w:rsid w:val="00D21196"/>
    <w:rsid w:val="00D211DE"/>
    <w:rsid w:val="00D21225"/>
    <w:rsid w:val="00D212B6"/>
    <w:rsid w:val="00D21320"/>
    <w:rsid w:val="00D21334"/>
    <w:rsid w:val="00D21371"/>
    <w:rsid w:val="00D213B4"/>
    <w:rsid w:val="00D213DF"/>
    <w:rsid w:val="00D21420"/>
    <w:rsid w:val="00D2145E"/>
    <w:rsid w:val="00D2148D"/>
    <w:rsid w:val="00D214F6"/>
    <w:rsid w:val="00D214FA"/>
    <w:rsid w:val="00D215DF"/>
    <w:rsid w:val="00D215FC"/>
    <w:rsid w:val="00D216AB"/>
    <w:rsid w:val="00D216BC"/>
    <w:rsid w:val="00D21717"/>
    <w:rsid w:val="00D21761"/>
    <w:rsid w:val="00D218A1"/>
    <w:rsid w:val="00D218DB"/>
    <w:rsid w:val="00D21A02"/>
    <w:rsid w:val="00D21A50"/>
    <w:rsid w:val="00D21A79"/>
    <w:rsid w:val="00D21AA9"/>
    <w:rsid w:val="00D21AD4"/>
    <w:rsid w:val="00D21AE9"/>
    <w:rsid w:val="00D21C5F"/>
    <w:rsid w:val="00D21C8B"/>
    <w:rsid w:val="00D21CE7"/>
    <w:rsid w:val="00D21CEC"/>
    <w:rsid w:val="00D21CF8"/>
    <w:rsid w:val="00D21D0F"/>
    <w:rsid w:val="00D21D6B"/>
    <w:rsid w:val="00D21DB5"/>
    <w:rsid w:val="00D21DD3"/>
    <w:rsid w:val="00D21E09"/>
    <w:rsid w:val="00D21EC5"/>
    <w:rsid w:val="00D21F1A"/>
    <w:rsid w:val="00D21F6A"/>
    <w:rsid w:val="00D220A3"/>
    <w:rsid w:val="00D220E6"/>
    <w:rsid w:val="00D221E8"/>
    <w:rsid w:val="00D22305"/>
    <w:rsid w:val="00D22318"/>
    <w:rsid w:val="00D22333"/>
    <w:rsid w:val="00D2236A"/>
    <w:rsid w:val="00D2237D"/>
    <w:rsid w:val="00D2239F"/>
    <w:rsid w:val="00D223CA"/>
    <w:rsid w:val="00D223DD"/>
    <w:rsid w:val="00D22433"/>
    <w:rsid w:val="00D22527"/>
    <w:rsid w:val="00D2254D"/>
    <w:rsid w:val="00D22603"/>
    <w:rsid w:val="00D22614"/>
    <w:rsid w:val="00D22674"/>
    <w:rsid w:val="00D226DA"/>
    <w:rsid w:val="00D22701"/>
    <w:rsid w:val="00D22786"/>
    <w:rsid w:val="00D227C8"/>
    <w:rsid w:val="00D22804"/>
    <w:rsid w:val="00D2285D"/>
    <w:rsid w:val="00D2286A"/>
    <w:rsid w:val="00D2287D"/>
    <w:rsid w:val="00D22880"/>
    <w:rsid w:val="00D2288E"/>
    <w:rsid w:val="00D228D4"/>
    <w:rsid w:val="00D2291D"/>
    <w:rsid w:val="00D22979"/>
    <w:rsid w:val="00D2298A"/>
    <w:rsid w:val="00D2298F"/>
    <w:rsid w:val="00D22A07"/>
    <w:rsid w:val="00D22A1E"/>
    <w:rsid w:val="00D22A3B"/>
    <w:rsid w:val="00D22AB0"/>
    <w:rsid w:val="00D22ADC"/>
    <w:rsid w:val="00D22AF2"/>
    <w:rsid w:val="00D22B69"/>
    <w:rsid w:val="00D22B76"/>
    <w:rsid w:val="00D22C52"/>
    <w:rsid w:val="00D22C8D"/>
    <w:rsid w:val="00D22CDE"/>
    <w:rsid w:val="00D22D3E"/>
    <w:rsid w:val="00D22D4C"/>
    <w:rsid w:val="00D22D6C"/>
    <w:rsid w:val="00D22D7B"/>
    <w:rsid w:val="00D22DDB"/>
    <w:rsid w:val="00D22DDD"/>
    <w:rsid w:val="00D22DED"/>
    <w:rsid w:val="00D22DF3"/>
    <w:rsid w:val="00D22E0C"/>
    <w:rsid w:val="00D22E12"/>
    <w:rsid w:val="00D22F2F"/>
    <w:rsid w:val="00D22F38"/>
    <w:rsid w:val="00D22F50"/>
    <w:rsid w:val="00D23059"/>
    <w:rsid w:val="00D23099"/>
    <w:rsid w:val="00D230B4"/>
    <w:rsid w:val="00D230D4"/>
    <w:rsid w:val="00D2311B"/>
    <w:rsid w:val="00D23173"/>
    <w:rsid w:val="00D2317C"/>
    <w:rsid w:val="00D23225"/>
    <w:rsid w:val="00D23274"/>
    <w:rsid w:val="00D232C4"/>
    <w:rsid w:val="00D2338E"/>
    <w:rsid w:val="00D233C8"/>
    <w:rsid w:val="00D233CE"/>
    <w:rsid w:val="00D2347B"/>
    <w:rsid w:val="00D235B5"/>
    <w:rsid w:val="00D235BE"/>
    <w:rsid w:val="00D23646"/>
    <w:rsid w:val="00D23682"/>
    <w:rsid w:val="00D236AC"/>
    <w:rsid w:val="00D2377B"/>
    <w:rsid w:val="00D2378C"/>
    <w:rsid w:val="00D238B6"/>
    <w:rsid w:val="00D23913"/>
    <w:rsid w:val="00D23937"/>
    <w:rsid w:val="00D23A0D"/>
    <w:rsid w:val="00D23AA7"/>
    <w:rsid w:val="00D23AF0"/>
    <w:rsid w:val="00D23B48"/>
    <w:rsid w:val="00D23BBA"/>
    <w:rsid w:val="00D23DCB"/>
    <w:rsid w:val="00D23DE5"/>
    <w:rsid w:val="00D23DF7"/>
    <w:rsid w:val="00D23E87"/>
    <w:rsid w:val="00D23EBC"/>
    <w:rsid w:val="00D23F03"/>
    <w:rsid w:val="00D2401A"/>
    <w:rsid w:val="00D2404E"/>
    <w:rsid w:val="00D2408F"/>
    <w:rsid w:val="00D24136"/>
    <w:rsid w:val="00D24158"/>
    <w:rsid w:val="00D241D2"/>
    <w:rsid w:val="00D241DD"/>
    <w:rsid w:val="00D241EF"/>
    <w:rsid w:val="00D24289"/>
    <w:rsid w:val="00D242A4"/>
    <w:rsid w:val="00D243B0"/>
    <w:rsid w:val="00D243EB"/>
    <w:rsid w:val="00D2442D"/>
    <w:rsid w:val="00D24482"/>
    <w:rsid w:val="00D2448A"/>
    <w:rsid w:val="00D244D1"/>
    <w:rsid w:val="00D24501"/>
    <w:rsid w:val="00D2453D"/>
    <w:rsid w:val="00D24600"/>
    <w:rsid w:val="00D24601"/>
    <w:rsid w:val="00D24666"/>
    <w:rsid w:val="00D2466F"/>
    <w:rsid w:val="00D24670"/>
    <w:rsid w:val="00D246A4"/>
    <w:rsid w:val="00D246D5"/>
    <w:rsid w:val="00D246E6"/>
    <w:rsid w:val="00D2474D"/>
    <w:rsid w:val="00D2479B"/>
    <w:rsid w:val="00D248A9"/>
    <w:rsid w:val="00D24900"/>
    <w:rsid w:val="00D24948"/>
    <w:rsid w:val="00D24975"/>
    <w:rsid w:val="00D249B5"/>
    <w:rsid w:val="00D24A4B"/>
    <w:rsid w:val="00D24B3A"/>
    <w:rsid w:val="00D24B6C"/>
    <w:rsid w:val="00D24B87"/>
    <w:rsid w:val="00D24C28"/>
    <w:rsid w:val="00D24C4B"/>
    <w:rsid w:val="00D24CF7"/>
    <w:rsid w:val="00D24D24"/>
    <w:rsid w:val="00D24DD4"/>
    <w:rsid w:val="00D24DE0"/>
    <w:rsid w:val="00D24EBF"/>
    <w:rsid w:val="00D24FCF"/>
    <w:rsid w:val="00D25038"/>
    <w:rsid w:val="00D25095"/>
    <w:rsid w:val="00D250AF"/>
    <w:rsid w:val="00D2513E"/>
    <w:rsid w:val="00D25158"/>
    <w:rsid w:val="00D25164"/>
    <w:rsid w:val="00D25171"/>
    <w:rsid w:val="00D25185"/>
    <w:rsid w:val="00D25189"/>
    <w:rsid w:val="00D251C3"/>
    <w:rsid w:val="00D2521F"/>
    <w:rsid w:val="00D2528E"/>
    <w:rsid w:val="00D252D4"/>
    <w:rsid w:val="00D2530B"/>
    <w:rsid w:val="00D253CD"/>
    <w:rsid w:val="00D25430"/>
    <w:rsid w:val="00D2543B"/>
    <w:rsid w:val="00D254DE"/>
    <w:rsid w:val="00D2551B"/>
    <w:rsid w:val="00D25523"/>
    <w:rsid w:val="00D2552E"/>
    <w:rsid w:val="00D25548"/>
    <w:rsid w:val="00D25567"/>
    <w:rsid w:val="00D2556B"/>
    <w:rsid w:val="00D2556D"/>
    <w:rsid w:val="00D2558C"/>
    <w:rsid w:val="00D255A8"/>
    <w:rsid w:val="00D255E2"/>
    <w:rsid w:val="00D256B0"/>
    <w:rsid w:val="00D256E1"/>
    <w:rsid w:val="00D2573A"/>
    <w:rsid w:val="00D257CC"/>
    <w:rsid w:val="00D25988"/>
    <w:rsid w:val="00D259E3"/>
    <w:rsid w:val="00D25A22"/>
    <w:rsid w:val="00D25ACF"/>
    <w:rsid w:val="00D25AEE"/>
    <w:rsid w:val="00D25B75"/>
    <w:rsid w:val="00D25BBC"/>
    <w:rsid w:val="00D25BCA"/>
    <w:rsid w:val="00D25C68"/>
    <w:rsid w:val="00D25C78"/>
    <w:rsid w:val="00D25C7F"/>
    <w:rsid w:val="00D25D12"/>
    <w:rsid w:val="00D25D31"/>
    <w:rsid w:val="00D25DAC"/>
    <w:rsid w:val="00D25E06"/>
    <w:rsid w:val="00D25EC8"/>
    <w:rsid w:val="00D25EDA"/>
    <w:rsid w:val="00D25EF0"/>
    <w:rsid w:val="00D25F89"/>
    <w:rsid w:val="00D25F96"/>
    <w:rsid w:val="00D26015"/>
    <w:rsid w:val="00D26075"/>
    <w:rsid w:val="00D26079"/>
    <w:rsid w:val="00D260F2"/>
    <w:rsid w:val="00D26100"/>
    <w:rsid w:val="00D2612F"/>
    <w:rsid w:val="00D261D3"/>
    <w:rsid w:val="00D261DF"/>
    <w:rsid w:val="00D261EE"/>
    <w:rsid w:val="00D262A2"/>
    <w:rsid w:val="00D263C7"/>
    <w:rsid w:val="00D263F8"/>
    <w:rsid w:val="00D264F7"/>
    <w:rsid w:val="00D2652B"/>
    <w:rsid w:val="00D26589"/>
    <w:rsid w:val="00D2658C"/>
    <w:rsid w:val="00D265E4"/>
    <w:rsid w:val="00D26668"/>
    <w:rsid w:val="00D2679F"/>
    <w:rsid w:val="00D267F0"/>
    <w:rsid w:val="00D268A5"/>
    <w:rsid w:val="00D268D6"/>
    <w:rsid w:val="00D268F4"/>
    <w:rsid w:val="00D2694C"/>
    <w:rsid w:val="00D26969"/>
    <w:rsid w:val="00D26A61"/>
    <w:rsid w:val="00D26A64"/>
    <w:rsid w:val="00D26AF4"/>
    <w:rsid w:val="00D26B11"/>
    <w:rsid w:val="00D26B1F"/>
    <w:rsid w:val="00D26B66"/>
    <w:rsid w:val="00D26C09"/>
    <w:rsid w:val="00D26C1F"/>
    <w:rsid w:val="00D26C88"/>
    <w:rsid w:val="00D26CAC"/>
    <w:rsid w:val="00D26DDC"/>
    <w:rsid w:val="00D26E23"/>
    <w:rsid w:val="00D26E53"/>
    <w:rsid w:val="00D26E9F"/>
    <w:rsid w:val="00D26F3E"/>
    <w:rsid w:val="00D26F81"/>
    <w:rsid w:val="00D26FB9"/>
    <w:rsid w:val="00D26FC9"/>
    <w:rsid w:val="00D26FD6"/>
    <w:rsid w:val="00D27093"/>
    <w:rsid w:val="00D270FA"/>
    <w:rsid w:val="00D27132"/>
    <w:rsid w:val="00D271B0"/>
    <w:rsid w:val="00D271E9"/>
    <w:rsid w:val="00D27255"/>
    <w:rsid w:val="00D272AC"/>
    <w:rsid w:val="00D272F8"/>
    <w:rsid w:val="00D27374"/>
    <w:rsid w:val="00D27379"/>
    <w:rsid w:val="00D274A4"/>
    <w:rsid w:val="00D274B7"/>
    <w:rsid w:val="00D274F1"/>
    <w:rsid w:val="00D275BA"/>
    <w:rsid w:val="00D276F8"/>
    <w:rsid w:val="00D276FB"/>
    <w:rsid w:val="00D27757"/>
    <w:rsid w:val="00D2778B"/>
    <w:rsid w:val="00D2779A"/>
    <w:rsid w:val="00D277BF"/>
    <w:rsid w:val="00D277DD"/>
    <w:rsid w:val="00D27846"/>
    <w:rsid w:val="00D2789C"/>
    <w:rsid w:val="00D27917"/>
    <w:rsid w:val="00D2798C"/>
    <w:rsid w:val="00D279EF"/>
    <w:rsid w:val="00D27A3D"/>
    <w:rsid w:val="00D27A76"/>
    <w:rsid w:val="00D27BEA"/>
    <w:rsid w:val="00D27C03"/>
    <w:rsid w:val="00D27C40"/>
    <w:rsid w:val="00D27C4D"/>
    <w:rsid w:val="00D27C77"/>
    <w:rsid w:val="00D27CA2"/>
    <w:rsid w:val="00D27CAA"/>
    <w:rsid w:val="00D27CC4"/>
    <w:rsid w:val="00D27D2B"/>
    <w:rsid w:val="00D27D4B"/>
    <w:rsid w:val="00D27DEF"/>
    <w:rsid w:val="00D27E00"/>
    <w:rsid w:val="00D27E18"/>
    <w:rsid w:val="00D27E99"/>
    <w:rsid w:val="00D27F36"/>
    <w:rsid w:val="00D3000D"/>
    <w:rsid w:val="00D30063"/>
    <w:rsid w:val="00D30138"/>
    <w:rsid w:val="00D3021D"/>
    <w:rsid w:val="00D30249"/>
    <w:rsid w:val="00D3026A"/>
    <w:rsid w:val="00D302F5"/>
    <w:rsid w:val="00D303C6"/>
    <w:rsid w:val="00D3042A"/>
    <w:rsid w:val="00D304D6"/>
    <w:rsid w:val="00D305EC"/>
    <w:rsid w:val="00D3065B"/>
    <w:rsid w:val="00D306BF"/>
    <w:rsid w:val="00D306C4"/>
    <w:rsid w:val="00D306F7"/>
    <w:rsid w:val="00D30723"/>
    <w:rsid w:val="00D30791"/>
    <w:rsid w:val="00D3080D"/>
    <w:rsid w:val="00D3082D"/>
    <w:rsid w:val="00D30832"/>
    <w:rsid w:val="00D308D7"/>
    <w:rsid w:val="00D3096E"/>
    <w:rsid w:val="00D30987"/>
    <w:rsid w:val="00D30A83"/>
    <w:rsid w:val="00D30AB5"/>
    <w:rsid w:val="00D30AC5"/>
    <w:rsid w:val="00D30AD4"/>
    <w:rsid w:val="00D30B06"/>
    <w:rsid w:val="00D30B85"/>
    <w:rsid w:val="00D30BB2"/>
    <w:rsid w:val="00D30BC6"/>
    <w:rsid w:val="00D30C03"/>
    <w:rsid w:val="00D30C44"/>
    <w:rsid w:val="00D30C83"/>
    <w:rsid w:val="00D30CC4"/>
    <w:rsid w:val="00D30CEE"/>
    <w:rsid w:val="00D30D94"/>
    <w:rsid w:val="00D30DC8"/>
    <w:rsid w:val="00D30E9A"/>
    <w:rsid w:val="00D30F18"/>
    <w:rsid w:val="00D30F65"/>
    <w:rsid w:val="00D30F95"/>
    <w:rsid w:val="00D30FA1"/>
    <w:rsid w:val="00D30FDC"/>
    <w:rsid w:val="00D30FFB"/>
    <w:rsid w:val="00D3102C"/>
    <w:rsid w:val="00D310DE"/>
    <w:rsid w:val="00D31126"/>
    <w:rsid w:val="00D3128D"/>
    <w:rsid w:val="00D31312"/>
    <w:rsid w:val="00D31412"/>
    <w:rsid w:val="00D3145F"/>
    <w:rsid w:val="00D31512"/>
    <w:rsid w:val="00D31543"/>
    <w:rsid w:val="00D31546"/>
    <w:rsid w:val="00D315CE"/>
    <w:rsid w:val="00D3168C"/>
    <w:rsid w:val="00D316C5"/>
    <w:rsid w:val="00D316D2"/>
    <w:rsid w:val="00D3179B"/>
    <w:rsid w:val="00D317A4"/>
    <w:rsid w:val="00D317B6"/>
    <w:rsid w:val="00D3180D"/>
    <w:rsid w:val="00D318DC"/>
    <w:rsid w:val="00D31969"/>
    <w:rsid w:val="00D31A09"/>
    <w:rsid w:val="00D31A25"/>
    <w:rsid w:val="00D31ADB"/>
    <w:rsid w:val="00D31AE1"/>
    <w:rsid w:val="00D31AEF"/>
    <w:rsid w:val="00D31AF9"/>
    <w:rsid w:val="00D31B8D"/>
    <w:rsid w:val="00D31D4B"/>
    <w:rsid w:val="00D31DC2"/>
    <w:rsid w:val="00D31E1B"/>
    <w:rsid w:val="00D31E2E"/>
    <w:rsid w:val="00D31E3E"/>
    <w:rsid w:val="00D31E5D"/>
    <w:rsid w:val="00D31E5F"/>
    <w:rsid w:val="00D31F70"/>
    <w:rsid w:val="00D31FB3"/>
    <w:rsid w:val="00D31FEC"/>
    <w:rsid w:val="00D32043"/>
    <w:rsid w:val="00D3205E"/>
    <w:rsid w:val="00D3208E"/>
    <w:rsid w:val="00D320CE"/>
    <w:rsid w:val="00D3218C"/>
    <w:rsid w:val="00D321DC"/>
    <w:rsid w:val="00D32335"/>
    <w:rsid w:val="00D3234E"/>
    <w:rsid w:val="00D32387"/>
    <w:rsid w:val="00D323BC"/>
    <w:rsid w:val="00D323C6"/>
    <w:rsid w:val="00D32453"/>
    <w:rsid w:val="00D32479"/>
    <w:rsid w:val="00D324EB"/>
    <w:rsid w:val="00D3250F"/>
    <w:rsid w:val="00D3265D"/>
    <w:rsid w:val="00D326FC"/>
    <w:rsid w:val="00D32756"/>
    <w:rsid w:val="00D32791"/>
    <w:rsid w:val="00D32830"/>
    <w:rsid w:val="00D3284D"/>
    <w:rsid w:val="00D32867"/>
    <w:rsid w:val="00D328B3"/>
    <w:rsid w:val="00D328EF"/>
    <w:rsid w:val="00D328F1"/>
    <w:rsid w:val="00D328F8"/>
    <w:rsid w:val="00D32921"/>
    <w:rsid w:val="00D3296F"/>
    <w:rsid w:val="00D329DE"/>
    <w:rsid w:val="00D329FC"/>
    <w:rsid w:val="00D32B9F"/>
    <w:rsid w:val="00D32BD4"/>
    <w:rsid w:val="00D32C14"/>
    <w:rsid w:val="00D32C5B"/>
    <w:rsid w:val="00D32CE5"/>
    <w:rsid w:val="00D32D87"/>
    <w:rsid w:val="00D32DC3"/>
    <w:rsid w:val="00D32DE3"/>
    <w:rsid w:val="00D32E5A"/>
    <w:rsid w:val="00D32EB2"/>
    <w:rsid w:val="00D32EC8"/>
    <w:rsid w:val="00D32ED2"/>
    <w:rsid w:val="00D32ED7"/>
    <w:rsid w:val="00D32F66"/>
    <w:rsid w:val="00D32F71"/>
    <w:rsid w:val="00D33006"/>
    <w:rsid w:val="00D33037"/>
    <w:rsid w:val="00D3308F"/>
    <w:rsid w:val="00D330CA"/>
    <w:rsid w:val="00D33159"/>
    <w:rsid w:val="00D3316D"/>
    <w:rsid w:val="00D331DA"/>
    <w:rsid w:val="00D33222"/>
    <w:rsid w:val="00D3329E"/>
    <w:rsid w:val="00D332E1"/>
    <w:rsid w:val="00D33392"/>
    <w:rsid w:val="00D333F4"/>
    <w:rsid w:val="00D3347D"/>
    <w:rsid w:val="00D3347E"/>
    <w:rsid w:val="00D334C7"/>
    <w:rsid w:val="00D3350E"/>
    <w:rsid w:val="00D33620"/>
    <w:rsid w:val="00D336FF"/>
    <w:rsid w:val="00D33785"/>
    <w:rsid w:val="00D33897"/>
    <w:rsid w:val="00D3393E"/>
    <w:rsid w:val="00D33968"/>
    <w:rsid w:val="00D339DA"/>
    <w:rsid w:val="00D33A6A"/>
    <w:rsid w:val="00D33B15"/>
    <w:rsid w:val="00D33B23"/>
    <w:rsid w:val="00D33B39"/>
    <w:rsid w:val="00D33B79"/>
    <w:rsid w:val="00D33B7A"/>
    <w:rsid w:val="00D33B85"/>
    <w:rsid w:val="00D33BAB"/>
    <w:rsid w:val="00D33C0C"/>
    <w:rsid w:val="00D33D0F"/>
    <w:rsid w:val="00D33D2B"/>
    <w:rsid w:val="00D33D8D"/>
    <w:rsid w:val="00D33DBE"/>
    <w:rsid w:val="00D33EDF"/>
    <w:rsid w:val="00D33F7F"/>
    <w:rsid w:val="00D33FB4"/>
    <w:rsid w:val="00D34049"/>
    <w:rsid w:val="00D34195"/>
    <w:rsid w:val="00D341A8"/>
    <w:rsid w:val="00D341DA"/>
    <w:rsid w:val="00D341E4"/>
    <w:rsid w:val="00D34203"/>
    <w:rsid w:val="00D34251"/>
    <w:rsid w:val="00D34256"/>
    <w:rsid w:val="00D342A7"/>
    <w:rsid w:val="00D3431B"/>
    <w:rsid w:val="00D3439F"/>
    <w:rsid w:val="00D343B0"/>
    <w:rsid w:val="00D344A9"/>
    <w:rsid w:val="00D34538"/>
    <w:rsid w:val="00D34561"/>
    <w:rsid w:val="00D34562"/>
    <w:rsid w:val="00D345D9"/>
    <w:rsid w:val="00D346AB"/>
    <w:rsid w:val="00D3471A"/>
    <w:rsid w:val="00D3476A"/>
    <w:rsid w:val="00D34872"/>
    <w:rsid w:val="00D34909"/>
    <w:rsid w:val="00D349E7"/>
    <w:rsid w:val="00D349FA"/>
    <w:rsid w:val="00D34A44"/>
    <w:rsid w:val="00D34AE2"/>
    <w:rsid w:val="00D34BD3"/>
    <w:rsid w:val="00D34C83"/>
    <w:rsid w:val="00D34C8C"/>
    <w:rsid w:val="00D34CCD"/>
    <w:rsid w:val="00D34CE2"/>
    <w:rsid w:val="00D34CFD"/>
    <w:rsid w:val="00D34D4B"/>
    <w:rsid w:val="00D34D7D"/>
    <w:rsid w:val="00D34D98"/>
    <w:rsid w:val="00D34E11"/>
    <w:rsid w:val="00D34EC4"/>
    <w:rsid w:val="00D34FBE"/>
    <w:rsid w:val="00D3508C"/>
    <w:rsid w:val="00D35101"/>
    <w:rsid w:val="00D35150"/>
    <w:rsid w:val="00D35172"/>
    <w:rsid w:val="00D3517C"/>
    <w:rsid w:val="00D35212"/>
    <w:rsid w:val="00D35300"/>
    <w:rsid w:val="00D35317"/>
    <w:rsid w:val="00D3538B"/>
    <w:rsid w:val="00D35398"/>
    <w:rsid w:val="00D35444"/>
    <w:rsid w:val="00D3547B"/>
    <w:rsid w:val="00D3549A"/>
    <w:rsid w:val="00D354DF"/>
    <w:rsid w:val="00D354E7"/>
    <w:rsid w:val="00D35508"/>
    <w:rsid w:val="00D35541"/>
    <w:rsid w:val="00D355E0"/>
    <w:rsid w:val="00D35686"/>
    <w:rsid w:val="00D357C9"/>
    <w:rsid w:val="00D357F6"/>
    <w:rsid w:val="00D3582F"/>
    <w:rsid w:val="00D35872"/>
    <w:rsid w:val="00D358C7"/>
    <w:rsid w:val="00D3594C"/>
    <w:rsid w:val="00D359FC"/>
    <w:rsid w:val="00D35A16"/>
    <w:rsid w:val="00D35A6E"/>
    <w:rsid w:val="00D35A78"/>
    <w:rsid w:val="00D35ACF"/>
    <w:rsid w:val="00D35AFE"/>
    <w:rsid w:val="00D35B9F"/>
    <w:rsid w:val="00D35BA9"/>
    <w:rsid w:val="00D35C42"/>
    <w:rsid w:val="00D35C6F"/>
    <w:rsid w:val="00D35CE0"/>
    <w:rsid w:val="00D35D17"/>
    <w:rsid w:val="00D35D2C"/>
    <w:rsid w:val="00D35E6E"/>
    <w:rsid w:val="00D35F29"/>
    <w:rsid w:val="00D35F8A"/>
    <w:rsid w:val="00D36051"/>
    <w:rsid w:val="00D3608A"/>
    <w:rsid w:val="00D36124"/>
    <w:rsid w:val="00D36187"/>
    <w:rsid w:val="00D36188"/>
    <w:rsid w:val="00D361F9"/>
    <w:rsid w:val="00D361FC"/>
    <w:rsid w:val="00D36239"/>
    <w:rsid w:val="00D36248"/>
    <w:rsid w:val="00D36274"/>
    <w:rsid w:val="00D36296"/>
    <w:rsid w:val="00D362A5"/>
    <w:rsid w:val="00D36414"/>
    <w:rsid w:val="00D364DE"/>
    <w:rsid w:val="00D36596"/>
    <w:rsid w:val="00D365B8"/>
    <w:rsid w:val="00D3665F"/>
    <w:rsid w:val="00D366DD"/>
    <w:rsid w:val="00D36713"/>
    <w:rsid w:val="00D368A1"/>
    <w:rsid w:val="00D3695A"/>
    <w:rsid w:val="00D369D6"/>
    <w:rsid w:val="00D36AA0"/>
    <w:rsid w:val="00D36ABD"/>
    <w:rsid w:val="00D36ADB"/>
    <w:rsid w:val="00D36B47"/>
    <w:rsid w:val="00D36C8F"/>
    <w:rsid w:val="00D36D01"/>
    <w:rsid w:val="00D36DD5"/>
    <w:rsid w:val="00D36E56"/>
    <w:rsid w:val="00D36EF0"/>
    <w:rsid w:val="00D36EF3"/>
    <w:rsid w:val="00D36F44"/>
    <w:rsid w:val="00D36F4A"/>
    <w:rsid w:val="00D36FCA"/>
    <w:rsid w:val="00D3701E"/>
    <w:rsid w:val="00D37077"/>
    <w:rsid w:val="00D370A9"/>
    <w:rsid w:val="00D370B2"/>
    <w:rsid w:val="00D37128"/>
    <w:rsid w:val="00D37215"/>
    <w:rsid w:val="00D37227"/>
    <w:rsid w:val="00D37248"/>
    <w:rsid w:val="00D3726D"/>
    <w:rsid w:val="00D3728F"/>
    <w:rsid w:val="00D372DD"/>
    <w:rsid w:val="00D372F5"/>
    <w:rsid w:val="00D3741F"/>
    <w:rsid w:val="00D37463"/>
    <w:rsid w:val="00D37538"/>
    <w:rsid w:val="00D375A9"/>
    <w:rsid w:val="00D37611"/>
    <w:rsid w:val="00D3765A"/>
    <w:rsid w:val="00D377BA"/>
    <w:rsid w:val="00D37882"/>
    <w:rsid w:val="00D3788D"/>
    <w:rsid w:val="00D37896"/>
    <w:rsid w:val="00D378A2"/>
    <w:rsid w:val="00D378F1"/>
    <w:rsid w:val="00D37937"/>
    <w:rsid w:val="00D37B96"/>
    <w:rsid w:val="00D37BBE"/>
    <w:rsid w:val="00D37CA4"/>
    <w:rsid w:val="00D37D91"/>
    <w:rsid w:val="00D37E65"/>
    <w:rsid w:val="00D37F02"/>
    <w:rsid w:val="00D37F15"/>
    <w:rsid w:val="00D37F3B"/>
    <w:rsid w:val="00D37F63"/>
    <w:rsid w:val="00D4008F"/>
    <w:rsid w:val="00D40096"/>
    <w:rsid w:val="00D400DA"/>
    <w:rsid w:val="00D400FE"/>
    <w:rsid w:val="00D4013F"/>
    <w:rsid w:val="00D401C9"/>
    <w:rsid w:val="00D402B1"/>
    <w:rsid w:val="00D402CE"/>
    <w:rsid w:val="00D402EE"/>
    <w:rsid w:val="00D402F0"/>
    <w:rsid w:val="00D402F3"/>
    <w:rsid w:val="00D4031F"/>
    <w:rsid w:val="00D403BB"/>
    <w:rsid w:val="00D4041F"/>
    <w:rsid w:val="00D4043F"/>
    <w:rsid w:val="00D404D0"/>
    <w:rsid w:val="00D40566"/>
    <w:rsid w:val="00D40582"/>
    <w:rsid w:val="00D405EE"/>
    <w:rsid w:val="00D4066E"/>
    <w:rsid w:val="00D4069D"/>
    <w:rsid w:val="00D406CA"/>
    <w:rsid w:val="00D4072A"/>
    <w:rsid w:val="00D4078E"/>
    <w:rsid w:val="00D40793"/>
    <w:rsid w:val="00D40838"/>
    <w:rsid w:val="00D4094D"/>
    <w:rsid w:val="00D40962"/>
    <w:rsid w:val="00D409E3"/>
    <w:rsid w:val="00D409F3"/>
    <w:rsid w:val="00D40A40"/>
    <w:rsid w:val="00D40A6C"/>
    <w:rsid w:val="00D40B81"/>
    <w:rsid w:val="00D40B9E"/>
    <w:rsid w:val="00D40C15"/>
    <w:rsid w:val="00D40D1C"/>
    <w:rsid w:val="00D40DAC"/>
    <w:rsid w:val="00D40E0C"/>
    <w:rsid w:val="00D40E8F"/>
    <w:rsid w:val="00D40F56"/>
    <w:rsid w:val="00D40F70"/>
    <w:rsid w:val="00D40FD4"/>
    <w:rsid w:val="00D41019"/>
    <w:rsid w:val="00D410D8"/>
    <w:rsid w:val="00D410D9"/>
    <w:rsid w:val="00D41108"/>
    <w:rsid w:val="00D4115E"/>
    <w:rsid w:val="00D4116B"/>
    <w:rsid w:val="00D411C7"/>
    <w:rsid w:val="00D412C7"/>
    <w:rsid w:val="00D412F5"/>
    <w:rsid w:val="00D413BA"/>
    <w:rsid w:val="00D41422"/>
    <w:rsid w:val="00D414C1"/>
    <w:rsid w:val="00D414F3"/>
    <w:rsid w:val="00D414FE"/>
    <w:rsid w:val="00D4153D"/>
    <w:rsid w:val="00D41542"/>
    <w:rsid w:val="00D41547"/>
    <w:rsid w:val="00D41572"/>
    <w:rsid w:val="00D4157D"/>
    <w:rsid w:val="00D415CF"/>
    <w:rsid w:val="00D415DA"/>
    <w:rsid w:val="00D41699"/>
    <w:rsid w:val="00D416F8"/>
    <w:rsid w:val="00D41755"/>
    <w:rsid w:val="00D41822"/>
    <w:rsid w:val="00D41884"/>
    <w:rsid w:val="00D4190A"/>
    <w:rsid w:val="00D41915"/>
    <w:rsid w:val="00D4196B"/>
    <w:rsid w:val="00D41A38"/>
    <w:rsid w:val="00D41BE5"/>
    <w:rsid w:val="00D41C4F"/>
    <w:rsid w:val="00D41C78"/>
    <w:rsid w:val="00D41E2D"/>
    <w:rsid w:val="00D41E68"/>
    <w:rsid w:val="00D41ECE"/>
    <w:rsid w:val="00D41ED7"/>
    <w:rsid w:val="00D41EDC"/>
    <w:rsid w:val="00D41FD4"/>
    <w:rsid w:val="00D4203E"/>
    <w:rsid w:val="00D4204C"/>
    <w:rsid w:val="00D4208F"/>
    <w:rsid w:val="00D420B7"/>
    <w:rsid w:val="00D420BC"/>
    <w:rsid w:val="00D42134"/>
    <w:rsid w:val="00D4218C"/>
    <w:rsid w:val="00D421D0"/>
    <w:rsid w:val="00D421D8"/>
    <w:rsid w:val="00D42234"/>
    <w:rsid w:val="00D422A0"/>
    <w:rsid w:val="00D42322"/>
    <w:rsid w:val="00D42335"/>
    <w:rsid w:val="00D42366"/>
    <w:rsid w:val="00D42374"/>
    <w:rsid w:val="00D42534"/>
    <w:rsid w:val="00D4261B"/>
    <w:rsid w:val="00D42646"/>
    <w:rsid w:val="00D42668"/>
    <w:rsid w:val="00D426B6"/>
    <w:rsid w:val="00D42754"/>
    <w:rsid w:val="00D42764"/>
    <w:rsid w:val="00D4278A"/>
    <w:rsid w:val="00D427B8"/>
    <w:rsid w:val="00D42818"/>
    <w:rsid w:val="00D42872"/>
    <w:rsid w:val="00D4289E"/>
    <w:rsid w:val="00D42948"/>
    <w:rsid w:val="00D4294F"/>
    <w:rsid w:val="00D42998"/>
    <w:rsid w:val="00D429C4"/>
    <w:rsid w:val="00D42A11"/>
    <w:rsid w:val="00D42A79"/>
    <w:rsid w:val="00D42BAF"/>
    <w:rsid w:val="00D42BDE"/>
    <w:rsid w:val="00D42C78"/>
    <w:rsid w:val="00D42D63"/>
    <w:rsid w:val="00D42E58"/>
    <w:rsid w:val="00D42E6B"/>
    <w:rsid w:val="00D42EA6"/>
    <w:rsid w:val="00D42FB8"/>
    <w:rsid w:val="00D42FCB"/>
    <w:rsid w:val="00D43087"/>
    <w:rsid w:val="00D4316B"/>
    <w:rsid w:val="00D4317C"/>
    <w:rsid w:val="00D431A9"/>
    <w:rsid w:val="00D43269"/>
    <w:rsid w:val="00D432AE"/>
    <w:rsid w:val="00D432D0"/>
    <w:rsid w:val="00D4330E"/>
    <w:rsid w:val="00D4337C"/>
    <w:rsid w:val="00D433AE"/>
    <w:rsid w:val="00D43436"/>
    <w:rsid w:val="00D4343F"/>
    <w:rsid w:val="00D43456"/>
    <w:rsid w:val="00D4347A"/>
    <w:rsid w:val="00D434DD"/>
    <w:rsid w:val="00D4352C"/>
    <w:rsid w:val="00D43576"/>
    <w:rsid w:val="00D435C0"/>
    <w:rsid w:val="00D43609"/>
    <w:rsid w:val="00D4360A"/>
    <w:rsid w:val="00D436DE"/>
    <w:rsid w:val="00D436E6"/>
    <w:rsid w:val="00D43762"/>
    <w:rsid w:val="00D43917"/>
    <w:rsid w:val="00D43923"/>
    <w:rsid w:val="00D43965"/>
    <w:rsid w:val="00D439E7"/>
    <w:rsid w:val="00D43A15"/>
    <w:rsid w:val="00D43A32"/>
    <w:rsid w:val="00D43A72"/>
    <w:rsid w:val="00D43B31"/>
    <w:rsid w:val="00D43BDC"/>
    <w:rsid w:val="00D43CA8"/>
    <w:rsid w:val="00D43CD7"/>
    <w:rsid w:val="00D43D32"/>
    <w:rsid w:val="00D43D50"/>
    <w:rsid w:val="00D43D56"/>
    <w:rsid w:val="00D43E3F"/>
    <w:rsid w:val="00D43E69"/>
    <w:rsid w:val="00D43E70"/>
    <w:rsid w:val="00D43FB7"/>
    <w:rsid w:val="00D43FB9"/>
    <w:rsid w:val="00D441C6"/>
    <w:rsid w:val="00D441D6"/>
    <w:rsid w:val="00D441F5"/>
    <w:rsid w:val="00D441F8"/>
    <w:rsid w:val="00D4424B"/>
    <w:rsid w:val="00D442BB"/>
    <w:rsid w:val="00D442CA"/>
    <w:rsid w:val="00D442D7"/>
    <w:rsid w:val="00D44395"/>
    <w:rsid w:val="00D443D1"/>
    <w:rsid w:val="00D443FA"/>
    <w:rsid w:val="00D44427"/>
    <w:rsid w:val="00D4445F"/>
    <w:rsid w:val="00D444A9"/>
    <w:rsid w:val="00D444BF"/>
    <w:rsid w:val="00D44510"/>
    <w:rsid w:val="00D44528"/>
    <w:rsid w:val="00D4458C"/>
    <w:rsid w:val="00D446C5"/>
    <w:rsid w:val="00D44721"/>
    <w:rsid w:val="00D4473A"/>
    <w:rsid w:val="00D44806"/>
    <w:rsid w:val="00D44905"/>
    <w:rsid w:val="00D44925"/>
    <w:rsid w:val="00D44943"/>
    <w:rsid w:val="00D44A05"/>
    <w:rsid w:val="00D44A26"/>
    <w:rsid w:val="00D44A29"/>
    <w:rsid w:val="00D44A3C"/>
    <w:rsid w:val="00D44A3F"/>
    <w:rsid w:val="00D44A85"/>
    <w:rsid w:val="00D44AF4"/>
    <w:rsid w:val="00D44B07"/>
    <w:rsid w:val="00D44B8C"/>
    <w:rsid w:val="00D44C75"/>
    <w:rsid w:val="00D44CDF"/>
    <w:rsid w:val="00D44E23"/>
    <w:rsid w:val="00D44E98"/>
    <w:rsid w:val="00D44EFF"/>
    <w:rsid w:val="00D450E1"/>
    <w:rsid w:val="00D450E7"/>
    <w:rsid w:val="00D451AB"/>
    <w:rsid w:val="00D451DF"/>
    <w:rsid w:val="00D45222"/>
    <w:rsid w:val="00D45223"/>
    <w:rsid w:val="00D45269"/>
    <w:rsid w:val="00D45300"/>
    <w:rsid w:val="00D45358"/>
    <w:rsid w:val="00D45402"/>
    <w:rsid w:val="00D4543C"/>
    <w:rsid w:val="00D45468"/>
    <w:rsid w:val="00D454C0"/>
    <w:rsid w:val="00D455DF"/>
    <w:rsid w:val="00D45630"/>
    <w:rsid w:val="00D4572A"/>
    <w:rsid w:val="00D45744"/>
    <w:rsid w:val="00D45780"/>
    <w:rsid w:val="00D45788"/>
    <w:rsid w:val="00D457BB"/>
    <w:rsid w:val="00D457FE"/>
    <w:rsid w:val="00D4581C"/>
    <w:rsid w:val="00D458D6"/>
    <w:rsid w:val="00D459AB"/>
    <w:rsid w:val="00D45A74"/>
    <w:rsid w:val="00D45A9A"/>
    <w:rsid w:val="00D45ADB"/>
    <w:rsid w:val="00D45B29"/>
    <w:rsid w:val="00D45B9E"/>
    <w:rsid w:val="00D45BB7"/>
    <w:rsid w:val="00D45C8D"/>
    <w:rsid w:val="00D45D08"/>
    <w:rsid w:val="00D45D1A"/>
    <w:rsid w:val="00D45D24"/>
    <w:rsid w:val="00D45D97"/>
    <w:rsid w:val="00D45E2E"/>
    <w:rsid w:val="00D45E70"/>
    <w:rsid w:val="00D45E76"/>
    <w:rsid w:val="00D45EE7"/>
    <w:rsid w:val="00D45F0B"/>
    <w:rsid w:val="00D45F14"/>
    <w:rsid w:val="00D45F2B"/>
    <w:rsid w:val="00D45F37"/>
    <w:rsid w:val="00D45F6D"/>
    <w:rsid w:val="00D4607E"/>
    <w:rsid w:val="00D46109"/>
    <w:rsid w:val="00D461CB"/>
    <w:rsid w:val="00D46213"/>
    <w:rsid w:val="00D46259"/>
    <w:rsid w:val="00D46274"/>
    <w:rsid w:val="00D462EA"/>
    <w:rsid w:val="00D462F2"/>
    <w:rsid w:val="00D462F7"/>
    <w:rsid w:val="00D46308"/>
    <w:rsid w:val="00D46325"/>
    <w:rsid w:val="00D463E3"/>
    <w:rsid w:val="00D46424"/>
    <w:rsid w:val="00D464AB"/>
    <w:rsid w:val="00D46511"/>
    <w:rsid w:val="00D46565"/>
    <w:rsid w:val="00D46654"/>
    <w:rsid w:val="00D46685"/>
    <w:rsid w:val="00D466DD"/>
    <w:rsid w:val="00D4670C"/>
    <w:rsid w:val="00D46736"/>
    <w:rsid w:val="00D46746"/>
    <w:rsid w:val="00D467F9"/>
    <w:rsid w:val="00D46955"/>
    <w:rsid w:val="00D46A29"/>
    <w:rsid w:val="00D46ABC"/>
    <w:rsid w:val="00D46B68"/>
    <w:rsid w:val="00D46B77"/>
    <w:rsid w:val="00D46B98"/>
    <w:rsid w:val="00D46C35"/>
    <w:rsid w:val="00D46C59"/>
    <w:rsid w:val="00D46C6C"/>
    <w:rsid w:val="00D46D69"/>
    <w:rsid w:val="00D46DCB"/>
    <w:rsid w:val="00D46F43"/>
    <w:rsid w:val="00D46FD9"/>
    <w:rsid w:val="00D4716F"/>
    <w:rsid w:val="00D47190"/>
    <w:rsid w:val="00D4719C"/>
    <w:rsid w:val="00D471A8"/>
    <w:rsid w:val="00D471A9"/>
    <w:rsid w:val="00D4727B"/>
    <w:rsid w:val="00D472AE"/>
    <w:rsid w:val="00D472F0"/>
    <w:rsid w:val="00D47312"/>
    <w:rsid w:val="00D47351"/>
    <w:rsid w:val="00D47387"/>
    <w:rsid w:val="00D473E1"/>
    <w:rsid w:val="00D474D2"/>
    <w:rsid w:val="00D47625"/>
    <w:rsid w:val="00D47653"/>
    <w:rsid w:val="00D476BE"/>
    <w:rsid w:val="00D4778D"/>
    <w:rsid w:val="00D47886"/>
    <w:rsid w:val="00D4790B"/>
    <w:rsid w:val="00D47939"/>
    <w:rsid w:val="00D479E2"/>
    <w:rsid w:val="00D47A15"/>
    <w:rsid w:val="00D47A6C"/>
    <w:rsid w:val="00D47A90"/>
    <w:rsid w:val="00D47AD1"/>
    <w:rsid w:val="00D47ADA"/>
    <w:rsid w:val="00D47AF0"/>
    <w:rsid w:val="00D47AF4"/>
    <w:rsid w:val="00D47B1A"/>
    <w:rsid w:val="00D47B42"/>
    <w:rsid w:val="00D47C43"/>
    <w:rsid w:val="00D47C5D"/>
    <w:rsid w:val="00D47C6D"/>
    <w:rsid w:val="00D47CC3"/>
    <w:rsid w:val="00D47D2B"/>
    <w:rsid w:val="00D47DCA"/>
    <w:rsid w:val="00D47DDF"/>
    <w:rsid w:val="00D47E7D"/>
    <w:rsid w:val="00D47EF6"/>
    <w:rsid w:val="00D47FA9"/>
    <w:rsid w:val="00D47FD1"/>
    <w:rsid w:val="00D50153"/>
    <w:rsid w:val="00D5016E"/>
    <w:rsid w:val="00D501FC"/>
    <w:rsid w:val="00D50228"/>
    <w:rsid w:val="00D50240"/>
    <w:rsid w:val="00D5024F"/>
    <w:rsid w:val="00D50253"/>
    <w:rsid w:val="00D50274"/>
    <w:rsid w:val="00D502D7"/>
    <w:rsid w:val="00D50315"/>
    <w:rsid w:val="00D503E4"/>
    <w:rsid w:val="00D50404"/>
    <w:rsid w:val="00D5040C"/>
    <w:rsid w:val="00D50498"/>
    <w:rsid w:val="00D50567"/>
    <w:rsid w:val="00D5059D"/>
    <w:rsid w:val="00D50604"/>
    <w:rsid w:val="00D5060A"/>
    <w:rsid w:val="00D50634"/>
    <w:rsid w:val="00D50695"/>
    <w:rsid w:val="00D506E5"/>
    <w:rsid w:val="00D5070E"/>
    <w:rsid w:val="00D50790"/>
    <w:rsid w:val="00D50827"/>
    <w:rsid w:val="00D50853"/>
    <w:rsid w:val="00D508BD"/>
    <w:rsid w:val="00D508D1"/>
    <w:rsid w:val="00D508E9"/>
    <w:rsid w:val="00D5090F"/>
    <w:rsid w:val="00D509FA"/>
    <w:rsid w:val="00D50A3E"/>
    <w:rsid w:val="00D50A40"/>
    <w:rsid w:val="00D50A45"/>
    <w:rsid w:val="00D50A89"/>
    <w:rsid w:val="00D50ADA"/>
    <w:rsid w:val="00D50BFE"/>
    <w:rsid w:val="00D50CEF"/>
    <w:rsid w:val="00D50DF9"/>
    <w:rsid w:val="00D50E29"/>
    <w:rsid w:val="00D50EA7"/>
    <w:rsid w:val="00D50ED7"/>
    <w:rsid w:val="00D50EE4"/>
    <w:rsid w:val="00D50F15"/>
    <w:rsid w:val="00D50F5F"/>
    <w:rsid w:val="00D50F8C"/>
    <w:rsid w:val="00D50FB1"/>
    <w:rsid w:val="00D50FE3"/>
    <w:rsid w:val="00D51008"/>
    <w:rsid w:val="00D51044"/>
    <w:rsid w:val="00D510B4"/>
    <w:rsid w:val="00D510F0"/>
    <w:rsid w:val="00D5118B"/>
    <w:rsid w:val="00D511AA"/>
    <w:rsid w:val="00D5126D"/>
    <w:rsid w:val="00D512CA"/>
    <w:rsid w:val="00D512F1"/>
    <w:rsid w:val="00D512F7"/>
    <w:rsid w:val="00D51394"/>
    <w:rsid w:val="00D513B3"/>
    <w:rsid w:val="00D513D9"/>
    <w:rsid w:val="00D51422"/>
    <w:rsid w:val="00D51451"/>
    <w:rsid w:val="00D51460"/>
    <w:rsid w:val="00D51498"/>
    <w:rsid w:val="00D514D9"/>
    <w:rsid w:val="00D514F5"/>
    <w:rsid w:val="00D51521"/>
    <w:rsid w:val="00D5154D"/>
    <w:rsid w:val="00D5156B"/>
    <w:rsid w:val="00D515FC"/>
    <w:rsid w:val="00D51627"/>
    <w:rsid w:val="00D516B8"/>
    <w:rsid w:val="00D51741"/>
    <w:rsid w:val="00D5178C"/>
    <w:rsid w:val="00D517C5"/>
    <w:rsid w:val="00D517F2"/>
    <w:rsid w:val="00D51874"/>
    <w:rsid w:val="00D518A2"/>
    <w:rsid w:val="00D51920"/>
    <w:rsid w:val="00D51977"/>
    <w:rsid w:val="00D51AC7"/>
    <w:rsid w:val="00D51AF9"/>
    <w:rsid w:val="00D51B22"/>
    <w:rsid w:val="00D51B96"/>
    <w:rsid w:val="00D51C12"/>
    <w:rsid w:val="00D51C1A"/>
    <w:rsid w:val="00D51CBC"/>
    <w:rsid w:val="00D51D78"/>
    <w:rsid w:val="00D51D93"/>
    <w:rsid w:val="00D51DDD"/>
    <w:rsid w:val="00D51E4A"/>
    <w:rsid w:val="00D51E8D"/>
    <w:rsid w:val="00D51EBE"/>
    <w:rsid w:val="00D51ECE"/>
    <w:rsid w:val="00D51ED0"/>
    <w:rsid w:val="00D51F3D"/>
    <w:rsid w:val="00D51F97"/>
    <w:rsid w:val="00D51FB3"/>
    <w:rsid w:val="00D5202D"/>
    <w:rsid w:val="00D5203F"/>
    <w:rsid w:val="00D52051"/>
    <w:rsid w:val="00D52134"/>
    <w:rsid w:val="00D52166"/>
    <w:rsid w:val="00D5217E"/>
    <w:rsid w:val="00D5219A"/>
    <w:rsid w:val="00D521E3"/>
    <w:rsid w:val="00D52275"/>
    <w:rsid w:val="00D5228D"/>
    <w:rsid w:val="00D5242F"/>
    <w:rsid w:val="00D52430"/>
    <w:rsid w:val="00D52436"/>
    <w:rsid w:val="00D524F9"/>
    <w:rsid w:val="00D52529"/>
    <w:rsid w:val="00D525FE"/>
    <w:rsid w:val="00D5261A"/>
    <w:rsid w:val="00D52667"/>
    <w:rsid w:val="00D5267D"/>
    <w:rsid w:val="00D526CF"/>
    <w:rsid w:val="00D527A2"/>
    <w:rsid w:val="00D527EC"/>
    <w:rsid w:val="00D527F1"/>
    <w:rsid w:val="00D52816"/>
    <w:rsid w:val="00D5286C"/>
    <w:rsid w:val="00D5292D"/>
    <w:rsid w:val="00D529A8"/>
    <w:rsid w:val="00D52A62"/>
    <w:rsid w:val="00D52A97"/>
    <w:rsid w:val="00D52A9F"/>
    <w:rsid w:val="00D52B3C"/>
    <w:rsid w:val="00D52B46"/>
    <w:rsid w:val="00D52B97"/>
    <w:rsid w:val="00D52C43"/>
    <w:rsid w:val="00D52C50"/>
    <w:rsid w:val="00D52CD8"/>
    <w:rsid w:val="00D52D88"/>
    <w:rsid w:val="00D52E05"/>
    <w:rsid w:val="00D52E33"/>
    <w:rsid w:val="00D52E8B"/>
    <w:rsid w:val="00D52EA4"/>
    <w:rsid w:val="00D52ED2"/>
    <w:rsid w:val="00D52FA2"/>
    <w:rsid w:val="00D52FAE"/>
    <w:rsid w:val="00D5301E"/>
    <w:rsid w:val="00D53022"/>
    <w:rsid w:val="00D5312E"/>
    <w:rsid w:val="00D5314F"/>
    <w:rsid w:val="00D5316C"/>
    <w:rsid w:val="00D531BC"/>
    <w:rsid w:val="00D531D0"/>
    <w:rsid w:val="00D53259"/>
    <w:rsid w:val="00D532A5"/>
    <w:rsid w:val="00D532CB"/>
    <w:rsid w:val="00D53341"/>
    <w:rsid w:val="00D533B1"/>
    <w:rsid w:val="00D53409"/>
    <w:rsid w:val="00D53417"/>
    <w:rsid w:val="00D53488"/>
    <w:rsid w:val="00D5348F"/>
    <w:rsid w:val="00D534C6"/>
    <w:rsid w:val="00D5351A"/>
    <w:rsid w:val="00D53566"/>
    <w:rsid w:val="00D5366B"/>
    <w:rsid w:val="00D5368C"/>
    <w:rsid w:val="00D536A3"/>
    <w:rsid w:val="00D536CD"/>
    <w:rsid w:val="00D53765"/>
    <w:rsid w:val="00D537DD"/>
    <w:rsid w:val="00D537F3"/>
    <w:rsid w:val="00D53817"/>
    <w:rsid w:val="00D5387C"/>
    <w:rsid w:val="00D53891"/>
    <w:rsid w:val="00D5398E"/>
    <w:rsid w:val="00D53A0E"/>
    <w:rsid w:val="00D53B02"/>
    <w:rsid w:val="00D53B84"/>
    <w:rsid w:val="00D53B97"/>
    <w:rsid w:val="00D53B9F"/>
    <w:rsid w:val="00D53BF7"/>
    <w:rsid w:val="00D53C48"/>
    <w:rsid w:val="00D53D05"/>
    <w:rsid w:val="00D53D0A"/>
    <w:rsid w:val="00D53D5E"/>
    <w:rsid w:val="00D53E47"/>
    <w:rsid w:val="00D53E6C"/>
    <w:rsid w:val="00D53ECF"/>
    <w:rsid w:val="00D53F05"/>
    <w:rsid w:val="00D53F1E"/>
    <w:rsid w:val="00D53F2A"/>
    <w:rsid w:val="00D53F86"/>
    <w:rsid w:val="00D53F95"/>
    <w:rsid w:val="00D53FF6"/>
    <w:rsid w:val="00D54028"/>
    <w:rsid w:val="00D54051"/>
    <w:rsid w:val="00D54062"/>
    <w:rsid w:val="00D540D8"/>
    <w:rsid w:val="00D541F7"/>
    <w:rsid w:val="00D54202"/>
    <w:rsid w:val="00D542EA"/>
    <w:rsid w:val="00D5433D"/>
    <w:rsid w:val="00D5435D"/>
    <w:rsid w:val="00D54449"/>
    <w:rsid w:val="00D5446E"/>
    <w:rsid w:val="00D544E2"/>
    <w:rsid w:val="00D54592"/>
    <w:rsid w:val="00D545AC"/>
    <w:rsid w:val="00D54622"/>
    <w:rsid w:val="00D54641"/>
    <w:rsid w:val="00D54675"/>
    <w:rsid w:val="00D546E3"/>
    <w:rsid w:val="00D546F5"/>
    <w:rsid w:val="00D5479D"/>
    <w:rsid w:val="00D5481B"/>
    <w:rsid w:val="00D5483F"/>
    <w:rsid w:val="00D54869"/>
    <w:rsid w:val="00D5488C"/>
    <w:rsid w:val="00D548DA"/>
    <w:rsid w:val="00D54912"/>
    <w:rsid w:val="00D54949"/>
    <w:rsid w:val="00D5496F"/>
    <w:rsid w:val="00D549BF"/>
    <w:rsid w:val="00D54A11"/>
    <w:rsid w:val="00D54A14"/>
    <w:rsid w:val="00D54B1C"/>
    <w:rsid w:val="00D54B21"/>
    <w:rsid w:val="00D54B68"/>
    <w:rsid w:val="00D54B9A"/>
    <w:rsid w:val="00D54BD5"/>
    <w:rsid w:val="00D54C0A"/>
    <w:rsid w:val="00D54CA5"/>
    <w:rsid w:val="00D54D70"/>
    <w:rsid w:val="00D54DAD"/>
    <w:rsid w:val="00D54E14"/>
    <w:rsid w:val="00D54EA0"/>
    <w:rsid w:val="00D54F01"/>
    <w:rsid w:val="00D54F46"/>
    <w:rsid w:val="00D54F9D"/>
    <w:rsid w:val="00D55002"/>
    <w:rsid w:val="00D5504C"/>
    <w:rsid w:val="00D5507B"/>
    <w:rsid w:val="00D55144"/>
    <w:rsid w:val="00D55201"/>
    <w:rsid w:val="00D5520B"/>
    <w:rsid w:val="00D55271"/>
    <w:rsid w:val="00D55277"/>
    <w:rsid w:val="00D5529A"/>
    <w:rsid w:val="00D553C1"/>
    <w:rsid w:val="00D553DA"/>
    <w:rsid w:val="00D555A2"/>
    <w:rsid w:val="00D555A3"/>
    <w:rsid w:val="00D55601"/>
    <w:rsid w:val="00D5560F"/>
    <w:rsid w:val="00D55639"/>
    <w:rsid w:val="00D55661"/>
    <w:rsid w:val="00D5566D"/>
    <w:rsid w:val="00D55714"/>
    <w:rsid w:val="00D55715"/>
    <w:rsid w:val="00D55830"/>
    <w:rsid w:val="00D558C1"/>
    <w:rsid w:val="00D55902"/>
    <w:rsid w:val="00D55909"/>
    <w:rsid w:val="00D559F2"/>
    <w:rsid w:val="00D55C92"/>
    <w:rsid w:val="00D55CFD"/>
    <w:rsid w:val="00D55D03"/>
    <w:rsid w:val="00D55D35"/>
    <w:rsid w:val="00D55DA9"/>
    <w:rsid w:val="00D55E08"/>
    <w:rsid w:val="00D55E43"/>
    <w:rsid w:val="00D55EC0"/>
    <w:rsid w:val="00D55EE0"/>
    <w:rsid w:val="00D55F10"/>
    <w:rsid w:val="00D55F19"/>
    <w:rsid w:val="00D55F21"/>
    <w:rsid w:val="00D55F87"/>
    <w:rsid w:val="00D5604B"/>
    <w:rsid w:val="00D56081"/>
    <w:rsid w:val="00D560A4"/>
    <w:rsid w:val="00D560A6"/>
    <w:rsid w:val="00D56119"/>
    <w:rsid w:val="00D561FA"/>
    <w:rsid w:val="00D562A6"/>
    <w:rsid w:val="00D562AE"/>
    <w:rsid w:val="00D56317"/>
    <w:rsid w:val="00D5633B"/>
    <w:rsid w:val="00D56347"/>
    <w:rsid w:val="00D563E4"/>
    <w:rsid w:val="00D56434"/>
    <w:rsid w:val="00D56441"/>
    <w:rsid w:val="00D5648F"/>
    <w:rsid w:val="00D56674"/>
    <w:rsid w:val="00D56705"/>
    <w:rsid w:val="00D567A6"/>
    <w:rsid w:val="00D567AA"/>
    <w:rsid w:val="00D567C5"/>
    <w:rsid w:val="00D567CD"/>
    <w:rsid w:val="00D56983"/>
    <w:rsid w:val="00D569A4"/>
    <w:rsid w:val="00D569EA"/>
    <w:rsid w:val="00D56A04"/>
    <w:rsid w:val="00D56A17"/>
    <w:rsid w:val="00D56A91"/>
    <w:rsid w:val="00D56ACD"/>
    <w:rsid w:val="00D56AF9"/>
    <w:rsid w:val="00D56BAF"/>
    <w:rsid w:val="00D56C02"/>
    <w:rsid w:val="00D56C2F"/>
    <w:rsid w:val="00D56C3D"/>
    <w:rsid w:val="00D56CC7"/>
    <w:rsid w:val="00D56CE7"/>
    <w:rsid w:val="00D56D60"/>
    <w:rsid w:val="00D56D90"/>
    <w:rsid w:val="00D56DFB"/>
    <w:rsid w:val="00D56E21"/>
    <w:rsid w:val="00D56E5F"/>
    <w:rsid w:val="00D56E6F"/>
    <w:rsid w:val="00D56E9C"/>
    <w:rsid w:val="00D56F2B"/>
    <w:rsid w:val="00D56F83"/>
    <w:rsid w:val="00D5705B"/>
    <w:rsid w:val="00D5707B"/>
    <w:rsid w:val="00D57153"/>
    <w:rsid w:val="00D57199"/>
    <w:rsid w:val="00D5719D"/>
    <w:rsid w:val="00D571CA"/>
    <w:rsid w:val="00D57292"/>
    <w:rsid w:val="00D572C8"/>
    <w:rsid w:val="00D57307"/>
    <w:rsid w:val="00D57369"/>
    <w:rsid w:val="00D57394"/>
    <w:rsid w:val="00D573AD"/>
    <w:rsid w:val="00D57497"/>
    <w:rsid w:val="00D57501"/>
    <w:rsid w:val="00D57572"/>
    <w:rsid w:val="00D575BD"/>
    <w:rsid w:val="00D575C6"/>
    <w:rsid w:val="00D575D7"/>
    <w:rsid w:val="00D57609"/>
    <w:rsid w:val="00D57631"/>
    <w:rsid w:val="00D576A0"/>
    <w:rsid w:val="00D576E3"/>
    <w:rsid w:val="00D57778"/>
    <w:rsid w:val="00D57789"/>
    <w:rsid w:val="00D577C4"/>
    <w:rsid w:val="00D57878"/>
    <w:rsid w:val="00D57917"/>
    <w:rsid w:val="00D57994"/>
    <w:rsid w:val="00D57A2B"/>
    <w:rsid w:val="00D57A83"/>
    <w:rsid w:val="00D57B8E"/>
    <w:rsid w:val="00D57BB8"/>
    <w:rsid w:val="00D57C1C"/>
    <w:rsid w:val="00D57C84"/>
    <w:rsid w:val="00D57CBF"/>
    <w:rsid w:val="00D57CD3"/>
    <w:rsid w:val="00D57D78"/>
    <w:rsid w:val="00D57D8B"/>
    <w:rsid w:val="00D57DD7"/>
    <w:rsid w:val="00D57EA1"/>
    <w:rsid w:val="00D57EA4"/>
    <w:rsid w:val="00D57FAE"/>
    <w:rsid w:val="00D60094"/>
    <w:rsid w:val="00D60095"/>
    <w:rsid w:val="00D60171"/>
    <w:rsid w:val="00D60176"/>
    <w:rsid w:val="00D6019C"/>
    <w:rsid w:val="00D60243"/>
    <w:rsid w:val="00D60256"/>
    <w:rsid w:val="00D6026C"/>
    <w:rsid w:val="00D60298"/>
    <w:rsid w:val="00D60323"/>
    <w:rsid w:val="00D60346"/>
    <w:rsid w:val="00D60363"/>
    <w:rsid w:val="00D60381"/>
    <w:rsid w:val="00D6039E"/>
    <w:rsid w:val="00D60497"/>
    <w:rsid w:val="00D604F3"/>
    <w:rsid w:val="00D6055E"/>
    <w:rsid w:val="00D60586"/>
    <w:rsid w:val="00D605E5"/>
    <w:rsid w:val="00D6062B"/>
    <w:rsid w:val="00D60649"/>
    <w:rsid w:val="00D60698"/>
    <w:rsid w:val="00D60708"/>
    <w:rsid w:val="00D60760"/>
    <w:rsid w:val="00D6078D"/>
    <w:rsid w:val="00D60797"/>
    <w:rsid w:val="00D607DE"/>
    <w:rsid w:val="00D60823"/>
    <w:rsid w:val="00D608F7"/>
    <w:rsid w:val="00D60967"/>
    <w:rsid w:val="00D60971"/>
    <w:rsid w:val="00D60A1D"/>
    <w:rsid w:val="00D60A3A"/>
    <w:rsid w:val="00D60A58"/>
    <w:rsid w:val="00D60A6C"/>
    <w:rsid w:val="00D60A9D"/>
    <w:rsid w:val="00D60B00"/>
    <w:rsid w:val="00D60C0D"/>
    <w:rsid w:val="00D60CA9"/>
    <w:rsid w:val="00D60D5D"/>
    <w:rsid w:val="00D60E04"/>
    <w:rsid w:val="00D60E3C"/>
    <w:rsid w:val="00D60E79"/>
    <w:rsid w:val="00D60F14"/>
    <w:rsid w:val="00D60F15"/>
    <w:rsid w:val="00D60FBB"/>
    <w:rsid w:val="00D61081"/>
    <w:rsid w:val="00D6118C"/>
    <w:rsid w:val="00D611D8"/>
    <w:rsid w:val="00D611F2"/>
    <w:rsid w:val="00D61245"/>
    <w:rsid w:val="00D6127D"/>
    <w:rsid w:val="00D6132E"/>
    <w:rsid w:val="00D6133B"/>
    <w:rsid w:val="00D6134E"/>
    <w:rsid w:val="00D61380"/>
    <w:rsid w:val="00D6138F"/>
    <w:rsid w:val="00D613B9"/>
    <w:rsid w:val="00D613E7"/>
    <w:rsid w:val="00D6142D"/>
    <w:rsid w:val="00D6143E"/>
    <w:rsid w:val="00D614A5"/>
    <w:rsid w:val="00D61524"/>
    <w:rsid w:val="00D61555"/>
    <w:rsid w:val="00D615FC"/>
    <w:rsid w:val="00D6161A"/>
    <w:rsid w:val="00D61671"/>
    <w:rsid w:val="00D617D2"/>
    <w:rsid w:val="00D617DD"/>
    <w:rsid w:val="00D6190A"/>
    <w:rsid w:val="00D6196E"/>
    <w:rsid w:val="00D61986"/>
    <w:rsid w:val="00D619C6"/>
    <w:rsid w:val="00D61A2E"/>
    <w:rsid w:val="00D61A69"/>
    <w:rsid w:val="00D61BCF"/>
    <w:rsid w:val="00D61C20"/>
    <w:rsid w:val="00D61C39"/>
    <w:rsid w:val="00D61CED"/>
    <w:rsid w:val="00D61D44"/>
    <w:rsid w:val="00D61D4F"/>
    <w:rsid w:val="00D61D90"/>
    <w:rsid w:val="00D61DB6"/>
    <w:rsid w:val="00D61DFF"/>
    <w:rsid w:val="00D61E5C"/>
    <w:rsid w:val="00D61E88"/>
    <w:rsid w:val="00D61ED5"/>
    <w:rsid w:val="00D61EFE"/>
    <w:rsid w:val="00D61F52"/>
    <w:rsid w:val="00D6204B"/>
    <w:rsid w:val="00D62185"/>
    <w:rsid w:val="00D622AC"/>
    <w:rsid w:val="00D622E4"/>
    <w:rsid w:val="00D62327"/>
    <w:rsid w:val="00D6233C"/>
    <w:rsid w:val="00D623A2"/>
    <w:rsid w:val="00D623F8"/>
    <w:rsid w:val="00D62416"/>
    <w:rsid w:val="00D6249E"/>
    <w:rsid w:val="00D624C8"/>
    <w:rsid w:val="00D62633"/>
    <w:rsid w:val="00D62680"/>
    <w:rsid w:val="00D62698"/>
    <w:rsid w:val="00D626DB"/>
    <w:rsid w:val="00D627F7"/>
    <w:rsid w:val="00D628C2"/>
    <w:rsid w:val="00D62904"/>
    <w:rsid w:val="00D62929"/>
    <w:rsid w:val="00D62B22"/>
    <w:rsid w:val="00D62BB3"/>
    <w:rsid w:val="00D62DF8"/>
    <w:rsid w:val="00D62E0F"/>
    <w:rsid w:val="00D62EBC"/>
    <w:rsid w:val="00D62ED4"/>
    <w:rsid w:val="00D62EE9"/>
    <w:rsid w:val="00D62EF0"/>
    <w:rsid w:val="00D62EF7"/>
    <w:rsid w:val="00D62F09"/>
    <w:rsid w:val="00D62F13"/>
    <w:rsid w:val="00D62F16"/>
    <w:rsid w:val="00D6313E"/>
    <w:rsid w:val="00D6328E"/>
    <w:rsid w:val="00D6333B"/>
    <w:rsid w:val="00D63416"/>
    <w:rsid w:val="00D6341B"/>
    <w:rsid w:val="00D63497"/>
    <w:rsid w:val="00D634A8"/>
    <w:rsid w:val="00D634B9"/>
    <w:rsid w:val="00D635C2"/>
    <w:rsid w:val="00D635D6"/>
    <w:rsid w:val="00D63736"/>
    <w:rsid w:val="00D63759"/>
    <w:rsid w:val="00D637DB"/>
    <w:rsid w:val="00D63839"/>
    <w:rsid w:val="00D6383B"/>
    <w:rsid w:val="00D6383C"/>
    <w:rsid w:val="00D63888"/>
    <w:rsid w:val="00D63955"/>
    <w:rsid w:val="00D639A8"/>
    <w:rsid w:val="00D639B2"/>
    <w:rsid w:val="00D639FB"/>
    <w:rsid w:val="00D63A6E"/>
    <w:rsid w:val="00D63BC8"/>
    <w:rsid w:val="00D63BD1"/>
    <w:rsid w:val="00D63C5D"/>
    <w:rsid w:val="00D63C6C"/>
    <w:rsid w:val="00D63CB2"/>
    <w:rsid w:val="00D63CDA"/>
    <w:rsid w:val="00D63D5D"/>
    <w:rsid w:val="00D63D74"/>
    <w:rsid w:val="00D63DBA"/>
    <w:rsid w:val="00D63E0C"/>
    <w:rsid w:val="00D63EA9"/>
    <w:rsid w:val="00D63EEA"/>
    <w:rsid w:val="00D63FCB"/>
    <w:rsid w:val="00D63FDC"/>
    <w:rsid w:val="00D64057"/>
    <w:rsid w:val="00D64079"/>
    <w:rsid w:val="00D640D0"/>
    <w:rsid w:val="00D641C7"/>
    <w:rsid w:val="00D641D3"/>
    <w:rsid w:val="00D6420F"/>
    <w:rsid w:val="00D64228"/>
    <w:rsid w:val="00D642A9"/>
    <w:rsid w:val="00D642E0"/>
    <w:rsid w:val="00D6433B"/>
    <w:rsid w:val="00D6435F"/>
    <w:rsid w:val="00D64366"/>
    <w:rsid w:val="00D64370"/>
    <w:rsid w:val="00D643BF"/>
    <w:rsid w:val="00D6441F"/>
    <w:rsid w:val="00D644C9"/>
    <w:rsid w:val="00D64566"/>
    <w:rsid w:val="00D64612"/>
    <w:rsid w:val="00D646C9"/>
    <w:rsid w:val="00D646FB"/>
    <w:rsid w:val="00D6473C"/>
    <w:rsid w:val="00D647BC"/>
    <w:rsid w:val="00D6484F"/>
    <w:rsid w:val="00D6488A"/>
    <w:rsid w:val="00D648C0"/>
    <w:rsid w:val="00D6490B"/>
    <w:rsid w:val="00D6492A"/>
    <w:rsid w:val="00D6495B"/>
    <w:rsid w:val="00D649A9"/>
    <w:rsid w:val="00D649DC"/>
    <w:rsid w:val="00D64A32"/>
    <w:rsid w:val="00D64A95"/>
    <w:rsid w:val="00D64AAE"/>
    <w:rsid w:val="00D64BF8"/>
    <w:rsid w:val="00D64C44"/>
    <w:rsid w:val="00D64C85"/>
    <w:rsid w:val="00D64DCA"/>
    <w:rsid w:val="00D64E34"/>
    <w:rsid w:val="00D64E9E"/>
    <w:rsid w:val="00D64FC8"/>
    <w:rsid w:val="00D65004"/>
    <w:rsid w:val="00D65006"/>
    <w:rsid w:val="00D65089"/>
    <w:rsid w:val="00D65098"/>
    <w:rsid w:val="00D6513B"/>
    <w:rsid w:val="00D651A1"/>
    <w:rsid w:val="00D651B9"/>
    <w:rsid w:val="00D651D0"/>
    <w:rsid w:val="00D65279"/>
    <w:rsid w:val="00D652C3"/>
    <w:rsid w:val="00D652FB"/>
    <w:rsid w:val="00D653A8"/>
    <w:rsid w:val="00D654AE"/>
    <w:rsid w:val="00D654C7"/>
    <w:rsid w:val="00D65592"/>
    <w:rsid w:val="00D6565F"/>
    <w:rsid w:val="00D65694"/>
    <w:rsid w:val="00D656F7"/>
    <w:rsid w:val="00D65766"/>
    <w:rsid w:val="00D6580C"/>
    <w:rsid w:val="00D658B0"/>
    <w:rsid w:val="00D658C5"/>
    <w:rsid w:val="00D658D7"/>
    <w:rsid w:val="00D658E7"/>
    <w:rsid w:val="00D658F3"/>
    <w:rsid w:val="00D65900"/>
    <w:rsid w:val="00D65981"/>
    <w:rsid w:val="00D6599B"/>
    <w:rsid w:val="00D659C4"/>
    <w:rsid w:val="00D659D0"/>
    <w:rsid w:val="00D659E4"/>
    <w:rsid w:val="00D65A0C"/>
    <w:rsid w:val="00D65A4A"/>
    <w:rsid w:val="00D65A79"/>
    <w:rsid w:val="00D65B28"/>
    <w:rsid w:val="00D65BA3"/>
    <w:rsid w:val="00D65C7B"/>
    <w:rsid w:val="00D65CC9"/>
    <w:rsid w:val="00D65D0C"/>
    <w:rsid w:val="00D65D55"/>
    <w:rsid w:val="00D65D63"/>
    <w:rsid w:val="00D65DE0"/>
    <w:rsid w:val="00D65EC1"/>
    <w:rsid w:val="00D65EC7"/>
    <w:rsid w:val="00D65F2B"/>
    <w:rsid w:val="00D65F35"/>
    <w:rsid w:val="00D65FA8"/>
    <w:rsid w:val="00D65FC2"/>
    <w:rsid w:val="00D65FCE"/>
    <w:rsid w:val="00D66000"/>
    <w:rsid w:val="00D66025"/>
    <w:rsid w:val="00D660C6"/>
    <w:rsid w:val="00D66127"/>
    <w:rsid w:val="00D661B0"/>
    <w:rsid w:val="00D661D6"/>
    <w:rsid w:val="00D662B9"/>
    <w:rsid w:val="00D66350"/>
    <w:rsid w:val="00D66430"/>
    <w:rsid w:val="00D6644C"/>
    <w:rsid w:val="00D66471"/>
    <w:rsid w:val="00D66481"/>
    <w:rsid w:val="00D6650A"/>
    <w:rsid w:val="00D66529"/>
    <w:rsid w:val="00D6654F"/>
    <w:rsid w:val="00D66572"/>
    <w:rsid w:val="00D6665A"/>
    <w:rsid w:val="00D6666C"/>
    <w:rsid w:val="00D6669D"/>
    <w:rsid w:val="00D666B8"/>
    <w:rsid w:val="00D6677B"/>
    <w:rsid w:val="00D66865"/>
    <w:rsid w:val="00D66887"/>
    <w:rsid w:val="00D668A7"/>
    <w:rsid w:val="00D66940"/>
    <w:rsid w:val="00D66971"/>
    <w:rsid w:val="00D669A8"/>
    <w:rsid w:val="00D669EE"/>
    <w:rsid w:val="00D66A2A"/>
    <w:rsid w:val="00D66AC1"/>
    <w:rsid w:val="00D66BFE"/>
    <w:rsid w:val="00D66C73"/>
    <w:rsid w:val="00D66C98"/>
    <w:rsid w:val="00D66CAA"/>
    <w:rsid w:val="00D66CE3"/>
    <w:rsid w:val="00D66D1E"/>
    <w:rsid w:val="00D66D2F"/>
    <w:rsid w:val="00D66D6D"/>
    <w:rsid w:val="00D66DCF"/>
    <w:rsid w:val="00D66E16"/>
    <w:rsid w:val="00D66EC4"/>
    <w:rsid w:val="00D66EE7"/>
    <w:rsid w:val="00D66FA4"/>
    <w:rsid w:val="00D66FDC"/>
    <w:rsid w:val="00D670B6"/>
    <w:rsid w:val="00D67118"/>
    <w:rsid w:val="00D67267"/>
    <w:rsid w:val="00D67287"/>
    <w:rsid w:val="00D67296"/>
    <w:rsid w:val="00D672B7"/>
    <w:rsid w:val="00D672D9"/>
    <w:rsid w:val="00D6732F"/>
    <w:rsid w:val="00D6738F"/>
    <w:rsid w:val="00D673B6"/>
    <w:rsid w:val="00D67401"/>
    <w:rsid w:val="00D67429"/>
    <w:rsid w:val="00D67435"/>
    <w:rsid w:val="00D67444"/>
    <w:rsid w:val="00D67449"/>
    <w:rsid w:val="00D67491"/>
    <w:rsid w:val="00D674BF"/>
    <w:rsid w:val="00D675D5"/>
    <w:rsid w:val="00D67614"/>
    <w:rsid w:val="00D6781D"/>
    <w:rsid w:val="00D678B9"/>
    <w:rsid w:val="00D678D3"/>
    <w:rsid w:val="00D678DD"/>
    <w:rsid w:val="00D67A20"/>
    <w:rsid w:val="00D67A8F"/>
    <w:rsid w:val="00D67BC1"/>
    <w:rsid w:val="00D67CCE"/>
    <w:rsid w:val="00D67D0D"/>
    <w:rsid w:val="00D67D1E"/>
    <w:rsid w:val="00D67D32"/>
    <w:rsid w:val="00D67D72"/>
    <w:rsid w:val="00D67E0A"/>
    <w:rsid w:val="00D67E0F"/>
    <w:rsid w:val="00D67E31"/>
    <w:rsid w:val="00D67F18"/>
    <w:rsid w:val="00D67F65"/>
    <w:rsid w:val="00D67F6B"/>
    <w:rsid w:val="00D67FA8"/>
    <w:rsid w:val="00D67FCD"/>
    <w:rsid w:val="00D70025"/>
    <w:rsid w:val="00D70053"/>
    <w:rsid w:val="00D7005E"/>
    <w:rsid w:val="00D70081"/>
    <w:rsid w:val="00D700ED"/>
    <w:rsid w:val="00D70148"/>
    <w:rsid w:val="00D70153"/>
    <w:rsid w:val="00D702BA"/>
    <w:rsid w:val="00D70332"/>
    <w:rsid w:val="00D70345"/>
    <w:rsid w:val="00D70411"/>
    <w:rsid w:val="00D704BA"/>
    <w:rsid w:val="00D7054F"/>
    <w:rsid w:val="00D705B9"/>
    <w:rsid w:val="00D706DB"/>
    <w:rsid w:val="00D70764"/>
    <w:rsid w:val="00D707CD"/>
    <w:rsid w:val="00D7085F"/>
    <w:rsid w:val="00D708BD"/>
    <w:rsid w:val="00D70933"/>
    <w:rsid w:val="00D7093C"/>
    <w:rsid w:val="00D70992"/>
    <w:rsid w:val="00D709A0"/>
    <w:rsid w:val="00D70A27"/>
    <w:rsid w:val="00D70A9B"/>
    <w:rsid w:val="00D70AAD"/>
    <w:rsid w:val="00D70B31"/>
    <w:rsid w:val="00D70BC3"/>
    <w:rsid w:val="00D70C17"/>
    <w:rsid w:val="00D70C97"/>
    <w:rsid w:val="00D70CE3"/>
    <w:rsid w:val="00D70D11"/>
    <w:rsid w:val="00D70D20"/>
    <w:rsid w:val="00D70E3F"/>
    <w:rsid w:val="00D70F2D"/>
    <w:rsid w:val="00D70F4A"/>
    <w:rsid w:val="00D70F53"/>
    <w:rsid w:val="00D70FE3"/>
    <w:rsid w:val="00D71064"/>
    <w:rsid w:val="00D7111A"/>
    <w:rsid w:val="00D71121"/>
    <w:rsid w:val="00D71137"/>
    <w:rsid w:val="00D712EB"/>
    <w:rsid w:val="00D713F8"/>
    <w:rsid w:val="00D7141A"/>
    <w:rsid w:val="00D71440"/>
    <w:rsid w:val="00D714B0"/>
    <w:rsid w:val="00D714B7"/>
    <w:rsid w:val="00D71517"/>
    <w:rsid w:val="00D7156E"/>
    <w:rsid w:val="00D715B0"/>
    <w:rsid w:val="00D71614"/>
    <w:rsid w:val="00D7163D"/>
    <w:rsid w:val="00D71689"/>
    <w:rsid w:val="00D716BF"/>
    <w:rsid w:val="00D7170A"/>
    <w:rsid w:val="00D7173E"/>
    <w:rsid w:val="00D71761"/>
    <w:rsid w:val="00D71763"/>
    <w:rsid w:val="00D7177F"/>
    <w:rsid w:val="00D717D0"/>
    <w:rsid w:val="00D717D1"/>
    <w:rsid w:val="00D717D3"/>
    <w:rsid w:val="00D7182D"/>
    <w:rsid w:val="00D718A6"/>
    <w:rsid w:val="00D71A0B"/>
    <w:rsid w:val="00D71A94"/>
    <w:rsid w:val="00D71B26"/>
    <w:rsid w:val="00D71BBD"/>
    <w:rsid w:val="00D71BE0"/>
    <w:rsid w:val="00D71CC0"/>
    <w:rsid w:val="00D71D0A"/>
    <w:rsid w:val="00D71D6E"/>
    <w:rsid w:val="00D71DDE"/>
    <w:rsid w:val="00D71E43"/>
    <w:rsid w:val="00D71E52"/>
    <w:rsid w:val="00D71E6B"/>
    <w:rsid w:val="00D71E8A"/>
    <w:rsid w:val="00D71FAA"/>
    <w:rsid w:val="00D7203C"/>
    <w:rsid w:val="00D72095"/>
    <w:rsid w:val="00D720A6"/>
    <w:rsid w:val="00D72118"/>
    <w:rsid w:val="00D72156"/>
    <w:rsid w:val="00D72188"/>
    <w:rsid w:val="00D722CC"/>
    <w:rsid w:val="00D723A4"/>
    <w:rsid w:val="00D723B1"/>
    <w:rsid w:val="00D7241C"/>
    <w:rsid w:val="00D7244B"/>
    <w:rsid w:val="00D72526"/>
    <w:rsid w:val="00D7254C"/>
    <w:rsid w:val="00D7259A"/>
    <w:rsid w:val="00D725A6"/>
    <w:rsid w:val="00D725C0"/>
    <w:rsid w:val="00D725C7"/>
    <w:rsid w:val="00D725CB"/>
    <w:rsid w:val="00D72625"/>
    <w:rsid w:val="00D7263E"/>
    <w:rsid w:val="00D72665"/>
    <w:rsid w:val="00D726D4"/>
    <w:rsid w:val="00D726F8"/>
    <w:rsid w:val="00D72737"/>
    <w:rsid w:val="00D72772"/>
    <w:rsid w:val="00D7286C"/>
    <w:rsid w:val="00D7288F"/>
    <w:rsid w:val="00D728B8"/>
    <w:rsid w:val="00D728D4"/>
    <w:rsid w:val="00D72906"/>
    <w:rsid w:val="00D72975"/>
    <w:rsid w:val="00D72998"/>
    <w:rsid w:val="00D72A39"/>
    <w:rsid w:val="00D72A60"/>
    <w:rsid w:val="00D72A7D"/>
    <w:rsid w:val="00D72B34"/>
    <w:rsid w:val="00D72C0D"/>
    <w:rsid w:val="00D72C19"/>
    <w:rsid w:val="00D72C6E"/>
    <w:rsid w:val="00D72C70"/>
    <w:rsid w:val="00D72D7C"/>
    <w:rsid w:val="00D72DE6"/>
    <w:rsid w:val="00D72DF6"/>
    <w:rsid w:val="00D72F13"/>
    <w:rsid w:val="00D72F6A"/>
    <w:rsid w:val="00D72F9E"/>
    <w:rsid w:val="00D72FCB"/>
    <w:rsid w:val="00D73032"/>
    <w:rsid w:val="00D73065"/>
    <w:rsid w:val="00D73067"/>
    <w:rsid w:val="00D73069"/>
    <w:rsid w:val="00D7307B"/>
    <w:rsid w:val="00D730A3"/>
    <w:rsid w:val="00D730C1"/>
    <w:rsid w:val="00D730C9"/>
    <w:rsid w:val="00D730D0"/>
    <w:rsid w:val="00D73179"/>
    <w:rsid w:val="00D73192"/>
    <w:rsid w:val="00D731D8"/>
    <w:rsid w:val="00D73274"/>
    <w:rsid w:val="00D733D3"/>
    <w:rsid w:val="00D73407"/>
    <w:rsid w:val="00D7340D"/>
    <w:rsid w:val="00D7351F"/>
    <w:rsid w:val="00D73572"/>
    <w:rsid w:val="00D735B2"/>
    <w:rsid w:val="00D735E8"/>
    <w:rsid w:val="00D73653"/>
    <w:rsid w:val="00D7369F"/>
    <w:rsid w:val="00D737BE"/>
    <w:rsid w:val="00D73849"/>
    <w:rsid w:val="00D73860"/>
    <w:rsid w:val="00D73866"/>
    <w:rsid w:val="00D738E2"/>
    <w:rsid w:val="00D73934"/>
    <w:rsid w:val="00D73B66"/>
    <w:rsid w:val="00D73BE5"/>
    <w:rsid w:val="00D73C82"/>
    <w:rsid w:val="00D73D06"/>
    <w:rsid w:val="00D73D24"/>
    <w:rsid w:val="00D73D27"/>
    <w:rsid w:val="00D73D60"/>
    <w:rsid w:val="00D73DD5"/>
    <w:rsid w:val="00D73DD9"/>
    <w:rsid w:val="00D73E3D"/>
    <w:rsid w:val="00D73EB2"/>
    <w:rsid w:val="00D73EE3"/>
    <w:rsid w:val="00D73EF9"/>
    <w:rsid w:val="00D73F23"/>
    <w:rsid w:val="00D73F29"/>
    <w:rsid w:val="00D73F5F"/>
    <w:rsid w:val="00D74002"/>
    <w:rsid w:val="00D74021"/>
    <w:rsid w:val="00D7406B"/>
    <w:rsid w:val="00D74074"/>
    <w:rsid w:val="00D740E4"/>
    <w:rsid w:val="00D7415D"/>
    <w:rsid w:val="00D74177"/>
    <w:rsid w:val="00D74195"/>
    <w:rsid w:val="00D74359"/>
    <w:rsid w:val="00D7437E"/>
    <w:rsid w:val="00D743A0"/>
    <w:rsid w:val="00D7440D"/>
    <w:rsid w:val="00D7444D"/>
    <w:rsid w:val="00D74477"/>
    <w:rsid w:val="00D74512"/>
    <w:rsid w:val="00D74656"/>
    <w:rsid w:val="00D746B8"/>
    <w:rsid w:val="00D746D9"/>
    <w:rsid w:val="00D74756"/>
    <w:rsid w:val="00D747C2"/>
    <w:rsid w:val="00D748D9"/>
    <w:rsid w:val="00D7492D"/>
    <w:rsid w:val="00D74993"/>
    <w:rsid w:val="00D749BE"/>
    <w:rsid w:val="00D74A66"/>
    <w:rsid w:val="00D74ADB"/>
    <w:rsid w:val="00D74B11"/>
    <w:rsid w:val="00D74B78"/>
    <w:rsid w:val="00D74BB9"/>
    <w:rsid w:val="00D74BC2"/>
    <w:rsid w:val="00D74BE8"/>
    <w:rsid w:val="00D74C52"/>
    <w:rsid w:val="00D74C7B"/>
    <w:rsid w:val="00D74CA3"/>
    <w:rsid w:val="00D74D32"/>
    <w:rsid w:val="00D74DA1"/>
    <w:rsid w:val="00D74DAC"/>
    <w:rsid w:val="00D74DBE"/>
    <w:rsid w:val="00D74DC3"/>
    <w:rsid w:val="00D74EBE"/>
    <w:rsid w:val="00D74F31"/>
    <w:rsid w:val="00D74FB6"/>
    <w:rsid w:val="00D74FFF"/>
    <w:rsid w:val="00D7508A"/>
    <w:rsid w:val="00D7509D"/>
    <w:rsid w:val="00D7514B"/>
    <w:rsid w:val="00D75201"/>
    <w:rsid w:val="00D752C2"/>
    <w:rsid w:val="00D75300"/>
    <w:rsid w:val="00D75332"/>
    <w:rsid w:val="00D7535D"/>
    <w:rsid w:val="00D753DE"/>
    <w:rsid w:val="00D754B2"/>
    <w:rsid w:val="00D75607"/>
    <w:rsid w:val="00D75652"/>
    <w:rsid w:val="00D756A0"/>
    <w:rsid w:val="00D75701"/>
    <w:rsid w:val="00D7571A"/>
    <w:rsid w:val="00D757DA"/>
    <w:rsid w:val="00D7587B"/>
    <w:rsid w:val="00D759C0"/>
    <w:rsid w:val="00D75A17"/>
    <w:rsid w:val="00D75A8B"/>
    <w:rsid w:val="00D75ABC"/>
    <w:rsid w:val="00D75B5C"/>
    <w:rsid w:val="00D75B71"/>
    <w:rsid w:val="00D75B76"/>
    <w:rsid w:val="00D75BE6"/>
    <w:rsid w:val="00D75C0E"/>
    <w:rsid w:val="00D75CA1"/>
    <w:rsid w:val="00D75D15"/>
    <w:rsid w:val="00D75D8F"/>
    <w:rsid w:val="00D75DED"/>
    <w:rsid w:val="00D75E10"/>
    <w:rsid w:val="00D75E49"/>
    <w:rsid w:val="00D75EAA"/>
    <w:rsid w:val="00D75EAE"/>
    <w:rsid w:val="00D75ED9"/>
    <w:rsid w:val="00D75F74"/>
    <w:rsid w:val="00D76017"/>
    <w:rsid w:val="00D76105"/>
    <w:rsid w:val="00D763B3"/>
    <w:rsid w:val="00D76442"/>
    <w:rsid w:val="00D76469"/>
    <w:rsid w:val="00D7646C"/>
    <w:rsid w:val="00D7649A"/>
    <w:rsid w:val="00D76503"/>
    <w:rsid w:val="00D7656E"/>
    <w:rsid w:val="00D76609"/>
    <w:rsid w:val="00D7664D"/>
    <w:rsid w:val="00D7665C"/>
    <w:rsid w:val="00D766B1"/>
    <w:rsid w:val="00D766EC"/>
    <w:rsid w:val="00D76726"/>
    <w:rsid w:val="00D76749"/>
    <w:rsid w:val="00D76758"/>
    <w:rsid w:val="00D7675E"/>
    <w:rsid w:val="00D76799"/>
    <w:rsid w:val="00D767B6"/>
    <w:rsid w:val="00D76830"/>
    <w:rsid w:val="00D76865"/>
    <w:rsid w:val="00D768A3"/>
    <w:rsid w:val="00D769CE"/>
    <w:rsid w:val="00D769D9"/>
    <w:rsid w:val="00D769F1"/>
    <w:rsid w:val="00D76B9C"/>
    <w:rsid w:val="00D76BF9"/>
    <w:rsid w:val="00D76C2C"/>
    <w:rsid w:val="00D76C61"/>
    <w:rsid w:val="00D76CDB"/>
    <w:rsid w:val="00D76D33"/>
    <w:rsid w:val="00D76D7C"/>
    <w:rsid w:val="00D76D86"/>
    <w:rsid w:val="00D76DA1"/>
    <w:rsid w:val="00D76DB2"/>
    <w:rsid w:val="00D76DB4"/>
    <w:rsid w:val="00D76E5D"/>
    <w:rsid w:val="00D76EFF"/>
    <w:rsid w:val="00D76FAA"/>
    <w:rsid w:val="00D7703B"/>
    <w:rsid w:val="00D77045"/>
    <w:rsid w:val="00D7705E"/>
    <w:rsid w:val="00D77098"/>
    <w:rsid w:val="00D771EC"/>
    <w:rsid w:val="00D772CA"/>
    <w:rsid w:val="00D77363"/>
    <w:rsid w:val="00D7736F"/>
    <w:rsid w:val="00D773C2"/>
    <w:rsid w:val="00D773DE"/>
    <w:rsid w:val="00D7748E"/>
    <w:rsid w:val="00D77528"/>
    <w:rsid w:val="00D77660"/>
    <w:rsid w:val="00D776F1"/>
    <w:rsid w:val="00D777F3"/>
    <w:rsid w:val="00D77837"/>
    <w:rsid w:val="00D778A5"/>
    <w:rsid w:val="00D778EF"/>
    <w:rsid w:val="00D77905"/>
    <w:rsid w:val="00D77979"/>
    <w:rsid w:val="00D7797E"/>
    <w:rsid w:val="00D779EB"/>
    <w:rsid w:val="00D77A34"/>
    <w:rsid w:val="00D77ACB"/>
    <w:rsid w:val="00D77C5E"/>
    <w:rsid w:val="00D77C85"/>
    <w:rsid w:val="00D77CB2"/>
    <w:rsid w:val="00D77CD4"/>
    <w:rsid w:val="00D77D13"/>
    <w:rsid w:val="00D77DC2"/>
    <w:rsid w:val="00D77DF2"/>
    <w:rsid w:val="00D77E5F"/>
    <w:rsid w:val="00D77EB6"/>
    <w:rsid w:val="00D77F2D"/>
    <w:rsid w:val="00D77F81"/>
    <w:rsid w:val="00D80167"/>
    <w:rsid w:val="00D80173"/>
    <w:rsid w:val="00D801F4"/>
    <w:rsid w:val="00D80265"/>
    <w:rsid w:val="00D80267"/>
    <w:rsid w:val="00D802CF"/>
    <w:rsid w:val="00D802EF"/>
    <w:rsid w:val="00D80364"/>
    <w:rsid w:val="00D803FB"/>
    <w:rsid w:val="00D804CF"/>
    <w:rsid w:val="00D8050D"/>
    <w:rsid w:val="00D80547"/>
    <w:rsid w:val="00D8059B"/>
    <w:rsid w:val="00D80652"/>
    <w:rsid w:val="00D80675"/>
    <w:rsid w:val="00D80689"/>
    <w:rsid w:val="00D80698"/>
    <w:rsid w:val="00D8069E"/>
    <w:rsid w:val="00D806E2"/>
    <w:rsid w:val="00D80774"/>
    <w:rsid w:val="00D80781"/>
    <w:rsid w:val="00D80790"/>
    <w:rsid w:val="00D807B3"/>
    <w:rsid w:val="00D808E2"/>
    <w:rsid w:val="00D80959"/>
    <w:rsid w:val="00D80A82"/>
    <w:rsid w:val="00D80ACA"/>
    <w:rsid w:val="00D80B0E"/>
    <w:rsid w:val="00D80B3B"/>
    <w:rsid w:val="00D80B8F"/>
    <w:rsid w:val="00D80BA1"/>
    <w:rsid w:val="00D80C2D"/>
    <w:rsid w:val="00D80C58"/>
    <w:rsid w:val="00D80C87"/>
    <w:rsid w:val="00D80CB1"/>
    <w:rsid w:val="00D80CEA"/>
    <w:rsid w:val="00D80D8C"/>
    <w:rsid w:val="00D80DCD"/>
    <w:rsid w:val="00D80ECB"/>
    <w:rsid w:val="00D80F36"/>
    <w:rsid w:val="00D80FB5"/>
    <w:rsid w:val="00D80FD3"/>
    <w:rsid w:val="00D8105E"/>
    <w:rsid w:val="00D81082"/>
    <w:rsid w:val="00D81108"/>
    <w:rsid w:val="00D8112A"/>
    <w:rsid w:val="00D81228"/>
    <w:rsid w:val="00D8123E"/>
    <w:rsid w:val="00D812BE"/>
    <w:rsid w:val="00D81340"/>
    <w:rsid w:val="00D81533"/>
    <w:rsid w:val="00D81548"/>
    <w:rsid w:val="00D81568"/>
    <w:rsid w:val="00D81615"/>
    <w:rsid w:val="00D8162A"/>
    <w:rsid w:val="00D8165D"/>
    <w:rsid w:val="00D81677"/>
    <w:rsid w:val="00D81708"/>
    <w:rsid w:val="00D817AF"/>
    <w:rsid w:val="00D81861"/>
    <w:rsid w:val="00D81889"/>
    <w:rsid w:val="00D8198E"/>
    <w:rsid w:val="00D81ACC"/>
    <w:rsid w:val="00D81AE5"/>
    <w:rsid w:val="00D81AF9"/>
    <w:rsid w:val="00D81C36"/>
    <w:rsid w:val="00D81C81"/>
    <w:rsid w:val="00D81D8E"/>
    <w:rsid w:val="00D81EA9"/>
    <w:rsid w:val="00D81EEE"/>
    <w:rsid w:val="00D81F90"/>
    <w:rsid w:val="00D820D2"/>
    <w:rsid w:val="00D820F1"/>
    <w:rsid w:val="00D82183"/>
    <w:rsid w:val="00D82248"/>
    <w:rsid w:val="00D82285"/>
    <w:rsid w:val="00D822ED"/>
    <w:rsid w:val="00D822FC"/>
    <w:rsid w:val="00D8232C"/>
    <w:rsid w:val="00D82332"/>
    <w:rsid w:val="00D8234C"/>
    <w:rsid w:val="00D8234F"/>
    <w:rsid w:val="00D823F6"/>
    <w:rsid w:val="00D823FF"/>
    <w:rsid w:val="00D82408"/>
    <w:rsid w:val="00D8245E"/>
    <w:rsid w:val="00D82460"/>
    <w:rsid w:val="00D82504"/>
    <w:rsid w:val="00D82528"/>
    <w:rsid w:val="00D82539"/>
    <w:rsid w:val="00D825E9"/>
    <w:rsid w:val="00D826C5"/>
    <w:rsid w:val="00D826DC"/>
    <w:rsid w:val="00D82836"/>
    <w:rsid w:val="00D828AB"/>
    <w:rsid w:val="00D82952"/>
    <w:rsid w:val="00D82A89"/>
    <w:rsid w:val="00D82B55"/>
    <w:rsid w:val="00D82BBA"/>
    <w:rsid w:val="00D82BD2"/>
    <w:rsid w:val="00D82BE7"/>
    <w:rsid w:val="00D82C4D"/>
    <w:rsid w:val="00D82CA2"/>
    <w:rsid w:val="00D82CA4"/>
    <w:rsid w:val="00D82CF0"/>
    <w:rsid w:val="00D82D70"/>
    <w:rsid w:val="00D82DCF"/>
    <w:rsid w:val="00D82DD9"/>
    <w:rsid w:val="00D82ED6"/>
    <w:rsid w:val="00D82EEC"/>
    <w:rsid w:val="00D82EFF"/>
    <w:rsid w:val="00D82F71"/>
    <w:rsid w:val="00D82F8A"/>
    <w:rsid w:val="00D82FF5"/>
    <w:rsid w:val="00D8307B"/>
    <w:rsid w:val="00D83122"/>
    <w:rsid w:val="00D831E1"/>
    <w:rsid w:val="00D83230"/>
    <w:rsid w:val="00D8326E"/>
    <w:rsid w:val="00D83293"/>
    <w:rsid w:val="00D832E5"/>
    <w:rsid w:val="00D832EF"/>
    <w:rsid w:val="00D83330"/>
    <w:rsid w:val="00D83365"/>
    <w:rsid w:val="00D833C3"/>
    <w:rsid w:val="00D834B2"/>
    <w:rsid w:val="00D834E6"/>
    <w:rsid w:val="00D834E9"/>
    <w:rsid w:val="00D834FE"/>
    <w:rsid w:val="00D83544"/>
    <w:rsid w:val="00D83545"/>
    <w:rsid w:val="00D83592"/>
    <w:rsid w:val="00D8368E"/>
    <w:rsid w:val="00D836B7"/>
    <w:rsid w:val="00D836BB"/>
    <w:rsid w:val="00D836D1"/>
    <w:rsid w:val="00D836E6"/>
    <w:rsid w:val="00D83730"/>
    <w:rsid w:val="00D83766"/>
    <w:rsid w:val="00D837B6"/>
    <w:rsid w:val="00D838BA"/>
    <w:rsid w:val="00D838C9"/>
    <w:rsid w:val="00D83923"/>
    <w:rsid w:val="00D83929"/>
    <w:rsid w:val="00D83932"/>
    <w:rsid w:val="00D839DE"/>
    <w:rsid w:val="00D839EA"/>
    <w:rsid w:val="00D83A0C"/>
    <w:rsid w:val="00D83A7B"/>
    <w:rsid w:val="00D83A91"/>
    <w:rsid w:val="00D83ABC"/>
    <w:rsid w:val="00D83AC7"/>
    <w:rsid w:val="00D83B01"/>
    <w:rsid w:val="00D83B4E"/>
    <w:rsid w:val="00D83B91"/>
    <w:rsid w:val="00D83BFA"/>
    <w:rsid w:val="00D83C1F"/>
    <w:rsid w:val="00D83CAA"/>
    <w:rsid w:val="00D83CC2"/>
    <w:rsid w:val="00D83D07"/>
    <w:rsid w:val="00D83FC7"/>
    <w:rsid w:val="00D83FFF"/>
    <w:rsid w:val="00D841A2"/>
    <w:rsid w:val="00D841CF"/>
    <w:rsid w:val="00D8422D"/>
    <w:rsid w:val="00D84243"/>
    <w:rsid w:val="00D844E4"/>
    <w:rsid w:val="00D844F6"/>
    <w:rsid w:val="00D84510"/>
    <w:rsid w:val="00D845A7"/>
    <w:rsid w:val="00D845ED"/>
    <w:rsid w:val="00D845F9"/>
    <w:rsid w:val="00D84620"/>
    <w:rsid w:val="00D846E7"/>
    <w:rsid w:val="00D8472E"/>
    <w:rsid w:val="00D8476A"/>
    <w:rsid w:val="00D847C8"/>
    <w:rsid w:val="00D8488E"/>
    <w:rsid w:val="00D84917"/>
    <w:rsid w:val="00D84A84"/>
    <w:rsid w:val="00D84AC2"/>
    <w:rsid w:val="00D84B04"/>
    <w:rsid w:val="00D84B55"/>
    <w:rsid w:val="00D84BD4"/>
    <w:rsid w:val="00D84C61"/>
    <w:rsid w:val="00D84C7B"/>
    <w:rsid w:val="00D84C99"/>
    <w:rsid w:val="00D84CAF"/>
    <w:rsid w:val="00D84CF6"/>
    <w:rsid w:val="00D84E02"/>
    <w:rsid w:val="00D84E24"/>
    <w:rsid w:val="00D84E2F"/>
    <w:rsid w:val="00D84E3D"/>
    <w:rsid w:val="00D84E5E"/>
    <w:rsid w:val="00D84E70"/>
    <w:rsid w:val="00D84E91"/>
    <w:rsid w:val="00D84F35"/>
    <w:rsid w:val="00D84F94"/>
    <w:rsid w:val="00D84FC3"/>
    <w:rsid w:val="00D85019"/>
    <w:rsid w:val="00D8503A"/>
    <w:rsid w:val="00D85081"/>
    <w:rsid w:val="00D85092"/>
    <w:rsid w:val="00D850A0"/>
    <w:rsid w:val="00D850B6"/>
    <w:rsid w:val="00D850DC"/>
    <w:rsid w:val="00D85129"/>
    <w:rsid w:val="00D8524D"/>
    <w:rsid w:val="00D8536C"/>
    <w:rsid w:val="00D8537F"/>
    <w:rsid w:val="00D853BD"/>
    <w:rsid w:val="00D853CE"/>
    <w:rsid w:val="00D853E2"/>
    <w:rsid w:val="00D85402"/>
    <w:rsid w:val="00D855B8"/>
    <w:rsid w:val="00D8563F"/>
    <w:rsid w:val="00D85705"/>
    <w:rsid w:val="00D85708"/>
    <w:rsid w:val="00D85839"/>
    <w:rsid w:val="00D858D9"/>
    <w:rsid w:val="00D85948"/>
    <w:rsid w:val="00D85958"/>
    <w:rsid w:val="00D8596F"/>
    <w:rsid w:val="00D8597D"/>
    <w:rsid w:val="00D859FA"/>
    <w:rsid w:val="00D85A18"/>
    <w:rsid w:val="00D85A1B"/>
    <w:rsid w:val="00D85A27"/>
    <w:rsid w:val="00D85A2D"/>
    <w:rsid w:val="00D85AA1"/>
    <w:rsid w:val="00D85B10"/>
    <w:rsid w:val="00D85B64"/>
    <w:rsid w:val="00D85BD8"/>
    <w:rsid w:val="00D85C11"/>
    <w:rsid w:val="00D85CE9"/>
    <w:rsid w:val="00D85CF5"/>
    <w:rsid w:val="00D85CFC"/>
    <w:rsid w:val="00D85CFE"/>
    <w:rsid w:val="00D85DAC"/>
    <w:rsid w:val="00D85E6B"/>
    <w:rsid w:val="00D85EA2"/>
    <w:rsid w:val="00D85F35"/>
    <w:rsid w:val="00D85F46"/>
    <w:rsid w:val="00D85F8C"/>
    <w:rsid w:val="00D85F9A"/>
    <w:rsid w:val="00D85FFC"/>
    <w:rsid w:val="00D8605B"/>
    <w:rsid w:val="00D860F0"/>
    <w:rsid w:val="00D860FE"/>
    <w:rsid w:val="00D8611D"/>
    <w:rsid w:val="00D8617C"/>
    <w:rsid w:val="00D86212"/>
    <w:rsid w:val="00D8628D"/>
    <w:rsid w:val="00D862C3"/>
    <w:rsid w:val="00D862C8"/>
    <w:rsid w:val="00D862EB"/>
    <w:rsid w:val="00D862F0"/>
    <w:rsid w:val="00D863C5"/>
    <w:rsid w:val="00D863DA"/>
    <w:rsid w:val="00D863F7"/>
    <w:rsid w:val="00D86451"/>
    <w:rsid w:val="00D86458"/>
    <w:rsid w:val="00D86523"/>
    <w:rsid w:val="00D86533"/>
    <w:rsid w:val="00D8655C"/>
    <w:rsid w:val="00D86666"/>
    <w:rsid w:val="00D8667B"/>
    <w:rsid w:val="00D867A0"/>
    <w:rsid w:val="00D867C0"/>
    <w:rsid w:val="00D868E8"/>
    <w:rsid w:val="00D86931"/>
    <w:rsid w:val="00D869C5"/>
    <w:rsid w:val="00D86A72"/>
    <w:rsid w:val="00D86A90"/>
    <w:rsid w:val="00D86AAC"/>
    <w:rsid w:val="00D86ADE"/>
    <w:rsid w:val="00D86B04"/>
    <w:rsid w:val="00D86B99"/>
    <w:rsid w:val="00D86BEF"/>
    <w:rsid w:val="00D86C10"/>
    <w:rsid w:val="00D86C2E"/>
    <w:rsid w:val="00D86C3D"/>
    <w:rsid w:val="00D86C9C"/>
    <w:rsid w:val="00D86CD8"/>
    <w:rsid w:val="00D86CE6"/>
    <w:rsid w:val="00D86D2A"/>
    <w:rsid w:val="00D86D6D"/>
    <w:rsid w:val="00D86DB5"/>
    <w:rsid w:val="00D86DDD"/>
    <w:rsid w:val="00D86E59"/>
    <w:rsid w:val="00D86E81"/>
    <w:rsid w:val="00D86EA4"/>
    <w:rsid w:val="00D86EF6"/>
    <w:rsid w:val="00D86F60"/>
    <w:rsid w:val="00D86FB1"/>
    <w:rsid w:val="00D86FBC"/>
    <w:rsid w:val="00D8700A"/>
    <w:rsid w:val="00D870FE"/>
    <w:rsid w:val="00D87127"/>
    <w:rsid w:val="00D87128"/>
    <w:rsid w:val="00D871E3"/>
    <w:rsid w:val="00D8721F"/>
    <w:rsid w:val="00D8731E"/>
    <w:rsid w:val="00D87334"/>
    <w:rsid w:val="00D87350"/>
    <w:rsid w:val="00D8735B"/>
    <w:rsid w:val="00D873D6"/>
    <w:rsid w:val="00D873FD"/>
    <w:rsid w:val="00D8743C"/>
    <w:rsid w:val="00D87495"/>
    <w:rsid w:val="00D874B1"/>
    <w:rsid w:val="00D87535"/>
    <w:rsid w:val="00D87598"/>
    <w:rsid w:val="00D87746"/>
    <w:rsid w:val="00D87819"/>
    <w:rsid w:val="00D87846"/>
    <w:rsid w:val="00D87AB7"/>
    <w:rsid w:val="00D87AE6"/>
    <w:rsid w:val="00D87B53"/>
    <w:rsid w:val="00D87B87"/>
    <w:rsid w:val="00D87B99"/>
    <w:rsid w:val="00D87C25"/>
    <w:rsid w:val="00D87C4B"/>
    <w:rsid w:val="00D87C6A"/>
    <w:rsid w:val="00D87D18"/>
    <w:rsid w:val="00D87D2D"/>
    <w:rsid w:val="00D87DFB"/>
    <w:rsid w:val="00D87E5C"/>
    <w:rsid w:val="00D87EAE"/>
    <w:rsid w:val="00D87EEF"/>
    <w:rsid w:val="00D87F85"/>
    <w:rsid w:val="00D900B9"/>
    <w:rsid w:val="00D90128"/>
    <w:rsid w:val="00D901A5"/>
    <w:rsid w:val="00D901ED"/>
    <w:rsid w:val="00D90258"/>
    <w:rsid w:val="00D90281"/>
    <w:rsid w:val="00D90338"/>
    <w:rsid w:val="00D9039D"/>
    <w:rsid w:val="00D90428"/>
    <w:rsid w:val="00D9042B"/>
    <w:rsid w:val="00D904E2"/>
    <w:rsid w:val="00D90533"/>
    <w:rsid w:val="00D905B9"/>
    <w:rsid w:val="00D905EB"/>
    <w:rsid w:val="00D906F9"/>
    <w:rsid w:val="00D90778"/>
    <w:rsid w:val="00D90790"/>
    <w:rsid w:val="00D907CB"/>
    <w:rsid w:val="00D907DF"/>
    <w:rsid w:val="00D90865"/>
    <w:rsid w:val="00D9086F"/>
    <w:rsid w:val="00D908BF"/>
    <w:rsid w:val="00D90993"/>
    <w:rsid w:val="00D909F3"/>
    <w:rsid w:val="00D90A13"/>
    <w:rsid w:val="00D90B20"/>
    <w:rsid w:val="00D90B43"/>
    <w:rsid w:val="00D90C5A"/>
    <w:rsid w:val="00D90CC2"/>
    <w:rsid w:val="00D90D98"/>
    <w:rsid w:val="00D90DF9"/>
    <w:rsid w:val="00D90E0D"/>
    <w:rsid w:val="00D90E2C"/>
    <w:rsid w:val="00D90E76"/>
    <w:rsid w:val="00D90F2E"/>
    <w:rsid w:val="00D90FEC"/>
    <w:rsid w:val="00D911B2"/>
    <w:rsid w:val="00D9122F"/>
    <w:rsid w:val="00D91300"/>
    <w:rsid w:val="00D91376"/>
    <w:rsid w:val="00D913A3"/>
    <w:rsid w:val="00D91406"/>
    <w:rsid w:val="00D91490"/>
    <w:rsid w:val="00D914D9"/>
    <w:rsid w:val="00D91508"/>
    <w:rsid w:val="00D91520"/>
    <w:rsid w:val="00D91553"/>
    <w:rsid w:val="00D915BA"/>
    <w:rsid w:val="00D915FB"/>
    <w:rsid w:val="00D91629"/>
    <w:rsid w:val="00D9162F"/>
    <w:rsid w:val="00D91655"/>
    <w:rsid w:val="00D916C1"/>
    <w:rsid w:val="00D916CF"/>
    <w:rsid w:val="00D916E1"/>
    <w:rsid w:val="00D916F9"/>
    <w:rsid w:val="00D916FB"/>
    <w:rsid w:val="00D9178C"/>
    <w:rsid w:val="00D917B4"/>
    <w:rsid w:val="00D917C1"/>
    <w:rsid w:val="00D91890"/>
    <w:rsid w:val="00D91894"/>
    <w:rsid w:val="00D918D7"/>
    <w:rsid w:val="00D919DF"/>
    <w:rsid w:val="00D91A3D"/>
    <w:rsid w:val="00D91ACE"/>
    <w:rsid w:val="00D91AD1"/>
    <w:rsid w:val="00D91C64"/>
    <w:rsid w:val="00D91C9B"/>
    <w:rsid w:val="00D91E0A"/>
    <w:rsid w:val="00D91E46"/>
    <w:rsid w:val="00D91F0A"/>
    <w:rsid w:val="00D91F3A"/>
    <w:rsid w:val="00D91F59"/>
    <w:rsid w:val="00D91FDE"/>
    <w:rsid w:val="00D920AF"/>
    <w:rsid w:val="00D920CF"/>
    <w:rsid w:val="00D9223A"/>
    <w:rsid w:val="00D922F4"/>
    <w:rsid w:val="00D923BC"/>
    <w:rsid w:val="00D923ED"/>
    <w:rsid w:val="00D924D4"/>
    <w:rsid w:val="00D92511"/>
    <w:rsid w:val="00D925FA"/>
    <w:rsid w:val="00D92649"/>
    <w:rsid w:val="00D926A0"/>
    <w:rsid w:val="00D926A4"/>
    <w:rsid w:val="00D926A9"/>
    <w:rsid w:val="00D927D6"/>
    <w:rsid w:val="00D92814"/>
    <w:rsid w:val="00D9281E"/>
    <w:rsid w:val="00D92960"/>
    <w:rsid w:val="00D92977"/>
    <w:rsid w:val="00D92981"/>
    <w:rsid w:val="00D929CE"/>
    <w:rsid w:val="00D929F5"/>
    <w:rsid w:val="00D92A39"/>
    <w:rsid w:val="00D92A51"/>
    <w:rsid w:val="00D92A86"/>
    <w:rsid w:val="00D92B75"/>
    <w:rsid w:val="00D92BC2"/>
    <w:rsid w:val="00D92E39"/>
    <w:rsid w:val="00D92F47"/>
    <w:rsid w:val="00D92FA0"/>
    <w:rsid w:val="00D92FB4"/>
    <w:rsid w:val="00D92FD7"/>
    <w:rsid w:val="00D9300F"/>
    <w:rsid w:val="00D9304C"/>
    <w:rsid w:val="00D93059"/>
    <w:rsid w:val="00D9305D"/>
    <w:rsid w:val="00D9308F"/>
    <w:rsid w:val="00D930B7"/>
    <w:rsid w:val="00D930BD"/>
    <w:rsid w:val="00D93144"/>
    <w:rsid w:val="00D931D4"/>
    <w:rsid w:val="00D93206"/>
    <w:rsid w:val="00D93237"/>
    <w:rsid w:val="00D93296"/>
    <w:rsid w:val="00D932B7"/>
    <w:rsid w:val="00D932DF"/>
    <w:rsid w:val="00D932E1"/>
    <w:rsid w:val="00D9331D"/>
    <w:rsid w:val="00D933D2"/>
    <w:rsid w:val="00D9342F"/>
    <w:rsid w:val="00D93553"/>
    <w:rsid w:val="00D9358F"/>
    <w:rsid w:val="00D935B8"/>
    <w:rsid w:val="00D93645"/>
    <w:rsid w:val="00D93678"/>
    <w:rsid w:val="00D936CD"/>
    <w:rsid w:val="00D93857"/>
    <w:rsid w:val="00D93893"/>
    <w:rsid w:val="00D9389C"/>
    <w:rsid w:val="00D938C0"/>
    <w:rsid w:val="00D938E9"/>
    <w:rsid w:val="00D939D3"/>
    <w:rsid w:val="00D93A04"/>
    <w:rsid w:val="00D93C07"/>
    <w:rsid w:val="00D93C7A"/>
    <w:rsid w:val="00D93DA0"/>
    <w:rsid w:val="00D93E35"/>
    <w:rsid w:val="00D93EB7"/>
    <w:rsid w:val="00D93F3B"/>
    <w:rsid w:val="00D93F6A"/>
    <w:rsid w:val="00D93FAA"/>
    <w:rsid w:val="00D9406A"/>
    <w:rsid w:val="00D9409F"/>
    <w:rsid w:val="00D9410C"/>
    <w:rsid w:val="00D94146"/>
    <w:rsid w:val="00D94148"/>
    <w:rsid w:val="00D9419D"/>
    <w:rsid w:val="00D941B7"/>
    <w:rsid w:val="00D94222"/>
    <w:rsid w:val="00D942DC"/>
    <w:rsid w:val="00D94372"/>
    <w:rsid w:val="00D94396"/>
    <w:rsid w:val="00D943F6"/>
    <w:rsid w:val="00D94557"/>
    <w:rsid w:val="00D94562"/>
    <w:rsid w:val="00D9458E"/>
    <w:rsid w:val="00D94644"/>
    <w:rsid w:val="00D9467D"/>
    <w:rsid w:val="00D94689"/>
    <w:rsid w:val="00D9469C"/>
    <w:rsid w:val="00D946B1"/>
    <w:rsid w:val="00D946C0"/>
    <w:rsid w:val="00D946D2"/>
    <w:rsid w:val="00D9472A"/>
    <w:rsid w:val="00D9477D"/>
    <w:rsid w:val="00D947AC"/>
    <w:rsid w:val="00D947C8"/>
    <w:rsid w:val="00D9483D"/>
    <w:rsid w:val="00D948DC"/>
    <w:rsid w:val="00D949F9"/>
    <w:rsid w:val="00D94AAC"/>
    <w:rsid w:val="00D94AF2"/>
    <w:rsid w:val="00D94B06"/>
    <w:rsid w:val="00D94B69"/>
    <w:rsid w:val="00D94BEE"/>
    <w:rsid w:val="00D94CAA"/>
    <w:rsid w:val="00D94D0F"/>
    <w:rsid w:val="00D94D24"/>
    <w:rsid w:val="00D94E08"/>
    <w:rsid w:val="00D94F3A"/>
    <w:rsid w:val="00D94F97"/>
    <w:rsid w:val="00D94FF1"/>
    <w:rsid w:val="00D95074"/>
    <w:rsid w:val="00D95091"/>
    <w:rsid w:val="00D9519F"/>
    <w:rsid w:val="00D951A4"/>
    <w:rsid w:val="00D951B5"/>
    <w:rsid w:val="00D951C8"/>
    <w:rsid w:val="00D951F4"/>
    <w:rsid w:val="00D9522B"/>
    <w:rsid w:val="00D95246"/>
    <w:rsid w:val="00D95281"/>
    <w:rsid w:val="00D95289"/>
    <w:rsid w:val="00D9530F"/>
    <w:rsid w:val="00D9538F"/>
    <w:rsid w:val="00D9540A"/>
    <w:rsid w:val="00D954C6"/>
    <w:rsid w:val="00D954D2"/>
    <w:rsid w:val="00D9558B"/>
    <w:rsid w:val="00D955B2"/>
    <w:rsid w:val="00D95785"/>
    <w:rsid w:val="00D957DC"/>
    <w:rsid w:val="00D957E0"/>
    <w:rsid w:val="00D95837"/>
    <w:rsid w:val="00D95857"/>
    <w:rsid w:val="00D958A9"/>
    <w:rsid w:val="00D958C9"/>
    <w:rsid w:val="00D95947"/>
    <w:rsid w:val="00D95A6E"/>
    <w:rsid w:val="00D95AAD"/>
    <w:rsid w:val="00D95AC8"/>
    <w:rsid w:val="00D95AD3"/>
    <w:rsid w:val="00D95B27"/>
    <w:rsid w:val="00D95B85"/>
    <w:rsid w:val="00D95C60"/>
    <w:rsid w:val="00D95D06"/>
    <w:rsid w:val="00D95DA3"/>
    <w:rsid w:val="00D95F26"/>
    <w:rsid w:val="00D95FEE"/>
    <w:rsid w:val="00D96005"/>
    <w:rsid w:val="00D9601C"/>
    <w:rsid w:val="00D96041"/>
    <w:rsid w:val="00D9607B"/>
    <w:rsid w:val="00D96093"/>
    <w:rsid w:val="00D96122"/>
    <w:rsid w:val="00D96174"/>
    <w:rsid w:val="00D9618A"/>
    <w:rsid w:val="00D961F0"/>
    <w:rsid w:val="00D96209"/>
    <w:rsid w:val="00D96258"/>
    <w:rsid w:val="00D9633B"/>
    <w:rsid w:val="00D96354"/>
    <w:rsid w:val="00D96359"/>
    <w:rsid w:val="00D964D8"/>
    <w:rsid w:val="00D96561"/>
    <w:rsid w:val="00D965E5"/>
    <w:rsid w:val="00D96659"/>
    <w:rsid w:val="00D9665D"/>
    <w:rsid w:val="00D9669C"/>
    <w:rsid w:val="00D967D3"/>
    <w:rsid w:val="00D967E5"/>
    <w:rsid w:val="00D96838"/>
    <w:rsid w:val="00D968DB"/>
    <w:rsid w:val="00D9691A"/>
    <w:rsid w:val="00D96932"/>
    <w:rsid w:val="00D969D0"/>
    <w:rsid w:val="00D969F4"/>
    <w:rsid w:val="00D96A59"/>
    <w:rsid w:val="00D96AE2"/>
    <w:rsid w:val="00D96B06"/>
    <w:rsid w:val="00D96B7E"/>
    <w:rsid w:val="00D96C58"/>
    <w:rsid w:val="00D96C62"/>
    <w:rsid w:val="00D96C68"/>
    <w:rsid w:val="00D96C98"/>
    <w:rsid w:val="00D96CC8"/>
    <w:rsid w:val="00D96CF1"/>
    <w:rsid w:val="00D96D21"/>
    <w:rsid w:val="00D96D81"/>
    <w:rsid w:val="00D96ED6"/>
    <w:rsid w:val="00D96F2E"/>
    <w:rsid w:val="00D96F65"/>
    <w:rsid w:val="00D96FD7"/>
    <w:rsid w:val="00D97019"/>
    <w:rsid w:val="00D970B4"/>
    <w:rsid w:val="00D9710D"/>
    <w:rsid w:val="00D971C4"/>
    <w:rsid w:val="00D971F6"/>
    <w:rsid w:val="00D97217"/>
    <w:rsid w:val="00D97226"/>
    <w:rsid w:val="00D9727D"/>
    <w:rsid w:val="00D9731F"/>
    <w:rsid w:val="00D97390"/>
    <w:rsid w:val="00D9742C"/>
    <w:rsid w:val="00D97441"/>
    <w:rsid w:val="00D975CB"/>
    <w:rsid w:val="00D975E0"/>
    <w:rsid w:val="00D9762B"/>
    <w:rsid w:val="00D97692"/>
    <w:rsid w:val="00D976A3"/>
    <w:rsid w:val="00D97798"/>
    <w:rsid w:val="00D977F2"/>
    <w:rsid w:val="00D97833"/>
    <w:rsid w:val="00D97846"/>
    <w:rsid w:val="00D97870"/>
    <w:rsid w:val="00D978A0"/>
    <w:rsid w:val="00D97920"/>
    <w:rsid w:val="00D9795F"/>
    <w:rsid w:val="00D979FE"/>
    <w:rsid w:val="00D97A35"/>
    <w:rsid w:val="00D97A36"/>
    <w:rsid w:val="00D97A39"/>
    <w:rsid w:val="00D97A74"/>
    <w:rsid w:val="00D97B04"/>
    <w:rsid w:val="00D97C13"/>
    <w:rsid w:val="00D97C41"/>
    <w:rsid w:val="00D97C47"/>
    <w:rsid w:val="00D97C60"/>
    <w:rsid w:val="00D97C66"/>
    <w:rsid w:val="00D97C7A"/>
    <w:rsid w:val="00D97C99"/>
    <w:rsid w:val="00D97CD4"/>
    <w:rsid w:val="00D97D41"/>
    <w:rsid w:val="00D97D54"/>
    <w:rsid w:val="00D97EED"/>
    <w:rsid w:val="00D97F8B"/>
    <w:rsid w:val="00D97FDD"/>
    <w:rsid w:val="00DA0009"/>
    <w:rsid w:val="00DA004F"/>
    <w:rsid w:val="00DA0074"/>
    <w:rsid w:val="00DA0088"/>
    <w:rsid w:val="00DA00A0"/>
    <w:rsid w:val="00DA010A"/>
    <w:rsid w:val="00DA0153"/>
    <w:rsid w:val="00DA017E"/>
    <w:rsid w:val="00DA01F2"/>
    <w:rsid w:val="00DA02D5"/>
    <w:rsid w:val="00DA0362"/>
    <w:rsid w:val="00DA0375"/>
    <w:rsid w:val="00DA03A7"/>
    <w:rsid w:val="00DA03E0"/>
    <w:rsid w:val="00DA0416"/>
    <w:rsid w:val="00DA0477"/>
    <w:rsid w:val="00DA051B"/>
    <w:rsid w:val="00DA05D2"/>
    <w:rsid w:val="00DA05E9"/>
    <w:rsid w:val="00DA0680"/>
    <w:rsid w:val="00DA07DE"/>
    <w:rsid w:val="00DA082F"/>
    <w:rsid w:val="00DA0878"/>
    <w:rsid w:val="00DA08F2"/>
    <w:rsid w:val="00DA0968"/>
    <w:rsid w:val="00DA0AA7"/>
    <w:rsid w:val="00DA0B34"/>
    <w:rsid w:val="00DA0B70"/>
    <w:rsid w:val="00DA0C2B"/>
    <w:rsid w:val="00DA0DEB"/>
    <w:rsid w:val="00DA0E96"/>
    <w:rsid w:val="00DA0E9B"/>
    <w:rsid w:val="00DA0FD3"/>
    <w:rsid w:val="00DA119E"/>
    <w:rsid w:val="00DA11DF"/>
    <w:rsid w:val="00DA120A"/>
    <w:rsid w:val="00DA121F"/>
    <w:rsid w:val="00DA130B"/>
    <w:rsid w:val="00DA136C"/>
    <w:rsid w:val="00DA147D"/>
    <w:rsid w:val="00DA14E0"/>
    <w:rsid w:val="00DA1518"/>
    <w:rsid w:val="00DA15BB"/>
    <w:rsid w:val="00DA16D1"/>
    <w:rsid w:val="00DA170D"/>
    <w:rsid w:val="00DA1772"/>
    <w:rsid w:val="00DA17D2"/>
    <w:rsid w:val="00DA17D3"/>
    <w:rsid w:val="00DA1805"/>
    <w:rsid w:val="00DA188B"/>
    <w:rsid w:val="00DA1893"/>
    <w:rsid w:val="00DA18BE"/>
    <w:rsid w:val="00DA19A0"/>
    <w:rsid w:val="00DA19A9"/>
    <w:rsid w:val="00DA1A4A"/>
    <w:rsid w:val="00DA1A92"/>
    <w:rsid w:val="00DA1AD0"/>
    <w:rsid w:val="00DA1AD8"/>
    <w:rsid w:val="00DA1B76"/>
    <w:rsid w:val="00DA1BA3"/>
    <w:rsid w:val="00DA1BED"/>
    <w:rsid w:val="00DA1CE4"/>
    <w:rsid w:val="00DA1CF9"/>
    <w:rsid w:val="00DA1D55"/>
    <w:rsid w:val="00DA1D88"/>
    <w:rsid w:val="00DA1EA8"/>
    <w:rsid w:val="00DA1EA9"/>
    <w:rsid w:val="00DA1F45"/>
    <w:rsid w:val="00DA1F7C"/>
    <w:rsid w:val="00DA2000"/>
    <w:rsid w:val="00DA202F"/>
    <w:rsid w:val="00DA20D3"/>
    <w:rsid w:val="00DA20E9"/>
    <w:rsid w:val="00DA21B6"/>
    <w:rsid w:val="00DA229F"/>
    <w:rsid w:val="00DA230A"/>
    <w:rsid w:val="00DA2324"/>
    <w:rsid w:val="00DA2430"/>
    <w:rsid w:val="00DA24D0"/>
    <w:rsid w:val="00DA24F9"/>
    <w:rsid w:val="00DA2540"/>
    <w:rsid w:val="00DA2546"/>
    <w:rsid w:val="00DA2553"/>
    <w:rsid w:val="00DA2587"/>
    <w:rsid w:val="00DA2614"/>
    <w:rsid w:val="00DA2667"/>
    <w:rsid w:val="00DA269D"/>
    <w:rsid w:val="00DA27C8"/>
    <w:rsid w:val="00DA2816"/>
    <w:rsid w:val="00DA289F"/>
    <w:rsid w:val="00DA2964"/>
    <w:rsid w:val="00DA2972"/>
    <w:rsid w:val="00DA29A9"/>
    <w:rsid w:val="00DA29E2"/>
    <w:rsid w:val="00DA29FF"/>
    <w:rsid w:val="00DA2A81"/>
    <w:rsid w:val="00DA2B11"/>
    <w:rsid w:val="00DA2B89"/>
    <w:rsid w:val="00DA2C90"/>
    <w:rsid w:val="00DA2CB5"/>
    <w:rsid w:val="00DA2CB7"/>
    <w:rsid w:val="00DA2D17"/>
    <w:rsid w:val="00DA2D42"/>
    <w:rsid w:val="00DA2D49"/>
    <w:rsid w:val="00DA2D57"/>
    <w:rsid w:val="00DA2D72"/>
    <w:rsid w:val="00DA2DD7"/>
    <w:rsid w:val="00DA2E1B"/>
    <w:rsid w:val="00DA2EA5"/>
    <w:rsid w:val="00DA2F71"/>
    <w:rsid w:val="00DA2F72"/>
    <w:rsid w:val="00DA2FEC"/>
    <w:rsid w:val="00DA3017"/>
    <w:rsid w:val="00DA30C3"/>
    <w:rsid w:val="00DA30DA"/>
    <w:rsid w:val="00DA313D"/>
    <w:rsid w:val="00DA3187"/>
    <w:rsid w:val="00DA31AC"/>
    <w:rsid w:val="00DA3225"/>
    <w:rsid w:val="00DA323E"/>
    <w:rsid w:val="00DA325C"/>
    <w:rsid w:val="00DA32B7"/>
    <w:rsid w:val="00DA32F2"/>
    <w:rsid w:val="00DA3328"/>
    <w:rsid w:val="00DA3338"/>
    <w:rsid w:val="00DA33CF"/>
    <w:rsid w:val="00DA3448"/>
    <w:rsid w:val="00DA344D"/>
    <w:rsid w:val="00DA3466"/>
    <w:rsid w:val="00DA3468"/>
    <w:rsid w:val="00DA34B9"/>
    <w:rsid w:val="00DA34E0"/>
    <w:rsid w:val="00DA3522"/>
    <w:rsid w:val="00DA353D"/>
    <w:rsid w:val="00DA366F"/>
    <w:rsid w:val="00DA3791"/>
    <w:rsid w:val="00DA3A11"/>
    <w:rsid w:val="00DA3A5E"/>
    <w:rsid w:val="00DA3AF2"/>
    <w:rsid w:val="00DA3B98"/>
    <w:rsid w:val="00DA3BE2"/>
    <w:rsid w:val="00DA3CCF"/>
    <w:rsid w:val="00DA3CDB"/>
    <w:rsid w:val="00DA3D38"/>
    <w:rsid w:val="00DA3DBD"/>
    <w:rsid w:val="00DA3DF1"/>
    <w:rsid w:val="00DA3E4D"/>
    <w:rsid w:val="00DA3E85"/>
    <w:rsid w:val="00DA3E96"/>
    <w:rsid w:val="00DA3EC1"/>
    <w:rsid w:val="00DA3EF8"/>
    <w:rsid w:val="00DA3F1F"/>
    <w:rsid w:val="00DA3FF3"/>
    <w:rsid w:val="00DA4051"/>
    <w:rsid w:val="00DA4070"/>
    <w:rsid w:val="00DA409D"/>
    <w:rsid w:val="00DA40CA"/>
    <w:rsid w:val="00DA40E1"/>
    <w:rsid w:val="00DA4126"/>
    <w:rsid w:val="00DA412B"/>
    <w:rsid w:val="00DA4139"/>
    <w:rsid w:val="00DA413D"/>
    <w:rsid w:val="00DA41E2"/>
    <w:rsid w:val="00DA4282"/>
    <w:rsid w:val="00DA4300"/>
    <w:rsid w:val="00DA4304"/>
    <w:rsid w:val="00DA433B"/>
    <w:rsid w:val="00DA4343"/>
    <w:rsid w:val="00DA4348"/>
    <w:rsid w:val="00DA4372"/>
    <w:rsid w:val="00DA43A0"/>
    <w:rsid w:val="00DA43F8"/>
    <w:rsid w:val="00DA4403"/>
    <w:rsid w:val="00DA4411"/>
    <w:rsid w:val="00DA4480"/>
    <w:rsid w:val="00DA448F"/>
    <w:rsid w:val="00DA44D4"/>
    <w:rsid w:val="00DA44EC"/>
    <w:rsid w:val="00DA454A"/>
    <w:rsid w:val="00DA45EB"/>
    <w:rsid w:val="00DA4645"/>
    <w:rsid w:val="00DA469B"/>
    <w:rsid w:val="00DA4724"/>
    <w:rsid w:val="00DA477D"/>
    <w:rsid w:val="00DA4813"/>
    <w:rsid w:val="00DA48C3"/>
    <w:rsid w:val="00DA492D"/>
    <w:rsid w:val="00DA4948"/>
    <w:rsid w:val="00DA495E"/>
    <w:rsid w:val="00DA49AC"/>
    <w:rsid w:val="00DA49B0"/>
    <w:rsid w:val="00DA49F6"/>
    <w:rsid w:val="00DA4B1F"/>
    <w:rsid w:val="00DA4B22"/>
    <w:rsid w:val="00DA4B95"/>
    <w:rsid w:val="00DA4B9A"/>
    <w:rsid w:val="00DA4BBA"/>
    <w:rsid w:val="00DA4BC7"/>
    <w:rsid w:val="00DA4C1E"/>
    <w:rsid w:val="00DA4C85"/>
    <w:rsid w:val="00DA4CCB"/>
    <w:rsid w:val="00DA4D21"/>
    <w:rsid w:val="00DA4D9C"/>
    <w:rsid w:val="00DA4EB2"/>
    <w:rsid w:val="00DA4F04"/>
    <w:rsid w:val="00DA500D"/>
    <w:rsid w:val="00DA501F"/>
    <w:rsid w:val="00DA5110"/>
    <w:rsid w:val="00DA5127"/>
    <w:rsid w:val="00DA5196"/>
    <w:rsid w:val="00DA5312"/>
    <w:rsid w:val="00DA5322"/>
    <w:rsid w:val="00DA5356"/>
    <w:rsid w:val="00DA53A3"/>
    <w:rsid w:val="00DA53D9"/>
    <w:rsid w:val="00DA5484"/>
    <w:rsid w:val="00DA5573"/>
    <w:rsid w:val="00DA55E1"/>
    <w:rsid w:val="00DA56BD"/>
    <w:rsid w:val="00DA5799"/>
    <w:rsid w:val="00DA57CD"/>
    <w:rsid w:val="00DA57DF"/>
    <w:rsid w:val="00DA57F7"/>
    <w:rsid w:val="00DA584C"/>
    <w:rsid w:val="00DA585F"/>
    <w:rsid w:val="00DA58F3"/>
    <w:rsid w:val="00DA5920"/>
    <w:rsid w:val="00DA5A14"/>
    <w:rsid w:val="00DA5A9B"/>
    <w:rsid w:val="00DA5AB4"/>
    <w:rsid w:val="00DA5B1F"/>
    <w:rsid w:val="00DA5CD1"/>
    <w:rsid w:val="00DA5D06"/>
    <w:rsid w:val="00DA5D8A"/>
    <w:rsid w:val="00DA5FB6"/>
    <w:rsid w:val="00DA5FF2"/>
    <w:rsid w:val="00DA600B"/>
    <w:rsid w:val="00DA6013"/>
    <w:rsid w:val="00DA6023"/>
    <w:rsid w:val="00DA60AE"/>
    <w:rsid w:val="00DA612B"/>
    <w:rsid w:val="00DA6221"/>
    <w:rsid w:val="00DA6258"/>
    <w:rsid w:val="00DA6333"/>
    <w:rsid w:val="00DA6369"/>
    <w:rsid w:val="00DA63D2"/>
    <w:rsid w:val="00DA63D8"/>
    <w:rsid w:val="00DA645F"/>
    <w:rsid w:val="00DA6490"/>
    <w:rsid w:val="00DA64C7"/>
    <w:rsid w:val="00DA64FD"/>
    <w:rsid w:val="00DA6657"/>
    <w:rsid w:val="00DA66A2"/>
    <w:rsid w:val="00DA6808"/>
    <w:rsid w:val="00DA683E"/>
    <w:rsid w:val="00DA692C"/>
    <w:rsid w:val="00DA6A3F"/>
    <w:rsid w:val="00DA6B15"/>
    <w:rsid w:val="00DA6B2D"/>
    <w:rsid w:val="00DA6BD5"/>
    <w:rsid w:val="00DA6C06"/>
    <w:rsid w:val="00DA6C49"/>
    <w:rsid w:val="00DA6C75"/>
    <w:rsid w:val="00DA6D60"/>
    <w:rsid w:val="00DA6DB2"/>
    <w:rsid w:val="00DA6E10"/>
    <w:rsid w:val="00DA6E16"/>
    <w:rsid w:val="00DA6E4D"/>
    <w:rsid w:val="00DA6E54"/>
    <w:rsid w:val="00DA6E9E"/>
    <w:rsid w:val="00DA6F2A"/>
    <w:rsid w:val="00DA71D3"/>
    <w:rsid w:val="00DA725D"/>
    <w:rsid w:val="00DA7389"/>
    <w:rsid w:val="00DA73B2"/>
    <w:rsid w:val="00DA73E4"/>
    <w:rsid w:val="00DA74B5"/>
    <w:rsid w:val="00DA75D5"/>
    <w:rsid w:val="00DA7604"/>
    <w:rsid w:val="00DA7692"/>
    <w:rsid w:val="00DA776E"/>
    <w:rsid w:val="00DA77B2"/>
    <w:rsid w:val="00DA7820"/>
    <w:rsid w:val="00DA7851"/>
    <w:rsid w:val="00DA7874"/>
    <w:rsid w:val="00DA79A5"/>
    <w:rsid w:val="00DA79B6"/>
    <w:rsid w:val="00DA7A35"/>
    <w:rsid w:val="00DA7B86"/>
    <w:rsid w:val="00DA7BC6"/>
    <w:rsid w:val="00DA7C38"/>
    <w:rsid w:val="00DA7CB6"/>
    <w:rsid w:val="00DA7CF3"/>
    <w:rsid w:val="00DA7D27"/>
    <w:rsid w:val="00DA7F33"/>
    <w:rsid w:val="00DA7F5B"/>
    <w:rsid w:val="00DA7FCF"/>
    <w:rsid w:val="00DA7FFB"/>
    <w:rsid w:val="00DB001C"/>
    <w:rsid w:val="00DB006C"/>
    <w:rsid w:val="00DB00EA"/>
    <w:rsid w:val="00DB0132"/>
    <w:rsid w:val="00DB0202"/>
    <w:rsid w:val="00DB02DE"/>
    <w:rsid w:val="00DB0332"/>
    <w:rsid w:val="00DB0365"/>
    <w:rsid w:val="00DB0383"/>
    <w:rsid w:val="00DB03AE"/>
    <w:rsid w:val="00DB03F1"/>
    <w:rsid w:val="00DB048E"/>
    <w:rsid w:val="00DB0491"/>
    <w:rsid w:val="00DB04C9"/>
    <w:rsid w:val="00DB0506"/>
    <w:rsid w:val="00DB052B"/>
    <w:rsid w:val="00DB052D"/>
    <w:rsid w:val="00DB05D7"/>
    <w:rsid w:val="00DB062E"/>
    <w:rsid w:val="00DB064D"/>
    <w:rsid w:val="00DB0675"/>
    <w:rsid w:val="00DB0687"/>
    <w:rsid w:val="00DB0690"/>
    <w:rsid w:val="00DB06F3"/>
    <w:rsid w:val="00DB07C0"/>
    <w:rsid w:val="00DB0863"/>
    <w:rsid w:val="00DB090F"/>
    <w:rsid w:val="00DB0A13"/>
    <w:rsid w:val="00DB0AD3"/>
    <w:rsid w:val="00DB0B9D"/>
    <w:rsid w:val="00DB0BA4"/>
    <w:rsid w:val="00DB0CCE"/>
    <w:rsid w:val="00DB0CF3"/>
    <w:rsid w:val="00DB0D18"/>
    <w:rsid w:val="00DB0D6B"/>
    <w:rsid w:val="00DB0D71"/>
    <w:rsid w:val="00DB0DC3"/>
    <w:rsid w:val="00DB0E1D"/>
    <w:rsid w:val="00DB0E3E"/>
    <w:rsid w:val="00DB0E82"/>
    <w:rsid w:val="00DB0EA1"/>
    <w:rsid w:val="00DB0EF1"/>
    <w:rsid w:val="00DB0F9F"/>
    <w:rsid w:val="00DB0FB1"/>
    <w:rsid w:val="00DB0FDE"/>
    <w:rsid w:val="00DB104B"/>
    <w:rsid w:val="00DB106B"/>
    <w:rsid w:val="00DB11F6"/>
    <w:rsid w:val="00DB1202"/>
    <w:rsid w:val="00DB127A"/>
    <w:rsid w:val="00DB12B2"/>
    <w:rsid w:val="00DB139F"/>
    <w:rsid w:val="00DB13CE"/>
    <w:rsid w:val="00DB13DC"/>
    <w:rsid w:val="00DB1524"/>
    <w:rsid w:val="00DB154B"/>
    <w:rsid w:val="00DB1564"/>
    <w:rsid w:val="00DB1591"/>
    <w:rsid w:val="00DB1610"/>
    <w:rsid w:val="00DB1715"/>
    <w:rsid w:val="00DB177A"/>
    <w:rsid w:val="00DB1791"/>
    <w:rsid w:val="00DB17B5"/>
    <w:rsid w:val="00DB17FD"/>
    <w:rsid w:val="00DB180F"/>
    <w:rsid w:val="00DB1915"/>
    <w:rsid w:val="00DB197F"/>
    <w:rsid w:val="00DB1BD7"/>
    <w:rsid w:val="00DB1CB1"/>
    <w:rsid w:val="00DB1CB5"/>
    <w:rsid w:val="00DB1CFD"/>
    <w:rsid w:val="00DB1D66"/>
    <w:rsid w:val="00DB1D9E"/>
    <w:rsid w:val="00DB1EC5"/>
    <w:rsid w:val="00DB1EEE"/>
    <w:rsid w:val="00DB1F8A"/>
    <w:rsid w:val="00DB1F8D"/>
    <w:rsid w:val="00DB1FB6"/>
    <w:rsid w:val="00DB1FF7"/>
    <w:rsid w:val="00DB2096"/>
    <w:rsid w:val="00DB2099"/>
    <w:rsid w:val="00DB20D5"/>
    <w:rsid w:val="00DB2102"/>
    <w:rsid w:val="00DB210A"/>
    <w:rsid w:val="00DB216F"/>
    <w:rsid w:val="00DB22A5"/>
    <w:rsid w:val="00DB22C1"/>
    <w:rsid w:val="00DB23D8"/>
    <w:rsid w:val="00DB23E1"/>
    <w:rsid w:val="00DB23F0"/>
    <w:rsid w:val="00DB23F5"/>
    <w:rsid w:val="00DB23FC"/>
    <w:rsid w:val="00DB2422"/>
    <w:rsid w:val="00DB2451"/>
    <w:rsid w:val="00DB24DC"/>
    <w:rsid w:val="00DB24F9"/>
    <w:rsid w:val="00DB251B"/>
    <w:rsid w:val="00DB252E"/>
    <w:rsid w:val="00DB25FC"/>
    <w:rsid w:val="00DB265A"/>
    <w:rsid w:val="00DB2692"/>
    <w:rsid w:val="00DB26F6"/>
    <w:rsid w:val="00DB2714"/>
    <w:rsid w:val="00DB272B"/>
    <w:rsid w:val="00DB2735"/>
    <w:rsid w:val="00DB276A"/>
    <w:rsid w:val="00DB27DF"/>
    <w:rsid w:val="00DB27F5"/>
    <w:rsid w:val="00DB29AF"/>
    <w:rsid w:val="00DB29BA"/>
    <w:rsid w:val="00DB2A2B"/>
    <w:rsid w:val="00DB2A6A"/>
    <w:rsid w:val="00DB2A7E"/>
    <w:rsid w:val="00DB2A98"/>
    <w:rsid w:val="00DB2ABD"/>
    <w:rsid w:val="00DB2AD1"/>
    <w:rsid w:val="00DB2AE1"/>
    <w:rsid w:val="00DB2B26"/>
    <w:rsid w:val="00DB2B5C"/>
    <w:rsid w:val="00DB2B7A"/>
    <w:rsid w:val="00DB2B7B"/>
    <w:rsid w:val="00DB2CC6"/>
    <w:rsid w:val="00DB2CF3"/>
    <w:rsid w:val="00DB2E13"/>
    <w:rsid w:val="00DB2F5B"/>
    <w:rsid w:val="00DB2FBE"/>
    <w:rsid w:val="00DB2FC0"/>
    <w:rsid w:val="00DB2FE5"/>
    <w:rsid w:val="00DB305A"/>
    <w:rsid w:val="00DB30CC"/>
    <w:rsid w:val="00DB313C"/>
    <w:rsid w:val="00DB3182"/>
    <w:rsid w:val="00DB3217"/>
    <w:rsid w:val="00DB326F"/>
    <w:rsid w:val="00DB32AB"/>
    <w:rsid w:val="00DB333E"/>
    <w:rsid w:val="00DB3353"/>
    <w:rsid w:val="00DB346E"/>
    <w:rsid w:val="00DB3475"/>
    <w:rsid w:val="00DB354A"/>
    <w:rsid w:val="00DB35C6"/>
    <w:rsid w:val="00DB35D3"/>
    <w:rsid w:val="00DB36F4"/>
    <w:rsid w:val="00DB3710"/>
    <w:rsid w:val="00DB3763"/>
    <w:rsid w:val="00DB387C"/>
    <w:rsid w:val="00DB38AA"/>
    <w:rsid w:val="00DB38C7"/>
    <w:rsid w:val="00DB3A07"/>
    <w:rsid w:val="00DB3A98"/>
    <w:rsid w:val="00DB3A9D"/>
    <w:rsid w:val="00DB3AA2"/>
    <w:rsid w:val="00DB3ABB"/>
    <w:rsid w:val="00DB3B63"/>
    <w:rsid w:val="00DB3BFA"/>
    <w:rsid w:val="00DB3C9D"/>
    <w:rsid w:val="00DB3CB7"/>
    <w:rsid w:val="00DB3D10"/>
    <w:rsid w:val="00DB3D38"/>
    <w:rsid w:val="00DB3D6E"/>
    <w:rsid w:val="00DB3D75"/>
    <w:rsid w:val="00DB3D8F"/>
    <w:rsid w:val="00DB3DBC"/>
    <w:rsid w:val="00DB3DD3"/>
    <w:rsid w:val="00DB3E1E"/>
    <w:rsid w:val="00DB3E32"/>
    <w:rsid w:val="00DB3FDF"/>
    <w:rsid w:val="00DB4061"/>
    <w:rsid w:val="00DB40E6"/>
    <w:rsid w:val="00DB4118"/>
    <w:rsid w:val="00DB4133"/>
    <w:rsid w:val="00DB41A2"/>
    <w:rsid w:val="00DB421E"/>
    <w:rsid w:val="00DB425E"/>
    <w:rsid w:val="00DB4296"/>
    <w:rsid w:val="00DB431C"/>
    <w:rsid w:val="00DB4386"/>
    <w:rsid w:val="00DB44E8"/>
    <w:rsid w:val="00DB44E9"/>
    <w:rsid w:val="00DB450F"/>
    <w:rsid w:val="00DB4520"/>
    <w:rsid w:val="00DB46B6"/>
    <w:rsid w:val="00DB4765"/>
    <w:rsid w:val="00DB47E1"/>
    <w:rsid w:val="00DB47F0"/>
    <w:rsid w:val="00DB48E3"/>
    <w:rsid w:val="00DB49D5"/>
    <w:rsid w:val="00DB49E7"/>
    <w:rsid w:val="00DB4A7B"/>
    <w:rsid w:val="00DB4A9A"/>
    <w:rsid w:val="00DB4B36"/>
    <w:rsid w:val="00DB4BE0"/>
    <w:rsid w:val="00DB4CA8"/>
    <w:rsid w:val="00DB4CD0"/>
    <w:rsid w:val="00DB4D1F"/>
    <w:rsid w:val="00DB4D3D"/>
    <w:rsid w:val="00DB4E26"/>
    <w:rsid w:val="00DB4E7E"/>
    <w:rsid w:val="00DB4EAD"/>
    <w:rsid w:val="00DB4F8C"/>
    <w:rsid w:val="00DB4FF2"/>
    <w:rsid w:val="00DB4FFA"/>
    <w:rsid w:val="00DB5006"/>
    <w:rsid w:val="00DB500C"/>
    <w:rsid w:val="00DB5074"/>
    <w:rsid w:val="00DB50D3"/>
    <w:rsid w:val="00DB50D9"/>
    <w:rsid w:val="00DB5151"/>
    <w:rsid w:val="00DB5207"/>
    <w:rsid w:val="00DB520C"/>
    <w:rsid w:val="00DB52CF"/>
    <w:rsid w:val="00DB5388"/>
    <w:rsid w:val="00DB53BF"/>
    <w:rsid w:val="00DB53F1"/>
    <w:rsid w:val="00DB54C5"/>
    <w:rsid w:val="00DB5517"/>
    <w:rsid w:val="00DB56D8"/>
    <w:rsid w:val="00DB56DD"/>
    <w:rsid w:val="00DB574E"/>
    <w:rsid w:val="00DB5891"/>
    <w:rsid w:val="00DB589F"/>
    <w:rsid w:val="00DB58EC"/>
    <w:rsid w:val="00DB5916"/>
    <w:rsid w:val="00DB5947"/>
    <w:rsid w:val="00DB594A"/>
    <w:rsid w:val="00DB5A03"/>
    <w:rsid w:val="00DB5A18"/>
    <w:rsid w:val="00DB5A36"/>
    <w:rsid w:val="00DB5A3B"/>
    <w:rsid w:val="00DB5A42"/>
    <w:rsid w:val="00DB5AD7"/>
    <w:rsid w:val="00DB5B48"/>
    <w:rsid w:val="00DB5B66"/>
    <w:rsid w:val="00DB5BF8"/>
    <w:rsid w:val="00DB5C96"/>
    <w:rsid w:val="00DB5D0D"/>
    <w:rsid w:val="00DB5D29"/>
    <w:rsid w:val="00DB5D60"/>
    <w:rsid w:val="00DB5DB3"/>
    <w:rsid w:val="00DB5F37"/>
    <w:rsid w:val="00DB5FDC"/>
    <w:rsid w:val="00DB60E1"/>
    <w:rsid w:val="00DB60E5"/>
    <w:rsid w:val="00DB612E"/>
    <w:rsid w:val="00DB6161"/>
    <w:rsid w:val="00DB6188"/>
    <w:rsid w:val="00DB627A"/>
    <w:rsid w:val="00DB62A0"/>
    <w:rsid w:val="00DB6425"/>
    <w:rsid w:val="00DB6449"/>
    <w:rsid w:val="00DB657D"/>
    <w:rsid w:val="00DB6615"/>
    <w:rsid w:val="00DB673B"/>
    <w:rsid w:val="00DB6754"/>
    <w:rsid w:val="00DB6847"/>
    <w:rsid w:val="00DB69EF"/>
    <w:rsid w:val="00DB69F5"/>
    <w:rsid w:val="00DB6A07"/>
    <w:rsid w:val="00DB6A0E"/>
    <w:rsid w:val="00DB6A14"/>
    <w:rsid w:val="00DB6A56"/>
    <w:rsid w:val="00DB6A80"/>
    <w:rsid w:val="00DB6AB8"/>
    <w:rsid w:val="00DB6ACB"/>
    <w:rsid w:val="00DB6B39"/>
    <w:rsid w:val="00DB6B8F"/>
    <w:rsid w:val="00DB6CCB"/>
    <w:rsid w:val="00DB6D01"/>
    <w:rsid w:val="00DB6D6A"/>
    <w:rsid w:val="00DB6D90"/>
    <w:rsid w:val="00DB6DE0"/>
    <w:rsid w:val="00DB6E24"/>
    <w:rsid w:val="00DB6E56"/>
    <w:rsid w:val="00DB6E76"/>
    <w:rsid w:val="00DB6E78"/>
    <w:rsid w:val="00DB6E9C"/>
    <w:rsid w:val="00DB6EAF"/>
    <w:rsid w:val="00DB6F0D"/>
    <w:rsid w:val="00DB7073"/>
    <w:rsid w:val="00DB7122"/>
    <w:rsid w:val="00DB7164"/>
    <w:rsid w:val="00DB7234"/>
    <w:rsid w:val="00DB727F"/>
    <w:rsid w:val="00DB72EC"/>
    <w:rsid w:val="00DB72FF"/>
    <w:rsid w:val="00DB7317"/>
    <w:rsid w:val="00DB7348"/>
    <w:rsid w:val="00DB736F"/>
    <w:rsid w:val="00DB73B5"/>
    <w:rsid w:val="00DB7518"/>
    <w:rsid w:val="00DB756F"/>
    <w:rsid w:val="00DB7587"/>
    <w:rsid w:val="00DB7598"/>
    <w:rsid w:val="00DB7647"/>
    <w:rsid w:val="00DB7681"/>
    <w:rsid w:val="00DB7739"/>
    <w:rsid w:val="00DB77E2"/>
    <w:rsid w:val="00DB78C4"/>
    <w:rsid w:val="00DB78CE"/>
    <w:rsid w:val="00DB7962"/>
    <w:rsid w:val="00DB798D"/>
    <w:rsid w:val="00DB7A7D"/>
    <w:rsid w:val="00DB7A92"/>
    <w:rsid w:val="00DB7AB3"/>
    <w:rsid w:val="00DB7AC3"/>
    <w:rsid w:val="00DB7B29"/>
    <w:rsid w:val="00DB7B42"/>
    <w:rsid w:val="00DB7B68"/>
    <w:rsid w:val="00DB7BB7"/>
    <w:rsid w:val="00DB7BBC"/>
    <w:rsid w:val="00DB7C13"/>
    <w:rsid w:val="00DB7C22"/>
    <w:rsid w:val="00DB7C3E"/>
    <w:rsid w:val="00DB7CE8"/>
    <w:rsid w:val="00DB7CFB"/>
    <w:rsid w:val="00DB7D2B"/>
    <w:rsid w:val="00DB7D67"/>
    <w:rsid w:val="00DB7DC5"/>
    <w:rsid w:val="00DB7E8D"/>
    <w:rsid w:val="00DC0034"/>
    <w:rsid w:val="00DC00EF"/>
    <w:rsid w:val="00DC02AD"/>
    <w:rsid w:val="00DC0383"/>
    <w:rsid w:val="00DC0393"/>
    <w:rsid w:val="00DC03C7"/>
    <w:rsid w:val="00DC0588"/>
    <w:rsid w:val="00DC0613"/>
    <w:rsid w:val="00DC066B"/>
    <w:rsid w:val="00DC06A4"/>
    <w:rsid w:val="00DC0727"/>
    <w:rsid w:val="00DC0755"/>
    <w:rsid w:val="00DC0766"/>
    <w:rsid w:val="00DC0780"/>
    <w:rsid w:val="00DC07A5"/>
    <w:rsid w:val="00DC0829"/>
    <w:rsid w:val="00DC08EB"/>
    <w:rsid w:val="00DC0935"/>
    <w:rsid w:val="00DC0978"/>
    <w:rsid w:val="00DC09B2"/>
    <w:rsid w:val="00DC09C1"/>
    <w:rsid w:val="00DC09CD"/>
    <w:rsid w:val="00DC09E0"/>
    <w:rsid w:val="00DC09E5"/>
    <w:rsid w:val="00DC0A6C"/>
    <w:rsid w:val="00DC0A7A"/>
    <w:rsid w:val="00DC0B92"/>
    <w:rsid w:val="00DC0CCE"/>
    <w:rsid w:val="00DC0D50"/>
    <w:rsid w:val="00DC0D93"/>
    <w:rsid w:val="00DC0DB8"/>
    <w:rsid w:val="00DC0E57"/>
    <w:rsid w:val="00DC0F32"/>
    <w:rsid w:val="00DC0FB1"/>
    <w:rsid w:val="00DC0FC1"/>
    <w:rsid w:val="00DC1012"/>
    <w:rsid w:val="00DC105C"/>
    <w:rsid w:val="00DC10CE"/>
    <w:rsid w:val="00DC11C2"/>
    <w:rsid w:val="00DC11EF"/>
    <w:rsid w:val="00DC122A"/>
    <w:rsid w:val="00DC130C"/>
    <w:rsid w:val="00DC1334"/>
    <w:rsid w:val="00DC133A"/>
    <w:rsid w:val="00DC148B"/>
    <w:rsid w:val="00DC14BE"/>
    <w:rsid w:val="00DC1500"/>
    <w:rsid w:val="00DC1580"/>
    <w:rsid w:val="00DC15C9"/>
    <w:rsid w:val="00DC164C"/>
    <w:rsid w:val="00DC1666"/>
    <w:rsid w:val="00DC16DF"/>
    <w:rsid w:val="00DC170A"/>
    <w:rsid w:val="00DC1735"/>
    <w:rsid w:val="00DC1738"/>
    <w:rsid w:val="00DC17E6"/>
    <w:rsid w:val="00DC1819"/>
    <w:rsid w:val="00DC182D"/>
    <w:rsid w:val="00DC1838"/>
    <w:rsid w:val="00DC1864"/>
    <w:rsid w:val="00DC18D8"/>
    <w:rsid w:val="00DC18F6"/>
    <w:rsid w:val="00DC1962"/>
    <w:rsid w:val="00DC1967"/>
    <w:rsid w:val="00DC1998"/>
    <w:rsid w:val="00DC19F3"/>
    <w:rsid w:val="00DC1A31"/>
    <w:rsid w:val="00DC1A9E"/>
    <w:rsid w:val="00DC1B02"/>
    <w:rsid w:val="00DC1B37"/>
    <w:rsid w:val="00DC1B75"/>
    <w:rsid w:val="00DC1BDC"/>
    <w:rsid w:val="00DC1D75"/>
    <w:rsid w:val="00DC1DB6"/>
    <w:rsid w:val="00DC1E25"/>
    <w:rsid w:val="00DC1E63"/>
    <w:rsid w:val="00DC1F14"/>
    <w:rsid w:val="00DC1F36"/>
    <w:rsid w:val="00DC1F47"/>
    <w:rsid w:val="00DC1F6D"/>
    <w:rsid w:val="00DC1FFC"/>
    <w:rsid w:val="00DC2131"/>
    <w:rsid w:val="00DC213D"/>
    <w:rsid w:val="00DC21C0"/>
    <w:rsid w:val="00DC229F"/>
    <w:rsid w:val="00DC22A2"/>
    <w:rsid w:val="00DC22C3"/>
    <w:rsid w:val="00DC233A"/>
    <w:rsid w:val="00DC2352"/>
    <w:rsid w:val="00DC2393"/>
    <w:rsid w:val="00DC2395"/>
    <w:rsid w:val="00DC23B1"/>
    <w:rsid w:val="00DC23CD"/>
    <w:rsid w:val="00DC23EA"/>
    <w:rsid w:val="00DC2475"/>
    <w:rsid w:val="00DC2565"/>
    <w:rsid w:val="00DC2582"/>
    <w:rsid w:val="00DC25CC"/>
    <w:rsid w:val="00DC25F2"/>
    <w:rsid w:val="00DC261F"/>
    <w:rsid w:val="00DC2629"/>
    <w:rsid w:val="00DC266A"/>
    <w:rsid w:val="00DC267E"/>
    <w:rsid w:val="00DC26B8"/>
    <w:rsid w:val="00DC27CA"/>
    <w:rsid w:val="00DC2851"/>
    <w:rsid w:val="00DC299F"/>
    <w:rsid w:val="00DC29C3"/>
    <w:rsid w:val="00DC29E8"/>
    <w:rsid w:val="00DC2B24"/>
    <w:rsid w:val="00DC2B63"/>
    <w:rsid w:val="00DC2BAC"/>
    <w:rsid w:val="00DC2BB3"/>
    <w:rsid w:val="00DC2BC9"/>
    <w:rsid w:val="00DC2C6B"/>
    <w:rsid w:val="00DC2C9D"/>
    <w:rsid w:val="00DC2CB7"/>
    <w:rsid w:val="00DC2CC7"/>
    <w:rsid w:val="00DC2D6A"/>
    <w:rsid w:val="00DC2D6D"/>
    <w:rsid w:val="00DC2DE6"/>
    <w:rsid w:val="00DC2E4C"/>
    <w:rsid w:val="00DC2EA1"/>
    <w:rsid w:val="00DC2F74"/>
    <w:rsid w:val="00DC2F81"/>
    <w:rsid w:val="00DC30CE"/>
    <w:rsid w:val="00DC3191"/>
    <w:rsid w:val="00DC3218"/>
    <w:rsid w:val="00DC3231"/>
    <w:rsid w:val="00DC3337"/>
    <w:rsid w:val="00DC3366"/>
    <w:rsid w:val="00DC3440"/>
    <w:rsid w:val="00DC350E"/>
    <w:rsid w:val="00DC351B"/>
    <w:rsid w:val="00DC3581"/>
    <w:rsid w:val="00DC3596"/>
    <w:rsid w:val="00DC359B"/>
    <w:rsid w:val="00DC359C"/>
    <w:rsid w:val="00DC3636"/>
    <w:rsid w:val="00DC36AA"/>
    <w:rsid w:val="00DC373D"/>
    <w:rsid w:val="00DC374D"/>
    <w:rsid w:val="00DC3809"/>
    <w:rsid w:val="00DC38AC"/>
    <w:rsid w:val="00DC38C3"/>
    <w:rsid w:val="00DC38D9"/>
    <w:rsid w:val="00DC39C6"/>
    <w:rsid w:val="00DC3A0F"/>
    <w:rsid w:val="00DC3A52"/>
    <w:rsid w:val="00DC3A86"/>
    <w:rsid w:val="00DC3ADD"/>
    <w:rsid w:val="00DC3B54"/>
    <w:rsid w:val="00DC3C1B"/>
    <w:rsid w:val="00DC3C9D"/>
    <w:rsid w:val="00DC3CB9"/>
    <w:rsid w:val="00DC3CE5"/>
    <w:rsid w:val="00DC3DA0"/>
    <w:rsid w:val="00DC3E93"/>
    <w:rsid w:val="00DC3EAA"/>
    <w:rsid w:val="00DC3F27"/>
    <w:rsid w:val="00DC3F38"/>
    <w:rsid w:val="00DC3F3D"/>
    <w:rsid w:val="00DC3FDF"/>
    <w:rsid w:val="00DC4046"/>
    <w:rsid w:val="00DC4349"/>
    <w:rsid w:val="00DC43D8"/>
    <w:rsid w:val="00DC43F6"/>
    <w:rsid w:val="00DC45FB"/>
    <w:rsid w:val="00DC4641"/>
    <w:rsid w:val="00DC464F"/>
    <w:rsid w:val="00DC4683"/>
    <w:rsid w:val="00DC4791"/>
    <w:rsid w:val="00DC486A"/>
    <w:rsid w:val="00DC4882"/>
    <w:rsid w:val="00DC4928"/>
    <w:rsid w:val="00DC49AE"/>
    <w:rsid w:val="00DC4AEA"/>
    <w:rsid w:val="00DC4AF9"/>
    <w:rsid w:val="00DC4B1B"/>
    <w:rsid w:val="00DC4BB7"/>
    <w:rsid w:val="00DC4BBB"/>
    <w:rsid w:val="00DC4C02"/>
    <w:rsid w:val="00DC4C7F"/>
    <w:rsid w:val="00DC4C8A"/>
    <w:rsid w:val="00DC4C91"/>
    <w:rsid w:val="00DC4CC7"/>
    <w:rsid w:val="00DC4CE5"/>
    <w:rsid w:val="00DC4D66"/>
    <w:rsid w:val="00DC4DE9"/>
    <w:rsid w:val="00DC4E69"/>
    <w:rsid w:val="00DC4F16"/>
    <w:rsid w:val="00DC4F69"/>
    <w:rsid w:val="00DC5135"/>
    <w:rsid w:val="00DC516F"/>
    <w:rsid w:val="00DC51B0"/>
    <w:rsid w:val="00DC5218"/>
    <w:rsid w:val="00DC52C2"/>
    <w:rsid w:val="00DC5312"/>
    <w:rsid w:val="00DC533B"/>
    <w:rsid w:val="00DC5347"/>
    <w:rsid w:val="00DC5360"/>
    <w:rsid w:val="00DC53D8"/>
    <w:rsid w:val="00DC5434"/>
    <w:rsid w:val="00DC549B"/>
    <w:rsid w:val="00DC54E4"/>
    <w:rsid w:val="00DC5539"/>
    <w:rsid w:val="00DC556C"/>
    <w:rsid w:val="00DC5584"/>
    <w:rsid w:val="00DC55C8"/>
    <w:rsid w:val="00DC55E9"/>
    <w:rsid w:val="00DC561B"/>
    <w:rsid w:val="00DC567C"/>
    <w:rsid w:val="00DC56C6"/>
    <w:rsid w:val="00DC572B"/>
    <w:rsid w:val="00DC575F"/>
    <w:rsid w:val="00DC5760"/>
    <w:rsid w:val="00DC5B4C"/>
    <w:rsid w:val="00DC5BA2"/>
    <w:rsid w:val="00DC5BFC"/>
    <w:rsid w:val="00DC5CB0"/>
    <w:rsid w:val="00DC5D95"/>
    <w:rsid w:val="00DC5DAF"/>
    <w:rsid w:val="00DC5DCA"/>
    <w:rsid w:val="00DC5DFF"/>
    <w:rsid w:val="00DC5E90"/>
    <w:rsid w:val="00DC5E96"/>
    <w:rsid w:val="00DC5F60"/>
    <w:rsid w:val="00DC5FA6"/>
    <w:rsid w:val="00DC5FCA"/>
    <w:rsid w:val="00DC5FD7"/>
    <w:rsid w:val="00DC5FE5"/>
    <w:rsid w:val="00DC60BC"/>
    <w:rsid w:val="00DC6104"/>
    <w:rsid w:val="00DC6170"/>
    <w:rsid w:val="00DC6248"/>
    <w:rsid w:val="00DC627F"/>
    <w:rsid w:val="00DC62C1"/>
    <w:rsid w:val="00DC63E7"/>
    <w:rsid w:val="00DC645D"/>
    <w:rsid w:val="00DC6578"/>
    <w:rsid w:val="00DC659E"/>
    <w:rsid w:val="00DC6614"/>
    <w:rsid w:val="00DC6622"/>
    <w:rsid w:val="00DC6632"/>
    <w:rsid w:val="00DC6734"/>
    <w:rsid w:val="00DC6741"/>
    <w:rsid w:val="00DC6773"/>
    <w:rsid w:val="00DC6832"/>
    <w:rsid w:val="00DC693B"/>
    <w:rsid w:val="00DC69BA"/>
    <w:rsid w:val="00DC69C4"/>
    <w:rsid w:val="00DC69C7"/>
    <w:rsid w:val="00DC6A48"/>
    <w:rsid w:val="00DC6B04"/>
    <w:rsid w:val="00DC6C15"/>
    <w:rsid w:val="00DC6C45"/>
    <w:rsid w:val="00DC6CD9"/>
    <w:rsid w:val="00DC6CE3"/>
    <w:rsid w:val="00DC6D29"/>
    <w:rsid w:val="00DC6DB1"/>
    <w:rsid w:val="00DC6E30"/>
    <w:rsid w:val="00DC6E89"/>
    <w:rsid w:val="00DC6ED5"/>
    <w:rsid w:val="00DC6FDF"/>
    <w:rsid w:val="00DC6FFB"/>
    <w:rsid w:val="00DC70E8"/>
    <w:rsid w:val="00DC71EA"/>
    <w:rsid w:val="00DC7235"/>
    <w:rsid w:val="00DC727B"/>
    <w:rsid w:val="00DC72D7"/>
    <w:rsid w:val="00DC730B"/>
    <w:rsid w:val="00DC730C"/>
    <w:rsid w:val="00DC7364"/>
    <w:rsid w:val="00DC7369"/>
    <w:rsid w:val="00DC7398"/>
    <w:rsid w:val="00DC73B4"/>
    <w:rsid w:val="00DC73DF"/>
    <w:rsid w:val="00DC7490"/>
    <w:rsid w:val="00DC74CB"/>
    <w:rsid w:val="00DC74F9"/>
    <w:rsid w:val="00DC7519"/>
    <w:rsid w:val="00DC7539"/>
    <w:rsid w:val="00DC7553"/>
    <w:rsid w:val="00DC7611"/>
    <w:rsid w:val="00DC764D"/>
    <w:rsid w:val="00DC76AC"/>
    <w:rsid w:val="00DC76CC"/>
    <w:rsid w:val="00DC7778"/>
    <w:rsid w:val="00DC77B9"/>
    <w:rsid w:val="00DC7852"/>
    <w:rsid w:val="00DC7889"/>
    <w:rsid w:val="00DC78E6"/>
    <w:rsid w:val="00DC78EE"/>
    <w:rsid w:val="00DC7902"/>
    <w:rsid w:val="00DC796B"/>
    <w:rsid w:val="00DC79EF"/>
    <w:rsid w:val="00DC7A0A"/>
    <w:rsid w:val="00DC7A29"/>
    <w:rsid w:val="00DC7A61"/>
    <w:rsid w:val="00DC7A6B"/>
    <w:rsid w:val="00DC7A99"/>
    <w:rsid w:val="00DC7AD0"/>
    <w:rsid w:val="00DC7B0D"/>
    <w:rsid w:val="00DC7B6F"/>
    <w:rsid w:val="00DC7BC6"/>
    <w:rsid w:val="00DC7C68"/>
    <w:rsid w:val="00DC7CE5"/>
    <w:rsid w:val="00DC7D36"/>
    <w:rsid w:val="00DC7E00"/>
    <w:rsid w:val="00DC7E7E"/>
    <w:rsid w:val="00DC7EA5"/>
    <w:rsid w:val="00DC7F0F"/>
    <w:rsid w:val="00DC7F10"/>
    <w:rsid w:val="00DC7F6D"/>
    <w:rsid w:val="00DC7FB7"/>
    <w:rsid w:val="00DC7FBE"/>
    <w:rsid w:val="00DC7FE0"/>
    <w:rsid w:val="00DC7FE7"/>
    <w:rsid w:val="00DD002B"/>
    <w:rsid w:val="00DD005C"/>
    <w:rsid w:val="00DD0090"/>
    <w:rsid w:val="00DD00A5"/>
    <w:rsid w:val="00DD00CF"/>
    <w:rsid w:val="00DD00F7"/>
    <w:rsid w:val="00DD0153"/>
    <w:rsid w:val="00DD0199"/>
    <w:rsid w:val="00DD01C8"/>
    <w:rsid w:val="00DD01DF"/>
    <w:rsid w:val="00DD01EF"/>
    <w:rsid w:val="00DD0229"/>
    <w:rsid w:val="00DD0231"/>
    <w:rsid w:val="00DD02BD"/>
    <w:rsid w:val="00DD02F6"/>
    <w:rsid w:val="00DD0402"/>
    <w:rsid w:val="00DD0416"/>
    <w:rsid w:val="00DD041F"/>
    <w:rsid w:val="00DD0485"/>
    <w:rsid w:val="00DD04A0"/>
    <w:rsid w:val="00DD055D"/>
    <w:rsid w:val="00DD0599"/>
    <w:rsid w:val="00DD05D7"/>
    <w:rsid w:val="00DD06F2"/>
    <w:rsid w:val="00DD0725"/>
    <w:rsid w:val="00DD0797"/>
    <w:rsid w:val="00DD07A1"/>
    <w:rsid w:val="00DD07FA"/>
    <w:rsid w:val="00DD08B1"/>
    <w:rsid w:val="00DD08C8"/>
    <w:rsid w:val="00DD09F1"/>
    <w:rsid w:val="00DD09F2"/>
    <w:rsid w:val="00DD0A63"/>
    <w:rsid w:val="00DD0A98"/>
    <w:rsid w:val="00DD0A99"/>
    <w:rsid w:val="00DD0AE9"/>
    <w:rsid w:val="00DD0B73"/>
    <w:rsid w:val="00DD0BF9"/>
    <w:rsid w:val="00DD0CD5"/>
    <w:rsid w:val="00DD0D6A"/>
    <w:rsid w:val="00DD0D95"/>
    <w:rsid w:val="00DD0E6C"/>
    <w:rsid w:val="00DD0F88"/>
    <w:rsid w:val="00DD1042"/>
    <w:rsid w:val="00DD105C"/>
    <w:rsid w:val="00DD1141"/>
    <w:rsid w:val="00DD115F"/>
    <w:rsid w:val="00DD11A2"/>
    <w:rsid w:val="00DD11E6"/>
    <w:rsid w:val="00DD127A"/>
    <w:rsid w:val="00DD12AB"/>
    <w:rsid w:val="00DD134A"/>
    <w:rsid w:val="00DD139D"/>
    <w:rsid w:val="00DD13C2"/>
    <w:rsid w:val="00DD13EB"/>
    <w:rsid w:val="00DD1424"/>
    <w:rsid w:val="00DD148D"/>
    <w:rsid w:val="00DD151E"/>
    <w:rsid w:val="00DD152D"/>
    <w:rsid w:val="00DD1668"/>
    <w:rsid w:val="00DD16A1"/>
    <w:rsid w:val="00DD16F5"/>
    <w:rsid w:val="00DD1770"/>
    <w:rsid w:val="00DD178F"/>
    <w:rsid w:val="00DD1826"/>
    <w:rsid w:val="00DD1889"/>
    <w:rsid w:val="00DD1A0A"/>
    <w:rsid w:val="00DD1A11"/>
    <w:rsid w:val="00DD1A47"/>
    <w:rsid w:val="00DD1A70"/>
    <w:rsid w:val="00DD1BFB"/>
    <w:rsid w:val="00DD1C23"/>
    <w:rsid w:val="00DD1C5D"/>
    <w:rsid w:val="00DD1C7B"/>
    <w:rsid w:val="00DD1CF8"/>
    <w:rsid w:val="00DD1D82"/>
    <w:rsid w:val="00DD1D8F"/>
    <w:rsid w:val="00DD1D99"/>
    <w:rsid w:val="00DD1DA3"/>
    <w:rsid w:val="00DD1DD6"/>
    <w:rsid w:val="00DD1DDB"/>
    <w:rsid w:val="00DD1E9C"/>
    <w:rsid w:val="00DD1EC1"/>
    <w:rsid w:val="00DD1FB9"/>
    <w:rsid w:val="00DD1FF9"/>
    <w:rsid w:val="00DD2187"/>
    <w:rsid w:val="00DD2189"/>
    <w:rsid w:val="00DD21DE"/>
    <w:rsid w:val="00DD225F"/>
    <w:rsid w:val="00DD22CA"/>
    <w:rsid w:val="00DD22D5"/>
    <w:rsid w:val="00DD2346"/>
    <w:rsid w:val="00DD2352"/>
    <w:rsid w:val="00DD2390"/>
    <w:rsid w:val="00DD239B"/>
    <w:rsid w:val="00DD23F1"/>
    <w:rsid w:val="00DD256E"/>
    <w:rsid w:val="00DD2590"/>
    <w:rsid w:val="00DD25D3"/>
    <w:rsid w:val="00DD262A"/>
    <w:rsid w:val="00DD2634"/>
    <w:rsid w:val="00DD265D"/>
    <w:rsid w:val="00DD26B5"/>
    <w:rsid w:val="00DD26BB"/>
    <w:rsid w:val="00DD26DF"/>
    <w:rsid w:val="00DD26ED"/>
    <w:rsid w:val="00DD2776"/>
    <w:rsid w:val="00DD2796"/>
    <w:rsid w:val="00DD27E5"/>
    <w:rsid w:val="00DD28EA"/>
    <w:rsid w:val="00DD2988"/>
    <w:rsid w:val="00DD29BC"/>
    <w:rsid w:val="00DD29FC"/>
    <w:rsid w:val="00DD2AAD"/>
    <w:rsid w:val="00DD2ADD"/>
    <w:rsid w:val="00DD2AE3"/>
    <w:rsid w:val="00DD2AE7"/>
    <w:rsid w:val="00DD2B12"/>
    <w:rsid w:val="00DD2B69"/>
    <w:rsid w:val="00DD2B8F"/>
    <w:rsid w:val="00DD2CA5"/>
    <w:rsid w:val="00DD2CD1"/>
    <w:rsid w:val="00DD2D1D"/>
    <w:rsid w:val="00DD2D55"/>
    <w:rsid w:val="00DD2D5A"/>
    <w:rsid w:val="00DD2DCE"/>
    <w:rsid w:val="00DD2EA1"/>
    <w:rsid w:val="00DD2F2A"/>
    <w:rsid w:val="00DD2F57"/>
    <w:rsid w:val="00DD2F9A"/>
    <w:rsid w:val="00DD3054"/>
    <w:rsid w:val="00DD30F2"/>
    <w:rsid w:val="00DD3161"/>
    <w:rsid w:val="00DD31B5"/>
    <w:rsid w:val="00DD32EC"/>
    <w:rsid w:val="00DD33D8"/>
    <w:rsid w:val="00DD33F2"/>
    <w:rsid w:val="00DD33F9"/>
    <w:rsid w:val="00DD33FD"/>
    <w:rsid w:val="00DD340A"/>
    <w:rsid w:val="00DD3480"/>
    <w:rsid w:val="00DD34CD"/>
    <w:rsid w:val="00DD3564"/>
    <w:rsid w:val="00DD35AA"/>
    <w:rsid w:val="00DD35B8"/>
    <w:rsid w:val="00DD360F"/>
    <w:rsid w:val="00DD3620"/>
    <w:rsid w:val="00DD3626"/>
    <w:rsid w:val="00DD37F7"/>
    <w:rsid w:val="00DD383A"/>
    <w:rsid w:val="00DD38A9"/>
    <w:rsid w:val="00DD38D8"/>
    <w:rsid w:val="00DD38E8"/>
    <w:rsid w:val="00DD38F6"/>
    <w:rsid w:val="00DD38FE"/>
    <w:rsid w:val="00DD3909"/>
    <w:rsid w:val="00DD3923"/>
    <w:rsid w:val="00DD3988"/>
    <w:rsid w:val="00DD399E"/>
    <w:rsid w:val="00DD39A6"/>
    <w:rsid w:val="00DD3A09"/>
    <w:rsid w:val="00DD3A0D"/>
    <w:rsid w:val="00DD3A10"/>
    <w:rsid w:val="00DD3BA6"/>
    <w:rsid w:val="00DD3CBC"/>
    <w:rsid w:val="00DD3D03"/>
    <w:rsid w:val="00DD3D67"/>
    <w:rsid w:val="00DD3D80"/>
    <w:rsid w:val="00DD3DE8"/>
    <w:rsid w:val="00DD3EDC"/>
    <w:rsid w:val="00DD3F1E"/>
    <w:rsid w:val="00DD4021"/>
    <w:rsid w:val="00DD40C0"/>
    <w:rsid w:val="00DD4134"/>
    <w:rsid w:val="00DD41B4"/>
    <w:rsid w:val="00DD41E4"/>
    <w:rsid w:val="00DD41EC"/>
    <w:rsid w:val="00DD421D"/>
    <w:rsid w:val="00DD4228"/>
    <w:rsid w:val="00DD4259"/>
    <w:rsid w:val="00DD4266"/>
    <w:rsid w:val="00DD4315"/>
    <w:rsid w:val="00DD432C"/>
    <w:rsid w:val="00DD4333"/>
    <w:rsid w:val="00DD43C6"/>
    <w:rsid w:val="00DD43DE"/>
    <w:rsid w:val="00DD43FB"/>
    <w:rsid w:val="00DD4410"/>
    <w:rsid w:val="00DD4426"/>
    <w:rsid w:val="00DD44CF"/>
    <w:rsid w:val="00DD4624"/>
    <w:rsid w:val="00DD470E"/>
    <w:rsid w:val="00DD4799"/>
    <w:rsid w:val="00DD47FD"/>
    <w:rsid w:val="00DD4803"/>
    <w:rsid w:val="00DD4829"/>
    <w:rsid w:val="00DD484C"/>
    <w:rsid w:val="00DD4869"/>
    <w:rsid w:val="00DD48B2"/>
    <w:rsid w:val="00DD48F7"/>
    <w:rsid w:val="00DD4A04"/>
    <w:rsid w:val="00DD4A0E"/>
    <w:rsid w:val="00DD4A12"/>
    <w:rsid w:val="00DD4A2E"/>
    <w:rsid w:val="00DD4A46"/>
    <w:rsid w:val="00DD4AD5"/>
    <w:rsid w:val="00DD4AFF"/>
    <w:rsid w:val="00DD4B87"/>
    <w:rsid w:val="00DD4C26"/>
    <w:rsid w:val="00DD4C5F"/>
    <w:rsid w:val="00DD4CAB"/>
    <w:rsid w:val="00DD4D2D"/>
    <w:rsid w:val="00DD4D3C"/>
    <w:rsid w:val="00DD4E05"/>
    <w:rsid w:val="00DD4E1D"/>
    <w:rsid w:val="00DD4E73"/>
    <w:rsid w:val="00DD4EC4"/>
    <w:rsid w:val="00DD4F09"/>
    <w:rsid w:val="00DD4F18"/>
    <w:rsid w:val="00DD4F1B"/>
    <w:rsid w:val="00DD5013"/>
    <w:rsid w:val="00DD5028"/>
    <w:rsid w:val="00DD5057"/>
    <w:rsid w:val="00DD506D"/>
    <w:rsid w:val="00DD5169"/>
    <w:rsid w:val="00DD51A9"/>
    <w:rsid w:val="00DD51B5"/>
    <w:rsid w:val="00DD51DC"/>
    <w:rsid w:val="00DD5222"/>
    <w:rsid w:val="00DD525D"/>
    <w:rsid w:val="00DD52A1"/>
    <w:rsid w:val="00DD52F1"/>
    <w:rsid w:val="00DD52F2"/>
    <w:rsid w:val="00DD543B"/>
    <w:rsid w:val="00DD557B"/>
    <w:rsid w:val="00DD5602"/>
    <w:rsid w:val="00DD564B"/>
    <w:rsid w:val="00DD56C5"/>
    <w:rsid w:val="00DD5719"/>
    <w:rsid w:val="00DD579C"/>
    <w:rsid w:val="00DD57A8"/>
    <w:rsid w:val="00DD58E8"/>
    <w:rsid w:val="00DD58F6"/>
    <w:rsid w:val="00DD58FA"/>
    <w:rsid w:val="00DD593A"/>
    <w:rsid w:val="00DD59B5"/>
    <w:rsid w:val="00DD5A90"/>
    <w:rsid w:val="00DD5BE9"/>
    <w:rsid w:val="00DD5C9A"/>
    <w:rsid w:val="00DD5CA1"/>
    <w:rsid w:val="00DD5CEC"/>
    <w:rsid w:val="00DD5DC7"/>
    <w:rsid w:val="00DD5EA1"/>
    <w:rsid w:val="00DD5EB2"/>
    <w:rsid w:val="00DD5EC6"/>
    <w:rsid w:val="00DD5FA6"/>
    <w:rsid w:val="00DD6097"/>
    <w:rsid w:val="00DD61E8"/>
    <w:rsid w:val="00DD6269"/>
    <w:rsid w:val="00DD6357"/>
    <w:rsid w:val="00DD635B"/>
    <w:rsid w:val="00DD63A0"/>
    <w:rsid w:val="00DD6473"/>
    <w:rsid w:val="00DD64A4"/>
    <w:rsid w:val="00DD64D1"/>
    <w:rsid w:val="00DD64E1"/>
    <w:rsid w:val="00DD653B"/>
    <w:rsid w:val="00DD65A8"/>
    <w:rsid w:val="00DD65DB"/>
    <w:rsid w:val="00DD6616"/>
    <w:rsid w:val="00DD6657"/>
    <w:rsid w:val="00DD668F"/>
    <w:rsid w:val="00DD66C9"/>
    <w:rsid w:val="00DD6767"/>
    <w:rsid w:val="00DD677C"/>
    <w:rsid w:val="00DD6831"/>
    <w:rsid w:val="00DD6857"/>
    <w:rsid w:val="00DD68D5"/>
    <w:rsid w:val="00DD68F8"/>
    <w:rsid w:val="00DD6966"/>
    <w:rsid w:val="00DD6981"/>
    <w:rsid w:val="00DD69B0"/>
    <w:rsid w:val="00DD6A1B"/>
    <w:rsid w:val="00DD6B1A"/>
    <w:rsid w:val="00DD6BF4"/>
    <w:rsid w:val="00DD6C4D"/>
    <w:rsid w:val="00DD6CC0"/>
    <w:rsid w:val="00DD6D0C"/>
    <w:rsid w:val="00DD6D0E"/>
    <w:rsid w:val="00DD6D79"/>
    <w:rsid w:val="00DD6D93"/>
    <w:rsid w:val="00DD6E54"/>
    <w:rsid w:val="00DD6E79"/>
    <w:rsid w:val="00DD6EB1"/>
    <w:rsid w:val="00DD6F7A"/>
    <w:rsid w:val="00DD7112"/>
    <w:rsid w:val="00DD71D4"/>
    <w:rsid w:val="00DD71EB"/>
    <w:rsid w:val="00DD71F1"/>
    <w:rsid w:val="00DD7251"/>
    <w:rsid w:val="00DD725D"/>
    <w:rsid w:val="00DD7280"/>
    <w:rsid w:val="00DD72E7"/>
    <w:rsid w:val="00DD73EE"/>
    <w:rsid w:val="00DD73F9"/>
    <w:rsid w:val="00DD7581"/>
    <w:rsid w:val="00DD75C3"/>
    <w:rsid w:val="00DD7685"/>
    <w:rsid w:val="00DD76E4"/>
    <w:rsid w:val="00DD775B"/>
    <w:rsid w:val="00DD7828"/>
    <w:rsid w:val="00DD788D"/>
    <w:rsid w:val="00DD78A4"/>
    <w:rsid w:val="00DD791A"/>
    <w:rsid w:val="00DD7A5F"/>
    <w:rsid w:val="00DD7B54"/>
    <w:rsid w:val="00DD7B56"/>
    <w:rsid w:val="00DD7BE0"/>
    <w:rsid w:val="00DD7D04"/>
    <w:rsid w:val="00DD7D52"/>
    <w:rsid w:val="00DD7D8D"/>
    <w:rsid w:val="00DD7E50"/>
    <w:rsid w:val="00DD7EC6"/>
    <w:rsid w:val="00DD7F11"/>
    <w:rsid w:val="00DD7FB5"/>
    <w:rsid w:val="00DD7FFA"/>
    <w:rsid w:val="00DE0093"/>
    <w:rsid w:val="00DE00E9"/>
    <w:rsid w:val="00DE0111"/>
    <w:rsid w:val="00DE0124"/>
    <w:rsid w:val="00DE0148"/>
    <w:rsid w:val="00DE0277"/>
    <w:rsid w:val="00DE028B"/>
    <w:rsid w:val="00DE0312"/>
    <w:rsid w:val="00DE034B"/>
    <w:rsid w:val="00DE043A"/>
    <w:rsid w:val="00DE0529"/>
    <w:rsid w:val="00DE05B9"/>
    <w:rsid w:val="00DE06E4"/>
    <w:rsid w:val="00DE07E4"/>
    <w:rsid w:val="00DE08F9"/>
    <w:rsid w:val="00DE0A2E"/>
    <w:rsid w:val="00DE0B28"/>
    <w:rsid w:val="00DE0C86"/>
    <w:rsid w:val="00DE0CDA"/>
    <w:rsid w:val="00DE0CE6"/>
    <w:rsid w:val="00DE0D00"/>
    <w:rsid w:val="00DE0D9C"/>
    <w:rsid w:val="00DE0DCA"/>
    <w:rsid w:val="00DE0E16"/>
    <w:rsid w:val="00DE0E73"/>
    <w:rsid w:val="00DE0E84"/>
    <w:rsid w:val="00DE0EF1"/>
    <w:rsid w:val="00DE0F74"/>
    <w:rsid w:val="00DE0F93"/>
    <w:rsid w:val="00DE0FAE"/>
    <w:rsid w:val="00DE1062"/>
    <w:rsid w:val="00DE1128"/>
    <w:rsid w:val="00DE112C"/>
    <w:rsid w:val="00DE11C1"/>
    <w:rsid w:val="00DE1209"/>
    <w:rsid w:val="00DE120F"/>
    <w:rsid w:val="00DE1287"/>
    <w:rsid w:val="00DE12E3"/>
    <w:rsid w:val="00DE139C"/>
    <w:rsid w:val="00DE140A"/>
    <w:rsid w:val="00DE14A8"/>
    <w:rsid w:val="00DE14AD"/>
    <w:rsid w:val="00DE14D6"/>
    <w:rsid w:val="00DE1529"/>
    <w:rsid w:val="00DE156B"/>
    <w:rsid w:val="00DE1612"/>
    <w:rsid w:val="00DE1637"/>
    <w:rsid w:val="00DE1644"/>
    <w:rsid w:val="00DE1677"/>
    <w:rsid w:val="00DE1686"/>
    <w:rsid w:val="00DE1709"/>
    <w:rsid w:val="00DE17A9"/>
    <w:rsid w:val="00DE18CB"/>
    <w:rsid w:val="00DE18F2"/>
    <w:rsid w:val="00DE1907"/>
    <w:rsid w:val="00DE1936"/>
    <w:rsid w:val="00DE1960"/>
    <w:rsid w:val="00DE19AF"/>
    <w:rsid w:val="00DE1A51"/>
    <w:rsid w:val="00DE1A9A"/>
    <w:rsid w:val="00DE1B14"/>
    <w:rsid w:val="00DE1B42"/>
    <w:rsid w:val="00DE1B4D"/>
    <w:rsid w:val="00DE1B56"/>
    <w:rsid w:val="00DE1B9D"/>
    <w:rsid w:val="00DE1BC0"/>
    <w:rsid w:val="00DE1C78"/>
    <w:rsid w:val="00DE1D4F"/>
    <w:rsid w:val="00DE1DF3"/>
    <w:rsid w:val="00DE1DF7"/>
    <w:rsid w:val="00DE1E83"/>
    <w:rsid w:val="00DE1EA2"/>
    <w:rsid w:val="00DE1EFE"/>
    <w:rsid w:val="00DE1F14"/>
    <w:rsid w:val="00DE1F4D"/>
    <w:rsid w:val="00DE1F51"/>
    <w:rsid w:val="00DE1FF1"/>
    <w:rsid w:val="00DE2001"/>
    <w:rsid w:val="00DE201A"/>
    <w:rsid w:val="00DE2183"/>
    <w:rsid w:val="00DE21EB"/>
    <w:rsid w:val="00DE223B"/>
    <w:rsid w:val="00DE225E"/>
    <w:rsid w:val="00DE2272"/>
    <w:rsid w:val="00DE22AB"/>
    <w:rsid w:val="00DE2382"/>
    <w:rsid w:val="00DE2398"/>
    <w:rsid w:val="00DE242A"/>
    <w:rsid w:val="00DE249E"/>
    <w:rsid w:val="00DE24C0"/>
    <w:rsid w:val="00DE2555"/>
    <w:rsid w:val="00DE2560"/>
    <w:rsid w:val="00DE277D"/>
    <w:rsid w:val="00DE2828"/>
    <w:rsid w:val="00DE2829"/>
    <w:rsid w:val="00DE29D6"/>
    <w:rsid w:val="00DE2A4E"/>
    <w:rsid w:val="00DE2A5E"/>
    <w:rsid w:val="00DE2A7D"/>
    <w:rsid w:val="00DE2AC7"/>
    <w:rsid w:val="00DE2AF3"/>
    <w:rsid w:val="00DE2B26"/>
    <w:rsid w:val="00DE2B65"/>
    <w:rsid w:val="00DE2BA9"/>
    <w:rsid w:val="00DE2C93"/>
    <w:rsid w:val="00DE2D36"/>
    <w:rsid w:val="00DE2E14"/>
    <w:rsid w:val="00DE2E4E"/>
    <w:rsid w:val="00DE2E96"/>
    <w:rsid w:val="00DE2E9C"/>
    <w:rsid w:val="00DE2F94"/>
    <w:rsid w:val="00DE2F9C"/>
    <w:rsid w:val="00DE2FAF"/>
    <w:rsid w:val="00DE2FC3"/>
    <w:rsid w:val="00DE3000"/>
    <w:rsid w:val="00DE3004"/>
    <w:rsid w:val="00DE3042"/>
    <w:rsid w:val="00DE305A"/>
    <w:rsid w:val="00DE30A0"/>
    <w:rsid w:val="00DE3104"/>
    <w:rsid w:val="00DE3144"/>
    <w:rsid w:val="00DE3188"/>
    <w:rsid w:val="00DE318F"/>
    <w:rsid w:val="00DE31AA"/>
    <w:rsid w:val="00DE31E6"/>
    <w:rsid w:val="00DE3261"/>
    <w:rsid w:val="00DE32B8"/>
    <w:rsid w:val="00DE3303"/>
    <w:rsid w:val="00DE338F"/>
    <w:rsid w:val="00DE3431"/>
    <w:rsid w:val="00DE3502"/>
    <w:rsid w:val="00DE3520"/>
    <w:rsid w:val="00DE352F"/>
    <w:rsid w:val="00DE35E6"/>
    <w:rsid w:val="00DE364F"/>
    <w:rsid w:val="00DE36BA"/>
    <w:rsid w:val="00DE374E"/>
    <w:rsid w:val="00DE376F"/>
    <w:rsid w:val="00DE386A"/>
    <w:rsid w:val="00DE38B1"/>
    <w:rsid w:val="00DE38B5"/>
    <w:rsid w:val="00DE397C"/>
    <w:rsid w:val="00DE39BC"/>
    <w:rsid w:val="00DE39DA"/>
    <w:rsid w:val="00DE39E2"/>
    <w:rsid w:val="00DE3A1F"/>
    <w:rsid w:val="00DE3A41"/>
    <w:rsid w:val="00DE3AB9"/>
    <w:rsid w:val="00DE3B07"/>
    <w:rsid w:val="00DE3B09"/>
    <w:rsid w:val="00DE3BCB"/>
    <w:rsid w:val="00DE3BD9"/>
    <w:rsid w:val="00DE3C16"/>
    <w:rsid w:val="00DE3CA7"/>
    <w:rsid w:val="00DE3DE3"/>
    <w:rsid w:val="00DE3E61"/>
    <w:rsid w:val="00DE3F55"/>
    <w:rsid w:val="00DE3FA4"/>
    <w:rsid w:val="00DE3FAC"/>
    <w:rsid w:val="00DE401F"/>
    <w:rsid w:val="00DE407E"/>
    <w:rsid w:val="00DE40E3"/>
    <w:rsid w:val="00DE4126"/>
    <w:rsid w:val="00DE4131"/>
    <w:rsid w:val="00DE4136"/>
    <w:rsid w:val="00DE416F"/>
    <w:rsid w:val="00DE4231"/>
    <w:rsid w:val="00DE424C"/>
    <w:rsid w:val="00DE4265"/>
    <w:rsid w:val="00DE42D3"/>
    <w:rsid w:val="00DE4312"/>
    <w:rsid w:val="00DE4341"/>
    <w:rsid w:val="00DE4558"/>
    <w:rsid w:val="00DE4589"/>
    <w:rsid w:val="00DE45A8"/>
    <w:rsid w:val="00DE4691"/>
    <w:rsid w:val="00DE479B"/>
    <w:rsid w:val="00DE485B"/>
    <w:rsid w:val="00DE4860"/>
    <w:rsid w:val="00DE489B"/>
    <w:rsid w:val="00DE493C"/>
    <w:rsid w:val="00DE49D8"/>
    <w:rsid w:val="00DE49E9"/>
    <w:rsid w:val="00DE49FB"/>
    <w:rsid w:val="00DE4AAA"/>
    <w:rsid w:val="00DE4ABB"/>
    <w:rsid w:val="00DE4B2D"/>
    <w:rsid w:val="00DE4B5F"/>
    <w:rsid w:val="00DE4C04"/>
    <w:rsid w:val="00DE4C10"/>
    <w:rsid w:val="00DE4CA9"/>
    <w:rsid w:val="00DE4D9E"/>
    <w:rsid w:val="00DE4DB4"/>
    <w:rsid w:val="00DE4F45"/>
    <w:rsid w:val="00DE4F73"/>
    <w:rsid w:val="00DE4FB4"/>
    <w:rsid w:val="00DE4FC0"/>
    <w:rsid w:val="00DE4FDC"/>
    <w:rsid w:val="00DE50D0"/>
    <w:rsid w:val="00DE5108"/>
    <w:rsid w:val="00DE514C"/>
    <w:rsid w:val="00DE51F0"/>
    <w:rsid w:val="00DE5204"/>
    <w:rsid w:val="00DE5233"/>
    <w:rsid w:val="00DE5331"/>
    <w:rsid w:val="00DE53A3"/>
    <w:rsid w:val="00DE53E5"/>
    <w:rsid w:val="00DE5411"/>
    <w:rsid w:val="00DE548D"/>
    <w:rsid w:val="00DE54C6"/>
    <w:rsid w:val="00DE55BE"/>
    <w:rsid w:val="00DE5603"/>
    <w:rsid w:val="00DE560C"/>
    <w:rsid w:val="00DE569C"/>
    <w:rsid w:val="00DE5744"/>
    <w:rsid w:val="00DE57F0"/>
    <w:rsid w:val="00DE5813"/>
    <w:rsid w:val="00DE590D"/>
    <w:rsid w:val="00DE593D"/>
    <w:rsid w:val="00DE59E8"/>
    <w:rsid w:val="00DE5AC7"/>
    <w:rsid w:val="00DE5BA7"/>
    <w:rsid w:val="00DE5BCA"/>
    <w:rsid w:val="00DE5CB6"/>
    <w:rsid w:val="00DE5D48"/>
    <w:rsid w:val="00DE5D57"/>
    <w:rsid w:val="00DE5D93"/>
    <w:rsid w:val="00DE5E06"/>
    <w:rsid w:val="00DE5E1F"/>
    <w:rsid w:val="00DE5E8B"/>
    <w:rsid w:val="00DE5EBF"/>
    <w:rsid w:val="00DE5ED4"/>
    <w:rsid w:val="00DE604D"/>
    <w:rsid w:val="00DE607F"/>
    <w:rsid w:val="00DE616D"/>
    <w:rsid w:val="00DE6201"/>
    <w:rsid w:val="00DE6274"/>
    <w:rsid w:val="00DE62F6"/>
    <w:rsid w:val="00DE63CF"/>
    <w:rsid w:val="00DE63D1"/>
    <w:rsid w:val="00DE6416"/>
    <w:rsid w:val="00DE64BE"/>
    <w:rsid w:val="00DE65D2"/>
    <w:rsid w:val="00DE65E9"/>
    <w:rsid w:val="00DE6609"/>
    <w:rsid w:val="00DE665D"/>
    <w:rsid w:val="00DE66B0"/>
    <w:rsid w:val="00DE6787"/>
    <w:rsid w:val="00DE67A0"/>
    <w:rsid w:val="00DE6822"/>
    <w:rsid w:val="00DE6896"/>
    <w:rsid w:val="00DE6913"/>
    <w:rsid w:val="00DE6986"/>
    <w:rsid w:val="00DE69CB"/>
    <w:rsid w:val="00DE6A6A"/>
    <w:rsid w:val="00DE6AB3"/>
    <w:rsid w:val="00DE6B36"/>
    <w:rsid w:val="00DE6B80"/>
    <w:rsid w:val="00DE6C0F"/>
    <w:rsid w:val="00DE6C51"/>
    <w:rsid w:val="00DE6CC2"/>
    <w:rsid w:val="00DE6D2F"/>
    <w:rsid w:val="00DE6D3E"/>
    <w:rsid w:val="00DE6D47"/>
    <w:rsid w:val="00DE6D4C"/>
    <w:rsid w:val="00DE6D7B"/>
    <w:rsid w:val="00DE6E81"/>
    <w:rsid w:val="00DE6EA7"/>
    <w:rsid w:val="00DE6F7A"/>
    <w:rsid w:val="00DE7066"/>
    <w:rsid w:val="00DE709C"/>
    <w:rsid w:val="00DE70BC"/>
    <w:rsid w:val="00DE7100"/>
    <w:rsid w:val="00DE7176"/>
    <w:rsid w:val="00DE723E"/>
    <w:rsid w:val="00DE72BD"/>
    <w:rsid w:val="00DE72E0"/>
    <w:rsid w:val="00DE7310"/>
    <w:rsid w:val="00DE7351"/>
    <w:rsid w:val="00DE7453"/>
    <w:rsid w:val="00DE751D"/>
    <w:rsid w:val="00DE7538"/>
    <w:rsid w:val="00DE7626"/>
    <w:rsid w:val="00DE771C"/>
    <w:rsid w:val="00DE7816"/>
    <w:rsid w:val="00DE7941"/>
    <w:rsid w:val="00DE7960"/>
    <w:rsid w:val="00DE7A9C"/>
    <w:rsid w:val="00DE7B14"/>
    <w:rsid w:val="00DE7B37"/>
    <w:rsid w:val="00DE7B91"/>
    <w:rsid w:val="00DE7BF5"/>
    <w:rsid w:val="00DE7CA6"/>
    <w:rsid w:val="00DE7D24"/>
    <w:rsid w:val="00DE7EB1"/>
    <w:rsid w:val="00DE7F63"/>
    <w:rsid w:val="00DE7F8C"/>
    <w:rsid w:val="00DE7FA5"/>
    <w:rsid w:val="00DE7FB7"/>
    <w:rsid w:val="00DF0025"/>
    <w:rsid w:val="00DF0071"/>
    <w:rsid w:val="00DF00D8"/>
    <w:rsid w:val="00DF011E"/>
    <w:rsid w:val="00DF01B8"/>
    <w:rsid w:val="00DF01D8"/>
    <w:rsid w:val="00DF0205"/>
    <w:rsid w:val="00DF02E8"/>
    <w:rsid w:val="00DF0306"/>
    <w:rsid w:val="00DF035A"/>
    <w:rsid w:val="00DF038B"/>
    <w:rsid w:val="00DF038F"/>
    <w:rsid w:val="00DF0428"/>
    <w:rsid w:val="00DF05FF"/>
    <w:rsid w:val="00DF0612"/>
    <w:rsid w:val="00DF0623"/>
    <w:rsid w:val="00DF062A"/>
    <w:rsid w:val="00DF068A"/>
    <w:rsid w:val="00DF06B8"/>
    <w:rsid w:val="00DF06DA"/>
    <w:rsid w:val="00DF0715"/>
    <w:rsid w:val="00DF071C"/>
    <w:rsid w:val="00DF084D"/>
    <w:rsid w:val="00DF09C4"/>
    <w:rsid w:val="00DF09EA"/>
    <w:rsid w:val="00DF0A44"/>
    <w:rsid w:val="00DF0A97"/>
    <w:rsid w:val="00DF0ACA"/>
    <w:rsid w:val="00DF0AD5"/>
    <w:rsid w:val="00DF0C00"/>
    <w:rsid w:val="00DF0C10"/>
    <w:rsid w:val="00DF0C1C"/>
    <w:rsid w:val="00DF0C1D"/>
    <w:rsid w:val="00DF0CCB"/>
    <w:rsid w:val="00DF0D2A"/>
    <w:rsid w:val="00DF0D32"/>
    <w:rsid w:val="00DF0D4D"/>
    <w:rsid w:val="00DF0DA0"/>
    <w:rsid w:val="00DF0EE5"/>
    <w:rsid w:val="00DF0F75"/>
    <w:rsid w:val="00DF110C"/>
    <w:rsid w:val="00DF115F"/>
    <w:rsid w:val="00DF1249"/>
    <w:rsid w:val="00DF1252"/>
    <w:rsid w:val="00DF12A3"/>
    <w:rsid w:val="00DF136E"/>
    <w:rsid w:val="00DF1431"/>
    <w:rsid w:val="00DF14B9"/>
    <w:rsid w:val="00DF14EE"/>
    <w:rsid w:val="00DF15D9"/>
    <w:rsid w:val="00DF1604"/>
    <w:rsid w:val="00DF1614"/>
    <w:rsid w:val="00DF16BB"/>
    <w:rsid w:val="00DF16EB"/>
    <w:rsid w:val="00DF1780"/>
    <w:rsid w:val="00DF17B0"/>
    <w:rsid w:val="00DF17DF"/>
    <w:rsid w:val="00DF1884"/>
    <w:rsid w:val="00DF18A4"/>
    <w:rsid w:val="00DF18BD"/>
    <w:rsid w:val="00DF198D"/>
    <w:rsid w:val="00DF1A75"/>
    <w:rsid w:val="00DF1AEB"/>
    <w:rsid w:val="00DF1B10"/>
    <w:rsid w:val="00DF1B30"/>
    <w:rsid w:val="00DF1B48"/>
    <w:rsid w:val="00DF1B56"/>
    <w:rsid w:val="00DF1B60"/>
    <w:rsid w:val="00DF1B6C"/>
    <w:rsid w:val="00DF1BC5"/>
    <w:rsid w:val="00DF1C32"/>
    <w:rsid w:val="00DF1C98"/>
    <w:rsid w:val="00DF1CCF"/>
    <w:rsid w:val="00DF1D8B"/>
    <w:rsid w:val="00DF1D92"/>
    <w:rsid w:val="00DF1E74"/>
    <w:rsid w:val="00DF1F3F"/>
    <w:rsid w:val="00DF1FFF"/>
    <w:rsid w:val="00DF20CA"/>
    <w:rsid w:val="00DF20EA"/>
    <w:rsid w:val="00DF20ED"/>
    <w:rsid w:val="00DF21A0"/>
    <w:rsid w:val="00DF2202"/>
    <w:rsid w:val="00DF225A"/>
    <w:rsid w:val="00DF22E9"/>
    <w:rsid w:val="00DF2324"/>
    <w:rsid w:val="00DF23B9"/>
    <w:rsid w:val="00DF240D"/>
    <w:rsid w:val="00DF245D"/>
    <w:rsid w:val="00DF248C"/>
    <w:rsid w:val="00DF2560"/>
    <w:rsid w:val="00DF25A3"/>
    <w:rsid w:val="00DF268A"/>
    <w:rsid w:val="00DF269D"/>
    <w:rsid w:val="00DF279D"/>
    <w:rsid w:val="00DF286F"/>
    <w:rsid w:val="00DF2882"/>
    <w:rsid w:val="00DF2885"/>
    <w:rsid w:val="00DF2891"/>
    <w:rsid w:val="00DF292C"/>
    <w:rsid w:val="00DF2976"/>
    <w:rsid w:val="00DF29EA"/>
    <w:rsid w:val="00DF2ABE"/>
    <w:rsid w:val="00DF2BFC"/>
    <w:rsid w:val="00DF2C6B"/>
    <w:rsid w:val="00DF2CB3"/>
    <w:rsid w:val="00DF2CD0"/>
    <w:rsid w:val="00DF2D66"/>
    <w:rsid w:val="00DF2EE3"/>
    <w:rsid w:val="00DF2EF4"/>
    <w:rsid w:val="00DF2FCC"/>
    <w:rsid w:val="00DF3036"/>
    <w:rsid w:val="00DF306E"/>
    <w:rsid w:val="00DF3140"/>
    <w:rsid w:val="00DF31B0"/>
    <w:rsid w:val="00DF31D4"/>
    <w:rsid w:val="00DF3233"/>
    <w:rsid w:val="00DF327A"/>
    <w:rsid w:val="00DF327F"/>
    <w:rsid w:val="00DF32C6"/>
    <w:rsid w:val="00DF3312"/>
    <w:rsid w:val="00DF332E"/>
    <w:rsid w:val="00DF335B"/>
    <w:rsid w:val="00DF3456"/>
    <w:rsid w:val="00DF3477"/>
    <w:rsid w:val="00DF3551"/>
    <w:rsid w:val="00DF357B"/>
    <w:rsid w:val="00DF3616"/>
    <w:rsid w:val="00DF3667"/>
    <w:rsid w:val="00DF369B"/>
    <w:rsid w:val="00DF36DD"/>
    <w:rsid w:val="00DF37B3"/>
    <w:rsid w:val="00DF37D2"/>
    <w:rsid w:val="00DF3800"/>
    <w:rsid w:val="00DF3838"/>
    <w:rsid w:val="00DF3843"/>
    <w:rsid w:val="00DF38AA"/>
    <w:rsid w:val="00DF39D9"/>
    <w:rsid w:val="00DF3A17"/>
    <w:rsid w:val="00DF3A65"/>
    <w:rsid w:val="00DF3A7B"/>
    <w:rsid w:val="00DF3A83"/>
    <w:rsid w:val="00DF3B6B"/>
    <w:rsid w:val="00DF3B92"/>
    <w:rsid w:val="00DF3BEA"/>
    <w:rsid w:val="00DF3BF4"/>
    <w:rsid w:val="00DF3CB9"/>
    <w:rsid w:val="00DF3D02"/>
    <w:rsid w:val="00DF3D2A"/>
    <w:rsid w:val="00DF3E27"/>
    <w:rsid w:val="00DF3E4E"/>
    <w:rsid w:val="00DF3EF8"/>
    <w:rsid w:val="00DF3F17"/>
    <w:rsid w:val="00DF3F93"/>
    <w:rsid w:val="00DF3FD7"/>
    <w:rsid w:val="00DF3FEE"/>
    <w:rsid w:val="00DF4022"/>
    <w:rsid w:val="00DF4033"/>
    <w:rsid w:val="00DF4068"/>
    <w:rsid w:val="00DF408E"/>
    <w:rsid w:val="00DF41A8"/>
    <w:rsid w:val="00DF41BE"/>
    <w:rsid w:val="00DF41D3"/>
    <w:rsid w:val="00DF4216"/>
    <w:rsid w:val="00DF4273"/>
    <w:rsid w:val="00DF4293"/>
    <w:rsid w:val="00DF435A"/>
    <w:rsid w:val="00DF43C9"/>
    <w:rsid w:val="00DF4408"/>
    <w:rsid w:val="00DF444C"/>
    <w:rsid w:val="00DF447E"/>
    <w:rsid w:val="00DF44B9"/>
    <w:rsid w:val="00DF44CF"/>
    <w:rsid w:val="00DF4507"/>
    <w:rsid w:val="00DF4550"/>
    <w:rsid w:val="00DF4586"/>
    <w:rsid w:val="00DF45BC"/>
    <w:rsid w:val="00DF46FB"/>
    <w:rsid w:val="00DF4717"/>
    <w:rsid w:val="00DF4773"/>
    <w:rsid w:val="00DF4857"/>
    <w:rsid w:val="00DF48BC"/>
    <w:rsid w:val="00DF48DB"/>
    <w:rsid w:val="00DF48E0"/>
    <w:rsid w:val="00DF4952"/>
    <w:rsid w:val="00DF495A"/>
    <w:rsid w:val="00DF4978"/>
    <w:rsid w:val="00DF4A21"/>
    <w:rsid w:val="00DF4B1B"/>
    <w:rsid w:val="00DF4B65"/>
    <w:rsid w:val="00DF4C70"/>
    <w:rsid w:val="00DF4C71"/>
    <w:rsid w:val="00DF4C7D"/>
    <w:rsid w:val="00DF4CC2"/>
    <w:rsid w:val="00DF4D5C"/>
    <w:rsid w:val="00DF4D70"/>
    <w:rsid w:val="00DF4DED"/>
    <w:rsid w:val="00DF4E3E"/>
    <w:rsid w:val="00DF4EE6"/>
    <w:rsid w:val="00DF4F19"/>
    <w:rsid w:val="00DF5000"/>
    <w:rsid w:val="00DF505A"/>
    <w:rsid w:val="00DF50EB"/>
    <w:rsid w:val="00DF5109"/>
    <w:rsid w:val="00DF514B"/>
    <w:rsid w:val="00DF5172"/>
    <w:rsid w:val="00DF51B0"/>
    <w:rsid w:val="00DF51C8"/>
    <w:rsid w:val="00DF52F5"/>
    <w:rsid w:val="00DF5301"/>
    <w:rsid w:val="00DF5386"/>
    <w:rsid w:val="00DF5396"/>
    <w:rsid w:val="00DF53EA"/>
    <w:rsid w:val="00DF54AF"/>
    <w:rsid w:val="00DF54E4"/>
    <w:rsid w:val="00DF551F"/>
    <w:rsid w:val="00DF55D0"/>
    <w:rsid w:val="00DF5635"/>
    <w:rsid w:val="00DF569B"/>
    <w:rsid w:val="00DF56D0"/>
    <w:rsid w:val="00DF56FA"/>
    <w:rsid w:val="00DF5707"/>
    <w:rsid w:val="00DF574C"/>
    <w:rsid w:val="00DF576F"/>
    <w:rsid w:val="00DF57C1"/>
    <w:rsid w:val="00DF57D9"/>
    <w:rsid w:val="00DF580E"/>
    <w:rsid w:val="00DF581A"/>
    <w:rsid w:val="00DF5823"/>
    <w:rsid w:val="00DF582A"/>
    <w:rsid w:val="00DF5870"/>
    <w:rsid w:val="00DF5878"/>
    <w:rsid w:val="00DF58CA"/>
    <w:rsid w:val="00DF594E"/>
    <w:rsid w:val="00DF594F"/>
    <w:rsid w:val="00DF59A7"/>
    <w:rsid w:val="00DF5A7B"/>
    <w:rsid w:val="00DF5AB4"/>
    <w:rsid w:val="00DF5B44"/>
    <w:rsid w:val="00DF5B84"/>
    <w:rsid w:val="00DF5BD3"/>
    <w:rsid w:val="00DF5C3A"/>
    <w:rsid w:val="00DF5C50"/>
    <w:rsid w:val="00DF5C82"/>
    <w:rsid w:val="00DF5C90"/>
    <w:rsid w:val="00DF5CB2"/>
    <w:rsid w:val="00DF5E1F"/>
    <w:rsid w:val="00DF5F15"/>
    <w:rsid w:val="00DF5F2C"/>
    <w:rsid w:val="00DF5F8B"/>
    <w:rsid w:val="00DF5FCF"/>
    <w:rsid w:val="00DF5FF9"/>
    <w:rsid w:val="00DF6025"/>
    <w:rsid w:val="00DF6037"/>
    <w:rsid w:val="00DF6047"/>
    <w:rsid w:val="00DF609B"/>
    <w:rsid w:val="00DF60B9"/>
    <w:rsid w:val="00DF60F3"/>
    <w:rsid w:val="00DF618E"/>
    <w:rsid w:val="00DF627D"/>
    <w:rsid w:val="00DF6285"/>
    <w:rsid w:val="00DF62AC"/>
    <w:rsid w:val="00DF62DF"/>
    <w:rsid w:val="00DF62FA"/>
    <w:rsid w:val="00DF63B7"/>
    <w:rsid w:val="00DF6441"/>
    <w:rsid w:val="00DF6449"/>
    <w:rsid w:val="00DF644C"/>
    <w:rsid w:val="00DF649F"/>
    <w:rsid w:val="00DF6510"/>
    <w:rsid w:val="00DF6537"/>
    <w:rsid w:val="00DF6582"/>
    <w:rsid w:val="00DF65A4"/>
    <w:rsid w:val="00DF65D9"/>
    <w:rsid w:val="00DF6602"/>
    <w:rsid w:val="00DF6616"/>
    <w:rsid w:val="00DF661F"/>
    <w:rsid w:val="00DF663D"/>
    <w:rsid w:val="00DF66D2"/>
    <w:rsid w:val="00DF672A"/>
    <w:rsid w:val="00DF6840"/>
    <w:rsid w:val="00DF6877"/>
    <w:rsid w:val="00DF6879"/>
    <w:rsid w:val="00DF6906"/>
    <w:rsid w:val="00DF6922"/>
    <w:rsid w:val="00DF6953"/>
    <w:rsid w:val="00DF698B"/>
    <w:rsid w:val="00DF6A3B"/>
    <w:rsid w:val="00DF6B09"/>
    <w:rsid w:val="00DF6B95"/>
    <w:rsid w:val="00DF6B97"/>
    <w:rsid w:val="00DF6BC0"/>
    <w:rsid w:val="00DF6CE6"/>
    <w:rsid w:val="00DF6CEC"/>
    <w:rsid w:val="00DF6D22"/>
    <w:rsid w:val="00DF6D53"/>
    <w:rsid w:val="00DF6D6B"/>
    <w:rsid w:val="00DF6F75"/>
    <w:rsid w:val="00DF6FCA"/>
    <w:rsid w:val="00DF7012"/>
    <w:rsid w:val="00DF702F"/>
    <w:rsid w:val="00DF7043"/>
    <w:rsid w:val="00DF7233"/>
    <w:rsid w:val="00DF7291"/>
    <w:rsid w:val="00DF72D9"/>
    <w:rsid w:val="00DF7327"/>
    <w:rsid w:val="00DF74F0"/>
    <w:rsid w:val="00DF75CD"/>
    <w:rsid w:val="00DF75FC"/>
    <w:rsid w:val="00DF75FD"/>
    <w:rsid w:val="00DF763B"/>
    <w:rsid w:val="00DF7704"/>
    <w:rsid w:val="00DF7758"/>
    <w:rsid w:val="00DF77B3"/>
    <w:rsid w:val="00DF7819"/>
    <w:rsid w:val="00DF7848"/>
    <w:rsid w:val="00DF78CA"/>
    <w:rsid w:val="00DF78CC"/>
    <w:rsid w:val="00DF7A04"/>
    <w:rsid w:val="00DF7AD2"/>
    <w:rsid w:val="00DF7C2C"/>
    <w:rsid w:val="00DF7C35"/>
    <w:rsid w:val="00DF7CC5"/>
    <w:rsid w:val="00DF7D57"/>
    <w:rsid w:val="00DF7D8D"/>
    <w:rsid w:val="00DF7E78"/>
    <w:rsid w:val="00DF7EC3"/>
    <w:rsid w:val="00DF7F41"/>
    <w:rsid w:val="00DF7F9C"/>
    <w:rsid w:val="00E00010"/>
    <w:rsid w:val="00E00013"/>
    <w:rsid w:val="00E0004F"/>
    <w:rsid w:val="00E00094"/>
    <w:rsid w:val="00E00101"/>
    <w:rsid w:val="00E0013A"/>
    <w:rsid w:val="00E001DE"/>
    <w:rsid w:val="00E00244"/>
    <w:rsid w:val="00E00290"/>
    <w:rsid w:val="00E00313"/>
    <w:rsid w:val="00E00337"/>
    <w:rsid w:val="00E00347"/>
    <w:rsid w:val="00E00396"/>
    <w:rsid w:val="00E0040E"/>
    <w:rsid w:val="00E00416"/>
    <w:rsid w:val="00E0042F"/>
    <w:rsid w:val="00E00463"/>
    <w:rsid w:val="00E004F0"/>
    <w:rsid w:val="00E00670"/>
    <w:rsid w:val="00E00736"/>
    <w:rsid w:val="00E0077A"/>
    <w:rsid w:val="00E007F8"/>
    <w:rsid w:val="00E00897"/>
    <w:rsid w:val="00E00930"/>
    <w:rsid w:val="00E00996"/>
    <w:rsid w:val="00E009CE"/>
    <w:rsid w:val="00E00A61"/>
    <w:rsid w:val="00E00A6D"/>
    <w:rsid w:val="00E00A93"/>
    <w:rsid w:val="00E00AF4"/>
    <w:rsid w:val="00E00C04"/>
    <w:rsid w:val="00E00CDB"/>
    <w:rsid w:val="00E00CDD"/>
    <w:rsid w:val="00E00CE2"/>
    <w:rsid w:val="00E00D82"/>
    <w:rsid w:val="00E00DDD"/>
    <w:rsid w:val="00E00EC4"/>
    <w:rsid w:val="00E00F15"/>
    <w:rsid w:val="00E00FFF"/>
    <w:rsid w:val="00E010CD"/>
    <w:rsid w:val="00E0111A"/>
    <w:rsid w:val="00E011F0"/>
    <w:rsid w:val="00E01218"/>
    <w:rsid w:val="00E0125D"/>
    <w:rsid w:val="00E01314"/>
    <w:rsid w:val="00E013B4"/>
    <w:rsid w:val="00E013BD"/>
    <w:rsid w:val="00E0141B"/>
    <w:rsid w:val="00E0157F"/>
    <w:rsid w:val="00E015B7"/>
    <w:rsid w:val="00E015CD"/>
    <w:rsid w:val="00E016A8"/>
    <w:rsid w:val="00E016E5"/>
    <w:rsid w:val="00E01767"/>
    <w:rsid w:val="00E017D0"/>
    <w:rsid w:val="00E017D9"/>
    <w:rsid w:val="00E01806"/>
    <w:rsid w:val="00E01811"/>
    <w:rsid w:val="00E0185D"/>
    <w:rsid w:val="00E01867"/>
    <w:rsid w:val="00E01898"/>
    <w:rsid w:val="00E0195D"/>
    <w:rsid w:val="00E019A4"/>
    <w:rsid w:val="00E019CC"/>
    <w:rsid w:val="00E01A5D"/>
    <w:rsid w:val="00E01A65"/>
    <w:rsid w:val="00E01B03"/>
    <w:rsid w:val="00E01BB0"/>
    <w:rsid w:val="00E01C06"/>
    <w:rsid w:val="00E01C38"/>
    <w:rsid w:val="00E01C53"/>
    <w:rsid w:val="00E01C57"/>
    <w:rsid w:val="00E01CBF"/>
    <w:rsid w:val="00E01CE9"/>
    <w:rsid w:val="00E01CF5"/>
    <w:rsid w:val="00E01D0A"/>
    <w:rsid w:val="00E01D1A"/>
    <w:rsid w:val="00E01DAE"/>
    <w:rsid w:val="00E01DE5"/>
    <w:rsid w:val="00E01EE3"/>
    <w:rsid w:val="00E01F9B"/>
    <w:rsid w:val="00E0200C"/>
    <w:rsid w:val="00E02099"/>
    <w:rsid w:val="00E02149"/>
    <w:rsid w:val="00E0219B"/>
    <w:rsid w:val="00E022B6"/>
    <w:rsid w:val="00E02356"/>
    <w:rsid w:val="00E02397"/>
    <w:rsid w:val="00E023BD"/>
    <w:rsid w:val="00E0246C"/>
    <w:rsid w:val="00E02477"/>
    <w:rsid w:val="00E025FD"/>
    <w:rsid w:val="00E02632"/>
    <w:rsid w:val="00E0268C"/>
    <w:rsid w:val="00E02717"/>
    <w:rsid w:val="00E02725"/>
    <w:rsid w:val="00E0273A"/>
    <w:rsid w:val="00E02763"/>
    <w:rsid w:val="00E02777"/>
    <w:rsid w:val="00E027B1"/>
    <w:rsid w:val="00E027C5"/>
    <w:rsid w:val="00E027F3"/>
    <w:rsid w:val="00E02833"/>
    <w:rsid w:val="00E0287E"/>
    <w:rsid w:val="00E02996"/>
    <w:rsid w:val="00E02B54"/>
    <w:rsid w:val="00E02BA1"/>
    <w:rsid w:val="00E02C19"/>
    <w:rsid w:val="00E02C7C"/>
    <w:rsid w:val="00E02CA1"/>
    <w:rsid w:val="00E02CB9"/>
    <w:rsid w:val="00E02CFA"/>
    <w:rsid w:val="00E02D0E"/>
    <w:rsid w:val="00E02D89"/>
    <w:rsid w:val="00E02DAA"/>
    <w:rsid w:val="00E02DC9"/>
    <w:rsid w:val="00E02E17"/>
    <w:rsid w:val="00E02E47"/>
    <w:rsid w:val="00E02E87"/>
    <w:rsid w:val="00E02E8D"/>
    <w:rsid w:val="00E02F09"/>
    <w:rsid w:val="00E02F1F"/>
    <w:rsid w:val="00E02F28"/>
    <w:rsid w:val="00E02F5D"/>
    <w:rsid w:val="00E02F98"/>
    <w:rsid w:val="00E02FFF"/>
    <w:rsid w:val="00E0306A"/>
    <w:rsid w:val="00E03079"/>
    <w:rsid w:val="00E030C2"/>
    <w:rsid w:val="00E0311B"/>
    <w:rsid w:val="00E03157"/>
    <w:rsid w:val="00E031EB"/>
    <w:rsid w:val="00E03224"/>
    <w:rsid w:val="00E0323C"/>
    <w:rsid w:val="00E0326F"/>
    <w:rsid w:val="00E0329D"/>
    <w:rsid w:val="00E03356"/>
    <w:rsid w:val="00E033A4"/>
    <w:rsid w:val="00E033E5"/>
    <w:rsid w:val="00E03429"/>
    <w:rsid w:val="00E03483"/>
    <w:rsid w:val="00E03592"/>
    <w:rsid w:val="00E03593"/>
    <w:rsid w:val="00E03620"/>
    <w:rsid w:val="00E03678"/>
    <w:rsid w:val="00E0369C"/>
    <w:rsid w:val="00E037F1"/>
    <w:rsid w:val="00E037F9"/>
    <w:rsid w:val="00E03873"/>
    <w:rsid w:val="00E0388A"/>
    <w:rsid w:val="00E038D2"/>
    <w:rsid w:val="00E039ED"/>
    <w:rsid w:val="00E03A5B"/>
    <w:rsid w:val="00E03BAC"/>
    <w:rsid w:val="00E03BC6"/>
    <w:rsid w:val="00E03BE2"/>
    <w:rsid w:val="00E03C30"/>
    <w:rsid w:val="00E03C38"/>
    <w:rsid w:val="00E03DBA"/>
    <w:rsid w:val="00E03E31"/>
    <w:rsid w:val="00E03E53"/>
    <w:rsid w:val="00E03E57"/>
    <w:rsid w:val="00E03E6C"/>
    <w:rsid w:val="00E03E95"/>
    <w:rsid w:val="00E03EC7"/>
    <w:rsid w:val="00E03F5E"/>
    <w:rsid w:val="00E03F98"/>
    <w:rsid w:val="00E03FF9"/>
    <w:rsid w:val="00E04097"/>
    <w:rsid w:val="00E0412E"/>
    <w:rsid w:val="00E041C1"/>
    <w:rsid w:val="00E041C4"/>
    <w:rsid w:val="00E041DF"/>
    <w:rsid w:val="00E0427B"/>
    <w:rsid w:val="00E0436E"/>
    <w:rsid w:val="00E044A9"/>
    <w:rsid w:val="00E0453D"/>
    <w:rsid w:val="00E04549"/>
    <w:rsid w:val="00E045FA"/>
    <w:rsid w:val="00E04669"/>
    <w:rsid w:val="00E04712"/>
    <w:rsid w:val="00E047A5"/>
    <w:rsid w:val="00E047CB"/>
    <w:rsid w:val="00E04843"/>
    <w:rsid w:val="00E04884"/>
    <w:rsid w:val="00E048C0"/>
    <w:rsid w:val="00E04957"/>
    <w:rsid w:val="00E0499F"/>
    <w:rsid w:val="00E04A4F"/>
    <w:rsid w:val="00E04A80"/>
    <w:rsid w:val="00E04AAE"/>
    <w:rsid w:val="00E04B67"/>
    <w:rsid w:val="00E04C4C"/>
    <w:rsid w:val="00E04CCF"/>
    <w:rsid w:val="00E04D9D"/>
    <w:rsid w:val="00E04E2F"/>
    <w:rsid w:val="00E04EA2"/>
    <w:rsid w:val="00E04EBE"/>
    <w:rsid w:val="00E04EDF"/>
    <w:rsid w:val="00E04F0D"/>
    <w:rsid w:val="00E04F4D"/>
    <w:rsid w:val="00E04F98"/>
    <w:rsid w:val="00E04FD9"/>
    <w:rsid w:val="00E05053"/>
    <w:rsid w:val="00E050FB"/>
    <w:rsid w:val="00E050FD"/>
    <w:rsid w:val="00E0517E"/>
    <w:rsid w:val="00E0518A"/>
    <w:rsid w:val="00E0521F"/>
    <w:rsid w:val="00E052D6"/>
    <w:rsid w:val="00E05526"/>
    <w:rsid w:val="00E05559"/>
    <w:rsid w:val="00E055A9"/>
    <w:rsid w:val="00E05657"/>
    <w:rsid w:val="00E0566E"/>
    <w:rsid w:val="00E05716"/>
    <w:rsid w:val="00E05754"/>
    <w:rsid w:val="00E05831"/>
    <w:rsid w:val="00E05848"/>
    <w:rsid w:val="00E0587C"/>
    <w:rsid w:val="00E05894"/>
    <w:rsid w:val="00E05952"/>
    <w:rsid w:val="00E05957"/>
    <w:rsid w:val="00E059CC"/>
    <w:rsid w:val="00E05A4F"/>
    <w:rsid w:val="00E05AE4"/>
    <w:rsid w:val="00E05AEA"/>
    <w:rsid w:val="00E05AED"/>
    <w:rsid w:val="00E05B93"/>
    <w:rsid w:val="00E05B98"/>
    <w:rsid w:val="00E05BD8"/>
    <w:rsid w:val="00E05C2A"/>
    <w:rsid w:val="00E05C60"/>
    <w:rsid w:val="00E05CA5"/>
    <w:rsid w:val="00E05CB9"/>
    <w:rsid w:val="00E05CD0"/>
    <w:rsid w:val="00E05DD4"/>
    <w:rsid w:val="00E05DEB"/>
    <w:rsid w:val="00E05E61"/>
    <w:rsid w:val="00E05EA5"/>
    <w:rsid w:val="00E05EBF"/>
    <w:rsid w:val="00E05EEB"/>
    <w:rsid w:val="00E05F2B"/>
    <w:rsid w:val="00E05F32"/>
    <w:rsid w:val="00E05F43"/>
    <w:rsid w:val="00E05F8C"/>
    <w:rsid w:val="00E05FA6"/>
    <w:rsid w:val="00E0603E"/>
    <w:rsid w:val="00E060C4"/>
    <w:rsid w:val="00E06134"/>
    <w:rsid w:val="00E06155"/>
    <w:rsid w:val="00E06241"/>
    <w:rsid w:val="00E0625B"/>
    <w:rsid w:val="00E06377"/>
    <w:rsid w:val="00E064EA"/>
    <w:rsid w:val="00E06576"/>
    <w:rsid w:val="00E065D6"/>
    <w:rsid w:val="00E065ED"/>
    <w:rsid w:val="00E06608"/>
    <w:rsid w:val="00E06664"/>
    <w:rsid w:val="00E06670"/>
    <w:rsid w:val="00E066EC"/>
    <w:rsid w:val="00E06724"/>
    <w:rsid w:val="00E06753"/>
    <w:rsid w:val="00E067F2"/>
    <w:rsid w:val="00E06835"/>
    <w:rsid w:val="00E06845"/>
    <w:rsid w:val="00E068B0"/>
    <w:rsid w:val="00E06924"/>
    <w:rsid w:val="00E0692D"/>
    <w:rsid w:val="00E0694A"/>
    <w:rsid w:val="00E0694B"/>
    <w:rsid w:val="00E069AF"/>
    <w:rsid w:val="00E069B5"/>
    <w:rsid w:val="00E069FD"/>
    <w:rsid w:val="00E06A45"/>
    <w:rsid w:val="00E06AA9"/>
    <w:rsid w:val="00E06ABD"/>
    <w:rsid w:val="00E06BE2"/>
    <w:rsid w:val="00E06C5F"/>
    <w:rsid w:val="00E06E0E"/>
    <w:rsid w:val="00E06E14"/>
    <w:rsid w:val="00E06EE0"/>
    <w:rsid w:val="00E06EEE"/>
    <w:rsid w:val="00E06F4F"/>
    <w:rsid w:val="00E06FDE"/>
    <w:rsid w:val="00E070D2"/>
    <w:rsid w:val="00E0711F"/>
    <w:rsid w:val="00E07156"/>
    <w:rsid w:val="00E0719D"/>
    <w:rsid w:val="00E071E6"/>
    <w:rsid w:val="00E07207"/>
    <w:rsid w:val="00E07284"/>
    <w:rsid w:val="00E07318"/>
    <w:rsid w:val="00E07382"/>
    <w:rsid w:val="00E073AC"/>
    <w:rsid w:val="00E073DD"/>
    <w:rsid w:val="00E0740A"/>
    <w:rsid w:val="00E0744F"/>
    <w:rsid w:val="00E07529"/>
    <w:rsid w:val="00E0754D"/>
    <w:rsid w:val="00E0758D"/>
    <w:rsid w:val="00E07641"/>
    <w:rsid w:val="00E0766E"/>
    <w:rsid w:val="00E076F7"/>
    <w:rsid w:val="00E0773A"/>
    <w:rsid w:val="00E077C1"/>
    <w:rsid w:val="00E077FA"/>
    <w:rsid w:val="00E0782D"/>
    <w:rsid w:val="00E0783E"/>
    <w:rsid w:val="00E07995"/>
    <w:rsid w:val="00E079AC"/>
    <w:rsid w:val="00E079CC"/>
    <w:rsid w:val="00E07ABE"/>
    <w:rsid w:val="00E07C1A"/>
    <w:rsid w:val="00E07C7D"/>
    <w:rsid w:val="00E07C90"/>
    <w:rsid w:val="00E07D1D"/>
    <w:rsid w:val="00E07D2A"/>
    <w:rsid w:val="00E07D2C"/>
    <w:rsid w:val="00E07D54"/>
    <w:rsid w:val="00E07DB6"/>
    <w:rsid w:val="00E07E80"/>
    <w:rsid w:val="00E07E87"/>
    <w:rsid w:val="00E07E95"/>
    <w:rsid w:val="00E07ECA"/>
    <w:rsid w:val="00E07ED5"/>
    <w:rsid w:val="00E07FA1"/>
    <w:rsid w:val="00E100AA"/>
    <w:rsid w:val="00E101C5"/>
    <w:rsid w:val="00E1021E"/>
    <w:rsid w:val="00E10304"/>
    <w:rsid w:val="00E10505"/>
    <w:rsid w:val="00E10563"/>
    <w:rsid w:val="00E105E3"/>
    <w:rsid w:val="00E1063C"/>
    <w:rsid w:val="00E1064A"/>
    <w:rsid w:val="00E106E0"/>
    <w:rsid w:val="00E10743"/>
    <w:rsid w:val="00E1088C"/>
    <w:rsid w:val="00E108CB"/>
    <w:rsid w:val="00E1094A"/>
    <w:rsid w:val="00E10959"/>
    <w:rsid w:val="00E10975"/>
    <w:rsid w:val="00E109D3"/>
    <w:rsid w:val="00E10A80"/>
    <w:rsid w:val="00E10A88"/>
    <w:rsid w:val="00E10A9C"/>
    <w:rsid w:val="00E10B2B"/>
    <w:rsid w:val="00E10BB6"/>
    <w:rsid w:val="00E10CAA"/>
    <w:rsid w:val="00E10CC6"/>
    <w:rsid w:val="00E10D13"/>
    <w:rsid w:val="00E10D39"/>
    <w:rsid w:val="00E10D62"/>
    <w:rsid w:val="00E10DC3"/>
    <w:rsid w:val="00E10E4A"/>
    <w:rsid w:val="00E10EB1"/>
    <w:rsid w:val="00E1109F"/>
    <w:rsid w:val="00E110F9"/>
    <w:rsid w:val="00E1112B"/>
    <w:rsid w:val="00E111A0"/>
    <w:rsid w:val="00E11229"/>
    <w:rsid w:val="00E11236"/>
    <w:rsid w:val="00E11268"/>
    <w:rsid w:val="00E11271"/>
    <w:rsid w:val="00E112B8"/>
    <w:rsid w:val="00E11364"/>
    <w:rsid w:val="00E113C9"/>
    <w:rsid w:val="00E113EB"/>
    <w:rsid w:val="00E1146C"/>
    <w:rsid w:val="00E1146F"/>
    <w:rsid w:val="00E1149C"/>
    <w:rsid w:val="00E11563"/>
    <w:rsid w:val="00E115FC"/>
    <w:rsid w:val="00E11623"/>
    <w:rsid w:val="00E11641"/>
    <w:rsid w:val="00E116B7"/>
    <w:rsid w:val="00E116CC"/>
    <w:rsid w:val="00E116D3"/>
    <w:rsid w:val="00E11781"/>
    <w:rsid w:val="00E117B4"/>
    <w:rsid w:val="00E11810"/>
    <w:rsid w:val="00E1182F"/>
    <w:rsid w:val="00E11955"/>
    <w:rsid w:val="00E1199E"/>
    <w:rsid w:val="00E119D4"/>
    <w:rsid w:val="00E119E8"/>
    <w:rsid w:val="00E11A03"/>
    <w:rsid w:val="00E11A39"/>
    <w:rsid w:val="00E11B0C"/>
    <w:rsid w:val="00E11B24"/>
    <w:rsid w:val="00E11B47"/>
    <w:rsid w:val="00E11B4C"/>
    <w:rsid w:val="00E11B71"/>
    <w:rsid w:val="00E11C45"/>
    <w:rsid w:val="00E11CE8"/>
    <w:rsid w:val="00E11D7E"/>
    <w:rsid w:val="00E11E06"/>
    <w:rsid w:val="00E11E3A"/>
    <w:rsid w:val="00E11E4A"/>
    <w:rsid w:val="00E11EFC"/>
    <w:rsid w:val="00E11EFD"/>
    <w:rsid w:val="00E11F5E"/>
    <w:rsid w:val="00E11F80"/>
    <w:rsid w:val="00E11FBA"/>
    <w:rsid w:val="00E12012"/>
    <w:rsid w:val="00E120B8"/>
    <w:rsid w:val="00E12102"/>
    <w:rsid w:val="00E121EE"/>
    <w:rsid w:val="00E12220"/>
    <w:rsid w:val="00E12234"/>
    <w:rsid w:val="00E122AD"/>
    <w:rsid w:val="00E122CC"/>
    <w:rsid w:val="00E122F2"/>
    <w:rsid w:val="00E12322"/>
    <w:rsid w:val="00E12387"/>
    <w:rsid w:val="00E123A9"/>
    <w:rsid w:val="00E123D9"/>
    <w:rsid w:val="00E12412"/>
    <w:rsid w:val="00E12426"/>
    <w:rsid w:val="00E1249D"/>
    <w:rsid w:val="00E124AA"/>
    <w:rsid w:val="00E12512"/>
    <w:rsid w:val="00E12533"/>
    <w:rsid w:val="00E12568"/>
    <w:rsid w:val="00E1257A"/>
    <w:rsid w:val="00E126AB"/>
    <w:rsid w:val="00E12713"/>
    <w:rsid w:val="00E12716"/>
    <w:rsid w:val="00E1274F"/>
    <w:rsid w:val="00E12766"/>
    <w:rsid w:val="00E12775"/>
    <w:rsid w:val="00E127B2"/>
    <w:rsid w:val="00E12804"/>
    <w:rsid w:val="00E12807"/>
    <w:rsid w:val="00E12859"/>
    <w:rsid w:val="00E128A5"/>
    <w:rsid w:val="00E128D4"/>
    <w:rsid w:val="00E12928"/>
    <w:rsid w:val="00E129D6"/>
    <w:rsid w:val="00E129F5"/>
    <w:rsid w:val="00E12A28"/>
    <w:rsid w:val="00E12A4C"/>
    <w:rsid w:val="00E12A81"/>
    <w:rsid w:val="00E12BC3"/>
    <w:rsid w:val="00E12BD5"/>
    <w:rsid w:val="00E12C02"/>
    <w:rsid w:val="00E12C90"/>
    <w:rsid w:val="00E12CB4"/>
    <w:rsid w:val="00E12D7B"/>
    <w:rsid w:val="00E12DF0"/>
    <w:rsid w:val="00E12E47"/>
    <w:rsid w:val="00E12F27"/>
    <w:rsid w:val="00E12F81"/>
    <w:rsid w:val="00E12F85"/>
    <w:rsid w:val="00E12F96"/>
    <w:rsid w:val="00E1300E"/>
    <w:rsid w:val="00E13059"/>
    <w:rsid w:val="00E13069"/>
    <w:rsid w:val="00E130A4"/>
    <w:rsid w:val="00E130D9"/>
    <w:rsid w:val="00E130FF"/>
    <w:rsid w:val="00E1310B"/>
    <w:rsid w:val="00E13169"/>
    <w:rsid w:val="00E13194"/>
    <w:rsid w:val="00E131B9"/>
    <w:rsid w:val="00E131F1"/>
    <w:rsid w:val="00E13282"/>
    <w:rsid w:val="00E1330E"/>
    <w:rsid w:val="00E1331E"/>
    <w:rsid w:val="00E133BD"/>
    <w:rsid w:val="00E133C2"/>
    <w:rsid w:val="00E133E7"/>
    <w:rsid w:val="00E13450"/>
    <w:rsid w:val="00E1351B"/>
    <w:rsid w:val="00E1356F"/>
    <w:rsid w:val="00E13580"/>
    <w:rsid w:val="00E135B5"/>
    <w:rsid w:val="00E135F5"/>
    <w:rsid w:val="00E13605"/>
    <w:rsid w:val="00E1362D"/>
    <w:rsid w:val="00E13636"/>
    <w:rsid w:val="00E1364D"/>
    <w:rsid w:val="00E136D2"/>
    <w:rsid w:val="00E13712"/>
    <w:rsid w:val="00E1375F"/>
    <w:rsid w:val="00E137AC"/>
    <w:rsid w:val="00E137CC"/>
    <w:rsid w:val="00E13936"/>
    <w:rsid w:val="00E13970"/>
    <w:rsid w:val="00E139EC"/>
    <w:rsid w:val="00E13AA7"/>
    <w:rsid w:val="00E13B42"/>
    <w:rsid w:val="00E13C42"/>
    <w:rsid w:val="00E13D28"/>
    <w:rsid w:val="00E13ECD"/>
    <w:rsid w:val="00E13EF0"/>
    <w:rsid w:val="00E13F57"/>
    <w:rsid w:val="00E13F6F"/>
    <w:rsid w:val="00E13FD9"/>
    <w:rsid w:val="00E14037"/>
    <w:rsid w:val="00E1403B"/>
    <w:rsid w:val="00E1406E"/>
    <w:rsid w:val="00E14075"/>
    <w:rsid w:val="00E1412E"/>
    <w:rsid w:val="00E141B5"/>
    <w:rsid w:val="00E141C0"/>
    <w:rsid w:val="00E14212"/>
    <w:rsid w:val="00E14252"/>
    <w:rsid w:val="00E14288"/>
    <w:rsid w:val="00E1428A"/>
    <w:rsid w:val="00E14369"/>
    <w:rsid w:val="00E14382"/>
    <w:rsid w:val="00E1438C"/>
    <w:rsid w:val="00E143AF"/>
    <w:rsid w:val="00E1449E"/>
    <w:rsid w:val="00E145D9"/>
    <w:rsid w:val="00E145EE"/>
    <w:rsid w:val="00E14609"/>
    <w:rsid w:val="00E1461A"/>
    <w:rsid w:val="00E14621"/>
    <w:rsid w:val="00E14712"/>
    <w:rsid w:val="00E14732"/>
    <w:rsid w:val="00E147C5"/>
    <w:rsid w:val="00E1495B"/>
    <w:rsid w:val="00E14A3D"/>
    <w:rsid w:val="00E14AC0"/>
    <w:rsid w:val="00E14AF4"/>
    <w:rsid w:val="00E14B03"/>
    <w:rsid w:val="00E14B90"/>
    <w:rsid w:val="00E14BA7"/>
    <w:rsid w:val="00E14D18"/>
    <w:rsid w:val="00E14D75"/>
    <w:rsid w:val="00E14E1A"/>
    <w:rsid w:val="00E14EBD"/>
    <w:rsid w:val="00E14F0F"/>
    <w:rsid w:val="00E14F6A"/>
    <w:rsid w:val="00E14F9F"/>
    <w:rsid w:val="00E14FA9"/>
    <w:rsid w:val="00E15000"/>
    <w:rsid w:val="00E15039"/>
    <w:rsid w:val="00E15161"/>
    <w:rsid w:val="00E1517A"/>
    <w:rsid w:val="00E151A2"/>
    <w:rsid w:val="00E1524D"/>
    <w:rsid w:val="00E15299"/>
    <w:rsid w:val="00E152F6"/>
    <w:rsid w:val="00E153ED"/>
    <w:rsid w:val="00E15470"/>
    <w:rsid w:val="00E154FD"/>
    <w:rsid w:val="00E1550E"/>
    <w:rsid w:val="00E1553C"/>
    <w:rsid w:val="00E155E3"/>
    <w:rsid w:val="00E1560D"/>
    <w:rsid w:val="00E1575A"/>
    <w:rsid w:val="00E15773"/>
    <w:rsid w:val="00E157BC"/>
    <w:rsid w:val="00E1595F"/>
    <w:rsid w:val="00E15976"/>
    <w:rsid w:val="00E159D8"/>
    <w:rsid w:val="00E15A2F"/>
    <w:rsid w:val="00E15A3D"/>
    <w:rsid w:val="00E15AA6"/>
    <w:rsid w:val="00E15ACA"/>
    <w:rsid w:val="00E15BFC"/>
    <w:rsid w:val="00E15CBB"/>
    <w:rsid w:val="00E15CCD"/>
    <w:rsid w:val="00E15D3F"/>
    <w:rsid w:val="00E15DCE"/>
    <w:rsid w:val="00E15DD1"/>
    <w:rsid w:val="00E15EF0"/>
    <w:rsid w:val="00E16038"/>
    <w:rsid w:val="00E160FC"/>
    <w:rsid w:val="00E16114"/>
    <w:rsid w:val="00E16143"/>
    <w:rsid w:val="00E16154"/>
    <w:rsid w:val="00E1616F"/>
    <w:rsid w:val="00E161C1"/>
    <w:rsid w:val="00E1627B"/>
    <w:rsid w:val="00E16293"/>
    <w:rsid w:val="00E162D4"/>
    <w:rsid w:val="00E162E5"/>
    <w:rsid w:val="00E162F4"/>
    <w:rsid w:val="00E16359"/>
    <w:rsid w:val="00E16371"/>
    <w:rsid w:val="00E163C6"/>
    <w:rsid w:val="00E1645B"/>
    <w:rsid w:val="00E1646B"/>
    <w:rsid w:val="00E1647D"/>
    <w:rsid w:val="00E164C3"/>
    <w:rsid w:val="00E165CB"/>
    <w:rsid w:val="00E16628"/>
    <w:rsid w:val="00E166A6"/>
    <w:rsid w:val="00E16733"/>
    <w:rsid w:val="00E1674A"/>
    <w:rsid w:val="00E1677A"/>
    <w:rsid w:val="00E1679A"/>
    <w:rsid w:val="00E1686B"/>
    <w:rsid w:val="00E1690B"/>
    <w:rsid w:val="00E16994"/>
    <w:rsid w:val="00E16A21"/>
    <w:rsid w:val="00E16A62"/>
    <w:rsid w:val="00E16A88"/>
    <w:rsid w:val="00E16B60"/>
    <w:rsid w:val="00E16B6C"/>
    <w:rsid w:val="00E16B89"/>
    <w:rsid w:val="00E16BEA"/>
    <w:rsid w:val="00E16CD5"/>
    <w:rsid w:val="00E16D0D"/>
    <w:rsid w:val="00E16D20"/>
    <w:rsid w:val="00E16D75"/>
    <w:rsid w:val="00E16DB4"/>
    <w:rsid w:val="00E16DDC"/>
    <w:rsid w:val="00E16E2B"/>
    <w:rsid w:val="00E16EA8"/>
    <w:rsid w:val="00E16EBE"/>
    <w:rsid w:val="00E16EC6"/>
    <w:rsid w:val="00E16ECE"/>
    <w:rsid w:val="00E16F68"/>
    <w:rsid w:val="00E17023"/>
    <w:rsid w:val="00E17025"/>
    <w:rsid w:val="00E1703B"/>
    <w:rsid w:val="00E1704D"/>
    <w:rsid w:val="00E1706C"/>
    <w:rsid w:val="00E1714C"/>
    <w:rsid w:val="00E171C5"/>
    <w:rsid w:val="00E171E1"/>
    <w:rsid w:val="00E172C2"/>
    <w:rsid w:val="00E17309"/>
    <w:rsid w:val="00E173B0"/>
    <w:rsid w:val="00E173BE"/>
    <w:rsid w:val="00E173D6"/>
    <w:rsid w:val="00E1745D"/>
    <w:rsid w:val="00E17475"/>
    <w:rsid w:val="00E174AA"/>
    <w:rsid w:val="00E174C7"/>
    <w:rsid w:val="00E174FB"/>
    <w:rsid w:val="00E1751A"/>
    <w:rsid w:val="00E17570"/>
    <w:rsid w:val="00E175B6"/>
    <w:rsid w:val="00E175C4"/>
    <w:rsid w:val="00E176E1"/>
    <w:rsid w:val="00E17761"/>
    <w:rsid w:val="00E1779B"/>
    <w:rsid w:val="00E177A0"/>
    <w:rsid w:val="00E177F7"/>
    <w:rsid w:val="00E17800"/>
    <w:rsid w:val="00E17810"/>
    <w:rsid w:val="00E1796A"/>
    <w:rsid w:val="00E17987"/>
    <w:rsid w:val="00E17A3A"/>
    <w:rsid w:val="00E17B3C"/>
    <w:rsid w:val="00E17C08"/>
    <w:rsid w:val="00E17CC4"/>
    <w:rsid w:val="00E17D0B"/>
    <w:rsid w:val="00E17D90"/>
    <w:rsid w:val="00E17DC7"/>
    <w:rsid w:val="00E17E6C"/>
    <w:rsid w:val="00E17EB6"/>
    <w:rsid w:val="00E17F64"/>
    <w:rsid w:val="00E17FE1"/>
    <w:rsid w:val="00E20024"/>
    <w:rsid w:val="00E2012D"/>
    <w:rsid w:val="00E20145"/>
    <w:rsid w:val="00E201A3"/>
    <w:rsid w:val="00E201D2"/>
    <w:rsid w:val="00E20292"/>
    <w:rsid w:val="00E2029C"/>
    <w:rsid w:val="00E2032C"/>
    <w:rsid w:val="00E20371"/>
    <w:rsid w:val="00E20389"/>
    <w:rsid w:val="00E2038B"/>
    <w:rsid w:val="00E203AF"/>
    <w:rsid w:val="00E20442"/>
    <w:rsid w:val="00E2046C"/>
    <w:rsid w:val="00E20532"/>
    <w:rsid w:val="00E20561"/>
    <w:rsid w:val="00E2061E"/>
    <w:rsid w:val="00E206A8"/>
    <w:rsid w:val="00E206AC"/>
    <w:rsid w:val="00E20722"/>
    <w:rsid w:val="00E20729"/>
    <w:rsid w:val="00E2073F"/>
    <w:rsid w:val="00E20753"/>
    <w:rsid w:val="00E20767"/>
    <w:rsid w:val="00E207A2"/>
    <w:rsid w:val="00E207D2"/>
    <w:rsid w:val="00E207D3"/>
    <w:rsid w:val="00E207F0"/>
    <w:rsid w:val="00E20821"/>
    <w:rsid w:val="00E20878"/>
    <w:rsid w:val="00E2088B"/>
    <w:rsid w:val="00E20926"/>
    <w:rsid w:val="00E20974"/>
    <w:rsid w:val="00E209B2"/>
    <w:rsid w:val="00E20A00"/>
    <w:rsid w:val="00E20A30"/>
    <w:rsid w:val="00E20A6A"/>
    <w:rsid w:val="00E20B5F"/>
    <w:rsid w:val="00E20B63"/>
    <w:rsid w:val="00E20B9C"/>
    <w:rsid w:val="00E20C23"/>
    <w:rsid w:val="00E20C7F"/>
    <w:rsid w:val="00E20D13"/>
    <w:rsid w:val="00E20D7D"/>
    <w:rsid w:val="00E20E68"/>
    <w:rsid w:val="00E20F36"/>
    <w:rsid w:val="00E21068"/>
    <w:rsid w:val="00E2106E"/>
    <w:rsid w:val="00E210C5"/>
    <w:rsid w:val="00E21100"/>
    <w:rsid w:val="00E2111D"/>
    <w:rsid w:val="00E21284"/>
    <w:rsid w:val="00E21385"/>
    <w:rsid w:val="00E213BE"/>
    <w:rsid w:val="00E213D7"/>
    <w:rsid w:val="00E213F8"/>
    <w:rsid w:val="00E21448"/>
    <w:rsid w:val="00E21480"/>
    <w:rsid w:val="00E214E5"/>
    <w:rsid w:val="00E21542"/>
    <w:rsid w:val="00E21587"/>
    <w:rsid w:val="00E2159D"/>
    <w:rsid w:val="00E21606"/>
    <w:rsid w:val="00E2160D"/>
    <w:rsid w:val="00E2162E"/>
    <w:rsid w:val="00E21666"/>
    <w:rsid w:val="00E2172A"/>
    <w:rsid w:val="00E2176B"/>
    <w:rsid w:val="00E217C9"/>
    <w:rsid w:val="00E217CC"/>
    <w:rsid w:val="00E218BD"/>
    <w:rsid w:val="00E2195E"/>
    <w:rsid w:val="00E21970"/>
    <w:rsid w:val="00E21973"/>
    <w:rsid w:val="00E2198C"/>
    <w:rsid w:val="00E21A09"/>
    <w:rsid w:val="00E21A0F"/>
    <w:rsid w:val="00E21C45"/>
    <w:rsid w:val="00E21C66"/>
    <w:rsid w:val="00E21CE3"/>
    <w:rsid w:val="00E21DA5"/>
    <w:rsid w:val="00E21DB5"/>
    <w:rsid w:val="00E21DC5"/>
    <w:rsid w:val="00E21DD6"/>
    <w:rsid w:val="00E21E1F"/>
    <w:rsid w:val="00E21E34"/>
    <w:rsid w:val="00E21E59"/>
    <w:rsid w:val="00E21E86"/>
    <w:rsid w:val="00E21F08"/>
    <w:rsid w:val="00E21F0A"/>
    <w:rsid w:val="00E21F52"/>
    <w:rsid w:val="00E21FAC"/>
    <w:rsid w:val="00E2203C"/>
    <w:rsid w:val="00E22049"/>
    <w:rsid w:val="00E22058"/>
    <w:rsid w:val="00E22096"/>
    <w:rsid w:val="00E22110"/>
    <w:rsid w:val="00E22195"/>
    <w:rsid w:val="00E221A3"/>
    <w:rsid w:val="00E221D5"/>
    <w:rsid w:val="00E22280"/>
    <w:rsid w:val="00E22299"/>
    <w:rsid w:val="00E22358"/>
    <w:rsid w:val="00E22388"/>
    <w:rsid w:val="00E22398"/>
    <w:rsid w:val="00E22405"/>
    <w:rsid w:val="00E2248F"/>
    <w:rsid w:val="00E22581"/>
    <w:rsid w:val="00E2259C"/>
    <w:rsid w:val="00E225A2"/>
    <w:rsid w:val="00E225E2"/>
    <w:rsid w:val="00E225EB"/>
    <w:rsid w:val="00E22645"/>
    <w:rsid w:val="00E22673"/>
    <w:rsid w:val="00E226A1"/>
    <w:rsid w:val="00E2274B"/>
    <w:rsid w:val="00E22773"/>
    <w:rsid w:val="00E228B5"/>
    <w:rsid w:val="00E22969"/>
    <w:rsid w:val="00E22B6A"/>
    <w:rsid w:val="00E22BD3"/>
    <w:rsid w:val="00E22C01"/>
    <w:rsid w:val="00E22C53"/>
    <w:rsid w:val="00E22C78"/>
    <w:rsid w:val="00E22D59"/>
    <w:rsid w:val="00E22D8F"/>
    <w:rsid w:val="00E22DBB"/>
    <w:rsid w:val="00E22E0A"/>
    <w:rsid w:val="00E22E20"/>
    <w:rsid w:val="00E22F35"/>
    <w:rsid w:val="00E22FD8"/>
    <w:rsid w:val="00E2306D"/>
    <w:rsid w:val="00E230AC"/>
    <w:rsid w:val="00E23165"/>
    <w:rsid w:val="00E2321F"/>
    <w:rsid w:val="00E232CD"/>
    <w:rsid w:val="00E2333F"/>
    <w:rsid w:val="00E233B5"/>
    <w:rsid w:val="00E2349E"/>
    <w:rsid w:val="00E234BF"/>
    <w:rsid w:val="00E2353E"/>
    <w:rsid w:val="00E2358C"/>
    <w:rsid w:val="00E2366F"/>
    <w:rsid w:val="00E23676"/>
    <w:rsid w:val="00E236CA"/>
    <w:rsid w:val="00E2379E"/>
    <w:rsid w:val="00E237AD"/>
    <w:rsid w:val="00E237BA"/>
    <w:rsid w:val="00E237C7"/>
    <w:rsid w:val="00E237CE"/>
    <w:rsid w:val="00E238DB"/>
    <w:rsid w:val="00E238F8"/>
    <w:rsid w:val="00E23A08"/>
    <w:rsid w:val="00E23A0E"/>
    <w:rsid w:val="00E23AB5"/>
    <w:rsid w:val="00E23BBF"/>
    <w:rsid w:val="00E23BC3"/>
    <w:rsid w:val="00E23C16"/>
    <w:rsid w:val="00E23C54"/>
    <w:rsid w:val="00E23CA5"/>
    <w:rsid w:val="00E23CBB"/>
    <w:rsid w:val="00E23CE6"/>
    <w:rsid w:val="00E23D35"/>
    <w:rsid w:val="00E23DBA"/>
    <w:rsid w:val="00E23DCF"/>
    <w:rsid w:val="00E23F9F"/>
    <w:rsid w:val="00E23FF5"/>
    <w:rsid w:val="00E24055"/>
    <w:rsid w:val="00E24058"/>
    <w:rsid w:val="00E24079"/>
    <w:rsid w:val="00E2407F"/>
    <w:rsid w:val="00E24093"/>
    <w:rsid w:val="00E240AA"/>
    <w:rsid w:val="00E2412F"/>
    <w:rsid w:val="00E24131"/>
    <w:rsid w:val="00E241F8"/>
    <w:rsid w:val="00E24355"/>
    <w:rsid w:val="00E2447F"/>
    <w:rsid w:val="00E24482"/>
    <w:rsid w:val="00E24608"/>
    <w:rsid w:val="00E2460E"/>
    <w:rsid w:val="00E24637"/>
    <w:rsid w:val="00E24643"/>
    <w:rsid w:val="00E246DE"/>
    <w:rsid w:val="00E246F0"/>
    <w:rsid w:val="00E24762"/>
    <w:rsid w:val="00E247ED"/>
    <w:rsid w:val="00E24820"/>
    <w:rsid w:val="00E248A8"/>
    <w:rsid w:val="00E248CF"/>
    <w:rsid w:val="00E248E3"/>
    <w:rsid w:val="00E248FF"/>
    <w:rsid w:val="00E24910"/>
    <w:rsid w:val="00E24956"/>
    <w:rsid w:val="00E24998"/>
    <w:rsid w:val="00E24999"/>
    <w:rsid w:val="00E24AC0"/>
    <w:rsid w:val="00E24BF1"/>
    <w:rsid w:val="00E24C35"/>
    <w:rsid w:val="00E24CA6"/>
    <w:rsid w:val="00E24D3B"/>
    <w:rsid w:val="00E24DC5"/>
    <w:rsid w:val="00E24E02"/>
    <w:rsid w:val="00E24E90"/>
    <w:rsid w:val="00E24E97"/>
    <w:rsid w:val="00E24F2E"/>
    <w:rsid w:val="00E24F32"/>
    <w:rsid w:val="00E24F74"/>
    <w:rsid w:val="00E24F89"/>
    <w:rsid w:val="00E24FB6"/>
    <w:rsid w:val="00E24FCA"/>
    <w:rsid w:val="00E24FEE"/>
    <w:rsid w:val="00E25017"/>
    <w:rsid w:val="00E251B6"/>
    <w:rsid w:val="00E2524D"/>
    <w:rsid w:val="00E2525D"/>
    <w:rsid w:val="00E25319"/>
    <w:rsid w:val="00E25349"/>
    <w:rsid w:val="00E25352"/>
    <w:rsid w:val="00E2537D"/>
    <w:rsid w:val="00E25456"/>
    <w:rsid w:val="00E25474"/>
    <w:rsid w:val="00E25486"/>
    <w:rsid w:val="00E254D9"/>
    <w:rsid w:val="00E25510"/>
    <w:rsid w:val="00E25527"/>
    <w:rsid w:val="00E255AE"/>
    <w:rsid w:val="00E255D4"/>
    <w:rsid w:val="00E25611"/>
    <w:rsid w:val="00E2561A"/>
    <w:rsid w:val="00E256C3"/>
    <w:rsid w:val="00E25722"/>
    <w:rsid w:val="00E2576A"/>
    <w:rsid w:val="00E25772"/>
    <w:rsid w:val="00E25776"/>
    <w:rsid w:val="00E2580C"/>
    <w:rsid w:val="00E25864"/>
    <w:rsid w:val="00E258FA"/>
    <w:rsid w:val="00E25950"/>
    <w:rsid w:val="00E259B8"/>
    <w:rsid w:val="00E25AF9"/>
    <w:rsid w:val="00E25B1A"/>
    <w:rsid w:val="00E25BB8"/>
    <w:rsid w:val="00E25BDA"/>
    <w:rsid w:val="00E25BE4"/>
    <w:rsid w:val="00E25C40"/>
    <w:rsid w:val="00E25CEE"/>
    <w:rsid w:val="00E25CFA"/>
    <w:rsid w:val="00E25CFC"/>
    <w:rsid w:val="00E25D4F"/>
    <w:rsid w:val="00E25DC3"/>
    <w:rsid w:val="00E25E23"/>
    <w:rsid w:val="00E25E2E"/>
    <w:rsid w:val="00E25EA9"/>
    <w:rsid w:val="00E25EDF"/>
    <w:rsid w:val="00E25EE0"/>
    <w:rsid w:val="00E25F15"/>
    <w:rsid w:val="00E25F8D"/>
    <w:rsid w:val="00E26082"/>
    <w:rsid w:val="00E260E6"/>
    <w:rsid w:val="00E26141"/>
    <w:rsid w:val="00E261B7"/>
    <w:rsid w:val="00E261C1"/>
    <w:rsid w:val="00E26214"/>
    <w:rsid w:val="00E2624A"/>
    <w:rsid w:val="00E2625F"/>
    <w:rsid w:val="00E26286"/>
    <w:rsid w:val="00E2628C"/>
    <w:rsid w:val="00E262A8"/>
    <w:rsid w:val="00E2635C"/>
    <w:rsid w:val="00E2636D"/>
    <w:rsid w:val="00E263AB"/>
    <w:rsid w:val="00E2646C"/>
    <w:rsid w:val="00E26495"/>
    <w:rsid w:val="00E2654C"/>
    <w:rsid w:val="00E2663B"/>
    <w:rsid w:val="00E2666E"/>
    <w:rsid w:val="00E267AB"/>
    <w:rsid w:val="00E26837"/>
    <w:rsid w:val="00E2685E"/>
    <w:rsid w:val="00E2687C"/>
    <w:rsid w:val="00E26895"/>
    <w:rsid w:val="00E268BB"/>
    <w:rsid w:val="00E268FA"/>
    <w:rsid w:val="00E26901"/>
    <w:rsid w:val="00E26922"/>
    <w:rsid w:val="00E26A2B"/>
    <w:rsid w:val="00E26A3F"/>
    <w:rsid w:val="00E26A41"/>
    <w:rsid w:val="00E26A5F"/>
    <w:rsid w:val="00E26A92"/>
    <w:rsid w:val="00E26ADC"/>
    <w:rsid w:val="00E26AE0"/>
    <w:rsid w:val="00E26B98"/>
    <w:rsid w:val="00E26C4C"/>
    <w:rsid w:val="00E26CA5"/>
    <w:rsid w:val="00E26CB0"/>
    <w:rsid w:val="00E26CCE"/>
    <w:rsid w:val="00E26D43"/>
    <w:rsid w:val="00E26D4B"/>
    <w:rsid w:val="00E26D74"/>
    <w:rsid w:val="00E26DD7"/>
    <w:rsid w:val="00E26E8A"/>
    <w:rsid w:val="00E26EE5"/>
    <w:rsid w:val="00E26F0E"/>
    <w:rsid w:val="00E26F4B"/>
    <w:rsid w:val="00E26F6C"/>
    <w:rsid w:val="00E26F84"/>
    <w:rsid w:val="00E2708E"/>
    <w:rsid w:val="00E2709D"/>
    <w:rsid w:val="00E270A2"/>
    <w:rsid w:val="00E270A4"/>
    <w:rsid w:val="00E271CD"/>
    <w:rsid w:val="00E27220"/>
    <w:rsid w:val="00E2732B"/>
    <w:rsid w:val="00E27403"/>
    <w:rsid w:val="00E27487"/>
    <w:rsid w:val="00E27516"/>
    <w:rsid w:val="00E27545"/>
    <w:rsid w:val="00E2758E"/>
    <w:rsid w:val="00E2758F"/>
    <w:rsid w:val="00E2766B"/>
    <w:rsid w:val="00E2769C"/>
    <w:rsid w:val="00E27762"/>
    <w:rsid w:val="00E277DC"/>
    <w:rsid w:val="00E2785D"/>
    <w:rsid w:val="00E27862"/>
    <w:rsid w:val="00E27887"/>
    <w:rsid w:val="00E2791C"/>
    <w:rsid w:val="00E27977"/>
    <w:rsid w:val="00E279B4"/>
    <w:rsid w:val="00E279E3"/>
    <w:rsid w:val="00E279EB"/>
    <w:rsid w:val="00E27A06"/>
    <w:rsid w:val="00E27A0B"/>
    <w:rsid w:val="00E27B1C"/>
    <w:rsid w:val="00E27BD6"/>
    <w:rsid w:val="00E27BFD"/>
    <w:rsid w:val="00E27C12"/>
    <w:rsid w:val="00E27C13"/>
    <w:rsid w:val="00E27C28"/>
    <w:rsid w:val="00E27C6E"/>
    <w:rsid w:val="00E27CD1"/>
    <w:rsid w:val="00E27D22"/>
    <w:rsid w:val="00E27DB5"/>
    <w:rsid w:val="00E27E5D"/>
    <w:rsid w:val="00E27EEB"/>
    <w:rsid w:val="00E27F83"/>
    <w:rsid w:val="00E3019E"/>
    <w:rsid w:val="00E301D1"/>
    <w:rsid w:val="00E301D5"/>
    <w:rsid w:val="00E301D9"/>
    <w:rsid w:val="00E302C0"/>
    <w:rsid w:val="00E30314"/>
    <w:rsid w:val="00E30377"/>
    <w:rsid w:val="00E303D4"/>
    <w:rsid w:val="00E3046C"/>
    <w:rsid w:val="00E30483"/>
    <w:rsid w:val="00E304B7"/>
    <w:rsid w:val="00E304C6"/>
    <w:rsid w:val="00E304EE"/>
    <w:rsid w:val="00E3052B"/>
    <w:rsid w:val="00E306BE"/>
    <w:rsid w:val="00E30741"/>
    <w:rsid w:val="00E3075F"/>
    <w:rsid w:val="00E307C9"/>
    <w:rsid w:val="00E308D3"/>
    <w:rsid w:val="00E308EB"/>
    <w:rsid w:val="00E308F8"/>
    <w:rsid w:val="00E309F0"/>
    <w:rsid w:val="00E309F4"/>
    <w:rsid w:val="00E30A94"/>
    <w:rsid w:val="00E30AD6"/>
    <w:rsid w:val="00E30C64"/>
    <w:rsid w:val="00E30C7B"/>
    <w:rsid w:val="00E30CBA"/>
    <w:rsid w:val="00E30CDF"/>
    <w:rsid w:val="00E30D67"/>
    <w:rsid w:val="00E30DD5"/>
    <w:rsid w:val="00E30E1B"/>
    <w:rsid w:val="00E30E43"/>
    <w:rsid w:val="00E30E47"/>
    <w:rsid w:val="00E30E6E"/>
    <w:rsid w:val="00E30F20"/>
    <w:rsid w:val="00E31010"/>
    <w:rsid w:val="00E3102A"/>
    <w:rsid w:val="00E3107E"/>
    <w:rsid w:val="00E310B0"/>
    <w:rsid w:val="00E3110C"/>
    <w:rsid w:val="00E31113"/>
    <w:rsid w:val="00E311B2"/>
    <w:rsid w:val="00E31297"/>
    <w:rsid w:val="00E312F0"/>
    <w:rsid w:val="00E3136A"/>
    <w:rsid w:val="00E313C2"/>
    <w:rsid w:val="00E313FF"/>
    <w:rsid w:val="00E31411"/>
    <w:rsid w:val="00E314C2"/>
    <w:rsid w:val="00E315E6"/>
    <w:rsid w:val="00E31724"/>
    <w:rsid w:val="00E31797"/>
    <w:rsid w:val="00E317DF"/>
    <w:rsid w:val="00E31AEF"/>
    <w:rsid w:val="00E31BE8"/>
    <w:rsid w:val="00E31C55"/>
    <w:rsid w:val="00E31C79"/>
    <w:rsid w:val="00E31D28"/>
    <w:rsid w:val="00E31E18"/>
    <w:rsid w:val="00E31E19"/>
    <w:rsid w:val="00E31E3C"/>
    <w:rsid w:val="00E31E61"/>
    <w:rsid w:val="00E31EB4"/>
    <w:rsid w:val="00E31ED3"/>
    <w:rsid w:val="00E31EF3"/>
    <w:rsid w:val="00E31F36"/>
    <w:rsid w:val="00E31F98"/>
    <w:rsid w:val="00E31FA3"/>
    <w:rsid w:val="00E31FBC"/>
    <w:rsid w:val="00E32133"/>
    <w:rsid w:val="00E3213D"/>
    <w:rsid w:val="00E3217A"/>
    <w:rsid w:val="00E321CE"/>
    <w:rsid w:val="00E321EA"/>
    <w:rsid w:val="00E32238"/>
    <w:rsid w:val="00E32252"/>
    <w:rsid w:val="00E3229F"/>
    <w:rsid w:val="00E3232C"/>
    <w:rsid w:val="00E323E4"/>
    <w:rsid w:val="00E3244D"/>
    <w:rsid w:val="00E3245D"/>
    <w:rsid w:val="00E32478"/>
    <w:rsid w:val="00E325A4"/>
    <w:rsid w:val="00E32606"/>
    <w:rsid w:val="00E32745"/>
    <w:rsid w:val="00E32823"/>
    <w:rsid w:val="00E32943"/>
    <w:rsid w:val="00E3298F"/>
    <w:rsid w:val="00E329BE"/>
    <w:rsid w:val="00E329D8"/>
    <w:rsid w:val="00E329E6"/>
    <w:rsid w:val="00E32B98"/>
    <w:rsid w:val="00E32BA3"/>
    <w:rsid w:val="00E32BEF"/>
    <w:rsid w:val="00E32C1A"/>
    <w:rsid w:val="00E32C3C"/>
    <w:rsid w:val="00E32CA1"/>
    <w:rsid w:val="00E32CBC"/>
    <w:rsid w:val="00E32CC1"/>
    <w:rsid w:val="00E32CDC"/>
    <w:rsid w:val="00E32D6F"/>
    <w:rsid w:val="00E32D7D"/>
    <w:rsid w:val="00E32D92"/>
    <w:rsid w:val="00E32DDA"/>
    <w:rsid w:val="00E32E08"/>
    <w:rsid w:val="00E32E0D"/>
    <w:rsid w:val="00E32E31"/>
    <w:rsid w:val="00E32E6A"/>
    <w:rsid w:val="00E32EE5"/>
    <w:rsid w:val="00E32F93"/>
    <w:rsid w:val="00E32F9E"/>
    <w:rsid w:val="00E32FAD"/>
    <w:rsid w:val="00E32FED"/>
    <w:rsid w:val="00E3300B"/>
    <w:rsid w:val="00E330E7"/>
    <w:rsid w:val="00E33145"/>
    <w:rsid w:val="00E3319C"/>
    <w:rsid w:val="00E331AA"/>
    <w:rsid w:val="00E3323D"/>
    <w:rsid w:val="00E332F8"/>
    <w:rsid w:val="00E3334E"/>
    <w:rsid w:val="00E33385"/>
    <w:rsid w:val="00E3339B"/>
    <w:rsid w:val="00E333A1"/>
    <w:rsid w:val="00E33413"/>
    <w:rsid w:val="00E33452"/>
    <w:rsid w:val="00E33480"/>
    <w:rsid w:val="00E3349E"/>
    <w:rsid w:val="00E33502"/>
    <w:rsid w:val="00E33543"/>
    <w:rsid w:val="00E33591"/>
    <w:rsid w:val="00E335EB"/>
    <w:rsid w:val="00E3364A"/>
    <w:rsid w:val="00E33667"/>
    <w:rsid w:val="00E336D6"/>
    <w:rsid w:val="00E336E2"/>
    <w:rsid w:val="00E336E6"/>
    <w:rsid w:val="00E336ED"/>
    <w:rsid w:val="00E336F5"/>
    <w:rsid w:val="00E337B9"/>
    <w:rsid w:val="00E337C6"/>
    <w:rsid w:val="00E33819"/>
    <w:rsid w:val="00E3382E"/>
    <w:rsid w:val="00E33862"/>
    <w:rsid w:val="00E338E8"/>
    <w:rsid w:val="00E33933"/>
    <w:rsid w:val="00E3393F"/>
    <w:rsid w:val="00E339EC"/>
    <w:rsid w:val="00E33A08"/>
    <w:rsid w:val="00E33A0E"/>
    <w:rsid w:val="00E33A18"/>
    <w:rsid w:val="00E33A39"/>
    <w:rsid w:val="00E33AA7"/>
    <w:rsid w:val="00E33B73"/>
    <w:rsid w:val="00E33B7F"/>
    <w:rsid w:val="00E33BFA"/>
    <w:rsid w:val="00E33C94"/>
    <w:rsid w:val="00E33D83"/>
    <w:rsid w:val="00E33DE2"/>
    <w:rsid w:val="00E33E0A"/>
    <w:rsid w:val="00E33E11"/>
    <w:rsid w:val="00E33E57"/>
    <w:rsid w:val="00E33F5C"/>
    <w:rsid w:val="00E33F6A"/>
    <w:rsid w:val="00E33F90"/>
    <w:rsid w:val="00E33FC2"/>
    <w:rsid w:val="00E33FE8"/>
    <w:rsid w:val="00E34035"/>
    <w:rsid w:val="00E340B7"/>
    <w:rsid w:val="00E3414D"/>
    <w:rsid w:val="00E34185"/>
    <w:rsid w:val="00E3419D"/>
    <w:rsid w:val="00E34217"/>
    <w:rsid w:val="00E34238"/>
    <w:rsid w:val="00E342DE"/>
    <w:rsid w:val="00E34346"/>
    <w:rsid w:val="00E34359"/>
    <w:rsid w:val="00E3437B"/>
    <w:rsid w:val="00E34389"/>
    <w:rsid w:val="00E34396"/>
    <w:rsid w:val="00E343D4"/>
    <w:rsid w:val="00E343FE"/>
    <w:rsid w:val="00E3442B"/>
    <w:rsid w:val="00E344B4"/>
    <w:rsid w:val="00E3463E"/>
    <w:rsid w:val="00E3472F"/>
    <w:rsid w:val="00E3477C"/>
    <w:rsid w:val="00E347A1"/>
    <w:rsid w:val="00E34829"/>
    <w:rsid w:val="00E349A0"/>
    <w:rsid w:val="00E34A7B"/>
    <w:rsid w:val="00E34AEB"/>
    <w:rsid w:val="00E34B04"/>
    <w:rsid w:val="00E34BC3"/>
    <w:rsid w:val="00E34C93"/>
    <w:rsid w:val="00E34DAB"/>
    <w:rsid w:val="00E34DB5"/>
    <w:rsid w:val="00E34DD8"/>
    <w:rsid w:val="00E34DE3"/>
    <w:rsid w:val="00E34E5B"/>
    <w:rsid w:val="00E34E80"/>
    <w:rsid w:val="00E34E9E"/>
    <w:rsid w:val="00E34EEE"/>
    <w:rsid w:val="00E34EFE"/>
    <w:rsid w:val="00E34F09"/>
    <w:rsid w:val="00E34FAF"/>
    <w:rsid w:val="00E34FB3"/>
    <w:rsid w:val="00E34FCA"/>
    <w:rsid w:val="00E350D2"/>
    <w:rsid w:val="00E35185"/>
    <w:rsid w:val="00E351D4"/>
    <w:rsid w:val="00E35231"/>
    <w:rsid w:val="00E35266"/>
    <w:rsid w:val="00E352AE"/>
    <w:rsid w:val="00E352DA"/>
    <w:rsid w:val="00E3535D"/>
    <w:rsid w:val="00E35433"/>
    <w:rsid w:val="00E354EC"/>
    <w:rsid w:val="00E354F3"/>
    <w:rsid w:val="00E3558A"/>
    <w:rsid w:val="00E357A7"/>
    <w:rsid w:val="00E357D7"/>
    <w:rsid w:val="00E35839"/>
    <w:rsid w:val="00E3592F"/>
    <w:rsid w:val="00E35944"/>
    <w:rsid w:val="00E35992"/>
    <w:rsid w:val="00E35A43"/>
    <w:rsid w:val="00E35B1B"/>
    <w:rsid w:val="00E35B85"/>
    <w:rsid w:val="00E35CCB"/>
    <w:rsid w:val="00E35CF5"/>
    <w:rsid w:val="00E35E14"/>
    <w:rsid w:val="00E35EE8"/>
    <w:rsid w:val="00E35EEE"/>
    <w:rsid w:val="00E35F51"/>
    <w:rsid w:val="00E35F69"/>
    <w:rsid w:val="00E36001"/>
    <w:rsid w:val="00E36048"/>
    <w:rsid w:val="00E3604E"/>
    <w:rsid w:val="00E360E4"/>
    <w:rsid w:val="00E361B1"/>
    <w:rsid w:val="00E361BC"/>
    <w:rsid w:val="00E3622B"/>
    <w:rsid w:val="00E362FA"/>
    <w:rsid w:val="00E36339"/>
    <w:rsid w:val="00E365CE"/>
    <w:rsid w:val="00E365DD"/>
    <w:rsid w:val="00E365F1"/>
    <w:rsid w:val="00E3663A"/>
    <w:rsid w:val="00E3675D"/>
    <w:rsid w:val="00E36787"/>
    <w:rsid w:val="00E36813"/>
    <w:rsid w:val="00E3682C"/>
    <w:rsid w:val="00E36846"/>
    <w:rsid w:val="00E36866"/>
    <w:rsid w:val="00E3694D"/>
    <w:rsid w:val="00E36956"/>
    <w:rsid w:val="00E36A23"/>
    <w:rsid w:val="00E36A92"/>
    <w:rsid w:val="00E36AB9"/>
    <w:rsid w:val="00E36AC3"/>
    <w:rsid w:val="00E36B25"/>
    <w:rsid w:val="00E36BA8"/>
    <w:rsid w:val="00E36C51"/>
    <w:rsid w:val="00E36C9B"/>
    <w:rsid w:val="00E36CF0"/>
    <w:rsid w:val="00E36D0A"/>
    <w:rsid w:val="00E36D9A"/>
    <w:rsid w:val="00E36DD7"/>
    <w:rsid w:val="00E36DE8"/>
    <w:rsid w:val="00E36EAC"/>
    <w:rsid w:val="00E36ECF"/>
    <w:rsid w:val="00E36EFC"/>
    <w:rsid w:val="00E36F55"/>
    <w:rsid w:val="00E36FA4"/>
    <w:rsid w:val="00E36FD6"/>
    <w:rsid w:val="00E370EB"/>
    <w:rsid w:val="00E370ED"/>
    <w:rsid w:val="00E37119"/>
    <w:rsid w:val="00E37135"/>
    <w:rsid w:val="00E3724E"/>
    <w:rsid w:val="00E37263"/>
    <w:rsid w:val="00E3734B"/>
    <w:rsid w:val="00E373A2"/>
    <w:rsid w:val="00E37418"/>
    <w:rsid w:val="00E37537"/>
    <w:rsid w:val="00E37562"/>
    <w:rsid w:val="00E3775C"/>
    <w:rsid w:val="00E37791"/>
    <w:rsid w:val="00E37820"/>
    <w:rsid w:val="00E37873"/>
    <w:rsid w:val="00E37905"/>
    <w:rsid w:val="00E3792F"/>
    <w:rsid w:val="00E379F7"/>
    <w:rsid w:val="00E37A50"/>
    <w:rsid w:val="00E37AB6"/>
    <w:rsid w:val="00E37B2C"/>
    <w:rsid w:val="00E37B69"/>
    <w:rsid w:val="00E37BDB"/>
    <w:rsid w:val="00E37BDC"/>
    <w:rsid w:val="00E37CD6"/>
    <w:rsid w:val="00E37D25"/>
    <w:rsid w:val="00E37D32"/>
    <w:rsid w:val="00E37D42"/>
    <w:rsid w:val="00E37D7B"/>
    <w:rsid w:val="00E37E55"/>
    <w:rsid w:val="00E37F33"/>
    <w:rsid w:val="00E400A1"/>
    <w:rsid w:val="00E40197"/>
    <w:rsid w:val="00E4027B"/>
    <w:rsid w:val="00E40293"/>
    <w:rsid w:val="00E40331"/>
    <w:rsid w:val="00E403A6"/>
    <w:rsid w:val="00E40415"/>
    <w:rsid w:val="00E4042C"/>
    <w:rsid w:val="00E404E5"/>
    <w:rsid w:val="00E4056D"/>
    <w:rsid w:val="00E40575"/>
    <w:rsid w:val="00E40585"/>
    <w:rsid w:val="00E405C4"/>
    <w:rsid w:val="00E405D0"/>
    <w:rsid w:val="00E405D9"/>
    <w:rsid w:val="00E40628"/>
    <w:rsid w:val="00E4064E"/>
    <w:rsid w:val="00E40754"/>
    <w:rsid w:val="00E40786"/>
    <w:rsid w:val="00E407A9"/>
    <w:rsid w:val="00E4087E"/>
    <w:rsid w:val="00E4090D"/>
    <w:rsid w:val="00E40931"/>
    <w:rsid w:val="00E40946"/>
    <w:rsid w:val="00E40951"/>
    <w:rsid w:val="00E40B68"/>
    <w:rsid w:val="00E40BC6"/>
    <w:rsid w:val="00E40BE7"/>
    <w:rsid w:val="00E40C06"/>
    <w:rsid w:val="00E40C62"/>
    <w:rsid w:val="00E40CE4"/>
    <w:rsid w:val="00E40CEF"/>
    <w:rsid w:val="00E40D25"/>
    <w:rsid w:val="00E40D3B"/>
    <w:rsid w:val="00E40DBC"/>
    <w:rsid w:val="00E40EA3"/>
    <w:rsid w:val="00E40ED1"/>
    <w:rsid w:val="00E40F03"/>
    <w:rsid w:val="00E40F8C"/>
    <w:rsid w:val="00E40FB5"/>
    <w:rsid w:val="00E4102F"/>
    <w:rsid w:val="00E41034"/>
    <w:rsid w:val="00E41038"/>
    <w:rsid w:val="00E410A2"/>
    <w:rsid w:val="00E410E0"/>
    <w:rsid w:val="00E41125"/>
    <w:rsid w:val="00E41176"/>
    <w:rsid w:val="00E4119B"/>
    <w:rsid w:val="00E411AA"/>
    <w:rsid w:val="00E411FC"/>
    <w:rsid w:val="00E412E1"/>
    <w:rsid w:val="00E413EF"/>
    <w:rsid w:val="00E41419"/>
    <w:rsid w:val="00E41436"/>
    <w:rsid w:val="00E41462"/>
    <w:rsid w:val="00E4149E"/>
    <w:rsid w:val="00E414D0"/>
    <w:rsid w:val="00E414D3"/>
    <w:rsid w:val="00E414ED"/>
    <w:rsid w:val="00E4158D"/>
    <w:rsid w:val="00E41603"/>
    <w:rsid w:val="00E4161E"/>
    <w:rsid w:val="00E41649"/>
    <w:rsid w:val="00E4165C"/>
    <w:rsid w:val="00E41673"/>
    <w:rsid w:val="00E4168D"/>
    <w:rsid w:val="00E4169A"/>
    <w:rsid w:val="00E416E3"/>
    <w:rsid w:val="00E417BF"/>
    <w:rsid w:val="00E4181F"/>
    <w:rsid w:val="00E41864"/>
    <w:rsid w:val="00E418FF"/>
    <w:rsid w:val="00E41933"/>
    <w:rsid w:val="00E419E7"/>
    <w:rsid w:val="00E41B0C"/>
    <w:rsid w:val="00E41B58"/>
    <w:rsid w:val="00E41B6A"/>
    <w:rsid w:val="00E41B81"/>
    <w:rsid w:val="00E41C0A"/>
    <w:rsid w:val="00E41C48"/>
    <w:rsid w:val="00E41C68"/>
    <w:rsid w:val="00E41C8E"/>
    <w:rsid w:val="00E41C99"/>
    <w:rsid w:val="00E41CC1"/>
    <w:rsid w:val="00E41CCB"/>
    <w:rsid w:val="00E41D6C"/>
    <w:rsid w:val="00E41D79"/>
    <w:rsid w:val="00E41E0D"/>
    <w:rsid w:val="00E41E0E"/>
    <w:rsid w:val="00E41F33"/>
    <w:rsid w:val="00E41F5F"/>
    <w:rsid w:val="00E41F84"/>
    <w:rsid w:val="00E41FCC"/>
    <w:rsid w:val="00E41FE6"/>
    <w:rsid w:val="00E42048"/>
    <w:rsid w:val="00E42060"/>
    <w:rsid w:val="00E420DE"/>
    <w:rsid w:val="00E42192"/>
    <w:rsid w:val="00E421E4"/>
    <w:rsid w:val="00E422D4"/>
    <w:rsid w:val="00E422FF"/>
    <w:rsid w:val="00E4232C"/>
    <w:rsid w:val="00E42336"/>
    <w:rsid w:val="00E42379"/>
    <w:rsid w:val="00E4241A"/>
    <w:rsid w:val="00E42610"/>
    <w:rsid w:val="00E4262C"/>
    <w:rsid w:val="00E4263C"/>
    <w:rsid w:val="00E426A8"/>
    <w:rsid w:val="00E427CC"/>
    <w:rsid w:val="00E42842"/>
    <w:rsid w:val="00E4285E"/>
    <w:rsid w:val="00E428C8"/>
    <w:rsid w:val="00E428F2"/>
    <w:rsid w:val="00E42942"/>
    <w:rsid w:val="00E429E7"/>
    <w:rsid w:val="00E42A43"/>
    <w:rsid w:val="00E42A74"/>
    <w:rsid w:val="00E42A95"/>
    <w:rsid w:val="00E42AEA"/>
    <w:rsid w:val="00E42B21"/>
    <w:rsid w:val="00E42C1E"/>
    <w:rsid w:val="00E42C9E"/>
    <w:rsid w:val="00E42CAF"/>
    <w:rsid w:val="00E42CD4"/>
    <w:rsid w:val="00E42CD7"/>
    <w:rsid w:val="00E42D0E"/>
    <w:rsid w:val="00E42D31"/>
    <w:rsid w:val="00E42DE7"/>
    <w:rsid w:val="00E42DF0"/>
    <w:rsid w:val="00E42E71"/>
    <w:rsid w:val="00E42E73"/>
    <w:rsid w:val="00E42EB5"/>
    <w:rsid w:val="00E42EC3"/>
    <w:rsid w:val="00E42EE4"/>
    <w:rsid w:val="00E42F23"/>
    <w:rsid w:val="00E42FAB"/>
    <w:rsid w:val="00E42FC2"/>
    <w:rsid w:val="00E42FC9"/>
    <w:rsid w:val="00E42FF1"/>
    <w:rsid w:val="00E43167"/>
    <w:rsid w:val="00E4317C"/>
    <w:rsid w:val="00E4324A"/>
    <w:rsid w:val="00E43297"/>
    <w:rsid w:val="00E432FA"/>
    <w:rsid w:val="00E43355"/>
    <w:rsid w:val="00E433B0"/>
    <w:rsid w:val="00E433B8"/>
    <w:rsid w:val="00E433C2"/>
    <w:rsid w:val="00E43448"/>
    <w:rsid w:val="00E434A6"/>
    <w:rsid w:val="00E434FD"/>
    <w:rsid w:val="00E435D6"/>
    <w:rsid w:val="00E4364A"/>
    <w:rsid w:val="00E43685"/>
    <w:rsid w:val="00E436BE"/>
    <w:rsid w:val="00E436D1"/>
    <w:rsid w:val="00E436EE"/>
    <w:rsid w:val="00E4384E"/>
    <w:rsid w:val="00E438B9"/>
    <w:rsid w:val="00E438F4"/>
    <w:rsid w:val="00E43921"/>
    <w:rsid w:val="00E439F0"/>
    <w:rsid w:val="00E43A41"/>
    <w:rsid w:val="00E43AB1"/>
    <w:rsid w:val="00E43AE8"/>
    <w:rsid w:val="00E43C4A"/>
    <w:rsid w:val="00E43C8C"/>
    <w:rsid w:val="00E43CD8"/>
    <w:rsid w:val="00E43D4E"/>
    <w:rsid w:val="00E43D97"/>
    <w:rsid w:val="00E43ECD"/>
    <w:rsid w:val="00E43F31"/>
    <w:rsid w:val="00E43F3B"/>
    <w:rsid w:val="00E43FCA"/>
    <w:rsid w:val="00E44100"/>
    <w:rsid w:val="00E4417B"/>
    <w:rsid w:val="00E4418B"/>
    <w:rsid w:val="00E44307"/>
    <w:rsid w:val="00E44390"/>
    <w:rsid w:val="00E44470"/>
    <w:rsid w:val="00E444BF"/>
    <w:rsid w:val="00E444E2"/>
    <w:rsid w:val="00E44549"/>
    <w:rsid w:val="00E44571"/>
    <w:rsid w:val="00E445B2"/>
    <w:rsid w:val="00E445C4"/>
    <w:rsid w:val="00E44632"/>
    <w:rsid w:val="00E44634"/>
    <w:rsid w:val="00E44657"/>
    <w:rsid w:val="00E44668"/>
    <w:rsid w:val="00E446C6"/>
    <w:rsid w:val="00E447D7"/>
    <w:rsid w:val="00E44860"/>
    <w:rsid w:val="00E448BF"/>
    <w:rsid w:val="00E448D1"/>
    <w:rsid w:val="00E4490A"/>
    <w:rsid w:val="00E4496D"/>
    <w:rsid w:val="00E44985"/>
    <w:rsid w:val="00E44A12"/>
    <w:rsid w:val="00E44A44"/>
    <w:rsid w:val="00E44A66"/>
    <w:rsid w:val="00E44A8F"/>
    <w:rsid w:val="00E44ADF"/>
    <w:rsid w:val="00E44AF9"/>
    <w:rsid w:val="00E44B9F"/>
    <w:rsid w:val="00E44BBB"/>
    <w:rsid w:val="00E44BD4"/>
    <w:rsid w:val="00E44C2F"/>
    <w:rsid w:val="00E44C98"/>
    <w:rsid w:val="00E44CAF"/>
    <w:rsid w:val="00E44D0D"/>
    <w:rsid w:val="00E44D15"/>
    <w:rsid w:val="00E44D88"/>
    <w:rsid w:val="00E44DC3"/>
    <w:rsid w:val="00E44E05"/>
    <w:rsid w:val="00E44E9D"/>
    <w:rsid w:val="00E44EF2"/>
    <w:rsid w:val="00E44F02"/>
    <w:rsid w:val="00E44F07"/>
    <w:rsid w:val="00E44F97"/>
    <w:rsid w:val="00E44FD5"/>
    <w:rsid w:val="00E45125"/>
    <w:rsid w:val="00E45157"/>
    <w:rsid w:val="00E451E7"/>
    <w:rsid w:val="00E4520E"/>
    <w:rsid w:val="00E45216"/>
    <w:rsid w:val="00E45246"/>
    <w:rsid w:val="00E45287"/>
    <w:rsid w:val="00E4529F"/>
    <w:rsid w:val="00E45308"/>
    <w:rsid w:val="00E45338"/>
    <w:rsid w:val="00E45392"/>
    <w:rsid w:val="00E454F7"/>
    <w:rsid w:val="00E4550D"/>
    <w:rsid w:val="00E4557B"/>
    <w:rsid w:val="00E4561E"/>
    <w:rsid w:val="00E4575F"/>
    <w:rsid w:val="00E457A1"/>
    <w:rsid w:val="00E457A2"/>
    <w:rsid w:val="00E457F9"/>
    <w:rsid w:val="00E4580D"/>
    <w:rsid w:val="00E4585E"/>
    <w:rsid w:val="00E458A3"/>
    <w:rsid w:val="00E458DA"/>
    <w:rsid w:val="00E45A0D"/>
    <w:rsid w:val="00E45AC1"/>
    <w:rsid w:val="00E45B49"/>
    <w:rsid w:val="00E45C18"/>
    <w:rsid w:val="00E45CA5"/>
    <w:rsid w:val="00E45CBE"/>
    <w:rsid w:val="00E45D33"/>
    <w:rsid w:val="00E45D38"/>
    <w:rsid w:val="00E45D85"/>
    <w:rsid w:val="00E45D8B"/>
    <w:rsid w:val="00E45D9B"/>
    <w:rsid w:val="00E45E1B"/>
    <w:rsid w:val="00E45E71"/>
    <w:rsid w:val="00E45E85"/>
    <w:rsid w:val="00E45FD1"/>
    <w:rsid w:val="00E45FF0"/>
    <w:rsid w:val="00E45FFE"/>
    <w:rsid w:val="00E460B5"/>
    <w:rsid w:val="00E46132"/>
    <w:rsid w:val="00E46139"/>
    <w:rsid w:val="00E46246"/>
    <w:rsid w:val="00E462B0"/>
    <w:rsid w:val="00E4633A"/>
    <w:rsid w:val="00E46483"/>
    <w:rsid w:val="00E4651D"/>
    <w:rsid w:val="00E4652B"/>
    <w:rsid w:val="00E4652C"/>
    <w:rsid w:val="00E46537"/>
    <w:rsid w:val="00E46640"/>
    <w:rsid w:val="00E466D5"/>
    <w:rsid w:val="00E46704"/>
    <w:rsid w:val="00E46801"/>
    <w:rsid w:val="00E468BF"/>
    <w:rsid w:val="00E46919"/>
    <w:rsid w:val="00E46949"/>
    <w:rsid w:val="00E46974"/>
    <w:rsid w:val="00E469EE"/>
    <w:rsid w:val="00E46AB8"/>
    <w:rsid w:val="00E46AC3"/>
    <w:rsid w:val="00E46B66"/>
    <w:rsid w:val="00E46BCB"/>
    <w:rsid w:val="00E46C5B"/>
    <w:rsid w:val="00E46CEA"/>
    <w:rsid w:val="00E46D0B"/>
    <w:rsid w:val="00E46E94"/>
    <w:rsid w:val="00E46EFE"/>
    <w:rsid w:val="00E46F41"/>
    <w:rsid w:val="00E46F4E"/>
    <w:rsid w:val="00E46F55"/>
    <w:rsid w:val="00E46F80"/>
    <w:rsid w:val="00E47038"/>
    <w:rsid w:val="00E47060"/>
    <w:rsid w:val="00E4707F"/>
    <w:rsid w:val="00E470E6"/>
    <w:rsid w:val="00E470ED"/>
    <w:rsid w:val="00E47107"/>
    <w:rsid w:val="00E471BD"/>
    <w:rsid w:val="00E471E7"/>
    <w:rsid w:val="00E4725A"/>
    <w:rsid w:val="00E47298"/>
    <w:rsid w:val="00E472D5"/>
    <w:rsid w:val="00E47320"/>
    <w:rsid w:val="00E47334"/>
    <w:rsid w:val="00E47369"/>
    <w:rsid w:val="00E47408"/>
    <w:rsid w:val="00E4746D"/>
    <w:rsid w:val="00E4756B"/>
    <w:rsid w:val="00E47743"/>
    <w:rsid w:val="00E477BD"/>
    <w:rsid w:val="00E477E6"/>
    <w:rsid w:val="00E478B4"/>
    <w:rsid w:val="00E479A4"/>
    <w:rsid w:val="00E47A17"/>
    <w:rsid w:val="00E47A63"/>
    <w:rsid w:val="00E47A9A"/>
    <w:rsid w:val="00E47B3D"/>
    <w:rsid w:val="00E47BB6"/>
    <w:rsid w:val="00E47C18"/>
    <w:rsid w:val="00E47CB5"/>
    <w:rsid w:val="00E47D0E"/>
    <w:rsid w:val="00E47D19"/>
    <w:rsid w:val="00E47E19"/>
    <w:rsid w:val="00E47E4D"/>
    <w:rsid w:val="00E47E64"/>
    <w:rsid w:val="00E47E74"/>
    <w:rsid w:val="00E47E82"/>
    <w:rsid w:val="00E47F17"/>
    <w:rsid w:val="00E47F37"/>
    <w:rsid w:val="00E47FE1"/>
    <w:rsid w:val="00E5003F"/>
    <w:rsid w:val="00E500EA"/>
    <w:rsid w:val="00E50134"/>
    <w:rsid w:val="00E5019A"/>
    <w:rsid w:val="00E501CC"/>
    <w:rsid w:val="00E50327"/>
    <w:rsid w:val="00E5033F"/>
    <w:rsid w:val="00E50402"/>
    <w:rsid w:val="00E50430"/>
    <w:rsid w:val="00E50546"/>
    <w:rsid w:val="00E50549"/>
    <w:rsid w:val="00E50571"/>
    <w:rsid w:val="00E505E5"/>
    <w:rsid w:val="00E505F2"/>
    <w:rsid w:val="00E5065F"/>
    <w:rsid w:val="00E50696"/>
    <w:rsid w:val="00E506CF"/>
    <w:rsid w:val="00E5071F"/>
    <w:rsid w:val="00E507F0"/>
    <w:rsid w:val="00E5080C"/>
    <w:rsid w:val="00E50816"/>
    <w:rsid w:val="00E5086D"/>
    <w:rsid w:val="00E50872"/>
    <w:rsid w:val="00E50898"/>
    <w:rsid w:val="00E508D9"/>
    <w:rsid w:val="00E509E4"/>
    <w:rsid w:val="00E50A05"/>
    <w:rsid w:val="00E50A8B"/>
    <w:rsid w:val="00E50A98"/>
    <w:rsid w:val="00E50BDB"/>
    <w:rsid w:val="00E50C32"/>
    <w:rsid w:val="00E50C79"/>
    <w:rsid w:val="00E50D1A"/>
    <w:rsid w:val="00E50D3F"/>
    <w:rsid w:val="00E50D42"/>
    <w:rsid w:val="00E50EC6"/>
    <w:rsid w:val="00E50EFE"/>
    <w:rsid w:val="00E50F47"/>
    <w:rsid w:val="00E5101B"/>
    <w:rsid w:val="00E51046"/>
    <w:rsid w:val="00E51095"/>
    <w:rsid w:val="00E510D6"/>
    <w:rsid w:val="00E51154"/>
    <w:rsid w:val="00E5119C"/>
    <w:rsid w:val="00E5123F"/>
    <w:rsid w:val="00E512D7"/>
    <w:rsid w:val="00E5132F"/>
    <w:rsid w:val="00E51393"/>
    <w:rsid w:val="00E515BA"/>
    <w:rsid w:val="00E51633"/>
    <w:rsid w:val="00E516E9"/>
    <w:rsid w:val="00E516F9"/>
    <w:rsid w:val="00E5174C"/>
    <w:rsid w:val="00E517A4"/>
    <w:rsid w:val="00E517D4"/>
    <w:rsid w:val="00E517F7"/>
    <w:rsid w:val="00E5189C"/>
    <w:rsid w:val="00E518B0"/>
    <w:rsid w:val="00E519AE"/>
    <w:rsid w:val="00E51A24"/>
    <w:rsid w:val="00E51A58"/>
    <w:rsid w:val="00E51B1D"/>
    <w:rsid w:val="00E51B1F"/>
    <w:rsid w:val="00E51B2C"/>
    <w:rsid w:val="00E51B64"/>
    <w:rsid w:val="00E51C75"/>
    <w:rsid w:val="00E51CDD"/>
    <w:rsid w:val="00E51CEC"/>
    <w:rsid w:val="00E51D1F"/>
    <w:rsid w:val="00E51D82"/>
    <w:rsid w:val="00E51D9F"/>
    <w:rsid w:val="00E51DE9"/>
    <w:rsid w:val="00E51E45"/>
    <w:rsid w:val="00E51E4A"/>
    <w:rsid w:val="00E51E67"/>
    <w:rsid w:val="00E51EC3"/>
    <w:rsid w:val="00E51FA5"/>
    <w:rsid w:val="00E51FB6"/>
    <w:rsid w:val="00E52052"/>
    <w:rsid w:val="00E5211A"/>
    <w:rsid w:val="00E52146"/>
    <w:rsid w:val="00E52247"/>
    <w:rsid w:val="00E522E3"/>
    <w:rsid w:val="00E5242D"/>
    <w:rsid w:val="00E524AD"/>
    <w:rsid w:val="00E524B0"/>
    <w:rsid w:val="00E524F5"/>
    <w:rsid w:val="00E52525"/>
    <w:rsid w:val="00E52594"/>
    <w:rsid w:val="00E525D9"/>
    <w:rsid w:val="00E52632"/>
    <w:rsid w:val="00E52656"/>
    <w:rsid w:val="00E526B6"/>
    <w:rsid w:val="00E52723"/>
    <w:rsid w:val="00E52768"/>
    <w:rsid w:val="00E527CD"/>
    <w:rsid w:val="00E527D1"/>
    <w:rsid w:val="00E5281D"/>
    <w:rsid w:val="00E528EA"/>
    <w:rsid w:val="00E528F8"/>
    <w:rsid w:val="00E52952"/>
    <w:rsid w:val="00E529F4"/>
    <w:rsid w:val="00E529F8"/>
    <w:rsid w:val="00E52A09"/>
    <w:rsid w:val="00E52B20"/>
    <w:rsid w:val="00E52C0E"/>
    <w:rsid w:val="00E52C18"/>
    <w:rsid w:val="00E52C45"/>
    <w:rsid w:val="00E52CF8"/>
    <w:rsid w:val="00E52D95"/>
    <w:rsid w:val="00E52D9A"/>
    <w:rsid w:val="00E52DDE"/>
    <w:rsid w:val="00E52E1C"/>
    <w:rsid w:val="00E52EE8"/>
    <w:rsid w:val="00E52F06"/>
    <w:rsid w:val="00E52F75"/>
    <w:rsid w:val="00E52F93"/>
    <w:rsid w:val="00E53107"/>
    <w:rsid w:val="00E532F2"/>
    <w:rsid w:val="00E53372"/>
    <w:rsid w:val="00E53553"/>
    <w:rsid w:val="00E53648"/>
    <w:rsid w:val="00E536DC"/>
    <w:rsid w:val="00E536E4"/>
    <w:rsid w:val="00E53758"/>
    <w:rsid w:val="00E537D6"/>
    <w:rsid w:val="00E5381B"/>
    <w:rsid w:val="00E538BE"/>
    <w:rsid w:val="00E5391F"/>
    <w:rsid w:val="00E53920"/>
    <w:rsid w:val="00E53978"/>
    <w:rsid w:val="00E539DA"/>
    <w:rsid w:val="00E539E7"/>
    <w:rsid w:val="00E53AA2"/>
    <w:rsid w:val="00E53AC2"/>
    <w:rsid w:val="00E53B0D"/>
    <w:rsid w:val="00E53B60"/>
    <w:rsid w:val="00E53C2E"/>
    <w:rsid w:val="00E53C34"/>
    <w:rsid w:val="00E53C9F"/>
    <w:rsid w:val="00E53CF8"/>
    <w:rsid w:val="00E53D1B"/>
    <w:rsid w:val="00E53D2B"/>
    <w:rsid w:val="00E53D87"/>
    <w:rsid w:val="00E53DA3"/>
    <w:rsid w:val="00E53DDF"/>
    <w:rsid w:val="00E53E06"/>
    <w:rsid w:val="00E53E3A"/>
    <w:rsid w:val="00E53E61"/>
    <w:rsid w:val="00E53E96"/>
    <w:rsid w:val="00E53F17"/>
    <w:rsid w:val="00E53F4B"/>
    <w:rsid w:val="00E53F6C"/>
    <w:rsid w:val="00E53F7F"/>
    <w:rsid w:val="00E54019"/>
    <w:rsid w:val="00E540D6"/>
    <w:rsid w:val="00E5413B"/>
    <w:rsid w:val="00E54149"/>
    <w:rsid w:val="00E54195"/>
    <w:rsid w:val="00E541FD"/>
    <w:rsid w:val="00E542E7"/>
    <w:rsid w:val="00E5434D"/>
    <w:rsid w:val="00E54357"/>
    <w:rsid w:val="00E54410"/>
    <w:rsid w:val="00E54511"/>
    <w:rsid w:val="00E54541"/>
    <w:rsid w:val="00E545BB"/>
    <w:rsid w:val="00E545EB"/>
    <w:rsid w:val="00E546B0"/>
    <w:rsid w:val="00E54703"/>
    <w:rsid w:val="00E5473B"/>
    <w:rsid w:val="00E5473D"/>
    <w:rsid w:val="00E5476C"/>
    <w:rsid w:val="00E54789"/>
    <w:rsid w:val="00E547B3"/>
    <w:rsid w:val="00E547E9"/>
    <w:rsid w:val="00E5482A"/>
    <w:rsid w:val="00E54885"/>
    <w:rsid w:val="00E548DE"/>
    <w:rsid w:val="00E548FB"/>
    <w:rsid w:val="00E549CE"/>
    <w:rsid w:val="00E54AA8"/>
    <w:rsid w:val="00E54ACD"/>
    <w:rsid w:val="00E54B2B"/>
    <w:rsid w:val="00E54B6F"/>
    <w:rsid w:val="00E54C46"/>
    <w:rsid w:val="00E54CDB"/>
    <w:rsid w:val="00E54CE4"/>
    <w:rsid w:val="00E54D39"/>
    <w:rsid w:val="00E54D7D"/>
    <w:rsid w:val="00E54D80"/>
    <w:rsid w:val="00E54DC3"/>
    <w:rsid w:val="00E54DF5"/>
    <w:rsid w:val="00E54E31"/>
    <w:rsid w:val="00E54E6A"/>
    <w:rsid w:val="00E54E72"/>
    <w:rsid w:val="00E54EAB"/>
    <w:rsid w:val="00E54F2C"/>
    <w:rsid w:val="00E550E6"/>
    <w:rsid w:val="00E55187"/>
    <w:rsid w:val="00E55197"/>
    <w:rsid w:val="00E55215"/>
    <w:rsid w:val="00E552E6"/>
    <w:rsid w:val="00E552ED"/>
    <w:rsid w:val="00E55316"/>
    <w:rsid w:val="00E5531B"/>
    <w:rsid w:val="00E55323"/>
    <w:rsid w:val="00E5532F"/>
    <w:rsid w:val="00E5536D"/>
    <w:rsid w:val="00E553BD"/>
    <w:rsid w:val="00E553C0"/>
    <w:rsid w:val="00E55406"/>
    <w:rsid w:val="00E55427"/>
    <w:rsid w:val="00E554A2"/>
    <w:rsid w:val="00E5559E"/>
    <w:rsid w:val="00E555C3"/>
    <w:rsid w:val="00E55620"/>
    <w:rsid w:val="00E5563B"/>
    <w:rsid w:val="00E5564D"/>
    <w:rsid w:val="00E556A6"/>
    <w:rsid w:val="00E55723"/>
    <w:rsid w:val="00E55756"/>
    <w:rsid w:val="00E557AD"/>
    <w:rsid w:val="00E55813"/>
    <w:rsid w:val="00E5584A"/>
    <w:rsid w:val="00E55864"/>
    <w:rsid w:val="00E5596D"/>
    <w:rsid w:val="00E55991"/>
    <w:rsid w:val="00E559C7"/>
    <w:rsid w:val="00E559F8"/>
    <w:rsid w:val="00E55A52"/>
    <w:rsid w:val="00E55B21"/>
    <w:rsid w:val="00E55B67"/>
    <w:rsid w:val="00E55BAD"/>
    <w:rsid w:val="00E55BFA"/>
    <w:rsid w:val="00E55C03"/>
    <w:rsid w:val="00E55C27"/>
    <w:rsid w:val="00E55C6C"/>
    <w:rsid w:val="00E55CBA"/>
    <w:rsid w:val="00E55D07"/>
    <w:rsid w:val="00E55D2E"/>
    <w:rsid w:val="00E55D6F"/>
    <w:rsid w:val="00E55D8C"/>
    <w:rsid w:val="00E55DBC"/>
    <w:rsid w:val="00E55E0C"/>
    <w:rsid w:val="00E55E3F"/>
    <w:rsid w:val="00E55EA8"/>
    <w:rsid w:val="00E55EB8"/>
    <w:rsid w:val="00E55EBC"/>
    <w:rsid w:val="00E55EEB"/>
    <w:rsid w:val="00E55F1A"/>
    <w:rsid w:val="00E55F88"/>
    <w:rsid w:val="00E55FB6"/>
    <w:rsid w:val="00E55FC6"/>
    <w:rsid w:val="00E55FE5"/>
    <w:rsid w:val="00E55FEE"/>
    <w:rsid w:val="00E56009"/>
    <w:rsid w:val="00E560F8"/>
    <w:rsid w:val="00E5613E"/>
    <w:rsid w:val="00E56259"/>
    <w:rsid w:val="00E562FA"/>
    <w:rsid w:val="00E5635E"/>
    <w:rsid w:val="00E563BF"/>
    <w:rsid w:val="00E563C8"/>
    <w:rsid w:val="00E5646A"/>
    <w:rsid w:val="00E56488"/>
    <w:rsid w:val="00E56511"/>
    <w:rsid w:val="00E56525"/>
    <w:rsid w:val="00E5652D"/>
    <w:rsid w:val="00E565DA"/>
    <w:rsid w:val="00E56650"/>
    <w:rsid w:val="00E56726"/>
    <w:rsid w:val="00E56731"/>
    <w:rsid w:val="00E567A3"/>
    <w:rsid w:val="00E56823"/>
    <w:rsid w:val="00E568F4"/>
    <w:rsid w:val="00E5699D"/>
    <w:rsid w:val="00E569D9"/>
    <w:rsid w:val="00E56A06"/>
    <w:rsid w:val="00E56A18"/>
    <w:rsid w:val="00E56A45"/>
    <w:rsid w:val="00E56B46"/>
    <w:rsid w:val="00E56B48"/>
    <w:rsid w:val="00E56B90"/>
    <w:rsid w:val="00E56BC7"/>
    <w:rsid w:val="00E56BD0"/>
    <w:rsid w:val="00E56BF4"/>
    <w:rsid w:val="00E56C4C"/>
    <w:rsid w:val="00E56C75"/>
    <w:rsid w:val="00E56C8A"/>
    <w:rsid w:val="00E56CA6"/>
    <w:rsid w:val="00E56CDA"/>
    <w:rsid w:val="00E56D06"/>
    <w:rsid w:val="00E56D4E"/>
    <w:rsid w:val="00E56DB6"/>
    <w:rsid w:val="00E56DC3"/>
    <w:rsid w:val="00E56E2C"/>
    <w:rsid w:val="00E56E94"/>
    <w:rsid w:val="00E56F46"/>
    <w:rsid w:val="00E56F61"/>
    <w:rsid w:val="00E56F78"/>
    <w:rsid w:val="00E56F98"/>
    <w:rsid w:val="00E57095"/>
    <w:rsid w:val="00E57099"/>
    <w:rsid w:val="00E570F8"/>
    <w:rsid w:val="00E57161"/>
    <w:rsid w:val="00E5718F"/>
    <w:rsid w:val="00E57199"/>
    <w:rsid w:val="00E571DF"/>
    <w:rsid w:val="00E571FB"/>
    <w:rsid w:val="00E57277"/>
    <w:rsid w:val="00E57283"/>
    <w:rsid w:val="00E572AC"/>
    <w:rsid w:val="00E572CB"/>
    <w:rsid w:val="00E57359"/>
    <w:rsid w:val="00E573C8"/>
    <w:rsid w:val="00E573E1"/>
    <w:rsid w:val="00E57407"/>
    <w:rsid w:val="00E57442"/>
    <w:rsid w:val="00E57509"/>
    <w:rsid w:val="00E57510"/>
    <w:rsid w:val="00E57536"/>
    <w:rsid w:val="00E57570"/>
    <w:rsid w:val="00E575C2"/>
    <w:rsid w:val="00E5767C"/>
    <w:rsid w:val="00E5774F"/>
    <w:rsid w:val="00E57777"/>
    <w:rsid w:val="00E57795"/>
    <w:rsid w:val="00E577F0"/>
    <w:rsid w:val="00E577FC"/>
    <w:rsid w:val="00E5780C"/>
    <w:rsid w:val="00E578C4"/>
    <w:rsid w:val="00E578E5"/>
    <w:rsid w:val="00E57A22"/>
    <w:rsid w:val="00E57B69"/>
    <w:rsid w:val="00E57BC3"/>
    <w:rsid w:val="00E57CCA"/>
    <w:rsid w:val="00E57D8F"/>
    <w:rsid w:val="00E57D9D"/>
    <w:rsid w:val="00E57DD5"/>
    <w:rsid w:val="00E57E29"/>
    <w:rsid w:val="00E57F38"/>
    <w:rsid w:val="00E600A7"/>
    <w:rsid w:val="00E60129"/>
    <w:rsid w:val="00E6012B"/>
    <w:rsid w:val="00E601DF"/>
    <w:rsid w:val="00E60334"/>
    <w:rsid w:val="00E603B1"/>
    <w:rsid w:val="00E603E0"/>
    <w:rsid w:val="00E603EE"/>
    <w:rsid w:val="00E6040D"/>
    <w:rsid w:val="00E60468"/>
    <w:rsid w:val="00E60497"/>
    <w:rsid w:val="00E604AF"/>
    <w:rsid w:val="00E604DD"/>
    <w:rsid w:val="00E604E2"/>
    <w:rsid w:val="00E60507"/>
    <w:rsid w:val="00E6050E"/>
    <w:rsid w:val="00E60551"/>
    <w:rsid w:val="00E6058A"/>
    <w:rsid w:val="00E6058E"/>
    <w:rsid w:val="00E60610"/>
    <w:rsid w:val="00E60640"/>
    <w:rsid w:val="00E6069D"/>
    <w:rsid w:val="00E608CC"/>
    <w:rsid w:val="00E6098B"/>
    <w:rsid w:val="00E60994"/>
    <w:rsid w:val="00E609EF"/>
    <w:rsid w:val="00E60A2E"/>
    <w:rsid w:val="00E60A3F"/>
    <w:rsid w:val="00E60A41"/>
    <w:rsid w:val="00E60AF1"/>
    <w:rsid w:val="00E60BD1"/>
    <w:rsid w:val="00E60BFD"/>
    <w:rsid w:val="00E60C13"/>
    <w:rsid w:val="00E60C9B"/>
    <w:rsid w:val="00E60D0A"/>
    <w:rsid w:val="00E60D8E"/>
    <w:rsid w:val="00E60DAB"/>
    <w:rsid w:val="00E60F3B"/>
    <w:rsid w:val="00E60F85"/>
    <w:rsid w:val="00E60F9D"/>
    <w:rsid w:val="00E6100C"/>
    <w:rsid w:val="00E61039"/>
    <w:rsid w:val="00E61055"/>
    <w:rsid w:val="00E610CE"/>
    <w:rsid w:val="00E610F1"/>
    <w:rsid w:val="00E61118"/>
    <w:rsid w:val="00E6117C"/>
    <w:rsid w:val="00E611D3"/>
    <w:rsid w:val="00E61265"/>
    <w:rsid w:val="00E61303"/>
    <w:rsid w:val="00E61398"/>
    <w:rsid w:val="00E613D1"/>
    <w:rsid w:val="00E61409"/>
    <w:rsid w:val="00E6144D"/>
    <w:rsid w:val="00E6151D"/>
    <w:rsid w:val="00E615A8"/>
    <w:rsid w:val="00E615F6"/>
    <w:rsid w:val="00E6160D"/>
    <w:rsid w:val="00E61632"/>
    <w:rsid w:val="00E616C3"/>
    <w:rsid w:val="00E6183B"/>
    <w:rsid w:val="00E61877"/>
    <w:rsid w:val="00E61884"/>
    <w:rsid w:val="00E6189E"/>
    <w:rsid w:val="00E618C8"/>
    <w:rsid w:val="00E618EC"/>
    <w:rsid w:val="00E618FD"/>
    <w:rsid w:val="00E619EE"/>
    <w:rsid w:val="00E61AD7"/>
    <w:rsid w:val="00E61B96"/>
    <w:rsid w:val="00E61BBC"/>
    <w:rsid w:val="00E61C45"/>
    <w:rsid w:val="00E61C67"/>
    <w:rsid w:val="00E61CC4"/>
    <w:rsid w:val="00E61CF5"/>
    <w:rsid w:val="00E61D88"/>
    <w:rsid w:val="00E61DB7"/>
    <w:rsid w:val="00E61DC6"/>
    <w:rsid w:val="00E61E7A"/>
    <w:rsid w:val="00E61E88"/>
    <w:rsid w:val="00E61EE7"/>
    <w:rsid w:val="00E61FB5"/>
    <w:rsid w:val="00E6209F"/>
    <w:rsid w:val="00E620C3"/>
    <w:rsid w:val="00E6214C"/>
    <w:rsid w:val="00E62178"/>
    <w:rsid w:val="00E621C5"/>
    <w:rsid w:val="00E621F4"/>
    <w:rsid w:val="00E6221A"/>
    <w:rsid w:val="00E622DF"/>
    <w:rsid w:val="00E62340"/>
    <w:rsid w:val="00E6235F"/>
    <w:rsid w:val="00E62397"/>
    <w:rsid w:val="00E623AA"/>
    <w:rsid w:val="00E623AC"/>
    <w:rsid w:val="00E623F6"/>
    <w:rsid w:val="00E62434"/>
    <w:rsid w:val="00E6243A"/>
    <w:rsid w:val="00E62479"/>
    <w:rsid w:val="00E624C8"/>
    <w:rsid w:val="00E6264B"/>
    <w:rsid w:val="00E62694"/>
    <w:rsid w:val="00E62704"/>
    <w:rsid w:val="00E627C7"/>
    <w:rsid w:val="00E627DB"/>
    <w:rsid w:val="00E627E0"/>
    <w:rsid w:val="00E6283E"/>
    <w:rsid w:val="00E6286B"/>
    <w:rsid w:val="00E62893"/>
    <w:rsid w:val="00E628EB"/>
    <w:rsid w:val="00E6290A"/>
    <w:rsid w:val="00E62971"/>
    <w:rsid w:val="00E6297C"/>
    <w:rsid w:val="00E6298D"/>
    <w:rsid w:val="00E62999"/>
    <w:rsid w:val="00E629BF"/>
    <w:rsid w:val="00E629CD"/>
    <w:rsid w:val="00E629EC"/>
    <w:rsid w:val="00E62A04"/>
    <w:rsid w:val="00E62A05"/>
    <w:rsid w:val="00E62A09"/>
    <w:rsid w:val="00E62A1B"/>
    <w:rsid w:val="00E62A42"/>
    <w:rsid w:val="00E62A68"/>
    <w:rsid w:val="00E62B6D"/>
    <w:rsid w:val="00E62BDD"/>
    <w:rsid w:val="00E62C06"/>
    <w:rsid w:val="00E62CCB"/>
    <w:rsid w:val="00E62D38"/>
    <w:rsid w:val="00E62D9A"/>
    <w:rsid w:val="00E62DFD"/>
    <w:rsid w:val="00E62E8F"/>
    <w:rsid w:val="00E62EFF"/>
    <w:rsid w:val="00E62F5E"/>
    <w:rsid w:val="00E62FF7"/>
    <w:rsid w:val="00E63043"/>
    <w:rsid w:val="00E63067"/>
    <w:rsid w:val="00E630BD"/>
    <w:rsid w:val="00E630CC"/>
    <w:rsid w:val="00E63119"/>
    <w:rsid w:val="00E63134"/>
    <w:rsid w:val="00E63188"/>
    <w:rsid w:val="00E631B7"/>
    <w:rsid w:val="00E631F5"/>
    <w:rsid w:val="00E63257"/>
    <w:rsid w:val="00E6329D"/>
    <w:rsid w:val="00E632BD"/>
    <w:rsid w:val="00E63323"/>
    <w:rsid w:val="00E633CF"/>
    <w:rsid w:val="00E633E8"/>
    <w:rsid w:val="00E633F3"/>
    <w:rsid w:val="00E6343B"/>
    <w:rsid w:val="00E634A8"/>
    <w:rsid w:val="00E63502"/>
    <w:rsid w:val="00E635EA"/>
    <w:rsid w:val="00E636E8"/>
    <w:rsid w:val="00E63720"/>
    <w:rsid w:val="00E63724"/>
    <w:rsid w:val="00E63751"/>
    <w:rsid w:val="00E63778"/>
    <w:rsid w:val="00E63808"/>
    <w:rsid w:val="00E63847"/>
    <w:rsid w:val="00E63891"/>
    <w:rsid w:val="00E639BC"/>
    <w:rsid w:val="00E639E9"/>
    <w:rsid w:val="00E63A5A"/>
    <w:rsid w:val="00E63ACB"/>
    <w:rsid w:val="00E63C66"/>
    <w:rsid w:val="00E63D4C"/>
    <w:rsid w:val="00E63D99"/>
    <w:rsid w:val="00E63DB2"/>
    <w:rsid w:val="00E63E8F"/>
    <w:rsid w:val="00E63F59"/>
    <w:rsid w:val="00E6410F"/>
    <w:rsid w:val="00E64168"/>
    <w:rsid w:val="00E641F8"/>
    <w:rsid w:val="00E6424E"/>
    <w:rsid w:val="00E64301"/>
    <w:rsid w:val="00E64369"/>
    <w:rsid w:val="00E6439C"/>
    <w:rsid w:val="00E643AD"/>
    <w:rsid w:val="00E643EC"/>
    <w:rsid w:val="00E64420"/>
    <w:rsid w:val="00E6449A"/>
    <w:rsid w:val="00E644A3"/>
    <w:rsid w:val="00E644B6"/>
    <w:rsid w:val="00E64504"/>
    <w:rsid w:val="00E64570"/>
    <w:rsid w:val="00E6467B"/>
    <w:rsid w:val="00E64699"/>
    <w:rsid w:val="00E646D9"/>
    <w:rsid w:val="00E6471E"/>
    <w:rsid w:val="00E64742"/>
    <w:rsid w:val="00E647A0"/>
    <w:rsid w:val="00E64816"/>
    <w:rsid w:val="00E64839"/>
    <w:rsid w:val="00E64843"/>
    <w:rsid w:val="00E648EC"/>
    <w:rsid w:val="00E64971"/>
    <w:rsid w:val="00E64A4E"/>
    <w:rsid w:val="00E64A8D"/>
    <w:rsid w:val="00E64AEE"/>
    <w:rsid w:val="00E64B00"/>
    <w:rsid w:val="00E64B6F"/>
    <w:rsid w:val="00E64B94"/>
    <w:rsid w:val="00E64BBC"/>
    <w:rsid w:val="00E64CBD"/>
    <w:rsid w:val="00E64D27"/>
    <w:rsid w:val="00E64D70"/>
    <w:rsid w:val="00E64D74"/>
    <w:rsid w:val="00E64DA0"/>
    <w:rsid w:val="00E64E45"/>
    <w:rsid w:val="00E64E60"/>
    <w:rsid w:val="00E64E86"/>
    <w:rsid w:val="00E64EB3"/>
    <w:rsid w:val="00E64F0B"/>
    <w:rsid w:val="00E64F58"/>
    <w:rsid w:val="00E64F85"/>
    <w:rsid w:val="00E64FF7"/>
    <w:rsid w:val="00E64FF9"/>
    <w:rsid w:val="00E6500F"/>
    <w:rsid w:val="00E65092"/>
    <w:rsid w:val="00E650B8"/>
    <w:rsid w:val="00E65114"/>
    <w:rsid w:val="00E651D1"/>
    <w:rsid w:val="00E6520F"/>
    <w:rsid w:val="00E6523E"/>
    <w:rsid w:val="00E65243"/>
    <w:rsid w:val="00E65263"/>
    <w:rsid w:val="00E652B1"/>
    <w:rsid w:val="00E652C3"/>
    <w:rsid w:val="00E6535A"/>
    <w:rsid w:val="00E6536C"/>
    <w:rsid w:val="00E6545D"/>
    <w:rsid w:val="00E65512"/>
    <w:rsid w:val="00E6552B"/>
    <w:rsid w:val="00E655C3"/>
    <w:rsid w:val="00E65674"/>
    <w:rsid w:val="00E656D1"/>
    <w:rsid w:val="00E656D9"/>
    <w:rsid w:val="00E657BF"/>
    <w:rsid w:val="00E65845"/>
    <w:rsid w:val="00E6584F"/>
    <w:rsid w:val="00E6586C"/>
    <w:rsid w:val="00E65999"/>
    <w:rsid w:val="00E65A1D"/>
    <w:rsid w:val="00E65A53"/>
    <w:rsid w:val="00E65A6B"/>
    <w:rsid w:val="00E65A74"/>
    <w:rsid w:val="00E65B13"/>
    <w:rsid w:val="00E65B69"/>
    <w:rsid w:val="00E65B71"/>
    <w:rsid w:val="00E65B9C"/>
    <w:rsid w:val="00E65BA2"/>
    <w:rsid w:val="00E65BC9"/>
    <w:rsid w:val="00E65C14"/>
    <w:rsid w:val="00E65C16"/>
    <w:rsid w:val="00E65C2A"/>
    <w:rsid w:val="00E65CA5"/>
    <w:rsid w:val="00E65D5C"/>
    <w:rsid w:val="00E65DA2"/>
    <w:rsid w:val="00E65DA4"/>
    <w:rsid w:val="00E65DB1"/>
    <w:rsid w:val="00E65DB8"/>
    <w:rsid w:val="00E65F81"/>
    <w:rsid w:val="00E65FF1"/>
    <w:rsid w:val="00E66071"/>
    <w:rsid w:val="00E6616E"/>
    <w:rsid w:val="00E661A3"/>
    <w:rsid w:val="00E661CD"/>
    <w:rsid w:val="00E661DC"/>
    <w:rsid w:val="00E66288"/>
    <w:rsid w:val="00E66289"/>
    <w:rsid w:val="00E6629F"/>
    <w:rsid w:val="00E6632F"/>
    <w:rsid w:val="00E66348"/>
    <w:rsid w:val="00E6648D"/>
    <w:rsid w:val="00E664F5"/>
    <w:rsid w:val="00E66501"/>
    <w:rsid w:val="00E665C1"/>
    <w:rsid w:val="00E665D6"/>
    <w:rsid w:val="00E665DC"/>
    <w:rsid w:val="00E6663F"/>
    <w:rsid w:val="00E66641"/>
    <w:rsid w:val="00E6670F"/>
    <w:rsid w:val="00E667BD"/>
    <w:rsid w:val="00E6683B"/>
    <w:rsid w:val="00E668E0"/>
    <w:rsid w:val="00E66986"/>
    <w:rsid w:val="00E66A3F"/>
    <w:rsid w:val="00E66A5F"/>
    <w:rsid w:val="00E66B3A"/>
    <w:rsid w:val="00E66B82"/>
    <w:rsid w:val="00E66CE6"/>
    <w:rsid w:val="00E66D8C"/>
    <w:rsid w:val="00E66DC7"/>
    <w:rsid w:val="00E66DD9"/>
    <w:rsid w:val="00E66DE4"/>
    <w:rsid w:val="00E66F14"/>
    <w:rsid w:val="00E66F21"/>
    <w:rsid w:val="00E66F3F"/>
    <w:rsid w:val="00E66FA5"/>
    <w:rsid w:val="00E67011"/>
    <w:rsid w:val="00E6702C"/>
    <w:rsid w:val="00E67060"/>
    <w:rsid w:val="00E67097"/>
    <w:rsid w:val="00E67112"/>
    <w:rsid w:val="00E67130"/>
    <w:rsid w:val="00E67165"/>
    <w:rsid w:val="00E67170"/>
    <w:rsid w:val="00E67191"/>
    <w:rsid w:val="00E671C6"/>
    <w:rsid w:val="00E671C7"/>
    <w:rsid w:val="00E672E0"/>
    <w:rsid w:val="00E6730C"/>
    <w:rsid w:val="00E67382"/>
    <w:rsid w:val="00E6740C"/>
    <w:rsid w:val="00E67427"/>
    <w:rsid w:val="00E67554"/>
    <w:rsid w:val="00E67564"/>
    <w:rsid w:val="00E67647"/>
    <w:rsid w:val="00E676C5"/>
    <w:rsid w:val="00E676E0"/>
    <w:rsid w:val="00E67713"/>
    <w:rsid w:val="00E67734"/>
    <w:rsid w:val="00E67795"/>
    <w:rsid w:val="00E678C4"/>
    <w:rsid w:val="00E67916"/>
    <w:rsid w:val="00E67958"/>
    <w:rsid w:val="00E67970"/>
    <w:rsid w:val="00E67982"/>
    <w:rsid w:val="00E67999"/>
    <w:rsid w:val="00E67A59"/>
    <w:rsid w:val="00E67ABB"/>
    <w:rsid w:val="00E67BCE"/>
    <w:rsid w:val="00E67CBD"/>
    <w:rsid w:val="00E67D4D"/>
    <w:rsid w:val="00E67D9D"/>
    <w:rsid w:val="00E67DA9"/>
    <w:rsid w:val="00E67DEB"/>
    <w:rsid w:val="00E67E26"/>
    <w:rsid w:val="00E67EA6"/>
    <w:rsid w:val="00E67F6D"/>
    <w:rsid w:val="00E67F85"/>
    <w:rsid w:val="00E67FE6"/>
    <w:rsid w:val="00E70039"/>
    <w:rsid w:val="00E70046"/>
    <w:rsid w:val="00E70202"/>
    <w:rsid w:val="00E7022C"/>
    <w:rsid w:val="00E70272"/>
    <w:rsid w:val="00E703CA"/>
    <w:rsid w:val="00E705CD"/>
    <w:rsid w:val="00E7081A"/>
    <w:rsid w:val="00E7084A"/>
    <w:rsid w:val="00E70885"/>
    <w:rsid w:val="00E70890"/>
    <w:rsid w:val="00E708B1"/>
    <w:rsid w:val="00E70934"/>
    <w:rsid w:val="00E70935"/>
    <w:rsid w:val="00E709B8"/>
    <w:rsid w:val="00E70A5B"/>
    <w:rsid w:val="00E70A60"/>
    <w:rsid w:val="00E70A89"/>
    <w:rsid w:val="00E70B56"/>
    <w:rsid w:val="00E70B7A"/>
    <w:rsid w:val="00E70B93"/>
    <w:rsid w:val="00E70BA2"/>
    <w:rsid w:val="00E70D68"/>
    <w:rsid w:val="00E70DB4"/>
    <w:rsid w:val="00E70DD7"/>
    <w:rsid w:val="00E70DFD"/>
    <w:rsid w:val="00E70E41"/>
    <w:rsid w:val="00E70E4E"/>
    <w:rsid w:val="00E70E6B"/>
    <w:rsid w:val="00E70F56"/>
    <w:rsid w:val="00E70F84"/>
    <w:rsid w:val="00E711A9"/>
    <w:rsid w:val="00E711C6"/>
    <w:rsid w:val="00E711E0"/>
    <w:rsid w:val="00E711ED"/>
    <w:rsid w:val="00E711F6"/>
    <w:rsid w:val="00E7120E"/>
    <w:rsid w:val="00E71214"/>
    <w:rsid w:val="00E713F5"/>
    <w:rsid w:val="00E714CB"/>
    <w:rsid w:val="00E714F0"/>
    <w:rsid w:val="00E7150A"/>
    <w:rsid w:val="00E715E3"/>
    <w:rsid w:val="00E71612"/>
    <w:rsid w:val="00E71635"/>
    <w:rsid w:val="00E716BF"/>
    <w:rsid w:val="00E716DD"/>
    <w:rsid w:val="00E716E2"/>
    <w:rsid w:val="00E7171D"/>
    <w:rsid w:val="00E7181A"/>
    <w:rsid w:val="00E71905"/>
    <w:rsid w:val="00E71912"/>
    <w:rsid w:val="00E7197B"/>
    <w:rsid w:val="00E7199B"/>
    <w:rsid w:val="00E719CB"/>
    <w:rsid w:val="00E71A00"/>
    <w:rsid w:val="00E71B46"/>
    <w:rsid w:val="00E71B4F"/>
    <w:rsid w:val="00E71BD0"/>
    <w:rsid w:val="00E71C45"/>
    <w:rsid w:val="00E71C8F"/>
    <w:rsid w:val="00E71D29"/>
    <w:rsid w:val="00E71DBB"/>
    <w:rsid w:val="00E71DC0"/>
    <w:rsid w:val="00E71F85"/>
    <w:rsid w:val="00E721BE"/>
    <w:rsid w:val="00E721D0"/>
    <w:rsid w:val="00E72287"/>
    <w:rsid w:val="00E7229A"/>
    <w:rsid w:val="00E72371"/>
    <w:rsid w:val="00E723C3"/>
    <w:rsid w:val="00E72439"/>
    <w:rsid w:val="00E7246F"/>
    <w:rsid w:val="00E72478"/>
    <w:rsid w:val="00E72481"/>
    <w:rsid w:val="00E72487"/>
    <w:rsid w:val="00E72598"/>
    <w:rsid w:val="00E725E2"/>
    <w:rsid w:val="00E726E9"/>
    <w:rsid w:val="00E72711"/>
    <w:rsid w:val="00E72753"/>
    <w:rsid w:val="00E7276C"/>
    <w:rsid w:val="00E727E5"/>
    <w:rsid w:val="00E72820"/>
    <w:rsid w:val="00E728BF"/>
    <w:rsid w:val="00E728CF"/>
    <w:rsid w:val="00E72923"/>
    <w:rsid w:val="00E72979"/>
    <w:rsid w:val="00E729D0"/>
    <w:rsid w:val="00E72A6E"/>
    <w:rsid w:val="00E72A75"/>
    <w:rsid w:val="00E72AB7"/>
    <w:rsid w:val="00E72B76"/>
    <w:rsid w:val="00E72C3A"/>
    <w:rsid w:val="00E72C40"/>
    <w:rsid w:val="00E72C4C"/>
    <w:rsid w:val="00E72C50"/>
    <w:rsid w:val="00E72D3D"/>
    <w:rsid w:val="00E72D7E"/>
    <w:rsid w:val="00E72E99"/>
    <w:rsid w:val="00E72EE0"/>
    <w:rsid w:val="00E72F4D"/>
    <w:rsid w:val="00E72F78"/>
    <w:rsid w:val="00E73049"/>
    <w:rsid w:val="00E73180"/>
    <w:rsid w:val="00E731F0"/>
    <w:rsid w:val="00E73272"/>
    <w:rsid w:val="00E73303"/>
    <w:rsid w:val="00E73389"/>
    <w:rsid w:val="00E7344C"/>
    <w:rsid w:val="00E73456"/>
    <w:rsid w:val="00E73485"/>
    <w:rsid w:val="00E734AF"/>
    <w:rsid w:val="00E734CE"/>
    <w:rsid w:val="00E735AC"/>
    <w:rsid w:val="00E7368C"/>
    <w:rsid w:val="00E736AA"/>
    <w:rsid w:val="00E736BB"/>
    <w:rsid w:val="00E736DF"/>
    <w:rsid w:val="00E736E5"/>
    <w:rsid w:val="00E73708"/>
    <w:rsid w:val="00E73772"/>
    <w:rsid w:val="00E737E4"/>
    <w:rsid w:val="00E738D8"/>
    <w:rsid w:val="00E73901"/>
    <w:rsid w:val="00E73903"/>
    <w:rsid w:val="00E7395D"/>
    <w:rsid w:val="00E7396C"/>
    <w:rsid w:val="00E739AA"/>
    <w:rsid w:val="00E739E7"/>
    <w:rsid w:val="00E739EB"/>
    <w:rsid w:val="00E73A81"/>
    <w:rsid w:val="00E73A84"/>
    <w:rsid w:val="00E73B33"/>
    <w:rsid w:val="00E73BCA"/>
    <w:rsid w:val="00E73C58"/>
    <w:rsid w:val="00E73CA0"/>
    <w:rsid w:val="00E73CE6"/>
    <w:rsid w:val="00E73D3B"/>
    <w:rsid w:val="00E73E77"/>
    <w:rsid w:val="00E73E7E"/>
    <w:rsid w:val="00E73F00"/>
    <w:rsid w:val="00E73F06"/>
    <w:rsid w:val="00E73F21"/>
    <w:rsid w:val="00E73F6D"/>
    <w:rsid w:val="00E73F9D"/>
    <w:rsid w:val="00E73FA2"/>
    <w:rsid w:val="00E73FD3"/>
    <w:rsid w:val="00E7407F"/>
    <w:rsid w:val="00E74082"/>
    <w:rsid w:val="00E740F7"/>
    <w:rsid w:val="00E741B7"/>
    <w:rsid w:val="00E741F8"/>
    <w:rsid w:val="00E741FB"/>
    <w:rsid w:val="00E7427C"/>
    <w:rsid w:val="00E742AE"/>
    <w:rsid w:val="00E742E4"/>
    <w:rsid w:val="00E74308"/>
    <w:rsid w:val="00E74328"/>
    <w:rsid w:val="00E74332"/>
    <w:rsid w:val="00E743C5"/>
    <w:rsid w:val="00E743C8"/>
    <w:rsid w:val="00E74485"/>
    <w:rsid w:val="00E744E6"/>
    <w:rsid w:val="00E744FB"/>
    <w:rsid w:val="00E744FC"/>
    <w:rsid w:val="00E74535"/>
    <w:rsid w:val="00E74703"/>
    <w:rsid w:val="00E74766"/>
    <w:rsid w:val="00E7478D"/>
    <w:rsid w:val="00E74791"/>
    <w:rsid w:val="00E74911"/>
    <w:rsid w:val="00E749AD"/>
    <w:rsid w:val="00E749B7"/>
    <w:rsid w:val="00E749F6"/>
    <w:rsid w:val="00E749FC"/>
    <w:rsid w:val="00E74A53"/>
    <w:rsid w:val="00E74A86"/>
    <w:rsid w:val="00E74B38"/>
    <w:rsid w:val="00E74B9A"/>
    <w:rsid w:val="00E74C07"/>
    <w:rsid w:val="00E74CE6"/>
    <w:rsid w:val="00E74CFB"/>
    <w:rsid w:val="00E74D3A"/>
    <w:rsid w:val="00E74D64"/>
    <w:rsid w:val="00E74DD2"/>
    <w:rsid w:val="00E74DDF"/>
    <w:rsid w:val="00E74E71"/>
    <w:rsid w:val="00E74E8D"/>
    <w:rsid w:val="00E74EC8"/>
    <w:rsid w:val="00E74EF5"/>
    <w:rsid w:val="00E74EFE"/>
    <w:rsid w:val="00E74F05"/>
    <w:rsid w:val="00E7505D"/>
    <w:rsid w:val="00E750AC"/>
    <w:rsid w:val="00E750E9"/>
    <w:rsid w:val="00E7511F"/>
    <w:rsid w:val="00E7518F"/>
    <w:rsid w:val="00E752E4"/>
    <w:rsid w:val="00E7532E"/>
    <w:rsid w:val="00E7537E"/>
    <w:rsid w:val="00E754D4"/>
    <w:rsid w:val="00E75519"/>
    <w:rsid w:val="00E755EA"/>
    <w:rsid w:val="00E75632"/>
    <w:rsid w:val="00E7569D"/>
    <w:rsid w:val="00E756C0"/>
    <w:rsid w:val="00E756FB"/>
    <w:rsid w:val="00E757B8"/>
    <w:rsid w:val="00E75894"/>
    <w:rsid w:val="00E758AE"/>
    <w:rsid w:val="00E75901"/>
    <w:rsid w:val="00E7590C"/>
    <w:rsid w:val="00E75930"/>
    <w:rsid w:val="00E759CC"/>
    <w:rsid w:val="00E75AB2"/>
    <w:rsid w:val="00E75ABD"/>
    <w:rsid w:val="00E75B4E"/>
    <w:rsid w:val="00E75B57"/>
    <w:rsid w:val="00E75BAE"/>
    <w:rsid w:val="00E75BC0"/>
    <w:rsid w:val="00E75CBD"/>
    <w:rsid w:val="00E75D61"/>
    <w:rsid w:val="00E75D98"/>
    <w:rsid w:val="00E75E42"/>
    <w:rsid w:val="00E75E9F"/>
    <w:rsid w:val="00E75F0D"/>
    <w:rsid w:val="00E75F86"/>
    <w:rsid w:val="00E75F93"/>
    <w:rsid w:val="00E760C3"/>
    <w:rsid w:val="00E76136"/>
    <w:rsid w:val="00E761A5"/>
    <w:rsid w:val="00E761FA"/>
    <w:rsid w:val="00E7625A"/>
    <w:rsid w:val="00E762C2"/>
    <w:rsid w:val="00E76455"/>
    <w:rsid w:val="00E7648B"/>
    <w:rsid w:val="00E7659E"/>
    <w:rsid w:val="00E76652"/>
    <w:rsid w:val="00E7667E"/>
    <w:rsid w:val="00E766A2"/>
    <w:rsid w:val="00E767C2"/>
    <w:rsid w:val="00E767D0"/>
    <w:rsid w:val="00E7681B"/>
    <w:rsid w:val="00E7681C"/>
    <w:rsid w:val="00E76866"/>
    <w:rsid w:val="00E7689F"/>
    <w:rsid w:val="00E769B9"/>
    <w:rsid w:val="00E76AC4"/>
    <w:rsid w:val="00E76AC8"/>
    <w:rsid w:val="00E76AEE"/>
    <w:rsid w:val="00E76B78"/>
    <w:rsid w:val="00E76B8A"/>
    <w:rsid w:val="00E76BD7"/>
    <w:rsid w:val="00E76C46"/>
    <w:rsid w:val="00E76C8A"/>
    <w:rsid w:val="00E76CC0"/>
    <w:rsid w:val="00E76D19"/>
    <w:rsid w:val="00E76D30"/>
    <w:rsid w:val="00E76D3C"/>
    <w:rsid w:val="00E76D82"/>
    <w:rsid w:val="00E76D84"/>
    <w:rsid w:val="00E76DA1"/>
    <w:rsid w:val="00E76DD6"/>
    <w:rsid w:val="00E76E0A"/>
    <w:rsid w:val="00E76E31"/>
    <w:rsid w:val="00E76E44"/>
    <w:rsid w:val="00E76E69"/>
    <w:rsid w:val="00E76ED6"/>
    <w:rsid w:val="00E76FD3"/>
    <w:rsid w:val="00E77024"/>
    <w:rsid w:val="00E770CF"/>
    <w:rsid w:val="00E770F3"/>
    <w:rsid w:val="00E77118"/>
    <w:rsid w:val="00E7712C"/>
    <w:rsid w:val="00E771FA"/>
    <w:rsid w:val="00E7723F"/>
    <w:rsid w:val="00E773ED"/>
    <w:rsid w:val="00E774D0"/>
    <w:rsid w:val="00E774EE"/>
    <w:rsid w:val="00E77544"/>
    <w:rsid w:val="00E7754D"/>
    <w:rsid w:val="00E776F6"/>
    <w:rsid w:val="00E77706"/>
    <w:rsid w:val="00E77723"/>
    <w:rsid w:val="00E77775"/>
    <w:rsid w:val="00E77800"/>
    <w:rsid w:val="00E77884"/>
    <w:rsid w:val="00E778DB"/>
    <w:rsid w:val="00E77981"/>
    <w:rsid w:val="00E779D3"/>
    <w:rsid w:val="00E77A60"/>
    <w:rsid w:val="00E77AD2"/>
    <w:rsid w:val="00E77AED"/>
    <w:rsid w:val="00E77B6A"/>
    <w:rsid w:val="00E77BB3"/>
    <w:rsid w:val="00E77C0C"/>
    <w:rsid w:val="00E77CCE"/>
    <w:rsid w:val="00E77CF9"/>
    <w:rsid w:val="00E77CFA"/>
    <w:rsid w:val="00E77D1E"/>
    <w:rsid w:val="00E77D9F"/>
    <w:rsid w:val="00E77DC1"/>
    <w:rsid w:val="00E77DD0"/>
    <w:rsid w:val="00E77E0B"/>
    <w:rsid w:val="00E77EA6"/>
    <w:rsid w:val="00E77F17"/>
    <w:rsid w:val="00E80085"/>
    <w:rsid w:val="00E800A0"/>
    <w:rsid w:val="00E80130"/>
    <w:rsid w:val="00E8013D"/>
    <w:rsid w:val="00E80170"/>
    <w:rsid w:val="00E801C0"/>
    <w:rsid w:val="00E80349"/>
    <w:rsid w:val="00E803E1"/>
    <w:rsid w:val="00E80454"/>
    <w:rsid w:val="00E8048D"/>
    <w:rsid w:val="00E804D3"/>
    <w:rsid w:val="00E80539"/>
    <w:rsid w:val="00E80596"/>
    <w:rsid w:val="00E805A1"/>
    <w:rsid w:val="00E805C9"/>
    <w:rsid w:val="00E805DA"/>
    <w:rsid w:val="00E805E9"/>
    <w:rsid w:val="00E80653"/>
    <w:rsid w:val="00E806CF"/>
    <w:rsid w:val="00E806EE"/>
    <w:rsid w:val="00E8070D"/>
    <w:rsid w:val="00E80768"/>
    <w:rsid w:val="00E807A9"/>
    <w:rsid w:val="00E807E3"/>
    <w:rsid w:val="00E808EE"/>
    <w:rsid w:val="00E80948"/>
    <w:rsid w:val="00E80A2C"/>
    <w:rsid w:val="00E80A8F"/>
    <w:rsid w:val="00E80AD1"/>
    <w:rsid w:val="00E80B77"/>
    <w:rsid w:val="00E80B7B"/>
    <w:rsid w:val="00E80C2F"/>
    <w:rsid w:val="00E80C6A"/>
    <w:rsid w:val="00E80CB5"/>
    <w:rsid w:val="00E80DCB"/>
    <w:rsid w:val="00E80DFD"/>
    <w:rsid w:val="00E80E43"/>
    <w:rsid w:val="00E80E5D"/>
    <w:rsid w:val="00E80E9C"/>
    <w:rsid w:val="00E80E9D"/>
    <w:rsid w:val="00E80EBE"/>
    <w:rsid w:val="00E80F39"/>
    <w:rsid w:val="00E80F77"/>
    <w:rsid w:val="00E80F97"/>
    <w:rsid w:val="00E80FCF"/>
    <w:rsid w:val="00E811F8"/>
    <w:rsid w:val="00E8122A"/>
    <w:rsid w:val="00E812A1"/>
    <w:rsid w:val="00E812B9"/>
    <w:rsid w:val="00E8137D"/>
    <w:rsid w:val="00E813DE"/>
    <w:rsid w:val="00E8143B"/>
    <w:rsid w:val="00E815D9"/>
    <w:rsid w:val="00E815E5"/>
    <w:rsid w:val="00E81672"/>
    <w:rsid w:val="00E81793"/>
    <w:rsid w:val="00E8183F"/>
    <w:rsid w:val="00E818B9"/>
    <w:rsid w:val="00E81970"/>
    <w:rsid w:val="00E81995"/>
    <w:rsid w:val="00E819CD"/>
    <w:rsid w:val="00E819D5"/>
    <w:rsid w:val="00E81A16"/>
    <w:rsid w:val="00E81A27"/>
    <w:rsid w:val="00E81B48"/>
    <w:rsid w:val="00E81B4A"/>
    <w:rsid w:val="00E81C69"/>
    <w:rsid w:val="00E81CF8"/>
    <w:rsid w:val="00E81E0A"/>
    <w:rsid w:val="00E81EE2"/>
    <w:rsid w:val="00E81F02"/>
    <w:rsid w:val="00E81F75"/>
    <w:rsid w:val="00E81FB6"/>
    <w:rsid w:val="00E82006"/>
    <w:rsid w:val="00E82027"/>
    <w:rsid w:val="00E8211F"/>
    <w:rsid w:val="00E82163"/>
    <w:rsid w:val="00E821DD"/>
    <w:rsid w:val="00E8225F"/>
    <w:rsid w:val="00E822EB"/>
    <w:rsid w:val="00E8235C"/>
    <w:rsid w:val="00E82408"/>
    <w:rsid w:val="00E8244D"/>
    <w:rsid w:val="00E824CE"/>
    <w:rsid w:val="00E824DF"/>
    <w:rsid w:val="00E8257C"/>
    <w:rsid w:val="00E8259F"/>
    <w:rsid w:val="00E825AE"/>
    <w:rsid w:val="00E825D5"/>
    <w:rsid w:val="00E825F8"/>
    <w:rsid w:val="00E8268B"/>
    <w:rsid w:val="00E826D5"/>
    <w:rsid w:val="00E82782"/>
    <w:rsid w:val="00E82855"/>
    <w:rsid w:val="00E82885"/>
    <w:rsid w:val="00E828E3"/>
    <w:rsid w:val="00E828FC"/>
    <w:rsid w:val="00E82902"/>
    <w:rsid w:val="00E8295C"/>
    <w:rsid w:val="00E82A14"/>
    <w:rsid w:val="00E82A85"/>
    <w:rsid w:val="00E82A96"/>
    <w:rsid w:val="00E82B6C"/>
    <w:rsid w:val="00E82BE6"/>
    <w:rsid w:val="00E82C2E"/>
    <w:rsid w:val="00E82CFF"/>
    <w:rsid w:val="00E82E04"/>
    <w:rsid w:val="00E82E5E"/>
    <w:rsid w:val="00E82E98"/>
    <w:rsid w:val="00E82EBE"/>
    <w:rsid w:val="00E82ED5"/>
    <w:rsid w:val="00E82EF9"/>
    <w:rsid w:val="00E82F79"/>
    <w:rsid w:val="00E83031"/>
    <w:rsid w:val="00E83118"/>
    <w:rsid w:val="00E83145"/>
    <w:rsid w:val="00E831AE"/>
    <w:rsid w:val="00E83248"/>
    <w:rsid w:val="00E83270"/>
    <w:rsid w:val="00E832B2"/>
    <w:rsid w:val="00E832D0"/>
    <w:rsid w:val="00E83386"/>
    <w:rsid w:val="00E83402"/>
    <w:rsid w:val="00E83420"/>
    <w:rsid w:val="00E8343A"/>
    <w:rsid w:val="00E8350C"/>
    <w:rsid w:val="00E8355E"/>
    <w:rsid w:val="00E83597"/>
    <w:rsid w:val="00E835AA"/>
    <w:rsid w:val="00E83627"/>
    <w:rsid w:val="00E83737"/>
    <w:rsid w:val="00E8378A"/>
    <w:rsid w:val="00E83791"/>
    <w:rsid w:val="00E837D3"/>
    <w:rsid w:val="00E837F6"/>
    <w:rsid w:val="00E839C8"/>
    <w:rsid w:val="00E839E0"/>
    <w:rsid w:val="00E83A6F"/>
    <w:rsid w:val="00E83A77"/>
    <w:rsid w:val="00E83AB8"/>
    <w:rsid w:val="00E83AEF"/>
    <w:rsid w:val="00E83B34"/>
    <w:rsid w:val="00E83B5C"/>
    <w:rsid w:val="00E83B89"/>
    <w:rsid w:val="00E83B92"/>
    <w:rsid w:val="00E83BA7"/>
    <w:rsid w:val="00E83BF9"/>
    <w:rsid w:val="00E83C07"/>
    <w:rsid w:val="00E83CBC"/>
    <w:rsid w:val="00E83D81"/>
    <w:rsid w:val="00E83E37"/>
    <w:rsid w:val="00E83E7A"/>
    <w:rsid w:val="00E83E7D"/>
    <w:rsid w:val="00E83E8E"/>
    <w:rsid w:val="00E83F81"/>
    <w:rsid w:val="00E8404B"/>
    <w:rsid w:val="00E84094"/>
    <w:rsid w:val="00E8409E"/>
    <w:rsid w:val="00E840B6"/>
    <w:rsid w:val="00E84123"/>
    <w:rsid w:val="00E8414C"/>
    <w:rsid w:val="00E841B0"/>
    <w:rsid w:val="00E84217"/>
    <w:rsid w:val="00E8428E"/>
    <w:rsid w:val="00E8429F"/>
    <w:rsid w:val="00E842C6"/>
    <w:rsid w:val="00E842F4"/>
    <w:rsid w:val="00E84394"/>
    <w:rsid w:val="00E843B4"/>
    <w:rsid w:val="00E844CB"/>
    <w:rsid w:val="00E844CD"/>
    <w:rsid w:val="00E8450A"/>
    <w:rsid w:val="00E84590"/>
    <w:rsid w:val="00E845AB"/>
    <w:rsid w:val="00E845C8"/>
    <w:rsid w:val="00E8461F"/>
    <w:rsid w:val="00E84707"/>
    <w:rsid w:val="00E8476C"/>
    <w:rsid w:val="00E847DD"/>
    <w:rsid w:val="00E8488E"/>
    <w:rsid w:val="00E848E0"/>
    <w:rsid w:val="00E8491D"/>
    <w:rsid w:val="00E84938"/>
    <w:rsid w:val="00E8493B"/>
    <w:rsid w:val="00E849A7"/>
    <w:rsid w:val="00E84A61"/>
    <w:rsid w:val="00E84AB4"/>
    <w:rsid w:val="00E84AF0"/>
    <w:rsid w:val="00E84AF7"/>
    <w:rsid w:val="00E84B2F"/>
    <w:rsid w:val="00E84B98"/>
    <w:rsid w:val="00E84C54"/>
    <w:rsid w:val="00E84D6F"/>
    <w:rsid w:val="00E84DBE"/>
    <w:rsid w:val="00E84EFD"/>
    <w:rsid w:val="00E84F77"/>
    <w:rsid w:val="00E84F9E"/>
    <w:rsid w:val="00E84FAD"/>
    <w:rsid w:val="00E84FC4"/>
    <w:rsid w:val="00E85062"/>
    <w:rsid w:val="00E850F2"/>
    <w:rsid w:val="00E851E9"/>
    <w:rsid w:val="00E8541D"/>
    <w:rsid w:val="00E8542C"/>
    <w:rsid w:val="00E85477"/>
    <w:rsid w:val="00E854B2"/>
    <w:rsid w:val="00E85501"/>
    <w:rsid w:val="00E8557F"/>
    <w:rsid w:val="00E855B4"/>
    <w:rsid w:val="00E85676"/>
    <w:rsid w:val="00E856E7"/>
    <w:rsid w:val="00E85808"/>
    <w:rsid w:val="00E8580B"/>
    <w:rsid w:val="00E858E0"/>
    <w:rsid w:val="00E8591D"/>
    <w:rsid w:val="00E85973"/>
    <w:rsid w:val="00E859CC"/>
    <w:rsid w:val="00E85AC3"/>
    <w:rsid w:val="00E85B7D"/>
    <w:rsid w:val="00E85BEE"/>
    <w:rsid w:val="00E85CBE"/>
    <w:rsid w:val="00E85D2D"/>
    <w:rsid w:val="00E85D44"/>
    <w:rsid w:val="00E85D6A"/>
    <w:rsid w:val="00E85D9D"/>
    <w:rsid w:val="00E85DCE"/>
    <w:rsid w:val="00E85E66"/>
    <w:rsid w:val="00E85F2E"/>
    <w:rsid w:val="00E85F5D"/>
    <w:rsid w:val="00E85FCB"/>
    <w:rsid w:val="00E86034"/>
    <w:rsid w:val="00E8603A"/>
    <w:rsid w:val="00E860A3"/>
    <w:rsid w:val="00E860F8"/>
    <w:rsid w:val="00E8611E"/>
    <w:rsid w:val="00E8614C"/>
    <w:rsid w:val="00E861B2"/>
    <w:rsid w:val="00E86268"/>
    <w:rsid w:val="00E862BF"/>
    <w:rsid w:val="00E862D1"/>
    <w:rsid w:val="00E862F9"/>
    <w:rsid w:val="00E863F5"/>
    <w:rsid w:val="00E8645B"/>
    <w:rsid w:val="00E864B2"/>
    <w:rsid w:val="00E864B4"/>
    <w:rsid w:val="00E86517"/>
    <w:rsid w:val="00E8651D"/>
    <w:rsid w:val="00E8661E"/>
    <w:rsid w:val="00E86621"/>
    <w:rsid w:val="00E8666C"/>
    <w:rsid w:val="00E866B3"/>
    <w:rsid w:val="00E866B6"/>
    <w:rsid w:val="00E866D1"/>
    <w:rsid w:val="00E86776"/>
    <w:rsid w:val="00E868D9"/>
    <w:rsid w:val="00E869E2"/>
    <w:rsid w:val="00E86BD4"/>
    <w:rsid w:val="00E86BDB"/>
    <w:rsid w:val="00E86DB6"/>
    <w:rsid w:val="00E86E25"/>
    <w:rsid w:val="00E86FE2"/>
    <w:rsid w:val="00E86FE9"/>
    <w:rsid w:val="00E8702F"/>
    <w:rsid w:val="00E87075"/>
    <w:rsid w:val="00E87118"/>
    <w:rsid w:val="00E87138"/>
    <w:rsid w:val="00E87141"/>
    <w:rsid w:val="00E87174"/>
    <w:rsid w:val="00E872C3"/>
    <w:rsid w:val="00E872D8"/>
    <w:rsid w:val="00E872F9"/>
    <w:rsid w:val="00E8732E"/>
    <w:rsid w:val="00E87343"/>
    <w:rsid w:val="00E87345"/>
    <w:rsid w:val="00E87429"/>
    <w:rsid w:val="00E8744E"/>
    <w:rsid w:val="00E8746D"/>
    <w:rsid w:val="00E874B4"/>
    <w:rsid w:val="00E874EE"/>
    <w:rsid w:val="00E874FA"/>
    <w:rsid w:val="00E87551"/>
    <w:rsid w:val="00E875AC"/>
    <w:rsid w:val="00E875FE"/>
    <w:rsid w:val="00E87620"/>
    <w:rsid w:val="00E8764D"/>
    <w:rsid w:val="00E87666"/>
    <w:rsid w:val="00E8766F"/>
    <w:rsid w:val="00E876CE"/>
    <w:rsid w:val="00E8778E"/>
    <w:rsid w:val="00E877AA"/>
    <w:rsid w:val="00E8789E"/>
    <w:rsid w:val="00E87A03"/>
    <w:rsid w:val="00E87AC3"/>
    <w:rsid w:val="00E87AD4"/>
    <w:rsid w:val="00E87B6A"/>
    <w:rsid w:val="00E87B74"/>
    <w:rsid w:val="00E87BBA"/>
    <w:rsid w:val="00E87BDD"/>
    <w:rsid w:val="00E87BF8"/>
    <w:rsid w:val="00E87C89"/>
    <w:rsid w:val="00E87CF2"/>
    <w:rsid w:val="00E87CF6"/>
    <w:rsid w:val="00E87D87"/>
    <w:rsid w:val="00E87DF7"/>
    <w:rsid w:val="00E87E77"/>
    <w:rsid w:val="00E87EF8"/>
    <w:rsid w:val="00E87FBB"/>
    <w:rsid w:val="00E87FFC"/>
    <w:rsid w:val="00E90048"/>
    <w:rsid w:val="00E9005E"/>
    <w:rsid w:val="00E90089"/>
    <w:rsid w:val="00E90099"/>
    <w:rsid w:val="00E900DE"/>
    <w:rsid w:val="00E90112"/>
    <w:rsid w:val="00E9028D"/>
    <w:rsid w:val="00E90327"/>
    <w:rsid w:val="00E90349"/>
    <w:rsid w:val="00E90376"/>
    <w:rsid w:val="00E903D7"/>
    <w:rsid w:val="00E903F9"/>
    <w:rsid w:val="00E90442"/>
    <w:rsid w:val="00E90475"/>
    <w:rsid w:val="00E90573"/>
    <w:rsid w:val="00E90592"/>
    <w:rsid w:val="00E905DB"/>
    <w:rsid w:val="00E905E0"/>
    <w:rsid w:val="00E9063D"/>
    <w:rsid w:val="00E906C2"/>
    <w:rsid w:val="00E90760"/>
    <w:rsid w:val="00E90786"/>
    <w:rsid w:val="00E907BC"/>
    <w:rsid w:val="00E9080D"/>
    <w:rsid w:val="00E90833"/>
    <w:rsid w:val="00E90924"/>
    <w:rsid w:val="00E9094C"/>
    <w:rsid w:val="00E9099F"/>
    <w:rsid w:val="00E909F8"/>
    <w:rsid w:val="00E90A87"/>
    <w:rsid w:val="00E90B4D"/>
    <w:rsid w:val="00E90BD3"/>
    <w:rsid w:val="00E90C08"/>
    <w:rsid w:val="00E90C12"/>
    <w:rsid w:val="00E90C3F"/>
    <w:rsid w:val="00E90C68"/>
    <w:rsid w:val="00E90D8E"/>
    <w:rsid w:val="00E90DAB"/>
    <w:rsid w:val="00E90DAD"/>
    <w:rsid w:val="00E90E60"/>
    <w:rsid w:val="00E90EEC"/>
    <w:rsid w:val="00E90F1F"/>
    <w:rsid w:val="00E90FBC"/>
    <w:rsid w:val="00E91047"/>
    <w:rsid w:val="00E91088"/>
    <w:rsid w:val="00E91117"/>
    <w:rsid w:val="00E911A1"/>
    <w:rsid w:val="00E9134F"/>
    <w:rsid w:val="00E91366"/>
    <w:rsid w:val="00E9136D"/>
    <w:rsid w:val="00E913A9"/>
    <w:rsid w:val="00E913B6"/>
    <w:rsid w:val="00E913C3"/>
    <w:rsid w:val="00E91446"/>
    <w:rsid w:val="00E9149E"/>
    <w:rsid w:val="00E914B5"/>
    <w:rsid w:val="00E914CD"/>
    <w:rsid w:val="00E914DA"/>
    <w:rsid w:val="00E914E7"/>
    <w:rsid w:val="00E9151B"/>
    <w:rsid w:val="00E915A9"/>
    <w:rsid w:val="00E915CA"/>
    <w:rsid w:val="00E91697"/>
    <w:rsid w:val="00E916AD"/>
    <w:rsid w:val="00E916F4"/>
    <w:rsid w:val="00E9174F"/>
    <w:rsid w:val="00E917CD"/>
    <w:rsid w:val="00E917DC"/>
    <w:rsid w:val="00E918DD"/>
    <w:rsid w:val="00E918FB"/>
    <w:rsid w:val="00E91903"/>
    <w:rsid w:val="00E91A16"/>
    <w:rsid w:val="00E91A5C"/>
    <w:rsid w:val="00E91A60"/>
    <w:rsid w:val="00E91A7E"/>
    <w:rsid w:val="00E91C33"/>
    <w:rsid w:val="00E91C91"/>
    <w:rsid w:val="00E91CBD"/>
    <w:rsid w:val="00E91CF2"/>
    <w:rsid w:val="00E91D4F"/>
    <w:rsid w:val="00E91D80"/>
    <w:rsid w:val="00E91DD0"/>
    <w:rsid w:val="00E91F2D"/>
    <w:rsid w:val="00E91F43"/>
    <w:rsid w:val="00E91F91"/>
    <w:rsid w:val="00E91FED"/>
    <w:rsid w:val="00E92012"/>
    <w:rsid w:val="00E92083"/>
    <w:rsid w:val="00E92096"/>
    <w:rsid w:val="00E920AE"/>
    <w:rsid w:val="00E920C8"/>
    <w:rsid w:val="00E920D7"/>
    <w:rsid w:val="00E920DA"/>
    <w:rsid w:val="00E9210B"/>
    <w:rsid w:val="00E921BE"/>
    <w:rsid w:val="00E92200"/>
    <w:rsid w:val="00E9221D"/>
    <w:rsid w:val="00E922CA"/>
    <w:rsid w:val="00E92326"/>
    <w:rsid w:val="00E92398"/>
    <w:rsid w:val="00E923CF"/>
    <w:rsid w:val="00E9241F"/>
    <w:rsid w:val="00E924F1"/>
    <w:rsid w:val="00E92544"/>
    <w:rsid w:val="00E92553"/>
    <w:rsid w:val="00E925BA"/>
    <w:rsid w:val="00E925C1"/>
    <w:rsid w:val="00E92605"/>
    <w:rsid w:val="00E92606"/>
    <w:rsid w:val="00E927FC"/>
    <w:rsid w:val="00E92845"/>
    <w:rsid w:val="00E92854"/>
    <w:rsid w:val="00E92916"/>
    <w:rsid w:val="00E92996"/>
    <w:rsid w:val="00E929B0"/>
    <w:rsid w:val="00E92A1B"/>
    <w:rsid w:val="00E92A74"/>
    <w:rsid w:val="00E92B73"/>
    <w:rsid w:val="00E92B80"/>
    <w:rsid w:val="00E92B85"/>
    <w:rsid w:val="00E92BE2"/>
    <w:rsid w:val="00E92C3B"/>
    <w:rsid w:val="00E92C9B"/>
    <w:rsid w:val="00E92DBE"/>
    <w:rsid w:val="00E92DDD"/>
    <w:rsid w:val="00E92EE8"/>
    <w:rsid w:val="00E9301F"/>
    <w:rsid w:val="00E93023"/>
    <w:rsid w:val="00E930A3"/>
    <w:rsid w:val="00E930E9"/>
    <w:rsid w:val="00E931D1"/>
    <w:rsid w:val="00E93354"/>
    <w:rsid w:val="00E93363"/>
    <w:rsid w:val="00E9337B"/>
    <w:rsid w:val="00E933AF"/>
    <w:rsid w:val="00E933F8"/>
    <w:rsid w:val="00E9342C"/>
    <w:rsid w:val="00E934EC"/>
    <w:rsid w:val="00E9350E"/>
    <w:rsid w:val="00E9352A"/>
    <w:rsid w:val="00E93586"/>
    <w:rsid w:val="00E93721"/>
    <w:rsid w:val="00E93748"/>
    <w:rsid w:val="00E939C2"/>
    <w:rsid w:val="00E939F0"/>
    <w:rsid w:val="00E93B37"/>
    <w:rsid w:val="00E93B52"/>
    <w:rsid w:val="00E93B59"/>
    <w:rsid w:val="00E93BAE"/>
    <w:rsid w:val="00E93BC5"/>
    <w:rsid w:val="00E93BEA"/>
    <w:rsid w:val="00E93BF1"/>
    <w:rsid w:val="00E93C73"/>
    <w:rsid w:val="00E93CD9"/>
    <w:rsid w:val="00E93DD3"/>
    <w:rsid w:val="00E93DEE"/>
    <w:rsid w:val="00E93E8B"/>
    <w:rsid w:val="00E93EC8"/>
    <w:rsid w:val="00E93F2E"/>
    <w:rsid w:val="00E93F6B"/>
    <w:rsid w:val="00E93FAA"/>
    <w:rsid w:val="00E93FB8"/>
    <w:rsid w:val="00E9401A"/>
    <w:rsid w:val="00E94025"/>
    <w:rsid w:val="00E94066"/>
    <w:rsid w:val="00E9409C"/>
    <w:rsid w:val="00E940BD"/>
    <w:rsid w:val="00E9410B"/>
    <w:rsid w:val="00E9415A"/>
    <w:rsid w:val="00E94207"/>
    <w:rsid w:val="00E9423E"/>
    <w:rsid w:val="00E942AC"/>
    <w:rsid w:val="00E9438E"/>
    <w:rsid w:val="00E944B2"/>
    <w:rsid w:val="00E945FE"/>
    <w:rsid w:val="00E94653"/>
    <w:rsid w:val="00E9468D"/>
    <w:rsid w:val="00E94696"/>
    <w:rsid w:val="00E946DA"/>
    <w:rsid w:val="00E946E0"/>
    <w:rsid w:val="00E946F6"/>
    <w:rsid w:val="00E94749"/>
    <w:rsid w:val="00E9477D"/>
    <w:rsid w:val="00E947A3"/>
    <w:rsid w:val="00E947FF"/>
    <w:rsid w:val="00E94809"/>
    <w:rsid w:val="00E94870"/>
    <w:rsid w:val="00E948D2"/>
    <w:rsid w:val="00E9491A"/>
    <w:rsid w:val="00E94975"/>
    <w:rsid w:val="00E94980"/>
    <w:rsid w:val="00E949B2"/>
    <w:rsid w:val="00E949EB"/>
    <w:rsid w:val="00E94AA1"/>
    <w:rsid w:val="00E94AE7"/>
    <w:rsid w:val="00E94B6E"/>
    <w:rsid w:val="00E94BB0"/>
    <w:rsid w:val="00E94BC4"/>
    <w:rsid w:val="00E94C88"/>
    <w:rsid w:val="00E94CB2"/>
    <w:rsid w:val="00E94D37"/>
    <w:rsid w:val="00E94DF4"/>
    <w:rsid w:val="00E94E40"/>
    <w:rsid w:val="00E94E91"/>
    <w:rsid w:val="00E94EFA"/>
    <w:rsid w:val="00E94F4D"/>
    <w:rsid w:val="00E94F85"/>
    <w:rsid w:val="00E94FBE"/>
    <w:rsid w:val="00E9508D"/>
    <w:rsid w:val="00E95123"/>
    <w:rsid w:val="00E95167"/>
    <w:rsid w:val="00E95225"/>
    <w:rsid w:val="00E9526B"/>
    <w:rsid w:val="00E95288"/>
    <w:rsid w:val="00E952E3"/>
    <w:rsid w:val="00E9541E"/>
    <w:rsid w:val="00E954A3"/>
    <w:rsid w:val="00E954F4"/>
    <w:rsid w:val="00E95525"/>
    <w:rsid w:val="00E9554F"/>
    <w:rsid w:val="00E955B0"/>
    <w:rsid w:val="00E955FE"/>
    <w:rsid w:val="00E95635"/>
    <w:rsid w:val="00E9569F"/>
    <w:rsid w:val="00E956C8"/>
    <w:rsid w:val="00E9577D"/>
    <w:rsid w:val="00E95799"/>
    <w:rsid w:val="00E95803"/>
    <w:rsid w:val="00E9583B"/>
    <w:rsid w:val="00E9584A"/>
    <w:rsid w:val="00E958F0"/>
    <w:rsid w:val="00E95955"/>
    <w:rsid w:val="00E95958"/>
    <w:rsid w:val="00E95986"/>
    <w:rsid w:val="00E959C4"/>
    <w:rsid w:val="00E959E1"/>
    <w:rsid w:val="00E95BD2"/>
    <w:rsid w:val="00E95C89"/>
    <w:rsid w:val="00E95CFC"/>
    <w:rsid w:val="00E95D21"/>
    <w:rsid w:val="00E95D2B"/>
    <w:rsid w:val="00E95DD7"/>
    <w:rsid w:val="00E95E19"/>
    <w:rsid w:val="00E95E9E"/>
    <w:rsid w:val="00E95FDB"/>
    <w:rsid w:val="00E960E6"/>
    <w:rsid w:val="00E960F6"/>
    <w:rsid w:val="00E96100"/>
    <w:rsid w:val="00E96118"/>
    <w:rsid w:val="00E96123"/>
    <w:rsid w:val="00E96177"/>
    <w:rsid w:val="00E961C7"/>
    <w:rsid w:val="00E961D8"/>
    <w:rsid w:val="00E9620F"/>
    <w:rsid w:val="00E96252"/>
    <w:rsid w:val="00E9628E"/>
    <w:rsid w:val="00E962D7"/>
    <w:rsid w:val="00E962D9"/>
    <w:rsid w:val="00E962E0"/>
    <w:rsid w:val="00E96330"/>
    <w:rsid w:val="00E96352"/>
    <w:rsid w:val="00E9636E"/>
    <w:rsid w:val="00E963B8"/>
    <w:rsid w:val="00E963CA"/>
    <w:rsid w:val="00E963F0"/>
    <w:rsid w:val="00E963F3"/>
    <w:rsid w:val="00E96555"/>
    <w:rsid w:val="00E96584"/>
    <w:rsid w:val="00E965AD"/>
    <w:rsid w:val="00E965DE"/>
    <w:rsid w:val="00E965F8"/>
    <w:rsid w:val="00E9661D"/>
    <w:rsid w:val="00E96628"/>
    <w:rsid w:val="00E96683"/>
    <w:rsid w:val="00E966E3"/>
    <w:rsid w:val="00E966FB"/>
    <w:rsid w:val="00E96717"/>
    <w:rsid w:val="00E96768"/>
    <w:rsid w:val="00E96942"/>
    <w:rsid w:val="00E96972"/>
    <w:rsid w:val="00E969F5"/>
    <w:rsid w:val="00E96A31"/>
    <w:rsid w:val="00E96ABC"/>
    <w:rsid w:val="00E96B80"/>
    <w:rsid w:val="00E96BE3"/>
    <w:rsid w:val="00E96BFD"/>
    <w:rsid w:val="00E96BFF"/>
    <w:rsid w:val="00E96C22"/>
    <w:rsid w:val="00E96CD2"/>
    <w:rsid w:val="00E96DA6"/>
    <w:rsid w:val="00E96DC8"/>
    <w:rsid w:val="00E96E03"/>
    <w:rsid w:val="00E96E10"/>
    <w:rsid w:val="00E96E75"/>
    <w:rsid w:val="00E96E92"/>
    <w:rsid w:val="00E96EFA"/>
    <w:rsid w:val="00E96F13"/>
    <w:rsid w:val="00E96F2F"/>
    <w:rsid w:val="00E96F41"/>
    <w:rsid w:val="00E96F6B"/>
    <w:rsid w:val="00E97047"/>
    <w:rsid w:val="00E97049"/>
    <w:rsid w:val="00E97066"/>
    <w:rsid w:val="00E97111"/>
    <w:rsid w:val="00E9711E"/>
    <w:rsid w:val="00E97160"/>
    <w:rsid w:val="00E971D6"/>
    <w:rsid w:val="00E97259"/>
    <w:rsid w:val="00E97286"/>
    <w:rsid w:val="00E97289"/>
    <w:rsid w:val="00E97310"/>
    <w:rsid w:val="00E9735E"/>
    <w:rsid w:val="00E9738F"/>
    <w:rsid w:val="00E973B0"/>
    <w:rsid w:val="00E973FF"/>
    <w:rsid w:val="00E9743D"/>
    <w:rsid w:val="00E97454"/>
    <w:rsid w:val="00E974F2"/>
    <w:rsid w:val="00E974F8"/>
    <w:rsid w:val="00E9760E"/>
    <w:rsid w:val="00E976CE"/>
    <w:rsid w:val="00E97792"/>
    <w:rsid w:val="00E977ED"/>
    <w:rsid w:val="00E9782B"/>
    <w:rsid w:val="00E97886"/>
    <w:rsid w:val="00E97917"/>
    <w:rsid w:val="00E97932"/>
    <w:rsid w:val="00E9794A"/>
    <w:rsid w:val="00E97A46"/>
    <w:rsid w:val="00E97B1B"/>
    <w:rsid w:val="00E97C4C"/>
    <w:rsid w:val="00E97C86"/>
    <w:rsid w:val="00E97CE3"/>
    <w:rsid w:val="00E97CE5"/>
    <w:rsid w:val="00E97D47"/>
    <w:rsid w:val="00E97D52"/>
    <w:rsid w:val="00E97E18"/>
    <w:rsid w:val="00E97EC3"/>
    <w:rsid w:val="00E97F2F"/>
    <w:rsid w:val="00E97FD1"/>
    <w:rsid w:val="00E97FEB"/>
    <w:rsid w:val="00EA010B"/>
    <w:rsid w:val="00EA01F2"/>
    <w:rsid w:val="00EA0220"/>
    <w:rsid w:val="00EA027B"/>
    <w:rsid w:val="00EA0302"/>
    <w:rsid w:val="00EA0369"/>
    <w:rsid w:val="00EA037A"/>
    <w:rsid w:val="00EA059C"/>
    <w:rsid w:val="00EA05B3"/>
    <w:rsid w:val="00EA0662"/>
    <w:rsid w:val="00EA066F"/>
    <w:rsid w:val="00EA06B4"/>
    <w:rsid w:val="00EA0708"/>
    <w:rsid w:val="00EA0727"/>
    <w:rsid w:val="00EA08D9"/>
    <w:rsid w:val="00EA0945"/>
    <w:rsid w:val="00EA095D"/>
    <w:rsid w:val="00EA0986"/>
    <w:rsid w:val="00EA0A44"/>
    <w:rsid w:val="00EA0ABB"/>
    <w:rsid w:val="00EA0B45"/>
    <w:rsid w:val="00EA0BD4"/>
    <w:rsid w:val="00EA0BFD"/>
    <w:rsid w:val="00EA0C93"/>
    <w:rsid w:val="00EA0CB9"/>
    <w:rsid w:val="00EA0D6F"/>
    <w:rsid w:val="00EA0DB4"/>
    <w:rsid w:val="00EA0E56"/>
    <w:rsid w:val="00EA0F01"/>
    <w:rsid w:val="00EA0F4F"/>
    <w:rsid w:val="00EA0F76"/>
    <w:rsid w:val="00EA0F9C"/>
    <w:rsid w:val="00EA10C4"/>
    <w:rsid w:val="00EA10CF"/>
    <w:rsid w:val="00EA114C"/>
    <w:rsid w:val="00EA11ED"/>
    <w:rsid w:val="00EA121F"/>
    <w:rsid w:val="00EA123F"/>
    <w:rsid w:val="00EA12EB"/>
    <w:rsid w:val="00EA1307"/>
    <w:rsid w:val="00EA1336"/>
    <w:rsid w:val="00EA1361"/>
    <w:rsid w:val="00EA13CB"/>
    <w:rsid w:val="00EA13CD"/>
    <w:rsid w:val="00EA1446"/>
    <w:rsid w:val="00EA14AB"/>
    <w:rsid w:val="00EA153F"/>
    <w:rsid w:val="00EA15C7"/>
    <w:rsid w:val="00EA1616"/>
    <w:rsid w:val="00EA164A"/>
    <w:rsid w:val="00EA16A0"/>
    <w:rsid w:val="00EA1721"/>
    <w:rsid w:val="00EA1758"/>
    <w:rsid w:val="00EA1798"/>
    <w:rsid w:val="00EA17F1"/>
    <w:rsid w:val="00EA1807"/>
    <w:rsid w:val="00EA180E"/>
    <w:rsid w:val="00EA1842"/>
    <w:rsid w:val="00EA1943"/>
    <w:rsid w:val="00EA195B"/>
    <w:rsid w:val="00EA1962"/>
    <w:rsid w:val="00EA1A5C"/>
    <w:rsid w:val="00EA1A5E"/>
    <w:rsid w:val="00EA1ABC"/>
    <w:rsid w:val="00EA1AFD"/>
    <w:rsid w:val="00EA1B0B"/>
    <w:rsid w:val="00EA1BDA"/>
    <w:rsid w:val="00EA1BF2"/>
    <w:rsid w:val="00EA1C05"/>
    <w:rsid w:val="00EA1C9F"/>
    <w:rsid w:val="00EA1CA7"/>
    <w:rsid w:val="00EA1CF2"/>
    <w:rsid w:val="00EA1D35"/>
    <w:rsid w:val="00EA1DEF"/>
    <w:rsid w:val="00EA1E55"/>
    <w:rsid w:val="00EA1E8A"/>
    <w:rsid w:val="00EA1F4D"/>
    <w:rsid w:val="00EA1FCC"/>
    <w:rsid w:val="00EA1FD8"/>
    <w:rsid w:val="00EA1FDD"/>
    <w:rsid w:val="00EA21BE"/>
    <w:rsid w:val="00EA2209"/>
    <w:rsid w:val="00EA2240"/>
    <w:rsid w:val="00EA22C7"/>
    <w:rsid w:val="00EA2357"/>
    <w:rsid w:val="00EA2394"/>
    <w:rsid w:val="00EA23AC"/>
    <w:rsid w:val="00EA23CD"/>
    <w:rsid w:val="00EA23D4"/>
    <w:rsid w:val="00EA23ED"/>
    <w:rsid w:val="00EA23F7"/>
    <w:rsid w:val="00EA2414"/>
    <w:rsid w:val="00EA2446"/>
    <w:rsid w:val="00EA2495"/>
    <w:rsid w:val="00EA24E9"/>
    <w:rsid w:val="00EA24F8"/>
    <w:rsid w:val="00EA2555"/>
    <w:rsid w:val="00EA25C7"/>
    <w:rsid w:val="00EA262B"/>
    <w:rsid w:val="00EA26FE"/>
    <w:rsid w:val="00EA2722"/>
    <w:rsid w:val="00EA2729"/>
    <w:rsid w:val="00EA273C"/>
    <w:rsid w:val="00EA28F0"/>
    <w:rsid w:val="00EA29F9"/>
    <w:rsid w:val="00EA2A04"/>
    <w:rsid w:val="00EA2A38"/>
    <w:rsid w:val="00EA2A3E"/>
    <w:rsid w:val="00EA2AEB"/>
    <w:rsid w:val="00EA2B1F"/>
    <w:rsid w:val="00EA2C68"/>
    <w:rsid w:val="00EA2CA2"/>
    <w:rsid w:val="00EA2CCA"/>
    <w:rsid w:val="00EA2CD0"/>
    <w:rsid w:val="00EA2D10"/>
    <w:rsid w:val="00EA2D14"/>
    <w:rsid w:val="00EA2D49"/>
    <w:rsid w:val="00EA2D76"/>
    <w:rsid w:val="00EA2E6D"/>
    <w:rsid w:val="00EA2F10"/>
    <w:rsid w:val="00EA2F31"/>
    <w:rsid w:val="00EA2F4B"/>
    <w:rsid w:val="00EA2F90"/>
    <w:rsid w:val="00EA3075"/>
    <w:rsid w:val="00EA30CF"/>
    <w:rsid w:val="00EA31A3"/>
    <w:rsid w:val="00EA31E9"/>
    <w:rsid w:val="00EA3271"/>
    <w:rsid w:val="00EA32AC"/>
    <w:rsid w:val="00EA32FA"/>
    <w:rsid w:val="00EA3380"/>
    <w:rsid w:val="00EA33AE"/>
    <w:rsid w:val="00EA33B9"/>
    <w:rsid w:val="00EA33E3"/>
    <w:rsid w:val="00EA342B"/>
    <w:rsid w:val="00EA3479"/>
    <w:rsid w:val="00EA347E"/>
    <w:rsid w:val="00EA34AD"/>
    <w:rsid w:val="00EA3565"/>
    <w:rsid w:val="00EA35B7"/>
    <w:rsid w:val="00EA35F1"/>
    <w:rsid w:val="00EA36CE"/>
    <w:rsid w:val="00EA3725"/>
    <w:rsid w:val="00EA37D8"/>
    <w:rsid w:val="00EA385B"/>
    <w:rsid w:val="00EA3863"/>
    <w:rsid w:val="00EA38DB"/>
    <w:rsid w:val="00EA3968"/>
    <w:rsid w:val="00EA39CF"/>
    <w:rsid w:val="00EA3A38"/>
    <w:rsid w:val="00EA3A88"/>
    <w:rsid w:val="00EA3AA8"/>
    <w:rsid w:val="00EA3B00"/>
    <w:rsid w:val="00EA3B13"/>
    <w:rsid w:val="00EA3BC1"/>
    <w:rsid w:val="00EA3C11"/>
    <w:rsid w:val="00EA3C2E"/>
    <w:rsid w:val="00EA3E3D"/>
    <w:rsid w:val="00EA3E98"/>
    <w:rsid w:val="00EA3EB9"/>
    <w:rsid w:val="00EA3ED6"/>
    <w:rsid w:val="00EA3F89"/>
    <w:rsid w:val="00EA3FD5"/>
    <w:rsid w:val="00EA40D9"/>
    <w:rsid w:val="00EA41A0"/>
    <w:rsid w:val="00EA41C0"/>
    <w:rsid w:val="00EA41CC"/>
    <w:rsid w:val="00EA41E6"/>
    <w:rsid w:val="00EA4222"/>
    <w:rsid w:val="00EA4238"/>
    <w:rsid w:val="00EA430A"/>
    <w:rsid w:val="00EA4366"/>
    <w:rsid w:val="00EA4463"/>
    <w:rsid w:val="00EA44EC"/>
    <w:rsid w:val="00EA44EE"/>
    <w:rsid w:val="00EA45C0"/>
    <w:rsid w:val="00EA460A"/>
    <w:rsid w:val="00EA4640"/>
    <w:rsid w:val="00EA4658"/>
    <w:rsid w:val="00EA4681"/>
    <w:rsid w:val="00EA4780"/>
    <w:rsid w:val="00EA4784"/>
    <w:rsid w:val="00EA4788"/>
    <w:rsid w:val="00EA47A2"/>
    <w:rsid w:val="00EA4800"/>
    <w:rsid w:val="00EA4813"/>
    <w:rsid w:val="00EA4893"/>
    <w:rsid w:val="00EA48D3"/>
    <w:rsid w:val="00EA491A"/>
    <w:rsid w:val="00EA49A9"/>
    <w:rsid w:val="00EA49B4"/>
    <w:rsid w:val="00EA4AF4"/>
    <w:rsid w:val="00EA4AFB"/>
    <w:rsid w:val="00EA4BE9"/>
    <w:rsid w:val="00EA4C36"/>
    <w:rsid w:val="00EA4C6E"/>
    <w:rsid w:val="00EA4C8D"/>
    <w:rsid w:val="00EA4C9F"/>
    <w:rsid w:val="00EA4CA8"/>
    <w:rsid w:val="00EA4CDE"/>
    <w:rsid w:val="00EA4CFD"/>
    <w:rsid w:val="00EA4D11"/>
    <w:rsid w:val="00EA4D68"/>
    <w:rsid w:val="00EA4DC6"/>
    <w:rsid w:val="00EA4E8B"/>
    <w:rsid w:val="00EA4E8F"/>
    <w:rsid w:val="00EA4ECC"/>
    <w:rsid w:val="00EA4EF5"/>
    <w:rsid w:val="00EA4EF9"/>
    <w:rsid w:val="00EA4F19"/>
    <w:rsid w:val="00EA4F49"/>
    <w:rsid w:val="00EA4F5F"/>
    <w:rsid w:val="00EA4F8D"/>
    <w:rsid w:val="00EA4FCC"/>
    <w:rsid w:val="00EA4FD4"/>
    <w:rsid w:val="00EA4FD6"/>
    <w:rsid w:val="00EA4FE9"/>
    <w:rsid w:val="00EA4FFA"/>
    <w:rsid w:val="00EA50A7"/>
    <w:rsid w:val="00EA50B3"/>
    <w:rsid w:val="00EA513F"/>
    <w:rsid w:val="00EA519D"/>
    <w:rsid w:val="00EA525A"/>
    <w:rsid w:val="00EA528F"/>
    <w:rsid w:val="00EA52BC"/>
    <w:rsid w:val="00EA52DD"/>
    <w:rsid w:val="00EA53B0"/>
    <w:rsid w:val="00EA53F8"/>
    <w:rsid w:val="00EA54FC"/>
    <w:rsid w:val="00EA553A"/>
    <w:rsid w:val="00EA55FA"/>
    <w:rsid w:val="00EA55FB"/>
    <w:rsid w:val="00EA562B"/>
    <w:rsid w:val="00EA569E"/>
    <w:rsid w:val="00EA56CE"/>
    <w:rsid w:val="00EA5733"/>
    <w:rsid w:val="00EA5784"/>
    <w:rsid w:val="00EA580D"/>
    <w:rsid w:val="00EA588C"/>
    <w:rsid w:val="00EA5961"/>
    <w:rsid w:val="00EA59CE"/>
    <w:rsid w:val="00EA5A1C"/>
    <w:rsid w:val="00EA5A8D"/>
    <w:rsid w:val="00EA5B1B"/>
    <w:rsid w:val="00EA5B41"/>
    <w:rsid w:val="00EA5B7D"/>
    <w:rsid w:val="00EA5BAF"/>
    <w:rsid w:val="00EA5BC8"/>
    <w:rsid w:val="00EA5C12"/>
    <w:rsid w:val="00EA5C4F"/>
    <w:rsid w:val="00EA5C7C"/>
    <w:rsid w:val="00EA5CAD"/>
    <w:rsid w:val="00EA5DB5"/>
    <w:rsid w:val="00EA5DC4"/>
    <w:rsid w:val="00EA5ECF"/>
    <w:rsid w:val="00EA5F6B"/>
    <w:rsid w:val="00EA5F91"/>
    <w:rsid w:val="00EA601D"/>
    <w:rsid w:val="00EA609A"/>
    <w:rsid w:val="00EA60C5"/>
    <w:rsid w:val="00EA613D"/>
    <w:rsid w:val="00EA6176"/>
    <w:rsid w:val="00EA6318"/>
    <w:rsid w:val="00EA6376"/>
    <w:rsid w:val="00EA6396"/>
    <w:rsid w:val="00EA63E0"/>
    <w:rsid w:val="00EA6435"/>
    <w:rsid w:val="00EA64B2"/>
    <w:rsid w:val="00EA6515"/>
    <w:rsid w:val="00EA65E9"/>
    <w:rsid w:val="00EA6600"/>
    <w:rsid w:val="00EA66AE"/>
    <w:rsid w:val="00EA66B6"/>
    <w:rsid w:val="00EA67C6"/>
    <w:rsid w:val="00EA67FE"/>
    <w:rsid w:val="00EA6875"/>
    <w:rsid w:val="00EA689A"/>
    <w:rsid w:val="00EA68CE"/>
    <w:rsid w:val="00EA693B"/>
    <w:rsid w:val="00EA699F"/>
    <w:rsid w:val="00EA69B4"/>
    <w:rsid w:val="00EA6A72"/>
    <w:rsid w:val="00EA6A7F"/>
    <w:rsid w:val="00EA6AB5"/>
    <w:rsid w:val="00EA6AD2"/>
    <w:rsid w:val="00EA6AD6"/>
    <w:rsid w:val="00EA6AE3"/>
    <w:rsid w:val="00EA6B0C"/>
    <w:rsid w:val="00EA6B62"/>
    <w:rsid w:val="00EA6BD0"/>
    <w:rsid w:val="00EA6C81"/>
    <w:rsid w:val="00EA6CAD"/>
    <w:rsid w:val="00EA6CCB"/>
    <w:rsid w:val="00EA6DE9"/>
    <w:rsid w:val="00EA6E21"/>
    <w:rsid w:val="00EA6EA5"/>
    <w:rsid w:val="00EA6F6E"/>
    <w:rsid w:val="00EA70D4"/>
    <w:rsid w:val="00EA712C"/>
    <w:rsid w:val="00EA7132"/>
    <w:rsid w:val="00EA7160"/>
    <w:rsid w:val="00EA71A7"/>
    <w:rsid w:val="00EA71F2"/>
    <w:rsid w:val="00EA7239"/>
    <w:rsid w:val="00EA7293"/>
    <w:rsid w:val="00EA72B7"/>
    <w:rsid w:val="00EA7446"/>
    <w:rsid w:val="00EA7476"/>
    <w:rsid w:val="00EA74AB"/>
    <w:rsid w:val="00EA74E0"/>
    <w:rsid w:val="00EA74E4"/>
    <w:rsid w:val="00EA7541"/>
    <w:rsid w:val="00EA755C"/>
    <w:rsid w:val="00EA75A1"/>
    <w:rsid w:val="00EA75C5"/>
    <w:rsid w:val="00EA7627"/>
    <w:rsid w:val="00EA768F"/>
    <w:rsid w:val="00EA76DC"/>
    <w:rsid w:val="00EA777B"/>
    <w:rsid w:val="00EA77AE"/>
    <w:rsid w:val="00EA77C1"/>
    <w:rsid w:val="00EA7821"/>
    <w:rsid w:val="00EA7862"/>
    <w:rsid w:val="00EA787C"/>
    <w:rsid w:val="00EA7932"/>
    <w:rsid w:val="00EA79A0"/>
    <w:rsid w:val="00EA7A26"/>
    <w:rsid w:val="00EA7AA0"/>
    <w:rsid w:val="00EA7BBC"/>
    <w:rsid w:val="00EA7C3D"/>
    <w:rsid w:val="00EA7CA1"/>
    <w:rsid w:val="00EA7CA2"/>
    <w:rsid w:val="00EA7CC0"/>
    <w:rsid w:val="00EA7CE0"/>
    <w:rsid w:val="00EA7CF5"/>
    <w:rsid w:val="00EA7D58"/>
    <w:rsid w:val="00EA7DCB"/>
    <w:rsid w:val="00EA7DDF"/>
    <w:rsid w:val="00EA7E34"/>
    <w:rsid w:val="00EA7E86"/>
    <w:rsid w:val="00EA7E89"/>
    <w:rsid w:val="00EA7F2A"/>
    <w:rsid w:val="00EB008B"/>
    <w:rsid w:val="00EB00BA"/>
    <w:rsid w:val="00EB02E1"/>
    <w:rsid w:val="00EB032D"/>
    <w:rsid w:val="00EB0344"/>
    <w:rsid w:val="00EB04B1"/>
    <w:rsid w:val="00EB04DD"/>
    <w:rsid w:val="00EB05C6"/>
    <w:rsid w:val="00EB05F6"/>
    <w:rsid w:val="00EB0677"/>
    <w:rsid w:val="00EB0682"/>
    <w:rsid w:val="00EB0708"/>
    <w:rsid w:val="00EB0709"/>
    <w:rsid w:val="00EB0713"/>
    <w:rsid w:val="00EB079C"/>
    <w:rsid w:val="00EB082C"/>
    <w:rsid w:val="00EB0882"/>
    <w:rsid w:val="00EB08AE"/>
    <w:rsid w:val="00EB0916"/>
    <w:rsid w:val="00EB0982"/>
    <w:rsid w:val="00EB0989"/>
    <w:rsid w:val="00EB09A9"/>
    <w:rsid w:val="00EB09E7"/>
    <w:rsid w:val="00EB0A40"/>
    <w:rsid w:val="00EB0A8F"/>
    <w:rsid w:val="00EB0AC7"/>
    <w:rsid w:val="00EB0B01"/>
    <w:rsid w:val="00EB0B4C"/>
    <w:rsid w:val="00EB0BD3"/>
    <w:rsid w:val="00EB0BDC"/>
    <w:rsid w:val="00EB0BEC"/>
    <w:rsid w:val="00EB0CA5"/>
    <w:rsid w:val="00EB0CCA"/>
    <w:rsid w:val="00EB0CEA"/>
    <w:rsid w:val="00EB0D7C"/>
    <w:rsid w:val="00EB0D84"/>
    <w:rsid w:val="00EB0DA8"/>
    <w:rsid w:val="00EB0EB1"/>
    <w:rsid w:val="00EB0EBA"/>
    <w:rsid w:val="00EB0EEF"/>
    <w:rsid w:val="00EB0F30"/>
    <w:rsid w:val="00EB0FA9"/>
    <w:rsid w:val="00EB1039"/>
    <w:rsid w:val="00EB1190"/>
    <w:rsid w:val="00EB1279"/>
    <w:rsid w:val="00EB134E"/>
    <w:rsid w:val="00EB13BB"/>
    <w:rsid w:val="00EB140E"/>
    <w:rsid w:val="00EB144A"/>
    <w:rsid w:val="00EB148E"/>
    <w:rsid w:val="00EB14FB"/>
    <w:rsid w:val="00EB153C"/>
    <w:rsid w:val="00EB1558"/>
    <w:rsid w:val="00EB1596"/>
    <w:rsid w:val="00EB1599"/>
    <w:rsid w:val="00EB15FD"/>
    <w:rsid w:val="00EB15FF"/>
    <w:rsid w:val="00EB1614"/>
    <w:rsid w:val="00EB1646"/>
    <w:rsid w:val="00EB165F"/>
    <w:rsid w:val="00EB166B"/>
    <w:rsid w:val="00EB172D"/>
    <w:rsid w:val="00EB172E"/>
    <w:rsid w:val="00EB1730"/>
    <w:rsid w:val="00EB179D"/>
    <w:rsid w:val="00EB17B9"/>
    <w:rsid w:val="00EB17F5"/>
    <w:rsid w:val="00EB1801"/>
    <w:rsid w:val="00EB1877"/>
    <w:rsid w:val="00EB18AC"/>
    <w:rsid w:val="00EB1B47"/>
    <w:rsid w:val="00EB1B8A"/>
    <w:rsid w:val="00EB1B9D"/>
    <w:rsid w:val="00EB1BA5"/>
    <w:rsid w:val="00EB1BC9"/>
    <w:rsid w:val="00EB1BE9"/>
    <w:rsid w:val="00EB1CB1"/>
    <w:rsid w:val="00EB1CF5"/>
    <w:rsid w:val="00EB1CF7"/>
    <w:rsid w:val="00EB1DC6"/>
    <w:rsid w:val="00EB1E46"/>
    <w:rsid w:val="00EB1E64"/>
    <w:rsid w:val="00EB1F13"/>
    <w:rsid w:val="00EB1F37"/>
    <w:rsid w:val="00EB1F5F"/>
    <w:rsid w:val="00EB1F8C"/>
    <w:rsid w:val="00EB2085"/>
    <w:rsid w:val="00EB20B3"/>
    <w:rsid w:val="00EB20DA"/>
    <w:rsid w:val="00EB2139"/>
    <w:rsid w:val="00EB2221"/>
    <w:rsid w:val="00EB2239"/>
    <w:rsid w:val="00EB2262"/>
    <w:rsid w:val="00EB22CC"/>
    <w:rsid w:val="00EB22E0"/>
    <w:rsid w:val="00EB2356"/>
    <w:rsid w:val="00EB2385"/>
    <w:rsid w:val="00EB23DD"/>
    <w:rsid w:val="00EB2407"/>
    <w:rsid w:val="00EB2431"/>
    <w:rsid w:val="00EB245E"/>
    <w:rsid w:val="00EB2498"/>
    <w:rsid w:val="00EB24D3"/>
    <w:rsid w:val="00EB2602"/>
    <w:rsid w:val="00EB263C"/>
    <w:rsid w:val="00EB2683"/>
    <w:rsid w:val="00EB2749"/>
    <w:rsid w:val="00EB277D"/>
    <w:rsid w:val="00EB2829"/>
    <w:rsid w:val="00EB283F"/>
    <w:rsid w:val="00EB2864"/>
    <w:rsid w:val="00EB287C"/>
    <w:rsid w:val="00EB2996"/>
    <w:rsid w:val="00EB2A16"/>
    <w:rsid w:val="00EB2A22"/>
    <w:rsid w:val="00EB2A52"/>
    <w:rsid w:val="00EB2A90"/>
    <w:rsid w:val="00EB2AD8"/>
    <w:rsid w:val="00EB2B6B"/>
    <w:rsid w:val="00EB2BAF"/>
    <w:rsid w:val="00EB2BEE"/>
    <w:rsid w:val="00EB2C21"/>
    <w:rsid w:val="00EB2C2D"/>
    <w:rsid w:val="00EB2C61"/>
    <w:rsid w:val="00EB2C68"/>
    <w:rsid w:val="00EB2CC8"/>
    <w:rsid w:val="00EB2E4F"/>
    <w:rsid w:val="00EB2EC6"/>
    <w:rsid w:val="00EB2F11"/>
    <w:rsid w:val="00EB2F1C"/>
    <w:rsid w:val="00EB2FC6"/>
    <w:rsid w:val="00EB2FE8"/>
    <w:rsid w:val="00EB2FED"/>
    <w:rsid w:val="00EB3000"/>
    <w:rsid w:val="00EB3093"/>
    <w:rsid w:val="00EB3105"/>
    <w:rsid w:val="00EB3161"/>
    <w:rsid w:val="00EB3319"/>
    <w:rsid w:val="00EB336F"/>
    <w:rsid w:val="00EB33EE"/>
    <w:rsid w:val="00EB33FB"/>
    <w:rsid w:val="00EB33FE"/>
    <w:rsid w:val="00EB346C"/>
    <w:rsid w:val="00EB3476"/>
    <w:rsid w:val="00EB348A"/>
    <w:rsid w:val="00EB3495"/>
    <w:rsid w:val="00EB3517"/>
    <w:rsid w:val="00EB3608"/>
    <w:rsid w:val="00EB3610"/>
    <w:rsid w:val="00EB368E"/>
    <w:rsid w:val="00EB3745"/>
    <w:rsid w:val="00EB377F"/>
    <w:rsid w:val="00EB37F1"/>
    <w:rsid w:val="00EB39F3"/>
    <w:rsid w:val="00EB3A12"/>
    <w:rsid w:val="00EB3AAE"/>
    <w:rsid w:val="00EB3BC8"/>
    <w:rsid w:val="00EB3DAA"/>
    <w:rsid w:val="00EB3DB8"/>
    <w:rsid w:val="00EB3F36"/>
    <w:rsid w:val="00EB3F51"/>
    <w:rsid w:val="00EB3F89"/>
    <w:rsid w:val="00EB3F9D"/>
    <w:rsid w:val="00EB4054"/>
    <w:rsid w:val="00EB4088"/>
    <w:rsid w:val="00EB411A"/>
    <w:rsid w:val="00EB4156"/>
    <w:rsid w:val="00EB41D4"/>
    <w:rsid w:val="00EB42E8"/>
    <w:rsid w:val="00EB431C"/>
    <w:rsid w:val="00EB4325"/>
    <w:rsid w:val="00EB4333"/>
    <w:rsid w:val="00EB4346"/>
    <w:rsid w:val="00EB4407"/>
    <w:rsid w:val="00EB44E2"/>
    <w:rsid w:val="00EB44ED"/>
    <w:rsid w:val="00EB44F0"/>
    <w:rsid w:val="00EB44F6"/>
    <w:rsid w:val="00EB4516"/>
    <w:rsid w:val="00EB451B"/>
    <w:rsid w:val="00EB4556"/>
    <w:rsid w:val="00EB45B1"/>
    <w:rsid w:val="00EB4682"/>
    <w:rsid w:val="00EB4733"/>
    <w:rsid w:val="00EB4811"/>
    <w:rsid w:val="00EB4820"/>
    <w:rsid w:val="00EB48F8"/>
    <w:rsid w:val="00EB49A7"/>
    <w:rsid w:val="00EB49BF"/>
    <w:rsid w:val="00EB4A76"/>
    <w:rsid w:val="00EB4A81"/>
    <w:rsid w:val="00EB4AC0"/>
    <w:rsid w:val="00EB4B26"/>
    <w:rsid w:val="00EB4B45"/>
    <w:rsid w:val="00EB4B8F"/>
    <w:rsid w:val="00EB4C18"/>
    <w:rsid w:val="00EB4C22"/>
    <w:rsid w:val="00EB4CDE"/>
    <w:rsid w:val="00EB4D07"/>
    <w:rsid w:val="00EB4D6E"/>
    <w:rsid w:val="00EB4D98"/>
    <w:rsid w:val="00EB4DAA"/>
    <w:rsid w:val="00EB4DCD"/>
    <w:rsid w:val="00EB4DEE"/>
    <w:rsid w:val="00EB4E2E"/>
    <w:rsid w:val="00EB4ED0"/>
    <w:rsid w:val="00EB4EE3"/>
    <w:rsid w:val="00EB4F10"/>
    <w:rsid w:val="00EB4F95"/>
    <w:rsid w:val="00EB5024"/>
    <w:rsid w:val="00EB506E"/>
    <w:rsid w:val="00EB5090"/>
    <w:rsid w:val="00EB5098"/>
    <w:rsid w:val="00EB51CA"/>
    <w:rsid w:val="00EB5235"/>
    <w:rsid w:val="00EB5242"/>
    <w:rsid w:val="00EB5317"/>
    <w:rsid w:val="00EB531A"/>
    <w:rsid w:val="00EB5371"/>
    <w:rsid w:val="00EB544F"/>
    <w:rsid w:val="00EB546C"/>
    <w:rsid w:val="00EB54B2"/>
    <w:rsid w:val="00EB54D0"/>
    <w:rsid w:val="00EB5522"/>
    <w:rsid w:val="00EB558E"/>
    <w:rsid w:val="00EB567C"/>
    <w:rsid w:val="00EB5699"/>
    <w:rsid w:val="00EB582F"/>
    <w:rsid w:val="00EB5844"/>
    <w:rsid w:val="00EB5855"/>
    <w:rsid w:val="00EB589D"/>
    <w:rsid w:val="00EB5914"/>
    <w:rsid w:val="00EB5924"/>
    <w:rsid w:val="00EB59E0"/>
    <w:rsid w:val="00EB5A28"/>
    <w:rsid w:val="00EB5A68"/>
    <w:rsid w:val="00EB5CE3"/>
    <w:rsid w:val="00EB5D44"/>
    <w:rsid w:val="00EB5D85"/>
    <w:rsid w:val="00EB5D8F"/>
    <w:rsid w:val="00EB5DC4"/>
    <w:rsid w:val="00EB5DC6"/>
    <w:rsid w:val="00EB5DE9"/>
    <w:rsid w:val="00EB5E7B"/>
    <w:rsid w:val="00EB5E9E"/>
    <w:rsid w:val="00EB6129"/>
    <w:rsid w:val="00EB61EF"/>
    <w:rsid w:val="00EB6205"/>
    <w:rsid w:val="00EB623F"/>
    <w:rsid w:val="00EB628B"/>
    <w:rsid w:val="00EB632A"/>
    <w:rsid w:val="00EB638F"/>
    <w:rsid w:val="00EB63A0"/>
    <w:rsid w:val="00EB646D"/>
    <w:rsid w:val="00EB651D"/>
    <w:rsid w:val="00EB656E"/>
    <w:rsid w:val="00EB661C"/>
    <w:rsid w:val="00EB6668"/>
    <w:rsid w:val="00EB6695"/>
    <w:rsid w:val="00EB66E2"/>
    <w:rsid w:val="00EB6733"/>
    <w:rsid w:val="00EB67F4"/>
    <w:rsid w:val="00EB688D"/>
    <w:rsid w:val="00EB68DB"/>
    <w:rsid w:val="00EB69F4"/>
    <w:rsid w:val="00EB6B1A"/>
    <w:rsid w:val="00EB6B2A"/>
    <w:rsid w:val="00EB6BA4"/>
    <w:rsid w:val="00EB6BD3"/>
    <w:rsid w:val="00EB6BD7"/>
    <w:rsid w:val="00EB6BF0"/>
    <w:rsid w:val="00EB6C4E"/>
    <w:rsid w:val="00EB6C5E"/>
    <w:rsid w:val="00EB6D62"/>
    <w:rsid w:val="00EB6E36"/>
    <w:rsid w:val="00EB6E8B"/>
    <w:rsid w:val="00EB7023"/>
    <w:rsid w:val="00EB710A"/>
    <w:rsid w:val="00EB7179"/>
    <w:rsid w:val="00EB71C2"/>
    <w:rsid w:val="00EB71EA"/>
    <w:rsid w:val="00EB7263"/>
    <w:rsid w:val="00EB7278"/>
    <w:rsid w:val="00EB7294"/>
    <w:rsid w:val="00EB733A"/>
    <w:rsid w:val="00EB73CF"/>
    <w:rsid w:val="00EB73EE"/>
    <w:rsid w:val="00EB74D3"/>
    <w:rsid w:val="00EB7508"/>
    <w:rsid w:val="00EB773D"/>
    <w:rsid w:val="00EB773F"/>
    <w:rsid w:val="00EB791C"/>
    <w:rsid w:val="00EB797B"/>
    <w:rsid w:val="00EB79AE"/>
    <w:rsid w:val="00EB79E1"/>
    <w:rsid w:val="00EB7AE0"/>
    <w:rsid w:val="00EB7AE4"/>
    <w:rsid w:val="00EB7B1B"/>
    <w:rsid w:val="00EB7BB2"/>
    <w:rsid w:val="00EB7C25"/>
    <w:rsid w:val="00EB7C38"/>
    <w:rsid w:val="00EB7C44"/>
    <w:rsid w:val="00EB7C56"/>
    <w:rsid w:val="00EB7C80"/>
    <w:rsid w:val="00EB7CA8"/>
    <w:rsid w:val="00EB7D7F"/>
    <w:rsid w:val="00EB7E1B"/>
    <w:rsid w:val="00EB7E60"/>
    <w:rsid w:val="00EB7F8F"/>
    <w:rsid w:val="00EC00B8"/>
    <w:rsid w:val="00EC00EC"/>
    <w:rsid w:val="00EC00F1"/>
    <w:rsid w:val="00EC018A"/>
    <w:rsid w:val="00EC01F9"/>
    <w:rsid w:val="00EC0210"/>
    <w:rsid w:val="00EC0256"/>
    <w:rsid w:val="00EC0292"/>
    <w:rsid w:val="00EC0299"/>
    <w:rsid w:val="00EC02E1"/>
    <w:rsid w:val="00EC0321"/>
    <w:rsid w:val="00EC0333"/>
    <w:rsid w:val="00EC0396"/>
    <w:rsid w:val="00EC03AF"/>
    <w:rsid w:val="00EC04E6"/>
    <w:rsid w:val="00EC053C"/>
    <w:rsid w:val="00EC054F"/>
    <w:rsid w:val="00EC0626"/>
    <w:rsid w:val="00EC0645"/>
    <w:rsid w:val="00EC076A"/>
    <w:rsid w:val="00EC07E2"/>
    <w:rsid w:val="00EC08CD"/>
    <w:rsid w:val="00EC0939"/>
    <w:rsid w:val="00EC097C"/>
    <w:rsid w:val="00EC09D7"/>
    <w:rsid w:val="00EC0A14"/>
    <w:rsid w:val="00EC0A39"/>
    <w:rsid w:val="00EC0B95"/>
    <w:rsid w:val="00EC0C5C"/>
    <w:rsid w:val="00EC0D42"/>
    <w:rsid w:val="00EC0D60"/>
    <w:rsid w:val="00EC0DB2"/>
    <w:rsid w:val="00EC0DF0"/>
    <w:rsid w:val="00EC0E78"/>
    <w:rsid w:val="00EC0E83"/>
    <w:rsid w:val="00EC0EFD"/>
    <w:rsid w:val="00EC0F05"/>
    <w:rsid w:val="00EC0FA6"/>
    <w:rsid w:val="00EC0FF8"/>
    <w:rsid w:val="00EC1006"/>
    <w:rsid w:val="00EC1035"/>
    <w:rsid w:val="00EC103D"/>
    <w:rsid w:val="00EC105B"/>
    <w:rsid w:val="00EC107A"/>
    <w:rsid w:val="00EC1099"/>
    <w:rsid w:val="00EC10DB"/>
    <w:rsid w:val="00EC10F9"/>
    <w:rsid w:val="00EC11A2"/>
    <w:rsid w:val="00EC11F4"/>
    <w:rsid w:val="00EC1224"/>
    <w:rsid w:val="00EC1248"/>
    <w:rsid w:val="00EC12BC"/>
    <w:rsid w:val="00EC1328"/>
    <w:rsid w:val="00EC136D"/>
    <w:rsid w:val="00EC13A9"/>
    <w:rsid w:val="00EC13D0"/>
    <w:rsid w:val="00EC142C"/>
    <w:rsid w:val="00EC14D3"/>
    <w:rsid w:val="00EC1515"/>
    <w:rsid w:val="00EC1572"/>
    <w:rsid w:val="00EC15BC"/>
    <w:rsid w:val="00EC1602"/>
    <w:rsid w:val="00EC1660"/>
    <w:rsid w:val="00EC1664"/>
    <w:rsid w:val="00EC168A"/>
    <w:rsid w:val="00EC16E7"/>
    <w:rsid w:val="00EC1770"/>
    <w:rsid w:val="00EC17B7"/>
    <w:rsid w:val="00EC17C6"/>
    <w:rsid w:val="00EC1806"/>
    <w:rsid w:val="00EC1843"/>
    <w:rsid w:val="00EC187B"/>
    <w:rsid w:val="00EC191F"/>
    <w:rsid w:val="00EC1959"/>
    <w:rsid w:val="00EC196A"/>
    <w:rsid w:val="00EC19C5"/>
    <w:rsid w:val="00EC19CD"/>
    <w:rsid w:val="00EC1A23"/>
    <w:rsid w:val="00EC1A4B"/>
    <w:rsid w:val="00EC1A7F"/>
    <w:rsid w:val="00EC1B09"/>
    <w:rsid w:val="00EC1BF9"/>
    <w:rsid w:val="00EC1BFD"/>
    <w:rsid w:val="00EC1DFD"/>
    <w:rsid w:val="00EC1E29"/>
    <w:rsid w:val="00EC1E64"/>
    <w:rsid w:val="00EC1EA6"/>
    <w:rsid w:val="00EC1EB4"/>
    <w:rsid w:val="00EC1EFB"/>
    <w:rsid w:val="00EC1F0E"/>
    <w:rsid w:val="00EC1F48"/>
    <w:rsid w:val="00EC1F81"/>
    <w:rsid w:val="00EC1F8F"/>
    <w:rsid w:val="00EC2074"/>
    <w:rsid w:val="00EC20A3"/>
    <w:rsid w:val="00EC20D4"/>
    <w:rsid w:val="00EC2113"/>
    <w:rsid w:val="00EC2192"/>
    <w:rsid w:val="00EC21ED"/>
    <w:rsid w:val="00EC22C4"/>
    <w:rsid w:val="00EC2336"/>
    <w:rsid w:val="00EC23B7"/>
    <w:rsid w:val="00EC2506"/>
    <w:rsid w:val="00EC252A"/>
    <w:rsid w:val="00EC253D"/>
    <w:rsid w:val="00EC25C4"/>
    <w:rsid w:val="00EC2600"/>
    <w:rsid w:val="00EC2603"/>
    <w:rsid w:val="00EC2829"/>
    <w:rsid w:val="00EC2839"/>
    <w:rsid w:val="00EC2949"/>
    <w:rsid w:val="00EC29E2"/>
    <w:rsid w:val="00EC2BB1"/>
    <w:rsid w:val="00EC2BBD"/>
    <w:rsid w:val="00EC2BC8"/>
    <w:rsid w:val="00EC2BD6"/>
    <w:rsid w:val="00EC2C29"/>
    <w:rsid w:val="00EC2C7A"/>
    <w:rsid w:val="00EC2C9C"/>
    <w:rsid w:val="00EC2D1E"/>
    <w:rsid w:val="00EC2F6A"/>
    <w:rsid w:val="00EC2FF6"/>
    <w:rsid w:val="00EC30BC"/>
    <w:rsid w:val="00EC30DC"/>
    <w:rsid w:val="00EC30F9"/>
    <w:rsid w:val="00EC3102"/>
    <w:rsid w:val="00EC3129"/>
    <w:rsid w:val="00EC31A4"/>
    <w:rsid w:val="00EC31C9"/>
    <w:rsid w:val="00EC31F5"/>
    <w:rsid w:val="00EC3273"/>
    <w:rsid w:val="00EC327A"/>
    <w:rsid w:val="00EC32B8"/>
    <w:rsid w:val="00EC3301"/>
    <w:rsid w:val="00EC3388"/>
    <w:rsid w:val="00EC33B9"/>
    <w:rsid w:val="00EC33C2"/>
    <w:rsid w:val="00EC33CF"/>
    <w:rsid w:val="00EC346F"/>
    <w:rsid w:val="00EC34C0"/>
    <w:rsid w:val="00EC3692"/>
    <w:rsid w:val="00EC36E3"/>
    <w:rsid w:val="00EC37DE"/>
    <w:rsid w:val="00EC38E2"/>
    <w:rsid w:val="00EC38FD"/>
    <w:rsid w:val="00EC3922"/>
    <w:rsid w:val="00EC3A5B"/>
    <w:rsid w:val="00EC3A6A"/>
    <w:rsid w:val="00EC3A90"/>
    <w:rsid w:val="00EC3AD6"/>
    <w:rsid w:val="00EC3B38"/>
    <w:rsid w:val="00EC3BCE"/>
    <w:rsid w:val="00EC3C24"/>
    <w:rsid w:val="00EC3C4F"/>
    <w:rsid w:val="00EC3CDB"/>
    <w:rsid w:val="00EC3D27"/>
    <w:rsid w:val="00EC3D6E"/>
    <w:rsid w:val="00EC3DF4"/>
    <w:rsid w:val="00EC3EB2"/>
    <w:rsid w:val="00EC3F88"/>
    <w:rsid w:val="00EC3FB1"/>
    <w:rsid w:val="00EC4006"/>
    <w:rsid w:val="00EC400E"/>
    <w:rsid w:val="00EC4123"/>
    <w:rsid w:val="00EC4129"/>
    <w:rsid w:val="00EC41BF"/>
    <w:rsid w:val="00EC4213"/>
    <w:rsid w:val="00EC4261"/>
    <w:rsid w:val="00EC426F"/>
    <w:rsid w:val="00EC4300"/>
    <w:rsid w:val="00EC43B1"/>
    <w:rsid w:val="00EC43B8"/>
    <w:rsid w:val="00EC43D1"/>
    <w:rsid w:val="00EC4446"/>
    <w:rsid w:val="00EC45B0"/>
    <w:rsid w:val="00EC4670"/>
    <w:rsid w:val="00EC4710"/>
    <w:rsid w:val="00EC474E"/>
    <w:rsid w:val="00EC47B2"/>
    <w:rsid w:val="00EC4891"/>
    <w:rsid w:val="00EC48A2"/>
    <w:rsid w:val="00EC48F9"/>
    <w:rsid w:val="00EC49B4"/>
    <w:rsid w:val="00EC49E4"/>
    <w:rsid w:val="00EC4A32"/>
    <w:rsid w:val="00EC4AA9"/>
    <w:rsid w:val="00EC4AC2"/>
    <w:rsid w:val="00EC4B15"/>
    <w:rsid w:val="00EC4C4C"/>
    <w:rsid w:val="00EC4C4D"/>
    <w:rsid w:val="00EC4E4C"/>
    <w:rsid w:val="00EC4EC7"/>
    <w:rsid w:val="00EC4EF8"/>
    <w:rsid w:val="00EC4F1E"/>
    <w:rsid w:val="00EC5084"/>
    <w:rsid w:val="00EC50AB"/>
    <w:rsid w:val="00EC50D9"/>
    <w:rsid w:val="00EC5116"/>
    <w:rsid w:val="00EC5189"/>
    <w:rsid w:val="00EC5196"/>
    <w:rsid w:val="00EC51DA"/>
    <w:rsid w:val="00EC5215"/>
    <w:rsid w:val="00EC5270"/>
    <w:rsid w:val="00EC532E"/>
    <w:rsid w:val="00EC536B"/>
    <w:rsid w:val="00EC53CA"/>
    <w:rsid w:val="00EC53D2"/>
    <w:rsid w:val="00EC53FE"/>
    <w:rsid w:val="00EC5522"/>
    <w:rsid w:val="00EC552E"/>
    <w:rsid w:val="00EC5544"/>
    <w:rsid w:val="00EC55A9"/>
    <w:rsid w:val="00EC55CE"/>
    <w:rsid w:val="00EC561C"/>
    <w:rsid w:val="00EC569B"/>
    <w:rsid w:val="00EC56A3"/>
    <w:rsid w:val="00EC56BA"/>
    <w:rsid w:val="00EC5738"/>
    <w:rsid w:val="00EC5748"/>
    <w:rsid w:val="00EC576E"/>
    <w:rsid w:val="00EC57B3"/>
    <w:rsid w:val="00EC58F5"/>
    <w:rsid w:val="00EC5935"/>
    <w:rsid w:val="00EC599F"/>
    <w:rsid w:val="00EC59BE"/>
    <w:rsid w:val="00EC59C1"/>
    <w:rsid w:val="00EC59C7"/>
    <w:rsid w:val="00EC59E1"/>
    <w:rsid w:val="00EC5A25"/>
    <w:rsid w:val="00EC5A2A"/>
    <w:rsid w:val="00EC5A86"/>
    <w:rsid w:val="00EC5A87"/>
    <w:rsid w:val="00EC5B06"/>
    <w:rsid w:val="00EC5B09"/>
    <w:rsid w:val="00EC5BF6"/>
    <w:rsid w:val="00EC5C6F"/>
    <w:rsid w:val="00EC5D2B"/>
    <w:rsid w:val="00EC5D39"/>
    <w:rsid w:val="00EC5D96"/>
    <w:rsid w:val="00EC5DD8"/>
    <w:rsid w:val="00EC5E5B"/>
    <w:rsid w:val="00EC5E63"/>
    <w:rsid w:val="00EC5EAC"/>
    <w:rsid w:val="00EC5ED7"/>
    <w:rsid w:val="00EC6042"/>
    <w:rsid w:val="00EC60F0"/>
    <w:rsid w:val="00EC6120"/>
    <w:rsid w:val="00EC61A3"/>
    <w:rsid w:val="00EC61F0"/>
    <w:rsid w:val="00EC6206"/>
    <w:rsid w:val="00EC622C"/>
    <w:rsid w:val="00EC62C7"/>
    <w:rsid w:val="00EC63B0"/>
    <w:rsid w:val="00EC63E3"/>
    <w:rsid w:val="00EC6431"/>
    <w:rsid w:val="00EC64A0"/>
    <w:rsid w:val="00EC64B5"/>
    <w:rsid w:val="00EC6528"/>
    <w:rsid w:val="00EC666A"/>
    <w:rsid w:val="00EC66CA"/>
    <w:rsid w:val="00EC6735"/>
    <w:rsid w:val="00EC6750"/>
    <w:rsid w:val="00EC67F7"/>
    <w:rsid w:val="00EC69A7"/>
    <w:rsid w:val="00EC6A16"/>
    <w:rsid w:val="00EC6ADC"/>
    <w:rsid w:val="00EC6AF6"/>
    <w:rsid w:val="00EC6B01"/>
    <w:rsid w:val="00EC6B4A"/>
    <w:rsid w:val="00EC6B5C"/>
    <w:rsid w:val="00EC6C31"/>
    <w:rsid w:val="00EC6C5D"/>
    <w:rsid w:val="00EC6C86"/>
    <w:rsid w:val="00EC6CD3"/>
    <w:rsid w:val="00EC6D33"/>
    <w:rsid w:val="00EC6E18"/>
    <w:rsid w:val="00EC6E27"/>
    <w:rsid w:val="00EC6E94"/>
    <w:rsid w:val="00EC6ED3"/>
    <w:rsid w:val="00EC6FA2"/>
    <w:rsid w:val="00EC6FB0"/>
    <w:rsid w:val="00EC6FEC"/>
    <w:rsid w:val="00EC7094"/>
    <w:rsid w:val="00EC70A1"/>
    <w:rsid w:val="00EC70ED"/>
    <w:rsid w:val="00EC710B"/>
    <w:rsid w:val="00EC711C"/>
    <w:rsid w:val="00EC712B"/>
    <w:rsid w:val="00EC7175"/>
    <w:rsid w:val="00EC717D"/>
    <w:rsid w:val="00EC71A4"/>
    <w:rsid w:val="00EC71EE"/>
    <w:rsid w:val="00EC72A3"/>
    <w:rsid w:val="00EC72AE"/>
    <w:rsid w:val="00EC72C8"/>
    <w:rsid w:val="00EC72D6"/>
    <w:rsid w:val="00EC72E0"/>
    <w:rsid w:val="00EC7365"/>
    <w:rsid w:val="00EC7367"/>
    <w:rsid w:val="00EC741A"/>
    <w:rsid w:val="00EC7469"/>
    <w:rsid w:val="00EC75DC"/>
    <w:rsid w:val="00EC7608"/>
    <w:rsid w:val="00EC767B"/>
    <w:rsid w:val="00EC7688"/>
    <w:rsid w:val="00EC7696"/>
    <w:rsid w:val="00EC769D"/>
    <w:rsid w:val="00EC7716"/>
    <w:rsid w:val="00EC77A8"/>
    <w:rsid w:val="00EC7819"/>
    <w:rsid w:val="00EC781A"/>
    <w:rsid w:val="00EC7924"/>
    <w:rsid w:val="00EC7968"/>
    <w:rsid w:val="00EC7A3C"/>
    <w:rsid w:val="00EC7A5D"/>
    <w:rsid w:val="00EC7BB3"/>
    <w:rsid w:val="00EC7C98"/>
    <w:rsid w:val="00EC7CA6"/>
    <w:rsid w:val="00EC7CCF"/>
    <w:rsid w:val="00EC7D6D"/>
    <w:rsid w:val="00EC7D86"/>
    <w:rsid w:val="00EC7D9F"/>
    <w:rsid w:val="00EC7E20"/>
    <w:rsid w:val="00EC7E5B"/>
    <w:rsid w:val="00EC7EC4"/>
    <w:rsid w:val="00EC7F13"/>
    <w:rsid w:val="00EC7FAA"/>
    <w:rsid w:val="00ED0069"/>
    <w:rsid w:val="00ED0076"/>
    <w:rsid w:val="00ED00D7"/>
    <w:rsid w:val="00ED0134"/>
    <w:rsid w:val="00ED01AE"/>
    <w:rsid w:val="00ED023E"/>
    <w:rsid w:val="00ED0271"/>
    <w:rsid w:val="00ED027E"/>
    <w:rsid w:val="00ED02E4"/>
    <w:rsid w:val="00ED037C"/>
    <w:rsid w:val="00ED0468"/>
    <w:rsid w:val="00ED0489"/>
    <w:rsid w:val="00ED04B2"/>
    <w:rsid w:val="00ED04D2"/>
    <w:rsid w:val="00ED04F0"/>
    <w:rsid w:val="00ED053C"/>
    <w:rsid w:val="00ED05F0"/>
    <w:rsid w:val="00ED0642"/>
    <w:rsid w:val="00ED065A"/>
    <w:rsid w:val="00ED065E"/>
    <w:rsid w:val="00ED069E"/>
    <w:rsid w:val="00ED0716"/>
    <w:rsid w:val="00ED0729"/>
    <w:rsid w:val="00ED072E"/>
    <w:rsid w:val="00ED0747"/>
    <w:rsid w:val="00ED079D"/>
    <w:rsid w:val="00ED0810"/>
    <w:rsid w:val="00ED0847"/>
    <w:rsid w:val="00ED089C"/>
    <w:rsid w:val="00ED0917"/>
    <w:rsid w:val="00ED0938"/>
    <w:rsid w:val="00ED0AED"/>
    <w:rsid w:val="00ED0B0B"/>
    <w:rsid w:val="00ED0B6C"/>
    <w:rsid w:val="00ED0BB4"/>
    <w:rsid w:val="00ED0BCE"/>
    <w:rsid w:val="00ED0BEC"/>
    <w:rsid w:val="00ED0CD0"/>
    <w:rsid w:val="00ED0D5E"/>
    <w:rsid w:val="00ED0DCD"/>
    <w:rsid w:val="00ED0ED7"/>
    <w:rsid w:val="00ED0F77"/>
    <w:rsid w:val="00ED0F7E"/>
    <w:rsid w:val="00ED1068"/>
    <w:rsid w:val="00ED10BF"/>
    <w:rsid w:val="00ED10FF"/>
    <w:rsid w:val="00ED117A"/>
    <w:rsid w:val="00ED1185"/>
    <w:rsid w:val="00ED11B7"/>
    <w:rsid w:val="00ED11C9"/>
    <w:rsid w:val="00ED1207"/>
    <w:rsid w:val="00ED1329"/>
    <w:rsid w:val="00ED133F"/>
    <w:rsid w:val="00ED134E"/>
    <w:rsid w:val="00ED138D"/>
    <w:rsid w:val="00ED13CC"/>
    <w:rsid w:val="00ED141A"/>
    <w:rsid w:val="00ED149D"/>
    <w:rsid w:val="00ED14E5"/>
    <w:rsid w:val="00ED1530"/>
    <w:rsid w:val="00ED15D5"/>
    <w:rsid w:val="00ED1760"/>
    <w:rsid w:val="00ED176E"/>
    <w:rsid w:val="00ED1778"/>
    <w:rsid w:val="00ED183B"/>
    <w:rsid w:val="00ED1886"/>
    <w:rsid w:val="00ED18B4"/>
    <w:rsid w:val="00ED18C9"/>
    <w:rsid w:val="00ED19C1"/>
    <w:rsid w:val="00ED19D1"/>
    <w:rsid w:val="00ED1ACD"/>
    <w:rsid w:val="00ED1B27"/>
    <w:rsid w:val="00ED1B59"/>
    <w:rsid w:val="00ED1B86"/>
    <w:rsid w:val="00ED1BAB"/>
    <w:rsid w:val="00ED1CB0"/>
    <w:rsid w:val="00ED1CBC"/>
    <w:rsid w:val="00ED1CCB"/>
    <w:rsid w:val="00ED1CD9"/>
    <w:rsid w:val="00ED1D2D"/>
    <w:rsid w:val="00ED1D52"/>
    <w:rsid w:val="00ED1D66"/>
    <w:rsid w:val="00ED1D73"/>
    <w:rsid w:val="00ED1DDB"/>
    <w:rsid w:val="00ED1E24"/>
    <w:rsid w:val="00ED1E3A"/>
    <w:rsid w:val="00ED1E68"/>
    <w:rsid w:val="00ED1E6F"/>
    <w:rsid w:val="00ED1EE7"/>
    <w:rsid w:val="00ED1F3C"/>
    <w:rsid w:val="00ED1F5B"/>
    <w:rsid w:val="00ED2012"/>
    <w:rsid w:val="00ED2089"/>
    <w:rsid w:val="00ED20A6"/>
    <w:rsid w:val="00ED211C"/>
    <w:rsid w:val="00ED21F9"/>
    <w:rsid w:val="00ED230B"/>
    <w:rsid w:val="00ED231F"/>
    <w:rsid w:val="00ED2326"/>
    <w:rsid w:val="00ED2344"/>
    <w:rsid w:val="00ED23AF"/>
    <w:rsid w:val="00ED23BF"/>
    <w:rsid w:val="00ED2409"/>
    <w:rsid w:val="00ED24C7"/>
    <w:rsid w:val="00ED2664"/>
    <w:rsid w:val="00ED2696"/>
    <w:rsid w:val="00ED2737"/>
    <w:rsid w:val="00ED2770"/>
    <w:rsid w:val="00ED2799"/>
    <w:rsid w:val="00ED27F2"/>
    <w:rsid w:val="00ED2950"/>
    <w:rsid w:val="00ED29CC"/>
    <w:rsid w:val="00ED29D6"/>
    <w:rsid w:val="00ED2A42"/>
    <w:rsid w:val="00ED2A52"/>
    <w:rsid w:val="00ED2B20"/>
    <w:rsid w:val="00ED2B7C"/>
    <w:rsid w:val="00ED2BC8"/>
    <w:rsid w:val="00ED2BC9"/>
    <w:rsid w:val="00ED2BF2"/>
    <w:rsid w:val="00ED2C01"/>
    <w:rsid w:val="00ED2CD2"/>
    <w:rsid w:val="00ED2CF5"/>
    <w:rsid w:val="00ED2D2A"/>
    <w:rsid w:val="00ED2D76"/>
    <w:rsid w:val="00ED2E0E"/>
    <w:rsid w:val="00ED2E20"/>
    <w:rsid w:val="00ED2F4D"/>
    <w:rsid w:val="00ED2F7F"/>
    <w:rsid w:val="00ED2FC8"/>
    <w:rsid w:val="00ED2FF8"/>
    <w:rsid w:val="00ED309B"/>
    <w:rsid w:val="00ED32C8"/>
    <w:rsid w:val="00ED32F4"/>
    <w:rsid w:val="00ED330A"/>
    <w:rsid w:val="00ED330B"/>
    <w:rsid w:val="00ED334A"/>
    <w:rsid w:val="00ED3396"/>
    <w:rsid w:val="00ED33AA"/>
    <w:rsid w:val="00ED33C2"/>
    <w:rsid w:val="00ED33EC"/>
    <w:rsid w:val="00ED3499"/>
    <w:rsid w:val="00ED3507"/>
    <w:rsid w:val="00ED3548"/>
    <w:rsid w:val="00ED3571"/>
    <w:rsid w:val="00ED363B"/>
    <w:rsid w:val="00ED375A"/>
    <w:rsid w:val="00ED3785"/>
    <w:rsid w:val="00ED3836"/>
    <w:rsid w:val="00ED3949"/>
    <w:rsid w:val="00ED394E"/>
    <w:rsid w:val="00ED39D4"/>
    <w:rsid w:val="00ED3A1B"/>
    <w:rsid w:val="00ED3AA7"/>
    <w:rsid w:val="00ED3B70"/>
    <w:rsid w:val="00ED3BC3"/>
    <w:rsid w:val="00ED3BE9"/>
    <w:rsid w:val="00ED3BFB"/>
    <w:rsid w:val="00ED3C60"/>
    <w:rsid w:val="00ED3DC3"/>
    <w:rsid w:val="00ED3EB6"/>
    <w:rsid w:val="00ED3F39"/>
    <w:rsid w:val="00ED3F66"/>
    <w:rsid w:val="00ED3F80"/>
    <w:rsid w:val="00ED3F9F"/>
    <w:rsid w:val="00ED3FCA"/>
    <w:rsid w:val="00ED4026"/>
    <w:rsid w:val="00ED4065"/>
    <w:rsid w:val="00ED40C0"/>
    <w:rsid w:val="00ED40DD"/>
    <w:rsid w:val="00ED4188"/>
    <w:rsid w:val="00ED4193"/>
    <w:rsid w:val="00ED41D4"/>
    <w:rsid w:val="00ED4288"/>
    <w:rsid w:val="00ED42A5"/>
    <w:rsid w:val="00ED42EF"/>
    <w:rsid w:val="00ED4354"/>
    <w:rsid w:val="00ED435A"/>
    <w:rsid w:val="00ED4386"/>
    <w:rsid w:val="00ED442A"/>
    <w:rsid w:val="00ED451E"/>
    <w:rsid w:val="00ED4579"/>
    <w:rsid w:val="00ED45FE"/>
    <w:rsid w:val="00ED4692"/>
    <w:rsid w:val="00ED4705"/>
    <w:rsid w:val="00ED4821"/>
    <w:rsid w:val="00ED4827"/>
    <w:rsid w:val="00ED4856"/>
    <w:rsid w:val="00ED4891"/>
    <w:rsid w:val="00ED4896"/>
    <w:rsid w:val="00ED4949"/>
    <w:rsid w:val="00ED495E"/>
    <w:rsid w:val="00ED496B"/>
    <w:rsid w:val="00ED4983"/>
    <w:rsid w:val="00ED49EA"/>
    <w:rsid w:val="00ED4A45"/>
    <w:rsid w:val="00ED4B95"/>
    <w:rsid w:val="00ED4BDE"/>
    <w:rsid w:val="00ED4C22"/>
    <w:rsid w:val="00ED4C9E"/>
    <w:rsid w:val="00ED4CD3"/>
    <w:rsid w:val="00ED4CE3"/>
    <w:rsid w:val="00ED4DA4"/>
    <w:rsid w:val="00ED4DAD"/>
    <w:rsid w:val="00ED4F07"/>
    <w:rsid w:val="00ED4F9B"/>
    <w:rsid w:val="00ED4FF5"/>
    <w:rsid w:val="00ED5001"/>
    <w:rsid w:val="00ED51F6"/>
    <w:rsid w:val="00ED521C"/>
    <w:rsid w:val="00ED5278"/>
    <w:rsid w:val="00ED531A"/>
    <w:rsid w:val="00ED531C"/>
    <w:rsid w:val="00ED5337"/>
    <w:rsid w:val="00ED5409"/>
    <w:rsid w:val="00ED5424"/>
    <w:rsid w:val="00ED5443"/>
    <w:rsid w:val="00ED548E"/>
    <w:rsid w:val="00ED54F1"/>
    <w:rsid w:val="00ED557C"/>
    <w:rsid w:val="00ED55D0"/>
    <w:rsid w:val="00ED55FA"/>
    <w:rsid w:val="00ED5625"/>
    <w:rsid w:val="00ED5642"/>
    <w:rsid w:val="00ED56C5"/>
    <w:rsid w:val="00ED56C6"/>
    <w:rsid w:val="00ED56E9"/>
    <w:rsid w:val="00ED5713"/>
    <w:rsid w:val="00ED57A8"/>
    <w:rsid w:val="00ED57D1"/>
    <w:rsid w:val="00ED57D5"/>
    <w:rsid w:val="00ED57EA"/>
    <w:rsid w:val="00ED5813"/>
    <w:rsid w:val="00ED58EC"/>
    <w:rsid w:val="00ED597E"/>
    <w:rsid w:val="00ED5A50"/>
    <w:rsid w:val="00ED5A5A"/>
    <w:rsid w:val="00ED5B32"/>
    <w:rsid w:val="00ED5B44"/>
    <w:rsid w:val="00ED5B46"/>
    <w:rsid w:val="00ED5BEF"/>
    <w:rsid w:val="00ED5C50"/>
    <w:rsid w:val="00ED5C93"/>
    <w:rsid w:val="00ED5D99"/>
    <w:rsid w:val="00ED5E73"/>
    <w:rsid w:val="00ED5F42"/>
    <w:rsid w:val="00ED5F9A"/>
    <w:rsid w:val="00ED5FA8"/>
    <w:rsid w:val="00ED5FC7"/>
    <w:rsid w:val="00ED6051"/>
    <w:rsid w:val="00ED60D3"/>
    <w:rsid w:val="00ED60EC"/>
    <w:rsid w:val="00ED615F"/>
    <w:rsid w:val="00ED61B6"/>
    <w:rsid w:val="00ED6276"/>
    <w:rsid w:val="00ED6330"/>
    <w:rsid w:val="00ED6356"/>
    <w:rsid w:val="00ED63AB"/>
    <w:rsid w:val="00ED63BB"/>
    <w:rsid w:val="00ED63FF"/>
    <w:rsid w:val="00ED646D"/>
    <w:rsid w:val="00ED64FE"/>
    <w:rsid w:val="00ED661B"/>
    <w:rsid w:val="00ED665B"/>
    <w:rsid w:val="00ED66E6"/>
    <w:rsid w:val="00ED6732"/>
    <w:rsid w:val="00ED6841"/>
    <w:rsid w:val="00ED68A3"/>
    <w:rsid w:val="00ED6902"/>
    <w:rsid w:val="00ED6984"/>
    <w:rsid w:val="00ED6A87"/>
    <w:rsid w:val="00ED6AE0"/>
    <w:rsid w:val="00ED6BF2"/>
    <w:rsid w:val="00ED6D20"/>
    <w:rsid w:val="00ED6D61"/>
    <w:rsid w:val="00ED6DBA"/>
    <w:rsid w:val="00ED6E28"/>
    <w:rsid w:val="00ED6EA3"/>
    <w:rsid w:val="00ED6EE7"/>
    <w:rsid w:val="00ED6EED"/>
    <w:rsid w:val="00ED6F04"/>
    <w:rsid w:val="00ED6F12"/>
    <w:rsid w:val="00ED6F97"/>
    <w:rsid w:val="00ED70C9"/>
    <w:rsid w:val="00ED710D"/>
    <w:rsid w:val="00ED71A2"/>
    <w:rsid w:val="00ED71C5"/>
    <w:rsid w:val="00ED71DB"/>
    <w:rsid w:val="00ED7290"/>
    <w:rsid w:val="00ED72CF"/>
    <w:rsid w:val="00ED72EF"/>
    <w:rsid w:val="00ED7314"/>
    <w:rsid w:val="00ED7321"/>
    <w:rsid w:val="00ED740D"/>
    <w:rsid w:val="00ED743A"/>
    <w:rsid w:val="00ED745E"/>
    <w:rsid w:val="00ED74C3"/>
    <w:rsid w:val="00ED7567"/>
    <w:rsid w:val="00ED75AC"/>
    <w:rsid w:val="00ED7629"/>
    <w:rsid w:val="00ED7690"/>
    <w:rsid w:val="00ED7844"/>
    <w:rsid w:val="00ED7862"/>
    <w:rsid w:val="00ED78A9"/>
    <w:rsid w:val="00ED78FD"/>
    <w:rsid w:val="00ED798C"/>
    <w:rsid w:val="00ED798E"/>
    <w:rsid w:val="00ED79DE"/>
    <w:rsid w:val="00ED7A18"/>
    <w:rsid w:val="00ED7A1E"/>
    <w:rsid w:val="00ED7A26"/>
    <w:rsid w:val="00ED7AAD"/>
    <w:rsid w:val="00ED7B08"/>
    <w:rsid w:val="00ED7B4A"/>
    <w:rsid w:val="00ED7B50"/>
    <w:rsid w:val="00ED7B85"/>
    <w:rsid w:val="00ED7B8A"/>
    <w:rsid w:val="00ED7B8B"/>
    <w:rsid w:val="00ED7C6F"/>
    <w:rsid w:val="00ED7CB1"/>
    <w:rsid w:val="00ED7CBA"/>
    <w:rsid w:val="00ED7D88"/>
    <w:rsid w:val="00ED7D93"/>
    <w:rsid w:val="00ED7DFA"/>
    <w:rsid w:val="00ED7E2F"/>
    <w:rsid w:val="00ED7E83"/>
    <w:rsid w:val="00ED7ED7"/>
    <w:rsid w:val="00ED7EE6"/>
    <w:rsid w:val="00ED7F0B"/>
    <w:rsid w:val="00ED7FB2"/>
    <w:rsid w:val="00ED7FD3"/>
    <w:rsid w:val="00ED7FF3"/>
    <w:rsid w:val="00EE0032"/>
    <w:rsid w:val="00EE0070"/>
    <w:rsid w:val="00EE01C4"/>
    <w:rsid w:val="00EE0250"/>
    <w:rsid w:val="00EE0259"/>
    <w:rsid w:val="00EE0300"/>
    <w:rsid w:val="00EE03AD"/>
    <w:rsid w:val="00EE03F1"/>
    <w:rsid w:val="00EE0470"/>
    <w:rsid w:val="00EE04A4"/>
    <w:rsid w:val="00EE0547"/>
    <w:rsid w:val="00EE059B"/>
    <w:rsid w:val="00EE06C0"/>
    <w:rsid w:val="00EE06C4"/>
    <w:rsid w:val="00EE07E2"/>
    <w:rsid w:val="00EE0870"/>
    <w:rsid w:val="00EE0885"/>
    <w:rsid w:val="00EE08A1"/>
    <w:rsid w:val="00EE094F"/>
    <w:rsid w:val="00EE09AF"/>
    <w:rsid w:val="00EE0B60"/>
    <w:rsid w:val="00EE0B64"/>
    <w:rsid w:val="00EE0C01"/>
    <w:rsid w:val="00EE0CC8"/>
    <w:rsid w:val="00EE0CCC"/>
    <w:rsid w:val="00EE0D17"/>
    <w:rsid w:val="00EE0D50"/>
    <w:rsid w:val="00EE0D98"/>
    <w:rsid w:val="00EE0DF5"/>
    <w:rsid w:val="00EE0E16"/>
    <w:rsid w:val="00EE0E1A"/>
    <w:rsid w:val="00EE0E9D"/>
    <w:rsid w:val="00EE0EB2"/>
    <w:rsid w:val="00EE0F0F"/>
    <w:rsid w:val="00EE0F3B"/>
    <w:rsid w:val="00EE0F7C"/>
    <w:rsid w:val="00EE0F80"/>
    <w:rsid w:val="00EE1051"/>
    <w:rsid w:val="00EE10A7"/>
    <w:rsid w:val="00EE1177"/>
    <w:rsid w:val="00EE11D3"/>
    <w:rsid w:val="00EE123E"/>
    <w:rsid w:val="00EE12A6"/>
    <w:rsid w:val="00EE13C4"/>
    <w:rsid w:val="00EE1428"/>
    <w:rsid w:val="00EE1475"/>
    <w:rsid w:val="00EE1497"/>
    <w:rsid w:val="00EE14A5"/>
    <w:rsid w:val="00EE1513"/>
    <w:rsid w:val="00EE151F"/>
    <w:rsid w:val="00EE15A7"/>
    <w:rsid w:val="00EE15B0"/>
    <w:rsid w:val="00EE15E8"/>
    <w:rsid w:val="00EE16AF"/>
    <w:rsid w:val="00EE16F8"/>
    <w:rsid w:val="00EE1717"/>
    <w:rsid w:val="00EE1731"/>
    <w:rsid w:val="00EE1774"/>
    <w:rsid w:val="00EE1811"/>
    <w:rsid w:val="00EE18BC"/>
    <w:rsid w:val="00EE191D"/>
    <w:rsid w:val="00EE1930"/>
    <w:rsid w:val="00EE19F4"/>
    <w:rsid w:val="00EE1A1A"/>
    <w:rsid w:val="00EE1B13"/>
    <w:rsid w:val="00EE1B20"/>
    <w:rsid w:val="00EE1BA2"/>
    <w:rsid w:val="00EE1BF3"/>
    <w:rsid w:val="00EE1C24"/>
    <w:rsid w:val="00EE1C27"/>
    <w:rsid w:val="00EE1C31"/>
    <w:rsid w:val="00EE1D52"/>
    <w:rsid w:val="00EE1D76"/>
    <w:rsid w:val="00EE1E90"/>
    <w:rsid w:val="00EE1EC1"/>
    <w:rsid w:val="00EE1EC5"/>
    <w:rsid w:val="00EE1EDB"/>
    <w:rsid w:val="00EE1F3C"/>
    <w:rsid w:val="00EE1F51"/>
    <w:rsid w:val="00EE204C"/>
    <w:rsid w:val="00EE20A2"/>
    <w:rsid w:val="00EE20D4"/>
    <w:rsid w:val="00EE2141"/>
    <w:rsid w:val="00EE21B9"/>
    <w:rsid w:val="00EE220E"/>
    <w:rsid w:val="00EE228C"/>
    <w:rsid w:val="00EE22CA"/>
    <w:rsid w:val="00EE2317"/>
    <w:rsid w:val="00EE2341"/>
    <w:rsid w:val="00EE238E"/>
    <w:rsid w:val="00EE2397"/>
    <w:rsid w:val="00EE23A1"/>
    <w:rsid w:val="00EE23D2"/>
    <w:rsid w:val="00EE2596"/>
    <w:rsid w:val="00EE2656"/>
    <w:rsid w:val="00EE266B"/>
    <w:rsid w:val="00EE26CA"/>
    <w:rsid w:val="00EE274F"/>
    <w:rsid w:val="00EE275B"/>
    <w:rsid w:val="00EE277C"/>
    <w:rsid w:val="00EE27E6"/>
    <w:rsid w:val="00EE2891"/>
    <w:rsid w:val="00EE28C9"/>
    <w:rsid w:val="00EE28ED"/>
    <w:rsid w:val="00EE29E3"/>
    <w:rsid w:val="00EE2ADC"/>
    <w:rsid w:val="00EE2B19"/>
    <w:rsid w:val="00EE2B89"/>
    <w:rsid w:val="00EE2BCE"/>
    <w:rsid w:val="00EE2C0D"/>
    <w:rsid w:val="00EE2C7C"/>
    <w:rsid w:val="00EE2DE9"/>
    <w:rsid w:val="00EE2E15"/>
    <w:rsid w:val="00EE2E23"/>
    <w:rsid w:val="00EE2ED4"/>
    <w:rsid w:val="00EE2F01"/>
    <w:rsid w:val="00EE2F0B"/>
    <w:rsid w:val="00EE2F68"/>
    <w:rsid w:val="00EE2FFC"/>
    <w:rsid w:val="00EE3068"/>
    <w:rsid w:val="00EE3076"/>
    <w:rsid w:val="00EE3082"/>
    <w:rsid w:val="00EE30DE"/>
    <w:rsid w:val="00EE30F0"/>
    <w:rsid w:val="00EE3111"/>
    <w:rsid w:val="00EE3170"/>
    <w:rsid w:val="00EE3171"/>
    <w:rsid w:val="00EE31F4"/>
    <w:rsid w:val="00EE3212"/>
    <w:rsid w:val="00EE3216"/>
    <w:rsid w:val="00EE327D"/>
    <w:rsid w:val="00EE328E"/>
    <w:rsid w:val="00EE329E"/>
    <w:rsid w:val="00EE3301"/>
    <w:rsid w:val="00EE332F"/>
    <w:rsid w:val="00EE334A"/>
    <w:rsid w:val="00EE339A"/>
    <w:rsid w:val="00EE33B6"/>
    <w:rsid w:val="00EE345E"/>
    <w:rsid w:val="00EE3514"/>
    <w:rsid w:val="00EE35F4"/>
    <w:rsid w:val="00EE370B"/>
    <w:rsid w:val="00EE3757"/>
    <w:rsid w:val="00EE381E"/>
    <w:rsid w:val="00EE391D"/>
    <w:rsid w:val="00EE39A9"/>
    <w:rsid w:val="00EE39CD"/>
    <w:rsid w:val="00EE39E0"/>
    <w:rsid w:val="00EE3A1D"/>
    <w:rsid w:val="00EE3AA5"/>
    <w:rsid w:val="00EE3B25"/>
    <w:rsid w:val="00EE3B5D"/>
    <w:rsid w:val="00EE3BEF"/>
    <w:rsid w:val="00EE3E57"/>
    <w:rsid w:val="00EE3E65"/>
    <w:rsid w:val="00EE3E74"/>
    <w:rsid w:val="00EE3EA3"/>
    <w:rsid w:val="00EE3ECA"/>
    <w:rsid w:val="00EE4031"/>
    <w:rsid w:val="00EE4044"/>
    <w:rsid w:val="00EE4063"/>
    <w:rsid w:val="00EE40C6"/>
    <w:rsid w:val="00EE4111"/>
    <w:rsid w:val="00EE41F7"/>
    <w:rsid w:val="00EE424E"/>
    <w:rsid w:val="00EE437B"/>
    <w:rsid w:val="00EE43FD"/>
    <w:rsid w:val="00EE446B"/>
    <w:rsid w:val="00EE44C7"/>
    <w:rsid w:val="00EE44F9"/>
    <w:rsid w:val="00EE451E"/>
    <w:rsid w:val="00EE4520"/>
    <w:rsid w:val="00EE45A3"/>
    <w:rsid w:val="00EE4678"/>
    <w:rsid w:val="00EE46C0"/>
    <w:rsid w:val="00EE46C2"/>
    <w:rsid w:val="00EE46FC"/>
    <w:rsid w:val="00EE471F"/>
    <w:rsid w:val="00EE476C"/>
    <w:rsid w:val="00EE4774"/>
    <w:rsid w:val="00EE482A"/>
    <w:rsid w:val="00EE4850"/>
    <w:rsid w:val="00EE4866"/>
    <w:rsid w:val="00EE4867"/>
    <w:rsid w:val="00EE494C"/>
    <w:rsid w:val="00EE49BB"/>
    <w:rsid w:val="00EE4A65"/>
    <w:rsid w:val="00EE4B0A"/>
    <w:rsid w:val="00EE4B0D"/>
    <w:rsid w:val="00EE4B0F"/>
    <w:rsid w:val="00EE4BA9"/>
    <w:rsid w:val="00EE4C94"/>
    <w:rsid w:val="00EE4CB8"/>
    <w:rsid w:val="00EE4D1F"/>
    <w:rsid w:val="00EE4D90"/>
    <w:rsid w:val="00EE4DE8"/>
    <w:rsid w:val="00EE4ECD"/>
    <w:rsid w:val="00EE4F06"/>
    <w:rsid w:val="00EE4F09"/>
    <w:rsid w:val="00EE4F65"/>
    <w:rsid w:val="00EE4FBB"/>
    <w:rsid w:val="00EE4FD6"/>
    <w:rsid w:val="00EE507C"/>
    <w:rsid w:val="00EE50D0"/>
    <w:rsid w:val="00EE50E7"/>
    <w:rsid w:val="00EE51B8"/>
    <w:rsid w:val="00EE51BA"/>
    <w:rsid w:val="00EE520E"/>
    <w:rsid w:val="00EE522D"/>
    <w:rsid w:val="00EE5248"/>
    <w:rsid w:val="00EE52C3"/>
    <w:rsid w:val="00EE52E4"/>
    <w:rsid w:val="00EE53AF"/>
    <w:rsid w:val="00EE53C6"/>
    <w:rsid w:val="00EE53FB"/>
    <w:rsid w:val="00EE541B"/>
    <w:rsid w:val="00EE541E"/>
    <w:rsid w:val="00EE542A"/>
    <w:rsid w:val="00EE543C"/>
    <w:rsid w:val="00EE5563"/>
    <w:rsid w:val="00EE55E9"/>
    <w:rsid w:val="00EE5695"/>
    <w:rsid w:val="00EE56F8"/>
    <w:rsid w:val="00EE5736"/>
    <w:rsid w:val="00EE579A"/>
    <w:rsid w:val="00EE5809"/>
    <w:rsid w:val="00EE5AA2"/>
    <w:rsid w:val="00EE5AEA"/>
    <w:rsid w:val="00EE5B44"/>
    <w:rsid w:val="00EE5B5A"/>
    <w:rsid w:val="00EE5B73"/>
    <w:rsid w:val="00EE5B99"/>
    <w:rsid w:val="00EE5BAE"/>
    <w:rsid w:val="00EE5BD5"/>
    <w:rsid w:val="00EE5C3A"/>
    <w:rsid w:val="00EE5CA1"/>
    <w:rsid w:val="00EE5D36"/>
    <w:rsid w:val="00EE5D3D"/>
    <w:rsid w:val="00EE5D4A"/>
    <w:rsid w:val="00EE5DCA"/>
    <w:rsid w:val="00EE5F2A"/>
    <w:rsid w:val="00EE5F7F"/>
    <w:rsid w:val="00EE5FE7"/>
    <w:rsid w:val="00EE602F"/>
    <w:rsid w:val="00EE6084"/>
    <w:rsid w:val="00EE608B"/>
    <w:rsid w:val="00EE6143"/>
    <w:rsid w:val="00EE61CB"/>
    <w:rsid w:val="00EE6222"/>
    <w:rsid w:val="00EE6234"/>
    <w:rsid w:val="00EE62D9"/>
    <w:rsid w:val="00EE6343"/>
    <w:rsid w:val="00EE6346"/>
    <w:rsid w:val="00EE64A0"/>
    <w:rsid w:val="00EE64FC"/>
    <w:rsid w:val="00EE650E"/>
    <w:rsid w:val="00EE6514"/>
    <w:rsid w:val="00EE655A"/>
    <w:rsid w:val="00EE6564"/>
    <w:rsid w:val="00EE65C9"/>
    <w:rsid w:val="00EE65E0"/>
    <w:rsid w:val="00EE65E4"/>
    <w:rsid w:val="00EE6633"/>
    <w:rsid w:val="00EE6668"/>
    <w:rsid w:val="00EE6691"/>
    <w:rsid w:val="00EE66D0"/>
    <w:rsid w:val="00EE66D6"/>
    <w:rsid w:val="00EE6714"/>
    <w:rsid w:val="00EE6825"/>
    <w:rsid w:val="00EE6846"/>
    <w:rsid w:val="00EE687A"/>
    <w:rsid w:val="00EE688B"/>
    <w:rsid w:val="00EE68C5"/>
    <w:rsid w:val="00EE691D"/>
    <w:rsid w:val="00EE69C5"/>
    <w:rsid w:val="00EE6A1D"/>
    <w:rsid w:val="00EE6A76"/>
    <w:rsid w:val="00EE6ABC"/>
    <w:rsid w:val="00EE6AD5"/>
    <w:rsid w:val="00EE6B01"/>
    <w:rsid w:val="00EE6B21"/>
    <w:rsid w:val="00EE6B69"/>
    <w:rsid w:val="00EE6B8D"/>
    <w:rsid w:val="00EE6BA3"/>
    <w:rsid w:val="00EE6C08"/>
    <w:rsid w:val="00EE6C16"/>
    <w:rsid w:val="00EE6C43"/>
    <w:rsid w:val="00EE6E0E"/>
    <w:rsid w:val="00EE6E3E"/>
    <w:rsid w:val="00EE6E99"/>
    <w:rsid w:val="00EE6EF3"/>
    <w:rsid w:val="00EE6F14"/>
    <w:rsid w:val="00EE6F15"/>
    <w:rsid w:val="00EE6F30"/>
    <w:rsid w:val="00EE6FBA"/>
    <w:rsid w:val="00EE6FC9"/>
    <w:rsid w:val="00EE7006"/>
    <w:rsid w:val="00EE7036"/>
    <w:rsid w:val="00EE7154"/>
    <w:rsid w:val="00EE7221"/>
    <w:rsid w:val="00EE7230"/>
    <w:rsid w:val="00EE7246"/>
    <w:rsid w:val="00EE7258"/>
    <w:rsid w:val="00EE7280"/>
    <w:rsid w:val="00EE7348"/>
    <w:rsid w:val="00EE7370"/>
    <w:rsid w:val="00EE73AB"/>
    <w:rsid w:val="00EE743C"/>
    <w:rsid w:val="00EE745B"/>
    <w:rsid w:val="00EE74EA"/>
    <w:rsid w:val="00EE7660"/>
    <w:rsid w:val="00EE76FE"/>
    <w:rsid w:val="00EE7737"/>
    <w:rsid w:val="00EE77E6"/>
    <w:rsid w:val="00EE782B"/>
    <w:rsid w:val="00EE782F"/>
    <w:rsid w:val="00EE78BA"/>
    <w:rsid w:val="00EE78FE"/>
    <w:rsid w:val="00EE7958"/>
    <w:rsid w:val="00EE795A"/>
    <w:rsid w:val="00EE79F0"/>
    <w:rsid w:val="00EE7A39"/>
    <w:rsid w:val="00EE7AAE"/>
    <w:rsid w:val="00EE7AFE"/>
    <w:rsid w:val="00EE7B14"/>
    <w:rsid w:val="00EE7B5A"/>
    <w:rsid w:val="00EE7B94"/>
    <w:rsid w:val="00EE7C62"/>
    <w:rsid w:val="00EE7C70"/>
    <w:rsid w:val="00EE7D02"/>
    <w:rsid w:val="00EE7D86"/>
    <w:rsid w:val="00EE7D98"/>
    <w:rsid w:val="00EE7DB7"/>
    <w:rsid w:val="00EE7E0E"/>
    <w:rsid w:val="00EE7E5A"/>
    <w:rsid w:val="00EE7E8C"/>
    <w:rsid w:val="00EE7F7A"/>
    <w:rsid w:val="00EF00F6"/>
    <w:rsid w:val="00EF0101"/>
    <w:rsid w:val="00EF012B"/>
    <w:rsid w:val="00EF019F"/>
    <w:rsid w:val="00EF01C5"/>
    <w:rsid w:val="00EF0209"/>
    <w:rsid w:val="00EF0225"/>
    <w:rsid w:val="00EF028E"/>
    <w:rsid w:val="00EF02BC"/>
    <w:rsid w:val="00EF0411"/>
    <w:rsid w:val="00EF04E5"/>
    <w:rsid w:val="00EF0566"/>
    <w:rsid w:val="00EF05C9"/>
    <w:rsid w:val="00EF05D9"/>
    <w:rsid w:val="00EF05DD"/>
    <w:rsid w:val="00EF05F9"/>
    <w:rsid w:val="00EF0617"/>
    <w:rsid w:val="00EF061E"/>
    <w:rsid w:val="00EF0761"/>
    <w:rsid w:val="00EF0905"/>
    <w:rsid w:val="00EF09D3"/>
    <w:rsid w:val="00EF0A2C"/>
    <w:rsid w:val="00EF0A58"/>
    <w:rsid w:val="00EF0A89"/>
    <w:rsid w:val="00EF0AD3"/>
    <w:rsid w:val="00EF0B1A"/>
    <w:rsid w:val="00EF0B28"/>
    <w:rsid w:val="00EF0BD1"/>
    <w:rsid w:val="00EF0C5B"/>
    <w:rsid w:val="00EF0C72"/>
    <w:rsid w:val="00EF0D3A"/>
    <w:rsid w:val="00EF0DAB"/>
    <w:rsid w:val="00EF0DCE"/>
    <w:rsid w:val="00EF0E3F"/>
    <w:rsid w:val="00EF0EC6"/>
    <w:rsid w:val="00EF0F08"/>
    <w:rsid w:val="00EF0F1A"/>
    <w:rsid w:val="00EF0F74"/>
    <w:rsid w:val="00EF0F75"/>
    <w:rsid w:val="00EF1062"/>
    <w:rsid w:val="00EF1071"/>
    <w:rsid w:val="00EF1106"/>
    <w:rsid w:val="00EF1107"/>
    <w:rsid w:val="00EF1135"/>
    <w:rsid w:val="00EF114A"/>
    <w:rsid w:val="00EF114C"/>
    <w:rsid w:val="00EF1228"/>
    <w:rsid w:val="00EF123B"/>
    <w:rsid w:val="00EF12AA"/>
    <w:rsid w:val="00EF1375"/>
    <w:rsid w:val="00EF13B1"/>
    <w:rsid w:val="00EF14E8"/>
    <w:rsid w:val="00EF15B8"/>
    <w:rsid w:val="00EF166B"/>
    <w:rsid w:val="00EF1699"/>
    <w:rsid w:val="00EF173F"/>
    <w:rsid w:val="00EF17D9"/>
    <w:rsid w:val="00EF182A"/>
    <w:rsid w:val="00EF185B"/>
    <w:rsid w:val="00EF187C"/>
    <w:rsid w:val="00EF1919"/>
    <w:rsid w:val="00EF192F"/>
    <w:rsid w:val="00EF19D8"/>
    <w:rsid w:val="00EF1A78"/>
    <w:rsid w:val="00EF1A9E"/>
    <w:rsid w:val="00EF1AD2"/>
    <w:rsid w:val="00EF1AF2"/>
    <w:rsid w:val="00EF1B08"/>
    <w:rsid w:val="00EF1C54"/>
    <w:rsid w:val="00EF1C6A"/>
    <w:rsid w:val="00EF1CE3"/>
    <w:rsid w:val="00EF1D10"/>
    <w:rsid w:val="00EF1D2D"/>
    <w:rsid w:val="00EF1D54"/>
    <w:rsid w:val="00EF1E39"/>
    <w:rsid w:val="00EF1E6E"/>
    <w:rsid w:val="00EF1E8E"/>
    <w:rsid w:val="00EF1E96"/>
    <w:rsid w:val="00EF1F46"/>
    <w:rsid w:val="00EF1F85"/>
    <w:rsid w:val="00EF1FBE"/>
    <w:rsid w:val="00EF1FCF"/>
    <w:rsid w:val="00EF2016"/>
    <w:rsid w:val="00EF20B2"/>
    <w:rsid w:val="00EF2120"/>
    <w:rsid w:val="00EF2132"/>
    <w:rsid w:val="00EF2133"/>
    <w:rsid w:val="00EF2138"/>
    <w:rsid w:val="00EF214D"/>
    <w:rsid w:val="00EF220A"/>
    <w:rsid w:val="00EF224F"/>
    <w:rsid w:val="00EF2258"/>
    <w:rsid w:val="00EF2272"/>
    <w:rsid w:val="00EF2278"/>
    <w:rsid w:val="00EF230B"/>
    <w:rsid w:val="00EF233E"/>
    <w:rsid w:val="00EF234C"/>
    <w:rsid w:val="00EF2362"/>
    <w:rsid w:val="00EF239D"/>
    <w:rsid w:val="00EF23B4"/>
    <w:rsid w:val="00EF23C6"/>
    <w:rsid w:val="00EF23FE"/>
    <w:rsid w:val="00EF2456"/>
    <w:rsid w:val="00EF2475"/>
    <w:rsid w:val="00EF24E8"/>
    <w:rsid w:val="00EF257E"/>
    <w:rsid w:val="00EF2601"/>
    <w:rsid w:val="00EF27F0"/>
    <w:rsid w:val="00EF283B"/>
    <w:rsid w:val="00EF2919"/>
    <w:rsid w:val="00EF2994"/>
    <w:rsid w:val="00EF2A57"/>
    <w:rsid w:val="00EF2AC3"/>
    <w:rsid w:val="00EF2AEC"/>
    <w:rsid w:val="00EF2B10"/>
    <w:rsid w:val="00EF2B88"/>
    <w:rsid w:val="00EF2BAF"/>
    <w:rsid w:val="00EF2C8F"/>
    <w:rsid w:val="00EF2D74"/>
    <w:rsid w:val="00EF2DA8"/>
    <w:rsid w:val="00EF2DFB"/>
    <w:rsid w:val="00EF2E89"/>
    <w:rsid w:val="00EF2EAC"/>
    <w:rsid w:val="00EF2F18"/>
    <w:rsid w:val="00EF2F3C"/>
    <w:rsid w:val="00EF2FA6"/>
    <w:rsid w:val="00EF3003"/>
    <w:rsid w:val="00EF302C"/>
    <w:rsid w:val="00EF3049"/>
    <w:rsid w:val="00EF3093"/>
    <w:rsid w:val="00EF30D8"/>
    <w:rsid w:val="00EF312C"/>
    <w:rsid w:val="00EF314D"/>
    <w:rsid w:val="00EF319F"/>
    <w:rsid w:val="00EF31AE"/>
    <w:rsid w:val="00EF31EC"/>
    <w:rsid w:val="00EF322C"/>
    <w:rsid w:val="00EF324B"/>
    <w:rsid w:val="00EF325E"/>
    <w:rsid w:val="00EF3320"/>
    <w:rsid w:val="00EF33CF"/>
    <w:rsid w:val="00EF33D7"/>
    <w:rsid w:val="00EF33EF"/>
    <w:rsid w:val="00EF34F9"/>
    <w:rsid w:val="00EF3523"/>
    <w:rsid w:val="00EF364F"/>
    <w:rsid w:val="00EF3696"/>
    <w:rsid w:val="00EF36B9"/>
    <w:rsid w:val="00EF36E5"/>
    <w:rsid w:val="00EF36F9"/>
    <w:rsid w:val="00EF3769"/>
    <w:rsid w:val="00EF3875"/>
    <w:rsid w:val="00EF38B3"/>
    <w:rsid w:val="00EF38C3"/>
    <w:rsid w:val="00EF38C6"/>
    <w:rsid w:val="00EF38E2"/>
    <w:rsid w:val="00EF3983"/>
    <w:rsid w:val="00EF39F7"/>
    <w:rsid w:val="00EF3B3A"/>
    <w:rsid w:val="00EF3B7A"/>
    <w:rsid w:val="00EF3B86"/>
    <w:rsid w:val="00EF3B91"/>
    <w:rsid w:val="00EF3C03"/>
    <w:rsid w:val="00EF3CE8"/>
    <w:rsid w:val="00EF3D38"/>
    <w:rsid w:val="00EF3DB4"/>
    <w:rsid w:val="00EF3E68"/>
    <w:rsid w:val="00EF3E97"/>
    <w:rsid w:val="00EF3EAA"/>
    <w:rsid w:val="00EF3EC2"/>
    <w:rsid w:val="00EF3EE8"/>
    <w:rsid w:val="00EF3EEA"/>
    <w:rsid w:val="00EF3EEE"/>
    <w:rsid w:val="00EF3F23"/>
    <w:rsid w:val="00EF3F9D"/>
    <w:rsid w:val="00EF3FEF"/>
    <w:rsid w:val="00EF40FD"/>
    <w:rsid w:val="00EF41E9"/>
    <w:rsid w:val="00EF4295"/>
    <w:rsid w:val="00EF42C5"/>
    <w:rsid w:val="00EF42CC"/>
    <w:rsid w:val="00EF42E6"/>
    <w:rsid w:val="00EF43CF"/>
    <w:rsid w:val="00EF4410"/>
    <w:rsid w:val="00EF442D"/>
    <w:rsid w:val="00EF4469"/>
    <w:rsid w:val="00EF44A2"/>
    <w:rsid w:val="00EF453D"/>
    <w:rsid w:val="00EF458D"/>
    <w:rsid w:val="00EF4593"/>
    <w:rsid w:val="00EF46EE"/>
    <w:rsid w:val="00EF46FB"/>
    <w:rsid w:val="00EF48E7"/>
    <w:rsid w:val="00EF4931"/>
    <w:rsid w:val="00EF4939"/>
    <w:rsid w:val="00EF497F"/>
    <w:rsid w:val="00EF49C2"/>
    <w:rsid w:val="00EF4A69"/>
    <w:rsid w:val="00EF4C66"/>
    <w:rsid w:val="00EF4C84"/>
    <w:rsid w:val="00EF4C85"/>
    <w:rsid w:val="00EF4CD7"/>
    <w:rsid w:val="00EF4D97"/>
    <w:rsid w:val="00EF4EC0"/>
    <w:rsid w:val="00EF4EF4"/>
    <w:rsid w:val="00EF4EFA"/>
    <w:rsid w:val="00EF4FF1"/>
    <w:rsid w:val="00EF5018"/>
    <w:rsid w:val="00EF50A8"/>
    <w:rsid w:val="00EF50B2"/>
    <w:rsid w:val="00EF50E3"/>
    <w:rsid w:val="00EF5152"/>
    <w:rsid w:val="00EF51EF"/>
    <w:rsid w:val="00EF51F8"/>
    <w:rsid w:val="00EF526B"/>
    <w:rsid w:val="00EF5280"/>
    <w:rsid w:val="00EF531F"/>
    <w:rsid w:val="00EF538F"/>
    <w:rsid w:val="00EF54A0"/>
    <w:rsid w:val="00EF54AF"/>
    <w:rsid w:val="00EF5576"/>
    <w:rsid w:val="00EF55E2"/>
    <w:rsid w:val="00EF5655"/>
    <w:rsid w:val="00EF5700"/>
    <w:rsid w:val="00EF5782"/>
    <w:rsid w:val="00EF57D2"/>
    <w:rsid w:val="00EF5872"/>
    <w:rsid w:val="00EF58AA"/>
    <w:rsid w:val="00EF58BD"/>
    <w:rsid w:val="00EF58BF"/>
    <w:rsid w:val="00EF58DB"/>
    <w:rsid w:val="00EF591C"/>
    <w:rsid w:val="00EF5979"/>
    <w:rsid w:val="00EF5A9F"/>
    <w:rsid w:val="00EF5AD4"/>
    <w:rsid w:val="00EF5C75"/>
    <w:rsid w:val="00EF5C7C"/>
    <w:rsid w:val="00EF5D0E"/>
    <w:rsid w:val="00EF5D46"/>
    <w:rsid w:val="00EF5DAF"/>
    <w:rsid w:val="00EF5E0A"/>
    <w:rsid w:val="00EF5E2C"/>
    <w:rsid w:val="00EF5E66"/>
    <w:rsid w:val="00EF5E74"/>
    <w:rsid w:val="00EF5E94"/>
    <w:rsid w:val="00EF5EAE"/>
    <w:rsid w:val="00EF60B6"/>
    <w:rsid w:val="00EF60DD"/>
    <w:rsid w:val="00EF610C"/>
    <w:rsid w:val="00EF6156"/>
    <w:rsid w:val="00EF61B9"/>
    <w:rsid w:val="00EF61FA"/>
    <w:rsid w:val="00EF622F"/>
    <w:rsid w:val="00EF6247"/>
    <w:rsid w:val="00EF6312"/>
    <w:rsid w:val="00EF6316"/>
    <w:rsid w:val="00EF6359"/>
    <w:rsid w:val="00EF6378"/>
    <w:rsid w:val="00EF6398"/>
    <w:rsid w:val="00EF642C"/>
    <w:rsid w:val="00EF64B4"/>
    <w:rsid w:val="00EF650D"/>
    <w:rsid w:val="00EF650E"/>
    <w:rsid w:val="00EF651C"/>
    <w:rsid w:val="00EF652B"/>
    <w:rsid w:val="00EF654E"/>
    <w:rsid w:val="00EF656E"/>
    <w:rsid w:val="00EF6576"/>
    <w:rsid w:val="00EF6602"/>
    <w:rsid w:val="00EF667A"/>
    <w:rsid w:val="00EF668D"/>
    <w:rsid w:val="00EF6735"/>
    <w:rsid w:val="00EF67BA"/>
    <w:rsid w:val="00EF6870"/>
    <w:rsid w:val="00EF68B0"/>
    <w:rsid w:val="00EF68DC"/>
    <w:rsid w:val="00EF68DD"/>
    <w:rsid w:val="00EF69B1"/>
    <w:rsid w:val="00EF69F0"/>
    <w:rsid w:val="00EF6A85"/>
    <w:rsid w:val="00EF6AB9"/>
    <w:rsid w:val="00EF6B18"/>
    <w:rsid w:val="00EF6BF7"/>
    <w:rsid w:val="00EF6C20"/>
    <w:rsid w:val="00EF6C2A"/>
    <w:rsid w:val="00EF6C99"/>
    <w:rsid w:val="00EF6CE3"/>
    <w:rsid w:val="00EF6D59"/>
    <w:rsid w:val="00EF6DB6"/>
    <w:rsid w:val="00EF6E44"/>
    <w:rsid w:val="00EF6E85"/>
    <w:rsid w:val="00EF6EDE"/>
    <w:rsid w:val="00EF6F14"/>
    <w:rsid w:val="00EF6F18"/>
    <w:rsid w:val="00EF6F67"/>
    <w:rsid w:val="00EF6FB7"/>
    <w:rsid w:val="00EF6FE7"/>
    <w:rsid w:val="00EF7004"/>
    <w:rsid w:val="00EF702A"/>
    <w:rsid w:val="00EF7038"/>
    <w:rsid w:val="00EF7096"/>
    <w:rsid w:val="00EF70DF"/>
    <w:rsid w:val="00EF7169"/>
    <w:rsid w:val="00EF71CE"/>
    <w:rsid w:val="00EF720A"/>
    <w:rsid w:val="00EF7239"/>
    <w:rsid w:val="00EF727B"/>
    <w:rsid w:val="00EF72CC"/>
    <w:rsid w:val="00EF736A"/>
    <w:rsid w:val="00EF73CE"/>
    <w:rsid w:val="00EF73CF"/>
    <w:rsid w:val="00EF7423"/>
    <w:rsid w:val="00EF7431"/>
    <w:rsid w:val="00EF74E8"/>
    <w:rsid w:val="00EF7539"/>
    <w:rsid w:val="00EF7646"/>
    <w:rsid w:val="00EF7695"/>
    <w:rsid w:val="00EF769C"/>
    <w:rsid w:val="00EF7764"/>
    <w:rsid w:val="00EF7776"/>
    <w:rsid w:val="00EF77C1"/>
    <w:rsid w:val="00EF788B"/>
    <w:rsid w:val="00EF78A6"/>
    <w:rsid w:val="00EF78CC"/>
    <w:rsid w:val="00EF78F5"/>
    <w:rsid w:val="00EF791C"/>
    <w:rsid w:val="00EF7964"/>
    <w:rsid w:val="00EF797F"/>
    <w:rsid w:val="00EF7998"/>
    <w:rsid w:val="00EF79E2"/>
    <w:rsid w:val="00EF7A70"/>
    <w:rsid w:val="00EF7AEE"/>
    <w:rsid w:val="00EF7C75"/>
    <w:rsid w:val="00EF7CC1"/>
    <w:rsid w:val="00EF7D73"/>
    <w:rsid w:val="00EF7E0C"/>
    <w:rsid w:val="00EF7EB4"/>
    <w:rsid w:val="00EF7EB6"/>
    <w:rsid w:val="00EF7F83"/>
    <w:rsid w:val="00EF7FC6"/>
    <w:rsid w:val="00F00016"/>
    <w:rsid w:val="00F00024"/>
    <w:rsid w:val="00F000AF"/>
    <w:rsid w:val="00F00110"/>
    <w:rsid w:val="00F0011F"/>
    <w:rsid w:val="00F00123"/>
    <w:rsid w:val="00F00140"/>
    <w:rsid w:val="00F0014B"/>
    <w:rsid w:val="00F00200"/>
    <w:rsid w:val="00F00223"/>
    <w:rsid w:val="00F00272"/>
    <w:rsid w:val="00F00301"/>
    <w:rsid w:val="00F00414"/>
    <w:rsid w:val="00F0044A"/>
    <w:rsid w:val="00F004C2"/>
    <w:rsid w:val="00F00579"/>
    <w:rsid w:val="00F005A4"/>
    <w:rsid w:val="00F005DE"/>
    <w:rsid w:val="00F0060C"/>
    <w:rsid w:val="00F00642"/>
    <w:rsid w:val="00F006B2"/>
    <w:rsid w:val="00F0070D"/>
    <w:rsid w:val="00F00779"/>
    <w:rsid w:val="00F00796"/>
    <w:rsid w:val="00F008E1"/>
    <w:rsid w:val="00F008F6"/>
    <w:rsid w:val="00F008FF"/>
    <w:rsid w:val="00F0094C"/>
    <w:rsid w:val="00F009CF"/>
    <w:rsid w:val="00F009E2"/>
    <w:rsid w:val="00F009E6"/>
    <w:rsid w:val="00F009FF"/>
    <w:rsid w:val="00F00A67"/>
    <w:rsid w:val="00F00A6C"/>
    <w:rsid w:val="00F00A8F"/>
    <w:rsid w:val="00F00B7C"/>
    <w:rsid w:val="00F00BA0"/>
    <w:rsid w:val="00F00BAA"/>
    <w:rsid w:val="00F00BBC"/>
    <w:rsid w:val="00F00C00"/>
    <w:rsid w:val="00F00C44"/>
    <w:rsid w:val="00F00C5B"/>
    <w:rsid w:val="00F00C63"/>
    <w:rsid w:val="00F00C8C"/>
    <w:rsid w:val="00F00CB4"/>
    <w:rsid w:val="00F00D2E"/>
    <w:rsid w:val="00F00D67"/>
    <w:rsid w:val="00F00D69"/>
    <w:rsid w:val="00F00DF2"/>
    <w:rsid w:val="00F00E4C"/>
    <w:rsid w:val="00F00E60"/>
    <w:rsid w:val="00F00EC6"/>
    <w:rsid w:val="00F00F33"/>
    <w:rsid w:val="00F00F56"/>
    <w:rsid w:val="00F00FC4"/>
    <w:rsid w:val="00F01010"/>
    <w:rsid w:val="00F01024"/>
    <w:rsid w:val="00F010A1"/>
    <w:rsid w:val="00F010AB"/>
    <w:rsid w:val="00F010B7"/>
    <w:rsid w:val="00F0112D"/>
    <w:rsid w:val="00F011FA"/>
    <w:rsid w:val="00F01224"/>
    <w:rsid w:val="00F01227"/>
    <w:rsid w:val="00F0123E"/>
    <w:rsid w:val="00F0127B"/>
    <w:rsid w:val="00F01328"/>
    <w:rsid w:val="00F01391"/>
    <w:rsid w:val="00F0139C"/>
    <w:rsid w:val="00F01463"/>
    <w:rsid w:val="00F01487"/>
    <w:rsid w:val="00F0148E"/>
    <w:rsid w:val="00F0160F"/>
    <w:rsid w:val="00F016A2"/>
    <w:rsid w:val="00F0179A"/>
    <w:rsid w:val="00F017A2"/>
    <w:rsid w:val="00F01898"/>
    <w:rsid w:val="00F018AA"/>
    <w:rsid w:val="00F019A9"/>
    <w:rsid w:val="00F019ED"/>
    <w:rsid w:val="00F01A15"/>
    <w:rsid w:val="00F01A66"/>
    <w:rsid w:val="00F01BD3"/>
    <w:rsid w:val="00F01BF7"/>
    <w:rsid w:val="00F01C66"/>
    <w:rsid w:val="00F01C8B"/>
    <w:rsid w:val="00F01CA9"/>
    <w:rsid w:val="00F01D77"/>
    <w:rsid w:val="00F01F17"/>
    <w:rsid w:val="00F01F36"/>
    <w:rsid w:val="00F01F73"/>
    <w:rsid w:val="00F01F92"/>
    <w:rsid w:val="00F02128"/>
    <w:rsid w:val="00F021E7"/>
    <w:rsid w:val="00F02241"/>
    <w:rsid w:val="00F022B3"/>
    <w:rsid w:val="00F02431"/>
    <w:rsid w:val="00F0244F"/>
    <w:rsid w:val="00F0248A"/>
    <w:rsid w:val="00F024E2"/>
    <w:rsid w:val="00F025E3"/>
    <w:rsid w:val="00F02681"/>
    <w:rsid w:val="00F026C0"/>
    <w:rsid w:val="00F026EA"/>
    <w:rsid w:val="00F02713"/>
    <w:rsid w:val="00F0272F"/>
    <w:rsid w:val="00F02751"/>
    <w:rsid w:val="00F02753"/>
    <w:rsid w:val="00F02780"/>
    <w:rsid w:val="00F027C1"/>
    <w:rsid w:val="00F0285A"/>
    <w:rsid w:val="00F028A4"/>
    <w:rsid w:val="00F028C6"/>
    <w:rsid w:val="00F028D6"/>
    <w:rsid w:val="00F02904"/>
    <w:rsid w:val="00F029B4"/>
    <w:rsid w:val="00F029E5"/>
    <w:rsid w:val="00F02A72"/>
    <w:rsid w:val="00F02AA9"/>
    <w:rsid w:val="00F02AC0"/>
    <w:rsid w:val="00F02AC7"/>
    <w:rsid w:val="00F02B72"/>
    <w:rsid w:val="00F02B7F"/>
    <w:rsid w:val="00F02BD4"/>
    <w:rsid w:val="00F02CBD"/>
    <w:rsid w:val="00F02D1E"/>
    <w:rsid w:val="00F02D31"/>
    <w:rsid w:val="00F02D60"/>
    <w:rsid w:val="00F02D85"/>
    <w:rsid w:val="00F02E5A"/>
    <w:rsid w:val="00F02F07"/>
    <w:rsid w:val="00F02F09"/>
    <w:rsid w:val="00F02F4F"/>
    <w:rsid w:val="00F02FD5"/>
    <w:rsid w:val="00F03048"/>
    <w:rsid w:val="00F03092"/>
    <w:rsid w:val="00F03301"/>
    <w:rsid w:val="00F03309"/>
    <w:rsid w:val="00F03353"/>
    <w:rsid w:val="00F03461"/>
    <w:rsid w:val="00F034B7"/>
    <w:rsid w:val="00F034E6"/>
    <w:rsid w:val="00F03503"/>
    <w:rsid w:val="00F0351C"/>
    <w:rsid w:val="00F03614"/>
    <w:rsid w:val="00F0369D"/>
    <w:rsid w:val="00F036DF"/>
    <w:rsid w:val="00F036F2"/>
    <w:rsid w:val="00F0371C"/>
    <w:rsid w:val="00F0376A"/>
    <w:rsid w:val="00F038BE"/>
    <w:rsid w:val="00F038C4"/>
    <w:rsid w:val="00F038D1"/>
    <w:rsid w:val="00F039DB"/>
    <w:rsid w:val="00F039E8"/>
    <w:rsid w:val="00F03A2F"/>
    <w:rsid w:val="00F03A33"/>
    <w:rsid w:val="00F03A75"/>
    <w:rsid w:val="00F03A8F"/>
    <w:rsid w:val="00F03A96"/>
    <w:rsid w:val="00F03A9D"/>
    <w:rsid w:val="00F03B6D"/>
    <w:rsid w:val="00F03BA4"/>
    <w:rsid w:val="00F03BD2"/>
    <w:rsid w:val="00F03BF8"/>
    <w:rsid w:val="00F03CB3"/>
    <w:rsid w:val="00F03CBE"/>
    <w:rsid w:val="00F03D68"/>
    <w:rsid w:val="00F03D6A"/>
    <w:rsid w:val="00F03DA9"/>
    <w:rsid w:val="00F03E0D"/>
    <w:rsid w:val="00F03E5D"/>
    <w:rsid w:val="00F03E8D"/>
    <w:rsid w:val="00F03EBC"/>
    <w:rsid w:val="00F03F7B"/>
    <w:rsid w:val="00F03FD5"/>
    <w:rsid w:val="00F04107"/>
    <w:rsid w:val="00F04255"/>
    <w:rsid w:val="00F0425F"/>
    <w:rsid w:val="00F0427B"/>
    <w:rsid w:val="00F0429D"/>
    <w:rsid w:val="00F042AD"/>
    <w:rsid w:val="00F0432D"/>
    <w:rsid w:val="00F043A3"/>
    <w:rsid w:val="00F043A5"/>
    <w:rsid w:val="00F0451B"/>
    <w:rsid w:val="00F04527"/>
    <w:rsid w:val="00F04529"/>
    <w:rsid w:val="00F0452A"/>
    <w:rsid w:val="00F04541"/>
    <w:rsid w:val="00F04655"/>
    <w:rsid w:val="00F04658"/>
    <w:rsid w:val="00F046CC"/>
    <w:rsid w:val="00F046F6"/>
    <w:rsid w:val="00F0479B"/>
    <w:rsid w:val="00F0489B"/>
    <w:rsid w:val="00F04A27"/>
    <w:rsid w:val="00F04A97"/>
    <w:rsid w:val="00F04A9F"/>
    <w:rsid w:val="00F04AB1"/>
    <w:rsid w:val="00F04B79"/>
    <w:rsid w:val="00F04B8B"/>
    <w:rsid w:val="00F04BC9"/>
    <w:rsid w:val="00F04BF5"/>
    <w:rsid w:val="00F04C44"/>
    <w:rsid w:val="00F04C65"/>
    <w:rsid w:val="00F04C72"/>
    <w:rsid w:val="00F04C77"/>
    <w:rsid w:val="00F04CDF"/>
    <w:rsid w:val="00F04D2E"/>
    <w:rsid w:val="00F04DD7"/>
    <w:rsid w:val="00F04E2C"/>
    <w:rsid w:val="00F04E3E"/>
    <w:rsid w:val="00F04E8D"/>
    <w:rsid w:val="00F04EA7"/>
    <w:rsid w:val="00F04ED7"/>
    <w:rsid w:val="00F04EFB"/>
    <w:rsid w:val="00F04F9A"/>
    <w:rsid w:val="00F04FC2"/>
    <w:rsid w:val="00F04FEB"/>
    <w:rsid w:val="00F04FEC"/>
    <w:rsid w:val="00F05145"/>
    <w:rsid w:val="00F051A2"/>
    <w:rsid w:val="00F0524D"/>
    <w:rsid w:val="00F05254"/>
    <w:rsid w:val="00F0526C"/>
    <w:rsid w:val="00F0529D"/>
    <w:rsid w:val="00F052D5"/>
    <w:rsid w:val="00F0531D"/>
    <w:rsid w:val="00F0536A"/>
    <w:rsid w:val="00F05382"/>
    <w:rsid w:val="00F053EF"/>
    <w:rsid w:val="00F0544A"/>
    <w:rsid w:val="00F05527"/>
    <w:rsid w:val="00F05539"/>
    <w:rsid w:val="00F05565"/>
    <w:rsid w:val="00F05582"/>
    <w:rsid w:val="00F05671"/>
    <w:rsid w:val="00F0569B"/>
    <w:rsid w:val="00F056D1"/>
    <w:rsid w:val="00F05742"/>
    <w:rsid w:val="00F05796"/>
    <w:rsid w:val="00F059CB"/>
    <w:rsid w:val="00F059EE"/>
    <w:rsid w:val="00F05A70"/>
    <w:rsid w:val="00F05A87"/>
    <w:rsid w:val="00F05B4A"/>
    <w:rsid w:val="00F05B4F"/>
    <w:rsid w:val="00F05C39"/>
    <w:rsid w:val="00F05C59"/>
    <w:rsid w:val="00F05CA0"/>
    <w:rsid w:val="00F05CA9"/>
    <w:rsid w:val="00F05DA2"/>
    <w:rsid w:val="00F05DA7"/>
    <w:rsid w:val="00F05DD2"/>
    <w:rsid w:val="00F05E62"/>
    <w:rsid w:val="00F05EFA"/>
    <w:rsid w:val="00F05FD1"/>
    <w:rsid w:val="00F05FE3"/>
    <w:rsid w:val="00F05FF7"/>
    <w:rsid w:val="00F060C6"/>
    <w:rsid w:val="00F060F3"/>
    <w:rsid w:val="00F0614E"/>
    <w:rsid w:val="00F0619D"/>
    <w:rsid w:val="00F06338"/>
    <w:rsid w:val="00F06371"/>
    <w:rsid w:val="00F0637A"/>
    <w:rsid w:val="00F064A7"/>
    <w:rsid w:val="00F064B7"/>
    <w:rsid w:val="00F064F3"/>
    <w:rsid w:val="00F065C6"/>
    <w:rsid w:val="00F065E8"/>
    <w:rsid w:val="00F066AA"/>
    <w:rsid w:val="00F066B0"/>
    <w:rsid w:val="00F066F1"/>
    <w:rsid w:val="00F06701"/>
    <w:rsid w:val="00F067A1"/>
    <w:rsid w:val="00F067C9"/>
    <w:rsid w:val="00F0681C"/>
    <w:rsid w:val="00F06847"/>
    <w:rsid w:val="00F06876"/>
    <w:rsid w:val="00F06895"/>
    <w:rsid w:val="00F06964"/>
    <w:rsid w:val="00F069E1"/>
    <w:rsid w:val="00F06ABE"/>
    <w:rsid w:val="00F06B4A"/>
    <w:rsid w:val="00F06BA4"/>
    <w:rsid w:val="00F06BF9"/>
    <w:rsid w:val="00F06C90"/>
    <w:rsid w:val="00F06D4C"/>
    <w:rsid w:val="00F06DA6"/>
    <w:rsid w:val="00F06E25"/>
    <w:rsid w:val="00F06F1B"/>
    <w:rsid w:val="00F06F20"/>
    <w:rsid w:val="00F06F8E"/>
    <w:rsid w:val="00F06F9A"/>
    <w:rsid w:val="00F06FB3"/>
    <w:rsid w:val="00F06FF4"/>
    <w:rsid w:val="00F07045"/>
    <w:rsid w:val="00F07068"/>
    <w:rsid w:val="00F07080"/>
    <w:rsid w:val="00F070AF"/>
    <w:rsid w:val="00F070E1"/>
    <w:rsid w:val="00F07168"/>
    <w:rsid w:val="00F07170"/>
    <w:rsid w:val="00F07189"/>
    <w:rsid w:val="00F071D3"/>
    <w:rsid w:val="00F07223"/>
    <w:rsid w:val="00F07242"/>
    <w:rsid w:val="00F0727C"/>
    <w:rsid w:val="00F072A6"/>
    <w:rsid w:val="00F072B6"/>
    <w:rsid w:val="00F072FC"/>
    <w:rsid w:val="00F073E7"/>
    <w:rsid w:val="00F073EA"/>
    <w:rsid w:val="00F07414"/>
    <w:rsid w:val="00F0745F"/>
    <w:rsid w:val="00F07484"/>
    <w:rsid w:val="00F07498"/>
    <w:rsid w:val="00F074B1"/>
    <w:rsid w:val="00F074FC"/>
    <w:rsid w:val="00F075D0"/>
    <w:rsid w:val="00F07613"/>
    <w:rsid w:val="00F0762D"/>
    <w:rsid w:val="00F076BB"/>
    <w:rsid w:val="00F0774C"/>
    <w:rsid w:val="00F077C8"/>
    <w:rsid w:val="00F07814"/>
    <w:rsid w:val="00F0786C"/>
    <w:rsid w:val="00F07879"/>
    <w:rsid w:val="00F078A4"/>
    <w:rsid w:val="00F078BA"/>
    <w:rsid w:val="00F0795D"/>
    <w:rsid w:val="00F0799A"/>
    <w:rsid w:val="00F079A2"/>
    <w:rsid w:val="00F079BC"/>
    <w:rsid w:val="00F079E1"/>
    <w:rsid w:val="00F07A87"/>
    <w:rsid w:val="00F07BDD"/>
    <w:rsid w:val="00F07BFB"/>
    <w:rsid w:val="00F07CC5"/>
    <w:rsid w:val="00F07D2F"/>
    <w:rsid w:val="00F07D32"/>
    <w:rsid w:val="00F07E0A"/>
    <w:rsid w:val="00F07E2D"/>
    <w:rsid w:val="00F07ECD"/>
    <w:rsid w:val="00F07EF6"/>
    <w:rsid w:val="00F07F85"/>
    <w:rsid w:val="00F10086"/>
    <w:rsid w:val="00F10139"/>
    <w:rsid w:val="00F10245"/>
    <w:rsid w:val="00F1026C"/>
    <w:rsid w:val="00F1027B"/>
    <w:rsid w:val="00F1027D"/>
    <w:rsid w:val="00F10286"/>
    <w:rsid w:val="00F10324"/>
    <w:rsid w:val="00F10428"/>
    <w:rsid w:val="00F104C3"/>
    <w:rsid w:val="00F10521"/>
    <w:rsid w:val="00F10550"/>
    <w:rsid w:val="00F105D8"/>
    <w:rsid w:val="00F105E2"/>
    <w:rsid w:val="00F1064F"/>
    <w:rsid w:val="00F10655"/>
    <w:rsid w:val="00F106A6"/>
    <w:rsid w:val="00F106AE"/>
    <w:rsid w:val="00F106B3"/>
    <w:rsid w:val="00F10737"/>
    <w:rsid w:val="00F10752"/>
    <w:rsid w:val="00F107B2"/>
    <w:rsid w:val="00F10998"/>
    <w:rsid w:val="00F109CE"/>
    <w:rsid w:val="00F109F2"/>
    <w:rsid w:val="00F10A07"/>
    <w:rsid w:val="00F10AB1"/>
    <w:rsid w:val="00F10AE6"/>
    <w:rsid w:val="00F10AE7"/>
    <w:rsid w:val="00F10B95"/>
    <w:rsid w:val="00F10BDD"/>
    <w:rsid w:val="00F10BF8"/>
    <w:rsid w:val="00F10BFC"/>
    <w:rsid w:val="00F10C33"/>
    <w:rsid w:val="00F10C7E"/>
    <w:rsid w:val="00F10C98"/>
    <w:rsid w:val="00F10CF1"/>
    <w:rsid w:val="00F10D76"/>
    <w:rsid w:val="00F10D95"/>
    <w:rsid w:val="00F10E9A"/>
    <w:rsid w:val="00F10E9B"/>
    <w:rsid w:val="00F10F56"/>
    <w:rsid w:val="00F10FE8"/>
    <w:rsid w:val="00F11041"/>
    <w:rsid w:val="00F110B1"/>
    <w:rsid w:val="00F11194"/>
    <w:rsid w:val="00F111B4"/>
    <w:rsid w:val="00F111FF"/>
    <w:rsid w:val="00F11296"/>
    <w:rsid w:val="00F112D0"/>
    <w:rsid w:val="00F112E0"/>
    <w:rsid w:val="00F11347"/>
    <w:rsid w:val="00F113BE"/>
    <w:rsid w:val="00F11417"/>
    <w:rsid w:val="00F11463"/>
    <w:rsid w:val="00F11496"/>
    <w:rsid w:val="00F1157A"/>
    <w:rsid w:val="00F11587"/>
    <w:rsid w:val="00F115D5"/>
    <w:rsid w:val="00F1166D"/>
    <w:rsid w:val="00F116AD"/>
    <w:rsid w:val="00F116DE"/>
    <w:rsid w:val="00F1170A"/>
    <w:rsid w:val="00F11723"/>
    <w:rsid w:val="00F1188E"/>
    <w:rsid w:val="00F11891"/>
    <w:rsid w:val="00F118C8"/>
    <w:rsid w:val="00F118EC"/>
    <w:rsid w:val="00F1193E"/>
    <w:rsid w:val="00F11959"/>
    <w:rsid w:val="00F11AB7"/>
    <w:rsid w:val="00F11AE3"/>
    <w:rsid w:val="00F11B3D"/>
    <w:rsid w:val="00F11B78"/>
    <w:rsid w:val="00F11BF2"/>
    <w:rsid w:val="00F11CD8"/>
    <w:rsid w:val="00F11D34"/>
    <w:rsid w:val="00F11EB7"/>
    <w:rsid w:val="00F11F18"/>
    <w:rsid w:val="00F11F20"/>
    <w:rsid w:val="00F11F44"/>
    <w:rsid w:val="00F11F4D"/>
    <w:rsid w:val="00F11F50"/>
    <w:rsid w:val="00F11F60"/>
    <w:rsid w:val="00F11FCD"/>
    <w:rsid w:val="00F11FEF"/>
    <w:rsid w:val="00F12006"/>
    <w:rsid w:val="00F1203F"/>
    <w:rsid w:val="00F1204C"/>
    <w:rsid w:val="00F120FF"/>
    <w:rsid w:val="00F121A2"/>
    <w:rsid w:val="00F122B1"/>
    <w:rsid w:val="00F1230C"/>
    <w:rsid w:val="00F12332"/>
    <w:rsid w:val="00F1236D"/>
    <w:rsid w:val="00F1240B"/>
    <w:rsid w:val="00F12427"/>
    <w:rsid w:val="00F12431"/>
    <w:rsid w:val="00F12457"/>
    <w:rsid w:val="00F1250E"/>
    <w:rsid w:val="00F12593"/>
    <w:rsid w:val="00F125A3"/>
    <w:rsid w:val="00F125BE"/>
    <w:rsid w:val="00F1266E"/>
    <w:rsid w:val="00F12709"/>
    <w:rsid w:val="00F127CD"/>
    <w:rsid w:val="00F127D5"/>
    <w:rsid w:val="00F127DF"/>
    <w:rsid w:val="00F12814"/>
    <w:rsid w:val="00F12909"/>
    <w:rsid w:val="00F1296C"/>
    <w:rsid w:val="00F129F7"/>
    <w:rsid w:val="00F12AA9"/>
    <w:rsid w:val="00F12AF0"/>
    <w:rsid w:val="00F12B17"/>
    <w:rsid w:val="00F12B88"/>
    <w:rsid w:val="00F12BB7"/>
    <w:rsid w:val="00F12BF2"/>
    <w:rsid w:val="00F12C89"/>
    <w:rsid w:val="00F12CC5"/>
    <w:rsid w:val="00F12CE1"/>
    <w:rsid w:val="00F12D77"/>
    <w:rsid w:val="00F12E3C"/>
    <w:rsid w:val="00F12E91"/>
    <w:rsid w:val="00F12F1A"/>
    <w:rsid w:val="00F12FA5"/>
    <w:rsid w:val="00F12FD6"/>
    <w:rsid w:val="00F13033"/>
    <w:rsid w:val="00F130F6"/>
    <w:rsid w:val="00F13145"/>
    <w:rsid w:val="00F131CA"/>
    <w:rsid w:val="00F131D8"/>
    <w:rsid w:val="00F13227"/>
    <w:rsid w:val="00F1328A"/>
    <w:rsid w:val="00F132BE"/>
    <w:rsid w:val="00F132ED"/>
    <w:rsid w:val="00F134CA"/>
    <w:rsid w:val="00F135A7"/>
    <w:rsid w:val="00F135B9"/>
    <w:rsid w:val="00F135D2"/>
    <w:rsid w:val="00F1363E"/>
    <w:rsid w:val="00F136F2"/>
    <w:rsid w:val="00F13705"/>
    <w:rsid w:val="00F13736"/>
    <w:rsid w:val="00F1379A"/>
    <w:rsid w:val="00F137BD"/>
    <w:rsid w:val="00F13826"/>
    <w:rsid w:val="00F138C9"/>
    <w:rsid w:val="00F1396F"/>
    <w:rsid w:val="00F139BD"/>
    <w:rsid w:val="00F139EC"/>
    <w:rsid w:val="00F13B24"/>
    <w:rsid w:val="00F13B5B"/>
    <w:rsid w:val="00F13B88"/>
    <w:rsid w:val="00F13CA2"/>
    <w:rsid w:val="00F13D7F"/>
    <w:rsid w:val="00F13D81"/>
    <w:rsid w:val="00F13E7B"/>
    <w:rsid w:val="00F13F2C"/>
    <w:rsid w:val="00F13F42"/>
    <w:rsid w:val="00F13FE1"/>
    <w:rsid w:val="00F140D5"/>
    <w:rsid w:val="00F14257"/>
    <w:rsid w:val="00F1428F"/>
    <w:rsid w:val="00F14292"/>
    <w:rsid w:val="00F142BB"/>
    <w:rsid w:val="00F14304"/>
    <w:rsid w:val="00F1430D"/>
    <w:rsid w:val="00F14359"/>
    <w:rsid w:val="00F1439D"/>
    <w:rsid w:val="00F143BF"/>
    <w:rsid w:val="00F14462"/>
    <w:rsid w:val="00F14598"/>
    <w:rsid w:val="00F145A3"/>
    <w:rsid w:val="00F145D9"/>
    <w:rsid w:val="00F14746"/>
    <w:rsid w:val="00F14766"/>
    <w:rsid w:val="00F1478A"/>
    <w:rsid w:val="00F147D1"/>
    <w:rsid w:val="00F147D3"/>
    <w:rsid w:val="00F1484D"/>
    <w:rsid w:val="00F148AA"/>
    <w:rsid w:val="00F1495A"/>
    <w:rsid w:val="00F1495D"/>
    <w:rsid w:val="00F14994"/>
    <w:rsid w:val="00F149D0"/>
    <w:rsid w:val="00F149DB"/>
    <w:rsid w:val="00F149EF"/>
    <w:rsid w:val="00F14A50"/>
    <w:rsid w:val="00F14A54"/>
    <w:rsid w:val="00F14AFA"/>
    <w:rsid w:val="00F14B55"/>
    <w:rsid w:val="00F14B87"/>
    <w:rsid w:val="00F14B88"/>
    <w:rsid w:val="00F14BA4"/>
    <w:rsid w:val="00F14C2C"/>
    <w:rsid w:val="00F14D78"/>
    <w:rsid w:val="00F14D79"/>
    <w:rsid w:val="00F14DD1"/>
    <w:rsid w:val="00F14DF2"/>
    <w:rsid w:val="00F14E16"/>
    <w:rsid w:val="00F14EBF"/>
    <w:rsid w:val="00F14F00"/>
    <w:rsid w:val="00F14F12"/>
    <w:rsid w:val="00F14F2D"/>
    <w:rsid w:val="00F14F62"/>
    <w:rsid w:val="00F1508C"/>
    <w:rsid w:val="00F150A8"/>
    <w:rsid w:val="00F150AE"/>
    <w:rsid w:val="00F150DB"/>
    <w:rsid w:val="00F150DF"/>
    <w:rsid w:val="00F1511A"/>
    <w:rsid w:val="00F151E3"/>
    <w:rsid w:val="00F15218"/>
    <w:rsid w:val="00F15266"/>
    <w:rsid w:val="00F152C2"/>
    <w:rsid w:val="00F152C6"/>
    <w:rsid w:val="00F15344"/>
    <w:rsid w:val="00F1534D"/>
    <w:rsid w:val="00F15378"/>
    <w:rsid w:val="00F153A9"/>
    <w:rsid w:val="00F153F7"/>
    <w:rsid w:val="00F15514"/>
    <w:rsid w:val="00F15690"/>
    <w:rsid w:val="00F156D9"/>
    <w:rsid w:val="00F15720"/>
    <w:rsid w:val="00F157CA"/>
    <w:rsid w:val="00F157CD"/>
    <w:rsid w:val="00F157F8"/>
    <w:rsid w:val="00F1580A"/>
    <w:rsid w:val="00F15865"/>
    <w:rsid w:val="00F15887"/>
    <w:rsid w:val="00F158B4"/>
    <w:rsid w:val="00F158CF"/>
    <w:rsid w:val="00F158F8"/>
    <w:rsid w:val="00F15914"/>
    <w:rsid w:val="00F15A60"/>
    <w:rsid w:val="00F15A8B"/>
    <w:rsid w:val="00F15B4D"/>
    <w:rsid w:val="00F15BC2"/>
    <w:rsid w:val="00F15C0A"/>
    <w:rsid w:val="00F15C77"/>
    <w:rsid w:val="00F15CA7"/>
    <w:rsid w:val="00F15D12"/>
    <w:rsid w:val="00F15E28"/>
    <w:rsid w:val="00F15E6B"/>
    <w:rsid w:val="00F15E87"/>
    <w:rsid w:val="00F15F93"/>
    <w:rsid w:val="00F16009"/>
    <w:rsid w:val="00F16028"/>
    <w:rsid w:val="00F160A6"/>
    <w:rsid w:val="00F160C9"/>
    <w:rsid w:val="00F1617A"/>
    <w:rsid w:val="00F16270"/>
    <w:rsid w:val="00F162C3"/>
    <w:rsid w:val="00F162D4"/>
    <w:rsid w:val="00F1634E"/>
    <w:rsid w:val="00F1637E"/>
    <w:rsid w:val="00F163CB"/>
    <w:rsid w:val="00F16428"/>
    <w:rsid w:val="00F16464"/>
    <w:rsid w:val="00F16470"/>
    <w:rsid w:val="00F1647D"/>
    <w:rsid w:val="00F165A8"/>
    <w:rsid w:val="00F16643"/>
    <w:rsid w:val="00F16652"/>
    <w:rsid w:val="00F167D8"/>
    <w:rsid w:val="00F1686B"/>
    <w:rsid w:val="00F1686D"/>
    <w:rsid w:val="00F16937"/>
    <w:rsid w:val="00F1695A"/>
    <w:rsid w:val="00F169AD"/>
    <w:rsid w:val="00F16A2D"/>
    <w:rsid w:val="00F16A97"/>
    <w:rsid w:val="00F16B4B"/>
    <w:rsid w:val="00F16BAA"/>
    <w:rsid w:val="00F16CA5"/>
    <w:rsid w:val="00F16CBA"/>
    <w:rsid w:val="00F16CCF"/>
    <w:rsid w:val="00F16E24"/>
    <w:rsid w:val="00F16E35"/>
    <w:rsid w:val="00F16E3D"/>
    <w:rsid w:val="00F16EBF"/>
    <w:rsid w:val="00F16FAF"/>
    <w:rsid w:val="00F170B5"/>
    <w:rsid w:val="00F17118"/>
    <w:rsid w:val="00F17224"/>
    <w:rsid w:val="00F17267"/>
    <w:rsid w:val="00F17288"/>
    <w:rsid w:val="00F17385"/>
    <w:rsid w:val="00F173EF"/>
    <w:rsid w:val="00F173F7"/>
    <w:rsid w:val="00F17559"/>
    <w:rsid w:val="00F175B7"/>
    <w:rsid w:val="00F17611"/>
    <w:rsid w:val="00F17667"/>
    <w:rsid w:val="00F176BC"/>
    <w:rsid w:val="00F176DD"/>
    <w:rsid w:val="00F1771E"/>
    <w:rsid w:val="00F17775"/>
    <w:rsid w:val="00F177D0"/>
    <w:rsid w:val="00F17880"/>
    <w:rsid w:val="00F178B3"/>
    <w:rsid w:val="00F178E4"/>
    <w:rsid w:val="00F17959"/>
    <w:rsid w:val="00F17963"/>
    <w:rsid w:val="00F1796B"/>
    <w:rsid w:val="00F17987"/>
    <w:rsid w:val="00F179AF"/>
    <w:rsid w:val="00F179CE"/>
    <w:rsid w:val="00F179D5"/>
    <w:rsid w:val="00F17A5A"/>
    <w:rsid w:val="00F17B63"/>
    <w:rsid w:val="00F17BB2"/>
    <w:rsid w:val="00F17C4F"/>
    <w:rsid w:val="00F17C82"/>
    <w:rsid w:val="00F17C84"/>
    <w:rsid w:val="00F17CC9"/>
    <w:rsid w:val="00F17D56"/>
    <w:rsid w:val="00F17D59"/>
    <w:rsid w:val="00F17DF7"/>
    <w:rsid w:val="00F17E5C"/>
    <w:rsid w:val="00F17E7C"/>
    <w:rsid w:val="00F17E9A"/>
    <w:rsid w:val="00F17EC9"/>
    <w:rsid w:val="00F17F67"/>
    <w:rsid w:val="00F17FE0"/>
    <w:rsid w:val="00F20037"/>
    <w:rsid w:val="00F200A8"/>
    <w:rsid w:val="00F20153"/>
    <w:rsid w:val="00F20229"/>
    <w:rsid w:val="00F20236"/>
    <w:rsid w:val="00F20271"/>
    <w:rsid w:val="00F2038A"/>
    <w:rsid w:val="00F203E9"/>
    <w:rsid w:val="00F2046A"/>
    <w:rsid w:val="00F2047E"/>
    <w:rsid w:val="00F2048F"/>
    <w:rsid w:val="00F2051D"/>
    <w:rsid w:val="00F2058B"/>
    <w:rsid w:val="00F20598"/>
    <w:rsid w:val="00F205AF"/>
    <w:rsid w:val="00F205EF"/>
    <w:rsid w:val="00F205F4"/>
    <w:rsid w:val="00F20637"/>
    <w:rsid w:val="00F20699"/>
    <w:rsid w:val="00F206AB"/>
    <w:rsid w:val="00F206F5"/>
    <w:rsid w:val="00F20717"/>
    <w:rsid w:val="00F2071E"/>
    <w:rsid w:val="00F2074F"/>
    <w:rsid w:val="00F20767"/>
    <w:rsid w:val="00F207F3"/>
    <w:rsid w:val="00F208C9"/>
    <w:rsid w:val="00F20957"/>
    <w:rsid w:val="00F2096F"/>
    <w:rsid w:val="00F209B8"/>
    <w:rsid w:val="00F209F1"/>
    <w:rsid w:val="00F20A9B"/>
    <w:rsid w:val="00F20AD9"/>
    <w:rsid w:val="00F20B1C"/>
    <w:rsid w:val="00F20B59"/>
    <w:rsid w:val="00F20B6A"/>
    <w:rsid w:val="00F20BE1"/>
    <w:rsid w:val="00F20C1B"/>
    <w:rsid w:val="00F20CAA"/>
    <w:rsid w:val="00F20CAE"/>
    <w:rsid w:val="00F20CB2"/>
    <w:rsid w:val="00F20D67"/>
    <w:rsid w:val="00F20E34"/>
    <w:rsid w:val="00F20E9A"/>
    <w:rsid w:val="00F20EB3"/>
    <w:rsid w:val="00F20EB6"/>
    <w:rsid w:val="00F20FC0"/>
    <w:rsid w:val="00F21066"/>
    <w:rsid w:val="00F2106A"/>
    <w:rsid w:val="00F210DA"/>
    <w:rsid w:val="00F2114D"/>
    <w:rsid w:val="00F211EC"/>
    <w:rsid w:val="00F212AC"/>
    <w:rsid w:val="00F212FE"/>
    <w:rsid w:val="00F21340"/>
    <w:rsid w:val="00F2143E"/>
    <w:rsid w:val="00F21482"/>
    <w:rsid w:val="00F214A6"/>
    <w:rsid w:val="00F214E6"/>
    <w:rsid w:val="00F2167E"/>
    <w:rsid w:val="00F217A0"/>
    <w:rsid w:val="00F217FF"/>
    <w:rsid w:val="00F21834"/>
    <w:rsid w:val="00F2192F"/>
    <w:rsid w:val="00F21947"/>
    <w:rsid w:val="00F21948"/>
    <w:rsid w:val="00F2195C"/>
    <w:rsid w:val="00F2196D"/>
    <w:rsid w:val="00F21971"/>
    <w:rsid w:val="00F21974"/>
    <w:rsid w:val="00F21990"/>
    <w:rsid w:val="00F219D3"/>
    <w:rsid w:val="00F21A33"/>
    <w:rsid w:val="00F21A4D"/>
    <w:rsid w:val="00F21A60"/>
    <w:rsid w:val="00F21B04"/>
    <w:rsid w:val="00F21B29"/>
    <w:rsid w:val="00F21B2F"/>
    <w:rsid w:val="00F21B4B"/>
    <w:rsid w:val="00F21B5F"/>
    <w:rsid w:val="00F21C83"/>
    <w:rsid w:val="00F21C88"/>
    <w:rsid w:val="00F21D0E"/>
    <w:rsid w:val="00F21D27"/>
    <w:rsid w:val="00F21DB9"/>
    <w:rsid w:val="00F21DEF"/>
    <w:rsid w:val="00F21E56"/>
    <w:rsid w:val="00F21F71"/>
    <w:rsid w:val="00F21F92"/>
    <w:rsid w:val="00F21FAA"/>
    <w:rsid w:val="00F21FE1"/>
    <w:rsid w:val="00F21FE5"/>
    <w:rsid w:val="00F22017"/>
    <w:rsid w:val="00F2204C"/>
    <w:rsid w:val="00F2206D"/>
    <w:rsid w:val="00F22230"/>
    <w:rsid w:val="00F22257"/>
    <w:rsid w:val="00F2233F"/>
    <w:rsid w:val="00F2238E"/>
    <w:rsid w:val="00F223A3"/>
    <w:rsid w:val="00F22464"/>
    <w:rsid w:val="00F22468"/>
    <w:rsid w:val="00F22561"/>
    <w:rsid w:val="00F225DC"/>
    <w:rsid w:val="00F22604"/>
    <w:rsid w:val="00F226B8"/>
    <w:rsid w:val="00F2274C"/>
    <w:rsid w:val="00F2276D"/>
    <w:rsid w:val="00F227C8"/>
    <w:rsid w:val="00F22831"/>
    <w:rsid w:val="00F228D8"/>
    <w:rsid w:val="00F228F3"/>
    <w:rsid w:val="00F2290B"/>
    <w:rsid w:val="00F22926"/>
    <w:rsid w:val="00F229F5"/>
    <w:rsid w:val="00F22B2E"/>
    <w:rsid w:val="00F22B8B"/>
    <w:rsid w:val="00F22BB1"/>
    <w:rsid w:val="00F22BC1"/>
    <w:rsid w:val="00F22BED"/>
    <w:rsid w:val="00F22C08"/>
    <w:rsid w:val="00F22C38"/>
    <w:rsid w:val="00F22C73"/>
    <w:rsid w:val="00F22D0C"/>
    <w:rsid w:val="00F22D85"/>
    <w:rsid w:val="00F22E16"/>
    <w:rsid w:val="00F22F7E"/>
    <w:rsid w:val="00F23058"/>
    <w:rsid w:val="00F230B9"/>
    <w:rsid w:val="00F23122"/>
    <w:rsid w:val="00F231B3"/>
    <w:rsid w:val="00F23226"/>
    <w:rsid w:val="00F2330C"/>
    <w:rsid w:val="00F23314"/>
    <w:rsid w:val="00F2331E"/>
    <w:rsid w:val="00F2335A"/>
    <w:rsid w:val="00F23369"/>
    <w:rsid w:val="00F23390"/>
    <w:rsid w:val="00F2339A"/>
    <w:rsid w:val="00F233B3"/>
    <w:rsid w:val="00F233E3"/>
    <w:rsid w:val="00F2341E"/>
    <w:rsid w:val="00F234F1"/>
    <w:rsid w:val="00F2353A"/>
    <w:rsid w:val="00F23542"/>
    <w:rsid w:val="00F235C3"/>
    <w:rsid w:val="00F235F1"/>
    <w:rsid w:val="00F23680"/>
    <w:rsid w:val="00F236BF"/>
    <w:rsid w:val="00F2372A"/>
    <w:rsid w:val="00F237EF"/>
    <w:rsid w:val="00F239AF"/>
    <w:rsid w:val="00F239C6"/>
    <w:rsid w:val="00F23A20"/>
    <w:rsid w:val="00F23A44"/>
    <w:rsid w:val="00F23A46"/>
    <w:rsid w:val="00F23A76"/>
    <w:rsid w:val="00F23A80"/>
    <w:rsid w:val="00F23A96"/>
    <w:rsid w:val="00F23B3B"/>
    <w:rsid w:val="00F23B4B"/>
    <w:rsid w:val="00F23B90"/>
    <w:rsid w:val="00F23C6B"/>
    <w:rsid w:val="00F23C7F"/>
    <w:rsid w:val="00F23D5F"/>
    <w:rsid w:val="00F23D69"/>
    <w:rsid w:val="00F23D72"/>
    <w:rsid w:val="00F23E28"/>
    <w:rsid w:val="00F23E61"/>
    <w:rsid w:val="00F23EC6"/>
    <w:rsid w:val="00F23ED1"/>
    <w:rsid w:val="00F23F3A"/>
    <w:rsid w:val="00F23FFF"/>
    <w:rsid w:val="00F24028"/>
    <w:rsid w:val="00F2407A"/>
    <w:rsid w:val="00F2412F"/>
    <w:rsid w:val="00F241C4"/>
    <w:rsid w:val="00F24285"/>
    <w:rsid w:val="00F242DA"/>
    <w:rsid w:val="00F24306"/>
    <w:rsid w:val="00F24314"/>
    <w:rsid w:val="00F24380"/>
    <w:rsid w:val="00F2439F"/>
    <w:rsid w:val="00F24445"/>
    <w:rsid w:val="00F24478"/>
    <w:rsid w:val="00F244DA"/>
    <w:rsid w:val="00F24534"/>
    <w:rsid w:val="00F24564"/>
    <w:rsid w:val="00F2457B"/>
    <w:rsid w:val="00F2460A"/>
    <w:rsid w:val="00F24614"/>
    <w:rsid w:val="00F24626"/>
    <w:rsid w:val="00F24637"/>
    <w:rsid w:val="00F2465D"/>
    <w:rsid w:val="00F246B0"/>
    <w:rsid w:val="00F247D2"/>
    <w:rsid w:val="00F2488C"/>
    <w:rsid w:val="00F248D8"/>
    <w:rsid w:val="00F2499A"/>
    <w:rsid w:val="00F249B6"/>
    <w:rsid w:val="00F249BC"/>
    <w:rsid w:val="00F249C8"/>
    <w:rsid w:val="00F249EF"/>
    <w:rsid w:val="00F24ADE"/>
    <w:rsid w:val="00F24B17"/>
    <w:rsid w:val="00F24B4E"/>
    <w:rsid w:val="00F24B8F"/>
    <w:rsid w:val="00F24B92"/>
    <w:rsid w:val="00F24C2D"/>
    <w:rsid w:val="00F24E27"/>
    <w:rsid w:val="00F24E42"/>
    <w:rsid w:val="00F24E83"/>
    <w:rsid w:val="00F24F21"/>
    <w:rsid w:val="00F24F8B"/>
    <w:rsid w:val="00F24FB1"/>
    <w:rsid w:val="00F25047"/>
    <w:rsid w:val="00F25069"/>
    <w:rsid w:val="00F250A4"/>
    <w:rsid w:val="00F250FE"/>
    <w:rsid w:val="00F25103"/>
    <w:rsid w:val="00F25267"/>
    <w:rsid w:val="00F252E9"/>
    <w:rsid w:val="00F25342"/>
    <w:rsid w:val="00F2536B"/>
    <w:rsid w:val="00F2538D"/>
    <w:rsid w:val="00F25391"/>
    <w:rsid w:val="00F253A6"/>
    <w:rsid w:val="00F253D0"/>
    <w:rsid w:val="00F253DA"/>
    <w:rsid w:val="00F25445"/>
    <w:rsid w:val="00F254FA"/>
    <w:rsid w:val="00F2553C"/>
    <w:rsid w:val="00F25575"/>
    <w:rsid w:val="00F255B2"/>
    <w:rsid w:val="00F25608"/>
    <w:rsid w:val="00F2568D"/>
    <w:rsid w:val="00F2570E"/>
    <w:rsid w:val="00F25763"/>
    <w:rsid w:val="00F2587F"/>
    <w:rsid w:val="00F258D2"/>
    <w:rsid w:val="00F259DB"/>
    <w:rsid w:val="00F259E5"/>
    <w:rsid w:val="00F25A84"/>
    <w:rsid w:val="00F25A91"/>
    <w:rsid w:val="00F25AE6"/>
    <w:rsid w:val="00F25B14"/>
    <w:rsid w:val="00F25B21"/>
    <w:rsid w:val="00F25B73"/>
    <w:rsid w:val="00F25C0F"/>
    <w:rsid w:val="00F25C75"/>
    <w:rsid w:val="00F25D2D"/>
    <w:rsid w:val="00F25D85"/>
    <w:rsid w:val="00F25DB0"/>
    <w:rsid w:val="00F25DFE"/>
    <w:rsid w:val="00F25F69"/>
    <w:rsid w:val="00F25FA3"/>
    <w:rsid w:val="00F25FA4"/>
    <w:rsid w:val="00F2602E"/>
    <w:rsid w:val="00F260D0"/>
    <w:rsid w:val="00F261C5"/>
    <w:rsid w:val="00F2628A"/>
    <w:rsid w:val="00F262E7"/>
    <w:rsid w:val="00F2645C"/>
    <w:rsid w:val="00F26466"/>
    <w:rsid w:val="00F264CA"/>
    <w:rsid w:val="00F26578"/>
    <w:rsid w:val="00F2663F"/>
    <w:rsid w:val="00F26750"/>
    <w:rsid w:val="00F26767"/>
    <w:rsid w:val="00F26786"/>
    <w:rsid w:val="00F2681B"/>
    <w:rsid w:val="00F26823"/>
    <w:rsid w:val="00F2686C"/>
    <w:rsid w:val="00F26870"/>
    <w:rsid w:val="00F268BF"/>
    <w:rsid w:val="00F268F6"/>
    <w:rsid w:val="00F26986"/>
    <w:rsid w:val="00F269BD"/>
    <w:rsid w:val="00F26B72"/>
    <w:rsid w:val="00F26BE8"/>
    <w:rsid w:val="00F26C8E"/>
    <w:rsid w:val="00F26CCA"/>
    <w:rsid w:val="00F26D17"/>
    <w:rsid w:val="00F26D85"/>
    <w:rsid w:val="00F26E66"/>
    <w:rsid w:val="00F26EB5"/>
    <w:rsid w:val="00F26F00"/>
    <w:rsid w:val="00F27093"/>
    <w:rsid w:val="00F270D6"/>
    <w:rsid w:val="00F270E1"/>
    <w:rsid w:val="00F271DE"/>
    <w:rsid w:val="00F27290"/>
    <w:rsid w:val="00F2739B"/>
    <w:rsid w:val="00F273DC"/>
    <w:rsid w:val="00F27434"/>
    <w:rsid w:val="00F27439"/>
    <w:rsid w:val="00F2748F"/>
    <w:rsid w:val="00F274E2"/>
    <w:rsid w:val="00F27530"/>
    <w:rsid w:val="00F27551"/>
    <w:rsid w:val="00F275A5"/>
    <w:rsid w:val="00F275AB"/>
    <w:rsid w:val="00F275B1"/>
    <w:rsid w:val="00F276DD"/>
    <w:rsid w:val="00F276EA"/>
    <w:rsid w:val="00F2771F"/>
    <w:rsid w:val="00F2779B"/>
    <w:rsid w:val="00F277FE"/>
    <w:rsid w:val="00F2781D"/>
    <w:rsid w:val="00F27931"/>
    <w:rsid w:val="00F27A27"/>
    <w:rsid w:val="00F27A69"/>
    <w:rsid w:val="00F27A78"/>
    <w:rsid w:val="00F27A85"/>
    <w:rsid w:val="00F27A98"/>
    <w:rsid w:val="00F27AEB"/>
    <w:rsid w:val="00F27AFE"/>
    <w:rsid w:val="00F27B78"/>
    <w:rsid w:val="00F27BE5"/>
    <w:rsid w:val="00F27C01"/>
    <w:rsid w:val="00F27C10"/>
    <w:rsid w:val="00F27C5F"/>
    <w:rsid w:val="00F27C9A"/>
    <w:rsid w:val="00F27D16"/>
    <w:rsid w:val="00F27E20"/>
    <w:rsid w:val="00F27E43"/>
    <w:rsid w:val="00F27F09"/>
    <w:rsid w:val="00F27F33"/>
    <w:rsid w:val="00F27F61"/>
    <w:rsid w:val="00F27F7A"/>
    <w:rsid w:val="00F30098"/>
    <w:rsid w:val="00F30190"/>
    <w:rsid w:val="00F301D0"/>
    <w:rsid w:val="00F3020D"/>
    <w:rsid w:val="00F30262"/>
    <w:rsid w:val="00F3030D"/>
    <w:rsid w:val="00F3036E"/>
    <w:rsid w:val="00F3037D"/>
    <w:rsid w:val="00F303E7"/>
    <w:rsid w:val="00F30459"/>
    <w:rsid w:val="00F3052B"/>
    <w:rsid w:val="00F30607"/>
    <w:rsid w:val="00F30667"/>
    <w:rsid w:val="00F306F9"/>
    <w:rsid w:val="00F30700"/>
    <w:rsid w:val="00F30735"/>
    <w:rsid w:val="00F30881"/>
    <w:rsid w:val="00F308EF"/>
    <w:rsid w:val="00F308FD"/>
    <w:rsid w:val="00F30931"/>
    <w:rsid w:val="00F30A82"/>
    <w:rsid w:val="00F30A86"/>
    <w:rsid w:val="00F30AAF"/>
    <w:rsid w:val="00F30B29"/>
    <w:rsid w:val="00F30BA4"/>
    <w:rsid w:val="00F30C70"/>
    <w:rsid w:val="00F30CC2"/>
    <w:rsid w:val="00F30DD9"/>
    <w:rsid w:val="00F30DDE"/>
    <w:rsid w:val="00F30E16"/>
    <w:rsid w:val="00F30E91"/>
    <w:rsid w:val="00F30EC7"/>
    <w:rsid w:val="00F30EDC"/>
    <w:rsid w:val="00F30F5D"/>
    <w:rsid w:val="00F31003"/>
    <w:rsid w:val="00F31070"/>
    <w:rsid w:val="00F310BF"/>
    <w:rsid w:val="00F311A7"/>
    <w:rsid w:val="00F31337"/>
    <w:rsid w:val="00F313B0"/>
    <w:rsid w:val="00F31400"/>
    <w:rsid w:val="00F3149D"/>
    <w:rsid w:val="00F314DF"/>
    <w:rsid w:val="00F31536"/>
    <w:rsid w:val="00F3155B"/>
    <w:rsid w:val="00F315B1"/>
    <w:rsid w:val="00F315B4"/>
    <w:rsid w:val="00F316D1"/>
    <w:rsid w:val="00F3175B"/>
    <w:rsid w:val="00F3177C"/>
    <w:rsid w:val="00F3183D"/>
    <w:rsid w:val="00F31855"/>
    <w:rsid w:val="00F3192C"/>
    <w:rsid w:val="00F31A2E"/>
    <w:rsid w:val="00F31A8E"/>
    <w:rsid w:val="00F31A8F"/>
    <w:rsid w:val="00F31AED"/>
    <w:rsid w:val="00F31B46"/>
    <w:rsid w:val="00F31B5A"/>
    <w:rsid w:val="00F31B5C"/>
    <w:rsid w:val="00F31BA9"/>
    <w:rsid w:val="00F31BAC"/>
    <w:rsid w:val="00F31BB5"/>
    <w:rsid w:val="00F31BB7"/>
    <w:rsid w:val="00F31BFD"/>
    <w:rsid w:val="00F31CE0"/>
    <w:rsid w:val="00F31CFB"/>
    <w:rsid w:val="00F31DB1"/>
    <w:rsid w:val="00F31DB7"/>
    <w:rsid w:val="00F31DBA"/>
    <w:rsid w:val="00F31E90"/>
    <w:rsid w:val="00F31EC1"/>
    <w:rsid w:val="00F31F2D"/>
    <w:rsid w:val="00F31F64"/>
    <w:rsid w:val="00F31FF2"/>
    <w:rsid w:val="00F32055"/>
    <w:rsid w:val="00F32070"/>
    <w:rsid w:val="00F3208A"/>
    <w:rsid w:val="00F3209B"/>
    <w:rsid w:val="00F320BB"/>
    <w:rsid w:val="00F3214C"/>
    <w:rsid w:val="00F3217F"/>
    <w:rsid w:val="00F3218F"/>
    <w:rsid w:val="00F32221"/>
    <w:rsid w:val="00F32290"/>
    <w:rsid w:val="00F322B7"/>
    <w:rsid w:val="00F3232A"/>
    <w:rsid w:val="00F32360"/>
    <w:rsid w:val="00F32365"/>
    <w:rsid w:val="00F3248C"/>
    <w:rsid w:val="00F32504"/>
    <w:rsid w:val="00F32584"/>
    <w:rsid w:val="00F3259A"/>
    <w:rsid w:val="00F32687"/>
    <w:rsid w:val="00F3269B"/>
    <w:rsid w:val="00F326A9"/>
    <w:rsid w:val="00F32709"/>
    <w:rsid w:val="00F3276F"/>
    <w:rsid w:val="00F32796"/>
    <w:rsid w:val="00F327AA"/>
    <w:rsid w:val="00F32858"/>
    <w:rsid w:val="00F328EA"/>
    <w:rsid w:val="00F328F7"/>
    <w:rsid w:val="00F32913"/>
    <w:rsid w:val="00F32933"/>
    <w:rsid w:val="00F3296B"/>
    <w:rsid w:val="00F32989"/>
    <w:rsid w:val="00F32AB7"/>
    <w:rsid w:val="00F32AFC"/>
    <w:rsid w:val="00F32B0C"/>
    <w:rsid w:val="00F32D5C"/>
    <w:rsid w:val="00F32D6A"/>
    <w:rsid w:val="00F32D84"/>
    <w:rsid w:val="00F32D90"/>
    <w:rsid w:val="00F32E8D"/>
    <w:rsid w:val="00F32EE1"/>
    <w:rsid w:val="00F32FB5"/>
    <w:rsid w:val="00F3300E"/>
    <w:rsid w:val="00F33060"/>
    <w:rsid w:val="00F330BB"/>
    <w:rsid w:val="00F3313B"/>
    <w:rsid w:val="00F3317A"/>
    <w:rsid w:val="00F33193"/>
    <w:rsid w:val="00F332A8"/>
    <w:rsid w:val="00F33392"/>
    <w:rsid w:val="00F33441"/>
    <w:rsid w:val="00F334CE"/>
    <w:rsid w:val="00F33523"/>
    <w:rsid w:val="00F33561"/>
    <w:rsid w:val="00F33572"/>
    <w:rsid w:val="00F33612"/>
    <w:rsid w:val="00F3372C"/>
    <w:rsid w:val="00F3374A"/>
    <w:rsid w:val="00F33857"/>
    <w:rsid w:val="00F338D1"/>
    <w:rsid w:val="00F33903"/>
    <w:rsid w:val="00F3390D"/>
    <w:rsid w:val="00F3395F"/>
    <w:rsid w:val="00F33988"/>
    <w:rsid w:val="00F339D2"/>
    <w:rsid w:val="00F33ACB"/>
    <w:rsid w:val="00F33AD1"/>
    <w:rsid w:val="00F33ADD"/>
    <w:rsid w:val="00F33B38"/>
    <w:rsid w:val="00F33B61"/>
    <w:rsid w:val="00F33B7B"/>
    <w:rsid w:val="00F33BA1"/>
    <w:rsid w:val="00F33BA8"/>
    <w:rsid w:val="00F33C21"/>
    <w:rsid w:val="00F33C37"/>
    <w:rsid w:val="00F33C4E"/>
    <w:rsid w:val="00F33C89"/>
    <w:rsid w:val="00F33C92"/>
    <w:rsid w:val="00F33CD7"/>
    <w:rsid w:val="00F33D2D"/>
    <w:rsid w:val="00F33D40"/>
    <w:rsid w:val="00F33D95"/>
    <w:rsid w:val="00F33DA0"/>
    <w:rsid w:val="00F33E02"/>
    <w:rsid w:val="00F33E5B"/>
    <w:rsid w:val="00F33EBE"/>
    <w:rsid w:val="00F33F77"/>
    <w:rsid w:val="00F33F8D"/>
    <w:rsid w:val="00F33FA2"/>
    <w:rsid w:val="00F3409A"/>
    <w:rsid w:val="00F340A4"/>
    <w:rsid w:val="00F34109"/>
    <w:rsid w:val="00F34158"/>
    <w:rsid w:val="00F3418C"/>
    <w:rsid w:val="00F34192"/>
    <w:rsid w:val="00F341B7"/>
    <w:rsid w:val="00F341E8"/>
    <w:rsid w:val="00F34286"/>
    <w:rsid w:val="00F342C7"/>
    <w:rsid w:val="00F342D5"/>
    <w:rsid w:val="00F343BB"/>
    <w:rsid w:val="00F34408"/>
    <w:rsid w:val="00F34484"/>
    <w:rsid w:val="00F3453C"/>
    <w:rsid w:val="00F34626"/>
    <w:rsid w:val="00F347B1"/>
    <w:rsid w:val="00F347D3"/>
    <w:rsid w:val="00F347F7"/>
    <w:rsid w:val="00F347FA"/>
    <w:rsid w:val="00F3482E"/>
    <w:rsid w:val="00F348C5"/>
    <w:rsid w:val="00F3493A"/>
    <w:rsid w:val="00F34967"/>
    <w:rsid w:val="00F349F4"/>
    <w:rsid w:val="00F34A69"/>
    <w:rsid w:val="00F34A6E"/>
    <w:rsid w:val="00F34AB0"/>
    <w:rsid w:val="00F34ACB"/>
    <w:rsid w:val="00F34AF5"/>
    <w:rsid w:val="00F34B67"/>
    <w:rsid w:val="00F34C0D"/>
    <w:rsid w:val="00F34C0F"/>
    <w:rsid w:val="00F34C89"/>
    <w:rsid w:val="00F34CB1"/>
    <w:rsid w:val="00F34CFA"/>
    <w:rsid w:val="00F34D78"/>
    <w:rsid w:val="00F34D92"/>
    <w:rsid w:val="00F34DC9"/>
    <w:rsid w:val="00F34E42"/>
    <w:rsid w:val="00F34EE5"/>
    <w:rsid w:val="00F34FE9"/>
    <w:rsid w:val="00F35013"/>
    <w:rsid w:val="00F35072"/>
    <w:rsid w:val="00F35092"/>
    <w:rsid w:val="00F35096"/>
    <w:rsid w:val="00F350A9"/>
    <w:rsid w:val="00F35118"/>
    <w:rsid w:val="00F35136"/>
    <w:rsid w:val="00F35145"/>
    <w:rsid w:val="00F351EC"/>
    <w:rsid w:val="00F3520C"/>
    <w:rsid w:val="00F3529F"/>
    <w:rsid w:val="00F352B4"/>
    <w:rsid w:val="00F352BA"/>
    <w:rsid w:val="00F35370"/>
    <w:rsid w:val="00F35388"/>
    <w:rsid w:val="00F353A9"/>
    <w:rsid w:val="00F35444"/>
    <w:rsid w:val="00F35466"/>
    <w:rsid w:val="00F354B6"/>
    <w:rsid w:val="00F354BE"/>
    <w:rsid w:val="00F35505"/>
    <w:rsid w:val="00F3554E"/>
    <w:rsid w:val="00F355E4"/>
    <w:rsid w:val="00F355FE"/>
    <w:rsid w:val="00F3560E"/>
    <w:rsid w:val="00F35650"/>
    <w:rsid w:val="00F3567F"/>
    <w:rsid w:val="00F35680"/>
    <w:rsid w:val="00F356DE"/>
    <w:rsid w:val="00F3576E"/>
    <w:rsid w:val="00F3577C"/>
    <w:rsid w:val="00F357FD"/>
    <w:rsid w:val="00F3581B"/>
    <w:rsid w:val="00F35832"/>
    <w:rsid w:val="00F35858"/>
    <w:rsid w:val="00F359FC"/>
    <w:rsid w:val="00F35A55"/>
    <w:rsid w:val="00F35ADB"/>
    <w:rsid w:val="00F35B4B"/>
    <w:rsid w:val="00F35B75"/>
    <w:rsid w:val="00F35B9B"/>
    <w:rsid w:val="00F35BCD"/>
    <w:rsid w:val="00F35C4E"/>
    <w:rsid w:val="00F35CFC"/>
    <w:rsid w:val="00F35D27"/>
    <w:rsid w:val="00F35D91"/>
    <w:rsid w:val="00F35DA4"/>
    <w:rsid w:val="00F35DE6"/>
    <w:rsid w:val="00F35E95"/>
    <w:rsid w:val="00F35F4F"/>
    <w:rsid w:val="00F35F9E"/>
    <w:rsid w:val="00F35FB7"/>
    <w:rsid w:val="00F360A9"/>
    <w:rsid w:val="00F360D9"/>
    <w:rsid w:val="00F360FD"/>
    <w:rsid w:val="00F36108"/>
    <w:rsid w:val="00F36163"/>
    <w:rsid w:val="00F36179"/>
    <w:rsid w:val="00F3619D"/>
    <w:rsid w:val="00F361AD"/>
    <w:rsid w:val="00F36267"/>
    <w:rsid w:val="00F36300"/>
    <w:rsid w:val="00F36333"/>
    <w:rsid w:val="00F3638E"/>
    <w:rsid w:val="00F36470"/>
    <w:rsid w:val="00F36487"/>
    <w:rsid w:val="00F3659C"/>
    <w:rsid w:val="00F365D1"/>
    <w:rsid w:val="00F366B4"/>
    <w:rsid w:val="00F366CB"/>
    <w:rsid w:val="00F36732"/>
    <w:rsid w:val="00F36769"/>
    <w:rsid w:val="00F3677B"/>
    <w:rsid w:val="00F36832"/>
    <w:rsid w:val="00F3687D"/>
    <w:rsid w:val="00F368D7"/>
    <w:rsid w:val="00F3690B"/>
    <w:rsid w:val="00F36914"/>
    <w:rsid w:val="00F36963"/>
    <w:rsid w:val="00F369CE"/>
    <w:rsid w:val="00F36A6F"/>
    <w:rsid w:val="00F36A8A"/>
    <w:rsid w:val="00F36AD1"/>
    <w:rsid w:val="00F36ADD"/>
    <w:rsid w:val="00F36AED"/>
    <w:rsid w:val="00F36B00"/>
    <w:rsid w:val="00F36B19"/>
    <w:rsid w:val="00F36B25"/>
    <w:rsid w:val="00F36B95"/>
    <w:rsid w:val="00F36BB4"/>
    <w:rsid w:val="00F36C77"/>
    <w:rsid w:val="00F36C82"/>
    <w:rsid w:val="00F36CDB"/>
    <w:rsid w:val="00F36D4C"/>
    <w:rsid w:val="00F36D55"/>
    <w:rsid w:val="00F36D83"/>
    <w:rsid w:val="00F36D89"/>
    <w:rsid w:val="00F36D91"/>
    <w:rsid w:val="00F36F2B"/>
    <w:rsid w:val="00F36F69"/>
    <w:rsid w:val="00F36F71"/>
    <w:rsid w:val="00F37241"/>
    <w:rsid w:val="00F37272"/>
    <w:rsid w:val="00F37288"/>
    <w:rsid w:val="00F37323"/>
    <w:rsid w:val="00F3735E"/>
    <w:rsid w:val="00F373C6"/>
    <w:rsid w:val="00F37601"/>
    <w:rsid w:val="00F3769F"/>
    <w:rsid w:val="00F3771C"/>
    <w:rsid w:val="00F3771F"/>
    <w:rsid w:val="00F3779E"/>
    <w:rsid w:val="00F377B9"/>
    <w:rsid w:val="00F377BC"/>
    <w:rsid w:val="00F378F8"/>
    <w:rsid w:val="00F37901"/>
    <w:rsid w:val="00F3791E"/>
    <w:rsid w:val="00F37A74"/>
    <w:rsid w:val="00F37AA0"/>
    <w:rsid w:val="00F37AFF"/>
    <w:rsid w:val="00F37B10"/>
    <w:rsid w:val="00F37B33"/>
    <w:rsid w:val="00F37B45"/>
    <w:rsid w:val="00F37B6F"/>
    <w:rsid w:val="00F37BEB"/>
    <w:rsid w:val="00F37BF9"/>
    <w:rsid w:val="00F37C18"/>
    <w:rsid w:val="00F37C49"/>
    <w:rsid w:val="00F37C53"/>
    <w:rsid w:val="00F37C75"/>
    <w:rsid w:val="00F37CB6"/>
    <w:rsid w:val="00F37CDE"/>
    <w:rsid w:val="00F37D21"/>
    <w:rsid w:val="00F37D6D"/>
    <w:rsid w:val="00F37DB3"/>
    <w:rsid w:val="00F37DC9"/>
    <w:rsid w:val="00F37DEB"/>
    <w:rsid w:val="00F37E49"/>
    <w:rsid w:val="00F37EB0"/>
    <w:rsid w:val="00F37EC9"/>
    <w:rsid w:val="00F37EE4"/>
    <w:rsid w:val="00F37F28"/>
    <w:rsid w:val="00F37F56"/>
    <w:rsid w:val="00F37F65"/>
    <w:rsid w:val="00F4008A"/>
    <w:rsid w:val="00F400A4"/>
    <w:rsid w:val="00F400F4"/>
    <w:rsid w:val="00F40101"/>
    <w:rsid w:val="00F4010B"/>
    <w:rsid w:val="00F401B0"/>
    <w:rsid w:val="00F40265"/>
    <w:rsid w:val="00F4032F"/>
    <w:rsid w:val="00F40340"/>
    <w:rsid w:val="00F403BF"/>
    <w:rsid w:val="00F403F0"/>
    <w:rsid w:val="00F40593"/>
    <w:rsid w:val="00F405B5"/>
    <w:rsid w:val="00F40606"/>
    <w:rsid w:val="00F4060E"/>
    <w:rsid w:val="00F40653"/>
    <w:rsid w:val="00F40696"/>
    <w:rsid w:val="00F40701"/>
    <w:rsid w:val="00F40778"/>
    <w:rsid w:val="00F407AB"/>
    <w:rsid w:val="00F408E0"/>
    <w:rsid w:val="00F408F8"/>
    <w:rsid w:val="00F4092D"/>
    <w:rsid w:val="00F40AB9"/>
    <w:rsid w:val="00F40B18"/>
    <w:rsid w:val="00F40C6C"/>
    <w:rsid w:val="00F40CE6"/>
    <w:rsid w:val="00F40D6F"/>
    <w:rsid w:val="00F40DED"/>
    <w:rsid w:val="00F40DEE"/>
    <w:rsid w:val="00F40F25"/>
    <w:rsid w:val="00F40F37"/>
    <w:rsid w:val="00F40F5D"/>
    <w:rsid w:val="00F40FA6"/>
    <w:rsid w:val="00F410AA"/>
    <w:rsid w:val="00F410C0"/>
    <w:rsid w:val="00F410EB"/>
    <w:rsid w:val="00F411EA"/>
    <w:rsid w:val="00F41220"/>
    <w:rsid w:val="00F413A9"/>
    <w:rsid w:val="00F413BF"/>
    <w:rsid w:val="00F41422"/>
    <w:rsid w:val="00F41638"/>
    <w:rsid w:val="00F41673"/>
    <w:rsid w:val="00F4167F"/>
    <w:rsid w:val="00F4180C"/>
    <w:rsid w:val="00F41854"/>
    <w:rsid w:val="00F41950"/>
    <w:rsid w:val="00F41A52"/>
    <w:rsid w:val="00F41A5D"/>
    <w:rsid w:val="00F41C58"/>
    <w:rsid w:val="00F41C5D"/>
    <w:rsid w:val="00F41C8C"/>
    <w:rsid w:val="00F41D14"/>
    <w:rsid w:val="00F41D6B"/>
    <w:rsid w:val="00F41DFB"/>
    <w:rsid w:val="00F41E04"/>
    <w:rsid w:val="00F41E48"/>
    <w:rsid w:val="00F41ED0"/>
    <w:rsid w:val="00F41ED7"/>
    <w:rsid w:val="00F41F67"/>
    <w:rsid w:val="00F42014"/>
    <w:rsid w:val="00F42069"/>
    <w:rsid w:val="00F42072"/>
    <w:rsid w:val="00F420CB"/>
    <w:rsid w:val="00F42264"/>
    <w:rsid w:val="00F42274"/>
    <w:rsid w:val="00F4229B"/>
    <w:rsid w:val="00F422C7"/>
    <w:rsid w:val="00F422D9"/>
    <w:rsid w:val="00F4230D"/>
    <w:rsid w:val="00F4232D"/>
    <w:rsid w:val="00F42349"/>
    <w:rsid w:val="00F4235A"/>
    <w:rsid w:val="00F42408"/>
    <w:rsid w:val="00F42448"/>
    <w:rsid w:val="00F4256E"/>
    <w:rsid w:val="00F42657"/>
    <w:rsid w:val="00F42668"/>
    <w:rsid w:val="00F42669"/>
    <w:rsid w:val="00F42703"/>
    <w:rsid w:val="00F427FD"/>
    <w:rsid w:val="00F4284A"/>
    <w:rsid w:val="00F4291A"/>
    <w:rsid w:val="00F4293A"/>
    <w:rsid w:val="00F429D7"/>
    <w:rsid w:val="00F429EE"/>
    <w:rsid w:val="00F42A47"/>
    <w:rsid w:val="00F42AC5"/>
    <w:rsid w:val="00F42AD3"/>
    <w:rsid w:val="00F42AD5"/>
    <w:rsid w:val="00F42ADB"/>
    <w:rsid w:val="00F42AFB"/>
    <w:rsid w:val="00F42B5E"/>
    <w:rsid w:val="00F42B85"/>
    <w:rsid w:val="00F42BAC"/>
    <w:rsid w:val="00F42BD9"/>
    <w:rsid w:val="00F42C73"/>
    <w:rsid w:val="00F42CC7"/>
    <w:rsid w:val="00F42D11"/>
    <w:rsid w:val="00F42D4B"/>
    <w:rsid w:val="00F42DEE"/>
    <w:rsid w:val="00F42E75"/>
    <w:rsid w:val="00F42ED9"/>
    <w:rsid w:val="00F42EF0"/>
    <w:rsid w:val="00F42F4A"/>
    <w:rsid w:val="00F42F62"/>
    <w:rsid w:val="00F42F75"/>
    <w:rsid w:val="00F42FA9"/>
    <w:rsid w:val="00F42FAF"/>
    <w:rsid w:val="00F42FC3"/>
    <w:rsid w:val="00F4300D"/>
    <w:rsid w:val="00F4305D"/>
    <w:rsid w:val="00F43090"/>
    <w:rsid w:val="00F43108"/>
    <w:rsid w:val="00F43154"/>
    <w:rsid w:val="00F431BE"/>
    <w:rsid w:val="00F4323D"/>
    <w:rsid w:val="00F43242"/>
    <w:rsid w:val="00F43253"/>
    <w:rsid w:val="00F432C5"/>
    <w:rsid w:val="00F43304"/>
    <w:rsid w:val="00F4331B"/>
    <w:rsid w:val="00F433BD"/>
    <w:rsid w:val="00F43401"/>
    <w:rsid w:val="00F43439"/>
    <w:rsid w:val="00F435CC"/>
    <w:rsid w:val="00F435E3"/>
    <w:rsid w:val="00F43606"/>
    <w:rsid w:val="00F43663"/>
    <w:rsid w:val="00F43683"/>
    <w:rsid w:val="00F4369B"/>
    <w:rsid w:val="00F436D1"/>
    <w:rsid w:val="00F438CE"/>
    <w:rsid w:val="00F43939"/>
    <w:rsid w:val="00F43940"/>
    <w:rsid w:val="00F43947"/>
    <w:rsid w:val="00F43984"/>
    <w:rsid w:val="00F43A06"/>
    <w:rsid w:val="00F43A41"/>
    <w:rsid w:val="00F43B5D"/>
    <w:rsid w:val="00F43BBA"/>
    <w:rsid w:val="00F43BE5"/>
    <w:rsid w:val="00F43C9F"/>
    <w:rsid w:val="00F43CF4"/>
    <w:rsid w:val="00F43D56"/>
    <w:rsid w:val="00F43E79"/>
    <w:rsid w:val="00F43E81"/>
    <w:rsid w:val="00F43E94"/>
    <w:rsid w:val="00F43E99"/>
    <w:rsid w:val="00F43E9C"/>
    <w:rsid w:val="00F43F73"/>
    <w:rsid w:val="00F43FF4"/>
    <w:rsid w:val="00F440B4"/>
    <w:rsid w:val="00F440F1"/>
    <w:rsid w:val="00F4411D"/>
    <w:rsid w:val="00F44170"/>
    <w:rsid w:val="00F441ED"/>
    <w:rsid w:val="00F4422E"/>
    <w:rsid w:val="00F44242"/>
    <w:rsid w:val="00F44332"/>
    <w:rsid w:val="00F44348"/>
    <w:rsid w:val="00F44395"/>
    <w:rsid w:val="00F4442F"/>
    <w:rsid w:val="00F445C9"/>
    <w:rsid w:val="00F445D3"/>
    <w:rsid w:val="00F44603"/>
    <w:rsid w:val="00F4462B"/>
    <w:rsid w:val="00F44643"/>
    <w:rsid w:val="00F4468E"/>
    <w:rsid w:val="00F446AE"/>
    <w:rsid w:val="00F44767"/>
    <w:rsid w:val="00F44814"/>
    <w:rsid w:val="00F44839"/>
    <w:rsid w:val="00F4484F"/>
    <w:rsid w:val="00F448BE"/>
    <w:rsid w:val="00F448DB"/>
    <w:rsid w:val="00F44936"/>
    <w:rsid w:val="00F4495B"/>
    <w:rsid w:val="00F44961"/>
    <w:rsid w:val="00F44962"/>
    <w:rsid w:val="00F449E4"/>
    <w:rsid w:val="00F44A0B"/>
    <w:rsid w:val="00F44A39"/>
    <w:rsid w:val="00F44AE4"/>
    <w:rsid w:val="00F44B01"/>
    <w:rsid w:val="00F44B89"/>
    <w:rsid w:val="00F44BBE"/>
    <w:rsid w:val="00F44BE7"/>
    <w:rsid w:val="00F44C1F"/>
    <w:rsid w:val="00F44C3C"/>
    <w:rsid w:val="00F44D20"/>
    <w:rsid w:val="00F44D21"/>
    <w:rsid w:val="00F44D42"/>
    <w:rsid w:val="00F44D6D"/>
    <w:rsid w:val="00F44D7E"/>
    <w:rsid w:val="00F44E1A"/>
    <w:rsid w:val="00F44E97"/>
    <w:rsid w:val="00F44E99"/>
    <w:rsid w:val="00F44E9B"/>
    <w:rsid w:val="00F44EAA"/>
    <w:rsid w:val="00F44F0D"/>
    <w:rsid w:val="00F44FF7"/>
    <w:rsid w:val="00F45092"/>
    <w:rsid w:val="00F450D5"/>
    <w:rsid w:val="00F450EF"/>
    <w:rsid w:val="00F450FA"/>
    <w:rsid w:val="00F45101"/>
    <w:rsid w:val="00F45117"/>
    <w:rsid w:val="00F45181"/>
    <w:rsid w:val="00F451D8"/>
    <w:rsid w:val="00F454B3"/>
    <w:rsid w:val="00F45503"/>
    <w:rsid w:val="00F45510"/>
    <w:rsid w:val="00F45544"/>
    <w:rsid w:val="00F455B2"/>
    <w:rsid w:val="00F456C1"/>
    <w:rsid w:val="00F456E4"/>
    <w:rsid w:val="00F456E9"/>
    <w:rsid w:val="00F45730"/>
    <w:rsid w:val="00F4578E"/>
    <w:rsid w:val="00F4579B"/>
    <w:rsid w:val="00F457D9"/>
    <w:rsid w:val="00F4581B"/>
    <w:rsid w:val="00F45822"/>
    <w:rsid w:val="00F45872"/>
    <w:rsid w:val="00F459A5"/>
    <w:rsid w:val="00F459C2"/>
    <w:rsid w:val="00F459CF"/>
    <w:rsid w:val="00F459FD"/>
    <w:rsid w:val="00F45A01"/>
    <w:rsid w:val="00F45A19"/>
    <w:rsid w:val="00F45A84"/>
    <w:rsid w:val="00F45B22"/>
    <w:rsid w:val="00F45C2F"/>
    <w:rsid w:val="00F45C64"/>
    <w:rsid w:val="00F45C6C"/>
    <w:rsid w:val="00F45CC4"/>
    <w:rsid w:val="00F45CE0"/>
    <w:rsid w:val="00F45CF6"/>
    <w:rsid w:val="00F45D24"/>
    <w:rsid w:val="00F45E1D"/>
    <w:rsid w:val="00F45E67"/>
    <w:rsid w:val="00F45E78"/>
    <w:rsid w:val="00F45EEA"/>
    <w:rsid w:val="00F45FC7"/>
    <w:rsid w:val="00F460FB"/>
    <w:rsid w:val="00F46114"/>
    <w:rsid w:val="00F461B3"/>
    <w:rsid w:val="00F46225"/>
    <w:rsid w:val="00F4629F"/>
    <w:rsid w:val="00F462A9"/>
    <w:rsid w:val="00F462C9"/>
    <w:rsid w:val="00F462F1"/>
    <w:rsid w:val="00F462FD"/>
    <w:rsid w:val="00F46360"/>
    <w:rsid w:val="00F463EA"/>
    <w:rsid w:val="00F4644B"/>
    <w:rsid w:val="00F464A5"/>
    <w:rsid w:val="00F464BF"/>
    <w:rsid w:val="00F464EB"/>
    <w:rsid w:val="00F4660F"/>
    <w:rsid w:val="00F46649"/>
    <w:rsid w:val="00F4672F"/>
    <w:rsid w:val="00F467AA"/>
    <w:rsid w:val="00F467AE"/>
    <w:rsid w:val="00F46879"/>
    <w:rsid w:val="00F468D6"/>
    <w:rsid w:val="00F4693E"/>
    <w:rsid w:val="00F469D4"/>
    <w:rsid w:val="00F46A2B"/>
    <w:rsid w:val="00F46A5B"/>
    <w:rsid w:val="00F46AA3"/>
    <w:rsid w:val="00F46AC7"/>
    <w:rsid w:val="00F46B11"/>
    <w:rsid w:val="00F46B56"/>
    <w:rsid w:val="00F46B5E"/>
    <w:rsid w:val="00F46BAA"/>
    <w:rsid w:val="00F46BE0"/>
    <w:rsid w:val="00F46BEC"/>
    <w:rsid w:val="00F46BFB"/>
    <w:rsid w:val="00F46C6A"/>
    <w:rsid w:val="00F46E1E"/>
    <w:rsid w:val="00F46E42"/>
    <w:rsid w:val="00F46E50"/>
    <w:rsid w:val="00F46E63"/>
    <w:rsid w:val="00F46ED5"/>
    <w:rsid w:val="00F46F35"/>
    <w:rsid w:val="00F46F6E"/>
    <w:rsid w:val="00F46FCC"/>
    <w:rsid w:val="00F4702C"/>
    <w:rsid w:val="00F47092"/>
    <w:rsid w:val="00F470C2"/>
    <w:rsid w:val="00F47126"/>
    <w:rsid w:val="00F472C6"/>
    <w:rsid w:val="00F472EB"/>
    <w:rsid w:val="00F472F9"/>
    <w:rsid w:val="00F47322"/>
    <w:rsid w:val="00F47480"/>
    <w:rsid w:val="00F47490"/>
    <w:rsid w:val="00F474AA"/>
    <w:rsid w:val="00F474B8"/>
    <w:rsid w:val="00F474F3"/>
    <w:rsid w:val="00F474FE"/>
    <w:rsid w:val="00F47547"/>
    <w:rsid w:val="00F47563"/>
    <w:rsid w:val="00F475A9"/>
    <w:rsid w:val="00F475B8"/>
    <w:rsid w:val="00F476B8"/>
    <w:rsid w:val="00F4773B"/>
    <w:rsid w:val="00F47743"/>
    <w:rsid w:val="00F47789"/>
    <w:rsid w:val="00F4784F"/>
    <w:rsid w:val="00F478B6"/>
    <w:rsid w:val="00F47917"/>
    <w:rsid w:val="00F47A1A"/>
    <w:rsid w:val="00F47A25"/>
    <w:rsid w:val="00F47A38"/>
    <w:rsid w:val="00F47A4C"/>
    <w:rsid w:val="00F47A5F"/>
    <w:rsid w:val="00F47A78"/>
    <w:rsid w:val="00F47AA3"/>
    <w:rsid w:val="00F47B29"/>
    <w:rsid w:val="00F47B38"/>
    <w:rsid w:val="00F47D12"/>
    <w:rsid w:val="00F47D96"/>
    <w:rsid w:val="00F47DE2"/>
    <w:rsid w:val="00F47DF0"/>
    <w:rsid w:val="00F47EA5"/>
    <w:rsid w:val="00F47EB8"/>
    <w:rsid w:val="00F47F05"/>
    <w:rsid w:val="00F47F14"/>
    <w:rsid w:val="00F47F6B"/>
    <w:rsid w:val="00F50074"/>
    <w:rsid w:val="00F500AB"/>
    <w:rsid w:val="00F500D4"/>
    <w:rsid w:val="00F500F7"/>
    <w:rsid w:val="00F501DD"/>
    <w:rsid w:val="00F5025B"/>
    <w:rsid w:val="00F502AE"/>
    <w:rsid w:val="00F502E4"/>
    <w:rsid w:val="00F50407"/>
    <w:rsid w:val="00F50421"/>
    <w:rsid w:val="00F504FF"/>
    <w:rsid w:val="00F50574"/>
    <w:rsid w:val="00F505B8"/>
    <w:rsid w:val="00F505C7"/>
    <w:rsid w:val="00F506D5"/>
    <w:rsid w:val="00F5073D"/>
    <w:rsid w:val="00F507D9"/>
    <w:rsid w:val="00F50807"/>
    <w:rsid w:val="00F509DE"/>
    <w:rsid w:val="00F50AC8"/>
    <w:rsid w:val="00F50AE4"/>
    <w:rsid w:val="00F50B04"/>
    <w:rsid w:val="00F50B8E"/>
    <w:rsid w:val="00F50BBC"/>
    <w:rsid w:val="00F50C44"/>
    <w:rsid w:val="00F50C6C"/>
    <w:rsid w:val="00F50C91"/>
    <w:rsid w:val="00F50C9E"/>
    <w:rsid w:val="00F50DA4"/>
    <w:rsid w:val="00F50E57"/>
    <w:rsid w:val="00F50EAB"/>
    <w:rsid w:val="00F50ECA"/>
    <w:rsid w:val="00F51071"/>
    <w:rsid w:val="00F51173"/>
    <w:rsid w:val="00F51175"/>
    <w:rsid w:val="00F511BB"/>
    <w:rsid w:val="00F511ED"/>
    <w:rsid w:val="00F51210"/>
    <w:rsid w:val="00F51219"/>
    <w:rsid w:val="00F51240"/>
    <w:rsid w:val="00F51304"/>
    <w:rsid w:val="00F51314"/>
    <w:rsid w:val="00F51426"/>
    <w:rsid w:val="00F5146A"/>
    <w:rsid w:val="00F5149E"/>
    <w:rsid w:val="00F514F4"/>
    <w:rsid w:val="00F514FB"/>
    <w:rsid w:val="00F515C3"/>
    <w:rsid w:val="00F5163F"/>
    <w:rsid w:val="00F51676"/>
    <w:rsid w:val="00F516C8"/>
    <w:rsid w:val="00F51737"/>
    <w:rsid w:val="00F517BA"/>
    <w:rsid w:val="00F51840"/>
    <w:rsid w:val="00F51852"/>
    <w:rsid w:val="00F518E6"/>
    <w:rsid w:val="00F518E8"/>
    <w:rsid w:val="00F518F2"/>
    <w:rsid w:val="00F5194B"/>
    <w:rsid w:val="00F519B2"/>
    <w:rsid w:val="00F51A72"/>
    <w:rsid w:val="00F51A95"/>
    <w:rsid w:val="00F51AFC"/>
    <w:rsid w:val="00F51BA3"/>
    <w:rsid w:val="00F51C51"/>
    <w:rsid w:val="00F51CD4"/>
    <w:rsid w:val="00F51CE1"/>
    <w:rsid w:val="00F51D23"/>
    <w:rsid w:val="00F51D6C"/>
    <w:rsid w:val="00F51E0F"/>
    <w:rsid w:val="00F51F04"/>
    <w:rsid w:val="00F51F55"/>
    <w:rsid w:val="00F51F75"/>
    <w:rsid w:val="00F51FCE"/>
    <w:rsid w:val="00F51FD7"/>
    <w:rsid w:val="00F52064"/>
    <w:rsid w:val="00F520FB"/>
    <w:rsid w:val="00F52186"/>
    <w:rsid w:val="00F5233F"/>
    <w:rsid w:val="00F52364"/>
    <w:rsid w:val="00F523B2"/>
    <w:rsid w:val="00F52431"/>
    <w:rsid w:val="00F52496"/>
    <w:rsid w:val="00F52583"/>
    <w:rsid w:val="00F52604"/>
    <w:rsid w:val="00F5265B"/>
    <w:rsid w:val="00F527D1"/>
    <w:rsid w:val="00F527DA"/>
    <w:rsid w:val="00F52815"/>
    <w:rsid w:val="00F52843"/>
    <w:rsid w:val="00F52847"/>
    <w:rsid w:val="00F52876"/>
    <w:rsid w:val="00F52914"/>
    <w:rsid w:val="00F52987"/>
    <w:rsid w:val="00F52A34"/>
    <w:rsid w:val="00F52A3A"/>
    <w:rsid w:val="00F52A99"/>
    <w:rsid w:val="00F52B55"/>
    <w:rsid w:val="00F52B7E"/>
    <w:rsid w:val="00F52C11"/>
    <w:rsid w:val="00F52C52"/>
    <w:rsid w:val="00F52CFF"/>
    <w:rsid w:val="00F52D00"/>
    <w:rsid w:val="00F52D7F"/>
    <w:rsid w:val="00F52F18"/>
    <w:rsid w:val="00F52F9C"/>
    <w:rsid w:val="00F530E0"/>
    <w:rsid w:val="00F53157"/>
    <w:rsid w:val="00F531C5"/>
    <w:rsid w:val="00F531CD"/>
    <w:rsid w:val="00F5324F"/>
    <w:rsid w:val="00F5328D"/>
    <w:rsid w:val="00F53389"/>
    <w:rsid w:val="00F53398"/>
    <w:rsid w:val="00F53408"/>
    <w:rsid w:val="00F534E0"/>
    <w:rsid w:val="00F53504"/>
    <w:rsid w:val="00F5352B"/>
    <w:rsid w:val="00F535CF"/>
    <w:rsid w:val="00F53670"/>
    <w:rsid w:val="00F5372D"/>
    <w:rsid w:val="00F53800"/>
    <w:rsid w:val="00F53898"/>
    <w:rsid w:val="00F538AE"/>
    <w:rsid w:val="00F53926"/>
    <w:rsid w:val="00F53A40"/>
    <w:rsid w:val="00F53AA5"/>
    <w:rsid w:val="00F53AC7"/>
    <w:rsid w:val="00F53B70"/>
    <w:rsid w:val="00F53B72"/>
    <w:rsid w:val="00F53B9B"/>
    <w:rsid w:val="00F53BA8"/>
    <w:rsid w:val="00F53C56"/>
    <w:rsid w:val="00F53C88"/>
    <w:rsid w:val="00F53CB1"/>
    <w:rsid w:val="00F53CB5"/>
    <w:rsid w:val="00F53CF2"/>
    <w:rsid w:val="00F53CF4"/>
    <w:rsid w:val="00F53DD5"/>
    <w:rsid w:val="00F53E4A"/>
    <w:rsid w:val="00F53E8C"/>
    <w:rsid w:val="00F53EA0"/>
    <w:rsid w:val="00F53ECD"/>
    <w:rsid w:val="00F53EF5"/>
    <w:rsid w:val="00F53EF6"/>
    <w:rsid w:val="00F53EFE"/>
    <w:rsid w:val="00F53F05"/>
    <w:rsid w:val="00F53FED"/>
    <w:rsid w:val="00F53FF7"/>
    <w:rsid w:val="00F5404A"/>
    <w:rsid w:val="00F54053"/>
    <w:rsid w:val="00F54069"/>
    <w:rsid w:val="00F5407A"/>
    <w:rsid w:val="00F5414F"/>
    <w:rsid w:val="00F54154"/>
    <w:rsid w:val="00F5418C"/>
    <w:rsid w:val="00F5418E"/>
    <w:rsid w:val="00F54392"/>
    <w:rsid w:val="00F543AC"/>
    <w:rsid w:val="00F54484"/>
    <w:rsid w:val="00F54511"/>
    <w:rsid w:val="00F54622"/>
    <w:rsid w:val="00F54659"/>
    <w:rsid w:val="00F546C6"/>
    <w:rsid w:val="00F54733"/>
    <w:rsid w:val="00F5473A"/>
    <w:rsid w:val="00F54769"/>
    <w:rsid w:val="00F54781"/>
    <w:rsid w:val="00F547D6"/>
    <w:rsid w:val="00F5493C"/>
    <w:rsid w:val="00F54995"/>
    <w:rsid w:val="00F549A1"/>
    <w:rsid w:val="00F54A59"/>
    <w:rsid w:val="00F54A9E"/>
    <w:rsid w:val="00F54B91"/>
    <w:rsid w:val="00F54BEA"/>
    <w:rsid w:val="00F54F1C"/>
    <w:rsid w:val="00F54FC0"/>
    <w:rsid w:val="00F55019"/>
    <w:rsid w:val="00F55030"/>
    <w:rsid w:val="00F5508D"/>
    <w:rsid w:val="00F5508E"/>
    <w:rsid w:val="00F550AF"/>
    <w:rsid w:val="00F552C6"/>
    <w:rsid w:val="00F55302"/>
    <w:rsid w:val="00F5536C"/>
    <w:rsid w:val="00F55414"/>
    <w:rsid w:val="00F55453"/>
    <w:rsid w:val="00F55526"/>
    <w:rsid w:val="00F55531"/>
    <w:rsid w:val="00F55551"/>
    <w:rsid w:val="00F55578"/>
    <w:rsid w:val="00F555C1"/>
    <w:rsid w:val="00F55715"/>
    <w:rsid w:val="00F5572E"/>
    <w:rsid w:val="00F5573C"/>
    <w:rsid w:val="00F5576B"/>
    <w:rsid w:val="00F55928"/>
    <w:rsid w:val="00F55929"/>
    <w:rsid w:val="00F55A28"/>
    <w:rsid w:val="00F55AD7"/>
    <w:rsid w:val="00F55BA5"/>
    <w:rsid w:val="00F55BDC"/>
    <w:rsid w:val="00F55C23"/>
    <w:rsid w:val="00F55C71"/>
    <w:rsid w:val="00F55CE5"/>
    <w:rsid w:val="00F55D10"/>
    <w:rsid w:val="00F55D58"/>
    <w:rsid w:val="00F55D77"/>
    <w:rsid w:val="00F55DBE"/>
    <w:rsid w:val="00F55E8E"/>
    <w:rsid w:val="00F55F7C"/>
    <w:rsid w:val="00F55FFB"/>
    <w:rsid w:val="00F56064"/>
    <w:rsid w:val="00F5609F"/>
    <w:rsid w:val="00F5611A"/>
    <w:rsid w:val="00F5615E"/>
    <w:rsid w:val="00F561B2"/>
    <w:rsid w:val="00F561E9"/>
    <w:rsid w:val="00F56215"/>
    <w:rsid w:val="00F56258"/>
    <w:rsid w:val="00F562A7"/>
    <w:rsid w:val="00F562B2"/>
    <w:rsid w:val="00F562CC"/>
    <w:rsid w:val="00F562D1"/>
    <w:rsid w:val="00F56351"/>
    <w:rsid w:val="00F56430"/>
    <w:rsid w:val="00F5650C"/>
    <w:rsid w:val="00F56534"/>
    <w:rsid w:val="00F56545"/>
    <w:rsid w:val="00F56550"/>
    <w:rsid w:val="00F5656C"/>
    <w:rsid w:val="00F5659A"/>
    <w:rsid w:val="00F56642"/>
    <w:rsid w:val="00F56665"/>
    <w:rsid w:val="00F56716"/>
    <w:rsid w:val="00F56744"/>
    <w:rsid w:val="00F5676A"/>
    <w:rsid w:val="00F56793"/>
    <w:rsid w:val="00F568F6"/>
    <w:rsid w:val="00F5691A"/>
    <w:rsid w:val="00F56953"/>
    <w:rsid w:val="00F56A27"/>
    <w:rsid w:val="00F56BC6"/>
    <w:rsid w:val="00F56C13"/>
    <w:rsid w:val="00F56C60"/>
    <w:rsid w:val="00F56D47"/>
    <w:rsid w:val="00F56DEA"/>
    <w:rsid w:val="00F56E58"/>
    <w:rsid w:val="00F56F24"/>
    <w:rsid w:val="00F56F81"/>
    <w:rsid w:val="00F56FBC"/>
    <w:rsid w:val="00F5706A"/>
    <w:rsid w:val="00F570FF"/>
    <w:rsid w:val="00F57103"/>
    <w:rsid w:val="00F5713F"/>
    <w:rsid w:val="00F5715B"/>
    <w:rsid w:val="00F57197"/>
    <w:rsid w:val="00F57239"/>
    <w:rsid w:val="00F572E9"/>
    <w:rsid w:val="00F57310"/>
    <w:rsid w:val="00F57319"/>
    <w:rsid w:val="00F573C8"/>
    <w:rsid w:val="00F57496"/>
    <w:rsid w:val="00F57580"/>
    <w:rsid w:val="00F5759F"/>
    <w:rsid w:val="00F575E1"/>
    <w:rsid w:val="00F5765F"/>
    <w:rsid w:val="00F5766D"/>
    <w:rsid w:val="00F576A7"/>
    <w:rsid w:val="00F5777A"/>
    <w:rsid w:val="00F57812"/>
    <w:rsid w:val="00F57835"/>
    <w:rsid w:val="00F5785B"/>
    <w:rsid w:val="00F57868"/>
    <w:rsid w:val="00F578B3"/>
    <w:rsid w:val="00F578EF"/>
    <w:rsid w:val="00F5791F"/>
    <w:rsid w:val="00F57A4F"/>
    <w:rsid w:val="00F57A8C"/>
    <w:rsid w:val="00F57B10"/>
    <w:rsid w:val="00F57B13"/>
    <w:rsid w:val="00F57B28"/>
    <w:rsid w:val="00F57B50"/>
    <w:rsid w:val="00F57B98"/>
    <w:rsid w:val="00F57BA7"/>
    <w:rsid w:val="00F57BC9"/>
    <w:rsid w:val="00F57C2D"/>
    <w:rsid w:val="00F57C55"/>
    <w:rsid w:val="00F57C5F"/>
    <w:rsid w:val="00F57C73"/>
    <w:rsid w:val="00F57CA1"/>
    <w:rsid w:val="00F57D41"/>
    <w:rsid w:val="00F57D91"/>
    <w:rsid w:val="00F57E0B"/>
    <w:rsid w:val="00F57EF3"/>
    <w:rsid w:val="00F57EFB"/>
    <w:rsid w:val="00F57F0E"/>
    <w:rsid w:val="00F57FD3"/>
    <w:rsid w:val="00F57FF8"/>
    <w:rsid w:val="00F600B1"/>
    <w:rsid w:val="00F600D9"/>
    <w:rsid w:val="00F60176"/>
    <w:rsid w:val="00F601A1"/>
    <w:rsid w:val="00F601AE"/>
    <w:rsid w:val="00F6022A"/>
    <w:rsid w:val="00F602D4"/>
    <w:rsid w:val="00F60351"/>
    <w:rsid w:val="00F60389"/>
    <w:rsid w:val="00F603B9"/>
    <w:rsid w:val="00F60403"/>
    <w:rsid w:val="00F6044A"/>
    <w:rsid w:val="00F6055E"/>
    <w:rsid w:val="00F60567"/>
    <w:rsid w:val="00F60569"/>
    <w:rsid w:val="00F60591"/>
    <w:rsid w:val="00F605C6"/>
    <w:rsid w:val="00F6062F"/>
    <w:rsid w:val="00F606A9"/>
    <w:rsid w:val="00F606BA"/>
    <w:rsid w:val="00F606D8"/>
    <w:rsid w:val="00F6077E"/>
    <w:rsid w:val="00F607EF"/>
    <w:rsid w:val="00F607F1"/>
    <w:rsid w:val="00F6081A"/>
    <w:rsid w:val="00F608A5"/>
    <w:rsid w:val="00F60983"/>
    <w:rsid w:val="00F60A5F"/>
    <w:rsid w:val="00F60AB5"/>
    <w:rsid w:val="00F60B09"/>
    <w:rsid w:val="00F60B50"/>
    <w:rsid w:val="00F60BA2"/>
    <w:rsid w:val="00F60BC9"/>
    <w:rsid w:val="00F60C1B"/>
    <w:rsid w:val="00F60C2F"/>
    <w:rsid w:val="00F60C5F"/>
    <w:rsid w:val="00F60DB9"/>
    <w:rsid w:val="00F60DD0"/>
    <w:rsid w:val="00F60DDC"/>
    <w:rsid w:val="00F60E1C"/>
    <w:rsid w:val="00F60E20"/>
    <w:rsid w:val="00F60E40"/>
    <w:rsid w:val="00F60F24"/>
    <w:rsid w:val="00F60F4B"/>
    <w:rsid w:val="00F60F73"/>
    <w:rsid w:val="00F60FD1"/>
    <w:rsid w:val="00F610E7"/>
    <w:rsid w:val="00F61126"/>
    <w:rsid w:val="00F6112C"/>
    <w:rsid w:val="00F6118F"/>
    <w:rsid w:val="00F61204"/>
    <w:rsid w:val="00F61349"/>
    <w:rsid w:val="00F61409"/>
    <w:rsid w:val="00F61440"/>
    <w:rsid w:val="00F614BB"/>
    <w:rsid w:val="00F614BD"/>
    <w:rsid w:val="00F614C2"/>
    <w:rsid w:val="00F61548"/>
    <w:rsid w:val="00F6154A"/>
    <w:rsid w:val="00F615B3"/>
    <w:rsid w:val="00F615E6"/>
    <w:rsid w:val="00F6163D"/>
    <w:rsid w:val="00F616C7"/>
    <w:rsid w:val="00F616D1"/>
    <w:rsid w:val="00F617B1"/>
    <w:rsid w:val="00F617D3"/>
    <w:rsid w:val="00F617F5"/>
    <w:rsid w:val="00F61842"/>
    <w:rsid w:val="00F6185C"/>
    <w:rsid w:val="00F61894"/>
    <w:rsid w:val="00F618E1"/>
    <w:rsid w:val="00F61982"/>
    <w:rsid w:val="00F61B26"/>
    <w:rsid w:val="00F61B48"/>
    <w:rsid w:val="00F61B4E"/>
    <w:rsid w:val="00F61B56"/>
    <w:rsid w:val="00F61C4F"/>
    <w:rsid w:val="00F61C59"/>
    <w:rsid w:val="00F61CF1"/>
    <w:rsid w:val="00F61D23"/>
    <w:rsid w:val="00F61D85"/>
    <w:rsid w:val="00F61E0F"/>
    <w:rsid w:val="00F61E37"/>
    <w:rsid w:val="00F61E42"/>
    <w:rsid w:val="00F61E95"/>
    <w:rsid w:val="00F61EDE"/>
    <w:rsid w:val="00F61F67"/>
    <w:rsid w:val="00F61F72"/>
    <w:rsid w:val="00F61FCB"/>
    <w:rsid w:val="00F61FE9"/>
    <w:rsid w:val="00F62020"/>
    <w:rsid w:val="00F620E8"/>
    <w:rsid w:val="00F62128"/>
    <w:rsid w:val="00F6217D"/>
    <w:rsid w:val="00F6224C"/>
    <w:rsid w:val="00F6225B"/>
    <w:rsid w:val="00F622B1"/>
    <w:rsid w:val="00F622F2"/>
    <w:rsid w:val="00F62318"/>
    <w:rsid w:val="00F623C4"/>
    <w:rsid w:val="00F6245B"/>
    <w:rsid w:val="00F624BA"/>
    <w:rsid w:val="00F625D5"/>
    <w:rsid w:val="00F625D8"/>
    <w:rsid w:val="00F62669"/>
    <w:rsid w:val="00F626CE"/>
    <w:rsid w:val="00F6270A"/>
    <w:rsid w:val="00F62738"/>
    <w:rsid w:val="00F6279E"/>
    <w:rsid w:val="00F627AA"/>
    <w:rsid w:val="00F627FE"/>
    <w:rsid w:val="00F62831"/>
    <w:rsid w:val="00F628AA"/>
    <w:rsid w:val="00F628FB"/>
    <w:rsid w:val="00F629D2"/>
    <w:rsid w:val="00F62A00"/>
    <w:rsid w:val="00F62A31"/>
    <w:rsid w:val="00F62B23"/>
    <w:rsid w:val="00F62B85"/>
    <w:rsid w:val="00F62BB0"/>
    <w:rsid w:val="00F62BCA"/>
    <w:rsid w:val="00F62C28"/>
    <w:rsid w:val="00F62C70"/>
    <w:rsid w:val="00F62C7A"/>
    <w:rsid w:val="00F62DCB"/>
    <w:rsid w:val="00F62DEE"/>
    <w:rsid w:val="00F62E00"/>
    <w:rsid w:val="00F62E20"/>
    <w:rsid w:val="00F62EE1"/>
    <w:rsid w:val="00F62F93"/>
    <w:rsid w:val="00F63001"/>
    <w:rsid w:val="00F63136"/>
    <w:rsid w:val="00F63142"/>
    <w:rsid w:val="00F63175"/>
    <w:rsid w:val="00F631A5"/>
    <w:rsid w:val="00F63227"/>
    <w:rsid w:val="00F6324C"/>
    <w:rsid w:val="00F6328B"/>
    <w:rsid w:val="00F632BD"/>
    <w:rsid w:val="00F6330A"/>
    <w:rsid w:val="00F6332D"/>
    <w:rsid w:val="00F633BA"/>
    <w:rsid w:val="00F6345B"/>
    <w:rsid w:val="00F634DB"/>
    <w:rsid w:val="00F634F6"/>
    <w:rsid w:val="00F635E0"/>
    <w:rsid w:val="00F6363F"/>
    <w:rsid w:val="00F636D9"/>
    <w:rsid w:val="00F636DE"/>
    <w:rsid w:val="00F636F9"/>
    <w:rsid w:val="00F63751"/>
    <w:rsid w:val="00F63766"/>
    <w:rsid w:val="00F637C5"/>
    <w:rsid w:val="00F637F0"/>
    <w:rsid w:val="00F6382C"/>
    <w:rsid w:val="00F6385C"/>
    <w:rsid w:val="00F63862"/>
    <w:rsid w:val="00F638D0"/>
    <w:rsid w:val="00F638F2"/>
    <w:rsid w:val="00F63994"/>
    <w:rsid w:val="00F63A2F"/>
    <w:rsid w:val="00F63AA0"/>
    <w:rsid w:val="00F63AE8"/>
    <w:rsid w:val="00F63B71"/>
    <w:rsid w:val="00F63BB1"/>
    <w:rsid w:val="00F63BBF"/>
    <w:rsid w:val="00F63BDF"/>
    <w:rsid w:val="00F63CB4"/>
    <w:rsid w:val="00F63D84"/>
    <w:rsid w:val="00F63D8D"/>
    <w:rsid w:val="00F63D92"/>
    <w:rsid w:val="00F63DAB"/>
    <w:rsid w:val="00F63E03"/>
    <w:rsid w:val="00F63E47"/>
    <w:rsid w:val="00F63E6F"/>
    <w:rsid w:val="00F63EFF"/>
    <w:rsid w:val="00F63F8E"/>
    <w:rsid w:val="00F64012"/>
    <w:rsid w:val="00F64095"/>
    <w:rsid w:val="00F640A7"/>
    <w:rsid w:val="00F640AA"/>
    <w:rsid w:val="00F64126"/>
    <w:rsid w:val="00F64171"/>
    <w:rsid w:val="00F641D0"/>
    <w:rsid w:val="00F642D7"/>
    <w:rsid w:val="00F6433D"/>
    <w:rsid w:val="00F64382"/>
    <w:rsid w:val="00F643B5"/>
    <w:rsid w:val="00F643EC"/>
    <w:rsid w:val="00F643F6"/>
    <w:rsid w:val="00F64405"/>
    <w:rsid w:val="00F644FA"/>
    <w:rsid w:val="00F6453D"/>
    <w:rsid w:val="00F64569"/>
    <w:rsid w:val="00F645A2"/>
    <w:rsid w:val="00F645F8"/>
    <w:rsid w:val="00F646B1"/>
    <w:rsid w:val="00F64709"/>
    <w:rsid w:val="00F6474E"/>
    <w:rsid w:val="00F647A5"/>
    <w:rsid w:val="00F647B2"/>
    <w:rsid w:val="00F647B6"/>
    <w:rsid w:val="00F647D6"/>
    <w:rsid w:val="00F647D9"/>
    <w:rsid w:val="00F6480D"/>
    <w:rsid w:val="00F64890"/>
    <w:rsid w:val="00F64953"/>
    <w:rsid w:val="00F6498A"/>
    <w:rsid w:val="00F649D6"/>
    <w:rsid w:val="00F64A1E"/>
    <w:rsid w:val="00F64B5E"/>
    <w:rsid w:val="00F64C4B"/>
    <w:rsid w:val="00F64C55"/>
    <w:rsid w:val="00F64CDD"/>
    <w:rsid w:val="00F64CE1"/>
    <w:rsid w:val="00F64D75"/>
    <w:rsid w:val="00F64E3F"/>
    <w:rsid w:val="00F64E98"/>
    <w:rsid w:val="00F64EDD"/>
    <w:rsid w:val="00F64FAF"/>
    <w:rsid w:val="00F650DA"/>
    <w:rsid w:val="00F65119"/>
    <w:rsid w:val="00F6513A"/>
    <w:rsid w:val="00F651C4"/>
    <w:rsid w:val="00F6521B"/>
    <w:rsid w:val="00F65233"/>
    <w:rsid w:val="00F65292"/>
    <w:rsid w:val="00F652F8"/>
    <w:rsid w:val="00F65472"/>
    <w:rsid w:val="00F654C9"/>
    <w:rsid w:val="00F6558D"/>
    <w:rsid w:val="00F655B0"/>
    <w:rsid w:val="00F65650"/>
    <w:rsid w:val="00F65672"/>
    <w:rsid w:val="00F656E7"/>
    <w:rsid w:val="00F6570F"/>
    <w:rsid w:val="00F65760"/>
    <w:rsid w:val="00F657A3"/>
    <w:rsid w:val="00F658DB"/>
    <w:rsid w:val="00F659A0"/>
    <w:rsid w:val="00F659F8"/>
    <w:rsid w:val="00F65A10"/>
    <w:rsid w:val="00F65A7A"/>
    <w:rsid w:val="00F65AF8"/>
    <w:rsid w:val="00F65B32"/>
    <w:rsid w:val="00F65B71"/>
    <w:rsid w:val="00F65BBB"/>
    <w:rsid w:val="00F65C66"/>
    <w:rsid w:val="00F65C6C"/>
    <w:rsid w:val="00F65C6D"/>
    <w:rsid w:val="00F65CAC"/>
    <w:rsid w:val="00F65CB2"/>
    <w:rsid w:val="00F65CB8"/>
    <w:rsid w:val="00F65DAB"/>
    <w:rsid w:val="00F65EBA"/>
    <w:rsid w:val="00F65F16"/>
    <w:rsid w:val="00F65F5D"/>
    <w:rsid w:val="00F65FA9"/>
    <w:rsid w:val="00F65FB4"/>
    <w:rsid w:val="00F65FD5"/>
    <w:rsid w:val="00F660A9"/>
    <w:rsid w:val="00F66124"/>
    <w:rsid w:val="00F6619D"/>
    <w:rsid w:val="00F6625C"/>
    <w:rsid w:val="00F662A7"/>
    <w:rsid w:val="00F662A9"/>
    <w:rsid w:val="00F662B4"/>
    <w:rsid w:val="00F662D5"/>
    <w:rsid w:val="00F66359"/>
    <w:rsid w:val="00F66376"/>
    <w:rsid w:val="00F663CB"/>
    <w:rsid w:val="00F663F2"/>
    <w:rsid w:val="00F66420"/>
    <w:rsid w:val="00F6642B"/>
    <w:rsid w:val="00F66432"/>
    <w:rsid w:val="00F6648E"/>
    <w:rsid w:val="00F66523"/>
    <w:rsid w:val="00F66533"/>
    <w:rsid w:val="00F66554"/>
    <w:rsid w:val="00F66570"/>
    <w:rsid w:val="00F665BB"/>
    <w:rsid w:val="00F6662B"/>
    <w:rsid w:val="00F66667"/>
    <w:rsid w:val="00F66809"/>
    <w:rsid w:val="00F6691D"/>
    <w:rsid w:val="00F6693D"/>
    <w:rsid w:val="00F66960"/>
    <w:rsid w:val="00F66AB0"/>
    <w:rsid w:val="00F66ACF"/>
    <w:rsid w:val="00F66AD3"/>
    <w:rsid w:val="00F66C57"/>
    <w:rsid w:val="00F66CF3"/>
    <w:rsid w:val="00F66D1F"/>
    <w:rsid w:val="00F66D2A"/>
    <w:rsid w:val="00F66D31"/>
    <w:rsid w:val="00F66D47"/>
    <w:rsid w:val="00F66D89"/>
    <w:rsid w:val="00F66DC4"/>
    <w:rsid w:val="00F66E50"/>
    <w:rsid w:val="00F66E88"/>
    <w:rsid w:val="00F66EA5"/>
    <w:rsid w:val="00F66F1A"/>
    <w:rsid w:val="00F66F67"/>
    <w:rsid w:val="00F66F91"/>
    <w:rsid w:val="00F67127"/>
    <w:rsid w:val="00F67142"/>
    <w:rsid w:val="00F6714D"/>
    <w:rsid w:val="00F6715C"/>
    <w:rsid w:val="00F67208"/>
    <w:rsid w:val="00F6723B"/>
    <w:rsid w:val="00F67300"/>
    <w:rsid w:val="00F6730D"/>
    <w:rsid w:val="00F6731B"/>
    <w:rsid w:val="00F67457"/>
    <w:rsid w:val="00F674A0"/>
    <w:rsid w:val="00F674BB"/>
    <w:rsid w:val="00F674BD"/>
    <w:rsid w:val="00F674EE"/>
    <w:rsid w:val="00F6751A"/>
    <w:rsid w:val="00F675AE"/>
    <w:rsid w:val="00F6762D"/>
    <w:rsid w:val="00F676C0"/>
    <w:rsid w:val="00F676C1"/>
    <w:rsid w:val="00F6772F"/>
    <w:rsid w:val="00F6779D"/>
    <w:rsid w:val="00F6781C"/>
    <w:rsid w:val="00F678EC"/>
    <w:rsid w:val="00F678EF"/>
    <w:rsid w:val="00F67A11"/>
    <w:rsid w:val="00F67A17"/>
    <w:rsid w:val="00F67A77"/>
    <w:rsid w:val="00F67AB5"/>
    <w:rsid w:val="00F67AFC"/>
    <w:rsid w:val="00F67B05"/>
    <w:rsid w:val="00F67B30"/>
    <w:rsid w:val="00F67B3B"/>
    <w:rsid w:val="00F67BAC"/>
    <w:rsid w:val="00F67BEC"/>
    <w:rsid w:val="00F67C5F"/>
    <w:rsid w:val="00F67C6A"/>
    <w:rsid w:val="00F67C89"/>
    <w:rsid w:val="00F67D0A"/>
    <w:rsid w:val="00F67D23"/>
    <w:rsid w:val="00F67D7A"/>
    <w:rsid w:val="00F67D95"/>
    <w:rsid w:val="00F67DA8"/>
    <w:rsid w:val="00F67DB7"/>
    <w:rsid w:val="00F67E2A"/>
    <w:rsid w:val="00F67E60"/>
    <w:rsid w:val="00F67E76"/>
    <w:rsid w:val="00F67E9A"/>
    <w:rsid w:val="00F67EAF"/>
    <w:rsid w:val="00F67EB6"/>
    <w:rsid w:val="00F67F49"/>
    <w:rsid w:val="00F67FF6"/>
    <w:rsid w:val="00F70073"/>
    <w:rsid w:val="00F70085"/>
    <w:rsid w:val="00F700C0"/>
    <w:rsid w:val="00F700CA"/>
    <w:rsid w:val="00F700F4"/>
    <w:rsid w:val="00F7017B"/>
    <w:rsid w:val="00F701D3"/>
    <w:rsid w:val="00F701EF"/>
    <w:rsid w:val="00F70210"/>
    <w:rsid w:val="00F70274"/>
    <w:rsid w:val="00F702D4"/>
    <w:rsid w:val="00F702E6"/>
    <w:rsid w:val="00F7038C"/>
    <w:rsid w:val="00F703BE"/>
    <w:rsid w:val="00F70430"/>
    <w:rsid w:val="00F7044D"/>
    <w:rsid w:val="00F70454"/>
    <w:rsid w:val="00F7048C"/>
    <w:rsid w:val="00F704A4"/>
    <w:rsid w:val="00F70510"/>
    <w:rsid w:val="00F70552"/>
    <w:rsid w:val="00F70575"/>
    <w:rsid w:val="00F70592"/>
    <w:rsid w:val="00F705EE"/>
    <w:rsid w:val="00F706A9"/>
    <w:rsid w:val="00F70718"/>
    <w:rsid w:val="00F7072D"/>
    <w:rsid w:val="00F707A6"/>
    <w:rsid w:val="00F70821"/>
    <w:rsid w:val="00F70858"/>
    <w:rsid w:val="00F7088C"/>
    <w:rsid w:val="00F7088D"/>
    <w:rsid w:val="00F708DC"/>
    <w:rsid w:val="00F708F4"/>
    <w:rsid w:val="00F7091D"/>
    <w:rsid w:val="00F7097F"/>
    <w:rsid w:val="00F709AC"/>
    <w:rsid w:val="00F70AE6"/>
    <w:rsid w:val="00F70B6A"/>
    <w:rsid w:val="00F70BA9"/>
    <w:rsid w:val="00F70BB3"/>
    <w:rsid w:val="00F70C4D"/>
    <w:rsid w:val="00F70D2D"/>
    <w:rsid w:val="00F70D48"/>
    <w:rsid w:val="00F70DBC"/>
    <w:rsid w:val="00F70E1B"/>
    <w:rsid w:val="00F70E65"/>
    <w:rsid w:val="00F70E6D"/>
    <w:rsid w:val="00F70F16"/>
    <w:rsid w:val="00F70F1F"/>
    <w:rsid w:val="00F70F34"/>
    <w:rsid w:val="00F70F7B"/>
    <w:rsid w:val="00F70FD8"/>
    <w:rsid w:val="00F71079"/>
    <w:rsid w:val="00F7110A"/>
    <w:rsid w:val="00F7125C"/>
    <w:rsid w:val="00F712EF"/>
    <w:rsid w:val="00F71342"/>
    <w:rsid w:val="00F713C8"/>
    <w:rsid w:val="00F713E8"/>
    <w:rsid w:val="00F713F1"/>
    <w:rsid w:val="00F71482"/>
    <w:rsid w:val="00F71492"/>
    <w:rsid w:val="00F71670"/>
    <w:rsid w:val="00F716EA"/>
    <w:rsid w:val="00F71785"/>
    <w:rsid w:val="00F71852"/>
    <w:rsid w:val="00F71879"/>
    <w:rsid w:val="00F718F8"/>
    <w:rsid w:val="00F71980"/>
    <w:rsid w:val="00F719A1"/>
    <w:rsid w:val="00F719C1"/>
    <w:rsid w:val="00F71A8C"/>
    <w:rsid w:val="00F71AC8"/>
    <w:rsid w:val="00F71B1B"/>
    <w:rsid w:val="00F71C23"/>
    <w:rsid w:val="00F71C33"/>
    <w:rsid w:val="00F71C37"/>
    <w:rsid w:val="00F71C71"/>
    <w:rsid w:val="00F71C7C"/>
    <w:rsid w:val="00F71D3E"/>
    <w:rsid w:val="00F71DA0"/>
    <w:rsid w:val="00F71DF6"/>
    <w:rsid w:val="00F71E98"/>
    <w:rsid w:val="00F71F09"/>
    <w:rsid w:val="00F71F35"/>
    <w:rsid w:val="00F71F3C"/>
    <w:rsid w:val="00F71FE0"/>
    <w:rsid w:val="00F71FED"/>
    <w:rsid w:val="00F72013"/>
    <w:rsid w:val="00F72077"/>
    <w:rsid w:val="00F720A7"/>
    <w:rsid w:val="00F720C1"/>
    <w:rsid w:val="00F72171"/>
    <w:rsid w:val="00F72190"/>
    <w:rsid w:val="00F72196"/>
    <w:rsid w:val="00F7221A"/>
    <w:rsid w:val="00F72247"/>
    <w:rsid w:val="00F7229C"/>
    <w:rsid w:val="00F722F3"/>
    <w:rsid w:val="00F72361"/>
    <w:rsid w:val="00F7239C"/>
    <w:rsid w:val="00F72527"/>
    <w:rsid w:val="00F72545"/>
    <w:rsid w:val="00F72585"/>
    <w:rsid w:val="00F7270C"/>
    <w:rsid w:val="00F72765"/>
    <w:rsid w:val="00F727FE"/>
    <w:rsid w:val="00F728C9"/>
    <w:rsid w:val="00F728CE"/>
    <w:rsid w:val="00F729D2"/>
    <w:rsid w:val="00F729F6"/>
    <w:rsid w:val="00F72A31"/>
    <w:rsid w:val="00F72AF5"/>
    <w:rsid w:val="00F72B17"/>
    <w:rsid w:val="00F72B98"/>
    <w:rsid w:val="00F72C7C"/>
    <w:rsid w:val="00F72CB2"/>
    <w:rsid w:val="00F72D0B"/>
    <w:rsid w:val="00F72D5C"/>
    <w:rsid w:val="00F72DE5"/>
    <w:rsid w:val="00F72E86"/>
    <w:rsid w:val="00F72EF8"/>
    <w:rsid w:val="00F72F35"/>
    <w:rsid w:val="00F72F44"/>
    <w:rsid w:val="00F73002"/>
    <w:rsid w:val="00F7301C"/>
    <w:rsid w:val="00F73077"/>
    <w:rsid w:val="00F7312B"/>
    <w:rsid w:val="00F7319D"/>
    <w:rsid w:val="00F7320F"/>
    <w:rsid w:val="00F73235"/>
    <w:rsid w:val="00F7324F"/>
    <w:rsid w:val="00F7329A"/>
    <w:rsid w:val="00F732B4"/>
    <w:rsid w:val="00F732C6"/>
    <w:rsid w:val="00F7340D"/>
    <w:rsid w:val="00F7342C"/>
    <w:rsid w:val="00F73511"/>
    <w:rsid w:val="00F73512"/>
    <w:rsid w:val="00F73524"/>
    <w:rsid w:val="00F73548"/>
    <w:rsid w:val="00F73561"/>
    <w:rsid w:val="00F73601"/>
    <w:rsid w:val="00F736A0"/>
    <w:rsid w:val="00F737F2"/>
    <w:rsid w:val="00F73887"/>
    <w:rsid w:val="00F73907"/>
    <w:rsid w:val="00F7393B"/>
    <w:rsid w:val="00F73991"/>
    <w:rsid w:val="00F739C0"/>
    <w:rsid w:val="00F73A20"/>
    <w:rsid w:val="00F73A87"/>
    <w:rsid w:val="00F73BA8"/>
    <w:rsid w:val="00F73C3F"/>
    <w:rsid w:val="00F73CF3"/>
    <w:rsid w:val="00F73E23"/>
    <w:rsid w:val="00F73E92"/>
    <w:rsid w:val="00F73FE3"/>
    <w:rsid w:val="00F74067"/>
    <w:rsid w:val="00F7409F"/>
    <w:rsid w:val="00F74125"/>
    <w:rsid w:val="00F74143"/>
    <w:rsid w:val="00F74148"/>
    <w:rsid w:val="00F74159"/>
    <w:rsid w:val="00F7418C"/>
    <w:rsid w:val="00F741A5"/>
    <w:rsid w:val="00F74230"/>
    <w:rsid w:val="00F74246"/>
    <w:rsid w:val="00F74286"/>
    <w:rsid w:val="00F7431A"/>
    <w:rsid w:val="00F74490"/>
    <w:rsid w:val="00F744BE"/>
    <w:rsid w:val="00F74507"/>
    <w:rsid w:val="00F74547"/>
    <w:rsid w:val="00F7454E"/>
    <w:rsid w:val="00F745AD"/>
    <w:rsid w:val="00F745C7"/>
    <w:rsid w:val="00F74698"/>
    <w:rsid w:val="00F746AE"/>
    <w:rsid w:val="00F7470E"/>
    <w:rsid w:val="00F74748"/>
    <w:rsid w:val="00F74759"/>
    <w:rsid w:val="00F7476F"/>
    <w:rsid w:val="00F74779"/>
    <w:rsid w:val="00F747DE"/>
    <w:rsid w:val="00F748AD"/>
    <w:rsid w:val="00F7497E"/>
    <w:rsid w:val="00F749D1"/>
    <w:rsid w:val="00F74B10"/>
    <w:rsid w:val="00F74B72"/>
    <w:rsid w:val="00F74BD3"/>
    <w:rsid w:val="00F74C62"/>
    <w:rsid w:val="00F74C95"/>
    <w:rsid w:val="00F74CDB"/>
    <w:rsid w:val="00F74DF1"/>
    <w:rsid w:val="00F74ED0"/>
    <w:rsid w:val="00F74ED7"/>
    <w:rsid w:val="00F74F51"/>
    <w:rsid w:val="00F74FA3"/>
    <w:rsid w:val="00F74FE1"/>
    <w:rsid w:val="00F75043"/>
    <w:rsid w:val="00F75069"/>
    <w:rsid w:val="00F7507A"/>
    <w:rsid w:val="00F75116"/>
    <w:rsid w:val="00F75171"/>
    <w:rsid w:val="00F75271"/>
    <w:rsid w:val="00F752A5"/>
    <w:rsid w:val="00F7534F"/>
    <w:rsid w:val="00F7538A"/>
    <w:rsid w:val="00F75468"/>
    <w:rsid w:val="00F7552C"/>
    <w:rsid w:val="00F75546"/>
    <w:rsid w:val="00F7562F"/>
    <w:rsid w:val="00F756B9"/>
    <w:rsid w:val="00F756DF"/>
    <w:rsid w:val="00F7572A"/>
    <w:rsid w:val="00F7586D"/>
    <w:rsid w:val="00F75890"/>
    <w:rsid w:val="00F758AF"/>
    <w:rsid w:val="00F758F7"/>
    <w:rsid w:val="00F75904"/>
    <w:rsid w:val="00F75960"/>
    <w:rsid w:val="00F75979"/>
    <w:rsid w:val="00F759B1"/>
    <w:rsid w:val="00F75AD5"/>
    <w:rsid w:val="00F75B24"/>
    <w:rsid w:val="00F75C6D"/>
    <w:rsid w:val="00F75C99"/>
    <w:rsid w:val="00F75CB7"/>
    <w:rsid w:val="00F75DBA"/>
    <w:rsid w:val="00F75E78"/>
    <w:rsid w:val="00F75F53"/>
    <w:rsid w:val="00F75F9D"/>
    <w:rsid w:val="00F76056"/>
    <w:rsid w:val="00F760F6"/>
    <w:rsid w:val="00F76102"/>
    <w:rsid w:val="00F7618A"/>
    <w:rsid w:val="00F76227"/>
    <w:rsid w:val="00F76229"/>
    <w:rsid w:val="00F762EF"/>
    <w:rsid w:val="00F76307"/>
    <w:rsid w:val="00F763D5"/>
    <w:rsid w:val="00F763FA"/>
    <w:rsid w:val="00F76452"/>
    <w:rsid w:val="00F76575"/>
    <w:rsid w:val="00F765CC"/>
    <w:rsid w:val="00F7660D"/>
    <w:rsid w:val="00F7663E"/>
    <w:rsid w:val="00F7667D"/>
    <w:rsid w:val="00F767F5"/>
    <w:rsid w:val="00F7681F"/>
    <w:rsid w:val="00F768CA"/>
    <w:rsid w:val="00F769FE"/>
    <w:rsid w:val="00F76B3A"/>
    <w:rsid w:val="00F76B41"/>
    <w:rsid w:val="00F76C61"/>
    <w:rsid w:val="00F76CAB"/>
    <w:rsid w:val="00F76DE9"/>
    <w:rsid w:val="00F76DED"/>
    <w:rsid w:val="00F76E17"/>
    <w:rsid w:val="00F76E4F"/>
    <w:rsid w:val="00F76EA6"/>
    <w:rsid w:val="00F76F0E"/>
    <w:rsid w:val="00F76F11"/>
    <w:rsid w:val="00F77006"/>
    <w:rsid w:val="00F77021"/>
    <w:rsid w:val="00F77089"/>
    <w:rsid w:val="00F77190"/>
    <w:rsid w:val="00F77192"/>
    <w:rsid w:val="00F771D3"/>
    <w:rsid w:val="00F771F1"/>
    <w:rsid w:val="00F7729F"/>
    <w:rsid w:val="00F772CD"/>
    <w:rsid w:val="00F772E7"/>
    <w:rsid w:val="00F772E8"/>
    <w:rsid w:val="00F77323"/>
    <w:rsid w:val="00F77354"/>
    <w:rsid w:val="00F773BD"/>
    <w:rsid w:val="00F773E0"/>
    <w:rsid w:val="00F773E9"/>
    <w:rsid w:val="00F7742B"/>
    <w:rsid w:val="00F77447"/>
    <w:rsid w:val="00F77499"/>
    <w:rsid w:val="00F77505"/>
    <w:rsid w:val="00F77572"/>
    <w:rsid w:val="00F775F5"/>
    <w:rsid w:val="00F775F8"/>
    <w:rsid w:val="00F7771B"/>
    <w:rsid w:val="00F7775C"/>
    <w:rsid w:val="00F77847"/>
    <w:rsid w:val="00F77855"/>
    <w:rsid w:val="00F778E4"/>
    <w:rsid w:val="00F779D3"/>
    <w:rsid w:val="00F779EA"/>
    <w:rsid w:val="00F77A2D"/>
    <w:rsid w:val="00F77AF2"/>
    <w:rsid w:val="00F77B2B"/>
    <w:rsid w:val="00F77B4D"/>
    <w:rsid w:val="00F77BB3"/>
    <w:rsid w:val="00F77BF4"/>
    <w:rsid w:val="00F77C25"/>
    <w:rsid w:val="00F77C43"/>
    <w:rsid w:val="00F77D5A"/>
    <w:rsid w:val="00F77D60"/>
    <w:rsid w:val="00F77DB0"/>
    <w:rsid w:val="00F77DE0"/>
    <w:rsid w:val="00F77F14"/>
    <w:rsid w:val="00F77F37"/>
    <w:rsid w:val="00F77F4A"/>
    <w:rsid w:val="00F77F51"/>
    <w:rsid w:val="00F77F78"/>
    <w:rsid w:val="00F77FDE"/>
    <w:rsid w:val="00F77FED"/>
    <w:rsid w:val="00F80112"/>
    <w:rsid w:val="00F80178"/>
    <w:rsid w:val="00F801E6"/>
    <w:rsid w:val="00F80225"/>
    <w:rsid w:val="00F80264"/>
    <w:rsid w:val="00F802E7"/>
    <w:rsid w:val="00F802EB"/>
    <w:rsid w:val="00F80349"/>
    <w:rsid w:val="00F803A4"/>
    <w:rsid w:val="00F8041B"/>
    <w:rsid w:val="00F80490"/>
    <w:rsid w:val="00F804CB"/>
    <w:rsid w:val="00F804CF"/>
    <w:rsid w:val="00F804D0"/>
    <w:rsid w:val="00F804D7"/>
    <w:rsid w:val="00F8050C"/>
    <w:rsid w:val="00F80511"/>
    <w:rsid w:val="00F80559"/>
    <w:rsid w:val="00F805A0"/>
    <w:rsid w:val="00F805A9"/>
    <w:rsid w:val="00F80661"/>
    <w:rsid w:val="00F8074D"/>
    <w:rsid w:val="00F80883"/>
    <w:rsid w:val="00F8089D"/>
    <w:rsid w:val="00F808C8"/>
    <w:rsid w:val="00F80959"/>
    <w:rsid w:val="00F80985"/>
    <w:rsid w:val="00F809AA"/>
    <w:rsid w:val="00F809C7"/>
    <w:rsid w:val="00F80A9C"/>
    <w:rsid w:val="00F80AD3"/>
    <w:rsid w:val="00F80AE6"/>
    <w:rsid w:val="00F80B64"/>
    <w:rsid w:val="00F80C41"/>
    <w:rsid w:val="00F80C4C"/>
    <w:rsid w:val="00F80C7D"/>
    <w:rsid w:val="00F80D6D"/>
    <w:rsid w:val="00F80DFC"/>
    <w:rsid w:val="00F80DFD"/>
    <w:rsid w:val="00F80E67"/>
    <w:rsid w:val="00F80E7E"/>
    <w:rsid w:val="00F80EB9"/>
    <w:rsid w:val="00F80F16"/>
    <w:rsid w:val="00F81054"/>
    <w:rsid w:val="00F8108D"/>
    <w:rsid w:val="00F810E1"/>
    <w:rsid w:val="00F812F7"/>
    <w:rsid w:val="00F812FE"/>
    <w:rsid w:val="00F81321"/>
    <w:rsid w:val="00F81470"/>
    <w:rsid w:val="00F81559"/>
    <w:rsid w:val="00F81577"/>
    <w:rsid w:val="00F81612"/>
    <w:rsid w:val="00F8166E"/>
    <w:rsid w:val="00F8172E"/>
    <w:rsid w:val="00F81750"/>
    <w:rsid w:val="00F81761"/>
    <w:rsid w:val="00F8179B"/>
    <w:rsid w:val="00F817CA"/>
    <w:rsid w:val="00F817E5"/>
    <w:rsid w:val="00F8183F"/>
    <w:rsid w:val="00F81872"/>
    <w:rsid w:val="00F81873"/>
    <w:rsid w:val="00F8199E"/>
    <w:rsid w:val="00F819DA"/>
    <w:rsid w:val="00F81A34"/>
    <w:rsid w:val="00F81AA4"/>
    <w:rsid w:val="00F81B7A"/>
    <w:rsid w:val="00F81BC2"/>
    <w:rsid w:val="00F81C09"/>
    <w:rsid w:val="00F81CA1"/>
    <w:rsid w:val="00F81D33"/>
    <w:rsid w:val="00F81DD6"/>
    <w:rsid w:val="00F81E60"/>
    <w:rsid w:val="00F81E8F"/>
    <w:rsid w:val="00F81EB3"/>
    <w:rsid w:val="00F81EC9"/>
    <w:rsid w:val="00F81EE2"/>
    <w:rsid w:val="00F81F7D"/>
    <w:rsid w:val="00F82020"/>
    <w:rsid w:val="00F82026"/>
    <w:rsid w:val="00F8207B"/>
    <w:rsid w:val="00F8208A"/>
    <w:rsid w:val="00F82158"/>
    <w:rsid w:val="00F8216F"/>
    <w:rsid w:val="00F8217C"/>
    <w:rsid w:val="00F82182"/>
    <w:rsid w:val="00F82187"/>
    <w:rsid w:val="00F821ED"/>
    <w:rsid w:val="00F8238E"/>
    <w:rsid w:val="00F82398"/>
    <w:rsid w:val="00F823FB"/>
    <w:rsid w:val="00F82434"/>
    <w:rsid w:val="00F82650"/>
    <w:rsid w:val="00F826B5"/>
    <w:rsid w:val="00F826BE"/>
    <w:rsid w:val="00F826E3"/>
    <w:rsid w:val="00F826E5"/>
    <w:rsid w:val="00F826FB"/>
    <w:rsid w:val="00F82742"/>
    <w:rsid w:val="00F82788"/>
    <w:rsid w:val="00F827F8"/>
    <w:rsid w:val="00F8280E"/>
    <w:rsid w:val="00F8280F"/>
    <w:rsid w:val="00F82852"/>
    <w:rsid w:val="00F82995"/>
    <w:rsid w:val="00F82A40"/>
    <w:rsid w:val="00F82AAD"/>
    <w:rsid w:val="00F82B20"/>
    <w:rsid w:val="00F82B28"/>
    <w:rsid w:val="00F82B92"/>
    <w:rsid w:val="00F82B9D"/>
    <w:rsid w:val="00F82C19"/>
    <w:rsid w:val="00F82C23"/>
    <w:rsid w:val="00F82C9B"/>
    <w:rsid w:val="00F82CAD"/>
    <w:rsid w:val="00F82CD9"/>
    <w:rsid w:val="00F82E50"/>
    <w:rsid w:val="00F82E5F"/>
    <w:rsid w:val="00F82E66"/>
    <w:rsid w:val="00F82EC5"/>
    <w:rsid w:val="00F82F2F"/>
    <w:rsid w:val="00F82F3C"/>
    <w:rsid w:val="00F82F4E"/>
    <w:rsid w:val="00F8302B"/>
    <w:rsid w:val="00F8304F"/>
    <w:rsid w:val="00F830C2"/>
    <w:rsid w:val="00F830D3"/>
    <w:rsid w:val="00F830E0"/>
    <w:rsid w:val="00F830E7"/>
    <w:rsid w:val="00F831A1"/>
    <w:rsid w:val="00F831C7"/>
    <w:rsid w:val="00F832B7"/>
    <w:rsid w:val="00F832CA"/>
    <w:rsid w:val="00F8331B"/>
    <w:rsid w:val="00F834A8"/>
    <w:rsid w:val="00F834CB"/>
    <w:rsid w:val="00F834CE"/>
    <w:rsid w:val="00F83548"/>
    <w:rsid w:val="00F8359F"/>
    <w:rsid w:val="00F83813"/>
    <w:rsid w:val="00F838B8"/>
    <w:rsid w:val="00F83909"/>
    <w:rsid w:val="00F83A16"/>
    <w:rsid w:val="00F83A37"/>
    <w:rsid w:val="00F83A7B"/>
    <w:rsid w:val="00F83AB9"/>
    <w:rsid w:val="00F83B50"/>
    <w:rsid w:val="00F83C2C"/>
    <w:rsid w:val="00F83C52"/>
    <w:rsid w:val="00F83C5C"/>
    <w:rsid w:val="00F83CD5"/>
    <w:rsid w:val="00F83D85"/>
    <w:rsid w:val="00F83DD0"/>
    <w:rsid w:val="00F83DE5"/>
    <w:rsid w:val="00F83DFF"/>
    <w:rsid w:val="00F83ED8"/>
    <w:rsid w:val="00F83EDE"/>
    <w:rsid w:val="00F83EE2"/>
    <w:rsid w:val="00F83F28"/>
    <w:rsid w:val="00F84048"/>
    <w:rsid w:val="00F8417D"/>
    <w:rsid w:val="00F84189"/>
    <w:rsid w:val="00F841C0"/>
    <w:rsid w:val="00F842AB"/>
    <w:rsid w:val="00F842CA"/>
    <w:rsid w:val="00F843AF"/>
    <w:rsid w:val="00F843CB"/>
    <w:rsid w:val="00F8440B"/>
    <w:rsid w:val="00F84423"/>
    <w:rsid w:val="00F84510"/>
    <w:rsid w:val="00F84576"/>
    <w:rsid w:val="00F8462A"/>
    <w:rsid w:val="00F8463F"/>
    <w:rsid w:val="00F8464A"/>
    <w:rsid w:val="00F84688"/>
    <w:rsid w:val="00F846B9"/>
    <w:rsid w:val="00F84781"/>
    <w:rsid w:val="00F8479F"/>
    <w:rsid w:val="00F847ED"/>
    <w:rsid w:val="00F84821"/>
    <w:rsid w:val="00F8489E"/>
    <w:rsid w:val="00F848AC"/>
    <w:rsid w:val="00F84931"/>
    <w:rsid w:val="00F8498C"/>
    <w:rsid w:val="00F84998"/>
    <w:rsid w:val="00F849D6"/>
    <w:rsid w:val="00F849DA"/>
    <w:rsid w:val="00F84B44"/>
    <w:rsid w:val="00F84BDB"/>
    <w:rsid w:val="00F84C38"/>
    <w:rsid w:val="00F84C41"/>
    <w:rsid w:val="00F84C61"/>
    <w:rsid w:val="00F84C84"/>
    <w:rsid w:val="00F84CA1"/>
    <w:rsid w:val="00F84CB3"/>
    <w:rsid w:val="00F84D71"/>
    <w:rsid w:val="00F84DA7"/>
    <w:rsid w:val="00F84DCA"/>
    <w:rsid w:val="00F84DF2"/>
    <w:rsid w:val="00F84F86"/>
    <w:rsid w:val="00F84FA8"/>
    <w:rsid w:val="00F84FC3"/>
    <w:rsid w:val="00F8500E"/>
    <w:rsid w:val="00F85055"/>
    <w:rsid w:val="00F85088"/>
    <w:rsid w:val="00F8510C"/>
    <w:rsid w:val="00F85159"/>
    <w:rsid w:val="00F851A4"/>
    <w:rsid w:val="00F852BC"/>
    <w:rsid w:val="00F852C4"/>
    <w:rsid w:val="00F853E0"/>
    <w:rsid w:val="00F8542D"/>
    <w:rsid w:val="00F85582"/>
    <w:rsid w:val="00F85627"/>
    <w:rsid w:val="00F8565C"/>
    <w:rsid w:val="00F8569C"/>
    <w:rsid w:val="00F85775"/>
    <w:rsid w:val="00F8580A"/>
    <w:rsid w:val="00F85813"/>
    <w:rsid w:val="00F8585F"/>
    <w:rsid w:val="00F8586B"/>
    <w:rsid w:val="00F858A3"/>
    <w:rsid w:val="00F858A7"/>
    <w:rsid w:val="00F858C9"/>
    <w:rsid w:val="00F858EE"/>
    <w:rsid w:val="00F85943"/>
    <w:rsid w:val="00F85966"/>
    <w:rsid w:val="00F859E4"/>
    <w:rsid w:val="00F85A05"/>
    <w:rsid w:val="00F85A82"/>
    <w:rsid w:val="00F85A87"/>
    <w:rsid w:val="00F85A8A"/>
    <w:rsid w:val="00F85ABF"/>
    <w:rsid w:val="00F85B21"/>
    <w:rsid w:val="00F85C00"/>
    <w:rsid w:val="00F85C2A"/>
    <w:rsid w:val="00F85C5E"/>
    <w:rsid w:val="00F85C5F"/>
    <w:rsid w:val="00F85C61"/>
    <w:rsid w:val="00F85CBB"/>
    <w:rsid w:val="00F85CEA"/>
    <w:rsid w:val="00F85D17"/>
    <w:rsid w:val="00F85D24"/>
    <w:rsid w:val="00F85D89"/>
    <w:rsid w:val="00F85DD9"/>
    <w:rsid w:val="00F85E11"/>
    <w:rsid w:val="00F85EB7"/>
    <w:rsid w:val="00F85F62"/>
    <w:rsid w:val="00F85FFC"/>
    <w:rsid w:val="00F8602B"/>
    <w:rsid w:val="00F8603B"/>
    <w:rsid w:val="00F86083"/>
    <w:rsid w:val="00F86088"/>
    <w:rsid w:val="00F86157"/>
    <w:rsid w:val="00F86194"/>
    <w:rsid w:val="00F86201"/>
    <w:rsid w:val="00F862BD"/>
    <w:rsid w:val="00F863BE"/>
    <w:rsid w:val="00F863F1"/>
    <w:rsid w:val="00F86453"/>
    <w:rsid w:val="00F86493"/>
    <w:rsid w:val="00F86519"/>
    <w:rsid w:val="00F8651D"/>
    <w:rsid w:val="00F86552"/>
    <w:rsid w:val="00F86568"/>
    <w:rsid w:val="00F8657E"/>
    <w:rsid w:val="00F8658B"/>
    <w:rsid w:val="00F86647"/>
    <w:rsid w:val="00F86672"/>
    <w:rsid w:val="00F86702"/>
    <w:rsid w:val="00F86711"/>
    <w:rsid w:val="00F867D1"/>
    <w:rsid w:val="00F868F4"/>
    <w:rsid w:val="00F86990"/>
    <w:rsid w:val="00F869B3"/>
    <w:rsid w:val="00F869E4"/>
    <w:rsid w:val="00F86A3D"/>
    <w:rsid w:val="00F86AD0"/>
    <w:rsid w:val="00F86B2B"/>
    <w:rsid w:val="00F86C0B"/>
    <w:rsid w:val="00F86C32"/>
    <w:rsid w:val="00F86C43"/>
    <w:rsid w:val="00F86C91"/>
    <w:rsid w:val="00F86D2C"/>
    <w:rsid w:val="00F86D9A"/>
    <w:rsid w:val="00F86DB7"/>
    <w:rsid w:val="00F86DC6"/>
    <w:rsid w:val="00F86E18"/>
    <w:rsid w:val="00F86EBF"/>
    <w:rsid w:val="00F86EC3"/>
    <w:rsid w:val="00F86EE6"/>
    <w:rsid w:val="00F87040"/>
    <w:rsid w:val="00F871C1"/>
    <w:rsid w:val="00F871F9"/>
    <w:rsid w:val="00F87274"/>
    <w:rsid w:val="00F8733E"/>
    <w:rsid w:val="00F8737A"/>
    <w:rsid w:val="00F8739B"/>
    <w:rsid w:val="00F874F1"/>
    <w:rsid w:val="00F874FB"/>
    <w:rsid w:val="00F87510"/>
    <w:rsid w:val="00F875D3"/>
    <w:rsid w:val="00F8762A"/>
    <w:rsid w:val="00F8764E"/>
    <w:rsid w:val="00F87674"/>
    <w:rsid w:val="00F876F8"/>
    <w:rsid w:val="00F8772B"/>
    <w:rsid w:val="00F878D5"/>
    <w:rsid w:val="00F879BD"/>
    <w:rsid w:val="00F879D7"/>
    <w:rsid w:val="00F879F3"/>
    <w:rsid w:val="00F87B07"/>
    <w:rsid w:val="00F87BE1"/>
    <w:rsid w:val="00F87BED"/>
    <w:rsid w:val="00F87C90"/>
    <w:rsid w:val="00F87CBB"/>
    <w:rsid w:val="00F87CD8"/>
    <w:rsid w:val="00F87DE5"/>
    <w:rsid w:val="00F87E71"/>
    <w:rsid w:val="00F87EA6"/>
    <w:rsid w:val="00F87F76"/>
    <w:rsid w:val="00F87FA0"/>
    <w:rsid w:val="00F90043"/>
    <w:rsid w:val="00F90098"/>
    <w:rsid w:val="00F900A0"/>
    <w:rsid w:val="00F90101"/>
    <w:rsid w:val="00F9016F"/>
    <w:rsid w:val="00F90185"/>
    <w:rsid w:val="00F9029A"/>
    <w:rsid w:val="00F902B7"/>
    <w:rsid w:val="00F90308"/>
    <w:rsid w:val="00F90323"/>
    <w:rsid w:val="00F90362"/>
    <w:rsid w:val="00F90364"/>
    <w:rsid w:val="00F903C5"/>
    <w:rsid w:val="00F903CD"/>
    <w:rsid w:val="00F90434"/>
    <w:rsid w:val="00F9044D"/>
    <w:rsid w:val="00F9048C"/>
    <w:rsid w:val="00F9054D"/>
    <w:rsid w:val="00F90572"/>
    <w:rsid w:val="00F90575"/>
    <w:rsid w:val="00F90576"/>
    <w:rsid w:val="00F905D3"/>
    <w:rsid w:val="00F9062C"/>
    <w:rsid w:val="00F906DD"/>
    <w:rsid w:val="00F90759"/>
    <w:rsid w:val="00F9079B"/>
    <w:rsid w:val="00F907E5"/>
    <w:rsid w:val="00F9083A"/>
    <w:rsid w:val="00F908A8"/>
    <w:rsid w:val="00F908B1"/>
    <w:rsid w:val="00F9092D"/>
    <w:rsid w:val="00F90959"/>
    <w:rsid w:val="00F90979"/>
    <w:rsid w:val="00F90A32"/>
    <w:rsid w:val="00F90A40"/>
    <w:rsid w:val="00F90AA1"/>
    <w:rsid w:val="00F90B0C"/>
    <w:rsid w:val="00F90B5A"/>
    <w:rsid w:val="00F90B7E"/>
    <w:rsid w:val="00F90B96"/>
    <w:rsid w:val="00F90BAD"/>
    <w:rsid w:val="00F90BF8"/>
    <w:rsid w:val="00F90BFF"/>
    <w:rsid w:val="00F90C0C"/>
    <w:rsid w:val="00F90CB7"/>
    <w:rsid w:val="00F90D0F"/>
    <w:rsid w:val="00F90D22"/>
    <w:rsid w:val="00F90D7B"/>
    <w:rsid w:val="00F90D97"/>
    <w:rsid w:val="00F90DBD"/>
    <w:rsid w:val="00F90E14"/>
    <w:rsid w:val="00F90E91"/>
    <w:rsid w:val="00F90EA1"/>
    <w:rsid w:val="00F91078"/>
    <w:rsid w:val="00F91085"/>
    <w:rsid w:val="00F9108F"/>
    <w:rsid w:val="00F910B7"/>
    <w:rsid w:val="00F910E0"/>
    <w:rsid w:val="00F91215"/>
    <w:rsid w:val="00F9124C"/>
    <w:rsid w:val="00F9124E"/>
    <w:rsid w:val="00F912D6"/>
    <w:rsid w:val="00F912EC"/>
    <w:rsid w:val="00F91368"/>
    <w:rsid w:val="00F914D8"/>
    <w:rsid w:val="00F91514"/>
    <w:rsid w:val="00F91555"/>
    <w:rsid w:val="00F91587"/>
    <w:rsid w:val="00F9166C"/>
    <w:rsid w:val="00F916C7"/>
    <w:rsid w:val="00F916EB"/>
    <w:rsid w:val="00F91739"/>
    <w:rsid w:val="00F917C3"/>
    <w:rsid w:val="00F91811"/>
    <w:rsid w:val="00F918AA"/>
    <w:rsid w:val="00F9196A"/>
    <w:rsid w:val="00F919F6"/>
    <w:rsid w:val="00F91A09"/>
    <w:rsid w:val="00F91A0F"/>
    <w:rsid w:val="00F91A41"/>
    <w:rsid w:val="00F91AA0"/>
    <w:rsid w:val="00F91AB6"/>
    <w:rsid w:val="00F91ABE"/>
    <w:rsid w:val="00F91AEE"/>
    <w:rsid w:val="00F91B16"/>
    <w:rsid w:val="00F91B82"/>
    <w:rsid w:val="00F91BC5"/>
    <w:rsid w:val="00F91C1C"/>
    <w:rsid w:val="00F91C28"/>
    <w:rsid w:val="00F91DE4"/>
    <w:rsid w:val="00F91E60"/>
    <w:rsid w:val="00F91E74"/>
    <w:rsid w:val="00F91FD4"/>
    <w:rsid w:val="00F9201F"/>
    <w:rsid w:val="00F92073"/>
    <w:rsid w:val="00F920A4"/>
    <w:rsid w:val="00F920C9"/>
    <w:rsid w:val="00F920DA"/>
    <w:rsid w:val="00F92105"/>
    <w:rsid w:val="00F92150"/>
    <w:rsid w:val="00F92217"/>
    <w:rsid w:val="00F9229D"/>
    <w:rsid w:val="00F92346"/>
    <w:rsid w:val="00F92354"/>
    <w:rsid w:val="00F924A0"/>
    <w:rsid w:val="00F924AF"/>
    <w:rsid w:val="00F924B6"/>
    <w:rsid w:val="00F924C6"/>
    <w:rsid w:val="00F924C8"/>
    <w:rsid w:val="00F924CE"/>
    <w:rsid w:val="00F924DB"/>
    <w:rsid w:val="00F924F5"/>
    <w:rsid w:val="00F92564"/>
    <w:rsid w:val="00F92586"/>
    <w:rsid w:val="00F925E9"/>
    <w:rsid w:val="00F9268D"/>
    <w:rsid w:val="00F928EF"/>
    <w:rsid w:val="00F92912"/>
    <w:rsid w:val="00F929E6"/>
    <w:rsid w:val="00F92A29"/>
    <w:rsid w:val="00F92A58"/>
    <w:rsid w:val="00F92A8A"/>
    <w:rsid w:val="00F92B7C"/>
    <w:rsid w:val="00F92B8E"/>
    <w:rsid w:val="00F92C3B"/>
    <w:rsid w:val="00F92C67"/>
    <w:rsid w:val="00F92C6F"/>
    <w:rsid w:val="00F92CA8"/>
    <w:rsid w:val="00F92E97"/>
    <w:rsid w:val="00F92EB0"/>
    <w:rsid w:val="00F930D9"/>
    <w:rsid w:val="00F930F8"/>
    <w:rsid w:val="00F9311C"/>
    <w:rsid w:val="00F93141"/>
    <w:rsid w:val="00F93190"/>
    <w:rsid w:val="00F931D5"/>
    <w:rsid w:val="00F931E8"/>
    <w:rsid w:val="00F931FD"/>
    <w:rsid w:val="00F9321B"/>
    <w:rsid w:val="00F93220"/>
    <w:rsid w:val="00F932CE"/>
    <w:rsid w:val="00F933A8"/>
    <w:rsid w:val="00F933CB"/>
    <w:rsid w:val="00F933FB"/>
    <w:rsid w:val="00F93480"/>
    <w:rsid w:val="00F9349F"/>
    <w:rsid w:val="00F934B6"/>
    <w:rsid w:val="00F9357B"/>
    <w:rsid w:val="00F93620"/>
    <w:rsid w:val="00F93687"/>
    <w:rsid w:val="00F936E9"/>
    <w:rsid w:val="00F93715"/>
    <w:rsid w:val="00F9382C"/>
    <w:rsid w:val="00F9388D"/>
    <w:rsid w:val="00F93893"/>
    <w:rsid w:val="00F9391A"/>
    <w:rsid w:val="00F93979"/>
    <w:rsid w:val="00F939CB"/>
    <w:rsid w:val="00F939CF"/>
    <w:rsid w:val="00F93A48"/>
    <w:rsid w:val="00F93A68"/>
    <w:rsid w:val="00F93AAB"/>
    <w:rsid w:val="00F93AB3"/>
    <w:rsid w:val="00F93B65"/>
    <w:rsid w:val="00F93BC4"/>
    <w:rsid w:val="00F93C00"/>
    <w:rsid w:val="00F93C1B"/>
    <w:rsid w:val="00F93C61"/>
    <w:rsid w:val="00F93D01"/>
    <w:rsid w:val="00F93D1C"/>
    <w:rsid w:val="00F93DCB"/>
    <w:rsid w:val="00F93E7B"/>
    <w:rsid w:val="00F93EF7"/>
    <w:rsid w:val="00F93F0A"/>
    <w:rsid w:val="00F93FA2"/>
    <w:rsid w:val="00F93FB9"/>
    <w:rsid w:val="00F94045"/>
    <w:rsid w:val="00F9405D"/>
    <w:rsid w:val="00F940F0"/>
    <w:rsid w:val="00F94197"/>
    <w:rsid w:val="00F941EA"/>
    <w:rsid w:val="00F9420D"/>
    <w:rsid w:val="00F9422A"/>
    <w:rsid w:val="00F9430B"/>
    <w:rsid w:val="00F94360"/>
    <w:rsid w:val="00F9438E"/>
    <w:rsid w:val="00F94392"/>
    <w:rsid w:val="00F94415"/>
    <w:rsid w:val="00F9442E"/>
    <w:rsid w:val="00F94488"/>
    <w:rsid w:val="00F944AC"/>
    <w:rsid w:val="00F94631"/>
    <w:rsid w:val="00F946D2"/>
    <w:rsid w:val="00F94727"/>
    <w:rsid w:val="00F94793"/>
    <w:rsid w:val="00F947CF"/>
    <w:rsid w:val="00F9482F"/>
    <w:rsid w:val="00F94865"/>
    <w:rsid w:val="00F94880"/>
    <w:rsid w:val="00F948BD"/>
    <w:rsid w:val="00F948BF"/>
    <w:rsid w:val="00F948C8"/>
    <w:rsid w:val="00F949A2"/>
    <w:rsid w:val="00F949FC"/>
    <w:rsid w:val="00F949FD"/>
    <w:rsid w:val="00F94BB6"/>
    <w:rsid w:val="00F94BEB"/>
    <w:rsid w:val="00F94BF6"/>
    <w:rsid w:val="00F94C52"/>
    <w:rsid w:val="00F94C6B"/>
    <w:rsid w:val="00F94D4E"/>
    <w:rsid w:val="00F94DF3"/>
    <w:rsid w:val="00F94E19"/>
    <w:rsid w:val="00F94FE7"/>
    <w:rsid w:val="00F94FF4"/>
    <w:rsid w:val="00F95019"/>
    <w:rsid w:val="00F95046"/>
    <w:rsid w:val="00F9505B"/>
    <w:rsid w:val="00F95061"/>
    <w:rsid w:val="00F952B1"/>
    <w:rsid w:val="00F952DC"/>
    <w:rsid w:val="00F95300"/>
    <w:rsid w:val="00F95315"/>
    <w:rsid w:val="00F9531A"/>
    <w:rsid w:val="00F95357"/>
    <w:rsid w:val="00F95398"/>
    <w:rsid w:val="00F953AE"/>
    <w:rsid w:val="00F953EC"/>
    <w:rsid w:val="00F9540D"/>
    <w:rsid w:val="00F95426"/>
    <w:rsid w:val="00F9544E"/>
    <w:rsid w:val="00F954AD"/>
    <w:rsid w:val="00F955A5"/>
    <w:rsid w:val="00F955D1"/>
    <w:rsid w:val="00F9564E"/>
    <w:rsid w:val="00F95712"/>
    <w:rsid w:val="00F95784"/>
    <w:rsid w:val="00F9580C"/>
    <w:rsid w:val="00F95867"/>
    <w:rsid w:val="00F958A7"/>
    <w:rsid w:val="00F958C7"/>
    <w:rsid w:val="00F95903"/>
    <w:rsid w:val="00F9596A"/>
    <w:rsid w:val="00F95992"/>
    <w:rsid w:val="00F959F4"/>
    <w:rsid w:val="00F95A69"/>
    <w:rsid w:val="00F95B34"/>
    <w:rsid w:val="00F95B73"/>
    <w:rsid w:val="00F95CF6"/>
    <w:rsid w:val="00F95D8F"/>
    <w:rsid w:val="00F95DBE"/>
    <w:rsid w:val="00F95E3F"/>
    <w:rsid w:val="00F95EA5"/>
    <w:rsid w:val="00F95ED3"/>
    <w:rsid w:val="00F95F00"/>
    <w:rsid w:val="00F95F01"/>
    <w:rsid w:val="00F96095"/>
    <w:rsid w:val="00F960E0"/>
    <w:rsid w:val="00F960EE"/>
    <w:rsid w:val="00F9611E"/>
    <w:rsid w:val="00F9628E"/>
    <w:rsid w:val="00F962DF"/>
    <w:rsid w:val="00F963B7"/>
    <w:rsid w:val="00F96509"/>
    <w:rsid w:val="00F965C3"/>
    <w:rsid w:val="00F965DA"/>
    <w:rsid w:val="00F967F5"/>
    <w:rsid w:val="00F96845"/>
    <w:rsid w:val="00F9687C"/>
    <w:rsid w:val="00F968F8"/>
    <w:rsid w:val="00F96913"/>
    <w:rsid w:val="00F96930"/>
    <w:rsid w:val="00F9696F"/>
    <w:rsid w:val="00F9699D"/>
    <w:rsid w:val="00F969CB"/>
    <w:rsid w:val="00F969EE"/>
    <w:rsid w:val="00F96AA7"/>
    <w:rsid w:val="00F96BFE"/>
    <w:rsid w:val="00F96C44"/>
    <w:rsid w:val="00F96C81"/>
    <w:rsid w:val="00F96D26"/>
    <w:rsid w:val="00F96D6A"/>
    <w:rsid w:val="00F96D87"/>
    <w:rsid w:val="00F96E27"/>
    <w:rsid w:val="00F96F4A"/>
    <w:rsid w:val="00F96FAB"/>
    <w:rsid w:val="00F97044"/>
    <w:rsid w:val="00F9705B"/>
    <w:rsid w:val="00F970E8"/>
    <w:rsid w:val="00F97168"/>
    <w:rsid w:val="00F971B5"/>
    <w:rsid w:val="00F9725D"/>
    <w:rsid w:val="00F9727D"/>
    <w:rsid w:val="00F97293"/>
    <w:rsid w:val="00F9731F"/>
    <w:rsid w:val="00F973AA"/>
    <w:rsid w:val="00F973F0"/>
    <w:rsid w:val="00F9740C"/>
    <w:rsid w:val="00F9751B"/>
    <w:rsid w:val="00F97525"/>
    <w:rsid w:val="00F97534"/>
    <w:rsid w:val="00F975CB"/>
    <w:rsid w:val="00F9764A"/>
    <w:rsid w:val="00F97755"/>
    <w:rsid w:val="00F97761"/>
    <w:rsid w:val="00F977D0"/>
    <w:rsid w:val="00F97868"/>
    <w:rsid w:val="00F978F8"/>
    <w:rsid w:val="00F97A05"/>
    <w:rsid w:val="00F97AA3"/>
    <w:rsid w:val="00F97B53"/>
    <w:rsid w:val="00F97BEF"/>
    <w:rsid w:val="00F97C41"/>
    <w:rsid w:val="00F97D41"/>
    <w:rsid w:val="00F97DB0"/>
    <w:rsid w:val="00F97E3B"/>
    <w:rsid w:val="00F97E63"/>
    <w:rsid w:val="00F97F78"/>
    <w:rsid w:val="00FA00B8"/>
    <w:rsid w:val="00FA00C1"/>
    <w:rsid w:val="00FA00F1"/>
    <w:rsid w:val="00FA0127"/>
    <w:rsid w:val="00FA012B"/>
    <w:rsid w:val="00FA012E"/>
    <w:rsid w:val="00FA013A"/>
    <w:rsid w:val="00FA01FC"/>
    <w:rsid w:val="00FA0233"/>
    <w:rsid w:val="00FA026F"/>
    <w:rsid w:val="00FA02DB"/>
    <w:rsid w:val="00FA0348"/>
    <w:rsid w:val="00FA0373"/>
    <w:rsid w:val="00FA0374"/>
    <w:rsid w:val="00FA0380"/>
    <w:rsid w:val="00FA039A"/>
    <w:rsid w:val="00FA0551"/>
    <w:rsid w:val="00FA05BC"/>
    <w:rsid w:val="00FA061B"/>
    <w:rsid w:val="00FA071D"/>
    <w:rsid w:val="00FA072A"/>
    <w:rsid w:val="00FA07DF"/>
    <w:rsid w:val="00FA0850"/>
    <w:rsid w:val="00FA0860"/>
    <w:rsid w:val="00FA08AB"/>
    <w:rsid w:val="00FA0996"/>
    <w:rsid w:val="00FA09BF"/>
    <w:rsid w:val="00FA09EB"/>
    <w:rsid w:val="00FA0A55"/>
    <w:rsid w:val="00FA0B3D"/>
    <w:rsid w:val="00FA0B6A"/>
    <w:rsid w:val="00FA0C03"/>
    <w:rsid w:val="00FA0C67"/>
    <w:rsid w:val="00FA0D68"/>
    <w:rsid w:val="00FA0D93"/>
    <w:rsid w:val="00FA0DF2"/>
    <w:rsid w:val="00FA0E12"/>
    <w:rsid w:val="00FA0EF6"/>
    <w:rsid w:val="00FA0F1B"/>
    <w:rsid w:val="00FA0F1C"/>
    <w:rsid w:val="00FA0F43"/>
    <w:rsid w:val="00FA0F6D"/>
    <w:rsid w:val="00FA0F72"/>
    <w:rsid w:val="00FA1072"/>
    <w:rsid w:val="00FA10C6"/>
    <w:rsid w:val="00FA1166"/>
    <w:rsid w:val="00FA116D"/>
    <w:rsid w:val="00FA11B7"/>
    <w:rsid w:val="00FA13CF"/>
    <w:rsid w:val="00FA14C2"/>
    <w:rsid w:val="00FA151E"/>
    <w:rsid w:val="00FA155D"/>
    <w:rsid w:val="00FA15AB"/>
    <w:rsid w:val="00FA15FA"/>
    <w:rsid w:val="00FA1602"/>
    <w:rsid w:val="00FA162A"/>
    <w:rsid w:val="00FA1657"/>
    <w:rsid w:val="00FA16DC"/>
    <w:rsid w:val="00FA17C4"/>
    <w:rsid w:val="00FA180E"/>
    <w:rsid w:val="00FA1826"/>
    <w:rsid w:val="00FA1881"/>
    <w:rsid w:val="00FA18CB"/>
    <w:rsid w:val="00FA18E7"/>
    <w:rsid w:val="00FA1906"/>
    <w:rsid w:val="00FA19B9"/>
    <w:rsid w:val="00FA19E7"/>
    <w:rsid w:val="00FA1AC7"/>
    <w:rsid w:val="00FA1B03"/>
    <w:rsid w:val="00FA1B4A"/>
    <w:rsid w:val="00FA1B61"/>
    <w:rsid w:val="00FA1C25"/>
    <w:rsid w:val="00FA1C4A"/>
    <w:rsid w:val="00FA1C4F"/>
    <w:rsid w:val="00FA1C82"/>
    <w:rsid w:val="00FA1CB9"/>
    <w:rsid w:val="00FA1D54"/>
    <w:rsid w:val="00FA1DA2"/>
    <w:rsid w:val="00FA1DFA"/>
    <w:rsid w:val="00FA1E3D"/>
    <w:rsid w:val="00FA1E5F"/>
    <w:rsid w:val="00FA1EBE"/>
    <w:rsid w:val="00FA1ED5"/>
    <w:rsid w:val="00FA1EDF"/>
    <w:rsid w:val="00FA1F1A"/>
    <w:rsid w:val="00FA1F87"/>
    <w:rsid w:val="00FA1FD4"/>
    <w:rsid w:val="00FA1FE3"/>
    <w:rsid w:val="00FA2003"/>
    <w:rsid w:val="00FA2022"/>
    <w:rsid w:val="00FA2106"/>
    <w:rsid w:val="00FA21BA"/>
    <w:rsid w:val="00FA21C8"/>
    <w:rsid w:val="00FA21ED"/>
    <w:rsid w:val="00FA21FB"/>
    <w:rsid w:val="00FA2279"/>
    <w:rsid w:val="00FA2282"/>
    <w:rsid w:val="00FA2366"/>
    <w:rsid w:val="00FA23BE"/>
    <w:rsid w:val="00FA23C9"/>
    <w:rsid w:val="00FA23CF"/>
    <w:rsid w:val="00FA2472"/>
    <w:rsid w:val="00FA24BC"/>
    <w:rsid w:val="00FA2523"/>
    <w:rsid w:val="00FA2643"/>
    <w:rsid w:val="00FA267B"/>
    <w:rsid w:val="00FA26DA"/>
    <w:rsid w:val="00FA27F3"/>
    <w:rsid w:val="00FA2837"/>
    <w:rsid w:val="00FA2841"/>
    <w:rsid w:val="00FA28B1"/>
    <w:rsid w:val="00FA296C"/>
    <w:rsid w:val="00FA29C6"/>
    <w:rsid w:val="00FA2A4A"/>
    <w:rsid w:val="00FA2A54"/>
    <w:rsid w:val="00FA2A68"/>
    <w:rsid w:val="00FA2AA6"/>
    <w:rsid w:val="00FA2AE4"/>
    <w:rsid w:val="00FA2B17"/>
    <w:rsid w:val="00FA2B20"/>
    <w:rsid w:val="00FA2B4E"/>
    <w:rsid w:val="00FA2B89"/>
    <w:rsid w:val="00FA2BE0"/>
    <w:rsid w:val="00FA2C0E"/>
    <w:rsid w:val="00FA2C27"/>
    <w:rsid w:val="00FA2D7E"/>
    <w:rsid w:val="00FA2DCD"/>
    <w:rsid w:val="00FA2E0B"/>
    <w:rsid w:val="00FA2E4F"/>
    <w:rsid w:val="00FA2E5D"/>
    <w:rsid w:val="00FA2FD3"/>
    <w:rsid w:val="00FA30B2"/>
    <w:rsid w:val="00FA30E8"/>
    <w:rsid w:val="00FA3134"/>
    <w:rsid w:val="00FA3142"/>
    <w:rsid w:val="00FA3162"/>
    <w:rsid w:val="00FA3229"/>
    <w:rsid w:val="00FA3236"/>
    <w:rsid w:val="00FA32C2"/>
    <w:rsid w:val="00FA32C9"/>
    <w:rsid w:val="00FA32EB"/>
    <w:rsid w:val="00FA332A"/>
    <w:rsid w:val="00FA333E"/>
    <w:rsid w:val="00FA3344"/>
    <w:rsid w:val="00FA3356"/>
    <w:rsid w:val="00FA337B"/>
    <w:rsid w:val="00FA337D"/>
    <w:rsid w:val="00FA33D2"/>
    <w:rsid w:val="00FA33DF"/>
    <w:rsid w:val="00FA3432"/>
    <w:rsid w:val="00FA3487"/>
    <w:rsid w:val="00FA34A1"/>
    <w:rsid w:val="00FA34E0"/>
    <w:rsid w:val="00FA3554"/>
    <w:rsid w:val="00FA35F3"/>
    <w:rsid w:val="00FA3611"/>
    <w:rsid w:val="00FA367C"/>
    <w:rsid w:val="00FA37F3"/>
    <w:rsid w:val="00FA3837"/>
    <w:rsid w:val="00FA3844"/>
    <w:rsid w:val="00FA3928"/>
    <w:rsid w:val="00FA3950"/>
    <w:rsid w:val="00FA3994"/>
    <w:rsid w:val="00FA39FD"/>
    <w:rsid w:val="00FA3A31"/>
    <w:rsid w:val="00FA3A4B"/>
    <w:rsid w:val="00FA3AC1"/>
    <w:rsid w:val="00FA3ACE"/>
    <w:rsid w:val="00FA3B00"/>
    <w:rsid w:val="00FA3B27"/>
    <w:rsid w:val="00FA3C46"/>
    <w:rsid w:val="00FA3C4B"/>
    <w:rsid w:val="00FA3C6C"/>
    <w:rsid w:val="00FA3C9A"/>
    <w:rsid w:val="00FA3CDE"/>
    <w:rsid w:val="00FA3CF0"/>
    <w:rsid w:val="00FA3D14"/>
    <w:rsid w:val="00FA3D45"/>
    <w:rsid w:val="00FA3D93"/>
    <w:rsid w:val="00FA3D9C"/>
    <w:rsid w:val="00FA3F0A"/>
    <w:rsid w:val="00FA3F74"/>
    <w:rsid w:val="00FA3F87"/>
    <w:rsid w:val="00FA3FB6"/>
    <w:rsid w:val="00FA41A7"/>
    <w:rsid w:val="00FA41B6"/>
    <w:rsid w:val="00FA41BB"/>
    <w:rsid w:val="00FA4227"/>
    <w:rsid w:val="00FA42B8"/>
    <w:rsid w:val="00FA42C8"/>
    <w:rsid w:val="00FA438B"/>
    <w:rsid w:val="00FA442F"/>
    <w:rsid w:val="00FA4458"/>
    <w:rsid w:val="00FA4543"/>
    <w:rsid w:val="00FA4572"/>
    <w:rsid w:val="00FA45F0"/>
    <w:rsid w:val="00FA45F1"/>
    <w:rsid w:val="00FA468F"/>
    <w:rsid w:val="00FA46AD"/>
    <w:rsid w:val="00FA4739"/>
    <w:rsid w:val="00FA477A"/>
    <w:rsid w:val="00FA47A5"/>
    <w:rsid w:val="00FA47B8"/>
    <w:rsid w:val="00FA47E0"/>
    <w:rsid w:val="00FA488F"/>
    <w:rsid w:val="00FA48D8"/>
    <w:rsid w:val="00FA49D3"/>
    <w:rsid w:val="00FA49E7"/>
    <w:rsid w:val="00FA4A0D"/>
    <w:rsid w:val="00FA4A38"/>
    <w:rsid w:val="00FA4A56"/>
    <w:rsid w:val="00FA4A9D"/>
    <w:rsid w:val="00FA4A9E"/>
    <w:rsid w:val="00FA4ABA"/>
    <w:rsid w:val="00FA4B71"/>
    <w:rsid w:val="00FA4B85"/>
    <w:rsid w:val="00FA4B95"/>
    <w:rsid w:val="00FA4BA6"/>
    <w:rsid w:val="00FA4BB2"/>
    <w:rsid w:val="00FA4BDA"/>
    <w:rsid w:val="00FA4C93"/>
    <w:rsid w:val="00FA4CB7"/>
    <w:rsid w:val="00FA4D77"/>
    <w:rsid w:val="00FA4DC7"/>
    <w:rsid w:val="00FA4E0D"/>
    <w:rsid w:val="00FA4E22"/>
    <w:rsid w:val="00FA4E28"/>
    <w:rsid w:val="00FA4E5C"/>
    <w:rsid w:val="00FA4E86"/>
    <w:rsid w:val="00FA4F11"/>
    <w:rsid w:val="00FA5014"/>
    <w:rsid w:val="00FA5043"/>
    <w:rsid w:val="00FA50EF"/>
    <w:rsid w:val="00FA5137"/>
    <w:rsid w:val="00FA517F"/>
    <w:rsid w:val="00FA527D"/>
    <w:rsid w:val="00FA52A1"/>
    <w:rsid w:val="00FA52F5"/>
    <w:rsid w:val="00FA5348"/>
    <w:rsid w:val="00FA537B"/>
    <w:rsid w:val="00FA53BE"/>
    <w:rsid w:val="00FA547D"/>
    <w:rsid w:val="00FA5494"/>
    <w:rsid w:val="00FA54AC"/>
    <w:rsid w:val="00FA54C3"/>
    <w:rsid w:val="00FA54D7"/>
    <w:rsid w:val="00FA55C0"/>
    <w:rsid w:val="00FA55C6"/>
    <w:rsid w:val="00FA55E8"/>
    <w:rsid w:val="00FA5636"/>
    <w:rsid w:val="00FA5670"/>
    <w:rsid w:val="00FA5726"/>
    <w:rsid w:val="00FA5735"/>
    <w:rsid w:val="00FA583F"/>
    <w:rsid w:val="00FA58D0"/>
    <w:rsid w:val="00FA58E8"/>
    <w:rsid w:val="00FA595E"/>
    <w:rsid w:val="00FA59E1"/>
    <w:rsid w:val="00FA59E7"/>
    <w:rsid w:val="00FA59EF"/>
    <w:rsid w:val="00FA5A49"/>
    <w:rsid w:val="00FA5CAC"/>
    <w:rsid w:val="00FA5CCE"/>
    <w:rsid w:val="00FA5CDB"/>
    <w:rsid w:val="00FA5D65"/>
    <w:rsid w:val="00FA5D7C"/>
    <w:rsid w:val="00FA5D81"/>
    <w:rsid w:val="00FA5E78"/>
    <w:rsid w:val="00FA5E9E"/>
    <w:rsid w:val="00FA5EA8"/>
    <w:rsid w:val="00FA5EF9"/>
    <w:rsid w:val="00FA5F49"/>
    <w:rsid w:val="00FA5F63"/>
    <w:rsid w:val="00FA5F67"/>
    <w:rsid w:val="00FA5F9A"/>
    <w:rsid w:val="00FA5FB8"/>
    <w:rsid w:val="00FA5FF5"/>
    <w:rsid w:val="00FA6038"/>
    <w:rsid w:val="00FA606C"/>
    <w:rsid w:val="00FA61EC"/>
    <w:rsid w:val="00FA6216"/>
    <w:rsid w:val="00FA625A"/>
    <w:rsid w:val="00FA6398"/>
    <w:rsid w:val="00FA63D4"/>
    <w:rsid w:val="00FA642C"/>
    <w:rsid w:val="00FA6432"/>
    <w:rsid w:val="00FA6508"/>
    <w:rsid w:val="00FA651B"/>
    <w:rsid w:val="00FA6545"/>
    <w:rsid w:val="00FA6703"/>
    <w:rsid w:val="00FA6723"/>
    <w:rsid w:val="00FA67BA"/>
    <w:rsid w:val="00FA67C9"/>
    <w:rsid w:val="00FA6857"/>
    <w:rsid w:val="00FA68C4"/>
    <w:rsid w:val="00FA69C1"/>
    <w:rsid w:val="00FA6A3A"/>
    <w:rsid w:val="00FA6A3D"/>
    <w:rsid w:val="00FA6A83"/>
    <w:rsid w:val="00FA6B22"/>
    <w:rsid w:val="00FA6BC2"/>
    <w:rsid w:val="00FA6BCE"/>
    <w:rsid w:val="00FA6BD3"/>
    <w:rsid w:val="00FA6C70"/>
    <w:rsid w:val="00FA6D53"/>
    <w:rsid w:val="00FA6D9B"/>
    <w:rsid w:val="00FA6DA3"/>
    <w:rsid w:val="00FA6DDF"/>
    <w:rsid w:val="00FA6EF1"/>
    <w:rsid w:val="00FA6F00"/>
    <w:rsid w:val="00FA6FF6"/>
    <w:rsid w:val="00FA7008"/>
    <w:rsid w:val="00FA700E"/>
    <w:rsid w:val="00FA70B7"/>
    <w:rsid w:val="00FA7109"/>
    <w:rsid w:val="00FA722C"/>
    <w:rsid w:val="00FA7246"/>
    <w:rsid w:val="00FA7345"/>
    <w:rsid w:val="00FA7347"/>
    <w:rsid w:val="00FA73C6"/>
    <w:rsid w:val="00FA7409"/>
    <w:rsid w:val="00FA7414"/>
    <w:rsid w:val="00FA7477"/>
    <w:rsid w:val="00FA7527"/>
    <w:rsid w:val="00FA7565"/>
    <w:rsid w:val="00FA75DC"/>
    <w:rsid w:val="00FA75DE"/>
    <w:rsid w:val="00FA7606"/>
    <w:rsid w:val="00FA770F"/>
    <w:rsid w:val="00FA7755"/>
    <w:rsid w:val="00FA77DF"/>
    <w:rsid w:val="00FA7853"/>
    <w:rsid w:val="00FA78CC"/>
    <w:rsid w:val="00FA790A"/>
    <w:rsid w:val="00FA7955"/>
    <w:rsid w:val="00FA7A03"/>
    <w:rsid w:val="00FA7A1A"/>
    <w:rsid w:val="00FA7A4D"/>
    <w:rsid w:val="00FA7AF6"/>
    <w:rsid w:val="00FA7B1F"/>
    <w:rsid w:val="00FA7B5D"/>
    <w:rsid w:val="00FA7BF5"/>
    <w:rsid w:val="00FA7C0E"/>
    <w:rsid w:val="00FA7C62"/>
    <w:rsid w:val="00FA7CE6"/>
    <w:rsid w:val="00FA7D1D"/>
    <w:rsid w:val="00FA7D4A"/>
    <w:rsid w:val="00FA7D8F"/>
    <w:rsid w:val="00FA7DA0"/>
    <w:rsid w:val="00FA7E3B"/>
    <w:rsid w:val="00FA7EA1"/>
    <w:rsid w:val="00FA7EDE"/>
    <w:rsid w:val="00FA7F16"/>
    <w:rsid w:val="00FA7F4B"/>
    <w:rsid w:val="00FA7F6F"/>
    <w:rsid w:val="00FA7FDD"/>
    <w:rsid w:val="00FA7FEE"/>
    <w:rsid w:val="00FB0012"/>
    <w:rsid w:val="00FB0035"/>
    <w:rsid w:val="00FB0086"/>
    <w:rsid w:val="00FB016C"/>
    <w:rsid w:val="00FB02A9"/>
    <w:rsid w:val="00FB02B7"/>
    <w:rsid w:val="00FB02DA"/>
    <w:rsid w:val="00FB0337"/>
    <w:rsid w:val="00FB0354"/>
    <w:rsid w:val="00FB03BC"/>
    <w:rsid w:val="00FB044C"/>
    <w:rsid w:val="00FB046D"/>
    <w:rsid w:val="00FB0507"/>
    <w:rsid w:val="00FB0521"/>
    <w:rsid w:val="00FB057D"/>
    <w:rsid w:val="00FB05B1"/>
    <w:rsid w:val="00FB0632"/>
    <w:rsid w:val="00FB0681"/>
    <w:rsid w:val="00FB06FB"/>
    <w:rsid w:val="00FB0753"/>
    <w:rsid w:val="00FB08EF"/>
    <w:rsid w:val="00FB08FF"/>
    <w:rsid w:val="00FB09BB"/>
    <w:rsid w:val="00FB0A40"/>
    <w:rsid w:val="00FB0A56"/>
    <w:rsid w:val="00FB0A97"/>
    <w:rsid w:val="00FB0B04"/>
    <w:rsid w:val="00FB0B3D"/>
    <w:rsid w:val="00FB0B6F"/>
    <w:rsid w:val="00FB0B74"/>
    <w:rsid w:val="00FB0B9C"/>
    <w:rsid w:val="00FB0BA8"/>
    <w:rsid w:val="00FB0C0D"/>
    <w:rsid w:val="00FB0C42"/>
    <w:rsid w:val="00FB0CCE"/>
    <w:rsid w:val="00FB0CF8"/>
    <w:rsid w:val="00FB0D7B"/>
    <w:rsid w:val="00FB0EB7"/>
    <w:rsid w:val="00FB0EFC"/>
    <w:rsid w:val="00FB0F90"/>
    <w:rsid w:val="00FB1028"/>
    <w:rsid w:val="00FB1079"/>
    <w:rsid w:val="00FB1086"/>
    <w:rsid w:val="00FB1095"/>
    <w:rsid w:val="00FB110D"/>
    <w:rsid w:val="00FB1122"/>
    <w:rsid w:val="00FB1145"/>
    <w:rsid w:val="00FB114E"/>
    <w:rsid w:val="00FB1249"/>
    <w:rsid w:val="00FB127E"/>
    <w:rsid w:val="00FB12F0"/>
    <w:rsid w:val="00FB1353"/>
    <w:rsid w:val="00FB135F"/>
    <w:rsid w:val="00FB13CD"/>
    <w:rsid w:val="00FB14D0"/>
    <w:rsid w:val="00FB14E0"/>
    <w:rsid w:val="00FB1502"/>
    <w:rsid w:val="00FB1516"/>
    <w:rsid w:val="00FB156E"/>
    <w:rsid w:val="00FB1576"/>
    <w:rsid w:val="00FB158A"/>
    <w:rsid w:val="00FB1595"/>
    <w:rsid w:val="00FB15B8"/>
    <w:rsid w:val="00FB15C7"/>
    <w:rsid w:val="00FB15E8"/>
    <w:rsid w:val="00FB15EE"/>
    <w:rsid w:val="00FB160B"/>
    <w:rsid w:val="00FB1636"/>
    <w:rsid w:val="00FB1654"/>
    <w:rsid w:val="00FB167C"/>
    <w:rsid w:val="00FB17FA"/>
    <w:rsid w:val="00FB1803"/>
    <w:rsid w:val="00FB18F9"/>
    <w:rsid w:val="00FB1902"/>
    <w:rsid w:val="00FB1948"/>
    <w:rsid w:val="00FB19C6"/>
    <w:rsid w:val="00FB19DB"/>
    <w:rsid w:val="00FB1A52"/>
    <w:rsid w:val="00FB1A8D"/>
    <w:rsid w:val="00FB1AF5"/>
    <w:rsid w:val="00FB1B01"/>
    <w:rsid w:val="00FB1B14"/>
    <w:rsid w:val="00FB1B73"/>
    <w:rsid w:val="00FB1B94"/>
    <w:rsid w:val="00FB1BE4"/>
    <w:rsid w:val="00FB1C33"/>
    <w:rsid w:val="00FB1CD2"/>
    <w:rsid w:val="00FB1CFE"/>
    <w:rsid w:val="00FB1D9D"/>
    <w:rsid w:val="00FB1DED"/>
    <w:rsid w:val="00FB1E30"/>
    <w:rsid w:val="00FB1ED7"/>
    <w:rsid w:val="00FB1F67"/>
    <w:rsid w:val="00FB1FDE"/>
    <w:rsid w:val="00FB2012"/>
    <w:rsid w:val="00FB2016"/>
    <w:rsid w:val="00FB21F6"/>
    <w:rsid w:val="00FB2207"/>
    <w:rsid w:val="00FB22AF"/>
    <w:rsid w:val="00FB237D"/>
    <w:rsid w:val="00FB238B"/>
    <w:rsid w:val="00FB23A6"/>
    <w:rsid w:val="00FB23D6"/>
    <w:rsid w:val="00FB23EA"/>
    <w:rsid w:val="00FB23EB"/>
    <w:rsid w:val="00FB2454"/>
    <w:rsid w:val="00FB2562"/>
    <w:rsid w:val="00FB25F4"/>
    <w:rsid w:val="00FB25F6"/>
    <w:rsid w:val="00FB2624"/>
    <w:rsid w:val="00FB264A"/>
    <w:rsid w:val="00FB2650"/>
    <w:rsid w:val="00FB2665"/>
    <w:rsid w:val="00FB2727"/>
    <w:rsid w:val="00FB27A1"/>
    <w:rsid w:val="00FB289F"/>
    <w:rsid w:val="00FB28D4"/>
    <w:rsid w:val="00FB28F0"/>
    <w:rsid w:val="00FB2921"/>
    <w:rsid w:val="00FB296B"/>
    <w:rsid w:val="00FB2A02"/>
    <w:rsid w:val="00FB2A33"/>
    <w:rsid w:val="00FB2A85"/>
    <w:rsid w:val="00FB2AE2"/>
    <w:rsid w:val="00FB2B52"/>
    <w:rsid w:val="00FB2B54"/>
    <w:rsid w:val="00FB2B5A"/>
    <w:rsid w:val="00FB2B9A"/>
    <w:rsid w:val="00FB2BA1"/>
    <w:rsid w:val="00FB2BD9"/>
    <w:rsid w:val="00FB2C55"/>
    <w:rsid w:val="00FB2C63"/>
    <w:rsid w:val="00FB2CBC"/>
    <w:rsid w:val="00FB2D3B"/>
    <w:rsid w:val="00FB2D9E"/>
    <w:rsid w:val="00FB2DCA"/>
    <w:rsid w:val="00FB2DCD"/>
    <w:rsid w:val="00FB2E00"/>
    <w:rsid w:val="00FB2E10"/>
    <w:rsid w:val="00FB2E7C"/>
    <w:rsid w:val="00FB2E82"/>
    <w:rsid w:val="00FB2EDF"/>
    <w:rsid w:val="00FB2EFD"/>
    <w:rsid w:val="00FB2F22"/>
    <w:rsid w:val="00FB2F56"/>
    <w:rsid w:val="00FB2F59"/>
    <w:rsid w:val="00FB2FC9"/>
    <w:rsid w:val="00FB30CC"/>
    <w:rsid w:val="00FB3119"/>
    <w:rsid w:val="00FB3168"/>
    <w:rsid w:val="00FB319A"/>
    <w:rsid w:val="00FB336A"/>
    <w:rsid w:val="00FB3379"/>
    <w:rsid w:val="00FB3388"/>
    <w:rsid w:val="00FB33C7"/>
    <w:rsid w:val="00FB33E5"/>
    <w:rsid w:val="00FB34D5"/>
    <w:rsid w:val="00FB364A"/>
    <w:rsid w:val="00FB365F"/>
    <w:rsid w:val="00FB37A4"/>
    <w:rsid w:val="00FB37C4"/>
    <w:rsid w:val="00FB37FB"/>
    <w:rsid w:val="00FB384C"/>
    <w:rsid w:val="00FB385A"/>
    <w:rsid w:val="00FB3869"/>
    <w:rsid w:val="00FB389C"/>
    <w:rsid w:val="00FB3938"/>
    <w:rsid w:val="00FB3A08"/>
    <w:rsid w:val="00FB3ACE"/>
    <w:rsid w:val="00FB3AF1"/>
    <w:rsid w:val="00FB3B74"/>
    <w:rsid w:val="00FB3C82"/>
    <w:rsid w:val="00FB3CB5"/>
    <w:rsid w:val="00FB3D5D"/>
    <w:rsid w:val="00FB3DB5"/>
    <w:rsid w:val="00FB3F81"/>
    <w:rsid w:val="00FB3FDC"/>
    <w:rsid w:val="00FB4044"/>
    <w:rsid w:val="00FB412E"/>
    <w:rsid w:val="00FB414F"/>
    <w:rsid w:val="00FB42CB"/>
    <w:rsid w:val="00FB43AF"/>
    <w:rsid w:val="00FB43B7"/>
    <w:rsid w:val="00FB4491"/>
    <w:rsid w:val="00FB451C"/>
    <w:rsid w:val="00FB454F"/>
    <w:rsid w:val="00FB455D"/>
    <w:rsid w:val="00FB458D"/>
    <w:rsid w:val="00FB4654"/>
    <w:rsid w:val="00FB472A"/>
    <w:rsid w:val="00FB472E"/>
    <w:rsid w:val="00FB4747"/>
    <w:rsid w:val="00FB47E1"/>
    <w:rsid w:val="00FB4825"/>
    <w:rsid w:val="00FB48A8"/>
    <w:rsid w:val="00FB48E6"/>
    <w:rsid w:val="00FB4912"/>
    <w:rsid w:val="00FB4924"/>
    <w:rsid w:val="00FB494A"/>
    <w:rsid w:val="00FB4960"/>
    <w:rsid w:val="00FB496A"/>
    <w:rsid w:val="00FB49A0"/>
    <w:rsid w:val="00FB4B94"/>
    <w:rsid w:val="00FB4BD7"/>
    <w:rsid w:val="00FB4D35"/>
    <w:rsid w:val="00FB4D66"/>
    <w:rsid w:val="00FB4DBA"/>
    <w:rsid w:val="00FB4DD1"/>
    <w:rsid w:val="00FB4DFC"/>
    <w:rsid w:val="00FB4E5B"/>
    <w:rsid w:val="00FB4E93"/>
    <w:rsid w:val="00FB4ECB"/>
    <w:rsid w:val="00FB4EE6"/>
    <w:rsid w:val="00FB4F21"/>
    <w:rsid w:val="00FB4F9B"/>
    <w:rsid w:val="00FB50B5"/>
    <w:rsid w:val="00FB513B"/>
    <w:rsid w:val="00FB5150"/>
    <w:rsid w:val="00FB518C"/>
    <w:rsid w:val="00FB5190"/>
    <w:rsid w:val="00FB5197"/>
    <w:rsid w:val="00FB51BB"/>
    <w:rsid w:val="00FB51BF"/>
    <w:rsid w:val="00FB51FA"/>
    <w:rsid w:val="00FB5242"/>
    <w:rsid w:val="00FB52C0"/>
    <w:rsid w:val="00FB54A9"/>
    <w:rsid w:val="00FB552D"/>
    <w:rsid w:val="00FB5623"/>
    <w:rsid w:val="00FB56B2"/>
    <w:rsid w:val="00FB5733"/>
    <w:rsid w:val="00FB5746"/>
    <w:rsid w:val="00FB57D3"/>
    <w:rsid w:val="00FB58DE"/>
    <w:rsid w:val="00FB5916"/>
    <w:rsid w:val="00FB594A"/>
    <w:rsid w:val="00FB5A31"/>
    <w:rsid w:val="00FB5A4A"/>
    <w:rsid w:val="00FB5A53"/>
    <w:rsid w:val="00FB5A72"/>
    <w:rsid w:val="00FB5B1F"/>
    <w:rsid w:val="00FB5B2B"/>
    <w:rsid w:val="00FB5B77"/>
    <w:rsid w:val="00FB5BB9"/>
    <w:rsid w:val="00FB5BC4"/>
    <w:rsid w:val="00FB5BD2"/>
    <w:rsid w:val="00FB5C14"/>
    <w:rsid w:val="00FB5C8A"/>
    <w:rsid w:val="00FB5CCA"/>
    <w:rsid w:val="00FB5CDE"/>
    <w:rsid w:val="00FB5CFE"/>
    <w:rsid w:val="00FB5D25"/>
    <w:rsid w:val="00FB5D4B"/>
    <w:rsid w:val="00FB5D56"/>
    <w:rsid w:val="00FB5E21"/>
    <w:rsid w:val="00FB5E28"/>
    <w:rsid w:val="00FB5E48"/>
    <w:rsid w:val="00FB5E9A"/>
    <w:rsid w:val="00FB5F0A"/>
    <w:rsid w:val="00FB5F43"/>
    <w:rsid w:val="00FB5FB9"/>
    <w:rsid w:val="00FB6010"/>
    <w:rsid w:val="00FB610B"/>
    <w:rsid w:val="00FB6110"/>
    <w:rsid w:val="00FB6116"/>
    <w:rsid w:val="00FB61A6"/>
    <w:rsid w:val="00FB6302"/>
    <w:rsid w:val="00FB6335"/>
    <w:rsid w:val="00FB645C"/>
    <w:rsid w:val="00FB64C5"/>
    <w:rsid w:val="00FB6524"/>
    <w:rsid w:val="00FB6589"/>
    <w:rsid w:val="00FB660E"/>
    <w:rsid w:val="00FB66B5"/>
    <w:rsid w:val="00FB6732"/>
    <w:rsid w:val="00FB6761"/>
    <w:rsid w:val="00FB6786"/>
    <w:rsid w:val="00FB679E"/>
    <w:rsid w:val="00FB67C2"/>
    <w:rsid w:val="00FB67EE"/>
    <w:rsid w:val="00FB67F7"/>
    <w:rsid w:val="00FB6902"/>
    <w:rsid w:val="00FB6928"/>
    <w:rsid w:val="00FB692D"/>
    <w:rsid w:val="00FB6947"/>
    <w:rsid w:val="00FB699D"/>
    <w:rsid w:val="00FB6A0A"/>
    <w:rsid w:val="00FB6A15"/>
    <w:rsid w:val="00FB6A3A"/>
    <w:rsid w:val="00FB6A85"/>
    <w:rsid w:val="00FB6AC9"/>
    <w:rsid w:val="00FB6ACA"/>
    <w:rsid w:val="00FB6AE5"/>
    <w:rsid w:val="00FB6B7F"/>
    <w:rsid w:val="00FB6BDE"/>
    <w:rsid w:val="00FB6CAA"/>
    <w:rsid w:val="00FB6CFC"/>
    <w:rsid w:val="00FB6D2B"/>
    <w:rsid w:val="00FB6E6E"/>
    <w:rsid w:val="00FB6EC0"/>
    <w:rsid w:val="00FB6EEB"/>
    <w:rsid w:val="00FB6F43"/>
    <w:rsid w:val="00FB6F6C"/>
    <w:rsid w:val="00FB6F6F"/>
    <w:rsid w:val="00FB7063"/>
    <w:rsid w:val="00FB7143"/>
    <w:rsid w:val="00FB7166"/>
    <w:rsid w:val="00FB718F"/>
    <w:rsid w:val="00FB7242"/>
    <w:rsid w:val="00FB734E"/>
    <w:rsid w:val="00FB7377"/>
    <w:rsid w:val="00FB73BE"/>
    <w:rsid w:val="00FB740A"/>
    <w:rsid w:val="00FB740D"/>
    <w:rsid w:val="00FB7473"/>
    <w:rsid w:val="00FB749A"/>
    <w:rsid w:val="00FB754C"/>
    <w:rsid w:val="00FB75AF"/>
    <w:rsid w:val="00FB75B3"/>
    <w:rsid w:val="00FB75DD"/>
    <w:rsid w:val="00FB7630"/>
    <w:rsid w:val="00FB7641"/>
    <w:rsid w:val="00FB7648"/>
    <w:rsid w:val="00FB7650"/>
    <w:rsid w:val="00FB771F"/>
    <w:rsid w:val="00FB773F"/>
    <w:rsid w:val="00FB7768"/>
    <w:rsid w:val="00FB77C4"/>
    <w:rsid w:val="00FB77C6"/>
    <w:rsid w:val="00FB77E7"/>
    <w:rsid w:val="00FB781D"/>
    <w:rsid w:val="00FB7825"/>
    <w:rsid w:val="00FB7898"/>
    <w:rsid w:val="00FB78B9"/>
    <w:rsid w:val="00FB78FF"/>
    <w:rsid w:val="00FB7992"/>
    <w:rsid w:val="00FB7994"/>
    <w:rsid w:val="00FB79AA"/>
    <w:rsid w:val="00FB79CA"/>
    <w:rsid w:val="00FB7A2A"/>
    <w:rsid w:val="00FB7AAC"/>
    <w:rsid w:val="00FB7B32"/>
    <w:rsid w:val="00FB7B38"/>
    <w:rsid w:val="00FB7B60"/>
    <w:rsid w:val="00FB7B6B"/>
    <w:rsid w:val="00FB7B7B"/>
    <w:rsid w:val="00FB7CE9"/>
    <w:rsid w:val="00FB7DB8"/>
    <w:rsid w:val="00FB7EBA"/>
    <w:rsid w:val="00FB7ED4"/>
    <w:rsid w:val="00FC0008"/>
    <w:rsid w:val="00FC0066"/>
    <w:rsid w:val="00FC0086"/>
    <w:rsid w:val="00FC00F9"/>
    <w:rsid w:val="00FC012E"/>
    <w:rsid w:val="00FC0150"/>
    <w:rsid w:val="00FC0179"/>
    <w:rsid w:val="00FC02A9"/>
    <w:rsid w:val="00FC02F6"/>
    <w:rsid w:val="00FC0306"/>
    <w:rsid w:val="00FC03F2"/>
    <w:rsid w:val="00FC044C"/>
    <w:rsid w:val="00FC04BE"/>
    <w:rsid w:val="00FC04C5"/>
    <w:rsid w:val="00FC04F8"/>
    <w:rsid w:val="00FC05C8"/>
    <w:rsid w:val="00FC05F0"/>
    <w:rsid w:val="00FC05F9"/>
    <w:rsid w:val="00FC0657"/>
    <w:rsid w:val="00FC0765"/>
    <w:rsid w:val="00FC07A6"/>
    <w:rsid w:val="00FC07C9"/>
    <w:rsid w:val="00FC07DA"/>
    <w:rsid w:val="00FC0998"/>
    <w:rsid w:val="00FC09A2"/>
    <w:rsid w:val="00FC09C8"/>
    <w:rsid w:val="00FC0AD7"/>
    <w:rsid w:val="00FC0B13"/>
    <w:rsid w:val="00FC0B3F"/>
    <w:rsid w:val="00FC0BDC"/>
    <w:rsid w:val="00FC0BF2"/>
    <w:rsid w:val="00FC0C75"/>
    <w:rsid w:val="00FC0CC6"/>
    <w:rsid w:val="00FC0CD3"/>
    <w:rsid w:val="00FC0D1F"/>
    <w:rsid w:val="00FC0D81"/>
    <w:rsid w:val="00FC0F6A"/>
    <w:rsid w:val="00FC101F"/>
    <w:rsid w:val="00FC1048"/>
    <w:rsid w:val="00FC104B"/>
    <w:rsid w:val="00FC1051"/>
    <w:rsid w:val="00FC1058"/>
    <w:rsid w:val="00FC10B6"/>
    <w:rsid w:val="00FC10B8"/>
    <w:rsid w:val="00FC10C3"/>
    <w:rsid w:val="00FC115A"/>
    <w:rsid w:val="00FC1184"/>
    <w:rsid w:val="00FC119E"/>
    <w:rsid w:val="00FC11BA"/>
    <w:rsid w:val="00FC125B"/>
    <w:rsid w:val="00FC1279"/>
    <w:rsid w:val="00FC138B"/>
    <w:rsid w:val="00FC13D3"/>
    <w:rsid w:val="00FC13DF"/>
    <w:rsid w:val="00FC13F2"/>
    <w:rsid w:val="00FC140B"/>
    <w:rsid w:val="00FC1452"/>
    <w:rsid w:val="00FC14AE"/>
    <w:rsid w:val="00FC1516"/>
    <w:rsid w:val="00FC15B3"/>
    <w:rsid w:val="00FC1610"/>
    <w:rsid w:val="00FC162A"/>
    <w:rsid w:val="00FC175C"/>
    <w:rsid w:val="00FC17EA"/>
    <w:rsid w:val="00FC17ED"/>
    <w:rsid w:val="00FC1819"/>
    <w:rsid w:val="00FC1826"/>
    <w:rsid w:val="00FC18A0"/>
    <w:rsid w:val="00FC18C7"/>
    <w:rsid w:val="00FC18CA"/>
    <w:rsid w:val="00FC196B"/>
    <w:rsid w:val="00FC19B3"/>
    <w:rsid w:val="00FC19E8"/>
    <w:rsid w:val="00FC1A06"/>
    <w:rsid w:val="00FC1ADB"/>
    <w:rsid w:val="00FC1B72"/>
    <w:rsid w:val="00FC1BB1"/>
    <w:rsid w:val="00FC1C8E"/>
    <w:rsid w:val="00FC1CDD"/>
    <w:rsid w:val="00FC1DB2"/>
    <w:rsid w:val="00FC1E40"/>
    <w:rsid w:val="00FC1E43"/>
    <w:rsid w:val="00FC1EFB"/>
    <w:rsid w:val="00FC1F5E"/>
    <w:rsid w:val="00FC1FC8"/>
    <w:rsid w:val="00FC2021"/>
    <w:rsid w:val="00FC2034"/>
    <w:rsid w:val="00FC2087"/>
    <w:rsid w:val="00FC2090"/>
    <w:rsid w:val="00FC2096"/>
    <w:rsid w:val="00FC20A8"/>
    <w:rsid w:val="00FC20B9"/>
    <w:rsid w:val="00FC20F4"/>
    <w:rsid w:val="00FC2199"/>
    <w:rsid w:val="00FC22BA"/>
    <w:rsid w:val="00FC233F"/>
    <w:rsid w:val="00FC242B"/>
    <w:rsid w:val="00FC2468"/>
    <w:rsid w:val="00FC2484"/>
    <w:rsid w:val="00FC248F"/>
    <w:rsid w:val="00FC24B3"/>
    <w:rsid w:val="00FC24EF"/>
    <w:rsid w:val="00FC24F2"/>
    <w:rsid w:val="00FC2508"/>
    <w:rsid w:val="00FC2579"/>
    <w:rsid w:val="00FC25B2"/>
    <w:rsid w:val="00FC25C4"/>
    <w:rsid w:val="00FC25C5"/>
    <w:rsid w:val="00FC2645"/>
    <w:rsid w:val="00FC2674"/>
    <w:rsid w:val="00FC26A5"/>
    <w:rsid w:val="00FC26AF"/>
    <w:rsid w:val="00FC26F6"/>
    <w:rsid w:val="00FC2725"/>
    <w:rsid w:val="00FC275E"/>
    <w:rsid w:val="00FC27CA"/>
    <w:rsid w:val="00FC28B4"/>
    <w:rsid w:val="00FC2918"/>
    <w:rsid w:val="00FC29B9"/>
    <w:rsid w:val="00FC29D6"/>
    <w:rsid w:val="00FC2A2F"/>
    <w:rsid w:val="00FC2A5F"/>
    <w:rsid w:val="00FC2A61"/>
    <w:rsid w:val="00FC2AA6"/>
    <w:rsid w:val="00FC2B01"/>
    <w:rsid w:val="00FC2B79"/>
    <w:rsid w:val="00FC2BA9"/>
    <w:rsid w:val="00FC2BB4"/>
    <w:rsid w:val="00FC2BBB"/>
    <w:rsid w:val="00FC2C7C"/>
    <w:rsid w:val="00FC2D1F"/>
    <w:rsid w:val="00FC2D28"/>
    <w:rsid w:val="00FC2D47"/>
    <w:rsid w:val="00FC2D8B"/>
    <w:rsid w:val="00FC2DD1"/>
    <w:rsid w:val="00FC2E05"/>
    <w:rsid w:val="00FC2E38"/>
    <w:rsid w:val="00FC2FD2"/>
    <w:rsid w:val="00FC308A"/>
    <w:rsid w:val="00FC30AB"/>
    <w:rsid w:val="00FC3197"/>
    <w:rsid w:val="00FC31D5"/>
    <w:rsid w:val="00FC31ED"/>
    <w:rsid w:val="00FC3239"/>
    <w:rsid w:val="00FC3247"/>
    <w:rsid w:val="00FC325D"/>
    <w:rsid w:val="00FC3260"/>
    <w:rsid w:val="00FC32BC"/>
    <w:rsid w:val="00FC32CF"/>
    <w:rsid w:val="00FC32D1"/>
    <w:rsid w:val="00FC339E"/>
    <w:rsid w:val="00FC33FF"/>
    <w:rsid w:val="00FC3418"/>
    <w:rsid w:val="00FC3462"/>
    <w:rsid w:val="00FC3502"/>
    <w:rsid w:val="00FC361F"/>
    <w:rsid w:val="00FC3644"/>
    <w:rsid w:val="00FC377B"/>
    <w:rsid w:val="00FC37CA"/>
    <w:rsid w:val="00FC3863"/>
    <w:rsid w:val="00FC38C4"/>
    <w:rsid w:val="00FC38CC"/>
    <w:rsid w:val="00FC38DC"/>
    <w:rsid w:val="00FC396C"/>
    <w:rsid w:val="00FC39AA"/>
    <w:rsid w:val="00FC3B48"/>
    <w:rsid w:val="00FC3B70"/>
    <w:rsid w:val="00FC3BB0"/>
    <w:rsid w:val="00FC3BCB"/>
    <w:rsid w:val="00FC3C19"/>
    <w:rsid w:val="00FC3C79"/>
    <w:rsid w:val="00FC3C89"/>
    <w:rsid w:val="00FC3D4A"/>
    <w:rsid w:val="00FC3DF1"/>
    <w:rsid w:val="00FC3E01"/>
    <w:rsid w:val="00FC3E27"/>
    <w:rsid w:val="00FC3E9F"/>
    <w:rsid w:val="00FC3EF2"/>
    <w:rsid w:val="00FC3F2B"/>
    <w:rsid w:val="00FC3FD9"/>
    <w:rsid w:val="00FC4087"/>
    <w:rsid w:val="00FC40A3"/>
    <w:rsid w:val="00FC413D"/>
    <w:rsid w:val="00FC417F"/>
    <w:rsid w:val="00FC4239"/>
    <w:rsid w:val="00FC42EE"/>
    <w:rsid w:val="00FC4439"/>
    <w:rsid w:val="00FC4494"/>
    <w:rsid w:val="00FC45F5"/>
    <w:rsid w:val="00FC4633"/>
    <w:rsid w:val="00FC4638"/>
    <w:rsid w:val="00FC4675"/>
    <w:rsid w:val="00FC4707"/>
    <w:rsid w:val="00FC4721"/>
    <w:rsid w:val="00FC4748"/>
    <w:rsid w:val="00FC4784"/>
    <w:rsid w:val="00FC4795"/>
    <w:rsid w:val="00FC47A4"/>
    <w:rsid w:val="00FC47A9"/>
    <w:rsid w:val="00FC47AC"/>
    <w:rsid w:val="00FC47E4"/>
    <w:rsid w:val="00FC47EF"/>
    <w:rsid w:val="00FC4852"/>
    <w:rsid w:val="00FC4877"/>
    <w:rsid w:val="00FC491F"/>
    <w:rsid w:val="00FC494A"/>
    <w:rsid w:val="00FC4968"/>
    <w:rsid w:val="00FC4978"/>
    <w:rsid w:val="00FC4ADE"/>
    <w:rsid w:val="00FC4B18"/>
    <w:rsid w:val="00FC4B1D"/>
    <w:rsid w:val="00FC4C72"/>
    <w:rsid w:val="00FC4CCE"/>
    <w:rsid w:val="00FC4CE4"/>
    <w:rsid w:val="00FC4D0E"/>
    <w:rsid w:val="00FC4D28"/>
    <w:rsid w:val="00FC4D51"/>
    <w:rsid w:val="00FC4E3F"/>
    <w:rsid w:val="00FC4E89"/>
    <w:rsid w:val="00FC4F0F"/>
    <w:rsid w:val="00FC4F50"/>
    <w:rsid w:val="00FC5022"/>
    <w:rsid w:val="00FC502D"/>
    <w:rsid w:val="00FC5049"/>
    <w:rsid w:val="00FC50D8"/>
    <w:rsid w:val="00FC51D5"/>
    <w:rsid w:val="00FC51D9"/>
    <w:rsid w:val="00FC5314"/>
    <w:rsid w:val="00FC536B"/>
    <w:rsid w:val="00FC54CE"/>
    <w:rsid w:val="00FC54DC"/>
    <w:rsid w:val="00FC556D"/>
    <w:rsid w:val="00FC558A"/>
    <w:rsid w:val="00FC5593"/>
    <w:rsid w:val="00FC55A3"/>
    <w:rsid w:val="00FC561B"/>
    <w:rsid w:val="00FC5660"/>
    <w:rsid w:val="00FC56AC"/>
    <w:rsid w:val="00FC570B"/>
    <w:rsid w:val="00FC5716"/>
    <w:rsid w:val="00FC57F2"/>
    <w:rsid w:val="00FC5805"/>
    <w:rsid w:val="00FC59E4"/>
    <w:rsid w:val="00FC5A42"/>
    <w:rsid w:val="00FC5AAC"/>
    <w:rsid w:val="00FC5B39"/>
    <w:rsid w:val="00FC5BBD"/>
    <w:rsid w:val="00FC5C61"/>
    <w:rsid w:val="00FC5C9C"/>
    <w:rsid w:val="00FC5CC8"/>
    <w:rsid w:val="00FC5CE2"/>
    <w:rsid w:val="00FC5E03"/>
    <w:rsid w:val="00FC5E23"/>
    <w:rsid w:val="00FC5EE3"/>
    <w:rsid w:val="00FC5F68"/>
    <w:rsid w:val="00FC5FC5"/>
    <w:rsid w:val="00FC5FED"/>
    <w:rsid w:val="00FC6007"/>
    <w:rsid w:val="00FC602F"/>
    <w:rsid w:val="00FC608E"/>
    <w:rsid w:val="00FC61B9"/>
    <w:rsid w:val="00FC61F9"/>
    <w:rsid w:val="00FC62F9"/>
    <w:rsid w:val="00FC62FB"/>
    <w:rsid w:val="00FC6436"/>
    <w:rsid w:val="00FC6483"/>
    <w:rsid w:val="00FC64AB"/>
    <w:rsid w:val="00FC6512"/>
    <w:rsid w:val="00FC655D"/>
    <w:rsid w:val="00FC6675"/>
    <w:rsid w:val="00FC6851"/>
    <w:rsid w:val="00FC6871"/>
    <w:rsid w:val="00FC6982"/>
    <w:rsid w:val="00FC69E5"/>
    <w:rsid w:val="00FC6A86"/>
    <w:rsid w:val="00FC6BB5"/>
    <w:rsid w:val="00FC6BFF"/>
    <w:rsid w:val="00FC6C69"/>
    <w:rsid w:val="00FC6C90"/>
    <w:rsid w:val="00FC6C93"/>
    <w:rsid w:val="00FC6CED"/>
    <w:rsid w:val="00FC6D09"/>
    <w:rsid w:val="00FC6E1F"/>
    <w:rsid w:val="00FC6E79"/>
    <w:rsid w:val="00FC6E90"/>
    <w:rsid w:val="00FC6EC7"/>
    <w:rsid w:val="00FC6F84"/>
    <w:rsid w:val="00FC6FBB"/>
    <w:rsid w:val="00FC709F"/>
    <w:rsid w:val="00FC70B5"/>
    <w:rsid w:val="00FC710B"/>
    <w:rsid w:val="00FC717C"/>
    <w:rsid w:val="00FC7208"/>
    <w:rsid w:val="00FC72B3"/>
    <w:rsid w:val="00FC7330"/>
    <w:rsid w:val="00FC733D"/>
    <w:rsid w:val="00FC7423"/>
    <w:rsid w:val="00FC74C2"/>
    <w:rsid w:val="00FC74DA"/>
    <w:rsid w:val="00FC75B8"/>
    <w:rsid w:val="00FC7618"/>
    <w:rsid w:val="00FC763E"/>
    <w:rsid w:val="00FC76F5"/>
    <w:rsid w:val="00FC7746"/>
    <w:rsid w:val="00FC777B"/>
    <w:rsid w:val="00FC780B"/>
    <w:rsid w:val="00FC787E"/>
    <w:rsid w:val="00FC78F5"/>
    <w:rsid w:val="00FC7902"/>
    <w:rsid w:val="00FC7942"/>
    <w:rsid w:val="00FC7950"/>
    <w:rsid w:val="00FC7A04"/>
    <w:rsid w:val="00FC7A2D"/>
    <w:rsid w:val="00FC7AB8"/>
    <w:rsid w:val="00FC7B06"/>
    <w:rsid w:val="00FC7B51"/>
    <w:rsid w:val="00FC7B89"/>
    <w:rsid w:val="00FC7B9C"/>
    <w:rsid w:val="00FC7CDC"/>
    <w:rsid w:val="00FC7CED"/>
    <w:rsid w:val="00FC7D5B"/>
    <w:rsid w:val="00FC7D88"/>
    <w:rsid w:val="00FC7DEE"/>
    <w:rsid w:val="00FC7E1D"/>
    <w:rsid w:val="00FC7EDB"/>
    <w:rsid w:val="00FC7F63"/>
    <w:rsid w:val="00FD002A"/>
    <w:rsid w:val="00FD002D"/>
    <w:rsid w:val="00FD0034"/>
    <w:rsid w:val="00FD003B"/>
    <w:rsid w:val="00FD020B"/>
    <w:rsid w:val="00FD021F"/>
    <w:rsid w:val="00FD0290"/>
    <w:rsid w:val="00FD029C"/>
    <w:rsid w:val="00FD02BA"/>
    <w:rsid w:val="00FD031F"/>
    <w:rsid w:val="00FD0349"/>
    <w:rsid w:val="00FD0398"/>
    <w:rsid w:val="00FD03E9"/>
    <w:rsid w:val="00FD042C"/>
    <w:rsid w:val="00FD0474"/>
    <w:rsid w:val="00FD0478"/>
    <w:rsid w:val="00FD049B"/>
    <w:rsid w:val="00FD04A7"/>
    <w:rsid w:val="00FD04D5"/>
    <w:rsid w:val="00FD0507"/>
    <w:rsid w:val="00FD052A"/>
    <w:rsid w:val="00FD0570"/>
    <w:rsid w:val="00FD05A6"/>
    <w:rsid w:val="00FD05E4"/>
    <w:rsid w:val="00FD0763"/>
    <w:rsid w:val="00FD0783"/>
    <w:rsid w:val="00FD07D7"/>
    <w:rsid w:val="00FD0841"/>
    <w:rsid w:val="00FD0877"/>
    <w:rsid w:val="00FD0894"/>
    <w:rsid w:val="00FD08C8"/>
    <w:rsid w:val="00FD08D7"/>
    <w:rsid w:val="00FD093C"/>
    <w:rsid w:val="00FD094A"/>
    <w:rsid w:val="00FD0989"/>
    <w:rsid w:val="00FD0BF9"/>
    <w:rsid w:val="00FD0C0E"/>
    <w:rsid w:val="00FD0C14"/>
    <w:rsid w:val="00FD0C5D"/>
    <w:rsid w:val="00FD0C83"/>
    <w:rsid w:val="00FD0CC6"/>
    <w:rsid w:val="00FD0CEA"/>
    <w:rsid w:val="00FD0D4A"/>
    <w:rsid w:val="00FD0D7D"/>
    <w:rsid w:val="00FD0DF0"/>
    <w:rsid w:val="00FD0E28"/>
    <w:rsid w:val="00FD0EB8"/>
    <w:rsid w:val="00FD0F76"/>
    <w:rsid w:val="00FD0F9A"/>
    <w:rsid w:val="00FD1063"/>
    <w:rsid w:val="00FD1195"/>
    <w:rsid w:val="00FD1285"/>
    <w:rsid w:val="00FD12CD"/>
    <w:rsid w:val="00FD12D4"/>
    <w:rsid w:val="00FD12FE"/>
    <w:rsid w:val="00FD144C"/>
    <w:rsid w:val="00FD1450"/>
    <w:rsid w:val="00FD14D9"/>
    <w:rsid w:val="00FD1570"/>
    <w:rsid w:val="00FD15CB"/>
    <w:rsid w:val="00FD15FF"/>
    <w:rsid w:val="00FD161A"/>
    <w:rsid w:val="00FD1740"/>
    <w:rsid w:val="00FD1767"/>
    <w:rsid w:val="00FD1970"/>
    <w:rsid w:val="00FD19C6"/>
    <w:rsid w:val="00FD19C7"/>
    <w:rsid w:val="00FD1AB7"/>
    <w:rsid w:val="00FD1B26"/>
    <w:rsid w:val="00FD1B8A"/>
    <w:rsid w:val="00FD1BEF"/>
    <w:rsid w:val="00FD1C1E"/>
    <w:rsid w:val="00FD1C8C"/>
    <w:rsid w:val="00FD1D00"/>
    <w:rsid w:val="00FD1D02"/>
    <w:rsid w:val="00FD1D71"/>
    <w:rsid w:val="00FD1DD1"/>
    <w:rsid w:val="00FD1E2E"/>
    <w:rsid w:val="00FD1EA3"/>
    <w:rsid w:val="00FD1F0A"/>
    <w:rsid w:val="00FD1F16"/>
    <w:rsid w:val="00FD1F51"/>
    <w:rsid w:val="00FD1F8E"/>
    <w:rsid w:val="00FD206B"/>
    <w:rsid w:val="00FD206F"/>
    <w:rsid w:val="00FD2119"/>
    <w:rsid w:val="00FD2157"/>
    <w:rsid w:val="00FD21C0"/>
    <w:rsid w:val="00FD2202"/>
    <w:rsid w:val="00FD2285"/>
    <w:rsid w:val="00FD233E"/>
    <w:rsid w:val="00FD239B"/>
    <w:rsid w:val="00FD23BA"/>
    <w:rsid w:val="00FD246B"/>
    <w:rsid w:val="00FD247B"/>
    <w:rsid w:val="00FD24D3"/>
    <w:rsid w:val="00FD2505"/>
    <w:rsid w:val="00FD2587"/>
    <w:rsid w:val="00FD25AE"/>
    <w:rsid w:val="00FD26BF"/>
    <w:rsid w:val="00FD26DC"/>
    <w:rsid w:val="00FD270D"/>
    <w:rsid w:val="00FD2720"/>
    <w:rsid w:val="00FD272C"/>
    <w:rsid w:val="00FD2730"/>
    <w:rsid w:val="00FD283F"/>
    <w:rsid w:val="00FD2917"/>
    <w:rsid w:val="00FD29AD"/>
    <w:rsid w:val="00FD2AFD"/>
    <w:rsid w:val="00FD2B3D"/>
    <w:rsid w:val="00FD2B8B"/>
    <w:rsid w:val="00FD2BB5"/>
    <w:rsid w:val="00FD2C0D"/>
    <w:rsid w:val="00FD2C61"/>
    <w:rsid w:val="00FD2C74"/>
    <w:rsid w:val="00FD2CAE"/>
    <w:rsid w:val="00FD2E6A"/>
    <w:rsid w:val="00FD2EDD"/>
    <w:rsid w:val="00FD2EFA"/>
    <w:rsid w:val="00FD2F25"/>
    <w:rsid w:val="00FD2F70"/>
    <w:rsid w:val="00FD2FE3"/>
    <w:rsid w:val="00FD305F"/>
    <w:rsid w:val="00FD31A8"/>
    <w:rsid w:val="00FD3239"/>
    <w:rsid w:val="00FD323F"/>
    <w:rsid w:val="00FD324B"/>
    <w:rsid w:val="00FD3306"/>
    <w:rsid w:val="00FD33BC"/>
    <w:rsid w:val="00FD33C5"/>
    <w:rsid w:val="00FD33D1"/>
    <w:rsid w:val="00FD34E6"/>
    <w:rsid w:val="00FD3512"/>
    <w:rsid w:val="00FD3573"/>
    <w:rsid w:val="00FD35DF"/>
    <w:rsid w:val="00FD3642"/>
    <w:rsid w:val="00FD3662"/>
    <w:rsid w:val="00FD366A"/>
    <w:rsid w:val="00FD36B1"/>
    <w:rsid w:val="00FD36BD"/>
    <w:rsid w:val="00FD3730"/>
    <w:rsid w:val="00FD3750"/>
    <w:rsid w:val="00FD37A2"/>
    <w:rsid w:val="00FD37BA"/>
    <w:rsid w:val="00FD37C1"/>
    <w:rsid w:val="00FD38EA"/>
    <w:rsid w:val="00FD39B2"/>
    <w:rsid w:val="00FD3A33"/>
    <w:rsid w:val="00FD3B36"/>
    <w:rsid w:val="00FD3B77"/>
    <w:rsid w:val="00FD3B99"/>
    <w:rsid w:val="00FD3C33"/>
    <w:rsid w:val="00FD3C40"/>
    <w:rsid w:val="00FD3C79"/>
    <w:rsid w:val="00FD3C84"/>
    <w:rsid w:val="00FD3CFD"/>
    <w:rsid w:val="00FD3D1F"/>
    <w:rsid w:val="00FD3D2E"/>
    <w:rsid w:val="00FD3D62"/>
    <w:rsid w:val="00FD3DA3"/>
    <w:rsid w:val="00FD3DB2"/>
    <w:rsid w:val="00FD3DD1"/>
    <w:rsid w:val="00FD3EA8"/>
    <w:rsid w:val="00FD3F58"/>
    <w:rsid w:val="00FD3F66"/>
    <w:rsid w:val="00FD3FD5"/>
    <w:rsid w:val="00FD3FE4"/>
    <w:rsid w:val="00FD3FF7"/>
    <w:rsid w:val="00FD4039"/>
    <w:rsid w:val="00FD4064"/>
    <w:rsid w:val="00FD40D4"/>
    <w:rsid w:val="00FD412D"/>
    <w:rsid w:val="00FD422F"/>
    <w:rsid w:val="00FD425D"/>
    <w:rsid w:val="00FD42FD"/>
    <w:rsid w:val="00FD4335"/>
    <w:rsid w:val="00FD4336"/>
    <w:rsid w:val="00FD440E"/>
    <w:rsid w:val="00FD4445"/>
    <w:rsid w:val="00FD4449"/>
    <w:rsid w:val="00FD4474"/>
    <w:rsid w:val="00FD457E"/>
    <w:rsid w:val="00FD4591"/>
    <w:rsid w:val="00FD45A1"/>
    <w:rsid w:val="00FD4665"/>
    <w:rsid w:val="00FD469C"/>
    <w:rsid w:val="00FD4726"/>
    <w:rsid w:val="00FD47E5"/>
    <w:rsid w:val="00FD4847"/>
    <w:rsid w:val="00FD484C"/>
    <w:rsid w:val="00FD4915"/>
    <w:rsid w:val="00FD4928"/>
    <w:rsid w:val="00FD4944"/>
    <w:rsid w:val="00FD4990"/>
    <w:rsid w:val="00FD4991"/>
    <w:rsid w:val="00FD49C1"/>
    <w:rsid w:val="00FD49D2"/>
    <w:rsid w:val="00FD49D4"/>
    <w:rsid w:val="00FD4A99"/>
    <w:rsid w:val="00FD4AA1"/>
    <w:rsid w:val="00FD4AD6"/>
    <w:rsid w:val="00FD4ADC"/>
    <w:rsid w:val="00FD4AFC"/>
    <w:rsid w:val="00FD4B6B"/>
    <w:rsid w:val="00FD4B8B"/>
    <w:rsid w:val="00FD4CCB"/>
    <w:rsid w:val="00FD4CDF"/>
    <w:rsid w:val="00FD4CF4"/>
    <w:rsid w:val="00FD4D01"/>
    <w:rsid w:val="00FD4D03"/>
    <w:rsid w:val="00FD4DA7"/>
    <w:rsid w:val="00FD4DD5"/>
    <w:rsid w:val="00FD4E1B"/>
    <w:rsid w:val="00FD4E56"/>
    <w:rsid w:val="00FD4EC3"/>
    <w:rsid w:val="00FD4F38"/>
    <w:rsid w:val="00FD4F7E"/>
    <w:rsid w:val="00FD501D"/>
    <w:rsid w:val="00FD5053"/>
    <w:rsid w:val="00FD505C"/>
    <w:rsid w:val="00FD5076"/>
    <w:rsid w:val="00FD508D"/>
    <w:rsid w:val="00FD50DE"/>
    <w:rsid w:val="00FD5127"/>
    <w:rsid w:val="00FD5129"/>
    <w:rsid w:val="00FD517A"/>
    <w:rsid w:val="00FD51EB"/>
    <w:rsid w:val="00FD524B"/>
    <w:rsid w:val="00FD526E"/>
    <w:rsid w:val="00FD52EC"/>
    <w:rsid w:val="00FD53C1"/>
    <w:rsid w:val="00FD5421"/>
    <w:rsid w:val="00FD5551"/>
    <w:rsid w:val="00FD5636"/>
    <w:rsid w:val="00FD56B5"/>
    <w:rsid w:val="00FD56D7"/>
    <w:rsid w:val="00FD56E5"/>
    <w:rsid w:val="00FD5729"/>
    <w:rsid w:val="00FD572B"/>
    <w:rsid w:val="00FD5760"/>
    <w:rsid w:val="00FD587F"/>
    <w:rsid w:val="00FD58ED"/>
    <w:rsid w:val="00FD5957"/>
    <w:rsid w:val="00FD5958"/>
    <w:rsid w:val="00FD5967"/>
    <w:rsid w:val="00FD5A1F"/>
    <w:rsid w:val="00FD5BCB"/>
    <w:rsid w:val="00FD5C23"/>
    <w:rsid w:val="00FD5DCE"/>
    <w:rsid w:val="00FD5E2D"/>
    <w:rsid w:val="00FD5E7A"/>
    <w:rsid w:val="00FD5F2D"/>
    <w:rsid w:val="00FD5F77"/>
    <w:rsid w:val="00FD5F89"/>
    <w:rsid w:val="00FD5FE9"/>
    <w:rsid w:val="00FD600D"/>
    <w:rsid w:val="00FD602E"/>
    <w:rsid w:val="00FD6054"/>
    <w:rsid w:val="00FD6144"/>
    <w:rsid w:val="00FD6172"/>
    <w:rsid w:val="00FD61F1"/>
    <w:rsid w:val="00FD621B"/>
    <w:rsid w:val="00FD6360"/>
    <w:rsid w:val="00FD6370"/>
    <w:rsid w:val="00FD63A4"/>
    <w:rsid w:val="00FD63C0"/>
    <w:rsid w:val="00FD6405"/>
    <w:rsid w:val="00FD6423"/>
    <w:rsid w:val="00FD6442"/>
    <w:rsid w:val="00FD6491"/>
    <w:rsid w:val="00FD649B"/>
    <w:rsid w:val="00FD6509"/>
    <w:rsid w:val="00FD66E7"/>
    <w:rsid w:val="00FD671B"/>
    <w:rsid w:val="00FD681F"/>
    <w:rsid w:val="00FD684B"/>
    <w:rsid w:val="00FD6875"/>
    <w:rsid w:val="00FD689B"/>
    <w:rsid w:val="00FD69B1"/>
    <w:rsid w:val="00FD6AA5"/>
    <w:rsid w:val="00FD6AAD"/>
    <w:rsid w:val="00FD6AFD"/>
    <w:rsid w:val="00FD6C71"/>
    <w:rsid w:val="00FD6C8D"/>
    <w:rsid w:val="00FD6CD9"/>
    <w:rsid w:val="00FD6D12"/>
    <w:rsid w:val="00FD6D2D"/>
    <w:rsid w:val="00FD6F74"/>
    <w:rsid w:val="00FD6F82"/>
    <w:rsid w:val="00FD6FE7"/>
    <w:rsid w:val="00FD707B"/>
    <w:rsid w:val="00FD708F"/>
    <w:rsid w:val="00FD70E4"/>
    <w:rsid w:val="00FD7194"/>
    <w:rsid w:val="00FD7200"/>
    <w:rsid w:val="00FD721D"/>
    <w:rsid w:val="00FD72E8"/>
    <w:rsid w:val="00FD72F0"/>
    <w:rsid w:val="00FD7311"/>
    <w:rsid w:val="00FD7386"/>
    <w:rsid w:val="00FD74E9"/>
    <w:rsid w:val="00FD750E"/>
    <w:rsid w:val="00FD7613"/>
    <w:rsid w:val="00FD766D"/>
    <w:rsid w:val="00FD769E"/>
    <w:rsid w:val="00FD7747"/>
    <w:rsid w:val="00FD778B"/>
    <w:rsid w:val="00FD77AD"/>
    <w:rsid w:val="00FD77D1"/>
    <w:rsid w:val="00FD77EC"/>
    <w:rsid w:val="00FD7854"/>
    <w:rsid w:val="00FD785F"/>
    <w:rsid w:val="00FD786C"/>
    <w:rsid w:val="00FD78B6"/>
    <w:rsid w:val="00FD78BF"/>
    <w:rsid w:val="00FD7916"/>
    <w:rsid w:val="00FD793E"/>
    <w:rsid w:val="00FD79CC"/>
    <w:rsid w:val="00FD7A63"/>
    <w:rsid w:val="00FD7A77"/>
    <w:rsid w:val="00FD7A8A"/>
    <w:rsid w:val="00FD7AB0"/>
    <w:rsid w:val="00FD7AC9"/>
    <w:rsid w:val="00FD7B2D"/>
    <w:rsid w:val="00FD7C63"/>
    <w:rsid w:val="00FD7D17"/>
    <w:rsid w:val="00FD7D9A"/>
    <w:rsid w:val="00FD7DCD"/>
    <w:rsid w:val="00FD7E00"/>
    <w:rsid w:val="00FD7E93"/>
    <w:rsid w:val="00FD7EAB"/>
    <w:rsid w:val="00FD7EC9"/>
    <w:rsid w:val="00FD7F1A"/>
    <w:rsid w:val="00FD7F25"/>
    <w:rsid w:val="00FD7F3A"/>
    <w:rsid w:val="00FD7FAF"/>
    <w:rsid w:val="00FE0064"/>
    <w:rsid w:val="00FE009D"/>
    <w:rsid w:val="00FE00AD"/>
    <w:rsid w:val="00FE00C9"/>
    <w:rsid w:val="00FE00EF"/>
    <w:rsid w:val="00FE00F5"/>
    <w:rsid w:val="00FE01BF"/>
    <w:rsid w:val="00FE020D"/>
    <w:rsid w:val="00FE02DE"/>
    <w:rsid w:val="00FE0324"/>
    <w:rsid w:val="00FE038E"/>
    <w:rsid w:val="00FE039B"/>
    <w:rsid w:val="00FE0414"/>
    <w:rsid w:val="00FE0416"/>
    <w:rsid w:val="00FE0677"/>
    <w:rsid w:val="00FE0789"/>
    <w:rsid w:val="00FE07BC"/>
    <w:rsid w:val="00FE07C0"/>
    <w:rsid w:val="00FE087B"/>
    <w:rsid w:val="00FE08F1"/>
    <w:rsid w:val="00FE08F7"/>
    <w:rsid w:val="00FE0940"/>
    <w:rsid w:val="00FE0962"/>
    <w:rsid w:val="00FE09C5"/>
    <w:rsid w:val="00FE0A12"/>
    <w:rsid w:val="00FE0A86"/>
    <w:rsid w:val="00FE0A8E"/>
    <w:rsid w:val="00FE0AB5"/>
    <w:rsid w:val="00FE0AFF"/>
    <w:rsid w:val="00FE0B77"/>
    <w:rsid w:val="00FE0BA8"/>
    <w:rsid w:val="00FE0BEF"/>
    <w:rsid w:val="00FE0C6B"/>
    <w:rsid w:val="00FE0C87"/>
    <w:rsid w:val="00FE0D07"/>
    <w:rsid w:val="00FE0E21"/>
    <w:rsid w:val="00FE0E40"/>
    <w:rsid w:val="00FE0E7E"/>
    <w:rsid w:val="00FE0E94"/>
    <w:rsid w:val="00FE0EFD"/>
    <w:rsid w:val="00FE0F23"/>
    <w:rsid w:val="00FE0F42"/>
    <w:rsid w:val="00FE0F88"/>
    <w:rsid w:val="00FE0FE9"/>
    <w:rsid w:val="00FE0FFF"/>
    <w:rsid w:val="00FE1037"/>
    <w:rsid w:val="00FE1048"/>
    <w:rsid w:val="00FE105C"/>
    <w:rsid w:val="00FE105F"/>
    <w:rsid w:val="00FE10B4"/>
    <w:rsid w:val="00FE10BC"/>
    <w:rsid w:val="00FE1141"/>
    <w:rsid w:val="00FE11A0"/>
    <w:rsid w:val="00FE11BD"/>
    <w:rsid w:val="00FE11EB"/>
    <w:rsid w:val="00FE1206"/>
    <w:rsid w:val="00FE1290"/>
    <w:rsid w:val="00FE1292"/>
    <w:rsid w:val="00FE12A0"/>
    <w:rsid w:val="00FE12D1"/>
    <w:rsid w:val="00FE12DA"/>
    <w:rsid w:val="00FE12FC"/>
    <w:rsid w:val="00FE13B7"/>
    <w:rsid w:val="00FE13B9"/>
    <w:rsid w:val="00FE13BC"/>
    <w:rsid w:val="00FE140D"/>
    <w:rsid w:val="00FE141E"/>
    <w:rsid w:val="00FE1514"/>
    <w:rsid w:val="00FE167B"/>
    <w:rsid w:val="00FE16AB"/>
    <w:rsid w:val="00FE16B5"/>
    <w:rsid w:val="00FE17F1"/>
    <w:rsid w:val="00FE182D"/>
    <w:rsid w:val="00FE1873"/>
    <w:rsid w:val="00FE1898"/>
    <w:rsid w:val="00FE1975"/>
    <w:rsid w:val="00FE19EB"/>
    <w:rsid w:val="00FE19F0"/>
    <w:rsid w:val="00FE1B42"/>
    <w:rsid w:val="00FE1B78"/>
    <w:rsid w:val="00FE1BAD"/>
    <w:rsid w:val="00FE1C69"/>
    <w:rsid w:val="00FE1CC0"/>
    <w:rsid w:val="00FE1CCB"/>
    <w:rsid w:val="00FE1D4D"/>
    <w:rsid w:val="00FE1E68"/>
    <w:rsid w:val="00FE1F27"/>
    <w:rsid w:val="00FE1F5A"/>
    <w:rsid w:val="00FE1FDB"/>
    <w:rsid w:val="00FE1FDE"/>
    <w:rsid w:val="00FE1FEF"/>
    <w:rsid w:val="00FE2031"/>
    <w:rsid w:val="00FE20C2"/>
    <w:rsid w:val="00FE20DB"/>
    <w:rsid w:val="00FE212F"/>
    <w:rsid w:val="00FE2131"/>
    <w:rsid w:val="00FE21F0"/>
    <w:rsid w:val="00FE22C4"/>
    <w:rsid w:val="00FE2403"/>
    <w:rsid w:val="00FE2429"/>
    <w:rsid w:val="00FE24FE"/>
    <w:rsid w:val="00FE2500"/>
    <w:rsid w:val="00FE254C"/>
    <w:rsid w:val="00FE2578"/>
    <w:rsid w:val="00FE269D"/>
    <w:rsid w:val="00FE280F"/>
    <w:rsid w:val="00FE286B"/>
    <w:rsid w:val="00FE28CE"/>
    <w:rsid w:val="00FE28E9"/>
    <w:rsid w:val="00FE2924"/>
    <w:rsid w:val="00FE2964"/>
    <w:rsid w:val="00FE29F9"/>
    <w:rsid w:val="00FE2A06"/>
    <w:rsid w:val="00FE2B7F"/>
    <w:rsid w:val="00FE2BC0"/>
    <w:rsid w:val="00FE2BD6"/>
    <w:rsid w:val="00FE2C03"/>
    <w:rsid w:val="00FE2C4B"/>
    <w:rsid w:val="00FE2C92"/>
    <w:rsid w:val="00FE2CE1"/>
    <w:rsid w:val="00FE2D37"/>
    <w:rsid w:val="00FE2D77"/>
    <w:rsid w:val="00FE2DBC"/>
    <w:rsid w:val="00FE2DD2"/>
    <w:rsid w:val="00FE2E0A"/>
    <w:rsid w:val="00FE2E6B"/>
    <w:rsid w:val="00FE2EE3"/>
    <w:rsid w:val="00FE2EEA"/>
    <w:rsid w:val="00FE2F28"/>
    <w:rsid w:val="00FE300E"/>
    <w:rsid w:val="00FE3054"/>
    <w:rsid w:val="00FE3064"/>
    <w:rsid w:val="00FE30AA"/>
    <w:rsid w:val="00FE3137"/>
    <w:rsid w:val="00FE31EF"/>
    <w:rsid w:val="00FE329D"/>
    <w:rsid w:val="00FE32F8"/>
    <w:rsid w:val="00FE3322"/>
    <w:rsid w:val="00FE339D"/>
    <w:rsid w:val="00FE33DF"/>
    <w:rsid w:val="00FE33F3"/>
    <w:rsid w:val="00FE342E"/>
    <w:rsid w:val="00FE346B"/>
    <w:rsid w:val="00FE34F1"/>
    <w:rsid w:val="00FE354E"/>
    <w:rsid w:val="00FE3820"/>
    <w:rsid w:val="00FE3830"/>
    <w:rsid w:val="00FE3839"/>
    <w:rsid w:val="00FE38D0"/>
    <w:rsid w:val="00FE396D"/>
    <w:rsid w:val="00FE39AF"/>
    <w:rsid w:val="00FE3A78"/>
    <w:rsid w:val="00FE3A8C"/>
    <w:rsid w:val="00FE3B1E"/>
    <w:rsid w:val="00FE3B38"/>
    <w:rsid w:val="00FE3BB4"/>
    <w:rsid w:val="00FE3CAE"/>
    <w:rsid w:val="00FE3D43"/>
    <w:rsid w:val="00FE3EA7"/>
    <w:rsid w:val="00FE3F09"/>
    <w:rsid w:val="00FE3FBC"/>
    <w:rsid w:val="00FE40DD"/>
    <w:rsid w:val="00FE40F4"/>
    <w:rsid w:val="00FE40FE"/>
    <w:rsid w:val="00FE4113"/>
    <w:rsid w:val="00FE4145"/>
    <w:rsid w:val="00FE4157"/>
    <w:rsid w:val="00FE4275"/>
    <w:rsid w:val="00FE428A"/>
    <w:rsid w:val="00FE42BF"/>
    <w:rsid w:val="00FE42EA"/>
    <w:rsid w:val="00FE4343"/>
    <w:rsid w:val="00FE43B6"/>
    <w:rsid w:val="00FE4439"/>
    <w:rsid w:val="00FE4490"/>
    <w:rsid w:val="00FE44CB"/>
    <w:rsid w:val="00FE44E8"/>
    <w:rsid w:val="00FE451D"/>
    <w:rsid w:val="00FE45AD"/>
    <w:rsid w:val="00FE4625"/>
    <w:rsid w:val="00FE4632"/>
    <w:rsid w:val="00FE46A7"/>
    <w:rsid w:val="00FE46B5"/>
    <w:rsid w:val="00FE46C3"/>
    <w:rsid w:val="00FE4705"/>
    <w:rsid w:val="00FE470F"/>
    <w:rsid w:val="00FE4739"/>
    <w:rsid w:val="00FE4790"/>
    <w:rsid w:val="00FE4886"/>
    <w:rsid w:val="00FE489D"/>
    <w:rsid w:val="00FE496B"/>
    <w:rsid w:val="00FE4A80"/>
    <w:rsid w:val="00FE4A95"/>
    <w:rsid w:val="00FE4AAD"/>
    <w:rsid w:val="00FE4ACB"/>
    <w:rsid w:val="00FE4B37"/>
    <w:rsid w:val="00FE4B6D"/>
    <w:rsid w:val="00FE4BA9"/>
    <w:rsid w:val="00FE4BF8"/>
    <w:rsid w:val="00FE4C08"/>
    <w:rsid w:val="00FE4C69"/>
    <w:rsid w:val="00FE4F1F"/>
    <w:rsid w:val="00FE4F2B"/>
    <w:rsid w:val="00FE4F76"/>
    <w:rsid w:val="00FE4F7F"/>
    <w:rsid w:val="00FE5156"/>
    <w:rsid w:val="00FE51AF"/>
    <w:rsid w:val="00FE5218"/>
    <w:rsid w:val="00FE52BB"/>
    <w:rsid w:val="00FE52C1"/>
    <w:rsid w:val="00FE52EA"/>
    <w:rsid w:val="00FE5308"/>
    <w:rsid w:val="00FE5362"/>
    <w:rsid w:val="00FE538C"/>
    <w:rsid w:val="00FE53CB"/>
    <w:rsid w:val="00FE53D3"/>
    <w:rsid w:val="00FE53D7"/>
    <w:rsid w:val="00FE5433"/>
    <w:rsid w:val="00FE548C"/>
    <w:rsid w:val="00FE552C"/>
    <w:rsid w:val="00FE5543"/>
    <w:rsid w:val="00FE5587"/>
    <w:rsid w:val="00FE5598"/>
    <w:rsid w:val="00FE55BC"/>
    <w:rsid w:val="00FE55E9"/>
    <w:rsid w:val="00FE5619"/>
    <w:rsid w:val="00FE5645"/>
    <w:rsid w:val="00FE56A2"/>
    <w:rsid w:val="00FE5790"/>
    <w:rsid w:val="00FE57DD"/>
    <w:rsid w:val="00FE5884"/>
    <w:rsid w:val="00FE5984"/>
    <w:rsid w:val="00FE5999"/>
    <w:rsid w:val="00FE59E2"/>
    <w:rsid w:val="00FE59FD"/>
    <w:rsid w:val="00FE5A0E"/>
    <w:rsid w:val="00FE5B19"/>
    <w:rsid w:val="00FE5B53"/>
    <w:rsid w:val="00FE5BDF"/>
    <w:rsid w:val="00FE5C07"/>
    <w:rsid w:val="00FE5D00"/>
    <w:rsid w:val="00FE5D10"/>
    <w:rsid w:val="00FE5D4B"/>
    <w:rsid w:val="00FE5DEF"/>
    <w:rsid w:val="00FE5E15"/>
    <w:rsid w:val="00FE5E6A"/>
    <w:rsid w:val="00FE5F0F"/>
    <w:rsid w:val="00FE5F5B"/>
    <w:rsid w:val="00FE5FA9"/>
    <w:rsid w:val="00FE5FB2"/>
    <w:rsid w:val="00FE5FD6"/>
    <w:rsid w:val="00FE60A1"/>
    <w:rsid w:val="00FE60BB"/>
    <w:rsid w:val="00FE60DD"/>
    <w:rsid w:val="00FE6115"/>
    <w:rsid w:val="00FE6124"/>
    <w:rsid w:val="00FE61B3"/>
    <w:rsid w:val="00FE61BD"/>
    <w:rsid w:val="00FE61D6"/>
    <w:rsid w:val="00FE6231"/>
    <w:rsid w:val="00FE6282"/>
    <w:rsid w:val="00FE6291"/>
    <w:rsid w:val="00FE629F"/>
    <w:rsid w:val="00FE62EA"/>
    <w:rsid w:val="00FE63BC"/>
    <w:rsid w:val="00FE63BF"/>
    <w:rsid w:val="00FE648E"/>
    <w:rsid w:val="00FE64DD"/>
    <w:rsid w:val="00FE650A"/>
    <w:rsid w:val="00FE65D6"/>
    <w:rsid w:val="00FE66D4"/>
    <w:rsid w:val="00FE66FF"/>
    <w:rsid w:val="00FE6723"/>
    <w:rsid w:val="00FE6733"/>
    <w:rsid w:val="00FE6740"/>
    <w:rsid w:val="00FE6793"/>
    <w:rsid w:val="00FE6862"/>
    <w:rsid w:val="00FE6881"/>
    <w:rsid w:val="00FE68ED"/>
    <w:rsid w:val="00FE692E"/>
    <w:rsid w:val="00FE6AB8"/>
    <w:rsid w:val="00FE6B83"/>
    <w:rsid w:val="00FE6B91"/>
    <w:rsid w:val="00FE6C35"/>
    <w:rsid w:val="00FE6C41"/>
    <w:rsid w:val="00FE6C90"/>
    <w:rsid w:val="00FE6D5A"/>
    <w:rsid w:val="00FE6D8C"/>
    <w:rsid w:val="00FE6DB7"/>
    <w:rsid w:val="00FE6E78"/>
    <w:rsid w:val="00FE6EFF"/>
    <w:rsid w:val="00FE6F4E"/>
    <w:rsid w:val="00FE7003"/>
    <w:rsid w:val="00FE70BE"/>
    <w:rsid w:val="00FE70DC"/>
    <w:rsid w:val="00FE711D"/>
    <w:rsid w:val="00FE7126"/>
    <w:rsid w:val="00FE7164"/>
    <w:rsid w:val="00FE71E7"/>
    <w:rsid w:val="00FE72AB"/>
    <w:rsid w:val="00FE7330"/>
    <w:rsid w:val="00FE74C3"/>
    <w:rsid w:val="00FE75F8"/>
    <w:rsid w:val="00FE764D"/>
    <w:rsid w:val="00FE7722"/>
    <w:rsid w:val="00FE773A"/>
    <w:rsid w:val="00FE77FF"/>
    <w:rsid w:val="00FE781E"/>
    <w:rsid w:val="00FE7846"/>
    <w:rsid w:val="00FE7871"/>
    <w:rsid w:val="00FE78C2"/>
    <w:rsid w:val="00FE78EC"/>
    <w:rsid w:val="00FE7974"/>
    <w:rsid w:val="00FE79CC"/>
    <w:rsid w:val="00FE7A1B"/>
    <w:rsid w:val="00FE7A29"/>
    <w:rsid w:val="00FE7A2A"/>
    <w:rsid w:val="00FE7A5C"/>
    <w:rsid w:val="00FE7AC4"/>
    <w:rsid w:val="00FE7B19"/>
    <w:rsid w:val="00FE7B95"/>
    <w:rsid w:val="00FE7C81"/>
    <w:rsid w:val="00FE7CAF"/>
    <w:rsid w:val="00FE7D60"/>
    <w:rsid w:val="00FE7D6B"/>
    <w:rsid w:val="00FE7DBD"/>
    <w:rsid w:val="00FE7E38"/>
    <w:rsid w:val="00FE7F5C"/>
    <w:rsid w:val="00FE7F88"/>
    <w:rsid w:val="00FE7F98"/>
    <w:rsid w:val="00FF007A"/>
    <w:rsid w:val="00FF008C"/>
    <w:rsid w:val="00FF0097"/>
    <w:rsid w:val="00FF009A"/>
    <w:rsid w:val="00FF00C8"/>
    <w:rsid w:val="00FF011D"/>
    <w:rsid w:val="00FF015E"/>
    <w:rsid w:val="00FF0191"/>
    <w:rsid w:val="00FF0204"/>
    <w:rsid w:val="00FF023A"/>
    <w:rsid w:val="00FF02A6"/>
    <w:rsid w:val="00FF0378"/>
    <w:rsid w:val="00FF0385"/>
    <w:rsid w:val="00FF0413"/>
    <w:rsid w:val="00FF0420"/>
    <w:rsid w:val="00FF0444"/>
    <w:rsid w:val="00FF0464"/>
    <w:rsid w:val="00FF0475"/>
    <w:rsid w:val="00FF0539"/>
    <w:rsid w:val="00FF0630"/>
    <w:rsid w:val="00FF0635"/>
    <w:rsid w:val="00FF063B"/>
    <w:rsid w:val="00FF0657"/>
    <w:rsid w:val="00FF067E"/>
    <w:rsid w:val="00FF07E5"/>
    <w:rsid w:val="00FF0829"/>
    <w:rsid w:val="00FF0841"/>
    <w:rsid w:val="00FF0880"/>
    <w:rsid w:val="00FF08D6"/>
    <w:rsid w:val="00FF08E7"/>
    <w:rsid w:val="00FF09BB"/>
    <w:rsid w:val="00FF09C5"/>
    <w:rsid w:val="00FF0AFE"/>
    <w:rsid w:val="00FF0BA0"/>
    <w:rsid w:val="00FF0BCE"/>
    <w:rsid w:val="00FF0C0F"/>
    <w:rsid w:val="00FF0C2C"/>
    <w:rsid w:val="00FF0C3D"/>
    <w:rsid w:val="00FF0C6B"/>
    <w:rsid w:val="00FF0D00"/>
    <w:rsid w:val="00FF0D01"/>
    <w:rsid w:val="00FF0D1F"/>
    <w:rsid w:val="00FF0D39"/>
    <w:rsid w:val="00FF0D94"/>
    <w:rsid w:val="00FF0DD2"/>
    <w:rsid w:val="00FF0DD6"/>
    <w:rsid w:val="00FF0F5E"/>
    <w:rsid w:val="00FF0FA6"/>
    <w:rsid w:val="00FF0FA9"/>
    <w:rsid w:val="00FF1026"/>
    <w:rsid w:val="00FF1061"/>
    <w:rsid w:val="00FF1086"/>
    <w:rsid w:val="00FF108D"/>
    <w:rsid w:val="00FF10AF"/>
    <w:rsid w:val="00FF10ED"/>
    <w:rsid w:val="00FF1215"/>
    <w:rsid w:val="00FF1238"/>
    <w:rsid w:val="00FF129C"/>
    <w:rsid w:val="00FF1334"/>
    <w:rsid w:val="00FF1396"/>
    <w:rsid w:val="00FF140E"/>
    <w:rsid w:val="00FF1514"/>
    <w:rsid w:val="00FF1515"/>
    <w:rsid w:val="00FF153D"/>
    <w:rsid w:val="00FF1555"/>
    <w:rsid w:val="00FF15B9"/>
    <w:rsid w:val="00FF15DB"/>
    <w:rsid w:val="00FF15E6"/>
    <w:rsid w:val="00FF169E"/>
    <w:rsid w:val="00FF16A2"/>
    <w:rsid w:val="00FF179B"/>
    <w:rsid w:val="00FF17BA"/>
    <w:rsid w:val="00FF17FF"/>
    <w:rsid w:val="00FF1898"/>
    <w:rsid w:val="00FF1925"/>
    <w:rsid w:val="00FF1966"/>
    <w:rsid w:val="00FF19A5"/>
    <w:rsid w:val="00FF19EE"/>
    <w:rsid w:val="00FF19FC"/>
    <w:rsid w:val="00FF1AAA"/>
    <w:rsid w:val="00FF1ADD"/>
    <w:rsid w:val="00FF1B28"/>
    <w:rsid w:val="00FF1B42"/>
    <w:rsid w:val="00FF1B53"/>
    <w:rsid w:val="00FF1C1C"/>
    <w:rsid w:val="00FF1CEF"/>
    <w:rsid w:val="00FF1DEE"/>
    <w:rsid w:val="00FF1EA4"/>
    <w:rsid w:val="00FF1F12"/>
    <w:rsid w:val="00FF1F25"/>
    <w:rsid w:val="00FF1F28"/>
    <w:rsid w:val="00FF1FF4"/>
    <w:rsid w:val="00FF2002"/>
    <w:rsid w:val="00FF2007"/>
    <w:rsid w:val="00FF21AC"/>
    <w:rsid w:val="00FF22AE"/>
    <w:rsid w:val="00FF22C2"/>
    <w:rsid w:val="00FF2302"/>
    <w:rsid w:val="00FF23B1"/>
    <w:rsid w:val="00FF247D"/>
    <w:rsid w:val="00FF249A"/>
    <w:rsid w:val="00FF24EA"/>
    <w:rsid w:val="00FF250E"/>
    <w:rsid w:val="00FF26A3"/>
    <w:rsid w:val="00FF26AD"/>
    <w:rsid w:val="00FF26FE"/>
    <w:rsid w:val="00FF2743"/>
    <w:rsid w:val="00FF2767"/>
    <w:rsid w:val="00FF27F3"/>
    <w:rsid w:val="00FF282E"/>
    <w:rsid w:val="00FF28C3"/>
    <w:rsid w:val="00FF28CD"/>
    <w:rsid w:val="00FF2928"/>
    <w:rsid w:val="00FF2A80"/>
    <w:rsid w:val="00FF2AB2"/>
    <w:rsid w:val="00FF2AD3"/>
    <w:rsid w:val="00FF2AEE"/>
    <w:rsid w:val="00FF2B36"/>
    <w:rsid w:val="00FF2B3E"/>
    <w:rsid w:val="00FF2BB9"/>
    <w:rsid w:val="00FF2E7F"/>
    <w:rsid w:val="00FF2E9E"/>
    <w:rsid w:val="00FF2F02"/>
    <w:rsid w:val="00FF2F11"/>
    <w:rsid w:val="00FF2F15"/>
    <w:rsid w:val="00FF2F49"/>
    <w:rsid w:val="00FF2F72"/>
    <w:rsid w:val="00FF2F7E"/>
    <w:rsid w:val="00FF2FC0"/>
    <w:rsid w:val="00FF2FD3"/>
    <w:rsid w:val="00FF2FD5"/>
    <w:rsid w:val="00FF3014"/>
    <w:rsid w:val="00FF306D"/>
    <w:rsid w:val="00FF30E8"/>
    <w:rsid w:val="00FF311C"/>
    <w:rsid w:val="00FF314E"/>
    <w:rsid w:val="00FF31D3"/>
    <w:rsid w:val="00FF31E5"/>
    <w:rsid w:val="00FF32E9"/>
    <w:rsid w:val="00FF33BE"/>
    <w:rsid w:val="00FF33FE"/>
    <w:rsid w:val="00FF343D"/>
    <w:rsid w:val="00FF3525"/>
    <w:rsid w:val="00FF3534"/>
    <w:rsid w:val="00FF35CF"/>
    <w:rsid w:val="00FF3620"/>
    <w:rsid w:val="00FF367A"/>
    <w:rsid w:val="00FF369D"/>
    <w:rsid w:val="00FF3703"/>
    <w:rsid w:val="00FF371A"/>
    <w:rsid w:val="00FF37C3"/>
    <w:rsid w:val="00FF393B"/>
    <w:rsid w:val="00FF394E"/>
    <w:rsid w:val="00FF395F"/>
    <w:rsid w:val="00FF3A0C"/>
    <w:rsid w:val="00FF3A6E"/>
    <w:rsid w:val="00FF3AB2"/>
    <w:rsid w:val="00FF3C2D"/>
    <w:rsid w:val="00FF3D8C"/>
    <w:rsid w:val="00FF3DBF"/>
    <w:rsid w:val="00FF3DE8"/>
    <w:rsid w:val="00FF3E54"/>
    <w:rsid w:val="00FF3F22"/>
    <w:rsid w:val="00FF3FA2"/>
    <w:rsid w:val="00FF3FB9"/>
    <w:rsid w:val="00FF4026"/>
    <w:rsid w:val="00FF40B9"/>
    <w:rsid w:val="00FF4112"/>
    <w:rsid w:val="00FF4180"/>
    <w:rsid w:val="00FF41D6"/>
    <w:rsid w:val="00FF42A4"/>
    <w:rsid w:val="00FF42BE"/>
    <w:rsid w:val="00FF432B"/>
    <w:rsid w:val="00FF441A"/>
    <w:rsid w:val="00FF446F"/>
    <w:rsid w:val="00FF4528"/>
    <w:rsid w:val="00FF4561"/>
    <w:rsid w:val="00FF458A"/>
    <w:rsid w:val="00FF45DF"/>
    <w:rsid w:val="00FF4601"/>
    <w:rsid w:val="00FF460A"/>
    <w:rsid w:val="00FF4658"/>
    <w:rsid w:val="00FF4671"/>
    <w:rsid w:val="00FF46A2"/>
    <w:rsid w:val="00FF46EC"/>
    <w:rsid w:val="00FF46F2"/>
    <w:rsid w:val="00FF476F"/>
    <w:rsid w:val="00FF47D6"/>
    <w:rsid w:val="00FF4B09"/>
    <w:rsid w:val="00FF4B42"/>
    <w:rsid w:val="00FF4B9C"/>
    <w:rsid w:val="00FF4CC0"/>
    <w:rsid w:val="00FF4D02"/>
    <w:rsid w:val="00FF4DDC"/>
    <w:rsid w:val="00FF4E4B"/>
    <w:rsid w:val="00FF4E54"/>
    <w:rsid w:val="00FF4E87"/>
    <w:rsid w:val="00FF4F4C"/>
    <w:rsid w:val="00FF4F61"/>
    <w:rsid w:val="00FF4F7E"/>
    <w:rsid w:val="00FF4F85"/>
    <w:rsid w:val="00FF4F91"/>
    <w:rsid w:val="00FF4FA7"/>
    <w:rsid w:val="00FF5139"/>
    <w:rsid w:val="00FF5141"/>
    <w:rsid w:val="00FF5162"/>
    <w:rsid w:val="00FF5171"/>
    <w:rsid w:val="00FF519D"/>
    <w:rsid w:val="00FF51E0"/>
    <w:rsid w:val="00FF51EB"/>
    <w:rsid w:val="00FF51EE"/>
    <w:rsid w:val="00FF524A"/>
    <w:rsid w:val="00FF5251"/>
    <w:rsid w:val="00FF5262"/>
    <w:rsid w:val="00FF5279"/>
    <w:rsid w:val="00FF527D"/>
    <w:rsid w:val="00FF52B1"/>
    <w:rsid w:val="00FF53E2"/>
    <w:rsid w:val="00FF5412"/>
    <w:rsid w:val="00FF550B"/>
    <w:rsid w:val="00FF55AB"/>
    <w:rsid w:val="00FF55B9"/>
    <w:rsid w:val="00FF5600"/>
    <w:rsid w:val="00FF5626"/>
    <w:rsid w:val="00FF5670"/>
    <w:rsid w:val="00FF5698"/>
    <w:rsid w:val="00FF57B2"/>
    <w:rsid w:val="00FF57C5"/>
    <w:rsid w:val="00FF580F"/>
    <w:rsid w:val="00FF5828"/>
    <w:rsid w:val="00FF5846"/>
    <w:rsid w:val="00FF5887"/>
    <w:rsid w:val="00FF58E1"/>
    <w:rsid w:val="00FF58FF"/>
    <w:rsid w:val="00FF591E"/>
    <w:rsid w:val="00FF5923"/>
    <w:rsid w:val="00FF598C"/>
    <w:rsid w:val="00FF5ACB"/>
    <w:rsid w:val="00FF5B2B"/>
    <w:rsid w:val="00FF5B5C"/>
    <w:rsid w:val="00FF5B6C"/>
    <w:rsid w:val="00FF5B75"/>
    <w:rsid w:val="00FF5BF9"/>
    <w:rsid w:val="00FF5C0D"/>
    <w:rsid w:val="00FF5C38"/>
    <w:rsid w:val="00FF5C83"/>
    <w:rsid w:val="00FF5C9D"/>
    <w:rsid w:val="00FF5CC0"/>
    <w:rsid w:val="00FF5D18"/>
    <w:rsid w:val="00FF5D62"/>
    <w:rsid w:val="00FF5DAE"/>
    <w:rsid w:val="00FF5DD9"/>
    <w:rsid w:val="00FF5ECD"/>
    <w:rsid w:val="00FF5EF5"/>
    <w:rsid w:val="00FF5F18"/>
    <w:rsid w:val="00FF5F5A"/>
    <w:rsid w:val="00FF5FD6"/>
    <w:rsid w:val="00FF610A"/>
    <w:rsid w:val="00FF612C"/>
    <w:rsid w:val="00FF61E7"/>
    <w:rsid w:val="00FF6217"/>
    <w:rsid w:val="00FF621C"/>
    <w:rsid w:val="00FF6299"/>
    <w:rsid w:val="00FF636E"/>
    <w:rsid w:val="00FF6378"/>
    <w:rsid w:val="00FF637B"/>
    <w:rsid w:val="00FF6439"/>
    <w:rsid w:val="00FF6546"/>
    <w:rsid w:val="00FF6590"/>
    <w:rsid w:val="00FF65B8"/>
    <w:rsid w:val="00FF6657"/>
    <w:rsid w:val="00FF6672"/>
    <w:rsid w:val="00FF6679"/>
    <w:rsid w:val="00FF6721"/>
    <w:rsid w:val="00FF6746"/>
    <w:rsid w:val="00FF6749"/>
    <w:rsid w:val="00FF67AD"/>
    <w:rsid w:val="00FF6881"/>
    <w:rsid w:val="00FF68B6"/>
    <w:rsid w:val="00FF6960"/>
    <w:rsid w:val="00FF69A3"/>
    <w:rsid w:val="00FF69B4"/>
    <w:rsid w:val="00FF69EB"/>
    <w:rsid w:val="00FF6A34"/>
    <w:rsid w:val="00FF6CB4"/>
    <w:rsid w:val="00FF6D28"/>
    <w:rsid w:val="00FF6D42"/>
    <w:rsid w:val="00FF6DB2"/>
    <w:rsid w:val="00FF6E26"/>
    <w:rsid w:val="00FF6E47"/>
    <w:rsid w:val="00FF6E60"/>
    <w:rsid w:val="00FF6E86"/>
    <w:rsid w:val="00FF6E8D"/>
    <w:rsid w:val="00FF6EE2"/>
    <w:rsid w:val="00FF6EE7"/>
    <w:rsid w:val="00FF6F4F"/>
    <w:rsid w:val="00FF6FD1"/>
    <w:rsid w:val="00FF6FDB"/>
    <w:rsid w:val="00FF7060"/>
    <w:rsid w:val="00FF70A4"/>
    <w:rsid w:val="00FF7108"/>
    <w:rsid w:val="00FF71E7"/>
    <w:rsid w:val="00FF7243"/>
    <w:rsid w:val="00FF72B0"/>
    <w:rsid w:val="00FF72CD"/>
    <w:rsid w:val="00FF72F3"/>
    <w:rsid w:val="00FF72F9"/>
    <w:rsid w:val="00FF736D"/>
    <w:rsid w:val="00FF73C4"/>
    <w:rsid w:val="00FF74F4"/>
    <w:rsid w:val="00FF7564"/>
    <w:rsid w:val="00FF7570"/>
    <w:rsid w:val="00FF7615"/>
    <w:rsid w:val="00FF7673"/>
    <w:rsid w:val="00FF7733"/>
    <w:rsid w:val="00FF7798"/>
    <w:rsid w:val="00FF77E1"/>
    <w:rsid w:val="00FF781C"/>
    <w:rsid w:val="00FF783A"/>
    <w:rsid w:val="00FF788E"/>
    <w:rsid w:val="00FF78B3"/>
    <w:rsid w:val="00FF78C9"/>
    <w:rsid w:val="00FF7921"/>
    <w:rsid w:val="00FF79D9"/>
    <w:rsid w:val="00FF7ADE"/>
    <w:rsid w:val="00FF7CA2"/>
    <w:rsid w:val="00FF7D12"/>
    <w:rsid w:val="00FF7D3D"/>
    <w:rsid w:val="00FF7D95"/>
    <w:rsid w:val="00FF7DC0"/>
    <w:rsid w:val="00FF7E62"/>
    <w:rsid w:val="00FF7EF3"/>
    <w:rsid w:val="00FF7F26"/>
    <w:rsid w:val="00FF7F31"/>
    <w:rsid w:val="00FF7F32"/>
    <w:rsid w:val="00FF7F58"/>
    <w:rsid w:val="00FF7F9E"/>
    <w:rsid w:val="00FF7FEF"/>
    <w:rsid w:val="01071293"/>
    <w:rsid w:val="01224B52"/>
    <w:rsid w:val="0146525B"/>
    <w:rsid w:val="01890511"/>
    <w:rsid w:val="01E0C62B"/>
    <w:rsid w:val="01E35AB4"/>
    <w:rsid w:val="02038F89"/>
    <w:rsid w:val="0215539C"/>
    <w:rsid w:val="0222F2C6"/>
    <w:rsid w:val="0258C5C3"/>
    <w:rsid w:val="028662CC"/>
    <w:rsid w:val="02B27C47"/>
    <w:rsid w:val="03258A0F"/>
    <w:rsid w:val="03D7C3E0"/>
    <w:rsid w:val="03E283CA"/>
    <w:rsid w:val="0457A24D"/>
    <w:rsid w:val="0476C6F1"/>
    <w:rsid w:val="04868742"/>
    <w:rsid w:val="04935078"/>
    <w:rsid w:val="04C6BA79"/>
    <w:rsid w:val="04D9C516"/>
    <w:rsid w:val="051C932B"/>
    <w:rsid w:val="05374239"/>
    <w:rsid w:val="05421D88"/>
    <w:rsid w:val="056EE146"/>
    <w:rsid w:val="05748FCF"/>
    <w:rsid w:val="05AA66D7"/>
    <w:rsid w:val="06050083"/>
    <w:rsid w:val="0611F7F2"/>
    <w:rsid w:val="063AB71D"/>
    <w:rsid w:val="071EBC15"/>
    <w:rsid w:val="07377276"/>
    <w:rsid w:val="07BCD809"/>
    <w:rsid w:val="07CBE517"/>
    <w:rsid w:val="07D2E178"/>
    <w:rsid w:val="07D53034"/>
    <w:rsid w:val="08147A38"/>
    <w:rsid w:val="084D7D61"/>
    <w:rsid w:val="0865AFC0"/>
    <w:rsid w:val="089EF809"/>
    <w:rsid w:val="08BFBB27"/>
    <w:rsid w:val="091EB5C5"/>
    <w:rsid w:val="098F1E64"/>
    <w:rsid w:val="099BA413"/>
    <w:rsid w:val="0A09EDA7"/>
    <w:rsid w:val="0A20D296"/>
    <w:rsid w:val="0A41448D"/>
    <w:rsid w:val="0A6464CA"/>
    <w:rsid w:val="0AA78640"/>
    <w:rsid w:val="0ACDA65E"/>
    <w:rsid w:val="0AF1F867"/>
    <w:rsid w:val="0B0CF950"/>
    <w:rsid w:val="0B6B392D"/>
    <w:rsid w:val="0B949B5C"/>
    <w:rsid w:val="0BBF51F2"/>
    <w:rsid w:val="0C49C55F"/>
    <w:rsid w:val="0C81BFDD"/>
    <w:rsid w:val="0CA3C03E"/>
    <w:rsid w:val="0CCB2D18"/>
    <w:rsid w:val="0CDCA88E"/>
    <w:rsid w:val="0CF51EDB"/>
    <w:rsid w:val="0DE8321D"/>
    <w:rsid w:val="0E1E7242"/>
    <w:rsid w:val="0E2072FC"/>
    <w:rsid w:val="0E2E74F0"/>
    <w:rsid w:val="0E564B7E"/>
    <w:rsid w:val="0EA4BD83"/>
    <w:rsid w:val="0EB31C75"/>
    <w:rsid w:val="0EF0BA83"/>
    <w:rsid w:val="0F153893"/>
    <w:rsid w:val="0F2DE545"/>
    <w:rsid w:val="0F47AC42"/>
    <w:rsid w:val="0F52CB6B"/>
    <w:rsid w:val="0F6D52F9"/>
    <w:rsid w:val="0FC3FF0B"/>
    <w:rsid w:val="1000B4D8"/>
    <w:rsid w:val="10027AA3"/>
    <w:rsid w:val="103319B5"/>
    <w:rsid w:val="104F9ED3"/>
    <w:rsid w:val="10695CB6"/>
    <w:rsid w:val="107CB1A8"/>
    <w:rsid w:val="109CBE3E"/>
    <w:rsid w:val="10EAE00A"/>
    <w:rsid w:val="10EBF402"/>
    <w:rsid w:val="10F1C172"/>
    <w:rsid w:val="11234BE3"/>
    <w:rsid w:val="112D691E"/>
    <w:rsid w:val="1135A12B"/>
    <w:rsid w:val="114AC4C3"/>
    <w:rsid w:val="11500769"/>
    <w:rsid w:val="1190CD76"/>
    <w:rsid w:val="11A2FA5A"/>
    <w:rsid w:val="11A87D23"/>
    <w:rsid w:val="11BF3633"/>
    <w:rsid w:val="11DA2659"/>
    <w:rsid w:val="11E10B12"/>
    <w:rsid w:val="1254BEFE"/>
    <w:rsid w:val="125B7B85"/>
    <w:rsid w:val="12765409"/>
    <w:rsid w:val="12FAB545"/>
    <w:rsid w:val="13056FEC"/>
    <w:rsid w:val="13610BAF"/>
    <w:rsid w:val="1403CCA3"/>
    <w:rsid w:val="146562B9"/>
    <w:rsid w:val="14BE14BC"/>
    <w:rsid w:val="1576E3B0"/>
    <w:rsid w:val="15CC98E9"/>
    <w:rsid w:val="15D81C31"/>
    <w:rsid w:val="15E2910E"/>
    <w:rsid w:val="16178AB0"/>
    <w:rsid w:val="161D8F5D"/>
    <w:rsid w:val="16362F53"/>
    <w:rsid w:val="16644436"/>
    <w:rsid w:val="1691248D"/>
    <w:rsid w:val="169CF75B"/>
    <w:rsid w:val="16BC95DA"/>
    <w:rsid w:val="16C123E8"/>
    <w:rsid w:val="176258C3"/>
    <w:rsid w:val="17757732"/>
    <w:rsid w:val="177FF349"/>
    <w:rsid w:val="17E8A0B4"/>
    <w:rsid w:val="17F1DAA3"/>
    <w:rsid w:val="17F315A3"/>
    <w:rsid w:val="189526C6"/>
    <w:rsid w:val="18E2A746"/>
    <w:rsid w:val="18F88839"/>
    <w:rsid w:val="193DF90C"/>
    <w:rsid w:val="19CA0E8D"/>
    <w:rsid w:val="1A00F3D3"/>
    <w:rsid w:val="1A7649B0"/>
    <w:rsid w:val="1A8BB159"/>
    <w:rsid w:val="1AA4921A"/>
    <w:rsid w:val="1ACD73B8"/>
    <w:rsid w:val="1AF962F2"/>
    <w:rsid w:val="1B1CD1D8"/>
    <w:rsid w:val="1B35CD69"/>
    <w:rsid w:val="1B47B95B"/>
    <w:rsid w:val="1C4ABCE3"/>
    <w:rsid w:val="1C5FB22B"/>
    <w:rsid w:val="1C9B70AF"/>
    <w:rsid w:val="1CE9F37F"/>
    <w:rsid w:val="1D1C379C"/>
    <w:rsid w:val="1D9DDEF8"/>
    <w:rsid w:val="1E14B80E"/>
    <w:rsid w:val="1EBA63FB"/>
    <w:rsid w:val="1ED24D6D"/>
    <w:rsid w:val="1EDAA953"/>
    <w:rsid w:val="1F9125C5"/>
    <w:rsid w:val="1FBE1667"/>
    <w:rsid w:val="1FD21C9C"/>
    <w:rsid w:val="1FD32B07"/>
    <w:rsid w:val="1FE03B96"/>
    <w:rsid w:val="1FE5F6C5"/>
    <w:rsid w:val="20526B65"/>
    <w:rsid w:val="20801C80"/>
    <w:rsid w:val="20BF8DB2"/>
    <w:rsid w:val="20D9F682"/>
    <w:rsid w:val="20DCC9B1"/>
    <w:rsid w:val="20FF9876"/>
    <w:rsid w:val="2137FAEF"/>
    <w:rsid w:val="21A40E40"/>
    <w:rsid w:val="21AC5C30"/>
    <w:rsid w:val="21BF2EDC"/>
    <w:rsid w:val="21CEE360"/>
    <w:rsid w:val="21EAE836"/>
    <w:rsid w:val="222E3682"/>
    <w:rsid w:val="2236A8B6"/>
    <w:rsid w:val="22537C72"/>
    <w:rsid w:val="2254D451"/>
    <w:rsid w:val="22AACB66"/>
    <w:rsid w:val="22B83D46"/>
    <w:rsid w:val="22C8E344"/>
    <w:rsid w:val="22D78EF6"/>
    <w:rsid w:val="23068E52"/>
    <w:rsid w:val="2326C8A7"/>
    <w:rsid w:val="235B6C5A"/>
    <w:rsid w:val="23AC1C6A"/>
    <w:rsid w:val="23D51ACF"/>
    <w:rsid w:val="24437768"/>
    <w:rsid w:val="24688535"/>
    <w:rsid w:val="249E1F89"/>
    <w:rsid w:val="24EC7FA6"/>
    <w:rsid w:val="258A9E7C"/>
    <w:rsid w:val="259ED0CD"/>
    <w:rsid w:val="25AFF466"/>
    <w:rsid w:val="2616065E"/>
    <w:rsid w:val="261F4A2C"/>
    <w:rsid w:val="2625152E"/>
    <w:rsid w:val="26321396"/>
    <w:rsid w:val="264F04A5"/>
    <w:rsid w:val="2652C25E"/>
    <w:rsid w:val="269BE987"/>
    <w:rsid w:val="26D61E35"/>
    <w:rsid w:val="271F0149"/>
    <w:rsid w:val="2742FAD6"/>
    <w:rsid w:val="27557CE3"/>
    <w:rsid w:val="276DCE17"/>
    <w:rsid w:val="277119D6"/>
    <w:rsid w:val="27B13E4F"/>
    <w:rsid w:val="27BD2E83"/>
    <w:rsid w:val="27BDC213"/>
    <w:rsid w:val="27C49533"/>
    <w:rsid w:val="27CC1410"/>
    <w:rsid w:val="27F424BA"/>
    <w:rsid w:val="27F84CAA"/>
    <w:rsid w:val="28515C6D"/>
    <w:rsid w:val="28A3C975"/>
    <w:rsid w:val="28AEFCF9"/>
    <w:rsid w:val="28BD2490"/>
    <w:rsid w:val="28F74DD7"/>
    <w:rsid w:val="290827EA"/>
    <w:rsid w:val="292E20D4"/>
    <w:rsid w:val="294A3BD8"/>
    <w:rsid w:val="29502986"/>
    <w:rsid w:val="2987C3B1"/>
    <w:rsid w:val="29E25861"/>
    <w:rsid w:val="29E9479D"/>
    <w:rsid w:val="29EBAEAD"/>
    <w:rsid w:val="2A0822FF"/>
    <w:rsid w:val="2A0E1015"/>
    <w:rsid w:val="2A2BC066"/>
    <w:rsid w:val="2A2C6276"/>
    <w:rsid w:val="2A32B235"/>
    <w:rsid w:val="2A7EFB85"/>
    <w:rsid w:val="2B1FBFC7"/>
    <w:rsid w:val="2B5C5918"/>
    <w:rsid w:val="2B94D048"/>
    <w:rsid w:val="2BA44248"/>
    <w:rsid w:val="2BCAE8D0"/>
    <w:rsid w:val="2BD2F0FF"/>
    <w:rsid w:val="2C1A779F"/>
    <w:rsid w:val="2C47511F"/>
    <w:rsid w:val="2C5B62E8"/>
    <w:rsid w:val="2CEC402A"/>
    <w:rsid w:val="2D0CC9C0"/>
    <w:rsid w:val="2D2626BD"/>
    <w:rsid w:val="2D7D30CF"/>
    <w:rsid w:val="2D92D1DF"/>
    <w:rsid w:val="2DDDFDF6"/>
    <w:rsid w:val="2E60118D"/>
    <w:rsid w:val="2E8E563B"/>
    <w:rsid w:val="2ED55AAF"/>
    <w:rsid w:val="2EE056C1"/>
    <w:rsid w:val="2F24B638"/>
    <w:rsid w:val="2F6B6F16"/>
    <w:rsid w:val="2F9FB5C4"/>
    <w:rsid w:val="2FA522F9"/>
    <w:rsid w:val="2FE068C5"/>
    <w:rsid w:val="2FEB05A7"/>
    <w:rsid w:val="3007F693"/>
    <w:rsid w:val="3065EB17"/>
    <w:rsid w:val="3068622E"/>
    <w:rsid w:val="30807555"/>
    <w:rsid w:val="3172A789"/>
    <w:rsid w:val="31A352F7"/>
    <w:rsid w:val="31C3743B"/>
    <w:rsid w:val="31C7F579"/>
    <w:rsid w:val="3272AEDF"/>
    <w:rsid w:val="32A27860"/>
    <w:rsid w:val="32D0784A"/>
    <w:rsid w:val="32E4F08E"/>
    <w:rsid w:val="32F4169F"/>
    <w:rsid w:val="32FBAC69"/>
    <w:rsid w:val="33028DA0"/>
    <w:rsid w:val="333A714A"/>
    <w:rsid w:val="337ACD0E"/>
    <w:rsid w:val="33966142"/>
    <w:rsid w:val="33BCD2FF"/>
    <w:rsid w:val="34178A7D"/>
    <w:rsid w:val="34230062"/>
    <w:rsid w:val="34253C26"/>
    <w:rsid w:val="3435751F"/>
    <w:rsid w:val="345B2D7A"/>
    <w:rsid w:val="3478AA73"/>
    <w:rsid w:val="349D9602"/>
    <w:rsid w:val="34A5E9EA"/>
    <w:rsid w:val="34DED4D3"/>
    <w:rsid w:val="34EAB0C6"/>
    <w:rsid w:val="3538E6FF"/>
    <w:rsid w:val="35724F7A"/>
    <w:rsid w:val="35775CD1"/>
    <w:rsid w:val="35944C03"/>
    <w:rsid w:val="35C0D4C6"/>
    <w:rsid w:val="365FA61D"/>
    <w:rsid w:val="3673F619"/>
    <w:rsid w:val="368FD7F5"/>
    <w:rsid w:val="36A8573A"/>
    <w:rsid w:val="36AA93BD"/>
    <w:rsid w:val="3724E356"/>
    <w:rsid w:val="37497946"/>
    <w:rsid w:val="378433D8"/>
    <w:rsid w:val="37886D16"/>
    <w:rsid w:val="37A24D24"/>
    <w:rsid w:val="37C42DC3"/>
    <w:rsid w:val="37D3E99C"/>
    <w:rsid w:val="3803DB91"/>
    <w:rsid w:val="3822B922"/>
    <w:rsid w:val="3836938A"/>
    <w:rsid w:val="384CA567"/>
    <w:rsid w:val="388403F2"/>
    <w:rsid w:val="38C4FAE2"/>
    <w:rsid w:val="3971DF0E"/>
    <w:rsid w:val="397265F7"/>
    <w:rsid w:val="39855E35"/>
    <w:rsid w:val="398BCC8A"/>
    <w:rsid w:val="39B8576E"/>
    <w:rsid w:val="39DB6B58"/>
    <w:rsid w:val="3A27A428"/>
    <w:rsid w:val="3A486DCA"/>
    <w:rsid w:val="3A65C913"/>
    <w:rsid w:val="3A848C50"/>
    <w:rsid w:val="3AF314BF"/>
    <w:rsid w:val="3B1B7A84"/>
    <w:rsid w:val="3B1D0C01"/>
    <w:rsid w:val="3B6585FF"/>
    <w:rsid w:val="3B704490"/>
    <w:rsid w:val="3B71B31E"/>
    <w:rsid w:val="3B8FCE49"/>
    <w:rsid w:val="3BEA1291"/>
    <w:rsid w:val="3BEF7510"/>
    <w:rsid w:val="3C199F16"/>
    <w:rsid w:val="3C4A9E40"/>
    <w:rsid w:val="3C542FA8"/>
    <w:rsid w:val="3C8C65D0"/>
    <w:rsid w:val="3CB3B8B5"/>
    <w:rsid w:val="3CDA94BE"/>
    <w:rsid w:val="3CDCD337"/>
    <w:rsid w:val="3D1B3976"/>
    <w:rsid w:val="3D8B9619"/>
    <w:rsid w:val="3DC8DD11"/>
    <w:rsid w:val="3DCDBCF9"/>
    <w:rsid w:val="3E7D4256"/>
    <w:rsid w:val="3E7F78CE"/>
    <w:rsid w:val="3EA4C3A3"/>
    <w:rsid w:val="3EEC54A3"/>
    <w:rsid w:val="3EFA87EC"/>
    <w:rsid w:val="3F029281"/>
    <w:rsid w:val="3F17BCC8"/>
    <w:rsid w:val="3F6220A0"/>
    <w:rsid w:val="3FCACE92"/>
    <w:rsid w:val="400760EF"/>
    <w:rsid w:val="40692BA4"/>
    <w:rsid w:val="4107017B"/>
    <w:rsid w:val="411186D4"/>
    <w:rsid w:val="4184F3D8"/>
    <w:rsid w:val="4192BFC7"/>
    <w:rsid w:val="419F8E5E"/>
    <w:rsid w:val="41AB837D"/>
    <w:rsid w:val="41C3FD3D"/>
    <w:rsid w:val="41CF10CA"/>
    <w:rsid w:val="41D4925C"/>
    <w:rsid w:val="42268309"/>
    <w:rsid w:val="42D2E5F6"/>
    <w:rsid w:val="432C88D9"/>
    <w:rsid w:val="43ED5777"/>
    <w:rsid w:val="443173CB"/>
    <w:rsid w:val="44377AF0"/>
    <w:rsid w:val="44982871"/>
    <w:rsid w:val="44AC0AC1"/>
    <w:rsid w:val="451645FB"/>
    <w:rsid w:val="455373BE"/>
    <w:rsid w:val="45871D28"/>
    <w:rsid w:val="45AE5AEE"/>
    <w:rsid w:val="45CA3FAF"/>
    <w:rsid w:val="45E9E274"/>
    <w:rsid w:val="4688E202"/>
    <w:rsid w:val="469D7176"/>
    <w:rsid w:val="46A10D5B"/>
    <w:rsid w:val="46C3E716"/>
    <w:rsid w:val="46D24694"/>
    <w:rsid w:val="473BF4F3"/>
    <w:rsid w:val="47525CE8"/>
    <w:rsid w:val="47813801"/>
    <w:rsid w:val="47892C36"/>
    <w:rsid w:val="47BD4F92"/>
    <w:rsid w:val="47E7B0AB"/>
    <w:rsid w:val="4876F5AC"/>
    <w:rsid w:val="488FB583"/>
    <w:rsid w:val="489B0E01"/>
    <w:rsid w:val="489E54AC"/>
    <w:rsid w:val="49047F2F"/>
    <w:rsid w:val="4924BCE3"/>
    <w:rsid w:val="494B4E2C"/>
    <w:rsid w:val="494B8A82"/>
    <w:rsid w:val="49685027"/>
    <w:rsid w:val="496FCDFC"/>
    <w:rsid w:val="49939FE3"/>
    <w:rsid w:val="49EE2AC3"/>
    <w:rsid w:val="4A1885A2"/>
    <w:rsid w:val="4A4F0077"/>
    <w:rsid w:val="4AAFE94F"/>
    <w:rsid w:val="4AD4540F"/>
    <w:rsid w:val="4AE9F928"/>
    <w:rsid w:val="4AF7A911"/>
    <w:rsid w:val="4B55AA26"/>
    <w:rsid w:val="4B6557C7"/>
    <w:rsid w:val="4BBE57CB"/>
    <w:rsid w:val="4C11A4E2"/>
    <w:rsid w:val="4C18070E"/>
    <w:rsid w:val="4C548964"/>
    <w:rsid w:val="4C92C8FF"/>
    <w:rsid w:val="4C9DABAB"/>
    <w:rsid w:val="4CBED489"/>
    <w:rsid w:val="4CD321CF"/>
    <w:rsid w:val="4D7DCBA9"/>
    <w:rsid w:val="4DB69F5D"/>
    <w:rsid w:val="4DD1F0A4"/>
    <w:rsid w:val="4DF67164"/>
    <w:rsid w:val="4E482B02"/>
    <w:rsid w:val="4E8D3567"/>
    <w:rsid w:val="4EB8873E"/>
    <w:rsid w:val="4EE5FED5"/>
    <w:rsid w:val="4F222561"/>
    <w:rsid w:val="4F3DBE3C"/>
    <w:rsid w:val="4F79FC60"/>
    <w:rsid w:val="4F9FAE05"/>
    <w:rsid w:val="4FA868A2"/>
    <w:rsid w:val="4FFFD91F"/>
    <w:rsid w:val="50C138DE"/>
    <w:rsid w:val="50D0B539"/>
    <w:rsid w:val="50D3A628"/>
    <w:rsid w:val="50EB245F"/>
    <w:rsid w:val="50EBDE57"/>
    <w:rsid w:val="5165513B"/>
    <w:rsid w:val="51A15734"/>
    <w:rsid w:val="51B8CA26"/>
    <w:rsid w:val="51CAC266"/>
    <w:rsid w:val="51E50D00"/>
    <w:rsid w:val="52058EAE"/>
    <w:rsid w:val="522154AC"/>
    <w:rsid w:val="5264F70C"/>
    <w:rsid w:val="52E62537"/>
    <w:rsid w:val="52FA49AE"/>
    <w:rsid w:val="533560F9"/>
    <w:rsid w:val="539E6E0F"/>
    <w:rsid w:val="54344C6E"/>
    <w:rsid w:val="54472206"/>
    <w:rsid w:val="54691168"/>
    <w:rsid w:val="5551DF63"/>
    <w:rsid w:val="55587F02"/>
    <w:rsid w:val="55A4782C"/>
    <w:rsid w:val="55FDA9E2"/>
    <w:rsid w:val="55FDF70F"/>
    <w:rsid w:val="5628F155"/>
    <w:rsid w:val="56490328"/>
    <w:rsid w:val="564BAE31"/>
    <w:rsid w:val="567485D0"/>
    <w:rsid w:val="56762E99"/>
    <w:rsid w:val="5676B577"/>
    <w:rsid w:val="56B6333B"/>
    <w:rsid w:val="56DE2012"/>
    <w:rsid w:val="56EC4096"/>
    <w:rsid w:val="573E0097"/>
    <w:rsid w:val="5785F458"/>
    <w:rsid w:val="57AFD400"/>
    <w:rsid w:val="588C0902"/>
    <w:rsid w:val="589B765E"/>
    <w:rsid w:val="58C5F4FA"/>
    <w:rsid w:val="591B521F"/>
    <w:rsid w:val="59463208"/>
    <w:rsid w:val="596E56AF"/>
    <w:rsid w:val="597DC969"/>
    <w:rsid w:val="59859796"/>
    <w:rsid w:val="59A35217"/>
    <w:rsid w:val="59F0D64F"/>
    <w:rsid w:val="5A2031D8"/>
    <w:rsid w:val="5A41C2B6"/>
    <w:rsid w:val="5AA62625"/>
    <w:rsid w:val="5AAC6656"/>
    <w:rsid w:val="5B063101"/>
    <w:rsid w:val="5B0E01BC"/>
    <w:rsid w:val="5B891DAE"/>
    <w:rsid w:val="5BE97D66"/>
    <w:rsid w:val="5BF10316"/>
    <w:rsid w:val="5C1C3C64"/>
    <w:rsid w:val="5C67B4F9"/>
    <w:rsid w:val="5CC49866"/>
    <w:rsid w:val="5CD7750D"/>
    <w:rsid w:val="5D3E0884"/>
    <w:rsid w:val="5D6E2A8A"/>
    <w:rsid w:val="5D724DD7"/>
    <w:rsid w:val="5D7A276F"/>
    <w:rsid w:val="5DAFAA76"/>
    <w:rsid w:val="5DB203BA"/>
    <w:rsid w:val="5DC6C1E9"/>
    <w:rsid w:val="5DD75DDF"/>
    <w:rsid w:val="5DD78F04"/>
    <w:rsid w:val="5E061A49"/>
    <w:rsid w:val="5E63BF5A"/>
    <w:rsid w:val="5E665792"/>
    <w:rsid w:val="5E8C19CD"/>
    <w:rsid w:val="5E97631B"/>
    <w:rsid w:val="5F5E5A62"/>
    <w:rsid w:val="5F82E636"/>
    <w:rsid w:val="5FBD94AA"/>
    <w:rsid w:val="60061ADE"/>
    <w:rsid w:val="6013FE16"/>
    <w:rsid w:val="60621DD6"/>
    <w:rsid w:val="609C6368"/>
    <w:rsid w:val="60CA1673"/>
    <w:rsid w:val="60F46689"/>
    <w:rsid w:val="6117605E"/>
    <w:rsid w:val="612122B3"/>
    <w:rsid w:val="614002EE"/>
    <w:rsid w:val="6150040A"/>
    <w:rsid w:val="616E49CB"/>
    <w:rsid w:val="61809A48"/>
    <w:rsid w:val="61B2D793"/>
    <w:rsid w:val="6254E66F"/>
    <w:rsid w:val="625F145B"/>
    <w:rsid w:val="6260C037"/>
    <w:rsid w:val="626F3FB8"/>
    <w:rsid w:val="6273D6B9"/>
    <w:rsid w:val="6288B5F1"/>
    <w:rsid w:val="62B6AD0B"/>
    <w:rsid w:val="62D7191C"/>
    <w:rsid w:val="6324BA46"/>
    <w:rsid w:val="63407434"/>
    <w:rsid w:val="6353B91B"/>
    <w:rsid w:val="635DA0D2"/>
    <w:rsid w:val="6361C923"/>
    <w:rsid w:val="63AE1E28"/>
    <w:rsid w:val="63F3605B"/>
    <w:rsid w:val="645E1019"/>
    <w:rsid w:val="650B2CA5"/>
    <w:rsid w:val="651305AD"/>
    <w:rsid w:val="65942A39"/>
    <w:rsid w:val="659584BE"/>
    <w:rsid w:val="65B7D2CA"/>
    <w:rsid w:val="65CA8518"/>
    <w:rsid w:val="66702690"/>
    <w:rsid w:val="669D3171"/>
    <w:rsid w:val="66AEC390"/>
    <w:rsid w:val="66B81FB7"/>
    <w:rsid w:val="66C2ABE2"/>
    <w:rsid w:val="66C52566"/>
    <w:rsid w:val="66F4F5DF"/>
    <w:rsid w:val="670D4101"/>
    <w:rsid w:val="67124261"/>
    <w:rsid w:val="67231863"/>
    <w:rsid w:val="6726E819"/>
    <w:rsid w:val="677D743D"/>
    <w:rsid w:val="677DA79B"/>
    <w:rsid w:val="6797BD5A"/>
    <w:rsid w:val="67A3C484"/>
    <w:rsid w:val="67A7D66D"/>
    <w:rsid w:val="67F4622B"/>
    <w:rsid w:val="6875AB26"/>
    <w:rsid w:val="687D85C0"/>
    <w:rsid w:val="6917C61F"/>
    <w:rsid w:val="69225E90"/>
    <w:rsid w:val="69596C40"/>
    <w:rsid w:val="69782E01"/>
    <w:rsid w:val="697E7D71"/>
    <w:rsid w:val="69A6DED1"/>
    <w:rsid w:val="69E95D3D"/>
    <w:rsid w:val="6A093142"/>
    <w:rsid w:val="6A28C20B"/>
    <w:rsid w:val="6A6A0E45"/>
    <w:rsid w:val="6A849924"/>
    <w:rsid w:val="6A95E2D9"/>
    <w:rsid w:val="6AE96ADC"/>
    <w:rsid w:val="6B046E6D"/>
    <w:rsid w:val="6BE01FDF"/>
    <w:rsid w:val="6C33E52F"/>
    <w:rsid w:val="6C4C3710"/>
    <w:rsid w:val="6C684233"/>
    <w:rsid w:val="6C694ACD"/>
    <w:rsid w:val="6C7AB24E"/>
    <w:rsid w:val="6C7C47C2"/>
    <w:rsid w:val="6C853538"/>
    <w:rsid w:val="6CA782D5"/>
    <w:rsid w:val="6CB1793A"/>
    <w:rsid w:val="6D020F12"/>
    <w:rsid w:val="6D43137F"/>
    <w:rsid w:val="6D882E70"/>
    <w:rsid w:val="6D8D2FD2"/>
    <w:rsid w:val="6DF73775"/>
    <w:rsid w:val="6E2CFBAE"/>
    <w:rsid w:val="6EA549AE"/>
    <w:rsid w:val="6EF9B2C2"/>
    <w:rsid w:val="6F827AF7"/>
    <w:rsid w:val="6F932F52"/>
    <w:rsid w:val="6F93CE24"/>
    <w:rsid w:val="70127400"/>
    <w:rsid w:val="7013E1A8"/>
    <w:rsid w:val="70378646"/>
    <w:rsid w:val="70648826"/>
    <w:rsid w:val="70902584"/>
    <w:rsid w:val="70BD16EE"/>
    <w:rsid w:val="70CCAAE0"/>
    <w:rsid w:val="717D80BC"/>
    <w:rsid w:val="718F27B7"/>
    <w:rsid w:val="71E8B509"/>
    <w:rsid w:val="72014EF9"/>
    <w:rsid w:val="7217709A"/>
    <w:rsid w:val="725CE1A6"/>
    <w:rsid w:val="7299CB99"/>
    <w:rsid w:val="72DD4A55"/>
    <w:rsid w:val="730562B5"/>
    <w:rsid w:val="7308350E"/>
    <w:rsid w:val="7322B746"/>
    <w:rsid w:val="739486D0"/>
    <w:rsid w:val="73AEC5DB"/>
    <w:rsid w:val="73AF0B5D"/>
    <w:rsid w:val="73F5E8DF"/>
    <w:rsid w:val="740AC503"/>
    <w:rsid w:val="743D3391"/>
    <w:rsid w:val="74F49833"/>
    <w:rsid w:val="7509A417"/>
    <w:rsid w:val="7561C80E"/>
    <w:rsid w:val="76C4F2CE"/>
    <w:rsid w:val="76D4439C"/>
    <w:rsid w:val="77543A02"/>
    <w:rsid w:val="77900D6C"/>
    <w:rsid w:val="77977B0A"/>
    <w:rsid w:val="77A8DAD4"/>
    <w:rsid w:val="77D154DB"/>
    <w:rsid w:val="77F26FB4"/>
    <w:rsid w:val="7826401B"/>
    <w:rsid w:val="7861B789"/>
    <w:rsid w:val="78717B17"/>
    <w:rsid w:val="78826395"/>
    <w:rsid w:val="789353AA"/>
    <w:rsid w:val="7960B25A"/>
    <w:rsid w:val="798E046F"/>
    <w:rsid w:val="7A75C22E"/>
    <w:rsid w:val="7A7C9953"/>
    <w:rsid w:val="7A8046E0"/>
    <w:rsid w:val="7ADDDA8E"/>
    <w:rsid w:val="7B40E12F"/>
    <w:rsid w:val="7B4D4603"/>
    <w:rsid w:val="7B5E63AE"/>
    <w:rsid w:val="7BBCAB9D"/>
    <w:rsid w:val="7BC3D11F"/>
    <w:rsid w:val="7BD1833D"/>
    <w:rsid w:val="7CAD483F"/>
    <w:rsid w:val="7CCF17D7"/>
    <w:rsid w:val="7D329547"/>
    <w:rsid w:val="7D3338B2"/>
    <w:rsid w:val="7D4A5A94"/>
    <w:rsid w:val="7D6C4601"/>
    <w:rsid w:val="7DC5B4F8"/>
    <w:rsid w:val="7DD6B239"/>
    <w:rsid w:val="7DE453E8"/>
    <w:rsid w:val="7E74753C"/>
    <w:rsid w:val="7E95CB68"/>
    <w:rsid w:val="7F23E8B9"/>
    <w:rsid w:val="7F438C65"/>
    <w:rsid w:val="7F5F0956"/>
    <w:rsid w:val="7F8BA698"/>
    <w:rsid w:val="7FA94986"/>
    <w:rsid w:val="7FAAB3E9"/>
    <w:rsid w:val="7FEE9D85"/>
    <w:rsid w:val="7FFD411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446A1"/>
  <w15:chartTrackingRefBased/>
  <w15:docId w15:val="{148B3DFF-56B0-4D47-99C9-5E61CAFD2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F83C5C"/>
    <w:pPr>
      <w:spacing w:before="120" w:after="120" w:line="280" w:lineRule="atLeast"/>
    </w:pPr>
    <w:rPr>
      <w:sz w:val="20"/>
      <w:szCs w:val="20"/>
    </w:rPr>
  </w:style>
  <w:style w:type="paragraph" w:styleId="Heading1">
    <w:name w:val="heading 1"/>
    <w:basedOn w:val="Normal"/>
    <w:next w:val="BodyText"/>
    <w:link w:val="Heading1Char"/>
    <w:uiPriority w:val="9"/>
    <w:qFormat/>
    <w:rsid w:val="00F83C5C"/>
    <w:pPr>
      <w:numPr>
        <w:numId w:val="13"/>
      </w:numPr>
      <w:pBdr>
        <w:top w:val="single" w:sz="4" w:space="31" w:color="0D8380" w:themeColor="background2"/>
        <w:left w:val="single" w:sz="4" w:space="26" w:color="0D8380" w:themeColor="background2"/>
        <w:bottom w:val="single" w:sz="4" w:space="26" w:color="0D8380" w:themeColor="background2"/>
        <w:right w:val="single" w:sz="4" w:space="26" w:color="0D8380" w:themeColor="background2"/>
      </w:pBdr>
      <w:shd w:val="clear" w:color="auto" w:fill="0D8380"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3967CE"/>
    <w:pPr>
      <w:keepNext/>
      <w:keepLines/>
      <w:numPr>
        <w:ilvl w:val="2"/>
        <w:numId w:val="13"/>
      </w:numPr>
      <w:spacing w:before="480" w:line="340" w:lineRule="atLeast"/>
      <w:outlineLvl w:val="1"/>
    </w:pPr>
    <w:rPr>
      <w:rFonts w:asciiTheme="majorHAnsi" w:eastAsiaTheme="majorEastAsia" w:hAnsiTheme="majorHAnsi" w:cstheme="majorBidi"/>
      <w:color w:val="0D8380" w:themeColor="background2"/>
      <w:sz w:val="30"/>
      <w:szCs w:val="60"/>
    </w:rPr>
  </w:style>
  <w:style w:type="paragraph" w:styleId="Heading3">
    <w:name w:val="heading 3"/>
    <w:basedOn w:val="Normal"/>
    <w:next w:val="BodyText"/>
    <w:link w:val="Heading3Char"/>
    <w:uiPriority w:val="9"/>
    <w:qFormat/>
    <w:rsid w:val="003967CE"/>
    <w:pPr>
      <w:keepNext/>
      <w:keepLines/>
      <w:spacing w:before="240" w:line="300" w:lineRule="atLeast"/>
      <w:outlineLvl w:val="2"/>
    </w:pPr>
    <w:rPr>
      <w:rFonts w:asciiTheme="majorHAnsi" w:eastAsiaTheme="majorEastAsia" w:hAnsiTheme="majorHAnsi" w:cstheme="majorBidi"/>
      <w:color w:val="CB6027" w:themeColor="text2"/>
      <w:sz w:val="26"/>
      <w:szCs w:val="37"/>
    </w:rPr>
  </w:style>
  <w:style w:type="paragraph" w:styleId="Heading4">
    <w:name w:val="heading 4"/>
    <w:basedOn w:val="Normal"/>
    <w:next w:val="BodyText"/>
    <w:link w:val="Heading4Char"/>
    <w:uiPriority w:val="9"/>
    <w:qFormat/>
    <w:rsid w:val="003967CE"/>
    <w:pPr>
      <w:keepNext/>
      <w:keepLines/>
      <w:spacing w:before="240" w:line="264" w:lineRule="atLeast"/>
      <w:outlineLvl w:val="3"/>
    </w:pPr>
    <w:rPr>
      <w:rFonts w:asciiTheme="majorHAnsi" w:eastAsiaTheme="majorEastAsia" w:hAnsiTheme="majorHAnsi" w:cstheme="majorBidi"/>
      <w:iCs/>
      <w:color w:val="88593C" w:themeColor="accent1"/>
      <w:sz w:val="22"/>
      <w:szCs w:val="33"/>
    </w:rPr>
  </w:style>
  <w:style w:type="paragraph" w:styleId="Heading5">
    <w:name w:val="heading 5"/>
    <w:basedOn w:val="Normal"/>
    <w:next w:val="BodyText"/>
    <w:link w:val="Heading5Char"/>
    <w:uiPriority w:val="9"/>
    <w:qFormat/>
    <w:rsid w:val="003967CE"/>
    <w:pPr>
      <w:keepNext/>
      <w:keepLines/>
      <w:spacing w:line="264" w:lineRule="atLeast"/>
      <w:outlineLvl w:val="4"/>
    </w:pPr>
    <w:rPr>
      <w:rFonts w:eastAsiaTheme="majorEastAsia" w:cstheme="majorBidi"/>
      <w:b/>
      <w:color w:val="CB6027" w:themeColor="text2"/>
      <w:sz w:val="22"/>
      <w:szCs w:val="29"/>
    </w:rPr>
  </w:style>
  <w:style w:type="paragraph" w:styleId="Heading6">
    <w:name w:val="heading 6"/>
    <w:basedOn w:val="Normal"/>
    <w:next w:val="BodyText"/>
    <w:link w:val="Heading6Char"/>
    <w:uiPriority w:val="9"/>
    <w:qFormat/>
    <w:rsid w:val="00F83C5C"/>
    <w:pPr>
      <w:keepNext/>
      <w:keepLines/>
      <w:spacing w:line="240" w:lineRule="atLeast"/>
      <w:outlineLvl w:val="5"/>
    </w:pPr>
    <w:rPr>
      <w:rFonts w:eastAsiaTheme="majorEastAsia" w:cstheme="minorHAnsi"/>
      <w:b/>
      <w:bCs/>
      <w:i/>
      <w:color w:val="0D8380" w:themeColor="background2"/>
      <w:szCs w:val="24"/>
    </w:rPr>
  </w:style>
  <w:style w:type="paragraph" w:styleId="Heading7">
    <w:name w:val="heading 7"/>
    <w:basedOn w:val="Normal"/>
    <w:next w:val="Normal"/>
    <w:link w:val="Heading7Char"/>
    <w:uiPriority w:val="9"/>
    <w:semiHidden/>
    <w:qFormat/>
    <w:rsid w:val="00F83C5C"/>
    <w:pPr>
      <w:keepNext/>
      <w:keepLines/>
      <w:spacing w:line="240" w:lineRule="atLeast"/>
      <w:outlineLvl w:val="6"/>
    </w:pPr>
    <w:rPr>
      <w:rFonts w:eastAsiaTheme="majorEastAsia" w:cstheme="minorHAnsi"/>
      <w:b/>
      <w:bCs/>
      <w:i/>
      <w:iCs/>
      <w:color w:val="0D8380" w:themeColor="background2"/>
      <w:szCs w:val="22"/>
    </w:rPr>
  </w:style>
  <w:style w:type="paragraph" w:styleId="Heading8">
    <w:name w:val="heading 8"/>
    <w:basedOn w:val="Normal"/>
    <w:next w:val="Normal"/>
    <w:link w:val="Heading8Char"/>
    <w:uiPriority w:val="9"/>
    <w:semiHidden/>
    <w:qFormat/>
    <w:rsid w:val="00F83C5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qFormat/>
    <w:rsid w:val="00F83C5C"/>
    <w:pPr>
      <w:spacing w:line="240" w:lineRule="auto"/>
      <w:outlineLvl w:val="8"/>
    </w:pPr>
    <w:rPr>
      <w:rFonts w:asciiTheme="majorHAnsi" w:hAnsiTheme="majorHAnsi"/>
      <w:color w:val="E3B282"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3C5C"/>
    <w:rPr>
      <w:color w:val="808080"/>
    </w:rPr>
  </w:style>
  <w:style w:type="paragraph" w:styleId="Date">
    <w:name w:val="Date"/>
    <w:basedOn w:val="Normal"/>
    <w:next w:val="Normal"/>
    <w:link w:val="DateChar"/>
    <w:uiPriority w:val="99"/>
    <w:unhideWhenUsed/>
    <w:rsid w:val="00F83C5C"/>
    <w:pPr>
      <w:spacing w:after="360" w:line="293" w:lineRule="auto"/>
    </w:pPr>
  </w:style>
  <w:style w:type="character" w:customStyle="1" w:styleId="DateChar">
    <w:name w:val="Date Char"/>
    <w:basedOn w:val="DefaultParagraphFont"/>
    <w:link w:val="Date"/>
    <w:uiPriority w:val="99"/>
    <w:rsid w:val="00F83C5C"/>
    <w:rPr>
      <w:sz w:val="20"/>
      <w:szCs w:val="20"/>
    </w:rPr>
  </w:style>
  <w:style w:type="paragraph" w:styleId="NoSpacing">
    <w:name w:val="No Spacing"/>
    <w:basedOn w:val="Normal"/>
    <w:link w:val="NoSpacingChar"/>
    <w:uiPriority w:val="10"/>
    <w:qFormat/>
    <w:rsid w:val="00F83C5C"/>
    <w:pPr>
      <w:spacing w:before="0" w:after="0"/>
    </w:pPr>
  </w:style>
  <w:style w:type="paragraph" w:styleId="ListBullet">
    <w:name w:val="List Bullet"/>
    <w:basedOn w:val="Normal"/>
    <w:link w:val="ListBulletChar"/>
    <w:uiPriority w:val="1"/>
    <w:qFormat/>
    <w:rsid w:val="000C27D0"/>
    <w:pPr>
      <w:numPr>
        <w:numId w:val="19"/>
      </w:numPr>
      <w:contextualSpacing/>
    </w:pPr>
  </w:style>
  <w:style w:type="paragraph" w:styleId="ListBullet2">
    <w:name w:val="List Bullet 2"/>
    <w:basedOn w:val="Normal"/>
    <w:uiPriority w:val="1"/>
    <w:qFormat/>
    <w:rsid w:val="00897E89"/>
    <w:pPr>
      <w:numPr>
        <w:ilvl w:val="1"/>
        <w:numId w:val="19"/>
      </w:numPr>
      <w:contextualSpacing/>
    </w:pPr>
  </w:style>
  <w:style w:type="paragraph" w:styleId="ListNumber">
    <w:name w:val="List Number"/>
    <w:basedOn w:val="Normal"/>
    <w:uiPriority w:val="2"/>
    <w:qFormat/>
    <w:rsid w:val="00697212"/>
    <w:pPr>
      <w:numPr>
        <w:numId w:val="20"/>
      </w:numPr>
      <w:spacing w:before="60"/>
      <w:contextualSpacing/>
    </w:pPr>
  </w:style>
  <w:style w:type="numbering" w:customStyle="1" w:styleId="Bullets">
    <w:name w:val="Bullets"/>
    <w:uiPriority w:val="99"/>
    <w:rsid w:val="00F83C5C"/>
    <w:pPr>
      <w:numPr>
        <w:numId w:val="5"/>
      </w:numPr>
    </w:pPr>
  </w:style>
  <w:style w:type="character" w:customStyle="1" w:styleId="Heading1Char">
    <w:name w:val="Heading 1 Char"/>
    <w:basedOn w:val="DefaultParagraphFont"/>
    <w:link w:val="Heading1"/>
    <w:uiPriority w:val="9"/>
    <w:rsid w:val="00F83C5C"/>
    <w:rPr>
      <w:rFonts w:asciiTheme="majorHAnsi" w:hAnsiTheme="majorHAnsi"/>
      <w:color w:val="FFFFFF" w:themeColor="background1"/>
      <w:sz w:val="42"/>
      <w:szCs w:val="20"/>
      <w:shd w:val="clear" w:color="auto" w:fill="0D8380" w:themeFill="background2"/>
    </w:rPr>
  </w:style>
  <w:style w:type="paragraph" w:styleId="ListNumber2">
    <w:name w:val="List Number 2"/>
    <w:basedOn w:val="Normal"/>
    <w:uiPriority w:val="13"/>
    <w:semiHidden/>
    <w:qFormat/>
    <w:rsid w:val="00F83C5C"/>
    <w:pPr>
      <w:numPr>
        <w:ilvl w:val="1"/>
        <w:numId w:val="20"/>
      </w:numPr>
      <w:spacing w:before="60"/>
      <w:contextualSpacing/>
    </w:pPr>
  </w:style>
  <w:style w:type="character" w:customStyle="1" w:styleId="Heading2Char">
    <w:name w:val="Heading 2 Char"/>
    <w:basedOn w:val="DefaultParagraphFont"/>
    <w:link w:val="Heading2"/>
    <w:uiPriority w:val="9"/>
    <w:rsid w:val="003967CE"/>
    <w:rPr>
      <w:rFonts w:asciiTheme="majorHAnsi" w:eastAsiaTheme="majorEastAsia" w:hAnsiTheme="majorHAnsi" w:cstheme="majorBidi"/>
      <w:color w:val="0D8380" w:themeColor="background2"/>
      <w:sz w:val="30"/>
      <w:szCs w:val="60"/>
    </w:rPr>
  </w:style>
  <w:style w:type="paragraph" w:styleId="ListParagraph">
    <w:name w:val="List Paragraph"/>
    <w:basedOn w:val="Normal"/>
    <w:uiPriority w:val="34"/>
    <w:qFormat/>
    <w:rsid w:val="00F83C5C"/>
    <w:pPr>
      <w:spacing w:line="293" w:lineRule="auto"/>
      <w:ind w:left="284"/>
      <w:contextualSpacing/>
    </w:pPr>
  </w:style>
  <w:style w:type="paragraph" w:styleId="Header">
    <w:name w:val="header"/>
    <w:basedOn w:val="Normal"/>
    <w:link w:val="HeaderChar"/>
    <w:uiPriority w:val="99"/>
    <w:unhideWhenUsed/>
    <w:rsid w:val="00F83C5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F83C5C"/>
    <w:rPr>
      <w:sz w:val="16"/>
      <w:szCs w:val="20"/>
    </w:rPr>
  </w:style>
  <w:style w:type="paragraph" w:styleId="Footer">
    <w:name w:val="footer"/>
    <w:basedOn w:val="Normal"/>
    <w:link w:val="FooterChar"/>
    <w:uiPriority w:val="11"/>
    <w:rsid w:val="003967CE"/>
    <w:pPr>
      <w:tabs>
        <w:tab w:val="center" w:pos="4513"/>
        <w:tab w:val="right" w:pos="9026"/>
      </w:tabs>
      <w:spacing w:after="0" w:line="240" w:lineRule="auto"/>
      <w:contextualSpacing/>
    </w:pPr>
    <w:rPr>
      <w:rFonts w:asciiTheme="majorHAnsi" w:hAnsiTheme="majorHAnsi"/>
      <w:color w:val="88593C" w:themeColor="accent1"/>
      <w:sz w:val="17"/>
      <w:szCs w:val="22"/>
    </w:rPr>
  </w:style>
  <w:style w:type="character" w:customStyle="1" w:styleId="FooterChar">
    <w:name w:val="Footer Char"/>
    <w:basedOn w:val="DefaultParagraphFont"/>
    <w:link w:val="Footer"/>
    <w:uiPriority w:val="11"/>
    <w:rsid w:val="003967CE"/>
    <w:rPr>
      <w:rFonts w:asciiTheme="majorHAnsi" w:hAnsiTheme="majorHAnsi"/>
      <w:color w:val="88593C" w:themeColor="accent1"/>
      <w:sz w:val="17"/>
    </w:rPr>
  </w:style>
  <w:style w:type="numbering" w:customStyle="1" w:styleId="Numbering">
    <w:name w:val="Numbering"/>
    <w:uiPriority w:val="99"/>
    <w:rsid w:val="00F83C5C"/>
    <w:pPr>
      <w:numPr>
        <w:numId w:val="14"/>
      </w:numPr>
    </w:pPr>
  </w:style>
  <w:style w:type="paragraph" w:styleId="ListBullet3">
    <w:name w:val="List Bullet 3"/>
    <w:basedOn w:val="Normal"/>
    <w:uiPriority w:val="1"/>
    <w:qFormat/>
    <w:rsid w:val="00AE528A"/>
    <w:pPr>
      <w:numPr>
        <w:ilvl w:val="2"/>
        <w:numId w:val="19"/>
      </w:numPr>
      <w:contextualSpacing/>
    </w:pPr>
  </w:style>
  <w:style w:type="paragraph" w:styleId="ListContinue2">
    <w:name w:val="List Continue 2"/>
    <w:basedOn w:val="Normal"/>
    <w:uiPriority w:val="3"/>
    <w:unhideWhenUsed/>
    <w:qFormat/>
    <w:rsid w:val="00F83C5C"/>
    <w:pPr>
      <w:spacing w:before="60"/>
      <w:ind w:left="454"/>
    </w:pPr>
  </w:style>
  <w:style w:type="paragraph" w:styleId="ListNumber3">
    <w:name w:val="List Number 3"/>
    <w:basedOn w:val="Normal"/>
    <w:uiPriority w:val="13"/>
    <w:semiHidden/>
    <w:qFormat/>
    <w:rsid w:val="00F83C5C"/>
    <w:pPr>
      <w:numPr>
        <w:ilvl w:val="2"/>
        <w:numId w:val="20"/>
      </w:numPr>
      <w:spacing w:before="60"/>
      <w:contextualSpacing/>
    </w:pPr>
  </w:style>
  <w:style w:type="paragraph" w:styleId="ListNumber4">
    <w:name w:val="List Number 4"/>
    <w:basedOn w:val="Normal"/>
    <w:uiPriority w:val="13"/>
    <w:semiHidden/>
    <w:qFormat/>
    <w:rsid w:val="00F83C5C"/>
    <w:pPr>
      <w:numPr>
        <w:ilvl w:val="3"/>
        <w:numId w:val="20"/>
      </w:numPr>
      <w:spacing w:after="200" w:line="293" w:lineRule="auto"/>
      <w:contextualSpacing/>
    </w:pPr>
  </w:style>
  <w:style w:type="paragraph" w:styleId="ListNumber5">
    <w:name w:val="List Number 5"/>
    <w:basedOn w:val="Normal"/>
    <w:uiPriority w:val="13"/>
    <w:semiHidden/>
    <w:rsid w:val="00F83C5C"/>
    <w:pPr>
      <w:numPr>
        <w:ilvl w:val="4"/>
        <w:numId w:val="20"/>
      </w:numPr>
      <w:spacing w:after="200" w:line="293" w:lineRule="auto"/>
      <w:contextualSpacing/>
    </w:pPr>
  </w:style>
  <w:style w:type="paragraph" w:styleId="ListContinue">
    <w:name w:val="List Continue"/>
    <w:basedOn w:val="Normal"/>
    <w:uiPriority w:val="3"/>
    <w:unhideWhenUsed/>
    <w:qFormat/>
    <w:rsid w:val="00F83C5C"/>
    <w:pPr>
      <w:spacing w:before="60"/>
      <w:ind w:left="227"/>
    </w:pPr>
  </w:style>
  <w:style w:type="paragraph" w:styleId="ListContinue3">
    <w:name w:val="List Continue 3"/>
    <w:basedOn w:val="Normal"/>
    <w:uiPriority w:val="3"/>
    <w:unhideWhenUsed/>
    <w:qFormat/>
    <w:rsid w:val="00F83C5C"/>
    <w:pPr>
      <w:spacing w:before="60"/>
      <w:ind w:left="907"/>
    </w:pPr>
  </w:style>
  <w:style w:type="paragraph" w:styleId="ListContinue4">
    <w:name w:val="List Continue 4"/>
    <w:basedOn w:val="Normal"/>
    <w:uiPriority w:val="3"/>
    <w:unhideWhenUsed/>
    <w:qFormat/>
    <w:rsid w:val="00F83C5C"/>
    <w:pPr>
      <w:spacing w:line="293" w:lineRule="auto"/>
      <w:ind w:left="907"/>
      <w:contextualSpacing/>
    </w:pPr>
  </w:style>
  <w:style w:type="character" w:customStyle="1" w:styleId="Heading3Char">
    <w:name w:val="Heading 3 Char"/>
    <w:basedOn w:val="DefaultParagraphFont"/>
    <w:link w:val="Heading3"/>
    <w:uiPriority w:val="9"/>
    <w:rsid w:val="003967CE"/>
    <w:rPr>
      <w:rFonts w:asciiTheme="majorHAnsi" w:eastAsiaTheme="majorEastAsia" w:hAnsiTheme="majorHAnsi" w:cstheme="majorBidi"/>
      <w:color w:val="CB6027" w:themeColor="text2"/>
      <w:sz w:val="26"/>
      <w:szCs w:val="37"/>
    </w:rPr>
  </w:style>
  <w:style w:type="character" w:customStyle="1" w:styleId="Heading4Char">
    <w:name w:val="Heading 4 Char"/>
    <w:basedOn w:val="DefaultParagraphFont"/>
    <w:link w:val="Heading4"/>
    <w:uiPriority w:val="9"/>
    <w:rsid w:val="003967CE"/>
    <w:rPr>
      <w:rFonts w:asciiTheme="majorHAnsi" w:eastAsiaTheme="majorEastAsia" w:hAnsiTheme="majorHAnsi" w:cstheme="majorBidi"/>
      <w:iCs/>
      <w:color w:val="88593C" w:themeColor="accent1"/>
      <w:szCs w:val="33"/>
    </w:rPr>
  </w:style>
  <w:style w:type="character" w:customStyle="1" w:styleId="Heading5Char">
    <w:name w:val="Heading 5 Char"/>
    <w:basedOn w:val="DefaultParagraphFont"/>
    <w:link w:val="Heading5"/>
    <w:uiPriority w:val="9"/>
    <w:rsid w:val="003967CE"/>
    <w:rPr>
      <w:rFonts w:eastAsiaTheme="majorEastAsia" w:cstheme="majorBidi"/>
      <w:b/>
      <w:color w:val="CB6027" w:themeColor="text2"/>
      <w:szCs w:val="29"/>
    </w:rPr>
  </w:style>
  <w:style w:type="numbering" w:customStyle="1" w:styleId="ListHeadings">
    <w:name w:val="List Headings"/>
    <w:uiPriority w:val="99"/>
    <w:rsid w:val="00F83C5C"/>
    <w:pPr>
      <w:numPr>
        <w:numId w:val="12"/>
      </w:numPr>
    </w:pPr>
  </w:style>
  <w:style w:type="paragraph" w:styleId="Title">
    <w:name w:val="Title"/>
    <w:basedOn w:val="Heading1"/>
    <w:next w:val="Normal"/>
    <w:link w:val="TitleChar"/>
    <w:uiPriority w:val="39"/>
    <w:qFormat/>
    <w:rsid w:val="00F83C5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F83C5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F83C5C"/>
    <w:pPr>
      <w:pBdr>
        <w:top w:val="single" w:sz="4" w:space="4" w:color="CB6027" w:themeColor="text2"/>
        <w:left w:val="single" w:sz="4" w:space="4" w:color="CB6027" w:themeColor="text2"/>
        <w:bottom w:val="single" w:sz="4" w:space="4" w:color="CB6027" w:themeColor="text2"/>
        <w:right w:val="single" w:sz="4" w:space="4" w:color="CB6027" w:themeColor="text2"/>
      </w:pBdr>
      <w:shd w:val="clear" w:color="auto" w:fill="CB6027"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F83C5C"/>
    <w:rPr>
      <w:b/>
    </w:rPr>
  </w:style>
  <w:style w:type="character" w:customStyle="1" w:styleId="Pull-outQuoteChar">
    <w:name w:val="Pull-out Quote Char"/>
    <w:basedOn w:val="DefaultParagraphFont"/>
    <w:link w:val="Pull-outQuote"/>
    <w:uiPriority w:val="99"/>
    <w:semiHidden/>
    <w:rsid w:val="00F83C5C"/>
    <w:rPr>
      <w:color w:val="FFFFFF" w:themeColor="background1"/>
      <w:sz w:val="20"/>
      <w:szCs w:val="20"/>
      <w:shd w:val="clear" w:color="auto" w:fill="CB6027" w:themeFill="text2"/>
    </w:rPr>
  </w:style>
  <w:style w:type="character" w:customStyle="1" w:styleId="Pull-outQuoteHeadingChar">
    <w:name w:val="Pull-out Quote Heading Char"/>
    <w:basedOn w:val="Pull-outQuoteChar"/>
    <w:link w:val="Pull-outQuoteHeading"/>
    <w:uiPriority w:val="99"/>
    <w:semiHidden/>
    <w:rsid w:val="00F83C5C"/>
    <w:rPr>
      <w:b/>
      <w:color w:val="FFFFFF" w:themeColor="background1"/>
      <w:sz w:val="20"/>
      <w:szCs w:val="20"/>
      <w:shd w:val="clear" w:color="auto" w:fill="CB6027" w:themeFill="text2"/>
    </w:rPr>
  </w:style>
  <w:style w:type="paragraph" w:customStyle="1" w:styleId="NumberedHeading1">
    <w:name w:val="Numbered Heading 1"/>
    <w:basedOn w:val="Heading1"/>
    <w:next w:val="Normal"/>
    <w:link w:val="NumberedHeading1Char"/>
    <w:uiPriority w:val="9"/>
    <w:semiHidden/>
    <w:rsid w:val="00F83C5C"/>
  </w:style>
  <w:style w:type="paragraph" w:customStyle="1" w:styleId="NumberedHeading2">
    <w:name w:val="Numbered Heading 2"/>
    <w:basedOn w:val="Heading2"/>
    <w:next w:val="Normal"/>
    <w:link w:val="NumberedHeading2Char"/>
    <w:uiPriority w:val="9"/>
    <w:semiHidden/>
    <w:rsid w:val="00F83C5C"/>
  </w:style>
  <w:style w:type="character" w:customStyle="1" w:styleId="NumberedHeading1Char">
    <w:name w:val="Numbered Heading 1 Char"/>
    <w:basedOn w:val="Heading1Char"/>
    <w:link w:val="NumberedHeading1"/>
    <w:uiPriority w:val="9"/>
    <w:semiHidden/>
    <w:rsid w:val="00F83C5C"/>
    <w:rPr>
      <w:rFonts w:asciiTheme="majorHAnsi" w:hAnsiTheme="majorHAnsi"/>
      <w:color w:val="FFFFFF" w:themeColor="background1"/>
      <w:sz w:val="42"/>
      <w:szCs w:val="20"/>
      <w:shd w:val="clear" w:color="auto" w:fill="0D8380" w:themeFill="background2"/>
    </w:rPr>
  </w:style>
  <w:style w:type="character" w:customStyle="1" w:styleId="NumberedHeading2Char">
    <w:name w:val="Numbered Heading 2 Char"/>
    <w:basedOn w:val="Heading2Char"/>
    <w:link w:val="NumberedHeading2"/>
    <w:uiPriority w:val="9"/>
    <w:semiHidden/>
    <w:rsid w:val="00F83C5C"/>
    <w:rPr>
      <w:rFonts w:asciiTheme="majorHAnsi" w:eastAsiaTheme="majorEastAsia" w:hAnsiTheme="majorHAnsi" w:cstheme="majorBidi"/>
      <w:color w:val="0D8380" w:themeColor="background2"/>
      <w:sz w:val="30"/>
      <w:szCs w:val="60"/>
    </w:rPr>
  </w:style>
  <w:style w:type="paragraph" w:styleId="ListContinue5">
    <w:name w:val="List Continue 5"/>
    <w:basedOn w:val="Normal"/>
    <w:uiPriority w:val="3"/>
    <w:unhideWhenUsed/>
    <w:qFormat/>
    <w:rsid w:val="00F83C5C"/>
    <w:pPr>
      <w:ind w:left="1134"/>
      <w:contextualSpacing/>
    </w:pPr>
  </w:style>
  <w:style w:type="table" w:styleId="TableGrid">
    <w:name w:val="Table Grid"/>
    <w:basedOn w:val="TableNormal"/>
    <w:uiPriority w:val="39"/>
    <w:rsid w:val="00F83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83C5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83C5C"/>
    <w:pPr>
      <w:numPr>
        <w:numId w:val="9"/>
      </w:numPr>
      <w:spacing w:before="60"/>
    </w:pPr>
  </w:style>
  <w:style w:type="paragraph" w:styleId="List2">
    <w:name w:val="List 2"/>
    <w:basedOn w:val="Normal"/>
    <w:uiPriority w:val="99"/>
    <w:semiHidden/>
    <w:qFormat/>
    <w:rsid w:val="00F83C5C"/>
    <w:pPr>
      <w:numPr>
        <w:ilvl w:val="1"/>
        <w:numId w:val="9"/>
      </w:numPr>
      <w:spacing w:before="60"/>
    </w:pPr>
  </w:style>
  <w:style w:type="numbering" w:customStyle="1" w:styleId="LetteredList">
    <w:name w:val="Lettered List"/>
    <w:uiPriority w:val="99"/>
    <w:rsid w:val="00F83C5C"/>
    <w:pPr>
      <w:numPr>
        <w:numId w:val="8"/>
      </w:numPr>
    </w:pPr>
  </w:style>
  <w:style w:type="paragraph" w:styleId="Subtitle">
    <w:name w:val="Subtitle"/>
    <w:basedOn w:val="Normal"/>
    <w:next w:val="Normal"/>
    <w:link w:val="SubtitleChar"/>
    <w:uiPriority w:val="39"/>
    <w:qFormat/>
    <w:rsid w:val="00F83C5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F83C5C"/>
    <w:rPr>
      <w:rFonts w:eastAsiaTheme="minorEastAsia"/>
      <w:color w:val="FFFFFF" w:themeColor="background1"/>
      <w:sz w:val="52"/>
      <w:szCs w:val="20"/>
    </w:rPr>
  </w:style>
  <w:style w:type="character" w:styleId="Strong">
    <w:name w:val="Strong"/>
    <w:basedOn w:val="DefaultParagraphFont"/>
    <w:uiPriority w:val="22"/>
    <w:qFormat/>
    <w:rsid w:val="00F83C5C"/>
    <w:rPr>
      <w:rFonts w:asciiTheme="minorHAnsi" w:hAnsiTheme="minorHAnsi"/>
      <w:b/>
      <w:bCs/>
    </w:rPr>
  </w:style>
  <w:style w:type="paragraph" w:customStyle="1" w:styleId="Header-Keyline">
    <w:name w:val="Header - Keyline"/>
    <w:basedOn w:val="Header"/>
    <w:link w:val="Header-KeylineChar"/>
    <w:uiPriority w:val="99"/>
    <w:rsid w:val="003967CE"/>
    <w:pPr>
      <w:pBdr>
        <w:bottom w:val="single" w:sz="4" w:space="31" w:color="CB6027" w:themeColor="text2"/>
      </w:pBdr>
      <w:spacing w:after="600"/>
    </w:pPr>
    <w:rPr>
      <w:color w:val="88593C" w:themeColor="accent1"/>
    </w:rPr>
  </w:style>
  <w:style w:type="character" w:customStyle="1" w:styleId="Heading6Char">
    <w:name w:val="Heading 6 Char"/>
    <w:basedOn w:val="DefaultParagraphFont"/>
    <w:link w:val="Heading6"/>
    <w:uiPriority w:val="9"/>
    <w:rsid w:val="00F83C5C"/>
    <w:rPr>
      <w:rFonts w:eastAsiaTheme="majorEastAsia" w:cstheme="minorHAnsi"/>
      <w:b/>
      <w:bCs/>
      <w:i/>
      <w:color w:val="0D8380" w:themeColor="background2"/>
      <w:sz w:val="20"/>
      <w:szCs w:val="24"/>
    </w:rPr>
  </w:style>
  <w:style w:type="character" w:customStyle="1" w:styleId="Header-KeylineChar">
    <w:name w:val="Header - Keyline Char"/>
    <w:basedOn w:val="HeaderChar"/>
    <w:link w:val="Header-Keyline"/>
    <w:uiPriority w:val="99"/>
    <w:rsid w:val="003967CE"/>
    <w:rPr>
      <w:color w:val="88593C" w:themeColor="accent1"/>
      <w:sz w:val="16"/>
      <w:szCs w:val="20"/>
    </w:rPr>
  </w:style>
  <w:style w:type="character" w:customStyle="1" w:styleId="Heading7Char">
    <w:name w:val="Heading 7 Char"/>
    <w:basedOn w:val="DefaultParagraphFont"/>
    <w:link w:val="Heading7"/>
    <w:uiPriority w:val="9"/>
    <w:semiHidden/>
    <w:rsid w:val="00F83C5C"/>
    <w:rPr>
      <w:rFonts w:eastAsiaTheme="majorEastAsia" w:cstheme="minorHAnsi"/>
      <w:b/>
      <w:bCs/>
      <w:i/>
      <w:iCs/>
      <w:color w:val="0D8380" w:themeColor="background2"/>
      <w:sz w:val="20"/>
    </w:rPr>
  </w:style>
  <w:style w:type="character" w:customStyle="1" w:styleId="Heading8Char">
    <w:name w:val="Heading 8 Char"/>
    <w:basedOn w:val="DefaultParagraphFont"/>
    <w:link w:val="Heading8"/>
    <w:uiPriority w:val="9"/>
    <w:semiHidden/>
    <w:rsid w:val="00F83C5C"/>
    <w:rPr>
      <w:rFonts w:eastAsiaTheme="majorEastAsia" w:cstheme="majorBidi"/>
      <w:b/>
      <w:sz w:val="18"/>
      <w:szCs w:val="21"/>
    </w:rPr>
  </w:style>
  <w:style w:type="table" w:customStyle="1" w:styleId="ProductivityCommissionTable1">
    <w:name w:val="Productivity Commission Table 1"/>
    <w:basedOn w:val="TableNormal"/>
    <w:uiPriority w:val="99"/>
    <w:rsid w:val="00F83C5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0D8380" w:themeColor="background2"/>
      </w:rPr>
    </w:tblStylePr>
    <w:tblStylePr w:type="firstCol">
      <w:rPr>
        <w:b/>
        <w:color w:val="0D8380"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F83C5C"/>
    <w:rPr>
      <w:rFonts w:asciiTheme="majorHAnsi" w:hAnsiTheme="majorHAnsi"/>
      <w:color w:val="E3B282" w:themeColor="accent2"/>
      <w:sz w:val="18"/>
      <w:szCs w:val="18"/>
    </w:rPr>
  </w:style>
  <w:style w:type="table" w:customStyle="1" w:styleId="ProductivityCommissionTable3">
    <w:name w:val="Productivity Commission Table 3"/>
    <w:basedOn w:val="TableNormal"/>
    <w:uiPriority w:val="99"/>
    <w:rsid w:val="00F83C5C"/>
    <w:pPr>
      <w:spacing w:after="0" w:line="240" w:lineRule="auto"/>
      <w:jc w:val="right"/>
    </w:pPr>
    <w:tblPr>
      <w:tblCellMar>
        <w:top w:w="45" w:type="dxa"/>
        <w:left w:w="0" w:type="dxa"/>
        <w:bottom w:w="45" w:type="dxa"/>
        <w:right w:w="28" w:type="dxa"/>
      </w:tblCellMar>
    </w:tblPr>
    <w:tblStylePr w:type="firstRow">
      <w:rPr>
        <w:b/>
        <w:color w:val="CB6027" w:themeColor="text2"/>
      </w:rPr>
      <w:tblPr/>
      <w:tcPr>
        <w:tcBorders>
          <w:top w:val="nil"/>
          <w:left w:val="nil"/>
          <w:bottom w:val="single" w:sz="4" w:space="0" w:color="286CB5" w:themeColor="accent3"/>
          <w:right w:val="nil"/>
          <w:insideH w:val="nil"/>
          <w:insideV w:val="nil"/>
          <w:tl2br w:val="nil"/>
          <w:tr2bl w:val="nil"/>
        </w:tcBorders>
      </w:tcPr>
    </w:tblStylePr>
    <w:tblStylePr w:type="lastRow">
      <w:rPr>
        <w:b/>
      </w:rPr>
      <w:tblPr/>
      <w:tcPr>
        <w:tcBorders>
          <w:top w:val="single" w:sz="4" w:space="0" w:color="286CB5" w:themeColor="accent3"/>
          <w:left w:val="nil"/>
          <w:bottom w:val="single" w:sz="4" w:space="0" w:color="286CB5"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F83C5C"/>
    <w:pPr>
      <w:spacing w:before="240" w:after="240" w:line="500" w:lineRule="atLeast"/>
      <w:outlineLvl w:val="0"/>
    </w:pPr>
    <w:rPr>
      <w:rFonts w:asciiTheme="majorHAnsi" w:hAnsiTheme="majorHAnsi"/>
      <w:color w:val="0D8380" w:themeColor="background2"/>
      <w:sz w:val="42"/>
      <w:szCs w:val="20"/>
    </w:rPr>
  </w:style>
  <w:style w:type="paragraph" w:styleId="FootnoteText">
    <w:name w:val="footnote text"/>
    <w:basedOn w:val="Normal"/>
    <w:link w:val="FootnoteTextChar"/>
    <w:uiPriority w:val="99"/>
    <w:rsid w:val="00F83C5C"/>
    <w:pPr>
      <w:spacing w:before="60" w:after="60" w:line="293" w:lineRule="auto"/>
      <w:contextualSpacing/>
    </w:pPr>
    <w:rPr>
      <w:sz w:val="18"/>
    </w:rPr>
  </w:style>
  <w:style w:type="paragraph" w:styleId="TOC1">
    <w:name w:val="toc 1"/>
    <w:basedOn w:val="Normal"/>
    <w:next w:val="BodyText"/>
    <w:autoRedefine/>
    <w:uiPriority w:val="39"/>
    <w:unhideWhenUsed/>
    <w:rsid w:val="000D11F3"/>
    <w:pPr>
      <w:tabs>
        <w:tab w:val="left" w:pos="567"/>
        <w:tab w:val="right" w:pos="7938"/>
      </w:tabs>
      <w:spacing w:before="240" w:after="100" w:line="293" w:lineRule="auto"/>
      <w:ind w:left="567" w:right="1701" w:hanging="567"/>
    </w:pPr>
    <w:rPr>
      <w:rFonts w:asciiTheme="majorHAnsi" w:hAnsiTheme="majorHAnsi"/>
      <w:color w:val="414140"/>
    </w:rPr>
  </w:style>
  <w:style w:type="character" w:customStyle="1" w:styleId="FootnoteTextChar">
    <w:name w:val="Footnote Text Char"/>
    <w:basedOn w:val="DefaultParagraphFont"/>
    <w:link w:val="FootnoteText"/>
    <w:uiPriority w:val="99"/>
    <w:rsid w:val="00F83C5C"/>
    <w:rPr>
      <w:sz w:val="18"/>
      <w:szCs w:val="20"/>
    </w:rPr>
  </w:style>
  <w:style w:type="character" w:styleId="FootnoteReference">
    <w:name w:val="footnote reference"/>
    <w:basedOn w:val="DefaultParagraphFont"/>
    <w:uiPriority w:val="99"/>
    <w:semiHidden/>
    <w:unhideWhenUsed/>
    <w:rsid w:val="00F83C5C"/>
    <w:rPr>
      <w:vertAlign w:val="superscript"/>
    </w:rPr>
  </w:style>
  <w:style w:type="character" w:styleId="Hyperlink">
    <w:name w:val="Hyperlink"/>
    <w:basedOn w:val="DefaultParagraphFont"/>
    <w:uiPriority w:val="99"/>
    <w:unhideWhenUsed/>
    <w:rsid w:val="00F83C5C"/>
    <w:rPr>
      <w:color w:val="134882" w:themeColor="hyperlink"/>
      <w:u w:val="single"/>
    </w:rPr>
  </w:style>
  <w:style w:type="character" w:styleId="HTMLVariable">
    <w:name w:val="HTML Variable"/>
    <w:basedOn w:val="DefaultParagraphFont"/>
    <w:uiPriority w:val="99"/>
    <w:unhideWhenUsed/>
    <w:rsid w:val="00F83C5C"/>
    <w:rPr>
      <w:i/>
      <w:iCs/>
    </w:rPr>
  </w:style>
  <w:style w:type="paragraph" w:styleId="TOC2">
    <w:name w:val="toc 2"/>
    <w:basedOn w:val="Normal"/>
    <w:next w:val="Normal"/>
    <w:autoRedefine/>
    <w:uiPriority w:val="39"/>
    <w:unhideWhenUsed/>
    <w:rsid w:val="00F83C5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83C5C"/>
    <w:pPr>
      <w:tabs>
        <w:tab w:val="right" w:pos="7938"/>
      </w:tabs>
      <w:spacing w:after="100" w:line="293" w:lineRule="auto"/>
      <w:ind w:right="1701"/>
    </w:pPr>
    <w:rPr>
      <w:rFonts w:asciiTheme="majorHAnsi" w:hAnsiTheme="majorHAnsi"/>
      <w:color w:val="0D8380" w:themeColor="background2"/>
    </w:rPr>
  </w:style>
  <w:style w:type="paragraph" w:customStyle="1" w:styleId="Subtitle2">
    <w:name w:val="Subtitle 2"/>
    <w:basedOn w:val="Normal"/>
    <w:link w:val="Subtitle2Char"/>
    <w:uiPriority w:val="39"/>
    <w:rsid w:val="00F83C5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F83C5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F83C5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F83C5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F83C5C"/>
    <w:rPr>
      <w:sz w:val="20"/>
      <w:szCs w:val="20"/>
    </w:rPr>
  </w:style>
  <w:style w:type="character" w:customStyle="1" w:styleId="Copyrightpage-Heading2Char">
    <w:name w:val="Copyright page-Heading 2 Char"/>
    <w:basedOn w:val="NoSpacingChar"/>
    <w:link w:val="Copyrightpage-Heading2"/>
    <w:uiPriority w:val="19"/>
    <w:rsid w:val="00F83C5C"/>
    <w:rPr>
      <w:b/>
      <w:color w:val="FFFFFF" w:themeColor="background1"/>
      <w:sz w:val="16"/>
      <w:szCs w:val="16"/>
    </w:rPr>
  </w:style>
  <w:style w:type="paragraph" w:customStyle="1" w:styleId="Copyrightpage-Heading">
    <w:name w:val="Copyright page-Heading"/>
    <w:basedOn w:val="Subtitle2"/>
    <w:link w:val="Copyrightpage-HeadingChar"/>
    <w:uiPriority w:val="19"/>
    <w:rsid w:val="00F83C5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F83C5C"/>
    <w:rPr>
      <w:color w:val="FFFFFF" w:themeColor="background1"/>
      <w:sz w:val="16"/>
      <w:szCs w:val="20"/>
    </w:rPr>
  </w:style>
  <w:style w:type="paragraph" w:customStyle="1" w:styleId="Subtitle4">
    <w:name w:val="Subtitle 4"/>
    <w:basedOn w:val="Copyrightpage-Heading"/>
    <w:link w:val="Subtitle4Char"/>
    <w:uiPriority w:val="39"/>
    <w:rsid w:val="00F83C5C"/>
    <w:pPr>
      <w:spacing w:after="40"/>
    </w:pPr>
    <w:rPr>
      <w:b/>
      <w:sz w:val="16"/>
    </w:rPr>
  </w:style>
  <w:style w:type="character" w:customStyle="1" w:styleId="Copyrightpage-HeadingChar">
    <w:name w:val="Copyright page-Heading Char"/>
    <w:basedOn w:val="Subtitle2Char"/>
    <w:link w:val="Copyrightpage-Heading"/>
    <w:uiPriority w:val="19"/>
    <w:rsid w:val="00F83C5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F83C5C"/>
    <w:pPr>
      <w:spacing w:before="600" w:after="480" w:line="504" w:lineRule="atLeast"/>
    </w:pPr>
    <w:rPr>
      <w:rFonts w:asciiTheme="majorHAnsi" w:eastAsiaTheme="majorEastAsia" w:hAnsiTheme="majorHAnsi" w:cstheme="majorBidi"/>
      <w:b/>
      <w:color w:val="0D8380" w:themeColor="background2"/>
      <w:sz w:val="42"/>
      <w:szCs w:val="68"/>
    </w:rPr>
  </w:style>
  <w:style w:type="character" w:customStyle="1" w:styleId="Subtitle4Char">
    <w:name w:val="Subtitle 4 Char"/>
    <w:basedOn w:val="Copyrightpage-HeadingChar"/>
    <w:link w:val="Subtitle4"/>
    <w:uiPriority w:val="39"/>
    <w:rsid w:val="00F83C5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3967CE"/>
    <w:pPr>
      <w:spacing w:before="240" w:after="120" w:line="360" w:lineRule="atLeast"/>
    </w:pPr>
    <w:rPr>
      <w:rFonts w:asciiTheme="majorHAnsi" w:eastAsiaTheme="majorEastAsia" w:hAnsiTheme="majorHAnsi" w:cstheme="majorBidi"/>
      <w:color w:val="0D8380" w:themeColor="background2"/>
      <w:sz w:val="30"/>
      <w:szCs w:val="60"/>
    </w:rPr>
  </w:style>
  <w:style w:type="paragraph" w:styleId="TOC4">
    <w:name w:val="toc 4"/>
    <w:basedOn w:val="Normal"/>
    <w:next w:val="Normal"/>
    <w:autoRedefine/>
    <w:uiPriority w:val="39"/>
    <w:unhideWhenUsed/>
    <w:rsid w:val="00F83C5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F83C5C"/>
    <w:pPr>
      <w:spacing w:line="360" w:lineRule="auto"/>
      <w:jc w:val="right"/>
    </w:pPr>
    <w:rPr>
      <w:sz w:val="16"/>
    </w:rPr>
  </w:style>
  <w:style w:type="paragraph" w:customStyle="1" w:styleId="Letterlogo">
    <w:name w:val="Letter logo"/>
    <w:basedOn w:val="LetterRight"/>
    <w:uiPriority w:val="99"/>
    <w:rsid w:val="00F83C5C"/>
    <w:pPr>
      <w:spacing w:after="320"/>
    </w:pPr>
  </w:style>
  <w:style w:type="character" w:customStyle="1" w:styleId="LetterRightChar">
    <w:name w:val="Letter Right Char"/>
    <w:basedOn w:val="DefaultParagraphFont"/>
    <w:link w:val="LetterRight"/>
    <w:uiPriority w:val="99"/>
    <w:rsid w:val="00F83C5C"/>
    <w:rPr>
      <w:sz w:val="16"/>
      <w:szCs w:val="20"/>
    </w:rPr>
  </w:style>
  <w:style w:type="character" w:styleId="UnresolvedMention">
    <w:name w:val="Unresolved Mention"/>
    <w:basedOn w:val="DefaultParagraphFont"/>
    <w:uiPriority w:val="99"/>
    <w:semiHidden/>
    <w:unhideWhenUsed/>
    <w:rsid w:val="00F83C5C"/>
    <w:rPr>
      <w:color w:val="605E5C"/>
      <w:shd w:val="clear" w:color="auto" w:fill="E1DFDD"/>
    </w:rPr>
  </w:style>
  <w:style w:type="paragraph" w:customStyle="1" w:styleId="LetterRight-NoSpace">
    <w:name w:val="Letter Right-No Space"/>
    <w:basedOn w:val="LetterRight"/>
    <w:uiPriority w:val="99"/>
    <w:rsid w:val="00F83C5C"/>
    <w:pPr>
      <w:spacing w:after="0"/>
    </w:pPr>
  </w:style>
  <w:style w:type="table" w:customStyle="1" w:styleId="Blank">
    <w:name w:val="Blank"/>
    <w:basedOn w:val="TableNormal"/>
    <w:uiPriority w:val="99"/>
    <w:rsid w:val="00F83C5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F83C5C"/>
    <w:pPr>
      <w:numPr>
        <w:numId w:val="11"/>
      </w:numPr>
      <w:contextualSpacing/>
    </w:pPr>
  </w:style>
  <w:style w:type="paragraph" w:customStyle="1" w:styleId="Coverdate">
    <w:name w:val="Cover date"/>
    <w:basedOn w:val="Normal"/>
    <w:uiPriority w:val="29"/>
    <w:rsid w:val="00F83C5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F83C5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0D8380" w:themeColor="background2"/>
      </w:rPr>
    </w:tblStylePr>
    <w:tblStylePr w:type="firstCol">
      <w:rPr>
        <w:b/>
        <w:color w:val="0D8380" w:themeColor="background2"/>
      </w:rPr>
    </w:tblStylePr>
    <w:tblStylePr w:type="band1Horz">
      <w:tblPr/>
      <w:tcPr>
        <w:shd w:val="clear" w:color="auto" w:fill="F1F1F2"/>
      </w:tcPr>
    </w:tblStylePr>
  </w:style>
  <w:style w:type="character" w:customStyle="1" w:styleId="White">
    <w:name w:val="White"/>
    <w:basedOn w:val="DefaultParagraphFont"/>
    <w:uiPriority w:val="10"/>
    <w:rsid w:val="00F83C5C"/>
    <w:rPr>
      <w:color w:val="FFFFFF" w:themeColor="background1"/>
    </w:rPr>
  </w:style>
  <w:style w:type="paragraph" w:customStyle="1" w:styleId="Copyrightpage-Keylinenotext">
    <w:name w:val="Copyright page-Keyline (no text)"/>
    <w:basedOn w:val="Copyrightpage-Heading2"/>
    <w:uiPriority w:val="19"/>
    <w:rsid w:val="00AB424C"/>
    <w:pPr>
      <w:pBdr>
        <w:top w:val="single" w:sz="4" w:space="8" w:color="FFFFFF" w:themeColor="background1"/>
      </w:pBdr>
      <w:spacing w:after="0" w:line="168" w:lineRule="auto"/>
    </w:pPr>
    <w:rPr>
      <w:b w:val="0"/>
      <w:color w:val="0D8380" w:themeColor="background2"/>
    </w:rPr>
  </w:style>
  <w:style w:type="table" w:customStyle="1" w:styleId="ProductivityCommissionTable4">
    <w:name w:val="Productivity Commission Table 4"/>
    <w:basedOn w:val="ProductivityCommissionTable3"/>
    <w:uiPriority w:val="99"/>
    <w:rsid w:val="00F83C5C"/>
    <w:pPr>
      <w:jc w:val="left"/>
    </w:pPr>
    <w:tblPr/>
    <w:tblStylePr w:type="firstRow">
      <w:rPr>
        <w:b/>
        <w:color w:val="0D8380"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F83C5C"/>
    <w:rPr>
      <w:b/>
    </w:rPr>
  </w:style>
  <w:style w:type="paragraph" w:customStyle="1" w:styleId="CoverImage">
    <w:name w:val="Cover Image"/>
    <w:basedOn w:val="Normal"/>
    <w:uiPriority w:val="29"/>
    <w:rsid w:val="00F83C5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F83C5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F83C5C"/>
    <w:pPr>
      <w:spacing w:after="0" w:line="240" w:lineRule="auto"/>
    </w:pPr>
    <w:tblPr>
      <w:tblCellMar>
        <w:top w:w="567" w:type="dxa"/>
        <w:left w:w="567" w:type="dxa"/>
        <w:bottom w:w="680" w:type="dxa"/>
        <w:right w:w="1134" w:type="dxa"/>
      </w:tblCellMar>
    </w:tblPr>
    <w:tcPr>
      <w:shd w:val="clear" w:color="auto" w:fill="0D8380" w:themeFill="background2"/>
      <w:vAlign w:val="bottom"/>
    </w:tcPr>
  </w:style>
  <w:style w:type="paragraph" w:styleId="Quote">
    <w:name w:val="Quote"/>
    <w:basedOn w:val="BodyText"/>
    <w:next w:val="BodyText"/>
    <w:link w:val="QuoteChar"/>
    <w:uiPriority w:val="1"/>
    <w:qFormat/>
    <w:rsid w:val="00F83C5C"/>
    <w:pPr>
      <w:spacing w:before="60"/>
      <w:ind w:left="113" w:right="851"/>
    </w:pPr>
    <w:rPr>
      <w:color w:val="58585B"/>
    </w:rPr>
  </w:style>
  <w:style w:type="numbering" w:customStyle="1" w:styleId="TOCList">
    <w:name w:val="TOC List"/>
    <w:uiPriority w:val="99"/>
    <w:rsid w:val="00F83C5C"/>
    <w:pPr>
      <w:numPr>
        <w:numId w:val="16"/>
      </w:numPr>
    </w:pPr>
  </w:style>
  <w:style w:type="paragraph" w:customStyle="1" w:styleId="Heading1-Section-fullpage">
    <w:name w:val="Heading 1-Section-full page"/>
    <w:basedOn w:val="Heading1-nobackground"/>
    <w:uiPriority w:val="9"/>
    <w:qFormat/>
    <w:rsid w:val="003967CE"/>
    <w:pPr>
      <w:framePr w:w="9639" w:h="13041" w:hRule="exact" w:wrap="around" w:vAnchor="text" w:hAnchor="text" w:y="1" w:anchorLock="1"/>
      <w:pBdr>
        <w:top w:val="single" w:sz="4" w:space="31" w:color="0D8380" w:themeColor="background2"/>
        <w:left w:val="single" w:sz="4" w:space="26" w:color="0D8380" w:themeColor="background2"/>
        <w:bottom w:val="single" w:sz="4" w:space="26" w:color="0D8380" w:themeColor="background2"/>
        <w:right w:val="single" w:sz="4" w:space="26" w:color="0D8380" w:themeColor="background2"/>
      </w:pBdr>
      <w:shd w:val="clear" w:color="auto" w:fill="0D8380" w:themeFill="background2"/>
      <w:spacing w:before="0"/>
      <w:ind w:left="567" w:right="567"/>
    </w:pPr>
    <w:rPr>
      <w:color w:val="FFFFFF" w:themeColor="background1"/>
    </w:rPr>
  </w:style>
  <w:style w:type="table" w:customStyle="1" w:styleId="Texttable-Paleblue">
    <w:name w:val="Text table-Pale blue"/>
    <w:basedOn w:val="TableNormal"/>
    <w:uiPriority w:val="99"/>
    <w:rsid w:val="00F83C5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F83C5C"/>
    <w:pPr>
      <w:keepNext/>
      <w:spacing w:before="240"/>
    </w:pPr>
  </w:style>
  <w:style w:type="paragraph" w:customStyle="1" w:styleId="Source">
    <w:name w:val="Source"/>
    <w:basedOn w:val="Normal"/>
    <w:uiPriority w:val="9"/>
    <w:qFormat/>
    <w:rsid w:val="00F83C5C"/>
    <w:pPr>
      <w:spacing w:before="80" w:after="240" w:line="216" w:lineRule="atLeast"/>
    </w:pPr>
    <w:rPr>
      <w:sz w:val="18"/>
    </w:rPr>
  </w:style>
  <w:style w:type="paragraph" w:customStyle="1" w:styleId="Note">
    <w:name w:val="Note"/>
    <w:basedOn w:val="Source"/>
    <w:uiPriority w:val="9"/>
    <w:qFormat/>
    <w:rsid w:val="00F83C5C"/>
    <w:pPr>
      <w:spacing w:after="20"/>
    </w:pPr>
  </w:style>
  <w:style w:type="numbering" w:customStyle="1" w:styleId="Figure">
    <w:name w:val="Figure"/>
    <w:uiPriority w:val="99"/>
    <w:rsid w:val="00F83C5C"/>
    <w:pPr>
      <w:numPr>
        <w:numId w:val="6"/>
      </w:numPr>
    </w:pPr>
  </w:style>
  <w:style w:type="table" w:customStyle="1" w:styleId="Boxtable">
    <w:name w:val="Box table"/>
    <w:basedOn w:val="Texttable-Paleblue"/>
    <w:uiPriority w:val="99"/>
    <w:rsid w:val="00F83C5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F83C5C"/>
    <w:pPr>
      <w:numPr>
        <w:numId w:val="4"/>
      </w:numPr>
    </w:pPr>
  </w:style>
  <w:style w:type="paragraph" w:customStyle="1" w:styleId="BoxHeading2">
    <w:name w:val="Box Heading 2"/>
    <w:basedOn w:val="Normal"/>
    <w:next w:val="BodyText"/>
    <w:uiPriority w:val="4"/>
    <w:qFormat/>
    <w:rsid w:val="00F83C5C"/>
    <w:rPr>
      <w:b/>
    </w:rPr>
  </w:style>
  <w:style w:type="table" w:customStyle="1" w:styleId="ProductivityCommissionTable2-Dark">
    <w:name w:val="Productivity Commission Table 2 - Dark"/>
    <w:basedOn w:val="ProductivityCommissionTable2"/>
    <w:uiPriority w:val="99"/>
    <w:rsid w:val="00F83C5C"/>
    <w:tblPr>
      <w:tblBorders>
        <w:top w:val="none" w:sz="0" w:space="0" w:color="auto"/>
        <w:bottom w:val="single" w:sz="4" w:space="0" w:color="B3B3B3"/>
        <w:insideH w:val="single" w:sz="4" w:space="0" w:color="B3B3B3"/>
      </w:tblBorders>
    </w:tblPr>
    <w:tblStylePr w:type="firstRow">
      <w:rPr>
        <w:b/>
        <w:color w:val="0D8380" w:themeColor="background2"/>
      </w:rPr>
    </w:tblStylePr>
    <w:tblStylePr w:type="firstCol">
      <w:rPr>
        <w:b/>
        <w:color w:val="0D8380"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F83C5C"/>
    <w:rPr>
      <w:i/>
    </w:rPr>
  </w:style>
  <w:style w:type="paragraph" w:customStyle="1" w:styleId="TableHeading">
    <w:name w:val="Table Heading"/>
    <w:basedOn w:val="NoSpacing"/>
    <w:uiPriority w:val="4"/>
    <w:qFormat/>
    <w:rsid w:val="0004528B"/>
    <w:pPr>
      <w:spacing w:after="20"/>
      <w:ind w:left="57"/>
    </w:pPr>
    <w:rPr>
      <w:b/>
      <w:color w:val="88593C" w:themeColor="accent1"/>
      <w:sz w:val="18"/>
    </w:rPr>
  </w:style>
  <w:style w:type="paragraph" w:customStyle="1" w:styleId="BodyText-Blue">
    <w:name w:val="Body Text-Blue"/>
    <w:basedOn w:val="BodyText"/>
    <w:link w:val="BodyText-BlueChar"/>
    <w:semiHidden/>
    <w:qFormat/>
    <w:rsid w:val="00F83C5C"/>
    <w:rPr>
      <w:color w:val="0D8380" w:themeColor="background2"/>
    </w:rPr>
  </w:style>
  <w:style w:type="table" w:customStyle="1" w:styleId="Texttable-Keyline">
    <w:name w:val="Text table-Keyline"/>
    <w:basedOn w:val="Texttable-Paleblue"/>
    <w:uiPriority w:val="99"/>
    <w:rsid w:val="00F83C5C"/>
    <w:tblPr>
      <w:tblBorders>
        <w:top w:val="single" w:sz="4" w:space="0" w:color="CB6027" w:themeColor="text2"/>
        <w:left w:val="single" w:sz="4" w:space="0" w:color="CB6027" w:themeColor="text2"/>
        <w:bottom w:val="single" w:sz="4" w:space="0" w:color="CB6027" w:themeColor="text2"/>
        <w:right w:val="single" w:sz="4" w:space="0" w:color="CB6027" w:themeColor="text2"/>
      </w:tblBorders>
    </w:tblPr>
    <w:tcPr>
      <w:shd w:val="clear" w:color="auto" w:fill="auto"/>
    </w:tcPr>
  </w:style>
  <w:style w:type="paragraph" w:customStyle="1" w:styleId="Header-KeylineRight">
    <w:name w:val="Header - Keyline Right"/>
    <w:basedOn w:val="Header-Keyline"/>
    <w:uiPriority w:val="99"/>
    <w:rsid w:val="003967CE"/>
    <w:pPr>
      <w:jc w:val="right"/>
    </w:pPr>
    <w:rPr>
      <w:b/>
    </w:rPr>
  </w:style>
  <w:style w:type="table" w:customStyle="1" w:styleId="CopyrightPage">
    <w:name w:val="Copyright Page"/>
    <w:basedOn w:val="OverviewPageBannerTableStyle"/>
    <w:uiPriority w:val="99"/>
    <w:rsid w:val="00F83C5C"/>
    <w:rPr>
      <w:color w:val="FFFFFF" w:themeColor="background1"/>
    </w:rPr>
    <w:tblPr>
      <w:tblCellMar>
        <w:top w:w="284" w:type="dxa"/>
        <w:left w:w="284" w:type="dxa"/>
        <w:bottom w:w="284" w:type="dxa"/>
        <w:right w:w="3119" w:type="dxa"/>
      </w:tblCellMar>
    </w:tblPr>
    <w:tcPr>
      <w:shd w:val="clear" w:color="auto" w:fill="0D8380" w:themeFill="background2"/>
    </w:tcPr>
  </w:style>
  <w:style w:type="paragraph" w:customStyle="1" w:styleId="Heading3-noTOC">
    <w:name w:val="Heading 3-no TOC"/>
    <w:basedOn w:val="Heading3"/>
    <w:uiPriority w:val="9"/>
    <w:qFormat/>
    <w:rsid w:val="003967CE"/>
    <w:pPr>
      <w:spacing w:line="312" w:lineRule="atLeast"/>
    </w:pPr>
  </w:style>
  <w:style w:type="paragraph" w:styleId="BodyText">
    <w:name w:val="Body Text"/>
    <w:basedOn w:val="Normal"/>
    <w:link w:val="BodyTextChar"/>
    <w:qFormat/>
    <w:rsid w:val="00F83C5C"/>
  </w:style>
  <w:style w:type="character" w:customStyle="1" w:styleId="BodyTextChar">
    <w:name w:val="Body Text Char"/>
    <w:basedOn w:val="DefaultParagraphFont"/>
    <w:link w:val="BodyText"/>
    <w:rsid w:val="00F83C5C"/>
    <w:rPr>
      <w:sz w:val="20"/>
      <w:szCs w:val="20"/>
    </w:rPr>
  </w:style>
  <w:style w:type="paragraph" w:styleId="List4">
    <w:name w:val="List 4"/>
    <w:basedOn w:val="Normal"/>
    <w:uiPriority w:val="99"/>
    <w:semiHidden/>
    <w:rsid w:val="00F83C5C"/>
    <w:pPr>
      <w:numPr>
        <w:ilvl w:val="3"/>
        <w:numId w:val="9"/>
      </w:numPr>
      <w:contextualSpacing/>
    </w:pPr>
  </w:style>
  <w:style w:type="paragraph" w:styleId="List3">
    <w:name w:val="List 3"/>
    <w:basedOn w:val="Normal"/>
    <w:uiPriority w:val="99"/>
    <w:semiHidden/>
    <w:rsid w:val="00F83C5C"/>
    <w:pPr>
      <w:numPr>
        <w:ilvl w:val="2"/>
        <w:numId w:val="9"/>
      </w:numPr>
      <w:contextualSpacing/>
    </w:pPr>
  </w:style>
  <w:style w:type="paragraph" w:customStyle="1" w:styleId="Heading1-nonumber">
    <w:name w:val="Heading 1-no number"/>
    <w:basedOn w:val="Heading1"/>
    <w:next w:val="BodyText"/>
    <w:uiPriority w:val="9"/>
    <w:qFormat/>
    <w:rsid w:val="00F83C5C"/>
    <w:pPr>
      <w:numPr>
        <w:numId w:val="0"/>
      </w:numPr>
      <w:ind w:left="567"/>
    </w:pPr>
  </w:style>
  <w:style w:type="paragraph" w:customStyle="1" w:styleId="ListAlpha1">
    <w:name w:val="List Alpha 1"/>
    <w:basedOn w:val="Normal"/>
    <w:uiPriority w:val="3"/>
    <w:qFormat/>
    <w:rsid w:val="00F83C5C"/>
    <w:pPr>
      <w:numPr>
        <w:numId w:val="10"/>
      </w:numPr>
      <w:spacing w:before="60"/>
      <w:contextualSpacing/>
    </w:pPr>
  </w:style>
  <w:style w:type="paragraph" w:customStyle="1" w:styleId="ListAlpha2">
    <w:name w:val="List Alpha 2"/>
    <w:basedOn w:val="ListAlpha1"/>
    <w:uiPriority w:val="3"/>
    <w:qFormat/>
    <w:rsid w:val="00F83C5C"/>
    <w:pPr>
      <w:numPr>
        <w:ilvl w:val="1"/>
      </w:numPr>
    </w:pPr>
  </w:style>
  <w:style w:type="paragraph" w:customStyle="1" w:styleId="ListAlpha3">
    <w:name w:val="List Alpha 3"/>
    <w:basedOn w:val="ListAlpha2"/>
    <w:uiPriority w:val="3"/>
    <w:qFormat/>
    <w:rsid w:val="00F83C5C"/>
    <w:pPr>
      <w:numPr>
        <w:ilvl w:val="2"/>
      </w:numPr>
    </w:pPr>
  </w:style>
  <w:style w:type="paragraph" w:customStyle="1" w:styleId="ListAlpha4">
    <w:name w:val="List Alpha 4"/>
    <w:basedOn w:val="ListAlpha3"/>
    <w:uiPriority w:val="3"/>
    <w:semiHidden/>
    <w:qFormat/>
    <w:rsid w:val="00F83C5C"/>
    <w:pPr>
      <w:numPr>
        <w:ilvl w:val="3"/>
      </w:numPr>
    </w:pPr>
  </w:style>
  <w:style w:type="numbering" w:customStyle="1" w:styleId="Alphalist">
    <w:name w:val="Alpha list"/>
    <w:uiPriority w:val="99"/>
    <w:rsid w:val="00F83C5C"/>
    <w:pPr>
      <w:numPr>
        <w:numId w:val="1"/>
      </w:numPr>
    </w:pPr>
  </w:style>
  <w:style w:type="paragraph" w:customStyle="1" w:styleId="KeyPoints-Bold">
    <w:name w:val="Key Points-Bold"/>
    <w:basedOn w:val="Normal"/>
    <w:uiPriority w:val="10"/>
    <w:qFormat/>
    <w:rsid w:val="00F83C5C"/>
    <w:pPr>
      <w:spacing w:before="40" w:after="60" w:line="274" w:lineRule="atLeast"/>
    </w:pPr>
    <w:rPr>
      <w:b/>
      <w:sz w:val="18"/>
    </w:rPr>
  </w:style>
  <w:style w:type="paragraph" w:customStyle="1" w:styleId="Copyrightpage-BodyBold">
    <w:name w:val="Copyright page-Body Bold"/>
    <w:basedOn w:val="Copyrightpage-BodyText"/>
    <w:uiPriority w:val="19"/>
    <w:rsid w:val="00F83C5C"/>
    <w:rPr>
      <w:b/>
    </w:rPr>
  </w:style>
  <w:style w:type="paragraph" w:customStyle="1" w:styleId="KeyPoints-Bullet">
    <w:name w:val="Key Points-Bullet"/>
    <w:basedOn w:val="ListBullet"/>
    <w:uiPriority w:val="10"/>
    <w:qFormat/>
    <w:rsid w:val="000C27D0"/>
    <w:pPr>
      <w:spacing w:after="60" w:line="274" w:lineRule="atLeast"/>
    </w:pPr>
    <w:rPr>
      <w:sz w:val="18"/>
    </w:rPr>
  </w:style>
  <w:style w:type="paragraph" w:customStyle="1" w:styleId="BodyText-Grey">
    <w:name w:val="Body Text-Grey"/>
    <w:basedOn w:val="BodyText"/>
    <w:link w:val="BodyText-GreyChar"/>
    <w:semiHidden/>
    <w:qFormat/>
    <w:rsid w:val="00F83C5C"/>
    <w:rPr>
      <w:color w:val="58585B"/>
    </w:rPr>
  </w:style>
  <w:style w:type="character" w:customStyle="1" w:styleId="BodyText-GreyChar">
    <w:name w:val="Body Text-Grey Char"/>
    <w:basedOn w:val="BodyTextChar"/>
    <w:link w:val="BodyText-Grey"/>
    <w:semiHidden/>
    <w:rsid w:val="00F83C5C"/>
    <w:rPr>
      <w:color w:val="58585B"/>
      <w:sz w:val="20"/>
      <w:szCs w:val="20"/>
    </w:rPr>
  </w:style>
  <w:style w:type="paragraph" w:styleId="BalloonText">
    <w:name w:val="Balloon Text"/>
    <w:basedOn w:val="Normal"/>
    <w:link w:val="BalloonTextChar"/>
    <w:uiPriority w:val="99"/>
    <w:semiHidden/>
    <w:unhideWhenUsed/>
    <w:rsid w:val="00F83C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C5C"/>
    <w:rPr>
      <w:rFonts w:ascii="Segoe UI" w:hAnsi="Segoe UI" w:cs="Segoe UI"/>
      <w:sz w:val="18"/>
      <w:szCs w:val="18"/>
    </w:rPr>
  </w:style>
  <w:style w:type="character" w:styleId="CommentReference">
    <w:name w:val="annotation reference"/>
    <w:basedOn w:val="DefaultParagraphFont"/>
    <w:uiPriority w:val="99"/>
    <w:unhideWhenUsed/>
    <w:rsid w:val="00F83C5C"/>
    <w:rPr>
      <w:sz w:val="16"/>
      <w:szCs w:val="16"/>
    </w:rPr>
  </w:style>
  <w:style w:type="paragraph" w:styleId="CommentText">
    <w:name w:val="annotation text"/>
    <w:basedOn w:val="Normal"/>
    <w:link w:val="CommentTextChar"/>
    <w:uiPriority w:val="99"/>
    <w:unhideWhenUsed/>
    <w:rsid w:val="00F83C5C"/>
    <w:pPr>
      <w:spacing w:line="240" w:lineRule="auto"/>
    </w:pPr>
  </w:style>
  <w:style w:type="character" w:customStyle="1" w:styleId="CommentTextChar">
    <w:name w:val="Comment Text Char"/>
    <w:basedOn w:val="DefaultParagraphFont"/>
    <w:link w:val="CommentText"/>
    <w:uiPriority w:val="99"/>
    <w:rsid w:val="00F83C5C"/>
    <w:rPr>
      <w:sz w:val="20"/>
      <w:szCs w:val="20"/>
    </w:rPr>
  </w:style>
  <w:style w:type="paragraph" w:styleId="CommentSubject">
    <w:name w:val="annotation subject"/>
    <w:basedOn w:val="CommentText"/>
    <w:next w:val="CommentText"/>
    <w:link w:val="CommentSubjectChar"/>
    <w:uiPriority w:val="99"/>
    <w:semiHidden/>
    <w:unhideWhenUsed/>
    <w:rsid w:val="00F83C5C"/>
    <w:rPr>
      <w:b/>
      <w:bCs/>
    </w:rPr>
  </w:style>
  <w:style w:type="character" w:customStyle="1" w:styleId="CommentSubjectChar">
    <w:name w:val="Comment Subject Char"/>
    <w:basedOn w:val="CommentTextChar"/>
    <w:link w:val="CommentSubject"/>
    <w:uiPriority w:val="99"/>
    <w:semiHidden/>
    <w:rsid w:val="00F83C5C"/>
    <w:rPr>
      <w:b/>
      <w:bCs/>
      <w:sz w:val="20"/>
      <w:szCs w:val="20"/>
    </w:rPr>
  </w:style>
  <w:style w:type="character" w:customStyle="1" w:styleId="ColourBlue">
    <w:name w:val="Colour Blue"/>
    <w:basedOn w:val="DefaultParagraphFont"/>
    <w:uiPriority w:val="22"/>
    <w:qFormat/>
    <w:rsid w:val="00F83C5C"/>
    <w:rPr>
      <w:color w:val="CB6027" w:themeColor="text2"/>
    </w:rPr>
  </w:style>
  <w:style w:type="character" w:customStyle="1" w:styleId="ColourDarkBlue">
    <w:name w:val="Colour Dark Blue"/>
    <w:basedOn w:val="ColourBlue"/>
    <w:uiPriority w:val="22"/>
    <w:qFormat/>
    <w:rsid w:val="00F83C5C"/>
    <w:rPr>
      <w:color w:val="0D8380" w:themeColor="background2"/>
    </w:rPr>
  </w:style>
  <w:style w:type="paragraph" w:customStyle="1" w:styleId="BodyText-Beforebullet">
    <w:name w:val="Body Text-Before bullet"/>
    <w:basedOn w:val="BodyText"/>
    <w:link w:val="BodyText-BeforebulletChar"/>
    <w:semiHidden/>
    <w:unhideWhenUsed/>
    <w:rsid w:val="00F83C5C"/>
    <w:pPr>
      <w:spacing w:after="20"/>
    </w:pPr>
  </w:style>
  <w:style w:type="paragraph" w:customStyle="1" w:styleId="PullQuote">
    <w:name w:val="Pull Quote"/>
    <w:basedOn w:val="BodyText"/>
    <w:next w:val="BodyText"/>
    <w:uiPriority w:val="10"/>
    <w:qFormat/>
    <w:rsid w:val="00F83C5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F83C5C"/>
    <w:rPr>
      <w:sz w:val="20"/>
      <w:szCs w:val="20"/>
    </w:rPr>
  </w:style>
  <w:style w:type="paragraph" w:customStyle="1" w:styleId="TableBody">
    <w:name w:val="Table Body"/>
    <w:basedOn w:val="NoSpacing"/>
    <w:uiPriority w:val="4"/>
    <w:qFormat/>
    <w:rsid w:val="00F83C5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F83C5C"/>
    <w:pPr>
      <w:spacing w:before="60"/>
      <w:jc w:val="right"/>
    </w:pPr>
  </w:style>
  <w:style w:type="paragraph" w:customStyle="1" w:styleId="FigureTableSubheading">
    <w:name w:val="Figure/Table Subheading"/>
    <w:basedOn w:val="FigureTableHeading"/>
    <w:uiPriority w:val="4"/>
    <w:qFormat/>
    <w:rsid w:val="00F83C5C"/>
    <w:pPr>
      <w:spacing w:before="40"/>
    </w:pPr>
    <w:rPr>
      <w:color w:val="58585B"/>
    </w:rPr>
  </w:style>
  <w:style w:type="table" w:customStyle="1" w:styleId="TextTable-Grey">
    <w:name w:val="Text Table-Grey"/>
    <w:basedOn w:val="Texttable-Paleblue"/>
    <w:uiPriority w:val="99"/>
    <w:rsid w:val="00F83C5C"/>
    <w:rPr>
      <w:color w:val="0D8380" w:themeColor="background2"/>
    </w:rPr>
    <w:tblPr/>
    <w:tcPr>
      <w:shd w:val="clear" w:color="auto" w:fill="F2F2F2"/>
    </w:tcPr>
  </w:style>
  <w:style w:type="character" w:customStyle="1" w:styleId="BodyText-BlueChar">
    <w:name w:val="Body Text-Blue Char"/>
    <w:basedOn w:val="BodyTextChar"/>
    <w:link w:val="BodyText-Blue"/>
    <w:semiHidden/>
    <w:rsid w:val="00F83C5C"/>
    <w:rPr>
      <w:color w:val="0D8380" w:themeColor="background2"/>
      <w:sz w:val="20"/>
      <w:szCs w:val="20"/>
    </w:rPr>
  </w:style>
  <w:style w:type="paragraph" w:customStyle="1" w:styleId="Heading3-nonumber">
    <w:name w:val="Heading 3-no number"/>
    <w:basedOn w:val="Heading3"/>
    <w:uiPriority w:val="9"/>
    <w:semiHidden/>
    <w:qFormat/>
    <w:rsid w:val="00F83C5C"/>
  </w:style>
  <w:style w:type="paragraph" w:customStyle="1" w:styleId="Heading1-nobackground">
    <w:name w:val="Heading 1-no background"/>
    <w:basedOn w:val="Heading1"/>
    <w:next w:val="BodyText"/>
    <w:uiPriority w:val="9"/>
    <w:qFormat/>
    <w:rsid w:val="00F83C5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0D8380" w:themeColor="background2"/>
    </w:rPr>
  </w:style>
  <w:style w:type="character" w:customStyle="1" w:styleId="QuoteChar">
    <w:name w:val="Quote Char"/>
    <w:basedOn w:val="DefaultParagraphFont"/>
    <w:link w:val="Quote"/>
    <w:uiPriority w:val="1"/>
    <w:rsid w:val="00F83C5C"/>
    <w:rPr>
      <w:color w:val="58585B"/>
      <w:sz w:val="20"/>
      <w:szCs w:val="20"/>
    </w:rPr>
  </w:style>
  <w:style w:type="paragraph" w:customStyle="1" w:styleId="TableHeading-numbered">
    <w:name w:val="Table Heading-numbered"/>
    <w:basedOn w:val="Normal"/>
    <w:semiHidden/>
    <w:qFormat/>
    <w:rsid w:val="00F83C5C"/>
    <w:pPr>
      <w:numPr>
        <w:numId w:val="15"/>
      </w:numPr>
      <w:spacing w:before="60"/>
      <w:contextualSpacing/>
    </w:pPr>
    <w:rPr>
      <w:b/>
      <w:color w:val="0D8380" w:themeColor="background2"/>
    </w:rPr>
  </w:style>
  <w:style w:type="numbering" w:customStyle="1" w:styleId="TableList">
    <w:name w:val="TableList"/>
    <w:uiPriority w:val="99"/>
    <w:rsid w:val="00F83C5C"/>
    <w:pPr>
      <w:numPr>
        <w:numId w:val="15"/>
      </w:numPr>
    </w:pPr>
  </w:style>
  <w:style w:type="paragraph" w:customStyle="1" w:styleId="Footer-right">
    <w:name w:val="Footer-right"/>
    <w:basedOn w:val="Footer"/>
    <w:uiPriority w:val="11"/>
    <w:rsid w:val="00F83C5C"/>
    <w:pPr>
      <w:jc w:val="right"/>
    </w:pPr>
    <w:rPr>
      <w:szCs w:val="24"/>
    </w:rPr>
  </w:style>
  <w:style w:type="paragraph" w:customStyle="1" w:styleId="Heading2-nonumber">
    <w:name w:val="Heading 2-no number"/>
    <w:basedOn w:val="Heading2"/>
    <w:uiPriority w:val="9"/>
    <w:qFormat/>
    <w:rsid w:val="00F83C5C"/>
    <w:pPr>
      <w:numPr>
        <w:ilvl w:val="0"/>
        <w:numId w:val="0"/>
      </w:numPr>
    </w:pPr>
  </w:style>
  <w:style w:type="paragraph" w:customStyle="1" w:styleId="Heading-Appendix">
    <w:name w:val="Heading-Appendix"/>
    <w:basedOn w:val="Heading1-nonumber"/>
    <w:next w:val="BodyText"/>
    <w:uiPriority w:val="9"/>
    <w:qFormat/>
    <w:rsid w:val="00F83C5C"/>
    <w:pPr>
      <w:numPr>
        <w:numId w:val="7"/>
      </w:numPr>
    </w:pPr>
  </w:style>
  <w:style w:type="numbering" w:customStyle="1" w:styleId="AppendixHeading">
    <w:name w:val="AppendixHeading"/>
    <w:uiPriority w:val="99"/>
    <w:rsid w:val="00F83C5C"/>
    <w:pPr>
      <w:numPr>
        <w:numId w:val="3"/>
      </w:numPr>
    </w:pPr>
  </w:style>
  <w:style w:type="paragraph" w:customStyle="1" w:styleId="DraftingNote">
    <w:name w:val="Drafting Note"/>
    <w:basedOn w:val="BodyText"/>
    <w:link w:val="DraftingNoteChar"/>
    <w:qFormat/>
    <w:rsid w:val="00F83C5C"/>
    <w:pPr>
      <w:contextualSpacing/>
    </w:pPr>
    <w:rPr>
      <w:color w:val="A22D2B"/>
      <w:sz w:val="24"/>
      <w:u w:val="dotted"/>
    </w:rPr>
  </w:style>
  <w:style w:type="character" w:customStyle="1" w:styleId="DraftingNoteChar">
    <w:name w:val="Drafting Note Char"/>
    <w:basedOn w:val="BodyTextChar"/>
    <w:link w:val="DraftingNote"/>
    <w:rsid w:val="00F83C5C"/>
    <w:rPr>
      <w:color w:val="A22D2B"/>
      <w:sz w:val="24"/>
      <w:szCs w:val="20"/>
      <w:u w:val="dotted"/>
    </w:rPr>
  </w:style>
  <w:style w:type="paragraph" w:customStyle="1" w:styleId="BoxHeading1">
    <w:name w:val="Box Heading 1"/>
    <w:basedOn w:val="FigureTableHeading"/>
    <w:next w:val="BodyText"/>
    <w:uiPriority w:val="4"/>
    <w:qFormat/>
    <w:rsid w:val="00FF7D12"/>
    <w:pPr>
      <w:spacing w:after="0"/>
    </w:pPr>
    <w:rPr>
      <w:color w:val="88593C" w:themeColor="accent1"/>
    </w:rPr>
  </w:style>
  <w:style w:type="character" w:styleId="Emphasis">
    <w:name w:val="Emphasis"/>
    <w:basedOn w:val="DefaultParagraphFont"/>
    <w:uiPriority w:val="22"/>
    <w:qFormat/>
    <w:rsid w:val="00F83C5C"/>
    <w:rPr>
      <w:i/>
      <w:iCs/>
    </w:rPr>
  </w:style>
  <w:style w:type="paragraph" w:customStyle="1" w:styleId="Reference">
    <w:name w:val="Reference"/>
    <w:basedOn w:val="BodyText"/>
    <w:qFormat/>
    <w:rsid w:val="00F83C5C"/>
    <w:pPr>
      <w:spacing w:before="0" w:after="60" w:line="200" w:lineRule="exact"/>
    </w:pPr>
    <w:rPr>
      <w:sz w:val="16"/>
    </w:rPr>
  </w:style>
  <w:style w:type="paragraph" w:customStyle="1" w:styleId="Keypoints-heading">
    <w:name w:val="Key points-heading"/>
    <w:basedOn w:val="Heading3"/>
    <w:uiPriority w:val="10"/>
    <w:qFormat/>
    <w:rsid w:val="003967CE"/>
    <w:rPr>
      <w:color w:val="88593C" w:themeColor="accent1"/>
    </w:rPr>
  </w:style>
  <w:style w:type="paragraph" w:customStyle="1" w:styleId="Heading2-Appendix">
    <w:name w:val="Heading 2-Appendix"/>
    <w:basedOn w:val="Heading2-nonumber"/>
    <w:next w:val="Normal"/>
    <w:uiPriority w:val="10"/>
    <w:qFormat/>
    <w:rsid w:val="00F83C5C"/>
    <w:pPr>
      <w:numPr>
        <w:ilvl w:val="1"/>
        <w:numId w:val="7"/>
      </w:numPr>
    </w:pPr>
  </w:style>
  <w:style w:type="numbering" w:customStyle="1" w:styleId="AppendixHeadingList">
    <w:name w:val="Appendix Heading List"/>
    <w:uiPriority w:val="99"/>
    <w:rsid w:val="00F83C5C"/>
    <w:pPr>
      <w:numPr>
        <w:numId w:val="2"/>
      </w:numPr>
    </w:pPr>
  </w:style>
  <w:style w:type="paragraph" w:customStyle="1" w:styleId="Space">
    <w:name w:val="Space"/>
    <w:basedOn w:val="BodyText"/>
    <w:uiPriority w:val="1"/>
    <w:rsid w:val="00F83C5C"/>
    <w:pPr>
      <w:spacing w:before="0" w:after="0"/>
    </w:pPr>
  </w:style>
  <w:style w:type="paragraph" w:customStyle="1" w:styleId="QuoteBullet">
    <w:name w:val="Quote Bullet"/>
    <w:basedOn w:val="ListBullet"/>
    <w:link w:val="QuoteBulletChar"/>
    <w:uiPriority w:val="1"/>
    <w:qFormat/>
    <w:rsid w:val="00F83C5C"/>
    <w:pPr>
      <w:spacing w:before="60"/>
      <w:ind w:left="340" w:right="851"/>
    </w:pPr>
    <w:rPr>
      <w:color w:val="58585B"/>
    </w:rPr>
  </w:style>
  <w:style w:type="character" w:customStyle="1" w:styleId="ListBulletChar">
    <w:name w:val="List Bullet Char"/>
    <w:basedOn w:val="DefaultParagraphFont"/>
    <w:link w:val="ListBullet"/>
    <w:uiPriority w:val="1"/>
    <w:rsid w:val="000C27D0"/>
    <w:rPr>
      <w:sz w:val="20"/>
      <w:szCs w:val="20"/>
    </w:rPr>
  </w:style>
  <w:style w:type="character" w:customStyle="1" w:styleId="QuoteBulletChar">
    <w:name w:val="Quote Bullet Char"/>
    <w:basedOn w:val="ListBulletChar"/>
    <w:link w:val="QuoteBullet"/>
    <w:uiPriority w:val="1"/>
    <w:rsid w:val="00F83C5C"/>
    <w:rPr>
      <w:color w:val="58585B"/>
      <w:sz w:val="20"/>
      <w:szCs w:val="20"/>
    </w:rPr>
  </w:style>
  <w:style w:type="paragraph" w:customStyle="1" w:styleId="Figurecharttitle">
    <w:name w:val="Figure chart title"/>
    <w:basedOn w:val="BodyText"/>
    <w:uiPriority w:val="10"/>
    <w:qFormat/>
    <w:rsid w:val="00F83C5C"/>
    <w:pPr>
      <w:spacing w:before="0" w:after="0"/>
      <w:ind w:left="284" w:hanging="284"/>
    </w:pPr>
    <w:rPr>
      <w:sz w:val="18"/>
      <w:szCs w:val="18"/>
    </w:rPr>
  </w:style>
  <w:style w:type="paragraph" w:customStyle="1" w:styleId="TableListBullet">
    <w:name w:val="Table List Bullet"/>
    <w:basedOn w:val="ListBullet"/>
    <w:uiPriority w:val="10"/>
    <w:qFormat/>
    <w:rsid w:val="00503A08"/>
    <w:pPr>
      <w:spacing w:before="0" w:after="20"/>
      <w:ind w:left="170" w:hanging="170"/>
    </w:pPr>
  </w:style>
  <w:style w:type="character" w:customStyle="1" w:styleId="cf01">
    <w:name w:val="cf01"/>
    <w:basedOn w:val="DefaultParagraphFont"/>
    <w:rsid w:val="00CD746E"/>
    <w:rPr>
      <w:rFonts w:ascii="Segoe UI" w:hAnsi="Segoe UI" w:cs="Segoe UI" w:hint="default"/>
      <w:sz w:val="18"/>
      <w:szCs w:val="18"/>
    </w:rPr>
  </w:style>
  <w:style w:type="character" w:styleId="FollowedHyperlink">
    <w:name w:val="FollowedHyperlink"/>
    <w:basedOn w:val="DefaultParagraphFont"/>
    <w:uiPriority w:val="99"/>
    <w:semiHidden/>
    <w:unhideWhenUsed/>
    <w:rsid w:val="00197872"/>
    <w:rPr>
      <w:color w:val="1D1D1B" w:themeColor="followedHyperlink"/>
      <w:u w:val="single"/>
    </w:rPr>
  </w:style>
  <w:style w:type="character" w:styleId="Mention">
    <w:name w:val="Mention"/>
    <w:basedOn w:val="DefaultParagraphFont"/>
    <w:uiPriority w:val="99"/>
    <w:unhideWhenUsed/>
    <w:rsid w:val="003475BF"/>
    <w:rPr>
      <w:color w:val="2B579A"/>
      <w:shd w:val="clear" w:color="auto" w:fill="E1DFDD"/>
    </w:rPr>
  </w:style>
  <w:style w:type="character" w:customStyle="1" w:styleId="eop">
    <w:name w:val="eop"/>
    <w:basedOn w:val="DefaultParagraphFont"/>
    <w:rsid w:val="00B46E6E"/>
  </w:style>
  <w:style w:type="paragraph" w:customStyle="1" w:styleId="msonormal0">
    <w:name w:val="msonormal"/>
    <w:basedOn w:val="Normal"/>
    <w:rsid w:val="005808C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i-provider">
    <w:name w:val="ui-provider"/>
    <w:basedOn w:val="DefaultParagraphFont"/>
    <w:rsid w:val="00387540"/>
  </w:style>
  <w:style w:type="paragraph" w:styleId="Bibliography">
    <w:name w:val="Bibliography"/>
    <w:basedOn w:val="Normal"/>
    <w:next w:val="Normal"/>
    <w:uiPriority w:val="37"/>
    <w:unhideWhenUsed/>
    <w:rsid w:val="007A5649"/>
    <w:pPr>
      <w:spacing w:after="240" w:line="240" w:lineRule="atLeast"/>
      <w:ind w:left="720" w:hanging="720"/>
    </w:pPr>
  </w:style>
  <w:style w:type="character" w:customStyle="1" w:styleId="id-tooltip">
    <w:name w:val="id-tooltip"/>
    <w:basedOn w:val="DefaultParagraphFont"/>
    <w:rsid w:val="00F26E66"/>
  </w:style>
  <w:style w:type="paragraph" w:customStyle="1" w:styleId="paragraph">
    <w:name w:val="paragraph"/>
    <w:basedOn w:val="Normal"/>
    <w:rsid w:val="00E769B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769B9"/>
  </w:style>
  <w:style w:type="paragraph" w:customStyle="1" w:styleId="pf0">
    <w:name w:val="pf0"/>
    <w:basedOn w:val="Normal"/>
    <w:rsid w:val="00923D0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ndnoteReference">
    <w:name w:val="endnote reference"/>
    <w:basedOn w:val="DefaultParagraphFont"/>
    <w:uiPriority w:val="99"/>
    <w:semiHidden/>
    <w:unhideWhenUsed/>
    <w:rsid w:val="00685D5A"/>
    <w:rPr>
      <w:vertAlign w:val="superscript"/>
    </w:rPr>
  </w:style>
  <w:style w:type="paragraph" w:customStyle="1" w:styleId="small-font">
    <w:name w:val="small-font"/>
    <w:basedOn w:val="Normal"/>
    <w:rsid w:val="00C32378"/>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8795">
      <w:bodyDiv w:val="1"/>
      <w:marLeft w:val="0"/>
      <w:marRight w:val="0"/>
      <w:marTop w:val="0"/>
      <w:marBottom w:val="0"/>
      <w:divBdr>
        <w:top w:val="none" w:sz="0" w:space="0" w:color="auto"/>
        <w:left w:val="none" w:sz="0" w:space="0" w:color="auto"/>
        <w:bottom w:val="none" w:sz="0" w:space="0" w:color="auto"/>
        <w:right w:val="none" w:sz="0" w:space="0" w:color="auto"/>
      </w:divBdr>
    </w:div>
    <w:div w:id="92214107">
      <w:bodyDiv w:val="1"/>
      <w:marLeft w:val="0"/>
      <w:marRight w:val="0"/>
      <w:marTop w:val="0"/>
      <w:marBottom w:val="0"/>
      <w:divBdr>
        <w:top w:val="none" w:sz="0" w:space="0" w:color="auto"/>
        <w:left w:val="none" w:sz="0" w:space="0" w:color="auto"/>
        <w:bottom w:val="none" w:sz="0" w:space="0" w:color="auto"/>
        <w:right w:val="none" w:sz="0" w:space="0" w:color="auto"/>
      </w:divBdr>
    </w:div>
    <w:div w:id="174344451">
      <w:bodyDiv w:val="1"/>
      <w:marLeft w:val="0"/>
      <w:marRight w:val="0"/>
      <w:marTop w:val="0"/>
      <w:marBottom w:val="0"/>
      <w:divBdr>
        <w:top w:val="none" w:sz="0" w:space="0" w:color="auto"/>
        <w:left w:val="none" w:sz="0" w:space="0" w:color="auto"/>
        <w:bottom w:val="none" w:sz="0" w:space="0" w:color="auto"/>
        <w:right w:val="none" w:sz="0" w:space="0" w:color="auto"/>
      </w:divBdr>
    </w:div>
    <w:div w:id="212470769">
      <w:bodyDiv w:val="1"/>
      <w:marLeft w:val="0"/>
      <w:marRight w:val="0"/>
      <w:marTop w:val="0"/>
      <w:marBottom w:val="0"/>
      <w:divBdr>
        <w:top w:val="none" w:sz="0" w:space="0" w:color="auto"/>
        <w:left w:val="none" w:sz="0" w:space="0" w:color="auto"/>
        <w:bottom w:val="none" w:sz="0" w:space="0" w:color="auto"/>
        <w:right w:val="none" w:sz="0" w:space="0" w:color="auto"/>
      </w:divBdr>
    </w:div>
    <w:div w:id="263465861">
      <w:bodyDiv w:val="1"/>
      <w:marLeft w:val="0"/>
      <w:marRight w:val="0"/>
      <w:marTop w:val="0"/>
      <w:marBottom w:val="0"/>
      <w:divBdr>
        <w:top w:val="none" w:sz="0" w:space="0" w:color="auto"/>
        <w:left w:val="none" w:sz="0" w:space="0" w:color="auto"/>
        <w:bottom w:val="none" w:sz="0" w:space="0" w:color="auto"/>
        <w:right w:val="none" w:sz="0" w:space="0" w:color="auto"/>
      </w:divBdr>
    </w:div>
    <w:div w:id="297734647">
      <w:bodyDiv w:val="1"/>
      <w:marLeft w:val="0"/>
      <w:marRight w:val="0"/>
      <w:marTop w:val="0"/>
      <w:marBottom w:val="0"/>
      <w:divBdr>
        <w:top w:val="none" w:sz="0" w:space="0" w:color="auto"/>
        <w:left w:val="none" w:sz="0" w:space="0" w:color="auto"/>
        <w:bottom w:val="none" w:sz="0" w:space="0" w:color="auto"/>
        <w:right w:val="none" w:sz="0" w:space="0" w:color="auto"/>
      </w:divBdr>
    </w:div>
    <w:div w:id="383451607">
      <w:bodyDiv w:val="1"/>
      <w:marLeft w:val="0"/>
      <w:marRight w:val="0"/>
      <w:marTop w:val="0"/>
      <w:marBottom w:val="0"/>
      <w:divBdr>
        <w:top w:val="none" w:sz="0" w:space="0" w:color="auto"/>
        <w:left w:val="none" w:sz="0" w:space="0" w:color="auto"/>
        <w:bottom w:val="none" w:sz="0" w:space="0" w:color="auto"/>
        <w:right w:val="none" w:sz="0" w:space="0" w:color="auto"/>
      </w:divBdr>
    </w:div>
    <w:div w:id="523401603">
      <w:bodyDiv w:val="1"/>
      <w:marLeft w:val="0"/>
      <w:marRight w:val="0"/>
      <w:marTop w:val="0"/>
      <w:marBottom w:val="0"/>
      <w:divBdr>
        <w:top w:val="none" w:sz="0" w:space="0" w:color="auto"/>
        <w:left w:val="none" w:sz="0" w:space="0" w:color="auto"/>
        <w:bottom w:val="none" w:sz="0" w:space="0" w:color="auto"/>
        <w:right w:val="none" w:sz="0" w:space="0" w:color="auto"/>
      </w:divBdr>
    </w:div>
    <w:div w:id="594437522">
      <w:bodyDiv w:val="1"/>
      <w:marLeft w:val="0"/>
      <w:marRight w:val="0"/>
      <w:marTop w:val="0"/>
      <w:marBottom w:val="0"/>
      <w:divBdr>
        <w:top w:val="none" w:sz="0" w:space="0" w:color="auto"/>
        <w:left w:val="none" w:sz="0" w:space="0" w:color="auto"/>
        <w:bottom w:val="none" w:sz="0" w:space="0" w:color="auto"/>
        <w:right w:val="none" w:sz="0" w:space="0" w:color="auto"/>
      </w:divBdr>
    </w:div>
    <w:div w:id="598101439">
      <w:bodyDiv w:val="1"/>
      <w:marLeft w:val="0"/>
      <w:marRight w:val="0"/>
      <w:marTop w:val="0"/>
      <w:marBottom w:val="0"/>
      <w:divBdr>
        <w:top w:val="none" w:sz="0" w:space="0" w:color="auto"/>
        <w:left w:val="none" w:sz="0" w:space="0" w:color="auto"/>
        <w:bottom w:val="none" w:sz="0" w:space="0" w:color="auto"/>
        <w:right w:val="none" w:sz="0" w:space="0" w:color="auto"/>
      </w:divBdr>
      <w:divsChild>
        <w:div w:id="695234592">
          <w:marLeft w:val="274"/>
          <w:marRight w:val="0"/>
          <w:marTop w:val="0"/>
          <w:marBottom w:val="60"/>
          <w:divBdr>
            <w:top w:val="none" w:sz="0" w:space="0" w:color="auto"/>
            <w:left w:val="none" w:sz="0" w:space="0" w:color="auto"/>
            <w:bottom w:val="none" w:sz="0" w:space="0" w:color="auto"/>
            <w:right w:val="none" w:sz="0" w:space="0" w:color="auto"/>
          </w:divBdr>
        </w:div>
        <w:div w:id="760107114">
          <w:marLeft w:val="274"/>
          <w:marRight w:val="0"/>
          <w:marTop w:val="0"/>
          <w:marBottom w:val="60"/>
          <w:divBdr>
            <w:top w:val="none" w:sz="0" w:space="0" w:color="auto"/>
            <w:left w:val="none" w:sz="0" w:space="0" w:color="auto"/>
            <w:bottom w:val="none" w:sz="0" w:space="0" w:color="auto"/>
            <w:right w:val="none" w:sz="0" w:space="0" w:color="auto"/>
          </w:divBdr>
        </w:div>
        <w:div w:id="887455308">
          <w:marLeft w:val="274"/>
          <w:marRight w:val="0"/>
          <w:marTop w:val="0"/>
          <w:marBottom w:val="60"/>
          <w:divBdr>
            <w:top w:val="none" w:sz="0" w:space="0" w:color="auto"/>
            <w:left w:val="none" w:sz="0" w:space="0" w:color="auto"/>
            <w:bottom w:val="none" w:sz="0" w:space="0" w:color="auto"/>
            <w:right w:val="none" w:sz="0" w:space="0" w:color="auto"/>
          </w:divBdr>
        </w:div>
        <w:div w:id="953487725">
          <w:marLeft w:val="274"/>
          <w:marRight w:val="0"/>
          <w:marTop w:val="0"/>
          <w:marBottom w:val="60"/>
          <w:divBdr>
            <w:top w:val="none" w:sz="0" w:space="0" w:color="auto"/>
            <w:left w:val="none" w:sz="0" w:space="0" w:color="auto"/>
            <w:bottom w:val="none" w:sz="0" w:space="0" w:color="auto"/>
            <w:right w:val="none" w:sz="0" w:space="0" w:color="auto"/>
          </w:divBdr>
        </w:div>
        <w:div w:id="1039624012">
          <w:marLeft w:val="274"/>
          <w:marRight w:val="0"/>
          <w:marTop w:val="0"/>
          <w:marBottom w:val="60"/>
          <w:divBdr>
            <w:top w:val="none" w:sz="0" w:space="0" w:color="auto"/>
            <w:left w:val="none" w:sz="0" w:space="0" w:color="auto"/>
            <w:bottom w:val="none" w:sz="0" w:space="0" w:color="auto"/>
            <w:right w:val="none" w:sz="0" w:space="0" w:color="auto"/>
          </w:divBdr>
        </w:div>
        <w:div w:id="1546065342">
          <w:marLeft w:val="274"/>
          <w:marRight w:val="0"/>
          <w:marTop w:val="0"/>
          <w:marBottom w:val="60"/>
          <w:divBdr>
            <w:top w:val="none" w:sz="0" w:space="0" w:color="auto"/>
            <w:left w:val="none" w:sz="0" w:space="0" w:color="auto"/>
            <w:bottom w:val="none" w:sz="0" w:space="0" w:color="auto"/>
            <w:right w:val="none" w:sz="0" w:space="0" w:color="auto"/>
          </w:divBdr>
        </w:div>
        <w:div w:id="1893075267">
          <w:marLeft w:val="274"/>
          <w:marRight w:val="0"/>
          <w:marTop w:val="0"/>
          <w:marBottom w:val="60"/>
          <w:divBdr>
            <w:top w:val="none" w:sz="0" w:space="0" w:color="auto"/>
            <w:left w:val="none" w:sz="0" w:space="0" w:color="auto"/>
            <w:bottom w:val="none" w:sz="0" w:space="0" w:color="auto"/>
            <w:right w:val="none" w:sz="0" w:space="0" w:color="auto"/>
          </w:divBdr>
        </w:div>
      </w:divsChild>
    </w:div>
    <w:div w:id="604995523">
      <w:bodyDiv w:val="1"/>
      <w:marLeft w:val="0"/>
      <w:marRight w:val="0"/>
      <w:marTop w:val="0"/>
      <w:marBottom w:val="0"/>
      <w:divBdr>
        <w:top w:val="none" w:sz="0" w:space="0" w:color="auto"/>
        <w:left w:val="none" w:sz="0" w:space="0" w:color="auto"/>
        <w:bottom w:val="none" w:sz="0" w:space="0" w:color="auto"/>
        <w:right w:val="none" w:sz="0" w:space="0" w:color="auto"/>
      </w:divBdr>
    </w:div>
    <w:div w:id="611129612">
      <w:bodyDiv w:val="1"/>
      <w:marLeft w:val="0"/>
      <w:marRight w:val="0"/>
      <w:marTop w:val="0"/>
      <w:marBottom w:val="0"/>
      <w:divBdr>
        <w:top w:val="none" w:sz="0" w:space="0" w:color="auto"/>
        <w:left w:val="none" w:sz="0" w:space="0" w:color="auto"/>
        <w:bottom w:val="none" w:sz="0" w:space="0" w:color="auto"/>
        <w:right w:val="none" w:sz="0" w:space="0" w:color="auto"/>
      </w:divBdr>
    </w:div>
    <w:div w:id="692850787">
      <w:bodyDiv w:val="1"/>
      <w:marLeft w:val="0"/>
      <w:marRight w:val="0"/>
      <w:marTop w:val="0"/>
      <w:marBottom w:val="0"/>
      <w:divBdr>
        <w:top w:val="none" w:sz="0" w:space="0" w:color="auto"/>
        <w:left w:val="none" w:sz="0" w:space="0" w:color="auto"/>
        <w:bottom w:val="none" w:sz="0" w:space="0" w:color="auto"/>
        <w:right w:val="none" w:sz="0" w:space="0" w:color="auto"/>
      </w:divBdr>
      <w:divsChild>
        <w:div w:id="842280571">
          <w:marLeft w:val="0"/>
          <w:marRight w:val="0"/>
          <w:marTop w:val="0"/>
          <w:marBottom w:val="0"/>
          <w:divBdr>
            <w:top w:val="none" w:sz="0" w:space="0" w:color="auto"/>
            <w:left w:val="none" w:sz="0" w:space="0" w:color="auto"/>
            <w:bottom w:val="none" w:sz="0" w:space="0" w:color="auto"/>
            <w:right w:val="none" w:sz="0" w:space="0" w:color="auto"/>
          </w:divBdr>
        </w:div>
        <w:div w:id="939919404">
          <w:marLeft w:val="0"/>
          <w:marRight w:val="0"/>
          <w:marTop w:val="0"/>
          <w:marBottom w:val="0"/>
          <w:divBdr>
            <w:top w:val="none" w:sz="0" w:space="0" w:color="auto"/>
            <w:left w:val="none" w:sz="0" w:space="0" w:color="auto"/>
            <w:bottom w:val="none" w:sz="0" w:space="0" w:color="auto"/>
            <w:right w:val="none" w:sz="0" w:space="0" w:color="auto"/>
          </w:divBdr>
        </w:div>
      </w:divsChild>
    </w:div>
    <w:div w:id="736366903">
      <w:bodyDiv w:val="1"/>
      <w:marLeft w:val="0"/>
      <w:marRight w:val="0"/>
      <w:marTop w:val="0"/>
      <w:marBottom w:val="0"/>
      <w:divBdr>
        <w:top w:val="none" w:sz="0" w:space="0" w:color="auto"/>
        <w:left w:val="none" w:sz="0" w:space="0" w:color="auto"/>
        <w:bottom w:val="none" w:sz="0" w:space="0" w:color="auto"/>
        <w:right w:val="none" w:sz="0" w:space="0" w:color="auto"/>
      </w:divBdr>
    </w:div>
    <w:div w:id="743451411">
      <w:bodyDiv w:val="1"/>
      <w:marLeft w:val="0"/>
      <w:marRight w:val="0"/>
      <w:marTop w:val="0"/>
      <w:marBottom w:val="0"/>
      <w:divBdr>
        <w:top w:val="none" w:sz="0" w:space="0" w:color="auto"/>
        <w:left w:val="none" w:sz="0" w:space="0" w:color="auto"/>
        <w:bottom w:val="none" w:sz="0" w:space="0" w:color="auto"/>
        <w:right w:val="none" w:sz="0" w:space="0" w:color="auto"/>
      </w:divBdr>
      <w:divsChild>
        <w:div w:id="1400008956">
          <w:marLeft w:val="0"/>
          <w:marRight w:val="0"/>
          <w:marTop w:val="0"/>
          <w:marBottom w:val="0"/>
          <w:divBdr>
            <w:top w:val="none" w:sz="0" w:space="0" w:color="auto"/>
            <w:left w:val="none" w:sz="0" w:space="0" w:color="auto"/>
            <w:bottom w:val="none" w:sz="0" w:space="0" w:color="auto"/>
            <w:right w:val="none" w:sz="0" w:space="0" w:color="auto"/>
          </w:divBdr>
        </w:div>
        <w:div w:id="1792817568">
          <w:marLeft w:val="0"/>
          <w:marRight w:val="0"/>
          <w:marTop w:val="0"/>
          <w:marBottom w:val="0"/>
          <w:divBdr>
            <w:top w:val="none" w:sz="0" w:space="0" w:color="auto"/>
            <w:left w:val="none" w:sz="0" w:space="0" w:color="auto"/>
            <w:bottom w:val="none" w:sz="0" w:space="0" w:color="auto"/>
            <w:right w:val="none" w:sz="0" w:space="0" w:color="auto"/>
          </w:divBdr>
        </w:div>
      </w:divsChild>
    </w:div>
    <w:div w:id="755707309">
      <w:bodyDiv w:val="1"/>
      <w:marLeft w:val="0"/>
      <w:marRight w:val="0"/>
      <w:marTop w:val="0"/>
      <w:marBottom w:val="0"/>
      <w:divBdr>
        <w:top w:val="none" w:sz="0" w:space="0" w:color="auto"/>
        <w:left w:val="none" w:sz="0" w:space="0" w:color="auto"/>
        <w:bottom w:val="none" w:sz="0" w:space="0" w:color="auto"/>
        <w:right w:val="none" w:sz="0" w:space="0" w:color="auto"/>
      </w:divBdr>
    </w:div>
    <w:div w:id="797921253">
      <w:bodyDiv w:val="1"/>
      <w:marLeft w:val="0"/>
      <w:marRight w:val="0"/>
      <w:marTop w:val="0"/>
      <w:marBottom w:val="0"/>
      <w:divBdr>
        <w:top w:val="none" w:sz="0" w:space="0" w:color="auto"/>
        <w:left w:val="none" w:sz="0" w:space="0" w:color="auto"/>
        <w:bottom w:val="none" w:sz="0" w:space="0" w:color="auto"/>
        <w:right w:val="none" w:sz="0" w:space="0" w:color="auto"/>
      </w:divBdr>
    </w:div>
    <w:div w:id="802888239">
      <w:bodyDiv w:val="1"/>
      <w:marLeft w:val="0"/>
      <w:marRight w:val="0"/>
      <w:marTop w:val="0"/>
      <w:marBottom w:val="0"/>
      <w:divBdr>
        <w:top w:val="none" w:sz="0" w:space="0" w:color="auto"/>
        <w:left w:val="none" w:sz="0" w:space="0" w:color="auto"/>
        <w:bottom w:val="none" w:sz="0" w:space="0" w:color="auto"/>
        <w:right w:val="none" w:sz="0" w:space="0" w:color="auto"/>
      </w:divBdr>
    </w:div>
    <w:div w:id="928196388">
      <w:bodyDiv w:val="1"/>
      <w:marLeft w:val="0"/>
      <w:marRight w:val="0"/>
      <w:marTop w:val="0"/>
      <w:marBottom w:val="0"/>
      <w:divBdr>
        <w:top w:val="none" w:sz="0" w:space="0" w:color="auto"/>
        <w:left w:val="none" w:sz="0" w:space="0" w:color="auto"/>
        <w:bottom w:val="none" w:sz="0" w:space="0" w:color="auto"/>
        <w:right w:val="none" w:sz="0" w:space="0" w:color="auto"/>
      </w:divBdr>
    </w:div>
    <w:div w:id="1021130041">
      <w:bodyDiv w:val="1"/>
      <w:marLeft w:val="0"/>
      <w:marRight w:val="0"/>
      <w:marTop w:val="0"/>
      <w:marBottom w:val="0"/>
      <w:divBdr>
        <w:top w:val="none" w:sz="0" w:space="0" w:color="auto"/>
        <w:left w:val="none" w:sz="0" w:space="0" w:color="auto"/>
        <w:bottom w:val="none" w:sz="0" w:space="0" w:color="auto"/>
        <w:right w:val="none" w:sz="0" w:space="0" w:color="auto"/>
      </w:divBdr>
    </w:div>
    <w:div w:id="1089689987">
      <w:bodyDiv w:val="1"/>
      <w:marLeft w:val="0"/>
      <w:marRight w:val="0"/>
      <w:marTop w:val="0"/>
      <w:marBottom w:val="0"/>
      <w:divBdr>
        <w:top w:val="none" w:sz="0" w:space="0" w:color="auto"/>
        <w:left w:val="none" w:sz="0" w:space="0" w:color="auto"/>
        <w:bottom w:val="none" w:sz="0" w:space="0" w:color="auto"/>
        <w:right w:val="none" w:sz="0" w:space="0" w:color="auto"/>
      </w:divBdr>
      <w:divsChild>
        <w:div w:id="1334801741">
          <w:marLeft w:val="0"/>
          <w:marRight w:val="0"/>
          <w:marTop w:val="0"/>
          <w:marBottom w:val="0"/>
          <w:divBdr>
            <w:top w:val="none" w:sz="0" w:space="0" w:color="auto"/>
            <w:left w:val="none" w:sz="0" w:space="0" w:color="auto"/>
            <w:bottom w:val="none" w:sz="0" w:space="0" w:color="auto"/>
            <w:right w:val="none" w:sz="0" w:space="0" w:color="auto"/>
          </w:divBdr>
          <w:divsChild>
            <w:div w:id="507795524">
              <w:marLeft w:val="0"/>
              <w:marRight w:val="0"/>
              <w:marTop w:val="0"/>
              <w:marBottom w:val="0"/>
              <w:divBdr>
                <w:top w:val="none" w:sz="0" w:space="0" w:color="auto"/>
                <w:left w:val="none" w:sz="0" w:space="0" w:color="auto"/>
                <w:bottom w:val="none" w:sz="0" w:space="0" w:color="auto"/>
                <w:right w:val="none" w:sz="0" w:space="0" w:color="auto"/>
              </w:divBdr>
              <w:divsChild>
                <w:div w:id="593783689">
                  <w:marLeft w:val="0"/>
                  <w:marRight w:val="0"/>
                  <w:marTop w:val="0"/>
                  <w:marBottom w:val="0"/>
                  <w:divBdr>
                    <w:top w:val="single" w:sz="18" w:space="0" w:color="FF0000"/>
                    <w:left w:val="none" w:sz="0" w:space="0" w:color="auto"/>
                    <w:bottom w:val="none" w:sz="0" w:space="0" w:color="auto"/>
                    <w:right w:val="none" w:sz="0" w:space="0" w:color="auto"/>
                  </w:divBdr>
                  <w:divsChild>
                    <w:div w:id="2032761492">
                      <w:marLeft w:val="0"/>
                      <w:marRight w:val="0"/>
                      <w:marTop w:val="0"/>
                      <w:marBottom w:val="0"/>
                      <w:divBdr>
                        <w:top w:val="none" w:sz="0" w:space="12" w:color="424242"/>
                        <w:left w:val="single" w:sz="12" w:space="12" w:color="F0F0F0"/>
                        <w:bottom w:val="single" w:sz="12" w:space="12" w:color="F0F0F0"/>
                        <w:right w:val="single" w:sz="12" w:space="12" w:color="F0F0F0"/>
                      </w:divBdr>
                      <w:divsChild>
                        <w:div w:id="861361128">
                          <w:marLeft w:val="0"/>
                          <w:marRight w:val="0"/>
                          <w:marTop w:val="0"/>
                          <w:marBottom w:val="0"/>
                          <w:divBdr>
                            <w:top w:val="none" w:sz="0" w:space="0" w:color="424242"/>
                            <w:left w:val="none" w:sz="0" w:space="0" w:color="424242"/>
                            <w:bottom w:val="none" w:sz="0" w:space="0" w:color="424242"/>
                            <w:right w:val="none" w:sz="0" w:space="0" w:color="424242"/>
                          </w:divBdr>
                          <w:divsChild>
                            <w:div w:id="31393370">
                              <w:marLeft w:val="-240"/>
                              <w:marRight w:val="-240"/>
                              <w:marTop w:val="0"/>
                              <w:marBottom w:val="0"/>
                              <w:divBdr>
                                <w:top w:val="none" w:sz="0" w:space="0" w:color="424242"/>
                                <w:left w:val="none" w:sz="0" w:space="0" w:color="424242"/>
                                <w:bottom w:val="none" w:sz="0" w:space="0" w:color="424242"/>
                                <w:right w:val="none" w:sz="0" w:space="0" w:color="424242"/>
                              </w:divBdr>
                              <w:divsChild>
                                <w:div w:id="125852465">
                                  <w:marLeft w:val="0"/>
                                  <w:marRight w:val="0"/>
                                  <w:marTop w:val="0"/>
                                  <w:marBottom w:val="0"/>
                                  <w:divBdr>
                                    <w:top w:val="none" w:sz="0" w:space="12" w:color="424242"/>
                                    <w:left w:val="none" w:sz="0" w:space="12" w:color="424242"/>
                                    <w:bottom w:val="none" w:sz="0" w:space="12" w:color="424242"/>
                                    <w:right w:val="none" w:sz="0" w:space="12" w:color="424242"/>
                                  </w:divBdr>
                                  <w:divsChild>
                                    <w:div w:id="186993916">
                                      <w:marLeft w:val="0"/>
                                      <w:marRight w:val="0"/>
                                      <w:marTop w:val="0"/>
                                      <w:marBottom w:val="0"/>
                                      <w:divBdr>
                                        <w:top w:val="none" w:sz="0" w:space="0" w:color="424242"/>
                                        <w:left w:val="none" w:sz="0" w:space="0" w:color="424242"/>
                                        <w:bottom w:val="none" w:sz="0" w:space="0" w:color="424242"/>
                                        <w:right w:val="none" w:sz="0" w:space="0" w:color="424242"/>
                                      </w:divBdr>
                                    </w:div>
                                    <w:div w:id="1101103033">
                                      <w:marLeft w:val="0"/>
                                      <w:marRight w:val="0"/>
                                      <w:marTop w:val="0"/>
                                      <w:marBottom w:val="0"/>
                                      <w:divBdr>
                                        <w:top w:val="none" w:sz="0" w:space="0" w:color="424242"/>
                                        <w:left w:val="none" w:sz="0" w:space="0" w:color="424242"/>
                                        <w:bottom w:val="none" w:sz="0" w:space="0" w:color="424242"/>
                                        <w:right w:val="none" w:sz="0" w:space="0" w:color="424242"/>
                                      </w:divBdr>
                                      <w:divsChild>
                                        <w:div w:id="1047142050">
                                          <w:marLeft w:val="0"/>
                                          <w:marRight w:val="0"/>
                                          <w:marTop w:val="0"/>
                                          <w:marBottom w:val="0"/>
                                          <w:divBdr>
                                            <w:top w:val="none" w:sz="0" w:space="0" w:color="424242"/>
                                            <w:left w:val="none" w:sz="0" w:space="0" w:color="424242"/>
                                            <w:bottom w:val="none" w:sz="0" w:space="0" w:color="424242"/>
                                            <w:right w:val="none" w:sz="0" w:space="0" w:color="424242"/>
                                          </w:divBdr>
                                          <w:divsChild>
                                            <w:div w:id="1991670711">
                                              <w:marLeft w:val="-30"/>
                                              <w:marRight w:val="-30"/>
                                              <w:marTop w:val="0"/>
                                              <w:marBottom w:val="0"/>
                                              <w:divBdr>
                                                <w:top w:val="none" w:sz="0" w:space="0" w:color="424242"/>
                                                <w:left w:val="none" w:sz="0" w:space="0" w:color="424242"/>
                                                <w:bottom w:val="none" w:sz="0" w:space="0" w:color="424242"/>
                                                <w:right w:val="none" w:sz="0" w:space="0" w:color="424242"/>
                                              </w:divBdr>
                                            </w:div>
                                          </w:divsChild>
                                        </w:div>
                                      </w:divsChild>
                                    </w:div>
                                    <w:div w:id="1788622705">
                                      <w:marLeft w:val="0"/>
                                      <w:marRight w:val="0"/>
                                      <w:marTop w:val="0"/>
                                      <w:marBottom w:val="0"/>
                                      <w:divBdr>
                                        <w:top w:val="none" w:sz="0" w:space="0" w:color="424242"/>
                                        <w:left w:val="none" w:sz="0" w:space="0" w:color="424242"/>
                                        <w:bottom w:val="none" w:sz="0" w:space="0" w:color="424242"/>
                                        <w:right w:val="none" w:sz="0" w:space="0" w:color="424242"/>
                                      </w:divBdr>
                                    </w:div>
                                    <w:div w:id="2028939837">
                                      <w:marLeft w:val="0"/>
                                      <w:marRight w:val="0"/>
                                      <w:marTop w:val="0"/>
                                      <w:marBottom w:val="0"/>
                                      <w:divBdr>
                                        <w:top w:val="none" w:sz="0" w:space="0" w:color="1F1F1F"/>
                                        <w:left w:val="none" w:sz="0" w:space="0" w:color="1F1F1F"/>
                                        <w:bottom w:val="none" w:sz="0" w:space="0" w:color="1F1F1F"/>
                                        <w:right w:val="none" w:sz="0" w:space="0" w:color="1F1F1F"/>
                                      </w:divBdr>
                                    </w:div>
                                  </w:divsChild>
                                </w:div>
                              </w:divsChild>
                            </w:div>
                            <w:div w:id="2083527689">
                              <w:marLeft w:val="-240"/>
                              <w:marRight w:val="-240"/>
                              <w:marTop w:val="0"/>
                              <w:marBottom w:val="150"/>
                              <w:divBdr>
                                <w:top w:val="none" w:sz="0" w:space="0" w:color="424242"/>
                                <w:left w:val="none" w:sz="0" w:space="0" w:color="424242"/>
                                <w:bottom w:val="none" w:sz="0" w:space="0" w:color="424242"/>
                                <w:right w:val="none" w:sz="0" w:space="0" w:color="424242"/>
                              </w:divBdr>
                              <w:divsChild>
                                <w:div w:id="1119299630">
                                  <w:marLeft w:val="0"/>
                                  <w:marRight w:val="0"/>
                                  <w:marTop w:val="0"/>
                                  <w:marBottom w:val="0"/>
                                  <w:divBdr>
                                    <w:top w:val="none" w:sz="0" w:space="0" w:color="424242"/>
                                    <w:left w:val="none" w:sz="0" w:space="0" w:color="424242"/>
                                    <w:bottom w:val="none" w:sz="0" w:space="0" w:color="424242"/>
                                    <w:right w:val="none" w:sz="0" w:space="0" w:color="424242"/>
                                  </w:divBdr>
                                  <w:divsChild>
                                    <w:div w:id="1508785309">
                                      <w:marLeft w:val="0"/>
                                      <w:marRight w:val="180"/>
                                      <w:marTop w:val="0"/>
                                      <w:marBottom w:val="0"/>
                                      <w:divBdr>
                                        <w:top w:val="none" w:sz="0" w:space="0" w:color="424242"/>
                                        <w:left w:val="none" w:sz="0" w:space="12" w:color="424242"/>
                                        <w:bottom w:val="none" w:sz="0" w:space="0" w:color="424242"/>
                                        <w:right w:val="none" w:sz="0" w:space="0" w:color="424242"/>
                                      </w:divBdr>
                                    </w:div>
                                    <w:div w:id="1947033111">
                                      <w:marLeft w:val="0"/>
                                      <w:marRight w:val="180"/>
                                      <w:marTop w:val="0"/>
                                      <w:marBottom w:val="0"/>
                                      <w:divBdr>
                                        <w:top w:val="none" w:sz="0" w:space="0" w:color="424242"/>
                                        <w:left w:val="none" w:sz="0" w:space="0" w:color="424242"/>
                                        <w:bottom w:val="none" w:sz="0" w:space="0" w:color="424242"/>
                                        <w:right w:val="none" w:sz="0" w:space="0" w:color="424242"/>
                                      </w:divBdr>
                                    </w:div>
                                  </w:divsChild>
                                </w:div>
                              </w:divsChild>
                            </w:div>
                          </w:divsChild>
                        </w:div>
                      </w:divsChild>
                    </w:div>
                  </w:divsChild>
                </w:div>
              </w:divsChild>
            </w:div>
          </w:divsChild>
        </w:div>
      </w:divsChild>
    </w:div>
    <w:div w:id="1187862744">
      <w:bodyDiv w:val="1"/>
      <w:marLeft w:val="0"/>
      <w:marRight w:val="0"/>
      <w:marTop w:val="0"/>
      <w:marBottom w:val="0"/>
      <w:divBdr>
        <w:top w:val="none" w:sz="0" w:space="0" w:color="auto"/>
        <w:left w:val="none" w:sz="0" w:space="0" w:color="auto"/>
        <w:bottom w:val="none" w:sz="0" w:space="0" w:color="auto"/>
        <w:right w:val="none" w:sz="0" w:space="0" w:color="auto"/>
      </w:divBdr>
    </w:div>
    <w:div w:id="1210805733">
      <w:bodyDiv w:val="1"/>
      <w:marLeft w:val="0"/>
      <w:marRight w:val="0"/>
      <w:marTop w:val="0"/>
      <w:marBottom w:val="0"/>
      <w:divBdr>
        <w:top w:val="none" w:sz="0" w:space="0" w:color="auto"/>
        <w:left w:val="none" w:sz="0" w:space="0" w:color="auto"/>
        <w:bottom w:val="none" w:sz="0" w:space="0" w:color="auto"/>
        <w:right w:val="none" w:sz="0" w:space="0" w:color="auto"/>
      </w:divBdr>
    </w:div>
    <w:div w:id="1391078470">
      <w:bodyDiv w:val="1"/>
      <w:marLeft w:val="0"/>
      <w:marRight w:val="0"/>
      <w:marTop w:val="0"/>
      <w:marBottom w:val="0"/>
      <w:divBdr>
        <w:top w:val="none" w:sz="0" w:space="0" w:color="auto"/>
        <w:left w:val="none" w:sz="0" w:space="0" w:color="auto"/>
        <w:bottom w:val="none" w:sz="0" w:space="0" w:color="auto"/>
        <w:right w:val="none" w:sz="0" w:space="0" w:color="auto"/>
      </w:divBdr>
    </w:div>
    <w:div w:id="1426422280">
      <w:bodyDiv w:val="1"/>
      <w:marLeft w:val="0"/>
      <w:marRight w:val="0"/>
      <w:marTop w:val="0"/>
      <w:marBottom w:val="0"/>
      <w:divBdr>
        <w:top w:val="none" w:sz="0" w:space="0" w:color="auto"/>
        <w:left w:val="none" w:sz="0" w:space="0" w:color="auto"/>
        <w:bottom w:val="none" w:sz="0" w:space="0" w:color="auto"/>
        <w:right w:val="none" w:sz="0" w:space="0" w:color="auto"/>
      </w:divBdr>
      <w:divsChild>
        <w:div w:id="554203614">
          <w:marLeft w:val="0"/>
          <w:marRight w:val="0"/>
          <w:marTop w:val="0"/>
          <w:marBottom w:val="0"/>
          <w:divBdr>
            <w:top w:val="none" w:sz="0" w:space="0" w:color="auto"/>
            <w:left w:val="none" w:sz="0" w:space="0" w:color="auto"/>
            <w:bottom w:val="none" w:sz="0" w:space="0" w:color="auto"/>
            <w:right w:val="none" w:sz="0" w:space="0" w:color="auto"/>
          </w:divBdr>
        </w:div>
        <w:div w:id="1217665468">
          <w:marLeft w:val="0"/>
          <w:marRight w:val="0"/>
          <w:marTop w:val="0"/>
          <w:marBottom w:val="0"/>
          <w:divBdr>
            <w:top w:val="none" w:sz="0" w:space="0" w:color="auto"/>
            <w:left w:val="none" w:sz="0" w:space="0" w:color="auto"/>
            <w:bottom w:val="none" w:sz="0" w:space="0" w:color="auto"/>
            <w:right w:val="none" w:sz="0" w:space="0" w:color="auto"/>
          </w:divBdr>
        </w:div>
        <w:div w:id="1565870071">
          <w:marLeft w:val="0"/>
          <w:marRight w:val="0"/>
          <w:marTop w:val="0"/>
          <w:marBottom w:val="0"/>
          <w:divBdr>
            <w:top w:val="none" w:sz="0" w:space="0" w:color="auto"/>
            <w:left w:val="none" w:sz="0" w:space="0" w:color="auto"/>
            <w:bottom w:val="none" w:sz="0" w:space="0" w:color="auto"/>
            <w:right w:val="none" w:sz="0" w:space="0" w:color="auto"/>
          </w:divBdr>
        </w:div>
        <w:div w:id="1576431535">
          <w:marLeft w:val="0"/>
          <w:marRight w:val="0"/>
          <w:marTop w:val="0"/>
          <w:marBottom w:val="0"/>
          <w:divBdr>
            <w:top w:val="none" w:sz="0" w:space="0" w:color="auto"/>
            <w:left w:val="none" w:sz="0" w:space="0" w:color="auto"/>
            <w:bottom w:val="none" w:sz="0" w:space="0" w:color="auto"/>
            <w:right w:val="none" w:sz="0" w:space="0" w:color="auto"/>
          </w:divBdr>
        </w:div>
        <w:div w:id="1633632134">
          <w:marLeft w:val="0"/>
          <w:marRight w:val="0"/>
          <w:marTop w:val="0"/>
          <w:marBottom w:val="0"/>
          <w:divBdr>
            <w:top w:val="none" w:sz="0" w:space="0" w:color="auto"/>
            <w:left w:val="none" w:sz="0" w:space="0" w:color="auto"/>
            <w:bottom w:val="none" w:sz="0" w:space="0" w:color="auto"/>
            <w:right w:val="none" w:sz="0" w:space="0" w:color="auto"/>
          </w:divBdr>
        </w:div>
      </w:divsChild>
    </w:div>
    <w:div w:id="1441795434">
      <w:bodyDiv w:val="1"/>
      <w:marLeft w:val="0"/>
      <w:marRight w:val="0"/>
      <w:marTop w:val="0"/>
      <w:marBottom w:val="0"/>
      <w:divBdr>
        <w:top w:val="none" w:sz="0" w:space="0" w:color="auto"/>
        <w:left w:val="none" w:sz="0" w:space="0" w:color="auto"/>
        <w:bottom w:val="none" w:sz="0" w:space="0" w:color="auto"/>
        <w:right w:val="none" w:sz="0" w:space="0" w:color="auto"/>
      </w:divBdr>
    </w:div>
    <w:div w:id="1731147149">
      <w:bodyDiv w:val="1"/>
      <w:marLeft w:val="0"/>
      <w:marRight w:val="0"/>
      <w:marTop w:val="0"/>
      <w:marBottom w:val="0"/>
      <w:divBdr>
        <w:top w:val="none" w:sz="0" w:space="0" w:color="auto"/>
        <w:left w:val="none" w:sz="0" w:space="0" w:color="auto"/>
        <w:bottom w:val="none" w:sz="0" w:space="0" w:color="auto"/>
        <w:right w:val="none" w:sz="0" w:space="0" w:color="auto"/>
      </w:divBdr>
      <w:divsChild>
        <w:div w:id="89326155">
          <w:marLeft w:val="0"/>
          <w:marRight w:val="0"/>
          <w:marTop w:val="0"/>
          <w:marBottom w:val="0"/>
          <w:divBdr>
            <w:top w:val="none" w:sz="0" w:space="0" w:color="auto"/>
            <w:left w:val="none" w:sz="0" w:space="0" w:color="auto"/>
            <w:bottom w:val="none" w:sz="0" w:space="0" w:color="auto"/>
            <w:right w:val="none" w:sz="0" w:space="0" w:color="auto"/>
          </w:divBdr>
        </w:div>
        <w:div w:id="530073634">
          <w:marLeft w:val="0"/>
          <w:marRight w:val="0"/>
          <w:marTop w:val="0"/>
          <w:marBottom w:val="0"/>
          <w:divBdr>
            <w:top w:val="none" w:sz="0" w:space="0" w:color="auto"/>
            <w:left w:val="none" w:sz="0" w:space="0" w:color="auto"/>
            <w:bottom w:val="none" w:sz="0" w:space="0" w:color="auto"/>
            <w:right w:val="none" w:sz="0" w:space="0" w:color="auto"/>
          </w:divBdr>
        </w:div>
      </w:divsChild>
    </w:div>
    <w:div w:id="1737243189">
      <w:bodyDiv w:val="1"/>
      <w:marLeft w:val="0"/>
      <w:marRight w:val="0"/>
      <w:marTop w:val="0"/>
      <w:marBottom w:val="0"/>
      <w:divBdr>
        <w:top w:val="none" w:sz="0" w:space="0" w:color="auto"/>
        <w:left w:val="none" w:sz="0" w:space="0" w:color="auto"/>
        <w:bottom w:val="none" w:sz="0" w:space="0" w:color="auto"/>
        <w:right w:val="none" w:sz="0" w:space="0" w:color="auto"/>
      </w:divBdr>
    </w:div>
    <w:div w:id="1944072359">
      <w:bodyDiv w:val="1"/>
      <w:marLeft w:val="0"/>
      <w:marRight w:val="0"/>
      <w:marTop w:val="0"/>
      <w:marBottom w:val="0"/>
      <w:divBdr>
        <w:top w:val="none" w:sz="0" w:space="0" w:color="auto"/>
        <w:left w:val="none" w:sz="0" w:space="0" w:color="auto"/>
        <w:bottom w:val="none" w:sz="0" w:space="0" w:color="auto"/>
        <w:right w:val="none" w:sz="0" w:space="0" w:color="auto"/>
      </w:divBdr>
    </w:div>
    <w:div w:id="2027168160">
      <w:bodyDiv w:val="1"/>
      <w:marLeft w:val="0"/>
      <w:marRight w:val="0"/>
      <w:marTop w:val="0"/>
      <w:marBottom w:val="0"/>
      <w:divBdr>
        <w:top w:val="none" w:sz="0" w:space="0" w:color="auto"/>
        <w:left w:val="none" w:sz="0" w:space="0" w:color="auto"/>
        <w:bottom w:val="none" w:sz="0" w:space="0" w:color="auto"/>
        <w:right w:val="none" w:sz="0" w:space="0" w:color="auto"/>
      </w:divBdr>
    </w:div>
    <w:div w:id="2067682922">
      <w:bodyDiv w:val="1"/>
      <w:marLeft w:val="0"/>
      <w:marRight w:val="0"/>
      <w:marTop w:val="0"/>
      <w:marBottom w:val="0"/>
      <w:divBdr>
        <w:top w:val="none" w:sz="0" w:space="0" w:color="auto"/>
        <w:left w:val="none" w:sz="0" w:space="0" w:color="auto"/>
        <w:bottom w:val="none" w:sz="0" w:space="0" w:color="auto"/>
        <w:right w:val="none" w:sz="0" w:space="0" w:color="auto"/>
      </w:divBdr>
    </w:div>
    <w:div w:id="212291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svg"/><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CTG Review Colour Palette-01">
  <a:themeElements>
    <a:clrScheme name="CTG Review Colour Paletter-02">
      <a:dk1>
        <a:srgbClr val="000000"/>
      </a:dk1>
      <a:lt1>
        <a:srgbClr val="FFFFFF"/>
      </a:lt1>
      <a:dk2>
        <a:srgbClr val="CB6027"/>
      </a:dk2>
      <a:lt2>
        <a:srgbClr val="0D8380"/>
      </a:lt2>
      <a:accent1>
        <a:srgbClr val="88593C"/>
      </a:accent1>
      <a:accent2>
        <a:srgbClr val="E3B282"/>
      </a:accent2>
      <a:accent3>
        <a:srgbClr val="286CB5"/>
      </a:accent3>
      <a:accent4>
        <a:srgbClr val="49BA73"/>
      </a:accent4>
      <a:accent5>
        <a:srgbClr val="E37E26"/>
      </a:accent5>
      <a:accent6>
        <a:srgbClr val="3ABFC1"/>
      </a:accent6>
      <a:hlink>
        <a:srgbClr val="134882"/>
      </a:hlink>
      <a:folHlink>
        <a:srgbClr val="1D1D1B"/>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lumMod val="20000"/>
            <a:lumOff val="80000"/>
          </a:schemeClr>
        </a:solidFill>
        <a:ln>
          <a:noFill/>
        </a:ln>
      </a:spPr>
      <a:bodyPr rtlCol="0" anchor="ctr"/>
      <a:lstStyle>
        <a:defPPr algn="l">
          <a:spcBef>
            <a:spcPts val="1200"/>
          </a:spcBef>
          <a:spcAft>
            <a:spcPts val="600"/>
          </a:spcAft>
          <a:defRPr sz="1000" b="1" dirty="0">
            <a:solidFill>
              <a:schemeClr val="tx1"/>
            </a:solidFill>
            <a:latin typeface="Arial" panose="020B0604020202020204" pitchFamily="34" charset="0"/>
            <a:cs typeface="Arial" panose="020B0604020202020204" pitchFamily="34" charset="0"/>
          </a:defRPr>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bg1">
              <a:lumMod val="65000"/>
            </a:schemeClr>
          </a:solidFill>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CTG Review Colour Palette-01" id="{7425C606-0149-B14D-A561-0B6DECB16BFF}" vid="{376D2216-7354-A14E-8E71-4BA9619DA613}"/>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EA41732-6261-1D41-A04F-7397FA00B15F}">
  <we:reference id="c112e7c3-664d-4d8c-93c0-1a34f676523c" version="1.0.0.7"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templateName":"chapter","templateDescription":"","enableDocumentContentUpdater":false,"version":"2.0"}]]></TemplafyTemplateConfiguration>
</file>

<file path=customXml/item2.xml><?xml version="1.0" encoding="utf-8"?>
<ct:contentTypeSchema xmlns:ct="http://schemas.microsoft.com/office/2006/metadata/contentType" xmlns:ma="http://schemas.microsoft.com/office/2006/metadata/properties/metaAttributes" ct:_="" ma:_="" ma:contentTypeName="Document" ma:contentTypeID="0x010100FB96E3CF83C1344E85383C533D19657E" ma:contentTypeVersion="25" ma:contentTypeDescription="Create a new document." ma:contentTypeScope="" ma:versionID="42d3d3f51b1401d45d7b73a903f4f720">
  <xsd:schema xmlns:xsd="http://www.w3.org/2001/XMLSchema" xmlns:xs="http://www.w3.org/2001/XMLSchema" xmlns:p="http://schemas.microsoft.com/office/2006/metadata/properties" xmlns:ns2="023976aa-9336-49fb-823a-1a42afcf7aae" xmlns:ns3="30aed58d-9451-42ce-8aa5-12955cf0519a" targetNamespace="http://schemas.microsoft.com/office/2006/metadata/properties" ma:root="true" ma:fieldsID="7e524f3406e3b65c2db44158046421b5" ns2:_="" ns3:_="">
    <xsd:import namespace="023976aa-9336-49fb-823a-1a42afcf7aae"/>
    <xsd:import namespace="30aed58d-9451-42ce-8aa5-12955cf0519a"/>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3:MediaServiceObjectDetectorVersions" minOccurs="0"/>
                <xsd:element ref="ns3:Typeoforganis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976aa-9336-49fb-823a-1a42afcf7aae"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88316321-540c-4d7d-a321-19523892d3e7}" ma:internalName="TaxCatchAll" ma:showField="CatchAllData" ma:web="023976aa-9336-49fb-823a-1a42afcf7aae">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aed58d-9451-42ce-8aa5-12955cf051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Typeoforganisation" ma:index="24" nillable="true" ma:displayName="Type of organisation" ma:format="Dropdown" ma:internalName="Typeoforganisation">
      <xsd:simpleType>
        <xsd:restriction base="dms:Choice">
          <xsd:enumeration value="Aboriginal and Torres Strait Islander"/>
          <xsd:enumeration value="Goverment"/>
          <xsd:enumeration value="ALGA"/>
          <xsd:enumeration value="NGO"/>
          <xsd:enumeration value="Research and Consult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0aed58d-9451-42ce-8aa5-12955cf0519a">
      <Terms xmlns="http://schemas.microsoft.com/office/infopath/2007/PartnerControls"/>
    </lcf76f155ced4ddcb4097134ff3c332f>
    <TaxCatchAll xmlns="023976aa-9336-49fb-823a-1a42afcf7aae">
      <Value>1</Value>
    </TaxCatchAll>
    <i0f84bba906045b4af568ee102a52dcb xmlns="023976aa-9336-49fb-823a-1a42afcf7aae">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ypeoforganisation xmlns="30aed58d-9451-42ce-8aa5-12955cf0519a" xsi:nil="true"/>
  </documentManagement>
</p:properties>
</file>

<file path=customXml/item4.xml><?xml version="1.0" encoding="utf-8"?>
<TemplafyFormConfiguration><![CDATA[{"formFields":[],"formDataEntries":[]}]]></TemplafyFormConfigura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E67A3C7C-CE11-4044-A002-32DA5C9972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976aa-9336-49fb-823a-1a42afcf7aae"/>
    <ds:schemaRef ds:uri="30aed58d-9451-42ce-8aa5-12955cf051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D7E758-95E6-4233-9DBF-AD5AFE80CDD4}">
  <ds:schemaRefs>
    <ds:schemaRef ds:uri="http://schemas.microsoft.com/office/2006/metadata/properties"/>
    <ds:schemaRef ds:uri="http://schemas.microsoft.com/office/infopath/2007/PartnerControls"/>
    <ds:schemaRef ds:uri="30aed58d-9451-42ce-8aa5-12955cf0519a"/>
    <ds:schemaRef ds:uri="023976aa-9336-49fb-823a-1a42afcf7aae"/>
  </ds:schemaRefs>
</ds:datastoreItem>
</file>

<file path=customXml/itemProps4.xml><?xml version="1.0" encoding="utf-8"?>
<ds:datastoreItem xmlns:ds="http://schemas.openxmlformats.org/officeDocument/2006/customXml" ds:itemID="{9897F752-2238-441E-ABA5-DB8C10DEA577}">
  <ds:schemaRefs/>
</ds:datastoreItem>
</file>

<file path=customXml/itemProps5.xml><?xml version="1.0" encoding="utf-8"?>
<ds:datastoreItem xmlns:ds="http://schemas.openxmlformats.org/officeDocument/2006/customXml" ds:itemID="{3E077E22-1230-48F7-A591-77018D5FCEE5}">
  <ds:schemaRefs>
    <ds:schemaRef ds:uri="http://schemas.microsoft.com/sharepoint/v3/contenttype/forms"/>
  </ds:schemaRefs>
</ds:datastoreItem>
</file>

<file path=customXml/itemProps6.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6468</TotalTime>
  <Pages>60</Pages>
  <Words>29638</Words>
  <Characters>168937</Characters>
  <Application>Microsoft Office Word</Application>
  <DocSecurity>0</DocSecurity>
  <Lines>1407</Lines>
  <Paragraphs>396</Paragraphs>
  <ScaleCrop>false</ScaleCrop>
  <HeadingPairs>
    <vt:vector size="2" baseType="variant">
      <vt:variant>
        <vt:lpstr>Title</vt:lpstr>
      </vt:variant>
      <vt:variant>
        <vt:i4>1</vt:i4>
      </vt:variant>
    </vt:vector>
  </HeadingPairs>
  <TitlesOfParts>
    <vt:vector size="1" baseType="lpstr">
      <vt:lpstr>Tracking progress - Information paper 6 - Draft report - Review of the National Agreement on Closing the Gap</vt:lpstr>
    </vt:vector>
  </TitlesOfParts>
  <Manager/>
  <Company>Productivity Commission</Company>
  <LinksUpToDate>false</LinksUpToDate>
  <CharactersWithSpaces>198179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Tracking progress - Information paper 6 - Draft report - Review of the National Agreement on Closing the Gap</dc:title>
  <dc:subject/>
  <dc:creator>Productivity Commission</dc:creator>
  <cp:keywords/>
  <dc:description/>
  <cp:lastModifiedBy>Rebecca Leahan</cp:lastModifiedBy>
  <cp:revision>4758</cp:revision>
  <cp:lastPrinted>2023-07-21T02:10:00Z</cp:lastPrinted>
  <dcterms:created xsi:type="dcterms:W3CDTF">2023-06-22T21:54:00Z</dcterms:created>
  <dcterms:modified xsi:type="dcterms:W3CDTF">2023-07-27T06:43:00Z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637629323564275408</vt:lpwstr>
  </property>
  <property fmtid="{D5CDD505-2E9C-101B-9397-08002B2CF9AE}" pid="4" name="TemplafyUserProfileId">
    <vt:lpwstr>637934337223941628</vt:lpwstr>
  </property>
  <property fmtid="{D5CDD505-2E9C-101B-9397-08002B2CF9AE}" pid="5" name="TemplafyFromBlank">
    <vt:bool>false</vt:bool>
  </property>
  <property fmtid="{D5CDD505-2E9C-101B-9397-08002B2CF9AE}" pid="6" name="ContentTypeId">
    <vt:lpwstr>0x010100FB96E3CF83C1344E85383C533D19657E</vt:lpwstr>
  </property>
  <property fmtid="{D5CDD505-2E9C-101B-9397-08002B2CF9AE}" pid="7" name="MediaServiceImageTags">
    <vt:lpwstr/>
  </property>
  <property fmtid="{D5CDD505-2E9C-101B-9397-08002B2CF9AE}" pid="8" name="RevIMBCS">
    <vt:lpwstr>1;#Unclassified|3955eeb1-2d18-4582-aeb2-00144ec3aaf5</vt:lpwstr>
  </property>
  <property fmtid="{D5CDD505-2E9C-101B-9397-08002B2CF9AE}" pid="9" name="ZOTERO_PREF_2">
    <vt:lpwstr>JournalAbbreviations" value="true"/&gt;&lt;pref name="dontAskDelayCitationUpdates" value="true"/&gt;&lt;/prefs&gt;&lt;/data&gt;</vt:lpwstr>
  </property>
  <property fmtid="{D5CDD505-2E9C-101B-9397-08002B2CF9AE}" pid="10" name="ZOTERO_PREF_1">
    <vt:lpwstr>&lt;data data-version="3" zotero-version="6.0.26"&gt;&lt;session id="r8C3rgbj"/&gt;&lt;style id="http://www.zotero.org/styles/Productivity-Commission" hasBibliography="1" bibliographyStyleHasBeenSet="1"/&gt;&lt;prefs&gt;&lt;pref name="fieldType" value="Field"/&gt;&lt;pref name="automatic</vt:lpwstr>
  </property>
</Properties>
</file>