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A0A2E" w14:textId="59CA0E8C" w:rsidR="00DE07FB" w:rsidRPr="009075AD" w:rsidRDefault="00384294" w:rsidP="009075AD">
      <w:pPr>
        <w:pStyle w:val="Heading1-nobackground"/>
        <w:spacing w:before="120" w:after="0"/>
        <w:rPr>
          <w:color w:val="FFFFFF" w:themeColor="background1"/>
          <w:sz w:val="16"/>
          <w:szCs w:val="16"/>
        </w:rPr>
      </w:pPr>
      <w:bookmarkStart w:id="0" w:name="_Toc140504482"/>
      <w:r w:rsidRPr="009075AD">
        <w:rPr>
          <w:noProof/>
          <w:color w:val="FFFFFF" w:themeColor="background1"/>
          <w:sz w:val="16"/>
          <w:szCs w:val="16"/>
        </w:rPr>
        <w:drawing>
          <wp:anchor distT="0" distB="0" distL="114300" distR="114300" simplePos="0" relativeHeight="251658240" behindDoc="0" locked="0" layoutInCell="1" allowOverlap="1" wp14:anchorId="1CD66D4F" wp14:editId="63B1E315">
            <wp:simplePos x="0" y="0"/>
            <wp:positionH relativeFrom="column">
              <wp:posOffset>-720090</wp:posOffset>
            </wp:positionH>
            <wp:positionV relativeFrom="page">
              <wp:posOffset>0</wp:posOffset>
            </wp:positionV>
            <wp:extent cx="7563599" cy="10690734"/>
            <wp:effectExtent l="0" t="0" r="5715" b="3175"/>
            <wp:wrapNone/>
            <wp:docPr id="531561938" name="Picture 531561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561938" name="Picture 53156193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63599" cy="10690734"/>
                    </a:xfrm>
                    <a:prstGeom prst="rect">
                      <a:avLst/>
                    </a:prstGeom>
                  </pic:spPr>
                </pic:pic>
              </a:graphicData>
            </a:graphic>
            <wp14:sizeRelH relativeFrom="margin">
              <wp14:pctWidth>0</wp14:pctWidth>
            </wp14:sizeRelH>
            <wp14:sizeRelV relativeFrom="margin">
              <wp14:pctHeight>0</wp14:pctHeight>
            </wp14:sizeRelV>
          </wp:anchor>
        </w:drawing>
      </w:r>
      <w:r w:rsidR="00DE07FB" w:rsidRPr="009075AD">
        <w:rPr>
          <w:color w:val="FFFFFF" w:themeColor="background1"/>
          <w:sz w:val="16"/>
          <w:szCs w:val="16"/>
        </w:rPr>
        <w:t>Review of the National Agreement on Closing the Gap draft report</w:t>
      </w:r>
      <w:bookmarkEnd w:id="0"/>
    </w:p>
    <w:p w14:paraId="280DADAB" w14:textId="767DDD48" w:rsidR="00D02A03" w:rsidRPr="009075AD" w:rsidRDefault="00192119" w:rsidP="009075AD">
      <w:pPr>
        <w:pStyle w:val="Heading1-nobackground"/>
        <w:spacing w:before="120" w:after="0"/>
        <w:rPr>
          <w:color w:val="FFFFFF" w:themeColor="background1"/>
          <w:sz w:val="16"/>
          <w:szCs w:val="16"/>
        </w:rPr>
      </w:pPr>
      <w:bookmarkStart w:id="1" w:name="_Toc140504483"/>
      <w:r w:rsidRPr="009075AD">
        <w:rPr>
          <w:color w:val="FFFFFF" w:themeColor="background1"/>
          <w:sz w:val="16"/>
          <w:szCs w:val="16"/>
        </w:rPr>
        <w:t>Information paper 7</w:t>
      </w:r>
      <w:bookmarkEnd w:id="1"/>
    </w:p>
    <w:p w14:paraId="3903FB53" w14:textId="01CEADB7" w:rsidR="00902F69" w:rsidRPr="009075AD" w:rsidRDefault="0000236A" w:rsidP="009075AD">
      <w:pPr>
        <w:pStyle w:val="Heading1-nobackground"/>
        <w:spacing w:before="120" w:after="0"/>
        <w:rPr>
          <w:color w:val="FFFFFF" w:themeColor="background1"/>
          <w:sz w:val="16"/>
          <w:szCs w:val="16"/>
        </w:rPr>
      </w:pPr>
      <w:bookmarkStart w:id="2" w:name="_Toc140504484"/>
      <w:r w:rsidRPr="009075AD">
        <w:rPr>
          <w:color w:val="FFFFFF" w:themeColor="background1"/>
          <w:sz w:val="16"/>
          <w:szCs w:val="16"/>
        </w:rPr>
        <w:t>Accountability for improv</w:t>
      </w:r>
      <w:r w:rsidR="005248F0" w:rsidRPr="009075AD">
        <w:rPr>
          <w:color w:val="FFFFFF" w:themeColor="background1"/>
          <w:sz w:val="16"/>
          <w:szCs w:val="16"/>
        </w:rPr>
        <w:t>ing li</w:t>
      </w:r>
      <w:r w:rsidR="00D907CD" w:rsidRPr="009075AD">
        <w:rPr>
          <w:color w:val="FFFFFF" w:themeColor="background1"/>
          <w:sz w:val="16"/>
          <w:szCs w:val="16"/>
        </w:rPr>
        <w:t>fe outcomes</w:t>
      </w:r>
      <w:r w:rsidR="007C0F0F" w:rsidRPr="009075AD">
        <w:rPr>
          <w:color w:val="FFFFFF" w:themeColor="background1"/>
          <w:sz w:val="16"/>
          <w:szCs w:val="16"/>
        </w:rPr>
        <w:t xml:space="preserve"> for Aboriginal and Torres Strait Islander people</w:t>
      </w:r>
      <w:bookmarkStart w:id="3" w:name="_Toc132107079"/>
      <w:bookmarkEnd w:id="2"/>
    </w:p>
    <w:p w14:paraId="1A381A14" w14:textId="1BF31AFB" w:rsidR="00B226AE" w:rsidRPr="00B226AE" w:rsidRDefault="00B226AE" w:rsidP="00DE07FB">
      <w:pPr>
        <w:pStyle w:val="BodyText"/>
        <w:spacing w:before="0" w:after="0" w:line="240" w:lineRule="auto"/>
        <w:rPr>
          <w:color w:val="FFFFFF" w:themeColor="background1"/>
        </w:rPr>
      </w:pPr>
      <w:r w:rsidRPr="00B226AE">
        <w:rPr>
          <w:color w:val="FFFFFF" w:themeColor="background1"/>
        </w:rPr>
        <w:t>July 2023</w:t>
      </w:r>
    </w:p>
    <w:p w14:paraId="3ADE039F" w14:textId="77777777" w:rsidR="00E9638F" w:rsidRDefault="00E9638F">
      <w:pPr>
        <w:pStyle w:val="Keypoints-heading"/>
        <w:spacing w:before="120"/>
        <w:sectPr w:rsidR="00E9638F" w:rsidSect="006D2424">
          <w:headerReference w:type="even" r:id="rId14"/>
          <w:headerReference w:type="default" r:id="rId15"/>
          <w:footerReference w:type="even" r:id="rId16"/>
          <w:footerReference w:type="default" r:id="rId17"/>
          <w:pgSz w:w="11906" w:h="16838" w:code="9"/>
          <w:pgMar w:top="1134" w:right="1134" w:bottom="1134" w:left="1134" w:header="794" w:footer="510" w:gutter="0"/>
          <w:cols w:space="708"/>
          <w:titlePg/>
          <w:docGrid w:linePitch="360"/>
        </w:sectPr>
      </w:pPr>
    </w:p>
    <w:tbl>
      <w:tblPr>
        <w:tblStyle w:val="CopyrightPage"/>
        <w:tblW w:w="0" w:type="auto"/>
        <w:shd w:val="clear" w:color="auto" w:fill="20854F"/>
        <w:tblLook w:val="04A0" w:firstRow="1" w:lastRow="0" w:firstColumn="1" w:lastColumn="0" w:noHBand="0" w:noVBand="1"/>
      </w:tblPr>
      <w:tblGrid>
        <w:gridCol w:w="9638"/>
      </w:tblGrid>
      <w:tr w:rsidR="006F5B7D" w14:paraId="5ECB1454" w14:textId="77777777" w:rsidTr="00163D22">
        <w:trPr>
          <w:trHeight w:hRule="exact" w:val="12586"/>
        </w:trPr>
        <w:tc>
          <w:tcPr>
            <w:tcW w:w="9638" w:type="dxa"/>
            <w:shd w:val="clear" w:color="auto" w:fill="20854F"/>
            <w:tcMar>
              <w:top w:w="113" w:type="dxa"/>
            </w:tcMar>
          </w:tcPr>
          <w:p w14:paraId="255C25FE" w14:textId="77777777" w:rsidR="006F5B7D" w:rsidRPr="00151C74" w:rsidRDefault="006F5B7D" w:rsidP="00CF7693">
            <w:pPr>
              <w:pStyle w:val="Copyrightpage-BodyBold"/>
              <w:ind w:right="-284"/>
              <w:rPr>
                <w:rFonts w:asciiTheme="majorHAnsi" w:hAnsiTheme="majorHAnsi"/>
              </w:rPr>
            </w:pPr>
            <w:bookmarkStart w:id="4" w:name="_Toc140236490"/>
            <w:bookmarkStart w:id="5" w:name="_Toc140239801"/>
            <w:r>
              <w:rPr>
                <w:rStyle w:val="White"/>
              </w:rPr>
              <w:lastRenderedPageBreak/>
              <w:br w:type="page"/>
            </w:r>
            <w:r w:rsidRPr="00151C74">
              <w:rPr>
                <w:rFonts w:asciiTheme="majorHAnsi" w:hAnsiTheme="majorHAnsi"/>
              </w:rPr>
              <w:t>The Productivity Commission acknowledges that Aboriginal and Torres Strait Islander people are the first storytellers of this land and Traditional Owners of Country on which we now live and work. We recognise their continuing connection to lands, waters, communities and cultures. We pay our respects to Aboriginal and Torres Strait Islander cultures, and to Elders past and present.</w:t>
            </w:r>
          </w:p>
          <w:p w14:paraId="5B2A4887" w14:textId="77777777" w:rsidR="006F5B7D" w:rsidRPr="000F4488" w:rsidRDefault="006F5B7D" w:rsidP="00CF7693">
            <w:pPr>
              <w:pStyle w:val="Copyrightpage-BodyBold"/>
              <w:ind w:right="-284"/>
              <w:rPr>
                <w:rFonts w:asciiTheme="majorHAnsi" w:hAnsiTheme="majorHAnsi"/>
              </w:rPr>
            </w:pPr>
            <w:r w:rsidRPr="00151C74">
              <w:rPr>
                <w:rFonts w:asciiTheme="majorHAnsi" w:hAnsiTheme="majorHAnsi"/>
              </w:rPr>
              <w:t>Aboriginal and Torres Strait Islander people should be aware that this report may contain the names of people who have since passed away.</w:t>
            </w:r>
          </w:p>
          <w:p w14:paraId="002D5949" w14:textId="77777777" w:rsidR="006F5B7D" w:rsidRPr="00F37CB6" w:rsidRDefault="006F5B7D" w:rsidP="00CF7693">
            <w:pPr>
              <w:pStyle w:val="Copyrightpage-Keylinenotext"/>
              <w:ind w:right="-284"/>
            </w:pPr>
          </w:p>
          <w:p w14:paraId="66C6EAC2" w14:textId="77777777" w:rsidR="006F5B7D" w:rsidRPr="00D96F65" w:rsidRDefault="006F5B7D" w:rsidP="00CF7693">
            <w:pPr>
              <w:pStyle w:val="Copyrightpage-Heading"/>
              <w:ind w:right="-284"/>
            </w:pPr>
            <w:r w:rsidRPr="00D96F65">
              <w:t>The Productivity Commission</w:t>
            </w:r>
          </w:p>
          <w:p w14:paraId="7828F8E1" w14:textId="77777777" w:rsidR="006F5B7D" w:rsidRPr="00A57443" w:rsidRDefault="006F5B7D" w:rsidP="00CF7693">
            <w:pPr>
              <w:pStyle w:val="Copyrightpage-BodyBold"/>
              <w:rPr>
                <w:spacing w:val="-4"/>
              </w:rPr>
            </w:pPr>
            <w:r w:rsidRPr="00A57443">
              <w:rPr>
                <w:spacing w:val="-4"/>
              </w:rPr>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56E0C73F" w14:textId="77777777" w:rsidR="006F5B7D" w:rsidRPr="000F4488" w:rsidRDefault="006F5B7D" w:rsidP="00CF7693">
            <w:pPr>
              <w:pStyle w:val="Copyrightpage-BodyBold"/>
            </w:pPr>
            <w:r w:rsidRPr="000561CF">
              <w:t>The Commission’s independence is underpinned by an Act of Parliament. Its processes and outputs are open to public scrutiny and are driven by concern for the wellbeing of the community as a whole.</w:t>
            </w:r>
          </w:p>
          <w:p w14:paraId="0848B14E" w14:textId="77777777" w:rsidR="006F5B7D" w:rsidRPr="000F4488" w:rsidRDefault="006F5B7D" w:rsidP="00CF7693">
            <w:pPr>
              <w:pStyle w:val="Copyrightpage-BodyBold"/>
            </w:pPr>
            <w:r w:rsidRPr="000561CF">
              <w:t>Further information on the Productivity Commission can be obtained from the Commission’s website (www.pc.gov.au).</w:t>
            </w:r>
          </w:p>
          <w:p w14:paraId="67C6A2A6" w14:textId="77777777" w:rsidR="006F5B7D" w:rsidRPr="000F4488" w:rsidRDefault="006F5B7D" w:rsidP="00CF7693">
            <w:pPr>
              <w:pStyle w:val="Copyrightpage-Keylinenotext"/>
              <w:ind w:right="-284"/>
              <w:rPr>
                <w:b/>
                <w:bCs/>
              </w:rPr>
            </w:pPr>
          </w:p>
          <w:p w14:paraId="4A5AA5AD" w14:textId="77777777" w:rsidR="006F5B7D" w:rsidRPr="000561CF" w:rsidRDefault="006F5B7D" w:rsidP="00CF7693">
            <w:pPr>
              <w:pStyle w:val="Copyrightpage-BodyBold"/>
            </w:pPr>
            <w:r w:rsidRPr="00E72EE0">
              <w:t>©</w:t>
            </w:r>
            <w:r w:rsidRPr="00137FAB">
              <w:t xml:space="preserve"> Commonwealth of Australia 202</w:t>
            </w:r>
            <w:r>
              <w:t>3</w:t>
            </w:r>
          </w:p>
          <w:p w14:paraId="1292C2DB" w14:textId="77777777" w:rsidR="006F5B7D" w:rsidRPr="00E72EE0" w:rsidRDefault="006F5B7D" w:rsidP="00CF7693">
            <w:pPr>
              <w:pStyle w:val="Copyrightpage-Heading2"/>
              <w:spacing w:before="0"/>
              <w:ind w:right="-284"/>
              <w:rPr>
                <w:bCs/>
              </w:rPr>
            </w:pPr>
            <w:r w:rsidRPr="00E72EE0">
              <w:rPr>
                <w:bCs/>
                <w:noProof/>
              </w:rPr>
              <w:drawing>
                <wp:inline distT="0" distB="0" distL="0" distR="0" wp14:anchorId="2FD7D3C1" wp14:editId="05E3598D">
                  <wp:extent cx="774000" cy="270000"/>
                  <wp:effectExtent l="0" t="0" r="7620" b="0"/>
                  <wp:docPr id="6" name="Graphic 6" descr="CC By logo">
                    <a:extLst xmlns:a="http://schemas.openxmlformats.org/drawingml/2006/main">
                      <a:ext uri="{FF2B5EF4-FFF2-40B4-BE49-F238E27FC236}">
                        <a16:creationId xmlns:a16="http://schemas.microsoft.com/office/drawing/2014/main" id="{F54E5013-412A-4F91-9DD3-DA71DB133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CC By logo">
                            <a:extLst>
                              <a:ext uri="{FF2B5EF4-FFF2-40B4-BE49-F238E27FC236}">
                                <a16:creationId xmlns:a16="http://schemas.microsoft.com/office/drawing/2014/main" id="{F54E5013-412A-4F91-9DD3-DA71DB1337DF}"/>
                              </a:ext>
                            </a:extLst>
                          </pic:cNvPr>
                          <pic:cNvPicPr>
                            <a:picLocks noChangeAspect="1"/>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774000" cy="270000"/>
                          </a:xfrm>
                          <a:prstGeom prst="rect">
                            <a:avLst/>
                          </a:prstGeom>
                        </pic:spPr>
                      </pic:pic>
                    </a:graphicData>
                  </a:graphic>
                </wp:inline>
              </w:drawing>
            </w:r>
          </w:p>
          <w:p w14:paraId="2349F958" w14:textId="77777777" w:rsidR="006F5B7D" w:rsidRPr="000F4488" w:rsidRDefault="006F5B7D" w:rsidP="00CF7693">
            <w:pPr>
              <w:pStyle w:val="Copyrightpage-BodyBold"/>
              <w:ind w:right="-143"/>
            </w:pPr>
            <w:r w:rsidRPr="00E72EE0">
              <w:t xml:space="preserve">With the exception of the Commonwealth Coat of Arms and content supplied by </w:t>
            </w:r>
            <w:r w:rsidRPr="00137FAB">
              <w:t>third parties, this copyright work is licensed under a Creative Commons Attribution 4.0 In</w:t>
            </w:r>
            <w:r w:rsidRPr="00AC587D">
              <w:t>ternational licence. In essence, you are free to copy, communicate and adapt the work, as long as you attribute the work to the Productivity Commission (but not in any way that suggests the Commission endorses you or your use) and abide b</w:t>
            </w:r>
            <w:r w:rsidRPr="000561CF">
              <w:t>y the other licence terms. The licence can be viewed at: https://creativecommons.org/licenses/by/4.0.</w:t>
            </w:r>
          </w:p>
          <w:p w14:paraId="67EF57C5" w14:textId="77777777" w:rsidR="006F5B7D" w:rsidRPr="000F4488" w:rsidRDefault="006F5B7D" w:rsidP="00CF7693">
            <w:pPr>
              <w:pStyle w:val="Copyrightpage-BodyBold"/>
            </w:pPr>
            <w:r w:rsidRPr="000561CF">
              <w:t>The terms under which the Coat of Arms can be used are detailed at: www.pmc.gov.au/government/commonwealth-coat-arms.</w:t>
            </w:r>
          </w:p>
          <w:p w14:paraId="6407003F" w14:textId="77777777" w:rsidR="006F5B7D" w:rsidRPr="000561CF" w:rsidRDefault="006F5B7D" w:rsidP="00CF7693">
            <w:pPr>
              <w:pStyle w:val="Copyrightpage-BodyBold"/>
            </w:pPr>
            <w:r w:rsidRPr="000561CF">
              <w:t>Wherever a third party holds copyright in this material the copyright remains with that party. Their permission may be required to use the material, please contact them directly.</w:t>
            </w:r>
          </w:p>
          <w:p w14:paraId="7BA16F5D" w14:textId="70A78FA3" w:rsidR="006F5B7D" w:rsidRPr="00137FAB" w:rsidRDefault="006F5B7D" w:rsidP="00CF7693">
            <w:pPr>
              <w:pStyle w:val="Copyrightpage-BodyBold"/>
            </w:pPr>
            <w:r w:rsidRPr="000F4488">
              <w:t>An appropriate reference for this publication is:</w:t>
            </w:r>
            <w:r>
              <w:br/>
              <w:t xml:space="preserve">Productivity Commission 2023, </w:t>
            </w:r>
            <w:r>
              <w:rPr>
                <w:i/>
                <w:iCs/>
              </w:rPr>
              <w:t>Review of the National Agreement on Closing the Gap</w:t>
            </w:r>
            <w:r w:rsidRPr="00262F79">
              <w:t>,</w:t>
            </w:r>
            <w:r>
              <w:t xml:space="preserve"> Draft Report, </w:t>
            </w:r>
            <w:r w:rsidRPr="00262F79">
              <w:t xml:space="preserve">Information Paper </w:t>
            </w:r>
            <w:r>
              <w:t>7, Canberra, July</w:t>
            </w:r>
          </w:p>
          <w:p w14:paraId="7B3A3400" w14:textId="77777777" w:rsidR="006F5B7D" w:rsidRDefault="006F5B7D" w:rsidP="00CF7693">
            <w:pPr>
              <w:pStyle w:val="Copyrightpage-BodyBold"/>
              <w:ind w:right="-284"/>
            </w:pPr>
          </w:p>
          <w:p w14:paraId="02E9CF87" w14:textId="77777777" w:rsidR="006F5B7D" w:rsidRDefault="006F5B7D" w:rsidP="00CF7693">
            <w:pPr>
              <w:pStyle w:val="Copyrightpage-BodyBold"/>
              <w:ind w:right="-284"/>
            </w:pPr>
            <w:r w:rsidRPr="00E72EE0">
              <w:t xml:space="preserve">Publication enquiries: </w:t>
            </w:r>
            <w:r>
              <w:br/>
              <w:t>P</w:t>
            </w:r>
            <w:r w:rsidRPr="00137FAB">
              <w:t xml:space="preserve">hone 03 9653 2244 | </w:t>
            </w:r>
            <w:r>
              <w:t>E</w:t>
            </w:r>
            <w:r w:rsidRPr="00137FAB">
              <w:t xml:space="preserve">mail </w:t>
            </w:r>
            <w:r w:rsidRPr="00AC587D">
              <w:t>publications@pc.gov.au</w:t>
            </w:r>
          </w:p>
        </w:tc>
      </w:tr>
    </w:tbl>
    <w:p w14:paraId="439A8D04" w14:textId="77777777" w:rsidR="006F5B7D" w:rsidRDefault="006F5B7D" w:rsidP="006F5B7D">
      <w:pPr>
        <w:pStyle w:val="BodyText"/>
        <w:sectPr w:rsidR="006F5B7D" w:rsidSect="006D2424">
          <w:headerReference w:type="first" r:id="rId20"/>
          <w:footerReference w:type="first" r:id="rId21"/>
          <w:pgSz w:w="11906" w:h="16838" w:code="9"/>
          <w:pgMar w:top="1134" w:right="1134" w:bottom="1134" w:left="1134" w:header="794" w:footer="510" w:gutter="0"/>
          <w:cols w:space="708"/>
          <w:titlePg/>
          <w:docGrid w:linePitch="360"/>
        </w:sectPr>
      </w:pPr>
    </w:p>
    <w:p w14:paraId="58CF2783" w14:textId="77777777" w:rsidR="004B4091" w:rsidRDefault="004B4091" w:rsidP="003961A5">
      <w:pPr>
        <w:pStyle w:val="Heading2-nonumber"/>
      </w:pPr>
      <w:bookmarkStart w:id="6" w:name="_Toc140504485"/>
      <w:r>
        <w:lastRenderedPageBreak/>
        <w:t>Contents</w:t>
      </w:r>
      <w:bookmarkEnd w:id="4"/>
      <w:bookmarkEnd w:id="5"/>
      <w:bookmarkEnd w:id="6"/>
    </w:p>
    <w:p w14:paraId="746A1F9B" w14:textId="0FC6AB9C" w:rsidR="002936A6" w:rsidRDefault="00E54327" w:rsidP="002936A6">
      <w:pPr>
        <w:pStyle w:val="TOC1"/>
        <w:rPr>
          <w:rFonts w:asciiTheme="minorHAnsi" w:eastAsiaTheme="minorEastAsia" w:hAnsiTheme="minorHAnsi"/>
          <w:noProof/>
          <w:color w:val="auto"/>
          <w:kern w:val="2"/>
          <w:sz w:val="22"/>
          <w:szCs w:val="22"/>
          <w:lang w:eastAsia="en-AU"/>
          <w14:ligatures w14:val="standardContextual"/>
        </w:rPr>
      </w:pPr>
      <w:r>
        <w:rPr>
          <w:noProof/>
        </w:rPr>
        <w:t>Key points</w:t>
      </w:r>
      <w:r>
        <w:rPr>
          <w:noProof/>
        </w:rPr>
        <w:tab/>
        <w:t>4</w:t>
      </w:r>
      <w:r w:rsidR="00CA7687" w:rsidRPr="00902496">
        <w:fldChar w:fldCharType="begin"/>
      </w:r>
      <w:r w:rsidR="00CA7687" w:rsidRPr="00902496">
        <w:instrText xml:space="preserve"> TOC \\h \z \t "Heading 1,1,Heading-Appendix,1, Heading 1-no number,1, Heading 1-no background,1, Heading 1-Section blue background,3, Heading 1-Section-full page,3,Heading 2,2,Heading 2-no number,2,Heading 2-Appendix,2,Heading 1 - Intro,3,Heading 1-numbered,3,Section Heading-pale blue,3" </w:instrText>
      </w:r>
      <w:r w:rsidR="00CA7687" w:rsidRPr="00902496">
        <w:fldChar w:fldCharType="separate"/>
      </w:r>
    </w:p>
    <w:p w14:paraId="396B58B7" w14:textId="2990E599" w:rsidR="002936A6" w:rsidRPr="002936A6" w:rsidRDefault="002936A6" w:rsidP="002936A6">
      <w:pPr>
        <w:pStyle w:val="TOC1"/>
        <w:rPr>
          <w:noProof/>
        </w:rPr>
      </w:pPr>
      <w:r>
        <w:rPr>
          <w:noProof/>
        </w:rPr>
        <w:t>1</w:t>
      </w:r>
      <w:r w:rsidRPr="002936A6">
        <w:rPr>
          <w:noProof/>
        </w:rPr>
        <w:tab/>
      </w:r>
      <w:r>
        <w:rPr>
          <w:noProof/>
        </w:rPr>
        <w:t xml:space="preserve">Governments are not consistently adhering to – and are </w:t>
      </w:r>
      <w:r>
        <w:rPr>
          <w:noProof/>
        </w:rPr>
        <w:br/>
        <w:t>sometimes disregarding – the Agreement</w:t>
      </w:r>
      <w:r>
        <w:rPr>
          <w:noProof/>
          <w:webHidden/>
        </w:rPr>
        <w:tab/>
      </w:r>
      <w:r>
        <w:rPr>
          <w:noProof/>
          <w:webHidden/>
        </w:rPr>
        <w:fldChar w:fldCharType="begin"/>
      </w:r>
      <w:r>
        <w:rPr>
          <w:noProof/>
          <w:webHidden/>
        </w:rPr>
        <w:instrText xml:space="preserve"> PAGEREF _Toc140504486 \h </w:instrText>
      </w:r>
      <w:r>
        <w:rPr>
          <w:noProof/>
          <w:webHidden/>
        </w:rPr>
      </w:r>
      <w:r>
        <w:rPr>
          <w:noProof/>
          <w:webHidden/>
        </w:rPr>
        <w:fldChar w:fldCharType="separate"/>
      </w:r>
      <w:r w:rsidR="003A11E2">
        <w:rPr>
          <w:noProof/>
          <w:webHidden/>
        </w:rPr>
        <w:t>5</w:t>
      </w:r>
      <w:r>
        <w:rPr>
          <w:noProof/>
          <w:webHidden/>
        </w:rPr>
        <w:fldChar w:fldCharType="end"/>
      </w:r>
    </w:p>
    <w:p w14:paraId="66374489" w14:textId="3908CC1F" w:rsidR="002936A6" w:rsidRPr="002936A6" w:rsidRDefault="002936A6" w:rsidP="002936A6">
      <w:pPr>
        <w:pStyle w:val="TOC1"/>
        <w:rPr>
          <w:noProof/>
        </w:rPr>
      </w:pPr>
      <w:r>
        <w:rPr>
          <w:noProof/>
        </w:rPr>
        <w:t>2</w:t>
      </w:r>
      <w:r w:rsidRPr="002936A6">
        <w:rPr>
          <w:noProof/>
        </w:rPr>
        <w:tab/>
      </w:r>
      <w:r>
        <w:rPr>
          <w:noProof/>
        </w:rPr>
        <w:t>Changes are needed to increase understanding of, and accountability for delivering, agreed reforms</w:t>
      </w:r>
      <w:r>
        <w:rPr>
          <w:noProof/>
          <w:webHidden/>
        </w:rPr>
        <w:tab/>
      </w:r>
      <w:r>
        <w:rPr>
          <w:noProof/>
          <w:webHidden/>
        </w:rPr>
        <w:fldChar w:fldCharType="begin"/>
      </w:r>
      <w:r>
        <w:rPr>
          <w:noProof/>
          <w:webHidden/>
        </w:rPr>
        <w:instrText xml:space="preserve"> PAGEREF _Toc140504487 \h </w:instrText>
      </w:r>
      <w:r>
        <w:rPr>
          <w:noProof/>
          <w:webHidden/>
        </w:rPr>
      </w:r>
      <w:r>
        <w:rPr>
          <w:noProof/>
          <w:webHidden/>
        </w:rPr>
        <w:fldChar w:fldCharType="separate"/>
      </w:r>
      <w:r w:rsidR="003A11E2">
        <w:rPr>
          <w:noProof/>
          <w:webHidden/>
        </w:rPr>
        <w:t>7</w:t>
      </w:r>
      <w:r>
        <w:rPr>
          <w:noProof/>
          <w:webHidden/>
        </w:rPr>
        <w:fldChar w:fldCharType="end"/>
      </w:r>
    </w:p>
    <w:p w14:paraId="714D36B9" w14:textId="0112656B" w:rsidR="002936A6" w:rsidRPr="002936A6" w:rsidRDefault="002936A6" w:rsidP="002936A6">
      <w:pPr>
        <w:pStyle w:val="TOC1"/>
        <w:rPr>
          <w:noProof/>
        </w:rPr>
      </w:pPr>
      <w:r>
        <w:rPr>
          <w:noProof/>
        </w:rPr>
        <w:t>3</w:t>
      </w:r>
      <w:r w:rsidRPr="002936A6">
        <w:rPr>
          <w:noProof/>
        </w:rPr>
        <w:tab/>
        <w:t xml:space="preserve">Aboriginal and Torres Strait Islander bodies are playing a </w:t>
      </w:r>
      <w:r>
        <w:rPr>
          <w:noProof/>
        </w:rPr>
        <w:br/>
      </w:r>
      <w:r w:rsidRPr="002936A6">
        <w:rPr>
          <w:noProof/>
        </w:rPr>
        <w:t>growing role in holding governments to account</w:t>
      </w:r>
      <w:r>
        <w:rPr>
          <w:noProof/>
          <w:webHidden/>
        </w:rPr>
        <w:tab/>
      </w:r>
      <w:r>
        <w:rPr>
          <w:noProof/>
          <w:webHidden/>
        </w:rPr>
        <w:fldChar w:fldCharType="begin"/>
      </w:r>
      <w:r>
        <w:rPr>
          <w:noProof/>
          <w:webHidden/>
        </w:rPr>
        <w:instrText xml:space="preserve"> PAGEREF _Toc140504488 \h </w:instrText>
      </w:r>
      <w:r>
        <w:rPr>
          <w:noProof/>
          <w:webHidden/>
        </w:rPr>
      </w:r>
      <w:r>
        <w:rPr>
          <w:noProof/>
          <w:webHidden/>
        </w:rPr>
        <w:fldChar w:fldCharType="separate"/>
      </w:r>
      <w:r w:rsidR="003A11E2">
        <w:rPr>
          <w:noProof/>
          <w:webHidden/>
        </w:rPr>
        <w:t>13</w:t>
      </w:r>
      <w:r>
        <w:rPr>
          <w:noProof/>
          <w:webHidden/>
        </w:rPr>
        <w:fldChar w:fldCharType="end"/>
      </w:r>
    </w:p>
    <w:p w14:paraId="3A395A2F" w14:textId="7F5DC209" w:rsidR="002936A6" w:rsidRPr="002936A6" w:rsidRDefault="002936A6" w:rsidP="002936A6">
      <w:pPr>
        <w:pStyle w:val="TOC1"/>
        <w:rPr>
          <w:noProof/>
        </w:rPr>
      </w:pPr>
      <w:r>
        <w:rPr>
          <w:noProof/>
        </w:rPr>
        <w:t>4</w:t>
      </w:r>
      <w:r w:rsidRPr="002936A6">
        <w:rPr>
          <w:noProof/>
        </w:rPr>
        <w:tab/>
      </w:r>
      <w:r>
        <w:rPr>
          <w:noProof/>
        </w:rPr>
        <w:t xml:space="preserve">Assigning clearer responsibilities and accountabilities for </w:t>
      </w:r>
      <w:r>
        <w:rPr>
          <w:noProof/>
        </w:rPr>
        <w:br/>
        <w:t>driving action within the public sector</w:t>
      </w:r>
      <w:r>
        <w:rPr>
          <w:noProof/>
          <w:webHidden/>
        </w:rPr>
        <w:tab/>
      </w:r>
      <w:r>
        <w:rPr>
          <w:noProof/>
          <w:webHidden/>
        </w:rPr>
        <w:fldChar w:fldCharType="begin"/>
      </w:r>
      <w:r>
        <w:rPr>
          <w:noProof/>
          <w:webHidden/>
        </w:rPr>
        <w:instrText xml:space="preserve"> PAGEREF _Toc140504489 \h </w:instrText>
      </w:r>
      <w:r>
        <w:rPr>
          <w:noProof/>
          <w:webHidden/>
        </w:rPr>
      </w:r>
      <w:r>
        <w:rPr>
          <w:noProof/>
          <w:webHidden/>
        </w:rPr>
        <w:fldChar w:fldCharType="separate"/>
      </w:r>
      <w:r w:rsidR="003A11E2">
        <w:rPr>
          <w:noProof/>
          <w:webHidden/>
        </w:rPr>
        <w:t>19</w:t>
      </w:r>
      <w:r>
        <w:rPr>
          <w:noProof/>
          <w:webHidden/>
        </w:rPr>
        <w:fldChar w:fldCharType="end"/>
      </w:r>
    </w:p>
    <w:p w14:paraId="45458408" w14:textId="083A3115" w:rsidR="002936A6" w:rsidRPr="002936A6" w:rsidRDefault="002936A6" w:rsidP="002936A6">
      <w:pPr>
        <w:pStyle w:val="TOC1"/>
        <w:rPr>
          <w:noProof/>
        </w:rPr>
      </w:pPr>
      <w:r>
        <w:rPr>
          <w:noProof/>
        </w:rPr>
        <w:t>5</w:t>
      </w:r>
      <w:r w:rsidRPr="002936A6">
        <w:rPr>
          <w:noProof/>
        </w:rPr>
        <w:tab/>
      </w:r>
      <w:r>
        <w:rPr>
          <w:noProof/>
        </w:rPr>
        <w:t>Improving transparency about actions taken to implement the Agreement</w:t>
      </w:r>
      <w:r>
        <w:rPr>
          <w:noProof/>
          <w:webHidden/>
        </w:rPr>
        <w:tab/>
      </w:r>
      <w:r>
        <w:rPr>
          <w:noProof/>
          <w:webHidden/>
        </w:rPr>
        <w:fldChar w:fldCharType="begin"/>
      </w:r>
      <w:r>
        <w:rPr>
          <w:noProof/>
          <w:webHidden/>
        </w:rPr>
        <w:instrText xml:space="preserve"> PAGEREF _Toc140504490 \h </w:instrText>
      </w:r>
      <w:r>
        <w:rPr>
          <w:noProof/>
          <w:webHidden/>
        </w:rPr>
      </w:r>
      <w:r>
        <w:rPr>
          <w:noProof/>
          <w:webHidden/>
        </w:rPr>
        <w:fldChar w:fldCharType="separate"/>
      </w:r>
      <w:r w:rsidR="003A11E2">
        <w:rPr>
          <w:noProof/>
          <w:webHidden/>
        </w:rPr>
        <w:t>35</w:t>
      </w:r>
      <w:r>
        <w:rPr>
          <w:noProof/>
          <w:webHidden/>
        </w:rPr>
        <w:fldChar w:fldCharType="end"/>
      </w:r>
    </w:p>
    <w:p w14:paraId="16E70146" w14:textId="469837F4" w:rsidR="002936A6" w:rsidRDefault="002936A6">
      <w:pPr>
        <w:pStyle w:val="TOC1"/>
        <w:rPr>
          <w:rFonts w:asciiTheme="minorHAnsi" w:eastAsiaTheme="minorEastAsia" w:hAnsiTheme="minorHAnsi"/>
          <w:noProof/>
          <w:color w:val="auto"/>
          <w:kern w:val="2"/>
          <w:sz w:val="22"/>
          <w:szCs w:val="22"/>
          <w:lang w:eastAsia="en-AU"/>
          <w14:ligatures w14:val="standardContextual"/>
        </w:rPr>
      </w:pPr>
      <w:r>
        <w:rPr>
          <w:noProof/>
        </w:rPr>
        <w:t>References</w:t>
      </w:r>
      <w:r>
        <w:rPr>
          <w:noProof/>
          <w:webHidden/>
        </w:rPr>
        <w:tab/>
      </w:r>
      <w:r>
        <w:rPr>
          <w:noProof/>
          <w:webHidden/>
        </w:rPr>
        <w:fldChar w:fldCharType="begin"/>
      </w:r>
      <w:r>
        <w:rPr>
          <w:noProof/>
          <w:webHidden/>
        </w:rPr>
        <w:instrText xml:space="preserve"> PAGEREF _Toc140504491 \h </w:instrText>
      </w:r>
      <w:r>
        <w:rPr>
          <w:noProof/>
          <w:webHidden/>
        </w:rPr>
      </w:r>
      <w:r>
        <w:rPr>
          <w:noProof/>
          <w:webHidden/>
        </w:rPr>
        <w:fldChar w:fldCharType="separate"/>
      </w:r>
      <w:r w:rsidR="003A11E2">
        <w:rPr>
          <w:noProof/>
          <w:webHidden/>
        </w:rPr>
        <w:t>41</w:t>
      </w:r>
      <w:r>
        <w:rPr>
          <w:noProof/>
          <w:webHidden/>
        </w:rPr>
        <w:fldChar w:fldCharType="end"/>
      </w:r>
    </w:p>
    <w:p w14:paraId="609A5C08" w14:textId="2D22B93A" w:rsidR="0057493D" w:rsidRDefault="00CA7687" w:rsidP="00294991">
      <w:pPr>
        <w:pStyle w:val="BodyText"/>
      </w:pPr>
      <w:r w:rsidRPr="00902496">
        <w:fldChar w:fldCharType="end"/>
      </w:r>
    </w:p>
    <w:p w14:paraId="22EBBBDF" w14:textId="668A3EDC" w:rsidR="0057493D" w:rsidRDefault="0057493D">
      <w:pPr>
        <w:pStyle w:val="Keypoints-heading"/>
        <w:spacing w:before="120"/>
        <w:sectPr w:rsidR="0057493D" w:rsidSect="006D2424">
          <w:headerReference w:type="first" r:id="rId22"/>
          <w:footerReference w:type="first" r:id="rId23"/>
          <w:pgSz w:w="11906" w:h="16838" w:code="9"/>
          <w:pgMar w:top="1134" w:right="1134" w:bottom="1134" w:left="1134" w:header="794" w:footer="510" w:gutter="0"/>
          <w:cols w:space="708"/>
          <w:titlePg/>
          <w:docGrid w:linePitch="360"/>
        </w:sectPr>
      </w:pPr>
    </w:p>
    <w:tbl>
      <w:tblPr>
        <w:tblStyle w:val="Texttable-Paleblue"/>
        <w:tblW w:w="5000" w:type="pct"/>
        <w:tblLook w:val="04A0" w:firstRow="1" w:lastRow="0" w:firstColumn="1" w:lastColumn="0" w:noHBand="0" w:noVBand="1"/>
      </w:tblPr>
      <w:tblGrid>
        <w:gridCol w:w="577"/>
        <w:gridCol w:w="9061"/>
      </w:tblGrid>
      <w:tr w:rsidR="00902F69" w:rsidRPr="002F759A" w14:paraId="2AF598FC" w14:textId="77777777" w:rsidTr="00CC2083">
        <w:tc>
          <w:tcPr>
            <w:tcW w:w="9638" w:type="dxa"/>
            <w:gridSpan w:val="2"/>
            <w:shd w:val="clear" w:color="auto" w:fill="FBF3EC"/>
            <w:tcMar>
              <w:left w:w="170" w:type="dxa"/>
            </w:tcMar>
          </w:tcPr>
          <w:p w14:paraId="68CD6702" w14:textId="77777777" w:rsidR="00902F69" w:rsidRPr="002F759A" w:rsidRDefault="00902F69">
            <w:pPr>
              <w:pStyle w:val="Keypoints-heading"/>
              <w:spacing w:before="120"/>
            </w:pPr>
            <w:r w:rsidRPr="002F759A">
              <w:lastRenderedPageBreak/>
              <w:t>Key points</w:t>
            </w:r>
          </w:p>
        </w:tc>
      </w:tr>
      <w:tr w:rsidR="00902F69" w14:paraId="2334C6AF" w14:textId="77777777" w:rsidTr="00CC2083">
        <w:tc>
          <w:tcPr>
            <w:tcW w:w="577" w:type="dxa"/>
            <w:shd w:val="clear" w:color="auto" w:fill="FBF3EC"/>
            <w:tcMar>
              <w:top w:w="0" w:type="dxa"/>
              <w:bottom w:w="0" w:type="dxa"/>
              <w:right w:w="113" w:type="dxa"/>
            </w:tcMar>
          </w:tcPr>
          <w:p w14:paraId="2AFACC8C" w14:textId="5CFA18CA" w:rsidR="00902F69" w:rsidRDefault="00CC2083">
            <w:pPr>
              <w:pStyle w:val="KeyPointsicon"/>
            </w:pPr>
            <w:r w:rsidRPr="00A51374">
              <w:rPr>
                <w:noProof/>
              </w:rPr>
              <w:drawing>
                <wp:inline distT="0" distB="0" distL="0" distR="0" wp14:anchorId="0195F25A" wp14:editId="707F088F">
                  <wp:extent cx="219850" cy="223849"/>
                  <wp:effectExtent l="0" t="0" r="0" b="508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9850" cy="223849"/>
                          </a:xfrm>
                          <a:prstGeom prst="rect">
                            <a:avLst/>
                          </a:prstGeom>
                        </pic:spPr>
                      </pic:pic>
                    </a:graphicData>
                  </a:graphic>
                </wp:inline>
              </w:drawing>
            </w:r>
          </w:p>
        </w:tc>
        <w:tc>
          <w:tcPr>
            <w:tcW w:w="9061" w:type="dxa"/>
            <w:shd w:val="clear" w:color="auto" w:fill="FBF3EC"/>
            <w:tcMar>
              <w:top w:w="28" w:type="dxa"/>
              <w:left w:w="28" w:type="dxa"/>
            </w:tcMar>
          </w:tcPr>
          <w:p w14:paraId="13B85F82" w14:textId="173F94CE" w:rsidR="00902F69" w:rsidRDefault="00902F69" w:rsidP="00537CE6">
            <w:pPr>
              <w:pStyle w:val="KeyPoints-Bold"/>
              <w:spacing w:before="0"/>
            </w:pPr>
            <w:r>
              <w:t xml:space="preserve">The </w:t>
            </w:r>
            <w:r w:rsidRPr="00CE57A7">
              <w:t>accountability mechanisms in the Agreement</w:t>
            </w:r>
            <w:r>
              <w:t xml:space="preserve"> lack bite and are </w:t>
            </w:r>
            <w:r w:rsidRPr="00CE57A7">
              <w:t xml:space="preserve">not sufficient to influence the type </w:t>
            </w:r>
            <w:r>
              <w:t xml:space="preserve">and scale of change required to improve life outcomes for </w:t>
            </w:r>
            <w:r w:rsidRPr="002C6FC9">
              <w:t>Aboriginal and Torres Strait Islander people</w:t>
            </w:r>
            <w:r>
              <w:t xml:space="preserve">. </w:t>
            </w:r>
          </w:p>
        </w:tc>
      </w:tr>
      <w:tr w:rsidR="00537CE6" w14:paraId="78F8BF80" w14:textId="77777777" w:rsidTr="00CC2083">
        <w:tc>
          <w:tcPr>
            <w:tcW w:w="577" w:type="dxa"/>
            <w:shd w:val="clear" w:color="auto" w:fill="FBF3EC"/>
            <w:tcMar>
              <w:top w:w="0" w:type="dxa"/>
              <w:bottom w:w="0" w:type="dxa"/>
              <w:right w:w="113" w:type="dxa"/>
            </w:tcMar>
          </w:tcPr>
          <w:p w14:paraId="4113BD9A" w14:textId="08194DF2" w:rsidR="00537CE6" w:rsidRPr="00A51374" w:rsidRDefault="00CC2083">
            <w:pPr>
              <w:pStyle w:val="KeyPointsicon"/>
              <w:rPr>
                <w:noProof/>
              </w:rPr>
            </w:pPr>
            <w:r w:rsidRPr="00A51374">
              <w:rPr>
                <w:noProof/>
              </w:rPr>
              <w:drawing>
                <wp:inline distT="0" distB="0" distL="0" distR="0" wp14:anchorId="4DCFF0B0" wp14:editId="3D517D7C">
                  <wp:extent cx="219850" cy="223849"/>
                  <wp:effectExtent l="0" t="0" r="0" b="5080"/>
                  <wp:docPr id="399156435" name="Picture 3991564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9850" cy="223849"/>
                          </a:xfrm>
                          <a:prstGeom prst="rect">
                            <a:avLst/>
                          </a:prstGeom>
                        </pic:spPr>
                      </pic:pic>
                    </a:graphicData>
                  </a:graphic>
                </wp:inline>
              </w:drawing>
            </w:r>
          </w:p>
        </w:tc>
        <w:tc>
          <w:tcPr>
            <w:tcW w:w="9061" w:type="dxa"/>
            <w:shd w:val="clear" w:color="auto" w:fill="FBF3EC"/>
            <w:tcMar>
              <w:top w:w="28" w:type="dxa"/>
              <w:left w:w="28" w:type="dxa"/>
            </w:tcMar>
          </w:tcPr>
          <w:p w14:paraId="2D5D8D0C" w14:textId="38D95C19" w:rsidR="00537CE6" w:rsidRDefault="00537CE6">
            <w:pPr>
              <w:pStyle w:val="KeyPoints-Bold"/>
              <w:spacing w:before="0"/>
            </w:pPr>
            <w:r>
              <w:t>G</w:t>
            </w:r>
            <w:r w:rsidRPr="00796A8C">
              <w:t xml:space="preserve">overnments </w:t>
            </w:r>
            <w:r>
              <w:t xml:space="preserve">are continuing to </w:t>
            </w:r>
            <w:r w:rsidRPr="00796A8C">
              <w:t>make decisions that contradict their commitments in the Agreement, that do not reflect Aboriginal and Torres Strait Islander people’s priorities and perspectives and that exacerbate, rather than remedy, disadvantage and discrimination</w:t>
            </w:r>
            <w:r>
              <w:t xml:space="preserve">. </w:t>
            </w:r>
            <w:r w:rsidR="00523CD6">
              <w:t>The shortcomings of current accountability mechanisms mean that these types of decisions could continue to go unchecked</w:t>
            </w:r>
            <w:r>
              <w:t>.</w:t>
            </w:r>
          </w:p>
        </w:tc>
      </w:tr>
      <w:tr w:rsidR="00902F69" w14:paraId="42445DF8" w14:textId="77777777" w:rsidTr="00CC2083">
        <w:tc>
          <w:tcPr>
            <w:tcW w:w="577" w:type="dxa"/>
            <w:shd w:val="clear" w:color="auto" w:fill="FBF3EC"/>
            <w:tcMar>
              <w:top w:w="0" w:type="dxa"/>
              <w:bottom w:w="0" w:type="dxa"/>
              <w:right w:w="113" w:type="dxa"/>
            </w:tcMar>
          </w:tcPr>
          <w:p w14:paraId="3AB6F3DA" w14:textId="3006D578" w:rsidR="00902F69" w:rsidRPr="00A51374" w:rsidRDefault="00CC2083">
            <w:pPr>
              <w:pStyle w:val="KeyPointsicon"/>
            </w:pPr>
            <w:r w:rsidRPr="00A51374">
              <w:rPr>
                <w:noProof/>
              </w:rPr>
              <w:drawing>
                <wp:inline distT="0" distB="0" distL="0" distR="0" wp14:anchorId="11382D72" wp14:editId="33342184">
                  <wp:extent cx="219850" cy="223849"/>
                  <wp:effectExtent l="0" t="0" r="0" b="5080"/>
                  <wp:docPr id="2008528423" name="Picture 20085284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9850" cy="223849"/>
                          </a:xfrm>
                          <a:prstGeom prst="rect">
                            <a:avLst/>
                          </a:prstGeom>
                        </pic:spPr>
                      </pic:pic>
                    </a:graphicData>
                  </a:graphic>
                </wp:inline>
              </w:drawing>
            </w:r>
          </w:p>
        </w:tc>
        <w:tc>
          <w:tcPr>
            <w:tcW w:w="9061" w:type="dxa"/>
            <w:shd w:val="clear" w:color="auto" w:fill="FBF3EC"/>
            <w:tcMar>
              <w:top w:w="28" w:type="dxa"/>
              <w:left w:w="28" w:type="dxa"/>
            </w:tcMar>
          </w:tcPr>
          <w:p w14:paraId="33DD0CE4" w14:textId="376BC094" w:rsidR="00902F69" w:rsidRPr="00610627" w:rsidRDefault="00902F69" w:rsidP="004D3060">
            <w:pPr>
              <w:pStyle w:val="KeyPoints-Bold"/>
              <w:spacing w:before="0"/>
            </w:pPr>
            <w:r>
              <w:t xml:space="preserve">New Aboriginal and Torres Strait Islander bodies are emerging that </w:t>
            </w:r>
            <w:r w:rsidR="0040603E">
              <w:t xml:space="preserve">may </w:t>
            </w:r>
            <w:r>
              <w:t xml:space="preserve">be in a position to shine a spotlight on good and bad practices </w:t>
            </w:r>
            <w:r w:rsidR="004A54D9">
              <w:t xml:space="preserve">under the Agreement </w:t>
            </w:r>
            <w:r>
              <w:t>and advocate for improved policies, programs and services for Aboriginal and Torres Strait Islander people</w:t>
            </w:r>
            <w:r w:rsidRPr="008A730F">
              <w:t>.</w:t>
            </w:r>
          </w:p>
        </w:tc>
      </w:tr>
      <w:tr w:rsidR="009413E8" w14:paraId="51E98237" w14:textId="77777777" w:rsidTr="00CC2083">
        <w:tc>
          <w:tcPr>
            <w:tcW w:w="577" w:type="dxa"/>
            <w:shd w:val="clear" w:color="auto" w:fill="FBF3EC"/>
            <w:tcMar>
              <w:top w:w="0" w:type="dxa"/>
              <w:bottom w:w="0" w:type="dxa"/>
              <w:right w:w="113" w:type="dxa"/>
            </w:tcMar>
          </w:tcPr>
          <w:p w14:paraId="2894CBAA" w14:textId="36E4E739" w:rsidR="009413E8" w:rsidRPr="00F31E73" w:rsidRDefault="00CC2083">
            <w:pPr>
              <w:pStyle w:val="KeyPointsicon"/>
              <w:rPr>
                <w:noProof/>
              </w:rPr>
            </w:pPr>
            <w:r w:rsidRPr="00A51374">
              <w:rPr>
                <w:noProof/>
              </w:rPr>
              <w:drawing>
                <wp:inline distT="0" distB="0" distL="0" distR="0" wp14:anchorId="06873EC4" wp14:editId="0D7F9C81">
                  <wp:extent cx="219850" cy="223849"/>
                  <wp:effectExtent l="0" t="0" r="0" b="5080"/>
                  <wp:docPr id="1791320945" name="Picture 17913209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9850" cy="223849"/>
                          </a:xfrm>
                          <a:prstGeom prst="rect">
                            <a:avLst/>
                          </a:prstGeom>
                        </pic:spPr>
                      </pic:pic>
                    </a:graphicData>
                  </a:graphic>
                </wp:inline>
              </w:drawing>
            </w:r>
          </w:p>
        </w:tc>
        <w:tc>
          <w:tcPr>
            <w:tcW w:w="9061" w:type="dxa"/>
            <w:shd w:val="clear" w:color="auto" w:fill="FBF3EC"/>
            <w:tcMar>
              <w:top w:w="28" w:type="dxa"/>
              <w:left w:w="28" w:type="dxa"/>
            </w:tcMar>
          </w:tcPr>
          <w:p w14:paraId="2B0F7052" w14:textId="77777777" w:rsidR="009413E8" w:rsidRPr="009413E8" w:rsidRDefault="009413E8" w:rsidP="009413E8">
            <w:pPr>
              <w:pStyle w:val="KeyPoints-Bold"/>
            </w:pPr>
            <w:r w:rsidRPr="009413E8">
              <w:t>Recognising that government organisations cannot be relied on to transform on their own, the Agreement includes a commitment for governments to establish an independent mechanism to ‘support, monitor, and report on the transformation of mainstream agencies and institutions’.</w:t>
            </w:r>
          </w:p>
          <w:p w14:paraId="3D7B78E8" w14:textId="7E2ABDF0" w:rsidR="009413E8" w:rsidRPr="00840DAC" w:rsidRDefault="009413E8" w:rsidP="00840DAC">
            <w:pPr>
              <w:pStyle w:val="KeyPoints-Bullet"/>
            </w:pPr>
            <w:r w:rsidRPr="00840DAC">
              <w:t xml:space="preserve">There is lack of progress </w:t>
            </w:r>
            <w:r w:rsidR="00964D4C" w:rsidRPr="00840DAC">
              <w:t xml:space="preserve">in </w:t>
            </w:r>
            <w:r w:rsidRPr="00840DAC">
              <w:t>establish</w:t>
            </w:r>
            <w:r w:rsidR="00964D4C" w:rsidRPr="00840DAC">
              <w:t xml:space="preserve">ing the </w:t>
            </w:r>
            <w:r w:rsidRPr="00840DAC">
              <w:t>independent mechanism</w:t>
            </w:r>
            <w:r w:rsidR="0072085D" w:rsidRPr="00840DAC">
              <w:t xml:space="preserve"> </w:t>
            </w:r>
            <w:r w:rsidR="00964D4C" w:rsidRPr="00840DAC">
              <w:t>and</w:t>
            </w:r>
            <w:r w:rsidR="002045DF" w:rsidRPr="00840DAC">
              <w:t xml:space="preserve"> </w:t>
            </w:r>
            <w:r w:rsidRPr="00840DAC">
              <w:t xml:space="preserve">most jurisdictions </w:t>
            </w:r>
            <w:r w:rsidR="00A97612" w:rsidRPr="00840DAC">
              <w:t>are unlikely to</w:t>
            </w:r>
            <w:r w:rsidRPr="00840DAC">
              <w:t xml:space="preserve"> </w:t>
            </w:r>
            <w:r w:rsidR="00F6141C" w:rsidRPr="00840DAC">
              <w:t xml:space="preserve">‘identify, develop or strengthen’ </w:t>
            </w:r>
            <w:r w:rsidRPr="00840DAC">
              <w:t xml:space="preserve">a mechanism </w:t>
            </w:r>
            <w:r w:rsidR="00BE33E2" w:rsidRPr="00840DAC">
              <w:t>in</w:t>
            </w:r>
            <w:r w:rsidRPr="00840DAC">
              <w:t xml:space="preserve"> 2023, as the Agreement requires.</w:t>
            </w:r>
          </w:p>
          <w:p w14:paraId="6F560422" w14:textId="6A8317F1" w:rsidR="009413E8" w:rsidRDefault="009413E8" w:rsidP="00840DAC">
            <w:pPr>
              <w:pStyle w:val="KeyPoints-Bullet"/>
            </w:pPr>
            <w:r w:rsidRPr="00840DAC">
              <w:t>The independent mechanism may need an expanded role in overseeing all of the Agreement.</w:t>
            </w:r>
          </w:p>
        </w:tc>
      </w:tr>
      <w:tr w:rsidR="00902F69" w14:paraId="473E6FA4" w14:textId="77777777" w:rsidTr="00CC2083">
        <w:tc>
          <w:tcPr>
            <w:tcW w:w="577" w:type="dxa"/>
            <w:shd w:val="clear" w:color="auto" w:fill="FBF3EC"/>
            <w:tcMar>
              <w:top w:w="0" w:type="dxa"/>
              <w:bottom w:w="0" w:type="dxa"/>
              <w:right w:w="113" w:type="dxa"/>
            </w:tcMar>
          </w:tcPr>
          <w:p w14:paraId="53D5D673" w14:textId="0F16052D" w:rsidR="00902F69" w:rsidRPr="00A51374" w:rsidRDefault="00CC2083">
            <w:pPr>
              <w:pStyle w:val="KeyPointsicon"/>
            </w:pPr>
            <w:r w:rsidRPr="00A51374">
              <w:rPr>
                <w:noProof/>
              </w:rPr>
              <w:drawing>
                <wp:inline distT="0" distB="0" distL="0" distR="0" wp14:anchorId="5AD139E8" wp14:editId="27A759B7">
                  <wp:extent cx="219850" cy="223849"/>
                  <wp:effectExtent l="0" t="0" r="0" b="5080"/>
                  <wp:docPr id="1656200608" name="Picture 16562006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9850" cy="223849"/>
                          </a:xfrm>
                          <a:prstGeom prst="rect">
                            <a:avLst/>
                          </a:prstGeom>
                        </pic:spPr>
                      </pic:pic>
                    </a:graphicData>
                  </a:graphic>
                </wp:inline>
              </w:drawing>
            </w:r>
          </w:p>
        </w:tc>
        <w:tc>
          <w:tcPr>
            <w:tcW w:w="9061" w:type="dxa"/>
            <w:shd w:val="clear" w:color="auto" w:fill="FBF3EC"/>
            <w:tcMar>
              <w:top w:w="28" w:type="dxa"/>
              <w:left w:w="28" w:type="dxa"/>
            </w:tcMar>
          </w:tcPr>
          <w:p w14:paraId="4D90CE12" w14:textId="2512B342" w:rsidR="00902F69" w:rsidRPr="00610627" w:rsidRDefault="00902F69">
            <w:pPr>
              <w:pStyle w:val="KeyPoints-Bold"/>
              <w:spacing w:before="0"/>
            </w:pPr>
            <w:r>
              <w:t xml:space="preserve">Governments have </w:t>
            </w:r>
            <w:r w:rsidR="003534B7">
              <w:t>not been adequately delivering</w:t>
            </w:r>
            <w:r w:rsidR="00295FC6">
              <w:t xml:space="preserve"> on</w:t>
            </w:r>
            <w:r w:rsidR="003534B7">
              <w:t xml:space="preserve"> </w:t>
            </w:r>
            <w:r>
              <w:t xml:space="preserve">their responsibility for improving the public sector’s relationship with Aboriginal and Torres Strait Islander people, and </w:t>
            </w:r>
            <w:r w:rsidR="00B174BF">
              <w:t>require accountability</w:t>
            </w:r>
            <w:r>
              <w:t xml:space="preserve"> for making changes from within. The first </w:t>
            </w:r>
            <w:r w:rsidR="007B6698">
              <w:t xml:space="preserve">recommended </w:t>
            </w:r>
            <w:r>
              <w:t xml:space="preserve">step </w:t>
            </w:r>
            <w:r w:rsidR="007B6698">
              <w:t xml:space="preserve">to </w:t>
            </w:r>
            <w:r>
              <w:t xml:space="preserve">achieving this is to </w:t>
            </w:r>
            <w:r w:rsidRPr="00E00622">
              <w:t>designa</w:t>
            </w:r>
            <w:r>
              <w:t>te</w:t>
            </w:r>
            <w:r w:rsidRPr="00E00622">
              <w:t xml:space="preserve"> a senior leader or leadership group to drive jurisdiction</w:t>
            </w:r>
            <w:r w:rsidR="00FD58AA">
              <w:noBreakHyphen/>
            </w:r>
            <w:r w:rsidRPr="00E00622">
              <w:t>wide change</w:t>
            </w:r>
            <w:r>
              <w:t xml:space="preserve">. </w:t>
            </w:r>
          </w:p>
        </w:tc>
      </w:tr>
      <w:tr w:rsidR="00902F69" w14:paraId="11C0BDC1" w14:textId="77777777" w:rsidTr="00CC2083">
        <w:tc>
          <w:tcPr>
            <w:tcW w:w="577" w:type="dxa"/>
            <w:shd w:val="clear" w:color="auto" w:fill="FBF3EC"/>
            <w:tcMar>
              <w:top w:w="0" w:type="dxa"/>
              <w:bottom w:w="0" w:type="dxa"/>
              <w:right w:w="113" w:type="dxa"/>
            </w:tcMar>
          </w:tcPr>
          <w:p w14:paraId="414DBE05" w14:textId="775AB78D" w:rsidR="00902F69" w:rsidRPr="00A51374" w:rsidRDefault="00CC2083">
            <w:pPr>
              <w:pStyle w:val="KeyPointsicon"/>
            </w:pPr>
            <w:r w:rsidRPr="00A51374">
              <w:rPr>
                <w:noProof/>
              </w:rPr>
              <w:drawing>
                <wp:inline distT="0" distB="0" distL="0" distR="0" wp14:anchorId="6E40856B" wp14:editId="3C4B5AF9">
                  <wp:extent cx="219850" cy="223849"/>
                  <wp:effectExtent l="0" t="0" r="0" b="5080"/>
                  <wp:docPr id="1258678218" name="Picture 12586782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9850" cy="223849"/>
                          </a:xfrm>
                          <a:prstGeom prst="rect">
                            <a:avLst/>
                          </a:prstGeom>
                        </pic:spPr>
                      </pic:pic>
                    </a:graphicData>
                  </a:graphic>
                </wp:inline>
              </w:drawing>
            </w:r>
          </w:p>
        </w:tc>
        <w:tc>
          <w:tcPr>
            <w:tcW w:w="9061" w:type="dxa"/>
            <w:shd w:val="clear" w:color="auto" w:fill="FBF3EC"/>
            <w:tcMar>
              <w:top w:w="28" w:type="dxa"/>
              <w:left w:w="28" w:type="dxa"/>
            </w:tcMar>
          </w:tcPr>
          <w:p w14:paraId="5E7F9EAE" w14:textId="78C8C8BD" w:rsidR="00902F69" w:rsidRDefault="00902F69">
            <w:pPr>
              <w:pStyle w:val="KeyPoints-Bold"/>
              <w:spacing w:before="0"/>
            </w:pPr>
            <w:r>
              <w:t xml:space="preserve">Other ways of embedding responsibilities for driving action throughout the public sector </w:t>
            </w:r>
            <w:r w:rsidR="00503EDE">
              <w:t xml:space="preserve">being recommended or considered </w:t>
            </w:r>
            <w:r>
              <w:t>include:</w:t>
            </w:r>
          </w:p>
          <w:p w14:paraId="60F76362" w14:textId="77777777" w:rsidR="00902F69" w:rsidRPr="00A0101D" w:rsidRDefault="00902F69" w:rsidP="00A0101D">
            <w:pPr>
              <w:pStyle w:val="KeyPoints-Bullet"/>
            </w:pPr>
            <w:r w:rsidRPr="00A0101D">
              <w:t xml:space="preserve">changing the core employment requirements of all public sector CEOs, executives and employees </w:t>
            </w:r>
          </w:p>
          <w:p w14:paraId="0DAC8F34" w14:textId="5973B262" w:rsidR="00902F69" w:rsidRPr="00A0101D" w:rsidRDefault="00902F69" w:rsidP="00A0101D">
            <w:pPr>
              <w:pStyle w:val="KeyPoints-Bullet"/>
            </w:pPr>
            <w:r w:rsidRPr="00A0101D">
              <w:t xml:space="preserve">ensuring central agencies lead changes to Cabinet, Budget, funding and contracting processes </w:t>
            </w:r>
          </w:p>
          <w:p w14:paraId="254E8867" w14:textId="77777777" w:rsidR="003B172F" w:rsidRPr="00A0101D" w:rsidRDefault="00902F69" w:rsidP="00A0101D">
            <w:pPr>
              <w:pStyle w:val="KeyPoints-Bullet"/>
            </w:pPr>
            <w:r w:rsidRPr="00A0101D">
              <w:t>establishing or enhancing sector</w:t>
            </w:r>
            <w:r w:rsidR="00FD58AA" w:rsidRPr="00A0101D">
              <w:noBreakHyphen/>
            </w:r>
            <w:r w:rsidRPr="00A0101D">
              <w:t>specific accountability mechanisms in key sectors</w:t>
            </w:r>
          </w:p>
          <w:p w14:paraId="52974F0E" w14:textId="3CCC5234" w:rsidR="00315FE3" w:rsidRPr="00610627" w:rsidRDefault="003B172F" w:rsidP="00A0101D">
            <w:pPr>
              <w:pStyle w:val="KeyPoints-Bullet"/>
            </w:pPr>
            <w:r w:rsidRPr="00A0101D">
              <w:t>putting obligations for governments into service delivery contracts, such as requirements for governments to provide data to ACCOs to enable them to design and deliver services that best meet the priorities and needs of service users</w:t>
            </w:r>
            <w:r w:rsidR="00902F69" w:rsidRPr="00A0101D">
              <w:t>.</w:t>
            </w:r>
          </w:p>
        </w:tc>
      </w:tr>
      <w:tr w:rsidR="00902F69" w14:paraId="27B441B6" w14:textId="77777777" w:rsidTr="00CC2083">
        <w:tc>
          <w:tcPr>
            <w:tcW w:w="577" w:type="dxa"/>
            <w:shd w:val="clear" w:color="auto" w:fill="FBF3EC"/>
            <w:tcMar>
              <w:top w:w="0" w:type="dxa"/>
              <w:bottom w:w="0" w:type="dxa"/>
              <w:right w:w="113" w:type="dxa"/>
            </w:tcMar>
          </w:tcPr>
          <w:p w14:paraId="2A3C5DA5" w14:textId="6BB6FC89" w:rsidR="00902F69" w:rsidRPr="00A51374" w:rsidRDefault="00CC2083">
            <w:pPr>
              <w:pStyle w:val="KeyPointsicon"/>
            </w:pPr>
            <w:r w:rsidRPr="00A51374">
              <w:rPr>
                <w:noProof/>
              </w:rPr>
              <w:drawing>
                <wp:inline distT="0" distB="0" distL="0" distR="0" wp14:anchorId="6602F8B2" wp14:editId="1B0BB848">
                  <wp:extent cx="219850" cy="223849"/>
                  <wp:effectExtent l="0" t="0" r="0" b="5080"/>
                  <wp:docPr id="52568851" name="Picture 525688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9850" cy="223849"/>
                          </a:xfrm>
                          <a:prstGeom prst="rect">
                            <a:avLst/>
                          </a:prstGeom>
                        </pic:spPr>
                      </pic:pic>
                    </a:graphicData>
                  </a:graphic>
                </wp:inline>
              </w:drawing>
            </w:r>
          </w:p>
        </w:tc>
        <w:tc>
          <w:tcPr>
            <w:tcW w:w="9061" w:type="dxa"/>
            <w:shd w:val="clear" w:color="auto" w:fill="FBF3EC"/>
            <w:tcMar>
              <w:top w:w="28" w:type="dxa"/>
              <w:left w:w="28" w:type="dxa"/>
            </w:tcMar>
          </w:tcPr>
          <w:p w14:paraId="68E1562F" w14:textId="685922B6" w:rsidR="00902F69" w:rsidRPr="00D40ABB" w:rsidRDefault="00902F69">
            <w:pPr>
              <w:pStyle w:val="KeyPoints-Bold"/>
              <w:spacing w:before="0"/>
              <w:rPr>
                <w:spacing w:val="-4"/>
              </w:rPr>
            </w:pPr>
            <w:r w:rsidRPr="00D40ABB">
              <w:rPr>
                <w:spacing w:val="-4"/>
              </w:rPr>
              <w:t xml:space="preserve">Stronger accountability measures are designed to work alongside, and to complement, the Agreement and its Priority Reforms. </w:t>
            </w:r>
            <w:r w:rsidR="00E239A4" w:rsidRPr="00D40ABB">
              <w:rPr>
                <w:spacing w:val="-4"/>
              </w:rPr>
              <w:t xml:space="preserve">These </w:t>
            </w:r>
            <w:r w:rsidR="007F55B9" w:rsidRPr="00D40ABB">
              <w:rPr>
                <w:spacing w:val="-4"/>
              </w:rPr>
              <w:t>measures</w:t>
            </w:r>
            <w:r w:rsidRPr="00D40ABB">
              <w:rPr>
                <w:spacing w:val="-4"/>
              </w:rPr>
              <w:t xml:space="preserve"> will only be effective if they are implemented in ways that are consistent with the Agreement, and centre Aboriginal and Torres Strait Islander people and perspectives.</w:t>
            </w:r>
          </w:p>
        </w:tc>
      </w:tr>
      <w:tr w:rsidR="00902F69" w14:paraId="6AEABA64" w14:textId="77777777" w:rsidTr="00CC2083">
        <w:tc>
          <w:tcPr>
            <w:tcW w:w="577" w:type="dxa"/>
            <w:shd w:val="clear" w:color="auto" w:fill="FBF3EC"/>
            <w:tcMar>
              <w:top w:w="0" w:type="dxa"/>
              <w:bottom w:w="0" w:type="dxa"/>
              <w:right w:w="113" w:type="dxa"/>
            </w:tcMar>
          </w:tcPr>
          <w:p w14:paraId="4949A787" w14:textId="62F12750" w:rsidR="00902F69" w:rsidRPr="00A51374" w:rsidRDefault="00CC2083">
            <w:pPr>
              <w:pStyle w:val="KeyPointsicon"/>
            </w:pPr>
            <w:r w:rsidRPr="00A51374">
              <w:rPr>
                <w:noProof/>
              </w:rPr>
              <w:drawing>
                <wp:inline distT="0" distB="0" distL="0" distR="0" wp14:anchorId="587E19F4" wp14:editId="78B68313">
                  <wp:extent cx="219850" cy="223849"/>
                  <wp:effectExtent l="0" t="0" r="0" b="5080"/>
                  <wp:docPr id="199293397" name="Picture 1992933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9850" cy="223849"/>
                          </a:xfrm>
                          <a:prstGeom prst="rect">
                            <a:avLst/>
                          </a:prstGeom>
                        </pic:spPr>
                      </pic:pic>
                    </a:graphicData>
                  </a:graphic>
                </wp:inline>
              </w:drawing>
            </w:r>
          </w:p>
        </w:tc>
        <w:tc>
          <w:tcPr>
            <w:tcW w:w="9061" w:type="dxa"/>
            <w:shd w:val="clear" w:color="auto" w:fill="FBF3EC"/>
            <w:tcMar>
              <w:top w:w="28" w:type="dxa"/>
              <w:left w:w="28" w:type="dxa"/>
            </w:tcMar>
          </w:tcPr>
          <w:p w14:paraId="3D29A8FE" w14:textId="3B4ACE7C" w:rsidR="00902F69" w:rsidRDefault="00E11350">
            <w:pPr>
              <w:pStyle w:val="KeyPoints-Bold"/>
              <w:spacing w:before="0"/>
            </w:pPr>
            <w:r w:rsidRPr="00E11350">
              <w:t>Transparency is essential so that the community can clearly see how parties intend for their actions to deliver the objectives of the Agreement and lead to improved outcomes for Aboriginal and Torres Strait Islander people</w:t>
            </w:r>
            <w:r w:rsidR="007A5A44">
              <w:t>. To help achieve this, a</w:t>
            </w:r>
            <w:r w:rsidR="00902F69">
              <w:t xml:space="preserve">ll government agencies </w:t>
            </w:r>
            <w:r w:rsidR="00503EDE">
              <w:t xml:space="preserve">should be required </w:t>
            </w:r>
            <w:r w:rsidR="00902F69">
              <w:t xml:space="preserve">to report </w:t>
            </w:r>
            <w:r w:rsidR="00950A23">
              <w:t xml:space="preserve">annually </w:t>
            </w:r>
            <w:r w:rsidR="00902F69">
              <w:t>on the substantive activities they undertake to implement the Priority Reforms and the demonstrated outcomes of those activities.</w:t>
            </w:r>
          </w:p>
          <w:p w14:paraId="625B7D81" w14:textId="0244E587" w:rsidR="00902F69" w:rsidRPr="00610627" w:rsidRDefault="00902F69" w:rsidP="00840DAC">
            <w:pPr>
              <w:pStyle w:val="KeyPoints-Bullet"/>
            </w:pPr>
            <w:r>
              <w:t xml:space="preserve">To </w:t>
            </w:r>
            <w:r w:rsidRPr="00E84364">
              <w:t xml:space="preserve">improve transparency and make it easier to assess progress, governments should publish the stocktakes, </w:t>
            </w:r>
            <w:r>
              <w:t>expenditure reviews</w:t>
            </w:r>
            <w:r w:rsidRPr="00E84364">
              <w:t xml:space="preserve"> and other documents developed under the Agreement.</w:t>
            </w:r>
          </w:p>
        </w:tc>
      </w:tr>
    </w:tbl>
    <w:p w14:paraId="09B06EDC" w14:textId="66F52CE1" w:rsidR="001D5599" w:rsidRPr="00826931" w:rsidRDefault="001D5599" w:rsidP="00414845">
      <w:pPr>
        <w:pStyle w:val="BodyText"/>
        <w:rPr>
          <w:spacing w:val="-2"/>
        </w:rPr>
      </w:pPr>
      <w:r w:rsidRPr="00826931">
        <w:rPr>
          <w:spacing w:val="-2"/>
        </w:rPr>
        <w:lastRenderedPageBreak/>
        <w:t>The National Agreement on Closing the Gap (the Agreement) is unlike other national agreement</w:t>
      </w:r>
      <w:r w:rsidR="00AA26F9" w:rsidRPr="00826931">
        <w:rPr>
          <w:spacing w:val="-2"/>
        </w:rPr>
        <w:t>s</w:t>
      </w:r>
      <w:r w:rsidRPr="00826931">
        <w:rPr>
          <w:spacing w:val="-2"/>
        </w:rPr>
        <w:t>. It is the first that includes a non</w:t>
      </w:r>
      <w:r w:rsidR="00FD58AA" w:rsidRPr="00826931">
        <w:rPr>
          <w:spacing w:val="-2"/>
        </w:rPr>
        <w:noBreakHyphen/>
      </w:r>
      <w:r w:rsidRPr="00826931">
        <w:rPr>
          <w:spacing w:val="-2"/>
        </w:rPr>
        <w:t>government party as a signatory – the Coalition of Aboriginal and Torres Strait Islander Peak Organisations</w:t>
      </w:r>
      <w:r w:rsidR="003D68B7" w:rsidRPr="00826931">
        <w:rPr>
          <w:spacing w:val="-2"/>
        </w:rPr>
        <w:t xml:space="preserve"> (the Coalition of Peaks)</w:t>
      </w:r>
      <w:r w:rsidRPr="00826931">
        <w:rPr>
          <w:spacing w:val="-2"/>
        </w:rPr>
        <w:t xml:space="preserve">. It is ambitious in the scale of change required, calling for an unprecedented, structural shift in the way governments work with Aboriginal and Torres Strait Islander people. </w:t>
      </w:r>
    </w:p>
    <w:p w14:paraId="7C9F1588" w14:textId="3FE0427D" w:rsidR="00175398" w:rsidRPr="0053310D" w:rsidRDefault="001D5599" w:rsidP="001D5599">
      <w:pPr>
        <w:pStyle w:val="BodyText"/>
        <w:rPr>
          <w:spacing w:val="-2"/>
        </w:rPr>
      </w:pPr>
      <w:r w:rsidRPr="0053310D">
        <w:rPr>
          <w:spacing w:val="-2"/>
        </w:rPr>
        <w:t xml:space="preserve">In signing the Agreement, governments made a commitment – to Aboriginal and Torres Strait Islander people, to the Coalition of Peaks, to each other and to the nation – to ‘a fundamentally new way of developing and implementing policies and programs that impact on the lives of Aboriginal and Torres Strait Islander people’ </w:t>
      </w:r>
      <w:r w:rsidR="00B022AD" w:rsidRPr="0053310D">
        <w:rPr>
          <w:spacing w:val="-2"/>
        </w:rPr>
        <w:t xml:space="preserve">(clause </w:t>
      </w:r>
      <w:r w:rsidR="00E6526E" w:rsidRPr="0053310D">
        <w:rPr>
          <w:spacing w:val="-2"/>
        </w:rPr>
        <w:t xml:space="preserve">4) </w:t>
      </w:r>
      <w:r w:rsidRPr="0053310D">
        <w:rPr>
          <w:spacing w:val="-2"/>
        </w:rPr>
        <w:t xml:space="preserve">and to do so </w:t>
      </w:r>
      <w:r w:rsidR="00CE3B9A" w:rsidRPr="0053310D">
        <w:rPr>
          <w:spacing w:val="-2"/>
        </w:rPr>
        <w:t>‘</w:t>
      </w:r>
      <w:r w:rsidRPr="0053310D">
        <w:rPr>
          <w:spacing w:val="-2"/>
        </w:rPr>
        <w:t>in a way that takes full account of, promotes, and does not diminish in any way, the cultures of Aboriginal and Torres Strait Islander people’</w:t>
      </w:r>
      <w:r w:rsidR="00E6526E" w:rsidRPr="0053310D">
        <w:rPr>
          <w:spacing w:val="-2"/>
        </w:rPr>
        <w:t xml:space="preserve"> (clause </w:t>
      </w:r>
      <w:r w:rsidR="00013A09" w:rsidRPr="0053310D">
        <w:rPr>
          <w:spacing w:val="-2"/>
        </w:rPr>
        <w:t>21)</w:t>
      </w:r>
      <w:r w:rsidRPr="0053310D">
        <w:rPr>
          <w:spacing w:val="-2"/>
        </w:rPr>
        <w:t>.</w:t>
      </w:r>
      <w:r w:rsidR="003D28E8" w:rsidRPr="0053310D">
        <w:rPr>
          <w:spacing w:val="-2"/>
        </w:rPr>
        <w:t xml:space="preserve"> </w:t>
      </w:r>
      <w:r w:rsidR="00550ADA" w:rsidRPr="0053310D">
        <w:rPr>
          <w:spacing w:val="-2"/>
        </w:rPr>
        <w:t xml:space="preserve">The ultimate end goal is to improve the life outcomes of Aboriginal and Torres Strait Islander people (clause 7). </w:t>
      </w:r>
      <w:r w:rsidR="00175398" w:rsidRPr="0053310D">
        <w:rPr>
          <w:spacing w:val="-2"/>
        </w:rPr>
        <w:t xml:space="preserve">This paper </w:t>
      </w:r>
      <w:r w:rsidR="003D28E8" w:rsidRPr="0053310D">
        <w:rPr>
          <w:spacing w:val="-2"/>
        </w:rPr>
        <w:t>considers</w:t>
      </w:r>
      <w:r w:rsidR="00175398" w:rsidRPr="0053310D">
        <w:rPr>
          <w:spacing w:val="-2"/>
        </w:rPr>
        <w:t xml:space="preserve"> how to </w:t>
      </w:r>
      <w:r w:rsidR="00A429CF" w:rsidRPr="0053310D">
        <w:rPr>
          <w:spacing w:val="-2"/>
        </w:rPr>
        <w:t xml:space="preserve">ensure that governments </w:t>
      </w:r>
      <w:r w:rsidR="00BB2DC5" w:rsidRPr="0053310D">
        <w:rPr>
          <w:spacing w:val="-2"/>
        </w:rPr>
        <w:t xml:space="preserve">fully </w:t>
      </w:r>
      <w:r w:rsidR="00A429CF" w:rsidRPr="0053310D">
        <w:rPr>
          <w:spacing w:val="-2"/>
        </w:rPr>
        <w:t>understand, and are held</w:t>
      </w:r>
      <w:r w:rsidR="00175398" w:rsidRPr="0053310D">
        <w:rPr>
          <w:spacing w:val="-2"/>
        </w:rPr>
        <w:t xml:space="preserve"> accountable for del</w:t>
      </w:r>
      <w:r w:rsidR="003D28E8" w:rsidRPr="0053310D">
        <w:rPr>
          <w:spacing w:val="-2"/>
        </w:rPr>
        <w:t>ivering on</w:t>
      </w:r>
      <w:r w:rsidR="00A429CF" w:rsidRPr="0053310D">
        <w:rPr>
          <w:spacing w:val="-2"/>
        </w:rPr>
        <w:t>,</w:t>
      </w:r>
      <w:r w:rsidR="003D28E8" w:rsidRPr="0053310D">
        <w:rPr>
          <w:spacing w:val="-2"/>
        </w:rPr>
        <w:t xml:space="preserve"> that commitment.</w:t>
      </w:r>
    </w:p>
    <w:p w14:paraId="53D1EE2B" w14:textId="1C63981A" w:rsidR="00F566D7" w:rsidRPr="00166D96" w:rsidRDefault="007B4E2D" w:rsidP="00F566D7">
      <w:pPr>
        <w:pStyle w:val="Heading2"/>
        <w:numPr>
          <w:ilvl w:val="0"/>
          <w:numId w:val="0"/>
        </w:numPr>
        <w:ind w:left="624" w:hanging="624"/>
      </w:pPr>
      <w:bookmarkStart w:id="7" w:name="_Toc140504486"/>
      <w:r>
        <w:t>1</w:t>
      </w:r>
      <w:r w:rsidR="0092065A">
        <w:tab/>
      </w:r>
      <w:r w:rsidR="00607DDA">
        <w:t xml:space="preserve">Governments are not consistently </w:t>
      </w:r>
      <w:r w:rsidR="00603F0D">
        <w:t>adhering to</w:t>
      </w:r>
      <w:r w:rsidR="00607DDA">
        <w:t xml:space="preserve"> </w:t>
      </w:r>
      <w:r w:rsidR="00603F0D">
        <w:t xml:space="preserve">– and are sometimes </w:t>
      </w:r>
      <w:r w:rsidR="00867A19">
        <w:t>disregarding</w:t>
      </w:r>
      <w:r w:rsidR="00603F0D">
        <w:t xml:space="preserve"> – </w:t>
      </w:r>
      <w:r w:rsidR="00607DDA">
        <w:t>the Agreement</w:t>
      </w:r>
      <w:bookmarkEnd w:id="7"/>
    </w:p>
    <w:p w14:paraId="03FE2259" w14:textId="0C63FF3C" w:rsidR="00F70355" w:rsidRPr="00D17C2B" w:rsidRDefault="00BE6688" w:rsidP="00F70355">
      <w:pPr>
        <w:pStyle w:val="Heading3"/>
      </w:pPr>
      <w:r w:rsidRPr="00D17C2B">
        <w:t>Governments</w:t>
      </w:r>
      <w:r w:rsidR="0027241D" w:rsidRPr="00D17C2B">
        <w:t xml:space="preserve">’ actions </w:t>
      </w:r>
      <w:r w:rsidR="000414FF">
        <w:t>will not deliver the unprecedented shift they have committed to</w:t>
      </w:r>
    </w:p>
    <w:p w14:paraId="284DAC61" w14:textId="5E113E24" w:rsidR="00D82FBC" w:rsidRDefault="000D0320" w:rsidP="00D82FBC">
      <w:pPr>
        <w:pStyle w:val="BodyText"/>
      </w:pPr>
      <w:r>
        <w:t xml:space="preserve">Governments have made </w:t>
      </w:r>
      <w:r w:rsidR="00D82FBC">
        <w:t xml:space="preserve">varying levels of progress towards each of the </w:t>
      </w:r>
      <w:r w:rsidR="004E26B3">
        <w:t>Priority Reform</w:t>
      </w:r>
      <w:r w:rsidR="00D82FBC">
        <w:t>s, socioeconomic outcomes and associated actions (information papers 2 to 6)</w:t>
      </w:r>
      <w:r>
        <w:t>. But the</w:t>
      </w:r>
      <w:r w:rsidR="00D82FBC">
        <w:t xml:space="preserve"> overall picture is that governments’ current piecemeal actions will not deliver the </w:t>
      </w:r>
      <w:r w:rsidR="003C1059">
        <w:t>fundamental transformation</w:t>
      </w:r>
      <w:r w:rsidR="00D82FBC">
        <w:t xml:space="preserve"> they have committed to. </w:t>
      </w:r>
    </w:p>
    <w:p w14:paraId="2CDE354B" w14:textId="7AEE9B9A" w:rsidR="00D17C2B" w:rsidRDefault="0014584B" w:rsidP="00D17C2B">
      <w:pPr>
        <w:pStyle w:val="BodyText"/>
      </w:pPr>
      <w:r>
        <w:t>In consultations, review p</w:t>
      </w:r>
      <w:r w:rsidR="00353EE4">
        <w:t xml:space="preserve">articipants told us that </w:t>
      </w:r>
      <w:r w:rsidR="006E074B">
        <w:t xml:space="preserve">the </w:t>
      </w:r>
      <w:r w:rsidR="00C20B79">
        <w:t xml:space="preserve">implementation of the Agreement has not moved beyond </w:t>
      </w:r>
      <w:r w:rsidR="00636461">
        <w:t>business</w:t>
      </w:r>
      <w:r w:rsidR="00FD58AA">
        <w:noBreakHyphen/>
      </w:r>
      <w:r w:rsidR="00636461">
        <w:t>as</w:t>
      </w:r>
      <w:r w:rsidR="00FD58AA">
        <w:noBreakHyphen/>
      </w:r>
      <w:r w:rsidR="00636461">
        <w:t>usual</w:t>
      </w:r>
      <w:r w:rsidR="00C20B79">
        <w:t xml:space="preserve">, that progress is slow and that </w:t>
      </w:r>
      <w:r>
        <w:t xml:space="preserve">they are not seeing the types of action </w:t>
      </w:r>
      <w:r w:rsidR="005F07F0">
        <w:t xml:space="preserve">or understanding </w:t>
      </w:r>
      <w:r>
        <w:t xml:space="preserve">that will bring about real change </w:t>
      </w:r>
      <w:r w:rsidR="00DD0DC9" w:rsidRPr="00DD0DC9">
        <w:rPr>
          <w:rFonts w:ascii="Arial" w:hAnsi="Arial" w:cs="Arial"/>
          <w:szCs w:val="24"/>
        </w:rPr>
        <w:t>(PC 2023b, p. 4)</w:t>
      </w:r>
      <w:r>
        <w:t xml:space="preserve">. </w:t>
      </w:r>
      <w:r w:rsidR="001579F2">
        <w:t>This</w:t>
      </w:r>
      <w:r w:rsidR="00EA6F45">
        <w:t xml:space="preserve"> concern</w:t>
      </w:r>
      <w:r w:rsidR="001579F2">
        <w:t xml:space="preserve"> was echoed in submissions from Aboriginal and Torres Strait Islander organisations. </w:t>
      </w:r>
      <w:r w:rsidR="007116CF">
        <w:t>For example, Aboriginal Peak Organisations Northern Territory said:</w:t>
      </w:r>
    </w:p>
    <w:p w14:paraId="63AF486C" w14:textId="75067BA9" w:rsidR="00D17C2B" w:rsidRPr="002B6A6C" w:rsidRDefault="00D17C2B" w:rsidP="00D17C2B">
      <w:pPr>
        <w:pStyle w:val="Quote"/>
        <w:rPr>
          <w:spacing w:val="-4"/>
        </w:rPr>
      </w:pPr>
      <w:r w:rsidRPr="002B6A6C">
        <w:rPr>
          <w:spacing w:val="-4"/>
        </w:rPr>
        <w:t>The overwhelming message from APO NT and other Coalition of Peaks members is that the structural and transformative aims of the National Agreement are simply not being met. Despite many years of the National Agreement and predecessor COAG Agreements, government agencies are still resistant to change that promotes Aboriginal self</w:t>
      </w:r>
      <w:r w:rsidR="00FD58AA" w:rsidRPr="002B6A6C">
        <w:rPr>
          <w:spacing w:val="-4"/>
        </w:rPr>
        <w:noBreakHyphen/>
      </w:r>
      <w:r w:rsidRPr="002B6A6C">
        <w:rPr>
          <w:spacing w:val="-4"/>
        </w:rPr>
        <w:t>determination in principle and practice. And we know that self</w:t>
      </w:r>
      <w:r w:rsidR="00FD58AA" w:rsidRPr="002B6A6C">
        <w:rPr>
          <w:spacing w:val="-4"/>
        </w:rPr>
        <w:noBreakHyphen/>
      </w:r>
      <w:r w:rsidRPr="002B6A6C">
        <w:rPr>
          <w:spacing w:val="-4"/>
        </w:rPr>
        <w:t>determination provides the best means to better outcomes. (</w:t>
      </w:r>
      <w:r w:rsidR="0074042B" w:rsidRPr="002B6A6C">
        <w:rPr>
          <w:spacing w:val="-4"/>
        </w:rPr>
        <w:t xml:space="preserve">APO NT, </w:t>
      </w:r>
      <w:r w:rsidRPr="002B6A6C">
        <w:rPr>
          <w:spacing w:val="-4"/>
        </w:rPr>
        <w:t>sub</w:t>
      </w:r>
      <w:r w:rsidR="00BA5B54" w:rsidRPr="002B6A6C">
        <w:rPr>
          <w:spacing w:val="-4"/>
        </w:rPr>
        <w:t>.</w:t>
      </w:r>
      <w:r w:rsidR="00FD58AA" w:rsidRPr="002B6A6C">
        <w:rPr>
          <w:spacing w:val="-4"/>
        </w:rPr>
        <w:t> </w:t>
      </w:r>
      <w:r w:rsidRPr="002B6A6C">
        <w:rPr>
          <w:spacing w:val="-4"/>
        </w:rPr>
        <w:t>10, p.</w:t>
      </w:r>
      <w:r w:rsidR="00FD58AA" w:rsidRPr="002B6A6C">
        <w:rPr>
          <w:spacing w:val="-4"/>
        </w:rPr>
        <w:t> </w:t>
      </w:r>
      <w:r w:rsidRPr="002B6A6C">
        <w:rPr>
          <w:spacing w:val="-4"/>
        </w:rPr>
        <w:t>3)</w:t>
      </w:r>
    </w:p>
    <w:p w14:paraId="1CA0AFF4" w14:textId="6A8E24FC" w:rsidR="00394D02" w:rsidRPr="002B6A6C" w:rsidRDefault="00394D02" w:rsidP="00394D02">
      <w:pPr>
        <w:pStyle w:val="BodyText"/>
        <w:rPr>
          <w:spacing w:val="-2"/>
        </w:rPr>
      </w:pPr>
      <w:r w:rsidRPr="002B6A6C">
        <w:rPr>
          <w:spacing w:val="-2"/>
        </w:rPr>
        <w:t xml:space="preserve">Concerns about the omission of Aboriginal and Torres Strait Islander people and perspectives from key policy processes </w:t>
      </w:r>
      <w:r w:rsidR="005813C0" w:rsidRPr="002B6A6C">
        <w:rPr>
          <w:spacing w:val="-2"/>
        </w:rPr>
        <w:t xml:space="preserve">remain </w:t>
      </w:r>
      <w:r w:rsidR="00BB7EF9" w:rsidRPr="002B6A6C">
        <w:rPr>
          <w:spacing w:val="-2"/>
        </w:rPr>
        <w:t>widespread</w:t>
      </w:r>
      <w:r w:rsidRPr="002B6A6C">
        <w:rPr>
          <w:spacing w:val="-2"/>
        </w:rPr>
        <w:t>. One example of this can be seen in response to the Intergenerational Report, a key document published by the Australian Treasury every five years which ‘examines the long</w:t>
      </w:r>
      <w:r w:rsidR="00FD58AA" w:rsidRPr="002B6A6C">
        <w:rPr>
          <w:spacing w:val="-2"/>
        </w:rPr>
        <w:noBreakHyphen/>
      </w:r>
      <w:r w:rsidRPr="002B6A6C">
        <w:rPr>
          <w:spacing w:val="-2"/>
        </w:rPr>
        <w:t xml:space="preserve">term sustainability of current policies and how demographic, technological and other structural trends may affect the economy and the budget over the next 40 years’ </w:t>
      </w:r>
      <w:r w:rsidRPr="002B6A6C">
        <w:rPr>
          <w:rFonts w:cs="Arial"/>
          <w:spacing w:val="-2"/>
          <w:szCs w:val="24"/>
        </w:rPr>
        <w:t>(Frydenberg 2021, p. xv)</w:t>
      </w:r>
      <w:r w:rsidRPr="002B6A6C">
        <w:rPr>
          <w:spacing w:val="-2"/>
        </w:rPr>
        <w:t xml:space="preserve">. However: </w:t>
      </w:r>
    </w:p>
    <w:p w14:paraId="5B8AD850" w14:textId="62900C80" w:rsidR="00394D02" w:rsidRDefault="00394D02" w:rsidP="00394D02">
      <w:pPr>
        <w:pStyle w:val="Quote"/>
      </w:pPr>
      <w:r>
        <w:t xml:space="preserve">… the 2021 report did not discuss the situation of First Nations people at all for any measure. There can be no excuse for this glaring omission. </w:t>
      </w:r>
      <w:r w:rsidRPr="001579F9">
        <w:rPr>
          <w:rFonts w:ascii="Arial" w:hAnsi="Arial" w:cs="Arial"/>
          <w:szCs w:val="24"/>
        </w:rPr>
        <w:t>(McCallum, Orthia and Hosking 2023, p. 148)</w:t>
      </w:r>
    </w:p>
    <w:p w14:paraId="1AF21369" w14:textId="26063317" w:rsidR="004D7B0F" w:rsidRDefault="004F6DF5" w:rsidP="00BB2DC5">
      <w:pPr>
        <w:pStyle w:val="BodyText"/>
        <w:keepNext/>
      </w:pPr>
      <w:r>
        <w:t>Review p</w:t>
      </w:r>
      <w:r w:rsidR="002C2B04">
        <w:t>articipants</w:t>
      </w:r>
      <w:r w:rsidR="000C1A32">
        <w:t xml:space="preserve"> also highlighted </w:t>
      </w:r>
      <w:r w:rsidR="00890D55">
        <w:t>the</w:t>
      </w:r>
      <w:r w:rsidR="002C2B04">
        <w:t xml:space="preserve"> wide </w:t>
      </w:r>
      <w:r w:rsidR="000C1A32">
        <w:t xml:space="preserve">gap between </w:t>
      </w:r>
      <w:r w:rsidR="002C2B04">
        <w:t>governments</w:t>
      </w:r>
      <w:r w:rsidR="000C1A32">
        <w:t xml:space="preserve">’ rhetoric and governments’ </w:t>
      </w:r>
      <w:r w:rsidR="00EC74EA">
        <w:t>actions in implementing the Agreement</w:t>
      </w:r>
      <w:r w:rsidR="000C1A32">
        <w:t xml:space="preserve">. </w:t>
      </w:r>
    </w:p>
    <w:p w14:paraId="584DF4B3" w14:textId="21D262D4" w:rsidR="002C2B04" w:rsidRPr="004D7B0F" w:rsidRDefault="002C2B04" w:rsidP="002C2B04">
      <w:pPr>
        <w:pStyle w:val="Quote"/>
      </w:pPr>
      <w:r>
        <w:t xml:space="preserve">… first nations arts and culture remain peripheral to the Closing the Gap Agenda. We hear language like ‘strong Aboriginal and Torres Strait Islander cultures are fundamental to improved life outcomes for Aboriginal and Torres Strait Islander people.’ But there are very few, if any, tangible policies and programs around implementing support for culture. </w:t>
      </w:r>
      <w:r w:rsidR="00CC3022">
        <w:t>(</w:t>
      </w:r>
      <w:r w:rsidR="00CC3022" w:rsidRPr="00CC3022">
        <w:t>KALACC, sub.</w:t>
      </w:r>
      <w:r w:rsidR="00FD58AA">
        <w:t> </w:t>
      </w:r>
      <w:r w:rsidR="00CC3022" w:rsidRPr="00CC3022">
        <w:t>23, p.</w:t>
      </w:r>
      <w:r w:rsidR="00FD58AA">
        <w:t> </w:t>
      </w:r>
      <w:r w:rsidR="00CC3022" w:rsidRPr="00CC3022">
        <w:t>9)</w:t>
      </w:r>
    </w:p>
    <w:p w14:paraId="5C0CCC9A" w14:textId="33386E2F" w:rsidR="00D7670D" w:rsidRDefault="00D7670D" w:rsidP="00D7670D">
      <w:pPr>
        <w:pStyle w:val="BodyText"/>
      </w:pPr>
      <w:r w:rsidRPr="004641C8">
        <w:lastRenderedPageBreak/>
        <w:t xml:space="preserve">The </w:t>
      </w:r>
      <w:r>
        <w:t xml:space="preserve">wide </w:t>
      </w:r>
      <w:r w:rsidRPr="004641C8">
        <w:t>gap between governments’ rhetoric and action appears to stem</w:t>
      </w:r>
      <w:r>
        <w:t xml:space="preserve">, in part, </w:t>
      </w:r>
      <w:r w:rsidRPr="004641C8">
        <w:t>from a failure by governments to full</w:t>
      </w:r>
      <w:r>
        <w:t>y</w:t>
      </w:r>
      <w:r w:rsidRPr="004641C8">
        <w:t xml:space="preserve"> grasp the </w:t>
      </w:r>
      <w:r w:rsidR="00231ECC">
        <w:t xml:space="preserve">nature and </w:t>
      </w:r>
      <w:r w:rsidRPr="004641C8">
        <w:t xml:space="preserve">scale of the change required to fulfil the Agreement. </w:t>
      </w:r>
      <w:r>
        <w:t>Despite some pockets of good practice, many parts of government are still operating in what amounts to a variation of business</w:t>
      </w:r>
      <w:r>
        <w:noBreakHyphen/>
        <w:t>as</w:t>
      </w:r>
      <w:r>
        <w:noBreakHyphen/>
        <w:t>usual, where their actions to implement the Agreement are simply tweaks of, or actions overlayed onto, existing systems, rather than root</w:t>
      </w:r>
      <w:r>
        <w:noBreakHyphen/>
        <w:t>and</w:t>
      </w:r>
      <w:r>
        <w:noBreakHyphen/>
        <w:t xml:space="preserve">branch transformations. </w:t>
      </w:r>
      <w:r w:rsidR="00090D1D">
        <w:t xml:space="preserve">This entails reconsidering and </w:t>
      </w:r>
      <w:r w:rsidR="001A08C5">
        <w:t>fundamentally</w:t>
      </w:r>
      <w:r w:rsidR="00090D1D">
        <w:t xml:space="preserve"> re</w:t>
      </w:r>
      <w:r w:rsidR="0018300C">
        <w:noBreakHyphen/>
      </w:r>
      <w:r w:rsidR="00090D1D">
        <w:t xml:space="preserve">evaluating existing ways of doing business, as opposed to </w:t>
      </w:r>
      <w:r w:rsidR="00CD1ED4">
        <w:t xml:space="preserve">trying to </w:t>
      </w:r>
      <w:r w:rsidR="00090D1D">
        <w:t>shoehorn business</w:t>
      </w:r>
      <w:r w:rsidR="0018300C">
        <w:noBreakHyphen/>
      </w:r>
      <w:r w:rsidR="00090D1D">
        <w:t>as</w:t>
      </w:r>
      <w:r w:rsidR="0018300C">
        <w:noBreakHyphen/>
      </w:r>
      <w:r w:rsidR="00090D1D">
        <w:t xml:space="preserve">usual into </w:t>
      </w:r>
      <w:r w:rsidR="001A08C5">
        <w:t>radical reform</w:t>
      </w:r>
      <w:r w:rsidR="00090D1D">
        <w:t xml:space="preserve">. </w:t>
      </w:r>
      <w:r>
        <w:t>Implementation plans and annual reports provide an incomplete picture of what governments are doing or not doing (</w:t>
      </w:r>
      <w:r w:rsidR="005160BE">
        <w:t>information paper 6</w:t>
      </w:r>
      <w:r w:rsidR="00097107">
        <w:t>)</w:t>
      </w:r>
      <w:r>
        <w:t xml:space="preserve">, and the Commission has not been able to conduct a detailed examination of what is happening inside every government organisation. However, based on the available information it is the Commission’s assessment that whatever changes are being made are not yet leading to improvements that are noticeable and meaningful for Aboriginal and Torres Strait Islander people. </w:t>
      </w:r>
    </w:p>
    <w:p w14:paraId="25B518B1" w14:textId="6C699721" w:rsidR="00D826E7" w:rsidRPr="00D826E7" w:rsidRDefault="00D7670D" w:rsidP="00D826E7">
      <w:pPr>
        <w:pStyle w:val="BodyText"/>
      </w:pPr>
      <w:r>
        <w:t>The absence of improvement</w:t>
      </w:r>
      <w:r w:rsidRPr="00834D96">
        <w:t xml:space="preserve"> is exacerbated by the lack of conceptual logic link</w:t>
      </w:r>
      <w:r>
        <w:t>ing</w:t>
      </w:r>
      <w:r w:rsidRPr="00834D96">
        <w:t xml:space="preserve"> the myriad of </w:t>
      </w:r>
      <w:r>
        <w:t xml:space="preserve">small </w:t>
      </w:r>
      <w:r w:rsidRPr="00834D96">
        <w:t xml:space="preserve">actions </w:t>
      </w:r>
      <w:r>
        <w:t>governments have listed in</w:t>
      </w:r>
      <w:r w:rsidRPr="00834D96">
        <w:t xml:space="preserve"> their </w:t>
      </w:r>
      <w:r>
        <w:t>i</w:t>
      </w:r>
      <w:r w:rsidRPr="00834D96">
        <w:t xml:space="preserve">mplementation </w:t>
      </w:r>
      <w:r>
        <w:t>p</w:t>
      </w:r>
      <w:r w:rsidRPr="00834D96">
        <w:t>lans</w:t>
      </w:r>
      <w:r>
        <w:t xml:space="preserve"> </w:t>
      </w:r>
      <w:r w:rsidR="005A55F6">
        <w:t xml:space="preserve">(some of which were already underway before the Agreement) </w:t>
      </w:r>
      <w:r>
        <w:t>with the large</w:t>
      </w:r>
      <w:r w:rsidR="00FD58AA">
        <w:noBreakHyphen/>
      </w:r>
      <w:r>
        <w:t>scale, transformational</w:t>
      </w:r>
      <w:r w:rsidRPr="00834D96">
        <w:t xml:space="preserve"> change they have committed </w:t>
      </w:r>
      <w:r>
        <w:t xml:space="preserve">to </w:t>
      </w:r>
      <w:r w:rsidRPr="00834D96">
        <w:t>under the Agreement</w:t>
      </w:r>
      <w:r w:rsidR="00FD58AA">
        <w:t>.</w:t>
      </w:r>
    </w:p>
    <w:p w14:paraId="1F6E852D" w14:textId="7A34E6B6" w:rsidR="00F70355" w:rsidRDefault="00C91A79" w:rsidP="00F70355">
      <w:pPr>
        <w:pStyle w:val="Heading3"/>
      </w:pPr>
      <w:r>
        <w:t xml:space="preserve">Governments continue to act </w:t>
      </w:r>
      <w:r w:rsidR="00255070">
        <w:t>without regard to</w:t>
      </w:r>
      <w:r w:rsidR="00911A60">
        <w:t>, and sometimes in contravention of,</w:t>
      </w:r>
      <w:r>
        <w:t xml:space="preserve"> </w:t>
      </w:r>
      <w:r w:rsidR="00F70355">
        <w:t>the</w:t>
      </w:r>
      <w:r>
        <w:t xml:space="preserve"> Agreement</w:t>
      </w:r>
    </w:p>
    <w:p w14:paraId="69C89B7E" w14:textId="1D37A788" w:rsidR="00F87A81" w:rsidRDefault="008566A0" w:rsidP="00445537">
      <w:pPr>
        <w:pStyle w:val="BodyText"/>
        <w:rPr>
          <w:color w:val="000000" w:themeColor="text1"/>
        </w:rPr>
      </w:pPr>
      <w:r>
        <w:rPr>
          <w:color w:val="000000" w:themeColor="text1"/>
        </w:rPr>
        <w:t xml:space="preserve">The Agreement </w:t>
      </w:r>
      <w:r w:rsidR="00863E11">
        <w:rPr>
          <w:color w:val="000000" w:themeColor="text1"/>
        </w:rPr>
        <w:t>was signed</w:t>
      </w:r>
      <w:r>
        <w:rPr>
          <w:color w:val="000000" w:themeColor="text1"/>
        </w:rPr>
        <w:t xml:space="preserve"> in July 2020</w:t>
      </w:r>
      <w:r w:rsidR="00E16115">
        <w:rPr>
          <w:color w:val="000000" w:themeColor="text1"/>
        </w:rPr>
        <w:t>. I</w:t>
      </w:r>
      <w:r w:rsidR="00863E11">
        <w:rPr>
          <w:color w:val="000000" w:themeColor="text1"/>
        </w:rPr>
        <w:t>n the three years since then</w:t>
      </w:r>
      <w:r w:rsidR="00CF188F">
        <w:rPr>
          <w:color w:val="000000" w:themeColor="text1"/>
        </w:rPr>
        <w:t>, g</w:t>
      </w:r>
      <w:r w:rsidR="000B244A" w:rsidRPr="0047339C">
        <w:rPr>
          <w:color w:val="000000" w:themeColor="text1"/>
        </w:rPr>
        <w:t xml:space="preserve">overnments </w:t>
      </w:r>
      <w:r w:rsidR="00863E11">
        <w:rPr>
          <w:color w:val="000000" w:themeColor="text1"/>
        </w:rPr>
        <w:t xml:space="preserve">have </w:t>
      </w:r>
      <w:r w:rsidR="005621B9">
        <w:rPr>
          <w:color w:val="000000" w:themeColor="text1"/>
        </w:rPr>
        <w:t>continu</w:t>
      </w:r>
      <w:r w:rsidR="00863E11">
        <w:rPr>
          <w:color w:val="000000" w:themeColor="text1"/>
        </w:rPr>
        <w:t>ed</w:t>
      </w:r>
      <w:r w:rsidR="005621B9">
        <w:rPr>
          <w:color w:val="000000" w:themeColor="text1"/>
        </w:rPr>
        <w:t xml:space="preserve"> to </w:t>
      </w:r>
      <w:r w:rsidR="000B244A" w:rsidRPr="0047339C">
        <w:rPr>
          <w:color w:val="000000" w:themeColor="text1"/>
        </w:rPr>
        <w:t>mak</w:t>
      </w:r>
      <w:r w:rsidR="005621B9">
        <w:rPr>
          <w:color w:val="000000" w:themeColor="text1"/>
        </w:rPr>
        <w:t>e</w:t>
      </w:r>
      <w:r w:rsidR="000B244A" w:rsidRPr="0047339C">
        <w:rPr>
          <w:color w:val="000000" w:themeColor="text1"/>
        </w:rPr>
        <w:t xml:space="preserve"> decisions that </w:t>
      </w:r>
      <w:r w:rsidR="000B244A">
        <w:rPr>
          <w:color w:val="000000" w:themeColor="text1"/>
        </w:rPr>
        <w:t xml:space="preserve">contradict their commitments in the Agreement, that </w:t>
      </w:r>
      <w:r w:rsidR="000B244A" w:rsidRPr="0047339C">
        <w:rPr>
          <w:color w:val="000000" w:themeColor="text1"/>
        </w:rPr>
        <w:t xml:space="preserve">do </w:t>
      </w:r>
      <w:r w:rsidR="000B244A">
        <w:rPr>
          <w:color w:val="000000" w:themeColor="text1"/>
        </w:rPr>
        <w:t xml:space="preserve">not reflect </w:t>
      </w:r>
      <w:r w:rsidR="000B244A" w:rsidRPr="0047339C">
        <w:rPr>
          <w:color w:val="000000" w:themeColor="text1"/>
        </w:rPr>
        <w:t xml:space="preserve">Aboriginal and Torres Strait Islander </w:t>
      </w:r>
      <w:r w:rsidR="000B244A">
        <w:rPr>
          <w:color w:val="000000" w:themeColor="text1"/>
        </w:rPr>
        <w:t xml:space="preserve">people’s priorities and </w:t>
      </w:r>
      <w:r w:rsidR="000B244A" w:rsidRPr="0047339C">
        <w:rPr>
          <w:color w:val="000000" w:themeColor="text1"/>
        </w:rPr>
        <w:t xml:space="preserve">perspectives </w:t>
      </w:r>
      <w:r w:rsidR="000B244A">
        <w:rPr>
          <w:color w:val="000000" w:themeColor="text1"/>
        </w:rPr>
        <w:t>and</w:t>
      </w:r>
      <w:r w:rsidR="000B244A" w:rsidRPr="0047339C">
        <w:rPr>
          <w:color w:val="000000" w:themeColor="text1"/>
        </w:rPr>
        <w:t xml:space="preserve"> that exacerbate, rather than remedy, disadvantage and discrimination</w:t>
      </w:r>
      <w:r w:rsidR="00F87A81">
        <w:rPr>
          <w:color w:val="000000" w:themeColor="text1"/>
        </w:rPr>
        <w:t>.</w:t>
      </w:r>
      <w:r w:rsidR="005621B9">
        <w:rPr>
          <w:color w:val="000000" w:themeColor="text1"/>
        </w:rPr>
        <w:t xml:space="preserve"> Examples of such decisions </w:t>
      </w:r>
      <w:r w:rsidR="00CC502D">
        <w:rPr>
          <w:color w:val="000000" w:themeColor="text1"/>
        </w:rPr>
        <w:t>are too easy to find.</w:t>
      </w:r>
      <w:r w:rsidR="00FD58AA">
        <w:rPr>
          <w:color w:val="000000" w:themeColor="text1"/>
        </w:rPr>
        <w:t xml:space="preserve"> </w:t>
      </w:r>
    </w:p>
    <w:p w14:paraId="21ED5EF6" w14:textId="1FF72B3E" w:rsidR="00F87A81" w:rsidRPr="00B97D2E" w:rsidRDefault="00F87A81" w:rsidP="00F87A81">
      <w:pPr>
        <w:pStyle w:val="ListBullet"/>
      </w:pPr>
      <w:r w:rsidRPr="00B97D2E">
        <w:t>The Queensland Government made changes to bail laws that will mean more Aboriginal and Torres Strait Islander young people are incarcerated for longer periods of time.</w:t>
      </w:r>
      <w:r w:rsidR="002B1C73">
        <w:t xml:space="preserve"> This is in the context of Queensland having one of </w:t>
      </w:r>
      <w:r w:rsidR="002B1C73" w:rsidRPr="009F31EE">
        <w:t xml:space="preserve">the </w:t>
      </w:r>
      <w:r w:rsidR="002B1C73">
        <w:t>highest</w:t>
      </w:r>
      <w:r w:rsidR="002B1C73" w:rsidRPr="009F31EE">
        <w:t xml:space="preserve"> </w:t>
      </w:r>
      <w:r w:rsidR="002B1C73">
        <w:t xml:space="preserve">jurisdictional </w:t>
      </w:r>
      <w:r w:rsidR="002B1C73" w:rsidRPr="009F31EE">
        <w:t>rate</w:t>
      </w:r>
      <w:r w:rsidR="002B1C73">
        <w:t>s</w:t>
      </w:r>
      <w:r w:rsidR="002B1C73" w:rsidRPr="009F31EE">
        <w:t xml:space="preserve"> of Aboriginal and Torres Strait Islander young people in detention on an average day</w:t>
      </w:r>
      <w:r w:rsidR="002B1C73">
        <w:t xml:space="preserve"> in 2021</w:t>
      </w:r>
      <w:r w:rsidR="00FD58AA">
        <w:noBreakHyphen/>
      </w:r>
      <w:r w:rsidR="002B1C73">
        <w:t>22 (40.9 per 10</w:t>
      </w:r>
      <w:r w:rsidR="006B31BB">
        <w:t>,</w:t>
      </w:r>
      <w:r w:rsidR="002B1C73">
        <w:t>000 young people aged 10</w:t>
      </w:r>
      <w:r w:rsidR="00FD58AA">
        <w:noBreakHyphen/>
      </w:r>
      <w:r w:rsidR="002B1C73">
        <w:t>17, compared to 22.3 per 10</w:t>
      </w:r>
      <w:r w:rsidR="006B31BB">
        <w:t>,</w:t>
      </w:r>
      <w:r w:rsidR="002B1C73">
        <w:t xml:space="preserve">000 nationally) </w:t>
      </w:r>
      <w:r w:rsidR="00DD0DC9" w:rsidRPr="5663E7EB">
        <w:rPr>
          <w:rFonts w:ascii="Arial" w:hAnsi="Arial" w:cs="Arial"/>
        </w:rPr>
        <w:t>(PC 2023a)</w:t>
      </w:r>
      <w:r w:rsidR="00B83810">
        <w:t>.</w:t>
      </w:r>
    </w:p>
    <w:p w14:paraId="2A60C2D5" w14:textId="78BD917E" w:rsidR="00F87A81" w:rsidRPr="00B97D2E" w:rsidRDefault="00F87A81" w:rsidP="00F87A81">
      <w:pPr>
        <w:pStyle w:val="ListBullet"/>
      </w:pPr>
      <w:r w:rsidRPr="00B97D2E">
        <w:t>IBAC (the independent broad</w:t>
      </w:r>
      <w:r w:rsidR="00FD58AA">
        <w:noBreakHyphen/>
      </w:r>
      <w:r w:rsidRPr="00B97D2E">
        <w:t>based anti</w:t>
      </w:r>
      <w:r w:rsidR="00FD58AA">
        <w:noBreakHyphen/>
      </w:r>
      <w:r w:rsidRPr="00B97D2E">
        <w:t>corruption commission) last year identified ‘concerning patterns in how Victoria Police handles the investigation of complaints made by Aboriginal people and serious incidents involving Aboriginal people … Victoria Police has considerable work to do to ensure that it investigates complaints and serious incidents involving Aboriginal people thoroughly and impartially’ (IBAC 2022, pp. 8, 80)</w:t>
      </w:r>
      <w:r w:rsidR="00B83810">
        <w:t>.</w:t>
      </w:r>
    </w:p>
    <w:p w14:paraId="5D1F3972" w14:textId="3752B504" w:rsidR="00F87A81" w:rsidRPr="00B97D2E" w:rsidRDefault="00F87A81" w:rsidP="00F87A81">
      <w:pPr>
        <w:pStyle w:val="ListBullet"/>
      </w:pPr>
      <w:r w:rsidRPr="00B97D2E">
        <w:t xml:space="preserve">The UN Committee on Elimination of Racial Discrimination expressed concern that Western Australia did not adequately consult Aboriginal people before adopting its </w:t>
      </w:r>
      <w:r w:rsidRPr="00B97D2E">
        <w:rPr>
          <w:i/>
          <w:iCs/>
        </w:rPr>
        <w:t>Aboriginal Cultural Heritage Act 2021</w:t>
      </w:r>
      <w:r w:rsidRPr="00B97D2E">
        <w:t xml:space="preserve">. The committee noted ‘the discretionary power attributed to the Minister of Aboriginal Affairs and the absence of effective remedies and legal redress for Aboriginal peoples to challenge his decisions will maintain the structural racism of the cultural heritage legal and policy scheme, which has already led to the destruction of Aboriginal cultural heritage in Western Australia’ </w:t>
      </w:r>
      <w:r w:rsidRPr="00B97D2E">
        <w:rPr>
          <w:rFonts w:ascii="Arial" w:hAnsi="Arial" w:cs="Arial"/>
          <w:szCs w:val="24"/>
        </w:rPr>
        <w:t>(Bossuyt 2021)</w:t>
      </w:r>
      <w:r w:rsidRPr="00B97D2E">
        <w:t>.</w:t>
      </w:r>
    </w:p>
    <w:p w14:paraId="11EBC2FA" w14:textId="02753EE6" w:rsidR="00F87A81" w:rsidRPr="003C6D34" w:rsidRDefault="00F87A81" w:rsidP="00F87A81">
      <w:pPr>
        <w:pStyle w:val="ListBullet"/>
      </w:pPr>
      <w:r w:rsidRPr="00B97D2E">
        <w:t xml:space="preserve">In July 2022, the </w:t>
      </w:r>
      <w:r w:rsidRPr="00B97D2E">
        <w:rPr>
          <w:rStyle w:val="BodyTextChar"/>
        </w:rPr>
        <w:t>Northern Territory</w:t>
      </w:r>
      <w:r w:rsidRPr="003C6D34">
        <w:t xml:space="preserve"> Government changed the alcohol restrictions that applied </w:t>
      </w:r>
      <w:r>
        <w:t>in</w:t>
      </w:r>
      <w:r w:rsidRPr="003C6D34">
        <w:t xml:space="preserve"> over 400</w:t>
      </w:r>
      <w:r w:rsidR="000C3FDD">
        <w:t> </w:t>
      </w:r>
      <w:r w:rsidRPr="003C6D34">
        <w:t xml:space="preserve">‘alcohol protected areas’ (mainly remote Aboriginal communities) without </w:t>
      </w:r>
      <w:r w:rsidRPr="006B139A">
        <w:t>adequate consultation with Aboriginal communities and against the advice of Aboriginal community</w:t>
      </w:r>
      <w:r w:rsidR="0018300C">
        <w:noBreakHyphen/>
      </w:r>
      <w:r w:rsidRPr="006B139A">
        <w:t xml:space="preserve">controlled organisations </w:t>
      </w:r>
      <w:r w:rsidR="00291F94">
        <w:t>(ACCOs)</w:t>
      </w:r>
      <w:r w:rsidRPr="006B139A">
        <w:t xml:space="preserve"> in the </w:t>
      </w:r>
      <w:r>
        <w:t>Northern Territory</w:t>
      </w:r>
      <w:r w:rsidRPr="006B139A">
        <w:t xml:space="preserve"> (NTCOSS 2022). </w:t>
      </w:r>
    </w:p>
    <w:p w14:paraId="1CA3AE44" w14:textId="593AFF93" w:rsidR="00F87A81" w:rsidRPr="00FE53D6" w:rsidRDefault="00F87A81" w:rsidP="00F87A81">
      <w:pPr>
        <w:pStyle w:val="ListBullet"/>
        <w:rPr>
          <w:spacing w:val="-2"/>
        </w:rPr>
      </w:pPr>
      <w:r w:rsidRPr="00FE53D6">
        <w:rPr>
          <w:spacing w:val="-2"/>
        </w:rPr>
        <w:t>A Parliamentary Inquiry into Aboriginal cultural fishing in New South Wales found that NSW fisheries officers have a culture of targeting Aboriginal fishers for enforcement action due to a poor understanding of what constitutes cultural fishing. Aboriginal fishers have felt scared and harassed after being racially profiled, targeted and subject to over</w:t>
      </w:r>
      <w:r w:rsidR="00FD58AA" w:rsidRPr="00FE53D6">
        <w:rPr>
          <w:spacing w:val="-2"/>
        </w:rPr>
        <w:noBreakHyphen/>
      </w:r>
      <w:r w:rsidRPr="00FE53D6">
        <w:rPr>
          <w:spacing w:val="-2"/>
        </w:rPr>
        <w:t xml:space="preserve">surveillance by fisheries officers </w:t>
      </w:r>
      <w:r w:rsidR="00F969FC" w:rsidRPr="00FE53D6">
        <w:rPr>
          <w:rFonts w:cs="Arial"/>
          <w:spacing w:val="-2"/>
          <w:szCs w:val="24"/>
        </w:rPr>
        <w:t>(NSW Legislative Council 2022, p. 19)</w:t>
      </w:r>
      <w:r w:rsidRPr="00FE53D6">
        <w:rPr>
          <w:spacing w:val="-2"/>
        </w:rPr>
        <w:t xml:space="preserve">. </w:t>
      </w:r>
    </w:p>
    <w:p w14:paraId="143A76D4" w14:textId="0F695F4D" w:rsidR="00F87A81" w:rsidRPr="00CA4FF9" w:rsidRDefault="00C93D3C" w:rsidP="00C93D3C">
      <w:pPr>
        <w:pStyle w:val="ListBullet"/>
      </w:pPr>
      <w:r w:rsidRPr="00B97D2E">
        <w:lastRenderedPageBreak/>
        <w:t>In September 2022, the UN Human Rights Committee found that Australia’s failure to adequately protect Torres Strait Islanders against adverse impacts of climate change violated their rights to enjoy their culture and be free from arbitrary interferences with their private life, family and home</w:t>
      </w:r>
      <w:r w:rsidR="00C845F5">
        <w:t xml:space="preserve"> (information paper 4)</w:t>
      </w:r>
      <w:r w:rsidRPr="00B97D2E">
        <w:t>.</w:t>
      </w:r>
    </w:p>
    <w:p w14:paraId="56FB58D5" w14:textId="70614DF7" w:rsidR="00FA54B3" w:rsidRPr="00D832AF" w:rsidRDefault="0009194F" w:rsidP="00FA54B3">
      <w:pPr>
        <w:pStyle w:val="BodyText"/>
        <w:rPr>
          <w:spacing w:val="-4"/>
        </w:rPr>
      </w:pPr>
      <w:r w:rsidRPr="00D832AF">
        <w:rPr>
          <w:spacing w:val="-4"/>
        </w:rPr>
        <w:t xml:space="preserve">The shortcomings of current accountability mechanisms mean that these types of decisions could continue to go unchecked – changes are needed to strengthen governments’ accountability to Aboriginal and Torres Strait Islander people and to drive more meaningful, effective and widespread action across government organisations. </w:t>
      </w:r>
    </w:p>
    <w:p w14:paraId="032BF1E8" w14:textId="33CED3EB" w:rsidR="001F1FB9" w:rsidRDefault="00053637" w:rsidP="00C12CF3">
      <w:pPr>
        <w:pStyle w:val="Heading2-nonumber"/>
        <w:ind w:left="720" w:hanging="720"/>
      </w:pPr>
      <w:bookmarkStart w:id="8" w:name="_Toc140504487"/>
      <w:r>
        <w:t>2</w:t>
      </w:r>
      <w:r>
        <w:tab/>
        <w:t xml:space="preserve">Changes are needed to increase understanding of, and </w:t>
      </w:r>
      <w:r w:rsidR="001F1FB9">
        <w:t>accountability</w:t>
      </w:r>
      <w:r>
        <w:t xml:space="preserve"> for delivering</w:t>
      </w:r>
      <w:r w:rsidR="00D12BAC">
        <w:t>, agreed</w:t>
      </w:r>
      <w:r>
        <w:t xml:space="preserve"> </w:t>
      </w:r>
      <w:r w:rsidR="002D363F">
        <w:t>reforms</w:t>
      </w:r>
      <w:bookmarkEnd w:id="8"/>
      <w:r w:rsidR="002D363F">
        <w:t xml:space="preserve"> </w:t>
      </w:r>
    </w:p>
    <w:p w14:paraId="29C78062" w14:textId="6A5BD855" w:rsidR="003371E5" w:rsidRPr="003C2E77" w:rsidRDefault="003371E5" w:rsidP="003371E5">
      <w:pPr>
        <w:pStyle w:val="Heading3"/>
      </w:pPr>
      <w:r>
        <w:t xml:space="preserve">The </w:t>
      </w:r>
      <w:r w:rsidR="004E26B3">
        <w:t>Priority Reform</w:t>
      </w:r>
      <w:r>
        <w:t>s need to progress together</w:t>
      </w:r>
    </w:p>
    <w:p w14:paraId="2893D971" w14:textId="4603C5FC" w:rsidR="001F3CBC" w:rsidRDefault="00F751A0" w:rsidP="003371E5">
      <w:pPr>
        <w:pStyle w:val="BodyText"/>
      </w:pPr>
      <w:r>
        <w:t xml:space="preserve">Understanding why governments continue to act in ways that contradict the Agreement is necessary in order to put an end to </w:t>
      </w:r>
      <w:r w:rsidR="00D5356E">
        <w:t>the</w:t>
      </w:r>
      <w:r>
        <w:t xml:space="preserve"> behaviour. </w:t>
      </w:r>
      <w:r w:rsidR="00E353AC">
        <w:t xml:space="preserve">An underlying cause </w:t>
      </w:r>
      <w:r>
        <w:t>appear</w:t>
      </w:r>
      <w:r w:rsidR="00E353AC">
        <w:t>s to be</w:t>
      </w:r>
      <w:r>
        <w:t xml:space="preserve"> </w:t>
      </w:r>
      <w:r w:rsidR="007D2004">
        <w:t xml:space="preserve">that there is </w:t>
      </w:r>
      <w:r w:rsidR="00E353AC">
        <w:t xml:space="preserve">not </w:t>
      </w:r>
      <w:r w:rsidR="007D2004">
        <w:t>widespread understanding of, and sufficient attention given to</w:t>
      </w:r>
      <w:r w:rsidR="005A4EA6">
        <w:t>,</w:t>
      </w:r>
      <w:r w:rsidR="001F3CBC">
        <w:t xml:space="preserve"> two key points.</w:t>
      </w:r>
    </w:p>
    <w:p w14:paraId="22E71EF3" w14:textId="1ABBF175" w:rsidR="003A7C9F" w:rsidRPr="00237292" w:rsidRDefault="001F3CBC" w:rsidP="003A7C9F">
      <w:pPr>
        <w:pStyle w:val="BodyText"/>
        <w:keepNext/>
      </w:pPr>
      <w:r>
        <w:t>First,</w:t>
      </w:r>
      <w:r w:rsidR="00CC1CE9" w:rsidRPr="00CC1CE9">
        <w:t xml:space="preserve"> </w:t>
      </w:r>
      <w:r w:rsidR="003A7C9F">
        <w:t>the</w:t>
      </w:r>
      <w:r w:rsidR="00CF72A7">
        <w:t xml:space="preserve">re is not a </w:t>
      </w:r>
      <w:r w:rsidR="0047622C">
        <w:t xml:space="preserve">shared </w:t>
      </w:r>
      <w:r w:rsidR="00CF72A7">
        <w:t>vision of what change should look like and the actions required to progress to that point</w:t>
      </w:r>
      <w:r w:rsidR="0047622C">
        <w:t xml:space="preserve">. </w:t>
      </w:r>
      <w:r w:rsidR="00460517">
        <w:t xml:space="preserve">As noted in information paper 6, the </w:t>
      </w:r>
      <w:r w:rsidR="003A7C9F">
        <w:t xml:space="preserve">Agreement does not explicitly articulate a conceptual logic </w:t>
      </w:r>
      <w:r w:rsidR="003A7C9F" w:rsidRPr="00237292">
        <w:t>linking the</w:t>
      </w:r>
      <w:r w:rsidR="00EC5D00">
        <w:t xml:space="preserve"> </w:t>
      </w:r>
      <w:r w:rsidR="00EC5D00" w:rsidRPr="00F86A7F">
        <w:t>Priority Reforms</w:t>
      </w:r>
      <w:r w:rsidR="003A7C9F" w:rsidRPr="00237292">
        <w:t xml:space="preserve"> that would enable a shared understanding of the intended change</w:t>
      </w:r>
      <w:r w:rsidR="00CD791F">
        <w:t>s</w:t>
      </w:r>
      <w:r w:rsidR="003A7C9F">
        <w:t xml:space="preserve">. </w:t>
      </w:r>
      <w:r w:rsidR="003E76D7">
        <w:t>I</w:t>
      </w:r>
      <w:r w:rsidR="003A7C9F">
        <w:t xml:space="preserve">n particular, the Agreement does not describe how the </w:t>
      </w:r>
      <w:r w:rsidR="003A7C9F" w:rsidRPr="00F86A7F">
        <w:t>Priority Reforms</w:t>
      </w:r>
      <w:r w:rsidR="003A7C9F">
        <w:t xml:space="preserve"> interact or how they will contribute to improved socio</w:t>
      </w:r>
      <w:r w:rsidR="003A7C9F">
        <w:noBreakHyphen/>
        <w:t>economic outcomes.</w:t>
      </w:r>
      <w:r w:rsidR="0001073E">
        <w:t xml:space="preserve"> </w:t>
      </w:r>
      <w:r w:rsidR="003E76D7">
        <w:t>And i</w:t>
      </w:r>
      <w:r w:rsidR="00CD791F">
        <w:t xml:space="preserve">n </w:t>
      </w:r>
      <w:r w:rsidR="0001073E">
        <w:t>the main, governments have not demonstrated that they have grasped the depth and magnitude of change and self</w:t>
      </w:r>
      <w:r w:rsidR="0001073E">
        <w:noBreakHyphen/>
        <w:t xml:space="preserve">reflection that </w:t>
      </w:r>
      <w:r w:rsidR="00CD791F">
        <w:t xml:space="preserve">the </w:t>
      </w:r>
      <w:r w:rsidR="0001073E">
        <w:t>Priority Reform</w:t>
      </w:r>
      <w:r w:rsidR="00CD791F">
        <w:t>s</w:t>
      </w:r>
      <w:r w:rsidR="0001073E">
        <w:t xml:space="preserve"> require of them.</w:t>
      </w:r>
    </w:p>
    <w:p w14:paraId="7BC2F989" w14:textId="42407FB9" w:rsidR="00946FC9" w:rsidRDefault="001F3CBC" w:rsidP="003371E5">
      <w:pPr>
        <w:pStyle w:val="BodyText"/>
      </w:pPr>
      <w:r>
        <w:t>Second</w:t>
      </w:r>
      <w:r w:rsidR="007D2004">
        <w:t>, the</w:t>
      </w:r>
      <w:r w:rsidR="00460517">
        <w:t>re is little appreciation of the</w:t>
      </w:r>
      <w:r w:rsidR="007D2004">
        <w:t xml:space="preserve"> </w:t>
      </w:r>
      <w:r w:rsidR="003371E5">
        <w:t>important connections between each of the elements of the Agreement.</w:t>
      </w:r>
      <w:r w:rsidR="00FD58AA">
        <w:t xml:space="preserve"> </w:t>
      </w:r>
      <w:r w:rsidR="003371E5">
        <w:t xml:space="preserve">Each </w:t>
      </w:r>
      <w:r w:rsidR="004E26B3">
        <w:t>Priority Reform</w:t>
      </w:r>
      <w:r w:rsidR="003371E5">
        <w:t xml:space="preserve"> supports, and is supported by, the other </w:t>
      </w:r>
      <w:r w:rsidR="004E26B3">
        <w:t>Priority Reform</w:t>
      </w:r>
      <w:r w:rsidR="003371E5">
        <w:t>s, with the ultimate aim of accelerating improvements in the lives of Aboriginal and Torres Strait Islander people (</w:t>
      </w:r>
      <w:r w:rsidR="003371E5" w:rsidRPr="006444F4">
        <w:t>figure</w:t>
      </w:r>
      <w:r w:rsidR="00FD58AA">
        <w:t> </w:t>
      </w:r>
      <w:r w:rsidR="006444F4" w:rsidRPr="006444F4">
        <w:t>1</w:t>
      </w:r>
      <w:r w:rsidR="003371E5" w:rsidRPr="006444F4">
        <w:t>).</w:t>
      </w:r>
      <w:r w:rsidR="003371E5">
        <w:t xml:space="preserve"> But this interconnection </w:t>
      </w:r>
      <w:r w:rsidR="00946FC9">
        <w:t xml:space="preserve">is not explicitly recognised in the Agreement. </w:t>
      </w:r>
    </w:p>
    <w:p w14:paraId="0B286527" w14:textId="77777777" w:rsidR="00B1156D" w:rsidRDefault="00B1156D" w:rsidP="00B1156D">
      <w:pPr>
        <w:pStyle w:val="BodyText"/>
      </w:pPr>
      <w:r>
        <w:t>Interconnection adds difficulty and complexity to the reform task, and means that slow progress towards one of the Priority Reforms can stifle progress towards the other Priority Reforms.</w:t>
      </w:r>
      <w:r w:rsidRPr="00011D55">
        <w:t xml:space="preserve"> </w:t>
      </w:r>
      <w:r>
        <w:t>In particular, Priority Reform 3 is more than a complement for the other Priority Reforms, it is a critical prerequisite.</w:t>
      </w:r>
    </w:p>
    <w:p w14:paraId="27BD3EAB" w14:textId="42409E74" w:rsidR="00B1156D" w:rsidRDefault="00B1156D" w:rsidP="00B1156D">
      <w:pPr>
        <w:pStyle w:val="BodyText"/>
      </w:pPr>
      <w:r>
        <w:t>Interdependencies can also impede progress towards the outcomes envisaged in the Agreement. For example, in drawing attention to decline in outcomes for school readiness, adult incarceration, suicide, and children in out</w:t>
      </w:r>
      <w:r w:rsidR="00FD58AA">
        <w:noBreakHyphen/>
      </w:r>
      <w:r>
        <w:t>of</w:t>
      </w:r>
      <w:r w:rsidR="00FD58AA">
        <w:noBreakHyphen/>
      </w:r>
      <w:r>
        <w:t>home care since the signing of the Agreement, the Close the Gap campaign pointed out that ‘a decline across any target area will only make the work to improving all outcomes more difficult’ (sub. 17, p. 1).</w:t>
      </w:r>
      <w:r w:rsidRPr="007E4280">
        <w:t xml:space="preserve"> </w:t>
      </w:r>
      <w:r>
        <w:t>The interconnection between the Priority Reforms can also make it much harder to hold any person or organisation accountable for progress on any particular reform element.</w:t>
      </w:r>
    </w:p>
    <w:p w14:paraId="21308A61" w14:textId="32C37A38" w:rsidR="003371E5" w:rsidRDefault="003371E5" w:rsidP="003371E5">
      <w:pPr>
        <w:pStyle w:val="FigureTableHeading"/>
      </w:pPr>
      <w:r>
        <w:lastRenderedPageBreak/>
        <w:t>Figure</w:t>
      </w:r>
      <w:r w:rsidR="00FD58AA">
        <w:t> </w:t>
      </w:r>
      <w:r w:rsidR="006444F4">
        <w:t>1</w:t>
      </w:r>
      <w:r>
        <w:rPr>
          <w:noProof/>
        </w:rPr>
        <w:t xml:space="preserve"> </w:t>
      </w:r>
      <w:r>
        <w:t xml:space="preserve">– The </w:t>
      </w:r>
      <w:r w:rsidR="004E26B3">
        <w:t>Priority Reform</w:t>
      </w:r>
      <w:r>
        <w:t xml:space="preserve">s are closely interconnected </w:t>
      </w:r>
    </w:p>
    <w:p w14:paraId="5E397F88" w14:textId="323741E8" w:rsidR="003371E5" w:rsidRPr="0088207C" w:rsidRDefault="003065A6" w:rsidP="00492191">
      <w:pPr>
        <w:pStyle w:val="FigureTableHeading"/>
        <w:keepNext w:val="0"/>
        <w:jc w:val="center"/>
        <w:rPr>
          <w:rStyle w:val="BodyTextChar"/>
        </w:rPr>
      </w:pPr>
      <w:r>
        <w:rPr>
          <w:rStyle w:val="BodyTextChar"/>
          <w:noProof/>
        </w:rPr>
        <w:drawing>
          <wp:inline distT="0" distB="0" distL="0" distR="0" wp14:anchorId="4B409EBE" wp14:editId="1BD526E1">
            <wp:extent cx="6102350" cy="7059930"/>
            <wp:effectExtent l="0" t="0" r="0" b="7620"/>
            <wp:docPr id="1417729502" name="Picture 1417729502" descr="This figure shows that each Priority Reform is link to every other Priority Reform.&#10;In a clockwise direction, starting from the top: &#10;Priority Reform 1&#10;• Full and genuine partnerships increase trust between partners, smoothing the path for other work.&#10;• Stronger partners can share decision making authority and data, &#10;and better reflect the experiences and priorities of Aboriginal and Torres Strait Islander people (including ACCOs).&#10;Priority Reform 3&#10;Identifying and eliminating racism, embedding meaningful cultural safety, improving engagement practices and transparency in funding allocations within government organisations will make them more open to shared decision-making, shared access to data, and full and genuine partnerships&#10;Priority Reform 4&#10;• Transformed organisations will collect and share more meaningful data to be used in making shared decisions on policy.&#10;• As ACCOs get more access to data and information, this will inform their service delivery and assist them in developing their own targets and meaningful measures of success.&#10;Priority Reform 2&#10;• As governments work with and recognise the value of ACCOs, they can relinquish more control, which further supports government transformation and strengthens partnerships.&#10;• A strengthened ACCO sector will make more decisions that better meet their clients’ needs (as opposed to meeting governments’ need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729502" name="Picture 1417729502" descr="This figure shows that each Priority Reform is link to every other Priority Reform.&#10;In a clockwise direction, starting from the top: &#10;Priority Reform 1&#10;• Full and genuine partnerships increase trust between partners, smoothing the path for other work.&#10;• Stronger partners can share decision making authority and data, &#10;and better reflect the experiences and priorities of Aboriginal and Torres Strait Islander people (including ACCOs).&#10;Priority Reform 3&#10;Identifying and eliminating racism, embedding meaningful cultural safety, improving engagement practices and transparency in funding allocations within government organisations will make them more open to shared decision-making, shared access to data, and full and genuine partnerships&#10;Priority Reform 4&#10;• Transformed organisations will collect and share more meaningful data to be used in making shared decisions on policy.&#10;• As ACCOs get more access to data and information, this will inform their service delivery and assist them in developing their own targets and meaningful measures of success.&#10;Priority Reform 2&#10;• As governments work with and recognise the value of ACCOs, they can relinquish more control, which further supports government transformation and strengthens partnerships.&#10;• A strengthened ACCO sector will make more decisions that better meet their clients’ needs (as opposed to meeting governments’ needs).&#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02350" cy="7059930"/>
                    </a:xfrm>
                    <a:prstGeom prst="rect">
                      <a:avLst/>
                    </a:prstGeom>
                    <a:noFill/>
                  </pic:spPr>
                </pic:pic>
              </a:graphicData>
            </a:graphic>
          </wp:inline>
        </w:drawing>
      </w:r>
    </w:p>
    <w:p w14:paraId="28499F1B" w14:textId="3F3C1454" w:rsidR="00D164F8" w:rsidRDefault="008F6445" w:rsidP="00BC600B">
      <w:pPr>
        <w:pStyle w:val="Heading3"/>
      </w:pPr>
      <w:r>
        <w:lastRenderedPageBreak/>
        <w:t>E</w:t>
      </w:r>
      <w:r w:rsidR="00D164F8" w:rsidRPr="00F566D7">
        <w:t>xisting accountability mechanisms</w:t>
      </w:r>
      <w:r>
        <w:t xml:space="preserve"> lack bite</w:t>
      </w:r>
    </w:p>
    <w:p w14:paraId="7A5BBCE7" w14:textId="468036A7" w:rsidR="00D164F8" w:rsidRDefault="00D164F8" w:rsidP="00BC600B">
      <w:pPr>
        <w:pStyle w:val="BodyText"/>
        <w:keepNext/>
        <w:keepLines/>
      </w:pPr>
      <w:r>
        <w:t>The Agreement includes a suite of accountability mechanisms. These are similar to the accountability mechanisms that are used in other national agreements, and include public reporting and regular reviews</w:t>
      </w:r>
      <w:r w:rsidR="00EA6789">
        <w:t>.</w:t>
      </w:r>
      <w:r>
        <w:t xml:space="preserve"> </w:t>
      </w:r>
      <w:r w:rsidR="00EA6789">
        <w:t xml:space="preserve">There is also provision for the creation of an </w:t>
      </w:r>
      <w:r w:rsidR="00EA6789" w:rsidRPr="00C64F55">
        <w:t>independent mechanism</w:t>
      </w:r>
      <w:r w:rsidR="00EA6789">
        <w:t xml:space="preserve"> to</w:t>
      </w:r>
      <w:r w:rsidR="00EA6789" w:rsidRPr="00BA298E">
        <w:t xml:space="preserve"> support, monitor, and report on the transformation of mainstream agencies and institutions </w:t>
      </w:r>
      <w:r>
        <w:t>(</w:t>
      </w:r>
      <w:r w:rsidRPr="00AC3DF4">
        <w:t>box </w:t>
      </w:r>
      <w:r w:rsidR="007B062D">
        <w:t>1</w:t>
      </w:r>
      <w:r w:rsidRPr="00AC3DF4">
        <w:t>).</w:t>
      </w:r>
      <w:r>
        <w:t xml:space="preserve"> Each of these mechanisms plays a role and is important for transparency and providing information to Aboriginal and Torres Strait Islander people and communities, and to the public more broadly. </w:t>
      </w:r>
    </w:p>
    <w:p w14:paraId="0F09B7AF" w14:textId="56C3EF99" w:rsidR="0035097C" w:rsidRPr="00F82BD9" w:rsidRDefault="0035097C">
      <w:pPr>
        <w:pStyle w:val="NoSpacing"/>
      </w:pPr>
    </w:p>
    <w:tbl>
      <w:tblPr>
        <w:tblStyle w:val="Boxtable"/>
        <w:tblW w:w="5010" w:type="pct"/>
        <w:tblLook w:val="04A0" w:firstRow="1" w:lastRow="0" w:firstColumn="1" w:lastColumn="0" w:noHBand="0" w:noVBand="1"/>
      </w:tblPr>
      <w:tblGrid>
        <w:gridCol w:w="906"/>
        <w:gridCol w:w="8751"/>
      </w:tblGrid>
      <w:tr w:rsidR="004E76ED" w14:paraId="464727ED" w14:textId="77777777" w:rsidTr="00037D7B">
        <w:trPr>
          <w:tblHeader/>
        </w:trPr>
        <w:tc>
          <w:tcPr>
            <w:tcW w:w="906" w:type="dxa"/>
            <w:shd w:val="clear" w:color="auto" w:fill="FBF3EC"/>
            <w:tcMar>
              <w:top w:w="170" w:type="dxa"/>
              <w:left w:w="170" w:type="dxa"/>
              <w:bottom w:w="113" w:type="dxa"/>
              <w:right w:w="170" w:type="dxa"/>
            </w:tcMar>
            <w:hideMark/>
          </w:tcPr>
          <w:p w14:paraId="0721917B" w14:textId="40EB2A71" w:rsidR="004E76ED" w:rsidRDefault="00D51A8A" w:rsidP="00D51A8A">
            <w:pPr>
              <w:pStyle w:val="BoxHeading1"/>
              <w:spacing w:before="0"/>
            </w:pPr>
            <w:r w:rsidRPr="00A031AA">
              <w:rPr>
                <w:b/>
                <w:bCs/>
                <w:noProof/>
              </w:rPr>
              <w:drawing>
                <wp:inline distT="0" distB="0" distL="0" distR="0" wp14:anchorId="18C803B3" wp14:editId="47181B1D">
                  <wp:extent cx="360000" cy="424800"/>
                  <wp:effectExtent l="0" t="0" r="0" b="0"/>
                  <wp:docPr id="1293616939" name="Picture 12936169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16939" name="Picture 129361693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51" w:type="dxa"/>
            <w:shd w:val="clear" w:color="auto" w:fill="FBF3EC"/>
          </w:tcPr>
          <w:p w14:paraId="02D87D2F" w14:textId="3AE510A6" w:rsidR="004E76ED" w:rsidRDefault="004E76ED">
            <w:pPr>
              <w:pStyle w:val="BoxHeading1"/>
            </w:pPr>
            <w:r>
              <w:t xml:space="preserve">Box </w:t>
            </w:r>
            <w:r>
              <w:rPr>
                <w:noProof/>
              </w:rPr>
              <w:t>1</w:t>
            </w:r>
            <w:r>
              <w:t xml:space="preserve"> –</w:t>
            </w:r>
            <w:r w:rsidRPr="00CC2083">
              <w:t xml:space="preserve"> Closing the Gap accountability mechanisms</w:t>
            </w:r>
          </w:p>
        </w:tc>
      </w:tr>
      <w:tr w:rsidR="0035097C" w14:paraId="6D6E5C49" w14:textId="77777777" w:rsidTr="0089538E">
        <w:tc>
          <w:tcPr>
            <w:tcW w:w="9657" w:type="dxa"/>
            <w:gridSpan w:val="2"/>
            <w:shd w:val="clear" w:color="auto" w:fill="FBF3EC"/>
            <w:tcMar>
              <w:top w:w="28" w:type="dxa"/>
              <w:left w:w="170" w:type="dxa"/>
              <w:bottom w:w="170" w:type="dxa"/>
              <w:right w:w="170" w:type="dxa"/>
            </w:tcMar>
            <w:hideMark/>
          </w:tcPr>
          <w:p w14:paraId="1D2BA1EE" w14:textId="77777777" w:rsidR="004E76ED" w:rsidRDefault="004E76ED" w:rsidP="004E76ED">
            <w:pPr>
              <w:pStyle w:val="BodyText"/>
            </w:pPr>
            <w:r>
              <w:t xml:space="preserve">Section 9 of the Agreement is titled ‘Being publicly accountable for our actions’. It contains six accountability mechanisms. </w:t>
            </w:r>
          </w:p>
          <w:p w14:paraId="2DEFE14F" w14:textId="77777777" w:rsidR="004E76ED" w:rsidRDefault="004E76ED" w:rsidP="004E76ED">
            <w:pPr>
              <w:pStyle w:val="ListNumber"/>
              <w:numPr>
                <w:ilvl w:val="0"/>
                <w:numId w:val="20"/>
              </w:numPr>
            </w:pPr>
            <w:r>
              <w:t xml:space="preserve">A publicly accessible </w:t>
            </w:r>
            <w:r w:rsidRPr="006D704F">
              <w:rPr>
                <w:b/>
              </w:rPr>
              <w:t>dashboard</w:t>
            </w:r>
            <w:r w:rsidRPr="006D704F">
              <w:rPr>
                <w:bCs/>
              </w:rPr>
              <w:t xml:space="preserve">, prepared by the Commission, </w:t>
            </w:r>
            <w:r>
              <w:t>to provide up</w:t>
            </w:r>
            <w:r>
              <w:noBreakHyphen/>
              <w:t>to</w:t>
            </w:r>
            <w:r>
              <w:noBreakHyphen/>
              <w:t xml:space="preserve">date information on the framework’s </w:t>
            </w:r>
            <w:r w:rsidRPr="00D47EC0">
              <w:rPr>
                <w:b/>
              </w:rPr>
              <w:t>targets</w:t>
            </w:r>
            <w:r>
              <w:t xml:space="preserve"> and </w:t>
            </w:r>
            <w:r w:rsidRPr="00D47EC0">
              <w:rPr>
                <w:b/>
              </w:rPr>
              <w:t>indicators</w:t>
            </w:r>
            <w:r>
              <w:t xml:space="preserve"> by drawing from a single information repository that compiles data from existing data sources. The dashboard is complemented by an </w:t>
            </w:r>
            <w:r>
              <w:rPr>
                <w:b/>
              </w:rPr>
              <w:t>an</w:t>
            </w:r>
            <w:r w:rsidRPr="006D704F">
              <w:rPr>
                <w:b/>
              </w:rPr>
              <w:t xml:space="preserve">nual </w:t>
            </w:r>
            <w:r>
              <w:rPr>
                <w:b/>
              </w:rPr>
              <w:t>d</w:t>
            </w:r>
            <w:r w:rsidRPr="006D704F">
              <w:rPr>
                <w:b/>
              </w:rPr>
              <w:t xml:space="preserve">ata </w:t>
            </w:r>
            <w:r>
              <w:rPr>
                <w:b/>
              </w:rPr>
              <w:t>c</w:t>
            </w:r>
            <w:r w:rsidRPr="006D704F">
              <w:rPr>
                <w:b/>
              </w:rPr>
              <w:t xml:space="preserve">ompilation </w:t>
            </w:r>
            <w:r>
              <w:rPr>
                <w:b/>
              </w:rPr>
              <w:t>r</w:t>
            </w:r>
            <w:r w:rsidRPr="006D704F">
              <w:rPr>
                <w:b/>
              </w:rPr>
              <w:t xml:space="preserve">eport </w:t>
            </w:r>
            <w:r>
              <w:t>that provides a point</w:t>
            </w:r>
            <w:r>
              <w:noBreakHyphen/>
              <w:t>in</w:t>
            </w:r>
            <w:r>
              <w:noBreakHyphen/>
              <w:t>time snapshot of the dashboard.</w:t>
            </w:r>
          </w:p>
          <w:p w14:paraId="66A34FDD" w14:textId="77777777" w:rsidR="004E76ED" w:rsidRDefault="004E76ED" w:rsidP="004E76ED">
            <w:pPr>
              <w:pStyle w:val="ListNumber"/>
              <w:numPr>
                <w:ilvl w:val="0"/>
                <w:numId w:val="20"/>
              </w:numPr>
            </w:pPr>
            <w:r>
              <w:rPr>
                <w:b/>
                <w:bCs/>
              </w:rPr>
              <w:t>A</w:t>
            </w:r>
            <w:r w:rsidRPr="00497FCF">
              <w:rPr>
                <w:b/>
                <w:bCs/>
              </w:rPr>
              <w:t>nnual</w:t>
            </w:r>
            <w:r w:rsidRPr="00497FCF">
              <w:rPr>
                <w:b/>
              </w:rPr>
              <w:t xml:space="preserve"> reports</w:t>
            </w:r>
            <w:r>
              <w:t xml:space="preserve"> published by each party to the agreement that provide information on their individual progress against the performance frameworks and their implementation plans.</w:t>
            </w:r>
          </w:p>
          <w:p w14:paraId="223BCC05" w14:textId="77777777" w:rsidR="004E76ED" w:rsidRDefault="004E76ED" w:rsidP="004E76ED">
            <w:pPr>
              <w:pStyle w:val="ListNumber"/>
              <w:numPr>
                <w:ilvl w:val="0"/>
                <w:numId w:val="20"/>
              </w:numPr>
            </w:pPr>
            <w:r w:rsidRPr="00AA3E90">
              <w:t>An</w:t>
            </w:r>
            <w:r>
              <w:rPr>
                <w:b/>
                <w:bCs/>
              </w:rPr>
              <w:t xml:space="preserve"> i</w:t>
            </w:r>
            <w:r w:rsidRPr="00BE3547">
              <w:rPr>
                <w:b/>
                <w:bCs/>
              </w:rPr>
              <w:t>ndependent review</w:t>
            </w:r>
            <w:r>
              <w:rPr>
                <w:b/>
                <w:bCs/>
              </w:rPr>
              <w:t xml:space="preserve"> </w:t>
            </w:r>
            <w:r>
              <w:t xml:space="preserve">of progress </w:t>
            </w:r>
            <w:r w:rsidRPr="00AA3E90">
              <w:t>undertaken by the Commission every three years.</w:t>
            </w:r>
            <w:r>
              <w:t xml:space="preserve"> </w:t>
            </w:r>
          </w:p>
          <w:p w14:paraId="6B0EA385" w14:textId="77777777" w:rsidR="004E76ED" w:rsidRDefault="004E76ED" w:rsidP="004E76ED">
            <w:pPr>
              <w:pStyle w:val="ListNumber"/>
              <w:numPr>
                <w:ilvl w:val="0"/>
                <w:numId w:val="20"/>
              </w:numPr>
            </w:pPr>
            <w:r>
              <w:t xml:space="preserve">An </w:t>
            </w:r>
            <w:r w:rsidRPr="00AA3E90">
              <w:rPr>
                <w:b/>
                <w:bCs/>
              </w:rPr>
              <w:t>Aboriginal and Torres Strait Islander led review</w:t>
            </w:r>
            <w:r>
              <w:t xml:space="preserve">, to be </w:t>
            </w:r>
            <w:r w:rsidRPr="000C12B6">
              <w:t xml:space="preserve">carried out within twelve months of each </w:t>
            </w:r>
            <w:r>
              <w:t xml:space="preserve">of the </w:t>
            </w:r>
            <w:r w:rsidRPr="000C12B6">
              <w:t>Commission</w:t>
            </w:r>
            <w:r>
              <w:t>’s reviews.</w:t>
            </w:r>
          </w:p>
          <w:p w14:paraId="2BA41F00" w14:textId="77777777" w:rsidR="004E76ED" w:rsidRPr="00FE53D6" w:rsidRDefault="004E76ED" w:rsidP="004E76ED">
            <w:pPr>
              <w:pStyle w:val="ListNumber"/>
              <w:numPr>
                <w:ilvl w:val="0"/>
                <w:numId w:val="20"/>
              </w:numPr>
              <w:rPr>
                <w:spacing w:val="-2"/>
              </w:rPr>
            </w:pPr>
            <w:r w:rsidRPr="00FE53D6">
              <w:rPr>
                <w:spacing w:val="-2"/>
              </w:rPr>
              <w:t xml:space="preserve">The </w:t>
            </w:r>
            <w:r w:rsidRPr="00FE53D6">
              <w:rPr>
                <w:b/>
                <w:bCs/>
                <w:spacing w:val="-2"/>
              </w:rPr>
              <w:t xml:space="preserve">Joint Council </w:t>
            </w:r>
            <w:r w:rsidRPr="00FE53D6">
              <w:rPr>
                <w:spacing w:val="-2"/>
              </w:rPr>
              <w:t xml:space="preserve">will provide a formal </w:t>
            </w:r>
            <w:r w:rsidRPr="00FE53D6">
              <w:rPr>
                <w:b/>
                <w:bCs/>
                <w:spacing w:val="-2"/>
              </w:rPr>
              <w:t>response</w:t>
            </w:r>
            <w:r w:rsidRPr="00FE53D6">
              <w:rPr>
                <w:spacing w:val="-2"/>
              </w:rPr>
              <w:t xml:space="preserve"> to both reviews within six months of receiving them. </w:t>
            </w:r>
          </w:p>
          <w:p w14:paraId="52461C3D" w14:textId="77777777" w:rsidR="004E76ED" w:rsidRDefault="004E76ED" w:rsidP="004E76ED">
            <w:pPr>
              <w:pStyle w:val="ListNumber"/>
              <w:numPr>
                <w:ilvl w:val="0"/>
                <w:numId w:val="20"/>
              </w:numPr>
            </w:pPr>
            <w:r w:rsidRPr="00037A75">
              <w:t xml:space="preserve">The </w:t>
            </w:r>
            <w:r w:rsidRPr="007153F5">
              <w:rPr>
                <w:b/>
                <w:bCs/>
              </w:rPr>
              <w:t>Joint Council</w:t>
            </w:r>
            <w:r w:rsidRPr="00037A75">
              <w:t xml:space="preserve"> will provide the </w:t>
            </w:r>
            <w:r>
              <w:t>p</w:t>
            </w:r>
            <w:r w:rsidRPr="00037A75">
              <w:t xml:space="preserve">arties to the Agreement with an </w:t>
            </w:r>
            <w:r w:rsidRPr="00761160">
              <w:rPr>
                <w:b/>
                <w:bCs/>
              </w:rPr>
              <w:t>annual update</w:t>
            </w:r>
            <w:r w:rsidRPr="00037A75">
              <w:t xml:space="preserve"> at a meeting for discussion and advice on </w:t>
            </w:r>
            <w:r>
              <w:t xml:space="preserve">implementation issues. </w:t>
            </w:r>
          </w:p>
          <w:p w14:paraId="66B636CF" w14:textId="77777777" w:rsidR="004E76ED" w:rsidDel="00016A21" w:rsidRDefault="004E76ED" w:rsidP="004E76ED">
            <w:pPr>
              <w:pStyle w:val="BodyText"/>
            </w:pPr>
            <w:r>
              <w:t>In addition, cl</w:t>
            </w:r>
            <w:r w:rsidDel="00016A21">
              <w:t>ause 67 of the Agreement provides that governments</w:t>
            </w:r>
            <w:r w:rsidRPr="00C64F55" w:rsidDel="00016A21">
              <w:t xml:space="preserve"> agree to each identify, develop or strengthen an </w:t>
            </w:r>
            <w:r w:rsidRPr="00A64DE8" w:rsidDel="00016A21">
              <w:rPr>
                <w:b/>
                <w:bCs/>
              </w:rPr>
              <w:t>independent mechanism</w:t>
            </w:r>
            <w:r w:rsidRPr="00C64F55" w:rsidDel="00016A21">
              <w:t>, or mechanisms, that will support, monitor, and report on the transformation of mainstream agencies and institutions</w:t>
            </w:r>
            <w:r w:rsidDel="00016A21">
              <w:t>. The mechanism, or mechanisms, will:</w:t>
            </w:r>
          </w:p>
          <w:p w14:paraId="77619D8E" w14:textId="77777777" w:rsidR="004E76ED" w:rsidDel="00016A21" w:rsidRDefault="004E76ED" w:rsidP="004E76ED">
            <w:pPr>
              <w:pStyle w:val="ListBullet"/>
            </w:pPr>
            <w:r w:rsidDel="00016A21">
              <w:t>support mainstream agencies and institutions to embed transformation elements in government agencies and institutions, and monitoring their progress</w:t>
            </w:r>
          </w:p>
          <w:p w14:paraId="76E6422D" w14:textId="77777777" w:rsidR="004E76ED" w:rsidDel="00016A21" w:rsidRDefault="004E76ED" w:rsidP="004E76ED">
            <w:pPr>
              <w:pStyle w:val="ListBullet"/>
            </w:pPr>
            <w:r w:rsidDel="00016A21">
              <w:t>be recognisable for Aboriginal and Torres Strait Islander people and be culturally safe</w:t>
            </w:r>
          </w:p>
          <w:p w14:paraId="7A85A045" w14:textId="77777777" w:rsidR="004E76ED" w:rsidDel="00016A21" w:rsidRDefault="004E76ED" w:rsidP="004E76ED">
            <w:pPr>
              <w:pStyle w:val="ListBullet"/>
            </w:pPr>
            <w:r w:rsidDel="00016A21">
              <w:t>engage with Aboriginal and Torres Strait Islander people to listen and to respond to concerns about mainstream institutions and agencies</w:t>
            </w:r>
          </w:p>
          <w:p w14:paraId="736274DE" w14:textId="77777777" w:rsidR="004E76ED" w:rsidDel="00016A21" w:rsidRDefault="004E76ED" w:rsidP="004E76ED">
            <w:pPr>
              <w:pStyle w:val="ListBullet"/>
            </w:pPr>
            <w:r w:rsidDel="00016A21">
              <w:t>report publicly on the transformation of mainstream agencies and institutions, including progress, barriers and solutions.</w:t>
            </w:r>
          </w:p>
          <w:p w14:paraId="38714B9B" w14:textId="232A67F4" w:rsidR="0035097C" w:rsidRDefault="004E76ED" w:rsidP="00CC4699">
            <w:pPr>
              <w:pStyle w:val="BodyText"/>
            </w:pPr>
            <w:r w:rsidDel="00016A21">
              <w:t>This situates the independent mechanism as a component of Priority Reform 3, with no clear role in relation to the other Priority Reforms, the socioeconomic outcomes or the Agreement more broadly.</w:t>
            </w:r>
          </w:p>
        </w:tc>
      </w:tr>
      <w:tr w:rsidR="0035097C" w14:paraId="09BF5A60" w14:textId="77777777" w:rsidTr="00EA06E0">
        <w:trPr>
          <w:hidden/>
        </w:trPr>
        <w:tc>
          <w:tcPr>
            <w:tcW w:w="9657" w:type="dxa"/>
            <w:gridSpan w:val="2"/>
            <w:shd w:val="clear" w:color="auto" w:fill="auto"/>
            <w:tcMar>
              <w:top w:w="0" w:type="dxa"/>
              <w:left w:w="170" w:type="dxa"/>
              <w:bottom w:w="0" w:type="dxa"/>
              <w:right w:w="170" w:type="dxa"/>
            </w:tcMar>
          </w:tcPr>
          <w:p w14:paraId="3DD75AB3" w14:textId="35CB94E1" w:rsidR="0035097C" w:rsidRPr="00465191" w:rsidRDefault="0035097C">
            <w:pPr>
              <w:pStyle w:val="BodyText"/>
              <w:spacing w:before="0" w:after="0" w:line="80" w:lineRule="atLeast"/>
              <w:rPr>
                <w:smallCaps/>
                <w:vanish/>
              </w:rPr>
            </w:pPr>
          </w:p>
        </w:tc>
      </w:tr>
    </w:tbl>
    <w:p w14:paraId="2B69A221" w14:textId="5FC3E24A" w:rsidR="00D164F8" w:rsidRDefault="00D164F8" w:rsidP="00D164F8">
      <w:pPr>
        <w:pStyle w:val="BodyText"/>
      </w:pPr>
      <w:r>
        <w:t xml:space="preserve">Despite the range of accountability mechanisms in the Agreement, the Commission’s assessment is that they </w:t>
      </w:r>
      <w:r w:rsidRPr="003F6C84">
        <w:t>are not sufficient to influence the type of change envisaged in the Agreement.</w:t>
      </w:r>
      <w:r>
        <w:t xml:space="preserve"> </w:t>
      </w:r>
    </w:p>
    <w:p w14:paraId="053888BA" w14:textId="03E8F538" w:rsidR="00D164F8" w:rsidRDefault="00D164F8" w:rsidP="000A7204">
      <w:pPr>
        <w:pStyle w:val="BodyText"/>
      </w:pPr>
      <w:r w:rsidRPr="005112D6">
        <w:t xml:space="preserve">There are </w:t>
      </w:r>
      <w:r>
        <w:t>important</w:t>
      </w:r>
      <w:r w:rsidRPr="005112D6">
        <w:t xml:space="preserve"> deficiencies in current accountability </w:t>
      </w:r>
      <w:r>
        <w:t>mechanisms</w:t>
      </w:r>
      <w:r w:rsidRPr="005112D6">
        <w:t>. They</w:t>
      </w:r>
      <w:r>
        <w:t xml:space="preserve"> </w:t>
      </w:r>
      <w:r w:rsidRPr="005112D6">
        <w:t>do not include all relevant government agencies</w:t>
      </w:r>
      <w:r>
        <w:t xml:space="preserve">, </w:t>
      </w:r>
      <w:r w:rsidR="000C6F18">
        <w:t xml:space="preserve">they </w:t>
      </w:r>
      <w:r w:rsidRPr="005112D6">
        <w:t xml:space="preserve">do not provide </w:t>
      </w:r>
      <w:r>
        <w:t xml:space="preserve">clarity about how governments’ </w:t>
      </w:r>
      <w:r w:rsidRPr="005112D6">
        <w:t xml:space="preserve">actions </w:t>
      </w:r>
      <w:r>
        <w:t xml:space="preserve">are (or should be) linked </w:t>
      </w:r>
      <w:r w:rsidRPr="005112D6">
        <w:lastRenderedPageBreak/>
        <w:t xml:space="preserve">to </w:t>
      </w:r>
      <w:r w:rsidRPr="00990F24">
        <w:t xml:space="preserve">outcomes </w:t>
      </w:r>
      <w:r w:rsidR="000C6F18">
        <w:t xml:space="preserve">and </w:t>
      </w:r>
      <w:r w:rsidR="000C6F18" w:rsidRPr="000C6F18">
        <w:t>there has been limited progress on putting in place an independent mechanism in most jurisdictions</w:t>
      </w:r>
      <w:r w:rsidR="00D8101C">
        <w:t xml:space="preserve"> (information paper</w:t>
      </w:r>
      <w:r w:rsidR="008A40DF">
        <w:t>s</w:t>
      </w:r>
      <w:r w:rsidR="00D8101C">
        <w:t xml:space="preserve"> 4</w:t>
      </w:r>
      <w:r w:rsidR="008A40DF">
        <w:t xml:space="preserve"> and 6</w:t>
      </w:r>
      <w:r w:rsidR="00D8101C">
        <w:t>)</w:t>
      </w:r>
      <w:r>
        <w:t xml:space="preserve">. In addition, </w:t>
      </w:r>
      <w:r w:rsidR="000C6F18" w:rsidRPr="005112D6">
        <w:t xml:space="preserve">current accountability </w:t>
      </w:r>
      <w:r w:rsidR="000C6F18">
        <w:t>mechanisms</w:t>
      </w:r>
      <w:r>
        <w:t>:</w:t>
      </w:r>
      <w:r w:rsidRPr="005112D6">
        <w:t xml:space="preserve"> </w:t>
      </w:r>
    </w:p>
    <w:p w14:paraId="64E1F533" w14:textId="77777777" w:rsidR="00D164F8" w:rsidRDefault="00D164F8" w:rsidP="00D164F8">
      <w:pPr>
        <w:pStyle w:val="ListBullet"/>
      </w:pPr>
      <w:r>
        <w:t xml:space="preserve">are </w:t>
      </w:r>
      <w:r w:rsidRPr="005112D6">
        <w:t xml:space="preserve">not sufficiently independent </w:t>
      </w:r>
    </w:p>
    <w:p w14:paraId="356BC9DA" w14:textId="77777777" w:rsidR="00C87985" w:rsidRDefault="00C87985" w:rsidP="00EA0D44">
      <w:pPr>
        <w:pStyle w:val="ListBullet"/>
      </w:pPr>
      <w:r>
        <w:t xml:space="preserve">do not contain timely and appropriate consequences for failure </w:t>
      </w:r>
    </w:p>
    <w:p w14:paraId="4B88971E" w14:textId="40A8840F" w:rsidR="00D164F8" w:rsidRDefault="00EA0D44" w:rsidP="00C87985">
      <w:pPr>
        <w:pStyle w:val="ListBullet"/>
      </w:pPr>
      <w:r>
        <w:t>are not informed by high</w:t>
      </w:r>
      <w:r w:rsidR="00FD58AA">
        <w:noBreakHyphen/>
      </w:r>
      <w:r>
        <w:t>quality evaluation.</w:t>
      </w:r>
    </w:p>
    <w:p w14:paraId="55EDCC69" w14:textId="77777777" w:rsidR="00D164F8" w:rsidRDefault="00D164F8" w:rsidP="00D164F8">
      <w:pPr>
        <w:pStyle w:val="Heading4"/>
      </w:pPr>
      <w:r>
        <w:t>There is no independent oversight</w:t>
      </w:r>
    </w:p>
    <w:p w14:paraId="4A5B0086" w14:textId="67279D61" w:rsidR="00E51E8D" w:rsidRDefault="0025515D" w:rsidP="000B5C40">
      <w:pPr>
        <w:pStyle w:val="BodyText"/>
      </w:pPr>
      <w:r>
        <w:t xml:space="preserve">The Agreement provides that </w:t>
      </w:r>
      <w:r w:rsidR="0059259D">
        <w:t>t</w:t>
      </w:r>
      <w:r w:rsidR="0059259D" w:rsidRPr="0059259D">
        <w:t xml:space="preserve">he Joint Council </w:t>
      </w:r>
      <w:r w:rsidR="0059259D">
        <w:t>is</w:t>
      </w:r>
      <w:r w:rsidR="0059259D" w:rsidRPr="0059259D">
        <w:t xml:space="preserve"> responsible for ongoing administration and oversight of this Agreement</w:t>
      </w:r>
      <w:r w:rsidR="0059259D">
        <w:t xml:space="preserve"> (clause 139). </w:t>
      </w:r>
      <w:r w:rsidR="00EE33D5">
        <w:t xml:space="preserve">But as the parties to the Agreement </w:t>
      </w:r>
      <w:r w:rsidR="00F172EF">
        <w:t>comprise the membership of</w:t>
      </w:r>
      <w:r w:rsidR="00EE33D5">
        <w:t xml:space="preserve"> Joint Council, this ‘</w:t>
      </w:r>
      <w:r w:rsidR="00F172EF">
        <w:t>oversight</w:t>
      </w:r>
      <w:r w:rsidR="00EE33D5">
        <w:t xml:space="preserve">’ </w:t>
      </w:r>
      <w:r w:rsidR="00CB269C">
        <w:t xml:space="preserve">has little effect – </w:t>
      </w:r>
      <w:r w:rsidR="00F27A10">
        <w:t xml:space="preserve">the parties </w:t>
      </w:r>
      <w:r w:rsidR="00CB269C">
        <w:t xml:space="preserve">are simply </w:t>
      </w:r>
      <w:r w:rsidR="00F172EF">
        <w:t>reporting</w:t>
      </w:r>
      <w:r w:rsidR="00F27A10">
        <w:t xml:space="preserve"> to themselves</w:t>
      </w:r>
      <w:r w:rsidR="00CB269C">
        <w:t>.</w:t>
      </w:r>
    </w:p>
    <w:p w14:paraId="42C72763" w14:textId="716D9583" w:rsidR="000B5C40" w:rsidRDefault="006D2CA3" w:rsidP="00C2438A">
      <w:pPr>
        <w:pStyle w:val="BodyText"/>
        <w:keepNext/>
      </w:pPr>
      <w:r>
        <w:t>This is the antithesis of effective practice, in which o</w:t>
      </w:r>
      <w:r w:rsidR="005557E8" w:rsidRPr="00DA6EE2">
        <w:t>versight bodies that have a greater degree of independence operate with more objectivity and transparency</w:t>
      </w:r>
      <w:r w:rsidR="00E51E8D">
        <w:t>, as t</w:t>
      </w:r>
      <w:r w:rsidR="00567593">
        <w:t xml:space="preserve">he </w:t>
      </w:r>
      <w:r w:rsidR="000B5C40" w:rsidRPr="000B5C40">
        <w:t>Australian Institute of Aboriginal and Torres Strait Islander Studies</w:t>
      </w:r>
      <w:r w:rsidR="00E51E8D">
        <w:t xml:space="preserve"> (AIATSIS) pointed out. </w:t>
      </w:r>
    </w:p>
    <w:p w14:paraId="2CA60B70" w14:textId="250FC440" w:rsidR="00524942" w:rsidRDefault="00D86B32" w:rsidP="000B5C40">
      <w:pPr>
        <w:pStyle w:val="Quote"/>
      </w:pPr>
      <w:r>
        <w:t>A strong and transparent accountability framework is fundamental to keep discretionary decision makers focussed on securing the best outcomes for Aboriginal people. AIATSIS submits that this will be better facilitated through a dedicated entity with statutory powers and independence from the government of the day.</w:t>
      </w:r>
      <w:r w:rsidR="00170CE7">
        <w:t xml:space="preserve"> </w:t>
      </w:r>
      <w:r w:rsidR="005901B9" w:rsidRPr="005901B9">
        <w:rPr>
          <w:rFonts w:ascii="Arial" w:hAnsi="Arial" w:cs="Arial"/>
          <w:szCs w:val="24"/>
        </w:rPr>
        <w:t>(Strelein and Hassing 2018, p. 1)</w:t>
      </w:r>
    </w:p>
    <w:p w14:paraId="3DF4328A" w14:textId="61E9F383" w:rsidR="003D3E92" w:rsidRDefault="00E340A1" w:rsidP="003D3E92">
      <w:pPr>
        <w:pStyle w:val="BodyText"/>
        <w:rPr>
          <w:rFonts w:cs="Open Sans"/>
          <w:color w:val="000000"/>
        </w:rPr>
      </w:pPr>
      <w:r>
        <w:t xml:space="preserve">Independent oversight is essential to </w:t>
      </w:r>
      <w:r w:rsidR="000D393D">
        <w:t xml:space="preserve">address </w:t>
      </w:r>
      <w:r>
        <w:t>the</w:t>
      </w:r>
      <w:r w:rsidR="000D393D">
        <w:t xml:space="preserve"> gap at the intersection of existing accountability mechanisms. </w:t>
      </w:r>
      <w:r w:rsidR="003D3E92">
        <w:t>The gap arises because some existing accountability mechanisms</w:t>
      </w:r>
      <w:r w:rsidR="003D3E92">
        <w:rPr>
          <w:rFonts w:cs="Open Sans"/>
          <w:color w:val="000000"/>
        </w:rPr>
        <w:t xml:space="preserve"> are independent of government, some have statutory power, some focus specifically on matters relating to Aboriginal and Torres Strait Islander people and communities, and some have dual features (such as</w:t>
      </w:r>
      <w:r w:rsidR="003D3E92">
        <w:t xml:space="preserve"> </w:t>
      </w:r>
      <w:r w:rsidR="003D3E92">
        <w:rPr>
          <w:rFonts w:cs="Open Sans"/>
          <w:color w:val="000000"/>
        </w:rPr>
        <w:t>Aboriginal and Torres Strait Islander NGOs, which focus on Aboriginal and Torres Strait Islander issues and are, as the names suggests, independent of government)</w:t>
      </w:r>
      <w:r w:rsidR="003D3E92">
        <w:t>. B</w:t>
      </w:r>
      <w:r w:rsidR="003D3E92">
        <w:rPr>
          <w:rFonts w:cs="Open Sans"/>
          <w:color w:val="000000"/>
        </w:rPr>
        <w:t xml:space="preserve">ut no existing </w:t>
      </w:r>
      <w:r w:rsidR="003D3E92">
        <w:t>accountability mechanisms</w:t>
      </w:r>
      <w:r w:rsidR="003D3E92">
        <w:rPr>
          <w:rFonts w:cs="Open Sans"/>
          <w:color w:val="000000"/>
        </w:rPr>
        <w:t xml:space="preserve"> have all three – independence and statutory power and an Aboriginal and Torres Strait Islander focus (figure</w:t>
      </w:r>
      <w:r w:rsidR="00FD58AA">
        <w:rPr>
          <w:rFonts w:cs="Open Sans"/>
          <w:color w:val="000000"/>
        </w:rPr>
        <w:t> </w:t>
      </w:r>
      <w:r w:rsidR="003D3E92">
        <w:rPr>
          <w:rFonts w:cs="Open Sans"/>
          <w:color w:val="000000"/>
        </w:rPr>
        <w:t xml:space="preserve">2). </w:t>
      </w:r>
    </w:p>
    <w:p w14:paraId="56C9933E" w14:textId="77777777" w:rsidR="007E4A8B" w:rsidRDefault="007E4A8B" w:rsidP="007E4A8B">
      <w:pPr>
        <w:pStyle w:val="BodyText"/>
        <w:keepNext/>
      </w:pPr>
      <w:r>
        <w:t>Several jurisdictions have recognised a gap in oversight and accountability, and are working to develop accountability frameworks. For example, the Australian Government said:</w:t>
      </w:r>
    </w:p>
    <w:p w14:paraId="0E22A1FF" w14:textId="7FA0A41C" w:rsidR="007E4A8B" w:rsidRDefault="007E4A8B" w:rsidP="007E4A8B">
      <w:pPr>
        <w:pStyle w:val="Quote"/>
      </w:pPr>
      <w:r w:rsidRPr="00217021">
        <w:t xml:space="preserve">By the end of 2023, the Commonwealth will develop a Monitoring and Accountability Framework </w:t>
      </w:r>
      <w:r>
        <w:t xml:space="preserve">… </w:t>
      </w:r>
      <w:r w:rsidRPr="00217021">
        <w:t>in partnership with Aboriginal and Torres Strait Islander expertise and the Coalition of Peaks. This will measure and drive cultural, systemic and structural transformation across Commonwealth agencies.</w:t>
      </w:r>
      <w:r>
        <w:t xml:space="preserve"> </w:t>
      </w:r>
      <w:r w:rsidRPr="25AA2457">
        <w:rPr>
          <w:rFonts w:ascii="Arial" w:hAnsi="Arial" w:cs="Arial"/>
        </w:rPr>
        <w:t>(2023a, p. 24)</w:t>
      </w:r>
      <w:r>
        <w:t xml:space="preserve"> </w:t>
      </w:r>
    </w:p>
    <w:p w14:paraId="61AD5966" w14:textId="2D403256" w:rsidR="007E4A8B" w:rsidRDefault="007E4A8B" w:rsidP="007E4A8B">
      <w:pPr>
        <w:pStyle w:val="BodyText"/>
      </w:pPr>
      <w:r>
        <w:t>The Western Australian Government said that it ‘</w:t>
      </w:r>
      <w:r w:rsidRPr="009C69D5">
        <w:t>is in the preliminary stages of scoping a whole</w:t>
      </w:r>
      <w:r>
        <w:noBreakHyphen/>
      </w:r>
      <w:r w:rsidRPr="009C69D5">
        <w:t>of</w:t>
      </w:r>
      <w:r>
        <w:noBreakHyphen/>
      </w:r>
      <w:r w:rsidRPr="009C69D5">
        <w:t>government Aboriginal affairs accountability framework, which will draw on existing advisory and independent review mechanisms in the first phase</w:t>
      </w:r>
      <w:r>
        <w:t>’</w:t>
      </w:r>
      <w:r w:rsidRPr="009C69D5">
        <w:t xml:space="preserve"> (2022, p. 24)</w:t>
      </w:r>
      <w:r>
        <w:t xml:space="preserve">. </w:t>
      </w:r>
    </w:p>
    <w:p w14:paraId="524B8CDF" w14:textId="77777777" w:rsidR="007E4A8B" w:rsidRDefault="007E4A8B" w:rsidP="007E4A8B">
      <w:pPr>
        <w:pStyle w:val="BodyText"/>
      </w:pPr>
      <w:r>
        <w:t>But these accountability frameworks are not yet public, will not apply in most jurisdictions, and the extent to which they will address the accountability gap is not yet clear.</w:t>
      </w:r>
    </w:p>
    <w:p w14:paraId="64882A3F" w14:textId="77777777" w:rsidR="007E4A8B" w:rsidRPr="00F566D7" w:rsidRDefault="007E4A8B" w:rsidP="003D3E92">
      <w:pPr>
        <w:pStyle w:val="BodyText"/>
      </w:pPr>
    </w:p>
    <w:p w14:paraId="11800F0C" w14:textId="3261D54A" w:rsidR="005557E8" w:rsidRPr="006444F4" w:rsidRDefault="005557E8" w:rsidP="00EA06E0">
      <w:pPr>
        <w:pStyle w:val="FigureTableHeading"/>
        <w:spacing w:after="240"/>
        <w:rPr>
          <w:color w:val="auto"/>
        </w:rPr>
      </w:pPr>
      <w:r w:rsidRPr="006444F4">
        <w:rPr>
          <w:color w:val="auto"/>
        </w:rPr>
        <w:lastRenderedPageBreak/>
        <w:t>Figure</w:t>
      </w:r>
      <w:r w:rsidR="00FD58AA">
        <w:rPr>
          <w:color w:val="auto"/>
        </w:rPr>
        <w:t> </w:t>
      </w:r>
      <w:r w:rsidR="006444F4" w:rsidRPr="006444F4">
        <w:rPr>
          <w:color w:val="auto"/>
        </w:rPr>
        <w:t>2</w:t>
      </w:r>
      <w:r w:rsidR="00592481">
        <w:rPr>
          <w:color w:val="auto"/>
        </w:rPr>
        <w:t xml:space="preserve"> </w:t>
      </w:r>
      <w:r w:rsidRPr="006444F4">
        <w:rPr>
          <w:color w:val="auto"/>
        </w:rPr>
        <w:t>– An accountability gap</w:t>
      </w:r>
    </w:p>
    <w:p w14:paraId="78CE0530" w14:textId="74067CB0" w:rsidR="005557E8" w:rsidRPr="00EB2C94" w:rsidRDefault="00C95D2D" w:rsidP="00EA06E0">
      <w:pPr>
        <w:pStyle w:val="BodyText"/>
        <w:keepNext/>
        <w:spacing w:before="240" w:after="240"/>
        <w:jc w:val="center"/>
      </w:pPr>
      <w:r>
        <w:rPr>
          <w:noProof/>
        </w:rPr>
        <w:drawing>
          <wp:inline distT="0" distB="0" distL="0" distR="0" wp14:anchorId="4F3EF137" wp14:editId="14D4F122">
            <wp:extent cx="4057650" cy="3520919"/>
            <wp:effectExtent l="0" t="0" r="0" b="3810"/>
            <wp:docPr id="614559201" name="Picture 614559201" descr="This figure is a triangle.&#10;The three sides of the triangle are:&#10;• Statutory power&#10;• Aboriginal and Torres Strait Islander focus&#10;• Independence&#10;In the corner where statutory power and Aboriginal and Torres Strait Islander focus meet, there are Aboriginal- and Torres Strait Islander- specific government entities. &#10;In the corner where statutory power and independence meet, there are Existing &#10;oversight or advocacy entities. &#10;In the corner where independence and Aboriginal and Torres Strait Islander focus meet, there are Aboriginal and Torres Strait Islander NGOs&#10;In the centre of the triangle there is an accountably ga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559201" name="Picture 614559201" descr="This figure is a triangle.&#10;The three sides of the triangle are:&#10;• Statutory power&#10;• Aboriginal and Torres Strait Islander focus&#10;• Independence&#10;In the corner where statutory power and Aboriginal and Torres Strait Islander focus meet, there are Aboriginal- and Torres Strait Islander- specific government entities. &#10;In the corner where statutory power and independence meet, there are Existing &#10;oversight or advocacy entities. &#10;In the corner where independence and Aboriginal and Torres Strait Islander focus meet, there are Aboriginal and Torres Strait Islander NGOs&#10;In the centre of the triangle there is an accountably gap.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60946" cy="3523779"/>
                    </a:xfrm>
                    <a:prstGeom prst="rect">
                      <a:avLst/>
                    </a:prstGeom>
                    <a:noFill/>
                  </pic:spPr>
                </pic:pic>
              </a:graphicData>
            </a:graphic>
          </wp:inline>
        </w:drawing>
      </w:r>
    </w:p>
    <w:p w14:paraId="12AA0DBB" w14:textId="053AE6E6" w:rsidR="005557E8" w:rsidRPr="00C1746F" w:rsidRDefault="005557E8" w:rsidP="005557E8">
      <w:pPr>
        <w:pStyle w:val="Source"/>
      </w:pPr>
      <w:r w:rsidRPr="00696447">
        <w:t xml:space="preserve">Source: </w:t>
      </w:r>
      <w:r>
        <w:t xml:space="preserve">adapted from WADPC </w:t>
      </w:r>
      <w:r w:rsidRPr="00527C23">
        <w:rPr>
          <w:rFonts w:ascii="Arial" w:hAnsi="Arial" w:cs="Arial"/>
          <w:szCs w:val="24"/>
        </w:rPr>
        <w:t>(2018, p. 6)</w:t>
      </w:r>
      <w:r w:rsidRPr="00696447">
        <w:t>.</w:t>
      </w:r>
      <w:r>
        <w:t xml:space="preserve"> </w:t>
      </w:r>
    </w:p>
    <w:p w14:paraId="1868D25C" w14:textId="77777777" w:rsidR="00C87985" w:rsidRDefault="00C87985" w:rsidP="00C87985">
      <w:pPr>
        <w:pStyle w:val="Heading4"/>
      </w:pPr>
      <w:r>
        <w:t>There are no consequences for failure</w:t>
      </w:r>
    </w:p>
    <w:p w14:paraId="085AD13E" w14:textId="401002D0" w:rsidR="00C87985" w:rsidRDefault="00C87985" w:rsidP="00C87985">
      <w:pPr>
        <w:pStyle w:val="BodyText"/>
        <w:rPr>
          <w:color w:val="000000" w:themeColor="text1"/>
        </w:rPr>
      </w:pPr>
      <w:r>
        <w:t>As it currently stands, governments do not face timely or appropriate consequences for failure to meet the commitments they made in the Agreement. Decision</w:t>
      </w:r>
      <w:r w:rsidR="00FD58AA">
        <w:noBreakHyphen/>
      </w:r>
      <w:r>
        <w:t xml:space="preserve">makers have not faced negative repercussions (timely or otherwise) for poor decisions, or for the continuation of similar practices that </w:t>
      </w:r>
      <w:r w:rsidRPr="0047339C">
        <w:rPr>
          <w:color w:val="000000" w:themeColor="text1"/>
        </w:rPr>
        <w:t>exacerbate, rather than remedy, disadvantage and discrimination</w:t>
      </w:r>
      <w:r>
        <w:rPr>
          <w:color w:val="000000" w:themeColor="text1"/>
        </w:rPr>
        <w:t xml:space="preserve">. </w:t>
      </w:r>
    </w:p>
    <w:p w14:paraId="1F19E562" w14:textId="77777777" w:rsidR="00C87985" w:rsidRDefault="00C87985" w:rsidP="00C87985">
      <w:pPr>
        <w:pStyle w:val="BodyText"/>
        <w:rPr>
          <w:color w:val="000000" w:themeColor="text1"/>
        </w:rPr>
      </w:pPr>
      <w:r>
        <w:rPr>
          <w:color w:val="000000" w:themeColor="text1"/>
        </w:rPr>
        <w:t>Where governments have behaved in ways that were contrary to the Agreement – for example, by imposing a program or service in a community without meaningfully consulting that community, or by giving Aboriginal and Torres Strait Islander people and organisations too little time to meaningfully respond to a request for consultation – those people, organisations and communities have no way to hold governments to account. The Agreement does not provide any recourse, and does not stop the program being implemented or the decision being made without meaningful Aboriginal and Torres Strait Islander input.</w:t>
      </w:r>
    </w:p>
    <w:p w14:paraId="3F819A5F" w14:textId="63ECC0D0" w:rsidR="00C87985" w:rsidRDefault="00C87985" w:rsidP="00C87985">
      <w:pPr>
        <w:pStyle w:val="BodyText"/>
      </w:pPr>
      <w:r>
        <w:t xml:space="preserve">The Commission has previously noted ‘government agencies must not only be ‘called’ to account; they must also be ‘held’ to account. Accountability is incomplete without effective consequences or sanctions’ </w:t>
      </w:r>
      <w:r w:rsidRPr="00035672">
        <w:rPr>
          <w:rFonts w:ascii="Arial" w:hAnsi="Arial" w:cs="Arial"/>
          <w:szCs w:val="24"/>
        </w:rPr>
        <w:t>(PC 2012, p. 239)</w:t>
      </w:r>
      <w:r>
        <w:t xml:space="preserve">. The </w:t>
      </w:r>
      <w:r w:rsidRPr="00CE7949">
        <w:t>weak</w:t>
      </w:r>
      <w:r>
        <w:t>ness (and effective absence) of</w:t>
      </w:r>
      <w:r w:rsidRPr="00CE7949">
        <w:t xml:space="preserve"> accountability mechanisms</w:t>
      </w:r>
      <w:r>
        <w:t xml:space="preserve"> means that</w:t>
      </w:r>
      <w:r w:rsidRPr="00CE7949">
        <w:t xml:space="preserve"> the </w:t>
      </w:r>
      <w:r>
        <w:t>implementation of the Agreement depends h</w:t>
      </w:r>
      <w:r w:rsidRPr="00CE7949">
        <w:t>eavily (or solely) on individuals being motivated to ‘do the right thing’.</w:t>
      </w:r>
      <w:r>
        <w:t xml:space="preserve"> While many individuals are motivated, this does not provide the necessary impetus for comprehensive and sustained system change.</w:t>
      </w:r>
    </w:p>
    <w:p w14:paraId="7455CCCC" w14:textId="77777777" w:rsidR="003B1950" w:rsidRPr="006A1667" w:rsidRDefault="003B1950" w:rsidP="006A1667">
      <w:pPr>
        <w:pStyle w:val="BodyText"/>
      </w:pPr>
      <w:r w:rsidRPr="006A1667">
        <w:br w:type="page"/>
      </w:r>
    </w:p>
    <w:p w14:paraId="7995A664" w14:textId="52432100" w:rsidR="00D164F8" w:rsidRDefault="00D164F8" w:rsidP="00D164F8">
      <w:pPr>
        <w:pStyle w:val="Heading4"/>
      </w:pPr>
      <w:r>
        <w:lastRenderedPageBreak/>
        <w:t xml:space="preserve">There is </w:t>
      </w:r>
      <w:r w:rsidR="003B64A2">
        <w:t>too little high</w:t>
      </w:r>
      <w:r w:rsidR="00FD58AA">
        <w:noBreakHyphen/>
      </w:r>
      <w:r w:rsidR="003B64A2">
        <w:t xml:space="preserve">quality </w:t>
      </w:r>
      <w:r>
        <w:t>evaluation</w:t>
      </w:r>
    </w:p>
    <w:p w14:paraId="455090C0" w14:textId="65DB0349" w:rsidR="00CD693B" w:rsidRPr="00D832AF" w:rsidRDefault="00CD693B" w:rsidP="00CD693B">
      <w:pPr>
        <w:pStyle w:val="BodyText"/>
        <w:rPr>
          <w:spacing w:val="-4"/>
        </w:rPr>
      </w:pPr>
      <w:r w:rsidRPr="00D832AF">
        <w:rPr>
          <w:spacing w:val="-4"/>
        </w:rPr>
        <w:t xml:space="preserve">Evaluation is an essential component of holding governments accountable for outcomes, and identifying opportunities to </w:t>
      </w:r>
      <w:r w:rsidR="002638E4" w:rsidRPr="00D832AF">
        <w:rPr>
          <w:spacing w:val="-4"/>
        </w:rPr>
        <w:t xml:space="preserve">improve outcomes, to support learning and adaptation or to </w:t>
      </w:r>
      <w:r w:rsidRPr="00D832AF">
        <w:rPr>
          <w:spacing w:val="-4"/>
        </w:rPr>
        <w:t xml:space="preserve">use funds more effectively. Publishing evaluations can further enhance accountability by increasing visibility and pressure for agencies to follow up with a management response to evaluation findings. Publishing evaluations also has many other benefits, including supporting learning, improvement and the diffusion of knowledge. But there is a lack of published evaluation of policies and programs affecting Aboriginal and Torres Strait Islander people </w:t>
      </w:r>
      <w:r w:rsidRPr="00D832AF">
        <w:rPr>
          <w:rFonts w:cs="Arial"/>
          <w:spacing w:val="-4"/>
          <w:szCs w:val="24"/>
        </w:rPr>
        <w:t>(PC 2020, p. 99)</w:t>
      </w:r>
      <w:r w:rsidRPr="00D832AF">
        <w:rPr>
          <w:spacing w:val="-4"/>
        </w:rPr>
        <w:t>.</w:t>
      </w:r>
    </w:p>
    <w:p w14:paraId="51113D88" w14:textId="6361259B" w:rsidR="0000027F" w:rsidRDefault="00163936" w:rsidP="00626B65">
      <w:pPr>
        <w:pStyle w:val="BodyText"/>
      </w:pPr>
      <w:r>
        <w:t xml:space="preserve">The problem is not a total absence of evaluation, but rather an absence of </w:t>
      </w:r>
      <w:r w:rsidR="00F21D25">
        <w:t xml:space="preserve">evaluation that puts outcomes for </w:t>
      </w:r>
      <w:r w:rsidR="00F21D25">
        <w:rPr>
          <w:rFonts w:ascii="Arial" w:hAnsi="Arial" w:cs="Arial"/>
        </w:rPr>
        <w:t xml:space="preserve">Aboriginal and Torres Strait Islander people at the centre. </w:t>
      </w:r>
    </w:p>
    <w:p w14:paraId="49290ECC" w14:textId="1826E15B" w:rsidR="0000027F" w:rsidRPr="0000027F" w:rsidRDefault="0000027F" w:rsidP="0000027F">
      <w:pPr>
        <w:pStyle w:val="Quote"/>
      </w:pPr>
      <w:r w:rsidRPr="0000027F">
        <w:t>… the problem is not simply one of ‘not enough evaluation’. It appears that there is a significant</w:t>
      </w:r>
      <w:r>
        <w:t xml:space="preserve"> </w:t>
      </w:r>
      <w:r w:rsidRPr="0000027F">
        <w:t>amount of time, energy and money … spent on monitoring and evaluation in Indigenous affairs</w:t>
      </w:r>
      <w:r w:rsidR="00FD58AA">
        <w:t xml:space="preserve"> </w:t>
      </w:r>
      <w:r w:rsidRPr="0000027F">
        <w:t>… A big part of the problem is that current evaluation efforts focus on</w:t>
      </w:r>
      <w:r>
        <w:t xml:space="preserve"> </w:t>
      </w:r>
      <w:r w:rsidRPr="0000027F">
        <w:t>the wrong things. Most effort appears to be on either ensuring accountability for expenditures</w:t>
      </w:r>
      <w:r>
        <w:t xml:space="preserve"> </w:t>
      </w:r>
      <w:r w:rsidRPr="0000027F">
        <w:t>(compliance) or demonstrating value for money, rather than on finding ways to improve</w:t>
      </w:r>
      <w:r>
        <w:t xml:space="preserve"> </w:t>
      </w:r>
      <w:r w:rsidRPr="0000027F">
        <w:t xml:space="preserve">outcomes. </w:t>
      </w:r>
      <w:r w:rsidR="004100E3" w:rsidRPr="004100E3">
        <w:rPr>
          <w:rFonts w:ascii="Arial" w:hAnsi="Arial" w:cs="Arial"/>
          <w:szCs w:val="24"/>
        </w:rPr>
        <w:t>(QPC 2017, p. 227)</w:t>
      </w:r>
    </w:p>
    <w:p w14:paraId="45822386" w14:textId="2B3333C7" w:rsidR="00626B65" w:rsidRPr="00EF3314" w:rsidRDefault="00535630" w:rsidP="00626B65">
      <w:pPr>
        <w:pStyle w:val="BodyText"/>
        <w:rPr>
          <w:spacing w:val="6"/>
        </w:rPr>
      </w:pPr>
      <w:r w:rsidRPr="00EF3314">
        <w:rPr>
          <w:spacing w:val="6"/>
        </w:rPr>
        <w:t>In</w:t>
      </w:r>
      <w:r w:rsidR="00F21D25" w:rsidRPr="00EF3314">
        <w:rPr>
          <w:spacing w:val="6"/>
        </w:rPr>
        <w:t xml:space="preserve"> 2020, the Commission published an Indigenous Evaluation Strategy </w:t>
      </w:r>
      <w:r w:rsidR="00440999" w:rsidRPr="00EF3314">
        <w:rPr>
          <w:spacing w:val="6"/>
        </w:rPr>
        <w:t xml:space="preserve">that is </w:t>
      </w:r>
      <w:r w:rsidR="00F21D25" w:rsidRPr="00EF3314">
        <w:rPr>
          <w:spacing w:val="6"/>
        </w:rPr>
        <w:t xml:space="preserve">designed to address these concerns. </w:t>
      </w:r>
    </w:p>
    <w:p w14:paraId="648AFA23" w14:textId="54E6E417" w:rsidR="00D164F8" w:rsidRDefault="000F63C7" w:rsidP="00702187">
      <w:pPr>
        <w:pStyle w:val="Quote"/>
      </w:pPr>
      <w:r>
        <w:rPr>
          <w:rFonts w:ascii="Arial" w:hAnsi="Arial" w:cs="Arial"/>
        </w:rPr>
        <w:t>The Strategy puts Aboriginal and Torres Strait Islander people at its centre.</w:t>
      </w:r>
      <w:r>
        <w:t xml:space="preserve"> </w:t>
      </w:r>
      <w:r w:rsidR="00D164F8">
        <w:t xml:space="preserve">To achieve better outcomes, what Aboriginal and Torres Strait Islander people value, their </w:t>
      </w:r>
      <w:r w:rsidR="00BB4500" w:rsidRPr="00957663">
        <w:rPr>
          <w:rFonts w:ascii="Arial" w:hAnsi="Arial" w:cs="Arial"/>
        </w:rPr>
        <w:t>knowledges,</w:t>
      </w:r>
      <w:r w:rsidR="00D164F8">
        <w:t xml:space="preserve"> and lived experiences need</w:t>
      </w:r>
      <w:r w:rsidR="00702187">
        <w:t>s</w:t>
      </w:r>
      <w:r w:rsidR="00D164F8">
        <w:t xml:space="preserve"> to be reflected in what is evaluated, how evaluation is undertaken and the outcomes </w:t>
      </w:r>
      <w:r w:rsidR="00702187">
        <w:t xml:space="preserve">of </w:t>
      </w:r>
      <w:r w:rsidR="00D164F8">
        <w:t xml:space="preserve">policies </w:t>
      </w:r>
      <w:r w:rsidR="00702187">
        <w:t>and programs</w:t>
      </w:r>
      <w:r w:rsidR="00F53DF1">
        <w:t xml:space="preserve"> …</w:t>
      </w:r>
      <w:r w:rsidR="00D164F8">
        <w:t xml:space="preserve"> If the outcomes of policies are not what is valued by Aboriginal and Torres Strait Islander people, then th</w:t>
      </w:r>
      <w:r w:rsidR="00802F49">
        <w:t>os</w:t>
      </w:r>
      <w:r w:rsidR="00D164F8">
        <w:t xml:space="preserve">e policies </w:t>
      </w:r>
      <w:r w:rsidR="00802F49">
        <w:t xml:space="preserve">will likely </w:t>
      </w:r>
      <w:r w:rsidR="00D164F8">
        <w:t xml:space="preserve">have limited value and little prospect of </w:t>
      </w:r>
      <w:r w:rsidR="00654100">
        <w:t>success</w:t>
      </w:r>
      <w:r w:rsidR="00D164F8">
        <w:t xml:space="preserve">. </w:t>
      </w:r>
      <w:r w:rsidR="00802F49" w:rsidRPr="00802F49">
        <w:rPr>
          <w:rFonts w:ascii="Arial" w:hAnsi="Arial" w:cs="Arial"/>
          <w:szCs w:val="24"/>
        </w:rPr>
        <w:t>(PC 2020, pp. 2, 4)</w:t>
      </w:r>
    </w:p>
    <w:p w14:paraId="5BF8387B" w14:textId="53B55C63" w:rsidR="00724E0E" w:rsidRDefault="005D7377" w:rsidP="00D76D96">
      <w:pPr>
        <w:pStyle w:val="BodyText"/>
      </w:pPr>
      <w:r w:rsidRPr="000020A2">
        <w:t>The Indigenous Evaluation Strategy is no</w:t>
      </w:r>
      <w:r w:rsidR="000020A2" w:rsidRPr="000020A2">
        <w:t>w</w:t>
      </w:r>
      <w:r w:rsidRPr="000020A2">
        <w:t xml:space="preserve"> recommended for use by </w:t>
      </w:r>
      <w:r w:rsidR="000020A2" w:rsidRPr="000020A2">
        <w:t>Australian Government agencies and available online</w:t>
      </w:r>
      <w:r w:rsidR="00054BEA">
        <w:t xml:space="preserve"> </w:t>
      </w:r>
      <w:r w:rsidR="00591350" w:rsidRPr="00591350">
        <w:rPr>
          <w:rFonts w:ascii="Arial" w:hAnsi="Arial" w:cs="Arial"/>
          <w:szCs w:val="24"/>
        </w:rPr>
        <w:t>(Department of Finance 2023b)</w:t>
      </w:r>
      <w:r w:rsidR="000020A2">
        <w:t xml:space="preserve">. </w:t>
      </w:r>
      <w:r w:rsidR="00535630">
        <w:t xml:space="preserve">There have also been a number of evaluations published since 2020 that put Aboriginal and Torres Strait Islander people at the centre. These span a range of settings, from health services in Western Australia </w:t>
      </w:r>
      <w:r w:rsidR="00535630" w:rsidRPr="00161028">
        <w:rPr>
          <w:rFonts w:ascii="Arial" w:hAnsi="Arial" w:cs="Arial"/>
          <w:szCs w:val="24"/>
        </w:rPr>
        <w:t>(Wright et al. 2021)</w:t>
      </w:r>
      <w:r w:rsidR="00535630">
        <w:t xml:space="preserve"> to local decision</w:t>
      </w:r>
      <w:r w:rsidR="00FD58AA">
        <w:noBreakHyphen/>
      </w:r>
      <w:r w:rsidR="00535630">
        <w:t xml:space="preserve">making in New South Wales </w:t>
      </w:r>
      <w:r w:rsidR="00535630" w:rsidRPr="001E30EF">
        <w:rPr>
          <w:rFonts w:ascii="Arial" w:hAnsi="Arial" w:cs="Arial"/>
          <w:szCs w:val="24"/>
        </w:rPr>
        <w:t>(Howard-Wagner and Markham 2022)</w:t>
      </w:r>
      <w:r w:rsidR="00535630">
        <w:t>.</w:t>
      </w:r>
      <w:r w:rsidR="00D37A8B">
        <w:t xml:space="preserve"> But more evaluations that put Aboriginal and Torres Strait Islander people at the centre are still needed in </w:t>
      </w:r>
      <w:r w:rsidR="0078604B">
        <w:t>every policy domain</w:t>
      </w:r>
      <w:r w:rsidR="00D37A8B">
        <w:t xml:space="preserve">. </w:t>
      </w:r>
    </w:p>
    <w:p w14:paraId="7EBF13EB" w14:textId="77777777" w:rsidR="00C83C13" w:rsidRDefault="00C83C13" w:rsidP="00C83C13">
      <w:pPr>
        <w:pStyle w:val="Heading3"/>
      </w:pPr>
      <w:r>
        <w:t xml:space="preserve">Stronger and smarter accountability mechanisms are needed </w:t>
      </w:r>
    </w:p>
    <w:p w14:paraId="589B5A0E" w14:textId="7126874F" w:rsidR="00651CED" w:rsidRDefault="000E10BE" w:rsidP="00651CED">
      <w:pPr>
        <w:pStyle w:val="BodyText"/>
      </w:pPr>
      <w:r>
        <w:t xml:space="preserve">The </w:t>
      </w:r>
      <w:r w:rsidRPr="005112D6">
        <w:t xml:space="preserve">deficiencies in current accountability </w:t>
      </w:r>
      <w:r>
        <w:t>mechanisms</w:t>
      </w:r>
      <w:r w:rsidR="00A8551F">
        <w:t xml:space="preserve"> </w:t>
      </w:r>
      <w:r w:rsidR="00651163" w:rsidRPr="00A8551F">
        <w:t xml:space="preserve">raise questions as to the status and influence of the Agreement and its ability to drive change. </w:t>
      </w:r>
      <w:r w:rsidR="00636CB7" w:rsidRPr="00F566D7">
        <w:t>It is (or should be) clear that governments are accountable to the community, and for th</w:t>
      </w:r>
      <w:r w:rsidR="00FA6405">
        <w:t>e</w:t>
      </w:r>
      <w:r w:rsidR="00636CB7" w:rsidRPr="00F566D7">
        <w:t xml:space="preserve"> Agreement, they are first and foremost accountable to the Aboriginal and Torres Strait Islander community</w:t>
      </w:r>
      <w:r w:rsidR="00636CB7">
        <w:t>. But c</w:t>
      </w:r>
      <w:r w:rsidR="00651CED">
        <w:t xml:space="preserve">hanges are required to ensure that governments </w:t>
      </w:r>
      <w:r w:rsidR="00636CB7">
        <w:t>honour their commitments</w:t>
      </w:r>
      <w:r w:rsidR="00651CED">
        <w:t xml:space="preserve">, and thereby help </w:t>
      </w:r>
      <w:r w:rsidR="00651CED" w:rsidRPr="001D5599">
        <w:t xml:space="preserve">improve </w:t>
      </w:r>
      <w:r w:rsidR="00651CED">
        <w:t xml:space="preserve">the </w:t>
      </w:r>
      <w:r w:rsidR="00651CED" w:rsidRPr="001D5599">
        <w:t xml:space="preserve">life outcomes </w:t>
      </w:r>
      <w:r w:rsidR="00651CED">
        <w:t xml:space="preserve">of </w:t>
      </w:r>
      <w:r w:rsidR="00651CED" w:rsidRPr="001D5599">
        <w:t>Aboriginal and Torres Strait Islander people</w:t>
      </w:r>
      <w:r w:rsidR="00651CED">
        <w:t>.</w:t>
      </w:r>
    </w:p>
    <w:p w14:paraId="51B2E811" w14:textId="325929AE" w:rsidR="002B1172" w:rsidRPr="00EF3314" w:rsidRDefault="002B1172" w:rsidP="002B1172">
      <w:pPr>
        <w:pStyle w:val="BodyText"/>
        <w:rPr>
          <w:spacing w:val="-2"/>
        </w:rPr>
      </w:pPr>
      <w:r w:rsidRPr="00EF3314">
        <w:rPr>
          <w:spacing w:val="-2"/>
        </w:rPr>
        <w:t xml:space="preserve">The following sections each outline </w:t>
      </w:r>
      <w:r w:rsidR="00E57A45" w:rsidRPr="00EF3314">
        <w:rPr>
          <w:spacing w:val="-2"/>
        </w:rPr>
        <w:t xml:space="preserve">potential </w:t>
      </w:r>
      <w:r w:rsidRPr="00EF3314">
        <w:rPr>
          <w:spacing w:val="-2"/>
        </w:rPr>
        <w:t xml:space="preserve">reform directions. While none of the proposed reform directions can, on its own, shift the trajectory of progress, together they </w:t>
      </w:r>
      <w:r w:rsidR="002C67AC" w:rsidRPr="00EF3314">
        <w:rPr>
          <w:spacing w:val="-2"/>
        </w:rPr>
        <w:t xml:space="preserve">can </w:t>
      </w:r>
      <w:r w:rsidRPr="00EF3314">
        <w:rPr>
          <w:spacing w:val="-2"/>
        </w:rPr>
        <w:t>influence the incentives of those working at all levels of government, and drive the necessary changes in governments’ actions to implement the Agreement.</w:t>
      </w:r>
    </w:p>
    <w:p w14:paraId="5AEEC395" w14:textId="77777777" w:rsidR="006A54C1" w:rsidRPr="00937936" w:rsidRDefault="006A54C1" w:rsidP="00937936">
      <w:pPr>
        <w:pStyle w:val="BodyText"/>
      </w:pPr>
      <w:r w:rsidRPr="00937936">
        <w:br w:type="page"/>
      </w:r>
    </w:p>
    <w:p w14:paraId="0826F2C8" w14:textId="6A895DCC" w:rsidR="005543AF" w:rsidRDefault="007B4E2D" w:rsidP="00BD58E5">
      <w:pPr>
        <w:pStyle w:val="Heading2-nonumber"/>
        <w:ind w:left="720" w:hanging="720"/>
      </w:pPr>
      <w:bookmarkStart w:id="9" w:name="_Toc140504488"/>
      <w:r>
        <w:lastRenderedPageBreak/>
        <w:t>3</w:t>
      </w:r>
      <w:r w:rsidR="0009427F">
        <w:tab/>
      </w:r>
      <w:r w:rsidR="00795237" w:rsidRPr="00C50BA5">
        <w:rPr>
          <w:spacing w:val="-4"/>
        </w:rPr>
        <w:t>Aboriginal and Torres Strait Islander</w:t>
      </w:r>
      <w:r w:rsidR="00AC05BF" w:rsidRPr="00C50BA5">
        <w:rPr>
          <w:spacing w:val="-4"/>
        </w:rPr>
        <w:t xml:space="preserve"> bodies </w:t>
      </w:r>
      <w:r w:rsidR="00605D52" w:rsidRPr="00C50BA5">
        <w:rPr>
          <w:spacing w:val="-4"/>
        </w:rPr>
        <w:t>are playing a</w:t>
      </w:r>
      <w:r w:rsidR="001C0559" w:rsidRPr="00C50BA5">
        <w:rPr>
          <w:spacing w:val="-4"/>
        </w:rPr>
        <w:t xml:space="preserve"> growing role in </w:t>
      </w:r>
      <w:r w:rsidR="00F42464" w:rsidRPr="00C50BA5">
        <w:rPr>
          <w:spacing w:val="-4"/>
        </w:rPr>
        <w:t>holding governments to account</w:t>
      </w:r>
      <w:bookmarkEnd w:id="9"/>
    </w:p>
    <w:p w14:paraId="10DB4034" w14:textId="13043F62" w:rsidR="00546A6E" w:rsidRDefault="0035618C" w:rsidP="00073C32">
      <w:pPr>
        <w:pStyle w:val="Heading3"/>
      </w:pPr>
      <w:r>
        <w:t xml:space="preserve">New </w:t>
      </w:r>
      <w:r w:rsidR="00546A6E">
        <w:t xml:space="preserve">and emerging </w:t>
      </w:r>
      <w:r w:rsidR="002C7890">
        <w:t>bodies</w:t>
      </w:r>
      <w:r>
        <w:t xml:space="preserve"> </w:t>
      </w:r>
      <w:r w:rsidR="00546A6E">
        <w:t xml:space="preserve">will play a role in accountability </w:t>
      </w:r>
    </w:p>
    <w:p w14:paraId="3C305EFB" w14:textId="77777777" w:rsidR="00AE293F" w:rsidRDefault="003E4B3E" w:rsidP="00AE293F">
      <w:pPr>
        <w:pStyle w:val="BodyText"/>
      </w:pPr>
      <w:r>
        <w:t>In addition to the Agreement, t</w:t>
      </w:r>
      <w:r w:rsidR="001B2700">
        <w:t xml:space="preserve">here are many </w:t>
      </w:r>
      <w:r w:rsidR="00554161">
        <w:t xml:space="preserve">Aboriginal and Torres Strait Islander </w:t>
      </w:r>
      <w:r w:rsidR="001D00DC">
        <w:t xml:space="preserve">bodies, </w:t>
      </w:r>
      <w:r w:rsidR="009D2106">
        <w:t>processes</w:t>
      </w:r>
      <w:r w:rsidR="001B2700">
        <w:t xml:space="preserve"> and decision</w:t>
      </w:r>
      <w:r w:rsidR="00FD58AA">
        <w:noBreakHyphen/>
      </w:r>
      <w:r w:rsidR="001B2700">
        <w:t>making structures in place</w:t>
      </w:r>
      <w:r w:rsidR="00604CAA">
        <w:t>, proposed</w:t>
      </w:r>
      <w:r w:rsidR="001B2700">
        <w:t xml:space="preserve"> </w:t>
      </w:r>
      <w:r w:rsidR="00961FDC">
        <w:t xml:space="preserve">or under development that </w:t>
      </w:r>
      <w:r w:rsidR="00A17981">
        <w:t xml:space="preserve">may affect the way in which governments are held </w:t>
      </w:r>
      <w:r w:rsidR="009F2203">
        <w:t xml:space="preserve">to </w:t>
      </w:r>
      <w:r w:rsidR="00A17981">
        <w:t>accoun</w:t>
      </w:r>
      <w:r w:rsidR="00BB1083">
        <w:t>t</w:t>
      </w:r>
      <w:r w:rsidR="009D2106">
        <w:t xml:space="preserve"> for actions affecting Aboriginal and Torres Strait Islander people. </w:t>
      </w:r>
      <w:r w:rsidR="001B2700">
        <w:t>In particular, the</w:t>
      </w:r>
      <w:r w:rsidR="0001316D">
        <w:t xml:space="preserve">re is potential for the </w:t>
      </w:r>
      <w:r w:rsidR="00316EF1">
        <w:t xml:space="preserve">proposed </w:t>
      </w:r>
      <w:r w:rsidR="001B2700">
        <w:t xml:space="preserve">Voice to </w:t>
      </w:r>
      <w:r w:rsidR="009447E1">
        <w:t xml:space="preserve">the Australian </w:t>
      </w:r>
      <w:r w:rsidR="001B2700">
        <w:t>Parliament</w:t>
      </w:r>
      <w:r w:rsidR="00281343">
        <w:t xml:space="preserve"> (as well as </w:t>
      </w:r>
      <w:r w:rsidR="00516E3C">
        <w:t xml:space="preserve">state and territory </w:t>
      </w:r>
      <w:r w:rsidR="00281343">
        <w:t>representative bodies</w:t>
      </w:r>
      <w:r w:rsidR="00E51360">
        <w:t xml:space="preserve"> and Voices to State Parliaments</w:t>
      </w:r>
      <w:r w:rsidR="00281343">
        <w:t>)</w:t>
      </w:r>
      <w:r w:rsidR="001B2700">
        <w:t xml:space="preserve">, </w:t>
      </w:r>
      <w:r w:rsidR="009447E1">
        <w:t>t</w:t>
      </w:r>
      <w:r w:rsidR="001B2700">
        <w:t>reaty processes</w:t>
      </w:r>
      <w:r w:rsidR="00531A1F">
        <w:t>,</w:t>
      </w:r>
      <w:r w:rsidR="001B2700">
        <w:t xml:space="preserve"> </w:t>
      </w:r>
      <w:r w:rsidR="000C3B90">
        <w:t xml:space="preserve">and </w:t>
      </w:r>
      <w:r w:rsidR="009447E1">
        <w:t>j</w:t>
      </w:r>
      <w:r w:rsidR="00281343">
        <w:t>ustice commissions</w:t>
      </w:r>
      <w:r w:rsidR="00620748">
        <w:t xml:space="preserve"> </w:t>
      </w:r>
      <w:r w:rsidR="0001316D">
        <w:t xml:space="preserve">to </w:t>
      </w:r>
      <w:r w:rsidR="00620748">
        <w:t xml:space="preserve">strengthen </w:t>
      </w:r>
      <w:r w:rsidR="00531A1F">
        <w:t>accountability</w:t>
      </w:r>
      <w:r w:rsidR="005F5FBD">
        <w:t xml:space="preserve"> </w:t>
      </w:r>
      <w:r w:rsidR="00554161">
        <w:t>for</w:t>
      </w:r>
      <w:r w:rsidR="002D08F6">
        <w:t xml:space="preserve"> matters covered by the Agreement</w:t>
      </w:r>
      <w:r w:rsidR="00620748">
        <w:t xml:space="preserve">. </w:t>
      </w:r>
      <w:r w:rsidR="00AE293F">
        <w:t xml:space="preserve">But regardless of the outcomes of these processes, governments will still be responsible for adopting a fundamentally new way of developing and implementing policies and programs that affect Aboriginal and Torres Strait Islander people, as they have committed to do in the Agreement. </w:t>
      </w:r>
    </w:p>
    <w:p w14:paraId="333EF32E" w14:textId="3AFF5628" w:rsidR="00C0698A" w:rsidRDefault="00C0698A" w:rsidP="00C0698A">
      <w:pPr>
        <w:pStyle w:val="Heading4"/>
      </w:pPr>
      <w:r>
        <w:t xml:space="preserve">Voice </w:t>
      </w:r>
    </w:p>
    <w:p w14:paraId="4D7241EF" w14:textId="36E2A280" w:rsidR="00AA5115" w:rsidRDefault="00064C7D" w:rsidP="00577E47">
      <w:pPr>
        <w:pStyle w:val="BodyText"/>
      </w:pPr>
      <w:r>
        <w:t xml:space="preserve">In </w:t>
      </w:r>
      <w:r w:rsidR="007B54AF">
        <w:t xml:space="preserve">South Australia, </w:t>
      </w:r>
      <w:r>
        <w:t xml:space="preserve">legislation </w:t>
      </w:r>
      <w:r w:rsidR="003639BF">
        <w:t>to</w:t>
      </w:r>
      <w:r>
        <w:t xml:space="preserve"> provide for a</w:t>
      </w:r>
      <w:r w:rsidR="006F3030">
        <w:t xml:space="preserve"> First Nations Voice</w:t>
      </w:r>
      <w:r>
        <w:t xml:space="preserve"> to Parliament was enacted in March 2023. The </w:t>
      </w:r>
      <w:r w:rsidR="00B0325C" w:rsidRPr="00B0325C">
        <w:t xml:space="preserve">South Australian </w:t>
      </w:r>
      <w:r>
        <w:t xml:space="preserve">First Nations Voice </w:t>
      </w:r>
      <w:r w:rsidR="006F3030">
        <w:t xml:space="preserve">will have several </w:t>
      </w:r>
      <w:r w:rsidR="007A30F0">
        <w:t>legislated functions</w:t>
      </w:r>
      <w:r w:rsidR="006F3030">
        <w:t xml:space="preserve"> it can use to hold the </w:t>
      </w:r>
      <w:r>
        <w:t>South Australian</w:t>
      </w:r>
      <w:r w:rsidR="006F3030">
        <w:t> Government to account (</w:t>
      </w:r>
      <w:r w:rsidR="006F3030" w:rsidRPr="00FA54AA">
        <w:t>box</w:t>
      </w:r>
      <w:r w:rsidRPr="00FA54AA">
        <w:t> </w:t>
      </w:r>
      <w:r w:rsidR="007B062D">
        <w:t>2</w:t>
      </w:r>
      <w:r w:rsidR="006F3030">
        <w:t xml:space="preserve">). </w:t>
      </w:r>
    </w:p>
    <w:p w14:paraId="359B9DB3" w14:textId="5E1B3C7A" w:rsidR="00E50D2B" w:rsidRPr="00EA06E0" w:rsidRDefault="00E50D2B" w:rsidP="002530DC">
      <w:pPr>
        <w:pStyle w:val="NoSpacing"/>
      </w:pPr>
    </w:p>
    <w:tbl>
      <w:tblPr>
        <w:tblStyle w:val="Boxtable"/>
        <w:tblW w:w="5000" w:type="pct"/>
        <w:tblLook w:val="04A0" w:firstRow="1" w:lastRow="0" w:firstColumn="1" w:lastColumn="0" w:noHBand="0" w:noVBand="1"/>
      </w:tblPr>
      <w:tblGrid>
        <w:gridCol w:w="906"/>
        <w:gridCol w:w="8732"/>
      </w:tblGrid>
      <w:tr w:rsidR="00683340" w14:paraId="76095BEB" w14:textId="77777777" w:rsidTr="00037D7B">
        <w:trPr>
          <w:tblHeader/>
        </w:trPr>
        <w:tc>
          <w:tcPr>
            <w:tcW w:w="851" w:type="dxa"/>
            <w:shd w:val="clear" w:color="auto" w:fill="FBF3EC"/>
            <w:tcMar>
              <w:top w:w="170" w:type="dxa"/>
              <w:left w:w="170" w:type="dxa"/>
              <w:bottom w:w="113" w:type="dxa"/>
              <w:right w:w="170" w:type="dxa"/>
            </w:tcMar>
            <w:hideMark/>
          </w:tcPr>
          <w:p w14:paraId="75DE82C1" w14:textId="49689EDA" w:rsidR="00683340" w:rsidRPr="00FA54AA" w:rsidRDefault="00B93B0A" w:rsidP="00E54B02">
            <w:pPr>
              <w:pStyle w:val="BoxHeading1"/>
              <w:spacing w:before="120"/>
              <w:rPr>
                <w:color w:val="auto"/>
              </w:rPr>
            </w:pPr>
            <w:r w:rsidRPr="00A031AA">
              <w:rPr>
                <w:b/>
                <w:bCs/>
                <w:noProof/>
              </w:rPr>
              <w:drawing>
                <wp:inline distT="0" distB="0" distL="0" distR="0" wp14:anchorId="4DA2F932" wp14:editId="02D4EF2C">
                  <wp:extent cx="360000" cy="424800"/>
                  <wp:effectExtent l="0" t="0" r="0" b="0"/>
                  <wp:docPr id="69733166" name="Picture 697331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33166" name="Picture 69733166">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87" w:type="dxa"/>
            <w:shd w:val="clear" w:color="auto" w:fill="FBF3EC"/>
          </w:tcPr>
          <w:p w14:paraId="2DFDA0AA" w14:textId="0042FA89" w:rsidR="00683340" w:rsidRPr="00B93B0A" w:rsidRDefault="00683340" w:rsidP="00B93B0A">
            <w:pPr>
              <w:pStyle w:val="BoxHeading1"/>
            </w:pPr>
            <w:r w:rsidRPr="00B93B0A">
              <w:t>Box 2 – How the South Australian First Nations Voice will be able to hold the South Australian Government to account</w:t>
            </w:r>
          </w:p>
        </w:tc>
      </w:tr>
      <w:tr w:rsidR="00E50D2B" w14:paraId="3E3467FE" w14:textId="77777777" w:rsidTr="00683340">
        <w:tc>
          <w:tcPr>
            <w:tcW w:w="9638" w:type="dxa"/>
            <w:gridSpan w:val="2"/>
            <w:shd w:val="clear" w:color="auto" w:fill="FBF3EC"/>
            <w:tcMar>
              <w:top w:w="28" w:type="dxa"/>
              <w:left w:w="170" w:type="dxa"/>
              <w:bottom w:w="170" w:type="dxa"/>
              <w:right w:w="170" w:type="dxa"/>
            </w:tcMar>
            <w:hideMark/>
          </w:tcPr>
          <w:p w14:paraId="60182F1F" w14:textId="36521C44" w:rsidR="00E50D2B" w:rsidRDefault="000E4DD1" w:rsidP="006B6EA8">
            <w:pPr>
              <w:pStyle w:val="BodyText"/>
            </w:pPr>
            <w:r>
              <w:t xml:space="preserve">The </w:t>
            </w:r>
            <w:r w:rsidRPr="00A93112">
              <w:rPr>
                <w:i/>
                <w:iCs/>
              </w:rPr>
              <w:t xml:space="preserve">First Nations Voice </w:t>
            </w:r>
            <w:r w:rsidR="00AB387A" w:rsidRPr="00A93112">
              <w:rPr>
                <w:i/>
                <w:iCs/>
              </w:rPr>
              <w:t xml:space="preserve">Act </w:t>
            </w:r>
            <w:r w:rsidRPr="00A93112">
              <w:rPr>
                <w:i/>
                <w:iCs/>
              </w:rPr>
              <w:t>2023</w:t>
            </w:r>
            <w:r>
              <w:t xml:space="preserve"> </w:t>
            </w:r>
            <w:r w:rsidR="00AB387A">
              <w:t xml:space="preserve">(SA) </w:t>
            </w:r>
            <w:r>
              <w:t xml:space="preserve">passed the </w:t>
            </w:r>
            <w:r w:rsidR="00E23E65">
              <w:t xml:space="preserve">South Australian Parliament on </w:t>
            </w:r>
            <w:r w:rsidR="00E23E65" w:rsidRPr="00E23E65">
              <w:t>26</w:t>
            </w:r>
            <w:r w:rsidR="00FD58AA">
              <w:t> </w:t>
            </w:r>
            <w:r w:rsidR="00E23E65" w:rsidRPr="00E23E65">
              <w:t>March 2023</w:t>
            </w:r>
            <w:r w:rsidR="00930EA4">
              <w:t xml:space="preserve">, and the First </w:t>
            </w:r>
            <w:r w:rsidR="00FF5DE3">
              <w:t>Nations Voice will commence operation on 1</w:t>
            </w:r>
            <w:r w:rsidR="00FD58AA">
              <w:t> </w:t>
            </w:r>
            <w:r w:rsidR="00FF5DE3">
              <w:t>January 2024.</w:t>
            </w:r>
          </w:p>
          <w:p w14:paraId="06F50CAD" w14:textId="4CDE9AB1" w:rsidR="00E23E65" w:rsidRDefault="004A0DEB" w:rsidP="006B6EA8">
            <w:pPr>
              <w:pStyle w:val="BodyText"/>
            </w:pPr>
            <w:r>
              <w:t xml:space="preserve">Once </w:t>
            </w:r>
            <w:r w:rsidR="003535E6">
              <w:t xml:space="preserve">operational, </w:t>
            </w:r>
            <w:r>
              <w:t xml:space="preserve">the First Nations Voice </w:t>
            </w:r>
            <w:r w:rsidR="00617D2D">
              <w:t>‘</w:t>
            </w:r>
            <w:r w:rsidR="00617D2D" w:rsidRPr="00617D2D">
              <w:t>will be a connected, direct and independent line of communication for First Nations people to South Australia</w:t>
            </w:r>
            <w:r w:rsidR="002E761D">
              <w:t>’</w:t>
            </w:r>
            <w:r w:rsidR="00617D2D" w:rsidRPr="00617D2D">
              <w:t>s Parliament and the government</w:t>
            </w:r>
            <w:r w:rsidR="00617D2D">
              <w:t xml:space="preserve">’ </w:t>
            </w:r>
            <w:r w:rsidR="007844D4" w:rsidRPr="007844D4">
              <w:rPr>
                <w:rFonts w:ascii="Arial" w:hAnsi="Arial" w:cs="Arial"/>
                <w:szCs w:val="24"/>
              </w:rPr>
              <w:t>(SA Attorney-General’s Department 2023)</w:t>
            </w:r>
            <w:r w:rsidR="00C34D44">
              <w:t xml:space="preserve">. </w:t>
            </w:r>
            <w:r w:rsidR="00945648">
              <w:t xml:space="preserve">It will </w:t>
            </w:r>
            <w:r w:rsidR="00D250B8">
              <w:t>include six Local First Nations Voices and a State First Nations Voice.</w:t>
            </w:r>
          </w:p>
          <w:p w14:paraId="788420B4" w14:textId="7E654E08" w:rsidR="00A86A66" w:rsidRPr="00EF3314" w:rsidRDefault="00A86A66" w:rsidP="006B6EA8">
            <w:pPr>
              <w:pStyle w:val="BodyText"/>
              <w:rPr>
                <w:spacing w:val="-4"/>
              </w:rPr>
            </w:pPr>
            <w:r w:rsidRPr="00EF3314">
              <w:rPr>
                <w:spacing w:val="-4"/>
              </w:rPr>
              <w:t xml:space="preserve">The </w:t>
            </w:r>
            <w:r w:rsidR="00D250B8" w:rsidRPr="00EF3314">
              <w:rPr>
                <w:spacing w:val="-4"/>
              </w:rPr>
              <w:t xml:space="preserve">State </w:t>
            </w:r>
            <w:r w:rsidRPr="00EF3314">
              <w:rPr>
                <w:spacing w:val="-4"/>
              </w:rPr>
              <w:t xml:space="preserve">First Nations Voice </w:t>
            </w:r>
            <w:r w:rsidR="00D73594" w:rsidRPr="00EF3314">
              <w:rPr>
                <w:spacing w:val="-4"/>
              </w:rPr>
              <w:t>(</w:t>
            </w:r>
            <w:r w:rsidR="009511E9" w:rsidRPr="00EF3314">
              <w:rPr>
                <w:spacing w:val="-4"/>
              </w:rPr>
              <w:t>re</w:t>
            </w:r>
            <w:r w:rsidR="00D73594" w:rsidRPr="00EF3314">
              <w:rPr>
                <w:spacing w:val="-4"/>
              </w:rPr>
              <w:t xml:space="preserve">presented by its joint presiding members) </w:t>
            </w:r>
            <w:r w:rsidRPr="00EF3314">
              <w:rPr>
                <w:spacing w:val="-4"/>
              </w:rPr>
              <w:t xml:space="preserve">will have </w:t>
            </w:r>
            <w:r w:rsidR="004107AB" w:rsidRPr="00EF3314">
              <w:rPr>
                <w:spacing w:val="-4"/>
              </w:rPr>
              <w:t xml:space="preserve">several legislated functions that will </w:t>
            </w:r>
            <w:r w:rsidR="00AE24C0" w:rsidRPr="00EF3314">
              <w:rPr>
                <w:spacing w:val="-4"/>
              </w:rPr>
              <w:t>strengthen</w:t>
            </w:r>
            <w:r w:rsidR="004107AB" w:rsidRPr="00EF3314">
              <w:rPr>
                <w:spacing w:val="-4"/>
              </w:rPr>
              <w:t xml:space="preserve"> accountability for </w:t>
            </w:r>
            <w:r w:rsidR="00AE24C0" w:rsidRPr="00EF3314">
              <w:rPr>
                <w:spacing w:val="-4"/>
              </w:rPr>
              <w:t xml:space="preserve">Aboriginal and Torres Strait Islander people in South Australia. </w:t>
            </w:r>
          </w:p>
          <w:p w14:paraId="2316CEC8" w14:textId="0DF7F177" w:rsidR="00252686" w:rsidRPr="00252686" w:rsidRDefault="00252686" w:rsidP="006B6EA8">
            <w:pPr>
              <w:pStyle w:val="ListBullet"/>
            </w:pPr>
            <w:r>
              <w:t>It</w:t>
            </w:r>
            <w:r w:rsidRPr="00252686">
              <w:t xml:space="preserve"> will be notified of the introduction of </w:t>
            </w:r>
            <w:r w:rsidR="00C77127">
              <w:t>every</w:t>
            </w:r>
            <w:r w:rsidRPr="00252686">
              <w:t xml:space="preserve"> bill in </w:t>
            </w:r>
            <w:r w:rsidR="00163982">
              <w:t>both houses of parliament,</w:t>
            </w:r>
            <w:r w:rsidRPr="00252686">
              <w:t xml:space="preserve"> and will be able to address either house of parliament, but not both, in relation to any bill. </w:t>
            </w:r>
          </w:p>
          <w:p w14:paraId="396FD8C7" w14:textId="77777777" w:rsidR="00E678B7" w:rsidRDefault="00C77127" w:rsidP="006B6EA8">
            <w:pPr>
              <w:pStyle w:val="ListBullet"/>
            </w:pPr>
            <w:r>
              <w:t>Each year, it</w:t>
            </w:r>
            <w:r w:rsidR="00D94970">
              <w:t xml:space="preserve"> must deliver an annual report and address to a joint sitting of parliament</w:t>
            </w:r>
            <w:r w:rsidR="00E678B7">
              <w:t>.</w:t>
            </w:r>
          </w:p>
          <w:p w14:paraId="5F5DC896" w14:textId="547BDAFD" w:rsidR="005B4055" w:rsidRDefault="00E678B7" w:rsidP="006B6EA8">
            <w:pPr>
              <w:pStyle w:val="ListBullet"/>
            </w:pPr>
            <w:r>
              <w:t xml:space="preserve">It </w:t>
            </w:r>
            <w:r w:rsidR="00D94970">
              <w:t xml:space="preserve">may present a report to parliament on </w:t>
            </w:r>
            <w:r>
              <w:t xml:space="preserve">any </w:t>
            </w:r>
            <w:r w:rsidR="00D94970">
              <w:t xml:space="preserve">matters of interest to First Nations people. To ensure that the issues raised in these reports are appropriately considered, the </w:t>
            </w:r>
            <w:r>
              <w:t xml:space="preserve">relevant </w:t>
            </w:r>
            <w:r w:rsidR="00AB44BC">
              <w:t>M</w:t>
            </w:r>
            <w:r w:rsidR="00D94970">
              <w:t>inister</w:t>
            </w:r>
            <w:r>
              <w:t xml:space="preserve"> </w:t>
            </w:r>
            <w:r w:rsidR="00D94970">
              <w:t>is required to provide a response to the report</w:t>
            </w:r>
            <w:r w:rsidR="007D5D56">
              <w:t xml:space="preserve"> within six months</w:t>
            </w:r>
            <w:r w:rsidR="00D94970">
              <w:t>, including whether any action has been taken or is proposed to be taken.</w:t>
            </w:r>
            <w:r w:rsidR="005B4055">
              <w:t xml:space="preserve"> </w:t>
            </w:r>
          </w:p>
          <w:p w14:paraId="0B35549B" w14:textId="667E3722" w:rsidR="005B4055" w:rsidRDefault="0097067B" w:rsidP="006B6EA8">
            <w:pPr>
              <w:pStyle w:val="ListBullet"/>
            </w:pPr>
            <w:r>
              <w:t xml:space="preserve">It will meet </w:t>
            </w:r>
            <w:r w:rsidR="008C1AEC">
              <w:t xml:space="preserve">at least twice per year </w:t>
            </w:r>
            <w:r>
              <w:t xml:space="preserve">with </w:t>
            </w:r>
            <w:r w:rsidR="008C1AEC">
              <w:t>Cabinet</w:t>
            </w:r>
            <w:r w:rsidR="00AB44BC">
              <w:t>.</w:t>
            </w:r>
          </w:p>
          <w:p w14:paraId="75EAAFF9" w14:textId="2E8D0064" w:rsidR="003940DD" w:rsidRDefault="005B4055" w:rsidP="006B6EA8">
            <w:pPr>
              <w:pStyle w:val="ListBullet"/>
            </w:pPr>
            <w:r>
              <w:t>It will meet at least twice per year with</w:t>
            </w:r>
            <w:r w:rsidR="008C1AEC">
              <w:t xml:space="preserve"> chief executives of public sector organisations</w:t>
            </w:r>
            <w:r w:rsidR="00B6020B">
              <w:t xml:space="preserve"> </w:t>
            </w:r>
            <w:r w:rsidR="00AD56CB">
              <w:t xml:space="preserve">to be briefed by, and ask questions of, the </w:t>
            </w:r>
            <w:r w:rsidR="00B6020B">
              <w:t>c</w:t>
            </w:r>
            <w:r w:rsidR="00AD56CB">
              <w:t xml:space="preserve">hief </w:t>
            </w:r>
            <w:r w:rsidR="00B6020B">
              <w:t>e</w:t>
            </w:r>
            <w:r w:rsidR="00AD56CB">
              <w:t xml:space="preserve">xecutives present in relation to matters of interest </w:t>
            </w:r>
            <w:r w:rsidR="00611947">
              <w:t xml:space="preserve">it </w:t>
            </w:r>
            <w:r w:rsidR="00AD56CB">
              <w:t>identifie</w:t>
            </w:r>
            <w:r w:rsidR="00611947">
              <w:t>s</w:t>
            </w:r>
            <w:r w:rsidR="00AD56CB">
              <w:t>.</w:t>
            </w:r>
            <w:r w:rsidR="008C1AEC">
              <w:t xml:space="preserve"> </w:t>
            </w:r>
          </w:p>
          <w:p w14:paraId="3FF84EC5" w14:textId="5B943DD9" w:rsidR="00864B65" w:rsidRDefault="00D73594" w:rsidP="006B6EA8">
            <w:pPr>
              <w:pStyle w:val="ListBullet"/>
            </w:pPr>
            <w:r>
              <w:lastRenderedPageBreak/>
              <w:t xml:space="preserve">It will attend </w:t>
            </w:r>
            <w:r w:rsidR="00246F65">
              <w:t>en</w:t>
            </w:r>
            <w:r w:rsidR="008F735D">
              <w:t>gagement hearing</w:t>
            </w:r>
            <w:r w:rsidR="00246F65">
              <w:t>s</w:t>
            </w:r>
            <w:r w:rsidR="008F735D">
              <w:t xml:space="preserve"> to ask questions of </w:t>
            </w:r>
            <w:r w:rsidR="00246F65">
              <w:t>m</w:t>
            </w:r>
            <w:r w:rsidR="008F735D">
              <w:t xml:space="preserve">inisters and </w:t>
            </w:r>
            <w:r w:rsidR="00246F65">
              <w:t>c</w:t>
            </w:r>
            <w:r w:rsidR="008F735D">
              <w:t xml:space="preserve">hief </w:t>
            </w:r>
            <w:r w:rsidR="00246F65">
              <w:t>e</w:t>
            </w:r>
            <w:r w:rsidR="008F735D">
              <w:t xml:space="preserve">xecutives relating to the operations, expenditure, budget and priorities of </w:t>
            </w:r>
            <w:r w:rsidR="00246F65">
              <w:t>public sector organisations</w:t>
            </w:r>
            <w:r w:rsidR="00D94970">
              <w:t xml:space="preserve">. </w:t>
            </w:r>
          </w:p>
          <w:p w14:paraId="35EB02EF" w14:textId="40148040" w:rsidR="00864B65" w:rsidRDefault="001911BE" w:rsidP="006B6EA8">
            <w:pPr>
              <w:pStyle w:val="BodyText"/>
            </w:pPr>
            <w:r>
              <w:t xml:space="preserve">The </w:t>
            </w:r>
            <w:r w:rsidR="00F017B9">
              <w:t xml:space="preserve">exact manner in which </w:t>
            </w:r>
            <w:r w:rsidR="00560BE6">
              <w:t>many of these functions will operate remains to be determined, and will</w:t>
            </w:r>
            <w:r w:rsidR="00AF1FCE">
              <w:t xml:space="preserve"> be </w:t>
            </w:r>
            <w:r w:rsidR="00F017B9">
              <w:t xml:space="preserve">set </w:t>
            </w:r>
            <w:r w:rsidR="00AF1FCE">
              <w:t>by agreement between the joint presiding members of the State First Nations Voice and the Premier.</w:t>
            </w:r>
            <w:r w:rsidR="00AD0234">
              <w:t xml:space="preserve"> </w:t>
            </w:r>
            <w:r w:rsidR="00D924D3">
              <w:t>But the de</w:t>
            </w:r>
            <w:r w:rsidR="00181C70">
              <w:t xml:space="preserve">sire for the First Nations Voice to enhance accountability </w:t>
            </w:r>
            <w:r w:rsidR="00733517">
              <w:t xml:space="preserve">to Aboriginal and Torres Strait Islander people </w:t>
            </w:r>
            <w:r w:rsidR="00181C70">
              <w:t xml:space="preserve">was clearly articulated by the Premier. </w:t>
            </w:r>
          </w:p>
          <w:p w14:paraId="2A55F212" w14:textId="146EF29B" w:rsidR="00E50D2B" w:rsidRDefault="008F735D" w:rsidP="006B6EA8">
            <w:pPr>
              <w:pStyle w:val="Quote"/>
            </w:pPr>
            <w:r>
              <w:t>Th</w:t>
            </w:r>
            <w:r w:rsidR="00D94970">
              <w:t xml:space="preserve">e ability to directly address the South Australian </w:t>
            </w:r>
            <w:r w:rsidR="00D37AC4">
              <w:t>P</w:t>
            </w:r>
            <w:r w:rsidR="00D94970">
              <w:t>arliament and to engage with cabinet ministers and chief executives will give First Nations people the opportunity to influence decision</w:t>
            </w:r>
            <w:r w:rsidR="00FD58AA">
              <w:noBreakHyphen/>
            </w:r>
            <w:r w:rsidR="00D94970">
              <w:t>making at the highest levels and have their voices heard where it counts.</w:t>
            </w:r>
            <w:r w:rsidR="00BB0618">
              <w:t xml:space="preserve"> </w:t>
            </w:r>
            <w:r w:rsidR="002D7B4E" w:rsidRPr="002D7B4E">
              <w:rPr>
                <w:rFonts w:ascii="Arial" w:hAnsi="Arial" w:cs="Arial"/>
                <w:szCs w:val="24"/>
              </w:rPr>
              <w:t>(Malinauskas 2023)</w:t>
            </w:r>
          </w:p>
        </w:tc>
      </w:tr>
      <w:tr w:rsidR="00E50D2B" w14:paraId="6AFAB106" w14:textId="77777777" w:rsidTr="00EA06E0">
        <w:trPr>
          <w:hidden/>
        </w:trPr>
        <w:tc>
          <w:tcPr>
            <w:tcW w:w="9638" w:type="dxa"/>
            <w:gridSpan w:val="2"/>
            <w:shd w:val="clear" w:color="auto" w:fill="auto"/>
            <w:tcMar>
              <w:top w:w="0" w:type="dxa"/>
              <w:left w:w="170" w:type="dxa"/>
              <w:bottom w:w="0" w:type="dxa"/>
              <w:right w:w="170" w:type="dxa"/>
            </w:tcMar>
          </w:tcPr>
          <w:p w14:paraId="7B8651BD" w14:textId="55EBEBC3" w:rsidR="00E50D2B" w:rsidRPr="00465191" w:rsidRDefault="00E50D2B">
            <w:pPr>
              <w:pStyle w:val="BodyText"/>
              <w:spacing w:before="0" w:after="0" w:line="80" w:lineRule="atLeast"/>
              <w:rPr>
                <w:smallCaps/>
                <w:vanish/>
              </w:rPr>
            </w:pPr>
          </w:p>
        </w:tc>
      </w:tr>
    </w:tbl>
    <w:p w14:paraId="576B8813" w14:textId="4E7C453E" w:rsidR="00E50D2B" w:rsidRDefault="00B05E57" w:rsidP="00F4315D">
      <w:pPr>
        <w:pStyle w:val="BodyText"/>
        <w:keepNext/>
      </w:pPr>
      <w:r>
        <w:t xml:space="preserve">In </w:t>
      </w:r>
      <w:r w:rsidR="00533DA4">
        <w:t xml:space="preserve">several </w:t>
      </w:r>
      <w:r>
        <w:t>other jurisdictions, Aboriginal and Torres Strait Islander representative b</w:t>
      </w:r>
      <w:r w:rsidR="00C94E0D">
        <w:t xml:space="preserve">odies are also playing a role in enhancing accountability. </w:t>
      </w:r>
    </w:p>
    <w:p w14:paraId="3C82A693" w14:textId="59D3FE5C" w:rsidR="00230DC8" w:rsidRDefault="00C94E0D" w:rsidP="00C94E0D">
      <w:pPr>
        <w:pStyle w:val="ListBullet"/>
      </w:pPr>
      <w:r>
        <w:t xml:space="preserve">In the </w:t>
      </w:r>
      <w:r w:rsidR="00230DC8">
        <w:t>ACT</w:t>
      </w:r>
      <w:r>
        <w:t xml:space="preserve">, the </w:t>
      </w:r>
      <w:r w:rsidR="00A31099" w:rsidRPr="00C73D7A">
        <w:rPr>
          <w:i/>
          <w:iCs/>
        </w:rPr>
        <w:t>Aboriginal and Torres Strait Islander Elected Body Act 20</w:t>
      </w:r>
      <w:r w:rsidR="00C73D7A">
        <w:rPr>
          <w:i/>
          <w:iCs/>
        </w:rPr>
        <w:t>0</w:t>
      </w:r>
      <w:r w:rsidR="00A31099" w:rsidRPr="00C73D7A">
        <w:rPr>
          <w:i/>
          <w:iCs/>
        </w:rPr>
        <w:t>8</w:t>
      </w:r>
      <w:r w:rsidR="00A31099">
        <w:t xml:space="preserve"> gives the </w:t>
      </w:r>
      <w:r w:rsidR="00230DC8">
        <w:t>Aboriginal and Torres Strait Islander Elected Body</w:t>
      </w:r>
      <w:r>
        <w:t xml:space="preserve"> </w:t>
      </w:r>
      <w:r w:rsidR="005A17EF">
        <w:t xml:space="preserve">(ATSIEB) </w:t>
      </w:r>
      <w:r w:rsidR="00BD47AE" w:rsidRPr="00BD47AE">
        <w:t xml:space="preserve">the power to request information from the ACT Government and </w:t>
      </w:r>
      <w:r w:rsidR="00940EA0">
        <w:t xml:space="preserve">compel </w:t>
      </w:r>
      <w:r w:rsidR="00BD47AE" w:rsidRPr="00BD47AE">
        <w:t xml:space="preserve">executive officers of ACT Government agencies to appear at hearings. </w:t>
      </w:r>
      <w:r w:rsidR="00C9324D">
        <w:t>It also requires that t</w:t>
      </w:r>
      <w:r w:rsidR="00BD47AE" w:rsidRPr="00BD47AE">
        <w:t xml:space="preserve">he </w:t>
      </w:r>
      <w:r w:rsidR="00C9324D">
        <w:t>ACT G</w:t>
      </w:r>
      <w:r w:rsidR="00BD47AE" w:rsidRPr="00BD47AE">
        <w:t>overnment</w:t>
      </w:r>
      <w:r w:rsidR="00BD47AE" w:rsidRPr="00BD47AE" w:rsidDel="00C73D7A">
        <w:t xml:space="preserve"> </w:t>
      </w:r>
      <w:r w:rsidR="00BD47AE" w:rsidRPr="00BD47AE">
        <w:t xml:space="preserve">respond to reports on the ATSIEB’s public hearings within </w:t>
      </w:r>
      <w:r w:rsidR="005A17EF">
        <w:t xml:space="preserve">four </w:t>
      </w:r>
      <w:r w:rsidR="00BD47AE" w:rsidRPr="00BD47AE">
        <w:t>months of receiving those reports.</w:t>
      </w:r>
    </w:p>
    <w:p w14:paraId="48ED298D" w14:textId="0ED019EE" w:rsidR="00FE5F26" w:rsidRDefault="005D4C85" w:rsidP="00945B1A">
      <w:pPr>
        <w:pStyle w:val="ListBullet"/>
      </w:pPr>
      <w:r>
        <w:t xml:space="preserve">In Victoria, the </w:t>
      </w:r>
      <w:r w:rsidR="00230DC8">
        <w:t xml:space="preserve">First People’s Assembly of Victoria </w:t>
      </w:r>
      <w:r w:rsidR="006D620D">
        <w:t>speak out</w:t>
      </w:r>
      <w:r w:rsidR="003824B7">
        <w:t>s</w:t>
      </w:r>
      <w:r w:rsidR="006D620D">
        <w:t xml:space="preserve"> about iss</w:t>
      </w:r>
      <w:r w:rsidR="003824B7">
        <w:t xml:space="preserve">ues affecting Aboriginal and Torres Strait Islander people. For example, it called on the Victorian Government to </w:t>
      </w:r>
      <w:r w:rsidR="00034606" w:rsidRPr="00034606">
        <w:t>urgently raise the age of criminal responsibility to at least 14 years</w:t>
      </w:r>
      <w:r w:rsidR="00034606">
        <w:t xml:space="preserve"> </w:t>
      </w:r>
      <w:r w:rsidR="007179DF" w:rsidRPr="007179DF">
        <w:rPr>
          <w:rFonts w:ascii="Arial" w:hAnsi="Arial" w:cs="Arial"/>
          <w:szCs w:val="24"/>
        </w:rPr>
        <w:t>(First Peoples’ Assembly of Victoria 2022)</w:t>
      </w:r>
      <w:r w:rsidR="00034606" w:rsidRPr="00034606">
        <w:t>.</w:t>
      </w:r>
    </w:p>
    <w:p w14:paraId="1771CA8C" w14:textId="384D68A8" w:rsidR="00763EF6" w:rsidRDefault="002831FD" w:rsidP="000172EA">
      <w:pPr>
        <w:pStyle w:val="BodyText"/>
      </w:pPr>
      <w:r>
        <w:t xml:space="preserve">In the </w:t>
      </w:r>
      <w:r w:rsidR="007366E2">
        <w:t>Northern Territory</w:t>
      </w:r>
      <w:r>
        <w:t xml:space="preserve">, </w:t>
      </w:r>
      <w:r w:rsidR="000D3C27">
        <w:t xml:space="preserve">a </w:t>
      </w:r>
      <w:r w:rsidR="00763EF6">
        <w:t>p</w:t>
      </w:r>
      <w:r w:rsidR="000D3C27">
        <w:t xml:space="preserve">arliamentary </w:t>
      </w:r>
      <w:r w:rsidR="00763EF6">
        <w:t>i</w:t>
      </w:r>
      <w:r w:rsidRPr="002831FD">
        <w:t xml:space="preserve">nquiry into a </w:t>
      </w:r>
      <w:r w:rsidR="00763EF6">
        <w:t>p</w:t>
      </w:r>
      <w:r w:rsidRPr="002831FD">
        <w:t xml:space="preserve">rocess to </w:t>
      </w:r>
      <w:r w:rsidR="00763EF6">
        <w:t>r</w:t>
      </w:r>
      <w:r w:rsidRPr="002831FD">
        <w:t xml:space="preserve">eview </w:t>
      </w:r>
      <w:r w:rsidR="00763EF6">
        <w:t>b</w:t>
      </w:r>
      <w:r w:rsidRPr="002831FD">
        <w:t xml:space="preserve">ills for their </w:t>
      </w:r>
      <w:r w:rsidR="00763EF6">
        <w:t>i</w:t>
      </w:r>
      <w:r w:rsidRPr="002831FD">
        <w:t>mpact on First Nations Territorians</w:t>
      </w:r>
      <w:r w:rsidR="000D3C27">
        <w:t xml:space="preserve"> is underway. The </w:t>
      </w:r>
      <w:r w:rsidR="00763EF6">
        <w:t>inquiry will report in May 2024</w:t>
      </w:r>
      <w:r w:rsidR="00467DAB">
        <w:t xml:space="preserve"> </w:t>
      </w:r>
      <w:r w:rsidR="00467DAB" w:rsidRPr="00467DAB">
        <w:rPr>
          <w:rFonts w:ascii="Arial" w:hAnsi="Arial" w:cs="Arial"/>
          <w:szCs w:val="24"/>
        </w:rPr>
        <w:t>(Legislative Assembly of the Northern Territory 2023)</w:t>
      </w:r>
      <w:r w:rsidR="00414B99">
        <w:t xml:space="preserve">, with the report expected to examine the potential for an Aboriginal and Torres Strait Islander Voice to the NT Parliament. </w:t>
      </w:r>
    </w:p>
    <w:p w14:paraId="63BCC5F6" w14:textId="2F22E9F0" w:rsidR="000172EA" w:rsidRDefault="00733517" w:rsidP="000172EA">
      <w:pPr>
        <w:pStyle w:val="BodyText"/>
      </w:pPr>
      <w:r>
        <w:t>At a national level, a</w:t>
      </w:r>
      <w:r w:rsidR="00FE5F26">
        <w:t xml:space="preserve"> referendum on an Indigenous Voice to Parliament</w:t>
      </w:r>
      <w:r>
        <w:t xml:space="preserve"> will be held before the end of 2023</w:t>
      </w:r>
      <w:r w:rsidR="00FE5F26">
        <w:t xml:space="preserve">. </w:t>
      </w:r>
      <w:r w:rsidR="000172EA">
        <w:t xml:space="preserve">The proposed Voice would </w:t>
      </w:r>
      <w:r w:rsidR="000172EA" w:rsidRPr="00B51B10">
        <w:t xml:space="preserve">be a permanent body to make representations to the Australian Parliament and </w:t>
      </w:r>
      <w:r w:rsidR="00A6464A">
        <w:t>the Executive Government</w:t>
      </w:r>
      <w:r w:rsidR="00A6464A" w:rsidRPr="00B51B10">
        <w:t xml:space="preserve"> </w:t>
      </w:r>
      <w:r w:rsidR="000172EA" w:rsidRPr="00B51B10">
        <w:t xml:space="preserve">on legislation and policy of significance to Aboriginal and Torres Strait Islander peoples. </w:t>
      </w:r>
      <w:r w:rsidR="00A6464A">
        <w:t>The Voice would:</w:t>
      </w:r>
    </w:p>
    <w:p w14:paraId="5C036474" w14:textId="37A6CDB8" w:rsidR="000172EA" w:rsidRDefault="000172EA" w:rsidP="00A6464A">
      <w:pPr>
        <w:pStyle w:val="ListBullet"/>
      </w:pPr>
      <w:r>
        <w:t>make representations to the Parliament and the Executive Government on matters relating to Aboriginal and Torres Strait Islander peoples</w:t>
      </w:r>
    </w:p>
    <w:p w14:paraId="09319A2C" w14:textId="152EDA99" w:rsidR="000172EA" w:rsidRDefault="00A6464A" w:rsidP="00A6464A">
      <w:pPr>
        <w:pStyle w:val="ListBullet"/>
      </w:pPr>
      <w:r>
        <w:t>b</w:t>
      </w:r>
      <w:r w:rsidR="000172EA">
        <w:t>e able to make representations proactively</w:t>
      </w:r>
    </w:p>
    <w:p w14:paraId="4EF45044" w14:textId="1F14DE76" w:rsidR="000172EA" w:rsidRDefault="000172EA" w:rsidP="00A6464A">
      <w:pPr>
        <w:pStyle w:val="ListBullet"/>
      </w:pPr>
      <w:r>
        <w:t>be able to respond to requests for representations from the Parliament and the Executive Government</w:t>
      </w:r>
    </w:p>
    <w:p w14:paraId="0DB82915" w14:textId="4AC355AE" w:rsidR="000172EA" w:rsidRDefault="000172EA" w:rsidP="00A6464A">
      <w:pPr>
        <w:pStyle w:val="ListBullet"/>
      </w:pPr>
      <w:r>
        <w:t>have its own resources to allow it to research, develop and make representations</w:t>
      </w:r>
    </w:p>
    <w:p w14:paraId="04BBCD71" w14:textId="2E8BF642" w:rsidR="00A6464A" w:rsidRDefault="00A6464A" w:rsidP="00A6464A">
      <w:pPr>
        <w:pStyle w:val="ListBullet"/>
      </w:pPr>
      <w:r>
        <w:t xml:space="preserve">provide advice in writing to the Parliament and the Executive Government early in the development of proposed laws and policies </w:t>
      </w:r>
      <w:r w:rsidR="00185E3B" w:rsidRPr="00185E3B">
        <w:rPr>
          <w:rFonts w:ascii="Arial" w:hAnsi="Arial" w:cs="Arial"/>
          <w:szCs w:val="24"/>
        </w:rPr>
        <w:t>(Australian Government 2023b)</w:t>
      </w:r>
      <w:r>
        <w:t>.</w:t>
      </w:r>
    </w:p>
    <w:p w14:paraId="4513A520" w14:textId="7B611157" w:rsidR="00354BC0" w:rsidRDefault="000E143D" w:rsidP="007F0FFB">
      <w:pPr>
        <w:pStyle w:val="BodyText"/>
        <w:keepNext/>
      </w:pPr>
      <w:r>
        <w:t xml:space="preserve">In undertaking these functions, </w:t>
      </w:r>
      <w:r w:rsidR="00FE5F26">
        <w:rPr>
          <w:shd w:val="clear" w:color="auto" w:fill="FFFFFF"/>
        </w:rPr>
        <w:t>a Voice wou</w:t>
      </w:r>
      <w:r w:rsidR="00FE5F26">
        <w:t xml:space="preserve">ld </w:t>
      </w:r>
      <w:r w:rsidR="009305D3">
        <w:t>contribute to accountability and, in time, become a key player in governance and oversight</w:t>
      </w:r>
      <w:r>
        <w:t xml:space="preserve"> of matters affecting </w:t>
      </w:r>
      <w:r>
        <w:rPr>
          <w:shd w:val="clear" w:color="auto" w:fill="FFFFFF"/>
        </w:rPr>
        <w:t xml:space="preserve">Aboriginal and Torres Strait Islander people. </w:t>
      </w:r>
      <w:r w:rsidR="00610EC8">
        <w:rPr>
          <w:shd w:val="clear" w:color="auto" w:fill="FFFFFF"/>
        </w:rPr>
        <w:t xml:space="preserve">A national </w:t>
      </w:r>
      <w:r w:rsidR="00610EC8">
        <w:rPr>
          <w:shd w:val="clear" w:color="auto" w:fill="FFFFFF"/>
        </w:rPr>
        <w:lastRenderedPageBreak/>
        <w:t xml:space="preserve">Voice could also affect accountability arrangements at the state and territory level. For example, the </w:t>
      </w:r>
      <w:r w:rsidR="00354BC0">
        <w:t>Western Australian Government noted</w:t>
      </w:r>
      <w:r w:rsidR="00610EC8">
        <w:t xml:space="preserve"> that</w:t>
      </w:r>
      <w:r w:rsidR="00354BC0">
        <w:t>:</w:t>
      </w:r>
    </w:p>
    <w:p w14:paraId="1DB2A17B" w14:textId="5784D2D9" w:rsidR="00354BC0" w:rsidRPr="00EF3314" w:rsidRDefault="00354BC0" w:rsidP="00354BC0">
      <w:pPr>
        <w:pStyle w:val="Quote"/>
        <w:rPr>
          <w:spacing w:val="2"/>
        </w:rPr>
      </w:pPr>
      <w:r w:rsidRPr="00EF3314">
        <w:rPr>
          <w:spacing w:val="2"/>
        </w:rPr>
        <w:t xml:space="preserve">The Voice is likely to have a practical impact on the design and establishment of governance and accountability settings for WA at the State, regional and local level over the next three years. </w:t>
      </w:r>
      <w:r w:rsidR="0061518E" w:rsidRPr="00EF3314">
        <w:rPr>
          <w:rFonts w:cs="Arial"/>
          <w:spacing w:val="2"/>
          <w:szCs w:val="24"/>
        </w:rPr>
        <w:t>(2022, p. 24)</w:t>
      </w:r>
    </w:p>
    <w:p w14:paraId="3A683C79" w14:textId="00F9B4F4" w:rsidR="00073C32" w:rsidRDefault="00C0698A" w:rsidP="00194F7E">
      <w:pPr>
        <w:pStyle w:val="Heading4"/>
      </w:pPr>
      <w:r>
        <w:t>Treaty</w:t>
      </w:r>
    </w:p>
    <w:p w14:paraId="00B60CE9" w14:textId="0ACEE40C" w:rsidR="009A3633" w:rsidRDefault="001D4411" w:rsidP="00EF1C23">
      <w:pPr>
        <w:pStyle w:val="BodyText"/>
      </w:pPr>
      <w:r w:rsidRPr="0023766A">
        <w:t xml:space="preserve">States and </w:t>
      </w:r>
      <w:r w:rsidR="00DA5077" w:rsidRPr="0023766A">
        <w:t>t</w:t>
      </w:r>
      <w:r w:rsidRPr="0023766A">
        <w:t xml:space="preserve">erritories are at various stages of negotiating Treaties </w:t>
      </w:r>
      <w:r w:rsidR="00BD1F14" w:rsidRPr="0023766A">
        <w:t>with Aboriginal and Torres Strait Islander people</w:t>
      </w:r>
      <w:r w:rsidR="00BE66FF" w:rsidRPr="0023766A">
        <w:t xml:space="preserve">. </w:t>
      </w:r>
      <w:r w:rsidR="005C6345">
        <w:t xml:space="preserve">Victoria, Queensland, the ACT and the </w:t>
      </w:r>
      <w:r w:rsidR="00C369A1">
        <w:t>Northern Territory</w:t>
      </w:r>
      <w:r w:rsidR="00C369A1" w:rsidRPr="00C369A1">
        <w:t xml:space="preserve"> </w:t>
      </w:r>
      <w:r w:rsidR="00C369A1">
        <w:t xml:space="preserve">have commenced processes to facilitate Treaty negotiations. </w:t>
      </w:r>
    </w:p>
    <w:p w14:paraId="6CB44D40" w14:textId="19624EED" w:rsidR="003D0D92" w:rsidRDefault="0004701B" w:rsidP="00EF1C23">
      <w:pPr>
        <w:pStyle w:val="BodyText"/>
      </w:pPr>
      <w:r>
        <w:t>The T</w:t>
      </w:r>
      <w:r w:rsidR="00C369A1">
        <w:t>r</w:t>
      </w:r>
      <w:r w:rsidR="00B33E13" w:rsidRPr="0023766A">
        <w:t xml:space="preserve">eaty </w:t>
      </w:r>
      <w:r w:rsidR="003F3B71">
        <w:t>n</w:t>
      </w:r>
      <w:r w:rsidR="00B33E13" w:rsidRPr="0023766A">
        <w:t xml:space="preserve">egotiating framework </w:t>
      </w:r>
      <w:r>
        <w:t xml:space="preserve">that </w:t>
      </w:r>
      <w:r w:rsidR="00B33E13" w:rsidRPr="0023766A">
        <w:t>ha</w:t>
      </w:r>
      <w:r w:rsidR="00C369A1">
        <w:t>s</w:t>
      </w:r>
      <w:r w:rsidR="00B33E13" w:rsidRPr="0023766A">
        <w:t xml:space="preserve"> been </w:t>
      </w:r>
      <w:r w:rsidR="006B6970" w:rsidRPr="0023766A">
        <w:t>agreed to</w:t>
      </w:r>
      <w:r w:rsidR="00CC27D0">
        <w:t xml:space="preserve"> in Victoria</w:t>
      </w:r>
      <w:r w:rsidR="006B6970" w:rsidRPr="0023766A">
        <w:t xml:space="preserve"> </w:t>
      </w:r>
      <w:r w:rsidR="00535322" w:rsidRPr="0023766A">
        <w:t>point</w:t>
      </w:r>
      <w:r w:rsidR="00C369A1">
        <w:t>s</w:t>
      </w:r>
      <w:r w:rsidR="00535322" w:rsidRPr="0023766A">
        <w:t xml:space="preserve"> to the ways in which </w:t>
      </w:r>
      <w:r w:rsidR="00C961AE">
        <w:t xml:space="preserve">a future Treaty </w:t>
      </w:r>
      <w:r w:rsidR="00535322" w:rsidRPr="0023766A">
        <w:t xml:space="preserve">may </w:t>
      </w:r>
      <w:r w:rsidR="000D2589">
        <w:t xml:space="preserve">enhance accountability for </w:t>
      </w:r>
      <w:r w:rsidR="008F551F">
        <w:t xml:space="preserve">the </w:t>
      </w:r>
      <w:r w:rsidR="000D2589">
        <w:t xml:space="preserve">matters </w:t>
      </w:r>
      <w:r w:rsidR="008F551F">
        <w:t xml:space="preserve">it </w:t>
      </w:r>
      <w:r w:rsidR="000D2589">
        <w:t>cover</w:t>
      </w:r>
      <w:r w:rsidR="008F551F">
        <w:t>s</w:t>
      </w:r>
      <w:r w:rsidR="00535322" w:rsidRPr="0023766A">
        <w:t xml:space="preserve">. </w:t>
      </w:r>
      <w:r w:rsidR="003F3B71">
        <w:t>The</w:t>
      </w:r>
      <w:r w:rsidR="00AC09B2" w:rsidRPr="0023766A">
        <w:t xml:space="preserve"> </w:t>
      </w:r>
      <w:r w:rsidR="003F3B71">
        <w:t xml:space="preserve">Victorian </w:t>
      </w:r>
      <w:r w:rsidR="00AC09B2" w:rsidRPr="0023766A">
        <w:t xml:space="preserve">Treaty </w:t>
      </w:r>
      <w:r w:rsidR="00ED2557" w:rsidRPr="0023766A">
        <w:t>Negotiation</w:t>
      </w:r>
      <w:r w:rsidR="00AC09B2" w:rsidRPr="0023766A">
        <w:t xml:space="preserve"> </w:t>
      </w:r>
      <w:r w:rsidR="00ED2557" w:rsidRPr="0023766A">
        <w:t xml:space="preserve">Framework </w:t>
      </w:r>
      <w:r w:rsidR="003D0D92" w:rsidRPr="0023766A">
        <w:t>provides</w:t>
      </w:r>
      <w:r w:rsidR="00DB36A3" w:rsidRPr="0023766A">
        <w:t xml:space="preserve"> that a Treaty </w:t>
      </w:r>
      <w:r w:rsidR="003D0D92" w:rsidRPr="0023766A">
        <w:t>should include a culturally appropriate process for the resolution of disputes</w:t>
      </w:r>
      <w:r w:rsidR="000D2589">
        <w:t>,</w:t>
      </w:r>
      <w:r w:rsidR="003D0D92" w:rsidRPr="0023766A">
        <w:t xml:space="preserve"> </w:t>
      </w:r>
      <w:r w:rsidR="0023766A" w:rsidRPr="0023766A">
        <w:t>and envisages the creation of institutions and arrangements</w:t>
      </w:r>
      <w:r w:rsidR="00D920CD">
        <w:t>,</w:t>
      </w:r>
      <w:r w:rsidR="0023766A" w:rsidRPr="0023766A">
        <w:t xml:space="preserve"> such as a tribunal</w:t>
      </w:r>
      <w:r w:rsidR="00D920CD">
        <w:t>,</w:t>
      </w:r>
      <w:r w:rsidR="0023766A" w:rsidRPr="0023766A">
        <w:t xml:space="preserve"> that parties </w:t>
      </w:r>
      <w:r w:rsidR="000D2589">
        <w:t>c</w:t>
      </w:r>
      <w:r w:rsidR="00D920CD">
        <w:t>ould</w:t>
      </w:r>
      <w:r w:rsidR="000D2589">
        <w:t xml:space="preserve"> use </w:t>
      </w:r>
      <w:r w:rsidR="0023766A" w:rsidRPr="0023766A">
        <w:t>to enforce Treaty</w:t>
      </w:r>
      <w:r w:rsidR="000D2589">
        <w:t xml:space="preserve"> commitments</w:t>
      </w:r>
      <w:r w:rsidR="00F35008" w:rsidRPr="00F35008">
        <w:t xml:space="preserve">. </w:t>
      </w:r>
      <w:r w:rsidR="009C317C">
        <w:t xml:space="preserve">And Treaty commitments may </w:t>
      </w:r>
      <w:r w:rsidR="00FD4D46">
        <w:t>cover a very wide range of subjects</w:t>
      </w:r>
      <w:r w:rsidR="00EF1C23">
        <w:t xml:space="preserve"> across all domains of the Victorian Government’s operations </w:t>
      </w:r>
      <w:r w:rsidR="00F826ED" w:rsidRPr="00F826ED">
        <w:rPr>
          <w:rFonts w:ascii="Arial" w:hAnsi="Arial" w:cs="Arial"/>
          <w:szCs w:val="24"/>
        </w:rPr>
        <w:t>(First Peoples’ Assembly of Victoria and the State of Victoria 2022)</w:t>
      </w:r>
      <w:r w:rsidR="0023766A" w:rsidRPr="0023766A">
        <w:t>.</w:t>
      </w:r>
      <w:r w:rsidR="000D2589">
        <w:t xml:space="preserve"> </w:t>
      </w:r>
      <w:r w:rsidR="001565A2">
        <w:t xml:space="preserve">There is therefore potential </w:t>
      </w:r>
      <w:r w:rsidR="003F3B71">
        <w:t xml:space="preserve">that, once </w:t>
      </w:r>
      <w:r w:rsidR="005C0012">
        <w:t xml:space="preserve">a Treaty or </w:t>
      </w:r>
      <w:r w:rsidR="003F3B71">
        <w:t xml:space="preserve">Treaties are agreed, they will </w:t>
      </w:r>
      <w:r w:rsidR="001565A2">
        <w:t xml:space="preserve">provide strong new </w:t>
      </w:r>
      <w:r w:rsidR="00181FF6">
        <w:t>avenues</w:t>
      </w:r>
      <w:r w:rsidR="001565A2">
        <w:t xml:space="preserve"> for enforcing </w:t>
      </w:r>
      <w:r w:rsidR="00181FF6">
        <w:t xml:space="preserve">governments’ </w:t>
      </w:r>
      <w:r w:rsidR="001565A2">
        <w:t xml:space="preserve">accountability to </w:t>
      </w:r>
      <w:r w:rsidR="001565A2" w:rsidRPr="0023766A">
        <w:t>Aboriginal and Torres Strait Islander people</w:t>
      </w:r>
      <w:r w:rsidR="005C0012">
        <w:t xml:space="preserve"> in Victoria</w:t>
      </w:r>
      <w:r w:rsidR="001565A2">
        <w:t>.</w:t>
      </w:r>
    </w:p>
    <w:p w14:paraId="1BA1938D" w14:textId="77777777" w:rsidR="00194F7E" w:rsidRDefault="00C0698A" w:rsidP="00194F7E">
      <w:pPr>
        <w:pStyle w:val="Heading4"/>
      </w:pPr>
      <w:r>
        <w:t>Truth</w:t>
      </w:r>
    </w:p>
    <w:p w14:paraId="045BEDB8" w14:textId="580D1D7D" w:rsidR="008147E5" w:rsidRDefault="008147E5" w:rsidP="008147E5">
      <w:pPr>
        <w:pStyle w:val="BodyText"/>
      </w:pPr>
      <w:r>
        <w:t>Victoria established a</w:t>
      </w:r>
      <w:r w:rsidR="0007218D" w:rsidRPr="0007218D">
        <w:t xml:space="preserve"> formal truth</w:t>
      </w:r>
      <w:r w:rsidR="00FD58AA">
        <w:noBreakHyphen/>
      </w:r>
      <w:r w:rsidR="0007218D" w:rsidRPr="0007218D">
        <w:t xml:space="preserve">telling process into historical and ongoing injustices experienced by </w:t>
      </w:r>
      <w:r w:rsidR="0007218D">
        <w:t>Aboriginal and Torres Strait Islander people</w:t>
      </w:r>
      <w:r w:rsidR="00D351E3">
        <w:t xml:space="preserve"> in 2022</w:t>
      </w:r>
      <w:r w:rsidR="0007218D">
        <w:t xml:space="preserve">. </w:t>
      </w:r>
      <w:r w:rsidR="009E79E6">
        <w:t xml:space="preserve">The Yoorrook Justice Commission </w:t>
      </w:r>
      <w:r w:rsidR="00527436">
        <w:t xml:space="preserve">is </w:t>
      </w:r>
      <w:r w:rsidR="009E79E6" w:rsidRPr="009E79E6">
        <w:t>look</w:t>
      </w:r>
      <w:r w:rsidR="00527436">
        <w:t>ing</w:t>
      </w:r>
      <w:r w:rsidR="009E79E6" w:rsidRPr="009E79E6">
        <w:t xml:space="preserve"> into past and ongoing injustices experienced by Traditional Owners and First Peoples in Victoria in all areas of life since colonisation</w:t>
      </w:r>
      <w:r w:rsidR="00013C55">
        <w:t xml:space="preserve"> </w:t>
      </w:r>
      <w:r w:rsidR="009B78CC" w:rsidRPr="009B78CC">
        <w:rPr>
          <w:rFonts w:ascii="Arial" w:hAnsi="Arial" w:cs="Arial"/>
          <w:szCs w:val="24"/>
        </w:rPr>
        <w:t>(Yoorrook Justice Commission 2023)</w:t>
      </w:r>
      <w:r w:rsidR="009E79E6" w:rsidRPr="009E79E6">
        <w:t>.</w:t>
      </w:r>
    </w:p>
    <w:p w14:paraId="7B55CF20" w14:textId="0E5717A2" w:rsidR="00024297" w:rsidRDefault="009B78CC" w:rsidP="00E1060A">
      <w:pPr>
        <w:pStyle w:val="BodyText"/>
        <w:keepNext/>
      </w:pPr>
      <w:r>
        <w:t xml:space="preserve">Yoorook has a clear role in </w:t>
      </w:r>
      <w:r w:rsidR="00E36B5C">
        <w:t xml:space="preserve">delivering accountability </w:t>
      </w:r>
      <w:r w:rsidR="007B2103">
        <w:t xml:space="preserve">– one of its </w:t>
      </w:r>
      <w:r w:rsidR="00024297">
        <w:t xml:space="preserve">objectives </w:t>
      </w:r>
      <w:r w:rsidR="007B2103">
        <w:t>i</w:t>
      </w:r>
      <w:r w:rsidR="00024297">
        <w:t>s to</w:t>
      </w:r>
      <w:r w:rsidR="00B66D81">
        <w:t>:</w:t>
      </w:r>
    </w:p>
    <w:p w14:paraId="628785E2" w14:textId="74D4A03E" w:rsidR="00C0698A" w:rsidRDefault="00024297" w:rsidP="0056759C">
      <w:pPr>
        <w:pStyle w:val="Quote"/>
      </w:pPr>
      <w:r>
        <w:t>Identify Systemic Injustice which currently impedes First Peop</w:t>
      </w:r>
      <w:r w:rsidR="009F7D17">
        <w:t>l</w:t>
      </w:r>
      <w:r>
        <w:t>es</w:t>
      </w:r>
      <w:r w:rsidR="009F7D17">
        <w:t xml:space="preserve"> </w:t>
      </w:r>
      <w:r w:rsidR="009E0046">
        <w:t xml:space="preserve">achieving </w:t>
      </w:r>
      <w:r>
        <w:t>self</w:t>
      </w:r>
      <w:r w:rsidR="00FD58AA">
        <w:noBreakHyphen/>
      </w:r>
      <w:r>
        <w:t>determination and equality and make recommendation</w:t>
      </w:r>
      <w:r w:rsidR="009E0046">
        <w:t xml:space="preserve">s </w:t>
      </w:r>
      <w:r w:rsidR="0056759C">
        <w:t xml:space="preserve">to </w:t>
      </w:r>
      <w:r>
        <w:t>address</w:t>
      </w:r>
      <w:r w:rsidR="009E0046">
        <w:t xml:space="preserve"> </w:t>
      </w:r>
      <w:r w:rsidR="0056759C">
        <w:t xml:space="preserve">them, </w:t>
      </w:r>
      <w:r>
        <w:t xml:space="preserve">improve State accountability and prevent continuation or </w:t>
      </w:r>
      <w:r w:rsidR="0056759C">
        <w:t>recurrence of Systemic</w:t>
      </w:r>
      <w:r w:rsidR="009E0046">
        <w:t xml:space="preserve"> </w:t>
      </w:r>
      <w:r>
        <w:t>Injustice.</w:t>
      </w:r>
      <w:r w:rsidR="00B66D81">
        <w:t xml:space="preserve"> </w:t>
      </w:r>
      <w:r w:rsidR="00F550D2">
        <w:t>(Letters Patent establishing the Yoorrook Justice Commission, cl</w:t>
      </w:r>
      <w:r w:rsidR="00CA16CC">
        <w:t>ause</w:t>
      </w:r>
      <w:r w:rsidR="00F550D2">
        <w:t xml:space="preserve"> </w:t>
      </w:r>
      <w:r w:rsidR="003009C7">
        <w:t>2)</w:t>
      </w:r>
    </w:p>
    <w:p w14:paraId="123ACBCB" w14:textId="3145BCCC" w:rsidR="00FF1743" w:rsidRDefault="00504190" w:rsidP="007D1F62">
      <w:pPr>
        <w:pStyle w:val="BodyText"/>
      </w:pPr>
      <w:r>
        <w:t xml:space="preserve">Yoorook </w:t>
      </w:r>
      <w:r w:rsidR="00C970E3">
        <w:t>has a</w:t>
      </w:r>
      <w:r w:rsidR="00C11BA1">
        <w:t xml:space="preserve"> three</w:t>
      </w:r>
      <w:r w:rsidR="00FD58AA">
        <w:noBreakHyphen/>
      </w:r>
      <w:r w:rsidR="00C11BA1">
        <w:t>year</w:t>
      </w:r>
      <w:r w:rsidR="00C970E3">
        <w:t xml:space="preserve"> term</w:t>
      </w:r>
      <w:r w:rsidR="00C11BA1">
        <w:t xml:space="preserve">, and will </w:t>
      </w:r>
      <w:r>
        <w:t>deliver its final report and conclude in June 2025</w:t>
      </w:r>
      <w:r w:rsidR="008A1A06">
        <w:t xml:space="preserve"> </w:t>
      </w:r>
      <w:r w:rsidR="008A1A06" w:rsidRPr="009B78CC">
        <w:rPr>
          <w:rFonts w:ascii="Arial" w:hAnsi="Arial" w:cs="Arial"/>
          <w:szCs w:val="24"/>
        </w:rPr>
        <w:t>(Yoorrook Justice Commission 2023)</w:t>
      </w:r>
      <w:r>
        <w:t xml:space="preserve">. </w:t>
      </w:r>
      <w:r w:rsidR="00C11BA1">
        <w:t>Similarly, t</w:t>
      </w:r>
      <w:r w:rsidR="007A0BF4">
        <w:t xml:space="preserve">he </w:t>
      </w:r>
      <w:r w:rsidR="007D1F62">
        <w:t>Truth</w:t>
      </w:r>
      <w:r w:rsidR="00FD58AA">
        <w:noBreakHyphen/>
      </w:r>
      <w:r w:rsidR="007D1F62">
        <w:t>telling and Healing Inquiry</w:t>
      </w:r>
      <w:r w:rsidR="007A0BF4">
        <w:t xml:space="preserve"> </w:t>
      </w:r>
      <w:r w:rsidR="009439BC">
        <w:t>that will</w:t>
      </w:r>
      <w:r w:rsidR="007A0BF4">
        <w:t xml:space="preserve"> be established in Queensland </w:t>
      </w:r>
      <w:r w:rsidR="00C11BA1">
        <w:t xml:space="preserve">under the </w:t>
      </w:r>
      <w:r w:rsidR="00107812">
        <w:rPr>
          <w:i/>
          <w:iCs/>
        </w:rPr>
        <w:t>Path to Treaty</w:t>
      </w:r>
      <w:r w:rsidR="00741A84">
        <w:rPr>
          <w:i/>
          <w:iCs/>
        </w:rPr>
        <w:t xml:space="preserve"> </w:t>
      </w:r>
      <w:r w:rsidR="00107812">
        <w:rPr>
          <w:i/>
          <w:iCs/>
        </w:rPr>
        <w:t>Act 2023</w:t>
      </w:r>
      <w:r w:rsidR="00726E10">
        <w:rPr>
          <w:i/>
          <w:iCs/>
        </w:rPr>
        <w:t xml:space="preserve"> </w:t>
      </w:r>
      <w:r w:rsidR="00726E10">
        <w:t>(</w:t>
      </w:r>
      <w:r w:rsidR="005E4B6B">
        <w:t>Qld</w:t>
      </w:r>
      <w:r w:rsidR="00726E10">
        <w:t>)</w:t>
      </w:r>
      <w:r w:rsidR="00741A84">
        <w:rPr>
          <w:i/>
          <w:iCs/>
        </w:rPr>
        <w:t xml:space="preserve"> </w:t>
      </w:r>
      <w:r w:rsidR="007A0BF4">
        <w:t xml:space="preserve">will </w:t>
      </w:r>
      <w:r w:rsidR="009439BC">
        <w:t>operate for</w:t>
      </w:r>
      <w:r w:rsidR="00741A84">
        <w:t xml:space="preserve"> a period of three years</w:t>
      </w:r>
      <w:r w:rsidR="00887682">
        <w:t xml:space="preserve">, and will inquire into the historical and ongoing impacts of colonisation on Aboriginal and Torres Strait Islander Queenslanders. </w:t>
      </w:r>
    </w:p>
    <w:p w14:paraId="4725A0AB" w14:textId="6A894CCD" w:rsidR="0061352E" w:rsidRDefault="00527436" w:rsidP="007D1F62">
      <w:pPr>
        <w:pStyle w:val="BodyText"/>
      </w:pPr>
      <w:r>
        <w:t>Given their m</w:t>
      </w:r>
      <w:r w:rsidR="005127BD">
        <w:t>ulti</w:t>
      </w:r>
      <w:r w:rsidR="00FD58AA">
        <w:noBreakHyphen/>
      </w:r>
      <w:r w:rsidR="005127BD">
        <w:t>year</w:t>
      </w:r>
      <w:r w:rsidR="0061352E">
        <w:t xml:space="preserve"> time </w:t>
      </w:r>
      <w:r w:rsidR="005127BD">
        <w:t>frames</w:t>
      </w:r>
      <w:r w:rsidR="0061352E">
        <w:t xml:space="preserve">, </w:t>
      </w:r>
      <w:r w:rsidR="001064B5">
        <w:t xml:space="preserve">broad </w:t>
      </w:r>
      <w:r w:rsidR="0061352E">
        <w:t xml:space="preserve">remits </w:t>
      </w:r>
      <w:r w:rsidR="005127BD">
        <w:t>and</w:t>
      </w:r>
      <w:r w:rsidR="0061352E">
        <w:t xml:space="preserve"> </w:t>
      </w:r>
      <w:r w:rsidR="005127BD">
        <w:t>potentially</w:t>
      </w:r>
      <w:r w:rsidR="0061352E">
        <w:t xml:space="preserve"> large workloads</w:t>
      </w:r>
      <w:r>
        <w:t xml:space="preserve">, it is unlikely that </w:t>
      </w:r>
      <w:r w:rsidR="005127BD">
        <w:t>truth</w:t>
      </w:r>
      <w:r>
        <w:noBreakHyphen/>
      </w:r>
      <w:r w:rsidR="005127BD">
        <w:t xml:space="preserve">telling inquiries </w:t>
      </w:r>
      <w:r>
        <w:t xml:space="preserve">will play a </w:t>
      </w:r>
      <w:r w:rsidR="002E2A0C">
        <w:t xml:space="preserve">large or </w:t>
      </w:r>
      <w:r>
        <w:t>direct role in enhancing accountability for Closing the Gap commitments. But the issues th</w:t>
      </w:r>
      <w:r w:rsidR="003B0724">
        <w:t xml:space="preserve">at </w:t>
      </w:r>
      <w:r w:rsidR="001064B5">
        <w:t>these</w:t>
      </w:r>
      <w:r w:rsidR="003B0724">
        <w:t xml:space="preserve"> inquiries </w:t>
      </w:r>
      <w:r>
        <w:t xml:space="preserve">raise and the recommendations they make will </w:t>
      </w:r>
      <w:r w:rsidR="001064B5">
        <w:t xml:space="preserve">provide </w:t>
      </w:r>
      <w:r w:rsidR="0000387D">
        <w:t xml:space="preserve">guidance on how to enhance governance </w:t>
      </w:r>
      <w:r w:rsidR="00AC320F">
        <w:t xml:space="preserve">and accountability </w:t>
      </w:r>
      <w:r w:rsidR="0000387D">
        <w:t>arrangements going forward.</w:t>
      </w:r>
    </w:p>
    <w:p w14:paraId="7655648A" w14:textId="77777777" w:rsidR="00A72354" w:rsidRDefault="00A72354" w:rsidP="00A72354">
      <w:pPr>
        <w:pStyle w:val="Heading3"/>
      </w:pPr>
      <w:r>
        <w:t>An expanded role for the i</w:t>
      </w:r>
      <w:r w:rsidRPr="00F566D7">
        <w:t>ndependent mechanism</w:t>
      </w:r>
      <w:r>
        <w:t>?</w:t>
      </w:r>
    </w:p>
    <w:p w14:paraId="6B3A33BB" w14:textId="548C800C" w:rsidR="00C728A9" w:rsidRPr="00C728A9" w:rsidRDefault="00C728A9" w:rsidP="00C728A9">
      <w:pPr>
        <w:pStyle w:val="Heading4"/>
      </w:pPr>
      <w:r>
        <w:t xml:space="preserve">Better recognising the interdependency of the </w:t>
      </w:r>
      <w:r w:rsidR="004E26B3">
        <w:t>Priority Reform</w:t>
      </w:r>
      <w:r>
        <w:t xml:space="preserve">s </w:t>
      </w:r>
    </w:p>
    <w:p w14:paraId="094C9305" w14:textId="56C070B4" w:rsidR="00942CD3" w:rsidRDefault="002A3983" w:rsidP="00016A21">
      <w:pPr>
        <w:pStyle w:val="BodyText"/>
      </w:pPr>
      <w:r>
        <w:t xml:space="preserve">A key mechanism </w:t>
      </w:r>
      <w:r w:rsidR="00CA0180">
        <w:t xml:space="preserve">for accountability </w:t>
      </w:r>
      <w:r w:rsidR="00FA19C2">
        <w:t>with</w:t>
      </w:r>
      <w:r w:rsidR="005B5957">
        <w:t>in</w:t>
      </w:r>
      <w:r w:rsidR="00FA19C2">
        <w:t xml:space="preserve"> the Agreement is the </w:t>
      </w:r>
      <w:r w:rsidR="00FA19C2" w:rsidRPr="00C64F55">
        <w:t>independent mechanism</w:t>
      </w:r>
      <w:r w:rsidR="00FA19C2">
        <w:t xml:space="preserve"> </w:t>
      </w:r>
      <w:r w:rsidR="00073C32">
        <w:t>(</w:t>
      </w:r>
      <w:r w:rsidR="00073C32" w:rsidRPr="00FA54AA">
        <w:t>box</w:t>
      </w:r>
      <w:r w:rsidR="00FD58AA">
        <w:t> </w:t>
      </w:r>
      <w:r w:rsidR="009A3D45">
        <w:t>1</w:t>
      </w:r>
      <w:r w:rsidR="00073C32" w:rsidRPr="00FA54AA">
        <w:t>).</w:t>
      </w:r>
      <w:r w:rsidR="008116B9">
        <w:t xml:space="preserve"> </w:t>
      </w:r>
      <w:r w:rsidR="00942CD3">
        <w:t>However, as discussed in information paper 4</w:t>
      </w:r>
      <w:r w:rsidR="00942CD3" w:rsidRPr="00FA54AA">
        <w:t>,</w:t>
      </w:r>
      <w:r w:rsidR="00942CD3" w:rsidRPr="009B372E">
        <w:t xml:space="preserve"> </w:t>
      </w:r>
      <w:r w:rsidR="00F91644">
        <w:t xml:space="preserve">there has been limited progress on putting in place an </w:t>
      </w:r>
      <w:r w:rsidR="00F91644" w:rsidRPr="00AE4347">
        <w:rPr>
          <w:bCs/>
        </w:rPr>
        <w:t xml:space="preserve">independent </w:t>
      </w:r>
      <w:r w:rsidR="00F91644" w:rsidRPr="00AE4347">
        <w:rPr>
          <w:bCs/>
        </w:rPr>
        <w:lastRenderedPageBreak/>
        <w:t>mechanism that</w:t>
      </w:r>
      <w:r w:rsidR="00F91644" w:rsidRPr="00AB3B80">
        <w:rPr>
          <w:bCs/>
        </w:rPr>
        <w:t xml:space="preserve"> will support, monitor and report on </w:t>
      </w:r>
      <w:r w:rsidR="00F91644">
        <w:rPr>
          <w:bCs/>
        </w:rPr>
        <w:t>the transformation of government organisations in most jurisdictions</w:t>
      </w:r>
      <w:r w:rsidR="00942CD3" w:rsidRPr="009B372E">
        <w:t>.</w:t>
      </w:r>
      <w:r w:rsidR="00942CD3">
        <w:t xml:space="preserve"> </w:t>
      </w:r>
      <w:r w:rsidR="00942CD3" w:rsidRPr="0017295E">
        <w:t xml:space="preserve">While a lack of progress in implementing any aspect of the Agreement is far from ideal, the </w:t>
      </w:r>
      <w:r w:rsidR="001C4BB9">
        <w:t xml:space="preserve">absence </w:t>
      </w:r>
      <w:r w:rsidR="00942CD3" w:rsidRPr="0017295E">
        <w:t xml:space="preserve">of </w:t>
      </w:r>
      <w:r w:rsidR="000A7454">
        <w:t>significant</w:t>
      </w:r>
      <w:r w:rsidR="00942CD3" w:rsidRPr="0017295E">
        <w:t xml:space="preserve"> action in establishing the independent mechanism does provide an opportunity to reconsider its role.</w:t>
      </w:r>
      <w:r w:rsidR="00942CD3">
        <w:t xml:space="preserve"> </w:t>
      </w:r>
    </w:p>
    <w:p w14:paraId="0543F42A" w14:textId="25A50933" w:rsidR="00EE4B72" w:rsidRDefault="005543AF" w:rsidP="005543AF">
      <w:pPr>
        <w:pStyle w:val="BodyText"/>
      </w:pPr>
      <w:r>
        <w:t xml:space="preserve">The first way in which the role of the independent mechanism could be reconsidered is to expand its role beyond </w:t>
      </w:r>
      <w:r w:rsidR="004E26B3">
        <w:t>Priority Reform</w:t>
      </w:r>
      <w:r>
        <w:t xml:space="preserve"> 3</w:t>
      </w:r>
      <w:r w:rsidR="00AC63F1">
        <w:t xml:space="preserve">, so that it can </w:t>
      </w:r>
      <w:r w:rsidR="00AC63F1" w:rsidRPr="00F566D7">
        <w:t>driv</w:t>
      </w:r>
      <w:r w:rsidR="00AC63F1">
        <w:t xml:space="preserve">e </w:t>
      </w:r>
      <w:r w:rsidR="00AC63F1" w:rsidRPr="00F566D7">
        <w:t xml:space="preserve">accountability for progress </w:t>
      </w:r>
      <w:r w:rsidR="00951BFC">
        <w:t>towards</w:t>
      </w:r>
      <w:r w:rsidR="00AC63F1">
        <w:t xml:space="preserve"> </w:t>
      </w:r>
      <w:r w:rsidR="00AC63F1" w:rsidRPr="00F566D7">
        <w:t xml:space="preserve">all of the </w:t>
      </w:r>
      <w:r w:rsidR="004E26B3">
        <w:t>Priority Reform</w:t>
      </w:r>
      <w:r w:rsidR="00AC63F1">
        <w:t>s</w:t>
      </w:r>
      <w:r w:rsidR="00942CD3">
        <w:t xml:space="preserve">. </w:t>
      </w:r>
      <w:r w:rsidR="004419F4">
        <w:t>Participants</w:t>
      </w:r>
      <w:r w:rsidR="006404AD">
        <w:t xml:space="preserve"> emphasised the importance of considering </w:t>
      </w:r>
      <w:r w:rsidR="000358C1">
        <w:t xml:space="preserve">all of the elements of </w:t>
      </w:r>
      <w:r w:rsidR="006404AD">
        <w:t xml:space="preserve">the </w:t>
      </w:r>
      <w:r w:rsidR="007F5F68">
        <w:t>Agreement</w:t>
      </w:r>
      <w:r w:rsidR="006404AD">
        <w:t xml:space="preserve"> as a whole</w:t>
      </w:r>
      <w:r w:rsidR="007F5F68">
        <w:t xml:space="preserve">. For </w:t>
      </w:r>
      <w:r w:rsidR="004419F4">
        <w:t>example</w:t>
      </w:r>
      <w:r w:rsidR="007F5F68">
        <w:t xml:space="preserve">, the </w:t>
      </w:r>
      <w:r w:rsidR="004419F4" w:rsidRPr="004419F4">
        <w:t>Federation of Victorian Traditional Owner Corporations</w:t>
      </w:r>
      <w:r w:rsidR="007F5F68">
        <w:t xml:space="preserve"> </w:t>
      </w:r>
      <w:r w:rsidR="004419F4">
        <w:t>said:</w:t>
      </w:r>
    </w:p>
    <w:p w14:paraId="5E1941FB" w14:textId="7E27839D" w:rsidR="007F5F68" w:rsidRDefault="007F5F68" w:rsidP="007F5F68">
      <w:pPr>
        <w:pStyle w:val="Quote"/>
      </w:pPr>
      <w:r>
        <w:t>This review is an opportunity for the Commission to recognise the interconnectedness between the targets and outcomes in the National Agreement and to evaluate them in a holistic way.</w:t>
      </w:r>
      <w:r w:rsidR="004419F4">
        <w:t xml:space="preserve"> (sub. 24, p. 3)</w:t>
      </w:r>
    </w:p>
    <w:p w14:paraId="7CA47DFE" w14:textId="3CBB3ACD" w:rsidR="007A158F" w:rsidRDefault="00443787" w:rsidP="00F117AC">
      <w:pPr>
        <w:pStyle w:val="BodyText"/>
      </w:pPr>
      <w:r>
        <w:t>And, as noted above, t</w:t>
      </w:r>
      <w:r w:rsidR="003C7867">
        <w:t>he</w:t>
      </w:r>
      <w:r w:rsidR="00136F7A">
        <w:t xml:space="preserve">re are important </w:t>
      </w:r>
      <w:r w:rsidR="003C7867">
        <w:t xml:space="preserve">connections between the </w:t>
      </w:r>
      <w:r w:rsidR="004E26B3">
        <w:t>Priority Reform</w:t>
      </w:r>
      <w:r w:rsidR="003C7867">
        <w:t>s</w:t>
      </w:r>
      <w:r w:rsidR="00136F7A">
        <w:t xml:space="preserve"> </w:t>
      </w:r>
      <w:r w:rsidR="0061608B">
        <w:t xml:space="preserve">– </w:t>
      </w:r>
      <w:r w:rsidR="00136F7A">
        <w:t xml:space="preserve">each </w:t>
      </w:r>
      <w:r w:rsidR="004E26B3">
        <w:t>Priority Reform</w:t>
      </w:r>
      <w:r w:rsidR="00136F7A">
        <w:t xml:space="preserve"> </w:t>
      </w:r>
      <w:r w:rsidR="00F117AC">
        <w:t xml:space="preserve">supports, and is supported by, the other </w:t>
      </w:r>
      <w:r w:rsidR="004E26B3">
        <w:t>Priority Reform</w:t>
      </w:r>
      <w:r w:rsidR="00F117AC">
        <w:t>s</w:t>
      </w:r>
      <w:r w:rsidR="00136F7A">
        <w:t>,</w:t>
      </w:r>
      <w:r w:rsidR="00F117AC">
        <w:t xml:space="preserve"> with the ultimate aim of accelerating improvements in </w:t>
      </w:r>
      <w:r w:rsidR="007D0DE6">
        <w:t>the lives of Aboriginal and Torres Strait Islander</w:t>
      </w:r>
      <w:r w:rsidR="007A195E">
        <w:t xml:space="preserve"> people</w:t>
      </w:r>
      <w:r w:rsidR="007D0DE6">
        <w:t>.</w:t>
      </w:r>
      <w:r w:rsidR="00C62A1B">
        <w:t xml:space="preserve"> If it were to consider </w:t>
      </w:r>
      <w:r w:rsidR="004E26B3">
        <w:t>Priority Reform</w:t>
      </w:r>
      <w:r w:rsidR="00C62A1B">
        <w:t xml:space="preserve"> 3 in isolation from the other </w:t>
      </w:r>
      <w:r w:rsidR="004E26B3">
        <w:t>Priority Reform</w:t>
      </w:r>
      <w:r w:rsidR="00C62A1B">
        <w:t xml:space="preserve">s, </w:t>
      </w:r>
      <w:r w:rsidR="00613894">
        <w:t>the</w:t>
      </w:r>
      <w:r w:rsidR="009A6304">
        <w:t xml:space="preserve"> independent mechanism may struggle to take due account of the connections and dependencies between them</w:t>
      </w:r>
      <w:r w:rsidR="00A8610D">
        <w:t xml:space="preserve">, or the ultimate contribution of the </w:t>
      </w:r>
      <w:r w:rsidR="004E26B3">
        <w:t>Priority Reform</w:t>
      </w:r>
      <w:r w:rsidR="00A8610D">
        <w:t>s to the socio</w:t>
      </w:r>
      <w:r w:rsidR="00FD58AA">
        <w:noBreakHyphen/>
      </w:r>
      <w:r w:rsidR="00A8610D">
        <w:t>economic outcomes envisaged in the Agreement</w:t>
      </w:r>
      <w:r w:rsidR="009A6304">
        <w:t xml:space="preserve">. </w:t>
      </w:r>
      <w:r w:rsidR="007A158F">
        <w:t xml:space="preserve">An independent mechanism with a broader role – </w:t>
      </w:r>
      <w:r w:rsidR="005D604B">
        <w:t xml:space="preserve">one that goes </w:t>
      </w:r>
      <w:r w:rsidR="007A158F">
        <w:t xml:space="preserve">beyond </w:t>
      </w:r>
      <w:r w:rsidR="004E26B3">
        <w:t>Priority Reform</w:t>
      </w:r>
      <w:r w:rsidR="007A158F">
        <w:t xml:space="preserve"> 3 – </w:t>
      </w:r>
      <w:r w:rsidR="000665DB">
        <w:t xml:space="preserve">would be better placed to </w:t>
      </w:r>
      <w:r w:rsidR="0010045F">
        <w:t>driv</w:t>
      </w:r>
      <w:r w:rsidR="00D552D8">
        <w:t>e</w:t>
      </w:r>
      <w:r w:rsidR="0010045F">
        <w:t xml:space="preserve"> accountability for progress</w:t>
      </w:r>
      <w:r w:rsidR="00D552D8">
        <w:t xml:space="preserve"> towards </w:t>
      </w:r>
      <w:r w:rsidR="00613894">
        <w:t xml:space="preserve">all of the </w:t>
      </w:r>
      <w:r w:rsidR="00D552D8">
        <w:t>outcomes of the Agreement</w:t>
      </w:r>
      <w:r w:rsidR="000665DB">
        <w:t xml:space="preserve">. </w:t>
      </w:r>
    </w:p>
    <w:p w14:paraId="1799AA07" w14:textId="35370FB9" w:rsidR="00294934" w:rsidRDefault="00C04F32" w:rsidP="00294934">
      <w:pPr>
        <w:pStyle w:val="Heading4"/>
      </w:pPr>
      <w:r>
        <w:t xml:space="preserve">The </w:t>
      </w:r>
      <w:r w:rsidR="00294934">
        <w:t xml:space="preserve">independent mechanism </w:t>
      </w:r>
      <w:r>
        <w:t>needs to</w:t>
      </w:r>
      <w:r w:rsidR="009A6E53">
        <w:t xml:space="preserve"> shine a spotlight </w:t>
      </w:r>
    </w:p>
    <w:p w14:paraId="00FE3031" w14:textId="646ADA96" w:rsidR="009A6E53" w:rsidRPr="00C04F32" w:rsidRDefault="004C13B9" w:rsidP="00C04F32">
      <w:pPr>
        <w:pStyle w:val="BodyText"/>
      </w:pPr>
      <w:r>
        <w:t>If the independent mechanism were to take a broader role, its</w:t>
      </w:r>
      <w:r w:rsidR="00D552D8" w:rsidRPr="00C04F32">
        <w:t xml:space="preserve"> primary purpose </w:t>
      </w:r>
      <w:r w:rsidR="009A6E53" w:rsidRPr="00C04F32">
        <w:t xml:space="preserve">would be to hold governments </w:t>
      </w:r>
      <w:r w:rsidR="00C364FC" w:rsidRPr="00C04F32">
        <w:t xml:space="preserve">to account </w:t>
      </w:r>
      <w:r w:rsidR="00DF2A87" w:rsidRPr="00C04F32">
        <w:t>for commitments made and the services they fund, and provide system</w:t>
      </w:r>
      <w:r w:rsidR="00FD58AA">
        <w:noBreakHyphen/>
      </w:r>
      <w:r w:rsidR="00DF2A87" w:rsidRPr="00C04F32">
        <w:t xml:space="preserve">level advice for improved policies, programs and services affecting Aboriginal and Torres Strait Islander people. </w:t>
      </w:r>
      <w:r w:rsidR="006A7E06">
        <w:t>This</w:t>
      </w:r>
      <w:r w:rsidR="007604B5" w:rsidRPr="00C04F32">
        <w:t xml:space="preserve"> </w:t>
      </w:r>
      <w:r w:rsidR="00DF2A87" w:rsidRPr="00C04F32">
        <w:t xml:space="preserve">would </w:t>
      </w:r>
      <w:r w:rsidR="005D604B">
        <w:t xml:space="preserve">help </w:t>
      </w:r>
      <w:r w:rsidR="00DF2A87" w:rsidRPr="00C04F32">
        <w:t xml:space="preserve">to ensure that </w:t>
      </w:r>
      <w:r w:rsidR="007604B5" w:rsidRPr="00C04F32">
        <w:t>g</w:t>
      </w:r>
      <w:r w:rsidR="00DF2A87" w:rsidRPr="00C04F32">
        <w:t>overnment</w:t>
      </w:r>
      <w:r w:rsidR="007604B5" w:rsidRPr="00C04F32">
        <w:t>s</w:t>
      </w:r>
      <w:r w:rsidR="00DF2A87" w:rsidRPr="00C04F32">
        <w:t xml:space="preserve"> understand and respond to the views, aspirations and interests of Aboriginal </w:t>
      </w:r>
      <w:r w:rsidR="007604B5" w:rsidRPr="00C04F32">
        <w:t xml:space="preserve">and Torres Strait Islander </w:t>
      </w:r>
      <w:r w:rsidR="00DF2A87" w:rsidRPr="00C04F32">
        <w:t>people and enable their self</w:t>
      </w:r>
      <w:r w:rsidR="00FD58AA">
        <w:noBreakHyphen/>
      </w:r>
      <w:r w:rsidR="00DF2A87" w:rsidRPr="00C04F32">
        <w:t>determination.</w:t>
      </w:r>
    </w:p>
    <w:p w14:paraId="15758832" w14:textId="3C6A9310" w:rsidR="000840AA" w:rsidRDefault="009552C3" w:rsidP="009552C3">
      <w:pPr>
        <w:pStyle w:val="BodyText"/>
      </w:pPr>
      <w:r>
        <w:t>If the independent mechanism were clearly positioned at the centre of the accountability gap described in section</w:t>
      </w:r>
      <w:r w:rsidR="00FD58AA">
        <w:t> </w:t>
      </w:r>
      <w:r>
        <w:t xml:space="preserve">2, it could play a key role in strengthening accountability. </w:t>
      </w:r>
    </w:p>
    <w:p w14:paraId="68359D4F" w14:textId="43093180" w:rsidR="000840AA" w:rsidRPr="009E0301" w:rsidRDefault="000840AA" w:rsidP="000840AA">
      <w:pPr>
        <w:pStyle w:val="Quote"/>
      </w:pPr>
      <w:r>
        <w:t xml:space="preserve">We believe the system would be significantly improved by the presence of an influential and independent entity with the resources to pay close attention to what government is doing and the power to shine a spotlight on policies or practices that fail to contribute to better outcomes for Aboriginal people. </w:t>
      </w:r>
      <w:r w:rsidRPr="00C04F32">
        <w:rPr>
          <w:rFonts w:ascii="Arial" w:hAnsi="Arial" w:cs="Arial"/>
          <w:szCs w:val="24"/>
        </w:rPr>
        <w:t>(WA DPC 2018, p. 9)</w:t>
      </w:r>
      <w:r w:rsidRPr="009E0301">
        <w:t xml:space="preserve"> </w:t>
      </w:r>
    </w:p>
    <w:p w14:paraId="1076261F" w14:textId="4E45CE5D" w:rsidR="00F81127" w:rsidRPr="00DC3251" w:rsidRDefault="00F81127" w:rsidP="00DC3251">
      <w:pPr>
        <w:pStyle w:val="BodyText"/>
      </w:pPr>
      <w:r w:rsidRPr="00DC3251">
        <w:t xml:space="preserve">The independent mechanism is likely to take different forms and names in different jurisdictions, to better fit with existing institutions in each jurisdiction. </w:t>
      </w:r>
      <w:r w:rsidR="000840AA" w:rsidRPr="00DC3251">
        <w:t xml:space="preserve">But </w:t>
      </w:r>
      <w:r w:rsidR="00A06093">
        <w:t>regardless of its exact form or name, the independent mechanism should be able</w:t>
      </w:r>
      <w:r w:rsidR="00A06093" w:rsidRPr="00DC3251">
        <w:t xml:space="preserve"> </w:t>
      </w:r>
      <w:r w:rsidR="000840AA" w:rsidRPr="00DC3251">
        <w:t xml:space="preserve">to shine a </w:t>
      </w:r>
      <w:r w:rsidR="00D00034" w:rsidRPr="00DC3251">
        <w:t>spotlight</w:t>
      </w:r>
      <w:r w:rsidR="000840AA" w:rsidRPr="00DC3251">
        <w:t xml:space="preserve"> on good and bad </w:t>
      </w:r>
      <w:r w:rsidR="00D00034" w:rsidRPr="00DC3251">
        <w:t xml:space="preserve">practices </w:t>
      </w:r>
      <w:r w:rsidR="007C4B42">
        <w:t xml:space="preserve">under the Agreement </w:t>
      </w:r>
      <w:r w:rsidR="00D00034" w:rsidRPr="00DC3251">
        <w:t>and advocate for improved policies, programs and services affecting Aboriginal and Torres Strait Islander people.</w:t>
      </w:r>
    </w:p>
    <w:p w14:paraId="0D5097D8" w14:textId="3738F387" w:rsidR="005543AF" w:rsidRDefault="00096BD8" w:rsidP="005543AF">
      <w:pPr>
        <w:pStyle w:val="Heading4"/>
      </w:pPr>
      <w:r>
        <w:t>Potential</w:t>
      </w:r>
      <w:r w:rsidR="00C728A9">
        <w:t xml:space="preserve"> features of </w:t>
      </w:r>
      <w:r>
        <w:t>the independent mechanism or new accountability bodies</w:t>
      </w:r>
    </w:p>
    <w:p w14:paraId="5C38562E" w14:textId="77777777" w:rsidR="0058356D" w:rsidRDefault="0058356D" w:rsidP="0058356D">
      <w:pPr>
        <w:pStyle w:val="BodyText"/>
        <w:keepNext/>
      </w:pPr>
      <w:r>
        <w:t xml:space="preserve">As suggested by its name, </w:t>
      </w:r>
      <w:r w:rsidRPr="00BA7A82">
        <w:rPr>
          <w:b/>
          <w:bCs/>
        </w:rPr>
        <w:t>independence</w:t>
      </w:r>
      <w:r>
        <w:t xml:space="preserve"> is an essential feature of the independent mechanism. A range of other features would support the effectiveness of the independent mechanism, including that it:</w:t>
      </w:r>
    </w:p>
    <w:p w14:paraId="784F02B1" w14:textId="77777777" w:rsidR="0058356D" w:rsidRDefault="0058356D" w:rsidP="0058356D">
      <w:pPr>
        <w:pStyle w:val="ListBullet"/>
      </w:pPr>
      <w:r>
        <w:t xml:space="preserve">be </w:t>
      </w:r>
      <w:r w:rsidRPr="008E68D0">
        <w:rPr>
          <w:b/>
          <w:bCs/>
        </w:rPr>
        <w:t>governed and</w:t>
      </w:r>
      <w:r>
        <w:t xml:space="preserve"> </w:t>
      </w:r>
      <w:r w:rsidRPr="000367D9">
        <w:rPr>
          <w:b/>
          <w:bCs/>
        </w:rPr>
        <w:t xml:space="preserve">led by Aboriginal </w:t>
      </w:r>
      <w:bookmarkStart w:id="10" w:name="_Hlk137733951"/>
      <w:r w:rsidRPr="000367D9">
        <w:rPr>
          <w:b/>
          <w:bCs/>
        </w:rPr>
        <w:t>and Torres Strait Islander people</w:t>
      </w:r>
      <w:bookmarkEnd w:id="10"/>
      <w:r>
        <w:t xml:space="preserve">, chosen with input from Aboriginal </w:t>
      </w:r>
      <w:r w:rsidRPr="00A82E51">
        <w:t>and Torres Strait Islander</w:t>
      </w:r>
      <w:r>
        <w:t xml:space="preserve"> people and communities </w:t>
      </w:r>
    </w:p>
    <w:p w14:paraId="254731B0" w14:textId="77777777" w:rsidR="000879A7" w:rsidRPr="000879A7" w:rsidRDefault="0058356D" w:rsidP="000879A7">
      <w:pPr>
        <w:pStyle w:val="ListBullet"/>
      </w:pPr>
      <w:r>
        <w:lastRenderedPageBreak/>
        <w:t xml:space="preserve">have a </w:t>
      </w:r>
      <w:r w:rsidRPr="000367D9">
        <w:rPr>
          <w:b/>
          <w:bCs/>
        </w:rPr>
        <w:t>legislative basis</w:t>
      </w:r>
      <w:r>
        <w:t xml:space="preserve"> to guarantee its ongoing existence and the power behind its functions</w:t>
      </w:r>
      <w:r w:rsidR="000879A7" w:rsidRPr="000879A7">
        <w:t>, and to enable it to hold governments to account</w:t>
      </w:r>
    </w:p>
    <w:p w14:paraId="1D0DDB9E" w14:textId="77777777" w:rsidR="0058356D" w:rsidRDefault="0058356D" w:rsidP="0058356D">
      <w:pPr>
        <w:pStyle w:val="ListBullet"/>
      </w:pPr>
      <w:r>
        <w:t xml:space="preserve">have </w:t>
      </w:r>
      <w:r w:rsidRPr="00902FFD">
        <w:rPr>
          <w:b/>
          <w:bCs/>
        </w:rPr>
        <w:t>sufficient</w:t>
      </w:r>
      <w:r w:rsidRPr="00902FFD">
        <w:rPr>
          <w:b/>
        </w:rPr>
        <w:t xml:space="preserve"> </w:t>
      </w:r>
      <w:r w:rsidRPr="000367D9">
        <w:rPr>
          <w:b/>
          <w:bCs/>
        </w:rPr>
        <w:t>guaranteed funding</w:t>
      </w:r>
      <w:r>
        <w:t xml:space="preserve"> so that it can </w:t>
      </w:r>
      <w:r w:rsidRPr="00420A3B">
        <w:t xml:space="preserve">build and maintain </w:t>
      </w:r>
      <w:r>
        <w:t>organisational</w:t>
      </w:r>
      <w:r w:rsidRPr="00420A3B">
        <w:t xml:space="preserve"> capabilities</w:t>
      </w:r>
      <w:r>
        <w:t>, and</w:t>
      </w:r>
      <w:r w:rsidRPr="00420A3B">
        <w:t xml:space="preserve"> </w:t>
      </w:r>
      <w:r>
        <w:t>determine its priorities without undue influence from governments</w:t>
      </w:r>
    </w:p>
    <w:p w14:paraId="37AF02FB" w14:textId="7FE79332" w:rsidR="0058356D" w:rsidRDefault="0058356D" w:rsidP="0058356D">
      <w:pPr>
        <w:pStyle w:val="ListBullet"/>
      </w:pPr>
      <w:r>
        <w:t xml:space="preserve">have a </w:t>
      </w:r>
      <w:r w:rsidRPr="00E26B9B">
        <w:rPr>
          <w:b/>
          <w:bCs/>
        </w:rPr>
        <w:t>broad remit</w:t>
      </w:r>
      <w:r>
        <w:t xml:space="preserve"> covering all aspects of governments’ relationships with Aboriginal and Torres Strait Islander people (subject to the role and remit of </w:t>
      </w:r>
      <w:r w:rsidR="00333A7E">
        <w:t xml:space="preserve">all of the </w:t>
      </w:r>
      <w:r>
        <w:t>Aboriginal and Torres Strait Islander bodies</w:t>
      </w:r>
      <w:r w:rsidR="00333A7E">
        <w:t xml:space="preserve"> described in section</w:t>
      </w:r>
      <w:r w:rsidR="00FD58AA">
        <w:t> </w:t>
      </w:r>
      <w:r w:rsidR="00333A7E">
        <w:t xml:space="preserve">3, and </w:t>
      </w:r>
      <w:r w:rsidR="0002304E">
        <w:t xml:space="preserve">of </w:t>
      </w:r>
      <w:r w:rsidR="003B1BC1">
        <w:t xml:space="preserve">any </w:t>
      </w:r>
      <w:r w:rsidR="00333A7E">
        <w:t>new bodies</w:t>
      </w:r>
      <w:r w:rsidR="003B1BC1">
        <w:t xml:space="preserve"> that are created</w:t>
      </w:r>
      <w:r>
        <w:t>)</w:t>
      </w:r>
    </w:p>
    <w:p w14:paraId="50123511" w14:textId="77777777" w:rsidR="0058356D" w:rsidRDefault="0058356D" w:rsidP="0058356D">
      <w:pPr>
        <w:pStyle w:val="ListBullet"/>
      </w:pPr>
      <w:r>
        <w:t xml:space="preserve">have </w:t>
      </w:r>
      <w:r w:rsidRPr="00F71245">
        <w:rPr>
          <w:b/>
          <w:bCs/>
        </w:rPr>
        <w:t>full control of its work program</w:t>
      </w:r>
      <w:r>
        <w:t xml:space="preserve">, so it can </w:t>
      </w:r>
      <w:r w:rsidRPr="00F71245">
        <w:t>initiate its own inquiries</w:t>
      </w:r>
      <w:r>
        <w:t>, conduct its own research, benchmark performance, and review all relevant documents (such as Closing the Gap implementation plans and annual reports)</w:t>
      </w:r>
    </w:p>
    <w:p w14:paraId="658ABDDE" w14:textId="77777777" w:rsidR="0058356D" w:rsidRDefault="0058356D" w:rsidP="0058356D">
      <w:pPr>
        <w:pStyle w:val="ListBullet"/>
        <w:rPr>
          <w:b/>
          <w:bCs/>
        </w:rPr>
      </w:pPr>
      <w:r>
        <w:t xml:space="preserve">be able to </w:t>
      </w:r>
      <w:r w:rsidRPr="00031226">
        <w:rPr>
          <w:b/>
          <w:bCs/>
        </w:rPr>
        <w:t xml:space="preserve">compel government agencies to provide information </w:t>
      </w:r>
    </w:p>
    <w:p w14:paraId="16A2CEAF" w14:textId="77777777" w:rsidR="0058356D" w:rsidRPr="00031226" w:rsidRDefault="0058356D" w:rsidP="0058356D">
      <w:pPr>
        <w:pStyle w:val="ListBullet"/>
        <w:rPr>
          <w:b/>
          <w:bCs/>
        </w:rPr>
      </w:pPr>
      <w:r>
        <w:t xml:space="preserve">can </w:t>
      </w:r>
      <w:r w:rsidRPr="00BE37E7">
        <w:rPr>
          <w:b/>
          <w:bCs/>
        </w:rPr>
        <w:t>intervene in real time</w:t>
      </w:r>
      <w:r>
        <w:t xml:space="preserve"> to support Aboriginal and Torres Strait Islander people who have complaints about government agencies</w:t>
      </w:r>
    </w:p>
    <w:p w14:paraId="7EDFCBAA" w14:textId="3DAB0074" w:rsidR="0058356D" w:rsidRPr="00771744" w:rsidRDefault="0058356D" w:rsidP="0058356D">
      <w:pPr>
        <w:pStyle w:val="ListBullet"/>
      </w:pPr>
      <w:r w:rsidRPr="2B096693">
        <w:rPr>
          <w:b/>
          <w:bCs/>
        </w:rPr>
        <w:t>operate with transparency,</w:t>
      </w:r>
      <w:r w:rsidRPr="2B096693">
        <w:t xml:space="preserve"> including freedom to publish reports and findings </w:t>
      </w:r>
    </w:p>
    <w:p w14:paraId="6A952C85" w14:textId="77777777" w:rsidR="0058356D" w:rsidRDefault="0058356D" w:rsidP="0058356D">
      <w:pPr>
        <w:pStyle w:val="ListBullet"/>
      </w:pPr>
      <w:r w:rsidRPr="00544103">
        <w:rPr>
          <w:b/>
          <w:bCs/>
        </w:rPr>
        <w:t>not engage in program delivery</w:t>
      </w:r>
      <w:r w:rsidRPr="00420A3B">
        <w:t xml:space="preserve"> and </w:t>
      </w:r>
      <w:r w:rsidRPr="00771744">
        <w:rPr>
          <w:b/>
          <w:bCs/>
        </w:rPr>
        <w:t>not administer funding or programs</w:t>
      </w:r>
      <w:r>
        <w:t>, so that it is never in a position of needing to pass judgement on its own actions or inaction.</w:t>
      </w:r>
    </w:p>
    <w:p w14:paraId="466D3FFB" w14:textId="5305C507" w:rsidR="00C46F4F" w:rsidRDefault="00C46F4F" w:rsidP="00C46F4F">
      <w:pPr>
        <w:pStyle w:val="BodyText"/>
      </w:pPr>
      <w:r>
        <w:t xml:space="preserve">Participants emphasised the importance of each of these features. For example, the Aboriginal Family Legal Service WA said that: </w:t>
      </w:r>
    </w:p>
    <w:p w14:paraId="683C4EC8" w14:textId="148327B9" w:rsidR="00C46F4F" w:rsidRDefault="00C46F4F" w:rsidP="00C46F4F">
      <w:pPr>
        <w:pStyle w:val="Quote"/>
      </w:pPr>
      <w:r>
        <w:t>Independent mechanisms to support, monitor and report on the transformation of mainstream agencies and institutions must be Aboriginal</w:t>
      </w:r>
      <w:r w:rsidR="00FD58AA">
        <w:noBreakHyphen/>
      </w:r>
      <w:r>
        <w:t>led and must report directly to their respective State Parliaments. This should include … an Office of Accountability in Aboriginal Affairs in every state and territory. An Office of Accountability, for example, should be a separate statutory body designed to strengthen government accountability to Aboriginal people in Western Australia and advocate for Aboriginal people’s interests in government policy and performance. The Office should provide an Aboriginal</w:t>
      </w:r>
      <w:r w:rsidR="00FD58AA">
        <w:noBreakHyphen/>
      </w:r>
      <w:r>
        <w:t>led, independent and transparent oversight and review mechanism with the capacity and resources to track the performance of government at every point where government intersects with the lives of Aboriginal people, including but not limited to government action to enable Aboriginal self</w:t>
      </w:r>
      <w:r w:rsidR="00FD58AA">
        <w:noBreakHyphen/>
      </w:r>
      <w:r>
        <w:t>determination. The non</w:t>
      </w:r>
      <w:r w:rsidR="00FD58AA">
        <w:noBreakHyphen/>
      </w:r>
      <w:r>
        <w:t>Indigenous population has access to a range of advocacy bodies for adults as well as children and it seems reasonable to provide the equivalent for the Aboriginal population. (sub.</w:t>
      </w:r>
      <w:r w:rsidR="00FD58AA">
        <w:t> </w:t>
      </w:r>
      <w:r>
        <w:t>7, p.</w:t>
      </w:r>
      <w:r w:rsidR="00FD58AA">
        <w:t> </w:t>
      </w:r>
      <w:r>
        <w:t>8)</w:t>
      </w:r>
    </w:p>
    <w:p w14:paraId="1CBC7EE3" w14:textId="77777777" w:rsidR="00672C6F" w:rsidRDefault="00C43ED5" w:rsidP="00C43ED5">
      <w:pPr>
        <w:pStyle w:val="BodyText"/>
      </w:pPr>
      <w:r>
        <w:t>In designing the details of each of these features, it will be important to consider the interaction between them. For example, a broad remit will only be sustainable if it is accompanied by sufficient funding. And the potential role of the independent mechanism in s</w:t>
      </w:r>
      <w:r w:rsidRPr="00A569F9">
        <w:t>upport</w:t>
      </w:r>
      <w:r>
        <w:t>ing</w:t>
      </w:r>
      <w:r w:rsidRPr="00A569F9">
        <w:t xml:space="preserve"> the development of the Aboriginal community</w:t>
      </w:r>
      <w:r>
        <w:noBreakHyphen/>
      </w:r>
      <w:r w:rsidRPr="00A569F9">
        <w:t xml:space="preserve">controlled sector </w:t>
      </w:r>
      <w:r>
        <w:t xml:space="preserve">requires careful consideration, as a mandate to support a sector or organisation does not sit easily with a mandate to hold that sector or organisation to account. </w:t>
      </w:r>
    </w:p>
    <w:p w14:paraId="7D2C45CF" w14:textId="029C0E00" w:rsidR="00B4627D" w:rsidRPr="00D77B3F" w:rsidRDefault="00672C6F" w:rsidP="00966028">
      <w:pPr>
        <w:pStyle w:val="BodyText"/>
        <w:rPr>
          <w:spacing w:val="2"/>
        </w:rPr>
      </w:pPr>
      <w:r w:rsidRPr="00D77B3F">
        <w:rPr>
          <w:spacing w:val="2"/>
        </w:rPr>
        <w:t>Some of the p</w:t>
      </w:r>
      <w:r w:rsidR="001E3465" w:rsidRPr="00D77B3F">
        <w:rPr>
          <w:spacing w:val="2"/>
        </w:rPr>
        <w:t xml:space="preserve">otential </w:t>
      </w:r>
      <w:r w:rsidRPr="00D77B3F">
        <w:rPr>
          <w:spacing w:val="2"/>
        </w:rPr>
        <w:t xml:space="preserve">functions of the independent mechanism overlap with those undertaken by </w:t>
      </w:r>
      <w:r w:rsidR="001E3465" w:rsidRPr="00D77B3F">
        <w:rPr>
          <w:spacing w:val="2"/>
        </w:rPr>
        <w:t xml:space="preserve">Te Arawhiti </w:t>
      </w:r>
      <w:r w:rsidRPr="00D77B3F">
        <w:rPr>
          <w:spacing w:val="2"/>
        </w:rPr>
        <w:t>(</w:t>
      </w:r>
      <w:r w:rsidR="001E3465" w:rsidRPr="00D77B3F">
        <w:rPr>
          <w:spacing w:val="2"/>
        </w:rPr>
        <w:t>the Office for Māori–Crown Relations</w:t>
      </w:r>
      <w:r w:rsidRPr="00D77B3F">
        <w:rPr>
          <w:spacing w:val="2"/>
        </w:rPr>
        <w:t xml:space="preserve">) </w:t>
      </w:r>
      <w:r w:rsidR="001E3465" w:rsidRPr="00D77B3F">
        <w:rPr>
          <w:spacing w:val="2"/>
        </w:rPr>
        <w:t>(box</w:t>
      </w:r>
      <w:r w:rsidR="00FD58AA" w:rsidRPr="00D77B3F">
        <w:rPr>
          <w:spacing w:val="2"/>
        </w:rPr>
        <w:t> </w:t>
      </w:r>
      <w:r w:rsidR="001E3465" w:rsidRPr="00D77B3F">
        <w:rPr>
          <w:spacing w:val="2"/>
        </w:rPr>
        <w:t>4)</w:t>
      </w:r>
      <w:r w:rsidR="00D5281A" w:rsidRPr="00D77B3F">
        <w:rPr>
          <w:spacing w:val="2"/>
        </w:rPr>
        <w:t>, which provides an opportunity to learn from the New Zealand experience</w:t>
      </w:r>
      <w:r w:rsidR="001E3465" w:rsidRPr="00D77B3F">
        <w:rPr>
          <w:spacing w:val="2"/>
        </w:rPr>
        <w:t>.</w:t>
      </w:r>
    </w:p>
    <w:p w14:paraId="3BE010C4" w14:textId="2419E3EA" w:rsidR="00E54B02" w:rsidRPr="00F82BD9" w:rsidRDefault="00E54B02">
      <w:pPr>
        <w:pStyle w:val="NoSpacing"/>
      </w:pPr>
    </w:p>
    <w:tbl>
      <w:tblPr>
        <w:tblStyle w:val="Boxtable"/>
        <w:tblW w:w="5000" w:type="pct"/>
        <w:tblLook w:val="04A0" w:firstRow="1" w:lastRow="0" w:firstColumn="1" w:lastColumn="0" w:noHBand="0" w:noVBand="1"/>
      </w:tblPr>
      <w:tblGrid>
        <w:gridCol w:w="906"/>
        <w:gridCol w:w="8732"/>
      </w:tblGrid>
      <w:tr w:rsidR="00E54B02" w14:paraId="1B0B0E84" w14:textId="77777777" w:rsidTr="00E54B02">
        <w:trPr>
          <w:tblHeader/>
        </w:trPr>
        <w:tc>
          <w:tcPr>
            <w:tcW w:w="709" w:type="dxa"/>
            <w:shd w:val="clear" w:color="auto" w:fill="FBF3EC"/>
            <w:tcMar>
              <w:top w:w="170" w:type="dxa"/>
              <w:left w:w="170" w:type="dxa"/>
              <w:bottom w:w="113" w:type="dxa"/>
              <w:right w:w="170" w:type="dxa"/>
            </w:tcMar>
            <w:hideMark/>
          </w:tcPr>
          <w:p w14:paraId="7F14A4D5" w14:textId="2FE594A6" w:rsidR="00E54B02" w:rsidRDefault="00E54B02" w:rsidP="00E54B02">
            <w:pPr>
              <w:pStyle w:val="BoxHeading1"/>
              <w:spacing w:before="0"/>
            </w:pPr>
            <w:r w:rsidRPr="00A031AA">
              <w:rPr>
                <w:b/>
                <w:bCs/>
                <w:noProof/>
              </w:rPr>
              <w:lastRenderedPageBreak/>
              <w:drawing>
                <wp:inline distT="0" distB="0" distL="0" distR="0" wp14:anchorId="1584671B" wp14:editId="3DE810F9">
                  <wp:extent cx="360000" cy="424800"/>
                  <wp:effectExtent l="0" t="0" r="0" b="0"/>
                  <wp:docPr id="1182569097" name="Picture 11825690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569097" name="Picture 1182569097">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929" w:type="dxa"/>
            <w:shd w:val="clear" w:color="auto" w:fill="FBF3EC"/>
          </w:tcPr>
          <w:p w14:paraId="1DEFFEB4" w14:textId="0DE66F1D" w:rsidR="00E54B02" w:rsidRDefault="00E54B02">
            <w:pPr>
              <w:pStyle w:val="BoxHeading1"/>
            </w:pPr>
            <w:r>
              <w:t>Box 4 – Te Arawhiti</w:t>
            </w:r>
          </w:p>
        </w:tc>
      </w:tr>
      <w:tr w:rsidR="00E54B02" w14:paraId="1BEE0D71" w14:textId="77777777" w:rsidTr="00E54B02">
        <w:tc>
          <w:tcPr>
            <w:tcW w:w="9638" w:type="dxa"/>
            <w:gridSpan w:val="2"/>
            <w:shd w:val="clear" w:color="auto" w:fill="FBF3EC"/>
            <w:tcMar>
              <w:top w:w="28" w:type="dxa"/>
              <w:left w:w="170" w:type="dxa"/>
              <w:bottom w:w="170" w:type="dxa"/>
              <w:right w:w="170" w:type="dxa"/>
            </w:tcMar>
            <w:hideMark/>
          </w:tcPr>
          <w:p w14:paraId="723983D1" w14:textId="209DC05E" w:rsidR="00E54B02" w:rsidRDefault="00E54B02" w:rsidP="00E54B02">
            <w:pPr>
              <w:pStyle w:val="BodyText"/>
              <w:keepNext/>
            </w:pPr>
            <w:r>
              <w:t xml:space="preserve">Te Arawhiti (the Office for Māori–Crown Relations) is a NZ Government agency that, since its establishment in January 2019, has worked to foster strong, ongoing and effective relationships with Māori across the New Zealand Government </w:t>
            </w:r>
            <w:r w:rsidRPr="003F6DF3">
              <w:rPr>
                <w:rFonts w:ascii="Arial" w:hAnsi="Arial" w:cs="Arial"/>
                <w:szCs w:val="24"/>
              </w:rPr>
              <w:t>(Te Arawhiti 2023e)</w:t>
            </w:r>
            <w:r>
              <w:t xml:space="preserve">. Its functions span four key areas. </w:t>
            </w:r>
          </w:p>
          <w:p w14:paraId="2382E1F0" w14:textId="0CA4F271" w:rsidR="00E54B02" w:rsidRDefault="00E54B02" w:rsidP="00E54B02">
            <w:pPr>
              <w:pStyle w:val="ListBullet"/>
            </w:pPr>
            <w:r w:rsidRPr="00826472">
              <w:t>Te Kāhui Whakatau</w:t>
            </w:r>
            <w:r>
              <w:t xml:space="preserve"> negotiates the settlement of historical Treaty of Waitangi claims. This includes advising and helping claimant groups prepare for negotiations. </w:t>
            </w:r>
            <w:r w:rsidRPr="00826472">
              <w:t>Te Kāhui Whakatau</w:t>
            </w:r>
            <w:r>
              <w:t xml:space="preserve"> reports to the Minister for Treaty of Waitangi Negotiations </w:t>
            </w:r>
            <w:r w:rsidRPr="003F6DF3">
              <w:rPr>
                <w:rFonts w:ascii="Arial" w:hAnsi="Arial" w:cs="Arial"/>
                <w:szCs w:val="24"/>
              </w:rPr>
              <w:t>(Te Arawhiti 2023d)</w:t>
            </w:r>
            <w:r>
              <w:t>.</w:t>
            </w:r>
          </w:p>
          <w:p w14:paraId="6F227526" w14:textId="2BF8424A" w:rsidR="00E54B02" w:rsidRDefault="00E54B02" w:rsidP="00E54B02">
            <w:pPr>
              <w:pStyle w:val="ListBullet"/>
            </w:pPr>
            <w:r w:rsidRPr="00E66029">
              <w:t>Te Kāhui Takutai Moana</w:t>
            </w:r>
            <w:r>
              <w:t xml:space="preserve"> supports the recognition of customary interests in common marine and coastal areas </w:t>
            </w:r>
            <w:r w:rsidRPr="003148E0">
              <w:rPr>
                <w:rFonts w:ascii="Arial" w:hAnsi="Arial" w:cs="Arial"/>
                <w:szCs w:val="24"/>
              </w:rPr>
              <w:t>(Te Arawhiti 2023b)</w:t>
            </w:r>
            <w:r>
              <w:t>.</w:t>
            </w:r>
          </w:p>
          <w:p w14:paraId="17F51F27" w14:textId="11595AAC" w:rsidR="00E54B02" w:rsidRPr="003F6DF3" w:rsidRDefault="00E54B02" w:rsidP="00E54B02">
            <w:pPr>
              <w:pStyle w:val="ListBullet"/>
              <w:rPr>
                <w:rStyle w:val="Hyperlink"/>
                <w:color w:val="auto"/>
                <w:u w:val="none"/>
              </w:rPr>
            </w:pPr>
            <w:r w:rsidRPr="00E66029">
              <w:t>Te Kāhui Whakamana (settlement commitments)</w:t>
            </w:r>
            <w:r>
              <w:t xml:space="preserve"> supports the Crown to deliver on its Treaty settlement commitments </w:t>
            </w:r>
            <w:r w:rsidRPr="003F6DF3">
              <w:rPr>
                <w:rFonts w:ascii="Arial" w:hAnsi="Arial" w:cs="Arial"/>
                <w:szCs w:val="24"/>
              </w:rPr>
              <w:t>(Te Arawhiti 2023c)</w:t>
            </w:r>
            <w:r>
              <w:t>.</w:t>
            </w:r>
          </w:p>
          <w:p w14:paraId="31B8E7D2" w14:textId="63A83E3C" w:rsidR="00E54B02" w:rsidRPr="001B7CF0" w:rsidRDefault="00E54B02" w:rsidP="00E54B02">
            <w:pPr>
              <w:pStyle w:val="ListBullet"/>
            </w:pPr>
            <w:r w:rsidRPr="00E66029">
              <w:t>Te Kāhui Hīkina (Māori–Crown Relations)</w:t>
            </w:r>
            <w:r>
              <w:rPr>
                <w:rStyle w:val="Hyperlink"/>
                <w:color w:val="auto"/>
                <w:u w:val="none"/>
              </w:rPr>
              <w:t xml:space="preserve"> </w:t>
            </w:r>
            <w:r w:rsidRPr="004B51D6">
              <w:t>supports the Minister for Māori</w:t>
            </w:r>
            <w:r>
              <w:t>–</w:t>
            </w:r>
            <w:r w:rsidRPr="004B51D6">
              <w:t>Crown Relations</w:t>
            </w:r>
            <w:r>
              <w:t xml:space="preserve"> </w:t>
            </w:r>
            <w:r w:rsidRPr="004B51D6">
              <w:t xml:space="preserve">to deliver on the responsibilities of the </w:t>
            </w:r>
            <w:r w:rsidRPr="00895D1E">
              <w:t>Māori</w:t>
            </w:r>
            <w:r>
              <w:t>–</w:t>
            </w:r>
            <w:r w:rsidRPr="00895D1E">
              <w:t>Crown Relations</w:t>
            </w:r>
            <w:r>
              <w:t xml:space="preserve"> </w:t>
            </w:r>
            <w:r w:rsidRPr="004B51D6">
              <w:t>portfolio</w:t>
            </w:r>
            <w:r>
              <w:t xml:space="preserve"> </w:t>
            </w:r>
            <w:r w:rsidRPr="00030AC2">
              <w:rPr>
                <w:rFonts w:ascii="Arial" w:hAnsi="Arial" w:cs="Arial"/>
                <w:szCs w:val="24"/>
              </w:rPr>
              <w:t>(Te Arawhiti 2023a)</w:t>
            </w:r>
            <w:r w:rsidRPr="004B51D6">
              <w:t>.</w:t>
            </w:r>
          </w:p>
          <w:p w14:paraId="1DA2362A" w14:textId="77777777" w:rsidR="00E54B02" w:rsidRPr="006427D6" w:rsidRDefault="00E54B02" w:rsidP="00E54B02">
            <w:pPr>
              <w:pStyle w:val="BodyText"/>
            </w:pPr>
            <w:r>
              <w:t xml:space="preserve">It is these latter two functions that have the most parallels to the potential function of the independent mechanism(s) in Australia. The responsibilities of the </w:t>
            </w:r>
            <w:r w:rsidRPr="001B7CF0">
              <w:t xml:space="preserve">Te Kāhui Hīkina </w:t>
            </w:r>
            <w:r>
              <w:t>portfolio are to:</w:t>
            </w:r>
          </w:p>
          <w:p w14:paraId="730498AF" w14:textId="77777777" w:rsidR="00E54B02" w:rsidRPr="004B51D6" w:rsidRDefault="00E54B02" w:rsidP="00E54B02">
            <w:pPr>
              <w:pStyle w:val="ListBullet"/>
              <w:rPr>
                <w:lang w:eastAsia="en-AU"/>
              </w:rPr>
            </w:pPr>
            <w:r>
              <w:rPr>
                <w:lang w:eastAsia="en-AU"/>
              </w:rPr>
              <w:t>e</w:t>
            </w:r>
            <w:r w:rsidRPr="004B51D6">
              <w:rPr>
                <w:lang w:eastAsia="en-AU"/>
              </w:rPr>
              <w:t>nsure the Crown meets its Treaty settlement commitments</w:t>
            </w:r>
          </w:p>
          <w:p w14:paraId="126270F5" w14:textId="77777777" w:rsidR="00E54B02" w:rsidRPr="004B51D6" w:rsidRDefault="00E54B02" w:rsidP="00E54B02">
            <w:pPr>
              <w:pStyle w:val="ListBullet"/>
              <w:rPr>
                <w:lang w:eastAsia="en-AU"/>
              </w:rPr>
            </w:pPr>
            <w:r>
              <w:rPr>
                <w:lang w:eastAsia="en-AU"/>
              </w:rPr>
              <w:t>d</w:t>
            </w:r>
            <w:r w:rsidRPr="004B51D6">
              <w:rPr>
                <w:lang w:eastAsia="en-AU"/>
              </w:rPr>
              <w:t>evelop engagement, co</w:t>
            </w:r>
            <w:r>
              <w:rPr>
                <w:lang w:eastAsia="en-AU"/>
              </w:rPr>
              <w:noBreakHyphen/>
            </w:r>
            <w:r w:rsidRPr="004B51D6">
              <w:rPr>
                <w:lang w:eastAsia="en-AU"/>
              </w:rPr>
              <w:t>design and partnering principles that ensure agencies generate optimal solutions across social, environmental, cultural and economic development</w:t>
            </w:r>
          </w:p>
          <w:p w14:paraId="65941263" w14:textId="77777777" w:rsidR="00E54B02" w:rsidRPr="004B51D6" w:rsidRDefault="00E54B02" w:rsidP="00E54B02">
            <w:pPr>
              <w:pStyle w:val="ListBullet"/>
              <w:rPr>
                <w:lang w:eastAsia="en-AU"/>
              </w:rPr>
            </w:pPr>
            <w:r>
              <w:rPr>
                <w:lang w:eastAsia="en-AU"/>
              </w:rPr>
              <w:t>e</w:t>
            </w:r>
            <w:r w:rsidRPr="004B51D6">
              <w:rPr>
                <w:lang w:eastAsia="en-AU"/>
              </w:rPr>
              <w:t>nsure the engagement of public sector agencies with Māori is meaningful</w:t>
            </w:r>
          </w:p>
          <w:p w14:paraId="7C924052" w14:textId="77777777" w:rsidR="00E54B02" w:rsidRPr="004B51D6" w:rsidRDefault="00E54B02" w:rsidP="00E54B02">
            <w:pPr>
              <w:pStyle w:val="ListBullet"/>
              <w:rPr>
                <w:lang w:eastAsia="en-AU"/>
              </w:rPr>
            </w:pPr>
            <w:r>
              <w:rPr>
                <w:lang w:eastAsia="en-AU"/>
              </w:rPr>
              <w:t>p</w:t>
            </w:r>
            <w:r w:rsidRPr="004B51D6">
              <w:rPr>
                <w:lang w:eastAsia="en-AU"/>
              </w:rPr>
              <w:t>rovide strategic leadership and advice on contemporary Treaty issues</w:t>
            </w:r>
          </w:p>
          <w:p w14:paraId="11BA7A42" w14:textId="77777777" w:rsidR="00E54B02" w:rsidRPr="004B51D6" w:rsidRDefault="00E54B02" w:rsidP="00E54B02">
            <w:pPr>
              <w:pStyle w:val="ListBullet"/>
              <w:rPr>
                <w:lang w:eastAsia="en-AU"/>
              </w:rPr>
            </w:pPr>
            <w:r>
              <w:rPr>
                <w:lang w:eastAsia="en-AU"/>
              </w:rPr>
              <w:t>b</w:t>
            </w:r>
            <w:r w:rsidRPr="004B51D6">
              <w:rPr>
                <w:lang w:eastAsia="en-AU"/>
              </w:rPr>
              <w:t>roker solutions to challenging relationship issues with Māori</w:t>
            </w:r>
          </w:p>
          <w:p w14:paraId="39F1022E" w14:textId="77777777" w:rsidR="00E54B02" w:rsidRPr="004B51D6" w:rsidRDefault="00E54B02" w:rsidP="00E54B02">
            <w:pPr>
              <w:pStyle w:val="ListBullet"/>
              <w:rPr>
                <w:lang w:eastAsia="en-AU"/>
              </w:rPr>
            </w:pPr>
            <w:r>
              <w:rPr>
                <w:lang w:eastAsia="en-AU"/>
              </w:rPr>
              <w:t>c</w:t>
            </w:r>
            <w:r w:rsidRPr="004B51D6">
              <w:rPr>
                <w:lang w:eastAsia="en-AU"/>
              </w:rPr>
              <w:t xml:space="preserve">oordinate significant </w:t>
            </w:r>
            <w:r w:rsidRPr="004208CF">
              <w:rPr>
                <w:lang w:eastAsia="en-AU"/>
              </w:rPr>
              <w:t>Māori–Crown</w:t>
            </w:r>
            <w:r w:rsidRPr="004B51D6">
              <w:rPr>
                <w:lang w:eastAsia="en-AU"/>
              </w:rPr>
              <w:t xml:space="preserve"> events on behalf of the Crown</w:t>
            </w:r>
          </w:p>
          <w:p w14:paraId="6DED6E22" w14:textId="082616D1" w:rsidR="00E54B02" w:rsidRPr="004B51D6" w:rsidRDefault="00E54B02" w:rsidP="00E54B02">
            <w:pPr>
              <w:pStyle w:val="ListBullet"/>
              <w:rPr>
                <w:lang w:eastAsia="en-AU"/>
              </w:rPr>
            </w:pPr>
            <w:r>
              <w:rPr>
                <w:lang w:eastAsia="en-AU"/>
              </w:rPr>
              <w:t>p</w:t>
            </w:r>
            <w:r w:rsidRPr="004B51D6">
              <w:rPr>
                <w:lang w:eastAsia="en-AU"/>
              </w:rPr>
              <w:t xml:space="preserve">rovide strategic advice to the </w:t>
            </w:r>
            <w:r>
              <w:rPr>
                <w:lang w:eastAsia="en-AU"/>
              </w:rPr>
              <w:t xml:space="preserve">NZ </w:t>
            </w:r>
            <w:r w:rsidRPr="004B51D6">
              <w:rPr>
                <w:lang w:eastAsia="en-AU"/>
              </w:rPr>
              <w:t xml:space="preserve">Prime Minister and the Cabinet on the risks and opportunities in </w:t>
            </w:r>
            <w:r w:rsidRPr="004208CF">
              <w:rPr>
                <w:lang w:eastAsia="en-AU"/>
              </w:rPr>
              <w:t xml:space="preserve">Māori–Crown </w:t>
            </w:r>
            <w:r w:rsidRPr="004B51D6">
              <w:rPr>
                <w:lang w:eastAsia="en-AU"/>
              </w:rPr>
              <w:t>partnerships</w:t>
            </w:r>
            <w:r>
              <w:rPr>
                <w:lang w:eastAsia="en-AU"/>
              </w:rPr>
              <w:t xml:space="preserve"> </w:t>
            </w:r>
            <w:r w:rsidRPr="00030AC2">
              <w:rPr>
                <w:rFonts w:ascii="Arial" w:hAnsi="Arial" w:cs="Arial"/>
                <w:szCs w:val="24"/>
              </w:rPr>
              <w:t>(Te Arawhiti 2023a)</w:t>
            </w:r>
            <w:r w:rsidRPr="004B51D6">
              <w:rPr>
                <w:lang w:eastAsia="en-AU"/>
              </w:rPr>
              <w:t>.</w:t>
            </w:r>
          </w:p>
          <w:p w14:paraId="48A6FCDF" w14:textId="4B59B938" w:rsidR="00E54B02" w:rsidRDefault="00E54B02" w:rsidP="00E54B02">
            <w:pPr>
              <w:pStyle w:val="BodyText"/>
            </w:pPr>
            <w:r>
              <w:rPr>
                <w:lang w:eastAsia="en-AU"/>
              </w:rPr>
              <w:t xml:space="preserve">As part of ensuring the engagement of public sector agencies with </w:t>
            </w:r>
            <w:r w:rsidRPr="004B51D6">
              <w:t>Māori</w:t>
            </w:r>
            <w:r>
              <w:t xml:space="preserve"> is meaningful, </w:t>
            </w:r>
            <w:r w:rsidRPr="004B51D6">
              <w:t>Te Kāhui Hīkina</w:t>
            </w:r>
            <w:r>
              <w:t xml:space="preserve"> has developed an engagement framework and engagement guidelines, and works directly with agencies that are planning engagement with </w:t>
            </w:r>
            <w:r w:rsidRPr="004B51D6">
              <w:t>Māori</w:t>
            </w:r>
            <w:r>
              <w:t xml:space="preserve"> </w:t>
            </w:r>
            <w:r w:rsidRPr="000E1F5B">
              <w:rPr>
                <w:rFonts w:ascii="Arial" w:hAnsi="Arial" w:cs="Arial"/>
                <w:szCs w:val="24"/>
              </w:rPr>
              <w:t>(Te Arawhiti 2022a)</w:t>
            </w:r>
            <w:r>
              <w:t xml:space="preserve">. </w:t>
            </w:r>
          </w:p>
          <w:p w14:paraId="493FCDDA" w14:textId="6C8970E7" w:rsidR="00E54B02" w:rsidRPr="003E08D5" w:rsidRDefault="00E54B02" w:rsidP="00E54B02">
            <w:pPr>
              <w:pStyle w:val="BodyText"/>
              <w:rPr>
                <w:spacing w:val="-4"/>
              </w:rPr>
            </w:pPr>
            <w:r w:rsidRPr="003E08D5">
              <w:rPr>
                <w:spacing w:val="-4"/>
              </w:rPr>
              <w:t>Te Arawhiti also l</w:t>
            </w:r>
            <w:r w:rsidRPr="003E08D5">
              <w:rPr>
                <w:spacing w:val="-4"/>
                <w:lang w:eastAsia="en-AU"/>
              </w:rPr>
              <w:t>eads the system for public sector Māori–Crown capability by focusing on increased understanding of Māori–Crown engagement and Whāinga Amorangi (transforming leadership). In 2021</w:t>
            </w:r>
            <w:r w:rsidRPr="003E08D5">
              <w:rPr>
                <w:spacing w:val="-4"/>
                <w:lang w:eastAsia="en-AU"/>
              </w:rPr>
              <w:noBreakHyphen/>
              <w:t xml:space="preserve">22, this included reviewing proposed plans from the 36 core government agencies that were required to develop a plan to ‘build their internal capability to improve Māori Crown relations’. In some cases, Te </w:t>
            </w:r>
            <w:r w:rsidRPr="003E08D5">
              <w:rPr>
                <w:spacing w:val="-4"/>
              </w:rPr>
              <w:t xml:space="preserve">Arawhiti required those agencies to do remedial work on their plans before it endorsed them </w:t>
            </w:r>
            <w:r w:rsidRPr="003E08D5">
              <w:rPr>
                <w:rFonts w:cs="Arial"/>
                <w:spacing w:val="-4"/>
                <w:szCs w:val="24"/>
              </w:rPr>
              <w:t>(Te Arawhiti 2022b, p. 16)</w:t>
            </w:r>
            <w:r w:rsidRPr="003E08D5">
              <w:rPr>
                <w:spacing w:val="-4"/>
              </w:rPr>
              <w:t xml:space="preserve">. </w:t>
            </w:r>
          </w:p>
          <w:p w14:paraId="2160DC3E" w14:textId="72B25E8E" w:rsidR="00E54B02" w:rsidRPr="003E08D5" w:rsidRDefault="00E54B02" w:rsidP="0042370F">
            <w:pPr>
              <w:pStyle w:val="BodyText"/>
            </w:pPr>
            <w:r w:rsidRPr="003E08D5">
              <w:t>Te Kāhui Whakamana supports the Crown to deliver on its Treaty settlement commitments. It helps the Crown gain an overview of its Treaty settlement commitments, assists coordination across agencies responsible for implementing commitments and acts as an initial contact point for enquiries on post</w:t>
            </w:r>
            <w:r w:rsidRPr="003E08D5">
              <w:noBreakHyphen/>
              <w:t xml:space="preserve">settlement matters. It also works with iwi (Māori nations) and government agencies to resolve issues after settlement. In addition, Te Kāhui Whakamana supports the Crown to act fairly as a Treaty partner (a key function of the Te Arawhiti portfolio) by looking for opportunities for partnership between the Crown and settled groups, and ensuring agencies and local government are aware of their Treaty settlement commitments </w:t>
            </w:r>
            <w:r w:rsidRPr="003E08D5">
              <w:rPr>
                <w:rFonts w:cs="Arial"/>
                <w:szCs w:val="24"/>
              </w:rPr>
              <w:t>(Te Arawhiti 2023c)</w:t>
            </w:r>
            <w:r w:rsidRPr="003E08D5">
              <w:t>.</w:t>
            </w:r>
          </w:p>
        </w:tc>
      </w:tr>
      <w:tr w:rsidR="00E54B02" w14:paraId="3F7CED28" w14:textId="77777777">
        <w:trPr>
          <w:hidden/>
        </w:trPr>
        <w:tc>
          <w:tcPr>
            <w:tcW w:w="9638" w:type="dxa"/>
            <w:gridSpan w:val="2"/>
            <w:shd w:val="clear" w:color="auto" w:fill="auto"/>
            <w:tcMar>
              <w:top w:w="0" w:type="dxa"/>
              <w:left w:w="170" w:type="dxa"/>
              <w:bottom w:w="0" w:type="dxa"/>
              <w:right w:w="170" w:type="dxa"/>
            </w:tcMar>
          </w:tcPr>
          <w:p w14:paraId="16867681" w14:textId="1049515E" w:rsidR="00E54B02" w:rsidRPr="00465191" w:rsidRDefault="00E54B02" w:rsidP="00E54B02">
            <w:pPr>
              <w:pStyle w:val="BodyText"/>
              <w:spacing w:before="0" w:after="0" w:line="80" w:lineRule="atLeast"/>
              <w:rPr>
                <w:smallCaps/>
                <w:vanish/>
              </w:rPr>
            </w:pPr>
          </w:p>
        </w:tc>
      </w:tr>
    </w:tbl>
    <w:p w14:paraId="7F56C805" w14:textId="4DD68240" w:rsidR="00E54B02" w:rsidRDefault="00A56A8F" w:rsidP="00B65FD9">
      <w:pPr>
        <w:pStyle w:val="BodyText"/>
      </w:pPr>
      <w:r>
        <w:lastRenderedPageBreak/>
        <w:t>Recognising the need for further guidance to inform the development of the independent mechanism, w</w:t>
      </w:r>
      <w:r w:rsidRPr="00941214">
        <w:t xml:space="preserve">ork </w:t>
      </w:r>
      <w:r>
        <w:t xml:space="preserve">has been </w:t>
      </w:r>
      <w:r w:rsidRPr="00941214">
        <w:t xml:space="preserve">commissioned through the Joint Council </w:t>
      </w:r>
      <w:r>
        <w:t xml:space="preserve">to provide that </w:t>
      </w:r>
      <w:r w:rsidRPr="00941214">
        <w:t xml:space="preserve">guidance. </w:t>
      </w:r>
      <w:r>
        <w:t>It</w:t>
      </w:r>
      <w:r w:rsidRPr="00941214">
        <w:t xml:space="preserve"> is expected to be delivered to the Partnership Working Group by August 2023</w:t>
      </w:r>
      <w:r>
        <w:t>.</w:t>
      </w:r>
      <w:r w:rsidRPr="00266363">
        <w:t xml:space="preserve"> </w:t>
      </w:r>
      <w:r w:rsidR="00092CB5">
        <w:t xml:space="preserve">The Commission is also seeking further information </w:t>
      </w:r>
      <w:r w:rsidR="002377A0">
        <w:t xml:space="preserve">on </w:t>
      </w:r>
      <w:r w:rsidR="00092CB5">
        <w:t xml:space="preserve">the potential future role </w:t>
      </w:r>
      <w:r w:rsidR="00882624">
        <w:t xml:space="preserve">and functions </w:t>
      </w:r>
      <w:r w:rsidR="00092CB5">
        <w:t>of the independent mechanism.</w:t>
      </w:r>
    </w:p>
    <w:p w14:paraId="196BE946" w14:textId="4613954F" w:rsidR="00E54B02" w:rsidRDefault="00E54B02">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82"/>
        <w:gridCol w:w="8856"/>
      </w:tblGrid>
      <w:tr w:rsidR="00E54B02" w14:paraId="076EF8E2" w14:textId="77777777" w:rsidTr="00E54B02">
        <w:trPr>
          <w:trHeight w:val="765"/>
          <w:tblHeader/>
        </w:trPr>
        <w:tc>
          <w:tcPr>
            <w:tcW w:w="366" w:type="pct"/>
            <w:shd w:val="clear" w:color="auto" w:fill="FBF3EC"/>
            <w:tcMar>
              <w:bottom w:w="0" w:type="dxa"/>
            </w:tcMar>
            <w:vAlign w:val="center"/>
          </w:tcPr>
          <w:p w14:paraId="5BE0DD8C" w14:textId="30FEC026" w:rsidR="00E54B02" w:rsidRDefault="00037D7B">
            <w:pPr>
              <w:pStyle w:val="NoSpacing"/>
              <w:keepNext/>
              <w:keepLines/>
              <w:jc w:val="right"/>
            </w:pPr>
            <w:r w:rsidRPr="00A51374">
              <w:rPr>
                <w:noProof/>
              </w:rPr>
              <w:drawing>
                <wp:inline distT="0" distB="0" distL="0" distR="0" wp14:anchorId="381E40DB" wp14:editId="7BAADD3C">
                  <wp:extent cx="359508" cy="359508"/>
                  <wp:effectExtent l="0" t="0" r="0" b="0"/>
                  <wp:docPr id="208990844" name="Picture 2089908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90844" name="Graphic 208990844">
                            <a:extLst>
                              <a:ext uri="{C183D7F6-B498-43B3-948B-1728B52AA6E4}">
                                <adec:decorative xmlns:adec="http://schemas.microsoft.com/office/drawing/2017/decorative" val="1"/>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68140" cy="368140"/>
                          </a:xfrm>
                          <a:prstGeom prst="rect">
                            <a:avLst/>
                          </a:prstGeom>
                        </pic:spPr>
                      </pic:pic>
                    </a:graphicData>
                  </a:graphic>
                </wp:inline>
              </w:drawing>
            </w:r>
          </w:p>
        </w:tc>
        <w:tc>
          <w:tcPr>
            <w:tcW w:w="4634" w:type="pct"/>
            <w:shd w:val="clear" w:color="auto" w:fill="FBF3EC"/>
            <w:tcMar>
              <w:bottom w:w="0" w:type="dxa"/>
            </w:tcMar>
            <w:vAlign w:val="center"/>
          </w:tcPr>
          <w:p w14:paraId="215FB6D7" w14:textId="77777777" w:rsidR="00E54B02" w:rsidRPr="00037D7B" w:rsidRDefault="00E54B02" w:rsidP="00E54B02">
            <w:pPr>
              <w:pStyle w:val="TableHeading"/>
              <w:keepLines/>
              <w:spacing w:before="120"/>
              <w:contextualSpacing/>
              <w:rPr>
                <w:color w:val="0D8380" w:themeColor="background2"/>
                <w:sz w:val="20"/>
                <w:szCs w:val="22"/>
              </w:rPr>
            </w:pPr>
            <w:r w:rsidRPr="00037D7B">
              <w:rPr>
                <w:color w:val="0D8380" w:themeColor="background2"/>
                <w:sz w:val="20"/>
                <w:szCs w:val="22"/>
              </w:rPr>
              <w:t>Information request 9</w:t>
            </w:r>
          </w:p>
          <w:p w14:paraId="5CA029C3" w14:textId="6FF6205B" w:rsidR="00E54B02" w:rsidRPr="002530FF" w:rsidRDefault="00E54B02" w:rsidP="00E54B02">
            <w:pPr>
              <w:pStyle w:val="TableHeading"/>
              <w:keepNext/>
              <w:keepLines/>
              <w:spacing w:before="120" w:after="120"/>
              <w:contextualSpacing/>
              <w:rPr>
                <w:sz w:val="20"/>
              </w:rPr>
            </w:pPr>
            <w:r w:rsidRPr="00037D7B">
              <w:rPr>
                <w:color w:val="0D8380" w:themeColor="background2"/>
                <w:sz w:val="20"/>
                <w:szCs w:val="22"/>
              </w:rPr>
              <w:t>Independent mechanism in the broader landscape</w:t>
            </w:r>
          </w:p>
        </w:tc>
      </w:tr>
      <w:tr w:rsidR="00E54B02" w14:paraId="2E0918BE" w14:textId="77777777" w:rsidTr="00E54B02">
        <w:tc>
          <w:tcPr>
            <w:tcW w:w="5000" w:type="pct"/>
            <w:gridSpan w:val="2"/>
            <w:shd w:val="clear" w:color="auto" w:fill="FBF3EC"/>
          </w:tcPr>
          <w:p w14:paraId="23B2C461" w14:textId="77777777" w:rsidR="00E54B02" w:rsidRPr="00037D7B" w:rsidRDefault="00E54B02" w:rsidP="00E54B02">
            <w:pPr>
              <w:pStyle w:val="BodyText"/>
              <w:keepNext/>
              <w:keepLines/>
              <w:rPr>
                <w:color w:val="000000" w:themeColor="text1"/>
              </w:rPr>
            </w:pPr>
            <w:r w:rsidRPr="00037D7B">
              <w:rPr>
                <w:color w:val="000000" w:themeColor="text1"/>
              </w:rPr>
              <w:t xml:space="preserve">The Agreement provides for an independent mechanism that will drive accountability by supporting, monitoring and reporting on governments’ transformations. But new and emerging Aboriginal and Torres Strait Islander bodies (such as the proposed Voice to the Australian Parliament and Government, state and territory representative bodies, Voices to State Parliaments, Treaty processes, and justice commissions) will also have a role to play in accountability more broadly. With this in mind, the Commission is seeking further information on the future role and functions of the independent mechanism. </w:t>
            </w:r>
          </w:p>
          <w:p w14:paraId="1C2479C8" w14:textId="77777777" w:rsidR="00E54B02" w:rsidRPr="00037D7B" w:rsidRDefault="00E54B02" w:rsidP="00E54B02">
            <w:pPr>
              <w:pStyle w:val="ListBullet"/>
              <w:keepNext/>
              <w:rPr>
                <w:color w:val="000000" w:themeColor="text1"/>
              </w:rPr>
            </w:pPr>
            <w:r w:rsidRPr="00037D7B">
              <w:rPr>
                <w:color w:val="000000" w:themeColor="text1"/>
              </w:rPr>
              <w:t xml:space="preserve">What are the essential features of the independent mechanism? </w:t>
            </w:r>
          </w:p>
          <w:p w14:paraId="3E60BE81" w14:textId="77777777" w:rsidR="00E54B02" w:rsidRPr="00037D7B" w:rsidRDefault="00E54B02" w:rsidP="00E54B02">
            <w:pPr>
              <w:pStyle w:val="ListBullet"/>
              <w:keepNext/>
              <w:rPr>
                <w:color w:val="000000" w:themeColor="text1"/>
              </w:rPr>
            </w:pPr>
            <w:r w:rsidRPr="00037D7B">
              <w:rPr>
                <w:color w:val="000000" w:themeColor="text1"/>
              </w:rPr>
              <w:t>What levers should the independent mechanism have to enable it to hold governments to account?</w:t>
            </w:r>
          </w:p>
          <w:p w14:paraId="20793454" w14:textId="77777777" w:rsidR="00E54B02" w:rsidRPr="00037D7B" w:rsidRDefault="00E54B02" w:rsidP="00E54B02">
            <w:pPr>
              <w:pStyle w:val="ListBullet"/>
              <w:keepNext/>
              <w:rPr>
                <w:color w:val="000000" w:themeColor="text1"/>
              </w:rPr>
            </w:pPr>
            <w:r w:rsidRPr="00037D7B">
              <w:rPr>
                <w:color w:val="000000" w:themeColor="text1"/>
              </w:rPr>
              <w:t>Should the independent mechanism have a broader role – beyond Priority Reform 3 – so that it can drive accountability for progress towards all of the Priority Reforms in the Agreement?</w:t>
            </w:r>
          </w:p>
          <w:p w14:paraId="64D94FB5" w14:textId="77777777" w:rsidR="00E54B02" w:rsidRPr="00037D7B" w:rsidRDefault="00E54B02" w:rsidP="00E54B02">
            <w:pPr>
              <w:pStyle w:val="ListBullet"/>
              <w:keepNext/>
              <w:rPr>
                <w:color w:val="000000" w:themeColor="text1"/>
              </w:rPr>
            </w:pPr>
            <w:r w:rsidRPr="00037D7B">
              <w:rPr>
                <w:color w:val="000000" w:themeColor="text1"/>
              </w:rPr>
              <w:t xml:space="preserve">How could the independent mechanism improve the timeliness of accountability? </w:t>
            </w:r>
          </w:p>
          <w:p w14:paraId="7FD3C0BF" w14:textId="6ABA1631" w:rsidR="00E54B02" w:rsidRPr="00037D7B" w:rsidRDefault="00E54B02" w:rsidP="00E54B02">
            <w:pPr>
              <w:pStyle w:val="ListBullet"/>
              <w:keepNext/>
              <w:rPr>
                <w:color w:val="000000" w:themeColor="text1"/>
              </w:rPr>
            </w:pPr>
            <w:r w:rsidRPr="00037D7B">
              <w:rPr>
                <w:color w:val="000000" w:themeColor="text1"/>
              </w:rPr>
              <w:t xml:space="preserve">How should the independent mechanism be situated with respect to the new and emerging Aboriginal and Torres Strait Islander bodies (such as the proposed Voice to the Australian </w:t>
            </w:r>
            <w:r w:rsidRPr="008412C5">
              <w:t>Parliament</w:t>
            </w:r>
            <w:r w:rsidR="008412C5" w:rsidRPr="008412C5">
              <w:t xml:space="preserve"> and Government</w:t>
            </w:r>
            <w:r w:rsidRPr="008412C5">
              <w:t>, state and territory representative bodies, Voices to State Parliaments, treaty processes</w:t>
            </w:r>
            <w:r w:rsidRPr="00037D7B">
              <w:rPr>
                <w:color w:val="000000" w:themeColor="text1"/>
              </w:rPr>
              <w:t>, and justice commissions)? Is a stand</w:t>
            </w:r>
            <w:r w:rsidRPr="00037D7B">
              <w:rPr>
                <w:color w:val="000000" w:themeColor="text1"/>
              </w:rPr>
              <w:noBreakHyphen/>
              <w:t>alone independent mechanism still required?</w:t>
            </w:r>
          </w:p>
          <w:p w14:paraId="474E9DD0" w14:textId="79965219" w:rsidR="00E54B02" w:rsidRDefault="00E54B02" w:rsidP="00E54B02">
            <w:pPr>
              <w:pStyle w:val="BodyText"/>
              <w:keepNext/>
              <w:keepLines/>
            </w:pPr>
            <w:r w:rsidRPr="00037D7B">
              <w:rPr>
                <w:color w:val="000000" w:themeColor="text1"/>
              </w:rPr>
              <w:t>What role should the independent mechanism play in reviewing and/or approving Closing the Gap implementation plans and annual reports?</w:t>
            </w:r>
          </w:p>
        </w:tc>
      </w:tr>
      <w:tr w:rsidR="00E54B02" w14:paraId="5E60FBA8" w14:textId="77777777">
        <w:tc>
          <w:tcPr>
            <w:tcW w:w="5000" w:type="pct"/>
            <w:gridSpan w:val="2"/>
            <w:tcMar>
              <w:bottom w:w="0" w:type="dxa"/>
            </w:tcMar>
          </w:tcPr>
          <w:p w14:paraId="2E07053F" w14:textId="7853C03A" w:rsidR="00E54B02" w:rsidRDefault="00E54B02">
            <w:pPr>
              <w:pStyle w:val="NoSpacing"/>
              <w:spacing w:line="200" w:lineRule="atLeast"/>
            </w:pPr>
          </w:p>
        </w:tc>
      </w:tr>
    </w:tbl>
    <w:p w14:paraId="01AAAD65" w14:textId="71A323BE" w:rsidR="00F566D7" w:rsidRDefault="007B4E2D" w:rsidP="00166D96">
      <w:pPr>
        <w:pStyle w:val="Heading2-nonumber"/>
        <w:ind w:left="624" w:hanging="624"/>
      </w:pPr>
      <w:bookmarkStart w:id="11" w:name="_Toc140504489"/>
      <w:r>
        <w:t>4</w:t>
      </w:r>
      <w:r w:rsidR="00AC3B10">
        <w:tab/>
      </w:r>
      <w:r w:rsidR="00F566D7" w:rsidRPr="00166D96">
        <w:t>Assigning clearer responsibilities and accountabilit</w:t>
      </w:r>
      <w:r w:rsidR="00F338E5">
        <w:t xml:space="preserve">ies </w:t>
      </w:r>
      <w:r w:rsidR="00F566D7" w:rsidRPr="00166D96">
        <w:t xml:space="preserve">for driving action within the public </w:t>
      </w:r>
      <w:r w:rsidR="001322BA" w:rsidRPr="0009243C">
        <w:t>sector</w:t>
      </w:r>
      <w:bookmarkEnd w:id="11"/>
    </w:p>
    <w:p w14:paraId="63D53A03" w14:textId="7B8EAE50" w:rsidR="00DC3AA4" w:rsidRDefault="00BE4A74" w:rsidP="00DC3AA4">
      <w:pPr>
        <w:pStyle w:val="BodyText"/>
      </w:pPr>
      <w:r>
        <w:t xml:space="preserve">The </w:t>
      </w:r>
      <w:r w:rsidR="008076EF">
        <w:t xml:space="preserve">new and </w:t>
      </w:r>
      <w:r w:rsidR="00AD40C2">
        <w:t xml:space="preserve">emerging </w:t>
      </w:r>
      <w:r w:rsidR="00DB0201">
        <w:t>Aboriginal and Torres Strait Islander</w:t>
      </w:r>
      <w:r w:rsidR="00A61F1A">
        <w:t xml:space="preserve"> bodies </w:t>
      </w:r>
      <w:r w:rsidR="005F68BF">
        <w:t xml:space="preserve">described </w:t>
      </w:r>
      <w:r w:rsidR="009F2E01">
        <w:t>in section</w:t>
      </w:r>
      <w:r w:rsidR="00FD58AA">
        <w:t> </w:t>
      </w:r>
      <w:r w:rsidR="009F2E01">
        <w:t>3</w:t>
      </w:r>
      <w:r w:rsidR="003B012C">
        <w:t xml:space="preserve">, together with the independent mechanism once </w:t>
      </w:r>
      <w:r w:rsidR="009F6A60">
        <w:t>established</w:t>
      </w:r>
      <w:r w:rsidR="003B012C">
        <w:t>,</w:t>
      </w:r>
      <w:r w:rsidR="009F2E01">
        <w:t xml:space="preserve"> will h</w:t>
      </w:r>
      <w:r w:rsidR="000E6825">
        <w:t xml:space="preserve">elp to ensure that governments are held accountable for progress towards the outcomes of the Agreement. </w:t>
      </w:r>
      <w:r w:rsidR="00DC3AA4">
        <w:t xml:space="preserve">But it is not reasonable or appropriate to put the burden for driving change within government on newly created bodies that sit outside of government </w:t>
      </w:r>
      <w:r w:rsidR="00E84FF9">
        <w:t>–</w:t>
      </w:r>
      <w:r w:rsidR="00DC3AA4">
        <w:t xml:space="preserve"> governments </w:t>
      </w:r>
      <w:r w:rsidR="008757C8">
        <w:t>need to</w:t>
      </w:r>
      <w:r w:rsidR="00DC3AA4">
        <w:t xml:space="preserve"> hold themselves accountable for making changes from within.</w:t>
      </w:r>
      <w:r w:rsidR="00E84FF9">
        <w:t xml:space="preserve"> </w:t>
      </w:r>
    </w:p>
    <w:p w14:paraId="1F45FA57" w14:textId="28DCC588" w:rsidR="00CD6F3A" w:rsidRDefault="00CD6F3A" w:rsidP="00CD6F3A">
      <w:pPr>
        <w:pStyle w:val="BodyText"/>
      </w:pPr>
      <w:r>
        <w:t>This will necessitate the creation of better governance systems, so that accountability at the level of a jurisdiction’s government affects the day</w:t>
      </w:r>
      <w:r w:rsidR="00FD58AA">
        <w:noBreakHyphen/>
      </w:r>
      <w:r>
        <w:t>to</w:t>
      </w:r>
      <w:r w:rsidR="00FD58AA">
        <w:noBreakHyphen/>
      </w:r>
      <w:r>
        <w:t xml:space="preserve">day actions of </w:t>
      </w:r>
      <w:r w:rsidRPr="0055562E">
        <w:t>public sector CEOs</w:t>
      </w:r>
      <w:r>
        <w:t>, executives</w:t>
      </w:r>
      <w:r w:rsidRPr="0055562E">
        <w:t xml:space="preserve"> and employees</w:t>
      </w:r>
      <w:r>
        <w:t xml:space="preserve"> in that jurisdiction. The need for improved governance and accountability was highlighted by inquiry participants, who told us that better m</w:t>
      </w:r>
      <w:r w:rsidRPr="001D669E">
        <w:t xml:space="preserve">echanisms are needed to ensure that senior department executives understand and engage with the </w:t>
      </w:r>
      <w:r>
        <w:t xml:space="preserve">Closing the Gap </w:t>
      </w:r>
      <w:r w:rsidRPr="001D669E">
        <w:t xml:space="preserve">initiatives </w:t>
      </w:r>
      <w:r w:rsidRPr="00C22A15">
        <w:rPr>
          <w:rFonts w:ascii="Arial" w:hAnsi="Arial" w:cs="Arial"/>
          <w:szCs w:val="24"/>
        </w:rPr>
        <w:t>(PC 2023b, p. 4)</w:t>
      </w:r>
      <w:r>
        <w:t>, and that this understanding and engagement cascades down to middle managers and staff.</w:t>
      </w:r>
    </w:p>
    <w:p w14:paraId="5F2A94EC" w14:textId="77777777" w:rsidR="006C202D" w:rsidRDefault="00C20144" w:rsidP="002C3FA1">
      <w:pPr>
        <w:pStyle w:val="BodyText"/>
      </w:pPr>
      <w:r>
        <w:t xml:space="preserve">In </w:t>
      </w:r>
      <w:r w:rsidR="00B77907">
        <w:t xml:space="preserve">considering </w:t>
      </w:r>
      <w:r w:rsidR="00180FA1">
        <w:t xml:space="preserve">how to implement </w:t>
      </w:r>
      <w:r w:rsidR="006100E9">
        <w:t>systems</w:t>
      </w:r>
      <w:r>
        <w:t xml:space="preserve"> </w:t>
      </w:r>
      <w:r w:rsidR="00180FA1">
        <w:t xml:space="preserve">that </w:t>
      </w:r>
      <w:r>
        <w:t xml:space="preserve">hold governments accountable for </w:t>
      </w:r>
      <w:r w:rsidR="006100E9">
        <w:t>changing</w:t>
      </w:r>
      <w:r>
        <w:t xml:space="preserve"> their </w:t>
      </w:r>
      <w:r w:rsidR="006100E9">
        <w:t>operations,</w:t>
      </w:r>
      <w:r w:rsidR="00180FA1">
        <w:t xml:space="preserve"> it is worthwhile to consider what lesson</w:t>
      </w:r>
      <w:r w:rsidR="0028131C">
        <w:t>s</w:t>
      </w:r>
      <w:r w:rsidR="00180FA1">
        <w:t xml:space="preserve"> can be learned from other </w:t>
      </w:r>
      <w:r w:rsidR="00DB1474">
        <w:t>large</w:t>
      </w:r>
      <w:r w:rsidR="00FD58AA">
        <w:noBreakHyphen/>
      </w:r>
      <w:r w:rsidR="00DB1474">
        <w:t xml:space="preserve">scale </w:t>
      </w:r>
      <w:r w:rsidR="00180FA1">
        <w:t xml:space="preserve">government transformation </w:t>
      </w:r>
      <w:r w:rsidR="00180FA1">
        <w:lastRenderedPageBreak/>
        <w:t>initiatives</w:t>
      </w:r>
      <w:r w:rsidR="00DB1474">
        <w:t xml:space="preserve">, such as the </w:t>
      </w:r>
      <w:r w:rsidR="001B49CA">
        <w:t xml:space="preserve">transformation of the NSW Public Service (information paper 4) and the </w:t>
      </w:r>
      <w:r w:rsidR="00DB1474" w:rsidRPr="00DB1474">
        <w:t xml:space="preserve">implementation of the National </w:t>
      </w:r>
      <w:r w:rsidR="00DB1474" w:rsidRPr="005F68BF">
        <w:t>Competition Policy</w:t>
      </w:r>
      <w:r w:rsidR="006100E9" w:rsidRPr="005F68BF">
        <w:t xml:space="preserve"> </w:t>
      </w:r>
      <w:r w:rsidR="00641DEC" w:rsidRPr="005F68BF">
        <w:t>(box</w:t>
      </w:r>
      <w:r w:rsidR="001B0747" w:rsidRPr="005F68BF">
        <w:t> </w:t>
      </w:r>
      <w:r w:rsidR="005F68BF" w:rsidRPr="005F68BF">
        <w:t>5).</w:t>
      </w:r>
    </w:p>
    <w:p w14:paraId="1F38485D" w14:textId="37C3678F" w:rsidR="00E54B02" w:rsidRPr="00F82BD9" w:rsidRDefault="00E54B02">
      <w:pPr>
        <w:pStyle w:val="NoSpacing"/>
      </w:pPr>
    </w:p>
    <w:tbl>
      <w:tblPr>
        <w:tblStyle w:val="Boxtable"/>
        <w:tblW w:w="5000" w:type="pct"/>
        <w:tblLook w:val="04A0" w:firstRow="1" w:lastRow="0" w:firstColumn="1" w:lastColumn="0" w:noHBand="0" w:noVBand="1"/>
      </w:tblPr>
      <w:tblGrid>
        <w:gridCol w:w="906"/>
        <w:gridCol w:w="8732"/>
      </w:tblGrid>
      <w:tr w:rsidR="00E54B02" w14:paraId="333159C7" w14:textId="77777777" w:rsidTr="00E54B02">
        <w:trPr>
          <w:tblHeader/>
        </w:trPr>
        <w:tc>
          <w:tcPr>
            <w:tcW w:w="851" w:type="dxa"/>
            <w:shd w:val="clear" w:color="auto" w:fill="FBF3EC"/>
            <w:tcMar>
              <w:top w:w="170" w:type="dxa"/>
              <w:left w:w="170" w:type="dxa"/>
              <w:bottom w:w="113" w:type="dxa"/>
              <w:right w:w="170" w:type="dxa"/>
            </w:tcMar>
            <w:hideMark/>
          </w:tcPr>
          <w:p w14:paraId="21355C8E" w14:textId="591281D0" w:rsidR="00E54B02" w:rsidRDefault="00E54B02" w:rsidP="00A37DC5">
            <w:pPr>
              <w:pStyle w:val="BoxHeading1"/>
              <w:keepNext w:val="0"/>
              <w:spacing w:before="0"/>
            </w:pPr>
            <w:r w:rsidRPr="00A031AA">
              <w:rPr>
                <w:b/>
                <w:bCs/>
                <w:noProof/>
              </w:rPr>
              <w:drawing>
                <wp:inline distT="0" distB="0" distL="0" distR="0" wp14:anchorId="360B0120" wp14:editId="0ADFFDD3">
                  <wp:extent cx="360000" cy="424800"/>
                  <wp:effectExtent l="0" t="0" r="0" b="0"/>
                  <wp:docPr id="908428305" name="Picture 9084283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428305" name="Picture 908428305">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87" w:type="dxa"/>
            <w:shd w:val="clear" w:color="auto" w:fill="FBF3EC"/>
          </w:tcPr>
          <w:p w14:paraId="4D3CDE84" w14:textId="4FA0DCEB" w:rsidR="00E54B02" w:rsidRDefault="00E54B02" w:rsidP="00A37DC5">
            <w:pPr>
              <w:pStyle w:val="BoxHeading1"/>
              <w:keepNext w:val="0"/>
            </w:pPr>
            <w:r>
              <w:t xml:space="preserve">Box 5 – </w:t>
            </w:r>
            <w:r w:rsidRPr="00FA1787">
              <w:t>Lessons from the implementation of the National Competition Policy</w:t>
            </w:r>
          </w:p>
        </w:tc>
      </w:tr>
      <w:tr w:rsidR="00E54B02" w14:paraId="1646A293" w14:textId="77777777" w:rsidTr="00E54B02">
        <w:tc>
          <w:tcPr>
            <w:tcW w:w="9638" w:type="dxa"/>
            <w:gridSpan w:val="2"/>
            <w:shd w:val="clear" w:color="auto" w:fill="FBF3EC"/>
            <w:tcMar>
              <w:top w:w="28" w:type="dxa"/>
              <w:left w:w="170" w:type="dxa"/>
              <w:bottom w:w="170" w:type="dxa"/>
              <w:right w:w="170" w:type="dxa"/>
            </w:tcMar>
            <w:hideMark/>
          </w:tcPr>
          <w:p w14:paraId="6C6DFA35" w14:textId="77777777" w:rsidR="00E54B02" w:rsidRDefault="00E54B02" w:rsidP="00A37DC5">
            <w:pPr>
              <w:pStyle w:val="BodyText"/>
            </w:pPr>
            <w:r>
              <w:t>The National Competition Policy (NCP) was implemented in the 1990s and early 2000s. It was based on the principle that competitive markets better serve the interests of consumers and the wider community. The focus of the NCP reforms was on exposing some previously sheltered industries to competition and applying a more national approach to competition issues. To achieve this, t</w:t>
            </w:r>
            <w:r w:rsidRPr="00DB1474">
              <w:t xml:space="preserve">he NCP involved changes to competition laws, as well as </w:t>
            </w:r>
            <w:r>
              <w:t xml:space="preserve">numerous reforms set out in </w:t>
            </w:r>
            <w:r w:rsidRPr="00DB1474">
              <w:t>three intergovernmental agreements.</w:t>
            </w:r>
            <w:r>
              <w:t xml:space="preserve"> </w:t>
            </w:r>
          </w:p>
          <w:p w14:paraId="5224C734" w14:textId="77777777" w:rsidR="00E54B02" w:rsidRDefault="00E54B02" w:rsidP="00A37DC5">
            <w:pPr>
              <w:pStyle w:val="BodyText"/>
            </w:pPr>
            <w:r>
              <w:t>Key features of the institutional framework for the NCP included:</w:t>
            </w:r>
          </w:p>
          <w:p w14:paraId="67FAEAC8" w14:textId="77777777" w:rsidR="00E54B02" w:rsidRPr="00756B94" w:rsidRDefault="00E54B02" w:rsidP="00A37DC5">
            <w:pPr>
              <w:pStyle w:val="ListBullet"/>
              <w:rPr>
                <w:spacing w:val="-4"/>
              </w:rPr>
            </w:pPr>
            <w:r w:rsidRPr="00756B94">
              <w:rPr>
                <w:spacing w:val="-4"/>
              </w:rPr>
              <w:t>financial incentives – called ‘competition payments’ – made by the Australian Government to the state and territory governments to return the fiscal dividend from their implementation of agreed reform commitments</w:t>
            </w:r>
          </w:p>
          <w:p w14:paraId="200DF325" w14:textId="77777777" w:rsidR="00E54B02" w:rsidRDefault="00E54B02" w:rsidP="00A37DC5">
            <w:pPr>
              <w:pStyle w:val="ListBullet"/>
            </w:pPr>
            <w:r>
              <w:t>the creation of the National Competition Council (NCC), which was tasked with assessing</w:t>
            </w:r>
            <w:r w:rsidRPr="007D5C82">
              <w:t xml:space="preserve"> governments’ progress with implementing their reform commitments</w:t>
            </w:r>
            <w:r>
              <w:t xml:space="preserve">. The NCC’s reports were published when the Australian Treasurer made a decision to release the competition payments to state and territory governments for each tranche of progress. </w:t>
            </w:r>
          </w:p>
          <w:p w14:paraId="523588EA" w14:textId="3FAD3312" w:rsidR="00E54B02" w:rsidRDefault="00E54B02" w:rsidP="00A37DC5">
            <w:pPr>
              <w:pStyle w:val="BodyText"/>
            </w:pPr>
            <w:r>
              <w:t>These arrangements led to significant progress in reducing anti</w:t>
            </w:r>
            <w:r>
              <w:noBreakHyphen/>
              <w:t xml:space="preserve">competitive regulations </w:t>
            </w:r>
            <w:r w:rsidRPr="00F13977">
              <w:rPr>
                <w:rFonts w:ascii="Arial" w:hAnsi="Arial" w:cs="Arial"/>
                <w:szCs w:val="24"/>
              </w:rPr>
              <w:t>(Harper et al. 2015, p. 8)</w:t>
            </w:r>
            <w:r w:rsidRPr="0070450D">
              <w:t>. But</w:t>
            </w:r>
            <w:r>
              <w:t xml:space="preserve"> they did not lead to reform in all of the areas covered by the NCP, and a range of a</w:t>
            </w:r>
            <w:r w:rsidRPr="005647D5">
              <w:t>nti</w:t>
            </w:r>
            <w:r>
              <w:noBreakHyphen/>
            </w:r>
            <w:r w:rsidRPr="005647D5">
              <w:t>competitive regulations remain</w:t>
            </w:r>
            <w:r>
              <w:t>ed</w:t>
            </w:r>
            <w:r w:rsidRPr="005647D5">
              <w:t xml:space="preserve"> in place</w:t>
            </w:r>
            <w:r>
              <w:t xml:space="preserve">. For example, the extent of reform of alcohol regulations varied by state, and the NCC withheld payments from several jurisdictions due to lack of progress </w:t>
            </w:r>
            <w:r w:rsidRPr="00560AC0">
              <w:rPr>
                <w:rFonts w:ascii="Arial" w:hAnsi="Arial" w:cs="Arial"/>
                <w:szCs w:val="24"/>
              </w:rPr>
              <w:t>(Harper et al. 2015, p. 146)</w:t>
            </w:r>
            <w:r>
              <w:t xml:space="preserve">. </w:t>
            </w:r>
          </w:p>
          <w:p w14:paraId="6AD254DE" w14:textId="77777777" w:rsidR="00E54B02" w:rsidRDefault="00E54B02" w:rsidP="00A37DC5">
            <w:pPr>
              <w:autoSpaceDE w:val="0"/>
              <w:autoSpaceDN w:val="0"/>
              <w:adjustRightInd w:val="0"/>
              <w:spacing w:before="0" w:after="0" w:line="240" w:lineRule="auto"/>
            </w:pPr>
            <w:r>
              <w:t xml:space="preserve">In 2015, the </w:t>
            </w:r>
            <w:r w:rsidRPr="00E113EF">
              <w:t>Competition Policy Review</w:t>
            </w:r>
            <w:r>
              <w:t xml:space="preserve"> found that:</w:t>
            </w:r>
          </w:p>
          <w:p w14:paraId="220EBD04" w14:textId="77777777" w:rsidR="00E54B02" w:rsidRDefault="00E54B02" w:rsidP="00A37DC5">
            <w:pPr>
              <w:pStyle w:val="Quote"/>
            </w:pPr>
            <w:r>
              <w:t xml:space="preserve"> Several lessons may be drawn from Australia’s experience of implementing the [NCP]: </w:t>
            </w:r>
          </w:p>
          <w:p w14:paraId="2A75F961" w14:textId="77777777" w:rsidR="00E54B02" w:rsidRDefault="00E54B02" w:rsidP="00A37DC5">
            <w:pPr>
              <w:pStyle w:val="QuoteBullet"/>
            </w:pPr>
            <w:r>
              <w:t>All jurisdictions need to commit to the policy and its implementation.</w:t>
            </w:r>
          </w:p>
          <w:p w14:paraId="0AECB730" w14:textId="77777777" w:rsidR="00E54B02" w:rsidRPr="00756B94" w:rsidRDefault="00E54B02" w:rsidP="00A37DC5">
            <w:pPr>
              <w:pStyle w:val="QuoteBullet"/>
              <w:rPr>
                <w:spacing w:val="-4"/>
              </w:rPr>
            </w:pPr>
            <w:r w:rsidRPr="00756B94">
              <w:rPr>
                <w:spacing w:val="-4"/>
              </w:rPr>
              <w:t>Oversight of progress should be independent and transparent to ‘hold governments to account’.</w:t>
            </w:r>
          </w:p>
          <w:p w14:paraId="363C61B6" w14:textId="7BA4CB2E" w:rsidR="00E54B02" w:rsidRDefault="00E54B02" w:rsidP="00A37DC5">
            <w:pPr>
              <w:pStyle w:val="QuoteBullet"/>
            </w:pPr>
            <w:r>
              <w:t xml:space="preserve">The benefits of reform need to be argued and, where possible, measured </w:t>
            </w:r>
            <w:r w:rsidRPr="00CF4C47">
              <w:rPr>
                <w:rFonts w:ascii="Arial" w:hAnsi="Arial" w:cs="Arial"/>
                <w:szCs w:val="24"/>
              </w:rPr>
              <w:t>(Harper et al. 2015, p. 75)</w:t>
            </w:r>
            <w:r>
              <w:t>.</w:t>
            </w:r>
          </w:p>
          <w:p w14:paraId="457D6293" w14:textId="1D9C8F06" w:rsidR="00E54B02" w:rsidRDefault="00E54B02" w:rsidP="00A37DC5">
            <w:pPr>
              <w:pStyle w:val="BodyText"/>
            </w:pPr>
            <w:r>
              <w:t xml:space="preserve">The </w:t>
            </w:r>
            <w:r w:rsidRPr="00E113EF">
              <w:t>Competition Policy Review</w:t>
            </w:r>
            <w:r>
              <w:t xml:space="preserve"> also cautioned that while the competition payments assisted governments in delivering their reform agendas, the payments distorted the public message around the need for reform, creating a focus on withholding payments rather than the benefits that would flow from reform. It also meant that progress with competition policy reform waned when the competition payments ceased </w:t>
            </w:r>
            <w:r w:rsidRPr="00153458">
              <w:rPr>
                <w:szCs w:val="24"/>
              </w:rPr>
              <w:t>(Harper et al. 2015, p. 445)</w:t>
            </w:r>
            <w:r>
              <w:t xml:space="preserve">. </w:t>
            </w:r>
          </w:p>
          <w:p w14:paraId="0954D39B" w14:textId="64D28809" w:rsidR="00E54B02" w:rsidRDefault="00E54B02" w:rsidP="00A37DC5">
            <w:pPr>
              <w:pStyle w:val="Source"/>
            </w:pPr>
            <w:r w:rsidRPr="008D39B8">
              <w:rPr>
                <w:lang w:val="fr-FR"/>
              </w:rPr>
              <w:t>Source</w:t>
            </w:r>
            <w:r>
              <w:rPr>
                <w:lang w:val="fr-FR"/>
              </w:rPr>
              <w:t>s</w:t>
            </w:r>
            <w:r w:rsidRPr="008D39B8">
              <w:rPr>
                <w:lang w:val="fr-FR"/>
              </w:rPr>
              <w:t xml:space="preserve">: Harper et al </w:t>
            </w:r>
            <w:r w:rsidRPr="008D39B8">
              <w:rPr>
                <w:rFonts w:ascii="Arial" w:hAnsi="Arial" w:cs="Arial"/>
                <w:lang w:val="fr-FR"/>
              </w:rPr>
              <w:t>(2015)</w:t>
            </w:r>
            <w:r w:rsidRPr="008D39B8">
              <w:rPr>
                <w:lang w:val="fr-FR"/>
              </w:rPr>
              <w:t>; N</w:t>
            </w:r>
            <w:r>
              <w:rPr>
                <w:lang w:val="fr-FR"/>
              </w:rPr>
              <w:t xml:space="preserve">CC </w:t>
            </w:r>
            <w:r w:rsidRPr="00301EC9">
              <w:rPr>
                <w:rFonts w:ascii="Arial" w:hAnsi="Arial" w:cs="Arial"/>
                <w:lang w:val="fr-FR"/>
              </w:rPr>
              <w:t>(nd)</w:t>
            </w:r>
            <w:r>
              <w:rPr>
                <w:lang w:val="fr-FR"/>
              </w:rPr>
              <w:t>.</w:t>
            </w:r>
          </w:p>
        </w:tc>
      </w:tr>
      <w:tr w:rsidR="00E54B02" w14:paraId="20AADF93" w14:textId="77777777">
        <w:trPr>
          <w:hidden/>
        </w:trPr>
        <w:tc>
          <w:tcPr>
            <w:tcW w:w="9638" w:type="dxa"/>
            <w:gridSpan w:val="2"/>
            <w:shd w:val="clear" w:color="auto" w:fill="auto"/>
            <w:tcMar>
              <w:top w:w="0" w:type="dxa"/>
              <w:left w:w="170" w:type="dxa"/>
              <w:bottom w:w="0" w:type="dxa"/>
              <w:right w:w="170" w:type="dxa"/>
            </w:tcMar>
          </w:tcPr>
          <w:p w14:paraId="2ED79CE6" w14:textId="5E68A453" w:rsidR="00E54B02" w:rsidRPr="00465191" w:rsidRDefault="00E54B02" w:rsidP="00A37DC5">
            <w:pPr>
              <w:pStyle w:val="BodyText"/>
              <w:spacing w:before="0" w:after="0" w:line="80" w:lineRule="atLeast"/>
              <w:rPr>
                <w:smallCaps/>
                <w:vanish/>
              </w:rPr>
            </w:pPr>
          </w:p>
        </w:tc>
      </w:tr>
    </w:tbl>
    <w:p w14:paraId="6D9BAB67" w14:textId="77777777" w:rsidR="005B0305" w:rsidRDefault="005B0305" w:rsidP="00E041E9">
      <w:pPr>
        <w:pStyle w:val="BodyText"/>
        <w:keepNext/>
        <w:rPr>
          <w:spacing w:val="-4"/>
        </w:rPr>
      </w:pPr>
    </w:p>
    <w:p w14:paraId="3AED43A8" w14:textId="77777777" w:rsidR="005B0305" w:rsidRDefault="005B0305">
      <w:pPr>
        <w:spacing w:before="0" w:after="160" w:line="259" w:lineRule="auto"/>
        <w:rPr>
          <w:spacing w:val="-4"/>
        </w:rPr>
      </w:pPr>
      <w:r>
        <w:rPr>
          <w:spacing w:val="-4"/>
        </w:rPr>
        <w:br w:type="page"/>
      </w:r>
    </w:p>
    <w:p w14:paraId="30B41AF2" w14:textId="080B7752" w:rsidR="00784878" w:rsidRPr="00756B94" w:rsidRDefault="00BF24AD" w:rsidP="00E041E9">
      <w:pPr>
        <w:pStyle w:val="BodyText"/>
        <w:keepNext/>
        <w:rPr>
          <w:spacing w:val="-4"/>
        </w:rPr>
      </w:pPr>
      <w:r w:rsidRPr="00756B94">
        <w:rPr>
          <w:spacing w:val="-4"/>
        </w:rPr>
        <w:lastRenderedPageBreak/>
        <w:t>L</w:t>
      </w:r>
      <w:r w:rsidR="004563C4" w:rsidRPr="00756B94">
        <w:rPr>
          <w:spacing w:val="-4"/>
        </w:rPr>
        <w:t xml:space="preserve">essons to emerge from these </w:t>
      </w:r>
      <w:r w:rsidR="00784878" w:rsidRPr="00756B94">
        <w:rPr>
          <w:spacing w:val="-4"/>
        </w:rPr>
        <w:t xml:space="preserve">transformations include the </w:t>
      </w:r>
      <w:r w:rsidR="00D66819" w:rsidRPr="00756B94">
        <w:rPr>
          <w:spacing w:val="-4"/>
        </w:rPr>
        <w:t xml:space="preserve">importance of committed leadership, </w:t>
      </w:r>
      <w:r w:rsidR="00FF2A9F" w:rsidRPr="00756B94">
        <w:rPr>
          <w:spacing w:val="-4"/>
        </w:rPr>
        <w:t xml:space="preserve">the need to articulate the benefits of change (and to </w:t>
      </w:r>
      <w:r w:rsidR="009A1BE6" w:rsidRPr="00756B94">
        <w:rPr>
          <w:spacing w:val="-4"/>
        </w:rPr>
        <w:t xml:space="preserve">clearly </w:t>
      </w:r>
      <w:r w:rsidR="00FF2A9F" w:rsidRPr="00756B94">
        <w:rPr>
          <w:spacing w:val="-4"/>
        </w:rPr>
        <w:t xml:space="preserve">communicate those benefits </w:t>
      </w:r>
      <w:r w:rsidR="009A1BE6" w:rsidRPr="00756B94">
        <w:rPr>
          <w:spacing w:val="-4"/>
        </w:rPr>
        <w:t xml:space="preserve">so that they are understood by </w:t>
      </w:r>
      <w:r w:rsidR="00FF2A9F" w:rsidRPr="00756B94">
        <w:rPr>
          <w:spacing w:val="-4"/>
        </w:rPr>
        <w:t>everyone involved</w:t>
      </w:r>
      <w:r w:rsidR="00DE6BFB" w:rsidRPr="00756B94">
        <w:rPr>
          <w:spacing w:val="-4"/>
        </w:rPr>
        <w:t>)</w:t>
      </w:r>
      <w:r w:rsidR="00FF2A9F" w:rsidRPr="00756B94">
        <w:rPr>
          <w:spacing w:val="-4"/>
        </w:rPr>
        <w:t xml:space="preserve"> </w:t>
      </w:r>
      <w:r w:rsidR="007C35FA" w:rsidRPr="00756B94">
        <w:rPr>
          <w:spacing w:val="-4"/>
        </w:rPr>
        <w:t xml:space="preserve">and the </w:t>
      </w:r>
      <w:r w:rsidRPr="00756B94">
        <w:rPr>
          <w:spacing w:val="-4"/>
        </w:rPr>
        <w:t xml:space="preserve">key role that </w:t>
      </w:r>
      <w:r w:rsidR="001C3B05" w:rsidRPr="00756B94">
        <w:rPr>
          <w:spacing w:val="-4"/>
        </w:rPr>
        <w:t>independent oversight can play in driving change.</w:t>
      </w:r>
      <w:r w:rsidR="006F6159" w:rsidRPr="00756B94">
        <w:rPr>
          <w:spacing w:val="-4"/>
        </w:rPr>
        <w:t xml:space="preserve"> Funding and investing in change is also essential, though fundin</w:t>
      </w:r>
      <w:r w:rsidR="00194940" w:rsidRPr="00756B94">
        <w:rPr>
          <w:spacing w:val="-4"/>
        </w:rPr>
        <w:t xml:space="preserve">g on its own </w:t>
      </w:r>
      <w:r w:rsidR="00144C88" w:rsidRPr="00756B94">
        <w:rPr>
          <w:spacing w:val="-4"/>
        </w:rPr>
        <w:t>is unlikely to</w:t>
      </w:r>
      <w:r w:rsidR="00194940" w:rsidRPr="00756B94">
        <w:rPr>
          <w:spacing w:val="-4"/>
        </w:rPr>
        <w:t xml:space="preserve"> be a sufficient motivator for change.  </w:t>
      </w:r>
    </w:p>
    <w:p w14:paraId="3DF0C206" w14:textId="670A92E2" w:rsidR="009230AF" w:rsidRDefault="00194940" w:rsidP="006870E8">
      <w:pPr>
        <w:pStyle w:val="BodyText"/>
        <w:keepNext/>
      </w:pPr>
      <w:r>
        <w:t>Drawing on these lessons, t</w:t>
      </w:r>
      <w:r w:rsidR="009230AF">
        <w:t>he Commission is considering four potential avenues for enhancing a</w:t>
      </w:r>
      <w:r w:rsidR="009230AF" w:rsidRPr="00F24342">
        <w:t>ccountabilities for driving action within the public sector</w:t>
      </w:r>
      <w:r w:rsidR="009230AF">
        <w:t>.</w:t>
      </w:r>
      <w:r w:rsidR="00C90C04">
        <w:t xml:space="preserve"> </w:t>
      </w:r>
      <w:r w:rsidR="009230AF">
        <w:t>They are:</w:t>
      </w:r>
    </w:p>
    <w:p w14:paraId="101A106A" w14:textId="636D1A67" w:rsidR="0041626B" w:rsidRDefault="0041626B" w:rsidP="006870E8">
      <w:pPr>
        <w:pStyle w:val="ListBullet"/>
        <w:keepNext/>
      </w:pPr>
      <w:r>
        <w:t>d</w:t>
      </w:r>
      <w:r w:rsidRPr="00F566D7">
        <w:t>esignat</w:t>
      </w:r>
      <w:r>
        <w:t>ing</w:t>
      </w:r>
      <w:r w:rsidRPr="00F566D7">
        <w:t xml:space="preserve"> a senior leader </w:t>
      </w:r>
      <w:r>
        <w:t xml:space="preserve">or leadership group </w:t>
      </w:r>
      <w:r w:rsidRPr="00F566D7">
        <w:t xml:space="preserve">to drive </w:t>
      </w:r>
      <w:r w:rsidRPr="006F40D1">
        <w:t>jurisdiction</w:t>
      </w:r>
      <w:r w:rsidR="00FD58AA">
        <w:noBreakHyphen/>
      </w:r>
      <w:r w:rsidRPr="006F40D1">
        <w:t xml:space="preserve">wide </w:t>
      </w:r>
      <w:r w:rsidRPr="00F566D7">
        <w:t>change</w:t>
      </w:r>
    </w:p>
    <w:p w14:paraId="52F47412" w14:textId="1E17E085" w:rsidR="0041626B" w:rsidRPr="00756B94" w:rsidRDefault="0041626B" w:rsidP="0041626B">
      <w:pPr>
        <w:pStyle w:val="ListBullet"/>
        <w:rPr>
          <w:spacing w:val="-2"/>
        </w:rPr>
      </w:pPr>
      <w:r w:rsidRPr="00756B94">
        <w:rPr>
          <w:spacing w:val="-2"/>
        </w:rPr>
        <w:t>embedding responsibility for improv</w:t>
      </w:r>
      <w:r w:rsidR="00C32F5F" w:rsidRPr="00756B94">
        <w:rPr>
          <w:spacing w:val="-2"/>
        </w:rPr>
        <w:t>ing</w:t>
      </w:r>
      <w:r w:rsidRPr="00756B94">
        <w:rPr>
          <w:spacing w:val="-2"/>
        </w:rPr>
        <w:t xml:space="preserve"> the public sector’s relationship with Aboriginal and Torres Strait Islander people into the core employment requirements of all public sector CEOs, executives and employees</w:t>
      </w:r>
    </w:p>
    <w:p w14:paraId="0715ADE9" w14:textId="77777777" w:rsidR="0041626B" w:rsidRDefault="0041626B" w:rsidP="0041626B">
      <w:pPr>
        <w:pStyle w:val="ListBullet"/>
      </w:pPr>
      <w:r>
        <w:t>e</w:t>
      </w:r>
      <w:r w:rsidRPr="00F566D7">
        <w:t>nsur</w:t>
      </w:r>
      <w:r>
        <w:t xml:space="preserve">ing that central agencies lead changes </w:t>
      </w:r>
      <w:r w:rsidRPr="00770A75">
        <w:t>to Cabinet, Budget, funding and contracting</w:t>
      </w:r>
      <w:r>
        <w:t xml:space="preserve"> processes</w:t>
      </w:r>
      <w:r w:rsidRPr="00F566D7">
        <w:t xml:space="preserve"> </w:t>
      </w:r>
    </w:p>
    <w:p w14:paraId="65BD6F2D" w14:textId="2AB27D47" w:rsidR="0041626B" w:rsidRDefault="0041626B" w:rsidP="0041626B">
      <w:pPr>
        <w:pStyle w:val="ListBullet"/>
      </w:pPr>
      <w:r>
        <w:t>establishing or enhancing s</w:t>
      </w:r>
      <w:r w:rsidRPr="00F566D7">
        <w:t>ector</w:t>
      </w:r>
      <w:r w:rsidR="00FD58AA">
        <w:noBreakHyphen/>
      </w:r>
      <w:r w:rsidRPr="00F566D7">
        <w:t>specific accountability mechanisms</w:t>
      </w:r>
      <w:r>
        <w:t xml:space="preserve"> in key sectors.</w:t>
      </w:r>
    </w:p>
    <w:p w14:paraId="7A8C842C" w14:textId="40F1F60E" w:rsidR="00BB307D" w:rsidRDefault="00BB307D" w:rsidP="00BB307D">
      <w:pPr>
        <w:pStyle w:val="BodyText"/>
      </w:pPr>
      <w:r>
        <w:t xml:space="preserve">In information paper 3, the Commission also considers the possibility of </w:t>
      </w:r>
      <w:r w:rsidRPr="009076EB">
        <w:t>putting obligations for governments into service delivery contracts, such as requirements for governments to provide data to ACCOs to enable them to design and deliver services that best meet the priorities and needs of service users</w:t>
      </w:r>
      <w:r>
        <w:t>. Such obligations would provide another mechanism by which Aboriginal and Torres Strait Islander people could hold governments accountable.</w:t>
      </w:r>
    </w:p>
    <w:p w14:paraId="610F4D2F" w14:textId="77777777" w:rsidR="003C1BD6" w:rsidRDefault="003C1BD6" w:rsidP="003C1BD6">
      <w:pPr>
        <w:pStyle w:val="BodyText"/>
      </w:pPr>
      <w:r>
        <w:t xml:space="preserve">These new approaches to enhancing accountability within the public sector are designed to work alongside, and to complement, the Agreement and its Priority Reforms. All of the recommended changes will only be effective if they are implemented in ways that are consistent with the Agreement, and centre Aboriginal and Torres Strait Islander people and perspectives. So, for example, the new </w:t>
      </w:r>
      <w:r w:rsidRPr="00C83DC7">
        <w:t>responsibilities for public sector CEOs, executives and employees</w:t>
      </w:r>
      <w:r>
        <w:t xml:space="preserve"> should be developed in partnership with Aboriginal and Torres Strait Islander people, and should cover all of the transformation elements in Priority Reform 3. Similarly, appointing Aboriginal and Torres Strait Islander people to the senior leadership position(s) that are tasked with driving jurisdiction</w:t>
      </w:r>
      <w:r>
        <w:noBreakHyphen/>
        <w:t xml:space="preserve">wide change would strengthen those leadership position(s). </w:t>
      </w:r>
    </w:p>
    <w:p w14:paraId="4944E9F3" w14:textId="1BB1E4C9" w:rsidR="00902F69" w:rsidRDefault="00902F69" w:rsidP="00902F69">
      <w:pPr>
        <w:pStyle w:val="Heading3"/>
      </w:pPr>
      <w:r w:rsidRPr="00F566D7">
        <w:t>Designating a senior leader</w:t>
      </w:r>
      <w:r>
        <w:t xml:space="preserve"> or leadership group</w:t>
      </w:r>
      <w:r w:rsidRPr="00F566D7">
        <w:t xml:space="preserve"> to drive change</w:t>
      </w:r>
      <w:r w:rsidR="008B1577">
        <w:t xml:space="preserve"> </w:t>
      </w:r>
      <w:r w:rsidR="008B1577" w:rsidRPr="004D40F5">
        <w:t>throughout the public sector in each jurisdiction</w:t>
      </w:r>
    </w:p>
    <w:p w14:paraId="6E77F9E3" w14:textId="064A1742" w:rsidR="0080363A" w:rsidRDefault="00902F69" w:rsidP="00902F69">
      <w:pPr>
        <w:pStyle w:val="BodyText"/>
      </w:pPr>
      <w:r w:rsidRPr="004522D3">
        <w:t xml:space="preserve">Effective leadership is critical for driving the transformational change envisaged by the Agreement. But as it stands, no senior leader or leadership group is tasked with </w:t>
      </w:r>
      <w:r>
        <w:t>driving jurisdiction</w:t>
      </w:r>
      <w:r w:rsidR="00FD58AA">
        <w:noBreakHyphen/>
      </w:r>
      <w:r>
        <w:t>wide change</w:t>
      </w:r>
      <w:r w:rsidRPr="004522D3">
        <w:t xml:space="preserve"> </w:t>
      </w:r>
      <w:r>
        <w:t xml:space="preserve">by </w:t>
      </w:r>
      <w:r w:rsidRPr="004522D3">
        <w:t xml:space="preserve">promoting and embedding the required changes </w:t>
      </w:r>
      <w:r w:rsidR="00A00E35" w:rsidRPr="00A00E35">
        <w:t>throughout the public sector in each jurisdiction</w:t>
      </w:r>
      <w:r w:rsidRPr="004522D3">
        <w:t xml:space="preserve">. </w:t>
      </w:r>
    </w:p>
    <w:p w14:paraId="5D954831" w14:textId="77777777" w:rsidR="0080363A" w:rsidRPr="004D513C" w:rsidRDefault="0080363A" w:rsidP="0080363A">
      <w:pPr>
        <w:pStyle w:val="BodyText"/>
        <w:keepNext/>
      </w:pPr>
      <w:r>
        <w:t xml:space="preserve">As well as leadership from above, more needs to be done to ensure that everyone who is employed in the public sector understands and implements the Agreement. </w:t>
      </w:r>
    </w:p>
    <w:p w14:paraId="42FF74FD" w14:textId="5E392DB9" w:rsidR="0080363A" w:rsidRPr="001361AB" w:rsidRDefault="0080363A" w:rsidP="0080363A">
      <w:pPr>
        <w:pStyle w:val="Quote"/>
        <w:rPr>
          <w:lang w:val="en-GB" w:eastAsia="en-GB"/>
        </w:rPr>
      </w:pPr>
      <w:r w:rsidRPr="001361AB">
        <w:rPr>
          <w:lang w:eastAsia="en-GB"/>
        </w:rPr>
        <w:t>Although fundamental change must be driven from the top, it is important that it is not just top down. While they need a strong authorising environment, all public servants have a role to play in ensuring they have or acquire the knowledge and skills to play their part.</w:t>
      </w:r>
      <w:r w:rsidRPr="001361AB">
        <w:rPr>
          <w:lang w:val="en-GB" w:eastAsia="en-GB"/>
        </w:rPr>
        <w:t xml:space="preserve"> </w:t>
      </w:r>
      <w:r w:rsidRPr="0032034C">
        <w:rPr>
          <w:rFonts w:ascii="Arial" w:hAnsi="Arial" w:cs="Arial"/>
          <w:szCs w:val="24"/>
        </w:rPr>
        <w:t>(Hoffman 2022, p. 12)</w:t>
      </w:r>
    </w:p>
    <w:p w14:paraId="73CFF973" w14:textId="2CA8D09B" w:rsidR="00902F69" w:rsidRPr="00652BBA" w:rsidRDefault="0080363A" w:rsidP="0003318D">
      <w:pPr>
        <w:pStyle w:val="BodyText"/>
        <w:spacing w:after="240"/>
      </w:pPr>
      <w:r>
        <w:t>This is why stronger leadership needs to be accompanied by embedding</w:t>
      </w:r>
      <w:r w:rsidRPr="008F0405">
        <w:t xml:space="preserve"> responsibility for improving </w:t>
      </w:r>
      <w:r>
        <w:t xml:space="preserve">cultural capability and </w:t>
      </w:r>
      <w:r w:rsidRPr="008F0405">
        <w:t>relationship</w:t>
      </w:r>
      <w:r>
        <w:t>s</w:t>
      </w:r>
      <w:r w:rsidRPr="008F0405">
        <w:t xml:space="preserve"> with Aboriginal and Torres Strait Islander people into </w:t>
      </w:r>
      <w:r>
        <w:t xml:space="preserve">public sector </w:t>
      </w:r>
      <w:r w:rsidRPr="008F0405">
        <w:t>employment requirements</w:t>
      </w:r>
      <w:r>
        <w:t xml:space="preserve"> (discussed below).</w:t>
      </w:r>
      <w:r w:rsidR="006E6702">
        <w:t xml:space="preserve"> But there is also a need to address </w:t>
      </w:r>
      <w:r w:rsidR="0003318D">
        <w:t>the</w:t>
      </w:r>
      <w:r w:rsidR="00902F69">
        <w:t xml:space="preserve"> leadership gap, </w:t>
      </w:r>
      <w:r w:rsidR="0003318D">
        <w:t xml:space="preserve">in which </w:t>
      </w:r>
      <w:r w:rsidR="00902F69">
        <w:t xml:space="preserve">critical elements of successful change are absent or in short supply. These elements include: </w:t>
      </w:r>
    </w:p>
    <w:p w14:paraId="3C42F1E0" w14:textId="7A6255AE" w:rsidR="00273C1C" w:rsidRPr="00756B94" w:rsidRDefault="00902F69">
      <w:pPr>
        <w:pStyle w:val="ListBullet"/>
        <w:spacing w:after="240"/>
        <w:contextualSpacing w:val="0"/>
        <w:rPr>
          <w:spacing w:val="-2"/>
        </w:rPr>
      </w:pPr>
      <w:r w:rsidRPr="00756B94">
        <w:rPr>
          <w:b/>
          <w:bCs/>
          <w:spacing w:val="-2"/>
        </w:rPr>
        <w:t>Continuous, consistent communication.</w:t>
      </w:r>
      <w:r w:rsidRPr="00756B94">
        <w:rPr>
          <w:spacing w:val="-2"/>
        </w:rPr>
        <w:t xml:space="preserve"> In order for change to succeed in any organisation, employees must understand what change is expected and why. Creating this shared understanding requires </w:t>
      </w:r>
      <w:r w:rsidR="00DE4DA0" w:rsidRPr="00756B94">
        <w:rPr>
          <w:spacing w:val="-2"/>
        </w:rPr>
        <w:t>‘</w:t>
      </w:r>
      <w:r w:rsidRPr="00756B94">
        <w:rPr>
          <w:spacing w:val="-2"/>
        </w:rPr>
        <w:t>clear, persuasive and consistent communication from leaders and involvement from staff. Communication must be more or less continuous, not one</w:t>
      </w:r>
      <w:r w:rsidR="00FD58AA" w:rsidRPr="00756B94">
        <w:rPr>
          <w:spacing w:val="-2"/>
        </w:rPr>
        <w:noBreakHyphen/>
      </w:r>
      <w:r w:rsidRPr="00756B94">
        <w:rPr>
          <w:spacing w:val="-2"/>
        </w:rPr>
        <w:t>off</w:t>
      </w:r>
      <w:r w:rsidR="00DE4DA0" w:rsidRPr="00756B94">
        <w:rPr>
          <w:spacing w:val="-2"/>
        </w:rPr>
        <w:t>’</w:t>
      </w:r>
      <w:r w:rsidRPr="00756B94">
        <w:rPr>
          <w:spacing w:val="-2"/>
        </w:rPr>
        <w:t xml:space="preserve"> (Thodey et al. 2019, p. 82). But communication about the changes </w:t>
      </w:r>
      <w:r w:rsidRPr="00756B94">
        <w:rPr>
          <w:spacing w:val="-2"/>
        </w:rPr>
        <w:lastRenderedPageBreak/>
        <w:t>needed to implement the Priority Reforms does not appear to have reached (let alone continuously and consistently reached) all of the 2.4 million public sector workers across federal, state, territory and local government organisations whose ways of working may need to change (information paper 4)</w:t>
      </w:r>
      <w:r w:rsidR="00273C1C" w:rsidRPr="00756B94">
        <w:rPr>
          <w:spacing w:val="-2"/>
        </w:rPr>
        <w:t>. We heard that awareness of the Agreement is variable across the public sector and is often concentrated towards the top of the organisational hierarchy</w:t>
      </w:r>
      <w:r w:rsidR="00507F8F" w:rsidRPr="00756B94">
        <w:rPr>
          <w:spacing w:val="-2"/>
        </w:rPr>
        <w:t xml:space="preserve">, but that </w:t>
      </w:r>
      <w:r w:rsidR="00273C1C" w:rsidRPr="00756B94">
        <w:rPr>
          <w:spacing w:val="-2"/>
        </w:rPr>
        <w:t>further down the hierarchy</w:t>
      </w:r>
      <w:r w:rsidR="00507F8F" w:rsidRPr="00756B94">
        <w:rPr>
          <w:spacing w:val="-2"/>
        </w:rPr>
        <w:t xml:space="preserve"> (</w:t>
      </w:r>
      <w:r w:rsidR="00273C1C" w:rsidRPr="00756B94">
        <w:rPr>
          <w:spacing w:val="-2"/>
        </w:rPr>
        <w:t>at the service delivery level</w:t>
      </w:r>
      <w:r w:rsidR="00507F8F" w:rsidRPr="00756B94">
        <w:rPr>
          <w:spacing w:val="-2"/>
        </w:rPr>
        <w:t xml:space="preserve"> and in regional offices)</w:t>
      </w:r>
      <w:r w:rsidR="00273C1C" w:rsidRPr="00756B94">
        <w:rPr>
          <w:spacing w:val="-2"/>
        </w:rPr>
        <w:t xml:space="preserve"> awareness is often inconsistent or non</w:t>
      </w:r>
      <w:r w:rsidR="00FD58AA" w:rsidRPr="00756B94">
        <w:rPr>
          <w:spacing w:val="-2"/>
        </w:rPr>
        <w:noBreakHyphen/>
      </w:r>
      <w:r w:rsidR="00273C1C" w:rsidRPr="00756B94">
        <w:rPr>
          <w:spacing w:val="-2"/>
        </w:rPr>
        <w:t xml:space="preserve">existent </w:t>
      </w:r>
      <w:r w:rsidR="00273C1C" w:rsidRPr="00756B94">
        <w:rPr>
          <w:rFonts w:cs="Arial"/>
          <w:spacing w:val="-2"/>
          <w:szCs w:val="24"/>
        </w:rPr>
        <w:t>(PC 2023b, p. 11)</w:t>
      </w:r>
      <w:r w:rsidR="00273C1C" w:rsidRPr="00756B94">
        <w:rPr>
          <w:spacing w:val="-2"/>
        </w:rPr>
        <w:t>.</w:t>
      </w:r>
    </w:p>
    <w:p w14:paraId="2E85E798" w14:textId="5EE23016" w:rsidR="00902F69" w:rsidRPr="00D320B5" w:rsidRDefault="00902F69" w:rsidP="0024271B">
      <w:pPr>
        <w:pStyle w:val="ListBullet"/>
      </w:pPr>
      <w:r w:rsidRPr="00140E1C">
        <w:rPr>
          <w:b/>
          <w:bCs/>
        </w:rPr>
        <w:t>Role modelling and reinforcement.</w:t>
      </w:r>
      <w:r w:rsidRPr="00D320B5">
        <w:t xml:space="preserve"> Role</w:t>
      </w:r>
      <w:r w:rsidR="00FD58AA">
        <w:noBreakHyphen/>
      </w:r>
      <w:r w:rsidRPr="00D320B5">
        <w:t>modelling is one of the most powerful ways in which leaders can drive change</w:t>
      </w:r>
      <w:r w:rsidR="0024271B">
        <w:t>, as</w:t>
      </w:r>
      <w:r w:rsidRPr="00D320B5">
        <w:t xml:space="preserve"> </w:t>
      </w:r>
      <w:r w:rsidR="0024271B">
        <w:t xml:space="preserve">employees internalise patterns of behaviour to which they are commonly exposed </w:t>
      </w:r>
      <w:r w:rsidR="0024271B" w:rsidRPr="0024271B">
        <w:rPr>
          <w:rFonts w:ascii="Arial" w:hAnsi="Arial" w:cs="Arial"/>
          <w:szCs w:val="24"/>
        </w:rPr>
        <w:t>(Gladman, Ryder and Walters 2015, p. 2)</w:t>
      </w:r>
      <w:r w:rsidR="0024271B">
        <w:t>.</w:t>
      </w:r>
      <w:r w:rsidR="00597A30">
        <w:t xml:space="preserve"> </w:t>
      </w:r>
      <w:r w:rsidRPr="00D320B5">
        <w:t xml:space="preserve">Witnessing influential leaders acting consistently with expected new behaviours helps people feel confident to take the risk associated with changing. </w:t>
      </w:r>
      <w:r w:rsidR="00B81287">
        <w:t xml:space="preserve">An analysis of more than 80 </w:t>
      </w:r>
      <w:r w:rsidR="00140E1C">
        <w:t>government transformations in 18 countries found that:</w:t>
      </w:r>
    </w:p>
    <w:p w14:paraId="62128563" w14:textId="0929CCA9" w:rsidR="00902F69" w:rsidRPr="007A3334" w:rsidRDefault="00902F69" w:rsidP="00902F69">
      <w:pPr>
        <w:pStyle w:val="Quote"/>
        <w:ind w:left="720"/>
      </w:pPr>
      <w:r>
        <w:t>Leaders</w:t>
      </w:r>
      <w:r w:rsidRPr="007A3334">
        <w:t xml:space="preserve"> of successful transformations were twice as likely as their peers in unsuccessful initiatives to role</w:t>
      </w:r>
      <w:r w:rsidR="00FD58AA">
        <w:noBreakHyphen/>
      </w:r>
      <w:r w:rsidRPr="007A3334">
        <w:t xml:space="preserve">model the behavior they expected of public servants. Such role models of transformation make major personal commitments, are ready to spend their political capital, and often put the outcomes of the change effort ahead of their own interests. </w:t>
      </w:r>
      <w:r w:rsidRPr="007A3334">
        <w:rPr>
          <w:rFonts w:ascii="Arial" w:hAnsi="Arial" w:cs="Arial"/>
          <w:szCs w:val="24"/>
        </w:rPr>
        <w:t>(Allas et al. 2018, p. 49)</w:t>
      </w:r>
    </w:p>
    <w:p w14:paraId="7B9418A1" w14:textId="77777777" w:rsidR="00902F69" w:rsidRPr="00D320B5" w:rsidRDefault="00902F69" w:rsidP="00902F69">
      <w:pPr>
        <w:pStyle w:val="ListBullet"/>
        <w:numPr>
          <w:ilvl w:val="0"/>
          <w:numId w:val="0"/>
        </w:numPr>
        <w:ind w:left="227"/>
        <w:contextualSpacing w:val="0"/>
      </w:pPr>
      <w:r w:rsidRPr="00D320B5">
        <w:t>Role models with lived experience – in this case, Aboriginal and Torres Strait Islander people – are best placed to support behaviour change.</w:t>
      </w:r>
    </w:p>
    <w:p w14:paraId="7B81C761" w14:textId="741CB22C" w:rsidR="00902F69" w:rsidRPr="008F1101" w:rsidRDefault="00902F69" w:rsidP="00902F69">
      <w:pPr>
        <w:pStyle w:val="ListBullet"/>
        <w:contextualSpacing w:val="0"/>
      </w:pPr>
      <w:r w:rsidRPr="008F1101">
        <w:rPr>
          <w:b/>
          <w:bCs/>
        </w:rPr>
        <w:t xml:space="preserve">Building skills and providing tools. </w:t>
      </w:r>
      <w:r w:rsidRPr="008F1101">
        <w:t xml:space="preserve">Employees must be equipped with the skills, capabilities and tools to act in new ways. Failing to do so necessarily undermines their ability to change, while building up the ability and </w:t>
      </w:r>
      <w:r w:rsidR="00230C89">
        <w:t>confidence</w:t>
      </w:r>
      <w:r w:rsidRPr="008F1101">
        <w:t xml:space="preserve"> of individuals to act in new ways creates positive reinforcement. </w:t>
      </w:r>
      <w:r>
        <w:t>But a</w:t>
      </w:r>
      <w:r w:rsidRPr="008F1101">
        <w:t xml:space="preserve">s explained in information paper 4, there is a paucity of evidence about the effectiveness of cultural capability training across the public sector. Without </w:t>
      </w:r>
      <w:r w:rsidR="00470524">
        <w:t xml:space="preserve">clarity about </w:t>
      </w:r>
      <w:r>
        <w:t xml:space="preserve">whose job it is to </w:t>
      </w:r>
      <w:r w:rsidRPr="008F1101">
        <w:t xml:space="preserve">obtain </w:t>
      </w:r>
      <w:r w:rsidR="00EC136F">
        <w:t xml:space="preserve">this </w:t>
      </w:r>
      <w:r w:rsidRPr="008F1101">
        <w:t>evidence, public sector organisations will continue to be ‘flying blind’.</w:t>
      </w:r>
    </w:p>
    <w:p w14:paraId="3CCACDD9" w14:textId="5BDAFCDE" w:rsidR="00902F69" w:rsidRPr="002E121F" w:rsidRDefault="00902F69" w:rsidP="00902F69">
      <w:pPr>
        <w:pStyle w:val="ListBullet"/>
      </w:pPr>
      <w:r w:rsidRPr="002E121F">
        <w:rPr>
          <w:b/>
          <w:bCs/>
        </w:rPr>
        <w:t xml:space="preserve">Rewarding desired behaviours. </w:t>
      </w:r>
      <w:r w:rsidRPr="002E121F">
        <w:t>Incentives and reward mechanisms (such as learning and development, performance assessment at all levels, promotions and appointments) must align with the expected behaviours and reinforce desired change.</w:t>
      </w:r>
      <w:r>
        <w:t xml:space="preserve"> This is why the Commission is recommending e</w:t>
      </w:r>
      <w:r w:rsidRPr="008F0405">
        <w:t>mbed</w:t>
      </w:r>
      <w:r>
        <w:t xml:space="preserve">ding </w:t>
      </w:r>
      <w:r w:rsidRPr="008F0405">
        <w:t xml:space="preserve">responsibility for improving </w:t>
      </w:r>
      <w:r w:rsidR="008560CB">
        <w:t xml:space="preserve">and demonstrating </w:t>
      </w:r>
      <w:r>
        <w:t xml:space="preserve">cultural capability and </w:t>
      </w:r>
      <w:r w:rsidR="008560CB">
        <w:t xml:space="preserve">building </w:t>
      </w:r>
      <w:r w:rsidRPr="008F0405">
        <w:t>relationship</w:t>
      </w:r>
      <w:r>
        <w:t>s</w:t>
      </w:r>
      <w:r w:rsidRPr="008F0405">
        <w:t xml:space="preserve"> with Aboriginal and Torres Strait Islander people into </w:t>
      </w:r>
      <w:r>
        <w:t xml:space="preserve">the </w:t>
      </w:r>
      <w:r w:rsidRPr="008F0405">
        <w:t>employment requirements</w:t>
      </w:r>
      <w:r>
        <w:t xml:space="preserve"> of </w:t>
      </w:r>
      <w:r w:rsidRPr="00D908BE">
        <w:t xml:space="preserve">public sector CEOs, executives and employees </w:t>
      </w:r>
      <w:r>
        <w:t xml:space="preserve">(draft recommendation 3, below).  </w:t>
      </w:r>
    </w:p>
    <w:p w14:paraId="18BBAD69" w14:textId="0AF2801A" w:rsidR="00017108" w:rsidRDefault="00017108" w:rsidP="00017108">
      <w:pPr>
        <w:pStyle w:val="Heading3"/>
      </w:pPr>
      <w:r>
        <w:t xml:space="preserve">Which </w:t>
      </w:r>
      <w:r w:rsidRPr="00F566D7">
        <w:t>senior leader</w:t>
      </w:r>
      <w:r>
        <w:t xml:space="preserve"> or leadership group</w:t>
      </w:r>
      <w:r w:rsidRPr="00F566D7">
        <w:t xml:space="preserve"> </w:t>
      </w:r>
      <w:r>
        <w:t xml:space="preserve">would be best placed </w:t>
      </w:r>
      <w:r w:rsidRPr="00F566D7">
        <w:t xml:space="preserve">to drive </w:t>
      </w:r>
      <w:r>
        <w:t>jurisdiction</w:t>
      </w:r>
      <w:r>
        <w:noBreakHyphen/>
        <w:t xml:space="preserve">wide </w:t>
      </w:r>
      <w:r w:rsidRPr="00F566D7">
        <w:t>change</w:t>
      </w:r>
      <w:r>
        <w:t>?</w:t>
      </w:r>
    </w:p>
    <w:p w14:paraId="30443D91" w14:textId="2E42BE75" w:rsidR="000C5DF9" w:rsidRDefault="000C5DF9" w:rsidP="00BE7819">
      <w:pPr>
        <w:pStyle w:val="BodyText"/>
      </w:pPr>
      <w:r w:rsidRPr="00300A17">
        <w:t xml:space="preserve">While the leadership gap is clear, the best option for filling the gap is not as easy to identify. There are several potential options, each with </w:t>
      </w:r>
      <w:r>
        <w:t xml:space="preserve">different </w:t>
      </w:r>
      <w:r w:rsidRPr="00300A17">
        <w:t xml:space="preserve">strengths. </w:t>
      </w:r>
    </w:p>
    <w:p w14:paraId="5C0BE151" w14:textId="5F47E26C" w:rsidR="00162922" w:rsidRDefault="004A2DCD" w:rsidP="00BA35D6">
      <w:pPr>
        <w:pStyle w:val="Heading4"/>
      </w:pPr>
      <w:r>
        <w:t xml:space="preserve">Secretaries of the </w:t>
      </w:r>
      <w:r w:rsidR="00162922">
        <w:t>Department of the Prime Minister, Premier or Chief Minister</w:t>
      </w:r>
      <w:r w:rsidR="00BA35D6">
        <w:t>?</w:t>
      </w:r>
    </w:p>
    <w:p w14:paraId="19830239" w14:textId="6C835AAC" w:rsidR="00632CF4" w:rsidRDefault="00CE02EE" w:rsidP="00D6537D">
      <w:pPr>
        <w:pStyle w:val="BodyText"/>
      </w:pPr>
      <w:r w:rsidRPr="00BC5936">
        <w:t>The Secretaries of the Departments of the Prime Minister, Premier or Chief Minister play a key role in public sector leadership.</w:t>
      </w:r>
      <w:r w:rsidR="009B6BC9">
        <w:t xml:space="preserve"> </w:t>
      </w:r>
      <w:r w:rsidR="00D8490D" w:rsidRPr="00BC5936">
        <w:t xml:space="preserve">In </w:t>
      </w:r>
      <w:r w:rsidR="00FC6B80">
        <w:t xml:space="preserve">some </w:t>
      </w:r>
      <w:r w:rsidR="00D8490D" w:rsidRPr="00BC5936">
        <w:t xml:space="preserve">jurisdictions, the Secretary is explicitly designated as the head of the public service. For </w:t>
      </w:r>
      <w:r w:rsidR="00982D5C" w:rsidRPr="00BC5936">
        <w:t>example</w:t>
      </w:r>
      <w:r w:rsidR="00D8490D" w:rsidRPr="00BC5936">
        <w:t xml:space="preserve">, </w:t>
      </w:r>
      <w:r w:rsidR="00982D5C" w:rsidRPr="00BC5936">
        <w:t xml:space="preserve">in </w:t>
      </w:r>
      <w:r w:rsidR="00BC5936" w:rsidRPr="00BC5936">
        <w:t>Tasmania</w:t>
      </w:r>
      <w:r w:rsidR="00982D5C" w:rsidRPr="00BC5936">
        <w:t xml:space="preserve">, the </w:t>
      </w:r>
      <w:r w:rsidR="00BC5936" w:rsidRPr="00BC5936">
        <w:t>Secretary of the Department of Premier and Cabinet is the Head of the S</w:t>
      </w:r>
      <w:r w:rsidR="00FC6B80">
        <w:t>t</w:t>
      </w:r>
      <w:r w:rsidR="00BC5936" w:rsidRPr="00BC5936">
        <w:t>ate Service</w:t>
      </w:r>
      <w:r w:rsidR="00DA3652">
        <w:t xml:space="preserve"> </w:t>
      </w:r>
      <w:r w:rsidR="0024271B" w:rsidRPr="0024271B">
        <w:rPr>
          <w:rFonts w:ascii="Arial" w:hAnsi="Arial" w:cs="Arial"/>
          <w:szCs w:val="24"/>
        </w:rPr>
        <w:t>(TDPC nd)</w:t>
      </w:r>
      <w:r w:rsidR="00BC5936" w:rsidRPr="00BC5936">
        <w:t>.</w:t>
      </w:r>
      <w:r w:rsidR="002B143A">
        <w:t xml:space="preserve"> In </w:t>
      </w:r>
      <w:r w:rsidR="00DC5B54">
        <w:t xml:space="preserve">some </w:t>
      </w:r>
      <w:r w:rsidR="002B143A">
        <w:t xml:space="preserve">other jurisdictions, the </w:t>
      </w:r>
      <w:r w:rsidR="004A2DCD">
        <w:t xml:space="preserve">Secretary </w:t>
      </w:r>
      <w:r w:rsidR="007925E2">
        <w:t>does not have a formally designated role as</w:t>
      </w:r>
      <w:r w:rsidR="00B035A2">
        <w:t xml:space="preserve"> head of the public service</w:t>
      </w:r>
      <w:r w:rsidR="007925E2">
        <w:t xml:space="preserve">, but nonetheless provides </w:t>
      </w:r>
      <w:r w:rsidR="00CF1552">
        <w:t>sector</w:t>
      </w:r>
      <w:r w:rsidR="00FD58AA">
        <w:noBreakHyphen/>
      </w:r>
      <w:r w:rsidR="00CF1552">
        <w:t xml:space="preserve">wide </w:t>
      </w:r>
      <w:r w:rsidR="007925E2">
        <w:t>leadership</w:t>
      </w:r>
      <w:r w:rsidR="00B035A2">
        <w:t xml:space="preserve">. </w:t>
      </w:r>
      <w:r w:rsidR="00E10184">
        <w:t xml:space="preserve">For instance, in the </w:t>
      </w:r>
      <w:r w:rsidR="00E84940">
        <w:t>Australian Public Service</w:t>
      </w:r>
      <w:r w:rsidR="00E27922">
        <w:t xml:space="preserve"> (APS)</w:t>
      </w:r>
      <w:r w:rsidR="00632CF4">
        <w:t>:</w:t>
      </w:r>
      <w:r w:rsidR="00E10184">
        <w:t xml:space="preserve"> </w:t>
      </w:r>
    </w:p>
    <w:p w14:paraId="58D7236A" w14:textId="6FE43762" w:rsidR="00632CF4" w:rsidRDefault="00632CF4" w:rsidP="00632CF4">
      <w:pPr>
        <w:pStyle w:val="Quote"/>
      </w:pPr>
      <w:r>
        <w:lastRenderedPageBreak/>
        <w:t xml:space="preserve">The [Prime Minister and Cabinet] Secretary is Chair of Secretaries Board, attends Cabinet meetings and is principal adviser to the Prime Minister. As a matter of practice, and consistent with these responsibilities, the [Prime Minister and Cabinet] Secretary serves as the most senior leader of the APS. However, the role is not formally recognised as such. Nor are the responsibilities of the role outlined comprehensively in legislation. </w:t>
      </w:r>
      <w:r w:rsidR="000D457C" w:rsidRPr="000D457C">
        <w:rPr>
          <w:rFonts w:ascii="Arial" w:hAnsi="Arial" w:cs="Arial"/>
          <w:szCs w:val="24"/>
        </w:rPr>
        <w:t>(Thodey et al. 2019, p. 285)</w:t>
      </w:r>
    </w:p>
    <w:p w14:paraId="3B4B31C0" w14:textId="4F4577C6" w:rsidR="00BB007A" w:rsidRDefault="00F94C2F" w:rsidP="00D6537D">
      <w:pPr>
        <w:pStyle w:val="BodyText"/>
      </w:pPr>
      <w:r>
        <w:t xml:space="preserve">This </w:t>
      </w:r>
      <w:r w:rsidR="00A36DA5">
        <w:t xml:space="preserve">senior </w:t>
      </w:r>
      <w:r>
        <w:t xml:space="preserve">leadership position – whether </w:t>
      </w:r>
      <w:r w:rsidR="00A36DA5">
        <w:t>legislated or not</w:t>
      </w:r>
      <w:r w:rsidR="00B7573C">
        <w:t xml:space="preserve"> </w:t>
      </w:r>
      <w:r>
        <w:t xml:space="preserve">– </w:t>
      </w:r>
      <w:r w:rsidR="00B7573C">
        <w:t xml:space="preserve">places the </w:t>
      </w:r>
      <w:r w:rsidR="00B7573C" w:rsidRPr="00BC5936">
        <w:t>Secretaries of the Departments of the Prime Minister, Premier or Chief Minister</w:t>
      </w:r>
      <w:r w:rsidR="008964A7">
        <w:t xml:space="preserve"> in an ideal position </w:t>
      </w:r>
      <w:r w:rsidR="0041622E">
        <w:t xml:space="preserve">to </w:t>
      </w:r>
      <w:r w:rsidR="00BC169D">
        <w:t xml:space="preserve">drive </w:t>
      </w:r>
      <w:r w:rsidR="00BB007A">
        <w:t xml:space="preserve">the systemic, </w:t>
      </w:r>
      <w:r w:rsidR="00BC169D">
        <w:t>jurisdiction</w:t>
      </w:r>
      <w:r w:rsidR="00FD58AA">
        <w:noBreakHyphen/>
      </w:r>
      <w:r w:rsidR="00BC169D">
        <w:t>wide change</w:t>
      </w:r>
      <w:r w:rsidR="00BB007A">
        <w:t>s that are needed to deliver on the Agreement.</w:t>
      </w:r>
    </w:p>
    <w:p w14:paraId="5617673E" w14:textId="77777777" w:rsidR="00DD1A16" w:rsidRDefault="0001630A" w:rsidP="006949C3">
      <w:pPr>
        <w:pStyle w:val="BodyText"/>
        <w:spacing w:after="240"/>
      </w:pPr>
      <w:r>
        <w:t xml:space="preserve">However, it </w:t>
      </w:r>
      <w:r w:rsidR="00F85ADF">
        <w:t>is unclear</w:t>
      </w:r>
      <w:r w:rsidR="00860C3B">
        <w:t xml:space="preserve"> whether</w:t>
      </w:r>
      <w:r w:rsidR="00F85ADF">
        <w:t xml:space="preserve"> </w:t>
      </w:r>
      <w:r>
        <w:t xml:space="preserve">Secretaries </w:t>
      </w:r>
      <w:r w:rsidRPr="00B56965">
        <w:t xml:space="preserve">have the </w:t>
      </w:r>
      <w:r w:rsidR="000D65A0" w:rsidRPr="00B56965">
        <w:t>deep knowledge of Aboriginal and Torres Strait Islander perspectives</w:t>
      </w:r>
      <w:r w:rsidR="00ED101E" w:rsidRPr="00B56965">
        <w:t xml:space="preserve"> that is needed to </w:t>
      </w:r>
      <w:r w:rsidR="00B56965" w:rsidRPr="00B56965">
        <w:t>effectively</w:t>
      </w:r>
      <w:r w:rsidR="00ED101E" w:rsidRPr="00B56965">
        <w:t xml:space="preserve"> drive </w:t>
      </w:r>
      <w:r w:rsidR="00B56965" w:rsidRPr="00B56965">
        <w:t>the</w:t>
      </w:r>
      <w:r w:rsidR="00466CE9">
        <w:t xml:space="preserve"> required</w:t>
      </w:r>
      <w:r w:rsidR="00B56965" w:rsidRPr="00B56965">
        <w:t xml:space="preserve"> changes</w:t>
      </w:r>
      <w:r w:rsidR="000D65A0" w:rsidRPr="00B56965">
        <w:t>.</w:t>
      </w:r>
      <w:r w:rsidR="00E7143C">
        <w:t xml:space="preserve"> While </w:t>
      </w:r>
      <w:r w:rsidR="00967E30">
        <w:t xml:space="preserve">Secretaries </w:t>
      </w:r>
      <w:r w:rsidR="00E7143C">
        <w:t xml:space="preserve">can reasonably be expected to </w:t>
      </w:r>
      <w:r w:rsidR="00967E30">
        <w:t xml:space="preserve">have </w:t>
      </w:r>
      <w:r w:rsidR="00E7143C">
        <w:t xml:space="preserve">an </w:t>
      </w:r>
      <w:r w:rsidR="00967E30">
        <w:t xml:space="preserve">understanding </w:t>
      </w:r>
      <w:r w:rsidR="00E7143C">
        <w:t>o</w:t>
      </w:r>
      <w:r w:rsidR="00EE7569" w:rsidRPr="00B56965">
        <w:t>f Aboriginal and Torres Strait Islander</w:t>
      </w:r>
      <w:r w:rsidR="00EE7569">
        <w:t xml:space="preserve"> culture and communities</w:t>
      </w:r>
      <w:r w:rsidR="00A23799">
        <w:t>,</w:t>
      </w:r>
      <w:r w:rsidR="004039FA">
        <w:t xml:space="preserve"> they </w:t>
      </w:r>
      <w:r w:rsidR="00C67DB2">
        <w:t>do</w:t>
      </w:r>
      <w:r w:rsidR="00E7143C">
        <w:t xml:space="preserve"> not have the depth of </w:t>
      </w:r>
      <w:r w:rsidR="00160700">
        <w:t xml:space="preserve">experience and understanding </w:t>
      </w:r>
      <w:r w:rsidR="00427CF5">
        <w:t xml:space="preserve">that </w:t>
      </w:r>
      <w:r w:rsidR="00C67DB2">
        <w:t xml:space="preserve">Aboriginal and Torres </w:t>
      </w:r>
      <w:r w:rsidR="00BF7BA9">
        <w:t>Strait</w:t>
      </w:r>
      <w:r w:rsidR="00C67DB2">
        <w:t xml:space="preserve"> Islander people could bring to the role</w:t>
      </w:r>
      <w:r w:rsidR="008472D4">
        <w:t xml:space="preserve"> (box </w:t>
      </w:r>
      <w:r w:rsidR="00C31857">
        <w:t>7</w:t>
      </w:r>
      <w:r w:rsidR="00A23799">
        <w:t>)</w:t>
      </w:r>
      <w:r w:rsidR="00B85641">
        <w:t>.</w:t>
      </w:r>
    </w:p>
    <w:p w14:paraId="6A94EAA1" w14:textId="77777777" w:rsidR="007D73C7" w:rsidRDefault="007D73C7" w:rsidP="007D73C7">
      <w:pPr>
        <w:pStyle w:val="NoSpacing"/>
      </w:pPr>
    </w:p>
    <w:tbl>
      <w:tblPr>
        <w:tblStyle w:val="Boxtable"/>
        <w:tblW w:w="5000" w:type="pct"/>
        <w:tblLook w:val="04A0" w:firstRow="1" w:lastRow="0" w:firstColumn="1" w:lastColumn="0" w:noHBand="0" w:noVBand="1"/>
      </w:tblPr>
      <w:tblGrid>
        <w:gridCol w:w="906"/>
        <w:gridCol w:w="8732"/>
      </w:tblGrid>
      <w:tr w:rsidR="00DD1A16" w14:paraId="264E2132" w14:textId="77777777" w:rsidTr="007D73C7">
        <w:trPr>
          <w:tblHeader/>
        </w:trPr>
        <w:tc>
          <w:tcPr>
            <w:tcW w:w="906" w:type="dxa"/>
            <w:shd w:val="clear" w:color="auto" w:fill="FBF3EC"/>
            <w:tcMar>
              <w:top w:w="170" w:type="dxa"/>
              <w:left w:w="170" w:type="dxa"/>
              <w:bottom w:w="113" w:type="dxa"/>
              <w:right w:w="170" w:type="dxa"/>
            </w:tcMar>
            <w:hideMark/>
          </w:tcPr>
          <w:p w14:paraId="2E97D26B" w14:textId="4D4DCA3D" w:rsidR="00DD1A16" w:rsidRDefault="00DD1A16" w:rsidP="007D73C7">
            <w:pPr>
              <w:pStyle w:val="BoxHeading1"/>
              <w:keepNext w:val="0"/>
              <w:spacing w:before="0"/>
            </w:pPr>
            <w:r w:rsidRPr="00A031AA">
              <w:rPr>
                <w:b/>
                <w:bCs/>
                <w:noProof/>
              </w:rPr>
              <w:drawing>
                <wp:inline distT="0" distB="0" distL="0" distR="0" wp14:anchorId="3C546339" wp14:editId="4E193835">
                  <wp:extent cx="360000" cy="424800"/>
                  <wp:effectExtent l="0" t="0" r="0" b="0"/>
                  <wp:docPr id="589976526" name="Picture 5899765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976526" name="Picture 589976526">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32" w:type="dxa"/>
            <w:shd w:val="clear" w:color="auto" w:fill="FBF3EC"/>
          </w:tcPr>
          <w:p w14:paraId="039FD8D5" w14:textId="76651479" w:rsidR="00DD1A16" w:rsidRDefault="00DD1A16" w:rsidP="007D73C7">
            <w:pPr>
              <w:pStyle w:val="BoxHeading1"/>
              <w:keepNext w:val="0"/>
            </w:pPr>
            <w:r>
              <w:t>Box 7 – The importance of lived experience in leadership</w:t>
            </w:r>
          </w:p>
        </w:tc>
      </w:tr>
      <w:tr w:rsidR="00DD1A16" w14:paraId="04F31C76" w14:textId="77777777" w:rsidTr="00DD1A16">
        <w:tc>
          <w:tcPr>
            <w:tcW w:w="9638" w:type="dxa"/>
            <w:gridSpan w:val="2"/>
            <w:shd w:val="clear" w:color="auto" w:fill="FBF3EC"/>
            <w:tcMar>
              <w:top w:w="28" w:type="dxa"/>
              <w:left w:w="170" w:type="dxa"/>
              <w:bottom w:w="170" w:type="dxa"/>
              <w:right w:w="170" w:type="dxa"/>
            </w:tcMar>
            <w:hideMark/>
          </w:tcPr>
          <w:p w14:paraId="05E1624F" w14:textId="77777777" w:rsidR="00DD1A16" w:rsidRPr="00321F5E" w:rsidRDefault="00DD1A16" w:rsidP="007D73C7">
            <w:pPr>
              <w:pStyle w:val="BodyText"/>
              <w:rPr>
                <w:spacing w:val="2"/>
              </w:rPr>
            </w:pPr>
            <w:r w:rsidRPr="00321F5E">
              <w:rPr>
                <w:spacing w:val="2"/>
              </w:rPr>
              <w:t xml:space="preserve">In Australia and internationally, lived experience is increasingly being recognised as key to informing the design, delivery and evaluation of government policies and programs, and the operations of government organisations. </w:t>
            </w:r>
          </w:p>
          <w:p w14:paraId="32851AA9" w14:textId="249FB555" w:rsidR="00DD1A16" w:rsidRPr="004D59D0" w:rsidRDefault="00DD1A16" w:rsidP="007D73C7">
            <w:pPr>
              <w:pStyle w:val="Quote"/>
            </w:pPr>
            <w:r w:rsidRPr="006B0BEE">
              <w:rPr>
                <w:rStyle w:val="QuoteChar"/>
              </w:rPr>
              <w:t>A lived experience recognises the effects of ongoing negative historical impacts and or specific events on the social and emotional wellbeing of Aboriginal and Torres Strait Islander peoples.</w:t>
            </w:r>
            <w:r>
              <w:t xml:space="preserve"> </w:t>
            </w:r>
            <w:r w:rsidRPr="00F30F67">
              <w:t>It encompasses the cultural, spiritual, physical, emotional and mental wellbeing of the individual, family or community.</w:t>
            </w:r>
            <w:r>
              <w:t xml:space="preserve"> </w:t>
            </w:r>
            <w:r w:rsidRPr="00AA7CCF">
              <w:rPr>
                <w:rFonts w:ascii="Arial" w:hAnsi="Arial" w:cs="Arial"/>
                <w:szCs w:val="24"/>
              </w:rPr>
              <w:t>(Black Dog Institute 2020)</w:t>
            </w:r>
          </w:p>
          <w:p w14:paraId="375C9472" w14:textId="77777777" w:rsidR="00DD1A16" w:rsidRDefault="00DD1A16" w:rsidP="007D73C7">
            <w:pPr>
              <w:pStyle w:val="BodyText"/>
            </w:pPr>
            <w:r>
              <w:t>Having leaders with lived experience in permanent positions ensures that these perspectives become an ongoing and formalised part of the policy and decision</w:t>
            </w:r>
            <w:r>
              <w:noBreakHyphen/>
              <w:t>making rather than a one</w:t>
            </w:r>
            <w:r>
              <w:noBreakHyphen/>
              <w:t xml:space="preserve">off consultation. </w:t>
            </w:r>
          </w:p>
          <w:p w14:paraId="75B7A517" w14:textId="77777777" w:rsidR="00DD1A16" w:rsidRPr="00F761B8" w:rsidRDefault="00DD1A16" w:rsidP="007D73C7">
            <w:pPr>
              <w:pStyle w:val="Quote"/>
            </w:pPr>
            <w:r w:rsidRPr="00F761B8">
              <w:t xml:space="preserve">When people with lived experiences of racism are missing from the organisation, especially in leadership, racial diversity is not prioritised. This means racial tokenism can often be confused for racial diversity. </w:t>
            </w:r>
            <w:r>
              <w:t xml:space="preserve">… </w:t>
            </w:r>
            <w:r w:rsidRPr="00F761B8">
              <w:t>Racial tokenism locks in racism by:</w:t>
            </w:r>
          </w:p>
          <w:p w14:paraId="21454EBB" w14:textId="77777777" w:rsidR="00DD1A16" w:rsidRPr="00F761B8" w:rsidRDefault="00DD1A16" w:rsidP="007D73C7">
            <w:pPr>
              <w:pStyle w:val="QuoteBullet"/>
            </w:pPr>
            <w:r w:rsidRPr="00F761B8">
              <w:t xml:space="preserve">perpetuating stereotypes and unconscious bias </w:t>
            </w:r>
          </w:p>
          <w:p w14:paraId="7AEA1AA5" w14:textId="77777777" w:rsidR="00DD1A16" w:rsidRPr="00F761B8" w:rsidRDefault="00DD1A16" w:rsidP="007D73C7">
            <w:pPr>
              <w:pStyle w:val="QuoteBullet"/>
            </w:pPr>
            <w:r w:rsidRPr="00F761B8">
              <w:t xml:space="preserve">putting an enormous burden of representation on that person or people </w:t>
            </w:r>
          </w:p>
          <w:p w14:paraId="020D2D6C" w14:textId="327BEA5E" w:rsidR="00DD1A16" w:rsidRPr="00F761B8" w:rsidRDefault="00DD1A16" w:rsidP="007D73C7">
            <w:pPr>
              <w:pStyle w:val="QuoteBullet"/>
            </w:pPr>
            <w:r w:rsidRPr="00F761B8">
              <w:t>enabling anti</w:t>
            </w:r>
            <w:r>
              <w:noBreakHyphen/>
            </w:r>
            <w:r w:rsidRPr="00F761B8">
              <w:t xml:space="preserve">racism actions to be easily avoided by just not inviting the person with lived experiences to relevant meetings. </w:t>
            </w:r>
            <w:r w:rsidRPr="00C4366D">
              <w:rPr>
                <w:rFonts w:ascii="Arial" w:hAnsi="Arial" w:cs="Arial"/>
                <w:szCs w:val="24"/>
              </w:rPr>
              <w:t>(DCA 2022, p. 45)</w:t>
            </w:r>
          </w:p>
          <w:p w14:paraId="7C9F43A5" w14:textId="53D0CD56" w:rsidR="00DD1A16" w:rsidRDefault="00DD1A16" w:rsidP="007D73C7">
            <w:pPr>
              <w:pStyle w:val="BodyText"/>
            </w:pPr>
            <w:r w:rsidRPr="00ED0AA7">
              <w:t xml:space="preserve">Often </w:t>
            </w:r>
            <w:r>
              <w:t>there needs to be</w:t>
            </w:r>
            <w:r w:rsidRPr="00ED0AA7">
              <w:t xml:space="preserve"> a critical mass of people with lived experiences, especially in leadership teams, before an organisation </w:t>
            </w:r>
            <w:r>
              <w:t>understands</w:t>
            </w:r>
            <w:r w:rsidRPr="00ED0AA7">
              <w:t xml:space="preserve"> that their policies and practices may not be so race</w:t>
            </w:r>
            <w:r>
              <w:noBreakHyphen/>
            </w:r>
            <w:r w:rsidRPr="00ED0AA7">
              <w:t>neutral after all (DCA 2022, p. 48)</w:t>
            </w:r>
            <w:r>
              <w:t xml:space="preserve">. In building that critical mass, it is important to recognise the potential challenges and vulnerabilities involved for lived experience leaders, such as the risk of tokenism, the emotional toll it can take (especially when working in isolation) and the need for effective support and training. </w:t>
            </w:r>
          </w:p>
        </w:tc>
      </w:tr>
      <w:tr w:rsidR="00DD1A16" w14:paraId="3B7E8928" w14:textId="77777777">
        <w:trPr>
          <w:hidden/>
        </w:trPr>
        <w:tc>
          <w:tcPr>
            <w:tcW w:w="9638" w:type="dxa"/>
            <w:gridSpan w:val="2"/>
            <w:shd w:val="clear" w:color="auto" w:fill="auto"/>
            <w:tcMar>
              <w:top w:w="0" w:type="dxa"/>
              <w:left w:w="170" w:type="dxa"/>
              <w:bottom w:w="0" w:type="dxa"/>
              <w:right w:w="170" w:type="dxa"/>
            </w:tcMar>
          </w:tcPr>
          <w:p w14:paraId="7D9796BB" w14:textId="51DC1269" w:rsidR="00DD1A16" w:rsidRPr="00465191" w:rsidRDefault="00DD1A16" w:rsidP="007D73C7">
            <w:pPr>
              <w:pStyle w:val="BodyText"/>
              <w:spacing w:before="0" w:after="0" w:line="80" w:lineRule="atLeast"/>
              <w:rPr>
                <w:smallCaps/>
                <w:vanish/>
              </w:rPr>
            </w:pPr>
          </w:p>
        </w:tc>
      </w:tr>
    </w:tbl>
    <w:p w14:paraId="7F9EC0A7" w14:textId="24FE7198" w:rsidR="00162922" w:rsidRDefault="00162922" w:rsidP="00BA35D6">
      <w:pPr>
        <w:pStyle w:val="Heading4"/>
      </w:pPr>
      <w:r>
        <w:lastRenderedPageBreak/>
        <w:t xml:space="preserve">Secretaries </w:t>
      </w:r>
      <w:r w:rsidR="007204BD">
        <w:t>b</w:t>
      </w:r>
      <w:r>
        <w:t xml:space="preserve">oards </w:t>
      </w:r>
      <w:r w:rsidR="00636EBA">
        <w:t>and similar</w:t>
      </w:r>
      <w:r>
        <w:t xml:space="preserve"> leadership groups</w:t>
      </w:r>
      <w:r w:rsidR="00BD4F5F">
        <w:t>?</w:t>
      </w:r>
      <w:r>
        <w:t xml:space="preserve"> </w:t>
      </w:r>
    </w:p>
    <w:p w14:paraId="4AEBFDC1" w14:textId="123E40C7" w:rsidR="0037196D" w:rsidRPr="00321F5E" w:rsidRDefault="00C55414" w:rsidP="00F917D6">
      <w:pPr>
        <w:pStyle w:val="BodyText"/>
        <w:rPr>
          <w:spacing w:val="-4"/>
        </w:rPr>
      </w:pPr>
      <w:r w:rsidRPr="00321F5E">
        <w:rPr>
          <w:spacing w:val="-4"/>
        </w:rPr>
        <w:t>Many</w:t>
      </w:r>
      <w:r w:rsidR="00041FCA" w:rsidRPr="00321F5E">
        <w:rPr>
          <w:spacing w:val="-4"/>
        </w:rPr>
        <w:t xml:space="preserve"> jurisdictions have forums in which the leaders of government departments and/or agencies come together to </w:t>
      </w:r>
      <w:r w:rsidR="00741E5C" w:rsidRPr="00321F5E">
        <w:rPr>
          <w:spacing w:val="-4"/>
        </w:rPr>
        <w:t xml:space="preserve">lead initiatives across the public service or public sector. </w:t>
      </w:r>
      <w:r w:rsidR="002645E6" w:rsidRPr="00321F5E">
        <w:rPr>
          <w:spacing w:val="-4"/>
        </w:rPr>
        <w:t xml:space="preserve">For example, ‘the Victorian Secretaries’ Board promotes leadership and coordinates initiatives across the public sector’ (VPSC 2023). </w:t>
      </w:r>
      <w:r w:rsidR="0037196D" w:rsidRPr="00321F5E">
        <w:rPr>
          <w:spacing w:val="-4"/>
        </w:rPr>
        <w:t xml:space="preserve">In the APS, the </w:t>
      </w:r>
      <w:r w:rsidR="009124E0" w:rsidRPr="00321F5E">
        <w:rPr>
          <w:spacing w:val="-4"/>
        </w:rPr>
        <w:t xml:space="preserve">functions of </w:t>
      </w:r>
      <w:r w:rsidR="0037196D" w:rsidRPr="00321F5E">
        <w:rPr>
          <w:spacing w:val="-4"/>
        </w:rPr>
        <w:t xml:space="preserve">the Secretaries Board </w:t>
      </w:r>
      <w:r w:rsidR="00F917D6" w:rsidRPr="00321F5E">
        <w:rPr>
          <w:spacing w:val="-4"/>
        </w:rPr>
        <w:t xml:space="preserve">are set out in section 64 of the </w:t>
      </w:r>
      <w:r w:rsidR="00F917D6" w:rsidRPr="00321F5E">
        <w:rPr>
          <w:i/>
          <w:iCs/>
          <w:spacing w:val="-4"/>
        </w:rPr>
        <w:t>Public Service Act 1999</w:t>
      </w:r>
      <w:r w:rsidR="00F917D6" w:rsidRPr="00321F5E">
        <w:rPr>
          <w:spacing w:val="-4"/>
        </w:rPr>
        <w:t xml:space="preserve"> (Cth). They are</w:t>
      </w:r>
      <w:r w:rsidR="009124E0" w:rsidRPr="00321F5E">
        <w:rPr>
          <w:spacing w:val="-4"/>
        </w:rPr>
        <w:t xml:space="preserve"> to</w:t>
      </w:r>
      <w:r w:rsidR="0037196D" w:rsidRPr="00321F5E">
        <w:rPr>
          <w:spacing w:val="-4"/>
        </w:rPr>
        <w:t>:</w:t>
      </w:r>
    </w:p>
    <w:p w14:paraId="5A729F4A" w14:textId="68116C2A" w:rsidR="0037196D" w:rsidRDefault="0037196D" w:rsidP="0037196D">
      <w:pPr>
        <w:pStyle w:val="QuoteBullet"/>
      </w:pPr>
      <w:r>
        <w:t>take responsibility for the stewardship of the APS and for developing and implementing strategies to improve the APS</w:t>
      </w:r>
    </w:p>
    <w:p w14:paraId="7A55D357" w14:textId="7F6F6870" w:rsidR="0037196D" w:rsidRDefault="0037196D" w:rsidP="0037196D">
      <w:pPr>
        <w:pStyle w:val="QuoteBullet"/>
      </w:pPr>
      <w:r>
        <w:t>identify strategic priorities for the APS and consider issues that affect the APS</w:t>
      </w:r>
    </w:p>
    <w:p w14:paraId="49999B4E" w14:textId="12AEB4DB" w:rsidR="0037196D" w:rsidRDefault="0037196D" w:rsidP="0037196D">
      <w:pPr>
        <w:pStyle w:val="QuoteBullet"/>
      </w:pPr>
      <w:r>
        <w:t>set an annual work program, and direct subcommittees to develop strategies to address APS</w:t>
      </w:r>
      <w:r w:rsidR="00571738">
        <w:noBreakHyphen/>
      </w:r>
      <w:r>
        <w:t>wide issues and make recommendations to the Secretaries Board</w:t>
      </w:r>
    </w:p>
    <w:p w14:paraId="24E7CBFD" w14:textId="4492C7CA" w:rsidR="0037196D" w:rsidRDefault="0037196D" w:rsidP="0037196D">
      <w:pPr>
        <w:pStyle w:val="QuoteBullet"/>
      </w:pPr>
      <w:r>
        <w:t>draw together advice from senior leaders in government, business and the community</w:t>
      </w:r>
    </w:p>
    <w:p w14:paraId="6B897BC7" w14:textId="71AB283D" w:rsidR="0037196D" w:rsidRDefault="0037196D" w:rsidP="0037196D">
      <w:pPr>
        <w:pStyle w:val="QuoteBullet"/>
      </w:pPr>
      <w:r>
        <w:t xml:space="preserve">work collaboratively and model leadership behaviours. </w:t>
      </w:r>
    </w:p>
    <w:p w14:paraId="08955FA7" w14:textId="2453A65E" w:rsidR="004A1C5F" w:rsidRPr="0084263C" w:rsidRDefault="00E37D8F" w:rsidP="00903C65">
      <w:pPr>
        <w:pStyle w:val="BodyText"/>
      </w:pPr>
      <w:r>
        <w:t>As part of this leadership role, s</w:t>
      </w:r>
      <w:r w:rsidR="00813E8B">
        <w:t xml:space="preserve">ecretaries boards and similar groups already play a role </w:t>
      </w:r>
      <w:r w:rsidR="00557051">
        <w:t xml:space="preserve">ensuring that </w:t>
      </w:r>
      <w:r w:rsidR="00316F82">
        <w:t>matters</w:t>
      </w:r>
      <w:r w:rsidR="00557051">
        <w:t xml:space="preserve"> affecting </w:t>
      </w:r>
      <w:r w:rsidR="005C734E" w:rsidRPr="00B56965">
        <w:t>Aboriginal and Torres Strait Islander</w:t>
      </w:r>
      <w:r w:rsidR="005C734E">
        <w:t xml:space="preserve"> people</w:t>
      </w:r>
      <w:r w:rsidR="00557051">
        <w:t xml:space="preserve"> are </w:t>
      </w:r>
      <w:r w:rsidR="005C41C3">
        <w:t>considered</w:t>
      </w:r>
      <w:r w:rsidR="00557051">
        <w:t xml:space="preserve"> </w:t>
      </w:r>
      <w:r w:rsidR="005C41C3">
        <w:t>by all government agencies and employees</w:t>
      </w:r>
      <w:r w:rsidR="005C734E">
        <w:t xml:space="preserve">. </w:t>
      </w:r>
      <w:r w:rsidR="00FC0B6B">
        <w:t xml:space="preserve">For example, the </w:t>
      </w:r>
      <w:r w:rsidR="00131EC3" w:rsidRPr="0084263C">
        <w:rPr>
          <w:rFonts w:ascii="Arial" w:hAnsi="Arial" w:cs="Arial"/>
          <w:shd w:val="clear" w:color="auto" w:fill="FFFFFF"/>
        </w:rPr>
        <w:t xml:space="preserve">CEO of the National Indigenous Australians Agency </w:t>
      </w:r>
      <w:r w:rsidR="00FC0B6B" w:rsidRPr="0084263C">
        <w:rPr>
          <w:rFonts w:ascii="Arial" w:hAnsi="Arial" w:cs="Arial"/>
          <w:shd w:val="clear" w:color="auto" w:fill="FFFFFF"/>
        </w:rPr>
        <w:t xml:space="preserve">attends </w:t>
      </w:r>
      <w:r w:rsidR="00BC6C9F" w:rsidRPr="0084263C">
        <w:rPr>
          <w:rFonts w:ascii="Arial" w:hAnsi="Arial" w:cs="Arial"/>
          <w:shd w:val="clear" w:color="auto" w:fill="FFFFFF"/>
        </w:rPr>
        <w:t xml:space="preserve">meetings of the APS Secretaries </w:t>
      </w:r>
      <w:r w:rsidR="00DE3A9A" w:rsidRPr="0084263C">
        <w:rPr>
          <w:rFonts w:ascii="Arial" w:hAnsi="Arial" w:cs="Arial"/>
          <w:shd w:val="clear" w:color="auto" w:fill="FFFFFF"/>
        </w:rPr>
        <w:t>Board ‘</w:t>
      </w:r>
      <w:r w:rsidR="00131EC3" w:rsidRPr="0084263C">
        <w:rPr>
          <w:rFonts w:ascii="Arial" w:hAnsi="Arial" w:cs="Arial"/>
          <w:shd w:val="clear" w:color="auto" w:fill="FFFFFF"/>
        </w:rPr>
        <w:t>to report on First Nations reforms and any related agenda items</w:t>
      </w:r>
      <w:r w:rsidR="00234EE9" w:rsidRPr="0084263C">
        <w:rPr>
          <w:rFonts w:ascii="Arial" w:hAnsi="Arial" w:cs="Arial"/>
          <w:shd w:val="clear" w:color="auto" w:fill="FFFFFF"/>
        </w:rPr>
        <w:t xml:space="preserve">’ </w:t>
      </w:r>
      <w:r w:rsidR="0024271B" w:rsidRPr="0024271B">
        <w:rPr>
          <w:rFonts w:ascii="Arial" w:hAnsi="Arial" w:cs="Arial"/>
          <w:szCs w:val="24"/>
        </w:rPr>
        <w:t>(DPMC 2023b)</w:t>
      </w:r>
      <w:r w:rsidR="00234EE9" w:rsidRPr="0084263C">
        <w:rPr>
          <w:rFonts w:ascii="Arial" w:hAnsi="Arial" w:cs="Arial"/>
          <w:shd w:val="clear" w:color="auto" w:fill="FFFFFF"/>
        </w:rPr>
        <w:t xml:space="preserve">. </w:t>
      </w:r>
      <w:r w:rsidR="000A600C">
        <w:t>I</w:t>
      </w:r>
      <w:r w:rsidR="005C734E">
        <w:t xml:space="preserve">n </w:t>
      </w:r>
      <w:r w:rsidR="006B4009">
        <w:t>Western Australia, the Public Sector Leadership Council</w:t>
      </w:r>
      <w:r w:rsidR="000019B9">
        <w:t xml:space="preserve"> </w:t>
      </w:r>
      <w:r w:rsidR="007204BD">
        <w:t xml:space="preserve">published a </w:t>
      </w:r>
      <w:r w:rsidR="003E3365">
        <w:t>‘narrative</w:t>
      </w:r>
      <w:r w:rsidR="001D1AFD">
        <w:t xml:space="preserve"> to drive a future enabled public sector in Western Australia’</w:t>
      </w:r>
      <w:r w:rsidR="00870F37">
        <w:t xml:space="preserve"> that </w:t>
      </w:r>
      <w:r w:rsidR="00865D35">
        <w:t>included ‘</w:t>
      </w:r>
      <w:r w:rsidR="00C81C52">
        <w:t>e</w:t>
      </w:r>
      <w:r w:rsidR="00865D35">
        <w:t xml:space="preserve">mpowering First Nations people with a secure future’ as one of six strategic priorities for the future </w:t>
      </w:r>
      <w:r w:rsidR="00C81C52">
        <w:t xml:space="preserve">of the </w:t>
      </w:r>
      <w:r w:rsidR="00865D35">
        <w:t>WA public sector</w:t>
      </w:r>
      <w:r w:rsidR="00C81C52">
        <w:t xml:space="preserve"> </w:t>
      </w:r>
      <w:r w:rsidR="000C0AD9" w:rsidRPr="000C0AD9">
        <w:rPr>
          <w:rFonts w:ascii="Arial" w:hAnsi="Arial" w:cs="Arial"/>
          <w:szCs w:val="24"/>
        </w:rPr>
        <w:t>(WA Public Sector Leadership Council 2023, pp. 1, 6)</w:t>
      </w:r>
      <w:r w:rsidR="006E4F13">
        <w:t xml:space="preserve">. </w:t>
      </w:r>
    </w:p>
    <w:p w14:paraId="22824B2A" w14:textId="578CAA56" w:rsidR="00716606" w:rsidRPr="00B00B4B" w:rsidRDefault="009B7EFE" w:rsidP="00826800">
      <w:pPr>
        <w:pStyle w:val="BodyText"/>
        <w:keepNext/>
      </w:pPr>
      <w:r w:rsidRPr="00B00B4B">
        <w:t>Despite their role in sector leadership, secretaries boards and similar groups</w:t>
      </w:r>
      <w:r w:rsidR="001F5104" w:rsidRPr="00B00B4B">
        <w:t xml:space="preserve"> typically play a coordination (rather than a decision</w:t>
      </w:r>
      <w:r w:rsidR="001F5104" w:rsidRPr="00B00B4B">
        <w:noBreakHyphen/>
        <w:t>making) role</w:t>
      </w:r>
      <w:r w:rsidR="002875B3" w:rsidRPr="00B00B4B">
        <w:t xml:space="preserve">. While the individual members of the board </w:t>
      </w:r>
      <w:r w:rsidR="006A6925" w:rsidRPr="00B00B4B">
        <w:t xml:space="preserve">have clear </w:t>
      </w:r>
      <w:r w:rsidR="008D10C0" w:rsidRPr="00B00B4B">
        <w:t>responsibilities</w:t>
      </w:r>
      <w:r w:rsidR="006A6925" w:rsidRPr="00B00B4B">
        <w:t xml:space="preserve"> as individuals, and the </w:t>
      </w:r>
      <w:r w:rsidR="00012D6C" w:rsidRPr="00B00B4B">
        <w:t xml:space="preserve">backing of a department to help them </w:t>
      </w:r>
      <w:r w:rsidR="00716606" w:rsidRPr="00B00B4B">
        <w:t>fulfill</w:t>
      </w:r>
      <w:r w:rsidR="00012D6C" w:rsidRPr="00B00B4B">
        <w:t xml:space="preserve"> those </w:t>
      </w:r>
      <w:r w:rsidR="00716606" w:rsidRPr="00B00B4B">
        <w:t>responsibilities</w:t>
      </w:r>
      <w:r w:rsidR="0034792D" w:rsidRPr="00B00B4B">
        <w:t>,</w:t>
      </w:r>
      <w:r w:rsidR="00716606" w:rsidRPr="00B00B4B">
        <w:t xml:space="preserve"> </w:t>
      </w:r>
      <w:r w:rsidR="00B833AB" w:rsidRPr="00B00B4B">
        <w:t xml:space="preserve">they do not have </w:t>
      </w:r>
      <w:r w:rsidR="0034792D" w:rsidRPr="00B00B4B">
        <w:t xml:space="preserve">the </w:t>
      </w:r>
      <w:r w:rsidR="00B833AB" w:rsidRPr="00B00B4B">
        <w:t xml:space="preserve">same </w:t>
      </w:r>
      <w:r w:rsidR="00B00B4B" w:rsidRPr="00B00B4B">
        <w:t>responsibilities</w:t>
      </w:r>
      <w:r w:rsidR="0034792D" w:rsidRPr="00B00B4B">
        <w:t xml:space="preserve"> </w:t>
      </w:r>
      <w:r w:rsidR="00B833AB" w:rsidRPr="00B00B4B">
        <w:t xml:space="preserve">or </w:t>
      </w:r>
      <w:r w:rsidR="00716606" w:rsidRPr="00B00B4B">
        <w:t xml:space="preserve">resources as a group. For example, the Victorian Secretaries’ Board does not have legal status </w:t>
      </w:r>
      <w:r w:rsidR="00716606" w:rsidRPr="00D0542A">
        <w:t>(VPSC 2023).</w:t>
      </w:r>
      <w:r w:rsidR="00EA3D1C">
        <w:t xml:space="preserve"> </w:t>
      </w:r>
      <w:r w:rsidR="00E56C42">
        <w:t xml:space="preserve">So while </w:t>
      </w:r>
      <w:r w:rsidR="00926413">
        <w:t>s</w:t>
      </w:r>
      <w:r w:rsidR="00E56C42" w:rsidRPr="00B00B4B">
        <w:t>ecretaries boards and similar groups</w:t>
      </w:r>
      <w:r w:rsidR="00926413">
        <w:t xml:space="preserve"> have influence and can lead by </w:t>
      </w:r>
      <w:r w:rsidR="00826800">
        <w:t>example</w:t>
      </w:r>
      <w:r w:rsidR="00926413">
        <w:t xml:space="preserve">, they may not </w:t>
      </w:r>
      <w:r w:rsidR="00826800">
        <w:t xml:space="preserve">be </w:t>
      </w:r>
      <w:r w:rsidR="006F152C">
        <w:t xml:space="preserve">in a position to provide the kind of oversight </w:t>
      </w:r>
      <w:r w:rsidR="00512CC9">
        <w:t xml:space="preserve">and </w:t>
      </w:r>
      <w:r w:rsidR="00555C22">
        <w:t xml:space="preserve">accountability </w:t>
      </w:r>
      <w:r w:rsidR="006F152C">
        <w:t xml:space="preserve">that </w:t>
      </w:r>
      <w:r w:rsidR="001F4637">
        <w:t>is necessary to drive change. For example in the APS:</w:t>
      </w:r>
    </w:p>
    <w:p w14:paraId="331BAAA8" w14:textId="099B3674" w:rsidR="009565A0" w:rsidRPr="00971034" w:rsidRDefault="009565A0" w:rsidP="009565A0">
      <w:pPr>
        <w:pStyle w:val="Quote"/>
      </w:pPr>
      <w:r>
        <w:t xml:space="preserve">In not requiring the Secretaries Board to publish an annual account of its stewardship of the public service, the </w:t>
      </w:r>
      <w:r w:rsidR="001F4637">
        <w:t>[</w:t>
      </w:r>
      <w:r w:rsidR="001F4637" w:rsidRPr="005520AC">
        <w:rPr>
          <w:i/>
          <w:iCs/>
        </w:rPr>
        <w:t>Public Service Act 1999</w:t>
      </w:r>
      <w:r w:rsidR="001F4637">
        <w:t xml:space="preserve"> (Cth)]</w:t>
      </w:r>
      <w:r>
        <w:t xml:space="preserve"> also makes it clear that the board’s role is to support the secretaries rather than provide the sort of systemic strategic leadership and oversight expected from a board in the private sector. Clearly it is a ‘board’ in name only, being nothing more than an executive management committee and without providing the direction expected of an executive management committee in the private sector. </w:t>
      </w:r>
      <w:r w:rsidRPr="009565A0">
        <w:rPr>
          <w:rFonts w:ascii="Arial" w:hAnsi="Arial" w:cs="Arial"/>
          <w:szCs w:val="24"/>
        </w:rPr>
        <w:t>(Ferguson 2019, p. 186)</w:t>
      </w:r>
    </w:p>
    <w:p w14:paraId="5B5ED2EF" w14:textId="77777777" w:rsidR="008C4EF4" w:rsidRDefault="0081397E" w:rsidP="00162922">
      <w:pPr>
        <w:pStyle w:val="BodyText"/>
      </w:pPr>
      <w:r>
        <w:t>Without a mandate for decision</w:t>
      </w:r>
      <w:r w:rsidR="00FD58AA">
        <w:noBreakHyphen/>
      </w:r>
      <w:r>
        <w:t>making</w:t>
      </w:r>
      <w:r w:rsidR="0045291E">
        <w:t xml:space="preserve"> or oversight</w:t>
      </w:r>
      <w:r>
        <w:t xml:space="preserve">, </w:t>
      </w:r>
      <w:r w:rsidR="001F0CEC">
        <w:t xml:space="preserve">it will be challenging for </w:t>
      </w:r>
      <w:r w:rsidR="004B4B40">
        <w:t>secretaries</w:t>
      </w:r>
      <w:r w:rsidR="00406B38">
        <w:t>’ board</w:t>
      </w:r>
      <w:r w:rsidR="004B4B40">
        <w:t>s</w:t>
      </w:r>
      <w:r w:rsidR="00406B38">
        <w:t xml:space="preserve"> and similar leadership </w:t>
      </w:r>
      <w:r w:rsidR="004B4B40">
        <w:t>groups</w:t>
      </w:r>
      <w:r w:rsidR="00406B38">
        <w:t xml:space="preserve"> to drive the systemic, jurisdiction</w:t>
      </w:r>
      <w:r w:rsidR="00FD58AA">
        <w:noBreakHyphen/>
      </w:r>
      <w:r w:rsidR="00406B38">
        <w:t>wide changes that are needed to deliver on the Agreement.</w:t>
      </w:r>
      <w:r w:rsidR="004B4B40">
        <w:t xml:space="preserve"> </w:t>
      </w:r>
      <w:r w:rsidR="006F722E">
        <w:t xml:space="preserve">And of course, </w:t>
      </w:r>
      <w:r w:rsidR="00F347CD">
        <w:t>not all</w:t>
      </w:r>
      <w:r w:rsidR="006F722E">
        <w:t xml:space="preserve"> jurisdictions </w:t>
      </w:r>
      <w:r w:rsidR="00EB5E7B">
        <w:t xml:space="preserve">currently </w:t>
      </w:r>
      <w:r w:rsidR="006F722E">
        <w:t>have secretaries’ boards and similar leadership groups</w:t>
      </w:r>
      <w:r w:rsidR="00DC7117">
        <w:t>. E</w:t>
      </w:r>
      <w:r w:rsidR="00F347CD">
        <w:t xml:space="preserve">ven if </w:t>
      </w:r>
      <w:r w:rsidR="0080577B">
        <w:t xml:space="preserve">such </w:t>
      </w:r>
      <w:r w:rsidR="00EB5E7B">
        <w:t>a</w:t>
      </w:r>
      <w:r w:rsidR="0080577B">
        <w:t xml:space="preserve"> group w</w:t>
      </w:r>
      <w:r w:rsidR="00EB5E7B">
        <w:t>as</w:t>
      </w:r>
      <w:r w:rsidR="0080577B">
        <w:t xml:space="preserve"> to be created, it may take </w:t>
      </w:r>
      <w:r w:rsidR="00DC7117">
        <w:t xml:space="preserve">considerable </w:t>
      </w:r>
      <w:r w:rsidR="0080577B">
        <w:t>time before a newly formed group is in a position to</w:t>
      </w:r>
      <w:r w:rsidR="00F347CD">
        <w:t xml:space="preserve"> </w:t>
      </w:r>
      <w:r w:rsidR="000020AB">
        <w:t>drive the systemic, jurisdiction</w:t>
      </w:r>
      <w:r w:rsidR="00FD58AA">
        <w:noBreakHyphen/>
      </w:r>
      <w:r w:rsidR="000020AB">
        <w:t>wide changes that are needed to deliver on the Agreement</w:t>
      </w:r>
      <w:r w:rsidR="0080577B">
        <w:t xml:space="preserve">. </w:t>
      </w:r>
    </w:p>
    <w:p w14:paraId="1F3DEFD5" w14:textId="2BF2D519" w:rsidR="00040479" w:rsidRDefault="00E65E15" w:rsidP="00162922">
      <w:pPr>
        <w:pStyle w:val="BodyText"/>
      </w:pPr>
      <w:r>
        <w:t>But t</w:t>
      </w:r>
      <w:r w:rsidR="008C4EF4">
        <w:t>hese challenges could be overcome with an appropriate combination of legislative change, resourcing and commitment.</w:t>
      </w:r>
      <w:r w:rsidR="00B25B8F">
        <w:t xml:space="preserve"> A</w:t>
      </w:r>
      <w:r w:rsidR="00442A57">
        <w:t>nd, a</w:t>
      </w:r>
      <w:r w:rsidR="00B25B8F">
        <w:t xml:space="preserve">s noted above, </w:t>
      </w:r>
      <w:r w:rsidR="00603FC0">
        <w:t xml:space="preserve">each of the </w:t>
      </w:r>
      <w:r w:rsidR="00B25B8F" w:rsidRPr="00300A17">
        <w:t xml:space="preserve">potential </w:t>
      </w:r>
      <w:r w:rsidR="00603FC0">
        <w:t xml:space="preserve">leadership </w:t>
      </w:r>
      <w:r w:rsidR="00B25B8F" w:rsidRPr="00300A17">
        <w:t>options</w:t>
      </w:r>
      <w:r w:rsidR="00603FC0">
        <w:t xml:space="preserve"> have </w:t>
      </w:r>
      <w:r w:rsidR="00B25B8F">
        <w:t xml:space="preserve">different </w:t>
      </w:r>
      <w:r w:rsidR="00B25B8F" w:rsidRPr="00300A17">
        <w:t>strengths</w:t>
      </w:r>
      <w:r w:rsidR="00603FC0">
        <w:t xml:space="preserve"> and will require different changes to support them – </w:t>
      </w:r>
      <w:r w:rsidR="00C56B23">
        <w:t>there is no perfect ‘off</w:t>
      </w:r>
      <w:r w:rsidR="0018300C">
        <w:noBreakHyphen/>
      </w:r>
      <w:r w:rsidR="00C56B23">
        <w:t>the</w:t>
      </w:r>
      <w:r w:rsidR="0018300C">
        <w:noBreakHyphen/>
      </w:r>
      <w:r w:rsidR="00C56B23">
        <w:t xml:space="preserve">shelf’ solution ready to deliver the </w:t>
      </w:r>
      <w:r w:rsidR="00442A57">
        <w:t>innovative leadership required</w:t>
      </w:r>
      <w:r w:rsidR="00B25B8F" w:rsidRPr="00300A17">
        <w:t>.</w:t>
      </w:r>
    </w:p>
    <w:p w14:paraId="769B1EC4" w14:textId="5044B87F" w:rsidR="008E51C3" w:rsidRDefault="002F67FA" w:rsidP="00BA35D6">
      <w:pPr>
        <w:pStyle w:val="Heading4"/>
      </w:pPr>
      <w:r>
        <w:lastRenderedPageBreak/>
        <w:t xml:space="preserve">Departments or agencies with responsibility for </w:t>
      </w:r>
      <w:r w:rsidR="008E51C3">
        <w:t xml:space="preserve">Aboriginal and Torres Strait Islander </w:t>
      </w:r>
      <w:r>
        <w:t>policy</w:t>
      </w:r>
      <w:r w:rsidR="00BD4F5F">
        <w:t>?</w:t>
      </w:r>
    </w:p>
    <w:p w14:paraId="2E9BED79" w14:textId="77777777" w:rsidR="002C2A60" w:rsidRDefault="00F60BAA" w:rsidP="00502295">
      <w:pPr>
        <w:pStyle w:val="BodyText"/>
      </w:pPr>
      <w:r>
        <w:t>In each jurisdiction, t</w:t>
      </w:r>
      <w:r w:rsidRPr="00F566D7">
        <w:t xml:space="preserve">here is </w:t>
      </w:r>
      <w:r>
        <w:t xml:space="preserve">an agency, </w:t>
      </w:r>
      <w:r w:rsidRPr="00F566D7">
        <w:t xml:space="preserve">a </w:t>
      </w:r>
      <w:r>
        <w:t xml:space="preserve">government </w:t>
      </w:r>
      <w:r w:rsidRPr="00F566D7">
        <w:t>department or an office within a department</w:t>
      </w:r>
      <w:r>
        <w:t>,</w:t>
      </w:r>
      <w:r w:rsidRPr="00F566D7">
        <w:t xml:space="preserve"> that has responsibility for </w:t>
      </w:r>
      <w:r w:rsidR="00E12916">
        <w:t>Aboriginal and Torres Strait Islander policy</w:t>
      </w:r>
      <w:r w:rsidRPr="00F566D7">
        <w:t>.</w:t>
      </w:r>
    </w:p>
    <w:p w14:paraId="77837C56" w14:textId="744532F5" w:rsidR="00C43140" w:rsidRDefault="002C2A60" w:rsidP="00C43140">
      <w:pPr>
        <w:pStyle w:val="BodyText"/>
      </w:pPr>
      <w:r>
        <w:t xml:space="preserve">In </w:t>
      </w:r>
      <w:r w:rsidR="00C31857">
        <w:t xml:space="preserve">most </w:t>
      </w:r>
      <w:r>
        <w:t xml:space="preserve">jurisdictions, this </w:t>
      </w:r>
      <w:r w:rsidR="000B1391">
        <w:t xml:space="preserve">function </w:t>
      </w:r>
      <w:r>
        <w:t>sit</w:t>
      </w:r>
      <w:r w:rsidR="005A1793">
        <w:t>s</w:t>
      </w:r>
      <w:r>
        <w:t xml:space="preserve"> within the Department of the Premier or Chief Minister. </w:t>
      </w:r>
      <w:r w:rsidR="00B1014B">
        <w:t>F</w:t>
      </w:r>
      <w:r w:rsidRPr="00B1014B">
        <w:t xml:space="preserve">or </w:t>
      </w:r>
      <w:r w:rsidR="000B1391" w:rsidRPr="00B1014B">
        <w:t>example</w:t>
      </w:r>
      <w:r w:rsidRPr="00B1014B">
        <w:t xml:space="preserve">, in the </w:t>
      </w:r>
      <w:r w:rsidR="000B1391" w:rsidRPr="00B1014B">
        <w:t>Northern</w:t>
      </w:r>
      <w:r w:rsidRPr="00B1014B">
        <w:t xml:space="preserve"> </w:t>
      </w:r>
      <w:r w:rsidR="000B1391" w:rsidRPr="00B1014B">
        <w:t>Territory</w:t>
      </w:r>
      <w:r w:rsidRPr="00B1014B">
        <w:t xml:space="preserve">, </w:t>
      </w:r>
      <w:r w:rsidR="00C43140" w:rsidRPr="00B1014B">
        <w:t>t</w:t>
      </w:r>
      <w:r w:rsidRPr="009F6A91">
        <w:t xml:space="preserve">he Office of Aboriginal Affairs </w:t>
      </w:r>
      <w:r w:rsidR="00C43140" w:rsidRPr="009F6A91">
        <w:t>sits within the Department of Chief Minister and Cabinet, and is ‘</w:t>
      </w:r>
      <w:r w:rsidRPr="009F6A91">
        <w:t>responsible for providing support, engagement and advice to Aboriginal people and government on significant Aboriginal Affairs priorities</w:t>
      </w:r>
      <w:r w:rsidR="00C43140" w:rsidRPr="009F6A91">
        <w:t>’</w:t>
      </w:r>
      <w:r w:rsidR="00B1014B">
        <w:t xml:space="preserve"> </w:t>
      </w:r>
      <w:r w:rsidR="00A222B7" w:rsidRPr="00A222B7">
        <w:rPr>
          <w:rFonts w:ascii="Arial" w:hAnsi="Arial" w:cs="Arial"/>
          <w:szCs w:val="24"/>
        </w:rPr>
        <w:t>(NT Government 2021)</w:t>
      </w:r>
      <w:r w:rsidR="00C43140" w:rsidRPr="009F6A91">
        <w:t xml:space="preserve">. Similarly: </w:t>
      </w:r>
    </w:p>
    <w:p w14:paraId="0D68E281" w14:textId="7D96D615" w:rsidR="00B1014B" w:rsidRDefault="0030663E" w:rsidP="00C43140">
      <w:pPr>
        <w:pStyle w:val="ListBullet"/>
      </w:pPr>
      <w:r>
        <w:t xml:space="preserve">Aboriginal Affairs NSW sits within the NSW Department of Premier and Cabinet </w:t>
      </w:r>
      <w:r w:rsidRPr="00053617">
        <w:rPr>
          <w:szCs w:val="24"/>
        </w:rPr>
        <w:t>(NSW DPC 2023)</w:t>
      </w:r>
      <w:r w:rsidR="00E95329">
        <w:t xml:space="preserve"> </w:t>
      </w:r>
    </w:p>
    <w:p w14:paraId="567C0948" w14:textId="4F23F7BA" w:rsidR="00B1014B" w:rsidRDefault="00540898" w:rsidP="00C43140">
      <w:pPr>
        <w:pStyle w:val="ListBullet"/>
      </w:pPr>
      <w:r>
        <w:t>r</w:t>
      </w:r>
      <w:r w:rsidR="00905FF1">
        <w:t>esponsibility for</w:t>
      </w:r>
      <w:r w:rsidR="0030663E">
        <w:t xml:space="preserve"> </w:t>
      </w:r>
      <w:r w:rsidR="00E95329">
        <w:t>First Nations–State Relation</w:t>
      </w:r>
      <w:r w:rsidR="00905FF1">
        <w:t>s</w:t>
      </w:r>
      <w:r w:rsidR="0030663E" w:rsidDel="00E95329">
        <w:t xml:space="preserve"> </w:t>
      </w:r>
      <w:r w:rsidR="00E95329">
        <w:t xml:space="preserve">sits within the Victorian Department of Premier and Cabinet </w:t>
      </w:r>
      <w:r w:rsidR="00D341E7" w:rsidRPr="00D341E7">
        <w:rPr>
          <w:rFonts w:ascii="Arial" w:hAnsi="Arial" w:cs="Arial"/>
          <w:szCs w:val="24"/>
        </w:rPr>
        <w:t>(VDPC 2021)</w:t>
      </w:r>
    </w:p>
    <w:p w14:paraId="3109C8AA" w14:textId="7C9FE362" w:rsidR="00E95329" w:rsidRDefault="00FC6411" w:rsidP="00E95329">
      <w:pPr>
        <w:pStyle w:val="ListBullet"/>
      </w:pPr>
      <w:r>
        <w:t xml:space="preserve">in </w:t>
      </w:r>
      <w:r w:rsidR="002347E5">
        <w:t>Western Australia</w:t>
      </w:r>
      <w:r w:rsidR="003850F8">
        <w:t>,</w:t>
      </w:r>
      <w:r w:rsidR="002347E5">
        <w:t xml:space="preserve"> the </w:t>
      </w:r>
      <w:r w:rsidR="002347E5" w:rsidRPr="002347E5">
        <w:t xml:space="preserve">Aboriginal Engagement Directorate </w:t>
      </w:r>
      <w:r w:rsidR="002347E5">
        <w:t>sits within the WA</w:t>
      </w:r>
      <w:r w:rsidR="002347E5" w:rsidRPr="002347E5">
        <w:t xml:space="preserve"> Department of the Premier and Cabinet</w:t>
      </w:r>
      <w:r w:rsidR="00880344">
        <w:t xml:space="preserve"> </w:t>
      </w:r>
      <w:r w:rsidR="00790C3E" w:rsidRPr="00790C3E">
        <w:rPr>
          <w:rFonts w:ascii="Arial" w:hAnsi="Arial" w:cs="Arial"/>
          <w:szCs w:val="24"/>
        </w:rPr>
        <w:t>(WA DPC 2023)</w:t>
      </w:r>
    </w:p>
    <w:p w14:paraId="4AD7CC36" w14:textId="75729C82" w:rsidR="00ED703C" w:rsidRPr="001166D4" w:rsidRDefault="003850F8" w:rsidP="009C335A">
      <w:pPr>
        <w:pStyle w:val="ListBullet"/>
      </w:pPr>
      <w:r>
        <w:t>i</w:t>
      </w:r>
      <w:r w:rsidR="00ED703C">
        <w:t xml:space="preserve">n Tasmania, </w:t>
      </w:r>
      <w:r w:rsidR="00ED703C" w:rsidRPr="001166D4">
        <w:t>the Office of Aboriginal Affairs sits within</w:t>
      </w:r>
      <w:r w:rsidR="00ED703C" w:rsidRPr="00ED703C">
        <w:t xml:space="preserve"> </w:t>
      </w:r>
      <w:r w:rsidR="00ED703C">
        <w:t xml:space="preserve">the </w:t>
      </w:r>
      <w:r w:rsidR="00ED703C" w:rsidRPr="00ED703C">
        <w:t>Community Partnerships and Priorities</w:t>
      </w:r>
      <w:r w:rsidR="00ED703C">
        <w:t xml:space="preserve"> Division of </w:t>
      </w:r>
      <w:r w:rsidR="00ED703C" w:rsidRPr="001166D4">
        <w:t xml:space="preserve">the </w:t>
      </w:r>
      <w:r w:rsidR="00ED703C">
        <w:t xml:space="preserve">Tasmanian </w:t>
      </w:r>
      <w:r w:rsidR="00ED703C" w:rsidRPr="001166D4">
        <w:t>Department of Premier and Cabinet</w:t>
      </w:r>
      <w:r w:rsidR="00514A40">
        <w:t xml:space="preserve"> </w:t>
      </w:r>
      <w:r w:rsidR="003911B0" w:rsidRPr="003911B0">
        <w:rPr>
          <w:rFonts w:ascii="Arial" w:hAnsi="Arial" w:cs="Arial"/>
          <w:szCs w:val="24"/>
        </w:rPr>
        <w:t>(TDPAC 2023)</w:t>
      </w:r>
      <w:r w:rsidR="00514A40">
        <w:t xml:space="preserve">. </w:t>
      </w:r>
    </w:p>
    <w:p w14:paraId="4154EC2A" w14:textId="429A4DF1" w:rsidR="008E3C16" w:rsidRDefault="00A71023" w:rsidP="00E7404F">
      <w:pPr>
        <w:pStyle w:val="BodyText"/>
        <w:keepNext/>
      </w:pPr>
      <w:r>
        <w:t xml:space="preserve">In other jurisdictions, </w:t>
      </w:r>
      <w:r w:rsidRPr="00F566D7">
        <w:t xml:space="preserve">responsibility for </w:t>
      </w:r>
      <w:r>
        <w:t>Aboriginal and Torres Strait Islander policy</w:t>
      </w:r>
      <w:r w:rsidRPr="00D55CE8">
        <w:t xml:space="preserve"> </w:t>
      </w:r>
      <w:r>
        <w:t xml:space="preserve">sits outside the </w:t>
      </w:r>
      <w:r w:rsidR="008E3C16">
        <w:t>Premier’s or Chief Minister’s department.</w:t>
      </w:r>
    </w:p>
    <w:p w14:paraId="111D9988" w14:textId="479FF437" w:rsidR="008E3C16" w:rsidRDefault="00D55CE8" w:rsidP="008E3C16">
      <w:pPr>
        <w:pStyle w:val="ListBullet"/>
      </w:pPr>
      <w:r w:rsidRPr="00D55CE8">
        <w:t>The Attorney</w:t>
      </w:r>
      <w:r w:rsidR="00FD58AA">
        <w:noBreakHyphen/>
      </w:r>
      <w:r w:rsidRPr="00D55CE8">
        <w:t>General</w:t>
      </w:r>
      <w:r w:rsidR="0018300C">
        <w:t>’</w:t>
      </w:r>
      <w:r w:rsidRPr="00D55CE8">
        <w:t>s Department is the South Australian Government</w:t>
      </w:r>
      <w:r w:rsidR="00001FF3">
        <w:t>’</w:t>
      </w:r>
      <w:r w:rsidRPr="00D55CE8">
        <w:t>s lead agency on Aboriginal affairs</w:t>
      </w:r>
      <w:r w:rsidR="00830F46">
        <w:t xml:space="preserve"> </w:t>
      </w:r>
      <w:r w:rsidR="008E3427" w:rsidRPr="008E3427">
        <w:rPr>
          <w:rFonts w:ascii="Arial" w:hAnsi="Arial" w:cs="Arial"/>
          <w:szCs w:val="24"/>
        </w:rPr>
        <w:t>(SA AGD 2022a)</w:t>
      </w:r>
      <w:r w:rsidR="0026633C">
        <w:t xml:space="preserve">. </w:t>
      </w:r>
    </w:p>
    <w:p w14:paraId="44B919E1" w14:textId="26124452" w:rsidR="008E3C16" w:rsidRDefault="00E13395" w:rsidP="008E3C16">
      <w:pPr>
        <w:pStyle w:val="ListBullet"/>
      </w:pPr>
      <w:r>
        <w:t xml:space="preserve">In Queensland, the lead agency </w:t>
      </w:r>
      <w:r w:rsidR="000B6895">
        <w:t>is the</w:t>
      </w:r>
      <w:r>
        <w:t xml:space="preserve"> </w:t>
      </w:r>
      <w:r w:rsidR="00FB203E">
        <w:t>Department of Treaty, Aboriginal and Torres Strait Islander Partnerships, Communities and the Arts</w:t>
      </w:r>
      <w:r w:rsidR="00197169">
        <w:t xml:space="preserve"> </w:t>
      </w:r>
      <w:r w:rsidR="00197169" w:rsidRPr="00197169">
        <w:rPr>
          <w:rFonts w:ascii="Arial" w:hAnsi="Arial" w:cs="Arial"/>
          <w:szCs w:val="24"/>
        </w:rPr>
        <w:t>(QPSC 2023)</w:t>
      </w:r>
      <w:r w:rsidR="00895CA0">
        <w:t>.</w:t>
      </w:r>
      <w:r w:rsidR="003F1691">
        <w:t xml:space="preserve"> </w:t>
      </w:r>
    </w:p>
    <w:p w14:paraId="49DF5191" w14:textId="10B291FE" w:rsidR="000B6895" w:rsidRDefault="003F1691" w:rsidP="008E3C16">
      <w:pPr>
        <w:pStyle w:val="ListBullet"/>
      </w:pPr>
      <w:r>
        <w:t xml:space="preserve">In the ACT, the </w:t>
      </w:r>
      <w:r w:rsidRPr="003F1691">
        <w:t>Office for Aboriginal and Torres Strait Islander Affairs</w:t>
      </w:r>
      <w:r w:rsidR="008B0704">
        <w:t xml:space="preserve"> sits within the </w:t>
      </w:r>
      <w:r w:rsidR="0087751F">
        <w:t xml:space="preserve">Community Service Directorate </w:t>
      </w:r>
      <w:r w:rsidR="00BF7884" w:rsidRPr="00BF7884">
        <w:rPr>
          <w:rFonts w:ascii="Arial" w:hAnsi="Arial" w:cs="Arial"/>
          <w:szCs w:val="24"/>
        </w:rPr>
        <w:t>(ACT Government 2023)</w:t>
      </w:r>
      <w:r w:rsidR="0087751F">
        <w:t>.</w:t>
      </w:r>
    </w:p>
    <w:p w14:paraId="10A20410" w14:textId="04D182EC" w:rsidR="00A850ED" w:rsidRDefault="00E8406B" w:rsidP="00311E13">
      <w:pPr>
        <w:pStyle w:val="BodyText"/>
      </w:pPr>
      <w:r>
        <w:t xml:space="preserve">At the Australian Government level, the National Indigenous Australians Agency </w:t>
      </w:r>
      <w:r w:rsidR="00044E58">
        <w:t xml:space="preserve">(NIAA) </w:t>
      </w:r>
      <w:r>
        <w:t xml:space="preserve">was created in </w:t>
      </w:r>
      <w:r w:rsidR="003E42DB">
        <w:t xml:space="preserve">July </w:t>
      </w:r>
      <w:r>
        <w:t>2019</w:t>
      </w:r>
      <w:r w:rsidR="00284B56">
        <w:t>,</w:t>
      </w:r>
      <w:r>
        <w:t xml:space="preserve"> whe</w:t>
      </w:r>
      <w:r w:rsidR="00284B56">
        <w:t>n</w:t>
      </w:r>
      <w:r w:rsidR="003E42DB" w:rsidRPr="003E42DB">
        <w:t xml:space="preserve"> the Indigenous Affairs Group </w:t>
      </w:r>
      <w:r w:rsidR="008E3C16">
        <w:t>that was previously part of</w:t>
      </w:r>
      <w:r w:rsidR="003E42DB" w:rsidRPr="003E42DB">
        <w:t xml:space="preserve"> the Department of the Prime Minister and Cabinet </w:t>
      </w:r>
      <w:r w:rsidR="000538C1">
        <w:t xml:space="preserve">was </w:t>
      </w:r>
      <w:r w:rsidR="00284B56">
        <w:t>established as its own agency</w:t>
      </w:r>
      <w:r w:rsidR="00C076FC">
        <w:t xml:space="preserve"> </w:t>
      </w:r>
      <w:r w:rsidR="0071689B">
        <w:t xml:space="preserve">within the Prime Minister and Cabinet portfolio </w:t>
      </w:r>
      <w:r w:rsidR="00C076FC" w:rsidRPr="00C076FC">
        <w:rPr>
          <w:rFonts w:ascii="Arial" w:hAnsi="Arial" w:cs="Arial"/>
          <w:szCs w:val="24"/>
        </w:rPr>
        <w:t>(NIAA 2022)</w:t>
      </w:r>
      <w:r w:rsidR="003E42DB" w:rsidRPr="003E42DB">
        <w:t>.</w:t>
      </w:r>
      <w:r w:rsidR="00B5274B">
        <w:t xml:space="preserve"> </w:t>
      </w:r>
    </w:p>
    <w:p w14:paraId="3698564D" w14:textId="45341A7D" w:rsidR="00645D9D" w:rsidRDefault="004E03E1" w:rsidP="00502295">
      <w:pPr>
        <w:pStyle w:val="BodyText"/>
      </w:pPr>
      <w:r>
        <w:t xml:space="preserve">These departments and agencies </w:t>
      </w:r>
      <w:r w:rsidR="00E55A19">
        <w:t>are well placed to have</w:t>
      </w:r>
      <w:r w:rsidR="00C43917">
        <w:t xml:space="preserve"> the expertise to design</w:t>
      </w:r>
      <w:r>
        <w:t xml:space="preserve"> changes that </w:t>
      </w:r>
      <w:r w:rsidR="00C43917">
        <w:t>improve governments’ ability to work effectively with Aboriginal and Torres Strait Islander people</w:t>
      </w:r>
      <w:r>
        <w:t>.</w:t>
      </w:r>
      <w:r w:rsidR="00592BFB">
        <w:t xml:space="preserve"> </w:t>
      </w:r>
      <w:r w:rsidR="00F60BAA" w:rsidRPr="00F566D7">
        <w:t>But</w:t>
      </w:r>
      <w:r w:rsidR="00485111">
        <w:t xml:space="preserve">, for the most part, as relatively </w:t>
      </w:r>
      <w:r w:rsidR="00DB2C53">
        <w:t>small</w:t>
      </w:r>
      <w:r w:rsidR="00485111">
        <w:t xml:space="preserve"> </w:t>
      </w:r>
      <w:r w:rsidR="00DB2C53">
        <w:t>divisions</w:t>
      </w:r>
      <w:r w:rsidR="00485111">
        <w:t xml:space="preserve"> o</w:t>
      </w:r>
      <w:r w:rsidR="00DB2C53">
        <w:t xml:space="preserve">r </w:t>
      </w:r>
      <w:r w:rsidR="00485111">
        <w:t xml:space="preserve">offices </w:t>
      </w:r>
      <w:r w:rsidR="00DB2C53">
        <w:t xml:space="preserve">within larger </w:t>
      </w:r>
      <w:r w:rsidR="00502295">
        <w:t>agencies</w:t>
      </w:r>
      <w:r w:rsidR="00DB2C53">
        <w:t xml:space="preserve">, they may </w:t>
      </w:r>
      <w:r w:rsidR="00F60BAA" w:rsidRPr="00F566D7">
        <w:t xml:space="preserve">not have the necessary </w:t>
      </w:r>
      <w:r w:rsidR="00DC5509">
        <w:t xml:space="preserve">resources, capacity or </w:t>
      </w:r>
      <w:r w:rsidR="00F60BAA" w:rsidRPr="00F566D7">
        <w:t xml:space="preserve">influence to </w:t>
      </w:r>
      <w:r w:rsidR="00645D9D">
        <w:t xml:space="preserve">reach outside their own </w:t>
      </w:r>
      <w:r w:rsidR="00F60BAA" w:rsidRPr="00F566D7">
        <w:t xml:space="preserve">agencies </w:t>
      </w:r>
      <w:r w:rsidR="00645D9D">
        <w:t xml:space="preserve">and motivate other, often much larger, agencies </w:t>
      </w:r>
      <w:r w:rsidR="00F60BAA" w:rsidRPr="00F566D7">
        <w:t xml:space="preserve">to </w:t>
      </w:r>
      <w:r w:rsidR="00BC6C79">
        <w:t>make the significant changes that were</w:t>
      </w:r>
      <w:r w:rsidR="00F60BAA" w:rsidRPr="00F566D7">
        <w:t xml:space="preserve"> committed to in the Agreement.</w:t>
      </w:r>
    </w:p>
    <w:p w14:paraId="4B5208F1" w14:textId="1BF7B6C3" w:rsidR="000D0143" w:rsidRDefault="000F7627" w:rsidP="008D0ED5">
      <w:pPr>
        <w:pStyle w:val="Heading4"/>
      </w:pPr>
      <w:r>
        <w:t xml:space="preserve">Public </w:t>
      </w:r>
      <w:r w:rsidR="004F1E37">
        <w:t>service or public sector c</w:t>
      </w:r>
      <w:r>
        <w:t>ommissioners</w:t>
      </w:r>
      <w:r w:rsidR="00BD4F5F">
        <w:t>?</w:t>
      </w:r>
    </w:p>
    <w:p w14:paraId="63EB7245" w14:textId="75F2BAD4" w:rsidR="00D710DF" w:rsidRDefault="002C5E19" w:rsidP="008D0ED5">
      <w:pPr>
        <w:pStyle w:val="BodyText"/>
        <w:keepNext/>
      </w:pPr>
      <w:r>
        <w:t xml:space="preserve">Another potential </w:t>
      </w:r>
      <w:r w:rsidR="00976110">
        <w:t xml:space="preserve">leader who could </w:t>
      </w:r>
      <w:r w:rsidR="00BF5CEE">
        <w:t xml:space="preserve">drive changes </w:t>
      </w:r>
      <w:r w:rsidR="001D7B2F">
        <w:t xml:space="preserve">across all government agencies is the public service or public sector commissioner. </w:t>
      </w:r>
      <w:r w:rsidR="00D710DF">
        <w:t xml:space="preserve">In the APS, the Public Service Commissioner has considerable influence. </w:t>
      </w:r>
    </w:p>
    <w:p w14:paraId="2549D463" w14:textId="6E72B336" w:rsidR="00EA3FF0" w:rsidRDefault="00EA3FF0" w:rsidP="00EA3FF0">
      <w:pPr>
        <w:pStyle w:val="Quote"/>
      </w:pPr>
      <w:r>
        <w:t>In structural terms the APS commissioner is the second</w:t>
      </w:r>
      <w:r w:rsidR="00FD58AA">
        <w:noBreakHyphen/>
      </w:r>
      <w:r>
        <w:t xml:space="preserve">most important person in the operations of the public service being appointed by and reporting to the prime minister, head of a statutory authority (the APSC), advising the prime minister on the appointment (and termination) of the secretary of [the Department of the Prime Minster and Cabinet] …  being a member of the Secretaries Board, and providing the prime minister with advice about the performance of his departmental head. </w:t>
      </w:r>
      <w:r w:rsidRPr="00124B0B">
        <w:rPr>
          <w:rFonts w:ascii="Arial" w:hAnsi="Arial" w:cs="Arial"/>
          <w:szCs w:val="24"/>
        </w:rPr>
        <w:t>(Ferguson 2019, p. 185)</w:t>
      </w:r>
    </w:p>
    <w:p w14:paraId="1A3FD937" w14:textId="4F6E4C47" w:rsidR="006870E8" w:rsidRPr="0058360B" w:rsidRDefault="00976110" w:rsidP="00BF0E7A">
      <w:pPr>
        <w:pStyle w:val="BodyText"/>
        <w:rPr>
          <w:spacing w:val="-2"/>
        </w:rPr>
      </w:pPr>
      <w:r w:rsidRPr="0058360B">
        <w:rPr>
          <w:spacing w:val="-2"/>
        </w:rPr>
        <w:t xml:space="preserve">In </w:t>
      </w:r>
      <w:r w:rsidR="00AF10AE" w:rsidRPr="0058360B">
        <w:rPr>
          <w:spacing w:val="-2"/>
        </w:rPr>
        <w:t>other</w:t>
      </w:r>
      <w:r w:rsidRPr="0058360B">
        <w:rPr>
          <w:spacing w:val="-2"/>
        </w:rPr>
        <w:t xml:space="preserve"> jurisdictions, </w:t>
      </w:r>
      <w:r w:rsidR="00AF10AE" w:rsidRPr="0058360B">
        <w:rPr>
          <w:spacing w:val="-2"/>
        </w:rPr>
        <w:t xml:space="preserve">public service or public sector commissioners are </w:t>
      </w:r>
      <w:r w:rsidRPr="0058360B">
        <w:rPr>
          <w:spacing w:val="-2"/>
        </w:rPr>
        <w:t>already active in efforts to increase the cultural capability of the public service. For example</w:t>
      </w:r>
      <w:r w:rsidR="00812A91" w:rsidRPr="0058360B">
        <w:rPr>
          <w:spacing w:val="-2"/>
        </w:rPr>
        <w:t>,</w:t>
      </w:r>
      <w:r w:rsidRPr="0058360B">
        <w:rPr>
          <w:spacing w:val="-2"/>
        </w:rPr>
        <w:t xml:space="preserve"> the NSW Public Service Commission provide</w:t>
      </w:r>
      <w:r w:rsidR="00D47966" w:rsidRPr="0058360B">
        <w:rPr>
          <w:spacing w:val="-2"/>
        </w:rPr>
        <w:t>s</w:t>
      </w:r>
      <w:r w:rsidRPr="0058360B">
        <w:rPr>
          <w:spacing w:val="-2"/>
        </w:rPr>
        <w:t xml:space="preserve"> freely </w:t>
      </w:r>
      <w:r w:rsidRPr="0058360B">
        <w:rPr>
          <w:spacing w:val="-2"/>
        </w:rPr>
        <w:lastRenderedPageBreak/>
        <w:t xml:space="preserve">accessible resources designed to build cultural awareness of Aboriginal peoples past interactions with government, the diversity of Aboriginal people and culture, and significant Aboriginal events and celebrations </w:t>
      </w:r>
      <w:r w:rsidRPr="0058360B">
        <w:rPr>
          <w:rFonts w:cs="Arial"/>
          <w:spacing w:val="-2"/>
        </w:rPr>
        <w:t>(NSW Public Service Commission 2021)</w:t>
      </w:r>
      <w:r w:rsidRPr="0058360B">
        <w:rPr>
          <w:spacing w:val="-2"/>
        </w:rPr>
        <w:t xml:space="preserve">. </w:t>
      </w:r>
      <w:r w:rsidR="00415D39" w:rsidRPr="0058360B">
        <w:rPr>
          <w:spacing w:val="-2"/>
        </w:rPr>
        <w:t>In Queensland, t</w:t>
      </w:r>
      <w:r w:rsidR="00357C34" w:rsidRPr="0058360B">
        <w:rPr>
          <w:spacing w:val="-2"/>
        </w:rPr>
        <w:t xml:space="preserve">he new </w:t>
      </w:r>
      <w:r w:rsidR="00357C34" w:rsidRPr="0058360B">
        <w:rPr>
          <w:i/>
          <w:iCs/>
          <w:spacing w:val="-2"/>
        </w:rPr>
        <w:t>Public Sector Act 2022</w:t>
      </w:r>
      <w:r w:rsidR="00357C34" w:rsidRPr="0058360B">
        <w:rPr>
          <w:spacing w:val="-2"/>
        </w:rPr>
        <w:t xml:space="preserve"> </w:t>
      </w:r>
      <w:r w:rsidR="00415D39" w:rsidRPr="0058360B">
        <w:rPr>
          <w:spacing w:val="-2"/>
        </w:rPr>
        <w:t>gives the Public Sector Commission</w:t>
      </w:r>
      <w:r w:rsidR="0016478D" w:rsidRPr="0058360B">
        <w:rPr>
          <w:spacing w:val="-2"/>
        </w:rPr>
        <w:t>er</w:t>
      </w:r>
      <w:r w:rsidR="00415D39" w:rsidRPr="0058360B">
        <w:rPr>
          <w:spacing w:val="-2"/>
        </w:rPr>
        <w:t xml:space="preserve"> a </w:t>
      </w:r>
      <w:r w:rsidR="00357C34" w:rsidRPr="0058360B">
        <w:rPr>
          <w:spacing w:val="-2"/>
        </w:rPr>
        <w:t>strengthened role as a systems leader, steward and enabler</w:t>
      </w:r>
      <w:r w:rsidR="00415D39" w:rsidRPr="0058360B">
        <w:rPr>
          <w:spacing w:val="-2"/>
        </w:rPr>
        <w:t xml:space="preserve">, and </w:t>
      </w:r>
      <w:r w:rsidR="00357C34" w:rsidRPr="0058360B">
        <w:rPr>
          <w:spacing w:val="-2"/>
        </w:rPr>
        <w:t xml:space="preserve">an increased scope of work that reaches across </w:t>
      </w:r>
      <w:r w:rsidR="00415D39" w:rsidRPr="0058360B">
        <w:rPr>
          <w:spacing w:val="-2"/>
        </w:rPr>
        <w:t>a</w:t>
      </w:r>
      <w:r w:rsidR="007D1CE1" w:rsidRPr="0058360B">
        <w:rPr>
          <w:spacing w:val="-2"/>
        </w:rPr>
        <w:t xml:space="preserve"> larger number of </w:t>
      </w:r>
      <w:r w:rsidR="00357C34" w:rsidRPr="0058360B">
        <w:rPr>
          <w:spacing w:val="-2"/>
        </w:rPr>
        <w:t>public sector entities</w:t>
      </w:r>
      <w:r w:rsidR="002448CC" w:rsidRPr="0058360B">
        <w:rPr>
          <w:spacing w:val="-2"/>
        </w:rPr>
        <w:t>.</w:t>
      </w:r>
      <w:r w:rsidR="006460D2" w:rsidRPr="0058360B">
        <w:rPr>
          <w:spacing w:val="-2"/>
        </w:rPr>
        <w:t xml:space="preserve"> </w:t>
      </w:r>
      <w:r w:rsidR="007D1CE1" w:rsidRPr="0058360B">
        <w:rPr>
          <w:spacing w:val="-2"/>
        </w:rPr>
        <w:t xml:space="preserve">There is also a new duty for </w:t>
      </w:r>
      <w:r w:rsidR="00941E59" w:rsidRPr="0058360B">
        <w:rPr>
          <w:spacing w:val="-2"/>
        </w:rPr>
        <w:t xml:space="preserve">public sector </w:t>
      </w:r>
      <w:r w:rsidR="0016478D" w:rsidRPr="0058360B">
        <w:rPr>
          <w:spacing w:val="-2"/>
        </w:rPr>
        <w:t xml:space="preserve">employees </w:t>
      </w:r>
      <w:r w:rsidR="00941E59" w:rsidRPr="0058360B">
        <w:rPr>
          <w:spacing w:val="-2"/>
        </w:rPr>
        <w:t xml:space="preserve">to actively promote the perspectives of Aboriginal and Torres Strait Islander peoples (see below). </w:t>
      </w:r>
      <w:r w:rsidRPr="0058360B">
        <w:rPr>
          <w:spacing w:val="-2"/>
        </w:rPr>
        <w:t xml:space="preserve">And in New Zealand, the NZ Public Service Commissioner was given new responsibilities under the </w:t>
      </w:r>
      <w:r w:rsidRPr="0058360B">
        <w:rPr>
          <w:i/>
          <w:iCs/>
          <w:spacing w:val="-2"/>
        </w:rPr>
        <w:t>Public Service Act 2020</w:t>
      </w:r>
      <w:r w:rsidRPr="0058360B">
        <w:rPr>
          <w:spacing w:val="-2"/>
        </w:rPr>
        <w:t xml:space="preserve"> (NZ) to support the implementation of the Māori–Crown provisions of the Act</w:t>
      </w:r>
      <w:r w:rsidR="005F75C1" w:rsidRPr="0058360B">
        <w:rPr>
          <w:spacing w:val="-2"/>
        </w:rPr>
        <w:t xml:space="preserve"> (box</w:t>
      </w:r>
      <w:r w:rsidR="00FD58AA" w:rsidRPr="0058360B">
        <w:rPr>
          <w:spacing w:val="-2"/>
        </w:rPr>
        <w:t> </w:t>
      </w:r>
      <w:r w:rsidR="00C31857" w:rsidRPr="0058360B">
        <w:rPr>
          <w:spacing w:val="-2"/>
        </w:rPr>
        <w:t>8</w:t>
      </w:r>
      <w:r w:rsidR="005F75C1" w:rsidRPr="0058360B">
        <w:rPr>
          <w:spacing w:val="-2"/>
        </w:rPr>
        <w:t>)</w:t>
      </w:r>
      <w:r w:rsidRPr="0058360B">
        <w:rPr>
          <w:spacing w:val="-2"/>
        </w:rPr>
        <w:t xml:space="preserve">. </w:t>
      </w:r>
    </w:p>
    <w:p w14:paraId="4072DECA" w14:textId="77777777" w:rsidR="0099094B" w:rsidRDefault="0099094B" w:rsidP="0099094B">
      <w:pPr>
        <w:pStyle w:val="BodyText"/>
      </w:pPr>
      <w:r w:rsidRPr="00812A91">
        <w:t>These examples point to a potential role for the public service or public sector commissioners in identifying and eliminating institutional racism, and improving the cultural capability and relationships with Aboriginal and Torres Strait Islander people throughout the public sector.</w:t>
      </w:r>
    </w:p>
    <w:p w14:paraId="562D6F1B" w14:textId="61CC40F0" w:rsidR="00DD1A16" w:rsidRPr="00F82BD9" w:rsidRDefault="00DD1A16">
      <w:pPr>
        <w:pStyle w:val="NoSpacing"/>
      </w:pPr>
    </w:p>
    <w:tbl>
      <w:tblPr>
        <w:tblStyle w:val="Boxtable"/>
        <w:tblW w:w="5000" w:type="pct"/>
        <w:tblLook w:val="04A0" w:firstRow="1" w:lastRow="0" w:firstColumn="1" w:lastColumn="0" w:noHBand="0" w:noVBand="1"/>
      </w:tblPr>
      <w:tblGrid>
        <w:gridCol w:w="906"/>
        <w:gridCol w:w="8732"/>
      </w:tblGrid>
      <w:tr w:rsidR="00DD1A16" w14:paraId="77986D77" w14:textId="77777777" w:rsidTr="00DD1A16">
        <w:trPr>
          <w:tblHeader/>
        </w:trPr>
        <w:tc>
          <w:tcPr>
            <w:tcW w:w="851" w:type="dxa"/>
            <w:shd w:val="clear" w:color="auto" w:fill="FBF3EC"/>
            <w:tcMar>
              <w:top w:w="170" w:type="dxa"/>
              <w:left w:w="170" w:type="dxa"/>
              <w:bottom w:w="113" w:type="dxa"/>
              <w:right w:w="170" w:type="dxa"/>
            </w:tcMar>
            <w:hideMark/>
          </w:tcPr>
          <w:p w14:paraId="601A9F31" w14:textId="081C04B3" w:rsidR="00DD1A16" w:rsidRDefault="00DD1A16" w:rsidP="00DD1A16">
            <w:pPr>
              <w:pStyle w:val="BoxHeading1"/>
              <w:keepNext w:val="0"/>
              <w:spacing w:before="0"/>
            </w:pPr>
            <w:r w:rsidRPr="00A031AA">
              <w:rPr>
                <w:b/>
                <w:bCs/>
                <w:noProof/>
              </w:rPr>
              <w:drawing>
                <wp:inline distT="0" distB="0" distL="0" distR="0" wp14:anchorId="35ED0299" wp14:editId="388E17B4">
                  <wp:extent cx="360000" cy="424800"/>
                  <wp:effectExtent l="0" t="0" r="0" b="0"/>
                  <wp:docPr id="1035774514" name="Picture 10357745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74514" name="Picture 1035774514">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87" w:type="dxa"/>
            <w:shd w:val="clear" w:color="auto" w:fill="FBF3EC"/>
          </w:tcPr>
          <w:p w14:paraId="280C36A0" w14:textId="38926C67" w:rsidR="00DD1A16" w:rsidRDefault="00DD1A16" w:rsidP="00DD1A16">
            <w:pPr>
              <w:pStyle w:val="BoxHeading1"/>
              <w:keepNext w:val="0"/>
            </w:pPr>
            <w:r>
              <w:t xml:space="preserve">Box 8 – The NZ Public Service Commissioner’s role in improving </w:t>
            </w:r>
            <w:r>
              <w:br/>
              <w:t>Māori–Crown relations in New Zealand</w:t>
            </w:r>
          </w:p>
        </w:tc>
      </w:tr>
      <w:tr w:rsidR="00DD1A16" w14:paraId="4BC679B6" w14:textId="77777777" w:rsidTr="00DD1A16">
        <w:tc>
          <w:tcPr>
            <w:tcW w:w="9638" w:type="dxa"/>
            <w:gridSpan w:val="2"/>
            <w:shd w:val="clear" w:color="auto" w:fill="FBF3EC"/>
            <w:tcMar>
              <w:top w:w="28" w:type="dxa"/>
              <w:left w:w="170" w:type="dxa"/>
              <w:bottom w:w="170" w:type="dxa"/>
              <w:right w:w="170" w:type="dxa"/>
            </w:tcMar>
            <w:hideMark/>
          </w:tcPr>
          <w:p w14:paraId="4769891E" w14:textId="77777777" w:rsidR="00DD1A16" w:rsidRDefault="00DD1A16" w:rsidP="00DD1A16">
            <w:pPr>
              <w:pStyle w:val="BodyText"/>
            </w:pPr>
            <w:r>
              <w:t xml:space="preserve">Under the </w:t>
            </w:r>
            <w:r w:rsidRPr="009A0513">
              <w:rPr>
                <w:i/>
                <w:iCs/>
              </w:rPr>
              <w:t>Public Service Act 2020</w:t>
            </w:r>
            <w:r>
              <w:t xml:space="preserve"> (NZ), t</w:t>
            </w:r>
            <w:r w:rsidRPr="006D78B1">
              <w:t xml:space="preserve">he role of the </w:t>
            </w:r>
            <w:r>
              <w:t xml:space="preserve">New Zealand </w:t>
            </w:r>
            <w:r w:rsidRPr="006D78B1">
              <w:t>public service includes supporting the Crown in its relationships with Māori under the Treaty of Waitangi (</w:t>
            </w:r>
            <w:r>
              <w:t>section 14(1)).</w:t>
            </w:r>
            <w:r w:rsidRPr="006D78B1">
              <w:t xml:space="preserve"> </w:t>
            </w:r>
            <w:r>
              <w:t xml:space="preserve">The Act gives the New Zealand Public Service Commissioner responsibility for </w:t>
            </w:r>
            <w:r w:rsidRPr="009A0513">
              <w:t>developing and maintaining the capability of the public service to engage with Māori and to understand Māori perspectiv</w:t>
            </w:r>
            <w:r>
              <w:t xml:space="preserve">es (section 14(2)) (this responsibility is shared with </w:t>
            </w:r>
            <w:r w:rsidRPr="00C42E06">
              <w:t>public service chief executives</w:t>
            </w:r>
            <w:r>
              <w:t xml:space="preserve"> and </w:t>
            </w:r>
            <w:r w:rsidRPr="00C42E06">
              <w:t>executive boards</w:t>
            </w:r>
            <w:r>
              <w:t xml:space="preserve">). </w:t>
            </w:r>
          </w:p>
          <w:p w14:paraId="36BE2EAC" w14:textId="77777777" w:rsidR="00DD1A16" w:rsidRDefault="00DD1A16" w:rsidP="00DD1A16">
            <w:pPr>
              <w:pStyle w:val="BodyText"/>
              <w:widowControl w:val="0"/>
            </w:pPr>
            <w:r>
              <w:t xml:space="preserve">The Commissioner is also responsible for </w:t>
            </w:r>
            <w:r w:rsidRPr="009A0513">
              <w:t>develop</w:t>
            </w:r>
            <w:r>
              <w:t>ing</w:t>
            </w:r>
            <w:r w:rsidRPr="009A0513">
              <w:t xml:space="preserve"> and implement</w:t>
            </w:r>
            <w:r>
              <w:t>ing</w:t>
            </w:r>
            <w:r w:rsidRPr="009A0513">
              <w:t xml:space="preserve"> a strategy for the development of senior leadership and management capability in the public service</w:t>
            </w:r>
            <w:r>
              <w:t xml:space="preserve"> (section 61), and, in doing so, must recognise </w:t>
            </w:r>
            <w:r w:rsidRPr="009A0513">
              <w:t>the aims and aspirations of Māori</w:t>
            </w:r>
            <w:r>
              <w:t xml:space="preserve">, </w:t>
            </w:r>
            <w:r w:rsidRPr="009A0513">
              <w:t>the employment requirements of Māori</w:t>
            </w:r>
            <w:r>
              <w:t>,</w:t>
            </w:r>
            <w:r w:rsidRPr="009A0513">
              <w:t xml:space="preserve"> and</w:t>
            </w:r>
            <w:r>
              <w:t xml:space="preserve"> </w:t>
            </w:r>
            <w:r w:rsidRPr="009A0513">
              <w:t>the need for greater involvement of Māori in the public service</w:t>
            </w:r>
            <w:r>
              <w:t xml:space="preserve"> (section 73(3)(d)).</w:t>
            </w:r>
          </w:p>
          <w:p w14:paraId="3911501B" w14:textId="77777777" w:rsidR="00DD1A16" w:rsidRPr="009A0513" w:rsidRDefault="00DD1A16" w:rsidP="00DD1A16">
            <w:pPr>
              <w:pStyle w:val="BodyText"/>
              <w:widowControl w:val="0"/>
            </w:pPr>
            <w:r>
              <w:t xml:space="preserve">To give effect to these requirements, the NZ Public Service Commission (Te Kawa Mataaho) is working with Te Arawhiti (the Office for </w:t>
            </w:r>
            <w:r w:rsidRPr="005E578B">
              <w:rPr>
                <w:lang w:eastAsia="en-AU"/>
              </w:rPr>
              <w:t>Māori</w:t>
            </w:r>
            <w:r>
              <w:rPr>
                <w:lang w:eastAsia="en-AU"/>
              </w:rPr>
              <w:t>–</w:t>
            </w:r>
            <w:r>
              <w:t xml:space="preserve">Crown Relations) and </w:t>
            </w:r>
            <w:r w:rsidRPr="004E6B20">
              <w:t xml:space="preserve">Te Puni Kōkiri </w:t>
            </w:r>
            <w:r>
              <w:t xml:space="preserve">(the </w:t>
            </w:r>
            <w:r w:rsidRPr="00094DAC">
              <w:t>Ministry for Māori Development</w:t>
            </w:r>
            <w:r>
              <w:t>) t</w:t>
            </w:r>
            <w:r w:rsidRPr="009D228C">
              <w:t>o lead a whole</w:t>
            </w:r>
            <w:r>
              <w:noBreakHyphen/>
            </w:r>
            <w:r w:rsidRPr="009D228C">
              <w:t>of</w:t>
            </w:r>
            <w:r>
              <w:noBreakHyphen/>
            </w:r>
            <w:r w:rsidRPr="009D228C">
              <w:t xml:space="preserve">system approach to supporting leaders and agencies to fulfil </w:t>
            </w:r>
            <w:r>
              <w:t>their</w:t>
            </w:r>
            <w:r w:rsidRPr="009D228C">
              <w:t xml:space="preserve"> responsibilities</w:t>
            </w:r>
            <w:r>
              <w:t>. Initiatives have included:</w:t>
            </w:r>
          </w:p>
          <w:p w14:paraId="683AEA8E" w14:textId="77777777" w:rsidR="00DD1A16" w:rsidRPr="005E578B" w:rsidRDefault="00DD1A16" w:rsidP="00DD1A16">
            <w:pPr>
              <w:pStyle w:val="ListBullet"/>
              <w:widowControl w:val="0"/>
              <w:rPr>
                <w:lang w:eastAsia="en-AU"/>
              </w:rPr>
            </w:pPr>
            <w:r w:rsidRPr="005E578B">
              <w:rPr>
                <w:lang w:eastAsia="en-AU"/>
              </w:rPr>
              <w:t xml:space="preserve">appointment of a </w:t>
            </w:r>
            <w:r>
              <w:rPr>
                <w:lang w:eastAsia="en-AU"/>
              </w:rPr>
              <w:t>s</w:t>
            </w:r>
            <w:r w:rsidRPr="005E578B">
              <w:rPr>
                <w:lang w:eastAsia="en-AU"/>
              </w:rPr>
              <w:t xml:space="preserve">tatutory Deputy Public Service Commissioner </w:t>
            </w:r>
            <w:r>
              <w:rPr>
                <w:lang w:eastAsia="en-AU"/>
              </w:rPr>
              <w:t>whose</w:t>
            </w:r>
            <w:r w:rsidRPr="005E578B">
              <w:rPr>
                <w:lang w:eastAsia="en-AU"/>
              </w:rPr>
              <w:t xml:space="preserve"> core focus </w:t>
            </w:r>
            <w:r>
              <w:rPr>
                <w:lang w:eastAsia="en-AU"/>
              </w:rPr>
              <w:t>is</w:t>
            </w:r>
            <w:r w:rsidRPr="005E578B">
              <w:rPr>
                <w:lang w:eastAsia="en-AU"/>
              </w:rPr>
              <w:t xml:space="preserve"> on system leadership for Māor</w:t>
            </w:r>
            <w:r>
              <w:rPr>
                <w:lang w:eastAsia="en-AU"/>
              </w:rPr>
              <w:t>i–</w:t>
            </w:r>
            <w:r w:rsidRPr="005E578B">
              <w:rPr>
                <w:lang w:eastAsia="en-AU"/>
              </w:rPr>
              <w:t>Crown relations</w:t>
            </w:r>
          </w:p>
          <w:p w14:paraId="3745461E" w14:textId="77777777" w:rsidR="00DD1A16" w:rsidRPr="009A0513" w:rsidRDefault="00DD1A16" w:rsidP="00DD1A16">
            <w:pPr>
              <w:pStyle w:val="ListBullet"/>
              <w:widowControl w:val="0"/>
            </w:pPr>
            <w:r>
              <w:t>appointment of</w:t>
            </w:r>
            <w:r>
              <w:rPr>
                <w:lang w:eastAsia="en-AU"/>
              </w:rPr>
              <w:t xml:space="preserve"> </w:t>
            </w:r>
            <w:r w:rsidRPr="00DA6FC9">
              <w:rPr>
                <w:lang w:eastAsia="en-AU"/>
              </w:rPr>
              <w:t xml:space="preserve">Te Hāpai Ō </w:t>
            </w:r>
            <w:r>
              <w:rPr>
                <w:lang w:eastAsia="en-AU"/>
              </w:rPr>
              <w:t>(the</w:t>
            </w:r>
            <w:r w:rsidRPr="00DA6FC9">
              <w:rPr>
                <w:lang w:eastAsia="en-AU"/>
              </w:rPr>
              <w:t xml:space="preserve"> Māori Advisory Committee</w:t>
            </w:r>
            <w:r>
              <w:rPr>
                <w:lang w:eastAsia="en-AU"/>
              </w:rPr>
              <w:t>)</w:t>
            </w:r>
            <w:r w:rsidRPr="00DA6FC9">
              <w:rPr>
                <w:lang w:eastAsia="en-AU"/>
              </w:rPr>
              <w:t xml:space="preserve"> to assist with the implementation of the </w:t>
            </w:r>
            <w:r>
              <w:rPr>
                <w:lang w:eastAsia="en-AU"/>
              </w:rPr>
              <w:t xml:space="preserve">Public Service </w:t>
            </w:r>
            <w:r w:rsidRPr="00DA6FC9">
              <w:rPr>
                <w:lang w:eastAsia="en-AU"/>
              </w:rPr>
              <w:t>Act, particular</w:t>
            </w:r>
            <w:r>
              <w:rPr>
                <w:lang w:eastAsia="en-AU"/>
              </w:rPr>
              <w:t>ly</w:t>
            </w:r>
            <w:r w:rsidRPr="00DA6FC9">
              <w:rPr>
                <w:lang w:eastAsia="en-AU"/>
              </w:rPr>
              <w:t xml:space="preserve"> regarding the Crown’s obligations to and relationships with Māori</w:t>
            </w:r>
          </w:p>
          <w:p w14:paraId="779FC263" w14:textId="77777777" w:rsidR="00DD1A16" w:rsidRPr="00B202D8" w:rsidRDefault="00DD1A16" w:rsidP="00DD1A16">
            <w:pPr>
              <w:pStyle w:val="ListBullet"/>
              <w:widowControl w:val="0"/>
              <w:rPr>
                <w:lang w:eastAsia="en-AU"/>
              </w:rPr>
            </w:pPr>
            <w:r w:rsidRPr="00B202D8">
              <w:rPr>
                <w:lang w:eastAsia="en-AU"/>
              </w:rPr>
              <w:t xml:space="preserve">leading development opportunities for </w:t>
            </w:r>
            <w:r>
              <w:rPr>
                <w:lang w:eastAsia="en-AU"/>
              </w:rPr>
              <w:t>p</w:t>
            </w:r>
            <w:r w:rsidRPr="00B202D8">
              <w:rPr>
                <w:lang w:eastAsia="en-AU"/>
              </w:rPr>
              <w:t xml:space="preserve">ublic </w:t>
            </w:r>
            <w:r>
              <w:rPr>
                <w:lang w:eastAsia="en-AU"/>
              </w:rPr>
              <w:t>s</w:t>
            </w:r>
            <w:r w:rsidRPr="00B202D8">
              <w:rPr>
                <w:lang w:eastAsia="en-AU"/>
              </w:rPr>
              <w:t>ervice leaders with a focus on building Māori</w:t>
            </w:r>
            <w:r>
              <w:rPr>
                <w:lang w:eastAsia="en-AU"/>
              </w:rPr>
              <w:t>–</w:t>
            </w:r>
            <w:r w:rsidRPr="00B202D8">
              <w:rPr>
                <w:lang w:eastAsia="en-AU"/>
              </w:rPr>
              <w:t>Crown capability, and the Rangatahi Māori Emerging Leaders Programme</w:t>
            </w:r>
          </w:p>
          <w:p w14:paraId="46F159D5" w14:textId="77777777" w:rsidR="00DD1A16" w:rsidRPr="00B202D8" w:rsidRDefault="00DD1A16" w:rsidP="00DD1A16">
            <w:pPr>
              <w:pStyle w:val="ListBullet"/>
              <w:widowControl w:val="0"/>
              <w:rPr>
                <w:lang w:eastAsia="en-AU"/>
              </w:rPr>
            </w:pPr>
            <w:r w:rsidRPr="00B202D8">
              <w:rPr>
                <w:lang w:eastAsia="en-AU"/>
              </w:rPr>
              <w:t xml:space="preserve">active </w:t>
            </w:r>
            <w:r>
              <w:rPr>
                <w:lang w:eastAsia="en-AU"/>
              </w:rPr>
              <w:t>encouragement of</w:t>
            </w:r>
            <w:r w:rsidRPr="00B202D8">
              <w:rPr>
                <w:lang w:eastAsia="en-AU"/>
              </w:rPr>
              <w:t xml:space="preserve"> all agencies and leaders to fulfil their responsibilities under Maihi Karauna </w:t>
            </w:r>
            <w:r>
              <w:rPr>
                <w:lang w:eastAsia="en-AU"/>
              </w:rPr>
              <w:t>(th</w:t>
            </w:r>
            <w:r w:rsidRPr="00EF2D6B">
              <w:rPr>
                <w:lang w:eastAsia="en-AU"/>
              </w:rPr>
              <w:t>e Crown</w:t>
            </w:r>
            <w:r>
              <w:rPr>
                <w:lang w:eastAsia="en-AU"/>
              </w:rPr>
              <w:t>’</w:t>
            </w:r>
            <w:r w:rsidRPr="00EF2D6B">
              <w:rPr>
                <w:lang w:eastAsia="en-AU"/>
              </w:rPr>
              <w:t>s Strategy for Māori Language Revitalisation 2019–2023</w:t>
            </w:r>
            <w:r>
              <w:rPr>
                <w:lang w:eastAsia="en-AU"/>
              </w:rPr>
              <w:t>),</w:t>
            </w:r>
            <w:r w:rsidRPr="00B202D8">
              <w:rPr>
                <w:lang w:eastAsia="en-AU"/>
              </w:rPr>
              <w:t xml:space="preserve"> in partnership with Te Taura Whiri i te Reo Māori </w:t>
            </w:r>
            <w:r>
              <w:rPr>
                <w:lang w:eastAsia="en-AU"/>
              </w:rPr>
              <w:t>(the</w:t>
            </w:r>
            <w:r w:rsidRPr="00B202D8">
              <w:rPr>
                <w:lang w:eastAsia="en-AU"/>
              </w:rPr>
              <w:t xml:space="preserve"> Māori Language Commission</w:t>
            </w:r>
            <w:r>
              <w:rPr>
                <w:lang w:eastAsia="en-AU"/>
              </w:rPr>
              <w:t>). This includes</w:t>
            </w:r>
            <w:r w:rsidRPr="00B202D8">
              <w:rPr>
                <w:lang w:eastAsia="en-AU"/>
              </w:rPr>
              <w:t xml:space="preserve"> system implementation of Whāinga Amorangi: Transforming Leadership, led by Te Arawhiti</w:t>
            </w:r>
          </w:p>
          <w:p w14:paraId="3BAF3664" w14:textId="4ABEC1F3" w:rsidR="00DD1A16" w:rsidRDefault="00DD1A16" w:rsidP="004817AF">
            <w:pPr>
              <w:pStyle w:val="ListBullet"/>
            </w:pPr>
            <w:r>
              <w:rPr>
                <w:lang w:eastAsia="en-AU"/>
              </w:rPr>
              <w:t>inclusion of</w:t>
            </w:r>
            <w:r w:rsidRPr="00B202D8">
              <w:rPr>
                <w:lang w:eastAsia="en-AU"/>
              </w:rPr>
              <w:t xml:space="preserve"> a specific category for Māori</w:t>
            </w:r>
            <w:r>
              <w:rPr>
                <w:lang w:eastAsia="en-AU"/>
              </w:rPr>
              <w:t>–</w:t>
            </w:r>
            <w:r w:rsidRPr="00B202D8">
              <w:rPr>
                <w:lang w:eastAsia="en-AU"/>
              </w:rPr>
              <w:t xml:space="preserve">Crown relationships in Te Hāpai Hāpori </w:t>
            </w:r>
            <w:r>
              <w:rPr>
                <w:lang w:eastAsia="en-AU"/>
              </w:rPr>
              <w:t>(the</w:t>
            </w:r>
            <w:r w:rsidRPr="00B202D8">
              <w:rPr>
                <w:lang w:eastAsia="en-AU"/>
              </w:rPr>
              <w:t xml:space="preserve"> Spirit of Service Awards</w:t>
            </w:r>
            <w:r>
              <w:rPr>
                <w:lang w:eastAsia="en-AU"/>
              </w:rPr>
              <w:t xml:space="preserve">) to highlight excellent practice </w:t>
            </w:r>
            <w:r w:rsidRPr="00BA7BD2">
              <w:rPr>
                <w:rFonts w:ascii="Arial" w:hAnsi="Arial" w:cs="Arial"/>
                <w:szCs w:val="24"/>
              </w:rPr>
              <w:t>(Te Kawa Mataaho 2023b)</w:t>
            </w:r>
            <w:r w:rsidRPr="00B202D8">
              <w:rPr>
                <w:lang w:eastAsia="en-AU"/>
              </w:rPr>
              <w:t>.</w:t>
            </w:r>
          </w:p>
        </w:tc>
      </w:tr>
      <w:tr w:rsidR="00DD1A16" w14:paraId="3BD91D8C" w14:textId="77777777">
        <w:trPr>
          <w:hidden/>
        </w:trPr>
        <w:tc>
          <w:tcPr>
            <w:tcW w:w="9638" w:type="dxa"/>
            <w:gridSpan w:val="2"/>
            <w:shd w:val="clear" w:color="auto" w:fill="auto"/>
            <w:tcMar>
              <w:top w:w="0" w:type="dxa"/>
              <w:left w:w="170" w:type="dxa"/>
              <w:bottom w:w="0" w:type="dxa"/>
              <w:right w:w="170" w:type="dxa"/>
            </w:tcMar>
          </w:tcPr>
          <w:p w14:paraId="18381DBA" w14:textId="73E42A0D" w:rsidR="00DD1A16" w:rsidRPr="00465191" w:rsidRDefault="00DD1A16">
            <w:pPr>
              <w:pStyle w:val="BodyText"/>
              <w:spacing w:before="0" w:after="0" w:line="80" w:lineRule="atLeast"/>
              <w:rPr>
                <w:smallCaps/>
                <w:vanish/>
              </w:rPr>
            </w:pPr>
          </w:p>
        </w:tc>
      </w:tr>
    </w:tbl>
    <w:p w14:paraId="378A864C" w14:textId="28655E22" w:rsidR="00F11006" w:rsidRDefault="00CC0B3C" w:rsidP="00BA35D6">
      <w:pPr>
        <w:pStyle w:val="Heading4"/>
      </w:pPr>
      <w:r>
        <w:lastRenderedPageBreak/>
        <w:t xml:space="preserve">Could the role be </w:t>
      </w:r>
      <w:r w:rsidR="00BB2DC1">
        <w:t xml:space="preserve">shared by </w:t>
      </w:r>
      <w:r>
        <w:t xml:space="preserve">several people or organisations? </w:t>
      </w:r>
    </w:p>
    <w:p w14:paraId="521E517C" w14:textId="546A886B" w:rsidR="00997929" w:rsidRPr="00014B03" w:rsidRDefault="00B30673" w:rsidP="00BD6E4F">
      <w:pPr>
        <w:pStyle w:val="BodyText"/>
      </w:pPr>
      <w:r w:rsidRPr="00014B03">
        <w:t xml:space="preserve">There is no </w:t>
      </w:r>
      <w:r w:rsidR="00014B03" w:rsidRPr="00014B03">
        <w:t xml:space="preserve">person or organisation that is </w:t>
      </w:r>
      <w:r w:rsidRPr="00014B03">
        <w:t xml:space="preserve">clearly </w:t>
      </w:r>
      <w:r w:rsidR="008855E4">
        <w:t>the</w:t>
      </w:r>
      <w:r w:rsidRPr="00014B03">
        <w:t xml:space="preserve"> best option </w:t>
      </w:r>
      <w:r w:rsidR="008855E4">
        <w:t>for</w:t>
      </w:r>
      <w:r w:rsidRPr="00014B03">
        <w:t xml:space="preserve"> </w:t>
      </w:r>
      <w:r w:rsidR="00014B03" w:rsidRPr="00014B03">
        <w:t xml:space="preserve">taking a </w:t>
      </w:r>
      <w:r w:rsidRPr="00014B03">
        <w:t xml:space="preserve">leadership </w:t>
      </w:r>
      <w:r w:rsidR="00014B03" w:rsidRPr="00014B03">
        <w:t>role in improving the cultural capability and relationships with Aboriginal and Torres Strait Islander people throughout the public sector</w:t>
      </w:r>
      <w:r w:rsidR="00FA0849">
        <w:t xml:space="preserve">, and </w:t>
      </w:r>
      <w:r w:rsidR="00FA0849" w:rsidRPr="00014B03">
        <w:t>eliminating institutional racism</w:t>
      </w:r>
      <w:r w:rsidR="00014B03" w:rsidRPr="00014B03">
        <w:t xml:space="preserve">. </w:t>
      </w:r>
    </w:p>
    <w:p w14:paraId="4E86E2EF" w14:textId="06AF9854" w:rsidR="00014B03" w:rsidRPr="0058360B" w:rsidRDefault="00DB1BA5" w:rsidP="00BD6E4F">
      <w:pPr>
        <w:pStyle w:val="BodyText"/>
        <w:rPr>
          <w:spacing w:val="2"/>
        </w:rPr>
      </w:pPr>
      <w:r w:rsidRPr="0058360B">
        <w:rPr>
          <w:spacing w:val="2"/>
        </w:rPr>
        <w:t xml:space="preserve">Given this, a hybrid approach may have </w:t>
      </w:r>
      <w:r w:rsidR="00BD6E4F" w:rsidRPr="0058360B">
        <w:rPr>
          <w:spacing w:val="2"/>
        </w:rPr>
        <w:t>advantages</w:t>
      </w:r>
      <w:r w:rsidRPr="0058360B">
        <w:rPr>
          <w:spacing w:val="2"/>
        </w:rPr>
        <w:t>. For example, the role could be jointly given to both the Secretary of the Departments of the Prime Minister, Premier or Chief Minister and to the public service or public sector commissioner.</w:t>
      </w:r>
      <w:r w:rsidR="00BD6E4F" w:rsidRPr="0058360B">
        <w:rPr>
          <w:spacing w:val="2"/>
        </w:rPr>
        <w:t xml:space="preserve"> This would allow each to draw on their strengths, while mitigating their potential weaknesses. </w:t>
      </w:r>
    </w:p>
    <w:p w14:paraId="7293C12F" w14:textId="52C44F6D" w:rsidR="005A35E3" w:rsidRDefault="004742E9" w:rsidP="00BD6E4F">
      <w:pPr>
        <w:pStyle w:val="BodyText"/>
      </w:pPr>
      <w:r>
        <w:t xml:space="preserve">There is also the option of creating a new </w:t>
      </w:r>
      <w:r w:rsidR="0035288E">
        <w:t>leadership group</w:t>
      </w:r>
      <w:r w:rsidR="007F1BA7">
        <w:t xml:space="preserve">, as </w:t>
      </w:r>
      <w:r w:rsidR="0035288E">
        <w:t xml:space="preserve">in </w:t>
      </w:r>
      <w:r w:rsidR="007F1BA7">
        <w:t xml:space="preserve">South Australia </w:t>
      </w:r>
      <w:r w:rsidR="00B6754A">
        <w:t>(box</w:t>
      </w:r>
      <w:r w:rsidR="00FD58AA">
        <w:t> </w:t>
      </w:r>
      <w:r w:rsidR="00B6754A">
        <w:t>9)</w:t>
      </w:r>
      <w:r w:rsidR="007F1BA7">
        <w:t xml:space="preserve">. </w:t>
      </w:r>
      <w:r w:rsidR="007C000C">
        <w:t xml:space="preserve">Depending on how it is structured, a newly created group could have the benefit of </w:t>
      </w:r>
      <w:r w:rsidR="009A67EB">
        <w:t xml:space="preserve">increasing the </w:t>
      </w:r>
      <w:r w:rsidR="005209BC">
        <w:t xml:space="preserve">number and proportion of </w:t>
      </w:r>
      <w:r w:rsidR="005209BC" w:rsidRPr="00014B03">
        <w:t>Aboriginal and Torres Strait Islander people</w:t>
      </w:r>
      <w:r w:rsidR="005209BC">
        <w:t xml:space="preserve"> in leadership. </w:t>
      </w:r>
    </w:p>
    <w:p w14:paraId="028D66CE" w14:textId="6F01B639" w:rsidR="00DD1A16" w:rsidRPr="00F82BD9" w:rsidRDefault="00DD1A16">
      <w:pPr>
        <w:pStyle w:val="NoSpacing"/>
      </w:pPr>
    </w:p>
    <w:tbl>
      <w:tblPr>
        <w:tblStyle w:val="Boxtable"/>
        <w:tblW w:w="5000" w:type="pct"/>
        <w:tblLook w:val="04A0" w:firstRow="1" w:lastRow="0" w:firstColumn="1" w:lastColumn="0" w:noHBand="0" w:noVBand="1"/>
      </w:tblPr>
      <w:tblGrid>
        <w:gridCol w:w="906"/>
        <w:gridCol w:w="8732"/>
      </w:tblGrid>
      <w:tr w:rsidR="00DD1A16" w14:paraId="712B2BE4" w14:textId="77777777" w:rsidTr="00DD1A16">
        <w:trPr>
          <w:tblHeader/>
        </w:trPr>
        <w:tc>
          <w:tcPr>
            <w:tcW w:w="906" w:type="dxa"/>
            <w:shd w:val="clear" w:color="auto" w:fill="FBF3EC"/>
            <w:tcMar>
              <w:top w:w="170" w:type="dxa"/>
              <w:left w:w="170" w:type="dxa"/>
              <w:bottom w:w="113" w:type="dxa"/>
              <w:right w:w="170" w:type="dxa"/>
            </w:tcMar>
            <w:hideMark/>
          </w:tcPr>
          <w:p w14:paraId="69D88564" w14:textId="4ADAAD4F" w:rsidR="00DD1A16" w:rsidRDefault="00DD1A16" w:rsidP="00DD1A16">
            <w:pPr>
              <w:pStyle w:val="BoxHeading1"/>
              <w:spacing w:before="0"/>
            </w:pPr>
            <w:r w:rsidRPr="00A031AA">
              <w:rPr>
                <w:b/>
                <w:bCs/>
                <w:noProof/>
              </w:rPr>
              <w:drawing>
                <wp:inline distT="0" distB="0" distL="0" distR="0" wp14:anchorId="423797A0" wp14:editId="3E30350C">
                  <wp:extent cx="360000" cy="424800"/>
                  <wp:effectExtent l="0" t="0" r="0" b="0"/>
                  <wp:docPr id="1005697704" name="Picture 10056977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97704" name="Picture 1005697704">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32" w:type="dxa"/>
            <w:shd w:val="clear" w:color="auto" w:fill="FBF3EC"/>
          </w:tcPr>
          <w:p w14:paraId="05ADA1F7" w14:textId="5A5340E7" w:rsidR="00DD1A16" w:rsidRDefault="00DD1A16" w:rsidP="00DD1A16">
            <w:pPr>
              <w:pStyle w:val="BoxHeading1"/>
            </w:pPr>
            <w:r>
              <w:t xml:space="preserve">Box 9 – South Australia’s </w:t>
            </w:r>
            <w:r w:rsidRPr="00B6754A">
              <w:t xml:space="preserve">Aboriginal Affairs Executive Committee </w:t>
            </w:r>
          </w:p>
        </w:tc>
      </w:tr>
      <w:tr w:rsidR="00DD1A16" w14:paraId="21D4D03A" w14:textId="77777777" w:rsidTr="00DD1A16">
        <w:tc>
          <w:tcPr>
            <w:tcW w:w="9638" w:type="dxa"/>
            <w:gridSpan w:val="2"/>
            <w:shd w:val="clear" w:color="auto" w:fill="FBF3EC"/>
            <w:tcMar>
              <w:top w:w="28" w:type="dxa"/>
              <w:left w:w="170" w:type="dxa"/>
              <w:bottom w:w="170" w:type="dxa"/>
              <w:right w:w="170" w:type="dxa"/>
            </w:tcMar>
            <w:hideMark/>
          </w:tcPr>
          <w:p w14:paraId="637EE144" w14:textId="77777777" w:rsidR="00DD1A16" w:rsidRDefault="00DD1A16" w:rsidP="00DD1A16">
            <w:pPr>
              <w:pStyle w:val="BodyText"/>
            </w:pPr>
            <w:r>
              <w:t xml:space="preserve">In 2020, the South Australian Government created an Aboriginal Affairs Executive Committee. </w:t>
            </w:r>
          </w:p>
          <w:p w14:paraId="1594DB07" w14:textId="77777777" w:rsidR="00DD1A16" w:rsidRDefault="00DD1A16" w:rsidP="00DD1A16">
            <w:pPr>
              <w:pStyle w:val="BodyText"/>
            </w:pPr>
            <w:r>
              <w:t>The committee is co</w:t>
            </w:r>
            <w:r>
              <w:noBreakHyphen/>
              <w:t xml:space="preserve">chaired by the </w:t>
            </w:r>
            <w:r w:rsidRPr="00A166A4">
              <w:t>Executive Director, Aboriginal Affairs and Reconciliation</w:t>
            </w:r>
            <w:r>
              <w:t xml:space="preserve"> from the </w:t>
            </w:r>
            <w:r w:rsidRPr="00A166A4">
              <w:t>Attorney</w:t>
            </w:r>
            <w:r>
              <w:noBreakHyphen/>
            </w:r>
            <w:r w:rsidRPr="00A166A4">
              <w:t>General</w:t>
            </w:r>
            <w:r>
              <w:t>’</w:t>
            </w:r>
            <w:r w:rsidRPr="00A166A4">
              <w:t>s Department</w:t>
            </w:r>
            <w:r>
              <w:t xml:space="preserve"> and the </w:t>
            </w:r>
            <w:r w:rsidRPr="00140788">
              <w:t>Chief Executive</w:t>
            </w:r>
            <w:r>
              <w:t xml:space="preserve"> of </w:t>
            </w:r>
            <w:r w:rsidRPr="00140788">
              <w:t>Department for Correctional Services</w:t>
            </w:r>
            <w:r>
              <w:t xml:space="preserve">. Its membership </w:t>
            </w:r>
            <w:r w:rsidRPr="008F543B">
              <w:t xml:space="preserve">is made up of chief executives and Aboriginal senior leaders in the </w:t>
            </w:r>
            <w:r>
              <w:t>SA</w:t>
            </w:r>
            <w:r w:rsidRPr="008F543B">
              <w:t xml:space="preserve"> public sector</w:t>
            </w:r>
            <w:r>
              <w:t xml:space="preserve">. </w:t>
            </w:r>
          </w:p>
          <w:p w14:paraId="0AA34F8C" w14:textId="77777777" w:rsidR="00DD1A16" w:rsidRDefault="00DD1A16" w:rsidP="00DD1A16">
            <w:pPr>
              <w:pStyle w:val="BodyText"/>
            </w:pPr>
            <w:r>
              <w:t xml:space="preserve">The committee has established working groups that will concentrate on four priorities: </w:t>
            </w:r>
          </w:p>
          <w:p w14:paraId="362F6395" w14:textId="77777777" w:rsidR="00DD1A16" w:rsidRDefault="00DD1A16" w:rsidP="00DD1A16">
            <w:pPr>
              <w:pStyle w:val="ListBullet"/>
            </w:pPr>
            <w:r>
              <w:t>over</w:t>
            </w:r>
            <w:r>
              <w:noBreakHyphen/>
              <w:t>representation of Aboriginal South Australians in the criminal justice sector</w:t>
            </w:r>
          </w:p>
          <w:p w14:paraId="530C2E09" w14:textId="77777777" w:rsidR="00DD1A16" w:rsidRDefault="00DD1A16" w:rsidP="00DD1A16">
            <w:pPr>
              <w:pStyle w:val="ListBullet"/>
            </w:pPr>
            <w:r>
              <w:t>economic participation</w:t>
            </w:r>
          </w:p>
          <w:p w14:paraId="154EE01F" w14:textId="77777777" w:rsidR="00DD1A16" w:rsidRDefault="00DD1A16" w:rsidP="00DD1A16">
            <w:pPr>
              <w:pStyle w:val="ListBullet"/>
            </w:pPr>
            <w:r>
              <w:t>supporting growth in ACCOs</w:t>
            </w:r>
          </w:p>
          <w:p w14:paraId="0DF8B85E" w14:textId="77777777" w:rsidR="00DD1A16" w:rsidRDefault="00DD1A16" w:rsidP="00DD1A16">
            <w:pPr>
              <w:pStyle w:val="ListBullet"/>
            </w:pPr>
            <w:r>
              <w:t>building capacity in vulnerable families.</w:t>
            </w:r>
          </w:p>
          <w:p w14:paraId="19C59CFB" w14:textId="77777777" w:rsidR="00DD1A16" w:rsidRDefault="00DD1A16" w:rsidP="00DD1A16">
            <w:pPr>
              <w:pStyle w:val="BodyText"/>
            </w:pPr>
            <w:r w:rsidRPr="009F2943">
              <w:t xml:space="preserve">Each working group consists of </w:t>
            </w:r>
            <w:r>
              <w:t xml:space="preserve">about </w:t>
            </w:r>
            <w:r w:rsidRPr="009F2943">
              <w:t xml:space="preserve">16 members, </w:t>
            </w:r>
            <w:r>
              <w:t xml:space="preserve">at least half of whom are </w:t>
            </w:r>
            <w:r w:rsidRPr="009F2943">
              <w:t xml:space="preserve">Aboriginal </w:t>
            </w:r>
            <w:r>
              <w:t xml:space="preserve">and </w:t>
            </w:r>
            <w:r w:rsidRPr="009F2943">
              <w:t xml:space="preserve">are drawn from across the </w:t>
            </w:r>
            <w:r>
              <w:t>SA</w:t>
            </w:r>
            <w:r w:rsidRPr="009F2943">
              <w:t xml:space="preserve"> public sector.</w:t>
            </w:r>
          </w:p>
          <w:p w14:paraId="6371DA69" w14:textId="0CB8C731" w:rsidR="00DD1A16" w:rsidRDefault="00DD1A16" w:rsidP="00DD1A16">
            <w:pPr>
              <w:pStyle w:val="Source"/>
            </w:pPr>
            <w:r w:rsidRPr="008E3427">
              <w:rPr>
                <w:lang w:val="fr-FR"/>
              </w:rPr>
              <w:t>Source</w:t>
            </w:r>
            <w:r>
              <w:rPr>
                <w:lang w:val="fr-FR"/>
              </w:rPr>
              <w:t>s</w:t>
            </w:r>
            <w:r w:rsidRPr="008E3427">
              <w:rPr>
                <w:lang w:val="fr-FR"/>
              </w:rPr>
              <w:t xml:space="preserve">: SA AGD </w:t>
            </w:r>
            <w:r w:rsidRPr="008E3427">
              <w:rPr>
                <w:rFonts w:ascii="Arial" w:hAnsi="Arial" w:cs="Arial"/>
                <w:lang w:val="fr-FR"/>
              </w:rPr>
              <w:t>(2022b)</w:t>
            </w:r>
            <w:r w:rsidRPr="008E3427">
              <w:rPr>
                <w:lang w:val="fr-FR"/>
              </w:rPr>
              <w:t xml:space="preserve">; SA </w:t>
            </w:r>
            <w:r w:rsidRPr="00760117">
              <w:t>Government</w:t>
            </w:r>
            <w:r w:rsidRPr="008E3427">
              <w:rPr>
                <w:lang w:val="fr-FR"/>
              </w:rPr>
              <w:t xml:space="preserve"> </w:t>
            </w:r>
            <w:r w:rsidRPr="008E3427">
              <w:rPr>
                <w:rFonts w:ascii="Arial" w:hAnsi="Arial" w:cs="Arial"/>
                <w:lang w:val="fr-FR"/>
              </w:rPr>
              <w:t>(2021)</w:t>
            </w:r>
            <w:r>
              <w:t>.</w:t>
            </w:r>
          </w:p>
        </w:tc>
      </w:tr>
      <w:tr w:rsidR="00DD1A16" w14:paraId="00D01DB6" w14:textId="77777777">
        <w:trPr>
          <w:hidden/>
        </w:trPr>
        <w:tc>
          <w:tcPr>
            <w:tcW w:w="9638" w:type="dxa"/>
            <w:gridSpan w:val="2"/>
            <w:shd w:val="clear" w:color="auto" w:fill="auto"/>
            <w:tcMar>
              <w:top w:w="0" w:type="dxa"/>
              <w:left w:w="170" w:type="dxa"/>
              <w:bottom w:w="0" w:type="dxa"/>
              <w:right w:w="170" w:type="dxa"/>
            </w:tcMar>
          </w:tcPr>
          <w:p w14:paraId="7C4511FD" w14:textId="2FB888C4" w:rsidR="00DD1A16" w:rsidRPr="00465191" w:rsidRDefault="00DD1A16" w:rsidP="00DD1A16">
            <w:pPr>
              <w:pStyle w:val="BodyText"/>
              <w:spacing w:before="0" w:after="0" w:line="80" w:lineRule="atLeast"/>
              <w:rPr>
                <w:smallCaps/>
                <w:vanish/>
              </w:rPr>
            </w:pPr>
          </w:p>
        </w:tc>
      </w:tr>
    </w:tbl>
    <w:p w14:paraId="4A242CE0" w14:textId="1E0DD4FE" w:rsidR="00E32B7D" w:rsidRDefault="00E32B7D" w:rsidP="00ED7727">
      <w:pPr>
        <w:pStyle w:val="BodyText"/>
      </w:pPr>
      <w:r>
        <w:t xml:space="preserve">Many jurisdictions have interdepartmental committees, senior executive forums and other working groups comprised of senior public servants. Members of these groups are </w:t>
      </w:r>
      <w:r w:rsidR="00F66686">
        <w:t>typically</w:t>
      </w:r>
      <w:r>
        <w:t xml:space="preserve"> senior </w:t>
      </w:r>
      <w:r w:rsidR="00F66686">
        <w:t>executives (</w:t>
      </w:r>
      <w:r>
        <w:t xml:space="preserve">but not </w:t>
      </w:r>
      <w:r w:rsidR="00F66686">
        <w:t xml:space="preserve">Secretaries or CEOs). These groups and committees are an essential component of </w:t>
      </w:r>
      <w:r w:rsidR="00EB0F6F">
        <w:t>governments’ internal coordination systems, and play an important role in breaking down silos between government departments and agencies.</w:t>
      </w:r>
      <w:r w:rsidR="00452341">
        <w:t xml:space="preserve"> But</w:t>
      </w:r>
      <w:r w:rsidR="00C236C5">
        <w:t xml:space="preserve">, by nature, working groups and interdepartmental committees are formed </w:t>
      </w:r>
      <w:r w:rsidR="00CF09B9">
        <w:t>around a task, and many do not have an ongoing role</w:t>
      </w:r>
      <w:r w:rsidR="00325C0B">
        <w:t>.</w:t>
      </w:r>
      <w:r w:rsidR="00CF09B9">
        <w:t xml:space="preserve"> This </w:t>
      </w:r>
      <w:r w:rsidR="00F66F17">
        <w:t>makes it hard for them to lead the significant and ongoing changes required under the Agreement.</w:t>
      </w:r>
    </w:p>
    <w:p w14:paraId="425EE443" w14:textId="6F55D047" w:rsidR="00ED7727" w:rsidRDefault="00CD0083" w:rsidP="00ED7727">
      <w:pPr>
        <w:pStyle w:val="BodyText"/>
      </w:pPr>
      <w:r w:rsidRPr="00EA3FF0">
        <w:t>The Commission is seeking further information on which senior leader or leadership group (or which combination of leaders or groups) should be tasked with promoting and embedding changes to public sector systems and culture, in order to improve cultural capability and relationships with Aboriginal and Torres Strait Islander people throughout the public sector, and how such a task might best be implemented</w:t>
      </w:r>
      <w:r>
        <w:t xml:space="preserve">. </w:t>
      </w:r>
    </w:p>
    <w:p w14:paraId="1089F743" w14:textId="69627D76" w:rsidR="002B1248" w:rsidRDefault="002B1248">
      <w:pPr>
        <w:pStyle w:val="NoSpacing"/>
      </w:pPr>
    </w:p>
    <w:tbl>
      <w:tblPr>
        <w:tblStyle w:val="Texttable-Paleblue"/>
        <w:tblW w:w="5000" w:type="pct"/>
        <w:tblLook w:val="04A0" w:firstRow="1" w:lastRow="0" w:firstColumn="1" w:lastColumn="0" w:noHBand="0" w:noVBand="1"/>
      </w:tblPr>
      <w:tblGrid>
        <w:gridCol w:w="792"/>
        <w:gridCol w:w="8846"/>
      </w:tblGrid>
      <w:tr w:rsidR="002B1248" w14:paraId="06C75BA6" w14:textId="77777777" w:rsidTr="006675EC">
        <w:trPr>
          <w:tblHeader/>
        </w:trPr>
        <w:tc>
          <w:tcPr>
            <w:tcW w:w="709" w:type="dxa"/>
            <w:shd w:val="clear" w:color="auto" w:fill="FBF3EC"/>
            <w:tcMar>
              <w:top w:w="0" w:type="dxa"/>
              <w:bottom w:w="0" w:type="dxa"/>
            </w:tcMar>
            <w:vAlign w:val="center"/>
          </w:tcPr>
          <w:p w14:paraId="17DF7D3D" w14:textId="3078A822" w:rsidR="002B1248" w:rsidRDefault="00D1263D">
            <w:pPr>
              <w:keepLines/>
              <w:jc w:val="center"/>
            </w:pPr>
            <w:r w:rsidRPr="00A51374">
              <w:rPr>
                <w:noProof/>
              </w:rPr>
              <w:lastRenderedPageBreak/>
              <w:drawing>
                <wp:inline distT="0" distB="0" distL="0" distR="0" wp14:anchorId="1FD6F65F" wp14:editId="14B66212">
                  <wp:extent cx="360000" cy="360000"/>
                  <wp:effectExtent l="0" t="0" r="0" b="0"/>
                  <wp:docPr id="591961680" name="Picture 5919616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19299" name="Graphic 99519299">
                            <a:extLst>
                              <a:ext uri="{C183D7F6-B498-43B3-948B-1728B52AA6E4}">
                                <adec:decorative xmlns:adec="http://schemas.microsoft.com/office/drawing/2017/decorative" val="1"/>
                              </a:ext>
                            </a:extLst>
                          </pic:cNvPr>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8874" w:type="dxa"/>
            <w:shd w:val="clear" w:color="auto" w:fill="FBF3EC"/>
            <w:tcMar>
              <w:top w:w="0" w:type="dxa"/>
              <w:bottom w:w="0" w:type="dxa"/>
            </w:tcMar>
            <w:vAlign w:val="center"/>
          </w:tcPr>
          <w:p w14:paraId="73D453F7" w14:textId="29723FB3" w:rsidR="002B1248" w:rsidRPr="00715040" w:rsidRDefault="00D1263D">
            <w:pPr>
              <w:pStyle w:val="TableHeading"/>
              <w:keepLines/>
              <w:spacing w:before="120" w:after="120"/>
              <w:contextualSpacing/>
              <w:rPr>
                <w:sz w:val="20"/>
              </w:rPr>
            </w:pPr>
            <w:r>
              <w:rPr>
                <w:sz w:val="20"/>
              </w:rPr>
              <w:t>Draft r</w:t>
            </w:r>
            <w:r w:rsidR="002B1248" w:rsidRPr="00715040">
              <w:rPr>
                <w:sz w:val="20"/>
              </w:rPr>
              <w:t xml:space="preserve">ecommendation </w:t>
            </w:r>
            <w:r>
              <w:rPr>
                <w:sz w:val="20"/>
              </w:rPr>
              <w:t>2</w:t>
            </w:r>
            <w:r w:rsidRPr="00715040">
              <w:rPr>
                <w:sz w:val="20"/>
              </w:rPr>
              <w:t xml:space="preserve"> </w:t>
            </w:r>
          </w:p>
          <w:p w14:paraId="33A61D86" w14:textId="6055A91D" w:rsidR="002B1248" w:rsidRPr="00715040" w:rsidRDefault="00D1263D">
            <w:pPr>
              <w:pStyle w:val="TableHeading"/>
              <w:keepLines/>
              <w:spacing w:before="120" w:after="120"/>
              <w:contextualSpacing/>
              <w:rPr>
                <w:sz w:val="20"/>
              </w:rPr>
            </w:pPr>
            <w:r w:rsidRPr="006A52D2">
              <w:rPr>
                <w:sz w:val="20"/>
                <w:szCs w:val="22"/>
              </w:rPr>
              <w:t>Designating</w:t>
            </w:r>
            <w:r w:rsidRPr="00062A5C">
              <w:rPr>
                <w:sz w:val="20"/>
                <w:szCs w:val="22"/>
              </w:rPr>
              <w:t xml:space="preserve"> a senior leader or leadership group to drive jurisdiction</w:t>
            </w:r>
            <w:r w:rsidRPr="00062A5C">
              <w:rPr>
                <w:sz w:val="20"/>
                <w:szCs w:val="22"/>
              </w:rPr>
              <w:noBreakHyphen/>
              <w:t>wide change</w:t>
            </w:r>
          </w:p>
        </w:tc>
      </w:tr>
      <w:tr w:rsidR="002B1248" w14:paraId="412CEDC5" w14:textId="77777777" w:rsidTr="006675EC">
        <w:tc>
          <w:tcPr>
            <w:tcW w:w="9583" w:type="dxa"/>
            <w:gridSpan w:val="2"/>
            <w:shd w:val="clear" w:color="auto" w:fill="FBF3EC"/>
            <w:tcMar>
              <w:top w:w="0" w:type="dxa"/>
            </w:tcMar>
          </w:tcPr>
          <w:p w14:paraId="38CAF052" w14:textId="77777777" w:rsidR="006675EC" w:rsidRDefault="006675EC" w:rsidP="006675EC">
            <w:pPr>
              <w:pStyle w:val="BodyText"/>
              <w:keepNext/>
              <w:keepLines/>
            </w:pPr>
            <w:r>
              <w:t>In each jurisdiction, a</w:t>
            </w:r>
            <w:r w:rsidRPr="00771956">
              <w:t xml:space="preserve"> senior leader </w:t>
            </w:r>
            <w:r>
              <w:t>(such as the Secretary of the Prime Minister’s, Premier’s or Chief Minister’s department, or the Public Sector Commissioner) or a leadership group</w:t>
            </w:r>
            <w:r w:rsidRPr="00F566D7">
              <w:t xml:space="preserve"> </w:t>
            </w:r>
            <w:r w:rsidRPr="00771956">
              <w:t xml:space="preserve">with a wide span of influence </w:t>
            </w:r>
            <w:r>
              <w:t>(such as the Secretaries Board or another senior leadership group)</w:t>
            </w:r>
            <w:r w:rsidRPr="00771956">
              <w:t xml:space="preserve"> should be tasked with </w:t>
            </w:r>
            <w:r>
              <w:t xml:space="preserve">promoting </w:t>
            </w:r>
            <w:r w:rsidRPr="00771956">
              <w:t>and embedding changes to public sector systems and culture</w:t>
            </w:r>
            <w:r>
              <w:t>. The objective of this task would be to</w:t>
            </w:r>
            <w:r w:rsidRPr="008F0405">
              <w:t xml:space="preserve"> </w:t>
            </w:r>
            <w:r>
              <w:t xml:space="preserve">identify and eliminate institutional racism, and to </w:t>
            </w:r>
            <w:r w:rsidRPr="008F0405">
              <w:t>improv</w:t>
            </w:r>
            <w:r>
              <w:t>e</w:t>
            </w:r>
            <w:r w:rsidRPr="008F0405">
              <w:t xml:space="preserve"> </w:t>
            </w:r>
            <w:r>
              <w:t xml:space="preserve">cultural capability and </w:t>
            </w:r>
            <w:r w:rsidRPr="008F0405">
              <w:t>relationship</w:t>
            </w:r>
            <w:r>
              <w:t>s</w:t>
            </w:r>
            <w:r w:rsidRPr="008F0405">
              <w:t xml:space="preserve"> with Aboriginal and Torres Strait Islander people</w:t>
            </w:r>
            <w:r>
              <w:t xml:space="preserve">, throughout the public sector. </w:t>
            </w:r>
          </w:p>
          <w:p w14:paraId="5C724145" w14:textId="77777777" w:rsidR="006675EC" w:rsidRDefault="006675EC" w:rsidP="006675EC">
            <w:pPr>
              <w:pStyle w:val="BodyText"/>
              <w:keepLines/>
            </w:pPr>
            <w:r>
              <w:t>At a minimum, this should include supporting the change with:</w:t>
            </w:r>
          </w:p>
          <w:p w14:paraId="263ED8D9" w14:textId="77777777" w:rsidR="006675EC" w:rsidRDefault="006675EC" w:rsidP="006675EC">
            <w:pPr>
              <w:pStyle w:val="ListBullet"/>
            </w:pPr>
            <w:r>
              <w:t>continuous, consistent communication</w:t>
            </w:r>
          </w:p>
          <w:p w14:paraId="5411BC12" w14:textId="77777777" w:rsidR="006675EC" w:rsidRDefault="006675EC" w:rsidP="006675EC">
            <w:pPr>
              <w:pStyle w:val="ListBullet"/>
            </w:pPr>
            <w:r>
              <w:t>role modelling and reinforcement</w:t>
            </w:r>
          </w:p>
          <w:p w14:paraId="4768E411" w14:textId="77777777" w:rsidR="006675EC" w:rsidRDefault="006675EC" w:rsidP="006675EC">
            <w:pPr>
              <w:pStyle w:val="ListBullet"/>
            </w:pPr>
            <w:r>
              <w:t>encouragement and support for desired behaviours</w:t>
            </w:r>
          </w:p>
          <w:p w14:paraId="7297B5F8" w14:textId="1E023EBD" w:rsidR="002B1248" w:rsidRPr="00767EAE" w:rsidRDefault="006675EC" w:rsidP="006675EC">
            <w:pPr>
              <w:pStyle w:val="ListBullet"/>
              <w:keepLines/>
            </w:pPr>
            <w:r>
              <w:t>relevant tools and skills</w:t>
            </w:r>
            <w:r>
              <w:noBreakHyphen/>
              <w:t>building.</w:t>
            </w:r>
          </w:p>
        </w:tc>
      </w:tr>
      <w:tr w:rsidR="002B1248" w14:paraId="6C980DEF" w14:textId="77777777">
        <w:tc>
          <w:tcPr>
            <w:tcW w:w="9583" w:type="dxa"/>
            <w:gridSpan w:val="2"/>
            <w:shd w:val="clear" w:color="auto" w:fill="auto"/>
            <w:tcMar>
              <w:top w:w="0" w:type="dxa"/>
              <w:bottom w:w="0" w:type="dxa"/>
            </w:tcMar>
          </w:tcPr>
          <w:p w14:paraId="73AA7003" w14:textId="0273FCF3" w:rsidR="002B1248" w:rsidRPr="007E0EA8" w:rsidRDefault="002B1248">
            <w:pPr>
              <w:pStyle w:val="NoSpacing"/>
              <w:spacing w:line="200" w:lineRule="exact"/>
            </w:pPr>
          </w:p>
        </w:tc>
      </w:tr>
    </w:tbl>
    <w:p w14:paraId="0E3BF3D0" w14:textId="589D0096" w:rsidR="006675EC" w:rsidRDefault="006675EC">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82"/>
        <w:gridCol w:w="8856"/>
      </w:tblGrid>
      <w:tr w:rsidR="006675EC" w14:paraId="5E0BD286" w14:textId="77777777" w:rsidTr="006675EC">
        <w:trPr>
          <w:trHeight w:val="765"/>
          <w:tblHeader/>
        </w:trPr>
        <w:tc>
          <w:tcPr>
            <w:tcW w:w="366" w:type="pct"/>
            <w:shd w:val="clear" w:color="auto" w:fill="FBF3EC"/>
            <w:tcMar>
              <w:bottom w:w="0" w:type="dxa"/>
            </w:tcMar>
            <w:vAlign w:val="center"/>
          </w:tcPr>
          <w:p w14:paraId="2D052BA9" w14:textId="6BB74C28" w:rsidR="006675EC" w:rsidRDefault="006675EC">
            <w:pPr>
              <w:pStyle w:val="NoSpacing"/>
              <w:keepNext/>
              <w:keepLines/>
              <w:jc w:val="right"/>
            </w:pPr>
            <w:r w:rsidRPr="00A51374">
              <w:rPr>
                <w:noProof/>
              </w:rPr>
              <w:drawing>
                <wp:inline distT="0" distB="0" distL="0" distR="0" wp14:anchorId="71F1812E" wp14:editId="58F5BC38">
                  <wp:extent cx="359508" cy="359508"/>
                  <wp:effectExtent l="0" t="0" r="0" b="0"/>
                  <wp:docPr id="1230450628" name="Picture 12304506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90844" name="Graphic 208990844">
                            <a:extLst>
                              <a:ext uri="{C183D7F6-B498-43B3-948B-1728B52AA6E4}">
                                <adec:decorative xmlns:adec="http://schemas.microsoft.com/office/drawing/2017/decorative" val="1"/>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68140" cy="368140"/>
                          </a:xfrm>
                          <a:prstGeom prst="rect">
                            <a:avLst/>
                          </a:prstGeom>
                        </pic:spPr>
                      </pic:pic>
                    </a:graphicData>
                  </a:graphic>
                </wp:inline>
              </w:drawing>
            </w:r>
          </w:p>
        </w:tc>
        <w:tc>
          <w:tcPr>
            <w:tcW w:w="4634" w:type="pct"/>
            <w:shd w:val="clear" w:color="auto" w:fill="FBF3EC"/>
            <w:tcMar>
              <w:bottom w:w="0" w:type="dxa"/>
            </w:tcMar>
            <w:vAlign w:val="center"/>
          </w:tcPr>
          <w:p w14:paraId="4A336851" w14:textId="60769600" w:rsidR="006675EC" w:rsidRPr="006675EC" w:rsidRDefault="006675EC">
            <w:pPr>
              <w:pStyle w:val="TableHeading"/>
              <w:keepNext/>
              <w:keepLines/>
              <w:spacing w:before="120" w:after="120"/>
              <w:contextualSpacing/>
              <w:rPr>
                <w:color w:val="0D8380" w:themeColor="background2"/>
                <w:sz w:val="20"/>
              </w:rPr>
            </w:pPr>
            <w:r w:rsidRPr="006675EC">
              <w:rPr>
                <w:color w:val="0D8380" w:themeColor="background2"/>
                <w:sz w:val="20"/>
              </w:rPr>
              <w:t xml:space="preserve">Information request </w:t>
            </w:r>
            <w:r w:rsidRPr="006675EC">
              <w:rPr>
                <w:noProof/>
                <w:color w:val="0D8380" w:themeColor="background2"/>
                <w:sz w:val="20"/>
              </w:rPr>
              <w:t>1</w:t>
            </w:r>
            <w:r w:rsidRPr="006675EC">
              <w:rPr>
                <w:color w:val="0D8380" w:themeColor="background2"/>
                <w:sz w:val="20"/>
              </w:rPr>
              <w:t>0</w:t>
            </w:r>
          </w:p>
          <w:p w14:paraId="3A68B59B" w14:textId="7C891D7D" w:rsidR="006675EC" w:rsidRPr="002530FF" w:rsidRDefault="006675EC">
            <w:pPr>
              <w:pStyle w:val="TableHeading"/>
              <w:keepNext/>
              <w:keepLines/>
              <w:spacing w:before="120" w:after="120"/>
              <w:contextualSpacing/>
              <w:rPr>
                <w:sz w:val="20"/>
              </w:rPr>
            </w:pPr>
            <w:r w:rsidRPr="006675EC">
              <w:rPr>
                <w:color w:val="0D8380" w:themeColor="background2"/>
                <w:sz w:val="20"/>
                <w:szCs w:val="22"/>
              </w:rPr>
              <w:t>Senior leader or leadership group to drive change in the public sector</w:t>
            </w:r>
          </w:p>
        </w:tc>
      </w:tr>
      <w:tr w:rsidR="006675EC" w14:paraId="1B357B8A" w14:textId="77777777" w:rsidTr="006675EC">
        <w:tc>
          <w:tcPr>
            <w:tcW w:w="5000" w:type="pct"/>
            <w:gridSpan w:val="2"/>
            <w:shd w:val="clear" w:color="auto" w:fill="FBF3EC"/>
          </w:tcPr>
          <w:p w14:paraId="09C7302B" w14:textId="77777777" w:rsidR="006675EC" w:rsidRPr="006675EC" w:rsidRDefault="006675EC" w:rsidP="006675EC">
            <w:pPr>
              <w:pStyle w:val="BodyText"/>
              <w:keepNext/>
              <w:keepLines/>
              <w:rPr>
                <w:color w:val="000000" w:themeColor="text1"/>
              </w:rPr>
            </w:pPr>
            <w:r w:rsidRPr="006675EC">
              <w:rPr>
                <w:color w:val="000000" w:themeColor="text1"/>
              </w:rPr>
              <w:t>Which senior leader or leadership group should be tasked with promoting and embedding changes to public sector systems and culture, in order to improve cultural capability and relationships with Aboriginal and Torres Strait Islander people and to eliminate institutional racism throughout the public sector?</w:t>
            </w:r>
          </w:p>
          <w:p w14:paraId="398FA6EE" w14:textId="77777777" w:rsidR="006675EC" w:rsidRPr="006675EC" w:rsidRDefault="006675EC" w:rsidP="006675EC">
            <w:pPr>
              <w:pStyle w:val="ListBullet"/>
              <w:numPr>
                <w:ilvl w:val="0"/>
                <w:numId w:val="21"/>
              </w:numPr>
              <w:rPr>
                <w:color w:val="000000" w:themeColor="text1"/>
              </w:rPr>
            </w:pPr>
            <w:r w:rsidRPr="006675EC">
              <w:rPr>
                <w:color w:val="000000" w:themeColor="text1"/>
              </w:rPr>
              <w:t>What tasks should they be assigned (see draft recommendation 2)?</w:t>
            </w:r>
          </w:p>
          <w:p w14:paraId="5703D2F9" w14:textId="77777777" w:rsidR="006675EC" w:rsidRPr="006675EC" w:rsidRDefault="006675EC" w:rsidP="006675EC">
            <w:pPr>
              <w:pStyle w:val="ListBullet"/>
              <w:numPr>
                <w:ilvl w:val="0"/>
                <w:numId w:val="21"/>
              </w:numPr>
              <w:rPr>
                <w:color w:val="000000" w:themeColor="text1"/>
              </w:rPr>
            </w:pPr>
            <w:r w:rsidRPr="006675EC">
              <w:rPr>
                <w:color w:val="000000" w:themeColor="text1"/>
              </w:rPr>
              <w:t xml:space="preserve">What would be the advantages and disadvantages of your preferred leader or leadership group? </w:t>
            </w:r>
          </w:p>
          <w:p w14:paraId="48C1847B" w14:textId="77777777" w:rsidR="006675EC" w:rsidRPr="006675EC" w:rsidRDefault="006675EC" w:rsidP="006675EC">
            <w:pPr>
              <w:pStyle w:val="ListBullet"/>
              <w:numPr>
                <w:ilvl w:val="0"/>
                <w:numId w:val="21"/>
              </w:numPr>
              <w:rPr>
                <w:color w:val="000000" w:themeColor="text1"/>
              </w:rPr>
            </w:pPr>
            <w:r w:rsidRPr="006675EC">
              <w:rPr>
                <w:color w:val="000000" w:themeColor="text1"/>
              </w:rPr>
              <w:t>What particular skills or attributes would they need in order to improve cultural capability and relationships with Aboriginal and Torres Strait Islander people throughout the public sector?</w:t>
            </w:r>
          </w:p>
          <w:p w14:paraId="43043D59" w14:textId="77777777" w:rsidR="006675EC" w:rsidRPr="006675EC" w:rsidRDefault="006675EC" w:rsidP="006675EC">
            <w:pPr>
              <w:pStyle w:val="ListBullet"/>
              <w:numPr>
                <w:ilvl w:val="0"/>
                <w:numId w:val="21"/>
              </w:numPr>
              <w:rPr>
                <w:color w:val="000000" w:themeColor="text1"/>
              </w:rPr>
            </w:pPr>
            <w:r w:rsidRPr="006675EC">
              <w:rPr>
                <w:color w:val="000000" w:themeColor="text1"/>
              </w:rPr>
              <w:t xml:space="preserve">How would the role, powers and functions of this leader or leadership group need to change in order for them to succeed in this specific role? </w:t>
            </w:r>
          </w:p>
          <w:p w14:paraId="06984902" w14:textId="14B250EF" w:rsidR="006675EC" w:rsidRDefault="006675EC" w:rsidP="006675EC">
            <w:pPr>
              <w:pStyle w:val="BodyText"/>
              <w:keepNext/>
              <w:keepLines/>
            </w:pPr>
            <w:r w:rsidRPr="006675EC">
              <w:rPr>
                <w:color w:val="000000" w:themeColor="text1"/>
              </w:rPr>
              <w:t>How could this leader or leadership group drive accountability right through the public sector, including operationally on the ground?</w:t>
            </w:r>
          </w:p>
        </w:tc>
      </w:tr>
      <w:tr w:rsidR="006675EC" w14:paraId="0A822ACF" w14:textId="77777777">
        <w:tc>
          <w:tcPr>
            <w:tcW w:w="5000" w:type="pct"/>
            <w:gridSpan w:val="2"/>
            <w:tcMar>
              <w:bottom w:w="0" w:type="dxa"/>
            </w:tcMar>
          </w:tcPr>
          <w:p w14:paraId="6DD11E3E" w14:textId="1A2C718E" w:rsidR="006675EC" w:rsidRDefault="006675EC">
            <w:pPr>
              <w:pStyle w:val="NoSpacing"/>
              <w:spacing w:line="200" w:lineRule="atLeast"/>
            </w:pPr>
          </w:p>
        </w:tc>
      </w:tr>
    </w:tbl>
    <w:p w14:paraId="39E2DAAA" w14:textId="554B826E" w:rsidR="00FC0419" w:rsidRDefault="00CD0083" w:rsidP="00BD6E4F">
      <w:pPr>
        <w:pStyle w:val="BodyText"/>
      </w:pPr>
      <w:r>
        <w:t xml:space="preserve">Regardless of the </w:t>
      </w:r>
      <w:r w:rsidRPr="00E24FD0">
        <w:rPr>
          <w:szCs w:val="22"/>
        </w:rPr>
        <w:t>leader or leadership group</w:t>
      </w:r>
      <w:r>
        <w:rPr>
          <w:szCs w:val="22"/>
        </w:rPr>
        <w:t xml:space="preserve"> chosen</w:t>
      </w:r>
      <w:r w:rsidR="00BD6E4F">
        <w:t xml:space="preserve">, changes to legislation, administrative orders or other legal instruments </w:t>
      </w:r>
      <w:r w:rsidR="006A61C7">
        <w:t>are</w:t>
      </w:r>
      <w:r w:rsidR="00BD6E4F">
        <w:t xml:space="preserve"> likely to be required in order to properly confer the new functions </w:t>
      </w:r>
      <w:r>
        <w:t>on them</w:t>
      </w:r>
      <w:r w:rsidR="00BD6E4F">
        <w:t>.</w:t>
      </w:r>
      <w:r w:rsidR="00AB360A">
        <w:t xml:space="preserve"> The exact nature of the required changes will vary between jurisdictions. </w:t>
      </w:r>
    </w:p>
    <w:p w14:paraId="50307DE3" w14:textId="77777777" w:rsidR="009C4229" w:rsidRPr="00891FB7" w:rsidRDefault="009C4229" w:rsidP="00FC1402">
      <w:pPr>
        <w:pStyle w:val="Heading3"/>
      </w:pPr>
      <w:r w:rsidRPr="00891FB7">
        <w:t>Clear responsibilities for public sector CEOs, executives and employees</w:t>
      </w:r>
    </w:p>
    <w:p w14:paraId="6F5A3D09" w14:textId="77777777" w:rsidR="009C4229" w:rsidRDefault="009C4229" w:rsidP="009C4229">
      <w:pPr>
        <w:pStyle w:val="BodyText"/>
        <w:keepNext/>
      </w:pPr>
      <w:r>
        <w:t>In each jurisdiction across Australia, public sector CEOs, executives and employees must have certain capabilities and meet certain standards of competence, ethics and behaviour.</w:t>
      </w:r>
    </w:p>
    <w:p w14:paraId="73E47EB9" w14:textId="295D2120" w:rsidR="009C4229" w:rsidRDefault="009C4229" w:rsidP="003601D3">
      <w:pPr>
        <w:pStyle w:val="ListBullet"/>
        <w:numPr>
          <w:ilvl w:val="0"/>
          <w:numId w:val="21"/>
        </w:numPr>
      </w:pPr>
      <w:r>
        <w:t xml:space="preserve">In some jurisdictions, the standards of performance and behaviour are prescribed in legislation. For instance, the </w:t>
      </w:r>
      <w:r>
        <w:rPr>
          <w:i/>
          <w:iCs/>
        </w:rPr>
        <w:t xml:space="preserve">Public Service Act 1999 </w:t>
      </w:r>
      <w:r w:rsidRPr="00312913">
        <w:t>(Cth)</w:t>
      </w:r>
      <w:r>
        <w:rPr>
          <w:i/>
          <w:iCs/>
        </w:rPr>
        <w:t xml:space="preserve"> </w:t>
      </w:r>
      <w:r>
        <w:t>sets out the APS Values, APS</w:t>
      </w:r>
      <w:r w:rsidR="005221C7">
        <w:t> </w:t>
      </w:r>
      <w:r>
        <w:t xml:space="preserve">Code of Conduct, APS Employment Principles and the roles and responsibilities of Departmental Secretaries.  </w:t>
      </w:r>
    </w:p>
    <w:p w14:paraId="1FDE742C" w14:textId="77777777" w:rsidR="009C4229" w:rsidRDefault="009C4229" w:rsidP="003601D3">
      <w:pPr>
        <w:pStyle w:val="ListBullet"/>
        <w:numPr>
          <w:ilvl w:val="0"/>
          <w:numId w:val="21"/>
        </w:numPr>
      </w:pPr>
      <w:r>
        <w:lastRenderedPageBreak/>
        <w:t xml:space="preserve">In other jurisdictions, the power to set standards is delegated to officials. For example, in Western Australia, the </w:t>
      </w:r>
      <w:r w:rsidRPr="00105299">
        <w:rPr>
          <w:i/>
          <w:iCs/>
        </w:rPr>
        <w:t>Public Sector Management Act 1994</w:t>
      </w:r>
      <w:r>
        <w:t xml:space="preserve"> (WA) gives the WA Public Service Commissioner power to set public sector standards, codes of ethics and codes of conduct. </w:t>
      </w:r>
    </w:p>
    <w:p w14:paraId="341B844B" w14:textId="77777777" w:rsidR="009C4229" w:rsidRDefault="009C4229" w:rsidP="009C4229">
      <w:pPr>
        <w:pStyle w:val="BodyText"/>
      </w:pPr>
      <w:r>
        <w:t>But regardless of their exact legislative basis, the existence of standards of performance and behaviour provide a potential mechanism for changing the incentives and motivations of public sector CEOs, executives and employees</w:t>
      </w:r>
      <w:r w:rsidRPr="00F84FA0">
        <w:t xml:space="preserve">. </w:t>
      </w:r>
    </w:p>
    <w:p w14:paraId="1EAEEF97" w14:textId="77777777" w:rsidR="009C4229" w:rsidRPr="00173A02" w:rsidRDefault="009C4229" w:rsidP="009C4229">
      <w:pPr>
        <w:pStyle w:val="BodyText"/>
      </w:pPr>
      <w:r>
        <w:t xml:space="preserve">New Zealand has already made such a change. The </w:t>
      </w:r>
      <w:r w:rsidRPr="00F04BB4">
        <w:rPr>
          <w:i/>
        </w:rPr>
        <w:t xml:space="preserve">Public Service Act 2020 </w:t>
      </w:r>
      <w:r>
        <w:rPr>
          <w:iCs/>
        </w:rPr>
        <w:t xml:space="preserve">(NZ) </w:t>
      </w:r>
      <w:r w:rsidRPr="00F84FA0">
        <w:t>explicitly recognises the role of the public service to support the Crown in its relationships with Māori under the Treaty of Waitangi</w:t>
      </w:r>
      <w:r>
        <w:t xml:space="preserve">, and makes chief executives of public sector agencies accountable to their Minister for upholding their </w:t>
      </w:r>
      <w:r w:rsidRPr="00173A02">
        <w:t xml:space="preserve">responsibilities to support the Crown’s relationships with Māori. </w:t>
      </w:r>
    </w:p>
    <w:p w14:paraId="244AE453" w14:textId="77777777" w:rsidR="00DD1A16" w:rsidRPr="0058360B" w:rsidRDefault="009C4229" w:rsidP="00E260ED">
      <w:pPr>
        <w:pStyle w:val="BodyText"/>
        <w:rPr>
          <w:spacing w:val="-4"/>
        </w:rPr>
      </w:pPr>
      <w:r w:rsidRPr="0058360B">
        <w:rPr>
          <w:spacing w:val="-4"/>
        </w:rPr>
        <w:t>Similar changes have recently been introduced in Queensland, drawing on the New Zealand experience (box</w:t>
      </w:r>
      <w:r w:rsidR="00FD58AA" w:rsidRPr="0058360B">
        <w:rPr>
          <w:spacing w:val="-4"/>
        </w:rPr>
        <w:t> </w:t>
      </w:r>
      <w:r w:rsidR="00A86277" w:rsidRPr="0058360B">
        <w:rPr>
          <w:spacing w:val="-4"/>
        </w:rPr>
        <w:t>1</w:t>
      </w:r>
      <w:r w:rsidR="005E45DC" w:rsidRPr="0058360B">
        <w:rPr>
          <w:spacing w:val="-4"/>
        </w:rPr>
        <w:t>0</w:t>
      </w:r>
      <w:r w:rsidRPr="0058360B">
        <w:rPr>
          <w:spacing w:val="-4"/>
        </w:rPr>
        <w:t>).</w:t>
      </w:r>
      <w:bookmarkStart w:id="12" w:name="_Hlk137126753"/>
    </w:p>
    <w:p w14:paraId="1D8ABD7C" w14:textId="3095D5F9" w:rsidR="00DD1A16" w:rsidRPr="00F82BD9" w:rsidRDefault="00DD1A16">
      <w:pPr>
        <w:pStyle w:val="NoSpacing"/>
      </w:pPr>
    </w:p>
    <w:tbl>
      <w:tblPr>
        <w:tblStyle w:val="Boxtable"/>
        <w:tblW w:w="5000" w:type="pct"/>
        <w:tblLook w:val="04A0" w:firstRow="1" w:lastRow="0" w:firstColumn="1" w:lastColumn="0" w:noHBand="0" w:noVBand="1"/>
      </w:tblPr>
      <w:tblGrid>
        <w:gridCol w:w="906"/>
        <w:gridCol w:w="8732"/>
      </w:tblGrid>
      <w:tr w:rsidR="00DD1A16" w14:paraId="3BF61B3E" w14:textId="77777777" w:rsidTr="00883E8F">
        <w:trPr>
          <w:tblHeader/>
        </w:trPr>
        <w:tc>
          <w:tcPr>
            <w:tcW w:w="906" w:type="dxa"/>
            <w:shd w:val="clear" w:color="auto" w:fill="FBF3EC"/>
            <w:tcMar>
              <w:top w:w="170" w:type="dxa"/>
              <w:left w:w="170" w:type="dxa"/>
              <w:bottom w:w="113" w:type="dxa"/>
              <w:right w:w="170" w:type="dxa"/>
            </w:tcMar>
            <w:hideMark/>
          </w:tcPr>
          <w:p w14:paraId="2FAC4164" w14:textId="0D0A9BA3" w:rsidR="00DD1A16" w:rsidRDefault="00DD1A16" w:rsidP="00DD1A16">
            <w:pPr>
              <w:pStyle w:val="BoxHeading1"/>
              <w:spacing w:before="0"/>
            </w:pPr>
            <w:r w:rsidRPr="00A031AA">
              <w:rPr>
                <w:b/>
                <w:bCs/>
                <w:noProof/>
              </w:rPr>
              <w:drawing>
                <wp:inline distT="0" distB="0" distL="0" distR="0" wp14:anchorId="6B01674C" wp14:editId="5A6FF356">
                  <wp:extent cx="360000" cy="424800"/>
                  <wp:effectExtent l="0" t="0" r="0" b="0"/>
                  <wp:docPr id="1113691307" name="Picture 1113691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691307" name="Picture 1113691307">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32" w:type="dxa"/>
            <w:shd w:val="clear" w:color="auto" w:fill="FBF3EC"/>
          </w:tcPr>
          <w:p w14:paraId="6E93ECF3" w14:textId="7B9C7055" w:rsidR="00DD1A16" w:rsidRDefault="00DD1A16">
            <w:pPr>
              <w:pStyle w:val="BoxHeading1"/>
            </w:pPr>
            <w:r>
              <w:t xml:space="preserve">Box </w:t>
            </w:r>
            <w:r w:rsidR="00C23E7C">
              <w:t>10</w:t>
            </w:r>
            <w:r>
              <w:t xml:space="preserve"> – </w:t>
            </w:r>
            <w:r w:rsidRPr="00DD1A16">
              <w:t>Reframing the Queensland public sector’s relationship with Aboriginal and Torres Strait Islander peoples</w:t>
            </w:r>
          </w:p>
        </w:tc>
      </w:tr>
      <w:tr w:rsidR="00DD1A16" w14:paraId="1EB4C708" w14:textId="77777777" w:rsidTr="00883E8F">
        <w:tc>
          <w:tcPr>
            <w:tcW w:w="9638" w:type="dxa"/>
            <w:gridSpan w:val="2"/>
            <w:shd w:val="clear" w:color="auto" w:fill="FBF3EC"/>
            <w:tcMar>
              <w:top w:w="28" w:type="dxa"/>
              <w:left w:w="170" w:type="dxa"/>
              <w:bottom w:w="170" w:type="dxa"/>
              <w:right w:w="170" w:type="dxa"/>
            </w:tcMar>
            <w:hideMark/>
          </w:tcPr>
          <w:p w14:paraId="3A19E4DC" w14:textId="77777777" w:rsidR="00C23E7C" w:rsidRDefault="00C23E7C" w:rsidP="00C23E7C">
            <w:pPr>
              <w:pStyle w:val="BodyText"/>
            </w:pPr>
            <w:r w:rsidRPr="008E4E03">
              <w:t xml:space="preserve">Queensland’s </w:t>
            </w:r>
            <w:r w:rsidRPr="0045673F">
              <w:rPr>
                <w:i/>
                <w:iCs/>
              </w:rPr>
              <w:t>Public Sector Act 2022</w:t>
            </w:r>
            <w:r w:rsidRPr="008E4E03">
              <w:t xml:space="preserve"> </w:t>
            </w:r>
            <w:r>
              <w:t>(the Queensland PS Act) commenced in March 2023. It aims to ensure that the Queensland public sector is responsive to the community it serves and:</w:t>
            </w:r>
          </w:p>
          <w:p w14:paraId="0E6D9667" w14:textId="77777777" w:rsidR="00C23E7C" w:rsidRDefault="00C23E7C" w:rsidP="00C23E7C">
            <w:pPr>
              <w:pStyle w:val="ListBullet"/>
              <w:numPr>
                <w:ilvl w:val="0"/>
                <w:numId w:val="21"/>
              </w:numPr>
            </w:pPr>
            <w:r>
              <w:t>supports the state government in reframing its relationship with Aboriginal peoples and Torres Strait Islander peoples</w:t>
            </w:r>
          </w:p>
          <w:p w14:paraId="1D2FB607" w14:textId="77777777" w:rsidR="00C23E7C" w:rsidRDefault="00C23E7C" w:rsidP="00C23E7C">
            <w:pPr>
              <w:pStyle w:val="ListBullet"/>
              <w:numPr>
                <w:ilvl w:val="0"/>
                <w:numId w:val="21"/>
              </w:numPr>
            </w:pPr>
            <w:r>
              <w:t>ensures fairness in the employment relationship and fair treatment of its employees</w:t>
            </w:r>
          </w:p>
          <w:p w14:paraId="4A66DE65" w14:textId="77777777" w:rsidR="00C23E7C" w:rsidRDefault="00C23E7C" w:rsidP="00C23E7C">
            <w:pPr>
              <w:pStyle w:val="ListBullet"/>
              <w:numPr>
                <w:ilvl w:val="0"/>
                <w:numId w:val="21"/>
              </w:numPr>
            </w:pPr>
            <w:r>
              <w:t>is high</w:t>
            </w:r>
            <w:r>
              <w:noBreakHyphen/>
              <w:t xml:space="preserve">performing and apolitical. </w:t>
            </w:r>
          </w:p>
          <w:p w14:paraId="676E96D7" w14:textId="77777777" w:rsidR="00C23E7C" w:rsidRPr="00810A79" w:rsidRDefault="00C23E7C" w:rsidP="00C23E7C">
            <w:pPr>
              <w:pStyle w:val="BodyText"/>
              <w:keepNext/>
            </w:pPr>
            <w:r>
              <w:t>The Queensland PS Act draws on the example of N</w:t>
            </w:r>
            <w:r w:rsidRPr="00AF333F">
              <w:t>ew Zealand</w:t>
            </w:r>
            <w:r>
              <w:t>’s</w:t>
            </w:r>
            <w:r w:rsidRPr="00EB756B">
              <w:rPr>
                <w:i/>
                <w:iCs/>
              </w:rPr>
              <w:t xml:space="preserve"> Public Service Act 20</w:t>
            </w:r>
            <w:r>
              <w:rPr>
                <w:i/>
                <w:iCs/>
              </w:rPr>
              <w:t>2</w:t>
            </w:r>
            <w:r w:rsidRPr="00EB756B">
              <w:rPr>
                <w:i/>
                <w:iCs/>
              </w:rPr>
              <w:t>0</w:t>
            </w:r>
            <w:r>
              <w:t>, which:</w:t>
            </w:r>
          </w:p>
          <w:p w14:paraId="189DA141" w14:textId="369445EA" w:rsidR="00C23E7C" w:rsidRPr="0058360B" w:rsidRDefault="00C23E7C" w:rsidP="00C23E7C">
            <w:pPr>
              <w:pStyle w:val="Quote"/>
              <w:rPr>
                <w:spacing w:val="-2"/>
              </w:rPr>
            </w:pPr>
            <w:r w:rsidRPr="0058360B">
              <w:rPr>
                <w:spacing w:val="-2"/>
              </w:rPr>
              <w:t xml:space="preserve">… explicitly recognises the role of the New Zealand public service to support the Crown in its relationships with Māori under Te Tiriti o Waitangi/the Treaty of Waitangi, and places responsibilities on public service leaders to develop and maintain cultural capability and understanding of Māori perspectives. Similarly, [the </w:t>
            </w:r>
            <w:r w:rsidRPr="0058360B">
              <w:rPr>
                <w:i/>
                <w:iCs/>
                <w:spacing w:val="-2"/>
              </w:rPr>
              <w:t>Public Sector Act 2022</w:t>
            </w:r>
            <w:r w:rsidRPr="0058360B">
              <w:rPr>
                <w:spacing w:val="-2"/>
              </w:rPr>
              <w:t xml:space="preserve"> (Qld)] places responsibilities on chief executives to support a reframed relationship between Aboriginal peoples and Torres Strait Islander peoples and the State. </w:t>
            </w:r>
            <w:r w:rsidRPr="0058360B">
              <w:rPr>
                <w:rFonts w:cs="Arial"/>
                <w:spacing w:val="-2"/>
                <w:szCs w:val="24"/>
              </w:rPr>
              <w:t>(Queensland Government 2022, p. 9)</w:t>
            </w:r>
          </w:p>
          <w:p w14:paraId="72400AB5" w14:textId="77777777" w:rsidR="00C23E7C" w:rsidRDefault="00C23E7C" w:rsidP="00C23E7C">
            <w:pPr>
              <w:pStyle w:val="BodyText"/>
              <w:keepNext/>
            </w:pPr>
            <w:r>
              <w:t>The Queensland PS Act designates all public sector entities (including government departments, hospital and health services, Queensland Police, and most statutory offices, boards, committees, councils, bodies and other groups established under legislation) as ‘reframing entities’. Reframing entities must:</w:t>
            </w:r>
          </w:p>
          <w:p w14:paraId="1DE7C8A1" w14:textId="77777777" w:rsidR="00C23E7C" w:rsidRDefault="00C23E7C" w:rsidP="006C554A">
            <w:pPr>
              <w:pStyle w:val="BodyText"/>
              <w:numPr>
                <w:ilvl w:val="0"/>
                <w:numId w:val="18"/>
              </w:numPr>
              <w:ind w:left="360"/>
            </w:pPr>
            <w:r>
              <w:t>recognise and honour Aboriginal peoples and Torres Strait Islander peoples as the first peoples of Queensland</w:t>
            </w:r>
          </w:p>
          <w:p w14:paraId="60087A2A" w14:textId="77777777" w:rsidR="00C23E7C" w:rsidRDefault="00C23E7C" w:rsidP="006C554A">
            <w:pPr>
              <w:pStyle w:val="BodyText"/>
              <w:numPr>
                <w:ilvl w:val="0"/>
                <w:numId w:val="18"/>
              </w:numPr>
              <w:ind w:left="360"/>
            </w:pPr>
            <w:r>
              <w:t>engage in truth</w:t>
            </w:r>
            <w:r>
              <w:noBreakHyphen/>
              <w:t>telling about the shared history of all Australians</w:t>
            </w:r>
          </w:p>
          <w:p w14:paraId="40438782" w14:textId="77777777" w:rsidR="00C23E7C" w:rsidRDefault="00C23E7C" w:rsidP="006C554A">
            <w:pPr>
              <w:pStyle w:val="BodyText"/>
              <w:numPr>
                <w:ilvl w:val="0"/>
                <w:numId w:val="18"/>
              </w:numPr>
              <w:ind w:left="360"/>
            </w:pPr>
            <w:r>
              <w:t>recognise the importance to Aboriginal peoples and Torres Strait Islander peoples of the right to self</w:t>
            </w:r>
            <w:r>
              <w:noBreakHyphen/>
              <w:t>determination</w:t>
            </w:r>
          </w:p>
          <w:p w14:paraId="79B24F6E" w14:textId="77777777" w:rsidR="00C23E7C" w:rsidRDefault="00C23E7C" w:rsidP="006C554A">
            <w:pPr>
              <w:pStyle w:val="BodyText"/>
              <w:numPr>
                <w:ilvl w:val="0"/>
                <w:numId w:val="18"/>
              </w:numPr>
              <w:ind w:left="360"/>
            </w:pPr>
            <w:r>
              <w:t>promote cultural safety and cultural capability at all levels of the public sector</w:t>
            </w:r>
          </w:p>
          <w:p w14:paraId="489E1A8F" w14:textId="77777777" w:rsidR="00C23E7C" w:rsidRDefault="00C23E7C" w:rsidP="006C554A">
            <w:pPr>
              <w:pStyle w:val="BodyText"/>
              <w:numPr>
                <w:ilvl w:val="0"/>
                <w:numId w:val="18"/>
              </w:numPr>
              <w:ind w:left="360"/>
            </w:pPr>
            <w:r>
              <w:lastRenderedPageBreak/>
              <w:t>work in partnership with Aboriginal peoples and Torres Strait Islander peoples to actively promote, include and act in a way that aligns with their perspectives, in particular when making decisions directly affecting them</w:t>
            </w:r>
          </w:p>
          <w:p w14:paraId="746DB37E" w14:textId="77777777" w:rsidR="00C23E7C" w:rsidRDefault="00C23E7C" w:rsidP="006C554A">
            <w:pPr>
              <w:pStyle w:val="BodyText"/>
              <w:numPr>
                <w:ilvl w:val="0"/>
                <w:numId w:val="18"/>
              </w:numPr>
              <w:ind w:left="360"/>
            </w:pPr>
            <w:r>
              <w:t>ensure the workforce and leadership of the entities are reflective of the community they serve</w:t>
            </w:r>
          </w:p>
          <w:p w14:paraId="2F8BD6EB" w14:textId="77777777" w:rsidR="00C23E7C" w:rsidRDefault="00C23E7C" w:rsidP="006C554A">
            <w:pPr>
              <w:pStyle w:val="BodyText"/>
              <w:numPr>
                <w:ilvl w:val="0"/>
                <w:numId w:val="18"/>
              </w:numPr>
              <w:ind w:left="360"/>
            </w:pPr>
            <w:r>
              <w:t>promote a fair and inclusive public sector that supports a sense of dignity and belonging for Aboriginal peoples and Torres Strait Islander peoples</w:t>
            </w:r>
          </w:p>
          <w:p w14:paraId="22C0CFD0" w14:textId="77777777" w:rsidR="00C23E7C" w:rsidRDefault="00C23E7C" w:rsidP="006C554A">
            <w:pPr>
              <w:pStyle w:val="BodyText"/>
              <w:keepNext/>
              <w:numPr>
                <w:ilvl w:val="0"/>
                <w:numId w:val="18"/>
              </w:numPr>
              <w:ind w:left="357" w:hanging="357"/>
            </w:pPr>
            <w:r>
              <w:t>support the aims, aspirations and employment needs of Aboriginal peoples and Torres Strait Islander peoples and the need for their greater involvement in the public sector.</w:t>
            </w:r>
          </w:p>
          <w:p w14:paraId="59F11B41" w14:textId="77777777" w:rsidR="00C23E7C" w:rsidRDefault="00C23E7C" w:rsidP="00C23E7C">
            <w:pPr>
              <w:pStyle w:val="BodyText"/>
            </w:pPr>
            <w:r>
              <w:t xml:space="preserve">In effect, this gives all employees of reframing entities a duty to actively promote the perspectives of Aboriginal and Torres Strait Islander peoples. </w:t>
            </w:r>
          </w:p>
          <w:p w14:paraId="2B66B830" w14:textId="11AF6B67" w:rsidR="00DD1A16" w:rsidRDefault="00C23E7C" w:rsidP="008D6B49">
            <w:pPr>
              <w:pStyle w:val="BodyText"/>
            </w:pPr>
            <w:r>
              <w:t>Chief executives of reframing entities have additional responsibilities, including to make a plan for developing the entity’s cultural capability, publishing the plan, conducting an annual audit of the entity’s performance as measured against the plan, and reviewing the plan annually.</w:t>
            </w:r>
          </w:p>
        </w:tc>
      </w:tr>
      <w:tr w:rsidR="00DD1A16" w14:paraId="0CED79D8" w14:textId="77777777">
        <w:trPr>
          <w:hidden/>
        </w:trPr>
        <w:tc>
          <w:tcPr>
            <w:tcW w:w="9638" w:type="dxa"/>
            <w:gridSpan w:val="2"/>
            <w:shd w:val="clear" w:color="auto" w:fill="auto"/>
            <w:tcMar>
              <w:top w:w="0" w:type="dxa"/>
              <w:left w:w="170" w:type="dxa"/>
              <w:bottom w:w="0" w:type="dxa"/>
              <w:right w:w="170" w:type="dxa"/>
            </w:tcMar>
          </w:tcPr>
          <w:p w14:paraId="18443D39" w14:textId="7F3E7856" w:rsidR="00DD1A16" w:rsidRPr="00465191" w:rsidRDefault="00DD1A16">
            <w:pPr>
              <w:pStyle w:val="BodyText"/>
              <w:spacing w:before="0" w:after="0" w:line="80" w:lineRule="atLeast"/>
              <w:rPr>
                <w:smallCaps/>
                <w:vanish/>
              </w:rPr>
            </w:pPr>
          </w:p>
        </w:tc>
      </w:tr>
    </w:tbl>
    <w:bookmarkEnd w:id="12"/>
    <w:p w14:paraId="2B4EC71C" w14:textId="71802B2E" w:rsidR="009C4229" w:rsidRDefault="009C4229" w:rsidP="009C4229">
      <w:pPr>
        <w:pStyle w:val="BodyText"/>
      </w:pPr>
      <w:r w:rsidRPr="009B4788">
        <w:t xml:space="preserve">Given that </w:t>
      </w:r>
      <w:r w:rsidR="00BC04B1">
        <w:t xml:space="preserve">the </w:t>
      </w:r>
      <w:r w:rsidRPr="009B4788">
        <w:t>Queensland</w:t>
      </w:r>
      <w:r w:rsidR="00BC04B1">
        <w:t xml:space="preserve"> PS</w:t>
      </w:r>
      <w:r w:rsidRPr="009B4788">
        <w:t xml:space="preserve"> Act has only been in operation since March 2023, it is too soon to assess its effects. </w:t>
      </w:r>
      <w:r>
        <w:t>And w</w:t>
      </w:r>
      <w:r w:rsidRPr="009B4788">
        <w:t xml:space="preserve">hile New Zealand’s </w:t>
      </w:r>
      <w:r w:rsidRPr="00FA2DE8">
        <w:rPr>
          <w:i/>
          <w:iCs/>
        </w:rPr>
        <w:t>Public Service Act 2020</w:t>
      </w:r>
      <w:r w:rsidRPr="009B4788">
        <w:t xml:space="preserve"> has been operating </w:t>
      </w:r>
      <w:r>
        <w:t>since August 2020</w:t>
      </w:r>
      <w:r w:rsidRPr="009B4788">
        <w:t xml:space="preserve">, it has not yet been evaluated </w:t>
      </w:r>
      <w:r w:rsidR="00BA7BD2" w:rsidRPr="00BA7BD2">
        <w:rPr>
          <w:rFonts w:ascii="Arial" w:hAnsi="Arial" w:cs="Arial"/>
          <w:szCs w:val="24"/>
        </w:rPr>
        <w:t>(Te Kawa Mataaho 2023a)</w:t>
      </w:r>
      <w:r w:rsidRPr="009B4788">
        <w:t xml:space="preserve">. </w:t>
      </w:r>
    </w:p>
    <w:p w14:paraId="083935D3" w14:textId="16CD5C84" w:rsidR="009C4229" w:rsidRPr="009B4788" w:rsidRDefault="009C4229" w:rsidP="007051BD">
      <w:pPr>
        <w:pStyle w:val="BodyText"/>
        <w:keepNext/>
      </w:pPr>
      <w:r w:rsidRPr="009B4788">
        <w:t xml:space="preserve">Early indications </w:t>
      </w:r>
      <w:r>
        <w:t xml:space="preserve">of its effectiveness </w:t>
      </w:r>
      <w:r w:rsidRPr="009B4788">
        <w:t>can be found in the NZ State of the Public Service report, which notes that ‘a majority of public servants are committed and feel supported to build their understanding of te reo and tikanga Māori [Māori language and customs], but there are relatively low levels of proficiency’ (Te Kawa Mataaho 2022, p. 38).</w:t>
      </w:r>
      <w:r>
        <w:t xml:space="preserve"> </w:t>
      </w:r>
      <w:r w:rsidRPr="009B4788">
        <w:t>NZ public servants’ commitment to Māori language and customs bodes well for future progress</w:t>
      </w:r>
      <w:r>
        <w:t>, as</w:t>
      </w:r>
      <w:r w:rsidRPr="009B4788">
        <w:t>:</w:t>
      </w:r>
    </w:p>
    <w:p w14:paraId="15D2848F" w14:textId="0D4A86AB" w:rsidR="009C4229" w:rsidRDefault="009C4229" w:rsidP="009C4229">
      <w:pPr>
        <w:pStyle w:val="Quote"/>
      </w:pPr>
      <w:r>
        <w:t xml:space="preserve">Organizational capability and behavior are based on the attitudes, outlooks, and skills of a collection of individuals. And individuals will only sustainably change their behavior if they see the point of the change and agree with it. </w:t>
      </w:r>
      <w:r w:rsidRPr="00F1039B">
        <w:rPr>
          <w:rFonts w:ascii="Arial" w:hAnsi="Arial" w:cs="Arial"/>
          <w:szCs w:val="24"/>
        </w:rPr>
        <w:t>(Allas et al. 2018, p. 64)</w:t>
      </w:r>
    </w:p>
    <w:p w14:paraId="483413D0" w14:textId="77777777" w:rsidR="009C4229" w:rsidRDefault="009C4229" w:rsidP="009C4229">
      <w:pPr>
        <w:pStyle w:val="BodyText"/>
        <w:keepNext/>
      </w:pPr>
      <w:r>
        <w:t xml:space="preserve">The Queensland Government made clear that including requirements for cultural capability in public sector employment legislation is the start – not the end – of the journey. </w:t>
      </w:r>
    </w:p>
    <w:p w14:paraId="43579BF8" w14:textId="77777777" w:rsidR="009B261B" w:rsidRDefault="009C4229" w:rsidP="009C4229">
      <w:pPr>
        <w:pStyle w:val="Quote"/>
      </w:pPr>
      <w:r>
        <w:t>‘</w:t>
      </w:r>
      <w:r w:rsidRPr="0016313A">
        <w:t>Cultural capability</w:t>
      </w:r>
      <w:r>
        <w:t>’</w:t>
      </w:r>
      <w:r w:rsidRPr="0016313A">
        <w:t xml:space="preserve"> of an entity is defined as the integration of knowledge about the experiences and aspirations of Aboriginal peoples and Torres Strait Islander peoples into the entity’s workplace standards, policies, practices and attitudes to produce improved outcomes for Aboriginal peoples and Torres Strait Islander peoples. </w:t>
      </w:r>
    </w:p>
    <w:p w14:paraId="54F3F3D8" w14:textId="58A946AD" w:rsidR="009C4229" w:rsidRPr="0096168F" w:rsidRDefault="009C4229" w:rsidP="009B261B">
      <w:pPr>
        <w:pStyle w:val="Quote"/>
      </w:pPr>
      <w:r w:rsidRPr="0016313A">
        <w:t xml:space="preserve">Cultural capability and cultural safety are steps on a continuum towards the aspirational goals of </w:t>
      </w:r>
      <w:r>
        <w:t>‘</w:t>
      </w:r>
      <w:r w:rsidRPr="0016313A">
        <w:t>cultural competence</w:t>
      </w:r>
      <w:r>
        <w:t>’</w:t>
      </w:r>
      <w:r w:rsidRPr="0016313A">
        <w:t xml:space="preserve"> and </w:t>
      </w:r>
      <w:r>
        <w:t>‘</w:t>
      </w:r>
      <w:r w:rsidRPr="0016313A">
        <w:t>cultural security</w:t>
      </w:r>
      <w:r>
        <w:t>’</w:t>
      </w:r>
      <w:r w:rsidRPr="0016313A">
        <w:t xml:space="preserve"> respectively. Given the current status quo in Queensland’s public sector, the </w:t>
      </w:r>
      <w:r>
        <w:t>[</w:t>
      </w:r>
      <w:r w:rsidRPr="009B4788">
        <w:t>Public Sector Act</w:t>
      </w:r>
      <w:r>
        <w:t xml:space="preserve">] </w:t>
      </w:r>
      <w:r w:rsidRPr="0016313A">
        <w:t xml:space="preserve">establishes a baseline for reframing entities to achieve cultural capability and therefore cultural capability has been defined. Other terms have intentionally not been defined, however as reframing entities mature on the journey to cultural competence and cultural security, there may be further opportunities to characterise these </w:t>
      </w:r>
      <w:r w:rsidRPr="0016313A">
        <w:lastRenderedPageBreak/>
        <w:t>concepts as part of the entity’s operational workplace standards, policies, and practices.</w:t>
      </w:r>
      <w:r>
        <w:t xml:space="preserve"> </w:t>
      </w:r>
      <w:r w:rsidRPr="0050637F">
        <w:rPr>
          <w:rFonts w:ascii="Arial" w:hAnsi="Arial" w:cs="Arial"/>
          <w:szCs w:val="24"/>
        </w:rPr>
        <w:t>(Queensland Government 2022, p. 17)</w:t>
      </w:r>
    </w:p>
    <w:p w14:paraId="2DDE824E" w14:textId="77777777" w:rsidR="009C4229" w:rsidRDefault="009C4229" w:rsidP="009C4229">
      <w:pPr>
        <w:pStyle w:val="BodyText"/>
      </w:pPr>
      <w:r>
        <w:t xml:space="preserve">So while requiring all public sector CEOs, executives and employees to become culturally capable will not immediately result in </w:t>
      </w:r>
      <w:r w:rsidRPr="0016313A">
        <w:t>cultural competence and cultural security</w:t>
      </w:r>
      <w:r>
        <w:t xml:space="preserve">, it is a necessary step on that journey. </w:t>
      </w:r>
    </w:p>
    <w:p w14:paraId="4EF301CC" w14:textId="0FA3D0DD" w:rsidR="00843BC8" w:rsidRDefault="00843BC8" w:rsidP="009C4229">
      <w:pPr>
        <w:pStyle w:val="BodyText"/>
      </w:pPr>
      <w:r>
        <w:t>In jurisdictions other than Queensland, governments have not underpinned their commitment to ‘</w:t>
      </w:r>
      <w:r w:rsidRPr="0050051D">
        <w:t>listen to the voices and aspirations of Aboriginal and Torres Strait Islander people and change the way we work in response’ (clause 19</w:t>
      </w:r>
      <w:r w:rsidR="00937725">
        <w:t xml:space="preserve"> of the Agreement</w:t>
      </w:r>
      <w:r w:rsidRPr="0050051D">
        <w:t>)</w:t>
      </w:r>
      <w:r>
        <w:t xml:space="preserve"> with </w:t>
      </w:r>
      <w:r w:rsidRPr="00F84FA0">
        <w:t>change</w:t>
      </w:r>
      <w:r>
        <w:t xml:space="preserve">s to their standards for public servants’ performance and behaviour. Without an explicit instruction that puts valuing </w:t>
      </w:r>
      <w:r w:rsidRPr="009A485D">
        <w:t xml:space="preserve">the perspectives of Aboriginal and Torres Strait Islander people on a par with other core </w:t>
      </w:r>
      <w:r>
        <w:t xml:space="preserve">public services </w:t>
      </w:r>
      <w:r w:rsidRPr="009A485D">
        <w:t xml:space="preserve">values and behaviours, it is </w:t>
      </w:r>
      <w:r>
        <w:t xml:space="preserve">not </w:t>
      </w:r>
      <w:r w:rsidRPr="009A485D">
        <w:t xml:space="preserve">clear </w:t>
      </w:r>
      <w:r>
        <w:t xml:space="preserve">how the </w:t>
      </w:r>
      <w:r w:rsidRPr="009A485D">
        <w:t>public sector will change</w:t>
      </w:r>
      <w:r w:rsidRPr="0050051D">
        <w:t>.</w:t>
      </w:r>
      <w:r w:rsidRPr="008F4BE3">
        <w:t xml:space="preserve"> </w:t>
      </w:r>
    </w:p>
    <w:p w14:paraId="5F756087" w14:textId="77777777" w:rsidR="009C4229" w:rsidRDefault="009C4229" w:rsidP="00CC1988">
      <w:pPr>
        <w:pStyle w:val="BodyText"/>
        <w:keepNext/>
      </w:pPr>
      <w:r>
        <w:t>Lessons</w:t>
      </w:r>
      <w:r w:rsidRPr="008F4BE3">
        <w:t xml:space="preserve"> from</w:t>
      </w:r>
      <w:r>
        <w:t xml:space="preserve"> the </w:t>
      </w:r>
      <w:r w:rsidRPr="00AD61F9">
        <w:t>Independent Review of the Australian Public Service</w:t>
      </w:r>
      <w:r>
        <w:t xml:space="preserve"> suggest that changes to employment arrangements are an essential part of driving cultural change in the public sector.</w:t>
      </w:r>
    </w:p>
    <w:p w14:paraId="3504F841" w14:textId="05170B24" w:rsidR="009C4229" w:rsidRPr="00D13433" w:rsidRDefault="009C4229" w:rsidP="009C4229">
      <w:pPr>
        <w:pStyle w:val="Quote"/>
      </w:pPr>
      <w:r w:rsidRPr="00D13433">
        <w:t>Incentives and reward mechanisms must align with the expected behaviours. Too often organisations reward things that are misaligned with the desired behaviours of the organisation. Learning and development, performance assessment at all levels, promotions and appointments need to reinforce desired change</w:t>
      </w:r>
      <w:r>
        <w:t xml:space="preserve">. </w:t>
      </w:r>
      <w:r w:rsidR="00563C22" w:rsidRPr="00563C22">
        <w:rPr>
          <w:rFonts w:ascii="Arial" w:hAnsi="Arial" w:cs="Arial"/>
          <w:szCs w:val="24"/>
        </w:rPr>
        <w:t>(Thodey et al. 2019, p. 83)</w:t>
      </w:r>
    </w:p>
    <w:p w14:paraId="6E130AD0" w14:textId="0D8D1E94" w:rsidR="000E77A6" w:rsidRDefault="000E77A6" w:rsidP="000E77A6">
      <w:pPr>
        <w:pStyle w:val="BodyText"/>
        <w:keepNext/>
      </w:pPr>
      <w:r>
        <w:t>The Australian Government has said that in the second half of 2023, it:</w:t>
      </w:r>
    </w:p>
    <w:p w14:paraId="6B92D15C" w14:textId="4FBD1DC0" w:rsidR="000E77A6" w:rsidRDefault="000E77A6" w:rsidP="000E77A6">
      <w:pPr>
        <w:pStyle w:val="Quote"/>
      </w:pPr>
      <w:r>
        <w:t xml:space="preserve">… will explore further opportunities to review the </w:t>
      </w:r>
      <w:r w:rsidRPr="00FF250A">
        <w:rPr>
          <w:i/>
          <w:iCs/>
        </w:rPr>
        <w:t>Public Service Act 1999</w:t>
      </w:r>
      <w:r>
        <w:t xml:space="preserve"> and related legislation to embed the Priority Reforms. Making these changes to the legislative frameworks that govern how the public service operates will better enable government organisations, and the services they provide, to be culturally safe and responsive to the needs of Aboriginal and Torres Strait Islander people. </w:t>
      </w:r>
      <w:r w:rsidRPr="00185E3B">
        <w:rPr>
          <w:rFonts w:ascii="Arial" w:hAnsi="Arial" w:cs="Arial"/>
          <w:szCs w:val="24"/>
        </w:rPr>
        <w:t>(Australian Government 2023a, p. 24)</w:t>
      </w:r>
    </w:p>
    <w:p w14:paraId="1AB4ADF5" w14:textId="75C8626C" w:rsidR="009C4229" w:rsidRDefault="0071361C" w:rsidP="009C4229">
      <w:pPr>
        <w:pStyle w:val="BodyText"/>
      </w:pPr>
      <w:r>
        <w:t xml:space="preserve">The exact form these changes will take is still unclear, and </w:t>
      </w:r>
      <w:r w:rsidR="000A2564">
        <w:t xml:space="preserve">amendments </w:t>
      </w:r>
      <w:r w:rsidR="00EB6290">
        <w:t xml:space="preserve">to the </w:t>
      </w:r>
      <w:r w:rsidR="00EB6290" w:rsidRPr="00FF250A">
        <w:rPr>
          <w:i/>
          <w:iCs/>
        </w:rPr>
        <w:t>Public Service Act 1999</w:t>
      </w:r>
      <w:r w:rsidR="00EB6290">
        <w:t xml:space="preserve"> (Cth) proposed in May 2023 do not include </w:t>
      </w:r>
      <w:r>
        <w:t xml:space="preserve">any </w:t>
      </w:r>
      <w:r w:rsidR="000A2564">
        <w:t xml:space="preserve">changes that would make the APS </w:t>
      </w:r>
      <w:r w:rsidR="00177ECD">
        <w:t xml:space="preserve">more </w:t>
      </w:r>
      <w:r w:rsidR="000A2564">
        <w:t xml:space="preserve">culturally safe </w:t>
      </w:r>
      <w:r w:rsidR="00177ECD">
        <w:t xml:space="preserve">or </w:t>
      </w:r>
      <w:r w:rsidR="000A2564">
        <w:t>responsive to the needs of Aboriginal and Torres Strait Islander people</w:t>
      </w:r>
      <w:r w:rsidR="00591350">
        <w:t xml:space="preserve"> </w:t>
      </w:r>
      <w:r w:rsidR="00591350" w:rsidRPr="00591350">
        <w:rPr>
          <w:rFonts w:ascii="Arial" w:hAnsi="Arial" w:cs="Arial"/>
          <w:szCs w:val="24"/>
        </w:rPr>
        <w:t>(APS Reform Office 2023)</w:t>
      </w:r>
      <w:r w:rsidR="000A2564">
        <w:t>.</w:t>
      </w:r>
      <w:r w:rsidR="00EB6290">
        <w:t xml:space="preserve"> </w:t>
      </w:r>
    </w:p>
    <w:p w14:paraId="1B4D3477" w14:textId="537CC8CC" w:rsidR="00843BC8" w:rsidRDefault="00843BC8" w:rsidP="00843BC8">
      <w:pPr>
        <w:pStyle w:val="BodyText"/>
      </w:pPr>
      <w:r>
        <w:t xml:space="preserve">More broadly, </w:t>
      </w:r>
      <w:r w:rsidR="00614AD3">
        <w:t>it is not acceptable</w:t>
      </w:r>
      <w:r w:rsidR="00614AD3" w:rsidDel="00935A05">
        <w:t xml:space="preserve"> </w:t>
      </w:r>
      <w:r w:rsidR="00614AD3">
        <w:t>for government</w:t>
      </w:r>
      <w:r w:rsidR="00614AD3" w:rsidDel="006A2D6B">
        <w:t xml:space="preserve"> </w:t>
      </w:r>
      <w:r w:rsidR="00614AD3">
        <w:t xml:space="preserve">employees to treat adhering to the principles of the Agreement as optional </w:t>
      </w:r>
      <w:r>
        <w:t xml:space="preserve">– </w:t>
      </w:r>
      <w:r w:rsidR="001B6C4B">
        <w:t xml:space="preserve">these principles reflect </w:t>
      </w:r>
      <w:r>
        <w:t>essential skills and behaviours without which governments cannot hope to deliver on their Closing the Gap commitments.</w:t>
      </w:r>
      <w:r w:rsidR="009C7F05">
        <w:t xml:space="preserve"> </w:t>
      </w:r>
    </w:p>
    <w:p w14:paraId="2527AA3B" w14:textId="4C74F0A8" w:rsidR="00215F73" w:rsidRDefault="00831F81" w:rsidP="00C2546A">
      <w:pPr>
        <w:pStyle w:val="BodyText"/>
      </w:pPr>
      <w:r w:rsidRPr="00103884">
        <w:t xml:space="preserve">These </w:t>
      </w:r>
      <w:r w:rsidR="002D363B">
        <w:t>principl</w:t>
      </w:r>
      <w:r w:rsidR="002D363B" w:rsidRPr="00103884">
        <w:t>es</w:t>
      </w:r>
      <w:r w:rsidR="00120DCD" w:rsidRPr="00103884">
        <w:t xml:space="preserve"> </w:t>
      </w:r>
      <w:r w:rsidRPr="00103884">
        <w:t>should flow through into the performance agreements and KPIs of CEOs, executives and employees</w:t>
      </w:r>
      <w:r w:rsidR="00B54914" w:rsidRPr="00103884">
        <w:t>.</w:t>
      </w:r>
      <w:r w:rsidR="00310898" w:rsidRPr="00103884">
        <w:t xml:space="preserve"> </w:t>
      </w:r>
      <w:r w:rsidR="006C04DA" w:rsidRPr="00103884">
        <w:t xml:space="preserve">The nature of the change to performance agreements and KPIs will </w:t>
      </w:r>
      <w:r w:rsidR="003963CE" w:rsidRPr="00103884">
        <w:t>vary depending on level of senior</w:t>
      </w:r>
      <w:r w:rsidR="005701C2" w:rsidRPr="00103884">
        <w:t>ity</w:t>
      </w:r>
      <w:r w:rsidR="004B4C53">
        <w:t>. T</w:t>
      </w:r>
      <w:r w:rsidRPr="00103884">
        <w:t xml:space="preserve">he strongest requirements </w:t>
      </w:r>
      <w:r w:rsidR="00895304">
        <w:t xml:space="preserve">should be </w:t>
      </w:r>
      <w:r w:rsidRPr="00103884">
        <w:t>placed on CEOs and executives</w:t>
      </w:r>
      <w:r w:rsidR="009C0E66">
        <w:t xml:space="preserve">, who </w:t>
      </w:r>
      <w:r w:rsidR="00311BBA">
        <w:t>would</w:t>
      </w:r>
      <w:r w:rsidR="009D2F8A">
        <w:t xml:space="preserve"> </w:t>
      </w:r>
      <w:r w:rsidR="00D8241A">
        <w:t xml:space="preserve">have the responsibility of opening up their </w:t>
      </w:r>
      <w:r w:rsidR="00215F73">
        <w:t xml:space="preserve">organisation’s </w:t>
      </w:r>
      <w:r w:rsidR="00D8241A">
        <w:t xml:space="preserve">processes and operations to Aboriginal and Torres Strait Islander eyes for identification of </w:t>
      </w:r>
      <w:r w:rsidR="00215F73">
        <w:t xml:space="preserve">institutionalised </w:t>
      </w:r>
      <w:r w:rsidR="00D8241A">
        <w:t>racism</w:t>
      </w:r>
      <w:r w:rsidR="009D2F8A">
        <w:t xml:space="preserve"> </w:t>
      </w:r>
      <w:r w:rsidR="00D8241A">
        <w:t>(which, as discussed in information paper</w:t>
      </w:r>
      <w:r w:rsidR="00E54D21">
        <w:t> </w:t>
      </w:r>
      <w:r w:rsidR="00D8241A">
        <w:t>4, is not something that government organisations can do without external help)</w:t>
      </w:r>
      <w:r w:rsidRPr="00103884">
        <w:t>.</w:t>
      </w:r>
      <w:r w:rsidR="005F50A8" w:rsidRPr="00103884">
        <w:t xml:space="preserve"> </w:t>
      </w:r>
    </w:p>
    <w:p w14:paraId="07E77B2D" w14:textId="30281727" w:rsidR="00CE7A29" w:rsidRDefault="005F50A8" w:rsidP="00C2546A">
      <w:pPr>
        <w:pStyle w:val="BodyText"/>
      </w:pPr>
      <w:r w:rsidRPr="00103884">
        <w:t>The</w:t>
      </w:r>
      <w:r w:rsidR="00215F73" w:rsidRPr="00215F73">
        <w:t xml:space="preserve"> </w:t>
      </w:r>
      <w:r w:rsidR="00215F73" w:rsidRPr="00103884">
        <w:t xml:space="preserve">change to performance agreements and KPIs </w:t>
      </w:r>
      <w:r w:rsidRPr="00103884">
        <w:t xml:space="preserve">will also vary </w:t>
      </w:r>
      <w:r w:rsidR="006A4A46" w:rsidRPr="00103884">
        <w:t>depending</w:t>
      </w:r>
      <w:r>
        <w:t xml:space="preserve"> on role, with </w:t>
      </w:r>
      <w:r w:rsidR="00C34899">
        <w:t xml:space="preserve">those whose role involves </w:t>
      </w:r>
      <w:r w:rsidR="00DE0373">
        <w:t xml:space="preserve">providing policy advice about, or </w:t>
      </w:r>
      <w:r>
        <w:t xml:space="preserve">contributing to </w:t>
      </w:r>
      <w:r w:rsidR="00DE0373">
        <w:t xml:space="preserve">the design and </w:t>
      </w:r>
      <w:r>
        <w:t xml:space="preserve">delivery of services </w:t>
      </w:r>
      <w:r w:rsidR="006A4A46">
        <w:t xml:space="preserve">to, Aboriginal and Torres Strait Islander people needing to </w:t>
      </w:r>
      <w:r w:rsidR="009522D0">
        <w:t xml:space="preserve">meet more stringent KPIs than those whose role is </w:t>
      </w:r>
      <w:r w:rsidR="001B7640">
        <w:t>procedural</w:t>
      </w:r>
      <w:r w:rsidR="003E47E9">
        <w:t xml:space="preserve"> or technical in nature (such as a </w:t>
      </w:r>
      <w:r w:rsidR="00FD5B79">
        <w:t xml:space="preserve">tax clerk </w:t>
      </w:r>
      <w:r w:rsidR="00DB1210">
        <w:t xml:space="preserve">or </w:t>
      </w:r>
      <w:r w:rsidR="003E47E9">
        <w:t>meteorologist)</w:t>
      </w:r>
      <w:r w:rsidR="001B7640">
        <w:t xml:space="preserve">. </w:t>
      </w:r>
    </w:p>
    <w:p w14:paraId="480D6C9B" w14:textId="0872EB3E" w:rsidR="006675EC" w:rsidRDefault="006675EC">
      <w:pPr>
        <w:pStyle w:val="NoSpacing"/>
      </w:pPr>
    </w:p>
    <w:tbl>
      <w:tblPr>
        <w:tblStyle w:val="Texttable-Paleblue"/>
        <w:tblW w:w="5000" w:type="pct"/>
        <w:tblLook w:val="04A0" w:firstRow="1" w:lastRow="0" w:firstColumn="1" w:lastColumn="0" w:noHBand="0" w:noVBand="1"/>
      </w:tblPr>
      <w:tblGrid>
        <w:gridCol w:w="792"/>
        <w:gridCol w:w="8846"/>
      </w:tblGrid>
      <w:tr w:rsidR="006675EC" w14:paraId="4C210EF1" w14:textId="77777777" w:rsidTr="006675EC">
        <w:trPr>
          <w:tblHeader/>
        </w:trPr>
        <w:tc>
          <w:tcPr>
            <w:tcW w:w="709" w:type="dxa"/>
            <w:shd w:val="clear" w:color="auto" w:fill="FBF3EC"/>
            <w:tcMar>
              <w:top w:w="0" w:type="dxa"/>
              <w:bottom w:w="0" w:type="dxa"/>
            </w:tcMar>
            <w:vAlign w:val="center"/>
          </w:tcPr>
          <w:p w14:paraId="460C4548" w14:textId="1E7C5CD8" w:rsidR="006675EC" w:rsidRDefault="006675EC">
            <w:pPr>
              <w:keepLines/>
              <w:jc w:val="center"/>
            </w:pPr>
            <w:r w:rsidRPr="00A51374">
              <w:rPr>
                <w:noProof/>
              </w:rPr>
              <w:lastRenderedPageBreak/>
              <w:drawing>
                <wp:inline distT="0" distB="0" distL="0" distR="0" wp14:anchorId="240291F4" wp14:editId="11A5FC0F">
                  <wp:extent cx="360000" cy="360000"/>
                  <wp:effectExtent l="0" t="0" r="0" b="0"/>
                  <wp:docPr id="120762302" name="Picture 1207623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19299" name="Graphic 99519299">
                            <a:extLst>
                              <a:ext uri="{C183D7F6-B498-43B3-948B-1728B52AA6E4}">
                                <adec:decorative xmlns:adec="http://schemas.microsoft.com/office/drawing/2017/decorative" val="1"/>
                              </a:ext>
                            </a:extLst>
                          </pic:cNvPr>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8874" w:type="dxa"/>
            <w:shd w:val="clear" w:color="auto" w:fill="FBF3EC"/>
            <w:tcMar>
              <w:top w:w="0" w:type="dxa"/>
              <w:bottom w:w="0" w:type="dxa"/>
            </w:tcMar>
            <w:vAlign w:val="center"/>
          </w:tcPr>
          <w:p w14:paraId="5FCAC63A" w14:textId="5EEB32F8" w:rsidR="006675EC" w:rsidRPr="00715040" w:rsidRDefault="00BC0BD8">
            <w:pPr>
              <w:pStyle w:val="TableHeading"/>
              <w:keepLines/>
              <w:spacing w:before="120" w:after="120"/>
              <w:contextualSpacing/>
              <w:rPr>
                <w:sz w:val="20"/>
              </w:rPr>
            </w:pPr>
            <w:r>
              <w:rPr>
                <w:sz w:val="20"/>
              </w:rPr>
              <w:t>Draft r</w:t>
            </w:r>
            <w:r w:rsidR="006675EC" w:rsidRPr="00715040">
              <w:rPr>
                <w:sz w:val="20"/>
              </w:rPr>
              <w:t xml:space="preserve">ecommendation </w:t>
            </w:r>
            <w:r w:rsidR="006675EC">
              <w:rPr>
                <w:sz w:val="20"/>
              </w:rPr>
              <w:t>3</w:t>
            </w:r>
          </w:p>
          <w:p w14:paraId="01238E91" w14:textId="32B26E8B" w:rsidR="006675EC" w:rsidRPr="00715040" w:rsidRDefault="006675EC">
            <w:pPr>
              <w:pStyle w:val="TableHeading"/>
              <w:keepLines/>
              <w:spacing w:before="120" w:after="120"/>
              <w:contextualSpacing/>
              <w:rPr>
                <w:sz w:val="20"/>
              </w:rPr>
            </w:pPr>
            <w:r w:rsidRPr="0029285E">
              <w:rPr>
                <w:sz w:val="20"/>
                <w:szCs w:val="22"/>
              </w:rPr>
              <w:t>Embed responsibility for improving cultural capability and relationships with Aboriginal and Torres Strait Islander people into public sector employment requirements</w:t>
            </w:r>
          </w:p>
        </w:tc>
      </w:tr>
      <w:tr w:rsidR="006675EC" w14:paraId="3ADAB1C6" w14:textId="77777777" w:rsidTr="006675EC">
        <w:tc>
          <w:tcPr>
            <w:tcW w:w="9583" w:type="dxa"/>
            <w:gridSpan w:val="2"/>
            <w:shd w:val="clear" w:color="auto" w:fill="FBF3EC"/>
            <w:tcMar>
              <w:top w:w="0" w:type="dxa"/>
            </w:tcMar>
          </w:tcPr>
          <w:p w14:paraId="5C04630F" w14:textId="77777777" w:rsidR="006675EC" w:rsidRDefault="006675EC" w:rsidP="006675EC">
            <w:pPr>
              <w:pStyle w:val="BodyText"/>
              <w:keepNext/>
              <w:keepLines/>
            </w:pPr>
            <w:r>
              <w:t>The Queensland Government has recently implemented legislation which requires public sector CEOs, executives and employees to enhance their cultural capability and support the state government in reframing its relationship with Aboriginal peoples and Torres Strait Islander peoples.</w:t>
            </w:r>
          </w:p>
          <w:p w14:paraId="2F591ED3" w14:textId="77777777" w:rsidR="006675EC" w:rsidRDefault="006675EC" w:rsidP="006675EC">
            <w:pPr>
              <w:pStyle w:val="BodyText"/>
              <w:keepNext/>
              <w:keepLines/>
            </w:pPr>
            <w:r>
              <w:t xml:space="preserve">The Australian, territory and other state governments should ensure that </w:t>
            </w:r>
            <w:r w:rsidRPr="00EC5BA5">
              <w:t>the employment requirements of all public sector CEOs</w:t>
            </w:r>
            <w:r>
              <w:t>, executives</w:t>
            </w:r>
            <w:r w:rsidRPr="00EC5BA5">
              <w:t xml:space="preserve"> and employees</w:t>
            </w:r>
            <w:r>
              <w:t xml:space="preserve"> require them to continually demonstrate how they have sought to:</w:t>
            </w:r>
          </w:p>
          <w:p w14:paraId="09005F78" w14:textId="77777777" w:rsidR="006675EC" w:rsidRDefault="006675EC" w:rsidP="006675EC">
            <w:pPr>
              <w:pStyle w:val="ListBullet"/>
            </w:pPr>
            <w:r w:rsidRPr="008F0405">
              <w:t>improv</w:t>
            </w:r>
            <w:r>
              <w:t>e</w:t>
            </w:r>
            <w:r w:rsidRPr="008F0405">
              <w:t xml:space="preserve"> the</w:t>
            </w:r>
            <w:r>
              <w:t xml:space="preserve">ir cultural capability </w:t>
            </w:r>
          </w:p>
          <w:p w14:paraId="6E5B37C3" w14:textId="77777777" w:rsidR="006675EC" w:rsidRDefault="006675EC" w:rsidP="006675EC">
            <w:pPr>
              <w:pStyle w:val="ListBullet"/>
            </w:pPr>
            <w:r>
              <w:t xml:space="preserve">develop </w:t>
            </w:r>
            <w:r w:rsidRPr="008F0405">
              <w:t>relationship</w:t>
            </w:r>
            <w:r>
              <w:t>s</w:t>
            </w:r>
            <w:r w:rsidRPr="008F0405">
              <w:t xml:space="preserve"> with Aboriginal and Torres Strait Islander people</w:t>
            </w:r>
          </w:p>
          <w:p w14:paraId="3C772462" w14:textId="77777777" w:rsidR="006675EC" w:rsidRDefault="006675EC" w:rsidP="006675EC">
            <w:pPr>
              <w:pStyle w:val="ListBullet"/>
            </w:pPr>
            <w:r>
              <w:t xml:space="preserve">eliminate institutional racism </w:t>
            </w:r>
          </w:p>
          <w:p w14:paraId="41BB96D9" w14:textId="77777777" w:rsidR="006675EC" w:rsidRDefault="006675EC" w:rsidP="006675EC">
            <w:pPr>
              <w:pStyle w:val="ListBullet"/>
            </w:pPr>
            <w:r>
              <w:t xml:space="preserve">support the principles outlined in the </w:t>
            </w:r>
            <w:r w:rsidRPr="00D522FF">
              <w:t>National Agreement on Closing the Gap</w:t>
            </w:r>
            <w:r>
              <w:t xml:space="preserve">. </w:t>
            </w:r>
          </w:p>
          <w:p w14:paraId="5F863636" w14:textId="5496D51A" w:rsidR="006675EC" w:rsidRPr="00767EAE" w:rsidRDefault="006675EC" w:rsidP="006675EC">
            <w:pPr>
              <w:pStyle w:val="ListBullet"/>
            </w:pPr>
            <w:r>
              <w:t xml:space="preserve">These requirements should flow through into the performance agreements and KPIs of </w:t>
            </w:r>
            <w:r w:rsidRPr="00EC5BA5">
              <w:t>CEOs</w:t>
            </w:r>
            <w:r>
              <w:t>, executives</w:t>
            </w:r>
            <w:r w:rsidRPr="00EC5BA5">
              <w:t xml:space="preserve"> and employees</w:t>
            </w:r>
            <w:r>
              <w:t>, with the strongest requirements placed on CEOs and executives.</w:t>
            </w:r>
          </w:p>
        </w:tc>
      </w:tr>
      <w:tr w:rsidR="006675EC" w14:paraId="029D02AA" w14:textId="77777777">
        <w:tc>
          <w:tcPr>
            <w:tcW w:w="9583" w:type="dxa"/>
            <w:gridSpan w:val="2"/>
            <w:shd w:val="clear" w:color="auto" w:fill="auto"/>
            <w:tcMar>
              <w:top w:w="0" w:type="dxa"/>
              <w:bottom w:w="0" w:type="dxa"/>
            </w:tcMar>
          </w:tcPr>
          <w:p w14:paraId="72E2D1F1" w14:textId="3BB752F6" w:rsidR="006675EC" w:rsidRPr="007E0EA8" w:rsidRDefault="006675EC">
            <w:pPr>
              <w:pStyle w:val="NoSpacing"/>
              <w:spacing w:line="200" w:lineRule="exact"/>
            </w:pPr>
          </w:p>
        </w:tc>
      </w:tr>
    </w:tbl>
    <w:p w14:paraId="6C8E8ABE" w14:textId="51B401EA" w:rsidR="00F566D7" w:rsidRDefault="00F566D7" w:rsidP="006425E4">
      <w:pPr>
        <w:pStyle w:val="Heading3"/>
      </w:pPr>
      <w:r w:rsidRPr="00F566D7">
        <w:t xml:space="preserve">Ensuring </w:t>
      </w:r>
      <w:r w:rsidR="00D3567F">
        <w:t>th</w:t>
      </w:r>
      <w:r w:rsidR="0036036D">
        <w:t>at</w:t>
      </w:r>
      <w:r w:rsidR="00D3567F">
        <w:t xml:space="preserve"> central agencies</w:t>
      </w:r>
      <w:r w:rsidRPr="00F566D7">
        <w:t xml:space="preserve"> </w:t>
      </w:r>
      <w:r w:rsidR="00B51175">
        <w:t>drive</w:t>
      </w:r>
      <w:r w:rsidR="00455725">
        <w:t xml:space="preserve"> changes </w:t>
      </w:r>
      <w:r w:rsidRPr="00F566D7">
        <w:t xml:space="preserve">to </w:t>
      </w:r>
      <w:r w:rsidR="00771FA9">
        <w:t>Cabinet, B</w:t>
      </w:r>
      <w:r w:rsidR="00957F46">
        <w:t xml:space="preserve">udget, </w:t>
      </w:r>
      <w:r w:rsidRPr="00F566D7">
        <w:t xml:space="preserve">funding and contracting </w:t>
      </w:r>
      <w:r w:rsidR="00770A75">
        <w:t>processes</w:t>
      </w:r>
    </w:p>
    <w:p w14:paraId="42F6F1D3" w14:textId="60B00C05" w:rsidR="005F470F" w:rsidRDefault="00DD6339" w:rsidP="00DD6339">
      <w:pPr>
        <w:pStyle w:val="BodyText"/>
        <w:keepNext/>
      </w:pPr>
      <w:r>
        <w:t xml:space="preserve">In order to successfully embed each of the </w:t>
      </w:r>
      <w:r w:rsidR="003C433B">
        <w:t>Priority Reforms, system</w:t>
      </w:r>
      <w:r w:rsidR="00FD58AA">
        <w:noBreakHyphen/>
      </w:r>
      <w:r w:rsidR="003C433B">
        <w:t>level changes are required.</w:t>
      </w:r>
      <w:r>
        <w:t xml:space="preserve"> Examples </w:t>
      </w:r>
      <w:r w:rsidR="00551950">
        <w:t xml:space="preserve">of </w:t>
      </w:r>
      <w:r w:rsidR="005F470F">
        <w:t xml:space="preserve">recent </w:t>
      </w:r>
      <w:r w:rsidR="00551950">
        <w:t xml:space="preserve">changes </w:t>
      </w:r>
      <w:r>
        <w:t xml:space="preserve">discussed </w:t>
      </w:r>
      <w:r w:rsidR="00FF1850">
        <w:t xml:space="preserve">in other information papers </w:t>
      </w:r>
      <w:r>
        <w:t xml:space="preserve">include </w:t>
      </w:r>
      <w:r w:rsidRPr="00395C8E">
        <w:t xml:space="preserve">strengthening Budget and Cabinet frameworks to elevate consideration of impacts </w:t>
      </w:r>
      <w:r>
        <w:t xml:space="preserve">on Aboriginal and Torres Strait Islander people </w:t>
      </w:r>
      <w:r w:rsidRPr="00395C8E">
        <w:t>in all new policie</w:t>
      </w:r>
      <w:r>
        <w:t>s</w:t>
      </w:r>
      <w:r w:rsidR="00FF1850">
        <w:t xml:space="preserve"> (information paper 4)</w:t>
      </w:r>
      <w:r>
        <w:t>, and publishing strategies or guidelines to assist agencies to adopt a more relational approach to contracting</w:t>
      </w:r>
      <w:r w:rsidR="00FF1850">
        <w:t xml:space="preserve"> (information paper 3)</w:t>
      </w:r>
      <w:r>
        <w:t xml:space="preserve">. </w:t>
      </w:r>
    </w:p>
    <w:p w14:paraId="1C59324C" w14:textId="1EF7DC37" w:rsidR="00DD6339" w:rsidRDefault="00DD6339" w:rsidP="00DD6339">
      <w:pPr>
        <w:pStyle w:val="BodyText"/>
        <w:keepNext/>
      </w:pPr>
      <w:r w:rsidRPr="00F54E42">
        <w:t xml:space="preserve">But these </w:t>
      </w:r>
      <w:r>
        <w:t>changes</w:t>
      </w:r>
      <w:r w:rsidRPr="00F54E42">
        <w:t xml:space="preserve"> </w:t>
      </w:r>
      <w:r>
        <w:t xml:space="preserve">are only </w:t>
      </w:r>
      <w:r w:rsidRPr="00F54E42">
        <w:t>being undertaken in one, or occasionally a handful of, jurisdictions. Some jurisdictions have not changed any of their whole</w:t>
      </w:r>
      <w:r w:rsidR="00FD58AA">
        <w:noBreakHyphen/>
      </w:r>
      <w:r w:rsidRPr="00F54E42">
        <w:t>of</w:t>
      </w:r>
      <w:r w:rsidR="00FD58AA">
        <w:noBreakHyphen/>
      </w:r>
      <w:r w:rsidRPr="00F54E42">
        <w:t xml:space="preserve">government processes to better </w:t>
      </w:r>
      <w:r w:rsidR="00985EFE">
        <w:t xml:space="preserve">the Priority Reforms and </w:t>
      </w:r>
      <w:r w:rsidRPr="00F54E42">
        <w:t xml:space="preserve">outcomes </w:t>
      </w:r>
      <w:r w:rsidR="00985EFE">
        <w:t>for Aboriginal and Torres Strait Islander people</w:t>
      </w:r>
      <w:r w:rsidRPr="00F54E42">
        <w:t xml:space="preserve">. </w:t>
      </w:r>
    </w:p>
    <w:p w14:paraId="24EB49A1" w14:textId="54F2CF46" w:rsidR="00DD6339" w:rsidRDefault="00484AAA" w:rsidP="00DD6339">
      <w:pPr>
        <w:pStyle w:val="BodyText"/>
        <w:keepNext/>
      </w:pPr>
      <w:r>
        <w:t>Central agencies are in the best position to l</w:t>
      </w:r>
      <w:r w:rsidR="00DD6339">
        <w:t>e</w:t>
      </w:r>
      <w:r w:rsidR="00E676A3">
        <w:t>a</w:t>
      </w:r>
      <w:r w:rsidR="00DD6339">
        <w:t xml:space="preserve">d </w:t>
      </w:r>
      <w:r w:rsidR="00E676A3">
        <w:t>system</w:t>
      </w:r>
      <w:r w:rsidR="00FD58AA">
        <w:noBreakHyphen/>
      </w:r>
      <w:r w:rsidR="00E676A3">
        <w:t>level changes</w:t>
      </w:r>
      <w:r w:rsidR="00DD6339">
        <w:t xml:space="preserve">. This is because </w:t>
      </w:r>
      <w:r w:rsidR="00DD6339" w:rsidRPr="00F566D7">
        <w:t>Departments of Finance or Treasuries set the rules for funding and contracting at a jurisdictional level</w:t>
      </w:r>
      <w:r w:rsidR="00DD6339">
        <w:t xml:space="preserve">. </w:t>
      </w:r>
      <w:r w:rsidR="00DD6339" w:rsidRPr="00F566D7">
        <w:t>Treasuries</w:t>
      </w:r>
      <w:r w:rsidR="00DD6339">
        <w:t xml:space="preserve"> also control the Budget processes through which </w:t>
      </w:r>
      <w:r w:rsidR="00DD6339" w:rsidRPr="00F566D7">
        <w:t>other dep</w:t>
      </w:r>
      <w:r w:rsidR="00DD6339">
        <w:t xml:space="preserve">artments seek to obtain </w:t>
      </w:r>
      <w:r w:rsidR="00DD6339" w:rsidRPr="00F566D7">
        <w:t xml:space="preserve">funding </w:t>
      </w:r>
      <w:r w:rsidR="00DD6339">
        <w:t>for new initiatives</w:t>
      </w:r>
      <w:r w:rsidR="00DD6339" w:rsidRPr="00F566D7">
        <w:t>.</w:t>
      </w:r>
      <w:r w:rsidR="00DD6339">
        <w:t xml:space="preserve"> And </w:t>
      </w:r>
      <w:r w:rsidR="00DD6339" w:rsidRPr="007912B2">
        <w:t xml:space="preserve">Departments of the Prime Minister, Premier or Chief Minister </w:t>
      </w:r>
      <w:r w:rsidR="00DD6339">
        <w:t>control the Cabinet processes through which many high</w:t>
      </w:r>
      <w:r w:rsidR="00FD58AA">
        <w:noBreakHyphen/>
      </w:r>
      <w:r w:rsidR="00DD6339">
        <w:t>level government decisions are made. Other government departments and agencies must follow these processes, and have very little ability to shape them.</w:t>
      </w:r>
    </w:p>
    <w:p w14:paraId="3FF445A8" w14:textId="02B9F95A" w:rsidR="00F753DA" w:rsidRPr="00F753DA" w:rsidRDefault="007D78F7" w:rsidP="00F753DA">
      <w:pPr>
        <w:pStyle w:val="BodyText"/>
      </w:pPr>
      <w:r>
        <w:t xml:space="preserve">Aboriginal and Torres Strait Islander organisations </w:t>
      </w:r>
      <w:r w:rsidR="00F753DA" w:rsidRPr="00F753DA">
        <w:t xml:space="preserve">pointed to </w:t>
      </w:r>
      <w:r w:rsidR="00AB7D43">
        <w:t xml:space="preserve">the importance </w:t>
      </w:r>
      <w:r w:rsidR="008B6A69">
        <w:t xml:space="preserve">of central agencies </w:t>
      </w:r>
      <w:r w:rsidR="00AB7D43">
        <w:t xml:space="preserve">in </w:t>
      </w:r>
      <w:r w:rsidR="00F753DA" w:rsidRPr="00F753DA">
        <w:t>driving change.</w:t>
      </w:r>
      <w:r>
        <w:t xml:space="preserve"> For </w:t>
      </w:r>
      <w:r w:rsidR="00751BBE">
        <w:t>example</w:t>
      </w:r>
      <w:r>
        <w:t xml:space="preserve">, </w:t>
      </w:r>
      <w:r w:rsidR="00B82415">
        <w:t xml:space="preserve">the </w:t>
      </w:r>
      <w:r w:rsidR="00B82415" w:rsidRPr="00B82415">
        <w:t>Kimberley Aboriginal Law and Cultural Centre</w:t>
      </w:r>
      <w:r w:rsidR="00B82415">
        <w:t xml:space="preserve"> said:</w:t>
      </w:r>
    </w:p>
    <w:p w14:paraId="0006859D" w14:textId="004CAA21" w:rsidR="004E2E5C" w:rsidRDefault="00F753DA" w:rsidP="004E2E5C">
      <w:pPr>
        <w:pStyle w:val="Quote"/>
      </w:pPr>
      <w:r w:rsidRPr="00F753DA">
        <w:t>There is strong evidence to date of a reluctance on the part of major line agencies in the justice domain to want to participate in Co Design processes or to relinquish their control over policies and programs in the youth justice space. We can only hope that there is sufficient authority and sway from Government central agencies to overcome this stasis and this weddedness to the current status quo by large Government line agencies. (KALACC, sub.</w:t>
      </w:r>
      <w:r w:rsidR="00FD58AA">
        <w:t> </w:t>
      </w:r>
      <w:r w:rsidRPr="00F753DA">
        <w:t>23, p.</w:t>
      </w:r>
      <w:r w:rsidR="00623A43">
        <w:t> </w:t>
      </w:r>
      <w:r w:rsidRPr="00F753DA">
        <w:t>12)</w:t>
      </w:r>
      <w:r w:rsidR="004E2E5C" w:rsidRPr="004E2E5C">
        <w:t xml:space="preserve"> </w:t>
      </w:r>
    </w:p>
    <w:p w14:paraId="18BED2F4" w14:textId="4660126D" w:rsidR="004E2E5C" w:rsidRDefault="00DF0B62" w:rsidP="004E2E5C">
      <w:pPr>
        <w:pStyle w:val="BodyText"/>
      </w:pPr>
      <w:r>
        <w:lastRenderedPageBreak/>
        <w:t>To</w:t>
      </w:r>
      <w:r w:rsidR="004E2E5C" w:rsidRPr="00622F6A">
        <w:t xml:space="preserve"> </w:t>
      </w:r>
      <w:r w:rsidR="00D638D3">
        <w:t xml:space="preserve">ensure that </w:t>
      </w:r>
      <w:r w:rsidR="004E2E5C" w:rsidRPr="00622F6A">
        <w:t>all government agencies act in accordance with the Agreement, it is essential that central agencies play a leadership role in ensuring that whole</w:t>
      </w:r>
      <w:r w:rsidR="00FD58AA">
        <w:noBreakHyphen/>
      </w:r>
      <w:r w:rsidR="004E2E5C" w:rsidRPr="00622F6A">
        <w:t>of</w:t>
      </w:r>
      <w:r w:rsidR="00FD58AA">
        <w:noBreakHyphen/>
      </w:r>
      <w:r w:rsidR="004E2E5C" w:rsidRPr="00622F6A">
        <w:t xml:space="preserve">government processes </w:t>
      </w:r>
      <w:r w:rsidR="004E2E5C">
        <w:t>drive changes to deliver</w:t>
      </w:r>
      <w:r w:rsidR="004E2E5C" w:rsidRPr="00622F6A">
        <w:t xml:space="preserve"> the outcomes of the Agreement</w:t>
      </w:r>
      <w:r w:rsidR="00D638D3">
        <w:t xml:space="preserve">. </w:t>
      </w:r>
    </w:p>
    <w:p w14:paraId="25FF0676" w14:textId="34C8EABC" w:rsidR="00C0542C" w:rsidRDefault="00117482" w:rsidP="00037831">
      <w:pPr>
        <w:pStyle w:val="Heading4"/>
      </w:pPr>
      <w:r>
        <w:t xml:space="preserve">Cabinet and </w:t>
      </w:r>
      <w:r w:rsidR="00BA61F8">
        <w:t>B</w:t>
      </w:r>
      <w:r>
        <w:t>udget processes</w:t>
      </w:r>
      <w:r w:rsidR="00932DAC">
        <w:t xml:space="preserve"> that support the Priority Reforms </w:t>
      </w:r>
    </w:p>
    <w:p w14:paraId="698E6F1F" w14:textId="61E6788E" w:rsidR="00733470" w:rsidRPr="001F3C53" w:rsidRDefault="00733470" w:rsidP="00264AF7">
      <w:pPr>
        <w:pStyle w:val="BodyText"/>
        <w:rPr>
          <w:spacing w:val="-2"/>
        </w:rPr>
      </w:pPr>
      <w:r w:rsidRPr="001F3C53">
        <w:rPr>
          <w:spacing w:val="-2"/>
        </w:rPr>
        <w:t>Shared decision</w:t>
      </w:r>
      <w:r w:rsidR="00FD58AA" w:rsidRPr="001F3C53">
        <w:rPr>
          <w:spacing w:val="-2"/>
        </w:rPr>
        <w:noBreakHyphen/>
      </w:r>
      <w:r w:rsidRPr="001F3C53">
        <w:rPr>
          <w:spacing w:val="-2"/>
        </w:rPr>
        <w:t xml:space="preserve">making on the design, implementation, monitoring and evaluation of policies and programs to improve life outcomes for Aboriginal and Torres Strait Islander people is at the heart of the Agreement. </w:t>
      </w:r>
      <w:r w:rsidR="00FA08CE" w:rsidRPr="001F3C53">
        <w:rPr>
          <w:spacing w:val="-2"/>
        </w:rPr>
        <w:t xml:space="preserve">When it comes to </w:t>
      </w:r>
      <w:r w:rsidRPr="001F3C53">
        <w:rPr>
          <w:spacing w:val="-2"/>
        </w:rPr>
        <w:t xml:space="preserve">Cabinet and Budget processes, </w:t>
      </w:r>
      <w:r w:rsidR="00FA08CE" w:rsidRPr="001F3C53">
        <w:rPr>
          <w:spacing w:val="-2"/>
        </w:rPr>
        <w:t xml:space="preserve">this means </w:t>
      </w:r>
      <w:r w:rsidR="00485E8C" w:rsidRPr="001F3C53">
        <w:rPr>
          <w:spacing w:val="-2"/>
        </w:rPr>
        <w:t xml:space="preserve">ensuring that Aboriginal and Torres Strait Islander </w:t>
      </w:r>
      <w:r w:rsidR="007536F9" w:rsidRPr="001F3C53">
        <w:rPr>
          <w:spacing w:val="-2"/>
        </w:rPr>
        <w:t xml:space="preserve">perspectives are fully </w:t>
      </w:r>
      <w:r w:rsidR="00D54433" w:rsidRPr="001F3C53">
        <w:rPr>
          <w:spacing w:val="-2"/>
        </w:rPr>
        <w:t>incorporated</w:t>
      </w:r>
      <w:r w:rsidR="007536F9" w:rsidRPr="001F3C53">
        <w:rPr>
          <w:spacing w:val="-2"/>
        </w:rPr>
        <w:t xml:space="preserve"> into </w:t>
      </w:r>
      <w:r w:rsidR="007015CB" w:rsidRPr="001F3C53">
        <w:rPr>
          <w:spacing w:val="-2"/>
        </w:rPr>
        <w:t xml:space="preserve">all aspects of </w:t>
      </w:r>
      <w:r w:rsidR="00C25266" w:rsidRPr="001F3C53">
        <w:rPr>
          <w:spacing w:val="-2"/>
        </w:rPr>
        <w:t>Cabinet and Budget</w:t>
      </w:r>
      <w:r w:rsidR="007015CB" w:rsidRPr="001F3C53">
        <w:rPr>
          <w:spacing w:val="-2"/>
        </w:rPr>
        <w:t xml:space="preserve"> decision</w:t>
      </w:r>
      <w:r w:rsidR="00FD58AA" w:rsidRPr="001F3C53">
        <w:rPr>
          <w:spacing w:val="-2"/>
        </w:rPr>
        <w:noBreakHyphen/>
      </w:r>
      <w:r w:rsidR="007015CB" w:rsidRPr="001F3C53">
        <w:rPr>
          <w:spacing w:val="-2"/>
        </w:rPr>
        <w:t>making process</w:t>
      </w:r>
      <w:r w:rsidR="00C25266" w:rsidRPr="001F3C53">
        <w:rPr>
          <w:spacing w:val="-2"/>
        </w:rPr>
        <w:t>es</w:t>
      </w:r>
      <w:r w:rsidR="00D54433" w:rsidRPr="001F3C53">
        <w:rPr>
          <w:spacing w:val="-2"/>
        </w:rPr>
        <w:t>.</w:t>
      </w:r>
    </w:p>
    <w:p w14:paraId="7E02F2CA" w14:textId="02F66C01" w:rsidR="00E33307" w:rsidRPr="00906F8F" w:rsidRDefault="006A1662" w:rsidP="00E33307">
      <w:pPr>
        <w:pStyle w:val="BodyText"/>
        <w:rPr>
          <w:spacing w:val="2"/>
        </w:rPr>
      </w:pPr>
      <w:r w:rsidRPr="00906F8F">
        <w:rPr>
          <w:spacing w:val="2"/>
        </w:rPr>
        <w:t xml:space="preserve">Some jurisdictions have </w:t>
      </w:r>
      <w:r w:rsidR="00D366F9" w:rsidRPr="00906F8F">
        <w:rPr>
          <w:spacing w:val="2"/>
        </w:rPr>
        <w:t>made changes to the</w:t>
      </w:r>
      <w:r w:rsidR="00E71538" w:rsidRPr="00906F8F">
        <w:rPr>
          <w:spacing w:val="2"/>
        </w:rPr>
        <w:t>ir Cabinet and</w:t>
      </w:r>
      <w:r w:rsidR="00B75370" w:rsidRPr="00906F8F">
        <w:rPr>
          <w:spacing w:val="2"/>
        </w:rPr>
        <w:t xml:space="preserve"> Budget</w:t>
      </w:r>
      <w:r w:rsidR="00E71538" w:rsidRPr="00906F8F">
        <w:rPr>
          <w:spacing w:val="2"/>
        </w:rPr>
        <w:t xml:space="preserve"> processes </w:t>
      </w:r>
      <w:r w:rsidR="00B75370" w:rsidRPr="00906F8F">
        <w:rPr>
          <w:spacing w:val="2"/>
        </w:rPr>
        <w:t xml:space="preserve">as part of their efforts to implement </w:t>
      </w:r>
      <w:r w:rsidR="009714A0" w:rsidRPr="00906F8F">
        <w:rPr>
          <w:spacing w:val="2"/>
        </w:rPr>
        <w:t>the</w:t>
      </w:r>
      <w:r w:rsidR="005E54E0" w:rsidRPr="00906F8F">
        <w:rPr>
          <w:spacing w:val="2"/>
        </w:rPr>
        <w:t xml:space="preserve"> </w:t>
      </w:r>
      <w:r w:rsidR="00B75370" w:rsidRPr="00906F8F">
        <w:rPr>
          <w:spacing w:val="2"/>
        </w:rPr>
        <w:t>Priority Reform</w:t>
      </w:r>
      <w:r w:rsidR="009714A0" w:rsidRPr="00906F8F">
        <w:rPr>
          <w:spacing w:val="2"/>
        </w:rPr>
        <w:t>s</w:t>
      </w:r>
      <w:r w:rsidR="00B75370" w:rsidRPr="00906F8F">
        <w:rPr>
          <w:spacing w:val="2"/>
        </w:rPr>
        <w:t xml:space="preserve"> </w:t>
      </w:r>
      <w:r w:rsidR="00F648A8" w:rsidRPr="00906F8F">
        <w:rPr>
          <w:spacing w:val="2"/>
        </w:rPr>
        <w:t>(information paper</w:t>
      </w:r>
      <w:r w:rsidR="003929B2" w:rsidRPr="00906F8F">
        <w:rPr>
          <w:spacing w:val="2"/>
        </w:rPr>
        <w:t>s 3 and</w:t>
      </w:r>
      <w:r w:rsidR="00F648A8" w:rsidRPr="00906F8F">
        <w:rPr>
          <w:spacing w:val="2"/>
        </w:rPr>
        <w:t> 4)</w:t>
      </w:r>
      <w:r w:rsidR="00B75370" w:rsidRPr="00906F8F">
        <w:rPr>
          <w:spacing w:val="2"/>
        </w:rPr>
        <w:t>.</w:t>
      </w:r>
      <w:r w:rsidR="00683A41" w:rsidRPr="00906F8F">
        <w:rPr>
          <w:spacing w:val="2"/>
        </w:rPr>
        <w:t xml:space="preserve"> For example, </w:t>
      </w:r>
      <w:r w:rsidR="00E2462E" w:rsidRPr="00906F8F">
        <w:rPr>
          <w:spacing w:val="2"/>
        </w:rPr>
        <w:t xml:space="preserve">in December 2022 </w:t>
      </w:r>
      <w:r w:rsidR="00683A41" w:rsidRPr="00906F8F">
        <w:rPr>
          <w:spacing w:val="2"/>
        </w:rPr>
        <w:t xml:space="preserve">the Australian </w:t>
      </w:r>
      <w:r w:rsidR="00785EB9" w:rsidRPr="00906F8F">
        <w:rPr>
          <w:spacing w:val="2"/>
        </w:rPr>
        <w:t>Government</w:t>
      </w:r>
      <w:r w:rsidR="00683A41" w:rsidRPr="00906F8F">
        <w:rPr>
          <w:spacing w:val="2"/>
        </w:rPr>
        <w:t xml:space="preserve"> </w:t>
      </w:r>
      <w:r w:rsidR="00785EB9" w:rsidRPr="00906F8F">
        <w:rPr>
          <w:spacing w:val="2"/>
        </w:rPr>
        <w:t>introduced</w:t>
      </w:r>
      <w:r w:rsidR="00683A41" w:rsidRPr="00906F8F">
        <w:rPr>
          <w:spacing w:val="2"/>
        </w:rPr>
        <w:t xml:space="preserve"> </w:t>
      </w:r>
      <w:r w:rsidR="00E2462E" w:rsidRPr="00906F8F">
        <w:rPr>
          <w:spacing w:val="2"/>
        </w:rPr>
        <w:t xml:space="preserve">a </w:t>
      </w:r>
      <w:r w:rsidR="00683A41" w:rsidRPr="00906F8F">
        <w:rPr>
          <w:spacing w:val="2"/>
        </w:rPr>
        <w:t xml:space="preserve">new requirement </w:t>
      </w:r>
      <w:r w:rsidR="00785EB9" w:rsidRPr="00906F8F">
        <w:rPr>
          <w:spacing w:val="2"/>
        </w:rPr>
        <w:t>for government organisations to demonstrate how they will meet obligations under the Agreement</w:t>
      </w:r>
      <w:r w:rsidR="00B75370" w:rsidRPr="00906F8F">
        <w:rPr>
          <w:spacing w:val="2"/>
        </w:rPr>
        <w:t xml:space="preserve"> </w:t>
      </w:r>
      <w:r w:rsidR="00785EB9" w:rsidRPr="00906F8F">
        <w:rPr>
          <w:spacing w:val="2"/>
        </w:rPr>
        <w:t xml:space="preserve">when they are seeking new funding in the Budget process </w:t>
      </w:r>
      <w:r w:rsidR="00A71B0A" w:rsidRPr="00906F8F">
        <w:rPr>
          <w:rFonts w:cs="Arial"/>
          <w:spacing w:val="2"/>
          <w:szCs w:val="24"/>
        </w:rPr>
        <w:t>(Department of Finance 2022, p. 6)</w:t>
      </w:r>
      <w:r w:rsidR="00785EB9" w:rsidRPr="00906F8F">
        <w:rPr>
          <w:spacing w:val="2"/>
        </w:rPr>
        <w:t xml:space="preserve">.  </w:t>
      </w:r>
    </w:p>
    <w:p w14:paraId="10FB6D55" w14:textId="7027E748" w:rsidR="00873E75" w:rsidRPr="0063559D" w:rsidRDefault="00873E75" w:rsidP="00873E75">
      <w:pPr>
        <w:pStyle w:val="BodyText"/>
      </w:pPr>
      <w:r w:rsidRPr="0063559D">
        <w:t xml:space="preserve">In jurisdictions that are yet to make such changes, it will be important to consider how they could be implemented in ways that align with all of the Priority Reforms. This </w:t>
      </w:r>
      <w:r>
        <w:t>could</w:t>
      </w:r>
      <w:r w:rsidRPr="0063559D">
        <w:t xml:space="preserve"> mean, for example, that instead of requiring consultation with the government department or agency with responsibility for Aboriginal and Torres Strait Islander policy, there </w:t>
      </w:r>
      <w:r>
        <w:t xml:space="preserve">would </w:t>
      </w:r>
      <w:r w:rsidRPr="0063559D">
        <w:t>be a requirement to consult with Aboriginal and Torres Strait Islander partners on issues affecting them</w:t>
      </w:r>
      <w:r>
        <w:t xml:space="preserve"> (as already required under the Agreement)</w:t>
      </w:r>
      <w:r w:rsidRPr="0063559D">
        <w:t>.</w:t>
      </w:r>
    </w:p>
    <w:p w14:paraId="0A23F08F" w14:textId="55794ED8" w:rsidR="00E33307" w:rsidRPr="001F3C53" w:rsidRDefault="00873E75" w:rsidP="00264AF7">
      <w:pPr>
        <w:pStyle w:val="BodyText"/>
        <w:rPr>
          <w:spacing w:val="-2"/>
        </w:rPr>
      </w:pPr>
      <w:r w:rsidRPr="001F3C53">
        <w:rPr>
          <w:spacing w:val="-2"/>
        </w:rPr>
        <w:t>It is also important to consider all of the component parts of decision</w:t>
      </w:r>
      <w:r w:rsidRPr="001F3C53">
        <w:rPr>
          <w:spacing w:val="-2"/>
        </w:rPr>
        <w:noBreakHyphen/>
        <w:t xml:space="preserve">making processes. Changes to Cabinet </w:t>
      </w:r>
      <w:r w:rsidRPr="001F3C53">
        <w:rPr>
          <w:i/>
          <w:iCs/>
          <w:spacing w:val="-2"/>
        </w:rPr>
        <w:t>and</w:t>
      </w:r>
      <w:r w:rsidRPr="001F3C53">
        <w:rPr>
          <w:spacing w:val="-2"/>
        </w:rPr>
        <w:t xml:space="preserve"> Budget systems will be more impactful than changes to Cabinet or Budget systems alone. And there also needs to be a process for ensuring that changes to Cabinet and Budget systems are reflected in guidance materials and subsidiary policy analyses. Such a process might have meant that when the Australian Government updated its Guide to Policy Impact Analysis, it consulted with the NIAA (as required by its Cabinet processes) or with Aboriginal and Torres Strait Islander partners. But instead, the March 2023 edition of the guide mentions ‘indigeneity’ once and contains no guidance about the need to, and or the importance of, assessing the impact of policies on Aboriginal and Torres Strait Islander people </w:t>
      </w:r>
      <w:r w:rsidRPr="001F3C53">
        <w:rPr>
          <w:rFonts w:cs="Arial"/>
          <w:spacing w:val="-2"/>
          <w:szCs w:val="24"/>
        </w:rPr>
        <w:t>(DPMC 2023a)</w:t>
      </w:r>
      <w:r w:rsidRPr="001F3C53">
        <w:rPr>
          <w:spacing w:val="-2"/>
        </w:rPr>
        <w:t xml:space="preserve">.  </w:t>
      </w:r>
    </w:p>
    <w:p w14:paraId="336D7A42" w14:textId="3CE3A81A" w:rsidR="00932DAC" w:rsidRDefault="00411C1A" w:rsidP="00932DAC">
      <w:pPr>
        <w:pStyle w:val="Heading4"/>
      </w:pPr>
      <w:r w:rsidRPr="00117482">
        <w:t xml:space="preserve">Funding and contracting </w:t>
      </w:r>
      <w:r w:rsidR="00037831">
        <w:t xml:space="preserve">rules </w:t>
      </w:r>
      <w:r w:rsidR="00932DAC">
        <w:t xml:space="preserve">that support the Priority Reforms </w:t>
      </w:r>
    </w:p>
    <w:p w14:paraId="52A3F1D6" w14:textId="6F8F19B3" w:rsidR="007363D6" w:rsidRDefault="0075175E" w:rsidP="00E6795F">
      <w:pPr>
        <w:pStyle w:val="BodyText"/>
      </w:pPr>
      <w:r w:rsidRPr="0075175E">
        <w:t xml:space="preserve">As noted in information paper 3, to date there has been mixed progress in amending </w:t>
      </w:r>
      <w:r w:rsidR="0062592C">
        <w:t>funding and commissioning</w:t>
      </w:r>
      <w:r w:rsidRPr="0075175E">
        <w:t xml:space="preserve"> guidelines to prioritise ACCOs</w:t>
      </w:r>
      <w:r w:rsidR="00932DAC">
        <w:t xml:space="preserve"> (as required by Priority Reform 2)</w:t>
      </w:r>
      <w:r w:rsidRPr="0075175E">
        <w:t>.</w:t>
      </w:r>
      <w:r w:rsidR="00E6795F">
        <w:t xml:space="preserve"> </w:t>
      </w:r>
      <w:r w:rsidR="00E6795F" w:rsidRPr="00E6795F">
        <w:t xml:space="preserve">As the responsible agencies, </w:t>
      </w:r>
      <w:r w:rsidR="007363D6" w:rsidRPr="00E6795F">
        <w:t xml:space="preserve">Departments of Finance or Treasuries need to play a key role in </w:t>
      </w:r>
      <w:r w:rsidR="00515242">
        <w:t xml:space="preserve">addressing any shortfall and </w:t>
      </w:r>
      <w:r w:rsidR="007363D6" w:rsidRPr="00E6795F">
        <w:t xml:space="preserve">ensuring that funding and contracting arrangements align with the Agreement. </w:t>
      </w:r>
    </w:p>
    <w:p w14:paraId="7246C79B" w14:textId="68BA2AC7" w:rsidR="00FF11E8" w:rsidRPr="00D32939" w:rsidRDefault="00515242" w:rsidP="00FF11E8">
      <w:pPr>
        <w:pStyle w:val="BodyText"/>
        <w:rPr>
          <w:spacing w:val="-2"/>
        </w:rPr>
      </w:pPr>
      <w:r w:rsidRPr="00D32939">
        <w:rPr>
          <w:spacing w:val="-2"/>
        </w:rPr>
        <w:t>The</w:t>
      </w:r>
      <w:r w:rsidR="007928E3" w:rsidRPr="00D32939">
        <w:rPr>
          <w:spacing w:val="-2"/>
        </w:rPr>
        <w:t xml:space="preserve"> first stage of this task is to assess the extent to which funding and contracting arrangements support the Agreement and its Priority Reforms. This assessment should be done in a way that aligns with all of the Priority Reforms</w:t>
      </w:r>
      <w:r w:rsidR="0084675D" w:rsidRPr="00D32939">
        <w:rPr>
          <w:spacing w:val="-2"/>
        </w:rPr>
        <w:t xml:space="preserve"> – not just </w:t>
      </w:r>
      <w:r w:rsidR="00530F09" w:rsidRPr="00D32939">
        <w:rPr>
          <w:spacing w:val="-2"/>
        </w:rPr>
        <w:t xml:space="preserve">making isolated rule changes to prioritise ACCOs, but </w:t>
      </w:r>
      <w:r w:rsidR="0084675D" w:rsidRPr="00D32939">
        <w:rPr>
          <w:spacing w:val="-2"/>
        </w:rPr>
        <w:t xml:space="preserve">seeking Aboriginal and Torres Strait Islander perspectives on </w:t>
      </w:r>
      <w:r w:rsidR="00530F09" w:rsidRPr="00D32939">
        <w:rPr>
          <w:spacing w:val="-2"/>
        </w:rPr>
        <w:t>which rules need to change and why.</w:t>
      </w:r>
      <w:r w:rsidR="00FF11E8" w:rsidRPr="00D32939">
        <w:rPr>
          <w:spacing w:val="-2"/>
        </w:rPr>
        <w:t xml:space="preserve"> </w:t>
      </w:r>
      <w:r w:rsidR="00F623A4" w:rsidRPr="00D32939">
        <w:rPr>
          <w:spacing w:val="-2"/>
        </w:rPr>
        <w:t xml:space="preserve">The assessment </w:t>
      </w:r>
      <w:r w:rsidR="00FF11E8" w:rsidRPr="00D32939">
        <w:rPr>
          <w:spacing w:val="-2"/>
        </w:rPr>
        <w:t xml:space="preserve">should also include </w:t>
      </w:r>
      <w:r w:rsidR="00132E8F" w:rsidRPr="00D32939">
        <w:rPr>
          <w:spacing w:val="-2"/>
        </w:rPr>
        <w:t>consideration</w:t>
      </w:r>
      <w:r w:rsidR="00FF11E8" w:rsidRPr="00D32939">
        <w:rPr>
          <w:spacing w:val="-2"/>
        </w:rPr>
        <w:t xml:space="preserve"> of the potential to put</w:t>
      </w:r>
      <w:r w:rsidR="00132E8F" w:rsidRPr="00D32939">
        <w:rPr>
          <w:spacing w:val="-2"/>
        </w:rPr>
        <w:t xml:space="preserve"> o</w:t>
      </w:r>
      <w:r w:rsidR="00FF11E8" w:rsidRPr="00D32939">
        <w:rPr>
          <w:spacing w:val="-2"/>
        </w:rPr>
        <w:t>bligations for governments into service delivery contracts, such as requirements for governments to provide data to ACCOs to enable them to design and deliver services that best meet the priorities and needs of service user</w:t>
      </w:r>
      <w:r w:rsidR="00E818EA" w:rsidRPr="00D32939">
        <w:rPr>
          <w:spacing w:val="-2"/>
        </w:rPr>
        <w:t>s</w:t>
      </w:r>
      <w:r w:rsidR="00EE7C3B" w:rsidRPr="00D32939">
        <w:rPr>
          <w:spacing w:val="-2"/>
        </w:rPr>
        <w:t>. Such obligations would provide another mechanism by which Aboriginal and Torres Strait Islander people could hold governments accountabl</w:t>
      </w:r>
      <w:r w:rsidR="00F058AB" w:rsidRPr="00D32939">
        <w:rPr>
          <w:spacing w:val="-2"/>
        </w:rPr>
        <w:t>e</w:t>
      </w:r>
      <w:r w:rsidR="00E818EA" w:rsidRPr="00D32939">
        <w:rPr>
          <w:spacing w:val="-2"/>
        </w:rPr>
        <w:t xml:space="preserve"> </w:t>
      </w:r>
      <w:r w:rsidR="00132E8F" w:rsidRPr="00D32939">
        <w:rPr>
          <w:spacing w:val="-2"/>
        </w:rPr>
        <w:t>(information paper 3)</w:t>
      </w:r>
      <w:r w:rsidR="00FF11E8" w:rsidRPr="00D32939">
        <w:rPr>
          <w:spacing w:val="-2"/>
        </w:rPr>
        <w:t>.</w:t>
      </w:r>
    </w:p>
    <w:p w14:paraId="35ACB9E2" w14:textId="3E2D1763" w:rsidR="00851B70" w:rsidRDefault="00530F09" w:rsidP="009960B9">
      <w:pPr>
        <w:pStyle w:val="BodyText"/>
      </w:pPr>
      <w:r>
        <w:t xml:space="preserve">The second stage is to </w:t>
      </w:r>
      <w:r w:rsidR="00752A9C">
        <w:t>make any required changes</w:t>
      </w:r>
      <w:r w:rsidR="00515242">
        <w:t>.</w:t>
      </w:r>
      <w:r w:rsidR="00752A9C">
        <w:t xml:space="preserve"> It is also possible that it is not the rules or guidelines about funding and commissioning</w:t>
      </w:r>
      <w:r w:rsidR="00752A9C" w:rsidRPr="0075175E">
        <w:t xml:space="preserve"> </w:t>
      </w:r>
      <w:r w:rsidR="00752A9C">
        <w:t xml:space="preserve">that need to change – the rules </w:t>
      </w:r>
      <w:r w:rsidR="008F2997">
        <w:t xml:space="preserve">and guidelines </w:t>
      </w:r>
      <w:r w:rsidR="00752A9C">
        <w:t xml:space="preserve">may be adequate in themselves, but </w:t>
      </w:r>
      <w:r w:rsidR="00A4769E">
        <w:t xml:space="preserve">may </w:t>
      </w:r>
      <w:r w:rsidR="004D5CF2">
        <w:t xml:space="preserve">currently </w:t>
      </w:r>
      <w:r w:rsidR="00752A9C">
        <w:t xml:space="preserve">be applied in ways that are inconsistent with the Agreement. </w:t>
      </w:r>
      <w:r w:rsidR="003D4826">
        <w:t xml:space="preserve">If it is practices </w:t>
      </w:r>
      <w:r w:rsidR="003D4826">
        <w:lastRenderedPageBreak/>
        <w:t>and habits</w:t>
      </w:r>
      <w:r w:rsidR="00903E93">
        <w:t xml:space="preserve"> (</w:t>
      </w:r>
      <w:r w:rsidR="003D4826">
        <w:t>rather than the rule and guidelines</w:t>
      </w:r>
      <w:r w:rsidR="00903E93">
        <w:t>)</w:t>
      </w:r>
      <w:r w:rsidR="003D4826">
        <w:t xml:space="preserve"> that are impeding implementation of the Agreement and its Priority Reforms</w:t>
      </w:r>
      <w:r w:rsidR="009960B9">
        <w:t xml:space="preserve">, then </w:t>
      </w:r>
      <w:r w:rsidR="00F566D7" w:rsidRPr="00334441">
        <w:t xml:space="preserve">Departments of Finance or Treasuries are best placed to issue </w:t>
      </w:r>
      <w:r w:rsidR="008F2997">
        <w:t>binding instructions</w:t>
      </w:r>
      <w:r w:rsidR="008F2997" w:rsidRPr="00334441">
        <w:t xml:space="preserve"> </w:t>
      </w:r>
      <w:r w:rsidR="00F566D7" w:rsidRPr="00334441">
        <w:t>to change those practices and habits.</w:t>
      </w:r>
    </w:p>
    <w:p w14:paraId="40ACF65B" w14:textId="2E78116F" w:rsidR="006675EC" w:rsidRDefault="006675EC">
      <w:pPr>
        <w:pStyle w:val="NoSpacing"/>
      </w:pPr>
    </w:p>
    <w:tbl>
      <w:tblPr>
        <w:tblStyle w:val="Texttable-Paleblue"/>
        <w:tblW w:w="5000" w:type="pct"/>
        <w:tblLook w:val="04A0" w:firstRow="1" w:lastRow="0" w:firstColumn="1" w:lastColumn="0" w:noHBand="0" w:noVBand="1"/>
      </w:tblPr>
      <w:tblGrid>
        <w:gridCol w:w="792"/>
        <w:gridCol w:w="8846"/>
      </w:tblGrid>
      <w:tr w:rsidR="006675EC" w14:paraId="1F4140F8" w14:textId="77777777" w:rsidTr="006675EC">
        <w:trPr>
          <w:tblHeader/>
        </w:trPr>
        <w:tc>
          <w:tcPr>
            <w:tcW w:w="709" w:type="dxa"/>
            <w:shd w:val="clear" w:color="auto" w:fill="FBF3EC"/>
            <w:tcMar>
              <w:top w:w="0" w:type="dxa"/>
              <w:bottom w:w="0" w:type="dxa"/>
            </w:tcMar>
            <w:vAlign w:val="center"/>
          </w:tcPr>
          <w:p w14:paraId="4673C552" w14:textId="05F8AFAA" w:rsidR="006675EC" w:rsidRDefault="006675EC">
            <w:pPr>
              <w:keepLines/>
              <w:jc w:val="center"/>
            </w:pPr>
            <w:r w:rsidRPr="00A51374">
              <w:rPr>
                <w:noProof/>
              </w:rPr>
              <w:drawing>
                <wp:inline distT="0" distB="0" distL="0" distR="0" wp14:anchorId="3077B2D3" wp14:editId="7B14069D">
                  <wp:extent cx="360000" cy="360000"/>
                  <wp:effectExtent l="0" t="0" r="0" b="0"/>
                  <wp:docPr id="742785085" name="Picture 7427850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19299" name="Graphic 99519299">
                            <a:extLst>
                              <a:ext uri="{C183D7F6-B498-43B3-948B-1728B52AA6E4}">
                                <adec:decorative xmlns:adec="http://schemas.microsoft.com/office/drawing/2017/decorative" val="1"/>
                              </a:ext>
                            </a:extLst>
                          </pic:cNvPr>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8874" w:type="dxa"/>
            <w:shd w:val="clear" w:color="auto" w:fill="FBF3EC"/>
            <w:tcMar>
              <w:top w:w="0" w:type="dxa"/>
              <w:bottom w:w="0" w:type="dxa"/>
            </w:tcMar>
            <w:vAlign w:val="center"/>
          </w:tcPr>
          <w:p w14:paraId="18A04BDC" w14:textId="77777777" w:rsidR="006675EC" w:rsidRPr="00851B70" w:rsidRDefault="006675EC" w:rsidP="006675EC">
            <w:pPr>
              <w:pStyle w:val="TableHeading"/>
              <w:keepLines/>
              <w:spacing w:before="120"/>
              <w:contextualSpacing/>
              <w:rPr>
                <w:sz w:val="20"/>
                <w:szCs w:val="22"/>
              </w:rPr>
            </w:pPr>
            <w:r w:rsidRPr="00851B70">
              <w:rPr>
                <w:sz w:val="20"/>
                <w:szCs w:val="22"/>
              </w:rPr>
              <w:t>Draft recommendation 4</w:t>
            </w:r>
          </w:p>
          <w:p w14:paraId="7181E529" w14:textId="588AF7E2" w:rsidR="006675EC" w:rsidRPr="00715040" w:rsidRDefault="006675EC" w:rsidP="006675EC">
            <w:pPr>
              <w:pStyle w:val="TableHeading"/>
              <w:keepLines/>
              <w:spacing w:before="120" w:after="120"/>
              <w:contextualSpacing/>
              <w:rPr>
                <w:sz w:val="20"/>
              </w:rPr>
            </w:pPr>
            <w:r w:rsidRPr="00851B70">
              <w:rPr>
                <w:sz w:val="20"/>
                <w:szCs w:val="22"/>
              </w:rPr>
              <w:t>Central agencies leading changes to Cabinet, Budget, funding and contracting processes</w:t>
            </w:r>
          </w:p>
        </w:tc>
      </w:tr>
      <w:tr w:rsidR="006675EC" w14:paraId="6C8882CC" w14:textId="77777777" w:rsidTr="006675EC">
        <w:tc>
          <w:tcPr>
            <w:tcW w:w="9583" w:type="dxa"/>
            <w:gridSpan w:val="2"/>
            <w:shd w:val="clear" w:color="auto" w:fill="FBF3EC"/>
            <w:tcMar>
              <w:top w:w="0" w:type="dxa"/>
            </w:tcMar>
          </w:tcPr>
          <w:p w14:paraId="341325FB" w14:textId="77777777" w:rsidR="006675EC" w:rsidRDefault="006675EC" w:rsidP="006675EC">
            <w:pPr>
              <w:pStyle w:val="BodyText"/>
              <w:keepLines/>
            </w:pPr>
            <w:r>
              <w:t>The Australian, state and territory governments should e</w:t>
            </w:r>
            <w:r w:rsidRPr="0079769A">
              <w:t>nsur</w:t>
            </w:r>
            <w:r>
              <w:t>e</w:t>
            </w:r>
            <w:r w:rsidRPr="0079769A">
              <w:t xml:space="preserve"> that </w:t>
            </w:r>
            <w:r>
              <w:t>whole</w:t>
            </w:r>
            <w:r>
              <w:noBreakHyphen/>
              <w:t>of</w:t>
            </w:r>
            <w:r>
              <w:noBreakHyphen/>
              <w:t xml:space="preserve">government processes actively drive changes to deliver the outcomes of the National Agreement on Closing the Gap. </w:t>
            </w:r>
          </w:p>
          <w:p w14:paraId="5DA4EA92" w14:textId="77777777" w:rsidR="006675EC" w:rsidRDefault="006675EC" w:rsidP="006675EC">
            <w:pPr>
              <w:pStyle w:val="ListBullet"/>
            </w:pPr>
            <w:r>
              <w:t xml:space="preserve">At a minimum, this will require </w:t>
            </w:r>
            <w:r w:rsidRPr="0079769A">
              <w:t>central agencie</w:t>
            </w:r>
            <w:r>
              <w:t xml:space="preserve">s to review </w:t>
            </w:r>
            <w:r w:rsidRPr="0079769A">
              <w:t>Cabinet, Budget, funding and contracting arrangements</w:t>
            </w:r>
            <w:r>
              <w:t xml:space="preserve"> to ensure that they support the Agreement and its Priority Reforms.</w:t>
            </w:r>
          </w:p>
          <w:p w14:paraId="5CCAD634" w14:textId="1AC7BB75" w:rsidR="006675EC" w:rsidRPr="00767EAE" w:rsidRDefault="006675EC" w:rsidP="006675EC">
            <w:pPr>
              <w:pStyle w:val="ListBullet"/>
            </w:pPr>
            <w:r>
              <w:t xml:space="preserve">In many cases, this will require changes to </w:t>
            </w:r>
            <w:r w:rsidRPr="0079769A">
              <w:t>Cabinet, Budget, funding and contracting arrangements</w:t>
            </w:r>
            <w:r>
              <w:t xml:space="preserve"> to better support the Agreement, as well as guidance for agencies about best</w:t>
            </w:r>
            <w:r>
              <w:noBreakHyphen/>
              <w:t>practice approaches.</w:t>
            </w:r>
          </w:p>
        </w:tc>
      </w:tr>
      <w:tr w:rsidR="006675EC" w14:paraId="6C0C2A0D" w14:textId="77777777">
        <w:tc>
          <w:tcPr>
            <w:tcW w:w="9583" w:type="dxa"/>
            <w:gridSpan w:val="2"/>
            <w:shd w:val="clear" w:color="auto" w:fill="auto"/>
            <w:tcMar>
              <w:top w:w="0" w:type="dxa"/>
              <w:bottom w:w="0" w:type="dxa"/>
            </w:tcMar>
          </w:tcPr>
          <w:p w14:paraId="4C0EBA41" w14:textId="4F419741" w:rsidR="006675EC" w:rsidRPr="007E0EA8" w:rsidRDefault="006675EC">
            <w:pPr>
              <w:pStyle w:val="NoSpacing"/>
              <w:spacing w:line="200" w:lineRule="exact"/>
            </w:pPr>
          </w:p>
        </w:tc>
      </w:tr>
    </w:tbl>
    <w:p w14:paraId="35FEF7BA" w14:textId="385B1887" w:rsidR="00BD0D92" w:rsidRDefault="00BD0D92" w:rsidP="00BD0D92">
      <w:pPr>
        <w:pStyle w:val="Heading3"/>
      </w:pPr>
      <w:bookmarkStart w:id="13" w:name="_Hlk138748745"/>
      <w:r w:rsidRPr="00F566D7">
        <w:t>Sector</w:t>
      </w:r>
      <w:r w:rsidR="00FD58AA">
        <w:noBreakHyphen/>
      </w:r>
      <w:r w:rsidRPr="00F566D7">
        <w:t>specific accountability mechanisms</w:t>
      </w:r>
    </w:p>
    <w:bookmarkEnd w:id="13"/>
    <w:p w14:paraId="039D65E2" w14:textId="62E707CE" w:rsidR="008306D1" w:rsidRDefault="008306D1" w:rsidP="009A5F00">
      <w:pPr>
        <w:pStyle w:val="BodyText"/>
      </w:pPr>
      <w:r w:rsidRPr="008306D1">
        <w:t>In addition to whole</w:t>
      </w:r>
      <w:r w:rsidR="00FD58AA">
        <w:noBreakHyphen/>
      </w:r>
      <w:r w:rsidRPr="008306D1">
        <w:t>of</w:t>
      </w:r>
      <w:r w:rsidR="00FD58AA">
        <w:noBreakHyphen/>
      </w:r>
      <w:r w:rsidRPr="008306D1">
        <w:t>government accountability mechanisms, there are numerous authorities and regulators that are designed to provide accountability in particular sectors. They include health and community services complaints commissioners, children’s commissioners and sector</w:t>
      </w:r>
      <w:r w:rsidR="00FD58AA">
        <w:noBreakHyphen/>
      </w:r>
      <w:r w:rsidRPr="008306D1">
        <w:t xml:space="preserve">specific ombudsmen. There are also </w:t>
      </w:r>
      <w:r w:rsidR="004922F3">
        <w:t>numerous</w:t>
      </w:r>
      <w:r w:rsidRPr="008306D1">
        <w:t xml:space="preserve"> occupational regulators, whose role is to protect the safety of consumers and/or the public, and ensure a sufficient and reliable level of service quality for services delivered by people registered in those occupations.  </w:t>
      </w:r>
    </w:p>
    <w:p w14:paraId="47BD9114" w14:textId="3BEF83F0" w:rsidR="00A805FD" w:rsidRDefault="00A805FD" w:rsidP="00A805FD">
      <w:pPr>
        <w:pStyle w:val="BodyText"/>
      </w:pPr>
      <w:r w:rsidRPr="006C060F">
        <w:t xml:space="preserve">Review </w:t>
      </w:r>
      <w:r w:rsidR="006C060F" w:rsidRPr="006C060F">
        <w:t>participants</w:t>
      </w:r>
      <w:r w:rsidRPr="006C060F">
        <w:t xml:space="preserve"> </w:t>
      </w:r>
      <w:r w:rsidR="006C060F" w:rsidRPr="006C060F">
        <w:t>emphasised</w:t>
      </w:r>
      <w:r w:rsidRPr="006C060F">
        <w:t xml:space="preserve"> the importance of </w:t>
      </w:r>
      <w:r w:rsidR="006C060F" w:rsidRPr="006C060F">
        <w:t>sector</w:t>
      </w:r>
      <w:r w:rsidR="00FD58AA">
        <w:noBreakHyphen/>
      </w:r>
      <w:r w:rsidR="006C060F" w:rsidRPr="006C060F">
        <w:t>specific accountability mechanisms. For example, t</w:t>
      </w:r>
      <w:r w:rsidRPr="006C060F">
        <w:t>he Aboriginal Family Legal Service WA said that accountability mechanisms should include a Commissioner for Aboriginal Children and Young People in every state and territory (sub.</w:t>
      </w:r>
      <w:r w:rsidR="00FD58AA">
        <w:t> </w:t>
      </w:r>
      <w:r w:rsidRPr="006C060F">
        <w:t>7, p.</w:t>
      </w:r>
      <w:r w:rsidR="00FD58AA">
        <w:t> </w:t>
      </w:r>
      <w:r w:rsidRPr="006C060F">
        <w:t xml:space="preserve">8). </w:t>
      </w:r>
    </w:p>
    <w:p w14:paraId="38E20309" w14:textId="6404B279" w:rsidR="00A233B7" w:rsidRDefault="00A233B7" w:rsidP="00A805FD">
      <w:pPr>
        <w:pStyle w:val="BodyText"/>
      </w:pPr>
      <w:r>
        <w:t>In its community consultations, NSW CAPO found that</w:t>
      </w:r>
      <w:r w:rsidR="00707E73">
        <w:t>:</w:t>
      </w:r>
    </w:p>
    <w:p w14:paraId="65CC951F" w14:textId="10B4BD2A" w:rsidR="006D3D0F" w:rsidRPr="006C060F" w:rsidRDefault="006D3D0F" w:rsidP="006D3D0F">
      <w:pPr>
        <w:pStyle w:val="Quote"/>
      </w:pPr>
      <w:r>
        <w:t xml:space="preserve">Accountability is needed in everyday interactions. Complaints by Aboriginal people are being ignored, or not taken seriously. A more effective and independent system for raising issues is needed. </w:t>
      </w:r>
      <w:r w:rsidR="00541E97" w:rsidRPr="00541E97">
        <w:rPr>
          <w:rFonts w:ascii="Arial" w:hAnsi="Arial" w:cs="Arial"/>
          <w:szCs w:val="24"/>
        </w:rPr>
        <w:t>(2022, p. 27)</w:t>
      </w:r>
    </w:p>
    <w:p w14:paraId="485A40EE" w14:textId="0B0E50B9" w:rsidR="008306D1" w:rsidRPr="008306D1" w:rsidRDefault="0025484C" w:rsidP="007C2B9C">
      <w:pPr>
        <w:pStyle w:val="BodyText"/>
        <w:keepNext/>
      </w:pPr>
      <w:r>
        <w:t xml:space="preserve">In sectors in which there are </w:t>
      </w:r>
      <w:r w:rsidR="008306D1" w:rsidRPr="008306D1">
        <w:t>sector</w:t>
      </w:r>
      <w:r w:rsidR="00FD58AA">
        <w:noBreakHyphen/>
      </w:r>
      <w:r w:rsidR="008306D1" w:rsidRPr="008306D1">
        <w:t>specific accountability mechanisms</w:t>
      </w:r>
      <w:r>
        <w:t>, there are concerns that these mechanisms</w:t>
      </w:r>
      <w:r w:rsidR="008306D1" w:rsidRPr="008306D1">
        <w:t xml:space="preserve"> are not working well for Aboriginal and Torres </w:t>
      </w:r>
      <w:r w:rsidR="00156739">
        <w:t xml:space="preserve">Strait </w:t>
      </w:r>
      <w:r w:rsidR="008306D1" w:rsidRPr="008306D1">
        <w:t>Islander people. Reviews of sectors covered by these mechanisms have pointed to continued failings. For example, in an Independent Review of Aboriginal Children in Out</w:t>
      </w:r>
      <w:r w:rsidR="00FD58AA">
        <w:noBreakHyphen/>
      </w:r>
      <w:r w:rsidR="008306D1" w:rsidRPr="008306D1">
        <w:t>of</w:t>
      </w:r>
      <w:r w:rsidR="00FD58AA">
        <w:noBreakHyphen/>
      </w:r>
      <w:r w:rsidR="008306D1" w:rsidRPr="008306D1">
        <w:t>Home Care in New South Wales:</w:t>
      </w:r>
    </w:p>
    <w:p w14:paraId="4979BC48" w14:textId="6E2AE5FD" w:rsidR="008306D1" w:rsidRDefault="008306D1" w:rsidP="009A5109">
      <w:pPr>
        <w:pStyle w:val="Quote"/>
      </w:pPr>
      <w:r w:rsidRPr="008306D1">
        <w:t xml:space="preserve">The need for more accountability—and in particular, the need for there to be consequences or sanctions when [Department of Communities and Justice] staff do not comply with legislation and policy—emerged as a major theme in submissions to the Review. </w:t>
      </w:r>
      <w:r w:rsidRPr="008306D1">
        <w:rPr>
          <w:rFonts w:ascii="Arial" w:hAnsi="Arial" w:cs="Arial"/>
          <w:szCs w:val="24"/>
        </w:rPr>
        <w:t>(Davis 2019, p. 105)</w:t>
      </w:r>
    </w:p>
    <w:p w14:paraId="126E3574" w14:textId="6A671D82" w:rsidR="003B22E5" w:rsidRPr="00FD58AA" w:rsidRDefault="001C7C69" w:rsidP="00F82CCE">
      <w:pPr>
        <w:pStyle w:val="BodyText"/>
        <w:rPr>
          <w:color w:val="7030A0"/>
        </w:rPr>
      </w:pPr>
      <w:r>
        <w:t>But</w:t>
      </w:r>
      <w:r w:rsidR="0025484C" w:rsidRPr="0025484C">
        <w:t xml:space="preserve"> </w:t>
      </w:r>
      <w:r w:rsidR="0025484C">
        <w:t xml:space="preserve">in sectors </w:t>
      </w:r>
      <w:r w:rsidR="002A1FAF">
        <w:t xml:space="preserve">where they do not exist, there are moves to establish </w:t>
      </w:r>
      <w:r w:rsidRPr="008306D1">
        <w:t>sector</w:t>
      </w:r>
      <w:r w:rsidR="00FD58AA">
        <w:noBreakHyphen/>
      </w:r>
      <w:r w:rsidRPr="008306D1">
        <w:t xml:space="preserve">specific accountability </w:t>
      </w:r>
      <w:r w:rsidRPr="0032281D">
        <w:t>mechanisms</w:t>
      </w:r>
      <w:r w:rsidR="002E31DC">
        <w:t xml:space="preserve"> for Aboriginal and Torres Strait Islander people</w:t>
      </w:r>
      <w:r w:rsidR="00A475C9" w:rsidRPr="0032281D">
        <w:t xml:space="preserve">. For example, in </w:t>
      </w:r>
      <w:r w:rsidR="00A475C9" w:rsidRPr="0032281D">
        <w:rPr>
          <w:i/>
          <w:iCs/>
        </w:rPr>
        <w:t>Safe and Supported: the National Framework for Protecting Australia’s Children 2021–2031</w:t>
      </w:r>
      <w:r w:rsidR="00A475C9" w:rsidRPr="0032281D">
        <w:t>, governments have agreed to</w:t>
      </w:r>
      <w:r w:rsidR="0032281D">
        <w:rPr>
          <w:color w:val="7030A0"/>
        </w:rPr>
        <w:t>:</w:t>
      </w:r>
    </w:p>
    <w:p w14:paraId="1705366E" w14:textId="152BAC1A" w:rsidR="009A5C92" w:rsidRDefault="0032281D" w:rsidP="003601D3">
      <w:pPr>
        <w:pStyle w:val="ListBullet"/>
        <w:numPr>
          <w:ilvl w:val="0"/>
          <w:numId w:val="21"/>
        </w:numPr>
      </w:pPr>
      <w:r>
        <w:t>d</w:t>
      </w:r>
      <w:r w:rsidR="005245C5">
        <w:t xml:space="preserve">evelop </w:t>
      </w:r>
      <w:r w:rsidR="00A475C9" w:rsidRPr="003B22E5">
        <w:t>agreed minimum requirements for Aboriginal and Torres Strait Islander Children’s Commissioner roles in partnership with Aboriginal and Torres Strait Islander people</w:t>
      </w:r>
    </w:p>
    <w:p w14:paraId="3B1767D0" w14:textId="542357AE" w:rsidR="005511F8" w:rsidRDefault="0032281D" w:rsidP="003601D3">
      <w:pPr>
        <w:pStyle w:val="ListBullet"/>
        <w:numPr>
          <w:ilvl w:val="0"/>
          <w:numId w:val="21"/>
        </w:numPr>
      </w:pPr>
      <w:r>
        <w:t>e</w:t>
      </w:r>
      <w:r w:rsidR="00A475C9" w:rsidRPr="003B22E5">
        <w:t>stablish such roles where they do not exist</w:t>
      </w:r>
      <w:r w:rsidR="005511F8">
        <w:t xml:space="preserve"> </w:t>
      </w:r>
    </w:p>
    <w:p w14:paraId="488A2772" w14:textId="629FD9E9" w:rsidR="00A475C9" w:rsidRPr="003B22E5" w:rsidRDefault="0032281D" w:rsidP="003601D3">
      <w:pPr>
        <w:pStyle w:val="ListBullet"/>
        <w:numPr>
          <w:ilvl w:val="0"/>
          <w:numId w:val="21"/>
        </w:numPr>
      </w:pPr>
      <w:r>
        <w:lastRenderedPageBreak/>
        <w:t>r</w:t>
      </w:r>
      <w:r w:rsidR="00A475C9" w:rsidRPr="003B22E5">
        <w:t>eview and strengthen existing roles against the minimum requirements for independent, effective and empowered Commissioners</w:t>
      </w:r>
      <w:r>
        <w:t xml:space="preserve"> </w:t>
      </w:r>
      <w:r w:rsidR="00F969FC" w:rsidRPr="00F969FC">
        <w:rPr>
          <w:rFonts w:ascii="Arial" w:hAnsi="Arial" w:cs="Arial"/>
          <w:szCs w:val="24"/>
        </w:rPr>
        <w:t>(DSS 2023, p. 42)</w:t>
      </w:r>
      <w:r w:rsidR="00A475C9" w:rsidRPr="003B22E5">
        <w:t>.</w:t>
      </w:r>
      <w:r w:rsidR="005A06A2">
        <w:t xml:space="preserve"> </w:t>
      </w:r>
    </w:p>
    <w:p w14:paraId="38A747A5" w14:textId="6AA16222" w:rsidR="00D616D4" w:rsidRDefault="001B32EF" w:rsidP="00AA1E51">
      <w:pPr>
        <w:pStyle w:val="BodyText"/>
      </w:pPr>
      <w:r>
        <w:t xml:space="preserve">In sectors in which there are not </w:t>
      </w:r>
      <w:r w:rsidRPr="008306D1">
        <w:t xml:space="preserve">specific accountability </w:t>
      </w:r>
      <w:r w:rsidRPr="0032281D">
        <w:t>mechanisms</w:t>
      </w:r>
      <w:r>
        <w:t xml:space="preserve"> for Aboriginal and Torres Strait Islander people, </w:t>
      </w:r>
      <w:r w:rsidR="00F53A7E">
        <w:t xml:space="preserve">building cultural capability in </w:t>
      </w:r>
      <w:r>
        <w:t>mainstream agencies</w:t>
      </w:r>
      <w:r w:rsidR="00F53A7E">
        <w:t xml:space="preserve"> is essential. But</w:t>
      </w:r>
      <w:r w:rsidR="00D616D4" w:rsidDel="00CD3076">
        <w:t xml:space="preserve"> </w:t>
      </w:r>
      <w:r w:rsidR="00D616D4">
        <w:t xml:space="preserve">smaller agencies such as </w:t>
      </w:r>
      <w:r w:rsidR="00D616D4" w:rsidRPr="008306D1">
        <w:t>health and community services complaints commissioners, children’s commissioners and sector</w:t>
      </w:r>
      <w:r w:rsidR="00FD58AA">
        <w:noBreakHyphen/>
      </w:r>
      <w:r w:rsidR="00D616D4" w:rsidRPr="008306D1">
        <w:t>specific ombudsmen</w:t>
      </w:r>
      <w:r w:rsidR="00D616D4">
        <w:t xml:space="preserve"> are not included in jurisdictions’ implementation plans</w:t>
      </w:r>
      <w:r w:rsidR="00CD3076">
        <w:t xml:space="preserve"> (as noted in information </w:t>
      </w:r>
      <w:r w:rsidR="00BA172C">
        <w:t xml:space="preserve">paper </w:t>
      </w:r>
      <w:r w:rsidR="00CD3076">
        <w:t>6, many agencies are not included in these plans)</w:t>
      </w:r>
      <w:r w:rsidR="00D616D4">
        <w:t>.</w:t>
      </w:r>
      <w:r w:rsidR="006153C4">
        <w:t xml:space="preserve"> Th</w:t>
      </w:r>
      <w:r w:rsidR="006E0469">
        <w:t xml:space="preserve">is means that there is little visibility about what, if anything, these </w:t>
      </w:r>
      <w:r w:rsidR="00D94FC1">
        <w:t xml:space="preserve">agencies are doing to implement the Agreement. </w:t>
      </w:r>
    </w:p>
    <w:p w14:paraId="6D2F23C6" w14:textId="46508F84" w:rsidR="006675EC" w:rsidRDefault="00AA1E51" w:rsidP="00B67BE5">
      <w:pPr>
        <w:pStyle w:val="BodyText"/>
      </w:pPr>
      <w:r w:rsidRPr="008306D1">
        <w:t>We are seeking further information on how sector</w:t>
      </w:r>
      <w:r w:rsidR="00FD58AA">
        <w:noBreakHyphen/>
      </w:r>
      <w:r w:rsidRPr="008306D1">
        <w:t xml:space="preserve">specific mechanisms can work most effectively, and how they can contribute to enhancing accountability for </w:t>
      </w:r>
      <w:r w:rsidR="00D94FC1">
        <w:t xml:space="preserve">implementing the Priority </w:t>
      </w:r>
      <w:r w:rsidR="00B67BE5">
        <w:t>Reforms</w:t>
      </w:r>
      <w:r w:rsidR="00D94FC1">
        <w:t xml:space="preserve"> and </w:t>
      </w:r>
      <w:r w:rsidR="00B67BE5">
        <w:t xml:space="preserve">improving outcomes for </w:t>
      </w:r>
      <w:r w:rsidR="00B67BE5" w:rsidRPr="003B22E5">
        <w:t>Aboriginal and Torres Strait Islander people</w:t>
      </w:r>
      <w:r w:rsidR="00B67BE5">
        <w:t>.</w:t>
      </w:r>
    </w:p>
    <w:p w14:paraId="6DD0798F" w14:textId="1EDF84FC" w:rsidR="006675EC" w:rsidRDefault="006675EC">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82"/>
        <w:gridCol w:w="8856"/>
      </w:tblGrid>
      <w:tr w:rsidR="006675EC" w14:paraId="4F99A661" w14:textId="77777777" w:rsidTr="006675EC">
        <w:trPr>
          <w:trHeight w:val="765"/>
          <w:tblHeader/>
        </w:trPr>
        <w:tc>
          <w:tcPr>
            <w:tcW w:w="366" w:type="pct"/>
            <w:shd w:val="clear" w:color="auto" w:fill="FBF3EC"/>
            <w:tcMar>
              <w:bottom w:w="0" w:type="dxa"/>
            </w:tcMar>
            <w:vAlign w:val="center"/>
          </w:tcPr>
          <w:p w14:paraId="71D4653F" w14:textId="56B3F722" w:rsidR="006675EC" w:rsidRDefault="006675EC">
            <w:pPr>
              <w:pStyle w:val="NoSpacing"/>
              <w:keepNext/>
              <w:keepLines/>
              <w:jc w:val="right"/>
            </w:pPr>
            <w:r w:rsidRPr="00A51374">
              <w:rPr>
                <w:noProof/>
              </w:rPr>
              <w:drawing>
                <wp:inline distT="0" distB="0" distL="0" distR="0" wp14:anchorId="511CB50F" wp14:editId="555AD4E4">
                  <wp:extent cx="359508" cy="359508"/>
                  <wp:effectExtent l="0" t="0" r="0" b="0"/>
                  <wp:docPr id="646167554" name="Picture 6461675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90844" name="Graphic 208990844">
                            <a:extLst>
                              <a:ext uri="{C183D7F6-B498-43B3-948B-1728B52AA6E4}">
                                <adec:decorative xmlns:adec="http://schemas.microsoft.com/office/drawing/2017/decorative" val="1"/>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68140" cy="368140"/>
                          </a:xfrm>
                          <a:prstGeom prst="rect">
                            <a:avLst/>
                          </a:prstGeom>
                        </pic:spPr>
                      </pic:pic>
                    </a:graphicData>
                  </a:graphic>
                </wp:inline>
              </w:drawing>
            </w:r>
          </w:p>
        </w:tc>
        <w:tc>
          <w:tcPr>
            <w:tcW w:w="4634" w:type="pct"/>
            <w:shd w:val="clear" w:color="auto" w:fill="FBF3EC"/>
            <w:tcMar>
              <w:bottom w:w="0" w:type="dxa"/>
            </w:tcMar>
            <w:vAlign w:val="center"/>
          </w:tcPr>
          <w:p w14:paraId="00C24057" w14:textId="77777777" w:rsidR="006675EC" w:rsidRPr="006675EC" w:rsidRDefault="006675EC" w:rsidP="006675EC">
            <w:pPr>
              <w:pStyle w:val="TableHeading"/>
              <w:spacing w:before="120"/>
              <w:rPr>
                <w:color w:val="0D8380" w:themeColor="background2"/>
                <w:sz w:val="20"/>
                <w:szCs w:val="22"/>
              </w:rPr>
            </w:pPr>
            <w:r w:rsidRPr="006675EC">
              <w:rPr>
                <w:color w:val="0D8380" w:themeColor="background2"/>
                <w:sz w:val="20"/>
              </w:rPr>
              <w:t xml:space="preserve">Information request </w:t>
            </w:r>
            <w:r w:rsidRPr="006675EC">
              <w:rPr>
                <w:color w:val="0D8380" w:themeColor="background2"/>
                <w:sz w:val="20"/>
                <w:szCs w:val="22"/>
              </w:rPr>
              <w:t>11</w:t>
            </w:r>
          </w:p>
          <w:p w14:paraId="7C3D1D4A" w14:textId="372B0699" w:rsidR="006675EC" w:rsidRPr="002530FF" w:rsidRDefault="006675EC" w:rsidP="006675EC">
            <w:pPr>
              <w:pStyle w:val="TableHeading"/>
              <w:keepNext/>
              <w:keepLines/>
              <w:spacing w:before="120" w:after="120"/>
              <w:contextualSpacing/>
              <w:rPr>
                <w:sz w:val="20"/>
              </w:rPr>
            </w:pPr>
            <w:r w:rsidRPr="006675EC">
              <w:rPr>
                <w:color w:val="0D8380" w:themeColor="background2"/>
                <w:sz w:val="20"/>
                <w:szCs w:val="22"/>
              </w:rPr>
              <w:t>Sector</w:t>
            </w:r>
            <w:r w:rsidRPr="006675EC">
              <w:rPr>
                <w:color w:val="0D8380" w:themeColor="background2"/>
                <w:sz w:val="20"/>
                <w:szCs w:val="22"/>
              </w:rPr>
              <w:noBreakHyphen/>
              <w:t>specific accountability mechanisms</w:t>
            </w:r>
          </w:p>
        </w:tc>
      </w:tr>
      <w:tr w:rsidR="006675EC" w14:paraId="4E2B1AD5" w14:textId="77777777" w:rsidTr="006675EC">
        <w:tc>
          <w:tcPr>
            <w:tcW w:w="5000" w:type="pct"/>
            <w:gridSpan w:val="2"/>
            <w:shd w:val="clear" w:color="auto" w:fill="FBF3EC"/>
          </w:tcPr>
          <w:p w14:paraId="0DF5310D" w14:textId="77777777" w:rsidR="006675EC" w:rsidRPr="006675EC" w:rsidRDefault="006675EC" w:rsidP="006675EC">
            <w:pPr>
              <w:pStyle w:val="BodyText"/>
              <w:rPr>
                <w:color w:val="000000" w:themeColor="text1"/>
              </w:rPr>
            </w:pPr>
            <w:r w:rsidRPr="006675EC">
              <w:rPr>
                <w:color w:val="000000" w:themeColor="text1"/>
              </w:rPr>
              <w:t>The Commission is seeking further information on how well sector</w:t>
            </w:r>
            <w:r w:rsidRPr="006675EC">
              <w:rPr>
                <w:color w:val="000000" w:themeColor="text1"/>
              </w:rPr>
              <w:noBreakHyphen/>
              <w:t>specific accountability mechanisms (such as sector regulators, complaints commissioners and ombudsmen) are working for Aboriginal and Torres Islander people.</w:t>
            </w:r>
          </w:p>
          <w:p w14:paraId="12677E97" w14:textId="77777777" w:rsidR="006675EC" w:rsidRPr="006675EC" w:rsidRDefault="006675EC" w:rsidP="006675EC">
            <w:pPr>
              <w:pStyle w:val="ListBullet"/>
              <w:numPr>
                <w:ilvl w:val="0"/>
                <w:numId w:val="21"/>
              </w:numPr>
              <w:rPr>
                <w:color w:val="000000" w:themeColor="text1"/>
              </w:rPr>
            </w:pPr>
            <w:r w:rsidRPr="006675EC">
              <w:rPr>
                <w:color w:val="000000" w:themeColor="text1"/>
              </w:rPr>
              <w:t>What makes these sector</w:t>
            </w:r>
            <w:r w:rsidRPr="006675EC">
              <w:rPr>
                <w:color w:val="000000" w:themeColor="text1"/>
              </w:rPr>
              <w:noBreakHyphen/>
              <w:t>specific accountability mechanisms effective or ineffective?</w:t>
            </w:r>
          </w:p>
          <w:p w14:paraId="2770298B" w14:textId="77777777" w:rsidR="006675EC" w:rsidRPr="006675EC" w:rsidRDefault="006675EC" w:rsidP="006675EC">
            <w:pPr>
              <w:pStyle w:val="ListBullet"/>
              <w:numPr>
                <w:ilvl w:val="0"/>
                <w:numId w:val="21"/>
              </w:numPr>
              <w:rPr>
                <w:color w:val="000000" w:themeColor="text1"/>
              </w:rPr>
            </w:pPr>
            <w:r w:rsidRPr="006675EC">
              <w:rPr>
                <w:color w:val="000000" w:themeColor="text1"/>
              </w:rPr>
              <w:t>How could they contribute to enhancing accountability for outcomes under the National Agreement on Closing the Gap?</w:t>
            </w:r>
          </w:p>
          <w:p w14:paraId="5490B2E0" w14:textId="13C4FF3D" w:rsidR="006675EC" w:rsidRDefault="006675EC" w:rsidP="00FD74E2">
            <w:pPr>
              <w:pStyle w:val="ListBullet"/>
            </w:pPr>
            <w:r w:rsidRPr="006675EC">
              <w:t>How can dedicated Aboriginal and Torres Strait Islander accountability mechanisms (such as Aboriginal and Torres Strait Islander Children’s Commissioner roles) help to improve accountability to Aboriginal and Torres Strait Islander people</w:t>
            </w:r>
            <w:r w:rsidR="00FD74E2">
              <w:t>?</w:t>
            </w:r>
          </w:p>
        </w:tc>
      </w:tr>
      <w:tr w:rsidR="006675EC" w14:paraId="39FBD5DC" w14:textId="77777777">
        <w:tc>
          <w:tcPr>
            <w:tcW w:w="5000" w:type="pct"/>
            <w:gridSpan w:val="2"/>
            <w:tcMar>
              <w:bottom w:w="0" w:type="dxa"/>
            </w:tcMar>
          </w:tcPr>
          <w:p w14:paraId="66B146F3" w14:textId="7FFD78F5" w:rsidR="006675EC" w:rsidRDefault="006675EC">
            <w:pPr>
              <w:pStyle w:val="NoSpacing"/>
              <w:spacing w:line="200" w:lineRule="atLeast"/>
            </w:pPr>
          </w:p>
        </w:tc>
      </w:tr>
    </w:tbl>
    <w:p w14:paraId="321BC66B" w14:textId="1A9F3579" w:rsidR="00FB5803" w:rsidRDefault="007B4E2D" w:rsidP="00FB5803">
      <w:pPr>
        <w:pStyle w:val="Heading2-nonumber"/>
        <w:ind w:left="624" w:hanging="624"/>
      </w:pPr>
      <w:bookmarkStart w:id="14" w:name="_Toc140504490"/>
      <w:r>
        <w:t>5</w:t>
      </w:r>
      <w:r w:rsidR="003B1BC1">
        <w:tab/>
      </w:r>
      <w:r w:rsidR="00FB5803" w:rsidRPr="00166D96">
        <w:t xml:space="preserve">Improving </w:t>
      </w:r>
      <w:r w:rsidR="00FB5803">
        <w:t>transparency about actions taken to implement the Agreement</w:t>
      </w:r>
      <w:bookmarkEnd w:id="14"/>
    </w:p>
    <w:p w14:paraId="40BC6DE1" w14:textId="4E0B2F97" w:rsidR="00FB5803" w:rsidRPr="003A2FB9" w:rsidRDefault="00FB5803" w:rsidP="00FB5803">
      <w:pPr>
        <w:pStyle w:val="BodyText"/>
      </w:pPr>
      <w:r>
        <w:t xml:space="preserve">The need for transparency is emphasised in multiple places in the Agreement. Transparency is essential so that the </w:t>
      </w:r>
      <w:r w:rsidRPr="003A2FB9">
        <w:t xml:space="preserve">community </w:t>
      </w:r>
      <w:r>
        <w:t xml:space="preserve">can </w:t>
      </w:r>
      <w:r w:rsidRPr="003A2FB9">
        <w:t xml:space="preserve">clearly see how </w:t>
      </w:r>
      <w:r>
        <w:t xml:space="preserve">parties intend for their </w:t>
      </w:r>
      <w:r w:rsidRPr="003A2FB9">
        <w:t>actions</w:t>
      </w:r>
      <w:r>
        <w:t xml:space="preserve"> to d</w:t>
      </w:r>
      <w:r w:rsidRPr="003A2FB9">
        <w:t xml:space="preserve">eliver the objectives of the Agreement and </w:t>
      </w:r>
      <w:r>
        <w:t xml:space="preserve">lead to </w:t>
      </w:r>
      <w:r w:rsidRPr="003A2FB9">
        <w:t xml:space="preserve">improved outcomes for Aboriginal and Torres Strait Islander people. </w:t>
      </w:r>
    </w:p>
    <w:p w14:paraId="533BB5CA" w14:textId="7FF72F9B" w:rsidR="00FB5803" w:rsidRPr="00550D81" w:rsidRDefault="00FB5803" w:rsidP="00FB5803">
      <w:pPr>
        <w:pStyle w:val="BodyText"/>
        <w:keepNext/>
        <w:keepLines/>
      </w:pPr>
      <w:r w:rsidRPr="00550D81">
        <w:t xml:space="preserve">One of the main ways in which transparency could be improved is to improve jurisdictional implementation plans and annual reports. This is considered in detail in information paper 6. But briefly, it could involve ensuring that implementation plans and annual reports are prepared in line with clauses 108 and 118 of the Agreement. This would mean that </w:t>
      </w:r>
      <w:r>
        <w:t xml:space="preserve">annual reports </w:t>
      </w:r>
      <w:r w:rsidRPr="00CC627A">
        <w:t>demonstrate how efforts, investment and actions are aligned and support the achievement of Closing the Gap goals</w:t>
      </w:r>
      <w:r>
        <w:t xml:space="preserve">, and that </w:t>
      </w:r>
      <w:r w:rsidRPr="00550D81">
        <w:t>implementation plans:</w:t>
      </w:r>
    </w:p>
    <w:p w14:paraId="34B9F188" w14:textId="7B2AE638" w:rsidR="00FB5803" w:rsidRPr="00550D81" w:rsidRDefault="00FB5803" w:rsidP="003601D3">
      <w:pPr>
        <w:pStyle w:val="ListBullet"/>
        <w:numPr>
          <w:ilvl w:val="0"/>
          <w:numId w:val="21"/>
        </w:numPr>
      </w:pPr>
      <w:r w:rsidRPr="00550D81">
        <w:t>are whole</w:t>
      </w:r>
      <w:r w:rsidR="00FD58AA">
        <w:noBreakHyphen/>
      </w:r>
      <w:r w:rsidRPr="00550D81">
        <w:t>of</w:t>
      </w:r>
      <w:r w:rsidR="00FD58AA">
        <w:noBreakHyphen/>
      </w:r>
      <w:r w:rsidRPr="00550D81">
        <w:t>government plans</w:t>
      </w:r>
    </w:p>
    <w:p w14:paraId="5C73BE81" w14:textId="77777777" w:rsidR="00FB5803" w:rsidRPr="00550D81" w:rsidRDefault="00FB5803" w:rsidP="003601D3">
      <w:pPr>
        <w:pStyle w:val="ListBullet"/>
        <w:numPr>
          <w:ilvl w:val="0"/>
          <w:numId w:val="21"/>
        </w:numPr>
      </w:pPr>
      <w:r w:rsidRPr="00550D81">
        <w:t>are developed and delivered in partnership with Aboriginal and Torres Strait Islander partners</w:t>
      </w:r>
    </w:p>
    <w:p w14:paraId="5F603B5F" w14:textId="77777777" w:rsidR="00FB5803" w:rsidRPr="00550D81" w:rsidRDefault="00FB5803" w:rsidP="003601D3">
      <w:pPr>
        <w:pStyle w:val="ListBullet"/>
        <w:numPr>
          <w:ilvl w:val="0"/>
          <w:numId w:val="21"/>
        </w:numPr>
      </w:pPr>
      <w:r w:rsidRPr="00550D81">
        <w:t>set out how existing policies and programs will be aligned to the Agreement</w:t>
      </w:r>
    </w:p>
    <w:p w14:paraId="09D2838E" w14:textId="6BB32201" w:rsidR="00FB5803" w:rsidRPr="00550D81" w:rsidRDefault="00FB5803" w:rsidP="003601D3">
      <w:pPr>
        <w:pStyle w:val="ListBullet"/>
        <w:numPr>
          <w:ilvl w:val="0"/>
          <w:numId w:val="21"/>
        </w:numPr>
      </w:pPr>
      <w:r w:rsidRPr="00550D81">
        <w:t>set out actions to achieve the Priority Reforms, socio</w:t>
      </w:r>
      <w:r w:rsidR="00FD58AA">
        <w:noBreakHyphen/>
      </w:r>
      <w:r w:rsidRPr="00550D81">
        <w:t>economic outcomes and targets</w:t>
      </w:r>
    </w:p>
    <w:p w14:paraId="6C0DA278" w14:textId="77777777" w:rsidR="00FB5803" w:rsidRPr="00550D81" w:rsidRDefault="00FB5803" w:rsidP="003601D3">
      <w:pPr>
        <w:pStyle w:val="ListBullet"/>
        <w:numPr>
          <w:ilvl w:val="0"/>
          <w:numId w:val="21"/>
        </w:numPr>
      </w:pPr>
      <w:r w:rsidRPr="00550D81">
        <w:t xml:space="preserve">include information on funding and timeframes for actions. </w:t>
      </w:r>
    </w:p>
    <w:p w14:paraId="32E6D64A" w14:textId="1E1DE3A7" w:rsidR="00FB5803" w:rsidRDefault="00FB5803" w:rsidP="00FB5803">
      <w:pPr>
        <w:pStyle w:val="BodyText"/>
      </w:pPr>
      <w:r w:rsidRPr="00550D81">
        <w:lastRenderedPageBreak/>
        <w:t xml:space="preserve">The Commission is seeking suggestions for how to ensure that governments’ implementation plans and annual reports substantively meet the requirements set out in the Agreement (information request </w:t>
      </w:r>
      <w:r>
        <w:t>8</w:t>
      </w:r>
      <w:r w:rsidRPr="00550D81">
        <w:t>).</w:t>
      </w:r>
    </w:p>
    <w:p w14:paraId="799188FC" w14:textId="09E179ED" w:rsidR="00FB5803" w:rsidRDefault="00FB5803" w:rsidP="00FB5803">
      <w:pPr>
        <w:pStyle w:val="BodyText"/>
      </w:pPr>
      <w:r>
        <w:t xml:space="preserve">But in addition to better </w:t>
      </w:r>
      <w:r w:rsidRPr="00550D81">
        <w:t>jurisdictional implementation plans and annual reports</w:t>
      </w:r>
      <w:r>
        <w:t>, there are also other ways in which transparency could be improved. They are:</w:t>
      </w:r>
    </w:p>
    <w:p w14:paraId="1B9C2E6D" w14:textId="4D395F93" w:rsidR="00FB5803" w:rsidRDefault="00FB5803" w:rsidP="003601D3">
      <w:pPr>
        <w:pStyle w:val="ListBullet"/>
        <w:numPr>
          <w:ilvl w:val="0"/>
          <w:numId w:val="21"/>
        </w:numPr>
      </w:pPr>
      <w:r>
        <w:t>i</w:t>
      </w:r>
      <w:r w:rsidRPr="00F93683">
        <w:t>ncluding information about Closing the Gap in agencies’ annual reports</w:t>
      </w:r>
    </w:p>
    <w:p w14:paraId="09EF5C7B" w14:textId="7389FF88" w:rsidR="00FB5803" w:rsidRDefault="00FB5803" w:rsidP="003601D3">
      <w:pPr>
        <w:pStyle w:val="ListBullet"/>
        <w:numPr>
          <w:ilvl w:val="0"/>
          <w:numId w:val="21"/>
        </w:numPr>
      </w:pPr>
      <w:r>
        <w:t>p</w:t>
      </w:r>
      <w:r w:rsidRPr="007C7FB4">
        <w:t>ublish</w:t>
      </w:r>
      <w:r>
        <w:t>ing</w:t>
      </w:r>
      <w:r w:rsidRPr="007C7FB4">
        <w:t xml:space="preserve"> </w:t>
      </w:r>
      <w:r>
        <w:t xml:space="preserve">many more of the </w:t>
      </w:r>
      <w:r w:rsidRPr="007C7FB4">
        <w:t>documents developed under the Agreement</w:t>
      </w:r>
      <w:r>
        <w:t xml:space="preserve">. </w:t>
      </w:r>
    </w:p>
    <w:p w14:paraId="66EF7C6A" w14:textId="2222C4AE" w:rsidR="00FB5803" w:rsidRDefault="004C6219" w:rsidP="00FB5803">
      <w:pPr>
        <w:pStyle w:val="Heading3"/>
      </w:pPr>
      <w:r>
        <w:t>I</w:t>
      </w:r>
      <w:r w:rsidR="00FB5803">
        <w:t xml:space="preserve">nformation about Closing the Gap in agencies’ </w:t>
      </w:r>
      <w:r w:rsidR="00FB5803" w:rsidRPr="00166D96">
        <w:t>annual report</w:t>
      </w:r>
      <w:r w:rsidR="00FB5803">
        <w:t>s</w:t>
      </w:r>
    </w:p>
    <w:p w14:paraId="08935BF1" w14:textId="5B7D6A66" w:rsidR="00FB5803" w:rsidRPr="00D869A2" w:rsidRDefault="00FB5803" w:rsidP="00FB5803">
      <w:pPr>
        <w:pStyle w:val="Heading4"/>
      </w:pPr>
      <w:r>
        <w:t xml:space="preserve">Annual reports contain much more than financial information </w:t>
      </w:r>
    </w:p>
    <w:p w14:paraId="3512C1A3" w14:textId="6035F78B" w:rsidR="00FB5803" w:rsidRDefault="00FB5803" w:rsidP="00FB5803">
      <w:pPr>
        <w:pStyle w:val="BodyText"/>
        <w:keepNext/>
      </w:pPr>
      <w:r>
        <w:t xml:space="preserve">Government agencies are required to prepare annual reports. </w:t>
      </w:r>
      <w:r w:rsidRPr="006D1AED">
        <w:t xml:space="preserve">These reports </w:t>
      </w:r>
      <w:r>
        <w:t>must comply with relevant legislation or rules and include certain specified information, which makes them an important input for accountability. For example, in New South Wales:</w:t>
      </w:r>
    </w:p>
    <w:p w14:paraId="47FC8FB7" w14:textId="1024C09C" w:rsidR="00FB5803" w:rsidRDefault="00FB5803" w:rsidP="00FB5803">
      <w:pPr>
        <w:pStyle w:val="Quote"/>
      </w:pPr>
      <w:r w:rsidRPr="00A31109">
        <w:t>The annual report is the key medium by which NSW Public Sector entities discharge their accountability to the Parliament, the Government and the public. It provides an overview of an entity’s activities and financial position relating to the preceding year.</w:t>
      </w:r>
      <w:r>
        <w:t xml:space="preserve"> </w:t>
      </w:r>
      <w:r w:rsidRPr="00133D50">
        <w:rPr>
          <w:rFonts w:ascii="Arial" w:hAnsi="Arial" w:cs="Arial"/>
          <w:szCs w:val="24"/>
        </w:rPr>
        <w:t>(NSW Treasury 2022)</w:t>
      </w:r>
    </w:p>
    <w:p w14:paraId="4D686DE1" w14:textId="0024AD6F" w:rsidR="00FB5803" w:rsidRDefault="00FB5803" w:rsidP="00FB5803">
      <w:pPr>
        <w:pStyle w:val="BodyText"/>
      </w:pPr>
      <w:r>
        <w:t xml:space="preserve">In addition to financial statements, a wide range of other information is typically included in government agencies’ annual </w:t>
      </w:r>
      <w:r w:rsidRPr="001927F1">
        <w:t>reports (box</w:t>
      </w:r>
      <w:r w:rsidR="00FD58AA">
        <w:t> </w:t>
      </w:r>
      <w:r w:rsidRPr="001927F1">
        <w:t xml:space="preserve">11). The annual reporting requirements for Australian Government agencies are even broader, and include requirements for reporting </w:t>
      </w:r>
      <w:r>
        <w:t xml:space="preserve">everything from </w:t>
      </w:r>
      <w:r w:rsidRPr="00EA4AA4">
        <w:t>judicial decisions</w:t>
      </w:r>
      <w:r>
        <w:t xml:space="preserve"> to </w:t>
      </w:r>
      <w:r w:rsidRPr="00D6017F">
        <w:t>procurement practices to support small and medium enterprises</w:t>
      </w:r>
      <w:r>
        <w:t xml:space="preserve"> </w:t>
      </w:r>
      <w:r w:rsidR="00591350" w:rsidRPr="00591350">
        <w:rPr>
          <w:rFonts w:ascii="Arial" w:hAnsi="Arial" w:cs="Arial"/>
          <w:szCs w:val="24"/>
        </w:rPr>
        <w:t>(Department of Finance 2023a)</w:t>
      </w:r>
      <w:r>
        <w:t xml:space="preserve"> to </w:t>
      </w:r>
      <w:r w:rsidRPr="00F63181">
        <w:t>how the agency</w:t>
      </w:r>
      <w:r>
        <w:t>’</w:t>
      </w:r>
      <w:r w:rsidRPr="00F63181">
        <w:t>s activities accord</w:t>
      </w:r>
      <w:r>
        <w:t xml:space="preserve"> </w:t>
      </w:r>
      <w:r w:rsidRPr="00F63181">
        <w:t xml:space="preserve">with the principles of </w:t>
      </w:r>
      <w:r>
        <w:t>e</w:t>
      </w:r>
      <w:r w:rsidRPr="00F63181">
        <w:t xml:space="preserve">cologically </w:t>
      </w:r>
      <w:r>
        <w:t>s</w:t>
      </w:r>
      <w:r w:rsidRPr="00F63181">
        <w:t xml:space="preserve">ustainable </w:t>
      </w:r>
      <w:r>
        <w:t>d</w:t>
      </w:r>
      <w:r w:rsidRPr="00F63181">
        <w:t>evelopment</w:t>
      </w:r>
      <w:r>
        <w:t xml:space="preserve"> </w:t>
      </w:r>
      <w:r w:rsidRPr="00AF0A32">
        <w:rPr>
          <w:rFonts w:ascii="Arial" w:hAnsi="Arial" w:cs="Arial"/>
          <w:szCs w:val="24"/>
        </w:rPr>
        <w:t>(DCCEEW 2023)</w:t>
      </w:r>
      <w:r w:rsidR="003C0E61">
        <w:t>.</w:t>
      </w:r>
      <w:r>
        <w:t xml:space="preserve"> </w:t>
      </w:r>
    </w:p>
    <w:p w14:paraId="4B97E48F" w14:textId="0273F241" w:rsidR="00D25199" w:rsidRPr="00F82BD9" w:rsidRDefault="00D25199">
      <w:pPr>
        <w:pStyle w:val="NoSpacing"/>
      </w:pPr>
    </w:p>
    <w:tbl>
      <w:tblPr>
        <w:tblStyle w:val="Boxtable"/>
        <w:tblW w:w="5000" w:type="pct"/>
        <w:tblLook w:val="04A0" w:firstRow="1" w:lastRow="0" w:firstColumn="1" w:lastColumn="0" w:noHBand="0" w:noVBand="1"/>
      </w:tblPr>
      <w:tblGrid>
        <w:gridCol w:w="906"/>
        <w:gridCol w:w="8732"/>
      </w:tblGrid>
      <w:tr w:rsidR="00765D9C" w14:paraId="29540850" w14:textId="77777777" w:rsidTr="00765D9C">
        <w:trPr>
          <w:tblHeader/>
        </w:trPr>
        <w:tc>
          <w:tcPr>
            <w:tcW w:w="851" w:type="dxa"/>
            <w:shd w:val="clear" w:color="auto" w:fill="FBF3EC"/>
            <w:tcMar>
              <w:top w:w="170" w:type="dxa"/>
              <w:left w:w="170" w:type="dxa"/>
              <w:bottom w:w="113" w:type="dxa"/>
              <w:right w:w="170" w:type="dxa"/>
            </w:tcMar>
            <w:hideMark/>
          </w:tcPr>
          <w:p w14:paraId="04DE5093" w14:textId="017ED73C" w:rsidR="00765D9C" w:rsidRDefault="00765D9C" w:rsidP="00B6519D">
            <w:pPr>
              <w:pStyle w:val="BoxHeading1"/>
              <w:keepNext w:val="0"/>
              <w:spacing w:before="0"/>
            </w:pPr>
            <w:r w:rsidRPr="00A031AA">
              <w:rPr>
                <w:b/>
                <w:bCs/>
                <w:noProof/>
              </w:rPr>
              <w:drawing>
                <wp:inline distT="0" distB="0" distL="0" distR="0" wp14:anchorId="7A13CB4C" wp14:editId="13D70C40">
                  <wp:extent cx="360000" cy="424800"/>
                  <wp:effectExtent l="0" t="0" r="0" b="0"/>
                  <wp:docPr id="1413576032" name="Picture 14135760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576032" name="Picture 1413576032">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87" w:type="dxa"/>
            <w:shd w:val="clear" w:color="auto" w:fill="FBF3EC"/>
          </w:tcPr>
          <w:p w14:paraId="1D282D06" w14:textId="622C9FB7" w:rsidR="00765D9C" w:rsidRDefault="00765D9C" w:rsidP="00B6519D">
            <w:pPr>
              <w:pStyle w:val="BoxHeading1"/>
              <w:keepNext w:val="0"/>
            </w:pPr>
            <w:r w:rsidRPr="00765D9C">
              <w:t>Box 11 – Content of annual reports – an example from the Northern Territory</w:t>
            </w:r>
          </w:p>
        </w:tc>
      </w:tr>
      <w:tr w:rsidR="00D25199" w14:paraId="75DB8BA6" w14:textId="77777777" w:rsidTr="00765D9C">
        <w:tc>
          <w:tcPr>
            <w:tcW w:w="9638" w:type="dxa"/>
            <w:gridSpan w:val="2"/>
            <w:shd w:val="clear" w:color="auto" w:fill="FBF3EC"/>
            <w:tcMar>
              <w:top w:w="28" w:type="dxa"/>
              <w:left w:w="170" w:type="dxa"/>
              <w:bottom w:w="170" w:type="dxa"/>
              <w:right w:w="170" w:type="dxa"/>
            </w:tcMar>
            <w:hideMark/>
          </w:tcPr>
          <w:p w14:paraId="3633EDE8" w14:textId="77777777" w:rsidR="00765D9C" w:rsidRPr="00EF20B9" w:rsidRDefault="00765D9C" w:rsidP="00B6519D">
            <w:pPr>
              <w:pStyle w:val="BodyText"/>
            </w:pPr>
            <w:r>
              <w:t xml:space="preserve">Jurisdictions each have legislation (and in some cases, other legislative instruments) that prescribe the content of government agencies’ annual reports. For example, in the Northern Territory </w:t>
            </w:r>
            <w:r w:rsidRPr="00B0579F">
              <w:t xml:space="preserve">the </w:t>
            </w:r>
            <w:r w:rsidRPr="00EF20B9">
              <w:rPr>
                <w:i/>
                <w:iCs/>
              </w:rPr>
              <w:t>Public Sector Employment and Management Act 1993</w:t>
            </w:r>
            <w:r>
              <w:t xml:space="preserve"> requires agencies to produce an annual report </w:t>
            </w:r>
            <w:r w:rsidRPr="00704739">
              <w:t>within 3 months after the end of the financial year</w:t>
            </w:r>
            <w:r>
              <w:t>. The report must contain information about:</w:t>
            </w:r>
          </w:p>
          <w:p w14:paraId="013AA212" w14:textId="77777777" w:rsidR="00765D9C" w:rsidRDefault="00765D9C" w:rsidP="00B6519D">
            <w:pPr>
              <w:pStyle w:val="ListBullet"/>
              <w:numPr>
                <w:ilvl w:val="0"/>
                <w:numId w:val="21"/>
              </w:numPr>
            </w:pPr>
            <w:r>
              <w:t>the functions and objectives of the agency</w:t>
            </w:r>
          </w:p>
          <w:p w14:paraId="41683646" w14:textId="77777777" w:rsidR="00765D9C" w:rsidRDefault="00765D9C" w:rsidP="00B6519D">
            <w:pPr>
              <w:pStyle w:val="ListBullet"/>
              <w:numPr>
                <w:ilvl w:val="0"/>
                <w:numId w:val="21"/>
              </w:numPr>
            </w:pPr>
            <w:r>
              <w:t>legislation administered</w:t>
            </w:r>
          </w:p>
          <w:p w14:paraId="55F6FBF0" w14:textId="77777777" w:rsidR="00765D9C" w:rsidRDefault="00765D9C" w:rsidP="00B6519D">
            <w:pPr>
              <w:pStyle w:val="ListBullet"/>
              <w:numPr>
                <w:ilvl w:val="0"/>
                <w:numId w:val="21"/>
              </w:numPr>
            </w:pPr>
            <w:r>
              <w:t xml:space="preserve">organisation overview, including number of employees of each designation and any variation in those numbers since the last report </w:t>
            </w:r>
          </w:p>
          <w:p w14:paraId="7F2C09B0" w14:textId="77777777" w:rsidR="00765D9C" w:rsidRDefault="00765D9C" w:rsidP="00B6519D">
            <w:pPr>
              <w:pStyle w:val="ListBullet"/>
              <w:numPr>
                <w:ilvl w:val="0"/>
                <w:numId w:val="21"/>
              </w:numPr>
            </w:pPr>
            <w:r>
              <w:t xml:space="preserve">operations, initiatives and achievements relating to planning, efficiency, effectiveness, performance and service delivery to the community </w:t>
            </w:r>
          </w:p>
          <w:p w14:paraId="577CAD88" w14:textId="77777777" w:rsidR="00765D9C" w:rsidRDefault="00765D9C" w:rsidP="00B6519D">
            <w:pPr>
              <w:pStyle w:val="ListBullet"/>
              <w:numPr>
                <w:ilvl w:val="0"/>
                <w:numId w:val="21"/>
              </w:numPr>
            </w:pPr>
            <w:r>
              <w:t xml:space="preserve">measures taken to ensure public sector principles were upheld </w:t>
            </w:r>
          </w:p>
          <w:p w14:paraId="651A1957" w14:textId="77777777" w:rsidR="00765D9C" w:rsidRDefault="00765D9C" w:rsidP="00B6519D">
            <w:pPr>
              <w:pStyle w:val="ListBullet"/>
              <w:numPr>
                <w:ilvl w:val="0"/>
                <w:numId w:val="21"/>
              </w:numPr>
            </w:pPr>
            <w:r>
              <w:t xml:space="preserve">management training and staff development programs </w:t>
            </w:r>
          </w:p>
          <w:p w14:paraId="354AFDC4" w14:textId="77777777" w:rsidR="00765D9C" w:rsidRDefault="00765D9C" w:rsidP="00B6519D">
            <w:pPr>
              <w:pStyle w:val="ListBullet"/>
              <w:numPr>
                <w:ilvl w:val="0"/>
                <w:numId w:val="21"/>
              </w:numPr>
            </w:pPr>
            <w:r>
              <w:t xml:space="preserve">occupational health and safety programs, and </w:t>
            </w:r>
          </w:p>
          <w:p w14:paraId="18F615E8" w14:textId="77777777" w:rsidR="00765D9C" w:rsidRPr="004909E6" w:rsidRDefault="00765D9C" w:rsidP="00B6519D">
            <w:pPr>
              <w:pStyle w:val="ListBullet"/>
              <w:numPr>
                <w:ilvl w:val="0"/>
                <w:numId w:val="21"/>
              </w:numPr>
              <w:rPr>
                <w:spacing w:val="2"/>
              </w:rPr>
            </w:pPr>
            <w:r>
              <w:t>fin</w:t>
            </w:r>
            <w:r w:rsidRPr="004909E6">
              <w:rPr>
                <w:spacing w:val="2"/>
              </w:rPr>
              <w:t xml:space="preserve">ancial statements prepared in accordance with sections 11 and 13 of the </w:t>
            </w:r>
            <w:r w:rsidRPr="004909E6">
              <w:rPr>
                <w:i/>
                <w:iCs/>
                <w:spacing w:val="2"/>
              </w:rPr>
              <w:t>Financial Management Act 1995</w:t>
            </w:r>
            <w:r w:rsidRPr="004909E6">
              <w:rPr>
                <w:spacing w:val="2"/>
              </w:rPr>
              <w:t xml:space="preserve"> (NT). </w:t>
            </w:r>
          </w:p>
          <w:p w14:paraId="1E6723F7" w14:textId="7FC0EE64" w:rsidR="00D25199" w:rsidRDefault="00765D9C" w:rsidP="00B6519D">
            <w:pPr>
              <w:pStyle w:val="Source"/>
            </w:pPr>
            <w:r>
              <w:t xml:space="preserve">Source: NT </w:t>
            </w:r>
            <w:r w:rsidRPr="00057099">
              <w:rPr>
                <w:rFonts w:ascii="Arial" w:hAnsi="Arial" w:cs="Arial"/>
                <w:szCs w:val="24"/>
              </w:rPr>
              <w:t>Department of the Chief Minister and Cabinet</w:t>
            </w:r>
            <w:r>
              <w:t xml:space="preserve"> </w:t>
            </w:r>
            <w:r w:rsidRPr="00083B6C">
              <w:rPr>
                <w:rFonts w:ascii="Arial" w:hAnsi="Arial" w:cs="Arial"/>
                <w:szCs w:val="24"/>
              </w:rPr>
              <w:t>(2022, p. 5)</w:t>
            </w:r>
            <w:r>
              <w:t>.</w:t>
            </w:r>
          </w:p>
        </w:tc>
      </w:tr>
      <w:tr w:rsidR="00D25199" w14:paraId="6C1EC497" w14:textId="77777777">
        <w:trPr>
          <w:hidden/>
        </w:trPr>
        <w:tc>
          <w:tcPr>
            <w:tcW w:w="9638" w:type="dxa"/>
            <w:gridSpan w:val="2"/>
            <w:shd w:val="clear" w:color="auto" w:fill="auto"/>
            <w:tcMar>
              <w:top w:w="0" w:type="dxa"/>
              <w:left w:w="170" w:type="dxa"/>
              <w:bottom w:w="0" w:type="dxa"/>
              <w:right w:w="170" w:type="dxa"/>
            </w:tcMar>
          </w:tcPr>
          <w:p w14:paraId="0289661B" w14:textId="3521486F" w:rsidR="00D25199" w:rsidRPr="00465191" w:rsidRDefault="00D25199" w:rsidP="00B6519D">
            <w:pPr>
              <w:pStyle w:val="BodyText"/>
              <w:spacing w:before="0" w:after="0" w:line="80" w:lineRule="atLeast"/>
              <w:rPr>
                <w:smallCaps/>
                <w:vanish/>
              </w:rPr>
            </w:pPr>
          </w:p>
        </w:tc>
      </w:tr>
    </w:tbl>
    <w:p w14:paraId="6655BF70" w14:textId="13695980" w:rsidR="00FB5803" w:rsidRDefault="00FB5803" w:rsidP="00FB5803">
      <w:pPr>
        <w:pStyle w:val="Heading4"/>
      </w:pPr>
      <w:r>
        <w:lastRenderedPageBreak/>
        <w:t>How could reporting on Closing the Gap actions be included in annual reports?</w:t>
      </w:r>
    </w:p>
    <w:p w14:paraId="1A776F90" w14:textId="0B5B215A" w:rsidR="00FB5803" w:rsidRDefault="00FB5803" w:rsidP="00FB5803">
      <w:pPr>
        <w:pStyle w:val="BodyText"/>
      </w:pPr>
      <w:r>
        <w:t xml:space="preserve">In some jurisdictions, </w:t>
      </w:r>
      <w:r w:rsidRPr="007E14F5">
        <w:t>agencies</w:t>
      </w:r>
      <w:r>
        <w:t>’ annual reports must include reporting on</w:t>
      </w:r>
      <w:r w:rsidRPr="007E14F5">
        <w:t xml:space="preserve"> the measures taken to ensure public sector principles </w:t>
      </w:r>
      <w:r>
        <w:t>are</w:t>
      </w:r>
      <w:r w:rsidRPr="007E14F5">
        <w:t xml:space="preserve"> uphel</w:t>
      </w:r>
      <w:r>
        <w:t>d</w:t>
      </w:r>
      <w:r w:rsidR="009131C4">
        <w:t xml:space="preserve"> or the number and proportion of Aboriginal and Torres Strait Islander staff</w:t>
      </w:r>
      <w:r>
        <w:t>. Th</w:t>
      </w:r>
      <w:r w:rsidR="009131C4">
        <w:t>ese</w:t>
      </w:r>
      <w:r>
        <w:t xml:space="preserve"> requirement</w:t>
      </w:r>
      <w:r w:rsidR="009131C4">
        <w:t>s</w:t>
      </w:r>
      <w:r>
        <w:t xml:space="preserve">, together with the proposed changes </w:t>
      </w:r>
      <w:r w:rsidR="00060925">
        <w:t xml:space="preserve">to </w:t>
      </w:r>
      <w:r>
        <w:t>those principles (</w:t>
      </w:r>
      <w:r w:rsidR="00C1141A">
        <w:t xml:space="preserve">which </w:t>
      </w:r>
      <w:r w:rsidR="001722E7">
        <w:t>form</w:t>
      </w:r>
      <w:r w:rsidR="00C1141A">
        <w:t xml:space="preserve"> the basis of </w:t>
      </w:r>
      <w:r w:rsidR="001722E7">
        <w:t xml:space="preserve">public sector employment requirements – </w:t>
      </w:r>
      <w:r>
        <w:t>draft recommendation 3) could, in effect, require agencies in those jurisdictions to report on some of the actions they are taking to implement the Agreement.</w:t>
      </w:r>
    </w:p>
    <w:p w14:paraId="7A7EB08A" w14:textId="5946AE3A" w:rsidR="00FB5803" w:rsidRDefault="00FB5803" w:rsidP="00FB5803">
      <w:pPr>
        <w:pStyle w:val="BodyText"/>
      </w:pPr>
      <w:r>
        <w:t>But this kind of partial reporting is not a substitute for comprehensive and considered reporting</w:t>
      </w:r>
      <w:r w:rsidR="00D86729">
        <w:t xml:space="preserve"> on how agencies are implementing the </w:t>
      </w:r>
      <w:r w:rsidR="009C5513">
        <w:t>Agreement</w:t>
      </w:r>
      <w:r w:rsidR="00A931A5">
        <w:t>.</w:t>
      </w:r>
      <w:r>
        <w:t xml:space="preserve"> Requiring government agencies to include information about Closing the Gap in each of their annual reports would provide an important means of ensuring that every agency is making a substantive effort to implement the Priority Reforms and to track the outcomes it achieves for Aboriginal and Torres Strait Islander people. </w:t>
      </w:r>
    </w:p>
    <w:p w14:paraId="19F108C3" w14:textId="1E2DA23A" w:rsidR="00FB5803" w:rsidRDefault="00FB5803" w:rsidP="00FB5803">
      <w:pPr>
        <w:pStyle w:val="BodyText"/>
      </w:pPr>
      <w:r>
        <w:t>Reporting on Closing the Gap in agencies’ annual reports could take the form of requiring each agency to report on the substantive activities it undertook to implement the Priority Reforms and the demonstrated outcomes of those activities. T</w:t>
      </w:r>
      <w:r w:rsidRPr="0095433D">
        <w:t xml:space="preserve">his </w:t>
      </w:r>
      <w:r>
        <w:t>would be a principles</w:t>
      </w:r>
      <w:r w:rsidR="00FD58AA">
        <w:noBreakHyphen/>
      </w:r>
      <w:r>
        <w:t>based requirement that could adapt depending on each agency’s function – for example, an agency that commissions health or community services from many ACCOs would report more extensively on its activities to implement the Priority Reforms than an agency whose work does not involve commissioning any services for Aboriginal and Torres Strait Islander people.</w:t>
      </w:r>
    </w:p>
    <w:p w14:paraId="11F8F3C0" w14:textId="155C19C3" w:rsidR="00FB5803" w:rsidRDefault="00FB5803" w:rsidP="00FB5803">
      <w:pPr>
        <w:pStyle w:val="BodyText"/>
      </w:pPr>
      <w:r>
        <w:t>At a minimum, a requirement to report on Closing the Gap in agencies’ annual reports should include reporting on:</w:t>
      </w:r>
    </w:p>
    <w:p w14:paraId="16ABBD9B" w14:textId="77777777" w:rsidR="00FB5803" w:rsidRDefault="00FB5803" w:rsidP="003601D3">
      <w:pPr>
        <w:pStyle w:val="ListBullet"/>
        <w:numPr>
          <w:ilvl w:val="0"/>
          <w:numId w:val="21"/>
        </w:numPr>
      </w:pPr>
      <w:r>
        <w:t xml:space="preserve">how each of the Priority Reforms have been implemented in the agency </w:t>
      </w:r>
    </w:p>
    <w:p w14:paraId="5595A744" w14:textId="3E9D76BD" w:rsidR="00FB5803" w:rsidRDefault="00FB5803" w:rsidP="003601D3">
      <w:pPr>
        <w:pStyle w:val="ListBullet"/>
        <w:numPr>
          <w:ilvl w:val="0"/>
          <w:numId w:val="21"/>
        </w:numPr>
      </w:pPr>
      <w:r>
        <w:t>how the agency has contributed to relevant socio</w:t>
      </w:r>
      <w:r w:rsidR="00FD58AA">
        <w:noBreakHyphen/>
      </w:r>
      <w:r>
        <w:t xml:space="preserve">economic outcomes </w:t>
      </w:r>
    </w:p>
    <w:p w14:paraId="693ED23D" w14:textId="77777777" w:rsidR="00FB5803" w:rsidRDefault="00FB5803" w:rsidP="003601D3">
      <w:pPr>
        <w:pStyle w:val="ListBullet"/>
        <w:numPr>
          <w:ilvl w:val="0"/>
          <w:numId w:val="21"/>
        </w:numPr>
      </w:pPr>
      <w:r>
        <w:t>how the agency tracks the outcomes it achieves for Aboriginal and Torres Strait Islander people</w:t>
      </w:r>
    </w:p>
    <w:p w14:paraId="2A1455A3" w14:textId="77777777" w:rsidR="00FB5803" w:rsidRDefault="00FB5803" w:rsidP="003601D3">
      <w:pPr>
        <w:pStyle w:val="ListBullet"/>
        <w:numPr>
          <w:ilvl w:val="0"/>
          <w:numId w:val="21"/>
        </w:numPr>
      </w:pPr>
      <w:r>
        <w:t>how the agency assessed the effectiveness of each of the above actions.</w:t>
      </w:r>
    </w:p>
    <w:p w14:paraId="69262222" w14:textId="134BFC7E" w:rsidR="00FB5803" w:rsidRDefault="00FB5803" w:rsidP="00FB5803">
      <w:pPr>
        <w:pStyle w:val="BodyText"/>
      </w:pPr>
      <w:r>
        <w:t>Statements on Closing the Gap in agencies’ annual report would be a complement to, and would not replace, improvements to Closing the Gap annual reports and implementation plans (information request 8).</w:t>
      </w:r>
      <w:r w:rsidR="005A06B6" w:rsidRPr="005A06B6">
        <w:t xml:space="preserve"> </w:t>
      </w:r>
      <w:r w:rsidR="005A06B6">
        <w:t>T</w:t>
      </w:r>
      <w:r w:rsidR="005A06B6" w:rsidRPr="0085607B">
        <w:t>he inclusion of</w:t>
      </w:r>
      <w:r w:rsidR="005A06B6">
        <w:t xml:space="preserve"> unfiltered</w:t>
      </w:r>
      <w:r w:rsidR="005A06B6" w:rsidRPr="0085607B">
        <w:t xml:space="preserve"> appraisals</w:t>
      </w:r>
      <w:r w:rsidR="005A06B6">
        <w:t xml:space="preserve"> from Aboriginal and Torres Strait Islander </w:t>
      </w:r>
      <w:r w:rsidR="005A06B6" w:rsidRPr="0085607B">
        <w:t xml:space="preserve">partners would </w:t>
      </w:r>
      <w:r w:rsidR="005A06B6">
        <w:t xml:space="preserve">enhance </w:t>
      </w:r>
      <w:r w:rsidR="005A06B6" w:rsidRPr="0085607B">
        <w:t>the credibility of the</w:t>
      </w:r>
      <w:r w:rsidR="005A06B6">
        <w:t xml:space="preserve"> annual</w:t>
      </w:r>
      <w:r w:rsidR="005A06B6" w:rsidRPr="0085607B">
        <w:t xml:space="preserve"> reports and </w:t>
      </w:r>
      <w:r w:rsidR="005A06B6" w:rsidRPr="005B3B28">
        <w:t>their usefulness for future planning</w:t>
      </w:r>
      <w:r w:rsidR="005A06B6">
        <w:t xml:space="preserve">, and this is being considered for inclusion in </w:t>
      </w:r>
      <w:r w:rsidR="0062500E">
        <w:t xml:space="preserve">jurisdictions’ </w:t>
      </w:r>
      <w:r w:rsidR="005A06B6">
        <w:t xml:space="preserve">Closing the Gap annual reports (information paper 6). </w:t>
      </w:r>
    </w:p>
    <w:p w14:paraId="5CF79C28" w14:textId="2670F3D8" w:rsidR="00FB5803" w:rsidRDefault="00FB5803" w:rsidP="00FB5803">
      <w:pPr>
        <w:pStyle w:val="BodyText"/>
      </w:pPr>
      <w:r w:rsidRPr="0095433D">
        <w:t xml:space="preserve">In practice, </w:t>
      </w:r>
      <w:r>
        <w:t xml:space="preserve">a requirement to report on Closing the Gap in agencies’ annual reports </w:t>
      </w:r>
      <w:r w:rsidRPr="0095433D">
        <w:t xml:space="preserve">could be similar to the </w:t>
      </w:r>
      <w:r>
        <w:t xml:space="preserve">current </w:t>
      </w:r>
      <w:r w:rsidRPr="0095433D">
        <w:t>requirement for Australian Government agencies to report on their environmental performance and contribution to ecologically sustainable development (box</w:t>
      </w:r>
      <w:r w:rsidR="00FD58AA">
        <w:t> </w:t>
      </w:r>
      <w:r w:rsidRPr="0095433D">
        <w:t xml:space="preserve">12). </w:t>
      </w:r>
    </w:p>
    <w:p w14:paraId="66793FA4" w14:textId="71410776" w:rsidR="00665566" w:rsidRDefault="00665566">
      <w:pPr>
        <w:spacing w:before="0" w:after="160" w:line="259" w:lineRule="auto"/>
      </w:pPr>
      <w:r>
        <w:br w:type="page"/>
      </w:r>
    </w:p>
    <w:tbl>
      <w:tblPr>
        <w:tblStyle w:val="Boxtable"/>
        <w:tblW w:w="5000" w:type="pct"/>
        <w:tblLook w:val="04A0" w:firstRow="1" w:lastRow="0" w:firstColumn="1" w:lastColumn="0" w:noHBand="0" w:noVBand="1"/>
      </w:tblPr>
      <w:tblGrid>
        <w:gridCol w:w="906"/>
        <w:gridCol w:w="8732"/>
      </w:tblGrid>
      <w:tr w:rsidR="00765D9C" w14:paraId="05306A24" w14:textId="77777777" w:rsidTr="00745713">
        <w:trPr>
          <w:tblHeader/>
        </w:trPr>
        <w:tc>
          <w:tcPr>
            <w:tcW w:w="906" w:type="dxa"/>
            <w:shd w:val="clear" w:color="auto" w:fill="FBF3EC"/>
            <w:tcMar>
              <w:top w:w="170" w:type="dxa"/>
              <w:left w:w="170" w:type="dxa"/>
              <w:bottom w:w="113" w:type="dxa"/>
              <w:right w:w="170" w:type="dxa"/>
            </w:tcMar>
            <w:hideMark/>
          </w:tcPr>
          <w:p w14:paraId="10D6D02A" w14:textId="3E5BA954" w:rsidR="00765D9C" w:rsidRDefault="00983C1E" w:rsidP="00983C1E">
            <w:pPr>
              <w:pStyle w:val="BoxHeading1"/>
              <w:spacing w:before="0"/>
            </w:pPr>
            <w:r w:rsidRPr="00A031AA">
              <w:rPr>
                <w:b/>
                <w:bCs/>
                <w:noProof/>
              </w:rPr>
              <w:lastRenderedPageBreak/>
              <w:drawing>
                <wp:inline distT="0" distB="0" distL="0" distR="0" wp14:anchorId="5D7BC5D8" wp14:editId="3BFDBD34">
                  <wp:extent cx="360000" cy="424800"/>
                  <wp:effectExtent l="0" t="0" r="0" b="0"/>
                  <wp:docPr id="1523765162" name="Picture 15237651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765162" name="Picture 1523765162">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32" w:type="dxa"/>
            <w:shd w:val="clear" w:color="auto" w:fill="FBF3EC"/>
          </w:tcPr>
          <w:p w14:paraId="548B75BB" w14:textId="44075B25" w:rsidR="00765D9C" w:rsidRDefault="00765D9C">
            <w:pPr>
              <w:pStyle w:val="BoxHeading1"/>
            </w:pPr>
            <w:r>
              <w:t>Box 12 – Reporting on environmental matters in annual reports</w:t>
            </w:r>
          </w:p>
        </w:tc>
      </w:tr>
      <w:tr w:rsidR="00765D9C" w14:paraId="0750E5AE" w14:textId="77777777" w:rsidTr="00983C1E">
        <w:tc>
          <w:tcPr>
            <w:tcW w:w="9638" w:type="dxa"/>
            <w:gridSpan w:val="2"/>
            <w:shd w:val="clear" w:color="auto" w:fill="FBF3EC"/>
            <w:tcMar>
              <w:top w:w="28" w:type="dxa"/>
              <w:left w:w="170" w:type="dxa"/>
              <w:bottom w:w="170" w:type="dxa"/>
              <w:right w:w="170" w:type="dxa"/>
            </w:tcMar>
            <w:hideMark/>
          </w:tcPr>
          <w:p w14:paraId="2ADD2C36" w14:textId="77777777" w:rsidR="00983C1E" w:rsidRPr="00FC017E" w:rsidRDefault="00983C1E" w:rsidP="00983C1E">
            <w:pPr>
              <w:pStyle w:val="BodyText"/>
            </w:pPr>
            <w:r>
              <w:rPr>
                <w:rStyle w:val="Emphasis"/>
                <w:i w:val="0"/>
                <w:iCs w:val="0"/>
              </w:rPr>
              <w:t xml:space="preserve">Under </w:t>
            </w:r>
            <w:r w:rsidRPr="004348BA">
              <w:rPr>
                <w:rStyle w:val="Emphasis"/>
                <w:i w:val="0"/>
                <w:iCs w:val="0"/>
              </w:rPr>
              <w:t>section</w:t>
            </w:r>
            <w:r>
              <w:rPr>
                <w:rStyle w:val="Emphasis"/>
                <w:i w:val="0"/>
                <w:iCs w:val="0"/>
              </w:rPr>
              <w:t> </w:t>
            </w:r>
            <w:r w:rsidRPr="004348BA">
              <w:rPr>
                <w:rStyle w:val="Emphasis"/>
                <w:i w:val="0"/>
                <w:iCs w:val="0"/>
              </w:rPr>
              <w:t>516A of the</w:t>
            </w:r>
            <w:r>
              <w:rPr>
                <w:rStyle w:val="Emphasis"/>
                <w:i w:val="0"/>
                <w:iCs w:val="0"/>
              </w:rPr>
              <w:t xml:space="preserve"> </w:t>
            </w:r>
            <w:r w:rsidRPr="001833CF">
              <w:rPr>
                <w:rStyle w:val="Emphasis"/>
              </w:rPr>
              <w:t>Environment Protection and Biodiversity Conservation Act 1999</w:t>
            </w:r>
            <w:r w:rsidRPr="00FC017E">
              <w:t> </w:t>
            </w:r>
            <w:r>
              <w:t xml:space="preserve">(Cth) </w:t>
            </w:r>
            <w:r w:rsidRPr="00FC017E">
              <w:t>(EPBC Act)</w:t>
            </w:r>
            <w:r>
              <w:t xml:space="preserve">, the </w:t>
            </w:r>
            <w:r w:rsidRPr="00210204">
              <w:t xml:space="preserve">annual reports of </w:t>
            </w:r>
            <w:r>
              <w:t>Australian Government</w:t>
            </w:r>
            <w:r w:rsidRPr="00210204">
              <w:t xml:space="preserve"> departments</w:t>
            </w:r>
            <w:r>
              <w:t>, authorities and agencies must:</w:t>
            </w:r>
          </w:p>
          <w:p w14:paraId="01F5D08A" w14:textId="77777777" w:rsidR="00983C1E" w:rsidRDefault="00983C1E" w:rsidP="00983C1E">
            <w:pPr>
              <w:pStyle w:val="QuoteBullet"/>
              <w:numPr>
                <w:ilvl w:val="0"/>
                <w:numId w:val="21"/>
              </w:numPr>
            </w:pPr>
            <w:r>
              <w:t>report how the agency’s activities have accorded with the principles of Ecologically Sustainable Development (ESD)</w:t>
            </w:r>
          </w:p>
          <w:p w14:paraId="4E4DE518" w14:textId="77777777" w:rsidR="00983C1E" w:rsidRDefault="00983C1E" w:rsidP="00983C1E">
            <w:pPr>
              <w:pStyle w:val="QuoteBullet"/>
              <w:numPr>
                <w:ilvl w:val="0"/>
                <w:numId w:val="21"/>
              </w:numPr>
            </w:pPr>
            <w:r>
              <w:t>identify how their departmental outcomes contributed to ESD</w:t>
            </w:r>
          </w:p>
          <w:p w14:paraId="1D5AB4F2" w14:textId="77777777" w:rsidR="00983C1E" w:rsidRDefault="00983C1E" w:rsidP="00983C1E">
            <w:pPr>
              <w:pStyle w:val="QuoteBullet"/>
              <w:numPr>
                <w:ilvl w:val="0"/>
                <w:numId w:val="21"/>
              </w:numPr>
            </w:pPr>
            <w:r>
              <w:t>report on their impacts upon the environment and measures taken to minimise those impacts</w:t>
            </w:r>
          </w:p>
          <w:p w14:paraId="3BDC6F9F" w14:textId="044DAE5F" w:rsidR="00983C1E" w:rsidRDefault="00983C1E" w:rsidP="00983C1E">
            <w:pPr>
              <w:pStyle w:val="QuoteBullet"/>
              <w:numPr>
                <w:ilvl w:val="0"/>
                <w:numId w:val="21"/>
              </w:numPr>
            </w:pPr>
            <w:r>
              <w:t xml:space="preserve">identify the review mechanisms they used to improve the effectiveness of their measures to minimise its impact upon the environment </w:t>
            </w:r>
            <w:r w:rsidRPr="28F290DE">
              <w:rPr>
                <w:rFonts w:ascii="Arial" w:hAnsi="Arial" w:cs="Arial"/>
              </w:rPr>
              <w:t>(DCCEEW 2023)</w:t>
            </w:r>
            <w:r>
              <w:t>.</w:t>
            </w:r>
          </w:p>
          <w:p w14:paraId="12B2FA16" w14:textId="69C1E6AD" w:rsidR="00983C1E" w:rsidRDefault="00983C1E" w:rsidP="00983C1E">
            <w:pPr>
              <w:pStyle w:val="BodyText"/>
            </w:pPr>
            <w:r>
              <w:t>The former Department of the Environment, Water, Heritage and the Arts produced guidelines to assist agencies to</w:t>
            </w:r>
            <w:r w:rsidRPr="00217F75">
              <w:t xml:space="preserve"> meet </w:t>
            </w:r>
            <w:r>
              <w:t>these</w:t>
            </w:r>
            <w:r w:rsidRPr="00217F75">
              <w:t xml:space="preserve"> requirements</w:t>
            </w:r>
            <w:r>
              <w:t xml:space="preserve">, which include simple tools and template that agencies can apply when undertaking their EPBC Act reporting </w:t>
            </w:r>
            <w:r w:rsidRPr="00946EAB">
              <w:rPr>
                <w:rFonts w:ascii="Arial" w:hAnsi="Arial" w:cs="Arial"/>
                <w:szCs w:val="24"/>
              </w:rPr>
              <w:t>(DEHWA 2010)</w:t>
            </w:r>
            <w:r>
              <w:t xml:space="preserve">. </w:t>
            </w:r>
          </w:p>
          <w:p w14:paraId="7730D0DE" w14:textId="77777777" w:rsidR="00983C1E" w:rsidRDefault="00983C1E" w:rsidP="00983C1E">
            <w:pPr>
              <w:pStyle w:val="BodyText"/>
              <w:keepNext/>
            </w:pPr>
            <w:r>
              <w:t xml:space="preserve">An Independent Review of the EPBC Act commented on the effectiveness of requiring Australian Government agencies to report on ESD activities and outcomes in their annual reports. </w:t>
            </w:r>
          </w:p>
          <w:p w14:paraId="26C9BB4D" w14:textId="4DD80659" w:rsidR="00983C1E" w:rsidRPr="00096F14" w:rsidRDefault="00983C1E" w:rsidP="00983C1E">
            <w:pPr>
              <w:pStyle w:val="Quote"/>
            </w:pPr>
            <w:r w:rsidRPr="00096F14">
              <w:t xml:space="preserve">The intent is to provide a mechanism to ensure the Commonwealth is considering ESD in its operations, but this has been lost over time. The reality is that most Commonwealth entities report on their use of recycled paper or the energy efficiency of buildings, but exclude the environmental impacts of the policies and programs they implement. It is an administrative burden with no real benefit. </w:t>
            </w:r>
            <w:r w:rsidRPr="00F33262">
              <w:rPr>
                <w:rFonts w:ascii="Arial" w:hAnsi="Arial" w:cs="Arial"/>
                <w:szCs w:val="24"/>
              </w:rPr>
              <w:t>(Samuel 2020, p. 177)</w:t>
            </w:r>
          </w:p>
          <w:p w14:paraId="746CA708" w14:textId="24234D1F" w:rsidR="00765D9C" w:rsidRDefault="00983C1E" w:rsidP="00257F86">
            <w:pPr>
              <w:pStyle w:val="BodyText"/>
            </w:pPr>
            <w:r>
              <w:t>This provides an important reminder that even if they are beneficial when implemented, reporting requirements should not be left unchanged for decades, as once they have spurred the change they were designed to achieve, they risk becoming an unnecessary burden over time.</w:t>
            </w:r>
          </w:p>
        </w:tc>
      </w:tr>
      <w:tr w:rsidR="00765D9C" w14:paraId="0CF963D2" w14:textId="77777777">
        <w:trPr>
          <w:hidden/>
        </w:trPr>
        <w:tc>
          <w:tcPr>
            <w:tcW w:w="9638" w:type="dxa"/>
            <w:gridSpan w:val="2"/>
            <w:shd w:val="clear" w:color="auto" w:fill="auto"/>
            <w:tcMar>
              <w:top w:w="0" w:type="dxa"/>
              <w:left w:w="170" w:type="dxa"/>
              <w:bottom w:w="0" w:type="dxa"/>
              <w:right w:w="170" w:type="dxa"/>
            </w:tcMar>
          </w:tcPr>
          <w:p w14:paraId="4587FCC8" w14:textId="652B70DB" w:rsidR="00765D9C" w:rsidRPr="00465191" w:rsidRDefault="00765D9C">
            <w:pPr>
              <w:pStyle w:val="BodyText"/>
              <w:spacing w:before="0" w:after="0" w:line="80" w:lineRule="atLeast"/>
              <w:rPr>
                <w:smallCaps/>
                <w:vanish/>
              </w:rPr>
            </w:pPr>
          </w:p>
        </w:tc>
      </w:tr>
    </w:tbl>
    <w:p w14:paraId="58913EC1" w14:textId="2F7A78C4" w:rsidR="00FB5803" w:rsidRDefault="00FB5803" w:rsidP="00FB5803">
      <w:pPr>
        <w:pStyle w:val="BodyText"/>
      </w:pPr>
      <w:r>
        <w:rPr>
          <w:rStyle w:val="Heading5Char"/>
          <w:rFonts w:eastAsiaTheme="minorHAnsi" w:cstheme="minorBidi"/>
          <w:b w:val="0"/>
          <w:color w:val="auto"/>
          <w:szCs w:val="20"/>
        </w:rPr>
        <w:t>In addition to improving transparency, r</w:t>
      </w:r>
      <w:r>
        <w:t xml:space="preserve">equiring government agencies to include information about Closing the Gap in their annual reports would have other benefits. </w:t>
      </w:r>
    </w:p>
    <w:p w14:paraId="082D0580" w14:textId="0D704C83" w:rsidR="00FB5803" w:rsidRPr="000611D3" w:rsidRDefault="00FB5803" w:rsidP="003601D3">
      <w:pPr>
        <w:pStyle w:val="ListBullet"/>
        <w:numPr>
          <w:ilvl w:val="0"/>
          <w:numId w:val="21"/>
        </w:numPr>
        <w:rPr>
          <w:spacing w:val="-4"/>
        </w:rPr>
      </w:pPr>
      <w:r w:rsidRPr="000611D3">
        <w:rPr>
          <w:rStyle w:val="Heading5Char"/>
          <w:rFonts w:eastAsiaTheme="minorHAnsi" w:cstheme="minorBidi"/>
          <w:b w:val="0"/>
          <w:color w:val="auto"/>
          <w:spacing w:val="-4"/>
          <w:szCs w:val="20"/>
        </w:rPr>
        <w:t xml:space="preserve">It would ensure that all agencies – including those that are not currently included in implementation plans and annual reports (information paper 6) – are taking action to meet their responsibilities under the Agreement. </w:t>
      </w:r>
    </w:p>
    <w:p w14:paraId="240936BC" w14:textId="559D5403" w:rsidR="00FB5803" w:rsidRPr="00F566D7" w:rsidRDefault="00FB5803" w:rsidP="003601D3">
      <w:pPr>
        <w:pStyle w:val="ListBullet"/>
        <w:numPr>
          <w:ilvl w:val="0"/>
          <w:numId w:val="21"/>
        </w:numPr>
      </w:pPr>
      <w:r w:rsidRPr="00F566D7">
        <w:t xml:space="preserve">Because </w:t>
      </w:r>
      <w:r>
        <w:t xml:space="preserve">agency CEOs are ultimately responsible for all of the contents of their agency’s annual report, it would provide another means of ensuring that CEOs are aware of, and pay attention to, the agency’s actions to implement the Priority Reforms and to track the outcomes achieved for Aboriginal and Torres Strait Islander people. </w:t>
      </w:r>
    </w:p>
    <w:p w14:paraId="76EEEC6D" w14:textId="241CE60C" w:rsidR="00FB5803" w:rsidRPr="00A02BF3" w:rsidRDefault="00FB5803" w:rsidP="003601D3">
      <w:pPr>
        <w:pStyle w:val="ListBullet"/>
        <w:numPr>
          <w:ilvl w:val="0"/>
          <w:numId w:val="21"/>
        </w:numPr>
        <w:rPr>
          <w:rStyle w:val="Heading5Char"/>
          <w:rFonts w:eastAsiaTheme="minorHAnsi" w:cstheme="minorBidi"/>
          <w:b w:val="0"/>
          <w:color w:val="auto"/>
          <w:szCs w:val="20"/>
        </w:rPr>
      </w:pPr>
      <w:r>
        <w:t xml:space="preserve">The legislation or rules about what must be included in annual reports would provide another lever to </w:t>
      </w:r>
      <w:r w:rsidRPr="00F566D7">
        <w:t>increase the perceived consequences of failure to adhere to the Agreement.</w:t>
      </w:r>
      <w:r>
        <w:t xml:space="preserve"> </w:t>
      </w:r>
    </w:p>
    <w:p w14:paraId="4C565B08" w14:textId="245D2239" w:rsidR="00FB5803" w:rsidRDefault="00FB5803" w:rsidP="00FB5803">
      <w:pPr>
        <w:pStyle w:val="BodyText"/>
      </w:pPr>
      <w:r w:rsidRPr="005030E4">
        <w:rPr>
          <w:rStyle w:val="Heading5Char"/>
          <w:rFonts w:eastAsiaTheme="minorEastAsia" w:cstheme="minorBidi"/>
          <w:b w:val="0"/>
          <w:color w:val="auto"/>
        </w:rPr>
        <w:t xml:space="preserve">This is not to deny that there is the potential for agencies to treat </w:t>
      </w:r>
      <w:r w:rsidRPr="005030E4">
        <w:t>including information about Closing the Gap in their annual reports as simply another reporting burden – a ‘tick and flick’ exercise. However, an agency that adopts this ‘tick and flick’ attitude is highly likely to be one that is currently doing little, if anything, to implement the Priority Reforms. This means that taking actions to implement the Priority Reforms, even if largely motivated by the need to fulfill the reporting requirement, would be a step in the right direction.</w:t>
      </w:r>
    </w:p>
    <w:p w14:paraId="6FB2648F" w14:textId="400DBFBC" w:rsidR="005101E8" w:rsidRDefault="005101E8">
      <w:pPr>
        <w:spacing w:before="0" w:after="160" w:line="259" w:lineRule="auto"/>
      </w:pPr>
      <w:r>
        <w:br w:type="page"/>
      </w:r>
    </w:p>
    <w:tbl>
      <w:tblPr>
        <w:tblStyle w:val="Texttable-Paleblue"/>
        <w:tblW w:w="5000" w:type="pct"/>
        <w:tblLook w:val="04A0" w:firstRow="1" w:lastRow="0" w:firstColumn="1" w:lastColumn="0" w:noHBand="0" w:noVBand="1"/>
      </w:tblPr>
      <w:tblGrid>
        <w:gridCol w:w="792"/>
        <w:gridCol w:w="8846"/>
      </w:tblGrid>
      <w:tr w:rsidR="006675EC" w14:paraId="2E10D673" w14:textId="77777777" w:rsidTr="00921F47">
        <w:trPr>
          <w:tblHeader/>
        </w:trPr>
        <w:tc>
          <w:tcPr>
            <w:tcW w:w="792" w:type="dxa"/>
            <w:shd w:val="clear" w:color="auto" w:fill="FBF3EC"/>
            <w:tcMar>
              <w:top w:w="0" w:type="dxa"/>
              <w:bottom w:w="0" w:type="dxa"/>
            </w:tcMar>
            <w:vAlign w:val="center"/>
          </w:tcPr>
          <w:p w14:paraId="29C8C766" w14:textId="75F5D3F4" w:rsidR="006675EC" w:rsidRDefault="006675EC">
            <w:pPr>
              <w:keepLines/>
              <w:jc w:val="center"/>
            </w:pPr>
            <w:r w:rsidRPr="00A51374">
              <w:rPr>
                <w:noProof/>
              </w:rPr>
              <w:lastRenderedPageBreak/>
              <w:drawing>
                <wp:inline distT="0" distB="0" distL="0" distR="0" wp14:anchorId="72D13C56" wp14:editId="6004A374">
                  <wp:extent cx="360000" cy="360000"/>
                  <wp:effectExtent l="0" t="0" r="0" b="0"/>
                  <wp:docPr id="1958578656" name="Picture 19585786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19299" name="Graphic 99519299">
                            <a:extLst>
                              <a:ext uri="{C183D7F6-B498-43B3-948B-1728B52AA6E4}">
                                <adec:decorative xmlns:adec="http://schemas.microsoft.com/office/drawing/2017/decorative" val="1"/>
                              </a:ext>
                            </a:extLst>
                          </pic:cNvPr>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8846" w:type="dxa"/>
            <w:shd w:val="clear" w:color="auto" w:fill="FBF3EC"/>
            <w:tcMar>
              <w:top w:w="0" w:type="dxa"/>
              <w:bottom w:w="0" w:type="dxa"/>
            </w:tcMar>
            <w:vAlign w:val="center"/>
          </w:tcPr>
          <w:p w14:paraId="28C42E47" w14:textId="77777777" w:rsidR="006675EC" w:rsidRPr="00A72DC9" w:rsidRDefault="006675EC" w:rsidP="006675EC">
            <w:pPr>
              <w:pStyle w:val="TableHeading"/>
              <w:keepLines/>
              <w:spacing w:before="120"/>
              <w:rPr>
                <w:sz w:val="20"/>
              </w:rPr>
            </w:pPr>
            <w:r w:rsidRPr="00A72DC9">
              <w:rPr>
                <w:sz w:val="20"/>
              </w:rPr>
              <w:t xml:space="preserve">Draft recommendation </w:t>
            </w:r>
            <w:r>
              <w:rPr>
                <w:sz w:val="20"/>
              </w:rPr>
              <w:t>5</w:t>
            </w:r>
          </w:p>
          <w:p w14:paraId="21289CB7" w14:textId="09301597" w:rsidR="006675EC" w:rsidRPr="00715040" w:rsidRDefault="006675EC" w:rsidP="006675EC">
            <w:pPr>
              <w:pStyle w:val="TableHeading"/>
              <w:keepLines/>
              <w:spacing w:before="120" w:after="120"/>
              <w:contextualSpacing/>
              <w:rPr>
                <w:sz w:val="20"/>
              </w:rPr>
            </w:pPr>
            <w:r w:rsidRPr="00A72DC9">
              <w:rPr>
                <w:sz w:val="20"/>
              </w:rPr>
              <w:t>Include a statement on Closing the Gap in government agencies’ annual reports</w:t>
            </w:r>
          </w:p>
        </w:tc>
      </w:tr>
      <w:tr w:rsidR="006675EC" w14:paraId="40837BC6" w14:textId="77777777" w:rsidTr="00921F47">
        <w:tc>
          <w:tcPr>
            <w:tcW w:w="9638" w:type="dxa"/>
            <w:gridSpan w:val="2"/>
            <w:shd w:val="clear" w:color="auto" w:fill="FBF3EC"/>
            <w:tcMar>
              <w:top w:w="0" w:type="dxa"/>
            </w:tcMar>
          </w:tcPr>
          <w:p w14:paraId="2AE579EE" w14:textId="48B9F861" w:rsidR="006675EC" w:rsidRPr="00767EAE" w:rsidRDefault="006675EC" w:rsidP="005101E8">
            <w:pPr>
              <w:pStyle w:val="BodyText"/>
            </w:pPr>
            <w:r>
              <w:t>The Australian, state and territory governments each have legislation or rules that require government agencies to prepare annual reports containing certain specified information. They should amend the relevant legislation or rules to include a requirement for every agency to include a statement in its annual report on the substantive activities it undertook to implement the Agreement’s Priority Reforms and the demonstrated outcomes of those activities.</w:t>
            </w:r>
          </w:p>
        </w:tc>
      </w:tr>
      <w:tr w:rsidR="006675EC" w14:paraId="462349B9" w14:textId="77777777" w:rsidTr="00921F47">
        <w:tc>
          <w:tcPr>
            <w:tcW w:w="9638" w:type="dxa"/>
            <w:gridSpan w:val="2"/>
            <w:shd w:val="clear" w:color="auto" w:fill="auto"/>
            <w:tcMar>
              <w:top w:w="0" w:type="dxa"/>
              <w:bottom w:w="0" w:type="dxa"/>
            </w:tcMar>
          </w:tcPr>
          <w:p w14:paraId="0F302C61" w14:textId="58BDFD50" w:rsidR="006675EC" w:rsidRPr="007E0EA8" w:rsidRDefault="006675EC">
            <w:pPr>
              <w:pStyle w:val="NoSpacing"/>
              <w:spacing w:line="200" w:lineRule="exact"/>
            </w:pPr>
          </w:p>
        </w:tc>
      </w:tr>
    </w:tbl>
    <w:p w14:paraId="6B46AA21" w14:textId="454C9005" w:rsidR="00FB5803" w:rsidRDefault="00FB5803" w:rsidP="00FB5803">
      <w:pPr>
        <w:pStyle w:val="Heading3"/>
      </w:pPr>
      <w:r w:rsidRPr="007C7FB4">
        <w:t>Publish</w:t>
      </w:r>
      <w:r>
        <w:t>ing</w:t>
      </w:r>
      <w:r w:rsidRPr="007C7FB4">
        <w:t xml:space="preserve"> documents developed under the Agreement</w:t>
      </w:r>
    </w:p>
    <w:p w14:paraId="4689F4C4" w14:textId="67BE0E42" w:rsidR="00FB5803" w:rsidRPr="00100A31" w:rsidRDefault="00FB5803" w:rsidP="00FB5803">
      <w:pPr>
        <w:pStyle w:val="BodyText"/>
      </w:pPr>
      <w:r w:rsidRPr="00163182">
        <w:t xml:space="preserve">Another important element of transparency is to make it clear to the community how </w:t>
      </w:r>
      <w:r>
        <w:t xml:space="preserve">governments’ </w:t>
      </w:r>
      <w:r w:rsidRPr="00163182">
        <w:t xml:space="preserve">actions </w:t>
      </w:r>
      <w:r>
        <w:t>wi</w:t>
      </w:r>
      <w:r w:rsidRPr="00163182">
        <w:t>ll collectively lead to deliver</w:t>
      </w:r>
      <w:r>
        <w:t xml:space="preserve">y of </w:t>
      </w:r>
      <w:r w:rsidRPr="00163182">
        <w:t xml:space="preserve">the reforms to which </w:t>
      </w:r>
      <w:r>
        <w:t xml:space="preserve">they </w:t>
      </w:r>
      <w:r w:rsidRPr="00163182">
        <w:t xml:space="preserve">have committed. </w:t>
      </w:r>
      <w:r w:rsidRPr="00100A31">
        <w:t xml:space="preserve">But many of the outputs that have been developed under, or are highly relevant to, the Agreement are not publicly available. </w:t>
      </w:r>
    </w:p>
    <w:p w14:paraId="7872D18E" w14:textId="263248CD" w:rsidR="00FB5803" w:rsidRPr="0041332F" w:rsidRDefault="00FB5803" w:rsidP="003601D3">
      <w:pPr>
        <w:pStyle w:val="ListBullet"/>
        <w:numPr>
          <w:ilvl w:val="0"/>
          <w:numId w:val="21"/>
        </w:numPr>
        <w:rPr>
          <w:b/>
          <w:bCs/>
        </w:rPr>
      </w:pPr>
      <w:r w:rsidRPr="00265336">
        <w:rPr>
          <w:b/>
          <w:bCs/>
        </w:rPr>
        <w:t>Partnership stocktakes</w:t>
      </w:r>
      <w:r w:rsidRPr="00C42A73">
        <w:t xml:space="preserve">. </w:t>
      </w:r>
      <w:r w:rsidRPr="0041332F">
        <w:t>Only Queensland, Victoria and the Australian Government have published partnership stocktakes</w:t>
      </w:r>
      <w:r>
        <w:t xml:space="preserve"> </w:t>
      </w:r>
      <w:r w:rsidR="009C0C94">
        <w:t xml:space="preserve">and reviews </w:t>
      </w:r>
      <w:r>
        <w:t>– others remain uncompleted or unpublished (information paper 2)</w:t>
      </w:r>
      <w:r w:rsidRPr="0041332F">
        <w:t>.</w:t>
      </w:r>
      <w:r w:rsidRPr="0041332F">
        <w:rPr>
          <w:b/>
          <w:bCs/>
        </w:rPr>
        <w:t xml:space="preserve"> </w:t>
      </w:r>
    </w:p>
    <w:p w14:paraId="4A610400" w14:textId="2D27E7A3" w:rsidR="00FB5803" w:rsidRPr="0041332F" w:rsidRDefault="00FB5803" w:rsidP="003601D3">
      <w:pPr>
        <w:pStyle w:val="ListBullet"/>
        <w:numPr>
          <w:ilvl w:val="0"/>
          <w:numId w:val="21"/>
        </w:numPr>
        <w:rPr>
          <w:b/>
          <w:bCs/>
        </w:rPr>
      </w:pPr>
      <w:r>
        <w:rPr>
          <w:b/>
          <w:bCs/>
        </w:rPr>
        <w:t>P</w:t>
      </w:r>
      <w:r w:rsidRPr="00265336">
        <w:rPr>
          <w:b/>
          <w:bCs/>
        </w:rPr>
        <w:t>artnership agreements</w:t>
      </w:r>
      <w:r>
        <w:t xml:space="preserve">. Of the five policy partnerships, only </w:t>
      </w:r>
      <w:r w:rsidR="001A26DE">
        <w:t xml:space="preserve">three </w:t>
      </w:r>
      <w:r>
        <w:t>(j</w:t>
      </w:r>
      <w:r w:rsidRPr="00CB01F4">
        <w:t>ustice</w:t>
      </w:r>
      <w:r w:rsidR="001A26DE">
        <w:t>,</w:t>
      </w:r>
      <w:r w:rsidRPr="00CB01F4">
        <w:t xml:space="preserve"> </w:t>
      </w:r>
      <w:r>
        <w:t>e</w:t>
      </w:r>
      <w:r w:rsidRPr="00CB01F4">
        <w:t xml:space="preserve">arly </w:t>
      </w:r>
      <w:r>
        <w:t>c</w:t>
      </w:r>
      <w:r w:rsidRPr="00CB01F4">
        <w:t xml:space="preserve">hildhood </w:t>
      </w:r>
      <w:r w:rsidRPr="00B20BBB">
        <w:t>care and development</w:t>
      </w:r>
      <w:r w:rsidR="001A26DE">
        <w:t xml:space="preserve">, </w:t>
      </w:r>
      <w:r w:rsidR="001A26DE" w:rsidRPr="00BB555B">
        <w:t>and social and emotional wellbeing</w:t>
      </w:r>
      <w:r>
        <w:t>)</w:t>
      </w:r>
      <w:r w:rsidRPr="00B20BBB">
        <w:t xml:space="preserve"> </w:t>
      </w:r>
      <w:r>
        <w:t>h</w:t>
      </w:r>
      <w:r w:rsidRPr="00CB01F4">
        <w:t>ave been made public</w:t>
      </w:r>
      <w:r>
        <w:t xml:space="preserve"> (information paper 2)</w:t>
      </w:r>
      <w:r w:rsidRPr="0041332F">
        <w:t>.</w:t>
      </w:r>
      <w:r w:rsidRPr="0041332F">
        <w:rPr>
          <w:b/>
          <w:bCs/>
        </w:rPr>
        <w:t xml:space="preserve"> </w:t>
      </w:r>
    </w:p>
    <w:p w14:paraId="011130EF" w14:textId="72B24A96" w:rsidR="00FB5803" w:rsidRPr="00265336" w:rsidRDefault="00FB5803" w:rsidP="003601D3">
      <w:pPr>
        <w:pStyle w:val="ListBullet"/>
        <w:keepNext/>
        <w:keepLines/>
        <w:numPr>
          <w:ilvl w:val="0"/>
          <w:numId w:val="21"/>
        </w:numPr>
        <w:rPr>
          <w:b/>
          <w:bCs/>
        </w:rPr>
      </w:pPr>
      <w:r>
        <w:rPr>
          <w:b/>
          <w:bCs/>
        </w:rPr>
        <w:t>E</w:t>
      </w:r>
      <w:r w:rsidRPr="00265336">
        <w:rPr>
          <w:b/>
          <w:bCs/>
        </w:rPr>
        <w:t xml:space="preserve">xpenditure </w:t>
      </w:r>
      <w:r>
        <w:rPr>
          <w:b/>
          <w:bCs/>
        </w:rPr>
        <w:t>reviews</w:t>
      </w:r>
      <w:r>
        <w:t xml:space="preserve">. Only New South Wales has publicly released its review of expenditure on </w:t>
      </w:r>
      <w:r w:rsidRPr="00CF3659">
        <w:t>Aboriginal and Torres Strait Islander programs and services</w:t>
      </w:r>
      <w:r>
        <w:t xml:space="preserve"> (information paper 3).   </w:t>
      </w:r>
      <w:r w:rsidRPr="00265336">
        <w:rPr>
          <w:b/>
          <w:bCs/>
        </w:rPr>
        <w:t xml:space="preserve"> </w:t>
      </w:r>
    </w:p>
    <w:p w14:paraId="7C228C32" w14:textId="21F84092" w:rsidR="00FB5803" w:rsidRDefault="00FB5803" w:rsidP="003601D3">
      <w:pPr>
        <w:pStyle w:val="ListBullet"/>
        <w:numPr>
          <w:ilvl w:val="0"/>
          <w:numId w:val="21"/>
        </w:numPr>
      </w:pPr>
      <w:r>
        <w:rPr>
          <w:b/>
          <w:bCs/>
        </w:rPr>
        <w:t>E</w:t>
      </w:r>
      <w:r w:rsidRPr="00333A10">
        <w:rPr>
          <w:b/>
          <w:bCs/>
        </w:rPr>
        <w:t>valuations</w:t>
      </w:r>
      <w:r>
        <w:t xml:space="preserve">. Currently, it is not easy for policy makers and other evaluation users to access evaluation evidence, nor is it easy to identify evidence gaps that evaluations could fill. Many evaluations are not published, and evaluation evidence is not collected in one central place </w:t>
      </w:r>
      <w:r w:rsidRPr="00E311A8">
        <w:rPr>
          <w:rFonts w:ascii="Arial" w:hAnsi="Arial" w:cs="Arial"/>
          <w:szCs w:val="24"/>
        </w:rPr>
        <w:t>(PC 2020, p. 39)</w:t>
      </w:r>
      <w:r>
        <w:t>.</w:t>
      </w:r>
    </w:p>
    <w:p w14:paraId="659B7DE4" w14:textId="0A74624C" w:rsidR="00FB5803" w:rsidRDefault="00FB5803" w:rsidP="00FB5803">
      <w:pPr>
        <w:keepNext/>
      </w:pPr>
      <w:r>
        <w:t>When stocktakes, agreements, reviews and evaluations are not published, it makes it much harder for Aboriginal and Torres Strait Islander organisations and communities, as well as the broader Australian community, to understand whether governments are moving beyond a business</w:t>
      </w:r>
      <w:r w:rsidR="00FD58AA">
        <w:noBreakHyphen/>
      </w:r>
      <w:r>
        <w:t>as</w:t>
      </w:r>
      <w:r w:rsidR="00FD58AA">
        <w:noBreakHyphen/>
      </w:r>
      <w:r>
        <w:t>usual approach, and to hold them accountable for meeting their commitments.</w:t>
      </w:r>
    </w:p>
    <w:p w14:paraId="23C054E2" w14:textId="3581A688" w:rsidR="00FB5803" w:rsidRPr="000832DC" w:rsidRDefault="00FB5803" w:rsidP="00FB5803">
      <w:pPr>
        <w:keepNext/>
      </w:pPr>
      <w:r>
        <w:t>As with all of the actions under the Agreement, it is essential that improving transparency by publishing all relevant documents is done in a way that is consistent with the Agreement</w:t>
      </w:r>
      <w:r w:rsidRPr="00556AD7">
        <w:t xml:space="preserve"> </w:t>
      </w:r>
      <w:r>
        <w:t xml:space="preserve">and its Priority Reforms, and centres Aboriginal and Torres Strait Islander people and perspectives. This includes following Indigenous data sovereignty principles (information paper 5). </w:t>
      </w:r>
    </w:p>
    <w:p w14:paraId="62E02604" w14:textId="0F63AAED" w:rsidR="00FB5803" w:rsidRDefault="00FB5803" w:rsidP="00FB5803">
      <w:pPr>
        <w:pStyle w:val="Quote"/>
      </w:pPr>
      <w:r>
        <w:t xml:space="preserve">The application of ethical practices sees Aboriginal communities as the owners of all evaluation reports. It is communities’ decision to release reports and to whom including publication. Taking this approach, all but one of the reports arising from the OCHRE </w:t>
      </w:r>
      <w:r w:rsidR="007C6F71">
        <w:t xml:space="preserve">[NSW Government plan for Aboriginal </w:t>
      </w:r>
      <w:r w:rsidR="00D81029">
        <w:t>A</w:t>
      </w:r>
      <w:r w:rsidR="007C6F71">
        <w:t xml:space="preserve">ffairs] </w:t>
      </w:r>
      <w:r>
        <w:t xml:space="preserve">evaluation have been published. At this stage the unpublished report has been made available to the relevant public service agency to inform the development of policy and practice. </w:t>
      </w:r>
      <w:r w:rsidRPr="7D6B7BA6">
        <w:rPr>
          <w:rFonts w:ascii="Arial" w:hAnsi="Arial" w:cs="Arial"/>
        </w:rPr>
        <w:t>(Aboriginal Affairs NSW 2019, p. 3)</w:t>
      </w:r>
    </w:p>
    <w:p w14:paraId="2CEE97D0" w14:textId="70074D4B" w:rsidR="00FB5803" w:rsidRDefault="00FB5803" w:rsidP="00FB5803">
      <w:pPr>
        <w:pStyle w:val="BodyText"/>
      </w:pPr>
      <w:r>
        <w:t>Other good practices include publishing a response to evaluation findings (box</w:t>
      </w:r>
      <w:r w:rsidR="00FD58AA">
        <w:t> </w:t>
      </w:r>
      <w:r>
        <w:t>13). This is essential, as transparency about issues without action to address them can compound the very issues that it is designed to address.</w:t>
      </w:r>
    </w:p>
    <w:p w14:paraId="5842C62D" w14:textId="2A3AE537" w:rsidR="00FB5803" w:rsidRDefault="00FB5803" w:rsidP="00FB5803">
      <w:pPr>
        <w:pStyle w:val="Quote"/>
      </w:pPr>
      <w:r w:rsidRPr="000E3DA0">
        <w:t xml:space="preserve">States often think of accountability as the uncovering and sharing of information to the public through transparency mechanisms or from agents to principals in funding arrangements. However, to be effective, accountability frameworks must not only provide information, but result </w:t>
      </w:r>
      <w:r w:rsidRPr="000E3DA0">
        <w:lastRenderedPageBreak/>
        <w:t>in action, or they will fatigue and undermine trust in change across Indigenous</w:t>
      </w:r>
      <w:r w:rsidR="00FD58AA">
        <w:noBreakHyphen/>
      </w:r>
      <w:r w:rsidRPr="000E3DA0">
        <w:t>settler relationships</w:t>
      </w:r>
      <w:r>
        <w:t xml:space="preserve"> </w:t>
      </w:r>
      <w:r w:rsidRPr="00AA2D35">
        <w:rPr>
          <w:rFonts w:ascii="Arial" w:hAnsi="Arial" w:cs="Arial"/>
          <w:szCs w:val="24"/>
        </w:rPr>
        <w:t>(Jumbunna Institute 2020, p. 27)</w:t>
      </w:r>
    </w:p>
    <w:p w14:paraId="4A5DEF6A" w14:textId="586661A6" w:rsidR="00FB5803" w:rsidRPr="00F82BD9" w:rsidRDefault="00FB5803" w:rsidP="00FB5803">
      <w:pPr>
        <w:pStyle w:val="NoSpacing"/>
      </w:pPr>
    </w:p>
    <w:tbl>
      <w:tblPr>
        <w:tblStyle w:val="Boxtable"/>
        <w:tblW w:w="5000" w:type="pct"/>
        <w:tblLook w:val="04A0" w:firstRow="1" w:lastRow="0" w:firstColumn="1" w:lastColumn="0" w:noHBand="0" w:noVBand="1"/>
      </w:tblPr>
      <w:tblGrid>
        <w:gridCol w:w="906"/>
        <w:gridCol w:w="8732"/>
      </w:tblGrid>
      <w:tr w:rsidR="00983C1E" w14:paraId="4777F190" w14:textId="77777777" w:rsidTr="00983C1E">
        <w:trPr>
          <w:tblHeader/>
        </w:trPr>
        <w:tc>
          <w:tcPr>
            <w:tcW w:w="906" w:type="dxa"/>
            <w:shd w:val="clear" w:color="auto" w:fill="FBF3EC"/>
            <w:tcMar>
              <w:top w:w="170" w:type="dxa"/>
              <w:left w:w="170" w:type="dxa"/>
              <w:bottom w:w="113" w:type="dxa"/>
              <w:right w:w="170" w:type="dxa"/>
            </w:tcMar>
            <w:hideMark/>
          </w:tcPr>
          <w:p w14:paraId="6ED616FF" w14:textId="6211C7D0" w:rsidR="00983C1E" w:rsidRPr="00FF351B" w:rsidRDefault="00983C1E" w:rsidP="00983C1E">
            <w:pPr>
              <w:pStyle w:val="BoxHeading1"/>
              <w:spacing w:before="0"/>
            </w:pPr>
            <w:r w:rsidRPr="00A031AA">
              <w:rPr>
                <w:b/>
                <w:bCs/>
                <w:noProof/>
              </w:rPr>
              <w:drawing>
                <wp:inline distT="0" distB="0" distL="0" distR="0" wp14:anchorId="5F2B65D4" wp14:editId="10505873">
                  <wp:extent cx="360000" cy="424800"/>
                  <wp:effectExtent l="0" t="0" r="0" b="0"/>
                  <wp:docPr id="816995054" name="Picture 8169950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995054" name="Picture 816995054">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32" w:type="dxa"/>
            <w:shd w:val="clear" w:color="auto" w:fill="FBF3EC"/>
          </w:tcPr>
          <w:p w14:paraId="10B694D2" w14:textId="5DB77509" w:rsidR="00983C1E" w:rsidRPr="00FF351B" w:rsidRDefault="00983C1E">
            <w:pPr>
              <w:pStyle w:val="BoxHeading1"/>
            </w:pPr>
            <w:r>
              <w:t>Box 13 – Good practice in publishing and responding to evaluations</w:t>
            </w:r>
          </w:p>
        </w:tc>
      </w:tr>
      <w:tr w:rsidR="00FB5803" w14:paraId="729F79D6" w14:textId="77777777" w:rsidTr="00983C1E">
        <w:tc>
          <w:tcPr>
            <w:tcW w:w="9638" w:type="dxa"/>
            <w:gridSpan w:val="2"/>
            <w:shd w:val="clear" w:color="auto" w:fill="FBF3EC"/>
            <w:tcMar>
              <w:top w:w="28" w:type="dxa"/>
              <w:left w:w="170" w:type="dxa"/>
              <w:bottom w:w="170" w:type="dxa"/>
              <w:right w:w="170" w:type="dxa"/>
            </w:tcMar>
            <w:hideMark/>
          </w:tcPr>
          <w:p w14:paraId="72A0A634" w14:textId="18151AAB" w:rsidR="00FB5803" w:rsidRDefault="00FB5803" w:rsidP="00BA172C">
            <w:pPr>
              <w:pStyle w:val="BodyText"/>
              <w:keepNext/>
            </w:pPr>
            <w:r>
              <w:t>In its Indigenous Evaluation Strategy, the Commission found that:</w:t>
            </w:r>
          </w:p>
          <w:p w14:paraId="02D283A8" w14:textId="5F4F1A29" w:rsidR="00FB5803" w:rsidRPr="00D607BB" w:rsidRDefault="00FB5803" w:rsidP="00BA172C">
            <w:pPr>
              <w:pStyle w:val="Quote"/>
              <w:keepNext/>
            </w:pPr>
            <w:r w:rsidRPr="00D607BB">
              <w:t xml:space="preserve">… agencies should publish all evaluations of policies and programs affecting Aboriginal and Torres Strait Islander people. Where there are concerns that publishing a full evaluation report would compromise confidentiality or privacy, or where there is culturally sensitive information, a summary report should be published instead. All published evaluation reports should have a clear and concise summary of the evaluation findings. Evaluation reports should document details of data collected, approaches and methods used, ethical practices, limitations of the evaluation, and costs. The evaluation summary report should also document how the evaluation adhered to the principles of the </w:t>
            </w:r>
            <w:r>
              <w:t xml:space="preserve">[Indigenous Evaluation] </w:t>
            </w:r>
            <w:r w:rsidRPr="00D607BB">
              <w:t>Strategy.</w:t>
            </w:r>
          </w:p>
          <w:p w14:paraId="78525DFA" w14:textId="02D83110" w:rsidR="00FB5803" w:rsidRDefault="00FB5803">
            <w:pPr>
              <w:pStyle w:val="Quote"/>
            </w:pPr>
            <w:r>
              <w:t>Consistent with good ethical research practice, agencies should share evaluation findings with Aboriginal and Torres Strait Islander people, communities and organisations who are participants in evaluations or stakeholders in the relevant policies and programs.</w:t>
            </w:r>
          </w:p>
          <w:p w14:paraId="5F7B00C5" w14:textId="2A11CF87" w:rsidR="00FB5803" w:rsidRDefault="00FB5803">
            <w:pPr>
              <w:pStyle w:val="Quote"/>
            </w:pPr>
            <w:r>
              <w:t xml:space="preserve">Agencies should also publish their management response to evaluation findings (this could be included as part of the evaluation report or separately). This should include an explanation about what they have learned, what they have changed in response to the findings, and any further action they intend to take. </w:t>
            </w:r>
          </w:p>
          <w:p w14:paraId="093C8AA4" w14:textId="38DEF592" w:rsidR="00FB5803" w:rsidRDefault="00FB5803">
            <w:pPr>
              <w:pStyle w:val="Source"/>
            </w:pPr>
            <w:r>
              <w:t xml:space="preserve">Source: PC </w:t>
            </w:r>
            <w:r w:rsidRPr="00E0442E">
              <w:rPr>
                <w:rFonts w:ascii="Arial" w:hAnsi="Arial" w:cs="Arial"/>
                <w:szCs w:val="24"/>
              </w:rPr>
              <w:t>(2020, p. 39)</w:t>
            </w:r>
            <w:r>
              <w:t>.</w:t>
            </w:r>
          </w:p>
        </w:tc>
      </w:tr>
      <w:tr w:rsidR="00FB5803" w14:paraId="2A9C0687" w14:textId="77777777">
        <w:trPr>
          <w:hidden/>
        </w:trPr>
        <w:tc>
          <w:tcPr>
            <w:tcW w:w="9638" w:type="dxa"/>
            <w:gridSpan w:val="2"/>
            <w:shd w:val="clear" w:color="auto" w:fill="auto"/>
            <w:tcMar>
              <w:top w:w="0" w:type="dxa"/>
              <w:left w:w="170" w:type="dxa"/>
              <w:bottom w:w="0" w:type="dxa"/>
              <w:right w:w="170" w:type="dxa"/>
            </w:tcMar>
          </w:tcPr>
          <w:p w14:paraId="6B11F2C9" w14:textId="6ABCF3EB" w:rsidR="00FB5803" w:rsidRPr="00465191" w:rsidRDefault="00FB5803">
            <w:pPr>
              <w:pStyle w:val="BodyText"/>
              <w:spacing w:before="0" w:after="0" w:line="80" w:lineRule="atLeast"/>
              <w:rPr>
                <w:smallCaps/>
                <w:vanish/>
              </w:rPr>
            </w:pPr>
          </w:p>
        </w:tc>
      </w:tr>
    </w:tbl>
    <w:p w14:paraId="20FB7361" w14:textId="3E7020A0" w:rsidR="00FB5803" w:rsidRPr="00F82BD9" w:rsidRDefault="00FB5803" w:rsidP="00CE7ACF">
      <w:pPr>
        <w:pStyle w:val="NoSpacing"/>
      </w:pPr>
    </w:p>
    <w:tbl>
      <w:tblPr>
        <w:tblStyle w:val="Texttable-Paleblue"/>
        <w:tblW w:w="5000" w:type="pct"/>
        <w:tblLook w:val="04A0" w:firstRow="1" w:lastRow="0" w:firstColumn="1" w:lastColumn="0" w:noHBand="0" w:noVBand="1"/>
      </w:tblPr>
      <w:tblGrid>
        <w:gridCol w:w="792"/>
        <w:gridCol w:w="8846"/>
      </w:tblGrid>
      <w:tr w:rsidR="00FB5803" w14:paraId="3237A9D0" w14:textId="77777777" w:rsidTr="006675EC">
        <w:trPr>
          <w:tblHeader/>
        </w:trPr>
        <w:tc>
          <w:tcPr>
            <w:tcW w:w="713" w:type="dxa"/>
            <w:shd w:val="clear" w:color="auto" w:fill="FBF3EC"/>
            <w:tcMar>
              <w:top w:w="0" w:type="dxa"/>
              <w:bottom w:w="0" w:type="dxa"/>
            </w:tcMar>
            <w:vAlign w:val="center"/>
          </w:tcPr>
          <w:p w14:paraId="71EFBAA4" w14:textId="3CFF95FE" w:rsidR="00FB5803" w:rsidRDefault="006675EC">
            <w:pPr>
              <w:keepLines/>
              <w:jc w:val="center"/>
            </w:pPr>
            <w:r w:rsidRPr="00A51374">
              <w:rPr>
                <w:noProof/>
              </w:rPr>
              <w:drawing>
                <wp:inline distT="0" distB="0" distL="0" distR="0" wp14:anchorId="3429F3A9" wp14:editId="487571B0">
                  <wp:extent cx="360000" cy="360000"/>
                  <wp:effectExtent l="0" t="0" r="0" b="0"/>
                  <wp:docPr id="409543046" name="Picture 4095430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19299" name="Graphic 99519299">
                            <a:extLst>
                              <a:ext uri="{C183D7F6-B498-43B3-948B-1728B52AA6E4}">
                                <adec:decorative xmlns:adec="http://schemas.microsoft.com/office/drawing/2017/decorative" val="1"/>
                              </a:ext>
                            </a:extLst>
                          </pic:cNvPr>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8925" w:type="dxa"/>
            <w:shd w:val="clear" w:color="auto" w:fill="FBF3EC"/>
            <w:tcMar>
              <w:top w:w="0" w:type="dxa"/>
              <w:bottom w:w="0" w:type="dxa"/>
            </w:tcMar>
            <w:vAlign w:val="center"/>
          </w:tcPr>
          <w:p w14:paraId="14D82BED" w14:textId="77777777" w:rsidR="00FB5803" w:rsidRPr="00831BC5" w:rsidRDefault="00FB5803">
            <w:pPr>
              <w:pStyle w:val="TableHeading"/>
              <w:keepLines/>
              <w:spacing w:before="120"/>
              <w:rPr>
                <w:sz w:val="20"/>
              </w:rPr>
            </w:pPr>
            <w:r w:rsidRPr="00831BC5">
              <w:rPr>
                <w:sz w:val="20"/>
              </w:rPr>
              <w:t xml:space="preserve">Draft recommendation </w:t>
            </w:r>
            <w:r>
              <w:rPr>
                <w:sz w:val="20"/>
              </w:rPr>
              <w:t>6</w:t>
            </w:r>
          </w:p>
          <w:p w14:paraId="4419F0CC" w14:textId="77777777" w:rsidR="00FB5803" w:rsidRPr="00715040" w:rsidRDefault="00FB5803">
            <w:pPr>
              <w:pStyle w:val="TableHeading"/>
              <w:keepLines/>
              <w:spacing w:before="120" w:after="120"/>
              <w:contextualSpacing/>
              <w:rPr>
                <w:sz w:val="20"/>
              </w:rPr>
            </w:pPr>
            <w:r>
              <w:rPr>
                <w:sz w:val="20"/>
              </w:rPr>
              <w:t>Publish all the documents developed under the Agreement</w:t>
            </w:r>
          </w:p>
        </w:tc>
      </w:tr>
      <w:tr w:rsidR="00FB5803" w14:paraId="5D348F8D" w14:textId="77777777" w:rsidTr="006675EC">
        <w:tc>
          <w:tcPr>
            <w:tcW w:w="9638" w:type="dxa"/>
            <w:gridSpan w:val="2"/>
            <w:shd w:val="clear" w:color="auto" w:fill="FBF3EC"/>
            <w:tcMar>
              <w:top w:w="0" w:type="dxa"/>
            </w:tcMar>
          </w:tcPr>
          <w:p w14:paraId="1C7A5307" w14:textId="3DC6042B" w:rsidR="00FB5803" w:rsidRPr="000611D3" w:rsidRDefault="00C52F73">
            <w:pPr>
              <w:pStyle w:val="BodyText"/>
              <w:keepNext/>
              <w:keepLines/>
              <w:rPr>
                <w:spacing w:val="-2"/>
              </w:rPr>
            </w:pPr>
            <w:r w:rsidRPr="000611D3">
              <w:rPr>
                <w:spacing w:val="-2"/>
              </w:rPr>
              <w:t>T</w:t>
            </w:r>
            <w:r w:rsidR="00FB5803" w:rsidRPr="000611D3">
              <w:rPr>
                <w:spacing w:val="-2"/>
              </w:rPr>
              <w:t xml:space="preserve">o improve transparency and make it easier to assess progress, the Australian, state and territory governments should make public all of the outputs that are developed under the </w:t>
            </w:r>
            <w:r w:rsidR="00FB5803" w:rsidRPr="000611D3">
              <w:rPr>
                <w:caps/>
                <w:spacing w:val="-2"/>
              </w:rPr>
              <w:t>A</w:t>
            </w:r>
            <w:r w:rsidR="00FB5803" w:rsidRPr="000611D3">
              <w:rPr>
                <w:spacing w:val="-2"/>
              </w:rPr>
              <w:t>greement. This includes:</w:t>
            </w:r>
          </w:p>
          <w:p w14:paraId="1BCFEB71" w14:textId="77777777" w:rsidR="00FB5803" w:rsidRDefault="00FB5803" w:rsidP="003601D3">
            <w:pPr>
              <w:pStyle w:val="ListBullet"/>
              <w:keepNext/>
              <w:keepLines/>
              <w:numPr>
                <w:ilvl w:val="0"/>
                <w:numId w:val="21"/>
              </w:numPr>
            </w:pPr>
            <w:r>
              <w:t>partnership stocktakes</w:t>
            </w:r>
          </w:p>
          <w:p w14:paraId="128814DC" w14:textId="77777777" w:rsidR="00FB5803" w:rsidRDefault="00FB5803" w:rsidP="003601D3">
            <w:pPr>
              <w:pStyle w:val="ListBullet"/>
              <w:keepNext/>
              <w:keepLines/>
              <w:numPr>
                <w:ilvl w:val="0"/>
                <w:numId w:val="21"/>
              </w:numPr>
            </w:pPr>
            <w:r>
              <w:t xml:space="preserve">partnership agreements </w:t>
            </w:r>
          </w:p>
          <w:p w14:paraId="0995085A" w14:textId="77777777" w:rsidR="00FB5803" w:rsidRDefault="00FB5803" w:rsidP="003601D3">
            <w:pPr>
              <w:pStyle w:val="ListBullet"/>
              <w:keepNext/>
              <w:keepLines/>
              <w:numPr>
                <w:ilvl w:val="0"/>
                <w:numId w:val="21"/>
              </w:numPr>
            </w:pPr>
            <w:r>
              <w:t xml:space="preserve">expenditure reviews </w:t>
            </w:r>
          </w:p>
          <w:p w14:paraId="356E22A9" w14:textId="77777777" w:rsidR="00FB5803" w:rsidRPr="00767EAE" w:rsidRDefault="00FB5803" w:rsidP="003601D3">
            <w:pPr>
              <w:pStyle w:val="ListBullet"/>
              <w:numPr>
                <w:ilvl w:val="0"/>
                <w:numId w:val="21"/>
              </w:numPr>
            </w:pPr>
            <w:r>
              <w:t>evaluations.</w:t>
            </w:r>
          </w:p>
        </w:tc>
      </w:tr>
      <w:tr w:rsidR="00FB5803" w14:paraId="2E35F0D9" w14:textId="77777777">
        <w:tc>
          <w:tcPr>
            <w:tcW w:w="9638" w:type="dxa"/>
            <w:gridSpan w:val="2"/>
            <w:shd w:val="clear" w:color="auto" w:fill="auto"/>
            <w:tcMar>
              <w:top w:w="0" w:type="dxa"/>
              <w:bottom w:w="0" w:type="dxa"/>
            </w:tcMar>
          </w:tcPr>
          <w:p w14:paraId="4473EC1D" w14:textId="6EA07EC0" w:rsidR="00FB5803" w:rsidRPr="007E0EA8" w:rsidRDefault="00FB5803">
            <w:pPr>
              <w:pStyle w:val="NoSpacing"/>
              <w:spacing w:line="200" w:lineRule="exact"/>
            </w:pPr>
          </w:p>
        </w:tc>
      </w:tr>
    </w:tbl>
    <w:p w14:paraId="062F2BAA" w14:textId="0EC1FF5D" w:rsidR="00FD58AA" w:rsidRDefault="00D3239C" w:rsidP="00FD58AA">
      <w:pPr>
        <w:pStyle w:val="Heading1-nobackground"/>
      </w:pPr>
      <w:r>
        <w:br w:type="page"/>
      </w:r>
      <w:bookmarkStart w:id="15" w:name="_Toc132107108"/>
      <w:bookmarkStart w:id="16" w:name="_Toc140504491"/>
      <w:bookmarkEnd w:id="3"/>
      <w:r w:rsidR="00CC2E2E">
        <w:lastRenderedPageBreak/>
        <w:t>References</w:t>
      </w:r>
      <w:bookmarkEnd w:id="15"/>
      <w:bookmarkEnd w:id="16"/>
    </w:p>
    <w:p w14:paraId="366FE763" w14:textId="77777777" w:rsidR="00024CE1" w:rsidRDefault="00024CE1" w:rsidP="00024CE1">
      <w:pPr>
        <w:pStyle w:val="Reference"/>
        <w:sectPr w:rsidR="00024CE1" w:rsidSect="003E2367">
          <w:pgSz w:w="11906" w:h="16838" w:code="9"/>
          <w:pgMar w:top="1134" w:right="1134" w:bottom="1134" w:left="1134" w:header="794" w:footer="510" w:gutter="0"/>
          <w:cols w:space="708"/>
          <w:docGrid w:linePitch="360"/>
        </w:sectPr>
      </w:pPr>
    </w:p>
    <w:p w14:paraId="36E4DDB4" w14:textId="3E4A85FF" w:rsidR="00F33262" w:rsidRDefault="00F33262" w:rsidP="00024CE1">
      <w:pPr>
        <w:pStyle w:val="Reference"/>
      </w:pPr>
      <w:r>
        <w:t xml:space="preserve">Aboriginal Affairs NSW 2019, </w:t>
      </w:r>
      <w:r>
        <w:rPr>
          <w:i/>
          <w:iCs/>
        </w:rPr>
        <w:t>Submission on the Indigenous Evaluation Strategy</w:t>
      </w:r>
      <w:r>
        <w:t>, sub. 70, Productivity Commission.</w:t>
      </w:r>
    </w:p>
    <w:p w14:paraId="051A19D6" w14:textId="77777777" w:rsidR="00F33262" w:rsidRDefault="00F33262" w:rsidP="00024CE1">
      <w:pPr>
        <w:pStyle w:val="Reference"/>
      </w:pPr>
      <w:r>
        <w:t xml:space="preserve">ACT Government 2023, </w:t>
      </w:r>
      <w:r>
        <w:rPr>
          <w:i/>
          <w:iCs/>
        </w:rPr>
        <w:t>Community Services Directorate Organisational Chart</w:t>
      </w:r>
      <w:r>
        <w:t>.</w:t>
      </w:r>
    </w:p>
    <w:p w14:paraId="555DD93E" w14:textId="77777777" w:rsidR="00F33262" w:rsidRDefault="00F33262" w:rsidP="00024CE1">
      <w:pPr>
        <w:pStyle w:val="Reference"/>
      </w:pPr>
      <w:r>
        <w:t xml:space="preserve">Allas, T., Checinski, M., Dillon, R., Dobbs, R., Cadenas, A., Daly, E., Fine, D., Hieronimus, S., Singh, N. and Hatwell, J. 2018, </w:t>
      </w:r>
      <w:r>
        <w:rPr>
          <w:i/>
          <w:iCs/>
        </w:rPr>
        <w:t>Delivering for citizens: How to triple the success rate of government transformations</w:t>
      </w:r>
      <w:r>
        <w:t>, Discussion Paper, June, McKinsey Center for Government.</w:t>
      </w:r>
    </w:p>
    <w:p w14:paraId="0C6409B3" w14:textId="77777777" w:rsidR="00F33262" w:rsidRDefault="00F33262" w:rsidP="00024CE1">
      <w:pPr>
        <w:pStyle w:val="Reference"/>
      </w:pPr>
      <w:r>
        <w:t xml:space="preserve">APS Reform Office 2023, </w:t>
      </w:r>
      <w:r>
        <w:rPr>
          <w:i/>
          <w:iCs/>
        </w:rPr>
        <w:t>Public Service Amendment Bill Explanatory Material</w:t>
      </w:r>
      <w:r>
        <w:t>, May.</w:t>
      </w:r>
    </w:p>
    <w:p w14:paraId="74D4DA43" w14:textId="77777777" w:rsidR="00F33262" w:rsidRDefault="00F33262" w:rsidP="00024CE1">
      <w:pPr>
        <w:pStyle w:val="Reference"/>
      </w:pPr>
      <w:r>
        <w:t xml:space="preserve">Australian Government 2023a, </w:t>
      </w:r>
      <w:r>
        <w:rPr>
          <w:i/>
          <w:iCs/>
        </w:rPr>
        <w:t>Commonwealth Closing the Gap Implementation Plan 2023</w:t>
      </w:r>
      <w:r>
        <w:t>, Canberra.</w:t>
      </w:r>
    </w:p>
    <w:p w14:paraId="24C62C0F" w14:textId="77777777" w:rsidR="00F33262" w:rsidRDefault="00F33262" w:rsidP="00024CE1">
      <w:pPr>
        <w:pStyle w:val="Reference"/>
      </w:pPr>
      <w:r>
        <w:t xml:space="preserve">—— 2023b, </w:t>
      </w:r>
      <w:r>
        <w:rPr>
          <w:i/>
          <w:iCs/>
        </w:rPr>
        <w:t>Voice Principles</w:t>
      </w:r>
      <w:r>
        <w:t>, https://voice.gov.au/about-voice/voice-principles (accessed 17 May 2023).</w:t>
      </w:r>
    </w:p>
    <w:p w14:paraId="61950EB1" w14:textId="77777777" w:rsidR="00F33262" w:rsidRDefault="00F33262" w:rsidP="00024CE1">
      <w:pPr>
        <w:pStyle w:val="Reference"/>
      </w:pPr>
      <w:r>
        <w:t xml:space="preserve">Black Dog Institute 2020, </w:t>
      </w:r>
      <w:r>
        <w:rPr>
          <w:i/>
          <w:iCs/>
        </w:rPr>
        <w:t>Lived experience definition released for Aboriginal and Torres Strait Islander communities</w:t>
      </w:r>
      <w:r>
        <w:t>, https://www.blackdoginstitute.org.au/media-releases/lived-experience-definition-released-for-aboriginal-and-torres-strait-islander-communities/ (accessed 26 June 2023).</w:t>
      </w:r>
    </w:p>
    <w:p w14:paraId="2E6194F0" w14:textId="77777777" w:rsidR="00F33262" w:rsidRPr="007939D8" w:rsidRDefault="00F33262" w:rsidP="00024CE1">
      <w:pPr>
        <w:pStyle w:val="Reference"/>
        <w:rPr>
          <w:spacing w:val="2"/>
        </w:rPr>
      </w:pPr>
      <w:r w:rsidRPr="007939D8">
        <w:rPr>
          <w:spacing w:val="2"/>
        </w:rPr>
        <w:t xml:space="preserve">Davis, M. 2019, </w:t>
      </w:r>
      <w:r w:rsidRPr="007939D8">
        <w:rPr>
          <w:i/>
          <w:iCs/>
          <w:spacing w:val="2"/>
        </w:rPr>
        <w:t>Family is Culture: Independent Review of Aboriginal Children in Out-of-Home Care in New South Wales</w:t>
      </w:r>
      <w:r w:rsidRPr="007939D8">
        <w:rPr>
          <w:spacing w:val="2"/>
        </w:rPr>
        <w:t>, https://www.familyisculture.nsw.gov.au (accessed 22 March 2023).</w:t>
      </w:r>
    </w:p>
    <w:p w14:paraId="709B7F98" w14:textId="77777777" w:rsidR="00F33262" w:rsidRPr="007939D8" w:rsidRDefault="00F33262" w:rsidP="00024CE1">
      <w:pPr>
        <w:pStyle w:val="Reference"/>
        <w:rPr>
          <w:spacing w:val="2"/>
        </w:rPr>
      </w:pPr>
      <w:r w:rsidRPr="007939D8">
        <w:rPr>
          <w:spacing w:val="2"/>
        </w:rPr>
        <w:t xml:space="preserve">DCA (Diversity Council Australia) 2022, </w:t>
      </w:r>
      <w:r w:rsidRPr="007939D8">
        <w:rPr>
          <w:i/>
          <w:iCs/>
          <w:spacing w:val="2"/>
        </w:rPr>
        <w:t>Racism at Work: How Organisations Can Stand Up to and End Workplace Racism</w:t>
      </w:r>
      <w:r w:rsidRPr="007939D8">
        <w:rPr>
          <w:spacing w:val="2"/>
        </w:rPr>
        <w:t>, Sydney.</w:t>
      </w:r>
    </w:p>
    <w:p w14:paraId="187AE434" w14:textId="77777777" w:rsidR="00F33262" w:rsidRDefault="00F33262" w:rsidP="00024CE1">
      <w:pPr>
        <w:pStyle w:val="Reference"/>
      </w:pPr>
      <w:r>
        <w:t xml:space="preserve">DCCEEW (Department of Climate Change, Energy, the Environment and Water) 2023, </w:t>
      </w:r>
      <w:r>
        <w:rPr>
          <w:i/>
          <w:iCs/>
        </w:rPr>
        <w:t>Measuring our performance under the EPBC Act</w:t>
      </w:r>
      <w:r>
        <w:t>, https://www.dcceew.gov.au/environment/epbc/our-role/our-performance#annual-reports-of-all-commonwealth-agencies (accessed 9 May 2023).</w:t>
      </w:r>
    </w:p>
    <w:p w14:paraId="3D916DA4" w14:textId="77777777" w:rsidR="00F33262" w:rsidRDefault="00F33262" w:rsidP="00024CE1">
      <w:pPr>
        <w:pStyle w:val="Reference"/>
      </w:pPr>
      <w:r>
        <w:t xml:space="preserve">DEHWA (Department of the Environment, Water,Heritage and the Arts) 2010, </w:t>
      </w:r>
      <w:r>
        <w:rPr>
          <w:i/>
          <w:iCs/>
        </w:rPr>
        <w:t>Guidelines for Section 516A reporting - Environment Protection and Biodiversity Conservation Act 1999 - DCCEEW</w:t>
      </w:r>
      <w:r>
        <w:t>, https://www.dcceew.gov.au/environment/epbc/publications/guidelines-section-516a-reporting-environment-protection-and-biodiversity-conservation-act (accessed 24 May 2023).</w:t>
      </w:r>
    </w:p>
    <w:p w14:paraId="0F2802C0" w14:textId="77777777" w:rsidR="00F33262" w:rsidRDefault="00F33262" w:rsidP="00024CE1">
      <w:pPr>
        <w:pStyle w:val="Reference"/>
      </w:pPr>
      <w:r>
        <w:t xml:space="preserve">Department of Finance 2022, </w:t>
      </w:r>
      <w:r>
        <w:rPr>
          <w:i/>
          <w:iCs/>
        </w:rPr>
        <w:t>Budget Process Operational Rules</w:t>
      </w:r>
      <w:r>
        <w:t>, December, Canberra.</w:t>
      </w:r>
    </w:p>
    <w:p w14:paraId="0CFE2EE2" w14:textId="77777777" w:rsidR="00F33262" w:rsidRDefault="00F33262" w:rsidP="00024CE1">
      <w:pPr>
        <w:pStyle w:val="Reference"/>
      </w:pPr>
      <w:r>
        <w:t xml:space="preserve">—— 2023a, </w:t>
      </w:r>
      <w:r>
        <w:rPr>
          <w:i/>
          <w:iCs/>
        </w:rPr>
        <w:t>Annual report content requirements</w:t>
      </w:r>
      <w:r>
        <w:t>, https://www.finance.gov.au/government/managing-commonwealth-resources/planning-and-reporting/annual-reports-non-corporate-commonwealth-entities-rmg-135/annual-report-content-requirements-0 (accessed 9 May 2023).</w:t>
      </w:r>
    </w:p>
    <w:p w14:paraId="0E59513F" w14:textId="77777777" w:rsidR="00F33262" w:rsidRPr="00E842E6" w:rsidRDefault="00F33262" w:rsidP="00024CE1">
      <w:pPr>
        <w:pStyle w:val="Reference"/>
        <w:rPr>
          <w:spacing w:val="-4"/>
        </w:rPr>
      </w:pPr>
      <w:r w:rsidRPr="00E842E6">
        <w:rPr>
          <w:spacing w:val="-4"/>
        </w:rPr>
        <w:t xml:space="preserve">—— 2023b, </w:t>
      </w:r>
      <w:r w:rsidRPr="00E842E6">
        <w:rPr>
          <w:i/>
          <w:iCs/>
          <w:spacing w:val="-4"/>
        </w:rPr>
        <w:t>Why evaluate?</w:t>
      </w:r>
      <w:r w:rsidRPr="00E842E6">
        <w:rPr>
          <w:spacing w:val="-4"/>
        </w:rPr>
        <w:t>, https://www.finance.gov.au/government/managing-commonwealth-resources/planning-and-reporting/commonwealth-performance-framework/evaluation-commonwealth-rmg-130/why-evaluate (accessed 22 June 2023).</w:t>
      </w:r>
    </w:p>
    <w:p w14:paraId="138E99C2" w14:textId="77777777" w:rsidR="00F33262" w:rsidRDefault="00F33262" w:rsidP="00024CE1">
      <w:pPr>
        <w:pStyle w:val="Reference"/>
      </w:pPr>
      <w:r>
        <w:t xml:space="preserve">DPMC (Department of the Prime Minister and Cabinet) 2023a, </w:t>
      </w:r>
      <w:r>
        <w:rPr>
          <w:i/>
          <w:iCs/>
        </w:rPr>
        <w:t>Australian Government Guide to Policy Impact Analysis</w:t>
      </w:r>
      <w:r>
        <w:t>, Office of Impact Analysis, March.</w:t>
      </w:r>
    </w:p>
    <w:p w14:paraId="60AD5FF9" w14:textId="76CD371C" w:rsidR="00F33262" w:rsidRDefault="00DC44D1" w:rsidP="00024CE1">
      <w:pPr>
        <w:pStyle w:val="Reference"/>
      </w:pPr>
      <w:r>
        <w:t>——</w:t>
      </w:r>
      <w:r w:rsidR="002B29CD">
        <w:t xml:space="preserve"> </w:t>
      </w:r>
      <w:r w:rsidR="00F33262">
        <w:t xml:space="preserve">2023b, </w:t>
      </w:r>
      <w:r w:rsidR="00F33262">
        <w:rPr>
          <w:i/>
          <w:iCs/>
        </w:rPr>
        <w:t>Secretaries Board</w:t>
      </w:r>
      <w:r w:rsidR="00F33262">
        <w:t>, https://www.pmc.gov.au/about-us/accountability-and-reporting/corporate-reporting/secretaries-board (accessed 23 June 2023).</w:t>
      </w:r>
    </w:p>
    <w:p w14:paraId="7647ABA5" w14:textId="77777777" w:rsidR="00F33262" w:rsidRDefault="00F33262" w:rsidP="00024CE1">
      <w:pPr>
        <w:pStyle w:val="Reference"/>
      </w:pPr>
      <w:r>
        <w:t xml:space="preserve">DSS (Department of Social Services) 2023, </w:t>
      </w:r>
      <w:r>
        <w:rPr>
          <w:i/>
          <w:iCs/>
        </w:rPr>
        <w:t>Safe and Supported: Aboriginal and Torres Strait Islander First Action Plan 2023-2026</w:t>
      </w:r>
      <w:r>
        <w:t>, 31 January.</w:t>
      </w:r>
    </w:p>
    <w:p w14:paraId="3690D121" w14:textId="77777777" w:rsidR="00F33262" w:rsidRDefault="00F33262" w:rsidP="00024CE1">
      <w:pPr>
        <w:pStyle w:val="Reference"/>
      </w:pPr>
      <w:r>
        <w:t xml:space="preserve">Ferguson, B. 2019, </w:t>
      </w:r>
      <w:r>
        <w:rPr>
          <w:i/>
          <w:iCs/>
        </w:rPr>
        <w:t>Competing for Influence</w:t>
      </w:r>
      <w:r>
        <w:t>, ANU Press, https://press.anu.edu.au/publications/series/anzsog/competing-influence (accessed 22 June 2023).</w:t>
      </w:r>
    </w:p>
    <w:p w14:paraId="6CB39FF3" w14:textId="77777777" w:rsidR="00F33262" w:rsidRDefault="00F33262" w:rsidP="00024CE1">
      <w:pPr>
        <w:pStyle w:val="Reference"/>
      </w:pPr>
      <w:r>
        <w:t xml:space="preserve">First Peoples’ Assembly of Victoria 2022, </w:t>
      </w:r>
      <w:r>
        <w:rPr>
          <w:i/>
          <w:iCs/>
        </w:rPr>
        <w:t>Stop locking up 10 year old kids: First Peoples’ Assembly draws line in the sand for reelected Andrews Government</w:t>
      </w:r>
      <w:r>
        <w:t>, Media release, 8 December, https://www.firstpeoplesvic.org/news/stop-locking-up-10-year-old-kids/ (accessed 18 May 2023).</w:t>
      </w:r>
    </w:p>
    <w:p w14:paraId="420C19A0" w14:textId="77777777" w:rsidR="00F33262" w:rsidRDefault="00F33262" w:rsidP="00024CE1">
      <w:pPr>
        <w:pStyle w:val="Reference"/>
      </w:pPr>
      <w:r>
        <w:t xml:space="preserve">—— and the State of Victoria 2022, </w:t>
      </w:r>
      <w:r>
        <w:rPr>
          <w:i/>
          <w:iCs/>
        </w:rPr>
        <w:t>Treaty Negotiating Framework</w:t>
      </w:r>
      <w:r>
        <w:t>, 20 October.</w:t>
      </w:r>
    </w:p>
    <w:p w14:paraId="653FDBC6" w14:textId="77777777" w:rsidR="00F33262" w:rsidRDefault="00F33262" w:rsidP="00024CE1">
      <w:pPr>
        <w:pStyle w:val="Reference"/>
      </w:pPr>
      <w:r>
        <w:t xml:space="preserve">Frydenberg (Frydenberg, J. (Treasurer)) 2021, </w:t>
      </w:r>
      <w:r>
        <w:rPr>
          <w:i/>
          <w:iCs/>
        </w:rPr>
        <w:t>2021 Intergenerational Report - Australia over the next 40 years</w:t>
      </w:r>
      <w:r>
        <w:t>, June, Treasury.</w:t>
      </w:r>
    </w:p>
    <w:p w14:paraId="5DDF342A" w14:textId="77777777" w:rsidR="00F33262" w:rsidRPr="007939D8" w:rsidRDefault="00F33262" w:rsidP="00024CE1">
      <w:pPr>
        <w:pStyle w:val="Reference"/>
        <w:rPr>
          <w:spacing w:val="2"/>
        </w:rPr>
      </w:pPr>
      <w:r w:rsidRPr="007939D8">
        <w:rPr>
          <w:spacing w:val="2"/>
        </w:rPr>
        <w:t xml:space="preserve">Gladman, J., Ryder, C. and Walters, L. 2015, ‘Measuring organisational-level Aboriginal cultural climate to tailor cultural safety strategies’, </w:t>
      </w:r>
      <w:r w:rsidRPr="007939D8">
        <w:rPr>
          <w:i/>
          <w:iCs/>
          <w:spacing w:val="2"/>
        </w:rPr>
        <w:t>Rural and Remote Health</w:t>
      </w:r>
      <w:r w:rsidRPr="007939D8">
        <w:rPr>
          <w:spacing w:val="2"/>
        </w:rPr>
        <w:t>, vol. 15, no. 4, p. 3050.</w:t>
      </w:r>
    </w:p>
    <w:p w14:paraId="56E1050D" w14:textId="77777777" w:rsidR="00F33262" w:rsidRDefault="00F33262" w:rsidP="00024CE1">
      <w:pPr>
        <w:pStyle w:val="Reference"/>
      </w:pPr>
      <w:r>
        <w:t xml:space="preserve">Harper, I., Anderson, P., McCluskey, S. and O’Bryan, M. 2015, </w:t>
      </w:r>
      <w:r>
        <w:rPr>
          <w:i/>
          <w:iCs/>
        </w:rPr>
        <w:t>Competition Policy Review</w:t>
      </w:r>
      <w:r>
        <w:t>, March, Canberra.</w:t>
      </w:r>
    </w:p>
    <w:p w14:paraId="118B9CBE" w14:textId="77777777" w:rsidR="00F33262" w:rsidRDefault="00F33262" w:rsidP="00024CE1">
      <w:pPr>
        <w:pStyle w:val="Reference"/>
      </w:pPr>
      <w:r>
        <w:t xml:space="preserve">Hoffman, S. 2022, </w:t>
      </w:r>
      <w:r>
        <w:rPr>
          <w:i/>
          <w:iCs/>
        </w:rPr>
        <w:t>The National Agreement on Closing the Gap – and what it means for public servants</w:t>
      </w:r>
      <w:r>
        <w:t>, July, ANZSOG.</w:t>
      </w:r>
    </w:p>
    <w:p w14:paraId="3408D068" w14:textId="77777777" w:rsidR="00F33262" w:rsidRPr="007939D8" w:rsidRDefault="00F33262" w:rsidP="00024CE1">
      <w:pPr>
        <w:pStyle w:val="Reference"/>
        <w:rPr>
          <w:spacing w:val="-6"/>
        </w:rPr>
      </w:pPr>
      <w:r w:rsidRPr="007939D8">
        <w:rPr>
          <w:spacing w:val="-6"/>
        </w:rPr>
        <w:t xml:space="preserve">Howard-Wagner, D. and Markham, F. 2022, </w:t>
      </w:r>
      <w:r w:rsidRPr="007939D8">
        <w:rPr>
          <w:i/>
          <w:iCs/>
          <w:spacing w:val="-6"/>
        </w:rPr>
        <w:t>Preliminary Findings of the OCHRE Local Decision Making Stage 2 Evaluation</w:t>
      </w:r>
      <w:r w:rsidRPr="007939D8">
        <w:rPr>
          <w:spacing w:val="-6"/>
        </w:rPr>
        <w:t>, Commissioned Report No. 01/2023, Centre for Aboriginal Economic Policy Research, Australian National University.</w:t>
      </w:r>
    </w:p>
    <w:p w14:paraId="51300623" w14:textId="77777777" w:rsidR="00F33262" w:rsidRDefault="00F33262" w:rsidP="00024CE1">
      <w:pPr>
        <w:pStyle w:val="Reference"/>
      </w:pPr>
      <w:r>
        <w:t xml:space="preserve">IBAC (Independent Broad-based Anti-corruption Commission) 2022, </w:t>
      </w:r>
      <w:r>
        <w:rPr>
          <w:i/>
          <w:iCs/>
        </w:rPr>
        <w:t>Victoria Police handling of complaints made by Aboriginal people</w:t>
      </w:r>
      <w:r>
        <w:t>, Audit report, May.</w:t>
      </w:r>
    </w:p>
    <w:p w14:paraId="3A685D2F" w14:textId="77777777" w:rsidR="00F33262" w:rsidRDefault="00F33262" w:rsidP="00024CE1">
      <w:pPr>
        <w:pStyle w:val="Reference"/>
      </w:pPr>
      <w:r>
        <w:t xml:space="preserve">Jumbunna Institute (Jumbunna Institute Indigenous Policy Hub) 2020, </w:t>
      </w:r>
      <w:r>
        <w:rPr>
          <w:i/>
          <w:iCs/>
        </w:rPr>
        <w:t>Accountability Frameworks between States and Indigenous peoples — a literature review</w:t>
      </w:r>
      <w:r>
        <w:t>, Study for Aboriginal Affairs NSW, University of Technology Sydney.</w:t>
      </w:r>
    </w:p>
    <w:p w14:paraId="50CBA033" w14:textId="77777777" w:rsidR="00F33262" w:rsidRDefault="00F33262" w:rsidP="00024CE1">
      <w:pPr>
        <w:pStyle w:val="Reference"/>
      </w:pPr>
      <w:r>
        <w:t xml:space="preserve">Legislative Assembly of the Northern Territory 2023, </w:t>
      </w:r>
      <w:r>
        <w:rPr>
          <w:i/>
          <w:iCs/>
        </w:rPr>
        <w:t>Inquiry into a Process to Review Bills for their Impact on First Nations Territorians</w:t>
      </w:r>
      <w:r>
        <w:t>, https://parliament.nt.gov.au, https://parliament.nt.gov.au/committees/list/LCAC/IFNT (accessed 22 May 2023).</w:t>
      </w:r>
    </w:p>
    <w:p w14:paraId="2ECDB359" w14:textId="77777777" w:rsidR="00F33262" w:rsidRDefault="00F33262" w:rsidP="00024CE1">
      <w:pPr>
        <w:pStyle w:val="Reference"/>
      </w:pPr>
      <w:r>
        <w:t xml:space="preserve">Malinauskas (Malinauskas, P (Premier of South Australia)) 2023, </w:t>
      </w:r>
      <w:r>
        <w:rPr>
          <w:i/>
          <w:iCs/>
        </w:rPr>
        <w:t>First Nations Voice Bill Second Reading Speech</w:t>
      </w:r>
      <w:r>
        <w:t>, South Australia House of Assembly Hansard, 7 March.</w:t>
      </w:r>
    </w:p>
    <w:p w14:paraId="2466299C" w14:textId="77777777" w:rsidR="00F33262" w:rsidRDefault="00F33262" w:rsidP="00024CE1">
      <w:pPr>
        <w:pStyle w:val="Reference"/>
      </w:pPr>
      <w:r>
        <w:t xml:space="preserve">McCallum, J., Orthia, L. and Hosking, D. 2023, ‘Situating Social Developments within Intergenerational Reports’, in Podger, A., Hall, J. and Woods, M. (eds), </w:t>
      </w:r>
      <w:r>
        <w:rPr>
          <w:i/>
          <w:iCs/>
        </w:rPr>
        <w:t>More Than Fiscal- The Intergenerational Report, Sustainability and Public Policy in Australia</w:t>
      </w:r>
      <w:r>
        <w:t>, ANU Press.</w:t>
      </w:r>
    </w:p>
    <w:p w14:paraId="7E571C10" w14:textId="77777777" w:rsidR="00F33262" w:rsidRDefault="00F33262" w:rsidP="00024CE1">
      <w:pPr>
        <w:pStyle w:val="Reference"/>
      </w:pPr>
      <w:r>
        <w:t xml:space="preserve">NCC (National Competition Council) nd, </w:t>
      </w:r>
      <w:r>
        <w:rPr>
          <w:i/>
          <w:iCs/>
        </w:rPr>
        <w:t>About the National Competition Policy</w:t>
      </w:r>
      <w:r>
        <w:t>, http://ncp.ncc.gov.au/pages/about (accessed 23 May 2023).</w:t>
      </w:r>
    </w:p>
    <w:p w14:paraId="6EDC7C35" w14:textId="77777777" w:rsidR="00F33262" w:rsidRDefault="00F33262" w:rsidP="00024CE1">
      <w:pPr>
        <w:pStyle w:val="Reference"/>
      </w:pPr>
      <w:r>
        <w:lastRenderedPageBreak/>
        <w:t xml:space="preserve">NIAA (National Indigenous Australians Agency) 2022, </w:t>
      </w:r>
      <w:r>
        <w:rPr>
          <w:i/>
          <w:iCs/>
        </w:rPr>
        <w:t>Our Business</w:t>
      </w:r>
      <w:r>
        <w:t>, https://www.niaa.gov.au/our-business (accessed 26 June 2023).</w:t>
      </w:r>
    </w:p>
    <w:p w14:paraId="1B95FAC3" w14:textId="77777777" w:rsidR="00F33262" w:rsidRPr="007939D8" w:rsidRDefault="00F33262" w:rsidP="00024CE1">
      <w:pPr>
        <w:pStyle w:val="Reference"/>
        <w:rPr>
          <w:spacing w:val="2"/>
        </w:rPr>
      </w:pPr>
      <w:r w:rsidRPr="007939D8">
        <w:rPr>
          <w:spacing w:val="2"/>
        </w:rPr>
        <w:t xml:space="preserve">NSW CAPO (NSW Coalition of Aboriginal Peak Organisations) 2022, </w:t>
      </w:r>
      <w:r w:rsidRPr="007939D8">
        <w:rPr>
          <w:i/>
          <w:iCs/>
          <w:spacing w:val="2"/>
        </w:rPr>
        <w:t>NSW CAPO Closing the Gap Community Engagement Report</w:t>
      </w:r>
      <w:r w:rsidRPr="007939D8">
        <w:rPr>
          <w:spacing w:val="2"/>
        </w:rPr>
        <w:t>.</w:t>
      </w:r>
    </w:p>
    <w:p w14:paraId="63C1C7E8" w14:textId="77777777" w:rsidR="00F33262" w:rsidRDefault="00F33262" w:rsidP="00024CE1">
      <w:pPr>
        <w:pStyle w:val="Reference"/>
      </w:pPr>
      <w:r>
        <w:t xml:space="preserve">NSW DPC (NSW Department of Premier and Cabinet) 2023, </w:t>
      </w:r>
      <w:r>
        <w:rPr>
          <w:i/>
          <w:iCs/>
        </w:rPr>
        <w:t>About the Department</w:t>
      </w:r>
      <w:r>
        <w:t>, https://www.dpc.nsw.gov.au/about-us/about-the-department/ (accessed 22 June 2023).</w:t>
      </w:r>
    </w:p>
    <w:p w14:paraId="1C1EEA8C" w14:textId="77777777" w:rsidR="00F33262" w:rsidRDefault="00F33262" w:rsidP="00024CE1">
      <w:pPr>
        <w:pStyle w:val="Reference"/>
      </w:pPr>
      <w:r>
        <w:t xml:space="preserve">NSW Legislative Council 2022, </w:t>
      </w:r>
      <w:r>
        <w:rPr>
          <w:i/>
          <w:iCs/>
        </w:rPr>
        <w:t>Commencement of the Fisheries Management Amendment Act 2009</w:t>
      </w:r>
      <w:r>
        <w:t>, November, Portfolio Committee No. 4 – Customer Service and Natural Resources. Report No. 55, New South Wales Parliament.</w:t>
      </w:r>
    </w:p>
    <w:p w14:paraId="6918B979" w14:textId="77777777" w:rsidR="00F33262" w:rsidRPr="007939D8" w:rsidRDefault="00F33262" w:rsidP="00024CE1">
      <w:pPr>
        <w:pStyle w:val="Reference"/>
        <w:rPr>
          <w:spacing w:val="-2"/>
        </w:rPr>
      </w:pPr>
      <w:r w:rsidRPr="007939D8">
        <w:rPr>
          <w:spacing w:val="-2"/>
        </w:rPr>
        <w:t xml:space="preserve">NSW Public Service Commission 2021, </w:t>
      </w:r>
      <w:r w:rsidRPr="007939D8">
        <w:rPr>
          <w:i/>
          <w:iCs/>
          <w:spacing w:val="-2"/>
        </w:rPr>
        <w:t>Everyone’s Business - Building culturally safe workplaces and services</w:t>
      </w:r>
      <w:r w:rsidRPr="007939D8">
        <w:rPr>
          <w:spacing w:val="-2"/>
        </w:rPr>
        <w:t>, https://www.psc.nsw.gov.au/culture-and-inclusion/aboriginal-workforce/everyonee28099s-business (accessed 24 May 2023).</w:t>
      </w:r>
    </w:p>
    <w:p w14:paraId="74905522" w14:textId="77777777" w:rsidR="00F33262" w:rsidRDefault="00F33262" w:rsidP="00024CE1">
      <w:pPr>
        <w:pStyle w:val="Reference"/>
      </w:pPr>
      <w:r>
        <w:t xml:space="preserve">NSW Treasury 2022, </w:t>
      </w:r>
      <w:r>
        <w:rPr>
          <w:i/>
          <w:iCs/>
        </w:rPr>
        <w:t>Annual Reporting</w:t>
      </w:r>
      <w:r>
        <w:t>, https://www.treasury.nsw.gov.au/information-public-entities/annual-reporting (accessed 9 May 2023).</w:t>
      </w:r>
    </w:p>
    <w:p w14:paraId="601EF50E" w14:textId="77777777" w:rsidR="00F33262" w:rsidRDefault="00F33262" w:rsidP="00024CE1">
      <w:pPr>
        <w:pStyle w:val="Reference"/>
      </w:pPr>
      <w:r>
        <w:t xml:space="preserve">NT Department of the Chief Minister and Cabinet 2022, </w:t>
      </w:r>
      <w:r>
        <w:rPr>
          <w:i/>
          <w:iCs/>
        </w:rPr>
        <w:t>Annual Report 2021-22</w:t>
      </w:r>
      <w:r>
        <w:t>, September.</w:t>
      </w:r>
    </w:p>
    <w:p w14:paraId="1EAC1618" w14:textId="77777777" w:rsidR="00F33262" w:rsidRDefault="00F33262" w:rsidP="00024CE1">
      <w:pPr>
        <w:pStyle w:val="Reference"/>
      </w:pPr>
      <w:r>
        <w:t xml:space="preserve">NT Government 2021, </w:t>
      </w:r>
      <w:r>
        <w:rPr>
          <w:i/>
          <w:iCs/>
        </w:rPr>
        <w:t>Aboriginal Affairs</w:t>
      </w:r>
      <w:r>
        <w:t>, https://aboriginalaffairs.nt.gov.au, https://aboriginalaffairs.nt.gov.au (accessed 26 June 2023).</w:t>
      </w:r>
    </w:p>
    <w:p w14:paraId="4AD861CC" w14:textId="77777777" w:rsidR="00F33262" w:rsidRDefault="00F33262" w:rsidP="00024CE1">
      <w:pPr>
        <w:pStyle w:val="Reference"/>
      </w:pPr>
      <w:r>
        <w:t xml:space="preserve">NTCOSS (NT Council of Social Services) 2022, </w:t>
      </w:r>
      <w:r>
        <w:rPr>
          <w:i/>
          <w:iCs/>
        </w:rPr>
        <w:t>CONSULT NOW: Aboriginal Communities Must Not be Blindsided by New Liquor Laws</w:t>
      </w:r>
      <w:r>
        <w:t>, https://ntcoss.org.au/news/joint-media-release/ (accessed 29 March 2023).</w:t>
      </w:r>
    </w:p>
    <w:p w14:paraId="6A2CA919" w14:textId="77777777" w:rsidR="00F33262" w:rsidRDefault="00F33262" w:rsidP="00024CE1">
      <w:pPr>
        <w:pStyle w:val="Reference"/>
      </w:pPr>
      <w:r>
        <w:t xml:space="preserve">PC (Productivity Commission) 2012, </w:t>
      </w:r>
      <w:r>
        <w:rPr>
          <w:i/>
          <w:iCs/>
        </w:rPr>
        <w:t>Regulation Impact Analysis: Benchmarking</w:t>
      </w:r>
      <w:r>
        <w:t>, Research Report, Canberra.</w:t>
      </w:r>
    </w:p>
    <w:p w14:paraId="4E6003B1" w14:textId="20688ED4" w:rsidR="00F33262" w:rsidRDefault="008C6FAC" w:rsidP="00024CE1">
      <w:pPr>
        <w:pStyle w:val="Reference"/>
      </w:pPr>
      <w:r>
        <w:t>——</w:t>
      </w:r>
      <w:r w:rsidR="005879EF">
        <w:t xml:space="preserve"> </w:t>
      </w:r>
      <w:r w:rsidR="00F33262">
        <w:t xml:space="preserve">2020, </w:t>
      </w:r>
      <w:r w:rsidR="00F33262">
        <w:rPr>
          <w:i/>
          <w:iCs/>
        </w:rPr>
        <w:t>Indigenous Evaluation Strategy, Background Paper</w:t>
      </w:r>
      <w:r w:rsidR="00F33262">
        <w:t>, Canberra.</w:t>
      </w:r>
    </w:p>
    <w:p w14:paraId="547A6E72" w14:textId="20B55203" w:rsidR="00F33262" w:rsidRPr="001F2CB0" w:rsidRDefault="008C6FAC" w:rsidP="00024CE1">
      <w:pPr>
        <w:pStyle w:val="Reference"/>
        <w:rPr>
          <w:spacing w:val="2"/>
        </w:rPr>
      </w:pPr>
      <w:r w:rsidRPr="001F2CB0">
        <w:rPr>
          <w:spacing w:val="2"/>
        </w:rPr>
        <w:t>——</w:t>
      </w:r>
      <w:r w:rsidR="005879EF" w:rsidRPr="001F2CB0">
        <w:rPr>
          <w:spacing w:val="2"/>
        </w:rPr>
        <w:t xml:space="preserve"> </w:t>
      </w:r>
      <w:r w:rsidR="00F33262" w:rsidRPr="001F2CB0">
        <w:rPr>
          <w:spacing w:val="2"/>
        </w:rPr>
        <w:t xml:space="preserve">2023a, </w:t>
      </w:r>
      <w:r w:rsidR="00F33262" w:rsidRPr="001F2CB0">
        <w:rPr>
          <w:i/>
          <w:iCs/>
          <w:spacing w:val="2"/>
        </w:rPr>
        <w:t>Closing the Gap Annual Data Compilation Report</w:t>
      </w:r>
      <w:r w:rsidR="00F33262" w:rsidRPr="001F2CB0">
        <w:rPr>
          <w:spacing w:val="2"/>
        </w:rPr>
        <w:t>, July.</w:t>
      </w:r>
    </w:p>
    <w:p w14:paraId="77EC00C0" w14:textId="67180AF0" w:rsidR="00F33262" w:rsidRDefault="008C6FAC" w:rsidP="00024CE1">
      <w:pPr>
        <w:pStyle w:val="Reference"/>
      </w:pPr>
      <w:r>
        <w:t>——</w:t>
      </w:r>
      <w:r w:rsidR="00F33262">
        <w:t xml:space="preserve"> 2023b, </w:t>
      </w:r>
      <w:r w:rsidR="00F33262">
        <w:rPr>
          <w:i/>
          <w:iCs/>
        </w:rPr>
        <w:t>Review of the National Agreement on Closing the Gap - Review paper 3: What we have heard to date - first phase of engagement</w:t>
      </w:r>
      <w:r w:rsidR="00F33262">
        <w:t>, Productivity Commission, Canberra.</w:t>
      </w:r>
    </w:p>
    <w:p w14:paraId="33E5B0D3" w14:textId="77777777" w:rsidR="00F33262" w:rsidRDefault="00F33262" w:rsidP="00024CE1">
      <w:pPr>
        <w:pStyle w:val="Reference"/>
      </w:pPr>
      <w:r>
        <w:t xml:space="preserve">QPC (Queensland Productivity Commission) 2017, </w:t>
      </w:r>
      <w:r>
        <w:rPr>
          <w:i/>
          <w:iCs/>
        </w:rPr>
        <w:t>Service Delivery in Remote and Discrete Aboriginal and Torres Strait Islander Communities</w:t>
      </w:r>
      <w:r>
        <w:t>, Brisbane.</w:t>
      </w:r>
    </w:p>
    <w:p w14:paraId="0DBD57DC" w14:textId="77777777" w:rsidR="00F33262" w:rsidRDefault="00F33262" w:rsidP="00024CE1">
      <w:pPr>
        <w:pStyle w:val="Reference"/>
      </w:pPr>
      <w:r>
        <w:t xml:space="preserve">QPSC (Queensland Public Sector Commission) 2023, </w:t>
      </w:r>
      <w:r>
        <w:rPr>
          <w:i/>
          <w:iCs/>
        </w:rPr>
        <w:t>A summary of changes to departments of government</w:t>
      </w:r>
      <w:r>
        <w:t>.</w:t>
      </w:r>
    </w:p>
    <w:p w14:paraId="33E05828" w14:textId="77777777" w:rsidR="00F33262" w:rsidRDefault="00F33262" w:rsidP="00024CE1">
      <w:pPr>
        <w:pStyle w:val="Reference"/>
      </w:pPr>
      <w:r>
        <w:t xml:space="preserve">Queensland Government 2022, </w:t>
      </w:r>
      <w:r>
        <w:rPr>
          <w:i/>
          <w:iCs/>
        </w:rPr>
        <w:t>Public Sector Bill 2022 Explanatory Notes</w:t>
      </w:r>
      <w:r>
        <w:t>.</w:t>
      </w:r>
    </w:p>
    <w:p w14:paraId="40A2CA14" w14:textId="77777777" w:rsidR="00F33262" w:rsidRDefault="00F33262" w:rsidP="00024CE1">
      <w:pPr>
        <w:pStyle w:val="Reference"/>
      </w:pPr>
      <w:r>
        <w:t xml:space="preserve">SA AGD (SA Attorney-General’s Department) 2022a, </w:t>
      </w:r>
      <w:r>
        <w:rPr>
          <w:i/>
          <w:iCs/>
        </w:rPr>
        <w:t>Aboriginal Affairs and Reconciliation</w:t>
      </w:r>
      <w:r>
        <w:t>, https://www.agd.sa.gov.au/aboriginal-affairs-and-reconciliation (accessed 26 June 2023).</w:t>
      </w:r>
    </w:p>
    <w:p w14:paraId="402F290C" w14:textId="0E32B96B" w:rsidR="00F33262" w:rsidRDefault="00DB1D8B" w:rsidP="00024CE1">
      <w:pPr>
        <w:pStyle w:val="Reference"/>
      </w:pPr>
      <w:r>
        <w:t>——</w:t>
      </w:r>
      <w:r w:rsidR="00F33262">
        <w:t xml:space="preserve"> 2022b, </w:t>
      </w:r>
      <w:r w:rsidR="00F33262">
        <w:rPr>
          <w:i/>
          <w:iCs/>
        </w:rPr>
        <w:t>Aboriginal Affairs Executive Committee</w:t>
      </w:r>
      <w:r w:rsidR="00F33262">
        <w:t>, https://www.agd.sa.gov.au/aboriginal-affairs-and-reconciliation/aboriginal-affairs-executive-committee (accessed 27 June 2023).</w:t>
      </w:r>
    </w:p>
    <w:p w14:paraId="6C468BA5" w14:textId="2AB5E48F" w:rsidR="00F33262" w:rsidRDefault="00DF54AB" w:rsidP="00024CE1">
      <w:pPr>
        <w:pStyle w:val="Reference"/>
      </w:pPr>
      <w:r>
        <w:t xml:space="preserve">—— </w:t>
      </w:r>
      <w:r w:rsidR="00F33262">
        <w:t xml:space="preserve">2023, </w:t>
      </w:r>
      <w:r w:rsidR="00F33262">
        <w:rPr>
          <w:i/>
          <w:iCs/>
        </w:rPr>
        <w:t>South Australia’s First Nations Voice to Parliament</w:t>
      </w:r>
      <w:r w:rsidR="00F33262">
        <w:t>, https://www.agd.sa.gov.au/aboriginal-affairs-and-reconciliation/first-nations-voice-to-the-south-australian-parliament (accessed 18 May 2023).</w:t>
      </w:r>
    </w:p>
    <w:p w14:paraId="6968346C" w14:textId="77777777" w:rsidR="00F33262" w:rsidRDefault="00F33262" w:rsidP="00024CE1">
      <w:pPr>
        <w:pStyle w:val="Reference"/>
      </w:pPr>
      <w:r>
        <w:t xml:space="preserve">SA Government 2021, </w:t>
      </w:r>
      <w:r>
        <w:rPr>
          <w:i/>
          <w:iCs/>
        </w:rPr>
        <w:t>South Australia’s Implementation Plan for the National Agreement on Closing the Gap</w:t>
      </w:r>
      <w:r>
        <w:t>.</w:t>
      </w:r>
    </w:p>
    <w:p w14:paraId="5DAFFA42" w14:textId="77777777" w:rsidR="00F33262" w:rsidRDefault="00F33262" w:rsidP="00024CE1">
      <w:pPr>
        <w:pStyle w:val="Reference"/>
      </w:pPr>
      <w:r>
        <w:t xml:space="preserve">Samuel, G. 2020, </w:t>
      </w:r>
      <w:r>
        <w:rPr>
          <w:i/>
          <w:iCs/>
        </w:rPr>
        <w:t>Independent Review of the EPBC Act – Final Report</w:t>
      </w:r>
      <w:r>
        <w:t>, October.</w:t>
      </w:r>
    </w:p>
    <w:p w14:paraId="4320ACD0" w14:textId="77777777" w:rsidR="00F33262" w:rsidRDefault="00F33262" w:rsidP="00024CE1">
      <w:pPr>
        <w:pStyle w:val="Reference"/>
      </w:pPr>
      <w:r>
        <w:t xml:space="preserve">Strelein, L. and Hassing, C. 2018, </w:t>
      </w:r>
      <w:r>
        <w:rPr>
          <w:i/>
          <w:iCs/>
        </w:rPr>
        <w:t>An office for advocacy and accountability in Aboriginal affairs in Western Australia</w:t>
      </w:r>
      <w:r>
        <w:t>, 2 October, Australian Institute of Aboriginal and Torres Strait Islander Studies.</w:t>
      </w:r>
    </w:p>
    <w:p w14:paraId="5792848C" w14:textId="0A82FF9D" w:rsidR="00F33262" w:rsidRPr="00411EFF" w:rsidRDefault="00F33262" w:rsidP="00024CE1">
      <w:pPr>
        <w:pStyle w:val="Reference"/>
        <w:rPr>
          <w:spacing w:val="-4"/>
        </w:rPr>
      </w:pPr>
      <w:r w:rsidRPr="00411EFF">
        <w:rPr>
          <w:spacing w:val="-4"/>
        </w:rPr>
        <w:t xml:space="preserve">TDPC (Tasmanian Department of Premier and Cabinet) 2023, </w:t>
      </w:r>
      <w:r w:rsidRPr="00411EFF">
        <w:rPr>
          <w:i/>
          <w:iCs/>
          <w:spacing w:val="-4"/>
        </w:rPr>
        <w:t>Department of Premier and Cabinet Organisation chart</w:t>
      </w:r>
      <w:r w:rsidRPr="00411EFF">
        <w:rPr>
          <w:spacing w:val="-4"/>
        </w:rPr>
        <w:t>, 1 March.</w:t>
      </w:r>
    </w:p>
    <w:p w14:paraId="2AF3D8A9" w14:textId="0DC0F642" w:rsidR="00F33262" w:rsidRDefault="00DF54AB" w:rsidP="00024CE1">
      <w:pPr>
        <w:pStyle w:val="Reference"/>
      </w:pPr>
      <w:r>
        <w:t>——</w:t>
      </w:r>
      <w:r w:rsidR="00F33262">
        <w:t xml:space="preserve"> nd, </w:t>
      </w:r>
      <w:r w:rsidR="00F33262">
        <w:rPr>
          <w:i/>
          <w:iCs/>
        </w:rPr>
        <w:t>Office of the Secretary</w:t>
      </w:r>
      <w:r w:rsidR="00F33262">
        <w:t>, https://www.dpac.tas.gov.au/divisions/office_of_the_secretary (accessed 22 June 2023).</w:t>
      </w:r>
    </w:p>
    <w:p w14:paraId="67CB9127" w14:textId="77777777" w:rsidR="00F33262" w:rsidRPr="001F2CB0" w:rsidRDefault="00F33262" w:rsidP="00024CE1">
      <w:pPr>
        <w:pStyle w:val="Reference"/>
        <w:rPr>
          <w:spacing w:val="2"/>
        </w:rPr>
      </w:pPr>
      <w:r w:rsidRPr="001F2CB0">
        <w:rPr>
          <w:spacing w:val="2"/>
        </w:rPr>
        <w:t xml:space="preserve">Te Arawhiti 2022a, </w:t>
      </w:r>
      <w:r w:rsidRPr="001F2CB0">
        <w:rPr>
          <w:i/>
          <w:iCs/>
          <w:spacing w:val="2"/>
        </w:rPr>
        <w:t>Māori Crown relations capability framework for the public service – organisational capability component</w:t>
      </w:r>
      <w:r w:rsidRPr="001F2CB0">
        <w:rPr>
          <w:spacing w:val="2"/>
        </w:rPr>
        <w:t>, September.</w:t>
      </w:r>
    </w:p>
    <w:p w14:paraId="078C6322" w14:textId="77777777" w:rsidR="00F33262" w:rsidRDefault="00F33262" w:rsidP="00024CE1">
      <w:pPr>
        <w:pStyle w:val="Reference"/>
      </w:pPr>
      <w:r>
        <w:t xml:space="preserve">—— 2022b, </w:t>
      </w:r>
      <w:r>
        <w:rPr>
          <w:i/>
          <w:iCs/>
        </w:rPr>
        <w:t>Our Annual Report for 2021 to 2022</w:t>
      </w:r>
      <w:r>
        <w:t>, Wellington.</w:t>
      </w:r>
    </w:p>
    <w:p w14:paraId="2FC3BA49" w14:textId="77777777" w:rsidR="00F33262" w:rsidRDefault="00F33262" w:rsidP="00024CE1">
      <w:pPr>
        <w:pStyle w:val="Reference"/>
      </w:pPr>
      <w:r>
        <w:t xml:space="preserve">—— 2023a, </w:t>
      </w:r>
      <w:r>
        <w:rPr>
          <w:i/>
          <w:iCs/>
        </w:rPr>
        <w:t>Te Kāhui Hīkina (Māori Crown Relations)</w:t>
      </w:r>
      <w:r>
        <w:t>, https://www.tearawhiti.govt.nz/te-kahui-hikina-maori-crown-relations/ (accessed 26 June 2023).</w:t>
      </w:r>
    </w:p>
    <w:p w14:paraId="02CE5F6F" w14:textId="77777777" w:rsidR="00F33262" w:rsidRDefault="00F33262" w:rsidP="00024CE1">
      <w:pPr>
        <w:pStyle w:val="Reference"/>
      </w:pPr>
      <w:r>
        <w:t xml:space="preserve">—— 2023b, </w:t>
      </w:r>
      <w:r>
        <w:rPr>
          <w:i/>
          <w:iCs/>
        </w:rPr>
        <w:t>Te Kāhui Takutai Moana (Marine and Coastal Area)</w:t>
      </w:r>
      <w:r>
        <w:t>, https://www.tearawhiti.govt.nz/te-kahui-takutai-moana-marine-and-coastal-area/ (accessed 26 June 2023).</w:t>
      </w:r>
    </w:p>
    <w:p w14:paraId="422FE1CB" w14:textId="77777777" w:rsidR="00F33262" w:rsidRDefault="00F33262" w:rsidP="00024CE1">
      <w:pPr>
        <w:pStyle w:val="Reference"/>
      </w:pPr>
      <w:r>
        <w:t xml:space="preserve">—— 2023c, </w:t>
      </w:r>
      <w:r>
        <w:rPr>
          <w:i/>
          <w:iCs/>
        </w:rPr>
        <w:t>Te Kāhui Whakamana (Settlement Commitments)</w:t>
      </w:r>
      <w:r>
        <w:t>, https://www.tearawhiti.govt.nz/te-kahui-whakamana-settlement-commitments/ (accessed 26 June 2023).</w:t>
      </w:r>
    </w:p>
    <w:p w14:paraId="41F5F2A1" w14:textId="77777777" w:rsidR="00F33262" w:rsidRDefault="00F33262" w:rsidP="00024CE1">
      <w:pPr>
        <w:pStyle w:val="Reference"/>
      </w:pPr>
      <w:r>
        <w:t xml:space="preserve">—— 2023d, </w:t>
      </w:r>
      <w:r>
        <w:rPr>
          <w:i/>
          <w:iCs/>
        </w:rPr>
        <w:t>Te Kāhui Whakatau (Treaty Settlements)</w:t>
      </w:r>
      <w:r>
        <w:t>, https://www.tearawhiti.govt.nz/te-kahui-whakatau-treaty-settlements/ (accessed 26 June 2023).</w:t>
      </w:r>
    </w:p>
    <w:p w14:paraId="1369D8B7" w14:textId="77777777" w:rsidR="00F33262" w:rsidRPr="001F2CB0" w:rsidRDefault="00F33262" w:rsidP="00024CE1">
      <w:pPr>
        <w:pStyle w:val="Reference"/>
        <w:rPr>
          <w:spacing w:val="-4"/>
        </w:rPr>
      </w:pPr>
      <w:r w:rsidRPr="001F2CB0">
        <w:rPr>
          <w:spacing w:val="-4"/>
        </w:rPr>
        <w:t xml:space="preserve">—— 2023e, </w:t>
      </w:r>
      <w:r w:rsidRPr="001F2CB0">
        <w:rPr>
          <w:i/>
          <w:iCs/>
          <w:spacing w:val="-4"/>
        </w:rPr>
        <w:t>Tēnā koutou katoa</w:t>
      </w:r>
      <w:r w:rsidRPr="001F2CB0">
        <w:rPr>
          <w:spacing w:val="-4"/>
        </w:rPr>
        <w:t>, https://www.tearawhiti.govt.nz/about-us/ (accessed 26 June 2023).</w:t>
      </w:r>
    </w:p>
    <w:p w14:paraId="5EABB03B" w14:textId="77777777" w:rsidR="00F33262" w:rsidRDefault="00F33262" w:rsidP="00024CE1">
      <w:pPr>
        <w:pStyle w:val="Reference"/>
      </w:pPr>
      <w:r>
        <w:t xml:space="preserve">Te Kawa Mataaho 2022, </w:t>
      </w:r>
      <w:r>
        <w:rPr>
          <w:i/>
          <w:iCs/>
        </w:rPr>
        <w:t>Te Kahu Tuatini State of the Public Service</w:t>
      </w:r>
      <w:r>
        <w:t>, December, https://www.publicservice.govt.nz/assets/DirectoryFile/State-of-the-Public-Service-Digital.pdf (accessed 31 March 2023).</w:t>
      </w:r>
    </w:p>
    <w:p w14:paraId="7B94B9C5" w14:textId="4CB08C95" w:rsidR="00F33262" w:rsidRDefault="00F33262" w:rsidP="00024CE1">
      <w:pPr>
        <w:pStyle w:val="Reference"/>
      </w:pPr>
      <w:r>
        <w:t xml:space="preserve">—— 2023a, </w:t>
      </w:r>
      <w:r>
        <w:rPr>
          <w:i/>
          <w:iCs/>
        </w:rPr>
        <w:t>Response to Official Information Request OIA 2023-0016</w:t>
      </w:r>
      <w:r>
        <w:t>, https://www.publicservice.govt.nz/assets/</w:t>
      </w:r>
      <w:r w:rsidR="00411EFF">
        <w:br/>
      </w:r>
      <w:r>
        <w:t>DirectoryFile/Information-request-regarding-evaluation-of-the-Public-Service-Act-2020.pdf (accessed 28 March 2023).</w:t>
      </w:r>
    </w:p>
    <w:p w14:paraId="13A7C1D1" w14:textId="77777777" w:rsidR="00F33262" w:rsidRDefault="00F33262" w:rsidP="00024CE1">
      <w:pPr>
        <w:pStyle w:val="Reference"/>
      </w:pPr>
      <w:r>
        <w:t xml:space="preserve">—— 2023b, </w:t>
      </w:r>
      <w:r>
        <w:rPr>
          <w:i/>
          <w:iCs/>
        </w:rPr>
        <w:t>System leadership for Māori Crown relations</w:t>
      </w:r>
      <w:r>
        <w:t>, Te Kawa Mataaho Public Service Commission, https://www.publicservice.govt.nz/role-and-purpose/maori-crown-relationships/system-leadership-for-maori-crown-relations/ (accessed 24 May 2023).</w:t>
      </w:r>
    </w:p>
    <w:p w14:paraId="25C31D29" w14:textId="77777777" w:rsidR="00F33262" w:rsidRDefault="00F33262" w:rsidP="00024CE1">
      <w:pPr>
        <w:pStyle w:val="Reference"/>
      </w:pPr>
      <w:r>
        <w:t xml:space="preserve">Thodey, D., Carnegie, M., Davis, G., de Brouwer, G., Hutchinson, B. and Watkins, A. 2019, </w:t>
      </w:r>
      <w:r>
        <w:rPr>
          <w:i/>
          <w:iCs/>
        </w:rPr>
        <w:t>Our Public Service, Our Future. Independent Review of the Australian Public Service</w:t>
      </w:r>
      <w:r>
        <w:t>, 20 September.</w:t>
      </w:r>
    </w:p>
    <w:p w14:paraId="49426424" w14:textId="77777777" w:rsidR="00F33262" w:rsidRDefault="00F33262" w:rsidP="00024CE1">
      <w:pPr>
        <w:pStyle w:val="Reference"/>
      </w:pPr>
      <w:r>
        <w:t xml:space="preserve">VDPC (Victorian Department of Premier and Cabinet) 2021, </w:t>
      </w:r>
      <w:r>
        <w:rPr>
          <w:i/>
          <w:iCs/>
        </w:rPr>
        <w:t>About First Peoples - State Relations</w:t>
      </w:r>
      <w:r>
        <w:t>, http://www.firstpeoplesrelations.vic.gov.au/about-first-peoples-state-relations (accessed 26 June 2023).</w:t>
      </w:r>
    </w:p>
    <w:p w14:paraId="1308A667" w14:textId="77777777" w:rsidR="00F33262" w:rsidRDefault="00F33262" w:rsidP="00024CE1">
      <w:pPr>
        <w:pStyle w:val="Reference"/>
      </w:pPr>
      <w:r>
        <w:t xml:space="preserve">VPSC (Victorian Public Sector Commission) 2023, </w:t>
      </w:r>
      <w:r>
        <w:rPr>
          <w:i/>
          <w:iCs/>
        </w:rPr>
        <w:t>The Victorian Public Sector</w:t>
      </w:r>
      <w:r>
        <w:t>, https://vpsc.vic.gov.au/about-public-sector/the-victorian-public-sector/ (accessed 22 June 2023).</w:t>
      </w:r>
    </w:p>
    <w:p w14:paraId="4DE4716B" w14:textId="77777777" w:rsidR="00F33262" w:rsidRPr="00E842E6" w:rsidRDefault="00F33262" w:rsidP="00024CE1">
      <w:pPr>
        <w:pStyle w:val="Reference"/>
        <w:rPr>
          <w:spacing w:val="-4"/>
        </w:rPr>
      </w:pPr>
      <w:r w:rsidRPr="00E842E6">
        <w:rPr>
          <w:spacing w:val="-4"/>
        </w:rPr>
        <w:t xml:space="preserve">WA DPC (WA Department of the Premier and Cabinet) 2018, </w:t>
      </w:r>
      <w:r w:rsidRPr="00E842E6">
        <w:rPr>
          <w:i/>
          <w:iCs/>
          <w:spacing w:val="-4"/>
        </w:rPr>
        <w:t>An office for advocacy and accountability in Aboriginal affairs in Western Australia Discussion Paper</w:t>
      </w:r>
      <w:r w:rsidRPr="00E842E6">
        <w:rPr>
          <w:spacing w:val="-4"/>
        </w:rPr>
        <w:t>, June, WA Government.</w:t>
      </w:r>
    </w:p>
    <w:p w14:paraId="4FDFF1F5" w14:textId="4AF6C098" w:rsidR="00F33262" w:rsidRPr="00E842E6" w:rsidRDefault="00F33262" w:rsidP="00024CE1">
      <w:pPr>
        <w:pStyle w:val="Reference"/>
        <w:rPr>
          <w:spacing w:val="-2"/>
        </w:rPr>
      </w:pPr>
      <w:r w:rsidRPr="00E842E6">
        <w:rPr>
          <w:spacing w:val="-2"/>
        </w:rPr>
        <w:t xml:space="preserve">—— 2023, </w:t>
      </w:r>
      <w:r w:rsidRPr="00E842E6">
        <w:rPr>
          <w:i/>
          <w:iCs/>
          <w:spacing w:val="-2"/>
        </w:rPr>
        <w:t>Aboriginal Engagement Directorate</w:t>
      </w:r>
      <w:r w:rsidRPr="00E842E6">
        <w:rPr>
          <w:spacing w:val="-2"/>
        </w:rPr>
        <w:t>, https://www.wa.gov.au/organisation/department-of-the-premier-and-cabinet/aboriginal-engagement-directorate-department-of-the-premier-and-cabinet (accessed 26 June 2023).</w:t>
      </w:r>
    </w:p>
    <w:p w14:paraId="5D5226E8" w14:textId="77777777" w:rsidR="00F33262" w:rsidRPr="00E842E6" w:rsidRDefault="00F33262" w:rsidP="00024CE1">
      <w:pPr>
        <w:pStyle w:val="Reference"/>
        <w:rPr>
          <w:spacing w:val="6"/>
        </w:rPr>
      </w:pPr>
      <w:r w:rsidRPr="00E842E6">
        <w:rPr>
          <w:spacing w:val="6"/>
        </w:rPr>
        <w:lastRenderedPageBreak/>
        <w:t xml:space="preserve">WA Government 2022, </w:t>
      </w:r>
      <w:r w:rsidRPr="00E842E6">
        <w:rPr>
          <w:i/>
          <w:iCs/>
          <w:spacing w:val="6"/>
        </w:rPr>
        <w:t>Annual Report on Closing the Gap</w:t>
      </w:r>
      <w:r w:rsidRPr="00E842E6">
        <w:rPr>
          <w:spacing w:val="6"/>
        </w:rPr>
        <w:t>, September.</w:t>
      </w:r>
    </w:p>
    <w:p w14:paraId="33AB897E" w14:textId="77777777" w:rsidR="00F33262" w:rsidRDefault="00F33262" w:rsidP="00024CE1">
      <w:pPr>
        <w:pStyle w:val="Reference"/>
      </w:pPr>
      <w:r>
        <w:t xml:space="preserve">WA Public Sector Leadership Council 2023, </w:t>
      </w:r>
      <w:r>
        <w:rPr>
          <w:i/>
          <w:iCs/>
        </w:rPr>
        <w:t>Future Enabled: A strategic narrative of professionalism, purpose and pride in the Western Australian public sector</w:t>
      </w:r>
      <w:r>
        <w:t>, February.</w:t>
      </w:r>
    </w:p>
    <w:p w14:paraId="56C6803D" w14:textId="77777777" w:rsidR="00F33262" w:rsidRPr="00E842E6" w:rsidRDefault="00F33262" w:rsidP="00024CE1">
      <w:pPr>
        <w:pStyle w:val="Reference"/>
        <w:rPr>
          <w:spacing w:val="-2"/>
        </w:rPr>
      </w:pPr>
      <w:r w:rsidRPr="00E842E6">
        <w:rPr>
          <w:spacing w:val="-2"/>
        </w:rPr>
        <w:t xml:space="preserve">Wright, M., Brown, A., Dudgeon, P., McPhee, R., Coffin, J., Pearson, G., Lin, A., Newnham, E., King Baguley, K., Webb, M., </w:t>
      </w:r>
      <w:r w:rsidRPr="00E842E6">
        <w:rPr>
          <w:spacing w:val="-2"/>
        </w:rPr>
        <w:t xml:space="preserve">Sibosado, A., Crisp, N. and Flavell, H.L. 2021, ‘Our journey, our story: a study protocol for the evaluation of a co-design framework to improve services for Aboriginal youth mental health and well-being’, </w:t>
      </w:r>
      <w:r w:rsidRPr="00E842E6">
        <w:rPr>
          <w:i/>
          <w:iCs/>
          <w:spacing w:val="-2"/>
        </w:rPr>
        <w:t>BMJ Open</w:t>
      </w:r>
      <w:r w:rsidRPr="00E842E6">
        <w:rPr>
          <w:spacing w:val="-2"/>
        </w:rPr>
        <w:t>, vol. 11, no. 5, p. e042981.</w:t>
      </w:r>
    </w:p>
    <w:p w14:paraId="6A2E9643" w14:textId="77777777" w:rsidR="006C554A" w:rsidRDefault="00F33262" w:rsidP="00024CE1">
      <w:pPr>
        <w:pStyle w:val="Reference"/>
        <w:sectPr w:rsidR="006C554A" w:rsidSect="00024CE1">
          <w:type w:val="continuous"/>
          <w:pgSz w:w="11906" w:h="16838" w:code="9"/>
          <w:pgMar w:top="1134" w:right="1134" w:bottom="1134" w:left="1134" w:header="794" w:footer="510" w:gutter="0"/>
          <w:cols w:num="2" w:space="708"/>
          <w:docGrid w:linePitch="360"/>
        </w:sectPr>
      </w:pPr>
      <w:r>
        <w:t xml:space="preserve">Yoorrook Justice Commission 2023, </w:t>
      </w:r>
      <w:r>
        <w:rPr>
          <w:i/>
          <w:iCs/>
        </w:rPr>
        <w:t>About Yoorrook</w:t>
      </w:r>
      <w:r>
        <w:t>, https://yoorrookjusticecommission.org.au/overview/ (accessed 18 May 2023).</w:t>
      </w:r>
    </w:p>
    <w:p w14:paraId="253D48E4" w14:textId="29202ECA" w:rsidR="00FD58AA" w:rsidRPr="00FD58AA" w:rsidRDefault="00FD58AA" w:rsidP="00024CE1">
      <w:pPr>
        <w:pStyle w:val="Reference"/>
      </w:pPr>
    </w:p>
    <w:sectPr w:rsidR="00FD58AA" w:rsidRPr="00FD58AA" w:rsidSect="00024CE1">
      <w:type w:val="continuous"/>
      <w:pgSz w:w="11906" w:h="16838" w:code="9"/>
      <w:pgMar w:top="1134" w:right="1134" w:bottom="1134" w:left="1134" w:header="794" w:footer="51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A502" w14:textId="77777777" w:rsidR="00862241" w:rsidRDefault="00862241" w:rsidP="008017BC">
      <w:r>
        <w:separator/>
      </w:r>
    </w:p>
    <w:p w14:paraId="4FCF2042" w14:textId="77777777" w:rsidR="00862241" w:rsidRDefault="00862241"/>
  </w:endnote>
  <w:endnote w:type="continuationSeparator" w:id="0">
    <w:p w14:paraId="45EB160A" w14:textId="77777777" w:rsidR="00862241" w:rsidRDefault="00862241" w:rsidP="008017BC">
      <w:r>
        <w:continuationSeparator/>
      </w:r>
    </w:p>
    <w:p w14:paraId="66B950F3" w14:textId="77777777" w:rsidR="00862241" w:rsidRDefault="00862241"/>
  </w:endnote>
  <w:endnote w:type="continuationNotice" w:id="1">
    <w:p w14:paraId="79479363" w14:textId="77777777" w:rsidR="00862241" w:rsidRDefault="0086224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crosoft YaHei">
    <w:altName w:val="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Work Sans">
    <w:panose1 w:val="00000000000000000000"/>
    <w:charset w:val="4D"/>
    <w:family w:val="auto"/>
    <w:pitch w:val="variable"/>
    <w:sig w:usb0="A00000FF" w:usb1="5000E07B" w:usb2="00000000" w:usb3="00000000" w:csb0="00000193" w:csb1="00000000"/>
  </w:font>
  <w:font w:name="Open Sans">
    <w:panose1 w:val="020B0606030504020204"/>
    <w:charset w:val="00"/>
    <w:family w:val="swiss"/>
    <w:pitch w:val="variable"/>
    <w:sig w:usb0="E00002EF" w:usb1="4000205B" w:usb2="00000028" w:usb3="00000000" w:csb0="0000019F" w:csb1="00000000"/>
  </w:font>
  <w:font w:name="Futura PT Book">
    <w:altName w:val="Calibri"/>
    <w:panose1 w:val="020B0602020204020303"/>
    <w:charset w:val="B1"/>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CAE7" w14:textId="09E414A3" w:rsidR="002C21B1" w:rsidRDefault="004A5DA6">
    <w:pPr>
      <w:pStyle w:val="Footer"/>
    </w:pPr>
    <w:r w:rsidRPr="00283457">
      <w:fldChar w:fldCharType="begin"/>
    </w:r>
    <w:r w:rsidRPr="00283457">
      <w:instrText xml:space="preserve"> PAGE   \* MERGEFORMAT </w:instrText>
    </w:r>
    <w:r w:rsidRPr="00283457">
      <w:fldChar w:fldCharType="separate"/>
    </w:r>
    <w:r>
      <w:t>2</w:t>
    </w:r>
    <w:r w:rsidRPr="0028345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F528" w14:textId="53C451AE" w:rsidR="002C21B1" w:rsidRDefault="00BE7D6E" w:rsidP="006D2424">
    <w:pPr>
      <w:pStyle w:val="Footer-right"/>
    </w:pPr>
    <w:sdt>
      <w:sdtPr>
        <w:id w:val="-1079138108"/>
        <w:docPartObj>
          <w:docPartGallery w:val="Page Numbers (Top of Page)"/>
          <w:docPartUnique/>
        </w:docPartObj>
      </w:sdtPr>
      <w:sdtEndPr/>
      <w:sdtContent>
        <w:r w:rsidR="006D2424" w:rsidRPr="0042508F">
          <w:rPr>
            <w:sz w:val="24"/>
          </w:rPr>
          <w:fldChar w:fldCharType="begin"/>
        </w:r>
        <w:r w:rsidR="006D2424" w:rsidRPr="0042508F">
          <w:instrText xml:space="preserve"> PAGE </w:instrText>
        </w:r>
        <w:r w:rsidR="006D2424" w:rsidRPr="0042508F">
          <w:rPr>
            <w:sz w:val="24"/>
          </w:rPr>
          <w:fldChar w:fldCharType="separate"/>
        </w:r>
        <w:r w:rsidR="006D2424">
          <w:rPr>
            <w:sz w:val="24"/>
          </w:rPr>
          <w:t>3</w:t>
        </w:r>
        <w:r w:rsidR="006D2424" w:rsidRPr="0042508F">
          <w:rPr>
            <w:sz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F64C7" w14:textId="6BC6C2E2" w:rsidR="00E9638F" w:rsidRDefault="00E9638F">
    <w:pPr>
      <w:pStyle w:val="Footer"/>
    </w:pPr>
    <w:r w:rsidRPr="00283457">
      <w:fldChar w:fldCharType="begin"/>
    </w:r>
    <w:r w:rsidRPr="00283457">
      <w:instrText xml:space="preserve"> PAGE   \* MERGEFORMAT </w:instrText>
    </w:r>
    <w:r w:rsidRPr="00283457">
      <w:fldChar w:fldCharType="separate"/>
    </w:r>
    <w:r>
      <w:t>4</w:t>
    </w:r>
    <w:r w:rsidRPr="00283457">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0515" w14:textId="77777777" w:rsidR="00191059" w:rsidRDefault="00191059" w:rsidP="00191059">
    <w:pPr>
      <w:pStyle w:val="Footer-right"/>
    </w:pPr>
    <w:r w:rsidRPr="00283457">
      <w:fldChar w:fldCharType="begin"/>
    </w:r>
    <w:r w:rsidRPr="00283457">
      <w:instrText xml:space="preserve"> PAGE   \* MERGEFORMAT </w:instrText>
    </w:r>
    <w:r w:rsidRPr="00283457">
      <w:fldChar w:fldCharType="separate"/>
    </w:r>
    <w:r>
      <w:t>4</w:t>
    </w:r>
    <w:r w:rsidRPr="0028345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FF125" w14:textId="77777777" w:rsidR="00862241" w:rsidRPr="00C238D1" w:rsidRDefault="00862241" w:rsidP="00273E86">
      <w:pPr>
        <w:spacing w:after="0" w:line="240" w:lineRule="auto"/>
        <w:rPr>
          <w:rStyle w:val="ColourDarkBlue"/>
        </w:rPr>
      </w:pPr>
      <w:r w:rsidRPr="00C238D1">
        <w:rPr>
          <w:rStyle w:val="ColourDarkBlue"/>
        </w:rPr>
        <w:continuationSeparator/>
      </w:r>
    </w:p>
  </w:footnote>
  <w:footnote w:type="continuationSeparator" w:id="0">
    <w:p w14:paraId="671C33EC" w14:textId="77777777" w:rsidR="00862241" w:rsidRPr="001D7D9B" w:rsidRDefault="00862241" w:rsidP="001D7D9B">
      <w:pPr>
        <w:spacing w:after="0" w:line="240" w:lineRule="auto"/>
        <w:rPr>
          <w:color w:val="0D8380" w:themeColor="background2"/>
        </w:rPr>
      </w:pPr>
      <w:r w:rsidRPr="00C238D1">
        <w:rPr>
          <w:rStyle w:val="ColourDarkBlue"/>
        </w:rPr>
        <w:continuationSeparator/>
      </w:r>
    </w:p>
  </w:footnote>
  <w:footnote w:type="continuationNotice" w:id="1">
    <w:p w14:paraId="7B9E10E7" w14:textId="77777777" w:rsidR="00862241" w:rsidRDefault="008622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E7E5" w14:textId="2AF6E31B" w:rsidR="002C21B1" w:rsidRPr="006C202D" w:rsidRDefault="005628CF" w:rsidP="0046652A">
    <w:pPr>
      <w:pStyle w:val="Header-Keyline"/>
      <w:rPr>
        <w:b w:val="0"/>
        <w:bCs/>
      </w:rPr>
    </w:pPr>
    <w:r>
      <w:rPr>
        <w:rStyle w:val="Strong"/>
        <w:b/>
        <w:bCs w:val="0"/>
      </w:rPr>
      <w:t>Review of the National Agreement on Closing the Gap</w:t>
    </w:r>
    <w:r w:rsidR="006C202D">
      <w:rPr>
        <w:rStyle w:val="Strong"/>
        <w:b/>
        <w:bCs w:val="0"/>
      </w:rPr>
      <w:t xml:space="preserve"> </w:t>
    </w:r>
    <w:r w:rsidR="006C202D">
      <w:rPr>
        <w:rStyle w:val="Strong"/>
      </w:rPr>
      <w:t>Draft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EAAC" w14:textId="575578ED" w:rsidR="002C21B1" w:rsidRPr="006E784F" w:rsidRDefault="0053487F" w:rsidP="006E784F">
    <w:pPr>
      <w:pStyle w:val="Header-KeylineRight"/>
      <w:contextualSpacing/>
    </w:pPr>
    <w:r w:rsidRPr="002748F8">
      <w:t xml:space="preserve">Information </w:t>
    </w:r>
    <w:r w:rsidR="00565485">
      <w:t>p</w:t>
    </w:r>
    <w:r w:rsidRPr="002748F8">
      <w:t xml:space="preserve">aper </w:t>
    </w:r>
    <w:r w:rsidR="00F2583B">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8374" w14:textId="369E8869" w:rsidR="00E9638F" w:rsidRPr="00E9638F" w:rsidRDefault="005628CF" w:rsidP="00E9638F">
    <w:pPr>
      <w:pStyle w:val="Header-Keyline"/>
      <w:rPr>
        <w:b w:val="0"/>
        <w:bCs/>
      </w:rPr>
    </w:pPr>
    <w:r>
      <w:rPr>
        <w:rStyle w:val="Strong"/>
        <w:b/>
        <w:bCs w:val="0"/>
      </w:rPr>
      <w:t>Review of the National Agreement on Closing the Gap</w:t>
    </w:r>
    <w:r w:rsidR="00E9638F">
      <w:rPr>
        <w:rStyle w:val="Strong"/>
        <w:b/>
        <w:bCs w:val="0"/>
      </w:rPr>
      <w:t xml:space="preserve"> </w:t>
    </w:r>
    <w:r w:rsidR="00E9638F">
      <w:rPr>
        <w:rStyle w:val="Strong"/>
      </w:rPr>
      <w:t xml:space="preserve">Draft </w:t>
    </w:r>
    <w:r w:rsidR="002936A6">
      <w:rPr>
        <w:rStyle w:val="Strong"/>
      </w:rPr>
      <w:t>R</w:t>
    </w:r>
    <w:r w:rsidR="00E9638F">
      <w:rPr>
        <w:rStyle w:val="Strong"/>
      </w:rPr>
      <w:t>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09E7" w14:textId="6945AB80" w:rsidR="00C6028E" w:rsidRPr="00AB7CF7" w:rsidRDefault="00AB7CF7" w:rsidP="004538BC">
    <w:pPr>
      <w:pStyle w:val="Header-KeylineRight"/>
      <w:contextualSpacing/>
    </w:pPr>
    <w:r w:rsidRPr="002748F8">
      <w:t xml:space="preserve">Information </w:t>
    </w:r>
    <w:r>
      <w:t>p</w:t>
    </w:r>
    <w:r w:rsidRPr="002748F8">
      <w:t xml:space="preserve">aper </w:t>
    </w:r>
    <w: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01D838E8"/>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lvlText w:val="–"/>
      <w:lvlJc w:val="left"/>
      <w:pPr>
        <w:ind w:left="454" w:hanging="227"/>
      </w:pPr>
      <w:rPr>
        <w:rFonts w:ascii="Arial" w:hAnsi="Arial" w:hint="default"/>
        <w:color w:val="auto"/>
      </w:rPr>
    </w:lvl>
    <w:lvl w:ilvl="2">
      <w:start w:val="1"/>
      <w:numFmt w:val="bullet"/>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8"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665246"/>
    <w:multiLevelType w:val="multilevel"/>
    <w:tmpl w:val="55366B42"/>
    <w:numStyleLink w:val="LetteredList"/>
  </w:abstractNum>
  <w:abstractNum w:abstractNumId="11" w15:restartNumberingAfterBreak="0">
    <w:nsid w:val="2DFE29AF"/>
    <w:multiLevelType w:val="multilevel"/>
    <w:tmpl w:val="72768BCE"/>
    <w:numStyleLink w:val="AppendixHeadingList"/>
  </w:abstractNum>
  <w:abstractNum w:abstractNumId="1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0D8380"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7073AEB"/>
    <w:multiLevelType w:val="multilevel"/>
    <w:tmpl w:val="FF8069A4"/>
    <w:lvl w:ilvl="0">
      <w:start w:val="1"/>
      <w:numFmt w:val="bullet"/>
      <w:lvlText w:val="•"/>
      <w:lvlJc w:val="left"/>
      <w:pPr>
        <w:ind w:left="227" w:hanging="227"/>
      </w:pPr>
      <w:rPr>
        <w:rFonts w:ascii="Times New Roman" w:hAnsi="Times New Roman" w:cs="Times New Roman" w:hint="default"/>
        <w:color w:val="auto"/>
      </w:rPr>
    </w:lvl>
    <w:lvl w:ilvl="1">
      <w:start w:val="1"/>
      <w:numFmt w:val="bullet"/>
      <w:lvlText w:val="–"/>
      <w:lvlJc w:val="left"/>
      <w:pPr>
        <w:ind w:left="454" w:hanging="227"/>
      </w:pPr>
      <w:rPr>
        <w:rFonts w:ascii="Arial" w:hAnsi="Arial" w:hint="default"/>
        <w:color w:val="auto"/>
      </w:rPr>
    </w:lvl>
    <w:lvl w:ilvl="2">
      <w:start w:val="1"/>
      <w:numFmt w:val="bullet"/>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4" w15:restartNumberingAfterBreak="0">
    <w:nsid w:val="3DFF19AC"/>
    <w:multiLevelType w:val="hybridMultilevel"/>
    <w:tmpl w:val="FD289AA2"/>
    <w:lvl w:ilvl="0" w:tplc="2F6EF78C">
      <w:start w:val="1"/>
      <w:numFmt w:val="decimal"/>
      <w:pStyle w:val="List1"/>
      <w:lvlText w:val="%1."/>
      <w:lvlJc w:val="left"/>
      <w:pPr>
        <w:ind w:left="92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9E388C">
      <w:start w:val="1"/>
      <w:numFmt w:val="lowerLetter"/>
      <w:pStyle w:val="alphalist0"/>
      <w:lvlText w:val="%2."/>
      <w:lvlJc w:val="left"/>
      <w:pPr>
        <w:ind w:left="1440" w:hanging="360"/>
      </w:pPr>
      <w:rPr>
        <w:b w:val="0"/>
      </w:rPr>
    </w:lvl>
    <w:lvl w:ilvl="2" w:tplc="C1CAFE18">
      <w:start w:val="1"/>
      <w:numFmt w:val="lowerRoman"/>
      <w:pStyle w:val="romanlist"/>
      <w:lvlText w:val="%3."/>
      <w:lvlJc w:val="right"/>
      <w:pPr>
        <w:ind w:left="2160" w:hanging="180"/>
      </w:pPr>
      <w:rPr>
        <w:b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0E1502C"/>
    <w:multiLevelType w:val="multilevel"/>
    <w:tmpl w:val="FF8069A4"/>
    <w:styleLink w:val="Bullets"/>
    <w:lvl w:ilvl="0">
      <w:start w:val="1"/>
      <w:numFmt w:val="bullet"/>
      <w:lvlText w:val="•"/>
      <w:lvlJc w:val="left"/>
      <w:pPr>
        <w:ind w:left="227" w:hanging="227"/>
      </w:pPr>
      <w:rPr>
        <w:rFonts w:ascii="Times New Roman" w:hAnsi="Times New Roman" w:cs="Times New Roman" w:hint="default"/>
        <w:color w:val="auto"/>
      </w:rPr>
    </w:lvl>
    <w:lvl w:ilvl="1">
      <w:start w:val="1"/>
      <w:numFmt w:val="bullet"/>
      <w:lvlText w:val="–"/>
      <w:lvlJc w:val="left"/>
      <w:pPr>
        <w:ind w:left="227" w:hanging="227"/>
      </w:pPr>
      <w:rPr>
        <w:rFonts w:ascii="Arial" w:hAnsi="Arial" w:hint="default"/>
        <w:color w:val="auto"/>
      </w:rPr>
    </w:lvl>
    <w:lvl w:ilvl="2">
      <w:start w:val="1"/>
      <w:numFmt w:val="bullet"/>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8" w15:restartNumberingAfterBreak="0">
    <w:nsid w:val="65D91402"/>
    <w:multiLevelType w:val="hybridMultilevel"/>
    <w:tmpl w:val="9A846B0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61B4A1B"/>
    <w:multiLevelType w:val="multilevel"/>
    <w:tmpl w:val="4F48000A"/>
    <w:numStyleLink w:val="Alphalist"/>
  </w:abstractNum>
  <w:num w:numId="1" w16cid:durableId="2061440302">
    <w:abstractNumId w:val="6"/>
  </w:num>
  <w:num w:numId="2" w16cid:durableId="754478392">
    <w:abstractNumId w:val="2"/>
  </w:num>
  <w:num w:numId="3" w16cid:durableId="1481457136">
    <w:abstractNumId w:val="9"/>
  </w:num>
  <w:num w:numId="4" w16cid:durableId="867061828">
    <w:abstractNumId w:val="16"/>
  </w:num>
  <w:num w:numId="5" w16cid:durableId="986518052">
    <w:abstractNumId w:val="17"/>
  </w:num>
  <w:num w:numId="6" w16cid:durableId="177474454">
    <w:abstractNumId w:val="15"/>
  </w:num>
  <w:num w:numId="7" w16cid:durableId="1675956924">
    <w:abstractNumId w:val="11"/>
  </w:num>
  <w:num w:numId="8" w16cid:durableId="1259019909">
    <w:abstractNumId w:val="7"/>
  </w:num>
  <w:num w:numId="9" w16cid:durableId="1301887205">
    <w:abstractNumId w:val="10"/>
  </w:num>
  <w:num w:numId="10" w16cid:durableId="68161628">
    <w:abstractNumId w:val="19"/>
  </w:num>
  <w:num w:numId="11" w16cid:durableId="2028486576">
    <w:abstractNumId w:val="0"/>
  </w:num>
  <w:num w:numId="12" w16cid:durableId="241840741">
    <w:abstractNumId w:val="3"/>
  </w:num>
  <w:num w:numId="13" w16cid:durableId="1288317807">
    <w:abstractNumId w:val="8"/>
  </w:num>
  <w:num w:numId="14" w16cid:durableId="1832406186">
    <w:abstractNumId w:val="5"/>
  </w:num>
  <w:num w:numId="15" w16cid:durableId="946691241">
    <w:abstractNumId w:val="1"/>
  </w:num>
  <w:num w:numId="16" w16cid:durableId="1401170223">
    <w:abstractNumId w:val="12"/>
  </w:num>
  <w:num w:numId="17" w16cid:durableId="1200557517">
    <w:abstractNumId w:val="4"/>
  </w:num>
  <w:num w:numId="18" w16cid:durableId="665283933">
    <w:abstractNumId w:val="18"/>
  </w:num>
  <w:num w:numId="19" w16cid:durableId="560487663">
    <w:abstractNumId w:val="14"/>
  </w:num>
  <w:num w:numId="20" w16cid:durableId="18147138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132318">
    <w:abstractNumId w:val="13"/>
  </w:num>
  <w:num w:numId="22" w16cid:durableId="172645137">
    <w:abstractNumId w:val="4"/>
  </w:num>
  <w:num w:numId="23" w16cid:durableId="2144036283">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mirrorMargins/>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2E"/>
    <w:rsid w:val="00000075"/>
    <w:rsid w:val="0000024C"/>
    <w:rsid w:val="0000027F"/>
    <w:rsid w:val="00000D05"/>
    <w:rsid w:val="00000DC5"/>
    <w:rsid w:val="00000F3C"/>
    <w:rsid w:val="0000159D"/>
    <w:rsid w:val="000015C3"/>
    <w:rsid w:val="00001602"/>
    <w:rsid w:val="00001776"/>
    <w:rsid w:val="000017AE"/>
    <w:rsid w:val="000017FF"/>
    <w:rsid w:val="000018D5"/>
    <w:rsid w:val="000019B9"/>
    <w:rsid w:val="00001FF3"/>
    <w:rsid w:val="000020A2"/>
    <w:rsid w:val="000020AB"/>
    <w:rsid w:val="000020AF"/>
    <w:rsid w:val="00002299"/>
    <w:rsid w:val="0000236A"/>
    <w:rsid w:val="000025FE"/>
    <w:rsid w:val="00002F4E"/>
    <w:rsid w:val="0000335C"/>
    <w:rsid w:val="0000387D"/>
    <w:rsid w:val="00004489"/>
    <w:rsid w:val="00004933"/>
    <w:rsid w:val="000049AB"/>
    <w:rsid w:val="0000544C"/>
    <w:rsid w:val="00005C79"/>
    <w:rsid w:val="00006164"/>
    <w:rsid w:val="0000631E"/>
    <w:rsid w:val="00006409"/>
    <w:rsid w:val="000065E8"/>
    <w:rsid w:val="000067B6"/>
    <w:rsid w:val="00006DDB"/>
    <w:rsid w:val="000070DA"/>
    <w:rsid w:val="0000726B"/>
    <w:rsid w:val="0000734E"/>
    <w:rsid w:val="00007606"/>
    <w:rsid w:val="00007CF8"/>
    <w:rsid w:val="0001073E"/>
    <w:rsid w:val="00010F93"/>
    <w:rsid w:val="00011265"/>
    <w:rsid w:val="000112BA"/>
    <w:rsid w:val="000113E9"/>
    <w:rsid w:val="000118BD"/>
    <w:rsid w:val="0001190A"/>
    <w:rsid w:val="00011BB4"/>
    <w:rsid w:val="00011D55"/>
    <w:rsid w:val="000120F6"/>
    <w:rsid w:val="00012D6C"/>
    <w:rsid w:val="0001302D"/>
    <w:rsid w:val="0001307B"/>
    <w:rsid w:val="0001316D"/>
    <w:rsid w:val="000136D4"/>
    <w:rsid w:val="00013795"/>
    <w:rsid w:val="00013A09"/>
    <w:rsid w:val="00013AE1"/>
    <w:rsid w:val="00013C14"/>
    <w:rsid w:val="00013C55"/>
    <w:rsid w:val="00013D35"/>
    <w:rsid w:val="00013E4A"/>
    <w:rsid w:val="000141A1"/>
    <w:rsid w:val="000141D7"/>
    <w:rsid w:val="00014364"/>
    <w:rsid w:val="0001456B"/>
    <w:rsid w:val="0001496E"/>
    <w:rsid w:val="00014B03"/>
    <w:rsid w:val="00014BBE"/>
    <w:rsid w:val="0001503E"/>
    <w:rsid w:val="0001539D"/>
    <w:rsid w:val="00016053"/>
    <w:rsid w:val="0001630A"/>
    <w:rsid w:val="00016384"/>
    <w:rsid w:val="0001692A"/>
    <w:rsid w:val="00016A21"/>
    <w:rsid w:val="00017108"/>
    <w:rsid w:val="00017203"/>
    <w:rsid w:val="000172EA"/>
    <w:rsid w:val="00017449"/>
    <w:rsid w:val="0001793F"/>
    <w:rsid w:val="00017DE8"/>
    <w:rsid w:val="0002024F"/>
    <w:rsid w:val="00020C6D"/>
    <w:rsid w:val="0002177B"/>
    <w:rsid w:val="0002180B"/>
    <w:rsid w:val="0002195D"/>
    <w:rsid w:val="000219BF"/>
    <w:rsid w:val="00021C77"/>
    <w:rsid w:val="00021D0F"/>
    <w:rsid w:val="00022030"/>
    <w:rsid w:val="00022077"/>
    <w:rsid w:val="000225F7"/>
    <w:rsid w:val="00022707"/>
    <w:rsid w:val="0002289A"/>
    <w:rsid w:val="00022F2B"/>
    <w:rsid w:val="00022FB0"/>
    <w:rsid w:val="00022FB1"/>
    <w:rsid w:val="0002304E"/>
    <w:rsid w:val="000232DE"/>
    <w:rsid w:val="00023364"/>
    <w:rsid w:val="00023414"/>
    <w:rsid w:val="0002352C"/>
    <w:rsid w:val="000237BB"/>
    <w:rsid w:val="00023A26"/>
    <w:rsid w:val="00024297"/>
    <w:rsid w:val="000242BC"/>
    <w:rsid w:val="000243E3"/>
    <w:rsid w:val="0002446D"/>
    <w:rsid w:val="00024661"/>
    <w:rsid w:val="00024C9A"/>
    <w:rsid w:val="00024CE1"/>
    <w:rsid w:val="000253DC"/>
    <w:rsid w:val="0002551F"/>
    <w:rsid w:val="00025665"/>
    <w:rsid w:val="0002575A"/>
    <w:rsid w:val="00025A28"/>
    <w:rsid w:val="00025DF9"/>
    <w:rsid w:val="00025E29"/>
    <w:rsid w:val="0002608D"/>
    <w:rsid w:val="00026237"/>
    <w:rsid w:val="00026948"/>
    <w:rsid w:val="000269DE"/>
    <w:rsid w:val="00026A06"/>
    <w:rsid w:val="00026C04"/>
    <w:rsid w:val="00026CE3"/>
    <w:rsid w:val="00027524"/>
    <w:rsid w:val="00027878"/>
    <w:rsid w:val="00027A15"/>
    <w:rsid w:val="00027A7A"/>
    <w:rsid w:val="00027A81"/>
    <w:rsid w:val="000300AF"/>
    <w:rsid w:val="0003015C"/>
    <w:rsid w:val="00030257"/>
    <w:rsid w:val="000306C7"/>
    <w:rsid w:val="000308D4"/>
    <w:rsid w:val="000309F3"/>
    <w:rsid w:val="00030AC2"/>
    <w:rsid w:val="00030F88"/>
    <w:rsid w:val="000313E8"/>
    <w:rsid w:val="00031408"/>
    <w:rsid w:val="00031637"/>
    <w:rsid w:val="00031B7A"/>
    <w:rsid w:val="00031F07"/>
    <w:rsid w:val="00032099"/>
    <w:rsid w:val="00032456"/>
    <w:rsid w:val="00032A25"/>
    <w:rsid w:val="00032B52"/>
    <w:rsid w:val="00032DAA"/>
    <w:rsid w:val="0003318D"/>
    <w:rsid w:val="000331E4"/>
    <w:rsid w:val="000332EE"/>
    <w:rsid w:val="0003338D"/>
    <w:rsid w:val="00033619"/>
    <w:rsid w:val="000338FF"/>
    <w:rsid w:val="00033A70"/>
    <w:rsid w:val="00033C53"/>
    <w:rsid w:val="00033D86"/>
    <w:rsid w:val="0003404B"/>
    <w:rsid w:val="00034443"/>
    <w:rsid w:val="00034606"/>
    <w:rsid w:val="00035672"/>
    <w:rsid w:val="000358C1"/>
    <w:rsid w:val="00035A1B"/>
    <w:rsid w:val="00035D37"/>
    <w:rsid w:val="00036151"/>
    <w:rsid w:val="0003626C"/>
    <w:rsid w:val="000367D9"/>
    <w:rsid w:val="00036B35"/>
    <w:rsid w:val="00036C14"/>
    <w:rsid w:val="00036D89"/>
    <w:rsid w:val="00036FAB"/>
    <w:rsid w:val="000373B6"/>
    <w:rsid w:val="000375A9"/>
    <w:rsid w:val="00037831"/>
    <w:rsid w:val="00037B5C"/>
    <w:rsid w:val="00037CF0"/>
    <w:rsid w:val="00037D7B"/>
    <w:rsid w:val="00037E3C"/>
    <w:rsid w:val="00040479"/>
    <w:rsid w:val="000410BD"/>
    <w:rsid w:val="00041476"/>
    <w:rsid w:val="000414FF"/>
    <w:rsid w:val="000416F2"/>
    <w:rsid w:val="00041C54"/>
    <w:rsid w:val="00041FCA"/>
    <w:rsid w:val="000423A4"/>
    <w:rsid w:val="000423EA"/>
    <w:rsid w:val="00042C87"/>
    <w:rsid w:val="000432DD"/>
    <w:rsid w:val="000436DD"/>
    <w:rsid w:val="00043B14"/>
    <w:rsid w:val="0004426B"/>
    <w:rsid w:val="0004445F"/>
    <w:rsid w:val="00044A41"/>
    <w:rsid w:val="00044E58"/>
    <w:rsid w:val="000452A4"/>
    <w:rsid w:val="00045370"/>
    <w:rsid w:val="000453F0"/>
    <w:rsid w:val="000453F1"/>
    <w:rsid w:val="00045C1D"/>
    <w:rsid w:val="000463E0"/>
    <w:rsid w:val="0004641C"/>
    <w:rsid w:val="00046648"/>
    <w:rsid w:val="00046733"/>
    <w:rsid w:val="000467A0"/>
    <w:rsid w:val="00046ADE"/>
    <w:rsid w:val="00046C6E"/>
    <w:rsid w:val="00046D2F"/>
    <w:rsid w:val="00046D7F"/>
    <w:rsid w:val="0004701B"/>
    <w:rsid w:val="00047894"/>
    <w:rsid w:val="00047D1D"/>
    <w:rsid w:val="00047DA8"/>
    <w:rsid w:val="00050A04"/>
    <w:rsid w:val="00050FB3"/>
    <w:rsid w:val="0005151B"/>
    <w:rsid w:val="00051DF9"/>
    <w:rsid w:val="0005270C"/>
    <w:rsid w:val="0005279C"/>
    <w:rsid w:val="000527AB"/>
    <w:rsid w:val="00052856"/>
    <w:rsid w:val="00052AFE"/>
    <w:rsid w:val="00052C7D"/>
    <w:rsid w:val="00052ED1"/>
    <w:rsid w:val="00052F77"/>
    <w:rsid w:val="00052FD8"/>
    <w:rsid w:val="000532A7"/>
    <w:rsid w:val="000532A8"/>
    <w:rsid w:val="000532CD"/>
    <w:rsid w:val="0005342B"/>
    <w:rsid w:val="00053617"/>
    <w:rsid w:val="00053637"/>
    <w:rsid w:val="000537A7"/>
    <w:rsid w:val="000537F8"/>
    <w:rsid w:val="000538C1"/>
    <w:rsid w:val="0005391F"/>
    <w:rsid w:val="00053AF4"/>
    <w:rsid w:val="00053D44"/>
    <w:rsid w:val="0005418E"/>
    <w:rsid w:val="00054224"/>
    <w:rsid w:val="00054BEA"/>
    <w:rsid w:val="00054C95"/>
    <w:rsid w:val="00055008"/>
    <w:rsid w:val="00055089"/>
    <w:rsid w:val="00055170"/>
    <w:rsid w:val="0005575D"/>
    <w:rsid w:val="00055779"/>
    <w:rsid w:val="00055A49"/>
    <w:rsid w:val="0005610D"/>
    <w:rsid w:val="000561CF"/>
    <w:rsid w:val="00056250"/>
    <w:rsid w:val="00057099"/>
    <w:rsid w:val="000572A8"/>
    <w:rsid w:val="00057394"/>
    <w:rsid w:val="0005774F"/>
    <w:rsid w:val="000578DB"/>
    <w:rsid w:val="00057B68"/>
    <w:rsid w:val="00057F93"/>
    <w:rsid w:val="00060026"/>
    <w:rsid w:val="00060925"/>
    <w:rsid w:val="000611D3"/>
    <w:rsid w:val="000619CE"/>
    <w:rsid w:val="00061B7F"/>
    <w:rsid w:val="00061E23"/>
    <w:rsid w:val="00062025"/>
    <w:rsid w:val="000623EA"/>
    <w:rsid w:val="0006271D"/>
    <w:rsid w:val="00062A09"/>
    <w:rsid w:val="00062A44"/>
    <w:rsid w:val="00062A5C"/>
    <w:rsid w:val="00062BE9"/>
    <w:rsid w:val="00062F1B"/>
    <w:rsid w:val="00063C5D"/>
    <w:rsid w:val="00063F82"/>
    <w:rsid w:val="00063F93"/>
    <w:rsid w:val="000640E6"/>
    <w:rsid w:val="00064250"/>
    <w:rsid w:val="000646EC"/>
    <w:rsid w:val="00064C7D"/>
    <w:rsid w:val="00064D88"/>
    <w:rsid w:val="000654FD"/>
    <w:rsid w:val="000659A5"/>
    <w:rsid w:val="00065E2F"/>
    <w:rsid w:val="00066345"/>
    <w:rsid w:val="00066474"/>
    <w:rsid w:val="000665DB"/>
    <w:rsid w:val="00066756"/>
    <w:rsid w:val="000668F8"/>
    <w:rsid w:val="00066978"/>
    <w:rsid w:val="000677E9"/>
    <w:rsid w:val="00067929"/>
    <w:rsid w:val="00067BC2"/>
    <w:rsid w:val="00070441"/>
    <w:rsid w:val="00071747"/>
    <w:rsid w:val="00071EB6"/>
    <w:rsid w:val="000720B4"/>
    <w:rsid w:val="0007218D"/>
    <w:rsid w:val="00072448"/>
    <w:rsid w:val="000724AE"/>
    <w:rsid w:val="00072EA0"/>
    <w:rsid w:val="0007359B"/>
    <w:rsid w:val="00073A48"/>
    <w:rsid w:val="00073A55"/>
    <w:rsid w:val="00073C32"/>
    <w:rsid w:val="00073FAC"/>
    <w:rsid w:val="000741FB"/>
    <w:rsid w:val="00074735"/>
    <w:rsid w:val="00074A90"/>
    <w:rsid w:val="00074A94"/>
    <w:rsid w:val="000750A4"/>
    <w:rsid w:val="0007528B"/>
    <w:rsid w:val="0007592A"/>
    <w:rsid w:val="00075CF8"/>
    <w:rsid w:val="00076306"/>
    <w:rsid w:val="000763FE"/>
    <w:rsid w:val="000764FE"/>
    <w:rsid w:val="00076D95"/>
    <w:rsid w:val="00077115"/>
    <w:rsid w:val="0007776A"/>
    <w:rsid w:val="00077A76"/>
    <w:rsid w:val="00077DBB"/>
    <w:rsid w:val="00077E06"/>
    <w:rsid w:val="0008037D"/>
    <w:rsid w:val="00080A8D"/>
    <w:rsid w:val="00081191"/>
    <w:rsid w:val="00081656"/>
    <w:rsid w:val="00081AE5"/>
    <w:rsid w:val="00081B98"/>
    <w:rsid w:val="00081D8F"/>
    <w:rsid w:val="0008202D"/>
    <w:rsid w:val="00082667"/>
    <w:rsid w:val="00082F97"/>
    <w:rsid w:val="000830EA"/>
    <w:rsid w:val="000832DC"/>
    <w:rsid w:val="0008371E"/>
    <w:rsid w:val="00083928"/>
    <w:rsid w:val="00083A48"/>
    <w:rsid w:val="00083B6C"/>
    <w:rsid w:val="00083C9D"/>
    <w:rsid w:val="000840AA"/>
    <w:rsid w:val="00084234"/>
    <w:rsid w:val="0008458C"/>
    <w:rsid w:val="00084660"/>
    <w:rsid w:val="00084B26"/>
    <w:rsid w:val="00085489"/>
    <w:rsid w:val="000857A6"/>
    <w:rsid w:val="00085A4C"/>
    <w:rsid w:val="00085A7F"/>
    <w:rsid w:val="00085AAC"/>
    <w:rsid w:val="00085AC5"/>
    <w:rsid w:val="00085FB9"/>
    <w:rsid w:val="0008627D"/>
    <w:rsid w:val="00086436"/>
    <w:rsid w:val="00086454"/>
    <w:rsid w:val="00086725"/>
    <w:rsid w:val="00086B90"/>
    <w:rsid w:val="00086B9E"/>
    <w:rsid w:val="0008721E"/>
    <w:rsid w:val="00087649"/>
    <w:rsid w:val="00087738"/>
    <w:rsid w:val="00087849"/>
    <w:rsid w:val="000879A7"/>
    <w:rsid w:val="00087CA7"/>
    <w:rsid w:val="00087EEE"/>
    <w:rsid w:val="0009008C"/>
    <w:rsid w:val="0009008E"/>
    <w:rsid w:val="0009021B"/>
    <w:rsid w:val="00090525"/>
    <w:rsid w:val="00090800"/>
    <w:rsid w:val="00090CD7"/>
    <w:rsid w:val="00090D1D"/>
    <w:rsid w:val="00090DC4"/>
    <w:rsid w:val="000910C7"/>
    <w:rsid w:val="000911E2"/>
    <w:rsid w:val="00091286"/>
    <w:rsid w:val="00091300"/>
    <w:rsid w:val="0009194F"/>
    <w:rsid w:val="00091C74"/>
    <w:rsid w:val="00091E6B"/>
    <w:rsid w:val="0009229E"/>
    <w:rsid w:val="0009258A"/>
    <w:rsid w:val="00092945"/>
    <w:rsid w:val="00092CB5"/>
    <w:rsid w:val="00092EC2"/>
    <w:rsid w:val="00093228"/>
    <w:rsid w:val="0009384D"/>
    <w:rsid w:val="00093872"/>
    <w:rsid w:val="00093986"/>
    <w:rsid w:val="0009427F"/>
    <w:rsid w:val="000942FA"/>
    <w:rsid w:val="000943A0"/>
    <w:rsid w:val="0009469B"/>
    <w:rsid w:val="000948F9"/>
    <w:rsid w:val="00094DAC"/>
    <w:rsid w:val="00094EDF"/>
    <w:rsid w:val="0009528E"/>
    <w:rsid w:val="00095507"/>
    <w:rsid w:val="000956D7"/>
    <w:rsid w:val="00095713"/>
    <w:rsid w:val="000957EB"/>
    <w:rsid w:val="00095909"/>
    <w:rsid w:val="0009656E"/>
    <w:rsid w:val="000967A1"/>
    <w:rsid w:val="00096BD8"/>
    <w:rsid w:val="00096E4C"/>
    <w:rsid w:val="00096F14"/>
    <w:rsid w:val="00097107"/>
    <w:rsid w:val="0009743C"/>
    <w:rsid w:val="000A06CE"/>
    <w:rsid w:val="000A0C8A"/>
    <w:rsid w:val="000A0F08"/>
    <w:rsid w:val="000A0F79"/>
    <w:rsid w:val="000A1956"/>
    <w:rsid w:val="000A1C81"/>
    <w:rsid w:val="000A1D52"/>
    <w:rsid w:val="000A1D84"/>
    <w:rsid w:val="000A1E7E"/>
    <w:rsid w:val="000A2564"/>
    <w:rsid w:val="000A2677"/>
    <w:rsid w:val="000A2C73"/>
    <w:rsid w:val="000A2CC5"/>
    <w:rsid w:val="000A3653"/>
    <w:rsid w:val="000A37B8"/>
    <w:rsid w:val="000A38AA"/>
    <w:rsid w:val="000A3A51"/>
    <w:rsid w:val="000A3FA3"/>
    <w:rsid w:val="000A49FD"/>
    <w:rsid w:val="000A4E53"/>
    <w:rsid w:val="000A5A0D"/>
    <w:rsid w:val="000A600C"/>
    <w:rsid w:val="000A61A2"/>
    <w:rsid w:val="000A696C"/>
    <w:rsid w:val="000A6E44"/>
    <w:rsid w:val="000A6F3F"/>
    <w:rsid w:val="000A7204"/>
    <w:rsid w:val="000A7399"/>
    <w:rsid w:val="000A7454"/>
    <w:rsid w:val="000A751F"/>
    <w:rsid w:val="000A7A97"/>
    <w:rsid w:val="000A7B77"/>
    <w:rsid w:val="000A7B84"/>
    <w:rsid w:val="000B04CA"/>
    <w:rsid w:val="000B1002"/>
    <w:rsid w:val="000B10F1"/>
    <w:rsid w:val="000B1339"/>
    <w:rsid w:val="000B1391"/>
    <w:rsid w:val="000B1CC5"/>
    <w:rsid w:val="000B244A"/>
    <w:rsid w:val="000B286F"/>
    <w:rsid w:val="000B28B8"/>
    <w:rsid w:val="000B31DD"/>
    <w:rsid w:val="000B32F9"/>
    <w:rsid w:val="000B33B3"/>
    <w:rsid w:val="000B3E67"/>
    <w:rsid w:val="000B3F8F"/>
    <w:rsid w:val="000B4399"/>
    <w:rsid w:val="000B446F"/>
    <w:rsid w:val="000B48D0"/>
    <w:rsid w:val="000B497F"/>
    <w:rsid w:val="000B4A72"/>
    <w:rsid w:val="000B5105"/>
    <w:rsid w:val="000B5630"/>
    <w:rsid w:val="000B58F3"/>
    <w:rsid w:val="000B5C40"/>
    <w:rsid w:val="000B604B"/>
    <w:rsid w:val="000B62A0"/>
    <w:rsid w:val="000B6495"/>
    <w:rsid w:val="000B65E9"/>
    <w:rsid w:val="000B687A"/>
    <w:rsid w:val="000B6895"/>
    <w:rsid w:val="000B6D5C"/>
    <w:rsid w:val="000B6DF1"/>
    <w:rsid w:val="000B7076"/>
    <w:rsid w:val="000B720B"/>
    <w:rsid w:val="000B72AB"/>
    <w:rsid w:val="000B764C"/>
    <w:rsid w:val="000B778E"/>
    <w:rsid w:val="000B79BE"/>
    <w:rsid w:val="000B7D0F"/>
    <w:rsid w:val="000B7D56"/>
    <w:rsid w:val="000C01B0"/>
    <w:rsid w:val="000C0764"/>
    <w:rsid w:val="000C083E"/>
    <w:rsid w:val="000C09EB"/>
    <w:rsid w:val="000C0AD9"/>
    <w:rsid w:val="000C0DC0"/>
    <w:rsid w:val="000C0F5D"/>
    <w:rsid w:val="000C13A5"/>
    <w:rsid w:val="000C1A32"/>
    <w:rsid w:val="000C2AA0"/>
    <w:rsid w:val="000C31F7"/>
    <w:rsid w:val="000C3301"/>
    <w:rsid w:val="000C331C"/>
    <w:rsid w:val="000C3345"/>
    <w:rsid w:val="000C3839"/>
    <w:rsid w:val="000C393E"/>
    <w:rsid w:val="000C3B90"/>
    <w:rsid w:val="000C3DFA"/>
    <w:rsid w:val="000C3FDD"/>
    <w:rsid w:val="000C435A"/>
    <w:rsid w:val="000C5229"/>
    <w:rsid w:val="000C5528"/>
    <w:rsid w:val="000C5770"/>
    <w:rsid w:val="000C581D"/>
    <w:rsid w:val="000C5A05"/>
    <w:rsid w:val="000C5DF9"/>
    <w:rsid w:val="000C60B2"/>
    <w:rsid w:val="000C648C"/>
    <w:rsid w:val="000C6B4E"/>
    <w:rsid w:val="000C6B77"/>
    <w:rsid w:val="000C6F18"/>
    <w:rsid w:val="000C7866"/>
    <w:rsid w:val="000C7FCA"/>
    <w:rsid w:val="000D0143"/>
    <w:rsid w:val="000D0320"/>
    <w:rsid w:val="000D1380"/>
    <w:rsid w:val="000D195F"/>
    <w:rsid w:val="000D207E"/>
    <w:rsid w:val="000D2589"/>
    <w:rsid w:val="000D291B"/>
    <w:rsid w:val="000D29D2"/>
    <w:rsid w:val="000D3378"/>
    <w:rsid w:val="000D3443"/>
    <w:rsid w:val="000D356A"/>
    <w:rsid w:val="000D3923"/>
    <w:rsid w:val="000D393D"/>
    <w:rsid w:val="000D3C27"/>
    <w:rsid w:val="000D3C70"/>
    <w:rsid w:val="000D42F7"/>
    <w:rsid w:val="000D4371"/>
    <w:rsid w:val="000D453C"/>
    <w:rsid w:val="000D457C"/>
    <w:rsid w:val="000D45E6"/>
    <w:rsid w:val="000D4A1A"/>
    <w:rsid w:val="000D4AE5"/>
    <w:rsid w:val="000D506E"/>
    <w:rsid w:val="000D547F"/>
    <w:rsid w:val="000D56E1"/>
    <w:rsid w:val="000D5913"/>
    <w:rsid w:val="000D5D98"/>
    <w:rsid w:val="000D5EDC"/>
    <w:rsid w:val="000D5F40"/>
    <w:rsid w:val="000D5FE2"/>
    <w:rsid w:val="000D6241"/>
    <w:rsid w:val="000D6560"/>
    <w:rsid w:val="000D65A0"/>
    <w:rsid w:val="000D65CE"/>
    <w:rsid w:val="000D6A88"/>
    <w:rsid w:val="000D7162"/>
    <w:rsid w:val="000D71CA"/>
    <w:rsid w:val="000D73F5"/>
    <w:rsid w:val="000D745F"/>
    <w:rsid w:val="000E0570"/>
    <w:rsid w:val="000E0D19"/>
    <w:rsid w:val="000E0FEA"/>
    <w:rsid w:val="000E10BE"/>
    <w:rsid w:val="000E13DB"/>
    <w:rsid w:val="000E143D"/>
    <w:rsid w:val="000E1496"/>
    <w:rsid w:val="000E1543"/>
    <w:rsid w:val="000E1F01"/>
    <w:rsid w:val="000E1F5B"/>
    <w:rsid w:val="000E1FA4"/>
    <w:rsid w:val="000E2383"/>
    <w:rsid w:val="000E30B6"/>
    <w:rsid w:val="000E3DA0"/>
    <w:rsid w:val="000E43B0"/>
    <w:rsid w:val="000E475F"/>
    <w:rsid w:val="000E4DD1"/>
    <w:rsid w:val="000E5641"/>
    <w:rsid w:val="000E571A"/>
    <w:rsid w:val="000E66CF"/>
    <w:rsid w:val="000E6825"/>
    <w:rsid w:val="000E701E"/>
    <w:rsid w:val="000E72BE"/>
    <w:rsid w:val="000E77A6"/>
    <w:rsid w:val="000E78A9"/>
    <w:rsid w:val="000E7920"/>
    <w:rsid w:val="000E7F9E"/>
    <w:rsid w:val="000E7FA3"/>
    <w:rsid w:val="000F00B0"/>
    <w:rsid w:val="000F057C"/>
    <w:rsid w:val="000F05E7"/>
    <w:rsid w:val="000F1C42"/>
    <w:rsid w:val="000F1E2B"/>
    <w:rsid w:val="000F2801"/>
    <w:rsid w:val="000F2ADE"/>
    <w:rsid w:val="000F2D31"/>
    <w:rsid w:val="000F33AE"/>
    <w:rsid w:val="000F34FA"/>
    <w:rsid w:val="000F367B"/>
    <w:rsid w:val="000F4488"/>
    <w:rsid w:val="000F458E"/>
    <w:rsid w:val="000F4B24"/>
    <w:rsid w:val="000F4BA7"/>
    <w:rsid w:val="000F5CF5"/>
    <w:rsid w:val="000F5D5F"/>
    <w:rsid w:val="000F63C7"/>
    <w:rsid w:val="000F67EB"/>
    <w:rsid w:val="000F6826"/>
    <w:rsid w:val="000F688F"/>
    <w:rsid w:val="000F689C"/>
    <w:rsid w:val="000F6E2F"/>
    <w:rsid w:val="000F6E8F"/>
    <w:rsid w:val="000F700F"/>
    <w:rsid w:val="000F73F3"/>
    <w:rsid w:val="000F7610"/>
    <w:rsid w:val="000F7627"/>
    <w:rsid w:val="000F7F84"/>
    <w:rsid w:val="0010045F"/>
    <w:rsid w:val="001004EA"/>
    <w:rsid w:val="00100A31"/>
    <w:rsid w:val="00100FAB"/>
    <w:rsid w:val="0010109E"/>
    <w:rsid w:val="00101508"/>
    <w:rsid w:val="00101761"/>
    <w:rsid w:val="00101974"/>
    <w:rsid w:val="00101DDF"/>
    <w:rsid w:val="00101FDD"/>
    <w:rsid w:val="001020A2"/>
    <w:rsid w:val="00102173"/>
    <w:rsid w:val="00102592"/>
    <w:rsid w:val="001028E0"/>
    <w:rsid w:val="00102D8C"/>
    <w:rsid w:val="00103884"/>
    <w:rsid w:val="001047BA"/>
    <w:rsid w:val="0010488F"/>
    <w:rsid w:val="0010498B"/>
    <w:rsid w:val="00105299"/>
    <w:rsid w:val="00105544"/>
    <w:rsid w:val="00105DE4"/>
    <w:rsid w:val="001064B5"/>
    <w:rsid w:val="00106ED3"/>
    <w:rsid w:val="00106F51"/>
    <w:rsid w:val="00107744"/>
    <w:rsid w:val="00107812"/>
    <w:rsid w:val="00107E66"/>
    <w:rsid w:val="001103FA"/>
    <w:rsid w:val="001110E5"/>
    <w:rsid w:val="00111901"/>
    <w:rsid w:val="0011200C"/>
    <w:rsid w:val="0011217E"/>
    <w:rsid w:val="001128C3"/>
    <w:rsid w:val="00112A78"/>
    <w:rsid w:val="00112B19"/>
    <w:rsid w:val="00112E8F"/>
    <w:rsid w:val="00113736"/>
    <w:rsid w:val="001138E1"/>
    <w:rsid w:val="00113A63"/>
    <w:rsid w:val="00113AEE"/>
    <w:rsid w:val="00113F58"/>
    <w:rsid w:val="00114394"/>
    <w:rsid w:val="001145CD"/>
    <w:rsid w:val="001152CC"/>
    <w:rsid w:val="00115736"/>
    <w:rsid w:val="00115969"/>
    <w:rsid w:val="00116079"/>
    <w:rsid w:val="00116425"/>
    <w:rsid w:val="001166D4"/>
    <w:rsid w:val="0011694F"/>
    <w:rsid w:val="00116A94"/>
    <w:rsid w:val="00116F46"/>
    <w:rsid w:val="00117052"/>
    <w:rsid w:val="00117359"/>
    <w:rsid w:val="00117482"/>
    <w:rsid w:val="00117891"/>
    <w:rsid w:val="00117A76"/>
    <w:rsid w:val="00117BFE"/>
    <w:rsid w:val="00117C43"/>
    <w:rsid w:val="00117C63"/>
    <w:rsid w:val="00117D29"/>
    <w:rsid w:val="00117D50"/>
    <w:rsid w:val="00117DB3"/>
    <w:rsid w:val="00117FB0"/>
    <w:rsid w:val="00120133"/>
    <w:rsid w:val="0012045F"/>
    <w:rsid w:val="00120792"/>
    <w:rsid w:val="00120899"/>
    <w:rsid w:val="00120C6F"/>
    <w:rsid w:val="00120CFD"/>
    <w:rsid w:val="00120DCD"/>
    <w:rsid w:val="001210AC"/>
    <w:rsid w:val="001211C5"/>
    <w:rsid w:val="00121302"/>
    <w:rsid w:val="00121764"/>
    <w:rsid w:val="00122171"/>
    <w:rsid w:val="001222EA"/>
    <w:rsid w:val="001224BF"/>
    <w:rsid w:val="00122954"/>
    <w:rsid w:val="001232EA"/>
    <w:rsid w:val="00123AC2"/>
    <w:rsid w:val="00123ADE"/>
    <w:rsid w:val="00124096"/>
    <w:rsid w:val="00124227"/>
    <w:rsid w:val="0012432B"/>
    <w:rsid w:val="001244DA"/>
    <w:rsid w:val="00124A7A"/>
    <w:rsid w:val="00124B0B"/>
    <w:rsid w:val="00125BE7"/>
    <w:rsid w:val="0012607E"/>
    <w:rsid w:val="001261C3"/>
    <w:rsid w:val="0012628D"/>
    <w:rsid w:val="00126845"/>
    <w:rsid w:val="00126871"/>
    <w:rsid w:val="0012687F"/>
    <w:rsid w:val="001268BC"/>
    <w:rsid w:val="00126A1F"/>
    <w:rsid w:val="00126FD5"/>
    <w:rsid w:val="00127B7F"/>
    <w:rsid w:val="00127DFC"/>
    <w:rsid w:val="00127F71"/>
    <w:rsid w:val="0013016F"/>
    <w:rsid w:val="001301AA"/>
    <w:rsid w:val="001301D4"/>
    <w:rsid w:val="00130382"/>
    <w:rsid w:val="00130639"/>
    <w:rsid w:val="00130851"/>
    <w:rsid w:val="00130D0B"/>
    <w:rsid w:val="001310EA"/>
    <w:rsid w:val="00131718"/>
    <w:rsid w:val="00131790"/>
    <w:rsid w:val="00131896"/>
    <w:rsid w:val="00131EC3"/>
    <w:rsid w:val="001322BA"/>
    <w:rsid w:val="00132E8F"/>
    <w:rsid w:val="001331A3"/>
    <w:rsid w:val="0013363F"/>
    <w:rsid w:val="00133D50"/>
    <w:rsid w:val="00133D6F"/>
    <w:rsid w:val="00133E37"/>
    <w:rsid w:val="00133E88"/>
    <w:rsid w:val="00133FC8"/>
    <w:rsid w:val="00134434"/>
    <w:rsid w:val="00134AED"/>
    <w:rsid w:val="00134BAE"/>
    <w:rsid w:val="00134F95"/>
    <w:rsid w:val="00135442"/>
    <w:rsid w:val="00135849"/>
    <w:rsid w:val="001358E1"/>
    <w:rsid w:val="00135D4E"/>
    <w:rsid w:val="00136212"/>
    <w:rsid w:val="00136783"/>
    <w:rsid w:val="001368AC"/>
    <w:rsid w:val="00136F7A"/>
    <w:rsid w:val="0013722E"/>
    <w:rsid w:val="00137725"/>
    <w:rsid w:val="00137CFF"/>
    <w:rsid w:val="00137FAB"/>
    <w:rsid w:val="00140016"/>
    <w:rsid w:val="00140300"/>
    <w:rsid w:val="00140788"/>
    <w:rsid w:val="00140E1C"/>
    <w:rsid w:val="001414A4"/>
    <w:rsid w:val="00141B81"/>
    <w:rsid w:val="00142036"/>
    <w:rsid w:val="00142255"/>
    <w:rsid w:val="00142EEA"/>
    <w:rsid w:val="00143268"/>
    <w:rsid w:val="00143315"/>
    <w:rsid w:val="001436E1"/>
    <w:rsid w:val="00143837"/>
    <w:rsid w:val="00143BD0"/>
    <w:rsid w:val="00143C1A"/>
    <w:rsid w:val="0014444B"/>
    <w:rsid w:val="001444E7"/>
    <w:rsid w:val="001447DB"/>
    <w:rsid w:val="001449A0"/>
    <w:rsid w:val="00144B65"/>
    <w:rsid w:val="00144C88"/>
    <w:rsid w:val="00144D33"/>
    <w:rsid w:val="001452D9"/>
    <w:rsid w:val="001455E9"/>
    <w:rsid w:val="0014584B"/>
    <w:rsid w:val="00145888"/>
    <w:rsid w:val="0014589C"/>
    <w:rsid w:val="00145BF0"/>
    <w:rsid w:val="00145F7E"/>
    <w:rsid w:val="00146305"/>
    <w:rsid w:val="001466C2"/>
    <w:rsid w:val="001472BF"/>
    <w:rsid w:val="001472C9"/>
    <w:rsid w:val="00147330"/>
    <w:rsid w:val="00147BE9"/>
    <w:rsid w:val="00151097"/>
    <w:rsid w:val="00151E07"/>
    <w:rsid w:val="00152029"/>
    <w:rsid w:val="0015206C"/>
    <w:rsid w:val="00152C35"/>
    <w:rsid w:val="00152E1E"/>
    <w:rsid w:val="001531FC"/>
    <w:rsid w:val="00153458"/>
    <w:rsid w:val="0015358E"/>
    <w:rsid w:val="0015388E"/>
    <w:rsid w:val="00153922"/>
    <w:rsid w:val="00153A40"/>
    <w:rsid w:val="00153A46"/>
    <w:rsid w:val="00153A90"/>
    <w:rsid w:val="00153A9E"/>
    <w:rsid w:val="00153DBA"/>
    <w:rsid w:val="00153F60"/>
    <w:rsid w:val="00154049"/>
    <w:rsid w:val="0015411B"/>
    <w:rsid w:val="0015429B"/>
    <w:rsid w:val="001543F9"/>
    <w:rsid w:val="00154E0D"/>
    <w:rsid w:val="00155C63"/>
    <w:rsid w:val="00155E17"/>
    <w:rsid w:val="00155EB1"/>
    <w:rsid w:val="00155F3E"/>
    <w:rsid w:val="001565A2"/>
    <w:rsid w:val="00156739"/>
    <w:rsid w:val="0015682E"/>
    <w:rsid w:val="0015778E"/>
    <w:rsid w:val="001579F2"/>
    <w:rsid w:val="001579F9"/>
    <w:rsid w:val="001600E9"/>
    <w:rsid w:val="00160700"/>
    <w:rsid w:val="00160F29"/>
    <w:rsid w:val="00160FEC"/>
    <w:rsid w:val="00161015"/>
    <w:rsid w:val="00161028"/>
    <w:rsid w:val="001610E5"/>
    <w:rsid w:val="001617FB"/>
    <w:rsid w:val="00161BC8"/>
    <w:rsid w:val="00161FD2"/>
    <w:rsid w:val="001622C5"/>
    <w:rsid w:val="001623FF"/>
    <w:rsid w:val="001627F7"/>
    <w:rsid w:val="00162896"/>
    <w:rsid w:val="00162922"/>
    <w:rsid w:val="00162AB6"/>
    <w:rsid w:val="00162BB6"/>
    <w:rsid w:val="0016313A"/>
    <w:rsid w:val="00163182"/>
    <w:rsid w:val="001632AD"/>
    <w:rsid w:val="00163936"/>
    <w:rsid w:val="00163982"/>
    <w:rsid w:val="00163D22"/>
    <w:rsid w:val="00164375"/>
    <w:rsid w:val="001644DE"/>
    <w:rsid w:val="0016478D"/>
    <w:rsid w:val="001648B5"/>
    <w:rsid w:val="00165130"/>
    <w:rsid w:val="00165322"/>
    <w:rsid w:val="0016563A"/>
    <w:rsid w:val="00165788"/>
    <w:rsid w:val="001657C9"/>
    <w:rsid w:val="0016586E"/>
    <w:rsid w:val="001658B3"/>
    <w:rsid w:val="00165AF3"/>
    <w:rsid w:val="0016622E"/>
    <w:rsid w:val="001663F5"/>
    <w:rsid w:val="00166403"/>
    <w:rsid w:val="00166928"/>
    <w:rsid w:val="00166CA4"/>
    <w:rsid w:val="00166CF1"/>
    <w:rsid w:val="00166D96"/>
    <w:rsid w:val="0016705D"/>
    <w:rsid w:val="001673CE"/>
    <w:rsid w:val="001677EE"/>
    <w:rsid w:val="00167B63"/>
    <w:rsid w:val="0017073F"/>
    <w:rsid w:val="001708DF"/>
    <w:rsid w:val="00170A8B"/>
    <w:rsid w:val="00170CE7"/>
    <w:rsid w:val="0017121A"/>
    <w:rsid w:val="0017133D"/>
    <w:rsid w:val="001714F3"/>
    <w:rsid w:val="00171768"/>
    <w:rsid w:val="00171946"/>
    <w:rsid w:val="00171B58"/>
    <w:rsid w:val="00172279"/>
    <w:rsid w:val="001722E7"/>
    <w:rsid w:val="0017238C"/>
    <w:rsid w:val="001724ED"/>
    <w:rsid w:val="0017295E"/>
    <w:rsid w:val="00172C8E"/>
    <w:rsid w:val="00173625"/>
    <w:rsid w:val="00173A02"/>
    <w:rsid w:val="001741A7"/>
    <w:rsid w:val="00174842"/>
    <w:rsid w:val="00174878"/>
    <w:rsid w:val="001752A8"/>
    <w:rsid w:val="00175398"/>
    <w:rsid w:val="0017582F"/>
    <w:rsid w:val="001758BA"/>
    <w:rsid w:val="00175A9C"/>
    <w:rsid w:val="00175C6B"/>
    <w:rsid w:val="001761CD"/>
    <w:rsid w:val="00176306"/>
    <w:rsid w:val="00176309"/>
    <w:rsid w:val="00176AF8"/>
    <w:rsid w:val="00176FAF"/>
    <w:rsid w:val="00177039"/>
    <w:rsid w:val="0017721D"/>
    <w:rsid w:val="00177ECD"/>
    <w:rsid w:val="00180071"/>
    <w:rsid w:val="001803EF"/>
    <w:rsid w:val="00180793"/>
    <w:rsid w:val="00180900"/>
    <w:rsid w:val="00180BE2"/>
    <w:rsid w:val="00180CDE"/>
    <w:rsid w:val="00180FA1"/>
    <w:rsid w:val="00181157"/>
    <w:rsid w:val="00181318"/>
    <w:rsid w:val="00181906"/>
    <w:rsid w:val="00181C70"/>
    <w:rsid w:val="00181FF6"/>
    <w:rsid w:val="00182528"/>
    <w:rsid w:val="00182A32"/>
    <w:rsid w:val="00182BF3"/>
    <w:rsid w:val="0018300C"/>
    <w:rsid w:val="001833CF"/>
    <w:rsid w:val="001837FB"/>
    <w:rsid w:val="00183F22"/>
    <w:rsid w:val="001841D8"/>
    <w:rsid w:val="0018429B"/>
    <w:rsid w:val="0018435F"/>
    <w:rsid w:val="001845D2"/>
    <w:rsid w:val="0018493A"/>
    <w:rsid w:val="00184DDC"/>
    <w:rsid w:val="001850B5"/>
    <w:rsid w:val="00185191"/>
    <w:rsid w:val="001856C0"/>
    <w:rsid w:val="001858DC"/>
    <w:rsid w:val="0018593C"/>
    <w:rsid w:val="00185E3B"/>
    <w:rsid w:val="00185ED4"/>
    <w:rsid w:val="00186345"/>
    <w:rsid w:val="00186E9F"/>
    <w:rsid w:val="001871E3"/>
    <w:rsid w:val="0018735C"/>
    <w:rsid w:val="001879FF"/>
    <w:rsid w:val="00187B8D"/>
    <w:rsid w:val="00187F05"/>
    <w:rsid w:val="001903D2"/>
    <w:rsid w:val="001904A8"/>
    <w:rsid w:val="00190879"/>
    <w:rsid w:val="00191059"/>
    <w:rsid w:val="001911BD"/>
    <w:rsid w:val="001911BE"/>
    <w:rsid w:val="00191331"/>
    <w:rsid w:val="0019166D"/>
    <w:rsid w:val="0019178B"/>
    <w:rsid w:val="00192119"/>
    <w:rsid w:val="0019253D"/>
    <w:rsid w:val="00192682"/>
    <w:rsid w:val="001927F1"/>
    <w:rsid w:val="00192849"/>
    <w:rsid w:val="00192A10"/>
    <w:rsid w:val="00193C8B"/>
    <w:rsid w:val="00194940"/>
    <w:rsid w:val="0019498F"/>
    <w:rsid w:val="00194AED"/>
    <w:rsid w:val="00194F7E"/>
    <w:rsid w:val="00195017"/>
    <w:rsid w:val="00195075"/>
    <w:rsid w:val="00195248"/>
    <w:rsid w:val="001957BF"/>
    <w:rsid w:val="00195B38"/>
    <w:rsid w:val="00195E1B"/>
    <w:rsid w:val="001964DF"/>
    <w:rsid w:val="001969BD"/>
    <w:rsid w:val="00196DEE"/>
    <w:rsid w:val="001970DE"/>
    <w:rsid w:val="00197169"/>
    <w:rsid w:val="00197549"/>
    <w:rsid w:val="00197BF6"/>
    <w:rsid w:val="00197EE0"/>
    <w:rsid w:val="001A0017"/>
    <w:rsid w:val="001A08C5"/>
    <w:rsid w:val="001A0C82"/>
    <w:rsid w:val="001A0D77"/>
    <w:rsid w:val="001A0E52"/>
    <w:rsid w:val="001A196A"/>
    <w:rsid w:val="001A1BF0"/>
    <w:rsid w:val="001A1D42"/>
    <w:rsid w:val="001A1D95"/>
    <w:rsid w:val="001A205F"/>
    <w:rsid w:val="001A2565"/>
    <w:rsid w:val="001A26DE"/>
    <w:rsid w:val="001A28BA"/>
    <w:rsid w:val="001A2976"/>
    <w:rsid w:val="001A2D40"/>
    <w:rsid w:val="001A2F27"/>
    <w:rsid w:val="001A335E"/>
    <w:rsid w:val="001A377C"/>
    <w:rsid w:val="001A37A2"/>
    <w:rsid w:val="001A3E01"/>
    <w:rsid w:val="001A48D4"/>
    <w:rsid w:val="001A4CE3"/>
    <w:rsid w:val="001A520F"/>
    <w:rsid w:val="001A579C"/>
    <w:rsid w:val="001A5C98"/>
    <w:rsid w:val="001A6686"/>
    <w:rsid w:val="001A6B47"/>
    <w:rsid w:val="001A6B54"/>
    <w:rsid w:val="001A734B"/>
    <w:rsid w:val="001A74CD"/>
    <w:rsid w:val="001A7538"/>
    <w:rsid w:val="001A7634"/>
    <w:rsid w:val="001A76BF"/>
    <w:rsid w:val="001A78EA"/>
    <w:rsid w:val="001A7CE7"/>
    <w:rsid w:val="001B0348"/>
    <w:rsid w:val="001B0747"/>
    <w:rsid w:val="001B07E7"/>
    <w:rsid w:val="001B0944"/>
    <w:rsid w:val="001B0C21"/>
    <w:rsid w:val="001B111C"/>
    <w:rsid w:val="001B11BD"/>
    <w:rsid w:val="001B13AF"/>
    <w:rsid w:val="001B1762"/>
    <w:rsid w:val="001B17AC"/>
    <w:rsid w:val="001B1910"/>
    <w:rsid w:val="001B1C47"/>
    <w:rsid w:val="001B1C77"/>
    <w:rsid w:val="001B2056"/>
    <w:rsid w:val="001B2313"/>
    <w:rsid w:val="001B2700"/>
    <w:rsid w:val="001B282D"/>
    <w:rsid w:val="001B3231"/>
    <w:rsid w:val="001B3293"/>
    <w:rsid w:val="001B32EF"/>
    <w:rsid w:val="001B34C0"/>
    <w:rsid w:val="001B34D9"/>
    <w:rsid w:val="001B36DE"/>
    <w:rsid w:val="001B37B7"/>
    <w:rsid w:val="001B46A0"/>
    <w:rsid w:val="001B4962"/>
    <w:rsid w:val="001B49CA"/>
    <w:rsid w:val="001B4CC3"/>
    <w:rsid w:val="001B4E1A"/>
    <w:rsid w:val="001B55B0"/>
    <w:rsid w:val="001B55E8"/>
    <w:rsid w:val="001B588D"/>
    <w:rsid w:val="001B5A3F"/>
    <w:rsid w:val="001B5B28"/>
    <w:rsid w:val="001B5C6F"/>
    <w:rsid w:val="001B5E08"/>
    <w:rsid w:val="001B5F26"/>
    <w:rsid w:val="001B5F91"/>
    <w:rsid w:val="001B62D7"/>
    <w:rsid w:val="001B6653"/>
    <w:rsid w:val="001B6C4B"/>
    <w:rsid w:val="001B6D39"/>
    <w:rsid w:val="001B6EC5"/>
    <w:rsid w:val="001B7640"/>
    <w:rsid w:val="001B7667"/>
    <w:rsid w:val="001B79F2"/>
    <w:rsid w:val="001B7CF0"/>
    <w:rsid w:val="001B7E09"/>
    <w:rsid w:val="001B7FF4"/>
    <w:rsid w:val="001C005C"/>
    <w:rsid w:val="001C0336"/>
    <w:rsid w:val="001C0559"/>
    <w:rsid w:val="001C0A9A"/>
    <w:rsid w:val="001C0BD8"/>
    <w:rsid w:val="001C0C0E"/>
    <w:rsid w:val="001C1CBF"/>
    <w:rsid w:val="001C1DF9"/>
    <w:rsid w:val="001C23FD"/>
    <w:rsid w:val="001C2DBA"/>
    <w:rsid w:val="001C3147"/>
    <w:rsid w:val="001C341C"/>
    <w:rsid w:val="001C3761"/>
    <w:rsid w:val="001C3B05"/>
    <w:rsid w:val="001C3DB0"/>
    <w:rsid w:val="001C3DF2"/>
    <w:rsid w:val="001C45E8"/>
    <w:rsid w:val="001C468B"/>
    <w:rsid w:val="001C482A"/>
    <w:rsid w:val="001C4BB9"/>
    <w:rsid w:val="001C5C6F"/>
    <w:rsid w:val="001C616C"/>
    <w:rsid w:val="001C62D1"/>
    <w:rsid w:val="001C6619"/>
    <w:rsid w:val="001C68AC"/>
    <w:rsid w:val="001C6BAC"/>
    <w:rsid w:val="001C6D63"/>
    <w:rsid w:val="001C7603"/>
    <w:rsid w:val="001C77C9"/>
    <w:rsid w:val="001C7835"/>
    <w:rsid w:val="001C7978"/>
    <w:rsid w:val="001C79E2"/>
    <w:rsid w:val="001C7B61"/>
    <w:rsid w:val="001C7C69"/>
    <w:rsid w:val="001D00DC"/>
    <w:rsid w:val="001D0581"/>
    <w:rsid w:val="001D16A6"/>
    <w:rsid w:val="001D1814"/>
    <w:rsid w:val="001D1AFD"/>
    <w:rsid w:val="001D1B9C"/>
    <w:rsid w:val="001D26EF"/>
    <w:rsid w:val="001D2751"/>
    <w:rsid w:val="001D2B44"/>
    <w:rsid w:val="001D303C"/>
    <w:rsid w:val="001D3065"/>
    <w:rsid w:val="001D4050"/>
    <w:rsid w:val="001D4411"/>
    <w:rsid w:val="001D46E6"/>
    <w:rsid w:val="001D4716"/>
    <w:rsid w:val="001D4788"/>
    <w:rsid w:val="001D483E"/>
    <w:rsid w:val="001D4B4D"/>
    <w:rsid w:val="001D4E60"/>
    <w:rsid w:val="001D547F"/>
    <w:rsid w:val="001D5599"/>
    <w:rsid w:val="001D58AC"/>
    <w:rsid w:val="001D5BFA"/>
    <w:rsid w:val="001D5C5F"/>
    <w:rsid w:val="001D6076"/>
    <w:rsid w:val="001D60D3"/>
    <w:rsid w:val="001D669E"/>
    <w:rsid w:val="001D6C22"/>
    <w:rsid w:val="001D6E57"/>
    <w:rsid w:val="001D70FD"/>
    <w:rsid w:val="001D78C9"/>
    <w:rsid w:val="001D7B2F"/>
    <w:rsid w:val="001D7B5E"/>
    <w:rsid w:val="001D7D9B"/>
    <w:rsid w:val="001D7EE7"/>
    <w:rsid w:val="001E024C"/>
    <w:rsid w:val="001E072E"/>
    <w:rsid w:val="001E0890"/>
    <w:rsid w:val="001E0A4A"/>
    <w:rsid w:val="001E1690"/>
    <w:rsid w:val="001E2084"/>
    <w:rsid w:val="001E21C9"/>
    <w:rsid w:val="001E2211"/>
    <w:rsid w:val="001E2760"/>
    <w:rsid w:val="001E296B"/>
    <w:rsid w:val="001E2A8E"/>
    <w:rsid w:val="001E2ADF"/>
    <w:rsid w:val="001E30E3"/>
    <w:rsid w:val="001E30EF"/>
    <w:rsid w:val="001E3200"/>
    <w:rsid w:val="001E3465"/>
    <w:rsid w:val="001E3887"/>
    <w:rsid w:val="001E3E15"/>
    <w:rsid w:val="001E4A80"/>
    <w:rsid w:val="001E51D2"/>
    <w:rsid w:val="001E5753"/>
    <w:rsid w:val="001E576E"/>
    <w:rsid w:val="001E5AF2"/>
    <w:rsid w:val="001E605D"/>
    <w:rsid w:val="001E630F"/>
    <w:rsid w:val="001E6583"/>
    <w:rsid w:val="001E6A08"/>
    <w:rsid w:val="001E6C98"/>
    <w:rsid w:val="001E6D3B"/>
    <w:rsid w:val="001E6F44"/>
    <w:rsid w:val="001E6FE5"/>
    <w:rsid w:val="001E700C"/>
    <w:rsid w:val="001E727F"/>
    <w:rsid w:val="001E7455"/>
    <w:rsid w:val="001E7B34"/>
    <w:rsid w:val="001F08BD"/>
    <w:rsid w:val="001F0A0B"/>
    <w:rsid w:val="001F0A9D"/>
    <w:rsid w:val="001F0CEC"/>
    <w:rsid w:val="001F0D7E"/>
    <w:rsid w:val="001F13C1"/>
    <w:rsid w:val="001F15E0"/>
    <w:rsid w:val="001F1677"/>
    <w:rsid w:val="001F1E5B"/>
    <w:rsid w:val="001F1E7C"/>
    <w:rsid w:val="001F1E9A"/>
    <w:rsid w:val="001F1FB9"/>
    <w:rsid w:val="001F206B"/>
    <w:rsid w:val="001F23B0"/>
    <w:rsid w:val="001F24B3"/>
    <w:rsid w:val="001F2739"/>
    <w:rsid w:val="001F2CB0"/>
    <w:rsid w:val="001F341C"/>
    <w:rsid w:val="001F3735"/>
    <w:rsid w:val="001F3C53"/>
    <w:rsid w:val="001F3CBC"/>
    <w:rsid w:val="001F3EA0"/>
    <w:rsid w:val="001F42D2"/>
    <w:rsid w:val="001F43DE"/>
    <w:rsid w:val="001F43E6"/>
    <w:rsid w:val="001F446D"/>
    <w:rsid w:val="001F4550"/>
    <w:rsid w:val="001F4637"/>
    <w:rsid w:val="001F4734"/>
    <w:rsid w:val="001F49C1"/>
    <w:rsid w:val="001F5104"/>
    <w:rsid w:val="001F544A"/>
    <w:rsid w:val="001F5728"/>
    <w:rsid w:val="001F5C4D"/>
    <w:rsid w:val="001F5D7C"/>
    <w:rsid w:val="001F62E8"/>
    <w:rsid w:val="001F6A9E"/>
    <w:rsid w:val="001F6B0A"/>
    <w:rsid w:val="001F724E"/>
    <w:rsid w:val="001F734E"/>
    <w:rsid w:val="001F7AFF"/>
    <w:rsid w:val="001F7BC7"/>
    <w:rsid w:val="00200EA8"/>
    <w:rsid w:val="00201170"/>
    <w:rsid w:val="00201320"/>
    <w:rsid w:val="00201CF4"/>
    <w:rsid w:val="00201FF6"/>
    <w:rsid w:val="0020204A"/>
    <w:rsid w:val="00202410"/>
    <w:rsid w:val="00202857"/>
    <w:rsid w:val="00202C4A"/>
    <w:rsid w:val="00202D01"/>
    <w:rsid w:val="00202D88"/>
    <w:rsid w:val="00203860"/>
    <w:rsid w:val="00203974"/>
    <w:rsid w:val="00203BDC"/>
    <w:rsid w:val="00203E95"/>
    <w:rsid w:val="002045DF"/>
    <w:rsid w:val="00204635"/>
    <w:rsid w:val="002046A2"/>
    <w:rsid w:val="00204737"/>
    <w:rsid w:val="00204C3C"/>
    <w:rsid w:val="00204F83"/>
    <w:rsid w:val="0020509B"/>
    <w:rsid w:val="002057AC"/>
    <w:rsid w:val="00205ACB"/>
    <w:rsid w:val="002061F5"/>
    <w:rsid w:val="002069AE"/>
    <w:rsid w:val="00206D79"/>
    <w:rsid w:val="00206D88"/>
    <w:rsid w:val="00206E7C"/>
    <w:rsid w:val="00206FA9"/>
    <w:rsid w:val="0020785F"/>
    <w:rsid w:val="00207BA4"/>
    <w:rsid w:val="00210204"/>
    <w:rsid w:val="00210615"/>
    <w:rsid w:val="00210710"/>
    <w:rsid w:val="00210977"/>
    <w:rsid w:val="00210B48"/>
    <w:rsid w:val="00210CC8"/>
    <w:rsid w:val="00210D57"/>
    <w:rsid w:val="0021118B"/>
    <w:rsid w:val="002112EC"/>
    <w:rsid w:val="002121B4"/>
    <w:rsid w:val="00212446"/>
    <w:rsid w:val="0021283F"/>
    <w:rsid w:val="00212A6D"/>
    <w:rsid w:val="00212ADC"/>
    <w:rsid w:val="00212E59"/>
    <w:rsid w:val="0021308A"/>
    <w:rsid w:val="0021316F"/>
    <w:rsid w:val="00213406"/>
    <w:rsid w:val="0021379C"/>
    <w:rsid w:val="002139AC"/>
    <w:rsid w:val="00213B55"/>
    <w:rsid w:val="00213C96"/>
    <w:rsid w:val="00213CD4"/>
    <w:rsid w:val="002141D1"/>
    <w:rsid w:val="0021450E"/>
    <w:rsid w:val="00214516"/>
    <w:rsid w:val="00214E3E"/>
    <w:rsid w:val="00214F44"/>
    <w:rsid w:val="00215559"/>
    <w:rsid w:val="00215990"/>
    <w:rsid w:val="00215AB1"/>
    <w:rsid w:val="00215F16"/>
    <w:rsid w:val="00215F73"/>
    <w:rsid w:val="00216355"/>
    <w:rsid w:val="0021681E"/>
    <w:rsid w:val="00216A30"/>
    <w:rsid w:val="00216E2C"/>
    <w:rsid w:val="00216E5F"/>
    <w:rsid w:val="00217151"/>
    <w:rsid w:val="00217157"/>
    <w:rsid w:val="002176DD"/>
    <w:rsid w:val="00217E98"/>
    <w:rsid w:val="00217F56"/>
    <w:rsid w:val="00217F75"/>
    <w:rsid w:val="002200A2"/>
    <w:rsid w:val="002202A3"/>
    <w:rsid w:val="0022078F"/>
    <w:rsid w:val="002207B9"/>
    <w:rsid w:val="00220995"/>
    <w:rsid w:val="00220CB5"/>
    <w:rsid w:val="0022112D"/>
    <w:rsid w:val="0022142C"/>
    <w:rsid w:val="002214F2"/>
    <w:rsid w:val="0022158D"/>
    <w:rsid w:val="00221800"/>
    <w:rsid w:val="00221AB7"/>
    <w:rsid w:val="00221B5C"/>
    <w:rsid w:val="002223BC"/>
    <w:rsid w:val="002224F0"/>
    <w:rsid w:val="00222E72"/>
    <w:rsid w:val="00222E82"/>
    <w:rsid w:val="00223208"/>
    <w:rsid w:val="00223435"/>
    <w:rsid w:val="00223524"/>
    <w:rsid w:val="00223772"/>
    <w:rsid w:val="00223956"/>
    <w:rsid w:val="00223D85"/>
    <w:rsid w:val="00223E0C"/>
    <w:rsid w:val="00224523"/>
    <w:rsid w:val="00224A11"/>
    <w:rsid w:val="00225290"/>
    <w:rsid w:val="00225859"/>
    <w:rsid w:val="002258B1"/>
    <w:rsid w:val="00225A22"/>
    <w:rsid w:val="00225EEC"/>
    <w:rsid w:val="0022606E"/>
    <w:rsid w:val="002260E3"/>
    <w:rsid w:val="002263BD"/>
    <w:rsid w:val="0022691F"/>
    <w:rsid w:val="00226950"/>
    <w:rsid w:val="00226C25"/>
    <w:rsid w:val="00227712"/>
    <w:rsid w:val="00227B4A"/>
    <w:rsid w:val="00227C8C"/>
    <w:rsid w:val="00227CEA"/>
    <w:rsid w:val="0023012F"/>
    <w:rsid w:val="002304C6"/>
    <w:rsid w:val="00230769"/>
    <w:rsid w:val="00230832"/>
    <w:rsid w:val="00230834"/>
    <w:rsid w:val="002309F7"/>
    <w:rsid w:val="00230C89"/>
    <w:rsid w:val="00230D97"/>
    <w:rsid w:val="00230DC8"/>
    <w:rsid w:val="002319A0"/>
    <w:rsid w:val="00231ECC"/>
    <w:rsid w:val="00232348"/>
    <w:rsid w:val="00232414"/>
    <w:rsid w:val="00232667"/>
    <w:rsid w:val="00232CB7"/>
    <w:rsid w:val="00232D46"/>
    <w:rsid w:val="00232E1C"/>
    <w:rsid w:val="00233078"/>
    <w:rsid w:val="002332B5"/>
    <w:rsid w:val="00233F82"/>
    <w:rsid w:val="0023454F"/>
    <w:rsid w:val="00234641"/>
    <w:rsid w:val="002347D1"/>
    <w:rsid w:val="002347E5"/>
    <w:rsid w:val="00234820"/>
    <w:rsid w:val="00234EE9"/>
    <w:rsid w:val="00235343"/>
    <w:rsid w:val="002356B2"/>
    <w:rsid w:val="00235922"/>
    <w:rsid w:val="00235A81"/>
    <w:rsid w:val="0023636D"/>
    <w:rsid w:val="00236592"/>
    <w:rsid w:val="00236982"/>
    <w:rsid w:val="00236BC2"/>
    <w:rsid w:val="00236E49"/>
    <w:rsid w:val="0023766A"/>
    <w:rsid w:val="002377A0"/>
    <w:rsid w:val="00240150"/>
    <w:rsid w:val="0024199C"/>
    <w:rsid w:val="002422FA"/>
    <w:rsid w:val="0024271B"/>
    <w:rsid w:val="00242EA0"/>
    <w:rsid w:val="0024301D"/>
    <w:rsid w:val="00243033"/>
    <w:rsid w:val="002433F4"/>
    <w:rsid w:val="002433FC"/>
    <w:rsid w:val="00243F38"/>
    <w:rsid w:val="002445B8"/>
    <w:rsid w:val="002448CC"/>
    <w:rsid w:val="00244D90"/>
    <w:rsid w:val="00244FBA"/>
    <w:rsid w:val="002450AE"/>
    <w:rsid w:val="00245132"/>
    <w:rsid w:val="002457DE"/>
    <w:rsid w:val="00245CBD"/>
    <w:rsid w:val="00245CC7"/>
    <w:rsid w:val="00245E7F"/>
    <w:rsid w:val="002460FB"/>
    <w:rsid w:val="002463B6"/>
    <w:rsid w:val="00246435"/>
    <w:rsid w:val="002466CD"/>
    <w:rsid w:val="00246791"/>
    <w:rsid w:val="00246BCF"/>
    <w:rsid w:val="00246C34"/>
    <w:rsid w:val="00246DCC"/>
    <w:rsid w:val="00246F65"/>
    <w:rsid w:val="0024731E"/>
    <w:rsid w:val="002476CF"/>
    <w:rsid w:val="0024799F"/>
    <w:rsid w:val="00250998"/>
    <w:rsid w:val="00250A6E"/>
    <w:rsid w:val="00250CA8"/>
    <w:rsid w:val="00250FE3"/>
    <w:rsid w:val="00251159"/>
    <w:rsid w:val="00251245"/>
    <w:rsid w:val="0025129C"/>
    <w:rsid w:val="00251535"/>
    <w:rsid w:val="00251785"/>
    <w:rsid w:val="0025186A"/>
    <w:rsid w:val="00251A77"/>
    <w:rsid w:val="00251CA2"/>
    <w:rsid w:val="002523AA"/>
    <w:rsid w:val="00252686"/>
    <w:rsid w:val="0025294D"/>
    <w:rsid w:val="00252A4E"/>
    <w:rsid w:val="00252C05"/>
    <w:rsid w:val="00252C2E"/>
    <w:rsid w:val="00252FCA"/>
    <w:rsid w:val="00253056"/>
    <w:rsid w:val="00253070"/>
    <w:rsid w:val="002530DC"/>
    <w:rsid w:val="002536A9"/>
    <w:rsid w:val="00253788"/>
    <w:rsid w:val="002539B7"/>
    <w:rsid w:val="00253A8D"/>
    <w:rsid w:val="00253FD1"/>
    <w:rsid w:val="002546A6"/>
    <w:rsid w:val="0025484C"/>
    <w:rsid w:val="00255070"/>
    <w:rsid w:val="0025515D"/>
    <w:rsid w:val="002555FC"/>
    <w:rsid w:val="00255751"/>
    <w:rsid w:val="00255832"/>
    <w:rsid w:val="00255BBE"/>
    <w:rsid w:val="00255F2E"/>
    <w:rsid w:val="0025609A"/>
    <w:rsid w:val="002566A8"/>
    <w:rsid w:val="00257180"/>
    <w:rsid w:val="002572A7"/>
    <w:rsid w:val="002573AE"/>
    <w:rsid w:val="00257592"/>
    <w:rsid w:val="00257E3C"/>
    <w:rsid w:val="00257F86"/>
    <w:rsid w:val="0026003C"/>
    <w:rsid w:val="00260165"/>
    <w:rsid w:val="002601BB"/>
    <w:rsid w:val="002603FD"/>
    <w:rsid w:val="00260A99"/>
    <w:rsid w:val="00260AB5"/>
    <w:rsid w:val="00260D5D"/>
    <w:rsid w:val="002617A4"/>
    <w:rsid w:val="00261E4D"/>
    <w:rsid w:val="002638E4"/>
    <w:rsid w:val="00263A3A"/>
    <w:rsid w:val="002645E6"/>
    <w:rsid w:val="0026479E"/>
    <w:rsid w:val="00264AF7"/>
    <w:rsid w:val="00265122"/>
    <w:rsid w:val="00265336"/>
    <w:rsid w:val="00265918"/>
    <w:rsid w:val="00265B90"/>
    <w:rsid w:val="00265CC2"/>
    <w:rsid w:val="00265DBF"/>
    <w:rsid w:val="002660D0"/>
    <w:rsid w:val="00266111"/>
    <w:rsid w:val="0026633C"/>
    <w:rsid w:val="00266475"/>
    <w:rsid w:val="00266540"/>
    <w:rsid w:val="00266F6B"/>
    <w:rsid w:val="00267023"/>
    <w:rsid w:val="00267511"/>
    <w:rsid w:val="00267696"/>
    <w:rsid w:val="002676B6"/>
    <w:rsid w:val="002679D8"/>
    <w:rsid w:val="00267B9B"/>
    <w:rsid w:val="00267C1B"/>
    <w:rsid w:val="00267C5A"/>
    <w:rsid w:val="00270474"/>
    <w:rsid w:val="0027075F"/>
    <w:rsid w:val="00270760"/>
    <w:rsid w:val="00270834"/>
    <w:rsid w:val="002709EE"/>
    <w:rsid w:val="00270CCC"/>
    <w:rsid w:val="002713B1"/>
    <w:rsid w:val="0027213E"/>
    <w:rsid w:val="0027241D"/>
    <w:rsid w:val="00273615"/>
    <w:rsid w:val="00273623"/>
    <w:rsid w:val="002738B0"/>
    <w:rsid w:val="00273C1C"/>
    <w:rsid w:val="00273E86"/>
    <w:rsid w:val="00274038"/>
    <w:rsid w:val="002743B3"/>
    <w:rsid w:val="00274640"/>
    <w:rsid w:val="002748A5"/>
    <w:rsid w:val="00274A02"/>
    <w:rsid w:val="00274FA5"/>
    <w:rsid w:val="00275218"/>
    <w:rsid w:val="002754B8"/>
    <w:rsid w:val="002756AF"/>
    <w:rsid w:val="00275D49"/>
    <w:rsid w:val="00275E29"/>
    <w:rsid w:val="00275FCF"/>
    <w:rsid w:val="00276CAF"/>
    <w:rsid w:val="00276EE4"/>
    <w:rsid w:val="002773B5"/>
    <w:rsid w:val="002779F5"/>
    <w:rsid w:val="00277A65"/>
    <w:rsid w:val="00277AD2"/>
    <w:rsid w:val="00277FFD"/>
    <w:rsid w:val="0028016B"/>
    <w:rsid w:val="00280771"/>
    <w:rsid w:val="00280940"/>
    <w:rsid w:val="00280969"/>
    <w:rsid w:val="00280CDB"/>
    <w:rsid w:val="002811B2"/>
    <w:rsid w:val="0028131C"/>
    <w:rsid w:val="00281343"/>
    <w:rsid w:val="002814E6"/>
    <w:rsid w:val="00281597"/>
    <w:rsid w:val="002815CB"/>
    <w:rsid w:val="00281633"/>
    <w:rsid w:val="00281A54"/>
    <w:rsid w:val="00281B43"/>
    <w:rsid w:val="00281CA1"/>
    <w:rsid w:val="00281F1F"/>
    <w:rsid w:val="00281FE7"/>
    <w:rsid w:val="002824C2"/>
    <w:rsid w:val="002826DB"/>
    <w:rsid w:val="0028293D"/>
    <w:rsid w:val="00282A34"/>
    <w:rsid w:val="00282AE5"/>
    <w:rsid w:val="002831FD"/>
    <w:rsid w:val="002832C9"/>
    <w:rsid w:val="0028377F"/>
    <w:rsid w:val="00283DD6"/>
    <w:rsid w:val="002841F7"/>
    <w:rsid w:val="002846E6"/>
    <w:rsid w:val="002846F6"/>
    <w:rsid w:val="00284B56"/>
    <w:rsid w:val="00284F0D"/>
    <w:rsid w:val="00284F2B"/>
    <w:rsid w:val="00285AD8"/>
    <w:rsid w:val="00285BB3"/>
    <w:rsid w:val="00285CDD"/>
    <w:rsid w:val="002860FA"/>
    <w:rsid w:val="00286758"/>
    <w:rsid w:val="00287114"/>
    <w:rsid w:val="00287575"/>
    <w:rsid w:val="002875B3"/>
    <w:rsid w:val="0028769D"/>
    <w:rsid w:val="00287E34"/>
    <w:rsid w:val="0029016F"/>
    <w:rsid w:val="0029028A"/>
    <w:rsid w:val="0029061D"/>
    <w:rsid w:val="0029067B"/>
    <w:rsid w:val="002907AB"/>
    <w:rsid w:val="002913EE"/>
    <w:rsid w:val="002917A0"/>
    <w:rsid w:val="00291F94"/>
    <w:rsid w:val="002924B5"/>
    <w:rsid w:val="0029285E"/>
    <w:rsid w:val="00292FF3"/>
    <w:rsid w:val="002933D3"/>
    <w:rsid w:val="0029363A"/>
    <w:rsid w:val="002936A6"/>
    <w:rsid w:val="002936B4"/>
    <w:rsid w:val="0029400C"/>
    <w:rsid w:val="002941FD"/>
    <w:rsid w:val="00294934"/>
    <w:rsid w:val="00294978"/>
    <w:rsid w:val="00294991"/>
    <w:rsid w:val="00294ACE"/>
    <w:rsid w:val="00294BF6"/>
    <w:rsid w:val="00294C7A"/>
    <w:rsid w:val="00294DEF"/>
    <w:rsid w:val="002951AC"/>
    <w:rsid w:val="002951E6"/>
    <w:rsid w:val="00295330"/>
    <w:rsid w:val="002955C3"/>
    <w:rsid w:val="00295895"/>
    <w:rsid w:val="00295FC6"/>
    <w:rsid w:val="002960A4"/>
    <w:rsid w:val="002961ED"/>
    <w:rsid w:val="0029626A"/>
    <w:rsid w:val="00296567"/>
    <w:rsid w:val="002967A8"/>
    <w:rsid w:val="00296C42"/>
    <w:rsid w:val="0029798C"/>
    <w:rsid w:val="002A0051"/>
    <w:rsid w:val="002A116E"/>
    <w:rsid w:val="002A13E1"/>
    <w:rsid w:val="002A1974"/>
    <w:rsid w:val="002A1FAF"/>
    <w:rsid w:val="002A2AAE"/>
    <w:rsid w:val="002A2FBA"/>
    <w:rsid w:val="002A3983"/>
    <w:rsid w:val="002A3AE3"/>
    <w:rsid w:val="002A3C76"/>
    <w:rsid w:val="002A3E14"/>
    <w:rsid w:val="002A3F6F"/>
    <w:rsid w:val="002A453E"/>
    <w:rsid w:val="002A4C04"/>
    <w:rsid w:val="002A4EAA"/>
    <w:rsid w:val="002A537E"/>
    <w:rsid w:val="002A542A"/>
    <w:rsid w:val="002A5910"/>
    <w:rsid w:val="002A5A44"/>
    <w:rsid w:val="002A5AD2"/>
    <w:rsid w:val="002A5AD8"/>
    <w:rsid w:val="002A5AE6"/>
    <w:rsid w:val="002A5DB7"/>
    <w:rsid w:val="002A612F"/>
    <w:rsid w:val="002A69E8"/>
    <w:rsid w:val="002A6BF1"/>
    <w:rsid w:val="002A6C6D"/>
    <w:rsid w:val="002A703A"/>
    <w:rsid w:val="002A7042"/>
    <w:rsid w:val="002A7081"/>
    <w:rsid w:val="002A7348"/>
    <w:rsid w:val="002A7866"/>
    <w:rsid w:val="002A7C24"/>
    <w:rsid w:val="002A7E29"/>
    <w:rsid w:val="002A7FF9"/>
    <w:rsid w:val="002B0391"/>
    <w:rsid w:val="002B0577"/>
    <w:rsid w:val="002B0D32"/>
    <w:rsid w:val="002B0FDE"/>
    <w:rsid w:val="002B1172"/>
    <w:rsid w:val="002B11D5"/>
    <w:rsid w:val="002B1248"/>
    <w:rsid w:val="002B143A"/>
    <w:rsid w:val="002B1C73"/>
    <w:rsid w:val="002B20AD"/>
    <w:rsid w:val="002B24E3"/>
    <w:rsid w:val="002B2639"/>
    <w:rsid w:val="002B29CD"/>
    <w:rsid w:val="002B2BD6"/>
    <w:rsid w:val="002B33FB"/>
    <w:rsid w:val="002B3724"/>
    <w:rsid w:val="002B3DF8"/>
    <w:rsid w:val="002B498F"/>
    <w:rsid w:val="002B5168"/>
    <w:rsid w:val="002B5405"/>
    <w:rsid w:val="002B559A"/>
    <w:rsid w:val="002B577B"/>
    <w:rsid w:val="002B582C"/>
    <w:rsid w:val="002B5E72"/>
    <w:rsid w:val="002B632F"/>
    <w:rsid w:val="002B645C"/>
    <w:rsid w:val="002B6A6C"/>
    <w:rsid w:val="002B77F7"/>
    <w:rsid w:val="002B797A"/>
    <w:rsid w:val="002C0AE9"/>
    <w:rsid w:val="002C105D"/>
    <w:rsid w:val="002C10BF"/>
    <w:rsid w:val="002C115C"/>
    <w:rsid w:val="002C160D"/>
    <w:rsid w:val="002C16FD"/>
    <w:rsid w:val="002C1D05"/>
    <w:rsid w:val="002C1D15"/>
    <w:rsid w:val="002C1D17"/>
    <w:rsid w:val="002C1EAA"/>
    <w:rsid w:val="002C2034"/>
    <w:rsid w:val="002C2190"/>
    <w:rsid w:val="002C21B1"/>
    <w:rsid w:val="002C2A60"/>
    <w:rsid w:val="002C2B04"/>
    <w:rsid w:val="002C2BEC"/>
    <w:rsid w:val="002C3C9C"/>
    <w:rsid w:val="002C3FA1"/>
    <w:rsid w:val="002C4932"/>
    <w:rsid w:val="002C49E5"/>
    <w:rsid w:val="002C4FF4"/>
    <w:rsid w:val="002C5347"/>
    <w:rsid w:val="002C5E19"/>
    <w:rsid w:val="002C6045"/>
    <w:rsid w:val="002C61A4"/>
    <w:rsid w:val="002C62D0"/>
    <w:rsid w:val="002C6722"/>
    <w:rsid w:val="002C67AC"/>
    <w:rsid w:val="002C6B9F"/>
    <w:rsid w:val="002C6C0E"/>
    <w:rsid w:val="002C6CF5"/>
    <w:rsid w:val="002C6FC9"/>
    <w:rsid w:val="002C726D"/>
    <w:rsid w:val="002C772C"/>
    <w:rsid w:val="002C7890"/>
    <w:rsid w:val="002C797E"/>
    <w:rsid w:val="002C7ABB"/>
    <w:rsid w:val="002C7C11"/>
    <w:rsid w:val="002D0336"/>
    <w:rsid w:val="002D05F6"/>
    <w:rsid w:val="002D08F6"/>
    <w:rsid w:val="002D0A3F"/>
    <w:rsid w:val="002D0C3D"/>
    <w:rsid w:val="002D1003"/>
    <w:rsid w:val="002D159E"/>
    <w:rsid w:val="002D1639"/>
    <w:rsid w:val="002D1D42"/>
    <w:rsid w:val="002D1DCC"/>
    <w:rsid w:val="002D23E8"/>
    <w:rsid w:val="002D28D8"/>
    <w:rsid w:val="002D2F2B"/>
    <w:rsid w:val="002D3449"/>
    <w:rsid w:val="002D363B"/>
    <w:rsid w:val="002D363F"/>
    <w:rsid w:val="002D3B05"/>
    <w:rsid w:val="002D3F05"/>
    <w:rsid w:val="002D3F4B"/>
    <w:rsid w:val="002D4152"/>
    <w:rsid w:val="002D4EFC"/>
    <w:rsid w:val="002D50CB"/>
    <w:rsid w:val="002D514B"/>
    <w:rsid w:val="002D564B"/>
    <w:rsid w:val="002D5706"/>
    <w:rsid w:val="002D58EE"/>
    <w:rsid w:val="002D592B"/>
    <w:rsid w:val="002D5B74"/>
    <w:rsid w:val="002D69FD"/>
    <w:rsid w:val="002D72D4"/>
    <w:rsid w:val="002D76FF"/>
    <w:rsid w:val="002D7809"/>
    <w:rsid w:val="002D7B4E"/>
    <w:rsid w:val="002D7FBE"/>
    <w:rsid w:val="002D7FD7"/>
    <w:rsid w:val="002D7FD8"/>
    <w:rsid w:val="002E006A"/>
    <w:rsid w:val="002E0455"/>
    <w:rsid w:val="002E0782"/>
    <w:rsid w:val="002E0D9E"/>
    <w:rsid w:val="002E121F"/>
    <w:rsid w:val="002E180D"/>
    <w:rsid w:val="002E193A"/>
    <w:rsid w:val="002E197C"/>
    <w:rsid w:val="002E1C18"/>
    <w:rsid w:val="002E1DED"/>
    <w:rsid w:val="002E1FB4"/>
    <w:rsid w:val="002E1FDC"/>
    <w:rsid w:val="002E22B7"/>
    <w:rsid w:val="002E2781"/>
    <w:rsid w:val="002E2A0C"/>
    <w:rsid w:val="002E2C96"/>
    <w:rsid w:val="002E31DC"/>
    <w:rsid w:val="002E3245"/>
    <w:rsid w:val="002E3815"/>
    <w:rsid w:val="002E3AD2"/>
    <w:rsid w:val="002E3F19"/>
    <w:rsid w:val="002E51B5"/>
    <w:rsid w:val="002E51D2"/>
    <w:rsid w:val="002E58CD"/>
    <w:rsid w:val="002E591E"/>
    <w:rsid w:val="002E6017"/>
    <w:rsid w:val="002E6263"/>
    <w:rsid w:val="002E6DB9"/>
    <w:rsid w:val="002E7198"/>
    <w:rsid w:val="002E7565"/>
    <w:rsid w:val="002E761D"/>
    <w:rsid w:val="002E7A0E"/>
    <w:rsid w:val="002E7E94"/>
    <w:rsid w:val="002E7EFA"/>
    <w:rsid w:val="002F033D"/>
    <w:rsid w:val="002F0C24"/>
    <w:rsid w:val="002F15AB"/>
    <w:rsid w:val="002F23A4"/>
    <w:rsid w:val="002F2FA7"/>
    <w:rsid w:val="002F3252"/>
    <w:rsid w:val="002F3CED"/>
    <w:rsid w:val="002F3DA8"/>
    <w:rsid w:val="002F40B0"/>
    <w:rsid w:val="002F42D2"/>
    <w:rsid w:val="002F44FF"/>
    <w:rsid w:val="002F4C4D"/>
    <w:rsid w:val="002F54D3"/>
    <w:rsid w:val="002F5697"/>
    <w:rsid w:val="002F5848"/>
    <w:rsid w:val="002F5C38"/>
    <w:rsid w:val="002F5DE3"/>
    <w:rsid w:val="002F5E6D"/>
    <w:rsid w:val="002F622D"/>
    <w:rsid w:val="002F623E"/>
    <w:rsid w:val="002F6386"/>
    <w:rsid w:val="002F67FA"/>
    <w:rsid w:val="002F68F7"/>
    <w:rsid w:val="002F692A"/>
    <w:rsid w:val="002F7393"/>
    <w:rsid w:val="002F7FDB"/>
    <w:rsid w:val="003009AE"/>
    <w:rsid w:val="003009C7"/>
    <w:rsid w:val="00300A17"/>
    <w:rsid w:val="0030123F"/>
    <w:rsid w:val="00301268"/>
    <w:rsid w:val="003012EC"/>
    <w:rsid w:val="003014B5"/>
    <w:rsid w:val="0030165E"/>
    <w:rsid w:val="00301824"/>
    <w:rsid w:val="00301C47"/>
    <w:rsid w:val="00301EC9"/>
    <w:rsid w:val="0030327C"/>
    <w:rsid w:val="003033BF"/>
    <w:rsid w:val="00303685"/>
    <w:rsid w:val="00303704"/>
    <w:rsid w:val="00303F3F"/>
    <w:rsid w:val="00304212"/>
    <w:rsid w:val="0030445E"/>
    <w:rsid w:val="00304C2E"/>
    <w:rsid w:val="00304F60"/>
    <w:rsid w:val="0030507E"/>
    <w:rsid w:val="00305171"/>
    <w:rsid w:val="00305566"/>
    <w:rsid w:val="00305884"/>
    <w:rsid w:val="00305B37"/>
    <w:rsid w:val="003065A6"/>
    <w:rsid w:val="0030663E"/>
    <w:rsid w:val="00306FC7"/>
    <w:rsid w:val="0030705B"/>
    <w:rsid w:val="003076D9"/>
    <w:rsid w:val="0030772B"/>
    <w:rsid w:val="00307ACE"/>
    <w:rsid w:val="00307BB9"/>
    <w:rsid w:val="0031073B"/>
    <w:rsid w:val="00310827"/>
    <w:rsid w:val="00310898"/>
    <w:rsid w:val="00310A60"/>
    <w:rsid w:val="00310DAA"/>
    <w:rsid w:val="00311208"/>
    <w:rsid w:val="00311BBA"/>
    <w:rsid w:val="00311E13"/>
    <w:rsid w:val="00311FFE"/>
    <w:rsid w:val="00312564"/>
    <w:rsid w:val="00312913"/>
    <w:rsid w:val="00313BFD"/>
    <w:rsid w:val="00313ED0"/>
    <w:rsid w:val="0031434F"/>
    <w:rsid w:val="003143C7"/>
    <w:rsid w:val="003148E0"/>
    <w:rsid w:val="00314B85"/>
    <w:rsid w:val="00314C7E"/>
    <w:rsid w:val="00314DB4"/>
    <w:rsid w:val="00314E0C"/>
    <w:rsid w:val="00315318"/>
    <w:rsid w:val="003153BF"/>
    <w:rsid w:val="00315461"/>
    <w:rsid w:val="00315627"/>
    <w:rsid w:val="00315FE3"/>
    <w:rsid w:val="003160BA"/>
    <w:rsid w:val="00316312"/>
    <w:rsid w:val="00316490"/>
    <w:rsid w:val="00316519"/>
    <w:rsid w:val="00316598"/>
    <w:rsid w:val="00316C0B"/>
    <w:rsid w:val="00316EF1"/>
    <w:rsid w:val="00316F25"/>
    <w:rsid w:val="00316F82"/>
    <w:rsid w:val="00317057"/>
    <w:rsid w:val="003172A7"/>
    <w:rsid w:val="003176A8"/>
    <w:rsid w:val="003178AC"/>
    <w:rsid w:val="00317997"/>
    <w:rsid w:val="003200B0"/>
    <w:rsid w:val="00320315"/>
    <w:rsid w:val="0032034C"/>
    <w:rsid w:val="00320462"/>
    <w:rsid w:val="003208E0"/>
    <w:rsid w:val="00320ADF"/>
    <w:rsid w:val="00320D8D"/>
    <w:rsid w:val="00320E51"/>
    <w:rsid w:val="00321076"/>
    <w:rsid w:val="003211EA"/>
    <w:rsid w:val="00321902"/>
    <w:rsid w:val="00321CDB"/>
    <w:rsid w:val="00321D3A"/>
    <w:rsid w:val="00321F5E"/>
    <w:rsid w:val="003223EE"/>
    <w:rsid w:val="0032281D"/>
    <w:rsid w:val="00323400"/>
    <w:rsid w:val="00323AFB"/>
    <w:rsid w:val="00323EFA"/>
    <w:rsid w:val="00323F7C"/>
    <w:rsid w:val="0032463A"/>
    <w:rsid w:val="003258DF"/>
    <w:rsid w:val="00325C0B"/>
    <w:rsid w:val="0032624F"/>
    <w:rsid w:val="0032646A"/>
    <w:rsid w:val="003266AB"/>
    <w:rsid w:val="003269B4"/>
    <w:rsid w:val="00326A36"/>
    <w:rsid w:val="00326DA0"/>
    <w:rsid w:val="0032710B"/>
    <w:rsid w:val="0032738D"/>
    <w:rsid w:val="00327545"/>
    <w:rsid w:val="0032770D"/>
    <w:rsid w:val="00327849"/>
    <w:rsid w:val="003278C5"/>
    <w:rsid w:val="0033007A"/>
    <w:rsid w:val="0033012B"/>
    <w:rsid w:val="003304B6"/>
    <w:rsid w:val="00330C69"/>
    <w:rsid w:val="00331172"/>
    <w:rsid w:val="00331950"/>
    <w:rsid w:val="003322A5"/>
    <w:rsid w:val="003323A4"/>
    <w:rsid w:val="003336F0"/>
    <w:rsid w:val="00333A10"/>
    <w:rsid w:val="00333A7E"/>
    <w:rsid w:val="00333D99"/>
    <w:rsid w:val="00334319"/>
    <w:rsid w:val="00334441"/>
    <w:rsid w:val="003344FC"/>
    <w:rsid w:val="00334549"/>
    <w:rsid w:val="003349F6"/>
    <w:rsid w:val="00334DA9"/>
    <w:rsid w:val="00334F3B"/>
    <w:rsid w:val="00334FC5"/>
    <w:rsid w:val="0033521B"/>
    <w:rsid w:val="00335B8E"/>
    <w:rsid w:val="00335BE5"/>
    <w:rsid w:val="003360F2"/>
    <w:rsid w:val="00336996"/>
    <w:rsid w:val="00336B4D"/>
    <w:rsid w:val="00336ECB"/>
    <w:rsid w:val="003371E5"/>
    <w:rsid w:val="0033727C"/>
    <w:rsid w:val="00337971"/>
    <w:rsid w:val="00337B11"/>
    <w:rsid w:val="00340461"/>
    <w:rsid w:val="003408C5"/>
    <w:rsid w:val="003408D5"/>
    <w:rsid w:val="003409FE"/>
    <w:rsid w:val="00341D95"/>
    <w:rsid w:val="00341E38"/>
    <w:rsid w:val="0034232D"/>
    <w:rsid w:val="00342F2C"/>
    <w:rsid w:val="00342F38"/>
    <w:rsid w:val="00342F5F"/>
    <w:rsid w:val="0034349D"/>
    <w:rsid w:val="003437D4"/>
    <w:rsid w:val="00343B8C"/>
    <w:rsid w:val="00344657"/>
    <w:rsid w:val="003446C5"/>
    <w:rsid w:val="00344AD6"/>
    <w:rsid w:val="00344DD8"/>
    <w:rsid w:val="00345131"/>
    <w:rsid w:val="00345136"/>
    <w:rsid w:val="00345426"/>
    <w:rsid w:val="003454B9"/>
    <w:rsid w:val="00345D7D"/>
    <w:rsid w:val="0034680A"/>
    <w:rsid w:val="00346A36"/>
    <w:rsid w:val="00346DB0"/>
    <w:rsid w:val="003470E7"/>
    <w:rsid w:val="00347199"/>
    <w:rsid w:val="003471FC"/>
    <w:rsid w:val="0034740D"/>
    <w:rsid w:val="00347413"/>
    <w:rsid w:val="003475E8"/>
    <w:rsid w:val="0034792D"/>
    <w:rsid w:val="00347C2F"/>
    <w:rsid w:val="00347DDC"/>
    <w:rsid w:val="0035003D"/>
    <w:rsid w:val="00350068"/>
    <w:rsid w:val="00350519"/>
    <w:rsid w:val="00350540"/>
    <w:rsid w:val="0035097C"/>
    <w:rsid w:val="00350CE3"/>
    <w:rsid w:val="003518A0"/>
    <w:rsid w:val="003518BA"/>
    <w:rsid w:val="003519A0"/>
    <w:rsid w:val="00351ADE"/>
    <w:rsid w:val="00351B0F"/>
    <w:rsid w:val="00352294"/>
    <w:rsid w:val="00352720"/>
    <w:rsid w:val="0035288E"/>
    <w:rsid w:val="00352FC5"/>
    <w:rsid w:val="003531D6"/>
    <w:rsid w:val="003534B7"/>
    <w:rsid w:val="0035357A"/>
    <w:rsid w:val="003535E6"/>
    <w:rsid w:val="003537E1"/>
    <w:rsid w:val="00353C09"/>
    <w:rsid w:val="00353DA4"/>
    <w:rsid w:val="00353EE4"/>
    <w:rsid w:val="00354002"/>
    <w:rsid w:val="00354433"/>
    <w:rsid w:val="00354696"/>
    <w:rsid w:val="00354B34"/>
    <w:rsid w:val="00354BC0"/>
    <w:rsid w:val="00354C12"/>
    <w:rsid w:val="00354F3A"/>
    <w:rsid w:val="0035507A"/>
    <w:rsid w:val="0035512A"/>
    <w:rsid w:val="00355161"/>
    <w:rsid w:val="0035519A"/>
    <w:rsid w:val="00355356"/>
    <w:rsid w:val="003555B6"/>
    <w:rsid w:val="003556A3"/>
    <w:rsid w:val="00355C6A"/>
    <w:rsid w:val="0035609B"/>
    <w:rsid w:val="0035618C"/>
    <w:rsid w:val="003563BE"/>
    <w:rsid w:val="003565A9"/>
    <w:rsid w:val="00356832"/>
    <w:rsid w:val="00356950"/>
    <w:rsid w:val="00356955"/>
    <w:rsid w:val="00357C34"/>
    <w:rsid w:val="003601D3"/>
    <w:rsid w:val="00360258"/>
    <w:rsid w:val="0036036D"/>
    <w:rsid w:val="00360380"/>
    <w:rsid w:val="0036059A"/>
    <w:rsid w:val="00360748"/>
    <w:rsid w:val="0036082A"/>
    <w:rsid w:val="00360D50"/>
    <w:rsid w:val="00360E6E"/>
    <w:rsid w:val="00361D81"/>
    <w:rsid w:val="00361EED"/>
    <w:rsid w:val="00362C1F"/>
    <w:rsid w:val="003632D8"/>
    <w:rsid w:val="003636C6"/>
    <w:rsid w:val="00363746"/>
    <w:rsid w:val="003637A9"/>
    <w:rsid w:val="003638CB"/>
    <w:rsid w:val="003639BF"/>
    <w:rsid w:val="00363C80"/>
    <w:rsid w:val="00363F83"/>
    <w:rsid w:val="00363FF8"/>
    <w:rsid w:val="003640E1"/>
    <w:rsid w:val="0036417B"/>
    <w:rsid w:val="003643BD"/>
    <w:rsid w:val="00365184"/>
    <w:rsid w:val="003653B9"/>
    <w:rsid w:val="003656F9"/>
    <w:rsid w:val="00365899"/>
    <w:rsid w:val="003660CA"/>
    <w:rsid w:val="003663C6"/>
    <w:rsid w:val="003664B6"/>
    <w:rsid w:val="003669B9"/>
    <w:rsid w:val="00366CC0"/>
    <w:rsid w:val="00366E1D"/>
    <w:rsid w:val="003670FA"/>
    <w:rsid w:val="0036726D"/>
    <w:rsid w:val="00367E83"/>
    <w:rsid w:val="00367FC1"/>
    <w:rsid w:val="00370072"/>
    <w:rsid w:val="0037043C"/>
    <w:rsid w:val="003704A8"/>
    <w:rsid w:val="00370BFA"/>
    <w:rsid w:val="0037136A"/>
    <w:rsid w:val="0037175F"/>
    <w:rsid w:val="0037196D"/>
    <w:rsid w:val="00371996"/>
    <w:rsid w:val="00371DFD"/>
    <w:rsid w:val="003728EF"/>
    <w:rsid w:val="00372C1A"/>
    <w:rsid w:val="0037362D"/>
    <w:rsid w:val="003736CF"/>
    <w:rsid w:val="003737B6"/>
    <w:rsid w:val="0037392C"/>
    <w:rsid w:val="00373ABD"/>
    <w:rsid w:val="00373EE1"/>
    <w:rsid w:val="00373FD6"/>
    <w:rsid w:val="00374E04"/>
    <w:rsid w:val="00375192"/>
    <w:rsid w:val="003756B6"/>
    <w:rsid w:val="00376491"/>
    <w:rsid w:val="00377202"/>
    <w:rsid w:val="0037721D"/>
    <w:rsid w:val="00377B4C"/>
    <w:rsid w:val="00377B84"/>
    <w:rsid w:val="00377FBA"/>
    <w:rsid w:val="0038041F"/>
    <w:rsid w:val="003808B7"/>
    <w:rsid w:val="00380FF7"/>
    <w:rsid w:val="0038102A"/>
    <w:rsid w:val="00381317"/>
    <w:rsid w:val="003815ED"/>
    <w:rsid w:val="00381B0A"/>
    <w:rsid w:val="00381CBF"/>
    <w:rsid w:val="00381DA7"/>
    <w:rsid w:val="003824B7"/>
    <w:rsid w:val="003824D7"/>
    <w:rsid w:val="00382726"/>
    <w:rsid w:val="00382912"/>
    <w:rsid w:val="00382953"/>
    <w:rsid w:val="00382956"/>
    <w:rsid w:val="00382AFF"/>
    <w:rsid w:val="00382C7D"/>
    <w:rsid w:val="00382F64"/>
    <w:rsid w:val="0038332C"/>
    <w:rsid w:val="0038338B"/>
    <w:rsid w:val="003833B4"/>
    <w:rsid w:val="003836B4"/>
    <w:rsid w:val="00383770"/>
    <w:rsid w:val="00383B39"/>
    <w:rsid w:val="00384037"/>
    <w:rsid w:val="00384294"/>
    <w:rsid w:val="00384B9D"/>
    <w:rsid w:val="003850F8"/>
    <w:rsid w:val="0038512B"/>
    <w:rsid w:val="003851ED"/>
    <w:rsid w:val="003853E7"/>
    <w:rsid w:val="0038550A"/>
    <w:rsid w:val="00385BF7"/>
    <w:rsid w:val="003862CB"/>
    <w:rsid w:val="003864F1"/>
    <w:rsid w:val="003866A3"/>
    <w:rsid w:val="003866D5"/>
    <w:rsid w:val="00386788"/>
    <w:rsid w:val="003867D7"/>
    <w:rsid w:val="00386C84"/>
    <w:rsid w:val="00386E55"/>
    <w:rsid w:val="003870ED"/>
    <w:rsid w:val="003872B4"/>
    <w:rsid w:val="0038763F"/>
    <w:rsid w:val="0038788F"/>
    <w:rsid w:val="00387AA0"/>
    <w:rsid w:val="00387F29"/>
    <w:rsid w:val="00390037"/>
    <w:rsid w:val="00390112"/>
    <w:rsid w:val="00390130"/>
    <w:rsid w:val="003902D5"/>
    <w:rsid w:val="0039093C"/>
    <w:rsid w:val="00390FCE"/>
    <w:rsid w:val="003910BF"/>
    <w:rsid w:val="003911B0"/>
    <w:rsid w:val="0039128E"/>
    <w:rsid w:val="00391C2B"/>
    <w:rsid w:val="0039252C"/>
    <w:rsid w:val="003929B2"/>
    <w:rsid w:val="00392DAE"/>
    <w:rsid w:val="00393200"/>
    <w:rsid w:val="0039322D"/>
    <w:rsid w:val="00393503"/>
    <w:rsid w:val="00393612"/>
    <w:rsid w:val="00393AA5"/>
    <w:rsid w:val="003940DD"/>
    <w:rsid w:val="003941FC"/>
    <w:rsid w:val="0039457C"/>
    <w:rsid w:val="00394D02"/>
    <w:rsid w:val="003950A2"/>
    <w:rsid w:val="003951EC"/>
    <w:rsid w:val="003955C7"/>
    <w:rsid w:val="0039560A"/>
    <w:rsid w:val="003961A5"/>
    <w:rsid w:val="003961AC"/>
    <w:rsid w:val="003963CE"/>
    <w:rsid w:val="0039651E"/>
    <w:rsid w:val="0039697E"/>
    <w:rsid w:val="00396A15"/>
    <w:rsid w:val="00396AAD"/>
    <w:rsid w:val="00396CCF"/>
    <w:rsid w:val="003978C9"/>
    <w:rsid w:val="003A01C1"/>
    <w:rsid w:val="003A04CB"/>
    <w:rsid w:val="003A07F7"/>
    <w:rsid w:val="003A089C"/>
    <w:rsid w:val="003A0BCE"/>
    <w:rsid w:val="003A11E2"/>
    <w:rsid w:val="003A1719"/>
    <w:rsid w:val="003A17D7"/>
    <w:rsid w:val="003A1E6C"/>
    <w:rsid w:val="003A1E81"/>
    <w:rsid w:val="003A292D"/>
    <w:rsid w:val="003A2A82"/>
    <w:rsid w:val="003A2DBD"/>
    <w:rsid w:val="003A2FB9"/>
    <w:rsid w:val="003A37B3"/>
    <w:rsid w:val="003A40B3"/>
    <w:rsid w:val="003A4AAA"/>
    <w:rsid w:val="003A511E"/>
    <w:rsid w:val="003A559F"/>
    <w:rsid w:val="003A57EC"/>
    <w:rsid w:val="003A5AB6"/>
    <w:rsid w:val="003A5C75"/>
    <w:rsid w:val="003A5D50"/>
    <w:rsid w:val="003A5D5E"/>
    <w:rsid w:val="003A6448"/>
    <w:rsid w:val="003A64E5"/>
    <w:rsid w:val="003A6559"/>
    <w:rsid w:val="003A67EA"/>
    <w:rsid w:val="003A680E"/>
    <w:rsid w:val="003A6C11"/>
    <w:rsid w:val="003A6E37"/>
    <w:rsid w:val="003A6ED4"/>
    <w:rsid w:val="003A6F04"/>
    <w:rsid w:val="003A70B3"/>
    <w:rsid w:val="003A7148"/>
    <w:rsid w:val="003A743E"/>
    <w:rsid w:val="003A7604"/>
    <w:rsid w:val="003A7ADE"/>
    <w:rsid w:val="003A7C9F"/>
    <w:rsid w:val="003A7E83"/>
    <w:rsid w:val="003A7F79"/>
    <w:rsid w:val="003B012C"/>
    <w:rsid w:val="003B031C"/>
    <w:rsid w:val="003B05E0"/>
    <w:rsid w:val="003B0724"/>
    <w:rsid w:val="003B0780"/>
    <w:rsid w:val="003B0847"/>
    <w:rsid w:val="003B0BF7"/>
    <w:rsid w:val="003B105E"/>
    <w:rsid w:val="003B172F"/>
    <w:rsid w:val="003B1950"/>
    <w:rsid w:val="003B199D"/>
    <w:rsid w:val="003B1BA5"/>
    <w:rsid w:val="003B1BC1"/>
    <w:rsid w:val="003B1E9F"/>
    <w:rsid w:val="003B1F3D"/>
    <w:rsid w:val="003B22E5"/>
    <w:rsid w:val="003B264F"/>
    <w:rsid w:val="003B2A34"/>
    <w:rsid w:val="003B2C54"/>
    <w:rsid w:val="003B2EEE"/>
    <w:rsid w:val="003B3061"/>
    <w:rsid w:val="003B325A"/>
    <w:rsid w:val="003B38B9"/>
    <w:rsid w:val="003B42E5"/>
    <w:rsid w:val="003B48AE"/>
    <w:rsid w:val="003B4A6A"/>
    <w:rsid w:val="003B4CD9"/>
    <w:rsid w:val="003B58A2"/>
    <w:rsid w:val="003B5CCF"/>
    <w:rsid w:val="003B64A2"/>
    <w:rsid w:val="003B6A64"/>
    <w:rsid w:val="003B6A78"/>
    <w:rsid w:val="003B6A94"/>
    <w:rsid w:val="003B6B6C"/>
    <w:rsid w:val="003B6CAE"/>
    <w:rsid w:val="003B6E2C"/>
    <w:rsid w:val="003B6F0C"/>
    <w:rsid w:val="003B70A2"/>
    <w:rsid w:val="003B718A"/>
    <w:rsid w:val="003B71F0"/>
    <w:rsid w:val="003B73B8"/>
    <w:rsid w:val="003B7805"/>
    <w:rsid w:val="003B799F"/>
    <w:rsid w:val="003B7B9E"/>
    <w:rsid w:val="003B7DB1"/>
    <w:rsid w:val="003B7FA9"/>
    <w:rsid w:val="003C0039"/>
    <w:rsid w:val="003C01D4"/>
    <w:rsid w:val="003C0A13"/>
    <w:rsid w:val="003C0AAE"/>
    <w:rsid w:val="003C0E61"/>
    <w:rsid w:val="003C1059"/>
    <w:rsid w:val="003C12FC"/>
    <w:rsid w:val="003C1BD6"/>
    <w:rsid w:val="003C2596"/>
    <w:rsid w:val="003C269A"/>
    <w:rsid w:val="003C299E"/>
    <w:rsid w:val="003C2CC3"/>
    <w:rsid w:val="003C2E02"/>
    <w:rsid w:val="003C300F"/>
    <w:rsid w:val="003C3084"/>
    <w:rsid w:val="003C3781"/>
    <w:rsid w:val="003C433B"/>
    <w:rsid w:val="003C44BB"/>
    <w:rsid w:val="003C45C6"/>
    <w:rsid w:val="003C4B26"/>
    <w:rsid w:val="003C4BE9"/>
    <w:rsid w:val="003C4CB9"/>
    <w:rsid w:val="003C4EC7"/>
    <w:rsid w:val="003C50DD"/>
    <w:rsid w:val="003C5149"/>
    <w:rsid w:val="003C518F"/>
    <w:rsid w:val="003C52F2"/>
    <w:rsid w:val="003C5707"/>
    <w:rsid w:val="003C57D5"/>
    <w:rsid w:val="003C5BAC"/>
    <w:rsid w:val="003C659F"/>
    <w:rsid w:val="003C69BF"/>
    <w:rsid w:val="003C6AA4"/>
    <w:rsid w:val="003C6C6E"/>
    <w:rsid w:val="003C6EF4"/>
    <w:rsid w:val="003C762F"/>
    <w:rsid w:val="003C7867"/>
    <w:rsid w:val="003C7BF0"/>
    <w:rsid w:val="003C7C7A"/>
    <w:rsid w:val="003D05E8"/>
    <w:rsid w:val="003D0888"/>
    <w:rsid w:val="003D09EE"/>
    <w:rsid w:val="003D0D92"/>
    <w:rsid w:val="003D16F2"/>
    <w:rsid w:val="003D170D"/>
    <w:rsid w:val="003D1DB8"/>
    <w:rsid w:val="003D1EAE"/>
    <w:rsid w:val="003D214A"/>
    <w:rsid w:val="003D23A3"/>
    <w:rsid w:val="003D285E"/>
    <w:rsid w:val="003D2868"/>
    <w:rsid w:val="003D28E8"/>
    <w:rsid w:val="003D2CDD"/>
    <w:rsid w:val="003D3021"/>
    <w:rsid w:val="003D35CE"/>
    <w:rsid w:val="003D3688"/>
    <w:rsid w:val="003D3771"/>
    <w:rsid w:val="003D3E92"/>
    <w:rsid w:val="003D3F2C"/>
    <w:rsid w:val="003D3FBA"/>
    <w:rsid w:val="003D4136"/>
    <w:rsid w:val="003D4826"/>
    <w:rsid w:val="003D5253"/>
    <w:rsid w:val="003D52EF"/>
    <w:rsid w:val="003D53A9"/>
    <w:rsid w:val="003D5856"/>
    <w:rsid w:val="003D5970"/>
    <w:rsid w:val="003D5F33"/>
    <w:rsid w:val="003D68B7"/>
    <w:rsid w:val="003D6BD8"/>
    <w:rsid w:val="003D7ABC"/>
    <w:rsid w:val="003D7ACE"/>
    <w:rsid w:val="003E02AA"/>
    <w:rsid w:val="003E08D5"/>
    <w:rsid w:val="003E09D6"/>
    <w:rsid w:val="003E1672"/>
    <w:rsid w:val="003E18DB"/>
    <w:rsid w:val="003E2239"/>
    <w:rsid w:val="003E2367"/>
    <w:rsid w:val="003E2A59"/>
    <w:rsid w:val="003E2AB8"/>
    <w:rsid w:val="003E2B1C"/>
    <w:rsid w:val="003E2E64"/>
    <w:rsid w:val="003E3365"/>
    <w:rsid w:val="003E33B6"/>
    <w:rsid w:val="003E3623"/>
    <w:rsid w:val="003E3C47"/>
    <w:rsid w:val="003E42DB"/>
    <w:rsid w:val="003E47E9"/>
    <w:rsid w:val="003E4B3E"/>
    <w:rsid w:val="003E5595"/>
    <w:rsid w:val="003E57E7"/>
    <w:rsid w:val="003E5910"/>
    <w:rsid w:val="003E59A3"/>
    <w:rsid w:val="003E6055"/>
    <w:rsid w:val="003E6C6F"/>
    <w:rsid w:val="003E7179"/>
    <w:rsid w:val="003E76D7"/>
    <w:rsid w:val="003F006E"/>
    <w:rsid w:val="003F0344"/>
    <w:rsid w:val="003F0E38"/>
    <w:rsid w:val="003F148C"/>
    <w:rsid w:val="003F156B"/>
    <w:rsid w:val="003F1691"/>
    <w:rsid w:val="003F1818"/>
    <w:rsid w:val="003F1FC6"/>
    <w:rsid w:val="003F2033"/>
    <w:rsid w:val="003F3179"/>
    <w:rsid w:val="003F3B71"/>
    <w:rsid w:val="003F3C93"/>
    <w:rsid w:val="003F4212"/>
    <w:rsid w:val="003F4701"/>
    <w:rsid w:val="003F473F"/>
    <w:rsid w:val="003F4B59"/>
    <w:rsid w:val="003F5363"/>
    <w:rsid w:val="003F5C12"/>
    <w:rsid w:val="003F5ED3"/>
    <w:rsid w:val="003F5FE7"/>
    <w:rsid w:val="003F64C7"/>
    <w:rsid w:val="003F66C2"/>
    <w:rsid w:val="003F682C"/>
    <w:rsid w:val="003F69F5"/>
    <w:rsid w:val="003F6A62"/>
    <w:rsid w:val="003F6BEE"/>
    <w:rsid w:val="003F6C84"/>
    <w:rsid w:val="003F6DF3"/>
    <w:rsid w:val="003F6F1A"/>
    <w:rsid w:val="003F76B8"/>
    <w:rsid w:val="003F7C97"/>
    <w:rsid w:val="003F7CEE"/>
    <w:rsid w:val="003F7DF2"/>
    <w:rsid w:val="004003A9"/>
    <w:rsid w:val="004003E9"/>
    <w:rsid w:val="00400480"/>
    <w:rsid w:val="0040056A"/>
    <w:rsid w:val="0040060F"/>
    <w:rsid w:val="0040062F"/>
    <w:rsid w:val="00400ABE"/>
    <w:rsid w:val="00400C28"/>
    <w:rsid w:val="0040261D"/>
    <w:rsid w:val="00402BD5"/>
    <w:rsid w:val="004032E2"/>
    <w:rsid w:val="004032F8"/>
    <w:rsid w:val="0040386F"/>
    <w:rsid w:val="0040394D"/>
    <w:rsid w:val="004039FA"/>
    <w:rsid w:val="00404169"/>
    <w:rsid w:val="004049C1"/>
    <w:rsid w:val="00404CF3"/>
    <w:rsid w:val="00404E4F"/>
    <w:rsid w:val="00405391"/>
    <w:rsid w:val="0040542C"/>
    <w:rsid w:val="004059C5"/>
    <w:rsid w:val="00405ADE"/>
    <w:rsid w:val="00405BF1"/>
    <w:rsid w:val="00405CA8"/>
    <w:rsid w:val="00405CF6"/>
    <w:rsid w:val="0040603E"/>
    <w:rsid w:val="0040625A"/>
    <w:rsid w:val="004064F7"/>
    <w:rsid w:val="0040689D"/>
    <w:rsid w:val="004068DE"/>
    <w:rsid w:val="00406B38"/>
    <w:rsid w:val="00406B8E"/>
    <w:rsid w:val="00406BD9"/>
    <w:rsid w:val="00406C42"/>
    <w:rsid w:val="00406DB5"/>
    <w:rsid w:val="00407607"/>
    <w:rsid w:val="004076D8"/>
    <w:rsid w:val="0041001A"/>
    <w:rsid w:val="004100D0"/>
    <w:rsid w:val="004100E3"/>
    <w:rsid w:val="00410533"/>
    <w:rsid w:val="004105EF"/>
    <w:rsid w:val="00410754"/>
    <w:rsid w:val="004107AB"/>
    <w:rsid w:val="00410ECB"/>
    <w:rsid w:val="004111A1"/>
    <w:rsid w:val="00411502"/>
    <w:rsid w:val="00411587"/>
    <w:rsid w:val="00411AA7"/>
    <w:rsid w:val="00411C1A"/>
    <w:rsid w:val="00411C1B"/>
    <w:rsid w:val="00411EFF"/>
    <w:rsid w:val="004126B3"/>
    <w:rsid w:val="00412B18"/>
    <w:rsid w:val="00412D9D"/>
    <w:rsid w:val="00412DA7"/>
    <w:rsid w:val="0041332F"/>
    <w:rsid w:val="00413FF5"/>
    <w:rsid w:val="00414433"/>
    <w:rsid w:val="0041447D"/>
    <w:rsid w:val="004146B7"/>
    <w:rsid w:val="00414845"/>
    <w:rsid w:val="00414A33"/>
    <w:rsid w:val="00414B99"/>
    <w:rsid w:val="00415036"/>
    <w:rsid w:val="004152D4"/>
    <w:rsid w:val="00415915"/>
    <w:rsid w:val="00415A0E"/>
    <w:rsid w:val="00415AB3"/>
    <w:rsid w:val="00415D39"/>
    <w:rsid w:val="00415D7E"/>
    <w:rsid w:val="0041622E"/>
    <w:rsid w:val="0041626B"/>
    <w:rsid w:val="00416366"/>
    <w:rsid w:val="004165E3"/>
    <w:rsid w:val="004168EA"/>
    <w:rsid w:val="00416D11"/>
    <w:rsid w:val="00416EFB"/>
    <w:rsid w:val="00417101"/>
    <w:rsid w:val="00417136"/>
    <w:rsid w:val="00417295"/>
    <w:rsid w:val="0041785C"/>
    <w:rsid w:val="00417F43"/>
    <w:rsid w:val="004202E6"/>
    <w:rsid w:val="004208CF"/>
    <w:rsid w:val="00420A3B"/>
    <w:rsid w:val="00420E13"/>
    <w:rsid w:val="00420F0E"/>
    <w:rsid w:val="0042115A"/>
    <w:rsid w:val="0042117C"/>
    <w:rsid w:val="00421184"/>
    <w:rsid w:val="00421833"/>
    <w:rsid w:val="00421D82"/>
    <w:rsid w:val="00421FE9"/>
    <w:rsid w:val="00422059"/>
    <w:rsid w:val="00422350"/>
    <w:rsid w:val="004224BE"/>
    <w:rsid w:val="00422BA8"/>
    <w:rsid w:val="00423068"/>
    <w:rsid w:val="00423323"/>
    <w:rsid w:val="0042339A"/>
    <w:rsid w:val="00423501"/>
    <w:rsid w:val="004235A1"/>
    <w:rsid w:val="004235D6"/>
    <w:rsid w:val="0042370F"/>
    <w:rsid w:val="004239C7"/>
    <w:rsid w:val="00423B15"/>
    <w:rsid w:val="00423B17"/>
    <w:rsid w:val="00423BD6"/>
    <w:rsid w:val="00423C5E"/>
    <w:rsid w:val="00424810"/>
    <w:rsid w:val="00424CB8"/>
    <w:rsid w:val="00424CDC"/>
    <w:rsid w:val="0042508F"/>
    <w:rsid w:val="004250D0"/>
    <w:rsid w:val="00425679"/>
    <w:rsid w:val="004263E1"/>
    <w:rsid w:val="004267A4"/>
    <w:rsid w:val="00426801"/>
    <w:rsid w:val="00427950"/>
    <w:rsid w:val="00427999"/>
    <w:rsid w:val="00427B58"/>
    <w:rsid w:val="00427CF5"/>
    <w:rsid w:val="00427E5E"/>
    <w:rsid w:val="00430436"/>
    <w:rsid w:val="004305E7"/>
    <w:rsid w:val="00430D3F"/>
    <w:rsid w:val="0043183A"/>
    <w:rsid w:val="00432892"/>
    <w:rsid w:val="00432905"/>
    <w:rsid w:val="00432944"/>
    <w:rsid w:val="00433096"/>
    <w:rsid w:val="0043326D"/>
    <w:rsid w:val="0043394C"/>
    <w:rsid w:val="00433A6C"/>
    <w:rsid w:val="00433B75"/>
    <w:rsid w:val="00433DC6"/>
    <w:rsid w:val="00433E71"/>
    <w:rsid w:val="0043408F"/>
    <w:rsid w:val="00434548"/>
    <w:rsid w:val="004348BA"/>
    <w:rsid w:val="0043494D"/>
    <w:rsid w:val="00435608"/>
    <w:rsid w:val="00435AA6"/>
    <w:rsid w:val="00435B04"/>
    <w:rsid w:val="00435C60"/>
    <w:rsid w:val="00435CB1"/>
    <w:rsid w:val="00435F60"/>
    <w:rsid w:val="00435FB3"/>
    <w:rsid w:val="004363F4"/>
    <w:rsid w:val="004366AA"/>
    <w:rsid w:val="004367ED"/>
    <w:rsid w:val="00436B20"/>
    <w:rsid w:val="00436D92"/>
    <w:rsid w:val="004374B9"/>
    <w:rsid w:val="004379C2"/>
    <w:rsid w:val="00437B6E"/>
    <w:rsid w:val="00437B7C"/>
    <w:rsid w:val="004400E8"/>
    <w:rsid w:val="00440141"/>
    <w:rsid w:val="00440318"/>
    <w:rsid w:val="00440365"/>
    <w:rsid w:val="004403D0"/>
    <w:rsid w:val="00440679"/>
    <w:rsid w:val="00440905"/>
    <w:rsid w:val="00440999"/>
    <w:rsid w:val="00440ECB"/>
    <w:rsid w:val="004411BE"/>
    <w:rsid w:val="004411E2"/>
    <w:rsid w:val="00441952"/>
    <w:rsid w:val="004419F4"/>
    <w:rsid w:val="0044297B"/>
    <w:rsid w:val="00442A57"/>
    <w:rsid w:val="00442C7E"/>
    <w:rsid w:val="00443208"/>
    <w:rsid w:val="0044369E"/>
    <w:rsid w:val="00443787"/>
    <w:rsid w:val="00443D42"/>
    <w:rsid w:val="00443DEF"/>
    <w:rsid w:val="00443DFA"/>
    <w:rsid w:val="004443B2"/>
    <w:rsid w:val="00444AD2"/>
    <w:rsid w:val="00444E60"/>
    <w:rsid w:val="00445258"/>
    <w:rsid w:val="00445537"/>
    <w:rsid w:val="00445809"/>
    <w:rsid w:val="00445888"/>
    <w:rsid w:val="0044588F"/>
    <w:rsid w:val="0044598F"/>
    <w:rsid w:val="004463D3"/>
    <w:rsid w:val="004464C8"/>
    <w:rsid w:val="00446CE3"/>
    <w:rsid w:val="00447C01"/>
    <w:rsid w:val="00447EC4"/>
    <w:rsid w:val="00447F66"/>
    <w:rsid w:val="004501C9"/>
    <w:rsid w:val="00450679"/>
    <w:rsid w:val="004508E9"/>
    <w:rsid w:val="0045097E"/>
    <w:rsid w:val="00450B82"/>
    <w:rsid w:val="00450C80"/>
    <w:rsid w:val="0045146C"/>
    <w:rsid w:val="00451874"/>
    <w:rsid w:val="00451C86"/>
    <w:rsid w:val="0045214B"/>
    <w:rsid w:val="0045215D"/>
    <w:rsid w:val="00452163"/>
    <w:rsid w:val="0045227E"/>
    <w:rsid w:val="00452341"/>
    <w:rsid w:val="0045276E"/>
    <w:rsid w:val="00452857"/>
    <w:rsid w:val="0045291E"/>
    <w:rsid w:val="004538BC"/>
    <w:rsid w:val="004539B7"/>
    <w:rsid w:val="00453CF7"/>
    <w:rsid w:val="004544D6"/>
    <w:rsid w:val="00455056"/>
    <w:rsid w:val="004552F8"/>
    <w:rsid w:val="004553CC"/>
    <w:rsid w:val="00455700"/>
    <w:rsid w:val="00455725"/>
    <w:rsid w:val="004557ED"/>
    <w:rsid w:val="00455DF7"/>
    <w:rsid w:val="00456131"/>
    <w:rsid w:val="004563C4"/>
    <w:rsid w:val="0045673F"/>
    <w:rsid w:val="00456A69"/>
    <w:rsid w:val="004573A6"/>
    <w:rsid w:val="0045743F"/>
    <w:rsid w:val="00457455"/>
    <w:rsid w:val="00457471"/>
    <w:rsid w:val="00457692"/>
    <w:rsid w:val="00457A41"/>
    <w:rsid w:val="00460517"/>
    <w:rsid w:val="004610EF"/>
    <w:rsid w:val="00461291"/>
    <w:rsid w:val="004617C9"/>
    <w:rsid w:val="004618B7"/>
    <w:rsid w:val="0046195A"/>
    <w:rsid w:val="00461C34"/>
    <w:rsid w:val="00461CE9"/>
    <w:rsid w:val="00462048"/>
    <w:rsid w:val="0046207D"/>
    <w:rsid w:val="00462407"/>
    <w:rsid w:val="00462919"/>
    <w:rsid w:val="00462BF7"/>
    <w:rsid w:val="004631DD"/>
    <w:rsid w:val="004634A8"/>
    <w:rsid w:val="004635FD"/>
    <w:rsid w:val="00463875"/>
    <w:rsid w:val="0046395C"/>
    <w:rsid w:val="00463A49"/>
    <w:rsid w:val="00463E95"/>
    <w:rsid w:val="004641C8"/>
    <w:rsid w:val="0046471C"/>
    <w:rsid w:val="00464D70"/>
    <w:rsid w:val="0046530C"/>
    <w:rsid w:val="004656B8"/>
    <w:rsid w:val="00465CD7"/>
    <w:rsid w:val="00465F9D"/>
    <w:rsid w:val="00465FE5"/>
    <w:rsid w:val="0046652A"/>
    <w:rsid w:val="00466902"/>
    <w:rsid w:val="00466A21"/>
    <w:rsid w:val="00466B9E"/>
    <w:rsid w:val="00466CE9"/>
    <w:rsid w:val="00467480"/>
    <w:rsid w:val="00467531"/>
    <w:rsid w:val="00467559"/>
    <w:rsid w:val="00467A30"/>
    <w:rsid w:val="00467DAB"/>
    <w:rsid w:val="0047007E"/>
    <w:rsid w:val="00470129"/>
    <w:rsid w:val="00470524"/>
    <w:rsid w:val="004705CA"/>
    <w:rsid w:val="0047077E"/>
    <w:rsid w:val="00470859"/>
    <w:rsid w:val="00470EFC"/>
    <w:rsid w:val="0047105E"/>
    <w:rsid w:val="00471BC7"/>
    <w:rsid w:val="00471FFC"/>
    <w:rsid w:val="00472230"/>
    <w:rsid w:val="00472287"/>
    <w:rsid w:val="00472731"/>
    <w:rsid w:val="00472804"/>
    <w:rsid w:val="004728A0"/>
    <w:rsid w:val="00472B95"/>
    <w:rsid w:val="00472C71"/>
    <w:rsid w:val="00472E18"/>
    <w:rsid w:val="0047301C"/>
    <w:rsid w:val="0047324C"/>
    <w:rsid w:val="0047334A"/>
    <w:rsid w:val="00473400"/>
    <w:rsid w:val="00473465"/>
    <w:rsid w:val="00473574"/>
    <w:rsid w:val="00473710"/>
    <w:rsid w:val="0047386B"/>
    <w:rsid w:val="004738B0"/>
    <w:rsid w:val="00473BEA"/>
    <w:rsid w:val="00474146"/>
    <w:rsid w:val="004742DD"/>
    <w:rsid w:val="004742E9"/>
    <w:rsid w:val="00474F4C"/>
    <w:rsid w:val="00475231"/>
    <w:rsid w:val="00475474"/>
    <w:rsid w:val="0047592D"/>
    <w:rsid w:val="00475F41"/>
    <w:rsid w:val="00475F75"/>
    <w:rsid w:val="0047622C"/>
    <w:rsid w:val="00477027"/>
    <w:rsid w:val="004774B2"/>
    <w:rsid w:val="004776F1"/>
    <w:rsid w:val="004777E7"/>
    <w:rsid w:val="00477AD6"/>
    <w:rsid w:val="00477B62"/>
    <w:rsid w:val="004800DA"/>
    <w:rsid w:val="0048016C"/>
    <w:rsid w:val="00480367"/>
    <w:rsid w:val="00480726"/>
    <w:rsid w:val="004807A1"/>
    <w:rsid w:val="00480DB4"/>
    <w:rsid w:val="0048164B"/>
    <w:rsid w:val="00481715"/>
    <w:rsid w:val="004817AF"/>
    <w:rsid w:val="004819EF"/>
    <w:rsid w:val="00481A2B"/>
    <w:rsid w:val="00481A51"/>
    <w:rsid w:val="00481D55"/>
    <w:rsid w:val="00482501"/>
    <w:rsid w:val="00482525"/>
    <w:rsid w:val="00482D44"/>
    <w:rsid w:val="00482D5B"/>
    <w:rsid w:val="0048314B"/>
    <w:rsid w:val="00483BC4"/>
    <w:rsid w:val="00483D95"/>
    <w:rsid w:val="00483F86"/>
    <w:rsid w:val="004846C3"/>
    <w:rsid w:val="00484AAA"/>
    <w:rsid w:val="00484B05"/>
    <w:rsid w:val="00484DED"/>
    <w:rsid w:val="00484E96"/>
    <w:rsid w:val="00484FB4"/>
    <w:rsid w:val="00485111"/>
    <w:rsid w:val="00485682"/>
    <w:rsid w:val="00485E8C"/>
    <w:rsid w:val="004864B6"/>
    <w:rsid w:val="004864BE"/>
    <w:rsid w:val="004865CA"/>
    <w:rsid w:val="00486692"/>
    <w:rsid w:val="004875B4"/>
    <w:rsid w:val="00487CC3"/>
    <w:rsid w:val="00490059"/>
    <w:rsid w:val="0049041E"/>
    <w:rsid w:val="004909E6"/>
    <w:rsid w:val="00490FB2"/>
    <w:rsid w:val="0049104C"/>
    <w:rsid w:val="004912E2"/>
    <w:rsid w:val="00491540"/>
    <w:rsid w:val="00491739"/>
    <w:rsid w:val="0049206D"/>
    <w:rsid w:val="00492191"/>
    <w:rsid w:val="004922F3"/>
    <w:rsid w:val="00492486"/>
    <w:rsid w:val="0049251B"/>
    <w:rsid w:val="00492B6E"/>
    <w:rsid w:val="00492C24"/>
    <w:rsid w:val="004931CB"/>
    <w:rsid w:val="004931DC"/>
    <w:rsid w:val="004940F7"/>
    <w:rsid w:val="004947D2"/>
    <w:rsid w:val="00494C4E"/>
    <w:rsid w:val="00494CC2"/>
    <w:rsid w:val="00494D61"/>
    <w:rsid w:val="00494FA5"/>
    <w:rsid w:val="00495167"/>
    <w:rsid w:val="0049556D"/>
    <w:rsid w:val="00495744"/>
    <w:rsid w:val="00495829"/>
    <w:rsid w:val="00495B34"/>
    <w:rsid w:val="00495EA6"/>
    <w:rsid w:val="004961A2"/>
    <w:rsid w:val="00496700"/>
    <w:rsid w:val="00496A8D"/>
    <w:rsid w:val="00496AA8"/>
    <w:rsid w:val="00496C44"/>
    <w:rsid w:val="00496DC2"/>
    <w:rsid w:val="00497315"/>
    <w:rsid w:val="00497511"/>
    <w:rsid w:val="004975FC"/>
    <w:rsid w:val="004A0584"/>
    <w:rsid w:val="004A06EA"/>
    <w:rsid w:val="004A0804"/>
    <w:rsid w:val="004A0881"/>
    <w:rsid w:val="004A0B41"/>
    <w:rsid w:val="004A0DEB"/>
    <w:rsid w:val="004A0F02"/>
    <w:rsid w:val="004A1737"/>
    <w:rsid w:val="004A18DA"/>
    <w:rsid w:val="004A1C5F"/>
    <w:rsid w:val="004A1CCD"/>
    <w:rsid w:val="004A212E"/>
    <w:rsid w:val="004A220F"/>
    <w:rsid w:val="004A2341"/>
    <w:rsid w:val="004A24AA"/>
    <w:rsid w:val="004A27C2"/>
    <w:rsid w:val="004A2913"/>
    <w:rsid w:val="004A2DCD"/>
    <w:rsid w:val="004A2FB8"/>
    <w:rsid w:val="004A3103"/>
    <w:rsid w:val="004A3339"/>
    <w:rsid w:val="004A34F9"/>
    <w:rsid w:val="004A389C"/>
    <w:rsid w:val="004A38C3"/>
    <w:rsid w:val="004A3A99"/>
    <w:rsid w:val="004A3D8A"/>
    <w:rsid w:val="004A3F70"/>
    <w:rsid w:val="004A432F"/>
    <w:rsid w:val="004A46D6"/>
    <w:rsid w:val="004A48C2"/>
    <w:rsid w:val="004A49E4"/>
    <w:rsid w:val="004A4BC8"/>
    <w:rsid w:val="004A4E04"/>
    <w:rsid w:val="004A4FA8"/>
    <w:rsid w:val="004A532D"/>
    <w:rsid w:val="004A54D9"/>
    <w:rsid w:val="004A5586"/>
    <w:rsid w:val="004A55E2"/>
    <w:rsid w:val="004A5959"/>
    <w:rsid w:val="004A5DA6"/>
    <w:rsid w:val="004A6992"/>
    <w:rsid w:val="004A69F5"/>
    <w:rsid w:val="004A6E42"/>
    <w:rsid w:val="004A6F60"/>
    <w:rsid w:val="004A70F5"/>
    <w:rsid w:val="004A72E9"/>
    <w:rsid w:val="004B03A7"/>
    <w:rsid w:val="004B03D4"/>
    <w:rsid w:val="004B0A68"/>
    <w:rsid w:val="004B1531"/>
    <w:rsid w:val="004B1966"/>
    <w:rsid w:val="004B1F38"/>
    <w:rsid w:val="004B234F"/>
    <w:rsid w:val="004B26B5"/>
    <w:rsid w:val="004B276B"/>
    <w:rsid w:val="004B2A3C"/>
    <w:rsid w:val="004B2B42"/>
    <w:rsid w:val="004B2CF5"/>
    <w:rsid w:val="004B2F4B"/>
    <w:rsid w:val="004B3105"/>
    <w:rsid w:val="004B3396"/>
    <w:rsid w:val="004B349F"/>
    <w:rsid w:val="004B4091"/>
    <w:rsid w:val="004B4B40"/>
    <w:rsid w:val="004B4B9B"/>
    <w:rsid w:val="004B4C53"/>
    <w:rsid w:val="004B4D9E"/>
    <w:rsid w:val="004B51D6"/>
    <w:rsid w:val="004B54A4"/>
    <w:rsid w:val="004B567E"/>
    <w:rsid w:val="004B58D2"/>
    <w:rsid w:val="004B59BF"/>
    <w:rsid w:val="004B5B86"/>
    <w:rsid w:val="004B5F47"/>
    <w:rsid w:val="004B609E"/>
    <w:rsid w:val="004B60B6"/>
    <w:rsid w:val="004B6121"/>
    <w:rsid w:val="004B6ABB"/>
    <w:rsid w:val="004B6D35"/>
    <w:rsid w:val="004C0684"/>
    <w:rsid w:val="004C07CB"/>
    <w:rsid w:val="004C0B96"/>
    <w:rsid w:val="004C0BFF"/>
    <w:rsid w:val="004C1374"/>
    <w:rsid w:val="004C13B9"/>
    <w:rsid w:val="004C17F9"/>
    <w:rsid w:val="004C18EA"/>
    <w:rsid w:val="004C1A47"/>
    <w:rsid w:val="004C1D58"/>
    <w:rsid w:val="004C22C4"/>
    <w:rsid w:val="004C2494"/>
    <w:rsid w:val="004C24B0"/>
    <w:rsid w:val="004C24E5"/>
    <w:rsid w:val="004C2D25"/>
    <w:rsid w:val="004C2E5E"/>
    <w:rsid w:val="004C2E8E"/>
    <w:rsid w:val="004C34CF"/>
    <w:rsid w:val="004C34D2"/>
    <w:rsid w:val="004C351D"/>
    <w:rsid w:val="004C3806"/>
    <w:rsid w:val="004C4006"/>
    <w:rsid w:val="004C40CA"/>
    <w:rsid w:val="004C4491"/>
    <w:rsid w:val="004C457E"/>
    <w:rsid w:val="004C4823"/>
    <w:rsid w:val="004C500E"/>
    <w:rsid w:val="004C529A"/>
    <w:rsid w:val="004C55B2"/>
    <w:rsid w:val="004C5817"/>
    <w:rsid w:val="004C5B6C"/>
    <w:rsid w:val="004C6219"/>
    <w:rsid w:val="004C6508"/>
    <w:rsid w:val="004C6598"/>
    <w:rsid w:val="004C698B"/>
    <w:rsid w:val="004C6B4E"/>
    <w:rsid w:val="004C7279"/>
    <w:rsid w:val="004C7543"/>
    <w:rsid w:val="004C7635"/>
    <w:rsid w:val="004C764E"/>
    <w:rsid w:val="004C7692"/>
    <w:rsid w:val="004D0651"/>
    <w:rsid w:val="004D142E"/>
    <w:rsid w:val="004D14F2"/>
    <w:rsid w:val="004D22F1"/>
    <w:rsid w:val="004D27AA"/>
    <w:rsid w:val="004D2D62"/>
    <w:rsid w:val="004D3060"/>
    <w:rsid w:val="004D3DEC"/>
    <w:rsid w:val="004D4091"/>
    <w:rsid w:val="004D4184"/>
    <w:rsid w:val="004D45DC"/>
    <w:rsid w:val="004D49FA"/>
    <w:rsid w:val="004D4BA9"/>
    <w:rsid w:val="004D4BC9"/>
    <w:rsid w:val="004D4DE6"/>
    <w:rsid w:val="004D4F75"/>
    <w:rsid w:val="004D506D"/>
    <w:rsid w:val="004D53CF"/>
    <w:rsid w:val="004D59D0"/>
    <w:rsid w:val="004D5A64"/>
    <w:rsid w:val="004D5CF2"/>
    <w:rsid w:val="004D682A"/>
    <w:rsid w:val="004D6C24"/>
    <w:rsid w:val="004D6FE5"/>
    <w:rsid w:val="004D75D0"/>
    <w:rsid w:val="004D7B0F"/>
    <w:rsid w:val="004D7B35"/>
    <w:rsid w:val="004E0007"/>
    <w:rsid w:val="004E036C"/>
    <w:rsid w:val="004E03E1"/>
    <w:rsid w:val="004E0D9C"/>
    <w:rsid w:val="004E0E4D"/>
    <w:rsid w:val="004E1233"/>
    <w:rsid w:val="004E1353"/>
    <w:rsid w:val="004E1636"/>
    <w:rsid w:val="004E19F5"/>
    <w:rsid w:val="004E1D07"/>
    <w:rsid w:val="004E1F3E"/>
    <w:rsid w:val="004E2297"/>
    <w:rsid w:val="004E2368"/>
    <w:rsid w:val="004E239B"/>
    <w:rsid w:val="004E24A5"/>
    <w:rsid w:val="004E25B4"/>
    <w:rsid w:val="004E26B3"/>
    <w:rsid w:val="004E2818"/>
    <w:rsid w:val="004E28C6"/>
    <w:rsid w:val="004E295F"/>
    <w:rsid w:val="004E29C6"/>
    <w:rsid w:val="004E2E5C"/>
    <w:rsid w:val="004E3181"/>
    <w:rsid w:val="004E322C"/>
    <w:rsid w:val="004E3BB5"/>
    <w:rsid w:val="004E4208"/>
    <w:rsid w:val="004E42FD"/>
    <w:rsid w:val="004E5466"/>
    <w:rsid w:val="004E5694"/>
    <w:rsid w:val="004E5E93"/>
    <w:rsid w:val="004E6B20"/>
    <w:rsid w:val="004E6C50"/>
    <w:rsid w:val="004E6DE1"/>
    <w:rsid w:val="004E7038"/>
    <w:rsid w:val="004E750A"/>
    <w:rsid w:val="004E76ED"/>
    <w:rsid w:val="004E7819"/>
    <w:rsid w:val="004E7C0C"/>
    <w:rsid w:val="004E7DB7"/>
    <w:rsid w:val="004E7E64"/>
    <w:rsid w:val="004E7F89"/>
    <w:rsid w:val="004F0E3E"/>
    <w:rsid w:val="004F0FF8"/>
    <w:rsid w:val="004F105F"/>
    <w:rsid w:val="004F10E0"/>
    <w:rsid w:val="004F132E"/>
    <w:rsid w:val="004F138F"/>
    <w:rsid w:val="004F162D"/>
    <w:rsid w:val="004F166C"/>
    <w:rsid w:val="004F1757"/>
    <w:rsid w:val="004F1A00"/>
    <w:rsid w:val="004F1BF5"/>
    <w:rsid w:val="004F1C7D"/>
    <w:rsid w:val="004F1E37"/>
    <w:rsid w:val="004F234C"/>
    <w:rsid w:val="004F2491"/>
    <w:rsid w:val="004F29F2"/>
    <w:rsid w:val="004F2B71"/>
    <w:rsid w:val="004F2D0A"/>
    <w:rsid w:val="004F37DF"/>
    <w:rsid w:val="004F396A"/>
    <w:rsid w:val="004F3C84"/>
    <w:rsid w:val="004F3D0A"/>
    <w:rsid w:val="004F3F8F"/>
    <w:rsid w:val="004F420C"/>
    <w:rsid w:val="004F43D3"/>
    <w:rsid w:val="004F469C"/>
    <w:rsid w:val="004F4758"/>
    <w:rsid w:val="004F51B9"/>
    <w:rsid w:val="004F5561"/>
    <w:rsid w:val="004F6641"/>
    <w:rsid w:val="004F693A"/>
    <w:rsid w:val="004F6940"/>
    <w:rsid w:val="004F6DE7"/>
    <w:rsid w:val="004F6DF5"/>
    <w:rsid w:val="004F7D0F"/>
    <w:rsid w:val="00500123"/>
    <w:rsid w:val="005001A1"/>
    <w:rsid w:val="0050051D"/>
    <w:rsid w:val="00500933"/>
    <w:rsid w:val="005009FA"/>
    <w:rsid w:val="00501297"/>
    <w:rsid w:val="00501386"/>
    <w:rsid w:val="005014B6"/>
    <w:rsid w:val="005019A7"/>
    <w:rsid w:val="00502295"/>
    <w:rsid w:val="00502DEF"/>
    <w:rsid w:val="00502F9D"/>
    <w:rsid w:val="005030E4"/>
    <w:rsid w:val="00503EDE"/>
    <w:rsid w:val="0050402F"/>
    <w:rsid w:val="00504190"/>
    <w:rsid w:val="00504353"/>
    <w:rsid w:val="005046EA"/>
    <w:rsid w:val="00504C59"/>
    <w:rsid w:val="00504F8A"/>
    <w:rsid w:val="005051D4"/>
    <w:rsid w:val="005054E2"/>
    <w:rsid w:val="00505629"/>
    <w:rsid w:val="005056B9"/>
    <w:rsid w:val="00505914"/>
    <w:rsid w:val="00505E91"/>
    <w:rsid w:val="00505EDD"/>
    <w:rsid w:val="00505F60"/>
    <w:rsid w:val="0050637F"/>
    <w:rsid w:val="005064DE"/>
    <w:rsid w:val="0050653B"/>
    <w:rsid w:val="0050670B"/>
    <w:rsid w:val="00506775"/>
    <w:rsid w:val="0050679E"/>
    <w:rsid w:val="0050756E"/>
    <w:rsid w:val="0050757D"/>
    <w:rsid w:val="0050773D"/>
    <w:rsid w:val="00507A36"/>
    <w:rsid w:val="00507F8F"/>
    <w:rsid w:val="005101E8"/>
    <w:rsid w:val="0051075E"/>
    <w:rsid w:val="005108FF"/>
    <w:rsid w:val="005112D6"/>
    <w:rsid w:val="00511975"/>
    <w:rsid w:val="00511B29"/>
    <w:rsid w:val="00511F94"/>
    <w:rsid w:val="005124ED"/>
    <w:rsid w:val="005127BD"/>
    <w:rsid w:val="00512A92"/>
    <w:rsid w:val="00512BD0"/>
    <w:rsid w:val="00512CC9"/>
    <w:rsid w:val="005139C7"/>
    <w:rsid w:val="00513A96"/>
    <w:rsid w:val="00513C0F"/>
    <w:rsid w:val="00513E8D"/>
    <w:rsid w:val="005141E8"/>
    <w:rsid w:val="005148C6"/>
    <w:rsid w:val="00514A40"/>
    <w:rsid w:val="00514FB4"/>
    <w:rsid w:val="0051517C"/>
    <w:rsid w:val="00515242"/>
    <w:rsid w:val="00515AB3"/>
    <w:rsid w:val="005160BE"/>
    <w:rsid w:val="00516199"/>
    <w:rsid w:val="00516A89"/>
    <w:rsid w:val="00516B7E"/>
    <w:rsid w:val="00516C4D"/>
    <w:rsid w:val="00516DDC"/>
    <w:rsid w:val="00516E3C"/>
    <w:rsid w:val="0051702F"/>
    <w:rsid w:val="005171FF"/>
    <w:rsid w:val="00517257"/>
    <w:rsid w:val="0051744A"/>
    <w:rsid w:val="00517619"/>
    <w:rsid w:val="00517BFD"/>
    <w:rsid w:val="00517C98"/>
    <w:rsid w:val="00517CEE"/>
    <w:rsid w:val="00517E2A"/>
    <w:rsid w:val="0052093D"/>
    <w:rsid w:val="005209BC"/>
    <w:rsid w:val="00520C6C"/>
    <w:rsid w:val="00521678"/>
    <w:rsid w:val="005218EE"/>
    <w:rsid w:val="005221C7"/>
    <w:rsid w:val="005237B5"/>
    <w:rsid w:val="00523CD6"/>
    <w:rsid w:val="00524026"/>
    <w:rsid w:val="005242C7"/>
    <w:rsid w:val="0052437B"/>
    <w:rsid w:val="005245C5"/>
    <w:rsid w:val="005248F0"/>
    <w:rsid w:val="00524942"/>
    <w:rsid w:val="00524C1C"/>
    <w:rsid w:val="00524C54"/>
    <w:rsid w:val="00525C7E"/>
    <w:rsid w:val="00526C84"/>
    <w:rsid w:val="00526CE1"/>
    <w:rsid w:val="00526D8C"/>
    <w:rsid w:val="00527436"/>
    <w:rsid w:val="00527549"/>
    <w:rsid w:val="00527A18"/>
    <w:rsid w:val="00527C23"/>
    <w:rsid w:val="00527DA4"/>
    <w:rsid w:val="0053076C"/>
    <w:rsid w:val="005307C2"/>
    <w:rsid w:val="00530ACC"/>
    <w:rsid w:val="00530DEB"/>
    <w:rsid w:val="00530F09"/>
    <w:rsid w:val="00531667"/>
    <w:rsid w:val="00531A1F"/>
    <w:rsid w:val="00531B8F"/>
    <w:rsid w:val="005324A3"/>
    <w:rsid w:val="00532AB7"/>
    <w:rsid w:val="00532DF8"/>
    <w:rsid w:val="0053310D"/>
    <w:rsid w:val="0053349B"/>
    <w:rsid w:val="00533654"/>
    <w:rsid w:val="00533BF4"/>
    <w:rsid w:val="00533DA4"/>
    <w:rsid w:val="00533F4F"/>
    <w:rsid w:val="00534063"/>
    <w:rsid w:val="00534219"/>
    <w:rsid w:val="00534832"/>
    <w:rsid w:val="0053487F"/>
    <w:rsid w:val="00534A92"/>
    <w:rsid w:val="00535119"/>
    <w:rsid w:val="00535322"/>
    <w:rsid w:val="005354BD"/>
    <w:rsid w:val="00535630"/>
    <w:rsid w:val="005359AB"/>
    <w:rsid w:val="00535CAC"/>
    <w:rsid w:val="00535D33"/>
    <w:rsid w:val="0053653A"/>
    <w:rsid w:val="00536740"/>
    <w:rsid w:val="005368CE"/>
    <w:rsid w:val="00536CBE"/>
    <w:rsid w:val="005373EA"/>
    <w:rsid w:val="005376BF"/>
    <w:rsid w:val="00537CE6"/>
    <w:rsid w:val="00540249"/>
    <w:rsid w:val="00540574"/>
    <w:rsid w:val="00540576"/>
    <w:rsid w:val="0054065C"/>
    <w:rsid w:val="00540890"/>
    <w:rsid w:val="00540898"/>
    <w:rsid w:val="00540B70"/>
    <w:rsid w:val="00540DD1"/>
    <w:rsid w:val="005410FD"/>
    <w:rsid w:val="00541190"/>
    <w:rsid w:val="00541527"/>
    <w:rsid w:val="005416F4"/>
    <w:rsid w:val="00541A12"/>
    <w:rsid w:val="00541AAE"/>
    <w:rsid w:val="00541C5F"/>
    <w:rsid w:val="00541E97"/>
    <w:rsid w:val="00542338"/>
    <w:rsid w:val="00542427"/>
    <w:rsid w:val="00542448"/>
    <w:rsid w:val="00542828"/>
    <w:rsid w:val="00542FCC"/>
    <w:rsid w:val="0054319D"/>
    <w:rsid w:val="0054345C"/>
    <w:rsid w:val="0054368E"/>
    <w:rsid w:val="00543764"/>
    <w:rsid w:val="00543955"/>
    <w:rsid w:val="00543C85"/>
    <w:rsid w:val="00544103"/>
    <w:rsid w:val="00544274"/>
    <w:rsid w:val="00544B0E"/>
    <w:rsid w:val="00544B93"/>
    <w:rsid w:val="00544DE9"/>
    <w:rsid w:val="00545B37"/>
    <w:rsid w:val="0054659D"/>
    <w:rsid w:val="00546689"/>
    <w:rsid w:val="00546A6E"/>
    <w:rsid w:val="00546A9C"/>
    <w:rsid w:val="00546B67"/>
    <w:rsid w:val="00546BA3"/>
    <w:rsid w:val="00546FE0"/>
    <w:rsid w:val="00547172"/>
    <w:rsid w:val="00547911"/>
    <w:rsid w:val="00547B16"/>
    <w:rsid w:val="00547DB2"/>
    <w:rsid w:val="00547DEF"/>
    <w:rsid w:val="00550ADA"/>
    <w:rsid w:val="00550C99"/>
    <w:rsid w:val="00550D81"/>
    <w:rsid w:val="005511F8"/>
    <w:rsid w:val="0055134F"/>
    <w:rsid w:val="00551950"/>
    <w:rsid w:val="00551A7C"/>
    <w:rsid w:val="00551D57"/>
    <w:rsid w:val="00552095"/>
    <w:rsid w:val="005520AC"/>
    <w:rsid w:val="0055266C"/>
    <w:rsid w:val="0055279A"/>
    <w:rsid w:val="00552A42"/>
    <w:rsid w:val="00552A56"/>
    <w:rsid w:val="00553413"/>
    <w:rsid w:val="00553552"/>
    <w:rsid w:val="00553A6F"/>
    <w:rsid w:val="00553AC8"/>
    <w:rsid w:val="00554161"/>
    <w:rsid w:val="005543AF"/>
    <w:rsid w:val="005544FE"/>
    <w:rsid w:val="005550FD"/>
    <w:rsid w:val="00555335"/>
    <w:rsid w:val="0055562E"/>
    <w:rsid w:val="00555681"/>
    <w:rsid w:val="005557E8"/>
    <w:rsid w:val="00555AB2"/>
    <w:rsid w:val="00555C22"/>
    <w:rsid w:val="00555ED3"/>
    <w:rsid w:val="005560CB"/>
    <w:rsid w:val="00556AD7"/>
    <w:rsid w:val="00557051"/>
    <w:rsid w:val="00557836"/>
    <w:rsid w:val="0055794E"/>
    <w:rsid w:val="005579B1"/>
    <w:rsid w:val="00557BFD"/>
    <w:rsid w:val="00557C67"/>
    <w:rsid w:val="00557E8D"/>
    <w:rsid w:val="00560058"/>
    <w:rsid w:val="00560AC0"/>
    <w:rsid w:val="00560B8A"/>
    <w:rsid w:val="00560BE6"/>
    <w:rsid w:val="00561129"/>
    <w:rsid w:val="005615DC"/>
    <w:rsid w:val="005619C5"/>
    <w:rsid w:val="00561F84"/>
    <w:rsid w:val="005621B9"/>
    <w:rsid w:val="00562410"/>
    <w:rsid w:val="005628CF"/>
    <w:rsid w:val="00562C56"/>
    <w:rsid w:val="00562F1C"/>
    <w:rsid w:val="005638FF"/>
    <w:rsid w:val="00563C22"/>
    <w:rsid w:val="00563FBF"/>
    <w:rsid w:val="00563FE7"/>
    <w:rsid w:val="00564426"/>
    <w:rsid w:val="005647D5"/>
    <w:rsid w:val="00564C1F"/>
    <w:rsid w:val="00564D57"/>
    <w:rsid w:val="00564DBB"/>
    <w:rsid w:val="00565485"/>
    <w:rsid w:val="00565C90"/>
    <w:rsid w:val="005661FF"/>
    <w:rsid w:val="0056631A"/>
    <w:rsid w:val="0056659E"/>
    <w:rsid w:val="00566AFB"/>
    <w:rsid w:val="00566B0C"/>
    <w:rsid w:val="00566BB2"/>
    <w:rsid w:val="005674F3"/>
    <w:rsid w:val="00567593"/>
    <w:rsid w:val="0056759C"/>
    <w:rsid w:val="00567EDD"/>
    <w:rsid w:val="005701C2"/>
    <w:rsid w:val="00570317"/>
    <w:rsid w:val="00570997"/>
    <w:rsid w:val="00570D2B"/>
    <w:rsid w:val="005711C0"/>
    <w:rsid w:val="00571205"/>
    <w:rsid w:val="00571371"/>
    <w:rsid w:val="00571738"/>
    <w:rsid w:val="00571A12"/>
    <w:rsid w:val="00571C54"/>
    <w:rsid w:val="00571E88"/>
    <w:rsid w:val="005728E4"/>
    <w:rsid w:val="0057296D"/>
    <w:rsid w:val="005732C6"/>
    <w:rsid w:val="00573370"/>
    <w:rsid w:val="00573648"/>
    <w:rsid w:val="00573C8A"/>
    <w:rsid w:val="00573FD5"/>
    <w:rsid w:val="00574179"/>
    <w:rsid w:val="005744EF"/>
    <w:rsid w:val="0057493D"/>
    <w:rsid w:val="00575486"/>
    <w:rsid w:val="005754AB"/>
    <w:rsid w:val="00575665"/>
    <w:rsid w:val="00575BBE"/>
    <w:rsid w:val="005768AB"/>
    <w:rsid w:val="00577099"/>
    <w:rsid w:val="00577D34"/>
    <w:rsid w:val="00577E47"/>
    <w:rsid w:val="00577F93"/>
    <w:rsid w:val="00580334"/>
    <w:rsid w:val="0058096C"/>
    <w:rsid w:val="00580DA4"/>
    <w:rsid w:val="005813C0"/>
    <w:rsid w:val="00581469"/>
    <w:rsid w:val="005814FD"/>
    <w:rsid w:val="005816BE"/>
    <w:rsid w:val="00581BC4"/>
    <w:rsid w:val="00581D07"/>
    <w:rsid w:val="00581D22"/>
    <w:rsid w:val="0058215F"/>
    <w:rsid w:val="005826F4"/>
    <w:rsid w:val="005828DC"/>
    <w:rsid w:val="005829E3"/>
    <w:rsid w:val="00582A0E"/>
    <w:rsid w:val="0058325E"/>
    <w:rsid w:val="005832F4"/>
    <w:rsid w:val="0058356D"/>
    <w:rsid w:val="0058360B"/>
    <w:rsid w:val="0058369E"/>
    <w:rsid w:val="00583A93"/>
    <w:rsid w:val="00583AE4"/>
    <w:rsid w:val="00583D10"/>
    <w:rsid w:val="0058448C"/>
    <w:rsid w:val="00584CAC"/>
    <w:rsid w:val="00585395"/>
    <w:rsid w:val="0058561E"/>
    <w:rsid w:val="00585719"/>
    <w:rsid w:val="00585951"/>
    <w:rsid w:val="00585C35"/>
    <w:rsid w:val="0058604F"/>
    <w:rsid w:val="00586B01"/>
    <w:rsid w:val="00586BA0"/>
    <w:rsid w:val="00586F29"/>
    <w:rsid w:val="00587862"/>
    <w:rsid w:val="005879EF"/>
    <w:rsid w:val="005900D2"/>
    <w:rsid w:val="005901B9"/>
    <w:rsid w:val="00590A30"/>
    <w:rsid w:val="00590B9C"/>
    <w:rsid w:val="00590C97"/>
    <w:rsid w:val="00590D09"/>
    <w:rsid w:val="00591181"/>
    <w:rsid w:val="00591350"/>
    <w:rsid w:val="005913D5"/>
    <w:rsid w:val="0059156A"/>
    <w:rsid w:val="00591744"/>
    <w:rsid w:val="00591AF3"/>
    <w:rsid w:val="00592481"/>
    <w:rsid w:val="0059259D"/>
    <w:rsid w:val="00592623"/>
    <w:rsid w:val="005927B7"/>
    <w:rsid w:val="005929E0"/>
    <w:rsid w:val="00592B1A"/>
    <w:rsid w:val="00592BFB"/>
    <w:rsid w:val="00593200"/>
    <w:rsid w:val="00593314"/>
    <w:rsid w:val="0059368E"/>
    <w:rsid w:val="00593BF5"/>
    <w:rsid w:val="00594336"/>
    <w:rsid w:val="00594459"/>
    <w:rsid w:val="00594496"/>
    <w:rsid w:val="00594AE0"/>
    <w:rsid w:val="00595272"/>
    <w:rsid w:val="005956D3"/>
    <w:rsid w:val="005957CE"/>
    <w:rsid w:val="00595C43"/>
    <w:rsid w:val="0059625F"/>
    <w:rsid w:val="00596365"/>
    <w:rsid w:val="0059653A"/>
    <w:rsid w:val="005965BC"/>
    <w:rsid w:val="0059687F"/>
    <w:rsid w:val="005968FB"/>
    <w:rsid w:val="00596ED3"/>
    <w:rsid w:val="005975F0"/>
    <w:rsid w:val="00597A30"/>
    <w:rsid w:val="005A0123"/>
    <w:rsid w:val="005A06A2"/>
    <w:rsid w:val="005A06B6"/>
    <w:rsid w:val="005A07A3"/>
    <w:rsid w:val="005A0F4E"/>
    <w:rsid w:val="005A13C3"/>
    <w:rsid w:val="005A1793"/>
    <w:rsid w:val="005A17EF"/>
    <w:rsid w:val="005A19D5"/>
    <w:rsid w:val="005A1B1F"/>
    <w:rsid w:val="005A2199"/>
    <w:rsid w:val="005A270F"/>
    <w:rsid w:val="005A2757"/>
    <w:rsid w:val="005A28C3"/>
    <w:rsid w:val="005A2A04"/>
    <w:rsid w:val="005A2ABE"/>
    <w:rsid w:val="005A2CAF"/>
    <w:rsid w:val="005A35E3"/>
    <w:rsid w:val="005A35F6"/>
    <w:rsid w:val="005A383E"/>
    <w:rsid w:val="005A411F"/>
    <w:rsid w:val="005A4136"/>
    <w:rsid w:val="005A46E5"/>
    <w:rsid w:val="005A4980"/>
    <w:rsid w:val="005A4EA6"/>
    <w:rsid w:val="005A5041"/>
    <w:rsid w:val="005A52B0"/>
    <w:rsid w:val="005A55F6"/>
    <w:rsid w:val="005A57CC"/>
    <w:rsid w:val="005A60FA"/>
    <w:rsid w:val="005A656D"/>
    <w:rsid w:val="005A69C4"/>
    <w:rsid w:val="005A6F13"/>
    <w:rsid w:val="005A716D"/>
    <w:rsid w:val="005A75DC"/>
    <w:rsid w:val="005A7C04"/>
    <w:rsid w:val="005A7E78"/>
    <w:rsid w:val="005A7EB3"/>
    <w:rsid w:val="005B0305"/>
    <w:rsid w:val="005B03ED"/>
    <w:rsid w:val="005B0C24"/>
    <w:rsid w:val="005B0D1F"/>
    <w:rsid w:val="005B124C"/>
    <w:rsid w:val="005B1776"/>
    <w:rsid w:val="005B1B53"/>
    <w:rsid w:val="005B1BA3"/>
    <w:rsid w:val="005B1E36"/>
    <w:rsid w:val="005B1FDC"/>
    <w:rsid w:val="005B27C6"/>
    <w:rsid w:val="005B28EC"/>
    <w:rsid w:val="005B32FB"/>
    <w:rsid w:val="005B3314"/>
    <w:rsid w:val="005B352C"/>
    <w:rsid w:val="005B3DC2"/>
    <w:rsid w:val="005B3EA4"/>
    <w:rsid w:val="005B4055"/>
    <w:rsid w:val="005B4B4D"/>
    <w:rsid w:val="005B5131"/>
    <w:rsid w:val="005B55E5"/>
    <w:rsid w:val="005B5957"/>
    <w:rsid w:val="005B66AA"/>
    <w:rsid w:val="005B6EBD"/>
    <w:rsid w:val="005B7430"/>
    <w:rsid w:val="005B7949"/>
    <w:rsid w:val="005B7FE4"/>
    <w:rsid w:val="005C0012"/>
    <w:rsid w:val="005C00D2"/>
    <w:rsid w:val="005C0227"/>
    <w:rsid w:val="005C0315"/>
    <w:rsid w:val="005C05E0"/>
    <w:rsid w:val="005C0932"/>
    <w:rsid w:val="005C0B06"/>
    <w:rsid w:val="005C129B"/>
    <w:rsid w:val="005C1475"/>
    <w:rsid w:val="005C17D7"/>
    <w:rsid w:val="005C1C96"/>
    <w:rsid w:val="005C1F26"/>
    <w:rsid w:val="005C29E9"/>
    <w:rsid w:val="005C2FA6"/>
    <w:rsid w:val="005C2FE8"/>
    <w:rsid w:val="005C301E"/>
    <w:rsid w:val="005C312C"/>
    <w:rsid w:val="005C373A"/>
    <w:rsid w:val="005C37E0"/>
    <w:rsid w:val="005C41C3"/>
    <w:rsid w:val="005C4E5A"/>
    <w:rsid w:val="005C4F71"/>
    <w:rsid w:val="005C51E6"/>
    <w:rsid w:val="005C54B9"/>
    <w:rsid w:val="005C5797"/>
    <w:rsid w:val="005C5A1C"/>
    <w:rsid w:val="005C5BA9"/>
    <w:rsid w:val="005C5DCE"/>
    <w:rsid w:val="005C5DF4"/>
    <w:rsid w:val="005C6345"/>
    <w:rsid w:val="005C634E"/>
    <w:rsid w:val="005C6618"/>
    <w:rsid w:val="005C6759"/>
    <w:rsid w:val="005C6C3E"/>
    <w:rsid w:val="005C6E3D"/>
    <w:rsid w:val="005C7276"/>
    <w:rsid w:val="005C734E"/>
    <w:rsid w:val="005C76DB"/>
    <w:rsid w:val="005C76F4"/>
    <w:rsid w:val="005C7836"/>
    <w:rsid w:val="005C7D16"/>
    <w:rsid w:val="005D0189"/>
    <w:rsid w:val="005D0308"/>
    <w:rsid w:val="005D0DBF"/>
    <w:rsid w:val="005D1569"/>
    <w:rsid w:val="005D1588"/>
    <w:rsid w:val="005D17E5"/>
    <w:rsid w:val="005D1B15"/>
    <w:rsid w:val="005D1E24"/>
    <w:rsid w:val="005D20B6"/>
    <w:rsid w:val="005D2760"/>
    <w:rsid w:val="005D2971"/>
    <w:rsid w:val="005D29D3"/>
    <w:rsid w:val="005D3458"/>
    <w:rsid w:val="005D3856"/>
    <w:rsid w:val="005D3B35"/>
    <w:rsid w:val="005D4126"/>
    <w:rsid w:val="005D41FA"/>
    <w:rsid w:val="005D4825"/>
    <w:rsid w:val="005D49D0"/>
    <w:rsid w:val="005D4C85"/>
    <w:rsid w:val="005D50D4"/>
    <w:rsid w:val="005D5220"/>
    <w:rsid w:val="005D6031"/>
    <w:rsid w:val="005D604B"/>
    <w:rsid w:val="005D6128"/>
    <w:rsid w:val="005D6BB6"/>
    <w:rsid w:val="005D6CAA"/>
    <w:rsid w:val="005D7377"/>
    <w:rsid w:val="005D7719"/>
    <w:rsid w:val="005D78BD"/>
    <w:rsid w:val="005D7BE7"/>
    <w:rsid w:val="005E0026"/>
    <w:rsid w:val="005E00D7"/>
    <w:rsid w:val="005E0653"/>
    <w:rsid w:val="005E06DD"/>
    <w:rsid w:val="005E16FA"/>
    <w:rsid w:val="005E1962"/>
    <w:rsid w:val="005E2005"/>
    <w:rsid w:val="005E256F"/>
    <w:rsid w:val="005E2AE1"/>
    <w:rsid w:val="005E2C8C"/>
    <w:rsid w:val="005E2E06"/>
    <w:rsid w:val="005E3643"/>
    <w:rsid w:val="005E3FE8"/>
    <w:rsid w:val="005E4470"/>
    <w:rsid w:val="005E45DC"/>
    <w:rsid w:val="005E4B6B"/>
    <w:rsid w:val="005E50D5"/>
    <w:rsid w:val="005E527D"/>
    <w:rsid w:val="005E54E0"/>
    <w:rsid w:val="005E578B"/>
    <w:rsid w:val="005E5794"/>
    <w:rsid w:val="005E5B75"/>
    <w:rsid w:val="005E5CE8"/>
    <w:rsid w:val="005E6238"/>
    <w:rsid w:val="005E63AB"/>
    <w:rsid w:val="005E643D"/>
    <w:rsid w:val="005E64C0"/>
    <w:rsid w:val="005E67A4"/>
    <w:rsid w:val="005E6A27"/>
    <w:rsid w:val="005E75B3"/>
    <w:rsid w:val="005E780B"/>
    <w:rsid w:val="005F07F0"/>
    <w:rsid w:val="005F0E60"/>
    <w:rsid w:val="005F1015"/>
    <w:rsid w:val="005F1084"/>
    <w:rsid w:val="005F12AD"/>
    <w:rsid w:val="005F14DA"/>
    <w:rsid w:val="005F16B5"/>
    <w:rsid w:val="005F183E"/>
    <w:rsid w:val="005F1E1C"/>
    <w:rsid w:val="005F24A7"/>
    <w:rsid w:val="005F2578"/>
    <w:rsid w:val="005F337D"/>
    <w:rsid w:val="005F34D9"/>
    <w:rsid w:val="005F3693"/>
    <w:rsid w:val="005F36B2"/>
    <w:rsid w:val="005F3A35"/>
    <w:rsid w:val="005F3D87"/>
    <w:rsid w:val="005F470F"/>
    <w:rsid w:val="005F4779"/>
    <w:rsid w:val="005F4A35"/>
    <w:rsid w:val="005F4AD7"/>
    <w:rsid w:val="005F4FAC"/>
    <w:rsid w:val="005F4FCC"/>
    <w:rsid w:val="005F50A8"/>
    <w:rsid w:val="005F519B"/>
    <w:rsid w:val="005F5FBD"/>
    <w:rsid w:val="005F6586"/>
    <w:rsid w:val="005F68BF"/>
    <w:rsid w:val="005F711A"/>
    <w:rsid w:val="005F7366"/>
    <w:rsid w:val="005F75C1"/>
    <w:rsid w:val="005F79E8"/>
    <w:rsid w:val="005F7CE6"/>
    <w:rsid w:val="00600005"/>
    <w:rsid w:val="00600E31"/>
    <w:rsid w:val="006011CB"/>
    <w:rsid w:val="00601399"/>
    <w:rsid w:val="006015DB"/>
    <w:rsid w:val="006016D4"/>
    <w:rsid w:val="00601819"/>
    <w:rsid w:val="00601BE7"/>
    <w:rsid w:val="00601DC0"/>
    <w:rsid w:val="00601E94"/>
    <w:rsid w:val="006021AA"/>
    <w:rsid w:val="00602229"/>
    <w:rsid w:val="00602641"/>
    <w:rsid w:val="00602672"/>
    <w:rsid w:val="006026EE"/>
    <w:rsid w:val="006030B6"/>
    <w:rsid w:val="0060315A"/>
    <w:rsid w:val="00603C40"/>
    <w:rsid w:val="00603D51"/>
    <w:rsid w:val="00603F0D"/>
    <w:rsid w:val="00603FC0"/>
    <w:rsid w:val="00603FD5"/>
    <w:rsid w:val="00604231"/>
    <w:rsid w:val="00604CAA"/>
    <w:rsid w:val="00604CE9"/>
    <w:rsid w:val="00605216"/>
    <w:rsid w:val="006053E1"/>
    <w:rsid w:val="00605D52"/>
    <w:rsid w:val="00605EA3"/>
    <w:rsid w:val="00605F9C"/>
    <w:rsid w:val="00605FCC"/>
    <w:rsid w:val="00606DAF"/>
    <w:rsid w:val="00606E1F"/>
    <w:rsid w:val="00607078"/>
    <w:rsid w:val="00607307"/>
    <w:rsid w:val="00607620"/>
    <w:rsid w:val="00607C97"/>
    <w:rsid w:val="00607DDA"/>
    <w:rsid w:val="00607F03"/>
    <w:rsid w:val="006100E9"/>
    <w:rsid w:val="00610627"/>
    <w:rsid w:val="00610688"/>
    <w:rsid w:val="006107E0"/>
    <w:rsid w:val="006108AA"/>
    <w:rsid w:val="00610EC8"/>
    <w:rsid w:val="00610F6C"/>
    <w:rsid w:val="0061101A"/>
    <w:rsid w:val="0061131F"/>
    <w:rsid w:val="006115CB"/>
    <w:rsid w:val="00611706"/>
    <w:rsid w:val="00611947"/>
    <w:rsid w:val="00611A1D"/>
    <w:rsid w:val="00611F18"/>
    <w:rsid w:val="0061219E"/>
    <w:rsid w:val="00612206"/>
    <w:rsid w:val="006127B3"/>
    <w:rsid w:val="00612BC4"/>
    <w:rsid w:val="00613016"/>
    <w:rsid w:val="0061352E"/>
    <w:rsid w:val="00613894"/>
    <w:rsid w:val="00613B32"/>
    <w:rsid w:val="00613DA1"/>
    <w:rsid w:val="00613DE9"/>
    <w:rsid w:val="00614089"/>
    <w:rsid w:val="006140CB"/>
    <w:rsid w:val="006141CF"/>
    <w:rsid w:val="00614449"/>
    <w:rsid w:val="00614AD3"/>
    <w:rsid w:val="00615086"/>
    <w:rsid w:val="006150C8"/>
    <w:rsid w:val="006150CE"/>
    <w:rsid w:val="0061518E"/>
    <w:rsid w:val="006153C4"/>
    <w:rsid w:val="00615588"/>
    <w:rsid w:val="00615FC8"/>
    <w:rsid w:val="0061608B"/>
    <w:rsid w:val="00616608"/>
    <w:rsid w:val="00616CA0"/>
    <w:rsid w:val="00616DC8"/>
    <w:rsid w:val="00616F63"/>
    <w:rsid w:val="00617024"/>
    <w:rsid w:val="00617629"/>
    <w:rsid w:val="00617D2D"/>
    <w:rsid w:val="00620548"/>
    <w:rsid w:val="00620748"/>
    <w:rsid w:val="00620999"/>
    <w:rsid w:val="00620AD0"/>
    <w:rsid w:val="006215DD"/>
    <w:rsid w:val="0062175E"/>
    <w:rsid w:val="006218E6"/>
    <w:rsid w:val="006224BF"/>
    <w:rsid w:val="006228D4"/>
    <w:rsid w:val="00622C15"/>
    <w:rsid w:val="00622F2D"/>
    <w:rsid w:val="00622F54"/>
    <w:rsid w:val="006232E0"/>
    <w:rsid w:val="00623A13"/>
    <w:rsid w:val="00623A43"/>
    <w:rsid w:val="00624769"/>
    <w:rsid w:val="0062480F"/>
    <w:rsid w:val="00624A27"/>
    <w:rsid w:val="00624B90"/>
    <w:rsid w:val="0062500E"/>
    <w:rsid w:val="0062592C"/>
    <w:rsid w:val="00626421"/>
    <w:rsid w:val="00626B12"/>
    <w:rsid w:val="00626B65"/>
    <w:rsid w:val="00627358"/>
    <w:rsid w:val="006276E8"/>
    <w:rsid w:val="00627C52"/>
    <w:rsid w:val="00627DAA"/>
    <w:rsid w:val="0063094A"/>
    <w:rsid w:val="0063097B"/>
    <w:rsid w:val="00630D86"/>
    <w:rsid w:val="00630F02"/>
    <w:rsid w:val="00630F63"/>
    <w:rsid w:val="0063182E"/>
    <w:rsid w:val="00631B19"/>
    <w:rsid w:val="00631C71"/>
    <w:rsid w:val="00631D27"/>
    <w:rsid w:val="0063218D"/>
    <w:rsid w:val="0063226A"/>
    <w:rsid w:val="00632550"/>
    <w:rsid w:val="006326A1"/>
    <w:rsid w:val="00632AD8"/>
    <w:rsid w:val="00632CF4"/>
    <w:rsid w:val="00632E52"/>
    <w:rsid w:val="00632FBD"/>
    <w:rsid w:val="0063326D"/>
    <w:rsid w:val="006336E4"/>
    <w:rsid w:val="0063386C"/>
    <w:rsid w:val="00633CFE"/>
    <w:rsid w:val="0063452E"/>
    <w:rsid w:val="00634CCF"/>
    <w:rsid w:val="00634FE5"/>
    <w:rsid w:val="006353D5"/>
    <w:rsid w:val="0063559D"/>
    <w:rsid w:val="006357E6"/>
    <w:rsid w:val="00635DD9"/>
    <w:rsid w:val="00636227"/>
    <w:rsid w:val="00636461"/>
    <w:rsid w:val="006369E6"/>
    <w:rsid w:val="00636B1D"/>
    <w:rsid w:val="00636CB7"/>
    <w:rsid w:val="00636EBA"/>
    <w:rsid w:val="00636F8B"/>
    <w:rsid w:val="006372B8"/>
    <w:rsid w:val="00637421"/>
    <w:rsid w:val="00637441"/>
    <w:rsid w:val="006374DE"/>
    <w:rsid w:val="0063784D"/>
    <w:rsid w:val="00637AD0"/>
    <w:rsid w:val="00637D36"/>
    <w:rsid w:val="0064007B"/>
    <w:rsid w:val="006402D1"/>
    <w:rsid w:val="006404AD"/>
    <w:rsid w:val="006404D1"/>
    <w:rsid w:val="00640727"/>
    <w:rsid w:val="0064077B"/>
    <w:rsid w:val="006407B4"/>
    <w:rsid w:val="006408A2"/>
    <w:rsid w:val="00640F40"/>
    <w:rsid w:val="00640F90"/>
    <w:rsid w:val="00640FD8"/>
    <w:rsid w:val="00641036"/>
    <w:rsid w:val="00641150"/>
    <w:rsid w:val="00641676"/>
    <w:rsid w:val="006416A4"/>
    <w:rsid w:val="00641745"/>
    <w:rsid w:val="0064185E"/>
    <w:rsid w:val="00641982"/>
    <w:rsid w:val="00641DEC"/>
    <w:rsid w:val="00642164"/>
    <w:rsid w:val="006425E4"/>
    <w:rsid w:val="0064265C"/>
    <w:rsid w:val="006427D6"/>
    <w:rsid w:val="00643014"/>
    <w:rsid w:val="00643246"/>
    <w:rsid w:val="00643529"/>
    <w:rsid w:val="0064360F"/>
    <w:rsid w:val="00643D5F"/>
    <w:rsid w:val="006444F4"/>
    <w:rsid w:val="00644AEB"/>
    <w:rsid w:val="00644B6C"/>
    <w:rsid w:val="00644D7A"/>
    <w:rsid w:val="00644DBF"/>
    <w:rsid w:val="006451B8"/>
    <w:rsid w:val="00645A6A"/>
    <w:rsid w:val="00645ACD"/>
    <w:rsid w:val="00645D9D"/>
    <w:rsid w:val="00645FA1"/>
    <w:rsid w:val="00645FE6"/>
    <w:rsid w:val="006460D2"/>
    <w:rsid w:val="006470CE"/>
    <w:rsid w:val="006475BD"/>
    <w:rsid w:val="006477A5"/>
    <w:rsid w:val="006478E9"/>
    <w:rsid w:val="00647A8F"/>
    <w:rsid w:val="006502FD"/>
    <w:rsid w:val="00650303"/>
    <w:rsid w:val="006503F7"/>
    <w:rsid w:val="00650483"/>
    <w:rsid w:val="0065054C"/>
    <w:rsid w:val="00651128"/>
    <w:rsid w:val="00651163"/>
    <w:rsid w:val="00651258"/>
    <w:rsid w:val="00651634"/>
    <w:rsid w:val="0065190C"/>
    <w:rsid w:val="00651A60"/>
    <w:rsid w:val="00651CED"/>
    <w:rsid w:val="00652107"/>
    <w:rsid w:val="0065253F"/>
    <w:rsid w:val="0065258D"/>
    <w:rsid w:val="006526A5"/>
    <w:rsid w:val="006526E5"/>
    <w:rsid w:val="006527FF"/>
    <w:rsid w:val="00652BBA"/>
    <w:rsid w:val="00652D75"/>
    <w:rsid w:val="0065315C"/>
    <w:rsid w:val="00653487"/>
    <w:rsid w:val="00654100"/>
    <w:rsid w:val="0065416F"/>
    <w:rsid w:val="0065431B"/>
    <w:rsid w:val="006544C9"/>
    <w:rsid w:val="00654A99"/>
    <w:rsid w:val="006554D4"/>
    <w:rsid w:val="00655669"/>
    <w:rsid w:val="00655C72"/>
    <w:rsid w:val="006566C2"/>
    <w:rsid w:val="0065690B"/>
    <w:rsid w:val="00656A8A"/>
    <w:rsid w:val="006570E1"/>
    <w:rsid w:val="006571CD"/>
    <w:rsid w:val="00657B83"/>
    <w:rsid w:val="00657D62"/>
    <w:rsid w:val="00660736"/>
    <w:rsid w:val="00660C40"/>
    <w:rsid w:val="00660FCB"/>
    <w:rsid w:val="00661671"/>
    <w:rsid w:val="0066187D"/>
    <w:rsid w:val="006618F7"/>
    <w:rsid w:val="006619B4"/>
    <w:rsid w:val="00661A79"/>
    <w:rsid w:val="0066213D"/>
    <w:rsid w:val="00662209"/>
    <w:rsid w:val="006624F6"/>
    <w:rsid w:val="006629E3"/>
    <w:rsid w:val="00662B0E"/>
    <w:rsid w:val="00662E42"/>
    <w:rsid w:val="00662F52"/>
    <w:rsid w:val="006634B8"/>
    <w:rsid w:val="0066380E"/>
    <w:rsid w:val="00663A55"/>
    <w:rsid w:val="00664053"/>
    <w:rsid w:val="0066435F"/>
    <w:rsid w:val="006644DF"/>
    <w:rsid w:val="00664901"/>
    <w:rsid w:val="006649DA"/>
    <w:rsid w:val="00664A56"/>
    <w:rsid w:val="0066545A"/>
    <w:rsid w:val="00665566"/>
    <w:rsid w:val="006655A5"/>
    <w:rsid w:val="00665C44"/>
    <w:rsid w:val="006669E0"/>
    <w:rsid w:val="00666A2D"/>
    <w:rsid w:val="00666B2B"/>
    <w:rsid w:val="006675EC"/>
    <w:rsid w:val="00667640"/>
    <w:rsid w:val="0067001B"/>
    <w:rsid w:val="00670C34"/>
    <w:rsid w:val="006717DF"/>
    <w:rsid w:val="006718D6"/>
    <w:rsid w:val="006721E0"/>
    <w:rsid w:val="00672C6F"/>
    <w:rsid w:val="006731AE"/>
    <w:rsid w:val="006732D4"/>
    <w:rsid w:val="00673598"/>
    <w:rsid w:val="00674670"/>
    <w:rsid w:val="006748AE"/>
    <w:rsid w:val="006749DD"/>
    <w:rsid w:val="0067558F"/>
    <w:rsid w:val="006756FA"/>
    <w:rsid w:val="00675B3A"/>
    <w:rsid w:val="00675D28"/>
    <w:rsid w:val="00675DCA"/>
    <w:rsid w:val="00676405"/>
    <w:rsid w:val="0067652A"/>
    <w:rsid w:val="00676815"/>
    <w:rsid w:val="00676A40"/>
    <w:rsid w:val="00676CA2"/>
    <w:rsid w:val="00677050"/>
    <w:rsid w:val="006771FF"/>
    <w:rsid w:val="00677269"/>
    <w:rsid w:val="006772D9"/>
    <w:rsid w:val="00677DDF"/>
    <w:rsid w:val="00677DE6"/>
    <w:rsid w:val="00677FA0"/>
    <w:rsid w:val="00680F41"/>
    <w:rsid w:val="00680FEC"/>
    <w:rsid w:val="006810B6"/>
    <w:rsid w:val="00681434"/>
    <w:rsid w:val="00681C12"/>
    <w:rsid w:val="00681D28"/>
    <w:rsid w:val="0068247A"/>
    <w:rsid w:val="00682600"/>
    <w:rsid w:val="00682E6E"/>
    <w:rsid w:val="00682F50"/>
    <w:rsid w:val="006831EF"/>
    <w:rsid w:val="00683223"/>
    <w:rsid w:val="00683340"/>
    <w:rsid w:val="00683648"/>
    <w:rsid w:val="006839A1"/>
    <w:rsid w:val="00683A41"/>
    <w:rsid w:val="00684406"/>
    <w:rsid w:val="006844B4"/>
    <w:rsid w:val="00684573"/>
    <w:rsid w:val="00684A23"/>
    <w:rsid w:val="00684F61"/>
    <w:rsid w:val="00685168"/>
    <w:rsid w:val="006854FA"/>
    <w:rsid w:val="0068578D"/>
    <w:rsid w:val="006857BC"/>
    <w:rsid w:val="00685DEA"/>
    <w:rsid w:val="00686246"/>
    <w:rsid w:val="0068624E"/>
    <w:rsid w:val="0068650E"/>
    <w:rsid w:val="0068659A"/>
    <w:rsid w:val="00686D30"/>
    <w:rsid w:val="006870E8"/>
    <w:rsid w:val="0068724F"/>
    <w:rsid w:val="0069031E"/>
    <w:rsid w:val="006905EC"/>
    <w:rsid w:val="00690DA2"/>
    <w:rsid w:val="00690EC6"/>
    <w:rsid w:val="00690F82"/>
    <w:rsid w:val="00691982"/>
    <w:rsid w:val="00691A40"/>
    <w:rsid w:val="00691A43"/>
    <w:rsid w:val="00691A73"/>
    <w:rsid w:val="00691E2F"/>
    <w:rsid w:val="0069214B"/>
    <w:rsid w:val="00692625"/>
    <w:rsid w:val="00692AE1"/>
    <w:rsid w:val="00693267"/>
    <w:rsid w:val="00693BCC"/>
    <w:rsid w:val="006943C7"/>
    <w:rsid w:val="0069487B"/>
    <w:rsid w:val="006948E4"/>
    <w:rsid w:val="006949C3"/>
    <w:rsid w:val="00695015"/>
    <w:rsid w:val="0069538D"/>
    <w:rsid w:val="00695787"/>
    <w:rsid w:val="00695B86"/>
    <w:rsid w:val="00696277"/>
    <w:rsid w:val="00696318"/>
    <w:rsid w:val="00696369"/>
    <w:rsid w:val="0069691F"/>
    <w:rsid w:val="00696D9A"/>
    <w:rsid w:val="0069757A"/>
    <w:rsid w:val="006978C1"/>
    <w:rsid w:val="00697973"/>
    <w:rsid w:val="00697B77"/>
    <w:rsid w:val="006A1123"/>
    <w:rsid w:val="006A154A"/>
    <w:rsid w:val="006A1662"/>
    <w:rsid w:val="006A1667"/>
    <w:rsid w:val="006A1DEF"/>
    <w:rsid w:val="006A1FE8"/>
    <w:rsid w:val="006A2375"/>
    <w:rsid w:val="006A2570"/>
    <w:rsid w:val="006A2718"/>
    <w:rsid w:val="006A2B04"/>
    <w:rsid w:val="006A2B4E"/>
    <w:rsid w:val="006A322D"/>
    <w:rsid w:val="006A346D"/>
    <w:rsid w:val="006A34E1"/>
    <w:rsid w:val="006A3A47"/>
    <w:rsid w:val="006A3CE5"/>
    <w:rsid w:val="006A4156"/>
    <w:rsid w:val="006A4417"/>
    <w:rsid w:val="006A4686"/>
    <w:rsid w:val="006A4A46"/>
    <w:rsid w:val="006A4A90"/>
    <w:rsid w:val="006A52D2"/>
    <w:rsid w:val="006A5377"/>
    <w:rsid w:val="006A54C1"/>
    <w:rsid w:val="006A61C7"/>
    <w:rsid w:val="006A687F"/>
    <w:rsid w:val="006A6925"/>
    <w:rsid w:val="006A7069"/>
    <w:rsid w:val="006A7E06"/>
    <w:rsid w:val="006A7E99"/>
    <w:rsid w:val="006B01AF"/>
    <w:rsid w:val="006B04F3"/>
    <w:rsid w:val="006B06CA"/>
    <w:rsid w:val="006B07D3"/>
    <w:rsid w:val="006B0B00"/>
    <w:rsid w:val="006B0BEE"/>
    <w:rsid w:val="006B139A"/>
    <w:rsid w:val="006B1819"/>
    <w:rsid w:val="006B186F"/>
    <w:rsid w:val="006B1AE0"/>
    <w:rsid w:val="006B1FF1"/>
    <w:rsid w:val="006B21F7"/>
    <w:rsid w:val="006B2D58"/>
    <w:rsid w:val="006B2ECC"/>
    <w:rsid w:val="006B31BB"/>
    <w:rsid w:val="006B4009"/>
    <w:rsid w:val="006B40AE"/>
    <w:rsid w:val="006B450F"/>
    <w:rsid w:val="006B467F"/>
    <w:rsid w:val="006B4728"/>
    <w:rsid w:val="006B4897"/>
    <w:rsid w:val="006B4951"/>
    <w:rsid w:val="006B4D78"/>
    <w:rsid w:val="006B5066"/>
    <w:rsid w:val="006B5189"/>
    <w:rsid w:val="006B51AD"/>
    <w:rsid w:val="006B5D14"/>
    <w:rsid w:val="006B5E63"/>
    <w:rsid w:val="006B650A"/>
    <w:rsid w:val="006B65D5"/>
    <w:rsid w:val="006B6803"/>
    <w:rsid w:val="006B6970"/>
    <w:rsid w:val="006B69D2"/>
    <w:rsid w:val="006B6E82"/>
    <w:rsid w:val="006B6EA8"/>
    <w:rsid w:val="006B70D9"/>
    <w:rsid w:val="006B74D5"/>
    <w:rsid w:val="006B77B6"/>
    <w:rsid w:val="006B7C79"/>
    <w:rsid w:val="006C04DA"/>
    <w:rsid w:val="006C060F"/>
    <w:rsid w:val="006C0733"/>
    <w:rsid w:val="006C084B"/>
    <w:rsid w:val="006C0CF9"/>
    <w:rsid w:val="006C0D35"/>
    <w:rsid w:val="006C0EAC"/>
    <w:rsid w:val="006C100F"/>
    <w:rsid w:val="006C1948"/>
    <w:rsid w:val="006C1949"/>
    <w:rsid w:val="006C1C27"/>
    <w:rsid w:val="006C1DF6"/>
    <w:rsid w:val="006C1EB1"/>
    <w:rsid w:val="006C202D"/>
    <w:rsid w:val="006C2A1D"/>
    <w:rsid w:val="006C2B01"/>
    <w:rsid w:val="006C36D5"/>
    <w:rsid w:val="006C398A"/>
    <w:rsid w:val="006C3A2A"/>
    <w:rsid w:val="006C3F0D"/>
    <w:rsid w:val="006C4104"/>
    <w:rsid w:val="006C435A"/>
    <w:rsid w:val="006C4463"/>
    <w:rsid w:val="006C4AF4"/>
    <w:rsid w:val="006C4C82"/>
    <w:rsid w:val="006C4D1B"/>
    <w:rsid w:val="006C5033"/>
    <w:rsid w:val="006C5133"/>
    <w:rsid w:val="006C51E8"/>
    <w:rsid w:val="006C529A"/>
    <w:rsid w:val="006C554A"/>
    <w:rsid w:val="006C58BC"/>
    <w:rsid w:val="006C59B0"/>
    <w:rsid w:val="006C60F2"/>
    <w:rsid w:val="006C6349"/>
    <w:rsid w:val="006C644E"/>
    <w:rsid w:val="006C6F10"/>
    <w:rsid w:val="006C758A"/>
    <w:rsid w:val="006C773A"/>
    <w:rsid w:val="006C788D"/>
    <w:rsid w:val="006C78A2"/>
    <w:rsid w:val="006C7FBA"/>
    <w:rsid w:val="006D010C"/>
    <w:rsid w:val="006D040F"/>
    <w:rsid w:val="006D095B"/>
    <w:rsid w:val="006D0BD0"/>
    <w:rsid w:val="006D16B4"/>
    <w:rsid w:val="006D1747"/>
    <w:rsid w:val="006D1B3D"/>
    <w:rsid w:val="006D2118"/>
    <w:rsid w:val="006D2424"/>
    <w:rsid w:val="006D2485"/>
    <w:rsid w:val="006D269B"/>
    <w:rsid w:val="006D295A"/>
    <w:rsid w:val="006D2B23"/>
    <w:rsid w:val="006D2CA3"/>
    <w:rsid w:val="006D2DF5"/>
    <w:rsid w:val="006D3129"/>
    <w:rsid w:val="006D329C"/>
    <w:rsid w:val="006D32FF"/>
    <w:rsid w:val="006D34FF"/>
    <w:rsid w:val="006D35DD"/>
    <w:rsid w:val="006D3D0F"/>
    <w:rsid w:val="006D3F0F"/>
    <w:rsid w:val="006D3F2F"/>
    <w:rsid w:val="006D3F8E"/>
    <w:rsid w:val="006D3FF3"/>
    <w:rsid w:val="006D427B"/>
    <w:rsid w:val="006D47AF"/>
    <w:rsid w:val="006D47B9"/>
    <w:rsid w:val="006D4F09"/>
    <w:rsid w:val="006D4FEC"/>
    <w:rsid w:val="006D5976"/>
    <w:rsid w:val="006D5BE4"/>
    <w:rsid w:val="006D5D84"/>
    <w:rsid w:val="006D5F4F"/>
    <w:rsid w:val="006D600D"/>
    <w:rsid w:val="006D620D"/>
    <w:rsid w:val="006D6481"/>
    <w:rsid w:val="006D6802"/>
    <w:rsid w:val="006D6B35"/>
    <w:rsid w:val="006D6CE1"/>
    <w:rsid w:val="006D6D47"/>
    <w:rsid w:val="006D6E2A"/>
    <w:rsid w:val="006D770B"/>
    <w:rsid w:val="006D78B1"/>
    <w:rsid w:val="006D7F04"/>
    <w:rsid w:val="006E0242"/>
    <w:rsid w:val="006E0469"/>
    <w:rsid w:val="006E074B"/>
    <w:rsid w:val="006E1463"/>
    <w:rsid w:val="006E1BB1"/>
    <w:rsid w:val="006E1BB3"/>
    <w:rsid w:val="006E1DC2"/>
    <w:rsid w:val="006E22E5"/>
    <w:rsid w:val="006E234E"/>
    <w:rsid w:val="006E2494"/>
    <w:rsid w:val="006E2DFC"/>
    <w:rsid w:val="006E2E8B"/>
    <w:rsid w:val="006E326F"/>
    <w:rsid w:val="006E3359"/>
    <w:rsid w:val="006E33BE"/>
    <w:rsid w:val="006E3517"/>
    <w:rsid w:val="006E3536"/>
    <w:rsid w:val="006E3CF3"/>
    <w:rsid w:val="006E4B4D"/>
    <w:rsid w:val="006E4F13"/>
    <w:rsid w:val="006E51E0"/>
    <w:rsid w:val="006E53BE"/>
    <w:rsid w:val="006E55FE"/>
    <w:rsid w:val="006E5885"/>
    <w:rsid w:val="006E5E11"/>
    <w:rsid w:val="006E615A"/>
    <w:rsid w:val="006E664A"/>
    <w:rsid w:val="006E6702"/>
    <w:rsid w:val="006E6A2B"/>
    <w:rsid w:val="006E6C1D"/>
    <w:rsid w:val="006E6CBB"/>
    <w:rsid w:val="006E6FE2"/>
    <w:rsid w:val="006E7002"/>
    <w:rsid w:val="006E7600"/>
    <w:rsid w:val="006E7613"/>
    <w:rsid w:val="006E784F"/>
    <w:rsid w:val="006E78E6"/>
    <w:rsid w:val="006E7A6D"/>
    <w:rsid w:val="006E7C66"/>
    <w:rsid w:val="006F00EB"/>
    <w:rsid w:val="006F017B"/>
    <w:rsid w:val="006F0230"/>
    <w:rsid w:val="006F0565"/>
    <w:rsid w:val="006F05D9"/>
    <w:rsid w:val="006F0687"/>
    <w:rsid w:val="006F0918"/>
    <w:rsid w:val="006F0C7A"/>
    <w:rsid w:val="006F1273"/>
    <w:rsid w:val="006F152C"/>
    <w:rsid w:val="006F1BB0"/>
    <w:rsid w:val="006F1C59"/>
    <w:rsid w:val="006F1EF0"/>
    <w:rsid w:val="006F3030"/>
    <w:rsid w:val="006F303F"/>
    <w:rsid w:val="006F30FB"/>
    <w:rsid w:val="006F3791"/>
    <w:rsid w:val="006F3969"/>
    <w:rsid w:val="006F3F21"/>
    <w:rsid w:val="006F40D1"/>
    <w:rsid w:val="006F4571"/>
    <w:rsid w:val="006F4749"/>
    <w:rsid w:val="006F4852"/>
    <w:rsid w:val="006F4887"/>
    <w:rsid w:val="006F498A"/>
    <w:rsid w:val="006F5985"/>
    <w:rsid w:val="006F5992"/>
    <w:rsid w:val="006F599C"/>
    <w:rsid w:val="006F5B7D"/>
    <w:rsid w:val="006F5EF4"/>
    <w:rsid w:val="006F6008"/>
    <w:rsid w:val="006F6159"/>
    <w:rsid w:val="006F65B5"/>
    <w:rsid w:val="006F722E"/>
    <w:rsid w:val="006F7393"/>
    <w:rsid w:val="006F73C2"/>
    <w:rsid w:val="006F7C51"/>
    <w:rsid w:val="006F7D47"/>
    <w:rsid w:val="0070013B"/>
    <w:rsid w:val="00700786"/>
    <w:rsid w:val="00700929"/>
    <w:rsid w:val="007009F3"/>
    <w:rsid w:val="00701100"/>
    <w:rsid w:val="0070125A"/>
    <w:rsid w:val="007014D0"/>
    <w:rsid w:val="007015CB"/>
    <w:rsid w:val="00701790"/>
    <w:rsid w:val="00701A26"/>
    <w:rsid w:val="00701D0C"/>
    <w:rsid w:val="0070215C"/>
    <w:rsid w:val="00702187"/>
    <w:rsid w:val="007027C8"/>
    <w:rsid w:val="00702904"/>
    <w:rsid w:val="00702B05"/>
    <w:rsid w:val="00702FFD"/>
    <w:rsid w:val="00703667"/>
    <w:rsid w:val="0070376B"/>
    <w:rsid w:val="00703901"/>
    <w:rsid w:val="00703BE3"/>
    <w:rsid w:val="00703C70"/>
    <w:rsid w:val="00703E35"/>
    <w:rsid w:val="00703EF6"/>
    <w:rsid w:val="0070420B"/>
    <w:rsid w:val="00704235"/>
    <w:rsid w:val="0070450D"/>
    <w:rsid w:val="00704739"/>
    <w:rsid w:val="00704798"/>
    <w:rsid w:val="00704903"/>
    <w:rsid w:val="00704F75"/>
    <w:rsid w:val="007051BD"/>
    <w:rsid w:val="007051C6"/>
    <w:rsid w:val="00705367"/>
    <w:rsid w:val="0070571C"/>
    <w:rsid w:val="00705788"/>
    <w:rsid w:val="007059BE"/>
    <w:rsid w:val="007065EA"/>
    <w:rsid w:val="00706BF9"/>
    <w:rsid w:val="00707E73"/>
    <w:rsid w:val="00707EF7"/>
    <w:rsid w:val="00710192"/>
    <w:rsid w:val="007116CF"/>
    <w:rsid w:val="00711EBA"/>
    <w:rsid w:val="007125FF"/>
    <w:rsid w:val="00712C02"/>
    <w:rsid w:val="00712EDC"/>
    <w:rsid w:val="00713303"/>
    <w:rsid w:val="0071361C"/>
    <w:rsid w:val="0071372D"/>
    <w:rsid w:val="00713F2A"/>
    <w:rsid w:val="00714323"/>
    <w:rsid w:val="00714488"/>
    <w:rsid w:val="007149B1"/>
    <w:rsid w:val="007150E1"/>
    <w:rsid w:val="007151A1"/>
    <w:rsid w:val="007152AB"/>
    <w:rsid w:val="00715379"/>
    <w:rsid w:val="007153D9"/>
    <w:rsid w:val="007158C6"/>
    <w:rsid w:val="00715A3B"/>
    <w:rsid w:val="00715C95"/>
    <w:rsid w:val="00715FD2"/>
    <w:rsid w:val="0071624D"/>
    <w:rsid w:val="00716341"/>
    <w:rsid w:val="0071659B"/>
    <w:rsid w:val="00716606"/>
    <w:rsid w:val="0071678E"/>
    <w:rsid w:val="0071689B"/>
    <w:rsid w:val="007168B2"/>
    <w:rsid w:val="00716D7A"/>
    <w:rsid w:val="00716E41"/>
    <w:rsid w:val="00717112"/>
    <w:rsid w:val="007179DF"/>
    <w:rsid w:val="007204BD"/>
    <w:rsid w:val="00720507"/>
    <w:rsid w:val="0072085D"/>
    <w:rsid w:val="007212FC"/>
    <w:rsid w:val="007214C8"/>
    <w:rsid w:val="007215EF"/>
    <w:rsid w:val="0072177F"/>
    <w:rsid w:val="007217C7"/>
    <w:rsid w:val="00721817"/>
    <w:rsid w:val="00721E46"/>
    <w:rsid w:val="00722387"/>
    <w:rsid w:val="007225F1"/>
    <w:rsid w:val="00722777"/>
    <w:rsid w:val="007228EA"/>
    <w:rsid w:val="00722AFB"/>
    <w:rsid w:val="00722E73"/>
    <w:rsid w:val="00723DEB"/>
    <w:rsid w:val="00723F7C"/>
    <w:rsid w:val="007240CB"/>
    <w:rsid w:val="00724554"/>
    <w:rsid w:val="007245E5"/>
    <w:rsid w:val="007248A7"/>
    <w:rsid w:val="00724DE8"/>
    <w:rsid w:val="00724E0E"/>
    <w:rsid w:val="0072512D"/>
    <w:rsid w:val="0072535E"/>
    <w:rsid w:val="007261C2"/>
    <w:rsid w:val="00726E10"/>
    <w:rsid w:val="007270D9"/>
    <w:rsid w:val="00727D4F"/>
    <w:rsid w:val="00727E0F"/>
    <w:rsid w:val="007301C9"/>
    <w:rsid w:val="007308E6"/>
    <w:rsid w:val="00730967"/>
    <w:rsid w:val="007309CF"/>
    <w:rsid w:val="00730C76"/>
    <w:rsid w:val="00730CC5"/>
    <w:rsid w:val="00731A01"/>
    <w:rsid w:val="00731E81"/>
    <w:rsid w:val="00732407"/>
    <w:rsid w:val="007326CD"/>
    <w:rsid w:val="007327AB"/>
    <w:rsid w:val="00732C13"/>
    <w:rsid w:val="00732DC4"/>
    <w:rsid w:val="00732DE4"/>
    <w:rsid w:val="00732E65"/>
    <w:rsid w:val="00733470"/>
    <w:rsid w:val="00733517"/>
    <w:rsid w:val="00733679"/>
    <w:rsid w:val="007337D0"/>
    <w:rsid w:val="007339EC"/>
    <w:rsid w:val="00733BFF"/>
    <w:rsid w:val="007340EE"/>
    <w:rsid w:val="0073422C"/>
    <w:rsid w:val="007342F3"/>
    <w:rsid w:val="0073523A"/>
    <w:rsid w:val="007353FE"/>
    <w:rsid w:val="007354C8"/>
    <w:rsid w:val="00735551"/>
    <w:rsid w:val="007358A6"/>
    <w:rsid w:val="007363D6"/>
    <w:rsid w:val="00736680"/>
    <w:rsid w:val="007366E2"/>
    <w:rsid w:val="00736F7D"/>
    <w:rsid w:val="00737176"/>
    <w:rsid w:val="00737329"/>
    <w:rsid w:val="00737393"/>
    <w:rsid w:val="007373F6"/>
    <w:rsid w:val="007375D5"/>
    <w:rsid w:val="00737E34"/>
    <w:rsid w:val="00737E49"/>
    <w:rsid w:val="0074011C"/>
    <w:rsid w:val="0074042B"/>
    <w:rsid w:val="007406CE"/>
    <w:rsid w:val="00740728"/>
    <w:rsid w:val="007409C2"/>
    <w:rsid w:val="007415EB"/>
    <w:rsid w:val="00741A84"/>
    <w:rsid w:val="00741E20"/>
    <w:rsid w:val="00741E5C"/>
    <w:rsid w:val="007425E0"/>
    <w:rsid w:val="0074275A"/>
    <w:rsid w:val="007429A2"/>
    <w:rsid w:val="00742DE2"/>
    <w:rsid w:val="00742F0D"/>
    <w:rsid w:val="00743057"/>
    <w:rsid w:val="00743548"/>
    <w:rsid w:val="0074391C"/>
    <w:rsid w:val="00743988"/>
    <w:rsid w:val="00743D7F"/>
    <w:rsid w:val="00744120"/>
    <w:rsid w:val="0074558A"/>
    <w:rsid w:val="0074563A"/>
    <w:rsid w:val="00745713"/>
    <w:rsid w:val="007457A0"/>
    <w:rsid w:val="00745802"/>
    <w:rsid w:val="00745B97"/>
    <w:rsid w:val="00745EB4"/>
    <w:rsid w:val="0074621F"/>
    <w:rsid w:val="0074689C"/>
    <w:rsid w:val="00746C0D"/>
    <w:rsid w:val="00746C31"/>
    <w:rsid w:val="00746CA1"/>
    <w:rsid w:val="00746FD0"/>
    <w:rsid w:val="00747927"/>
    <w:rsid w:val="00747E96"/>
    <w:rsid w:val="007502FE"/>
    <w:rsid w:val="007503EA"/>
    <w:rsid w:val="00751189"/>
    <w:rsid w:val="00751704"/>
    <w:rsid w:val="0075175E"/>
    <w:rsid w:val="00751BBE"/>
    <w:rsid w:val="007521D2"/>
    <w:rsid w:val="0075222B"/>
    <w:rsid w:val="00752A0E"/>
    <w:rsid w:val="00752A10"/>
    <w:rsid w:val="00752A9C"/>
    <w:rsid w:val="00752ABA"/>
    <w:rsid w:val="00752CFE"/>
    <w:rsid w:val="00752D09"/>
    <w:rsid w:val="00753264"/>
    <w:rsid w:val="007536F9"/>
    <w:rsid w:val="007537FE"/>
    <w:rsid w:val="00753800"/>
    <w:rsid w:val="0075386F"/>
    <w:rsid w:val="00753A08"/>
    <w:rsid w:val="0075402D"/>
    <w:rsid w:val="00754729"/>
    <w:rsid w:val="00754B7A"/>
    <w:rsid w:val="00755575"/>
    <w:rsid w:val="007558AF"/>
    <w:rsid w:val="0075601B"/>
    <w:rsid w:val="00756782"/>
    <w:rsid w:val="00756B94"/>
    <w:rsid w:val="00756E13"/>
    <w:rsid w:val="00756E19"/>
    <w:rsid w:val="007577A1"/>
    <w:rsid w:val="00757C87"/>
    <w:rsid w:val="00760005"/>
    <w:rsid w:val="00760117"/>
    <w:rsid w:val="00760304"/>
    <w:rsid w:val="007604B5"/>
    <w:rsid w:val="00760520"/>
    <w:rsid w:val="00760C82"/>
    <w:rsid w:val="00760C94"/>
    <w:rsid w:val="00760E1B"/>
    <w:rsid w:val="0076146C"/>
    <w:rsid w:val="00761AA2"/>
    <w:rsid w:val="00761B16"/>
    <w:rsid w:val="00761E01"/>
    <w:rsid w:val="00762093"/>
    <w:rsid w:val="007626BA"/>
    <w:rsid w:val="00762772"/>
    <w:rsid w:val="007628A1"/>
    <w:rsid w:val="00762903"/>
    <w:rsid w:val="00762ACF"/>
    <w:rsid w:val="00762C24"/>
    <w:rsid w:val="00762D7D"/>
    <w:rsid w:val="00762F69"/>
    <w:rsid w:val="00763015"/>
    <w:rsid w:val="0076306E"/>
    <w:rsid w:val="00763798"/>
    <w:rsid w:val="00763C18"/>
    <w:rsid w:val="00763C5F"/>
    <w:rsid w:val="00763EE7"/>
    <w:rsid w:val="00763EF6"/>
    <w:rsid w:val="00764FCC"/>
    <w:rsid w:val="00764FE1"/>
    <w:rsid w:val="00765136"/>
    <w:rsid w:val="0076586E"/>
    <w:rsid w:val="00765975"/>
    <w:rsid w:val="00765D9C"/>
    <w:rsid w:val="007669DE"/>
    <w:rsid w:val="00766C73"/>
    <w:rsid w:val="007672BE"/>
    <w:rsid w:val="007679CC"/>
    <w:rsid w:val="00767EAE"/>
    <w:rsid w:val="0077021E"/>
    <w:rsid w:val="007703D8"/>
    <w:rsid w:val="00770A75"/>
    <w:rsid w:val="00770BD8"/>
    <w:rsid w:val="00770DB0"/>
    <w:rsid w:val="00770E64"/>
    <w:rsid w:val="007712B1"/>
    <w:rsid w:val="00771744"/>
    <w:rsid w:val="00771956"/>
    <w:rsid w:val="00771FA9"/>
    <w:rsid w:val="007722F4"/>
    <w:rsid w:val="00772D07"/>
    <w:rsid w:val="0077333C"/>
    <w:rsid w:val="007733E1"/>
    <w:rsid w:val="00773673"/>
    <w:rsid w:val="00773B66"/>
    <w:rsid w:val="00773BC5"/>
    <w:rsid w:val="00773C6B"/>
    <w:rsid w:val="00773E8D"/>
    <w:rsid w:val="0077420B"/>
    <w:rsid w:val="007743E4"/>
    <w:rsid w:val="00774A0A"/>
    <w:rsid w:val="00774C54"/>
    <w:rsid w:val="00774C81"/>
    <w:rsid w:val="00774DD4"/>
    <w:rsid w:val="00775165"/>
    <w:rsid w:val="007758B5"/>
    <w:rsid w:val="00776047"/>
    <w:rsid w:val="007762A0"/>
    <w:rsid w:val="00776355"/>
    <w:rsid w:val="0077637F"/>
    <w:rsid w:val="0078001E"/>
    <w:rsid w:val="00780282"/>
    <w:rsid w:val="00780B16"/>
    <w:rsid w:val="00780C31"/>
    <w:rsid w:val="00781014"/>
    <w:rsid w:val="007815C5"/>
    <w:rsid w:val="00781964"/>
    <w:rsid w:val="007819FF"/>
    <w:rsid w:val="0078271D"/>
    <w:rsid w:val="00782DE6"/>
    <w:rsid w:val="0078350F"/>
    <w:rsid w:val="00783512"/>
    <w:rsid w:val="0078354C"/>
    <w:rsid w:val="00783D03"/>
    <w:rsid w:val="007840A2"/>
    <w:rsid w:val="007844D4"/>
    <w:rsid w:val="00784878"/>
    <w:rsid w:val="00784C42"/>
    <w:rsid w:val="00784C64"/>
    <w:rsid w:val="00784F5A"/>
    <w:rsid w:val="00784F94"/>
    <w:rsid w:val="00784FAB"/>
    <w:rsid w:val="0078533C"/>
    <w:rsid w:val="00785733"/>
    <w:rsid w:val="007858E6"/>
    <w:rsid w:val="00785C30"/>
    <w:rsid w:val="00785EB9"/>
    <w:rsid w:val="0078604B"/>
    <w:rsid w:val="00786701"/>
    <w:rsid w:val="00786844"/>
    <w:rsid w:val="00786A85"/>
    <w:rsid w:val="00786C64"/>
    <w:rsid w:val="00786F45"/>
    <w:rsid w:val="00786F5F"/>
    <w:rsid w:val="007872B3"/>
    <w:rsid w:val="00787C5E"/>
    <w:rsid w:val="00787FE5"/>
    <w:rsid w:val="00790033"/>
    <w:rsid w:val="0079048E"/>
    <w:rsid w:val="00790609"/>
    <w:rsid w:val="00790C3E"/>
    <w:rsid w:val="00790FFE"/>
    <w:rsid w:val="0079106B"/>
    <w:rsid w:val="007910F2"/>
    <w:rsid w:val="00791356"/>
    <w:rsid w:val="007915CB"/>
    <w:rsid w:val="0079196A"/>
    <w:rsid w:val="00791A72"/>
    <w:rsid w:val="00791CD9"/>
    <w:rsid w:val="0079225F"/>
    <w:rsid w:val="00792522"/>
    <w:rsid w:val="007925E2"/>
    <w:rsid w:val="007928E3"/>
    <w:rsid w:val="00792B22"/>
    <w:rsid w:val="00792F8F"/>
    <w:rsid w:val="0079389F"/>
    <w:rsid w:val="007939D8"/>
    <w:rsid w:val="00793CB8"/>
    <w:rsid w:val="00794213"/>
    <w:rsid w:val="0079423F"/>
    <w:rsid w:val="007944E9"/>
    <w:rsid w:val="00794A86"/>
    <w:rsid w:val="00794E2C"/>
    <w:rsid w:val="007950A3"/>
    <w:rsid w:val="00795237"/>
    <w:rsid w:val="0079540F"/>
    <w:rsid w:val="00795834"/>
    <w:rsid w:val="007959D5"/>
    <w:rsid w:val="00796388"/>
    <w:rsid w:val="00796609"/>
    <w:rsid w:val="00796A8C"/>
    <w:rsid w:val="00796C9A"/>
    <w:rsid w:val="00797037"/>
    <w:rsid w:val="0079711E"/>
    <w:rsid w:val="00797341"/>
    <w:rsid w:val="00797684"/>
    <w:rsid w:val="0079769A"/>
    <w:rsid w:val="0079788D"/>
    <w:rsid w:val="00797C6B"/>
    <w:rsid w:val="007A008C"/>
    <w:rsid w:val="007A02A1"/>
    <w:rsid w:val="007A0363"/>
    <w:rsid w:val="007A04EF"/>
    <w:rsid w:val="007A0BF4"/>
    <w:rsid w:val="007A0C32"/>
    <w:rsid w:val="007A10CF"/>
    <w:rsid w:val="007A1559"/>
    <w:rsid w:val="007A158F"/>
    <w:rsid w:val="007A15F2"/>
    <w:rsid w:val="007A1603"/>
    <w:rsid w:val="007A1779"/>
    <w:rsid w:val="007A195E"/>
    <w:rsid w:val="007A1A30"/>
    <w:rsid w:val="007A1BD7"/>
    <w:rsid w:val="007A225C"/>
    <w:rsid w:val="007A2DA8"/>
    <w:rsid w:val="007A2DFD"/>
    <w:rsid w:val="007A3020"/>
    <w:rsid w:val="007A30F0"/>
    <w:rsid w:val="007A3334"/>
    <w:rsid w:val="007A334D"/>
    <w:rsid w:val="007A373D"/>
    <w:rsid w:val="007A382E"/>
    <w:rsid w:val="007A3C91"/>
    <w:rsid w:val="007A3F66"/>
    <w:rsid w:val="007A42C3"/>
    <w:rsid w:val="007A490D"/>
    <w:rsid w:val="007A4EF1"/>
    <w:rsid w:val="007A5A44"/>
    <w:rsid w:val="007A5BD6"/>
    <w:rsid w:val="007A60EF"/>
    <w:rsid w:val="007A633B"/>
    <w:rsid w:val="007A6CAE"/>
    <w:rsid w:val="007A6D59"/>
    <w:rsid w:val="007A73C5"/>
    <w:rsid w:val="007A74D4"/>
    <w:rsid w:val="007A7A25"/>
    <w:rsid w:val="007A7F47"/>
    <w:rsid w:val="007B062D"/>
    <w:rsid w:val="007B0922"/>
    <w:rsid w:val="007B0A7C"/>
    <w:rsid w:val="007B109E"/>
    <w:rsid w:val="007B1383"/>
    <w:rsid w:val="007B1420"/>
    <w:rsid w:val="007B2103"/>
    <w:rsid w:val="007B237A"/>
    <w:rsid w:val="007B2401"/>
    <w:rsid w:val="007B2433"/>
    <w:rsid w:val="007B24E0"/>
    <w:rsid w:val="007B2908"/>
    <w:rsid w:val="007B29EF"/>
    <w:rsid w:val="007B29FE"/>
    <w:rsid w:val="007B319D"/>
    <w:rsid w:val="007B35A3"/>
    <w:rsid w:val="007B3765"/>
    <w:rsid w:val="007B3795"/>
    <w:rsid w:val="007B3797"/>
    <w:rsid w:val="007B3FC2"/>
    <w:rsid w:val="007B4E2D"/>
    <w:rsid w:val="007B4F29"/>
    <w:rsid w:val="007B54AF"/>
    <w:rsid w:val="007B561F"/>
    <w:rsid w:val="007B5D8D"/>
    <w:rsid w:val="007B60CB"/>
    <w:rsid w:val="007B610D"/>
    <w:rsid w:val="007B63A3"/>
    <w:rsid w:val="007B6508"/>
    <w:rsid w:val="007B6698"/>
    <w:rsid w:val="007B6C0F"/>
    <w:rsid w:val="007B6D55"/>
    <w:rsid w:val="007B71AA"/>
    <w:rsid w:val="007B7656"/>
    <w:rsid w:val="007B7E82"/>
    <w:rsid w:val="007C0002"/>
    <w:rsid w:val="007C000C"/>
    <w:rsid w:val="007C0029"/>
    <w:rsid w:val="007C0593"/>
    <w:rsid w:val="007C0748"/>
    <w:rsid w:val="007C0DB8"/>
    <w:rsid w:val="007C0F0F"/>
    <w:rsid w:val="007C1890"/>
    <w:rsid w:val="007C1C22"/>
    <w:rsid w:val="007C1D1E"/>
    <w:rsid w:val="007C2269"/>
    <w:rsid w:val="007C2B9C"/>
    <w:rsid w:val="007C324F"/>
    <w:rsid w:val="007C338E"/>
    <w:rsid w:val="007C3475"/>
    <w:rsid w:val="007C35FA"/>
    <w:rsid w:val="007C3F38"/>
    <w:rsid w:val="007C4051"/>
    <w:rsid w:val="007C4198"/>
    <w:rsid w:val="007C4417"/>
    <w:rsid w:val="007C475F"/>
    <w:rsid w:val="007C4B42"/>
    <w:rsid w:val="007C4BDD"/>
    <w:rsid w:val="007C5182"/>
    <w:rsid w:val="007C5252"/>
    <w:rsid w:val="007C5D52"/>
    <w:rsid w:val="007C5E33"/>
    <w:rsid w:val="007C5F86"/>
    <w:rsid w:val="007C6CF1"/>
    <w:rsid w:val="007C6E08"/>
    <w:rsid w:val="007C6F32"/>
    <w:rsid w:val="007C6F71"/>
    <w:rsid w:val="007C7FB4"/>
    <w:rsid w:val="007D0510"/>
    <w:rsid w:val="007D08ED"/>
    <w:rsid w:val="007D0DE6"/>
    <w:rsid w:val="007D1569"/>
    <w:rsid w:val="007D15F1"/>
    <w:rsid w:val="007D1BC1"/>
    <w:rsid w:val="007D1CE1"/>
    <w:rsid w:val="007D1DA6"/>
    <w:rsid w:val="007D1F62"/>
    <w:rsid w:val="007D2004"/>
    <w:rsid w:val="007D248A"/>
    <w:rsid w:val="007D25EB"/>
    <w:rsid w:val="007D2EEB"/>
    <w:rsid w:val="007D3950"/>
    <w:rsid w:val="007D3A1F"/>
    <w:rsid w:val="007D3A75"/>
    <w:rsid w:val="007D3C32"/>
    <w:rsid w:val="007D3C82"/>
    <w:rsid w:val="007D3D63"/>
    <w:rsid w:val="007D4088"/>
    <w:rsid w:val="007D45CC"/>
    <w:rsid w:val="007D4E18"/>
    <w:rsid w:val="007D50D5"/>
    <w:rsid w:val="007D5C82"/>
    <w:rsid w:val="007D5D56"/>
    <w:rsid w:val="007D5DB3"/>
    <w:rsid w:val="007D6092"/>
    <w:rsid w:val="007D63C9"/>
    <w:rsid w:val="007D69FC"/>
    <w:rsid w:val="007D6AFE"/>
    <w:rsid w:val="007D6B2C"/>
    <w:rsid w:val="007D6CB5"/>
    <w:rsid w:val="007D702C"/>
    <w:rsid w:val="007D73C7"/>
    <w:rsid w:val="007D7627"/>
    <w:rsid w:val="007D78F7"/>
    <w:rsid w:val="007E09F3"/>
    <w:rsid w:val="007E0A9B"/>
    <w:rsid w:val="007E0DCC"/>
    <w:rsid w:val="007E14F5"/>
    <w:rsid w:val="007E1A38"/>
    <w:rsid w:val="007E1C62"/>
    <w:rsid w:val="007E26B0"/>
    <w:rsid w:val="007E2A4A"/>
    <w:rsid w:val="007E2DD8"/>
    <w:rsid w:val="007E2EF5"/>
    <w:rsid w:val="007E306D"/>
    <w:rsid w:val="007E3234"/>
    <w:rsid w:val="007E365B"/>
    <w:rsid w:val="007E38F0"/>
    <w:rsid w:val="007E4A8B"/>
    <w:rsid w:val="007E4EE9"/>
    <w:rsid w:val="007E4F96"/>
    <w:rsid w:val="007E4F9F"/>
    <w:rsid w:val="007E54B7"/>
    <w:rsid w:val="007E55E1"/>
    <w:rsid w:val="007E67AC"/>
    <w:rsid w:val="007E70E4"/>
    <w:rsid w:val="007E7314"/>
    <w:rsid w:val="007E74C0"/>
    <w:rsid w:val="007E756A"/>
    <w:rsid w:val="007E7657"/>
    <w:rsid w:val="007E76A5"/>
    <w:rsid w:val="007E788B"/>
    <w:rsid w:val="007E7A14"/>
    <w:rsid w:val="007E7C7F"/>
    <w:rsid w:val="007E7E62"/>
    <w:rsid w:val="007E7F44"/>
    <w:rsid w:val="007F09E4"/>
    <w:rsid w:val="007F0AA9"/>
    <w:rsid w:val="007F0FFB"/>
    <w:rsid w:val="007F1BA7"/>
    <w:rsid w:val="007F1C83"/>
    <w:rsid w:val="007F1E97"/>
    <w:rsid w:val="007F237A"/>
    <w:rsid w:val="007F268C"/>
    <w:rsid w:val="007F2CC3"/>
    <w:rsid w:val="007F37B7"/>
    <w:rsid w:val="007F37DD"/>
    <w:rsid w:val="007F3A10"/>
    <w:rsid w:val="007F3A4B"/>
    <w:rsid w:val="007F3E88"/>
    <w:rsid w:val="007F4558"/>
    <w:rsid w:val="007F52D1"/>
    <w:rsid w:val="007F54DB"/>
    <w:rsid w:val="007F55B9"/>
    <w:rsid w:val="007F5F68"/>
    <w:rsid w:val="007F659E"/>
    <w:rsid w:val="007F69F5"/>
    <w:rsid w:val="007F6B40"/>
    <w:rsid w:val="007F7584"/>
    <w:rsid w:val="007F762A"/>
    <w:rsid w:val="007F76EF"/>
    <w:rsid w:val="007F79A9"/>
    <w:rsid w:val="008001B5"/>
    <w:rsid w:val="00800D8E"/>
    <w:rsid w:val="008017BC"/>
    <w:rsid w:val="008018AE"/>
    <w:rsid w:val="00801A1C"/>
    <w:rsid w:val="0080224B"/>
    <w:rsid w:val="0080231B"/>
    <w:rsid w:val="008026B1"/>
    <w:rsid w:val="0080297E"/>
    <w:rsid w:val="00802A8A"/>
    <w:rsid w:val="00802D30"/>
    <w:rsid w:val="00802DDA"/>
    <w:rsid w:val="00802F49"/>
    <w:rsid w:val="0080322B"/>
    <w:rsid w:val="008034D2"/>
    <w:rsid w:val="008035C3"/>
    <w:rsid w:val="0080363A"/>
    <w:rsid w:val="008037E5"/>
    <w:rsid w:val="008038BA"/>
    <w:rsid w:val="00803F26"/>
    <w:rsid w:val="00804409"/>
    <w:rsid w:val="00804B8B"/>
    <w:rsid w:val="0080577B"/>
    <w:rsid w:val="0080577F"/>
    <w:rsid w:val="00805912"/>
    <w:rsid w:val="00805FC3"/>
    <w:rsid w:val="00806121"/>
    <w:rsid w:val="008062DA"/>
    <w:rsid w:val="00806454"/>
    <w:rsid w:val="008066A3"/>
    <w:rsid w:val="008066AB"/>
    <w:rsid w:val="00806884"/>
    <w:rsid w:val="00806BF0"/>
    <w:rsid w:val="00806D06"/>
    <w:rsid w:val="00806D8F"/>
    <w:rsid w:val="00806ED9"/>
    <w:rsid w:val="00806F63"/>
    <w:rsid w:val="008073A2"/>
    <w:rsid w:val="008074C1"/>
    <w:rsid w:val="008076EF"/>
    <w:rsid w:val="00807D89"/>
    <w:rsid w:val="00807EDD"/>
    <w:rsid w:val="00807F06"/>
    <w:rsid w:val="00810A79"/>
    <w:rsid w:val="00810B2E"/>
    <w:rsid w:val="00810E0C"/>
    <w:rsid w:val="00811118"/>
    <w:rsid w:val="0081116D"/>
    <w:rsid w:val="00811196"/>
    <w:rsid w:val="0081144A"/>
    <w:rsid w:val="008116B9"/>
    <w:rsid w:val="008119BD"/>
    <w:rsid w:val="00811E55"/>
    <w:rsid w:val="00811EC6"/>
    <w:rsid w:val="008125DF"/>
    <w:rsid w:val="00812785"/>
    <w:rsid w:val="00812A91"/>
    <w:rsid w:val="00812D2A"/>
    <w:rsid w:val="00812F1A"/>
    <w:rsid w:val="008134D9"/>
    <w:rsid w:val="0081357F"/>
    <w:rsid w:val="00813588"/>
    <w:rsid w:val="0081379F"/>
    <w:rsid w:val="0081397E"/>
    <w:rsid w:val="00813A5A"/>
    <w:rsid w:val="00813CD0"/>
    <w:rsid w:val="00813E8B"/>
    <w:rsid w:val="00813FE8"/>
    <w:rsid w:val="00814187"/>
    <w:rsid w:val="008142A1"/>
    <w:rsid w:val="0081433E"/>
    <w:rsid w:val="0081447B"/>
    <w:rsid w:val="008147E5"/>
    <w:rsid w:val="008148E9"/>
    <w:rsid w:val="00814F62"/>
    <w:rsid w:val="00814FA7"/>
    <w:rsid w:val="00815279"/>
    <w:rsid w:val="0081533C"/>
    <w:rsid w:val="00815C28"/>
    <w:rsid w:val="00815CD5"/>
    <w:rsid w:val="00815D12"/>
    <w:rsid w:val="00815FBD"/>
    <w:rsid w:val="008161D7"/>
    <w:rsid w:val="00816339"/>
    <w:rsid w:val="00816E77"/>
    <w:rsid w:val="00816F24"/>
    <w:rsid w:val="008171B6"/>
    <w:rsid w:val="008171B9"/>
    <w:rsid w:val="00817667"/>
    <w:rsid w:val="00817A84"/>
    <w:rsid w:val="00817DA8"/>
    <w:rsid w:val="00817E61"/>
    <w:rsid w:val="0082013A"/>
    <w:rsid w:val="00820247"/>
    <w:rsid w:val="008202FA"/>
    <w:rsid w:val="008204AA"/>
    <w:rsid w:val="00820661"/>
    <w:rsid w:val="0082094D"/>
    <w:rsid w:val="00820BB5"/>
    <w:rsid w:val="00820FC7"/>
    <w:rsid w:val="00820FDC"/>
    <w:rsid w:val="00821649"/>
    <w:rsid w:val="008216CA"/>
    <w:rsid w:val="00821D58"/>
    <w:rsid w:val="00822173"/>
    <w:rsid w:val="0082237A"/>
    <w:rsid w:val="00822400"/>
    <w:rsid w:val="00822739"/>
    <w:rsid w:val="00822970"/>
    <w:rsid w:val="00823234"/>
    <w:rsid w:val="008233D0"/>
    <w:rsid w:val="008237D2"/>
    <w:rsid w:val="008239EF"/>
    <w:rsid w:val="00823F86"/>
    <w:rsid w:val="00824033"/>
    <w:rsid w:val="00824089"/>
    <w:rsid w:val="008241BB"/>
    <w:rsid w:val="008241F4"/>
    <w:rsid w:val="0082437F"/>
    <w:rsid w:val="008243EA"/>
    <w:rsid w:val="008244C8"/>
    <w:rsid w:val="00824819"/>
    <w:rsid w:val="0082553F"/>
    <w:rsid w:val="0082582F"/>
    <w:rsid w:val="00825894"/>
    <w:rsid w:val="00825C47"/>
    <w:rsid w:val="00826472"/>
    <w:rsid w:val="00826800"/>
    <w:rsid w:val="00826811"/>
    <w:rsid w:val="00826931"/>
    <w:rsid w:val="008269D7"/>
    <w:rsid w:val="00826C43"/>
    <w:rsid w:val="00826CD3"/>
    <w:rsid w:val="00826EEE"/>
    <w:rsid w:val="00827639"/>
    <w:rsid w:val="008302E5"/>
    <w:rsid w:val="008306D1"/>
    <w:rsid w:val="00830F46"/>
    <w:rsid w:val="0083111E"/>
    <w:rsid w:val="008318F3"/>
    <w:rsid w:val="00831986"/>
    <w:rsid w:val="00831BC5"/>
    <w:rsid w:val="00831F81"/>
    <w:rsid w:val="008321D9"/>
    <w:rsid w:val="00832470"/>
    <w:rsid w:val="00832573"/>
    <w:rsid w:val="008325D1"/>
    <w:rsid w:val="008328F2"/>
    <w:rsid w:val="0083294F"/>
    <w:rsid w:val="00833129"/>
    <w:rsid w:val="0083314E"/>
    <w:rsid w:val="0083318E"/>
    <w:rsid w:val="00833CE8"/>
    <w:rsid w:val="0083428E"/>
    <w:rsid w:val="00834512"/>
    <w:rsid w:val="00834740"/>
    <w:rsid w:val="00834916"/>
    <w:rsid w:val="00834A35"/>
    <w:rsid w:val="00834C97"/>
    <w:rsid w:val="00834ED9"/>
    <w:rsid w:val="008351F6"/>
    <w:rsid w:val="0083521B"/>
    <w:rsid w:val="0083592C"/>
    <w:rsid w:val="00835BD6"/>
    <w:rsid w:val="00835C40"/>
    <w:rsid w:val="00835C83"/>
    <w:rsid w:val="00835E32"/>
    <w:rsid w:val="00836060"/>
    <w:rsid w:val="00836262"/>
    <w:rsid w:val="0083634D"/>
    <w:rsid w:val="00836576"/>
    <w:rsid w:val="00836640"/>
    <w:rsid w:val="008366C8"/>
    <w:rsid w:val="00836AD7"/>
    <w:rsid w:val="00836B26"/>
    <w:rsid w:val="00836D6D"/>
    <w:rsid w:val="00836DB9"/>
    <w:rsid w:val="00836E3A"/>
    <w:rsid w:val="008370C9"/>
    <w:rsid w:val="00837210"/>
    <w:rsid w:val="008376B6"/>
    <w:rsid w:val="00837800"/>
    <w:rsid w:val="00837D42"/>
    <w:rsid w:val="00837DA8"/>
    <w:rsid w:val="008401EC"/>
    <w:rsid w:val="0084049E"/>
    <w:rsid w:val="0084096C"/>
    <w:rsid w:val="00840AEB"/>
    <w:rsid w:val="00840DAC"/>
    <w:rsid w:val="00840ECC"/>
    <w:rsid w:val="00840FF5"/>
    <w:rsid w:val="008410BE"/>
    <w:rsid w:val="008412C5"/>
    <w:rsid w:val="008422E8"/>
    <w:rsid w:val="00842301"/>
    <w:rsid w:val="0084238D"/>
    <w:rsid w:val="008423EB"/>
    <w:rsid w:val="0084240A"/>
    <w:rsid w:val="008425BA"/>
    <w:rsid w:val="0084263C"/>
    <w:rsid w:val="008427D6"/>
    <w:rsid w:val="00842BED"/>
    <w:rsid w:val="0084336E"/>
    <w:rsid w:val="00843AF8"/>
    <w:rsid w:val="00843B15"/>
    <w:rsid w:val="00843BC8"/>
    <w:rsid w:val="008441E0"/>
    <w:rsid w:val="0084478C"/>
    <w:rsid w:val="008449FB"/>
    <w:rsid w:val="00845326"/>
    <w:rsid w:val="008458B5"/>
    <w:rsid w:val="00845EE2"/>
    <w:rsid w:val="00846594"/>
    <w:rsid w:val="0084675D"/>
    <w:rsid w:val="008472B8"/>
    <w:rsid w:val="008472D4"/>
    <w:rsid w:val="00847907"/>
    <w:rsid w:val="00847F3C"/>
    <w:rsid w:val="00850068"/>
    <w:rsid w:val="00850099"/>
    <w:rsid w:val="00850667"/>
    <w:rsid w:val="00850990"/>
    <w:rsid w:val="00850D4B"/>
    <w:rsid w:val="00850DAE"/>
    <w:rsid w:val="00850FD5"/>
    <w:rsid w:val="008510E2"/>
    <w:rsid w:val="0085128E"/>
    <w:rsid w:val="00851B70"/>
    <w:rsid w:val="00851E99"/>
    <w:rsid w:val="00851F07"/>
    <w:rsid w:val="00851FCF"/>
    <w:rsid w:val="00852155"/>
    <w:rsid w:val="0085217E"/>
    <w:rsid w:val="0085225C"/>
    <w:rsid w:val="008523F6"/>
    <w:rsid w:val="008528A6"/>
    <w:rsid w:val="008529A2"/>
    <w:rsid w:val="00853336"/>
    <w:rsid w:val="00853775"/>
    <w:rsid w:val="00853F28"/>
    <w:rsid w:val="0085439B"/>
    <w:rsid w:val="00854DF3"/>
    <w:rsid w:val="008560B5"/>
    <w:rsid w:val="008560CB"/>
    <w:rsid w:val="0085630D"/>
    <w:rsid w:val="00856526"/>
    <w:rsid w:val="008566A0"/>
    <w:rsid w:val="008566FC"/>
    <w:rsid w:val="00856B4C"/>
    <w:rsid w:val="00856B64"/>
    <w:rsid w:val="00856C67"/>
    <w:rsid w:val="00856CD9"/>
    <w:rsid w:val="00856DB8"/>
    <w:rsid w:val="008574A9"/>
    <w:rsid w:val="008578BC"/>
    <w:rsid w:val="00857919"/>
    <w:rsid w:val="008579B4"/>
    <w:rsid w:val="00857F48"/>
    <w:rsid w:val="0086081C"/>
    <w:rsid w:val="00860BA5"/>
    <w:rsid w:val="00860C3B"/>
    <w:rsid w:val="00861225"/>
    <w:rsid w:val="00861316"/>
    <w:rsid w:val="0086164D"/>
    <w:rsid w:val="0086184F"/>
    <w:rsid w:val="00861B2C"/>
    <w:rsid w:val="00861E5B"/>
    <w:rsid w:val="00861EE8"/>
    <w:rsid w:val="00862241"/>
    <w:rsid w:val="008622FB"/>
    <w:rsid w:val="00862357"/>
    <w:rsid w:val="00862F4C"/>
    <w:rsid w:val="008630E3"/>
    <w:rsid w:val="00863192"/>
    <w:rsid w:val="00863371"/>
    <w:rsid w:val="00863BF6"/>
    <w:rsid w:val="00863E11"/>
    <w:rsid w:val="00863FE0"/>
    <w:rsid w:val="00864585"/>
    <w:rsid w:val="00864802"/>
    <w:rsid w:val="00864AE8"/>
    <w:rsid w:val="00864B65"/>
    <w:rsid w:val="00864C31"/>
    <w:rsid w:val="00864EA9"/>
    <w:rsid w:val="0086511E"/>
    <w:rsid w:val="00865B77"/>
    <w:rsid w:val="00865BA8"/>
    <w:rsid w:val="00865C3F"/>
    <w:rsid w:val="00865C8B"/>
    <w:rsid w:val="00865D35"/>
    <w:rsid w:val="00865EC0"/>
    <w:rsid w:val="008664E2"/>
    <w:rsid w:val="00866D5E"/>
    <w:rsid w:val="00867227"/>
    <w:rsid w:val="00867560"/>
    <w:rsid w:val="00867A19"/>
    <w:rsid w:val="00867C08"/>
    <w:rsid w:val="00867CDD"/>
    <w:rsid w:val="00867E33"/>
    <w:rsid w:val="008703E1"/>
    <w:rsid w:val="008705BF"/>
    <w:rsid w:val="00870D97"/>
    <w:rsid w:val="00870F37"/>
    <w:rsid w:val="00871126"/>
    <w:rsid w:val="0087139A"/>
    <w:rsid w:val="0087155E"/>
    <w:rsid w:val="00871A6C"/>
    <w:rsid w:val="00871EC8"/>
    <w:rsid w:val="008720C0"/>
    <w:rsid w:val="008727A5"/>
    <w:rsid w:val="00872A6F"/>
    <w:rsid w:val="00872C34"/>
    <w:rsid w:val="00872D42"/>
    <w:rsid w:val="00872F83"/>
    <w:rsid w:val="00872FA9"/>
    <w:rsid w:val="008734CA"/>
    <w:rsid w:val="008735E1"/>
    <w:rsid w:val="008736AA"/>
    <w:rsid w:val="008739CD"/>
    <w:rsid w:val="00873C59"/>
    <w:rsid w:val="00873C74"/>
    <w:rsid w:val="00873E75"/>
    <w:rsid w:val="00873E85"/>
    <w:rsid w:val="00873EF9"/>
    <w:rsid w:val="008742D2"/>
    <w:rsid w:val="00874E14"/>
    <w:rsid w:val="008757C8"/>
    <w:rsid w:val="00875908"/>
    <w:rsid w:val="00875CCB"/>
    <w:rsid w:val="00875E92"/>
    <w:rsid w:val="008761BC"/>
    <w:rsid w:val="0087621E"/>
    <w:rsid w:val="00876E80"/>
    <w:rsid w:val="00876F0E"/>
    <w:rsid w:val="0087727F"/>
    <w:rsid w:val="0087751F"/>
    <w:rsid w:val="00877A5C"/>
    <w:rsid w:val="008800B4"/>
    <w:rsid w:val="00880344"/>
    <w:rsid w:val="00880C4B"/>
    <w:rsid w:val="008810E2"/>
    <w:rsid w:val="008814CB"/>
    <w:rsid w:val="00881632"/>
    <w:rsid w:val="00881FC1"/>
    <w:rsid w:val="0088207C"/>
    <w:rsid w:val="00882152"/>
    <w:rsid w:val="008821BC"/>
    <w:rsid w:val="00882624"/>
    <w:rsid w:val="00882A6D"/>
    <w:rsid w:val="00882D88"/>
    <w:rsid w:val="00882F79"/>
    <w:rsid w:val="00883367"/>
    <w:rsid w:val="008833F3"/>
    <w:rsid w:val="00883710"/>
    <w:rsid w:val="00883C25"/>
    <w:rsid w:val="00883E8F"/>
    <w:rsid w:val="00884154"/>
    <w:rsid w:val="0088453D"/>
    <w:rsid w:val="008846AA"/>
    <w:rsid w:val="008847D7"/>
    <w:rsid w:val="0088485C"/>
    <w:rsid w:val="00884979"/>
    <w:rsid w:val="008849BB"/>
    <w:rsid w:val="008855E4"/>
    <w:rsid w:val="00885676"/>
    <w:rsid w:val="00885789"/>
    <w:rsid w:val="008857A3"/>
    <w:rsid w:val="00885A62"/>
    <w:rsid w:val="008860BB"/>
    <w:rsid w:val="0088642C"/>
    <w:rsid w:val="00886A1E"/>
    <w:rsid w:val="00886E57"/>
    <w:rsid w:val="008874B3"/>
    <w:rsid w:val="00887682"/>
    <w:rsid w:val="00887751"/>
    <w:rsid w:val="00887A21"/>
    <w:rsid w:val="00887EAD"/>
    <w:rsid w:val="008906CF"/>
    <w:rsid w:val="00890968"/>
    <w:rsid w:val="00890BD9"/>
    <w:rsid w:val="00890D55"/>
    <w:rsid w:val="00891DDB"/>
    <w:rsid w:val="00891F4F"/>
    <w:rsid w:val="00891FB7"/>
    <w:rsid w:val="008922C1"/>
    <w:rsid w:val="008922FD"/>
    <w:rsid w:val="008929E0"/>
    <w:rsid w:val="00892AE8"/>
    <w:rsid w:val="00892CB3"/>
    <w:rsid w:val="00893B3F"/>
    <w:rsid w:val="00893F14"/>
    <w:rsid w:val="008941D0"/>
    <w:rsid w:val="008943C1"/>
    <w:rsid w:val="008945A8"/>
    <w:rsid w:val="008945DB"/>
    <w:rsid w:val="0089473B"/>
    <w:rsid w:val="00895304"/>
    <w:rsid w:val="0089538E"/>
    <w:rsid w:val="00895CA0"/>
    <w:rsid w:val="00896356"/>
    <w:rsid w:val="008964A7"/>
    <w:rsid w:val="00896A2E"/>
    <w:rsid w:val="00896AE9"/>
    <w:rsid w:val="00896B4D"/>
    <w:rsid w:val="0089716E"/>
    <w:rsid w:val="008974B5"/>
    <w:rsid w:val="00897793"/>
    <w:rsid w:val="00897D52"/>
    <w:rsid w:val="008A0793"/>
    <w:rsid w:val="008A07A7"/>
    <w:rsid w:val="008A1246"/>
    <w:rsid w:val="008A14F2"/>
    <w:rsid w:val="008A1632"/>
    <w:rsid w:val="008A1A06"/>
    <w:rsid w:val="008A1AD9"/>
    <w:rsid w:val="008A1E1D"/>
    <w:rsid w:val="008A1F12"/>
    <w:rsid w:val="008A1F28"/>
    <w:rsid w:val="008A1FD7"/>
    <w:rsid w:val="008A2128"/>
    <w:rsid w:val="008A2258"/>
    <w:rsid w:val="008A2729"/>
    <w:rsid w:val="008A2913"/>
    <w:rsid w:val="008A29B1"/>
    <w:rsid w:val="008A3050"/>
    <w:rsid w:val="008A30BF"/>
    <w:rsid w:val="008A3113"/>
    <w:rsid w:val="008A31DE"/>
    <w:rsid w:val="008A340A"/>
    <w:rsid w:val="008A397F"/>
    <w:rsid w:val="008A3D3B"/>
    <w:rsid w:val="008A40DF"/>
    <w:rsid w:val="008A45DD"/>
    <w:rsid w:val="008A46C5"/>
    <w:rsid w:val="008A4A0E"/>
    <w:rsid w:val="008A4C65"/>
    <w:rsid w:val="008A4E28"/>
    <w:rsid w:val="008A4F03"/>
    <w:rsid w:val="008A4F84"/>
    <w:rsid w:val="008A4FAE"/>
    <w:rsid w:val="008A5815"/>
    <w:rsid w:val="008A5C71"/>
    <w:rsid w:val="008A5DCC"/>
    <w:rsid w:val="008A6345"/>
    <w:rsid w:val="008A662A"/>
    <w:rsid w:val="008A685F"/>
    <w:rsid w:val="008A6B86"/>
    <w:rsid w:val="008A6CB7"/>
    <w:rsid w:val="008A6CE4"/>
    <w:rsid w:val="008A6D39"/>
    <w:rsid w:val="008A6F62"/>
    <w:rsid w:val="008A6F83"/>
    <w:rsid w:val="008A730F"/>
    <w:rsid w:val="008A7628"/>
    <w:rsid w:val="008A7A40"/>
    <w:rsid w:val="008B02BD"/>
    <w:rsid w:val="008B05C3"/>
    <w:rsid w:val="008B0704"/>
    <w:rsid w:val="008B0753"/>
    <w:rsid w:val="008B0B16"/>
    <w:rsid w:val="008B0B59"/>
    <w:rsid w:val="008B0C08"/>
    <w:rsid w:val="008B0C28"/>
    <w:rsid w:val="008B1577"/>
    <w:rsid w:val="008B1941"/>
    <w:rsid w:val="008B21A1"/>
    <w:rsid w:val="008B21BD"/>
    <w:rsid w:val="008B241D"/>
    <w:rsid w:val="008B2654"/>
    <w:rsid w:val="008B2CA5"/>
    <w:rsid w:val="008B2CDF"/>
    <w:rsid w:val="008B3E2E"/>
    <w:rsid w:val="008B4453"/>
    <w:rsid w:val="008B4965"/>
    <w:rsid w:val="008B4EC8"/>
    <w:rsid w:val="008B545D"/>
    <w:rsid w:val="008B5496"/>
    <w:rsid w:val="008B569A"/>
    <w:rsid w:val="008B5706"/>
    <w:rsid w:val="008B5E2C"/>
    <w:rsid w:val="008B5E86"/>
    <w:rsid w:val="008B5F7E"/>
    <w:rsid w:val="008B6032"/>
    <w:rsid w:val="008B65BC"/>
    <w:rsid w:val="008B6779"/>
    <w:rsid w:val="008B694D"/>
    <w:rsid w:val="008B6A69"/>
    <w:rsid w:val="008B6CF6"/>
    <w:rsid w:val="008B7534"/>
    <w:rsid w:val="008B78B1"/>
    <w:rsid w:val="008B7B3D"/>
    <w:rsid w:val="008B7B83"/>
    <w:rsid w:val="008B7E4E"/>
    <w:rsid w:val="008C06D0"/>
    <w:rsid w:val="008C0BB0"/>
    <w:rsid w:val="008C0DDF"/>
    <w:rsid w:val="008C1176"/>
    <w:rsid w:val="008C119B"/>
    <w:rsid w:val="008C1AEC"/>
    <w:rsid w:val="008C1CCF"/>
    <w:rsid w:val="008C2106"/>
    <w:rsid w:val="008C2291"/>
    <w:rsid w:val="008C25BF"/>
    <w:rsid w:val="008C27BE"/>
    <w:rsid w:val="008C2B0E"/>
    <w:rsid w:val="008C2F3F"/>
    <w:rsid w:val="008C3909"/>
    <w:rsid w:val="008C3B56"/>
    <w:rsid w:val="008C3EE4"/>
    <w:rsid w:val="008C41ED"/>
    <w:rsid w:val="008C441F"/>
    <w:rsid w:val="008C47C8"/>
    <w:rsid w:val="008C4CD3"/>
    <w:rsid w:val="008C4EF4"/>
    <w:rsid w:val="008C4FB7"/>
    <w:rsid w:val="008C5566"/>
    <w:rsid w:val="008C6144"/>
    <w:rsid w:val="008C63FB"/>
    <w:rsid w:val="008C6522"/>
    <w:rsid w:val="008C665B"/>
    <w:rsid w:val="008C6733"/>
    <w:rsid w:val="008C681E"/>
    <w:rsid w:val="008C69ED"/>
    <w:rsid w:val="008C6FAC"/>
    <w:rsid w:val="008C6FF1"/>
    <w:rsid w:val="008C741A"/>
    <w:rsid w:val="008C7772"/>
    <w:rsid w:val="008D0663"/>
    <w:rsid w:val="008D0ED5"/>
    <w:rsid w:val="008D10C0"/>
    <w:rsid w:val="008D191B"/>
    <w:rsid w:val="008D19FD"/>
    <w:rsid w:val="008D1ABD"/>
    <w:rsid w:val="008D1E45"/>
    <w:rsid w:val="008D1E82"/>
    <w:rsid w:val="008D1F17"/>
    <w:rsid w:val="008D2148"/>
    <w:rsid w:val="008D2392"/>
    <w:rsid w:val="008D26D9"/>
    <w:rsid w:val="008D3502"/>
    <w:rsid w:val="008D38EA"/>
    <w:rsid w:val="008D39B8"/>
    <w:rsid w:val="008D3A0D"/>
    <w:rsid w:val="008D43BF"/>
    <w:rsid w:val="008D4D2A"/>
    <w:rsid w:val="008D5635"/>
    <w:rsid w:val="008D5839"/>
    <w:rsid w:val="008D61CE"/>
    <w:rsid w:val="008D6B49"/>
    <w:rsid w:val="008D6B4F"/>
    <w:rsid w:val="008D6EAB"/>
    <w:rsid w:val="008D7D89"/>
    <w:rsid w:val="008D7DF0"/>
    <w:rsid w:val="008E09A3"/>
    <w:rsid w:val="008E09BF"/>
    <w:rsid w:val="008E0DA9"/>
    <w:rsid w:val="008E179C"/>
    <w:rsid w:val="008E1B49"/>
    <w:rsid w:val="008E2017"/>
    <w:rsid w:val="008E233F"/>
    <w:rsid w:val="008E25D6"/>
    <w:rsid w:val="008E2931"/>
    <w:rsid w:val="008E3315"/>
    <w:rsid w:val="008E3427"/>
    <w:rsid w:val="008E3628"/>
    <w:rsid w:val="008E375D"/>
    <w:rsid w:val="008E37F6"/>
    <w:rsid w:val="008E3A09"/>
    <w:rsid w:val="008E3C16"/>
    <w:rsid w:val="008E3E36"/>
    <w:rsid w:val="008E3FFD"/>
    <w:rsid w:val="008E451D"/>
    <w:rsid w:val="008E4777"/>
    <w:rsid w:val="008E48EA"/>
    <w:rsid w:val="008E4B4B"/>
    <w:rsid w:val="008E4DE8"/>
    <w:rsid w:val="008E4E03"/>
    <w:rsid w:val="008E4F35"/>
    <w:rsid w:val="008E51C3"/>
    <w:rsid w:val="008E51E1"/>
    <w:rsid w:val="008E53C8"/>
    <w:rsid w:val="008E59FD"/>
    <w:rsid w:val="008E5AAC"/>
    <w:rsid w:val="008E5C25"/>
    <w:rsid w:val="008E6270"/>
    <w:rsid w:val="008E6353"/>
    <w:rsid w:val="008E6FD5"/>
    <w:rsid w:val="008E72C0"/>
    <w:rsid w:val="008E742B"/>
    <w:rsid w:val="008E7922"/>
    <w:rsid w:val="008E7BD4"/>
    <w:rsid w:val="008E7C26"/>
    <w:rsid w:val="008F0405"/>
    <w:rsid w:val="008F0446"/>
    <w:rsid w:val="008F07B3"/>
    <w:rsid w:val="008F0A00"/>
    <w:rsid w:val="008F0A95"/>
    <w:rsid w:val="008F1101"/>
    <w:rsid w:val="008F16B2"/>
    <w:rsid w:val="008F1F2E"/>
    <w:rsid w:val="008F2997"/>
    <w:rsid w:val="008F2C5E"/>
    <w:rsid w:val="008F2F27"/>
    <w:rsid w:val="008F39B8"/>
    <w:rsid w:val="008F3AB0"/>
    <w:rsid w:val="008F3B7C"/>
    <w:rsid w:val="008F3BA5"/>
    <w:rsid w:val="008F40BA"/>
    <w:rsid w:val="008F445C"/>
    <w:rsid w:val="008F45E4"/>
    <w:rsid w:val="008F49D2"/>
    <w:rsid w:val="008F4BB3"/>
    <w:rsid w:val="008F4BE3"/>
    <w:rsid w:val="008F543B"/>
    <w:rsid w:val="008F54EE"/>
    <w:rsid w:val="008F551F"/>
    <w:rsid w:val="008F567D"/>
    <w:rsid w:val="008F5B66"/>
    <w:rsid w:val="008F5B8F"/>
    <w:rsid w:val="008F5D9B"/>
    <w:rsid w:val="008F5DBA"/>
    <w:rsid w:val="008F5DFC"/>
    <w:rsid w:val="008F5EA3"/>
    <w:rsid w:val="008F628C"/>
    <w:rsid w:val="008F6445"/>
    <w:rsid w:val="008F6744"/>
    <w:rsid w:val="008F6884"/>
    <w:rsid w:val="008F6F1A"/>
    <w:rsid w:val="008F721E"/>
    <w:rsid w:val="008F7292"/>
    <w:rsid w:val="008F735D"/>
    <w:rsid w:val="008F7791"/>
    <w:rsid w:val="008F77E5"/>
    <w:rsid w:val="008F7897"/>
    <w:rsid w:val="008F7931"/>
    <w:rsid w:val="008F79AA"/>
    <w:rsid w:val="008F7C63"/>
    <w:rsid w:val="008F7D03"/>
    <w:rsid w:val="008F7E48"/>
    <w:rsid w:val="009004B8"/>
    <w:rsid w:val="00900769"/>
    <w:rsid w:val="009007FA"/>
    <w:rsid w:val="00900A9A"/>
    <w:rsid w:val="00900ADB"/>
    <w:rsid w:val="00900FB5"/>
    <w:rsid w:val="009010ED"/>
    <w:rsid w:val="0090137A"/>
    <w:rsid w:val="00901737"/>
    <w:rsid w:val="00901D4C"/>
    <w:rsid w:val="00902123"/>
    <w:rsid w:val="00902159"/>
    <w:rsid w:val="00902496"/>
    <w:rsid w:val="00902701"/>
    <w:rsid w:val="00902A7B"/>
    <w:rsid w:val="00902CF2"/>
    <w:rsid w:val="00902CF8"/>
    <w:rsid w:val="00902E9C"/>
    <w:rsid w:val="00902EFA"/>
    <w:rsid w:val="00902F23"/>
    <w:rsid w:val="00902F69"/>
    <w:rsid w:val="00902FFF"/>
    <w:rsid w:val="0090329B"/>
    <w:rsid w:val="009032E3"/>
    <w:rsid w:val="00903370"/>
    <w:rsid w:val="009039E4"/>
    <w:rsid w:val="00903B9D"/>
    <w:rsid w:val="00903C65"/>
    <w:rsid w:val="00903E2D"/>
    <w:rsid w:val="00903E93"/>
    <w:rsid w:val="00904098"/>
    <w:rsid w:val="009040A7"/>
    <w:rsid w:val="009042BD"/>
    <w:rsid w:val="009048B7"/>
    <w:rsid w:val="00905352"/>
    <w:rsid w:val="00905480"/>
    <w:rsid w:val="00905688"/>
    <w:rsid w:val="0090572C"/>
    <w:rsid w:val="009058F1"/>
    <w:rsid w:val="00905E75"/>
    <w:rsid w:val="00905FF1"/>
    <w:rsid w:val="00906249"/>
    <w:rsid w:val="009069A2"/>
    <w:rsid w:val="00906F8F"/>
    <w:rsid w:val="00907521"/>
    <w:rsid w:val="00907528"/>
    <w:rsid w:val="009075AD"/>
    <w:rsid w:val="00907659"/>
    <w:rsid w:val="00907A77"/>
    <w:rsid w:val="00907DF9"/>
    <w:rsid w:val="00911044"/>
    <w:rsid w:val="009111A9"/>
    <w:rsid w:val="009111D0"/>
    <w:rsid w:val="009117A6"/>
    <w:rsid w:val="0091188D"/>
    <w:rsid w:val="00911A60"/>
    <w:rsid w:val="00911ECC"/>
    <w:rsid w:val="009124E0"/>
    <w:rsid w:val="009127CB"/>
    <w:rsid w:val="00912B0D"/>
    <w:rsid w:val="00912C87"/>
    <w:rsid w:val="009131C4"/>
    <w:rsid w:val="00913213"/>
    <w:rsid w:val="009133AF"/>
    <w:rsid w:val="0091349A"/>
    <w:rsid w:val="009138E1"/>
    <w:rsid w:val="00914320"/>
    <w:rsid w:val="00914399"/>
    <w:rsid w:val="00914CE4"/>
    <w:rsid w:val="00914F13"/>
    <w:rsid w:val="0091512B"/>
    <w:rsid w:val="00915190"/>
    <w:rsid w:val="0091530C"/>
    <w:rsid w:val="00915428"/>
    <w:rsid w:val="009158BF"/>
    <w:rsid w:val="00915991"/>
    <w:rsid w:val="00915D42"/>
    <w:rsid w:val="00915F5A"/>
    <w:rsid w:val="009160E7"/>
    <w:rsid w:val="00916187"/>
    <w:rsid w:val="00916312"/>
    <w:rsid w:val="009163B4"/>
    <w:rsid w:val="00916627"/>
    <w:rsid w:val="00916A13"/>
    <w:rsid w:val="00916D3E"/>
    <w:rsid w:val="00916EFB"/>
    <w:rsid w:val="0091738E"/>
    <w:rsid w:val="0091756B"/>
    <w:rsid w:val="0091768A"/>
    <w:rsid w:val="009177B7"/>
    <w:rsid w:val="00917913"/>
    <w:rsid w:val="009201B9"/>
    <w:rsid w:val="009202AB"/>
    <w:rsid w:val="009203F7"/>
    <w:rsid w:val="0092065A"/>
    <w:rsid w:val="00920940"/>
    <w:rsid w:val="00920ACD"/>
    <w:rsid w:val="00920FC4"/>
    <w:rsid w:val="00921593"/>
    <w:rsid w:val="00921986"/>
    <w:rsid w:val="00921A11"/>
    <w:rsid w:val="00921F47"/>
    <w:rsid w:val="0092224B"/>
    <w:rsid w:val="0092278E"/>
    <w:rsid w:val="00922D43"/>
    <w:rsid w:val="009230AF"/>
    <w:rsid w:val="009237A4"/>
    <w:rsid w:val="009238C1"/>
    <w:rsid w:val="0092393C"/>
    <w:rsid w:val="00923F17"/>
    <w:rsid w:val="0092418F"/>
    <w:rsid w:val="00924AC1"/>
    <w:rsid w:val="00924D71"/>
    <w:rsid w:val="00924DFC"/>
    <w:rsid w:val="00924F1A"/>
    <w:rsid w:val="009253C8"/>
    <w:rsid w:val="00926413"/>
    <w:rsid w:val="00926434"/>
    <w:rsid w:val="009265C0"/>
    <w:rsid w:val="00926719"/>
    <w:rsid w:val="0092673C"/>
    <w:rsid w:val="00926814"/>
    <w:rsid w:val="0092693B"/>
    <w:rsid w:val="00926A46"/>
    <w:rsid w:val="00926CF6"/>
    <w:rsid w:val="00926CFD"/>
    <w:rsid w:val="00926D7C"/>
    <w:rsid w:val="00927716"/>
    <w:rsid w:val="00927B50"/>
    <w:rsid w:val="00927FE5"/>
    <w:rsid w:val="009301E3"/>
    <w:rsid w:val="009305D3"/>
    <w:rsid w:val="00930715"/>
    <w:rsid w:val="00930991"/>
    <w:rsid w:val="00930D50"/>
    <w:rsid w:val="00930EA4"/>
    <w:rsid w:val="0093104C"/>
    <w:rsid w:val="00931961"/>
    <w:rsid w:val="00931B5C"/>
    <w:rsid w:val="00931E11"/>
    <w:rsid w:val="0093226E"/>
    <w:rsid w:val="009326F8"/>
    <w:rsid w:val="0093288A"/>
    <w:rsid w:val="00932907"/>
    <w:rsid w:val="00932B4A"/>
    <w:rsid w:val="00932DAC"/>
    <w:rsid w:val="00932F3B"/>
    <w:rsid w:val="00933018"/>
    <w:rsid w:val="0093359A"/>
    <w:rsid w:val="00933E08"/>
    <w:rsid w:val="00934023"/>
    <w:rsid w:val="009342FC"/>
    <w:rsid w:val="00934CCD"/>
    <w:rsid w:val="00935222"/>
    <w:rsid w:val="00935C74"/>
    <w:rsid w:val="00935E40"/>
    <w:rsid w:val="00936068"/>
    <w:rsid w:val="0093637A"/>
    <w:rsid w:val="00936388"/>
    <w:rsid w:val="00936419"/>
    <w:rsid w:val="009365FE"/>
    <w:rsid w:val="00936EE2"/>
    <w:rsid w:val="00936F93"/>
    <w:rsid w:val="009373FD"/>
    <w:rsid w:val="00937725"/>
    <w:rsid w:val="0093781A"/>
    <w:rsid w:val="00937936"/>
    <w:rsid w:val="00940010"/>
    <w:rsid w:val="00940211"/>
    <w:rsid w:val="00940EA0"/>
    <w:rsid w:val="009413E8"/>
    <w:rsid w:val="00941572"/>
    <w:rsid w:val="00941E59"/>
    <w:rsid w:val="00942355"/>
    <w:rsid w:val="009425F7"/>
    <w:rsid w:val="009429ED"/>
    <w:rsid w:val="00942CD3"/>
    <w:rsid w:val="00942D63"/>
    <w:rsid w:val="009433BC"/>
    <w:rsid w:val="0094374C"/>
    <w:rsid w:val="00943806"/>
    <w:rsid w:val="009439BC"/>
    <w:rsid w:val="009447E1"/>
    <w:rsid w:val="009449DD"/>
    <w:rsid w:val="00944C71"/>
    <w:rsid w:val="00945099"/>
    <w:rsid w:val="00945648"/>
    <w:rsid w:val="0094586A"/>
    <w:rsid w:val="00945B1A"/>
    <w:rsid w:val="00945C2B"/>
    <w:rsid w:val="00946351"/>
    <w:rsid w:val="00946AFD"/>
    <w:rsid w:val="00946DB7"/>
    <w:rsid w:val="00946EAB"/>
    <w:rsid w:val="00946FC9"/>
    <w:rsid w:val="0094706A"/>
    <w:rsid w:val="00947ACC"/>
    <w:rsid w:val="00947EA8"/>
    <w:rsid w:val="00947EB4"/>
    <w:rsid w:val="0095050A"/>
    <w:rsid w:val="0095069B"/>
    <w:rsid w:val="009506A5"/>
    <w:rsid w:val="00950760"/>
    <w:rsid w:val="00950815"/>
    <w:rsid w:val="00950A23"/>
    <w:rsid w:val="00950B33"/>
    <w:rsid w:val="00950C2C"/>
    <w:rsid w:val="00950C7C"/>
    <w:rsid w:val="009511E9"/>
    <w:rsid w:val="009517CC"/>
    <w:rsid w:val="00951A15"/>
    <w:rsid w:val="00951BFC"/>
    <w:rsid w:val="00951FF7"/>
    <w:rsid w:val="009522D0"/>
    <w:rsid w:val="00952431"/>
    <w:rsid w:val="0095249B"/>
    <w:rsid w:val="00952B39"/>
    <w:rsid w:val="00953173"/>
    <w:rsid w:val="009531E2"/>
    <w:rsid w:val="009532FB"/>
    <w:rsid w:val="0095395B"/>
    <w:rsid w:val="009539F2"/>
    <w:rsid w:val="00953C55"/>
    <w:rsid w:val="0095433D"/>
    <w:rsid w:val="00954351"/>
    <w:rsid w:val="00954523"/>
    <w:rsid w:val="00954C96"/>
    <w:rsid w:val="00954D43"/>
    <w:rsid w:val="00954E8C"/>
    <w:rsid w:val="00955258"/>
    <w:rsid w:val="009552C3"/>
    <w:rsid w:val="0095602C"/>
    <w:rsid w:val="009565A0"/>
    <w:rsid w:val="009565AD"/>
    <w:rsid w:val="00956624"/>
    <w:rsid w:val="00956D91"/>
    <w:rsid w:val="00956E4F"/>
    <w:rsid w:val="00956EC8"/>
    <w:rsid w:val="00957618"/>
    <w:rsid w:val="00957663"/>
    <w:rsid w:val="00957820"/>
    <w:rsid w:val="00957F08"/>
    <w:rsid w:val="00957F43"/>
    <w:rsid w:val="00957F46"/>
    <w:rsid w:val="00960032"/>
    <w:rsid w:val="009603EC"/>
    <w:rsid w:val="00960631"/>
    <w:rsid w:val="0096126B"/>
    <w:rsid w:val="009612C9"/>
    <w:rsid w:val="009615D4"/>
    <w:rsid w:val="0096179C"/>
    <w:rsid w:val="00961B0F"/>
    <w:rsid w:val="00961FDC"/>
    <w:rsid w:val="00962101"/>
    <w:rsid w:val="009625D9"/>
    <w:rsid w:val="00962905"/>
    <w:rsid w:val="00962CCE"/>
    <w:rsid w:val="00963A71"/>
    <w:rsid w:val="0096466C"/>
    <w:rsid w:val="00964990"/>
    <w:rsid w:val="00964D4C"/>
    <w:rsid w:val="00965080"/>
    <w:rsid w:val="009658FC"/>
    <w:rsid w:val="0096594B"/>
    <w:rsid w:val="00966028"/>
    <w:rsid w:val="0096649B"/>
    <w:rsid w:val="009668CD"/>
    <w:rsid w:val="00966C71"/>
    <w:rsid w:val="009670C7"/>
    <w:rsid w:val="0096730B"/>
    <w:rsid w:val="00967515"/>
    <w:rsid w:val="0096785D"/>
    <w:rsid w:val="00967E30"/>
    <w:rsid w:val="0097005A"/>
    <w:rsid w:val="0097067B"/>
    <w:rsid w:val="00970A20"/>
    <w:rsid w:val="00970ADA"/>
    <w:rsid w:val="00970C5A"/>
    <w:rsid w:val="00971034"/>
    <w:rsid w:val="009714A0"/>
    <w:rsid w:val="009715E6"/>
    <w:rsid w:val="0097163D"/>
    <w:rsid w:val="00971A60"/>
    <w:rsid w:val="00971C07"/>
    <w:rsid w:val="009720DA"/>
    <w:rsid w:val="009721F8"/>
    <w:rsid w:val="00972BA6"/>
    <w:rsid w:val="00972D00"/>
    <w:rsid w:val="00972E0A"/>
    <w:rsid w:val="00972F87"/>
    <w:rsid w:val="0097312B"/>
    <w:rsid w:val="00973157"/>
    <w:rsid w:val="00973657"/>
    <w:rsid w:val="0097365F"/>
    <w:rsid w:val="00973DED"/>
    <w:rsid w:val="00973EB1"/>
    <w:rsid w:val="00973FEC"/>
    <w:rsid w:val="009745D9"/>
    <w:rsid w:val="00974677"/>
    <w:rsid w:val="00974A7C"/>
    <w:rsid w:val="00974FA0"/>
    <w:rsid w:val="00975309"/>
    <w:rsid w:val="00975ACA"/>
    <w:rsid w:val="00975ADE"/>
    <w:rsid w:val="00975D8A"/>
    <w:rsid w:val="00975F9A"/>
    <w:rsid w:val="00976023"/>
    <w:rsid w:val="00976036"/>
    <w:rsid w:val="00976110"/>
    <w:rsid w:val="00976F54"/>
    <w:rsid w:val="009774CD"/>
    <w:rsid w:val="009775FD"/>
    <w:rsid w:val="0097793A"/>
    <w:rsid w:val="00977BD3"/>
    <w:rsid w:val="0098009D"/>
    <w:rsid w:val="00980461"/>
    <w:rsid w:val="009809A4"/>
    <w:rsid w:val="00980EF2"/>
    <w:rsid w:val="00980F86"/>
    <w:rsid w:val="00981323"/>
    <w:rsid w:val="0098142F"/>
    <w:rsid w:val="009816A0"/>
    <w:rsid w:val="00981AE2"/>
    <w:rsid w:val="00981CAA"/>
    <w:rsid w:val="009820D5"/>
    <w:rsid w:val="00982D5C"/>
    <w:rsid w:val="00983556"/>
    <w:rsid w:val="0098365F"/>
    <w:rsid w:val="009838E0"/>
    <w:rsid w:val="00983AB9"/>
    <w:rsid w:val="00983C1E"/>
    <w:rsid w:val="0098478F"/>
    <w:rsid w:val="00984F21"/>
    <w:rsid w:val="009851B1"/>
    <w:rsid w:val="009852DB"/>
    <w:rsid w:val="00985B08"/>
    <w:rsid w:val="00985D64"/>
    <w:rsid w:val="00985E15"/>
    <w:rsid w:val="00985EFE"/>
    <w:rsid w:val="009863E6"/>
    <w:rsid w:val="009864AF"/>
    <w:rsid w:val="00986567"/>
    <w:rsid w:val="00986601"/>
    <w:rsid w:val="009866F1"/>
    <w:rsid w:val="00986C0D"/>
    <w:rsid w:val="0098787E"/>
    <w:rsid w:val="00987ADA"/>
    <w:rsid w:val="00987F71"/>
    <w:rsid w:val="0099009B"/>
    <w:rsid w:val="009901F4"/>
    <w:rsid w:val="00990282"/>
    <w:rsid w:val="009902FA"/>
    <w:rsid w:val="009903B0"/>
    <w:rsid w:val="00990460"/>
    <w:rsid w:val="00990876"/>
    <w:rsid w:val="0099094B"/>
    <w:rsid w:val="00990B33"/>
    <w:rsid w:val="00990D8E"/>
    <w:rsid w:val="00990ED4"/>
    <w:rsid w:val="00990F24"/>
    <w:rsid w:val="00991422"/>
    <w:rsid w:val="009915AD"/>
    <w:rsid w:val="00991ED7"/>
    <w:rsid w:val="0099220C"/>
    <w:rsid w:val="00992688"/>
    <w:rsid w:val="00992AE9"/>
    <w:rsid w:val="00992DE4"/>
    <w:rsid w:val="00993229"/>
    <w:rsid w:val="0099354D"/>
    <w:rsid w:val="009939D2"/>
    <w:rsid w:val="00993A18"/>
    <w:rsid w:val="00993D5A"/>
    <w:rsid w:val="00994445"/>
    <w:rsid w:val="0099467D"/>
    <w:rsid w:val="009947E4"/>
    <w:rsid w:val="009948B9"/>
    <w:rsid w:val="00994BC7"/>
    <w:rsid w:val="00994E22"/>
    <w:rsid w:val="0099598A"/>
    <w:rsid w:val="00995E78"/>
    <w:rsid w:val="009960B9"/>
    <w:rsid w:val="009969C3"/>
    <w:rsid w:val="0099751F"/>
    <w:rsid w:val="00997929"/>
    <w:rsid w:val="00997B11"/>
    <w:rsid w:val="00997BF9"/>
    <w:rsid w:val="009A0366"/>
    <w:rsid w:val="009A0513"/>
    <w:rsid w:val="009A0E18"/>
    <w:rsid w:val="009A0EE8"/>
    <w:rsid w:val="009A147F"/>
    <w:rsid w:val="009A19B5"/>
    <w:rsid w:val="009A1B01"/>
    <w:rsid w:val="009A1BE6"/>
    <w:rsid w:val="009A1FE5"/>
    <w:rsid w:val="009A208F"/>
    <w:rsid w:val="009A2405"/>
    <w:rsid w:val="009A2440"/>
    <w:rsid w:val="009A24E1"/>
    <w:rsid w:val="009A2F17"/>
    <w:rsid w:val="009A3633"/>
    <w:rsid w:val="009A3C2B"/>
    <w:rsid w:val="009A3D45"/>
    <w:rsid w:val="009A3FF0"/>
    <w:rsid w:val="009A485D"/>
    <w:rsid w:val="009A4C63"/>
    <w:rsid w:val="009A4D02"/>
    <w:rsid w:val="009A4E5C"/>
    <w:rsid w:val="009A504B"/>
    <w:rsid w:val="009A5109"/>
    <w:rsid w:val="009A53D2"/>
    <w:rsid w:val="009A54E2"/>
    <w:rsid w:val="009A55AA"/>
    <w:rsid w:val="009A57D1"/>
    <w:rsid w:val="009A5C92"/>
    <w:rsid w:val="009A5F00"/>
    <w:rsid w:val="009A5FAD"/>
    <w:rsid w:val="009A6304"/>
    <w:rsid w:val="009A63E0"/>
    <w:rsid w:val="009A6550"/>
    <w:rsid w:val="009A66AA"/>
    <w:rsid w:val="009A673D"/>
    <w:rsid w:val="009A677C"/>
    <w:rsid w:val="009A67EB"/>
    <w:rsid w:val="009A6E53"/>
    <w:rsid w:val="009A7016"/>
    <w:rsid w:val="009A73FA"/>
    <w:rsid w:val="009A7622"/>
    <w:rsid w:val="009A7C97"/>
    <w:rsid w:val="009B0112"/>
    <w:rsid w:val="009B0225"/>
    <w:rsid w:val="009B0272"/>
    <w:rsid w:val="009B084F"/>
    <w:rsid w:val="009B15D6"/>
    <w:rsid w:val="009B1C3D"/>
    <w:rsid w:val="009B1F09"/>
    <w:rsid w:val="009B230F"/>
    <w:rsid w:val="009B2417"/>
    <w:rsid w:val="009B2527"/>
    <w:rsid w:val="009B261B"/>
    <w:rsid w:val="009B2761"/>
    <w:rsid w:val="009B29AF"/>
    <w:rsid w:val="009B2D08"/>
    <w:rsid w:val="009B2D78"/>
    <w:rsid w:val="009B2EFA"/>
    <w:rsid w:val="009B3425"/>
    <w:rsid w:val="009B35D1"/>
    <w:rsid w:val="009B36C3"/>
    <w:rsid w:val="009B36FB"/>
    <w:rsid w:val="009B372E"/>
    <w:rsid w:val="009B3998"/>
    <w:rsid w:val="009B3A60"/>
    <w:rsid w:val="009B3FBA"/>
    <w:rsid w:val="009B4026"/>
    <w:rsid w:val="009B407D"/>
    <w:rsid w:val="009B40C9"/>
    <w:rsid w:val="009B431A"/>
    <w:rsid w:val="009B442A"/>
    <w:rsid w:val="009B4546"/>
    <w:rsid w:val="009B4788"/>
    <w:rsid w:val="009B4B32"/>
    <w:rsid w:val="009B51D3"/>
    <w:rsid w:val="009B53A0"/>
    <w:rsid w:val="009B5C8F"/>
    <w:rsid w:val="009B6579"/>
    <w:rsid w:val="009B658C"/>
    <w:rsid w:val="009B668A"/>
    <w:rsid w:val="009B6BC9"/>
    <w:rsid w:val="009B6D8C"/>
    <w:rsid w:val="009B70CE"/>
    <w:rsid w:val="009B71F2"/>
    <w:rsid w:val="009B72A9"/>
    <w:rsid w:val="009B736C"/>
    <w:rsid w:val="009B76A7"/>
    <w:rsid w:val="009B78CC"/>
    <w:rsid w:val="009B7902"/>
    <w:rsid w:val="009B793F"/>
    <w:rsid w:val="009B79E2"/>
    <w:rsid w:val="009B7A1E"/>
    <w:rsid w:val="009B7DDE"/>
    <w:rsid w:val="009B7EFE"/>
    <w:rsid w:val="009B7F2E"/>
    <w:rsid w:val="009C07DE"/>
    <w:rsid w:val="009C09BA"/>
    <w:rsid w:val="009C0C94"/>
    <w:rsid w:val="009C0E66"/>
    <w:rsid w:val="009C126F"/>
    <w:rsid w:val="009C194C"/>
    <w:rsid w:val="009C1BB0"/>
    <w:rsid w:val="009C1E55"/>
    <w:rsid w:val="009C2261"/>
    <w:rsid w:val="009C233B"/>
    <w:rsid w:val="009C252F"/>
    <w:rsid w:val="009C2688"/>
    <w:rsid w:val="009C3047"/>
    <w:rsid w:val="009C317C"/>
    <w:rsid w:val="009C335A"/>
    <w:rsid w:val="009C3794"/>
    <w:rsid w:val="009C3CD9"/>
    <w:rsid w:val="009C3D0F"/>
    <w:rsid w:val="009C4098"/>
    <w:rsid w:val="009C4229"/>
    <w:rsid w:val="009C4D75"/>
    <w:rsid w:val="009C5513"/>
    <w:rsid w:val="009C5615"/>
    <w:rsid w:val="009C5618"/>
    <w:rsid w:val="009C5853"/>
    <w:rsid w:val="009C5981"/>
    <w:rsid w:val="009C5A75"/>
    <w:rsid w:val="009C5F65"/>
    <w:rsid w:val="009C6075"/>
    <w:rsid w:val="009C68F8"/>
    <w:rsid w:val="009C69D5"/>
    <w:rsid w:val="009C73C1"/>
    <w:rsid w:val="009C7AB0"/>
    <w:rsid w:val="009C7F05"/>
    <w:rsid w:val="009D006D"/>
    <w:rsid w:val="009D0172"/>
    <w:rsid w:val="009D0405"/>
    <w:rsid w:val="009D064B"/>
    <w:rsid w:val="009D083F"/>
    <w:rsid w:val="009D09F6"/>
    <w:rsid w:val="009D1014"/>
    <w:rsid w:val="009D14C1"/>
    <w:rsid w:val="009D1680"/>
    <w:rsid w:val="009D1DA3"/>
    <w:rsid w:val="009D2106"/>
    <w:rsid w:val="009D2209"/>
    <w:rsid w:val="009D228C"/>
    <w:rsid w:val="009D24F5"/>
    <w:rsid w:val="009D27BA"/>
    <w:rsid w:val="009D2B0E"/>
    <w:rsid w:val="009D2B4F"/>
    <w:rsid w:val="009D2E0B"/>
    <w:rsid w:val="009D2EAE"/>
    <w:rsid w:val="009D2F8A"/>
    <w:rsid w:val="009D3305"/>
    <w:rsid w:val="009D33BE"/>
    <w:rsid w:val="009D3CCA"/>
    <w:rsid w:val="009D3FBA"/>
    <w:rsid w:val="009D3FC1"/>
    <w:rsid w:val="009D4185"/>
    <w:rsid w:val="009D418F"/>
    <w:rsid w:val="009D419E"/>
    <w:rsid w:val="009D445E"/>
    <w:rsid w:val="009D4AD3"/>
    <w:rsid w:val="009D4B7F"/>
    <w:rsid w:val="009D4D26"/>
    <w:rsid w:val="009D4DBD"/>
    <w:rsid w:val="009D4E2B"/>
    <w:rsid w:val="009D4EC1"/>
    <w:rsid w:val="009D52D6"/>
    <w:rsid w:val="009D5430"/>
    <w:rsid w:val="009D5782"/>
    <w:rsid w:val="009D57EE"/>
    <w:rsid w:val="009D5A01"/>
    <w:rsid w:val="009D5C89"/>
    <w:rsid w:val="009D5DBC"/>
    <w:rsid w:val="009D5F92"/>
    <w:rsid w:val="009D611B"/>
    <w:rsid w:val="009D64A5"/>
    <w:rsid w:val="009D659F"/>
    <w:rsid w:val="009D6D84"/>
    <w:rsid w:val="009D71B7"/>
    <w:rsid w:val="009D7216"/>
    <w:rsid w:val="009D765C"/>
    <w:rsid w:val="009D7B01"/>
    <w:rsid w:val="009D7FCF"/>
    <w:rsid w:val="009E0046"/>
    <w:rsid w:val="009E01D2"/>
    <w:rsid w:val="009E0285"/>
    <w:rsid w:val="009E06AA"/>
    <w:rsid w:val="009E0F92"/>
    <w:rsid w:val="009E0FB0"/>
    <w:rsid w:val="009E15C1"/>
    <w:rsid w:val="009E1879"/>
    <w:rsid w:val="009E18EB"/>
    <w:rsid w:val="009E19A3"/>
    <w:rsid w:val="009E20B2"/>
    <w:rsid w:val="009E2276"/>
    <w:rsid w:val="009E25FD"/>
    <w:rsid w:val="009E265D"/>
    <w:rsid w:val="009E2A5D"/>
    <w:rsid w:val="009E2BF5"/>
    <w:rsid w:val="009E2C11"/>
    <w:rsid w:val="009E2C68"/>
    <w:rsid w:val="009E30D0"/>
    <w:rsid w:val="009E3BA5"/>
    <w:rsid w:val="009E3CE7"/>
    <w:rsid w:val="009E4A1F"/>
    <w:rsid w:val="009E4C87"/>
    <w:rsid w:val="009E4DC0"/>
    <w:rsid w:val="009E52C0"/>
    <w:rsid w:val="009E534D"/>
    <w:rsid w:val="009E60B9"/>
    <w:rsid w:val="009E61A8"/>
    <w:rsid w:val="009E6A9B"/>
    <w:rsid w:val="009E6D37"/>
    <w:rsid w:val="009E719E"/>
    <w:rsid w:val="009E730E"/>
    <w:rsid w:val="009E792E"/>
    <w:rsid w:val="009E79E6"/>
    <w:rsid w:val="009E7C63"/>
    <w:rsid w:val="009F01C9"/>
    <w:rsid w:val="009F026E"/>
    <w:rsid w:val="009F084C"/>
    <w:rsid w:val="009F0C16"/>
    <w:rsid w:val="009F0C58"/>
    <w:rsid w:val="009F1101"/>
    <w:rsid w:val="009F1419"/>
    <w:rsid w:val="009F1497"/>
    <w:rsid w:val="009F1772"/>
    <w:rsid w:val="009F18B7"/>
    <w:rsid w:val="009F1A86"/>
    <w:rsid w:val="009F1B5F"/>
    <w:rsid w:val="009F2203"/>
    <w:rsid w:val="009F222E"/>
    <w:rsid w:val="009F2943"/>
    <w:rsid w:val="009F29B5"/>
    <w:rsid w:val="009F2E01"/>
    <w:rsid w:val="009F321D"/>
    <w:rsid w:val="009F3512"/>
    <w:rsid w:val="009F3540"/>
    <w:rsid w:val="009F3D01"/>
    <w:rsid w:val="009F3D91"/>
    <w:rsid w:val="009F428B"/>
    <w:rsid w:val="009F4347"/>
    <w:rsid w:val="009F48F4"/>
    <w:rsid w:val="009F4B3F"/>
    <w:rsid w:val="009F5E2B"/>
    <w:rsid w:val="009F652C"/>
    <w:rsid w:val="009F698E"/>
    <w:rsid w:val="009F6A60"/>
    <w:rsid w:val="009F6A91"/>
    <w:rsid w:val="009F6EC9"/>
    <w:rsid w:val="009F71D9"/>
    <w:rsid w:val="009F7544"/>
    <w:rsid w:val="009F7B98"/>
    <w:rsid w:val="009F7D17"/>
    <w:rsid w:val="009F7ECD"/>
    <w:rsid w:val="00A0055D"/>
    <w:rsid w:val="00A008EC"/>
    <w:rsid w:val="00A00BD8"/>
    <w:rsid w:val="00A00E35"/>
    <w:rsid w:val="00A0101D"/>
    <w:rsid w:val="00A0109D"/>
    <w:rsid w:val="00A01278"/>
    <w:rsid w:val="00A018DC"/>
    <w:rsid w:val="00A019DD"/>
    <w:rsid w:val="00A01A5B"/>
    <w:rsid w:val="00A01D98"/>
    <w:rsid w:val="00A01FCC"/>
    <w:rsid w:val="00A024DE"/>
    <w:rsid w:val="00A0265B"/>
    <w:rsid w:val="00A026E7"/>
    <w:rsid w:val="00A0298E"/>
    <w:rsid w:val="00A02BF3"/>
    <w:rsid w:val="00A02C9F"/>
    <w:rsid w:val="00A0324B"/>
    <w:rsid w:val="00A032B5"/>
    <w:rsid w:val="00A0353B"/>
    <w:rsid w:val="00A03CE6"/>
    <w:rsid w:val="00A03E26"/>
    <w:rsid w:val="00A0408F"/>
    <w:rsid w:val="00A0466D"/>
    <w:rsid w:val="00A04AA6"/>
    <w:rsid w:val="00A052AB"/>
    <w:rsid w:val="00A052B1"/>
    <w:rsid w:val="00A0566F"/>
    <w:rsid w:val="00A06093"/>
    <w:rsid w:val="00A063C9"/>
    <w:rsid w:val="00A06492"/>
    <w:rsid w:val="00A065DC"/>
    <w:rsid w:val="00A067F6"/>
    <w:rsid w:val="00A06A2F"/>
    <w:rsid w:val="00A06F06"/>
    <w:rsid w:val="00A0757A"/>
    <w:rsid w:val="00A07D03"/>
    <w:rsid w:val="00A108B9"/>
    <w:rsid w:val="00A10934"/>
    <w:rsid w:val="00A109F1"/>
    <w:rsid w:val="00A10B22"/>
    <w:rsid w:val="00A10EFC"/>
    <w:rsid w:val="00A11068"/>
    <w:rsid w:val="00A1136C"/>
    <w:rsid w:val="00A1141F"/>
    <w:rsid w:val="00A11ABC"/>
    <w:rsid w:val="00A11DFA"/>
    <w:rsid w:val="00A11F0F"/>
    <w:rsid w:val="00A128B7"/>
    <w:rsid w:val="00A128FA"/>
    <w:rsid w:val="00A12DCF"/>
    <w:rsid w:val="00A13501"/>
    <w:rsid w:val="00A13664"/>
    <w:rsid w:val="00A136D0"/>
    <w:rsid w:val="00A1383D"/>
    <w:rsid w:val="00A13A26"/>
    <w:rsid w:val="00A13C34"/>
    <w:rsid w:val="00A13ECF"/>
    <w:rsid w:val="00A147E0"/>
    <w:rsid w:val="00A150B5"/>
    <w:rsid w:val="00A15200"/>
    <w:rsid w:val="00A153FA"/>
    <w:rsid w:val="00A157D9"/>
    <w:rsid w:val="00A15902"/>
    <w:rsid w:val="00A1659E"/>
    <w:rsid w:val="00A166A4"/>
    <w:rsid w:val="00A16AEA"/>
    <w:rsid w:val="00A17105"/>
    <w:rsid w:val="00A174C8"/>
    <w:rsid w:val="00A17769"/>
    <w:rsid w:val="00A17981"/>
    <w:rsid w:val="00A17ABE"/>
    <w:rsid w:val="00A17F6B"/>
    <w:rsid w:val="00A200C4"/>
    <w:rsid w:val="00A20410"/>
    <w:rsid w:val="00A20A67"/>
    <w:rsid w:val="00A20AF4"/>
    <w:rsid w:val="00A21360"/>
    <w:rsid w:val="00A2159B"/>
    <w:rsid w:val="00A21AFC"/>
    <w:rsid w:val="00A222B7"/>
    <w:rsid w:val="00A22326"/>
    <w:rsid w:val="00A225C1"/>
    <w:rsid w:val="00A2319D"/>
    <w:rsid w:val="00A233B7"/>
    <w:rsid w:val="00A2361F"/>
    <w:rsid w:val="00A236CC"/>
    <w:rsid w:val="00A236DD"/>
    <w:rsid w:val="00A23799"/>
    <w:rsid w:val="00A23812"/>
    <w:rsid w:val="00A23CE9"/>
    <w:rsid w:val="00A23D5F"/>
    <w:rsid w:val="00A246F3"/>
    <w:rsid w:val="00A2484F"/>
    <w:rsid w:val="00A248AE"/>
    <w:rsid w:val="00A25302"/>
    <w:rsid w:val="00A25AD5"/>
    <w:rsid w:val="00A25FBC"/>
    <w:rsid w:val="00A260FA"/>
    <w:rsid w:val="00A265D8"/>
    <w:rsid w:val="00A26AF8"/>
    <w:rsid w:val="00A26BDD"/>
    <w:rsid w:val="00A26D7D"/>
    <w:rsid w:val="00A272C3"/>
    <w:rsid w:val="00A27789"/>
    <w:rsid w:val="00A300DE"/>
    <w:rsid w:val="00A303FA"/>
    <w:rsid w:val="00A307EC"/>
    <w:rsid w:val="00A30838"/>
    <w:rsid w:val="00A30CED"/>
    <w:rsid w:val="00A31099"/>
    <w:rsid w:val="00A31109"/>
    <w:rsid w:val="00A3185E"/>
    <w:rsid w:val="00A31965"/>
    <w:rsid w:val="00A31E4B"/>
    <w:rsid w:val="00A326E3"/>
    <w:rsid w:val="00A328A8"/>
    <w:rsid w:val="00A330D0"/>
    <w:rsid w:val="00A33200"/>
    <w:rsid w:val="00A33438"/>
    <w:rsid w:val="00A33903"/>
    <w:rsid w:val="00A33E08"/>
    <w:rsid w:val="00A34653"/>
    <w:rsid w:val="00A35812"/>
    <w:rsid w:val="00A35D23"/>
    <w:rsid w:val="00A35D98"/>
    <w:rsid w:val="00A36201"/>
    <w:rsid w:val="00A363C3"/>
    <w:rsid w:val="00A367C1"/>
    <w:rsid w:val="00A36A67"/>
    <w:rsid w:val="00A36C2A"/>
    <w:rsid w:val="00A36DA5"/>
    <w:rsid w:val="00A36F31"/>
    <w:rsid w:val="00A3789B"/>
    <w:rsid w:val="00A37B21"/>
    <w:rsid w:val="00A37D61"/>
    <w:rsid w:val="00A37DC5"/>
    <w:rsid w:val="00A37E5A"/>
    <w:rsid w:val="00A40113"/>
    <w:rsid w:val="00A4025F"/>
    <w:rsid w:val="00A402C8"/>
    <w:rsid w:val="00A4043C"/>
    <w:rsid w:val="00A40769"/>
    <w:rsid w:val="00A410DD"/>
    <w:rsid w:val="00A414FD"/>
    <w:rsid w:val="00A41687"/>
    <w:rsid w:val="00A416AD"/>
    <w:rsid w:val="00A41823"/>
    <w:rsid w:val="00A41B9E"/>
    <w:rsid w:val="00A420D3"/>
    <w:rsid w:val="00A429CF"/>
    <w:rsid w:val="00A42C73"/>
    <w:rsid w:val="00A42E69"/>
    <w:rsid w:val="00A42FEF"/>
    <w:rsid w:val="00A434C1"/>
    <w:rsid w:val="00A436AC"/>
    <w:rsid w:val="00A43820"/>
    <w:rsid w:val="00A4393E"/>
    <w:rsid w:val="00A43A53"/>
    <w:rsid w:val="00A43B09"/>
    <w:rsid w:val="00A43D33"/>
    <w:rsid w:val="00A43FA1"/>
    <w:rsid w:val="00A443B1"/>
    <w:rsid w:val="00A45061"/>
    <w:rsid w:val="00A45242"/>
    <w:rsid w:val="00A452A5"/>
    <w:rsid w:val="00A452E1"/>
    <w:rsid w:val="00A455AC"/>
    <w:rsid w:val="00A45824"/>
    <w:rsid w:val="00A45BF9"/>
    <w:rsid w:val="00A45C49"/>
    <w:rsid w:val="00A45D76"/>
    <w:rsid w:val="00A45F7A"/>
    <w:rsid w:val="00A46816"/>
    <w:rsid w:val="00A46DEB"/>
    <w:rsid w:val="00A471AE"/>
    <w:rsid w:val="00A472F5"/>
    <w:rsid w:val="00A475C9"/>
    <w:rsid w:val="00A4769E"/>
    <w:rsid w:val="00A4786A"/>
    <w:rsid w:val="00A47A3D"/>
    <w:rsid w:val="00A47BE5"/>
    <w:rsid w:val="00A47D26"/>
    <w:rsid w:val="00A500CB"/>
    <w:rsid w:val="00A50263"/>
    <w:rsid w:val="00A504EC"/>
    <w:rsid w:val="00A50921"/>
    <w:rsid w:val="00A50CD9"/>
    <w:rsid w:val="00A50D9E"/>
    <w:rsid w:val="00A50E6B"/>
    <w:rsid w:val="00A51374"/>
    <w:rsid w:val="00A514FD"/>
    <w:rsid w:val="00A516F9"/>
    <w:rsid w:val="00A517C0"/>
    <w:rsid w:val="00A5191E"/>
    <w:rsid w:val="00A51B2D"/>
    <w:rsid w:val="00A51B52"/>
    <w:rsid w:val="00A51EA0"/>
    <w:rsid w:val="00A524D4"/>
    <w:rsid w:val="00A52545"/>
    <w:rsid w:val="00A526E0"/>
    <w:rsid w:val="00A52BA8"/>
    <w:rsid w:val="00A52BEA"/>
    <w:rsid w:val="00A52C9B"/>
    <w:rsid w:val="00A530A5"/>
    <w:rsid w:val="00A5370F"/>
    <w:rsid w:val="00A539CF"/>
    <w:rsid w:val="00A53AB1"/>
    <w:rsid w:val="00A5500B"/>
    <w:rsid w:val="00A5529A"/>
    <w:rsid w:val="00A552B1"/>
    <w:rsid w:val="00A5581F"/>
    <w:rsid w:val="00A559A1"/>
    <w:rsid w:val="00A56141"/>
    <w:rsid w:val="00A564BB"/>
    <w:rsid w:val="00A565A9"/>
    <w:rsid w:val="00A566EF"/>
    <w:rsid w:val="00A568D1"/>
    <w:rsid w:val="00A569FC"/>
    <w:rsid w:val="00A56A8F"/>
    <w:rsid w:val="00A5703F"/>
    <w:rsid w:val="00A57371"/>
    <w:rsid w:val="00A575EB"/>
    <w:rsid w:val="00A57EAC"/>
    <w:rsid w:val="00A60141"/>
    <w:rsid w:val="00A60273"/>
    <w:rsid w:val="00A6049E"/>
    <w:rsid w:val="00A60596"/>
    <w:rsid w:val="00A615BB"/>
    <w:rsid w:val="00A61651"/>
    <w:rsid w:val="00A61E5D"/>
    <w:rsid w:val="00A61F1A"/>
    <w:rsid w:val="00A626FA"/>
    <w:rsid w:val="00A627E9"/>
    <w:rsid w:val="00A63365"/>
    <w:rsid w:val="00A6376D"/>
    <w:rsid w:val="00A6379E"/>
    <w:rsid w:val="00A638E3"/>
    <w:rsid w:val="00A63971"/>
    <w:rsid w:val="00A639C8"/>
    <w:rsid w:val="00A6464A"/>
    <w:rsid w:val="00A64DE8"/>
    <w:rsid w:val="00A652D1"/>
    <w:rsid w:val="00A65595"/>
    <w:rsid w:val="00A6596C"/>
    <w:rsid w:val="00A65DCB"/>
    <w:rsid w:val="00A65F17"/>
    <w:rsid w:val="00A661B1"/>
    <w:rsid w:val="00A66754"/>
    <w:rsid w:val="00A668D5"/>
    <w:rsid w:val="00A66FF8"/>
    <w:rsid w:val="00A67131"/>
    <w:rsid w:val="00A67A47"/>
    <w:rsid w:val="00A70072"/>
    <w:rsid w:val="00A7009D"/>
    <w:rsid w:val="00A70227"/>
    <w:rsid w:val="00A7029E"/>
    <w:rsid w:val="00A706AC"/>
    <w:rsid w:val="00A70B88"/>
    <w:rsid w:val="00A70CFF"/>
    <w:rsid w:val="00A70E1A"/>
    <w:rsid w:val="00A70EC8"/>
    <w:rsid w:val="00A71023"/>
    <w:rsid w:val="00A7122C"/>
    <w:rsid w:val="00A71501"/>
    <w:rsid w:val="00A71879"/>
    <w:rsid w:val="00A7190D"/>
    <w:rsid w:val="00A71B0A"/>
    <w:rsid w:val="00A71D86"/>
    <w:rsid w:val="00A72354"/>
    <w:rsid w:val="00A724D2"/>
    <w:rsid w:val="00A727EC"/>
    <w:rsid w:val="00A72DC9"/>
    <w:rsid w:val="00A72E40"/>
    <w:rsid w:val="00A73733"/>
    <w:rsid w:val="00A73CE7"/>
    <w:rsid w:val="00A74611"/>
    <w:rsid w:val="00A74A72"/>
    <w:rsid w:val="00A75359"/>
    <w:rsid w:val="00A75471"/>
    <w:rsid w:val="00A75870"/>
    <w:rsid w:val="00A7596C"/>
    <w:rsid w:val="00A75B98"/>
    <w:rsid w:val="00A75DCB"/>
    <w:rsid w:val="00A7604C"/>
    <w:rsid w:val="00A761D5"/>
    <w:rsid w:val="00A76309"/>
    <w:rsid w:val="00A76405"/>
    <w:rsid w:val="00A768BA"/>
    <w:rsid w:val="00A76960"/>
    <w:rsid w:val="00A76C2F"/>
    <w:rsid w:val="00A772FE"/>
    <w:rsid w:val="00A7765C"/>
    <w:rsid w:val="00A778A4"/>
    <w:rsid w:val="00A804E5"/>
    <w:rsid w:val="00A805FD"/>
    <w:rsid w:val="00A80F1C"/>
    <w:rsid w:val="00A8178C"/>
    <w:rsid w:val="00A81812"/>
    <w:rsid w:val="00A8183A"/>
    <w:rsid w:val="00A81CC4"/>
    <w:rsid w:val="00A820EC"/>
    <w:rsid w:val="00A823E9"/>
    <w:rsid w:val="00A8241D"/>
    <w:rsid w:val="00A824B6"/>
    <w:rsid w:val="00A82500"/>
    <w:rsid w:val="00A82DBD"/>
    <w:rsid w:val="00A83086"/>
    <w:rsid w:val="00A83432"/>
    <w:rsid w:val="00A835B3"/>
    <w:rsid w:val="00A83BA8"/>
    <w:rsid w:val="00A83BD1"/>
    <w:rsid w:val="00A83D07"/>
    <w:rsid w:val="00A8457B"/>
    <w:rsid w:val="00A84715"/>
    <w:rsid w:val="00A84E1E"/>
    <w:rsid w:val="00A850ED"/>
    <w:rsid w:val="00A8551F"/>
    <w:rsid w:val="00A85AE9"/>
    <w:rsid w:val="00A86051"/>
    <w:rsid w:val="00A8610D"/>
    <w:rsid w:val="00A86117"/>
    <w:rsid w:val="00A8625F"/>
    <w:rsid w:val="00A86277"/>
    <w:rsid w:val="00A862C1"/>
    <w:rsid w:val="00A865B9"/>
    <w:rsid w:val="00A86A66"/>
    <w:rsid w:val="00A87461"/>
    <w:rsid w:val="00A875CD"/>
    <w:rsid w:val="00A8768C"/>
    <w:rsid w:val="00A87A5F"/>
    <w:rsid w:val="00A87AB4"/>
    <w:rsid w:val="00A87C7A"/>
    <w:rsid w:val="00A87C8F"/>
    <w:rsid w:val="00A87E8A"/>
    <w:rsid w:val="00A90151"/>
    <w:rsid w:val="00A90256"/>
    <w:rsid w:val="00A90500"/>
    <w:rsid w:val="00A90C51"/>
    <w:rsid w:val="00A90F03"/>
    <w:rsid w:val="00A91551"/>
    <w:rsid w:val="00A91806"/>
    <w:rsid w:val="00A91A08"/>
    <w:rsid w:val="00A925FF"/>
    <w:rsid w:val="00A92B7B"/>
    <w:rsid w:val="00A92DD5"/>
    <w:rsid w:val="00A93112"/>
    <w:rsid w:val="00A93189"/>
    <w:rsid w:val="00A931A5"/>
    <w:rsid w:val="00A93430"/>
    <w:rsid w:val="00A9359B"/>
    <w:rsid w:val="00A93BE5"/>
    <w:rsid w:val="00A93CF5"/>
    <w:rsid w:val="00A94681"/>
    <w:rsid w:val="00A94D62"/>
    <w:rsid w:val="00A94E7B"/>
    <w:rsid w:val="00A94E8B"/>
    <w:rsid w:val="00A9545C"/>
    <w:rsid w:val="00A9547F"/>
    <w:rsid w:val="00A968B3"/>
    <w:rsid w:val="00A96D32"/>
    <w:rsid w:val="00A970A6"/>
    <w:rsid w:val="00A97612"/>
    <w:rsid w:val="00A97BA4"/>
    <w:rsid w:val="00A97FB9"/>
    <w:rsid w:val="00A97FCB"/>
    <w:rsid w:val="00AA034C"/>
    <w:rsid w:val="00AA03A6"/>
    <w:rsid w:val="00AA04C9"/>
    <w:rsid w:val="00AA0AF4"/>
    <w:rsid w:val="00AA163B"/>
    <w:rsid w:val="00AA18BB"/>
    <w:rsid w:val="00AA18CA"/>
    <w:rsid w:val="00AA1A66"/>
    <w:rsid w:val="00AA1BE2"/>
    <w:rsid w:val="00AA1E51"/>
    <w:rsid w:val="00AA1E6E"/>
    <w:rsid w:val="00AA1F0D"/>
    <w:rsid w:val="00AA1F7E"/>
    <w:rsid w:val="00AA2040"/>
    <w:rsid w:val="00AA26F9"/>
    <w:rsid w:val="00AA2BD3"/>
    <w:rsid w:val="00AA2BF2"/>
    <w:rsid w:val="00AA2C28"/>
    <w:rsid w:val="00AA2CFF"/>
    <w:rsid w:val="00AA2D35"/>
    <w:rsid w:val="00AA3465"/>
    <w:rsid w:val="00AA3569"/>
    <w:rsid w:val="00AA37AA"/>
    <w:rsid w:val="00AA3C49"/>
    <w:rsid w:val="00AA4B47"/>
    <w:rsid w:val="00AA4EDF"/>
    <w:rsid w:val="00AA4FAB"/>
    <w:rsid w:val="00AA5115"/>
    <w:rsid w:val="00AA5653"/>
    <w:rsid w:val="00AA5C00"/>
    <w:rsid w:val="00AA5EEB"/>
    <w:rsid w:val="00AA6F3D"/>
    <w:rsid w:val="00AA7023"/>
    <w:rsid w:val="00AA724F"/>
    <w:rsid w:val="00AA799F"/>
    <w:rsid w:val="00AA7C07"/>
    <w:rsid w:val="00AA7CCF"/>
    <w:rsid w:val="00AB0BC4"/>
    <w:rsid w:val="00AB108C"/>
    <w:rsid w:val="00AB10F4"/>
    <w:rsid w:val="00AB1609"/>
    <w:rsid w:val="00AB1AF9"/>
    <w:rsid w:val="00AB20F3"/>
    <w:rsid w:val="00AB228A"/>
    <w:rsid w:val="00AB2600"/>
    <w:rsid w:val="00AB2A5B"/>
    <w:rsid w:val="00AB2CA5"/>
    <w:rsid w:val="00AB2D17"/>
    <w:rsid w:val="00AB2DCD"/>
    <w:rsid w:val="00AB2E9D"/>
    <w:rsid w:val="00AB34A3"/>
    <w:rsid w:val="00AB34AD"/>
    <w:rsid w:val="00AB353F"/>
    <w:rsid w:val="00AB360A"/>
    <w:rsid w:val="00AB3624"/>
    <w:rsid w:val="00AB36A3"/>
    <w:rsid w:val="00AB387A"/>
    <w:rsid w:val="00AB3A6C"/>
    <w:rsid w:val="00AB3CFE"/>
    <w:rsid w:val="00AB4257"/>
    <w:rsid w:val="00AB446C"/>
    <w:rsid w:val="00AB44BC"/>
    <w:rsid w:val="00AB44C0"/>
    <w:rsid w:val="00AB46E2"/>
    <w:rsid w:val="00AB4714"/>
    <w:rsid w:val="00AB4AFA"/>
    <w:rsid w:val="00AB5129"/>
    <w:rsid w:val="00AB5454"/>
    <w:rsid w:val="00AB5603"/>
    <w:rsid w:val="00AB5CD9"/>
    <w:rsid w:val="00AB64A7"/>
    <w:rsid w:val="00AB654C"/>
    <w:rsid w:val="00AB66B0"/>
    <w:rsid w:val="00AB70B5"/>
    <w:rsid w:val="00AB7122"/>
    <w:rsid w:val="00AB7886"/>
    <w:rsid w:val="00AB7A10"/>
    <w:rsid w:val="00AB7B80"/>
    <w:rsid w:val="00AB7CF7"/>
    <w:rsid w:val="00AB7D43"/>
    <w:rsid w:val="00AB7D70"/>
    <w:rsid w:val="00AC036D"/>
    <w:rsid w:val="00AC05BF"/>
    <w:rsid w:val="00AC0869"/>
    <w:rsid w:val="00AC08A0"/>
    <w:rsid w:val="00AC09B2"/>
    <w:rsid w:val="00AC0B67"/>
    <w:rsid w:val="00AC0E12"/>
    <w:rsid w:val="00AC0FF3"/>
    <w:rsid w:val="00AC11B0"/>
    <w:rsid w:val="00AC1265"/>
    <w:rsid w:val="00AC1357"/>
    <w:rsid w:val="00AC16C4"/>
    <w:rsid w:val="00AC1D83"/>
    <w:rsid w:val="00AC1E5B"/>
    <w:rsid w:val="00AC2888"/>
    <w:rsid w:val="00AC2FEC"/>
    <w:rsid w:val="00AC320F"/>
    <w:rsid w:val="00AC37C6"/>
    <w:rsid w:val="00AC3B10"/>
    <w:rsid w:val="00AC3DF4"/>
    <w:rsid w:val="00AC3E4C"/>
    <w:rsid w:val="00AC3FE8"/>
    <w:rsid w:val="00AC43DF"/>
    <w:rsid w:val="00AC461B"/>
    <w:rsid w:val="00AC46CE"/>
    <w:rsid w:val="00AC4DAC"/>
    <w:rsid w:val="00AC4E6F"/>
    <w:rsid w:val="00AC4F7C"/>
    <w:rsid w:val="00AC541D"/>
    <w:rsid w:val="00AC5569"/>
    <w:rsid w:val="00AC587D"/>
    <w:rsid w:val="00AC5B5E"/>
    <w:rsid w:val="00AC63F1"/>
    <w:rsid w:val="00AC691F"/>
    <w:rsid w:val="00AC720E"/>
    <w:rsid w:val="00AC73E4"/>
    <w:rsid w:val="00AC7485"/>
    <w:rsid w:val="00AC75AB"/>
    <w:rsid w:val="00AC7784"/>
    <w:rsid w:val="00AC7C00"/>
    <w:rsid w:val="00AD00E9"/>
    <w:rsid w:val="00AD0234"/>
    <w:rsid w:val="00AD0876"/>
    <w:rsid w:val="00AD092D"/>
    <w:rsid w:val="00AD0B61"/>
    <w:rsid w:val="00AD12D4"/>
    <w:rsid w:val="00AD189C"/>
    <w:rsid w:val="00AD1AA2"/>
    <w:rsid w:val="00AD1E5C"/>
    <w:rsid w:val="00AD22FB"/>
    <w:rsid w:val="00AD2362"/>
    <w:rsid w:val="00AD253A"/>
    <w:rsid w:val="00AD290B"/>
    <w:rsid w:val="00AD2957"/>
    <w:rsid w:val="00AD2D9C"/>
    <w:rsid w:val="00AD2DA3"/>
    <w:rsid w:val="00AD361E"/>
    <w:rsid w:val="00AD3954"/>
    <w:rsid w:val="00AD398D"/>
    <w:rsid w:val="00AD3AE9"/>
    <w:rsid w:val="00AD3B65"/>
    <w:rsid w:val="00AD40C2"/>
    <w:rsid w:val="00AD4450"/>
    <w:rsid w:val="00AD4512"/>
    <w:rsid w:val="00AD4B9C"/>
    <w:rsid w:val="00AD546A"/>
    <w:rsid w:val="00AD546F"/>
    <w:rsid w:val="00AD56CB"/>
    <w:rsid w:val="00AD573F"/>
    <w:rsid w:val="00AD57E0"/>
    <w:rsid w:val="00AD5DA6"/>
    <w:rsid w:val="00AD5F25"/>
    <w:rsid w:val="00AD61F9"/>
    <w:rsid w:val="00AD659E"/>
    <w:rsid w:val="00AD694E"/>
    <w:rsid w:val="00AD6AB2"/>
    <w:rsid w:val="00AD6CF0"/>
    <w:rsid w:val="00AD6EE3"/>
    <w:rsid w:val="00AD71C6"/>
    <w:rsid w:val="00AD7484"/>
    <w:rsid w:val="00AD7587"/>
    <w:rsid w:val="00AD7779"/>
    <w:rsid w:val="00AD78AC"/>
    <w:rsid w:val="00AD7A30"/>
    <w:rsid w:val="00AD7FD3"/>
    <w:rsid w:val="00AE077B"/>
    <w:rsid w:val="00AE1172"/>
    <w:rsid w:val="00AE1BDC"/>
    <w:rsid w:val="00AE1C0A"/>
    <w:rsid w:val="00AE24C0"/>
    <w:rsid w:val="00AE2551"/>
    <w:rsid w:val="00AE2810"/>
    <w:rsid w:val="00AE293F"/>
    <w:rsid w:val="00AE2FD9"/>
    <w:rsid w:val="00AE3079"/>
    <w:rsid w:val="00AE320D"/>
    <w:rsid w:val="00AE3712"/>
    <w:rsid w:val="00AE393B"/>
    <w:rsid w:val="00AE3CF1"/>
    <w:rsid w:val="00AE4212"/>
    <w:rsid w:val="00AE5170"/>
    <w:rsid w:val="00AE528A"/>
    <w:rsid w:val="00AE5C6E"/>
    <w:rsid w:val="00AE5E88"/>
    <w:rsid w:val="00AE6656"/>
    <w:rsid w:val="00AE6C87"/>
    <w:rsid w:val="00AE70AD"/>
    <w:rsid w:val="00AE756A"/>
    <w:rsid w:val="00AE7910"/>
    <w:rsid w:val="00AF032D"/>
    <w:rsid w:val="00AF039C"/>
    <w:rsid w:val="00AF046A"/>
    <w:rsid w:val="00AF0685"/>
    <w:rsid w:val="00AF0A32"/>
    <w:rsid w:val="00AF0A8E"/>
    <w:rsid w:val="00AF0E76"/>
    <w:rsid w:val="00AF10AE"/>
    <w:rsid w:val="00AF181C"/>
    <w:rsid w:val="00AF1866"/>
    <w:rsid w:val="00AF1ADA"/>
    <w:rsid w:val="00AF1CCF"/>
    <w:rsid w:val="00AF1FCE"/>
    <w:rsid w:val="00AF212A"/>
    <w:rsid w:val="00AF2625"/>
    <w:rsid w:val="00AF268C"/>
    <w:rsid w:val="00AF2713"/>
    <w:rsid w:val="00AF28A2"/>
    <w:rsid w:val="00AF2DAF"/>
    <w:rsid w:val="00AF3037"/>
    <w:rsid w:val="00AF3872"/>
    <w:rsid w:val="00AF3B46"/>
    <w:rsid w:val="00AF3BD9"/>
    <w:rsid w:val="00AF3CD7"/>
    <w:rsid w:val="00AF3D55"/>
    <w:rsid w:val="00AF44CC"/>
    <w:rsid w:val="00AF479F"/>
    <w:rsid w:val="00AF49E0"/>
    <w:rsid w:val="00AF4ABD"/>
    <w:rsid w:val="00AF52C2"/>
    <w:rsid w:val="00AF54F4"/>
    <w:rsid w:val="00AF56C2"/>
    <w:rsid w:val="00AF58B8"/>
    <w:rsid w:val="00AF5E62"/>
    <w:rsid w:val="00AF5FF3"/>
    <w:rsid w:val="00AF62D8"/>
    <w:rsid w:val="00AF6570"/>
    <w:rsid w:val="00AF6665"/>
    <w:rsid w:val="00AF6693"/>
    <w:rsid w:val="00AF6AB7"/>
    <w:rsid w:val="00AF6DD5"/>
    <w:rsid w:val="00AF6E2F"/>
    <w:rsid w:val="00AF70D1"/>
    <w:rsid w:val="00AF75F5"/>
    <w:rsid w:val="00AF765A"/>
    <w:rsid w:val="00AF7834"/>
    <w:rsid w:val="00AF7CEB"/>
    <w:rsid w:val="00B00B4B"/>
    <w:rsid w:val="00B00C3C"/>
    <w:rsid w:val="00B01368"/>
    <w:rsid w:val="00B01481"/>
    <w:rsid w:val="00B01CAA"/>
    <w:rsid w:val="00B022AD"/>
    <w:rsid w:val="00B0248E"/>
    <w:rsid w:val="00B02CF5"/>
    <w:rsid w:val="00B02F7C"/>
    <w:rsid w:val="00B02FB6"/>
    <w:rsid w:val="00B0325C"/>
    <w:rsid w:val="00B035A2"/>
    <w:rsid w:val="00B03988"/>
    <w:rsid w:val="00B03A8D"/>
    <w:rsid w:val="00B0447D"/>
    <w:rsid w:val="00B044BC"/>
    <w:rsid w:val="00B046DB"/>
    <w:rsid w:val="00B04D0B"/>
    <w:rsid w:val="00B051E2"/>
    <w:rsid w:val="00B052FE"/>
    <w:rsid w:val="00B0548B"/>
    <w:rsid w:val="00B05578"/>
    <w:rsid w:val="00B055C8"/>
    <w:rsid w:val="00B056EC"/>
    <w:rsid w:val="00B05789"/>
    <w:rsid w:val="00B0579F"/>
    <w:rsid w:val="00B05896"/>
    <w:rsid w:val="00B05BA0"/>
    <w:rsid w:val="00B05C75"/>
    <w:rsid w:val="00B05E57"/>
    <w:rsid w:val="00B060C4"/>
    <w:rsid w:val="00B064E3"/>
    <w:rsid w:val="00B06652"/>
    <w:rsid w:val="00B068DD"/>
    <w:rsid w:val="00B06B50"/>
    <w:rsid w:val="00B06F1F"/>
    <w:rsid w:val="00B07827"/>
    <w:rsid w:val="00B07B59"/>
    <w:rsid w:val="00B10022"/>
    <w:rsid w:val="00B1014B"/>
    <w:rsid w:val="00B1037F"/>
    <w:rsid w:val="00B10975"/>
    <w:rsid w:val="00B109B7"/>
    <w:rsid w:val="00B10D12"/>
    <w:rsid w:val="00B10DF4"/>
    <w:rsid w:val="00B10EC8"/>
    <w:rsid w:val="00B1156D"/>
    <w:rsid w:val="00B116BE"/>
    <w:rsid w:val="00B11D4E"/>
    <w:rsid w:val="00B11F80"/>
    <w:rsid w:val="00B1212D"/>
    <w:rsid w:val="00B1226C"/>
    <w:rsid w:val="00B124D1"/>
    <w:rsid w:val="00B126A8"/>
    <w:rsid w:val="00B13167"/>
    <w:rsid w:val="00B14022"/>
    <w:rsid w:val="00B14029"/>
    <w:rsid w:val="00B1412F"/>
    <w:rsid w:val="00B1476F"/>
    <w:rsid w:val="00B14F47"/>
    <w:rsid w:val="00B1514C"/>
    <w:rsid w:val="00B15F9B"/>
    <w:rsid w:val="00B165DB"/>
    <w:rsid w:val="00B16918"/>
    <w:rsid w:val="00B16AD7"/>
    <w:rsid w:val="00B16AED"/>
    <w:rsid w:val="00B16CEE"/>
    <w:rsid w:val="00B16FDC"/>
    <w:rsid w:val="00B174BF"/>
    <w:rsid w:val="00B174FD"/>
    <w:rsid w:val="00B17EE4"/>
    <w:rsid w:val="00B17FBF"/>
    <w:rsid w:val="00B20081"/>
    <w:rsid w:val="00B202D8"/>
    <w:rsid w:val="00B20A29"/>
    <w:rsid w:val="00B20BBB"/>
    <w:rsid w:val="00B21484"/>
    <w:rsid w:val="00B214B5"/>
    <w:rsid w:val="00B216F9"/>
    <w:rsid w:val="00B21B10"/>
    <w:rsid w:val="00B21B66"/>
    <w:rsid w:val="00B220A0"/>
    <w:rsid w:val="00B22333"/>
    <w:rsid w:val="00B2248C"/>
    <w:rsid w:val="00B2268C"/>
    <w:rsid w:val="00B226AE"/>
    <w:rsid w:val="00B22D92"/>
    <w:rsid w:val="00B22D98"/>
    <w:rsid w:val="00B231B3"/>
    <w:rsid w:val="00B23258"/>
    <w:rsid w:val="00B23382"/>
    <w:rsid w:val="00B23603"/>
    <w:rsid w:val="00B23B18"/>
    <w:rsid w:val="00B23E54"/>
    <w:rsid w:val="00B23F37"/>
    <w:rsid w:val="00B24074"/>
    <w:rsid w:val="00B24210"/>
    <w:rsid w:val="00B2460E"/>
    <w:rsid w:val="00B24986"/>
    <w:rsid w:val="00B24EDB"/>
    <w:rsid w:val="00B24FB5"/>
    <w:rsid w:val="00B25013"/>
    <w:rsid w:val="00B250C8"/>
    <w:rsid w:val="00B253F1"/>
    <w:rsid w:val="00B25997"/>
    <w:rsid w:val="00B25A93"/>
    <w:rsid w:val="00B25B8F"/>
    <w:rsid w:val="00B25D18"/>
    <w:rsid w:val="00B25F97"/>
    <w:rsid w:val="00B263B9"/>
    <w:rsid w:val="00B26724"/>
    <w:rsid w:val="00B26866"/>
    <w:rsid w:val="00B26DD5"/>
    <w:rsid w:val="00B2798B"/>
    <w:rsid w:val="00B27A5A"/>
    <w:rsid w:val="00B302FA"/>
    <w:rsid w:val="00B30673"/>
    <w:rsid w:val="00B30849"/>
    <w:rsid w:val="00B309E2"/>
    <w:rsid w:val="00B3116F"/>
    <w:rsid w:val="00B313E9"/>
    <w:rsid w:val="00B31E52"/>
    <w:rsid w:val="00B321B3"/>
    <w:rsid w:val="00B325CF"/>
    <w:rsid w:val="00B326B4"/>
    <w:rsid w:val="00B32D6C"/>
    <w:rsid w:val="00B32E00"/>
    <w:rsid w:val="00B32F80"/>
    <w:rsid w:val="00B3335A"/>
    <w:rsid w:val="00B33968"/>
    <w:rsid w:val="00B33E13"/>
    <w:rsid w:val="00B33E24"/>
    <w:rsid w:val="00B34048"/>
    <w:rsid w:val="00B34E6F"/>
    <w:rsid w:val="00B35FB1"/>
    <w:rsid w:val="00B36672"/>
    <w:rsid w:val="00B36C88"/>
    <w:rsid w:val="00B36D25"/>
    <w:rsid w:val="00B3749D"/>
    <w:rsid w:val="00B400B4"/>
    <w:rsid w:val="00B4015F"/>
    <w:rsid w:val="00B40947"/>
    <w:rsid w:val="00B40BB4"/>
    <w:rsid w:val="00B40CD6"/>
    <w:rsid w:val="00B40E87"/>
    <w:rsid w:val="00B40FC2"/>
    <w:rsid w:val="00B4145F"/>
    <w:rsid w:val="00B4147C"/>
    <w:rsid w:val="00B41A52"/>
    <w:rsid w:val="00B41B18"/>
    <w:rsid w:val="00B4211E"/>
    <w:rsid w:val="00B42342"/>
    <w:rsid w:val="00B426A1"/>
    <w:rsid w:val="00B426D1"/>
    <w:rsid w:val="00B427AA"/>
    <w:rsid w:val="00B42856"/>
    <w:rsid w:val="00B42C01"/>
    <w:rsid w:val="00B443CC"/>
    <w:rsid w:val="00B44460"/>
    <w:rsid w:val="00B44523"/>
    <w:rsid w:val="00B4454F"/>
    <w:rsid w:val="00B4560D"/>
    <w:rsid w:val="00B4589A"/>
    <w:rsid w:val="00B45998"/>
    <w:rsid w:val="00B45F7D"/>
    <w:rsid w:val="00B4627D"/>
    <w:rsid w:val="00B46996"/>
    <w:rsid w:val="00B46BAA"/>
    <w:rsid w:val="00B46D86"/>
    <w:rsid w:val="00B47139"/>
    <w:rsid w:val="00B476D4"/>
    <w:rsid w:val="00B476E6"/>
    <w:rsid w:val="00B477F5"/>
    <w:rsid w:val="00B47B2A"/>
    <w:rsid w:val="00B50205"/>
    <w:rsid w:val="00B50844"/>
    <w:rsid w:val="00B50AA3"/>
    <w:rsid w:val="00B50C9F"/>
    <w:rsid w:val="00B51175"/>
    <w:rsid w:val="00B513C0"/>
    <w:rsid w:val="00B51568"/>
    <w:rsid w:val="00B51988"/>
    <w:rsid w:val="00B51B10"/>
    <w:rsid w:val="00B51B76"/>
    <w:rsid w:val="00B51E2D"/>
    <w:rsid w:val="00B5203A"/>
    <w:rsid w:val="00B52326"/>
    <w:rsid w:val="00B5274B"/>
    <w:rsid w:val="00B52BBE"/>
    <w:rsid w:val="00B53A6D"/>
    <w:rsid w:val="00B53AF2"/>
    <w:rsid w:val="00B53D2A"/>
    <w:rsid w:val="00B53EAD"/>
    <w:rsid w:val="00B544A4"/>
    <w:rsid w:val="00B54914"/>
    <w:rsid w:val="00B549FA"/>
    <w:rsid w:val="00B55AC7"/>
    <w:rsid w:val="00B55CBC"/>
    <w:rsid w:val="00B5626D"/>
    <w:rsid w:val="00B56965"/>
    <w:rsid w:val="00B56C89"/>
    <w:rsid w:val="00B56DA5"/>
    <w:rsid w:val="00B573E9"/>
    <w:rsid w:val="00B5768F"/>
    <w:rsid w:val="00B6020B"/>
    <w:rsid w:val="00B603A1"/>
    <w:rsid w:val="00B60A32"/>
    <w:rsid w:val="00B60E90"/>
    <w:rsid w:val="00B610AB"/>
    <w:rsid w:val="00B6136F"/>
    <w:rsid w:val="00B614A9"/>
    <w:rsid w:val="00B628A8"/>
    <w:rsid w:val="00B62D98"/>
    <w:rsid w:val="00B62F8B"/>
    <w:rsid w:val="00B63803"/>
    <w:rsid w:val="00B63CCB"/>
    <w:rsid w:val="00B63FC5"/>
    <w:rsid w:val="00B64AE7"/>
    <w:rsid w:val="00B64B3B"/>
    <w:rsid w:val="00B650B4"/>
    <w:rsid w:val="00B6519D"/>
    <w:rsid w:val="00B652D1"/>
    <w:rsid w:val="00B655E9"/>
    <w:rsid w:val="00B65DAA"/>
    <w:rsid w:val="00B65FD9"/>
    <w:rsid w:val="00B66000"/>
    <w:rsid w:val="00B6637B"/>
    <w:rsid w:val="00B66A47"/>
    <w:rsid w:val="00B66B2F"/>
    <w:rsid w:val="00B66D81"/>
    <w:rsid w:val="00B66DDD"/>
    <w:rsid w:val="00B67076"/>
    <w:rsid w:val="00B670EA"/>
    <w:rsid w:val="00B6754A"/>
    <w:rsid w:val="00B67620"/>
    <w:rsid w:val="00B67AEB"/>
    <w:rsid w:val="00B67BE5"/>
    <w:rsid w:val="00B67D0F"/>
    <w:rsid w:val="00B7029E"/>
    <w:rsid w:val="00B70702"/>
    <w:rsid w:val="00B70CD4"/>
    <w:rsid w:val="00B70F19"/>
    <w:rsid w:val="00B70F7A"/>
    <w:rsid w:val="00B7128A"/>
    <w:rsid w:val="00B71785"/>
    <w:rsid w:val="00B719B6"/>
    <w:rsid w:val="00B71FDE"/>
    <w:rsid w:val="00B720EC"/>
    <w:rsid w:val="00B7223D"/>
    <w:rsid w:val="00B725FB"/>
    <w:rsid w:val="00B72AB9"/>
    <w:rsid w:val="00B72B4E"/>
    <w:rsid w:val="00B72D04"/>
    <w:rsid w:val="00B73244"/>
    <w:rsid w:val="00B734ED"/>
    <w:rsid w:val="00B73FCB"/>
    <w:rsid w:val="00B73FDB"/>
    <w:rsid w:val="00B747C9"/>
    <w:rsid w:val="00B74811"/>
    <w:rsid w:val="00B748AB"/>
    <w:rsid w:val="00B74DB8"/>
    <w:rsid w:val="00B74DD0"/>
    <w:rsid w:val="00B74E07"/>
    <w:rsid w:val="00B74F7F"/>
    <w:rsid w:val="00B74FA3"/>
    <w:rsid w:val="00B750B3"/>
    <w:rsid w:val="00B75362"/>
    <w:rsid w:val="00B75370"/>
    <w:rsid w:val="00B7540B"/>
    <w:rsid w:val="00B7573C"/>
    <w:rsid w:val="00B75B08"/>
    <w:rsid w:val="00B75B52"/>
    <w:rsid w:val="00B760F4"/>
    <w:rsid w:val="00B7663C"/>
    <w:rsid w:val="00B76F8F"/>
    <w:rsid w:val="00B76F98"/>
    <w:rsid w:val="00B774F8"/>
    <w:rsid w:val="00B77907"/>
    <w:rsid w:val="00B807EC"/>
    <w:rsid w:val="00B80BAC"/>
    <w:rsid w:val="00B81287"/>
    <w:rsid w:val="00B81536"/>
    <w:rsid w:val="00B816E0"/>
    <w:rsid w:val="00B8179D"/>
    <w:rsid w:val="00B81C47"/>
    <w:rsid w:val="00B822AC"/>
    <w:rsid w:val="00B82415"/>
    <w:rsid w:val="00B82427"/>
    <w:rsid w:val="00B82C41"/>
    <w:rsid w:val="00B82D41"/>
    <w:rsid w:val="00B833AB"/>
    <w:rsid w:val="00B83600"/>
    <w:rsid w:val="00B83810"/>
    <w:rsid w:val="00B8386F"/>
    <w:rsid w:val="00B83932"/>
    <w:rsid w:val="00B8435A"/>
    <w:rsid w:val="00B8444E"/>
    <w:rsid w:val="00B84869"/>
    <w:rsid w:val="00B84DDF"/>
    <w:rsid w:val="00B84F8F"/>
    <w:rsid w:val="00B85006"/>
    <w:rsid w:val="00B853FA"/>
    <w:rsid w:val="00B85641"/>
    <w:rsid w:val="00B85694"/>
    <w:rsid w:val="00B8575F"/>
    <w:rsid w:val="00B8579D"/>
    <w:rsid w:val="00B859D4"/>
    <w:rsid w:val="00B8628E"/>
    <w:rsid w:val="00B86607"/>
    <w:rsid w:val="00B87137"/>
    <w:rsid w:val="00B876D2"/>
    <w:rsid w:val="00B87859"/>
    <w:rsid w:val="00B87AC0"/>
    <w:rsid w:val="00B87C49"/>
    <w:rsid w:val="00B87D49"/>
    <w:rsid w:val="00B900F1"/>
    <w:rsid w:val="00B90115"/>
    <w:rsid w:val="00B901E4"/>
    <w:rsid w:val="00B905CA"/>
    <w:rsid w:val="00B90F2F"/>
    <w:rsid w:val="00B9165B"/>
    <w:rsid w:val="00B918BA"/>
    <w:rsid w:val="00B91999"/>
    <w:rsid w:val="00B91BD4"/>
    <w:rsid w:val="00B91D47"/>
    <w:rsid w:val="00B91D4A"/>
    <w:rsid w:val="00B91DDE"/>
    <w:rsid w:val="00B91FD5"/>
    <w:rsid w:val="00B92379"/>
    <w:rsid w:val="00B9270E"/>
    <w:rsid w:val="00B92903"/>
    <w:rsid w:val="00B92B1D"/>
    <w:rsid w:val="00B92F39"/>
    <w:rsid w:val="00B92F43"/>
    <w:rsid w:val="00B9306C"/>
    <w:rsid w:val="00B932CD"/>
    <w:rsid w:val="00B932E3"/>
    <w:rsid w:val="00B93A53"/>
    <w:rsid w:val="00B93B0A"/>
    <w:rsid w:val="00B93BC8"/>
    <w:rsid w:val="00B93FDC"/>
    <w:rsid w:val="00B9433C"/>
    <w:rsid w:val="00B94484"/>
    <w:rsid w:val="00B948E1"/>
    <w:rsid w:val="00B950EA"/>
    <w:rsid w:val="00B950F7"/>
    <w:rsid w:val="00B951F6"/>
    <w:rsid w:val="00B953C8"/>
    <w:rsid w:val="00B953E2"/>
    <w:rsid w:val="00B9598B"/>
    <w:rsid w:val="00B9602E"/>
    <w:rsid w:val="00B965F7"/>
    <w:rsid w:val="00B96990"/>
    <w:rsid w:val="00B96AEC"/>
    <w:rsid w:val="00B96CF1"/>
    <w:rsid w:val="00B97B19"/>
    <w:rsid w:val="00B97B1A"/>
    <w:rsid w:val="00B97C95"/>
    <w:rsid w:val="00B97D2E"/>
    <w:rsid w:val="00BA0083"/>
    <w:rsid w:val="00BA00CE"/>
    <w:rsid w:val="00BA04A8"/>
    <w:rsid w:val="00BA0736"/>
    <w:rsid w:val="00BA0B26"/>
    <w:rsid w:val="00BA0BBB"/>
    <w:rsid w:val="00BA0C26"/>
    <w:rsid w:val="00BA0F55"/>
    <w:rsid w:val="00BA1040"/>
    <w:rsid w:val="00BA10F1"/>
    <w:rsid w:val="00BA1447"/>
    <w:rsid w:val="00BA161F"/>
    <w:rsid w:val="00BA172C"/>
    <w:rsid w:val="00BA19C5"/>
    <w:rsid w:val="00BA21D4"/>
    <w:rsid w:val="00BA22B8"/>
    <w:rsid w:val="00BA2388"/>
    <w:rsid w:val="00BA2716"/>
    <w:rsid w:val="00BA298E"/>
    <w:rsid w:val="00BA2EC6"/>
    <w:rsid w:val="00BA35D6"/>
    <w:rsid w:val="00BA3AB6"/>
    <w:rsid w:val="00BA3B19"/>
    <w:rsid w:val="00BA3CB8"/>
    <w:rsid w:val="00BA3DE2"/>
    <w:rsid w:val="00BA3E71"/>
    <w:rsid w:val="00BA3EF7"/>
    <w:rsid w:val="00BA45D2"/>
    <w:rsid w:val="00BA48D8"/>
    <w:rsid w:val="00BA4AF5"/>
    <w:rsid w:val="00BA5486"/>
    <w:rsid w:val="00BA5898"/>
    <w:rsid w:val="00BA5936"/>
    <w:rsid w:val="00BA5B54"/>
    <w:rsid w:val="00BA5CD3"/>
    <w:rsid w:val="00BA60F3"/>
    <w:rsid w:val="00BA61F8"/>
    <w:rsid w:val="00BA6380"/>
    <w:rsid w:val="00BA698F"/>
    <w:rsid w:val="00BA6E32"/>
    <w:rsid w:val="00BA6F11"/>
    <w:rsid w:val="00BA72B3"/>
    <w:rsid w:val="00BA7319"/>
    <w:rsid w:val="00BA7623"/>
    <w:rsid w:val="00BA7A82"/>
    <w:rsid w:val="00BA7BD2"/>
    <w:rsid w:val="00BA7BDD"/>
    <w:rsid w:val="00BB007A"/>
    <w:rsid w:val="00BB017F"/>
    <w:rsid w:val="00BB03D5"/>
    <w:rsid w:val="00BB04B0"/>
    <w:rsid w:val="00BB0618"/>
    <w:rsid w:val="00BB0802"/>
    <w:rsid w:val="00BB0DB1"/>
    <w:rsid w:val="00BB1083"/>
    <w:rsid w:val="00BB12E2"/>
    <w:rsid w:val="00BB13E2"/>
    <w:rsid w:val="00BB18CA"/>
    <w:rsid w:val="00BB1B09"/>
    <w:rsid w:val="00BB1D72"/>
    <w:rsid w:val="00BB1ECC"/>
    <w:rsid w:val="00BB2120"/>
    <w:rsid w:val="00BB29B3"/>
    <w:rsid w:val="00BB2C5D"/>
    <w:rsid w:val="00BB2DC1"/>
    <w:rsid w:val="00BB2DC5"/>
    <w:rsid w:val="00BB307D"/>
    <w:rsid w:val="00BB34A1"/>
    <w:rsid w:val="00BB361C"/>
    <w:rsid w:val="00BB3EB7"/>
    <w:rsid w:val="00BB4189"/>
    <w:rsid w:val="00BB44C7"/>
    <w:rsid w:val="00BB4500"/>
    <w:rsid w:val="00BB455B"/>
    <w:rsid w:val="00BB456F"/>
    <w:rsid w:val="00BB4889"/>
    <w:rsid w:val="00BB489F"/>
    <w:rsid w:val="00BB4999"/>
    <w:rsid w:val="00BB4EA1"/>
    <w:rsid w:val="00BB5208"/>
    <w:rsid w:val="00BB53CE"/>
    <w:rsid w:val="00BB555B"/>
    <w:rsid w:val="00BB59BE"/>
    <w:rsid w:val="00BB5ABA"/>
    <w:rsid w:val="00BB5DE8"/>
    <w:rsid w:val="00BB5E1F"/>
    <w:rsid w:val="00BB61A3"/>
    <w:rsid w:val="00BB623D"/>
    <w:rsid w:val="00BB6DE0"/>
    <w:rsid w:val="00BB6F5E"/>
    <w:rsid w:val="00BB7D41"/>
    <w:rsid w:val="00BB7EF9"/>
    <w:rsid w:val="00BC0448"/>
    <w:rsid w:val="00BC04B1"/>
    <w:rsid w:val="00BC0881"/>
    <w:rsid w:val="00BC0951"/>
    <w:rsid w:val="00BC0BD8"/>
    <w:rsid w:val="00BC0D84"/>
    <w:rsid w:val="00BC0DCE"/>
    <w:rsid w:val="00BC127C"/>
    <w:rsid w:val="00BC15EE"/>
    <w:rsid w:val="00BC169D"/>
    <w:rsid w:val="00BC1746"/>
    <w:rsid w:val="00BC1B53"/>
    <w:rsid w:val="00BC1D34"/>
    <w:rsid w:val="00BC1E1D"/>
    <w:rsid w:val="00BC2025"/>
    <w:rsid w:val="00BC26BE"/>
    <w:rsid w:val="00BC30FB"/>
    <w:rsid w:val="00BC3757"/>
    <w:rsid w:val="00BC4DAA"/>
    <w:rsid w:val="00BC4F66"/>
    <w:rsid w:val="00BC5936"/>
    <w:rsid w:val="00BC5BFE"/>
    <w:rsid w:val="00BC5C3D"/>
    <w:rsid w:val="00BC5F31"/>
    <w:rsid w:val="00BC5FC3"/>
    <w:rsid w:val="00BC600B"/>
    <w:rsid w:val="00BC6128"/>
    <w:rsid w:val="00BC6477"/>
    <w:rsid w:val="00BC6606"/>
    <w:rsid w:val="00BC6876"/>
    <w:rsid w:val="00BC6A46"/>
    <w:rsid w:val="00BC6BF5"/>
    <w:rsid w:val="00BC6C79"/>
    <w:rsid w:val="00BC6C9F"/>
    <w:rsid w:val="00BC70E6"/>
    <w:rsid w:val="00BC7A6B"/>
    <w:rsid w:val="00BC7AE9"/>
    <w:rsid w:val="00BC7C1B"/>
    <w:rsid w:val="00BC7E9F"/>
    <w:rsid w:val="00BC7EA5"/>
    <w:rsid w:val="00BD09A1"/>
    <w:rsid w:val="00BD0B59"/>
    <w:rsid w:val="00BD0D92"/>
    <w:rsid w:val="00BD0E27"/>
    <w:rsid w:val="00BD1479"/>
    <w:rsid w:val="00BD190D"/>
    <w:rsid w:val="00BD1E4B"/>
    <w:rsid w:val="00BD1F14"/>
    <w:rsid w:val="00BD2493"/>
    <w:rsid w:val="00BD26F9"/>
    <w:rsid w:val="00BD2A31"/>
    <w:rsid w:val="00BD2B04"/>
    <w:rsid w:val="00BD3AE5"/>
    <w:rsid w:val="00BD4137"/>
    <w:rsid w:val="00BD41F2"/>
    <w:rsid w:val="00BD433B"/>
    <w:rsid w:val="00BD4563"/>
    <w:rsid w:val="00BD47AE"/>
    <w:rsid w:val="00BD4CBC"/>
    <w:rsid w:val="00BD4E2D"/>
    <w:rsid w:val="00BD4F46"/>
    <w:rsid w:val="00BD4F5F"/>
    <w:rsid w:val="00BD5152"/>
    <w:rsid w:val="00BD554C"/>
    <w:rsid w:val="00BD58E5"/>
    <w:rsid w:val="00BD5BBC"/>
    <w:rsid w:val="00BD5F25"/>
    <w:rsid w:val="00BD6337"/>
    <w:rsid w:val="00BD6B47"/>
    <w:rsid w:val="00BD6DCD"/>
    <w:rsid w:val="00BD6E4F"/>
    <w:rsid w:val="00BD7795"/>
    <w:rsid w:val="00BE0305"/>
    <w:rsid w:val="00BE03FE"/>
    <w:rsid w:val="00BE0526"/>
    <w:rsid w:val="00BE096D"/>
    <w:rsid w:val="00BE09E4"/>
    <w:rsid w:val="00BE09E5"/>
    <w:rsid w:val="00BE0D7C"/>
    <w:rsid w:val="00BE13C3"/>
    <w:rsid w:val="00BE15A5"/>
    <w:rsid w:val="00BE2104"/>
    <w:rsid w:val="00BE2923"/>
    <w:rsid w:val="00BE2BCC"/>
    <w:rsid w:val="00BE32A2"/>
    <w:rsid w:val="00BE33E2"/>
    <w:rsid w:val="00BE344E"/>
    <w:rsid w:val="00BE39D8"/>
    <w:rsid w:val="00BE3FEB"/>
    <w:rsid w:val="00BE3FF5"/>
    <w:rsid w:val="00BE413B"/>
    <w:rsid w:val="00BE4375"/>
    <w:rsid w:val="00BE4442"/>
    <w:rsid w:val="00BE4752"/>
    <w:rsid w:val="00BE486E"/>
    <w:rsid w:val="00BE4A74"/>
    <w:rsid w:val="00BE4C2D"/>
    <w:rsid w:val="00BE4CF6"/>
    <w:rsid w:val="00BE582E"/>
    <w:rsid w:val="00BE5E8A"/>
    <w:rsid w:val="00BE6670"/>
    <w:rsid w:val="00BE6688"/>
    <w:rsid w:val="00BE66FF"/>
    <w:rsid w:val="00BE71CF"/>
    <w:rsid w:val="00BE741C"/>
    <w:rsid w:val="00BE7477"/>
    <w:rsid w:val="00BE74E2"/>
    <w:rsid w:val="00BE7819"/>
    <w:rsid w:val="00BE7CAD"/>
    <w:rsid w:val="00BE7D6E"/>
    <w:rsid w:val="00BE7F8D"/>
    <w:rsid w:val="00BF006B"/>
    <w:rsid w:val="00BF090B"/>
    <w:rsid w:val="00BF0B36"/>
    <w:rsid w:val="00BF0BA7"/>
    <w:rsid w:val="00BF0E7A"/>
    <w:rsid w:val="00BF0EF2"/>
    <w:rsid w:val="00BF11A0"/>
    <w:rsid w:val="00BF144A"/>
    <w:rsid w:val="00BF1A53"/>
    <w:rsid w:val="00BF1B23"/>
    <w:rsid w:val="00BF1D7F"/>
    <w:rsid w:val="00BF23F4"/>
    <w:rsid w:val="00BF24AD"/>
    <w:rsid w:val="00BF25FB"/>
    <w:rsid w:val="00BF2618"/>
    <w:rsid w:val="00BF2C6D"/>
    <w:rsid w:val="00BF2FB3"/>
    <w:rsid w:val="00BF30E2"/>
    <w:rsid w:val="00BF3241"/>
    <w:rsid w:val="00BF367A"/>
    <w:rsid w:val="00BF3C2C"/>
    <w:rsid w:val="00BF47F1"/>
    <w:rsid w:val="00BF4CBF"/>
    <w:rsid w:val="00BF4D6D"/>
    <w:rsid w:val="00BF5CEE"/>
    <w:rsid w:val="00BF5FED"/>
    <w:rsid w:val="00BF613C"/>
    <w:rsid w:val="00BF67F0"/>
    <w:rsid w:val="00BF68C8"/>
    <w:rsid w:val="00BF6A88"/>
    <w:rsid w:val="00BF6F75"/>
    <w:rsid w:val="00BF738A"/>
    <w:rsid w:val="00BF75FE"/>
    <w:rsid w:val="00BF7884"/>
    <w:rsid w:val="00BF7980"/>
    <w:rsid w:val="00BF7BA9"/>
    <w:rsid w:val="00BF7DBF"/>
    <w:rsid w:val="00C007D1"/>
    <w:rsid w:val="00C009D5"/>
    <w:rsid w:val="00C00BBF"/>
    <w:rsid w:val="00C00D5C"/>
    <w:rsid w:val="00C011C3"/>
    <w:rsid w:val="00C016A3"/>
    <w:rsid w:val="00C0193E"/>
    <w:rsid w:val="00C01B09"/>
    <w:rsid w:val="00C01E68"/>
    <w:rsid w:val="00C02155"/>
    <w:rsid w:val="00C02807"/>
    <w:rsid w:val="00C02B85"/>
    <w:rsid w:val="00C033B9"/>
    <w:rsid w:val="00C037C3"/>
    <w:rsid w:val="00C0393E"/>
    <w:rsid w:val="00C03D9F"/>
    <w:rsid w:val="00C04177"/>
    <w:rsid w:val="00C047D1"/>
    <w:rsid w:val="00C04BC9"/>
    <w:rsid w:val="00C04F32"/>
    <w:rsid w:val="00C05050"/>
    <w:rsid w:val="00C0542C"/>
    <w:rsid w:val="00C05893"/>
    <w:rsid w:val="00C05CF2"/>
    <w:rsid w:val="00C05DD4"/>
    <w:rsid w:val="00C0698A"/>
    <w:rsid w:val="00C06B15"/>
    <w:rsid w:val="00C06B63"/>
    <w:rsid w:val="00C06C63"/>
    <w:rsid w:val="00C06F7B"/>
    <w:rsid w:val="00C0708A"/>
    <w:rsid w:val="00C07347"/>
    <w:rsid w:val="00C076FC"/>
    <w:rsid w:val="00C078EB"/>
    <w:rsid w:val="00C07BD6"/>
    <w:rsid w:val="00C07D10"/>
    <w:rsid w:val="00C10D34"/>
    <w:rsid w:val="00C1141A"/>
    <w:rsid w:val="00C11924"/>
    <w:rsid w:val="00C11B9B"/>
    <w:rsid w:val="00C11BA1"/>
    <w:rsid w:val="00C12344"/>
    <w:rsid w:val="00C12CF3"/>
    <w:rsid w:val="00C12D1F"/>
    <w:rsid w:val="00C12E8F"/>
    <w:rsid w:val="00C132A2"/>
    <w:rsid w:val="00C1368D"/>
    <w:rsid w:val="00C14016"/>
    <w:rsid w:val="00C14163"/>
    <w:rsid w:val="00C1420A"/>
    <w:rsid w:val="00C14222"/>
    <w:rsid w:val="00C143CC"/>
    <w:rsid w:val="00C14657"/>
    <w:rsid w:val="00C146E9"/>
    <w:rsid w:val="00C14AC5"/>
    <w:rsid w:val="00C14CA7"/>
    <w:rsid w:val="00C14F64"/>
    <w:rsid w:val="00C15050"/>
    <w:rsid w:val="00C15987"/>
    <w:rsid w:val="00C15D21"/>
    <w:rsid w:val="00C16351"/>
    <w:rsid w:val="00C167B0"/>
    <w:rsid w:val="00C171F1"/>
    <w:rsid w:val="00C1746F"/>
    <w:rsid w:val="00C1754E"/>
    <w:rsid w:val="00C1763D"/>
    <w:rsid w:val="00C177D8"/>
    <w:rsid w:val="00C1795E"/>
    <w:rsid w:val="00C17B40"/>
    <w:rsid w:val="00C20144"/>
    <w:rsid w:val="00C2068A"/>
    <w:rsid w:val="00C20B79"/>
    <w:rsid w:val="00C20E6F"/>
    <w:rsid w:val="00C2129B"/>
    <w:rsid w:val="00C21EE7"/>
    <w:rsid w:val="00C2203B"/>
    <w:rsid w:val="00C221A0"/>
    <w:rsid w:val="00C22A8B"/>
    <w:rsid w:val="00C234E7"/>
    <w:rsid w:val="00C236C5"/>
    <w:rsid w:val="00C238D1"/>
    <w:rsid w:val="00C239D7"/>
    <w:rsid w:val="00C23E3D"/>
    <w:rsid w:val="00C23E7C"/>
    <w:rsid w:val="00C23F14"/>
    <w:rsid w:val="00C2438A"/>
    <w:rsid w:val="00C24938"/>
    <w:rsid w:val="00C24D86"/>
    <w:rsid w:val="00C25022"/>
    <w:rsid w:val="00C25266"/>
    <w:rsid w:val="00C2531D"/>
    <w:rsid w:val="00C25419"/>
    <w:rsid w:val="00C2542C"/>
    <w:rsid w:val="00C2546A"/>
    <w:rsid w:val="00C25655"/>
    <w:rsid w:val="00C25828"/>
    <w:rsid w:val="00C25B5D"/>
    <w:rsid w:val="00C25C46"/>
    <w:rsid w:val="00C25D9D"/>
    <w:rsid w:val="00C261DD"/>
    <w:rsid w:val="00C264C3"/>
    <w:rsid w:val="00C2663D"/>
    <w:rsid w:val="00C26BEE"/>
    <w:rsid w:val="00C26E6B"/>
    <w:rsid w:val="00C27986"/>
    <w:rsid w:val="00C27E4A"/>
    <w:rsid w:val="00C3014A"/>
    <w:rsid w:val="00C3016A"/>
    <w:rsid w:val="00C302AA"/>
    <w:rsid w:val="00C30420"/>
    <w:rsid w:val="00C30723"/>
    <w:rsid w:val="00C30EB9"/>
    <w:rsid w:val="00C31498"/>
    <w:rsid w:val="00C31857"/>
    <w:rsid w:val="00C31E23"/>
    <w:rsid w:val="00C326F9"/>
    <w:rsid w:val="00C32864"/>
    <w:rsid w:val="00C32F5F"/>
    <w:rsid w:val="00C3302B"/>
    <w:rsid w:val="00C33424"/>
    <w:rsid w:val="00C33474"/>
    <w:rsid w:val="00C33B47"/>
    <w:rsid w:val="00C3409D"/>
    <w:rsid w:val="00C342BD"/>
    <w:rsid w:val="00C342E2"/>
    <w:rsid w:val="00C342E7"/>
    <w:rsid w:val="00C34338"/>
    <w:rsid w:val="00C343B8"/>
    <w:rsid w:val="00C34731"/>
    <w:rsid w:val="00C34899"/>
    <w:rsid w:val="00C34B8A"/>
    <w:rsid w:val="00C34D44"/>
    <w:rsid w:val="00C35359"/>
    <w:rsid w:val="00C355A5"/>
    <w:rsid w:val="00C35642"/>
    <w:rsid w:val="00C35804"/>
    <w:rsid w:val="00C364FC"/>
    <w:rsid w:val="00C369A1"/>
    <w:rsid w:val="00C36B7C"/>
    <w:rsid w:val="00C36F4A"/>
    <w:rsid w:val="00C36FE9"/>
    <w:rsid w:val="00C36FFC"/>
    <w:rsid w:val="00C3752C"/>
    <w:rsid w:val="00C375BB"/>
    <w:rsid w:val="00C378B8"/>
    <w:rsid w:val="00C37973"/>
    <w:rsid w:val="00C37A29"/>
    <w:rsid w:val="00C37CFC"/>
    <w:rsid w:val="00C404F4"/>
    <w:rsid w:val="00C40DC9"/>
    <w:rsid w:val="00C41229"/>
    <w:rsid w:val="00C413D7"/>
    <w:rsid w:val="00C417A6"/>
    <w:rsid w:val="00C41D47"/>
    <w:rsid w:val="00C42137"/>
    <w:rsid w:val="00C4221C"/>
    <w:rsid w:val="00C427DC"/>
    <w:rsid w:val="00C42A73"/>
    <w:rsid w:val="00C42BEE"/>
    <w:rsid w:val="00C42E06"/>
    <w:rsid w:val="00C43140"/>
    <w:rsid w:val="00C4366D"/>
    <w:rsid w:val="00C43917"/>
    <w:rsid w:val="00C43ED5"/>
    <w:rsid w:val="00C44028"/>
    <w:rsid w:val="00C44148"/>
    <w:rsid w:val="00C44D8B"/>
    <w:rsid w:val="00C44DAF"/>
    <w:rsid w:val="00C44E60"/>
    <w:rsid w:val="00C45526"/>
    <w:rsid w:val="00C455A2"/>
    <w:rsid w:val="00C4598A"/>
    <w:rsid w:val="00C45A8D"/>
    <w:rsid w:val="00C46489"/>
    <w:rsid w:val="00C464E3"/>
    <w:rsid w:val="00C46561"/>
    <w:rsid w:val="00C4690B"/>
    <w:rsid w:val="00C46C7C"/>
    <w:rsid w:val="00C46F4F"/>
    <w:rsid w:val="00C471E9"/>
    <w:rsid w:val="00C47547"/>
    <w:rsid w:val="00C4754B"/>
    <w:rsid w:val="00C47C35"/>
    <w:rsid w:val="00C5066D"/>
    <w:rsid w:val="00C507D5"/>
    <w:rsid w:val="00C50B14"/>
    <w:rsid w:val="00C50BA5"/>
    <w:rsid w:val="00C50D27"/>
    <w:rsid w:val="00C50F84"/>
    <w:rsid w:val="00C50FED"/>
    <w:rsid w:val="00C51696"/>
    <w:rsid w:val="00C51888"/>
    <w:rsid w:val="00C51D66"/>
    <w:rsid w:val="00C51DB3"/>
    <w:rsid w:val="00C52575"/>
    <w:rsid w:val="00C52E34"/>
    <w:rsid w:val="00C52F40"/>
    <w:rsid w:val="00C52F73"/>
    <w:rsid w:val="00C53295"/>
    <w:rsid w:val="00C5335E"/>
    <w:rsid w:val="00C53F2D"/>
    <w:rsid w:val="00C543C7"/>
    <w:rsid w:val="00C54577"/>
    <w:rsid w:val="00C54AEE"/>
    <w:rsid w:val="00C5509C"/>
    <w:rsid w:val="00C55225"/>
    <w:rsid w:val="00C553A9"/>
    <w:rsid w:val="00C55414"/>
    <w:rsid w:val="00C5541A"/>
    <w:rsid w:val="00C5559C"/>
    <w:rsid w:val="00C556B4"/>
    <w:rsid w:val="00C56B23"/>
    <w:rsid w:val="00C572F6"/>
    <w:rsid w:val="00C57331"/>
    <w:rsid w:val="00C5752E"/>
    <w:rsid w:val="00C6028E"/>
    <w:rsid w:val="00C602B0"/>
    <w:rsid w:val="00C6031C"/>
    <w:rsid w:val="00C60B4F"/>
    <w:rsid w:val="00C60B7F"/>
    <w:rsid w:val="00C61774"/>
    <w:rsid w:val="00C61FBE"/>
    <w:rsid w:val="00C62163"/>
    <w:rsid w:val="00C629AC"/>
    <w:rsid w:val="00C62A1B"/>
    <w:rsid w:val="00C62A88"/>
    <w:rsid w:val="00C63047"/>
    <w:rsid w:val="00C631D6"/>
    <w:rsid w:val="00C63B50"/>
    <w:rsid w:val="00C63D41"/>
    <w:rsid w:val="00C6405D"/>
    <w:rsid w:val="00C640FF"/>
    <w:rsid w:val="00C642EF"/>
    <w:rsid w:val="00C643BC"/>
    <w:rsid w:val="00C644EF"/>
    <w:rsid w:val="00C646D3"/>
    <w:rsid w:val="00C649CB"/>
    <w:rsid w:val="00C64A1B"/>
    <w:rsid w:val="00C64DA6"/>
    <w:rsid w:val="00C64F55"/>
    <w:rsid w:val="00C65101"/>
    <w:rsid w:val="00C65310"/>
    <w:rsid w:val="00C6547D"/>
    <w:rsid w:val="00C654FF"/>
    <w:rsid w:val="00C65D44"/>
    <w:rsid w:val="00C663DA"/>
    <w:rsid w:val="00C66426"/>
    <w:rsid w:val="00C66BCB"/>
    <w:rsid w:val="00C67217"/>
    <w:rsid w:val="00C6734C"/>
    <w:rsid w:val="00C67D14"/>
    <w:rsid w:val="00C67DB2"/>
    <w:rsid w:val="00C700C4"/>
    <w:rsid w:val="00C70810"/>
    <w:rsid w:val="00C70BE2"/>
    <w:rsid w:val="00C70D80"/>
    <w:rsid w:val="00C70EFC"/>
    <w:rsid w:val="00C71199"/>
    <w:rsid w:val="00C7166B"/>
    <w:rsid w:val="00C71688"/>
    <w:rsid w:val="00C71862"/>
    <w:rsid w:val="00C71AE7"/>
    <w:rsid w:val="00C71B4C"/>
    <w:rsid w:val="00C71D1E"/>
    <w:rsid w:val="00C71F12"/>
    <w:rsid w:val="00C71FF6"/>
    <w:rsid w:val="00C72226"/>
    <w:rsid w:val="00C728A9"/>
    <w:rsid w:val="00C72A68"/>
    <w:rsid w:val="00C73D7A"/>
    <w:rsid w:val="00C74D2D"/>
    <w:rsid w:val="00C74D34"/>
    <w:rsid w:val="00C75452"/>
    <w:rsid w:val="00C75582"/>
    <w:rsid w:val="00C757F6"/>
    <w:rsid w:val="00C75C56"/>
    <w:rsid w:val="00C765FA"/>
    <w:rsid w:val="00C76A38"/>
    <w:rsid w:val="00C76B10"/>
    <w:rsid w:val="00C77127"/>
    <w:rsid w:val="00C7786D"/>
    <w:rsid w:val="00C77B07"/>
    <w:rsid w:val="00C77D24"/>
    <w:rsid w:val="00C80785"/>
    <w:rsid w:val="00C808C7"/>
    <w:rsid w:val="00C80A9E"/>
    <w:rsid w:val="00C80B97"/>
    <w:rsid w:val="00C80EC7"/>
    <w:rsid w:val="00C81070"/>
    <w:rsid w:val="00C81582"/>
    <w:rsid w:val="00C81ACB"/>
    <w:rsid w:val="00C81C52"/>
    <w:rsid w:val="00C81D32"/>
    <w:rsid w:val="00C8271D"/>
    <w:rsid w:val="00C8282A"/>
    <w:rsid w:val="00C82830"/>
    <w:rsid w:val="00C829A1"/>
    <w:rsid w:val="00C82BC6"/>
    <w:rsid w:val="00C83002"/>
    <w:rsid w:val="00C83264"/>
    <w:rsid w:val="00C83833"/>
    <w:rsid w:val="00C83C13"/>
    <w:rsid w:val="00C83CED"/>
    <w:rsid w:val="00C83CFD"/>
    <w:rsid w:val="00C83FD0"/>
    <w:rsid w:val="00C84129"/>
    <w:rsid w:val="00C845F5"/>
    <w:rsid w:val="00C8480C"/>
    <w:rsid w:val="00C85400"/>
    <w:rsid w:val="00C854FB"/>
    <w:rsid w:val="00C85575"/>
    <w:rsid w:val="00C85B55"/>
    <w:rsid w:val="00C85F56"/>
    <w:rsid w:val="00C86238"/>
    <w:rsid w:val="00C867CA"/>
    <w:rsid w:val="00C86A10"/>
    <w:rsid w:val="00C86F48"/>
    <w:rsid w:val="00C876A7"/>
    <w:rsid w:val="00C87859"/>
    <w:rsid w:val="00C87985"/>
    <w:rsid w:val="00C90284"/>
    <w:rsid w:val="00C908CA"/>
    <w:rsid w:val="00C90C04"/>
    <w:rsid w:val="00C91A11"/>
    <w:rsid w:val="00C91A79"/>
    <w:rsid w:val="00C91F2F"/>
    <w:rsid w:val="00C92011"/>
    <w:rsid w:val="00C924D7"/>
    <w:rsid w:val="00C92CA9"/>
    <w:rsid w:val="00C9324D"/>
    <w:rsid w:val="00C932F3"/>
    <w:rsid w:val="00C93775"/>
    <w:rsid w:val="00C93CB6"/>
    <w:rsid w:val="00C93D3C"/>
    <w:rsid w:val="00C94428"/>
    <w:rsid w:val="00C94E0D"/>
    <w:rsid w:val="00C95076"/>
    <w:rsid w:val="00C950AF"/>
    <w:rsid w:val="00C9559F"/>
    <w:rsid w:val="00C955B0"/>
    <w:rsid w:val="00C95A16"/>
    <w:rsid w:val="00C95D2D"/>
    <w:rsid w:val="00C961AE"/>
    <w:rsid w:val="00C96304"/>
    <w:rsid w:val="00C97057"/>
    <w:rsid w:val="00C9709E"/>
    <w:rsid w:val="00C970E3"/>
    <w:rsid w:val="00C970EA"/>
    <w:rsid w:val="00C97107"/>
    <w:rsid w:val="00C976B9"/>
    <w:rsid w:val="00C97A5A"/>
    <w:rsid w:val="00C97D7B"/>
    <w:rsid w:val="00CA0166"/>
    <w:rsid w:val="00CA0180"/>
    <w:rsid w:val="00CA0A5F"/>
    <w:rsid w:val="00CA0B3F"/>
    <w:rsid w:val="00CA0DA4"/>
    <w:rsid w:val="00CA16CC"/>
    <w:rsid w:val="00CA1AF8"/>
    <w:rsid w:val="00CA1D6A"/>
    <w:rsid w:val="00CA1DFD"/>
    <w:rsid w:val="00CA1E81"/>
    <w:rsid w:val="00CA23A3"/>
    <w:rsid w:val="00CA2AC7"/>
    <w:rsid w:val="00CA2C69"/>
    <w:rsid w:val="00CA3108"/>
    <w:rsid w:val="00CA327F"/>
    <w:rsid w:val="00CA4507"/>
    <w:rsid w:val="00CA4BC8"/>
    <w:rsid w:val="00CA4C90"/>
    <w:rsid w:val="00CA4DEE"/>
    <w:rsid w:val="00CA4F48"/>
    <w:rsid w:val="00CA4FF9"/>
    <w:rsid w:val="00CA526E"/>
    <w:rsid w:val="00CA52D1"/>
    <w:rsid w:val="00CA5E80"/>
    <w:rsid w:val="00CA6217"/>
    <w:rsid w:val="00CA68AB"/>
    <w:rsid w:val="00CA69B6"/>
    <w:rsid w:val="00CA6AE0"/>
    <w:rsid w:val="00CA6D49"/>
    <w:rsid w:val="00CA7370"/>
    <w:rsid w:val="00CA7687"/>
    <w:rsid w:val="00CA79E4"/>
    <w:rsid w:val="00CA7D77"/>
    <w:rsid w:val="00CA7E6C"/>
    <w:rsid w:val="00CB00ED"/>
    <w:rsid w:val="00CB01F4"/>
    <w:rsid w:val="00CB0BCC"/>
    <w:rsid w:val="00CB0F12"/>
    <w:rsid w:val="00CB10DC"/>
    <w:rsid w:val="00CB269C"/>
    <w:rsid w:val="00CB2E5C"/>
    <w:rsid w:val="00CB3150"/>
    <w:rsid w:val="00CB3250"/>
    <w:rsid w:val="00CB37DF"/>
    <w:rsid w:val="00CB3C57"/>
    <w:rsid w:val="00CB44CC"/>
    <w:rsid w:val="00CB47D0"/>
    <w:rsid w:val="00CB4B51"/>
    <w:rsid w:val="00CB4BFE"/>
    <w:rsid w:val="00CB5296"/>
    <w:rsid w:val="00CB60DB"/>
    <w:rsid w:val="00CB65C3"/>
    <w:rsid w:val="00CB69C5"/>
    <w:rsid w:val="00CB7533"/>
    <w:rsid w:val="00CB7554"/>
    <w:rsid w:val="00CB7A35"/>
    <w:rsid w:val="00CB7BC0"/>
    <w:rsid w:val="00CB7DD2"/>
    <w:rsid w:val="00CC0462"/>
    <w:rsid w:val="00CC05CF"/>
    <w:rsid w:val="00CC06D9"/>
    <w:rsid w:val="00CC0B3C"/>
    <w:rsid w:val="00CC1200"/>
    <w:rsid w:val="00CC13A8"/>
    <w:rsid w:val="00CC1546"/>
    <w:rsid w:val="00CC1577"/>
    <w:rsid w:val="00CC161F"/>
    <w:rsid w:val="00CC18B7"/>
    <w:rsid w:val="00CC1988"/>
    <w:rsid w:val="00CC1CE9"/>
    <w:rsid w:val="00CC2083"/>
    <w:rsid w:val="00CC23F3"/>
    <w:rsid w:val="00CC27D0"/>
    <w:rsid w:val="00CC282C"/>
    <w:rsid w:val="00CC2E2E"/>
    <w:rsid w:val="00CC3022"/>
    <w:rsid w:val="00CC30E0"/>
    <w:rsid w:val="00CC314A"/>
    <w:rsid w:val="00CC3169"/>
    <w:rsid w:val="00CC339A"/>
    <w:rsid w:val="00CC35B7"/>
    <w:rsid w:val="00CC384D"/>
    <w:rsid w:val="00CC3AEE"/>
    <w:rsid w:val="00CC3CAF"/>
    <w:rsid w:val="00CC3DE4"/>
    <w:rsid w:val="00CC3E0F"/>
    <w:rsid w:val="00CC42D2"/>
    <w:rsid w:val="00CC459B"/>
    <w:rsid w:val="00CC4654"/>
    <w:rsid w:val="00CC4699"/>
    <w:rsid w:val="00CC48D8"/>
    <w:rsid w:val="00CC502D"/>
    <w:rsid w:val="00CC50CE"/>
    <w:rsid w:val="00CC5F5B"/>
    <w:rsid w:val="00CC5F78"/>
    <w:rsid w:val="00CC6492"/>
    <w:rsid w:val="00CC677D"/>
    <w:rsid w:val="00CC67EF"/>
    <w:rsid w:val="00CC6800"/>
    <w:rsid w:val="00CC68E2"/>
    <w:rsid w:val="00CC6994"/>
    <w:rsid w:val="00CC705B"/>
    <w:rsid w:val="00CC74F4"/>
    <w:rsid w:val="00CC7B4D"/>
    <w:rsid w:val="00CC7D98"/>
    <w:rsid w:val="00CC7F8D"/>
    <w:rsid w:val="00CD0083"/>
    <w:rsid w:val="00CD05C4"/>
    <w:rsid w:val="00CD0C17"/>
    <w:rsid w:val="00CD0ECA"/>
    <w:rsid w:val="00CD12CE"/>
    <w:rsid w:val="00CD1315"/>
    <w:rsid w:val="00CD1935"/>
    <w:rsid w:val="00CD1C37"/>
    <w:rsid w:val="00CD1ED4"/>
    <w:rsid w:val="00CD223B"/>
    <w:rsid w:val="00CD26A7"/>
    <w:rsid w:val="00CD2E85"/>
    <w:rsid w:val="00CD3076"/>
    <w:rsid w:val="00CD31D5"/>
    <w:rsid w:val="00CD33CA"/>
    <w:rsid w:val="00CD34F5"/>
    <w:rsid w:val="00CD3803"/>
    <w:rsid w:val="00CD3C81"/>
    <w:rsid w:val="00CD3D2E"/>
    <w:rsid w:val="00CD3FCC"/>
    <w:rsid w:val="00CD4150"/>
    <w:rsid w:val="00CD44CD"/>
    <w:rsid w:val="00CD48F1"/>
    <w:rsid w:val="00CD4C89"/>
    <w:rsid w:val="00CD4E48"/>
    <w:rsid w:val="00CD54A6"/>
    <w:rsid w:val="00CD59BA"/>
    <w:rsid w:val="00CD614F"/>
    <w:rsid w:val="00CD61EB"/>
    <w:rsid w:val="00CD6397"/>
    <w:rsid w:val="00CD693B"/>
    <w:rsid w:val="00CD6F3A"/>
    <w:rsid w:val="00CD791F"/>
    <w:rsid w:val="00CD7A86"/>
    <w:rsid w:val="00CD7E28"/>
    <w:rsid w:val="00CD7F24"/>
    <w:rsid w:val="00CD7F44"/>
    <w:rsid w:val="00CE02B1"/>
    <w:rsid w:val="00CE02EE"/>
    <w:rsid w:val="00CE0397"/>
    <w:rsid w:val="00CE08CA"/>
    <w:rsid w:val="00CE0A1E"/>
    <w:rsid w:val="00CE169E"/>
    <w:rsid w:val="00CE1718"/>
    <w:rsid w:val="00CE19C5"/>
    <w:rsid w:val="00CE1C8E"/>
    <w:rsid w:val="00CE1D68"/>
    <w:rsid w:val="00CE1D72"/>
    <w:rsid w:val="00CE213C"/>
    <w:rsid w:val="00CE27D4"/>
    <w:rsid w:val="00CE2801"/>
    <w:rsid w:val="00CE3286"/>
    <w:rsid w:val="00CE32FB"/>
    <w:rsid w:val="00CE355F"/>
    <w:rsid w:val="00CE36C5"/>
    <w:rsid w:val="00CE3B9A"/>
    <w:rsid w:val="00CE3DB8"/>
    <w:rsid w:val="00CE43AF"/>
    <w:rsid w:val="00CE43D3"/>
    <w:rsid w:val="00CE45E2"/>
    <w:rsid w:val="00CE477D"/>
    <w:rsid w:val="00CE4A00"/>
    <w:rsid w:val="00CE4D3A"/>
    <w:rsid w:val="00CE5352"/>
    <w:rsid w:val="00CE557F"/>
    <w:rsid w:val="00CE5706"/>
    <w:rsid w:val="00CE57A7"/>
    <w:rsid w:val="00CE6060"/>
    <w:rsid w:val="00CE61D9"/>
    <w:rsid w:val="00CE64FD"/>
    <w:rsid w:val="00CE66A8"/>
    <w:rsid w:val="00CE67EC"/>
    <w:rsid w:val="00CE6A1E"/>
    <w:rsid w:val="00CE6CE0"/>
    <w:rsid w:val="00CE7094"/>
    <w:rsid w:val="00CE7236"/>
    <w:rsid w:val="00CE73DB"/>
    <w:rsid w:val="00CE7949"/>
    <w:rsid w:val="00CE7964"/>
    <w:rsid w:val="00CE7A29"/>
    <w:rsid w:val="00CE7ACF"/>
    <w:rsid w:val="00CE7F6E"/>
    <w:rsid w:val="00CF02F0"/>
    <w:rsid w:val="00CF071A"/>
    <w:rsid w:val="00CF09B9"/>
    <w:rsid w:val="00CF0DE2"/>
    <w:rsid w:val="00CF1186"/>
    <w:rsid w:val="00CF1552"/>
    <w:rsid w:val="00CF188F"/>
    <w:rsid w:val="00CF1CE7"/>
    <w:rsid w:val="00CF2105"/>
    <w:rsid w:val="00CF227A"/>
    <w:rsid w:val="00CF2465"/>
    <w:rsid w:val="00CF2A3E"/>
    <w:rsid w:val="00CF2CFF"/>
    <w:rsid w:val="00CF2D65"/>
    <w:rsid w:val="00CF33D8"/>
    <w:rsid w:val="00CF3659"/>
    <w:rsid w:val="00CF41D3"/>
    <w:rsid w:val="00CF4248"/>
    <w:rsid w:val="00CF46B4"/>
    <w:rsid w:val="00CF4BC6"/>
    <w:rsid w:val="00CF4C47"/>
    <w:rsid w:val="00CF4F0D"/>
    <w:rsid w:val="00CF57A0"/>
    <w:rsid w:val="00CF6A78"/>
    <w:rsid w:val="00CF6A96"/>
    <w:rsid w:val="00CF72A7"/>
    <w:rsid w:val="00CF7693"/>
    <w:rsid w:val="00CF7724"/>
    <w:rsid w:val="00CF7D2C"/>
    <w:rsid w:val="00CF7F06"/>
    <w:rsid w:val="00D00034"/>
    <w:rsid w:val="00D00534"/>
    <w:rsid w:val="00D00C5F"/>
    <w:rsid w:val="00D00D7F"/>
    <w:rsid w:val="00D00E12"/>
    <w:rsid w:val="00D00EEE"/>
    <w:rsid w:val="00D011D9"/>
    <w:rsid w:val="00D01615"/>
    <w:rsid w:val="00D01988"/>
    <w:rsid w:val="00D02433"/>
    <w:rsid w:val="00D02A03"/>
    <w:rsid w:val="00D02B56"/>
    <w:rsid w:val="00D033D7"/>
    <w:rsid w:val="00D0352E"/>
    <w:rsid w:val="00D038DB"/>
    <w:rsid w:val="00D040E0"/>
    <w:rsid w:val="00D04154"/>
    <w:rsid w:val="00D044CD"/>
    <w:rsid w:val="00D04526"/>
    <w:rsid w:val="00D049FD"/>
    <w:rsid w:val="00D04C42"/>
    <w:rsid w:val="00D0542A"/>
    <w:rsid w:val="00D0553D"/>
    <w:rsid w:val="00D05A3A"/>
    <w:rsid w:val="00D05A3B"/>
    <w:rsid w:val="00D05E78"/>
    <w:rsid w:val="00D066B8"/>
    <w:rsid w:val="00D06777"/>
    <w:rsid w:val="00D06830"/>
    <w:rsid w:val="00D06AAC"/>
    <w:rsid w:val="00D06D01"/>
    <w:rsid w:val="00D06E45"/>
    <w:rsid w:val="00D074F1"/>
    <w:rsid w:val="00D076CC"/>
    <w:rsid w:val="00D07BD7"/>
    <w:rsid w:val="00D07BFC"/>
    <w:rsid w:val="00D10788"/>
    <w:rsid w:val="00D10853"/>
    <w:rsid w:val="00D109A8"/>
    <w:rsid w:val="00D10B44"/>
    <w:rsid w:val="00D10C57"/>
    <w:rsid w:val="00D10EFD"/>
    <w:rsid w:val="00D10F14"/>
    <w:rsid w:val="00D11149"/>
    <w:rsid w:val="00D11A0A"/>
    <w:rsid w:val="00D11A8A"/>
    <w:rsid w:val="00D11BB0"/>
    <w:rsid w:val="00D11C51"/>
    <w:rsid w:val="00D11E07"/>
    <w:rsid w:val="00D1263D"/>
    <w:rsid w:val="00D12873"/>
    <w:rsid w:val="00D12BAC"/>
    <w:rsid w:val="00D12D74"/>
    <w:rsid w:val="00D13433"/>
    <w:rsid w:val="00D13904"/>
    <w:rsid w:val="00D13CFA"/>
    <w:rsid w:val="00D14189"/>
    <w:rsid w:val="00D145EA"/>
    <w:rsid w:val="00D1476F"/>
    <w:rsid w:val="00D15113"/>
    <w:rsid w:val="00D151B3"/>
    <w:rsid w:val="00D15541"/>
    <w:rsid w:val="00D158C6"/>
    <w:rsid w:val="00D15936"/>
    <w:rsid w:val="00D15A73"/>
    <w:rsid w:val="00D15B7C"/>
    <w:rsid w:val="00D15B7D"/>
    <w:rsid w:val="00D15BC2"/>
    <w:rsid w:val="00D160C3"/>
    <w:rsid w:val="00D160DF"/>
    <w:rsid w:val="00D164F8"/>
    <w:rsid w:val="00D16B7A"/>
    <w:rsid w:val="00D16D7F"/>
    <w:rsid w:val="00D16F74"/>
    <w:rsid w:val="00D17310"/>
    <w:rsid w:val="00D178B7"/>
    <w:rsid w:val="00D17C2B"/>
    <w:rsid w:val="00D17FE9"/>
    <w:rsid w:val="00D20124"/>
    <w:rsid w:val="00D20313"/>
    <w:rsid w:val="00D203AF"/>
    <w:rsid w:val="00D2073B"/>
    <w:rsid w:val="00D20932"/>
    <w:rsid w:val="00D212D9"/>
    <w:rsid w:val="00D21350"/>
    <w:rsid w:val="00D219BD"/>
    <w:rsid w:val="00D21E01"/>
    <w:rsid w:val="00D22978"/>
    <w:rsid w:val="00D22A4C"/>
    <w:rsid w:val="00D22DD6"/>
    <w:rsid w:val="00D23225"/>
    <w:rsid w:val="00D23822"/>
    <w:rsid w:val="00D23B09"/>
    <w:rsid w:val="00D23E87"/>
    <w:rsid w:val="00D2420E"/>
    <w:rsid w:val="00D24321"/>
    <w:rsid w:val="00D2443C"/>
    <w:rsid w:val="00D250B8"/>
    <w:rsid w:val="00D25199"/>
    <w:rsid w:val="00D255BA"/>
    <w:rsid w:val="00D25A08"/>
    <w:rsid w:val="00D25B99"/>
    <w:rsid w:val="00D25EFB"/>
    <w:rsid w:val="00D2744C"/>
    <w:rsid w:val="00D27506"/>
    <w:rsid w:val="00D2766D"/>
    <w:rsid w:val="00D27EFC"/>
    <w:rsid w:val="00D27F20"/>
    <w:rsid w:val="00D30791"/>
    <w:rsid w:val="00D30805"/>
    <w:rsid w:val="00D30849"/>
    <w:rsid w:val="00D30936"/>
    <w:rsid w:val="00D30DCC"/>
    <w:rsid w:val="00D30EE5"/>
    <w:rsid w:val="00D30FB1"/>
    <w:rsid w:val="00D31177"/>
    <w:rsid w:val="00D312F2"/>
    <w:rsid w:val="00D312FB"/>
    <w:rsid w:val="00D3144D"/>
    <w:rsid w:val="00D31456"/>
    <w:rsid w:val="00D31741"/>
    <w:rsid w:val="00D317BE"/>
    <w:rsid w:val="00D317D9"/>
    <w:rsid w:val="00D31C2D"/>
    <w:rsid w:val="00D31CFF"/>
    <w:rsid w:val="00D31E3E"/>
    <w:rsid w:val="00D3205A"/>
    <w:rsid w:val="00D320B5"/>
    <w:rsid w:val="00D3239C"/>
    <w:rsid w:val="00D32939"/>
    <w:rsid w:val="00D330CA"/>
    <w:rsid w:val="00D3316D"/>
    <w:rsid w:val="00D33AFE"/>
    <w:rsid w:val="00D33C47"/>
    <w:rsid w:val="00D33F5E"/>
    <w:rsid w:val="00D341E7"/>
    <w:rsid w:val="00D34257"/>
    <w:rsid w:val="00D345D0"/>
    <w:rsid w:val="00D34A60"/>
    <w:rsid w:val="00D34B4D"/>
    <w:rsid w:val="00D34CA9"/>
    <w:rsid w:val="00D351E3"/>
    <w:rsid w:val="00D3567F"/>
    <w:rsid w:val="00D3581C"/>
    <w:rsid w:val="00D359F4"/>
    <w:rsid w:val="00D35D60"/>
    <w:rsid w:val="00D35E54"/>
    <w:rsid w:val="00D35E9B"/>
    <w:rsid w:val="00D35F13"/>
    <w:rsid w:val="00D363E3"/>
    <w:rsid w:val="00D364F4"/>
    <w:rsid w:val="00D366F9"/>
    <w:rsid w:val="00D3674C"/>
    <w:rsid w:val="00D377C1"/>
    <w:rsid w:val="00D37882"/>
    <w:rsid w:val="00D37A8B"/>
    <w:rsid w:val="00D37AC4"/>
    <w:rsid w:val="00D37D04"/>
    <w:rsid w:val="00D37EEE"/>
    <w:rsid w:val="00D401F3"/>
    <w:rsid w:val="00D402AA"/>
    <w:rsid w:val="00D4057F"/>
    <w:rsid w:val="00D40ABB"/>
    <w:rsid w:val="00D40EB0"/>
    <w:rsid w:val="00D41184"/>
    <w:rsid w:val="00D41336"/>
    <w:rsid w:val="00D41706"/>
    <w:rsid w:val="00D41965"/>
    <w:rsid w:val="00D41A95"/>
    <w:rsid w:val="00D424C2"/>
    <w:rsid w:val="00D42F3C"/>
    <w:rsid w:val="00D4301F"/>
    <w:rsid w:val="00D433DB"/>
    <w:rsid w:val="00D435D7"/>
    <w:rsid w:val="00D43793"/>
    <w:rsid w:val="00D44476"/>
    <w:rsid w:val="00D4451E"/>
    <w:rsid w:val="00D4463E"/>
    <w:rsid w:val="00D44825"/>
    <w:rsid w:val="00D44BA3"/>
    <w:rsid w:val="00D4521B"/>
    <w:rsid w:val="00D4532C"/>
    <w:rsid w:val="00D45F0A"/>
    <w:rsid w:val="00D4670F"/>
    <w:rsid w:val="00D46FD9"/>
    <w:rsid w:val="00D4704D"/>
    <w:rsid w:val="00D471FD"/>
    <w:rsid w:val="00D472B9"/>
    <w:rsid w:val="00D47966"/>
    <w:rsid w:val="00D47B90"/>
    <w:rsid w:val="00D47D9E"/>
    <w:rsid w:val="00D47FB6"/>
    <w:rsid w:val="00D504F2"/>
    <w:rsid w:val="00D5070F"/>
    <w:rsid w:val="00D50C65"/>
    <w:rsid w:val="00D50DB4"/>
    <w:rsid w:val="00D50F01"/>
    <w:rsid w:val="00D5114F"/>
    <w:rsid w:val="00D514A3"/>
    <w:rsid w:val="00D514F5"/>
    <w:rsid w:val="00D515C8"/>
    <w:rsid w:val="00D51A8A"/>
    <w:rsid w:val="00D51D0E"/>
    <w:rsid w:val="00D51EC5"/>
    <w:rsid w:val="00D5281A"/>
    <w:rsid w:val="00D52DA4"/>
    <w:rsid w:val="00D5332F"/>
    <w:rsid w:val="00D534EF"/>
    <w:rsid w:val="00D5356E"/>
    <w:rsid w:val="00D536E2"/>
    <w:rsid w:val="00D5372A"/>
    <w:rsid w:val="00D53B8C"/>
    <w:rsid w:val="00D54289"/>
    <w:rsid w:val="00D54433"/>
    <w:rsid w:val="00D5475B"/>
    <w:rsid w:val="00D54DA0"/>
    <w:rsid w:val="00D54DC1"/>
    <w:rsid w:val="00D552D8"/>
    <w:rsid w:val="00D557B5"/>
    <w:rsid w:val="00D55CE8"/>
    <w:rsid w:val="00D5696B"/>
    <w:rsid w:val="00D571BA"/>
    <w:rsid w:val="00D574D7"/>
    <w:rsid w:val="00D57534"/>
    <w:rsid w:val="00D577FB"/>
    <w:rsid w:val="00D579E6"/>
    <w:rsid w:val="00D57A6B"/>
    <w:rsid w:val="00D57FE3"/>
    <w:rsid w:val="00D6017F"/>
    <w:rsid w:val="00D60649"/>
    <w:rsid w:val="00D606AB"/>
    <w:rsid w:val="00D607BB"/>
    <w:rsid w:val="00D60BD3"/>
    <w:rsid w:val="00D60F11"/>
    <w:rsid w:val="00D61174"/>
    <w:rsid w:val="00D616D4"/>
    <w:rsid w:val="00D6177A"/>
    <w:rsid w:val="00D61CEE"/>
    <w:rsid w:val="00D61E88"/>
    <w:rsid w:val="00D621F7"/>
    <w:rsid w:val="00D623F0"/>
    <w:rsid w:val="00D62686"/>
    <w:rsid w:val="00D6284F"/>
    <w:rsid w:val="00D62B69"/>
    <w:rsid w:val="00D62C91"/>
    <w:rsid w:val="00D63176"/>
    <w:rsid w:val="00D63369"/>
    <w:rsid w:val="00D634E5"/>
    <w:rsid w:val="00D638D3"/>
    <w:rsid w:val="00D6438A"/>
    <w:rsid w:val="00D6449C"/>
    <w:rsid w:val="00D6497E"/>
    <w:rsid w:val="00D64F0C"/>
    <w:rsid w:val="00D6537D"/>
    <w:rsid w:val="00D654C5"/>
    <w:rsid w:val="00D656AE"/>
    <w:rsid w:val="00D65A9D"/>
    <w:rsid w:val="00D65B8B"/>
    <w:rsid w:val="00D65D4E"/>
    <w:rsid w:val="00D6650A"/>
    <w:rsid w:val="00D66819"/>
    <w:rsid w:val="00D66D3A"/>
    <w:rsid w:val="00D6758B"/>
    <w:rsid w:val="00D677BC"/>
    <w:rsid w:val="00D67ACF"/>
    <w:rsid w:val="00D67C0D"/>
    <w:rsid w:val="00D67D43"/>
    <w:rsid w:val="00D67DDB"/>
    <w:rsid w:val="00D70252"/>
    <w:rsid w:val="00D70AEF"/>
    <w:rsid w:val="00D70B50"/>
    <w:rsid w:val="00D70E7E"/>
    <w:rsid w:val="00D710DF"/>
    <w:rsid w:val="00D7114C"/>
    <w:rsid w:val="00D713D5"/>
    <w:rsid w:val="00D7155A"/>
    <w:rsid w:val="00D716D5"/>
    <w:rsid w:val="00D71DE5"/>
    <w:rsid w:val="00D71EB1"/>
    <w:rsid w:val="00D72535"/>
    <w:rsid w:val="00D72916"/>
    <w:rsid w:val="00D73405"/>
    <w:rsid w:val="00D73594"/>
    <w:rsid w:val="00D73B83"/>
    <w:rsid w:val="00D73C49"/>
    <w:rsid w:val="00D73C9F"/>
    <w:rsid w:val="00D754A1"/>
    <w:rsid w:val="00D75983"/>
    <w:rsid w:val="00D761E3"/>
    <w:rsid w:val="00D76390"/>
    <w:rsid w:val="00D7670D"/>
    <w:rsid w:val="00D769CD"/>
    <w:rsid w:val="00D76D96"/>
    <w:rsid w:val="00D77191"/>
    <w:rsid w:val="00D773A2"/>
    <w:rsid w:val="00D7742E"/>
    <w:rsid w:val="00D774F8"/>
    <w:rsid w:val="00D77B18"/>
    <w:rsid w:val="00D77B3F"/>
    <w:rsid w:val="00D80763"/>
    <w:rsid w:val="00D80929"/>
    <w:rsid w:val="00D80D72"/>
    <w:rsid w:val="00D8101C"/>
    <w:rsid w:val="00D81029"/>
    <w:rsid w:val="00D81787"/>
    <w:rsid w:val="00D81989"/>
    <w:rsid w:val="00D81ACE"/>
    <w:rsid w:val="00D81BE4"/>
    <w:rsid w:val="00D820B6"/>
    <w:rsid w:val="00D8241A"/>
    <w:rsid w:val="00D82445"/>
    <w:rsid w:val="00D82594"/>
    <w:rsid w:val="00D8265E"/>
    <w:rsid w:val="00D826E7"/>
    <w:rsid w:val="00D82BEE"/>
    <w:rsid w:val="00D82FBC"/>
    <w:rsid w:val="00D831ED"/>
    <w:rsid w:val="00D832AF"/>
    <w:rsid w:val="00D837FC"/>
    <w:rsid w:val="00D83923"/>
    <w:rsid w:val="00D83C1A"/>
    <w:rsid w:val="00D843C5"/>
    <w:rsid w:val="00D8490D"/>
    <w:rsid w:val="00D84F3E"/>
    <w:rsid w:val="00D85334"/>
    <w:rsid w:val="00D86314"/>
    <w:rsid w:val="00D863A1"/>
    <w:rsid w:val="00D863BE"/>
    <w:rsid w:val="00D863D1"/>
    <w:rsid w:val="00D86437"/>
    <w:rsid w:val="00D865A2"/>
    <w:rsid w:val="00D86729"/>
    <w:rsid w:val="00D869A2"/>
    <w:rsid w:val="00D86B32"/>
    <w:rsid w:val="00D86C58"/>
    <w:rsid w:val="00D86D60"/>
    <w:rsid w:val="00D86D83"/>
    <w:rsid w:val="00D876E0"/>
    <w:rsid w:val="00D877DE"/>
    <w:rsid w:val="00D87C5D"/>
    <w:rsid w:val="00D87ECC"/>
    <w:rsid w:val="00D9006E"/>
    <w:rsid w:val="00D907CD"/>
    <w:rsid w:val="00D908BE"/>
    <w:rsid w:val="00D90FC9"/>
    <w:rsid w:val="00D91492"/>
    <w:rsid w:val="00D91584"/>
    <w:rsid w:val="00D918A4"/>
    <w:rsid w:val="00D91D0A"/>
    <w:rsid w:val="00D920CD"/>
    <w:rsid w:val="00D924D3"/>
    <w:rsid w:val="00D92677"/>
    <w:rsid w:val="00D92787"/>
    <w:rsid w:val="00D92A5B"/>
    <w:rsid w:val="00D92B50"/>
    <w:rsid w:val="00D92FCC"/>
    <w:rsid w:val="00D93234"/>
    <w:rsid w:val="00D9346D"/>
    <w:rsid w:val="00D93DD3"/>
    <w:rsid w:val="00D9413D"/>
    <w:rsid w:val="00D9419D"/>
    <w:rsid w:val="00D94686"/>
    <w:rsid w:val="00D94970"/>
    <w:rsid w:val="00D94A77"/>
    <w:rsid w:val="00D94FC1"/>
    <w:rsid w:val="00D95414"/>
    <w:rsid w:val="00D954E6"/>
    <w:rsid w:val="00D95968"/>
    <w:rsid w:val="00D95E30"/>
    <w:rsid w:val="00D96A8D"/>
    <w:rsid w:val="00D96BAE"/>
    <w:rsid w:val="00D96C30"/>
    <w:rsid w:val="00D96D92"/>
    <w:rsid w:val="00D96F65"/>
    <w:rsid w:val="00D97391"/>
    <w:rsid w:val="00D97AFD"/>
    <w:rsid w:val="00D97F77"/>
    <w:rsid w:val="00DA049C"/>
    <w:rsid w:val="00DA05CB"/>
    <w:rsid w:val="00DA08DD"/>
    <w:rsid w:val="00DA0D9D"/>
    <w:rsid w:val="00DA10D1"/>
    <w:rsid w:val="00DA10DC"/>
    <w:rsid w:val="00DA136C"/>
    <w:rsid w:val="00DA1483"/>
    <w:rsid w:val="00DA1DF7"/>
    <w:rsid w:val="00DA23B2"/>
    <w:rsid w:val="00DA2E91"/>
    <w:rsid w:val="00DA3017"/>
    <w:rsid w:val="00DA3122"/>
    <w:rsid w:val="00DA33E2"/>
    <w:rsid w:val="00DA3652"/>
    <w:rsid w:val="00DA37CA"/>
    <w:rsid w:val="00DA3CD8"/>
    <w:rsid w:val="00DA3E11"/>
    <w:rsid w:val="00DA419E"/>
    <w:rsid w:val="00DA47B1"/>
    <w:rsid w:val="00DA4F09"/>
    <w:rsid w:val="00DA4F11"/>
    <w:rsid w:val="00DA5077"/>
    <w:rsid w:val="00DA524B"/>
    <w:rsid w:val="00DA52A9"/>
    <w:rsid w:val="00DA5484"/>
    <w:rsid w:val="00DA5782"/>
    <w:rsid w:val="00DA5B11"/>
    <w:rsid w:val="00DA5DCF"/>
    <w:rsid w:val="00DA5DF7"/>
    <w:rsid w:val="00DA6304"/>
    <w:rsid w:val="00DA68F6"/>
    <w:rsid w:val="00DA6EE2"/>
    <w:rsid w:val="00DA6FC9"/>
    <w:rsid w:val="00DA737D"/>
    <w:rsid w:val="00DA743A"/>
    <w:rsid w:val="00DA775B"/>
    <w:rsid w:val="00DB0115"/>
    <w:rsid w:val="00DB0201"/>
    <w:rsid w:val="00DB084F"/>
    <w:rsid w:val="00DB1210"/>
    <w:rsid w:val="00DB1474"/>
    <w:rsid w:val="00DB1613"/>
    <w:rsid w:val="00DB1790"/>
    <w:rsid w:val="00DB1BA5"/>
    <w:rsid w:val="00DB1D8B"/>
    <w:rsid w:val="00DB1D93"/>
    <w:rsid w:val="00DB1F65"/>
    <w:rsid w:val="00DB2B8D"/>
    <w:rsid w:val="00DB2C53"/>
    <w:rsid w:val="00DB2EF7"/>
    <w:rsid w:val="00DB33B2"/>
    <w:rsid w:val="00DB36A3"/>
    <w:rsid w:val="00DB39AE"/>
    <w:rsid w:val="00DB3C26"/>
    <w:rsid w:val="00DB3DA2"/>
    <w:rsid w:val="00DB3F62"/>
    <w:rsid w:val="00DB4EB3"/>
    <w:rsid w:val="00DB4F43"/>
    <w:rsid w:val="00DB4FDC"/>
    <w:rsid w:val="00DB56AF"/>
    <w:rsid w:val="00DB5E62"/>
    <w:rsid w:val="00DB5F55"/>
    <w:rsid w:val="00DB6100"/>
    <w:rsid w:val="00DB6975"/>
    <w:rsid w:val="00DB6A30"/>
    <w:rsid w:val="00DB6B5F"/>
    <w:rsid w:val="00DB7583"/>
    <w:rsid w:val="00DB785B"/>
    <w:rsid w:val="00DB7E8D"/>
    <w:rsid w:val="00DB7F02"/>
    <w:rsid w:val="00DC0454"/>
    <w:rsid w:val="00DC1012"/>
    <w:rsid w:val="00DC11FF"/>
    <w:rsid w:val="00DC1334"/>
    <w:rsid w:val="00DC18D8"/>
    <w:rsid w:val="00DC195D"/>
    <w:rsid w:val="00DC1998"/>
    <w:rsid w:val="00DC1AE5"/>
    <w:rsid w:val="00DC1B37"/>
    <w:rsid w:val="00DC1B4D"/>
    <w:rsid w:val="00DC1E19"/>
    <w:rsid w:val="00DC2D53"/>
    <w:rsid w:val="00DC3251"/>
    <w:rsid w:val="00DC3983"/>
    <w:rsid w:val="00DC3AA4"/>
    <w:rsid w:val="00DC3E41"/>
    <w:rsid w:val="00DC3E4F"/>
    <w:rsid w:val="00DC4140"/>
    <w:rsid w:val="00DC4207"/>
    <w:rsid w:val="00DC4316"/>
    <w:rsid w:val="00DC44D1"/>
    <w:rsid w:val="00DC45CA"/>
    <w:rsid w:val="00DC4812"/>
    <w:rsid w:val="00DC5040"/>
    <w:rsid w:val="00DC5509"/>
    <w:rsid w:val="00DC550F"/>
    <w:rsid w:val="00DC5B54"/>
    <w:rsid w:val="00DC5BA5"/>
    <w:rsid w:val="00DC5DFF"/>
    <w:rsid w:val="00DC6433"/>
    <w:rsid w:val="00DC6A7A"/>
    <w:rsid w:val="00DC6D54"/>
    <w:rsid w:val="00DC7117"/>
    <w:rsid w:val="00DC7137"/>
    <w:rsid w:val="00DC7160"/>
    <w:rsid w:val="00DC74CB"/>
    <w:rsid w:val="00DC759D"/>
    <w:rsid w:val="00DC764D"/>
    <w:rsid w:val="00DC7E9C"/>
    <w:rsid w:val="00DC7FC0"/>
    <w:rsid w:val="00DC7FE1"/>
    <w:rsid w:val="00DD04B7"/>
    <w:rsid w:val="00DD0930"/>
    <w:rsid w:val="00DD0DC9"/>
    <w:rsid w:val="00DD1167"/>
    <w:rsid w:val="00DD134A"/>
    <w:rsid w:val="00DD1A16"/>
    <w:rsid w:val="00DD22DA"/>
    <w:rsid w:val="00DD2B33"/>
    <w:rsid w:val="00DD3563"/>
    <w:rsid w:val="00DD4A50"/>
    <w:rsid w:val="00DD5C7A"/>
    <w:rsid w:val="00DD5E59"/>
    <w:rsid w:val="00DD5FCF"/>
    <w:rsid w:val="00DD6339"/>
    <w:rsid w:val="00DD6473"/>
    <w:rsid w:val="00DD656A"/>
    <w:rsid w:val="00DD679F"/>
    <w:rsid w:val="00DD706C"/>
    <w:rsid w:val="00DD7778"/>
    <w:rsid w:val="00DD7F0D"/>
    <w:rsid w:val="00DD7FF8"/>
    <w:rsid w:val="00DE0373"/>
    <w:rsid w:val="00DE0486"/>
    <w:rsid w:val="00DE07FB"/>
    <w:rsid w:val="00DE0C1D"/>
    <w:rsid w:val="00DE0EF2"/>
    <w:rsid w:val="00DE150A"/>
    <w:rsid w:val="00DE1760"/>
    <w:rsid w:val="00DE1889"/>
    <w:rsid w:val="00DE18B6"/>
    <w:rsid w:val="00DE198F"/>
    <w:rsid w:val="00DE2087"/>
    <w:rsid w:val="00DE20FB"/>
    <w:rsid w:val="00DE2785"/>
    <w:rsid w:val="00DE2BFC"/>
    <w:rsid w:val="00DE2FEA"/>
    <w:rsid w:val="00DE35EC"/>
    <w:rsid w:val="00DE3A9A"/>
    <w:rsid w:val="00DE4045"/>
    <w:rsid w:val="00DE4DA0"/>
    <w:rsid w:val="00DE4DC9"/>
    <w:rsid w:val="00DE56ED"/>
    <w:rsid w:val="00DE5844"/>
    <w:rsid w:val="00DE5E0E"/>
    <w:rsid w:val="00DE6388"/>
    <w:rsid w:val="00DE6BFB"/>
    <w:rsid w:val="00DE783F"/>
    <w:rsid w:val="00DE7B82"/>
    <w:rsid w:val="00DF0317"/>
    <w:rsid w:val="00DF0B62"/>
    <w:rsid w:val="00DF10C6"/>
    <w:rsid w:val="00DF1201"/>
    <w:rsid w:val="00DF1258"/>
    <w:rsid w:val="00DF1576"/>
    <w:rsid w:val="00DF2A84"/>
    <w:rsid w:val="00DF2A87"/>
    <w:rsid w:val="00DF3201"/>
    <w:rsid w:val="00DF32BC"/>
    <w:rsid w:val="00DF3315"/>
    <w:rsid w:val="00DF398B"/>
    <w:rsid w:val="00DF4644"/>
    <w:rsid w:val="00DF49F6"/>
    <w:rsid w:val="00DF4CF3"/>
    <w:rsid w:val="00DF4E3E"/>
    <w:rsid w:val="00DF516F"/>
    <w:rsid w:val="00DF5348"/>
    <w:rsid w:val="00DF54AB"/>
    <w:rsid w:val="00DF551C"/>
    <w:rsid w:val="00DF5551"/>
    <w:rsid w:val="00DF57D9"/>
    <w:rsid w:val="00DF5899"/>
    <w:rsid w:val="00DF5B26"/>
    <w:rsid w:val="00DF5C2A"/>
    <w:rsid w:val="00DF5DC7"/>
    <w:rsid w:val="00DF60B9"/>
    <w:rsid w:val="00DF63B7"/>
    <w:rsid w:val="00DF67B6"/>
    <w:rsid w:val="00DF6CF4"/>
    <w:rsid w:val="00DF7030"/>
    <w:rsid w:val="00DF7653"/>
    <w:rsid w:val="00DF7A44"/>
    <w:rsid w:val="00DF7FEE"/>
    <w:rsid w:val="00E00622"/>
    <w:rsid w:val="00E00AF9"/>
    <w:rsid w:val="00E00CAE"/>
    <w:rsid w:val="00E010CD"/>
    <w:rsid w:val="00E01218"/>
    <w:rsid w:val="00E012ED"/>
    <w:rsid w:val="00E01369"/>
    <w:rsid w:val="00E01A3D"/>
    <w:rsid w:val="00E01A6F"/>
    <w:rsid w:val="00E0205F"/>
    <w:rsid w:val="00E0243F"/>
    <w:rsid w:val="00E0256D"/>
    <w:rsid w:val="00E025E9"/>
    <w:rsid w:val="00E02676"/>
    <w:rsid w:val="00E02A9D"/>
    <w:rsid w:val="00E02B9C"/>
    <w:rsid w:val="00E02C1D"/>
    <w:rsid w:val="00E02DD4"/>
    <w:rsid w:val="00E02F4F"/>
    <w:rsid w:val="00E03185"/>
    <w:rsid w:val="00E03CB5"/>
    <w:rsid w:val="00E03DA5"/>
    <w:rsid w:val="00E03F3C"/>
    <w:rsid w:val="00E04185"/>
    <w:rsid w:val="00E041E9"/>
    <w:rsid w:val="00E0442E"/>
    <w:rsid w:val="00E0453D"/>
    <w:rsid w:val="00E0457C"/>
    <w:rsid w:val="00E04749"/>
    <w:rsid w:val="00E04965"/>
    <w:rsid w:val="00E04BEE"/>
    <w:rsid w:val="00E04E39"/>
    <w:rsid w:val="00E052E7"/>
    <w:rsid w:val="00E057F6"/>
    <w:rsid w:val="00E0586F"/>
    <w:rsid w:val="00E05FA6"/>
    <w:rsid w:val="00E067CA"/>
    <w:rsid w:val="00E06C40"/>
    <w:rsid w:val="00E075B0"/>
    <w:rsid w:val="00E07651"/>
    <w:rsid w:val="00E07AA8"/>
    <w:rsid w:val="00E10184"/>
    <w:rsid w:val="00E10309"/>
    <w:rsid w:val="00E1042A"/>
    <w:rsid w:val="00E1060A"/>
    <w:rsid w:val="00E10633"/>
    <w:rsid w:val="00E109FA"/>
    <w:rsid w:val="00E10A9F"/>
    <w:rsid w:val="00E10C02"/>
    <w:rsid w:val="00E11350"/>
    <w:rsid w:val="00E113EF"/>
    <w:rsid w:val="00E11449"/>
    <w:rsid w:val="00E11ABB"/>
    <w:rsid w:val="00E11C5B"/>
    <w:rsid w:val="00E11C7B"/>
    <w:rsid w:val="00E11EEB"/>
    <w:rsid w:val="00E11FA0"/>
    <w:rsid w:val="00E120AF"/>
    <w:rsid w:val="00E12184"/>
    <w:rsid w:val="00E122AD"/>
    <w:rsid w:val="00E122E3"/>
    <w:rsid w:val="00E1257B"/>
    <w:rsid w:val="00E12916"/>
    <w:rsid w:val="00E12ECA"/>
    <w:rsid w:val="00E12F11"/>
    <w:rsid w:val="00E13395"/>
    <w:rsid w:val="00E1396E"/>
    <w:rsid w:val="00E13971"/>
    <w:rsid w:val="00E13D70"/>
    <w:rsid w:val="00E13D8E"/>
    <w:rsid w:val="00E14006"/>
    <w:rsid w:val="00E1427C"/>
    <w:rsid w:val="00E1440F"/>
    <w:rsid w:val="00E14BF3"/>
    <w:rsid w:val="00E14D8F"/>
    <w:rsid w:val="00E155B4"/>
    <w:rsid w:val="00E1584C"/>
    <w:rsid w:val="00E15A2F"/>
    <w:rsid w:val="00E16115"/>
    <w:rsid w:val="00E16161"/>
    <w:rsid w:val="00E16AB7"/>
    <w:rsid w:val="00E16AD9"/>
    <w:rsid w:val="00E16D61"/>
    <w:rsid w:val="00E17058"/>
    <w:rsid w:val="00E17193"/>
    <w:rsid w:val="00E171BB"/>
    <w:rsid w:val="00E171D2"/>
    <w:rsid w:val="00E172B8"/>
    <w:rsid w:val="00E174A1"/>
    <w:rsid w:val="00E17692"/>
    <w:rsid w:val="00E17B0A"/>
    <w:rsid w:val="00E20049"/>
    <w:rsid w:val="00E20081"/>
    <w:rsid w:val="00E206EA"/>
    <w:rsid w:val="00E20B74"/>
    <w:rsid w:val="00E210DD"/>
    <w:rsid w:val="00E215DB"/>
    <w:rsid w:val="00E22149"/>
    <w:rsid w:val="00E2245B"/>
    <w:rsid w:val="00E224B9"/>
    <w:rsid w:val="00E23091"/>
    <w:rsid w:val="00E2364F"/>
    <w:rsid w:val="00E239A4"/>
    <w:rsid w:val="00E23E65"/>
    <w:rsid w:val="00E24024"/>
    <w:rsid w:val="00E244D6"/>
    <w:rsid w:val="00E245B4"/>
    <w:rsid w:val="00E24606"/>
    <w:rsid w:val="00E2462E"/>
    <w:rsid w:val="00E24FD0"/>
    <w:rsid w:val="00E25474"/>
    <w:rsid w:val="00E2586A"/>
    <w:rsid w:val="00E25ADF"/>
    <w:rsid w:val="00E260ED"/>
    <w:rsid w:val="00E265F4"/>
    <w:rsid w:val="00E26B9B"/>
    <w:rsid w:val="00E26F0A"/>
    <w:rsid w:val="00E278E5"/>
    <w:rsid w:val="00E27922"/>
    <w:rsid w:val="00E27B58"/>
    <w:rsid w:val="00E27F9F"/>
    <w:rsid w:val="00E311A8"/>
    <w:rsid w:val="00E317D3"/>
    <w:rsid w:val="00E319F9"/>
    <w:rsid w:val="00E31A5A"/>
    <w:rsid w:val="00E32B7D"/>
    <w:rsid w:val="00E32B8A"/>
    <w:rsid w:val="00E32EE5"/>
    <w:rsid w:val="00E32F93"/>
    <w:rsid w:val="00E33307"/>
    <w:rsid w:val="00E33542"/>
    <w:rsid w:val="00E33568"/>
    <w:rsid w:val="00E33694"/>
    <w:rsid w:val="00E3377D"/>
    <w:rsid w:val="00E33A5B"/>
    <w:rsid w:val="00E340A1"/>
    <w:rsid w:val="00E34536"/>
    <w:rsid w:val="00E34A33"/>
    <w:rsid w:val="00E35112"/>
    <w:rsid w:val="00E353AC"/>
    <w:rsid w:val="00E35536"/>
    <w:rsid w:val="00E35EA6"/>
    <w:rsid w:val="00E363B8"/>
    <w:rsid w:val="00E36692"/>
    <w:rsid w:val="00E367FB"/>
    <w:rsid w:val="00E36917"/>
    <w:rsid w:val="00E36B5C"/>
    <w:rsid w:val="00E36BE2"/>
    <w:rsid w:val="00E375BE"/>
    <w:rsid w:val="00E37889"/>
    <w:rsid w:val="00E379F7"/>
    <w:rsid w:val="00E37BC6"/>
    <w:rsid w:val="00E37D41"/>
    <w:rsid w:val="00E37D8F"/>
    <w:rsid w:val="00E4060C"/>
    <w:rsid w:val="00E40763"/>
    <w:rsid w:val="00E408D2"/>
    <w:rsid w:val="00E415AA"/>
    <w:rsid w:val="00E4178B"/>
    <w:rsid w:val="00E41A4B"/>
    <w:rsid w:val="00E4235F"/>
    <w:rsid w:val="00E42632"/>
    <w:rsid w:val="00E42B6A"/>
    <w:rsid w:val="00E42D40"/>
    <w:rsid w:val="00E42E3B"/>
    <w:rsid w:val="00E42E68"/>
    <w:rsid w:val="00E42EB1"/>
    <w:rsid w:val="00E432CD"/>
    <w:rsid w:val="00E433C3"/>
    <w:rsid w:val="00E4362B"/>
    <w:rsid w:val="00E43C65"/>
    <w:rsid w:val="00E441A0"/>
    <w:rsid w:val="00E4425C"/>
    <w:rsid w:val="00E4521F"/>
    <w:rsid w:val="00E45829"/>
    <w:rsid w:val="00E46117"/>
    <w:rsid w:val="00E46E86"/>
    <w:rsid w:val="00E4709D"/>
    <w:rsid w:val="00E47107"/>
    <w:rsid w:val="00E47BB4"/>
    <w:rsid w:val="00E5031B"/>
    <w:rsid w:val="00E50D2B"/>
    <w:rsid w:val="00E51360"/>
    <w:rsid w:val="00E517E1"/>
    <w:rsid w:val="00E51C4E"/>
    <w:rsid w:val="00E51E7F"/>
    <w:rsid w:val="00E51E8D"/>
    <w:rsid w:val="00E52679"/>
    <w:rsid w:val="00E5278C"/>
    <w:rsid w:val="00E527E6"/>
    <w:rsid w:val="00E5293E"/>
    <w:rsid w:val="00E52A0C"/>
    <w:rsid w:val="00E52CC6"/>
    <w:rsid w:val="00E53080"/>
    <w:rsid w:val="00E5316E"/>
    <w:rsid w:val="00E53731"/>
    <w:rsid w:val="00E53B51"/>
    <w:rsid w:val="00E54222"/>
    <w:rsid w:val="00E54327"/>
    <w:rsid w:val="00E54391"/>
    <w:rsid w:val="00E5465E"/>
    <w:rsid w:val="00E54ACD"/>
    <w:rsid w:val="00E54B02"/>
    <w:rsid w:val="00E54B2B"/>
    <w:rsid w:val="00E54CAB"/>
    <w:rsid w:val="00E54D21"/>
    <w:rsid w:val="00E54F9A"/>
    <w:rsid w:val="00E550AE"/>
    <w:rsid w:val="00E5571B"/>
    <w:rsid w:val="00E55A19"/>
    <w:rsid w:val="00E55EEF"/>
    <w:rsid w:val="00E55F7E"/>
    <w:rsid w:val="00E55FD0"/>
    <w:rsid w:val="00E564DC"/>
    <w:rsid w:val="00E56A57"/>
    <w:rsid w:val="00E56C42"/>
    <w:rsid w:val="00E5784F"/>
    <w:rsid w:val="00E578D7"/>
    <w:rsid w:val="00E57A45"/>
    <w:rsid w:val="00E57EFD"/>
    <w:rsid w:val="00E60AE3"/>
    <w:rsid w:val="00E60AF0"/>
    <w:rsid w:val="00E61267"/>
    <w:rsid w:val="00E612E3"/>
    <w:rsid w:val="00E613F1"/>
    <w:rsid w:val="00E61632"/>
    <w:rsid w:val="00E61A4D"/>
    <w:rsid w:val="00E6303C"/>
    <w:rsid w:val="00E63691"/>
    <w:rsid w:val="00E63C7D"/>
    <w:rsid w:val="00E63CBF"/>
    <w:rsid w:val="00E64030"/>
    <w:rsid w:val="00E648E6"/>
    <w:rsid w:val="00E64DFB"/>
    <w:rsid w:val="00E6526E"/>
    <w:rsid w:val="00E6547A"/>
    <w:rsid w:val="00E65B04"/>
    <w:rsid w:val="00E65BFB"/>
    <w:rsid w:val="00E65DEC"/>
    <w:rsid w:val="00E65E15"/>
    <w:rsid w:val="00E66029"/>
    <w:rsid w:val="00E66C25"/>
    <w:rsid w:val="00E6751B"/>
    <w:rsid w:val="00E675DE"/>
    <w:rsid w:val="00E676A3"/>
    <w:rsid w:val="00E678B7"/>
    <w:rsid w:val="00E67900"/>
    <w:rsid w:val="00E6795F"/>
    <w:rsid w:val="00E67C55"/>
    <w:rsid w:val="00E70169"/>
    <w:rsid w:val="00E7033C"/>
    <w:rsid w:val="00E7046A"/>
    <w:rsid w:val="00E7076C"/>
    <w:rsid w:val="00E70C50"/>
    <w:rsid w:val="00E70DD7"/>
    <w:rsid w:val="00E7143C"/>
    <w:rsid w:val="00E71538"/>
    <w:rsid w:val="00E71620"/>
    <w:rsid w:val="00E71B26"/>
    <w:rsid w:val="00E71D63"/>
    <w:rsid w:val="00E72262"/>
    <w:rsid w:val="00E7237B"/>
    <w:rsid w:val="00E7294C"/>
    <w:rsid w:val="00E72980"/>
    <w:rsid w:val="00E72B16"/>
    <w:rsid w:val="00E72C3E"/>
    <w:rsid w:val="00E72EE0"/>
    <w:rsid w:val="00E73208"/>
    <w:rsid w:val="00E73578"/>
    <w:rsid w:val="00E735F3"/>
    <w:rsid w:val="00E73E60"/>
    <w:rsid w:val="00E7404F"/>
    <w:rsid w:val="00E74103"/>
    <w:rsid w:val="00E741FB"/>
    <w:rsid w:val="00E744FC"/>
    <w:rsid w:val="00E7478D"/>
    <w:rsid w:val="00E7482E"/>
    <w:rsid w:val="00E74947"/>
    <w:rsid w:val="00E74E28"/>
    <w:rsid w:val="00E75181"/>
    <w:rsid w:val="00E75384"/>
    <w:rsid w:val="00E7544E"/>
    <w:rsid w:val="00E759BA"/>
    <w:rsid w:val="00E76027"/>
    <w:rsid w:val="00E76042"/>
    <w:rsid w:val="00E762CE"/>
    <w:rsid w:val="00E763D2"/>
    <w:rsid w:val="00E76D93"/>
    <w:rsid w:val="00E8020B"/>
    <w:rsid w:val="00E803C6"/>
    <w:rsid w:val="00E804E9"/>
    <w:rsid w:val="00E806FB"/>
    <w:rsid w:val="00E80F95"/>
    <w:rsid w:val="00E81128"/>
    <w:rsid w:val="00E811DE"/>
    <w:rsid w:val="00E81255"/>
    <w:rsid w:val="00E81670"/>
    <w:rsid w:val="00E818EA"/>
    <w:rsid w:val="00E81EFD"/>
    <w:rsid w:val="00E821EE"/>
    <w:rsid w:val="00E821F0"/>
    <w:rsid w:val="00E82761"/>
    <w:rsid w:val="00E82ABC"/>
    <w:rsid w:val="00E8335D"/>
    <w:rsid w:val="00E83A19"/>
    <w:rsid w:val="00E8406B"/>
    <w:rsid w:val="00E842E6"/>
    <w:rsid w:val="00E84364"/>
    <w:rsid w:val="00E84940"/>
    <w:rsid w:val="00E84FF9"/>
    <w:rsid w:val="00E8526C"/>
    <w:rsid w:val="00E85C50"/>
    <w:rsid w:val="00E86A38"/>
    <w:rsid w:val="00E86FDB"/>
    <w:rsid w:val="00E870B5"/>
    <w:rsid w:val="00E87192"/>
    <w:rsid w:val="00E872C4"/>
    <w:rsid w:val="00E87630"/>
    <w:rsid w:val="00E902FF"/>
    <w:rsid w:val="00E903B3"/>
    <w:rsid w:val="00E9058C"/>
    <w:rsid w:val="00E90707"/>
    <w:rsid w:val="00E909E1"/>
    <w:rsid w:val="00E90C5C"/>
    <w:rsid w:val="00E90F9E"/>
    <w:rsid w:val="00E9147B"/>
    <w:rsid w:val="00E91A7E"/>
    <w:rsid w:val="00E91E3D"/>
    <w:rsid w:val="00E91FED"/>
    <w:rsid w:val="00E92121"/>
    <w:rsid w:val="00E923A3"/>
    <w:rsid w:val="00E9241D"/>
    <w:rsid w:val="00E9258A"/>
    <w:rsid w:val="00E93081"/>
    <w:rsid w:val="00E934D8"/>
    <w:rsid w:val="00E93657"/>
    <w:rsid w:val="00E939C4"/>
    <w:rsid w:val="00E939E2"/>
    <w:rsid w:val="00E94821"/>
    <w:rsid w:val="00E94ACB"/>
    <w:rsid w:val="00E94B38"/>
    <w:rsid w:val="00E951C3"/>
    <w:rsid w:val="00E95329"/>
    <w:rsid w:val="00E9638F"/>
    <w:rsid w:val="00E96ABE"/>
    <w:rsid w:val="00E96ED5"/>
    <w:rsid w:val="00E97214"/>
    <w:rsid w:val="00E97356"/>
    <w:rsid w:val="00E97383"/>
    <w:rsid w:val="00E976A9"/>
    <w:rsid w:val="00E97AA9"/>
    <w:rsid w:val="00E97E75"/>
    <w:rsid w:val="00EA04F7"/>
    <w:rsid w:val="00EA0576"/>
    <w:rsid w:val="00EA06E0"/>
    <w:rsid w:val="00EA081E"/>
    <w:rsid w:val="00EA0ACA"/>
    <w:rsid w:val="00EA0B37"/>
    <w:rsid w:val="00EA0C0D"/>
    <w:rsid w:val="00EA0D44"/>
    <w:rsid w:val="00EA1075"/>
    <w:rsid w:val="00EA12A0"/>
    <w:rsid w:val="00EA1587"/>
    <w:rsid w:val="00EA16F1"/>
    <w:rsid w:val="00EA1943"/>
    <w:rsid w:val="00EA1A60"/>
    <w:rsid w:val="00EA1F15"/>
    <w:rsid w:val="00EA2414"/>
    <w:rsid w:val="00EA24D5"/>
    <w:rsid w:val="00EA2716"/>
    <w:rsid w:val="00EA29F2"/>
    <w:rsid w:val="00EA2D88"/>
    <w:rsid w:val="00EA31E0"/>
    <w:rsid w:val="00EA3C36"/>
    <w:rsid w:val="00EA3D1C"/>
    <w:rsid w:val="00EA3EC0"/>
    <w:rsid w:val="00EA3FD8"/>
    <w:rsid w:val="00EA3FF0"/>
    <w:rsid w:val="00EA439B"/>
    <w:rsid w:val="00EA4AA4"/>
    <w:rsid w:val="00EA4BCC"/>
    <w:rsid w:val="00EA4CEE"/>
    <w:rsid w:val="00EA4DB2"/>
    <w:rsid w:val="00EA557A"/>
    <w:rsid w:val="00EA57D1"/>
    <w:rsid w:val="00EA59CD"/>
    <w:rsid w:val="00EA5C27"/>
    <w:rsid w:val="00EA5F1E"/>
    <w:rsid w:val="00EA6344"/>
    <w:rsid w:val="00EA6474"/>
    <w:rsid w:val="00EA6489"/>
    <w:rsid w:val="00EA6789"/>
    <w:rsid w:val="00EA6BC3"/>
    <w:rsid w:val="00EA6BD6"/>
    <w:rsid w:val="00EA6BD9"/>
    <w:rsid w:val="00EA6F45"/>
    <w:rsid w:val="00EA6FA2"/>
    <w:rsid w:val="00EA7055"/>
    <w:rsid w:val="00EA70EC"/>
    <w:rsid w:val="00EA7878"/>
    <w:rsid w:val="00EA7B9D"/>
    <w:rsid w:val="00EA7F17"/>
    <w:rsid w:val="00EB077F"/>
    <w:rsid w:val="00EB0C03"/>
    <w:rsid w:val="00EB0DE1"/>
    <w:rsid w:val="00EB0F6F"/>
    <w:rsid w:val="00EB1726"/>
    <w:rsid w:val="00EB2184"/>
    <w:rsid w:val="00EB22BE"/>
    <w:rsid w:val="00EB2431"/>
    <w:rsid w:val="00EB26C2"/>
    <w:rsid w:val="00EB2C94"/>
    <w:rsid w:val="00EB3428"/>
    <w:rsid w:val="00EB3484"/>
    <w:rsid w:val="00EB3A2F"/>
    <w:rsid w:val="00EB3F9D"/>
    <w:rsid w:val="00EB4306"/>
    <w:rsid w:val="00EB450C"/>
    <w:rsid w:val="00EB4584"/>
    <w:rsid w:val="00EB4705"/>
    <w:rsid w:val="00EB48DD"/>
    <w:rsid w:val="00EB4948"/>
    <w:rsid w:val="00EB5950"/>
    <w:rsid w:val="00EB5BAE"/>
    <w:rsid w:val="00EB5BEE"/>
    <w:rsid w:val="00EB5CB1"/>
    <w:rsid w:val="00EB5D4E"/>
    <w:rsid w:val="00EB5DC6"/>
    <w:rsid w:val="00EB5E7B"/>
    <w:rsid w:val="00EB60C2"/>
    <w:rsid w:val="00EB6290"/>
    <w:rsid w:val="00EB637C"/>
    <w:rsid w:val="00EB63AD"/>
    <w:rsid w:val="00EB6BB7"/>
    <w:rsid w:val="00EB6BCD"/>
    <w:rsid w:val="00EB6BD0"/>
    <w:rsid w:val="00EB6BE0"/>
    <w:rsid w:val="00EB6D9E"/>
    <w:rsid w:val="00EB756B"/>
    <w:rsid w:val="00EB7670"/>
    <w:rsid w:val="00EB76F9"/>
    <w:rsid w:val="00EB771E"/>
    <w:rsid w:val="00EB7D18"/>
    <w:rsid w:val="00EC0171"/>
    <w:rsid w:val="00EC0208"/>
    <w:rsid w:val="00EC0482"/>
    <w:rsid w:val="00EC0A65"/>
    <w:rsid w:val="00EC0ACB"/>
    <w:rsid w:val="00EC0C3D"/>
    <w:rsid w:val="00EC0ED3"/>
    <w:rsid w:val="00EC136F"/>
    <w:rsid w:val="00EC16FB"/>
    <w:rsid w:val="00EC1858"/>
    <w:rsid w:val="00EC1E71"/>
    <w:rsid w:val="00EC29E4"/>
    <w:rsid w:val="00EC2A06"/>
    <w:rsid w:val="00EC2E01"/>
    <w:rsid w:val="00EC2F15"/>
    <w:rsid w:val="00EC3279"/>
    <w:rsid w:val="00EC360D"/>
    <w:rsid w:val="00EC36F0"/>
    <w:rsid w:val="00EC3E22"/>
    <w:rsid w:val="00EC40EF"/>
    <w:rsid w:val="00EC43D9"/>
    <w:rsid w:val="00EC5BA5"/>
    <w:rsid w:val="00EC5D00"/>
    <w:rsid w:val="00EC61C0"/>
    <w:rsid w:val="00EC62CD"/>
    <w:rsid w:val="00EC640B"/>
    <w:rsid w:val="00EC6676"/>
    <w:rsid w:val="00EC6710"/>
    <w:rsid w:val="00EC72C9"/>
    <w:rsid w:val="00EC747E"/>
    <w:rsid w:val="00EC74EA"/>
    <w:rsid w:val="00ED00E3"/>
    <w:rsid w:val="00ED0184"/>
    <w:rsid w:val="00ED0908"/>
    <w:rsid w:val="00ED0AA7"/>
    <w:rsid w:val="00ED0B84"/>
    <w:rsid w:val="00ED0DA5"/>
    <w:rsid w:val="00ED0EC8"/>
    <w:rsid w:val="00ED101E"/>
    <w:rsid w:val="00ED1D48"/>
    <w:rsid w:val="00ED1DFA"/>
    <w:rsid w:val="00ED1FDB"/>
    <w:rsid w:val="00ED2557"/>
    <w:rsid w:val="00ED2BAD"/>
    <w:rsid w:val="00ED2F0F"/>
    <w:rsid w:val="00ED30C1"/>
    <w:rsid w:val="00ED32D6"/>
    <w:rsid w:val="00ED3350"/>
    <w:rsid w:val="00ED3ACA"/>
    <w:rsid w:val="00ED3F75"/>
    <w:rsid w:val="00ED4983"/>
    <w:rsid w:val="00ED4D68"/>
    <w:rsid w:val="00ED53F7"/>
    <w:rsid w:val="00ED5666"/>
    <w:rsid w:val="00ED5AC8"/>
    <w:rsid w:val="00ED5B4F"/>
    <w:rsid w:val="00ED64F9"/>
    <w:rsid w:val="00ED68B6"/>
    <w:rsid w:val="00ED703C"/>
    <w:rsid w:val="00ED7216"/>
    <w:rsid w:val="00ED75D9"/>
    <w:rsid w:val="00ED7727"/>
    <w:rsid w:val="00ED7D6A"/>
    <w:rsid w:val="00ED7F9D"/>
    <w:rsid w:val="00EE02A1"/>
    <w:rsid w:val="00EE0401"/>
    <w:rsid w:val="00EE0493"/>
    <w:rsid w:val="00EE07B9"/>
    <w:rsid w:val="00EE0F10"/>
    <w:rsid w:val="00EE0FEE"/>
    <w:rsid w:val="00EE157C"/>
    <w:rsid w:val="00EE17BF"/>
    <w:rsid w:val="00EE1B70"/>
    <w:rsid w:val="00EE1F3E"/>
    <w:rsid w:val="00EE2587"/>
    <w:rsid w:val="00EE2ABB"/>
    <w:rsid w:val="00EE2AD6"/>
    <w:rsid w:val="00EE2BAD"/>
    <w:rsid w:val="00EE2D5E"/>
    <w:rsid w:val="00EE317C"/>
    <w:rsid w:val="00EE33D5"/>
    <w:rsid w:val="00EE3473"/>
    <w:rsid w:val="00EE3F0D"/>
    <w:rsid w:val="00EE4576"/>
    <w:rsid w:val="00EE45A8"/>
    <w:rsid w:val="00EE4655"/>
    <w:rsid w:val="00EE4B01"/>
    <w:rsid w:val="00EE4B72"/>
    <w:rsid w:val="00EE4D57"/>
    <w:rsid w:val="00EE4DFF"/>
    <w:rsid w:val="00EE5637"/>
    <w:rsid w:val="00EE59B9"/>
    <w:rsid w:val="00EE5DC7"/>
    <w:rsid w:val="00EE64EF"/>
    <w:rsid w:val="00EE696C"/>
    <w:rsid w:val="00EE6A86"/>
    <w:rsid w:val="00EE6F14"/>
    <w:rsid w:val="00EE6FB6"/>
    <w:rsid w:val="00EE7190"/>
    <w:rsid w:val="00EE73FA"/>
    <w:rsid w:val="00EE7569"/>
    <w:rsid w:val="00EE7BB2"/>
    <w:rsid w:val="00EE7BC5"/>
    <w:rsid w:val="00EE7BFB"/>
    <w:rsid w:val="00EE7C3B"/>
    <w:rsid w:val="00EE7C7C"/>
    <w:rsid w:val="00EF00A5"/>
    <w:rsid w:val="00EF058E"/>
    <w:rsid w:val="00EF0B01"/>
    <w:rsid w:val="00EF0F1C"/>
    <w:rsid w:val="00EF0FE8"/>
    <w:rsid w:val="00EF1041"/>
    <w:rsid w:val="00EF1C23"/>
    <w:rsid w:val="00EF1E75"/>
    <w:rsid w:val="00EF20B9"/>
    <w:rsid w:val="00EF25FF"/>
    <w:rsid w:val="00EF27E8"/>
    <w:rsid w:val="00EF28A2"/>
    <w:rsid w:val="00EF2988"/>
    <w:rsid w:val="00EF2A89"/>
    <w:rsid w:val="00EF2B43"/>
    <w:rsid w:val="00EF2D6B"/>
    <w:rsid w:val="00EF31D0"/>
    <w:rsid w:val="00EF3314"/>
    <w:rsid w:val="00EF37E6"/>
    <w:rsid w:val="00EF3EA7"/>
    <w:rsid w:val="00EF3F23"/>
    <w:rsid w:val="00EF3FA2"/>
    <w:rsid w:val="00EF49EC"/>
    <w:rsid w:val="00EF4C22"/>
    <w:rsid w:val="00EF4E52"/>
    <w:rsid w:val="00EF4F14"/>
    <w:rsid w:val="00EF5814"/>
    <w:rsid w:val="00EF62AA"/>
    <w:rsid w:val="00EF6AD0"/>
    <w:rsid w:val="00EF6B0F"/>
    <w:rsid w:val="00EF6C20"/>
    <w:rsid w:val="00EF6E25"/>
    <w:rsid w:val="00EF712F"/>
    <w:rsid w:val="00EF7E3F"/>
    <w:rsid w:val="00F007B0"/>
    <w:rsid w:val="00F007E8"/>
    <w:rsid w:val="00F00D51"/>
    <w:rsid w:val="00F017B9"/>
    <w:rsid w:val="00F01F60"/>
    <w:rsid w:val="00F021C4"/>
    <w:rsid w:val="00F02467"/>
    <w:rsid w:val="00F029B2"/>
    <w:rsid w:val="00F02FE3"/>
    <w:rsid w:val="00F0328D"/>
    <w:rsid w:val="00F04504"/>
    <w:rsid w:val="00F04A7B"/>
    <w:rsid w:val="00F04BB4"/>
    <w:rsid w:val="00F04C38"/>
    <w:rsid w:val="00F04EA7"/>
    <w:rsid w:val="00F04F1D"/>
    <w:rsid w:val="00F052CC"/>
    <w:rsid w:val="00F058AB"/>
    <w:rsid w:val="00F06741"/>
    <w:rsid w:val="00F067B9"/>
    <w:rsid w:val="00F06888"/>
    <w:rsid w:val="00F06AA1"/>
    <w:rsid w:val="00F07877"/>
    <w:rsid w:val="00F1039B"/>
    <w:rsid w:val="00F1066C"/>
    <w:rsid w:val="00F10A6E"/>
    <w:rsid w:val="00F10AA3"/>
    <w:rsid w:val="00F10CED"/>
    <w:rsid w:val="00F10F1B"/>
    <w:rsid w:val="00F11006"/>
    <w:rsid w:val="00F1119A"/>
    <w:rsid w:val="00F11373"/>
    <w:rsid w:val="00F11472"/>
    <w:rsid w:val="00F117AC"/>
    <w:rsid w:val="00F11FE9"/>
    <w:rsid w:val="00F12073"/>
    <w:rsid w:val="00F13366"/>
    <w:rsid w:val="00F13977"/>
    <w:rsid w:val="00F13CDF"/>
    <w:rsid w:val="00F13F6F"/>
    <w:rsid w:val="00F140C2"/>
    <w:rsid w:val="00F143EB"/>
    <w:rsid w:val="00F14A34"/>
    <w:rsid w:val="00F14C3F"/>
    <w:rsid w:val="00F14F78"/>
    <w:rsid w:val="00F159B8"/>
    <w:rsid w:val="00F15A07"/>
    <w:rsid w:val="00F15BEB"/>
    <w:rsid w:val="00F15CEE"/>
    <w:rsid w:val="00F162D4"/>
    <w:rsid w:val="00F16A71"/>
    <w:rsid w:val="00F16B20"/>
    <w:rsid w:val="00F16B3C"/>
    <w:rsid w:val="00F16F32"/>
    <w:rsid w:val="00F172EF"/>
    <w:rsid w:val="00F173EF"/>
    <w:rsid w:val="00F17679"/>
    <w:rsid w:val="00F2049E"/>
    <w:rsid w:val="00F2058B"/>
    <w:rsid w:val="00F2088C"/>
    <w:rsid w:val="00F20AA3"/>
    <w:rsid w:val="00F20CFE"/>
    <w:rsid w:val="00F21090"/>
    <w:rsid w:val="00F21A63"/>
    <w:rsid w:val="00F21D25"/>
    <w:rsid w:val="00F22472"/>
    <w:rsid w:val="00F22489"/>
    <w:rsid w:val="00F22AE5"/>
    <w:rsid w:val="00F231AB"/>
    <w:rsid w:val="00F23385"/>
    <w:rsid w:val="00F23B4C"/>
    <w:rsid w:val="00F24342"/>
    <w:rsid w:val="00F249AF"/>
    <w:rsid w:val="00F24F2A"/>
    <w:rsid w:val="00F24F89"/>
    <w:rsid w:val="00F251CB"/>
    <w:rsid w:val="00F255FF"/>
    <w:rsid w:val="00F2583B"/>
    <w:rsid w:val="00F259EE"/>
    <w:rsid w:val="00F25AE6"/>
    <w:rsid w:val="00F25BD3"/>
    <w:rsid w:val="00F26079"/>
    <w:rsid w:val="00F264F5"/>
    <w:rsid w:val="00F269C6"/>
    <w:rsid w:val="00F26A9B"/>
    <w:rsid w:val="00F26B9D"/>
    <w:rsid w:val="00F26FF8"/>
    <w:rsid w:val="00F273EC"/>
    <w:rsid w:val="00F27A10"/>
    <w:rsid w:val="00F306FE"/>
    <w:rsid w:val="00F30E8E"/>
    <w:rsid w:val="00F30F67"/>
    <w:rsid w:val="00F31213"/>
    <w:rsid w:val="00F312E6"/>
    <w:rsid w:val="00F315F8"/>
    <w:rsid w:val="00F3193C"/>
    <w:rsid w:val="00F31A54"/>
    <w:rsid w:val="00F31B83"/>
    <w:rsid w:val="00F3209B"/>
    <w:rsid w:val="00F3214C"/>
    <w:rsid w:val="00F32814"/>
    <w:rsid w:val="00F328E2"/>
    <w:rsid w:val="00F329FF"/>
    <w:rsid w:val="00F32BC5"/>
    <w:rsid w:val="00F32E1E"/>
    <w:rsid w:val="00F32F70"/>
    <w:rsid w:val="00F32FEF"/>
    <w:rsid w:val="00F331FA"/>
    <w:rsid w:val="00F33262"/>
    <w:rsid w:val="00F3334D"/>
    <w:rsid w:val="00F333B8"/>
    <w:rsid w:val="00F334BB"/>
    <w:rsid w:val="00F33660"/>
    <w:rsid w:val="00F3366F"/>
    <w:rsid w:val="00F338E5"/>
    <w:rsid w:val="00F33A83"/>
    <w:rsid w:val="00F33B10"/>
    <w:rsid w:val="00F33F8D"/>
    <w:rsid w:val="00F341BE"/>
    <w:rsid w:val="00F341ED"/>
    <w:rsid w:val="00F342EF"/>
    <w:rsid w:val="00F347CD"/>
    <w:rsid w:val="00F34B3B"/>
    <w:rsid w:val="00F34E78"/>
    <w:rsid w:val="00F34FF0"/>
    <w:rsid w:val="00F35008"/>
    <w:rsid w:val="00F354FB"/>
    <w:rsid w:val="00F358E1"/>
    <w:rsid w:val="00F36018"/>
    <w:rsid w:val="00F36098"/>
    <w:rsid w:val="00F379DC"/>
    <w:rsid w:val="00F37CB6"/>
    <w:rsid w:val="00F37DFF"/>
    <w:rsid w:val="00F37EEE"/>
    <w:rsid w:val="00F37F65"/>
    <w:rsid w:val="00F37F67"/>
    <w:rsid w:val="00F4001B"/>
    <w:rsid w:val="00F40057"/>
    <w:rsid w:val="00F4010B"/>
    <w:rsid w:val="00F40E00"/>
    <w:rsid w:val="00F411EA"/>
    <w:rsid w:val="00F412BB"/>
    <w:rsid w:val="00F41679"/>
    <w:rsid w:val="00F42464"/>
    <w:rsid w:val="00F4258B"/>
    <w:rsid w:val="00F42783"/>
    <w:rsid w:val="00F427E1"/>
    <w:rsid w:val="00F42E30"/>
    <w:rsid w:val="00F4315D"/>
    <w:rsid w:val="00F43232"/>
    <w:rsid w:val="00F434D3"/>
    <w:rsid w:val="00F4399E"/>
    <w:rsid w:val="00F43CA1"/>
    <w:rsid w:val="00F44152"/>
    <w:rsid w:val="00F44717"/>
    <w:rsid w:val="00F4478F"/>
    <w:rsid w:val="00F4488B"/>
    <w:rsid w:val="00F450DD"/>
    <w:rsid w:val="00F45352"/>
    <w:rsid w:val="00F45526"/>
    <w:rsid w:val="00F455AF"/>
    <w:rsid w:val="00F45649"/>
    <w:rsid w:val="00F46355"/>
    <w:rsid w:val="00F46C28"/>
    <w:rsid w:val="00F46CAB"/>
    <w:rsid w:val="00F46E42"/>
    <w:rsid w:val="00F46ECC"/>
    <w:rsid w:val="00F4702C"/>
    <w:rsid w:val="00F4712E"/>
    <w:rsid w:val="00F473C7"/>
    <w:rsid w:val="00F47B18"/>
    <w:rsid w:val="00F47BF6"/>
    <w:rsid w:val="00F504C8"/>
    <w:rsid w:val="00F505B8"/>
    <w:rsid w:val="00F50926"/>
    <w:rsid w:val="00F50DD1"/>
    <w:rsid w:val="00F50E56"/>
    <w:rsid w:val="00F51A3B"/>
    <w:rsid w:val="00F51DEC"/>
    <w:rsid w:val="00F51F4C"/>
    <w:rsid w:val="00F52214"/>
    <w:rsid w:val="00F52D7F"/>
    <w:rsid w:val="00F531F1"/>
    <w:rsid w:val="00F53630"/>
    <w:rsid w:val="00F5385A"/>
    <w:rsid w:val="00F538D4"/>
    <w:rsid w:val="00F5399B"/>
    <w:rsid w:val="00F53A7E"/>
    <w:rsid w:val="00F53C0E"/>
    <w:rsid w:val="00F53DF1"/>
    <w:rsid w:val="00F53E63"/>
    <w:rsid w:val="00F53E83"/>
    <w:rsid w:val="00F53EFE"/>
    <w:rsid w:val="00F54861"/>
    <w:rsid w:val="00F54A2E"/>
    <w:rsid w:val="00F54C04"/>
    <w:rsid w:val="00F54E61"/>
    <w:rsid w:val="00F550D2"/>
    <w:rsid w:val="00F55A7A"/>
    <w:rsid w:val="00F55C06"/>
    <w:rsid w:val="00F56127"/>
    <w:rsid w:val="00F562C0"/>
    <w:rsid w:val="00F56317"/>
    <w:rsid w:val="00F564E4"/>
    <w:rsid w:val="00F566D7"/>
    <w:rsid w:val="00F567DE"/>
    <w:rsid w:val="00F56BBA"/>
    <w:rsid w:val="00F56EBA"/>
    <w:rsid w:val="00F56F42"/>
    <w:rsid w:val="00F570BA"/>
    <w:rsid w:val="00F576BE"/>
    <w:rsid w:val="00F600E2"/>
    <w:rsid w:val="00F604C3"/>
    <w:rsid w:val="00F605E0"/>
    <w:rsid w:val="00F60BA2"/>
    <w:rsid w:val="00F60BAA"/>
    <w:rsid w:val="00F6141C"/>
    <w:rsid w:val="00F61648"/>
    <w:rsid w:val="00F61A46"/>
    <w:rsid w:val="00F61E6A"/>
    <w:rsid w:val="00F6224E"/>
    <w:rsid w:val="00F623A4"/>
    <w:rsid w:val="00F6297D"/>
    <w:rsid w:val="00F62A99"/>
    <w:rsid w:val="00F6308A"/>
    <w:rsid w:val="00F63181"/>
    <w:rsid w:val="00F631CF"/>
    <w:rsid w:val="00F634F6"/>
    <w:rsid w:val="00F63B99"/>
    <w:rsid w:val="00F63BCC"/>
    <w:rsid w:val="00F640BF"/>
    <w:rsid w:val="00F64735"/>
    <w:rsid w:val="00F648A8"/>
    <w:rsid w:val="00F650E7"/>
    <w:rsid w:val="00F655AC"/>
    <w:rsid w:val="00F65F61"/>
    <w:rsid w:val="00F6665A"/>
    <w:rsid w:val="00F66686"/>
    <w:rsid w:val="00F66F17"/>
    <w:rsid w:val="00F67023"/>
    <w:rsid w:val="00F671D1"/>
    <w:rsid w:val="00F67850"/>
    <w:rsid w:val="00F70355"/>
    <w:rsid w:val="00F70458"/>
    <w:rsid w:val="00F70C59"/>
    <w:rsid w:val="00F70DB4"/>
    <w:rsid w:val="00F7128B"/>
    <w:rsid w:val="00F71517"/>
    <w:rsid w:val="00F7156D"/>
    <w:rsid w:val="00F71C04"/>
    <w:rsid w:val="00F71EF7"/>
    <w:rsid w:val="00F72093"/>
    <w:rsid w:val="00F72196"/>
    <w:rsid w:val="00F7324F"/>
    <w:rsid w:val="00F732DC"/>
    <w:rsid w:val="00F73D77"/>
    <w:rsid w:val="00F743A8"/>
    <w:rsid w:val="00F74878"/>
    <w:rsid w:val="00F74C24"/>
    <w:rsid w:val="00F751A0"/>
    <w:rsid w:val="00F753DA"/>
    <w:rsid w:val="00F7577C"/>
    <w:rsid w:val="00F75E8C"/>
    <w:rsid w:val="00F75F74"/>
    <w:rsid w:val="00F761B8"/>
    <w:rsid w:val="00F76218"/>
    <w:rsid w:val="00F76277"/>
    <w:rsid w:val="00F76645"/>
    <w:rsid w:val="00F768FB"/>
    <w:rsid w:val="00F76921"/>
    <w:rsid w:val="00F76CE7"/>
    <w:rsid w:val="00F77694"/>
    <w:rsid w:val="00F77B4D"/>
    <w:rsid w:val="00F802EF"/>
    <w:rsid w:val="00F8053A"/>
    <w:rsid w:val="00F807B0"/>
    <w:rsid w:val="00F809B0"/>
    <w:rsid w:val="00F80F76"/>
    <w:rsid w:val="00F81127"/>
    <w:rsid w:val="00F816BD"/>
    <w:rsid w:val="00F81A17"/>
    <w:rsid w:val="00F81CF7"/>
    <w:rsid w:val="00F81FFF"/>
    <w:rsid w:val="00F826D2"/>
    <w:rsid w:val="00F826ED"/>
    <w:rsid w:val="00F82A91"/>
    <w:rsid w:val="00F82CCE"/>
    <w:rsid w:val="00F82DF9"/>
    <w:rsid w:val="00F82F80"/>
    <w:rsid w:val="00F832C2"/>
    <w:rsid w:val="00F83346"/>
    <w:rsid w:val="00F833D6"/>
    <w:rsid w:val="00F8359B"/>
    <w:rsid w:val="00F836DA"/>
    <w:rsid w:val="00F8398A"/>
    <w:rsid w:val="00F83A93"/>
    <w:rsid w:val="00F83BC1"/>
    <w:rsid w:val="00F83C5C"/>
    <w:rsid w:val="00F83FA7"/>
    <w:rsid w:val="00F8429A"/>
    <w:rsid w:val="00F84332"/>
    <w:rsid w:val="00F84907"/>
    <w:rsid w:val="00F84FA0"/>
    <w:rsid w:val="00F851AB"/>
    <w:rsid w:val="00F853B0"/>
    <w:rsid w:val="00F85A97"/>
    <w:rsid w:val="00F85ADF"/>
    <w:rsid w:val="00F85DC2"/>
    <w:rsid w:val="00F85EAD"/>
    <w:rsid w:val="00F865B9"/>
    <w:rsid w:val="00F868DD"/>
    <w:rsid w:val="00F86A23"/>
    <w:rsid w:val="00F86A2E"/>
    <w:rsid w:val="00F86DA3"/>
    <w:rsid w:val="00F876FC"/>
    <w:rsid w:val="00F87A81"/>
    <w:rsid w:val="00F87B07"/>
    <w:rsid w:val="00F87FB8"/>
    <w:rsid w:val="00F904CD"/>
    <w:rsid w:val="00F90910"/>
    <w:rsid w:val="00F91644"/>
    <w:rsid w:val="00F917D6"/>
    <w:rsid w:val="00F9183E"/>
    <w:rsid w:val="00F918BD"/>
    <w:rsid w:val="00F91EAB"/>
    <w:rsid w:val="00F9231C"/>
    <w:rsid w:val="00F92581"/>
    <w:rsid w:val="00F92607"/>
    <w:rsid w:val="00F9267C"/>
    <w:rsid w:val="00F92825"/>
    <w:rsid w:val="00F929E6"/>
    <w:rsid w:val="00F92C48"/>
    <w:rsid w:val="00F931C0"/>
    <w:rsid w:val="00F93683"/>
    <w:rsid w:val="00F93A9D"/>
    <w:rsid w:val="00F93C1B"/>
    <w:rsid w:val="00F93C6C"/>
    <w:rsid w:val="00F93D1C"/>
    <w:rsid w:val="00F94029"/>
    <w:rsid w:val="00F946CD"/>
    <w:rsid w:val="00F94880"/>
    <w:rsid w:val="00F948EE"/>
    <w:rsid w:val="00F94C2F"/>
    <w:rsid w:val="00F94D8C"/>
    <w:rsid w:val="00F95154"/>
    <w:rsid w:val="00F952F2"/>
    <w:rsid w:val="00F95491"/>
    <w:rsid w:val="00F95690"/>
    <w:rsid w:val="00F95926"/>
    <w:rsid w:val="00F95F5A"/>
    <w:rsid w:val="00F960A8"/>
    <w:rsid w:val="00F9664A"/>
    <w:rsid w:val="00F96934"/>
    <w:rsid w:val="00F969FC"/>
    <w:rsid w:val="00F9754B"/>
    <w:rsid w:val="00F9792F"/>
    <w:rsid w:val="00F97BDC"/>
    <w:rsid w:val="00F97BFA"/>
    <w:rsid w:val="00F97ED4"/>
    <w:rsid w:val="00FA0095"/>
    <w:rsid w:val="00FA0510"/>
    <w:rsid w:val="00FA0849"/>
    <w:rsid w:val="00FA084C"/>
    <w:rsid w:val="00FA08CE"/>
    <w:rsid w:val="00FA0C8B"/>
    <w:rsid w:val="00FA0F76"/>
    <w:rsid w:val="00FA1695"/>
    <w:rsid w:val="00FA1787"/>
    <w:rsid w:val="00FA19C2"/>
    <w:rsid w:val="00FA20BA"/>
    <w:rsid w:val="00FA22FB"/>
    <w:rsid w:val="00FA232E"/>
    <w:rsid w:val="00FA24E5"/>
    <w:rsid w:val="00FA27DE"/>
    <w:rsid w:val="00FA27E6"/>
    <w:rsid w:val="00FA28EB"/>
    <w:rsid w:val="00FA2DE8"/>
    <w:rsid w:val="00FA3264"/>
    <w:rsid w:val="00FA33D2"/>
    <w:rsid w:val="00FA34DC"/>
    <w:rsid w:val="00FA3B0B"/>
    <w:rsid w:val="00FA3BC2"/>
    <w:rsid w:val="00FA3E92"/>
    <w:rsid w:val="00FA3F75"/>
    <w:rsid w:val="00FA4319"/>
    <w:rsid w:val="00FA4646"/>
    <w:rsid w:val="00FA4A29"/>
    <w:rsid w:val="00FA4CD4"/>
    <w:rsid w:val="00FA514F"/>
    <w:rsid w:val="00FA51F4"/>
    <w:rsid w:val="00FA547F"/>
    <w:rsid w:val="00FA54AA"/>
    <w:rsid w:val="00FA54B3"/>
    <w:rsid w:val="00FA5CDF"/>
    <w:rsid w:val="00FA5F9C"/>
    <w:rsid w:val="00FA6405"/>
    <w:rsid w:val="00FA67D7"/>
    <w:rsid w:val="00FA6CD4"/>
    <w:rsid w:val="00FA7121"/>
    <w:rsid w:val="00FA762F"/>
    <w:rsid w:val="00FA7B37"/>
    <w:rsid w:val="00FA7BA4"/>
    <w:rsid w:val="00FA7D12"/>
    <w:rsid w:val="00FA7D69"/>
    <w:rsid w:val="00FB005D"/>
    <w:rsid w:val="00FB016C"/>
    <w:rsid w:val="00FB03F9"/>
    <w:rsid w:val="00FB064B"/>
    <w:rsid w:val="00FB07BB"/>
    <w:rsid w:val="00FB0E53"/>
    <w:rsid w:val="00FB126E"/>
    <w:rsid w:val="00FB149A"/>
    <w:rsid w:val="00FB203E"/>
    <w:rsid w:val="00FB2312"/>
    <w:rsid w:val="00FB26F2"/>
    <w:rsid w:val="00FB2AB0"/>
    <w:rsid w:val="00FB310A"/>
    <w:rsid w:val="00FB31CD"/>
    <w:rsid w:val="00FB3A09"/>
    <w:rsid w:val="00FB3F0F"/>
    <w:rsid w:val="00FB40BC"/>
    <w:rsid w:val="00FB425B"/>
    <w:rsid w:val="00FB4869"/>
    <w:rsid w:val="00FB4BCB"/>
    <w:rsid w:val="00FB4E93"/>
    <w:rsid w:val="00FB4F5E"/>
    <w:rsid w:val="00FB50D0"/>
    <w:rsid w:val="00FB5803"/>
    <w:rsid w:val="00FB5805"/>
    <w:rsid w:val="00FB5C93"/>
    <w:rsid w:val="00FB5CA9"/>
    <w:rsid w:val="00FB6163"/>
    <w:rsid w:val="00FB6539"/>
    <w:rsid w:val="00FB69AD"/>
    <w:rsid w:val="00FB6AAF"/>
    <w:rsid w:val="00FB712B"/>
    <w:rsid w:val="00FB717C"/>
    <w:rsid w:val="00FB735D"/>
    <w:rsid w:val="00FB7C49"/>
    <w:rsid w:val="00FB7D10"/>
    <w:rsid w:val="00FC017E"/>
    <w:rsid w:val="00FC0349"/>
    <w:rsid w:val="00FC0419"/>
    <w:rsid w:val="00FC07B4"/>
    <w:rsid w:val="00FC081C"/>
    <w:rsid w:val="00FC096C"/>
    <w:rsid w:val="00FC0B6B"/>
    <w:rsid w:val="00FC10C0"/>
    <w:rsid w:val="00FC1378"/>
    <w:rsid w:val="00FC1402"/>
    <w:rsid w:val="00FC1403"/>
    <w:rsid w:val="00FC1A67"/>
    <w:rsid w:val="00FC1F4D"/>
    <w:rsid w:val="00FC25E7"/>
    <w:rsid w:val="00FC2D8B"/>
    <w:rsid w:val="00FC33FF"/>
    <w:rsid w:val="00FC34B2"/>
    <w:rsid w:val="00FC3984"/>
    <w:rsid w:val="00FC3A98"/>
    <w:rsid w:val="00FC3C8E"/>
    <w:rsid w:val="00FC4450"/>
    <w:rsid w:val="00FC44FA"/>
    <w:rsid w:val="00FC4B62"/>
    <w:rsid w:val="00FC54FA"/>
    <w:rsid w:val="00FC56C8"/>
    <w:rsid w:val="00FC5797"/>
    <w:rsid w:val="00FC5C2D"/>
    <w:rsid w:val="00FC5D75"/>
    <w:rsid w:val="00FC6084"/>
    <w:rsid w:val="00FC6202"/>
    <w:rsid w:val="00FC62AD"/>
    <w:rsid w:val="00FC637F"/>
    <w:rsid w:val="00FC6411"/>
    <w:rsid w:val="00FC6B80"/>
    <w:rsid w:val="00FC717E"/>
    <w:rsid w:val="00FC74BC"/>
    <w:rsid w:val="00FC7762"/>
    <w:rsid w:val="00FC7864"/>
    <w:rsid w:val="00FC7BDD"/>
    <w:rsid w:val="00FC7D34"/>
    <w:rsid w:val="00FD005D"/>
    <w:rsid w:val="00FD0117"/>
    <w:rsid w:val="00FD015D"/>
    <w:rsid w:val="00FD02E8"/>
    <w:rsid w:val="00FD0439"/>
    <w:rsid w:val="00FD0574"/>
    <w:rsid w:val="00FD0E0B"/>
    <w:rsid w:val="00FD0E5F"/>
    <w:rsid w:val="00FD111F"/>
    <w:rsid w:val="00FD126A"/>
    <w:rsid w:val="00FD1EE0"/>
    <w:rsid w:val="00FD2142"/>
    <w:rsid w:val="00FD2934"/>
    <w:rsid w:val="00FD2D97"/>
    <w:rsid w:val="00FD3057"/>
    <w:rsid w:val="00FD31D1"/>
    <w:rsid w:val="00FD3306"/>
    <w:rsid w:val="00FD36B1"/>
    <w:rsid w:val="00FD36FA"/>
    <w:rsid w:val="00FD38E7"/>
    <w:rsid w:val="00FD3919"/>
    <w:rsid w:val="00FD3E5F"/>
    <w:rsid w:val="00FD3EAD"/>
    <w:rsid w:val="00FD3FE4"/>
    <w:rsid w:val="00FD4182"/>
    <w:rsid w:val="00FD4561"/>
    <w:rsid w:val="00FD45D1"/>
    <w:rsid w:val="00FD4B06"/>
    <w:rsid w:val="00FD4D46"/>
    <w:rsid w:val="00FD58AA"/>
    <w:rsid w:val="00FD5B79"/>
    <w:rsid w:val="00FD5BDF"/>
    <w:rsid w:val="00FD5D04"/>
    <w:rsid w:val="00FD5E3D"/>
    <w:rsid w:val="00FD5EE5"/>
    <w:rsid w:val="00FD67D3"/>
    <w:rsid w:val="00FD687B"/>
    <w:rsid w:val="00FD68B0"/>
    <w:rsid w:val="00FD6A6A"/>
    <w:rsid w:val="00FD70B0"/>
    <w:rsid w:val="00FD72F1"/>
    <w:rsid w:val="00FD74E2"/>
    <w:rsid w:val="00FD750A"/>
    <w:rsid w:val="00FD756C"/>
    <w:rsid w:val="00FD77DB"/>
    <w:rsid w:val="00FD7981"/>
    <w:rsid w:val="00FD7BCB"/>
    <w:rsid w:val="00FE0082"/>
    <w:rsid w:val="00FE05C6"/>
    <w:rsid w:val="00FE10FB"/>
    <w:rsid w:val="00FE1486"/>
    <w:rsid w:val="00FE1C7B"/>
    <w:rsid w:val="00FE1C8B"/>
    <w:rsid w:val="00FE1DAD"/>
    <w:rsid w:val="00FE2839"/>
    <w:rsid w:val="00FE2F28"/>
    <w:rsid w:val="00FE30B3"/>
    <w:rsid w:val="00FE3A1F"/>
    <w:rsid w:val="00FE3A4B"/>
    <w:rsid w:val="00FE40BC"/>
    <w:rsid w:val="00FE456F"/>
    <w:rsid w:val="00FE488C"/>
    <w:rsid w:val="00FE4F0E"/>
    <w:rsid w:val="00FE53D6"/>
    <w:rsid w:val="00FE5429"/>
    <w:rsid w:val="00FE56A0"/>
    <w:rsid w:val="00FE59FD"/>
    <w:rsid w:val="00FE5F26"/>
    <w:rsid w:val="00FE605C"/>
    <w:rsid w:val="00FE69CB"/>
    <w:rsid w:val="00FE6A24"/>
    <w:rsid w:val="00FE6D06"/>
    <w:rsid w:val="00FE6DDA"/>
    <w:rsid w:val="00FE6F00"/>
    <w:rsid w:val="00FE752E"/>
    <w:rsid w:val="00FE75F9"/>
    <w:rsid w:val="00FE7CE1"/>
    <w:rsid w:val="00FE7D86"/>
    <w:rsid w:val="00FE7F98"/>
    <w:rsid w:val="00FF02E6"/>
    <w:rsid w:val="00FF058D"/>
    <w:rsid w:val="00FF11E8"/>
    <w:rsid w:val="00FF135C"/>
    <w:rsid w:val="00FF16BB"/>
    <w:rsid w:val="00FF1743"/>
    <w:rsid w:val="00FF1850"/>
    <w:rsid w:val="00FF18EF"/>
    <w:rsid w:val="00FF1A07"/>
    <w:rsid w:val="00FF1D03"/>
    <w:rsid w:val="00FF1EA0"/>
    <w:rsid w:val="00FF2450"/>
    <w:rsid w:val="00FF250A"/>
    <w:rsid w:val="00FF257C"/>
    <w:rsid w:val="00FF2737"/>
    <w:rsid w:val="00FF29CC"/>
    <w:rsid w:val="00FF2A9F"/>
    <w:rsid w:val="00FF2AB8"/>
    <w:rsid w:val="00FF2E7F"/>
    <w:rsid w:val="00FF306D"/>
    <w:rsid w:val="00FF3378"/>
    <w:rsid w:val="00FF34C7"/>
    <w:rsid w:val="00FF351B"/>
    <w:rsid w:val="00FF3639"/>
    <w:rsid w:val="00FF3798"/>
    <w:rsid w:val="00FF3FD4"/>
    <w:rsid w:val="00FF4249"/>
    <w:rsid w:val="00FF426C"/>
    <w:rsid w:val="00FF496A"/>
    <w:rsid w:val="00FF4A7C"/>
    <w:rsid w:val="00FF4ACB"/>
    <w:rsid w:val="00FF4D37"/>
    <w:rsid w:val="00FF4F8F"/>
    <w:rsid w:val="00FF5DE3"/>
    <w:rsid w:val="00FF6301"/>
    <w:rsid w:val="00FF667B"/>
    <w:rsid w:val="00FF671B"/>
    <w:rsid w:val="00FF6F88"/>
    <w:rsid w:val="00FF7570"/>
    <w:rsid w:val="00FF766D"/>
    <w:rsid w:val="00FF7A94"/>
    <w:rsid w:val="00FF7AE8"/>
    <w:rsid w:val="00FF7F76"/>
    <w:rsid w:val="0F6AC452"/>
    <w:rsid w:val="25AA2457"/>
    <w:rsid w:val="28F290DE"/>
    <w:rsid w:val="2AD8085B"/>
    <w:rsid w:val="47619431"/>
    <w:rsid w:val="526DCE1D"/>
    <w:rsid w:val="5663E7EB"/>
    <w:rsid w:val="5BAFE48F"/>
    <w:rsid w:val="5EB4D0EB"/>
    <w:rsid w:val="6C98E935"/>
    <w:rsid w:val="77E227A1"/>
    <w:rsid w:val="78C15F8A"/>
    <w:rsid w:val="7D6B7BA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C7C33"/>
  <w15:chartTrackingRefBased/>
  <w15:docId w15:val="{2741EFC7-4A36-4B9B-8E00-0AB909D7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iPriority="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0D8380" w:themeColor="background2"/>
        <w:left w:val="single" w:sz="4" w:space="26" w:color="0D8380" w:themeColor="background2"/>
        <w:bottom w:val="single" w:sz="4" w:space="26" w:color="0D8380" w:themeColor="background2"/>
        <w:right w:val="single" w:sz="4" w:space="26" w:color="0D8380" w:themeColor="background2"/>
      </w:pBdr>
      <w:shd w:val="clear" w:color="auto" w:fill="0D8380"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50402F"/>
    <w:pPr>
      <w:keepNext/>
      <w:keepLines/>
      <w:numPr>
        <w:ilvl w:val="2"/>
        <w:numId w:val="13"/>
      </w:numPr>
      <w:spacing w:before="480" w:line="340" w:lineRule="atLeast"/>
      <w:outlineLvl w:val="1"/>
    </w:pPr>
    <w:rPr>
      <w:rFonts w:asciiTheme="majorHAnsi" w:eastAsiaTheme="majorEastAsia" w:hAnsiTheme="majorHAnsi" w:cstheme="majorBidi"/>
      <w:color w:val="0D8380" w:themeColor="background2"/>
      <w:sz w:val="30"/>
      <w:szCs w:val="60"/>
    </w:rPr>
  </w:style>
  <w:style w:type="paragraph" w:styleId="Heading3">
    <w:name w:val="heading 3"/>
    <w:basedOn w:val="Normal"/>
    <w:next w:val="BodyText"/>
    <w:link w:val="Heading3Char"/>
    <w:uiPriority w:val="9"/>
    <w:qFormat/>
    <w:rsid w:val="0050402F"/>
    <w:pPr>
      <w:keepNext/>
      <w:keepLines/>
      <w:spacing w:before="240" w:line="300" w:lineRule="atLeast"/>
      <w:outlineLvl w:val="2"/>
    </w:pPr>
    <w:rPr>
      <w:rFonts w:asciiTheme="majorHAnsi" w:eastAsiaTheme="majorEastAsia" w:hAnsiTheme="majorHAnsi" w:cstheme="majorBidi"/>
      <w:color w:val="CB6027" w:themeColor="text2"/>
      <w:sz w:val="26"/>
      <w:szCs w:val="37"/>
    </w:rPr>
  </w:style>
  <w:style w:type="paragraph" w:styleId="Heading4">
    <w:name w:val="heading 4"/>
    <w:basedOn w:val="Normal"/>
    <w:next w:val="BodyText"/>
    <w:link w:val="Heading4Char"/>
    <w:uiPriority w:val="9"/>
    <w:qFormat/>
    <w:rsid w:val="006C202D"/>
    <w:pPr>
      <w:keepNext/>
      <w:keepLines/>
      <w:spacing w:before="240" w:line="264" w:lineRule="atLeast"/>
      <w:outlineLvl w:val="3"/>
    </w:pPr>
    <w:rPr>
      <w:rFonts w:asciiTheme="majorHAnsi" w:eastAsiaTheme="majorEastAsia" w:hAnsiTheme="majorHAnsi" w:cstheme="majorBidi"/>
      <w:iCs/>
      <w:color w:val="88593C" w:themeColor="accent1"/>
      <w:sz w:val="22"/>
      <w:szCs w:val="33"/>
    </w:rPr>
  </w:style>
  <w:style w:type="paragraph" w:styleId="Heading5">
    <w:name w:val="heading 5"/>
    <w:basedOn w:val="Normal"/>
    <w:next w:val="BodyText"/>
    <w:link w:val="Heading5Char"/>
    <w:uiPriority w:val="9"/>
    <w:qFormat/>
    <w:rsid w:val="006C202D"/>
    <w:pPr>
      <w:keepNext/>
      <w:keepLines/>
      <w:spacing w:line="264" w:lineRule="atLeast"/>
      <w:outlineLvl w:val="4"/>
    </w:pPr>
    <w:rPr>
      <w:rFonts w:eastAsiaTheme="majorEastAsia" w:cstheme="majorBidi"/>
      <w:b/>
      <w:color w:val="CB6027" w:themeColor="text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0D8380"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0D8380"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E3B282"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3D3021"/>
    <w:pPr>
      <w:numPr>
        <w:numId w:val="17"/>
      </w:numPr>
      <w:contextualSpacing/>
    </w:pPr>
  </w:style>
  <w:style w:type="paragraph" w:styleId="ListBullet2">
    <w:name w:val="List Bullet 2"/>
    <w:basedOn w:val="Normal"/>
    <w:uiPriority w:val="1"/>
    <w:qFormat/>
    <w:rsid w:val="00415A0E"/>
    <w:p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0D8380" w:themeFill="background2"/>
    </w:rPr>
  </w:style>
  <w:style w:type="paragraph" w:styleId="ListNumber2">
    <w:name w:val="List Number 2"/>
    <w:basedOn w:val="Normal"/>
    <w:uiPriority w:val="13"/>
    <w:semiHidden/>
    <w:qFormat/>
    <w:rsid w:val="00F83C5C"/>
    <w:pPr>
      <w:numPr>
        <w:ilvl w:val="1"/>
        <w:numId w:val="14"/>
      </w:numPr>
      <w:spacing w:before="60"/>
      <w:ind w:left="720" w:hanging="360"/>
      <w:contextualSpacing/>
    </w:pPr>
  </w:style>
  <w:style w:type="character" w:customStyle="1" w:styleId="Heading2Char">
    <w:name w:val="Heading 2 Char"/>
    <w:basedOn w:val="DefaultParagraphFont"/>
    <w:link w:val="Heading2"/>
    <w:uiPriority w:val="9"/>
    <w:rsid w:val="0050402F"/>
    <w:rPr>
      <w:rFonts w:asciiTheme="majorHAnsi" w:eastAsiaTheme="majorEastAsia" w:hAnsiTheme="majorHAnsi" w:cstheme="majorBidi"/>
      <w:color w:val="0D8380" w:themeColor="background2"/>
      <w:sz w:val="30"/>
      <w:szCs w:val="60"/>
    </w:rPr>
  </w:style>
  <w:style w:type="paragraph" w:styleId="ListParagraph">
    <w:name w:val="List Paragraph"/>
    <w:basedOn w:val="Normal"/>
    <w:uiPriority w:val="34"/>
    <w:qFormat/>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B6136F"/>
    <w:pPr>
      <w:tabs>
        <w:tab w:val="center" w:pos="4513"/>
        <w:tab w:val="right" w:pos="9026"/>
      </w:tabs>
      <w:spacing w:after="0" w:line="240" w:lineRule="auto"/>
      <w:contextualSpacing/>
    </w:pPr>
    <w:rPr>
      <w:rFonts w:asciiTheme="majorHAnsi" w:hAnsiTheme="majorHAnsi"/>
      <w:color w:val="88593C" w:themeColor="accent1"/>
      <w:sz w:val="17"/>
      <w:szCs w:val="22"/>
    </w:rPr>
  </w:style>
  <w:style w:type="character" w:customStyle="1" w:styleId="FooterChar">
    <w:name w:val="Footer Char"/>
    <w:basedOn w:val="DefaultParagraphFont"/>
    <w:link w:val="Footer"/>
    <w:uiPriority w:val="11"/>
    <w:rsid w:val="00B6136F"/>
    <w:rPr>
      <w:rFonts w:asciiTheme="majorHAnsi" w:hAnsiTheme="majorHAnsi"/>
      <w:color w:val="88593C" w:themeColor="accent1"/>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ind w:left="1080" w:hanging="360"/>
      <w:contextualSpacing/>
    </w:pPr>
  </w:style>
  <w:style w:type="paragraph" w:styleId="ListNumber4">
    <w:name w:val="List Number 4"/>
    <w:basedOn w:val="Normal"/>
    <w:uiPriority w:val="13"/>
    <w:semiHidden/>
    <w:qFormat/>
    <w:rsid w:val="00F83C5C"/>
    <w:pPr>
      <w:numPr>
        <w:ilvl w:val="3"/>
        <w:numId w:val="14"/>
      </w:numPr>
      <w:spacing w:after="200" w:line="293" w:lineRule="auto"/>
      <w:ind w:left="1440" w:hanging="360"/>
      <w:contextualSpacing/>
    </w:pPr>
  </w:style>
  <w:style w:type="paragraph" w:styleId="ListNumber5">
    <w:name w:val="List Number 5"/>
    <w:basedOn w:val="Normal"/>
    <w:uiPriority w:val="13"/>
    <w:semiHidden/>
    <w:rsid w:val="00F83C5C"/>
    <w:pPr>
      <w:numPr>
        <w:ilvl w:val="4"/>
        <w:numId w:val="14"/>
      </w:numPr>
      <w:spacing w:after="200" w:line="293" w:lineRule="auto"/>
      <w:ind w:left="1800" w:hanging="360"/>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50402F"/>
    <w:rPr>
      <w:rFonts w:asciiTheme="majorHAnsi" w:eastAsiaTheme="majorEastAsia" w:hAnsiTheme="majorHAnsi" w:cstheme="majorBidi"/>
      <w:color w:val="CB6027" w:themeColor="text2"/>
      <w:sz w:val="26"/>
      <w:szCs w:val="37"/>
    </w:rPr>
  </w:style>
  <w:style w:type="character" w:customStyle="1" w:styleId="Heading4Char">
    <w:name w:val="Heading 4 Char"/>
    <w:basedOn w:val="DefaultParagraphFont"/>
    <w:link w:val="Heading4"/>
    <w:uiPriority w:val="9"/>
    <w:rsid w:val="006C202D"/>
    <w:rPr>
      <w:rFonts w:asciiTheme="majorHAnsi" w:eastAsiaTheme="majorEastAsia" w:hAnsiTheme="majorHAnsi" w:cstheme="majorBidi"/>
      <w:iCs/>
      <w:color w:val="88593C" w:themeColor="accent1"/>
      <w:szCs w:val="33"/>
    </w:rPr>
  </w:style>
  <w:style w:type="character" w:customStyle="1" w:styleId="Heading5Char">
    <w:name w:val="Heading 5 Char"/>
    <w:basedOn w:val="DefaultParagraphFont"/>
    <w:link w:val="Heading5"/>
    <w:uiPriority w:val="9"/>
    <w:rsid w:val="006C202D"/>
    <w:rPr>
      <w:rFonts w:eastAsiaTheme="majorEastAsia" w:cstheme="majorBidi"/>
      <w:b/>
      <w:color w:val="CB6027" w:themeColor="text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CB6027" w:themeColor="text2"/>
        <w:left w:val="single" w:sz="4" w:space="4" w:color="CB6027" w:themeColor="text2"/>
        <w:bottom w:val="single" w:sz="4" w:space="4" w:color="CB6027" w:themeColor="text2"/>
        <w:right w:val="single" w:sz="4" w:space="4" w:color="CB6027" w:themeColor="text2"/>
      </w:pBdr>
      <w:shd w:val="clear" w:color="auto" w:fill="CB6027"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CB6027"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CB6027"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0D8380"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color w:val="0D8380" w:themeColor="background2"/>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46652A"/>
    <w:pPr>
      <w:pBdr>
        <w:bottom w:val="single" w:sz="4" w:space="31" w:color="CB6027" w:themeColor="text2"/>
      </w:pBdr>
      <w:spacing w:after="600"/>
    </w:pPr>
    <w:rPr>
      <w:b/>
      <w:color w:val="88593C" w:themeColor="accent1"/>
    </w:rPr>
  </w:style>
  <w:style w:type="character" w:customStyle="1" w:styleId="Heading6Char">
    <w:name w:val="Heading 6 Char"/>
    <w:basedOn w:val="DefaultParagraphFont"/>
    <w:link w:val="Heading6"/>
    <w:uiPriority w:val="9"/>
    <w:rsid w:val="00F83C5C"/>
    <w:rPr>
      <w:rFonts w:eastAsiaTheme="majorEastAsia" w:cstheme="minorHAnsi"/>
      <w:b/>
      <w:bCs/>
      <w:i/>
      <w:color w:val="0D8380" w:themeColor="background2"/>
      <w:sz w:val="20"/>
      <w:szCs w:val="24"/>
    </w:rPr>
  </w:style>
  <w:style w:type="character" w:customStyle="1" w:styleId="Header-KeylineChar">
    <w:name w:val="Header - Keyline Char"/>
    <w:basedOn w:val="HeaderChar"/>
    <w:link w:val="Header-Keyline"/>
    <w:uiPriority w:val="99"/>
    <w:rsid w:val="0046652A"/>
    <w:rPr>
      <w:b/>
      <w:color w:val="88593C" w:themeColor="accent1"/>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0D8380"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0D8380" w:themeColor="background2"/>
      </w:rPr>
    </w:tblStylePr>
    <w:tblStylePr w:type="firstCol">
      <w:rPr>
        <w:b/>
        <w:color w:val="0D8380"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E3B282"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CB6027" w:themeColor="text2"/>
      </w:rPr>
      <w:tblPr/>
      <w:tcPr>
        <w:tcBorders>
          <w:top w:val="nil"/>
          <w:left w:val="nil"/>
          <w:bottom w:val="single" w:sz="4" w:space="0" w:color="286CB5" w:themeColor="accent3"/>
          <w:right w:val="nil"/>
          <w:insideH w:val="nil"/>
          <w:insideV w:val="nil"/>
          <w:tl2br w:val="nil"/>
          <w:tr2bl w:val="nil"/>
        </w:tcBorders>
      </w:tcPr>
    </w:tblStylePr>
    <w:tblStylePr w:type="lastRow">
      <w:rPr>
        <w:b/>
      </w:rPr>
      <w:tblPr/>
      <w:tcPr>
        <w:tcBorders>
          <w:top w:val="single" w:sz="4" w:space="0" w:color="286CB5" w:themeColor="accent3"/>
          <w:left w:val="nil"/>
          <w:bottom w:val="single" w:sz="4" w:space="0" w:color="286CB5"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qFormat/>
    <w:rsid w:val="00F83C5C"/>
    <w:pPr>
      <w:spacing w:before="240" w:after="240" w:line="500" w:lineRule="atLeast"/>
      <w:outlineLvl w:val="0"/>
    </w:pPr>
    <w:rPr>
      <w:rFonts w:asciiTheme="majorHAnsi" w:hAnsiTheme="majorHAnsi"/>
      <w:color w:val="0D8380"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BA4AF5"/>
    <w:pPr>
      <w:tabs>
        <w:tab w:val="left" w:pos="567"/>
        <w:tab w:val="right" w:pos="7938"/>
      </w:tabs>
      <w:spacing w:before="240" w:line="293" w:lineRule="auto"/>
      <w:ind w:left="567" w:right="1701" w:hanging="567"/>
    </w:pPr>
    <w:rPr>
      <w:rFonts w:asciiTheme="majorHAnsi" w:hAnsiTheme="majorHAnsi"/>
      <w:color w:val="414140"/>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134882"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0D8380"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0D8380"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50402F"/>
    <w:pPr>
      <w:spacing w:before="240" w:after="120" w:line="360" w:lineRule="atLeast"/>
    </w:pPr>
    <w:rPr>
      <w:rFonts w:asciiTheme="majorHAnsi" w:eastAsiaTheme="majorEastAsia" w:hAnsiTheme="majorHAnsi" w:cstheme="majorBidi"/>
      <w:color w:val="0D8380" w:themeColor="background2"/>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0D8380" w:themeColor="background2"/>
      </w:rPr>
    </w:tblStylePr>
    <w:tblStylePr w:type="firstCol">
      <w:rPr>
        <w:b/>
        <w:color w:val="0D8380"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E12F11"/>
    <w:pPr>
      <w:pBdr>
        <w:top w:val="single" w:sz="4" w:space="8" w:color="FFFFFF" w:themeColor="background1"/>
      </w:pBdr>
      <w:spacing w:after="0" w:line="168" w:lineRule="auto"/>
    </w:pPr>
    <w:rPr>
      <w:b w:val="0"/>
      <w:color w:val="0D8380"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0D8380"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0D8380"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50402F"/>
    <w:pPr>
      <w:framePr w:w="9639" w:h="13041" w:hRule="exact" w:wrap="around" w:vAnchor="text" w:hAnchor="text" w:y="1" w:anchorLock="1"/>
      <w:pBdr>
        <w:top w:val="single" w:sz="4" w:space="31" w:color="0D8380" w:themeColor="background2"/>
        <w:left w:val="single" w:sz="4" w:space="26" w:color="0D8380" w:themeColor="background2"/>
        <w:bottom w:val="single" w:sz="4" w:space="26" w:color="0D8380" w:themeColor="background2"/>
        <w:right w:val="single" w:sz="4" w:space="26" w:color="0D8380" w:themeColor="background2"/>
      </w:pBdr>
      <w:shd w:val="clear" w:color="auto" w:fill="0D8380" w:themeFill="background2"/>
      <w:spacing w:before="0"/>
      <w:ind w:left="567" w:right="567"/>
    </w:pPr>
    <w:rPr>
      <w:color w:val="FFFFFF" w:themeColor="background1"/>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0D8380" w:themeColor="background2"/>
      </w:rPr>
    </w:tblStylePr>
    <w:tblStylePr w:type="firstCol">
      <w:rPr>
        <w:b/>
        <w:color w:val="0D8380"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D1263D"/>
    <w:pPr>
      <w:spacing w:after="20"/>
      <w:ind w:left="57"/>
    </w:pPr>
    <w:rPr>
      <w:b/>
      <w:color w:val="134882"/>
      <w:sz w:val="18"/>
    </w:rPr>
  </w:style>
  <w:style w:type="paragraph" w:customStyle="1" w:styleId="BodyText-Blue">
    <w:name w:val="Body Text-Blue"/>
    <w:basedOn w:val="BodyText"/>
    <w:link w:val="BodyText-BlueChar"/>
    <w:semiHidden/>
    <w:qFormat/>
    <w:rsid w:val="00F83C5C"/>
    <w:rPr>
      <w:color w:val="0D8380" w:themeColor="background2"/>
    </w:rPr>
  </w:style>
  <w:style w:type="table" w:customStyle="1" w:styleId="Texttable-Keyline">
    <w:name w:val="Text table-Keyline"/>
    <w:basedOn w:val="Texttable-Paleblue"/>
    <w:uiPriority w:val="99"/>
    <w:rsid w:val="00F83C5C"/>
    <w:tblPr>
      <w:tblBorders>
        <w:top w:val="single" w:sz="4" w:space="0" w:color="CB6027" w:themeColor="text2"/>
        <w:left w:val="single" w:sz="4" w:space="0" w:color="CB6027" w:themeColor="text2"/>
        <w:bottom w:val="single" w:sz="4" w:space="0" w:color="CB6027" w:themeColor="text2"/>
        <w:right w:val="single" w:sz="4" w:space="0" w:color="CB6027"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0D8380" w:themeFill="background2"/>
    </w:tcPr>
  </w:style>
  <w:style w:type="paragraph" w:customStyle="1" w:styleId="Heading3-noTOC">
    <w:name w:val="Heading 3-no TOC"/>
    <w:basedOn w:val="Heading3"/>
    <w:uiPriority w:val="9"/>
    <w:qFormat/>
    <w:rsid w:val="0050402F"/>
    <w:pPr>
      <w:spacing w:line="312" w:lineRule="atLeast"/>
    </w:p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3D3021"/>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unhideWhenUsed/>
    <w:rsid w:val="00F83C5C"/>
    <w:rPr>
      <w:sz w:val="16"/>
      <w:szCs w:val="16"/>
    </w:rPr>
  </w:style>
  <w:style w:type="paragraph" w:styleId="CommentText">
    <w:name w:val="annotation text"/>
    <w:basedOn w:val="Normal"/>
    <w:link w:val="CommentTextChar"/>
    <w:uiPriority w:val="99"/>
    <w:unhideWhenUsed/>
    <w:rsid w:val="00F83C5C"/>
    <w:pPr>
      <w:spacing w:line="240" w:lineRule="auto"/>
    </w:pPr>
  </w:style>
  <w:style w:type="character" w:customStyle="1" w:styleId="CommentTextChar">
    <w:name w:val="Comment Text Char"/>
    <w:basedOn w:val="DefaultParagraphFont"/>
    <w:link w:val="CommentText"/>
    <w:uiPriority w:val="99"/>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CB6027" w:themeColor="text2"/>
    </w:rPr>
  </w:style>
  <w:style w:type="character" w:customStyle="1" w:styleId="ColourDarkBlue">
    <w:name w:val="Colour Dark Blue"/>
    <w:basedOn w:val="ColourBlue"/>
    <w:uiPriority w:val="22"/>
    <w:qFormat/>
    <w:rsid w:val="00F83C5C"/>
    <w:rPr>
      <w:color w:val="0D8380"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0D8380" w:themeColor="background2"/>
    </w:rPr>
    <w:tblPr/>
    <w:tcPr>
      <w:shd w:val="clear" w:color="auto" w:fill="F2F2F2"/>
    </w:tcPr>
  </w:style>
  <w:style w:type="character" w:customStyle="1" w:styleId="BodyText-BlueChar">
    <w:name w:val="Body Text-Blue Char"/>
    <w:basedOn w:val="BodyTextChar"/>
    <w:link w:val="BodyText-Blue"/>
    <w:semiHidden/>
    <w:rsid w:val="00F83C5C"/>
    <w:rPr>
      <w:color w:val="0D8380"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0D8380"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ind w:left="567" w:hanging="567"/>
      <w:contextualSpacing/>
    </w:pPr>
    <w:rPr>
      <w:b/>
      <w:color w:val="0D8380"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117052"/>
    <w:pPr>
      <w:spacing w:after="0"/>
    </w:pPr>
    <w:rPr>
      <w:color w:val="88593C" w:themeColor="accent1"/>
    </w:rPr>
  </w:style>
  <w:style w:type="character" w:styleId="Emphasis">
    <w:name w:val="Emphasis"/>
    <w:basedOn w:val="DefaultParagraphFont"/>
    <w:uiPriority w:val="20"/>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CC2083"/>
    <w:rPr>
      <w:color w:val="88593C" w:themeColor="accent1"/>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3D3021"/>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paragraph" w:styleId="Bibliography">
    <w:name w:val="Bibliography"/>
    <w:basedOn w:val="Normal"/>
    <w:next w:val="Normal"/>
    <w:uiPriority w:val="37"/>
    <w:unhideWhenUsed/>
    <w:rsid w:val="002224F0"/>
    <w:pPr>
      <w:spacing w:after="240" w:line="240" w:lineRule="atLeast"/>
      <w:ind w:left="720" w:hanging="720"/>
    </w:pPr>
  </w:style>
  <w:style w:type="paragraph" w:customStyle="1" w:styleId="Default">
    <w:name w:val="Default"/>
    <w:rsid w:val="00806884"/>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EE7BFB"/>
    <w:pPr>
      <w:spacing w:before="0" w:after="0" w:line="240" w:lineRule="auto"/>
    </w:pPr>
    <w:rPr>
      <w:rFonts w:ascii="Calibri" w:hAnsi="Calibri" w:cs="Calibri"/>
      <w:sz w:val="22"/>
      <w:szCs w:val="22"/>
      <w:lang w:eastAsia="en-AU"/>
    </w:rPr>
  </w:style>
  <w:style w:type="paragraph" w:customStyle="1" w:styleId="xmsolistparagraph">
    <w:name w:val="x_msolistparagraph"/>
    <w:basedOn w:val="Normal"/>
    <w:rsid w:val="00EE7BFB"/>
    <w:pPr>
      <w:spacing w:before="0" w:after="0" w:line="240" w:lineRule="auto"/>
      <w:ind w:left="720"/>
    </w:pPr>
    <w:rPr>
      <w:rFonts w:ascii="Calibri" w:hAnsi="Calibri" w:cs="Calibri"/>
      <w:sz w:val="22"/>
      <w:szCs w:val="22"/>
      <w:lang w:eastAsia="en-AU"/>
    </w:rPr>
  </w:style>
  <w:style w:type="paragraph" w:styleId="NormalWeb">
    <w:name w:val="Normal (Web)"/>
    <w:basedOn w:val="Normal"/>
    <w:uiPriority w:val="99"/>
    <w:unhideWhenUsed/>
    <w:rsid w:val="00FA27E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Heading3"/>
    <w:qFormat/>
    <w:rsid w:val="00270474"/>
    <w:pPr>
      <w:keepNext w:val="0"/>
      <w:keepLines w:val="0"/>
      <w:numPr>
        <w:numId w:val="19"/>
      </w:numPr>
      <w:spacing w:before="200" w:after="0" w:line="259" w:lineRule="auto"/>
      <w:outlineLvl w:val="9"/>
    </w:pPr>
    <w:rPr>
      <w:rFonts w:ascii="Arial" w:eastAsia="Times New Roman" w:hAnsi="Arial"/>
      <w:bCs/>
    </w:rPr>
  </w:style>
  <w:style w:type="paragraph" w:customStyle="1" w:styleId="alphalist0">
    <w:name w:val="alpha list"/>
    <w:basedOn w:val="Heading3"/>
    <w:qFormat/>
    <w:rsid w:val="00270474"/>
    <w:pPr>
      <w:keepNext w:val="0"/>
      <w:keepLines w:val="0"/>
      <w:numPr>
        <w:ilvl w:val="1"/>
        <w:numId w:val="19"/>
      </w:numPr>
      <w:spacing w:before="200" w:after="0" w:line="259" w:lineRule="auto"/>
      <w:outlineLvl w:val="9"/>
    </w:pPr>
    <w:rPr>
      <w:rFonts w:ascii="Arial" w:hAnsi="Arial"/>
      <w:bCs/>
      <w:color w:val="000000" w:themeColor="text1"/>
    </w:rPr>
  </w:style>
  <w:style w:type="paragraph" w:customStyle="1" w:styleId="romanlist">
    <w:name w:val="roman list"/>
    <w:basedOn w:val="Heading3"/>
    <w:qFormat/>
    <w:rsid w:val="00270474"/>
    <w:pPr>
      <w:keepNext w:val="0"/>
      <w:keepLines w:val="0"/>
      <w:numPr>
        <w:ilvl w:val="2"/>
        <w:numId w:val="19"/>
      </w:numPr>
      <w:spacing w:before="200" w:after="0" w:line="259" w:lineRule="auto"/>
      <w:outlineLvl w:val="9"/>
    </w:pPr>
    <w:rPr>
      <w:rFonts w:ascii="Arial" w:hAnsi="Arial" w:cs="Arial"/>
      <w:bCs/>
      <w:color w:val="000000" w:themeColor="text1"/>
      <w:sz w:val="22"/>
      <w:szCs w:val="22"/>
    </w:rPr>
  </w:style>
  <w:style w:type="character" w:styleId="Mention">
    <w:name w:val="Mention"/>
    <w:basedOn w:val="DefaultParagraphFont"/>
    <w:uiPriority w:val="99"/>
    <w:unhideWhenUsed/>
    <w:rsid w:val="00815C28"/>
    <w:rPr>
      <w:color w:val="2B579A"/>
      <w:shd w:val="clear" w:color="auto" w:fill="E1DFDD"/>
    </w:rPr>
  </w:style>
  <w:style w:type="character" w:customStyle="1" w:styleId="A4">
    <w:name w:val="A4"/>
    <w:uiPriority w:val="99"/>
    <w:rsid w:val="00204C3C"/>
    <w:rPr>
      <w:rFonts w:cs="Work Sans"/>
      <w:color w:val="000000"/>
      <w:sz w:val="19"/>
      <w:szCs w:val="19"/>
    </w:rPr>
  </w:style>
  <w:style w:type="character" w:customStyle="1" w:styleId="A11">
    <w:name w:val="A11"/>
    <w:uiPriority w:val="99"/>
    <w:rsid w:val="00420A3B"/>
    <w:rPr>
      <w:rFonts w:cs="Work Sans"/>
      <w:color w:val="000000"/>
      <w:sz w:val="19"/>
      <w:szCs w:val="19"/>
    </w:rPr>
  </w:style>
  <w:style w:type="paragraph" w:customStyle="1" w:styleId="Pa4">
    <w:name w:val="Pa4"/>
    <w:basedOn w:val="Default"/>
    <w:next w:val="Default"/>
    <w:uiPriority w:val="99"/>
    <w:rsid w:val="00DB1D93"/>
    <w:pPr>
      <w:spacing w:line="201" w:lineRule="atLeast"/>
    </w:pPr>
    <w:rPr>
      <w:rFonts w:ascii="Open Sans" w:hAnsi="Open Sans" w:cs="Times New Roman"/>
      <w:color w:val="auto"/>
    </w:rPr>
  </w:style>
  <w:style w:type="paragraph" w:customStyle="1" w:styleId="Pa3">
    <w:name w:val="Pa3"/>
    <w:basedOn w:val="Default"/>
    <w:next w:val="Default"/>
    <w:uiPriority w:val="99"/>
    <w:rsid w:val="00DB1D93"/>
    <w:pPr>
      <w:spacing w:line="201" w:lineRule="atLeast"/>
    </w:pPr>
    <w:rPr>
      <w:rFonts w:ascii="Open Sans" w:hAnsi="Open Sans" w:cs="Times New Roman"/>
      <w:color w:val="auto"/>
    </w:rPr>
  </w:style>
  <w:style w:type="paragraph" w:customStyle="1" w:styleId="Pa0">
    <w:name w:val="Pa0"/>
    <w:basedOn w:val="Default"/>
    <w:next w:val="Default"/>
    <w:uiPriority w:val="99"/>
    <w:rsid w:val="007415EB"/>
    <w:pPr>
      <w:spacing w:line="241" w:lineRule="atLeast"/>
    </w:pPr>
    <w:rPr>
      <w:rFonts w:ascii="Futura PT Book" w:hAnsi="Futura PT Book" w:cstheme="minorBidi"/>
      <w:color w:val="auto"/>
    </w:rPr>
  </w:style>
  <w:style w:type="paragraph" w:customStyle="1" w:styleId="text">
    <w:name w:val="text"/>
    <w:basedOn w:val="Normal"/>
    <w:rsid w:val="00F3366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abel">
    <w:name w:val="label"/>
    <w:basedOn w:val="DefaultParagraphFont"/>
    <w:rsid w:val="00F3366F"/>
  </w:style>
  <w:style w:type="paragraph" w:customStyle="1" w:styleId="primary-nav--menu-item">
    <w:name w:val="primary-nav--menu-item"/>
    <w:basedOn w:val="Normal"/>
    <w:rsid w:val="004126B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A850ED"/>
    <w:rPr>
      <w:color w:val="1D1D1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96651">
      <w:bodyDiv w:val="1"/>
      <w:marLeft w:val="0"/>
      <w:marRight w:val="0"/>
      <w:marTop w:val="0"/>
      <w:marBottom w:val="0"/>
      <w:divBdr>
        <w:top w:val="none" w:sz="0" w:space="0" w:color="auto"/>
        <w:left w:val="none" w:sz="0" w:space="0" w:color="auto"/>
        <w:bottom w:val="none" w:sz="0" w:space="0" w:color="auto"/>
        <w:right w:val="none" w:sz="0" w:space="0" w:color="auto"/>
      </w:divBdr>
      <w:divsChild>
        <w:div w:id="652834399">
          <w:marLeft w:val="0"/>
          <w:marRight w:val="0"/>
          <w:marTop w:val="83"/>
          <w:marBottom w:val="0"/>
          <w:divBdr>
            <w:top w:val="none" w:sz="0" w:space="0" w:color="auto"/>
            <w:left w:val="none" w:sz="0" w:space="0" w:color="auto"/>
            <w:bottom w:val="none" w:sz="0" w:space="0" w:color="auto"/>
            <w:right w:val="none" w:sz="0" w:space="0" w:color="auto"/>
          </w:divBdr>
        </w:div>
        <w:div w:id="1298729448">
          <w:marLeft w:val="0"/>
          <w:marRight w:val="0"/>
          <w:marTop w:val="83"/>
          <w:marBottom w:val="0"/>
          <w:divBdr>
            <w:top w:val="none" w:sz="0" w:space="0" w:color="auto"/>
            <w:left w:val="none" w:sz="0" w:space="0" w:color="auto"/>
            <w:bottom w:val="none" w:sz="0" w:space="0" w:color="auto"/>
            <w:right w:val="none" w:sz="0" w:space="0" w:color="auto"/>
          </w:divBdr>
        </w:div>
        <w:div w:id="1551189625">
          <w:marLeft w:val="0"/>
          <w:marRight w:val="0"/>
          <w:marTop w:val="83"/>
          <w:marBottom w:val="0"/>
          <w:divBdr>
            <w:top w:val="none" w:sz="0" w:space="0" w:color="auto"/>
            <w:left w:val="none" w:sz="0" w:space="0" w:color="auto"/>
            <w:bottom w:val="none" w:sz="0" w:space="0" w:color="auto"/>
            <w:right w:val="none" w:sz="0" w:space="0" w:color="auto"/>
          </w:divBdr>
        </w:div>
      </w:divsChild>
    </w:div>
    <w:div w:id="344134299">
      <w:bodyDiv w:val="1"/>
      <w:marLeft w:val="0"/>
      <w:marRight w:val="0"/>
      <w:marTop w:val="0"/>
      <w:marBottom w:val="0"/>
      <w:divBdr>
        <w:top w:val="none" w:sz="0" w:space="0" w:color="auto"/>
        <w:left w:val="none" w:sz="0" w:space="0" w:color="auto"/>
        <w:bottom w:val="none" w:sz="0" w:space="0" w:color="auto"/>
        <w:right w:val="none" w:sz="0" w:space="0" w:color="auto"/>
      </w:divBdr>
    </w:div>
    <w:div w:id="363211603">
      <w:bodyDiv w:val="1"/>
      <w:marLeft w:val="0"/>
      <w:marRight w:val="0"/>
      <w:marTop w:val="0"/>
      <w:marBottom w:val="0"/>
      <w:divBdr>
        <w:top w:val="none" w:sz="0" w:space="0" w:color="auto"/>
        <w:left w:val="none" w:sz="0" w:space="0" w:color="auto"/>
        <w:bottom w:val="none" w:sz="0" w:space="0" w:color="auto"/>
        <w:right w:val="none" w:sz="0" w:space="0" w:color="auto"/>
      </w:divBdr>
    </w:div>
    <w:div w:id="425005059">
      <w:bodyDiv w:val="1"/>
      <w:marLeft w:val="0"/>
      <w:marRight w:val="0"/>
      <w:marTop w:val="0"/>
      <w:marBottom w:val="0"/>
      <w:divBdr>
        <w:top w:val="none" w:sz="0" w:space="0" w:color="auto"/>
        <w:left w:val="none" w:sz="0" w:space="0" w:color="auto"/>
        <w:bottom w:val="none" w:sz="0" w:space="0" w:color="auto"/>
        <w:right w:val="none" w:sz="0" w:space="0" w:color="auto"/>
      </w:divBdr>
    </w:div>
    <w:div w:id="445778524">
      <w:bodyDiv w:val="1"/>
      <w:marLeft w:val="0"/>
      <w:marRight w:val="0"/>
      <w:marTop w:val="0"/>
      <w:marBottom w:val="0"/>
      <w:divBdr>
        <w:top w:val="none" w:sz="0" w:space="0" w:color="auto"/>
        <w:left w:val="none" w:sz="0" w:space="0" w:color="auto"/>
        <w:bottom w:val="none" w:sz="0" w:space="0" w:color="auto"/>
        <w:right w:val="none" w:sz="0" w:space="0" w:color="auto"/>
      </w:divBdr>
      <w:divsChild>
        <w:div w:id="304287472">
          <w:blockQuote w:val="1"/>
          <w:marLeft w:val="600"/>
          <w:marRight w:val="0"/>
          <w:marTop w:val="120"/>
          <w:marBottom w:val="120"/>
          <w:divBdr>
            <w:top w:val="none" w:sz="0" w:space="0" w:color="auto"/>
            <w:left w:val="none" w:sz="0" w:space="0" w:color="auto"/>
            <w:bottom w:val="none" w:sz="0" w:space="0" w:color="auto"/>
            <w:right w:val="none" w:sz="0" w:space="0" w:color="auto"/>
          </w:divBdr>
        </w:div>
        <w:div w:id="687025948">
          <w:blockQuote w:val="1"/>
          <w:marLeft w:val="600"/>
          <w:marRight w:val="0"/>
          <w:marTop w:val="120"/>
          <w:marBottom w:val="120"/>
          <w:divBdr>
            <w:top w:val="none" w:sz="0" w:space="0" w:color="auto"/>
            <w:left w:val="none" w:sz="0" w:space="0" w:color="auto"/>
            <w:bottom w:val="none" w:sz="0" w:space="0" w:color="auto"/>
            <w:right w:val="none" w:sz="0" w:space="0" w:color="auto"/>
          </w:divBdr>
        </w:div>
        <w:div w:id="1288007608">
          <w:blockQuote w:val="1"/>
          <w:marLeft w:val="600"/>
          <w:marRight w:val="0"/>
          <w:marTop w:val="120"/>
          <w:marBottom w:val="120"/>
          <w:divBdr>
            <w:top w:val="none" w:sz="0" w:space="0" w:color="auto"/>
            <w:left w:val="none" w:sz="0" w:space="0" w:color="auto"/>
            <w:bottom w:val="none" w:sz="0" w:space="0" w:color="auto"/>
            <w:right w:val="none" w:sz="0" w:space="0" w:color="auto"/>
          </w:divBdr>
        </w:div>
        <w:div w:id="1348478864">
          <w:blockQuote w:val="1"/>
          <w:marLeft w:val="600"/>
          <w:marRight w:val="0"/>
          <w:marTop w:val="120"/>
          <w:marBottom w:val="120"/>
          <w:divBdr>
            <w:top w:val="none" w:sz="0" w:space="0" w:color="auto"/>
            <w:left w:val="none" w:sz="0" w:space="0" w:color="auto"/>
            <w:bottom w:val="none" w:sz="0" w:space="0" w:color="auto"/>
            <w:right w:val="none" w:sz="0" w:space="0" w:color="auto"/>
          </w:divBdr>
        </w:div>
        <w:div w:id="1643073978">
          <w:blockQuote w:val="1"/>
          <w:marLeft w:val="600"/>
          <w:marRight w:val="0"/>
          <w:marTop w:val="120"/>
          <w:marBottom w:val="120"/>
          <w:divBdr>
            <w:top w:val="none" w:sz="0" w:space="0" w:color="auto"/>
            <w:left w:val="none" w:sz="0" w:space="0" w:color="auto"/>
            <w:bottom w:val="none" w:sz="0" w:space="0" w:color="auto"/>
            <w:right w:val="none" w:sz="0" w:space="0" w:color="auto"/>
          </w:divBdr>
        </w:div>
        <w:div w:id="1664504174">
          <w:blockQuote w:val="1"/>
          <w:marLeft w:val="600"/>
          <w:marRight w:val="0"/>
          <w:marTop w:val="120"/>
          <w:marBottom w:val="120"/>
          <w:divBdr>
            <w:top w:val="none" w:sz="0" w:space="0" w:color="auto"/>
            <w:left w:val="none" w:sz="0" w:space="0" w:color="auto"/>
            <w:bottom w:val="none" w:sz="0" w:space="0" w:color="auto"/>
            <w:right w:val="none" w:sz="0" w:space="0" w:color="auto"/>
          </w:divBdr>
        </w:div>
        <w:div w:id="1687561377">
          <w:blockQuote w:val="1"/>
          <w:marLeft w:val="600"/>
          <w:marRight w:val="0"/>
          <w:marTop w:val="120"/>
          <w:marBottom w:val="120"/>
          <w:divBdr>
            <w:top w:val="none" w:sz="0" w:space="0" w:color="auto"/>
            <w:left w:val="none" w:sz="0" w:space="0" w:color="auto"/>
            <w:bottom w:val="none" w:sz="0" w:space="0" w:color="auto"/>
            <w:right w:val="none" w:sz="0" w:space="0" w:color="auto"/>
          </w:divBdr>
        </w:div>
        <w:div w:id="210294850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58115078">
      <w:bodyDiv w:val="1"/>
      <w:marLeft w:val="0"/>
      <w:marRight w:val="0"/>
      <w:marTop w:val="0"/>
      <w:marBottom w:val="0"/>
      <w:divBdr>
        <w:top w:val="none" w:sz="0" w:space="0" w:color="auto"/>
        <w:left w:val="none" w:sz="0" w:space="0" w:color="auto"/>
        <w:bottom w:val="none" w:sz="0" w:space="0" w:color="auto"/>
        <w:right w:val="none" w:sz="0" w:space="0" w:color="auto"/>
      </w:divBdr>
    </w:div>
    <w:div w:id="546063049">
      <w:bodyDiv w:val="1"/>
      <w:marLeft w:val="0"/>
      <w:marRight w:val="0"/>
      <w:marTop w:val="0"/>
      <w:marBottom w:val="0"/>
      <w:divBdr>
        <w:top w:val="none" w:sz="0" w:space="0" w:color="auto"/>
        <w:left w:val="none" w:sz="0" w:space="0" w:color="auto"/>
        <w:bottom w:val="none" w:sz="0" w:space="0" w:color="auto"/>
        <w:right w:val="none" w:sz="0" w:space="0" w:color="auto"/>
      </w:divBdr>
    </w:div>
    <w:div w:id="621766726">
      <w:bodyDiv w:val="1"/>
      <w:marLeft w:val="0"/>
      <w:marRight w:val="0"/>
      <w:marTop w:val="0"/>
      <w:marBottom w:val="0"/>
      <w:divBdr>
        <w:top w:val="none" w:sz="0" w:space="0" w:color="auto"/>
        <w:left w:val="none" w:sz="0" w:space="0" w:color="auto"/>
        <w:bottom w:val="none" w:sz="0" w:space="0" w:color="auto"/>
        <w:right w:val="none" w:sz="0" w:space="0" w:color="auto"/>
      </w:divBdr>
    </w:div>
    <w:div w:id="657156536">
      <w:bodyDiv w:val="1"/>
      <w:marLeft w:val="0"/>
      <w:marRight w:val="0"/>
      <w:marTop w:val="0"/>
      <w:marBottom w:val="0"/>
      <w:divBdr>
        <w:top w:val="none" w:sz="0" w:space="0" w:color="auto"/>
        <w:left w:val="none" w:sz="0" w:space="0" w:color="auto"/>
        <w:bottom w:val="none" w:sz="0" w:space="0" w:color="auto"/>
        <w:right w:val="none" w:sz="0" w:space="0" w:color="auto"/>
      </w:divBdr>
    </w:div>
    <w:div w:id="742066951">
      <w:bodyDiv w:val="1"/>
      <w:marLeft w:val="0"/>
      <w:marRight w:val="0"/>
      <w:marTop w:val="0"/>
      <w:marBottom w:val="0"/>
      <w:divBdr>
        <w:top w:val="none" w:sz="0" w:space="0" w:color="auto"/>
        <w:left w:val="none" w:sz="0" w:space="0" w:color="auto"/>
        <w:bottom w:val="none" w:sz="0" w:space="0" w:color="auto"/>
        <w:right w:val="none" w:sz="0" w:space="0" w:color="auto"/>
      </w:divBdr>
    </w:div>
    <w:div w:id="802187996">
      <w:bodyDiv w:val="1"/>
      <w:marLeft w:val="0"/>
      <w:marRight w:val="0"/>
      <w:marTop w:val="0"/>
      <w:marBottom w:val="0"/>
      <w:divBdr>
        <w:top w:val="none" w:sz="0" w:space="0" w:color="auto"/>
        <w:left w:val="none" w:sz="0" w:space="0" w:color="auto"/>
        <w:bottom w:val="none" w:sz="0" w:space="0" w:color="auto"/>
        <w:right w:val="none" w:sz="0" w:space="0" w:color="auto"/>
      </w:divBdr>
    </w:div>
    <w:div w:id="842669848">
      <w:bodyDiv w:val="1"/>
      <w:marLeft w:val="0"/>
      <w:marRight w:val="0"/>
      <w:marTop w:val="0"/>
      <w:marBottom w:val="0"/>
      <w:divBdr>
        <w:top w:val="none" w:sz="0" w:space="0" w:color="auto"/>
        <w:left w:val="none" w:sz="0" w:space="0" w:color="auto"/>
        <w:bottom w:val="none" w:sz="0" w:space="0" w:color="auto"/>
        <w:right w:val="none" w:sz="0" w:space="0" w:color="auto"/>
      </w:divBdr>
      <w:divsChild>
        <w:div w:id="492646441">
          <w:marLeft w:val="0"/>
          <w:marRight w:val="0"/>
          <w:marTop w:val="83"/>
          <w:marBottom w:val="0"/>
          <w:divBdr>
            <w:top w:val="none" w:sz="0" w:space="0" w:color="auto"/>
            <w:left w:val="none" w:sz="0" w:space="0" w:color="auto"/>
            <w:bottom w:val="none" w:sz="0" w:space="0" w:color="auto"/>
            <w:right w:val="none" w:sz="0" w:space="0" w:color="auto"/>
          </w:divBdr>
        </w:div>
        <w:div w:id="808287196">
          <w:marLeft w:val="0"/>
          <w:marRight w:val="0"/>
          <w:marTop w:val="83"/>
          <w:marBottom w:val="0"/>
          <w:divBdr>
            <w:top w:val="none" w:sz="0" w:space="0" w:color="auto"/>
            <w:left w:val="none" w:sz="0" w:space="0" w:color="auto"/>
            <w:bottom w:val="none" w:sz="0" w:space="0" w:color="auto"/>
            <w:right w:val="none" w:sz="0" w:space="0" w:color="auto"/>
          </w:divBdr>
        </w:div>
        <w:div w:id="1484545902">
          <w:marLeft w:val="0"/>
          <w:marRight w:val="0"/>
          <w:marTop w:val="83"/>
          <w:marBottom w:val="0"/>
          <w:divBdr>
            <w:top w:val="none" w:sz="0" w:space="0" w:color="auto"/>
            <w:left w:val="none" w:sz="0" w:space="0" w:color="auto"/>
            <w:bottom w:val="none" w:sz="0" w:space="0" w:color="auto"/>
            <w:right w:val="none" w:sz="0" w:space="0" w:color="auto"/>
          </w:divBdr>
        </w:div>
      </w:divsChild>
    </w:div>
    <w:div w:id="1079403017">
      <w:bodyDiv w:val="1"/>
      <w:marLeft w:val="0"/>
      <w:marRight w:val="0"/>
      <w:marTop w:val="0"/>
      <w:marBottom w:val="0"/>
      <w:divBdr>
        <w:top w:val="none" w:sz="0" w:space="0" w:color="auto"/>
        <w:left w:val="none" w:sz="0" w:space="0" w:color="auto"/>
        <w:bottom w:val="none" w:sz="0" w:space="0" w:color="auto"/>
        <w:right w:val="none" w:sz="0" w:space="0" w:color="auto"/>
      </w:divBdr>
    </w:div>
    <w:div w:id="1122573802">
      <w:bodyDiv w:val="1"/>
      <w:marLeft w:val="0"/>
      <w:marRight w:val="0"/>
      <w:marTop w:val="0"/>
      <w:marBottom w:val="0"/>
      <w:divBdr>
        <w:top w:val="none" w:sz="0" w:space="0" w:color="auto"/>
        <w:left w:val="none" w:sz="0" w:space="0" w:color="auto"/>
        <w:bottom w:val="none" w:sz="0" w:space="0" w:color="auto"/>
        <w:right w:val="none" w:sz="0" w:space="0" w:color="auto"/>
      </w:divBdr>
    </w:div>
    <w:div w:id="1150369303">
      <w:bodyDiv w:val="1"/>
      <w:marLeft w:val="0"/>
      <w:marRight w:val="0"/>
      <w:marTop w:val="0"/>
      <w:marBottom w:val="0"/>
      <w:divBdr>
        <w:top w:val="none" w:sz="0" w:space="0" w:color="auto"/>
        <w:left w:val="none" w:sz="0" w:space="0" w:color="auto"/>
        <w:bottom w:val="none" w:sz="0" w:space="0" w:color="auto"/>
        <w:right w:val="none" w:sz="0" w:space="0" w:color="auto"/>
      </w:divBdr>
    </w:div>
    <w:div w:id="1184367313">
      <w:bodyDiv w:val="1"/>
      <w:marLeft w:val="0"/>
      <w:marRight w:val="0"/>
      <w:marTop w:val="0"/>
      <w:marBottom w:val="0"/>
      <w:divBdr>
        <w:top w:val="none" w:sz="0" w:space="0" w:color="auto"/>
        <w:left w:val="none" w:sz="0" w:space="0" w:color="auto"/>
        <w:bottom w:val="none" w:sz="0" w:space="0" w:color="auto"/>
        <w:right w:val="none" w:sz="0" w:space="0" w:color="auto"/>
      </w:divBdr>
    </w:div>
    <w:div w:id="1194731869">
      <w:bodyDiv w:val="1"/>
      <w:marLeft w:val="0"/>
      <w:marRight w:val="0"/>
      <w:marTop w:val="0"/>
      <w:marBottom w:val="0"/>
      <w:divBdr>
        <w:top w:val="none" w:sz="0" w:space="0" w:color="auto"/>
        <w:left w:val="none" w:sz="0" w:space="0" w:color="auto"/>
        <w:bottom w:val="none" w:sz="0" w:space="0" w:color="auto"/>
        <w:right w:val="none" w:sz="0" w:space="0" w:color="auto"/>
      </w:divBdr>
    </w:div>
    <w:div w:id="1229994488">
      <w:bodyDiv w:val="1"/>
      <w:marLeft w:val="0"/>
      <w:marRight w:val="0"/>
      <w:marTop w:val="0"/>
      <w:marBottom w:val="0"/>
      <w:divBdr>
        <w:top w:val="none" w:sz="0" w:space="0" w:color="auto"/>
        <w:left w:val="none" w:sz="0" w:space="0" w:color="auto"/>
        <w:bottom w:val="none" w:sz="0" w:space="0" w:color="auto"/>
        <w:right w:val="none" w:sz="0" w:space="0" w:color="auto"/>
      </w:divBdr>
      <w:divsChild>
        <w:div w:id="56362511">
          <w:marLeft w:val="0"/>
          <w:marRight w:val="0"/>
          <w:marTop w:val="375"/>
          <w:marBottom w:val="375"/>
          <w:divBdr>
            <w:top w:val="none" w:sz="0" w:space="0" w:color="auto"/>
            <w:left w:val="none" w:sz="0" w:space="0" w:color="auto"/>
            <w:bottom w:val="none" w:sz="0" w:space="0" w:color="auto"/>
            <w:right w:val="none" w:sz="0" w:space="0" w:color="auto"/>
          </w:divBdr>
          <w:divsChild>
            <w:div w:id="1292786615">
              <w:marLeft w:val="0"/>
              <w:marRight w:val="0"/>
              <w:marTop w:val="0"/>
              <w:marBottom w:val="0"/>
              <w:divBdr>
                <w:top w:val="none" w:sz="0" w:space="0" w:color="auto"/>
                <w:left w:val="none" w:sz="0" w:space="0" w:color="auto"/>
                <w:bottom w:val="none" w:sz="0" w:space="0" w:color="auto"/>
                <w:right w:val="none" w:sz="0" w:space="0" w:color="auto"/>
              </w:divBdr>
              <w:divsChild>
                <w:div w:id="1657152096">
                  <w:marLeft w:val="0"/>
                  <w:marRight w:val="0"/>
                  <w:marTop w:val="0"/>
                  <w:marBottom w:val="0"/>
                  <w:divBdr>
                    <w:top w:val="none" w:sz="0" w:space="0" w:color="auto"/>
                    <w:left w:val="none" w:sz="0" w:space="0" w:color="auto"/>
                    <w:bottom w:val="none" w:sz="0" w:space="0" w:color="auto"/>
                    <w:right w:val="none" w:sz="0" w:space="0" w:color="auto"/>
                  </w:divBdr>
                  <w:divsChild>
                    <w:div w:id="81144974">
                      <w:marLeft w:val="0"/>
                      <w:marRight w:val="0"/>
                      <w:marTop w:val="0"/>
                      <w:marBottom w:val="0"/>
                      <w:divBdr>
                        <w:top w:val="none" w:sz="0" w:space="0" w:color="auto"/>
                        <w:left w:val="none" w:sz="0" w:space="0" w:color="auto"/>
                        <w:bottom w:val="none" w:sz="0" w:space="0" w:color="auto"/>
                        <w:right w:val="none" w:sz="0" w:space="0" w:color="auto"/>
                      </w:divBdr>
                    </w:div>
                    <w:div w:id="152254568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83004499">
          <w:marLeft w:val="0"/>
          <w:marRight w:val="0"/>
          <w:marTop w:val="375"/>
          <w:marBottom w:val="375"/>
          <w:divBdr>
            <w:top w:val="none" w:sz="0" w:space="0" w:color="auto"/>
            <w:left w:val="none" w:sz="0" w:space="0" w:color="auto"/>
            <w:bottom w:val="none" w:sz="0" w:space="0" w:color="auto"/>
            <w:right w:val="none" w:sz="0" w:space="0" w:color="auto"/>
          </w:divBdr>
          <w:divsChild>
            <w:div w:id="425613302">
              <w:marLeft w:val="0"/>
              <w:marRight w:val="0"/>
              <w:marTop w:val="0"/>
              <w:marBottom w:val="0"/>
              <w:divBdr>
                <w:top w:val="none" w:sz="0" w:space="0" w:color="auto"/>
                <w:left w:val="none" w:sz="0" w:space="0" w:color="auto"/>
                <w:bottom w:val="none" w:sz="0" w:space="0" w:color="auto"/>
                <w:right w:val="none" w:sz="0" w:space="0" w:color="auto"/>
              </w:divBdr>
              <w:divsChild>
                <w:div w:id="1969316248">
                  <w:marLeft w:val="0"/>
                  <w:marRight w:val="0"/>
                  <w:marTop w:val="0"/>
                  <w:marBottom w:val="0"/>
                  <w:divBdr>
                    <w:top w:val="none" w:sz="0" w:space="0" w:color="auto"/>
                    <w:left w:val="none" w:sz="0" w:space="0" w:color="auto"/>
                    <w:bottom w:val="none" w:sz="0" w:space="0" w:color="auto"/>
                    <w:right w:val="none" w:sz="0" w:space="0" w:color="auto"/>
                  </w:divBdr>
                  <w:divsChild>
                    <w:div w:id="547692758">
                      <w:marLeft w:val="-15"/>
                      <w:marRight w:val="-15"/>
                      <w:marTop w:val="0"/>
                      <w:marBottom w:val="0"/>
                      <w:divBdr>
                        <w:top w:val="none" w:sz="0" w:space="0" w:color="auto"/>
                        <w:left w:val="none" w:sz="0" w:space="0" w:color="auto"/>
                        <w:bottom w:val="none" w:sz="0" w:space="0" w:color="auto"/>
                        <w:right w:val="none" w:sz="0" w:space="0" w:color="auto"/>
                      </w:divBdr>
                    </w:div>
                    <w:div w:id="8121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06431">
          <w:marLeft w:val="0"/>
          <w:marRight w:val="0"/>
          <w:marTop w:val="375"/>
          <w:marBottom w:val="375"/>
          <w:divBdr>
            <w:top w:val="none" w:sz="0" w:space="0" w:color="auto"/>
            <w:left w:val="none" w:sz="0" w:space="0" w:color="auto"/>
            <w:bottom w:val="none" w:sz="0" w:space="0" w:color="auto"/>
            <w:right w:val="none" w:sz="0" w:space="0" w:color="auto"/>
          </w:divBdr>
        </w:div>
        <w:div w:id="1195923133">
          <w:marLeft w:val="0"/>
          <w:marRight w:val="0"/>
          <w:marTop w:val="375"/>
          <w:marBottom w:val="375"/>
          <w:divBdr>
            <w:top w:val="none" w:sz="0" w:space="0" w:color="auto"/>
            <w:left w:val="none" w:sz="0" w:space="0" w:color="auto"/>
            <w:bottom w:val="none" w:sz="0" w:space="0" w:color="auto"/>
            <w:right w:val="none" w:sz="0" w:space="0" w:color="auto"/>
          </w:divBdr>
        </w:div>
        <w:div w:id="1392273116">
          <w:marLeft w:val="0"/>
          <w:marRight w:val="0"/>
          <w:marTop w:val="375"/>
          <w:marBottom w:val="375"/>
          <w:divBdr>
            <w:top w:val="none" w:sz="0" w:space="0" w:color="auto"/>
            <w:left w:val="none" w:sz="0" w:space="0" w:color="auto"/>
            <w:bottom w:val="none" w:sz="0" w:space="0" w:color="auto"/>
            <w:right w:val="none" w:sz="0" w:space="0" w:color="auto"/>
          </w:divBdr>
        </w:div>
        <w:div w:id="1475021899">
          <w:marLeft w:val="0"/>
          <w:marRight w:val="0"/>
          <w:marTop w:val="375"/>
          <w:marBottom w:val="375"/>
          <w:divBdr>
            <w:top w:val="none" w:sz="0" w:space="0" w:color="auto"/>
            <w:left w:val="none" w:sz="0" w:space="0" w:color="auto"/>
            <w:bottom w:val="none" w:sz="0" w:space="0" w:color="auto"/>
            <w:right w:val="none" w:sz="0" w:space="0" w:color="auto"/>
          </w:divBdr>
          <w:divsChild>
            <w:div w:id="1933077059">
              <w:marLeft w:val="0"/>
              <w:marRight w:val="0"/>
              <w:marTop w:val="0"/>
              <w:marBottom w:val="0"/>
              <w:divBdr>
                <w:top w:val="none" w:sz="0" w:space="0" w:color="auto"/>
                <w:left w:val="none" w:sz="0" w:space="0" w:color="auto"/>
                <w:bottom w:val="none" w:sz="0" w:space="0" w:color="auto"/>
                <w:right w:val="none" w:sz="0" w:space="0" w:color="auto"/>
              </w:divBdr>
              <w:divsChild>
                <w:div w:id="1075859411">
                  <w:marLeft w:val="0"/>
                  <w:marRight w:val="0"/>
                  <w:marTop w:val="0"/>
                  <w:marBottom w:val="0"/>
                  <w:divBdr>
                    <w:top w:val="none" w:sz="0" w:space="0" w:color="auto"/>
                    <w:left w:val="none" w:sz="0" w:space="0" w:color="auto"/>
                    <w:bottom w:val="none" w:sz="0" w:space="0" w:color="auto"/>
                    <w:right w:val="none" w:sz="0" w:space="0" w:color="auto"/>
                  </w:divBdr>
                  <w:divsChild>
                    <w:div w:id="79451600">
                      <w:marLeft w:val="-15"/>
                      <w:marRight w:val="-15"/>
                      <w:marTop w:val="0"/>
                      <w:marBottom w:val="0"/>
                      <w:divBdr>
                        <w:top w:val="none" w:sz="0" w:space="0" w:color="auto"/>
                        <w:left w:val="none" w:sz="0" w:space="0" w:color="auto"/>
                        <w:bottom w:val="none" w:sz="0" w:space="0" w:color="auto"/>
                        <w:right w:val="none" w:sz="0" w:space="0" w:color="auto"/>
                      </w:divBdr>
                    </w:div>
                    <w:div w:id="101896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49572">
          <w:marLeft w:val="0"/>
          <w:marRight w:val="0"/>
          <w:marTop w:val="375"/>
          <w:marBottom w:val="375"/>
          <w:divBdr>
            <w:top w:val="none" w:sz="0" w:space="0" w:color="auto"/>
            <w:left w:val="none" w:sz="0" w:space="0" w:color="auto"/>
            <w:bottom w:val="none" w:sz="0" w:space="0" w:color="auto"/>
            <w:right w:val="none" w:sz="0" w:space="0" w:color="auto"/>
          </w:divBdr>
          <w:divsChild>
            <w:div w:id="445201287">
              <w:marLeft w:val="0"/>
              <w:marRight w:val="0"/>
              <w:marTop w:val="0"/>
              <w:marBottom w:val="0"/>
              <w:divBdr>
                <w:top w:val="none" w:sz="0" w:space="0" w:color="auto"/>
                <w:left w:val="none" w:sz="0" w:space="0" w:color="auto"/>
                <w:bottom w:val="none" w:sz="0" w:space="0" w:color="auto"/>
                <w:right w:val="none" w:sz="0" w:space="0" w:color="auto"/>
              </w:divBdr>
              <w:divsChild>
                <w:div w:id="1036855923">
                  <w:marLeft w:val="0"/>
                  <w:marRight w:val="0"/>
                  <w:marTop w:val="0"/>
                  <w:marBottom w:val="0"/>
                  <w:divBdr>
                    <w:top w:val="none" w:sz="0" w:space="0" w:color="auto"/>
                    <w:left w:val="none" w:sz="0" w:space="0" w:color="auto"/>
                    <w:bottom w:val="none" w:sz="0" w:space="0" w:color="auto"/>
                    <w:right w:val="none" w:sz="0" w:space="0" w:color="auto"/>
                  </w:divBdr>
                  <w:divsChild>
                    <w:div w:id="1167407136">
                      <w:marLeft w:val="0"/>
                      <w:marRight w:val="0"/>
                      <w:marTop w:val="0"/>
                      <w:marBottom w:val="0"/>
                      <w:divBdr>
                        <w:top w:val="none" w:sz="0" w:space="0" w:color="auto"/>
                        <w:left w:val="none" w:sz="0" w:space="0" w:color="auto"/>
                        <w:bottom w:val="none" w:sz="0" w:space="0" w:color="auto"/>
                        <w:right w:val="none" w:sz="0" w:space="0" w:color="auto"/>
                      </w:divBdr>
                    </w:div>
                    <w:div w:id="159189375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694763512">
          <w:marLeft w:val="0"/>
          <w:marRight w:val="0"/>
          <w:marTop w:val="375"/>
          <w:marBottom w:val="375"/>
          <w:divBdr>
            <w:top w:val="none" w:sz="0" w:space="0" w:color="auto"/>
            <w:left w:val="none" w:sz="0" w:space="0" w:color="auto"/>
            <w:bottom w:val="none" w:sz="0" w:space="0" w:color="auto"/>
            <w:right w:val="none" w:sz="0" w:space="0" w:color="auto"/>
          </w:divBdr>
          <w:divsChild>
            <w:div w:id="1647969246">
              <w:marLeft w:val="0"/>
              <w:marRight w:val="0"/>
              <w:marTop w:val="0"/>
              <w:marBottom w:val="0"/>
              <w:divBdr>
                <w:top w:val="none" w:sz="0" w:space="0" w:color="auto"/>
                <w:left w:val="none" w:sz="0" w:space="0" w:color="auto"/>
                <w:bottom w:val="none" w:sz="0" w:space="0" w:color="auto"/>
                <w:right w:val="none" w:sz="0" w:space="0" w:color="auto"/>
              </w:divBdr>
              <w:divsChild>
                <w:div w:id="1856722145">
                  <w:marLeft w:val="0"/>
                  <w:marRight w:val="0"/>
                  <w:marTop w:val="0"/>
                  <w:marBottom w:val="0"/>
                  <w:divBdr>
                    <w:top w:val="none" w:sz="0" w:space="0" w:color="auto"/>
                    <w:left w:val="none" w:sz="0" w:space="0" w:color="auto"/>
                    <w:bottom w:val="none" w:sz="0" w:space="0" w:color="auto"/>
                    <w:right w:val="none" w:sz="0" w:space="0" w:color="auto"/>
                  </w:divBdr>
                  <w:divsChild>
                    <w:div w:id="553350869">
                      <w:marLeft w:val="0"/>
                      <w:marRight w:val="0"/>
                      <w:marTop w:val="0"/>
                      <w:marBottom w:val="0"/>
                      <w:divBdr>
                        <w:top w:val="none" w:sz="0" w:space="0" w:color="auto"/>
                        <w:left w:val="none" w:sz="0" w:space="0" w:color="auto"/>
                        <w:bottom w:val="none" w:sz="0" w:space="0" w:color="auto"/>
                        <w:right w:val="none" w:sz="0" w:space="0" w:color="auto"/>
                      </w:divBdr>
                    </w:div>
                    <w:div w:id="195975203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113618">
      <w:bodyDiv w:val="1"/>
      <w:marLeft w:val="0"/>
      <w:marRight w:val="0"/>
      <w:marTop w:val="0"/>
      <w:marBottom w:val="0"/>
      <w:divBdr>
        <w:top w:val="none" w:sz="0" w:space="0" w:color="auto"/>
        <w:left w:val="none" w:sz="0" w:space="0" w:color="auto"/>
        <w:bottom w:val="none" w:sz="0" w:space="0" w:color="auto"/>
        <w:right w:val="none" w:sz="0" w:space="0" w:color="auto"/>
      </w:divBdr>
      <w:divsChild>
        <w:div w:id="573977048">
          <w:marLeft w:val="547"/>
          <w:marRight w:val="0"/>
          <w:marTop w:val="0"/>
          <w:marBottom w:val="0"/>
          <w:divBdr>
            <w:top w:val="none" w:sz="0" w:space="0" w:color="auto"/>
            <w:left w:val="none" w:sz="0" w:space="0" w:color="auto"/>
            <w:bottom w:val="none" w:sz="0" w:space="0" w:color="auto"/>
            <w:right w:val="none" w:sz="0" w:space="0" w:color="auto"/>
          </w:divBdr>
        </w:div>
      </w:divsChild>
    </w:div>
    <w:div w:id="1549802532">
      <w:bodyDiv w:val="1"/>
      <w:marLeft w:val="0"/>
      <w:marRight w:val="0"/>
      <w:marTop w:val="0"/>
      <w:marBottom w:val="0"/>
      <w:divBdr>
        <w:top w:val="none" w:sz="0" w:space="0" w:color="auto"/>
        <w:left w:val="none" w:sz="0" w:space="0" w:color="auto"/>
        <w:bottom w:val="none" w:sz="0" w:space="0" w:color="auto"/>
        <w:right w:val="none" w:sz="0" w:space="0" w:color="auto"/>
      </w:divBdr>
    </w:div>
    <w:div w:id="1684161242">
      <w:bodyDiv w:val="1"/>
      <w:marLeft w:val="0"/>
      <w:marRight w:val="0"/>
      <w:marTop w:val="0"/>
      <w:marBottom w:val="0"/>
      <w:divBdr>
        <w:top w:val="none" w:sz="0" w:space="0" w:color="auto"/>
        <w:left w:val="none" w:sz="0" w:space="0" w:color="auto"/>
        <w:bottom w:val="none" w:sz="0" w:space="0" w:color="auto"/>
        <w:right w:val="none" w:sz="0" w:space="0" w:color="auto"/>
      </w:divBdr>
      <w:divsChild>
        <w:div w:id="13102417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3746940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44112054">
                  <w:blockQuote w:val="1"/>
                  <w:marLeft w:val="600"/>
                  <w:marRight w:val="0"/>
                  <w:marTop w:val="120"/>
                  <w:marBottom w:val="120"/>
                  <w:divBdr>
                    <w:top w:val="none" w:sz="0" w:space="0" w:color="auto"/>
                    <w:left w:val="none" w:sz="0" w:space="0" w:color="auto"/>
                    <w:bottom w:val="none" w:sz="0" w:space="0" w:color="auto"/>
                    <w:right w:val="none" w:sz="0" w:space="0" w:color="auto"/>
                  </w:divBdr>
                </w:div>
                <w:div w:id="169830833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70702701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04396486">
                  <w:blockQuote w:val="1"/>
                  <w:marLeft w:val="600"/>
                  <w:marRight w:val="0"/>
                  <w:marTop w:val="120"/>
                  <w:marBottom w:val="120"/>
                  <w:divBdr>
                    <w:top w:val="none" w:sz="0" w:space="0" w:color="auto"/>
                    <w:left w:val="none" w:sz="0" w:space="0" w:color="auto"/>
                    <w:bottom w:val="none" w:sz="0" w:space="0" w:color="auto"/>
                    <w:right w:val="none" w:sz="0" w:space="0" w:color="auto"/>
                  </w:divBdr>
                </w:div>
                <w:div w:id="1119838553">
                  <w:blockQuote w:val="1"/>
                  <w:marLeft w:val="600"/>
                  <w:marRight w:val="0"/>
                  <w:marTop w:val="120"/>
                  <w:marBottom w:val="120"/>
                  <w:divBdr>
                    <w:top w:val="none" w:sz="0" w:space="0" w:color="auto"/>
                    <w:left w:val="none" w:sz="0" w:space="0" w:color="auto"/>
                    <w:bottom w:val="none" w:sz="0" w:space="0" w:color="auto"/>
                    <w:right w:val="none" w:sz="0" w:space="0" w:color="auto"/>
                  </w:divBdr>
                </w:div>
                <w:div w:id="210209807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81335267">
              <w:blockQuote w:val="1"/>
              <w:marLeft w:val="600"/>
              <w:marRight w:val="0"/>
              <w:marTop w:val="120"/>
              <w:marBottom w:val="120"/>
              <w:divBdr>
                <w:top w:val="none" w:sz="0" w:space="0" w:color="auto"/>
                <w:left w:val="none" w:sz="0" w:space="0" w:color="auto"/>
                <w:bottom w:val="none" w:sz="0" w:space="0" w:color="auto"/>
                <w:right w:val="none" w:sz="0" w:space="0" w:color="auto"/>
              </w:divBdr>
            </w:div>
            <w:div w:id="196596307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69309965">
                  <w:blockQuote w:val="1"/>
                  <w:marLeft w:val="600"/>
                  <w:marRight w:val="0"/>
                  <w:marTop w:val="120"/>
                  <w:marBottom w:val="120"/>
                  <w:divBdr>
                    <w:top w:val="none" w:sz="0" w:space="0" w:color="auto"/>
                    <w:left w:val="none" w:sz="0" w:space="0" w:color="auto"/>
                    <w:bottom w:val="none" w:sz="0" w:space="0" w:color="auto"/>
                    <w:right w:val="none" w:sz="0" w:space="0" w:color="auto"/>
                  </w:divBdr>
                </w:div>
                <w:div w:id="200967074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743210843">
      <w:bodyDiv w:val="1"/>
      <w:marLeft w:val="0"/>
      <w:marRight w:val="0"/>
      <w:marTop w:val="0"/>
      <w:marBottom w:val="0"/>
      <w:divBdr>
        <w:top w:val="none" w:sz="0" w:space="0" w:color="auto"/>
        <w:left w:val="none" w:sz="0" w:space="0" w:color="auto"/>
        <w:bottom w:val="none" w:sz="0" w:space="0" w:color="auto"/>
        <w:right w:val="none" w:sz="0" w:space="0" w:color="auto"/>
      </w:divBdr>
    </w:div>
    <w:div w:id="1755323472">
      <w:bodyDiv w:val="1"/>
      <w:marLeft w:val="0"/>
      <w:marRight w:val="0"/>
      <w:marTop w:val="0"/>
      <w:marBottom w:val="0"/>
      <w:divBdr>
        <w:top w:val="none" w:sz="0" w:space="0" w:color="auto"/>
        <w:left w:val="none" w:sz="0" w:space="0" w:color="auto"/>
        <w:bottom w:val="none" w:sz="0" w:space="0" w:color="auto"/>
        <w:right w:val="none" w:sz="0" w:space="0" w:color="auto"/>
      </w:divBdr>
    </w:div>
    <w:div w:id="1816288160">
      <w:bodyDiv w:val="1"/>
      <w:marLeft w:val="0"/>
      <w:marRight w:val="0"/>
      <w:marTop w:val="0"/>
      <w:marBottom w:val="0"/>
      <w:divBdr>
        <w:top w:val="none" w:sz="0" w:space="0" w:color="auto"/>
        <w:left w:val="none" w:sz="0" w:space="0" w:color="auto"/>
        <w:bottom w:val="none" w:sz="0" w:space="0" w:color="auto"/>
        <w:right w:val="none" w:sz="0" w:space="0" w:color="auto"/>
      </w:divBdr>
      <w:divsChild>
        <w:div w:id="514807910">
          <w:marLeft w:val="547"/>
          <w:marRight w:val="0"/>
          <w:marTop w:val="0"/>
          <w:marBottom w:val="0"/>
          <w:divBdr>
            <w:top w:val="none" w:sz="0" w:space="0" w:color="auto"/>
            <w:left w:val="none" w:sz="0" w:space="0" w:color="auto"/>
            <w:bottom w:val="none" w:sz="0" w:space="0" w:color="auto"/>
            <w:right w:val="none" w:sz="0" w:space="0" w:color="auto"/>
          </w:divBdr>
        </w:div>
      </w:divsChild>
    </w:div>
    <w:div w:id="1874803133">
      <w:bodyDiv w:val="1"/>
      <w:marLeft w:val="0"/>
      <w:marRight w:val="0"/>
      <w:marTop w:val="0"/>
      <w:marBottom w:val="0"/>
      <w:divBdr>
        <w:top w:val="none" w:sz="0" w:space="0" w:color="auto"/>
        <w:left w:val="none" w:sz="0" w:space="0" w:color="auto"/>
        <w:bottom w:val="none" w:sz="0" w:space="0" w:color="auto"/>
        <w:right w:val="none" w:sz="0" w:space="0" w:color="auto"/>
      </w:divBdr>
    </w:div>
    <w:div w:id="1964459551">
      <w:bodyDiv w:val="1"/>
      <w:marLeft w:val="0"/>
      <w:marRight w:val="0"/>
      <w:marTop w:val="0"/>
      <w:marBottom w:val="0"/>
      <w:divBdr>
        <w:top w:val="none" w:sz="0" w:space="0" w:color="auto"/>
        <w:left w:val="none" w:sz="0" w:space="0" w:color="auto"/>
        <w:bottom w:val="none" w:sz="0" w:space="0" w:color="auto"/>
        <w:right w:val="none" w:sz="0" w:space="0" w:color="auto"/>
      </w:divBdr>
    </w:div>
    <w:div w:id="1988049165">
      <w:bodyDiv w:val="1"/>
      <w:marLeft w:val="0"/>
      <w:marRight w:val="0"/>
      <w:marTop w:val="0"/>
      <w:marBottom w:val="0"/>
      <w:divBdr>
        <w:top w:val="none" w:sz="0" w:space="0" w:color="auto"/>
        <w:left w:val="none" w:sz="0" w:space="0" w:color="auto"/>
        <w:bottom w:val="none" w:sz="0" w:space="0" w:color="auto"/>
        <w:right w:val="none" w:sz="0" w:space="0" w:color="auto"/>
      </w:divBdr>
    </w:div>
    <w:div w:id="201171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image" Target="media/image8.png"/><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image" Target="media/image7.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ross\OneDrive%20-%20Productivity%20Commission\CtGReviewDR-template.dotx" TargetMode="External"/></Relationships>
</file>

<file path=word/theme/theme1.xml><?xml version="1.0" encoding="utf-8"?>
<a:theme xmlns:a="http://schemas.openxmlformats.org/drawingml/2006/main" name="CTG Review Colour Palette-01">
  <a:themeElements>
    <a:clrScheme name="CTG Review Colour Paletter-02">
      <a:dk1>
        <a:srgbClr val="000000"/>
      </a:dk1>
      <a:lt1>
        <a:srgbClr val="FFFFFF"/>
      </a:lt1>
      <a:dk2>
        <a:srgbClr val="CB6027"/>
      </a:dk2>
      <a:lt2>
        <a:srgbClr val="0D8380"/>
      </a:lt2>
      <a:accent1>
        <a:srgbClr val="88593C"/>
      </a:accent1>
      <a:accent2>
        <a:srgbClr val="E3B282"/>
      </a:accent2>
      <a:accent3>
        <a:srgbClr val="286CB5"/>
      </a:accent3>
      <a:accent4>
        <a:srgbClr val="49BA73"/>
      </a:accent4>
      <a:accent5>
        <a:srgbClr val="E37E26"/>
      </a:accent5>
      <a:accent6>
        <a:srgbClr val="3ABFC1"/>
      </a:accent6>
      <a:hlink>
        <a:srgbClr val="134882"/>
      </a:hlink>
      <a:folHlink>
        <a:srgbClr val="1D1D1B"/>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lumMod val="20000"/>
            <a:lumOff val="80000"/>
          </a:schemeClr>
        </a:solidFill>
        <a:ln>
          <a:noFill/>
        </a:ln>
      </a:spPr>
      <a:bodyPr rtlCol="0" anchor="ctr"/>
      <a:lstStyle>
        <a:defPPr algn="l">
          <a:spcBef>
            <a:spcPts val="1200"/>
          </a:spcBef>
          <a:spcAft>
            <a:spcPts val="600"/>
          </a:spcAft>
          <a:defRPr sz="1000" b="1" dirty="0">
            <a:solidFill>
              <a:schemeClr val="tx1"/>
            </a:solidFill>
            <a:latin typeface="Arial" panose="020B0604020202020204" pitchFamily="34" charset="0"/>
            <a:cs typeface="Arial" panose="020B0604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bg1">
              <a:lumMod val="65000"/>
            </a:schemeClr>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CTG Review Colour Palette-01" id="{7425C606-0149-B14D-A561-0B6DECB16BFF}" vid="{376D2216-7354-A14E-8E71-4BA9619DA613}"/>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2BD4FC2-246F-A047-94F9-9CE3FAB29EB0}">
  <we:reference id="c112e7c3-664d-4d8c-93c0-1a34f676523c" version="1.0.0.7"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TemplateConfiguration><![CDATA[{"elementsMetadata":[],"transformationConfigurations":[],"templateName":"chapter","templateDescription":"","enableDocumentContentUpdater":false,"version":"2.0"}]]></TemplafyTemplateConfiguration>
</file>

<file path=customXml/item2.xml><?xml version="1.0" encoding="utf-8"?>
<ct:contentTypeSchema xmlns:ct="http://schemas.microsoft.com/office/2006/metadata/contentType" xmlns:ma="http://schemas.microsoft.com/office/2006/metadata/properties/metaAttributes" ct:_="" ma:_="" ma:contentTypeName="Document" ma:contentTypeID="0x010100FB96E3CF83C1344E85383C533D19657E" ma:contentTypeVersion="25" ma:contentTypeDescription="Create a new document." ma:contentTypeScope="" ma:versionID="42d3d3f51b1401d45d7b73a903f4f720">
  <xsd:schema xmlns:xsd="http://www.w3.org/2001/XMLSchema" xmlns:xs="http://www.w3.org/2001/XMLSchema" xmlns:p="http://schemas.microsoft.com/office/2006/metadata/properties" xmlns:ns2="023976aa-9336-49fb-823a-1a42afcf7aae" xmlns:ns3="30aed58d-9451-42ce-8aa5-12955cf0519a" targetNamespace="http://schemas.microsoft.com/office/2006/metadata/properties" ma:root="true" ma:fieldsID="7e524f3406e3b65c2db44158046421b5" ns2:_="" ns3:_="">
    <xsd:import namespace="023976aa-9336-49fb-823a-1a42afcf7aae"/>
    <xsd:import namespace="30aed58d-9451-42ce-8aa5-12955cf0519a"/>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Typeoforganis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976aa-9336-49fb-823a-1a42afcf7aa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8316321-540c-4d7d-a321-19523892d3e7}" ma:internalName="TaxCatchAll" ma:showField="CatchAllData" ma:web="023976aa-9336-49fb-823a-1a42afcf7aa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aed58d-9451-42ce-8aa5-12955cf051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ypeoforganisation" ma:index="24" nillable="true" ma:displayName="Type of organisation" ma:format="Dropdown" ma:internalName="Typeoforganisation">
      <xsd:simpleType>
        <xsd:restriction base="dms:Choice">
          <xsd:enumeration value="Aboriginal and Torres Strait Islander"/>
          <xsd:enumeration value="Goverment"/>
          <xsd:enumeration value="ALGA"/>
          <xsd:enumeration value="NGO"/>
          <xsd:enumeration value="Research and Consult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aed58d-9451-42ce-8aa5-12955cf0519a">
      <Terms xmlns="http://schemas.microsoft.com/office/infopath/2007/PartnerControls"/>
    </lcf76f155ced4ddcb4097134ff3c332f>
    <TaxCatchAll xmlns="023976aa-9336-49fb-823a-1a42afcf7aae">
      <Value>1</Value>
    </TaxCatchAll>
    <i0f84bba906045b4af568ee102a52dcb xmlns="023976aa-9336-49fb-823a-1a42afcf7aa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ypeoforganisation xmlns="30aed58d-9451-42ce-8aa5-12955cf0519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mplafyFormConfiguration><![CDATA[{"formFields":[],"formDataEntries":[]}]]></TemplafyFormConfiguration>
</file>

<file path=customXml/itemProps1.xml><?xml version="1.0" encoding="utf-8"?>
<ds:datastoreItem xmlns:ds="http://schemas.openxmlformats.org/officeDocument/2006/customXml" ds:itemID="{5CCDCE8C-2FF2-479D-91C1-79A7A7683D3C}">
  <ds:schemaRefs/>
</ds:datastoreItem>
</file>

<file path=customXml/itemProps2.xml><?xml version="1.0" encoding="utf-8"?>
<ds:datastoreItem xmlns:ds="http://schemas.openxmlformats.org/officeDocument/2006/customXml" ds:itemID="{CFA5E9F3-9862-4B35-868E-AFA02354C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976aa-9336-49fb-823a-1a42afcf7aae"/>
    <ds:schemaRef ds:uri="30aed58d-9451-42ce-8aa5-12955cf05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F056A3-C801-44BD-82BE-C487C6E60270}">
  <ds:schemaRefs>
    <ds:schemaRef ds:uri="http://schemas.microsoft.com/office/2006/metadata/properties"/>
    <ds:schemaRef ds:uri="http://schemas.microsoft.com/office/infopath/2007/PartnerControls"/>
    <ds:schemaRef ds:uri="30aed58d-9451-42ce-8aa5-12955cf0519a"/>
    <ds:schemaRef ds:uri="023976aa-9336-49fb-823a-1a42afcf7aae"/>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5.xml><?xml version="1.0" encoding="utf-8"?>
<ds:datastoreItem xmlns:ds="http://schemas.openxmlformats.org/officeDocument/2006/customXml" ds:itemID="{28734400-074E-46CA-932E-EEB84D256B05}">
  <ds:schemaRefs>
    <ds:schemaRef ds:uri="http://schemas.microsoft.com/sharepoint/v3/contenttype/forms"/>
  </ds:schemaRefs>
</ds:datastoreItem>
</file>

<file path=customXml/itemProps6.xml><?xml version="1.0" encoding="utf-8"?>
<ds:datastoreItem xmlns:ds="http://schemas.openxmlformats.org/officeDocument/2006/customXml" ds:itemID="{9897F752-2238-441E-ABA5-DB8C10DEA577}">
  <ds:schemaRefs/>
</ds:datastoreItem>
</file>

<file path=docProps/app.xml><?xml version="1.0" encoding="utf-8"?>
<Properties xmlns="http://schemas.openxmlformats.org/officeDocument/2006/extended-properties" xmlns:vt="http://schemas.openxmlformats.org/officeDocument/2006/docPropsVTypes">
  <Template>C:\Users\mcross\OneDrive - Productivity Commission\CtGReviewDR-template.dotx</Template>
  <TotalTime>26309</TotalTime>
  <Pages>43</Pages>
  <Words>19658</Words>
  <Characters>112052</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Accountability for improving life outcomes for Aboriginal and Torres Strait Islander people - Information paper 7 - Draft report - Review of the National Agreement on Closing the Gap</vt:lpstr>
    </vt:vector>
  </TitlesOfParts>
  <Manager/>
  <Company>Productivity Commission</Company>
  <LinksUpToDate>false</LinksUpToDate>
  <CharactersWithSpaces>131448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Accountability for improving life outcomes for Aboriginal and Torres Strait Islander people - Information paper 7 - Draft report - Review of the National Agreement on Closing the Gap</dc:title>
  <dc:subject/>
  <dc:creator>Productivity Commission</dc:creator>
  <cp:keywords/>
  <dc:description/>
  <cp:lastModifiedBy>Rebecca Leahan</cp:lastModifiedBy>
  <cp:revision>5314</cp:revision>
  <cp:lastPrinted>2023-07-21T02:30:00Z</cp:lastPrinted>
  <dcterms:created xsi:type="dcterms:W3CDTF">2023-03-08T03:35:00Z</dcterms:created>
  <dcterms:modified xsi:type="dcterms:W3CDTF">2023-07-27T06:44:00Z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637629323564275408</vt:lpwstr>
  </property>
  <property fmtid="{D5CDD505-2E9C-101B-9397-08002B2CF9AE}" pid="4" name="TemplafyUserProfileId">
    <vt:lpwstr>638064965987757218</vt:lpwstr>
  </property>
  <property fmtid="{D5CDD505-2E9C-101B-9397-08002B2CF9AE}" pid="5" name="TemplafyFromBlank">
    <vt:bool>false</vt:bool>
  </property>
  <property fmtid="{D5CDD505-2E9C-101B-9397-08002B2CF9AE}" pid="6" name="ContentTypeId">
    <vt:lpwstr>0x010100FB96E3CF83C1344E85383C533D19657E</vt:lpwstr>
  </property>
  <property fmtid="{D5CDD505-2E9C-101B-9397-08002B2CF9AE}" pid="7" name="RevIMBCS">
    <vt:lpwstr>1;#Unclassified|3955eeb1-2d18-4582-aeb2-00144ec3aaf5</vt:lpwstr>
  </property>
  <property fmtid="{D5CDD505-2E9C-101B-9397-08002B2CF9AE}" pid="8" name="MediaServiceImageTags">
    <vt:lpwstr/>
  </property>
  <property fmtid="{D5CDD505-2E9C-101B-9397-08002B2CF9AE}" pid="9" name="ZOTERO_PREF_2">
    <vt:lpwstr>JournalAbbreviations" value="true"/&gt;&lt;/prefs&gt;&lt;/data&gt;</vt:lpwstr>
  </property>
  <property fmtid="{D5CDD505-2E9C-101B-9397-08002B2CF9AE}" pid="10" name="ZOTERO_PREF_1">
    <vt:lpwstr>&lt;data data-version="3" zotero-version="6.0.26"&gt;&lt;session id="f2BXSbmD"/&gt;&lt;style id="http://www.zotero.org/styles/Productivity-Commission" hasBibliography="1" bibliographyStyleHasBeenSet="1"/&gt;&lt;prefs&gt;&lt;pref name="fieldType" value="Field"/&gt;&lt;pref name="automatic</vt:lpwstr>
  </property>
</Properties>
</file>