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8A773" w14:textId="3D33274A" w:rsidR="00E62CFE" w:rsidRPr="008E3332" w:rsidRDefault="003A0BF9" w:rsidP="003D4210">
      <w:pPr>
        <w:pStyle w:val="Heading2"/>
        <w:spacing w:before="360" w:line="240" w:lineRule="auto"/>
        <w:rPr>
          <w:color w:val="573C2C"/>
        </w:rPr>
      </w:pPr>
      <w:r w:rsidRPr="008E3332">
        <w:rPr>
          <w:color w:val="573C2C"/>
        </w:rPr>
        <w:t>The National Agreement on Closing the Gap</w:t>
      </w:r>
      <w:r w:rsidR="005D33C2" w:rsidRPr="008E3332">
        <w:rPr>
          <w:color w:val="573C2C"/>
        </w:rPr>
        <w:t xml:space="preserve"> </w:t>
      </w:r>
      <w:r w:rsidRPr="008E3332">
        <w:rPr>
          <w:color w:val="573C2C"/>
        </w:rPr>
        <w:t>was agreed upon in 2020 and builds on:</w:t>
      </w:r>
    </w:p>
    <w:p w14:paraId="5AC0EFFB" w14:textId="405647E9" w:rsidR="000177C2" w:rsidRPr="00341BA8" w:rsidRDefault="000177C2" w:rsidP="008A4EA3">
      <w:pPr>
        <w:pStyle w:val="ListBullet2"/>
        <w:contextualSpacing w:val="0"/>
      </w:pPr>
      <w:r w:rsidRPr="00341BA8">
        <w:t>existing shared decision-making</w:t>
      </w:r>
      <w:r w:rsidRPr="00341BA8">
        <w:rPr>
          <w:b/>
        </w:rPr>
        <w:t xml:space="preserve"> </w:t>
      </w:r>
      <w:r w:rsidRPr="00341BA8">
        <w:t>structures</w:t>
      </w:r>
    </w:p>
    <w:p w14:paraId="7795CBE9" w14:textId="77777777" w:rsidR="00EB769E" w:rsidRPr="00341BA8" w:rsidRDefault="000177C2" w:rsidP="005A2819">
      <w:pPr>
        <w:pStyle w:val="ListBullet2"/>
      </w:pPr>
      <w:r w:rsidRPr="00341BA8">
        <w:t>the previous National Indigenous Reform</w:t>
      </w:r>
      <w:r w:rsidR="00EB769E" w:rsidRPr="00341BA8">
        <w:t xml:space="preserve"> </w:t>
      </w:r>
      <w:r w:rsidRPr="00341BA8">
        <w:t>Agreement.</w:t>
      </w:r>
    </w:p>
    <w:p w14:paraId="312DF502" w14:textId="11E5ED27" w:rsidR="00CA3359" w:rsidRPr="008E3332" w:rsidRDefault="00CA3359" w:rsidP="003D4210">
      <w:pPr>
        <w:pStyle w:val="Heading2"/>
        <w:spacing w:before="120" w:line="240" w:lineRule="auto"/>
        <w:rPr>
          <w:color w:val="573C2C"/>
        </w:rPr>
      </w:pPr>
      <w:r w:rsidRPr="008E3332">
        <w:rPr>
          <w:color w:val="573C2C"/>
        </w:rPr>
        <w:t>The Agreement is unlike other national Agreements</w:t>
      </w:r>
    </w:p>
    <w:p w14:paraId="2600494B" w14:textId="250DB9C5" w:rsidR="000D0C31" w:rsidRPr="00341BA8" w:rsidRDefault="0095623D" w:rsidP="008A4EA3">
      <w:pPr>
        <w:pStyle w:val="ListBullet2"/>
        <w:contextualSpacing w:val="0"/>
      </w:pPr>
      <w:r w:rsidRPr="00341BA8">
        <w:t>It is the first that includes a non</w:t>
      </w:r>
      <w:r w:rsidRPr="00341BA8">
        <w:rPr>
          <w:rFonts w:ascii="Cambria Math" w:hAnsi="Cambria Math" w:cs="Cambria Math"/>
        </w:rPr>
        <w:t>‑</w:t>
      </w:r>
      <w:r w:rsidRPr="00341BA8">
        <w:t>government</w:t>
      </w:r>
      <w:r w:rsidRPr="00341BA8">
        <w:rPr>
          <w:b/>
        </w:rPr>
        <w:t xml:space="preserve"> </w:t>
      </w:r>
      <w:r w:rsidRPr="00341BA8">
        <w:t>signatory (the Coalition of Peaks).</w:t>
      </w:r>
    </w:p>
    <w:p w14:paraId="1D16225F" w14:textId="17EABF1A" w:rsidR="00AE6741" w:rsidRPr="00341BA8" w:rsidRDefault="000D0C31" w:rsidP="00F259F8">
      <w:pPr>
        <w:pStyle w:val="ListBullet2"/>
      </w:pPr>
      <w:r w:rsidRPr="00341BA8">
        <w:t>It is ambitious in the scale of change required – it calls for fundamental change in the way</w:t>
      </w:r>
      <w:r w:rsidR="00AE6741" w:rsidRPr="00341BA8">
        <w:t xml:space="preserve"> </w:t>
      </w:r>
      <w:r w:rsidRPr="00341BA8">
        <w:t xml:space="preserve">governments work with Aboriginal and Torres Strait Islander people. </w:t>
      </w:r>
    </w:p>
    <w:p w14:paraId="1354B8C8" w14:textId="4188B8B9" w:rsidR="008B181F" w:rsidRPr="008E3332" w:rsidRDefault="00AE6741" w:rsidP="003D4210">
      <w:pPr>
        <w:pStyle w:val="Heading2"/>
        <w:spacing w:before="120" w:line="240" w:lineRule="auto"/>
        <w:rPr>
          <w:color w:val="000000" w:themeColor="text1"/>
        </w:rPr>
      </w:pPr>
      <w:r w:rsidRPr="008E3332">
        <w:rPr>
          <w:color w:val="000000" w:themeColor="text1"/>
        </w:rPr>
        <w:t>There are four Priority Reforms</w:t>
      </w:r>
      <w:r w:rsidR="008B181F" w:rsidRPr="008E3332">
        <w:rPr>
          <w:color w:val="000000" w:themeColor="text1"/>
        </w:rPr>
        <w:t xml:space="preserve"> </w:t>
      </w:r>
      <w:r w:rsidRPr="008E3332">
        <w:rPr>
          <w:color w:val="000000" w:themeColor="text1"/>
        </w:rPr>
        <w:t>in the Agreement</w:t>
      </w:r>
    </w:p>
    <w:p w14:paraId="2D3E0D76" w14:textId="77777777" w:rsidR="008E3332" w:rsidRPr="0015323F" w:rsidRDefault="006F0457" w:rsidP="008E3332">
      <w:pPr>
        <w:spacing w:after="0"/>
        <w:rPr>
          <w:b/>
          <w:bCs/>
          <w:color w:val="573C2C"/>
          <w:u w:val="single"/>
        </w:rPr>
      </w:pPr>
      <w:r w:rsidRPr="0015323F">
        <w:rPr>
          <w:b/>
          <w:bCs/>
          <w:color w:val="573C2C"/>
          <w:u w:val="single"/>
        </w:rPr>
        <w:t>Priority Reform 1</w:t>
      </w:r>
      <w:r w:rsidR="0046180E" w:rsidRPr="0015323F">
        <w:rPr>
          <w:b/>
          <w:bCs/>
          <w:color w:val="573C2C"/>
          <w:u w:val="single"/>
        </w:rPr>
        <w:t xml:space="preserve"> </w:t>
      </w:r>
    </w:p>
    <w:p w14:paraId="5EE9A00C" w14:textId="48B39A94" w:rsidR="0046180E" w:rsidRPr="00341BA8" w:rsidRDefault="00D10D86" w:rsidP="008E3332">
      <w:pPr>
        <w:spacing w:after="120"/>
      </w:pPr>
      <w:r w:rsidRPr="00341BA8">
        <w:t>Formal partnerships and shared decision</w:t>
      </w:r>
      <w:r w:rsidR="008E3332">
        <w:t xml:space="preserve"> </w:t>
      </w:r>
      <w:r w:rsidRPr="00341BA8">
        <w:t>making</w:t>
      </w:r>
    </w:p>
    <w:p w14:paraId="05B78261" w14:textId="46CF616C" w:rsidR="008E3332" w:rsidRPr="0015323F" w:rsidRDefault="0046180E" w:rsidP="008E3332">
      <w:pPr>
        <w:spacing w:after="0"/>
        <w:rPr>
          <w:b/>
          <w:bCs/>
          <w:color w:val="573C2C"/>
          <w:u w:val="single"/>
        </w:rPr>
      </w:pPr>
      <w:r w:rsidRPr="0015323F">
        <w:rPr>
          <w:b/>
          <w:bCs/>
          <w:color w:val="573C2C"/>
          <w:u w:val="single"/>
        </w:rPr>
        <w:t>Priority Reform 2</w:t>
      </w:r>
    </w:p>
    <w:p w14:paraId="3ECB27A1" w14:textId="46CC00C5" w:rsidR="0046180E" w:rsidRPr="00341BA8" w:rsidRDefault="00104EE3" w:rsidP="008E3332">
      <w:pPr>
        <w:spacing w:after="120"/>
      </w:pPr>
      <w:r w:rsidRPr="00341BA8">
        <w:t xml:space="preserve">Building the </w:t>
      </w:r>
      <w:r w:rsidR="005A2819" w:rsidRPr="00341BA8">
        <w:t>community-controlled</w:t>
      </w:r>
      <w:r w:rsidRPr="00341BA8">
        <w:t xml:space="preserve"> sector</w:t>
      </w:r>
    </w:p>
    <w:p w14:paraId="41F70888" w14:textId="72A499DB" w:rsidR="008E3332" w:rsidRPr="0015323F" w:rsidRDefault="0046180E" w:rsidP="008E3332">
      <w:pPr>
        <w:spacing w:after="0"/>
        <w:rPr>
          <w:b/>
          <w:bCs/>
          <w:color w:val="573C2C"/>
          <w:u w:val="single"/>
        </w:rPr>
      </w:pPr>
      <w:r w:rsidRPr="0015323F">
        <w:rPr>
          <w:b/>
          <w:bCs/>
          <w:color w:val="573C2C"/>
          <w:u w:val="single"/>
        </w:rPr>
        <w:t>Priority Reform 3</w:t>
      </w:r>
    </w:p>
    <w:p w14:paraId="5ED214FA" w14:textId="2D94D689" w:rsidR="002A452A" w:rsidRPr="00341BA8" w:rsidRDefault="002A452A" w:rsidP="008E3332">
      <w:pPr>
        <w:spacing w:after="120"/>
      </w:pPr>
      <w:r w:rsidRPr="00341BA8">
        <w:t>Transforming government organisations</w:t>
      </w:r>
    </w:p>
    <w:p w14:paraId="5CAC2C68" w14:textId="77777777" w:rsidR="008E3332" w:rsidRPr="0015323F" w:rsidRDefault="00104EE3" w:rsidP="008E3332">
      <w:pPr>
        <w:spacing w:after="0"/>
        <w:rPr>
          <w:b/>
          <w:bCs/>
          <w:color w:val="573C2C"/>
          <w:u w:val="single"/>
        </w:rPr>
      </w:pPr>
      <w:r w:rsidRPr="0015323F">
        <w:rPr>
          <w:b/>
          <w:bCs/>
          <w:color w:val="573C2C"/>
          <w:u w:val="single"/>
        </w:rPr>
        <w:t xml:space="preserve">Priority Reform 4 </w:t>
      </w:r>
    </w:p>
    <w:p w14:paraId="5627E163" w14:textId="3D7F81B8" w:rsidR="0087093B" w:rsidRPr="00341BA8" w:rsidRDefault="002A452A" w:rsidP="008E3332">
      <w:pPr>
        <w:spacing w:after="0"/>
      </w:pPr>
      <w:r w:rsidRPr="00341BA8">
        <w:t>Shared access to data and information at a</w:t>
      </w:r>
      <w:r w:rsidR="0098619D">
        <w:t xml:space="preserve"> </w:t>
      </w:r>
      <w:r w:rsidRPr="00341BA8">
        <w:t xml:space="preserve">regional level </w:t>
      </w:r>
    </w:p>
    <w:p w14:paraId="43ADE367" w14:textId="537598DA" w:rsidR="0046180E" w:rsidRPr="00341BA8" w:rsidRDefault="0087093B" w:rsidP="008E3332">
      <w:pPr>
        <w:spacing w:before="120" w:after="0"/>
      </w:pPr>
      <w:r w:rsidRPr="00341BA8">
        <w:t>This review focused on assessing progress against the Priority Reforms and identifying ways to accelerate progress to improve socio-economic outcomes.</w:t>
      </w:r>
      <w:r w:rsidR="008E3332">
        <w:br w:type="column"/>
      </w:r>
    </w:p>
    <w:p w14:paraId="23EB3A81" w14:textId="6460A41B" w:rsidR="0071016E" w:rsidRPr="008E3332" w:rsidRDefault="005A3A6E" w:rsidP="00521DD5">
      <w:pPr>
        <w:pStyle w:val="Heading2"/>
        <w:spacing w:before="0"/>
        <w:rPr>
          <w:color w:val="0D8380"/>
        </w:rPr>
      </w:pPr>
      <w:r w:rsidRPr="008E3332">
        <w:rPr>
          <w:color w:val="0D8380"/>
        </w:rPr>
        <w:t>Engagement for this review</w:t>
      </w:r>
    </w:p>
    <w:p w14:paraId="21FC5943" w14:textId="2B574AAC" w:rsidR="005A3A6E" w:rsidRPr="00341BA8" w:rsidRDefault="00322350" w:rsidP="005A2819">
      <w:r w:rsidRPr="00341BA8">
        <w:t>We engaged with Aboriginal and Torres Strait Islander organisations and communities from</w:t>
      </w:r>
      <w:r w:rsidR="00794223">
        <w:t xml:space="preserve"> </w:t>
      </w:r>
      <w:r w:rsidRPr="00341BA8">
        <w:t>across the country and a wide range of sectors.</w:t>
      </w:r>
    </w:p>
    <w:p w14:paraId="7F09B82F" w14:textId="5038FCC4" w:rsidR="00886F80" w:rsidRPr="00341BA8" w:rsidRDefault="00CF5F83" w:rsidP="008A4EA3">
      <w:pPr>
        <w:pStyle w:val="ListBullet2"/>
        <w:contextualSpacing w:val="0"/>
      </w:pPr>
      <w:r w:rsidRPr="00341BA8">
        <w:rPr>
          <w:lang w:val="en-GB"/>
        </w:rPr>
        <w:t xml:space="preserve">We held 235 meetings, including </w:t>
      </w:r>
      <w:r w:rsidRPr="00341BA8">
        <w:rPr>
          <w:b/>
          <w:bCs/>
          <w:lang w:val="en-GB"/>
        </w:rPr>
        <w:t>136</w:t>
      </w:r>
      <w:r w:rsidR="00777BF0">
        <w:rPr>
          <w:b/>
          <w:bCs/>
          <w:lang w:val="en-GB"/>
        </w:rPr>
        <w:t> </w:t>
      </w:r>
      <w:r w:rsidRPr="00341BA8">
        <w:rPr>
          <w:b/>
          <w:bCs/>
          <w:lang w:val="en-GB"/>
        </w:rPr>
        <w:t>meetings</w:t>
      </w:r>
      <w:r w:rsidRPr="00341BA8">
        <w:rPr>
          <w:lang w:val="en-GB"/>
        </w:rPr>
        <w:t xml:space="preserve"> with Aboriginal and Torres Strait Islander organisations.</w:t>
      </w:r>
    </w:p>
    <w:p w14:paraId="668D8F66" w14:textId="7356AE44" w:rsidR="000B20BF" w:rsidRPr="00341BA8" w:rsidRDefault="00886F80" w:rsidP="008A4EA3">
      <w:pPr>
        <w:pStyle w:val="ListBullet2"/>
        <w:contextualSpacing w:val="0"/>
      </w:pPr>
      <w:r w:rsidRPr="00341BA8">
        <w:t xml:space="preserve">We received 101 submissions, including </w:t>
      </w:r>
      <w:r w:rsidRPr="00341BA8">
        <w:rPr>
          <w:b/>
          <w:bCs/>
        </w:rPr>
        <w:t>51 submissions</w:t>
      </w:r>
      <w:r w:rsidRPr="00341BA8">
        <w:t xml:space="preserve"> </w:t>
      </w:r>
      <w:r w:rsidRPr="00341BA8">
        <w:rPr>
          <w:rFonts w:cs="Open Sans"/>
          <w:color w:val="000000"/>
        </w:rPr>
        <w:t>from Aboriginal and Torres Strait Islander organisations.</w:t>
      </w:r>
    </w:p>
    <w:p w14:paraId="693AAADB" w14:textId="76D8E1BF" w:rsidR="00654390" w:rsidRPr="00341BA8" w:rsidRDefault="000B20BF" w:rsidP="005A2819">
      <w:pPr>
        <w:pStyle w:val="ListBullet2"/>
      </w:pPr>
      <w:r w:rsidRPr="00341BA8">
        <w:rPr>
          <w:rFonts w:cs="Times New Roman"/>
          <w:lang w:val="en-GB"/>
        </w:rPr>
        <w:t xml:space="preserve">We held </w:t>
      </w:r>
      <w:r w:rsidRPr="00341BA8">
        <w:rPr>
          <w:b/>
          <w:bCs/>
        </w:rPr>
        <w:t>7 virtual roundtables</w:t>
      </w:r>
      <w:r w:rsidRPr="00341BA8">
        <w:rPr>
          <w:rFonts w:ascii="Tragic Marker" w:hAnsi="Tragic Marker" w:cs="Tragic Marker"/>
          <w:color w:val="0C8380"/>
          <w:lang w:val="en-GB"/>
        </w:rPr>
        <w:t xml:space="preserve"> </w:t>
      </w:r>
      <w:r w:rsidRPr="00341BA8">
        <w:rPr>
          <w:lang w:val="en-GB"/>
        </w:rPr>
        <w:t>to discuss priority policy areas.</w:t>
      </w:r>
    </w:p>
    <w:p w14:paraId="67A633D9" w14:textId="1FC7BA20" w:rsidR="000331C7" w:rsidRPr="008E3332" w:rsidRDefault="000331C7" w:rsidP="00AA6465">
      <w:pPr>
        <w:pStyle w:val="Heading2"/>
        <w:spacing w:before="120"/>
        <w:rPr>
          <w:color w:val="0D8380"/>
        </w:rPr>
      </w:pPr>
      <w:r w:rsidRPr="008E3332">
        <w:rPr>
          <w:color w:val="0D8380"/>
        </w:rPr>
        <w:t>Our Engagement Principles</w:t>
      </w:r>
    </w:p>
    <w:p w14:paraId="5D0D775D" w14:textId="7E10DA28" w:rsidR="000331C7" w:rsidRPr="00161F0C" w:rsidRDefault="00A57847" w:rsidP="008A4EA3">
      <w:pPr>
        <w:pStyle w:val="ListbulletTICK"/>
        <w:ind w:hanging="357"/>
        <w:contextualSpacing w:val="0"/>
      </w:pPr>
      <w:r w:rsidRPr="00161F0C">
        <w:t xml:space="preserve">Fairness and inclusivity </w:t>
      </w:r>
    </w:p>
    <w:p w14:paraId="6B309785" w14:textId="147538DE" w:rsidR="00A236CD" w:rsidRPr="00161F0C" w:rsidRDefault="00A57847" w:rsidP="008A4EA3">
      <w:pPr>
        <w:pStyle w:val="ListbulletTICK"/>
        <w:ind w:hanging="357"/>
        <w:contextualSpacing w:val="0"/>
      </w:pPr>
      <w:r w:rsidRPr="00161F0C">
        <w:t>Consistent and ongoing engagement</w:t>
      </w:r>
    </w:p>
    <w:p w14:paraId="7A380B4A" w14:textId="037D07D8" w:rsidR="00A236CD" w:rsidRPr="00161F0C" w:rsidRDefault="00A236CD" w:rsidP="008A4EA3">
      <w:pPr>
        <w:pStyle w:val="ListbulletTICK"/>
        <w:spacing w:before="0"/>
        <w:ind w:hanging="357"/>
        <w:contextualSpacing w:val="0"/>
      </w:pPr>
      <w:r w:rsidRPr="00161F0C">
        <w:t xml:space="preserve">Transparency and openness </w:t>
      </w:r>
    </w:p>
    <w:p w14:paraId="219CC48D" w14:textId="01EB065C" w:rsidR="005A2819" w:rsidRDefault="0015166A" w:rsidP="00627DE8">
      <w:pPr>
        <w:pStyle w:val="ListbulletTICK"/>
      </w:pPr>
      <w:r w:rsidRPr="00161F0C">
        <w:t>Reciprocity</w:t>
      </w:r>
    </w:p>
    <w:p w14:paraId="379634E3" w14:textId="6C1F72A7" w:rsidR="00167423" w:rsidRPr="008E3332" w:rsidRDefault="00167423" w:rsidP="00AA6465">
      <w:pPr>
        <w:pStyle w:val="Heading2"/>
        <w:spacing w:before="120"/>
        <w:rPr>
          <w:color w:val="0D8380"/>
        </w:rPr>
      </w:pPr>
      <w:r w:rsidRPr="008E3332">
        <w:rPr>
          <w:color w:val="0D8380"/>
        </w:rPr>
        <w:t>We assessed progress by:</w:t>
      </w:r>
    </w:p>
    <w:p w14:paraId="6729F967" w14:textId="298F0A6B" w:rsidR="00037DB8" w:rsidRPr="00341BA8" w:rsidRDefault="00037DB8" w:rsidP="008A4EA3">
      <w:pPr>
        <w:pStyle w:val="ListBullet"/>
        <w:contextualSpacing w:val="0"/>
        <w:rPr>
          <w:szCs w:val="22"/>
          <w:lang w:val="en-GB"/>
        </w:rPr>
      </w:pPr>
      <w:r w:rsidRPr="00341BA8">
        <w:rPr>
          <w:szCs w:val="22"/>
          <w:lang w:val="en-GB"/>
        </w:rPr>
        <w:t xml:space="preserve">measuring the progress of the specific </w:t>
      </w:r>
      <w:r w:rsidR="00F43089" w:rsidRPr="00F43089">
        <w:rPr>
          <w:szCs w:val="22"/>
          <w:lang w:val="en-GB"/>
        </w:rPr>
        <w:t xml:space="preserve">commitments in the Agreement </w:t>
      </w:r>
    </w:p>
    <w:p w14:paraId="7029E007" w14:textId="267B5820" w:rsidR="00037DB8" w:rsidRPr="00341BA8" w:rsidRDefault="00F43089" w:rsidP="008A4EA3">
      <w:pPr>
        <w:pStyle w:val="ListBullet"/>
        <w:contextualSpacing w:val="0"/>
        <w:rPr>
          <w:szCs w:val="22"/>
          <w:lang w:val="en-GB"/>
        </w:rPr>
      </w:pPr>
      <w:r w:rsidRPr="00F43089">
        <w:rPr>
          <w:szCs w:val="22"/>
          <w:lang w:val="en-GB"/>
        </w:rPr>
        <w:t>reviewing the actions governments have set out in their implementation plans</w:t>
      </w:r>
    </w:p>
    <w:p w14:paraId="562FA06E" w14:textId="1BB5B9B4" w:rsidR="00BC434C" w:rsidRDefault="00F43089" w:rsidP="00AA6465">
      <w:pPr>
        <w:pStyle w:val="ListBullet"/>
        <w:spacing w:after="240"/>
        <w:rPr>
          <w:szCs w:val="22"/>
          <w:lang w:val="en-GB"/>
        </w:rPr>
      </w:pPr>
      <w:r w:rsidRPr="00341BA8">
        <w:rPr>
          <w:szCs w:val="22"/>
          <w:lang w:val="en-GB"/>
        </w:rPr>
        <w:t>noting where we can see progress has been made and where more work is needed.</w:t>
      </w:r>
    </w:p>
    <w:p w14:paraId="359C8B95" w14:textId="77777777" w:rsidR="00AA6465" w:rsidRDefault="00AA6465" w:rsidP="00AA6465">
      <w:pPr>
        <w:pStyle w:val="ListBullet"/>
        <w:numPr>
          <w:ilvl w:val="0"/>
          <w:numId w:val="0"/>
        </w:numPr>
        <w:spacing w:after="240"/>
        <w:rPr>
          <w:szCs w:val="22"/>
          <w:lang w:val="en-GB"/>
        </w:rPr>
      </w:pPr>
    </w:p>
    <w:p w14:paraId="4F77C871" w14:textId="54CF6AC1" w:rsidR="002961F2" w:rsidRDefault="001C6B00" w:rsidP="00AA6465">
      <w:pPr>
        <w:pStyle w:val="ListBullet"/>
        <w:numPr>
          <w:ilvl w:val="0"/>
          <w:numId w:val="0"/>
        </w:numPr>
        <w:spacing w:before="480"/>
        <w:ind w:left="227" w:hanging="227"/>
        <w:jc w:val="center"/>
        <w:rPr>
          <w:sz w:val="36"/>
          <w:szCs w:val="36"/>
          <w:lang w:val="en-GB"/>
        </w:rPr>
        <w:sectPr w:rsidR="002961F2" w:rsidSect="001C7C66">
          <w:headerReference w:type="even" r:id="rId13"/>
          <w:headerReference w:type="default" r:id="rId14"/>
          <w:footerReference w:type="even" r:id="rId15"/>
          <w:footerReference w:type="default" r:id="rId16"/>
          <w:headerReference w:type="first" r:id="rId17"/>
          <w:footerReference w:type="first" r:id="rId18"/>
          <w:pgSz w:w="11906" w:h="16838"/>
          <w:pgMar w:top="2693" w:right="1134" w:bottom="1701" w:left="1134" w:header="284" w:footer="567" w:gutter="0"/>
          <w:cols w:num="2" w:space="708"/>
          <w:docGrid w:linePitch="360"/>
        </w:sectPr>
      </w:pPr>
      <w:r w:rsidRPr="00AA6465">
        <w:rPr>
          <w:noProof/>
          <w:sz w:val="36"/>
          <w:szCs w:val="36"/>
        </w:rPr>
        <w:drawing>
          <wp:inline distT="0" distB="0" distL="0" distR="0" wp14:anchorId="6078AECB" wp14:editId="2D14DDFE">
            <wp:extent cx="849630" cy="422910"/>
            <wp:effectExtent l="0" t="0" r="1270" b="0"/>
            <wp:docPr id="946870363" name="Picture 946870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70363" name="Picture 946870363">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397" r="-1664"/>
                    <a:stretch/>
                  </pic:blipFill>
                  <pic:spPr bwMode="auto">
                    <a:xfrm>
                      <a:off x="0" y="0"/>
                      <a:ext cx="849630" cy="422910"/>
                    </a:xfrm>
                    <a:prstGeom prst="rect">
                      <a:avLst/>
                    </a:prstGeom>
                    <a:ln>
                      <a:noFill/>
                    </a:ln>
                    <a:extLst>
                      <a:ext uri="{53640926-AAD7-44D8-BBD7-CCE9431645EC}">
                        <a14:shadowObscured xmlns:a14="http://schemas.microsoft.com/office/drawing/2010/main"/>
                      </a:ext>
                    </a:extLst>
                  </pic:spPr>
                </pic:pic>
              </a:graphicData>
            </a:graphic>
          </wp:inline>
        </w:drawing>
      </w:r>
      <w:r w:rsidRPr="00AA6465">
        <w:rPr>
          <w:noProof/>
          <w:sz w:val="36"/>
          <w:szCs w:val="36"/>
        </w:rPr>
        <w:drawing>
          <wp:inline distT="0" distB="0" distL="0" distR="0" wp14:anchorId="21F60759" wp14:editId="3545D647">
            <wp:extent cx="1490196" cy="516255"/>
            <wp:effectExtent l="0" t="0" r="0" b="0"/>
            <wp:docPr id="101244671" name="Picture 101244671" descr="Read the report link to websi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4671" name="Picture 101244671" descr="Read the report link to website">
                      <a:hlinkClick r:id="rId20"/>
                    </pic:cNvPr>
                    <pic:cNvPicPr/>
                  </pic:nvPicPr>
                  <pic:blipFill rotWithShape="1">
                    <a:blip r:embed="rId21" cstate="print">
                      <a:extLst>
                        <a:ext uri="{28A0092B-C50C-407E-A947-70E740481C1C}">
                          <a14:useLocalDpi xmlns:a14="http://schemas.microsoft.com/office/drawing/2010/main" val="0"/>
                        </a:ext>
                      </a:extLst>
                    </a:blip>
                    <a:srcRect l="-6841" t="-37787" r="-11189" b="-29554"/>
                    <a:stretch/>
                  </pic:blipFill>
                  <pic:spPr bwMode="auto">
                    <a:xfrm>
                      <a:off x="0" y="0"/>
                      <a:ext cx="1523520" cy="527800"/>
                    </a:xfrm>
                    <a:prstGeom prst="rect">
                      <a:avLst/>
                    </a:prstGeom>
                    <a:ln>
                      <a:noFill/>
                    </a:ln>
                    <a:extLst>
                      <a:ext uri="{53640926-AAD7-44D8-BBD7-CCE9431645EC}">
                        <a14:shadowObscured xmlns:a14="http://schemas.microsoft.com/office/drawing/2010/main"/>
                      </a:ext>
                    </a:extLst>
                  </pic:spPr>
                </pic:pic>
              </a:graphicData>
            </a:graphic>
          </wp:inline>
        </w:drawing>
      </w:r>
    </w:p>
    <w:p w14:paraId="5F8C7F1D" w14:textId="0D9497BD" w:rsidR="0014131D" w:rsidRPr="003D4210" w:rsidRDefault="004067FB" w:rsidP="003D4210">
      <w:pPr>
        <w:pStyle w:val="Heading2"/>
        <w:spacing w:before="360" w:line="240" w:lineRule="auto"/>
        <w:rPr>
          <w:color w:val="573C2C"/>
        </w:rPr>
      </w:pPr>
      <w:r w:rsidRPr="003D4210">
        <w:rPr>
          <w:color w:val="573C2C"/>
        </w:rPr>
        <w:lastRenderedPageBreak/>
        <w:t>Priority Reform 1 commits governments to share decision-making with Aboriginal and Torres Strait Islander people through:</w:t>
      </w:r>
    </w:p>
    <w:p w14:paraId="6B61620D" w14:textId="3F72C50F" w:rsidR="004067FB" w:rsidRDefault="004067FB" w:rsidP="008A4EA3">
      <w:pPr>
        <w:pStyle w:val="ListBullet2"/>
        <w:contextualSpacing w:val="0"/>
      </w:pPr>
      <w:r>
        <w:t>five policy partnerships</w:t>
      </w:r>
    </w:p>
    <w:p w14:paraId="46CFDCEF" w14:textId="10472408" w:rsidR="004067FB" w:rsidRDefault="004067FB" w:rsidP="008A4EA3">
      <w:pPr>
        <w:pStyle w:val="ListBullet2"/>
        <w:contextualSpacing w:val="0"/>
      </w:pPr>
      <w:r w:rsidRPr="004067FB">
        <w:t>six place-based partnerships</w:t>
      </w:r>
    </w:p>
    <w:p w14:paraId="70C66E6D" w14:textId="7CCD88EE" w:rsidR="004067FB" w:rsidRPr="00341BA8" w:rsidRDefault="004067FB" w:rsidP="00777BF0">
      <w:pPr>
        <w:pStyle w:val="ListBullet2"/>
      </w:pPr>
      <w:r w:rsidRPr="004067FB">
        <w:t>reviewing and strengthening existing partnerships.</w:t>
      </w:r>
    </w:p>
    <w:p w14:paraId="6C962E43" w14:textId="635FC28F" w:rsidR="0014131D" w:rsidRPr="003D4210" w:rsidRDefault="004067FB" w:rsidP="003D4210">
      <w:pPr>
        <w:pStyle w:val="Heading2"/>
        <w:spacing w:before="120" w:line="240" w:lineRule="auto"/>
        <w:rPr>
          <w:color w:val="573C2C"/>
        </w:rPr>
      </w:pPr>
      <w:r w:rsidRPr="003D4210">
        <w:rPr>
          <w:color w:val="573C2C"/>
        </w:rPr>
        <w:t>The commitment to shared decision-making is rarely achieved in practice</w:t>
      </w:r>
    </w:p>
    <w:p w14:paraId="3A1027E1" w14:textId="614304A5" w:rsidR="004067FB" w:rsidRPr="004067FB" w:rsidRDefault="004067FB" w:rsidP="004067FB">
      <w:r w:rsidRPr="004067FB">
        <w:t>Governments have shown they can share decision</w:t>
      </w:r>
      <w:r w:rsidRPr="004067FB">
        <w:rPr>
          <w:rFonts w:ascii="Cambria Math" w:hAnsi="Cambria Math" w:cs="Cambria Math"/>
        </w:rPr>
        <w:t>‑</w:t>
      </w:r>
      <w:r w:rsidRPr="004067FB">
        <w:t>making when there is trust and a balance of power.</w:t>
      </w:r>
    </w:p>
    <w:p w14:paraId="24A92534" w14:textId="63C27CEF" w:rsidR="004067FB" w:rsidRDefault="004067FB" w:rsidP="004067FB">
      <w:pPr>
        <w:rPr>
          <w:b/>
        </w:rPr>
      </w:pPr>
      <w:r w:rsidRPr="004067FB">
        <w:t>But this tends to happen only during emergencies and when Aboriginal and Torres Strait Islander people have pushed governments to ‘come to the table’.</w:t>
      </w:r>
    </w:p>
    <w:p w14:paraId="5FDA30F9" w14:textId="377F41FE" w:rsidR="00C40F5B" w:rsidRPr="003818C6" w:rsidRDefault="00C40F5B" w:rsidP="003D4210">
      <w:pPr>
        <w:spacing w:before="120" w:line="240" w:lineRule="auto"/>
        <w:rPr>
          <w:rFonts w:asciiTheme="majorHAnsi" w:eastAsiaTheme="majorEastAsia" w:hAnsiTheme="majorHAnsi" w:cstheme="majorBidi"/>
          <w:b/>
          <w:color w:val="513829"/>
          <w:sz w:val="26"/>
          <w:szCs w:val="26"/>
          <w:u w:val="single"/>
        </w:rPr>
      </w:pPr>
      <w:r w:rsidRPr="003818C6">
        <w:rPr>
          <w:rFonts w:asciiTheme="majorHAnsi" w:eastAsiaTheme="majorEastAsia" w:hAnsiTheme="majorHAnsi" w:cstheme="majorBidi"/>
          <w:b/>
          <w:color w:val="513829"/>
          <w:sz w:val="26"/>
          <w:szCs w:val="26"/>
          <w:u w:val="single"/>
        </w:rPr>
        <w:t>The Commission’s recommendations</w:t>
      </w:r>
    </w:p>
    <w:p w14:paraId="50705313" w14:textId="01749D6E" w:rsidR="00C40F5B" w:rsidRPr="003D4210" w:rsidRDefault="00C40F5B" w:rsidP="001D645E">
      <w:pPr>
        <w:pStyle w:val="Heading2"/>
        <w:spacing w:after="40"/>
        <w:rPr>
          <w:color w:val="573C2C"/>
          <w:sz w:val="24"/>
          <w:szCs w:val="24"/>
        </w:rPr>
      </w:pPr>
      <w:r w:rsidRPr="003D4210">
        <w:rPr>
          <w:color w:val="573C2C"/>
          <w:sz w:val="24"/>
          <w:szCs w:val="24"/>
        </w:rPr>
        <w:t>Self-determination is the ultimate goal</w:t>
      </w:r>
    </w:p>
    <w:p w14:paraId="01828659" w14:textId="77777777" w:rsidR="00C40F5B" w:rsidRDefault="00C40F5B" w:rsidP="001D645E">
      <w:pPr>
        <w:pStyle w:val="Heading2"/>
        <w:spacing w:before="0" w:after="120"/>
        <w:rPr>
          <w:rFonts w:asciiTheme="minorHAnsi" w:eastAsiaTheme="minorHAnsi" w:hAnsiTheme="minorHAnsi" w:cstheme="minorBidi"/>
          <w:b w:val="0"/>
          <w:color w:val="auto"/>
          <w:sz w:val="22"/>
          <w:szCs w:val="22"/>
        </w:rPr>
      </w:pPr>
      <w:r w:rsidRPr="00C40F5B">
        <w:rPr>
          <w:rFonts w:asciiTheme="minorHAnsi" w:eastAsiaTheme="minorHAnsi" w:hAnsiTheme="minorHAnsi" w:cstheme="minorBidi"/>
          <w:b w:val="0"/>
          <w:color w:val="auto"/>
          <w:sz w:val="22"/>
          <w:szCs w:val="22"/>
        </w:rPr>
        <w:t>The Agreement needs to be changed to recognise self-determination as the ultimate goal of Priority Reform 1.</w:t>
      </w:r>
    </w:p>
    <w:p w14:paraId="21881ED3" w14:textId="53912FDB" w:rsidR="00C40F5B" w:rsidRPr="003D4210" w:rsidRDefault="00C40F5B" w:rsidP="001D645E">
      <w:pPr>
        <w:pStyle w:val="Default"/>
        <w:spacing w:after="120"/>
        <w:rPr>
          <w:rFonts w:asciiTheme="majorHAnsi" w:eastAsiaTheme="majorEastAsia" w:hAnsiTheme="majorHAnsi" w:cstheme="majorBidi"/>
          <w:b/>
          <w:color w:val="573C2C"/>
          <w:lang w:val="en-AU"/>
        </w:rPr>
      </w:pPr>
      <w:r w:rsidRPr="003D4210">
        <w:rPr>
          <w:rFonts w:asciiTheme="majorHAnsi" w:eastAsiaTheme="majorEastAsia" w:hAnsiTheme="majorHAnsi" w:cstheme="majorBidi"/>
          <w:b/>
          <w:color w:val="573C2C"/>
          <w:lang w:val="en-AU"/>
        </w:rPr>
        <w:t>What do governments still need to do?</w:t>
      </w:r>
    </w:p>
    <w:p w14:paraId="15CCDFE6" w14:textId="77777777" w:rsidR="00675F28" w:rsidRDefault="00675F28" w:rsidP="001D645E">
      <w:pPr>
        <w:spacing w:after="120"/>
      </w:pPr>
      <w:r>
        <w:rPr>
          <w:rStyle w:val="A3"/>
          <w:rFonts w:cs="Times New Roman"/>
        </w:rPr>
        <w:t xml:space="preserve">Governments need to: </w:t>
      </w:r>
    </w:p>
    <w:p w14:paraId="6FB63991" w14:textId="44A736C5" w:rsidR="00675F28" w:rsidRDefault="00675F28" w:rsidP="008A4EA3">
      <w:pPr>
        <w:pStyle w:val="ListBullet"/>
        <w:spacing w:after="120"/>
        <w:contextualSpacing w:val="0"/>
      </w:pPr>
      <w:r>
        <w:t>take time to properly listen to communities about their priorities (instead of consulting with communities on predetermined outcomes), and engage earlier and more often</w:t>
      </w:r>
    </w:p>
    <w:p w14:paraId="3CCB66AA" w14:textId="63A7ABAA" w:rsidR="00675F28" w:rsidRDefault="00675F28" w:rsidP="009745A0">
      <w:pPr>
        <w:pStyle w:val="ListBullet"/>
      </w:pPr>
      <w:r>
        <w:t>recognise the value Aboriginal and Torres Strait Islander people can bring to policy development and service delivery</w:t>
      </w:r>
      <w:r>
        <w:br w:type="column"/>
      </w:r>
    </w:p>
    <w:p w14:paraId="19ECCCBB" w14:textId="77777777" w:rsidR="00675F28" w:rsidRDefault="00675F28" w:rsidP="008A4EA3">
      <w:pPr>
        <w:pStyle w:val="ListBullet"/>
        <w:contextualSpacing w:val="0"/>
      </w:pPr>
      <w:r>
        <w:t>invest in partnerships with adequate time and funding</w:t>
      </w:r>
    </w:p>
    <w:p w14:paraId="000633CD" w14:textId="250DB531" w:rsidR="00675F28" w:rsidRDefault="00675F28" w:rsidP="009745A0">
      <w:pPr>
        <w:pStyle w:val="ListBullet"/>
      </w:pPr>
      <w:r>
        <w:t xml:space="preserve">transform their processes and systems to become better, more credible partners. </w:t>
      </w:r>
    </w:p>
    <w:p w14:paraId="084D9236" w14:textId="7A4A0C15" w:rsidR="00515674" w:rsidRPr="003D4210" w:rsidRDefault="00515674" w:rsidP="00627DE8">
      <w:pPr>
        <w:spacing w:after="80"/>
        <w:rPr>
          <w:color w:val="573C2C"/>
        </w:rPr>
      </w:pPr>
      <w:r w:rsidRPr="003D4210">
        <w:rPr>
          <w:rFonts w:asciiTheme="majorHAnsi" w:eastAsiaTheme="majorEastAsia" w:hAnsiTheme="majorHAnsi" w:cstheme="majorBidi"/>
          <w:b/>
          <w:color w:val="573C2C"/>
          <w:sz w:val="26"/>
          <w:szCs w:val="26"/>
        </w:rPr>
        <w:t>Policy Partnerships</w:t>
      </w:r>
    </w:p>
    <w:p w14:paraId="7F31C0FC" w14:textId="5262E126" w:rsidR="00515674" w:rsidRDefault="00515674" w:rsidP="008A4EA3">
      <w:pPr>
        <w:pStyle w:val="ListBullet2"/>
        <w:contextualSpacing w:val="0"/>
      </w:pPr>
      <w:r>
        <w:rPr>
          <w:szCs w:val="22"/>
        </w:rPr>
        <w:t>Justice</w:t>
      </w:r>
    </w:p>
    <w:p w14:paraId="343406F3" w14:textId="7DE9AE78" w:rsidR="00515674" w:rsidRDefault="00515674" w:rsidP="008A4EA3">
      <w:pPr>
        <w:pStyle w:val="ListBullet2"/>
        <w:contextualSpacing w:val="0"/>
      </w:pPr>
      <w:r>
        <w:rPr>
          <w:szCs w:val="22"/>
        </w:rPr>
        <w:t>Early Childhood Care and Development</w:t>
      </w:r>
    </w:p>
    <w:p w14:paraId="49CF7F97" w14:textId="50826115" w:rsidR="00515674" w:rsidRPr="00515674" w:rsidRDefault="00515674" w:rsidP="008A4EA3">
      <w:pPr>
        <w:pStyle w:val="ListBullet2"/>
        <w:contextualSpacing w:val="0"/>
      </w:pPr>
      <w:r>
        <w:rPr>
          <w:szCs w:val="22"/>
        </w:rPr>
        <w:t>Housing</w:t>
      </w:r>
    </w:p>
    <w:p w14:paraId="10C0AEB5" w14:textId="3B8CEC86" w:rsidR="00515674" w:rsidRDefault="00515674" w:rsidP="008A4EA3">
      <w:pPr>
        <w:pStyle w:val="ListBullet2"/>
        <w:contextualSpacing w:val="0"/>
      </w:pPr>
      <w:r>
        <w:t>Social and Emotional Wellbeing</w:t>
      </w:r>
    </w:p>
    <w:p w14:paraId="11C5DBDC" w14:textId="4345CADB" w:rsidR="00515674" w:rsidRDefault="00515674" w:rsidP="00515674">
      <w:pPr>
        <w:pStyle w:val="ListBullet2"/>
      </w:pPr>
      <w:r>
        <w:rPr>
          <w:szCs w:val="22"/>
        </w:rPr>
        <w:t>Aboriginal and Torres Strait Islander Languages</w:t>
      </w:r>
    </w:p>
    <w:p w14:paraId="4AD34621" w14:textId="4A91F0C5" w:rsidR="00515674" w:rsidRPr="00161F0C" w:rsidRDefault="00515674" w:rsidP="00515674">
      <w:r>
        <w:t>Policy partnerships are acting more like forums, rather than a place where joint decision-making happens. It remains to be seen whether they will drive change.</w:t>
      </w:r>
    </w:p>
    <w:p w14:paraId="27B1AD23" w14:textId="7513F445" w:rsidR="00515674" w:rsidRPr="003D4210" w:rsidRDefault="00515674" w:rsidP="00515674">
      <w:pPr>
        <w:pStyle w:val="ListBullet"/>
        <w:numPr>
          <w:ilvl w:val="0"/>
          <w:numId w:val="0"/>
        </w:numPr>
        <w:ind w:left="227" w:hanging="227"/>
        <w:rPr>
          <w:rFonts w:asciiTheme="majorHAnsi" w:eastAsiaTheme="majorEastAsia" w:hAnsiTheme="majorHAnsi" w:cstheme="majorBidi"/>
          <w:b/>
          <w:color w:val="573C2C"/>
          <w:sz w:val="26"/>
          <w:szCs w:val="26"/>
        </w:rPr>
      </w:pPr>
      <w:r w:rsidRPr="003D4210">
        <w:rPr>
          <w:rFonts w:asciiTheme="majorHAnsi" w:eastAsiaTheme="majorEastAsia" w:hAnsiTheme="majorHAnsi" w:cstheme="majorBidi"/>
          <w:b/>
          <w:color w:val="573C2C"/>
          <w:sz w:val="26"/>
          <w:szCs w:val="26"/>
        </w:rPr>
        <w:t>Place-based partnerships</w:t>
      </w:r>
    </w:p>
    <w:p w14:paraId="2C297021" w14:textId="77777777" w:rsidR="00EB4A9E" w:rsidRPr="00EB4A9E" w:rsidRDefault="00515674" w:rsidP="00EB4A9E">
      <w:pPr>
        <w:pStyle w:val="ListBullet"/>
        <w:numPr>
          <w:ilvl w:val="0"/>
          <w:numId w:val="0"/>
        </w:numPr>
        <w:spacing w:after="360"/>
        <w:contextualSpacing w:val="0"/>
        <w:rPr>
          <w:szCs w:val="22"/>
          <w:lang w:val="en-GB"/>
        </w:rPr>
      </w:pPr>
      <w:r w:rsidRPr="00515674">
        <w:rPr>
          <w:szCs w:val="22"/>
          <w:lang w:val="en-GB"/>
        </w:rPr>
        <w:t>The place-based partnerships are still new but Aboriginal and Torres Strait Islander organisations and communities had a role in choosing the locations.</w:t>
      </w:r>
    </w:p>
    <w:p w14:paraId="1351E741" w14:textId="76BF72A6" w:rsidR="00515674" w:rsidRDefault="008D142C" w:rsidP="0014131D">
      <w:pPr>
        <w:pStyle w:val="ListBullet"/>
        <w:numPr>
          <w:ilvl w:val="0"/>
          <w:numId w:val="0"/>
        </w:numPr>
        <w:spacing w:after="240"/>
        <w:rPr>
          <w:noProof/>
          <w:sz w:val="36"/>
          <w:szCs w:val="36"/>
        </w:rPr>
      </w:pPr>
      <w:r w:rsidRPr="003D4210">
        <w:rPr>
          <w:noProof/>
          <w:color w:val="F58146"/>
          <w:szCs w:val="22"/>
          <w:lang w:val="en-GB"/>
        </w:rPr>
        <w:drawing>
          <wp:inline distT="0" distB="0" distL="0" distR="0" wp14:anchorId="06F68E2D" wp14:editId="6C89E720">
            <wp:extent cx="2836545" cy="1835785"/>
            <wp:effectExtent l="0" t="0" r="0" b="5715"/>
            <wp:docPr id="942930578" name="Picture 1" descr="A map of Australia with locations East Kimberley (WA), Manigirida (NT), Doomadgree( QLD), Tamworth( NSW),Western Suburbs of Adelaide (SA) and Gippsland (ViC)&#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16136" name="Picture 1" descr="A map of Australia with locations East Kimberley (WA), Manigirida (NT), Doomadgree( QLD), Tamworth( NSW),Western Suburbs of Adelaide (SA) and Gippsland (ViC)&#10;&#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6545" cy="1835785"/>
                    </a:xfrm>
                    <a:prstGeom prst="rect">
                      <a:avLst/>
                    </a:prstGeom>
                  </pic:spPr>
                </pic:pic>
              </a:graphicData>
            </a:graphic>
          </wp:inline>
        </w:drawing>
      </w:r>
    </w:p>
    <w:p w14:paraId="52112A66" w14:textId="1AE29587" w:rsidR="00515674" w:rsidRDefault="00515674" w:rsidP="0014131D">
      <w:pPr>
        <w:pStyle w:val="ListBullet"/>
        <w:numPr>
          <w:ilvl w:val="0"/>
          <w:numId w:val="0"/>
        </w:numPr>
        <w:spacing w:after="240"/>
        <w:rPr>
          <w:szCs w:val="22"/>
          <w:lang w:val="en-GB"/>
        </w:rPr>
      </w:pPr>
    </w:p>
    <w:p w14:paraId="7BB749E1" w14:textId="77777777" w:rsidR="005F67A5" w:rsidRDefault="0014131D" w:rsidP="0014131D">
      <w:pPr>
        <w:pStyle w:val="ListBullet"/>
        <w:numPr>
          <w:ilvl w:val="0"/>
          <w:numId w:val="0"/>
        </w:numPr>
        <w:spacing w:before="480"/>
        <w:ind w:left="227" w:hanging="227"/>
        <w:jc w:val="center"/>
        <w:rPr>
          <w:sz w:val="36"/>
          <w:szCs w:val="36"/>
          <w:lang w:val="en-GB"/>
        </w:rPr>
        <w:sectPr w:rsidR="005F67A5" w:rsidSect="001C7C66">
          <w:headerReference w:type="default" r:id="rId23"/>
          <w:pgSz w:w="11906" w:h="16838"/>
          <w:pgMar w:top="2693" w:right="1134" w:bottom="1701" w:left="1134" w:header="284" w:footer="567" w:gutter="0"/>
          <w:cols w:num="2" w:space="708"/>
          <w:docGrid w:linePitch="360"/>
        </w:sectPr>
      </w:pPr>
      <w:r w:rsidRPr="00AA6465">
        <w:rPr>
          <w:noProof/>
          <w:sz w:val="36"/>
          <w:szCs w:val="36"/>
        </w:rPr>
        <w:drawing>
          <wp:inline distT="0" distB="0" distL="0" distR="0" wp14:anchorId="6C3997EF" wp14:editId="72BBEB93">
            <wp:extent cx="1490196" cy="516255"/>
            <wp:effectExtent l="0" t="0" r="0" b="0"/>
            <wp:docPr id="879838758" name="Picture 879838758" descr="Read the report link to websi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38758" name="Picture 879838758" descr="Read the report link to website">
                      <a:hlinkClick r:id="rId20"/>
                    </pic:cNvPr>
                    <pic:cNvPicPr/>
                  </pic:nvPicPr>
                  <pic:blipFill rotWithShape="1">
                    <a:blip r:embed="rId21" cstate="print">
                      <a:extLst>
                        <a:ext uri="{28A0092B-C50C-407E-A947-70E740481C1C}">
                          <a14:useLocalDpi xmlns:a14="http://schemas.microsoft.com/office/drawing/2010/main" val="0"/>
                        </a:ext>
                      </a:extLst>
                    </a:blip>
                    <a:srcRect l="-6841" t="-37787" r="-11189" b="-29554"/>
                    <a:stretch/>
                  </pic:blipFill>
                  <pic:spPr bwMode="auto">
                    <a:xfrm>
                      <a:off x="0" y="0"/>
                      <a:ext cx="1523520" cy="527800"/>
                    </a:xfrm>
                    <a:prstGeom prst="rect">
                      <a:avLst/>
                    </a:prstGeom>
                    <a:ln>
                      <a:noFill/>
                    </a:ln>
                    <a:extLst>
                      <a:ext uri="{53640926-AAD7-44D8-BBD7-CCE9431645EC}">
                        <a14:shadowObscured xmlns:a14="http://schemas.microsoft.com/office/drawing/2010/main"/>
                      </a:ext>
                    </a:extLst>
                  </pic:spPr>
                </pic:pic>
              </a:graphicData>
            </a:graphic>
          </wp:inline>
        </w:drawing>
      </w:r>
    </w:p>
    <w:p w14:paraId="12D64C43" w14:textId="77777777" w:rsidR="00E1340B" w:rsidRPr="00E1340B" w:rsidRDefault="00E1340B" w:rsidP="00E1340B">
      <w:pPr>
        <w:pStyle w:val="Heading2"/>
        <w:spacing w:before="360" w:line="240" w:lineRule="auto"/>
        <w:rPr>
          <w:color w:val="573C2C"/>
          <w:lang w:val="en-US"/>
        </w:rPr>
      </w:pPr>
      <w:r w:rsidRPr="003D4210">
        <w:rPr>
          <w:color w:val="573C2C"/>
        </w:rPr>
        <w:lastRenderedPageBreak/>
        <w:t xml:space="preserve">Priority Reform </w:t>
      </w:r>
      <w:r>
        <w:rPr>
          <w:color w:val="573C2C"/>
        </w:rPr>
        <w:t>2</w:t>
      </w:r>
      <w:r w:rsidRPr="003D4210">
        <w:rPr>
          <w:color w:val="573C2C"/>
        </w:rPr>
        <w:t xml:space="preserve"> commits </w:t>
      </w:r>
      <w:r w:rsidRPr="00E1340B">
        <w:rPr>
          <w:color w:val="573C2C"/>
          <w:lang w:val="en-US"/>
        </w:rPr>
        <w:t>commits governments to strengthening the ACCO sector</w:t>
      </w:r>
    </w:p>
    <w:p w14:paraId="011E872A" w14:textId="73B09D8C" w:rsidR="00E1340B" w:rsidRPr="00E1340B" w:rsidRDefault="00E1340B" w:rsidP="00103EA8">
      <w:pPr>
        <w:spacing w:after="120"/>
      </w:pPr>
      <w:r>
        <w:t>This would mean that all ACCOs could:</w:t>
      </w:r>
    </w:p>
    <w:p w14:paraId="4D7C74C8" w14:textId="77777777" w:rsidR="00E1340B" w:rsidRPr="00627DE8" w:rsidRDefault="00E1340B" w:rsidP="008A4EA3">
      <w:pPr>
        <w:pStyle w:val="ListBullet2"/>
        <w:contextualSpacing w:val="0"/>
      </w:pPr>
      <w:r w:rsidRPr="00627DE8">
        <w:t>identify problems and co</w:t>
      </w:r>
      <w:r w:rsidRPr="00627DE8">
        <w:rPr>
          <w:rFonts w:ascii="Cambria Math" w:hAnsi="Cambria Math" w:cs="Cambria Math"/>
        </w:rPr>
        <w:t>‑</w:t>
      </w:r>
      <w:r w:rsidRPr="00627DE8">
        <w:t>design solutions</w:t>
      </w:r>
    </w:p>
    <w:p w14:paraId="3A9905DB" w14:textId="77777777" w:rsidR="00E1340B" w:rsidRPr="00627DE8" w:rsidRDefault="00E1340B" w:rsidP="008A4EA3">
      <w:pPr>
        <w:pStyle w:val="ListBullet2"/>
        <w:contextualSpacing w:val="0"/>
      </w:pPr>
      <w:r w:rsidRPr="00627DE8">
        <w:t>provide culturally safe and high-quality services</w:t>
      </w:r>
    </w:p>
    <w:p w14:paraId="24C5020C" w14:textId="1B827D4D" w:rsidR="00AE7C97" w:rsidRPr="006F1154" w:rsidRDefault="00E1340B" w:rsidP="00627DE8">
      <w:pPr>
        <w:pStyle w:val="ListBullet2"/>
        <w:rPr>
          <w:spacing w:val="-4"/>
        </w:rPr>
      </w:pPr>
      <w:r w:rsidRPr="006F1154">
        <w:rPr>
          <w:spacing w:val="-4"/>
        </w:rPr>
        <w:t>define success based on the needs of the communities they provide services to.</w:t>
      </w:r>
    </w:p>
    <w:p w14:paraId="7A2F8CC7" w14:textId="77777777" w:rsidR="00627DE8" w:rsidRDefault="00627DE8" w:rsidP="00627DE8">
      <w:pPr>
        <w:spacing w:after="80"/>
        <w:rPr>
          <w:rFonts w:asciiTheme="majorHAnsi" w:eastAsiaTheme="majorEastAsia" w:hAnsiTheme="majorHAnsi" w:cstheme="majorBidi"/>
          <w:b/>
          <w:color w:val="573C2C"/>
          <w:sz w:val="26"/>
          <w:szCs w:val="26"/>
        </w:rPr>
      </w:pPr>
      <w:r w:rsidRPr="00627DE8">
        <w:rPr>
          <w:rFonts w:asciiTheme="majorHAnsi" w:eastAsiaTheme="majorEastAsia" w:hAnsiTheme="majorHAnsi" w:cstheme="majorBidi"/>
          <w:b/>
          <w:color w:val="573C2C"/>
          <w:sz w:val="26"/>
          <w:szCs w:val="26"/>
        </w:rPr>
        <w:t>Current government practices do not reflect the value of the ACCO sector</w:t>
      </w:r>
    </w:p>
    <w:p w14:paraId="16CFB5CA" w14:textId="77777777" w:rsidR="00627DE8" w:rsidRPr="006F1154" w:rsidRDefault="00627DE8" w:rsidP="00A04742">
      <w:pPr>
        <w:spacing w:after="80"/>
        <w:rPr>
          <w:spacing w:val="-4"/>
        </w:rPr>
      </w:pPr>
      <w:r w:rsidRPr="006F1154">
        <w:rPr>
          <w:spacing w:val="-4"/>
        </w:rPr>
        <w:t>Some government organisations are starting to:</w:t>
      </w:r>
    </w:p>
    <w:p w14:paraId="49B7A92B" w14:textId="77777777" w:rsidR="00627DE8" w:rsidRPr="00627DE8" w:rsidRDefault="00627DE8" w:rsidP="008A4EA3">
      <w:pPr>
        <w:pStyle w:val="ListBullet"/>
        <w:contextualSpacing w:val="0"/>
        <w:rPr>
          <w:lang w:val="en-US"/>
        </w:rPr>
      </w:pPr>
      <w:r w:rsidRPr="00627DE8">
        <w:rPr>
          <w:lang w:val="en-US"/>
        </w:rPr>
        <w:t>provide flexibility by introducing longer term contracts</w:t>
      </w:r>
    </w:p>
    <w:p w14:paraId="25E1BB07" w14:textId="77777777" w:rsidR="00627DE8" w:rsidRPr="00627DE8" w:rsidRDefault="00627DE8" w:rsidP="008A4EA3">
      <w:pPr>
        <w:pStyle w:val="ListBullet"/>
        <w:contextualSpacing w:val="0"/>
        <w:rPr>
          <w:lang w:val="en-US"/>
        </w:rPr>
      </w:pPr>
      <w:r w:rsidRPr="00627DE8">
        <w:rPr>
          <w:lang w:val="en-US"/>
        </w:rPr>
        <w:t>reduce reporting requirements</w:t>
      </w:r>
    </w:p>
    <w:p w14:paraId="5FD0BE4D" w14:textId="77777777" w:rsidR="00627DE8" w:rsidRPr="00627DE8" w:rsidRDefault="00627DE8" w:rsidP="008A4EA3">
      <w:pPr>
        <w:pStyle w:val="ListBullet"/>
        <w:contextualSpacing w:val="0"/>
        <w:rPr>
          <w:lang w:val="en-US"/>
        </w:rPr>
      </w:pPr>
      <w:r w:rsidRPr="00627DE8">
        <w:rPr>
          <w:lang w:val="en-US"/>
        </w:rPr>
        <w:t>prioritise funding to ACCOs in procurement, grant or program guidelines</w:t>
      </w:r>
    </w:p>
    <w:p w14:paraId="59B51BD4" w14:textId="66218A1B" w:rsidR="00627DE8" w:rsidRPr="00627DE8" w:rsidRDefault="00627DE8" w:rsidP="00627DE8">
      <w:pPr>
        <w:pStyle w:val="ListBullet"/>
      </w:pPr>
      <w:r w:rsidRPr="00627DE8">
        <w:rPr>
          <w:lang w:val="en-US"/>
        </w:rPr>
        <w:t>change how services are designed, contracted, funded, delivered, and evaluated.</w:t>
      </w:r>
    </w:p>
    <w:p w14:paraId="39722D7E" w14:textId="66B3DF2F" w:rsidR="00627DE8" w:rsidRDefault="00627DE8" w:rsidP="00A04742">
      <w:pPr>
        <w:spacing w:after="120"/>
      </w:pPr>
      <w:r>
        <w:t>These approaches show promise but progress overall has been slow, and many processes still follow a ‘business-as-usual’ approach.</w:t>
      </w:r>
    </w:p>
    <w:p w14:paraId="3C687AE4" w14:textId="77777777" w:rsidR="00627DE8" w:rsidRDefault="00627DE8" w:rsidP="00A04742">
      <w:pPr>
        <w:spacing w:after="120"/>
      </w:pPr>
      <w:r>
        <w:t>Four sector strengthening plans (SSPs) have been developed to build capability in the health, disability, housing and early childhood care and development sectors. However:</w:t>
      </w:r>
    </w:p>
    <w:p w14:paraId="0F3F4D4E" w14:textId="77777777" w:rsidR="00627DE8" w:rsidRDefault="00627DE8" w:rsidP="00627DE8">
      <w:pPr>
        <w:pStyle w:val="ListBullet"/>
      </w:pPr>
      <w:r>
        <w:t>they lack detail and accountability</w:t>
      </w:r>
    </w:p>
    <w:p w14:paraId="0EE1883B" w14:textId="77777777" w:rsidR="006F1154" w:rsidRDefault="00627DE8" w:rsidP="00627DE8">
      <w:pPr>
        <w:pStyle w:val="ListBullet"/>
      </w:pPr>
      <w:r>
        <w:t>there is little information available to assess whether they will drive progress.</w:t>
      </w:r>
    </w:p>
    <w:p w14:paraId="7D33E69E" w14:textId="77777777" w:rsidR="006F1154" w:rsidRDefault="006F1154" w:rsidP="006F1154">
      <w:pPr>
        <w:spacing w:before="120" w:after="80"/>
      </w:pPr>
      <w:r>
        <w:t xml:space="preserve">For </w:t>
      </w:r>
      <w:r w:rsidRPr="006F1154">
        <w:rPr>
          <w:spacing w:val="-4"/>
        </w:rPr>
        <w:t>SSPs</w:t>
      </w:r>
      <w:r>
        <w:t xml:space="preserve"> to be effective, governments need to be held to account for progressing the actions they’ve agreed on.</w:t>
      </w:r>
    </w:p>
    <w:p w14:paraId="0A855FF6" w14:textId="7EC2B688" w:rsidR="00627DE8" w:rsidRDefault="00627DE8" w:rsidP="006F1154">
      <w:pPr>
        <w:pStyle w:val="ListBullet"/>
        <w:numPr>
          <w:ilvl w:val="0"/>
          <w:numId w:val="0"/>
        </w:numPr>
      </w:pPr>
      <w:r>
        <w:br w:type="column"/>
      </w:r>
    </w:p>
    <w:p w14:paraId="02EF8788" w14:textId="4F91EFA9" w:rsidR="00627DE8" w:rsidRPr="008E3332" w:rsidRDefault="00627DE8" w:rsidP="004B53CD">
      <w:pPr>
        <w:pStyle w:val="Heading2"/>
        <w:spacing w:before="0" w:line="240" w:lineRule="auto"/>
        <w:rPr>
          <w:color w:val="573C2C"/>
        </w:rPr>
      </w:pPr>
      <w:r>
        <w:rPr>
          <w:color w:val="573C2C"/>
        </w:rPr>
        <w:t>Governments still need to:</w:t>
      </w:r>
    </w:p>
    <w:p w14:paraId="7642544B" w14:textId="77777777" w:rsidR="0062678C" w:rsidRDefault="0062678C" w:rsidP="00382C3B">
      <w:pPr>
        <w:pStyle w:val="ListBullet2"/>
        <w:spacing w:after="40"/>
        <w:contextualSpacing w:val="0"/>
        <w:rPr>
          <w:lang w:val="en-US"/>
        </w:rPr>
      </w:pPr>
      <w:r w:rsidRPr="0062678C">
        <w:rPr>
          <w:lang w:val="en-US"/>
        </w:rPr>
        <w:t>recognise that ACCOs can achieve better results for Aboriginal and Torres Strait Islander people</w:t>
      </w:r>
    </w:p>
    <w:p w14:paraId="5B00CEBB" w14:textId="584B88F0" w:rsidR="0062678C" w:rsidRDefault="0062678C" w:rsidP="00382C3B">
      <w:pPr>
        <w:pStyle w:val="ListBullet2"/>
        <w:spacing w:after="40"/>
        <w:contextualSpacing w:val="0"/>
        <w:rPr>
          <w:lang w:val="en-US"/>
        </w:rPr>
      </w:pPr>
      <w:r w:rsidRPr="0062678C">
        <w:rPr>
          <w:lang w:val="en-US"/>
        </w:rPr>
        <w:t>take steps to strengthen the capability of ACCOs in key sectors</w:t>
      </w:r>
    </w:p>
    <w:p w14:paraId="48A83D2C" w14:textId="300237FF" w:rsidR="0062678C" w:rsidRDefault="0062678C" w:rsidP="00382C3B">
      <w:pPr>
        <w:pStyle w:val="ListBullet2"/>
        <w:spacing w:after="40"/>
        <w:contextualSpacing w:val="0"/>
        <w:rPr>
          <w:lang w:val="en-US"/>
        </w:rPr>
      </w:pPr>
      <w:r w:rsidRPr="0062678C">
        <w:rPr>
          <w:lang w:val="en-US"/>
        </w:rPr>
        <w:t>increase the number of programs and services designed and delivered by ACCOs</w:t>
      </w:r>
    </w:p>
    <w:p w14:paraId="6B8CD9B6" w14:textId="4AD8DFEC" w:rsidR="0062678C" w:rsidRDefault="0062678C" w:rsidP="00382C3B">
      <w:pPr>
        <w:pStyle w:val="ListBullet2"/>
        <w:spacing w:after="40"/>
        <w:contextualSpacing w:val="0"/>
        <w:rPr>
          <w:lang w:val="en-US"/>
        </w:rPr>
      </w:pPr>
      <w:r w:rsidRPr="0062678C">
        <w:rPr>
          <w:lang w:val="en-US"/>
        </w:rPr>
        <w:t>provide dedicated, reliable, consistent funding.</w:t>
      </w:r>
    </w:p>
    <w:p w14:paraId="764A89FB" w14:textId="77777777" w:rsidR="0062678C" w:rsidRDefault="0062678C" w:rsidP="0062678C">
      <w:pPr>
        <w:spacing w:after="80"/>
        <w:rPr>
          <w:rFonts w:asciiTheme="majorHAnsi" w:eastAsiaTheme="majorEastAsia" w:hAnsiTheme="majorHAnsi" w:cstheme="majorBidi"/>
          <w:b/>
          <w:color w:val="573C2C"/>
          <w:sz w:val="26"/>
          <w:szCs w:val="26"/>
        </w:rPr>
      </w:pPr>
      <w:r w:rsidRPr="0062678C">
        <w:rPr>
          <w:rFonts w:asciiTheme="majorHAnsi" w:eastAsiaTheme="majorEastAsia" w:hAnsiTheme="majorHAnsi" w:cstheme="majorBidi"/>
          <w:b/>
          <w:color w:val="573C2C"/>
          <w:sz w:val="26"/>
          <w:szCs w:val="26"/>
        </w:rPr>
        <w:t>Improving how governments work with ACCOs</w:t>
      </w:r>
    </w:p>
    <w:p w14:paraId="2A3DD78A" w14:textId="77777777" w:rsidR="0062678C" w:rsidRDefault="0062678C" w:rsidP="004B53CD">
      <w:pPr>
        <w:spacing w:after="120"/>
      </w:pPr>
      <w:r>
        <w:t>Governments need to review and, where necessary, update funding and contracting rules so that they explicitly incorporate accountability for funders to abide by the Priority Reforms.</w:t>
      </w:r>
    </w:p>
    <w:p w14:paraId="4FD3D114" w14:textId="218295C9" w:rsidR="0062678C" w:rsidRDefault="0062678C" w:rsidP="00A04742">
      <w:pPr>
        <w:spacing w:after="80"/>
      </w:pPr>
      <w:r>
        <w:t>This should include ensuring that commissioning processes:</w:t>
      </w:r>
    </w:p>
    <w:p w14:paraId="35842B22" w14:textId="1D154401" w:rsidR="0062678C" w:rsidRPr="00627DE8" w:rsidRDefault="0062678C" w:rsidP="00A04742">
      <w:pPr>
        <w:pStyle w:val="ListBullet"/>
        <w:spacing w:after="0"/>
        <w:contextualSpacing w:val="0"/>
        <w:rPr>
          <w:lang w:val="en-US"/>
        </w:rPr>
      </w:pPr>
      <w:r w:rsidRPr="0062678C">
        <w:rPr>
          <w:lang w:val="en-US"/>
        </w:rPr>
        <w:t>recognise that community control is an act of self-determination, and that ACCOs are essential partners that bring knowledges and expertise to developing service models and solutions</w:t>
      </w:r>
      <w:r w:rsidR="000961FB">
        <w:rPr>
          <w:lang w:val="en-US"/>
        </w:rPr>
        <w:t xml:space="preserve"> </w:t>
      </w:r>
      <w:r w:rsidRPr="00627DE8">
        <w:rPr>
          <w:lang w:val="en-US"/>
        </w:rPr>
        <w:t>reduce reporting requirements</w:t>
      </w:r>
    </w:p>
    <w:p w14:paraId="0B95E585" w14:textId="77777777" w:rsidR="0062678C" w:rsidRPr="006A41E9" w:rsidRDefault="0062678C" w:rsidP="00A04742">
      <w:pPr>
        <w:pStyle w:val="ListBullet"/>
        <w:spacing w:after="0"/>
        <w:contextualSpacing w:val="0"/>
        <w:rPr>
          <w:spacing w:val="-2"/>
        </w:rPr>
      </w:pPr>
      <w:r w:rsidRPr="006A41E9">
        <w:rPr>
          <w:spacing w:val="-2"/>
        </w:rPr>
        <w:t>require ways of working by government agencies that further strengthen the ACCO sector.</w:t>
      </w:r>
    </w:p>
    <w:p w14:paraId="3906B7A8" w14:textId="44148AF8" w:rsidR="0062678C" w:rsidRDefault="0062678C" w:rsidP="004C6B82">
      <w:pPr>
        <w:pStyle w:val="ListBullet"/>
        <w:numPr>
          <w:ilvl w:val="0"/>
          <w:numId w:val="0"/>
        </w:numPr>
        <w:spacing w:after="0"/>
        <w:contextualSpacing w:val="0"/>
      </w:pPr>
      <w:r>
        <w:t>Central agencies will need to issue clear guidance to contract managers and decision makers to overcome inertia and reduce barriers to working in ways that strengthen the ACCO sector.</w:t>
      </w:r>
    </w:p>
    <w:p w14:paraId="187FDE80" w14:textId="237C8EB9" w:rsidR="00656EEB" w:rsidRPr="006F1154" w:rsidRDefault="007A7379" w:rsidP="007A7379">
      <w:pPr>
        <w:pStyle w:val="ListBullet"/>
        <w:numPr>
          <w:ilvl w:val="0"/>
          <w:numId w:val="0"/>
        </w:numPr>
        <w:spacing w:after="0"/>
        <w:contextualSpacing w:val="0"/>
        <w:sectPr w:rsidR="00656EEB" w:rsidRPr="006F1154" w:rsidSect="001C7C66">
          <w:headerReference w:type="default" r:id="rId24"/>
          <w:pgSz w:w="11906" w:h="16838"/>
          <w:pgMar w:top="2693" w:right="1134" w:bottom="1701" w:left="1134" w:header="284" w:footer="567" w:gutter="0"/>
          <w:cols w:num="2" w:space="708"/>
          <w:docGrid w:linePitch="360"/>
        </w:sectPr>
      </w:pPr>
      <w:r w:rsidRPr="00AA6465">
        <w:rPr>
          <w:noProof/>
          <w:sz w:val="36"/>
          <w:szCs w:val="36"/>
        </w:rPr>
        <w:drawing>
          <wp:inline distT="0" distB="0" distL="0" distR="0" wp14:anchorId="7C7C1C28" wp14:editId="79E3A3EE">
            <wp:extent cx="849630" cy="422910"/>
            <wp:effectExtent l="0" t="0" r="1270" b="0"/>
            <wp:docPr id="1799647626" name="Picture 1799647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70363" name="Picture 946870363">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397" r="-1664"/>
                    <a:stretch/>
                  </pic:blipFill>
                  <pic:spPr bwMode="auto">
                    <a:xfrm>
                      <a:off x="0" y="0"/>
                      <a:ext cx="849630" cy="422910"/>
                    </a:xfrm>
                    <a:prstGeom prst="rect">
                      <a:avLst/>
                    </a:prstGeom>
                    <a:ln>
                      <a:noFill/>
                    </a:ln>
                    <a:extLst>
                      <a:ext uri="{53640926-AAD7-44D8-BBD7-CCE9431645EC}">
                        <a14:shadowObscured xmlns:a14="http://schemas.microsoft.com/office/drawing/2010/main"/>
                      </a:ext>
                    </a:extLst>
                  </pic:spPr>
                </pic:pic>
              </a:graphicData>
            </a:graphic>
          </wp:inline>
        </w:drawing>
      </w:r>
      <w:r w:rsidR="00A04742" w:rsidRPr="00AA6465">
        <w:rPr>
          <w:noProof/>
          <w:sz w:val="36"/>
          <w:szCs w:val="36"/>
        </w:rPr>
        <w:drawing>
          <wp:inline distT="0" distB="0" distL="0" distR="0" wp14:anchorId="12FCCAE2" wp14:editId="07000484">
            <wp:extent cx="1490196" cy="516255"/>
            <wp:effectExtent l="0" t="0" r="0" b="0"/>
            <wp:docPr id="319259320" name="Picture 319259320" descr="Read the report link to websi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38758" name="Picture 879838758" descr="Read the report link to website">
                      <a:hlinkClick r:id="rId20"/>
                    </pic:cNvPr>
                    <pic:cNvPicPr/>
                  </pic:nvPicPr>
                  <pic:blipFill rotWithShape="1">
                    <a:blip r:embed="rId21" cstate="print">
                      <a:extLst>
                        <a:ext uri="{28A0092B-C50C-407E-A947-70E740481C1C}">
                          <a14:useLocalDpi xmlns:a14="http://schemas.microsoft.com/office/drawing/2010/main" val="0"/>
                        </a:ext>
                      </a:extLst>
                    </a:blip>
                    <a:srcRect l="-6841" t="-37787" r="-11189" b="-29554"/>
                    <a:stretch/>
                  </pic:blipFill>
                  <pic:spPr bwMode="auto">
                    <a:xfrm>
                      <a:off x="0" y="0"/>
                      <a:ext cx="1523520" cy="527800"/>
                    </a:xfrm>
                    <a:prstGeom prst="rect">
                      <a:avLst/>
                    </a:prstGeom>
                    <a:ln>
                      <a:noFill/>
                    </a:ln>
                    <a:extLst>
                      <a:ext uri="{53640926-AAD7-44D8-BBD7-CCE9431645EC}">
                        <a14:shadowObscured xmlns:a14="http://schemas.microsoft.com/office/drawing/2010/main"/>
                      </a:ext>
                    </a:extLst>
                  </pic:spPr>
                </pic:pic>
              </a:graphicData>
            </a:graphic>
          </wp:inline>
        </w:drawing>
      </w:r>
    </w:p>
    <w:p w14:paraId="7074E4B3" w14:textId="3937AE18" w:rsidR="00292690" w:rsidRPr="00137FA4" w:rsidRDefault="00262342" w:rsidP="00262342">
      <w:pPr>
        <w:pStyle w:val="Heading2"/>
        <w:spacing w:before="360" w:line="240" w:lineRule="auto"/>
        <w:rPr>
          <w:color w:val="573C2C"/>
          <w:lang w:val="en-US"/>
        </w:rPr>
      </w:pPr>
      <w:r w:rsidRPr="00137FA4">
        <w:rPr>
          <w:color w:val="573C2C"/>
          <w:lang w:val="en-US"/>
        </w:rPr>
        <w:lastRenderedPageBreak/>
        <w:t>Priority Reform 3 commits all government organisations to transformation that includes:</w:t>
      </w:r>
    </w:p>
    <w:p w14:paraId="24BF5F05" w14:textId="77777777" w:rsidR="00262342" w:rsidRDefault="00292690" w:rsidP="00292690">
      <w:pPr>
        <w:pStyle w:val="ListBullet"/>
      </w:pPr>
      <w:r>
        <w:t>systemic and structural change</w:t>
      </w:r>
    </w:p>
    <w:p w14:paraId="7620427F" w14:textId="77777777" w:rsidR="00262342" w:rsidRDefault="00292690" w:rsidP="008A4EA3">
      <w:pPr>
        <w:pStyle w:val="ListBullet"/>
        <w:contextualSpacing w:val="0"/>
      </w:pPr>
      <w:r>
        <w:t>improving accountability</w:t>
      </w:r>
    </w:p>
    <w:p w14:paraId="4369757B" w14:textId="791FECE2" w:rsidR="00292690" w:rsidRDefault="00292690" w:rsidP="008A4EA3">
      <w:pPr>
        <w:pStyle w:val="ListBullet"/>
        <w:contextualSpacing w:val="0"/>
      </w:pPr>
      <w:r>
        <w:t>changing</w:t>
      </w:r>
      <w:r>
        <w:rPr>
          <w:spacing w:val="-8"/>
        </w:rPr>
        <w:t xml:space="preserve"> </w:t>
      </w:r>
      <w:r>
        <w:t>how</w:t>
      </w:r>
      <w:r>
        <w:rPr>
          <w:spacing w:val="-8"/>
        </w:rPr>
        <w:t xml:space="preserve"> </w:t>
      </w:r>
      <w:r>
        <w:t>they</w:t>
      </w:r>
      <w:r>
        <w:rPr>
          <w:spacing w:val="-8"/>
        </w:rPr>
        <w:t xml:space="preserve"> </w:t>
      </w:r>
      <w:r>
        <w:t>respond</w:t>
      </w:r>
      <w:r>
        <w:rPr>
          <w:spacing w:val="-8"/>
        </w:rPr>
        <w:t xml:space="preserve"> </w:t>
      </w:r>
      <w:r>
        <w:t>to</w:t>
      </w:r>
      <w:r>
        <w:rPr>
          <w:spacing w:val="-8"/>
        </w:rPr>
        <w:t xml:space="preserve"> </w:t>
      </w:r>
      <w:r>
        <w:t>the</w:t>
      </w:r>
      <w:r w:rsidR="00262342">
        <w:t xml:space="preserve"> </w:t>
      </w:r>
      <w:r>
        <w:t>needs</w:t>
      </w:r>
      <w:r w:rsidRPr="00262342">
        <w:rPr>
          <w:spacing w:val="-8"/>
        </w:rPr>
        <w:t xml:space="preserve"> </w:t>
      </w:r>
      <w:r>
        <w:t>of</w:t>
      </w:r>
      <w:r w:rsidRPr="00262342">
        <w:rPr>
          <w:spacing w:val="-8"/>
        </w:rPr>
        <w:t xml:space="preserve"> </w:t>
      </w:r>
      <w:r>
        <w:t>Aboriginal</w:t>
      </w:r>
      <w:r w:rsidRPr="00262342">
        <w:rPr>
          <w:spacing w:val="-8"/>
        </w:rPr>
        <w:t xml:space="preserve"> </w:t>
      </w:r>
      <w:r>
        <w:t>and</w:t>
      </w:r>
      <w:r w:rsidRPr="00262342">
        <w:rPr>
          <w:spacing w:val="-8"/>
        </w:rPr>
        <w:t xml:space="preserve"> </w:t>
      </w:r>
      <w:r>
        <w:t>Torres</w:t>
      </w:r>
      <w:r w:rsidRPr="00262342">
        <w:rPr>
          <w:spacing w:val="-8"/>
        </w:rPr>
        <w:t xml:space="preserve"> </w:t>
      </w:r>
      <w:r>
        <w:t>Strait Islander people</w:t>
      </w:r>
    </w:p>
    <w:p w14:paraId="3FCCC28E" w14:textId="77777777" w:rsidR="00292690" w:rsidRDefault="00292690" w:rsidP="00292690">
      <w:pPr>
        <w:pStyle w:val="ListBullet"/>
      </w:pPr>
      <w:r>
        <w:t xml:space="preserve">identifying and eliminating </w:t>
      </w:r>
      <w:r>
        <w:rPr>
          <w:spacing w:val="-2"/>
        </w:rPr>
        <w:t>racism</w:t>
      </w:r>
    </w:p>
    <w:p w14:paraId="2D509761" w14:textId="77777777" w:rsidR="00292690" w:rsidRDefault="00292690" w:rsidP="008A4EA3">
      <w:pPr>
        <w:pStyle w:val="ListBullet"/>
        <w:contextualSpacing w:val="0"/>
      </w:pPr>
      <w:r>
        <w:t>embedding</w:t>
      </w:r>
      <w:r>
        <w:rPr>
          <w:spacing w:val="-12"/>
        </w:rPr>
        <w:t xml:space="preserve"> </w:t>
      </w:r>
      <w:r>
        <w:t>and</w:t>
      </w:r>
      <w:r>
        <w:rPr>
          <w:spacing w:val="-12"/>
        </w:rPr>
        <w:t xml:space="preserve"> </w:t>
      </w:r>
      <w:r>
        <w:t>practicing</w:t>
      </w:r>
      <w:r>
        <w:rPr>
          <w:spacing w:val="-12"/>
        </w:rPr>
        <w:t xml:space="preserve"> </w:t>
      </w:r>
      <w:r>
        <w:t>meaningful cultural safety</w:t>
      </w:r>
    </w:p>
    <w:p w14:paraId="0982369F" w14:textId="426512E5" w:rsidR="006B0553" w:rsidRPr="006B0553" w:rsidRDefault="00292690" w:rsidP="00B464E6">
      <w:pPr>
        <w:pStyle w:val="ListBullet"/>
        <w:spacing w:after="200"/>
      </w:pPr>
      <w:r>
        <w:t>improving</w:t>
      </w:r>
      <w:r>
        <w:rPr>
          <w:spacing w:val="-12"/>
        </w:rPr>
        <w:t xml:space="preserve"> </w:t>
      </w:r>
      <w:r>
        <w:t>engagement</w:t>
      </w:r>
      <w:r>
        <w:rPr>
          <w:spacing w:val="-12"/>
        </w:rPr>
        <w:t xml:space="preserve"> </w:t>
      </w:r>
      <w:r>
        <w:t>with</w:t>
      </w:r>
      <w:r>
        <w:rPr>
          <w:spacing w:val="-12"/>
        </w:rPr>
        <w:t xml:space="preserve"> </w:t>
      </w:r>
      <w:r>
        <w:t>Aboriginal and Torres Strait Islander people.</w:t>
      </w:r>
    </w:p>
    <w:p w14:paraId="3AFCB001" w14:textId="77777777" w:rsidR="006B0553" w:rsidRDefault="006B0553" w:rsidP="006B0553">
      <w:pPr>
        <w:pStyle w:val="ListBullet2"/>
        <w:numPr>
          <w:ilvl w:val="0"/>
          <w:numId w:val="0"/>
        </w:numPr>
        <w:spacing w:after="80"/>
        <w:rPr>
          <w:rFonts w:asciiTheme="majorHAnsi" w:eastAsiaTheme="majorEastAsia" w:hAnsiTheme="majorHAnsi" w:cstheme="majorBidi"/>
          <w:b/>
          <w:color w:val="573C2C"/>
          <w:sz w:val="26"/>
          <w:szCs w:val="26"/>
        </w:rPr>
      </w:pPr>
      <w:r w:rsidRPr="006B0553">
        <w:rPr>
          <w:rFonts w:asciiTheme="majorHAnsi" w:eastAsiaTheme="majorEastAsia" w:hAnsiTheme="majorHAnsi" w:cstheme="majorBidi"/>
          <w:b/>
          <w:color w:val="573C2C"/>
          <w:sz w:val="26"/>
          <w:szCs w:val="26"/>
        </w:rPr>
        <w:t>The transformation of government organisations has barely begun</w:t>
      </w:r>
    </w:p>
    <w:p w14:paraId="001272CF" w14:textId="77777777" w:rsidR="006B0553" w:rsidRDefault="006B0553" w:rsidP="00C413DC">
      <w:pPr>
        <w:spacing w:after="120"/>
      </w:pPr>
      <w:r>
        <w:t>Many</w:t>
      </w:r>
      <w:r>
        <w:rPr>
          <w:spacing w:val="-4"/>
        </w:rPr>
        <w:t xml:space="preserve"> </w:t>
      </w:r>
      <w:r>
        <w:t>government</w:t>
      </w:r>
      <w:r>
        <w:rPr>
          <w:spacing w:val="-4"/>
        </w:rPr>
        <w:t xml:space="preserve"> </w:t>
      </w:r>
      <w:r>
        <w:t>organisations</w:t>
      </w:r>
      <w:r>
        <w:rPr>
          <w:spacing w:val="-4"/>
        </w:rPr>
        <w:t xml:space="preserve"> are:</w:t>
      </w:r>
    </w:p>
    <w:p w14:paraId="490C12B5" w14:textId="77777777" w:rsidR="00C413DC" w:rsidRDefault="006B0553" w:rsidP="008A4EA3">
      <w:pPr>
        <w:pStyle w:val="ListBullet"/>
        <w:contextualSpacing w:val="0"/>
      </w:pPr>
      <w:r>
        <w:t>rolling</w:t>
      </w:r>
      <w:r>
        <w:rPr>
          <w:spacing w:val="-9"/>
        </w:rPr>
        <w:t xml:space="preserve"> </w:t>
      </w:r>
      <w:r>
        <w:t>out</w:t>
      </w:r>
      <w:r>
        <w:rPr>
          <w:spacing w:val="-9"/>
        </w:rPr>
        <w:t xml:space="preserve"> </w:t>
      </w:r>
      <w:r>
        <w:t>cultural</w:t>
      </w:r>
      <w:r>
        <w:rPr>
          <w:spacing w:val="-9"/>
        </w:rPr>
        <w:t xml:space="preserve"> </w:t>
      </w:r>
      <w:r>
        <w:t>capability</w:t>
      </w:r>
      <w:r>
        <w:rPr>
          <w:spacing w:val="-9"/>
        </w:rPr>
        <w:t xml:space="preserve"> </w:t>
      </w:r>
      <w:r>
        <w:t xml:space="preserve">training </w:t>
      </w:r>
    </w:p>
    <w:p w14:paraId="77712ED8" w14:textId="6D7678DD" w:rsidR="006B0553" w:rsidRDefault="006B0553" w:rsidP="00C413DC">
      <w:pPr>
        <w:pStyle w:val="ListBullet"/>
        <w:contextualSpacing w:val="0"/>
      </w:pPr>
      <w:r>
        <w:rPr>
          <w:position w:val="1"/>
        </w:rPr>
        <w:t>developing strategies to increase</w:t>
      </w:r>
      <w:r w:rsidR="00C413DC">
        <w:t xml:space="preserve"> </w:t>
      </w:r>
      <w:r>
        <w:t>employment</w:t>
      </w:r>
      <w:r w:rsidRPr="00C413DC">
        <w:rPr>
          <w:spacing w:val="-8"/>
        </w:rPr>
        <w:t xml:space="preserve"> </w:t>
      </w:r>
      <w:r>
        <w:t>of</w:t>
      </w:r>
      <w:r w:rsidRPr="00C413DC">
        <w:rPr>
          <w:spacing w:val="-8"/>
        </w:rPr>
        <w:t xml:space="preserve"> </w:t>
      </w:r>
      <w:r>
        <w:t>Aboriginal</w:t>
      </w:r>
      <w:r w:rsidRPr="00C413DC">
        <w:rPr>
          <w:spacing w:val="-8"/>
        </w:rPr>
        <w:t xml:space="preserve"> </w:t>
      </w:r>
      <w:r>
        <w:t>and</w:t>
      </w:r>
      <w:r w:rsidRPr="00C413DC">
        <w:rPr>
          <w:spacing w:val="-8"/>
        </w:rPr>
        <w:t xml:space="preserve"> </w:t>
      </w:r>
      <w:r>
        <w:t>Torres</w:t>
      </w:r>
      <w:r w:rsidRPr="00C413DC">
        <w:rPr>
          <w:spacing w:val="-8"/>
        </w:rPr>
        <w:t xml:space="preserve"> </w:t>
      </w:r>
      <w:r>
        <w:t>Strait Islander people in the public sector</w:t>
      </w:r>
    </w:p>
    <w:p w14:paraId="4C1EFAE5" w14:textId="360C1686" w:rsidR="006B0553" w:rsidRDefault="006B0553" w:rsidP="006B0553">
      <w:pPr>
        <w:pStyle w:val="ListBullet"/>
      </w:pPr>
      <w:r>
        <w:t>engaging</w:t>
      </w:r>
      <w:r>
        <w:rPr>
          <w:spacing w:val="-9"/>
        </w:rPr>
        <w:t xml:space="preserve"> </w:t>
      </w:r>
      <w:r>
        <w:t>in</w:t>
      </w:r>
      <w:r>
        <w:rPr>
          <w:spacing w:val="-9"/>
        </w:rPr>
        <w:t xml:space="preserve"> </w:t>
      </w:r>
      <w:r>
        <w:t>self-assessment</w:t>
      </w:r>
      <w:r>
        <w:rPr>
          <w:spacing w:val="-9"/>
        </w:rPr>
        <w:t xml:space="preserve"> </w:t>
      </w:r>
      <w:r>
        <w:t>to</w:t>
      </w:r>
      <w:r>
        <w:rPr>
          <w:spacing w:val="-9"/>
        </w:rPr>
        <w:t xml:space="preserve"> </w:t>
      </w:r>
      <w:r>
        <w:t>understand their current state and how to progress Priority Reform 3.</w:t>
      </w:r>
    </w:p>
    <w:p w14:paraId="391FB774" w14:textId="77777777" w:rsidR="006B0553" w:rsidRDefault="006B0553" w:rsidP="006B0553">
      <w:r>
        <w:t>There is a lack of whole-of-government or organisational</w:t>
      </w:r>
      <w:r>
        <w:rPr>
          <w:spacing w:val="-8"/>
        </w:rPr>
        <w:t xml:space="preserve"> </w:t>
      </w:r>
      <w:r>
        <w:t>strategies</w:t>
      </w:r>
      <w:r>
        <w:rPr>
          <w:spacing w:val="-8"/>
        </w:rPr>
        <w:t xml:space="preserve"> </w:t>
      </w:r>
      <w:r>
        <w:t>for</w:t>
      </w:r>
      <w:r>
        <w:rPr>
          <w:spacing w:val="-8"/>
        </w:rPr>
        <w:t xml:space="preserve"> </w:t>
      </w:r>
      <w:r>
        <w:t>driving</w:t>
      </w:r>
      <w:r>
        <w:rPr>
          <w:spacing w:val="-8"/>
        </w:rPr>
        <w:t xml:space="preserve"> </w:t>
      </w:r>
      <w:r>
        <w:t>and</w:t>
      </w:r>
      <w:r>
        <w:rPr>
          <w:spacing w:val="-8"/>
        </w:rPr>
        <w:t xml:space="preserve"> </w:t>
      </w:r>
      <w:r>
        <w:t xml:space="preserve">delivering </w:t>
      </w:r>
      <w:r>
        <w:rPr>
          <w:spacing w:val="-2"/>
        </w:rPr>
        <w:t>transformation.</w:t>
      </w:r>
    </w:p>
    <w:p w14:paraId="14B3EBA5" w14:textId="77777777" w:rsidR="00BD3928" w:rsidRDefault="006B0553" w:rsidP="00C92330">
      <w:pPr>
        <w:spacing w:before="120"/>
        <w:rPr>
          <w:b/>
          <w:bCs/>
        </w:rPr>
      </w:pPr>
      <w:r w:rsidRPr="006B0553">
        <w:rPr>
          <w:b/>
          <w:bCs/>
        </w:rPr>
        <w:t>Lack of progress on Priority Reform 3 is putting the other Priority Reforms and the Agreement as a whole at risk.</w:t>
      </w:r>
    </w:p>
    <w:p w14:paraId="5563E046" w14:textId="0031F160" w:rsidR="00BD3928" w:rsidRDefault="00BD3928" w:rsidP="00BD3928">
      <w:pPr>
        <w:pStyle w:val="ListBullet2"/>
        <w:numPr>
          <w:ilvl w:val="0"/>
          <w:numId w:val="0"/>
        </w:numPr>
        <w:spacing w:after="80"/>
        <w:rPr>
          <w:rFonts w:asciiTheme="majorHAnsi" w:eastAsiaTheme="majorEastAsia" w:hAnsiTheme="majorHAnsi" w:cstheme="majorBidi"/>
          <w:b/>
          <w:color w:val="573C2C"/>
          <w:sz w:val="26"/>
          <w:szCs w:val="26"/>
        </w:rPr>
      </w:pPr>
      <w:r>
        <w:rPr>
          <w:rFonts w:asciiTheme="majorHAnsi" w:eastAsiaTheme="majorEastAsia" w:hAnsiTheme="majorHAnsi" w:cstheme="majorBidi"/>
          <w:b/>
          <w:color w:val="573C2C"/>
          <w:sz w:val="26"/>
          <w:szCs w:val="26"/>
        </w:rPr>
        <w:t>T</w:t>
      </w:r>
      <w:r w:rsidRPr="006B0553">
        <w:rPr>
          <w:rFonts w:asciiTheme="majorHAnsi" w:eastAsiaTheme="majorEastAsia" w:hAnsiTheme="majorHAnsi" w:cstheme="majorBidi"/>
          <w:b/>
          <w:color w:val="573C2C"/>
          <w:sz w:val="26"/>
          <w:szCs w:val="26"/>
        </w:rPr>
        <w:t xml:space="preserve">ransformation </w:t>
      </w:r>
      <w:r>
        <w:rPr>
          <w:rFonts w:asciiTheme="majorHAnsi" w:eastAsiaTheme="majorEastAsia" w:hAnsiTheme="majorHAnsi" w:cstheme="majorBidi"/>
          <w:b/>
          <w:color w:val="573C2C"/>
          <w:sz w:val="26"/>
          <w:szCs w:val="26"/>
        </w:rPr>
        <w:t>requires changing</w:t>
      </w:r>
    </w:p>
    <w:p w14:paraId="1E46C23B" w14:textId="5D2A4985" w:rsidR="00BD3928" w:rsidRDefault="00BD3928" w:rsidP="00D72AEC">
      <w:pPr>
        <w:pStyle w:val="ListbulletTICK"/>
        <w:ind w:left="397" w:hanging="357"/>
        <w:contextualSpacing w:val="0"/>
      </w:pPr>
      <w:r>
        <w:t>Policies</w:t>
      </w:r>
      <w:r>
        <w:rPr>
          <w:spacing w:val="-4"/>
        </w:rPr>
        <w:t xml:space="preserve"> </w:t>
      </w:r>
      <w:r>
        <w:t>and</w:t>
      </w:r>
      <w:r>
        <w:rPr>
          <w:spacing w:val="-3"/>
        </w:rPr>
        <w:t xml:space="preserve"> </w:t>
      </w:r>
      <w:r>
        <w:rPr>
          <w:spacing w:val="-2"/>
        </w:rPr>
        <w:t>processes</w:t>
      </w:r>
      <w:r>
        <w:t xml:space="preserve"> of government </w:t>
      </w:r>
      <w:r w:rsidRPr="00BD3928">
        <w:rPr>
          <w:spacing w:val="-2"/>
        </w:rPr>
        <w:t>organisations</w:t>
      </w:r>
    </w:p>
    <w:p w14:paraId="470C9834" w14:textId="77777777" w:rsidR="00BD3928" w:rsidRDefault="00BD3928" w:rsidP="00D72AEC">
      <w:pPr>
        <w:pStyle w:val="ListbulletTICK"/>
        <w:ind w:left="397" w:hanging="357"/>
        <w:contextualSpacing w:val="0"/>
      </w:pPr>
      <w:r>
        <w:t>Workplace</w:t>
      </w:r>
      <w:r>
        <w:rPr>
          <w:spacing w:val="-1"/>
        </w:rPr>
        <w:t xml:space="preserve"> </w:t>
      </w:r>
      <w:r>
        <w:t>culture</w:t>
      </w:r>
      <w:r>
        <w:rPr>
          <w:spacing w:val="-1"/>
        </w:rPr>
        <w:t xml:space="preserve"> </w:t>
      </w:r>
      <w:r>
        <w:t>in</w:t>
      </w:r>
      <w:r>
        <w:rPr>
          <w:spacing w:val="-1"/>
        </w:rPr>
        <w:t xml:space="preserve"> </w:t>
      </w:r>
      <w:r>
        <w:t>the</w:t>
      </w:r>
      <w:r>
        <w:rPr>
          <w:spacing w:val="-1"/>
        </w:rPr>
        <w:t xml:space="preserve"> </w:t>
      </w:r>
      <w:r>
        <w:t>public</w:t>
      </w:r>
      <w:r>
        <w:rPr>
          <w:spacing w:val="-1"/>
        </w:rPr>
        <w:t xml:space="preserve"> </w:t>
      </w:r>
      <w:r>
        <w:rPr>
          <w:spacing w:val="-2"/>
        </w:rPr>
        <w:t>sector</w:t>
      </w:r>
    </w:p>
    <w:p w14:paraId="355FE183" w14:textId="77777777" w:rsidR="00BD3928" w:rsidRDefault="00BD3928" w:rsidP="00D72AEC">
      <w:pPr>
        <w:pStyle w:val="ListbulletTICK"/>
        <w:ind w:left="397"/>
      </w:pPr>
      <w:r>
        <w:t>Services</w:t>
      </w:r>
      <w:r>
        <w:rPr>
          <w:spacing w:val="-6"/>
        </w:rPr>
        <w:t xml:space="preserve"> </w:t>
      </w:r>
      <w:r>
        <w:t>that</w:t>
      </w:r>
      <w:r>
        <w:rPr>
          <w:spacing w:val="-6"/>
        </w:rPr>
        <w:t xml:space="preserve"> </w:t>
      </w:r>
      <w:r>
        <w:t>governments</w:t>
      </w:r>
      <w:r>
        <w:rPr>
          <w:spacing w:val="-5"/>
        </w:rPr>
        <w:t xml:space="preserve"> </w:t>
      </w:r>
      <w:r>
        <w:rPr>
          <w:spacing w:val="-4"/>
        </w:rPr>
        <w:t>fund</w:t>
      </w:r>
    </w:p>
    <w:p w14:paraId="6C38FBD3" w14:textId="77777777" w:rsidR="00BD3928" w:rsidRDefault="00BD3928" w:rsidP="00BD3928">
      <w:pPr>
        <w:pStyle w:val="ListBullet2"/>
        <w:numPr>
          <w:ilvl w:val="0"/>
          <w:numId w:val="0"/>
        </w:numPr>
        <w:spacing w:after="80"/>
        <w:rPr>
          <w:rFonts w:asciiTheme="majorHAnsi" w:eastAsiaTheme="majorEastAsia" w:hAnsiTheme="majorHAnsi" w:cstheme="majorBidi"/>
          <w:b/>
          <w:color w:val="573C2C"/>
          <w:sz w:val="26"/>
          <w:szCs w:val="26"/>
        </w:rPr>
      </w:pPr>
    </w:p>
    <w:p w14:paraId="2B48330F" w14:textId="22B4FF54" w:rsidR="00DD457F" w:rsidRPr="006B0553" w:rsidRDefault="00DD457F" w:rsidP="006B0553">
      <w:pPr>
        <w:spacing w:before="120" w:after="0"/>
        <w:rPr>
          <w:b/>
          <w:bCs/>
        </w:rPr>
      </w:pPr>
      <w:r w:rsidRPr="006B0553">
        <w:rPr>
          <w:b/>
          <w:bCs/>
        </w:rPr>
        <w:br w:type="column"/>
      </w:r>
    </w:p>
    <w:p w14:paraId="6A109322" w14:textId="77777777" w:rsidR="00BD3928" w:rsidRPr="00137FA4" w:rsidRDefault="00BD3928" w:rsidP="00DD457F">
      <w:pPr>
        <w:rPr>
          <w:rFonts w:asciiTheme="majorHAnsi" w:eastAsiaTheme="majorEastAsia" w:hAnsiTheme="majorHAnsi" w:cstheme="majorBidi"/>
          <w:b/>
          <w:color w:val="573C2C"/>
          <w:sz w:val="26"/>
          <w:szCs w:val="26"/>
          <w:lang w:val="en-US"/>
        </w:rPr>
      </w:pPr>
      <w:r w:rsidRPr="00137FA4">
        <w:rPr>
          <w:rFonts w:asciiTheme="majorHAnsi" w:eastAsiaTheme="majorEastAsia" w:hAnsiTheme="majorHAnsi" w:cstheme="majorBidi"/>
          <w:b/>
          <w:color w:val="573C2C"/>
          <w:sz w:val="26"/>
          <w:szCs w:val="26"/>
          <w:lang w:val="en-US"/>
        </w:rPr>
        <w:t>What do governments organisations still need to do?</w:t>
      </w:r>
    </w:p>
    <w:p w14:paraId="78300EC0" w14:textId="4A8EA9CC" w:rsidR="00BD3928" w:rsidRDefault="00BD3928" w:rsidP="008A4EA3">
      <w:pPr>
        <w:pStyle w:val="ListBullet"/>
        <w:contextualSpacing w:val="0"/>
      </w:pPr>
      <w:r>
        <w:rPr>
          <w:position w:val="2"/>
        </w:rPr>
        <w:t xml:space="preserve">Get out of doing business-as-usual and </w:t>
      </w:r>
      <w:r>
        <w:t>consider the scale of what they have committed to, drawing on Aboriginal and Torres Strait Islander people, organisations and communities to assess where institutional</w:t>
      </w:r>
      <w:r>
        <w:rPr>
          <w:spacing w:val="-7"/>
        </w:rPr>
        <w:t xml:space="preserve"> </w:t>
      </w:r>
      <w:r>
        <w:t>racism</w:t>
      </w:r>
      <w:r>
        <w:rPr>
          <w:spacing w:val="-7"/>
        </w:rPr>
        <w:t xml:space="preserve"> </w:t>
      </w:r>
      <w:r>
        <w:t>and</w:t>
      </w:r>
      <w:r>
        <w:rPr>
          <w:spacing w:val="-7"/>
        </w:rPr>
        <w:t xml:space="preserve"> </w:t>
      </w:r>
      <w:r>
        <w:t>unconscious</w:t>
      </w:r>
      <w:r>
        <w:rPr>
          <w:spacing w:val="-7"/>
        </w:rPr>
        <w:t xml:space="preserve"> </w:t>
      </w:r>
      <w:r>
        <w:t>bias</w:t>
      </w:r>
      <w:r>
        <w:rPr>
          <w:spacing w:val="-7"/>
        </w:rPr>
        <w:t xml:space="preserve"> </w:t>
      </w:r>
      <w:r>
        <w:t>lies within their system operations.</w:t>
      </w:r>
    </w:p>
    <w:p w14:paraId="4764A4A8" w14:textId="468547E2" w:rsidR="00BD3928" w:rsidRDefault="00BD3928" w:rsidP="008A4EA3">
      <w:pPr>
        <w:pStyle w:val="ListBullet"/>
        <w:contextualSpacing w:val="0"/>
      </w:pPr>
      <w:r>
        <w:rPr>
          <w:position w:val="2"/>
        </w:rPr>
        <w:t>Explain what transformation looks like, how</w:t>
      </w:r>
      <w:r>
        <w:rPr>
          <w:spacing w:val="40"/>
          <w:position w:val="2"/>
        </w:rPr>
        <w:t xml:space="preserve"> </w:t>
      </w:r>
      <w:r>
        <w:t>it</w:t>
      </w:r>
      <w:r>
        <w:rPr>
          <w:spacing w:val="-6"/>
        </w:rPr>
        <w:t xml:space="preserve"> </w:t>
      </w:r>
      <w:r>
        <w:t>will</w:t>
      </w:r>
      <w:r>
        <w:rPr>
          <w:spacing w:val="-6"/>
        </w:rPr>
        <w:t xml:space="preserve"> </w:t>
      </w:r>
      <w:r>
        <w:t>be</w:t>
      </w:r>
      <w:r>
        <w:rPr>
          <w:spacing w:val="-6"/>
        </w:rPr>
        <w:t xml:space="preserve"> </w:t>
      </w:r>
      <w:r>
        <w:t>achieved,</w:t>
      </w:r>
      <w:r>
        <w:rPr>
          <w:spacing w:val="-6"/>
        </w:rPr>
        <w:t xml:space="preserve"> </w:t>
      </w:r>
      <w:r>
        <w:t>and</w:t>
      </w:r>
      <w:r>
        <w:rPr>
          <w:spacing w:val="-6"/>
        </w:rPr>
        <w:t xml:space="preserve"> </w:t>
      </w:r>
      <w:r>
        <w:t>track</w:t>
      </w:r>
      <w:r>
        <w:rPr>
          <w:spacing w:val="-6"/>
        </w:rPr>
        <w:t xml:space="preserve"> </w:t>
      </w:r>
      <w:r>
        <w:t>implementation.</w:t>
      </w:r>
    </w:p>
    <w:p w14:paraId="6B85D77B" w14:textId="081D734A" w:rsidR="000334CA" w:rsidRPr="000334CA" w:rsidRDefault="00BD3928" w:rsidP="003D161D">
      <w:pPr>
        <w:pStyle w:val="ListBullet"/>
        <w:spacing w:after="200"/>
        <w:contextualSpacing w:val="0"/>
        <w:rPr>
          <w:color w:val="0D8380"/>
        </w:rPr>
      </w:pPr>
      <w:r>
        <w:rPr>
          <w:position w:val="1"/>
        </w:rPr>
        <w:t xml:space="preserve">Implement the independent </w:t>
      </w:r>
      <w:r>
        <w:rPr>
          <w:spacing w:val="-2"/>
          <w:position w:val="1"/>
        </w:rPr>
        <w:t>mechanism.</w:t>
      </w:r>
    </w:p>
    <w:p w14:paraId="670D97B0" w14:textId="76385E48" w:rsidR="00137FA4" w:rsidRPr="000334CA" w:rsidRDefault="00137FA4" w:rsidP="000334CA">
      <w:pPr>
        <w:pStyle w:val="ListBullet"/>
        <w:numPr>
          <w:ilvl w:val="0"/>
          <w:numId w:val="0"/>
        </w:numPr>
        <w:rPr>
          <w:color w:val="0D8380"/>
        </w:rPr>
      </w:pPr>
      <w:r w:rsidRPr="000334CA">
        <w:rPr>
          <w:rFonts w:asciiTheme="majorHAnsi" w:eastAsiaTheme="majorEastAsia" w:hAnsiTheme="majorHAnsi" w:cstheme="majorBidi"/>
          <w:b/>
          <w:color w:val="573C2C"/>
          <w:sz w:val="26"/>
          <w:szCs w:val="26"/>
        </w:rPr>
        <w:t>Transformation strategies</w:t>
      </w:r>
    </w:p>
    <w:p w14:paraId="30D996C2" w14:textId="77777777" w:rsidR="00137FA4" w:rsidRDefault="00137FA4" w:rsidP="00137FA4">
      <w:r>
        <w:t>The</w:t>
      </w:r>
      <w:r>
        <w:rPr>
          <w:spacing w:val="-1"/>
        </w:rPr>
        <w:t xml:space="preserve"> </w:t>
      </w:r>
      <w:r>
        <w:t>Commission</w:t>
      </w:r>
      <w:r>
        <w:rPr>
          <w:spacing w:val="-1"/>
        </w:rPr>
        <w:t xml:space="preserve"> </w:t>
      </w:r>
      <w:r>
        <w:t>is</w:t>
      </w:r>
      <w:r>
        <w:rPr>
          <w:spacing w:val="-1"/>
        </w:rPr>
        <w:t xml:space="preserve"> </w:t>
      </w:r>
      <w:r>
        <w:t>recommending</w:t>
      </w:r>
      <w:r>
        <w:rPr>
          <w:spacing w:val="-1"/>
        </w:rPr>
        <w:t xml:space="preserve"> </w:t>
      </w:r>
      <w:r>
        <w:t>that</w:t>
      </w:r>
      <w:r>
        <w:rPr>
          <w:spacing w:val="-1"/>
        </w:rPr>
        <w:t xml:space="preserve"> </w:t>
      </w:r>
      <w:r>
        <w:t>every government department develops a clear, documented strategy for its portfolio to undertake</w:t>
      </w:r>
      <w:r>
        <w:rPr>
          <w:spacing w:val="-14"/>
        </w:rPr>
        <w:t xml:space="preserve"> </w:t>
      </w:r>
      <w:r>
        <w:t>the</w:t>
      </w:r>
      <w:r>
        <w:rPr>
          <w:spacing w:val="-14"/>
        </w:rPr>
        <w:t xml:space="preserve"> </w:t>
      </w:r>
      <w:r>
        <w:t>transformation</w:t>
      </w:r>
      <w:r>
        <w:rPr>
          <w:spacing w:val="-14"/>
        </w:rPr>
        <w:t xml:space="preserve"> </w:t>
      </w:r>
      <w:r>
        <w:t>required</w:t>
      </w:r>
      <w:r>
        <w:rPr>
          <w:spacing w:val="-14"/>
        </w:rPr>
        <w:t xml:space="preserve"> </w:t>
      </w:r>
      <w:r>
        <w:t>under the Agreement.</w:t>
      </w:r>
    </w:p>
    <w:p w14:paraId="00DC7EE7" w14:textId="22F67D8D" w:rsidR="00DD457F" w:rsidRPr="00E83A4B" w:rsidRDefault="00137FA4" w:rsidP="00E83A4B">
      <w:pPr>
        <w:spacing w:after="240"/>
      </w:pPr>
      <w:r>
        <w:t>The transformation strategy needs to be underpinned</w:t>
      </w:r>
      <w:r>
        <w:rPr>
          <w:spacing w:val="-11"/>
        </w:rPr>
        <w:t xml:space="preserve"> </w:t>
      </w:r>
      <w:r>
        <w:t>by</w:t>
      </w:r>
      <w:r>
        <w:rPr>
          <w:spacing w:val="-11"/>
        </w:rPr>
        <w:t xml:space="preserve"> </w:t>
      </w:r>
      <w:r>
        <w:t>Aboriginal</w:t>
      </w:r>
      <w:r>
        <w:rPr>
          <w:spacing w:val="-11"/>
        </w:rPr>
        <w:t xml:space="preserve"> </w:t>
      </w:r>
      <w:r>
        <w:t>and</w:t>
      </w:r>
      <w:r>
        <w:rPr>
          <w:spacing w:val="-11"/>
        </w:rPr>
        <w:t xml:space="preserve"> </w:t>
      </w:r>
      <w:r>
        <w:t>Torres</w:t>
      </w:r>
      <w:r>
        <w:rPr>
          <w:spacing w:val="-11"/>
        </w:rPr>
        <w:t xml:space="preserve"> </w:t>
      </w:r>
      <w:r>
        <w:t>Strait Islander-led assessment of the government department’s history with Aboriginal and Torres Strait Islander people.</w:t>
      </w:r>
    </w:p>
    <w:p w14:paraId="1F8B6C7F" w14:textId="77777777" w:rsidR="00CB65E7" w:rsidRDefault="00DD457F" w:rsidP="00DD457F">
      <w:pPr>
        <w:pStyle w:val="ListBullet"/>
        <w:numPr>
          <w:ilvl w:val="0"/>
          <w:numId w:val="0"/>
        </w:numPr>
        <w:ind w:left="227" w:hanging="227"/>
        <w:rPr>
          <w:color w:val="265A9A" w:themeColor="background2"/>
        </w:rPr>
        <w:sectPr w:rsidR="00CB65E7" w:rsidSect="001C7C66">
          <w:headerReference w:type="default" r:id="rId25"/>
          <w:pgSz w:w="11906" w:h="16838"/>
          <w:pgMar w:top="2693" w:right="1134" w:bottom="1701" w:left="1134" w:header="284" w:footer="567" w:gutter="0"/>
          <w:cols w:num="2" w:space="708"/>
          <w:docGrid w:linePitch="360"/>
        </w:sectPr>
      </w:pPr>
      <w:r w:rsidRPr="00AA6465">
        <w:rPr>
          <w:noProof/>
          <w:sz w:val="36"/>
          <w:szCs w:val="36"/>
        </w:rPr>
        <w:drawing>
          <wp:inline distT="0" distB="0" distL="0" distR="0" wp14:anchorId="3BD6CB9E" wp14:editId="54F298FA">
            <wp:extent cx="849630" cy="422910"/>
            <wp:effectExtent l="0" t="0" r="0" b="1905"/>
            <wp:docPr id="635357123" name="Picture 635357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70363" name="Picture 946870363">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397" r="-1664"/>
                    <a:stretch/>
                  </pic:blipFill>
                  <pic:spPr bwMode="auto">
                    <a:xfrm>
                      <a:off x="0" y="0"/>
                      <a:ext cx="849630" cy="422910"/>
                    </a:xfrm>
                    <a:prstGeom prst="rect">
                      <a:avLst/>
                    </a:prstGeom>
                    <a:ln>
                      <a:noFill/>
                    </a:ln>
                    <a:extLst>
                      <a:ext uri="{53640926-AAD7-44D8-BBD7-CCE9431645EC}">
                        <a14:shadowObscured xmlns:a14="http://schemas.microsoft.com/office/drawing/2010/main"/>
                      </a:ext>
                    </a:extLst>
                  </pic:spPr>
                </pic:pic>
              </a:graphicData>
            </a:graphic>
          </wp:inline>
        </w:drawing>
      </w:r>
      <w:r w:rsidR="003C1C69" w:rsidRPr="00AA6465">
        <w:rPr>
          <w:noProof/>
          <w:sz w:val="36"/>
          <w:szCs w:val="36"/>
        </w:rPr>
        <w:drawing>
          <wp:inline distT="0" distB="0" distL="0" distR="0" wp14:anchorId="3BD3B092" wp14:editId="182A8E46">
            <wp:extent cx="1490196" cy="516255"/>
            <wp:effectExtent l="0" t="0" r="0" b="0"/>
            <wp:docPr id="1629447714" name="Picture 1629447714" descr="Read the report link to websi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47714" name="Picture 1629447714" descr="Read the report link to website">
                      <a:hlinkClick r:id="rId20"/>
                    </pic:cNvPr>
                    <pic:cNvPicPr/>
                  </pic:nvPicPr>
                  <pic:blipFill rotWithShape="1">
                    <a:blip r:embed="rId21" cstate="print">
                      <a:extLst>
                        <a:ext uri="{28A0092B-C50C-407E-A947-70E740481C1C}">
                          <a14:useLocalDpi xmlns:a14="http://schemas.microsoft.com/office/drawing/2010/main" val="0"/>
                        </a:ext>
                      </a:extLst>
                    </a:blip>
                    <a:srcRect l="-6841" t="-37787" r="-11189" b="-29554"/>
                    <a:stretch/>
                  </pic:blipFill>
                  <pic:spPr bwMode="auto">
                    <a:xfrm>
                      <a:off x="0" y="0"/>
                      <a:ext cx="1523520" cy="527800"/>
                    </a:xfrm>
                    <a:prstGeom prst="rect">
                      <a:avLst/>
                    </a:prstGeom>
                    <a:ln>
                      <a:noFill/>
                    </a:ln>
                    <a:extLst>
                      <a:ext uri="{53640926-AAD7-44D8-BBD7-CCE9431645EC}">
                        <a14:shadowObscured xmlns:a14="http://schemas.microsoft.com/office/drawing/2010/main"/>
                      </a:ext>
                    </a:extLst>
                  </pic:spPr>
                </pic:pic>
              </a:graphicData>
            </a:graphic>
          </wp:inline>
        </w:drawing>
      </w:r>
    </w:p>
    <w:p w14:paraId="1F1E1DDC" w14:textId="77777777" w:rsidR="00DB41B3" w:rsidRDefault="00DB41B3" w:rsidP="008E756A"/>
    <w:p w14:paraId="3A236C08" w14:textId="5D09E0F8" w:rsidR="00DB41B3" w:rsidRPr="00E1340B" w:rsidRDefault="00DB41B3" w:rsidP="00DB41B3">
      <w:pPr>
        <w:pStyle w:val="Heading2"/>
        <w:spacing w:before="360" w:line="240" w:lineRule="auto"/>
        <w:rPr>
          <w:color w:val="573C2C"/>
          <w:lang w:val="en-US"/>
        </w:rPr>
      </w:pPr>
      <w:r w:rsidRPr="00DB41B3">
        <w:rPr>
          <w:color w:val="573C2C"/>
          <w:lang w:val="en-US"/>
        </w:rPr>
        <w:t>Priority Reform 4 commits governments to change the way:</w:t>
      </w:r>
    </w:p>
    <w:p w14:paraId="42BED3AE" w14:textId="77777777" w:rsidR="00DB41B3" w:rsidRDefault="00DB41B3" w:rsidP="003E0A17">
      <w:pPr>
        <w:pStyle w:val="ListBullet2"/>
        <w:contextualSpacing w:val="0"/>
      </w:pPr>
      <w:r w:rsidRPr="00DB41B3">
        <w:t>they work with data</w:t>
      </w:r>
    </w:p>
    <w:p w14:paraId="706AFE1D" w14:textId="0D52EC86" w:rsidR="00DB41B3" w:rsidRDefault="00DB41B3" w:rsidP="003E0A17">
      <w:pPr>
        <w:pStyle w:val="ListBullet2"/>
        <w:spacing w:after="200"/>
        <w:contextualSpacing w:val="0"/>
      </w:pPr>
      <w:r w:rsidRPr="00DB41B3">
        <w:t>they work with Aboriginal and Torres Strait Islander people in relation to data.</w:t>
      </w:r>
    </w:p>
    <w:p w14:paraId="53A37F6B" w14:textId="1660B8BC" w:rsidR="00DB41B3" w:rsidRDefault="00DB41B3" w:rsidP="00DB41B3">
      <w:pPr>
        <w:spacing w:after="80"/>
        <w:rPr>
          <w:rFonts w:asciiTheme="majorHAnsi" w:eastAsiaTheme="majorEastAsia" w:hAnsiTheme="majorHAnsi" w:cstheme="majorBidi"/>
          <w:b/>
          <w:color w:val="573C2C"/>
          <w:sz w:val="26"/>
          <w:szCs w:val="26"/>
        </w:rPr>
      </w:pPr>
      <w:r>
        <w:rPr>
          <w:rFonts w:asciiTheme="majorHAnsi" w:eastAsiaTheme="majorEastAsia" w:hAnsiTheme="majorHAnsi" w:cstheme="majorBidi"/>
          <w:b/>
          <w:color w:val="573C2C"/>
          <w:sz w:val="26"/>
          <w:szCs w:val="26"/>
        </w:rPr>
        <w:t>G</w:t>
      </w:r>
      <w:r w:rsidRPr="00DB41B3">
        <w:rPr>
          <w:rFonts w:asciiTheme="majorHAnsi" w:eastAsiaTheme="majorEastAsia" w:hAnsiTheme="majorHAnsi" w:cstheme="majorBidi"/>
          <w:b/>
          <w:color w:val="573C2C"/>
          <w:sz w:val="26"/>
          <w:szCs w:val="26"/>
        </w:rPr>
        <w:t>overnments are not enabling Aboriginal and Torres Strait Islander-led data</w:t>
      </w:r>
    </w:p>
    <w:p w14:paraId="425C0077" w14:textId="2354D007" w:rsidR="00DB41B3" w:rsidRDefault="00DB41B3" w:rsidP="00DB41B3">
      <w:r>
        <w:t>Overall, there has not yet been significant change relating to Priority Reform 4.</w:t>
      </w:r>
    </w:p>
    <w:p w14:paraId="4634A88F" w14:textId="77777777" w:rsidR="008A4EA3" w:rsidRPr="008A4EA3" w:rsidRDefault="008A4EA3" w:rsidP="008A4EA3">
      <w:pPr>
        <w:pStyle w:val="ListBullet"/>
        <w:contextualSpacing w:val="0"/>
        <w:rPr>
          <w:lang w:val="en-US"/>
        </w:rPr>
      </w:pPr>
      <w:r w:rsidRPr="008A4EA3">
        <w:rPr>
          <w:lang w:val="en-US"/>
        </w:rPr>
        <w:t>Most government actions have been about sharing data they already hold.</w:t>
      </w:r>
    </w:p>
    <w:p w14:paraId="6D33496B" w14:textId="77777777" w:rsidR="008A4EA3" w:rsidRPr="008A4EA3" w:rsidRDefault="008A4EA3" w:rsidP="008A4EA3">
      <w:pPr>
        <w:pStyle w:val="ListBullet"/>
        <w:contextualSpacing w:val="0"/>
        <w:rPr>
          <w:lang w:val="en-US"/>
        </w:rPr>
      </w:pPr>
      <w:r w:rsidRPr="008A4EA3">
        <w:rPr>
          <w:lang w:val="en-US"/>
        </w:rPr>
        <w:t>Governments often don’t value what Aboriginal and Torres Strait Islander people say about how data should be used, and haven’t changed how data is used in policy making to reflect this.</w:t>
      </w:r>
    </w:p>
    <w:p w14:paraId="6394750C" w14:textId="77777777" w:rsidR="008A4EA3" w:rsidRPr="008A4EA3" w:rsidRDefault="008A4EA3" w:rsidP="008A4EA3">
      <w:pPr>
        <w:pStyle w:val="ListBullet"/>
        <w:contextualSpacing w:val="0"/>
        <w:rPr>
          <w:lang w:val="en-US"/>
        </w:rPr>
      </w:pPr>
      <w:r w:rsidRPr="008A4EA3">
        <w:rPr>
          <w:lang w:val="en-US"/>
        </w:rPr>
        <w:t>Governments are not doing enough to support Aboriginal and Torres Strait Islander people’s data capability.</w:t>
      </w:r>
    </w:p>
    <w:p w14:paraId="7654AAE8" w14:textId="77777777" w:rsidR="006A5B26" w:rsidRDefault="008A4EA3" w:rsidP="006A5B26">
      <w:pPr>
        <w:pStyle w:val="ListBullet"/>
        <w:contextualSpacing w:val="0"/>
        <w:rPr>
          <w:lang w:val="en-US"/>
        </w:rPr>
      </w:pPr>
      <w:r w:rsidRPr="008A4EA3">
        <w:rPr>
          <w:lang w:val="en-US"/>
        </w:rPr>
        <w:t>The six community data projects are progressing slowly, but it is not clear how they will be used to advance</w:t>
      </w:r>
      <w:r>
        <w:rPr>
          <w:lang w:val="en-US"/>
        </w:rPr>
        <w:t xml:space="preserve"> </w:t>
      </w:r>
      <w:r w:rsidRPr="008A4EA3">
        <w:rPr>
          <w:lang w:val="en-US"/>
        </w:rPr>
        <w:t>Priority Reform 4 more broadly.</w:t>
      </w:r>
    </w:p>
    <w:p w14:paraId="0C85717A" w14:textId="40DCEBF3" w:rsidR="00E06FFF" w:rsidRPr="006A5B26" w:rsidRDefault="008A4EA3" w:rsidP="006A5B26">
      <w:pPr>
        <w:pStyle w:val="ListBullet"/>
        <w:contextualSpacing w:val="0"/>
        <w:rPr>
          <w:lang w:val="en-US"/>
        </w:rPr>
      </w:pPr>
      <w:r w:rsidRPr="006A5B26">
        <w:rPr>
          <w:lang w:val="en-US"/>
        </w:rPr>
        <w:t>Some jurisdictions are taking steps to embed Indigenous Data Governance (IDG) to support Indigenous Data Sovereignty (IDS).</w:t>
      </w:r>
      <w:r w:rsidR="00E06FFF" w:rsidRPr="006A5B26">
        <w:rPr>
          <w:lang w:val="en-US"/>
        </w:rPr>
        <w:br w:type="column"/>
      </w:r>
    </w:p>
    <w:p w14:paraId="408CFFB4" w14:textId="0CCA0A26" w:rsidR="00E06FFF" w:rsidRPr="00E1340B" w:rsidRDefault="00E06FFF" w:rsidP="00E06FFF">
      <w:pPr>
        <w:pStyle w:val="Heading2"/>
        <w:spacing w:before="360" w:line="240" w:lineRule="auto"/>
        <w:rPr>
          <w:color w:val="573C2C"/>
          <w:lang w:val="en-US"/>
        </w:rPr>
      </w:pPr>
      <w:r w:rsidRPr="00E06FFF">
        <w:rPr>
          <w:color w:val="573C2C"/>
        </w:rPr>
        <w:t>The Agreement, IDS and IDG</w:t>
      </w:r>
    </w:p>
    <w:p w14:paraId="7C3A6D3C" w14:textId="49151552" w:rsidR="00E06FFF" w:rsidRDefault="00E06FFF" w:rsidP="00E974C3">
      <w:pPr>
        <w:spacing w:after="120"/>
      </w:pPr>
      <w:r w:rsidRPr="00E06FFF">
        <w:t>IDS is not explicitly mentioned in the Agreement. But there is overlap between IDS and Priority Reform 4.</w:t>
      </w:r>
    </w:p>
    <w:p w14:paraId="4D251389" w14:textId="41B3DF4F" w:rsidR="00E06FFF" w:rsidRPr="00E1340B" w:rsidRDefault="00E06FFF" w:rsidP="00E06FFF">
      <w:r w:rsidRPr="00E06FFF">
        <w:t>The Maiam nayri Wingara Indigenous Data Collective has guidance on how to refer to IDS and IDG.</w:t>
      </w:r>
    </w:p>
    <w:p w14:paraId="3D9FB988" w14:textId="77777777" w:rsidR="00C166FE" w:rsidRDefault="00C166FE" w:rsidP="00E06FFF">
      <w:pPr>
        <w:pStyle w:val="ListBullet2"/>
        <w:contextualSpacing w:val="0"/>
      </w:pPr>
      <w:r w:rsidRPr="00C166FE">
        <w:t>IDS is ‘the right of Indigenous people to exercise ownership over Indigenous data which can be expressed through creation, collection, access, analysis, interpretation, management, dissemination and reuse’.</w:t>
      </w:r>
    </w:p>
    <w:p w14:paraId="446FD02B" w14:textId="256C8473" w:rsidR="008E756A" w:rsidRDefault="00C166FE" w:rsidP="00C166FE">
      <w:pPr>
        <w:pStyle w:val="ListBullet2"/>
      </w:pPr>
      <w:r>
        <w:t>IDG is ‘the right of Indigenous peoples to autonomously decide what, how and why Indigenous data are collected and used. It ensures that data on or about Indigenous peoples reflect... priorities, values, cultures, worldviews and diversity’.</w:t>
      </w:r>
    </w:p>
    <w:p w14:paraId="5D808134" w14:textId="1AD38E73" w:rsidR="006A5B26" w:rsidRPr="00FC2442" w:rsidRDefault="006A5B26" w:rsidP="006A5B26">
      <w:pPr>
        <w:pStyle w:val="Heading2"/>
        <w:spacing w:before="360" w:line="240" w:lineRule="auto"/>
        <w:rPr>
          <w:color w:val="573C2C"/>
          <w:spacing w:val="-4"/>
          <w:lang w:val="en-US"/>
        </w:rPr>
      </w:pPr>
      <w:r w:rsidRPr="00FC2442">
        <w:rPr>
          <w:color w:val="573C2C"/>
          <w:spacing w:val="-4"/>
        </w:rPr>
        <w:t xml:space="preserve">Amend the Agreement to include IDS </w:t>
      </w:r>
    </w:p>
    <w:p w14:paraId="00AD8334" w14:textId="77777777" w:rsidR="006A5B26" w:rsidRDefault="006A5B26" w:rsidP="006A5B26">
      <w:r>
        <w:t>The Commission recommends amending the Agreement</w:t>
      </w:r>
      <w:r>
        <w:rPr>
          <w:spacing w:val="-5"/>
        </w:rPr>
        <w:t xml:space="preserve"> </w:t>
      </w:r>
      <w:r>
        <w:t>to</w:t>
      </w:r>
      <w:r>
        <w:rPr>
          <w:spacing w:val="-5"/>
        </w:rPr>
        <w:t xml:space="preserve"> </w:t>
      </w:r>
      <w:r>
        <w:t>explicitly</w:t>
      </w:r>
      <w:r>
        <w:rPr>
          <w:spacing w:val="-5"/>
        </w:rPr>
        <w:t xml:space="preserve"> </w:t>
      </w:r>
      <w:r>
        <w:t>include</w:t>
      </w:r>
      <w:r>
        <w:rPr>
          <w:spacing w:val="-5"/>
        </w:rPr>
        <w:t xml:space="preserve"> </w:t>
      </w:r>
      <w:r>
        <w:t>IDS</w:t>
      </w:r>
      <w:r>
        <w:rPr>
          <w:spacing w:val="-5"/>
        </w:rPr>
        <w:t xml:space="preserve"> </w:t>
      </w:r>
      <w:r>
        <w:t>as</w:t>
      </w:r>
      <w:r>
        <w:rPr>
          <w:spacing w:val="-5"/>
        </w:rPr>
        <w:t xml:space="preserve"> </w:t>
      </w:r>
      <w:r>
        <w:t>part</w:t>
      </w:r>
      <w:r>
        <w:rPr>
          <w:spacing w:val="-5"/>
        </w:rPr>
        <w:t xml:space="preserve"> </w:t>
      </w:r>
      <w:r>
        <w:t>of</w:t>
      </w:r>
      <w:r>
        <w:rPr>
          <w:spacing w:val="-5"/>
        </w:rPr>
        <w:t xml:space="preserve"> </w:t>
      </w:r>
      <w:r>
        <w:t>the outcome statement for Priority Reform 4.</w:t>
      </w:r>
    </w:p>
    <w:p w14:paraId="38B733C9" w14:textId="406A80F8" w:rsidR="006A5B26" w:rsidRDefault="006A5B26" w:rsidP="006A5B26">
      <w:pPr>
        <w:pStyle w:val="ListBullet"/>
        <w:contextualSpacing w:val="0"/>
      </w:pPr>
      <w:r>
        <w:t>partnering with Aboriginal and Torres Strait Islander organisations and communities to embed</w:t>
      </w:r>
      <w:r>
        <w:rPr>
          <w:spacing w:val="-8"/>
        </w:rPr>
        <w:t xml:space="preserve"> </w:t>
      </w:r>
      <w:r>
        <w:t>IDG,</w:t>
      </w:r>
      <w:r>
        <w:rPr>
          <w:spacing w:val="-8"/>
        </w:rPr>
        <w:t xml:space="preserve"> </w:t>
      </w:r>
      <w:r>
        <w:t>including</w:t>
      </w:r>
      <w:r>
        <w:rPr>
          <w:spacing w:val="-8"/>
        </w:rPr>
        <w:t xml:space="preserve"> </w:t>
      </w:r>
      <w:r>
        <w:t>through</w:t>
      </w:r>
      <w:r>
        <w:rPr>
          <w:spacing w:val="-8"/>
        </w:rPr>
        <w:t xml:space="preserve"> </w:t>
      </w:r>
      <w:r>
        <w:t>incorporating IDG into existing data systems</w:t>
      </w:r>
    </w:p>
    <w:p w14:paraId="7B5F8E98" w14:textId="77777777" w:rsidR="006A5B26" w:rsidRDefault="006A5B26" w:rsidP="006A5B26">
      <w:pPr>
        <w:pStyle w:val="ListBullet"/>
      </w:pPr>
      <w:r>
        <w:t>strengthening</w:t>
      </w:r>
      <w:r>
        <w:rPr>
          <w:spacing w:val="-9"/>
        </w:rPr>
        <w:t xml:space="preserve"> </w:t>
      </w:r>
      <w:r>
        <w:t>the</w:t>
      </w:r>
      <w:r>
        <w:rPr>
          <w:spacing w:val="-9"/>
        </w:rPr>
        <w:t xml:space="preserve"> </w:t>
      </w:r>
      <w:r>
        <w:t>capabilities</w:t>
      </w:r>
      <w:r>
        <w:rPr>
          <w:spacing w:val="-9"/>
        </w:rPr>
        <w:t xml:space="preserve"> </w:t>
      </w:r>
      <w:r>
        <w:t>of</w:t>
      </w:r>
      <w:r>
        <w:rPr>
          <w:spacing w:val="-9"/>
        </w:rPr>
        <w:t xml:space="preserve"> </w:t>
      </w:r>
      <w:r>
        <w:t>government and ACCOs.</w:t>
      </w:r>
    </w:p>
    <w:p w14:paraId="6365F28D" w14:textId="77777777" w:rsidR="00A339FB" w:rsidRDefault="00A339FB" w:rsidP="00A339FB">
      <w:pPr>
        <w:pStyle w:val="ListBullet"/>
        <w:numPr>
          <w:ilvl w:val="0"/>
          <w:numId w:val="0"/>
        </w:numPr>
        <w:ind w:left="227"/>
      </w:pPr>
    </w:p>
    <w:p w14:paraId="23193551" w14:textId="79563A3F" w:rsidR="008A3136" w:rsidRDefault="007A7379" w:rsidP="007A7379">
      <w:pPr>
        <w:pStyle w:val="ListBullet"/>
        <w:numPr>
          <w:ilvl w:val="0"/>
          <w:numId w:val="0"/>
        </w:numPr>
        <w:sectPr w:rsidR="008A3136" w:rsidSect="001C7C66">
          <w:headerReference w:type="default" r:id="rId26"/>
          <w:pgSz w:w="11906" w:h="16838"/>
          <w:pgMar w:top="2693" w:right="1134" w:bottom="1701" w:left="1134" w:header="284" w:footer="567" w:gutter="0"/>
          <w:cols w:num="2" w:space="708"/>
          <w:docGrid w:linePitch="360"/>
        </w:sectPr>
      </w:pPr>
      <w:r w:rsidRPr="00AA6465">
        <w:rPr>
          <w:noProof/>
          <w:sz w:val="36"/>
          <w:szCs w:val="36"/>
        </w:rPr>
        <w:drawing>
          <wp:inline distT="0" distB="0" distL="0" distR="0" wp14:anchorId="7C058436" wp14:editId="6AF85C1C">
            <wp:extent cx="849630" cy="422910"/>
            <wp:effectExtent l="0" t="0" r="1270" b="0"/>
            <wp:docPr id="675677923" name="Picture 6756779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70363" name="Picture 946870363">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397" r="-1664"/>
                    <a:stretch/>
                  </pic:blipFill>
                  <pic:spPr bwMode="auto">
                    <a:xfrm>
                      <a:off x="0" y="0"/>
                      <a:ext cx="849630" cy="422910"/>
                    </a:xfrm>
                    <a:prstGeom prst="rect">
                      <a:avLst/>
                    </a:prstGeom>
                    <a:ln>
                      <a:noFill/>
                    </a:ln>
                    <a:extLst>
                      <a:ext uri="{53640926-AAD7-44D8-BBD7-CCE9431645EC}">
                        <a14:shadowObscured xmlns:a14="http://schemas.microsoft.com/office/drawing/2010/main"/>
                      </a:ext>
                    </a:extLst>
                  </pic:spPr>
                </pic:pic>
              </a:graphicData>
            </a:graphic>
          </wp:inline>
        </w:drawing>
      </w:r>
      <w:r w:rsidR="00A339FB" w:rsidRPr="00AA6465">
        <w:rPr>
          <w:noProof/>
          <w:sz w:val="36"/>
          <w:szCs w:val="36"/>
        </w:rPr>
        <w:drawing>
          <wp:inline distT="0" distB="0" distL="0" distR="0" wp14:anchorId="160E20AF" wp14:editId="24EFA21A">
            <wp:extent cx="1490196" cy="516255"/>
            <wp:effectExtent l="0" t="0" r="0" b="0"/>
            <wp:docPr id="492120629" name="Picture 492120629" descr="Read the report link to websi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20629" name="Picture 492120629" descr="Read the report link to website">
                      <a:hlinkClick r:id="rId20"/>
                    </pic:cNvPr>
                    <pic:cNvPicPr/>
                  </pic:nvPicPr>
                  <pic:blipFill rotWithShape="1">
                    <a:blip r:embed="rId21" cstate="print">
                      <a:extLst>
                        <a:ext uri="{28A0092B-C50C-407E-A947-70E740481C1C}">
                          <a14:useLocalDpi xmlns:a14="http://schemas.microsoft.com/office/drawing/2010/main" val="0"/>
                        </a:ext>
                      </a:extLst>
                    </a:blip>
                    <a:srcRect l="-6841" t="-37787" r="-11189" b="-29554"/>
                    <a:stretch/>
                  </pic:blipFill>
                  <pic:spPr bwMode="auto">
                    <a:xfrm>
                      <a:off x="0" y="0"/>
                      <a:ext cx="1523520" cy="527800"/>
                    </a:xfrm>
                    <a:prstGeom prst="rect">
                      <a:avLst/>
                    </a:prstGeom>
                    <a:ln>
                      <a:noFill/>
                    </a:ln>
                    <a:extLst>
                      <a:ext uri="{53640926-AAD7-44D8-BBD7-CCE9431645EC}">
                        <a14:shadowObscured xmlns:a14="http://schemas.microsoft.com/office/drawing/2010/main"/>
                      </a:ext>
                    </a:extLst>
                  </pic:spPr>
                </pic:pic>
              </a:graphicData>
            </a:graphic>
          </wp:inline>
        </w:drawing>
      </w:r>
    </w:p>
    <w:p w14:paraId="74E41ECF" w14:textId="6E7EEB19" w:rsidR="00A339FB" w:rsidRDefault="00A339FB" w:rsidP="00A339FB">
      <w:pPr>
        <w:pStyle w:val="ListBullet"/>
        <w:numPr>
          <w:ilvl w:val="0"/>
          <w:numId w:val="0"/>
        </w:numPr>
        <w:jc w:val="center"/>
      </w:pPr>
    </w:p>
    <w:p w14:paraId="0E9A8421" w14:textId="695A8152" w:rsidR="00C648D5" w:rsidRPr="00B827C1" w:rsidRDefault="00C648D5" w:rsidP="00C648D5">
      <w:pPr>
        <w:pStyle w:val="Heading2"/>
        <w:spacing w:before="360" w:line="240" w:lineRule="auto"/>
        <w:rPr>
          <w:color w:val="573C2C"/>
          <w:sz w:val="24"/>
          <w:szCs w:val="24"/>
          <w:lang w:val="en-US"/>
        </w:rPr>
      </w:pPr>
      <w:r w:rsidRPr="00B827C1">
        <w:rPr>
          <w:color w:val="573C2C"/>
          <w:sz w:val="24"/>
          <w:szCs w:val="24"/>
          <w:lang w:val="en-US"/>
        </w:rPr>
        <w:t>Currently, the approach to performance monitoring under the Agreement:</w:t>
      </w:r>
    </w:p>
    <w:p w14:paraId="77FB040D" w14:textId="77777777" w:rsidR="00C648D5" w:rsidRPr="00B827C1" w:rsidRDefault="00C648D5" w:rsidP="000B6722">
      <w:pPr>
        <w:pStyle w:val="ListBullet2"/>
        <w:spacing w:after="20"/>
        <w:contextualSpacing w:val="0"/>
        <w:rPr>
          <w:sz w:val="21"/>
          <w:szCs w:val="21"/>
        </w:rPr>
      </w:pPr>
      <w:r w:rsidRPr="00B827C1">
        <w:rPr>
          <w:sz w:val="21"/>
          <w:szCs w:val="21"/>
        </w:rPr>
        <w:t>includes hundreds of indicators, but it is not clear how well they track change, and most do not actually have data yet</w:t>
      </w:r>
    </w:p>
    <w:p w14:paraId="4FCFB8DD" w14:textId="16F948B0" w:rsidR="00C648D5" w:rsidRPr="00B827C1" w:rsidRDefault="00C648D5" w:rsidP="000B6722">
      <w:pPr>
        <w:pStyle w:val="ListBullet2"/>
        <w:spacing w:after="20"/>
        <w:contextualSpacing w:val="0"/>
        <w:rPr>
          <w:sz w:val="21"/>
          <w:szCs w:val="21"/>
        </w:rPr>
      </w:pPr>
      <w:r w:rsidRPr="00B827C1">
        <w:rPr>
          <w:sz w:val="21"/>
          <w:szCs w:val="21"/>
        </w:rPr>
        <w:t>relies on the quality of governments’ implementation plans and annual reports</w:t>
      </w:r>
    </w:p>
    <w:p w14:paraId="1AA1B451" w14:textId="77777777" w:rsidR="00C648D5" w:rsidRPr="00B827C1" w:rsidRDefault="00C648D5" w:rsidP="00956A71">
      <w:pPr>
        <w:pStyle w:val="ListBullet2"/>
        <w:spacing w:after="200"/>
        <w:contextualSpacing w:val="0"/>
        <w:rPr>
          <w:rFonts w:asciiTheme="majorHAnsi" w:eastAsiaTheme="majorEastAsia" w:hAnsiTheme="majorHAnsi" w:cstheme="majorBidi"/>
          <w:b/>
          <w:color w:val="573C2C"/>
          <w:sz w:val="21"/>
          <w:szCs w:val="21"/>
        </w:rPr>
      </w:pPr>
      <w:r w:rsidRPr="00B827C1">
        <w:rPr>
          <w:sz w:val="21"/>
          <w:szCs w:val="21"/>
        </w:rPr>
        <w:t>formally recognises the importance of Aboriginal and Torres Strait Islander self-determination and cultural recognition, but work is still needed to centre Aboriginal and Torres Strait Islander perspectives.</w:t>
      </w:r>
    </w:p>
    <w:p w14:paraId="411B6AF6" w14:textId="59CF8E57" w:rsidR="00CE657F" w:rsidRPr="00B827C1" w:rsidRDefault="00CE657F" w:rsidP="00956A71">
      <w:pPr>
        <w:pStyle w:val="Heading2"/>
        <w:spacing w:before="120" w:line="240" w:lineRule="auto"/>
        <w:rPr>
          <w:color w:val="573C2C"/>
          <w:sz w:val="24"/>
          <w:szCs w:val="24"/>
          <w:lang w:val="en-US"/>
        </w:rPr>
      </w:pPr>
      <w:r w:rsidRPr="00B827C1">
        <w:rPr>
          <w:color w:val="573C2C"/>
          <w:sz w:val="24"/>
          <w:szCs w:val="24"/>
          <w:lang w:val="en-US"/>
        </w:rPr>
        <w:t>Governments’ implementation plans and annual reports:</w:t>
      </w:r>
    </w:p>
    <w:p w14:paraId="243FEB18" w14:textId="3A905959" w:rsidR="00CE657F" w:rsidRPr="00B827C1" w:rsidRDefault="00CE657F" w:rsidP="000B6722">
      <w:pPr>
        <w:pStyle w:val="ListBullet"/>
        <w:spacing w:after="20"/>
        <w:contextualSpacing w:val="0"/>
        <w:rPr>
          <w:sz w:val="21"/>
          <w:szCs w:val="21"/>
        </w:rPr>
      </w:pPr>
      <w:r w:rsidRPr="00B827C1">
        <w:rPr>
          <w:sz w:val="21"/>
          <w:szCs w:val="21"/>
        </w:rPr>
        <w:t>include long lists of actions but often do not explain how they will improve outcomes</w:t>
      </w:r>
    </w:p>
    <w:p w14:paraId="432AC8A4" w14:textId="77777777" w:rsidR="00CE657F" w:rsidRPr="00B827C1" w:rsidRDefault="00CE657F" w:rsidP="000B6722">
      <w:pPr>
        <w:pStyle w:val="ListBullet"/>
        <w:spacing w:after="20"/>
        <w:contextualSpacing w:val="0"/>
        <w:rPr>
          <w:sz w:val="21"/>
          <w:szCs w:val="21"/>
        </w:rPr>
      </w:pPr>
      <w:r w:rsidRPr="00B827C1">
        <w:rPr>
          <w:sz w:val="21"/>
          <w:szCs w:val="21"/>
        </w:rPr>
        <w:t>do not track the same set of actions</w:t>
      </w:r>
    </w:p>
    <w:p w14:paraId="5B601C02" w14:textId="77777777" w:rsidR="00CE657F" w:rsidRPr="00B827C1" w:rsidRDefault="00CE657F" w:rsidP="00CE657F">
      <w:pPr>
        <w:pStyle w:val="ListBullet"/>
        <w:contextualSpacing w:val="0"/>
        <w:rPr>
          <w:sz w:val="21"/>
          <w:szCs w:val="21"/>
        </w:rPr>
      </w:pPr>
      <w:r w:rsidRPr="00B827C1">
        <w:rPr>
          <w:sz w:val="21"/>
          <w:szCs w:val="21"/>
        </w:rPr>
        <w:t>do not stick to the reporting requirements set out in the Agreement</w:t>
      </w:r>
    </w:p>
    <w:p w14:paraId="111F702A" w14:textId="77777777" w:rsidR="00CE657F" w:rsidRPr="00B827C1" w:rsidRDefault="00CE657F" w:rsidP="00CE657F">
      <w:pPr>
        <w:pStyle w:val="ListBullet"/>
        <w:contextualSpacing w:val="0"/>
        <w:rPr>
          <w:sz w:val="21"/>
          <w:szCs w:val="21"/>
        </w:rPr>
      </w:pPr>
      <w:r w:rsidRPr="00B827C1">
        <w:rPr>
          <w:sz w:val="21"/>
          <w:szCs w:val="21"/>
        </w:rPr>
        <w:t>do not always include clear information about when actions will be delivered or the amount of funding</w:t>
      </w:r>
    </w:p>
    <w:p w14:paraId="45E0AE59" w14:textId="7E1EC343" w:rsidR="00C648D5" w:rsidRPr="00B827C1" w:rsidRDefault="00CE657F" w:rsidP="00850272">
      <w:pPr>
        <w:pStyle w:val="ListBullet"/>
        <w:spacing w:after="200"/>
        <w:contextualSpacing w:val="0"/>
        <w:rPr>
          <w:sz w:val="21"/>
          <w:szCs w:val="21"/>
        </w:rPr>
      </w:pPr>
      <w:r w:rsidRPr="00B827C1">
        <w:rPr>
          <w:sz w:val="21"/>
          <w:szCs w:val="21"/>
        </w:rPr>
        <w:t>are hard for community to use to understand the efforts governments are making to achieve the Priority Reforms and how they are delivering improved outcomes.</w:t>
      </w:r>
    </w:p>
    <w:p w14:paraId="05226EA6" w14:textId="476E132E" w:rsidR="00750B2C" w:rsidRPr="00B827C1" w:rsidRDefault="00750B2C" w:rsidP="00956A71">
      <w:pPr>
        <w:pStyle w:val="ListBullet"/>
        <w:numPr>
          <w:ilvl w:val="0"/>
          <w:numId w:val="0"/>
        </w:numPr>
        <w:spacing w:before="120" w:after="80"/>
        <w:contextualSpacing w:val="0"/>
        <w:rPr>
          <w:sz w:val="24"/>
          <w:szCs w:val="24"/>
        </w:rPr>
      </w:pPr>
      <w:r w:rsidRPr="00B827C1">
        <w:rPr>
          <w:rFonts w:asciiTheme="majorHAnsi" w:eastAsiaTheme="majorEastAsia" w:hAnsiTheme="majorHAnsi" w:cstheme="majorBidi"/>
          <w:b/>
          <w:color w:val="573C2C"/>
          <w:sz w:val="24"/>
          <w:szCs w:val="24"/>
          <w:lang w:val="en-US"/>
        </w:rPr>
        <w:t>Improving implementation plans</w:t>
      </w:r>
    </w:p>
    <w:p w14:paraId="077D4DDD" w14:textId="77777777" w:rsidR="00B827C1" w:rsidRPr="00850272" w:rsidRDefault="00750B2C" w:rsidP="00B827C1">
      <w:pPr>
        <w:spacing w:after="60"/>
        <w:rPr>
          <w:spacing w:val="-2"/>
          <w:sz w:val="21"/>
          <w:szCs w:val="21"/>
        </w:rPr>
      </w:pPr>
      <w:r w:rsidRPr="00850272">
        <w:rPr>
          <w:spacing w:val="-2"/>
          <w:sz w:val="21"/>
          <w:szCs w:val="21"/>
        </w:rPr>
        <w:t>The Commission recommends that governments treat implementation plans as strategic documents rather than ‘laundry lists’ of activities.</w:t>
      </w:r>
    </w:p>
    <w:p w14:paraId="54C8330B" w14:textId="77777777" w:rsidR="00B827C1" w:rsidRDefault="00B827C1" w:rsidP="00B827C1">
      <w:pPr>
        <w:pStyle w:val="ListBullet"/>
        <w:spacing w:before="20" w:after="20"/>
        <w:contextualSpacing w:val="0"/>
        <w:rPr>
          <w:sz w:val="21"/>
          <w:szCs w:val="21"/>
        </w:rPr>
      </w:pPr>
      <w:r w:rsidRPr="00B827C1">
        <w:rPr>
          <w:sz w:val="21"/>
          <w:szCs w:val="21"/>
        </w:rPr>
        <w:t>Implementation plans need to reflect the diversity of regional needs, cultures and governance</w:t>
      </w:r>
      <w:r w:rsidRPr="00B827C1">
        <w:rPr>
          <w:spacing w:val="-9"/>
          <w:sz w:val="21"/>
          <w:szCs w:val="21"/>
        </w:rPr>
        <w:t xml:space="preserve"> </w:t>
      </w:r>
      <w:r w:rsidRPr="00B827C1">
        <w:rPr>
          <w:sz w:val="21"/>
          <w:szCs w:val="21"/>
        </w:rPr>
        <w:t>structures</w:t>
      </w:r>
      <w:r w:rsidRPr="00B827C1">
        <w:rPr>
          <w:spacing w:val="-9"/>
          <w:sz w:val="21"/>
          <w:szCs w:val="21"/>
        </w:rPr>
        <w:t xml:space="preserve"> </w:t>
      </w:r>
      <w:r w:rsidRPr="00B827C1">
        <w:rPr>
          <w:sz w:val="21"/>
          <w:szCs w:val="21"/>
        </w:rPr>
        <w:t>in</w:t>
      </w:r>
      <w:r w:rsidRPr="00B827C1">
        <w:rPr>
          <w:spacing w:val="-9"/>
          <w:sz w:val="21"/>
          <w:szCs w:val="21"/>
        </w:rPr>
        <w:t xml:space="preserve"> </w:t>
      </w:r>
      <w:r w:rsidRPr="00B827C1">
        <w:rPr>
          <w:sz w:val="21"/>
          <w:szCs w:val="21"/>
        </w:rPr>
        <w:t>each</w:t>
      </w:r>
      <w:r w:rsidRPr="00B827C1">
        <w:rPr>
          <w:spacing w:val="-9"/>
          <w:sz w:val="21"/>
          <w:szCs w:val="21"/>
        </w:rPr>
        <w:t xml:space="preserve"> </w:t>
      </w:r>
      <w:r w:rsidRPr="00B827C1">
        <w:rPr>
          <w:sz w:val="21"/>
          <w:szCs w:val="21"/>
        </w:rPr>
        <w:t>jurisdiction.</w:t>
      </w:r>
    </w:p>
    <w:p w14:paraId="7F5E03E4" w14:textId="29A857C4" w:rsidR="00B827C1" w:rsidRPr="00B827C1" w:rsidRDefault="00B827C1" w:rsidP="00B827C1">
      <w:pPr>
        <w:pStyle w:val="ListBullet"/>
        <w:spacing w:after="20"/>
        <w:contextualSpacing w:val="0"/>
        <w:rPr>
          <w:sz w:val="21"/>
          <w:szCs w:val="21"/>
        </w:rPr>
      </w:pPr>
      <w:r w:rsidRPr="00B827C1">
        <w:rPr>
          <w:sz w:val="21"/>
          <w:szCs w:val="21"/>
        </w:rPr>
        <w:t>Governments need to work more closely with Aboriginal and Torres Strait Islander people</w:t>
      </w:r>
      <w:r w:rsidRPr="00B827C1">
        <w:rPr>
          <w:spacing w:val="-6"/>
          <w:sz w:val="21"/>
          <w:szCs w:val="21"/>
        </w:rPr>
        <w:t xml:space="preserve"> </w:t>
      </w:r>
      <w:r w:rsidRPr="00B827C1">
        <w:rPr>
          <w:sz w:val="21"/>
          <w:szCs w:val="21"/>
        </w:rPr>
        <w:t>to</w:t>
      </w:r>
      <w:r w:rsidRPr="00B827C1">
        <w:rPr>
          <w:spacing w:val="-6"/>
          <w:sz w:val="21"/>
          <w:szCs w:val="21"/>
        </w:rPr>
        <w:t xml:space="preserve"> </w:t>
      </w:r>
      <w:r w:rsidRPr="00B827C1">
        <w:rPr>
          <w:sz w:val="21"/>
          <w:szCs w:val="21"/>
        </w:rPr>
        <w:t>agree</w:t>
      </w:r>
      <w:r w:rsidRPr="00B827C1">
        <w:rPr>
          <w:spacing w:val="-6"/>
          <w:sz w:val="21"/>
          <w:szCs w:val="21"/>
        </w:rPr>
        <w:t xml:space="preserve"> </w:t>
      </w:r>
      <w:r w:rsidRPr="00B827C1">
        <w:rPr>
          <w:sz w:val="21"/>
          <w:szCs w:val="21"/>
        </w:rPr>
        <w:t>substantive</w:t>
      </w:r>
      <w:r w:rsidRPr="00B827C1">
        <w:rPr>
          <w:spacing w:val="-6"/>
          <w:sz w:val="21"/>
          <w:szCs w:val="21"/>
        </w:rPr>
        <w:t xml:space="preserve"> </w:t>
      </w:r>
      <w:r w:rsidRPr="00B827C1">
        <w:rPr>
          <w:sz w:val="21"/>
          <w:szCs w:val="21"/>
        </w:rPr>
        <w:t>actions</w:t>
      </w:r>
      <w:r w:rsidRPr="00B827C1">
        <w:rPr>
          <w:spacing w:val="-6"/>
          <w:sz w:val="21"/>
          <w:szCs w:val="21"/>
        </w:rPr>
        <w:t xml:space="preserve"> </w:t>
      </w:r>
      <w:r w:rsidRPr="00B827C1">
        <w:rPr>
          <w:sz w:val="21"/>
          <w:szCs w:val="21"/>
        </w:rPr>
        <w:t>that</w:t>
      </w:r>
      <w:r w:rsidRPr="00B827C1">
        <w:rPr>
          <w:spacing w:val="-6"/>
          <w:sz w:val="21"/>
          <w:szCs w:val="21"/>
        </w:rPr>
        <w:t xml:space="preserve"> </w:t>
      </w:r>
      <w:r w:rsidRPr="00B827C1">
        <w:rPr>
          <w:sz w:val="21"/>
          <w:szCs w:val="21"/>
        </w:rPr>
        <w:t>are informed by a theory of change.</w:t>
      </w:r>
    </w:p>
    <w:p w14:paraId="0AF1AE5B" w14:textId="6E98D3B2" w:rsidR="000B6722" w:rsidRPr="00B827C1" w:rsidRDefault="000B6722" w:rsidP="00750B2C">
      <w:pPr>
        <w:rPr>
          <w:sz w:val="21"/>
          <w:szCs w:val="21"/>
        </w:rPr>
      </w:pPr>
      <w:r w:rsidRPr="00B827C1">
        <w:rPr>
          <w:sz w:val="21"/>
          <w:szCs w:val="21"/>
        </w:rPr>
        <w:br w:type="column"/>
      </w:r>
    </w:p>
    <w:p w14:paraId="5C85E629" w14:textId="77777777" w:rsidR="00750B2C" w:rsidRPr="00B827C1" w:rsidRDefault="00750B2C" w:rsidP="00B827C1">
      <w:pPr>
        <w:pStyle w:val="ListBullet"/>
        <w:spacing w:before="360" w:after="20"/>
        <w:contextualSpacing w:val="0"/>
        <w:rPr>
          <w:sz w:val="21"/>
          <w:szCs w:val="21"/>
        </w:rPr>
      </w:pPr>
      <w:r w:rsidRPr="00B827C1">
        <w:rPr>
          <w:sz w:val="21"/>
          <w:szCs w:val="21"/>
        </w:rPr>
        <w:t>Governments need to work more closely with Aboriginal and Torres Strait Islander people</w:t>
      </w:r>
      <w:r w:rsidRPr="00B827C1">
        <w:rPr>
          <w:spacing w:val="-6"/>
          <w:sz w:val="21"/>
          <w:szCs w:val="21"/>
        </w:rPr>
        <w:t xml:space="preserve"> </w:t>
      </w:r>
      <w:r w:rsidRPr="00B827C1">
        <w:rPr>
          <w:sz w:val="21"/>
          <w:szCs w:val="21"/>
        </w:rPr>
        <w:t>to</w:t>
      </w:r>
      <w:r w:rsidRPr="00B827C1">
        <w:rPr>
          <w:spacing w:val="-6"/>
          <w:sz w:val="21"/>
          <w:szCs w:val="21"/>
        </w:rPr>
        <w:t xml:space="preserve"> </w:t>
      </w:r>
      <w:r w:rsidRPr="00B827C1">
        <w:rPr>
          <w:sz w:val="21"/>
          <w:szCs w:val="21"/>
        </w:rPr>
        <w:t>agree</w:t>
      </w:r>
      <w:r w:rsidRPr="00B827C1">
        <w:rPr>
          <w:spacing w:val="-6"/>
          <w:sz w:val="21"/>
          <w:szCs w:val="21"/>
        </w:rPr>
        <w:t xml:space="preserve"> </w:t>
      </w:r>
      <w:r w:rsidRPr="00B827C1">
        <w:rPr>
          <w:sz w:val="21"/>
          <w:szCs w:val="21"/>
        </w:rPr>
        <w:t>substantive</w:t>
      </w:r>
      <w:r w:rsidRPr="00B827C1">
        <w:rPr>
          <w:spacing w:val="-6"/>
          <w:sz w:val="21"/>
          <w:szCs w:val="21"/>
        </w:rPr>
        <w:t xml:space="preserve"> </w:t>
      </w:r>
      <w:r w:rsidRPr="00B827C1">
        <w:rPr>
          <w:sz w:val="21"/>
          <w:szCs w:val="21"/>
        </w:rPr>
        <w:t>actions</w:t>
      </w:r>
      <w:r w:rsidRPr="00B827C1">
        <w:rPr>
          <w:spacing w:val="-6"/>
          <w:sz w:val="21"/>
          <w:szCs w:val="21"/>
        </w:rPr>
        <w:t xml:space="preserve"> </w:t>
      </w:r>
      <w:r w:rsidRPr="00B827C1">
        <w:rPr>
          <w:sz w:val="21"/>
          <w:szCs w:val="21"/>
        </w:rPr>
        <w:t>that</w:t>
      </w:r>
      <w:r w:rsidRPr="00B827C1">
        <w:rPr>
          <w:spacing w:val="-6"/>
          <w:sz w:val="21"/>
          <w:szCs w:val="21"/>
        </w:rPr>
        <w:t xml:space="preserve"> </w:t>
      </w:r>
      <w:r w:rsidRPr="00B827C1">
        <w:rPr>
          <w:sz w:val="21"/>
          <w:szCs w:val="21"/>
        </w:rPr>
        <w:t>are informed by a theory of change.</w:t>
      </w:r>
    </w:p>
    <w:p w14:paraId="5EF2C93F" w14:textId="14F02EB7" w:rsidR="00750B2C" w:rsidRPr="00B827C1" w:rsidRDefault="00750B2C" w:rsidP="009367FA">
      <w:pPr>
        <w:pStyle w:val="ListBullet"/>
        <w:spacing w:after="200"/>
        <w:contextualSpacing w:val="0"/>
        <w:rPr>
          <w:sz w:val="21"/>
          <w:szCs w:val="21"/>
        </w:rPr>
      </w:pPr>
      <w:r w:rsidRPr="00B827C1">
        <w:rPr>
          <w:sz w:val="21"/>
          <w:szCs w:val="21"/>
        </w:rPr>
        <w:t>Annual reports need to show how those strategies</w:t>
      </w:r>
      <w:r w:rsidRPr="00B827C1">
        <w:rPr>
          <w:spacing w:val="-7"/>
          <w:sz w:val="21"/>
          <w:szCs w:val="21"/>
        </w:rPr>
        <w:t xml:space="preserve"> </w:t>
      </w:r>
      <w:r w:rsidRPr="00B827C1">
        <w:rPr>
          <w:sz w:val="21"/>
          <w:szCs w:val="21"/>
        </w:rPr>
        <w:t>and</w:t>
      </w:r>
      <w:r w:rsidRPr="00B827C1">
        <w:rPr>
          <w:spacing w:val="-7"/>
          <w:sz w:val="21"/>
          <w:szCs w:val="21"/>
        </w:rPr>
        <w:t xml:space="preserve"> </w:t>
      </w:r>
      <w:r w:rsidRPr="00B827C1">
        <w:rPr>
          <w:sz w:val="21"/>
          <w:szCs w:val="21"/>
        </w:rPr>
        <w:t>actions</w:t>
      </w:r>
      <w:r w:rsidRPr="00B827C1">
        <w:rPr>
          <w:spacing w:val="-7"/>
          <w:sz w:val="21"/>
          <w:szCs w:val="21"/>
        </w:rPr>
        <w:t xml:space="preserve"> </w:t>
      </w:r>
      <w:r w:rsidRPr="00B827C1">
        <w:rPr>
          <w:sz w:val="21"/>
          <w:szCs w:val="21"/>
        </w:rPr>
        <w:t>are</w:t>
      </w:r>
      <w:r w:rsidRPr="00B827C1">
        <w:rPr>
          <w:spacing w:val="-7"/>
          <w:sz w:val="21"/>
          <w:szCs w:val="21"/>
        </w:rPr>
        <w:t xml:space="preserve"> </w:t>
      </w:r>
      <w:r w:rsidRPr="00B827C1">
        <w:rPr>
          <w:sz w:val="21"/>
          <w:szCs w:val="21"/>
        </w:rPr>
        <w:t>progressing</w:t>
      </w:r>
      <w:r w:rsidRPr="00B827C1">
        <w:rPr>
          <w:spacing w:val="-7"/>
          <w:sz w:val="21"/>
          <w:szCs w:val="21"/>
        </w:rPr>
        <w:t xml:space="preserve"> </w:t>
      </w:r>
      <w:r w:rsidRPr="00B827C1">
        <w:rPr>
          <w:sz w:val="21"/>
          <w:szCs w:val="21"/>
        </w:rPr>
        <w:t>and contributing to improved outcomes.</w:t>
      </w:r>
    </w:p>
    <w:p w14:paraId="58532399" w14:textId="77777777" w:rsidR="000B6722" w:rsidRPr="00B827C1" w:rsidRDefault="000B6722" w:rsidP="00956A71">
      <w:pPr>
        <w:pStyle w:val="ListBullet"/>
        <w:numPr>
          <w:ilvl w:val="0"/>
          <w:numId w:val="0"/>
        </w:numPr>
        <w:spacing w:after="80"/>
        <w:contextualSpacing w:val="0"/>
        <w:rPr>
          <w:rFonts w:asciiTheme="majorHAnsi" w:eastAsiaTheme="majorEastAsia" w:hAnsiTheme="majorHAnsi" w:cstheme="majorBidi"/>
          <w:b/>
          <w:color w:val="573C2C"/>
          <w:sz w:val="24"/>
          <w:szCs w:val="24"/>
          <w:lang w:val="en-US"/>
        </w:rPr>
      </w:pPr>
      <w:r w:rsidRPr="00B827C1">
        <w:rPr>
          <w:rFonts w:asciiTheme="majorHAnsi" w:eastAsiaTheme="majorEastAsia" w:hAnsiTheme="majorHAnsi" w:cstheme="majorBidi"/>
          <w:b/>
          <w:color w:val="573C2C"/>
          <w:sz w:val="24"/>
          <w:szCs w:val="24"/>
          <w:lang w:val="en-US"/>
        </w:rPr>
        <w:t>Data development has been too slow</w:t>
      </w:r>
    </w:p>
    <w:p w14:paraId="3B5AD543" w14:textId="77777777" w:rsidR="000B6722" w:rsidRPr="00B827C1" w:rsidRDefault="000B6722" w:rsidP="000B6722">
      <w:pPr>
        <w:pStyle w:val="ListBullet"/>
        <w:contextualSpacing w:val="0"/>
        <w:rPr>
          <w:sz w:val="21"/>
          <w:szCs w:val="21"/>
        </w:rPr>
      </w:pPr>
      <w:r w:rsidRPr="00B827C1">
        <w:rPr>
          <w:sz w:val="21"/>
          <w:szCs w:val="21"/>
        </w:rPr>
        <w:t>It</w:t>
      </w:r>
      <w:r w:rsidRPr="00B827C1">
        <w:rPr>
          <w:spacing w:val="-6"/>
          <w:sz w:val="21"/>
          <w:szCs w:val="21"/>
        </w:rPr>
        <w:t xml:space="preserve"> </w:t>
      </w:r>
      <w:r w:rsidRPr="00B827C1">
        <w:rPr>
          <w:sz w:val="21"/>
          <w:szCs w:val="21"/>
        </w:rPr>
        <w:t>is</w:t>
      </w:r>
      <w:r w:rsidRPr="00B827C1">
        <w:rPr>
          <w:spacing w:val="-6"/>
          <w:sz w:val="21"/>
          <w:szCs w:val="21"/>
        </w:rPr>
        <w:t xml:space="preserve"> </w:t>
      </w:r>
      <w:r w:rsidRPr="00B827C1">
        <w:rPr>
          <w:sz w:val="21"/>
          <w:szCs w:val="21"/>
        </w:rPr>
        <w:t>not</w:t>
      </w:r>
      <w:r w:rsidRPr="00B827C1">
        <w:rPr>
          <w:spacing w:val="-6"/>
          <w:sz w:val="21"/>
          <w:szCs w:val="21"/>
        </w:rPr>
        <w:t xml:space="preserve"> </w:t>
      </w:r>
      <w:r w:rsidRPr="00B827C1">
        <w:rPr>
          <w:sz w:val="21"/>
          <w:szCs w:val="21"/>
        </w:rPr>
        <w:t>clear</w:t>
      </w:r>
      <w:r w:rsidRPr="00B827C1">
        <w:rPr>
          <w:spacing w:val="-6"/>
          <w:sz w:val="21"/>
          <w:szCs w:val="21"/>
        </w:rPr>
        <w:t xml:space="preserve"> </w:t>
      </w:r>
      <w:r w:rsidRPr="00B827C1">
        <w:rPr>
          <w:sz w:val="21"/>
          <w:szCs w:val="21"/>
        </w:rPr>
        <w:t>who</w:t>
      </w:r>
      <w:r w:rsidRPr="00B827C1">
        <w:rPr>
          <w:spacing w:val="-6"/>
          <w:sz w:val="21"/>
          <w:szCs w:val="21"/>
        </w:rPr>
        <w:t xml:space="preserve"> </w:t>
      </w:r>
      <w:r w:rsidRPr="00B827C1">
        <w:rPr>
          <w:sz w:val="21"/>
          <w:szCs w:val="21"/>
        </w:rPr>
        <w:t>is</w:t>
      </w:r>
      <w:r w:rsidRPr="00B827C1">
        <w:rPr>
          <w:spacing w:val="-6"/>
          <w:sz w:val="21"/>
          <w:szCs w:val="21"/>
        </w:rPr>
        <w:t xml:space="preserve"> </w:t>
      </w:r>
      <w:r w:rsidRPr="00B827C1">
        <w:rPr>
          <w:sz w:val="21"/>
          <w:szCs w:val="21"/>
        </w:rPr>
        <w:t>ultimately</w:t>
      </w:r>
      <w:r w:rsidRPr="00B827C1">
        <w:rPr>
          <w:spacing w:val="-6"/>
          <w:sz w:val="21"/>
          <w:szCs w:val="21"/>
        </w:rPr>
        <w:t xml:space="preserve"> </w:t>
      </w:r>
      <w:r w:rsidRPr="00B827C1">
        <w:rPr>
          <w:sz w:val="21"/>
          <w:szCs w:val="21"/>
        </w:rPr>
        <w:t>responsible for data development.</w:t>
      </w:r>
    </w:p>
    <w:p w14:paraId="737FB701" w14:textId="77777777" w:rsidR="000B6722" w:rsidRPr="00B827C1" w:rsidRDefault="000B6722" w:rsidP="001B6A5F">
      <w:pPr>
        <w:pStyle w:val="ListBullet"/>
        <w:spacing w:after="200"/>
        <w:contextualSpacing w:val="0"/>
        <w:rPr>
          <w:sz w:val="21"/>
          <w:szCs w:val="21"/>
        </w:rPr>
      </w:pPr>
      <w:r w:rsidRPr="00B827C1">
        <w:rPr>
          <w:sz w:val="21"/>
          <w:szCs w:val="21"/>
        </w:rPr>
        <w:t>There is a lack of resoucing and processes within</w:t>
      </w:r>
      <w:r w:rsidRPr="00B827C1">
        <w:rPr>
          <w:spacing w:val="-8"/>
          <w:sz w:val="21"/>
          <w:szCs w:val="21"/>
        </w:rPr>
        <w:t xml:space="preserve"> </w:t>
      </w:r>
      <w:r w:rsidRPr="00B827C1">
        <w:rPr>
          <w:sz w:val="21"/>
          <w:szCs w:val="21"/>
        </w:rPr>
        <w:t>government</w:t>
      </w:r>
      <w:r w:rsidRPr="00B827C1">
        <w:rPr>
          <w:spacing w:val="-8"/>
          <w:sz w:val="21"/>
          <w:szCs w:val="21"/>
        </w:rPr>
        <w:t xml:space="preserve"> </w:t>
      </w:r>
      <w:r w:rsidRPr="00B827C1">
        <w:rPr>
          <w:sz w:val="21"/>
          <w:szCs w:val="21"/>
        </w:rPr>
        <w:t>to</w:t>
      </w:r>
      <w:r w:rsidRPr="00B827C1">
        <w:rPr>
          <w:spacing w:val="-8"/>
          <w:sz w:val="21"/>
          <w:szCs w:val="21"/>
        </w:rPr>
        <w:t xml:space="preserve"> </w:t>
      </w:r>
      <w:r w:rsidRPr="00B827C1">
        <w:rPr>
          <w:sz w:val="21"/>
          <w:szCs w:val="21"/>
        </w:rPr>
        <w:t>work</w:t>
      </w:r>
      <w:r w:rsidRPr="00B827C1">
        <w:rPr>
          <w:spacing w:val="-8"/>
          <w:sz w:val="21"/>
          <w:szCs w:val="21"/>
        </w:rPr>
        <w:t xml:space="preserve"> </w:t>
      </w:r>
      <w:r w:rsidRPr="00B827C1">
        <w:rPr>
          <w:sz w:val="21"/>
          <w:szCs w:val="21"/>
        </w:rPr>
        <w:t>with</w:t>
      </w:r>
      <w:r w:rsidRPr="00B827C1">
        <w:rPr>
          <w:spacing w:val="-8"/>
          <w:sz w:val="21"/>
          <w:szCs w:val="21"/>
        </w:rPr>
        <w:t xml:space="preserve"> </w:t>
      </w:r>
      <w:r w:rsidRPr="00B827C1">
        <w:rPr>
          <w:sz w:val="21"/>
          <w:szCs w:val="21"/>
        </w:rPr>
        <w:t>Aboriginal and Torres Strait Islander people to develop solutions for missing data.</w:t>
      </w:r>
    </w:p>
    <w:p w14:paraId="6C89B7B3" w14:textId="77777777" w:rsidR="000B6722" w:rsidRPr="00B827C1" w:rsidRDefault="000B6722" w:rsidP="00956A71">
      <w:pPr>
        <w:spacing w:after="60"/>
        <w:rPr>
          <w:rFonts w:asciiTheme="majorHAnsi" w:eastAsiaTheme="majorEastAsia" w:hAnsiTheme="majorHAnsi" w:cstheme="majorBidi"/>
          <w:b/>
          <w:color w:val="573C2C"/>
          <w:sz w:val="24"/>
          <w:szCs w:val="24"/>
        </w:rPr>
      </w:pPr>
      <w:r w:rsidRPr="00B827C1">
        <w:rPr>
          <w:rFonts w:asciiTheme="majorHAnsi" w:eastAsiaTheme="majorEastAsia" w:hAnsiTheme="majorHAnsi" w:cstheme="majorBidi"/>
          <w:b/>
          <w:color w:val="573C2C"/>
          <w:sz w:val="24"/>
          <w:szCs w:val="24"/>
        </w:rPr>
        <w:t>Establishing a Bureau of Indigenous Data</w:t>
      </w:r>
    </w:p>
    <w:p w14:paraId="4CCF5E5C" w14:textId="6067A9FC" w:rsidR="000B6722" w:rsidRPr="00B827C1" w:rsidRDefault="000B6722" w:rsidP="00FD5DBB">
      <w:pPr>
        <w:pStyle w:val="ListBullet"/>
        <w:numPr>
          <w:ilvl w:val="0"/>
          <w:numId w:val="0"/>
        </w:numPr>
        <w:contextualSpacing w:val="0"/>
        <w:rPr>
          <w:sz w:val="21"/>
          <w:szCs w:val="21"/>
        </w:rPr>
      </w:pPr>
      <w:r w:rsidRPr="00B827C1">
        <w:rPr>
          <w:sz w:val="21"/>
          <w:szCs w:val="21"/>
        </w:rPr>
        <w:t>The Commission recommends creating a Bureau</w:t>
      </w:r>
      <w:r w:rsidRPr="00B827C1">
        <w:rPr>
          <w:spacing w:val="-7"/>
          <w:sz w:val="21"/>
          <w:szCs w:val="21"/>
        </w:rPr>
        <w:t xml:space="preserve"> </w:t>
      </w:r>
      <w:r w:rsidRPr="00B827C1">
        <w:rPr>
          <w:sz w:val="21"/>
          <w:szCs w:val="21"/>
        </w:rPr>
        <w:t>of</w:t>
      </w:r>
      <w:r w:rsidRPr="00B827C1">
        <w:rPr>
          <w:spacing w:val="-7"/>
          <w:sz w:val="21"/>
          <w:szCs w:val="21"/>
        </w:rPr>
        <w:t xml:space="preserve"> </w:t>
      </w:r>
      <w:r w:rsidRPr="00B827C1">
        <w:rPr>
          <w:sz w:val="21"/>
          <w:szCs w:val="21"/>
        </w:rPr>
        <w:t>Indigenous</w:t>
      </w:r>
      <w:r w:rsidRPr="00B827C1">
        <w:rPr>
          <w:spacing w:val="-7"/>
          <w:sz w:val="21"/>
          <w:szCs w:val="21"/>
        </w:rPr>
        <w:t xml:space="preserve"> </w:t>
      </w:r>
      <w:r w:rsidRPr="00B827C1">
        <w:rPr>
          <w:sz w:val="21"/>
          <w:szCs w:val="21"/>
        </w:rPr>
        <w:t>Data</w:t>
      </w:r>
      <w:r w:rsidRPr="00B827C1">
        <w:rPr>
          <w:spacing w:val="-7"/>
          <w:sz w:val="21"/>
          <w:szCs w:val="21"/>
        </w:rPr>
        <w:t xml:space="preserve"> </w:t>
      </w:r>
      <w:r w:rsidRPr="00B827C1">
        <w:rPr>
          <w:sz w:val="21"/>
          <w:szCs w:val="21"/>
        </w:rPr>
        <w:t>(BoID)</w:t>
      </w:r>
      <w:r w:rsidRPr="00B827C1">
        <w:rPr>
          <w:spacing w:val="-7"/>
          <w:sz w:val="21"/>
          <w:szCs w:val="21"/>
        </w:rPr>
        <w:t xml:space="preserve"> </w:t>
      </w:r>
      <w:r w:rsidRPr="00B827C1">
        <w:rPr>
          <w:sz w:val="21"/>
          <w:szCs w:val="21"/>
        </w:rPr>
        <w:t>that</w:t>
      </w:r>
      <w:r w:rsidRPr="00B827C1">
        <w:rPr>
          <w:spacing w:val="-7"/>
          <w:sz w:val="21"/>
          <w:szCs w:val="21"/>
        </w:rPr>
        <w:t xml:space="preserve"> </w:t>
      </w:r>
      <w:r w:rsidRPr="00B827C1">
        <w:rPr>
          <w:sz w:val="21"/>
          <w:szCs w:val="21"/>
        </w:rPr>
        <w:t>would:</w:t>
      </w:r>
    </w:p>
    <w:p w14:paraId="2F38ABEC" w14:textId="77777777" w:rsidR="000B6722" w:rsidRPr="00B827C1" w:rsidRDefault="000B6722" w:rsidP="000B6722">
      <w:pPr>
        <w:pStyle w:val="ListBullet"/>
        <w:rPr>
          <w:sz w:val="21"/>
          <w:szCs w:val="21"/>
        </w:rPr>
      </w:pPr>
      <w:r w:rsidRPr="00B827C1">
        <w:rPr>
          <w:sz w:val="21"/>
          <w:szCs w:val="21"/>
        </w:rPr>
        <w:t>coordinate and oversee data development</w:t>
      </w:r>
      <w:r w:rsidRPr="00B827C1">
        <w:rPr>
          <w:spacing w:val="-10"/>
          <w:sz w:val="21"/>
          <w:szCs w:val="21"/>
        </w:rPr>
        <w:t xml:space="preserve"> </w:t>
      </w:r>
      <w:r w:rsidRPr="00B827C1">
        <w:rPr>
          <w:sz w:val="21"/>
          <w:szCs w:val="21"/>
        </w:rPr>
        <w:t>work</w:t>
      </w:r>
      <w:r w:rsidRPr="00B827C1">
        <w:rPr>
          <w:spacing w:val="-10"/>
          <w:sz w:val="21"/>
          <w:szCs w:val="21"/>
        </w:rPr>
        <w:t xml:space="preserve"> </w:t>
      </w:r>
      <w:r w:rsidRPr="00B827C1">
        <w:rPr>
          <w:sz w:val="21"/>
          <w:szCs w:val="21"/>
        </w:rPr>
        <w:t>under</w:t>
      </w:r>
      <w:r w:rsidRPr="00B827C1">
        <w:rPr>
          <w:spacing w:val="-10"/>
          <w:sz w:val="21"/>
          <w:szCs w:val="21"/>
        </w:rPr>
        <w:t xml:space="preserve"> </w:t>
      </w:r>
      <w:r w:rsidRPr="00B827C1">
        <w:rPr>
          <w:sz w:val="21"/>
          <w:szCs w:val="21"/>
        </w:rPr>
        <w:t>the</w:t>
      </w:r>
      <w:r w:rsidRPr="00B827C1">
        <w:rPr>
          <w:spacing w:val="-10"/>
          <w:sz w:val="21"/>
          <w:szCs w:val="21"/>
        </w:rPr>
        <w:t xml:space="preserve"> </w:t>
      </w:r>
      <w:r w:rsidRPr="00B827C1">
        <w:rPr>
          <w:sz w:val="21"/>
          <w:szCs w:val="21"/>
        </w:rPr>
        <w:t>Agreement</w:t>
      </w:r>
    </w:p>
    <w:p w14:paraId="2C2847E4" w14:textId="77777777" w:rsidR="000B6722" w:rsidRPr="00B827C1" w:rsidRDefault="000B6722" w:rsidP="000B6722">
      <w:pPr>
        <w:pStyle w:val="ListBullet"/>
        <w:rPr>
          <w:sz w:val="21"/>
          <w:szCs w:val="21"/>
        </w:rPr>
      </w:pPr>
      <w:r w:rsidRPr="00B827C1">
        <w:rPr>
          <w:sz w:val="21"/>
          <w:szCs w:val="21"/>
        </w:rPr>
        <w:t>support governments to embed Indigenous</w:t>
      </w:r>
      <w:r w:rsidRPr="00B827C1">
        <w:rPr>
          <w:spacing w:val="-10"/>
          <w:sz w:val="21"/>
          <w:szCs w:val="21"/>
        </w:rPr>
        <w:t xml:space="preserve"> </w:t>
      </w:r>
      <w:r w:rsidRPr="00B827C1">
        <w:rPr>
          <w:sz w:val="21"/>
          <w:szCs w:val="21"/>
        </w:rPr>
        <w:t>Data</w:t>
      </w:r>
      <w:r w:rsidRPr="00B827C1">
        <w:rPr>
          <w:spacing w:val="-10"/>
          <w:sz w:val="21"/>
          <w:szCs w:val="21"/>
        </w:rPr>
        <w:t xml:space="preserve"> </w:t>
      </w:r>
      <w:r w:rsidRPr="00B827C1">
        <w:rPr>
          <w:sz w:val="21"/>
          <w:szCs w:val="21"/>
        </w:rPr>
        <w:t>Governance</w:t>
      </w:r>
      <w:r w:rsidRPr="00B827C1">
        <w:rPr>
          <w:spacing w:val="-10"/>
          <w:sz w:val="21"/>
          <w:szCs w:val="21"/>
        </w:rPr>
        <w:t xml:space="preserve"> </w:t>
      </w:r>
      <w:r w:rsidRPr="00B827C1">
        <w:rPr>
          <w:sz w:val="21"/>
          <w:szCs w:val="21"/>
        </w:rPr>
        <w:t>into</w:t>
      </w:r>
      <w:r w:rsidRPr="00B827C1">
        <w:rPr>
          <w:spacing w:val="-10"/>
          <w:sz w:val="21"/>
          <w:szCs w:val="21"/>
        </w:rPr>
        <w:t xml:space="preserve"> </w:t>
      </w:r>
      <w:r w:rsidRPr="00B827C1">
        <w:rPr>
          <w:sz w:val="21"/>
          <w:szCs w:val="21"/>
        </w:rPr>
        <w:t>their data systems and practices</w:t>
      </w:r>
    </w:p>
    <w:p w14:paraId="205AB06D" w14:textId="77777777" w:rsidR="000B6722" w:rsidRDefault="000B6722" w:rsidP="003717E8">
      <w:pPr>
        <w:pStyle w:val="ListBullet"/>
        <w:spacing w:after="120"/>
        <w:contextualSpacing w:val="0"/>
        <w:rPr>
          <w:sz w:val="21"/>
          <w:szCs w:val="21"/>
        </w:rPr>
      </w:pPr>
      <w:r w:rsidRPr="00B827C1">
        <w:rPr>
          <w:sz w:val="21"/>
          <w:szCs w:val="21"/>
        </w:rPr>
        <w:t>invest</w:t>
      </w:r>
      <w:r w:rsidRPr="00B827C1">
        <w:rPr>
          <w:spacing w:val="-6"/>
          <w:sz w:val="21"/>
          <w:szCs w:val="21"/>
        </w:rPr>
        <w:t xml:space="preserve"> </w:t>
      </w:r>
      <w:r w:rsidRPr="00B827C1">
        <w:rPr>
          <w:sz w:val="21"/>
          <w:szCs w:val="21"/>
        </w:rPr>
        <w:t>in</w:t>
      </w:r>
      <w:r w:rsidRPr="00B827C1">
        <w:rPr>
          <w:spacing w:val="-6"/>
          <w:sz w:val="21"/>
          <w:szCs w:val="21"/>
        </w:rPr>
        <w:t xml:space="preserve"> </w:t>
      </w:r>
      <w:r w:rsidRPr="00B827C1">
        <w:rPr>
          <w:sz w:val="21"/>
          <w:szCs w:val="21"/>
        </w:rPr>
        <w:t>the</w:t>
      </w:r>
      <w:r w:rsidRPr="00B827C1">
        <w:rPr>
          <w:spacing w:val="-6"/>
          <w:sz w:val="21"/>
          <w:szCs w:val="21"/>
        </w:rPr>
        <w:t xml:space="preserve"> </w:t>
      </w:r>
      <w:r w:rsidRPr="00B827C1">
        <w:rPr>
          <w:sz w:val="21"/>
          <w:szCs w:val="21"/>
        </w:rPr>
        <w:t>data</w:t>
      </w:r>
      <w:r w:rsidRPr="00B827C1">
        <w:rPr>
          <w:spacing w:val="-6"/>
          <w:sz w:val="21"/>
          <w:szCs w:val="21"/>
        </w:rPr>
        <w:t xml:space="preserve"> </w:t>
      </w:r>
      <w:r w:rsidRPr="00B827C1">
        <w:rPr>
          <w:sz w:val="21"/>
          <w:szCs w:val="21"/>
        </w:rPr>
        <w:t>capability</w:t>
      </w:r>
      <w:r w:rsidRPr="00B827C1">
        <w:rPr>
          <w:spacing w:val="-6"/>
          <w:sz w:val="21"/>
          <w:szCs w:val="21"/>
        </w:rPr>
        <w:t xml:space="preserve"> </w:t>
      </w:r>
      <w:r w:rsidRPr="00B827C1">
        <w:rPr>
          <w:sz w:val="21"/>
          <w:szCs w:val="21"/>
        </w:rPr>
        <w:t>of</w:t>
      </w:r>
      <w:r w:rsidRPr="00B827C1">
        <w:rPr>
          <w:spacing w:val="-6"/>
          <w:sz w:val="21"/>
          <w:szCs w:val="21"/>
        </w:rPr>
        <w:t xml:space="preserve"> </w:t>
      </w:r>
      <w:r w:rsidRPr="00B827C1">
        <w:rPr>
          <w:sz w:val="21"/>
          <w:szCs w:val="21"/>
        </w:rPr>
        <w:t>Aboriginal and Torres Strait Islander organisations and communities.</w:t>
      </w:r>
    </w:p>
    <w:p w14:paraId="008071C3" w14:textId="7A7BC37A" w:rsidR="00B827C1" w:rsidRPr="00FD5DBB" w:rsidRDefault="000B6722" w:rsidP="00FD5DBB">
      <w:pPr>
        <w:pStyle w:val="ListBullet"/>
        <w:numPr>
          <w:ilvl w:val="0"/>
          <w:numId w:val="0"/>
        </w:numPr>
        <w:contextualSpacing w:val="0"/>
        <w:rPr>
          <w:spacing w:val="-5"/>
          <w:sz w:val="21"/>
          <w:szCs w:val="21"/>
        </w:rPr>
      </w:pPr>
      <w:r w:rsidRPr="00534483">
        <w:rPr>
          <w:sz w:val="21"/>
          <w:szCs w:val="21"/>
        </w:rPr>
        <w:t xml:space="preserve">The BoID should </w:t>
      </w:r>
      <w:r w:rsidRPr="00534483">
        <w:rPr>
          <w:spacing w:val="-5"/>
          <w:sz w:val="21"/>
          <w:szCs w:val="21"/>
        </w:rPr>
        <w:t>be:</w:t>
      </w:r>
    </w:p>
    <w:p w14:paraId="38D33D63" w14:textId="7F096D6B" w:rsidR="000B6722" w:rsidRPr="003717E8" w:rsidRDefault="000B6722" w:rsidP="006022DF">
      <w:pPr>
        <w:pStyle w:val="ListBullet"/>
        <w:spacing w:after="20"/>
        <w:contextualSpacing w:val="0"/>
        <w:rPr>
          <w:sz w:val="21"/>
          <w:szCs w:val="21"/>
        </w:rPr>
      </w:pPr>
      <w:r w:rsidRPr="003717E8">
        <w:rPr>
          <w:sz w:val="21"/>
          <w:szCs w:val="21"/>
        </w:rPr>
        <w:t>led</w:t>
      </w:r>
      <w:r w:rsidRPr="003717E8">
        <w:rPr>
          <w:spacing w:val="-7"/>
          <w:sz w:val="21"/>
          <w:szCs w:val="21"/>
        </w:rPr>
        <w:t xml:space="preserve"> </w:t>
      </w:r>
      <w:r w:rsidRPr="003717E8">
        <w:rPr>
          <w:sz w:val="21"/>
          <w:szCs w:val="21"/>
        </w:rPr>
        <w:t>by</w:t>
      </w:r>
      <w:r w:rsidRPr="003717E8">
        <w:rPr>
          <w:spacing w:val="-7"/>
          <w:sz w:val="21"/>
          <w:szCs w:val="21"/>
        </w:rPr>
        <w:t xml:space="preserve"> </w:t>
      </w:r>
      <w:r w:rsidRPr="003717E8">
        <w:rPr>
          <w:sz w:val="21"/>
          <w:szCs w:val="21"/>
        </w:rPr>
        <w:t>a</w:t>
      </w:r>
      <w:r w:rsidRPr="003717E8">
        <w:rPr>
          <w:spacing w:val="-7"/>
          <w:sz w:val="21"/>
          <w:szCs w:val="21"/>
        </w:rPr>
        <w:t xml:space="preserve"> </w:t>
      </w:r>
      <w:r w:rsidRPr="003717E8">
        <w:rPr>
          <w:sz w:val="21"/>
          <w:szCs w:val="21"/>
        </w:rPr>
        <w:t>Chief</w:t>
      </w:r>
      <w:r w:rsidRPr="003717E8">
        <w:rPr>
          <w:spacing w:val="-7"/>
          <w:sz w:val="21"/>
          <w:szCs w:val="21"/>
        </w:rPr>
        <w:t xml:space="preserve"> </w:t>
      </w:r>
      <w:r w:rsidRPr="003717E8">
        <w:rPr>
          <w:sz w:val="21"/>
          <w:szCs w:val="21"/>
        </w:rPr>
        <w:t>Indigenous</w:t>
      </w:r>
      <w:r w:rsidRPr="003717E8">
        <w:rPr>
          <w:spacing w:val="-7"/>
          <w:sz w:val="21"/>
          <w:szCs w:val="21"/>
        </w:rPr>
        <w:t xml:space="preserve"> </w:t>
      </w:r>
      <w:r w:rsidRPr="003717E8">
        <w:rPr>
          <w:sz w:val="21"/>
          <w:szCs w:val="21"/>
        </w:rPr>
        <w:t>Data</w:t>
      </w:r>
      <w:r w:rsidRPr="003717E8">
        <w:rPr>
          <w:spacing w:val="-7"/>
          <w:sz w:val="21"/>
          <w:szCs w:val="21"/>
        </w:rPr>
        <w:t xml:space="preserve"> </w:t>
      </w:r>
      <w:r w:rsidRPr="003717E8">
        <w:rPr>
          <w:sz w:val="21"/>
          <w:szCs w:val="21"/>
        </w:rPr>
        <w:t>Executive and governed by an Indigenous</w:t>
      </w:r>
      <w:r w:rsidR="003717E8" w:rsidRPr="003717E8">
        <w:rPr>
          <w:sz w:val="21"/>
          <w:szCs w:val="21"/>
        </w:rPr>
        <w:t xml:space="preserve"> </w:t>
      </w:r>
      <w:r w:rsidRPr="003717E8">
        <w:rPr>
          <w:sz w:val="21"/>
          <w:szCs w:val="21"/>
        </w:rPr>
        <w:t>Data</w:t>
      </w:r>
      <w:r w:rsidRPr="003717E8">
        <w:rPr>
          <w:spacing w:val="-3"/>
          <w:sz w:val="21"/>
          <w:szCs w:val="21"/>
        </w:rPr>
        <w:t xml:space="preserve"> </w:t>
      </w:r>
      <w:r w:rsidRPr="003717E8">
        <w:rPr>
          <w:spacing w:val="-2"/>
          <w:sz w:val="21"/>
          <w:szCs w:val="21"/>
        </w:rPr>
        <w:t>Board</w:t>
      </w:r>
    </w:p>
    <w:p w14:paraId="1AE6D582" w14:textId="77777777" w:rsidR="000B6722" w:rsidRPr="00534483" w:rsidRDefault="000B6722" w:rsidP="00FD5DBB">
      <w:pPr>
        <w:pStyle w:val="ListBullet"/>
        <w:spacing w:after="20"/>
        <w:contextualSpacing w:val="0"/>
        <w:rPr>
          <w:sz w:val="21"/>
          <w:szCs w:val="21"/>
        </w:rPr>
      </w:pPr>
      <w:r w:rsidRPr="00534483">
        <w:rPr>
          <w:sz w:val="21"/>
          <w:szCs w:val="21"/>
        </w:rPr>
        <w:t>funded</w:t>
      </w:r>
      <w:r w:rsidRPr="00534483">
        <w:rPr>
          <w:spacing w:val="-6"/>
          <w:sz w:val="21"/>
          <w:szCs w:val="21"/>
        </w:rPr>
        <w:t xml:space="preserve"> </w:t>
      </w:r>
      <w:r w:rsidRPr="00534483">
        <w:rPr>
          <w:sz w:val="21"/>
          <w:szCs w:val="21"/>
        </w:rPr>
        <w:t>jointly</w:t>
      </w:r>
      <w:r w:rsidRPr="00534483">
        <w:rPr>
          <w:spacing w:val="-6"/>
          <w:sz w:val="21"/>
          <w:szCs w:val="21"/>
        </w:rPr>
        <w:t xml:space="preserve"> </w:t>
      </w:r>
      <w:r w:rsidRPr="00534483">
        <w:rPr>
          <w:sz w:val="21"/>
          <w:szCs w:val="21"/>
        </w:rPr>
        <w:t>by</w:t>
      </w:r>
      <w:r w:rsidRPr="00534483">
        <w:rPr>
          <w:spacing w:val="-6"/>
          <w:sz w:val="21"/>
          <w:szCs w:val="21"/>
        </w:rPr>
        <w:t xml:space="preserve"> </w:t>
      </w:r>
      <w:r w:rsidRPr="00534483">
        <w:rPr>
          <w:sz w:val="21"/>
          <w:szCs w:val="21"/>
        </w:rPr>
        <w:t>the</w:t>
      </w:r>
      <w:r w:rsidRPr="00534483">
        <w:rPr>
          <w:spacing w:val="-6"/>
          <w:sz w:val="21"/>
          <w:szCs w:val="21"/>
        </w:rPr>
        <w:t xml:space="preserve"> </w:t>
      </w:r>
      <w:r w:rsidRPr="00534483">
        <w:rPr>
          <w:sz w:val="21"/>
          <w:szCs w:val="21"/>
        </w:rPr>
        <w:t>Australian,</w:t>
      </w:r>
      <w:r w:rsidRPr="00534483">
        <w:rPr>
          <w:spacing w:val="-6"/>
          <w:sz w:val="21"/>
          <w:szCs w:val="21"/>
        </w:rPr>
        <w:t xml:space="preserve"> </w:t>
      </w:r>
      <w:r w:rsidRPr="00534483">
        <w:rPr>
          <w:sz w:val="21"/>
          <w:szCs w:val="21"/>
        </w:rPr>
        <w:t>state</w:t>
      </w:r>
      <w:r w:rsidRPr="00534483">
        <w:rPr>
          <w:spacing w:val="-6"/>
          <w:sz w:val="21"/>
          <w:szCs w:val="21"/>
        </w:rPr>
        <w:t xml:space="preserve"> </w:t>
      </w:r>
      <w:r w:rsidRPr="00534483">
        <w:rPr>
          <w:sz w:val="21"/>
          <w:szCs w:val="21"/>
        </w:rPr>
        <w:t>and territory governments</w:t>
      </w:r>
    </w:p>
    <w:p w14:paraId="53943CF5" w14:textId="77777777" w:rsidR="00B827C1" w:rsidRPr="00534483" w:rsidRDefault="000B6722" w:rsidP="00C648D5">
      <w:pPr>
        <w:pStyle w:val="ListBullet"/>
        <w:rPr>
          <w:sz w:val="21"/>
          <w:szCs w:val="21"/>
        </w:rPr>
      </w:pPr>
      <w:r w:rsidRPr="00534483">
        <w:rPr>
          <w:sz w:val="21"/>
          <w:szCs w:val="21"/>
        </w:rPr>
        <w:t>initially operate under an existing statutory</w:t>
      </w:r>
      <w:r w:rsidRPr="00534483">
        <w:rPr>
          <w:spacing w:val="-9"/>
          <w:sz w:val="21"/>
          <w:szCs w:val="21"/>
        </w:rPr>
        <w:t xml:space="preserve"> </w:t>
      </w:r>
      <w:r w:rsidRPr="00534483">
        <w:rPr>
          <w:sz w:val="21"/>
          <w:szCs w:val="21"/>
        </w:rPr>
        <w:t>agency,</w:t>
      </w:r>
      <w:r w:rsidRPr="00534483">
        <w:rPr>
          <w:spacing w:val="-9"/>
          <w:sz w:val="21"/>
          <w:szCs w:val="21"/>
        </w:rPr>
        <w:t xml:space="preserve"> </w:t>
      </w:r>
      <w:r w:rsidRPr="00534483">
        <w:rPr>
          <w:sz w:val="21"/>
          <w:szCs w:val="21"/>
        </w:rPr>
        <w:t>but</w:t>
      </w:r>
      <w:r w:rsidRPr="00534483">
        <w:rPr>
          <w:spacing w:val="-9"/>
          <w:sz w:val="21"/>
          <w:szCs w:val="21"/>
        </w:rPr>
        <w:t xml:space="preserve"> </w:t>
      </w:r>
      <w:r w:rsidRPr="00534483">
        <w:rPr>
          <w:sz w:val="21"/>
          <w:szCs w:val="21"/>
        </w:rPr>
        <w:t>then</w:t>
      </w:r>
      <w:r w:rsidRPr="00534483">
        <w:rPr>
          <w:spacing w:val="-9"/>
          <w:sz w:val="21"/>
          <w:szCs w:val="21"/>
        </w:rPr>
        <w:t xml:space="preserve"> </w:t>
      </w:r>
      <w:r w:rsidRPr="00534483">
        <w:rPr>
          <w:sz w:val="21"/>
          <w:szCs w:val="21"/>
        </w:rPr>
        <w:t>established under its own legislation by 2028.</w:t>
      </w:r>
    </w:p>
    <w:p w14:paraId="50A9DBFB" w14:textId="77777777" w:rsidR="00D7194C" w:rsidRDefault="00B827C1" w:rsidP="00FD5DBB">
      <w:pPr>
        <w:pStyle w:val="ListBullet"/>
        <w:numPr>
          <w:ilvl w:val="0"/>
          <w:numId w:val="0"/>
        </w:numPr>
        <w:ind w:left="227"/>
        <w:jc w:val="center"/>
        <w:sectPr w:rsidR="00D7194C" w:rsidSect="001C7C66">
          <w:headerReference w:type="default" r:id="rId27"/>
          <w:pgSz w:w="11906" w:h="16838"/>
          <w:pgMar w:top="2693" w:right="1134" w:bottom="1701" w:left="1134" w:header="284" w:footer="567" w:gutter="0"/>
          <w:cols w:num="2" w:space="708"/>
          <w:docGrid w:linePitch="360"/>
        </w:sectPr>
      </w:pPr>
      <w:r w:rsidRPr="00AA6465">
        <w:rPr>
          <w:noProof/>
          <w:sz w:val="36"/>
          <w:szCs w:val="36"/>
        </w:rPr>
        <w:drawing>
          <wp:inline distT="0" distB="0" distL="0" distR="0" wp14:anchorId="3AFCA9CF" wp14:editId="01571F59">
            <wp:extent cx="1490196" cy="516255"/>
            <wp:effectExtent l="0" t="0" r="0" b="0"/>
            <wp:docPr id="1005833627" name="Picture 1005833627" descr="Read the report link to websi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33627" name="Picture 1005833627" descr="Read the report link to website">
                      <a:hlinkClick r:id="rId20"/>
                    </pic:cNvPr>
                    <pic:cNvPicPr/>
                  </pic:nvPicPr>
                  <pic:blipFill rotWithShape="1">
                    <a:blip r:embed="rId21" cstate="print">
                      <a:extLst>
                        <a:ext uri="{28A0092B-C50C-407E-A947-70E740481C1C}">
                          <a14:useLocalDpi xmlns:a14="http://schemas.microsoft.com/office/drawing/2010/main" val="0"/>
                        </a:ext>
                      </a:extLst>
                    </a:blip>
                    <a:srcRect l="-6841" t="-37787" r="-11189" b="-29554"/>
                    <a:stretch/>
                  </pic:blipFill>
                  <pic:spPr bwMode="auto">
                    <a:xfrm>
                      <a:off x="0" y="0"/>
                      <a:ext cx="1523520" cy="527800"/>
                    </a:xfrm>
                    <a:prstGeom prst="rect">
                      <a:avLst/>
                    </a:prstGeom>
                    <a:ln>
                      <a:noFill/>
                    </a:ln>
                    <a:extLst>
                      <a:ext uri="{53640926-AAD7-44D8-BBD7-CCE9431645EC}">
                        <a14:shadowObscured xmlns:a14="http://schemas.microsoft.com/office/drawing/2010/main"/>
                      </a:ext>
                    </a:extLst>
                  </pic:spPr>
                </pic:pic>
              </a:graphicData>
            </a:graphic>
          </wp:inline>
        </w:drawing>
      </w:r>
    </w:p>
    <w:p w14:paraId="58CCD96E" w14:textId="715CE5D0" w:rsidR="00521DD5" w:rsidRPr="00F030AA" w:rsidRDefault="008A6D09" w:rsidP="008A6D09">
      <w:pPr>
        <w:pStyle w:val="Heading2"/>
        <w:spacing w:before="360" w:after="60"/>
        <w:rPr>
          <w:color w:val="573C2C"/>
        </w:rPr>
      </w:pPr>
      <w:r w:rsidRPr="00F030AA">
        <w:rPr>
          <w:color w:val="573C2C"/>
        </w:rPr>
        <w:lastRenderedPageBreak/>
        <w:t>The accountability mechanisms in the Agreement are not enough to drive change.</w:t>
      </w:r>
    </w:p>
    <w:p w14:paraId="41D9C40B" w14:textId="77777777" w:rsidR="008A6D09" w:rsidRDefault="008A6D09" w:rsidP="008A6D09">
      <w:pPr>
        <w:pStyle w:val="ListBullet2"/>
        <w:contextualSpacing w:val="0"/>
      </w:pPr>
      <w:r>
        <w:t>What we are seeing from governments to date will not deliver the commitments made in the Agreement.</w:t>
      </w:r>
    </w:p>
    <w:p w14:paraId="79370CC7" w14:textId="5A42BC3A" w:rsidR="008A6D09" w:rsidRDefault="008A6D09" w:rsidP="00F621A9">
      <w:pPr>
        <w:pStyle w:val="ListBullet2"/>
        <w:spacing w:after="200"/>
      </w:pPr>
      <w:r>
        <w:t>Governments continue to act in ways that don’t align with the Agreement.</w:t>
      </w:r>
    </w:p>
    <w:p w14:paraId="0C7111A8" w14:textId="403DB852" w:rsidR="008A6D09" w:rsidRPr="00F621A9" w:rsidRDefault="008A6D09" w:rsidP="00F621A9">
      <w:pPr>
        <w:rPr>
          <w:b/>
          <w:bCs/>
        </w:rPr>
      </w:pPr>
      <w:r w:rsidRPr="00F621A9">
        <w:rPr>
          <w:b/>
          <w:bCs/>
        </w:rPr>
        <w:t>A suite of actions are needed to improve accountability for the implementation of the Agreement and ensure that Closing the Gap is embedded in the work of government, as it was intended to be.</w:t>
      </w:r>
    </w:p>
    <w:p w14:paraId="568A618E" w14:textId="00502471" w:rsidR="008A6D09" w:rsidRPr="00F030AA" w:rsidRDefault="008A6D09" w:rsidP="008A6D09">
      <w:pPr>
        <w:pStyle w:val="Heading2"/>
        <w:rPr>
          <w:color w:val="573C2C"/>
        </w:rPr>
      </w:pPr>
      <w:r w:rsidRPr="00F030AA">
        <w:rPr>
          <w:color w:val="573C2C"/>
        </w:rPr>
        <w:t xml:space="preserve">Establishing the independent mechanism without further delay. </w:t>
      </w:r>
      <w:r w:rsidRPr="00F030AA">
        <w:rPr>
          <w:color w:val="573C2C"/>
        </w:rPr>
        <w:br/>
        <w:t>It should have:</w:t>
      </w:r>
    </w:p>
    <w:p w14:paraId="15CD59EF" w14:textId="77777777" w:rsidR="008A6D09" w:rsidRDefault="008A6D09" w:rsidP="008A6D09">
      <w:pPr>
        <w:pStyle w:val="ListBullet"/>
      </w:pPr>
      <w:r>
        <w:t>an expanded role and powers</w:t>
      </w:r>
    </w:p>
    <w:p w14:paraId="01FFD508" w14:textId="77777777" w:rsidR="008A6D09" w:rsidRDefault="008A6D09" w:rsidP="008A6D09">
      <w:pPr>
        <w:pStyle w:val="ListBullet"/>
      </w:pPr>
      <w:r>
        <w:t>a legislative basis</w:t>
      </w:r>
    </w:p>
    <w:p w14:paraId="797B0D80" w14:textId="4E9C5804" w:rsidR="008A6D09" w:rsidRDefault="008A6D09" w:rsidP="00AA26B0">
      <w:pPr>
        <w:pStyle w:val="ListBullet"/>
        <w:spacing w:after="200"/>
      </w:pPr>
      <w:r>
        <w:t>guaranteed funding.</w:t>
      </w:r>
    </w:p>
    <w:p w14:paraId="79CEC40E" w14:textId="4B3C741D" w:rsidR="008A6D09" w:rsidRPr="00F030AA" w:rsidRDefault="008A6D09" w:rsidP="008A6D09">
      <w:pPr>
        <w:pStyle w:val="Heading2"/>
        <w:rPr>
          <w:color w:val="573C2C"/>
        </w:rPr>
      </w:pPr>
      <w:r w:rsidRPr="00F030AA">
        <w:rPr>
          <w:color w:val="573C2C"/>
        </w:rPr>
        <w:t>Driving accountability for implementing the Priority Reforms through government leadership and systems</w:t>
      </w:r>
    </w:p>
    <w:p w14:paraId="22B1F3D2" w14:textId="77777777" w:rsidR="008A6D09" w:rsidRDefault="008A6D09" w:rsidP="008A6D09">
      <w:pPr>
        <w:pStyle w:val="ListBullet2"/>
        <w:spacing w:after="20"/>
        <w:contextualSpacing w:val="0"/>
      </w:pPr>
      <w:r>
        <w:t>Regular meetings between Ministers and Aboriginal and Torres Strait Islander peak bodies.</w:t>
      </w:r>
    </w:p>
    <w:p w14:paraId="1FE382F4" w14:textId="77777777" w:rsidR="008A6D09" w:rsidRDefault="008A6D09" w:rsidP="008A6D09">
      <w:pPr>
        <w:pStyle w:val="ListBullet2"/>
        <w:spacing w:before="0" w:after="20"/>
        <w:contextualSpacing w:val="0"/>
      </w:pPr>
      <w:r>
        <w:t>Reviewing and updating Cabinet and Budget processes so that they explicitly promote, support and encourage the Priority Reforms.</w:t>
      </w:r>
    </w:p>
    <w:p w14:paraId="76237EF0" w14:textId="77777777" w:rsidR="008A6D09" w:rsidRDefault="008A6D09" w:rsidP="008A6D09">
      <w:pPr>
        <w:pStyle w:val="ListBullet2"/>
        <w:spacing w:before="0" w:after="20"/>
        <w:contextualSpacing w:val="0"/>
      </w:pPr>
      <w:r>
        <w:t>Designating a senior leadership group to drive public sector change in each jurisdiction.</w:t>
      </w:r>
    </w:p>
    <w:p w14:paraId="3A0B4D26" w14:textId="6E5DB655" w:rsidR="008A6D09" w:rsidRDefault="008A6D09" w:rsidP="00DE4156">
      <w:pPr>
        <w:pStyle w:val="ListBullet2"/>
        <w:spacing w:before="0" w:after="200"/>
        <w:contextualSpacing w:val="0"/>
      </w:pPr>
      <w:r>
        <w:t xml:space="preserve">Embedding responsibility for improving cultural capability and relationships with Aboriginal and Torres Strait Islander </w:t>
      </w:r>
      <w:r w:rsidR="00DE4156">
        <w:br/>
      </w:r>
      <w:r w:rsidR="00DE4156">
        <w:br/>
      </w:r>
      <w:r>
        <w:t>people into public sector employment requirements.</w:t>
      </w:r>
    </w:p>
    <w:p w14:paraId="4042D721" w14:textId="0F49314D" w:rsidR="008A6D09" w:rsidRPr="00F030AA" w:rsidRDefault="008A6D09" w:rsidP="008A6D09">
      <w:pPr>
        <w:pStyle w:val="Heading2"/>
        <w:rPr>
          <w:color w:val="573C2C"/>
        </w:rPr>
      </w:pPr>
      <w:r w:rsidRPr="00F030AA">
        <w:rPr>
          <w:color w:val="573C2C"/>
        </w:rPr>
        <w:t>Improving transparency of actions taken to implement the Agreement</w:t>
      </w:r>
    </w:p>
    <w:p w14:paraId="59D9C352" w14:textId="77777777" w:rsidR="00F030AA" w:rsidRDefault="00F030AA" w:rsidP="00F030AA">
      <w:pPr>
        <w:pStyle w:val="ListBullet2"/>
        <w:contextualSpacing w:val="0"/>
      </w:pPr>
      <w:r>
        <w:t>Including a statement on Closing the Gap in every government organisation’s annual report, that detail substantive actions taken and the outcome of those actions.</w:t>
      </w:r>
    </w:p>
    <w:p w14:paraId="4F7A5D9C" w14:textId="1226F8AF" w:rsidR="00F030AA" w:rsidRDefault="00F030AA" w:rsidP="0053383E">
      <w:pPr>
        <w:pStyle w:val="ListBullet2"/>
        <w:spacing w:after="200"/>
      </w:pPr>
      <w:r>
        <w:t>Publishing the stocktakes, partnership agreements, transformation strategies and other documents developed under the Agreement.</w:t>
      </w:r>
    </w:p>
    <w:p w14:paraId="5134D050" w14:textId="77777777" w:rsidR="00F030AA" w:rsidRPr="00F030AA" w:rsidRDefault="00F030AA" w:rsidP="00F030AA">
      <w:pPr>
        <w:pStyle w:val="Heading2"/>
        <w:rPr>
          <w:color w:val="573C2C"/>
          <w:lang w:val="en-GB"/>
        </w:rPr>
      </w:pPr>
      <w:r w:rsidRPr="00F030AA">
        <w:rPr>
          <w:color w:val="573C2C"/>
          <w:lang w:val="en-GB"/>
        </w:rPr>
        <w:t>Strengthening the implementation of the Agreement</w:t>
      </w:r>
    </w:p>
    <w:p w14:paraId="72286939" w14:textId="77777777" w:rsidR="00F030AA" w:rsidRPr="00F030AA" w:rsidRDefault="00F030AA" w:rsidP="0053383E">
      <w:pPr>
        <w:pStyle w:val="ListBullet"/>
        <w:contextualSpacing w:val="0"/>
        <w:rPr>
          <w:lang w:val="en-GB"/>
        </w:rPr>
      </w:pPr>
      <w:r w:rsidRPr="00F030AA">
        <w:rPr>
          <w:lang w:val="en-GB"/>
        </w:rPr>
        <w:t>Adequately resourcing for the implementation of the Agreement.</w:t>
      </w:r>
    </w:p>
    <w:p w14:paraId="75143633" w14:textId="32724CCC" w:rsidR="00F030AA" w:rsidRPr="00C4507F" w:rsidRDefault="00F030AA" w:rsidP="00C4507F">
      <w:pPr>
        <w:pStyle w:val="ListBullet"/>
        <w:spacing w:after="200"/>
        <w:contextualSpacing w:val="0"/>
        <w:rPr>
          <w:spacing w:val="-2"/>
        </w:rPr>
      </w:pPr>
      <w:r w:rsidRPr="00C4507F">
        <w:rPr>
          <w:spacing w:val="-2"/>
          <w:szCs w:val="22"/>
          <w:lang w:val="en-GB"/>
        </w:rPr>
        <w:t>Ensuring other national agreements reflect the National Agreement on Closing the Gap.</w:t>
      </w:r>
    </w:p>
    <w:p w14:paraId="5EF2B0F3" w14:textId="77777777" w:rsidR="009D4E71" w:rsidRDefault="00A57CA1" w:rsidP="00A57CA1">
      <w:pPr>
        <w:pStyle w:val="ListBullet"/>
        <w:numPr>
          <w:ilvl w:val="0"/>
          <w:numId w:val="0"/>
        </w:numPr>
        <w:ind w:left="227"/>
        <w:jc w:val="center"/>
        <w:sectPr w:rsidR="009D4E71" w:rsidSect="001C7C66">
          <w:headerReference w:type="default" r:id="rId28"/>
          <w:pgSz w:w="11906" w:h="16838"/>
          <w:pgMar w:top="2693" w:right="1134" w:bottom="1701" w:left="1134" w:header="284" w:footer="567" w:gutter="0"/>
          <w:cols w:num="2" w:space="708"/>
          <w:docGrid w:linePitch="360"/>
        </w:sectPr>
      </w:pPr>
      <w:r w:rsidRPr="00AA6465">
        <w:rPr>
          <w:noProof/>
          <w:sz w:val="36"/>
          <w:szCs w:val="36"/>
        </w:rPr>
        <w:drawing>
          <wp:inline distT="0" distB="0" distL="0" distR="0" wp14:anchorId="2C08EFD7" wp14:editId="4627051F">
            <wp:extent cx="1490196" cy="516255"/>
            <wp:effectExtent l="0" t="0" r="0" b="0"/>
            <wp:docPr id="1225669523" name="Picture 1225669523" descr="Read the report link to websi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69523" name="Picture 1225669523" descr="Read the report link to website">
                      <a:hlinkClick r:id="rId20"/>
                    </pic:cNvPr>
                    <pic:cNvPicPr/>
                  </pic:nvPicPr>
                  <pic:blipFill rotWithShape="1">
                    <a:blip r:embed="rId21" cstate="print">
                      <a:extLst>
                        <a:ext uri="{28A0092B-C50C-407E-A947-70E740481C1C}">
                          <a14:useLocalDpi xmlns:a14="http://schemas.microsoft.com/office/drawing/2010/main" val="0"/>
                        </a:ext>
                      </a:extLst>
                    </a:blip>
                    <a:srcRect l="-6841" t="-37787" r="-11189" b="-29554"/>
                    <a:stretch/>
                  </pic:blipFill>
                  <pic:spPr bwMode="auto">
                    <a:xfrm>
                      <a:off x="0" y="0"/>
                      <a:ext cx="1523520" cy="527800"/>
                    </a:xfrm>
                    <a:prstGeom prst="rect">
                      <a:avLst/>
                    </a:prstGeom>
                    <a:ln>
                      <a:noFill/>
                    </a:ln>
                    <a:extLst>
                      <a:ext uri="{53640926-AAD7-44D8-BBD7-CCE9431645EC}">
                        <a14:shadowObscured xmlns:a14="http://schemas.microsoft.com/office/drawing/2010/main"/>
                      </a:ext>
                    </a:extLst>
                  </pic:spPr>
                </pic:pic>
              </a:graphicData>
            </a:graphic>
          </wp:inline>
        </w:drawing>
      </w:r>
    </w:p>
    <w:p w14:paraId="1D57F03C" w14:textId="3480A379" w:rsidR="009C67BC" w:rsidRPr="008E3332" w:rsidRDefault="009C67BC" w:rsidP="009C67BC">
      <w:pPr>
        <w:pStyle w:val="Heading2"/>
        <w:spacing w:before="360" w:line="240" w:lineRule="auto"/>
        <w:rPr>
          <w:color w:val="573C2C"/>
        </w:rPr>
      </w:pPr>
      <w:r w:rsidRPr="009C67BC">
        <w:rPr>
          <w:color w:val="573C2C"/>
        </w:rPr>
        <w:lastRenderedPageBreak/>
        <w:t>The Commission examined three socio-economic outcome areas</w:t>
      </w:r>
    </w:p>
    <w:p w14:paraId="324037AB" w14:textId="4424B82F" w:rsidR="009C67BC" w:rsidRDefault="009C67BC" w:rsidP="00D94AF7">
      <w:pPr>
        <w:pStyle w:val="ListBullet2"/>
        <w:contextualSpacing w:val="0"/>
      </w:pPr>
      <w:r w:rsidRPr="009C67BC">
        <w:rPr>
          <w:b/>
          <w:bCs/>
        </w:rPr>
        <w:t>SEO 11 (Youth justice)</w:t>
      </w:r>
      <w:r>
        <w:br/>
        <w:t>focusing on reforms to raise the minimum age of criminal responsibility.</w:t>
      </w:r>
    </w:p>
    <w:p w14:paraId="231EEC25" w14:textId="31A76BC8" w:rsidR="009C67BC" w:rsidRPr="009C67BC" w:rsidRDefault="009C67BC" w:rsidP="00D94AF7">
      <w:pPr>
        <w:pStyle w:val="ListBullet2"/>
        <w:contextualSpacing w:val="0"/>
        <w:rPr>
          <w:lang w:val="en-GB"/>
        </w:rPr>
      </w:pPr>
      <w:r w:rsidRPr="009C67BC">
        <w:rPr>
          <w:b/>
          <w:bCs/>
        </w:rPr>
        <w:t>SEO 12 (Child protection)</w:t>
      </w:r>
      <w:r>
        <w:rPr>
          <w:lang w:val="en-GB"/>
        </w:rPr>
        <w:br/>
      </w:r>
      <w:r w:rsidRPr="009C67BC">
        <w:rPr>
          <w:lang w:val="en-GB"/>
        </w:rPr>
        <w:t>focusing on the policy of delegated authority for child placement in out-of-home care.</w:t>
      </w:r>
    </w:p>
    <w:p w14:paraId="6615A93E" w14:textId="6BFDDB40" w:rsidR="009C67BC" w:rsidRDefault="009C67BC" w:rsidP="00D94AF7">
      <w:pPr>
        <w:pStyle w:val="ListBullet2"/>
        <w:contextualSpacing w:val="0"/>
      </w:pPr>
      <w:r w:rsidRPr="009C67BC">
        <w:rPr>
          <w:b/>
          <w:bCs/>
        </w:rPr>
        <w:t>SEO 13 (Family safety)</w:t>
      </w:r>
      <w:r>
        <w:br/>
      </w:r>
      <w:r w:rsidRPr="009C67BC">
        <w:t>focusing on the Aboriginal and Torres Strait Islander Action Plan (part of the National Plan to End Violence against Women and Children.)</w:t>
      </w:r>
    </w:p>
    <w:p w14:paraId="44C78DC9" w14:textId="07AD6956" w:rsidR="009C67BC" w:rsidRDefault="009C67BC" w:rsidP="009C67BC">
      <w:r>
        <w:t>The Commission looked into how government actions in each of these socio-economic outcome areas align with the Priority Reforms.</w:t>
      </w:r>
      <w:r w:rsidRPr="00341BA8">
        <w:t xml:space="preserve"> </w:t>
      </w:r>
    </w:p>
    <w:p w14:paraId="39A340E3" w14:textId="77777777" w:rsidR="009C67BC" w:rsidRDefault="009C67BC" w:rsidP="009C67BC">
      <w:pPr>
        <w:pStyle w:val="ListBullet"/>
        <w:numPr>
          <w:ilvl w:val="0"/>
          <w:numId w:val="0"/>
        </w:numPr>
        <w:contextualSpacing w:val="0"/>
        <w:rPr>
          <w:rFonts w:asciiTheme="majorHAnsi" w:eastAsiaTheme="majorEastAsia" w:hAnsiTheme="majorHAnsi" w:cstheme="majorBidi"/>
          <w:b/>
          <w:color w:val="573C2C"/>
          <w:sz w:val="24"/>
          <w:szCs w:val="24"/>
        </w:rPr>
      </w:pPr>
      <w:r w:rsidRPr="009C67BC">
        <w:rPr>
          <w:rFonts w:asciiTheme="majorHAnsi" w:eastAsiaTheme="majorEastAsia" w:hAnsiTheme="majorHAnsi" w:cstheme="majorBidi"/>
          <w:b/>
          <w:color w:val="573C2C"/>
          <w:sz w:val="24"/>
          <w:szCs w:val="24"/>
        </w:rPr>
        <w:t>Some positive signs of progress</w:t>
      </w:r>
    </w:p>
    <w:p w14:paraId="5230D6A0" w14:textId="1AF3DD3B" w:rsidR="009C67BC" w:rsidRDefault="009C67BC" w:rsidP="009C67BC">
      <w:r w:rsidRPr="009C67BC">
        <w:t>The three areas show that some governments</w:t>
      </w:r>
      <w:r>
        <w:t xml:space="preserve"> </w:t>
      </w:r>
      <w:r w:rsidRPr="009C67BC">
        <w:t>have been willing to change their approach</w:t>
      </w:r>
      <w:r>
        <w:t xml:space="preserve"> </w:t>
      </w:r>
      <w:r w:rsidRPr="009C67BC">
        <w:t>and to adopt policies championed for decades</w:t>
      </w:r>
      <w:r>
        <w:t xml:space="preserve"> </w:t>
      </w:r>
      <w:r w:rsidRPr="009C67BC">
        <w:t>by Aboriginal and Torres Strait Islander people.</w:t>
      </w:r>
    </w:p>
    <w:p w14:paraId="0DE0C2E4" w14:textId="0FABB1A5" w:rsidR="009C67BC" w:rsidRDefault="009C67BC" w:rsidP="001628B1">
      <w:pPr>
        <w:pStyle w:val="ListBullet2"/>
        <w:contextualSpacing w:val="0"/>
      </w:pPr>
      <w:r>
        <w:t>Governments have partnered with Aboriginal and Torres Strait Islander people.</w:t>
      </w:r>
    </w:p>
    <w:p w14:paraId="1D57666E" w14:textId="77777777" w:rsidR="00EB3F88" w:rsidRDefault="001628B1" w:rsidP="00EB3F88">
      <w:pPr>
        <w:pStyle w:val="ListBullet2"/>
        <w:spacing w:before="240"/>
      </w:pPr>
      <w:r w:rsidRPr="001628B1">
        <w:t>Governments have committed to improving data in the three SEOs. This includes recognition of Indigenous Data Sovereignty as a guiding principle under the Aboriginal and Tores Strait Islander Action Plan.</w:t>
      </w:r>
    </w:p>
    <w:p w14:paraId="530AE93A" w14:textId="77777777" w:rsidR="00EB3F88" w:rsidRDefault="00EB3F88" w:rsidP="00D2026A">
      <w:pPr>
        <w:pStyle w:val="ListBullet2"/>
        <w:numPr>
          <w:ilvl w:val="0"/>
          <w:numId w:val="0"/>
        </w:numPr>
        <w:spacing w:before="360" w:after="0"/>
        <w:ind w:left="227"/>
        <w:contextualSpacing w:val="0"/>
      </w:pPr>
      <w:r>
        <w:br w:type="column"/>
      </w:r>
    </w:p>
    <w:p w14:paraId="087F6164" w14:textId="22D8E1D1" w:rsidR="00EB3F88" w:rsidRPr="00EB3F88" w:rsidRDefault="00EB3F88" w:rsidP="00EB3F88">
      <w:pPr>
        <w:pStyle w:val="ListBullet2"/>
        <w:numPr>
          <w:ilvl w:val="0"/>
          <w:numId w:val="0"/>
        </w:numPr>
        <w:spacing w:before="0"/>
        <w:ind w:left="227"/>
        <w:contextualSpacing w:val="0"/>
        <w:rPr>
          <w:rFonts w:asciiTheme="majorHAnsi" w:eastAsiaTheme="majorEastAsia" w:hAnsiTheme="majorHAnsi" w:cstheme="majorBidi"/>
          <w:b/>
          <w:color w:val="573C2C"/>
          <w:sz w:val="26"/>
          <w:szCs w:val="26"/>
        </w:rPr>
      </w:pPr>
      <w:r w:rsidRPr="00EB3F88">
        <w:rPr>
          <w:rStyle w:val="Heading2Char"/>
          <w:color w:val="573C2C"/>
        </w:rPr>
        <w:t xml:space="preserve">But </w:t>
      </w:r>
      <w:r w:rsidR="001B789B" w:rsidRPr="00EB3F88">
        <w:rPr>
          <w:rStyle w:val="Heading2Char"/>
          <w:color w:val="573C2C"/>
        </w:rPr>
        <w:t>governments</w:t>
      </w:r>
      <w:r w:rsidRPr="00EB3F88">
        <w:rPr>
          <w:rStyle w:val="Heading2Char"/>
          <w:color w:val="573C2C"/>
        </w:rPr>
        <w:t xml:space="preserve"> still …</w:t>
      </w:r>
    </w:p>
    <w:p w14:paraId="19C7EE88" w14:textId="77777777" w:rsidR="00EB3F88" w:rsidRDefault="00EB3F88" w:rsidP="00EB3F88">
      <w:pPr>
        <w:pStyle w:val="ListBullet2"/>
        <w:contextualSpacing w:val="0"/>
      </w:pPr>
      <w:r>
        <w:t xml:space="preserve">retain power over decision-making in partnerships </w:t>
      </w:r>
    </w:p>
    <w:p w14:paraId="26168989" w14:textId="77777777" w:rsidR="00EB3F88" w:rsidRDefault="00EB3F88" w:rsidP="00EB3F88">
      <w:pPr>
        <w:pStyle w:val="ListBullet2"/>
        <w:contextualSpacing w:val="0"/>
      </w:pPr>
      <w:r>
        <w:t xml:space="preserve">limit the extent of Aboriginal and Torres Strait Islander people’s control of the speed and direction of reform </w:t>
      </w:r>
    </w:p>
    <w:p w14:paraId="49A7141A" w14:textId="77777777" w:rsidR="00EB3F88" w:rsidRDefault="00EB3F88" w:rsidP="00EB3F88">
      <w:pPr>
        <w:pStyle w:val="ListBullet2"/>
        <w:contextualSpacing w:val="0"/>
        <w:rPr>
          <w:rFonts w:cs="Open Sans"/>
        </w:rPr>
      </w:pPr>
      <w:r>
        <w:t xml:space="preserve">require Aboriginal and Torres </w:t>
      </w:r>
      <w:r>
        <w:rPr>
          <w:rFonts w:cs="Open Sans"/>
        </w:rPr>
        <w:t xml:space="preserve">Strait Islander people to fit into mainstream approaches to design and implementation </w:t>
      </w:r>
    </w:p>
    <w:p w14:paraId="29BB004A" w14:textId="77777777" w:rsidR="00EB3F88" w:rsidRDefault="00EB3F88" w:rsidP="00EB3F88">
      <w:pPr>
        <w:pStyle w:val="ListBullet2"/>
        <w:contextualSpacing w:val="0"/>
        <w:rPr>
          <w:rFonts w:cs="Open Sans"/>
        </w:rPr>
      </w:pPr>
      <w:r>
        <w:rPr>
          <w:rFonts w:cs="Open Sans"/>
        </w:rPr>
        <w:t xml:space="preserve">have not reformed mainstream systems and institutions </w:t>
      </w:r>
    </w:p>
    <w:p w14:paraId="1096CD76" w14:textId="6EEEB10A" w:rsidR="00EB3F88" w:rsidRPr="00EB3F88" w:rsidRDefault="00EB3F88" w:rsidP="00EB3F88">
      <w:pPr>
        <w:pStyle w:val="ListBullet2"/>
      </w:pPr>
      <w:r>
        <w:rPr>
          <w:rFonts w:cs="Open Sans"/>
        </w:rPr>
        <w:t>need to progres</w:t>
      </w:r>
      <w:r w:rsidR="006C2812">
        <w:rPr>
          <w:rFonts w:cs="Open Sans"/>
        </w:rPr>
        <w:t>s</w:t>
      </w:r>
      <w:r>
        <w:rPr>
          <w:rFonts w:cs="Open Sans"/>
        </w:rPr>
        <w:t xml:space="preserve"> data development and data sharing which is needed for these reforms.</w:t>
      </w:r>
      <w:r>
        <w:rPr>
          <w:rFonts w:cs="Open Sans"/>
        </w:rPr>
        <w:br/>
      </w:r>
    </w:p>
    <w:p w14:paraId="52A31C97" w14:textId="12F7ED75" w:rsidR="00EB3F88" w:rsidRPr="00EB3F88" w:rsidRDefault="007F3E20" w:rsidP="00EB3F88">
      <w:pPr>
        <w:jc w:val="center"/>
      </w:pPr>
      <w:r w:rsidRPr="00AA6465">
        <w:rPr>
          <w:noProof/>
          <w:sz w:val="36"/>
          <w:szCs w:val="36"/>
        </w:rPr>
        <w:drawing>
          <wp:inline distT="0" distB="0" distL="0" distR="0" wp14:anchorId="4C5D6E4E" wp14:editId="126FED89">
            <wp:extent cx="849630" cy="422910"/>
            <wp:effectExtent l="0" t="0" r="1270" b="0"/>
            <wp:docPr id="29278427" name="Picture 292784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70363" name="Picture 946870363">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397" r="-1664"/>
                    <a:stretch/>
                  </pic:blipFill>
                  <pic:spPr bwMode="auto">
                    <a:xfrm>
                      <a:off x="0" y="0"/>
                      <a:ext cx="849630" cy="422910"/>
                    </a:xfrm>
                    <a:prstGeom prst="rect">
                      <a:avLst/>
                    </a:prstGeom>
                    <a:ln>
                      <a:noFill/>
                    </a:ln>
                    <a:extLst>
                      <a:ext uri="{53640926-AAD7-44D8-BBD7-CCE9431645EC}">
                        <a14:shadowObscured xmlns:a14="http://schemas.microsoft.com/office/drawing/2010/main"/>
                      </a:ext>
                    </a:extLst>
                  </pic:spPr>
                </pic:pic>
              </a:graphicData>
            </a:graphic>
          </wp:inline>
        </w:drawing>
      </w:r>
      <w:r w:rsidR="00EB3F88" w:rsidRPr="00AA6465">
        <w:rPr>
          <w:noProof/>
        </w:rPr>
        <w:drawing>
          <wp:inline distT="0" distB="0" distL="0" distR="0" wp14:anchorId="70AC80C0" wp14:editId="63E86980">
            <wp:extent cx="1490196" cy="516255"/>
            <wp:effectExtent l="0" t="0" r="0" b="0"/>
            <wp:docPr id="2087318971" name="Picture 2087318971" descr="Read the report link to websi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18971" name="Picture 2087318971" descr="Read the report link to website">
                      <a:hlinkClick r:id="rId20"/>
                    </pic:cNvPr>
                    <pic:cNvPicPr/>
                  </pic:nvPicPr>
                  <pic:blipFill rotWithShape="1">
                    <a:blip r:embed="rId21" cstate="print">
                      <a:extLst>
                        <a:ext uri="{28A0092B-C50C-407E-A947-70E740481C1C}">
                          <a14:useLocalDpi xmlns:a14="http://schemas.microsoft.com/office/drawing/2010/main" val="0"/>
                        </a:ext>
                      </a:extLst>
                    </a:blip>
                    <a:srcRect l="-6841" t="-37787" r="-11189" b="-29554"/>
                    <a:stretch/>
                  </pic:blipFill>
                  <pic:spPr bwMode="auto">
                    <a:xfrm>
                      <a:off x="0" y="0"/>
                      <a:ext cx="1523520" cy="527800"/>
                    </a:xfrm>
                    <a:prstGeom prst="rect">
                      <a:avLst/>
                    </a:prstGeom>
                    <a:ln>
                      <a:noFill/>
                    </a:ln>
                    <a:extLst>
                      <a:ext uri="{53640926-AAD7-44D8-BBD7-CCE9431645EC}">
                        <a14:shadowObscured xmlns:a14="http://schemas.microsoft.com/office/drawing/2010/main"/>
                      </a:ext>
                    </a:extLst>
                  </pic:spPr>
                </pic:pic>
              </a:graphicData>
            </a:graphic>
          </wp:inline>
        </w:drawing>
      </w:r>
    </w:p>
    <w:sectPr w:rsidR="00EB3F88" w:rsidRPr="00EB3F88" w:rsidSect="001C7C66">
      <w:headerReference w:type="default" r:id="rId29"/>
      <w:pgSz w:w="11906" w:h="16838"/>
      <w:pgMar w:top="2693" w:right="1134" w:bottom="1701" w:left="1134" w:header="284" w:footer="56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BC9D0" w14:textId="77777777" w:rsidR="001C7C66" w:rsidRDefault="001C7C66" w:rsidP="00BF738A">
      <w:pPr>
        <w:spacing w:after="0" w:line="240" w:lineRule="auto"/>
      </w:pPr>
      <w:r>
        <w:separator/>
      </w:r>
    </w:p>
  </w:endnote>
  <w:endnote w:type="continuationSeparator" w:id="0">
    <w:p w14:paraId="3CC7C1ED" w14:textId="77777777" w:rsidR="001C7C66" w:rsidRDefault="001C7C66" w:rsidP="00BF738A">
      <w:pPr>
        <w:spacing w:after="0" w:line="240" w:lineRule="auto"/>
      </w:pPr>
      <w:r>
        <w:continuationSeparator/>
      </w:r>
    </w:p>
  </w:endnote>
  <w:endnote w:type="continuationNotice" w:id="1">
    <w:p w14:paraId="5B03B96F" w14:textId="77777777" w:rsidR="001C7C66" w:rsidRDefault="001C7C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Tragic Marker">
    <w:altName w:val="Calibri"/>
    <w:panose1 w:val="00000000000000000000"/>
    <w:charset w:val="00"/>
    <w:family w:val="auto"/>
    <w:notTrueType/>
    <w:pitch w:val="variable"/>
    <w:sig w:usb0="00000003" w:usb1="00000000" w:usb2="00000000" w:usb3="00000000" w:csb0="00000001" w:csb1="00000000"/>
  </w:font>
  <w:font w:name="Open Sans SemiBold">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DADA8" w14:textId="77777777" w:rsidR="00AD5A41" w:rsidRDefault="00AD5A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6286E" w14:textId="209C0036" w:rsidR="00002CE3" w:rsidRPr="00AE7C97" w:rsidRDefault="00935A3F" w:rsidP="007A1C3E">
    <w:pPr>
      <w:tabs>
        <w:tab w:val="left" w:pos="2552"/>
        <w:tab w:val="right" w:pos="9072"/>
      </w:tabs>
      <w:spacing w:before="600" w:after="100" w:afterAutospacing="1" w:line="260" w:lineRule="atLeast"/>
      <w:ind w:left="57" w:right="57"/>
      <w:jc w:val="right"/>
      <w:rPr>
        <w:rFonts w:ascii="Arial" w:eastAsia="Times New Roman" w:hAnsi="Arial" w:cs="Arial"/>
        <w:kern w:val="16"/>
        <w:lang w:eastAsia="en-AU"/>
      </w:rPr>
    </w:pPr>
    <w:r>
      <w:rPr>
        <w:rFonts w:ascii="Arial" w:eastAsia="Times New Roman" w:hAnsi="Arial" w:cs="Arial"/>
        <w:b/>
        <w:bCs/>
        <w:noProof/>
        <w:color w:val="265A9A" w:themeColor="background2"/>
        <w:kern w:val="16"/>
        <w:sz w:val="20"/>
        <w:szCs w:val="20"/>
        <w:lang w:eastAsia="en-AU"/>
      </w:rPr>
      <w:drawing>
        <wp:anchor distT="0" distB="0" distL="114300" distR="114300" simplePos="0" relativeHeight="251658244" behindDoc="1" locked="0" layoutInCell="1" allowOverlap="1" wp14:anchorId="32FE430A" wp14:editId="466F749A">
          <wp:simplePos x="0" y="0"/>
          <wp:positionH relativeFrom="column">
            <wp:posOffset>-720091</wp:posOffset>
          </wp:positionH>
          <wp:positionV relativeFrom="paragraph">
            <wp:posOffset>314748</wp:posOffset>
          </wp:positionV>
          <wp:extent cx="7552800" cy="741600"/>
          <wp:effectExtent l="0" t="0" r="0" b="0"/>
          <wp:wrapNone/>
          <wp:docPr id="8802740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27294"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2800" cy="741600"/>
                  </a:xfrm>
                  <a:prstGeom prst="rect">
                    <a:avLst/>
                  </a:prstGeom>
                </pic:spPr>
              </pic:pic>
            </a:graphicData>
          </a:graphic>
          <wp14:sizeRelH relativeFrom="page">
            <wp14:pctWidth>0</wp14:pctWidth>
          </wp14:sizeRelH>
          <wp14:sizeRelV relativeFrom="page">
            <wp14:pctHeight>0</wp14:pctHeight>
          </wp14:sizeRelV>
        </wp:anchor>
      </w:drawing>
    </w:r>
    <w:r w:rsidR="007A1C3E">
      <w:rPr>
        <w:rFonts w:ascii="Arial" w:eastAsia="Times New Roman" w:hAnsi="Arial" w:cs="Arial"/>
        <w:b/>
        <w:bCs/>
        <w:noProof/>
        <w:color w:val="265A9A" w:themeColor="background2"/>
        <w:kern w:val="16"/>
        <w:sz w:val="20"/>
        <w:szCs w:val="20"/>
        <w:lang w:eastAsia="en-AU"/>
      </w:rPr>
      <mc:AlternateContent>
        <mc:Choice Requires="wps">
          <w:drawing>
            <wp:anchor distT="0" distB="0" distL="114300" distR="114300" simplePos="0" relativeHeight="251658245" behindDoc="0" locked="0" layoutInCell="1" allowOverlap="1" wp14:anchorId="3F1ADFC5" wp14:editId="28667B92">
              <wp:simplePos x="0" y="0"/>
              <wp:positionH relativeFrom="column">
                <wp:posOffset>2129790</wp:posOffset>
              </wp:positionH>
              <wp:positionV relativeFrom="paragraph">
                <wp:posOffset>437091</wp:posOffset>
              </wp:positionV>
              <wp:extent cx="4293152" cy="626533"/>
              <wp:effectExtent l="0" t="0" r="0" b="0"/>
              <wp:wrapNone/>
              <wp:docPr id="849237276" name="Text Box 2"/>
              <wp:cNvGraphicFramePr/>
              <a:graphic xmlns:a="http://schemas.openxmlformats.org/drawingml/2006/main">
                <a:graphicData uri="http://schemas.microsoft.com/office/word/2010/wordprocessingShape">
                  <wps:wsp>
                    <wps:cNvSpPr txBox="1"/>
                    <wps:spPr>
                      <a:xfrm>
                        <a:off x="0" y="0"/>
                        <a:ext cx="4293152" cy="626533"/>
                      </a:xfrm>
                      <a:prstGeom prst="rect">
                        <a:avLst/>
                      </a:prstGeom>
                      <a:noFill/>
                      <a:ln w="6350">
                        <a:noFill/>
                      </a:ln>
                    </wps:spPr>
                    <wps:txbx>
                      <w:txbxContent>
                        <w:p w14:paraId="5E430322" w14:textId="57025E89" w:rsidR="007A1C3E" w:rsidRPr="00921716" w:rsidRDefault="007A1C3E" w:rsidP="00935A3F">
                          <w:pPr>
                            <w:jc w:val="right"/>
                            <w:rPr>
                              <w:color w:val="E2B182"/>
                              <w:sz w:val="18"/>
                              <w:szCs w:val="18"/>
                            </w:rPr>
                          </w:pPr>
                          <w:r w:rsidRPr="00935A3F">
                            <w:rPr>
                              <w:color w:val="FFFFFF" w:themeColor="background1"/>
                              <w:sz w:val="18"/>
                              <w:szCs w:val="18"/>
                            </w:rPr>
                            <w:t>REVIEW OF THE NATIONAL AGREEMENT ON CLOSING THE GAP</w:t>
                          </w:r>
                          <w:r w:rsidR="00935A3F">
                            <w:rPr>
                              <w:color w:val="FFFFFF" w:themeColor="background1"/>
                              <w:sz w:val="18"/>
                              <w:szCs w:val="18"/>
                            </w:rPr>
                            <w:br/>
                          </w:r>
                          <w:hyperlink r:id="rId2" w:history="1">
                            <w:r w:rsidRPr="00921716">
                              <w:rPr>
                                <w:rStyle w:val="Hyperlink"/>
                                <w:color w:val="E2B182"/>
                                <w:sz w:val="20"/>
                                <w:szCs w:val="20"/>
                              </w:rPr>
                              <w:t>pc.gov.au/ctg-review</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1ADFC5" id="_x0000_t202" coordsize="21600,21600" o:spt="202" path="m,l,21600r21600,l21600,xe">
              <v:stroke joinstyle="miter"/>
              <v:path gradientshapeok="t" o:connecttype="rect"/>
            </v:shapetype>
            <v:shape id="Text Box 2" o:spid="_x0000_s1026" type="#_x0000_t202" style="position:absolute;left:0;text-align:left;margin-left:167.7pt;margin-top:34.4pt;width:338.05pt;height:49.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" filled="f" stroked="f" strokeweight=".5pt">
              <v:textbox>
                <w:txbxContent>
                  <w:p w14:paraId="5E430322" w14:textId="57025E89" w:rsidR="007A1C3E" w:rsidRPr="00921716" w:rsidRDefault="007A1C3E" w:rsidP="00935A3F">
                    <w:pPr>
                      <w:jc w:val="right"/>
                      <w:rPr>
                        <w:color w:val="E2B182"/>
                        <w:sz w:val="18"/>
                        <w:szCs w:val="18"/>
                      </w:rPr>
                    </w:pPr>
                    <w:r w:rsidRPr="00935A3F">
                      <w:rPr>
                        <w:color w:val="FFFFFF" w:themeColor="background1"/>
                        <w:sz w:val="18"/>
                        <w:szCs w:val="18"/>
                      </w:rPr>
                      <w:t>REVIEW OF THE NATIONAL AGREEMENT ON CLOSING THE GAP</w:t>
                    </w:r>
                    <w:r w:rsidR="00935A3F">
                      <w:rPr>
                        <w:color w:val="FFFFFF" w:themeColor="background1"/>
                        <w:sz w:val="18"/>
                        <w:szCs w:val="18"/>
                      </w:rPr>
                      <w:br/>
                    </w:r>
                    <w:hyperlink r:id="rId3" w:history="1">
                      <w:r w:rsidRPr="00921716">
                        <w:rPr>
                          <w:rStyle w:val="Hyperlink"/>
                          <w:color w:val="E2B182"/>
                          <w:sz w:val="20"/>
                          <w:szCs w:val="20"/>
                        </w:rPr>
                        <w:t>pc.gov.au/ctg-review</w:t>
                      </w:r>
                    </w:hyperlink>
                  </w:p>
                </w:txbxContent>
              </v:textbox>
            </v:shape>
          </w:pict>
        </mc:Fallback>
      </mc:AlternateContent>
    </w:r>
    <w:r w:rsidR="00002CE3" w:rsidRPr="00A82632">
      <w:rPr>
        <w:rStyle w:val="A5"/>
        <w:rFonts w:ascii="Open Sans SemiBold" w:hAnsi="Open Sans SemiBold" w:cs="Open Sans SemiBold"/>
        <w:sz w:val="17"/>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F3436" w14:textId="77777777" w:rsidR="00AD5A41" w:rsidRDefault="00AD5A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CBCB3" w14:textId="77777777" w:rsidR="001C7C66" w:rsidRDefault="001C7C66" w:rsidP="00BF738A">
      <w:pPr>
        <w:spacing w:after="0" w:line="240" w:lineRule="auto"/>
      </w:pPr>
      <w:r>
        <w:separator/>
      </w:r>
    </w:p>
  </w:footnote>
  <w:footnote w:type="continuationSeparator" w:id="0">
    <w:p w14:paraId="678DDE6D" w14:textId="77777777" w:rsidR="001C7C66" w:rsidRDefault="001C7C66" w:rsidP="00BF738A">
      <w:pPr>
        <w:spacing w:after="0" w:line="240" w:lineRule="auto"/>
      </w:pPr>
      <w:r>
        <w:continuationSeparator/>
      </w:r>
    </w:p>
  </w:footnote>
  <w:footnote w:type="continuationNotice" w:id="1">
    <w:p w14:paraId="7C75BC3F" w14:textId="77777777" w:rsidR="001C7C66" w:rsidRDefault="001C7C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12C65" w14:textId="77777777" w:rsidR="00AD5A41" w:rsidRDefault="00AD5A4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C7B39" w14:textId="2D746D8D" w:rsidR="009D4E71" w:rsidRPr="00C83316" w:rsidRDefault="009D4E71" w:rsidP="00C7347C">
    <w:pPr>
      <w:pStyle w:val="Heading2"/>
      <w:spacing w:before="0" w:after="0" w:line="240" w:lineRule="auto"/>
      <w:rPr>
        <w:color w:val="auto"/>
        <w:sz w:val="56"/>
        <w:szCs w:val="56"/>
      </w:rPr>
    </w:pPr>
    <w:r>
      <w:rPr>
        <w:noProof/>
        <w:sz w:val="56"/>
        <w:szCs w:val="56"/>
      </w:rPr>
      <w:drawing>
        <wp:inline distT="0" distB="0" distL="0" distR="0" wp14:anchorId="073B462C" wp14:editId="669B890C">
          <wp:extent cx="2130804" cy="507335"/>
          <wp:effectExtent l="0" t="0" r="3175" b="1270"/>
          <wp:docPr id="2047283583" name="Picture 1886279847" descr="Australian Government Productivity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79847" name="Picture 1886279847" descr="Australian Government Productivity Commission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46475" cy="534876"/>
                  </a:xfrm>
                  <a:prstGeom prst="rect">
                    <a:avLst/>
                  </a:prstGeom>
                </pic:spPr>
              </pic:pic>
            </a:graphicData>
          </a:graphic>
        </wp:inline>
      </w:drawing>
    </w:r>
    <w:r w:rsidR="0099480B" w:rsidRPr="00C83316">
      <w:rPr>
        <w:noProof/>
        <w:color w:val="auto"/>
        <w:sz w:val="56"/>
        <w:szCs w:val="56"/>
      </w:rPr>
      <w:drawing>
        <wp:anchor distT="0" distB="0" distL="114300" distR="114300" simplePos="0" relativeHeight="251658249" behindDoc="1" locked="0" layoutInCell="1" allowOverlap="1" wp14:anchorId="18748A87" wp14:editId="25B24AA2">
          <wp:simplePos x="0" y="0"/>
          <wp:positionH relativeFrom="page">
            <wp:align>left</wp:align>
          </wp:positionH>
          <wp:positionV relativeFrom="page">
            <wp:align>top</wp:align>
          </wp:positionV>
          <wp:extent cx="7556400" cy="1702800"/>
          <wp:effectExtent l="0" t="0" r="635" b="0"/>
          <wp:wrapNone/>
          <wp:docPr id="134661626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16263" name="Picture 3">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56400" cy="1702800"/>
                  </a:xfrm>
                  <a:prstGeom prst="rect">
                    <a:avLst/>
                  </a:prstGeom>
                </pic:spPr>
              </pic:pic>
            </a:graphicData>
          </a:graphic>
          <wp14:sizeRelH relativeFrom="page">
            <wp14:pctWidth>0</wp14:pctWidth>
          </wp14:sizeRelH>
          <wp14:sizeRelV relativeFrom="page">
            <wp14:pctHeight>0</wp14:pctHeight>
          </wp14:sizeRelV>
        </wp:anchor>
      </w:drawing>
    </w:r>
  </w:p>
  <w:p w14:paraId="5E801D49" w14:textId="679AD177" w:rsidR="009D4E71" w:rsidRPr="009D4E71" w:rsidRDefault="009D4E71" w:rsidP="00A43774">
    <w:pPr>
      <w:pStyle w:val="Heading2"/>
      <w:spacing w:before="360" w:after="0" w:line="240" w:lineRule="auto"/>
      <w:rPr>
        <w:color w:val="FFFFFF" w:themeColor="background1"/>
        <w:sz w:val="40"/>
        <w:szCs w:val="40"/>
      </w:rPr>
    </w:pPr>
    <w:r>
      <w:rPr>
        <w:color w:val="FFFFFF" w:themeColor="background1"/>
        <w:sz w:val="40"/>
        <w:szCs w:val="40"/>
      </w:rPr>
      <w:t>Socio-economic outcome areas</w:t>
    </w:r>
  </w:p>
  <w:p w14:paraId="73F062CA" w14:textId="418981F4" w:rsidR="009D4E71" w:rsidRPr="009D4E71" w:rsidRDefault="009D4E71" w:rsidP="009D4E71">
    <w:pPr>
      <w:pStyle w:val="Heading1"/>
      <w:spacing w:before="120" w:after="0" w:line="240" w:lineRule="auto"/>
      <w:rPr>
        <w:color w:val="FFFFFF" w:themeColor="background1"/>
        <w:sz w:val="29"/>
        <w:szCs w:val="29"/>
      </w:rPr>
    </w:pPr>
    <w:r w:rsidRPr="009D4E71">
      <w:rPr>
        <w:color w:val="FFFFFF" w:themeColor="background1"/>
        <w:sz w:val="29"/>
        <w:szCs w:val="29"/>
      </w:rPr>
      <w:t>Assessing progress in the socio-economic outcome (SEO) areas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2DC33" w14:textId="77777777" w:rsidR="002436B4" w:rsidRPr="00AD5A41" w:rsidRDefault="00375DF5" w:rsidP="00C7347C">
    <w:pPr>
      <w:pStyle w:val="Heading2"/>
      <w:spacing w:before="0" w:after="0" w:line="240" w:lineRule="auto"/>
      <w:rPr>
        <w:color w:val="auto"/>
        <w:sz w:val="56"/>
        <w:szCs w:val="56"/>
      </w:rPr>
    </w:pPr>
    <w:r w:rsidRPr="00C70C04">
      <w:rPr>
        <w:noProof/>
        <w:color w:val="FFFFFF" w:themeColor="background1"/>
        <w:sz w:val="56"/>
        <w:szCs w:val="56"/>
      </w:rPr>
      <w:drawing>
        <wp:anchor distT="0" distB="0" distL="114300" distR="114300" simplePos="0" relativeHeight="251658243" behindDoc="1" locked="0" layoutInCell="1" allowOverlap="1" wp14:anchorId="3892B733" wp14:editId="0BDF644C">
          <wp:simplePos x="0" y="0"/>
          <wp:positionH relativeFrom="column">
            <wp:posOffset>-720090</wp:posOffset>
          </wp:positionH>
          <wp:positionV relativeFrom="paragraph">
            <wp:posOffset>-204194</wp:posOffset>
          </wp:positionV>
          <wp:extent cx="7553325" cy="1731564"/>
          <wp:effectExtent l="0" t="0" r="3175" b="0"/>
          <wp:wrapNone/>
          <wp:docPr id="794271594" name="Picture 794271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92743" name="Picture 127109274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5425" b="5425"/>
                  <a:stretch>
                    <a:fillRect/>
                  </a:stretch>
                </pic:blipFill>
                <pic:spPr bwMode="auto">
                  <a:xfrm>
                    <a:off x="0" y="0"/>
                    <a:ext cx="7553325" cy="1731564"/>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0C04">
      <w:rPr>
        <w:noProof/>
        <w:sz w:val="56"/>
        <w:szCs w:val="56"/>
      </w:rPr>
      <w:drawing>
        <wp:inline distT="0" distB="0" distL="0" distR="0" wp14:anchorId="726B4F65" wp14:editId="20F52DB4">
          <wp:extent cx="2130804" cy="507335"/>
          <wp:effectExtent l="0" t="0" r="3175" b="1270"/>
          <wp:docPr id="651900499" name="Picture 1886279847" descr="Australian Government Productivity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79847" name="Picture 1886279847" descr="Australian Government Productivity Commission logo"/>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46475" cy="534876"/>
                  </a:xfrm>
                  <a:prstGeom prst="rect">
                    <a:avLst/>
                  </a:prstGeom>
                </pic:spPr>
              </pic:pic>
            </a:graphicData>
          </a:graphic>
        </wp:inline>
      </w:drawing>
    </w:r>
  </w:p>
  <w:p w14:paraId="6E963457" w14:textId="77777777" w:rsidR="00BF738A" w:rsidRDefault="00214E04" w:rsidP="00A43774">
    <w:pPr>
      <w:pStyle w:val="Heading2"/>
      <w:spacing w:before="360" w:after="0" w:line="240" w:lineRule="auto"/>
      <w:rPr>
        <w:color w:val="FFFFFF" w:themeColor="background1"/>
        <w:sz w:val="56"/>
        <w:szCs w:val="56"/>
      </w:rPr>
    </w:pPr>
    <w:r>
      <w:rPr>
        <w:color w:val="FFFFFF" w:themeColor="background1"/>
        <w:sz w:val="44"/>
        <w:szCs w:val="44"/>
      </w:rPr>
      <w:t>National Agreement on Closing the Gap</w:t>
    </w:r>
  </w:p>
  <w:p w14:paraId="1362E712" w14:textId="77777777" w:rsidR="00C70C04" w:rsidRPr="00703EF8" w:rsidRDefault="00214E04" w:rsidP="00A43774">
    <w:pPr>
      <w:pStyle w:val="Heading1"/>
      <w:spacing w:before="120" w:after="0" w:line="240" w:lineRule="auto"/>
      <w:rPr>
        <w:color w:val="FFFFFF" w:themeColor="background1"/>
      </w:rPr>
    </w:pPr>
    <w:r w:rsidRPr="00703EF8">
      <w:rPr>
        <w:color w:val="FFFFFF" w:themeColor="background1"/>
      </w:rPr>
      <w:t>Approach to the Review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FAA79" w14:textId="77777777" w:rsidR="00AD5A41" w:rsidRDefault="00AD5A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72185" w14:textId="11A7174D" w:rsidR="00F4567E" w:rsidRPr="006E0E02" w:rsidRDefault="00CB3EE4" w:rsidP="00C7347C">
    <w:pPr>
      <w:pStyle w:val="Heading2"/>
      <w:spacing w:before="0" w:after="0" w:line="240" w:lineRule="auto"/>
      <w:rPr>
        <w:color w:val="auto"/>
        <w:sz w:val="56"/>
        <w:szCs w:val="56"/>
      </w:rPr>
    </w:pPr>
    <w:r>
      <w:rPr>
        <w:noProof/>
        <w:color w:val="FFFFFF" w:themeColor="background1"/>
        <w:sz w:val="56"/>
        <w:szCs w:val="56"/>
      </w:rPr>
      <w:drawing>
        <wp:anchor distT="0" distB="0" distL="114300" distR="114300" simplePos="0" relativeHeight="251658241" behindDoc="1" locked="0" layoutInCell="1" allowOverlap="1" wp14:anchorId="3764F4E7" wp14:editId="6477099F">
          <wp:simplePos x="0" y="0"/>
          <wp:positionH relativeFrom="column">
            <wp:posOffset>-720090</wp:posOffset>
          </wp:positionH>
          <wp:positionV relativeFrom="paragraph">
            <wp:posOffset>-220097</wp:posOffset>
          </wp:positionV>
          <wp:extent cx="7688580" cy="1746289"/>
          <wp:effectExtent l="0" t="0" r="0" b="6350"/>
          <wp:wrapNone/>
          <wp:docPr id="122130114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301141"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47979" cy="1782493"/>
                  </a:xfrm>
                  <a:prstGeom prst="rect">
                    <a:avLst/>
                  </a:prstGeom>
                </pic:spPr>
              </pic:pic>
            </a:graphicData>
          </a:graphic>
          <wp14:sizeRelH relativeFrom="margin">
            <wp14:pctWidth>0</wp14:pctWidth>
          </wp14:sizeRelH>
          <wp14:sizeRelV relativeFrom="margin">
            <wp14:pctHeight>0</wp14:pctHeight>
          </wp14:sizeRelV>
        </wp:anchor>
      </w:drawing>
    </w:r>
    <w:r w:rsidR="00F4567E">
      <w:rPr>
        <w:noProof/>
        <w:sz w:val="56"/>
        <w:szCs w:val="56"/>
      </w:rPr>
      <w:drawing>
        <wp:inline distT="0" distB="0" distL="0" distR="0" wp14:anchorId="14415987" wp14:editId="5235972D">
          <wp:extent cx="2130804" cy="507335"/>
          <wp:effectExtent l="0" t="0" r="3175" b="1270"/>
          <wp:docPr id="105019965" name="Picture 1886279847" descr="Australian Government Productivity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79847" name="Picture 1886279847" descr="Australian Government Productivity Commission logo"/>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46475" cy="534876"/>
                  </a:xfrm>
                  <a:prstGeom prst="rect">
                    <a:avLst/>
                  </a:prstGeom>
                </pic:spPr>
              </pic:pic>
            </a:graphicData>
          </a:graphic>
        </wp:inline>
      </w:drawing>
    </w:r>
  </w:p>
  <w:p w14:paraId="02FDADC8" w14:textId="287EEE83" w:rsidR="00F4567E" w:rsidRDefault="00F4567E" w:rsidP="00A43774">
    <w:pPr>
      <w:pStyle w:val="Heading2"/>
      <w:spacing w:before="360" w:after="0" w:line="240" w:lineRule="auto"/>
      <w:rPr>
        <w:color w:val="FFFFFF" w:themeColor="background1"/>
        <w:sz w:val="56"/>
        <w:szCs w:val="56"/>
      </w:rPr>
    </w:pPr>
    <w:r>
      <w:rPr>
        <w:color w:val="FFFFFF" w:themeColor="background1"/>
        <w:sz w:val="44"/>
        <w:szCs w:val="44"/>
      </w:rPr>
      <w:t>Priority reform 1</w:t>
    </w:r>
  </w:p>
  <w:p w14:paraId="5900898D" w14:textId="40F83318" w:rsidR="00F4567E" w:rsidRPr="00703EF8" w:rsidRDefault="00F4567E" w:rsidP="00A43774">
    <w:pPr>
      <w:pStyle w:val="Heading1"/>
      <w:spacing w:before="120" w:after="0" w:line="240" w:lineRule="auto"/>
      <w:rPr>
        <w:color w:val="FFFFFF" w:themeColor="background1"/>
      </w:rPr>
    </w:pPr>
    <w:r>
      <w:rPr>
        <w:color w:val="FFFFFF" w:themeColor="background1"/>
      </w:rPr>
      <w:t>Formal partnerships and shared decision-making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3BDD" w14:textId="4AFC5AD5" w:rsidR="00F4567E" w:rsidRPr="00792A9D" w:rsidRDefault="00E84ACC" w:rsidP="00C7347C">
    <w:pPr>
      <w:pStyle w:val="Heading2"/>
      <w:spacing w:before="0" w:after="0" w:line="240" w:lineRule="auto"/>
      <w:rPr>
        <w:color w:val="auto"/>
        <w:sz w:val="56"/>
        <w:szCs w:val="56"/>
      </w:rPr>
    </w:pPr>
    <w:r>
      <w:rPr>
        <w:noProof/>
        <w:color w:val="FFFFFF" w:themeColor="background1"/>
      </w:rPr>
      <w:drawing>
        <wp:anchor distT="0" distB="0" distL="114300" distR="114300" simplePos="0" relativeHeight="251658242" behindDoc="1" locked="0" layoutInCell="1" allowOverlap="1" wp14:anchorId="41FB3492" wp14:editId="73ECF4C4">
          <wp:simplePos x="0" y="0"/>
          <wp:positionH relativeFrom="column">
            <wp:posOffset>-720090</wp:posOffset>
          </wp:positionH>
          <wp:positionV relativeFrom="paragraph">
            <wp:posOffset>-172389</wp:posOffset>
          </wp:positionV>
          <wp:extent cx="7543800" cy="1677670"/>
          <wp:effectExtent l="0" t="0" r="0" b="0"/>
          <wp:wrapNone/>
          <wp:docPr id="162057985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79856"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1" t="5066" r="21" b="8444"/>
                  <a:stretch/>
                </pic:blipFill>
                <pic:spPr bwMode="auto">
                  <a:xfrm>
                    <a:off x="0" y="0"/>
                    <a:ext cx="7544213" cy="16777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567E">
      <w:rPr>
        <w:noProof/>
        <w:sz w:val="56"/>
        <w:szCs w:val="56"/>
      </w:rPr>
      <w:drawing>
        <wp:inline distT="0" distB="0" distL="0" distR="0" wp14:anchorId="5ABB9BBC" wp14:editId="46BF68B0">
          <wp:extent cx="2130804" cy="507335"/>
          <wp:effectExtent l="0" t="0" r="3175" b="1270"/>
          <wp:docPr id="2113616072" name="Picture 1886279847" descr="Australian Government Productivity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79847" name="Picture 1886279847" descr="Australian Government Productivity Commission logo"/>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46475" cy="534876"/>
                  </a:xfrm>
                  <a:prstGeom prst="rect">
                    <a:avLst/>
                  </a:prstGeom>
                </pic:spPr>
              </pic:pic>
            </a:graphicData>
          </a:graphic>
        </wp:inline>
      </w:drawing>
    </w:r>
  </w:p>
  <w:p w14:paraId="419551C5" w14:textId="07C1BD74" w:rsidR="00F4567E" w:rsidRDefault="00F4567E" w:rsidP="00A43774">
    <w:pPr>
      <w:pStyle w:val="Heading2"/>
      <w:spacing w:before="360" w:after="0" w:line="240" w:lineRule="auto"/>
      <w:rPr>
        <w:color w:val="FFFFFF" w:themeColor="background1"/>
        <w:sz w:val="56"/>
        <w:szCs w:val="56"/>
      </w:rPr>
    </w:pPr>
    <w:r>
      <w:rPr>
        <w:color w:val="FFFFFF" w:themeColor="background1"/>
        <w:sz w:val="44"/>
        <w:szCs w:val="44"/>
      </w:rPr>
      <w:t xml:space="preserve">Priority Reform </w:t>
    </w:r>
    <w:r w:rsidR="00691A32">
      <w:rPr>
        <w:color w:val="FFFFFF" w:themeColor="background1"/>
        <w:sz w:val="44"/>
        <w:szCs w:val="44"/>
      </w:rPr>
      <w:t>2</w:t>
    </w:r>
  </w:p>
  <w:p w14:paraId="186ECD28" w14:textId="39D211A9" w:rsidR="00F4567E" w:rsidRPr="00703EF8" w:rsidRDefault="00650408" w:rsidP="00A43774">
    <w:pPr>
      <w:pStyle w:val="Heading1"/>
      <w:spacing w:before="120" w:after="0" w:line="240" w:lineRule="auto"/>
      <w:rPr>
        <w:color w:val="FFFFFF" w:themeColor="background1"/>
      </w:rPr>
    </w:pPr>
    <w:r>
      <w:rPr>
        <w:color w:val="FFFFFF" w:themeColor="background1"/>
      </w:rPr>
      <w:t>Strengthening the community-controlled sector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58856" w14:textId="6BF19BAA" w:rsidR="00656EEB" w:rsidRPr="00792A9D" w:rsidRDefault="00D11239" w:rsidP="00C7347C">
    <w:pPr>
      <w:pStyle w:val="Heading2"/>
      <w:spacing w:before="0" w:after="0" w:line="240" w:lineRule="auto"/>
      <w:rPr>
        <w:color w:val="auto"/>
        <w:sz w:val="56"/>
        <w:szCs w:val="56"/>
      </w:rPr>
    </w:pPr>
    <w:r>
      <w:rPr>
        <w:noProof/>
        <w:color w:val="FFFFFF" w:themeColor="background1"/>
      </w:rPr>
      <w:drawing>
        <wp:anchor distT="0" distB="0" distL="114300" distR="114300" simplePos="0" relativeHeight="251658246" behindDoc="1" locked="0" layoutInCell="1" allowOverlap="1" wp14:anchorId="34B6E282" wp14:editId="3A5BEF02">
          <wp:simplePos x="0" y="0"/>
          <wp:positionH relativeFrom="column">
            <wp:posOffset>-720090</wp:posOffset>
          </wp:positionH>
          <wp:positionV relativeFrom="paragraph">
            <wp:posOffset>-203489</wp:posOffset>
          </wp:positionV>
          <wp:extent cx="7552135" cy="1723885"/>
          <wp:effectExtent l="0" t="0" r="0" b="3810"/>
          <wp:wrapNone/>
          <wp:docPr id="27429585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95855"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15124" cy="1761090"/>
                  </a:xfrm>
                  <a:prstGeom prst="rect">
                    <a:avLst/>
                  </a:prstGeom>
                </pic:spPr>
              </pic:pic>
            </a:graphicData>
          </a:graphic>
          <wp14:sizeRelH relativeFrom="page">
            <wp14:pctWidth>0</wp14:pctWidth>
          </wp14:sizeRelH>
          <wp14:sizeRelV relativeFrom="page">
            <wp14:pctHeight>0</wp14:pctHeight>
          </wp14:sizeRelV>
        </wp:anchor>
      </w:drawing>
    </w:r>
    <w:r w:rsidR="00656EEB">
      <w:rPr>
        <w:noProof/>
        <w:sz w:val="56"/>
        <w:szCs w:val="56"/>
      </w:rPr>
      <w:drawing>
        <wp:inline distT="0" distB="0" distL="0" distR="0" wp14:anchorId="74DCCDD9" wp14:editId="2EEDAD50">
          <wp:extent cx="2130804" cy="507335"/>
          <wp:effectExtent l="0" t="0" r="3175" b="1270"/>
          <wp:docPr id="1911885661" name="Picture 1886279847" descr="Australian Government Productivity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79847" name="Picture 1886279847" descr="Australian Government Productivity Commission logo"/>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46475" cy="534876"/>
                  </a:xfrm>
                  <a:prstGeom prst="rect">
                    <a:avLst/>
                  </a:prstGeom>
                </pic:spPr>
              </pic:pic>
            </a:graphicData>
          </a:graphic>
        </wp:inline>
      </w:drawing>
    </w:r>
  </w:p>
  <w:p w14:paraId="4EBC0E87" w14:textId="0158A944" w:rsidR="00656EEB" w:rsidRDefault="00656EEB" w:rsidP="00A43774">
    <w:pPr>
      <w:pStyle w:val="Heading2"/>
      <w:spacing w:before="360" w:after="0" w:line="240" w:lineRule="auto"/>
      <w:rPr>
        <w:color w:val="FFFFFF" w:themeColor="background1"/>
        <w:sz w:val="56"/>
        <w:szCs w:val="56"/>
      </w:rPr>
    </w:pPr>
    <w:r>
      <w:rPr>
        <w:color w:val="FFFFFF" w:themeColor="background1"/>
        <w:sz w:val="44"/>
        <w:szCs w:val="44"/>
      </w:rPr>
      <w:t xml:space="preserve">Priority Reform </w:t>
    </w:r>
    <w:r w:rsidR="00292690">
      <w:rPr>
        <w:color w:val="FFFFFF" w:themeColor="background1"/>
        <w:sz w:val="44"/>
        <w:szCs w:val="44"/>
      </w:rPr>
      <w:t>3</w:t>
    </w:r>
  </w:p>
  <w:p w14:paraId="1F862F3B" w14:textId="66C14F40" w:rsidR="00656EEB" w:rsidRPr="00703EF8" w:rsidRDefault="00D11239" w:rsidP="00D11239">
    <w:pPr>
      <w:pStyle w:val="Heading1"/>
      <w:spacing w:before="120" w:after="0" w:line="240" w:lineRule="auto"/>
      <w:rPr>
        <w:color w:val="FFFFFF" w:themeColor="background1"/>
      </w:rPr>
    </w:pPr>
    <w:r w:rsidRPr="00D11239">
      <w:rPr>
        <w:color w:val="FFFFFF" w:themeColor="background1"/>
      </w:rPr>
      <w:t>Transforming government organisations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51742" w14:textId="7D66D7AB" w:rsidR="00CB65E7" w:rsidRPr="00792A9D" w:rsidRDefault="004B01ED" w:rsidP="00C7347C">
    <w:pPr>
      <w:pStyle w:val="Heading2"/>
      <w:spacing w:before="0" w:after="0" w:line="240" w:lineRule="auto"/>
      <w:rPr>
        <w:color w:val="auto"/>
        <w:sz w:val="56"/>
        <w:szCs w:val="56"/>
      </w:rPr>
    </w:pPr>
    <w:r>
      <w:rPr>
        <w:noProof/>
        <w:color w:val="FFFFFF" w:themeColor="background1"/>
        <w:sz w:val="56"/>
        <w:szCs w:val="56"/>
      </w:rPr>
      <w:drawing>
        <wp:anchor distT="0" distB="0" distL="114300" distR="114300" simplePos="0" relativeHeight="251658240" behindDoc="1" locked="0" layoutInCell="1" allowOverlap="1" wp14:anchorId="3B452A1D" wp14:editId="149316F2">
          <wp:simplePos x="0" y="0"/>
          <wp:positionH relativeFrom="column">
            <wp:posOffset>-720090</wp:posOffset>
          </wp:positionH>
          <wp:positionV relativeFrom="paragraph">
            <wp:posOffset>-180340</wp:posOffset>
          </wp:positionV>
          <wp:extent cx="7546975" cy="1702435"/>
          <wp:effectExtent l="0" t="0" r="0" b="0"/>
          <wp:wrapNone/>
          <wp:docPr id="118673012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30129"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3605" cy="1710698"/>
                  </a:xfrm>
                  <a:prstGeom prst="rect">
                    <a:avLst/>
                  </a:prstGeom>
                </pic:spPr>
              </pic:pic>
            </a:graphicData>
          </a:graphic>
          <wp14:sizeRelH relativeFrom="page">
            <wp14:pctWidth>0</wp14:pctWidth>
          </wp14:sizeRelH>
          <wp14:sizeRelV relativeFrom="page">
            <wp14:pctHeight>0</wp14:pctHeight>
          </wp14:sizeRelV>
        </wp:anchor>
      </w:drawing>
    </w:r>
    <w:r w:rsidR="00CB65E7">
      <w:rPr>
        <w:noProof/>
        <w:sz w:val="56"/>
        <w:szCs w:val="56"/>
      </w:rPr>
      <w:drawing>
        <wp:inline distT="0" distB="0" distL="0" distR="0" wp14:anchorId="4338EEA3" wp14:editId="6D6CC297">
          <wp:extent cx="2130804" cy="507335"/>
          <wp:effectExtent l="0" t="0" r="3175" b="1270"/>
          <wp:docPr id="1034667880" name="Picture 1886279847" descr="Australian Government Productivity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79847" name="Picture 1886279847" descr="Australian Government Productivity Commission logo"/>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46475" cy="534876"/>
                  </a:xfrm>
                  <a:prstGeom prst="rect">
                    <a:avLst/>
                  </a:prstGeom>
                </pic:spPr>
              </pic:pic>
            </a:graphicData>
          </a:graphic>
        </wp:inline>
      </w:drawing>
    </w:r>
  </w:p>
  <w:p w14:paraId="6E1A2926" w14:textId="10BD4069" w:rsidR="00CB65E7" w:rsidRDefault="00CB65E7" w:rsidP="00A43774">
    <w:pPr>
      <w:pStyle w:val="Heading2"/>
      <w:spacing w:before="360" w:after="0" w:line="240" w:lineRule="auto"/>
      <w:rPr>
        <w:color w:val="FFFFFF" w:themeColor="background1"/>
        <w:sz w:val="56"/>
        <w:szCs w:val="56"/>
      </w:rPr>
    </w:pPr>
    <w:r>
      <w:rPr>
        <w:color w:val="FFFFFF" w:themeColor="background1"/>
        <w:sz w:val="44"/>
        <w:szCs w:val="44"/>
      </w:rPr>
      <w:t>Priority Reform 4</w:t>
    </w:r>
  </w:p>
  <w:p w14:paraId="7CA97F67" w14:textId="67671AEC" w:rsidR="00CB65E7" w:rsidRPr="00703EF8" w:rsidRDefault="00091267" w:rsidP="00091267">
    <w:pPr>
      <w:pStyle w:val="Heading1"/>
      <w:spacing w:before="120" w:after="0" w:line="240" w:lineRule="auto"/>
      <w:rPr>
        <w:color w:val="FFFFFF" w:themeColor="background1"/>
      </w:rPr>
    </w:pPr>
    <w:r w:rsidRPr="00091267">
      <w:rPr>
        <w:color w:val="FFFFFF" w:themeColor="background1"/>
      </w:rPr>
      <w:t>Shared access to data and information at a regional level</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D8925" w14:textId="2F321AD3" w:rsidR="008A3136" w:rsidRPr="00AD5A41" w:rsidRDefault="006861D4" w:rsidP="00C7347C">
    <w:pPr>
      <w:pStyle w:val="Heading2"/>
      <w:spacing w:before="0" w:after="0" w:line="240" w:lineRule="auto"/>
      <w:rPr>
        <w:color w:val="auto"/>
        <w:sz w:val="56"/>
        <w:szCs w:val="56"/>
      </w:rPr>
    </w:pPr>
    <w:r>
      <w:rPr>
        <w:noProof/>
        <w:color w:val="FFFFFF" w:themeColor="background1"/>
        <w:sz w:val="56"/>
        <w:szCs w:val="56"/>
      </w:rPr>
      <w:drawing>
        <wp:anchor distT="0" distB="0" distL="114300" distR="114300" simplePos="0" relativeHeight="251658247" behindDoc="1" locked="0" layoutInCell="1" allowOverlap="1" wp14:anchorId="55A26970" wp14:editId="0CE76FA2">
          <wp:simplePos x="0" y="0"/>
          <wp:positionH relativeFrom="page">
            <wp:posOffset>0</wp:posOffset>
          </wp:positionH>
          <wp:positionV relativeFrom="page">
            <wp:posOffset>0</wp:posOffset>
          </wp:positionV>
          <wp:extent cx="7557770" cy="1702179"/>
          <wp:effectExtent l="0" t="0" r="0" b="0"/>
          <wp:wrapNone/>
          <wp:docPr id="13290412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4125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09427" cy="1736336"/>
                  </a:xfrm>
                  <a:prstGeom prst="rect">
                    <a:avLst/>
                  </a:prstGeom>
                </pic:spPr>
              </pic:pic>
            </a:graphicData>
          </a:graphic>
          <wp14:sizeRelH relativeFrom="page">
            <wp14:pctWidth>0</wp14:pctWidth>
          </wp14:sizeRelH>
          <wp14:sizeRelV relativeFrom="page">
            <wp14:pctHeight>0</wp14:pctHeight>
          </wp14:sizeRelV>
        </wp:anchor>
      </w:drawing>
    </w:r>
    <w:r w:rsidR="008A3136">
      <w:rPr>
        <w:noProof/>
        <w:sz w:val="56"/>
        <w:szCs w:val="56"/>
      </w:rPr>
      <w:drawing>
        <wp:inline distT="0" distB="0" distL="0" distR="0" wp14:anchorId="4CF11C3F" wp14:editId="303BD224">
          <wp:extent cx="2130804" cy="507335"/>
          <wp:effectExtent l="0" t="0" r="3175" b="1270"/>
          <wp:docPr id="1061833873" name="Picture 1886279847" descr="Australian Government Productivity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79847" name="Picture 1886279847" descr="Australian Government Productivity Commission logo"/>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46475" cy="534876"/>
                  </a:xfrm>
                  <a:prstGeom prst="rect">
                    <a:avLst/>
                  </a:prstGeom>
                </pic:spPr>
              </pic:pic>
            </a:graphicData>
          </a:graphic>
        </wp:inline>
      </w:drawing>
    </w:r>
  </w:p>
  <w:p w14:paraId="5C7320B0" w14:textId="0B0078A3" w:rsidR="008A3136" w:rsidRDefault="008A3136" w:rsidP="00A43774">
    <w:pPr>
      <w:pStyle w:val="Heading2"/>
      <w:spacing w:before="360" w:after="0" w:line="240" w:lineRule="auto"/>
      <w:rPr>
        <w:color w:val="FFFFFF" w:themeColor="background1"/>
        <w:sz w:val="56"/>
        <w:szCs w:val="56"/>
      </w:rPr>
    </w:pPr>
    <w:r>
      <w:rPr>
        <w:color w:val="FFFFFF" w:themeColor="background1"/>
        <w:sz w:val="44"/>
        <w:szCs w:val="44"/>
      </w:rPr>
      <w:t>Tracking progress</w:t>
    </w:r>
  </w:p>
  <w:p w14:paraId="47B9EE62" w14:textId="0E4D84EE" w:rsidR="008A3136" w:rsidRPr="00703EF8" w:rsidRDefault="008A3136" w:rsidP="008A3136">
    <w:pPr>
      <w:pStyle w:val="Heading1"/>
      <w:spacing w:before="120" w:after="0" w:line="240" w:lineRule="auto"/>
      <w:rPr>
        <w:color w:val="FFFFFF" w:themeColor="background1"/>
      </w:rPr>
    </w:pPr>
    <w:r w:rsidRPr="008A3136">
      <w:rPr>
        <w:color w:val="FFFFFF" w:themeColor="background1"/>
      </w:rPr>
      <w:t>Knowing if the Agreement is making a difference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82804" w14:textId="43E0EED0" w:rsidR="00D7194C" w:rsidRPr="00AD5A41" w:rsidRDefault="002C6A77" w:rsidP="00C7347C">
    <w:pPr>
      <w:pStyle w:val="Heading2"/>
      <w:spacing w:before="0" w:after="0" w:line="240" w:lineRule="auto"/>
      <w:rPr>
        <w:color w:val="auto"/>
        <w:sz w:val="56"/>
        <w:szCs w:val="56"/>
      </w:rPr>
    </w:pPr>
    <w:r>
      <w:rPr>
        <w:noProof/>
        <w:color w:val="FFFFFF" w:themeColor="background1"/>
        <w:sz w:val="56"/>
        <w:szCs w:val="56"/>
      </w:rPr>
      <w:drawing>
        <wp:anchor distT="0" distB="0" distL="114300" distR="114300" simplePos="0" relativeHeight="251658248" behindDoc="1" locked="0" layoutInCell="1" allowOverlap="1" wp14:anchorId="49AE724A" wp14:editId="69E3F2FD">
          <wp:simplePos x="0" y="0"/>
          <wp:positionH relativeFrom="page">
            <wp:align>left</wp:align>
          </wp:positionH>
          <wp:positionV relativeFrom="page">
            <wp:align>top</wp:align>
          </wp:positionV>
          <wp:extent cx="7560000" cy="1702800"/>
          <wp:effectExtent l="0" t="0" r="0" b="0"/>
          <wp:wrapNone/>
          <wp:docPr id="46284570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4570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702800"/>
                  </a:xfrm>
                  <a:prstGeom prst="rect">
                    <a:avLst/>
                  </a:prstGeom>
                </pic:spPr>
              </pic:pic>
            </a:graphicData>
          </a:graphic>
          <wp14:sizeRelH relativeFrom="page">
            <wp14:pctWidth>0</wp14:pctWidth>
          </wp14:sizeRelH>
          <wp14:sizeRelV relativeFrom="page">
            <wp14:pctHeight>0</wp14:pctHeight>
          </wp14:sizeRelV>
        </wp:anchor>
      </w:drawing>
    </w:r>
    <w:r w:rsidR="00D7194C">
      <w:rPr>
        <w:noProof/>
        <w:sz w:val="56"/>
        <w:szCs w:val="56"/>
      </w:rPr>
      <w:drawing>
        <wp:inline distT="0" distB="0" distL="0" distR="0" wp14:anchorId="384F6337" wp14:editId="27366E71">
          <wp:extent cx="2130804" cy="507335"/>
          <wp:effectExtent l="0" t="0" r="3175" b="1270"/>
          <wp:docPr id="353558322" name="Picture 1886279847" descr="Australian Government Productivity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79847" name="Picture 1886279847" descr="Australian Government Productivity Commission logo"/>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46475" cy="534876"/>
                  </a:xfrm>
                  <a:prstGeom prst="rect">
                    <a:avLst/>
                  </a:prstGeom>
                </pic:spPr>
              </pic:pic>
            </a:graphicData>
          </a:graphic>
        </wp:inline>
      </w:drawing>
    </w:r>
  </w:p>
  <w:p w14:paraId="1A63CDAA" w14:textId="39839820" w:rsidR="00D7194C" w:rsidRDefault="00D7194C" w:rsidP="00A43774">
    <w:pPr>
      <w:pStyle w:val="Heading2"/>
      <w:spacing w:before="360" w:after="0" w:line="240" w:lineRule="auto"/>
      <w:rPr>
        <w:color w:val="FFFFFF" w:themeColor="background1"/>
        <w:sz w:val="56"/>
        <w:szCs w:val="56"/>
      </w:rPr>
    </w:pPr>
    <w:r>
      <w:rPr>
        <w:color w:val="FFFFFF" w:themeColor="background1"/>
        <w:sz w:val="44"/>
        <w:szCs w:val="44"/>
      </w:rPr>
      <w:t>Accountability</w:t>
    </w:r>
  </w:p>
  <w:p w14:paraId="01D5ACAE" w14:textId="0EDE9209" w:rsidR="00D7194C" w:rsidRPr="00703EF8" w:rsidRDefault="00D7194C" w:rsidP="008A3136">
    <w:pPr>
      <w:pStyle w:val="Heading1"/>
      <w:spacing w:before="120" w:after="0" w:line="240" w:lineRule="auto"/>
      <w:rPr>
        <w:color w:val="FFFFFF" w:themeColor="background1"/>
      </w:rPr>
    </w:pPr>
    <w:r>
      <w:rPr>
        <w:color w:val="FFFFFF" w:themeColor="background1"/>
      </w:rPr>
      <w:t>Ways to drive change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00E1042"/>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BB885A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8E20ED22"/>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C308877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1A37EF"/>
    <w:multiLevelType w:val="hybridMultilevel"/>
    <w:tmpl w:val="3EB88730"/>
    <w:lvl w:ilvl="0" w:tplc="AA2616F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3E6C9D"/>
    <w:multiLevelType w:val="multilevel"/>
    <w:tmpl w:val="12E8AFC4"/>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6" w15:restartNumberingAfterBreak="0">
    <w:nsid w:val="2B324B29"/>
    <w:multiLevelType w:val="multilevel"/>
    <w:tmpl w:val="4C76E2EC"/>
    <w:lvl w:ilvl="0">
      <w:start w:val="1"/>
      <w:numFmt w:val="bullet"/>
      <w:lvlText w:val="•"/>
      <w:lvlJc w:val="left"/>
      <w:pPr>
        <w:ind w:left="227" w:hanging="227"/>
      </w:pPr>
      <w:rPr>
        <w:rFonts w:ascii="Times New Roman" w:hAnsi="Times New Roman" w:cs="Times New Roman" w:hint="default"/>
        <w:color w:val="auto"/>
      </w:rPr>
    </w:lvl>
    <w:lvl w:ilvl="1">
      <w:start w:val="1"/>
      <w:numFmt w:val="bullet"/>
      <w:lvlText w:val=""/>
      <w:lvlJc w:val="left"/>
      <w:pPr>
        <w:ind w:left="587" w:hanging="360"/>
      </w:pPr>
      <w:rPr>
        <w:rFonts w:ascii="Symbol" w:hAnsi="Symbol" w:hint="default"/>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7" w15:restartNumberingAfterBreak="0">
    <w:nsid w:val="6E9B0F3D"/>
    <w:multiLevelType w:val="multilevel"/>
    <w:tmpl w:val="12E8AFC4"/>
    <w:styleLink w:val="CurrentList1"/>
    <w:lvl w:ilvl="0">
      <w:start w:val="1"/>
      <w:numFmt w:val="bullet"/>
      <w:lvlText w:val="•"/>
      <w:lvlJc w:val="left"/>
      <w:pPr>
        <w:ind w:left="227" w:hanging="227"/>
      </w:pPr>
      <w:rPr>
        <w:rFonts w:ascii="Times New Roman" w:hAnsi="Times New Roman" w:cs="Times New Roman" w:hint="default"/>
        <w:color w:val="auto"/>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8" w15:restartNumberingAfterBreak="0">
    <w:nsid w:val="7FF8152F"/>
    <w:multiLevelType w:val="hybridMultilevel"/>
    <w:tmpl w:val="DBCCCB9C"/>
    <w:lvl w:ilvl="0" w:tplc="657A6BDA">
      <w:start w:val="1"/>
      <w:numFmt w:val="bullet"/>
      <w:pStyle w:val="ListbulletTICK"/>
      <w:lvlText w:val=""/>
      <w:lvlJc w:val="left"/>
      <w:pPr>
        <w:ind w:left="947" w:hanging="360"/>
      </w:pPr>
      <w:rPr>
        <w:rFonts w:ascii="Wingdings" w:hAnsi="Wingdings"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num w:numId="1" w16cid:durableId="443306796">
    <w:abstractNumId w:val="4"/>
  </w:num>
  <w:num w:numId="2" w16cid:durableId="427622698">
    <w:abstractNumId w:val="3"/>
  </w:num>
  <w:num w:numId="3" w16cid:durableId="251281831">
    <w:abstractNumId w:val="5"/>
  </w:num>
  <w:num w:numId="4" w16cid:durableId="2116289593">
    <w:abstractNumId w:val="1"/>
  </w:num>
  <w:num w:numId="5" w16cid:durableId="382870783">
    <w:abstractNumId w:val="5"/>
  </w:num>
  <w:num w:numId="6" w16cid:durableId="503974340">
    <w:abstractNumId w:val="0"/>
  </w:num>
  <w:num w:numId="7" w16cid:durableId="1133446918">
    <w:abstractNumId w:val="5"/>
  </w:num>
  <w:num w:numId="8" w16cid:durableId="1408189284">
    <w:abstractNumId w:val="2"/>
  </w:num>
  <w:num w:numId="9" w16cid:durableId="1817527221">
    <w:abstractNumId w:val="2"/>
  </w:num>
  <w:num w:numId="10" w16cid:durableId="1264218748">
    <w:abstractNumId w:val="5"/>
  </w:num>
  <w:num w:numId="11" w16cid:durableId="2052879940">
    <w:abstractNumId w:val="5"/>
  </w:num>
  <w:num w:numId="12" w16cid:durableId="1700398896">
    <w:abstractNumId w:val="5"/>
  </w:num>
  <w:num w:numId="13" w16cid:durableId="1882328437">
    <w:abstractNumId w:val="2"/>
  </w:num>
  <w:num w:numId="14" w16cid:durableId="860901578">
    <w:abstractNumId w:val="5"/>
  </w:num>
  <w:num w:numId="15" w16cid:durableId="1641157000">
    <w:abstractNumId w:val="5"/>
  </w:num>
  <w:num w:numId="16" w16cid:durableId="669261479">
    <w:abstractNumId w:val="6"/>
  </w:num>
  <w:num w:numId="17" w16cid:durableId="1180390853">
    <w:abstractNumId w:val="7"/>
  </w:num>
  <w:num w:numId="18" w16cid:durableId="181407427">
    <w:abstractNumId w:val="8"/>
  </w:num>
  <w:num w:numId="19" w16cid:durableId="1559971429">
    <w:abstractNumId w:val="5"/>
  </w:num>
  <w:num w:numId="20" w16cid:durableId="1045250634">
    <w:abstractNumId w:val="5"/>
  </w:num>
  <w:num w:numId="21" w16cid:durableId="1708793327">
    <w:abstractNumId w:val="5"/>
  </w:num>
  <w:num w:numId="22" w16cid:durableId="1739791947">
    <w:abstractNumId w:val="5"/>
  </w:num>
  <w:num w:numId="23" w16cid:durableId="8736139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0EA"/>
    <w:rsid w:val="00002CE3"/>
    <w:rsid w:val="00005B5D"/>
    <w:rsid w:val="000177C2"/>
    <w:rsid w:val="0003218F"/>
    <w:rsid w:val="000331C7"/>
    <w:rsid w:val="000334CA"/>
    <w:rsid w:val="000353CD"/>
    <w:rsid w:val="00037DB8"/>
    <w:rsid w:val="000441D7"/>
    <w:rsid w:val="0004645A"/>
    <w:rsid w:val="00052C16"/>
    <w:rsid w:val="00057037"/>
    <w:rsid w:val="0005719A"/>
    <w:rsid w:val="0007196C"/>
    <w:rsid w:val="000872C3"/>
    <w:rsid w:val="00091267"/>
    <w:rsid w:val="000961FB"/>
    <w:rsid w:val="00096645"/>
    <w:rsid w:val="000A0859"/>
    <w:rsid w:val="000B20BF"/>
    <w:rsid w:val="000B3E5A"/>
    <w:rsid w:val="000B6722"/>
    <w:rsid w:val="000D0C31"/>
    <w:rsid w:val="00103EA8"/>
    <w:rsid w:val="00104EE3"/>
    <w:rsid w:val="00123D5A"/>
    <w:rsid w:val="00137FA4"/>
    <w:rsid w:val="0014131D"/>
    <w:rsid w:val="0015166A"/>
    <w:rsid w:val="0015274A"/>
    <w:rsid w:val="0015323F"/>
    <w:rsid w:val="00161F0C"/>
    <w:rsid w:val="001628B1"/>
    <w:rsid w:val="00167423"/>
    <w:rsid w:val="00193BA3"/>
    <w:rsid w:val="001941B8"/>
    <w:rsid w:val="001B6A5F"/>
    <w:rsid w:val="001B789B"/>
    <w:rsid w:val="001C6B00"/>
    <w:rsid w:val="001C7C66"/>
    <w:rsid w:val="001D2E85"/>
    <w:rsid w:val="001D645E"/>
    <w:rsid w:val="001E1748"/>
    <w:rsid w:val="001E1C8B"/>
    <w:rsid w:val="00213339"/>
    <w:rsid w:val="00214E04"/>
    <w:rsid w:val="002436B4"/>
    <w:rsid w:val="002452D6"/>
    <w:rsid w:val="00256ED3"/>
    <w:rsid w:val="00261824"/>
    <w:rsid w:val="00262342"/>
    <w:rsid w:val="002639FA"/>
    <w:rsid w:val="002647C2"/>
    <w:rsid w:val="0027127B"/>
    <w:rsid w:val="00292690"/>
    <w:rsid w:val="002961F2"/>
    <w:rsid w:val="002A452A"/>
    <w:rsid w:val="002C6A77"/>
    <w:rsid w:val="002E61B9"/>
    <w:rsid w:val="002F0346"/>
    <w:rsid w:val="00322350"/>
    <w:rsid w:val="00341BA8"/>
    <w:rsid w:val="003717E8"/>
    <w:rsid w:val="00375DF5"/>
    <w:rsid w:val="003818C6"/>
    <w:rsid w:val="0038191A"/>
    <w:rsid w:val="00382C3B"/>
    <w:rsid w:val="00396425"/>
    <w:rsid w:val="003A0BF9"/>
    <w:rsid w:val="003C0C27"/>
    <w:rsid w:val="003C1C69"/>
    <w:rsid w:val="003C6629"/>
    <w:rsid w:val="003C6BF2"/>
    <w:rsid w:val="003D161D"/>
    <w:rsid w:val="003D4210"/>
    <w:rsid w:val="003D5F85"/>
    <w:rsid w:val="003E011F"/>
    <w:rsid w:val="003E0A17"/>
    <w:rsid w:val="004067FB"/>
    <w:rsid w:val="00421411"/>
    <w:rsid w:val="00425485"/>
    <w:rsid w:val="00430C34"/>
    <w:rsid w:val="004401EB"/>
    <w:rsid w:val="00452FB0"/>
    <w:rsid w:val="0046180E"/>
    <w:rsid w:val="0046367D"/>
    <w:rsid w:val="004808F7"/>
    <w:rsid w:val="004809AC"/>
    <w:rsid w:val="00484D7C"/>
    <w:rsid w:val="00490D0C"/>
    <w:rsid w:val="00494DE7"/>
    <w:rsid w:val="00496502"/>
    <w:rsid w:val="004A3BB2"/>
    <w:rsid w:val="004B01ED"/>
    <w:rsid w:val="004B1EAA"/>
    <w:rsid w:val="004B53CD"/>
    <w:rsid w:val="004B7031"/>
    <w:rsid w:val="004C6B82"/>
    <w:rsid w:val="004D1CB9"/>
    <w:rsid w:val="004F28F5"/>
    <w:rsid w:val="005062CE"/>
    <w:rsid w:val="00515674"/>
    <w:rsid w:val="00521DD5"/>
    <w:rsid w:val="005271DD"/>
    <w:rsid w:val="0053383E"/>
    <w:rsid w:val="00534483"/>
    <w:rsid w:val="005376EB"/>
    <w:rsid w:val="00570D44"/>
    <w:rsid w:val="00575179"/>
    <w:rsid w:val="005A2819"/>
    <w:rsid w:val="005A3A6E"/>
    <w:rsid w:val="005D1F11"/>
    <w:rsid w:val="005D33C2"/>
    <w:rsid w:val="005D6A0B"/>
    <w:rsid w:val="005E136B"/>
    <w:rsid w:val="005F67A5"/>
    <w:rsid w:val="005F7BF9"/>
    <w:rsid w:val="0060421B"/>
    <w:rsid w:val="00615C5C"/>
    <w:rsid w:val="0062678C"/>
    <w:rsid w:val="00626F0D"/>
    <w:rsid w:val="00627DE8"/>
    <w:rsid w:val="00650408"/>
    <w:rsid w:val="00654212"/>
    <w:rsid w:val="00654390"/>
    <w:rsid w:val="00656EEB"/>
    <w:rsid w:val="00675F28"/>
    <w:rsid w:val="00677A7A"/>
    <w:rsid w:val="006815AB"/>
    <w:rsid w:val="006861D4"/>
    <w:rsid w:val="00691A32"/>
    <w:rsid w:val="006A220E"/>
    <w:rsid w:val="006A41E9"/>
    <w:rsid w:val="006A5B26"/>
    <w:rsid w:val="006B0553"/>
    <w:rsid w:val="006C2812"/>
    <w:rsid w:val="006D7C2C"/>
    <w:rsid w:val="006E0E02"/>
    <w:rsid w:val="006E16F7"/>
    <w:rsid w:val="006F0457"/>
    <w:rsid w:val="006F1154"/>
    <w:rsid w:val="006F1798"/>
    <w:rsid w:val="006F19CC"/>
    <w:rsid w:val="006F24AB"/>
    <w:rsid w:val="006F3CF6"/>
    <w:rsid w:val="00703EF8"/>
    <w:rsid w:val="00706561"/>
    <w:rsid w:val="00706CC6"/>
    <w:rsid w:val="0071016E"/>
    <w:rsid w:val="007144DA"/>
    <w:rsid w:val="0072254B"/>
    <w:rsid w:val="00723593"/>
    <w:rsid w:val="00724381"/>
    <w:rsid w:val="0073286C"/>
    <w:rsid w:val="00740EA5"/>
    <w:rsid w:val="00750B2C"/>
    <w:rsid w:val="00764E46"/>
    <w:rsid w:val="00777BF0"/>
    <w:rsid w:val="00792A9D"/>
    <w:rsid w:val="00794223"/>
    <w:rsid w:val="007A1C3E"/>
    <w:rsid w:val="007A4797"/>
    <w:rsid w:val="007A7379"/>
    <w:rsid w:val="007C4078"/>
    <w:rsid w:val="007D0634"/>
    <w:rsid w:val="007F3E20"/>
    <w:rsid w:val="007F4BD6"/>
    <w:rsid w:val="00815FD5"/>
    <w:rsid w:val="008413EB"/>
    <w:rsid w:val="00847BD4"/>
    <w:rsid w:val="00850178"/>
    <w:rsid w:val="00850272"/>
    <w:rsid w:val="0087093B"/>
    <w:rsid w:val="00886F80"/>
    <w:rsid w:val="008A3136"/>
    <w:rsid w:val="008A4EA3"/>
    <w:rsid w:val="008A6D09"/>
    <w:rsid w:val="008B181F"/>
    <w:rsid w:val="008C1E20"/>
    <w:rsid w:val="008C36DE"/>
    <w:rsid w:val="008C3FBB"/>
    <w:rsid w:val="008D142C"/>
    <w:rsid w:val="008D5A05"/>
    <w:rsid w:val="008E3332"/>
    <w:rsid w:val="008E756A"/>
    <w:rsid w:val="008F1264"/>
    <w:rsid w:val="008F7204"/>
    <w:rsid w:val="00902486"/>
    <w:rsid w:val="0091292A"/>
    <w:rsid w:val="00921716"/>
    <w:rsid w:val="009251C4"/>
    <w:rsid w:val="00934BEC"/>
    <w:rsid w:val="00935A3F"/>
    <w:rsid w:val="009363B1"/>
    <w:rsid w:val="009367FA"/>
    <w:rsid w:val="009414FB"/>
    <w:rsid w:val="009465F2"/>
    <w:rsid w:val="009541F5"/>
    <w:rsid w:val="009548C1"/>
    <w:rsid w:val="0095623D"/>
    <w:rsid w:val="00956A71"/>
    <w:rsid w:val="00956FA6"/>
    <w:rsid w:val="0097186E"/>
    <w:rsid w:val="00973096"/>
    <w:rsid w:val="009745A0"/>
    <w:rsid w:val="00975997"/>
    <w:rsid w:val="0098619D"/>
    <w:rsid w:val="0099480B"/>
    <w:rsid w:val="009A06F4"/>
    <w:rsid w:val="009B3AAE"/>
    <w:rsid w:val="009C67BC"/>
    <w:rsid w:val="009C6C24"/>
    <w:rsid w:val="009C7FD7"/>
    <w:rsid w:val="009D4E71"/>
    <w:rsid w:val="009F696C"/>
    <w:rsid w:val="00A04742"/>
    <w:rsid w:val="00A17393"/>
    <w:rsid w:val="00A236CD"/>
    <w:rsid w:val="00A326BA"/>
    <w:rsid w:val="00A339FB"/>
    <w:rsid w:val="00A36781"/>
    <w:rsid w:val="00A43774"/>
    <w:rsid w:val="00A44070"/>
    <w:rsid w:val="00A51BAA"/>
    <w:rsid w:val="00A52026"/>
    <w:rsid w:val="00A57847"/>
    <w:rsid w:val="00A57CA1"/>
    <w:rsid w:val="00A6285E"/>
    <w:rsid w:val="00A671CC"/>
    <w:rsid w:val="00A80EF3"/>
    <w:rsid w:val="00A82632"/>
    <w:rsid w:val="00A96527"/>
    <w:rsid w:val="00AA26B0"/>
    <w:rsid w:val="00AA4A34"/>
    <w:rsid w:val="00AA6465"/>
    <w:rsid w:val="00AB35D7"/>
    <w:rsid w:val="00AD5A41"/>
    <w:rsid w:val="00AE6741"/>
    <w:rsid w:val="00AE7C97"/>
    <w:rsid w:val="00AF5830"/>
    <w:rsid w:val="00AF5C1A"/>
    <w:rsid w:val="00B00048"/>
    <w:rsid w:val="00B040EA"/>
    <w:rsid w:val="00B04B2D"/>
    <w:rsid w:val="00B07018"/>
    <w:rsid w:val="00B10305"/>
    <w:rsid w:val="00B43566"/>
    <w:rsid w:val="00B45471"/>
    <w:rsid w:val="00B464E6"/>
    <w:rsid w:val="00B546FD"/>
    <w:rsid w:val="00B60D63"/>
    <w:rsid w:val="00B66E68"/>
    <w:rsid w:val="00B67D5D"/>
    <w:rsid w:val="00B827C1"/>
    <w:rsid w:val="00BB5100"/>
    <w:rsid w:val="00BC2B85"/>
    <w:rsid w:val="00BC434C"/>
    <w:rsid w:val="00BC4719"/>
    <w:rsid w:val="00BD3928"/>
    <w:rsid w:val="00BD78ED"/>
    <w:rsid w:val="00BE01C1"/>
    <w:rsid w:val="00BF738A"/>
    <w:rsid w:val="00C06C50"/>
    <w:rsid w:val="00C166FE"/>
    <w:rsid w:val="00C17A92"/>
    <w:rsid w:val="00C40F5B"/>
    <w:rsid w:val="00C413DC"/>
    <w:rsid w:val="00C4507F"/>
    <w:rsid w:val="00C46490"/>
    <w:rsid w:val="00C63A5F"/>
    <w:rsid w:val="00C648D5"/>
    <w:rsid w:val="00C70C04"/>
    <w:rsid w:val="00C7347C"/>
    <w:rsid w:val="00C75956"/>
    <w:rsid w:val="00C83316"/>
    <w:rsid w:val="00C92330"/>
    <w:rsid w:val="00C9459E"/>
    <w:rsid w:val="00C96260"/>
    <w:rsid w:val="00CA3359"/>
    <w:rsid w:val="00CB3EE4"/>
    <w:rsid w:val="00CB5F38"/>
    <w:rsid w:val="00CB65E7"/>
    <w:rsid w:val="00CC514D"/>
    <w:rsid w:val="00CD6563"/>
    <w:rsid w:val="00CE657F"/>
    <w:rsid w:val="00CF15FD"/>
    <w:rsid w:val="00CF5F83"/>
    <w:rsid w:val="00D0526A"/>
    <w:rsid w:val="00D07FD1"/>
    <w:rsid w:val="00D10D86"/>
    <w:rsid w:val="00D11239"/>
    <w:rsid w:val="00D136CF"/>
    <w:rsid w:val="00D2026A"/>
    <w:rsid w:val="00D3465D"/>
    <w:rsid w:val="00D353E1"/>
    <w:rsid w:val="00D541E0"/>
    <w:rsid w:val="00D658C1"/>
    <w:rsid w:val="00D7194C"/>
    <w:rsid w:val="00D72AEC"/>
    <w:rsid w:val="00D754FF"/>
    <w:rsid w:val="00D86D6E"/>
    <w:rsid w:val="00D94AF7"/>
    <w:rsid w:val="00DA431D"/>
    <w:rsid w:val="00DB41B3"/>
    <w:rsid w:val="00DB6F1A"/>
    <w:rsid w:val="00DC2379"/>
    <w:rsid w:val="00DC6FD7"/>
    <w:rsid w:val="00DD457F"/>
    <w:rsid w:val="00DE4156"/>
    <w:rsid w:val="00E05CA0"/>
    <w:rsid w:val="00E06FFF"/>
    <w:rsid w:val="00E12FC6"/>
    <w:rsid w:val="00E1340B"/>
    <w:rsid w:val="00E151AD"/>
    <w:rsid w:val="00E160D3"/>
    <w:rsid w:val="00E266B9"/>
    <w:rsid w:val="00E31C41"/>
    <w:rsid w:val="00E35F2A"/>
    <w:rsid w:val="00E44B94"/>
    <w:rsid w:val="00E507F6"/>
    <w:rsid w:val="00E62CFE"/>
    <w:rsid w:val="00E83A4B"/>
    <w:rsid w:val="00E84ACC"/>
    <w:rsid w:val="00E974C3"/>
    <w:rsid w:val="00EB3F88"/>
    <w:rsid w:val="00EB4A9E"/>
    <w:rsid w:val="00EB61A8"/>
    <w:rsid w:val="00EB769E"/>
    <w:rsid w:val="00EC23FF"/>
    <w:rsid w:val="00EE21E1"/>
    <w:rsid w:val="00EF23D9"/>
    <w:rsid w:val="00F030AA"/>
    <w:rsid w:val="00F03FE1"/>
    <w:rsid w:val="00F053D6"/>
    <w:rsid w:val="00F11F63"/>
    <w:rsid w:val="00F259F8"/>
    <w:rsid w:val="00F31674"/>
    <w:rsid w:val="00F32DA4"/>
    <w:rsid w:val="00F40A64"/>
    <w:rsid w:val="00F43089"/>
    <w:rsid w:val="00F4567E"/>
    <w:rsid w:val="00F621A9"/>
    <w:rsid w:val="00F62DB8"/>
    <w:rsid w:val="00F7037A"/>
    <w:rsid w:val="00F963CD"/>
    <w:rsid w:val="00FC2442"/>
    <w:rsid w:val="00FC2956"/>
    <w:rsid w:val="00FC60AC"/>
    <w:rsid w:val="00FD5DBB"/>
    <w:rsid w:val="00FE3664"/>
    <w:rsid w:val="00FE3E9C"/>
    <w:rsid w:val="00FE531F"/>
    <w:rsid w:val="00FF3B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E9FEC"/>
  <w15:docId w15:val="{9D936BF5-6F8E-419F-AA8F-ACA450550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0AA"/>
  </w:style>
  <w:style w:type="paragraph" w:styleId="Heading1">
    <w:name w:val="heading 1"/>
    <w:basedOn w:val="Normal"/>
    <w:next w:val="Normal"/>
    <w:link w:val="Heading1Char"/>
    <w:uiPriority w:val="9"/>
    <w:qFormat/>
    <w:rsid w:val="001E1748"/>
    <w:pPr>
      <w:keepNext/>
      <w:keepLines/>
      <w:spacing w:before="240" w:after="120"/>
      <w:outlineLvl w:val="0"/>
    </w:pPr>
    <w:rPr>
      <w:rFonts w:asciiTheme="majorHAnsi" w:eastAsiaTheme="majorEastAsia" w:hAnsiTheme="majorHAnsi" w:cstheme="majorBidi"/>
      <w:b/>
      <w:color w:val="26539D"/>
      <w:sz w:val="32"/>
      <w:szCs w:val="32"/>
    </w:rPr>
  </w:style>
  <w:style w:type="paragraph" w:styleId="Heading2">
    <w:name w:val="heading 2"/>
    <w:basedOn w:val="Normal"/>
    <w:next w:val="Normal"/>
    <w:link w:val="Heading2Char"/>
    <w:uiPriority w:val="9"/>
    <w:unhideWhenUsed/>
    <w:qFormat/>
    <w:rsid w:val="001E1748"/>
    <w:pPr>
      <w:keepNext/>
      <w:keepLines/>
      <w:spacing w:before="40" w:after="80"/>
      <w:outlineLvl w:val="1"/>
    </w:pPr>
    <w:rPr>
      <w:rFonts w:asciiTheme="majorHAnsi" w:eastAsiaTheme="majorEastAsia" w:hAnsiTheme="majorHAnsi" w:cstheme="majorBidi"/>
      <w:b/>
      <w:color w:val="31A2CF"/>
      <w:sz w:val="26"/>
      <w:szCs w:val="26"/>
    </w:rPr>
  </w:style>
  <w:style w:type="paragraph" w:styleId="Heading3">
    <w:name w:val="heading 3"/>
    <w:basedOn w:val="Normal"/>
    <w:next w:val="Normal"/>
    <w:link w:val="Heading3Char"/>
    <w:uiPriority w:val="9"/>
    <w:unhideWhenUsed/>
    <w:qFormat/>
    <w:rsid w:val="00CC514D"/>
    <w:pPr>
      <w:keepNext/>
      <w:keepLines/>
      <w:spacing w:before="40" w:after="0"/>
      <w:outlineLvl w:val="2"/>
    </w:pPr>
    <w:rPr>
      <w:rFonts w:asciiTheme="majorHAnsi" w:eastAsiaTheme="majorEastAsia" w:hAnsiTheme="majorHAnsi" w:cstheme="majorBidi"/>
      <w:b/>
      <w:color w:val="000000"/>
      <w:sz w:val="24"/>
      <w:szCs w:val="24"/>
    </w:rPr>
  </w:style>
  <w:style w:type="paragraph" w:styleId="Heading4">
    <w:name w:val="heading 4"/>
    <w:basedOn w:val="Normal"/>
    <w:next w:val="Normal"/>
    <w:link w:val="Heading4Char"/>
    <w:uiPriority w:val="9"/>
    <w:semiHidden/>
    <w:unhideWhenUsed/>
    <w:qFormat/>
    <w:rsid w:val="00CC514D"/>
    <w:pPr>
      <w:keepNext/>
      <w:keepLines/>
      <w:spacing w:before="40" w:after="0"/>
      <w:outlineLvl w:val="3"/>
    </w:pPr>
    <w:rPr>
      <w:rFonts w:asciiTheme="majorHAnsi" w:eastAsiaTheme="majorEastAsia" w:hAnsiTheme="majorHAnsi" w:cstheme="majorBidi"/>
      <w:i/>
      <w:iCs/>
      <w:color w:val="265A9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1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748"/>
    <w:rPr>
      <w:rFonts w:ascii="Tahoma" w:hAnsi="Tahoma" w:cs="Tahoma"/>
      <w:sz w:val="16"/>
      <w:szCs w:val="16"/>
    </w:rPr>
  </w:style>
  <w:style w:type="character" w:styleId="BookTitle">
    <w:name w:val="Book Title"/>
    <w:basedOn w:val="DefaultParagraphFont"/>
    <w:uiPriority w:val="33"/>
    <w:semiHidden/>
    <w:rsid w:val="001E1748"/>
    <w:rPr>
      <w:b/>
      <w:bCs/>
      <w:i/>
      <w:iCs/>
      <w:spacing w:val="5"/>
    </w:rPr>
  </w:style>
  <w:style w:type="character" w:styleId="FollowedHyperlink">
    <w:name w:val="FollowedHyperlink"/>
    <w:basedOn w:val="DefaultParagraphFont"/>
    <w:uiPriority w:val="99"/>
    <w:semiHidden/>
    <w:unhideWhenUsed/>
    <w:rsid w:val="001E1748"/>
    <w:rPr>
      <w:color w:val="BFBFBF" w:themeColor="followedHyperlink"/>
      <w:u w:val="single"/>
    </w:rPr>
  </w:style>
  <w:style w:type="paragraph" w:styleId="Footer">
    <w:name w:val="footer"/>
    <w:basedOn w:val="Normal"/>
    <w:link w:val="FooterChar"/>
    <w:uiPriority w:val="99"/>
    <w:unhideWhenUsed/>
    <w:rsid w:val="001E1748"/>
    <w:pPr>
      <w:tabs>
        <w:tab w:val="left" w:pos="2552"/>
        <w:tab w:val="right" w:pos="9072"/>
      </w:tabs>
      <w:spacing w:before="100" w:beforeAutospacing="1" w:after="100" w:afterAutospacing="1" w:line="260" w:lineRule="atLeast"/>
      <w:ind w:left="284" w:right="-427"/>
    </w:pPr>
    <w:rPr>
      <w:rFonts w:ascii="Arial" w:eastAsia="Times New Roman" w:hAnsi="Arial" w:cs="Arial"/>
      <w:noProof/>
      <w:kern w:val="16"/>
      <w:sz w:val="20"/>
      <w:szCs w:val="20"/>
      <w:lang w:eastAsia="en-AU"/>
    </w:rPr>
  </w:style>
  <w:style w:type="character" w:customStyle="1" w:styleId="FooterChar">
    <w:name w:val="Footer Char"/>
    <w:basedOn w:val="DefaultParagraphFont"/>
    <w:link w:val="Footer"/>
    <w:uiPriority w:val="99"/>
    <w:rsid w:val="001E1748"/>
    <w:rPr>
      <w:rFonts w:ascii="Arial" w:eastAsia="Times New Roman" w:hAnsi="Arial" w:cs="Arial"/>
      <w:noProof/>
      <w:kern w:val="16"/>
      <w:sz w:val="20"/>
      <w:szCs w:val="20"/>
      <w:lang w:eastAsia="en-AU"/>
    </w:rPr>
  </w:style>
  <w:style w:type="paragraph" w:styleId="Header">
    <w:name w:val="header"/>
    <w:basedOn w:val="Normal"/>
    <w:link w:val="HeaderChar"/>
    <w:uiPriority w:val="99"/>
    <w:unhideWhenUsed/>
    <w:rsid w:val="001E1748"/>
    <w:pPr>
      <w:spacing w:before="200" w:after="0" w:line="240" w:lineRule="auto"/>
      <w:ind w:right="-794"/>
      <w:contextualSpacing/>
      <w:jc w:val="right"/>
    </w:pPr>
    <w:rPr>
      <w:rFonts w:ascii="Arial" w:eastAsia="Times New Roman" w:hAnsi="Arial" w:cs="Arial"/>
      <w:color w:val="000000" w:themeColor="text1"/>
      <w:spacing w:val="2"/>
      <w:lang w:eastAsia="en-AU"/>
    </w:rPr>
  </w:style>
  <w:style w:type="character" w:customStyle="1" w:styleId="Heading1Char">
    <w:name w:val="Heading 1 Char"/>
    <w:basedOn w:val="DefaultParagraphFont"/>
    <w:link w:val="Heading1"/>
    <w:uiPriority w:val="9"/>
    <w:rsid w:val="001E1748"/>
    <w:rPr>
      <w:rFonts w:asciiTheme="majorHAnsi" w:eastAsiaTheme="majorEastAsia" w:hAnsiTheme="majorHAnsi" w:cstheme="majorBidi"/>
      <w:b/>
      <w:color w:val="26539D"/>
      <w:sz w:val="32"/>
      <w:szCs w:val="32"/>
    </w:rPr>
  </w:style>
  <w:style w:type="character" w:customStyle="1" w:styleId="Heading2Char">
    <w:name w:val="Heading 2 Char"/>
    <w:basedOn w:val="DefaultParagraphFont"/>
    <w:link w:val="Heading2"/>
    <w:uiPriority w:val="9"/>
    <w:rsid w:val="001E1748"/>
    <w:rPr>
      <w:rFonts w:asciiTheme="majorHAnsi" w:eastAsiaTheme="majorEastAsia" w:hAnsiTheme="majorHAnsi" w:cstheme="majorBidi"/>
      <w:b/>
      <w:color w:val="31A2CF"/>
      <w:sz w:val="26"/>
      <w:szCs w:val="26"/>
    </w:rPr>
  </w:style>
  <w:style w:type="character" w:customStyle="1" w:styleId="Heading3Char">
    <w:name w:val="Heading 3 Char"/>
    <w:basedOn w:val="DefaultParagraphFont"/>
    <w:link w:val="Heading3"/>
    <w:uiPriority w:val="9"/>
    <w:rsid w:val="00CC514D"/>
    <w:rPr>
      <w:rFonts w:asciiTheme="majorHAnsi" w:eastAsiaTheme="majorEastAsia" w:hAnsiTheme="majorHAnsi" w:cstheme="majorBidi"/>
      <w:b/>
      <w:color w:val="000000"/>
      <w:sz w:val="24"/>
      <w:szCs w:val="24"/>
    </w:rPr>
  </w:style>
  <w:style w:type="character" w:customStyle="1" w:styleId="HeaderChar">
    <w:name w:val="Header Char"/>
    <w:basedOn w:val="DefaultParagraphFont"/>
    <w:link w:val="Header"/>
    <w:uiPriority w:val="99"/>
    <w:rsid w:val="001E1748"/>
    <w:rPr>
      <w:rFonts w:ascii="Arial" w:eastAsia="Times New Roman" w:hAnsi="Arial" w:cs="Arial"/>
      <w:color w:val="000000" w:themeColor="text1"/>
      <w:spacing w:val="2"/>
      <w:lang w:eastAsia="en-AU"/>
    </w:rPr>
  </w:style>
  <w:style w:type="character" w:styleId="Hyperlink">
    <w:name w:val="Hyperlink"/>
    <w:basedOn w:val="DefaultParagraphFont"/>
    <w:uiPriority w:val="99"/>
    <w:qFormat/>
    <w:rsid w:val="001E1748"/>
    <w:rPr>
      <w:color w:val="265A9A"/>
      <w:u w:val="single"/>
    </w:rPr>
  </w:style>
  <w:style w:type="character" w:styleId="IntenseEmphasis">
    <w:name w:val="Intense Emphasis"/>
    <w:basedOn w:val="DefaultParagraphFont"/>
    <w:uiPriority w:val="21"/>
    <w:rsid w:val="001E1748"/>
    <w:rPr>
      <w:i/>
      <w:iCs/>
      <w:color w:val="265A9A" w:themeColor="background2"/>
    </w:rPr>
  </w:style>
  <w:style w:type="paragraph" w:styleId="IntenseQuote">
    <w:name w:val="Intense Quote"/>
    <w:basedOn w:val="Normal"/>
    <w:next w:val="Normal"/>
    <w:link w:val="IntenseQuoteChar"/>
    <w:uiPriority w:val="30"/>
    <w:semiHidden/>
    <w:rsid w:val="001E1748"/>
    <w:pPr>
      <w:pBdr>
        <w:top w:val="single" w:sz="4" w:space="10" w:color="265A9A" w:themeColor="background2"/>
        <w:bottom w:val="single" w:sz="4" w:space="10" w:color="265A9A" w:themeColor="background2"/>
      </w:pBdr>
      <w:spacing w:before="360" w:after="360"/>
      <w:ind w:left="864" w:right="864"/>
      <w:jc w:val="center"/>
    </w:pPr>
    <w:rPr>
      <w:i/>
      <w:iCs/>
      <w:color w:val="265A9A"/>
    </w:rPr>
  </w:style>
  <w:style w:type="character" w:customStyle="1" w:styleId="IntenseQuoteChar">
    <w:name w:val="Intense Quote Char"/>
    <w:basedOn w:val="DefaultParagraphFont"/>
    <w:link w:val="IntenseQuote"/>
    <w:uiPriority w:val="30"/>
    <w:semiHidden/>
    <w:rsid w:val="00CC514D"/>
    <w:rPr>
      <w:i/>
      <w:iCs/>
      <w:color w:val="265A9A"/>
    </w:rPr>
  </w:style>
  <w:style w:type="character" w:styleId="IntenseReference">
    <w:name w:val="Intense Reference"/>
    <w:basedOn w:val="DefaultParagraphFont"/>
    <w:uiPriority w:val="32"/>
    <w:semiHidden/>
    <w:rsid w:val="001E1748"/>
    <w:rPr>
      <w:b/>
      <w:bCs/>
      <w:smallCaps/>
      <w:color w:val="265A9A" w:themeColor="background2"/>
      <w:spacing w:val="5"/>
    </w:rPr>
  </w:style>
  <w:style w:type="paragraph" w:styleId="ListBullet">
    <w:name w:val="List Bullet"/>
    <w:basedOn w:val="Normal"/>
    <w:link w:val="ListBulletChar"/>
    <w:uiPriority w:val="1"/>
    <w:qFormat/>
    <w:rsid w:val="00DB41B3"/>
    <w:pPr>
      <w:numPr>
        <w:numId w:val="14"/>
      </w:numPr>
      <w:spacing w:before="60" w:after="60"/>
      <w:contextualSpacing/>
    </w:pPr>
    <w:rPr>
      <w:szCs w:val="20"/>
    </w:rPr>
  </w:style>
  <w:style w:type="character" w:customStyle="1" w:styleId="ListBulletChar">
    <w:name w:val="List Bullet Char"/>
    <w:basedOn w:val="DefaultParagraphFont"/>
    <w:link w:val="ListBullet"/>
    <w:uiPriority w:val="1"/>
    <w:rsid w:val="00DB41B3"/>
    <w:rPr>
      <w:szCs w:val="20"/>
    </w:rPr>
  </w:style>
  <w:style w:type="paragraph" w:styleId="ListBullet2">
    <w:name w:val="List Bullet 2"/>
    <w:basedOn w:val="Normal"/>
    <w:uiPriority w:val="1"/>
    <w:qFormat/>
    <w:rsid w:val="00DB41B3"/>
    <w:pPr>
      <w:numPr>
        <w:ilvl w:val="1"/>
        <w:numId w:val="14"/>
      </w:numPr>
      <w:spacing w:before="60" w:after="60"/>
      <w:contextualSpacing/>
    </w:pPr>
    <w:rPr>
      <w:szCs w:val="20"/>
    </w:rPr>
  </w:style>
  <w:style w:type="paragraph" w:styleId="ListBullet3">
    <w:name w:val="List Bullet 3"/>
    <w:basedOn w:val="Normal"/>
    <w:uiPriority w:val="1"/>
    <w:qFormat/>
    <w:rsid w:val="001E1748"/>
    <w:pPr>
      <w:numPr>
        <w:ilvl w:val="2"/>
        <w:numId w:val="14"/>
      </w:numPr>
      <w:spacing w:before="60" w:after="60" w:line="274" w:lineRule="auto"/>
      <w:contextualSpacing/>
    </w:pPr>
    <w:rPr>
      <w:szCs w:val="20"/>
    </w:rPr>
  </w:style>
  <w:style w:type="paragraph" w:styleId="ListNumber">
    <w:name w:val="List Number"/>
    <w:basedOn w:val="Normal"/>
    <w:uiPriority w:val="2"/>
    <w:qFormat/>
    <w:rsid w:val="001E1748"/>
    <w:pPr>
      <w:numPr>
        <w:numId w:val="13"/>
      </w:numPr>
      <w:ind w:left="227" w:hanging="227"/>
      <w:contextualSpacing/>
    </w:pPr>
  </w:style>
  <w:style w:type="paragraph" w:styleId="ListParagraph">
    <w:name w:val="List Paragraph"/>
    <w:basedOn w:val="Normal"/>
    <w:uiPriority w:val="34"/>
    <w:semiHidden/>
    <w:rsid w:val="001E1748"/>
    <w:pPr>
      <w:ind w:left="720"/>
      <w:contextualSpacing/>
    </w:pPr>
  </w:style>
  <w:style w:type="paragraph" w:styleId="NoSpacing">
    <w:name w:val="No Spacing"/>
    <w:uiPriority w:val="2"/>
    <w:unhideWhenUsed/>
    <w:rsid w:val="001E1748"/>
    <w:pPr>
      <w:spacing w:after="0" w:line="240" w:lineRule="auto"/>
    </w:pPr>
  </w:style>
  <w:style w:type="paragraph" w:styleId="Quote">
    <w:name w:val="Quote"/>
    <w:basedOn w:val="Normal"/>
    <w:next w:val="Normal"/>
    <w:link w:val="QuoteChar"/>
    <w:uiPriority w:val="29"/>
    <w:rsid w:val="001E1748"/>
    <w:pPr>
      <w:spacing w:before="200" w:after="160"/>
      <w:ind w:left="1134" w:right="1134"/>
    </w:pPr>
    <w:rPr>
      <w:iCs/>
      <w:color w:val="404040" w:themeColor="text1" w:themeTint="BF"/>
    </w:rPr>
  </w:style>
  <w:style w:type="character" w:customStyle="1" w:styleId="QuoteChar">
    <w:name w:val="Quote Char"/>
    <w:basedOn w:val="DefaultParagraphFont"/>
    <w:link w:val="Quote"/>
    <w:uiPriority w:val="29"/>
    <w:rsid w:val="001E1748"/>
    <w:rPr>
      <w:iCs/>
      <w:color w:val="404040" w:themeColor="text1" w:themeTint="BF"/>
    </w:rPr>
  </w:style>
  <w:style w:type="paragraph" w:styleId="Subtitle">
    <w:name w:val="Subtitle"/>
    <w:basedOn w:val="Normal"/>
    <w:next w:val="Normal"/>
    <w:link w:val="SubtitleChar"/>
    <w:uiPriority w:val="11"/>
    <w:semiHidden/>
    <w:rsid w:val="001E1748"/>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CC514D"/>
    <w:rPr>
      <w:rFonts w:eastAsiaTheme="minorEastAsia"/>
      <w:color w:val="5A5A5A" w:themeColor="text1" w:themeTint="A5"/>
      <w:spacing w:val="15"/>
    </w:rPr>
  </w:style>
  <w:style w:type="character" w:styleId="SubtleEmphasis">
    <w:name w:val="Subtle Emphasis"/>
    <w:basedOn w:val="DefaultParagraphFont"/>
    <w:uiPriority w:val="19"/>
    <w:rsid w:val="001E1748"/>
    <w:rPr>
      <w:i/>
      <w:iCs/>
      <w:color w:val="404040" w:themeColor="text1" w:themeTint="BF"/>
    </w:rPr>
  </w:style>
  <w:style w:type="paragraph" w:styleId="Title">
    <w:name w:val="Title"/>
    <w:basedOn w:val="Normal"/>
    <w:next w:val="Normal"/>
    <w:link w:val="TitleChar"/>
    <w:uiPriority w:val="10"/>
    <w:semiHidden/>
    <w:rsid w:val="001E174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CC514D"/>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semiHidden/>
    <w:rsid w:val="00CC514D"/>
    <w:rPr>
      <w:rFonts w:asciiTheme="majorHAnsi" w:eastAsiaTheme="majorEastAsia" w:hAnsiTheme="majorHAnsi" w:cstheme="majorBidi"/>
      <w:i/>
      <w:iCs/>
      <w:color w:val="265A9A"/>
    </w:rPr>
  </w:style>
  <w:style w:type="paragraph" w:customStyle="1" w:styleId="PullQuote">
    <w:name w:val="Pull Quote"/>
    <w:basedOn w:val="BodyText"/>
    <w:next w:val="BodyText"/>
    <w:uiPriority w:val="30"/>
    <w:qFormat/>
    <w:rsid w:val="00A6285E"/>
    <w:pPr>
      <w:spacing w:before="120" w:line="280" w:lineRule="atLeast"/>
      <w:ind w:left="284" w:right="284"/>
    </w:pPr>
    <w:rPr>
      <w:rFonts w:ascii="Arial Black" w:hAnsi="Arial Black"/>
      <w:color w:val="265A9A"/>
      <w:sz w:val="24"/>
      <w:szCs w:val="20"/>
    </w:rPr>
  </w:style>
  <w:style w:type="paragraph" w:styleId="BodyText">
    <w:name w:val="Body Text"/>
    <w:basedOn w:val="Normal"/>
    <w:link w:val="BodyTextChar"/>
    <w:uiPriority w:val="99"/>
    <w:semiHidden/>
    <w:unhideWhenUsed/>
    <w:rsid w:val="00A6285E"/>
    <w:pPr>
      <w:spacing w:after="120"/>
    </w:pPr>
  </w:style>
  <w:style w:type="character" w:customStyle="1" w:styleId="BodyTextChar">
    <w:name w:val="Body Text Char"/>
    <w:basedOn w:val="DefaultParagraphFont"/>
    <w:link w:val="BodyText"/>
    <w:uiPriority w:val="99"/>
    <w:semiHidden/>
    <w:rsid w:val="00A6285E"/>
  </w:style>
  <w:style w:type="character" w:styleId="Strong">
    <w:name w:val="Strong"/>
    <w:basedOn w:val="DefaultParagraphFont"/>
    <w:uiPriority w:val="22"/>
    <w:qFormat/>
    <w:rsid w:val="00C70C04"/>
    <w:rPr>
      <w:b/>
      <w:bCs/>
    </w:rPr>
  </w:style>
  <w:style w:type="character" w:styleId="UnresolvedMention">
    <w:name w:val="Unresolved Mention"/>
    <w:basedOn w:val="DefaultParagraphFont"/>
    <w:uiPriority w:val="99"/>
    <w:semiHidden/>
    <w:unhideWhenUsed/>
    <w:rsid w:val="00AE7C97"/>
    <w:rPr>
      <w:color w:val="605E5C"/>
      <w:shd w:val="clear" w:color="auto" w:fill="E1DFDD"/>
    </w:rPr>
  </w:style>
  <w:style w:type="paragraph" w:customStyle="1" w:styleId="Default">
    <w:name w:val="Default"/>
    <w:rsid w:val="000D0C31"/>
    <w:pPr>
      <w:autoSpaceDE w:val="0"/>
      <w:autoSpaceDN w:val="0"/>
      <w:adjustRightInd w:val="0"/>
      <w:spacing w:after="0" w:line="240" w:lineRule="auto"/>
    </w:pPr>
    <w:rPr>
      <w:rFonts w:ascii="Open Sans" w:hAnsi="Open Sans" w:cs="Open Sans"/>
      <w:color w:val="000000"/>
      <w:sz w:val="24"/>
      <w:szCs w:val="24"/>
      <w:lang w:val="en-GB"/>
    </w:rPr>
  </w:style>
  <w:style w:type="character" w:customStyle="1" w:styleId="A5">
    <w:name w:val="A5"/>
    <w:uiPriority w:val="99"/>
    <w:rsid w:val="006815AB"/>
    <w:rPr>
      <w:rFonts w:cs="Open Sans"/>
      <w:b/>
      <w:bCs/>
      <w:color w:val="FFFFFF"/>
      <w:sz w:val="20"/>
      <w:szCs w:val="20"/>
    </w:rPr>
  </w:style>
  <w:style w:type="paragraph" w:customStyle="1" w:styleId="ListbulletTICK">
    <w:name w:val="List bullet TICK"/>
    <w:basedOn w:val="ListBullet2"/>
    <w:qFormat/>
    <w:rsid w:val="00161F0C"/>
    <w:pPr>
      <w:numPr>
        <w:ilvl w:val="0"/>
        <w:numId w:val="18"/>
      </w:numPr>
    </w:pPr>
  </w:style>
  <w:style w:type="numbering" w:customStyle="1" w:styleId="CurrentList1">
    <w:name w:val="Current List1"/>
    <w:uiPriority w:val="99"/>
    <w:rsid w:val="00161F0C"/>
    <w:pPr>
      <w:numPr>
        <w:numId w:val="17"/>
      </w:numPr>
    </w:pPr>
  </w:style>
  <w:style w:type="paragraph" w:styleId="Revision">
    <w:name w:val="Revision"/>
    <w:hidden/>
    <w:uiPriority w:val="99"/>
    <w:semiHidden/>
    <w:rsid w:val="0014131D"/>
    <w:pPr>
      <w:spacing w:after="0" w:line="240" w:lineRule="auto"/>
    </w:pPr>
  </w:style>
  <w:style w:type="paragraph" w:customStyle="1" w:styleId="Pa1">
    <w:name w:val="Pa1"/>
    <w:basedOn w:val="Default"/>
    <w:next w:val="Default"/>
    <w:uiPriority w:val="99"/>
    <w:rsid w:val="00675F28"/>
    <w:pPr>
      <w:spacing w:line="281" w:lineRule="atLeast"/>
    </w:pPr>
    <w:rPr>
      <w:rFonts w:cs="Times New Roman"/>
      <w:color w:val="auto"/>
    </w:rPr>
  </w:style>
  <w:style w:type="character" w:customStyle="1" w:styleId="A3">
    <w:name w:val="A3"/>
    <w:uiPriority w:val="99"/>
    <w:rsid w:val="00675F28"/>
    <w:rPr>
      <w:rFonts w:cs="Open Sans"/>
      <w:color w:val="000000"/>
      <w:sz w:val="22"/>
      <w:szCs w:val="22"/>
    </w:rPr>
  </w:style>
  <w:style w:type="paragraph" w:customStyle="1" w:styleId="Pa8">
    <w:name w:val="Pa8"/>
    <w:basedOn w:val="Default"/>
    <w:next w:val="Default"/>
    <w:uiPriority w:val="99"/>
    <w:rsid w:val="00675F28"/>
    <w:pPr>
      <w:spacing w:line="221" w:lineRule="atLeast"/>
    </w:pPr>
    <w:rPr>
      <w:rFonts w:cs="Times New Roman"/>
      <w:color w:val="auto"/>
    </w:rPr>
  </w:style>
  <w:style w:type="paragraph" w:customStyle="1" w:styleId="BodyBodyCopy">
    <w:name w:val="Body (Body Copy)"/>
    <w:basedOn w:val="Normal"/>
    <w:uiPriority w:val="99"/>
    <w:rsid w:val="00E1340B"/>
    <w:pPr>
      <w:suppressAutoHyphens/>
      <w:autoSpaceDE w:val="0"/>
      <w:autoSpaceDN w:val="0"/>
      <w:adjustRightInd w:val="0"/>
      <w:spacing w:after="113" w:line="280" w:lineRule="atLeast"/>
      <w:textAlignment w:val="center"/>
    </w:pPr>
    <w:rPr>
      <w:rFonts w:ascii="Open Sans" w:hAnsi="Open Sans" w:cs="Open Sans"/>
      <w:color w:val="000000"/>
      <w:lang w:val="en-US"/>
    </w:rPr>
  </w:style>
  <w:style w:type="paragraph" w:customStyle="1" w:styleId="Pa21">
    <w:name w:val="Pa21"/>
    <w:basedOn w:val="Default"/>
    <w:next w:val="Default"/>
    <w:uiPriority w:val="99"/>
    <w:rsid w:val="00521DD5"/>
    <w:pPr>
      <w:spacing w:line="22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7120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pc.gov.au/ctg-review" TargetMode="Externa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header" Target="header9.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header" Target="header8.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www.pc.gov.au/ctg-review" TargetMode="External"/><Relationship Id="rId2" Type="http://schemas.openxmlformats.org/officeDocument/2006/relationships/hyperlink" Target="http://www.pc.gov.au/ctg-review" TargetMode="External"/><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1.png"/></Relationships>
</file>

<file path=word/_rels/header8.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2.png"/></Relationships>
</file>

<file path=word/_rels/header9.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ross\OneDrive%20-%20Productivity%20Commission\MPW%20working%20files\Templates%20and%20Templafy\media%20release\Media%20release%202022%20-%20TEMPLATE.dotx"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9" ma:contentTypeDescription="" ma:contentTypeScope="" ma:versionID="9d3a6f485c7e0700c661f7cbb165cd96">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fcf412368a373d366de5d2d5d762e844"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TemplafyFormConfiguration><![CDATA[{"formFields":[],"formDataEntries":[]}]]></TemplafyFormConfiguratio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TemplafyTemplateConfiguration><![CDATA[{"elementsMetadata":[],"transformationConfigurations":[],"templateName":"Fact sheet","templateDescription":"","enableDocumentContentUpdater":false,"version":"2.0"}]]></TemplafyTemplateConfiguration>
</file>

<file path=customXml/item6.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_Flow_SignoffStatus xmlns="3d385984-9344-419b-a80b-49c06a2bdab8" xsi:nil="true"/>
    <_dlc_DocId xmlns="20393cdf-440a-4521-8f19-00ba43423d00">MPWT-2140667901-49276</_dlc_DocId>
    <_dlc_DocIdUrl xmlns="20393cdf-440a-4521-8f19-00ba43423d00">
      <Url>https://pcgov.sharepoint.com/sites/sceteam/_layouts/15/DocIdRedir.aspx?ID=MPWT-2140667901-49276</Url>
      <Description>MPWT-2140667901-49276</Description>
    </_dlc_DocIdUrl>
  </documentManagement>
</p:properties>
</file>

<file path=customXml/itemProps1.xml><?xml version="1.0" encoding="utf-8"?>
<ds:datastoreItem xmlns:ds="http://schemas.openxmlformats.org/officeDocument/2006/customXml" ds:itemID="{A892C3D5-C524-480E-B9D3-8969E4AC31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7EAAF1-62BC-4CFF-A9E3-E4A462ED37D1}">
  <ds:schemaRefs>
    <ds:schemaRef ds:uri="http://schemas.microsoft.com/sharepoint/v3/contenttype/forms"/>
  </ds:schemaRefs>
</ds:datastoreItem>
</file>

<file path=customXml/itemProps3.xml><?xml version="1.0" encoding="utf-8"?>
<ds:datastoreItem xmlns:ds="http://schemas.openxmlformats.org/officeDocument/2006/customXml" ds:itemID="{59111142-F2B6-4AB6-AAC1-4BEBADF25789}">
  <ds:schemaRefs/>
</ds:datastoreItem>
</file>

<file path=customXml/itemProps4.xml><?xml version="1.0" encoding="utf-8"?>
<ds:datastoreItem xmlns:ds="http://schemas.openxmlformats.org/officeDocument/2006/customXml" ds:itemID="{C0E60F31-0B1F-44C7-94DE-64D6BA680738}">
  <ds:schemaRefs>
    <ds:schemaRef ds:uri="http://schemas.microsoft.com/sharepoint/events"/>
  </ds:schemaRefs>
</ds:datastoreItem>
</file>

<file path=customXml/itemProps5.xml><?xml version="1.0" encoding="utf-8"?>
<ds:datastoreItem xmlns:ds="http://schemas.openxmlformats.org/officeDocument/2006/customXml" ds:itemID="{2668110A-EF1F-4D08-BFD7-961C5DE3AE4D}">
  <ds:schemaRefs/>
</ds:datastoreItem>
</file>

<file path=customXml/itemProps6.xml><?xml version="1.0" encoding="utf-8"?>
<ds:datastoreItem xmlns:ds="http://schemas.openxmlformats.org/officeDocument/2006/customXml" ds:itemID="{F40AC987-D9A1-40EC-941D-31F79E724F71}">
  <ds:schemaRefs>
    <ds:schemaRef ds:uri="http://www.w3.org/XML/1998/namespace"/>
    <ds:schemaRef ds:uri="http://purl.org/dc/elements/1.1/"/>
    <ds:schemaRef ds:uri="http://purl.org/dc/dcmitype/"/>
    <ds:schemaRef ds:uri="20393cdf-440a-4521-8f19-00ba43423d00"/>
    <ds:schemaRef ds:uri="http://purl.org/dc/terms/"/>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3d385984-9344-419b-a80b-49c06a2bdab8"/>
  </ds:schemaRefs>
</ds:datastoreItem>
</file>

<file path=docProps/app.xml><?xml version="1.0" encoding="utf-8"?>
<Properties xmlns="http://schemas.openxmlformats.org/officeDocument/2006/extended-properties" xmlns:vt="http://schemas.openxmlformats.org/officeDocument/2006/docPropsVTypes">
  <Template>Media release 2022 - TEMPLATE.dotx</Template>
  <TotalTime>273</TotalTime>
  <Pages>8</Pages>
  <Words>2329</Words>
  <Characters>13278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Factsheets - Study Report - Review of the National Agreement on Closing the Gap</vt:lpstr>
    </vt:vector>
  </TitlesOfParts>
  <Company>Productivity Commission</Company>
  <LinksUpToDate>false</LinksUpToDate>
  <CharactersWithSpaces>15576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Factsheets - Study Report - Review of the National Agreement on Closing the Gap</dc:title>
  <dc:subject/>
  <dc:creator>Productivity Commission</dc:creator>
  <cp:keywords/>
  <cp:lastModifiedBy>Bianca Dobson</cp:lastModifiedBy>
  <cp:revision>53</cp:revision>
  <dcterms:created xsi:type="dcterms:W3CDTF">2024-02-04T22:07:00Z</dcterms:created>
  <dcterms:modified xsi:type="dcterms:W3CDTF">2024-02-05T22:33:00Z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637346222824850435</vt:lpwstr>
  </property>
  <property fmtid="{D5CDD505-2E9C-101B-9397-08002B2CF9AE}" pid="4" name="TemplafyUserProfileId">
    <vt:lpwstr>752650215664648239</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RevIMBCS">
    <vt:lpwstr>1;#Unclassified|3955eeb1-2d18-4582-aeb2-00144ec3aaf5</vt:lpwstr>
  </property>
  <property fmtid="{D5CDD505-2E9C-101B-9397-08002B2CF9AE}" pid="8" name="MediaServiceImageTags">
    <vt:lpwstr/>
  </property>
  <property fmtid="{D5CDD505-2E9C-101B-9397-08002B2CF9AE}" pid="9" name="_dlc_DocIdItemGuid">
    <vt:lpwstr>f1894300-21fd-4f0c-869a-ce501f8710c5</vt:lpwstr>
  </property>
</Properties>
</file>