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729A7" w:rsidP="004B04B2">
      <w:pPr>
        <w:pStyle w:val="Heading1"/>
        <w:spacing w:before="0"/>
      </w:pPr>
      <w:bookmarkStart w:id="0" w:name="ChapterTitle"/>
      <w:bookmarkStart w:id="1" w:name="_GoBack"/>
      <w:bookmarkEnd w:id="1"/>
      <w:r>
        <w:t>The Education and Labour Market Outcomes Model: Documentation and User Guide</w:t>
      </w:r>
      <w:bookmarkEnd w:id="0"/>
    </w:p>
    <w:p w:rsidR="00BA7C4C" w:rsidRPr="00BF4B02" w:rsidRDefault="00BA7C4C" w:rsidP="00BA7C4C">
      <w:pPr>
        <w:pStyle w:val="BodyText"/>
      </w:pPr>
      <w:bookmarkStart w:id="2" w:name="begin"/>
      <w:bookmarkEnd w:id="2"/>
      <w:r w:rsidRPr="00BF4B02">
        <w:t>The Education and Labour Market Outcomes (ELMO) model was developed by the Productivity Commission to estimate the benefits and costs of education policies that are primarily targeted at young adu</w:t>
      </w:r>
      <w:r w:rsidR="005612A1">
        <w:t>lts. It is essentially a bottom-</w:t>
      </w:r>
      <w:r w:rsidRPr="00BF4B02">
        <w:t xml:space="preserve">up, partial equilibrium model of the education market. </w:t>
      </w:r>
    </w:p>
    <w:p w:rsidR="00BA7C4C" w:rsidRPr="00BF4B02" w:rsidRDefault="00BA7C4C" w:rsidP="00BA7C4C">
      <w:pPr>
        <w:pStyle w:val="BodyText"/>
      </w:pPr>
      <w:r w:rsidRPr="00BF4B02">
        <w:t>The ELMO model account</w:t>
      </w:r>
      <w:r w:rsidR="00276353">
        <w:t>s</w:t>
      </w:r>
      <w:r w:rsidRPr="00BF4B02">
        <w:t xml:space="preserve"> for the heterogeneous characteristics of potential students, such that different potential students will prefer different education options. This key feature is supported by empirical </w:t>
      </w:r>
      <w:r w:rsidR="00276353">
        <w:t>evidence</w:t>
      </w:r>
      <w:r w:rsidRPr="00BF4B02">
        <w:t xml:space="preserve">. The model also captures a number of potential government </w:t>
      </w:r>
      <w:r w:rsidR="003F78E0">
        <w:t xml:space="preserve">interventions </w:t>
      </w:r>
      <w:r w:rsidRPr="00BF4B02">
        <w:t xml:space="preserve">and market distortions (such as income taxes, education subsidies, externalities and incomplete information), allowing </w:t>
      </w:r>
      <w:r w:rsidR="003F78E0">
        <w:t>for the</w:t>
      </w:r>
      <w:r w:rsidRPr="00BF4B02">
        <w:t xml:space="preserve"> analysis to ta</w:t>
      </w:r>
      <w:r w:rsidR="00A87FA7">
        <w:t>ke place in a realistic ‘second-</w:t>
      </w:r>
      <w:r w:rsidRPr="00BF4B02">
        <w:t>best’ environment.</w:t>
      </w:r>
    </w:p>
    <w:p w:rsidR="00BA7C4C" w:rsidRPr="00BF4B02" w:rsidRDefault="00276353" w:rsidP="00BA7C4C">
      <w:pPr>
        <w:pStyle w:val="BodyText"/>
      </w:pPr>
      <w:r>
        <w:t>While t</w:t>
      </w:r>
      <w:r w:rsidR="00BA7C4C" w:rsidRPr="00BF4B02">
        <w:t xml:space="preserve">he Commission has made the ELMO model publically available, it </w:t>
      </w:r>
      <w:r>
        <w:t xml:space="preserve">is not in a position to </w:t>
      </w:r>
      <w:r w:rsidR="00BA7C4C" w:rsidRPr="00BF4B02">
        <w:t xml:space="preserve">provide support beyond the documentation (which includes a short user guide). With the appropriate software, </w:t>
      </w:r>
      <w:r>
        <w:t xml:space="preserve">an analyst </w:t>
      </w:r>
      <w:r w:rsidR="00BA7C4C" w:rsidRPr="00BF4B02">
        <w:t>with intermediate GAMS experience should be able to use the model relatively easily.</w:t>
      </w:r>
    </w:p>
    <w:p w:rsidR="00037C76" w:rsidRDefault="004B04B2" w:rsidP="00FE34AA">
      <w:pPr>
        <w:pStyle w:val="BodyText"/>
      </w:pPr>
      <w:r w:rsidRPr="00C4203C">
        <w:t xml:space="preserve">Section </w:t>
      </w:r>
      <w:r>
        <w:t xml:space="preserve">one provides an overview of the </w:t>
      </w:r>
      <w:r w:rsidR="00037C76">
        <w:t xml:space="preserve">characteristics of </w:t>
      </w:r>
      <w:r>
        <w:t>the Education and Labour Market Outcomes (ELMO) model</w:t>
      </w:r>
      <w:r w:rsidR="00037C76">
        <w:t xml:space="preserve">. The </w:t>
      </w:r>
      <w:r w:rsidR="00B05A24">
        <w:t>theoretical underpinnings and</w:t>
      </w:r>
      <w:r w:rsidR="00037C76">
        <w:t xml:space="preserve"> limitations of the model are also discussed. Section two presents a stylised </w:t>
      </w:r>
      <w:r w:rsidR="00B05A24">
        <w:t xml:space="preserve">graphical </w:t>
      </w:r>
      <w:r w:rsidR="00037C76">
        <w:t xml:space="preserve">version of the ELMO model, whereas section three documents the key equations in detail. Section four covers data sources and </w:t>
      </w:r>
      <w:r w:rsidR="00B05A24">
        <w:t>their</w:t>
      </w:r>
      <w:r w:rsidR="00037C76">
        <w:t xml:space="preserve"> reliability. Finally, a</w:t>
      </w:r>
      <w:r w:rsidR="00B05A24">
        <w:t xml:space="preserve"> basic</w:t>
      </w:r>
      <w:r w:rsidR="00037C76">
        <w:t xml:space="preserve"> user guide is provided in section five. </w:t>
      </w:r>
    </w:p>
    <w:p w:rsidR="004B04B2" w:rsidRDefault="003729A7" w:rsidP="00037C76">
      <w:pPr>
        <w:pStyle w:val="Heading2"/>
      </w:pPr>
      <w:r>
        <w:t>1</w:t>
      </w:r>
      <w:r w:rsidR="00037C76">
        <w:tab/>
        <w:t>Overview of the ELMO model and key issues</w:t>
      </w:r>
    </w:p>
    <w:p w:rsidR="00FD14F0" w:rsidRPr="00C31DA0" w:rsidRDefault="00FD14F0" w:rsidP="00FD14F0">
      <w:pPr>
        <w:pStyle w:val="BodyText"/>
      </w:pPr>
      <w:r w:rsidRPr="00B0589D">
        <w:t xml:space="preserve">The </w:t>
      </w:r>
      <w:r>
        <w:t>ELMO</w:t>
      </w:r>
      <w:r w:rsidRPr="00B0589D">
        <w:t xml:space="preserve"> model was developed to </w:t>
      </w:r>
      <w:r>
        <w:t>model</w:t>
      </w:r>
      <w:r w:rsidRPr="00B0589D">
        <w:t xml:space="preserve"> the benefits and costs </w:t>
      </w:r>
      <w:r>
        <w:t>of</w:t>
      </w:r>
      <w:r w:rsidRPr="00B0589D">
        <w:t xml:space="preserve"> education policies</w:t>
      </w:r>
      <w:r>
        <w:t xml:space="preserve"> that principally affect </w:t>
      </w:r>
      <w:r w:rsidR="003F78E0">
        <w:t xml:space="preserve">the education decisions of </w:t>
      </w:r>
      <w:r>
        <w:t>young adults</w:t>
      </w:r>
      <w:r w:rsidRPr="00B0589D">
        <w:t xml:space="preserve">. </w:t>
      </w:r>
      <w:r>
        <w:t xml:space="preserve">The framework assumes that individuals maximise the net benefits from acquiring a </w:t>
      </w:r>
      <w:r>
        <w:lastRenderedPageBreak/>
        <w:t xml:space="preserve">qualification. It was used in the context of the report on </w:t>
      </w:r>
      <w:r w:rsidRPr="00CE0540">
        <w:rPr>
          <w:i/>
        </w:rPr>
        <w:t>Impacts and Benefits of COAG Reforms</w:t>
      </w:r>
      <w:r>
        <w:t xml:space="preserve"> (PC 2012).</w:t>
      </w:r>
    </w:p>
    <w:p w:rsidR="00037C76" w:rsidRDefault="00B05A24" w:rsidP="00FE34AA">
      <w:pPr>
        <w:pStyle w:val="BodyText"/>
      </w:pPr>
      <w:r>
        <w:t>T</w:t>
      </w:r>
      <w:r w:rsidR="00037C76">
        <w:t>here are seven different education</w:t>
      </w:r>
      <w:r w:rsidR="003F78E0">
        <w:t>-</w:t>
      </w:r>
      <w:r w:rsidR="00037C76">
        <w:t>work types</w:t>
      </w:r>
      <w:r>
        <w:t xml:space="preserve"> in the core model</w:t>
      </w:r>
      <w:r w:rsidR="00037C76">
        <w:t xml:space="preserve">, corresponding </w:t>
      </w:r>
      <w:r w:rsidR="00BD07C1">
        <w:t>to</w:t>
      </w:r>
      <w:r w:rsidR="00037C76">
        <w:t xml:space="preserve"> Australian Bureau of Statistics educational classifications</w:t>
      </w:r>
      <w:r>
        <w:t xml:space="preserve"> and the common distinction between blue</w:t>
      </w:r>
      <w:r w:rsidR="002D5723">
        <w:t>-</w:t>
      </w:r>
      <w:r>
        <w:t xml:space="preserve"> and white</w:t>
      </w:r>
      <w:r w:rsidR="00F6621A">
        <w:t>-</w:t>
      </w:r>
      <w:r>
        <w:t>collar work</w:t>
      </w:r>
      <w:r w:rsidR="00037C76">
        <w:t>:</w:t>
      </w:r>
    </w:p>
    <w:p w:rsidR="00037C76" w:rsidRPr="006E7E5B" w:rsidRDefault="00037C76" w:rsidP="00FE34AA">
      <w:pPr>
        <w:pStyle w:val="ListBullet"/>
      </w:pPr>
      <w:r>
        <w:t>y</w:t>
      </w:r>
      <w:r w:rsidRPr="006E7E5B">
        <w:t>ear 11 or lower, blue collar</w:t>
      </w:r>
    </w:p>
    <w:p w:rsidR="00037C76" w:rsidRPr="006E7E5B" w:rsidRDefault="00037C76" w:rsidP="00FE34AA">
      <w:pPr>
        <w:pStyle w:val="ListBullet"/>
      </w:pPr>
      <w:r>
        <w:t>y</w:t>
      </w:r>
      <w:r w:rsidRPr="006E7E5B">
        <w:t>ear 11 or lower, white collar</w:t>
      </w:r>
    </w:p>
    <w:p w:rsidR="00037C76" w:rsidRPr="006E7E5B" w:rsidRDefault="00037C76" w:rsidP="00FE34AA">
      <w:pPr>
        <w:pStyle w:val="ListBullet"/>
      </w:pPr>
      <w:r>
        <w:t>y</w:t>
      </w:r>
      <w:r w:rsidRPr="006E7E5B">
        <w:t>ear 12, white collar</w:t>
      </w:r>
    </w:p>
    <w:p w:rsidR="00037C76" w:rsidRPr="006E7E5B" w:rsidRDefault="00037C76" w:rsidP="00FE34AA">
      <w:pPr>
        <w:pStyle w:val="ListBullet"/>
      </w:pPr>
      <w:r>
        <w:t>c</w:t>
      </w:r>
      <w:r w:rsidRPr="006E7E5B">
        <w:t>ertificate 3 or 4, blue collar</w:t>
      </w:r>
    </w:p>
    <w:p w:rsidR="00037C76" w:rsidRPr="006E7E5B" w:rsidRDefault="00037C76" w:rsidP="00FE34AA">
      <w:pPr>
        <w:pStyle w:val="ListBullet"/>
      </w:pPr>
      <w:r>
        <w:t>c</w:t>
      </w:r>
      <w:r w:rsidRPr="006E7E5B">
        <w:t>ertificate 3 or 4, white collar</w:t>
      </w:r>
    </w:p>
    <w:p w:rsidR="00037C76" w:rsidRPr="006E7E5B" w:rsidRDefault="00037C76" w:rsidP="00FE34AA">
      <w:pPr>
        <w:pStyle w:val="ListBullet"/>
      </w:pPr>
      <w:r>
        <w:t>d</w:t>
      </w:r>
      <w:r w:rsidRPr="006E7E5B">
        <w:t>iploma, white collar</w:t>
      </w:r>
    </w:p>
    <w:p w:rsidR="00037C76" w:rsidRPr="006E7E5B" w:rsidRDefault="00037C76" w:rsidP="00FE34AA">
      <w:pPr>
        <w:pStyle w:val="ListBullet"/>
      </w:pPr>
      <w:r>
        <w:t>d</w:t>
      </w:r>
      <w:r w:rsidRPr="006E7E5B">
        <w:t>egree or higher, white collar</w:t>
      </w:r>
    </w:p>
    <w:p w:rsidR="00FD14F0" w:rsidRDefault="00FD14F0" w:rsidP="00FE34AA">
      <w:pPr>
        <w:pStyle w:val="BodyText"/>
      </w:pPr>
      <w:r>
        <w:t>The number of</w:t>
      </w:r>
      <w:r w:rsidRPr="00037C76">
        <w:t xml:space="preserve"> education</w:t>
      </w:r>
      <w:r w:rsidR="003F78E0">
        <w:t>-</w:t>
      </w:r>
      <w:r w:rsidRPr="00037C76">
        <w:t>work types</w:t>
      </w:r>
      <w:r>
        <w:t xml:space="preserve"> can be expanded if sufficient data are available</w:t>
      </w:r>
      <w:r w:rsidRPr="00037C76">
        <w:t>. For example, diploma</w:t>
      </w:r>
      <w:r>
        <w:t>s</w:t>
      </w:r>
      <w:r w:rsidRPr="00037C76">
        <w:t xml:space="preserve"> could be disaggregated into management diploma and other diplomas. </w:t>
      </w:r>
    </w:p>
    <w:p w:rsidR="00037C76" w:rsidRPr="00037C76" w:rsidRDefault="00037C76" w:rsidP="00FE34AA">
      <w:pPr>
        <w:pStyle w:val="BodyText"/>
      </w:pPr>
      <w:r w:rsidRPr="00037C76">
        <w:t xml:space="preserve">Australian States and Territories are represented as </w:t>
      </w:r>
      <w:r w:rsidR="00B05A24">
        <w:t>separate</w:t>
      </w:r>
      <w:r w:rsidRPr="00037C76">
        <w:t xml:space="preserve"> regions. </w:t>
      </w:r>
    </w:p>
    <w:p w:rsidR="00FD14F0" w:rsidRPr="00037C76" w:rsidRDefault="00FD14F0" w:rsidP="00FD14F0">
      <w:pPr>
        <w:pStyle w:val="BodyText"/>
      </w:pPr>
      <w:r>
        <w:t xml:space="preserve">The </w:t>
      </w:r>
      <w:r w:rsidRPr="00037C76">
        <w:t xml:space="preserve">ELMO </w:t>
      </w:r>
      <w:r>
        <w:t xml:space="preserve">model can be used to model the effects of changes to relative costs and returns to education. As such, it </w:t>
      </w:r>
      <w:r w:rsidRPr="00037C76">
        <w:t>can be used to model a wide array of education policies, including:</w:t>
      </w:r>
    </w:p>
    <w:p w:rsidR="00FD14F0" w:rsidRPr="00037C76" w:rsidRDefault="00FD14F0" w:rsidP="00FD14F0">
      <w:pPr>
        <w:pStyle w:val="ListBullet"/>
      </w:pPr>
      <w:r w:rsidRPr="00037C76">
        <w:t xml:space="preserve">changes to the costs of education (for example, an increase </w:t>
      </w:r>
      <w:r>
        <w:t xml:space="preserve">in </w:t>
      </w:r>
      <w:r w:rsidRPr="00037C76">
        <w:t>education subsidies that reduce the private costs of degrees)</w:t>
      </w:r>
    </w:p>
    <w:p w:rsidR="00FD14F0" w:rsidRDefault="00FD14F0" w:rsidP="00FD14F0">
      <w:pPr>
        <w:pStyle w:val="ListBullet"/>
      </w:pPr>
      <w:r w:rsidRPr="00037C76">
        <w:t xml:space="preserve">changes to the quality of education (for example, reforms that could alter the probability </w:t>
      </w:r>
      <w:r w:rsidR="00F6621A" w:rsidRPr="00037C76">
        <w:t>of finding employment</w:t>
      </w:r>
      <w:r w:rsidR="00F6621A">
        <w:t xml:space="preserve"> </w:t>
      </w:r>
      <w:r w:rsidR="002D5723">
        <w:t xml:space="preserve">that is </w:t>
      </w:r>
      <w:r>
        <w:t>associated with a qualification type</w:t>
      </w:r>
      <w:r w:rsidRPr="00037C76">
        <w:t>)</w:t>
      </w:r>
    </w:p>
    <w:p w:rsidR="00673F73" w:rsidRPr="00037C76" w:rsidRDefault="006F4FAB" w:rsidP="00FD14F0">
      <w:pPr>
        <w:pStyle w:val="ListBullet"/>
      </w:pPr>
      <w:r>
        <w:t>c</w:t>
      </w:r>
      <w:r w:rsidR="00673F73">
        <w:t xml:space="preserve">hanges to returns </w:t>
      </w:r>
      <w:r w:rsidR="00CB0008">
        <w:t>to</w:t>
      </w:r>
      <w:r w:rsidR="00673F73">
        <w:t xml:space="preserve"> education (for example, an increase in the demand for certain skills could increase the returns associated with a qualification type).</w:t>
      </w:r>
      <w:r w:rsidR="00673F73">
        <w:rPr>
          <w:rStyle w:val="FootnoteReference"/>
        </w:rPr>
        <w:footnoteReference w:id="1"/>
      </w:r>
    </w:p>
    <w:p w:rsidR="00FD14F0" w:rsidRPr="00037C76" w:rsidRDefault="00FD14F0" w:rsidP="00FD14F0">
      <w:pPr>
        <w:pStyle w:val="BodyText"/>
      </w:pPr>
      <w:r w:rsidRPr="00037C76">
        <w:t>The key outputs are estimates of the effect of education policies on:</w:t>
      </w:r>
    </w:p>
    <w:p w:rsidR="00FD14F0" w:rsidRPr="00037C76" w:rsidRDefault="00FD14F0" w:rsidP="00FD14F0">
      <w:pPr>
        <w:pStyle w:val="ListBullet"/>
      </w:pPr>
      <w:r w:rsidRPr="00037C76">
        <w:t xml:space="preserve">education and work </w:t>
      </w:r>
      <w:r>
        <w:t>decisions</w:t>
      </w:r>
    </w:p>
    <w:p w:rsidR="00FD14F0" w:rsidRPr="00037C76" w:rsidRDefault="00FD14F0" w:rsidP="00FD14F0">
      <w:pPr>
        <w:pStyle w:val="ListBullet"/>
      </w:pPr>
      <w:r w:rsidRPr="00037C76">
        <w:lastRenderedPageBreak/>
        <w:t xml:space="preserve">net social benefit and </w:t>
      </w:r>
      <w:r>
        <w:t xml:space="preserve">its components and </w:t>
      </w:r>
      <w:r w:rsidRPr="00037C76">
        <w:t>determinants (including changes in the money and time costs of education, average wages and hours worked, external benefits, value of non</w:t>
      </w:r>
      <w:r>
        <w:t>-</w:t>
      </w:r>
      <w:r w:rsidRPr="00037C76">
        <w:t xml:space="preserve">market activity, and </w:t>
      </w:r>
      <w:r>
        <w:t xml:space="preserve">effects of </w:t>
      </w:r>
      <w:r w:rsidRPr="00037C76">
        <w:t>changes in tax revenue)</w:t>
      </w:r>
    </w:p>
    <w:p w:rsidR="00FD14F0" w:rsidRPr="00037C76" w:rsidRDefault="00FD14F0" w:rsidP="00FD14F0">
      <w:pPr>
        <w:pStyle w:val="ListBullet"/>
      </w:pPr>
      <w:r w:rsidRPr="00037C76">
        <w:t>public finances (capturing education subsidies and changes in tax revenue)</w:t>
      </w:r>
      <w:r>
        <w:t>.</w:t>
      </w:r>
    </w:p>
    <w:p w:rsidR="00037C76" w:rsidRPr="00037C76" w:rsidRDefault="00037C76" w:rsidP="00FE34AA">
      <w:pPr>
        <w:pStyle w:val="BodyText"/>
      </w:pPr>
      <w:r w:rsidRPr="00037C76">
        <w:t xml:space="preserve">Sensitivity analysis can be undertaken to explore the responsiveness of the estimates to assumptions concerning key parameters, and to generate confidence intervals. </w:t>
      </w:r>
    </w:p>
    <w:p w:rsidR="00FD14F0" w:rsidRPr="00037C76" w:rsidRDefault="00FD14F0" w:rsidP="00FD14F0">
      <w:pPr>
        <w:pStyle w:val="BodyText"/>
      </w:pPr>
      <w:r w:rsidRPr="00037C76">
        <w:t xml:space="preserve">Running </w:t>
      </w:r>
      <w:r>
        <w:t xml:space="preserve">the </w:t>
      </w:r>
      <w:r w:rsidRPr="00037C76">
        <w:t>ELMO</w:t>
      </w:r>
      <w:r>
        <w:t xml:space="preserve"> model</w:t>
      </w:r>
      <w:r w:rsidRPr="00037C76">
        <w:t xml:space="preserve"> requires access to </w:t>
      </w:r>
      <w:r>
        <w:t xml:space="preserve">the </w:t>
      </w:r>
      <w:r w:rsidRPr="00FD14F0">
        <w:t>General Algebraic Modeling System</w:t>
      </w:r>
      <w:r>
        <w:t xml:space="preserve"> (GAMS)</w:t>
      </w:r>
      <w:r w:rsidRPr="00037C76">
        <w:t xml:space="preserve">, and an appropriate solver (the Commission uses GUROBI). The model code is reasonably simple and </w:t>
      </w:r>
      <w:r w:rsidR="00CB0008">
        <w:t>is accessible to</w:t>
      </w:r>
      <w:r w:rsidRPr="00037C76">
        <w:t xml:space="preserve"> users with intermediate</w:t>
      </w:r>
      <w:r>
        <w:t xml:space="preserve"> GAMS</w:t>
      </w:r>
      <w:r w:rsidRPr="00037C76">
        <w:t xml:space="preserve"> experience. </w:t>
      </w:r>
      <w:r>
        <w:t xml:space="preserve">The </w:t>
      </w:r>
      <w:r w:rsidRPr="00037C76">
        <w:t>ELMO</w:t>
      </w:r>
      <w:r>
        <w:t xml:space="preserve"> </w:t>
      </w:r>
      <w:r w:rsidRPr="00037C76">
        <w:t xml:space="preserve">input file </w:t>
      </w:r>
      <w:r>
        <w:t xml:space="preserve">is prepared with </w:t>
      </w:r>
      <w:r w:rsidRPr="00037C76">
        <w:t>Microsoft Excel.</w:t>
      </w:r>
    </w:p>
    <w:p w:rsidR="00037C76" w:rsidRDefault="00037C76" w:rsidP="00037C76">
      <w:pPr>
        <w:pStyle w:val="Heading3"/>
      </w:pPr>
      <w:r>
        <w:t>Economic principles</w:t>
      </w:r>
    </w:p>
    <w:p w:rsidR="00FD14F0" w:rsidRPr="00664104" w:rsidRDefault="00FD14F0" w:rsidP="00FD14F0">
      <w:pPr>
        <w:pStyle w:val="BodyText"/>
      </w:pPr>
      <w:r w:rsidRPr="00664104">
        <w:t xml:space="preserve">The ELMO model was developed to address two conceptual weaknesses of other models </w:t>
      </w:r>
      <w:r>
        <w:t xml:space="preserve">of education decisions </w:t>
      </w:r>
      <w:r w:rsidRPr="00664104">
        <w:t xml:space="preserve">— </w:t>
      </w:r>
      <w:r w:rsidR="00276353">
        <w:t xml:space="preserve">specifically (a) </w:t>
      </w:r>
      <w:r w:rsidR="00CB0008">
        <w:t xml:space="preserve">the implicit assumption that individuals are </w:t>
      </w:r>
      <w:r w:rsidRPr="00664104">
        <w:t>homogene</w:t>
      </w:r>
      <w:r w:rsidR="00CB0008">
        <w:t xml:space="preserve">ous </w:t>
      </w:r>
      <w:r w:rsidRPr="00664104">
        <w:t xml:space="preserve">and </w:t>
      </w:r>
      <w:r w:rsidR="00276353">
        <w:t xml:space="preserve">(b) deficient </w:t>
      </w:r>
      <w:r w:rsidRPr="00664104">
        <w:t>measures</w:t>
      </w:r>
      <w:r w:rsidR="00CB0008">
        <w:t xml:space="preserve"> of</w:t>
      </w:r>
      <w:r w:rsidR="00CB0008" w:rsidRPr="00CB0008">
        <w:t xml:space="preserve"> </w:t>
      </w:r>
      <w:r w:rsidR="00CB0008" w:rsidRPr="00664104">
        <w:t>welfare</w:t>
      </w:r>
      <w:r w:rsidRPr="00664104">
        <w:t xml:space="preserve">. </w:t>
      </w:r>
    </w:p>
    <w:p w:rsidR="00FD14F0" w:rsidRDefault="00FD14F0" w:rsidP="00FD14F0">
      <w:pPr>
        <w:pStyle w:val="Heading4"/>
      </w:pPr>
      <w:r>
        <w:t>All students are not the same</w:t>
      </w:r>
    </w:p>
    <w:p w:rsidR="00FD14F0" w:rsidRPr="00664104" w:rsidRDefault="00276353" w:rsidP="00FD14F0">
      <w:pPr>
        <w:pStyle w:val="BodyText"/>
      </w:pPr>
      <w:r>
        <w:t xml:space="preserve">Many education </w:t>
      </w:r>
      <w:r w:rsidR="00FD14F0" w:rsidRPr="00664104">
        <w:t>models implicit</w:t>
      </w:r>
      <w:r>
        <w:t>ly</w:t>
      </w:r>
      <w:r w:rsidR="00FD14F0" w:rsidRPr="00664104">
        <w:t xml:space="preserve"> assum</w:t>
      </w:r>
      <w:r>
        <w:t>e</w:t>
      </w:r>
      <w:r w:rsidR="00FD14F0" w:rsidRPr="00664104">
        <w:t xml:space="preserve"> that </w:t>
      </w:r>
      <w:r>
        <w:t xml:space="preserve">all individuals </w:t>
      </w:r>
      <w:r w:rsidR="00FD14F0" w:rsidRPr="00664104">
        <w:t>receive the same benefits</w:t>
      </w:r>
      <w:r>
        <w:t xml:space="preserve"> (such as increases in wages) </w:t>
      </w:r>
      <w:r w:rsidR="00FD14F0" w:rsidRPr="00664104">
        <w:t xml:space="preserve">and </w:t>
      </w:r>
      <w:r>
        <w:t xml:space="preserve">incur the same </w:t>
      </w:r>
      <w:r w:rsidR="00FD14F0" w:rsidRPr="00664104">
        <w:t xml:space="preserve">costs (such as </w:t>
      </w:r>
      <w:r>
        <w:t>forgone wages and time costs</w:t>
      </w:r>
      <w:r w:rsidR="00FD14F0" w:rsidRPr="00664104">
        <w:t xml:space="preserve">) </w:t>
      </w:r>
      <w:r w:rsidR="005D009B">
        <w:t>when</w:t>
      </w:r>
      <w:r w:rsidR="00B60B6A">
        <w:t xml:space="preserve"> </w:t>
      </w:r>
      <w:r>
        <w:t xml:space="preserve">undertaking </w:t>
      </w:r>
      <w:r w:rsidR="00FD14F0" w:rsidRPr="00664104">
        <w:t>education, irrespective of their individual characteristics. For example, the most academically</w:t>
      </w:r>
      <w:r>
        <w:t>-</w:t>
      </w:r>
      <w:r w:rsidR="00FD14F0" w:rsidRPr="00664104">
        <w:t xml:space="preserve">talented person </w:t>
      </w:r>
      <w:r>
        <w:t>is</w:t>
      </w:r>
      <w:r w:rsidR="00CB0008">
        <w:t xml:space="preserve"> assumed to</w:t>
      </w:r>
      <w:r w:rsidR="00CB0008" w:rsidRPr="00664104">
        <w:t xml:space="preserve"> </w:t>
      </w:r>
      <w:r w:rsidR="00FD14F0" w:rsidRPr="00664104">
        <w:t>receive the same benefits from a PhD as the least academically</w:t>
      </w:r>
      <w:r w:rsidR="00B60B6A">
        <w:t>-</w:t>
      </w:r>
      <w:r w:rsidR="00FD14F0" w:rsidRPr="00664104">
        <w:t>talented</w:t>
      </w:r>
      <w:r>
        <w:t xml:space="preserve"> one</w:t>
      </w:r>
      <w:r w:rsidR="00FD14F0" w:rsidRPr="00664104">
        <w:t xml:space="preserve">. This is </w:t>
      </w:r>
      <w:r>
        <w:t xml:space="preserve">not only </w:t>
      </w:r>
      <w:r w:rsidR="00FD14F0" w:rsidRPr="00664104">
        <w:t xml:space="preserve">implausible </w:t>
      </w:r>
      <w:r>
        <w:t xml:space="preserve">but also </w:t>
      </w:r>
      <w:r w:rsidR="00FD14F0" w:rsidRPr="00664104">
        <w:t xml:space="preserve">inconsistent with the </w:t>
      </w:r>
      <w:r w:rsidR="00FD14F0">
        <w:t xml:space="preserve">diversity </w:t>
      </w:r>
      <w:r w:rsidR="00FD14F0" w:rsidRPr="00664104">
        <w:t>of education decisions made by potential students</w:t>
      </w:r>
      <w:r>
        <w:t>. I</w:t>
      </w:r>
      <w:r w:rsidR="00FD14F0" w:rsidRPr="00664104">
        <w:t xml:space="preserve">f </w:t>
      </w:r>
      <w:r>
        <w:t xml:space="preserve">all </w:t>
      </w:r>
      <w:r w:rsidR="00FD14F0" w:rsidRPr="00664104">
        <w:t>potential students were homogenous</w:t>
      </w:r>
      <w:r w:rsidR="005F2228">
        <w:t>,</w:t>
      </w:r>
      <w:r w:rsidR="00FD14F0" w:rsidRPr="00664104">
        <w:t xml:space="preserve"> rational</w:t>
      </w:r>
      <w:r w:rsidR="005F2228">
        <w:t xml:space="preserve"> and did not face liquidity constraints,</w:t>
      </w:r>
      <w:r w:rsidR="00FD14F0" w:rsidRPr="00664104">
        <w:t xml:space="preserve"> they would all make the same education decision. </w:t>
      </w:r>
    </w:p>
    <w:p w:rsidR="00FD14F0" w:rsidRPr="00664104" w:rsidRDefault="00276353" w:rsidP="00FD14F0">
      <w:pPr>
        <w:pStyle w:val="BodyText"/>
      </w:pPr>
      <w:r>
        <w:t xml:space="preserve">An </w:t>
      </w:r>
      <w:r w:rsidR="00FD14F0" w:rsidRPr="00664104">
        <w:t xml:space="preserve">assumption that everyone receives the same </w:t>
      </w:r>
      <w:r>
        <w:t xml:space="preserve">net </w:t>
      </w:r>
      <w:r w:rsidR="00FD14F0" w:rsidRPr="00664104">
        <w:t>benefits from education effectively pre</w:t>
      </w:r>
      <w:r>
        <w:t xml:space="preserve">cludes the explicit </w:t>
      </w:r>
      <w:r w:rsidR="00FD14F0" w:rsidRPr="00664104">
        <w:t>model</w:t>
      </w:r>
      <w:r>
        <w:t xml:space="preserve">ling of </w:t>
      </w:r>
      <w:r w:rsidR="00FD14F0" w:rsidRPr="00664104">
        <w:t xml:space="preserve">education decisions. </w:t>
      </w:r>
      <w:r w:rsidR="00FD14F0">
        <w:t xml:space="preserve">Instead, </w:t>
      </w:r>
      <w:r w:rsidR="00302EEE">
        <w:t xml:space="preserve">in models based on such an assumption, </w:t>
      </w:r>
      <w:r w:rsidR="00FD14F0">
        <w:t>changes in</w:t>
      </w:r>
      <w:r w:rsidR="00FD14F0" w:rsidRPr="00664104">
        <w:t xml:space="preserve"> education decisions associated with education policies </w:t>
      </w:r>
      <w:r w:rsidR="00302EEE">
        <w:t>must be</w:t>
      </w:r>
      <w:r w:rsidR="00FD14F0" w:rsidRPr="00664104">
        <w:t xml:space="preserve"> applied exogenously. For example, </w:t>
      </w:r>
      <w:r w:rsidR="00302EEE">
        <w:t xml:space="preserve">based on some judgement about the effect of a particular policy, </w:t>
      </w:r>
      <w:r w:rsidR="00FD14F0" w:rsidRPr="00664104">
        <w:t xml:space="preserve">the number of people </w:t>
      </w:r>
      <w:r w:rsidR="00FD14F0">
        <w:t>with</w:t>
      </w:r>
      <w:r w:rsidR="00FD14F0" w:rsidRPr="00664104">
        <w:t xml:space="preserve"> a d</w:t>
      </w:r>
      <w:r w:rsidR="00FD14F0">
        <w:t xml:space="preserve">iploma </w:t>
      </w:r>
      <w:r w:rsidR="00302EEE">
        <w:t xml:space="preserve">might be </w:t>
      </w:r>
      <w:r w:rsidR="00FD14F0">
        <w:t>increased exogenously from 6</w:t>
      </w:r>
      <w:r w:rsidR="00FD14F0" w:rsidRPr="00664104">
        <w:t xml:space="preserve"> to </w:t>
      </w:r>
      <w:r w:rsidR="00FD14F0">
        <w:t>7</w:t>
      </w:r>
      <w:r w:rsidR="00FD14F0" w:rsidRPr="00664104">
        <w:t xml:space="preserve"> per cent</w:t>
      </w:r>
      <w:r w:rsidR="00302EEE">
        <w:t xml:space="preserve">. </w:t>
      </w:r>
      <w:r w:rsidR="00FD14F0" w:rsidRPr="00664104">
        <w:t>The model</w:t>
      </w:r>
      <w:r w:rsidR="00FD14F0">
        <w:t xml:space="preserve">s </w:t>
      </w:r>
      <w:r w:rsidR="00FD14F0" w:rsidRPr="00664104">
        <w:t xml:space="preserve">then calculate the effects (such as changes in GDP) of </w:t>
      </w:r>
      <w:r w:rsidR="00813083">
        <w:t xml:space="preserve">the </w:t>
      </w:r>
      <w:r w:rsidR="00FD14F0" w:rsidRPr="00664104">
        <w:t>exogenous</w:t>
      </w:r>
      <w:r w:rsidR="00813083">
        <w:t>ly imposed</w:t>
      </w:r>
      <w:r w:rsidR="00FD14F0" w:rsidRPr="00664104">
        <w:t xml:space="preserve"> changes in education decisions. </w:t>
      </w:r>
      <w:r w:rsidR="00FD14F0">
        <w:t>T</w:t>
      </w:r>
      <w:r w:rsidR="00FD14F0" w:rsidRPr="00664104">
        <w:t xml:space="preserve">he effects </w:t>
      </w:r>
      <w:r w:rsidR="00B17CD5">
        <w:t xml:space="preserve">estimated </w:t>
      </w:r>
      <w:r w:rsidR="00CB0008">
        <w:t>with such</w:t>
      </w:r>
      <w:r w:rsidR="00B17CD5">
        <w:t xml:space="preserve"> models </w:t>
      </w:r>
      <w:r w:rsidR="00FD14F0" w:rsidRPr="00664104">
        <w:t xml:space="preserve">are likely to be biased, because the models do not account for differences between people who are motivated by education </w:t>
      </w:r>
      <w:r w:rsidR="006203EC">
        <w:t>subsidies</w:t>
      </w:r>
      <w:r w:rsidR="006203EC" w:rsidRPr="00664104">
        <w:t xml:space="preserve"> </w:t>
      </w:r>
      <w:r w:rsidR="00FD14F0" w:rsidRPr="00664104">
        <w:t>to complete diploma</w:t>
      </w:r>
      <w:r w:rsidR="00FD14F0">
        <w:t>s</w:t>
      </w:r>
      <w:r w:rsidR="00FD14F0" w:rsidRPr="00664104">
        <w:t xml:space="preserve"> and those who would </w:t>
      </w:r>
      <w:r w:rsidR="00FD14F0" w:rsidRPr="00664104">
        <w:lastRenderedPageBreak/>
        <w:t>complete diploma</w:t>
      </w:r>
      <w:r w:rsidR="00FD14F0">
        <w:t>s</w:t>
      </w:r>
      <w:r w:rsidR="00FD14F0" w:rsidRPr="00664104">
        <w:t xml:space="preserve"> without the education </w:t>
      </w:r>
      <w:r w:rsidR="006203EC">
        <w:t>subsidies</w:t>
      </w:r>
      <w:r w:rsidR="00FD14F0" w:rsidRPr="00664104">
        <w:t xml:space="preserve">. In general, the former group is likely to experience lower private net benefits. </w:t>
      </w:r>
    </w:p>
    <w:p w:rsidR="00361757" w:rsidRDefault="00361757" w:rsidP="00361757">
      <w:pPr>
        <w:pStyle w:val="Heading4"/>
      </w:pPr>
      <w:r>
        <w:t>Measuring net benefits</w:t>
      </w:r>
    </w:p>
    <w:p w:rsidR="00361757" w:rsidRDefault="00361757" w:rsidP="00361757">
      <w:pPr>
        <w:pStyle w:val="BodyText"/>
      </w:pPr>
      <w:r w:rsidRPr="00664104">
        <w:t xml:space="preserve">Some models exclusively </w:t>
      </w:r>
      <w:r w:rsidR="00302EEE">
        <w:t xml:space="preserve">report impacts of policies on </w:t>
      </w:r>
      <w:r w:rsidRPr="00664104">
        <w:t xml:space="preserve">measures such as Gross Domestic Product (GDP). Notwithstanding that changes in GDP </w:t>
      </w:r>
      <w:r w:rsidR="00302EEE">
        <w:t xml:space="preserve">are </w:t>
      </w:r>
      <w:r w:rsidRPr="00664104">
        <w:t>a</w:t>
      </w:r>
      <w:r w:rsidR="006203EC">
        <w:t xml:space="preserve">n </w:t>
      </w:r>
      <w:r w:rsidRPr="00664104">
        <w:t>indicator of</w:t>
      </w:r>
      <w:r>
        <w:t xml:space="preserve"> effects on </w:t>
      </w:r>
      <w:r w:rsidR="00302EEE">
        <w:t xml:space="preserve">market and government sector </w:t>
      </w:r>
      <w:r>
        <w:t>economic activity</w:t>
      </w:r>
      <w:r w:rsidRPr="00664104">
        <w:t>, there are a number of important drawbacks</w:t>
      </w:r>
      <w:r>
        <w:t xml:space="preserve"> to GDP as a measure of economic benefits</w:t>
      </w:r>
      <w:r w:rsidRPr="00664104">
        <w:t xml:space="preserve">. A limitation especially relevant to education policy is that </w:t>
      </w:r>
      <w:r>
        <w:t>GDP</w:t>
      </w:r>
      <w:r w:rsidRPr="00664104">
        <w:t xml:space="preserve"> does not </w:t>
      </w:r>
      <w:r>
        <w:t>account for</w:t>
      </w:r>
      <w:r w:rsidRPr="00664104">
        <w:t xml:space="preserve"> </w:t>
      </w:r>
      <w:r w:rsidR="00302EEE">
        <w:t xml:space="preserve">many </w:t>
      </w:r>
      <w:r w:rsidRPr="00664104">
        <w:t>non</w:t>
      </w:r>
      <w:r>
        <w:t>-</w:t>
      </w:r>
      <w:r w:rsidRPr="00664104">
        <w:t xml:space="preserve">market activities, such as leisure and caring for family members. </w:t>
      </w:r>
    </w:p>
    <w:p w:rsidR="00361757" w:rsidRDefault="00361757" w:rsidP="00361757">
      <w:pPr>
        <w:pStyle w:val="BodyText"/>
      </w:pPr>
      <w:r>
        <w:t>To illustrate the importance of this, s</w:t>
      </w:r>
      <w:r w:rsidRPr="00664104">
        <w:t xml:space="preserve">uppose an education policy moves people into paid employment where they produce $30 an hour worth of goods and services, </w:t>
      </w:r>
      <w:r w:rsidR="009C41F2">
        <w:t xml:space="preserve">but </w:t>
      </w:r>
      <w:r w:rsidRPr="00664104">
        <w:t>which comes at the expense of non</w:t>
      </w:r>
      <w:r>
        <w:t>-</w:t>
      </w:r>
      <w:r w:rsidRPr="00664104">
        <w:t xml:space="preserve">market activities valued at $20 an hour. GDP increases by $30 </w:t>
      </w:r>
      <w:r w:rsidR="009C41F2">
        <w:t>for each additional hour worked</w:t>
      </w:r>
      <w:r w:rsidRPr="00664104">
        <w:t xml:space="preserve">, but the net benefit </w:t>
      </w:r>
      <w:r w:rsidR="009C41F2">
        <w:t xml:space="preserve">per hour </w:t>
      </w:r>
      <w:r w:rsidRPr="00664104">
        <w:t xml:space="preserve">is </w:t>
      </w:r>
      <w:r w:rsidR="009C41F2">
        <w:t xml:space="preserve">only </w:t>
      </w:r>
      <w:r w:rsidRPr="00664104">
        <w:t xml:space="preserve">$10. </w:t>
      </w:r>
      <w:r w:rsidR="00BD07C1" w:rsidRPr="00664104">
        <w:t>The ELMO model addresses th</w:t>
      </w:r>
      <w:r w:rsidR="00302EEE">
        <w:t>is</w:t>
      </w:r>
      <w:r w:rsidR="00BD07C1" w:rsidRPr="00664104">
        <w:t xml:space="preserve"> issue</w:t>
      </w:r>
      <w:r w:rsidR="00302EEE">
        <w:t xml:space="preserve">, </w:t>
      </w:r>
      <w:r w:rsidR="00BD07C1" w:rsidRPr="00664104">
        <w:t>provid</w:t>
      </w:r>
      <w:r w:rsidR="00302EEE">
        <w:t>ing</w:t>
      </w:r>
      <w:r w:rsidR="00BD07C1" w:rsidRPr="00664104">
        <w:t xml:space="preserve"> a rigorous framework for benefit</w:t>
      </w:r>
      <w:r w:rsidR="009C41F2">
        <w:t>–</w:t>
      </w:r>
      <w:r w:rsidR="00BD07C1" w:rsidRPr="00664104">
        <w:t xml:space="preserve">cost analysis. </w:t>
      </w:r>
    </w:p>
    <w:p w:rsidR="00361757" w:rsidRDefault="00361757" w:rsidP="00361757">
      <w:pPr>
        <w:pStyle w:val="Heading4"/>
      </w:pPr>
      <w:r>
        <w:t>ELMO addresses these issues</w:t>
      </w:r>
    </w:p>
    <w:p w:rsidR="00361757" w:rsidRDefault="00361757" w:rsidP="00361757">
      <w:pPr>
        <w:pStyle w:val="BodyText"/>
      </w:pPr>
      <w:r w:rsidRPr="00664104">
        <w:t xml:space="preserve">The ELMO model addresses these issues and provides a rigorous framework for benefit cost analysis. In developing the model, the Commission built on economic theory to develop an optimisation model with heterogeneity. </w:t>
      </w:r>
    </w:p>
    <w:p w:rsidR="00361757" w:rsidRPr="00664104" w:rsidRDefault="00361757" w:rsidP="00361757">
      <w:pPr>
        <w:pStyle w:val="BodyText"/>
      </w:pPr>
      <w:r w:rsidRPr="00664104">
        <w:t xml:space="preserve">Becker (1974) developed a theory to explain how people make education decisions. He argued that people invest in education to improve their human capital </w:t>
      </w:r>
      <w:r>
        <w:t xml:space="preserve">(to </w:t>
      </w:r>
      <w:r w:rsidRPr="00664104">
        <w:t>secure better work</w:t>
      </w:r>
      <w:r>
        <w:t>)</w:t>
      </w:r>
      <w:r w:rsidRPr="00664104">
        <w:t xml:space="preserve"> as well as</w:t>
      </w:r>
      <w:r>
        <w:t xml:space="preserve"> for</w:t>
      </w:r>
      <w:r w:rsidRPr="00664104">
        <w:t xml:space="preserve"> non-monetary </w:t>
      </w:r>
      <w:r>
        <w:t>reasons</w:t>
      </w:r>
      <w:r w:rsidRPr="00664104">
        <w:t xml:space="preserve">. Potential students compare the benefits and costs of different education </w:t>
      </w:r>
      <w:r>
        <w:t>options</w:t>
      </w:r>
      <w:r w:rsidRPr="00664104">
        <w:t xml:space="preserve"> and make the decision they expect to benefit them most.</w:t>
      </w:r>
    </w:p>
    <w:p w:rsidR="00361757" w:rsidRPr="00664104" w:rsidRDefault="00361757" w:rsidP="00361757">
      <w:pPr>
        <w:pStyle w:val="BodyText"/>
      </w:pPr>
      <w:r w:rsidRPr="00664104">
        <w:t xml:space="preserve">If education decisions are based on some assessment of benefits and costs, and education decisions differ across individuals, it follows that the benefits or costs of education </w:t>
      </w:r>
      <w:r>
        <w:t xml:space="preserve">must </w:t>
      </w:r>
      <w:r w:rsidRPr="00664104">
        <w:t xml:space="preserve">also differ across individuals. Heckman, Stixrud and Urzua (2006) offer evidence that </w:t>
      </w:r>
      <w:r>
        <w:t>an individual’s</w:t>
      </w:r>
      <w:r w:rsidRPr="00664104">
        <w:t xml:space="preserve"> underlying abilities can influence the wage premium received from education. For example, a person with low cognitive ability might struggle to learn and apply the knowledge taught at university. Hence, differences in underlying abilities </w:t>
      </w:r>
      <w:r>
        <w:t>is a</w:t>
      </w:r>
      <w:r w:rsidRPr="00664104">
        <w:t xml:space="preserve"> </w:t>
      </w:r>
      <w:r>
        <w:t xml:space="preserve">plausible source of heterogeneity and </w:t>
      </w:r>
      <w:r w:rsidRPr="00664104">
        <w:t xml:space="preserve">explanation for the wide range of education decisions. </w:t>
      </w:r>
    </w:p>
    <w:p w:rsidR="00361757" w:rsidRPr="00664104" w:rsidRDefault="00361757" w:rsidP="00361757">
      <w:pPr>
        <w:pStyle w:val="BodyText"/>
      </w:pPr>
      <w:r w:rsidRPr="00664104">
        <w:t xml:space="preserve">The ELMO model is a partial equilibrium education investment model. It is consistent with both Becker (1974) and Heckman, Stixrud and Urzua (2006). The </w:t>
      </w:r>
      <w:r w:rsidRPr="00664104">
        <w:lastRenderedPageBreak/>
        <w:t>model estimate</w:t>
      </w:r>
      <w:r>
        <w:t>s</w:t>
      </w:r>
      <w:r w:rsidRPr="00664104">
        <w:t xml:space="preserve"> how potential students respond to education policy, and then applies conventional benefit</w:t>
      </w:r>
      <w:r w:rsidR="009C41F2">
        <w:t>–</w:t>
      </w:r>
      <w:r w:rsidRPr="00664104">
        <w:t xml:space="preserve">cost analysis techniques to </w:t>
      </w:r>
      <w:r>
        <w:t>produce</w:t>
      </w:r>
      <w:r w:rsidRPr="00664104">
        <w:t xml:space="preserve"> welfare measures (Boardman et al. 2001 and Mishan 1971). The </w:t>
      </w:r>
      <w:r>
        <w:t xml:space="preserve">main </w:t>
      </w:r>
      <w:r w:rsidRPr="00664104">
        <w:t xml:space="preserve">innovation of </w:t>
      </w:r>
      <w:r>
        <w:t xml:space="preserve">the </w:t>
      </w:r>
      <w:r w:rsidRPr="00664104">
        <w:t>ELMO</w:t>
      </w:r>
      <w:r>
        <w:t xml:space="preserve"> model</w:t>
      </w:r>
      <w:r w:rsidRPr="00664104">
        <w:t xml:space="preserve"> is the economic framework, which is consistent with </w:t>
      </w:r>
      <w:r>
        <w:t xml:space="preserve">welfare economics </w:t>
      </w:r>
      <w:r w:rsidRPr="00664104">
        <w:t xml:space="preserve">(box </w:t>
      </w:r>
      <w:r w:rsidR="003729A7">
        <w:t>1</w:t>
      </w:r>
      <w:r w:rsidRPr="00664104">
        <w:t>).</w:t>
      </w:r>
    </w:p>
    <w:p w:rsidR="00664104" w:rsidRDefault="0066410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104">
        <w:tc>
          <w:tcPr>
            <w:tcW w:w="8771" w:type="dxa"/>
            <w:tcBorders>
              <w:top w:val="single" w:sz="6" w:space="0" w:color="auto"/>
              <w:bottom w:val="nil"/>
            </w:tcBorders>
          </w:tcPr>
          <w:p w:rsidR="00664104" w:rsidRDefault="00664104" w:rsidP="003729A7">
            <w:pPr>
              <w:pStyle w:val="BoxTitle"/>
            </w:pPr>
            <w:r>
              <w:rPr>
                <w:b w:val="0"/>
              </w:rPr>
              <w:t>Box</w:t>
            </w:r>
            <w:r w:rsidR="003729A7">
              <w:rPr>
                <w:b w:val="0"/>
              </w:rPr>
              <w:t xml:space="preserve"> 1</w:t>
            </w:r>
            <w:r w:rsidR="00361757">
              <w:tab/>
              <w:t>C</w:t>
            </w:r>
            <w:r>
              <w:t>onsistency of the ELMO model with welfare economics</w:t>
            </w:r>
          </w:p>
        </w:tc>
      </w:tr>
      <w:tr w:rsidR="00664104">
        <w:trPr>
          <w:cantSplit/>
        </w:trPr>
        <w:tc>
          <w:tcPr>
            <w:tcW w:w="8771" w:type="dxa"/>
            <w:tcBorders>
              <w:top w:val="nil"/>
              <w:left w:val="single" w:sz="6" w:space="0" w:color="auto"/>
              <w:bottom w:val="nil"/>
              <w:right w:val="single" w:sz="6" w:space="0" w:color="auto"/>
            </w:tcBorders>
          </w:tcPr>
          <w:p w:rsidR="008F7AD1" w:rsidRDefault="009E4C3E" w:rsidP="005D2696">
            <w:pPr>
              <w:pStyle w:val="Box"/>
            </w:pPr>
            <w:r>
              <w:t>If no market failures exist, then m</w:t>
            </w:r>
            <w:r w:rsidR="008C1B52">
              <w:t xml:space="preserve">arkets tend towards efficiency in the absence of </w:t>
            </w:r>
            <w:r w:rsidR="00922B11">
              <w:t xml:space="preserve">government intervention </w:t>
            </w:r>
            <w:r w:rsidR="008C1B52" w:rsidRPr="00664104">
              <w:t>(Ng 1983)</w:t>
            </w:r>
            <w:r w:rsidR="008C1B52">
              <w:t xml:space="preserve">. Similarly, </w:t>
            </w:r>
            <w:r w:rsidR="008F7AD1">
              <w:t>if no market failures are assumed</w:t>
            </w:r>
            <w:r>
              <w:t xml:space="preserve"> in education markets</w:t>
            </w:r>
            <w:r w:rsidR="008F7AD1">
              <w:t xml:space="preserve">, </w:t>
            </w:r>
            <w:r w:rsidR="008C1B52">
              <w:t>welfare is maximised in t</w:t>
            </w:r>
            <w:r w:rsidR="005D7D60">
              <w:t>he ELMO model</w:t>
            </w:r>
            <w:r w:rsidR="008C1B52">
              <w:t xml:space="preserve"> when no</w:t>
            </w:r>
            <w:r w:rsidR="008F7AD1">
              <w:t xml:space="preserve"> government intervention is</w:t>
            </w:r>
            <w:r w:rsidR="008C1B52">
              <w:t xml:space="preserve"> present. </w:t>
            </w:r>
          </w:p>
          <w:p w:rsidR="005D2696" w:rsidRDefault="005D2696">
            <w:pPr>
              <w:pStyle w:val="Box"/>
            </w:pPr>
            <w:r>
              <w:t xml:space="preserve">The primary value of the ELMO model relates to the </w:t>
            </w:r>
            <w:r w:rsidR="000F4305">
              <w:t xml:space="preserve">more likely </w:t>
            </w:r>
            <w:r>
              <w:t xml:space="preserve">case where there are </w:t>
            </w:r>
            <w:r w:rsidR="00747BCF">
              <w:t xml:space="preserve">market failures and </w:t>
            </w:r>
            <w:r>
              <w:t xml:space="preserve">existing </w:t>
            </w:r>
            <w:r w:rsidR="000F4305">
              <w:t>government interventions</w:t>
            </w:r>
            <w:r w:rsidR="000F140E">
              <w:t xml:space="preserve"> </w:t>
            </w:r>
            <w:r w:rsidR="00747BCF">
              <w:t>in education markets</w:t>
            </w:r>
            <w:r w:rsidR="009C41F2">
              <w:t>.</w:t>
            </w:r>
            <w:r>
              <w:t xml:space="preserve"> If the</w:t>
            </w:r>
            <w:r w:rsidR="00747BCF">
              <w:t xml:space="preserve">se distortions </w:t>
            </w:r>
            <w:r>
              <w:t xml:space="preserve">are substantial, it is likely to be difficult to reliably estimate the direction or magnitude of net benefits </w:t>
            </w:r>
            <w:r w:rsidR="000F4305">
              <w:t xml:space="preserve">of a policy change </w:t>
            </w:r>
            <w:r>
              <w:t xml:space="preserve">without a quantitative model such as the ELMO model. </w:t>
            </w:r>
          </w:p>
          <w:p w:rsidR="00664104" w:rsidRDefault="005D2696">
            <w:pPr>
              <w:pStyle w:val="BoxListBullet"/>
            </w:pPr>
            <w:r>
              <w:t xml:space="preserve">The model accounts for a number of potential government </w:t>
            </w:r>
            <w:r w:rsidR="000F140E">
              <w:t xml:space="preserve">policies </w:t>
            </w:r>
            <w:r>
              <w:t>and market distortions</w:t>
            </w:r>
            <w:r w:rsidR="000F140E">
              <w:t xml:space="preserve"> potentially influencing education decisions</w:t>
            </w:r>
            <w:r>
              <w:t>, including: income taxes, education subsidies, externalities and incomplete information.</w:t>
            </w:r>
          </w:p>
        </w:tc>
      </w:tr>
      <w:tr w:rsidR="00664104">
        <w:trPr>
          <w:cantSplit/>
        </w:trPr>
        <w:tc>
          <w:tcPr>
            <w:tcW w:w="8771" w:type="dxa"/>
            <w:tcBorders>
              <w:top w:val="nil"/>
              <w:left w:val="single" w:sz="6" w:space="0" w:color="auto"/>
              <w:bottom w:val="single" w:sz="6" w:space="0" w:color="auto"/>
              <w:right w:val="single" w:sz="6" w:space="0" w:color="auto"/>
            </w:tcBorders>
          </w:tcPr>
          <w:p w:rsidR="00664104" w:rsidRDefault="00664104">
            <w:pPr>
              <w:pStyle w:val="Box"/>
              <w:spacing w:before="0" w:line="120" w:lineRule="exact"/>
            </w:pPr>
          </w:p>
        </w:tc>
      </w:tr>
      <w:tr w:rsidR="00664104" w:rsidRPr="000863A5">
        <w:tc>
          <w:tcPr>
            <w:tcW w:w="8771" w:type="dxa"/>
            <w:tcBorders>
              <w:top w:val="nil"/>
              <w:left w:val="nil"/>
              <w:bottom w:val="nil"/>
              <w:right w:val="nil"/>
            </w:tcBorders>
          </w:tcPr>
          <w:p w:rsidR="00664104" w:rsidRPr="00626D32" w:rsidRDefault="00664104" w:rsidP="001C6784">
            <w:pPr>
              <w:pStyle w:val="BoxSpaceBelow"/>
            </w:pPr>
          </w:p>
        </w:tc>
      </w:tr>
    </w:tbl>
    <w:p w:rsidR="00037C76" w:rsidRDefault="00E62B7F" w:rsidP="00037C76">
      <w:pPr>
        <w:pStyle w:val="Heading3"/>
      </w:pPr>
      <w:r>
        <w:t>Some l</w:t>
      </w:r>
      <w:r w:rsidR="00037C76">
        <w:t>imitations</w:t>
      </w:r>
    </w:p>
    <w:p w:rsidR="005D2696" w:rsidRPr="00664104" w:rsidRDefault="005D2696" w:rsidP="005D2696">
      <w:pPr>
        <w:pStyle w:val="BodyText"/>
      </w:pPr>
      <w:r w:rsidRPr="00664104">
        <w:t xml:space="preserve">The ELMO model </w:t>
      </w:r>
      <w:r>
        <w:t>is based on</w:t>
      </w:r>
      <w:r w:rsidRPr="00664104">
        <w:t xml:space="preserve"> a number of important assumptions</w:t>
      </w:r>
      <w:r w:rsidR="000F140E">
        <w:t>, including:</w:t>
      </w:r>
    </w:p>
    <w:p w:rsidR="005D2696" w:rsidRDefault="005D2696" w:rsidP="005D2696">
      <w:pPr>
        <w:pStyle w:val="ListBullet"/>
      </w:pPr>
      <w:r>
        <w:t>P</w:t>
      </w:r>
      <w:r w:rsidRPr="00664104">
        <w:t>eople are able to borrow at the discount rate to finance education.</w:t>
      </w:r>
      <w:r w:rsidR="00970223">
        <w:rPr>
          <w:rStyle w:val="FootnoteReference"/>
        </w:rPr>
        <w:footnoteReference w:id="2"/>
      </w:r>
      <w:r w:rsidRPr="00664104">
        <w:t xml:space="preserve"> This rules out the possibility that people </w:t>
      </w:r>
      <w:r w:rsidR="000F140E">
        <w:t>do not</w:t>
      </w:r>
      <w:r w:rsidRPr="00664104">
        <w:t xml:space="preserve"> undertake education that </w:t>
      </w:r>
      <w:r w:rsidR="000F140E">
        <w:t>would deliver</w:t>
      </w:r>
      <w:r w:rsidRPr="00664104">
        <w:t xml:space="preserve"> private net benefits because of credit market constraints.</w:t>
      </w:r>
      <w:r w:rsidR="00BD2156">
        <w:t xml:space="preserve"> This is not an unreasonable assumption if students are able to access a deferred loan scheme (such as FEE-HELP).</w:t>
      </w:r>
      <w:r w:rsidR="005F2228">
        <w:rPr>
          <w:rStyle w:val="FootnoteReference"/>
        </w:rPr>
        <w:footnoteReference w:id="3"/>
      </w:r>
      <w:r w:rsidRPr="00664104">
        <w:t xml:space="preserve"> </w:t>
      </w:r>
    </w:p>
    <w:p w:rsidR="005D2696" w:rsidRDefault="005D2696" w:rsidP="005D2696">
      <w:pPr>
        <w:pStyle w:val="ListBullet"/>
      </w:pPr>
      <w:r>
        <w:t>A</w:t>
      </w:r>
      <w:r w:rsidRPr="00664104">
        <w:t xml:space="preserve">bility has an effect on the wage premiums from education, but does not affect education costs. This is a simplification, since people with higher ability might be able to absorb the course material </w:t>
      </w:r>
      <w:r>
        <w:t>more quickly</w:t>
      </w:r>
      <w:r w:rsidRPr="00664104">
        <w:t>.</w:t>
      </w:r>
    </w:p>
    <w:p w:rsidR="005D2696" w:rsidRDefault="005D2696" w:rsidP="005D2696">
      <w:pPr>
        <w:pStyle w:val="ListBullet"/>
      </w:pPr>
      <w:r>
        <w:t>P</w:t>
      </w:r>
      <w:r w:rsidRPr="00664104">
        <w:t>eople can acquire any education they are willing to pay for. That is, there are no quotas or entry requirements. However, it is trivial to adjust the model to limit the number of places in an education option.</w:t>
      </w:r>
    </w:p>
    <w:p w:rsidR="005D2696" w:rsidRDefault="005D2696" w:rsidP="005D2696">
      <w:pPr>
        <w:pStyle w:val="ListBullet"/>
      </w:pPr>
      <w:r>
        <w:lastRenderedPageBreak/>
        <w:t>P</w:t>
      </w:r>
      <w:r w:rsidRPr="00664104">
        <w:t xml:space="preserve">eople undertake education early in their lives. </w:t>
      </w:r>
      <w:r>
        <w:t>(</w:t>
      </w:r>
      <w:r w:rsidRPr="00664104">
        <w:t xml:space="preserve">The effects of education policies on mature learners are </w:t>
      </w:r>
      <w:r>
        <w:t xml:space="preserve">probably </w:t>
      </w:r>
      <w:r w:rsidRPr="00664104">
        <w:t>more appropriately addressed through other methodologies</w:t>
      </w:r>
      <w:r>
        <w:t>, due to the complexity of evaluating the opportunity cost of mature learners</w:t>
      </w:r>
      <w:r w:rsidRPr="00664104">
        <w:t>.</w:t>
      </w:r>
      <w:r>
        <w:t>)</w:t>
      </w:r>
      <w:r w:rsidRPr="00664104">
        <w:t xml:space="preserve"> </w:t>
      </w:r>
    </w:p>
    <w:p w:rsidR="005D2696" w:rsidRDefault="005D2696" w:rsidP="005D2696">
      <w:pPr>
        <w:pStyle w:val="ListBullet"/>
      </w:pPr>
      <w:r>
        <w:t>T</w:t>
      </w:r>
      <w:r w:rsidRPr="00664104">
        <w:t>he education polices are small enough to have minimal impact on prices, such as wages and education fees. This assumption could be violated if education policies caused a large influx of students into an occupation. In the short term, the costs to providers of running</w:t>
      </w:r>
      <w:r>
        <w:t>, say,</w:t>
      </w:r>
      <w:r w:rsidRPr="00664104">
        <w:t xml:space="preserve"> hairdressing courses would increase demand for qualified teachers. This is likely to increase the price of hairdressing courses. In the long term, the </w:t>
      </w:r>
      <w:r>
        <w:t>increase in</w:t>
      </w:r>
      <w:r w:rsidRPr="00664104">
        <w:t xml:space="preserve"> the supply of hairdressers could depress wages. These effects are not modelled. Labour demand curves are assumed to be approximately flat over the relevant range and labour markets are assumed to clear. For many education policies, these partial equilibrium assumptions are likely to be reasonable approximations. </w:t>
      </w:r>
    </w:p>
    <w:p w:rsidR="005D2696" w:rsidRDefault="005D2696" w:rsidP="005D2696">
      <w:pPr>
        <w:pStyle w:val="BodyText"/>
      </w:pPr>
      <w:r>
        <w:t xml:space="preserve">Most of these maintained assumptions can be alleviated, for example, by making education costs a function of ability, or by building a small labour market into the model. However, </w:t>
      </w:r>
      <w:r w:rsidR="000F140E">
        <w:t>doing so c</w:t>
      </w:r>
      <w:r>
        <w:t xml:space="preserve">ould detract from the relative simplicity of the model and the insights gained from </w:t>
      </w:r>
      <w:r w:rsidR="000F140E">
        <w:t>it</w:t>
      </w:r>
      <w:r>
        <w:t xml:space="preserve">.  </w:t>
      </w:r>
    </w:p>
    <w:p w:rsidR="00FE34AA" w:rsidRDefault="003729A7" w:rsidP="00FE34AA">
      <w:pPr>
        <w:pStyle w:val="Heading2"/>
      </w:pPr>
      <w:r>
        <w:t>2</w:t>
      </w:r>
      <w:r w:rsidR="00FE34AA">
        <w:tab/>
        <w:t xml:space="preserve">Stylised </w:t>
      </w:r>
      <w:r w:rsidR="00096471">
        <w:t>representation</w:t>
      </w:r>
      <w:r w:rsidR="00FE34AA">
        <w:t xml:space="preserve"> of the ELMO model</w:t>
      </w:r>
    </w:p>
    <w:p w:rsidR="005D2696" w:rsidRDefault="005D2696" w:rsidP="005D2696">
      <w:pPr>
        <w:pStyle w:val="BodyText"/>
      </w:pPr>
      <w:r w:rsidRPr="000D3529">
        <w:t xml:space="preserve">The concepts behind the ELMO model can be explained with </w:t>
      </w:r>
      <w:r>
        <w:t>simple</w:t>
      </w:r>
      <w:r w:rsidRPr="000D3529">
        <w:t xml:space="preserve"> diagrams</w:t>
      </w:r>
      <w:r>
        <w:t>, based on simplified assumptions</w:t>
      </w:r>
      <w:r w:rsidRPr="000D3529">
        <w:t xml:space="preserve">. </w:t>
      </w:r>
      <w:r>
        <w:t>The complexities of the mode</w:t>
      </w:r>
      <w:r w:rsidR="00417390">
        <w:t xml:space="preserve">l itself are found in section </w:t>
      </w:r>
      <w:r>
        <w:t xml:space="preserve">3. </w:t>
      </w:r>
    </w:p>
    <w:p w:rsidR="00FE34AA" w:rsidRPr="000D3529" w:rsidRDefault="00FE34AA" w:rsidP="00FE34AA">
      <w:pPr>
        <w:pStyle w:val="Heading3"/>
      </w:pPr>
      <w:r w:rsidRPr="000D3529">
        <w:t>Ability</w:t>
      </w:r>
    </w:p>
    <w:p w:rsidR="001046F9" w:rsidRDefault="001046F9" w:rsidP="001046F9">
      <w:pPr>
        <w:pStyle w:val="BodyText"/>
      </w:pPr>
      <w:r>
        <w:t>The ELMO model</w:t>
      </w:r>
      <w:r w:rsidRPr="000D3529">
        <w:t xml:space="preserve"> is</w:t>
      </w:r>
      <w:r>
        <w:t xml:space="preserve"> built on</w:t>
      </w:r>
      <w:r w:rsidRPr="000D3529">
        <w:t xml:space="preserve"> a </w:t>
      </w:r>
      <w:r>
        <w:t xml:space="preserve">conventional, Becker-type </w:t>
      </w:r>
      <w:r w:rsidRPr="000D3529">
        <w:t>education investment</w:t>
      </w:r>
      <w:r>
        <w:t xml:space="preserve"> framework</w:t>
      </w:r>
      <w:r w:rsidRPr="000D3529">
        <w:t xml:space="preserve">, </w:t>
      </w:r>
      <w:r>
        <w:t xml:space="preserve">but </w:t>
      </w:r>
      <w:r w:rsidRPr="000D3529">
        <w:t>the benefits and costs of education depend on ability. Suppose that childcare is the only type of work available. In this case, ability would be defined as the potential to learn the skills necessary to be a good childcare worker and apply those skills in the workplace. To model ability, every person is assigned a score — the least able person is given zero and the most able</w:t>
      </w:r>
      <w:r>
        <w:t xml:space="preserve"> is given one. F</w:t>
      </w:r>
      <w:r w:rsidRPr="000D3529">
        <w:t xml:space="preserve">igure </w:t>
      </w:r>
      <w:r w:rsidR="003729A7">
        <w:t>1</w:t>
      </w:r>
      <w:r w:rsidRPr="000D3529">
        <w:t xml:space="preserve"> shows two hypothetical people, A and B. The scores are interpreted as percentiles, so that Person A, who has a score of 0.3, has higher ability than 30 per cent of the relevant population.</w:t>
      </w:r>
    </w:p>
    <w:p w:rsidR="00FE34AA" w:rsidRDefault="00FE34AA">
      <w:pPr>
        <w:pStyle w:val="FigureTitle"/>
      </w:pPr>
      <w:r>
        <w:rPr>
          <w:b w:val="0"/>
        </w:rPr>
        <w:lastRenderedPageBreak/>
        <w:t xml:space="preserve">Figure </w:t>
      </w:r>
      <w:r w:rsidR="003729A7">
        <w:rPr>
          <w:b w:val="0"/>
        </w:rPr>
        <w:t>1</w:t>
      </w:r>
      <w:r>
        <w:tab/>
      </w:r>
      <w:r w:rsidR="005D2696">
        <w:t>Continuum of ability</w:t>
      </w:r>
    </w:p>
    <w:p w:rsidR="00FE34AA" w:rsidRDefault="005D2696">
      <w:pPr>
        <w:pStyle w:val="Subtitle"/>
      </w:pPr>
      <w:r>
        <w:t>Single dimension of ability</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34AA">
        <w:tc>
          <w:tcPr>
            <w:tcW w:w="8777" w:type="dxa"/>
          </w:tcPr>
          <w:p w:rsidR="00FE34AA" w:rsidRDefault="00FE34AA">
            <w:pPr>
              <w:pStyle w:val="Figure"/>
            </w:pPr>
            <w:r w:rsidRPr="000D3529">
              <w:rPr>
                <w:noProof/>
              </w:rPr>
              <w:drawing>
                <wp:inline distT="0" distB="0" distL="0" distR="0" wp14:anchorId="09BA8FA0" wp14:editId="552495CF">
                  <wp:extent cx="5727700" cy="1828800"/>
                  <wp:effectExtent l="0" t="0" r="0" b="0"/>
                  <wp:docPr id="1" name="Picture 1" descr="Figure 1. shows two hypothetical people, A and B. The scores are interpreted as percentiles, so that Person A, who has a score of 0.3, has higher ability than 30 per cent of the relevant pop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7700" cy="1828800"/>
                          </a:xfrm>
                          <a:prstGeom prst="rect">
                            <a:avLst/>
                          </a:prstGeom>
                          <a:noFill/>
                          <a:ln>
                            <a:noFill/>
                          </a:ln>
                        </pic:spPr>
                      </pic:pic>
                    </a:graphicData>
                  </a:graphic>
                </wp:inline>
              </w:drawing>
            </w:r>
          </w:p>
        </w:tc>
      </w:tr>
    </w:tbl>
    <w:p w:rsidR="00FE34AA" w:rsidRPr="000D3529" w:rsidRDefault="00FE34AA" w:rsidP="00FE34AA">
      <w:pPr>
        <w:pStyle w:val="Heading3"/>
      </w:pPr>
      <w:r w:rsidRPr="000D3529">
        <w:t xml:space="preserve">Optimisation </w:t>
      </w:r>
    </w:p>
    <w:p w:rsidR="001046F9" w:rsidRDefault="001046F9" w:rsidP="001046F9">
      <w:pPr>
        <w:pStyle w:val="BodyText"/>
      </w:pPr>
      <w:r>
        <w:t xml:space="preserve">The </w:t>
      </w:r>
      <w:r w:rsidRPr="0037754F">
        <w:t>ELMO</w:t>
      </w:r>
      <w:r>
        <w:t xml:space="preserve"> model</w:t>
      </w:r>
      <w:r w:rsidRPr="0037754F">
        <w:t xml:space="preserve"> is </w:t>
      </w:r>
      <w:r>
        <w:t>essentially a two</w:t>
      </w:r>
      <w:r w:rsidR="000F140E">
        <w:t>-</w:t>
      </w:r>
      <w:r>
        <w:t xml:space="preserve">period model. In period </w:t>
      </w:r>
      <w:r w:rsidR="000F140E">
        <w:t>1</w:t>
      </w:r>
      <w:r>
        <w:t xml:space="preserve"> </w:t>
      </w:r>
      <w:r w:rsidR="009348EE">
        <w:t>education</w:t>
      </w:r>
      <w:r w:rsidR="000F140E">
        <w:t>–</w:t>
      </w:r>
      <w:r w:rsidR="009348EE">
        <w:t>work</w:t>
      </w:r>
      <w:r>
        <w:t xml:space="preserve"> decisions are made and costs are incurred. Period </w:t>
      </w:r>
      <w:r w:rsidR="000F140E">
        <w:t>2</w:t>
      </w:r>
      <w:r>
        <w:t xml:space="preserve"> reflects individuals’ working lives, when they receive discounted benefits from applying in the labour market the skills learnt in period </w:t>
      </w:r>
      <w:r w:rsidR="005D009B">
        <w:t>1</w:t>
      </w:r>
      <w:r>
        <w:t xml:space="preserve">. </w:t>
      </w:r>
    </w:p>
    <w:p w:rsidR="001046F9" w:rsidRPr="000D3529" w:rsidRDefault="001046F9" w:rsidP="001046F9">
      <w:pPr>
        <w:pStyle w:val="BodyText"/>
      </w:pPr>
      <w:r w:rsidRPr="000D3529">
        <w:t>Ability determines the benefits of different educ</w:t>
      </w:r>
      <w:r>
        <w:t xml:space="preserve">ation options in the ELMO model. </w:t>
      </w:r>
      <w:r w:rsidRPr="000D3529">
        <w:t>Two education options are illustrated in figure</w:t>
      </w:r>
      <w:r>
        <w:t xml:space="preserve"> </w:t>
      </w:r>
      <w:r w:rsidR="003729A7">
        <w:t>2</w:t>
      </w:r>
      <w:r w:rsidRPr="000D3529">
        <w:t xml:space="preserve">. The </w:t>
      </w:r>
      <w:r>
        <w:t>year 11 curve (</w:t>
      </w:r>
      <w:r w:rsidRPr="000D3529">
        <w:t>Y11</w:t>
      </w:r>
      <w:r>
        <w:t>) represents the</w:t>
      </w:r>
      <w:r w:rsidRPr="000D3529">
        <w:t xml:space="preserve"> benefits </w:t>
      </w:r>
      <w:r>
        <w:t xml:space="preserve">from work (and other activities) </w:t>
      </w:r>
      <w:r w:rsidRPr="000D3529">
        <w:t xml:space="preserve">associated with </w:t>
      </w:r>
      <w:r>
        <w:t>a y</w:t>
      </w:r>
      <w:r w:rsidRPr="000D3529">
        <w:t xml:space="preserve">ear 11 education for people of different </w:t>
      </w:r>
      <w:r>
        <w:t>abilities</w:t>
      </w:r>
      <w:r w:rsidRPr="000D3529">
        <w:t xml:space="preserve">. The curve slopes upwards, indicating that </w:t>
      </w:r>
      <w:r>
        <w:t>benefits increase with ability. The c</w:t>
      </w:r>
      <w:r w:rsidRPr="000D3529">
        <w:t>ert</w:t>
      </w:r>
      <w:r>
        <w:t>ificate</w:t>
      </w:r>
      <w:r w:rsidRPr="000D3529">
        <w:t xml:space="preserve"> III curve</w:t>
      </w:r>
      <w:r>
        <w:t xml:space="preserve"> (Cert III)</w:t>
      </w:r>
      <w:r w:rsidRPr="000D3529">
        <w:t xml:space="preserve"> has a similar interpretation.</w:t>
      </w:r>
      <w:r>
        <w:t xml:space="preserve"> </w:t>
      </w:r>
      <w:r w:rsidRPr="000D3529">
        <w:t>Since ha</w:t>
      </w:r>
      <w:r>
        <w:t>ving a c</w:t>
      </w:r>
      <w:r w:rsidRPr="000D3529">
        <w:t xml:space="preserve">ertificate III tends to increase </w:t>
      </w:r>
      <w:r>
        <w:t>wages and employment prospects</w:t>
      </w:r>
      <w:r w:rsidRPr="000D3529">
        <w:t xml:space="preserve"> relative to </w:t>
      </w:r>
      <w:r>
        <w:t>y</w:t>
      </w:r>
      <w:r w:rsidRPr="000D3529">
        <w:t xml:space="preserve">ear 11, the </w:t>
      </w:r>
      <w:r>
        <w:t>c</w:t>
      </w:r>
      <w:r w:rsidRPr="000D3529">
        <w:t>ertificate III</w:t>
      </w:r>
      <w:r>
        <w:t xml:space="preserve"> curve</w:t>
      </w:r>
      <w:r w:rsidRPr="000D3529">
        <w:t xml:space="preserve"> </w:t>
      </w:r>
      <w:r>
        <w:t>is above the y</w:t>
      </w:r>
      <w:r w:rsidRPr="000D3529">
        <w:t>ear 11</w:t>
      </w:r>
      <w:r>
        <w:t xml:space="preserve"> </w:t>
      </w:r>
      <w:r w:rsidRPr="000D3529">
        <w:t>curve.</w:t>
      </w:r>
    </w:p>
    <w:p w:rsidR="001046F9" w:rsidRDefault="001046F9" w:rsidP="001046F9">
      <w:pPr>
        <w:pStyle w:val="BodyText"/>
      </w:pPr>
      <w:r w:rsidRPr="000D3529">
        <w:t>The benefits of additional education co</w:t>
      </w:r>
      <w:r>
        <w:t>uld depend on ability.</w:t>
      </w:r>
      <w:r w:rsidRPr="000D3529">
        <w:t xml:space="preserve"> One possible explanation is that people with higher ability might be better at learning and applying the skills acquired from additional education. </w:t>
      </w:r>
      <w:r>
        <w:t xml:space="preserve">This manifests as an increase in the vertical distance between the curves as ability increases. </w:t>
      </w:r>
    </w:p>
    <w:p w:rsidR="00FE34AA" w:rsidRDefault="00FE34AA" w:rsidP="00FE34AA">
      <w:pPr>
        <w:pStyle w:val="FigureTitle"/>
      </w:pPr>
      <w:r>
        <w:rPr>
          <w:b w:val="0"/>
        </w:rPr>
        <w:lastRenderedPageBreak/>
        <w:t xml:space="preserve">Figure </w:t>
      </w:r>
      <w:r w:rsidR="003729A7">
        <w:rPr>
          <w:b w:val="0"/>
        </w:rPr>
        <w:t>2</w:t>
      </w:r>
      <w:r>
        <w:tab/>
      </w:r>
      <w:r w:rsidRPr="00FE34AA">
        <w:rPr>
          <w:rFonts w:cs="Times New Roman"/>
        </w:rPr>
        <w:t>Benefits associated with different education options and abilities</w:t>
      </w:r>
      <w:r>
        <w:t xml:space="preserve"> </w:t>
      </w:r>
    </w:p>
    <w:p w:rsidR="001046F9" w:rsidRPr="001046F9" w:rsidRDefault="001046F9" w:rsidP="001046F9">
      <w:pPr>
        <w:pStyle w:val="Subtitle"/>
      </w:pPr>
      <w:r w:rsidRPr="001046F9">
        <w:t>Two education options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34AA">
        <w:tc>
          <w:tcPr>
            <w:tcW w:w="8777" w:type="dxa"/>
          </w:tcPr>
          <w:p w:rsidR="00FE34AA" w:rsidRDefault="00FE34AA">
            <w:pPr>
              <w:pStyle w:val="Figure"/>
            </w:pPr>
            <w:r w:rsidRPr="00F70811">
              <w:rPr>
                <w:noProof/>
              </w:rPr>
              <w:drawing>
                <wp:inline distT="0" distB="0" distL="0" distR="0" wp14:anchorId="7794183D" wp14:editId="0772C789">
                  <wp:extent cx="5727700" cy="2855595"/>
                  <wp:effectExtent l="0" t="0" r="0" b="0"/>
                  <wp:docPr id="2" name="Picture 2" descr="Figure 2. 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2855595"/>
                          </a:xfrm>
                          <a:prstGeom prst="rect">
                            <a:avLst/>
                          </a:prstGeom>
                          <a:noFill/>
                          <a:ln>
                            <a:noFill/>
                          </a:ln>
                        </pic:spPr>
                      </pic:pic>
                    </a:graphicData>
                  </a:graphic>
                </wp:inline>
              </w:drawing>
            </w:r>
          </w:p>
        </w:tc>
      </w:tr>
    </w:tbl>
    <w:p w:rsidR="00FE34AA" w:rsidRDefault="00FE34AA" w:rsidP="00FE34AA">
      <w:pPr>
        <w:pStyle w:val="BodyText"/>
      </w:pPr>
      <w:r w:rsidRPr="00A53CD8">
        <w:t xml:space="preserve">The costs of education are also relevant, and include course fees and </w:t>
      </w:r>
      <w:r>
        <w:t xml:space="preserve">reduced income due to time studying. Certificate III is more costly than year 11. </w:t>
      </w:r>
      <w:r w:rsidRPr="00A53CD8">
        <w:t xml:space="preserve">Unlike benefits, the costs are assumed to </w:t>
      </w:r>
      <w:r w:rsidR="00163403" w:rsidRPr="00A53CD8">
        <w:t xml:space="preserve">not </w:t>
      </w:r>
      <w:r w:rsidRPr="00A53CD8">
        <w:t xml:space="preserve">depend on ability. </w:t>
      </w:r>
      <w:r>
        <w:t xml:space="preserve"> </w:t>
      </w:r>
    </w:p>
    <w:p w:rsidR="00FE34AA" w:rsidRDefault="00FE34AA" w:rsidP="00FE34AA">
      <w:pPr>
        <w:pStyle w:val="BodyText"/>
      </w:pPr>
      <w:r w:rsidRPr="00A53CD8">
        <w:t xml:space="preserve">Net benefit curves are derived by subtracting the </w:t>
      </w:r>
      <w:r w:rsidR="001046F9">
        <w:t>costs from the benefits (figure </w:t>
      </w:r>
      <w:r w:rsidR="003729A7">
        <w:t>3</w:t>
      </w:r>
      <w:r w:rsidRPr="00A53CD8">
        <w:t>). People select the education option with the highest net benefit. T</w:t>
      </w:r>
      <w:r>
        <w:t>he net benefit associated with y</w:t>
      </w:r>
      <w:r w:rsidRPr="00A53CD8">
        <w:t>ear 11 exceeds the</w:t>
      </w:r>
      <w:r>
        <w:t xml:space="preserve"> net benefit associated with a c</w:t>
      </w:r>
      <w:r w:rsidRPr="00A53CD8">
        <w:t xml:space="preserve">ertificate III for people with ability </w:t>
      </w:r>
      <w:r w:rsidR="00163403">
        <w:t>below</w:t>
      </w:r>
      <w:r w:rsidRPr="00A53CD8">
        <w:t xml:space="preserve"> 0.4. In other words, t</w:t>
      </w:r>
      <w:r>
        <w:t>he increase in benefits from a c</w:t>
      </w:r>
      <w:r w:rsidRPr="00A53CD8">
        <w:t>ertificate III are not sufficient to cover the increase in costs, and these peop</w:t>
      </w:r>
      <w:r>
        <w:t>le are unlikely to undertake a c</w:t>
      </w:r>
      <w:r w:rsidRPr="00A53CD8">
        <w:t>ertificate III. By contrast,</w:t>
      </w:r>
      <w:r w:rsidR="00163403">
        <w:t xml:space="preserve"> the</w:t>
      </w:r>
      <w:r w:rsidRPr="00A53CD8">
        <w:t xml:space="preserve"> </w:t>
      </w:r>
      <w:r>
        <w:t>net benefits associated with a c</w:t>
      </w:r>
      <w:r w:rsidRPr="00A53CD8">
        <w:t>ertificate III exceed th</w:t>
      </w:r>
      <w:r>
        <w:t>e net benefits associated with y</w:t>
      </w:r>
      <w:r w:rsidRPr="00A53CD8">
        <w:t>ear 11 for people with ability above 0</w:t>
      </w:r>
      <w:r w:rsidRPr="00096471">
        <w:t>.</w:t>
      </w:r>
      <w:r w:rsidRPr="00A53CD8">
        <w:t xml:space="preserve">4. </w:t>
      </w:r>
    </w:p>
    <w:p w:rsidR="00FE34AA" w:rsidRDefault="00FE34AA">
      <w:pPr>
        <w:pStyle w:val="FigureTitle"/>
        <w:rPr>
          <w:rFonts w:cs="Times New Roman"/>
        </w:rPr>
      </w:pPr>
      <w:r>
        <w:rPr>
          <w:b w:val="0"/>
        </w:rPr>
        <w:lastRenderedPageBreak/>
        <w:t xml:space="preserve">Figure </w:t>
      </w:r>
      <w:r w:rsidR="003729A7">
        <w:rPr>
          <w:b w:val="0"/>
        </w:rPr>
        <w:t>3</w:t>
      </w:r>
      <w:r>
        <w:tab/>
      </w:r>
      <w:r w:rsidRPr="00FE34AA">
        <w:rPr>
          <w:rFonts w:cs="Times New Roman"/>
        </w:rPr>
        <w:t>Net benefits associated with different education options and abilities</w:t>
      </w:r>
    </w:p>
    <w:p w:rsidR="001046F9" w:rsidRPr="001046F9" w:rsidRDefault="001046F9" w:rsidP="001046F9">
      <w:pPr>
        <w:pStyle w:val="Subtitle"/>
      </w:pPr>
      <w:r w:rsidRPr="001046F9">
        <w:t>Two education options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34AA">
        <w:tc>
          <w:tcPr>
            <w:tcW w:w="8777" w:type="dxa"/>
          </w:tcPr>
          <w:p w:rsidR="00FE34AA" w:rsidRDefault="00FE34AA">
            <w:pPr>
              <w:pStyle w:val="Figure"/>
            </w:pPr>
            <w:r w:rsidRPr="00790EB8">
              <w:rPr>
                <w:noProof/>
              </w:rPr>
              <w:drawing>
                <wp:inline distT="0" distB="0" distL="0" distR="0" wp14:anchorId="595D917C" wp14:editId="75A31D28">
                  <wp:extent cx="5727700" cy="3433445"/>
                  <wp:effectExtent l="0" t="0" r="0" b="0"/>
                  <wp:docPr id="3" name="Picture 3" descr="Figure 3. 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7700" cy="3433445"/>
                          </a:xfrm>
                          <a:prstGeom prst="rect">
                            <a:avLst/>
                          </a:prstGeom>
                          <a:noFill/>
                          <a:ln>
                            <a:noFill/>
                          </a:ln>
                        </pic:spPr>
                      </pic:pic>
                    </a:graphicData>
                  </a:graphic>
                </wp:inline>
              </w:drawing>
            </w:r>
          </w:p>
        </w:tc>
      </w:tr>
    </w:tbl>
    <w:p w:rsidR="00FE34AA" w:rsidRPr="00A53CD8" w:rsidRDefault="00FE34AA" w:rsidP="00FE34AA">
      <w:pPr>
        <w:pStyle w:val="BodyText"/>
      </w:pPr>
      <w:r w:rsidRPr="00A53CD8">
        <w:t xml:space="preserve">This stylised representation of the ELMO model can be used to illustrate the effects of various </w:t>
      </w:r>
      <w:r>
        <w:t>education policies</w:t>
      </w:r>
      <w:r w:rsidRPr="00A53CD8">
        <w:t>. Given that education decisions are based</w:t>
      </w:r>
      <w:r>
        <w:t xml:space="preserve"> </w:t>
      </w:r>
      <w:r w:rsidRPr="00A53CD8">
        <w:t xml:space="preserve">on an assessment of net benefits, any reform that influences the net benefits of education has the potential to </w:t>
      </w:r>
      <w:r w:rsidR="00163403">
        <w:t>alter</w:t>
      </w:r>
      <w:r w:rsidRPr="00A53CD8">
        <w:t xml:space="preserve"> the </w:t>
      </w:r>
      <w:r>
        <w:t>number of people undertaking a c</w:t>
      </w:r>
      <w:r w:rsidRPr="00A53CD8">
        <w:t xml:space="preserve">ertificate III. </w:t>
      </w:r>
    </w:p>
    <w:p w:rsidR="00FE34AA" w:rsidRPr="00F91B89" w:rsidRDefault="00FE34AA" w:rsidP="00FE34AA">
      <w:pPr>
        <w:pStyle w:val="BodyText"/>
      </w:pPr>
      <w:r w:rsidRPr="00F91B89">
        <w:t xml:space="preserve">Assume that the government introduces a subsidy for </w:t>
      </w:r>
      <w:r>
        <w:t>c</w:t>
      </w:r>
      <w:r w:rsidRPr="00F91B89">
        <w:t xml:space="preserve">ertificate III qualifications, thereby increasing the net benefits relative to </w:t>
      </w:r>
      <w:r>
        <w:t xml:space="preserve">year 11 (figure </w:t>
      </w:r>
      <w:r w:rsidR="003729A7">
        <w:t>4</w:t>
      </w:r>
      <w:r>
        <w:t>). In this case, the y</w:t>
      </w:r>
      <w:r w:rsidRPr="00F91B89">
        <w:t>ear 11 curve is uncha</w:t>
      </w:r>
      <w:r>
        <w:t>nged, but the c</w:t>
      </w:r>
      <w:r w:rsidRPr="00F91B89">
        <w:t>ertificate III curve shifts upwards</w:t>
      </w:r>
      <w:r>
        <w:t xml:space="preserve"> </w:t>
      </w:r>
      <w:r w:rsidRPr="00F91B89">
        <w:t>(to Cert III’). As a result, some people who previous</w:t>
      </w:r>
      <w:r w:rsidR="00163403">
        <w:t>ly would not have undertaken a c</w:t>
      </w:r>
      <w:r w:rsidRPr="00F91B89">
        <w:t xml:space="preserve">ertificate III would now find it worthwhile to do so. </w:t>
      </w:r>
    </w:p>
    <w:p w:rsidR="00FE34AA" w:rsidRDefault="00FE34AA" w:rsidP="00FE34AA">
      <w:pPr>
        <w:pStyle w:val="BodyText"/>
      </w:pPr>
      <w:r w:rsidRPr="00F91B89">
        <w:t xml:space="preserve">In this hypothetical example, the ability score at which people are indifferent between the education options moves from 0.4 to 0.3 </w:t>
      </w:r>
      <w:r w:rsidR="00163403">
        <w:t>and this causes</w:t>
      </w:r>
      <w:r w:rsidRPr="00F91B89">
        <w:t xml:space="preserve"> a shift towards </w:t>
      </w:r>
      <w:r>
        <w:t>c</w:t>
      </w:r>
      <w:r w:rsidRPr="00F91B89">
        <w:t>ertificate III qualifications.</w:t>
      </w:r>
    </w:p>
    <w:p w:rsidR="00FE34AA" w:rsidRDefault="00FE34AA">
      <w:pPr>
        <w:pStyle w:val="FigureTitle"/>
      </w:pPr>
      <w:r>
        <w:rPr>
          <w:b w:val="0"/>
        </w:rPr>
        <w:lastRenderedPageBreak/>
        <w:t xml:space="preserve">Figure </w:t>
      </w:r>
      <w:r w:rsidR="003729A7">
        <w:rPr>
          <w:b w:val="0"/>
        </w:rPr>
        <w:t>4</w:t>
      </w:r>
      <w:r>
        <w:tab/>
      </w:r>
      <w:r w:rsidRPr="00FE34AA">
        <w:rPr>
          <w:rFonts w:cs="Times New Roman"/>
        </w:rPr>
        <w:t>The effect of a subsidy on education decisions</w:t>
      </w:r>
    </w:p>
    <w:p w:rsidR="00FE34AA" w:rsidRDefault="00FE34AA">
      <w:pPr>
        <w:pStyle w:val="Subtitle"/>
      </w:pP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E34AA">
        <w:tc>
          <w:tcPr>
            <w:tcW w:w="8777" w:type="dxa"/>
          </w:tcPr>
          <w:p w:rsidR="00FE34AA" w:rsidRDefault="00FE34AA">
            <w:pPr>
              <w:pStyle w:val="Figure"/>
            </w:pPr>
            <w:r w:rsidRPr="00BD5419">
              <w:rPr>
                <w:noProof/>
              </w:rPr>
              <w:drawing>
                <wp:inline distT="0" distB="0" distL="0" distR="0" wp14:anchorId="0DA282F1" wp14:editId="2E861152">
                  <wp:extent cx="5727700" cy="3321050"/>
                  <wp:effectExtent l="0" t="0" r="0" b="0"/>
                  <wp:docPr id="4" name="Picture 4" descr="Figure 4. More details can be found within the text immediately before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7700" cy="3321050"/>
                          </a:xfrm>
                          <a:prstGeom prst="rect">
                            <a:avLst/>
                          </a:prstGeom>
                          <a:noFill/>
                          <a:ln>
                            <a:noFill/>
                          </a:ln>
                        </pic:spPr>
                      </pic:pic>
                    </a:graphicData>
                  </a:graphic>
                </wp:inline>
              </w:drawing>
            </w:r>
          </w:p>
        </w:tc>
      </w:tr>
    </w:tbl>
    <w:p w:rsidR="00FE34AA" w:rsidRDefault="00FE34AA" w:rsidP="00FE34AA">
      <w:pPr>
        <w:pStyle w:val="BodyText"/>
      </w:pPr>
      <w:r w:rsidRPr="00F91B89">
        <w:t>The effect of the subsidy</w:t>
      </w:r>
      <w:r w:rsidR="00163403">
        <w:t xml:space="preserve"> </w:t>
      </w:r>
      <w:r w:rsidRPr="00F91B89">
        <w:t xml:space="preserve">depends on the magnitude of the subsidy (which determines the extent to which the curves shift) and the slopes of the curves. In general, the more similar the slopes of the curves, the greater the effect of the subsidy. That is because with similar slopes there are many people who </w:t>
      </w:r>
      <w:r>
        <w:t>are almost indifferent between the education options</w:t>
      </w:r>
      <w:r w:rsidRPr="00F91B89">
        <w:t>, and could easily be induced to change their decisions.</w:t>
      </w:r>
    </w:p>
    <w:p w:rsidR="00096471" w:rsidRDefault="003729A7" w:rsidP="00096471">
      <w:pPr>
        <w:pStyle w:val="Heading2"/>
      </w:pPr>
      <w:r>
        <w:t>3</w:t>
      </w:r>
      <w:r w:rsidR="00096471">
        <w:tab/>
        <w:t>Key equations in the ELMO model</w:t>
      </w:r>
    </w:p>
    <w:p w:rsidR="00096471" w:rsidRDefault="00163403" w:rsidP="005E0819">
      <w:pPr>
        <w:pStyle w:val="BodyText"/>
      </w:pPr>
      <w:r>
        <w:t>T</w:t>
      </w:r>
      <w:r w:rsidR="00096471">
        <w:t>he key equations of the ELMO model</w:t>
      </w:r>
      <w:r>
        <w:t xml:space="preserve"> are documented in this section</w:t>
      </w:r>
      <w:r w:rsidR="007F686D">
        <w:t>. The documentation is not exhaustive —</w:t>
      </w:r>
      <w:r w:rsidR="00096471">
        <w:t xml:space="preserve"> readers </w:t>
      </w:r>
      <w:r w:rsidR="00096471" w:rsidRPr="006E447E">
        <w:t xml:space="preserve">can refer to the ELMO GAMS file to view the complete model. </w:t>
      </w:r>
      <w:r w:rsidR="00096471">
        <w:t xml:space="preserve">The model is documented in GAMS code rather than standard mathematical notation to make the link between the documentation and the model clearer, and to introduce new users to GAMS code. </w:t>
      </w:r>
    </w:p>
    <w:p w:rsidR="00096471" w:rsidRDefault="00096471" w:rsidP="007F686D">
      <w:pPr>
        <w:pStyle w:val="BodyText"/>
        <w:jc w:val="left"/>
      </w:pPr>
      <w:r>
        <w:t>The structure of this section follows the structure of the GAMS file, specifically:</w:t>
      </w:r>
    </w:p>
    <w:p w:rsidR="00096471" w:rsidRPr="006E447E" w:rsidRDefault="00096471" w:rsidP="00096471">
      <w:pPr>
        <w:pStyle w:val="ListBullet"/>
      </w:pPr>
      <w:r w:rsidRPr="006E447E">
        <w:t xml:space="preserve">Core </w:t>
      </w:r>
      <w:r w:rsidR="001046F9">
        <w:t>code</w:t>
      </w:r>
    </w:p>
    <w:p w:rsidR="00096471" w:rsidRPr="006E447E" w:rsidRDefault="00096471" w:rsidP="00096471">
      <w:pPr>
        <w:pStyle w:val="ListBullet2"/>
      </w:pPr>
      <w:r>
        <w:t>s</w:t>
      </w:r>
      <w:r w:rsidRPr="006E447E">
        <w:t>ets</w:t>
      </w:r>
    </w:p>
    <w:p w:rsidR="00096471" w:rsidRPr="006E447E" w:rsidRDefault="00096471" w:rsidP="00096471">
      <w:pPr>
        <w:pStyle w:val="ListBullet2"/>
      </w:pPr>
      <w:r>
        <w:t>c</w:t>
      </w:r>
      <w:r w:rsidRPr="006E447E">
        <w:t>osts</w:t>
      </w:r>
    </w:p>
    <w:p w:rsidR="00096471" w:rsidRPr="006E447E" w:rsidRDefault="00096471" w:rsidP="00096471">
      <w:pPr>
        <w:pStyle w:val="ListBullet2"/>
      </w:pPr>
      <w:r>
        <w:lastRenderedPageBreak/>
        <w:t>b</w:t>
      </w:r>
      <w:r w:rsidRPr="006E447E">
        <w:t>enefits</w:t>
      </w:r>
    </w:p>
    <w:p w:rsidR="00096471" w:rsidRDefault="00096471" w:rsidP="00096471">
      <w:pPr>
        <w:pStyle w:val="ListBullet2"/>
      </w:pPr>
      <w:r>
        <w:t>n</w:t>
      </w:r>
      <w:r w:rsidRPr="006E447E">
        <w:t>et benefits</w:t>
      </w:r>
    </w:p>
    <w:p w:rsidR="00096471" w:rsidRPr="006E447E" w:rsidRDefault="00096471" w:rsidP="00096471">
      <w:pPr>
        <w:pStyle w:val="ListBullet2"/>
      </w:pPr>
      <w:r>
        <w:t>weighting</w:t>
      </w:r>
    </w:p>
    <w:p w:rsidR="00096471" w:rsidRPr="006E447E" w:rsidRDefault="00096471" w:rsidP="00096471">
      <w:pPr>
        <w:pStyle w:val="ListBullet2"/>
      </w:pPr>
      <w:r>
        <w:t>o</w:t>
      </w:r>
      <w:r w:rsidRPr="006E447E">
        <w:t>bjective function and constraints</w:t>
      </w:r>
    </w:p>
    <w:p w:rsidR="00096471" w:rsidRPr="006E447E" w:rsidRDefault="00096471" w:rsidP="00096471">
      <w:pPr>
        <w:pStyle w:val="ListBullet2"/>
      </w:pPr>
      <w:r>
        <w:t>r</w:t>
      </w:r>
      <w:r w:rsidRPr="006E447E">
        <w:t>eporting parameters</w:t>
      </w:r>
    </w:p>
    <w:p w:rsidR="00096471" w:rsidRPr="006E447E" w:rsidRDefault="00096471" w:rsidP="00096471">
      <w:pPr>
        <w:pStyle w:val="ListBullet"/>
      </w:pPr>
      <w:r w:rsidRPr="006E447E">
        <w:t xml:space="preserve">Supplementary </w:t>
      </w:r>
      <w:r w:rsidR="001046F9">
        <w:t>code</w:t>
      </w:r>
    </w:p>
    <w:p w:rsidR="00096471" w:rsidRPr="006E447E" w:rsidRDefault="00096471" w:rsidP="00096471">
      <w:pPr>
        <w:pStyle w:val="ListBullet2"/>
      </w:pPr>
      <w:r>
        <w:t>sensitivity a</w:t>
      </w:r>
      <w:r w:rsidRPr="006E447E">
        <w:t>nalysis</w:t>
      </w:r>
    </w:p>
    <w:p w:rsidR="00096471" w:rsidRPr="006E447E" w:rsidRDefault="00096471" w:rsidP="00096471">
      <w:pPr>
        <w:pStyle w:val="ListBullet2"/>
      </w:pPr>
      <w:r>
        <w:t>m</w:t>
      </w:r>
      <w:r w:rsidRPr="006E447E">
        <w:t>odel calibration</w:t>
      </w:r>
    </w:p>
    <w:p w:rsidR="00096471" w:rsidRPr="006E447E" w:rsidRDefault="00096471" w:rsidP="00096471">
      <w:pPr>
        <w:pStyle w:val="ListBullet2"/>
      </w:pPr>
      <w:r>
        <w:t>d</w:t>
      </w:r>
      <w:r w:rsidRPr="006E447E">
        <w:t>isaggregation</w:t>
      </w:r>
    </w:p>
    <w:p w:rsidR="00096471" w:rsidRPr="006E447E" w:rsidRDefault="00096471" w:rsidP="00096471">
      <w:pPr>
        <w:pStyle w:val="Heading3"/>
      </w:pPr>
      <w:r>
        <w:t>Core</w:t>
      </w:r>
      <w:r w:rsidR="003B37FB">
        <w:t xml:space="preserve"> code</w:t>
      </w:r>
    </w:p>
    <w:p w:rsidR="001046F9" w:rsidRDefault="001046F9" w:rsidP="001046F9">
      <w:pPr>
        <w:pStyle w:val="BodyText"/>
      </w:pPr>
      <w:r>
        <w:t xml:space="preserve">The core of the ELMO model performs four functions. First, the net benefits associated with different </w:t>
      </w:r>
      <w:r w:rsidR="009348EE">
        <w:t>education-work</w:t>
      </w:r>
      <w:r>
        <w:t xml:space="preserve"> types and abilities are calculated. This is the most complex and important part of the model. Second, representative agents are assigned weights that reflect the number of people they represent in each region. Third, each representative agent selects the </w:t>
      </w:r>
      <w:r w:rsidR="009348EE">
        <w:t>education-work</w:t>
      </w:r>
      <w:r>
        <w:t xml:space="preserve"> type that maximises private net benefit. This part of the model is just two equations. Fourth, the aggregate public net benefits and other reporting parameters are calculated based on the decisions of the representative agents.</w:t>
      </w:r>
    </w:p>
    <w:p w:rsidR="00096471" w:rsidRPr="00344B97" w:rsidRDefault="00096471" w:rsidP="00AB3618">
      <w:pPr>
        <w:pStyle w:val="Heading4"/>
      </w:pPr>
      <w:r>
        <w:t>Sets (section 1.A GAMS file)</w:t>
      </w:r>
    </w:p>
    <w:p w:rsidR="00096471" w:rsidRDefault="00096471" w:rsidP="00096471">
      <w:pPr>
        <w:pStyle w:val="BodyText"/>
      </w:pPr>
      <w:r w:rsidRPr="00096471">
        <w:t xml:space="preserve">The main sets used in the ELMO model are shown in table </w:t>
      </w:r>
      <w:r w:rsidR="003729A7">
        <w:t>1</w:t>
      </w:r>
      <w:r w:rsidRPr="00096471">
        <w:t>.</w:t>
      </w:r>
    </w:p>
    <w:p w:rsidR="00096471" w:rsidRDefault="00096471">
      <w:pPr>
        <w:pStyle w:val="TableTitle"/>
      </w:pPr>
      <w:r>
        <w:rPr>
          <w:b w:val="0"/>
        </w:rPr>
        <w:lastRenderedPageBreak/>
        <w:t xml:space="preserve">Table </w:t>
      </w:r>
      <w:r w:rsidR="003729A7">
        <w:rPr>
          <w:b w:val="0"/>
        </w:rPr>
        <w:t>1</w:t>
      </w:r>
      <w:r>
        <w:tab/>
      </w:r>
      <w:r w:rsidR="00163403">
        <w:t>Key s</w:t>
      </w:r>
      <w:r>
        <w:t>ets</w:t>
      </w:r>
      <w:r w:rsidR="00163403">
        <w:t xml:space="preserve"> used in the ELMO model</w:t>
      </w:r>
    </w:p>
    <w:tbl>
      <w:tblPr>
        <w:tblW w:w="5000" w:type="pct"/>
        <w:tblCellMar>
          <w:left w:w="0" w:type="dxa"/>
          <w:right w:w="0" w:type="dxa"/>
        </w:tblCellMar>
        <w:tblLook w:val="0000" w:firstRow="0" w:lastRow="0" w:firstColumn="0" w:lastColumn="0" w:noHBand="0" w:noVBand="0"/>
      </w:tblPr>
      <w:tblGrid>
        <w:gridCol w:w="2931"/>
        <w:gridCol w:w="1747"/>
        <w:gridCol w:w="4111"/>
      </w:tblGrid>
      <w:tr w:rsidR="00096471" w:rsidTr="00AB3618">
        <w:tc>
          <w:tcPr>
            <w:tcW w:w="1667" w:type="pct"/>
            <w:tcBorders>
              <w:top w:val="single" w:sz="6" w:space="0" w:color="auto"/>
              <w:bottom w:val="single" w:sz="6" w:space="0" w:color="auto"/>
            </w:tcBorders>
            <w:shd w:val="clear" w:color="auto" w:fill="auto"/>
          </w:tcPr>
          <w:p w:rsidR="00096471" w:rsidRDefault="00096471" w:rsidP="001C6784">
            <w:pPr>
              <w:pStyle w:val="TableColumnHeading"/>
              <w:jc w:val="left"/>
            </w:pPr>
            <w:r>
              <w:t>Set</w:t>
            </w:r>
          </w:p>
        </w:tc>
        <w:tc>
          <w:tcPr>
            <w:tcW w:w="994" w:type="pct"/>
            <w:tcBorders>
              <w:top w:val="single" w:sz="6" w:space="0" w:color="auto"/>
              <w:bottom w:val="single" w:sz="6" w:space="0" w:color="auto"/>
            </w:tcBorders>
            <w:shd w:val="clear" w:color="auto" w:fill="auto"/>
          </w:tcPr>
          <w:p w:rsidR="00096471" w:rsidRDefault="00096471" w:rsidP="001C6784">
            <w:pPr>
              <w:pStyle w:val="TableColumnHeading"/>
            </w:pPr>
            <w:r>
              <w:t>Index</w:t>
            </w:r>
          </w:p>
        </w:tc>
        <w:tc>
          <w:tcPr>
            <w:tcW w:w="2339" w:type="pct"/>
            <w:tcBorders>
              <w:top w:val="single" w:sz="6" w:space="0" w:color="auto"/>
              <w:bottom w:val="single" w:sz="6" w:space="0" w:color="auto"/>
            </w:tcBorders>
            <w:shd w:val="clear" w:color="auto" w:fill="auto"/>
          </w:tcPr>
          <w:p w:rsidR="00096471" w:rsidRDefault="00096471" w:rsidP="001C6784">
            <w:pPr>
              <w:pStyle w:val="TableColumnHeading"/>
              <w:ind w:right="28"/>
            </w:pPr>
            <w:r>
              <w:t>Elements</w:t>
            </w:r>
          </w:p>
        </w:tc>
      </w:tr>
      <w:tr w:rsidR="00096471" w:rsidTr="00AB3618">
        <w:tc>
          <w:tcPr>
            <w:tcW w:w="1667" w:type="pct"/>
          </w:tcPr>
          <w:p w:rsidR="00096471" w:rsidRPr="00096471" w:rsidRDefault="00096471" w:rsidP="00096471">
            <w:pPr>
              <w:pStyle w:val="TableBodyText"/>
              <w:jc w:val="left"/>
            </w:pPr>
            <w:r w:rsidRPr="00096471">
              <w:t>Representative agents</w:t>
            </w:r>
          </w:p>
        </w:tc>
        <w:tc>
          <w:tcPr>
            <w:tcW w:w="994" w:type="pct"/>
          </w:tcPr>
          <w:p w:rsidR="00096471" w:rsidRPr="00096471" w:rsidRDefault="00096471" w:rsidP="00096471">
            <w:pPr>
              <w:pStyle w:val="TableBodyText"/>
            </w:pPr>
            <w:r w:rsidRPr="00096471">
              <w:t>i</w:t>
            </w:r>
          </w:p>
        </w:tc>
        <w:tc>
          <w:tcPr>
            <w:tcW w:w="2339" w:type="pct"/>
          </w:tcPr>
          <w:p w:rsidR="00096471" w:rsidRPr="00096471" w:rsidRDefault="00096471" w:rsidP="00096471">
            <w:pPr>
              <w:pStyle w:val="TableBodyText"/>
            </w:pPr>
            <w:r w:rsidRPr="00096471">
              <w:t>1*10000</w:t>
            </w:r>
          </w:p>
        </w:tc>
      </w:tr>
      <w:tr w:rsidR="00096471" w:rsidTr="00AB3618">
        <w:tc>
          <w:tcPr>
            <w:tcW w:w="1667" w:type="pct"/>
          </w:tcPr>
          <w:p w:rsidR="00096471" w:rsidRPr="00096471" w:rsidRDefault="009348EE" w:rsidP="00096471">
            <w:pPr>
              <w:pStyle w:val="TableBodyText"/>
              <w:jc w:val="left"/>
            </w:pPr>
            <w:r>
              <w:t>Education-work</w:t>
            </w:r>
            <w:r w:rsidR="00096471" w:rsidRPr="00096471">
              <w:t xml:space="preserve"> types</w:t>
            </w:r>
          </w:p>
        </w:tc>
        <w:tc>
          <w:tcPr>
            <w:tcW w:w="994" w:type="pct"/>
          </w:tcPr>
          <w:p w:rsidR="00096471" w:rsidRPr="00096471" w:rsidRDefault="00096471" w:rsidP="00096471">
            <w:pPr>
              <w:pStyle w:val="TableBodyText"/>
            </w:pPr>
            <w:r w:rsidRPr="00096471">
              <w:t>ew</w:t>
            </w:r>
          </w:p>
        </w:tc>
        <w:tc>
          <w:tcPr>
            <w:tcW w:w="2339" w:type="pct"/>
          </w:tcPr>
          <w:p w:rsidR="00096471" w:rsidRPr="00096471" w:rsidRDefault="00096471" w:rsidP="00096471">
            <w:pPr>
              <w:pStyle w:val="TableBodyText"/>
            </w:pPr>
            <w:r w:rsidRPr="00096471">
              <w:t>year 11 or lower, blue collar</w:t>
            </w:r>
          </w:p>
          <w:p w:rsidR="00096471" w:rsidRPr="00096471" w:rsidRDefault="00096471" w:rsidP="00096471">
            <w:pPr>
              <w:pStyle w:val="TableBodyText"/>
            </w:pPr>
            <w:r w:rsidRPr="00096471">
              <w:t>year 11 or lower, white collar</w:t>
            </w:r>
          </w:p>
          <w:p w:rsidR="00096471" w:rsidRPr="00096471" w:rsidRDefault="00096471" w:rsidP="00096471">
            <w:pPr>
              <w:pStyle w:val="TableBodyText"/>
            </w:pPr>
            <w:r w:rsidRPr="00096471">
              <w:t>year 12, white collar</w:t>
            </w:r>
          </w:p>
          <w:p w:rsidR="00096471" w:rsidRPr="00096471" w:rsidRDefault="00096471" w:rsidP="00096471">
            <w:pPr>
              <w:pStyle w:val="TableBodyText"/>
            </w:pPr>
            <w:r w:rsidRPr="00096471">
              <w:t>certificate 3 or 4, blue collar</w:t>
            </w:r>
          </w:p>
          <w:p w:rsidR="00096471" w:rsidRPr="00096471" w:rsidRDefault="00096471" w:rsidP="00096471">
            <w:pPr>
              <w:pStyle w:val="TableBodyText"/>
            </w:pPr>
            <w:r w:rsidRPr="00096471">
              <w:t>certificate 3 or 4, white collar</w:t>
            </w:r>
          </w:p>
          <w:p w:rsidR="00096471" w:rsidRPr="00096471" w:rsidRDefault="00096471" w:rsidP="00096471">
            <w:pPr>
              <w:pStyle w:val="TableBodyText"/>
            </w:pPr>
            <w:r w:rsidRPr="00096471">
              <w:t>diploma, white collar</w:t>
            </w:r>
          </w:p>
          <w:p w:rsidR="00096471" w:rsidRPr="00096471" w:rsidRDefault="00096471" w:rsidP="00096471">
            <w:pPr>
              <w:pStyle w:val="TableBodyText"/>
            </w:pPr>
            <w:r w:rsidRPr="00096471">
              <w:t>degree or higher, white collar</w:t>
            </w:r>
          </w:p>
        </w:tc>
      </w:tr>
      <w:tr w:rsidR="00096471" w:rsidTr="00AB3618">
        <w:tc>
          <w:tcPr>
            <w:tcW w:w="1667" w:type="pct"/>
          </w:tcPr>
          <w:p w:rsidR="00096471" w:rsidRPr="00096471" w:rsidRDefault="00096471" w:rsidP="00096471">
            <w:pPr>
              <w:pStyle w:val="TableBodyText"/>
              <w:jc w:val="left"/>
            </w:pPr>
            <w:r w:rsidRPr="00096471">
              <w:t>Abilities</w:t>
            </w:r>
          </w:p>
        </w:tc>
        <w:tc>
          <w:tcPr>
            <w:tcW w:w="994" w:type="pct"/>
          </w:tcPr>
          <w:p w:rsidR="00096471" w:rsidRPr="00096471" w:rsidRDefault="00096471" w:rsidP="00096471">
            <w:pPr>
              <w:pStyle w:val="TableBodyText"/>
            </w:pPr>
            <w:r w:rsidRPr="00096471">
              <w:t>a</w:t>
            </w:r>
          </w:p>
        </w:tc>
        <w:tc>
          <w:tcPr>
            <w:tcW w:w="2339" w:type="pct"/>
          </w:tcPr>
          <w:p w:rsidR="00096471" w:rsidRPr="00096471" w:rsidRDefault="00096471" w:rsidP="00096471">
            <w:pPr>
              <w:pStyle w:val="TableBodyText"/>
            </w:pPr>
            <w:r w:rsidRPr="00096471">
              <w:t>blue collar</w:t>
            </w:r>
          </w:p>
          <w:p w:rsidR="00096471" w:rsidRPr="00096471" w:rsidRDefault="00096471" w:rsidP="00096471">
            <w:pPr>
              <w:pStyle w:val="TableBodyText"/>
            </w:pPr>
            <w:r w:rsidRPr="00096471">
              <w:t>white collar</w:t>
            </w:r>
          </w:p>
        </w:tc>
      </w:tr>
      <w:tr w:rsidR="00096471" w:rsidTr="00AB3618">
        <w:tc>
          <w:tcPr>
            <w:tcW w:w="1667" w:type="pct"/>
          </w:tcPr>
          <w:p w:rsidR="00096471" w:rsidRPr="00096471" w:rsidRDefault="00096471" w:rsidP="00096471">
            <w:pPr>
              <w:pStyle w:val="TableBodyText"/>
              <w:jc w:val="left"/>
            </w:pPr>
            <w:r w:rsidRPr="00096471">
              <w:t>Regions</w:t>
            </w:r>
          </w:p>
        </w:tc>
        <w:tc>
          <w:tcPr>
            <w:tcW w:w="994" w:type="pct"/>
          </w:tcPr>
          <w:p w:rsidR="00096471" w:rsidRPr="00096471" w:rsidRDefault="00096471" w:rsidP="00096471">
            <w:pPr>
              <w:pStyle w:val="TableBodyText"/>
            </w:pPr>
            <w:r w:rsidRPr="00096471">
              <w:t>r</w:t>
            </w:r>
          </w:p>
        </w:tc>
        <w:tc>
          <w:tcPr>
            <w:tcW w:w="2339" w:type="pct"/>
          </w:tcPr>
          <w:p w:rsidR="00096471" w:rsidRPr="00096471" w:rsidRDefault="00096471" w:rsidP="00096471">
            <w:pPr>
              <w:pStyle w:val="TableBodyText"/>
            </w:pPr>
            <w:r w:rsidRPr="00096471">
              <w:t>Queensland</w:t>
            </w:r>
          </w:p>
          <w:p w:rsidR="00096471" w:rsidRPr="00096471" w:rsidRDefault="00096471" w:rsidP="00096471">
            <w:pPr>
              <w:pStyle w:val="TableBodyText"/>
            </w:pPr>
            <w:r w:rsidRPr="00096471">
              <w:t>New South Wales</w:t>
            </w:r>
          </w:p>
          <w:p w:rsidR="00096471" w:rsidRPr="00096471" w:rsidRDefault="00096471" w:rsidP="00096471">
            <w:pPr>
              <w:pStyle w:val="TableBodyText"/>
            </w:pPr>
            <w:r w:rsidRPr="00096471">
              <w:t>Australian Capital Territory</w:t>
            </w:r>
          </w:p>
          <w:p w:rsidR="00096471" w:rsidRPr="00096471" w:rsidRDefault="00096471" w:rsidP="00096471">
            <w:pPr>
              <w:pStyle w:val="TableBodyText"/>
            </w:pPr>
            <w:r w:rsidRPr="00096471">
              <w:t>Victoria</w:t>
            </w:r>
          </w:p>
          <w:p w:rsidR="00096471" w:rsidRPr="00096471" w:rsidRDefault="00096471" w:rsidP="00096471">
            <w:pPr>
              <w:pStyle w:val="TableBodyText"/>
            </w:pPr>
            <w:r w:rsidRPr="00096471">
              <w:t>Tasmania</w:t>
            </w:r>
          </w:p>
          <w:p w:rsidR="00096471" w:rsidRPr="00096471" w:rsidRDefault="00096471" w:rsidP="00096471">
            <w:pPr>
              <w:pStyle w:val="TableBodyText"/>
            </w:pPr>
            <w:r w:rsidRPr="00096471">
              <w:t>South Australia</w:t>
            </w:r>
          </w:p>
          <w:p w:rsidR="00096471" w:rsidRPr="00096471" w:rsidRDefault="00096471" w:rsidP="00096471">
            <w:pPr>
              <w:pStyle w:val="TableBodyText"/>
            </w:pPr>
            <w:r w:rsidRPr="00096471">
              <w:t>Northern Territory</w:t>
            </w:r>
          </w:p>
          <w:p w:rsidR="00096471" w:rsidRPr="00096471" w:rsidRDefault="00096471" w:rsidP="00096471">
            <w:pPr>
              <w:pStyle w:val="TableBodyText"/>
            </w:pPr>
            <w:r w:rsidRPr="00096471">
              <w:t>Western Australia</w:t>
            </w:r>
          </w:p>
        </w:tc>
      </w:tr>
      <w:tr w:rsidR="00096471" w:rsidTr="00AB3618">
        <w:tc>
          <w:tcPr>
            <w:tcW w:w="1667" w:type="pct"/>
            <w:tcBorders>
              <w:bottom w:val="single" w:sz="6" w:space="0" w:color="auto"/>
            </w:tcBorders>
            <w:shd w:val="clear" w:color="auto" w:fill="auto"/>
          </w:tcPr>
          <w:p w:rsidR="00096471" w:rsidRPr="00096471" w:rsidRDefault="00096471" w:rsidP="00096471">
            <w:pPr>
              <w:pStyle w:val="TableBodyText"/>
              <w:jc w:val="left"/>
            </w:pPr>
            <w:r w:rsidRPr="00096471">
              <w:t>Scenarios</w:t>
            </w:r>
          </w:p>
        </w:tc>
        <w:tc>
          <w:tcPr>
            <w:tcW w:w="994" w:type="pct"/>
            <w:tcBorders>
              <w:bottom w:val="single" w:sz="6" w:space="0" w:color="auto"/>
            </w:tcBorders>
            <w:shd w:val="clear" w:color="auto" w:fill="auto"/>
          </w:tcPr>
          <w:p w:rsidR="00096471" w:rsidRPr="00096471" w:rsidRDefault="00096471" w:rsidP="00096471">
            <w:pPr>
              <w:pStyle w:val="TableBodyText"/>
            </w:pPr>
            <w:r w:rsidRPr="00096471">
              <w:t>s</w:t>
            </w:r>
          </w:p>
        </w:tc>
        <w:tc>
          <w:tcPr>
            <w:tcW w:w="2339" w:type="pct"/>
            <w:tcBorders>
              <w:bottom w:val="single" w:sz="6" w:space="0" w:color="auto"/>
            </w:tcBorders>
            <w:shd w:val="clear" w:color="auto" w:fill="auto"/>
          </w:tcPr>
          <w:p w:rsidR="00096471" w:rsidRPr="00096471" w:rsidRDefault="00096471" w:rsidP="00096471">
            <w:pPr>
              <w:pStyle w:val="TableBodyText"/>
            </w:pPr>
            <w:r w:rsidRPr="00096471">
              <w:t>base</w:t>
            </w:r>
          </w:p>
          <w:p w:rsidR="00096471" w:rsidRPr="00096471" w:rsidRDefault="00096471" w:rsidP="00096471">
            <w:pPr>
              <w:pStyle w:val="TableBodyText"/>
            </w:pPr>
            <w:r w:rsidRPr="00096471">
              <w:t>policy</w:t>
            </w:r>
          </w:p>
        </w:tc>
      </w:tr>
    </w:tbl>
    <w:p w:rsidR="00AB3618" w:rsidRPr="00344B97" w:rsidRDefault="00AB3618" w:rsidP="00AB3618">
      <w:pPr>
        <w:pStyle w:val="Heading4"/>
      </w:pPr>
      <w:r>
        <w:t>Costs (section 1.B GAMS file)</w:t>
      </w:r>
    </w:p>
    <w:p w:rsidR="001046F9" w:rsidRDefault="001046F9" w:rsidP="001046F9">
      <w:pPr>
        <w:pStyle w:val="BodyText"/>
      </w:pPr>
      <w:r w:rsidRPr="00E063FD">
        <w:t xml:space="preserve">There are various </w:t>
      </w:r>
      <w:r>
        <w:t xml:space="preserve">costs associated with </w:t>
      </w:r>
      <w:r w:rsidR="009348EE">
        <w:t>education-work</w:t>
      </w:r>
      <w:r>
        <w:t xml:space="preserve"> types and education policies in the ELMO model. There are financial costs in providing places in education courses, and time costs as students have less time for other activities such as paid work. There can be further costs if education and education policies result in reduced tax revenue or higher government spending (through education subsidies), as the excess value of an additional dollar of government revenue could be positive.</w:t>
      </w:r>
      <w:r>
        <w:rPr>
          <w:rStyle w:val="FootnoteReference"/>
        </w:rPr>
        <w:footnoteReference w:id="4"/>
      </w:r>
      <w:r>
        <w:t xml:space="preserve"> Education subsidies and income taxes mean that only some costs are borne by individuals when making education decisions.</w:t>
      </w:r>
    </w:p>
    <w:p w:rsidR="00AB3618" w:rsidRPr="009301FB" w:rsidRDefault="00AB3618" w:rsidP="007F686D">
      <w:pPr>
        <w:pStyle w:val="BodyText"/>
        <w:jc w:val="left"/>
      </w:pPr>
      <w:r w:rsidRPr="009301FB">
        <w:t xml:space="preserve">The key </w:t>
      </w:r>
      <w:r>
        <w:t xml:space="preserve">cost </w:t>
      </w:r>
      <w:r w:rsidRPr="009301FB">
        <w:t>equations are:</w:t>
      </w:r>
    </w:p>
    <w:tbl>
      <w:tblPr>
        <w:tblW w:w="5000" w:type="pct"/>
        <w:tblLook w:val="0000" w:firstRow="0" w:lastRow="0" w:firstColumn="0" w:lastColumn="0" w:noHBand="0" w:noVBand="0"/>
      </w:tblPr>
      <w:tblGrid>
        <w:gridCol w:w="7728"/>
        <w:gridCol w:w="1277"/>
      </w:tblGrid>
      <w:tr w:rsidR="00AB3618" w:rsidRPr="00163403" w:rsidTr="001C6784">
        <w:tc>
          <w:tcPr>
            <w:tcW w:w="4291" w:type="pct"/>
            <w:shd w:val="clear" w:color="auto" w:fill="auto"/>
          </w:tcPr>
          <w:p w:rsidR="00AB3618" w:rsidRPr="00163403" w:rsidRDefault="00AB3618" w:rsidP="00AB3618">
            <w:pPr>
              <w:pStyle w:val="BodyText"/>
              <w:rPr>
                <w:i/>
              </w:rPr>
            </w:pPr>
            <w:r w:rsidRPr="00163403">
              <w:rPr>
                <w:i/>
              </w:rPr>
              <w:t>privcost(ew,s) = fee(ew,s) + privtimecost(ew)</w:t>
            </w:r>
          </w:p>
        </w:tc>
        <w:tc>
          <w:tcPr>
            <w:tcW w:w="709" w:type="pct"/>
            <w:shd w:val="clear" w:color="auto" w:fill="auto"/>
            <w:vAlign w:val="center"/>
          </w:tcPr>
          <w:p w:rsidR="00AB3618" w:rsidRPr="00163403" w:rsidRDefault="00AB3618" w:rsidP="00AB3618">
            <w:pPr>
              <w:pStyle w:val="BodyText"/>
              <w:rPr>
                <w:i/>
              </w:rPr>
            </w:pPr>
            <w:r w:rsidRPr="00163403">
              <w:rPr>
                <w:i/>
              </w:rPr>
              <w:t>(1)</w:t>
            </w:r>
          </w:p>
        </w:tc>
      </w:tr>
      <w:tr w:rsidR="00AB3618" w:rsidRPr="00163403" w:rsidTr="001C6784">
        <w:tc>
          <w:tcPr>
            <w:tcW w:w="4291" w:type="pct"/>
            <w:shd w:val="clear" w:color="auto" w:fill="auto"/>
          </w:tcPr>
          <w:p w:rsidR="00AB3618" w:rsidRPr="00163403" w:rsidRDefault="00AB3618" w:rsidP="00AB3618">
            <w:pPr>
              <w:pStyle w:val="BodyText"/>
              <w:rPr>
                <w:i/>
              </w:rPr>
            </w:pPr>
            <w:r w:rsidRPr="00163403">
              <w:rPr>
                <w:i/>
              </w:rPr>
              <w:t>pubcost(ew,s) = moneycost(ew,s) + timecost(ew) - vtaxrev * tax1(ew,s)</w:t>
            </w:r>
          </w:p>
        </w:tc>
        <w:tc>
          <w:tcPr>
            <w:tcW w:w="709" w:type="pct"/>
            <w:shd w:val="clear" w:color="auto" w:fill="auto"/>
            <w:vAlign w:val="center"/>
          </w:tcPr>
          <w:p w:rsidR="00AB3618" w:rsidRPr="00163403" w:rsidRDefault="00AB3618" w:rsidP="00AB3618">
            <w:pPr>
              <w:pStyle w:val="BodyText"/>
              <w:rPr>
                <w:i/>
              </w:rPr>
            </w:pPr>
            <w:r w:rsidRPr="00163403">
              <w:rPr>
                <w:i/>
              </w:rPr>
              <w:t>(2)</w:t>
            </w:r>
          </w:p>
        </w:tc>
      </w:tr>
    </w:tbl>
    <w:p w:rsidR="00AB3618" w:rsidRPr="006E36CF" w:rsidRDefault="00D50766" w:rsidP="00AB3618">
      <w:pPr>
        <w:pStyle w:val="BodyText"/>
      </w:pPr>
      <w:r>
        <w:t>w</w:t>
      </w:r>
      <w:r w:rsidR="00AB3618" w:rsidRPr="006E36CF">
        <w:t>here:</w:t>
      </w:r>
    </w:p>
    <w:p w:rsidR="00AB3618" w:rsidRPr="006E36CF" w:rsidRDefault="00AB3618" w:rsidP="00AB3618">
      <w:pPr>
        <w:pStyle w:val="BodyText"/>
      </w:pPr>
      <w:r w:rsidRPr="006E36CF">
        <w:rPr>
          <w:i/>
        </w:rPr>
        <w:lastRenderedPageBreak/>
        <w:t>privcost(ew,s)</w:t>
      </w:r>
      <w:r w:rsidRPr="006E36CF">
        <w:t xml:space="preserve"> is the private cost of </w:t>
      </w:r>
      <w:r w:rsidR="009348EE">
        <w:t>education-work</w:t>
      </w:r>
      <w:r w:rsidRPr="006E36CF">
        <w:t xml:space="preserve"> type</w:t>
      </w:r>
      <w:r>
        <w:t xml:space="preserve"> ew</w:t>
      </w:r>
      <w:r w:rsidRPr="006E36CF">
        <w:t xml:space="preserve"> in scenario</w:t>
      </w:r>
      <w:r>
        <w:t xml:space="preserve"> s</w:t>
      </w:r>
    </w:p>
    <w:p w:rsidR="00AB3618" w:rsidRDefault="00AB3618" w:rsidP="00AB3618">
      <w:pPr>
        <w:pStyle w:val="BodyText"/>
      </w:pPr>
      <w:r w:rsidRPr="006E36CF">
        <w:rPr>
          <w:i/>
        </w:rPr>
        <w:t>fee(ew,s)</w:t>
      </w:r>
      <w:r w:rsidRPr="006E36CF">
        <w:t xml:space="preserve"> is the private component of</w:t>
      </w:r>
      <w:r>
        <w:t xml:space="preserve"> the</w:t>
      </w:r>
      <w:r w:rsidRPr="006E36CF">
        <w:t xml:space="preserve"> money cost of </w:t>
      </w:r>
      <w:r w:rsidR="009348EE">
        <w:t>education-work</w:t>
      </w:r>
      <w:r w:rsidRPr="006E36CF">
        <w:t xml:space="preserve"> type</w:t>
      </w:r>
      <w:r>
        <w:t xml:space="preserve"> ew</w:t>
      </w:r>
      <w:r w:rsidRPr="006E36CF">
        <w:t xml:space="preserve"> in scenario</w:t>
      </w:r>
      <w:r>
        <w:t xml:space="preserve"> s (course fees)</w:t>
      </w:r>
    </w:p>
    <w:p w:rsidR="00AB3618" w:rsidRPr="006E36CF" w:rsidRDefault="00AB3618" w:rsidP="00AB3618">
      <w:pPr>
        <w:pStyle w:val="BodyText"/>
      </w:pPr>
      <w:r w:rsidRPr="006E36CF">
        <w:rPr>
          <w:i/>
        </w:rPr>
        <w:t>privtimecost(ew)</w:t>
      </w:r>
      <w:r>
        <w:rPr>
          <w:i/>
        </w:rPr>
        <w:t xml:space="preserve"> </w:t>
      </w:r>
      <w:r>
        <w:t xml:space="preserve">is the private component of the time cost of </w:t>
      </w:r>
      <w:r w:rsidR="009348EE">
        <w:t>education-work</w:t>
      </w:r>
      <w:r>
        <w:t xml:space="preserve"> type ew (forgone after tax earnings in period </w:t>
      </w:r>
      <w:r w:rsidR="005D009B">
        <w:t>1</w:t>
      </w:r>
      <w:r>
        <w:t xml:space="preserve">) </w:t>
      </w:r>
    </w:p>
    <w:p w:rsidR="00AB3618" w:rsidRPr="006E36CF" w:rsidRDefault="00AB3618" w:rsidP="00AB3618">
      <w:pPr>
        <w:pStyle w:val="BodyText"/>
      </w:pPr>
      <w:r>
        <w:rPr>
          <w:i/>
        </w:rPr>
        <w:t>pubcost</w:t>
      </w:r>
      <w:r w:rsidRPr="006E36CF">
        <w:rPr>
          <w:i/>
        </w:rPr>
        <w:t>(ew,s)</w:t>
      </w:r>
      <w:r w:rsidRPr="006E36CF">
        <w:t xml:space="preserve"> is the </w:t>
      </w:r>
      <w:r>
        <w:t>public</w:t>
      </w:r>
      <w:r w:rsidRPr="006E36CF">
        <w:t xml:space="preserve"> cost of </w:t>
      </w:r>
      <w:r w:rsidR="009348EE">
        <w:t>education-work</w:t>
      </w:r>
      <w:r w:rsidRPr="006E36CF">
        <w:t xml:space="preserve"> type</w:t>
      </w:r>
      <w:r>
        <w:t xml:space="preserve"> ew</w:t>
      </w:r>
      <w:r w:rsidRPr="006E36CF">
        <w:t xml:space="preserve"> in scenario</w:t>
      </w:r>
      <w:r>
        <w:t xml:space="preserve"> s</w:t>
      </w:r>
    </w:p>
    <w:p w:rsidR="00AB3618" w:rsidRDefault="00AB3618" w:rsidP="00AB3618">
      <w:pPr>
        <w:pStyle w:val="BodyText"/>
      </w:pPr>
      <w:r>
        <w:rPr>
          <w:i/>
        </w:rPr>
        <w:t xml:space="preserve">moneycost(ew,s) </w:t>
      </w:r>
      <w:r w:rsidRPr="006E36CF">
        <w:t xml:space="preserve">is the money cost of </w:t>
      </w:r>
      <w:r w:rsidR="009348EE">
        <w:t>education-work</w:t>
      </w:r>
      <w:r w:rsidRPr="006E36CF">
        <w:t xml:space="preserve"> type</w:t>
      </w:r>
      <w:r>
        <w:t xml:space="preserve"> ew</w:t>
      </w:r>
      <w:r w:rsidRPr="006E36CF">
        <w:t xml:space="preserve"> in scenario</w:t>
      </w:r>
      <w:r>
        <w:t xml:space="preserve"> s (including course fees and subsidies)</w:t>
      </w:r>
    </w:p>
    <w:p w:rsidR="00AB3618" w:rsidRDefault="00AB3618" w:rsidP="00AB3618">
      <w:pPr>
        <w:pStyle w:val="BodyText"/>
      </w:pPr>
      <w:r w:rsidRPr="006E36CF">
        <w:rPr>
          <w:i/>
        </w:rPr>
        <w:t>timecost(ew)</w:t>
      </w:r>
      <w:r>
        <w:rPr>
          <w:i/>
        </w:rPr>
        <w:t xml:space="preserve"> </w:t>
      </w:r>
      <w:r>
        <w:t xml:space="preserve">is the time cost of </w:t>
      </w:r>
      <w:r w:rsidR="009348EE">
        <w:t>education-work</w:t>
      </w:r>
      <w:r>
        <w:t xml:space="preserve"> type ew (forgone before tax earnings in period </w:t>
      </w:r>
      <w:r w:rsidR="002D5723">
        <w:t>1</w:t>
      </w:r>
      <w:r>
        <w:t>)</w:t>
      </w:r>
    </w:p>
    <w:p w:rsidR="00AB3618" w:rsidRDefault="00AB3618" w:rsidP="00AB3618">
      <w:pPr>
        <w:pStyle w:val="BodyText"/>
      </w:pPr>
      <w:r w:rsidRPr="00C36EFA">
        <w:rPr>
          <w:i/>
        </w:rPr>
        <w:t xml:space="preserve">vtaxrev </w:t>
      </w:r>
      <w:r>
        <w:t>is the excess value of an additional dollar of tax revenue (due to distortions associated with taxation)</w:t>
      </w:r>
    </w:p>
    <w:p w:rsidR="00AB3618" w:rsidRPr="00DD5B71" w:rsidRDefault="00AB3618" w:rsidP="00AB3618">
      <w:pPr>
        <w:pStyle w:val="BodyText"/>
      </w:pPr>
      <w:r w:rsidRPr="00DD5B71">
        <w:rPr>
          <w:i/>
        </w:rPr>
        <w:t>tax1(ew,s)</w:t>
      </w:r>
      <w:r w:rsidRPr="00DD5B71">
        <w:t xml:space="preserve"> is the net tax revenue in period </w:t>
      </w:r>
      <w:r w:rsidR="005D009B">
        <w:t>1</w:t>
      </w:r>
      <w:r w:rsidR="005D009B" w:rsidRPr="00DD5B71">
        <w:t xml:space="preserve"> </w:t>
      </w:r>
      <w:r w:rsidRPr="00DD5B71">
        <w:t xml:space="preserve">of </w:t>
      </w:r>
      <w:r w:rsidR="009348EE">
        <w:t>education-work</w:t>
      </w:r>
      <w:r w:rsidRPr="00DD5B71">
        <w:t xml:space="preserve"> type ew in scenario s (changes in subsidies and net tax payments).</w:t>
      </w:r>
    </w:p>
    <w:p w:rsidR="00AB3618" w:rsidRPr="00344B97" w:rsidRDefault="00AB3618" w:rsidP="00AB3618">
      <w:pPr>
        <w:pStyle w:val="Heading4"/>
      </w:pPr>
      <w:r>
        <w:t>Benefits (section 1.C GAMS file)</w:t>
      </w:r>
    </w:p>
    <w:p w:rsidR="003B37FB" w:rsidRDefault="003B37FB" w:rsidP="003B37FB">
      <w:pPr>
        <w:pStyle w:val="BodyText"/>
      </w:pPr>
      <w:r>
        <w:t xml:space="preserve">Like costs, there are various benefits associated with </w:t>
      </w:r>
      <w:r w:rsidR="009348EE">
        <w:t>education-work</w:t>
      </w:r>
      <w:r>
        <w:t xml:space="preserve"> types in the ELMO model. </w:t>
      </w:r>
      <w:r w:rsidR="009348EE">
        <w:t>Education-work</w:t>
      </w:r>
      <w:r>
        <w:t xml:space="preserve"> types result in payments to labour that reflect the marginal value of labour in the production of goods and services and any potential externalities. For example, there could be positive externalities in the production of some non-excludable environmental goods. Increased payments to labour increase tax revenues and can reduce government payments, which can be another source of benefit (as discussed in the cost section). Finally, increases in time spent working must come at the expense of other activities including leisure. The cost of no</w:t>
      </w:r>
      <w:r w:rsidR="0015048B">
        <w:t>n</w:t>
      </w:r>
      <w:r w:rsidR="0015048B">
        <w:noBreakHyphen/>
      </w:r>
      <w:r>
        <w:t>market activities forgone is subtracted from the benefits. Income taxes and externalities mean that only some of the benefits are received by individuals when making education decisions.</w:t>
      </w:r>
    </w:p>
    <w:p w:rsidR="003B37FB" w:rsidRDefault="003B37FB" w:rsidP="003B37FB">
      <w:pPr>
        <w:pStyle w:val="BodyText"/>
      </w:pPr>
      <w:r>
        <w:t xml:space="preserve">This section calculates the public and private benefits for all </w:t>
      </w:r>
      <w:r w:rsidR="009348EE">
        <w:t>education-work</w:t>
      </w:r>
      <w:r>
        <w:t xml:space="preserve"> types, representative agents, and scenarios. All benefits are discounted so that a dollar of benefit in period </w:t>
      </w:r>
      <w:r w:rsidR="005D009B">
        <w:t xml:space="preserve">2 </w:t>
      </w:r>
      <w:r>
        <w:t xml:space="preserve">is worth less than a dollar of cost in period </w:t>
      </w:r>
      <w:r w:rsidR="005D009B">
        <w:t>1</w:t>
      </w:r>
      <w:r>
        <w:t xml:space="preserve">. The baselines used for the costs and benefits parameters are discussed in box </w:t>
      </w:r>
      <w:r w:rsidR="003729A7">
        <w:t>2</w:t>
      </w:r>
      <w:r>
        <w:t>.</w:t>
      </w:r>
    </w:p>
    <w:p w:rsidR="00AB3618" w:rsidRDefault="00AB3618" w:rsidP="003B37FB">
      <w:pPr>
        <w:pStyle w:val="BodyText"/>
        <w:keepNext/>
        <w:keepLines/>
      </w:pPr>
      <w:r>
        <w:lastRenderedPageBreak/>
        <w:t>The key benefit equations are:</w:t>
      </w:r>
    </w:p>
    <w:tbl>
      <w:tblPr>
        <w:tblW w:w="5000" w:type="pct"/>
        <w:tblLook w:val="0000" w:firstRow="0" w:lastRow="0" w:firstColumn="0" w:lastColumn="0" w:noHBand="0" w:noVBand="0"/>
      </w:tblPr>
      <w:tblGrid>
        <w:gridCol w:w="7634"/>
        <w:gridCol w:w="1371"/>
      </w:tblGrid>
      <w:tr w:rsidR="00AB3618" w:rsidRPr="009121A6" w:rsidTr="001C6784">
        <w:tc>
          <w:tcPr>
            <w:tcW w:w="4239" w:type="pct"/>
            <w:shd w:val="clear" w:color="auto" w:fill="auto"/>
          </w:tcPr>
          <w:p w:rsidR="00AB3618" w:rsidRPr="009121A6" w:rsidRDefault="00AB3618" w:rsidP="003B37FB">
            <w:pPr>
              <w:pStyle w:val="BodyText"/>
              <w:keepNext/>
              <w:keepLines/>
              <w:rPr>
                <w:i/>
              </w:rPr>
            </w:pPr>
            <w:r w:rsidRPr="009121A6">
              <w:rPr>
                <w:i/>
              </w:rPr>
              <w:t>privben(i,ew,s) = privgrossearnings(i,ew,s) - vnma(ew,s)</w:t>
            </w:r>
          </w:p>
        </w:tc>
        <w:tc>
          <w:tcPr>
            <w:tcW w:w="761" w:type="pct"/>
            <w:shd w:val="clear" w:color="auto" w:fill="auto"/>
            <w:vAlign w:val="center"/>
          </w:tcPr>
          <w:p w:rsidR="00AB3618" w:rsidRPr="009121A6" w:rsidRDefault="00AB3618" w:rsidP="003B37FB">
            <w:pPr>
              <w:pStyle w:val="BodyText"/>
              <w:keepNext/>
              <w:keepLines/>
              <w:rPr>
                <w:i/>
              </w:rPr>
            </w:pPr>
            <w:r w:rsidRPr="009121A6">
              <w:rPr>
                <w:i/>
              </w:rPr>
              <w:t>(3)</w:t>
            </w:r>
          </w:p>
        </w:tc>
      </w:tr>
      <w:tr w:rsidR="00AB3618" w:rsidRPr="009121A6" w:rsidTr="001C6784">
        <w:tc>
          <w:tcPr>
            <w:tcW w:w="4239" w:type="pct"/>
            <w:shd w:val="clear" w:color="auto" w:fill="auto"/>
          </w:tcPr>
          <w:p w:rsidR="00AB3618" w:rsidRPr="009121A6" w:rsidRDefault="00AB3618" w:rsidP="003B37FB">
            <w:pPr>
              <w:pStyle w:val="BodyText"/>
              <w:keepNext/>
              <w:keepLines/>
              <w:rPr>
                <w:i/>
              </w:rPr>
            </w:pPr>
            <w:r w:rsidRPr="009121A6">
              <w:rPr>
                <w:i/>
              </w:rPr>
              <w:t>pubben(i,ew,s) = grossearnings(i,ew,s) + vtaxrev * tax2(i,ew,s) + extben(i,ew,s) - vnma(ew,s)</w:t>
            </w:r>
          </w:p>
        </w:tc>
        <w:tc>
          <w:tcPr>
            <w:tcW w:w="761" w:type="pct"/>
            <w:shd w:val="clear" w:color="auto" w:fill="auto"/>
            <w:vAlign w:val="center"/>
          </w:tcPr>
          <w:p w:rsidR="00AB3618" w:rsidRPr="009121A6" w:rsidRDefault="00AB3618" w:rsidP="003B37FB">
            <w:pPr>
              <w:pStyle w:val="BodyText"/>
              <w:keepNext/>
              <w:keepLines/>
              <w:rPr>
                <w:i/>
              </w:rPr>
            </w:pPr>
            <w:r w:rsidRPr="009121A6">
              <w:rPr>
                <w:i/>
              </w:rPr>
              <w:t>(4)</w:t>
            </w:r>
          </w:p>
        </w:tc>
      </w:tr>
    </w:tbl>
    <w:p w:rsidR="00AB3618" w:rsidRPr="00436EE7" w:rsidRDefault="00D50766" w:rsidP="00AB3618">
      <w:pPr>
        <w:pStyle w:val="BodyText"/>
      </w:pPr>
      <w:r>
        <w:t>w</w:t>
      </w:r>
      <w:r w:rsidR="00AB3618" w:rsidRPr="00436EE7">
        <w:t>here:</w:t>
      </w:r>
    </w:p>
    <w:p w:rsidR="00AB3618" w:rsidRPr="00436EE7" w:rsidRDefault="00AB3618" w:rsidP="00AB3618">
      <w:pPr>
        <w:pStyle w:val="BodyText"/>
      </w:pPr>
      <w:r w:rsidRPr="00436EE7">
        <w:rPr>
          <w:i/>
        </w:rPr>
        <w:t>privben(i,ew,s)</w:t>
      </w:r>
      <w:r w:rsidRPr="00436EE7">
        <w:t xml:space="preserve"> is the</w:t>
      </w:r>
      <w:r>
        <w:t xml:space="preserve"> expected private benefit of </w:t>
      </w:r>
      <w:r w:rsidR="009348EE">
        <w:t>education-work</w:t>
      </w:r>
      <w:r w:rsidRPr="006E36CF">
        <w:t xml:space="preserve"> type</w:t>
      </w:r>
      <w:r>
        <w:t xml:space="preserve"> ew</w:t>
      </w:r>
      <w:r w:rsidRPr="006E36CF">
        <w:t xml:space="preserve"> </w:t>
      </w:r>
      <w:r>
        <w:t xml:space="preserve">for agent i </w:t>
      </w:r>
      <w:r w:rsidRPr="006E36CF">
        <w:t>in scenario</w:t>
      </w:r>
      <w:r>
        <w:t xml:space="preserve"> s</w:t>
      </w:r>
      <w:r w:rsidRPr="00436EE7">
        <w:t xml:space="preserve"> </w:t>
      </w:r>
    </w:p>
    <w:p w:rsidR="00AB3618" w:rsidRPr="00436EE7" w:rsidRDefault="00AB3618" w:rsidP="00AB3618">
      <w:pPr>
        <w:pStyle w:val="BodyText"/>
      </w:pPr>
      <w:r w:rsidRPr="00436EE7">
        <w:rPr>
          <w:i/>
        </w:rPr>
        <w:t>privgrossearnings(i,ew,s)</w:t>
      </w:r>
      <w:r w:rsidRPr="00436EE7">
        <w:t xml:space="preserve"> is the</w:t>
      </w:r>
      <w:r>
        <w:t xml:space="preserve"> private component of expected gross earnings of </w:t>
      </w:r>
      <w:r w:rsidR="009348EE">
        <w:t>education-work</w:t>
      </w:r>
      <w:r w:rsidRPr="006E36CF">
        <w:t xml:space="preserve"> type</w:t>
      </w:r>
      <w:r>
        <w:t xml:space="preserve"> ew</w:t>
      </w:r>
      <w:r w:rsidRPr="006E36CF">
        <w:t xml:space="preserve"> </w:t>
      </w:r>
      <w:r>
        <w:t xml:space="preserve">for agent i </w:t>
      </w:r>
      <w:r w:rsidRPr="006E36CF">
        <w:t>in scenario</w:t>
      </w:r>
      <w:r>
        <w:t xml:space="preserve"> s</w:t>
      </w:r>
      <w:r w:rsidRPr="00436EE7">
        <w:t xml:space="preserve"> </w:t>
      </w:r>
      <w:r>
        <w:t>(after tax earnings)</w:t>
      </w:r>
    </w:p>
    <w:p w:rsidR="00AB3618" w:rsidRPr="006E36CF" w:rsidRDefault="00AB3618" w:rsidP="00AB3618">
      <w:pPr>
        <w:pStyle w:val="BodyText"/>
      </w:pPr>
      <w:r w:rsidRPr="00436EE7">
        <w:rPr>
          <w:i/>
        </w:rPr>
        <w:t>vnma(ew,s)</w:t>
      </w:r>
      <w:r w:rsidRPr="00436EE7">
        <w:t xml:space="preserve"> is the</w:t>
      </w:r>
      <w:r>
        <w:t xml:space="preserve"> expected value of </w:t>
      </w:r>
      <w:r w:rsidR="00582FA8">
        <w:t>non-market</w:t>
      </w:r>
      <w:r>
        <w:t xml:space="preserve"> activity forgone </w:t>
      </w:r>
      <w:r w:rsidRPr="006E36CF">
        <w:t xml:space="preserve">of </w:t>
      </w:r>
      <w:r w:rsidR="009348EE">
        <w:t>education-work</w:t>
      </w:r>
      <w:r w:rsidRPr="006E36CF">
        <w:t xml:space="preserve"> type</w:t>
      </w:r>
      <w:r>
        <w:t xml:space="preserve"> ew</w:t>
      </w:r>
      <w:r w:rsidRPr="006E36CF">
        <w:t xml:space="preserve"> in scenario</w:t>
      </w:r>
      <w:r>
        <w:t xml:space="preserve"> s (in period </w:t>
      </w:r>
      <w:r w:rsidR="005D009B">
        <w:t>2</w:t>
      </w:r>
      <w:r>
        <w:t>)</w:t>
      </w:r>
    </w:p>
    <w:p w:rsidR="00AB3618" w:rsidRPr="00436EE7" w:rsidRDefault="00AB3618" w:rsidP="00AB3618">
      <w:pPr>
        <w:pStyle w:val="BodyText"/>
      </w:pPr>
      <w:r w:rsidRPr="00436EE7">
        <w:rPr>
          <w:i/>
        </w:rPr>
        <w:t>pubben(i,ew,s)</w:t>
      </w:r>
      <w:r w:rsidRPr="00436EE7">
        <w:t xml:space="preserve"> is the</w:t>
      </w:r>
      <w:r>
        <w:t xml:space="preserve"> expected public benefit of </w:t>
      </w:r>
      <w:r w:rsidR="009348EE">
        <w:t>education-work</w:t>
      </w:r>
      <w:r w:rsidRPr="006E36CF">
        <w:t xml:space="preserve"> type</w:t>
      </w:r>
      <w:r>
        <w:t xml:space="preserve"> ew</w:t>
      </w:r>
      <w:r w:rsidRPr="006E36CF">
        <w:t xml:space="preserve"> </w:t>
      </w:r>
      <w:r>
        <w:t xml:space="preserve">for agent i </w:t>
      </w:r>
      <w:r w:rsidRPr="006E36CF">
        <w:t>in scenario</w:t>
      </w:r>
      <w:r>
        <w:t xml:space="preserve"> s</w:t>
      </w:r>
      <w:r w:rsidRPr="00436EE7">
        <w:t xml:space="preserve"> </w:t>
      </w:r>
    </w:p>
    <w:p w:rsidR="00AB3618" w:rsidRPr="00436EE7" w:rsidRDefault="00AB3618" w:rsidP="00AB3618">
      <w:pPr>
        <w:pStyle w:val="BodyText"/>
      </w:pPr>
      <w:r w:rsidRPr="00436EE7">
        <w:rPr>
          <w:i/>
        </w:rPr>
        <w:t>grossearnings(i,ew,s)</w:t>
      </w:r>
      <w:r w:rsidRPr="00436EE7">
        <w:t xml:space="preserve"> is the</w:t>
      </w:r>
      <w:r>
        <w:t xml:space="preserve"> expected gross earnings of </w:t>
      </w:r>
      <w:r w:rsidR="009348EE">
        <w:t>education-work</w:t>
      </w:r>
      <w:r w:rsidRPr="006E36CF">
        <w:t xml:space="preserve"> type</w:t>
      </w:r>
      <w:r>
        <w:t xml:space="preserve"> ew</w:t>
      </w:r>
      <w:r w:rsidRPr="006E36CF">
        <w:t xml:space="preserve"> </w:t>
      </w:r>
      <w:r>
        <w:t xml:space="preserve">for agent i </w:t>
      </w:r>
      <w:r w:rsidRPr="006E36CF">
        <w:t>in scenario</w:t>
      </w:r>
      <w:r>
        <w:t xml:space="preserve"> s</w:t>
      </w:r>
      <w:r w:rsidRPr="00436EE7">
        <w:t xml:space="preserve"> </w:t>
      </w:r>
      <w:r>
        <w:t>(before tax earnings)</w:t>
      </w:r>
    </w:p>
    <w:p w:rsidR="00AB3618" w:rsidRPr="001C6C4F" w:rsidRDefault="00AB3618" w:rsidP="00AB3618">
      <w:pPr>
        <w:pStyle w:val="BodyText"/>
      </w:pPr>
      <w:r w:rsidRPr="00436EE7">
        <w:rPr>
          <w:i/>
        </w:rPr>
        <w:t>tax2(i,ew,s)</w:t>
      </w:r>
      <w:r w:rsidRPr="00436EE7">
        <w:t xml:space="preserve"> is the</w:t>
      </w:r>
      <w:r>
        <w:t xml:space="preserve"> </w:t>
      </w:r>
      <w:r w:rsidR="00383A04">
        <w:t xml:space="preserve">expected </w:t>
      </w:r>
      <w:r w:rsidRPr="001C6C4F">
        <w:t xml:space="preserve">net tax revenue in period </w:t>
      </w:r>
      <w:r w:rsidR="005D009B">
        <w:t>2</w:t>
      </w:r>
      <w:r w:rsidR="005D009B" w:rsidRPr="001C6C4F">
        <w:t xml:space="preserve"> </w:t>
      </w:r>
      <w:r>
        <w:t xml:space="preserve">of </w:t>
      </w:r>
      <w:r w:rsidR="009348EE">
        <w:t>education-work</w:t>
      </w:r>
      <w:r w:rsidRPr="006E36CF">
        <w:t xml:space="preserve"> type</w:t>
      </w:r>
      <w:r>
        <w:t xml:space="preserve"> ew</w:t>
      </w:r>
      <w:r w:rsidRPr="006E36CF">
        <w:t xml:space="preserve"> </w:t>
      </w:r>
      <w:r>
        <w:t xml:space="preserve">for agent i </w:t>
      </w:r>
      <w:r w:rsidRPr="006E36CF">
        <w:t>in scenario</w:t>
      </w:r>
      <w:r>
        <w:t xml:space="preserve"> s</w:t>
      </w:r>
      <w:r w:rsidRPr="00436EE7">
        <w:t xml:space="preserve"> </w:t>
      </w:r>
      <w:r w:rsidRPr="001C6C4F">
        <w:t>(</w:t>
      </w:r>
      <w:r>
        <w:t>changes in</w:t>
      </w:r>
      <w:r w:rsidRPr="001C6C4F">
        <w:t xml:space="preserve"> net tax payments)</w:t>
      </w:r>
    </w:p>
    <w:p w:rsidR="00AB3618" w:rsidRDefault="00AB3618" w:rsidP="00AB3618">
      <w:pPr>
        <w:pStyle w:val="BodyText"/>
      </w:pPr>
      <w:r w:rsidRPr="00436EE7">
        <w:rPr>
          <w:i/>
        </w:rPr>
        <w:t>extben(i,ew,s)</w:t>
      </w:r>
      <w:r w:rsidRPr="00436EE7">
        <w:t xml:space="preserve"> is the</w:t>
      </w:r>
      <w:r>
        <w:t xml:space="preserve"> expected external benefit of </w:t>
      </w:r>
      <w:r w:rsidR="009348EE">
        <w:t>education-work</w:t>
      </w:r>
      <w:r w:rsidRPr="006E36CF">
        <w:t xml:space="preserve"> type</w:t>
      </w:r>
      <w:r>
        <w:t xml:space="preserve"> ew</w:t>
      </w:r>
      <w:r w:rsidRPr="006E36CF">
        <w:t xml:space="preserve"> </w:t>
      </w:r>
      <w:r>
        <w:t xml:space="preserve">for agent i </w:t>
      </w:r>
      <w:r w:rsidRPr="006E36CF">
        <w:t>in scenario</w:t>
      </w:r>
      <w:r>
        <w:t xml:space="preserve"> s.</w:t>
      </w:r>
    </w:p>
    <w:p w:rsidR="00DD5B71" w:rsidRDefault="00DD5B71" w:rsidP="00DD5B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D5B71" w:rsidTr="00BD64E2">
        <w:tc>
          <w:tcPr>
            <w:tcW w:w="8771" w:type="dxa"/>
            <w:tcBorders>
              <w:top w:val="single" w:sz="6" w:space="0" w:color="auto"/>
              <w:bottom w:val="nil"/>
            </w:tcBorders>
          </w:tcPr>
          <w:p w:rsidR="00DD5B71" w:rsidRDefault="00DD5B71" w:rsidP="003729A7">
            <w:pPr>
              <w:pStyle w:val="BoxTitle"/>
            </w:pPr>
            <w:r>
              <w:rPr>
                <w:b w:val="0"/>
              </w:rPr>
              <w:t xml:space="preserve">Box </w:t>
            </w:r>
            <w:r w:rsidR="003729A7">
              <w:rPr>
                <w:b w:val="0"/>
              </w:rPr>
              <w:t>2</w:t>
            </w:r>
            <w:r>
              <w:tab/>
              <w:t>Baselines for cost and benefit parameters</w:t>
            </w:r>
          </w:p>
        </w:tc>
      </w:tr>
      <w:tr w:rsidR="00DD5B71" w:rsidTr="00BD64E2">
        <w:trPr>
          <w:cantSplit/>
        </w:trPr>
        <w:tc>
          <w:tcPr>
            <w:tcW w:w="8771" w:type="dxa"/>
            <w:tcBorders>
              <w:top w:val="nil"/>
              <w:left w:val="single" w:sz="6" w:space="0" w:color="auto"/>
              <w:bottom w:val="nil"/>
              <w:right w:val="single" w:sz="6" w:space="0" w:color="auto"/>
            </w:tcBorders>
          </w:tcPr>
          <w:p w:rsidR="00DD5B71" w:rsidRDefault="003B37FB" w:rsidP="003F1B49">
            <w:pPr>
              <w:pStyle w:val="Box"/>
            </w:pPr>
            <w:r>
              <w:t xml:space="preserve">All cost parameters are defined </w:t>
            </w:r>
            <w:r w:rsidR="003F1B49">
              <w:t xml:space="preserve">as the difference between the costs of obtaining the chosen qualification minus the costs incurred by an individual who undertakes a </w:t>
            </w:r>
            <w:r>
              <w:t>‘year 11 or lower’</w:t>
            </w:r>
            <w:r w:rsidR="004A1A58">
              <w:t xml:space="preserve"> </w:t>
            </w:r>
            <w:r w:rsidR="003F1B49">
              <w:t>qualification</w:t>
            </w:r>
            <w:r>
              <w:t xml:space="preserve">. The benefit parameters are defined relative to a baseline where the representative agents do not participate in any market employment. The differences do not affect the results since the baselines are applied consistently across </w:t>
            </w:r>
            <w:r w:rsidR="009348EE">
              <w:t>education-work</w:t>
            </w:r>
            <w:r>
              <w:t xml:space="preserve"> types.</w:t>
            </w:r>
          </w:p>
        </w:tc>
      </w:tr>
      <w:tr w:rsidR="00DD5B71" w:rsidTr="00BD64E2">
        <w:trPr>
          <w:cantSplit/>
        </w:trPr>
        <w:tc>
          <w:tcPr>
            <w:tcW w:w="8771" w:type="dxa"/>
            <w:tcBorders>
              <w:top w:val="nil"/>
              <w:left w:val="single" w:sz="6" w:space="0" w:color="auto"/>
              <w:bottom w:val="single" w:sz="6" w:space="0" w:color="auto"/>
              <w:right w:val="single" w:sz="6" w:space="0" w:color="auto"/>
            </w:tcBorders>
          </w:tcPr>
          <w:p w:rsidR="00DD5B71" w:rsidRDefault="00DD5B71" w:rsidP="00BD64E2">
            <w:pPr>
              <w:pStyle w:val="Box"/>
              <w:spacing w:before="0" w:line="120" w:lineRule="exact"/>
            </w:pPr>
          </w:p>
        </w:tc>
      </w:tr>
      <w:tr w:rsidR="00DD5B71" w:rsidRPr="000863A5" w:rsidTr="00BD64E2">
        <w:tc>
          <w:tcPr>
            <w:tcW w:w="8771" w:type="dxa"/>
            <w:tcBorders>
              <w:top w:val="nil"/>
              <w:left w:val="nil"/>
              <w:bottom w:val="nil"/>
              <w:right w:val="nil"/>
            </w:tcBorders>
          </w:tcPr>
          <w:p w:rsidR="00DD5B71" w:rsidRPr="00626D32" w:rsidRDefault="00DD5B71" w:rsidP="00BD64E2">
            <w:pPr>
              <w:pStyle w:val="BoxSpaceBelow"/>
            </w:pPr>
          </w:p>
        </w:tc>
      </w:tr>
    </w:tbl>
    <w:p w:rsidR="00AB3618" w:rsidRPr="00344B97" w:rsidRDefault="00AB3618" w:rsidP="00AB3618">
      <w:pPr>
        <w:pStyle w:val="Heading4"/>
      </w:pPr>
      <w:r>
        <w:t>Net benefits (section 1.D GAMS file)</w:t>
      </w:r>
    </w:p>
    <w:p w:rsidR="00BD64E2" w:rsidRDefault="00BD64E2" w:rsidP="005E0819">
      <w:pPr>
        <w:pStyle w:val="BodyText"/>
      </w:pPr>
      <w:r>
        <w:t xml:space="preserve">The net benefits combine the benefits and costs from the previous sections with two new sources of perceived benefits and costs. </w:t>
      </w:r>
    </w:p>
    <w:p w:rsidR="003B37FB" w:rsidRDefault="003B37FB" w:rsidP="003B37FB">
      <w:pPr>
        <w:pStyle w:val="BodyText"/>
      </w:pPr>
      <w:r>
        <w:lastRenderedPageBreak/>
        <w:t xml:space="preserve">The net benefits combine the benefits and costs from the previous sections with two new sources of perceived benefits and costs. </w:t>
      </w:r>
    </w:p>
    <w:p w:rsidR="003B37FB" w:rsidRDefault="003B37FB" w:rsidP="003B37FB">
      <w:pPr>
        <w:pStyle w:val="BodyText"/>
      </w:pPr>
      <w:r>
        <w:t xml:space="preserve">First, the ELMO model captures the potential to overestimate or underestimate the net benefits of </w:t>
      </w:r>
      <w:r w:rsidR="009348EE">
        <w:t>education-work</w:t>
      </w:r>
      <w:r>
        <w:t xml:space="preserve"> types.</w:t>
      </w:r>
      <w:r w:rsidRPr="008272E1">
        <w:t xml:space="preserve"> </w:t>
      </w:r>
      <w:r>
        <w:t xml:space="preserve">Potential students are unlikely to know the benefits and costs of </w:t>
      </w:r>
      <w:r w:rsidR="009348EE">
        <w:t>education-work</w:t>
      </w:r>
      <w:r>
        <w:t xml:space="preserve"> types with certainty. Some will overestimate, others will underestimate the net benefits. Any systematic tendencies towards over- or underestimation will potentially bias the results. To address this, decisions in the ELMO model are based on potentially flawed perceptions of private net benefits.</w:t>
      </w:r>
    </w:p>
    <w:p w:rsidR="003B37FB" w:rsidRDefault="003B37FB" w:rsidP="003B37FB">
      <w:pPr>
        <w:pStyle w:val="BodyText"/>
      </w:pPr>
      <w:r>
        <w:t xml:space="preserve">Second, the net benefits also reflect an adjustment for </w:t>
      </w:r>
      <w:r w:rsidRPr="00CE0540">
        <w:rPr>
          <w:i/>
        </w:rPr>
        <w:t>residuals</w:t>
      </w:r>
      <w:r>
        <w:t>. The residuals are used to capture information from observed data on the decisions that people make to obtain better estimates of the perceived private net benefits. In a sense, the other parameters determine the shapes of the perceived private net benefits functions while the residuals determine the heights.</w:t>
      </w:r>
      <w:r w:rsidRPr="00522968">
        <w:t xml:space="preserve"> The </w:t>
      </w:r>
      <w:r>
        <w:t xml:space="preserve">residuals are the </w:t>
      </w:r>
      <w:r w:rsidRPr="00522968">
        <w:t xml:space="preserve">difference between </w:t>
      </w:r>
      <w:r>
        <w:t>the perceived private net benefits</w:t>
      </w:r>
      <w:r w:rsidRPr="00522968">
        <w:t xml:space="preserve"> required to generate the observed mix of </w:t>
      </w:r>
      <w:r w:rsidR="009348EE">
        <w:t>education-work</w:t>
      </w:r>
      <w:r w:rsidRPr="00522968">
        <w:t xml:space="preserve"> types </w:t>
      </w:r>
      <w:r>
        <w:t xml:space="preserve">and </w:t>
      </w:r>
      <w:r w:rsidRPr="00522968">
        <w:t xml:space="preserve">the </w:t>
      </w:r>
      <w:r>
        <w:t xml:space="preserve">perceived private net benefits from the other parts of the model (that is, the part described above, which excludes the residuals). </w:t>
      </w:r>
      <w:r w:rsidRPr="00522968">
        <w:t>The residual</w:t>
      </w:r>
      <w:r>
        <w:t>s</w:t>
      </w:r>
      <w:r w:rsidRPr="00522968">
        <w:t xml:space="preserve"> </w:t>
      </w:r>
      <w:r>
        <w:t>are</w:t>
      </w:r>
      <w:r w:rsidRPr="00522968">
        <w:t xml:space="preserve"> estimated through calibration (see below</w:t>
      </w:r>
      <w:r>
        <w:t xml:space="preserve"> and box </w:t>
      </w:r>
      <w:r w:rsidR="003729A7">
        <w:t>3</w:t>
      </w:r>
      <w:r w:rsidRPr="00522968">
        <w:t xml:space="preserve">) and </w:t>
      </w:r>
      <w:r>
        <w:t xml:space="preserve">are </w:t>
      </w:r>
      <w:r w:rsidRPr="00522968">
        <w:t>included in both the net public and perceived private benefits. As a result, optimisation based on perceived private net benefits (which includes the residual) reproduce</w:t>
      </w:r>
      <w:r>
        <w:t>s</w:t>
      </w:r>
      <w:r w:rsidRPr="00522968">
        <w:t xml:space="preserve"> the mix</w:t>
      </w:r>
      <w:r w:rsidRPr="00083031">
        <w:t xml:space="preserve"> </w:t>
      </w:r>
      <w:r>
        <w:t xml:space="preserve">of </w:t>
      </w:r>
      <w:r w:rsidR="009348EE">
        <w:t>education-work</w:t>
      </w:r>
      <w:r>
        <w:t xml:space="preserve"> types that is </w:t>
      </w:r>
      <w:r w:rsidRPr="00522968">
        <w:t>observed</w:t>
      </w:r>
      <w:r>
        <w:t xml:space="preserve"> in the data</w:t>
      </w:r>
      <w:r w:rsidRPr="00522968">
        <w:t>.</w:t>
      </w:r>
    </w:p>
    <w:p w:rsidR="00AB3618" w:rsidRDefault="00AB3618" w:rsidP="00AB3618">
      <w:pPr>
        <w:pStyle w:val="BodyText"/>
      </w:pPr>
      <w:r>
        <w:t>The key net benefit equations are:</w:t>
      </w:r>
    </w:p>
    <w:tbl>
      <w:tblPr>
        <w:tblW w:w="5000" w:type="pct"/>
        <w:tblLook w:val="0000" w:firstRow="0" w:lastRow="0" w:firstColumn="0" w:lastColumn="0" w:noHBand="0" w:noVBand="0"/>
      </w:tblPr>
      <w:tblGrid>
        <w:gridCol w:w="7634"/>
        <w:gridCol w:w="1371"/>
      </w:tblGrid>
      <w:tr w:rsidR="00AB3618" w:rsidRPr="005A269F" w:rsidTr="001C6784">
        <w:tc>
          <w:tcPr>
            <w:tcW w:w="4239" w:type="pct"/>
            <w:shd w:val="clear" w:color="auto" w:fill="auto"/>
          </w:tcPr>
          <w:p w:rsidR="00AB3618" w:rsidRPr="005A269F" w:rsidRDefault="00AB3618" w:rsidP="00AB3618">
            <w:pPr>
              <w:pStyle w:val="BodyText"/>
              <w:rPr>
                <w:i/>
              </w:rPr>
            </w:pPr>
            <w:r w:rsidRPr="005A269F">
              <w:rPr>
                <w:i/>
              </w:rPr>
              <w:t>perprivret(i,ew,s,r) = privben(i,ew,s) - privcost(ew,s) + residual(ew,r) + overest(ew)</w:t>
            </w:r>
          </w:p>
        </w:tc>
        <w:tc>
          <w:tcPr>
            <w:tcW w:w="761" w:type="pct"/>
            <w:shd w:val="clear" w:color="auto" w:fill="auto"/>
            <w:vAlign w:val="center"/>
          </w:tcPr>
          <w:p w:rsidR="00AB3618" w:rsidRPr="005A269F" w:rsidRDefault="00AB3618" w:rsidP="00AB3618">
            <w:pPr>
              <w:pStyle w:val="BodyText"/>
              <w:rPr>
                <w:i/>
              </w:rPr>
            </w:pPr>
            <w:r w:rsidRPr="005A269F">
              <w:rPr>
                <w:i/>
              </w:rPr>
              <w:t>(5)</w:t>
            </w:r>
          </w:p>
        </w:tc>
      </w:tr>
      <w:tr w:rsidR="00AB3618" w:rsidRPr="005A269F" w:rsidTr="001C6784">
        <w:tc>
          <w:tcPr>
            <w:tcW w:w="4239" w:type="pct"/>
            <w:shd w:val="clear" w:color="auto" w:fill="auto"/>
          </w:tcPr>
          <w:p w:rsidR="00AB3618" w:rsidRPr="005A269F" w:rsidRDefault="00AB3618" w:rsidP="00AB3618">
            <w:pPr>
              <w:pStyle w:val="BodyText"/>
              <w:rPr>
                <w:i/>
              </w:rPr>
            </w:pPr>
            <w:r w:rsidRPr="005A269F">
              <w:rPr>
                <w:i/>
              </w:rPr>
              <w:t>pubret(i,ew,s,r) = pubben(i,ew,s) - pubcost(ew,s) + residual(ew,r)</w:t>
            </w:r>
          </w:p>
        </w:tc>
        <w:tc>
          <w:tcPr>
            <w:tcW w:w="761" w:type="pct"/>
            <w:shd w:val="clear" w:color="auto" w:fill="auto"/>
            <w:vAlign w:val="center"/>
          </w:tcPr>
          <w:p w:rsidR="00AB3618" w:rsidRPr="005A269F" w:rsidRDefault="00AB3618" w:rsidP="00AB3618">
            <w:pPr>
              <w:pStyle w:val="BodyText"/>
              <w:rPr>
                <w:i/>
              </w:rPr>
            </w:pPr>
            <w:r w:rsidRPr="005A269F">
              <w:rPr>
                <w:i/>
              </w:rPr>
              <w:t>(6)</w:t>
            </w:r>
          </w:p>
        </w:tc>
      </w:tr>
    </w:tbl>
    <w:p w:rsidR="00AB3618" w:rsidRPr="00436EE7" w:rsidRDefault="003B37FB" w:rsidP="00AB3618">
      <w:pPr>
        <w:pStyle w:val="BodyText"/>
      </w:pPr>
      <w:r>
        <w:t>w</w:t>
      </w:r>
      <w:r w:rsidR="00AB3618" w:rsidRPr="00436EE7">
        <w:t>here:</w:t>
      </w:r>
    </w:p>
    <w:p w:rsidR="00AB3618" w:rsidRPr="00C25AA9" w:rsidRDefault="00AB3618" w:rsidP="00AB3618">
      <w:pPr>
        <w:pStyle w:val="BodyText"/>
      </w:pPr>
      <w:r w:rsidRPr="00C25AA9">
        <w:rPr>
          <w:i/>
        </w:rPr>
        <w:t>perprivret(i,ew,s,r)</w:t>
      </w:r>
      <w:r>
        <w:rPr>
          <w:i/>
        </w:rPr>
        <w:t xml:space="preserve"> </w:t>
      </w:r>
      <w:r>
        <w:t xml:space="preserve">is the expected perceived private net benefit of </w:t>
      </w:r>
      <w:r w:rsidR="009348EE">
        <w:t>education-work</w:t>
      </w:r>
      <w:r w:rsidRPr="006E36CF">
        <w:t xml:space="preserve"> type</w:t>
      </w:r>
      <w:r>
        <w:t xml:space="preserve"> ew</w:t>
      </w:r>
      <w:r w:rsidRPr="006E36CF">
        <w:t xml:space="preserve"> </w:t>
      </w:r>
      <w:r>
        <w:t xml:space="preserve">for agent i </w:t>
      </w:r>
      <w:r w:rsidRPr="006E36CF">
        <w:t>in scenario</w:t>
      </w:r>
      <w:r>
        <w:t xml:space="preserve"> s and region r</w:t>
      </w:r>
    </w:p>
    <w:p w:rsidR="00AB3618" w:rsidRPr="00846ECA" w:rsidRDefault="00AB3618" w:rsidP="00AB3618">
      <w:pPr>
        <w:pStyle w:val="BodyText"/>
      </w:pPr>
      <w:r w:rsidRPr="00C25AA9">
        <w:rPr>
          <w:i/>
        </w:rPr>
        <w:t>residual(ew,r)</w:t>
      </w:r>
      <w:r>
        <w:rPr>
          <w:i/>
        </w:rPr>
        <w:t xml:space="preserve"> </w:t>
      </w:r>
      <w:r>
        <w:t xml:space="preserve">is the residual net benefit of </w:t>
      </w:r>
      <w:r w:rsidR="009348EE">
        <w:t>education-work</w:t>
      </w:r>
      <w:r>
        <w:t xml:space="preserve"> type ew and region r</w:t>
      </w:r>
    </w:p>
    <w:p w:rsidR="00AB3618" w:rsidRPr="00846ECA" w:rsidRDefault="00AB3618" w:rsidP="00AB3618">
      <w:pPr>
        <w:pStyle w:val="BodyText"/>
      </w:pPr>
      <w:r w:rsidRPr="00C25AA9">
        <w:rPr>
          <w:i/>
        </w:rPr>
        <w:t>overest(ew)</w:t>
      </w:r>
      <w:r>
        <w:rPr>
          <w:i/>
        </w:rPr>
        <w:t xml:space="preserve"> </w:t>
      </w:r>
      <w:r>
        <w:t xml:space="preserve">is the </w:t>
      </w:r>
      <w:r w:rsidR="00DB50EA">
        <w:t xml:space="preserve">expected </w:t>
      </w:r>
      <w:r>
        <w:t xml:space="preserve">overestimate of the net benefits of </w:t>
      </w:r>
      <w:r w:rsidR="009348EE">
        <w:t>education-work</w:t>
      </w:r>
      <w:r>
        <w:t xml:space="preserve"> type ew</w:t>
      </w:r>
    </w:p>
    <w:p w:rsidR="00AB3618" w:rsidRDefault="00AB3618" w:rsidP="00AB3618">
      <w:pPr>
        <w:pStyle w:val="BodyText"/>
      </w:pPr>
      <w:r w:rsidRPr="00C25AA9">
        <w:rPr>
          <w:i/>
        </w:rPr>
        <w:t>pubret(i,ew,s,r)</w:t>
      </w:r>
      <w:r w:rsidRPr="00C25AA9">
        <w:t xml:space="preserve"> </w:t>
      </w:r>
      <w:r>
        <w:t xml:space="preserve">is the expected public net benefit of </w:t>
      </w:r>
      <w:r w:rsidR="009348EE">
        <w:t>education-work</w:t>
      </w:r>
      <w:r w:rsidRPr="006E36CF">
        <w:t xml:space="preserve"> type</w:t>
      </w:r>
      <w:r>
        <w:t xml:space="preserve"> ew</w:t>
      </w:r>
      <w:r w:rsidRPr="006E36CF">
        <w:t xml:space="preserve"> </w:t>
      </w:r>
      <w:r>
        <w:t xml:space="preserve">for agent i </w:t>
      </w:r>
      <w:r w:rsidRPr="006E36CF">
        <w:t>in scenario</w:t>
      </w:r>
      <w:r>
        <w:t xml:space="preserve"> s and region r.</w:t>
      </w:r>
    </w:p>
    <w:p w:rsidR="00AB3618" w:rsidRPr="00344B97" w:rsidRDefault="00AB3618" w:rsidP="00AB3618">
      <w:pPr>
        <w:pStyle w:val="Heading4"/>
      </w:pPr>
      <w:r>
        <w:lastRenderedPageBreak/>
        <w:t>Weighting (section 1.E GAMS file)</w:t>
      </w:r>
    </w:p>
    <w:p w:rsidR="00AB3618" w:rsidRPr="00846ECA" w:rsidRDefault="00383A04" w:rsidP="005E0819">
      <w:pPr>
        <w:pStyle w:val="BodyText"/>
      </w:pPr>
      <w:r>
        <w:t>E</w:t>
      </w:r>
      <w:r w:rsidR="00AB3618">
        <w:t>ach agent</w:t>
      </w:r>
      <w:r>
        <w:t xml:space="preserve"> in the ELMO model</w:t>
      </w:r>
      <w:r w:rsidR="00AB3618">
        <w:t xml:space="preserve"> is defined by their </w:t>
      </w:r>
      <w:r w:rsidR="003B37FB">
        <w:t xml:space="preserve">mix of </w:t>
      </w:r>
      <w:r w:rsidR="00AB3618">
        <w:t>blue</w:t>
      </w:r>
      <w:r w:rsidR="00F6621A">
        <w:t>-</w:t>
      </w:r>
      <w:r w:rsidR="00AB3618">
        <w:t xml:space="preserve"> and white</w:t>
      </w:r>
      <w:r w:rsidR="00F6621A">
        <w:t>-</w:t>
      </w:r>
      <w:r w:rsidR="00AB3618">
        <w:t>collar abilities, and assigned a weight to indicate the number of people in the population</w:t>
      </w:r>
      <w:r w:rsidRPr="00383A04">
        <w:t xml:space="preserve"> </w:t>
      </w:r>
      <w:r>
        <w:t>they represent</w:t>
      </w:r>
      <w:r w:rsidR="00AB3618">
        <w:t xml:space="preserve">. The weights depend on </w:t>
      </w:r>
      <w:r>
        <w:t xml:space="preserve">the </w:t>
      </w:r>
      <w:r w:rsidR="00AB3618">
        <w:t>abilities</w:t>
      </w:r>
      <w:r>
        <w:t xml:space="preserve"> of the agent</w:t>
      </w:r>
      <w:r w:rsidR="005A269F">
        <w:t>,</w:t>
      </w:r>
      <w:r w:rsidR="00AB3618">
        <w:t xml:space="preserve"> how common those abilities are in the population</w:t>
      </w:r>
      <w:r>
        <w:t>,</w:t>
      </w:r>
      <w:r w:rsidR="00AB3618">
        <w:t xml:space="preserve"> and the size of the population. The function used to apply the weights </w:t>
      </w:r>
      <w:r w:rsidR="005A269F">
        <w:t>preserves</w:t>
      </w:r>
      <w:r w:rsidR="00AB3618">
        <w:t xml:space="preserve"> the interpretation of abilities as percentiles, and </w:t>
      </w:r>
      <w:r>
        <w:t>allows</w:t>
      </w:r>
      <w:r w:rsidR="00AB3618">
        <w:t xml:space="preserve"> the correlation between blue</w:t>
      </w:r>
      <w:r w:rsidR="00F6621A">
        <w:t>-</w:t>
      </w:r>
      <w:r w:rsidR="00AB3618">
        <w:t>collar and white</w:t>
      </w:r>
      <w:r w:rsidR="00F6621A">
        <w:t>-</w:t>
      </w:r>
      <w:r w:rsidR="00AB3618">
        <w:t xml:space="preserve">collar abilities to be </w:t>
      </w:r>
      <w:r w:rsidR="005A269F">
        <w:t>altered</w:t>
      </w:r>
      <w:r w:rsidR="00AB3618">
        <w:t xml:space="preserve">. </w:t>
      </w:r>
    </w:p>
    <w:p w:rsidR="00AB3618" w:rsidRDefault="00AB3618" w:rsidP="00383A04">
      <w:pPr>
        <w:pStyle w:val="BodyText"/>
        <w:jc w:val="left"/>
      </w:pPr>
      <w:r>
        <w:t>The weighting equations are:</w:t>
      </w:r>
    </w:p>
    <w:tbl>
      <w:tblPr>
        <w:tblW w:w="5000" w:type="pct"/>
        <w:tblLook w:val="0000" w:firstRow="0" w:lastRow="0" w:firstColumn="0" w:lastColumn="0" w:noHBand="0" w:noVBand="0"/>
      </w:tblPr>
      <w:tblGrid>
        <w:gridCol w:w="7634"/>
        <w:gridCol w:w="1371"/>
      </w:tblGrid>
      <w:tr w:rsidR="00AB3618" w:rsidRPr="005A269F" w:rsidTr="001C6784">
        <w:tc>
          <w:tcPr>
            <w:tcW w:w="4239" w:type="pct"/>
            <w:shd w:val="clear" w:color="auto" w:fill="auto"/>
          </w:tcPr>
          <w:p w:rsidR="00AB3618" w:rsidRPr="005A269F" w:rsidRDefault="00AB3618" w:rsidP="00AB3618">
            <w:pPr>
              <w:pStyle w:val="BodyText"/>
              <w:rPr>
                <w:i/>
              </w:rPr>
            </w:pPr>
            <w:r w:rsidRPr="005A269F">
              <w:rPr>
                <w:i/>
              </w:rPr>
              <w:t>densfn(i) = gamma + 1 - ability(i,'B') + (2*ability(i,'B')-1) * ability(i,'W')</w:t>
            </w:r>
          </w:p>
        </w:tc>
        <w:tc>
          <w:tcPr>
            <w:tcW w:w="761" w:type="pct"/>
            <w:shd w:val="clear" w:color="auto" w:fill="auto"/>
            <w:vAlign w:val="center"/>
          </w:tcPr>
          <w:p w:rsidR="00AB3618" w:rsidRPr="005A269F" w:rsidRDefault="00AB3618" w:rsidP="00AB3618">
            <w:pPr>
              <w:pStyle w:val="BodyText"/>
              <w:rPr>
                <w:i/>
              </w:rPr>
            </w:pPr>
            <w:r w:rsidRPr="005A269F">
              <w:rPr>
                <w:i/>
              </w:rPr>
              <w:t>(7)</w:t>
            </w:r>
          </w:p>
        </w:tc>
      </w:tr>
      <w:tr w:rsidR="00AB3618" w:rsidRPr="005A269F" w:rsidTr="001C6784">
        <w:tc>
          <w:tcPr>
            <w:tcW w:w="4239" w:type="pct"/>
            <w:shd w:val="clear" w:color="auto" w:fill="auto"/>
          </w:tcPr>
          <w:p w:rsidR="00AB3618" w:rsidRPr="005A269F" w:rsidRDefault="00AB3618" w:rsidP="00AB3618">
            <w:pPr>
              <w:pStyle w:val="BodyText"/>
              <w:rPr>
                <w:i/>
              </w:rPr>
            </w:pPr>
            <w:r w:rsidRPr="005A269F">
              <w:rPr>
                <w:i/>
              </w:rPr>
              <w:t>weight(i,r) = densfn(i) * pop(r) /  sum(i, densfn(i))</w:t>
            </w:r>
          </w:p>
        </w:tc>
        <w:tc>
          <w:tcPr>
            <w:tcW w:w="761" w:type="pct"/>
            <w:shd w:val="clear" w:color="auto" w:fill="auto"/>
            <w:vAlign w:val="center"/>
          </w:tcPr>
          <w:p w:rsidR="00AB3618" w:rsidRPr="005A269F" w:rsidRDefault="00AB3618" w:rsidP="00AB3618">
            <w:pPr>
              <w:pStyle w:val="BodyText"/>
              <w:rPr>
                <w:i/>
              </w:rPr>
            </w:pPr>
            <w:r w:rsidRPr="005A269F">
              <w:rPr>
                <w:i/>
              </w:rPr>
              <w:t>(8)</w:t>
            </w:r>
          </w:p>
        </w:tc>
      </w:tr>
    </w:tbl>
    <w:p w:rsidR="00AB3618" w:rsidRDefault="003B37FB" w:rsidP="00AB3618">
      <w:pPr>
        <w:pStyle w:val="BodyText"/>
      </w:pPr>
      <w:r>
        <w:t>w</w:t>
      </w:r>
      <w:r w:rsidR="00AB3618" w:rsidRPr="00436EE7">
        <w:t>here:</w:t>
      </w:r>
    </w:p>
    <w:p w:rsidR="00AB3618" w:rsidRPr="00A068A6" w:rsidRDefault="00AB3618" w:rsidP="00AB3618">
      <w:pPr>
        <w:pStyle w:val="BodyText"/>
      </w:pPr>
      <w:r w:rsidRPr="00A068A6">
        <w:rPr>
          <w:i/>
        </w:rPr>
        <w:t>densfn(i)</w:t>
      </w:r>
      <w:r>
        <w:t xml:space="preserve"> is the value of the discrete probability density function for agent i</w:t>
      </w:r>
    </w:p>
    <w:p w:rsidR="00AB3618" w:rsidRPr="00A068A6" w:rsidRDefault="00AB3618" w:rsidP="00AB3618">
      <w:pPr>
        <w:pStyle w:val="BodyText"/>
      </w:pPr>
      <w:r w:rsidRPr="00A068A6">
        <w:rPr>
          <w:i/>
        </w:rPr>
        <w:t>gamma</w:t>
      </w:r>
      <w:r>
        <w:t xml:space="preserve"> is the parameter that controls, but is not equal to, the correlation between blue</w:t>
      </w:r>
      <w:r w:rsidR="00F6621A">
        <w:t>-</w:t>
      </w:r>
      <w:r>
        <w:t>collar and white</w:t>
      </w:r>
      <w:r w:rsidR="00F6621A">
        <w:t>-</w:t>
      </w:r>
      <w:r>
        <w:t>collar abilities across the population</w:t>
      </w:r>
    </w:p>
    <w:p w:rsidR="00AB3618" w:rsidRPr="00A068A6" w:rsidRDefault="00AB3618" w:rsidP="00AB3618">
      <w:pPr>
        <w:pStyle w:val="BodyText"/>
      </w:pPr>
      <w:r w:rsidRPr="00A068A6">
        <w:rPr>
          <w:i/>
        </w:rPr>
        <w:t>ability(i,'B')</w:t>
      </w:r>
      <w:r>
        <w:t xml:space="preserve"> is the blue</w:t>
      </w:r>
      <w:r w:rsidR="00F6621A">
        <w:t>-</w:t>
      </w:r>
      <w:r>
        <w:t>collar ability of agent i</w:t>
      </w:r>
    </w:p>
    <w:p w:rsidR="00AB3618" w:rsidRPr="00A068A6" w:rsidRDefault="00AB3618" w:rsidP="00AB3618">
      <w:pPr>
        <w:pStyle w:val="BodyText"/>
      </w:pPr>
      <w:r w:rsidRPr="00A068A6">
        <w:rPr>
          <w:i/>
        </w:rPr>
        <w:t>ability(i,'W')</w:t>
      </w:r>
      <w:r>
        <w:rPr>
          <w:i/>
        </w:rPr>
        <w:t xml:space="preserve"> </w:t>
      </w:r>
      <w:r>
        <w:t>is the white</w:t>
      </w:r>
      <w:r w:rsidR="00F6621A">
        <w:t>-</w:t>
      </w:r>
      <w:r>
        <w:t>collar ability of agent i</w:t>
      </w:r>
    </w:p>
    <w:p w:rsidR="00AB3618" w:rsidRPr="00A068A6" w:rsidRDefault="00AB3618" w:rsidP="00AB3618">
      <w:pPr>
        <w:pStyle w:val="BodyText"/>
      </w:pPr>
      <w:r w:rsidRPr="00A068A6">
        <w:rPr>
          <w:i/>
        </w:rPr>
        <w:t>weight(i,r)</w:t>
      </w:r>
      <w:r>
        <w:t xml:space="preserve"> is the weight for agent </w:t>
      </w:r>
      <w:r w:rsidR="005A269F">
        <w:t>i in region r</w:t>
      </w:r>
    </w:p>
    <w:p w:rsidR="00AB3618" w:rsidRDefault="00AB3618" w:rsidP="00AB3618">
      <w:pPr>
        <w:pStyle w:val="BodyText"/>
      </w:pPr>
      <w:r w:rsidRPr="00A068A6">
        <w:rPr>
          <w:i/>
        </w:rPr>
        <w:t>pop(r)</w:t>
      </w:r>
      <w:r>
        <w:t xml:space="preserve"> is the population of region r.</w:t>
      </w:r>
    </w:p>
    <w:p w:rsidR="00AB3618" w:rsidRPr="00344B97" w:rsidRDefault="00AB3618" w:rsidP="00AB3618">
      <w:pPr>
        <w:pStyle w:val="Heading4"/>
      </w:pPr>
      <w:r>
        <w:t>Objective function and constraint (section 1.F GAMS file)</w:t>
      </w:r>
    </w:p>
    <w:p w:rsidR="00383A04" w:rsidRDefault="00AB3618" w:rsidP="005E0819">
      <w:pPr>
        <w:pStyle w:val="BodyText"/>
      </w:pPr>
      <w:r w:rsidRPr="004C08D7">
        <w:t xml:space="preserve">The ELMO model is solved to find the </w:t>
      </w:r>
      <w:r w:rsidR="009348EE">
        <w:t>education-work</w:t>
      </w:r>
      <w:r w:rsidRPr="004C08D7">
        <w:t xml:space="preserve"> type for each individual, in each region and scenario that maximises the perceived private net benefit. As mentioned earlier, this part of the model is very simple. The constraint is that people can </w:t>
      </w:r>
      <w:r w:rsidR="00383A04">
        <w:t xml:space="preserve">only </w:t>
      </w:r>
      <w:r w:rsidRPr="004C08D7">
        <w:t xml:space="preserve">choose one </w:t>
      </w:r>
      <w:r w:rsidR="009348EE">
        <w:t>education-work</w:t>
      </w:r>
      <w:r w:rsidRPr="004C08D7">
        <w:t xml:space="preserve"> type. This is not restrictive, as </w:t>
      </w:r>
      <w:r w:rsidR="009348EE">
        <w:t>education-work</w:t>
      </w:r>
      <w:r w:rsidRPr="004C08D7">
        <w:t xml:space="preserve"> type</w:t>
      </w:r>
      <w:r w:rsidR="005A269F">
        <w:t>s are</w:t>
      </w:r>
      <w:r w:rsidRPr="004C08D7">
        <w:t xml:space="preserve"> defined in terms of the highest level</w:t>
      </w:r>
      <w:r w:rsidR="005A269F">
        <w:t xml:space="preserve"> of education</w:t>
      </w:r>
      <w:r w:rsidRPr="004C08D7">
        <w:t xml:space="preserve"> obtained. The </w:t>
      </w:r>
      <w:r>
        <w:t xml:space="preserve">model is solved </w:t>
      </w:r>
      <w:r w:rsidR="00E62B7F">
        <w:t xml:space="preserve">as a </w:t>
      </w:r>
      <w:r>
        <w:t>mixed integer programming</w:t>
      </w:r>
      <w:r w:rsidR="00E62B7F">
        <w:t xml:space="preserve"> problem</w:t>
      </w:r>
      <w:r>
        <w:t xml:space="preserve">. </w:t>
      </w:r>
    </w:p>
    <w:p w:rsidR="00AB3618" w:rsidRPr="004C08D7" w:rsidRDefault="003B37FB" w:rsidP="003B37FB">
      <w:pPr>
        <w:pStyle w:val="BodyText"/>
        <w:keepNext/>
        <w:keepLines/>
        <w:jc w:val="left"/>
      </w:pPr>
      <w:r>
        <w:lastRenderedPageBreak/>
        <w:t>T</w:t>
      </w:r>
      <w:r w:rsidR="00AB3618" w:rsidRPr="004C08D7">
        <w:t xml:space="preserve">he objective function and constraint </w:t>
      </w:r>
      <w:r w:rsidR="00E62B7F">
        <w:t xml:space="preserve">that limits an individual’s choice of education-work type </w:t>
      </w:r>
      <w:r w:rsidR="00AB3618" w:rsidRPr="004C08D7">
        <w:t>are:</w:t>
      </w:r>
    </w:p>
    <w:tbl>
      <w:tblPr>
        <w:tblW w:w="5000" w:type="pct"/>
        <w:tblLook w:val="0000" w:firstRow="0" w:lastRow="0" w:firstColumn="0" w:lastColumn="0" w:noHBand="0" w:noVBand="0"/>
      </w:tblPr>
      <w:tblGrid>
        <w:gridCol w:w="7634"/>
        <w:gridCol w:w="1371"/>
      </w:tblGrid>
      <w:tr w:rsidR="00AB3618" w:rsidRPr="005A269F" w:rsidTr="001C6784">
        <w:tc>
          <w:tcPr>
            <w:tcW w:w="4239" w:type="pct"/>
            <w:shd w:val="clear" w:color="auto" w:fill="auto"/>
          </w:tcPr>
          <w:p w:rsidR="00383A04" w:rsidRDefault="00AB3618" w:rsidP="003B37FB">
            <w:pPr>
              <w:pStyle w:val="BodyText"/>
              <w:keepNext/>
              <w:keepLines/>
              <w:rPr>
                <w:i/>
              </w:rPr>
            </w:pPr>
            <w:r w:rsidRPr="005A269F">
              <w:rPr>
                <w:i/>
              </w:rPr>
              <w:t>Maximise…</w:t>
            </w:r>
          </w:p>
          <w:p w:rsidR="00AB3618" w:rsidRPr="005A269F" w:rsidRDefault="00AB3618" w:rsidP="003B37FB">
            <w:pPr>
              <w:pStyle w:val="BodyText"/>
              <w:keepNext/>
              <w:keepLines/>
              <w:rPr>
                <w:i/>
              </w:rPr>
            </w:pPr>
            <w:r w:rsidRPr="005A269F">
              <w:rPr>
                <w:i/>
              </w:rPr>
              <w:t>privobj =e= sum([i,ew,s,r], perprivret(i,ew,s,r) * choicepriv(i,ew,s,r))</w:t>
            </w:r>
          </w:p>
        </w:tc>
        <w:tc>
          <w:tcPr>
            <w:tcW w:w="761" w:type="pct"/>
            <w:shd w:val="clear" w:color="auto" w:fill="auto"/>
            <w:vAlign w:val="center"/>
          </w:tcPr>
          <w:p w:rsidR="00AB3618" w:rsidRPr="005A269F" w:rsidRDefault="00AB3618" w:rsidP="003B37FB">
            <w:pPr>
              <w:pStyle w:val="BodyText"/>
              <w:keepNext/>
              <w:keepLines/>
              <w:rPr>
                <w:i/>
              </w:rPr>
            </w:pPr>
            <w:r w:rsidRPr="005A269F">
              <w:rPr>
                <w:i/>
              </w:rPr>
              <w:t>(9)</w:t>
            </w:r>
          </w:p>
        </w:tc>
      </w:tr>
      <w:tr w:rsidR="00AB3618" w:rsidRPr="005A269F" w:rsidTr="001C6784">
        <w:tc>
          <w:tcPr>
            <w:tcW w:w="4239" w:type="pct"/>
            <w:shd w:val="clear" w:color="auto" w:fill="auto"/>
          </w:tcPr>
          <w:p w:rsidR="00383A04" w:rsidRDefault="00AB3618" w:rsidP="003B37FB">
            <w:pPr>
              <w:pStyle w:val="BodyText"/>
              <w:keepNext/>
              <w:keepLines/>
              <w:rPr>
                <w:i/>
              </w:rPr>
            </w:pPr>
            <w:r w:rsidRPr="005A269F">
              <w:rPr>
                <w:i/>
              </w:rPr>
              <w:t>Subject to…</w:t>
            </w:r>
          </w:p>
          <w:p w:rsidR="00AB3618" w:rsidRPr="005A269F" w:rsidRDefault="00AB3618" w:rsidP="003B37FB">
            <w:pPr>
              <w:pStyle w:val="BodyText"/>
              <w:keepNext/>
              <w:keepLines/>
              <w:rPr>
                <w:i/>
              </w:rPr>
            </w:pPr>
            <w:r w:rsidRPr="005A269F">
              <w:rPr>
                <w:i/>
              </w:rPr>
              <w:t>sum(ew, choicepriv(i,ew,s,r)) =e= 1</w:t>
            </w:r>
          </w:p>
        </w:tc>
        <w:tc>
          <w:tcPr>
            <w:tcW w:w="761" w:type="pct"/>
            <w:shd w:val="clear" w:color="auto" w:fill="auto"/>
            <w:vAlign w:val="center"/>
          </w:tcPr>
          <w:p w:rsidR="00AB3618" w:rsidRPr="005A269F" w:rsidRDefault="00AB3618" w:rsidP="003B37FB">
            <w:pPr>
              <w:pStyle w:val="BodyText"/>
              <w:keepNext/>
              <w:keepLines/>
              <w:rPr>
                <w:i/>
              </w:rPr>
            </w:pPr>
            <w:r w:rsidRPr="005A269F">
              <w:rPr>
                <w:i/>
              </w:rPr>
              <w:t>(10)</w:t>
            </w:r>
          </w:p>
        </w:tc>
      </w:tr>
    </w:tbl>
    <w:p w:rsidR="00AB3618" w:rsidRPr="00D25B41" w:rsidRDefault="003B37FB" w:rsidP="00D25B41">
      <w:pPr>
        <w:pStyle w:val="BodyText"/>
      </w:pPr>
      <w:r>
        <w:t>w</w:t>
      </w:r>
      <w:r w:rsidR="00AB3618" w:rsidRPr="00D25B41">
        <w:t>here:</w:t>
      </w:r>
    </w:p>
    <w:p w:rsidR="00AB3618" w:rsidRPr="00D25B41" w:rsidRDefault="00AB3618" w:rsidP="00D25B41">
      <w:pPr>
        <w:pStyle w:val="BodyText"/>
      </w:pPr>
      <w:r w:rsidRPr="005A269F">
        <w:rPr>
          <w:i/>
        </w:rPr>
        <w:t>privobj</w:t>
      </w:r>
      <w:r w:rsidRPr="00D25B41">
        <w:t xml:space="preserve">  is the </w:t>
      </w:r>
      <w:r w:rsidR="00DB50EA">
        <w:t xml:space="preserve">expected </w:t>
      </w:r>
      <w:r w:rsidRPr="00D25B41">
        <w:t>value of the private objective function</w:t>
      </w:r>
    </w:p>
    <w:p w:rsidR="00AB3618" w:rsidRPr="00D25B41" w:rsidRDefault="00AB3618" w:rsidP="00D25B41">
      <w:pPr>
        <w:pStyle w:val="BodyText"/>
      </w:pPr>
      <w:r w:rsidRPr="005A269F">
        <w:rPr>
          <w:i/>
        </w:rPr>
        <w:t>choicepriv(i,ew,s,r)</w:t>
      </w:r>
      <w:r w:rsidR="005A269F">
        <w:t xml:space="preserve"> is the binary </w:t>
      </w:r>
      <w:r w:rsidRPr="00D25B41">
        <w:t>decision variable</w:t>
      </w:r>
      <w:r w:rsidR="00E62B7F">
        <w:t xml:space="preserve"> that indicates individual i in region r’s choice of education-work type in scenario s</w:t>
      </w:r>
      <w:r w:rsidRPr="00D25B41">
        <w:t>.</w:t>
      </w:r>
    </w:p>
    <w:p w:rsidR="00AB3618" w:rsidRPr="00344B97" w:rsidRDefault="00AB3618" w:rsidP="00AB3618">
      <w:pPr>
        <w:pStyle w:val="Heading4"/>
      </w:pPr>
      <w:r>
        <w:t>Reporting parameters (section 1.G GAMS file)</w:t>
      </w:r>
    </w:p>
    <w:p w:rsidR="00AB3618" w:rsidRPr="00AB3618" w:rsidRDefault="00AB3618" w:rsidP="005E0819">
      <w:pPr>
        <w:pStyle w:val="BodyText"/>
      </w:pPr>
      <w:r w:rsidRPr="00AB3618">
        <w:t xml:space="preserve">The ELMO model can be used to report on many different parameters relating to the behaviour of potential students in response to education </w:t>
      </w:r>
      <w:r w:rsidR="00383A04">
        <w:t>policies</w:t>
      </w:r>
      <w:r w:rsidRPr="00AB3618">
        <w:t xml:space="preserve"> and the economic implications of those responses, </w:t>
      </w:r>
      <w:r w:rsidR="00383A04">
        <w:t>including</w:t>
      </w:r>
      <w:r w:rsidRPr="00AB3618">
        <w:t xml:space="preserve"> public net benefits. This is </w:t>
      </w:r>
      <w:r w:rsidR="005A269F">
        <w:t>accomplished</w:t>
      </w:r>
      <w:r w:rsidRPr="00AB3618">
        <w:t xml:space="preserve"> by estimating the effects under the policy and base scenarios and taking the difference. </w:t>
      </w:r>
      <w:r w:rsidR="00DB50EA">
        <w:t xml:space="preserve">To estimate the effects under the policy and base </w:t>
      </w:r>
      <w:r w:rsidRPr="00AB3618">
        <w:t>scenarios</w:t>
      </w:r>
      <w:r w:rsidR="00DB50EA">
        <w:t>,</w:t>
      </w:r>
      <w:r w:rsidRPr="00AB3618">
        <w:t xml:space="preserve"> the </w:t>
      </w:r>
      <w:r w:rsidR="00DB50EA">
        <w:t>solution</w:t>
      </w:r>
      <w:r w:rsidRPr="00AB3618">
        <w:t xml:space="preserve"> level of the decision variable is multiplied by the weight and the relevant parameters from previous sections. This is then summed across agents and other sets </w:t>
      </w:r>
      <w:r w:rsidR="00DB50EA">
        <w:t>(</w:t>
      </w:r>
      <w:r w:rsidRPr="00AB3618">
        <w:t>if desired</w:t>
      </w:r>
      <w:r w:rsidR="00DB50EA">
        <w:t>)</w:t>
      </w:r>
      <w:r w:rsidRPr="00AB3618">
        <w:t xml:space="preserve">. </w:t>
      </w:r>
    </w:p>
    <w:p w:rsidR="00AB3618" w:rsidRPr="00AB3618" w:rsidRDefault="00AB3618" w:rsidP="005E0819">
      <w:pPr>
        <w:pStyle w:val="BodyText"/>
      </w:pPr>
      <w:r w:rsidRPr="00AB3618">
        <w:t xml:space="preserve">The following equations are used to derive the </w:t>
      </w:r>
      <w:r w:rsidR="00B17CD5" w:rsidRPr="00AB3618">
        <w:t>projected</w:t>
      </w:r>
      <w:r w:rsidRPr="00AB3618">
        <w:t xml:space="preserve"> effect of an education policy on</w:t>
      </w:r>
      <w:r w:rsidR="005A269F">
        <w:t xml:space="preserve"> the</w:t>
      </w:r>
      <w:r w:rsidRPr="00AB3618">
        <w:t xml:space="preserve"> total</w:t>
      </w:r>
      <w:r w:rsidR="005A269F">
        <w:t xml:space="preserve"> public net benefit</w:t>
      </w:r>
      <w:r w:rsidRPr="00AB3618">
        <w:t xml:space="preserve">, and provide a good example of the process. </w:t>
      </w:r>
    </w:p>
    <w:tbl>
      <w:tblPr>
        <w:tblW w:w="5000" w:type="pct"/>
        <w:tblLayout w:type="fixed"/>
        <w:tblLook w:val="0000" w:firstRow="0" w:lastRow="0" w:firstColumn="0" w:lastColumn="0" w:noHBand="0" w:noVBand="0"/>
      </w:tblPr>
      <w:tblGrid>
        <w:gridCol w:w="8330"/>
        <w:gridCol w:w="675"/>
      </w:tblGrid>
      <w:tr w:rsidR="00AB3618" w:rsidRPr="00AB3618" w:rsidTr="001C6784">
        <w:tc>
          <w:tcPr>
            <w:tcW w:w="4625" w:type="pct"/>
            <w:shd w:val="clear" w:color="auto" w:fill="auto"/>
          </w:tcPr>
          <w:p w:rsidR="00AB3618" w:rsidRPr="00F13D25" w:rsidRDefault="00AB3618" w:rsidP="00F13D25">
            <w:pPr>
              <w:pStyle w:val="BodyText"/>
              <w:jc w:val="left"/>
              <w:rPr>
                <w:i/>
              </w:rPr>
            </w:pPr>
            <w:r w:rsidRPr="00F13D25">
              <w:rPr>
                <w:i/>
              </w:rPr>
              <w:t>totalpubret(s,r) = sum(ew, sum(i, pubret(i,ew,s,r) * weight(i,r) * choicepriv.l(i,ew,s,r))</w:t>
            </w:r>
          </w:p>
        </w:tc>
        <w:tc>
          <w:tcPr>
            <w:tcW w:w="375" w:type="pct"/>
            <w:shd w:val="clear" w:color="auto" w:fill="auto"/>
            <w:vAlign w:val="center"/>
          </w:tcPr>
          <w:p w:rsidR="00AB3618" w:rsidRPr="00F13D25" w:rsidRDefault="00AB3618" w:rsidP="00AB3618">
            <w:pPr>
              <w:pStyle w:val="BodyText"/>
              <w:rPr>
                <w:i/>
              </w:rPr>
            </w:pPr>
            <w:r w:rsidRPr="00F13D25">
              <w:rPr>
                <w:i/>
              </w:rPr>
              <w:t>(11)</w:t>
            </w:r>
          </w:p>
        </w:tc>
      </w:tr>
      <w:tr w:rsidR="00AB3618" w:rsidRPr="00AB3618" w:rsidTr="001C6784">
        <w:tc>
          <w:tcPr>
            <w:tcW w:w="4625" w:type="pct"/>
            <w:shd w:val="clear" w:color="auto" w:fill="auto"/>
          </w:tcPr>
          <w:p w:rsidR="00AB3618" w:rsidRPr="00F13D25" w:rsidRDefault="00AB3618" w:rsidP="00AB3618">
            <w:pPr>
              <w:pStyle w:val="BodyText"/>
              <w:rPr>
                <w:i/>
              </w:rPr>
            </w:pPr>
            <w:r w:rsidRPr="00F13D25">
              <w:rPr>
                <w:i/>
              </w:rPr>
              <w:t>dtotalpubret(r) = totalpubret("policy",r) - totalpubret("base",r)</w:t>
            </w:r>
          </w:p>
        </w:tc>
        <w:tc>
          <w:tcPr>
            <w:tcW w:w="375" w:type="pct"/>
            <w:shd w:val="clear" w:color="auto" w:fill="auto"/>
            <w:vAlign w:val="center"/>
          </w:tcPr>
          <w:p w:rsidR="00AB3618" w:rsidRPr="00F13D25" w:rsidRDefault="00AB3618" w:rsidP="00AB3618">
            <w:pPr>
              <w:pStyle w:val="BodyText"/>
              <w:rPr>
                <w:i/>
              </w:rPr>
            </w:pPr>
            <w:r w:rsidRPr="00F13D25">
              <w:rPr>
                <w:i/>
              </w:rPr>
              <w:t>(12)</w:t>
            </w:r>
          </w:p>
        </w:tc>
      </w:tr>
    </w:tbl>
    <w:p w:rsidR="00AB3618" w:rsidRPr="00AB3618" w:rsidRDefault="003B37FB" w:rsidP="00AB3618">
      <w:pPr>
        <w:pStyle w:val="BodyText"/>
      </w:pPr>
      <w:r>
        <w:t>w</w:t>
      </w:r>
      <w:r w:rsidR="00AB3618" w:rsidRPr="00AB3618">
        <w:t>here:</w:t>
      </w:r>
    </w:p>
    <w:p w:rsidR="00AB3618" w:rsidRPr="00AB3618" w:rsidRDefault="00AB3618" w:rsidP="00AB3618">
      <w:pPr>
        <w:pStyle w:val="BodyText"/>
      </w:pPr>
      <w:r w:rsidRPr="00F13D25">
        <w:rPr>
          <w:i/>
        </w:rPr>
        <w:t>totalpubret(s,r)</w:t>
      </w:r>
      <w:r w:rsidRPr="00AB3618">
        <w:t xml:space="preserve">  is the total expected public net benefit in scenario s and region r</w:t>
      </w:r>
    </w:p>
    <w:p w:rsidR="00AB3618" w:rsidRPr="00AB3618" w:rsidRDefault="00AB3618" w:rsidP="00AB3618">
      <w:pPr>
        <w:pStyle w:val="BodyText"/>
      </w:pPr>
      <w:r w:rsidRPr="00F13D25">
        <w:rPr>
          <w:i/>
        </w:rPr>
        <w:t>choicepriv.l(i,ew,s,r)</w:t>
      </w:r>
      <w:r w:rsidRPr="00AB3618">
        <w:t xml:space="preserve"> is the optimal level of the binary ‘decision’ variable</w:t>
      </w:r>
    </w:p>
    <w:p w:rsidR="00AB3618" w:rsidRPr="00AB3618" w:rsidRDefault="00AB3618" w:rsidP="00AB3618">
      <w:pPr>
        <w:pStyle w:val="BodyText"/>
      </w:pPr>
      <w:r w:rsidRPr="00F13D25">
        <w:rPr>
          <w:i/>
        </w:rPr>
        <w:lastRenderedPageBreak/>
        <w:t>dtotalpubret(r)</w:t>
      </w:r>
      <w:r w:rsidRPr="00AB3618">
        <w:t xml:space="preserve"> is the effect of the policy on total expected public net benefit in region r</w:t>
      </w:r>
    </w:p>
    <w:p w:rsidR="00AB3618" w:rsidRPr="00AB3618" w:rsidRDefault="00AB3618" w:rsidP="00AB3618">
      <w:pPr>
        <w:pStyle w:val="BodyText"/>
      </w:pPr>
      <w:r w:rsidRPr="00F13D25">
        <w:rPr>
          <w:i/>
        </w:rPr>
        <w:t>totalpubret("policy",r)</w:t>
      </w:r>
      <w:r w:rsidRPr="00AB3618">
        <w:t xml:space="preserve"> is the total expected public net benefit in the policy scenario in region r</w:t>
      </w:r>
    </w:p>
    <w:p w:rsidR="00AB3618" w:rsidRDefault="00AB3618" w:rsidP="00AB3618">
      <w:pPr>
        <w:pStyle w:val="BodyText"/>
      </w:pPr>
      <w:r w:rsidRPr="00F13D25">
        <w:rPr>
          <w:i/>
        </w:rPr>
        <w:t>totalpubret("base",r)</w:t>
      </w:r>
      <w:r w:rsidRPr="00AB3618">
        <w:t xml:space="preserve"> is the total expected public net benefit in the base scenario in region r</w:t>
      </w:r>
      <w:r>
        <w:t>.</w:t>
      </w:r>
    </w:p>
    <w:p w:rsidR="00AB3618" w:rsidRDefault="00AB3618" w:rsidP="00AB3618">
      <w:pPr>
        <w:pStyle w:val="Heading3"/>
      </w:pPr>
      <w:r>
        <w:t>Supplementary</w:t>
      </w:r>
      <w:r w:rsidR="003B37FB">
        <w:t xml:space="preserve"> code</w:t>
      </w:r>
    </w:p>
    <w:p w:rsidR="00AB3618" w:rsidRDefault="00F13D25" w:rsidP="005E0819">
      <w:pPr>
        <w:pStyle w:val="BodyText"/>
      </w:pPr>
      <w:r>
        <w:t xml:space="preserve">The supplementary part of the ELMO model can be activated to conduct sensitivity analysis, calibrate the model, and disaggregate </w:t>
      </w:r>
      <w:r w:rsidR="009348EE">
        <w:t>education-work</w:t>
      </w:r>
      <w:r>
        <w:t xml:space="preserve"> types.</w:t>
      </w:r>
      <w:r w:rsidR="002F6DD8">
        <w:rPr>
          <w:rStyle w:val="FootnoteReference"/>
        </w:rPr>
        <w:footnoteReference w:id="5"/>
      </w:r>
    </w:p>
    <w:p w:rsidR="00AB3618" w:rsidRPr="00344B97" w:rsidRDefault="00AB3618" w:rsidP="00AB3618">
      <w:pPr>
        <w:pStyle w:val="Heading4"/>
      </w:pPr>
      <w:r>
        <w:t>Sensitivity analysis (section 2 GAMS file)</w:t>
      </w:r>
    </w:p>
    <w:p w:rsidR="003B37FB" w:rsidRDefault="003B37FB" w:rsidP="003B37FB">
      <w:pPr>
        <w:pStyle w:val="BodyText"/>
      </w:pPr>
      <w:r>
        <w:t xml:space="preserve">The </w:t>
      </w:r>
      <w:r w:rsidRPr="0037754F">
        <w:t>ELMO</w:t>
      </w:r>
      <w:r>
        <w:t xml:space="preserve"> model</w:t>
      </w:r>
      <w:r w:rsidRPr="0037754F">
        <w:t xml:space="preserve"> allows users to perform sensitivity analysis to</w:t>
      </w:r>
      <w:r>
        <w:t xml:space="preserve"> better</w:t>
      </w:r>
      <w:r w:rsidRPr="0037754F">
        <w:t xml:space="preserve"> understand how changing the value</w:t>
      </w:r>
      <w:r>
        <w:t>s</w:t>
      </w:r>
      <w:r w:rsidRPr="0037754F">
        <w:t xml:space="preserve"> of key parameters </w:t>
      </w:r>
      <w:r>
        <w:t xml:space="preserve">influences results. This means that the reporting parameters can be expressed as probability distributions or as confidence intervals, rather than point estimates. </w:t>
      </w:r>
    </w:p>
    <w:p w:rsidR="003B37FB" w:rsidRDefault="003B37FB" w:rsidP="003B37FB">
      <w:pPr>
        <w:pStyle w:val="BodyText"/>
      </w:pPr>
      <w:r>
        <w:t xml:space="preserve">Sensitivity analysis is undertaken by running the model many times with different combinations of parameters. </w:t>
      </w:r>
      <w:r w:rsidR="002F6DD8">
        <w:t>The impacts of varying s</w:t>
      </w:r>
      <w:r>
        <w:t xml:space="preserve">everal parameter values can be analysed simultaneously; they are drawn from independent normal or uniform probability distributions. As an example, table </w:t>
      </w:r>
      <w:r w:rsidR="003729A7">
        <w:t>2</w:t>
      </w:r>
      <w:r>
        <w:t xml:space="preserve"> shows </w:t>
      </w:r>
      <w:r w:rsidR="002F6DD8">
        <w:t xml:space="preserve">the input into </w:t>
      </w:r>
      <w:r>
        <w:t>some of the sensitivity analysis performed in a recent application of the ELMO model.</w:t>
      </w:r>
    </w:p>
    <w:p w:rsidR="00AB3618" w:rsidRDefault="00AB3618" w:rsidP="00AB3618">
      <w:pPr>
        <w:pStyle w:val="TableTitle"/>
      </w:pPr>
      <w:r>
        <w:rPr>
          <w:b w:val="0"/>
        </w:rPr>
        <w:lastRenderedPageBreak/>
        <w:t xml:space="preserve">Table </w:t>
      </w:r>
      <w:r w:rsidR="003729A7">
        <w:rPr>
          <w:b w:val="0"/>
        </w:rPr>
        <w:t>2</w:t>
      </w:r>
      <w:r>
        <w:tab/>
        <w:t xml:space="preserve">Assumed distribution of parameters in recent sensitivity analysis </w:t>
      </w:r>
    </w:p>
    <w:tbl>
      <w:tblPr>
        <w:tblW w:w="5000" w:type="pct"/>
        <w:tblLayout w:type="fixed"/>
        <w:tblCellMar>
          <w:left w:w="0" w:type="dxa"/>
          <w:right w:w="0" w:type="dxa"/>
        </w:tblCellMar>
        <w:tblLook w:val="0000" w:firstRow="0" w:lastRow="0" w:firstColumn="0" w:lastColumn="0" w:noHBand="0" w:noVBand="0"/>
      </w:tblPr>
      <w:tblGrid>
        <w:gridCol w:w="1418"/>
        <w:gridCol w:w="2693"/>
        <w:gridCol w:w="1136"/>
        <w:gridCol w:w="1106"/>
        <w:gridCol w:w="1241"/>
        <w:gridCol w:w="1195"/>
      </w:tblGrid>
      <w:tr w:rsidR="00AB3618" w:rsidTr="00AB3618">
        <w:trPr>
          <w:trHeight w:val="420"/>
        </w:trPr>
        <w:tc>
          <w:tcPr>
            <w:tcW w:w="807" w:type="pct"/>
            <w:tcBorders>
              <w:top w:val="single" w:sz="6" w:space="0" w:color="auto"/>
              <w:bottom w:val="single" w:sz="6" w:space="0" w:color="auto"/>
            </w:tcBorders>
            <w:shd w:val="clear" w:color="auto" w:fill="auto"/>
          </w:tcPr>
          <w:p w:rsidR="00AB3618" w:rsidRDefault="00AB3618" w:rsidP="001C6784">
            <w:pPr>
              <w:pStyle w:val="TableColumnHeading"/>
              <w:jc w:val="left"/>
            </w:pPr>
            <w:r>
              <w:t>Parameter</w:t>
            </w:r>
          </w:p>
        </w:tc>
        <w:tc>
          <w:tcPr>
            <w:tcW w:w="1532" w:type="pct"/>
            <w:tcBorders>
              <w:top w:val="single" w:sz="6" w:space="0" w:color="auto"/>
              <w:bottom w:val="single" w:sz="6" w:space="0" w:color="auto"/>
            </w:tcBorders>
          </w:tcPr>
          <w:p w:rsidR="00AB3618" w:rsidRDefault="00AB3618" w:rsidP="00AB3618">
            <w:pPr>
              <w:pStyle w:val="TableColumnHeading"/>
              <w:ind w:right="28"/>
              <w:jc w:val="both"/>
            </w:pPr>
            <w:r>
              <w:t>Description</w:t>
            </w:r>
          </w:p>
        </w:tc>
        <w:tc>
          <w:tcPr>
            <w:tcW w:w="646" w:type="pct"/>
            <w:tcBorders>
              <w:top w:val="single" w:sz="6" w:space="0" w:color="auto"/>
              <w:bottom w:val="single" w:sz="6" w:space="0" w:color="auto"/>
            </w:tcBorders>
          </w:tcPr>
          <w:p w:rsidR="00AB3618" w:rsidRDefault="00AB3618" w:rsidP="00AB3618">
            <w:pPr>
              <w:pStyle w:val="TableColumnHeading"/>
              <w:ind w:right="28"/>
              <w:jc w:val="both"/>
            </w:pPr>
            <w:r>
              <w:t>Distribution</w:t>
            </w:r>
          </w:p>
        </w:tc>
        <w:tc>
          <w:tcPr>
            <w:tcW w:w="629" w:type="pct"/>
            <w:tcBorders>
              <w:top w:val="single" w:sz="6" w:space="0" w:color="auto"/>
              <w:bottom w:val="single" w:sz="6" w:space="0" w:color="auto"/>
            </w:tcBorders>
            <w:shd w:val="clear" w:color="auto" w:fill="auto"/>
          </w:tcPr>
          <w:p w:rsidR="00AB3618" w:rsidRDefault="00AB3618" w:rsidP="001C6784">
            <w:pPr>
              <w:pStyle w:val="TableColumnHeading"/>
              <w:ind w:right="28"/>
            </w:pPr>
            <w:r>
              <w:t>Lower</w:t>
            </w:r>
          </w:p>
        </w:tc>
        <w:tc>
          <w:tcPr>
            <w:tcW w:w="706" w:type="pct"/>
            <w:tcBorders>
              <w:top w:val="single" w:sz="6" w:space="0" w:color="auto"/>
              <w:bottom w:val="single" w:sz="6" w:space="0" w:color="auto"/>
            </w:tcBorders>
          </w:tcPr>
          <w:p w:rsidR="00AB3618" w:rsidRDefault="00AB3618" w:rsidP="001C6784">
            <w:pPr>
              <w:pStyle w:val="TableColumnHeading"/>
              <w:ind w:right="28"/>
            </w:pPr>
            <w:r>
              <w:t>Mean</w:t>
            </w:r>
          </w:p>
        </w:tc>
        <w:tc>
          <w:tcPr>
            <w:tcW w:w="680" w:type="pct"/>
            <w:tcBorders>
              <w:top w:val="single" w:sz="6" w:space="0" w:color="auto"/>
              <w:bottom w:val="single" w:sz="6" w:space="0" w:color="auto"/>
            </w:tcBorders>
          </w:tcPr>
          <w:p w:rsidR="00AB3618" w:rsidRDefault="00AB3618" w:rsidP="001C6784">
            <w:pPr>
              <w:pStyle w:val="TableColumnHeading"/>
              <w:ind w:right="28"/>
            </w:pPr>
            <w:r>
              <w:t>Upper</w:t>
            </w:r>
          </w:p>
        </w:tc>
      </w:tr>
      <w:tr w:rsidR="00AB3618" w:rsidTr="00AB3618">
        <w:trPr>
          <w:trHeight w:val="270"/>
        </w:trPr>
        <w:tc>
          <w:tcPr>
            <w:tcW w:w="807" w:type="pct"/>
            <w:tcBorders>
              <w:top w:val="single" w:sz="6" w:space="0" w:color="auto"/>
            </w:tcBorders>
          </w:tcPr>
          <w:p w:rsidR="00AB3618" w:rsidRPr="00863888" w:rsidRDefault="00AB3618" w:rsidP="001C6784">
            <w:pPr>
              <w:pStyle w:val="TableBodyText"/>
              <w:ind w:left="0"/>
              <w:jc w:val="left"/>
              <w:rPr>
                <w:i/>
              </w:rPr>
            </w:pPr>
            <w:r w:rsidRPr="00863888">
              <w:rPr>
                <w:i/>
              </w:rPr>
              <w:t>tax</w:t>
            </w:r>
          </w:p>
        </w:tc>
        <w:tc>
          <w:tcPr>
            <w:tcW w:w="1532" w:type="pct"/>
            <w:tcBorders>
              <w:top w:val="single" w:sz="6" w:space="0" w:color="auto"/>
            </w:tcBorders>
          </w:tcPr>
          <w:p w:rsidR="00AB3618" w:rsidRPr="00964C9E" w:rsidRDefault="00AB3618" w:rsidP="00AB3618">
            <w:pPr>
              <w:rPr>
                <w:rFonts w:ascii="Arial" w:hAnsi="Arial"/>
                <w:sz w:val="20"/>
                <w:szCs w:val="20"/>
              </w:rPr>
            </w:pPr>
            <w:r>
              <w:rPr>
                <w:rFonts w:ascii="Arial" w:hAnsi="Arial"/>
                <w:sz w:val="20"/>
                <w:szCs w:val="20"/>
              </w:rPr>
              <w:t>flat tax rate</w:t>
            </w:r>
          </w:p>
        </w:tc>
        <w:tc>
          <w:tcPr>
            <w:tcW w:w="646" w:type="pct"/>
            <w:tcBorders>
              <w:top w:val="single" w:sz="6" w:space="0" w:color="auto"/>
            </w:tcBorders>
          </w:tcPr>
          <w:p w:rsidR="00AB3618" w:rsidRPr="00964C9E" w:rsidRDefault="00AB3618" w:rsidP="00AB3618">
            <w:pPr>
              <w:jc w:val="both"/>
              <w:rPr>
                <w:rFonts w:ascii="Arial" w:hAnsi="Arial"/>
                <w:sz w:val="20"/>
                <w:szCs w:val="20"/>
              </w:rPr>
            </w:pPr>
            <w:r w:rsidRPr="00964C9E">
              <w:rPr>
                <w:rFonts w:ascii="Arial" w:hAnsi="Arial"/>
                <w:sz w:val="20"/>
                <w:szCs w:val="20"/>
              </w:rPr>
              <w:t>Normal</w:t>
            </w:r>
          </w:p>
        </w:tc>
        <w:tc>
          <w:tcPr>
            <w:tcW w:w="629" w:type="pct"/>
            <w:tcBorders>
              <w:top w:val="single" w:sz="6" w:space="0" w:color="auto"/>
            </w:tcBorders>
          </w:tcPr>
          <w:p w:rsidR="00AB3618" w:rsidRPr="00964C9E" w:rsidRDefault="00AB3618" w:rsidP="001C6784">
            <w:pPr>
              <w:jc w:val="right"/>
              <w:rPr>
                <w:rFonts w:ascii="Arial" w:hAnsi="Arial"/>
                <w:sz w:val="20"/>
                <w:szCs w:val="20"/>
              </w:rPr>
            </w:pPr>
            <w:r w:rsidRPr="00964C9E">
              <w:rPr>
                <w:rFonts w:ascii="Arial" w:hAnsi="Arial"/>
                <w:sz w:val="20"/>
                <w:szCs w:val="20"/>
              </w:rPr>
              <w:t>0.28</w:t>
            </w:r>
          </w:p>
        </w:tc>
        <w:tc>
          <w:tcPr>
            <w:tcW w:w="706" w:type="pct"/>
            <w:tcBorders>
              <w:top w:val="single" w:sz="6" w:space="0" w:color="auto"/>
            </w:tcBorders>
          </w:tcPr>
          <w:p w:rsidR="00AB3618" w:rsidRPr="00964C9E" w:rsidRDefault="00AB3618" w:rsidP="001C6784">
            <w:pPr>
              <w:jc w:val="right"/>
              <w:rPr>
                <w:rFonts w:ascii="Arial" w:hAnsi="Arial"/>
                <w:sz w:val="20"/>
                <w:szCs w:val="20"/>
              </w:rPr>
            </w:pPr>
            <w:r w:rsidRPr="00964C9E">
              <w:rPr>
                <w:rFonts w:ascii="Arial" w:hAnsi="Arial"/>
                <w:sz w:val="20"/>
                <w:szCs w:val="20"/>
              </w:rPr>
              <w:t>0.38</w:t>
            </w:r>
          </w:p>
        </w:tc>
        <w:tc>
          <w:tcPr>
            <w:tcW w:w="680" w:type="pct"/>
            <w:tcBorders>
              <w:top w:val="single" w:sz="6" w:space="0" w:color="auto"/>
            </w:tcBorders>
          </w:tcPr>
          <w:p w:rsidR="00AB3618" w:rsidRPr="00964C9E" w:rsidRDefault="00AB3618" w:rsidP="001C6784">
            <w:pPr>
              <w:jc w:val="right"/>
              <w:rPr>
                <w:rFonts w:ascii="Arial" w:hAnsi="Arial"/>
                <w:sz w:val="20"/>
                <w:szCs w:val="20"/>
              </w:rPr>
            </w:pPr>
            <w:r w:rsidRPr="00964C9E">
              <w:rPr>
                <w:rFonts w:ascii="Arial" w:hAnsi="Arial"/>
                <w:sz w:val="20"/>
                <w:szCs w:val="20"/>
              </w:rPr>
              <w:t>0.48</w:t>
            </w:r>
          </w:p>
        </w:tc>
      </w:tr>
      <w:tr w:rsidR="00AB3618" w:rsidTr="00AB3618">
        <w:tc>
          <w:tcPr>
            <w:tcW w:w="807" w:type="pct"/>
          </w:tcPr>
          <w:p w:rsidR="00AB3618" w:rsidRPr="00863888" w:rsidRDefault="00AB3618" w:rsidP="001C6784">
            <w:pPr>
              <w:pStyle w:val="TableBodyText"/>
              <w:ind w:left="0"/>
              <w:jc w:val="left"/>
              <w:rPr>
                <w:i/>
              </w:rPr>
            </w:pPr>
            <w:r w:rsidRPr="00863888">
              <w:rPr>
                <w:i/>
              </w:rPr>
              <w:t>vtaxrev</w:t>
            </w:r>
          </w:p>
        </w:tc>
        <w:tc>
          <w:tcPr>
            <w:tcW w:w="1532" w:type="pct"/>
          </w:tcPr>
          <w:p w:rsidR="00AB3618" w:rsidRPr="00964C9E" w:rsidRDefault="00AB3618" w:rsidP="00AB3618">
            <w:pPr>
              <w:rPr>
                <w:rFonts w:ascii="Arial" w:hAnsi="Arial"/>
                <w:sz w:val="20"/>
                <w:szCs w:val="20"/>
              </w:rPr>
            </w:pPr>
            <w:r>
              <w:rPr>
                <w:rFonts w:ascii="Arial" w:hAnsi="Arial"/>
                <w:sz w:val="20"/>
                <w:szCs w:val="20"/>
              </w:rPr>
              <w:t>excess value of tax revenue</w:t>
            </w:r>
          </w:p>
        </w:tc>
        <w:tc>
          <w:tcPr>
            <w:tcW w:w="646" w:type="pct"/>
          </w:tcPr>
          <w:p w:rsidR="00AB3618" w:rsidRPr="00964C9E" w:rsidRDefault="00AB3618" w:rsidP="00AB3618">
            <w:pPr>
              <w:jc w:val="both"/>
              <w:rPr>
                <w:rFonts w:ascii="Arial" w:hAnsi="Arial"/>
                <w:sz w:val="20"/>
                <w:szCs w:val="20"/>
              </w:rPr>
            </w:pPr>
            <w:r w:rsidRPr="00964C9E">
              <w:rPr>
                <w:rFonts w:ascii="Arial" w:hAnsi="Arial"/>
                <w:sz w:val="20"/>
                <w:szCs w:val="20"/>
              </w:rPr>
              <w:t>Uniform</w:t>
            </w:r>
          </w:p>
        </w:tc>
        <w:tc>
          <w:tcPr>
            <w:tcW w:w="629" w:type="pct"/>
          </w:tcPr>
          <w:p w:rsidR="00AB3618" w:rsidRPr="00964C9E" w:rsidRDefault="00AB3618" w:rsidP="001C6784">
            <w:pPr>
              <w:jc w:val="right"/>
              <w:rPr>
                <w:rFonts w:ascii="Arial" w:hAnsi="Arial"/>
                <w:sz w:val="20"/>
                <w:szCs w:val="20"/>
              </w:rPr>
            </w:pPr>
            <w:r w:rsidRPr="00964C9E">
              <w:rPr>
                <w:rFonts w:ascii="Arial" w:hAnsi="Arial"/>
                <w:sz w:val="20"/>
                <w:szCs w:val="20"/>
              </w:rPr>
              <w:t>0.04</w:t>
            </w:r>
          </w:p>
        </w:tc>
        <w:tc>
          <w:tcPr>
            <w:tcW w:w="706" w:type="pct"/>
          </w:tcPr>
          <w:p w:rsidR="00AB3618" w:rsidRPr="00964C9E" w:rsidRDefault="00AB3618" w:rsidP="001C6784">
            <w:pPr>
              <w:jc w:val="right"/>
              <w:rPr>
                <w:rFonts w:ascii="Arial" w:hAnsi="Arial"/>
                <w:sz w:val="20"/>
                <w:szCs w:val="20"/>
              </w:rPr>
            </w:pPr>
            <w:r w:rsidRPr="00964C9E">
              <w:rPr>
                <w:rFonts w:ascii="Arial" w:hAnsi="Arial"/>
                <w:sz w:val="20"/>
                <w:szCs w:val="20"/>
              </w:rPr>
              <w:t>0.24</w:t>
            </w:r>
          </w:p>
        </w:tc>
        <w:tc>
          <w:tcPr>
            <w:tcW w:w="680" w:type="pct"/>
          </w:tcPr>
          <w:p w:rsidR="00AB3618" w:rsidRPr="00964C9E" w:rsidRDefault="00AB3618" w:rsidP="001C6784">
            <w:pPr>
              <w:jc w:val="right"/>
              <w:rPr>
                <w:rFonts w:ascii="Arial" w:hAnsi="Arial"/>
                <w:sz w:val="20"/>
                <w:szCs w:val="20"/>
              </w:rPr>
            </w:pPr>
            <w:r w:rsidRPr="00964C9E">
              <w:rPr>
                <w:rFonts w:ascii="Arial" w:hAnsi="Arial"/>
                <w:sz w:val="20"/>
                <w:szCs w:val="20"/>
              </w:rPr>
              <w:t>0.44</w:t>
            </w:r>
          </w:p>
        </w:tc>
      </w:tr>
      <w:tr w:rsidR="00AB3618" w:rsidTr="00AB3618">
        <w:tc>
          <w:tcPr>
            <w:tcW w:w="807" w:type="pct"/>
          </w:tcPr>
          <w:p w:rsidR="00AB3618" w:rsidRPr="00863888" w:rsidRDefault="00AB3618" w:rsidP="001C6784">
            <w:pPr>
              <w:pStyle w:val="TableBodyText"/>
              <w:ind w:left="0"/>
              <w:jc w:val="left"/>
              <w:rPr>
                <w:rStyle w:val="NoteLabel"/>
                <w:i/>
              </w:rPr>
            </w:pPr>
            <w:r w:rsidRPr="00863888">
              <w:rPr>
                <w:i/>
              </w:rPr>
              <w:t>g</w:t>
            </w:r>
          </w:p>
        </w:tc>
        <w:tc>
          <w:tcPr>
            <w:tcW w:w="1532" w:type="pct"/>
          </w:tcPr>
          <w:p w:rsidR="00AB3618" w:rsidRPr="00964C9E" w:rsidRDefault="00AB3618" w:rsidP="00AB3618">
            <w:pPr>
              <w:rPr>
                <w:rFonts w:ascii="Arial" w:hAnsi="Arial"/>
                <w:sz w:val="20"/>
                <w:szCs w:val="20"/>
              </w:rPr>
            </w:pPr>
            <w:r>
              <w:rPr>
                <w:rFonts w:ascii="Arial" w:hAnsi="Arial"/>
                <w:sz w:val="20"/>
                <w:szCs w:val="20"/>
              </w:rPr>
              <w:t xml:space="preserve">growth in wages </w:t>
            </w:r>
          </w:p>
        </w:tc>
        <w:tc>
          <w:tcPr>
            <w:tcW w:w="646" w:type="pct"/>
          </w:tcPr>
          <w:p w:rsidR="00AB3618" w:rsidRPr="00964C9E" w:rsidRDefault="00AB3618" w:rsidP="00AB3618">
            <w:pPr>
              <w:jc w:val="both"/>
              <w:rPr>
                <w:rFonts w:ascii="Arial" w:hAnsi="Arial"/>
                <w:sz w:val="20"/>
                <w:szCs w:val="20"/>
              </w:rPr>
            </w:pPr>
            <w:r w:rsidRPr="00964C9E">
              <w:rPr>
                <w:rFonts w:ascii="Arial" w:hAnsi="Arial"/>
                <w:sz w:val="20"/>
                <w:szCs w:val="20"/>
              </w:rPr>
              <w:t>Uniform</w:t>
            </w:r>
          </w:p>
        </w:tc>
        <w:tc>
          <w:tcPr>
            <w:tcW w:w="629" w:type="pct"/>
          </w:tcPr>
          <w:p w:rsidR="00AB3618" w:rsidRPr="00964C9E" w:rsidRDefault="00AB3618" w:rsidP="001C6784">
            <w:pPr>
              <w:jc w:val="right"/>
              <w:rPr>
                <w:rFonts w:ascii="Arial" w:hAnsi="Arial"/>
                <w:sz w:val="20"/>
                <w:szCs w:val="20"/>
              </w:rPr>
            </w:pPr>
            <w:r w:rsidRPr="00964C9E">
              <w:rPr>
                <w:rFonts w:ascii="Arial" w:hAnsi="Arial"/>
                <w:sz w:val="20"/>
                <w:szCs w:val="20"/>
              </w:rPr>
              <w:t>0.005</w:t>
            </w:r>
          </w:p>
        </w:tc>
        <w:tc>
          <w:tcPr>
            <w:tcW w:w="706" w:type="pct"/>
          </w:tcPr>
          <w:p w:rsidR="00AB3618" w:rsidRPr="00964C9E" w:rsidRDefault="00AB3618" w:rsidP="001C6784">
            <w:pPr>
              <w:jc w:val="right"/>
              <w:rPr>
                <w:rFonts w:ascii="Arial" w:hAnsi="Arial"/>
                <w:sz w:val="20"/>
                <w:szCs w:val="20"/>
              </w:rPr>
            </w:pPr>
            <w:r w:rsidRPr="00964C9E">
              <w:rPr>
                <w:rFonts w:ascii="Arial" w:hAnsi="Arial"/>
                <w:sz w:val="20"/>
                <w:szCs w:val="20"/>
              </w:rPr>
              <w:t>0.015</w:t>
            </w:r>
          </w:p>
        </w:tc>
        <w:tc>
          <w:tcPr>
            <w:tcW w:w="680" w:type="pct"/>
          </w:tcPr>
          <w:p w:rsidR="00AB3618" w:rsidRPr="00964C9E" w:rsidRDefault="00AB3618" w:rsidP="001C6784">
            <w:pPr>
              <w:jc w:val="right"/>
              <w:rPr>
                <w:rFonts w:ascii="Arial" w:hAnsi="Arial"/>
                <w:sz w:val="20"/>
                <w:szCs w:val="20"/>
              </w:rPr>
            </w:pPr>
            <w:r w:rsidRPr="00964C9E">
              <w:rPr>
                <w:rFonts w:ascii="Arial" w:hAnsi="Arial"/>
                <w:sz w:val="20"/>
                <w:szCs w:val="20"/>
              </w:rPr>
              <w:t>0.025</w:t>
            </w:r>
          </w:p>
        </w:tc>
      </w:tr>
      <w:tr w:rsidR="00AB3618" w:rsidTr="00AB3618">
        <w:tc>
          <w:tcPr>
            <w:tcW w:w="807" w:type="pct"/>
            <w:shd w:val="clear" w:color="auto" w:fill="auto"/>
          </w:tcPr>
          <w:p w:rsidR="00AB3618" w:rsidRPr="00863888" w:rsidRDefault="00AB3618" w:rsidP="001C6784">
            <w:pPr>
              <w:pStyle w:val="TableBodyText"/>
              <w:ind w:left="0"/>
              <w:jc w:val="left"/>
              <w:rPr>
                <w:i/>
              </w:rPr>
            </w:pPr>
            <w:r w:rsidRPr="00863888">
              <w:rPr>
                <w:i/>
              </w:rPr>
              <w:t>hoursworked</w:t>
            </w:r>
          </w:p>
        </w:tc>
        <w:tc>
          <w:tcPr>
            <w:tcW w:w="1532" w:type="pct"/>
          </w:tcPr>
          <w:p w:rsidR="00AB3618" w:rsidRPr="00964C9E" w:rsidRDefault="00AB3618" w:rsidP="005D009B">
            <w:pPr>
              <w:rPr>
                <w:rFonts w:ascii="Arial" w:hAnsi="Arial"/>
                <w:sz w:val="20"/>
                <w:szCs w:val="20"/>
              </w:rPr>
            </w:pPr>
            <w:r>
              <w:rPr>
                <w:rFonts w:ascii="Arial" w:hAnsi="Arial"/>
                <w:sz w:val="20"/>
                <w:szCs w:val="20"/>
              </w:rPr>
              <w:t xml:space="preserve">hours worked in period </w:t>
            </w:r>
            <w:r w:rsidR="005D009B">
              <w:rPr>
                <w:rFonts w:ascii="Arial" w:hAnsi="Arial"/>
                <w:sz w:val="20"/>
                <w:szCs w:val="20"/>
              </w:rPr>
              <w:t>2</w:t>
            </w:r>
          </w:p>
        </w:tc>
        <w:tc>
          <w:tcPr>
            <w:tcW w:w="646" w:type="pct"/>
          </w:tcPr>
          <w:p w:rsidR="00AB3618" w:rsidRPr="00964C9E" w:rsidRDefault="00AB3618" w:rsidP="00AB3618">
            <w:pPr>
              <w:jc w:val="both"/>
              <w:rPr>
                <w:rFonts w:ascii="Arial" w:hAnsi="Arial"/>
                <w:sz w:val="20"/>
                <w:szCs w:val="20"/>
              </w:rPr>
            </w:pPr>
            <w:r w:rsidRPr="00964C9E">
              <w:rPr>
                <w:rFonts w:ascii="Arial" w:hAnsi="Arial"/>
                <w:sz w:val="20"/>
                <w:szCs w:val="20"/>
              </w:rPr>
              <w:t>Uniform</w:t>
            </w:r>
          </w:p>
        </w:tc>
        <w:tc>
          <w:tcPr>
            <w:tcW w:w="629" w:type="pct"/>
            <w:shd w:val="clear" w:color="auto" w:fill="auto"/>
          </w:tcPr>
          <w:p w:rsidR="00AB3618" w:rsidRPr="00964C9E" w:rsidRDefault="00AB3618" w:rsidP="001C6784">
            <w:pPr>
              <w:jc w:val="right"/>
              <w:rPr>
                <w:rFonts w:ascii="Arial" w:hAnsi="Arial"/>
                <w:sz w:val="20"/>
                <w:szCs w:val="20"/>
              </w:rPr>
            </w:pPr>
            <w:r w:rsidRPr="00964C9E">
              <w:rPr>
                <w:rFonts w:ascii="Arial" w:hAnsi="Arial"/>
                <w:sz w:val="20"/>
                <w:szCs w:val="20"/>
              </w:rPr>
              <w:t>62 576</w:t>
            </w:r>
          </w:p>
        </w:tc>
        <w:tc>
          <w:tcPr>
            <w:tcW w:w="706" w:type="pct"/>
          </w:tcPr>
          <w:p w:rsidR="00AB3618" w:rsidRPr="00964C9E" w:rsidRDefault="00AB3618" w:rsidP="001C6784">
            <w:pPr>
              <w:jc w:val="right"/>
              <w:rPr>
                <w:rFonts w:ascii="Arial" w:hAnsi="Arial"/>
                <w:sz w:val="20"/>
                <w:szCs w:val="20"/>
              </w:rPr>
            </w:pPr>
            <w:r w:rsidRPr="00964C9E">
              <w:rPr>
                <w:rFonts w:ascii="Arial" w:hAnsi="Arial"/>
                <w:sz w:val="20"/>
                <w:szCs w:val="20"/>
              </w:rPr>
              <w:t>72 576</w:t>
            </w:r>
          </w:p>
        </w:tc>
        <w:tc>
          <w:tcPr>
            <w:tcW w:w="680" w:type="pct"/>
          </w:tcPr>
          <w:p w:rsidR="00AB3618" w:rsidRPr="00964C9E" w:rsidRDefault="00AB3618" w:rsidP="001C6784">
            <w:pPr>
              <w:jc w:val="right"/>
              <w:rPr>
                <w:rFonts w:ascii="Arial" w:hAnsi="Arial"/>
                <w:sz w:val="20"/>
                <w:szCs w:val="20"/>
              </w:rPr>
            </w:pPr>
            <w:r w:rsidRPr="00964C9E">
              <w:rPr>
                <w:rFonts w:ascii="Arial" w:hAnsi="Arial"/>
                <w:sz w:val="20"/>
                <w:szCs w:val="20"/>
              </w:rPr>
              <w:t>82 576</w:t>
            </w:r>
          </w:p>
        </w:tc>
      </w:tr>
      <w:tr w:rsidR="00AB3618" w:rsidTr="00AB3618">
        <w:tc>
          <w:tcPr>
            <w:tcW w:w="807" w:type="pct"/>
            <w:tcBorders>
              <w:bottom w:val="single" w:sz="4" w:space="0" w:color="auto"/>
            </w:tcBorders>
          </w:tcPr>
          <w:p w:rsidR="00AB3618" w:rsidRPr="00863888" w:rsidRDefault="00AB3618" w:rsidP="001C6784">
            <w:pPr>
              <w:pStyle w:val="TableBodyText"/>
              <w:ind w:left="0"/>
              <w:jc w:val="left"/>
              <w:rPr>
                <w:i/>
              </w:rPr>
            </w:pPr>
            <w:r w:rsidRPr="00863888">
              <w:rPr>
                <w:i/>
              </w:rPr>
              <w:t>vnmafactor</w:t>
            </w:r>
          </w:p>
        </w:tc>
        <w:tc>
          <w:tcPr>
            <w:tcW w:w="1532" w:type="pct"/>
            <w:tcBorders>
              <w:bottom w:val="single" w:sz="4" w:space="0" w:color="auto"/>
            </w:tcBorders>
          </w:tcPr>
          <w:p w:rsidR="00AB3618" w:rsidRPr="00964C9E" w:rsidRDefault="00AB3618" w:rsidP="00AB3618">
            <w:pPr>
              <w:rPr>
                <w:rFonts w:ascii="Arial" w:hAnsi="Arial"/>
                <w:sz w:val="20"/>
                <w:szCs w:val="20"/>
              </w:rPr>
            </w:pPr>
            <w:r>
              <w:rPr>
                <w:rFonts w:ascii="Arial" w:hAnsi="Arial"/>
                <w:sz w:val="20"/>
                <w:szCs w:val="20"/>
              </w:rPr>
              <w:t xml:space="preserve">value of </w:t>
            </w:r>
            <w:r w:rsidR="004A1A58">
              <w:rPr>
                <w:rFonts w:ascii="Arial" w:hAnsi="Arial"/>
                <w:sz w:val="20"/>
                <w:szCs w:val="20"/>
              </w:rPr>
              <w:t>non-market</w:t>
            </w:r>
            <w:r>
              <w:rPr>
                <w:rFonts w:ascii="Arial" w:hAnsi="Arial"/>
                <w:sz w:val="20"/>
                <w:szCs w:val="20"/>
              </w:rPr>
              <w:t xml:space="preserve"> activity relative to base wage</w:t>
            </w:r>
          </w:p>
        </w:tc>
        <w:tc>
          <w:tcPr>
            <w:tcW w:w="646" w:type="pct"/>
            <w:tcBorders>
              <w:bottom w:val="single" w:sz="4" w:space="0" w:color="auto"/>
            </w:tcBorders>
          </w:tcPr>
          <w:p w:rsidR="00AB3618" w:rsidRPr="00964C9E" w:rsidRDefault="00AB3618" w:rsidP="00AB3618">
            <w:pPr>
              <w:jc w:val="both"/>
              <w:rPr>
                <w:rFonts w:ascii="Arial" w:hAnsi="Arial"/>
                <w:sz w:val="20"/>
                <w:szCs w:val="20"/>
              </w:rPr>
            </w:pPr>
            <w:r w:rsidRPr="00964C9E">
              <w:rPr>
                <w:rFonts w:ascii="Arial" w:hAnsi="Arial"/>
                <w:sz w:val="20"/>
                <w:szCs w:val="20"/>
              </w:rPr>
              <w:t>Uniform</w:t>
            </w:r>
          </w:p>
        </w:tc>
        <w:tc>
          <w:tcPr>
            <w:tcW w:w="629" w:type="pct"/>
            <w:tcBorders>
              <w:bottom w:val="single" w:sz="4" w:space="0" w:color="auto"/>
            </w:tcBorders>
          </w:tcPr>
          <w:p w:rsidR="00AB3618" w:rsidRPr="00964C9E" w:rsidRDefault="00AB3618" w:rsidP="001C6784">
            <w:pPr>
              <w:jc w:val="right"/>
              <w:rPr>
                <w:rFonts w:ascii="Arial" w:hAnsi="Arial"/>
                <w:sz w:val="20"/>
                <w:szCs w:val="20"/>
              </w:rPr>
            </w:pPr>
            <w:r w:rsidRPr="00964C9E">
              <w:rPr>
                <w:rFonts w:ascii="Arial" w:hAnsi="Arial"/>
                <w:sz w:val="20"/>
                <w:szCs w:val="20"/>
              </w:rPr>
              <w:t>0.25</w:t>
            </w:r>
          </w:p>
        </w:tc>
        <w:tc>
          <w:tcPr>
            <w:tcW w:w="706" w:type="pct"/>
            <w:tcBorders>
              <w:bottom w:val="single" w:sz="4" w:space="0" w:color="auto"/>
            </w:tcBorders>
          </w:tcPr>
          <w:p w:rsidR="00AB3618" w:rsidRPr="00964C9E" w:rsidRDefault="00AB3618" w:rsidP="001C6784">
            <w:pPr>
              <w:jc w:val="right"/>
              <w:rPr>
                <w:rFonts w:ascii="Arial" w:hAnsi="Arial"/>
                <w:sz w:val="20"/>
                <w:szCs w:val="20"/>
              </w:rPr>
            </w:pPr>
            <w:r w:rsidRPr="00964C9E">
              <w:rPr>
                <w:rFonts w:ascii="Arial" w:hAnsi="Arial"/>
                <w:sz w:val="20"/>
                <w:szCs w:val="20"/>
              </w:rPr>
              <w:t>0.5</w:t>
            </w:r>
          </w:p>
        </w:tc>
        <w:tc>
          <w:tcPr>
            <w:tcW w:w="680" w:type="pct"/>
            <w:tcBorders>
              <w:bottom w:val="single" w:sz="4" w:space="0" w:color="auto"/>
            </w:tcBorders>
          </w:tcPr>
          <w:p w:rsidR="00AB3618" w:rsidRPr="00964C9E" w:rsidRDefault="00AB3618" w:rsidP="001C6784">
            <w:pPr>
              <w:jc w:val="right"/>
              <w:rPr>
                <w:rFonts w:ascii="Arial" w:hAnsi="Arial"/>
                <w:sz w:val="20"/>
                <w:szCs w:val="20"/>
              </w:rPr>
            </w:pPr>
            <w:r w:rsidRPr="00964C9E">
              <w:rPr>
                <w:rFonts w:ascii="Arial" w:hAnsi="Arial"/>
                <w:sz w:val="20"/>
                <w:szCs w:val="20"/>
              </w:rPr>
              <w:t>0.75</w:t>
            </w:r>
          </w:p>
        </w:tc>
      </w:tr>
    </w:tbl>
    <w:p w:rsidR="00F13D25" w:rsidRDefault="00F3758D" w:rsidP="005E0819">
      <w:pPr>
        <w:pStyle w:val="BodyText"/>
      </w:pPr>
      <w:r>
        <w:t xml:space="preserve">It is important to note that </w:t>
      </w:r>
      <w:r w:rsidR="00F6037A">
        <w:t xml:space="preserve">varying </w:t>
      </w:r>
      <w:r w:rsidR="006A6FF0">
        <w:t xml:space="preserve">some </w:t>
      </w:r>
      <w:r w:rsidR="00F6037A">
        <w:t>parameters will result in the model no longer being calibrated to the</w:t>
      </w:r>
      <w:r w:rsidR="006A6FF0">
        <w:t xml:space="preserve"> inputted data on the share</w:t>
      </w:r>
      <w:r w:rsidR="00F6037A">
        <w:t xml:space="preserve"> of individuals in each education-work category.</w:t>
      </w:r>
    </w:p>
    <w:p w:rsidR="00AB3618" w:rsidRPr="00344B97" w:rsidRDefault="00AB3618" w:rsidP="00AB3618">
      <w:pPr>
        <w:pStyle w:val="Heading4"/>
      </w:pPr>
      <w:r>
        <w:t>Calibration (section 3 GAMS file)</w:t>
      </w:r>
    </w:p>
    <w:p w:rsidR="00AB3618" w:rsidRDefault="00AB3618" w:rsidP="005E0819">
      <w:pPr>
        <w:pStyle w:val="BodyText"/>
      </w:pPr>
      <w:r w:rsidRPr="00862912">
        <w:t xml:space="preserve">As discussed </w:t>
      </w:r>
      <w:r w:rsidR="002576CA">
        <w:t>below</w:t>
      </w:r>
      <w:r w:rsidRPr="00862912">
        <w:t>, the calibration section is used to estimate the residuals</w:t>
      </w:r>
      <w:r w:rsidR="0015048B">
        <w:t xml:space="preserve"> (box </w:t>
      </w:r>
      <w:r w:rsidR="003729A7">
        <w:t>3</w:t>
      </w:r>
      <w:r w:rsidR="0082775B">
        <w:t>)</w:t>
      </w:r>
      <w:r w:rsidRPr="00862912">
        <w:t xml:space="preserve">. The estimated residuals alter the perceived private net benefits of different </w:t>
      </w:r>
      <w:r w:rsidR="009348EE">
        <w:t>education-work</w:t>
      </w:r>
      <w:r w:rsidRPr="00862912">
        <w:t xml:space="preserve"> types to ensure that the model results are consistent with data from the Survey of Education and Training (ABS </w:t>
      </w:r>
      <w:r w:rsidRPr="004C3318">
        <w:rPr>
          <w:i/>
        </w:rPr>
        <w:t>cat. no. 6278.0</w:t>
      </w:r>
      <w:r w:rsidRPr="00862912">
        <w:t xml:space="preserve">). For example, if 22 per cent of the relevant Tasmanian population </w:t>
      </w:r>
      <w:r w:rsidR="00F13D25" w:rsidRPr="00862912">
        <w:t>has</w:t>
      </w:r>
      <w:r w:rsidRPr="00862912">
        <w:t xml:space="preserve"> a degree, the residuals will be estimated so that the model reproduces this result. </w:t>
      </w:r>
    </w:p>
    <w:p w:rsidR="002576CA" w:rsidRDefault="00F807B8" w:rsidP="005E0819">
      <w:pPr>
        <w:pStyle w:val="BodyText"/>
      </w:pPr>
      <w:r>
        <w:t>The model only need</w:t>
      </w:r>
      <w:r w:rsidR="003B37FB">
        <w:t>s</w:t>
      </w:r>
      <w:r>
        <w:t xml:space="preserve"> to be recalibrated if applied to a new population or substantial changes are made that alter the perceived private net benefits to </w:t>
      </w:r>
      <w:r w:rsidR="009348EE">
        <w:t>education-work</w:t>
      </w:r>
      <w:r>
        <w:t xml:space="preserve"> types in the base scenario.</w:t>
      </w:r>
      <w:r w:rsidRPr="00164178">
        <w:t xml:space="preserve"> </w:t>
      </w:r>
      <w:r w:rsidRPr="0090422F">
        <w:t xml:space="preserve">For example, </w:t>
      </w:r>
      <w:r>
        <w:t xml:space="preserve">substantial </w:t>
      </w:r>
      <w:r w:rsidRPr="0090422F">
        <w:t xml:space="preserve">changes to the </w:t>
      </w:r>
      <w:r>
        <w:t xml:space="preserve">baseline employment parameters </w:t>
      </w:r>
      <w:r w:rsidRPr="0090422F">
        <w:t>will</w:t>
      </w:r>
      <w:r>
        <w:t xml:space="preserve"> necessitate recalibration, whereas c</w:t>
      </w:r>
      <w:r w:rsidR="0082775B">
        <w:t xml:space="preserve">hanges that only </w:t>
      </w:r>
      <w:r>
        <w:t>affect parameters in the policy scenario will not necessitate recalibration.</w:t>
      </w:r>
      <w:r w:rsidRPr="00F807B8">
        <w:t xml:space="preserve"> </w:t>
      </w:r>
    </w:p>
    <w:p w:rsidR="00F807B8" w:rsidRDefault="002576CA" w:rsidP="005E0819">
      <w:pPr>
        <w:pStyle w:val="BodyText"/>
      </w:pPr>
      <w:r>
        <w:t>A slightly different solving technique is used to solve the ELMO model in the calibration section. This technique enables the model to solve relatively</w:t>
      </w:r>
      <w:r w:rsidR="00D10D73">
        <w:t xml:space="preserve"> quickly</w:t>
      </w:r>
      <w:r>
        <w:t xml:space="preserve"> and thus increases the number iterations that can be completed within a reasonable time </w:t>
      </w:r>
      <w:r w:rsidR="00D10D73">
        <w:t>frame</w:t>
      </w:r>
      <w:r>
        <w:t>. That said, the underlying structure of the model is exactly the same for both the base ELMO model and the version used for calibration purposes.</w:t>
      </w:r>
      <w:r w:rsidR="002F6DD8">
        <w:rPr>
          <w:rStyle w:val="FootnoteReference"/>
        </w:rPr>
        <w:footnoteReference w:id="6"/>
      </w:r>
      <w:r>
        <w:t xml:space="preserve"> </w:t>
      </w:r>
    </w:p>
    <w:p w:rsidR="0082775B" w:rsidRDefault="0082775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2775B">
        <w:tc>
          <w:tcPr>
            <w:tcW w:w="8771" w:type="dxa"/>
            <w:tcBorders>
              <w:top w:val="single" w:sz="6" w:space="0" w:color="auto"/>
              <w:bottom w:val="nil"/>
            </w:tcBorders>
          </w:tcPr>
          <w:p w:rsidR="0082775B" w:rsidRDefault="0082775B" w:rsidP="003729A7">
            <w:pPr>
              <w:pStyle w:val="BoxTitle"/>
            </w:pPr>
            <w:r>
              <w:rPr>
                <w:b w:val="0"/>
              </w:rPr>
              <w:t xml:space="preserve">Box </w:t>
            </w:r>
            <w:r w:rsidR="003729A7">
              <w:rPr>
                <w:b w:val="0"/>
              </w:rPr>
              <w:t>3</w:t>
            </w:r>
            <w:r>
              <w:tab/>
              <w:t>Interpreting the residuals</w:t>
            </w:r>
          </w:p>
        </w:tc>
      </w:tr>
      <w:tr w:rsidR="0082775B">
        <w:trPr>
          <w:cantSplit/>
        </w:trPr>
        <w:tc>
          <w:tcPr>
            <w:tcW w:w="8771" w:type="dxa"/>
            <w:tcBorders>
              <w:top w:val="nil"/>
              <w:left w:val="single" w:sz="6" w:space="0" w:color="auto"/>
              <w:bottom w:val="nil"/>
              <w:right w:val="single" w:sz="6" w:space="0" w:color="auto"/>
            </w:tcBorders>
          </w:tcPr>
          <w:p w:rsidR="003B37FB" w:rsidRPr="00F807B8" w:rsidRDefault="003B37FB" w:rsidP="003B37FB">
            <w:pPr>
              <w:pStyle w:val="Box"/>
              <w:rPr>
                <w:szCs w:val="22"/>
              </w:rPr>
            </w:pPr>
            <w:r w:rsidRPr="00F807B8">
              <w:rPr>
                <w:szCs w:val="22"/>
              </w:rPr>
              <w:t xml:space="preserve">Interpreting the residuals is complex. The residuals reflect </w:t>
            </w:r>
            <w:r>
              <w:rPr>
                <w:szCs w:val="22"/>
              </w:rPr>
              <w:t>differences between</w:t>
            </w:r>
            <w:r w:rsidRPr="00F807B8">
              <w:rPr>
                <w:szCs w:val="22"/>
              </w:rPr>
              <w:t xml:space="preserve"> the predicti</w:t>
            </w:r>
            <w:r>
              <w:rPr>
                <w:szCs w:val="22"/>
              </w:rPr>
              <w:t>ons from</w:t>
            </w:r>
            <w:r w:rsidRPr="00F807B8">
              <w:rPr>
                <w:szCs w:val="22"/>
              </w:rPr>
              <w:t xml:space="preserve"> of the first part of the model (the part without residuals),</w:t>
            </w:r>
            <w:r>
              <w:rPr>
                <w:szCs w:val="22"/>
              </w:rPr>
              <w:t xml:space="preserve"> and the calibrated model. These</w:t>
            </w:r>
            <w:r w:rsidRPr="00F807B8">
              <w:rPr>
                <w:szCs w:val="22"/>
              </w:rPr>
              <w:t xml:space="preserve"> includ</w:t>
            </w:r>
            <w:r>
              <w:rPr>
                <w:szCs w:val="22"/>
              </w:rPr>
              <w:t>e</w:t>
            </w:r>
            <w:r w:rsidRPr="00F807B8">
              <w:rPr>
                <w:szCs w:val="22"/>
              </w:rPr>
              <w:t>:</w:t>
            </w:r>
          </w:p>
          <w:p w:rsidR="003B37FB" w:rsidRPr="00F807B8" w:rsidRDefault="003B37FB" w:rsidP="003B37FB">
            <w:pPr>
              <w:pStyle w:val="BoxListBullet"/>
              <w:rPr>
                <w:szCs w:val="22"/>
              </w:rPr>
            </w:pPr>
            <w:r>
              <w:rPr>
                <w:szCs w:val="22"/>
              </w:rPr>
              <w:t xml:space="preserve">the possibility that </w:t>
            </w:r>
            <w:r w:rsidRPr="00F807B8">
              <w:rPr>
                <w:szCs w:val="22"/>
              </w:rPr>
              <w:t xml:space="preserve">relevant benefits and costs </w:t>
            </w:r>
            <w:r>
              <w:rPr>
                <w:szCs w:val="22"/>
              </w:rPr>
              <w:t>have not been accounted for</w:t>
            </w:r>
          </w:p>
          <w:p w:rsidR="003B37FB" w:rsidRPr="00F807B8" w:rsidRDefault="003B37FB" w:rsidP="003B37FB">
            <w:pPr>
              <w:pStyle w:val="BoxListBullet"/>
              <w:rPr>
                <w:szCs w:val="22"/>
              </w:rPr>
            </w:pPr>
            <w:r w:rsidRPr="00F807B8">
              <w:rPr>
                <w:szCs w:val="22"/>
              </w:rPr>
              <w:t xml:space="preserve">benefits and costs that are included in the model (such as the relationship between </w:t>
            </w:r>
            <w:r w:rsidR="009348EE">
              <w:rPr>
                <w:szCs w:val="22"/>
              </w:rPr>
              <w:t>education-work</w:t>
            </w:r>
            <w:r w:rsidRPr="00F807B8">
              <w:rPr>
                <w:szCs w:val="22"/>
              </w:rPr>
              <w:t xml:space="preserve"> types and wages across abilities, or ignoring general equilibrium effects)</w:t>
            </w:r>
            <w:r>
              <w:rPr>
                <w:szCs w:val="22"/>
              </w:rPr>
              <w:t xml:space="preserve"> </w:t>
            </w:r>
            <w:r w:rsidR="002B4336">
              <w:rPr>
                <w:szCs w:val="22"/>
              </w:rPr>
              <w:t xml:space="preserve">that </w:t>
            </w:r>
            <w:r>
              <w:rPr>
                <w:szCs w:val="22"/>
              </w:rPr>
              <w:t>might have been estimated incorrectly</w:t>
            </w:r>
          </w:p>
          <w:p w:rsidR="003B37FB" w:rsidRPr="00F807B8" w:rsidRDefault="003B37FB" w:rsidP="003B37FB">
            <w:pPr>
              <w:pStyle w:val="BoxListBullet"/>
              <w:rPr>
                <w:szCs w:val="22"/>
              </w:rPr>
            </w:pPr>
            <w:r>
              <w:rPr>
                <w:szCs w:val="22"/>
              </w:rPr>
              <w:t xml:space="preserve">the likelihood that some aspect of the complex </w:t>
            </w:r>
            <w:r w:rsidRPr="00F807B8">
              <w:rPr>
                <w:szCs w:val="22"/>
              </w:rPr>
              <w:t xml:space="preserve">decision </w:t>
            </w:r>
            <w:r>
              <w:rPr>
                <w:szCs w:val="22"/>
              </w:rPr>
              <w:t>being made</w:t>
            </w:r>
            <w:r w:rsidRPr="00F807B8">
              <w:rPr>
                <w:szCs w:val="22"/>
              </w:rPr>
              <w:t xml:space="preserve"> </w:t>
            </w:r>
            <w:r w:rsidR="002B4336">
              <w:rPr>
                <w:szCs w:val="22"/>
              </w:rPr>
              <w:t xml:space="preserve">by individuals </w:t>
            </w:r>
            <w:r w:rsidRPr="00F807B8">
              <w:rPr>
                <w:szCs w:val="22"/>
              </w:rPr>
              <w:t>are not captured in the model</w:t>
            </w:r>
            <w:r>
              <w:rPr>
                <w:szCs w:val="22"/>
              </w:rPr>
              <w:t xml:space="preserve"> (for example, pursuing a qualification for reasons other than human capital investment)  </w:t>
            </w:r>
          </w:p>
          <w:p w:rsidR="003B37FB" w:rsidRPr="00F807B8" w:rsidRDefault="003B37FB" w:rsidP="003B37FB">
            <w:pPr>
              <w:pStyle w:val="BoxListBullet"/>
              <w:rPr>
                <w:szCs w:val="22"/>
              </w:rPr>
            </w:pPr>
            <w:r w:rsidRPr="00F807B8">
              <w:rPr>
                <w:szCs w:val="22"/>
              </w:rPr>
              <w:t>noncomparability with the population that is being used for calibration (some people could have received their highest level of education when the perceived private net benefits were different</w:t>
            </w:r>
            <w:r>
              <w:rPr>
                <w:szCs w:val="22"/>
              </w:rPr>
              <w:t xml:space="preserve"> from those being used in the model, which are based on current, observed returns</w:t>
            </w:r>
            <w:r w:rsidRPr="00F807B8">
              <w:rPr>
                <w:szCs w:val="22"/>
              </w:rPr>
              <w:t>).</w:t>
            </w:r>
          </w:p>
          <w:p w:rsidR="003B37FB" w:rsidRPr="00F807B8" w:rsidRDefault="003B37FB" w:rsidP="003B37FB">
            <w:pPr>
              <w:pStyle w:val="Box"/>
              <w:rPr>
                <w:szCs w:val="22"/>
              </w:rPr>
            </w:pPr>
            <w:r>
              <w:rPr>
                <w:szCs w:val="22"/>
              </w:rPr>
              <w:t>That said</w:t>
            </w:r>
            <w:r w:rsidRPr="00F807B8">
              <w:rPr>
                <w:szCs w:val="22"/>
              </w:rPr>
              <w:t xml:space="preserve">, the first part of the model is not intended to be a predictive model but to generate estimates of the </w:t>
            </w:r>
            <w:r>
              <w:rPr>
                <w:szCs w:val="22"/>
              </w:rPr>
              <w:t>‘</w:t>
            </w:r>
            <w:r w:rsidRPr="00F807B8">
              <w:rPr>
                <w:szCs w:val="22"/>
              </w:rPr>
              <w:t xml:space="preserve">shapes of the perceived private net benefits functions. The second part of the model (the residual calibration process) determines the </w:t>
            </w:r>
            <w:r>
              <w:rPr>
                <w:szCs w:val="22"/>
              </w:rPr>
              <w:t>‘</w:t>
            </w:r>
            <w:r w:rsidRPr="00F807B8">
              <w:rPr>
                <w:szCs w:val="22"/>
              </w:rPr>
              <w:t>heights</w:t>
            </w:r>
            <w:r>
              <w:rPr>
                <w:szCs w:val="22"/>
              </w:rPr>
              <w:t>’</w:t>
            </w:r>
            <w:r w:rsidRPr="00F807B8">
              <w:rPr>
                <w:szCs w:val="22"/>
              </w:rPr>
              <w:t xml:space="preserve"> of the perceived private net benefits functions. </w:t>
            </w:r>
          </w:p>
          <w:p w:rsidR="003B37FB" w:rsidRPr="00F807B8" w:rsidRDefault="003B37FB" w:rsidP="003B37FB">
            <w:pPr>
              <w:pStyle w:val="Box"/>
              <w:rPr>
                <w:szCs w:val="22"/>
              </w:rPr>
            </w:pPr>
            <w:r w:rsidRPr="00F807B8">
              <w:rPr>
                <w:szCs w:val="22"/>
              </w:rPr>
              <w:t xml:space="preserve">In the default version of the ELMO model, some of the differentials in residuals are quite large (around $100 000 between the smallest and largest in most regions). The pattern of residuals suggests that the first part of the model has a tendency to </w:t>
            </w:r>
            <w:r>
              <w:rPr>
                <w:szCs w:val="22"/>
              </w:rPr>
              <w:t>predict relatively high</w:t>
            </w:r>
            <w:r w:rsidRPr="00F807B8">
              <w:rPr>
                <w:szCs w:val="22"/>
              </w:rPr>
              <w:t xml:space="preserve"> net benefits of blue</w:t>
            </w:r>
            <w:r w:rsidR="00F6621A">
              <w:rPr>
                <w:szCs w:val="22"/>
              </w:rPr>
              <w:t>-</w:t>
            </w:r>
            <w:r w:rsidRPr="00F807B8">
              <w:rPr>
                <w:szCs w:val="22"/>
              </w:rPr>
              <w:t xml:space="preserve">collar certificate 3 or 4 and degree education. This is a potential issue to the extent that it stems from errors in the shapes (rather than heights) of the perceived private net benefits functions in the first part of the model. Unfortunately, it is not simple to distinguish between the two by examining the residuals. </w:t>
            </w:r>
          </w:p>
          <w:p w:rsidR="0082775B" w:rsidRDefault="003B37FB" w:rsidP="00F94B01">
            <w:pPr>
              <w:pStyle w:val="Box"/>
            </w:pPr>
            <w:r w:rsidRPr="00F807B8">
              <w:rPr>
                <w:szCs w:val="22"/>
              </w:rPr>
              <w:t>In summary, the residuals should not be interpreted as errors in the ELMO model</w:t>
            </w:r>
            <w:r>
              <w:rPr>
                <w:szCs w:val="22"/>
              </w:rPr>
              <w:t>, but rather as the combination of several effects that are not accounted for by the simple theory underlying the first part of the model</w:t>
            </w:r>
            <w:r w:rsidRPr="00F807B8">
              <w:rPr>
                <w:szCs w:val="22"/>
              </w:rPr>
              <w:t xml:space="preserve">. </w:t>
            </w:r>
            <w:r w:rsidR="0052790E">
              <w:rPr>
                <w:szCs w:val="22"/>
              </w:rPr>
              <w:t>Future improvements in model theory could contribute to reducing the size of residuals.</w:t>
            </w:r>
          </w:p>
        </w:tc>
      </w:tr>
      <w:tr w:rsidR="0082775B">
        <w:trPr>
          <w:cantSplit/>
        </w:trPr>
        <w:tc>
          <w:tcPr>
            <w:tcW w:w="8771" w:type="dxa"/>
            <w:tcBorders>
              <w:top w:val="nil"/>
              <w:left w:val="single" w:sz="6" w:space="0" w:color="auto"/>
              <w:bottom w:val="single" w:sz="6" w:space="0" w:color="auto"/>
              <w:right w:val="single" w:sz="6" w:space="0" w:color="auto"/>
            </w:tcBorders>
          </w:tcPr>
          <w:p w:rsidR="0082775B" w:rsidRDefault="0082775B">
            <w:pPr>
              <w:pStyle w:val="Box"/>
              <w:spacing w:before="0" w:line="120" w:lineRule="exact"/>
            </w:pPr>
          </w:p>
        </w:tc>
      </w:tr>
      <w:tr w:rsidR="0082775B" w:rsidRPr="000863A5">
        <w:tc>
          <w:tcPr>
            <w:tcW w:w="8771" w:type="dxa"/>
            <w:tcBorders>
              <w:top w:val="nil"/>
              <w:left w:val="nil"/>
              <w:bottom w:val="nil"/>
              <w:right w:val="nil"/>
            </w:tcBorders>
          </w:tcPr>
          <w:p w:rsidR="0082775B" w:rsidRPr="00626D32" w:rsidRDefault="0082775B" w:rsidP="0082775B">
            <w:pPr>
              <w:pStyle w:val="BoxSpaceBelow"/>
            </w:pPr>
          </w:p>
        </w:tc>
      </w:tr>
    </w:tbl>
    <w:p w:rsidR="00AB3618" w:rsidRPr="00344B97" w:rsidRDefault="00AB3618" w:rsidP="00AB3618">
      <w:pPr>
        <w:pStyle w:val="Heading4"/>
      </w:pPr>
      <w:r>
        <w:t>Disaggregation (section 4 GAMS file)</w:t>
      </w:r>
    </w:p>
    <w:p w:rsidR="002B4336" w:rsidRDefault="002B4336" w:rsidP="002B4336">
      <w:pPr>
        <w:pStyle w:val="BodyText"/>
      </w:pPr>
      <w:r w:rsidRPr="00AB3618">
        <w:t xml:space="preserve">The disaggregation section allows the user to disaggregate an </w:t>
      </w:r>
      <w:r w:rsidR="009348EE">
        <w:t>education-work</w:t>
      </w:r>
      <w:r w:rsidRPr="00AB3618">
        <w:t xml:space="preserve"> type into </w:t>
      </w:r>
      <w:r>
        <w:t>several</w:t>
      </w:r>
      <w:r w:rsidRPr="00AB3618">
        <w:t xml:space="preserve"> components. For example, the blue</w:t>
      </w:r>
      <w:r w:rsidR="00F6621A">
        <w:t>-</w:t>
      </w:r>
      <w:r w:rsidRPr="00AB3618">
        <w:t xml:space="preserve">collar certificate 3 or 4 </w:t>
      </w:r>
      <w:r w:rsidR="009348EE">
        <w:t>education-work</w:t>
      </w:r>
      <w:r w:rsidRPr="00AB3618">
        <w:t xml:space="preserve"> type could be disaggregated into electricians and non</w:t>
      </w:r>
      <w:r>
        <w:t>-</w:t>
      </w:r>
      <w:r w:rsidRPr="00AB3618">
        <w:t xml:space="preserve">electricians. A subsidy can then be applied specifically to electrician courses. </w:t>
      </w:r>
    </w:p>
    <w:p w:rsidR="002B4336" w:rsidRDefault="002B4336" w:rsidP="002B4336">
      <w:pPr>
        <w:pStyle w:val="BodyText"/>
      </w:pPr>
      <w:r>
        <w:t xml:space="preserve">The </w:t>
      </w:r>
      <w:r w:rsidRPr="00AB3618">
        <w:t xml:space="preserve">ELMO </w:t>
      </w:r>
      <w:r>
        <w:t xml:space="preserve">model </w:t>
      </w:r>
      <w:r w:rsidRPr="00AB3618">
        <w:t xml:space="preserve">assigns agents randomly into two groups — </w:t>
      </w:r>
      <w:r w:rsidR="005B2323">
        <w:t xml:space="preserve">for instance, </w:t>
      </w:r>
      <w:r w:rsidRPr="00AB3618">
        <w:t xml:space="preserve">those who prefer to </w:t>
      </w:r>
      <w:r>
        <w:t xml:space="preserve">be </w:t>
      </w:r>
      <w:r w:rsidRPr="00AB3618">
        <w:t xml:space="preserve">electricians and those who </w:t>
      </w:r>
      <w:r>
        <w:t>prefer to work in other blue</w:t>
      </w:r>
      <w:r w:rsidR="00F6621A">
        <w:t>-</w:t>
      </w:r>
      <w:r>
        <w:t xml:space="preserve">collar </w:t>
      </w:r>
      <w:r>
        <w:lastRenderedPageBreak/>
        <w:t xml:space="preserve">certificate 3 or 4 </w:t>
      </w:r>
      <w:r w:rsidR="009348EE">
        <w:t>education-work</w:t>
      </w:r>
      <w:r>
        <w:t xml:space="preserve"> types in</w:t>
      </w:r>
      <w:r w:rsidRPr="00AB3618">
        <w:t xml:space="preserve"> the base scenario.</w:t>
      </w:r>
      <w:r w:rsidRPr="00862912">
        <w:t xml:space="preserve"> </w:t>
      </w:r>
      <w:r w:rsidRPr="00AB3618">
        <w:t xml:space="preserve">This </w:t>
      </w:r>
      <w:r w:rsidR="005B2323">
        <w:t xml:space="preserve">assignment </w:t>
      </w:r>
      <w:r w:rsidRPr="00AB3618">
        <w:t>is based on shares that must be specified by the user.</w:t>
      </w:r>
      <w:r w:rsidR="001829A6">
        <w:t xml:space="preserve"> These shares could be obtain</w:t>
      </w:r>
      <w:r w:rsidR="005B2323">
        <w:t>ed</w:t>
      </w:r>
      <w:r w:rsidR="001829A6">
        <w:t xml:space="preserve"> from data </w:t>
      </w:r>
      <w:r w:rsidR="005B2323">
        <w:t xml:space="preserve">(such as from the ABS) </w:t>
      </w:r>
      <w:r w:rsidR="001829A6">
        <w:t xml:space="preserve">or </w:t>
      </w:r>
      <w:r w:rsidR="005B2323">
        <w:t xml:space="preserve">chosen arbitrarily. </w:t>
      </w:r>
    </w:p>
    <w:p w:rsidR="002B4336" w:rsidRPr="00AB3618" w:rsidRDefault="002B4336" w:rsidP="002B4336">
      <w:pPr>
        <w:pStyle w:val="BodyText"/>
      </w:pPr>
      <w:r w:rsidRPr="00AB3618">
        <w:t xml:space="preserve">The perceived private net benefits </w:t>
      </w:r>
      <w:r w:rsidR="00E712FD">
        <w:t xml:space="preserve">accruing to individuals in the disaggregated </w:t>
      </w:r>
      <w:r w:rsidR="009348EE">
        <w:t>education-work</w:t>
      </w:r>
      <w:r w:rsidR="00E712FD" w:rsidRPr="00AB3618">
        <w:t xml:space="preserve"> type </w:t>
      </w:r>
      <w:r w:rsidR="00E712FD">
        <w:t xml:space="preserve">category </w:t>
      </w:r>
      <w:r w:rsidRPr="00AB3618">
        <w:t>are then adjusted</w:t>
      </w:r>
      <w:r w:rsidR="00E712FD">
        <w:t xml:space="preserve"> so that the assigned subcategory </w:t>
      </w:r>
      <w:r w:rsidR="002009AD">
        <w:t xml:space="preserve">for each individual </w:t>
      </w:r>
      <w:r w:rsidR="00E712FD">
        <w:t xml:space="preserve">produces greater net benefits than the non-assigned category. This is accomplished by subtracting a </w:t>
      </w:r>
      <w:r w:rsidR="00E712FD" w:rsidRPr="00AB3618">
        <w:t xml:space="preserve">penalty </w:t>
      </w:r>
      <w:r w:rsidR="00E712FD">
        <w:t>(</w:t>
      </w:r>
      <w:r w:rsidR="00E712FD" w:rsidRPr="00AB3618">
        <w:t>which is determined by a random number and linear function</w:t>
      </w:r>
      <w:r w:rsidR="00E712FD">
        <w:t>) from the net benefits</w:t>
      </w:r>
      <w:r w:rsidR="002009AD">
        <w:t xml:space="preserve"> of the non-preferred disaggregated </w:t>
      </w:r>
      <w:r w:rsidR="009348EE">
        <w:t>education-work</w:t>
      </w:r>
      <w:r w:rsidR="002009AD">
        <w:t xml:space="preserve"> type category.</w:t>
      </w:r>
      <w:r w:rsidR="00C1568C">
        <w:t xml:space="preserve"> </w:t>
      </w:r>
      <w:r w:rsidRPr="00AB3618">
        <w:t xml:space="preserve">The disaggregated model is solved </w:t>
      </w:r>
      <w:r>
        <w:t>using the same approach</w:t>
      </w:r>
      <w:r w:rsidRPr="00AB3618">
        <w:t xml:space="preserve"> as the core model. </w:t>
      </w:r>
    </w:p>
    <w:p w:rsidR="00AB3618" w:rsidRPr="00344B97" w:rsidRDefault="003729A7" w:rsidP="000D3D2A">
      <w:pPr>
        <w:pStyle w:val="Heading2"/>
      </w:pPr>
      <w:r>
        <w:t>4</w:t>
      </w:r>
      <w:r w:rsidR="000D3D2A">
        <w:tab/>
      </w:r>
      <w:r w:rsidR="00AB3618">
        <w:t>Data</w:t>
      </w:r>
    </w:p>
    <w:p w:rsidR="004033A4" w:rsidRDefault="004033A4" w:rsidP="004033A4">
      <w:pPr>
        <w:pStyle w:val="BodyText"/>
      </w:pPr>
      <w:r>
        <w:t>Table 3</w:t>
      </w:r>
      <w:r w:rsidRPr="009A1F58">
        <w:t xml:space="preserve"> summarises the </w:t>
      </w:r>
      <w:r>
        <w:t>parameters used in the ELMO model</w:t>
      </w:r>
      <w:r w:rsidRPr="009A1F58">
        <w:t>.</w:t>
      </w:r>
      <w:r>
        <w:t xml:space="preserve"> The parameter values can be accessed through the model. The third column shows the data source. Most of the parameters have been estimated based on data from the ABS or other sources. Where this was not possible, transparent assumptions were made and sensitivity analysis undertaken. The fourth column indicates the reliability of the parameter estimates, based on judgments. </w:t>
      </w:r>
    </w:p>
    <w:p w:rsidR="004033A4" w:rsidRDefault="004033A4" w:rsidP="004033A4">
      <w:pPr>
        <w:pStyle w:val="BodyText"/>
      </w:pPr>
      <w:r>
        <w:t>A key area for further research is developing fully empirical estimates of the wage parameters, since these are central to driving many results and confidence in them is low.</w:t>
      </w:r>
    </w:p>
    <w:p w:rsidR="004033A4" w:rsidRDefault="004033A4" w:rsidP="004033A4">
      <w:pPr>
        <w:pStyle w:val="BodyText"/>
      </w:pPr>
      <w:r>
        <w:t xml:space="preserve">The data specific to the disaggregation section is for illustrative purposes only. </w:t>
      </w:r>
    </w:p>
    <w:p w:rsidR="000D3D2A" w:rsidRDefault="000D3D2A">
      <w:pPr>
        <w:pStyle w:val="TableTitle"/>
      </w:pPr>
      <w:r>
        <w:rPr>
          <w:b w:val="0"/>
        </w:rPr>
        <w:lastRenderedPageBreak/>
        <w:t xml:space="preserve">Table </w:t>
      </w:r>
      <w:r w:rsidR="003729A7">
        <w:rPr>
          <w:b w:val="0"/>
        </w:rPr>
        <w:t>3</w:t>
      </w:r>
      <w:r>
        <w:tab/>
      </w:r>
      <w:r w:rsidRPr="000D3D2A">
        <w:t xml:space="preserve">Key parameters used in </w:t>
      </w:r>
      <w:r w:rsidR="00F13D25">
        <w:t xml:space="preserve">the </w:t>
      </w:r>
      <w:r w:rsidRPr="000D3D2A">
        <w:t>ELMO</w:t>
      </w:r>
      <w:r w:rsidR="00F13D25">
        <w:t xml:space="preserve"> model</w:t>
      </w:r>
    </w:p>
    <w:p w:rsidR="000D3D2A" w:rsidRDefault="000D3D2A">
      <w:pPr>
        <w:pStyle w:val="Subtitle"/>
      </w:pPr>
      <w:r>
        <w:t>Data sources and reliability</w:t>
      </w:r>
    </w:p>
    <w:tbl>
      <w:tblPr>
        <w:tblW w:w="5000" w:type="pct"/>
        <w:tblCellMar>
          <w:left w:w="0" w:type="dxa"/>
          <w:right w:w="0" w:type="dxa"/>
        </w:tblCellMar>
        <w:tblLook w:val="0000" w:firstRow="0" w:lastRow="0" w:firstColumn="0" w:lastColumn="0" w:noHBand="0" w:noVBand="0"/>
      </w:tblPr>
      <w:tblGrid>
        <w:gridCol w:w="1984"/>
        <w:gridCol w:w="1844"/>
        <w:gridCol w:w="3542"/>
        <w:gridCol w:w="1419"/>
      </w:tblGrid>
      <w:tr w:rsidR="000D3D2A" w:rsidTr="000D3D2A">
        <w:tc>
          <w:tcPr>
            <w:tcW w:w="2178" w:type="pct"/>
            <w:gridSpan w:val="2"/>
            <w:tcBorders>
              <w:top w:val="single" w:sz="6" w:space="0" w:color="auto"/>
              <w:bottom w:val="single" w:sz="6" w:space="0" w:color="auto"/>
            </w:tcBorders>
            <w:shd w:val="clear" w:color="auto" w:fill="auto"/>
          </w:tcPr>
          <w:p w:rsidR="000D3D2A" w:rsidRDefault="000D3D2A" w:rsidP="000D3D2A">
            <w:pPr>
              <w:pStyle w:val="TableColumnHeading"/>
              <w:jc w:val="left"/>
            </w:pPr>
            <w:r>
              <w:t>Data</w:t>
            </w:r>
          </w:p>
        </w:tc>
        <w:tc>
          <w:tcPr>
            <w:tcW w:w="2015" w:type="pct"/>
            <w:tcBorders>
              <w:top w:val="single" w:sz="6" w:space="0" w:color="auto"/>
              <w:bottom w:val="single" w:sz="6" w:space="0" w:color="auto"/>
            </w:tcBorders>
          </w:tcPr>
          <w:p w:rsidR="000D3D2A" w:rsidRDefault="000D3D2A" w:rsidP="000D3D2A">
            <w:pPr>
              <w:pStyle w:val="TableColumnHeading"/>
              <w:ind w:right="28"/>
              <w:jc w:val="left"/>
            </w:pPr>
            <w:r>
              <w:t>Source</w:t>
            </w:r>
          </w:p>
        </w:tc>
        <w:tc>
          <w:tcPr>
            <w:tcW w:w="807" w:type="pct"/>
            <w:tcBorders>
              <w:top w:val="single" w:sz="6" w:space="0" w:color="auto"/>
              <w:bottom w:val="single" w:sz="6" w:space="0" w:color="auto"/>
            </w:tcBorders>
            <w:shd w:val="clear" w:color="auto" w:fill="auto"/>
          </w:tcPr>
          <w:p w:rsidR="000D3D2A" w:rsidRDefault="000D3D2A" w:rsidP="000D3D2A">
            <w:pPr>
              <w:pStyle w:val="TableColumnHeading"/>
              <w:ind w:right="28"/>
              <w:jc w:val="left"/>
            </w:pPr>
            <w:r>
              <w:t>Confidence</w:t>
            </w:r>
          </w:p>
        </w:tc>
      </w:tr>
      <w:tr w:rsidR="000D3D2A" w:rsidTr="000D3D2A">
        <w:tc>
          <w:tcPr>
            <w:tcW w:w="1129" w:type="pct"/>
          </w:tcPr>
          <w:p w:rsidR="000D3D2A" w:rsidRPr="000D3D2A" w:rsidRDefault="000D3D2A" w:rsidP="000D3D2A">
            <w:pPr>
              <w:pStyle w:val="TableBodyText"/>
              <w:jc w:val="left"/>
            </w:pPr>
            <w:r w:rsidRPr="000D3D2A">
              <w:t>moneycost(ew,s) fee(ew,s)</w:t>
            </w:r>
          </w:p>
        </w:tc>
        <w:tc>
          <w:tcPr>
            <w:tcW w:w="1049" w:type="pct"/>
          </w:tcPr>
          <w:p w:rsidR="000D3D2A" w:rsidRPr="000D3D2A" w:rsidRDefault="000D3D2A" w:rsidP="000D3D2A">
            <w:pPr>
              <w:pStyle w:val="TableBodyText"/>
              <w:jc w:val="left"/>
            </w:pPr>
            <w:r w:rsidRPr="000D3D2A">
              <w:t>money cost of education</w:t>
            </w:r>
          </w:p>
        </w:tc>
        <w:tc>
          <w:tcPr>
            <w:tcW w:w="2015" w:type="pct"/>
          </w:tcPr>
          <w:p w:rsidR="000D3D2A" w:rsidRPr="000D3D2A" w:rsidRDefault="000D3D2A" w:rsidP="00BA7C4C">
            <w:pPr>
              <w:pStyle w:val="TableBodyText"/>
              <w:jc w:val="left"/>
            </w:pPr>
            <w:r w:rsidRPr="000D3D2A">
              <w:t>Productivity Commission estimates based on DEEWR (2011), DEEWR (nd), Access Economics (2010), ABS (2010b), Chapman, Rodrigues and Ryan (2007), SCRGSP (2011), Gonski (2010) and ABS (2011</w:t>
            </w:r>
            <w:r w:rsidR="00BA7C4C">
              <w:t>b</w:t>
            </w:r>
            <w:r w:rsidRPr="000D3D2A">
              <w:t>)</w:t>
            </w:r>
          </w:p>
        </w:tc>
        <w:tc>
          <w:tcPr>
            <w:tcW w:w="807" w:type="pct"/>
          </w:tcPr>
          <w:p w:rsidR="000D3D2A" w:rsidRPr="000D3D2A" w:rsidRDefault="000D3D2A" w:rsidP="000D3D2A">
            <w:pPr>
              <w:pStyle w:val="TableBodyText"/>
              <w:jc w:val="left"/>
            </w:pPr>
            <w:r w:rsidRPr="000D3D2A">
              <w:t>high</w:t>
            </w:r>
          </w:p>
        </w:tc>
      </w:tr>
      <w:tr w:rsidR="000D3D2A" w:rsidTr="000D3D2A">
        <w:tc>
          <w:tcPr>
            <w:tcW w:w="1129" w:type="pct"/>
          </w:tcPr>
          <w:p w:rsidR="000D3D2A" w:rsidRPr="000D3D2A" w:rsidRDefault="000D3D2A" w:rsidP="000D3D2A">
            <w:pPr>
              <w:pStyle w:val="TableBodyText"/>
              <w:jc w:val="left"/>
            </w:pPr>
            <w:r w:rsidRPr="000D3D2A">
              <w:t>time(ew)</w:t>
            </w:r>
          </w:p>
        </w:tc>
        <w:tc>
          <w:tcPr>
            <w:tcW w:w="1049" w:type="pct"/>
          </w:tcPr>
          <w:p w:rsidR="000D3D2A" w:rsidRPr="000D3D2A" w:rsidRDefault="000D3D2A" w:rsidP="000D3D2A">
            <w:pPr>
              <w:pStyle w:val="TableBodyText"/>
              <w:jc w:val="left"/>
            </w:pPr>
            <w:r w:rsidRPr="000D3D2A">
              <w:t>time taken to complete education</w:t>
            </w:r>
          </w:p>
        </w:tc>
        <w:tc>
          <w:tcPr>
            <w:tcW w:w="2015" w:type="pct"/>
          </w:tcPr>
          <w:p w:rsidR="000D3D2A" w:rsidRPr="000D3D2A" w:rsidRDefault="000D3D2A" w:rsidP="000D3D2A">
            <w:pPr>
              <w:pStyle w:val="TableBodyText"/>
              <w:jc w:val="left"/>
            </w:pPr>
            <w:r w:rsidRPr="000D3D2A">
              <w:t>Productivity Commission estimates based on ABS (2008)</w:t>
            </w:r>
          </w:p>
        </w:tc>
        <w:tc>
          <w:tcPr>
            <w:tcW w:w="807" w:type="pct"/>
          </w:tcPr>
          <w:p w:rsidR="000D3D2A" w:rsidRPr="000D3D2A" w:rsidRDefault="000D3D2A" w:rsidP="000D3D2A">
            <w:pPr>
              <w:pStyle w:val="TableBodyText"/>
              <w:jc w:val="left"/>
            </w:pPr>
            <w:r w:rsidRPr="000D3D2A">
              <w:t>moderate</w:t>
            </w:r>
          </w:p>
        </w:tc>
      </w:tr>
      <w:tr w:rsidR="000D3D2A" w:rsidTr="000D3D2A">
        <w:tc>
          <w:tcPr>
            <w:tcW w:w="1129" w:type="pct"/>
          </w:tcPr>
          <w:p w:rsidR="000D3D2A" w:rsidRPr="000D3D2A" w:rsidRDefault="000D3D2A" w:rsidP="000D3D2A">
            <w:pPr>
              <w:pStyle w:val="TableBodyText"/>
              <w:jc w:val="left"/>
            </w:pPr>
            <w:r w:rsidRPr="000D3D2A">
              <w:t>timecostperhour</w:t>
            </w:r>
          </w:p>
        </w:tc>
        <w:tc>
          <w:tcPr>
            <w:tcW w:w="1049" w:type="pct"/>
          </w:tcPr>
          <w:p w:rsidR="000D3D2A" w:rsidRPr="000D3D2A" w:rsidRDefault="000D3D2A" w:rsidP="000D3D2A">
            <w:pPr>
              <w:pStyle w:val="TableBodyText"/>
              <w:jc w:val="left"/>
            </w:pPr>
            <w:r w:rsidRPr="000D3D2A">
              <w:t>opportunity cost of study time</w:t>
            </w:r>
          </w:p>
        </w:tc>
        <w:tc>
          <w:tcPr>
            <w:tcW w:w="2015" w:type="pct"/>
          </w:tcPr>
          <w:p w:rsidR="000D3D2A" w:rsidRPr="000D3D2A" w:rsidRDefault="000D3D2A" w:rsidP="000D3D2A">
            <w:pPr>
              <w:pStyle w:val="TableBodyText"/>
              <w:jc w:val="left"/>
            </w:pPr>
            <w:r w:rsidRPr="000D3D2A">
              <w:t>Productivity Commission estimates based on ABS (2010b)</w:t>
            </w:r>
          </w:p>
        </w:tc>
        <w:tc>
          <w:tcPr>
            <w:tcW w:w="807" w:type="pct"/>
          </w:tcPr>
          <w:p w:rsidR="000D3D2A" w:rsidRPr="000D3D2A" w:rsidRDefault="000D3D2A" w:rsidP="000D3D2A">
            <w:pPr>
              <w:pStyle w:val="TableBodyText"/>
              <w:jc w:val="left"/>
            </w:pPr>
            <w:r w:rsidRPr="000D3D2A">
              <w:t>moderate</w:t>
            </w:r>
          </w:p>
        </w:tc>
      </w:tr>
      <w:tr w:rsidR="000D3D2A" w:rsidTr="000D3D2A">
        <w:tc>
          <w:tcPr>
            <w:tcW w:w="1129" w:type="pct"/>
          </w:tcPr>
          <w:p w:rsidR="000D3D2A" w:rsidRPr="000D3D2A" w:rsidRDefault="000D3D2A" w:rsidP="000D3D2A">
            <w:pPr>
              <w:pStyle w:val="TableBodyText"/>
              <w:jc w:val="left"/>
            </w:pPr>
            <w:r w:rsidRPr="000D3D2A">
              <w:t>tax</w:t>
            </w:r>
          </w:p>
        </w:tc>
        <w:tc>
          <w:tcPr>
            <w:tcW w:w="1049" w:type="pct"/>
          </w:tcPr>
          <w:p w:rsidR="000D3D2A" w:rsidRPr="000D3D2A" w:rsidRDefault="000D3D2A" w:rsidP="000D3D2A">
            <w:pPr>
              <w:pStyle w:val="TableBodyText"/>
              <w:jc w:val="left"/>
            </w:pPr>
            <w:r w:rsidRPr="000D3D2A">
              <w:t>flat effective tax rate</w:t>
            </w:r>
          </w:p>
        </w:tc>
        <w:tc>
          <w:tcPr>
            <w:tcW w:w="2015" w:type="pct"/>
          </w:tcPr>
          <w:p w:rsidR="000D3D2A" w:rsidRPr="000D3D2A" w:rsidRDefault="000D3D2A" w:rsidP="000D3D2A">
            <w:pPr>
              <w:pStyle w:val="TableBodyText"/>
              <w:jc w:val="left"/>
            </w:pPr>
            <w:r w:rsidRPr="000D3D2A">
              <w:t>Productivity Commission estimates based on ABS (2006)</w:t>
            </w:r>
          </w:p>
        </w:tc>
        <w:tc>
          <w:tcPr>
            <w:tcW w:w="807" w:type="pct"/>
          </w:tcPr>
          <w:p w:rsidR="000D3D2A" w:rsidRPr="000D3D2A" w:rsidRDefault="000D3D2A" w:rsidP="000D3D2A">
            <w:pPr>
              <w:pStyle w:val="TableBodyText"/>
              <w:jc w:val="left"/>
            </w:pPr>
            <w:r w:rsidRPr="000D3D2A">
              <w:t>moderate</w:t>
            </w:r>
          </w:p>
        </w:tc>
      </w:tr>
      <w:tr w:rsidR="000D3D2A" w:rsidTr="000D3D2A">
        <w:tc>
          <w:tcPr>
            <w:tcW w:w="1129" w:type="pct"/>
          </w:tcPr>
          <w:p w:rsidR="000D3D2A" w:rsidRPr="000D3D2A" w:rsidRDefault="000D3D2A" w:rsidP="000D3D2A">
            <w:pPr>
              <w:pStyle w:val="TableBodyText"/>
              <w:jc w:val="left"/>
            </w:pPr>
            <w:r w:rsidRPr="000D3D2A">
              <w:t>vtaxrev</w:t>
            </w:r>
          </w:p>
        </w:tc>
        <w:tc>
          <w:tcPr>
            <w:tcW w:w="1049" w:type="pct"/>
          </w:tcPr>
          <w:p w:rsidR="000D3D2A" w:rsidRPr="000D3D2A" w:rsidRDefault="000D3D2A" w:rsidP="000D3D2A">
            <w:pPr>
              <w:pStyle w:val="TableBodyText"/>
              <w:jc w:val="left"/>
            </w:pPr>
            <w:r w:rsidRPr="000D3D2A">
              <w:t>excess value of a dollar of government revenue</w:t>
            </w:r>
          </w:p>
        </w:tc>
        <w:tc>
          <w:tcPr>
            <w:tcW w:w="2015" w:type="pct"/>
          </w:tcPr>
          <w:p w:rsidR="000D3D2A" w:rsidRPr="000D3D2A" w:rsidRDefault="000D3D2A" w:rsidP="000D3D2A">
            <w:pPr>
              <w:pStyle w:val="TableBodyText"/>
              <w:jc w:val="left"/>
            </w:pPr>
            <w:r w:rsidRPr="000D3D2A">
              <w:t>Productivity Commission estimates based on KPMG Econtech (2010)</w:t>
            </w:r>
          </w:p>
        </w:tc>
        <w:tc>
          <w:tcPr>
            <w:tcW w:w="807" w:type="pct"/>
          </w:tcPr>
          <w:p w:rsidR="000D3D2A" w:rsidRPr="000D3D2A" w:rsidRDefault="000D3D2A" w:rsidP="000D3D2A">
            <w:pPr>
              <w:pStyle w:val="TableBodyText"/>
              <w:jc w:val="left"/>
            </w:pPr>
            <w:r w:rsidRPr="000D3D2A">
              <w:t>moderate</w:t>
            </w:r>
          </w:p>
        </w:tc>
      </w:tr>
      <w:tr w:rsidR="000D3D2A" w:rsidTr="000D3D2A">
        <w:tc>
          <w:tcPr>
            <w:tcW w:w="1129" w:type="pct"/>
          </w:tcPr>
          <w:p w:rsidR="000D3D2A" w:rsidRPr="000D3D2A" w:rsidRDefault="000D3D2A" w:rsidP="000D3D2A">
            <w:pPr>
              <w:pStyle w:val="TableBodyText"/>
              <w:jc w:val="left"/>
            </w:pPr>
            <w:r w:rsidRPr="000D3D2A">
              <w:t>wpar(ew,s,wlabels)</w:t>
            </w:r>
          </w:p>
        </w:tc>
        <w:tc>
          <w:tcPr>
            <w:tcW w:w="1049" w:type="pct"/>
          </w:tcPr>
          <w:p w:rsidR="000D3D2A" w:rsidRPr="000D3D2A" w:rsidRDefault="000D3D2A" w:rsidP="000D3D2A">
            <w:pPr>
              <w:pStyle w:val="TableBodyText"/>
              <w:jc w:val="left"/>
            </w:pPr>
            <w:r w:rsidRPr="000D3D2A">
              <w:t>parameters in wage function</w:t>
            </w:r>
          </w:p>
        </w:tc>
        <w:tc>
          <w:tcPr>
            <w:tcW w:w="2015" w:type="pct"/>
          </w:tcPr>
          <w:p w:rsidR="000D3D2A" w:rsidRPr="000D3D2A" w:rsidRDefault="000D3D2A" w:rsidP="000D3D2A">
            <w:pPr>
              <w:pStyle w:val="TableBodyText"/>
              <w:jc w:val="left"/>
            </w:pPr>
            <w:r w:rsidRPr="000D3D2A">
              <w:t>Productivity Commission estimates based on ABS (2010a) and by assumption</w:t>
            </w:r>
          </w:p>
        </w:tc>
        <w:tc>
          <w:tcPr>
            <w:tcW w:w="807" w:type="pct"/>
          </w:tcPr>
          <w:p w:rsidR="000D3D2A" w:rsidRPr="000D3D2A" w:rsidRDefault="000D3D2A" w:rsidP="000D3D2A">
            <w:pPr>
              <w:pStyle w:val="TableBodyText"/>
              <w:jc w:val="left"/>
            </w:pPr>
            <w:r w:rsidRPr="000D3D2A">
              <w:t>low</w:t>
            </w:r>
          </w:p>
        </w:tc>
      </w:tr>
      <w:tr w:rsidR="000D3D2A" w:rsidTr="000D3D2A">
        <w:tc>
          <w:tcPr>
            <w:tcW w:w="1129" w:type="pct"/>
          </w:tcPr>
          <w:p w:rsidR="000D3D2A" w:rsidRPr="000D3D2A" w:rsidRDefault="000D3D2A" w:rsidP="000D3D2A">
            <w:pPr>
              <w:pStyle w:val="TableBodyText"/>
              <w:jc w:val="left"/>
            </w:pPr>
            <w:r w:rsidRPr="000D3D2A">
              <w:t>g</w:t>
            </w:r>
          </w:p>
        </w:tc>
        <w:tc>
          <w:tcPr>
            <w:tcW w:w="1049" w:type="pct"/>
          </w:tcPr>
          <w:p w:rsidR="000D3D2A" w:rsidRPr="000D3D2A" w:rsidRDefault="000D3D2A" w:rsidP="000D3D2A">
            <w:pPr>
              <w:pStyle w:val="TableBodyText"/>
              <w:jc w:val="left"/>
            </w:pPr>
            <w:r w:rsidRPr="000D3D2A">
              <w:t>growth in present value of wages</w:t>
            </w:r>
          </w:p>
        </w:tc>
        <w:tc>
          <w:tcPr>
            <w:tcW w:w="2015" w:type="pct"/>
          </w:tcPr>
          <w:p w:rsidR="000D3D2A" w:rsidRPr="000D3D2A" w:rsidRDefault="000D3D2A" w:rsidP="000D3D2A">
            <w:pPr>
              <w:pStyle w:val="TableBodyText"/>
              <w:jc w:val="left"/>
            </w:pPr>
            <w:r w:rsidRPr="000D3D2A">
              <w:t xml:space="preserve">by assumption </w:t>
            </w:r>
          </w:p>
        </w:tc>
        <w:tc>
          <w:tcPr>
            <w:tcW w:w="807" w:type="pct"/>
          </w:tcPr>
          <w:p w:rsidR="000D3D2A" w:rsidRPr="000D3D2A" w:rsidRDefault="000D3D2A" w:rsidP="000D3D2A">
            <w:pPr>
              <w:pStyle w:val="TableBodyText"/>
              <w:jc w:val="left"/>
            </w:pPr>
            <w:r w:rsidRPr="000D3D2A">
              <w:t>low</w:t>
            </w:r>
          </w:p>
        </w:tc>
      </w:tr>
      <w:tr w:rsidR="000D3D2A" w:rsidTr="000D3D2A">
        <w:tc>
          <w:tcPr>
            <w:tcW w:w="1129" w:type="pct"/>
          </w:tcPr>
          <w:p w:rsidR="000D3D2A" w:rsidRPr="000D3D2A" w:rsidRDefault="000D3D2A" w:rsidP="000D3D2A">
            <w:pPr>
              <w:pStyle w:val="TableBodyText"/>
              <w:jc w:val="left"/>
            </w:pPr>
            <w:r w:rsidRPr="000D3D2A">
              <w:t>empl(ew,s)</w:t>
            </w:r>
          </w:p>
        </w:tc>
        <w:tc>
          <w:tcPr>
            <w:tcW w:w="1049" w:type="pct"/>
          </w:tcPr>
          <w:p w:rsidR="000D3D2A" w:rsidRPr="000D3D2A" w:rsidRDefault="000D3D2A" w:rsidP="000D3D2A">
            <w:pPr>
              <w:pStyle w:val="TableBodyText"/>
              <w:jc w:val="left"/>
            </w:pPr>
            <w:r w:rsidRPr="000D3D2A">
              <w:t>parameters in employment function</w:t>
            </w:r>
          </w:p>
        </w:tc>
        <w:tc>
          <w:tcPr>
            <w:tcW w:w="2015" w:type="pct"/>
          </w:tcPr>
          <w:p w:rsidR="000D3D2A" w:rsidRPr="000D3D2A" w:rsidRDefault="000D3D2A" w:rsidP="000D3D2A">
            <w:pPr>
              <w:pStyle w:val="TableBodyText"/>
              <w:jc w:val="left"/>
            </w:pPr>
            <w:r w:rsidRPr="000D3D2A">
              <w:t>Productivity Commission estimates based on ABS (2010a)</w:t>
            </w:r>
          </w:p>
        </w:tc>
        <w:tc>
          <w:tcPr>
            <w:tcW w:w="807" w:type="pct"/>
          </w:tcPr>
          <w:p w:rsidR="000D3D2A" w:rsidRPr="000D3D2A" w:rsidRDefault="000D3D2A" w:rsidP="000D3D2A">
            <w:pPr>
              <w:pStyle w:val="TableBodyText"/>
              <w:jc w:val="left"/>
            </w:pPr>
            <w:r w:rsidRPr="000D3D2A">
              <w:t>moderate</w:t>
            </w:r>
          </w:p>
        </w:tc>
      </w:tr>
      <w:tr w:rsidR="000D3D2A" w:rsidTr="000D3D2A">
        <w:tc>
          <w:tcPr>
            <w:tcW w:w="1129" w:type="pct"/>
          </w:tcPr>
          <w:p w:rsidR="000D3D2A" w:rsidRPr="000D3D2A" w:rsidRDefault="000D3D2A" w:rsidP="000D3D2A">
            <w:pPr>
              <w:pStyle w:val="TableBodyText"/>
              <w:jc w:val="left"/>
            </w:pPr>
            <w:r w:rsidRPr="000D3D2A">
              <w:t>hoursworked</w:t>
            </w:r>
          </w:p>
        </w:tc>
        <w:tc>
          <w:tcPr>
            <w:tcW w:w="1049" w:type="pct"/>
          </w:tcPr>
          <w:p w:rsidR="000D3D2A" w:rsidRPr="000D3D2A" w:rsidRDefault="000D3D2A" w:rsidP="000D3D2A">
            <w:pPr>
              <w:pStyle w:val="TableBodyText"/>
              <w:jc w:val="left"/>
            </w:pPr>
            <w:r w:rsidRPr="000D3D2A">
              <w:t>hours worked over lifetime</w:t>
            </w:r>
          </w:p>
        </w:tc>
        <w:tc>
          <w:tcPr>
            <w:tcW w:w="2015" w:type="pct"/>
          </w:tcPr>
          <w:p w:rsidR="000D3D2A" w:rsidRPr="000D3D2A" w:rsidRDefault="000D3D2A" w:rsidP="000D3D2A">
            <w:pPr>
              <w:pStyle w:val="TableBodyText"/>
              <w:jc w:val="left"/>
            </w:pPr>
            <w:r w:rsidRPr="000D3D2A">
              <w:t>Productivity Commission estimates based on ABS (2010a) and ABS (2009)</w:t>
            </w:r>
          </w:p>
        </w:tc>
        <w:tc>
          <w:tcPr>
            <w:tcW w:w="807" w:type="pct"/>
          </w:tcPr>
          <w:p w:rsidR="000D3D2A" w:rsidRPr="000D3D2A" w:rsidRDefault="000D3D2A" w:rsidP="000D3D2A">
            <w:pPr>
              <w:pStyle w:val="TableBodyText"/>
              <w:jc w:val="left"/>
            </w:pPr>
            <w:r w:rsidRPr="000D3D2A">
              <w:t>moderate</w:t>
            </w:r>
          </w:p>
        </w:tc>
      </w:tr>
      <w:tr w:rsidR="000D3D2A" w:rsidTr="000D3D2A">
        <w:tc>
          <w:tcPr>
            <w:tcW w:w="1129" w:type="pct"/>
          </w:tcPr>
          <w:p w:rsidR="000D3D2A" w:rsidRPr="000D3D2A" w:rsidRDefault="000D3D2A" w:rsidP="000D3D2A">
            <w:pPr>
              <w:pStyle w:val="TableBodyText"/>
              <w:jc w:val="left"/>
            </w:pPr>
            <w:r w:rsidRPr="000D3D2A">
              <w:t>vnmafactor</w:t>
            </w:r>
          </w:p>
        </w:tc>
        <w:tc>
          <w:tcPr>
            <w:tcW w:w="1049" w:type="pct"/>
          </w:tcPr>
          <w:p w:rsidR="000D3D2A" w:rsidRPr="000D3D2A" w:rsidRDefault="000D3D2A" w:rsidP="000D3D2A">
            <w:pPr>
              <w:pStyle w:val="TableBodyText"/>
              <w:jc w:val="left"/>
            </w:pPr>
            <w:r w:rsidRPr="000D3D2A">
              <w:t>value of non</w:t>
            </w:r>
            <w:r w:rsidR="00BA7C4C">
              <w:t>-</w:t>
            </w:r>
            <w:r w:rsidRPr="000D3D2A">
              <w:t>market activity relative to the base wage</w:t>
            </w:r>
          </w:p>
        </w:tc>
        <w:tc>
          <w:tcPr>
            <w:tcW w:w="2015" w:type="pct"/>
          </w:tcPr>
          <w:p w:rsidR="000D3D2A" w:rsidRPr="000D3D2A" w:rsidRDefault="000D3D2A" w:rsidP="000D3D2A">
            <w:pPr>
              <w:pStyle w:val="TableBodyText"/>
              <w:jc w:val="left"/>
            </w:pPr>
            <w:r w:rsidRPr="000D3D2A">
              <w:t>by assumption</w:t>
            </w:r>
          </w:p>
        </w:tc>
        <w:tc>
          <w:tcPr>
            <w:tcW w:w="807" w:type="pct"/>
          </w:tcPr>
          <w:p w:rsidR="000D3D2A" w:rsidRPr="000D3D2A" w:rsidRDefault="000D3D2A" w:rsidP="000D3D2A">
            <w:pPr>
              <w:pStyle w:val="TableBodyText"/>
              <w:jc w:val="left"/>
            </w:pPr>
            <w:r w:rsidRPr="000D3D2A">
              <w:t>low</w:t>
            </w:r>
          </w:p>
        </w:tc>
      </w:tr>
      <w:tr w:rsidR="000D3D2A" w:rsidTr="000D3D2A">
        <w:tc>
          <w:tcPr>
            <w:tcW w:w="1129" w:type="pct"/>
          </w:tcPr>
          <w:p w:rsidR="000D3D2A" w:rsidRPr="000D3D2A" w:rsidRDefault="000D3D2A" w:rsidP="000D3D2A">
            <w:pPr>
              <w:pStyle w:val="TableBodyText"/>
              <w:jc w:val="left"/>
            </w:pPr>
            <w:r w:rsidRPr="000D3D2A">
              <w:t>avebasewage</w:t>
            </w:r>
          </w:p>
        </w:tc>
        <w:tc>
          <w:tcPr>
            <w:tcW w:w="1049" w:type="pct"/>
          </w:tcPr>
          <w:p w:rsidR="000D3D2A" w:rsidRPr="000D3D2A" w:rsidRDefault="000D3D2A" w:rsidP="000D3D2A">
            <w:pPr>
              <w:pStyle w:val="TableBodyText"/>
              <w:jc w:val="left"/>
            </w:pPr>
            <w:r w:rsidRPr="000D3D2A">
              <w:t>base wage</w:t>
            </w:r>
          </w:p>
        </w:tc>
        <w:tc>
          <w:tcPr>
            <w:tcW w:w="2015" w:type="pct"/>
          </w:tcPr>
          <w:p w:rsidR="000D3D2A" w:rsidRPr="000D3D2A" w:rsidRDefault="000D3D2A" w:rsidP="000D3D2A">
            <w:pPr>
              <w:pStyle w:val="TableBodyText"/>
              <w:jc w:val="left"/>
            </w:pPr>
            <w:r w:rsidRPr="000D3D2A">
              <w:t>Productivity Commission estimates based on ABS (2010a) and by assumption</w:t>
            </w:r>
          </w:p>
        </w:tc>
        <w:tc>
          <w:tcPr>
            <w:tcW w:w="807" w:type="pct"/>
          </w:tcPr>
          <w:p w:rsidR="000D3D2A" w:rsidRPr="000D3D2A" w:rsidRDefault="000D3D2A" w:rsidP="000D3D2A">
            <w:pPr>
              <w:pStyle w:val="TableBodyText"/>
              <w:jc w:val="left"/>
            </w:pPr>
            <w:r w:rsidRPr="000D3D2A">
              <w:t>low</w:t>
            </w:r>
          </w:p>
        </w:tc>
      </w:tr>
      <w:tr w:rsidR="000D3D2A" w:rsidTr="000D3D2A">
        <w:tc>
          <w:tcPr>
            <w:tcW w:w="1129" w:type="pct"/>
          </w:tcPr>
          <w:p w:rsidR="000D3D2A" w:rsidRPr="000D3D2A" w:rsidRDefault="000D3D2A" w:rsidP="000D3D2A">
            <w:pPr>
              <w:pStyle w:val="TableBodyText"/>
              <w:jc w:val="left"/>
            </w:pPr>
            <w:r w:rsidRPr="000D3D2A">
              <w:t>ebfactor(ew)</w:t>
            </w:r>
          </w:p>
        </w:tc>
        <w:tc>
          <w:tcPr>
            <w:tcW w:w="1049" w:type="pct"/>
          </w:tcPr>
          <w:p w:rsidR="000D3D2A" w:rsidRPr="000D3D2A" w:rsidRDefault="000D3D2A" w:rsidP="000D3D2A">
            <w:pPr>
              <w:pStyle w:val="TableBodyText"/>
              <w:jc w:val="left"/>
            </w:pPr>
            <w:r w:rsidRPr="000D3D2A">
              <w:t>external benefits from labour</w:t>
            </w:r>
          </w:p>
        </w:tc>
        <w:tc>
          <w:tcPr>
            <w:tcW w:w="2015" w:type="pct"/>
          </w:tcPr>
          <w:p w:rsidR="000D3D2A" w:rsidRPr="000D3D2A" w:rsidRDefault="000D3D2A" w:rsidP="000D3D2A">
            <w:pPr>
              <w:pStyle w:val="TableBodyText"/>
              <w:jc w:val="left"/>
            </w:pPr>
            <w:r w:rsidRPr="000D3D2A">
              <w:t>by assumption</w:t>
            </w:r>
          </w:p>
        </w:tc>
        <w:tc>
          <w:tcPr>
            <w:tcW w:w="807" w:type="pct"/>
          </w:tcPr>
          <w:p w:rsidR="000D3D2A" w:rsidRPr="000D3D2A" w:rsidRDefault="000D3D2A" w:rsidP="000D3D2A">
            <w:pPr>
              <w:pStyle w:val="TableBodyText"/>
              <w:jc w:val="left"/>
            </w:pPr>
            <w:r w:rsidRPr="000D3D2A">
              <w:t>low</w:t>
            </w:r>
          </w:p>
        </w:tc>
      </w:tr>
      <w:tr w:rsidR="000D3D2A" w:rsidTr="000D3D2A">
        <w:tc>
          <w:tcPr>
            <w:tcW w:w="1129" w:type="pct"/>
          </w:tcPr>
          <w:p w:rsidR="000D3D2A" w:rsidRPr="000D3D2A" w:rsidRDefault="000D3D2A" w:rsidP="000D3D2A">
            <w:pPr>
              <w:pStyle w:val="TableBodyText"/>
              <w:jc w:val="left"/>
            </w:pPr>
            <w:r w:rsidRPr="000D3D2A">
              <w:t>overest(ew)</w:t>
            </w:r>
          </w:p>
        </w:tc>
        <w:tc>
          <w:tcPr>
            <w:tcW w:w="1049" w:type="pct"/>
          </w:tcPr>
          <w:p w:rsidR="000D3D2A" w:rsidRPr="000D3D2A" w:rsidRDefault="000D3D2A" w:rsidP="000D3D2A">
            <w:pPr>
              <w:pStyle w:val="TableBodyText"/>
              <w:jc w:val="left"/>
            </w:pPr>
            <w:r w:rsidRPr="000D3D2A">
              <w:t>overestimate in net benefits</w:t>
            </w:r>
          </w:p>
        </w:tc>
        <w:tc>
          <w:tcPr>
            <w:tcW w:w="2015" w:type="pct"/>
          </w:tcPr>
          <w:p w:rsidR="000D3D2A" w:rsidRPr="000D3D2A" w:rsidRDefault="000D3D2A" w:rsidP="000D3D2A">
            <w:pPr>
              <w:pStyle w:val="TableBodyText"/>
              <w:jc w:val="left"/>
            </w:pPr>
            <w:r w:rsidRPr="000D3D2A">
              <w:t>by assumption</w:t>
            </w:r>
          </w:p>
        </w:tc>
        <w:tc>
          <w:tcPr>
            <w:tcW w:w="807" w:type="pct"/>
          </w:tcPr>
          <w:p w:rsidR="000D3D2A" w:rsidRPr="000D3D2A" w:rsidRDefault="000D3D2A" w:rsidP="000D3D2A">
            <w:pPr>
              <w:pStyle w:val="TableBodyText"/>
              <w:jc w:val="left"/>
            </w:pPr>
            <w:r w:rsidRPr="000D3D2A">
              <w:t>low</w:t>
            </w:r>
          </w:p>
        </w:tc>
      </w:tr>
      <w:tr w:rsidR="000D3D2A" w:rsidTr="000D3D2A">
        <w:tc>
          <w:tcPr>
            <w:tcW w:w="1129" w:type="pct"/>
          </w:tcPr>
          <w:p w:rsidR="000D3D2A" w:rsidRPr="000D3D2A" w:rsidRDefault="000D3D2A" w:rsidP="000D3D2A">
            <w:pPr>
              <w:pStyle w:val="TableBodyText"/>
              <w:jc w:val="left"/>
            </w:pPr>
            <w:r w:rsidRPr="000D3D2A">
              <w:t>residual(ew,r)</w:t>
            </w:r>
          </w:p>
        </w:tc>
        <w:tc>
          <w:tcPr>
            <w:tcW w:w="1049" w:type="pct"/>
          </w:tcPr>
          <w:p w:rsidR="000D3D2A" w:rsidRPr="000D3D2A" w:rsidRDefault="000D3D2A" w:rsidP="000D3D2A">
            <w:pPr>
              <w:pStyle w:val="TableBodyText"/>
              <w:jc w:val="left"/>
            </w:pPr>
            <w:r w:rsidRPr="000D3D2A">
              <w:t>residual net benefits</w:t>
            </w:r>
          </w:p>
        </w:tc>
        <w:tc>
          <w:tcPr>
            <w:tcW w:w="2015" w:type="pct"/>
          </w:tcPr>
          <w:p w:rsidR="000D3D2A" w:rsidRPr="000D3D2A" w:rsidRDefault="000D3D2A" w:rsidP="000D3D2A">
            <w:pPr>
              <w:pStyle w:val="TableBodyText"/>
              <w:jc w:val="left"/>
            </w:pPr>
            <w:r w:rsidRPr="000D3D2A">
              <w:t>through calibration</w:t>
            </w:r>
          </w:p>
        </w:tc>
        <w:tc>
          <w:tcPr>
            <w:tcW w:w="807" w:type="pct"/>
          </w:tcPr>
          <w:p w:rsidR="000D3D2A" w:rsidRPr="000D3D2A" w:rsidRDefault="004033A4" w:rsidP="000D3D2A">
            <w:pPr>
              <w:pStyle w:val="TableBodyText"/>
              <w:jc w:val="left"/>
            </w:pPr>
            <w:r>
              <w:t>n.a.</w:t>
            </w:r>
          </w:p>
        </w:tc>
      </w:tr>
      <w:tr w:rsidR="000D3D2A" w:rsidTr="000D3D2A">
        <w:tc>
          <w:tcPr>
            <w:tcW w:w="1129" w:type="pct"/>
          </w:tcPr>
          <w:p w:rsidR="000D3D2A" w:rsidRPr="000D3D2A" w:rsidRDefault="000D3D2A" w:rsidP="000D3D2A">
            <w:pPr>
              <w:pStyle w:val="TableBodyText"/>
              <w:jc w:val="left"/>
            </w:pPr>
            <w:r w:rsidRPr="000D3D2A">
              <w:t>pop(r)</w:t>
            </w:r>
          </w:p>
        </w:tc>
        <w:tc>
          <w:tcPr>
            <w:tcW w:w="1049" w:type="pct"/>
          </w:tcPr>
          <w:p w:rsidR="000D3D2A" w:rsidRPr="000D3D2A" w:rsidRDefault="000D3D2A" w:rsidP="000D3D2A">
            <w:pPr>
              <w:pStyle w:val="TableBodyText"/>
              <w:jc w:val="left"/>
            </w:pPr>
            <w:r w:rsidRPr="000D3D2A">
              <w:t>population by region</w:t>
            </w:r>
          </w:p>
        </w:tc>
        <w:tc>
          <w:tcPr>
            <w:tcW w:w="2015" w:type="pct"/>
          </w:tcPr>
          <w:p w:rsidR="000D3D2A" w:rsidRPr="000D3D2A" w:rsidRDefault="000D3D2A" w:rsidP="000D3D2A">
            <w:pPr>
              <w:pStyle w:val="TableBodyText"/>
              <w:jc w:val="left"/>
            </w:pPr>
            <w:r w:rsidRPr="000D3D2A">
              <w:t>ABS (2011a)</w:t>
            </w:r>
          </w:p>
        </w:tc>
        <w:tc>
          <w:tcPr>
            <w:tcW w:w="807" w:type="pct"/>
          </w:tcPr>
          <w:p w:rsidR="000D3D2A" w:rsidRPr="000D3D2A" w:rsidRDefault="000D3D2A" w:rsidP="000D3D2A">
            <w:pPr>
              <w:pStyle w:val="TableBodyText"/>
              <w:jc w:val="left"/>
            </w:pPr>
            <w:r w:rsidRPr="000D3D2A">
              <w:t>high</w:t>
            </w:r>
          </w:p>
        </w:tc>
      </w:tr>
      <w:tr w:rsidR="000D3D2A" w:rsidTr="000D3D2A">
        <w:tc>
          <w:tcPr>
            <w:tcW w:w="1129" w:type="pct"/>
            <w:tcBorders>
              <w:bottom w:val="single" w:sz="4" w:space="0" w:color="auto"/>
            </w:tcBorders>
          </w:tcPr>
          <w:p w:rsidR="000D3D2A" w:rsidRPr="000D3D2A" w:rsidRDefault="000D3D2A" w:rsidP="000D3D2A">
            <w:pPr>
              <w:pStyle w:val="TableBodyText"/>
              <w:jc w:val="left"/>
            </w:pPr>
            <w:r w:rsidRPr="000D3D2A">
              <w:t>gamma</w:t>
            </w:r>
          </w:p>
        </w:tc>
        <w:tc>
          <w:tcPr>
            <w:tcW w:w="1049" w:type="pct"/>
            <w:tcBorders>
              <w:bottom w:val="single" w:sz="4" w:space="0" w:color="auto"/>
            </w:tcBorders>
          </w:tcPr>
          <w:p w:rsidR="000D3D2A" w:rsidRPr="000D3D2A" w:rsidRDefault="000D3D2A" w:rsidP="000D3D2A">
            <w:pPr>
              <w:pStyle w:val="TableBodyText"/>
              <w:jc w:val="left"/>
            </w:pPr>
            <w:r w:rsidRPr="000D3D2A">
              <w:t>related to correlation between blue</w:t>
            </w:r>
            <w:r w:rsidR="00F6621A">
              <w:t>-</w:t>
            </w:r>
            <w:r w:rsidRPr="000D3D2A">
              <w:t xml:space="preserve"> and white</w:t>
            </w:r>
            <w:r w:rsidR="00F6621A">
              <w:t>-</w:t>
            </w:r>
            <w:r w:rsidRPr="000D3D2A">
              <w:t>collar abilities</w:t>
            </w:r>
          </w:p>
        </w:tc>
        <w:tc>
          <w:tcPr>
            <w:tcW w:w="2015" w:type="pct"/>
            <w:tcBorders>
              <w:bottom w:val="single" w:sz="4" w:space="0" w:color="auto"/>
            </w:tcBorders>
          </w:tcPr>
          <w:p w:rsidR="000D3D2A" w:rsidRPr="000D3D2A" w:rsidRDefault="000D3D2A" w:rsidP="000D3D2A">
            <w:pPr>
              <w:pStyle w:val="TableBodyText"/>
              <w:jc w:val="left"/>
            </w:pPr>
            <w:r w:rsidRPr="000D3D2A">
              <w:t>Williams and Cummings (1996)</w:t>
            </w:r>
          </w:p>
        </w:tc>
        <w:tc>
          <w:tcPr>
            <w:tcW w:w="807" w:type="pct"/>
            <w:tcBorders>
              <w:bottom w:val="single" w:sz="4" w:space="0" w:color="auto"/>
            </w:tcBorders>
          </w:tcPr>
          <w:p w:rsidR="000D3D2A" w:rsidRPr="000D3D2A" w:rsidRDefault="000D3D2A" w:rsidP="000D3D2A">
            <w:pPr>
              <w:pStyle w:val="TableBodyText"/>
              <w:jc w:val="left"/>
            </w:pPr>
            <w:r w:rsidRPr="000D3D2A">
              <w:t>low</w:t>
            </w:r>
          </w:p>
        </w:tc>
      </w:tr>
    </w:tbl>
    <w:p w:rsidR="000D3D2A" w:rsidRPr="00416768" w:rsidRDefault="000D3D2A" w:rsidP="000D3D2A">
      <w:pPr>
        <w:pStyle w:val="BodyText"/>
      </w:pPr>
    </w:p>
    <w:p w:rsidR="00AB3618" w:rsidRDefault="004A1A58" w:rsidP="000D3D2A">
      <w:pPr>
        <w:pStyle w:val="Heading2"/>
      </w:pPr>
      <w:r>
        <w:lastRenderedPageBreak/>
        <w:t>5</w:t>
      </w:r>
      <w:r w:rsidR="000D3D2A">
        <w:tab/>
        <w:t>User guide</w:t>
      </w:r>
    </w:p>
    <w:p w:rsidR="004033A4" w:rsidRDefault="004033A4" w:rsidP="004033A4">
      <w:pPr>
        <w:pStyle w:val="BodyText"/>
      </w:pPr>
      <w:r>
        <w:t xml:space="preserve">This section provides a brief user guide for the ELMO model. </w:t>
      </w:r>
    </w:p>
    <w:p w:rsidR="004033A4" w:rsidRPr="00344B97" w:rsidRDefault="004033A4" w:rsidP="004033A4">
      <w:pPr>
        <w:pStyle w:val="Heading3"/>
      </w:pPr>
      <w:r>
        <w:t>Downloading and running ELMO</w:t>
      </w:r>
    </w:p>
    <w:p w:rsidR="004033A4" w:rsidRPr="00256CBF" w:rsidRDefault="004033A4" w:rsidP="004033A4">
      <w:pPr>
        <w:pStyle w:val="BodyText"/>
      </w:pPr>
      <w:r w:rsidRPr="00256CBF">
        <w:t xml:space="preserve">The computer files required to run </w:t>
      </w:r>
      <w:r>
        <w:t>the ELMO model</w:t>
      </w:r>
      <w:r w:rsidRPr="00256CBF">
        <w:t xml:space="preserve"> are available at</w:t>
      </w:r>
      <w:r>
        <w:t xml:space="preserve">: </w:t>
      </w:r>
      <w:r w:rsidR="00D10D73" w:rsidRPr="00D10D73">
        <w:t>http://www.pc.gov.au/projects/study/coag-reporting/</w:t>
      </w:r>
      <w:r w:rsidR="00D10D73">
        <w:t>elmo</w:t>
      </w:r>
      <w:r>
        <w:t xml:space="preserve">. </w:t>
      </w:r>
      <w:r w:rsidRPr="00256CBF">
        <w:t>There are several files required to run ELMO:</w:t>
      </w:r>
    </w:p>
    <w:p w:rsidR="004033A4" w:rsidRPr="00256CBF" w:rsidRDefault="004033A4" w:rsidP="004033A4">
      <w:pPr>
        <w:pStyle w:val="ListBullet"/>
      </w:pPr>
      <w:r>
        <w:t>the ELMO GAMS file</w:t>
      </w:r>
    </w:p>
    <w:p w:rsidR="004033A4" w:rsidRPr="00256CBF" w:rsidRDefault="004033A4" w:rsidP="004033A4">
      <w:pPr>
        <w:pStyle w:val="ListBullet"/>
      </w:pPr>
      <w:r>
        <w:t>a</w:t>
      </w:r>
      <w:r w:rsidRPr="00256CBF">
        <w:t xml:space="preserve">n Excel input file to assign </w:t>
      </w:r>
      <w:r w:rsidR="00BE79D2">
        <w:t>the unique mix of blue and white</w:t>
      </w:r>
      <w:r w:rsidR="00F6621A">
        <w:t xml:space="preserve"> </w:t>
      </w:r>
      <w:r w:rsidR="00BE79D2">
        <w:t xml:space="preserve">collar ability scores </w:t>
      </w:r>
      <w:r>
        <w:t>to each representative agent</w:t>
      </w:r>
    </w:p>
    <w:p w:rsidR="004033A4" w:rsidRPr="00256CBF" w:rsidRDefault="004033A4" w:rsidP="004033A4">
      <w:pPr>
        <w:pStyle w:val="ListBullet"/>
      </w:pPr>
      <w:r>
        <w:t>t</w:t>
      </w:r>
      <w:r w:rsidRPr="00256CBF">
        <w:t xml:space="preserve">wo Excel output files –– one for </w:t>
      </w:r>
      <w:r w:rsidR="00195699">
        <w:t>the base model</w:t>
      </w:r>
      <w:r w:rsidRPr="00256CBF">
        <w:t xml:space="preserve"> an</w:t>
      </w:r>
      <w:r>
        <w:t>d one for sensitivity analysis</w:t>
      </w:r>
      <w:r w:rsidR="00BE79D2">
        <w:t xml:space="preserve">. </w:t>
      </w:r>
      <w:r w:rsidR="00E823F5">
        <w:t>Neither of these files are required for the model to successfully solve</w:t>
      </w:r>
      <w:r w:rsidR="00195699">
        <w:t>, but they display the model results in an easily accessible form</w:t>
      </w:r>
      <w:r w:rsidR="00E823F5">
        <w:t>.</w:t>
      </w:r>
    </w:p>
    <w:p w:rsidR="004033A4" w:rsidRPr="00256CBF" w:rsidRDefault="004033A4" w:rsidP="004033A4">
      <w:pPr>
        <w:pStyle w:val="BodyText"/>
        <w:rPr>
          <w:rFonts w:cstheme="minorBidi"/>
          <w:szCs w:val="22"/>
        </w:rPr>
      </w:pPr>
      <w:r>
        <w:t>Users must copy th</w:t>
      </w:r>
      <w:r w:rsidRPr="00256CBF">
        <w:t xml:space="preserve">e input and output files </w:t>
      </w:r>
      <w:r>
        <w:t>to the</w:t>
      </w:r>
      <w:r w:rsidRPr="00256CBF">
        <w:t xml:space="preserve"> GAMS project directory. In addition to these files, users require </w:t>
      </w:r>
      <w:r>
        <w:t xml:space="preserve">the following </w:t>
      </w:r>
      <w:r w:rsidRPr="00256CBF">
        <w:t>licensed software</w:t>
      </w:r>
      <w:r w:rsidRPr="00256CBF">
        <w:rPr>
          <w:rFonts w:cstheme="minorBidi"/>
          <w:szCs w:val="22"/>
        </w:rPr>
        <w:t>:</w:t>
      </w:r>
    </w:p>
    <w:p w:rsidR="004033A4" w:rsidRPr="00256CBF" w:rsidRDefault="004033A4" w:rsidP="004033A4">
      <w:pPr>
        <w:pStyle w:val="ListBullet"/>
      </w:pPr>
      <w:r w:rsidRPr="00256CBF">
        <w:t>Microsoft Excel</w:t>
      </w:r>
    </w:p>
    <w:p w:rsidR="004033A4" w:rsidRPr="00256CBF" w:rsidRDefault="004033A4" w:rsidP="004033A4">
      <w:pPr>
        <w:pStyle w:val="ListBullet"/>
      </w:pPr>
      <w:r w:rsidRPr="00256CBF">
        <w:t>GAMS, including the GUROBI solver (available at www.gams.com).</w:t>
      </w:r>
    </w:p>
    <w:p w:rsidR="000D3D2A" w:rsidRPr="00344B97" w:rsidRDefault="000D3D2A" w:rsidP="000D3D2A">
      <w:pPr>
        <w:pStyle w:val="Heading3"/>
      </w:pPr>
      <w:r>
        <w:t>Running basic policy shocks</w:t>
      </w:r>
    </w:p>
    <w:p w:rsidR="004033A4" w:rsidRPr="00DD6B77" w:rsidRDefault="004033A4" w:rsidP="004033A4">
      <w:pPr>
        <w:pStyle w:val="BodyText"/>
      </w:pPr>
      <w:r>
        <w:t>The ELMO model</w:t>
      </w:r>
      <w:r w:rsidRPr="00256CBF">
        <w:t xml:space="preserve"> </w:t>
      </w:r>
      <w:r>
        <w:t>can be used to model the effects of education policies such as, subsidies that reduce the private costs of education and changes that increase the benefits of education. The ELMO model</w:t>
      </w:r>
      <w:r w:rsidRPr="00256CBF">
        <w:t xml:space="preserve"> </w:t>
      </w:r>
      <w:r w:rsidRPr="00DD6B77">
        <w:t>is shocked using the following steps:</w:t>
      </w:r>
    </w:p>
    <w:p w:rsidR="004033A4" w:rsidRDefault="004033A4" w:rsidP="004033A4">
      <w:pPr>
        <w:pStyle w:val="ListNumber"/>
      </w:pPr>
      <w:r w:rsidRPr="00DD6B77">
        <w:t>Change the appropriate parameter</w:t>
      </w:r>
      <w:r>
        <w:t>s in the policy scenario</w:t>
      </w:r>
      <w:r w:rsidRPr="00DD6B77">
        <w:t xml:space="preserve"> to implement the </w:t>
      </w:r>
      <w:r>
        <w:t xml:space="preserve">policy </w:t>
      </w:r>
      <w:r w:rsidRPr="00DD6B77">
        <w:t xml:space="preserve">shock, taking care not to change the </w:t>
      </w:r>
      <w:r>
        <w:t>parameters</w:t>
      </w:r>
      <w:r w:rsidRPr="00DD6B77">
        <w:t xml:space="preserve"> in the base scenario — if the returns to education are changed in the base scenario, </w:t>
      </w:r>
      <w:r>
        <w:t>the ELMO model</w:t>
      </w:r>
      <w:r w:rsidRPr="00256CBF">
        <w:t xml:space="preserve"> </w:t>
      </w:r>
      <w:r>
        <w:t>must  be recalibrated.</w:t>
      </w:r>
    </w:p>
    <w:p w:rsidR="004033A4" w:rsidRPr="00DD6B77" w:rsidRDefault="004033A4" w:rsidP="004033A4">
      <w:pPr>
        <w:pStyle w:val="ListNumber"/>
      </w:pPr>
      <w:r>
        <w:t xml:space="preserve">Optional: specify any new reporting parameters that are not in the defaults, and ensure that they are followed by a display command.  </w:t>
      </w:r>
    </w:p>
    <w:p w:rsidR="004033A4" w:rsidRPr="00DD6B77" w:rsidRDefault="004033A4" w:rsidP="004033A4">
      <w:pPr>
        <w:pStyle w:val="ListNumber"/>
      </w:pPr>
      <w:r w:rsidRPr="00DD6B77">
        <w:t xml:space="preserve">Run </w:t>
      </w:r>
      <w:r>
        <w:t>the ELMO model</w:t>
      </w:r>
      <w:r w:rsidRPr="00DD6B77">
        <w:t>.</w:t>
      </w:r>
    </w:p>
    <w:p w:rsidR="00016FA9" w:rsidRDefault="004033A4" w:rsidP="00911698">
      <w:pPr>
        <w:pStyle w:val="ListNumber"/>
        <w:keepNext/>
      </w:pPr>
      <w:r>
        <w:lastRenderedPageBreak/>
        <w:t>Refer to the list (</w:t>
      </w:r>
      <w:r w:rsidRPr="00DD6B77">
        <w:t>.lst</w:t>
      </w:r>
      <w:r>
        <w:t>)</w:t>
      </w:r>
      <w:r w:rsidRPr="00DD6B77">
        <w:t xml:space="preserve"> </w:t>
      </w:r>
      <w:r>
        <w:t xml:space="preserve">or </w:t>
      </w:r>
      <w:r w:rsidRPr="00DD6B77">
        <w:t>ELMO output (ELMOoutput.xls)</w:t>
      </w:r>
      <w:r>
        <w:t xml:space="preserve"> files </w:t>
      </w:r>
      <w:r w:rsidRPr="00DD6B77">
        <w:t xml:space="preserve">for results. </w:t>
      </w:r>
      <w:r w:rsidR="00D10D73">
        <w:t xml:space="preserve">The </w:t>
      </w:r>
      <w:r w:rsidR="00016FA9">
        <w:t xml:space="preserve">ELMO </w:t>
      </w:r>
      <w:r w:rsidR="00D10D73">
        <w:t xml:space="preserve">model </w:t>
      </w:r>
      <w:r w:rsidR="00016FA9">
        <w:t>cannot write to the output file if the output file is open. Thus t</w:t>
      </w:r>
      <w:r w:rsidRPr="00DD6B77">
        <w:t>he</w:t>
      </w:r>
      <w:r>
        <w:t xml:space="preserve"> ELMO</w:t>
      </w:r>
      <w:r w:rsidRPr="00DD6B77">
        <w:t xml:space="preserve"> output file </w:t>
      </w:r>
      <w:r w:rsidR="00016FA9">
        <w:t>should</w:t>
      </w:r>
      <w:r w:rsidR="00016FA9" w:rsidRPr="00DD6B77">
        <w:t xml:space="preserve"> </w:t>
      </w:r>
      <w:r w:rsidRPr="00DD6B77">
        <w:t xml:space="preserve">not </w:t>
      </w:r>
      <w:r>
        <w:t xml:space="preserve">be open while ELMO is running. </w:t>
      </w:r>
      <w:r w:rsidR="00016FA9">
        <w:t>T</w:t>
      </w:r>
      <w:r>
        <w:t xml:space="preserve">he default parameters </w:t>
      </w:r>
      <w:r w:rsidR="00016FA9">
        <w:t>that are</w:t>
      </w:r>
      <w:r>
        <w:t xml:space="preserve"> sent to the ELMO output file</w:t>
      </w:r>
      <w:r w:rsidR="00911698">
        <w:t xml:space="preserve"> are:</w:t>
      </w:r>
    </w:p>
    <w:p w:rsidR="004033A4" w:rsidRDefault="00016FA9" w:rsidP="00911698">
      <w:pPr>
        <w:pStyle w:val="ListNumber2"/>
        <w:keepNext/>
      </w:pPr>
      <w:r>
        <w:t xml:space="preserve">the </w:t>
      </w:r>
      <w:r w:rsidRPr="00016FA9">
        <w:t xml:space="preserve">total number of people choosing </w:t>
      </w:r>
      <w:r>
        <w:t xml:space="preserve">each </w:t>
      </w:r>
      <w:r w:rsidR="009348EE">
        <w:t>education-work</w:t>
      </w:r>
      <w:r>
        <w:t xml:space="preserve"> type</w:t>
      </w:r>
      <w:r w:rsidRPr="00016FA9">
        <w:t xml:space="preserve"> in </w:t>
      </w:r>
      <w:r>
        <w:t xml:space="preserve">each scenario, disaggregated by </w:t>
      </w:r>
      <w:r w:rsidRPr="00016FA9">
        <w:t>region</w:t>
      </w:r>
      <w:r w:rsidR="004033A4">
        <w:t xml:space="preserve"> </w:t>
      </w:r>
    </w:p>
    <w:p w:rsidR="00016FA9" w:rsidRDefault="00016FA9" w:rsidP="003F1B49">
      <w:pPr>
        <w:pStyle w:val="ListNumber2"/>
      </w:pPr>
      <w:r>
        <w:t xml:space="preserve">the </w:t>
      </w:r>
      <w:r w:rsidRPr="00016FA9">
        <w:t>change</w:t>
      </w:r>
      <w:r>
        <w:t xml:space="preserve"> in total expected value of non-</w:t>
      </w:r>
      <w:r w:rsidRPr="00016FA9">
        <w:t>market activity forgone</w:t>
      </w:r>
      <w:r>
        <w:t xml:space="preserve"> in each region</w:t>
      </w:r>
    </w:p>
    <w:p w:rsidR="00016FA9" w:rsidRDefault="00016FA9" w:rsidP="003F1B49">
      <w:pPr>
        <w:pStyle w:val="ListNumber2"/>
      </w:pPr>
      <w:r>
        <w:t xml:space="preserve">the </w:t>
      </w:r>
      <w:r w:rsidRPr="00016FA9">
        <w:t xml:space="preserve">change in total money cost associated with study </w:t>
      </w:r>
      <w:r>
        <w:t>in each region</w:t>
      </w:r>
    </w:p>
    <w:p w:rsidR="00016FA9" w:rsidRDefault="00016FA9" w:rsidP="003F1B49">
      <w:pPr>
        <w:pStyle w:val="ListNumber2"/>
      </w:pPr>
      <w:r>
        <w:t xml:space="preserve">the </w:t>
      </w:r>
      <w:r w:rsidRPr="00016FA9">
        <w:t>change in total expected external benefit</w:t>
      </w:r>
      <w:r>
        <w:t xml:space="preserve"> in each region</w:t>
      </w:r>
    </w:p>
    <w:p w:rsidR="00016FA9" w:rsidRDefault="00016FA9" w:rsidP="003F1B49">
      <w:pPr>
        <w:pStyle w:val="ListNumber2"/>
      </w:pPr>
      <w:r>
        <w:t xml:space="preserve">the </w:t>
      </w:r>
      <w:r w:rsidRPr="00016FA9">
        <w:t>change in residual net benefit (public and private)</w:t>
      </w:r>
      <w:r>
        <w:t xml:space="preserve"> in each region</w:t>
      </w:r>
    </w:p>
    <w:p w:rsidR="00016FA9" w:rsidRDefault="00016FA9" w:rsidP="003F1B49">
      <w:pPr>
        <w:pStyle w:val="ListNumber2"/>
      </w:pPr>
      <w:r>
        <w:t xml:space="preserve">the </w:t>
      </w:r>
      <w:r w:rsidRPr="00016FA9">
        <w:t>change in total expected public benefit less public costs</w:t>
      </w:r>
      <w:r>
        <w:t xml:space="preserve"> in each region</w:t>
      </w:r>
    </w:p>
    <w:p w:rsidR="00016FA9" w:rsidRDefault="00016FA9" w:rsidP="003F1B49">
      <w:pPr>
        <w:pStyle w:val="ListNumber2"/>
      </w:pPr>
      <w:r>
        <w:t xml:space="preserve">the total </w:t>
      </w:r>
      <w:r w:rsidRPr="00016FA9">
        <w:t>expected gross earnings (excludes residual)</w:t>
      </w:r>
      <w:r>
        <w:t xml:space="preserve"> disaggregated by </w:t>
      </w:r>
      <w:r w:rsidR="009348EE">
        <w:t>education-work</w:t>
      </w:r>
      <w:r>
        <w:t xml:space="preserve"> type, scenario and region.</w:t>
      </w:r>
    </w:p>
    <w:p w:rsidR="000D3D2A" w:rsidRPr="00344B97" w:rsidRDefault="000D3D2A" w:rsidP="000D3D2A">
      <w:pPr>
        <w:pStyle w:val="Heading3"/>
      </w:pPr>
      <w:r>
        <w:t>Running sensitivity analysis</w:t>
      </w:r>
    </w:p>
    <w:p w:rsidR="004033A4" w:rsidRPr="00DD6B77" w:rsidRDefault="004033A4" w:rsidP="004033A4">
      <w:pPr>
        <w:pStyle w:val="BodyText"/>
        <w:keepNext/>
      </w:pPr>
      <w:r w:rsidRPr="00DD6B77">
        <w:t>Sensitivity analysis is performed using the following steps:</w:t>
      </w:r>
    </w:p>
    <w:p w:rsidR="004033A4" w:rsidRPr="00DD6B77" w:rsidRDefault="00543450" w:rsidP="004033A4">
      <w:pPr>
        <w:pStyle w:val="ListNumber"/>
        <w:keepNext/>
        <w:numPr>
          <w:ilvl w:val="0"/>
          <w:numId w:val="18"/>
        </w:numPr>
      </w:pPr>
      <w:r>
        <w:t>Comment out (by inserting a ‘*’ at the start of the line)</w:t>
      </w:r>
      <w:r w:rsidRPr="00416768">
        <w:t xml:space="preserve"> </w:t>
      </w:r>
      <w:r w:rsidR="004033A4" w:rsidRPr="00DD6B77">
        <w:t xml:space="preserve">the $ontext and $offtext commands at the start and end of section 2 of the ELMO GAMS file. This turns the text from a comment </w:t>
      </w:r>
      <w:r w:rsidR="004033A4">
        <w:t>in</w:t>
      </w:r>
      <w:r w:rsidR="004033A4" w:rsidRPr="00DD6B77">
        <w:t xml:space="preserve">to an executable command. </w:t>
      </w:r>
    </w:p>
    <w:p w:rsidR="004033A4" w:rsidRPr="00DD6B77" w:rsidRDefault="004033A4" w:rsidP="004033A4">
      <w:pPr>
        <w:pStyle w:val="ListNumber"/>
      </w:pPr>
      <w:r>
        <w:t>Optional: s</w:t>
      </w:r>
      <w:r w:rsidRPr="00DD6B77">
        <w:t xml:space="preserve">et the number of iterations </w:t>
      </w:r>
      <w:r>
        <w:t>by adjusting</w:t>
      </w:r>
      <w:r w:rsidRPr="00DD6B77">
        <w:t xml:space="preserve"> the set m</w:t>
      </w:r>
      <w:r>
        <w:t xml:space="preserve"> </w:t>
      </w:r>
      <w:r w:rsidRPr="00DD6B77">
        <w:t xml:space="preserve">(default is 500 iterations). </w:t>
      </w:r>
    </w:p>
    <w:p w:rsidR="004033A4" w:rsidRDefault="004033A4" w:rsidP="004033A4">
      <w:pPr>
        <w:pStyle w:val="ListNumber"/>
      </w:pPr>
      <w:r w:rsidRPr="00DD6B77">
        <w:t>Set desired distribution of parameters.</w:t>
      </w:r>
      <w:r>
        <w:t xml:space="preserve"> For example, the default distribution for the tax parameter is a normal distribution with a mean of .38 and a standard deviation of .05. This is implemented by the command </w:t>
      </w:r>
      <w:r w:rsidRPr="00F13D25">
        <w:rPr>
          <w:i/>
        </w:rPr>
        <w:t>tax = normal(.38,.05)</w:t>
      </w:r>
      <w:r>
        <w:t>.</w:t>
      </w:r>
    </w:p>
    <w:p w:rsidR="004033A4" w:rsidRPr="00DD6B77" w:rsidRDefault="004033A4" w:rsidP="004033A4">
      <w:pPr>
        <w:pStyle w:val="ListNumber"/>
      </w:pPr>
      <w:r w:rsidRPr="00DD6B77">
        <w:t xml:space="preserve">Run </w:t>
      </w:r>
      <w:r>
        <w:t>the ELMO model</w:t>
      </w:r>
      <w:r w:rsidRPr="00256CBF">
        <w:t xml:space="preserve"> </w:t>
      </w:r>
      <w:r w:rsidRPr="00DD6B77">
        <w:t xml:space="preserve">using the desired </w:t>
      </w:r>
      <w:r>
        <w:t xml:space="preserve">policy </w:t>
      </w:r>
      <w:r w:rsidRPr="00DD6B77">
        <w:t>shock.</w:t>
      </w:r>
    </w:p>
    <w:p w:rsidR="004033A4" w:rsidRDefault="004033A4" w:rsidP="004033A4">
      <w:pPr>
        <w:pStyle w:val="ListNumber"/>
      </w:pPr>
      <w:r w:rsidRPr="00DD6B77">
        <w:t>Refer to</w:t>
      </w:r>
      <w:r>
        <w:t xml:space="preserve"> the</w:t>
      </w:r>
      <w:r w:rsidRPr="00DD6B77">
        <w:t xml:space="preserve"> </w:t>
      </w:r>
      <w:r>
        <w:t>list (</w:t>
      </w:r>
      <w:r w:rsidRPr="00DD6B77">
        <w:t>.lst</w:t>
      </w:r>
      <w:r>
        <w:t>)</w:t>
      </w:r>
      <w:r w:rsidRPr="00DD6B77">
        <w:t xml:space="preserve"> </w:t>
      </w:r>
      <w:r>
        <w:t xml:space="preserve">or </w:t>
      </w:r>
      <w:r w:rsidRPr="00DD6B77">
        <w:t xml:space="preserve">sensitivity analysis output (sensitivityanalysisoutput.xls) </w:t>
      </w:r>
      <w:r>
        <w:t xml:space="preserve">files </w:t>
      </w:r>
      <w:r w:rsidRPr="00DD6B77">
        <w:t xml:space="preserve">for results. The </w:t>
      </w:r>
      <w:r>
        <w:t xml:space="preserve">sensitivity analysis </w:t>
      </w:r>
      <w:r w:rsidRPr="00DD6B77">
        <w:t>output file must not be open when running sensitivity analysis.</w:t>
      </w:r>
      <w:r>
        <w:t xml:space="preserve"> Note that the s</w:t>
      </w:r>
      <w:r w:rsidRPr="00DD6B77">
        <w:t xml:space="preserve">ensitivity analysis output file is </w:t>
      </w:r>
      <w:r>
        <w:t>developed</w:t>
      </w:r>
      <w:r w:rsidRPr="00DD6B77">
        <w:t xml:space="preserve"> for 500 iterations and will need to be altered </w:t>
      </w:r>
      <w:r>
        <w:t xml:space="preserve">to report </w:t>
      </w:r>
      <w:r w:rsidRPr="00DD6B77">
        <w:t>fewer</w:t>
      </w:r>
      <w:r>
        <w:t xml:space="preserve"> or more</w:t>
      </w:r>
      <w:r w:rsidRPr="00DD6B77">
        <w:t xml:space="preserve"> </w:t>
      </w:r>
      <w:r>
        <w:t>iterations</w:t>
      </w:r>
      <w:r w:rsidRPr="00DD6B77">
        <w:t xml:space="preserve">. </w:t>
      </w:r>
    </w:p>
    <w:p w:rsidR="009503CD" w:rsidRPr="00DD6B77" w:rsidRDefault="009503CD" w:rsidP="004033A4">
      <w:pPr>
        <w:pStyle w:val="ListNumber"/>
      </w:pPr>
      <w:r>
        <w:t xml:space="preserve">Turn the sensitivity analysis off </w:t>
      </w:r>
      <w:r w:rsidR="00543450">
        <w:t xml:space="preserve">(by removing the ‘*’ that precede the </w:t>
      </w:r>
      <w:r w:rsidR="00543450" w:rsidRPr="00DD6B77">
        <w:t>$ontext</w:t>
      </w:r>
      <w:r w:rsidR="00543450">
        <w:t xml:space="preserve"> </w:t>
      </w:r>
      <w:r w:rsidR="00543450" w:rsidRPr="00DD6B77">
        <w:t>and $offtext commands at the start and end of secti</w:t>
      </w:r>
      <w:r w:rsidR="00543450">
        <w:t>on 2).</w:t>
      </w:r>
    </w:p>
    <w:p w:rsidR="000D3D2A" w:rsidRPr="00344B97" w:rsidRDefault="000D3D2A" w:rsidP="000D3D2A">
      <w:pPr>
        <w:pStyle w:val="Heading3"/>
      </w:pPr>
      <w:r>
        <w:lastRenderedPageBreak/>
        <w:t>Running calibration</w:t>
      </w:r>
    </w:p>
    <w:p w:rsidR="00996E6A" w:rsidRDefault="009503CD" w:rsidP="004033A4">
      <w:pPr>
        <w:pStyle w:val="BodyText"/>
      </w:pPr>
      <w:r>
        <w:t xml:space="preserve">The ELMO </w:t>
      </w:r>
      <w:r w:rsidR="00BD3322">
        <w:t>calibration modu</w:t>
      </w:r>
      <w:r>
        <w:t>l</w:t>
      </w:r>
      <w:r w:rsidR="00BD3322">
        <w:t>e</w:t>
      </w:r>
      <w:r>
        <w:t xml:space="preserve"> </w:t>
      </w:r>
      <w:r w:rsidRPr="00862912">
        <w:t>estimate</w:t>
      </w:r>
      <w:r w:rsidR="00BD3322">
        <w:t>s</w:t>
      </w:r>
      <w:r w:rsidRPr="00862912">
        <w:t xml:space="preserve"> the residuals</w:t>
      </w:r>
      <w:r w:rsidR="00BD3322">
        <w:t xml:space="preserve"> required for the ELMO model to reproduce </w:t>
      </w:r>
      <w:r w:rsidR="00D20B9F">
        <w:t xml:space="preserve">as closely as possible </w:t>
      </w:r>
      <w:r w:rsidR="00BD3322">
        <w:t xml:space="preserve">the shares for </w:t>
      </w:r>
      <w:r w:rsidR="009348EE">
        <w:t>education-work</w:t>
      </w:r>
      <w:r w:rsidR="00BD3322">
        <w:t xml:space="preserve"> categories inputted by the user</w:t>
      </w:r>
      <w:r w:rsidR="006C79DC">
        <w:t xml:space="preserve">. </w:t>
      </w:r>
      <w:r w:rsidR="00996E6A">
        <w:t>Th</w:t>
      </w:r>
      <w:r w:rsidR="00D20B9F">
        <w:t>e</w:t>
      </w:r>
      <w:r w:rsidR="00996E6A">
        <w:t xml:space="preserve"> ‘calibration problem’ is not continuous when the changes in residuals are small, thus it is not necessarily possible to find a set of residuals that results in the ELMO model exactly reproducing the shares</w:t>
      </w:r>
      <w:r w:rsidR="006159E8">
        <w:t xml:space="preserve"> inputted by the user</w:t>
      </w:r>
      <w:r w:rsidR="00996E6A">
        <w:t xml:space="preserve">. </w:t>
      </w:r>
    </w:p>
    <w:p w:rsidR="00996E6A" w:rsidRDefault="006C79DC" w:rsidP="004033A4">
      <w:pPr>
        <w:pStyle w:val="BodyText"/>
      </w:pPr>
      <w:r>
        <w:t xml:space="preserve">The calibration </w:t>
      </w:r>
      <w:r w:rsidR="00996E6A">
        <w:t>process</w:t>
      </w:r>
      <w:r>
        <w:t xml:space="preserve"> </w:t>
      </w:r>
      <w:r w:rsidR="00BD3322">
        <w:t xml:space="preserve">has two parts. First, </w:t>
      </w:r>
      <w:r w:rsidR="0009586F">
        <w:t xml:space="preserve">the </w:t>
      </w:r>
      <w:r w:rsidR="00067C1C">
        <w:t xml:space="preserve">calibration </w:t>
      </w:r>
      <w:r w:rsidR="0009586F">
        <w:t xml:space="preserve">model </w:t>
      </w:r>
      <w:r w:rsidR="00BD3322">
        <w:t>it</w:t>
      </w:r>
      <w:r w:rsidR="0009586F">
        <w:t>erates</w:t>
      </w:r>
      <w:r w:rsidR="00BD3322">
        <w:t xml:space="preserve"> through </w:t>
      </w:r>
      <w:r w:rsidR="00067C1C">
        <w:t xml:space="preserve">a </w:t>
      </w:r>
      <w:r w:rsidR="00BD3322">
        <w:t xml:space="preserve">different </w:t>
      </w:r>
      <w:r w:rsidR="00067C1C">
        <w:t xml:space="preserve">set of </w:t>
      </w:r>
      <w:r w:rsidR="00BD3322">
        <w:t>residuals</w:t>
      </w:r>
      <w:r w:rsidR="00996E6A">
        <w:t xml:space="preserve"> 400 times. </w:t>
      </w:r>
      <w:r w:rsidR="00067C1C">
        <w:t xml:space="preserve">If the percentage of individuals in a certain </w:t>
      </w:r>
      <w:r w:rsidR="009348EE">
        <w:t>education-work</w:t>
      </w:r>
      <w:r w:rsidR="00067C1C">
        <w:t xml:space="preserve"> category is too small </w:t>
      </w:r>
      <w:r w:rsidR="006159E8">
        <w:t xml:space="preserve">(too large) </w:t>
      </w:r>
      <w:r w:rsidR="00067C1C">
        <w:t>for a given iteration, then in the next iteration the residual for that category will be increased</w:t>
      </w:r>
      <w:r w:rsidR="006159E8">
        <w:t xml:space="preserve"> (decreased)</w:t>
      </w:r>
      <w:r w:rsidR="00067C1C">
        <w:t xml:space="preserve">. Furthermore, </w:t>
      </w:r>
      <w:r w:rsidR="00996E6A">
        <w:t>the model uses</w:t>
      </w:r>
      <w:r w:rsidR="0009586F">
        <w:t xml:space="preserve"> </w:t>
      </w:r>
      <w:r w:rsidR="00067C1C">
        <w:t>the results of</w:t>
      </w:r>
      <w:r w:rsidR="00996E6A">
        <w:t xml:space="preserve"> previous iterations to improve the accuracy of its adjustment</w:t>
      </w:r>
      <w:r w:rsidR="00067C1C">
        <w:t>s to the residuals</w:t>
      </w:r>
      <w:r w:rsidR="00996E6A">
        <w:t xml:space="preserve">. </w:t>
      </w:r>
    </w:p>
    <w:p w:rsidR="001C44DB" w:rsidRDefault="001C44DB" w:rsidP="004033A4">
      <w:pPr>
        <w:pStyle w:val="BodyText"/>
      </w:pPr>
      <w:r>
        <w:t xml:space="preserve">Second, </w:t>
      </w:r>
      <w:r w:rsidR="00067C1C">
        <w:t>the calibration process is repeated four time</w:t>
      </w:r>
      <w:r w:rsidR="00156F6A">
        <w:t>s</w:t>
      </w:r>
      <w:r w:rsidR="00C336CE">
        <w:t xml:space="preserve">. The </w:t>
      </w:r>
      <w:r w:rsidR="00156F6A">
        <w:t xml:space="preserve">set of </w:t>
      </w:r>
      <w:r>
        <w:t xml:space="preserve">parameters </w:t>
      </w:r>
      <w:r w:rsidR="00156F6A">
        <w:t xml:space="preserve">that influence </w:t>
      </w:r>
      <w:r>
        <w:t>the aforementioned adjustment</w:t>
      </w:r>
      <w:r w:rsidR="00156F6A">
        <w:t xml:space="preserve"> process </w:t>
      </w:r>
      <w:r w:rsidR="00C336CE">
        <w:t xml:space="preserve">are </w:t>
      </w:r>
      <w:r w:rsidR="00156F6A">
        <w:t>varied</w:t>
      </w:r>
      <w:r w:rsidR="00C336CE">
        <w:t xml:space="preserve"> for each repetition</w:t>
      </w:r>
      <w:r w:rsidR="00156F6A">
        <w:t>.</w:t>
      </w:r>
      <w:r>
        <w:t xml:space="preserve"> </w:t>
      </w:r>
      <w:r w:rsidR="00C336CE">
        <w:t xml:space="preserve">Four </w:t>
      </w:r>
      <w:r>
        <w:t xml:space="preserve">sets </w:t>
      </w:r>
      <w:r w:rsidR="00C336CE">
        <w:t>of residuals are produced by this process. T</w:t>
      </w:r>
      <w:r>
        <w:t xml:space="preserve">he </w:t>
      </w:r>
      <w:r w:rsidR="00C336CE">
        <w:t xml:space="preserve">model chooses the </w:t>
      </w:r>
      <w:r>
        <w:t xml:space="preserve">set of residuals that produces the smallest difference between the ELMO model results and the inputted data. </w:t>
      </w:r>
    </w:p>
    <w:p w:rsidR="004033A4" w:rsidRPr="00416768" w:rsidRDefault="004033A4" w:rsidP="004033A4">
      <w:pPr>
        <w:pStyle w:val="BodyText"/>
      </w:pPr>
      <w:r>
        <w:t>The ELMO model</w:t>
      </w:r>
      <w:r w:rsidRPr="00256CBF">
        <w:t xml:space="preserve"> </w:t>
      </w:r>
      <w:r w:rsidRPr="00416768">
        <w:t>is calibrated using the following steps:</w:t>
      </w:r>
    </w:p>
    <w:p w:rsidR="004033A4" w:rsidRPr="00416768" w:rsidRDefault="00C336CE" w:rsidP="003F1B49">
      <w:pPr>
        <w:pStyle w:val="ListNumber"/>
        <w:numPr>
          <w:ilvl w:val="0"/>
          <w:numId w:val="25"/>
        </w:numPr>
      </w:pPr>
      <w:r>
        <w:t>Comment out (by inserting a ‘*’ at the start of the line)</w:t>
      </w:r>
      <w:r w:rsidRPr="00416768">
        <w:t xml:space="preserve"> </w:t>
      </w:r>
      <w:r w:rsidR="004033A4" w:rsidRPr="00416768">
        <w:t>the $ontext and $offtext commands at the start and end of section 3 of the ELMO GAMS file.</w:t>
      </w:r>
    </w:p>
    <w:p w:rsidR="003833BC" w:rsidRDefault="003833BC" w:rsidP="003833BC">
      <w:pPr>
        <w:pStyle w:val="ListNumber"/>
      </w:pPr>
      <w:r>
        <w:t xml:space="preserve">Insert data on shares of individuals in each </w:t>
      </w:r>
      <w:r w:rsidR="009348EE">
        <w:t>education-work</w:t>
      </w:r>
      <w:r>
        <w:t xml:space="preserve"> category into the table labelled ‘</w:t>
      </w:r>
      <w:r w:rsidRPr="003833BC">
        <w:t>target shares</w:t>
      </w:r>
      <w:r>
        <w:t xml:space="preserve">’. (The calibration model will be impeded if the shares in each </w:t>
      </w:r>
      <w:r w:rsidR="009348EE">
        <w:t>education-work</w:t>
      </w:r>
      <w:r>
        <w:t xml:space="preserve"> category do not exactly sum to 1 for each region. Therefore, it is preferable for shares to be inputted to four or more decimal places.) </w:t>
      </w:r>
    </w:p>
    <w:p w:rsidR="004033A4" w:rsidRPr="00416768" w:rsidRDefault="004033A4" w:rsidP="003833BC">
      <w:pPr>
        <w:pStyle w:val="ListNumber"/>
      </w:pPr>
      <w:r w:rsidRPr="00416768">
        <w:t xml:space="preserve">Run </w:t>
      </w:r>
      <w:r>
        <w:t>the ELMO model</w:t>
      </w:r>
      <w:r w:rsidRPr="00416768">
        <w:t>.</w:t>
      </w:r>
      <w:r w:rsidR="002576CA">
        <w:t xml:space="preserve"> The model should take approximately </w:t>
      </w:r>
      <w:r w:rsidR="00134294">
        <w:t>15</w:t>
      </w:r>
      <w:r w:rsidR="002576CA">
        <w:t xml:space="preserve"> minutes to run</w:t>
      </w:r>
      <w:r w:rsidR="003D01AC">
        <w:t>.</w:t>
      </w:r>
    </w:p>
    <w:p w:rsidR="004033A4" w:rsidRPr="00416768" w:rsidRDefault="004033A4" w:rsidP="00A7457D">
      <w:pPr>
        <w:pStyle w:val="ListNumber"/>
      </w:pPr>
      <w:r w:rsidRPr="00416768">
        <w:t xml:space="preserve">Refer to the </w:t>
      </w:r>
      <w:r w:rsidR="00A7457D">
        <w:t>calibration output</w:t>
      </w:r>
      <w:r w:rsidRPr="00416768">
        <w:t xml:space="preserve"> (</w:t>
      </w:r>
      <w:r w:rsidR="00A7457D">
        <w:t>ELMOcalibration.xls)</w:t>
      </w:r>
      <w:r w:rsidRPr="00416768">
        <w:t xml:space="preserve">, which will display the </w:t>
      </w:r>
      <w:r w:rsidR="00A7457D">
        <w:t xml:space="preserve">calibrated </w:t>
      </w:r>
      <w:r w:rsidRPr="00416768">
        <w:t xml:space="preserve">results for two key parameters: </w:t>
      </w:r>
      <w:r w:rsidRPr="009503CD">
        <w:rPr>
          <w:i/>
        </w:rPr>
        <w:t>pcenttotalchoice(ew,s,r)</w:t>
      </w:r>
      <w:r w:rsidRPr="00416768">
        <w:t xml:space="preserve"> and </w:t>
      </w:r>
      <w:r w:rsidRPr="009503CD">
        <w:rPr>
          <w:i/>
        </w:rPr>
        <w:t>residual(ew,r)</w:t>
      </w:r>
      <w:r w:rsidRPr="00416768">
        <w:t xml:space="preserve">. </w:t>
      </w:r>
    </w:p>
    <w:p w:rsidR="004033A4" w:rsidRDefault="004033A4" w:rsidP="00242FBB">
      <w:pPr>
        <w:pStyle w:val="ListNumber"/>
      </w:pPr>
      <w:r w:rsidRPr="00416768">
        <w:t xml:space="preserve">Save the results for the parameter </w:t>
      </w:r>
      <w:r w:rsidRPr="009503CD">
        <w:rPr>
          <w:i/>
        </w:rPr>
        <w:t>residual(ew,r)</w:t>
      </w:r>
      <w:r w:rsidRPr="00416768">
        <w:t xml:space="preserve">, and update the </w:t>
      </w:r>
      <w:r w:rsidRPr="009503CD">
        <w:rPr>
          <w:i/>
        </w:rPr>
        <w:t>residual(ew,r)</w:t>
      </w:r>
      <w:r w:rsidRPr="00416768">
        <w:t xml:space="preserve"> parameter table in section 1.</w:t>
      </w:r>
      <w:r w:rsidR="00582FA8">
        <w:t>D</w:t>
      </w:r>
      <w:r w:rsidRPr="00416768">
        <w:t xml:space="preserve"> of the ELMO GAMS file.</w:t>
      </w:r>
      <w:r w:rsidR="00A7457D">
        <w:t xml:space="preserve"> </w:t>
      </w:r>
    </w:p>
    <w:p w:rsidR="00543450" w:rsidRDefault="00543450" w:rsidP="00864D56">
      <w:pPr>
        <w:pStyle w:val="ListNumber"/>
      </w:pPr>
      <w:r>
        <w:t xml:space="preserve">Turn the calibration model off (by removing the ‘*’ that precede the </w:t>
      </w:r>
      <w:r w:rsidRPr="00DD6B77">
        <w:t>$ontext</w:t>
      </w:r>
      <w:r>
        <w:t xml:space="preserve"> </w:t>
      </w:r>
      <w:r w:rsidRPr="00DD6B77">
        <w:t>and $offtext commands at the start and end of secti</w:t>
      </w:r>
      <w:r>
        <w:t>on 3).</w:t>
      </w:r>
    </w:p>
    <w:p w:rsidR="003833BC" w:rsidRPr="003833BC" w:rsidRDefault="00DB3FAB" w:rsidP="003F1B49">
      <w:pPr>
        <w:pStyle w:val="BodyText"/>
      </w:pPr>
      <w:r>
        <w:t>The calibration model may struggle to accu</w:t>
      </w:r>
      <w:r w:rsidR="006159E8">
        <w:t>rately calibrate</w:t>
      </w:r>
      <w:r w:rsidR="00B12DB5">
        <w:t xml:space="preserve"> the residuals</w:t>
      </w:r>
      <w:r>
        <w:t xml:space="preserve"> if the inputted shares differ markedly from the default</w:t>
      </w:r>
      <w:r w:rsidR="00B12DB5">
        <w:t xml:space="preserve"> shares</w:t>
      </w:r>
      <w:r>
        <w:t xml:space="preserve">. For example, it </w:t>
      </w:r>
      <w:r w:rsidR="00B12DB5">
        <w:t xml:space="preserve">will be </w:t>
      </w:r>
      <w:r>
        <w:lastRenderedPageBreak/>
        <w:t xml:space="preserve">difficult to </w:t>
      </w:r>
      <w:r w:rsidR="00B12DB5">
        <w:t>calibrate the model</w:t>
      </w:r>
      <w:r>
        <w:t xml:space="preserve"> if the proportion of individuals choosing to undertake a university degree is very low. </w:t>
      </w:r>
      <w:r w:rsidR="006159E8">
        <w:t>T</w:t>
      </w:r>
      <w:r>
        <w:t xml:space="preserve">he equations linking ability to wages for different </w:t>
      </w:r>
      <w:r w:rsidR="009348EE">
        <w:t>education-work</w:t>
      </w:r>
      <w:r>
        <w:t xml:space="preserve"> types would need to be altered</w:t>
      </w:r>
      <w:r w:rsidR="006159E8">
        <w:t xml:space="preserve"> to obtain better calibration results</w:t>
      </w:r>
      <w:r>
        <w:t xml:space="preserve">. </w:t>
      </w:r>
    </w:p>
    <w:p w:rsidR="000D3D2A" w:rsidRPr="00344B97" w:rsidRDefault="000D3D2A" w:rsidP="000D3D2A">
      <w:pPr>
        <w:pStyle w:val="Heading3"/>
      </w:pPr>
      <w:r>
        <w:t>Running the disaggregated version of the model</w:t>
      </w:r>
    </w:p>
    <w:p w:rsidR="004033A4" w:rsidRPr="004A2C80" w:rsidRDefault="00DA203B" w:rsidP="004033A4">
      <w:pPr>
        <w:pStyle w:val="BodyText"/>
      </w:pPr>
      <w:r>
        <w:t>The disaggregated</w:t>
      </w:r>
      <w:r w:rsidR="001F7511" w:rsidRPr="00AB3618">
        <w:t xml:space="preserve"> </w:t>
      </w:r>
      <w:r w:rsidR="005217A9">
        <w:t xml:space="preserve">version of the model </w:t>
      </w:r>
      <w:r w:rsidR="001F7511" w:rsidRPr="00AB3618">
        <w:t xml:space="preserve">allows the user to disaggregate </w:t>
      </w:r>
      <w:r w:rsidR="005217A9">
        <w:t>the certificate 3 or 4, blue</w:t>
      </w:r>
      <w:r w:rsidR="00F6621A">
        <w:t>-</w:t>
      </w:r>
      <w:r w:rsidR="005217A9">
        <w:t>collar worker category</w:t>
      </w:r>
      <w:r w:rsidR="001F7511" w:rsidRPr="00AB3618">
        <w:t xml:space="preserve"> into </w:t>
      </w:r>
      <w:r w:rsidR="005217A9">
        <w:t>two</w:t>
      </w:r>
      <w:r w:rsidR="001F7511" w:rsidRPr="00AB3618">
        <w:t xml:space="preserve"> </w:t>
      </w:r>
      <w:r>
        <w:t>subcategories</w:t>
      </w:r>
      <w:r w:rsidR="001F7511" w:rsidRPr="00AB3618">
        <w:t xml:space="preserve">. </w:t>
      </w:r>
      <w:r w:rsidR="004033A4">
        <w:t>Th</w:t>
      </w:r>
      <w:r>
        <w:t>is</w:t>
      </w:r>
      <w:r w:rsidR="004033A4">
        <w:t xml:space="preserve">  version of the model can be run as follows:</w:t>
      </w:r>
    </w:p>
    <w:p w:rsidR="004033A4" w:rsidRPr="004A2C80" w:rsidRDefault="00543450" w:rsidP="003F1B49">
      <w:pPr>
        <w:pStyle w:val="ListNumber"/>
        <w:numPr>
          <w:ilvl w:val="0"/>
          <w:numId w:val="24"/>
        </w:numPr>
      </w:pPr>
      <w:r>
        <w:t>Comment out (by inserting a ‘*’ at the start of the line)</w:t>
      </w:r>
      <w:r w:rsidRPr="00416768">
        <w:t xml:space="preserve"> </w:t>
      </w:r>
      <w:r w:rsidR="004033A4" w:rsidRPr="004A2C80">
        <w:t>the $ontext and $offtext commands at the start and end of section 4 of the ELMO GAMS file.</w:t>
      </w:r>
    </w:p>
    <w:p w:rsidR="004033A4" w:rsidRPr="004A2C80" w:rsidRDefault="004033A4" w:rsidP="005217A9">
      <w:pPr>
        <w:pStyle w:val="ListNumber"/>
      </w:pPr>
      <w:r>
        <w:t xml:space="preserve">Specify the parameter values </w:t>
      </w:r>
      <w:r w:rsidRPr="009503CD">
        <w:rPr>
          <w:i/>
        </w:rPr>
        <w:t>share(ndew)</w:t>
      </w:r>
      <w:r>
        <w:t xml:space="preserve"> </w:t>
      </w:r>
      <w:r w:rsidR="005217A9">
        <w:t>(the share of workers in the certificate 3 or 4, blue</w:t>
      </w:r>
      <w:r w:rsidR="00F6621A">
        <w:t>-</w:t>
      </w:r>
      <w:r w:rsidR="005217A9">
        <w:t xml:space="preserve">collar category who are in each subcategory) </w:t>
      </w:r>
      <w:r>
        <w:t xml:space="preserve">and </w:t>
      </w:r>
      <w:r w:rsidRPr="009503CD">
        <w:rPr>
          <w:i/>
        </w:rPr>
        <w:t>alpha(ndew)</w:t>
      </w:r>
      <w:r w:rsidR="005217A9">
        <w:rPr>
          <w:i/>
        </w:rPr>
        <w:t xml:space="preserve"> </w:t>
      </w:r>
      <w:r w:rsidR="005217A9">
        <w:t xml:space="preserve">(the penalty applied to individuals </w:t>
      </w:r>
      <w:r w:rsidR="00DA203B">
        <w:t>for whom the subcategory is not preferred)</w:t>
      </w:r>
      <w:r w:rsidRPr="004A2C80">
        <w:t>.</w:t>
      </w:r>
      <w:r w:rsidR="006A6FF0">
        <w:rPr>
          <w:rStyle w:val="FootnoteReference"/>
        </w:rPr>
        <w:footnoteReference w:id="7"/>
      </w:r>
      <w:r>
        <w:t xml:space="preserve"> All existing parameter values in section 4 are for illustrative purposes only. </w:t>
      </w:r>
      <w:r w:rsidRPr="004A2C80">
        <w:t xml:space="preserve"> </w:t>
      </w:r>
    </w:p>
    <w:p w:rsidR="004033A4" w:rsidRDefault="004033A4" w:rsidP="00195699">
      <w:pPr>
        <w:pStyle w:val="ListNumber"/>
      </w:pPr>
      <w:r>
        <w:t xml:space="preserve">Determine the subsidy applied to each disaggregated </w:t>
      </w:r>
      <w:r w:rsidR="009348EE">
        <w:t>education-work</w:t>
      </w:r>
      <w:r>
        <w:t xml:space="preserve"> type (these are in addition to any subsides applied in the core model) by adjusting </w:t>
      </w:r>
      <w:r w:rsidRPr="009503CD">
        <w:rPr>
          <w:i/>
        </w:rPr>
        <w:t>dissub(ndew,s)</w:t>
      </w:r>
      <w:r>
        <w:t>.</w:t>
      </w:r>
    </w:p>
    <w:p w:rsidR="004033A4" w:rsidRPr="004A2C80" w:rsidRDefault="004033A4" w:rsidP="00195699">
      <w:pPr>
        <w:pStyle w:val="ListNumber"/>
      </w:pPr>
      <w:r w:rsidRPr="004A2C80">
        <w:t xml:space="preserve">Run </w:t>
      </w:r>
      <w:r>
        <w:t>the ELMO model</w:t>
      </w:r>
      <w:r w:rsidRPr="004A2C80">
        <w:t>.</w:t>
      </w:r>
    </w:p>
    <w:p w:rsidR="004033A4" w:rsidRDefault="004033A4" w:rsidP="00195699">
      <w:pPr>
        <w:pStyle w:val="ListNumber"/>
      </w:pPr>
      <w:r w:rsidRPr="004A2C80">
        <w:t>Refer to list (.lst) file for results.</w:t>
      </w:r>
    </w:p>
    <w:p w:rsidR="00543450" w:rsidRPr="004A2C80" w:rsidRDefault="00543450" w:rsidP="00911698">
      <w:pPr>
        <w:pStyle w:val="ListNumber"/>
      </w:pPr>
      <w:r>
        <w:t xml:space="preserve">Turn the disaggregated version of the model off (by removing the ‘*’ that precede the </w:t>
      </w:r>
      <w:r w:rsidRPr="00DD6B77">
        <w:t>$ontext</w:t>
      </w:r>
      <w:r>
        <w:t xml:space="preserve"> </w:t>
      </w:r>
      <w:r w:rsidRPr="00DD6B77">
        <w:t>and $offtext commands at the start and end of secti</w:t>
      </w:r>
      <w:r>
        <w:t>on 4).</w:t>
      </w:r>
    </w:p>
    <w:p w:rsidR="00911698" w:rsidRDefault="00911698">
      <w:pPr>
        <w:spacing w:after="0" w:line="240" w:lineRule="auto"/>
      </w:pPr>
      <w:r>
        <w:br w:type="page"/>
      </w:r>
    </w:p>
    <w:p w:rsidR="000D3D2A" w:rsidRDefault="007D142E" w:rsidP="007D142E">
      <w:pPr>
        <w:pStyle w:val="Heading2"/>
      </w:pPr>
      <w:r>
        <w:lastRenderedPageBreak/>
        <w:t>References</w:t>
      </w:r>
    </w:p>
    <w:p w:rsidR="00BA7C4C" w:rsidRPr="0021215C" w:rsidRDefault="00BA7C4C" w:rsidP="00BA7C4C">
      <w:pPr>
        <w:pStyle w:val="Reference"/>
      </w:pPr>
      <w:r w:rsidRPr="0021215C">
        <w:t xml:space="preserve">ABS (Australian Bureau of Statistics) 2006, </w:t>
      </w:r>
      <w:r w:rsidRPr="0021215C">
        <w:rPr>
          <w:i/>
        </w:rPr>
        <w:t>Household Expenditure Survey and Survey of Income and Housing</w:t>
      </w:r>
      <w:r w:rsidRPr="0021215C">
        <w:rPr>
          <w:color w:val="000000"/>
          <w:sz w:val="24"/>
          <w:szCs w:val="24"/>
        </w:rPr>
        <w:t xml:space="preserve"> </w:t>
      </w:r>
      <w:r w:rsidRPr="0021215C">
        <w:rPr>
          <w:i/>
        </w:rPr>
        <w:t>– Confidentialised Unit Record Files, 2003-04</w:t>
      </w:r>
      <w:r w:rsidRPr="0021215C">
        <w:t>, Cat. no. 6540.0, Canberra, June.</w:t>
      </w:r>
    </w:p>
    <w:p w:rsidR="00BA7C4C" w:rsidRPr="0021215C" w:rsidRDefault="005508CC" w:rsidP="00BA7C4C">
      <w:pPr>
        <w:pStyle w:val="Reference"/>
      </w:pPr>
      <w:r>
        <w:t>—— </w:t>
      </w:r>
      <w:r w:rsidR="00BA7C4C" w:rsidRPr="0021215C">
        <w:t xml:space="preserve">2008, </w:t>
      </w:r>
      <w:r w:rsidR="00BA7C4C" w:rsidRPr="0021215C">
        <w:rPr>
          <w:i/>
        </w:rPr>
        <w:t>How Australians Use Their Time, 2006</w:t>
      </w:r>
      <w:r w:rsidR="00BA7C4C" w:rsidRPr="0021215C">
        <w:t>, Cat. no. 4153.0, Canberra, February.</w:t>
      </w:r>
    </w:p>
    <w:p w:rsidR="00BA7C4C" w:rsidRPr="0021215C" w:rsidRDefault="005508CC" w:rsidP="00BA7C4C">
      <w:pPr>
        <w:pStyle w:val="Reference"/>
      </w:pPr>
      <w:r>
        <w:t>—— </w:t>
      </w:r>
      <w:r w:rsidR="00BA7C4C" w:rsidRPr="0021215C">
        <w:t xml:space="preserve">2009, </w:t>
      </w:r>
      <w:r w:rsidR="00BA7C4C" w:rsidRPr="0021215C">
        <w:rPr>
          <w:i/>
        </w:rPr>
        <w:t>Retirement and Retirement Intentions, Australia, Jul 2008 to Jun 2009</w:t>
      </w:r>
      <w:r w:rsidR="00BA7C4C" w:rsidRPr="0021215C">
        <w:t xml:space="preserve">, Cat. no. 6238.0, Canberra, December. </w:t>
      </w:r>
    </w:p>
    <w:p w:rsidR="00BA7C4C" w:rsidRPr="0021215C" w:rsidRDefault="005508CC" w:rsidP="00BA7C4C">
      <w:pPr>
        <w:pStyle w:val="Reference"/>
      </w:pPr>
      <w:r>
        <w:t>—— </w:t>
      </w:r>
      <w:r w:rsidR="00BA7C4C" w:rsidRPr="0021215C">
        <w:t xml:space="preserve">2010a (and previous years), </w:t>
      </w:r>
      <w:r w:rsidR="00BA7C4C" w:rsidRPr="0021215C">
        <w:rPr>
          <w:i/>
        </w:rPr>
        <w:t>Education and Work, Australia, May 2010</w:t>
      </w:r>
      <w:r w:rsidR="00BA7C4C" w:rsidRPr="0021215C">
        <w:t xml:space="preserve">, Cat. no. 6227.0, Canberra, November. </w:t>
      </w:r>
    </w:p>
    <w:p w:rsidR="00BA7C4C" w:rsidRPr="0021215C" w:rsidRDefault="005508CC" w:rsidP="00BA7C4C">
      <w:pPr>
        <w:pStyle w:val="Reference"/>
      </w:pPr>
      <w:r>
        <w:t>—— </w:t>
      </w:r>
      <w:r w:rsidR="00BA7C4C" w:rsidRPr="0021215C">
        <w:t xml:space="preserve">2010b, </w:t>
      </w:r>
      <w:r w:rsidR="00BA7C4C" w:rsidRPr="0021215C">
        <w:rPr>
          <w:i/>
        </w:rPr>
        <w:t>Microdata:</w:t>
      </w:r>
      <w:r w:rsidR="00BA7C4C" w:rsidRPr="0021215C">
        <w:t xml:space="preserve"> </w:t>
      </w:r>
      <w:r w:rsidR="00BA7C4C" w:rsidRPr="0021215C">
        <w:rPr>
          <w:i/>
        </w:rPr>
        <w:t>Education and Training, Basic CURF, Australia, 2009</w:t>
      </w:r>
      <w:r w:rsidR="00BA7C4C" w:rsidRPr="0021215C">
        <w:t>, Cat. no. 6278.0.55.002, Canberra, July.</w:t>
      </w:r>
    </w:p>
    <w:p w:rsidR="00BA7C4C" w:rsidRPr="0021215C" w:rsidRDefault="005508CC" w:rsidP="00BA7C4C">
      <w:pPr>
        <w:pStyle w:val="Reference"/>
      </w:pPr>
      <w:r>
        <w:t>—— </w:t>
      </w:r>
      <w:r w:rsidR="00BA7C4C" w:rsidRPr="0021215C">
        <w:t xml:space="preserve">2011a, </w:t>
      </w:r>
      <w:r w:rsidR="00BA7C4C" w:rsidRPr="0021215C">
        <w:rPr>
          <w:i/>
        </w:rPr>
        <w:t>Australian Demographic Statistics</w:t>
      </w:r>
      <w:r w:rsidR="00BA7C4C" w:rsidRPr="0021215C">
        <w:t xml:space="preserve">, Cat. no. 3101.0, Canberra, September. </w:t>
      </w:r>
    </w:p>
    <w:p w:rsidR="00BA7C4C" w:rsidRPr="0021215C" w:rsidRDefault="005508CC" w:rsidP="00BA7C4C">
      <w:pPr>
        <w:pStyle w:val="Reference"/>
      </w:pPr>
      <w:r>
        <w:t>—— </w:t>
      </w:r>
      <w:r w:rsidR="00BA7C4C" w:rsidRPr="0021215C">
        <w:t xml:space="preserve">2011b, </w:t>
      </w:r>
      <w:r w:rsidR="00BA7C4C" w:rsidRPr="0021215C">
        <w:rPr>
          <w:i/>
        </w:rPr>
        <w:t>Schools Australia</w:t>
      </w:r>
      <w:r w:rsidR="00BA7C4C" w:rsidRPr="0021215C">
        <w:t>, Cat. no. 4221.0, Canberra, February.</w:t>
      </w:r>
    </w:p>
    <w:p w:rsidR="00BA7C4C" w:rsidRDefault="00BA7C4C" w:rsidP="00BA7C4C">
      <w:pPr>
        <w:pStyle w:val="Reference"/>
      </w:pPr>
      <w:r>
        <w:t xml:space="preserve">Access Economics 2010, </w:t>
      </w:r>
      <w:r>
        <w:rPr>
          <w:i/>
        </w:rPr>
        <w:t>Study of Relative Funding Levels for University Teaching and Research Activities</w:t>
      </w:r>
      <w:r>
        <w:t xml:space="preserve">, www.universitiesaustralia.edu.au/resources/364/351 (accessed 28 July 2011). </w:t>
      </w:r>
    </w:p>
    <w:p w:rsidR="00BA7C4C" w:rsidRDefault="00BA7C4C" w:rsidP="00BA7C4C">
      <w:pPr>
        <w:pStyle w:val="Reference"/>
      </w:pPr>
      <w:r>
        <w:t xml:space="preserve">Becker, G.S. 1974, </w:t>
      </w:r>
      <w:r>
        <w:rPr>
          <w:i/>
        </w:rPr>
        <w:t>Human Capital: A Theoretical and Empirical Analysis with Special Reference to Education</w:t>
      </w:r>
      <w:r>
        <w:t>, 1st edn, National Bureau of Economic Research, New York.</w:t>
      </w:r>
    </w:p>
    <w:p w:rsidR="00BA7C4C" w:rsidRPr="004E75B6" w:rsidRDefault="00BA7C4C" w:rsidP="00BA7C4C">
      <w:pPr>
        <w:pStyle w:val="Reference"/>
      </w:pPr>
      <w:r>
        <w:t xml:space="preserve">Boardman, A., Greenberg, D., Vining, A. and Weimer, D. 2001, </w:t>
      </w:r>
      <w:r>
        <w:rPr>
          <w:i/>
        </w:rPr>
        <w:t>Cost Benefit Analysis: Concepts and Practice: Second Edition</w:t>
      </w:r>
      <w:r>
        <w:t>, Prentice Hall, Upper Saddle River, New Jersey.</w:t>
      </w:r>
    </w:p>
    <w:p w:rsidR="00BA7C4C" w:rsidRDefault="00BA7C4C" w:rsidP="00BA7C4C">
      <w:pPr>
        <w:pStyle w:val="Reference"/>
        <w:rPr>
          <w:color w:val="000000"/>
        </w:rPr>
      </w:pPr>
      <w:r>
        <w:rPr>
          <w:color w:val="000000"/>
        </w:rPr>
        <w:t xml:space="preserve">Chapman, B., Rodrigues, M. and Ryan, C. 2007, </w:t>
      </w:r>
      <w:r>
        <w:rPr>
          <w:i/>
          <w:color w:val="000000"/>
        </w:rPr>
        <w:t>HECS for TAFE: The Case for Extending Income Contingent Loans to the Vocational Education and Training Sector</w:t>
      </w:r>
      <w:r>
        <w:rPr>
          <w:color w:val="000000"/>
        </w:rPr>
        <w:t>, Treasury Working Paper, 2007–2, Canberra, April.</w:t>
      </w:r>
    </w:p>
    <w:p w:rsidR="00BA7C4C" w:rsidRPr="0021215C" w:rsidRDefault="00BA7C4C" w:rsidP="00BA7C4C">
      <w:pPr>
        <w:pStyle w:val="Reference"/>
      </w:pPr>
      <w:r w:rsidRPr="0021215C">
        <w:t xml:space="preserve">DEEWR (Department of Education, Employment and Workplace Relations) 2011, </w:t>
      </w:r>
      <w:r w:rsidRPr="0021215C">
        <w:rPr>
          <w:i/>
        </w:rPr>
        <w:t>Student 2010 Half Year – Selected Higher Education Statistics</w:t>
      </w:r>
      <w:r w:rsidRPr="0021215C">
        <w:t>, www.deewr.gov.au/HigherEducation/Publications/HEStatistics/Publications/Documents/FirstHalfStudentStatistics2010.xls (accessed 27 July 2011).</w:t>
      </w:r>
    </w:p>
    <w:p w:rsidR="00BA7C4C" w:rsidRDefault="00BA7C4C" w:rsidP="00BA7C4C">
      <w:pPr>
        <w:pStyle w:val="Reference"/>
      </w:pPr>
      <w:r w:rsidRPr="0021215C">
        <w:t xml:space="preserve">—— nd, </w:t>
      </w:r>
      <w:r w:rsidRPr="0021215C">
        <w:rPr>
          <w:i/>
        </w:rPr>
        <w:t>What You Pay</w:t>
      </w:r>
      <w:r w:rsidRPr="0021215C">
        <w:t>, www.goingtouni.gov.au/Main/FeesLoansAnd</w:t>
      </w:r>
      <w:r w:rsidRPr="0021215C">
        <w:br/>
        <w:t xml:space="preserve">Scholarships/Undergraduate/CommonwealthSupportForYourPlaceAndHECS-HELP/WhatYouPay.htm (accessed 29 July 2011). </w:t>
      </w:r>
    </w:p>
    <w:p w:rsidR="00BA7C4C" w:rsidRDefault="00BA7C4C" w:rsidP="00BA7C4C">
      <w:pPr>
        <w:pStyle w:val="Reference"/>
      </w:pPr>
      <w:r>
        <w:lastRenderedPageBreak/>
        <w:t xml:space="preserve">Gonski, D. 2010, </w:t>
      </w:r>
      <w:r>
        <w:rPr>
          <w:i/>
        </w:rPr>
        <w:t>Review of Funding for Schooling: Emerging Issues Paper, December 2010</w:t>
      </w:r>
      <w:r>
        <w:t>, http://www.deewr.gov.au/Schooling/ReviewofFunding/</w:t>
      </w:r>
      <w:r>
        <w:br/>
        <w:t>Documents/EmergingIssuesPaper.pdf (accessed 2 August 2011).</w:t>
      </w:r>
    </w:p>
    <w:p w:rsidR="00BA7C4C" w:rsidRDefault="00BA7C4C" w:rsidP="00BA7C4C">
      <w:pPr>
        <w:pStyle w:val="Reference"/>
      </w:pPr>
      <w:r>
        <w:t xml:space="preserve">Heckman J., Stixrud J. and Urzua S. 2006, ‘The effects of cognitive and noncognitive abilities on labor market outcomes and social behavior’, </w:t>
      </w:r>
      <w:r>
        <w:rPr>
          <w:i/>
        </w:rPr>
        <w:t>Journal of Labor Economics</w:t>
      </w:r>
      <w:r>
        <w:t>, vol. 24, no. 3, pp. 411–82.</w:t>
      </w:r>
    </w:p>
    <w:p w:rsidR="00BA7C4C" w:rsidRDefault="00BA7C4C" w:rsidP="00BA7C4C">
      <w:pPr>
        <w:pStyle w:val="Reference"/>
      </w:pPr>
      <w:r>
        <w:t xml:space="preserve">KPMG Econtech 2010, </w:t>
      </w:r>
      <w:r>
        <w:rPr>
          <w:i/>
        </w:rPr>
        <w:t>CGE Analysis of the Current Australian Tax System</w:t>
      </w:r>
      <w:r>
        <w:t>, March.</w:t>
      </w:r>
    </w:p>
    <w:p w:rsidR="00BA7C4C" w:rsidRDefault="00BA7C4C" w:rsidP="00BA7C4C">
      <w:pPr>
        <w:pStyle w:val="Reference"/>
      </w:pPr>
      <w:r>
        <w:t xml:space="preserve">Mishan, E. 1971, </w:t>
      </w:r>
      <w:r>
        <w:rPr>
          <w:i/>
        </w:rPr>
        <w:t>Cost Benefit Analysis: An Introduction</w:t>
      </w:r>
      <w:r>
        <w:t>, Praeger Publishers, New  York.</w:t>
      </w:r>
    </w:p>
    <w:p w:rsidR="00BA7C4C" w:rsidRPr="004E75B6" w:rsidRDefault="00BA7C4C" w:rsidP="00BA7C4C">
      <w:pPr>
        <w:pStyle w:val="Reference"/>
      </w:pPr>
      <w:r>
        <w:t xml:space="preserve">Ng, Y. 1983, </w:t>
      </w:r>
      <w:r>
        <w:rPr>
          <w:i/>
        </w:rPr>
        <w:t>Welfare Economics</w:t>
      </w:r>
      <w:r>
        <w:t>, Macmillian, London.</w:t>
      </w:r>
    </w:p>
    <w:p w:rsidR="00BA7C4C" w:rsidRPr="00457C94" w:rsidRDefault="00BA7C4C" w:rsidP="00BA7C4C">
      <w:pPr>
        <w:pStyle w:val="Reference"/>
      </w:pPr>
      <w:r>
        <w:t xml:space="preserve">PC (Productivity Commission) 2012, </w:t>
      </w:r>
      <w:r>
        <w:rPr>
          <w:i/>
        </w:rPr>
        <w:t>Impacts of COAG Reforms: Business Regulation and VET</w:t>
      </w:r>
      <w:r>
        <w:t>, Research Report, Canberra.</w:t>
      </w:r>
    </w:p>
    <w:p w:rsidR="00BA7C4C" w:rsidRDefault="00BA7C4C" w:rsidP="00BA7C4C">
      <w:pPr>
        <w:pStyle w:val="Reference"/>
      </w:pPr>
      <w:r>
        <w:t xml:space="preserve">SCRGSP (Steering Committee for the Review of Government Service Provision)  2011, </w:t>
      </w:r>
      <w:r>
        <w:rPr>
          <w:i/>
        </w:rPr>
        <w:t>Report on Government Services 2011</w:t>
      </w:r>
      <w:r>
        <w:t>, Canberra.</w:t>
      </w:r>
    </w:p>
    <w:p w:rsidR="00BA7C4C" w:rsidRDefault="00BA7C4C" w:rsidP="00BA7C4C">
      <w:pPr>
        <w:pStyle w:val="Reference"/>
      </w:pPr>
      <w:r>
        <w:t xml:space="preserve">Williams J. and Cummings W. 1996, </w:t>
      </w:r>
      <w:r>
        <w:rPr>
          <w:i/>
        </w:rPr>
        <w:t>Air Force Mech Composite ASVAB Subtest Score</w:t>
      </w:r>
      <w:r>
        <w:t>, Presented at the International Military Testing Association Conference, San Antonio, 12–14 November.</w:t>
      </w:r>
    </w:p>
    <w:p w:rsidR="00BA7C4C" w:rsidRPr="007D142E" w:rsidRDefault="00BA7C4C" w:rsidP="007D142E">
      <w:pPr>
        <w:pStyle w:val="BodyText"/>
      </w:pPr>
    </w:p>
    <w:sectPr w:rsidR="00BA7C4C" w:rsidRPr="007D142E" w:rsidSect="0089285E">
      <w:headerReference w:type="even" r:id="rId13"/>
      <w:headerReference w:type="default" r:id="rId14"/>
      <w:footerReference w:type="even" r:id="rId15"/>
      <w:footerReference w:type="default" r:id="rId16"/>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8CC" w:rsidRDefault="005508CC">
      <w:r>
        <w:separator/>
      </w:r>
    </w:p>
  </w:endnote>
  <w:endnote w:type="continuationSeparator" w:id="0">
    <w:p w:rsidR="005508CC" w:rsidRDefault="0055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508CC">
      <w:trPr>
        <w:trHeight w:hRule="exact" w:val="740"/>
      </w:trPr>
      <w:tc>
        <w:tcPr>
          <w:tcW w:w="510" w:type="dxa"/>
          <w:tcBorders>
            <w:top w:val="single" w:sz="6" w:space="0" w:color="auto"/>
          </w:tcBorders>
        </w:tcPr>
        <w:p w:rsidR="005508CC" w:rsidRDefault="005508C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620C0">
            <w:rPr>
              <w:rStyle w:val="PageNumber"/>
              <w:noProof/>
            </w:rPr>
            <w:t>28</w:t>
          </w:r>
          <w:r>
            <w:rPr>
              <w:rStyle w:val="PageNumber"/>
            </w:rPr>
            <w:fldChar w:fldCharType="end"/>
          </w:r>
        </w:p>
      </w:tc>
      <w:tc>
        <w:tcPr>
          <w:tcW w:w="1644" w:type="dxa"/>
          <w:tcBorders>
            <w:top w:val="single" w:sz="6" w:space="0" w:color="auto"/>
          </w:tcBorders>
        </w:tcPr>
        <w:p w:rsidR="005508CC" w:rsidRDefault="00D620C0" w:rsidP="0019293B">
          <w:pPr>
            <w:pStyle w:val="Footer"/>
          </w:pPr>
          <w:r>
            <w:fldChar w:fldCharType="begin"/>
          </w:r>
          <w:r>
            <w:instrText xml:space="preserve"> SUBJECT  \* MERGEFORMAT </w:instrText>
          </w:r>
          <w:r>
            <w:fldChar w:fldCharType="separate"/>
          </w:r>
          <w:r>
            <w:t>ELMO Documentation</w:t>
          </w:r>
          <w:r>
            <w:fldChar w:fldCharType="end"/>
          </w:r>
        </w:p>
      </w:tc>
      <w:tc>
        <w:tcPr>
          <w:tcW w:w="6634" w:type="dxa"/>
        </w:tcPr>
        <w:p w:rsidR="005508CC" w:rsidRDefault="005508CC" w:rsidP="0019293B">
          <w:pPr>
            <w:pStyle w:val="Footer"/>
          </w:pPr>
        </w:p>
      </w:tc>
    </w:tr>
  </w:tbl>
  <w:p w:rsidR="005508CC" w:rsidRDefault="005508C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508CC">
      <w:trPr>
        <w:trHeight w:hRule="exact" w:val="740"/>
      </w:trPr>
      <w:tc>
        <w:tcPr>
          <w:tcW w:w="6634" w:type="dxa"/>
        </w:tcPr>
        <w:p w:rsidR="005508CC" w:rsidRDefault="005508CC">
          <w:pPr>
            <w:pStyle w:val="Footer"/>
            <w:ind w:right="360" w:firstLine="360"/>
          </w:pPr>
        </w:p>
      </w:tc>
      <w:tc>
        <w:tcPr>
          <w:tcW w:w="1644" w:type="dxa"/>
          <w:tcBorders>
            <w:top w:val="single" w:sz="6" w:space="0" w:color="auto"/>
          </w:tcBorders>
        </w:tcPr>
        <w:p w:rsidR="005508CC" w:rsidRDefault="00D620C0">
          <w:pPr>
            <w:pStyle w:val="Footer"/>
          </w:pPr>
          <w:r>
            <w:fldChar w:fldCharType="begin"/>
          </w:r>
          <w:r>
            <w:instrText xml:space="preserve"> TITLE  \* MERGEFORMAT </w:instrText>
          </w:r>
          <w:r>
            <w:fldChar w:fldCharType="separate"/>
          </w:r>
          <w:r>
            <w:t>ELMO Documentation</w:t>
          </w:r>
          <w:r>
            <w:fldChar w:fldCharType="end"/>
          </w:r>
        </w:p>
      </w:tc>
      <w:tc>
        <w:tcPr>
          <w:tcW w:w="510" w:type="dxa"/>
          <w:tcBorders>
            <w:top w:val="single" w:sz="6" w:space="0" w:color="auto"/>
          </w:tcBorders>
        </w:tcPr>
        <w:p w:rsidR="005508CC" w:rsidRDefault="005508CC">
          <w:pPr>
            <w:pStyle w:val="Footer"/>
            <w:jc w:val="right"/>
          </w:pPr>
          <w:r>
            <w:rPr>
              <w:rStyle w:val="PageNumber"/>
            </w:rPr>
            <w:fldChar w:fldCharType="begin"/>
          </w:r>
          <w:r>
            <w:rPr>
              <w:rStyle w:val="PageNumber"/>
            </w:rPr>
            <w:instrText xml:space="preserve">PAGE  </w:instrText>
          </w:r>
          <w:r>
            <w:rPr>
              <w:rStyle w:val="PageNumber"/>
            </w:rPr>
            <w:fldChar w:fldCharType="separate"/>
          </w:r>
          <w:r w:rsidR="00D620C0">
            <w:rPr>
              <w:rStyle w:val="PageNumber"/>
              <w:noProof/>
            </w:rPr>
            <w:t>27</w:t>
          </w:r>
          <w:r>
            <w:rPr>
              <w:rStyle w:val="PageNumber"/>
            </w:rPr>
            <w:fldChar w:fldCharType="end"/>
          </w:r>
        </w:p>
      </w:tc>
    </w:tr>
  </w:tbl>
  <w:p w:rsidR="005508CC" w:rsidRDefault="005508C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8CC" w:rsidRDefault="005508CC">
      <w:r>
        <w:separator/>
      </w:r>
    </w:p>
  </w:footnote>
  <w:footnote w:type="continuationSeparator" w:id="0">
    <w:p w:rsidR="005508CC" w:rsidRDefault="005508CC">
      <w:r>
        <w:continuationSeparator/>
      </w:r>
    </w:p>
  </w:footnote>
  <w:footnote w:id="1">
    <w:p w:rsidR="005508CC" w:rsidRDefault="005508CC">
      <w:pPr>
        <w:pStyle w:val="FootnoteText"/>
      </w:pPr>
      <w:r>
        <w:rPr>
          <w:rStyle w:val="FootnoteReference"/>
        </w:rPr>
        <w:footnoteRef/>
      </w:r>
      <w:r>
        <w:t xml:space="preserve"> </w:t>
      </w:r>
      <w:r>
        <w:tab/>
        <w:t>The ELMO model can also be used to predict budgetary implications associated with changes in relative returns across qualification types or occupations.</w:t>
      </w:r>
    </w:p>
  </w:footnote>
  <w:footnote w:id="2">
    <w:p w:rsidR="005508CC" w:rsidRDefault="005508CC" w:rsidP="00970223">
      <w:pPr>
        <w:pStyle w:val="FootnoteText"/>
      </w:pPr>
      <w:r>
        <w:rPr>
          <w:rStyle w:val="FootnoteReference"/>
        </w:rPr>
        <w:footnoteRef/>
      </w:r>
      <w:r>
        <w:tab/>
        <w:t>The default discount rate is 6 per cent.</w:t>
      </w:r>
    </w:p>
  </w:footnote>
  <w:footnote w:id="3">
    <w:p w:rsidR="005508CC" w:rsidRDefault="005508CC">
      <w:pPr>
        <w:pStyle w:val="FootnoteText"/>
      </w:pPr>
      <w:r>
        <w:rPr>
          <w:rStyle w:val="FootnoteReference"/>
        </w:rPr>
        <w:footnoteRef/>
      </w:r>
      <w:r>
        <w:tab/>
        <w:t xml:space="preserve">It would be possible to relax this assumption by introducing an available income parameter. However, assumptions would need to be made regarding the correlation between available income and ability. </w:t>
      </w:r>
    </w:p>
  </w:footnote>
  <w:footnote w:id="4">
    <w:p w:rsidR="005508CC" w:rsidRDefault="005508CC" w:rsidP="001046F9">
      <w:pPr>
        <w:pStyle w:val="FootnoteText"/>
      </w:pPr>
      <w:r>
        <w:rPr>
          <w:rStyle w:val="FootnoteReference"/>
        </w:rPr>
        <w:footnoteRef/>
      </w:r>
      <w:r>
        <w:t xml:space="preserve"> </w:t>
      </w:r>
      <w:r>
        <w:tab/>
        <w:t xml:space="preserve">Marginal excess burden is assumed to be 24 per cent. </w:t>
      </w:r>
    </w:p>
  </w:footnote>
  <w:footnote w:id="5">
    <w:p w:rsidR="005508CC" w:rsidRDefault="005508CC">
      <w:pPr>
        <w:pStyle w:val="FootnoteText"/>
      </w:pPr>
      <w:r>
        <w:rPr>
          <w:rStyle w:val="FootnoteReference"/>
        </w:rPr>
        <w:footnoteRef/>
      </w:r>
      <w:r>
        <w:t xml:space="preserve"> </w:t>
      </w:r>
      <w:r>
        <w:tab/>
        <w:t xml:space="preserve">This part of the code is commented out. See the user guide below on how to implement these functions. </w:t>
      </w:r>
    </w:p>
  </w:footnote>
  <w:footnote w:id="6">
    <w:p w:rsidR="005508CC" w:rsidRDefault="005508CC">
      <w:pPr>
        <w:pStyle w:val="FootnoteText"/>
      </w:pPr>
      <w:r>
        <w:rPr>
          <w:rStyle w:val="FootnoteReference"/>
        </w:rPr>
        <w:footnoteRef/>
      </w:r>
      <w:r>
        <w:t xml:space="preserve"> </w:t>
      </w:r>
      <w:r>
        <w:tab/>
        <w:t xml:space="preserve">The method used in the calibration module can also be more accurate than the solver method used in the standard model. In some cases, the calibration method may be preferred to the solver method, for example, the quicker solution time can make it a preferred option in sensitivity analysis. </w:t>
      </w:r>
    </w:p>
  </w:footnote>
  <w:footnote w:id="7">
    <w:p w:rsidR="005508CC" w:rsidRDefault="005508CC">
      <w:pPr>
        <w:pStyle w:val="FootnoteText"/>
      </w:pPr>
      <w:r>
        <w:rPr>
          <w:rStyle w:val="FootnoteReference"/>
        </w:rPr>
        <w:footnoteRef/>
      </w:r>
      <w:r>
        <w:tab/>
        <w:t xml:space="preserve">Refer to the earlier section </w:t>
      </w:r>
      <w:r w:rsidR="00417390">
        <w:t>on disaggregation in section 3</w:t>
      </w:r>
      <w:r>
        <w:t xml:space="preserve"> for more information on this process.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508CC">
      <w:tc>
        <w:tcPr>
          <w:tcW w:w="2155" w:type="dxa"/>
          <w:tcBorders>
            <w:top w:val="single" w:sz="24" w:space="0" w:color="auto"/>
          </w:tcBorders>
        </w:tcPr>
        <w:p w:rsidR="005508CC" w:rsidRDefault="005508CC" w:rsidP="0019293B">
          <w:pPr>
            <w:pStyle w:val="HeaderEven"/>
          </w:pPr>
        </w:p>
      </w:tc>
      <w:tc>
        <w:tcPr>
          <w:tcW w:w="6634" w:type="dxa"/>
          <w:tcBorders>
            <w:top w:val="single" w:sz="6" w:space="0" w:color="auto"/>
          </w:tcBorders>
        </w:tcPr>
        <w:p w:rsidR="005508CC" w:rsidRDefault="005508CC" w:rsidP="0019293B">
          <w:pPr>
            <w:pStyle w:val="HeaderEven"/>
          </w:pPr>
        </w:p>
      </w:tc>
    </w:tr>
  </w:tbl>
  <w:p w:rsidR="005508CC" w:rsidRDefault="005508C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508CC">
      <w:tc>
        <w:tcPr>
          <w:tcW w:w="6634" w:type="dxa"/>
          <w:tcBorders>
            <w:top w:val="single" w:sz="6" w:space="0" w:color="auto"/>
          </w:tcBorders>
        </w:tcPr>
        <w:p w:rsidR="005508CC" w:rsidRDefault="005508CC" w:rsidP="00E669E2">
          <w:pPr>
            <w:pStyle w:val="HeaderOdd"/>
          </w:pPr>
        </w:p>
      </w:tc>
      <w:tc>
        <w:tcPr>
          <w:tcW w:w="2155" w:type="dxa"/>
          <w:tcBorders>
            <w:top w:val="single" w:sz="24" w:space="0" w:color="auto"/>
          </w:tcBorders>
        </w:tcPr>
        <w:p w:rsidR="005508CC" w:rsidRDefault="005508CC" w:rsidP="00E669E2">
          <w:pPr>
            <w:pStyle w:val="HeaderOdd"/>
          </w:pPr>
        </w:p>
      </w:tc>
    </w:tr>
  </w:tbl>
  <w:p w:rsidR="005508CC" w:rsidRDefault="005508C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LMO Documentation"/>
    <w:docVar w:name="ShortReportTitle" w:val="ELMO Documentation"/>
  </w:docVars>
  <w:rsids>
    <w:rsidRoot w:val="004B04B2"/>
    <w:rsid w:val="00016FA9"/>
    <w:rsid w:val="000227D5"/>
    <w:rsid w:val="000245AA"/>
    <w:rsid w:val="0003664B"/>
    <w:rsid w:val="00037C76"/>
    <w:rsid w:val="0004111F"/>
    <w:rsid w:val="000565B3"/>
    <w:rsid w:val="00067C1C"/>
    <w:rsid w:val="0007150B"/>
    <w:rsid w:val="000938F5"/>
    <w:rsid w:val="0009586F"/>
    <w:rsid w:val="00096471"/>
    <w:rsid w:val="00096E55"/>
    <w:rsid w:val="000A7E3A"/>
    <w:rsid w:val="000B601B"/>
    <w:rsid w:val="000B7575"/>
    <w:rsid w:val="000C207E"/>
    <w:rsid w:val="000D3D2A"/>
    <w:rsid w:val="000F0035"/>
    <w:rsid w:val="000F140E"/>
    <w:rsid w:val="000F420B"/>
    <w:rsid w:val="000F4305"/>
    <w:rsid w:val="001046F9"/>
    <w:rsid w:val="00110116"/>
    <w:rsid w:val="00120072"/>
    <w:rsid w:val="00126AF3"/>
    <w:rsid w:val="00126EB8"/>
    <w:rsid w:val="001274D4"/>
    <w:rsid w:val="00134294"/>
    <w:rsid w:val="001363AA"/>
    <w:rsid w:val="0015048B"/>
    <w:rsid w:val="00156F6A"/>
    <w:rsid w:val="00163403"/>
    <w:rsid w:val="0017043A"/>
    <w:rsid w:val="001829A6"/>
    <w:rsid w:val="00183E82"/>
    <w:rsid w:val="001878BB"/>
    <w:rsid w:val="00191AE0"/>
    <w:rsid w:val="0019293B"/>
    <w:rsid w:val="00195699"/>
    <w:rsid w:val="001B3F60"/>
    <w:rsid w:val="001C0865"/>
    <w:rsid w:val="001C3ABA"/>
    <w:rsid w:val="001C44DB"/>
    <w:rsid w:val="001C6784"/>
    <w:rsid w:val="001E7BE8"/>
    <w:rsid w:val="001F0248"/>
    <w:rsid w:val="001F3EB3"/>
    <w:rsid w:val="001F4F86"/>
    <w:rsid w:val="001F7511"/>
    <w:rsid w:val="002009AD"/>
    <w:rsid w:val="00202C2C"/>
    <w:rsid w:val="002135AB"/>
    <w:rsid w:val="002144BE"/>
    <w:rsid w:val="00242279"/>
    <w:rsid w:val="00242FBB"/>
    <w:rsid w:val="00245C82"/>
    <w:rsid w:val="002576CA"/>
    <w:rsid w:val="00276353"/>
    <w:rsid w:val="002870AC"/>
    <w:rsid w:val="00291B40"/>
    <w:rsid w:val="002B4008"/>
    <w:rsid w:val="002B4336"/>
    <w:rsid w:val="002D0E8E"/>
    <w:rsid w:val="002D5723"/>
    <w:rsid w:val="002F6DD8"/>
    <w:rsid w:val="00301189"/>
    <w:rsid w:val="00302EEE"/>
    <w:rsid w:val="0030724F"/>
    <w:rsid w:val="0031491B"/>
    <w:rsid w:val="003173E1"/>
    <w:rsid w:val="00323E09"/>
    <w:rsid w:val="00333932"/>
    <w:rsid w:val="003518AA"/>
    <w:rsid w:val="00352165"/>
    <w:rsid w:val="00353182"/>
    <w:rsid w:val="003565D9"/>
    <w:rsid w:val="003602E1"/>
    <w:rsid w:val="00361757"/>
    <w:rsid w:val="0037026F"/>
    <w:rsid w:val="00371240"/>
    <w:rsid w:val="003729A7"/>
    <w:rsid w:val="00374731"/>
    <w:rsid w:val="00376E59"/>
    <w:rsid w:val="003833BC"/>
    <w:rsid w:val="00383A04"/>
    <w:rsid w:val="003919F9"/>
    <w:rsid w:val="003B37FB"/>
    <w:rsid w:val="003C38B5"/>
    <w:rsid w:val="003C5D99"/>
    <w:rsid w:val="003D01AC"/>
    <w:rsid w:val="003E2F59"/>
    <w:rsid w:val="003F0789"/>
    <w:rsid w:val="003F1B49"/>
    <w:rsid w:val="003F78E0"/>
    <w:rsid w:val="00401882"/>
    <w:rsid w:val="004033A4"/>
    <w:rsid w:val="004100C8"/>
    <w:rsid w:val="004113DB"/>
    <w:rsid w:val="00411DBD"/>
    <w:rsid w:val="00412ACE"/>
    <w:rsid w:val="00417390"/>
    <w:rsid w:val="00431249"/>
    <w:rsid w:val="00434C19"/>
    <w:rsid w:val="00440BC9"/>
    <w:rsid w:val="004476EA"/>
    <w:rsid w:val="00450810"/>
    <w:rsid w:val="00477144"/>
    <w:rsid w:val="00491380"/>
    <w:rsid w:val="0049459F"/>
    <w:rsid w:val="004A1A58"/>
    <w:rsid w:val="004A38DD"/>
    <w:rsid w:val="004B04B2"/>
    <w:rsid w:val="004B43AE"/>
    <w:rsid w:val="004C30ED"/>
    <w:rsid w:val="004C3318"/>
    <w:rsid w:val="004D3E2E"/>
    <w:rsid w:val="004D5675"/>
    <w:rsid w:val="005217A9"/>
    <w:rsid w:val="00522968"/>
    <w:rsid w:val="00523639"/>
    <w:rsid w:val="0052790E"/>
    <w:rsid w:val="00527C7B"/>
    <w:rsid w:val="00531FE5"/>
    <w:rsid w:val="00536A20"/>
    <w:rsid w:val="005402FA"/>
    <w:rsid w:val="00543450"/>
    <w:rsid w:val="005508CC"/>
    <w:rsid w:val="005612A1"/>
    <w:rsid w:val="00582FA8"/>
    <w:rsid w:val="00583C39"/>
    <w:rsid w:val="00586407"/>
    <w:rsid w:val="00587F28"/>
    <w:rsid w:val="005909CF"/>
    <w:rsid w:val="00591CE2"/>
    <w:rsid w:val="00591E71"/>
    <w:rsid w:val="005A0D41"/>
    <w:rsid w:val="005A269F"/>
    <w:rsid w:val="005B2323"/>
    <w:rsid w:val="005D009B"/>
    <w:rsid w:val="005D2696"/>
    <w:rsid w:val="005D7D60"/>
    <w:rsid w:val="005E0819"/>
    <w:rsid w:val="005E57FE"/>
    <w:rsid w:val="005F2228"/>
    <w:rsid w:val="00607BF1"/>
    <w:rsid w:val="006159E8"/>
    <w:rsid w:val="006203EC"/>
    <w:rsid w:val="00626630"/>
    <w:rsid w:val="00630D4D"/>
    <w:rsid w:val="00632A74"/>
    <w:rsid w:val="00664104"/>
    <w:rsid w:val="00673F73"/>
    <w:rsid w:val="006A4655"/>
    <w:rsid w:val="006A6FF0"/>
    <w:rsid w:val="006B2B3C"/>
    <w:rsid w:val="006C1D81"/>
    <w:rsid w:val="006C7038"/>
    <w:rsid w:val="006C79DC"/>
    <w:rsid w:val="006D2ABA"/>
    <w:rsid w:val="006E73EF"/>
    <w:rsid w:val="006F4FAB"/>
    <w:rsid w:val="00714D4D"/>
    <w:rsid w:val="007166D8"/>
    <w:rsid w:val="00747BCF"/>
    <w:rsid w:val="007604BB"/>
    <w:rsid w:val="00785232"/>
    <w:rsid w:val="007A21EB"/>
    <w:rsid w:val="007A377F"/>
    <w:rsid w:val="007B1A93"/>
    <w:rsid w:val="007C36C9"/>
    <w:rsid w:val="007C4BA8"/>
    <w:rsid w:val="007D142E"/>
    <w:rsid w:val="007D53DF"/>
    <w:rsid w:val="007D6401"/>
    <w:rsid w:val="007E01E4"/>
    <w:rsid w:val="007F686D"/>
    <w:rsid w:val="007F7107"/>
    <w:rsid w:val="00800D4C"/>
    <w:rsid w:val="0081030F"/>
    <w:rsid w:val="00813083"/>
    <w:rsid w:val="0082087D"/>
    <w:rsid w:val="0082666A"/>
    <w:rsid w:val="008272E1"/>
    <w:rsid w:val="0082775B"/>
    <w:rsid w:val="00835771"/>
    <w:rsid w:val="00842933"/>
    <w:rsid w:val="0086082C"/>
    <w:rsid w:val="00862912"/>
    <w:rsid w:val="00864ADC"/>
    <w:rsid w:val="00864D56"/>
    <w:rsid w:val="00880153"/>
    <w:rsid w:val="00880F97"/>
    <w:rsid w:val="0088133A"/>
    <w:rsid w:val="0089285E"/>
    <w:rsid w:val="0089436C"/>
    <w:rsid w:val="008C1B52"/>
    <w:rsid w:val="008C7ED3"/>
    <w:rsid w:val="008D365C"/>
    <w:rsid w:val="008F7AD1"/>
    <w:rsid w:val="009030BF"/>
    <w:rsid w:val="0091032F"/>
    <w:rsid w:val="00911698"/>
    <w:rsid w:val="009121A6"/>
    <w:rsid w:val="00914368"/>
    <w:rsid w:val="00922B11"/>
    <w:rsid w:val="00931076"/>
    <w:rsid w:val="009345D9"/>
    <w:rsid w:val="009348EE"/>
    <w:rsid w:val="00934B15"/>
    <w:rsid w:val="00940C87"/>
    <w:rsid w:val="00942B62"/>
    <w:rsid w:val="009503CD"/>
    <w:rsid w:val="0095323B"/>
    <w:rsid w:val="00956A0C"/>
    <w:rsid w:val="00956BD9"/>
    <w:rsid w:val="00962489"/>
    <w:rsid w:val="00970223"/>
    <w:rsid w:val="00990C2C"/>
    <w:rsid w:val="00996E6A"/>
    <w:rsid w:val="009C41F2"/>
    <w:rsid w:val="009E1844"/>
    <w:rsid w:val="009E4C3E"/>
    <w:rsid w:val="009F0D1B"/>
    <w:rsid w:val="009F696D"/>
    <w:rsid w:val="009F6BC6"/>
    <w:rsid w:val="00A17328"/>
    <w:rsid w:val="00A23A20"/>
    <w:rsid w:val="00A268B9"/>
    <w:rsid w:val="00A2703A"/>
    <w:rsid w:val="00A33DFF"/>
    <w:rsid w:val="00A35115"/>
    <w:rsid w:val="00A36D9A"/>
    <w:rsid w:val="00A554AB"/>
    <w:rsid w:val="00A57062"/>
    <w:rsid w:val="00A648CD"/>
    <w:rsid w:val="00A7457D"/>
    <w:rsid w:val="00A87FA7"/>
    <w:rsid w:val="00A92B53"/>
    <w:rsid w:val="00A94FA6"/>
    <w:rsid w:val="00AA49A0"/>
    <w:rsid w:val="00AA6710"/>
    <w:rsid w:val="00AB0681"/>
    <w:rsid w:val="00AB3618"/>
    <w:rsid w:val="00AD2E35"/>
    <w:rsid w:val="00AD520B"/>
    <w:rsid w:val="00B05A24"/>
    <w:rsid w:val="00B12DB5"/>
    <w:rsid w:val="00B17CD5"/>
    <w:rsid w:val="00B425C3"/>
    <w:rsid w:val="00B440AD"/>
    <w:rsid w:val="00B53E7E"/>
    <w:rsid w:val="00B60B6A"/>
    <w:rsid w:val="00B6342E"/>
    <w:rsid w:val="00B7113F"/>
    <w:rsid w:val="00BA73B6"/>
    <w:rsid w:val="00BA7C4C"/>
    <w:rsid w:val="00BA7E27"/>
    <w:rsid w:val="00BB2603"/>
    <w:rsid w:val="00BB4FCD"/>
    <w:rsid w:val="00BC04E9"/>
    <w:rsid w:val="00BD07C1"/>
    <w:rsid w:val="00BD13EA"/>
    <w:rsid w:val="00BD2156"/>
    <w:rsid w:val="00BD3322"/>
    <w:rsid w:val="00BD614C"/>
    <w:rsid w:val="00BD64E2"/>
    <w:rsid w:val="00BE3808"/>
    <w:rsid w:val="00BE79D2"/>
    <w:rsid w:val="00C062E9"/>
    <w:rsid w:val="00C07B64"/>
    <w:rsid w:val="00C13721"/>
    <w:rsid w:val="00C14FE4"/>
    <w:rsid w:val="00C1568C"/>
    <w:rsid w:val="00C3066D"/>
    <w:rsid w:val="00C336CE"/>
    <w:rsid w:val="00C52416"/>
    <w:rsid w:val="00C543F4"/>
    <w:rsid w:val="00C6291C"/>
    <w:rsid w:val="00C633CB"/>
    <w:rsid w:val="00C736B7"/>
    <w:rsid w:val="00C81D4A"/>
    <w:rsid w:val="00C8762C"/>
    <w:rsid w:val="00C955B9"/>
    <w:rsid w:val="00CA00F9"/>
    <w:rsid w:val="00CA26D6"/>
    <w:rsid w:val="00CA2961"/>
    <w:rsid w:val="00CB0008"/>
    <w:rsid w:val="00CB50D7"/>
    <w:rsid w:val="00CB7177"/>
    <w:rsid w:val="00CC1998"/>
    <w:rsid w:val="00CC4946"/>
    <w:rsid w:val="00CD327F"/>
    <w:rsid w:val="00CD361B"/>
    <w:rsid w:val="00D10D73"/>
    <w:rsid w:val="00D20B9F"/>
    <w:rsid w:val="00D25B41"/>
    <w:rsid w:val="00D270A4"/>
    <w:rsid w:val="00D27BE9"/>
    <w:rsid w:val="00D31FE9"/>
    <w:rsid w:val="00D34E1B"/>
    <w:rsid w:val="00D376BA"/>
    <w:rsid w:val="00D45634"/>
    <w:rsid w:val="00D50766"/>
    <w:rsid w:val="00D5568A"/>
    <w:rsid w:val="00D620C0"/>
    <w:rsid w:val="00D63D73"/>
    <w:rsid w:val="00D64452"/>
    <w:rsid w:val="00D66E1E"/>
    <w:rsid w:val="00D75722"/>
    <w:rsid w:val="00D76782"/>
    <w:rsid w:val="00D80CF5"/>
    <w:rsid w:val="00DA203B"/>
    <w:rsid w:val="00DA5BBA"/>
    <w:rsid w:val="00DB26D2"/>
    <w:rsid w:val="00DB32AE"/>
    <w:rsid w:val="00DB3FAB"/>
    <w:rsid w:val="00DB50EA"/>
    <w:rsid w:val="00DB67C9"/>
    <w:rsid w:val="00DC0C95"/>
    <w:rsid w:val="00DD1734"/>
    <w:rsid w:val="00DD5B71"/>
    <w:rsid w:val="00DD6580"/>
    <w:rsid w:val="00DF2DC9"/>
    <w:rsid w:val="00E015AC"/>
    <w:rsid w:val="00E17C72"/>
    <w:rsid w:val="00E21FC6"/>
    <w:rsid w:val="00E431A9"/>
    <w:rsid w:val="00E55F97"/>
    <w:rsid w:val="00E62B7F"/>
    <w:rsid w:val="00E669E2"/>
    <w:rsid w:val="00E712FD"/>
    <w:rsid w:val="00E725D0"/>
    <w:rsid w:val="00E76135"/>
    <w:rsid w:val="00E823F5"/>
    <w:rsid w:val="00E82F4F"/>
    <w:rsid w:val="00EC2844"/>
    <w:rsid w:val="00EC5500"/>
    <w:rsid w:val="00EE239F"/>
    <w:rsid w:val="00EF6C6C"/>
    <w:rsid w:val="00F056FC"/>
    <w:rsid w:val="00F10476"/>
    <w:rsid w:val="00F135D8"/>
    <w:rsid w:val="00F13D25"/>
    <w:rsid w:val="00F31299"/>
    <w:rsid w:val="00F3534A"/>
    <w:rsid w:val="00F3758D"/>
    <w:rsid w:val="00F51609"/>
    <w:rsid w:val="00F6037A"/>
    <w:rsid w:val="00F6621A"/>
    <w:rsid w:val="00F807B8"/>
    <w:rsid w:val="00F81006"/>
    <w:rsid w:val="00F85325"/>
    <w:rsid w:val="00F94B01"/>
    <w:rsid w:val="00FA186B"/>
    <w:rsid w:val="00FC4503"/>
    <w:rsid w:val="00FD14F0"/>
    <w:rsid w:val="00FD22B1"/>
    <w:rsid w:val="00FE34AA"/>
    <w:rsid w:val="00FE5397"/>
    <w:rsid w:val="00FF1C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itle" w:uiPriority="10"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E34AA"/>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2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CM111">
    <w:name w:val="CM111"/>
    <w:basedOn w:val="Normal"/>
    <w:next w:val="Normal"/>
    <w:uiPriority w:val="99"/>
    <w:rsid w:val="004B04B2"/>
    <w:pPr>
      <w:autoSpaceDE w:val="0"/>
      <w:autoSpaceDN w:val="0"/>
      <w:adjustRightInd w:val="0"/>
    </w:pPr>
    <w:rPr>
      <w:sz w:val="24"/>
    </w:rPr>
  </w:style>
  <w:style w:type="paragraph" w:styleId="ListParagraph">
    <w:name w:val="List Paragraph"/>
    <w:basedOn w:val="Normal"/>
    <w:uiPriority w:val="34"/>
    <w:qFormat/>
    <w:rsid w:val="00037C76"/>
    <w:pPr>
      <w:ind w:left="720"/>
      <w:contextualSpacing/>
    </w:pPr>
  </w:style>
  <w:style w:type="paragraph" w:styleId="Title">
    <w:name w:val="Title"/>
    <w:basedOn w:val="Normal"/>
    <w:next w:val="Normal"/>
    <w:link w:val="TitleChar"/>
    <w:uiPriority w:val="10"/>
    <w:qFormat/>
    <w:rsid w:val="000964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6471"/>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BoxSpace">
    <w:name w:val="Box Space"/>
    <w:basedOn w:val="BodyText"/>
    <w:rsid w:val="00AB3618"/>
    <w:pPr>
      <w:keepNext/>
      <w:spacing w:before="360" w:line="80" w:lineRule="exact"/>
      <w:jc w:val="left"/>
    </w:pPr>
  </w:style>
  <w:style w:type="table" w:styleId="TableGrid">
    <w:name w:val="Table Grid"/>
    <w:basedOn w:val="TableNormal"/>
    <w:uiPriority w:val="59"/>
    <w:rsid w:val="00AB361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3B37FB"/>
    <w:rPr>
      <w:rFonts w:asciiTheme="minorHAnsi" w:eastAsiaTheme="minorHAnsi" w:hAnsiTheme="minorHAnsi" w:cstheme="minorBidi"/>
      <w:szCs w:val="22"/>
      <w:lang w:eastAsia="en-US"/>
    </w:rPr>
  </w:style>
  <w:style w:type="character" w:customStyle="1" w:styleId="ReferenceChar">
    <w:name w:val="Reference Char"/>
    <w:link w:val="Reference"/>
    <w:locked/>
    <w:rsid w:val="00BA7C4C"/>
    <w:rPr>
      <w:sz w:val="26"/>
    </w:rPr>
  </w:style>
  <w:style w:type="paragraph" w:styleId="EndnoteText">
    <w:name w:val="endnote text"/>
    <w:basedOn w:val="Normal"/>
    <w:link w:val="EndnoteTextChar"/>
    <w:rsid w:val="00673F73"/>
    <w:pPr>
      <w:spacing w:after="0" w:line="240" w:lineRule="auto"/>
    </w:pPr>
    <w:rPr>
      <w:sz w:val="20"/>
      <w:szCs w:val="20"/>
    </w:rPr>
  </w:style>
  <w:style w:type="character" w:customStyle="1" w:styleId="EndnoteTextChar">
    <w:name w:val="Endnote Text Char"/>
    <w:basedOn w:val="DefaultParagraphFont"/>
    <w:link w:val="EndnoteText"/>
    <w:rsid w:val="00673F73"/>
    <w:rPr>
      <w:rFonts w:asciiTheme="minorHAnsi" w:eastAsiaTheme="minorHAnsi" w:hAnsiTheme="minorHAnsi" w:cstheme="minorBidi"/>
      <w:lang w:eastAsia="en-US"/>
    </w:rPr>
  </w:style>
  <w:style w:type="character" w:styleId="EndnoteReference">
    <w:name w:val="endnote reference"/>
    <w:basedOn w:val="DefaultParagraphFont"/>
    <w:rsid w:val="00673F73"/>
    <w:rPr>
      <w:vertAlign w:val="superscript"/>
    </w:rPr>
  </w:style>
  <w:style w:type="paragraph" w:styleId="CommentSubject">
    <w:name w:val="annotation subject"/>
    <w:basedOn w:val="CommentText"/>
    <w:next w:val="CommentText"/>
    <w:link w:val="CommentSubjectChar"/>
    <w:rsid w:val="003F78E0"/>
    <w:pPr>
      <w:spacing w:before="0" w:line="240" w:lineRule="auto"/>
      <w:ind w:left="0" w:firstLine="0"/>
    </w:pPr>
    <w:rPr>
      <w:b/>
      <w:bCs/>
      <w:szCs w:val="20"/>
    </w:rPr>
  </w:style>
  <w:style w:type="character" w:customStyle="1" w:styleId="CommentSubjectChar">
    <w:name w:val="Comment Subject Char"/>
    <w:basedOn w:val="CommentTextChar"/>
    <w:link w:val="CommentSubject"/>
    <w:rsid w:val="003F78E0"/>
    <w:rPr>
      <w:rFonts w:asciiTheme="minorHAnsi" w:eastAsiaTheme="minorHAnsi" w:hAnsiTheme="minorHAnsi" w:cstheme="minorBidi"/>
      <w:b/>
      <w:bCs/>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itle" w:uiPriority="10"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E34AA"/>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2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CM111">
    <w:name w:val="CM111"/>
    <w:basedOn w:val="Normal"/>
    <w:next w:val="Normal"/>
    <w:uiPriority w:val="99"/>
    <w:rsid w:val="004B04B2"/>
    <w:pPr>
      <w:autoSpaceDE w:val="0"/>
      <w:autoSpaceDN w:val="0"/>
      <w:adjustRightInd w:val="0"/>
    </w:pPr>
    <w:rPr>
      <w:sz w:val="24"/>
    </w:rPr>
  </w:style>
  <w:style w:type="paragraph" w:styleId="ListParagraph">
    <w:name w:val="List Paragraph"/>
    <w:basedOn w:val="Normal"/>
    <w:uiPriority w:val="34"/>
    <w:qFormat/>
    <w:rsid w:val="00037C76"/>
    <w:pPr>
      <w:ind w:left="720"/>
      <w:contextualSpacing/>
    </w:pPr>
  </w:style>
  <w:style w:type="paragraph" w:styleId="Title">
    <w:name w:val="Title"/>
    <w:basedOn w:val="Normal"/>
    <w:next w:val="Normal"/>
    <w:link w:val="TitleChar"/>
    <w:uiPriority w:val="10"/>
    <w:qFormat/>
    <w:rsid w:val="000964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6471"/>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BoxSpace">
    <w:name w:val="Box Space"/>
    <w:basedOn w:val="BodyText"/>
    <w:rsid w:val="00AB3618"/>
    <w:pPr>
      <w:keepNext/>
      <w:spacing w:before="360" w:line="80" w:lineRule="exact"/>
      <w:jc w:val="left"/>
    </w:pPr>
  </w:style>
  <w:style w:type="table" w:styleId="TableGrid">
    <w:name w:val="Table Grid"/>
    <w:basedOn w:val="TableNormal"/>
    <w:uiPriority w:val="59"/>
    <w:rsid w:val="00AB361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3B37FB"/>
    <w:rPr>
      <w:rFonts w:asciiTheme="minorHAnsi" w:eastAsiaTheme="minorHAnsi" w:hAnsiTheme="minorHAnsi" w:cstheme="minorBidi"/>
      <w:szCs w:val="22"/>
      <w:lang w:eastAsia="en-US"/>
    </w:rPr>
  </w:style>
  <w:style w:type="character" w:customStyle="1" w:styleId="ReferenceChar">
    <w:name w:val="Reference Char"/>
    <w:link w:val="Reference"/>
    <w:locked/>
    <w:rsid w:val="00BA7C4C"/>
    <w:rPr>
      <w:sz w:val="26"/>
    </w:rPr>
  </w:style>
  <w:style w:type="paragraph" w:styleId="EndnoteText">
    <w:name w:val="endnote text"/>
    <w:basedOn w:val="Normal"/>
    <w:link w:val="EndnoteTextChar"/>
    <w:rsid w:val="00673F73"/>
    <w:pPr>
      <w:spacing w:after="0" w:line="240" w:lineRule="auto"/>
    </w:pPr>
    <w:rPr>
      <w:sz w:val="20"/>
      <w:szCs w:val="20"/>
    </w:rPr>
  </w:style>
  <w:style w:type="character" w:customStyle="1" w:styleId="EndnoteTextChar">
    <w:name w:val="Endnote Text Char"/>
    <w:basedOn w:val="DefaultParagraphFont"/>
    <w:link w:val="EndnoteText"/>
    <w:rsid w:val="00673F73"/>
    <w:rPr>
      <w:rFonts w:asciiTheme="minorHAnsi" w:eastAsiaTheme="minorHAnsi" w:hAnsiTheme="minorHAnsi" w:cstheme="minorBidi"/>
      <w:lang w:eastAsia="en-US"/>
    </w:rPr>
  </w:style>
  <w:style w:type="character" w:styleId="EndnoteReference">
    <w:name w:val="endnote reference"/>
    <w:basedOn w:val="DefaultParagraphFont"/>
    <w:rsid w:val="00673F73"/>
    <w:rPr>
      <w:vertAlign w:val="superscript"/>
    </w:rPr>
  </w:style>
  <w:style w:type="paragraph" w:styleId="CommentSubject">
    <w:name w:val="annotation subject"/>
    <w:basedOn w:val="CommentText"/>
    <w:next w:val="CommentText"/>
    <w:link w:val="CommentSubjectChar"/>
    <w:rsid w:val="003F78E0"/>
    <w:pPr>
      <w:spacing w:before="0" w:line="240" w:lineRule="auto"/>
      <w:ind w:left="0" w:firstLine="0"/>
    </w:pPr>
    <w:rPr>
      <w:b/>
      <w:bCs/>
      <w:szCs w:val="20"/>
    </w:rPr>
  </w:style>
  <w:style w:type="character" w:customStyle="1" w:styleId="CommentSubjectChar">
    <w:name w:val="Comment Subject Char"/>
    <w:basedOn w:val="CommentTextChar"/>
    <w:link w:val="CommentSubject"/>
    <w:rsid w:val="003F78E0"/>
    <w:rPr>
      <w:rFonts w:asciiTheme="minorHAnsi" w:eastAsiaTheme="minorHAnsi" w:hAnsiTheme="minorHAnsi" w:cstheme="minorBidi"/>
      <w:b/>
      <w:bCs/>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8FD54-7B66-4FBB-9B2D-B5D6F11A8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106</TotalTime>
  <Pages>28</Pages>
  <Words>7265</Words>
  <Characters>40147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ELMO Documentation</vt:lpstr>
    </vt:vector>
  </TitlesOfParts>
  <Company>Productivity Commission</Company>
  <LinksUpToDate>false</LinksUpToDate>
  <CharactersWithSpaces>47318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ELMO Documentation</dc:title>
  <dc:subject>ELMO Documentation</dc:subject>
  <dc:creator>Productivity Commission</dc:creator>
  <cp:keywords/>
  <dc:description>1.</dc:description>
  <cp:lastModifiedBy>Louise Jordan</cp:lastModifiedBy>
  <cp:revision>12</cp:revision>
  <cp:lastPrinted>2013-03-26T05:12:00Z</cp:lastPrinted>
  <dcterms:created xsi:type="dcterms:W3CDTF">2013-03-08T06:09:00Z</dcterms:created>
  <dcterms:modified xsi:type="dcterms:W3CDTF">2013-03-26T05:13:00Z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-1160787521</vt:i4>
  </property>
  <property fmtid="{D5CDD505-2E9C-101B-9397-08002B2CF9AE}" pid="3" name="_NewReviewCycle">
    <vt:lpwstr/>
  </property>
  <property fmtid="{D5CDD505-2E9C-101B-9397-08002B2CF9AE}" pid="4" name="_EmailSubject">
    <vt:lpwstr>ELMO model</vt:lpwstr>
  </property>
  <property fmtid="{D5CDD505-2E9C-101B-9397-08002B2CF9AE}" pid="5" name="_AuthorEmail">
    <vt:lpwstr>Louise.Jordan@pc.gov.au</vt:lpwstr>
  </property>
  <property fmtid="{D5CDD505-2E9C-101B-9397-08002B2CF9AE}" pid="6" name="_AuthorEmailDisplayName">
    <vt:lpwstr>Jordan, Louise</vt:lpwstr>
  </property>
</Properties>
</file>