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DC" w:rsidRPr="007C2D7C" w:rsidRDefault="00184633" w:rsidP="001126DC">
      <w:pPr>
        <w:pStyle w:val="Heading1"/>
        <w:rPr>
          <w:color w:val="FFFFFF" w:themeColor="background1"/>
          <w:sz w:val="16"/>
          <w:szCs w:val="16"/>
        </w:rPr>
      </w:pPr>
      <w:bookmarkStart w:id="0" w:name="_Overview"/>
      <w:bookmarkStart w:id="1" w:name="ChapterNumber"/>
      <w:bookmarkEnd w:id="0"/>
      <w:r>
        <w:rPr>
          <w:noProof/>
        </w:rPr>
        <w:drawing>
          <wp:anchor distT="0" distB="0" distL="114300" distR="114300" simplePos="0" relativeHeight="251660288" behindDoc="0" locked="0" layoutInCell="1" allowOverlap="1" wp14:anchorId="07D7DD23" wp14:editId="07D7DD24">
            <wp:simplePos x="1152525" y="2360930"/>
            <wp:positionH relativeFrom="page">
              <wp:align>center</wp:align>
            </wp:positionH>
            <wp:positionV relativeFrom="page">
              <wp:align>center</wp:align>
            </wp:positionV>
            <wp:extent cx="7591853" cy="10736000"/>
            <wp:effectExtent l="0" t="0" r="9525" b="8255"/>
            <wp:wrapNone/>
            <wp:docPr id="4" name="Picture 4"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ehands-cover-page-gst-collection.png"/>
                    <pic:cNvPicPr/>
                  </pic:nvPicPr>
                  <pic:blipFill>
                    <a:blip r:embed="rId14">
                      <a:extLst>
                        <a:ext uri="{28A0092B-C50C-407E-A947-70E740481C1C}">
                          <a14:useLocalDpi xmlns:a14="http://schemas.microsoft.com/office/drawing/2010/main" val="0"/>
                        </a:ext>
                      </a:extLst>
                    </a:blip>
                    <a:stretch>
                      <a:fillRect/>
                    </a:stretch>
                  </pic:blipFill>
                  <pic:spPr>
                    <a:xfrm>
                      <a:off x="0" y="0"/>
                      <a:ext cx="7591853" cy="10736000"/>
                    </a:xfrm>
                    <a:prstGeom prst="rect">
                      <a:avLst/>
                    </a:prstGeom>
                  </pic:spPr>
                </pic:pic>
              </a:graphicData>
            </a:graphic>
            <wp14:sizeRelH relativeFrom="margin">
              <wp14:pctWidth>0</wp14:pctWidth>
            </wp14:sizeRelH>
            <wp14:sizeRelV relativeFrom="margin">
              <wp14:pctHeight>0</wp14:pctHeight>
            </wp14:sizeRelV>
          </wp:anchor>
        </w:drawing>
      </w:r>
      <w:r w:rsidR="001126DC" w:rsidRPr="007C2D7C">
        <w:rPr>
          <w:color w:val="FFFFFF" w:themeColor="background1"/>
          <w:sz w:val="16"/>
          <w:szCs w:val="16"/>
        </w:rPr>
        <w:t>Collection Models for GST on Low Value Imported Goods</w:t>
      </w:r>
    </w:p>
    <w:p w:rsidR="001126DC" w:rsidRPr="007C2D7C" w:rsidRDefault="001126DC" w:rsidP="001126DC">
      <w:pPr>
        <w:pStyle w:val="BodyText"/>
      </w:pPr>
      <w:r w:rsidRPr="007C2D7C">
        <w:rPr>
          <w:color w:val="FFFFFF" w:themeColor="background1"/>
          <w:sz w:val="16"/>
          <w:szCs w:val="16"/>
        </w:rPr>
        <w:t>Productivity Commission Inquiry Report no. 86</w:t>
      </w:r>
      <w:r>
        <w:br w:type="page"/>
      </w:r>
    </w:p>
    <w:p w:rsidR="001126DC" w:rsidRPr="001126DC" w:rsidRDefault="001126DC" w:rsidP="001126DC">
      <w:pPr>
        <w:pStyle w:val="Copyrightheading"/>
        <w:rPr>
          <w:sz w:val="20"/>
          <w:szCs w:val="20"/>
        </w:rPr>
      </w:pPr>
      <w:r w:rsidRPr="001126DC">
        <w:rPr>
          <w:sz w:val="20"/>
          <w:szCs w:val="20"/>
        </w:rPr>
        <w:lastRenderedPageBreak/>
        <w:fldChar w:fldCharType="begin"/>
      </w:r>
      <w:r w:rsidRPr="001126DC">
        <w:rPr>
          <w:sz w:val="20"/>
          <w:szCs w:val="20"/>
        </w:rPr>
        <w:instrText>SYMBOL 227 \f "Symbol"</w:instrText>
      </w:r>
      <w:r w:rsidRPr="001126DC">
        <w:rPr>
          <w:sz w:val="20"/>
          <w:szCs w:val="20"/>
        </w:rPr>
        <w:fldChar w:fldCharType="end"/>
      </w:r>
      <w:r w:rsidRPr="001126DC">
        <w:rPr>
          <w:sz w:val="20"/>
          <w:szCs w:val="20"/>
        </w:rPr>
        <w:t xml:space="preserve"> Commonwealth of Australia 2017</w:t>
      </w:r>
    </w:p>
    <w:p w:rsidR="001126DC" w:rsidRPr="001126DC" w:rsidRDefault="001126DC" w:rsidP="001126DC">
      <w:pPr>
        <w:spacing w:before="240"/>
        <w:rPr>
          <w:b/>
          <w:sz w:val="20"/>
          <w:szCs w:val="20"/>
        </w:rPr>
      </w:pPr>
      <w:bookmarkStart w:id="2" w:name="ISSN"/>
      <w:bookmarkEnd w:id="2"/>
      <w:r w:rsidRPr="001126DC">
        <w:rPr>
          <w:b/>
          <w:sz w:val="20"/>
          <w:szCs w:val="20"/>
        </w:rPr>
        <w:t>ISSN</w:t>
      </w:r>
      <w:r w:rsidRPr="001126DC">
        <w:rPr>
          <w:b/>
          <w:sz w:val="20"/>
          <w:szCs w:val="20"/>
        </w:rPr>
        <w:tab/>
        <w:t>1447-1337 (online)</w:t>
      </w:r>
    </w:p>
    <w:p w:rsidR="001126DC" w:rsidRPr="001126DC" w:rsidRDefault="001126DC" w:rsidP="001126DC">
      <w:pPr>
        <w:spacing w:before="20"/>
        <w:rPr>
          <w:b/>
          <w:sz w:val="20"/>
          <w:szCs w:val="20"/>
        </w:rPr>
      </w:pPr>
      <w:r w:rsidRPr="001126DC">
        <w:rPr>
          <w:b/>
          <w:sz w:val="20"/>
          <w:szCs w:val="20"/>
        </w:rPr>
        <w:t>ISSN</w:t>
      </w:r>
      <w:r w:rsidRPr="001126DC">
        <w:rPr>
          <w:b/>
          <w:sz w:val="20"/>
          <w:szCs w:val="20"/>
        </w:rPr>
        <w:tab/>
        <w:t>1447-1329 (print)</w:t>
      </w:r>
    </w:p>
    <w:p w:rsidR="001126DC" w:rsidRPr="001126DC" w:rsidRDefault="001126DC" w:rsidP="001126DC">
      <w:pPr>
        <w:spacing w:before="20"/>
        <w:rPr>
          <w:b/>
          <w:sz w:val="20"/>
          <w:szCs w:val="20"/>
        </w:rPr>
      </w:pPr>
      <w:r w:rsidRPr="001126DC">
        <w:rPr>
          <w:b/>
          <w:sz w:val="20"/>
          <w:szCs w:val="20"/>
        </w:rPr>
        <w:t>ISBN</w:t>
      </w:r>
      <w:r w:rsidRPr="001126DC">
        <w:rPr>
          <w:rFonts w:ascii="Arial" w:hAnsi="Arial" w:cs="Arial"/>
          <w:sz w:val="20"/>
          <w:szCs w:val="20"/>
        </w:rPr>
        <w:t xml:space="preserve"> </w:t>
      </w:r>
      <w:r w:rsidRPr="001126DC">
        <w:rPr>
          <w:rFonts w:ascii="Arial" w:hAnsi="Arial" w:cs="Arial"/>
          <w:sz w:val="20"/>
          <w:szCs w:val="20"/>
        </w:rPr>
        <w:tab/>
      </w:r>
      <w:r w:rsidRPr="001126DC">
        <w:rPr>
          <w:b/>
          <w:sz w:val="20"/>
          <w:szCs w:val="20"/>
        </w:rPr>
        <w:t>978-1-74037-648-8 (online)</w:t>
      </w:r>
    </w:p>
    <w:p w:rsidR="001126DC" w:rsidRPr="001126DC" w:rsidRDefault="001126DC" w:rsidP="001126DC">
      <w:pPr>
        <w:spacing w:before="20"/>
        <w:rPr>
          <w:b/>
          <w:sz w:val="20"/>
          <w:szCs w:val="20"/>
        </w:rPr>
      </w:pPr>
      <w:r w:rsidRPr="001126DC">
        <w:rPr>
          <w:b/>
          <w:sz w:val="20"/>
          <w:szCs w:val="20"/>
        </w:rPr>
        <w:t>ISBN</w:t>
      </w:r>
      <w:r w:rsidRPr="001126DC">
        <w:rPr>
          <w:rFonts w:ascii="Arial" w:hAnsi="Arial" w:cs="Arial"/>
          <w:sz w:val="20"/>
          <w:szCs w:val="20"/>
        </w:rPr>
        <w:t xml:space="preserve"> </w:t>
      </w:r>
      <w:r w:rsidRPr="001126DC">
        <w:rPr>
          <w:rFonts w:ascii="Arial" w:hAnsi="Arial" w:cs="Arial"/>
          <w:sz w:val="20"/>
          <w:szCs w:val="20"/>
        </w:rPr>
        <w:tab/>
      </w:r>
      <w:r w:rsidRPr="001126DC">
        <w:rPr>
          <w:b/>
          <w:sz w:val="20"/>
          <w:szCs w:val="20"/>
        </w:rPr>
        <w:t>978-1-74037-647-1 (print)</w:t>
      </w:r>
    </w:p>
    <w:p w:rsidR="001126DC" w:rsidRDefault="001126DC" w:rsidP="001126DC">
      <w:pPr>
        <w:pStyle w:val="BodyText"/>
        <w:spacing w:after="120"/>
      </w:pPr>
      <w:r w:rsidRPr="00862D8F">
        <w:rPr>
          <w:noProof/>
          <w:sz w:val="22"/>
          <w:szCs w:val="22"/>
        </w:rPr>
        <w:drawing>
          <wp:inline distT="0" distB="0" distL="0" distR="0" wp14:anchorId="07D7DD25" wp14:editId="07D7DD26">
            <wp:extent cx="843280" cy="295043"/>
            <wp:effectExtent l="0" t="0" r="0" b="0"/>
            <wp:docPr id="6" name="Picture 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1126DC" w:rsidRPr="001126DC" w:rsidRDefault="001126DC" w:rsidP="001126DC">
      <w:pPr>
        <w:pStyle w:val="Copyrightbodytext"/>
        <w:rPr>
          <w:sz w:val="20"/>
        </w:rPr>
      </w:pPr>
      <w:r w:rsidRPr="001126DC">
        <w:rPr>
          <w:sz w:val="20"/>
        </w:rPr>
        <w:t xml:space="preserve">Except for the Commonwealth Coat of Arms and content supplied by third parties, this copyright work is licensed under a Creative Commons Attribution 3.0 Australia licence. To view a copy of this licence, </w:t>
      </w:r>
      <w:proofErr w:type="gramStart"/>
      <w:r w:rsidRPr="001126DC">
        <w:rPr>
          <w:sz w:val="20"/>
        </w:rPr>
        <w:t xml:space="preserve">visit </w:t>
      </w:r>
      <w:proofErr w:type="gramEnd"/>
      <w:r w:rsidR="006A49A9">
        <w:fldChar w:fldCharType="begin"/>
      </w:r>
      <w:r w:rsidR="006A49A9">
        <w:instrText xml:space="preserve"> HYPERLINK "http://creativecommons.org/licenses/by/3.0/au" </w:instrText>
      </w:r>
      <w:r w:rsidR="006A49A9">
        <w:fldChar w:fldCharType="separate"/>
      </w:r>
      <w:hyperlink r:id="rId16" w:history="1">
        <w:r w:rsidRPr="001126DC">
          <w:rPr>
            <w:sz w:val="20"/>
          </w:rPr>
          <w:t>http://creativecommons.org/licenses/by/3.0/au</w:t>
        </w:r>
      </w:hyperlink>
      <w:r w:rsidR="006A49A9">
        <w:rPr>
          <w:sz w:val="20"/>
        </w:rPr>
        <w:fldChar w:fldCharType="end"/>
      </w:r>
      <w:r w:rsidRPr="001126DC">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1126DC" w:rsidRPr="008A3857" w:rsidRDefault="001126DC" w:rsidP="001126DC">
      <w:pPr>
        <w:pStyle w:val="Copyrightsubtitle"/>
      </w:pPr>
      <w:r w:rsidRPr="008A3857">
        <w:t>Use of the Commonwealth Coat of Arms</w:t>
      </w:r>
    </w:p>
    <w:p w:rsidR="001126DC" w:rsidRPr="001126DC" w:rsidRDefault="001126DC" w:rsidP="001126DC">
      <w:pPr>
        <w:pStyle w:val="Copyrightbodytext"/>
        <w:rPr>
          <w:sz w:val="20"/>
        </w:rPr>
      </w:pPr>
      <w:r w:rsidRPr="001126DC">
        <w:rPr>
          <w:sz w:val="20"/>
        </w:rPr>
        <w:t xml:space="preserve">Terms of use for the Coat of Arms are available from the Department of the Prime Minister and Cabinet’s website: </w:t>
      </w:r>
      <w:hyperlink r:id="rId17" w:history="1">
        <w:r w:rsidRPr="001126DC">
          <w:rPr>
            <w:rStyle w:val="Hyperlink"/>
            <w:sz w:val="20"/>
          </w:rPr>
          <w:t>https://www.pmc.gov.au/government/commonwealth-coat-arms</w:t>
        </w:r>
      </w:hyperlink>
    </w:p>
    <w:p w:rsidR="001126DC" w:rsidRPr="008A3857" w:rsidRDefault="001126DC" w:rsidP="001126DC">
      <w:pPr>
        <w:pStyle w:val="Copyrightsubtitle"/>
      </w:pPr>
      <w:r w:rsidRPr="008A3857">
        <w:t>Third party copyright</w:t>
      </w:r>
    </w:p>
    <w:p w:rsidR="001126DC" w:rsidRPr="001126DC" w:rsidRDefault="001126DC" w:rsidP="001126DC">
      <w:pPr>
        <w:pStyle w:val="Copyrightbodytext"/>
        <w:rPr>
          <w:sz w:val="20"/>
        </w:rPr>
      </w:pPr>
      <w:r w:rsidRPr="001126DC">
        <w:rPr>
          <w:sz w:val="20"/>
        </w:rPr>
        <w:t>Wherever a third party holds copyright in this material, the copyright remains with that party. Their permission may be required to use the material, please contact them directly.</w:t>
      </w:r>
    </w:p>
    <w:p w:rsidR="001126DC" w:rsidRPr="008A3857" w:rsidRDefault="001126DC" w:rsidP="001126DC">
      <w:pPr>
        <w:pStyle w:val="Copyrightsubtitle"/>
      </w:pPr>
      <w:r w:rsidRPr="008A3857">
        <w:t>Attribution</w:t>
      </w:r>
    </w:p>
    <w:p w:rsidR="001126DC" w:rsidRPr="001126DC" w:rsidRDefault="001126DC" w:rsidP="001126DC">
      <w:pPr>
        <w:pStyle w:val="Copyrightbodytext"/>
        <w:rPr>
          <w:sz w:val="20"/>
        </w:rPr>
      </w:pPr>
      <w:r w:rsidRPr="001126DC">
        <w:rPr>
          <w:sz w:val="20"/>
        </w:rPr>
        <w:t xml:space="preserve">This work should be attributed as follows, </w:t>
      </w:r>
      <w:r w:rsidRPr="001126DC">
        <w:rPr>
          <w:i/>
          <w:sz w:val="20"/>
        </w:rPr>
        <w:t>Source: Productivity Commission, 2017, Collection Models for GST on Low Value Imported Goods, Inquiry Report</w:t>
      </w:r>
      <w:r w:rsidRPr="001126DC">
        <w:rPr>
          <w:sz w:val="20"/>
        </w:rPr>
        <w:t>.</w:t>
      </w:r>
    </w:p>
    <w:p w:rsidR="001126DC" w:rsidRPr="001126DC" w:rsidRDefault="001126DC" w:rsidP="001126DC">
      <w:pPr>
        <w:pStyle w:val="Copyrightbodytext"/>
        <w:spacing w:before="120"/>
        <w:rPr>
          <w:sz w:val="20"/>
        </w:rPr>
      </w:pPr>
      <w:r w:rsidRPr="001126DC">
        <w:rPr>
          <w:sz w:val="20"/>
        </w:rPr>
        <w:t xml:space="preserve">If you have adapted, modified or transformed this work in anyway, please use the following, </w:t>
      </w:r>
      <w:r w:rsidRPr="001126DC">
        <w:rPr>
          <w:i/>
          <w:sz w:val="20"/>
        </w:rPr>
        <w:t>Source: based on Productivity Commission data, Collection Models for GST on Low Value Imported Goods, Inquiry Report</w:t>
      </w:r>
      <w:r w:rsidRPr="001126DC">
        <w:rPr>
          <w:sz w:val="20"/>
        </w:rPr>
        <w:t>.</w:t>
      </w:r>
    </w:p>
    <w:p w:rsidR="001126DC" w:rsidRPr="008A3857" w:rsidRDefault="001126DC" w:rsidP="001126DC">
      <w:pPr>
        <w:pStyle w:val="Copyrightsubtitle"/>
      </w:pPr>
      <w:r w:rsidRPr="008A3857">
        <w:t xml:space="preserve">An appropriate </w:t>
      </w:r>
      <w:r>
        <w:t>reference</w:t>
      </w:r>
      <w:r w:rsidRPr="008A3857">
        <w:t xml:space="preserve"> for this publication is:</w:t>
      </w:r>
    </w:p>
    <w:p w:rsidR="001126DC" w:rsidRPr="001126DC" w:rsidRDefault="001126DC" w:rsidP="001126DC">
      <w:pPr>
        <w:pStyle w:val="Copyrightbodytext"/>
        <w:rPr>
          <w:sz w:val="20"/>
        </w:rPr>
      </w:pPr>
      <w:bookmarkStart w:id="3" w:name="JEL"/>
      <w:bookmarkEnd w:id="3"/>
      <w:r w:rsidRPr="001126DC">
        <w:rPr>
          <w:sz w:val="20"/>
        </w:rPr>
        <w:t>Productivity Commission 2017,</w:t>
      </w:r>
      <w:r w:rsidRPr="001126DC">
        <w:rPr>
          <w:i/>
          <w:sz w:val="20"/>
        </w:rPr>
        <w:t xml:space="preserve"> Collection Models for GST on Low Value Imported Goods</w:t>
      </w:r>
      <w:r w:rsidRPr="001126DC">
        <w:rPr>
          <w:sz w:val="20"/>
        </w:rPr>
        <w:t>, Report no. 86, Canberra.</w:t>
      </w:r>
    </w:p>
    <w:p w:rsidR="001126DC" w:rsidRPr="008A3857" w:rsidRDefault="001126DC" w:rsidP="001126DC">
      <w:pPr>
        <w:pStyle w:val="Copyrightsubtitle"/>
      </w:pPr>
      <w:r w:rsidRPr="008A3857">
        <w:t>Publications enquiries</w:t>
      </w:r>
    </w:p>
    <w:p w:rsidR="001126DC" w:rsidRPr="001126DC" w:rsidRDefault="001126DC" w:rsidP="001126DC">
      <w:pPr>
        <w:pStyle w:val="Copyrightbodytext"/>
        <w:rPr>
          <w:sz w:val="20"/>
        </w:rPr>
      </w:pPr>
      <w:r w:rsidRPr="001126DC">
        <w:rPr>
          <w:sz w:val="20"/>
        </w:rPr>
        <w:t>Media and Publications, phone: (03) 9653 2244 or email: maps@pc.gov.au</w:t>
      </w:r>
    </w:p>
    <w:p w:rsidR="001126DC" w:rsidRDefault="001126DC" w:rsidP="001126DC">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1126DC" w:rsidTr="001A6756">
        <w:trPr>
          <w:tblHeader/>
        </w:trPr>
        <w:tc>
          <w:tcPr>
            <w:tcW w:w="8789" w:type="dxa"/>
            <w:tcBorders>
              <w:top w:val="single" w:sz="6" w:space="0" w:color="78A22F"/>
              <w:left w:val="nil"/>
              <w:bottom w:val="nil"/>
              <w:right w:val="nil"/>
            </w:tcBorders>
            <w:shd w:val="clear" w:color="auto" w:fill="F2F2F2" w:themeFill="background1" w:themeFillShade="F2"/>
          </w:tcPr>
          <w:p w:rsidR="001126DC" w:rsidRPr="008A3857" w:rsidRDefault="001126DC" w:rsidP="001A6756">
            <w:pPr>
              <w:pStyle w:val="BoxTitle"/>
              <w:rPr>
                <w:sz w:val="22"/>
                <w:szCs w:val="22"/>
              </w:rPr>
            </w:pPr>
            <w:r w:rsidRPr="008A3857">
              <w:rPr>
                <w:sz w:val="22"/>
                <w:szCs w:val="22"/>
              </w:rPr>
              <w:t>The Productivity Commission</w:t>
            </w:r>
          </w:p>
        </w:tc>
      </w:tr>
      <w:tr w:rsidR="001126DC" w:rsidTr="001A6756">
        <w:tc>
          <w:tcPr>
            <w:tcW w:w="8789" w:type="dxa"/>
            <w:tcBorders>
              <w:top w:val="nil"/>
              <w:left w:val="nil"/>
              <w:bottom w:val="nil"/>
              <w:right w:val="nil"/>
            </w:tcBorders>
            <w:shd w:val="clear" w:color="auto" w:fill="F2F2F2" w:themeFill="background1" w:themeFillShade="F2"/>
          </w:tcPr>
          <w:p w:rsidR="001126DC" w:rsidRDefault="001126DC" w:rsidP="001A6756">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1126DC" w:rsidRDefault="001126DC" w:rsidP="001A6756">
            <w:pPr>
              <w:pStyle w:val="Box"/>
            </w:pPr>
            <w:r w:rsidRPr="00BB5DCF">
              <w:t>The Commission’s independence is underpinned by an Act of Parliament. Its processes and outputs are open to public scrutiny and are driven by concern for the wellbeing of the community as a whole.</w:t>
            </w:r>
          </w:p>
          <w:p w:rsidR="001126DC" w:rsidRDefault="001126DC" w:rsidP="001A6756">
            <w:pPr>
              <w:pStyle w:val="Box"/>
            </w:pPr>
            <w:r w:rsidRPr="00BB5DCF">
              <w:rPr>
                <w:szCs w:val="24"/>
              </w:rPr>
              <w:t>Further information on the Productivity Commission can be obtained from the Commission’s website (</w:t>
            </w:r>
            <w:hyperlink r:id="rId18" w:history="1">
              <w:r w:rsidRPr="00805FD7">
                <w:t>www.pc.gov.au</w:t>
              </w:r>
            </w:hyperlink>
            <w:r w:rsidRPr="00BB5DCF">
              <w:rPr>
                <w:szCs w:val="24"/>
              </w:rPr>
              <w:t>)</w:t>
            </w:r>
            <w:r>
              <w:rPr>
                <w:szCs w:val="24"/>
              </w:rPr>
              <w:t>.</w:t>
            </w:r>
          </w:p>
        </w:tc>
      </w:tr>
      <w:tr w:rsidR="001126DC" w:rsidTr="001A6756">
        <w:tc>
          <w:tcPr>
            <w:tcW w:w="8789" w:type="dxa"/>
            <w:tcBorders>
              <w:top w:val="nil"/>
              <w:left w:val="nil"/>
              <w:bottom w:val="single" w:sz="6" w:space="0" w:color="78A22F"/>
              <w:right w:val="nil"/>
            </w:tcBorders>
            <w:shd w:val="clear" w:color="auto" w:fill="F2F2F2" w:themeFill="background1" w:themeFillShade="F2"/>
          </w:tcPr>
          <w:p w:rsidR="001126DC" w:rsidRDefault="001126DC" w:rsidP="001A6756">
            <w:pPr>
              <w:pStyle w:val="Box"/>
              <w:spacing w:before="0" w:line="120" w:lineRule="exact"/>
            </w:pPr>
          </w:p>
        </w:tc>
      </w:tr>
    </w:tbl>
    <w:p w:rsidR="001126DC" w:rsidRDefault="001126DC" w:rsidP="001126DC">
      <w:pPr>
        <w:pStyle w:val="Signoff"/>
      </w:pPr>
      <w:bookmarkStart w:id="4" w:name="cov"/>
      <w:bookmarkEnd w:id="4"/>
    </w:p>
    <w:p w:rsidR="001126DC" w:rsidRDefault="001126DC" w:rsidP="001126DC">
      <w:pPr>
        <w:pStyle w:val="Signoff"/>
        <w:sectPr w:rsidR="001126DC" w:rsidSect="001126DC">
          <w:pgSz w:w="11907" w:h="16840" w:code="9"/>
          <w:pgMar w:top="1304" w:right="1304" w:bottom="567" w:left="1814" w:header="1701" w:footer="397" w:gutter="0"/>
          <w:pgNumType w:fmt="lowerRoman" w:start="1"/>
          <w:cols w:space="720"/>
          <w:titlePg/>
        </w:sectPr>
      </w:pPr>
    </w:p>
    <w:p w:rsidR="001126DC" w:rsidRPr="00247FDA" w:rsidRDefault="001126DC" w:rsidP="001126DC">
      <w:pPr>
        <w:pStyle w:val="Heading1NotTOC"/>
        <w:rPr>
          <w:noProof/>
          <w:sz w:val="23"/>
          <w:szCs w:val="23"/>
        </w:rPr>
      </w:pPr>
      <w:bookmarkStart w:id="5" w:name="Contents"/>
      <w:bookmarkEnd w:id="5"/>
      <w:r w:rsidRPr="00B153C3">
        <w:lastRenderedPageBreak/>
        <w:t>Contents</w:t>
      </w:r>
      <w:bookmarkStart w:id="6" w:name="InsertContents"/>
      <w:bookmarkEnd w:id="6"/>
    </w:p>
    <w:p w:rsidR="001C3E98" w:rsidRDefault="001C3E98" w:rsidP="001126DC">
      <w:pPr>
        <w:pStyle w:val="TOC1"/>
        <w:spacing w:before="360"/>
        <w:rPr>
          <w:noProof/>
          <w:sz w:val="23"/>
          <w:szCs w:val="23"/>
        </w:rPr>
      </w:pPr>
      <w:r>
        <w:rPr>
          <w:noProof/>
          <w:sz w:val="23"/>
          <w:szCs w:val="23"/>
        </w:rPr>
        <w:t>Key points</w:t>
      </w:r>
      <w:r>
        <w:rPr>
          <w:noProof/>
          <w:sz w:val="23"/>
          <w:szCs w:val="23"/>
        </w:rPr>
        <w:tab/>
        <w:t>2</w:t>
      </w:r>
      <w:r w:rsidRPr="00247FDA">
        <w:rPr>
          <w:noProof/>
          <w:sz w:val="23"/>
          <w:szCs w:val="23"/>
        </w:rPr>
        <w:t xml:space="preserve"> </w:t>
      </w:r>
    </w:p>
    <w:p w:rsidR="001126DC" w:rsidRPr="00247FDA" w:rsidRDefault="001126DC" w:rsidP="001126DC">
      <w:pPr>
        <w:pStyle w:val="TOC1"/>
        <w:spacing w:before="360"/>
        <w:rPr>
          <w:rFonts w:asciiTheme="minorHAnsi" w:eastAsiaTheme="minorEastAsia" w:hAnsiTheme="minorHAnsi" w:cstheme="minorBidi"/>
          <w:b w:val="0"/>
          <w:noProof/>
          <w:sz w:val="23"/>
          <w:szCs w:val="23"/>
          <w:lang w:eastAsia="en-AU"/>
        </w:rPr>
      </w:pPr>
      <w:r w:rsidRPr="00247FDA">
        <w:rPr>
          <w:noProof/>
          <w:sz w:val="23"/>
          <w:szCs w:val="23"/>
        </w:rPr>
        <w:t>Overview</w:t>
      </w:r>
      <w:r w:rsidRPr="00247FDA">
        <w:rPr>
          <w:noProof/>
          <w:sz w:val="23"/>
          <w:szCs w:val="23"/>
        </w:rPr>
        <w:tab/>
      </w:r>
      <w:r>
        <w:rPr>
          <w:noProof/>
          <w:sz w:val="22"/>
          <w:szCs w:val="22"/>
        </w:rPr>
        <w:t>3</w:t>
      </w:r>
    </w:p>
    <w:p w:rsidR="001126DC" w:rsidRPr="00247FDA" w:rsidRDefault="001126DC" w:rsidP="001126DC">
      <w:pPr>
        <w:pStyle w:val="TOC2"/>
        <w:tabs>
          <w:tab w:val="left" w:pos="1190"/>
        </w:tabs>
        <w:rPr>
          <w:rFonts w:asciiTheme="minorHAnsi" w:eastAsiaTheme="minorEastAsia" w:hAnsiTheme="minorHAnsi" w:cstheme="minorBidi"/>
          <w:noProof/>
          <w:sz w:val="23"/>
          <w:szCs w:val="23"/>
          <w:lang w:eastAsia="en-AU"/>
        </w:rPr>
      </w:pPr>
      <w:r>
        <w:rPr>
          <w:rFonts w:asciiTheme="minorHAnsi" w:eastAsiaTheme="minorEastAsia" w:hAnsiTheme="minorHAnsi" w:cstheme="minorBidi"/>
          <w:noProof/>
          <w:sz w:val="23"/>
          <w:szCs w:val="23"/>
          <w:lang w:eastAsia="en-AU"/>
        </w:rPr>
        <w:t>Setting the scene</w:t>
      </w:r>
      <w:r w:rsidRPr="00247FDA">
        <w:rPr>
          <w:noProof/>
          <w:sz w:val="23"/>
          <w:szCs w:val="23"/>
        </w:rPr>
        <w:tab/>
      </w:r>
      <w:r>
        <w:rPr>
          <w:noProof/>
          <w:sz w:val="22"/>
          <w:szCs w:val="22"/>
        </w:rPr>
        <w:t>3</w:t>
      </w:r>
    </w:p>
    <w:p w:rsidR="001126DC" w:rsidRPr="00247FDA" w:rsidRDefault="001126DC" w:rsidP="001126DC">
      <w:pPr>
        <w:pStyle w:val="TOC2"/>
        <w:tabs>
          <w:tab w:val="left" w:pos="1190"/>
        </w:tabs>
        <w:rPr>
          <w:rFonts w:asciiTheme="minorHAnsi" w:eastAsiaTheme="minorEastAsia" w:hAnsiTheme="minorHAnsi" w:cstheme="minorBidi"/>
          <w:noProof/>
          <w:sz w:val="23"/>
          <w:szCs w:val="23"/>
          <w:lang w:eastAsia="en-AU"/>
        </w:rPr>
      </w:pPr>
      <w:r w:rsidRPr="00247FDA">
        <w:rPr>
          <w:noProof/>
          <w:sz w:val="23"/>
          <w:szCs w:val="23"/>
        </w:rPr>
        <w:t xml:space="preserve">The </w:t>
      </w:r>
      <w:r>
        <w:rPr>
          <w:noProof/>
          <w:sz w:val="23"/>
          <w:szCs w:val="23"/>
        </w:rPr>
        <w:t>legislated model</w:t>
      </w:r>
      <w:r w:rsidRPr="00247FDA">
        <w:rPr>
          <w:noProof/>
          <w:sz w:val="23"/>
          <w:szCs w:val="23"/>
        </w:rPr>
        <w:tab/>
      </w:r>
      <w:r>
        <w:rPr>
          <w:noProof/>
          <w:sz w:val="22"/>
          <w:szCs w:val="22"/>
        </w:rPr>
        <w:t>5</w:t>
      </w:r>
    </w:p>
    <w:p w:rsidR="001126DC" w:rsidRPr="00247FDA" w:rsidRDefault="001126DC" w:rsidP="001126DC">
      <w:pPr>
        <w:pStyle w:val="TOC2"/>
        <w:tabs>
          <w:tab w:val="left" w:pos="1190"/>
        </w:tabs>
        <w:rPr>
          <w:rFonts w:asciiTheme="minorHAnsi" w:eastAsiaTheme="minorEastAsia" w:hAnsiTheme="minorHAnsi" w:cstheme="minorBidi"/>
          <w:noProof/>
          <w:sz w:val="23"/>
          <w:szCs w:val="23"/>
          <w:lang w:eastAsia="en-AU"/>
        </w:rPr>
      </w:pPr>
      <w:r>
        <w:rPr>
          <w:noProof/>
          <w:sz w:val="23"/>
          <w:szCs w:val="23"/>
        </w:rPr>
        <w:t>Is there a superior collection model?</w:t>
      </w:r>
      <w:r w:rsidRPr="00247FDA">
        <w:rPr>
          <w:noProof/>
          <w:sz w:val="23"/>
          <w:szCs w:val="23"/>
        </w:rPr>
        <w:tab/>
      </w:r>
      <w:r>
        <w:rPr>
          <w:noProof/>
          <w:sz w:val="22"/>
          <w:szCs w:val="22"/>
        </w:rPr>
        <w:t>8</w:t>
      </w:r>
    </w:p>
    <w:p w:rsidR="001126DC" w:rsidRPr="00247FDA" w:rsidRDefault="001126DC" w:rsidP="001126DC">
      <w:pPr>
        <w:pStyle w:val="TOC2"/>
        <w:tabs>
          <w:tab w:val="left" w:pos="1190"/>
        </w:tabs>
        <w:rPr>
          <w:rFonts w:asciiTheme="minorHAnsi" w:eastAsiaTheme="minorEastAsia" w:hAnsiTheme="minorHAnsi" w:cstheme="minorBidi"/>
          <w:noProof/>
          <w:sz w:val="23"/>
          <w:szCs w:val="23"/>
          <w:lang w:eastAsia="en-AU"/>
        </w:rPr>
      </w:pPr>
      <w:r w:rsidRPr="00247FDA">
        <w:rPr>
          <w:noProof/>
          <w:sz w:val="23"/>
          <w:szCs w:val="23"/>
        </w:rPr>
        <w:t xml:space="preserve">The </w:t>
      </w:r>
      <w:r>
        <w:rPr>
          <w:noProof/>
          <w:sz w:val="23"/>
          <w:szCs w:val="23"/>
        </w:rPr>
        <w:t>way ahead</w:t>
      </w:r>
      <w:r w:rsidRPr="00247FDA">
        <w:rPr>
          <w:noProof/>
          <w:sz w:val="23"/>
          <w:szCs w:val="23"/>
        </w:rPr>
        <w:tab/>
      </w:r>
      <w:r>
        <w:rPr>
          <w:noProof/>
          <w:sz w:val="22"/>
          <w:szCs w:val="22"/>
        </w:rPr>
        <w:t>10</w:t>
      </w:r>
    </w:p>
    <w:p w:rsidR="001126DC" w:rsidRDefault="001126DC" w:rsidP="001126DC">
      <w:pPr>
        <w:pStyle w:val="TOC1"/>
        <w:rPr>
          <w:noProof/>
          <w:sz w:val="22"/>
          <w:szCs w:val="22"/>
        </w:rPr>
      </w:pPr>
      <w:r w:rsidRPr="00247FDA">
        <w:rPr>
          <w:noProof/>
          <w:sz w:val="23"/>
          <w:szCs w:val="23"/>
        </w:rPr>
        <w:t>Conclusions and recommendation</w:t>
      </w:r>
      <w:r w:rsidRPr="00247FDA">
        <w:rPr>
          <w:noProof/>
          <w:sz w:val="23"/>
          <w:szCs w:val="23"/>
        </w:rPr>
        <w:tab/>
      </w:r>
      <w:r w:rsidRPr="00247FDA">
        <w:rPr>
          <w:noProof/>
          <w:sz w:val="22"/>
          <w:szCs w:val="22"/>
        </w:rPr>
        <w:t>13</w:t>
      </w:r>
    </w:p>
    <w:p w:rsidR="00936A95" w:rsidRDefault="00936A95" w:rsidP="00936A95">
      <w:pPr>
        <w:pStyle w:val="TOC2"/>
        <w:ind w:left="0" w:firstLine="0"/>
        <w:rPr>
          <w:b/>
          <w:noProof/>
        </w:rPr>
      </w:pPr>
    </w:p>
    <w:p w:rsidR="00936A95" w:rsidRPr="00936A95" w:rsidRDefault="00936A95" w:rsidP="00936A95">
      <w:pPr>
        <w:pStyle w:val="TOC2"/>
        <w:ind w:left="0" w:firstLine="0"/>
        <w:rPr>
          <w:rFonts w:eastAsiaTheme="minorEastAsia"/>
        </w:rPr>
      </w:pPr>
      <w:r>
        <w:rPr>
          <w:b/>
          <w:noProof/>
        </w:rPr>
        <w:t xml:space="preserve">The full </w:t>
      </w:r>
      <w:r w:rsidRPr="00943F69">
        <w:rPr>
          <w:b/>
          <w:noProof/>
        </w:rPr>
        <w:t xml:space="preserve">report is available from </w:t>
      </w:r>
      <w:hyperlink r:id="rId19" w:history="1">
        <w:r w:rsidRPr="00943F69">
          <w:rPr>
            <w:rStyle w:val="Hyperlink"/>
            <w:b/>
            <w:noProof/>
          </w:rPr>
          <w:t>www.pc.gov.au</w:t>
        </w:r>
      </w:hyperlink>
    </w:p>
    <w:p w:rsidR="001126DC" w:rsidRDefault="001126DC" w:rsidP="001126DC">
      <w:pPr>
        <w:pStyle w:val="BodyText"/>
      </w:pPr>
    </w:p>
    <w:p w:rsidR="001126DC" w:rsidRDefault="001126DC" w:rsidP="001126DC">
      <w:pPr>
        <w:pStyle w:val="BodyText"/>
        <w:sectPr w:rsidR="001126DC" w:rsidSect="001A6756">
          <w:headerReference w:type="even" r:id="rId20"/>
          <w:headerReference w:type="default" r:id="rId21"/>
          <w:footerReference w:type="even" r:id="rId22"/>
          <w:footerReference w:type="default" r:id="rId23"/>
          <w:type w:val="oddPage"/>
          <w:pgSz w:w="11907" w:h="16840" w:code="9"/>
          <w:pgMar w:top="1985" w:right="1304" w:bottom="1247" w:left="1814" w:header="1701" w:footer="397" w:gutter="0"/>
          <w:pgNumType w:fmt="lowerRoman"/>
          <w:cols w:space="720"/>
        </w:sectPr>
      </w:pPr>
    </w:p>
    <w:p w:rsidR="00E50145" w:rsidRDefault="00E50145">
      <w:pPr>
        <w:pStyle w:val="PartNumber"/>
      </w:pPr>
      <w:bookmarkStart w:id="7" w:name="Abbreviations"/>
      <w:bookmarkStart w:id="8" w:name="EndContents"/>
      <w:bookmarkStart w:id="9" w:name="RDnote"/>
      <w:bookmarkEnd w:id="7"/>
      <w:bookmarkEnd w:id="8"/>
      <w:bookmarkEnd w:id="9"/>
    </w:p>
    <w:tbl>
      <w:tblPr>
        <w:tblW w:w="0" w:type="auto"/>
        <w:tblLayout w:type="fixed"/>
        <w:tblCellMar>
          <w:left w:w="0" w:type="dxa"/>
          <w:right w:w="0" w:type="dxa"/>
        </w:tblCellMar>
        <w:tblLook w:val="0000" w:firstRow="0" w:lastRow="0" w:firstColumn="0" w:lastColumn="0" w:noHBand="0" w:noVBand="0"/>
        <w:tblDescription w:val="Design element"/>
      </w:tblPr>
      <w:tblGrid>
        <w:gridCol w:w="6634"/>
        <w:gridCol w:w="2155"/>
      </w:tblGrid>
      <w:tr w:rsidR="00E50145" w:rsidTr="001A6756">
        <w:trPr>
          <w:tblHeader/>
        </w:trPr>
        <w:tc>
          <w:tcPr>
            <w:tcW w:w="6634" w:type="dxa"/>
            <w:tcBorders>
              <w:top w:val="single" w:sz="6" w:space="0" w:color="auto"/>
            </w:tcBorders>
          </w:tcPr>
          <w:p w:rsidR="00E50145" w:rsidRDefault="00E50145">
            <w:pPr>
              <w:pStyle w:val="PartDivider"/>
            </w:pPr>
          </w:p>
        </w:tc>
        <w:tc>
          <w:tcPr>
            <w:tcW w:w="2155" w:type="dxa"/>
            <w:tcBorders>
              <w:top w:val="single" w:sz="24" w:space="0" w:color="auto"/>
            </w:tcBorders>
          </w:tcPr>
          <w:p w:rsidR="00E50145" w:rsidRDefault="00E50145">
            <w:pPr>
              <w:pStyle w:val="PartDivider"/>
            </w:pPr>
          </w:p>
        </w:tc>
      </w:tr>
    </w:tbl>
    <w:p w:rsidR="00E50145" w:rsidRDefault="00E50145">
      <w:pPr>
        <w:pStyle w:val="PartDivider"/>
      </w:pPr>
    </w:p>
    <w:p w:rsidR="00E50145" w:rsidRDefault="00E50145">
      <w:pPr>
        <w:pStyle w:val="PartTitle"/>
      </w:pPr>
      <w:r>
        <w:t>Overview</w:t>
      </w:r>
    </w:p>
    <w:p w:rsidR="00E50145" w:rsidRPr="00C72826" w:rsidRDefault="00E50145" w:rsidP="00D34300">
      <w:pPr>
        <w:rPr>
          <w:sz w:val="52"/>
          <w:szCs w:val="20"/>
        </w:rPr>
      </w:pPr>
      <w:r>
        <w:br w:type="page"/>
      </w:r>
    </w:p>
    <w:p w:rsidR="00E50145" w:rsidRPr="008B150D" w:rsidRDefault="00E50145" w:rsidP="00671265">
      <w:pPr>
        <w:pStyle w:val="BoxSpaceAbov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E50145" w:rsidTr="00116440">
        <w:trPr>
          <w:tblHeader/>
        </w:trPr>
        <w:tc>
          <w:tcPr>
            <w:tcW w:w="8789" w:type="dxa"/>
            <w:tcBorders>
              <w:top w:val="single" w:sz="4" w:space="0" w:color="78A22F" w:themeColor="accent1"/>
              <w:left w:val="nil"/>
              <w:bottom w:val="nil"/>
              <w:right w:val="nil"/>
            </w:tcBorders>
            <w:shd w:val="clear" w:color="auto" w:fill="E5F1D0"/>
          </w:tcPr>
          <w:p w:rsidR="00E50145" w:rsidRDefault="00E50145">
            <w:pPr>
              <w:pStyle w:val="BoxTitle"/>
            </w:pPr>
            <w:r>
              <w:t>Key points</w:t>
            </w:r>
          </w:p>
        </w:tc>
      </w:tr>
      <w:tr w:rsidR="00E50145" w:rsidTr="00E942A5">
        <w:tc>
          <w:tcPr>
            <w:tcW w:w="8789" w:type="dxa"/>
            <w:tcBorders>
              <w:top w:val="nil"/>
              <w:left w:val="nil"/>
              <w:bottom w:val="nil"/>
              <w:right w:val="nil"/>
            </w:tcBorders>
            <w:shd w:val="clear" w:color="auto" w:fill="E5F1D0"/>
          </w:tcPr>
          <w:p w:rsidR="00E50145" w:rsidRPr="00521F0D" w:rsidRDefault="00E50145" w:rsidP="00D34E9F">
            <w:pPr>
              <w:pStyle w:val="KeyPointsListBullet"/>
              <w:spacing w:before="160"/>
            </w:pPr>
            <w:r>
              <w:t xml:space="preserve">The Australian </w:t>
            </w:r>
            <w:r w:rsidRPr="00DD78DD">
              <w:t>Parliament recently legislated to apply the GST to low value imported goods from July 2018,</w:t>
            </w:r>
            <w:r>
              <w:t xml:space="preserve"> using a streamlined collection model that places the responsibility for assessing, collecting and remitting the tax on foreign suppliers.</w:t>
            </w:r>
          </w:p>
          <w:p w:rsidR="00E50145" w:rsidRDefault="00E50145" w:rsidP="00D34E9F">
            <w:pPr>
              <w:pStyle w:val="KeyPointsListBullet"/>
              <w:spacing w:before="160"/>
            </w:pPr>
            <w:r>
              <w:t xml:space="preserve">Given the decision to collect GST on low value imported goods, the legislated model is the most feasible among the imperfect alternatives at this time. </w:t>
            </w:r>
            <w:r w:rsidRPr="00521F0D">
              <w:t>Implementing the legislated model</w:t>
            </w:r>
            <w:r>
              <w:t>:</w:t>
            </w:r>
          </w:p>
          <w:p w:rsidR="00E50145" w:rsidRPr="00521F0D" w:rsidRDefault="00E50145" w:rsidP="00521EB6">
            <w:pPr>
              <w:pStyle w:val="KeyPointsListBullet2"/>
              <w:ind w:left="606" w:hanging="249"/>
            </w:pPr>
            <w:proofErr w:type="gramStart"/>
            <w:r w:rsidRPr="00521F0D">
              <w:t>should</w:t>
            </w:r>
            <w:proofErr w:type="gramEnd"/>
            <w:r w:rsidRPr="00521F0D">
              <w:t xml:space="preserve"> go some way to improving tax neutrality between imported and domestically</w:t>
            </w:r>
            <w:r w:rsidR="0028249D">
              <w:t xml:space="preserve"> </w:t>
            </w:r>
            <w:r w:rsidRPr="00521F0D">
              <w:t xml:space="preserve">retailed low value goods. </w:t>
            </w:r>
          </w:p>
          <w:p w:rsidR="00E50145" w:rsidRPr="00C90B16" w:rsidRDefault="00E50145" w:rsidP="00521EB6">
            <w:pPr>
              <w:pStyle w:val="KeyPointsListBullet2"/>
              <w:ind w:left="606" w:hanging="249"/>
            </w:pPr>
            <w:proofErr w:type="gramStart"/>
            <w:r>
              <w:t>will</w:t>
            </w:r>
            <w:proofErr w:type="gramEnd"/>
            <w:r>
              <w:t xml:space="preserve"> bring partial r</w:t>
            </w:r>
            <w:r w:rsidRPr="00C90B16">
              <w:t xml:space="preserve">ates of </w:t>
            </w:r>
            <w:r>
              <w:t xml:space="preserve">GST </w:t>
            </w:r>
            <w:r w:rsidRPr="00C90B16">
              <w:t xml:space="preserve">collection (due </w:t>
            </w:r>
            <w:r>
              <w:t xml:space="preserve">mainly </w:t>
            </w:r>
            <w:r w:rsidRPr="00C90B16">
              <w:t xml:space="preserve">to exemptions for small suppliers, as well as </w:t>
            </w:r>
            <w:r>
              <w:t xml:space="preserve">significant </w:t>
            </w:r>
            <w:r w:rsidRPr="00C90B16">
              <w:t xml:space="preserve">compliance challenges), but </w:t>
            </w:r>
            <w:r>
              <w:t xml:space="preserve">the </w:t>
            </w:r>
            <w:r w:rsidRPr="00C90B16">
              <w:t xml:space="preserve">revenue obtained </w:t>
            </w:r>
            <w:r>
              <w:t>is</w:t>
            </w:r>
            <w:r w:rsidRPr="00C90B16">
              <w:t xml:space="preserve"> likely to significantly outweigh the </w:t>
            </w:r>
            <w:r>
              <w:t xml:space="preserve">administrative and compliance </w:t>
            </w:r>
            <w:r w:rsidRPr="00C90B16">
              <w:t xml:space="preserve">costs. </w:t>
            </w:r>
          </w:p>
          <w:p w:rsidR="00E50145" w:rsidRPr="0041118D" w:rsidRDefault="00E50145" w:rsidP="00521EB6">
            <w:pPr>
              <w:pStyle w:val="KeyPointsListBullet2"/>
              <w:ind w:left="606" w:hanging="249"/>
            </w:pPr>
            <w:proofErr w:type="gramStart"/>
            <w:r w:rsidRPr="00C90B16">
              <w:t>should</w:t>
            </w:r>
            <w:proofErr w:type="gramEnd"/>
            <w:r w:rsidRPr="00C90B16">
              <w:t xml:space="preserve"> avoid major disruption for consumers</w:t>
            </w:r>
            <w:r>
              <w:t xml:space="preserve"> </w:t>
            </w:r>
            <w:r w:rsidRPr="0041118D">
              <w:t>when importing goods, although some electronic distribution platforms have warned they may disable foreign vendors from selling to consumers in Australia.</w:t>
            </w:r>
          </w:p>
          <w:p w:rsidR="00E50145" w:rsidRPr="0041118D" w:rsidRDefault="00E50145" w:rsidP="00D34E9F">
            <w:pPr>
              <w:pStyle w:val="KeyPointsListBullet"/>
              <w:spacing w:before="160"/>
            </w:pPr>
            <w:r w:rsidRPr="0041118D">
              <w:t>Among the alternatives, ‘transporter</w:t>
            </w:r>
            <w:r w:rsidR="008E3531">
              <w:noBreakHyphen/>
            </w:r>
            <w:r w:rsidRPr="0041118D">
              <w:t>based’ collection models that require the delivery agent to collect GST could capture more revenue, but their feasibility is hampered by paper</w:t>
            </w:r>
            <w:r w:rsidRPr="0041118D">
              <w:noBreakHyphen/>
              <w:t xml:space="preserve">based declaration processes still used for international mail; and the difficulties for Australia Post to negotiate agreements with myriad other postal services. </w:t>
            </w:r>
            <w:r w:rsidR="00B55A4E">
              <w:t>They would also impose high administrative and compliance costs, and some would cause inconvenience for c</w:t>
            </w:r>
            <w:r w:rsidRPr="0041118D">
              <w:t xml:space="preserve">onsumers. </w:t>
            </w:r>
          </w:p>
          <w:p w:rsidR="00E50145" w:rsidRPr="0041118D" w:rsidRDefault="00E50145" w:rsidP="00D34E9F">
            <w:pPr>
              <w:pStyle w:val="KeyPointsListBullet"/>
              <w:spacing w:before="160"/>
            </w:pPr>
            <w:r w:rsidRPr="0041118D">
              <w:t>‘Purchaser’ and ‘financial intermediary’ collection models, using advanced technological solutions to minimise high compliance and enforcement costs, have also been proposed. However, their efficacy is untested and their lack of readiness for deployment by mid</w:t>
            </w:r>
            <w:r w:rsidR="008E3531">
              <w:noBreakHyphen/>
            </w:r>
            <w:r w:rsidRPr="0041118D">
              <w:t>2018 make them unsuitable at this time.</w:t>
            </w:r>
            <w:r w:rsidR="008E3531">
              <w:t xml:space="preserve"> </w:t>
            </w:r>
          </w:p>
          <w:p w:rsidR="00E50145" w:rsidRPr="0041118D" w:rsidRDefault="00E50145" w:rsidP="00D34E9F">
            <w:pPr>
              <w:pStyle w:val="KeyPointsListBullet"/>
              <w:spacing w:before="160"/>
            </w:pPr>
            <w:r w:rsidRPr="0041118D">
              <w:t>There is an in</w:t>
            </w:r>
            <w:r w:rsidR="008E3531">
              <w:noBreakHyphen/>
            </w:r>
            <w:r w:rsidRPr="0041118D">
              <w:t xml:space="preserve">principle case to contemplate delaying implementation of the legislated model, to provide more time for technological changes to play out, to learn from the experiences of other nations and to avoid ‘first mover’ risks. </w:t>
            </w:r>
          </w:p>
          <w:p w:rsidR="00E50145" w:rsidRPr="0041118D" w:rsidRDefault="00E50145" w:rsidP="00D34E9F">
            <w:pPr>
              <w:pStyle w:val="KeyPointsListBullet"/>
              <w:spacing w:before="160"/>
            </w:pPr>
            <w:r w:rsidRPr="0041118D">
              <w:t>Nonetheless, the Commission considers there is insufficient basis to recommend delaying the implementation schedule</w:t>
            </w:r>
            <w:r>
              <w:t>,</w:t>
            </w:r>
            <w:r w:rsidRPr="0041118D">
              <w:t xml:space="preserve"> given the Australian Parliament’s decision to apply </w:t>
            </w:r>
            <w:r>
              <w:t xml:space="preserve">the </w:t>
            </w:r>
            <w:r w:rsidRPr="0041118D">
              <w:t>GST to low value imported goods. Waiting for better alternatives will not necessarily prove fruitful. Nor would implementation now preclude change later.</w:t>
            </w:r>
          </w:p>
          <w:p w:rsidR="00E50145" w:rsidRPr="0041118D" w:rsidRDefault="00E50145" w:rsidP="00D34E9F">
            <w:pPr>
              <w:pStyle w:val="KeyPointsListBullet"/>
              <w:spacing w:before="160"/>
            </w:pPr>
            <w:r w:rsidRPr="0041118D">
              <w:t>The Commission has identified some prospective improvements to the design of the legislated model and enforcement strategy, although it has not been in a position to adequately evaluate these options. If the legislated model does not perform broadly as expected, these options should be considered as part of a future review.</w:t>
            </w:r>
          </w:p>
          <w:p w:rsidR="00E50145" w:rsidRDefault="00E50145" w:rsidP="00D34E9F">
            <w:pPr>
              <w:pStyle w:val="KeyPointsListBullet"/>
              <w:spacing w:before="160"/>
            </w:pPr>
            <w:r>
              <w:t>The legislated model and the suitability of alternatives should be reviewed five years from commencement, or sooner if triggered by evidence of unduly low compliance, unintended impacts on consumers or adverse trade policy responses.</w:t>
            </w:r>
          </w:p>
        </w:tc>
      </w:tr>
      <w:tr w:rsidR="00E50145" w:rsidTr="00E942A5">
        <w:tc>
          <w:tcPr>
            <w:tcW w:w="8789" w:type="dxa"/>
            <w:tcBorders>
              <w:top w:val="nil"/>
              <w:left w:val="nil"/>
              <w:bottom w:val="single" w:sz="4" w:space="0" w:color="78A22F" w:themeColor="accent1"/>
              <w:right w:val="nil"/>
            </w:tcBorders>
            <w:shd w:val="clear" w:color="auto" w:fill="E5F1D0"/>
          </w:tcPr>
          <w:p w:rsidR="00E50145" w:rsidRDefault="00E50145">
            <w:pPr>
              <w:pStyle w:val="Box"/>
              <w:spacing w:before="0" w:line="120" w:lineRule="exact"/>
            </w:pPr>
          </w:p>
        </w:tc>
      </w:tr>
      <w:tr w:rsidR="00E50145" w:rsidTr="00E942A5">
        <w:tc>
          <w:tcPr>
            <w:tcW w:w="8789" w:type="dxa"/>
            <w:tcBorders>
              <w:top w:val="single" w:sz="4" w:space="0" w:color="78A22F" w:themeColor="accent1"/>
              <w:left w:val="nil"/>
              <w:bottom w:val="nil"/>
              <w:right w:val="nil"/>
            </w:tcBorders>
          </w:tcPr>
          <w:p w:rsidR="00E50145" w:rsidRDefault="00E50145">
            <w:pPr>
              <w:pStyle w:val="Box"/>
              <w:keepNext w:val="0"/>
              <w:spacing w:before="60" w:after="60" w:line="80" w:lineRule="exact"/>
            </w:pPr>
          </w:p>
        </w:tc>
      </w:tr>
    </w:tbl>
    <w:p w:rsidR="00E50145" w:rsidRPr="00C72826" w:rsidRDefault="00E50145" w:rsidP="00D34300">
      <w:pPr>
        <w:pStyle w:val="Heading1"/>
      </w:pPr>
      <w:r>
        <w:br w:type="page"/>
      </w:r>
      <w:bookmarkStart w:id="10" w:name="ChapterTitle"/>
      <w:bookmarkEnd w:id="1"/>
      <w:r>
        <w:t>Overview</w:t>
      </w:r>
      <w:bookmarkEnd w:id="10"/>
    </w:p>
    <w:p w:rsidR="00E50145" w:rsidRDefault="00E50145" w:rsidP="00D34300">
      <w:pPr>
        <w:pStyle w:val="Heading2"/>
        <w:ind w:left="567" w:hanging="567"/>
      </w:pPr>
      <w:bookmarkStart w:id="11" w:name="begin"/>
      <w:bookmarkEnd w:id="11"/>
      <w:r>
        <w:t>1</w:t>
      </w:r>
      <w:r>
        <w:tab/>
        <w:t>Setting the scene</w:t>
      </w:r>
    </w:p>
    <w:p w:rsidR="00E50145" w:rsidRDefault="00E50145" w:rsidP="00D34300">
      <w:pPr>
        <w:pStyle w:val="BodyText"/>
      </w:pPr>
      <w:r>
        <w:t xml:space="preserve">A consumer purchasing books, clothing, electronic devices, sporting equipment or other consumer goods from a domestic retailer will have to pay the GST. However, the same goods purchased </w:t>
      </w:r>
      <w:r w:rsidR="000723F8">
        <w:t xml:space="preserve">from </w:t>
      </w:r>
      <w:r>
        <w:t>overseas are exempt from GST if</w:t>
      </w:r>
      <w:r w:rsidRPr="000C2022">
        <w:t xml:space="preserve"> </w:t>
      </w:r>
      <w:r>
        <w:t>their value is no more than</w:t>
      </w:r>
      <w:r w:rsidRPr="000C2022">
        <w:t xml:space="preserve"> $1000</w:t>
      </w:r>
      <w:r>
        <w:t>.</w:t>
      </w:r>
    </w:p>
    <w:p w:rsidR="00E50145" w:rsidRDefault="00E50145" w:rsidP="00D34300">
      <w:pPr>
        <w:pStyle w:val="BodyText"/>
      </w:pPr>
      <w:r>
        <w:t xml:space="preserve">Domestic retailers have long argued that this GST exemption for low value imported goods creates an uneven playing field, harming the economic viability of their businesses. The exemption also means State and Territory </w:t>
      </w:r>
      <w:r w:rsidR="00D56F11">
        <w:t>g</w:t>
      </w:r>
      <w:r>
        <w:t>overnments are foregoing GST revenue. Although hard to gauge, Treasury conjectures the leakage is now around $400 million per year (equivalent to about ⅔ of a per</w:t>
      </w:r>
      <w:r w:rsidR="006766EF">
        <w:t> </w:t>
      </w:r>
      <w:r>
        <w:t>cent of GST revenue).</w:t>
      </w:r>
    </w:p>
    <w:p w:rsidR="00E50145" w:rsidRDefault="00E50145" w:rsidP="00D34300">
      <w:pPr>
        <w:pStyle w:val="BodyText"/>
      </w:pPr>
      <w:r>
        <w:t>The growth of online commerce (from a very low base) has increased these concerns. For the year ending June 2017, the National Australia Bank estimated that online retail sales totalled $22.7 billion, of which about one fifth were from abroad, equivalent to a</w:t>
      </w:r>
      <w:r w:rsidR="00FC6712">
        <w:t>round</w:t>
      </w:r>
      <w:r>
        <w:t xml:space="preserve"> 1½</w:t>
      </w:r>
      <w:r w:rsidR="00FC6712">
        <w:t> </w:t>
      </w:r>
      <w:r>
        <w:t>per</w:t>
      </w:r>
      <w:r w:rsidR="00FC6712">
        <w:t> </w:t>
      </w:r>
      <w:r>
        <w:t>cent of retail sales by all ‘bricks</w:t>
      </w:r>
      <w:r w:rsidR="008E3531">
        <w:noBreakHyphen/>
      </w:r>
      <w:r>
        <w:t>and</w:t>
      </w:r>
      <w:r w:rsidR="008E3531">
        <w:noBreakHyphen/>
      </w:r>
      <w:r>
        <w:t>mortar’ retailers.</w:t>
      </w:r>
    </w:p>
    <w:p w:rsidR="00E50145" w:rsidRPr="002674B8" w:rsidRDefault="00E50145" w:rsidP="00D34300">
      <w:pPr>
        <w:pStyle w:val="BodyText"/>
      </w:pPr>
      <w:r>
        <w:t xml:space="preserve">In 2011, the Productivity Commission examined whether the ‘border’ collection model — collection by customs authorities as currently applied to higher value goods — should be extended to goods below $1000. The Commission concluded that the benefits of doing so </w:t>
      </w:r>
      <w:r w:rsidRPr="0099613B">
        <w:t>would be far outweighed by the collection costs.</w:t>
      </w:r>
      <w:r>
        <w:t xml:space="preserve"> However, it also found that there are strong in principle grounds to treat </w:t>
      </w:r>
      <w:r w:rsidRPr="000162D1">
        <w:rPr>
          <w:spacing w:val="-1"/>
        </w:rPr>
        <w:t>imports and domestic sales equally, and so recommended the investigation of new approaches</w:t>
      </w:r>
      <w:r w:rsidRPr="0099613B">
        <w:t xml:space="preserve"> </w:t>
      </w:r>
      <w:r>
        <w:t xml:space="preserve">to collection that could improve </w:t>
      </w:r>
      <w:r w:rsidRPr="0099613B">
        <w:t>the cost</w:t>
      </w:r>
      <w:r w:rsidR="008E3531">
        <w:noBreakHyphen/>
      </w:r>
      <w:r w:rsidRPr="0099613B">
        <w:t xml:space="preserve">effectiveness of </w:t>
      </w:r>
      <w:r>
        <w:t>levying GST on low value imported goods</w:t>
      </w:r>
      <w:r w:rsidRPr="0099613B">
        <w:t>.</w:t>
      </w:r>
    </w:p>
    <w:p w:rsidR="00E50145" w:rsidRDefault="00E50145" w:rsidP="00D34300">
      <w:pPr>
        <w:pStyle w:val="BodyText"/>
      </w:pPr>
      <w:r w:rsidRPr="00483978">
        <w:t xml:space="preserve">Following </w:t>
      </w:r>
      <w:r>
        <w:t>more</w:t>
      </w:r>
      <w:r w:rsidRPr="00483978">
        <w:t xml:space="preserve"> debate and </w:t>
      </w:r>
      <w:r>
        <w:t>research</w:t>
      </w:r>
      <w:r w:rsidRPr="00483978">
        <w:t xml:space="preserve">, the Australian Parliament recently legislated </w:t>
      </w:r>
      <w:r>
        <w:t xml:space="preserve">for </w:t>
      </w:r>
      <w:r w:rsidRPr="00483978">
        <w:t xml:space="preserve">new </w:t>
      </w:r>
      <w:r>
        <w:t>measures</w:t>
      </w:r>
      <w:r w:rsidRPr="00483978">
        <w:t xml:space="preserve"> to collect GST on </w:t>
      </w:r>
      <w:r>
        <w:t>these</w:t>
      </w:r>
      <w:r w:rsidRPr="00483978">
        <w:t xml:space="preserve"> goods, to commence on 1</w:t>
      </w:r>
      <w:r>
        <w:t> </w:t>
      </w:r>
      <w:r w:rsidRPr="00483978">
        <w:t>July</w:t>
      </w:r>
      <w:r w:rsidR="008E3531">
        <w:t xml:space="preserve"> </w:t>
      </w:r>
      <w:r w:rsidRPr="00483978">
        <w:t xml:space="preserve">2018. </w:t>
      </w:r>
      <w:r w:rsidRPr="00F81BC1">
        <w:t xml:space="preserve">The legislation </w:t>
      </w:r>
      <w:r w:rsidRPr="00A46B55">
        <w:rPr>
          <w:spacing w:val="-2"/>
        </w:rPr>
        <w:t>retain</w:t>
      </w:r>
      <w:r>
        <w:rPr>
          <w:spacing w:val="-2"/>
        </w:rPr>
        <w:t>s</w:t>
      </w:r>
      <w:r w:rsidRPr="00A46B55">
        <w:rPr>
          <w:spacing w:val="-2"/>
        </w:rPr>
        <w:t xml:space="preserve"> the $1000 ‘low value threshold’, but provides for a new, streamlined collection model</w:t>
      </w:r>
      <w:r w:rsidRPr="00F81BC1">
        <w:t xml:space="preserve"> for imported goods fall</w:t>
      </w:r>
      <w:r>
        <w:t>ing</w:t>
      </w:r>
      <w:r w:rsidRPr="00F81BC1">
        <w:t xml:space="preserve"> under th</w:t>
      </w:r>
      <w:r>
        <w:t>e</w:t>
      </w:r>
      <w:r w:rsidRPr="00F81BC1">
        <w:t xml:space="preserve"> </w:t>
      </w:r>
      <w:r w:rsidRPr="00A00931">
        <w:t xml:space="preserve">threshold. </w:t>
      </w:r>
      <w:r w:rsidRPr="006F56DC">
        <w:t>In essence, u</w:t>
      </w:r>
      <w:r w:rsidRPr="00A00931">
        <w:t>nder</w:t>
      </w:r>
      <w:r>
        <w:t xml:space="preserve"> the legislated model:</w:t>
      </w:r>
    </w:p>
    <w:p w:rsidR="00E50145" w:rsidRDefault="00E50145" w:rsidP="00D34300">
      <w:pPr>
        <w:pStyle w:val="ListBullet"/>
      </w:pPr>
      <w:r>
        <w:t>f</w:t>
      </w:r>
      <w:r w:rsidRPr="00F81BC1">
        <w:t xml:space="preserve">oreign vendors, as well as </w:t>
      </w:r>
      <w:proofErr w:type="spellStart"/>
      <w:r w:rsidRPr="00F81BC1">
        <w:t>redeliver</w:t>
      </w:r>
      <w:r>
        <w:t>er</w:t>
      </w:r>
      <w:r w:rsidRPr="00F81BC1">
        <w:t>s</w:t>
      </w:r>
      <w:proofErr w:type="spellEnd"/>
      <w:r w:rsidRPr="00F81BC1">
        <w:t xml:space="preserve"> </w:t>
      </w:r>
      <w:r>
        <w:t>an</w:t>
      </w:r>
      <w:r w:rsidRPr="00F81BC1">
        <w:t>d ‘electronic distribution platforms’</w:t>
      </w:r>
      <w:r>
        <w:t xml:space="preserve"> (EDPs), </w:t>
      </w:r>
      <w:r w:rsidRPr="00F81BC1">
        <w:t xml:space="preserve">such as Amazon and eBay, </w:t>
      </w:r>
      <w:r>
        <w:t xml:space="preserve">would be liable for </w:t>
      </w:r>
      <w:r w:rsidRPr="00F81BC1">
        <w:t xml:space="preserve">GST on </w:t>
      </w:r>
      <w:r>
        <w:t>low value imported goods sold to an Australian consumer (without the invo</w:t>
      </w:r>
      <w:r w:rsidR="009729AA">
        <w:t>lvement of customs authorities)</w:t>
      </w:r>
    </w:p>
    <w:p w:rsidR="00E50145" w:rsidRDefault="00E50145" w:rsidP="00D34300">
      <w:pPr>
        <w:numPr>
          <w:ilvl w:val="0"/>
          <w:numId w:val="3"/>
        </w:numPr>
        <w:spacing w:before="120" w:line="300" w:lineRule="atLeast"/>
        <w:jc w:val="both"/>
      </w:pPr>
      <w:proofErr w:type="gramStart"/>
      <w:r>
        <w:t>only</w:t>
      </w:r>
      <w:proofErr w:type="gramEnd"/>
      <w:r>
        <w:t xml:space="preserve"> those foreign suppliers </w:t>
      </w:r>
      <w:r w:rsidRPr="00F81BC1">
        <w:t xml:space="preserve">that make sales of </w:t>
      </w:r>
      <w:r>
        <w:t xml:space="preserve">more than </w:t>
      </w:r>
      <w:r w:rsidRPr="00F81BC1">
        <w:t xml:space="preserve">$75 000 to consumers </w:t>
      </w:r>
      <w:r>
        <w:t xml:space="preserve">in </w:t>
      </w:r>
      <w:r w:rsidRPr="00F81BC1">
        <w:t>Australia each year</w:t>
      </w:r>
      <w:r>
        <w:t xml:space="preserve"> </w:t>
      </w:r>
      <w:r w:rsidRPr="00F81BC1">
        <w:t xml:space="preserve">would be </w:t>
      </w:r>
      <w:r>
        <w:t xml:space="preserve">required to register for and collect GST. (Sales from foreign vendors below that threshold, if supplied through EDPs or </w:t>
      </w:r>
      <w:proofErr w:type="spellStart"/>
      <w:r>
        <w:t>redeliverers</w:t>
      </w:r>
      <w:proofErr w:type="spellEnd"/>
      <w:r w:rsidR="009729AA">
        <w:t>, would also be liable for GST)</w:t>
      </w:r>
    </w:p>
    <w:p w:rsidR="00E50145" w:rsidRPr="00F81BC1" w:rsidRDefault="00E50145" w:rsidP="00D34300">
      <w:pPr>
        <w:numPr>
          <w:ilvl w:val="0"/>
          <w:numId w:val="3"/>
        </w:numPr>
        <w:spacing w:before="120" w:line="300" w:lineRule="atLeast"/>
        <w:jc w:val="both"/>
      </w:pPr>
      <w:proofErr w:type="gramStart"/>
      <w:r>
        <w:t>foreign</w:t>
      </w:r>
      <w:proofErr w:type="gramEnd"/>
      <w:r>
        <w:t xml:space="preserve"> suppliers</w:t>
      </w:r>
      <w:r w:rsidRPr="00F81BC1">
        <w:t xml:space="preserve"> would be expected to </w:t>
      </w:r>
      <w:r>
        <w:t>include</w:t>
      </w:r>
      <w:r w:rsidRPr="00F81BC1">
        <w:t xml:space="preserve"> </w:t>
      </w:r>
      <w:r>
        <w:t xml:space="preserve">a GST component in the price of their </w:t>
      </w:r>
      <w:r w:rsidR="006766EF">
        <w:t>goo</w:t>
      </w:r>
      <w:r>
        <w:t>ds, as domestic businesses do, and periodically remit this to the Australian Tax Office (ATO).</w:t>
      </w:r>
    </w:p>
    <w:p w:rsidR="00E50145" w:rsidRDefault="00E50145" w:rsidP="00D34300">
      <w:pPr>
        <w:pStyle w:val="BodyText"/>
      </w:pPr>
      <w:r>
        <w:t>Some stakeholders have criticised the model, contending that it relies on voluntary compliance, is unlikely to be effective, and that better collection models should either augment or replace it.</w:t>
      </w:r>
    </w:p>
    <w:p w:rsidR="00E50145" w:rsidRPr="00727EB9" w:rsidRDefault="00E50145" w:rsidP="00D34300">
      <w:pPr>
        <w:pStyle w:val="BodyText"/>
      </w:pPr>
      <w:r>
        <w:t>This inquiry’s</w:t>
      </w:r>
      <w:r>
        <w:rPr>
          <w:spacing w:val="-1"/>
        </w:rPr>
        <w:t xml:space="preserve"> main tasks are to</w:t>
      </w:r>
      <w:r w:rsidRPr="000A2B1F">
        <w:t xml:space="preserve"> check that the legislated </w:t>
      </w:r>
      <w:r>
        <w:t>model</w:t>
      </w:r>
      <w:r w:rsidRPr="000A2B1F">
        <w:t xml:space="preserve"> </w:t>
      </w:r>
      <w:r>
        <w:t xml:space="preserve">is </w:t>
      </w:r>
      <w:r w:rsidRPr="000A2B1F">
        <w:t xml:space="preserve">the </w:t>
      </w:r>
      <w:r>
        <w:t>best</w:t>
      </w:r>
      <w:r w:rsidRPr="000A2B1F">
        <w:t xml:space="preserve"> </w:t>
      </w:r>
      <w:r>
        <w:t>available collection model to extend the GST to low value imported goods, and to consider any practical improvements to support its implementation</w:t>
      </w:r>
      <w:r w:rsidRPr="00727EB9">
        <w:t>. The Commission has not revisited the question of whether it makes economic sense</w:t>
      </w:r>
      <w:r>
        <w:t xml:space="preserve"> </w:t>
      </w:r>
      <w:r w:rsidRPr="00727EB9">
        <w:t>to impose GST on low value imports.</w:t>
      </w:r>
    </w:p>
    <w:p w:rsidR="00E50145" w:rsidRDefault="00E50145" w:rsidP="00D34300">
      <w:pPr>
        <w:pStyle w:val="Heading3"/>
      </w:pPr>
      <w:r>
        <w:t>Impacts of extending the GST to low value imported goods</w:t>
      </w:r>
    </w:p>
    <w:p w:rsidR="00E50145" w:rsidRDefault="00E50145" w:rsidP="00D34300">
      <w:pPr>
        <w:pStyle w:val="BodyText"/>
      </w:pPr>
      <w:r>
        <w:t xml:space="preserve">Extending the GST to low value imported goods will have an impact on Australian consumers, retailers, governments and foreign suppliers, and these will depend on the collection model used. </w:t>
      </w:r>
    </w:p>
    <w:p w:rsidR="00E50145" w:rsidRDefault="00E50145" w:rsidP="00D34300">
      <w:pPr>
        <w:pStyle w:val="BodyText"/>
      </w:pPr>
      <w:r>
        <w:t>Australian consumers will face prices for low value imported goods that are around 10</w:t>
      </w:r>
      <w:r w:rsidR="00F177E5">
        <w:t> </w:t>
      </w:r>
      <w:r>
        <w:t>per</w:t>
      </w:r>
      <w:r w:rsidR="00F177E5">
        <w:t> </w:t>
      </w:r>
      <w:r>
        <w:t xml:space="preserve">cent higher. The breadth and extent of the price increase will depend on collection rates, compliance costs and the level of competition in the market. The higher prices for imports could allow prices for competing domestic goods to rise too. </w:t>
      </w:r>
    </w:p>
    <w:p w:rsidR="00E50145" w:rsidRDefault="00E50145" w:rsidP="00D34300">
      <w:pPr>
        <w:pStyle w:val="BodyText"/>
      </w:pPr>
      <w:r>
        <w:t xml:space="preserve">There may also be impacts on consumers beyond the price effects. Some collection models could require consumers to handle the GST paperwork themselves or entail delays in receiving their goods, while with others there is a risk that some foreign suppliers might cease servicing Australian consumers. </w:t>
      </w:r>
    </w:p>
    <w:p w:rsidR="00E50145" w:rsidRDefault="00E50145" w:rsidP="00D34300">
      <w:pPr>
        <w:pStyle w:val="BodyText"/>
      </w:pPr>
      <w:r>
        <w:t xml:space="preserve">State and Territory governments stand to benefit from the distribution of the extra GST revenue collected. However, the scope for gains needs to be kept in perspective. Even if a model were to collect </w:t>
      </w:r>
      <w:r w:rsidRPr="00A47C04">
        <w:t>all</w:t>
      </w:r>
      <w:r>
        <w:t xml:space="preserve"> of the revenue that Treasury projects, of around $400 million per year, that amount is very small relative to total GST revenues, which run to over $60 </w:t>
      </w:r>
      <w:r w:rsidRPr="00EB431A">
        <w:t>billion</w:t>
      </w:r>
      <w:r>
        <w:t xml:space="preserve"> per year. </w:t>
      </w:r>
    </w:p>
    <w:p w:rsidR="00E50145" w:rsidRDefault="00E50145" w:rsidP="00D34300">
      <w:pPr>
        <w:pStyle w:val="BodyText"/>
      </w:pPr>
      <w:r>
        <w:t>Australian retailers should benefit from the more equal tax treatment of competing imports. However, the magnitude of this benefit is also expected to be limited, since low value imports represent an insignificant share of most retail subsectors (some segments such as bicycle parts and accessories are larger). Moreover, the relative competitiveness of Australian and overseas retailers is influenced by other drivers, including non</w:t>
      </w:r>
      <w:r w:rsidR="008E3531">
        <w:noBreakHyphen/>
      </w:r>
      <w:r>
        <w:t>price factors. In this regard, the Commission notes that greater benefits to the retail sector (and more broadly) could be secured by proceeding with reforms in areas such as workplace relations, shopping hours</w:t>
      </w:r>
      <w:r w:rsidR="009729AA">
        <w:t>,</w:t>
      </w:r>
      <w:r>
        <w:t xml:space="preserve"> and planning and zoning regulation.</w:t>
      </w:r>
    </w:p>
    <w:p w:rsidR="00E50145" w:rsidRDefault="00E50145" w:rsidP="00D34300">
      <w:pPr>
        <w:pStyle w:val="Heading3"/>
      </w:pPr>
      <w:r>
        <w:t>What makes a good collection model?</w:t>
      </w:r>
    </w:p>
    <w:p w:rsidR="00E50145" w:rsidRDefault="00E50145" w:rsidP="00D34300">
      <w:pPr>
        <w:pStyle w:val="BodyText"/>
      </w:pPr>
      <w:r>
        <w:t>The Commission has identified several ‘desirable attributes’ of GST collection models,</w:t>
      </w:r>
      <w:r w:rsidRPr="005E6888">
        <w:t xml:space="preserve"> </w:t>
      </w:r>
      <w:r>
        <w:t>d</w:t>
      </w:r>
      <w:r w:rsidRPr="00F17D59">
        <w:t>raw</w:t>
      </w:r>
      <w:r>
        <w:t>ing</w:t>
      </w:r>
      <w:r w:rsidRPr="00F17D59">
        <w:t xml:space="preserve"> on established tax and economic policy principles</w:t>
      </w:r>
      <w:r>
        <w:t>. Beyond their basic feasibility, GST collection models for low value imported goods ideally should:</w:t>
      </w:r>
    </w:p>
    <w:p w:rsidR="00E50145" w:rsidRPr="007428F5" w:rsidRDefault="00E50145" w:rsidP="00D34300">
      <w:pPr>
        <w:numPr>
          <w:ilvl w:val="0"/>
          <w:numId w:val="3"/>
        </w:numPr>
        <w:spacing w:before="120" w:line="300" w:lineRule="atLeast"/>
        <w:jc w:val="both"/>
      </w:pPr>
      <w:r>
        <w:t>induce</w:t>
      </w:r>
      <w:r w:rsidRPr="007428F5">
        <w:t xml:space="preserve"> strong rates of compliance </w:t>
      </w:r>
      <w:r>
        <w:t>and revenue collection</w:t>
      </w:r>
    </w:p>
    <w:p w:rsidR="00E50145" w:rsidRPr="00A57315" w:rsidRDefault="00E50145" w:rsidP="00D34300">
      <w:pPr>
        <w:numPr>
          <w:ilvl w:val="0"/>
          <w:numId w:val="3"/>
        </w:numPr>
        <w:spacing w:before="120" w:line="300" w:lineRule="atLeast"/>
        <w:jc w:val="both"/>
      </w:pPr>
      <w:r w:rsidRPr="007428F5">
        <w:t xml:space="preserve">limit business compliance </w:t>
      </w:r>
      <w:r>
        <w:t xml:space="preserve">and government administration </w:t>
      </w:r>
      <w:r w:rsidRPr="007428F5">
        <w:t>costs</w:t>
      </w:r>
    </w:p>
    <w:p w:rsidR="00E50145" w:rsidRPr="007428F5" w:rsidRDefault="00E50145" w:rsidP="00D34300">
      <w:pPr>
        <w:numPr>
          <w:ilvl w:val="0"/>
          <w:numId w:val="3"/>
        </w:numPr>
        <w:spacing w:before="120" w:line="300" w:lineRule="atLeast"/>
        <w:jc w:val="both"/>
      </w:pPr>
      <w:r w:rsidRPr="00A57315">
        <w:t>minimis</w:t>
      </w:r>
      <w:r>
        <w:t>e</w:t>
      </w:r>
      <w:r w:rsidRPr="007428F5">
        <w:t xml:space="preserve"> burdens and disruption for consumers</w:t>
      </w:r>
    </w:p>
    <w:p w:rsidR="00E50145" w:rsidRDefault="00E50145" w:rsidP="00D34300">
      <w:pPr>
        <w:numPr>
          <w:ilvl w:val="0"/>
          <w:numId w:val="3"/>
        </w:numPr>
        <w:spacing w:before="120" w:line="300" w:lineRule="atLeast"/>
        <w:jc w:val="both"/>
      </w:pPr>
      <w:proofErr w:type="gramStart"/>
      <w:r w:rsidRPr="007428F5">
        <w:t>avoid</w:t>
      </w:r>
      <w:proofErr w:type="gramEnd"/>
      <w:r w:rsidRPr="007428F5">
        <w:t xml:space="preserve"> adverse trade</w:t>
      </w:r>
      <w:r>
        <w:t xml:space="preserve"> policy</w:t>
      </w:r>
      <w:r w:rsidRPr="007428F5">
        <w:t xml:space="preserve"> effects</w:t>
      </w:r>
      <w:r>
        <w:t>.</w:t>
      </w:r>
    </w:p>
    <w:p w:rsidR="00E50145" w:rsidRDefault="00E50145" w:rsidP="00D34300">
      <w:pPr>
        <w:pStyle w:val="BodyText"/>
      </w:pPr>
      <w:r>
        <w:t>There are nuances in assessing these attributes, and p</w:t>
      </w:r>
      <w:r w:rsidRPr="00DF4654">
        <w:t xml:space="preserve">olicy </w:t>
      </w:r>
      <w:r>
        <w:t>design involves</w:t>
      </w:r>
      <w:r w:rsidRPr="00DF4654">
        <w:t xml:space="preserve"> trade</w:t>
      </w:r>
      <w:r w:rsidR="008E3531">
        <w:noBreakHyphen/>
      </w:r>
      <w:r w:rsidRPr="00DF4654">
        <w:t>offs between the</w:t>
      </w:r>
      <w:r>
        <w:t>se</w:t>
      </w:r>
      <w:r w:rsidRPr="00DF4654">
        <w:t xml:space="preserve"> </w:t>
      </w:r>
      <w:r>
        <w:t>desirable characteristics</w:t>
      </w:r>
      <w:r w:rsidRPr="00DF4654">
        <w:t>.</w:t>
      </w:r>
      <w:r>
        <w:t xml:space="preserve"> Synergies with other policy domains should also be taken into account.</w:t>
      </w:r>
      <w:r w:rsidRPr="004D0DAD">
        <w:t xml:space="preserve"> </w:t>
      </w:r>
    </w:p>
    <w:p w:rsidR="00E50145" w:rsidRDefault="00E50145" w:rsidP="00D34300">
      <w:pPr>
        <w:pStyle w:val="Heading3"/>
      </w:pPr>
      <w:r>
        <w:t>The Commission’s approach</w:t>
      </w:r>
    </w:p>
    <w:p w:rsidR="00E50145" w:rsidRDefault="00E50145" w:rsidP="00D34300">
      <w:pPr>
        <w:pStyle w:val="BodyText"/>
      </w:pPr>
      <w:r>
        <w:t>Using this framework, the Commission has assessed the feasibility and/or merits of the legislated model and several other collection models suggested in previous reviews or in submissions. It has drawn on earlier research by the Commission, the OECD and other bodies, along with information gained during the inquiry.</w:t>
      </w:r>
    </w:p>
    <w:p w:rsidR="00E50145" w:rsidRDefault="00E50145" w:rsidP="00D34300">
      <w:pPr>
        <w:pStyle w:val="BodyText"/>
      </w:pPr>
      <w:r>
        <w:t>There is scant evidence on some matters. For example, wi</w:t>
      </w:r>
      <w:r w:rsidRPr="0010646F">
        <w:t xml:space="preserve">thout </w:t>
      </w:r>
      <w:r>
        <w:t>well</w:t>
      </w:r>
      <w:r w:rsidR="008E3531">
        <w:noBreakHyphen/>
      </w:r>
      <w:r>
        <w:t>establ</w:t>
      </w:r>
      <w:r w:rsidRPr="0010646F">
        <w:t xml:space="preserve">ished precedents here or overseas, it is </w:t>
      </w:r>
      <w:r>
        <w:t>difficult</w:t>
      </w:r>
      <w:r w:rsidRPr="0010646F">
        <w:t xml:space="preserve"> to </w:t>
      </w:r>
      <w:r>
        <w:t>forecast</w:t>
      </w:r>
      <w:r w:rsidRPr="0010646F">
        <w:t xml:space="preserve"> </w:t>
      </w:r>
      <w:r>
        <w:t xml:space="preserve">the </w:t>
      </w:r>
      <w:r w:rsidRPr="0010646F">
        <w:t>legislated model</w:t>
      </w:r>
      <w:r>
        <w:t>’s</w:t>
      </w:r>
      <w:r w:rsidRPr="0010646F">
        <w:t xml:space="preserve"> </w:t>
      </w:r>
      <w:r>
        <w:t>compliance rates and costs</w:t>
      </w:r>
      <w:r w:rsidRPr="0010646F">
        <w:t>.</w:t>
      </w:r>
      <w:r>
        <w:t xml:space="preserve"> The four </w:t>
      </w:r>
      <w:r w:rsidRPr="0041118D">
        <w:t xml:space="preserve">month timeframe set by the </w:t>
      </w:r>
      <w:r w:rsidR="009729AA">
        <w:t xml:space="preserve">Australian </w:t>
      </w:r>
      <w:r w:rsidRPr="0041118D">
        <w:t>Parliament for this inquiry</w:t>
      </w:r>
      <w:r>
        <w:t xml:space="preserve"> has also limited scope for consultation and detailed analysis.</w:t>
      </w:r>
      <w:r>
        <w:rPr>
          <w:color w:val="9933FF"/>
        </w:rPr>
        <w:t xml:space="preserve"> </w:t>
      </w:r>
    </w:p>
    <w:p w:rsidR="00E50145" w:rsidRDefault="00E50145" w:rsidP="00D34300">
      <w:pPr>
        <w:pStyle w:val="BodyText"/>
      </w:pPr>
      <w:r>
        <w:t>Given that the Parliament has already agreed to the legislated model, the moves towards adoption of vendor</w:t>
      </w:r>
      <w:r w:rsidR="008E3531">
        <w:noBreakHyphen/>
      </w:r>
      <w:r>
        <w:t>based collection models overseas</w:t>
      </w:r>
      <w:r w:rsidRPr="00DB26DD">
        <w:t xml:space="preserve"> </w:t>
      </w:r>
      <w:r>
        <w:t xml:space="preserve">and the tight timeframe, the Commission has placed a large onus on </w:t>
      </w:r>
      <w:r w:rsidRPr="00806487">
        <w:t xml:space="preserve">parties </w:t>
      </w:r>
      <w:r>
        <w:t>opposed to the</w:t>
      </w:r>
      <w:r w:rsidRPr="00806487">
        <w:t xml:space="preserve"> </w:t>
      </w:r>
      <w:r>
        <w:t xml:space="preserve">legislated </w:t>
      </w:r>
      <w:r w:rsidRPr="00806487">
        <w:t xml:space="preserve">model </w:t>
      </w:r>
      <w:r>
        <w:t>to</w:t>
      </w:r>
      <w:r w:rsidRPr="00806487">
        <w:t xml:space="preserve"> demonstrate the feasibility and superiority of </w:t>
      </w:r>
      <w:r>
        <w:t xml:space="preserve">an </w:t>
      </w:r>
      <w:r w:rsidRPr="00806487">
        <w:t>alternative approach.</w:t>
      </w:r>
    </w:p>
    <w:p w:rsidR="00E50145" w:rsidRDefault="00E50145" w:rsidP="00D34300">
      <w:pPr>
        <w:pStyle w:val="Heading2"/>
        <w:ind w:left="567" w:hanging="567"/>
      </w:pPr>
      <w:r>
        <w:t>2</w:t>
      </w:r>
      <w:r>
        <w:tab/>
        <w:t>The legislated model</w:t>
      </w:r>
    </w:p>
    <w:p w:rsidR="00E50145" w:rsidRDefault="00E50145" w:rsidP="00917CEF">
      <w:pPr>
        <w:pStyle w:val="Heading3"/>
        <w:spacing w:before="360"/>
      </w:pPr>
      <w:r>
        <w:t>Key advantages</w:t>
      </w:r>
    </w:p>
    <w:p w:rsidR="00E50145" w:rsidRDefault="00E50145" w:rsidP="00D34300">
      <w:pPr>
        <w:pStyle w:val="BodyText"/>
      </w:pPr>
      <w:r w:rsidRPr="0068160C">
        <w:t xml:space="preserve">The legislated model </w:t>
      </w:r>
      <w:r>
        <w:t xml:space="preserve">avoids the pitfalls that would arise from extending the ‘border collection model’ </w:t>
      </w:r>
      <w:r w:rsidRPr="0068160C">
        <w:t>(</w:t>
      </w:r>
      <w:r>
        <w:t>currently used for</w:t>
      </w:r>
      <w:r w:rsidRPr="0068160C">
        <w:t xml:space="preserve"> high value imports)</w:t>
      </w:r>
      <w:r>
        <w:t>, or other models that involve holding goods pending inspection, assessment or collection processes. With more than 50 million low value packages and parcels now being imported annually, the need for customs authorities or other parties in the supply chain to assess and collect GST</w:t>
      </w:r>
      <w:r w:rsidRPr="006E681E">
        <w:t xml:space="preserve"> </w:t>
      </w:r>
      <w:r>
        <w:t>for individual items would swamp the system’s current capacity, impose substantial costs, and could result in significant delays and compliance burdens for consumers. The legislated model does not require any additional customs involvement at the border. Further, the model provides transparency for consumers as GST</w:t>
      </w:r>
      <w:r w:rsidR="008E3531">
        <w:noBreakHyphen/>
      </w:r>
      <w:r>
        <w:t>inclusive prices would be indicated at the time of purchase.</w:t>
      </w:r>
    </w:p>
    <w:p w:rsidR="00E50145" w:rsidRDefault="00E50145" w:rsidP="00D34300">
      <w:pPr>
        <w:pStyle w:val="BodyText"/>
      </w:pPr>
      <w:r>
        <w:t xml:space="preserve">The legislated model may also perform well from a tax administration efficiency perspective. The Australian Government claims that it will deliver </w:t>
      </w:r>
      <w:r w:rsidRPr="002B222A">
        <w:t>around $300 million during its first three years of operation, at little cost to government —</w:t>
      </w:r>
      <w:r w:rsidR="008E3531">
        <w:t xml:space="preserve"> </w:t>
      </w:r>
      <w:r w:rsidRPr="002B222A">
        <w:t xml:space="preserve">$13 million up to the same point. This equates to an administration cost of around 4.4 cents for every dollar of additional revenue. Although the basis for the Treasury revenue estimates </w:t>
      </w:r>
      <w:r>
        <w:t>is</w:t>
      </w:r>
      <w:r w:rsidRPr="002B222A">
        <w:t xml:space="preserve"> </w:t>
      </w:r>
      <w:r>
        <w:t>contestable</w:t>
      </w:r>
      <w:r w:rsidRPr="002B222A">
        <w:t xml:space="preserve"> (see below), the model’s </w:t>
      </w:r>
      <w:r>
        <w:t xml:space="preserve">expected </w:t>
      </w:r>
      <w:r w:rsidRPr="002B222A">
        <w:t>ratio of administrative cost to revenue</w:t>
      </w:r>
      <w:r>
        <w:t xml:space="preserve"> is materially superior to the other plausible collection models examined by the Commission.</w:t>
      </w:r>
    </w:p>
    <w:p w:rsidR="00E50145" w:rsidRDefault="00E50145" w:rsidP="00D34300">
      <w:pPr>
        <w:pStyle w:val="BodyText"/>
      </w:pPr>
      <w:r>
        <w:t xml:space="preserve">Adoption of the legislated model is broadly in line with international initiatives in this </w:t>
      </w:r>
      <w:r w:rsidR="009729AA">
        <w:br/>
      </w:r>
      <w:r>
        <w:t xml:space="preserve">area, particularly plans by the European Union. And it is akin in design </w:t>
      </w:r>
      <w:r w:rsidR="00780DBA">
        <w:t>to</w:t>
      </w:r>
      <w:r>
        <w:t xml:space="preserve"> </w:t>
      </w:r>
      <w:r w:rsidR="009729AA">
        <w:t>the vendor collection model</w:t>
      </w:r>
      <w:r>
        <w:t xml:space="preserve"> for imported services and digital products </w:t>
      </w:r>
      <w:r w:rsidR="00780DBA">
        <w:t>that</w:t>
      </w:r>
      <w:r>
        <w:t xml:space="preserve"> </w:t>
      </w:r>
      <w:r w:rsidR="00780DBA">
        <w:t>is</w:t>
      </w:r>
      <w:r>
        <w:t xml:space="preserve"> b</w:t>
      </w:r>
      <w:r w:rsidR="009729AA">
        <w:t xml:space="preserve">eing adopted </w:t>
      </w:r>
      <w:r w:rsidR="00780DBA">
        <w:t xml:space="preserve">widely </w:t>
      </w:r>
      <w:r>
        <w:t>(including in Australia, from 1</w:t>
      </w:r>
      <w:r w:rsidR="008E3531">
        <w:t> </w:t>
      </w:r>
      <w:r>
        <w:t>July 2017).</w:t>
      </w:r>
      <w:r w:rsidRPr="00E45368">
        <w:t xml:space="preserve"> </w:t>
      </w:r>
    </w:p>
    <w:p w:rsidR="00E50145" w:rsidRDefault="00E50145" w:rsidP="00D34300">
      <w:pPr>
        <w:pStyle w:val="Heading3"/>
      </w:pPr>
      <w:r>
        <w:t>Concerns and uncertainties</w:t>
      </w:r>
    </w:p>
    <w:p w:rsidR="00E50145" w:rsidRPr="00D62696" w:rsidRDefault="00E50145" w:rsidP="00D34300">
      <w:pPr>
        <w:pStyle w:val="BodyText"/>
      </w:pPr>
      <w:r>
        <w:t>There are four main areas of concern and uncertainty around the legislated model.</w:t>
      </w:r>
    </w:p>
    <w:p w:rsidR="00E50145" w:rsidRDefault="00E50145" w:rsidP="00D34300">
      <w:pPr>
        <w:pStyle w:val="BodyText"/>
      </w:pPr>
      <w:r w:rsidRPr="00D62696">
        <w:t>First</w:t>
      </w:r>
      <w:r>
        <w:t xml:space="preserve">, several stakeholders have argued that the model will collect limited revenue, and less than the government claims. (The Government’s revenue estimates </w:t>
      </w:r>
      <w:r w:rsidRPr="009128C4">
        <w:t>assume</w:t>
      </w:r>
      <w:r>
        <w:t xml:space="preserve"> the collection rate reaches 27 per cent in the first three years and a maximum of 54 per cent after six years.) This is attributed to what stakeholders regard as the essentially ‘voluntary’ nature of the collection model. They contend the ATO has limited abilities to enforce compliance on suppliers beyond the immediate reach of Australia’s legal system. </w:t>
      </w:r>
    </w:p>
    <w:p w:rsidR="00E50145" w:rsidRDefault="00E50145" w:rsidP="00D34300">
      <w:pPr>
        <w:pStyle w:val="BodyText"/>
      </w:pPr>
      <w:r>
        <w:t xml:space="preserve">While there is little doubt that enforcement will be an ongoing challenge, the ATO is adopting a cooperative approach to compliance and has already gone to considerable lengths to alert overseas vendors of their new obligations. It is likely that most major foreign suppliers will comply to avoid tarnishing their reputations, suggesting that significant rates of compliance appear achievable. The </w:t>
      </w:r>
      <w:r w:rsidRPr="0041118D">
        <w:t xml:space="preserve">ATO </w:t>
      </w:r>
      <w:r>
        <w:t xml:space="preserve">also pointed to the early performance of </w:t>
      </w:r>
      <w:r w:rsidR="00265121">
        <w:t>the</w:t>
      </w:r>
      <w:r>
        <w:t xml:space="preserve"> similar scheme for imported services and digital goods, although these imports are concentrated among a few major international companies and that model was adopted </w:t>
      </w:r>
      <w:r w:rsidR="00265121" w:rsidRPr="00265121">
        <w:rPr>
          <w:spacing w:val="-1"/>
        </w:rPr>
        <w:t>f</w:t>
      </w:r>
      <w:r w:rsidRPr="00265121">
        <w:rPr>
          <w:spacing w:val="-1"/>
        </w:rPr>
        <w:t>ollowing successful implementation in other jurisdictions (particularly the European Union).</w:t>
      </w:r>
    </w:p>
    <w:p w:rsidR="00E50145" w:rsidRDefault="00E50145" w:rsidP="00D34300">
      <w:pPr>
        <w:pStyle w:val="BodyText"/>
        <w:spacing w:before="220" w:line="299" w:lineRule="atLeast"/>
      </w:pPr>
      <w:r>
        <w:t xml:space="preserve">Second, foreign suppliers will </w:t>
      </w:r>
      <w:r w:rsidRPr="00140745">
        <w:t xml:space="preserve">face </w:t>
      </w:r>
      <w:r>
        <w:t>significant</w:t>
      </w:r>
      <w:r w:rsidRPr="00140745">
        <w:t xml:space="preserve"> burdens collecting the GST (particularly where the legislated model and existing</w:t>
      </w:r>
      <w:r>
        <w:t xml:space="preserve"> border collection for high value goods come into conflict). The design of the legislated model has attempted to limit these costs through the ATO’s use of a limited registration system and simplified system of remittance. While the legislated model still places the bulk of collection costs on foreign suppliers, many of these costs mirror those borne by domestic businesses in the broader GST system.</w:t>
      </w:r>
    </w:p>
    <w:p w:rsidR="00E50145" w:rsidRDefault="00E50145" w:rsidP="00D34300">
      <w:pPr>
        <w:pStyle w:val="BodyText"/>
        <w:spacing w:before="220" w:line="299" w:lineRule="atLeast"/>
      </w:pPr>
      <w:r>
        <w:t xml:space="preserve">Third, some EDPs claim they cannot implement the model in its current form as they do not collect sufficient information about the transactions they facilitate. </w:t>
      </w:r>
      <w:proofErr w:type="gramStart"/>
      <w:r>
        <w:t>eBay</w:t>
      </w:r>
      <w:proofErr w:type="gramEnd"/>
      <w:r>
        <w:t xml:space="preserve"> has warned </w:t>
      </w:r>
      <w:r w:rsidR="0038198B">
        <w:t>it</w:t>
      </w:r>
      <w:r>
        <w:t xml:space="preserve"> may even block foreign vendors from selling to consumers in Australia when the legislated model is introduced. The veracity of these claims is difficult to assess. Most of eBay’s public statements say only that blocking imports to the Australian market is </w:t>
      </w:r>
      <w:r w:rsidRPr="007A6733">
        <w:rPr>
          <w:i/>
        </w:rPr>
        <w:t>possible</w:t>
      </w:r>
      <w:r>
        <w:t>, not guaranteed. That said, Australia’s position as the first to implement a vendor model for all physical low value imported goods gives EDPs strong incentives to try to supress the widespread uptake of a model that requires them to collect GST.</w:t>
      </w:r>
    </w:p>
    <w:p w:rsidR="00E50145" w:rsidRDefault="00E50145" w:rsidP="00D34300">
      <w:pPr>
        <w:pStyle w:val="BodyText"/>
        <w:spacing w:before="220" w:line="299" w:lineRule="atLeast"/>
      </w:pPr>
      <w:r>
        <w:t xml:space="preserve">Fourth, a few stakeholders have commented that the legislated model is tantamount to a breach of Australia’s international trade treaty agreements, as it adds unduly to the cost of trade. The Commission considers this risk as small. The application of the GST to imported goods to achieve equivalent treatment with domestic goods does not usurp on national treatment, and the added impost of complying with the model born by foreign suppliers is viewed as unlikely to be interpreted as indirect protection. However, there is less certainty around some specific aspects of the legislated model, particularly the different treatment of foreign and domestic goods sold through an EDP. </w:t>
      </w:r>
    </w:p>
    <w:p w:rsidR="00E50145" w:rsidRDefault="00E50145" w:rsidP="00D34300">
      <w:pPr>
        <w:pStyle w:val="Heading3"/>
      </w:pPr>
      <w:r>
        <w:t>Can the legislated model be improved?</w:t>
      </w:r>
    </w:p>
    <w:p w:rsidR="00E50145" w:rsidRDefault="00E50145" w:rsidP="00D34300">
      <w:pPr>
        <w:pStyle w:val="BodyText"/>
      </w:pPr>
      <w:r>
        <w:t>The Commission has identified some prospective improvements to the design of the legislated model and enforcement strategy, although it has not been in a position to adequately evaluate these options. If the model does not perform broadly as expected, these options should be considered as part of a future review.</w:t>
      </w:r>
    </w:p>
    <w:p w:rsidR="00E50145" w:rsidRDefault="00E50145" w:rsidP="00D34300">
      <w:pPr>
        <w:pStyle w:val="BodyText"/>
      </w:pPr>
      <w:r>
        <w:t>In particular, if the level of compliance falls short of expectations, the ATO’s enforcement toolkit could be expanded. Options include enabling the ATO to ‘name and shame’ non</w:t>
      </w:r>
      <w:r>
        <w:noBreakHyphen/>
        <w:t>compliant foreign suppliers and/or requiring them to establish an Australian agent. A stronger enforcement option, recommended by several inquiry participants, would be to supplement the legislated model by applying ‘border’ processes to imports from persistently non</w:t>
      </w:r>
      <w:r>
        <w:noBreakHyphen/>
        <w:t>compliant suppliers.</w:t>
      </w:r>
    </w:p>
    <w:p w:rsidR="00E50145" w:rsidRDefault="00E50145" w:rsidP="00D34300">
      <w:pPr>
        <w:pStyle w:val="BodyText"/>
      </w:pPr>
      <w:r>
        <w:t>These options have their own costs and complications. For example, publicising non</w:t>
      </w:r>
      <w:r>
        <w:noBreakHyphen/>
        <w:t xml:space="preserve">compliant suppliers might backfire by alerting Australian consumers to </w:t>
      </w:r>
      <w:r w:rsidR="009729AA">
        <w:t>web</w:t>
      </w:r>
      <w:r>
        <w:t>sites offering (tax</w:t>
      </w:r>
      <w:r>
        <w:noBreakHyphen/>
        <w:t xml:space="preserve">free) bargains. And </w:t>
      </w:r>
      <w:r w:rsidRPr="007665CA">
        <w:t xml:space="preserve">a comprehensive program of stopping all goods </w:t>
      </w:r>
      <w:r>
        <w:t xml:space="preserve">from </w:t>
      </w:r>
      <w:r w:rsidRPr="007665CA">
        <w:t>non</w:t>
      </w:r>
      <w:r w:rsidRPr="007665CA">
        <w:noBreakHyphen/>
        <w:t xml:space="preserve">compliant </w:t>
      </w:r>
      <w:r>
        <w:t xml:space="preserve">suppliers </w:t>
      </w:r>
      <w:r w:rsidRPr="007665CA">
        <w:t>at the border would be</w:t>
      </w:r>
      <w:r>
        <w:t xml:space="preserve"> very</w:t>
      </w:r>
      <w:r w:rsidRPr="007665CA">
        <w:t xml:space="preserve"> costly to administer</w:t>
      </w:r>
      <w:r>
        <w:t xml:space="preserve"> (although there may be scope to devise a more limited, targeted approach, particularly for the cargo stream). These options would require further analysis before deployment.</w:t>
      </w:r>
    </w:p>
    <w:p w:rsidR="00E50145" w:rsidRDefault="00E50145" w:rsidP="00D34300">
      <w:pPr>
        <w:pStyle w:val="BodyText"/>
      </w:pPr>
      <w:r>
        <w:t>Looking further ahead, there may even be scope to avoid the issues that arise with two collection models sitting side</w:t>
      </w:r>
      <w:r>
        <w:noBreakHyphen/>
        <w:t>by</w:t>
      </w:r>
      <w:r>
        <w:noBreakHyphen/>
        <w:t>side</w:t>
      </w:r>
      <w:r w:rsidR="00D90708">
        <w:t xml:space="preserve"> (one for low value goods and another for the remainder)</w:t>
      </w:r>
      <w:r>
        <w:t xml:space="preserve">, by extending the legislated model to higher value goods. Of course, this would depend on whether the legislated model is successful (particularly through strong compliance rates) and would also require much further analysis before deployment. </w:t>
      </w:r>
    </w:p>
    <w:p w:rsidR="00E50145" w:rsidRDefault="00E50145" w:rsidP="00D34300">
      <w:pPr>
        <w:pStyle w:val="Heading2"/>
        <w:ind w:left="567" w:hanging="567"/>
      </w:pPr>
      <w:r>
        <w:t>3</w:t>
      </w:r>
      <w:r>
        <w:tab/>
      </w:r>
      <w:r w:rsidRPr="00205789">
        <w:t>Is</w:t>
      </w:r>
      <w:r>
        <w:t xml:space="preserve"> there a superior collection model?</w:t>
      </w:r>
    </w:p>
    <w:p w:rsidR="00E50145" w:rsidRDefault="00E50145" w:rsidP="00D34300">
      <w:pPr>
        <w:pStyle w:val="BodyText"/>
      </w:pPr>
      <w:r w:rsidRPr="00AC7F84">
        <w:t xml:space="preserve">The legislated model is one of several options that could be used for </w:t>
      </w:r>
      <w:r>
        <w:t>GST collection on low value imported goods</w:t>
      </w:r>
      <w:r w:rsidRPr="00AC7F84">
        <w:t>.</w:t>
      </w:r>
      <w:r>
        <w:t xml:space="preserve"> Options are distinguished by where in the supply chain for online imported goods the legal obligation to assess, collect and remit GST is placed </w:t>
      </w:r>
      <w:r w:rsidRPr="00AC7F84">
        <w:t>(box 1)</w:t>
      </w:r>
      <w:r>
        <w:t>. This choice is important because it bears on the efficiency of tax administration, compliance costs and non</w:t>
      </w:r>
      <w:r w:rsidR="008E3531">
        <w:noBreakHyphen/>
      </w:r>
      <w:r>
        <w:t xml:space="preserve">pecuniary factors, like consumer convenience. </w:t>
      </w:r>
    </w:p>
    <w:p w:rsidR="00E50145" w:rsidRDefault="00E50145" w:rsidP="00D34300">
      <w:pPr>
        <w:pStyle w:val="Heading3"/>
      </w:pPr>
      <w:r>
        <w:t>Transporter models</w:t>
      </w:r>
    </w:p>
    <w:p w:rsidR="00E50145" w:rsidRDefault="00E50145" w:rsidP="00D34300">
      <w:pPr>
        <w:pStyle w:val="BodyText"/>
      </w:pPr>
      <w:r>
        <w:t>In examining possible alternative models, the Commission has focused on transporter</w:t>
      </w:r>
      <w:r>
        <w:noBreakHyphen/>
        <w:t>based collection models that require the delivery agent to collect GST. In particular, two transporter collection models appear as the most suitable alternatives to the legislated model. These are the approach recommended by the 2012 Low Value Parcel Processing Taskforce (the Taskforce model) and the ‘modernised transporter model’ proposed to this inquiry by Amazon.</w:t>
      </w:r>
    </w:p>
    <w:p w:rsidR="00E50145" w:rsidRDefault="00E50145" w:rsidP="00D34300">
      <w:pPr>
        <w:pStyle w:val="ListBullet"/>
      </w:pPr>
      <w:r>
        <w:t>The Taskforce model would involve low value goods being assessed for GST by customs authorities at the border before being released to transporters (such as Australia Post or express couriers) that would take responsibility for collecting and remitting the GST.</w:t>
      </w:r>
    </w:p>
    <w:p w:rsidR="00E50145" w:rsidRDefault="00E50145" w:rsidP="00D34300">
      <w:pPr>
        <w:pStyle w:val="ListBullet"/>
      </w:pPr>
      <w:r>
        <w:t>The ‘modernised transporter model’ is similar, but transporters would also take responsibility for assessing GST liabilities on items they transport. Amazon envisages that the transporter would seek to collect the GST upfront from the foreign supplier rather than in a second payment by the purchaser.</w:t>
      </w:r>
    </w:p>
    <w:p w:rsidR="0038198B" w:rsidRDefault="00E50145" w:rsidP="00D34300">
      <w:pPr>
        <w:pStyle w:val="BodyText"/>
      </w:pPr>
      <w:r>
        <w:t>Because neither model places the liability for assessing and collecting the GST on entities outside of Australia’s legal jurisdiction, or exempts goods from small suppliers, both are likely to achieve higher compliance and collection rates than the legislated model</w:t>
      </w:r>
      <w:r w:rsidR="006C3F88">
        <w:t xml:space="preserve"> — although at the cost of a higher administrative and compliance burden</w:t>
      </w:r>
      <w:r>
        <w:t>.</w:t>
      </w:r>
    </w:p>
    <w:p w:rsidR="00E50145" w:rsidRDefault="00B55A4E" w:rsidP="00D34300">
      <w:pPr>
        <w:pStyle w:val="BodyText"/>
      </w:pPr>
      <w:r>
        <w:t>N</w:t>
      </w:r>
      <w:r w:rsidR="00E50145">
        <w:t>either model could sensibly be considered as a feasible alternative in the near term because of the legacy paper</w:t>
      </w:r>
      <w:r w:rsidR="00E50145">
        <w:noBreakHyphen/>
        <w:t xml:space="preserve">based declaration processes still in operation for most goods sent by international mail. The Universal Postal Union (the international postal organisation) is currently promoting an upgrade to a system involving electronic data transmission, but indications are that this </w:t>
      </w:r>
      <w:r w:rsidR="0038198B">
        <w:t>may</w:t>
      </w:r>
      <w:r w:rsidR="00E50145">
        <w:t xml:space="preserve"> not become widespread until 2023. In addition, the modernised transporter model would require Australia Post to negotiate agreements with overseas postal operators to facilitate collection upfront from the vendor, which could further hamper and delay its implementation.</w:t>
      </w:r>
    </w:p>
    <w:p w:rsidR="00E50145" w:rsidRDefault="00E50145" w:rsidP="00D34300">
      <w:pPr>
        <w:pStyle w:val="BodyText"/>
        <w:keepNext/>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50145" w:rsidTr="001A6756">
        <w:trPr>
          <w:tblHeader/>
        </w:trPr>
        <w:tc>
          <w:tcPr>
            <w:tcW w:w="8771" w:type="dxa"/>
            <w:tcBorders>
              <w:top w:val="single" w:sz="6" w:space="0" w:color="78A22F"/>
              <w:left w:val="nil"/>
              <w:bottom w:val="nil"/>
              <w:right w:val="nil"/>
            </w:tcBorders>
            <w:shd w:val="clear" w:color="auto" w:fill="F2F2F2"/>
          </w:tcPr>
          <w:p w:rsidR="00E50145" w:rsidRDefault="00E50145" w:rsidP="00116440">
            <w:pPr>
              <w:pStyle w:val="BoxTitle"/>
            </w:pPr>
            <w:r>
              <w:rPr>
                <w:b w:val="0"/>
              </w:rPr>
              <w:t xml:space="preserve">Box </w:t>
            </w:r>
            <w:r>
              <w:rPr>
                <w:b w:val="0"/>
                <w:noProof/>
              </w:rPr>
              <w:t>1</w:t>
            </w:r>
            <w:r>
              <w:tab/>
            </w:r>
            <w:r w:rsidRPr="00DE3CB8">
              <w:t>The online goods importation system</w:t>
            </w:r>
            <w:r>
              <w:t xml:space="preserve"> and models for collecting GST</w:t>
            </w:r>
          </w:p>
        </w:tc>
      </w:tr>
      <w:tr w:rsidR="00E50145" w:rsidTr="00EA7E5D">
        <w:tc>
          <w:tcPr>
            <w:tcW w:w="8771" w:type="dxa"/>
            <w:tcBorders>
              <w:top w:val="nil"/>
              <w:left w:val="nil"/>
              <w:bottom w:val="nil"/>
              <w:right w:val="nil"/>
            </w:tcBorders>
            <w:shd w:val="clear" w:color="auto" w:fill="F2F2F2"/>
          </w:tcPr>
          <w:p w:rsidR="00116440" w:rsidRDefault="00E50145" w:rsidP="00D34300">
            <w:pPr>
              <w:pStyle w:val="Box"/>
            </w:pPr>
            <w:r w:rsidRPr="00923BEF">
              <w:t>The supply chain for online imported goods differs significantly from the traditional model of importing, warehousing and then retailing goods.</w:t>
            </w:r>
            <w:r>
              <w:t xml:space="preserve"> The figure below depicts the process, and the main entities involved.</w:t>
            </w:r>
            <w:r w:rsidRPr="00A14983">
              <w:t xml:space="preserve"> </w:t>
            </w:r>
          </w:p>
          <w:p w:rsidR="00E50145" w:rsidRPr="00A14983" w:rsidRDefault="00116440" w:rsidP="00116440">
            <w:pPr>
              <w:pStyle w:val="Box"/>
              <w:spacing w:after="240"/>
              <w:jc w:val="center"/>
            </w:pPr>
            <w:r w:rsidRPr="00BA4759">
              <w:rPr>
                <w:noProof/>
              </w:rPr>
              <w:drawing>
                <wp:inline distT="0" distB="0" distL="0" distR="0" wp14:anchorId="07D7DD2B" wp14:editId="07D7DD2C">
                  <wp:extent cx="5210827" cy="3251200"/>
                  <wp:effectExtent l="0" t="0" r="0" b="6350"/>
                  <wp:docPr id="38" name="Picture 38" descr="The figure depicts the supply chain for online imported goods and the main entities involved. It shows the flow of funds from purchasers through financial intermediaries (sometimes facilitated by electronic distribution platforms) to foreign vendors. The foreign vendor then sends the goods to transporters (sometimes via redeliverers) to the purchaser. " title="The supply chain for online imported g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0827" cy="3251200"/>
                          </a:xfrm>
                          <a:prstGeom prst="rect">
                            <a:avLst/>
                          </a:prstGeom>
                          <a:noFill/>
                          <a:ln>
                            <a:noFill/>
                          </a:ln>
                        </pic:spPr>
                      </pic:pic>
                    </a:graphicData>
                  </a:graphic>
                </wp:inline>
              </w:drawing>
            </w:r>
          </w:p>
          <w:p w:rsidR="00E50145" w:rsidRPr="006D62C9" w:rsidRDefault="00E50145" w:rsidP="00D34300">
            <w:pPr>
              <w:pStyle w:val="Box"/>
            </w:pPr>
            <w:r w:rsidRPr="006D62C9">
              <w:t>The OECD (2015) has identified four broad collection models that are distinguished by the party liable to account for and collect GST. The broad models are:</w:t>
            </w:r>
          </w:p>
          <w:p w:rsidR="00E50145" w:rsidRPr="006D62C9" w:rsidRDefault="00E50145" w:rsidP="00D34300">
            <w:pPr>
              <w:pStyle w:val="BoxListBullet"/>
            </w:pPr>
            <w:r w:rsidRPr="006D62C9">
              <w:rPr>
                <w:i/>
              </w:rPr>
              <w:t>‘</w:t>
            </w:r>
            <w:proofErr w:type="gramStart"/>
            <w:r w:rsidRPr="006D62C9">
              <w:rPr>
                <w:i/>
              </w:rPr>
              <w:t>traditional</w:t>
            </w:r>
            <w:proofErr w:type="gramEnd"/>
            <w:r w:rsidRPr="006D62C9">
              <w:rPr>
                <w:i/>
              </w:rPr>
              <w:t>’ or ‘border’ collection</w:t>
            </w:r>
            <w:r w:rsidR="00A17943">
              <w:rPr>
                <w:i/>
              </w:rPr>
              <w:t xml:space="preserve"> </w:t>
            </w:r>
            <w:r w:rsidRPr="006D62C9">
              <w:t xml:space="preserve">— the model currently used in Australia to collect </w:t>
            </w:r>
            <w:r>
              <w:t xml:space="preserve">the </w:t>
            </w:r>
            <w:r w:rsidRPr="006D62C9">
              <w:t>GST and customs duties on imports of goods valued above $1000</w:t>
            </w:r>
            <w:r>
              <w:t>.</w:t>
            </w:r>
            <w:r w:rsidRPr="006D62C9">
              <w:t xml:space="preserve"> Customs authorities assess the value of the imported goods and hold them until the appropriate GST payment is made by the recipient</w:t>
            </w:r>
            <w:r>
              <w:t xml:space="preserve"> of the goods</w:t>
            </w:r>
            <w:r w:rsidRPr="006D62C9">
              <w:t>.</w:t>
            </w:r>
          </w:p>
          <w:p w:rsidR="00E50145" w:rsidRPr="006D62C9" w:rsidRDefault="00E50145" w:rsidP="00D34300">
            <w:pPr>
              <w:pStyle w:val="BoxListBullet"/>
            </w:pPr>
            <w:proofErr w:type="gramStart"/>
            <w:r w:rsidRPr="006D62C9">
              <w:rPr>
                <w:i/>
              </w:rPr>
              <w:t>vendor</w:t>
            </w:r>
            <w:proofErr w:type="gramEnd"/>
            <w:r w:rsidRPr="006D62C9">
              <w:rPr>
                <w:i/>
              </w:rPr>
              <w:t xml:space="preserve"> collection</w:t>
            </w:r>
            <w:r w:rsidR="00A17943">
              <w:rPr>
                <w:i/>
              </w:rPr>
              <w:t xml:space="preserve"> </w:t>
            </w:r>
            <w:r w:rsidRPr="006D62C9">
              <w:t>—</w:t>
            </w:r>
            <w:r>
              <w:t xml:space="preserve"> </w:t>
            </w:r>
            <w:r w:rsidRPr="006D62C9">
              <w:t xml:space="preserve">the obligation to collect and remit the GST is placed on the </w:t>
            </w:r>
            <w:r>
              <w:t>foreign</w:t>
            </w:r>
            <w:r w:rsidRPr="006D62C9">
              <w:t xml:space="preserve"> vendor, who is required to register for GST in the destination jurisdiction.</w:t>
            </w:r>
          </w:p>
          <w:p w:rsidR="00E50145" w:rsidRPr="006D62C9" w:rsidRDefault="00E50145" w:rsidP="00D34300">
            <w:pPr>
              <w:pStyle w:val="BoxListBullet"/>
            </w:pPr>
            <w:proofErr w:type="gramStart"/>
            <w:r w:rsidRPr="006D62C9">
              <w:rPr>
                <w:i/>
              </w:rPr>
              <w:t>intermediary</w:t>
            </w:r>
            <w:proofErr w:type="gramEnd"/>
            <w:r w:rsidRPr="006D62C9">
              <w:rPr>
                <w:i/>
              </w:rPr>
              <w:t xml:space="preserve"> collection</w:t>
            </w:r>
            <w:r w:rsidR="00A17943">
              <w:rPr>
                <w:i/>
              </w:rPr>
              <w:t xml:space="preserve"> </w:t>
            </w:r>
            <w:r w:rsidRPr="006D62C9">
              <w:t xml:space="preserve">— this umbrella term describes models where the obligation to collect and remit GST is placed on </w:t>
            </w:r>
            <w:r>
              <w:t xml:space="preserve">intermediaries in the supply chain, including </w:t>
            </w:r>
            <w:r w:rsidRPr="006D62C9">
              <w:t xml:space="preserve">financial intermediaries, EDPs or transporters (including </w:t>
            </w:r>
            <w:proofErr w:type="spellStart"/>
            <w:r w:rsidRPr="006D62C9">
              <w:t>redeliverers</w:t>
            </w:r>
            <w:proofErr w:type="spellEnd"/>
            <w:r w:rsidRPr="006D62C9">
              <w:t>).</w:t>
            </w:r>
          </w:p>
          <w:p w:rsidR="00E50145" w:rsidRPr="006D62C9" w:rsidRDefault="00E50145" w:rsidP="00D34300">
            <w:pPr>
              <w:pStyle w:val="BoxListBullet"/>
            </w:pPr>
            <w:proofErr w:type="gramStart"/>
            <w:r w:rsidRPr="006D62C9">
              <w:rPr>
                <w:i/>
              </w:rPr>
              <w:t>purchaser</w:t>
            </w:r>
            <w:proofErr w:type="gramEnd"/>
            <w:r w:rsidRPr="006D62C9">
              <w:rPr>
                <w:i/>
              </w:rPr>
              <w:t xml:space="preserve"> collection</w:t>
            </w:r>
            <w:r w:rsidR="00A17943">
              <w:rPr>
                <w:i/>
              </w:rPr>
              <w:t xml:space="preserve"> </w:t>
            </w:r>
            <w:r w:rsidRPr="006D62C9">
              <w:t>— the purchaser is required to self</w:t>
            </w:r>
            <w:r w:rsidRPr="006D62C9">
              <w:noBreakHyphen/>
              <w:t xml:space="preserve">assess and remit GST on purchases of low value imported goods. </w:t>
            </w:r>
          </w:p>
          <w:p w:rsidR="00E50145" w:rsidRPr="00E323DC" w:rsidRDefault="00E50145" w:rsidP="00D34300">
            <w:pPr>
              <w:pStyle w:val="Box"/>
            </w:pPr>
            <w:r w:rsidRPr="006D62C9">
              <w:t xml:space="preserve">In practice, there are myriad ways collection systems could be configured, with GST assessment and GST collection potentially happening at different (and multiple) points in the supply chain, and involving multiple parties. </w:t>
            </w:r>
            <w:r>
              <w:t>P</w:t>
            </w:r>
            <w:r w:rsidRPr="006D62C9">
              <w:t xml:space="preserve">roposals for collection systems often draw on elements of the four broad </w:t>
            </w:r>
            <w:r>
              <w:t xml:space="preserve">collection </w:t>
            </w:r>
            <w:r w:rsidRPr="006D62C9">
              <w:t xml:space="preserve">models listed above. </w:t>
            </w:r>
          </w:p>
        </w:tc>
      </w:tr>
      <w:tr w:rsidR="00E50145" w:rsidTr="00EA7E5D">
        <w:tc>
          <w:tcPr>
            <w:tcW w:w="8771" w:type="dxa"/>
            <w:tcBorders>
              <w:top w:val="nil"/>
              <w:left w:val="nil"/>
              <w:bottom w:val="single" w:sz="6" w:space="0" w:color="78A22F"/>
              <w:right w:val="nil"/>
            </w:tcBorders>
            <w:shd w:val="clear" w:color="auto" w:fill="F2F2F2"/>
          </w:tcPr>
          <w:p w:rsidR="00E50145" w:rsidRDefault="00E50145" w:rsidP="00D34300">
            <w:pPr>
              <w:pStyle w:val="Box"/>
              <w:spacing w:before="0" w:line="120" w:lineRule="exact"/>
            </w:pPr>
          </w:p>
        </w:tc>
      </w:tr>
      <w:tr w:rsidR="00E50145" w:rsidRPr="000863A5" w:rsidTr="00EA7E5D">
        <w:tc>
          <w:tcPr>
            <w:tcW w:w="8771" w:type="dxa"/>
            <w:tcBorders>
              <w:top w:val="single" w:sz="6" w:space="0" w:color="78A22F"/>
              <w:left w:val="nil"/>
              <w:bottom w:val="nil"/>
              <w:right w:val="nil"/>
            </w:tcBorders>
          </w:tcPr>
          <w:p w:rsidR="00E50145" w:rsidRPr="00626D32" w:rsidRDefault="00E50145" w:rsidP="00D34300">
            <w:pPr>
              <w:pStyle w:val="BoxSpaceBelow"/>
            </w:pPr>
          </w:p>
        </w:tc>
      </w:tr>
    </w:tbl>
    <w:p w:rsidR="00E50145" w:rsidRDefault="00E50145" w:rsidP="00D34300">
      <w:pPr>
        <w:pStyle w:val="Heading3"/>
      </w:pPr>
      <w:r>
        <w:t>Other models</w:t>
      </w:r>
    </w:p>
    <w:p w:rsidR="00E50145" w:rsidRDefault="00E50145" w:rsidP="00D34300">
      <w:pPr>
        <w:pStyle w:val="BodyText"/>
      </w:pPr>
      <w:r>
        <w:t>Several inquiry participants proposed collection models based on other points in the supply chain for imported goods, and for some in combination with sophisticated technological solutions that their advocates claim would minimise otherwise high compliance and administration costs. For example:</w:t>
      </w:r>
    </w:p>
    <w:p w:rsidR="00E50145" w:rsidRPr="0041118D" w:rsidRDefault="00E50145" w:rsidP="00D34300">
      <w:pPr>
        <w:pStyle w:val="ListBullet"/>
      </w:pPr>
      <w:proofErr w:type="gramStart"/>
      <w:r>
        <w:t>a</w:t>
      </w:r>
      <w:proofErr w:type="gramEnd"/>
      <w:r>
        <w:t xml:space="preserve"> border collection model (currently used to </w:t>
      </w:r>
      <w:r w:rsidRPr="0041118D">
        <w:t>collect GST and customs duties on imports of goods valued above $1000).</w:t>
      </w:r>
    </w:p>
    <w:p w:rsidR="00E50145" w:rsidRPr="0041118D" w:rsidRDefault="00E50145" w:rsidP="00D34300">
      <w:pPr>
        <w:pStyle w:val="ListBullet"/>
      </w:pPr>
      <w:r w:rsidRPr="0041118D">
        <w:t>self</w:t>
      </w:r>
      <w:r w:rsidRPr="0041118D">
        <w:noBreakHyphen/>
        <w:t xml:space="preserve">assessment by purchasers </w:t>
      </w:r>
    </w:p>
    <w:p w:rsidR="00E50145" w:rsidRPr="0041118D" w:rsidRDefault="00E50145" w:rsidP="00D34300">
      <w:pPr>
        <w:pStyle w:val="ListBullet"/>
      </w:pPr>
      <w:proofErr w:type="gramStart"/>
      <w:r w:rsidRPr="0041118D">
        <w:t>collection</w:t>
      </w:r>
      <w:proofErr w:type="gramEnd"/>
      <w:r w:rsidRPr="0041118D">
        <w:t xml:space="preserve"> by banks, credit card schemes and other financial intermediaries.</w:t>
      </w:r>
    </w:p>
    <w:p w:rsidR="00E50145" w:rsidRDefault="00E50145" w:rsidP="00D34300">
      <w:pPr>
        <w:pStyle w:val="BodyText"/>
      </w:pPr>
      <w:r w:rsidRPr="0041118D">
        <w:t xml:space="preserve">The border collection model was examined in depth by the Commission in its 2011 inquiry. It concluded that the model was unworkable </w:t>
      </w:r>
      <w:r w:rsidR="00A17943">
        <w:t xml:space="preserve">for low value goods </w:t>
      </w:r>
      <w:r w:rsidRPr="0041118D">
        <w:t>because the administrative and compliance costs would far outweigh the revenue collected and entail delays and disruptions to the delivery of goods. The Commission has not received</w:t>
      </w:r>
      <w:r>
        <w:t xml:space="preserve"> in this inquiry any new evidence that changes this conclusion. </w:t>
      </w:r>
    </w:p>
    <w:p w:rsidR="00E50145" w:rsidRDefault="00E50145" w:rsidP="00D34300">
      <w:pPr>
        <w:pStyle w:val="BodyText"/>
      </w:pPr>
      <w:r>
        <w:t>The financial intermediary and purchaser self</w:t>
      </w:r>
      <w:r w:rsidR="008E3531">
        <w:noBreakHyphen/>
      </w:r>
      <w:r>
        <w:t xml:space="preserve">assessment models have some features of merit. In particular, the legal liability for GST collection falls on entities within Australia’s jurisdiction and the scope for information technologies to monitor enforcement at modest cost could go some way to addressing two of the criticisms with the legislated model. </w:t>
      </w:r>
    </w:p>
    <w:p w:rsidR="00E50145" w:rsidRDefault="00E50145" w:rsidP="00D34300">
      <w:pPr>
        <w:pStyle w:val="BodyText"/>
      </w:pPr>
      <w:r>
        <w:t>However, current payments systems do not transmit sufficient information for assessing GST liabilities under a financial intermediary model, and it is uncertain whether this will change in the future. While payment system upgrades are allowing for greater information capture and transmission, the most common payment methods for cross</w:t>
      </w:r>
      <w:r w:rsidR="008E3531">
        <w:noBreakHyphen/>
      </w:r>
      <w:r>
        <w:t>border purchases are unaffected, and the diversity of payment options presents additional challenges. And for both models, the information technology requirements needed go well beyond system upgrades and remain untested. The Commission considers their unproven feasibility and effectiveness make them unsuitable at this time.</w:t>
      </w:r>
    </w:p>
    <w:p w:rsidR="00E50145" w:rsidRDefault="00E50145" w:rsidP="00D34300">
      <w:pPr>
        <w:pStyle w:val="Heading2"/>
        <w:ind w:left="567" w:hanging="567"/>
      </w:pPr>
      <w:r>
        <w:t>4</w:t>
      </w:r>
      <w:r>
        <w:tab/>
        <w:t>The way ahead</w:t>
      </w:r>
    </w:p>
    <w:p w:rsidR="00E50145" w:rsidRDefault="00E50145" w:rsidP="00D34300">
      <w:pPr>
        <w:pStyle w:val="BodyText"/>
      </w:pPr>
      <w:r>
        <w:t>While the legislated model has limitations and carries significant uncertainty about levels of compliance and the reactions of EDPs, the Commission does not have sufficient sound evidence to recommend an alternative collection model at this stage. That said, which collection model is best may change as technologies develop and as other countries implement their own systems. This raises the question of whether there is merit in delaying implementation of the legislated model and adopting a wait</w:t>
      </w:r>
      <w:r w:rsidR="008E3531">
        <w:noBreakHyphen/>
      </w:r>
      <w:r>
        <w:t>and</w:t>
      </w:r>
      <w:r w:rsidR="008E3531">
        <w:noBreakHyphen/>
      </w:r>
      <w:r>
        <w:t>see strategy.</w:t>
      </w:r>
    </w:p>
    <w:p w:rsidR="00E50145" w:rsidRPr="006E500C" w:rsidRDefault="00E50145" w:rsidP="00D34300">
      <w:pPr>
        <w:pStyle w:val="Heading3"/>
      </w:pPr>
      <w:r>
        <w:t>Is there a case for delaying implementation?</w:t>
      </w:r>
    </w:p>
    <w:p w:rsidR="00E50145" w:rsidRDefault="00E50145" w:rsidP="00D34300">
      <w:pPr>
        <w:pStyle w:val="BodyText"/>
      </w:pPr>
      <w:r>
        <w:t>Delaying implementation of the legislated model</w:t>
      </w:r>
      <w:r w:rsidRPr="00F1672C" w:rsidDel="009F0648">
        <w:t xml:space="preserve"> </w:t>
      </w:r>
      <w:r w:rsidRPr="00F1672C">
        <w:t xml:space="preserve">would provide more time for technological </w:t>
      </w:r>
      <w:r>
        <w:t>innovations or other developments</w:t>
      </w:r>
      <w:r w:rsidRPr="00F1672C">
        <w:t xml:space="preserve"> that could </w:t>
      </w:r>
      <w:r>
        <w:t xml:space="preserve">favour </w:t>
      </w:r>
      <w:r w:rsidRPr="00F1672C">
        <w:t>the feasibility of</w:t>
      </w:r>
      <w:r>
        <w:t xml:space="preserve"> alternative</w:t>
      </w:r>
      <w:r w:rsidRPr="00F1672C">
        <w:t xml:space="preserve"> </w:t>
      </w:r>
      <w:r>
        <w:t xml:space="preserve">collection </w:t>
      </w:r>
      <w:r w:rsidRPr="00F1672C">
        <w:t>models</w:t>
      </w:r>
      <w:r>
        <w:t>. Significantly, the provision of electronic data with goods sent via international mail is expected to become compulsory by 2023 (</w:t>
      </w:r>
      <w:r w:rsidR="00F9702A">
        <w:t>and</w:t>
      </w:r>
      <w:r w:rsidR="00F9702A" w:rsidRPr="00734CCA">
        <w:t xml:space="preserve"> </w:t>
      </w:r>
      <w:r>
        <w:t>maybe</w:t>
      </w:r>
      <w:r w:rsidRPr="00734CCA">
        <w:t xml:space="preserve"> sooner </w:t>
      </w:r>
      <w:r>
        <w:t>in some</w:t>
      </w:r>
      <w:r w:rsidRPr="00734CCA">
        <w:t xml:space="preserve"> countries</w:t>
      </w:r>
      <w:r>
        <w:t>), making transporter</w:t>
      </w:r>
      <w:r>
        <w:noBreakHyphen/>
        <w:t>based models more feasible and attractive than they are at present</w:t>
      </w:r>
      <w:r w:rsidRPr="00734CCA">
        <w:t>.</w:t>
      </w:r>
    </w:p>
    <w:p w:rsidR="00E50145" w:rsidRDefault="00E50145" w:rsidP="00D34300">
      <w:pPr>
        <w:pStyle w:val="BodyText"/>
      </w:pPr>
      <w:r>
        <w:t>Delaying implementation would also allow time to learn from (though not necessarily emulate) other countries’ choices and experiences with vendor</w:t>
      </w:r>
      <w:r w:rsidR="008E3531">
        <w:noBreakHyphen/>
      </w:r>
      <w:r>
        <w:t xml:space="preserve">based collection models. There are several overseas initiatives in the pipeline, the most significant one being that of the European Union, which is scheduled to take effect from 2021. The prospect of moving after other countries, or concurrently, could abate the risk of EDPs disabling foreign vendors from selling to consumers in Australia. </w:t>
      </w:r>
    </w:p>
    <w:p w:rsidR="00E50145" w:rsidRPr="003A55FD" w:rsidRDefault="00E50145" w:rsidP="00D34300">
      <w:pPr>
        <w:pStyle w:val="BodyText"/>
      </w:pPr>
      <w:r w:rsidRPr="003A55FD">
        <w:t xml:space="preserve">The Commission </w:t>
      </w:r>
      <w:r>
        <w:t>considers</w:t>
      </w:r>
      <w:r w:rsidRPr="003A55FD">
        <w:t xml:space="preserve"> the</w:t>
      </w:r>
      <w:r>
        <w:t>se</w:t>
      </w:r>
      <w:r w:rsidRPr="003A55FD">
        <w:t xml:space="preserve"> arguments </w:t>
      </w:r>
      <w:r>
        <w:t xml:space="preserve">offer </w:t>
      </w:r>
      <w:r w:rsidRPr="003A55FD">
        <w:t xml:space="preserve">insufficient </w:t>
      </w:r>
      <w:r>
        <w:t xml:space="preserve">ground </w:t>
      </w:r>
      <w:r w:rsidRPr="003A55FD">
        <w:t>to recommend</w:t>
      </w:r>
      <w:r>
        <w:t xml:space="preserve"> delaying the implementation schedule</w:t>
      </w:r>
      <w:r w:rsidRPr="003A55FD">
        <w:t>.</w:t>
      </w:r>
      <w:r>
        <w:t xml:space="preserve"> While it is possible that superior collection models </w:t>
      </w:r>
      <w:r w:rsidRPr="00B9765E">
        <w:rPr>
          <w:i/>
        </w:rPr>
        <w:t>may</w:t>
      </w:r>
      <w:r>
        <w:t xml:space="preserve"> eventually emerge, the pivotal issue is whether the legislated model would preclude their subsequent adoption. The Commission sees only limited ‘lock in’ risk and, as such, the value of waiting for potentially better models is low. </w:t>
      </w:r>
    </w:p>
    <w:p w:rsidR="00E50145" w:rsidRDefault="00E50145" w:rsidP="00D34300">
      <w:pPr>
        <w:pStyle w:val="BodyText"/>
      </w:pPr>
      <w:r>
        <w:t>Delaying implementation to take stock of international developments is likewise a two</w:t>
      </w:r>
      <w:r w:rsidR="008E3531">
        <w:noBreakHyphen/>
      </w:r>
      <w:r>
        <w:t>way street. The fate of the legislated model does not play out in a policy vacuum — a decision to delay its implementation could slow global momentum on this front</w:t>
      </w:r>
      <w:r w:rsidRPr="00D201B5">
        <w:t xml:space="preserve">, potentially </w:t>
      </w:r>
      <w:r>
        <w:t>extending the life of existing inefficient border collection mechanisms overseas, and/or opening the door to more onerous alternative collection models that hamper trade and disadvantage Australian exporters.</w:t>
      </w:r>
    </w:p>
    <w:p w:rsidR="00E50145" w:rsidRDefault="00E50145" w:rsidP="00D34300">
      <w:pPr>
        <w:pStyle w:val="BodyText"/>
        <w:keepNext/>
      </w:pPr>
      <w:r>
        <w:t>Other considerations also suggest against delaying implementation.</w:t>
      </w:r>
    </w:p>
    <w:p w:rsidR="00E50145" w:rsidRDefault="00E50145" w:rsidP="00D34300">
      <w:pPr>
        <w:pStyle w:val="ListBullet"/>
      </w:pPr>
      <w:r>
        <w:t xml:space="preserve">While the introduction of the legislated model will not be a panacea for the challenges facing the retail sector, it should assuage concerns about the inequities of the current GST collection arrangements. </w:t>
      </w:r>
    </w:p>
    <w:p w:rsidR="00E50145" w:rsidRDefault="00E50145" w:rsidP="00D34300">
      <w:pPr>
        <w:pStyle w:val="ListBullet"/>
      </w:pPr>
      <w:r>
        <w:t>Some foreign vendors will have already incurred costs associated with implementing the legislated model. The ATO has also engaged in an extensive communication campaign abroad, and delaying implementation could undermine its credibility.</w:t>
      </w:r>
    </w:p>
    <w:p w:rsidR="00E50145" w:rsidRDefault="00E50145" w:rsidP="00D34300">
      <w:pPr>
        <w:pStyle w:val="BodyText"/>
      </w:pPr>
      <w:r>
        <w:t xml:space="preserve">Although the Commission has not found sufficient reason to recommend delaying the legislated model’s implementation, the Australian Government needs to be prepared to manage the risk that some EDPs may campaign against the measure by blocking imports to Australian consumers. The ability of large online businesses to mobilise consumers to campaign against cost burdens or imposts ultimately borne by consumers should not be underestimated. </w:t>
      </w:r>
    </w:p>
    <w:p w:rsidR="00E50145" w:rsidRPr="00757025" w:rsidRDefault="00E50145" w:rsidP="00D34300">
      <w:pPr>
        <w:pStyle w:val="Heading3"/>
      </w:pPr>
      <w:r>
        <w:t>What should future reviews do?</w:t>
      </w:r>
    </w:p>
    <w:p w:rsidR="00E50145" w:rsidRPr="0041118D" w:rsidRDefault="00E50145" w:rsidP="00D34300">
      <w:pPr>
        <w:pStyle w:val="BodyText"/>
        <w:keepNext/>
      </w:pPr>
      <w:r>
        <w:rPr>
          <w:szCs w:val="24"/>
        </w:rPr>
        <w:t xml:space="preserve">Following the </w:t>
      </w:r>
      <w:r w:rsidRPr="0041118D">
        <w:rPr>
          <w:szCs w:val="24"/>
        </w:rPr>
        <w:t>implementation of the legislated model, t</w:t>
      </w:r>
      <w:r w:rsidRPr="0041118D">
        <w:t>wo reviews are anticipated:</w:t>
      </w:r>
    </w:p>
    <w:p w:rsidR="00E50145" w:rsidRPr="0041118D" w:rsidRDefault="00E50145" w:rsidP="00D34300">
      <w:pPr>
        <w:pStyle w:val="ListBullet"/>
      </w:pPr>
      <w:r w:rsidRPr="0041118D">
        <w:t>A post implementation review within two years, which is essential following the failure to prepare a regulation impact statement prior to announcing the measure.</w:t>
      </w:r>
    </w:p>
    <w:p w:rsidR="00E50145" w:rsidRPr="0041118D" w:rsidRDefault="00E50145" w:rsidP="00D34300">
      <w:pPr>
        <w:pStyle w:val="ListBullet"/>
      </w:pPr>
      <w:r w:rsidRPr="0041118D">
        <w:t>A later review to ensure that the arrangements are operating as intended and to take account of international developments.</w:t>
      </w:r>
    </w:p>
    <w:p w:rsidR="00E50145" w:rsidRDefault="00E50145" w:rsidP="00D34300">
      <w:pPr>
        <w:pStyle w:val="BodyText"/>
      </w:pPr>
      <w:r w:rsidRPr="0041118D">
        <w:t>The post implementation review</w:t>
      </w:r>
      <w:r>
        <w:t xml:space="preserve"> should provide an early indication of the efficacy of the legislated model.</w:t>
      </w:r>
      <w:r w:rsidRPr="00541103">
        <w:t xml:space="preserve"> </w:t>
      </w:r>
      <w:r>
        <w:t xml:space="preserve">In particular, it should assess compliance and gauge the extent to which the measure represents an ongoing burden on foreign suppliers. It could also consider whether any measures are warranted to strengthen compliance with the model. </w:t>
      </w:r>
    </w:p>
    <w:p w:rsidR="00E50145" w:rsidRDefault="00E50145" w:rsidP="00120072">
      <w:pPr>
        <w:pStyle w:val="BodyText"/>
      </w:pPr>
      <w:r>
        <w:t>The later and more substantial review should revisit these matters, and also consider developments abroad and technological advances (relating to electronic data transmission between international postal operators and the technologically advanced collection models outlined earlier). It should not take place until at least five years after implementation. This would provide certainty, demonstrate commitment to the model, and enable sufficient time to gather evidence and for overseas developments to proceed. However, there should also be scope for the review to be brought forward if triggered by exceptional circumstances, such as very low compliance, unintended impacts on consumers or significant trade policy issues.</w:t>
      </w:r>
    </w:p>
    <w:p w:rsidR="00E50145" w:rsidRDefault="00E50145" w:rsidP="00120072">
      <w:pPr>
        <w:pStyle w:val="BodyText"/>
      </w:pPr>
    </w:p>
    <w:p w:rsidR="00E50145" w:rsidRDefault="00E50145" w:rsidP="00E50145">
      <w:pPr>
        <w:sectPr w:rsidR="00E50145" w:rsidSect="001126DC">
          <w:headerReference w:type="even" r:id="rId25"/>
          <w:headerReference w:type="default" r:id="rId26"/>
          <w:footerReference w:type="even" r:id="rId27"/>
          <w:footerReference w:type="default" r:id="rId28"/>
          <w:headerReference w:type="first" r:id="rId29"/>
          <w:footerReference w:type="first" r:id="rId30"/>
          <w:pgSz w:w="11907" w:h="16840" w:code="9"/>
          <w:pgMar w:top="1985" w:right="1304" w:bottom="1247" w:left="1814" w:header="1701" w:footer="397" w:gutter="0"/>
          <w:pgNumType w:start="1" w:chapSep="period"/>
          <w:cols w:space="720"/>
          <w:titlePg/>
          <w:docGrid w:linePitch="326"/>
        </w:sectPr>
      </w:pPr>
    </w:p>
    <w:p w:rsidR="00E50145" w:rsidRDefault="00E50145" w:rsidP="00D34300">
      <w:pPr>
        <w:pStyle w:val="Heading1"/>
        <w:spacing w:before="0"/>
      </w:pPr>
      <w:r>
        <w:t>Conclusions and recommendation</w:t>
      </w:r>
    </w:p>
    <w:p w:rsidR="00E50145" w:rsidRPr="001D2C69" w:rsidRDefault="00E50145" w:rsidP="00D34300">
      <w:pPr>
        <w:keepNext/>
        <w:spacing w:before="560" w:line="320" w:lineRule="exact"/>
        <w:outlineLvl w:val="2"/>
        <w:rPr>
          <w:rFonts w:ascii="Arial" w:hAnsi="Arial"/>
          <w:b/>
          <w:sz w:val="22"/>
          <w:szCs w:val="22"/>
        </w:rPr>
      </w:pPr>
      <w:r w:rsidRPr="001D2C69">
        <w:rPr>
          <w:rFonts w:ascii="Arial" w:hAnsi="Arial"/>
          <w:b/>
          <w:sz w:val="26"/>
          <w:szCs w:val="20"/>
        </w:rPr>
        <w:t>The legislated collection model</w:t>
      </w:r>
    </w:p>
    <w:p w:rsidR="00E50145" w:rsidRPr="001D2C69" w:rsidRDefault="00E50145" w:rsidP="00D34300">
      <w:pPr>
        <w:rPr>
          <w:rFonts w:ascii="Calibri" w:eastAsiaTheme="minorHAnsi" w:hAnsi="Calibri"/>
          <w:sz w:val="22"/>
          <w:szCs w:val="22"/>
          <w:lang w:eastAsia="en-US"/>
        </w:rPr>
      </w:pPr>
    </w:p>
    <w:tbl>
      <w:tblPr>
        <w:tblW w:w="5000" w:type="pct"/>
        <w:tblCellMar>
          <w:left w:w="0" w:type="dxa"/>
          <w:right w:w="0" w:type="dxa"/>
        </w:tblCellMar>
        <w:tblLook w:val="04A0" w:firstRow="1" w:lastRow="0" w:firstColumn="1" w:lastColumn="0" w:noHBand="0" w:noVBand="1"/>
      </w:tblPr>
      <w:tblGrid>
        <w:gridCol w:w="8789"/>
      </w:tblGrid>
      <w:tr w:rsidR="00E50145" w:rsidRPr="0041118D" w:rsidTr="00D34300">
        <w:trPr>
          <w:cantSplit/>
          <w:tblHeader/>
        </w:trPr>
        <w:tc>
          <w:tcPr>
            <w:tcW w:w="5000" w:type="pct"/>
            <w:tcBorders>
              <w:top w:val="single" w:sz="8" w:space="0" w:color="78A22F"/>
              <w:left w:val="nil"/>
              <w:bottom w:val="nil"/>
              <w:right w:val="nil"/>
            </w:tcBorders>
            <w:shd w:val="clear" w:color="auto" w:fill="F2F2F2"/>
            <w:tcMar>
              <w:top w:w="0" w:type="dxa"/>
              <w:left w:w="170" w:type="dxa"/>
              <w:bottom w:w="0" w:type="dxa"/>
              <w:right w:w="170" w:type="dxa"/>
            </w:tcMar>
            <w:hideMark/>
          </w:tcPr>
          <w:p w:rsidR="00E50145" w:rsidRPr="0041118D" w:rsidRDefault="00E50145" w:rsidP="00D34300">
            <w:pPr>
              <w:keepNext/>
              <w:keepLines/>
              <w:spacing w:before="120" w:line="280" w:lineRule="atLeast"/>
              <w:jc w:val="both"/>
              <w:rPr>
                <w:rFonts w:ascii="Arial" w:hAnsi="Arial"/>
                <w:caps/>
                <w:sz w:val="18"/>
                <w:szCs w:val="20"/>
              </w:rPr>
            </w:pPr>
            <w:r w:rsidRPr="0041118D">
              <w:rPr>
                <w:rFonts w:ascii="Arial" w:hAnsi="Arial"/>
                <w:caps/>
                <w:sz w:val="18"/>
                <w:szCs w:val="20"/>
              </w:rPr>
              <w:t>Conclusion</w:t>
            </w:r>
            <w:r>
              <w:rPr>
                <w:rFonts w:ascii="Arial" w:hAnsi="Arial"/>
                <w:caps/>
                <w:sz w:val="18"/>
                <w:szCs w:val="20"/>
              </w:rPr>
              <w:t xml:space="preserve"> </w:t>
            </w:r>
            <w:r w:rsidRPr="0041118D">
              <w:rPr>
                <w:rFonts w:ascii="Arial" w:hAnsi="Arial"/>
                <w:caps/>
                <w:sz w:val="18"/>
                <w:szCs w:val="20"/>
              </w:rPr>
              <w:t>1</w:t>
            </w:r>
          </w:p>
          <w:p w:rsidR="00E50145" w:rsidRPr="0041118D" w:rsidRDefault="00E50145" w:rsidP="009E72B5">
            <w:pPr>
              <w:pStyle w:val="Finding"/>
            </w:pPr>
            <w:r w:rsidRPr="0041118D">
              <w:t>The legislated model should improve tax neutrality between imported and domestically</w:t>
            </w:r>
            <w:r w:rsidR="003A373E">
              <w:t xml:space="preserve"> </w:t>
            </w:r>
            <w:r w:rsidRPr="0041118D">
              <w:t>retailed low value goods, and avoid major disruption for consumers when importing goods. However, the revenue collected is likely to be modest and will depend on the rate of compliance</w:t>
            </w:r>
            <w:r>
              <w:t>,</w:t>
            </w:r>
            <w:r w:rsidRPr="0041118D">
              <w:t xml:space="preserve"> for which no precise estimates are possible. Foreign suppliers will incur significant</w:t>
            </w:r>
            <w:r w:rsidRPr="0041118D" w:rsidDel="00123B85">
              <w:t xml:space="preserve"> </w:t>
            </w:r>
            <w:r w:rsidRPr="0041118D">
              <w:t xml:space="preserve">costs in complying with the legislated model and, as under any collection model, consumers will face higher prices. </w:t>
            </w:r>
          </w:p>
        </w:tc>
      </w:tr>
      <w:tr w:rsidR="00E50145" w:rsidRPr="0041118D" w:rsidTr="00D34300">
        <w:trPr>
          <w:cantSplit/>
          <w:tblHeader/>
        </w:trPr>
        <w:tc>
          <w:tcPr>
            <w:tcW w:w="5000" w:type="pct"/>
            <w:tcBorders>
              <w:top w:val="nil"/>
              <w:left w:val="nil"/>
              <w:bottom w:val="single" w:sz="8" w:space="0" w:color="78A22F"/>
              <w:right w:val="nil"/>
            </w:tcBorders>
            <w:shd w:val="clear" w:color="auto" w:fill="F2F2F2"/>
            <w:tcMar>
              <w:top w:w="0" w:type="dxa"/>
              <w:left w:w="170" w:type="dxa"/>
              <w:bottom w:w="0" w:type="dxa"/>
              <w:right w:w="170" w:type="dxa"/>
            </w:tcMar>
          </w:tcPr>
          <w:p w:rsidR="00E50145" w:rsidRPr="0041118D" w:rsidRDefault="00E50145" w:rsidP="00D34300">
            <w:pPr>
              <w:keepNext/>
              <w:spacing w:line="120" w:lineRule="exact"/>
              <w:jc w:val="both"/>
              <w:rPr>
                <w:rFonts w:ascii="Arial" w:eastAsiaTheme="minorHAnsi" w:hAnsi="Arial"/>
                <w:sz w:val="20"/>
                <w:szCs w:val="20"/>
                <w:lang w:eastAsia="en-US"/>
              </w:rPr>
            </w:pPr>
          </w:p>
        </w:tc>
      </w:tr>
      <w:tr w:rsidR="00E50145" w:rsidRPr="0041118D" w:rsidTr="00D34300">
        <w:trPr>
          <w:cantSplit/>
          <w:tblHeader/>
        </w:trPr>
        <w:tc>
          <w:tcPr>
            <w:tcW w:w="5000" w:type="pct"/>
            <w:tcMar>
              <w:top w:w="0" w:type="dxa"/>
              <w:left w:w="170" w:type="dxa"/>
              <w:bottom w:w="0" w:type="dxa"/>
              <w:right w:w="170" w:type="dxa"/>
            </w:tcMar>
            <w:hideMark/>
          </w:tcPr>
          <w:p w:rsidR="00E50145" w:rsidRPr="0041118D" w:rsidRDefault="00E50145" w:rsidP="00D34300">
            <w:pPr>
              <w:rPr>
                <w:rFonts w:ascii="Calibri" w:eastAsiaTheme="minorHAnsi" w:hAnsi="Calibri"/>
                <w:sz w:val="22"/>
                <w:szCs w:val="22"/>
                <w:lang w:eastAsia="en-US"/>
              </w:rPr>
            </w:pPr>
          </w:p>
        </w:tc>
      </w:tr>
    </w:tbl>
    <w:p w:rsidR="00E50145" w:rsidRPr="0041118D" w:rsidRDefault="00E50145" w:rsidP="00D34300">
      <w:pPr>
        <w:keepNext/>
        <w:spacing w:before="560" w:line="320" w:lineRule="exact"/>
        <w:outlineLvl w:val="2"/>
        <w:rPr>
          <w:rFonts w:ascii="Arial" w:hAnsi="Arial"/>
          <w:b/>
          <w:sz w:val="26"/>
          <w:szCs w:val="20"/>
        </w:rPr>
      </w:pPr>
      <w:r w:rsidRPr="0041118D">
        <w:rPr>
          <w:rFonts w:ascii="Arial" w:hAnsi="Arial"/>
          <w:b/>
          <w:sz w:val="26"/>
          <w:szCs w:val="20"/>
        </w:rPr>
        <w:t>Is there a superior model?</w:t>
      </w:r>
    </w:p>
    <w:p w:rsidR="00E50145" w:rsidRPr="00EA0FC1" w:rsidRDefault="00E50145" w:rsidP="00EA0FC1">
      <w:pPr>
        <w:rPr>
          <w:rFonts w:ascii="Calibri" w:eastAsiaTheme="minorHAnsi" w:hAnsi="Calibri"/>
          <w:sz w:val="22"/>
          <w:szCs w:val="22"/>
          <w:lang w:eastAsia="en-US"/>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50145" w:rsidRPr="001D2C69" w:rsidTr="00D34300">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50145" w:rsidRPr="001D2C69" w:rsidRDefault="00E50145" w:rsidP="00D34300">
            <w:pPr>
              <w:keepNext/>
              <w:keepLines/>
              <w:spacing w:before="120" w:line="280" w:lineRule="atLeast"/>
              <w:jc w:val="both"/>
              <w:rPr>
                <w:rFonts w:ascii="Arial" w:hAnsi="Arial"/>
                <w:caps/>
                <w:noProof/>
                <w:sz w:val="18"/>
                <w:szCs w:val="20"/>
              </w:rPr>
            </w:pPr>
            <w:r w:rsidRPr="001D2C69">
              <w:rPr>
                <w:rFonts w:ascii="Arial" w:hAnsi="Arial"/>
                <w:caps/>
                <w:sz w:val="18"/>
                <w:szCs w:val="20"/>
              </w:rPr>
              <w:t xml:space="preserve">Conclusion </w:t>
            </w:r>
            <w:r>
              <w:rPr>
                <w:rFonts w:ascii="Arial" w:hAnsi="Arial"/>
                <w:caps/>
                <w:sz w:val="18"/>
                <w:szCs w:val="20"/>
              </w:rPr>
              <w:t>2</w:t>
            </w:r>
          </w:p>
        </w:tc>
      </w:tr>
      <w:tr w:rsidR="00E50145" w:rsidRPr="001D2C69" w:rsidTr="00D34300">
        <w:trPr>
          <w:cantSplit/>
        </w:trPr>
        <w:tc>
          <w:tcPr>
            <w:tcW w:w="5000" w:type="pct"/>
            <w:tcBorders>
              <w:top w:val="nil"/>
              <w:left w:val="nil"/>
              <w:bottom w:val="nil"/>
              <w:right w:val="nil"/>
            </w:tcBorders>
            <w:shd w:val="clear" w:color="auto" w:fill="F2F2F2"/>
            <w:tcMar>
              <w:left w:w="170" w:type="dxa"/>
              <w:right w:w="170" w:type="dxa"/>
            </w:tcMar>
          </w:tcPr>
          <w:p w:rsidR="00E50145" w:rsidRPr="001D2C69" w:rsidRDefault="00E50145" w:rsidP="00C02239">
            <w:pPr>
              <w:keepNext/>
              <w:keepLines/>
              <w:spacing w:before="120" w:line="280" w:lineRule="atLeast"/>
              <w:jc w:val="both"/>
              <w:rPr>
                <w:rFonts w:ascii="Arial" w:hAnsi="Arial"/>
                <w:sz w:val="22"/>
                <w:szCs w:val="20"/>
              </w:rPr>
            </w:pPr>
            <w:r w:rsidRPr="001D2C69">
              <w:rPr>
                <w:rFonts w:ascii="Arial" w:hAnsi="Arial"/>
                <w:sz w:val="22"/>
                <w:szCs w:val="20"/>
              </w:rPr>
              <w:t xml:space="preserve">Collection models where the legal liability for GST falls on entities within Australia’s jurisdiction and information technologies </w:t>
            </w:r>
            <w:r>
              <w:rPr>
                <w:rFonts w:ascii="Arial" w:hAnsi="Arial"/>
                <w:sz w:val="22"/>
                <w:szCs w:val="20"/>
              </w:rPr>
              <w:t>are used</w:t>
            </w:r>
            <w:r w:rsidRPr="001D2C69">
              <w:rPr>
                <w:rFonts w:ascii="Arial" w:hAnsi="Arial"/>
                <w:sz w:val="22"/>
                <w:szCs w:val="20"/>
              </w:rPr>
              <w:t xml:space="preserve"> to monitor enforcement </w:t>
            </w:r>
            <w:r w:rsidR="00C02239">
              <w:rPr>
                <w:rFonts w:ascii="Arial" w:hAnsi="Arial"/>
                <w:sz w:val="22"/>
                <w:szCs w:val="20"/>
              </w:rPr>
              <w:t xml:space="preserve">or </w:t>
            </w:r>
            <w:r w:rsidR="00090A1C">
              <w:rPr>
                <w:rFonts w:ascii="Arial" w:hAnsi="Arial"/>
                <w:sz w:val="22"/>
                <w:szCs w:val="20"/>
              </w:rPr>
              <w:t>facilitate collection</w:t>
            </w:r>
            <w:r w:rsidRPr="001D2C69">
              <w:rPr>
                <w:rFonts w:ascii="Arial" w:hAnsi="Arial"/>
                <w:sz w:val="22"/>
                <w:szCs w:val="20"/>
              </w:rPr>
              <w:t xml:space="preserve"> at modest cost would avoid some of the limitations with the legislated model. Models of this kind (e.g. transporter, financial intermediary and self</w:t>
            </w:r>
            <w:r w:rsidR="008E3531">
              <w:rPr>
                <w:rFonts w:ascii="Arial" w:hAnsi="Arial"/>
                <w:sz w:val="22"/>
                <w:szCs w:val="20"/>
              </w:rPr>
              <w:noBreakHyphen/>
            </w:r>
            <w:r w:rsidRPr="001D2C69">
              <w:rPr>
                <w:rFonts w:ascii="Arial" w:hAnsi="Arial"/>
                <w:sz w:val="22"/>
                <w:szCs w:val="20"/>
              </w:rPr>
              <w:t>assessment by purchasers) have been proposed. However, their efficacy is untested and they would not be ready for deployment by mid</w:t>
            </w:r>
            <w:r w:rsidR="008E3531">
              <w:rPr>
                <w:rFonts w:ascii="Arial" w:hAnsi="Arial"/>
                <w:sz w:val="22"/>
                <w:szCs w:val="20"/>
              </w:rPr>
              <w:noBreakHyphen/>
            </w:r>
            <w:r w:rsidRPr="001D2C69">
              <w:rPr>
                <w:rFonts w:ascii="Arial" w:hAnsi="Arial"/>
                <w:sz w:val="22"/>
                <w:szCs w:val="20"/>
              </w:rPr>
              <w:t>2018.</w:t>
            </w:r>
          </w:p>
        </w:tc>
      </w:tr>
      <w:tr w:rsidR="00E50145" w:rsidRPr="001D2C69" w:rsidTr="00D34300">
        <w:trPr>
          <w:cantSplit/>
        </w:trPr>
        <w:tc>
          <w:tcPr>
            <w:tcW w:w="5000" w:type="pct"/>
            <w:tcBorders>
              <w:top w:val="nil"/>
              <w:left w:val="nil"/>
              <w:bottom w:val="single" w:sz="6" w:space="0" w:color="78A22F"/>
              <w:right w:val="nil"/>
            </w:tcBorders>
            <w:shd w:val="clear" w:color="auto" w:fill="F2F2F2"/>
            <w:tcMar>
              <w:left w:w="170" w:type="dxa"/>
              <w:right w:w="170" w:type="dxa"/>
            </w:tcMar>
          </w:tcPr>
          <w:p w:rsidR="00E50145" w:rsidRPr="001D2C69" w:rsidRDefault="00E50145" w:rsidP="00D34300">
            <w:pPr>
              <w:keepNext/>
              <w:keepLines/>
              <w:spacing w:line="120" w:lineRule="exact"/>
              <w:jc w:val="both"/>
              <w:rPr>
                <w:rFonts w:ascii="Arial" w:eastAsiaTheme="minorHAnsi" w:hAnsi="Arial"/>
                <w:sz w:val="20"/>
                <w:szCs w:val="20"/>
                <w:lang w:eastAsia="en-US"/>
              </w:rPr>
            </w:pPr>
          </w:p>
        </w:tc>
      </w:tr>
      <w:tr w:rsidR="00E50145" w:rsidRPr="001D2C69" w:rsidTr="00D34300">
        <w:trPr>
          <w:cantSplit/>
        </w:trPr>
        <w:tc>
          <w:tcPr>
            <w:tcW w:w="5000" w:type="pct"/>
            <w:tcBorders>
              <w:top w:val="single" w:sz="6" w:space="0" w:color="78A22F"/>
              <w:left w:val="nil"/>
              <w:bottom w:val="nil"/>
              <w:right w:val="nil"/>
            </w:tcBorders>
            <w:tcMar>
              <w:left w:w="170" w:type="dxa"/>
              <w:right w:w="170" w:type="dxa"/>
            </w:tcMar>
          </w:tcPr>
          <w:p w:rsidR="00E50145" w:rsidRPr="001D2C69" w:rsidRDefault="00E50145" w:rsidP="00D34300">
            <w:pPr>
              <w:keepLines/>
              <w:spacing w:before="60" w:after="60" w:line="80" w:lineRule="exact"/>
              <w:jc w:val="both"/>
              <w:rPr>
                <w:rFonts w:ascii="Arial" w:hAnsi="Arial"/>
                <w:sz w:val="14"/>
                <w:szCs w:val="20"/>
              </w:rPr>
            </w:pPr>
          </w:p>
        </w:tc>
      </w:tr>
    </w:tbl>
    <w:p w:rsidR="00E50145" w:rsidRPr="001D2C69" w:rsidRDefault="00E50145" w:rsidP="00EA0FC1">
      <w:pPr>
        <w:keepNext/>
        <w:spacing w:before="560" w:line="320" w:lineRule="exact"/>
        <w:outlineLvl w:val="2"/>
        <w:rPr>
          <w:rFonts w:ascii="Arial" w:hAnsi="Arial"/>
          <w:b/>
          <w:sz w:val="26"/>
          <w:szCs w:val="20"/>
        </w:rPr>
      </w:pPr>
      <w:r w:rsidRPr="001D2C69">
        <w:rPr>
          <w:rFonts w:ascii="Arial" w:hAnsi="Arial"/>
          <w:b/>
          <w:sz w:val="26"/>
          <w:szCs w:val="20"/>
        </w:rPr>
        <w:t>The way ahead</w:t>
      </w:r>
    </w:p>
    <w:p w:rsidR="00E50145" w:rsidRPr="001D2C69" w:rsidRDefault="00E50145" w:rsidP="00EA0FC1">
      <w:pPr>
        <w:rPr>
          <w:rFonts w:ascii="Calibri" w:eastAsiaTheme="minorHAnsi" w:hAnsi="Calibri"/>
          <w:sz w:val="22"/>
          <w:szCs w:val="22"/>
          <w:lang w:eastAsia="en-US"/>
        </w:rPr>
      </w:pPr>
    </w:p>
    <w:tbl>
      <w:tblPr>
        <w:tblW w:w="5000" w:type="pct"/>
        <w:tblCellMar>
          <w:left w:w="0" w:type="dxa"/>
          <w:right w:w="0" w:type="dxa"/>
        </w:tblCellMar>
        <w:tblLook w:val="04A0" w:firstRow="1" w:lastRow="0" w:firstColumn="1" w:lastColumn="0" w:noHBand="0" w:noVBand="1"/>
      </w:tblPr>
      <w:tblGrid>
        <w:gridCol w:w="8789"/>
      </w:tblGrid>
      <w:tr w:rsidR="00E50145" w:rsidRPr="001D2C69" w:rsidTr="00D34300">
        <w:trPr>
          <w:cantSplit/>
          <w:tblHeader/>
        </w:trPr>
        <w:tc>
          <w:tcPr>
            <w:tcW w:w="5000" w:type="pct"/>
            <w:tcBorders>
              <w:top w:val="single" w:sz="8" w:space="0" w:color="78A22F"/>
              <w:left w:val="nil"/>
              <w:bottom w:val="nil"/>
              <w:right w:val="nil"/>
            </w:tcBorders>
            <w:shd w:val="clear" w:color="auto" w:fill="F2F2F2"/>
            <w:tcMar>
              <w:top w:w="0" w:type="dxa"/>
              <w:left w:w="170" w:type="dxa"/>
              <w:bottom w:w="0" w:type="dxa"/>
              <w:right w:w="170" w:type="dxa"/>
            </w:tcMar>
            <w:hideMark/>
          </w:tcPr>
          <w:p w:rsidR="00E50145" w:rsidRPr="001D2C69" w:rsidRDefault="00E50145" w:rsidP="00D34300">
            <w:pPr>
              <w:keepNext/>
              <w:keepLines/>
              <w:spacing w:before="120" w:line="280" w:lineRule="atLeast"/>
              <w:jc w:val="both"/>
              <w:rPr>
                <w:rFonts w:ascii="Arial" w:hAnsi="Arial"/>
                <w:caps/>
                <w:sz w:val="18"/>
                <w:szCs w:val="20"/>
              </w:rPr>
            </w:pPr>
            <w:r w:rsidRPr="001D2C69">
              <w:rPr>
                <w:rFonts w:ascii="Arial" w:hAnsi="Arial"/>
                <w:caps/>
                <w:sz w:val="18"/>
                <w:szCs w:val="20"/>
              </w:rPr>
              <w:t xml:space="preserve">Conclusion </w:t>
            </w:r>
            <w:r>
              <w:rPr>
                <w:rFonts w:ascii="Arial" w:hAnsi="Arial"/>
                <w:caps/>
                <w:sz w:val="18"/>
                <w:szCs w:val="20"/>
              </w:rPr>
              <w:t>3</w:t>
            </w:r>
          </w:p>
        </w:tc>
      </w:tr>
      <w:tr w:rsidR="00E50145" w:rsidRPr="001D2C69" w:rsidTr="00D34300">
        <w:trPr>
          <w:cantSplit/>
        </w:trPr>
        <w:tc>
          <w:tcPr>
            <w:tcW w:w="5000" w:type="pct"/>
            <w:shd w:val="clear" w:color="auto" w:fill="F2F2F2"/>
            <w:tcMar>
              <w:top w:w="0" w:type="dxa"/>
              <w:left w:w="170" w:type="dxa"/>
              <w:bottom w:w="0" w:type="dxa"/>
              <w:right w:w="170" w:type="dxa"/>
            </w:tcMar>
            <w:hideMark/>
          </w:tcPr>
          <w:p w:rsidR="00E50145" w:rsidRPr="001D2C69" w:rsidRDefault="00E50145" w:rsidP="00D34300">
            <w:pPr>
              <w:keepNext/>
              <w:keepLines/>
              <w:spacing w:before="120" w:line="280" w:lineRule="atLeast"/>
              <w:jc w:val="both"/>
              <w:rPr>
                <w:rFonts w:ascii="Arial" w:hAnsi="Arial"/>
                <w:sz w:val="22"/>
                <w:szCs w:val="20"/>
              </w:rPr>
            </w:pPr>
            <w:r w:rsidRPr="001D2C69">
              <w:rPr>
                <w:rFonts w:ascii="Arial" w:hAnsi="Arial"/>
                <w:sz w:val="22"/>
                <w:szCs w:val="20"/>
              </w:rPr>
              <w:t xml:space="preserve">Given the decision to collect GST on low value imported goods and the current limitations of alternatives, the legislated model is the most </w:t>
            </w:r>
            <w:r>
              <w:rPr>
                <w:rFonts w:ascii="Arial" w:hAnsi="Arial"/>
                <w:sz w:val="22"/>
                <w:szCs w:val="20"/>
              </w:rPr>
              <w:t>feasible</w:t>
            </w:r>
            <w:r w:rsidRPr="001D2C69">
              <w:rPr>
                <w:rFonts w:ascii="Arial" w:hAnsi="Arial"/>
                <w:sz w:val="22"/>
                <w:szCs w:val="20"/>
              </w:rPr>
              <w:t xml:space="preserve"> at this time. </w:t>
            </w:r>
          </w:p>
        </w:tc>
      </w:tr>
      <w:tr w:rsidR="00E50145" w:rsidRPr="001D2C69" w:rsidTr="00D34300">
        <w:trPr>
          <w:cantSplit/>
        </w:trPr>
        <w:tc>
          <w:tcPr>
            <w:tcW w:w="5000" w:type="pct"/>
            <w:tcBorders>
              <w:top w:val="nil"/>
              <w:left w:val="nil"/>
              <w:bottom w:val="single" w:sz="8" w:space="0" w:color="78A22F"/>
              <w:right w:val="nil"/>
            </w:tcBorders>
            <w:shd w:val="clear" w:color="auto" w:fill="F2F2F2"/>
            <w:tcMar>
              <w:top w:w="0" w:type="dxa"/>
              <w:left w:w="170" w:type="dxa"/>
              <w:bottom w:w="0" w:type="dxa"/>
              <w:right w:w="170" w:type="dxa"/>
            </w:tcMar>
          </w:tcPr>
          <w:p w:rsidR="00E50145" w:rsidRPr="001D2C69" w:rsidRDefault="00E50145" w:rsidP="00D34300">
            <w:pPr>
              <w:keepNext/>
              <w:spacing w:line="120" w:lineRule="exact"/>
              <w:jc w:val="both"/>
              <w:rPr>
                <w:rFonts w:ascii="Arial" w:eastAsiaTheme="minorHAnsi" w:hAnsi="Arial"/>
                <w:sz w:val="20"/>
                <w:szCs w:val="20"/>
                <w:lang w:eastAsia="en-US"/>
              </w:rPr>
            </w:pPr>
          </w:p>
        </w:tc>
      </w:tr>
    </w:tbl>
    <w:p w:rsidR="00E50145" w:rsidRPr="005A41D5" w:rsidRDefault="00E50145" w:rsidP="005A41D5">
      <w:pPr>
        <w:pageBreakBefore/>
        <w:spacing w:before="120"/>
        <w:rPr>
          <w:rFonts w:ascii="Calibri" w:eastAsiaTheme="minorHAnsi" w:hAnsi="Calibri"/>
          <w:sz w:val="22"/>
          <w:szCs w:val="22"/>
          <w:lang w:eastAsia="en-US"/>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50145" w:rsidRPr="001D2C69" w:rsidTr="00D34300">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E50145" w:rsidRPr="001D2C69" w:rsidRDefault="00E50145" w:rsidP="00D34300">
            <w:pPr>
              <w:keepNext/>
              <w:keepLines/>
              <w:spacing w:before="120" w:line="280" w:lineRule="atLeast"/>
              <w:jc w:val="both"/>
              <w:rPr>
                <w:rFonts w:ascii="Arial" w:hAnsi="Arial"/>
                <w:caps/>
                <w:noProof/>
                <w:sz w:val="18"/>
                <w:szCs w:val="20"/>
              </w:rPr>
            </w:pPr>
            <w:r w:rsidRPr="001D2C69">
              <w:rPr>
                <w:rFonts w:ascii="Arial" w:hAnsi="Arial"/>
                <w:caps/>
                <w:sz w:val="18"/>
                <w:szCs w:val="20"/>
              </w:rPr>
              <w:t xml:space="preserve">Conclusion </w:t>
            </w:r>
            <w:r>
              <w:rPr>
                <w:rFonts w:ascii="Arial" w:hAnsi="Arial"/>
                <w:caps/>
                <w:sz w:val="18"/>
                <w:szCs w:val="20"/>
              </w:rPr>
              <w:t>4</w:t>
            </w:r>
          </w:p>
        </w:tc>
      </w:tr>
      <w:tr w:rsidR="00E50145" w:rsidRPr="001D2C69" w:rsidTr="00D34300">
        <w:trPr>
          <w:cantSplit/>
        </w:trPr>
        <w:tc>
          <w:tcPr>
            <w:tcW w:w="5000" w:type="pct"/>
            <w:tcBorders>
              <w:top w:val="nil"/>
              <w:left w:val="nil"/>
              <w:bottom w:val="nil"/>
              <w:right w:val="nil"/>
            </w:tcBorders>
            <w:shd w:val="clear" w:color="auto" w:fill="F2F2F2"/>
            <w:tcMar>
              <w:left w:w="170" w:type="dxa"/>
              <w:right w:w="170" w:type="dxa"/>
            </w:tcMar>
          </w:tcPr>
          <w:p w:rsidR="00E50145" w:rsidRPr="001D2C69" w:rsidRDefault="00E50145" w:rsidP="00D34300">
            <w:pPr>
              <w:keepNext/>
              <w:keepLines/>
              <w:spacing w:before="120" w:line="280" w:lineRule="atLeast"/>
              <w:jc w:val="both"/>
              <w:rPr>
                <w:rFonts w:ascii="Arial" w:hAnsi="Arial"/>
                <w:sz w:val="22"/>
                <w:szCs w:val="20"/>
              </w:rPr>
            </w:pPr>
            <w:r w:rsidRPr="001D2C69">
              <w:rPr>
                <w:rFonts w:ascii="Arial" w:hAnsi="Arial"/>
                <w:sz w:val="22"/>
                <w:szCs w:val="20"/>
              </w:rPr>
              <w:t>There is an in</w:t>
            </w:r>
            <w:r w:rsidR="008E3531">
              <w:rPr>
                <w:rFonts w:ascii="Arial" w:hAnsi="Arial"/>
                <w:sz w:val="22"/>
                <w:szCs w:val="20"/>
              </w:rPr>
              <w:noBreakHyphen/>
            </w:r>
            <w:r w:rsidRPr="001D2C69">
              <w:rPr>
                <w:rFonts w:ascii="Arial" w:hAnsi="Arial"/>
                <w:sz w:val="22"/>
                <w:szCs w:val="20"/>
              </w:rPr>
              <w:t xml:space="preserve">principle case to </w:t>
            </w:r>
            <w:r>
              <w:rPr>
                <w:rFonts w:ascii="Arial" w:hAnsi="Arial"/>
                <w:sz w:val="22"/>
                <w:szCs w:val="20"/>
              </w:rPr>
              <w:t xml:space="preserve">consider </w:t>
            </w:r>
            <w:r w:rsidRPr="001D2C69">
              <w:rPr>
                <w:rFonts w:ascii="Arial" w:hAnsi="Arial"/>
                <w:sz w:val="22"/>
                <w:szCs w:val="20"/>
              </w:rPr>
              <w:t>delay</w:t>
            </w:r>
            <w:r>
              <w:rPr>
                <w:rFonts w:ascii="Arial" w:hAnsi="Arial"/>
                <w:sz w:val="22"/>
                <w:szCs w:val="20"/>
              </w:rPr>
              <w:t>ing</w:t>
            </w:r>
            <w:r w:rsidRPr="001D2C69">
              <w:rPr>
                <w:rFonts w:ascii="Arial" w:hAnsi="Arial"/>
                <w:sz w:val="22"/>
                <w:szCs w:val="20"/>
              </w:rPr>
              <w:t xml:space="preserve"> implementation of the legislated model, to provide more time for technological changes to play out, to learn from the experiences of other nations and to avoid ‘first mover’ risks. However, the Commission </w:t>
            </w:r>
            <w:r w:rsidRPr="00EA0FC1">
              <w:rPr>
                <w:rFonts w:ascii="Arial" w:hAnsi="Arial"/>
                <w:spacing w:val="-1"/>
                <w:sz w:val="22"/>
                <w:szCs w:val="20"/>
              </w:rPr>
              <w:t>considers there is insufficient basis to recommend delaying the implementation schedule.</w:t>
            </w:r>
            <w:r w:rsidRPr="001D2C69">
              <w:rPr>
                <w:rFonts w:ascii="Arial" w:hAnsi="Arial"/>
                <w:sz w:val="22"/>
                <w:szCs w:val="20"/>
              </w:rPr>
              <w:t xml:space="preserve"> </w:t>
            </w:r>
          </w:p>
        </w:tc>
      </w:tr>
      <w:tr w:rsidR="00E50145" w:rsidRPr="001D2C69" w:rsidTr="00D34300">
        <w:trPr>
          <w:cantSplit/>
        </w:trPr>
        <w:tc>
          <w:tcPr>
            <w:tcW w:w="5000" w:type="pct"/>
            <w:tcBorders>
              <w:top w:val="nil"/>
              <w:left w:val="nil"/>
              <w:bottom w:val="single" w:sz="6" w:space="0" w:color="78A22F"/>
              <w:right w:val="nil"/>
            </w:tcBorders>
            <w:shd w:val="clear" w:color="auto" w:fill="F2F2F2"/>
            <w:tcMar>
              <w:left w:w="170" w:type="dxa"/>
              <w:right w:w="170" w:type="dxa"/>
            </w:tcMar>
          </w:tcPr>
          <w:p w:rsidR="00E50145" w:rsidRPr="001D2C69" w:rsidRDefault="00E50145" w:rsidP="00D34300">
            <w:pPr>
              <w:keepNext/>
              <w:keepLines/>
              <w:spacing w:line="120" w:lineRule="exact"/>
              <w:jc w:val="both"/>
              <w:rPr>
                <w:rFonts w:ascii="Arial" w:eastAsiaTheme="minorHAnsi" w:hAnsi="Arial"/>
                <w:sz w:val="20"/>
                <w:szCs w:val="20"/>
                <w:lang w:eastAsia="en-US"/>
              </w:rPr>
            </w:pPr>
          </w:p>
        </w:tc>
      </w:tr>
      <w:tr w:rsidR="00E50145" w:rsidRPr="001D2C69" w:rsidTr="00D34300">
        <w:trPr>
          <w:cantSplit/>
        </w:trPr>
        <w:tc>
          <w:tcPr>
            <w:tcW w:w="5000" w:type="pct"/>
            <w:tcBorders>
              <w:top w:val="single" w:sz="6" w:space="0" w:color="78A22F"/>
              <w:left w:val="nil"/>
              <w:bottom w:val="nil"/>
              <w:right w:val="nil"/>
            </w:tcBorders>
            <w:tcMar>
              <w:left w:w="170" w:type="dxa"/>
              <w:right w:w="170" w:type="dxa"/>
            </w:tcMar>
          </w:tcPr>
          <w:p w:rsidR="00E50145" w:rsidRPr="001D2C69" w:rsidRDefault="00E50145" w:rsidP="00D34300">
            <w:pPr>
              <w:keepLines/>
              <w:spacing w:before="60" w:after="60" w:line="80" w:lineRule="exact"/>
              <w:jc w:val="both"/>
              <w:rPr>
                <w:rFonts w:ascii="Arial" w:hAnsi="Arial"/>
                <w:sz w:val="14"/>
                <w:szCs w:val="20"/>
              </w:rPr>
            </w:pPr>
          </w:p>
        </w:tc>
      </w:tr>
    </w:tbl>
    <w:p w:rsidR="00E50145" w:rsidRPr="001D2C69" w:rsidRDefault="00E50145" w:rsidP="00EA0FC1">
      <w:pPr>
        <w:rPr>
          <w:rFonts w:ascii="Calibri" w:eastAsiaTheme="minorHAnsi" w:hAnsi="Calibri"/>
          <w:sz w:val="22"/>
          <w:szCs w:val="22"/>
          <w:lang w:eastAsia="en-US"/>
        </w:rPr>
      </w:pPr>
    </w:p>
    <w:p w:rsidR="00E50145" w:rsidRPr="001D2C69" w:rsidRDefault="00E50145" w:rsidP="00D34300">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50145" w:rsidRPr="001D2C69" w:rsidTr="00D34300">
        <w:trPr>
          <w:tblHeader/>
        </w:trPr>
        <w:tc>
          <w:tcPr>
            <w:tcW w:w="5000" w:type="pct"/>
            <w:tcBorders>
              <w:top w:val="single" w:sz="6" w:space="0" w:color="78A22F"/>
              <w:left w:val="nil"/>
              <w:bottom w:val="nil"/>
              <w:right w:val="nil"/>
            </w:tcBorders>
            <w:shd w:val="clear" w:color="auto" w:fill="E5F1D0"/>
            <w:tcMar>
              <w:left w:w="170" w:type="dxa"/>
              <w:right w:w="170" w:type="dxa"/>
            </w:tcMar>
          </w:tcPr>
          <w:p w:rsidR="00E50145" w:rsidRPr="001D2C69" w:rsidRDefault="00E50145" w:rsidP="00D34300">
            <w:pPr>
              <w:keepNext/>
              <w:keepLines/>
              <w:spacing w:before="120" w:line="280" w:lineRule="atLeast"/>
              <w:jc w:val="both"/>
              <w:rPr>
                <w:rFonts w:ascii="Arial" w:hAnsi="Arial"/>
                <w:caps/>
                <w:noProof/>
                <w:sz w:val="18"/>
                <w:szCs w:val="20"/>
              </w:rPr>
            </w:pPr>
            <w:r w:rsidRPr="001D2C69">
              <w:rPr>
                <w:rFonts w:ascii="Arial" w:hAnsi="Arial"/>
                <w:caps/>
                <w:sz w:val="18"/>
                <w:szCs w:val="20"/>
              </w:rPr>
              <w:t>Recommendation 1</w:t>
            </w:r>
          </w:p>
        </w:tc>
      </w:tr>
      <w:tr w:rsidR="00E50145" w:rsidRPr="001D2C69" w:rsidTr="00D34300">
        <w:tc>
          <w:tcPr>
            <w:tcW w:w="5000" w:type="pct"/>
            <w:tcBorders>
              <w:top w:val="nil"/>
              <w:left w:val="nil"/>
              <w:bottom w:val="nil"/>
              <w:right w:val="nil"/>
            </w:tcBorders>
            <w:shd w:val="clear" w:color="auto" w:fill="E5F1D0"/>
            <w:tcMar>
              <w:left w:w="170" w:type="dxa"/>
              <w:right w:w="170" w:type="dxa"/>
            </w:tcMar>
          </w:tcPr>
          <w:p w:rsidR="00E50145" w:rsidRPr="001D2C69" w:rsidRDefault="00E50145" w:rsidP="00D34300">
            <w:pPr>
              <w:pStyle w:val="Rec"/>
            </w:pPr>
            <w:r w:rsidRPr="001D2C69">
              <w:t xml:space="preserve">The Australian Government should conduct a comprehensive review of the collection of GST on low value imported goods five years after the commencement of the legislated </w:t>
            </w:r>
            <w:r w:rsidR="00CA28D6">
              <w:t>mo</w:t>
            </w:r>
            <w:r w:rsidRPr="001D2C69">
              <w:t xml:space="preserve">del, unless exceptional circumstances </w:t>
            </w:r>
            <w:r w:rsidR="00090A1C">
              <w:t>—</w:t>
            </w:r>
            <w:r w:rsidRPr="001D2C69">
              <w:t xml:space="preserve"> such as extremely low compliance</w:t>
            </w:r>
            <w:r>
              <w:t>, unintended impacts on consumers</w:t>
            </w:r>
            <w:r w:rsidRPr="001D2C69">
              <w:t xml:space="preserve"> or significant trade policy issues</w:t>
            </w:r>
            <w:r w:rsidR="00090A1C">
              <w:t xml:space="preserve"> —</w:t>
            </w:r>
            <w:r w:rsidRPr="001D2C69">
              <w:t xml:space="preserve"> warrant an earlier review.</w:t>
            </w:r>
          </w:p>
          <w:p w:rsidR="00E50145" w:rsidRPr="001D2C69" w:rsidRDefault="00E50145" w:rsidP="00D34300">
            <w:pPr>
              <w:pStyle w:val="Rec"/>
            </w:pPr>
            <w:r w:rsidRPr="001D2C69">
              <w:t>The review should consider:</w:t>
            </w:r>
          </w:p>
          <w:p w:rsidR="00E50145" w:rsidRPr="001D2C69" w:rsidRDefault="00E50145" w:rsidP="00D34300">
            <w:pPr>
              <w:pStyle w:val="RecBullet"/>
            </w:pPr>
            <w:r w:rsidRPr="001D2C69">
              <w:t xml:space="preserve">the performance of the legislated model </w:t>
            </w:r>
          </w:p>
          <w:p w:rsidR="00E50145" w:rsidRPr="001D2C69" w:rsidRDefault="00E50145" w:rsidP="00D34300">
            <w:pPr>
              <w:pStyle w:val="RecBullet"/>
            </w:pPr>
            <w:r w:rsidRPr="001D2C69">
              <w:rPr>
                <w:i/>
              </w:rPr>
              <w:t xml:space="preserve">if </w:t>
            </w:r>
            <w:r w:rsidRPr="001D2C69">
              <w:t>the model is achieving unduly low rates of compliance, the merits of measures (including those identified by the Commission) for lifting compliance</w:t>
            </w:r>
          </w:p>
          <w:p w:rsidR="00E50145" w:rsidRPr="001D2C69" w:rsidRDefault="00E50145" w:rsidP="00D34300">
            <w:pPr>
              <w:pStyle w:val="RecBullet"/>
            </w:pPr>
            <w:r w:rsidRPr="001D2C69">
              <w:rPr>
                <w:i/>
              </w:rPr>
              <w:t xml:space="preserve">if </w:t>
            </w:r>
            <w:r w:rsidRPr="001D2C69">
              <w:t>the model is achieving high rates of compliance, the merits of measures (including those identified by the Commission) to extend the model to higher value imported goods</w:t>
            </w:r>
          </w:p>
          <w:p w:rsidR="00E50145" w:rsidRPr="001D2C69" w:rsidRDefault="00E50145" w:rsidP="00D34300">
            <w:pPr>
              <w:pStyle w:val="RecBullet"/>
            </w:pPr>
            <w:proofErr w:type="gramStart"/>
            <w:r w:rsidRPr="001D2C69">
              <w:t>whether</w:t>
            </w:r>
            <w:proofErr w:type="gramEnd"/>
            <w:r w:rsidRPr="001D2C69">
              <w:t xml:space="preserve"> there is a case to adopt a different collection model, taking into account technological advances and process and policy developments</w:t>
            </w:r>
            <w:r>
              <w:t xml:space="preserve"> here and overseas</w:t>
            </w:r>
            <w:r w:rsidRPr="001D2C69">
              <w:t xml:space="preserve"> (including in relation to electronic data transmission between international postal operators).</w:t>
            </w:r>
          </w:p>
        </w:tc>
      </w:tr>
      <w:tr w:rsidR="00E50145" w:rsidRPr="001D2C69" w:rsidTr="00D34300">
        <w:tc>
          <w:tcPr>
            <w:tcW w:w="5000" w:type="pct"/>
            <w:tcBorders>
              <w:top w:val="nil"/>
              <w:left w:val="nil"/>
              <w:bottom w:val="single" w:sz="6" w:space="0" w:color="78A22F"/>
              <w:right w:val="nil"/>
            </w:tcBorders>
            <w:shd w:val="clear" w:color="auto" w:fill="E5F1D0"/>
            <w:tcMar>
              <w:left w:w="170" w:type="dxa"/>
              <w:right w:w="170" w:type="dxa"/>
            </w:tcMar>
          </w:tcPr>
          <w:p w:rsidR="00E50145" w:rsidRPr="001D2C69" w:rsidRDefault="00E50145" w:rsidP="00D34300">
            <w:pPr>
              <w:keepNext/>
              <w:keepLines/>
              <w:spacing w:line="120" w:lineRule="exact"/>
              <w:jc w:val="both"/>
              <w:rPr>
                <w:rFonts w:ascii="Arial" w:eastAsiaTheme="minorHAnsi" w:hAnsi="Arial"/>
                <w:sz w:val="20"/>
                <w:szCs w:val="20"/>
                <w:lang w:eastAsia="en-US"/>
              </w:rPr>
            </w:pPr>
          </w:p>
        </w:tc>
      </w:tr>
      <w:tr w:rsidR="00E50145" w:rsidRPr="001D2C69" w:rsidTr="00D34300">
        <w:tc>
          <w:tcPr>
            <w:tcW w:w="5000" w:type="pct"/>
            <w:tcBorders>
              <w:top w:val="single" w:sz="6" w:space="0" w:color="78A22F"/>
              <w:left w:val="nil"/>
              <w:bottom w:val="nil"/>
              <w:right w:val="nil"/>
            </w:tcBorders>
            <w:tcMar>
              <w:left w:w="170" w:type="dxa"/>
              <w:right w:w="170" w:type="dxa"/>
            </w:tcMar>
          </w:tcPr>
          <w:p w:rsidR="00E50145" w:rsidRPr="001D2C69" w:rsidRDefault="00E50145" w:rsidP="00D34300">
            <w:pPr>
              <w:keepLines/>
              <w:spacing w:before="60" w:after="60" w:line="80" w:lineRule="exact"/>
              <w:jc w:val="both"/>
              <w:rPr>
                <w:rFonts w:ascii="Arial" w:hAnsi="Arial"/>
                <w:sz w:val="14"/>
                <w:szCs w:val="20"/>
              </w:rPr>
            </w:pPr>
          </w:p>
        </w:tc>
      </w:tr>
    </w:tbl>
    <w:p w:rsidR="00E50145" w:rsidRDefault="00E50145" w:rsidP="001C3E98">
      <w:pPr>
        <w:pStyle w:val="BodyText"/>
      </w:pPr>
      <w:bookmarkStart w:id="12" w:name="_GoBack"/>
      <w:bookmarkEnd w:id="12"/>
    </w:p>
    <w:sectPr w:rsidR="00E50145" w:rsidSect="00E50145">
      <w:headerReference w:type="even" r:id="rId31"/>
      <w:headerReference w:type="default" r:id="rId32"/>
      <w:footerReference w:type="even" r:id="rId33"/>
      <w:footerReference w:type="default" r:id="rId34"/>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95" w:rsidRDefault="00936A95">
      <w:r>
        <w:separator/>
      </w:r>
    </w:p>
  </w:endnote>
  <w:endnote w:type="continuationSeparator" w:id="0">
    <w:p w:rsidR="00936A95" w:rsidRDefault="00936A95">
      <w:r>
        <w:continuationSeparator/>
      </w:r>
    </w:p>
  </w:endnote>
  <w:endnote w:type="continuationNotice" w:id="1">
    <w:p w:rsidR="00936A95" w:rsidRDefault="00936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36A95" w:rsidTr="001A6756">
      <w:trPr>
        <w:trHeight w:hRule="exact" w:val="567"/>
      </w:trPr>
      <w:tc>
        <w:tcPr>
          <w:tcW w:w="510" w:type="dxa"/>
        </w:tcPr>
        <w:p w:rsidR="00936A95" w:rsidRPr="00A24443" w:rsidRDefault="00936A95" w:rsidP="001A6756">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3923">
            <w:rPr>
              <w:rStyle w:val="PageNumber"/>
              <w:caps w:val="0"/>
              <w:noProof/>
            </w:rPr>
            <w:t>iv</w:t>
          </w:r>
          <w:r w:rsidRPr="00A24443">
            <w:rPr>
              <w:rStyle w:val="PageNumber"/>
              <w:caps w:val="0"/>
            </w:rPr>
            <w:fldChar w:fldCharType="end"/>
          </w:r>
        </w:p>
      </w:tc>
      <w:tc>
        <w:tcPr>
          <w:tcW w:w="7767" w:type="dxa"/>
        </w:tcPr>
        <w:p w:rsidR="00936A95" w:rsidRPr="0013739A" w:rsidRDefault="00936A95" w:rsidP="001A6756">
          <w:pPr>
            <w:pStyle w:val="Footer"/>
            <w:rPr>
              <w:rFonts w:cs="Arial"/>
            </w:rPr>
          </w:pPr>
          <w:r>
            <w:rPr>
              <w:rFonts w:cs="Arial"/>
            </w:rPr>
            <w:t>collection models for gst on low value imported goods</w:t>
          </w:r>
        </w:p>
      </w:tc>
      <w:tc>
        <w:tcPr>
          <w:tcW w:w="510" w:type="dxa"/>
        </w:tcPr>
        <w:p w:rsidR="00936A95" w:rsidRDefault="00936A95" w:rsidP="001A6756">
          <w:pPr>
            <w:pStyle w:val="Footer"/>
          </w:pPr>
        </w:p>
      </w:tc>
    </w:tr>
  </w:tbl>
  <w:p w:rsidR="00936A95" w:rsidRDefault="00936A95" w:rsidP="001A6756">
    <w:pPr>
      <w:pStyle w:val="FooterEnd"/>
    </w:pPr>
  </w:p>
  <w:p w:rsidR="00936A95" w:rsidRDefault="00936A9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36A95" w:rsidTr="001A6756">
      <w:trPr>
        <w:trHeight w:hRule="exact" w:val="567"/>
      </w:trPr>
      <w:tc>
        <w:tcPr>
          <w:tcW w:w="510" w:type="dxa"/>
        </w:tcPr>
        <w:p w:rsidR="00936A95" w:rsidRDefault="00936A95">
          <w:pPr>
            <w:pStyle w:val="Footer"/>
            <w:ind w:right="360" w:firstLine="360"/>
          </w:pPr>
        </w:p>
      </w:tc>
      <w:tc>
        <w:tcPr>
          <w:tcW w:w="7767" w:type="dxa"/>
        </w:tcPr>
        <w:p w:rsidR="00936A95" w:rsidRPr="00BA5B14" w:rsidRDefault="00936A95" w:rsidP="001A6756">
          <w:pPr>
            <w:pStyle w:val="Footer"/>
            <w:jc w:val="right"/>
            <w:rPr>
              <w:rFonts w:cs="Arial"/>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623923">
            <w:rPr>
              <w:noProof/>
            </w:rPr>
            <w:t>Contents</w:t>
          </w:r>
          <w:r w:rsidRPr="008F7DB7">
            <w:rPr>
              <w:noProof/>
            </w:rPr>
            <w:fldChar w:fldCharType="end"/>
          </w:r>
          <w:r>
            <w:rPr>
              <w:rFonts w:cs="Arial"/>
            </w:rPr>
            <w:t xml:space="preserve"> </w:t>
          </w:r>
        </w:p>
      </w:tc>
      <w:tc>
        <w:tcPr>
          <w:tcW w:w="510" w:type="dxa"/>
        </w:tcPr>
        <w:p w:rsidR="00936A95" w:rsidRPr="007448F7" w:rsidRDefault="00936A95">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623923">
            <w:rPr>
              <w:rStyle w:val="PageNumber"/>
              <w:caps w:val="0"/>
              <w:noProof/>
            </w:rPr>
            <w:t>iii</w:t>
          </w:r>
          <w:r w:rsidRPr="007448F7">
            <w:rPr>
              <w:rStyle w:val="PageNumber"/>
              <w:caps w:val="0"/>
            </w:rPr>
            <w:fldChar w:fldCharType="end"/>
          </w:r>
        </w:p>
      </w:tc>
    </w:tr>
  </w:tbl>
  <w:p w:rsidR="00936A95" w:rsidRDefault="00936A95">
    <w:pPr>
      <w:pStyle w:val="FooterEnd"/>
    </w:pPr>
  </w:p>
  <w:p w:rsidR="00936A95" w:rsidRDefault="00936A95">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36A95" w:rsidTr="00E50145">
      <w:trPr>
        <w:trHeight w:val="567"/>
      </w:trPr>
      <w:tc>
        <w:tcPr>
          <w:tcW w:w="510" w:type="dxa"/>
          <w:tcBorders>
            <w:top w:val="single" w:sz="4" w:space="0" w:color="auto"/>
          </w:tcBorders>
          <w:shd w:val="clear" w:color="auto" w:fill="auto"/>
        </w:tcPr>
        <w:p w:rsidR="00936A95" w:rsidRPr="00E50145" w:rsidRDefault="00936A95" w:rsidP="00E5014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23923">
            <w:rPr>
              <w:rStyle w:val="PageNumber"/>
              <w:noProof/>
            </w:rPr>
            <w:t>12</w:t>
          </w:r>
          <w:r>
            <w:rPr>
              <w:rStyle w:val="PageNumber"/>
            </w:rPr>
            <w:fldChar w:fldCharType="end"/>
          </w:r>
        </w:p>
      </w:tc>
      <w:tc>
        <w:tcPr>
          <w:tcW w:w="7767" w:type="dxa"/>
          <w:tcBorders>
            <w:top w:val="single" w:sz="4" w:space="0" w:color="auto"/>
          </w:tcBorders>
          <w:shd w:val="clear" w:color="auto" w:fill="auto"/>
        </w:tcPr>
        <w:p w:rsidR="00936A95" w:rsidRDefault="00936A95" w:rsidP="00E50145">
          <w:pPr>
            <w:pStyle w:val="Footer"/>
          </w:pPr>
          <w:r>
            <w:t>COLLECTION MODELS FOR GST ON LOW VALUE IMPORTED GOODS</w:t>
          </w:r>
        </w:p>
      </w:tc>
      <w:tc>
        <w:tcPr>
          <w:tcW w:w="510" w:type="dxa"/>
          <w:tcBorders>
            <w:top w:val="single" w:sz="4" w:space="0" w:color="auto"/>
          </w:tcBorders>
          <w:shd w:val="clear" w:color="auto" w:fill="auto"/>
        </w:tcPr>
        <w:p w:rsidR="00936A95" w:rsidRDefault="00936A95" w:rsidP="00E50145">
          <w:pPr>
            <w:pStyle w:val="Footer"/>
          </w:pPr>
        </w:p>
      </w:tc>
    </w:tr>
  </w:tbl>
  <w:p w:rsidR="00936A95" w:rsidRPr="00E50145" w:rsidRDefault="00936A95" w:rsidP="00E5014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854"/>
      <w:gridCol w:w="423"/>
    </w:tblGrid>
    <w:tr w:rsidR="00936A95" w:rsidTr="00623923">
      <w:trPr>
        <w:trHeight w:val="567"/>
      </w:trPr>
      <w:tc>
        <w:tcPr>
          <w:tcW w:w="510" w:type="dxa"/>
          <w:tcBorders>
            <w:top w:val="single" w:sz="4" w:space="0" w:color="auto"/>
          </w:tcBorders>
          <w:shd w:val="clear" w:color="auto" w:fill="auto"/>
        </w:tcPr>
        <w:p w:rsidR="00936A95" w:rsidRDefault="00936A95" w:rsidP="00E50145">
          <w:pPr>
            <w:pStyle w:val="Footer"/>
          </w:pPr>
        </w:p>
      </w:tc>
      <w:tc>
        <w:tcPr>
          <w:tcW w:w="7854" w:type="dxa"/>
          <w:tcBorders>
            <w:top w:val="single" w:sz="4" w:space="0" w:color="auto"/>
          </w:tcBorders>
          <w:shd w:val="clear" w:color="auto" w:fill="auto"/>
        </w:tcPr>
        <w:p w:rsidR="00936A95" w:rsidRDefault="00936A95" w:rsidP="00E50145">
          <w:pPr>
            <w:pStyle w:val="Footer"/>
            <w:jc w:val="right"/>
          </w:pPr>
          <w:r>
            <w:t>Overview</w:t>
          </w:r>
          <w:r w:rsidR="006A49A9">
            <w:t xml:space="preserve"> &amp; recommendation</w:t>
          </w:r>
        </w:p>
      </w:tc>
      <w:tc>
        <w:tcPr>
          <w:tcW w:w="423" w:type="dxa"/>
          <w:tcBorders>
            <w:top w:val="single" w:sz="4" w:space="0" w:color="auto"/>
          </w:tcBorders>
          <w:shd w:val="clear" w:color="auto" w:fill="auto"/>
        </w:tcPr>
        <w:p w:rsidR="00936A95" w:rsidRPr="00E50145" w:rsidRDefault="00936A95" w:rsidP="00E5014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23923">
            <w:rPr>
              <w:rStyle w:val="PageNumber"/>
              <w:noProof/>
            </w:rPr>
            <w:t>11</w:t>
          </w:r>
          <w:r>
            <w:rPr>
              <w:rStyle w:val="PageNumber"/>
            </w:rPr>
            <w:fldChar w:fldCharType="end"/>
          </w:r>
        </w:p>
      </w:tc>
    </w:tr>
  </w:tbl>
  <w:p w:rsidR="00936A95" w:rsidRPr="00E50145" w:rsidRDefault="00936A95" w:rsidP="00E50145">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95" w:rsidRDefault="00936A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36A95" w:rsidTr="00E50145">
      <w:trPr>
        <w:trHeight w:val="567"/>
      </w:trPr>
      <w:tc>
        <w:tcPr>
          <w:tcW w:w="510" w:type="dxa"/>
          <w:tcBorders>
            <w:top w:val="single" w:sz="4" w:space="0" w:color="auto"/>
          </w:tcBorders>
          <w:shd w:val="clear" w:color="auto" w:fill="auto"/>
        </w:tcPr>
        <w:p w:rsidR="00936A95" w:rsidRPr="00E50145" w:rsidRDefault="00936A95" w:rsidP="00E50145">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23923">
            <w:rPr>
              <w:rStyle w:val="PageNumber"/>
              <w:noProof/>
            </w:rPr>
            <w:t>14</w:t>
          </w:r>
          <w:r>
            <w:rPr>
              <w:rStyle w:val="PageNumber"/>
            </w:rPr>
            <w:fldChar w:fldCharType="end"/>
          </w:r>
        </w:p>
      </w:tc>
      <w:tc>
        <w:tcPr>
          <w:tcW w:w="7767" w:type="dxa"/>
          <w:tcBorders>
            <w:top w:val="single" w:sz="4" w:space="0" w:color="auto"/>
          </w:tcBorders>
          <w:shd w:val="clear" w:color="auto" w:fill="auto"/>
        </w:tcPr>
        <w:p w:rsidR="00936A95" w:rsidRDefault="00936A95" w:rsidP="00E50145">
          <w:pPr>
            <w:pStyle w:val="Footer"/>
          </w:pPr>
          <w:r>
            <w:t>COLLECTION MODELS FOR GST ON LOW VALUE IMPORTED GOODS</w:t>
          </w:r>
        </w:p>
      </w:tc>
      <w:tc>
        <w:tcPr>
          <w:tcW w:w="510" w:type="dxa"/>
          <w:tcBorders>
            <w:top w:val="single" w:sz="4" w:space="0" w:color="auto"/>
          </w:tcBorders>
          <w:shd w:val="clear" w:color="auto" w:fill="auto"/>
        </w:tcPr>
        <w:p w:rsidR="00936A95" w:rsidRDefault="00936A95" w:rsidP="00E50145">
          <w:pPr>
            <w:pStyle w:val="Footer"/>
          </w:pPr>
        </w:p>
      </w:tc>
    </w:tr>
  </w:tbl>
  <w:p w:rsidR="00936A95" w:rsidRPr="00E50145" w:rsidRDefault="00936A95" w:rsidP="00E50145">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36A95" w:rsidTr="00E50145">
      <w:trPr>
        <w:trHeight w:val="567"/>
      </w:trPr>
      <w:tc>
        <w:tcPr>
          <w:tcW w:w="510" w:type="dxa"/>
          <w:tcBorders>
            <w:top w:val="single" w:sz="4" w:space="0" w:color="auto"/>
          </w:tcBorders>
          <w:shd w:val="clear" w:color="auto" w:fill="auto"/>
        </w:tcPr>
        <w:p w:rsidR="00936A95" w:rsidRDefault="00936A95" w:rsidP="00E50145">
          <w:pPr>
            <w:pStyle w:val="Footer"/>
          </w:pPr>
        </w:p>
      </w:tc>
      <w:tc>
        <w:tcPr>
          <w:tcW w:w="7767" w:type="dxa"/>
          <w:tcBorders>
            <w:top w:val="single" w:sz="4" w:space="0" w:color="auto"/>
          </w:tcBorders>
          <w:shd w:val="clear" w:color="auto" w:fill="auto"/>
        </w:tcPr>
        <w:p w:rsidR="00936A95" w:rsidRDefault="00623923" w:rsidP="00E50145">
          <w:pPr>
            <w:pStyle w:val="Footer"/>
            <w:jc w:val="right"/>
          </w:pPr>
          <w:r>
            <w:t>Overview &amp; recommendation</w:t>
          </w:r>
        </w:p>
      </w:tc>
      <w:tc>
        <w:tcPr>
          <w:tcW w:w="510" w:type="dxa"/>
          <w:tcBorders>
            <w:top w:val="single" w:sz="4" w:space="0" w:color="auto"/>
          </w:tcBorders>
          <w:shd w:val="clear" w:color="auto" w:fill="auto"/>
        </w:tcPr>
        <w:p w:rsidR="00936A95" w:rsidRPr="00E50145" w:rsidRDefault="00936A95" w:rsidP="00E50145">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23923">
            <w:rPr>
              <w:rStyle w:val="PageNumber"/>
              <w:noProof/>
            </w:rPr>
            <w:t>13</w:t>
          </w:r>
          <w:r>
            <w:rPr>
              <w:rStyle w:val="PageNumber"/>
            </w:rPr>
            <w:fldChar w:fldCharType="end"/>
          </w:r>
        </w:p>
      </w:tc>
    </w:tr>
  </w:tbl>
  <w:p w:rsidR="00936A95" w:rsidRPr="00E50145" w:rsidRDefault="00936A95" w:rsidP="00E5014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95" w:rsidRDefault="00936A95">
      <w:r>
        <w:separator/>
      </w:r>
    </w:p>
  </w:footnote>
  <w:footnote w:type="continuationSeparator" w:id="0">
    <w:p w:rsidR="00936A95" w:rsidRDefault="00936A95">
      <w:r>
        <w:continuationSeparator/>
      </w:r>
    </w:p>
  </w:footnote>
  <w:footnote w:type="continuationNotice" w:id="1">
    <w:p w:rsidR="00936A95" w:rsidRDefault="00936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936A95">
      <w:tc>
        <w:tcPr>
          <w:tcW w:w="2155" w:type="dxa"/>
          <w:tcBorders>
            <w:top w:val="single" w:sz="24" w:space="0" w:color="auto"/>
          </w:tcBorders>
        </w:tcPr>
        <w:p w:rsidR="00936A95" w:rsidRDefault="00936A95">
          <w:pPr>
            <w:pStyle w:val="Header"/>
          </w:pPr>
        </w:p>
      </w:tc>
      <w:tc>
        <w:tcPr>
          <w:tcW w:w="6634" w:type="dxa"/>
          <w:tcBorders>
            <w:top w:val="single" w:sz="6" w:space="0" w:color="auto"/>
          </w:tcBorders>
        </w:tcPr>
        <w:p w:rsidR="00936A95" w:rsidRDefault="00936A95">
          <w:pPr>
            <w:pStyle w:val="Header"/>
          </w:pPr>
        </w:p>
      </w:tc>
    </w:tr>
  </w:tbl>
  <w:p w:rsidR="00936A95" w:rsidRDefault="00936A95">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6634"/>
      <w:gridCol w:w="2155"/>
    </w:tblGrid>
    <w:tr w:rsidR="00936A95" w:rsidTr="001A6756">
      <w:tc>
        <w:tcPr>
          <w:tcW w:w="3774" w:type="pct"/>
          <w:tcBorders>
            <w:top w:val="single" w:sz="6" w:space="0" w:color="auto"/>
          </w:tcBorders>
        </w:tcPr>
        <w:p w:rsidR="00936A95" w:rsidRDefault="00936A95" w:rsidP="001A6756">
          <w:pPr>
            <w:pStyle w:val="HeaderOdd"/>
          </w:pPr>
        </w:p>
      </w:tc>
      <w:tc>
        <w:tcPr>
          <w:tcW w:w="1226" w:type="pct"/>
          <w:tcBorders>
            <w:top w:val="single" w:sz="24" w:space="0" w:color="auto"/>
          </w:tcBorders>
        </w:tcPr>
        <w:p w:rsidR="00936A95" w:rsidRDefault="00936A95" w:rsidP="001A6756">
          <w:pPr>
            <w:pStyle w:val="HeaderOdd"/>
          </w:pPr>
        </w:p>
      </w:tc>
    </w:tr>
  </w:tbl>
  <w:p w:rsidR="00936A95" w:rsidRPr="005C68FE" w:rsidRDefault="00936A95" w:rsidP="001A6756">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936A95" w:rsidTr="00EA0FC1">
      <w:trPr>
        <w:trHeight w:val="300"/>
      </w:trPr>
      <w:tc>
        <w:tcPr>
          <w:tcW w:w="2154" w:type="dxa"/>
          <w:tcBorders>
            <w:top w:val="single" w:sz="24" w:space="0" w:color="auto"/>
          </w:tcBorders>
          <w:shd w:val="clear" w:color="auto" w:fill="auto"/>
        </w:tcPr>
        <w:p w:rsidR="00936A95" w:rsidRDefault="00936A95" w:rsidP="00E50145">
          <w:pPr>
            <w:pStyle w:val="HeaderEven"/>
          </w:pPr>
        </w:p>
      </w:tc>
      <w:tc>
        <w:tcPr>
          <w:tcW w:w="6633" w:type="dxa"/>
          <w:tcBorders>
            <w:top w:val="single" w:sz="6" w:space="0" w:color="auto"/>
          </w:tcBorders>
          <w:shd w:val="clear" w:color="auto" w:fill="auto"/>
        </w:tcPr>
        <w:p w:rsidR="00936A95" w:rsidRDefault="00936A95" w:rsidP="00E50145">
          <w:pPr>
            <w:pStyle w:val="HeaderEven"/>
          </w:pPr>
        </w:p>
      </w:tc>
    </w:tr>
  </w:tbl>
  <w:p w:rsidR="00936A95" w:rsidRPr="00E50145" w:rsidRDefault="00936A95" w:rsidP="00E50145">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936A95" w:rsidTr="00EA0FC1">
      <w:trPr>
        <w:trHeight w:val="300"/>
      </w:trPr>
      <w:tc>
        <w:tcPr>
          <w:tcW w:w="6633" w:type="dxa"/>
          <w:tcBorders>
            <w:top w:val="single" w:sz="6" w:space="0" w:color="auto"/>
          </w:tcBorders>
          <w:shd w:val="clear" w:color="auto" w:fill="auto"/>
        </w:tcPr>
        <w:p w:rsidR="00936A95" w:rsidRDefault="00936A95" w:rsidP="00EA0FC1">
          <w:pPr>
            <w:pStyle w:val="HeaderOdd"/>
            <w:tabs>
              <w:tab w:val="clear" w:pos="4394"/>
              <w:tab w:val="clear" w:pos="8789"/>
              <w:tab w:val="left" w:pos="4617"/>
            </w:tabs>
          </w:pPr>
        </w:p>
      </w:tc>
      <w:tc>
        <w:tcPr>
          <w:tcW w:w="2154" w:type="dxa"/>
          <w:tcBorders>
            <w:top w:val="single" w:sz="24" w:space="0" w:color="auto"/>
          </w:tcBorders>
          <w:shd w:val="clear" w:color="auto" w:fill="auto"/>
        </w:tcPr>
        <w:p w:rsidR="00936A95" w:rsidRDefault="00936A95" w:rsidP="00E50145">
          <w:pPr>
            <w:pStyle w:val="HeaderOdd"/>
          </w:pPr>
        </w:p>
      </w:tc>
    </w:tr>
  </w:tbl>
  <w:p w:rsidR="00936A95" w:rsidRPr="00E50145" w:rsidRDefault="00936A95" w:rsidP="00E50145">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95" w:rsidRDefault="00936A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936A95" w:rsidTr="009A2386">
      <w:trPr>
        <w:trHeight w:val="300"/>
      </w:trPr>
      <w:tc>
        <w:tcPr>
          <w:tcW w:w="1226" w:type="pct"/>
          <w:tcBorders>
            <w:top w:val="single" w:sz="24" w:space="0" w:color="auto"/>
          </w:tcBorders>
          <w:shd w:val="clear" w:color="auto" w:fill="auto"/>
        </w:tcPr>
        <w:p w:rsidR="00936A95" w:rsidRDefault="00936A95" w:rsidP="00E50145">
          <w:pPr>
            <w:pStyle w:val="HeaderEven"/>
          </w:pPr>
        </w:p>
      </w:tc>
      <w:tc>
        <w:tcPr>
          <w:tcW w:w="3774" w:type="pct"/>
          <w:tcBorders>
            <w:top w:val="single" w:sz="6" w:space="0" w:color="auto"/>
          </w:tcBorders>
          <w:shd w:val="clear" w:color="auto" w:fill="auto"/>
        </w:tcPr>
        <w:p w:rsidR="00936A95" w:rsidRDefault="00936A95" w:rsidP="00E50145">
          <w:pPr>
            <w:pStyle w:val="HeaderEven"/>
          </w:pPr>
        </w:p>
      </w:tc>
    </w:tr>
  </w:tbl>
  <w:p w:rsidR="00936A95" w:rsidRPr="00E50145" w:rsidRDefault="00936A95" w:rsidP="00E50145">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936A95" w:rsidTr="009A2386">
      <w:trPr>
        <w:trHeight w:val="300"/>
      </w:trPr>
      <w:tc>
        <w:tcPr>
          <w:tcW w:w="3774" w:type="pct"/>
          <w:tcBorders>
            <w:top w:val="single" w:sz="6" w:space="0" w:color="auto"/>
          </w:tcBorders>
          <w:shd w:val="clear" w:color="auto" w:fill="auto"/>
        </w:tcPr>
        <w:p w:rsidR="00936A95" w:rsidRDefault="00936A95" w:rsidP="00E50145">
          <w:pPr>
            <w:pStyle w:val="HeaderOdd"/>
          </w:pPr>
        </w:p>
      </w:tc>
      <w:tc>
        <w:tcPr>
          <w:tcW w:w="1226" w:type="pct"/>
          <w:tcBorders>
            <w:top w:val="single" w:sz="24" w:space="0" w:color="auto"/>
          </w:tcBorders>
          <w:shd w:val="clear" w:color="auto" w:fill="auto"/>
        </w:tcPr>
        <w:p w:rsidR="00936A95" w:rsidRDefault="00936A95" w:rsidP="00E50145">
          <w:pPr>
            <w:pStyle w:val="HeaderOdd"/>
          </w:pPr>
        </w:p>
      </w:tc>
    </w:tr>
  </w:tbl>
  <w:p w:rsidR="00936A95" w:rsidRPr="00E50145" w:rsidRDefault="00936A95" w:rsidP="00E50145">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DD839A7"/>
    <w:multiLevelType w:val="hybridMultilevel"/>
    <w:tmpl w:val="18D4E360"/>
    <w:lvl w:ilvl="0" w:tplc="B144F25A">
      <w:start w:val="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AB7F5B"/>
    <w:multiLevelType w:val="hybridMultilevel"/>
    <w:tmpl w:val="49C0A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C2207C3"/>
    <w:multiLevelType w:val="hybridMultilevel"/>
    <w:tmpl w:val="11AC62B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6"/>
  </w:num>
  <w:num w:numId="4">
    <w:abstractNumId w:val="3"/>
  </w:num>
  <w:num w:numId="5">
    <w:abstractNumId w:val="21"/>
  </w:num>
  <w:num w:numId="6">
    <w:abstractNumId w:val="18"/>
  </w:num>
  <w:num w:numId="7">
    <w:abstractNumId w:val="7"/>
  </w:num>
  <w:num w:numId="8">
    <w:abstractNumId w:val="17"/>
  </w:num>
  <w:num w:numId="9">
    <w:abstractNumId w:val="6"/>
  </w:num>
  <w:num w:numId="10">
    <w:abstractNumId w:val="5"/>
  </w:num>
  <w:num w:numId="11">
    <w:abstractNumId w:val="9"/>
  </w:num>
  <w:num w:numId="12">
    <w:abstractNumId w:val="10"/>
  </w:num>
  <w:num w:numId="13">
    <w:abstractNumId w:val="4"/>
  </w:num>
  <w:num w:numId="14">
    <w:abstractNumId w:val="19"/>
  </w:num>
  <w:num w:numId="15">
    <w:abstractNumId w:val="23"/>
  </w:num>
  <w:num w:numId="16">
    <w:abstractNumId w:val="15"/>
  </w:num>
  <w:num w:numId="17">
    <w:abstractNumId w:val="24"/>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2"/>
  </w:num>
  <w:num w:numId="27">
    <w:abstractNumId w:val="13"/>
  </w:num>
  <w:num w:numId="28">
    <w:abstractNumId w:val="4"/>
  </w:num>
  <w:num w:numId="29">
    <w:abstractNumId w:val="4"/>
  </w:num>
  <w:num w:numId="30">
    <w:abstractNumId w:val="22"/>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E50145"/>
    <w:rsid w:val="00015884"/>
    <w:rsid w:val="0002067E"/>
    <w:rsid w:val="000227D5"/>
    <w:rsid w:val="000245AA"/>
    <w:rsid w:val="00027F74"/>
    <w:rsid w:val="00030B64"/>
    <w:rsid w:val="00032B6A"/>
    <w:rsid w:val="000352FC"/>
    <w:rsid w:val="0003664B"/>
    <w:rsid w:val="0003723E"/>
    <w:rsid w:val="0004111F"/>
    <w:rsid w:val="00041920"/>
    <w:rsid w:val="000521A3"/>
    <w:rsid w:val="00053054"/>
    <w:rsid w:val="00053634"/>
    <w:rsid w:val="00055077"/>
    <w:rsid w:val="000565B3"/>
    <w:rsid w:val="00062872"/>
    <w:rsid w:val="0006705D"/>
    <w:rsid w:val="0007150B"/>
    <w:rsid w:val="000721B9"/>
    <w:rsid w:val="000723F8"/>
    <w:rsid w:val="000813FF"/>
    <w:rsid w:val="00083A3C"/>
    <w:rsid w:val="00090A1C"/>
    <w:rsid w:val="000938F5"/>
    <w:rsid w:val="00095663"/>
    <w:rsid w:val="00096E55"/>
    <w:rsid w:val="0009783E"/>
    <w:rsid w:val="000A1F32"/>
    <w:rsid w:val="000A5369"/>
    <w:rsid w:val="000A5413"/>
    <w:rsid w:val="000A72D2"/>
    <w:rsid w:val="000A7407"/>
    <w:rsid w:val="000B1022"/>
    <w:rsid w:val="000B601B"/>
    <w:rsid w:val="000C207E"/>
    <w:rsid w:val="000C4249"/>
    <w:rsid w:val="000C6E8E"/>
    <w:rsid w:val="000C6F68"/>
    <w:rsid w:val="000D41E9"/>
    <w:rsid w:val="000D57B6"/>
    <w:rsid w:val="000D6C11"/>
    <w:rsid w:val="000F0035"/>
    <w:rsid w:val="000F04E7"/>
    <w:rsid w:val="000F060A"/>
    <w:rsid w:val="000F0E45"/>
    <w:rsid w:val="000F420B"/>
    <w:rsid w:val="000F7F57"/>
    <w:rsid w:val="001023C7"/>
    <w:rsid w:val="00105CEB"/>
    <w:rsid w:val="00110116"/>
    <w:rsid w:val="00111F70"/>
    <w:rsid w:val="001126DC"/>
    <w:rsid w:val="00113D22"/>
    <w:rsid w:val="00116291"/>
    <w:rsid w:val="00116440"/>
    <w:rsid w:val="00120072"/>
    <w:rsid w:val="00121243"/>
    <w:rsid w:val="00126EB8"/>
    <w:rsid w:val="001274D4"/>
    <w:rsid w:val="001363AA"/>
    <w:rsid w:val="00136C8A"/>
    <w:rsid w:val="00136D78"/>
    <w:rsid w:val="0013739A"/>
    <w:rsid w:val="00142165"/>
    <w:rsid w:val="001471F2"/>
    <w:rsid w:val="00162434"/>
    <w:rsid w:val="0017207A"/>
    <w:rsid w:val="00173030"/>
    <w:rsid w:val="00181756"/>
    <w:rsid w:val="00183E82"/>
    <w:rsid w:val="001843AB"/>
    <w:rsid w:val="00184633"/>
    <w:rsid w:val="001846B2"/>
    <w:rsid w:val="00186D48"/>
    <w:rsid w:val="00187170"/>
    <w:rsid w:val="001878BB"/>
    <w:rsid w:val="00191AE0"/>
    <w:rsid w:val="0019293B"/>
    <w:rsid w:val="00193186"/>
    <w:rsid w:val="0019426B"/>
    <w:rsid w:val="001969C0"/>
    <w:rsid w:val="001A0F76"/>
    <w:rsid w:val="001A6756"/>
    <w:rsid w:val="001A6A4B"/>
    <w:rsid w:val="001B3D28"/>
    <w:rsid w:val="001B572A"/>
    <w:rsid w:val="001C0865"/>
    <w:rsid w:val="001C0AED"/>
    <w:rsid w:val="001C3ABA"/>
    <w:rsid w:val="001C3E98"/>
    <w:rsid w:val="001C4494"/>
    <w:rsid w:val="001C5111"/>
    <w:rsid w:val="001D5631"/>
    <w:rsid w:val="001E055D"/>
    <w:rsid w:val="001E7BE8"/>
    <w:rsid w:val="001F0248"/>
    <w:rsid w:val="001F08E9"/>
    <w:rsid w:val="001F3EB3"/>
    <w:rsid w:val="001F4F86"/>
    <w:rsid w:val="001F6BE5"/>
    <w:rsid w:val="00202C2C"/>
    <w:rsid w:val="00203050"/>
    <w:rsid w:val="0021231F"/>
    <w:rsid w:val="002135AB"/>
    <w:rsid w:val="002144BE"/>
    <w:rsid w:val="00221392"/>
    <w:rsid w:val="00222906"/>
    <w:rsid w:val="00233684"/>
    <w:rsid w:val="00234DDC"/>
    <w:rsid w:val="00242279"/>
    <w:rsid w:val="00243997"/>
    <w:rsid w:val="0024516C"/>
    <w:rsid w:val="00245C82"/>
    <w:rsid w:val="00253F2A"/>
    <w:rsid w:val="00262346"/>
    <w:rsid w:val="0026335D"/>
    <w:rsid w:val="00264504"/>
    <w:rsid w:val="00265121"/>
    <w:rsid w:val="00267A5E"/>
    <w:rsid w:val="002724BA"/>
    <w:rsid w:val="00276DFA"/>
    <w:rsid w:val="0027769D"/>
    <w:rsid w:val="00280F70"/>
    <w:rsid w:val="002817E2"/>
    <w:rsid w:val="0028249D"/>
    <w:rsid w:val="00286343"/>
    <w:rsid w:val="00287C10"/>
    <w:rsid w:val="00291B40"/>
    <w:rsid w:val="00292C80"/>
    <w:rsid w:val="0029436C"/>
    <w:rsid w:val="0029685E"/>
    <w:rsid w:val="002B231B"/>
    <w:rsid w:val="002B4008"/>
    <w:rsid w:val="002B42F6"/>
    <w:rsid w:val="002B4763"/>
    <w:rsid w:val="002C355F"/>
    <w:rsid w:val="002C439F"/>
    <w:rsid w:val="002D0C42"/>
    <w:rsid w:val="002D0E8E"/>
    <w:rsid w:val="002D2B2A"/>
    <w:rsid w:val="002D6A09"/>
    <w:rsid w:val="002F3AE2"/>
    <w:rsid w:val="002F6C79"/>
    <w:rsid w:val="002F6F8F"/>
    <w:rsid w:val="00301189"/>
    <w:rsid w:val="00301E4A"/>
    <w:rsid w:val="003168B8"/>
    <w:rsid w:val="003175F2"/>
    <w:rsid w:val="003212CD"/>
    <w:rsid w:val="00322D64"/>
    <w:rsid w:val="00323E09"/>
    <w:rsid w:val="00333932"/>
    <w:rsid w:val="00342825"/>
    <w:rsid w:val="00350717"/>
    <w:rsid w:val="003518AA"/>
    <w:rsid w:val="00352165"/>
    <w:rsid w:val="00352C81"/>
    <w:rsid w:val="00353182"/>
    <w:rsid w:val="003565D9"/>
    <w:rsid w:val="003602E1"/>
    <w:rsid w:val="003661A5"/>
    <w:rsid w:val="0037026F"/>
    <w:rsid w:val="00371240"/>
    <w:rsid w:val="00371E73"/>
    <w:rsid w:val="00374731"/>
    <w:rsid w:val="00376E59"/>
    <w:rsid w:val="00377EC1"/>
    <w:rsid w:val="0038022C"/>
    <w:rsid w:val="00380340"/>
    <w:rsid w:val="003812FA"/>
    <w:rsid w:val="00381675"/>
    <w:rsid w:val="0038198B"/>
    <w:rsid w:val="00385C7A"/>
    <w:rsid w:val="003919F9"/>
    <w:rsid w:val="003920CF"/>
    <w:rsid w:val="003A373E"/>
    <w:rsid w:val="003B23C2"/>
    <w:rsid w:val="003B3007"/>
    <w:rsid w:val="003B3C40"/>
    <w:rsid w:val="003B4404"/>
    <w:rsid w:val="003B6178"/>
    <w:rsid w:val="003C38B5"/>
    <w:rsid w:val="003C4CD6"/>
    <w:rsid w:val="003C5D99"/>
    <w:rsid w:val="003D1087"/>
    <w:rsid w:val="003D3913"/>
    <w:rsid w:val="003E0CB0"/>
    <w:rsid w:val="003E2F59"/>
    <w:rsid w:val="003E4215"/>
    <w:rsid w:val="003E746B"/>
    <w:rsid w:val="003F0789"/>
    <w:rsid w:val="003F4462"/>
    <w:rsid w:val="003F7806"/>
    <w:rsid w:val="00401882"/>
    <w:rsid w:val="004032C9"/>
    <w:rsid w:val="004063BC"/>
    <w:rsid w:val="004100C8"/>
    <w:rsid w:val="00411DBD"/>
    <w:rsid w:val="00412ACE"/>
    <w:rsid w:val="004145D2"/>
    <w:rsid w:val="00426A16"/>
    <w:rsid w:val="00426CB4"/>
    <w:rsid w:val="00431249"/>
    <w:rsid w:val="00434C19"/>
    <w:rsid w:val="004442A4"/>
    <w:rsid w:val="00450810"/>
    <w:rsid w:val="004521BE"/>
    <w:rsid w:val="00452B46"/>
    <w:rsid w:val="00462C59"/>
    <w:rsid w:val="00470737"/>
    <w:rsid w:val="00471567"/>
    <w:rsid w:val="00473568"/>
    <w:rsid w:val="00477144"/>
    <w:rsid w:val="00477A2B"/>
    <w:rsid w:val="00481548"/>
    <w:rsid w:val="004827A9"/>
    <w:rsid w:val="004876CB"/>
    <w:rsid w:val="00491380"/>
    <w:rsid w:val="0049459F"/>
    <w:rsid w:val="004A38DD"/>
    <w:rsid w:val="004B43AE"/>
    <w:rsid w:val="004B48A2"/>
    <w:rsid w:val="004C30ED"/>
    <w:rsid w:val="004C5414"/>
    <w:rsid w:val="004C6B1B"/>
    <w:rsid w:val="004D09B0"/>
    <w:rsid w:val="004D5675"/>
    <w:rsid w:val="004D77CC"/>
    <w:rsid w:val="004E214D"/>
    <w:rsid w:val="004F0AC7"/>
    <w:rsid w:val="004F3FED"/>
    <w:rsid w:val="00501ED7"/>
    <w:rsid w:val="00512B1B"/>
    <w:rsid w:val="00514586"/>
    <w:rsid w:val="005171D5"/>
    <w:rsid w:val="00517795"/>
    <w:rsid w:val="00521EB6"/>
    <w:rsid w:val="00523639"/>
    <w:rsid w:val="00524B1A"/>
    <w:rsid w:val="00525076"/>
    <w:rsid w:val="00530A41"/>
    <w:rsid w:val="00531FE5"/>
    <w:rsid w:val="005402FA"/>
    <w:rsid w:val="005410DC"/>
    <w:rsid w:val="005534BA"/>
    <w:rsid w:val="00554425"/>
    <w:rsid w:val="005568F5"/>
    <w:rsid w:val="00562227"/>
    <w:rsid w:val="00565129"/>
    <w:rsid w:val="005729BD"/>
    <w:rsid w:val="005742EE"/>
    <w:rsid w:val="0057536C"/>
    <w:rsid w:val="00580154"/>
    <w:rsid w:val="00582136"/>
    <w:rsid w:val="00582189"/>
    <w:rsid w:val="00583C39"/>
    <w:rsid w:val="00583DFB"/>
    <w:rsid w:val="00585A62"/>
    <w:rsid w:val="00586A90"/>
    <w:rsid w:val="00587F28"/>
    <w:rsid w:val="005909CF"/>
    <w:rsid w:val="00591E71"/>
    <w:rsid w:val="00592F4F"/>
    <w:rsid w:val="005A0D41"/>
    <w:rsid w:val="005A0F03"/>
    <w:rsid w:val="005A41D5"/>
    <w:rsid w:val="005A57D3"/>
    <w:rsid w:val="005B6DE5"/>
    <w:rsid w:val="005C50EC"/>
    <w:rsid w:val="005D0823"/>
    <w:rsid w:val="005D20C1"/>
    <w:rsid w:val="005D2C04"/>
    <w:rsid w:val="005D329F"/>
    <w:rsid w:val="005D4AC7"/>
    <w:rsid w:val="005E3630"/>
    <w:rsid w:val="005E551B"/>
    <w:rsid w:val="005E77B7"/>
    <w:rsid w:val="005F48ED"/>
    <w:rsid w:val="006040EA"/>
    <w:rsid w:val="00606E78"/>
    <w:rsid w:val="00606FB5"/>
    <w:rsid w:val="00607BF1"/>
    <w:rsid w:val="0061684E"/>
    <w:rsid w:val="00617162"/>
    <w:rsid w:val="00621F61"/>
    <w:rsid w:val="0062370A"/>
    <w:rsid w:val="00623923"/>
    <w:rsid w:val="006239F4"/>
    <w:rsid w:val="00625FE3"/>
    <w:rsid w:val="00630137"/>
    <w:rsid w:val="00630D4D"/>
    <w:rsid w:val="00632A74"/>
    <w:rsid w:val="006352CA"/>
    <w:rsid w:val="00635BCA"/>
    <w:rsid w:val="00643F6E"/>
    <w:rsid w:val="00652BE4"/>
    <w:rsid w:val="00654D42"/>
    <w:rsid w:val="00655FA9"/>
    <w:rsid w:val="00656410"/>
    <w:rsid w:val="0066219C"/>
    <w:rsid w:val="006646B1"/>
    <w:rsid w:val="00664A62"/>
    <w:rsid w:val="00666E02"/>
    <w:rsid w:val="00671265"/>
    <w:rsid w:val="006766EF"/>
    <w:rsid w:val="006A4655"/>
    <w:rsid w:val="006A49A9"/>
    <w:rsid w:val="006A6BE9"/>
    <w:rsid w:val="006A6FD8"/>
    <w:rsid w:val="006B2B3C"/>
    <w:rsid w:val="006C1D81"/>
    <w:rsid w:val="006C3F88"/>
    <w:rsid w:val="006C7038"/>
    <w:rsid w:val="006E6E8F"/>
    <w:rsid w:val="006E73EF"/>
    <w:rsid w:val="006F408B"/>
    <w:rsid w:val="006F57D3"/>
    <w:rsid w:val="006F63F5"/>
    <w:rsid w:val="006F6F30"/>
    <w:rsid w:val="006F75D7"/>
    <w:rsid w:val="00701511"/>
    <w:rsid w:val="0070215A"/>
    <w:rsid w:val="00705150"/>
    <w:rsid w:val="007079C9"/>
    <w:rsid w:val="007113A7"/>
    <w:rsid w:val="007117FD"/>
    <w:rsid w:val="0071364C"/>
    <w:rsid w:val="00714D4D"/>
    <w:rsid w:val="007266D3"/>
    <w:rsid w:val="007312A7"/>
    <w:rsid w:val="00732029"/>
    <w:rsid w:val="00737120"/>
    <w:rsid w:val="0074421B"/>
    <w:rsid w:val="007604BB"/>
    <w:rsid w:val="00761345"/>
    <w:rsid w:val="00761CDA"/>
    <w:rsid w:val="00772909"/>
    <w:rsid w:val="00773E51"/>
    <w:rsid w:val="00777DFC"/>
    <w:rsid w:val="00780DBA"/>
    <w:rsid w:val="00782B76"/>
    <w:rsid w:val="00785232"/>
    <w:rsid w:val="007877C1"/>
    <w:rsid w:val="0079701E"/>
    <w:rsid w:val="007A21EB"/>
    <w:rsid w:val="007A5F4B"/>
    <w:rsid w:val="007B1A93"/>
    <w:rsid w:val="007B3434"/>
    <w:rsid w:val="007C36C9"/>
    <w:rsid w:val="007C7B20"/>
    <w:rsid w:val="007D02A1"/>
    <w:rsid w:val="007D6401"/>
    <w:rsid w:val="007D67B9"/>
    <w:rsid w:val="007E01E4"/>
    <w:rsid w:val="007E3C7B"/>
    <w:rsid w:val="007E7A12"/>
    <w:rsid w:val="007F035D"/>
    <w:rsid w:val="007F6388"/>
    <w:rsid w:val="007F7107"/>
    <w:rsid w:val="00800D4C"/>
    <w:rsid w:val="00802403"/>
    <w:rsid w:val="00805814"/>
    <w:rsid w:val="0081030F"/>
    <w:rsid w:val="00812F4A"/>
    <w:rsid w:val="00815688"/>
    <w:rsid w:val="00815F66"/>
    <w:rsid w:val="008178D4"/>
    <w:rsid w:val="0082087D"/>
    <w:rsid w:val="00825503"/>
    <w:rsid w:val="00835771"/>
    <w:rsid w:val="00837B0A"/>
    <w:rsid w:val="00841AC8"/>
    <w:rsid w:val="00842933"/>
    <w:rsid w:val="008433E2"/>
    <w:rsid w:val="00850142"/>
    <w:rsid w:val="0085233F"/>
    <w:rsid w:val="008570B5"/>
    <w:rsid w:val="0086082C"/>
    <w:rsid w:val="00864ADC"/>
    <w:rsid w:val="00864C68"/>
    <w:rsid w:val="008778D6"/>
    <w:rsid w:val="00877AC0"/>
    <w:rsid w:val="00880153"/>
    <w:rsid w:val="00880F97"/>
    <w:rsid w:val="0088133A"/>
    <w:rsid w:val="0089285E"/>
    <w:rsid w:val="0089436C"/>
    <w:rsid w:val="008A047C"/>
    <w:rsid w:val="008B150D"/>
    <w:rsid w:val="008B37CB"/>
    <w:rsid w:val="008B3F4D"/>
    <w:rsid w:val="008C0BD7"/>
    <w:rsid w:val="008C5C8C"/>
    <w:rsid w:val="008C6C58"/>
    <w:rsid w:val="008D365C"/>
    <w:rsid w:val="008D7622"/>
    <w:rsid w:val="008E3531"/>
    <w:rsid w:val="008F061E"/>
    <w:rsid w:val="008F4C3E"/>
    <w:rsid w:val="00900D84"/>
    <w:rsid w:val="009021A6"/>
    <w:rsid w:val="00903097"/>
    <w:rsid w:val="009030BF"/>
    <w:rsid w:val="00903B52"/>
    <w:rsid w:val="00904932"/>
    <w:rsid w:val="0091032F"/>
    <w:rsid w:val="009111CF"/>
    <w:rsid w:val="00911AAE"/>
    <w:rsid w:val="00914368"/>
    <w:rsid w:val="00917CEF"/>
    <w:rsid w:val="009214DE"/>
    <w:rsid w:val="00923C49"/>
    <w:rsid w:val="00923CCF"/>
    <w:rsid w:val="0092442B"/>
    <w:rsid w:val="009257D2"/>
    <w:rsid w:val="00931076"/>
    <w:rsid w:val="00933CBA"/>
    <w:rsid w:val="009345D9"/>
    <w:rsid w:val="00934B15"/>
    <w:rsid w:val="00936A95"/>
    <w:rsid w:val="00940C87"/>
    <w:rsid w:val="00942B62"/>
    <w:rsid w:val="00945D50"/>
    <w:rsid w:val="00950238"/>
    <w:rsid w:val="0095323B"/>
    <w:rsid w:val="0095636B"/>
    <w:rsid w:val="00956A0C"/>
    <w:rsid w:val="00956BD9"/>
    <w:rsid w:val="00960B5F"/>
    <w:rsid w:val="00962489"/>
    <w:rsid w:val="00962EE0"/>
    <w:rsid w:val="009638D9"/>
    <w:rsid w:val="00965548"/>
    <w:rsid w:val="00967CD3"/>
    <w:rsid w:val="00967E60"/>
    <w:rsid w:val="00970E43"/>
    <w:rsid w:val="009724B4"/>
    <w:rsid w:val="009729AA"/>
    <w:rsid w:val="00990C2C"/>
    <w:rsid w:val="00991E5F"/>
    <w:rsid w:val="00992AD8"/>
    <w:rsid w:val="009A2386"/>
    <w:rsid w:val="009A5171"/>
    <w:rsid w:val="009B04D6"/>
    <w:rsid w:val="009B0FC3"/>
    <w:rsid w:val="009B5111"/>
    <w:rsid w:val="009B6174"/>
    <w:rsid w:val="009C463D"/>
    <w:rsid w:val="009E1844"/>
    <w:rsid w:val="009E1D3D"/>
    <w:rsid w:val="009E1E78"/>
    <w:rsid w:val="009E2A4D"/>
    <w:rsid w:val="009E4860"/>
    <w:rsid w:val="009E72B5"/>
    <w:rsid w:val="009F0D1B"/>
    <w:rsid w:val="009F0DC4"/>
    <w:rsid w:val="009F5BBD"/>
    <w:rsid w:val="009F696D"/>
    <w:rsid w:val="009F6BC6"/>
    <w:rsid w:val="009F74EF"/>
    <w:rsid w:val="00A02826"/>
    <w:rsid w:val="00A02D6D"/>
    <w:rsid w:val="00A11281"/>
    <w:rsid w:val="00A15D5A"/>
    <w:rsid w:val="00A17018"/>
    <w:rsid w:val="00A17328"/>
    <w:rsid w:val="00A17943"/>
    <w:rsid w:val="00A219E4"/>
    <w:rsid w:val="00A23A20"/>
    <w:rsid w:val="00A24443"/>
    <w:rsid w:val="00A244B5"/>
    <w:rsid w:val="00A2638D"/>
    <w:rsid w:val="00A268B9"/>
    <w:rsid w:val="00A26DD8"/>
    <w:rsid w:val="00A2703A"/>
    <w:rsid w:val="00A316CD"/>
    <w:rsid w:val="00A33DFF"/>
    <w:rsid w:val="00A35115"/>
    <w:rsid w:val="00A36D9A"/>
    <w:rsid w:val="00A3771B"/>
    <w:rsid w:val="00A40F2D"/>
    <w:rsid w:val="00A44A29"/>
    <w:rsid w:val="00A451DC"/>
    <w:rsid w:val="00A554AB"/>
    <w:rsid w:val="00A57062"/>
    <w:rsid w:val="00A6196B"/>
    <w:rsid w:val="00A6509C"/>
    <w:rsid w:val="00A67781"/>
    <w:rsid w:val="00A761F9"/>
    <w:rsid w:val="00A92B53"/>
    <w:rsid w:val="00A94FA6"/>
    <w:rsid w:val="00A97B91"/>
    <w:rsid w:val="00AA2375"/>
    <w:rsid w:val="00AA2C42"/>
    <w:rsid w:val="00AA49A0"/>
    <w:rsid w:val="00AA6710"/>
    <w:rsid w:val="00AB0681"/>
    <w:rsid w:val="00AB1194"/>
    <w:rsid w:val="00AC3A15"/>
    <w:rsid w:val="00AC6950"/>
    <w:rsid w:val="00AD0A84"/>
    <w:rsid w:val="00AD4E5E"/>
    <w:rsid w:val="00AD520B"/>
    <w:rsid w:val="00AE1FE8"/>
    <w:rsid w:val="00AE231E"/>
    <w:rsid w:val="00AE3BCC"/>
    <w:rsid w:val="00B03B27"/>
    <w:rsid w:val="00B045A1"/>
    <w:rsid w:val="00B17FBD"/>
    <w:rsid w:val="00B24D4D"/>
    <w:rsid w:val="00B33187"/>
    <w:rsid w:val="00B339E2"/>
    <w:rsid w:val="00B33D35"/>
    <w:rsid w:val="00B3683E"/>
    <w:rsid w:val="00B425C3"/>
    <w:rsid w:val="00B440AD"/>
    <w:rsid w:val="00B44EAE"/>
    <w:rsid w:val="00B4520F"/>
    <w:rsid w:val="00B479BB"/>
    <w:rsid w:val="00B53E7E"/>
    <w:rsid w:val="00B558DB"/>
    <w:rsid w:val="00B55A4E"/>
    <w:rsid w:val="00B6342E"/>
    <w:rsid w:val="00B7113F"/>
    <w:rsid w:val="00B928E7"/>
    <w:rsid w:val="00BA1032"/>
    <w:rsid w:val="00BA1B92"/>
    <w:rsid w:val="00BA2BCF"/>
    <w:rsid w:val="00BA4759"/>
    <w:rsid w:val="00BA5B14"/>
    <w:rsid w:val="00BA6895"/>
    <w:rsid w:val="00BA73B6"/>
    <w:rsid w:val="00BA7DD7"/>
    <w:rsid w:val="00BA7E27"/>
    <w:rsid w:val="00BB2603"/>
    <w:rsid w:val="00BB4FCD"/>
    <w:rsid w:val="00BC04E9"/>
    <w:rsid w:val="00BC2123"/>
    <w:rsid w:val="00BC40D6"/>
    <w:rsid w:val="00BC5BF7"/>
    <w:rsid w:val="00BD089B"/>
    <w:rsid w:val="00BD13EA"/>
    <w:rsid w:val="00BD50FC"/>
    <w:rsid w:val="00BD7107"/>
    <w:rsid w:val="00BE3808"/>
    <w:rsid w:val="00BE79B2"/>
    <w:rsid w:val="00C02239"/>
    <w:rsid w:val="00C03B88"/>
    <w:rsid w:val="00C04F79"/>
    <w:rsid w:val="00C062E9"/>
    <w:rsid w:val="00C07B64"/>
    <w:rsid w:val="00C119C9"/>
    <w:rsid w:val="00C13721"/>
    <w:rsid w:val="00C14FE4"/>
    <w:rsid w:val="00C278FE"/>
    <w:rsid w:val="00C3066D"/>
    <w:rsid w:val="00C3563F"/>
    <w:rsid w:val="00C356F1"/>
    <w:rsid w:val="00C44E09"/>
    <w:rsid w:val="00C52416"/>
    <w:rsid w:val="00C543F4"/>
    <w:rsid w:val="00C54769"/>
    <w:rsid w:val="00C5516B"/>
    <w:rsid w:val="00C578E2"/>
    <w:rsid w:val="00C624D5"/>
    <w:rsid w:val="00C6291C"/>
    <w:rsid w:val="00C633CB"/>
    <w:rsid w:val="00C64669"/>
    <w:rsid w:val="00C653C1"/>
    <w:rsid w:val="00C664CD"/>
    <w:rsid w:val="00C736B7"/>
    <w:rsid w:val="00C7732F"/>
    <w:rsid w:val="00C77BEF"/>
    <w:rsid w:val="00C81D4A"/>
    <w:rsid w:val="00C8263D"/>
    <w:rsid w:val="00C8762C"/>
    <w:rsid w:val="00CA00F9"/>
    <w:rsid w:val="00CA28D6"/>
    <w:rsid w:val="00CA2961"/>
    <w:rsid w:val="00CB4059"/>
    <w:rsid w:val="00CB464F"/>
    <w:rsid w:val="00CB50D7"/>
    <w:rsid w:val="00CB7177"/>
    <w:rsid w:val="00CB7CED"/>
    <w:rsid w:val="00CC070F"/>
    <w:rsid w:val="00CC1998"/>
    <w:rsid w:val="00CC2B15"/>
    <w:rsid w:val="00CC4946"/>
    <w:rsid w:val="00CC63D8"/>
    <w:rsid w:val="00CC64A1"/>
    <w:rsid w:val="00CD0315"/>
    <w:rsid w:val="00CD06E6"/>
    <w:rsid w:val="00CD635F"/>
    <w:rsid w:val="00CD7F05"/>
    <w:rsid w:val="00CE56FE"/>
    <w:rsid w:val="00CF3B11"/>
    <w:rsid w:val="00CF5296"/>
    <w:rsid w:val="00CF7616"/>
    <w:rsid w:val="00D004B9"/>
    <w:rsid w:val="00D05F37"/>
    <w:rsid w:val="00D14CDE"/>
    <w:rsid w:val="00D15F25"/>
    <w:rsid w:val="00D270A4"/>
    <w:rsid w:val="00D27864"/>
    <w:rsid w:val="00D31FE9"/>
    <w:rsid w:val="00D330AF"/>
    <w:rsid w:val="00D34300"/>
    <w:rsid w:val="00D34E1B"/>
    <w:rsid w:val="00D34E9F"/>
    <w:rsid w:val="00D3566D"/>
    <w:rsid w:val="00D376BA"/>
    <w:rsid w:val="00D41525"/>
    <w:rsid w:val="00D434A0"/>
    <w:rsid w:val="00D45634"/>
    <w:rsid w:val="00D538FC"/>
    <w:rsid w:val="00D5568A"/>
    <w:rsid w:val="00D557D5"/>
    <w:rsid w:val="00D56F11"/>
    <w:rsid w:val="00D57A04"/>
    <w:rsid w:val="00D63D73"/>
    <w:rsid w:val="00D64452"/>
    <w:rsid w:val="00D65484"/>
    <w:rsid w:val="00D66E1E"/>
    <w:rsid w:val="00D70065"/>
    <w:rsid w:val="00D70696"/>
    <w:rsid w:val="00D75722"/>
    <w:rsid w:val="00D80CF5"/>
    <w:rsid w:val="00D83D18"/>
    <w:rsid w:val="00D85542"/>
    <w:rsid w:val="00D85775"/>
    <w:rsid w:val="00D90708"/>
    <w:rsid w:val="00D96D59"/>
    <w:rsid w:val="00DA5BBA"/>
    <w:rsid w:val="00DB26D2"/>
    <w:rsid w:val="00DB662F"/>
    <w:rsid w:val="00DB67C9"/>
    <w:rsid w:val="00DB79A1"/>
    <w:rsid w:val="00DC0C95"/>
    <w:rsid w:val="00DC4206"/>
    <w:rsid w:val="00DC4F0B"/>
    <w:rsid w:val="00DC762F"/>
    <w:rsid w:val="00DD1A62"/>
    <w:rsid w:val="00DD64BC"/>
    <w:rsid w:val="00DD6580"/>
    <w:rsid w:val="00DE51F9"/>
    <w:rsid w:val="00DE56DD"/>
    <w:rsid w:val="00DE6CBC"/>
    <w:rsid w:val="00E01D7F"/>
    <w:rsid w:val="00E054CB"/>
    <w:rsid w:val="00E05C03"/>
    <w:rsid w:val="00E1175D"/>
    <w:rsid w:val="00E16AE2"/>
    <w:rsid w:val="00E17C72"/>
    <w:rsid w:val="00E20044"/>
    <w:rsid w:val="00E2144D"/>
    <w:rsid w:val="00E21FC6"/>
    <w:rsid w:val="00E34AA3"/>
    <w:rsid w:val="00E431A9"/>
    <w:rsid w:val="00E44CD0"/>
    <w:rsid w:val="00E50145"/>
    <w:rsid w:val="00E52A5F"/>
    <w:rsid w:val="00E6084B"/>
    <w:rsid w:val="00E634A5"/>
    <w:rsid w:val="00E669E2"/>
    <w:rsid w:val="00E67867"/>
    <w:rsid w:val="00E76135"/>
    <w:rsid w:val="00E77DBB"/>
    <w:rsid w:val="00E82F4F"/>
    <w:rsid w:val="00E864DF"/>
    <w:rsid w:val="00E911FB"/>
    <w:rsid w:val="00E942A5"/>
    <w:rsid w:val="00EA042E"/>
    <w:rsid w:val="00EA0FC1"/>
    <w:rsid w:val="00EA2094"/>
    <w:rsid w:val="00EA7E5D"/>
    <w:rsid w:val="00EB2CC3"/>
    <w:rsid w:val="00EB6F21"/>
    <w:rsid w:val="00EC0DCA"/>
    <w:rsid w:val="00EC2844"/>
    <w:rsid w:val="00EC5500"/>
    <w:rsid w:val="00ED10F6"/>
    <w:rsid w:val="00ED18F8"/>
    <w:rsid w:val="00EE6EDA"/>
    <w:rsid w:val="00EE778E"/>
    <w:rsid w:val="00EF0DA0"/>
    <w:rsid w:val="00EF3343"/>
    <w:rsid w:val="00EF543A"/>
    <w:rsid w:val="00EF6719"/>
    <w:rsid w:val="00EF6C6C"/>
    <w:rsid w:val="00F00803"/>
    <w:rsid w:val="00F03A18"/>
    <w:rsid w:val="00F056FC"/>
    <w:rsid w:val="00F062E7"/>
    <w:rsid w:val="00F0632F"/>
    <w:rsid w:val="00F069AE"/>
    <w:rsid w:val="00F10476"/>
    <w:rsid w:val="00F135D8"/>
    <w:rsid w:val="00F177E5"/>
    <w:rsid w:val="00F21A30"/>
    <w:rsid w:val="00F31299"/>
    <w:rsid w:val="00F31E7D"/>
    <w:rsid w:val="00F3534A"/>
    <w:rsid w:val="00F35BFB"/>
    <w:rsid w:val="00F36ACC"/>
    <w:rsid w:val="00F41E32"/>
    <w:rsid w:val="00F4243C"/>
    <w:rsid w:val="00F444FA"/>
    <w:rsid w:val="00F5041D"/>
    <w:rsid w:val="00F51609"/>
    <w:rsid w:val="00F5423E"/>
    <w:rsid w:val="00F55C25"/>
    <w:rsid w:val="00F65353"/>
    <w:rsid w:val="00F73727"/>
    <w:rsid w:val="00F766A7"/>
    <w:rsid w:val="00F81006"/>
    <w:rsid w:val="00F85325"/>
    <w:rsid w:val="00F86069"/>
    <w:rsid w:val="00F94163"/>
    <w:rsid w:val="00F964FC"/>
    <w:rsid w:val="00F9702A"/>
    <w:rsid w:val="00FA2FF2"/>
    <w:rsid w:val="00FA5EF5"/>
    <w:rsid w:val="00FB6DDA"/>
    <w:rsid w:val="00FB6DE5"/>
    <w:rsid w:val="00FC2F99"/>
    <w:rsid w:val="00FC608D"/>
    <w:rsid w:val="00FC6097"/>
    <w:rsid w:val="00FC6712"/>
    <w:rsid w:val="00FD22B1"/>
    <w:rsid w:val="00FD3172"/>
    <w:rsid w:val="00FD33F1"/>
    <w:rsid w:val="00FD3566"/>
    <w:rsid w:val="00FD51E7"/>
    <w:rsid w:val="00FE0D3A"/>
    <w:rsid w:val="00FE2EEB"/>
    <w:rsid w:val="00FE5397"/>
    <w:rsid w:val="00FF7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15FF689-6C6A-4090-A421-0981FB69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qFormat/>
    <w:rsid w:val="00A17328"/>
    <w:pPr>
      <w:keepNext/>
      <w:spacing w:before="200" w:line="280" w:lineRule="atLeast"/>
    </w:pPr>
    <w:rPr>
      <w:rFonts w:ascii="Arial" w:hAnsi="Arial"/>
      <w:b/>
      <w:sz w:val="22"/>
    </w:rPr>
  </w:style>
  <w:style w:type="paragraph" w:customStyle="1" w:styleId="BoxHeading2">
    <w:name w:val="Box Heading 2"/>
    <w:basedOn w:val="BoxHeading1"/>
    <w:next w:val="Normal"/>
    <w:qFormat/>
    <w:rsid w:val="00A17328"/>
    <w:rPr>
      <w:b w:val="0"/>
      <w:i/>
    </w:rPr>
  </w:style>
  <w:style w:type="paragraph" w:customStyle="1" w:styleId="BoxListBullet">
    <w:name w:val="Box List Bullet"/>
    <w:basedOn w:val="BodyText"/>
    <w:qForma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qForma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qFormat/>
    <w:rsid w:val="009F74EF"/>
    <w:pPr>
      <w:spacing w:before="120"/>
    </w:pPr>
  </w:style>
  <w:style w:type="paragraph" w:customStyle="1" w:styleId="BoxSpaceAbove">
    <w:name w:val="Box Space Above"/>
    <w:basedOn w:val="BodyText"/>
    <w:qForma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qFormat/>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qFormat/>
    <w:rsid w:val="00243997"/>
    <w:rPr>
      <w:rFonts w:ascii="Times New Roman" w:hAnsi="Times New Roman"/>
      <w:position w:val="6"/>
      <w:sz w:val="20"/>
      <w:vertAlign w:val="baseline"/>
    </w:rPr>
  </w:style>
  <w:style w:type="paragraph" w:styleId="FootnoteText">
    <w:name w:val="footnote text"/>
    <w:basedOn w:val="BodyText"/>
    <w:link w:val="FootnoteTextChar"/>
    <w:qForma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Heading2Char">
    <w:name w:val="Heading 2 Char"/>
    <w:basedOn w:val="DefaultParagraphFont"/>
    <w:link w:val="Heading2"/>
    <w:rsid w:val="00E50145"/>
    <w:rPr>
      <w:rFonts w:ascii="Arial" w:hAnsi="Arial"/>
      <w:b/>
      <w:sz w:val="32"/>
    </w:rPr>
  </w:style>
  <w:style w:type="character" w:customStyle="1" w:styleId="Heading3Char">
    <w:name w:val="Heading 3 Char"/>
    <w:basedOn w:val="DefaultParagraphFont"/>
    <w:link w:val="Heading3"/>
    <w:rsid w:val="00E50145"/>
    <w:rPr>
      <w:rFonts w:ascii="Arial" w:hAnsi="Arial"/>
      <w:b/>
      <w:sz w:val="26"/>
    </w:rPr>
  </w:style>
  <w:style w:type="character" w:customStyle="1" w:styleId="FootnoteTextChar">
    <w:name w:val="Footnote Text Char"/>
    <w:basedOn w:val="DefaultParagraphFont"/>
    <w:link w:val="FootnoteText"/>
    <w:rsid w:val="00E50145"/>
  </w:style>
  <w:style w:type="character" w:customStyle="1" w:styleId="QuoteChar">
    <w:name w:val="Quote Char"/>
    <w:basedOn w:val="DefaultParagraphFont"/>
    <w:link w:val="Quote"/>
    <w:rsid w:val="00E50145"/>
    <w:rPr>
      <w:sz w:val="22"/>
    </w:rPr>
  </w:style>
  <w:style w:type="character" w:customStyle="1" w:styleId="Continuedintitle">
    <w:name w:val="Continued (in title)"/>
    <w:basedOn w:val="DefaultParagraphFont"/>
    <w:rsid w:val="00E50145"/>
    <w:rPr>
      <w:rFonts w:ascii="Arial" w:hAnsi="Arial"/>
      <w:b/>
      <w:sz w:val="18"/>
    </w:rPr>
  </w:style>
  <w:style w:type="character" w:styleId="EndnoteReference">
    <w:name w:val="endnote reference"/>
    <w:basedOn w:val="DefaultParagraphFont"/>
    <w:semiHidden/>
    <w:unhideWhenUsed/>
    <w:rsid w:val="00E50145"/>
    <w:rPr>
      <w:vertAlign w:val="superscript"/>
    </w:rPr>
  </w:style>
  <w:style w:type="character" w:customStyle="1" w:styleId="CommentTextChar">
    <w:name w:val="Comment Text Char"/>
    <w:basedOn w:val="DefaultParagraphFont"/>
    <w:uiPriority w:val="99"/>
    <w:semiHidden/>
    <w:rsid w:val="00E50145"/>
    <w:rPr>
      <w:szCs w:val="24"/>
    </w:rPr>
  </w:style>
  <w:style w:type="paragraph" w:customStyle="1" w:styleId="BoxSpaceAboveElement">
    <w:name w:val="Box Space Above Element"/>
    <w:basedOn w:val="BoxSpaceAbove"/>
    <w:link w:val="BoxSpaceAboveElementChar"/>
    <w:qFormat/>
    <w:rsid w:val="00E50145"/>
    <w:pPr>
      <w:spacing w:before="240"/>
    </w:pPr>
    <w:rPr>
      <w:b/>
      <w:vanish/>
      <w:color w:val="FF00FF"/>
      <w:sz w:val="14"/>
    </w:rPr>
  </w:style>
  <w:style w:type="character" w:customStyle="1" w:styleId="BoxSpaceAboveElementChar">
    <w:name w:val="Box Space Above Element Char"/>
    <w:basedOn w:val="DefaultParagraphFont"/>
    <w:link w:val="BoxSpaceAboveElement"/>
    <w:rsid w:val="00E50145"/>
    <w:rPr>
      <w:b/>
      <w:vanish/>
      <w:color w:val="FF00FF"/>
      <w:sz w:val="14"/>
    </w:rPr>
  </w:style>
  <w:style w:type="paragraph" w:styleId="CommentSubject">
    <w:name w:val="annotation subject"/>
    <w:basedOn w:val="CommentText"/>
    <w:next w:val="CommentText"/>
    <w:link w:val="CommentSubjectChar"/>
    <w:semiHidden/>
    <w:unhideWhenUsed/>
    <w:rsid w:val="00E50145"/>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semiHidden/>
    <w:rsid w:val="00E50145"/>
    <w:rPr>
      <w:szCs w:val="24"/>
    </w:rPr>
  </w:style>
  <w:style w:type="character" w:customStyle="1" w:styleId="CommentSubjectChar">
    <w:name w:val="Comment Subject Char"/>
    <w:basedOn w:val="CommentTextChar1"/>
    <w:link w:val="CommentSubject"/>
    <w:semiHidden/>
    <w:rsid w:val="00E50145"/>
    <w:rPr>
      <w:b/>
      <w:bCs/>
      <w:szCs w:val="24"/>
    </w:rPr>
  </w:style>
  <w:style w:type="paragraph" w:styleId="Revision">
    <w:name w:val="Revision"/>
    <w:hidden/>
    <w:uiPriority w:val="99"/>
    <w:semiHidden/>
    <w:rsid w:val="00E50145"/>
    <w:rPr>
      <w:sz w:val="24"/>
      <w:szCs w:val="24"/>
    </w:rPr>
  </w:style>
  <w:style w:type="character" w:styleId="Hyperlink">
    <w:name w:val="Hyperlink"/>
    <w:basedOn w:val="DefaultParagraphFont"/>
    <w:uiPriority w:val="99"/>
    <w:unhideWhenUsed/>
    <w:rsid w:val="00E50145"/>
    <w:rPr>
      <w:color w:val="000000" w:themeColor="hyperlink"/>
      <w:u w:val="single"/>
    </w:rPr>
  </w:style>
  <w:style w:type="character" w:styleId="FollowedHyperlink">
    <w:name w:val="FollowedHyperlink"/>
    <w:basedOn w:val="DefaultParagraphFont"/>
    <w:semiHidden/>
    <w:unhideWhenUsed/>
    <w:rsid w:val="00E50145"/>
    <w:rPr>
      <w:color w:val="BFBFBF" w:themeColor="followedHyperlink"/>
      <w:u w:val="single"/>
    </w:rPr>
  </w:style>
  <w:style w:type="paragraph" w:styleId="NormalWeb">
    <w:name w:val="Normal (Web)"/>
    <w:basedOn w:val="Normal"/>
    <w:semiHidden/>
    <w:unhideWhenUsed/>
    <w:rsid w:val="00E50145"/>
  </w:style>
  <w:style w:type="character" w:customStyle="1" w:styleId="Heading1Char">
    <w:name w:val="Heading 1 Char"/>
    <w:basedOn w:val="DefaultParagraphFont"/>
    <w:link w:val="Heading1"/>
    <w:rsid w:val="00E50145"/>
    <w:rPr>
      <w:sz w:val="52"/>
    </w:rPr>
  </w:style>
  <w:style w:type="character" w:customStyle="1" w:styleId="Heading4Char">
    <w:name w:val="Heading 4 Char"/>
    <w:basedOn w:val="DefaultParagraphFont"/>
    <w:link w:val="Heading4"/>
    <w:rsid w:val="00E50145"/>
    <w:rPr>
      <w:rFonts w:ascii="Arial" w:hAnsi="Arial"/>
      <w:sz w:val="24"/>
    </w:rPr>
  </w:style>
  <w:style w:type="paragraph" w:customStyle="1" w:styleId="Quote1">
    <w:name w:val="Quote1"/>
    <w:basedOn w:val="BodyText"/>
    <w:next w:val="BodyText"/>
    <w:qFormat/>
    <w:rsid w:val="00E50145"/>
    <w:pPr>
      <w:spacing w:before="120" w:after="160" w:line="280" w:lineRule="exact"/>
      <w:ind w:left="340"/>
    </w:pPr>
    <w:rPr>
      <w:sz w:val="22"/>
    </w:rPr>
  </w:style>
  <w:style w:type="paragraph" w:styleId="Bibliography">
    <w:name w:val="Bibliography"/>
    <w:basedOn w:val="Normal"/>
    <w:next w:val="Normal"/>
    <w:uiPriority w:val="37"/>
    <w:unhideWhenUsed/>
    <w:rsid w:val="00E50145"/>
    <w:pPr>
      <w:spacing w:after="240"/>
      <w:ind w:left="720" w:hanging="720"/>
    </w:pPr>
    <w:rPr>
      <w:sz w:val="26"/>
    </w:rPr>
  </w:style>
  <w:style w:type="paragraph" w:styleId="ListParagraph">
    <w:name w:val="List Paragraph"/>
    <w:basedOn w:val="Normal"/>
    <w:uiPriority w:val="34"/>
    <w:qFormat/>
    <w:rsid w:val="00E50145"/>
    <w:pPr>
      <w:ind w:left="720"/>
    </w:pPr>
    <w:rPr>
      <w:rFonts w:ascii="Calibri" w:eastAsiaTheme="minorHAnsi" w:hAnsi="Calibri"/>
      <w:sz w:val="22"/>
      <w:szCs w:val="22"/>
      <w:lang w:eastAsia="en-US"/>
    </w:rPr>
  </w:style>
  <w:style w:type="paragraph" w:customStyle="1" w:styleId="Chaptertitle">
    <w:name w:val="Chapter title"/>
    <w:basedOn w:val="BodyText"/>
    <w:rsid w:val="00E50145"/>
    <w:pPr>
      <w:ind w:left="907" w:hanging="907"/>
    </w:pPr>
  </w:style>
  <w:style w:type="paragraph" w:customStyle="1" w:styleId="Default">
    <w:name w:val="Default"/>
    <w:rsid w:val="00E50145"/>
    <w:pPr>
      <w:autoSpaceDE w:val="0"/>
      <w:autoSpaceDN w:val="0"/>
      <w:adjustRightInd w:val="0"/>
    </w:pPr>
    <w:rPr>
      <w:color w:val="000000"/>
      <w:sz w:val="24"/>
      <w:szCs w:val="24"/>
    </w:rPr>
  </w:style>
  <w:style w:type="paragraph" w:customStyle="1" w:styleId="Heading2NotTOC">
    <w:name w:val="Heading 2 Not TOC"/>
    <w:basedOn w:val="Heading2"/>
    <w:next w:val="BodyText"/>
    <w:rsid w:val="001126DC"/>
  </w:style>
  <w:style w:type="paragraph" w:customStyle="1" w:styleId="Heading1NotTOC">
    <w:name w:val="Heading 1 Not TOC"/>
    <w:basedOn w:val="Heading1"/>
    <w:next w:val="BodyText"/>
    <w:rsid w:val="001126DC"/>
    <w:rPr>
      <w:kern w:val="28"/>
      <w:szCs w:val="26"/>
      <w:lang w:eastAsia="en-US"/>
    </w:rPr>
  </w:style>
  <w:style w:type="paragraph" w:customStyle="1" w:styleId="PCAddress">
    <w:name w:val="PC Address"/>
    <w:basedOn w:val="Normal"/>
    <w:rsid w:val="001126DC"/>
    <w:pPr>
      <w:tabs>
        <w:tab w:val="left" w:pos="866"/>
      </w:tabs>
      <w:spacing w:after="60"/>
    </w:pPr>
    <w:rPr>
      <w:sz w:val="16"/>
      <w:szCs w:val="20"/>
    </w:rPr>
  </w:style>
  <w:style w:type="paragraph" w:styleId="Salutation">
    <w:name w:val="Salutation"/>
    <w:basedOn w:val="Normal"/>
    <w:next w:val="Normal"/>
    <w:link w:val="SalutationChar"/>
    <w:autoRedefine/>
    <w:rsid w:val="001126DC"/>
    <w:rPr>
      <w:noProof/>
      <w:szCs w:val="20"/>
    </w:rPr>
  </w:style>
  <w:style w:type="character" w:customStyle="1" w:styleId="SalutationChar">
    <w:name w:val="Salutation Char"/>
    <w:basedOn w:val="DefaultParagraphFont"/>
    <w:link w:val="Salutation"/>
    <w:rsid w:val="001126DC"/>
    <w:rPr>
      <w:noProof/>
      <w:sz w:val="24"/>
    </w:rPr>
  </w:style>
  <w:style w:type="paragraph" w:customStyle="1" w:styleId="Signoff">
    <w:name w:val="Signoff"/>
    <w:basedOn w:val="Normal"/>
    <w:autoRedefine/>
    <w:rsid w:val="001126DC"/>
    <w:pPr>
      <w:spacing w:before="480" w:after="1000"/>
    </w:pPr>
    <w:rPr>
      <w:szCs w:val="20"/>
    </w:rPr>
  </w:style>
  <w:style w:type="paragraph" w:customStyle="1" w:styleId="LetterDate">
    <w:name w:val="Letter Date"/>
    <w:basedOn w:val="BodyText"/>
    <w:rsid w:val="001126DC"/>
    <w:pPr>
      <w:spacing w:before="0" w:after="240" w:line="240" w:lineRule="auto"/>
      <w:ind w:left="-108"/>
      <w:jc w:val="left"/>
    </w:pPr>
  </w:style>
  <w:style w:type="paragraph" w:customStyle="1" w:styleId="LetterAddress">
    <w:name w:val="Letter Address"/>
    <w:basedOn w:val="BodyText"/>
    <w:rsid w:val="001126DC"/>
    <w:pPr>
      <w:spacing w:before="0" w:line="240" w:lineRule="auto"/>
      <w:jc w:val="left"/>
    </w:pPr>
  </w:style>
  <w:style w:type="paragraph" w:customStyle="1" w:styleId="Copyrightheading">
    <w:name w:val="Copyright heading"/>
    <w:basedOn w:val="TOC1"/>
    <w:link w:val="CopyrightheadingChar"/>
    <w:qFormat/>
    <w:rsid w:val="001126DC"/>
    <w:pPr>
      <w:spacing w:line="300" w:lineRule="exact"/>
    </w:pPr>
    <w:rPr>
      <w:sz w:val="22"/>
    </w:rPr>
  </w:style>
  <w:style w:type="character" w:customStyle="1" w:styleId="CopyrightheadingChar">
    <w:name w:val="Copyright heading Char"/>
    <w:basedOn w:val="TOC1Char"/>
    <w:link w:val="Copyrightheading"/>
    <w:rsid w:val="001126DC"/>
    <w:rPr>
      <w:rFonts w:ascii="Arial" w:hAnsi="Arial"/>
      <w:b/>
      <w:sz w:val="22"/>
      <w:szCs w:val="26"/>
      <w:lang w:eastAsia="en-US"/>
    </w:rPr>
  </w:style>
  <w:style w:type="paragraph" w:customStyle="1" w:styleId="Copyrightsubtitle">
    <w:name w:val="Copyright subtitle"/>
    <w:basedOn w:val="BodyText"/>
    <w:rsid w:val="001126DC"/>
    <w:rPr>
      <w:rFonts w:ascii="Arial" w:hAnsi="Arial"/>
      <w:b/>
      <w:sz w:val="22"/>
      <w:szCs w:val="25"/>
    </w:rPr>
  </w:style>
  <w:style w:type="paragraph" w:customStyle="1" w:styleId="Copyrightbodytext">
    <w:name w:val="Copyright bodytext"/>
    <w:basedOn w:val="BodyText"/>
    <w:link w:val="CopyrightbodytextChar"/>
    <w:qFormat/>
    <w:rsid w:val="001126DC"/>
    <w:pPr>
      <w:spacing w:before="60"/>
    </w:pPr>
  </w:style>
  <w:style w:type="character" w:customStyle="1" w:styleId="CopyrightbodytextChar">
    <w:name w:val="Copyright bodytext Char"/>
    <w:basedOn w:val="BodyTextChar"/>
    <w:link w:val="Copyrightbodytext"/>
    <w:rsid w:val="001126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p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mc.gov.au/government/commonwealth-coat-arms" TargetMode="External"/><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pc.gov.au"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ports" ma:contentTypeID="0x0101007916246811615643A710C6FEAFF56A87110400830356D1A4D22943920E61BE3F00C4E1" ma:contentTypeVersion="0" ma:contentTypeDescription="" ma:contentTypeScope="" ma:versionID="b8e45c358c81f4a445cc1dadd572ee90">
  <xsd:schema xmlns:xsd="http://www.w3.org/2001/XMLSchema" xmlns:xs="http://www.w3.org/2001/XMLSchema" xmlns:p="http://schemas.microsoft.com/office/2006/metadata/properties" xmlns:ns1="http://schemas.microsoft.com/sharepoint/v3" xmlns:ns2="3f4bcce7-ac1a-4c9d-aa3e-7e77695652db" xmlns:ns4="CE1E26FF-CC09-435B-9D58-C401F34502C4" targetNamespace="http://schemas.microsoft.com/office/2006/metadata/properties" ma:root="true" ma:fieldsID="c8cfd71b9bc053ca1692c6f3002a071e" ns1:_="" ns2:_="" ns4:_="">
    <xsd:import namespace="http://schemas.microsoft.com/sharepoint/v3"/>
    <xsd:import namespace="3f4bcce7-ac1a-4c9d-aa3e-7e77695652db"/>
    <xsd:import namespace="CE1E26FF-CC09-435B-9D58-C401F34502C4"/>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element ref="ns4:h5f9b65cd6ce4f8686de7baeff8c5c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1E26FF-CC09-435B-9D58-C401F34502C4" elementFormDefault="qualified">
    <xsd:import namespace="http://schemas.microsoft.com/office/2006/documentManagement/types"/>
    <xsd:import namespace="http://schemas.microsoft.com/office/infopath/2007/PartnerControls"/>
    <xsd:element name="h5f9b65cd6ce4f8686de7baeff8c5cd7" ma:index="21" nillable="true" ma:taxonomy="true" ma:internalName="h5f9b65cd6ce4f8686de7baeff8c5cd7" ma:taxonomyFieldName="Enterprise_x0020_Keywords" ma:displayName="Enterprise Keywords" ma:default="" ma:fieldId="{15f9b65c-d6ce-4f86-86de-7baeff8c5cd7}" ma:sspId="70da5c63-8548-4ac8-9616-83b0f373280e" ma:termSetId="e99b77ca-c000-4e3f-a77f-a64077d5e2f2" ma:anchorId="609e2780-d171-4fcc-ba6e-ba515af27ffb"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4" PreviousValue="false"/>
</file>

<file path=customXml/item3.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h5f9b65cd6ce4f8686de7baeff8c5cd7 xmlns="CE1E26FF-CC09-435B-9D58-C401F34502C4">
      <Terms xmlns="http://schemas.microsoft.com/office/infopath/2007/PartnerControls"/>
    </h5f9b65cd6ce4f8686de7baeff8c5cd7>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 - Published</TermName>
          <TermId xmlns="http://schemas.microsoft.com/office/infopath/2007/PartnerControls">a1d04cd7-50ed-4857-88c9-ef88580b169b</TermId>
        </TermInfo>
      </Terms>
    </p7a0baa8c88445a78b6f55906390ba17>
    <TaxCatchAll xmlns="3f4bcce7-ac1a-4c9d-aa3e-7e77695652db">
      <Value>2958</Value>
    </TaxCatchAll>
    <_dlc_DocId xmlns="3f4bcce7-ac1a-4c9d-aa3e-7e77695652db">PCDOC-2019998467-61</_dlc_DocId>
    <_dlc_DocIdUrl xmlns="3f4bcce7-ac1a-4c9d-aa3e-7e77695652db">
      <Url>http://inet.pc.gov.au/pmo/inq/gstlowvalue/_layouts/15/DocIdRedir.aspx?ID=PCDOC-2019998467-61</Url>
      <Description>PCDOC-2019998467-61</Description>
    </_dlc_DocIdUr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9F9C-EC3E-42C6-9DBE-5D7872C9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CE1E26FF-CC09-435B-9D58-C401F3450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6FE02-AE9D-4960-A2AA-0F25FC7692A4}">
  <ds:schemaRefs>
    <ds:schemaRef ds:uri="Microsoft.SharePoint.Taxonomy.ContentTypeSync"/>
  </ds:schemaRefs>
</ds:datastoreItem>
</file>

<file path=customXml/itemProps3.xml><?xml version="1.0" encoding="utf-8"?>
<ds:datastoreItem xmlns:ds="http://schemas.openxmlformats.org/officeDocument/2006/customXml" ds:itemID="{EA3E8A13-81B4-423A-ABCB-D763731A429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E1E26FF-CC09-435B-9D58-C401F34502C4"/>
    <ds:schemaRef ds:uri="http://purl.org/dc/term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A469DD3A-7E54-48DF-8F1F-49CAB7E731AC}">
  <ds:schemaRefs>
    <ds:schemaRef ds:uri="http://schemas.microsoft.com/office/2006/metadata/customXsn"/>
  </ds:schemaRefs>
</ds:datastoreItem>
</file>

<file path=customXml/itemProps5.xml><?xml version="1.0" encoding="utf-8"?>
<ds:datastoreItem xmlns:ds="http://schemas.openxmlformats.org/officeDocument/2006/customXml" ds:itemID="{BF723D6E-857D-4479-BF4A-814845695853}">
  <ds:schemaRefs>
    <ds:schemaRef ds:uri="http://schemas.microsoft.com/sharepoint/v3/contenttype/forms"/>
  </ds:schemaRefs>
</ds:datastoreItem>
</file>

<file path=customXml/itemProps6.xml><?xml version="1.0" encoding="utf-8"?>
<ds:datastoreItem xmlns:ds="http://schemas.openxmlformats.org/officeDocument/2006/customXml" ds:itemID="{995E0212-1579-4E3E-8345-FA442C7D4839}">
  <ds:schemaRefs>
    <ds:schemaRef ds:uri="http://schemas.microsoft.com/sharepoint/events"/>
  </ds:schemaRefs>
</ds:datastoreItem>
</file>

<file path=customXml/itemProps7.xml><?xml version="1.0" encoding="utf-8"?>
<ds:datastoreItem xmlns:ds="http://schemas.openxmlformats.org/officeDocument/2006/customXml" ds:itemID="{F5F51C9D-AAFB-4EEC-B65A-0E3E6236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4852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Overview - Inquiry report - Collection Models for GST on Low Value Imported Goods</vt:lpstr>
    </vt:vector>
  </TitlesOfParts>
  <Company>Productivity Commission</Company>
  <LinksUpToDate>false</LinksUpToDate>
  <CharactersWithSpaces>32903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Inquiry report - Collection Models for GST on Low Value Imported Goods</dc:title>
  <dc:subject/>
  <dc:creator>Productivity Commission</dc:creator>
  <cp:keywords/>
  <dc:description/>
  <cp:lastModifiedBy>Productivity Commission</cp:lastModifiedBy>
  <cp:revision>8</cp:revision>
  <dcterms:created xsi:type="dcterms:W3CDTF">2017-11-05T23:22:00Z</dcterms:created>
  <dcterms:modified xsi:type="dcterms:W3CDTF">2017-11-06T04:49:00Z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0x0101007916246811615643A710C6FEAFF56A87110400830356D1A4D22943920E61BE3F00C4E1</vt:lpwstr>
  </property>
  <property fmtid="{D5CDD505-2E9C-101B-9397-08002B2CF9AE}" pid="3" name="_dlc_DocIdItemGuid">
    <vt:lpwstr>2b61b035-8c9b-4f4f-9de7-a8285430a8d3</vt:lpwstr>
  </property>
  <property fmtid="{D5CDD505-2E9C-101B-9397-08002B2CF9AE}" pid="4" name="Record Tag">
    <vt:lpwstr>2958;#Final Report - Published|a1d04cd7-50ed-4857-88c9-ef88580b169b</vt:lpwstr>
  </property>
  <property fmtid="{D5CDD505-2E9C-101B-9397-08002B2CF9AE}" pid="5" name="TaxKeyword">
    <vt:lpwstr/>
  </property>
  <property fmtid="{D5CDD505-2E9C-101B-9397-08002B2CF9AE}" pid="6" name="Enterprise Keywords">
    <vt:lpwstr/>
  </property>
</Properties>
</file>