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FD5" w:rsidRPr="00B53FD5" w:rsidRDefault="00431961" w:rsidP="00B53FD5">
      <w:pPr>
        <w:pStyle w:val="Heading1"/>
        <w:rPr>
          <w:color w:val="FFFFFF" w:themeColor="background1"/>
          <w:sz w:val="12"/>
          <w:szCs w:val="12"/>
        </w:rPr>
      </w:pPr>
      <w:r>
        <w:rPr>
          <w:b/>
          <w:noProof/>
          <w:szCs w:val="26"/>
        </w:rPr>
        <w:drawing>
          <wp:anchor distT="0" distB="0" distL="114300" distR="114300" simplePos="0" relativeHeight="251658240" behindDoc="0" locked="0" layoutInCell="1" allowOverlap="1" wp14:anchorId="01532927" wp14:editId="6E5E6806">
            <wp:simplePos x="826851" y="982494"/>
            <wp:positionH relativeFrom="page">
              <wp:align>center</wp:align>
            </wp:positionH>
            <wp:positionV relativeFrom="page">
              <wp:align>center</wp:align>
            </wp:positionV>
            <wp:extent cx="7595870" cy="10744200"/>
            <wp:effectExtent l="0" t="0" r="5080" b="0"/>
            <wp:wrapNone/>
            <wp:docPr id="1" name="Picture 1" descr="Cover for: Consumer Law Enforcement and Administration, Productivity Commission Draft Report, December 2016. This draft report has been prepared for further public consul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consumer-law-d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6000" cy="10744665"/>
                    </a:xfrm>
                    <a:prstGeom prst="rect">
                      <a:avLst/>
                    </a:prstGeom>
                  </pic:spPr>
                </pic:pic>
              </a:graphicData>
            </a:graphic>
            <wp14:sizeRelH relativeFrom="margin">
              <wp14:pctWidth>0</wp14:pctWidth>
            </wp14:sizeRelH>
            <wp14:sizeRelV relativeFrom="margin">
              <wp14:pctHeight>0</wp14:pctHeight>
            </wp14:sizeRelV>
          </wp:anchor>
        </w:drawing>
      </w:r>
      <w:r w:rsidR="00B53FD5" w:rsidRPr="00B53FD5">
        <w:rPr>
          <w:color w:val="FFFFFF" w:themeColor="background1"/>
          <w:sz w:val="12"/>
          <w:szCs w:val="12"/>
        </w:rPr>
        <w:t>Consumer Law Enforcement and Administration</w:t>
      </w:r>
    </w:p>
    <w:p w:rsidR="00B53FD5" w:rsidRPr="00B53FD5" w:rsidRDefault="00B53FD5" w:rsidP="00CD5E6B">
      <w:pPr>
        <w:pStyle w:val="BodyText"/>
        <w:rPr>
          <w:color w:val="FFFFFF" w:themeColor="background1"/>
          <w:sz w:val="12"/>
          <w:szCs w:val="12"/>
        </w:rPr>
      </w:pPr>
      <w:r w:rsidRPr="00B53FD5">
        <w:rPr>
          <w:color w:val="FFFFFF" w:themeColor="background1"/>
          <w:sz w:val="12"/>
          <w:szCs w:val="12"/>
        </w:rPr>
        <w:t>Productivity Commission Draft Report</w:t>
      </w:r>
      <w:r w:rsidR="00431961">
        <w:rPr>
          <w:color w:val="FFFFFF" w:themeColor="background1"/>
          <w:sz w:val="12"/>
          <w:szCs w:val="12"/>
        </w:rPr>
        <w:t xml:space="preserve"> Overview</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rsidR="008A3857" w:rsidRDefault="008A3857" w:rsidP="008E242D">
      <w:pPr>
        <w:pStyle w:val="BodyText"/>
        <w:spacing w:after="120"/>
      </w:pPr>
      <w:bookmarkStart w:id="0" w:name="ISSN"/>
      <w:bookmarkEnd w:id="0"/>
      <w:r w:rsidRPr="00862D8F">
        <w:rPr>
          <w:noProof/>
          <w:sz w:val="22"/>
          <w:szCs w:val="22"/>
        </w:rPr>
        <w:drawing>
          <wp:inline distT="0" distB="0" distL="0" distR="0" wp14:anchorId="04C05683" wp14:editId="04C0568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E75900">
        <w:rPr>
          <w:i/>
        </w:rPr>
        <w:t>Consumer Law Enforcement and Administration, Draft Report.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8E242D" w:rsidRPr="008E242D">
        <w:rPr>
          <w:i/>
        </w:rPr>
        <w:t xml:space="preserve">, </w:t>
      </w:r>
      <w:r w:rsidR="00E75900">
        <w:rPr>
          <w:i/>
        </w:rPr>
        <w:t>Consumer Law Enforcement and Administration, Draft Report.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E75900" w:rsidRDefault="00E75900" w:rsidP="008A08C9">
      <w:pPr>
        <w:pStyle w:val="Copyrightbodytext"/>
      </w:pPr>
      <w:bookmarkStart w:id="1" w:name="JEL"/>
      <w:bookmarkEnd w:id="1"/>
      <w:r w:rsidRPr="00E75900">
        <w:t>Productivity Commission</w:t>
      </w:r>
      <w:r w:rsidR="00B53FD5">
        <w:t xml:space="preserve"> 2016</w:t>
      </w:r>
      <w:r w:rsidRPr="00E75900">
        <w:t xml:space="preserve">, </w:t>
      </w:r>
      <w:r w:rsidRPr="00E75900">
        <w:rPr>
          <w:i/>
        </w:rPr>
        <w:t>Consumer Law Enforcement and Administration</w:t>
      </w:r>
      <w:r w:rsidR="002C33CF" w:rsidRPr="002C33CF">
        <w:t>,</w:t>
      </w:r>
      <w:r w:rsidR="002C33CF">
        <w:rPr>
          <w:i/>
        </w:rPr>
        <w:t xml:space="preserve"> </w:t>
      </w:r>
      <w:r w:rsidRPr="00E75900">
        <w:t>Draft</w:t>
      </w:r>
      <w:r w:rsidR="002C33CF">
        <w:t xml:space="preserve"> </w:t>
      </w:r>
      <w:r w:rsidRPr="00E75900">
        <w:t>Report, Canberra, December</w:t>
      </w:r>
      <w:r>
        <w:t>.</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w:t>
      </w:r>
      <w:r w:rsidR="005722CE">
        <w:rPr>
          <w:szCs w:val="24"/>
        </w:rPr>
        <w:t> </w:t>
      </w:r>
      <w:r w:rsidR="00EC38C1" w:rsidRPr="00BB5DCF">
        <w:rPr>
          <w:szCs w:val="24"/>
        </w:rPr>
        <w:t xml:space="preserve">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8A08C9">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8A08C9">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8A08C9">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050D42">
              <w:fldChar w:fldCharType="begin"/>
            </w:r>
            <w:r w:rsidR="00050D42">
              <w:instrText xml:space="preserve"> HYPERLINK "http://www.pc.gov.au/" </w:instrText>
            </w:r>
            <w:r w:rsidR="00050D42">
              <w:fldChar w:fldCharType="separate"/>
            </w:r>
            <w:r w:rsidRPr="00805FD7">
              <w:t>www.pc.gov.au</w:t>
            </w:r>
            <w:proofErr w:type="spellEnd"/>
            <w:r w:rsidR="00050D42">
              <w:fldChar w:fldCharType="end"/>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8A08C9">
            <w:pPr>
              <w:pStyle w:val="Box"/>
              <w:spacing w:before="0" w:line="120" w:lineRule="exact"/>
            </w:pPr>
          </w:p>
        </w:tc>
      </w:tr>
    </w:tbl>
    <w:p w:rsidR="00735FEA" w:rsidRDefault="00735FEA">
      <w:pPr>
        <w:pStyle w:val="BodyText"/>
        <w:sectPr w:rsidR="00735FEA" w:rsidSect="00122FE9">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1304" w:right="1304" w:bottom="567" w:left="1814" w:header="1701" w:footer="397" w:gutter="0"/>
          <w:pgNumType w:fmt="lowerRoman" w:start="1"/>
          <w:cols w:space="720"/>
          <w:titlePg/>
        </w:sectPr>
      </w:pPr>
      <w:bookmarkStart w:id="2" w:name="cov"/>
      <w:bookmarkEnd w:id="2"/>
    </w:p>
    <w:p w:rsidR="00050D42" w:rsidRDefault="00735FEA" w:rsidP="00C663E4">
      <w:pPr>
        <w:pStyle w:val="Heading1NotTOC"/>
        <w:rPr>
          <w:noProof/>
        </w:rPr>
      </w:pPr>
      <w:bookmarkStart w:id="3" w:name="Contents"/>
      <w:bookmarkEnd w:id="3"/>
      <w:r w:rsidRPr="00B153C3">
        <w:lastRenderedPageBreak/>
        <w:t>Contents</w:t>
      </w:r>
      <w:bookmarkStart w:id="4" w:name="InsertContents"/>
      <w:bookmarkEnd w:id="4"/>
    </w:p>
    <w:p w:rsidR="00050D42" w:rsidRPr="00360A6E" w:rsidRDefault="00050D42">
      <w:pPr>
        <w:pStyle w:val="TOC1"/>
        <w:rPr>
          <w:rFonts w:asciiTheme="minorHAnsi" w:eastAsiaTheme="minorEastAsia" w:hAnsiTheme="minorHAnsi" w:cstheme="minorBidi"/>
          <w:noProof/>
          <w:lang w:eastAsia="en-AU"/>
        </w:rPr>
      </w:pPr>
      <w:r w:rsidRPr="00360A6E">
        <w:rPr>
          <w:noProof/>
        </w:rPr>
        <w:t>Opportunity for further comment</w:t>
      </w:r>
      <w:r w:rsidRPr="00360A6E">
        <w:rPr>
          <w:noProof/>
        </w:rPr>
        <w:tab/>
      </w:r>
      <w:r w:rsidR="00B53FD5" w:rsidRPr="00360A6E">
        <w:rPr>
          <w:noProof/>
        </w:rPr>
        <w:t>i</w:t>
      </w:r>
      <w:r w:rsidR="00012481">
        <w:rPr>
          <w:noProof/>
        </w:rPr>
        <w:t>v</w:t>
      </w:r>
    </w:p>
    <w:p w:rsidR="0085437A" w:rsidRDefault="0085437A" w:rsidP="0085437A">
      <w:pPr>
        <w:pStyle w:val="TOC1"/>
        <w:rPr>
          <w:b w:val="0"/>
          <w:noProof/>
          <w:sz w:val="24"/>
          <w:szCs w:val="24"/>
        </w:rPr>
      </w:pPr>
      <w:r>
        <w:rPr>
          <w:noProof/>
        </w:rPr>
        <w:t>Overview</w:t>
      </w:r>
      <w:r>
        <w:rPr>
          <w:noProof/>
        </w:rPr>
        <w:tab/>
        <w:t>1</w:t>
      </w:r>
    </w:p>
    <w:p w:rsidR="00050D42" w:rsidRPr="0085437A" w:rsidRDefault="004C36A1" w:rsidP="0085437A">
      <w:pPr>
        <w:pStyle w:val="TOC2"/>
        <w:rPr>
          <w:noProof/>
        </w:rPr>
      </w:pPr>
      <w:r w:rsidRPr="0085437A">
        <w:rPr>
          <w:noProof/>
        </w:rPr>
        <w:t>Key points</w:t>
      </w:r>
      <w:r w:rsidR="00050D42" w:rsidRPr="0085437A">
        <w:rPr>
          <w:noProof/>
        </w:rPr>
        <w:tab/>
      </w:r>
      <w:r w:rsidRPr="0085437A">
        <w:rPr>
          <w:noProof/>
        </w:rPr>
        <w:t>2</w:t>
      </w:r>
    </w:p>
    <w:p w:rsidR="0085437A" w:rsidRDefault="0085437A" w:rsidP="0085437A">
      <w:pPr>
        <w:pStyle w:val="TOC2"/>
      </w:pPr>
      <w:r>
        <w:rPr>
          <w:noProof/>
        </w:rPr>
        <w:t>The</w:t>
      </w:r>
      <w:r>
        <w:t xml:space="preserve"> study’s scope</w:t>
      </w:r>
      <w:r>
        <w:tab/>
        <w:t>3</w:t>
      </w:r>
    </w:p>
    <w:p w:rsidR="0085437A" w:rsidRDefault="0085437A" w:rsidP="0085437A">
      <w:pPr>
        <w:pStyle w:val="TOC2"/>
      </w:pPr>
      <w:r>
        <w:t>The Commission’s approach</w:t>
      </w:r>
      <w:r>
        <w:tab/>
        <w:t>5</w:t>
      </w:r>
    </w:p>
    <w:p w:rsidR="0085437A" w:rsidRDefault="0085437A" w:rsidP="0085437A">
      <w:pPr>
        <w:pStyle w:val="TOC2"/>
      </w:pPr>
      <w:r>
        <w:t>The effectiveness of the multiple</w:t>
      </w:r>
      <w:r>
        <w:noBreakHyphen/>
        <w:t>regulator model</w:t>
      </w:r>
      <w:r>
        <w:tab/>
        <w:t>5</w:t>
      </w:r>
    </w:p>
    <w:p w:rsidR="0085437A" w:rsidRDefault="0085437A" w:rsidP="0085437A">
      <w:pPr>
        <w:pStyle w:val="TOC2"/>
      </w:pPr>
      <w:r>
        <w:t>The interface between the ACL regulators and the specialist consumer safety regimes</w:t>
      </w:r>
      <w:r>
        <w:tab/>
        <w:t>8</w:t>
      </w:r>
    </w:p>
    <w:p w:rsidR="0085437A" w:rsidRPr="0085437A" w:rsidRDefault="0085437A" w:rsidP="0085437A">
      <w:pPr>
        <w:pStyle w:val="TOC2"/>
      </w:pPr>
      <w:r w:rsidRPr="009E0F93">
        <w:t xml:space="preserve">Steps to strengthen administration and enforcement </w:t>
      </w:r>
      <w:r w:rsidRPr="009E0F93">
        <w:br/>
      </w:r>
      <w:r w:rsidRPr="00766970">
        <w:t>and the national consumer policy framework</w:t>
      </w:r>
      <w:r>
        <w:tab/>
        <w:t>9</w:t>
      </w:r>
    </w:p>
    <w:p w:rsidR="00050D42" w:rsidRPr="00125961" w:rsidRDefault="00050D42">
      <w:pPr>
        <w:pStyle w:val="TOC1"/>
        <w:rPr>
          <w:b w:val="0"/>
          <w:noProof/>
          <w:sz w:val="24"/>
          <w:szCs w:val="24"/>
        </w:rPr>
      </w:pPr>
      <w:r>
        <w:rPr>
          <w:noProof/>
        </w:rPr>
        <w:t>Recommendations, findings and information requests</w:t>
      </w:r>
      <w:r>
        <w:rPr>
          <w:noProof/>
        </w:rPr>
        <w:tab/>
      </w:r>
      <w:r w:rsidRPr="00125961">
        <w:rPr>
          <w:b w:val="0"/>
          <w:noProof/>
          <w:sz w:val="24"/>
          <w:szCs w:val="24"/>
        </w:rPr>
        <w:t>17</w:t>
      </w:r>
    </w:p>
    <w:p w:rsidR="002E01BA" w:rsidRDefault="0085437A" w:rsidP="0085437A">
      <w:pPr>
        <w:pStyle w:val="TOC1"/>
        <w:spacing w:before="480"/>
        <w:rPr>
          <w:noProof/>
        </w:rPr>
      </w:pPr>
      <w:r>
        <w:rPr>
          <w:noProof/>
        </w:rPr>
        <w:t xml:space="preserve">The full report is available from </w:t>
      </w:r>
      <w:hyperlink r:id="rId21" w:history="1">
        <w:r w:rsidRPr="0085437A">
          <w:rPr>
            <w:rStyle w:val="Hyperlink"/>
            <w:rFonts w:ascii="Arial" w:hAnsi="Arial"/>
            <w:noProof/>
          </w:rPr>
          <w:t>www.pc.gov.au</w:t>
        </w:r>
      </w:hyperlink>
      <w:bookmarkStart w:id="5" w:name="Abbreviations"/>
      <w:bookmarkStart w:id="6" w:name="RDnote"/>
      <w:bookmarkEnd w:id="5"/>
      <w:bookmarkEnd w:id="6"/>
    </w:p>
    <w:p w:rsidR="00012481" w:rsidRDefault="00012481" w:rsidP="00012481">
      <w:pPr>
        <w:pStyle w:val="TOC2"/>
        <w:sectPr w:rsidR="00012481" w:rsidSect="00585B3F">
          <w:headerReference w:type="even" r:id="rId22"/>
          <w:headerReference w:type="default" r:id="rId23"/>
          <w:footerReference w:type="even" r:id="rId24"/>
          <w:footerReference w:type="default" r:id="rId25"/>
          <w:pgSz w:w="11907" w:h="16840" w:code="9"/>
          <w:pgMar w:top="1332" w:right="1304" w:bottom="1247" w:left="1814" w:header="1701" w:footer="397" w:gutter="0"/>
          <w:pgNumType w:fmt="lowerRoman"/>
          <w:cols w:space="720"/>
        </w:sectPr>
      </w:pPr>
    </w:p>
    <w:p w:rsidR="00012481" w:rsidRDefault="00012481" w:rsidP="00012481">
      <w:pPr>
        <w:pStyle w:val="Heading1"/>
      </w:pPr>
      <w:bookmarkStart w:id="8" w:name="_Toc468255798"/>
      <w:r>
        <w:t>Opportunity for further comment</w:t>
      </w:r>
      <w:bookmarkEnd w:id="8"/>
    </w:p>
    <w:p w:rsidR="00012481" w:rsidRDefault="00012481" w:rsidP="00012481">
      <w:pPr>
        <w:pStyle w:val="BodyText"/>
      </w:pPr>
      <w:r>
        <w:t>You are invited to examine this draft and comment on it by written submission to the Productivity Commission, preferably in electronic format, by Monday 23 January</w:t>
      </w:r>
      <w:r w:rsidRPr="00640D86">
        <w:t xml:space="preserve"> 2017</w:t>
      </w:r>
      <w:r>
        <w:t>.</w:t>
      </w:r>
    </w:p>
    <w:p w:rsidR="00012481" w:rsidRPr="00B53FD5" w:rsidRDefault="00012481" w:rsidP="00012481">
      <w:pPr>
        <w:pStyle w:val="BodyText"/>
      </w:pPr>
      <w:r>
        <w:t xml:space="preserve">Further information on how to provide a submission is included on the study website: </w:t>
      </w:r>
      <w:hyperlink r:id="rId26" w:anchor="lodge" w:history="1">
        <w:r w:rsidRPr="00B53FD5">
          <w:rPr>
            <w:rStyle w:val="Hyperlink"/>
            <w:u w:val="none"/>
          </w:rPr>
          <w:t>http://www.pc.gov.au/inquiries/current/consumer-law/make-submission#lodge</w:t>
        </w:r>
      </w:hyperlink>
      <w:r w:rsidRPr="00B53FD5">
        <w:t>.</w:t>
      </w:r>
    </w:p>
    <w:p w:rsidR="00012481" w:rsidRDefault="00012481" w:rsidP="00012481">
      <w:pPr>
        <w:pStyle w:val="BodyText"/>
      </w:pPr>
      <w:r>
        <w:t>The Commission will prepare the final report after further submissions have been received and, as required, it has held further discussions with stakeholders. The Commission will forward the final report to the Commonwealth Government in March 2017.</w:t>
      </w:r>
    </w:p>
    <w:sectPr w:rsidR="00012481" w:rsidSect="00585B3F">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BB7" w:rsidRDefault="007A2BB7">
      <w:r>
        <w:separator/>
      </w:r>
    </w:p>
    <w:p w:rsidR="007A2BB7" w:rsidRDefault="007A2BB7"/>
    <w:p w:rsidR="007A2BB7" w:rsidRDefault="007A2BB7"/>
  </w:endnote>
  <w:endnote w:type="continuationSeparator" w:id="0">
    <w:p w:rsidR="007A2BB7" w:rsidRDefault="007A2BB7">
      <w:r>
        <w:continuationSeparator/>
      </w:r>
    </w:p>
    <w:p w:rsidR="007A2BB7" w:rsidRDefault="007A2BB7"/>
    <w:p w:rsidR="007A2BB7" w:rsidRDefault="007A2BB7"/>
  </w:endnote>
  <w:endnote w:type="continuationNotice" w:id="1">
    <w:p w:rsidR="007A2BB7" w:rsidRDefault="007A2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481" w:rsidRDefault="000124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481" w:rsidRDefault="000124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481" w:rsidRDefault="0001248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17D3" w:rsidTr="008A08C9">
      <w:trPr>
        <w:trHeight w:hRule="exact" w:val="567"/>
      </w:trPr>
      <w:tc>
        <w:tcPr>
          <w:tcW w:w="510" w:type="dxa"/>
        </w:tcPr>
        <w:p w:rsidR="006017D3" w:rsidRPr="007448F7" w:rsidRDefault="006017D3" w:rsidP="008A08C9">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12481">
            <w:rPr>
              <w:rStyle w:val="PageNumber"/>
              <w:caps w:val="0"/>
              <w:noProof/>
            </w:rPr>
            <w:t>iv</w:t>
          </w:r>
          <w:r w:rsidRPr="007448F7">
            <w:rPr>
              <w:rStyle w:val="PageNumber"/>
              <w:caps w:val="0"/>
            </w:rPr>
            <w:fldChar w:fldCharType="end"/>
          </w:r>
        </w:p>
      </w:tc>
      <w:tc>
        <w:tcPr>
          <w:tcW w:w="7767" w:type="dxa"/>
        </w:tcPr>
        <w:p w:rsidR="00AA7BC7" w:rsidRDefault="00AA7BC7" w:rsidP="00AA7BC7">
          <w:pPr>
            <w:pStyle w:val="Footer"/>
            <w:rPr>
              <w:noProof/>
              <w:lang w:val="en-US"/>
            </w:rPr>
          </w:pPr>
          <w:r>
            <w:rPr>
              <w:noProof/>
              <w:lang w:val="en-US"/>
            </w:rPr>
            <w:t>consumer law enforcement and administration</w:t>
          </w:r>
        </w:p>
        <w:p w:rsidR="00AA7BC7" w:rsidRPr="0013739A" w:rsidRDefault="00AA7BC7" w:rsidP="00AA7BC7">
          <w:pPr>
            <w:pStyle w:val="FooterDraftReport"/>
          </w:pPr>
          <w:r w:rsidRPr="00AA7BC7">
            <w:rPr>
              <w:noProof/>
              <w:lang w:val="en-US"/>
            </w:rPr>
            <w:t>Draft Report</w:t>
          </w:r>
        </w:p>
      </w:tc>
      <w:tc>
        <w:tcPr>
          <w:tcW w:w="510" w:type="dxa"/>
        </w:tcPr>
        <w:p w:rsidR="006017D3" w:rsidRDefault="006017D3" w:rsidP="008A08C9">
          <w:pPr>
            <w:pStyle w:val="Footer"/>
          </w:pPr>
        </w:p>
      </w:tc>
    </w:tr>
  </w:tbl>
  <w:p w:rsidR="006017D3" w:rsidRDefault="006017D3" w:rsidP="008A08C9">
    <w:pPr>
      <w:pStyle w:val="FooterEnd"/>
    </w:pPr>
  </w:p>
  <w:p w:rsidR="006017D3" w:rsidRDefault="006017D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17D3" w:rsidTr="008A08C9">
      <w:trPr>
        <w:trHeight w:hRule="exact" w:val="567"/>
      </w:trPr>
      <w:tc>
        <w:tcPr>
          <w:tcW w:w="510" w:type="dxa"/>
        </w:tcPr>
        <w:p w:rsidR="006017D3" w:rsidRDefault="006017D3">
          <w:pPr>
            <w:pStyle w:val="Footer"/>
            <w:ind w:right="360" w:firstLine="360"/>
          </w:pPr>
        </w:p>
      </w:tc>
      <w:tc>
        <w:tcPr>
          <w:tcW w:w="7767" w:type="dxa"/>
        </w:tcPr>
        <w:p w:rsidR="006017D3" w:rsidRDefault="00012481" w:rsidP="00340511">
          <w:pPr>
            <w:pStyle w:val="Footer"/>
            <w:jc w:val="right"/>
            <w:rPr>
              <w:bCs/>
              <w:noProof/>
              <w:lang w:val="en-US"/>
            </w:rPr>
          </w:pPr>
          <w:r>
            <w:rPr>
              <w:bCs/>
              <w:noProof/>
              <w:lang w:val="en-US"/>
            </w:rPr>
            <w:t>contents</w:t>
          </w:r>
          <w:bookmarkStart w:id="7" w:name="_GoBack"/>
          <w:bookmarkEnd w:id="7"/>
        </w:p>
        <w:p w:rsidR="00AA7BC7" w:rsidRPr="00340511" w:rsidRDefault="00AA7BC7" w:rsidP="00AA7BC7">
          <w:pPr>
            <w:pStyle w:val="FooterDraftReport"/>
            <w:jc w:val="right"/>
          </w:pPr>
          <w:r>
            <w:rPr>
              <w:noProof/>
              <w:lang w:val="en-US"/>
            </w:rPr>
            <w:t>draft report</w:t>
          </w:r>
        </w:p>
      </w:tc>
      <w:tc>
        <w:tcPr>
          <w:tcW w:w="510" w:type="dxa"/>
        </w:tcPr>
        <w:p w:rsidR="006017D3" w:rsidRPr="00A24443" w:rsidRDefault="006017D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12481">
            <w:rPr>
              <w:rStyle w:val="PageNumber"/>
              <w:caps w:val="0"/>
              <w:noProof/>
            </w:rPr>
            <w:t>iii</w:t>
          </w:r>
          <w:r w:rsidRPr="00A24443">
            <w:rPr>
              <w:rStyle w:val="PageNumber"/>
              <w:caps w:val="0"/>
            </w:rPr>
            <w:fldChar w:fldCharType="end"/>
          </w:r>
        </w:p>
      </w:tc>
    </w:tr>
  </w:tbl>
  <w:p w:rsidR="006017D3" w:rsidRDefault="006017D3">
    <w:pPr>
      <w:pStyle w:val="FooterEnd"/>
    </w:pPr>
  </w:p>
  <w:p w:rsidR="006017D3" w:rsidRDefault="006017D3"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BB7" w:rsidRDefault="007A2BB7">
      <w:r>
        <w:separator/>
      </w:r>
    </w:p>
    <w:p w:rsidR="007A2BB7" w:rsidRDefault="007A2BB7"/>
    <w:p w:rsidR="007A2BB7" w:rsidRDefault="007A2BB7"/>
  </w:footnote>
  <w:footnote w:type="continuationSeparator" w:id="0">
    <w:p w:rsidR="007A2BB7" w:rsidRDefault="007A2BB7">
      <w:r>
        <w:continuationSeparator/>
      </w:r>
    </w:p>
    <w:p w:rsidR="007A2BB7" w:rsidRDefault="007A2BB7"/>
    <w:p w:rsidR="007A2BB7" w:rsidRDefault="007A2BB7"/>
  </w:footnote>
  <w:footnote w:type="continuationNotice" w:id="1">
    <w:p w:rsidR="007A2BB7" w:rsidRDefault="007A2B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481" w:rsidRDefault="000124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481" w:rsidRDefault="000124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481" w:rsidRDefault="000124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17D3" w:rsidTr="005C68FE">
      <w:tc>
        <w:tcPr>
          <w:tcW w:w="2155" w:type="dxa"/>
          <w:tcBorders>
            <w:top w:val="single" w:sz="24" w:space="0" w:color="auto"/>
          </w:tcBorders>
        </w:tcPr>
        <w:p w:rsidR="006017D3" w:rsidRDefault="006017D3" w:rsidP="005C68FE">
          <w:pPr>
            <w:pStyle w:val="HeaderEven"/>
          </w:pPr>
        </w:p>
      </w:tc>
      <w:tc>
        <w:tcPr>
          <w:tcW w:w="6634" w:type="dxa"/>
          <w:tcBorders>
            <w:top w:val="single" w:sz="6" w:space="0" w:color="auto"/>
          </w:tcBorders>
        </w:tcPr>
        <w:p w:rsidR="006017D3" w:rsidRDefault="006017D3" w:rsidP="005C68FE">
          <w:pPr>
            <w:pStyle w:val="HeaderEven"/>
          </w:pPr>
        </w:p>
      </w:tc>
    </w:tr>
  </w:tbl>
  <w:p w:rsidR="006017D3" w:rsidRDefault="006017D3" w:rsidP="00D732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17D3">
      <w:tc>
        <w:tcPr>
          <w:tcW w:w="6634" w:type="dxa"/>
          <w:tcBorders>
            <w:top w:val="single" w:sz="6" w:space="0" w:color="auto"/>
          </w:tcBorders>
        </w:tcPr>
        <w:p w:rsidR="006017D3" w:rsidRDefault="006017D3">
          <w:pPr>
            <w:pStyle w:val="HeaderOdd"/>
          </w:pPr>
        </w:p>
      </w:tc>
      <w:tc>
        <w:tcPr>
          <w:tcW w:w="2155" w:type="dxa"/>
          <w:tcBorders>
            <w:top w:val="single" w:sz="24" w:space="0" w:color="auto"/>
          </w:tcBorders>
        </w:tcPr>
        <w:p w:rsidR="006017D3" w:rsidRDefault="006017D3">
          <w:pPr>
            <w:pStyle w:val="HeaderOdd"/>
          </w:pPr>
        </w:p>
      </w:tc>
    </w:tr>
  </w:tbl>
  <w:p w:rsidR="006017D3" w:rsidRDefault="006017D3"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3"/>
  </w:num>
  <w:num w:numId="6">
    <w:abstractNumId w:val="12"/>
  </w:num>
  <w:num w:numId="7">
    <w:abstractNumId w:val="2"/>
  </w:num>
  <w:num w:numId="8">
    <w:abstractNumId w:val="6"/>
  </w:num>
  <w:num w:numId="9">
    <w:abstractNumId w:val="14"/>
  </w:num>
  <w:num w:numId="10">
    <w:abstractNumId w:val="9"/>
  </w:num>
  <w:num w:numId="11">
    <w:abstractNumId w:val="8"/>
  </w:num>
  <w:num w:numId="12">
    <w:abstractNumId w:val="0"/>
  </w:num>
  <w:num w:numId="13">
    <w:abstractNumId w:val="3"/>
  </w:num>
  <w:num w:numId="14">
    <w:abstractNumId w:val="11"/>
  </w:num>
  <w:num w:numId="15">
    <w:abstractNumId w:val="1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B89"/>
    <w:rsid w:val="00012481"/>
    <w:rsid w:val="00017AFC"/>
    <w:rsid w:val="00022BFA"/>
    <w:rsid w:val="00025878"/>
    <w:rsid w:val="00026B38"/>
    <w:rsid w:val="000502D3"/>
    <w:rsid w:val="00050D42"/>
    <w:rsid w:val="00052CB2"/>
    <w:rsid w:val="000623BF"/>
    <w:rsid w:val="00065785"/>
    <w:rsid w:val="000779EB"/>
    <w:rsid w:val="00095EEA"/>
    <w:rsid w:val="00097C15"/>
    <w:rsid w:val="000A0A0E"/>
    <w:rsid w:val="000A5E12"/>
    <w:rsid w:val="000B2403"/>
    <w:rsid w:val="000B416E"/>
    <w:rsid w:val="000C0A00"/>
    <w:rsid w:val="000D03C0"/>
    <w:rsid w:val="000E5DD2"/>
    <w:rsid w:val="000F185F"/>
    <w:rsid w:val="000F2F5F"/>
    <w:rsid w:val="00106041"/>
    <w:rsid w:val="0010611E"/>
    <w:rsid w:val="00122FE9"/>
    <w:rsid w:val="00125961"/>
    <w:rsid w:val="00126DD3"/>
    <w:rsid w:val="00131572"/>
    <w:rsid w:val="00131D4F"/>
    <w:rsid w:val="0013399B"/>
    <w:rsid w:val="001667BF"/>
    <w:rsid w:val="00180515"/>
    <w:rsid w:val="00181F4B"/>
    <w:rsid w:val="00190919"/>
    <w:rsid w:val="00196FB3"/>
    <w:rsid w:val="001A5071"/>
    <w:rsid w:val="001B2BEB"/>
    <w:rsid w:val="001B4E73"/>
    <w:rsid w:val="001B7F1E"/>
    <w:rsid w:val="001C344C"/>
    <w:rsid w:val="001D4B1F"/>
    <w:rsid w:val="001D6629"/>
    <w:rsid w:val="001E3390"/>
    <w:rsid w:val="001F2270"/>
    <w:rsid w:val="00203B40"/>
    <w:rsid w:val="00205A82"/>
    <w:rsid w:val="00211BEE"/>
    <w:rsid w:val="002179C6"/>
    <w:rsid w:val="00247992"/>
    <w:rsid w:val="00261607"/>
    <w:rsid w:val="00263DD1"/>
    <w:rsid w:val="00264D3B"/>
    <w:rsid w:val="00265685"/>
    <w:rsid w:val="00271297"/>
    <w:rsid w:val="00271B0C"/>
    <w:rsid w:val="00275095"/>
    <w:rsid w:val="00281D5F"/>
    <w:rsid w:val="0028676C"/>
    <w:rsid w:val="002923AD"/>
    <w:rsid w:val="00296263"/>
    <w:rsid w:val="00296592"/>
    <w:rsid w:val="002A0A4B"/>
    <w:rsid w:val="002A499E"/>
    <w:rsid w:val="002B636E"/>
    <w:rsid w:val="002B64D6"/>
    <w:rsid w:val="002C12F5"/>
    <w:rsid w:val="002C33CF"/>
    <w:rsid w:val="002D6FCE"/>
    <w:rsid w:val="002E01BA"/>
    <w:rsid w:val="002E72D8"/>
    <w:rsid w:val="002F7C7B"/>
    <w:rsid w:val="00323B99"/>
    <w:rsid w:val="00340511"/>
    <w:rsid w:val="00360A6E"/>
    <w:rsid w:val="00367C99"/>
    <w:rsid w:val="0038647D"/>
    <w:rsid w:val="00393A49"/>
    <w:rsid w:val="003B41E0"/>
    <w:rsid w:val="003C3D73"/>
    <w:rsid w:val="003D624D"/>
    <w:rsid w:val="003E7802"/>
    <w:rsid w:val="00410A79"/>
    <w:rsid w:val="00410E52"/>
    <w:rsid w:val="0042007A"/>
    <w:rsid w:val="00426259"/>
    <w:rsid w:val="00431961"/>
    <w:rsid w:val="00433C81"/>
    <w:rsid w:val="00446D6B"/>
    <w:rsid w:val="00457B3F"/>
    <w:rsid w:val="00463022"/>
    <w:rsid w:val="00481CF0"/>
    <w:rsid w:val="004B492A"/>
    <w:rsid w:val="004C0B0C"/>
    <w:rsid w:val="004C36A1"/>
    <w:rsid w:val="004D3F58"/>
    <w:rsid w:val="004E52E2"/>
    <w:rsid w:val="004E6BB4"/>
    <w:rsid w:val="004E7D3C"/>
    <w:rsid w:val="004F5920"/>
    <w:rsid w:val="00515D43"/>
    <w:rsid w:val="0052544D"/>
    <w:rsid w:val="00526B19"/>
    <w:rsid w:val="005433B2"/>
    <w:rsid w:val="00551FB8"/>
    <w:rsid w:val="005537D3"/>
    <w:rsid w:val="005537F6"/>
    <w:rsid w:val="00560F43"/>
    <w:rsid w:val="005654D0"/>
    <w:rsid w:val="005722CE"/>
    <w:rsid w:val="00572865"/>
    <w:rsid w:val="00585B3F"/>
    <w:rsid w:val="005B17AB"/>
    <w:rsid w:val="005B1EF3"/>
    <w:rsid w:val="005C68FE"/>
    <w:rsid w:val="005E6D9A"/>
    <w:rsid w:val="005F7D30"/>
    <w:rsid w:val="006017D3"/>
    <w:rsid w:val="00602523"/>
    <w:rsid w:val="006040CB"/>
    <w:rsid w:val="00604351"/>
    <w:rsid w:val="00607D8A"/>
    <w:rsid w:val="0061590F"/>
    <w:rsid w:val="00636497"/>
    <w:rsid w:val="00640D86"/>
    <w:rsid w:val="00641AE2"/>
    <w:rsid w:val="0064456A"/>
    <w:rsid w:val="00650DDA"/>
    <w:rsid w:val="0065126A"/>
    <w:rsid w:val="00653FA6"/>
    <w:rsid w:val="0067557D"/>
    <w:rsid w:val="006802D4"/>
    <w:rsid w:val="0068118B"/>
    <w:rsid w:val="00683849"/>
    <w:rsid w:val="006865F9"/>
    <w:rsid w:val="00691AB5"/>
    <w:rsid w:val="006B19A0"/>
    <w:rsid w:val="006C4864"/>
    <w:rsid w:val="006D7AD1"/>
    <w:rsid w:val="006E1E6B"/>
    <w:rsid w:val="006F0EAC"/>
    <w:rsid w:val="006F6A85"/>
    <w:rsid w:val="0070328D"/>
    <w:rsid w:val="00731F96"/>
    <w:rsid w:val="00734127"/>
    <w:rsid w:val="00735FEA"/>
    <w:rsid w:val="00743460"/>
    <w:rsid w:val="00743A27"/>
    <w:rsid w:val="007448F7"/>
    <w:rsid w:val="007476DE"/>
    <w:rsid w:val="00752098"/>
    <w:rsid w:val="00753DC6"/>
    <w:rsid w:val="0075578C"/>
    <w:rsid w:val="00761B89"/>
    <w:rsid w:val="00766DFB"/>
    <w:rsid w:val="007734B5"/>
    <w:rsid w:val="007809B8"/>
    <w:rsid w:val="007813A6"/>
    <w:rsid w:val="0078324B"/>
    <w:rsid w:val="00791840"/>
    <w:rsid w:val="007A2394"/>
    <w:rsid w:val="007A2BB7"/>
    <w:rsid w:val="00803190"/>
    <w:rsid w:val="00805FD7"/>
    <w:rsid w:val="00806E54"/>
    <w:rsid w:val="008165CA"/>
    <w:rsid w:val="00817050"/>
    <w:rsid w:val="008206EE"/>
    <w:rsid w:val="008214B1"/>
    <w:rsid w:val="008273A9"/>
    <w:rsid w:val="00834040"/>
    <w:rsid w:val="00836ED7"/>
    <w:rsid w:val="008414B7"/>
    <w:rsid w:val="0084355E"/>
    <w:rsid w:val="008453AC"/>
    <w:rsid w:val="0085437A"/>
    <w:rsid w:val="00860D09"/>
    <w:rsid w:val="00862044"/>
    <w:rsid w:val="0086213E"/>
    <w:rsid w:val="008634E4"/>
    <w:rsid w:val="00880BF7"/>
    <w:rsid w:val="00885C82"/>
    <w:rsid w:val="00887649"/>
    <w:rsid w:val="0089269F"/>
    <w:rsid w:val="008A08C9"/>
    <w:rsid w:val="008A2133"/>
    <w:rsid w:val="008A3857"/>
    <w:rsid w:val="008B2205"/>
    <w:rsid w:val="008C08EF"/>
    <w:rsid w:val="008C305F"/>
    <w:rsid w:val="008C3AD2"/>
    <w:rsid w:val="008C7C3D"/>
    <w:rsid w:val="008D6F66"/>
    <w:rsid w:val="008E1BEA"/>
    <w:rsid w:val="008E242D"/>
    <w:rsid w:val="008E43D2"/>
    <w:rsid w:val="008E5248"/>
    <w:rsid w:val="008F04C9"/>
    <w:rsid w:val="008F4978"/>
    <w:rsid w:val="008F5517"/>
    <w:rsid w:val="008F7C50"/>
    <w:rsid w:val="008F7DB7"/>
    <w:rsid w:val="00903C7E"/>
    <w:rsid w:val="009064D3"/>
    <w:rsid w:val="00913377"/>
    <w:rsid w:val="00915300"/>
    <w:rsid w:val="00920B7D"/>
    <w:rsid w:val="00925CFB"/>
    <w:rsid w:val="00933B0C"/>
    <w:rsid w:val="00935676"/>
    <w:rsid w:val="00940EB8"/>
    <w:rsid w:val="009527A8"/>
    <w:rsid w:val="009718D7"/>
    <w:rsid w:val="00972542"/>
    <w:rsid w:val="0098401D"/>
    <w:rsid w:val="00993F3A"/>
    <w:rsid w:val="009A789F"/>
    <w:rsid w:val="009B12EF"/>
    <w:rsid w:val="009B48F7"/>
    <w:rsid w:val="009B6185"/>
    <w:rsid w:val="009C142A"/>
    <w:rsid w:val="009C6C6D"/>
    <w:rsid w:val="009E1E78"/>
    <w:rsid w:val="00A1597D"/>
    <w:rsid w:val="00A46989"/>
    <w:rsid w:val="00A469AA"/>
    <w:rsid w:val="00A71CE9"/>
    <w:rsid w:val="00A72A19"/>
    <w:rsid w:val="00A75A30"/>
    <w:rsid w:val="00A93C82"/>
    <w:rsid w:val="00A95A7C"/>
    <w:rsid w:val="00AA7BC7"/>
    <w:rsid w:val="00AB2A48"/>
    <w:rsid w:val="00AC3236"/>
    <w:rsid w:val="00AD4874"/>
    <w:rsid w:val="00AD58EA"/>
    <w:rsid w:val="00AE1C34"/>
    <w:rsid w:val="00AE1F8A"/>
    <w:rsid w:val="00B036B2"/>
    <w:rsid w:val="00B04D19"/>
    <w:rsid w:val="00B137F3"/>
    <w:rsid w:val="00B153C3"/>
    <w:rsid w:val="00B22087"/>
    <w:rsid w:val="00B2647E"/>
    <w:rsid w:val="00B53FD5"/>
    <w:rsid w:val="00B722F2"/>
    <w:rsid w:val="00B77F6F"/>
    <w:rsid w:val="00B80355"/>
    <w:rsid w:val="00B90958"/>
    <w:rsid w:val="00B95339"/>
    <w:rsid w:val="00BA0B81"/>
    <w:rsid w:val="00BA311E"/>
    <w:rsid w:val="00BA5A5A"/>
    <w:rsid w:val="00BB0523"/>
    <w:rsid w:val="00BB17E1"/>
    <w:rsid w:val="00BB334E"/>
    <w:rsid w:val="00BB5DCF"/>
    <w:rsid w:val="00BC2476"/>
    <w:rsid w:val="00BD5A26"/>
    <w:rsid w:val="00BF59EA"/>
    <w:rsid w:val="00BF79CD"/>
    <w:rsid w:val="00C01D8A"/>
    <w:rsid w:val="00C058AB"/>
    <w:rsid w:val="00C0721B"/>
    <w:rsid w:val="00C20E0A"/>
    <w:rsid w:val="00C34C8C"/>
    <w:rsid w:val="00C50792"/>
    <w:rsid w:val="00C51371"/>
    <w:rsid w:val="00C55A45"/>
    <w:rsid w:val="00C65DBA"/>
    <w:rsid w:val="00C663E4"/>
    <w:rsid w:val="00C66EE8"/>
    <w:rsid w:val="00C670DE"/>
    <w:rsid w:val="00C904D9"/>
    <w:rsid w:val="00C94225"/>
    <w:rsid w:val="00C94C06"/>
    <w:rsid w:val="00CA48BF"/>
    <w:rsid w:val="00CB3ACC"/>
    <w:rsid w:val="00CB4745"/>
    <w:rsid w:val="00CD051E"/>
    <w:rsid w:val="00CD2163"/>
    <w:rsid w:val="00CD4FE7"/>
    <w:rsid w:val="00CD5E6B"/>
    <w:rsid w:val="00CE4FBC"/>
    <w:rsid w:val="00CE5D96"/>
    <w:rsid w:val="00CE7344"/>
    <w:rsid w:val="00CF26EE"/>
    <w:rsid w:val="00D310F0"/>
    <w:rsid w:val="00D363F4"/>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09A0"/>
    <w:rsid w:val="00DD1077"/>
    <w:rsid w:val="00DD1FA0"/>
    <w:rsid w:val="00DF00FE"/>
    <w:rsid w:val="00DF4592"/>
    <w:rsid w:val="00E15629"/>
    <w:rsid w:val="00E15FDC"/>
    <w:rsid w:val="00E2651B"/>
    <w:rsid w:val="00E30DDB"/>
    <w:rsid w:val="00E406C5"/>
    <w:rsid w:val="00E4737D"/>
    <w:rsid w:val="00E6632E"/>
    <w:rsid w:val="00E74DAB"/>
    <w:rsid w:val="00E75900"/>
    <w:rsid w:val="00E90CF2"/>
    <w:rsid w:val="00EB76E1"/>
    <w:rsid w:val="00EB7B24"/>
    <w:rsid w:val="00EC38C1"/>
    <w:rsid w:val="00EC4133"/>
    <w:rsid w:val="00EC628B"/>
    <w:rsid w:val="00ED0F61"/>
    <w:rsid w:val="00EE3F6D"/>
    <w:rsid w:val="00EE73E1"/>
    <w:rsid w:val="00F066E7"/>
    <w:rsid w:val="00F12107"/>
    <w:rsid w:val="00F13165"/>
    <w:rsid w:val="00F14EBF"/>
    <w:rsid w:val="00F1748E"/>
    <w:rsid w:val="00F4234E"/>
    <w:rsid w:val="00F456C7"/>
    <w:rsid w:val="00F61429"/>
    <w:rsid w:val="00F7477E"/>
    <w:rsid w:val="00F77010"/>
    <w:rsid w:val="00F826A6"/>
    <w:rsid w:val="00F85393"/>
    <w:rsid w:val="00F92DC2"/>
    <w:rsid w:val="00FA4A24"/>
    <w:rsid w:val="00FC41B4"/>
    <w:rsid w:val="00FC5A6B"/>
    <w:rsid w:val="00FD06C0"/>
    <w:rsid w:val="00FD4728"/>
    <w:rsid w:val="00FD741A"/>
    <w:rsid w:val="00FF5832"/>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4"/>
      </w:numPr>
      <w:tabs>
        <w:tab w:val="clear" w:pos="567"/>
        <w:tab w:val="num" w:pos="360"/>
      </w:tabs>
      <w:ind w:left="0" w:firstLine="0"/>
    </w:pPr>
  </w:style>
  <w:style w:type="paragraph" w:customStyle="1" w:styleId="BoxListNumber">
    <w:name w:val="Box List Number"/>
    <w:basedOn w:val="BodyText"/>
    <w:rsid w:val="0010611E"/>
    <w:pPr>
      <w:keepNext/>
      <w:numPr>
        <w:numId w:val="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761B89"/>
    <w:rPr>
      <w:kern w:val="28"/>
      <w:sz w:val="52"/>
      <w:lang w:eastAsia="en-US"/>
    </w:rPr>
  </w:style>
  <w:style w:type="paragraph" w:customStyle="1" w:styleId="Default">
    <w:name w:val="Default"/>
    <w:rsid w:val="00CD051E"/>
    <w:pPr>
      <w:autoSpaceDE w:val="0"/>
      <w:autoSpaceDN w:val="0"/>
      <w:adjustRightInd w:val="0"/>
    </w:pPr>
    <w:rPr>
      <w:color w:val="000000"/>
      <w:sz w:val="24"/>
      <w:szCs w:val="24"/>
    </w:rPr>
  </w:style>
  <w:style w:type="table" w:styleId="TableGrid">
    <w:name w:val="Table Grid"/>
    <w:basedOn w:val="TableNormal"/>
    <w:rsid w:val="008F5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F5517"/>
    <w:rPr>
      <w:rFonts w:ascii="Arial" w:hAnsi="Arial"/>
      <w:b/>
      <w:sz w:val="26"/>
    </w:rPr>
  </w:style>
  <w:style w:type="paragraph" w:styleId="CommentSubject">
    <w:name w:val="annotation subject"/>
    <w:basedOn w:val="CommentText"/>
    <w:next w:val="CommentText"/>
    <w:link w:val="CommentSubjectChar"/>
    <w:rsid w:val="00275095"/>
    <w:pPr>
      <w:spacing w:before="0" w:line="240" w:lineRule="auto"/>
      <w:ind w:left="0" w:firstLine="0"/>
    </w:pPr>
    <w:rPr>
      <w:b/>
      <w:bCs/>
    </w:rPr>
  </w:style>
  <w:style w:type="character" w:customStyle="1" w:styleId="CommentTextChar">
    <w:name w:val="Comment Text Char"/>
    <w:basedOn w:val="DefaultParagraphFont"/>
    <w:link w:val="CommentText"/>
    <w:semiHidden/>
    <w:rsid w:val="00275095"/>
    <w:rPr>
      <w:lang w:eastAsia="en-US"/>
    </w:rPr>
  </w:style>
  <w:style w:type="character" w:customStyle="1" w:styleId="CommentSubjectChar">
    <w:name w:val="Comment Subject Char"/>
    <w:basedOn w:val="CommentTextChar"/>
    <w:link w:val="CommentSubject"/>
    <w:rsid w:val="00275095"/>
    <w:rPr>
      <w:b/>
      <w:bCs/>
      <w:lang w:eastAsia="en-US"/>
    </w:rPr>
  </w:style>
  <w:style w:type="character" w:customStyle="1" w:styleId="Heading2Char">
    <w:name w:val="Heading 2 Char"/>
    <w:basedOn w:val="DefaultParagraphFont"/>
    <w:link w:val="Heading2"/>
    <w:rsid w:val="0085437A"/>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4"/>
      </w:numPr>
      <w:tabs>
        <w:tab w:val="clear" w:pos="567"/>
        <w:tab w:val="num" w:pos="360"/>
      </w:tabs>
      <w:ind w:left="0" w:firstLine="0"/>
    </w:pPr>
  </w:style>
  <w:style w:type="paragraph" w:customStyle="1" w:styleId="BoxListNumber">
    <w:name w:val="Box List Number"/>
    <w:basedOn w:val="BodyText"/>
    <w:rsid w:val="0010611E"/>
    <w:pPr>
      <w:keepNext/>
      <w:numPr>
        <w:numId w:val="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761B89"/>
    <w:rPr>
      <w:kern w:val="28"/>
      <w:sz w:val="52"/>
      <w:lang w:eastAsia="en-US"/>
    </w:rPr>
  </w:style>
  <w:style w:type="paragraph" w:customStyle="1" w:styleId="Default">
    <w:name w:val="Default"/>
    <w:rsid w:val="00CD051E"/>
    <w:pPr>
      <w:autoSpaceDE w:val="0"/>
      <w:autoSpaceDN w:val="0"/>
      <w:adjustRightInd w:val="0"/>
    </w:pPr>
    <w:rPr>
      <w:color w:val="000000"/>
      <w:sz w:val="24"/>
      <w:szCs w:val="24"/>
    </w:rPr>
  </w:style>
  <w:style w:type="table" w:styleId="TableGrid">
    <w:name w:val="Table Grid"/>
    <w:basedOn w:val="TableNormal"/>
    <w:rsid w:val="008F5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F5517"/>
    <w:rPr>
      <w:rFonts w:ascii="Arial" w:hAnsi="Arial"/>
      <w:b/>
      <w:sz w:val="26"/>
    </w:rPr>
  </w:style>
  <w:style w:type="paragraph" w:styleId="CommentSubject">
    <w:name w:val="annotation subject"/>
    <w:basedOn w:val="CommentText"/>
    <w:next w:val="CommentText"/>
    <w:link w:val="CommentSubjectChar"/>
    <w:rsid w:val="00275095"/>
    <w:pPr>
      <w:spacing w:before="0" w:line="240" w:lineRule="auto"/>
      <w:ind w:left="0" w:firstLine="0"/>
    </w:pPr>
    <w:rPr>
      <w:b/>
      <w:bCs/>
    </w:rPr>
  </w:style>
  <w:style w:type="character" w:customStyle="1" w:styleId="CommentTextChar">
    <w:name w:val="Comment Text Char"/>
    <w:basedOn w:val="DefaultParagraphFont"/>
    <w:link w:val="CommentText"/>
    <w:semiHidden/>
    <w:rsid w:val="00275095"/>
    <w:rPr>
      <w:lang w:eastAsia="en-US"/>
    </w:rPr>
  </w:style>
  <w:style w:type="character" w:customStyle="1" w:styleId="CommentSubjectChar">
    <w:name w:val="Comment Subject Char"/>
    <w:basedOn w:val="CommentTextChar"/>
    <w:link w:val="CommentSubject"/>
    <w:rsid w:val="00275095"/>
    <w:rPr>
      <w:b/>
      <w:bCs/>
      <w:lang w:eastAsia="en-US"/>
    </w:rPr>
  </w:style>
  <w:style w:type="character" w:customStyle="1" w:styleId="Heading2Char">
    <w:name w:val="Heading 2 Char"/>
    <w:basedOn w:val="DefaultParagraphFont"/>
    <w:link w:val="Heading2"/>
    <w:rsid w:val="0085437A"/>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hyperlink" Target="http://www.pc.gov.au/inquiries/current/consumer-law/make-submission" TargetMode="External"/><Relationship Id="rId3" Type="http://schemas.openxmlformats.org/officeDocument/2006/relationships/styles" Target="styles.xml"/><Relationship Id="rId21" Type="http://schemas.openxmlformats.org/officeDocument/2006/relationships/hyperlink" Target="www.pc.gov.au" TargetMode="Externa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3F53BDC-4214-41B9-8599-BF5628C9F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Overview - Consumer Law Enforcement and Administration — Draft Report</dc:title>
  <dc:subject/>
  <dc:creator>Productivity Commission</dc:creator>
  <cp:keywords/>
  <cp:lastModifiedBy/>
  <cp:revision>1</cp:revision>
  <dcterms:created xsi:type="dcterms:W3CDTF">2016-11-30T04:51:00Z</dcterms:created>
  <dcterms:modified xsi:type="dcterms:W3CDTF">2016-11-30T05:45:00Z</dcterms:modified>
</cp:coreProperties>
</file>