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FD5" w:rsidRPr="00B53FD5" w:rsidRDefault="00B53FD5" w:rsidP="00B53FD5">
      <w:pPr>
        <w:pStyle w:val="Heading1"/>
        <w:rPr>
          <w:color w:val="FFFFFF" w:themeColor="background1"/>
          <w:sz w:val="12"/>
          <w:szCs w:val="12"/>
        </w:rPr>
      </w:pPr>
      <w:r w:rsidRPr="00B53FD5">
        <w:rPr>
          <w:color w:val="FFFFFF" w:themeColor="background1"/>
          <w:sz w:val="12"/>
          <w:szCs w:val="12"/>
        </w:rPr>
        <w:t>Consumer Law Enforcement and Administration</w:t>
      </w:r>
    </w:p>
    <w:p w:rsidR="00B53FD5" w:rsidRPr="00B53FD5" w:rsidRDefault="00B53FD5" w:rsidP="00CD5E6B">
      <w:pPr>
        <w:pStyle w:val="BodyText"/>
        <w:rPr>
          <w:color w:val="FFFFFF" w:themeColor="background1"/>
          <w:sz w:val="12"/>
          <w:szCs w:val="12"/>
        </w:rPr>
      </w:pPr>
      <w:r w:rsidRPr="00B53FD5">
        <w:rPr>
          <w:color w:val="FFFFFF" w:themeColor="background1"/>
          <w:sz w:val="12"/>
          <w:szCs w:val="12"/>
        </w:rPr>
        <w:t>Productivity Commission Draft Report</w:t>
      </w:r>
    </w:p>
    <w:p w:rsidR="00B04D19" w:rsidRDefault="00B04D19" w:rsidP="00CD5E6B">
      <w:pPr>
        <w:pStyle w:val="BodyText"/>
        <w:rPr>
          <w:b/>
          <w:szCs w:val="26"/>
        </w:rPr>
      </w:pPr>
      <w:r>
        <w:br w:type="page"/>
      </w:r>
      <w:bookmarkStart w:id="0" w:name="_GoBack"/>
      <w:bookmarkEnd w:id="0"/>
      <w:r w:rsidR="00925CFB">
        <w:rPr>
          <w:b/>
          <w:noProof/>
          <w:szCs w:val="26"/>
        </w:rPr>
        <w:drawing>
          <wp:anchor distT="0" distB="0" distL="114300" distR="114300" simplePos="0" relativeHeight="251658240" behindDoc="0" locked="0" layoutInCell="1" allowOverlap="1">
            <wp:simplePos x="826851" y="982494"/>
            <wp:positionH relativeFrom="page">
              <wp:align>center</wp:align>
            </wp:positionH>
            <wp:positionV relativeFrom="page">
              <wp:align>center</wp:align>
            </wp:positionV>
            <wp:extent cx="7596000" cy="10746000"/>
            <wp:effectExtent l="0" t="0" r="5080" b="0"/>
            <wp:wrapNone/>
            <wp:docPr id="1" name="Picture 1" descr="Cover for: Consumer Law Enforcement and Administration, Productivity Commission Draft Report, December 2016. This draft report has been prepared for further public consulation and input. The Commission will finalise its report after these processes have taken pl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tle-consumer-law-dr.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596000" cy="10746000"/>
                    </a:xfrm>
                    <a:prstGeom prst="rect">
                      <a:avLst/>
                    </a:prstGeom>
                  </pic:spPr>
                </pic:pic>
              </a:graphicData>
            </a:graphic>
            <wp14:sizeRelH relativeFrom="margin">
              <wp14:pctWidth>0</wp14:pctWidth>
            </wp14:sizeRelH>
            <wp14:sizeRelV relativeFrom="margin">
              <wp14:pctHeight>0</wp14:pctHeight>
            </wp14:sizeRelV>
          </wp:anchor>
        </w:drawing>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BA311E">
        <w:t>6</w:t>
      </w:r>
    </w:p>
    <w:p w:rsidR="008A3857" w:rsidRDefault="008A3857" w:rsidP="008E242D">
      <w:pPr>
        <w:pStyle w:val="BodyText"/>
        <w:spacing w:after="120"/>
      </w:pPr>
      <w:bookmarkStart w:id="1" w:name="ISSN"/>
      <w:bookmarkEnd w:id="1"/>
      <w:r w:rsidRPr="00862D8F">
        <w:rPr>
          <w:noProof/>
          <w:sz w:val="22"/>
          <w:szCs w:val="22"/>
        </w:rPr>
        <w:drawing>
          <wp:inline distT="0" distB="0" distL="0" distR="0" wp14:anchorId="04C05683" wp14:editId="04C05684">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7" w:history="1">
        <w:hyperlink r:id="rId18"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rsidR="008A3857" w:rsidRPr="008A3857" w:rsidRDefault="008A3857" w:rsidP="008A3857">
      <w:pPr>
        <w:pStyle w:val="Copyrightsubtitle"/>
      </w:pPr>
      <w:r w:rsidRPr="008A3857">
        <w:t>Use of the Commonwealth Coat of Arms</w:t>
      </w:r>
    </w:p>
    <w:p w:rsidR="008A3857" w:rsidRPr="008A3857" w:rsidRDefault="008A3857" w:rsidP="00BA0B81">
      <w:pPr>
        <w:pStyle w:val="Copyrightbodytext"/>
      </w:pPr>
      <w:r w:rsidRPr="008A3857">
        <w:t>For terms of use of the Coat of Arms visit the ‘</w:t>
      </w:r>
      <w:hyperlink r:id="rId19" w:history="1">
        <w:r w:rsidRPr="00805FD7">
          <w:t>It’s an Honour</w:t>
        </w:r>
      </w:hyperlink>
      <w:r w:rsidRPr="008A3857">
        <w:t>’ website</w:t>
      </w:r>
      <w:r w:rsidR="00122FE9" w:rsidRPr="00BA0B81">
        <w:t>:</w:t>
      </w:r>
      <w:r w:rsidRPr="00BA0B81">
        <w:t xml:space="preserve"> </w:t>
      </w:r>
      <w:hyperlink r:id="rId20" w:history="1">
        <w:r w:rsidR="00BA0B81" w:rsidRPr="00805FD7">
          <w:t>http://</w:t>
        </w:r>
        <w:proofErr w:type="spellStart"/>
        <w:r w:rsidR="00BA0B81" w:rsidRPr="00805FD7">
          <w:t>www.itsanhonour.gov.au</w:t>
        </w:r>
        <w:proofErr w:type="spellEnd"/>
      </w:hyperlink>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E75900">
        <w:rPr>
          <w:i/>
        </w:rPr>
        <w:t>Consumer Law Enforcement and Administration, Draft Report.</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8E242D" w:rsidRPr="008E242D">
        <w:rPr>
          <w:i/>
        </w:rPr>
        <w:t xml:space="preserve">, </w:t>
      </w:r>
      <w:r w:rsidR="00E75900">
        <w:rPr>
          <w:i/>
        </w:rPr>
        <w:t>Consumer Law Enforcement and Administration, Draft Report.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E75900" w:rsidRDefault="00E75900" w:rsidP="008A08C9">
      <w:pPr>
        <w:pStyle w:val="Copyrightbodytext"/>
      </w:pPr>
      <w:bookmarkStart w:id="2" w:name="JEL"/>
      <w:bookmarkEnd w:id="2"/>
      <w:r w:rsidRPr="00E75900">
        <w:t>Productivity Commission</w:t>
      </w:r>
      <w:r w:rsidR="00B53FD5">
        <w:t xml:space="preserve"> 2016</w:t>
      </w:r>
      <w:r w:rsidRPr="00E75900">
        <w:t xml:space="preserve">, </w:t>
      </w:r>
      <w:r w:rsidRPr="00E75900">
        <w:rPr>
          <w:i/>
        </w:rPr>
        <w:t>Consumer Law Enforcement and Administration</w:t>
      </w:r>
      <w:r w:rsidRPr="00E75900">
        <w:t>, Draft Report, Canberra, December</w:t>
      </w:r>
      <w:r>
        <w:t>.</w:t>
      </w:r>
    </w:p>
    <w:p w:rsidR="008A3857" w:rsidRPr="008A3857" w:rsidRDefault="008A3857" w:rsidP="008A3857">
      <w:pPr>
        <w:pStyle w:val="Copyrightsubtitle"/>
      </w:pPr>
      <w:r w:rsidRPr="008A3857">
        <w:t>Publications enquiries</w:t>
      </w:r>
    </w:p>
    <w:p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w:t>
      </w:r>
      <w:r w:rsidR="005722CE">
        <w:rPr>
          <w:szCs w:val="24"/>
        </w:rPr>
        <w:t> </w:t>
      </w:r>
      <w:r w:rsidR="00EC38C1" w:rsidRPr="00BB5DCF">
        <w:rPr>
          <w:szCs w:val="24"/>
        </w:rPr>
        <w:t xml:space="preserve">53 2244 or email: </w:t>
      </w:r>
      <w:proofErr w:type="spellStart"/>
      <w:r w:rsidR="00EC38C1" w:rsidRPr="00BB5DCF">
        <w:rPr>
          <w:szCs w:val="24"/>
        </w:rPr>
        <w:t>maps@pc.gov.au</w:t>
      </w:r>
      <w:proofErr w:type="spellEnd"/>
    </w:p>
    <w:p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rsidTr="00C670DE">
        <w:tc>
          <w:tcPr>
            <w:tcW w:w="8771" w:type="dxa"/>
            <w:tcBorders>
              <w:top w:val="single" w:sz="6" w:space="0" w:color="78A22F"/>
              <w:left w:val="nil"/>
              <w:bottom w:val="nil"/>
              <w:right w:val="nil"/>
            </w:tcBorders>
            <w:shd w:val="clear" w:color="auto" w:fill="F2F2F2" w:themeFill="background1" w:themeFillShade="F2"/>
          </w:tcPr>
          <w:p w:rsidR="008A3857" w:rsidRPr="008A3857" w:rsidRDefault="008A3857" w:rsidP="008A08C9">
            <w:pPr>
              <w:pStyle w:val="BoxTitle"/>
              <w:rPr>
                <w:sz w:val="22"/>
                <w:szCs w:val="22"/>
              </w:rPr>
            </w:pPr>
            <w:r w:rsidRPr="008A3857">
              <w:rPr>
                <w:sz w:val="22"/>
                <w:szCs w:val="22"/>
              </w:rPr>
              <w:t>The Productivity Commission</w:t>
            </w:r>
          </w:p>
        </w:tc>
      </w:tr>
      <w:tr w:rsidR="008A3857" w:rsidTr="00C670DE">
        <w:tc>
          <w:tcPr>
            <w:tcW w:w="8771" w:type="dxa"/>
            <w:tcBorders>
              <w:top w:val="nil"/>
              <w:left w:val="nil"/>
              <w:bottom w:val="nil"/>
              <w:right w:val="nil"/>
            </w:tcBorders>
            <w:shd w:val="clear" w:color="auto" w:fill="F2F2F2" w:themeFill="background1" w:themeFillShade="F2"/>
          </w:tcPr>
          <w:p w:rsidR="008A3857" w:rsidRDefault="008A3857" w:rsidP="008A08C9">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8A3857" w:rsidRDefault="008A3857" w:rsidP="008A08C9">
            <w:pPr>
              <w:pStyle w:val="Box"/>
            </w:pPr>
            <w:r w:rsidRPr="00BB5DCF">
              <w:t>The Commission’s independence is underpinned by an Act of Parliament. Its processes and outputs are open to public scrutiny and are driven by concern for the wellbeing of the community as a whole.</w:t>
            </w:r>
          </w:p>
          <w:p w:rsidR="008A3857" w:rsidRDefault="008A3857" w:rsidP="00EC38C1">
            <w:pPr>
              <w:pStyle w:val="Box"/>
            </w:pPr>
            <w:r w:rsidRPr="00BB5DCF">
              <w:rPr>
                <w:szCs w:val="24"/>
              </w:rPr>
              <w:t>Further information on the Productivity Commission can be obtained from the Commission’s website (</w:t>
            </w:r>
            <w:proofErr w:type="spellStart"/>
            <w:r w:rsidR="00291283">
              <w:fldChar w:fldCharType="begin"/>
            </w:r>
            <w:r w:rsidR="00291283">
              <w:instrText xml:space="preserve"> HYPERLINK "http://www.pc.gov.au/" </w:instrText>
            </w:r>
            <w:r w:rsidR="00291283">
              <w:fldChar w:fldCharType="separate"/>
            </w:r>
            <w:r w:rsidRPr="00805FD7">
              <w:t>www.pc.gov.au</w:t>
            </w:r>
            <w:proofErr w:type="spellEnd"/>
            <w:r w:rsidR="00291283">
              <w:fldChar w:fldCharType="end"/>
            </w:r>
            <w:r w:rsidRPr="00BB5DCF">
              <w:rPr>
                <w:szCs w:val="24"/>
              </w:rPr>
              <w:t>)</w:t>
            </w:r>
            <w:r w:rsidR="00EC38C1">
              <w:rPr>
                <w:szCs w:val="24"/>
              </w:rPr>
              <w:t>.</w:t>
            </w:r>
          </w:p>
        </w:tc>
      </w:tr>
      <w:tr w:rsidR="008A3857" w:rsidTr="00C670DE">
        <w:tc>
          <w:tcPr>
            <w:tcW w:w="8771" w:type="dxa"/>
            <w:tcBorders>
              <w:top w:val="nil"/>
              <w:left w:val="nil"/>
              <w:bottom w:val="single" w:sz="6" w:space="0" w:color="78A22F"/>
              <w:right w:val="nil"/>
            </w:tcBorders>
            <w:shd w:val="clear" w:color="auto" w:fill="F2F2F2" w:themeFill="background1" w:themeFillShade="F2"/>
          </w:tcPr>
          <w:p w:rsidR="008A3857" w:rsidRDefault="008A3857" w:rsidP="008A08C9">
            <w:pPr>
              <w:pStyle w:val="Box"/>
              <w:spacing w:before="0" w:line="120" w:lineRule="exact"/>
            </w:pPr>
          </w:p>
        </w:tc>
      </w:tr>
    </w:tbl>
    <w:p w:rsidR="00735FEA" w:rsidRDefault="00735FEA">
      <w:pPr>
        <w:pStyle w:val="BodyText"/>
        <w:sectPr w:rsidR="00735FEA" w:rsidSect="00122FE9">
          <w:headerReference w:type="even" r:id="rId21"/>
          <w:headerReference w:type="default" r:id="rId22"/>
          <w:headerReference w:type="first" r:id="rId23"/>
          <w:type w:val="oddPage"/>
          <w:pgSz w:w="11907" w:h="16840" w:code="9"/>
          <w:pgMar w:top="1304" w:right="1304" w:bottom="567" w:left="1814" w:header="1701" w:footer="397" w:gutter="0"/>
          <w:pgNumType w:fmt="lowerRoman" w:start="1"/>
          <w:cols w:space="720"/>
          <w:titlePg/>
        </w:sectPr>
      </w:pPr>
      <w:bookmarkStart w:id="3" w:name="cov"/>
      <w:bookmarkEnd w:id="3"/>
    </w:p>
    <w:p w:rsidR="008A08C9" w:rsidRDefault="008A08C9" w:rsidP="008A08C9">
      <w:pPr>
        <w:pStyle w:val="Heading1"/>
      </w:pPr>
      <w:bookmarkStart w:id="4" w:name="Contents"/>
      <w:bookmarkStart w:id="5" w:name="_Toc468255798"/>
      <w:bookmarkEnd w:id="4"/>
      <w:r>
        <w:lastRenderedPageBreak/>
        <w:t>Opportunity for further comment</w:t>
      </w:r>
      <w:bookmarkEnd w:id="5"/>
    </w:p>
    <w:p w:rsidR="00AD58EA" w:rsidRDefault="00AD58EA" w:rsidP="00AD58EA">
      <w:pPr>
        <w:pStyle w:val="BodyText"/>
      </w:pPr>
      <w:r>
        <w:t xml:space="preserve">You are invited to examine this draft and comment on it by written submission to the Productivity Commission, preferably in electronic format, by </w:t>
      </w:r>
      <w:r w:rsidR="00640D86">
        <w:t>Monday 23</w:t>
      </w:r>
      <w:r w:rsidR="00247992">
        <w:t> </w:t>
      </w:r>
      <w:r w:rsidR="00640D86">
        <w:t>January</w:t>
      </w:r>
      <w:r w:rsidRPr="00640D86">
        <w:t xml:space="preserve"> 2017</w:t>
      </w:r>
      <w:r>
        <w:t>.</w:t>
      </w:r>
    </w:p>
    <w:p w:rsidR="00AD58EA" w:rsidRPr="00B53FD5" w:rsidRDefault="00AD58EA" w:rsidP="00AD58EA">
      <w:pPr>
        <w:pStyle w:val="BodyText"/>
      </w:pPr>
      <w:r>
        <w:t xml:space="preserve">Further information on how to provide a submission is included on the </w:t>
      </w:r>
      <w:r w:rsidR="00275095">
        <w:t>study</w:t>
      </w:r>
      <w:r>
        <w:t xml:space="preserve"> website: </w:t>
      </w:r>
      <w:hyperlink r:id="rId24" w:anchor="lodge" w:history="1">
        <w:r w:rsidR="008F4978" w:rsidRPr="00B53FD5">
          <w:rPr>
            <w:rStyle w:val="Hyperlink"/>
            <w:u w:val="none"/>
          </w:rPr>
          <w:t>http://www.pc.gov.au/inquiries/current/consumer-law/make-submission#lodge</w:t>
        </w:r>
      </w:hyperlink>
      <w:r w:rsidRPr="00B53FD5">
        <w:t>.</w:t>
      </w:r>
    </w:p>
    <w:p w:rsidR="008A08C9" w:rsidRDefault="00AD58EA" w:rsidP="008A08C9">
      <w:pPr>
        <w:pStyle w:val="BodyText"/>
      </w:pPr>
      <w:r>
        <w:t xml:space="preserve">The </w:t>
      </w:r>
      <w:r w:rsidR="008F4978">
        <w:t xml:space="preserve">Commission will prepare the </w:t>
      </w:r>
      <w:r>
        <w:t>final report after further sub</w:t>
      </w:r>
      <w:r w:rsidR="008F4978">
        <w:t xml:space="preserve">missions have been received and, as required, </w:t>
      </w:r>
      <w:r w:rsidR="00275095">
        <w:t xml:space="preserve">it has held </w:t>
      </w:r>
      <w:r w:rsidR="008F4978">
        <w:t>further discussions with stakeholder</w:t>
      </w:r>
      <w:r w:rsidR="004C36A1">
        <w:t>s</w:t>
      </w:r>
      <w:r w:rsidR="008F4978">
        <w:t xml:space="preserve">. The Commission will forward the final report </w:t>
      </w:r>
      <w:r w:rsidR="004C36A1">
        <w:t xml:space="preserve">to </w:t>
      </w:r>
      <w:r>
        <w:t xml:space="preserve">the </w:t>
      </w:r>
      <w:r w:rsidR="008F4978">
        <w:t>Commonwealth</w:t>
      </w:r>
      <w:r>
        <w:t xml:space="preserve"> Government in </w:t>
      </w:r>
      <w:r w:rsidR="00640D86">
        <w:t>March</w:t>
      </w:r>
      <w:r>
        <w:t xml:space="preserve"> 201</w:t>
      </w:r>
      <w:r w:rsidR="008F4978">
        <w:t>7</w:t>
      </w:r>
      <w:r>
        <w:t>.</w:t>
      </w:r>
    </w:p>
    <w:p w:rsidR="00AA7BC7" w:rsidRDefault="00AA7BC7" w:rsidP="008A08C9">
      <w:pPr>
        <w:pStyle w:val="BodyText"/>
      </w:pPr>
    </w:p>
    <w:p w:rsidR="00AA7BC7" w:rsidRDefault="00AA7BC7">
      <w:pPr>
        <w:sectPr w:rsidR="00AA7BC7" w:rsidSect="007448F7">
          <w:headerReference w:type="even" r:id="rId25"/>
          <w:headerReference w:type="default" r:id="rId26"/>
          <w:footerReference w:type="even" r:id="rId27"/>
          <w:footerReference w:type="default" r:id="rId28"/>
          <w:headerReference w:type="first" r:id="rId29"/>
          <w:type w:val="oddPage"/>
          <w:pgSz w:w="11907" w:h="16840" w:code="9"/>
          <w:pgMar w:top="1985" w:right="1304" w:bottom="1247" w:left="1814" w:header="1701" w:footer="397" w:gutter="0"/>
          <w:pgNumType w:fmt="lowerRoman"/>
          <w:cols w:space="720"/>
        </w:sectPr>
      </w:pPr>
    </w:p>
    <w:p w:rsidR="00050D42" w:rsidRDefault="00735FEA" w:rsidP="00C663E4">
      <w:pPr>
        <w:pStyle w:val="Heading1NotTOC"/>
        <w:rPr>
          <w:noProof/>
        </w:rPr>
      </w:pPr>
      <w:r w:rsidRPr="00B153C3">
        <w:lastRenderedPageBreak/>
        <w:t>Contents</w:t>
      </w:r>
      <w:bookmarkStart w:id="6" w:name="InsertContents"/>
      <w:bookmarkEnd w:id="6"/>
    </w:p>
    <w:p w:rsidR="00050D42" w:rsidRPr="00781495" w:rsidRDefault="00050D42">
      <w:pPr>
        <w:pStyle w:val="TOC1"/>
        <w:rPr>
          <w:rFonts w:asciiTheme="minorHAnsi" w:eastAsiaTheme="minorEastAsia" w:hAnsiTheme="minorHAnsi" w:cstheme="minorBidi"/>
          <w:noProof/>
          <w:lang w:eastAsia="en-AU"/>
        </w:rPr>
      </w:pPr>
      <w:r w:rsidRPr="00360A6E">
        <w:rPr>
          <w:noProof/>
        </w:rPr>
        <w:t>Opportunity for further comment</w:t>
      </w:r>
      <w:r w:rsidRPr="00360A6E">
        <w:rPr>
          <w:noProof/>
        </w:rPr>
        <w:tab/>
      </w:r>
      <w:r w:rsidR="00B53FD5" w:rsidRPr="00781495">
        <w:rPr>
          <w:b w:val="0"/>
          <w:noProof/>
          <w:sz w:val="24"/>
          <w:szCs w:val="24"/>
        </w:rPr>
        <w:t>iii</w:t>
      </w:r>
    </w:p>
    <w:p w:rsidR="00050D42" w:rsidRPr="00360A6E" w:rsidRDefault="00050D42">
      <w:pPr>
        <w:pStyle w:val="TOC1"/>
        <w:rPr>
          <w:rFonts w:asciiTheme="minorHAnsi" w:eastAsiaTheme="minorEastAsia" w:hAnsiTheme="minorHAnsi" w:cstheme="minorBidi"/>
          <w:noProof/>
          <w:lang w:eastAsia="en-AU"/>
        </w:rPr>
      </w:pPr>
      <w:r w:rsidRPr="00360A6E">
        <w:rPr>
          <w:noProof/>
        </w:rPr>
        <w:t>Acknowledgments</w:t>
      </w:r>
      <w:r w:rsidRPr="00360A6E">
        <w:rPr>
          <w:noProof/>
        </w:rPr>
        <w:tab/>
      </w:r>
      <w:r w:rsidR="00B53FD5" w:rsidRPr="00781495">
        <w:rPr>
          <w:b w:val="0"/>
          <w:noProof/>
          <w:sz w:val="24"/>
          <w:szCs w:val="24"/>
        </w:rPr>
        <w:t>vi</w:t>
      </w:r>
    </w:p>
    <w:p w:rsidR="00050D42" w:rsidRPr="00360A6E" w:rsidRDefault="00050D42">
      <w:pPr>
        <w:pStyle w:val="TOC1"/>
        <w:rPr>
          <w:rFonts w:asciiTheme="minorHAnsi" w:eastAsiaTheme="minorEastAsia" w:hAnsiTheme="minorHAnsi" w:cstheme="minorBidi"/>
          <w:noProof/>
          <w:lang w:eastAsia="en-AU"/>
        </w:rPr>
      </w:pPr>
      <w:r w:rsidRPr="00360A6E">
        <w:rPr>
          <w:noProof/>
        </w:rPr>
        <w:t>Abbreviations</w:t>
      </w:r>
      <w:r w:rsidRPr="00360A6E">
        <w:rPr>
          <w:noProof/>
        </w:rPr>
        <w:tab/>
      </w:r>
      <w:r w:rsidR="00B53FD5" w:rsidRPr="00781495">
        <w:rPr>
          <w:b w:val="0"/>
          <w:noProof/>
          <w:sz w:val="24"/>
          <w:szCs w:val="24"/>
        </w:rPr>
        <w:t>vii</w:t>
      </w:r>
    </w:p>
    <w:p w:rsidR="00050D42" w:rsidRDefault="004C36A1" w:rsidP="00B53FD5">
      <w:pPr>
        <w:pStyle w:val="TOC1"/>
        <w:rPr>
          <w:rFonts w:asciiTheme="minorHAnsi" w:eastAsiaTheme="minorEastAsia" w:hAnsiTheme="minorHAnsi" w:cstheme="minorBidi"/>
          <w:b w:val="0"/>
          <w:noProof/>
          <w:sz w:val="22"/>
          <w:szCs w:val="22"/>
          <w:lang w:eastAsia="en-AU"/>
        </w:rPr>
      </w:pPr>
      <w:r>
        <w:rPr>
          <w:noProof/>
        </w:rPr>
        <w:t>Key points</w:t>
      </w:r>
      <w:r w:rsidR="00050D42">
        <w:rPr>
          <w:noProof/>
        </w:rPr>
        <w:tab/>
      </w:r>
      <w:r w:rsidRPr="00125961">
        <w:rPr>
          <w:b w:val="0"/>
          <w:noProof/>
          <w:sz w:val="24"/>
          <w:szCs w:val="24"/>
        </w:rPr>
        <w:t>2</w:t>
      </w:r>
    </w:p>
    <w:p w:rsidR="00050D42" w:rsidRPr="00125961" w:rsidRDefault="004C36A1">
      <w:pPr>
        <w:pStyle w:val="TOC1"/>
        <w:rPr>
          <w:b w:val="0"/>
          <w:noProof/>
          <w:sz w:val="24"/>
          <w:szCs w:val="24"/>
        </w:rPr>
      </w:pPr>
      <w:r>
        <w:rPr>
          <w:noProof/>
        </w:rPr>
        <w:t>Overview</w:t>
      </w:r>
      <w:r w:rsidR="00050D42">
        <w:rPr>
          <w:noProof/>
        </w:rPr>
        <w:tab/>
      </w:r>
      <w:r w:rsidRPr="00125961">
        <w:rPr>
          <w:b w:val="0"/>
          <w:noProof/>
          <w:sz w:val="24"/>
          <w:szCs w:val="24"/>
        </w:rPr>
        <w:t>3</w:t>
      </w:r>
    </w:p>
    <w:p w:rsidR="00050D42" w:rsidRPr="00125961" w:rsidRDefault="00050D42">
      <w:pPr>
        <w:pStyle w:val="TOC1"/>
        <w:rPr>
          <w:b w:val="0"/>
          <w:noProof/>
          <w:sz w:val="24"/>
          <w:szCs w:val="24"/>
        </w:rPr>
      </w:pPr>
      <w:r>
        <w:rPr>
          <w:noProof/>
        </w:rPr>
        <w:t>Recommendations, findings and information requests</w:t>
      </w:r>
      <w:r>
        <w:rPr>
          <w:noProof/>
        </w:rPr>
        <w:tab/>
      </w:r>
      <w:r w:rsidRPr="00125961">
        <w:rPr>
          <w:b w:val="0"/>
          <w:noProof/>
          <w:sz w:val="24"/>
          <w:szCs w:val="24"/>
        </w:rPr>
        <w:t>17</w:t>
      </w:r>
    </w:p>
    <w:p w:rsidR="00050D42" w:rsidRPr="00125961" w:rsidRDefault="00050D42">
      <w:pPr>
        <w:pStyle w:val="TOC1"/>
        <w:rPr>
          <w:b w:val="0"/>
          <w:noProof/>
          <w:sz w:val="24"/>
          <w:szCs w:val="24"/>
        </w:rPr>
      </w:pPr>
      <w:r>
        <w:rPr>
          <w:noProof/>
        </w:rPr>
        <w:t>1</w:t>
      </w:r>
      <w:r>
        <w:rPr>
          <w:rFonts w:asciiTheme="minorHAnsi" w:eastAsiaTheme="minorEastAsia" w:hAnsiTheme="minorHAnsi" w:cstheme="minorBidi"/>
          <w:b w:val="0"/>
          <w:noProof/>
          <w:sz w:val="22"/>
          <w:szCs w:val="22"/>
          <w:lang w:eastAsia="en-AU"/>
        </w:rPr>
        <w:tab/>
      </w:r>
      <w:r>
        <w:rPr>
          <w:noProof/>
        </w:rPr>
        <w:t>About the study</w:t>
      </w:r>
      <w:r>
        <w:rPr>
          <w:noProof/>
        </w:rPr>
        <w:tab/>
      </w:r>
      <w:r w:rsidRPr="00125961">
        <w:rPr>
          <w:b w:val="0"/>
          <w:noProof/>
          <w:sz w:val="24"/>
          <w:szCs w:val="24"/>
        </w:rPr>
        <w:t>25</w:t>
      </w:r>
    </w:p>
    <w:p w:rsidR="00050D42" w:rsidRPr="00125961" w:rsidRDefault="00050D42">
      <w:pPr>
        <w:pStyle w:val="TOC2"/>
        <w:tabs>
          <w:tab w:val="left" w:pos="1190"/>
        </w:tabs>
        <w:rPr>
          <w:noProof/>
          <w:sz w:val="24"/>
          <w:szCs w:val="24"/>
        </w:rPr>
      </w:pPr>
      <w:r>
        <w:rPr>
          <w:noProof/>
        </w:rPr>
        <w:t>1.1</w:t>
      </w:r>
      <w:r>
        <w:rPr>
          <w:rFonts w:asciiTheme="minorHAnsi" w:eastAsiaTheme="minorEastAsia" w:hAnsiTheme="minorHAnsi" w:cstheme="minorBidi"/>
          <w:noProof/>
          <w:sz w:val="22"/>
          <w:szCs w:val="22"/>
          <w:lang w:eastAsia="en-AU"/>
        </w:rPr>
        <w:tab/>
      </w:r>
      <w:r>
        <w:rPr>
          <w:noProof/>
        </w:rPr>
        <w:t>The study’s scope</w:t>
      </w:r>
      <w:r>
        <w:rPr>
          <w:noProof/>
        </w:rPr>
        <w:tab/>
      </w:r>
      <w:r w:rsidRPr="00125961">
        <w:rPr>
          <w:noProof/>
          <w:sz w:val="24"/>
          <w:szCs w:val="24"/>
        </w:rPr>
        <w:t>26</w:t>
      </w:r>
    </w:p>
    <w:p w:rsidR="00050D42" w:rsidRPr="00125961" w:rsidRDefault="00050D42">
      <w:pPr>
        <w:pStyle w:val="TOC2"/>
        <w:tabs>
          <w:tab w:val="left" w:pos="1190"/>
        </w:tabs>
        <w:rPr>
          <w:noProof/>
          <w:sz w:val="24"/>
          <w:szCs w:val="24"/>
        </w:rPr>
      </w:pPr>
      <w:r>
        <w:rPr>
          <w:noProof/>
        </w:rPr>
        <w:t>1.2</w:t>
      </w:r>
      <w:r>
        <w:rPr>
          <w:rFonts w:asciiTheme="minorHAnsi" w:eastAsiaTheme="minorEastAsia" w:hAnsiTheme="minorHAnsi" w:cstheme="minorBidi"/>
          <w:noProof/>
          <w:sz w:val="22"/>
          <w:szCs w:val="22"/>
          <w:lang w:eastAsia="en-AU"/>
        </w:rPr>
        <w:tab/>
      </w:r>
      <w:r>
        <w:rPr>
          <w:noProof/>
        </w:rPr>
        <w:t>The Commission’s approach</w:t>
      </w:r>
      <w:r>
        <w:rPr>
          <w:noProof/>
        </w:rPr>
        <w:tab/>
      </w:r>
      <w:r w:rsidRPr="00125961">
        <w:rPr>
          <w:noProof/>
          <w:sz w:val="24"/>
          <w:szCs w:val="24"/>
        </w:rPr>
        <w:t>3</w:t>
      </w:r>
      <w:r w:rsidR="00296263">
        <w:rPr>
          <w:noProof/>
          <w:sz w:val="24"/>
          <w:szCs w:val="24"/>
        </w:rPr>
        <w:t>2</w:t>
      </w:r>
    </w:p>
    <w:p w:rsidR="00050D42" w:rsidRPr="00125961" w:rsidRDefault="00050D42">
      <w:pPr>
        <w:pStyle w:val="TOC1"/>
        <w:rPr>
          <w:b w:val="0"/>
          <w:noProof/>
          <w:sz w:val="24"/>
          <w:szCs w:val="24"/>
        </w:rPr>
      </w:pPr>
      <w:r>
        <w:rPr>
          <w:noProof/>
        </w:rPr>
        <w:t>2</w:t>
      </w:r>
      <w:r>
        <w:rPr>
          <w:rFonts w:asciiTheme="minorHAnsi" w:eastAsiaTheme="minorEastAsia" w:hAnsiTheme="minorHAnsi" w:cstheme="minorBidi"/>
          <w:b w:val="0"/>
          <w:noProof/>
          <w:sz w:val="22"/>
          <w:szCs w:val="22"/>
          <w:lang w:eastAsia="en-AU"/>
        </w:rPr>
        <w:tab/>
      </w:r>
      <w:r>
        <w:rPr>
          <w:noProof/>
        </w:rPr>
        <w:t>The consumer protection landscape</w:t>
      </w:r>
      <w:r>
        <w:rPr>
          <w:noProof/>
        </w:rPr>
        <w:tab/>
      </w:r>
      <w:r w:rsidRPr="00125961">
        <w:rPr>
          <w:b w:val="0"/>
          <w:noProof/>
          <w:sz w:val="24"/>
          <w:szCs w:val="24"/>
        </w:rPr>
        <w:t>39</w:t>
      </w:r>
    </w:p>
    <w:p w:rsidR="00050D42" w:rsidRPr="00125961" w:rsidRDefault="00050D42">
      <w:pPr>
        <w:pStyle w:val="TOC2"/>
        <w:tabs>
          <w:tab w:val="left" w:pos="1190"/>
        </w:tabs>
        <w:rPr>
          <w:noProof/>
          <w:sz w:val="24"/>
          <w:szCs w:val="24"/>
        </w:rPr>
      </w:pPr>
      <w:r>
        <w:rPr>
          <w:noProof/>
        </w:rPr>
        <w:t>2.1</w:t>
      </w:r>
      <w:r>
        <w:rPr>
          <w:rFonts w:asciiTheme="minorHAnsi" w:eastAsiaTheme="minorEastAsia" w:hAnsiTheme="minorHAnsi" w:cstheme="minorBidi"/>
          <w:noProof/>
          <w:sz w:val="22"/>
          <w:szCs w:val="22"/>
          <w:lang w:eastAsia="en-AU"/>
        </w:rPr>
        <w:tab/>
      </w:r>
      <w:r>
        <w:rPr>
          <w:noProof/>
        </w:rPr>
        <w:t>Recent changes to the consumer protection landscape in Australia</w:t>
      </w:r>
      <w:r>
        <w:rPr>
          <w:noProof/>
        </w:rPr>
        <w:tab/>
      </w:r>
      <w:r w:rsidRPr="00125961">
        <w:rPr>
          <w:noProof/>
          <w:sz w:val="24"/>
          <w:szCs w:val="24"/>
        </w:rPr>
        <w:t>40</w:t>
      </w:r>
    </w:p>
    <w:p w:rsidR="00050D42" w:rsidRPr="00125961" w:rsidRDefault="00050D42">
      <w:pPr>
        <w:pStyle w:val="TOC2"/>
        <w:tabs>
          <w:tab w:val="left" w:pos="1190"/>
        </w:tabs>
        <w:rPr>
          <w:noProof/>
          <w:sz w:val="24"/>
          <w:szCs w:val="24"/>
        </w:rPr>
      </w:pPr>
      <w:r>
        <w:rPr>
          <w:noProof/>
        </w:rPr>
        <w:t>2.2</w:t>
      </w:r>
      <w:r>
        <w:rPr>
          <w:rFonts w:asciiTheme="minorHAnsi" w:eastAsiaTheme="minorEastAsia" w:hAnsiTheme="minorHAnsi" w:cstheme="minorBidi"/>
          <w:noProof/>
          <w:sz w:val="22"/>
          <w:szCs w:val="22"/>
          <w:lang w:eastAsia="en-AU"/>
        </w:rPr>
        <w:tab/>
      </w:r>
      <w:r>
        <w:rPr>
          <w:noProof/>
        </w:rPr>
        <w:t>Administration and enforcement of the ACL</w:t>
      </w:r>
      <w:r>
        <w:rPr>
          <w:noProof/>
        </w:rPr>
        <w:tab/>
      </w:r>
      <w:r w:rsidRPr="00125961">
        <w:rPr>
          <w:noProof/>
          <w:sz w:val="24"/>
          <w:szCs w:val="24"/>
        </w:rPr>
        <w:t>45</w:t>
      </w:r>
    </w:p>
    <w:p w:rsidR="00050D42" w:rsidRPr="00125961" w:rsidRDefault="00050D42">
      <w:pPr>
        <w:pStyle w:val="TOC2"/>
        <w:tabs>
          <w:tab w:val="left" w:pos="1190"/>
        </w:tabs>
        <w:rPr>
          <w:noProof/>
          <w:sz w:val="24"/>
          <w:szCs w:val="24"/>
        </w:rPr>
      </w:pPr>
      <w:r>
        <w:rPr>
          <w:noProof/>
        </w:rPr>
        <w:t>2.3</w:t>
      </w:r>
      <w:r>
        <w:rPr>
          <w:rFonts w:asciiTheme="minorHAnsi" w:eastAsiaTheme="minorEastAsia" w:hAnsiTheme="minorHAnsi" w:cstheme="minorBidi"/>
          <w:noProof/>
          <w:sz w:val="22"/>
          <w:szCs w:val="22"/>
          <w:lang w:eastAsia="en-AU"/>
        </w:rPr>
        <w:tab/>
      </w:r>
      <w:r>
        <w:rPr>
          <w:noProof/>
        </w:rPr>
        <w:t>Specialist consumer protection regulation</w:t>
      </w:r>
      <w:r>
        <w:rPr>
          <w:noProof/>
        </w:rPr>
        <w:tab/>
      </w:r>
      <w:r w:rsidRPr="00125961">
        <w:rPr>
          <w:noProof/>
          <w:sz w:val="24"/>
          <w:szCs w:val="24"/>
        </w:rPr>
        <w:t>54</w:t>
      </w:r>
    </w:p>
    <w:p w:rsidR="00050D42" w:rsidRPr="00125961" w:rsidRDefault="00050D42">
      <w:pPr>
        <w:pStyle w:val="TOC2"/>
        <w:tabs>
          <w:tab w:val="left" w:pos="1190"/>
        </w:tabs>
        <w:rPr>
          <w:noProof/>
          <w:sz w:val="24"/>
          <w:szCs w:val="24"/>
        </w:rPr>
      </w:pPr>
      <w:r>
        <w:rPr>
          <w:noProof/>
        </w:rPr>
        <w:t>2.4</w:t>
      </w:r>
      <w:r>
        <w:rPr>
          <w:rFonts w:asciiTheme="minorHAnsi" w:eastAsiaTheme="minorEastAsia" w:hAnsiTheme="minorHAnsi" w:cstheme="minorBidi"/>
          <w:noProof/>
          <w:sz w:val="22"/>
          <w:szCs w:val="22"/>
          <w:lang w:eastAsia="en-AU"/>
        </w:rPr>
        <w:tab/>
      </w:r>
      <w:r>
        <w:rPr>
          <w:noProof/>
        </w:rPr>
        <w:t>Other elements of the consumer protection landscape</w:t>
      </w:r>
      <w:r>
        <w:rPr>
          <w:noProof/>
        </w:rPr>
        <w:tab/>
      </w:r>
      <w:r w:rsidRPr="00125961">
        <w:rPr>
          <w:noProof/>
          <w:sz w:val="24"/>
          <w:szCs w:val="24"/>
        </w:rPr>
        <w:t>57</w:t>
      </w:r>
    </w:p>
    <w:p w:rsidR="00050D42" w:rsidRPr="00125961" w:rsidRDefault="00050D42">
      <w:pPr>
        <w:pStyle w:val="TOC1"/>
        <w:rPr>
          <w:b w:val="0"/>
          <w:noProof/>
          <w:sz w:val="24"/>
          <w:szCs w:val="24"/>
        </w:rPr>
      </w:pPr>
      <w:r>
        <w:rPr>
          <w:noProof/>
        </w:rPr>
        <w:t>3</w:t>
      </w:r>
      <w:r>
        <w:rPr>
          <w:rFonts w:asciiTheme="minorHAnsi" w:eastAsiaTheme="minorEastAsia" w:hAnsiTheme="minorHAnsi" w:cstheme="minorBidi"/>
          <w:b w:val="0"/>
          <w:noProof/>
          <w:sz w:val="22"/>
          <w:szCs w:val="22"/>
          <w:lang w:eastAsia="en-AU"/>
        </w:rPr>
        <w:tab/>
      </w:r>
      <w:r>
        <w:rPr>
          <w:noProof/>
        </w:rPr>
        <w:t>How is the ACL multiple-regulator model performing?</w:t>
      </w:r>
      <w:r>
        <w:rPr>
          <w:noProof/>
        </w:rPr>
        <w:tab/>
      </w:r>
      <w:r w:rsidRPr="00125961">
        <w:rPr>
          <w:b w:val="0"/>
          <w:noProof/>
          <w:sz w:val="24"/>
          <w:szCs w:val="24"/>
        </w:rPr>
        <w:t>63</w:t>
      </w:r>
    </w:p>
    <w:p w:rsidR="00050D42" w:rsidRPr="00125961" w:rsidRDefault="00050D42">
      <w:pPr>
        <w:pStyle w:val="TOC2"/>
        <w:tabs>
          <w:tab w:val="left" w:pos="1190"/>
        </w:tabs>
        <w:rPr>
          <w:noProof/>
          <w:sz w:val="24"/>
          <w:szCs w:val="24"/>
        </w:rPr>
      </w:pPr>
      <w:r>
        <w:rPr>
          <w:noProof/>
        </w:rPr>
        <w:t>3.1</w:t>
      </w:r>
      <w:r>
        <w:rPr>
          <w:rFonts w:asciiTheme="minorHAnsi" w:eastAsiaTheme="minorEastAsia" w:hAnsiTheme="minorHAnsi" w:cstheme="minorBidi"/>
          <w:noProof/>
          <w:sz w:val="22"/>
          <w:szCs w:val="22"/>
          <w:lang w:eastAsia="en-AU"/>
        </w:rPr>
        <w:tab/>
      </w:r>
      <w:r>
        <w:rPr>
          <w:noProof/>
        </w:rPr>
        <w:t>Overview of</w:t>
      </w:r>
      <w:r w:rsidR="00BC4B97">
        <w:rPr>
          <w:noProof/>
        </w:rPr>
        <w:t xml:space="preserve"> the operation of the multiple</w:t>
      </w:r>
      <w:r w:rsidR="00BC4B97">
        <w:rPr>
          <w:noProof/>
        </w:rPr>
        <w:noBreakHyphen/>
      </w:r>
      <w:r>
        <w:rPr>
          <w:noProof/>
        </w:rPr>
        <w:t>regulator model</w:t>
      </w:r>
      <w:r>
        <w:rPr>
          <w:noProof/>
        </w:rPr>
        <w:tab/>
      </w:r>
      <w:r w:rsidRPr="00125961">
        <w:rPr>
          <w:noProof/>
          <w:sz w:val="24"/>
          <w:szCs w:val="24"/>
        </w:rPr>
        <w:t>64</w:t>
      </w:r>
    </w:p>
    <w:p w:rsidR="00050D42" w:rsidRPr="00296263" w:rsidRDefault="00050D42">
      <w:pPr>
        <w:pStyle w:val="TOC2"/>
        <w:tabs>
          <w:tab w:val="left" w:pos="1190"/>
        </w:tabs>
        <w:rPr>
          <w:noProof/>
          <w:sz w:val="24"/>
          <w:szCs w:val="24"/>
        </w:rPr>
      </w:pPr>
      <w:r>
        <w:rPr>
          <w:noProof/>
        </w:rPr>
        <w:t>3.2</w:t>
      </w:r>
      <w:r>
        <w:rPr>
          <w:rFonts w:asciiTheme="minorHAnsi" w:eastAsiaTheme="minorEastAsia" w:hAnsiTheme="minorHAnsi" w:cstheme="minorBidi"/>
          <w:noProof/>
          <w:sz w:val="22"/>
          <w:szCs w:val="22"/>
          <w:lang w:eastAsia="en-AU"/>
        </w:rPr>
        <w:tab/>
      </w:r>
      <w:r>
        <w:rPr>
          <w:noProof/>
        </w:rPr>
        <w:t>Consistency in administration and enforcement</w:t>
      </w:r>
      <w:r>
        <w:rPr>
          <w:noProof/>
        </w:rPr>
        <w:tab/>
      </w:r>
      <w:r w:rsidRPr="00296263">
        <w:rPr>
          <w:noProof/>
          <w:sz w:val="24"/>
          <w:szCs w:val="24"/>
        </w:rPr>
        <w:t>72</w:t>
      </w:r>
    </w:p>
    <w:p w:rsidR="00050D42" w:rsidRPr="00296263" w:rsidRDefault="00050D42">
      <w:pPr>
        <w:pStyle w:val="TOC2"/>
        <w:tabs>
          <w:tab w:val="left" w:pos="1190"/>
        </w:tabs>
        <w:rPr>
          <w:noProof/>
          <w:sz w:val="24"/>
          <w:szCs w:val="24"/>
        </w:rPr>
      </w:pPr>
      <w:r>
        <w:rPr>
          <w:noProof/>
        </w:rPr>
        <w:t>3.3</w:t>
      </w:r>
      <w:r>
        <w:rPr>
          <w:rFonts w:asciiTheme="minorHAnsi" w:eastAsiaTheme="minorEastAsia" w:hAnsiTheme="minorHAnsi" w:cstheme="minorBidi"/>
          <w:noProof/>
          <w:sz w:val="22"/>
          <w:szCs w:val="22"/>
          <w:lang w:eastAsia="en-AU"/>
        </w:rPr>
        <w:tab/>
      </w:r>
      <w:r>
        <w:rPr>
          <w:noProof/>
        </w:rPr>
        <w:t>Strategies for compliance and enforcement</w:t>
      </w:r>
      <w:r>
        <w:rPr>
          <w:noProof/>
        </w:rPr>
        <w:tab/>
      </w:r>
      <w:r w:rsidRPr="00296263">
        <w:rPr>
          <w:noProof/>
          <w:sz w:val="24"/>
          <w:szCs w:val="24"/>
        </w:rPr>
        <w:t>8</w:t>
      </w:r>
      <w:r w:rsidR="00296263">
        <w:rPr>
          <w:noProof/>
          <w:sz w:val="24"/>
          <w:szCs w:val="24"/>
        </w:rPr>
        <w:t>2</w:t>
      </w:r>
    </w:p>
    <w:p w:rsidR="00050D42" w:rsidRPr="00296263" w:rsidRDefault="00050D42" w:rsidP="00B53FD5">
      <w:pPr>
        <w:pStyle w:val="TOC1"/>
        <w:keepNext/>
        <w:ind w:right="284"/>
        <w:rPr>
          <w:b w:val="0"/>
          <w:noProof/>
          <w:sz w:val="24"/>
          <w:szCs w:val="24"/>
        </w:rPr>
      </w:pPr>
      <w:r>
        <w:rPr>
          <w:noProof/>
        </w:rPr>
        <w:t>4</w:t>
      </w:r>
      <w:r>
        <w:rPr>
          <w:rFonts w:asciiTheme="minorHAnsi" w:eastAsiaTheme="minorEastAsia" w:hAnsiTheme="minorHAnsi" w:cstheme="minorBidi"/>
          <w:b w:val="0"/>
          <w:noProof/>
          <w:sz w:val="22"/>
          <w:szCs w:val="22"/>
          <w:lang w:eastAsia="en-AU"/>
        </w:rPr>
        <w:tab/>
      </w:r>
      <w:r w:rsidRPr="00B53FD5">
        <w:rPr>
          <w:noProof/>
          <w:spacing w:val="-4"/>
        </w:rPr>
        <w:t>Strengthening enforcement and administration under the model</w:t>
      </w:r>
      <w:r>
        <w:rPr>
          <w:noProof/>
        </w:rPr>
        <w:tab/>
      </w:r>
      <w:r w:rsidRPr="00296263">
        <w:rPr>
          <w:b w:val="0"/>
          <w:noProof/>
          <w:sz w:val="24"/>
          <w:szCs w:val="24"/>
        </w:rPr>
        <w:t>95</w:t>
      </w:r>
    </w:p>
    <w:p w:rsidR="00050D42" w:rsidRDefault="00050D42">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Institutional arrangements for the generic national product safety regime</w:t>
      </w:r>
      <w:r>
        <w:rPr>
          <w:noProof/>
        </w:rPr>
        <w:tab/>
      </w:r>
      <w:r w:rsidRPr="00296263">
        <w:rPr>
          <w:noProof/>
          <w:sz w:val="24"/>
          <w:szCs w:val="24"/>
        </w:rPr>
        <w:t>96</w:t>
      </w:r>
    </w:p>
    <w:p w:rsidR="00050D42" w:rsidRPr="00296263" w:rsidRDefault="00050D42">
      <w:pPr>
        <w:pStyle w:val="TOC2"/>
        <w:tabs>
          <w:tab w:val="left" w:pos="1190"/>
        </w:tabs>
        <w:rPr>
          <w:noProof/>
          <w:sz w:val="24"/>
          <w:szCs w:val="24"/>
        </w:rPr>
      </w:pPr>
      <w:r>
        <w:rPr>
          <w:noProof/>
        </w:rPr>
        <w:t>4.2</w:t>
      </w:r>
      <w:r>
        <w:rPr>
          <w:rFonts w:asciiTheme="minorHAnsi" w:eastAsiaTheme="minorEastAsia" w:hAnsiTheme="minorHAnsi" w:cstheme="minorBidi"/>
          <w:noProof/>
          <w:sz w:val="22"/>
          <w:szCs w:val="22"/>
          <w:lang w:eastAsia="en-AU"/>
        </w:rPr>
        <w:tab/>
      </w:r>
      <w:r>
        <w:rPr>
          <w:noProof/>
        </w:rPr>
        <w:t>Intelligence gathering and sharing</w:t>
      </w:r>
      <w:r>
        <w:rPr>
          <w:noProof/>
        </w:rPr>
        <w:tab/>
      </w:r>
      <w:r w:rsidRPr="00296263">
        <w:rPr>
          <w:noProof/>
          <w:sz w:val="24"/>
          <w:szCs w:val="24"/>
        </w:rPr>
        <w:t>108</w:t>
      </w:r>
    </w:p>
    <w:p w:rsidR="00050D42" w:rsidRPr="00296263" w:rsidRDefault="00050D42">
      <w:pPr>
        <w:pStyle w:val="TOC2"/>
        <w:tabs>
          <w:tab w:val="left" w:pos="1190"/>
        </w:tabs>
        <w:rPr>
          <w:noProof/>
          <w:sz w:val="24"/>
          <w:szCs w:val="24"/>
        </w:rPr>
      </w:pPr>
      <w:r>
        <w:rPr>
          <w:noProof/>
        </w:rPr>
        <w:t>4.3</w:t>
      </w:r>
      <w:r>
        <w:rPr>
          <w:rFonts w:asciiTheme="minorHAnsi" w:eastAsiaTheme="minorEastAsia" w:hAnsiTheme="minorHAnsi" w:cstheme="minorBidi"/>
          <w:noProof/>
          <w:sz w:val="22"/>
          <w:szCs w:val="22"/>
          <w:lang w:eastAsia="en-AU"/>
        </w:rPr>
        <w:tab/>
      </w:r>
      <w:r>
        <w:rPr>
          <w:noProof/>
        </w:rPr>
        <w:t>Enforcement tools and penalties</w:t>
      </w:r>
      <w:r>
        <w:rPr>
          <w:noProof/>
        </w:rPr>
        <w:tab/>
      </w:r>
      <w:r w:rsidRPr="00296263">
        <w:rPr>
          <w:noProof/>
          <w:sz w:val="24"/>
          <w:szCs w:val="24"/>
        </w:rPr>
        <w:t>11</w:t>
      </w:r>
      <w:r w:rsidR="00296263">
        <w:rPr>
          <w:noProof/>
          <w:sz w:val="24"/>
          <w:szCs w:val="24"/>
        </w:rPr>
        <w:t>6</w:t>
      </w:r>
    </w:p>
    <w:p w:rsidR="00050D42" w:rsidRPr="00296263" w:rsidRDefault="00050D42">
      <w:pPr>
        <w:pStyle w:val="TOC2"/>
        <w:tabs>
          <w:tab w:val="left" w:pos="1190"/>
        </w:tabs>
        <w:rPr>
          <w:noProof/>
          <w:sz w:val="24"/>
          <w:szCs w:val="24"/>
        </w:rPr>
      </w:pPr>
      <w:r>
        <w:rPr>
          <w:noProof/>
        </w:rPr>
        <w:t>4.4</w:t>
      </w:r>
      <w:r>
        <w:rPr>
          <w:rFonts w:asciiTheme="minorHAnsi" w:eastAsiaTheme="minorEastAsia" w:hAnsiTheme="minorHAnsi" w:cstheme="minorBidi"/>
          <w:noProof/>
          <w:sz w:val="22"/>
          <w:szCs w:val="22"/>
          <w:lang w:eastAsia="en-AU"/>
        </w:rPr>
        <w:tab/>
      </w:r>
      <w:r>
        <w:rPr>
          <w:noProof/>
        </w:rPr>
        <w:t>Accountability and performance reporting</w:t>
      </w:r>
      <w:r>
        <w:rPr>
          <w:noProof/>
        </w:rPr>
        <w:tab/>
      </w:r>
      <w:r w:rsidRPr="00296263">
        <w:rPr>
          <w:noProof/>
          <w:sz w:val="24"/>
          <w:szCs w:val="24"/>
        </w:rPr>
        <w:t>12</w:t>
      </w:r>
      <w:r w:rsidR="00296263">
        <w:rPr>
          <w:noProof/>
          <w:sz w:val="24"/>
          <w:szCs w:val="24"/>
        </w:rPr>
        <w:t>3</w:t>
      </w:r>
    </w:p>
    <w:p w:rsidR="00050D42" w:rsidRPr="00296263" w:rsidRDefault="00050D42" w:rsidP="00781495">
      <w:pPr>
        <w:pStyle w:val="TOC1"/>
        <w:keepNext/>
        <w:rPr>
          <w:b w:val="0"/>
          <w:noProof/>
          <w:sz w:val="24"/>
          <w:szCs w:val="24"/>
        </w:rPr>
      </w:pPr>
      <w:r>
        <w:rPr>
          <w:noProof/>
        </w:rPr>
        <w:lastRenderedPageBreak/>
        <w:t>5</w:t>
      </w:r>
      <w:r>
        <w:rPr>
          <w:rFonts w:asciiTheme="minorHAnsi" w:eastAsiaTheme="minorEastAsia" w:hAnsiTheme="minorHAnsi" w:cstheme="minorBidi"/>
          <w:b w:val="0"/>
          <w:noProof/>
          <w:sz w:val="22"/>
          <w:szCs w:val="22"/>
          <w:lang w:eastAsia="en-AU"/>
        </w:rPr>
        <w:tab/>
      </w:r>
      <w:r>
        <w:rPr>
          <w:noProof/>
        </w:rPr>
        <w:t xml:space="preserve">Interaction between specialist safety </w:t>
      </w:r>
      <w:r w:rsidR="00781495">
        <w:rPr>
          <w:noProof/>
        </w:rPr>
        <w:t>and ACL</w:t>
      </w:r>
      <w:r>
        <w:rPr>
          <w:noProof/>
        </w:rPr>
        <w:t xml:space="preserve"> regulators</w:t>
      </w:r>
      <w:r>
        <w:rPr>
          <w:noProof/>
        </w:rPr>
        <w:tab/>
      </w:r>
      <w:r w:rsidRPr="00296263">
        <w:rPr>
          <w:b w:val="0"/>
          <w:noProof/>
          <w:sz w:val="24"/>
          <w:szCs w:val="24"/>
        </w:rPr>
        <w:t>13</w:t>
      </w:r>
      <w:r w:rsidR="00F14EBF">
        <w:rPr>
          <w:b w:val="0"/>
          <w:noProof/>
          <w:sz w:val="24"/>
          <w:szCs w:val="24"/>
        </w:rPr>
        <w:t>3</w:t>
      </w:r>
    </w:p>
    <w:p w:rsidR="00050D42" w:rsidRPr="00296263" w:rsidRDefault="00050D42">
      <w:pPr>
        <w:pStyle w:val="TOC2"/>
        <w:tabs>
          <w:tab w:val="left" w:pos="1190"/>
        </w:tabs>
        <w:rPr>
          <w:noProof/>
          <w:sz w:val="24"/>
          <w:szCs w:val="24"/>
        </w:rPr>
      </w:pPr>
      <w:r>
        <w:rPr>
          <w:noProof/>
        </w:rPr>
        <w:t>5.1</w:t>
      </w:r>
      <w:r>
        <w:rPr>
          <w:rFonts w:asciiTheme="minorHAnsi" w:eastAsiaTheme="minorEastAsia" w:hAnsiTheme="minorHAnsi" w:cstheme="minorBidi"/>
          <w:noProof/>
          <w:sz w:val="22"/>
          <w:szCs w:val="22"/>
          <w:lang w:eastAsia="en-AU"/>
        </w:rPr>
        <w:tab/>
      </w:r>
      <w:r>
        <w:rPr>
          <w:noProof/>
        </w:rPr>
        <w:t>Australia’s specialist safety regimes</w:t>
      </w:r>
      <w:r>
        <w:rPr>
          <w:noProof/>
        </w:rPr>
        <w:tab/>
      </w:r>
      <w:r w:rsidRPr="00296263">
        <w:rPr>
          <w:noProof/>
          <w:sz w:val="24"/>
          <w:szCs w:val="24"/>
        </w:rPr>
        <w:t>13</w:t>
      </w:r>
      <w:r w:rsidR="004F5920">
        <w:rPr>
          <w:noProof/>
          <w:sz w:val="24"/>
          <w:szCs w:val="24"/>
        </w:rPr>
        <w:t>5</w:t>
      </w:r>
    </w:p>
    <w:p w:rsidR="00050D42" w:rsidRPr="00296263" w:rsidRDefault="00050D42">
      <w:pPr>
        <w:pStyle w:val="TOC2"/>
        <w:tabs>
          <w:tab w:val="left" w:pos="1190"/>
        </w:tabs>
        <w:rPr>
          <w:noProof/>
          <w:sz w:val="24"/>
          <w:szCs w:val="24"/>
        </w:rPr>
      </w:pPr>
      <w:r>
        <w:rPr>
          <w:noProof/>
        </w:rPr>
        <w:t>5.2</w:t>
      </w:r>
      <w:r>
        <w:rPr>
          <w:rFonts w:asciiTheme="minorHAnsi" w:eastAsiaTheme="minorEastAsia" w:hAnsiTheme="minorHAnsi" w:cstheme="minorBidi"/>
          <w:noProof/>
          <w:sz w:val="22"/>
          <w:szCs w:val="22"/>
          <w:lang w:eastAsia="en-AU"/>
        </w:rPr>
        <w:tab/>
      </w:r>
      <w:r w:rsidRPr="00B53FD5">
        <w:rPr>
          <w:noProof/>
          <w:spacing w:val="-4"/>
        </w:rPr>
        <w:t>Regulators’ understanding of the delineation of their responsibilities</w:t>
      </w:r>
      <w:r>
        <w:rPr>
          <w:noProof/>
        </w:rPr>
        <w:tab/>
      </w:r>
      <w:r w:rsidRPr="00296263">
        <w:rPr>
          <w:noProof/>
          <w:sz w:val="24"/>
          <w:szCs w:val="24"/>
        </w:rPr>
        <w:t>13</w:t>
      </w:r>
      <w:r w:rsidR="004F5920">
        <w:rPr>
          <w:noProof/>
          <w:sz w:val="24"/>
          <w:szCs w:val="24"/>
        </w:rPr>
        <w:t>6</w:t>
      </w:r>
    </w:p>
    <w:p w:rsidR="00050D42" w:rsidRPr="00296263" w:rsidRDefault="00050D42">
      <w:pPr>
        <w:pStyle w:val="TOC2"/>
        <w:tabs>
          <w:tab w:val="left" w:pos="1190"/>
        </w:tabs>
        <w:rPr>
          <w:noProof/>
          <w:sz w:val="24"/>
          <w:szCs w:val="24"/>
        </w:rPr>
      </w:pPr>
      <w:r>
        <w:rPr>
          <w:noProof/>
        </w:rPr>
        <w:t>5.3</w:t>
      </w:r>
      <w:r>
        <w:rPr>
          <w:rFonts w:asciiTheme="minorHAnsi" w:eastAsiaTheme="minorEastAsia" w:hAnsiTheme="minorHAnsi" w:cstheme="minorBidi"/>
          <w:noProof/>
          <w:sz w:val="22"/>
          <w:szCs w:val="22"/>
          <w:lang w:eastAsia="en-AU"/>
        </w:rPr>
        <w:tab/>
      </w:r>
      <w:r>
        <w:rPr>
          <w:noProof/>
        </w:rPr>
        <w:t>Consumers’ and suppliers’ understanding of the delineation of regulatory responsibilities</w:t>
      </w:r>
      <w:r>
        <w:rPr>
          <w:noProof/>
        </w:rPr>
        <w:tab/>
      </w:r>
      <w:r w:rsidRPr="00296263">
        <w:rPr>
          <w:noProof/>
          <w:sz w:val="24"/>
          <w:szCs w:val="24"/>
        </w:rPr>
        <w:t>14</w:t>
      </w:r>
      <w:r w:rsidR="004F5920">
        <w:rPr>
          <w:noProof/>
          <w:sz w:val="24"/>
          <w:szCs w:val="24"/>
        </w:rPr>
        <w:t>1</w:t>
      </w:r>
    </w:p>
    <w:p w:rsidR="00050D42" w:rsidRPr="00296263" w:rsidRDefault="00050D42">
      <w:pPr>
        <w:pStyle w:val="TOC2"/>
        <w:tabs>
          <w:tab w:val="left" w:pos="1190"/>
        </w:tabs>
        <w:rPr>
          <w:noProof/>
          <w:sz w:val="24"/>
          <w:szCs w:val="24"/>
        </w:rPr>
      </w:pPr>
      <w:r>
        <w:rPr>
          <w:noProof/>
        </w:rPr>
        <w:t>5.4</w:t>
      </w:r>
      <w:r>
        <w:rPr>
          <w:rFonts w:asciiTheme="minorHAnsi" w:eastAsiaTheme="minorEastAsia" w:hAnsiTheme="minorHAnsi" w:cstheme="minorBidi"/>
          <w:noProof/>
          <w:sz w:val="22"/>
          <w:szCs w:val="22"/>
          <w:lang w:eastAsia="en-AU"/>
        </w:rPr>
        <w:tab/>
      </w:r>
      <w:r>
        <w:rPr>
          <w:noProof/>
        </w:rPr>
        <w:t>Interaction between ACL and specialist safety regulators</w:t>
      </w:r>
      <w:r>
        <w:rPr>
          <w:noProof/>
        </w:rPr>
        <w:tab/>
      </w:r>
      <w:r w:rsidRPr="00296263">
        <w:rPr>
          <w:noProof/>
          <w:sz w:val="24"/>
          <w:szCs w:val="24"/>
        </w:rPr>
        <w:t>14</w:t>
      </w:r>
      <w:r w:rsidR="004F5920">
        <w:rPr>
          <w:noProof/>
          <w:sz w:val="24"/>
          <w:szCs w:val="24"/>
        </w:rPr>
        <w:t>7</w:t>
      </w:r>
    </w:p>
    <w:p w:rsidR="00050D42" w:rsidRPr="00296263" w:rsidRDefault="00050D42">
      <w:pPr>
        <w:pStyle w:val="TOC2"/>
        <w:tabs>
          <w:tab w:val="left" w:pos="1190"/>
        </w:tabs>
        <w:rPr>
          <w:noProof/>
          <w:sz w:val="24"/>
          <w:szCs w:val="24"/>
        </w:rPr>
      </w:pPr>
      <w:r>
        <w:rPr>
          <w:noProof/>
        </w:rPr>
        <w:t>5.5</w:t>
      </w:r>
      <w:r>
        <w:rPr>
          <w:rFonts w:asciiTheme="minorHAnsi" w:eastAsiaTheme="minorEastAsia" w:hAnsiTheme="minorHAnsi" w:cstheme="minorBidi"/>
          <w:noProof/>
          <w:sz w:val="22"/>
          <w:szCs w:val="22"/>
          <w:lang w:eastAsia="en-AU"/>
        </w:rPr>
        <w:tab/>
      </w:r>
      <w:r>
        <w:rPr>
          <w:noProof/>
        </w:rPr>
        <w:t>How might interaction be improved?</w:t>
      </w:r>
      <w:r>
        <w:rPr>
          <w:noProof/>
        </w:rPr>
        <w:tab/>
      </w:r>
      <w:r w:rsidRPr="00296263">
        <w:rPr>
          <w:noProof/>
          <w:sz w:val="24"/>
          <w:szCs w:val="24"/>
        </w:rPr>
        <w:t>15</w:t>
      </w:r>
      <w:r w:rsidR="004F5920">
        <w:rPr>
          <w:noProof/>
          <w:sz w:val="24"/>
          <w:szCs w:val="24"/>
        </w:rPr>
        <w:t>0</w:t>
      </w:r>
    </w:p>
    <w:p w:rsidR="00050D42" w:rsidRPr="00296263" w:rsidRDefault="00050D42">
      <w:pPr>
        <w:pStyle w:val="TOC1"/>
        <w:rPr>
          <w:b w:val="0"/>
          <w:noProof/>
          <w:sz w:val="24"/>
          <w:szCs w:val="24"/>
        </w:rPr>
      </w:pPr>
      <w:r>
        <w:rPr>
          <w:noProof/>
        </w:rPr>
        <w:t>6</w:t>
      </w:r>
      <w:r>
        <w:rPr>
          <w:rFonts w:asciiTheme="minorHAnsi" w:eastAsiaTheme="minorEastAsia" w:hAnsiTheme="minorHAnsi" w:cstheme="minorBidi"/>
          <w:b w:val="0"/>
          <w:noProof/>
          <w:sz w:val="22"/>
          <w:szCs w:val="22"/>
          <w:lang w:eastAsia="en-AU"/>
        </w:rPr>
        <w:tab/>
      </w:r>
      <w:r>
        <w:rPr>
          <w:noProof/>
        </w:rPr>
        <w:t>Other reforms to the consumer protection framework</w:t>
      </w:r>
      <w:r>
        <w:rPr>
          <w:noProof/>
        </w:rPr>
        <w:tab/>
      </w:r>
      <w:r w:rsidRPr="00296263">
        <w:rPr>
          <w:b w:val="0"/>
          <w:noProof/>
          <w:sz w:val="24"/>
          <w:szCs w:val="24"/>
        </w:rPr>
        <w:t>16</w:t>
      </w:r>
      <w:r w:rsidR="004F5920">
        <w:rPr>
          <w:b w:val="0"/>
          <w:noProof/>
          <w:sz w:val="24"/>
          <w:szCs w:val="24"/>
        </w:rPr>
        <w:t>5</w:t>
      </w:r>
    </w:p>
    <w:p w:rsidR="00050D42" w:rsidRPr="00296263" w:rsidRDefault="00050D42">
      <w:pPr>
        <w:pStyle w:val="TOC2"/>
        <w:tabs>
          <w:tab w:val="left" w:pos="1190"/>
        </w:tabs>
        <w:rPr>
          <w:noProof/>
          <w:sz w:val="24"/>
          <w:szCs w:val="24"/>
        </w:rPr>
      </w:pPr>
      <w:r>
        <w:rPr>
          <w:noProof/>
        </w:rPr>
        <w:t>6.1</w:t>
      </w:r>
      <w:r>
        <w:rPr>
          <w:rFonts w:asciiTheme="minorHAnsi" w:eastAsiaTheme="minorEastAsia" w:hAnsiTheme="minorHAnsi" w:cstheme="minorBidi"/>
          <w:noProof/>
          <w:sz w:val="22"/>
          <w:szCs w:val="22"/>
          <w:lang w:eastAsia="en-AU"/>
        </w:rPr>
        <w:tab/>
      </w:r>
      <w:r>
        <w:rPr>
          <w:noProof/>
        </w:rPr>
        <w:t>Reform of industry</w:t>
      </w:r>
      <w:r w:rsidRPr="005D520E">
        <w:rPr>
          <w:rFonts w:cs="Arial"/>
          <w:noProof/>
        </w:rPr>
        <w:noBreakHyphen/>
      </w:r>
      <w:r>
        <w:rPr>
          <w:noProof/>
        </w:rPr>
        <w:t>specific consumer regulation</w:t>
      </w:r>
      <w:r>
        <w:rPr>
          <w:noProof/>
        </w:rPr>
        <w:tab/>
      </w:r>
      <w:r w:rsidRPr="00296263">
        <w:rPr>
          <w:noProof/>
          <w:sz w:val="24"/>
          <w:szCs w:val="24"/>
        </w:rPr>
        <w:t>16</w:t>
      </w:r>
      <w:r w:rsidR="004F5920">
        <w:rPr>
          <w:noProof/>
          <w:sz w:val="24"/>
          <w:szCs w:val="24"/>
        </w:rPr>
        <w:t>6</w:t>
      </w:r>
    </w:p>
    <w:p w:rsidR="00050D42" w:rsidRPr="00296263" w:rsidRDefault="00050D42">
      <w:pPr>
        <w:pStyle w:val="TOC2"/>
        <w:tabs>
          <w:tab w:val="left" w:pos="1190"/>
        </w:tabs>
        <w:rPr>
          <w:noProof/>
          <w:sz w:val="24"/>
          <w:szCs w:val="24"/>
        </w:rPr>
      </w:pPr>
      <w:r>
        <w:rPr>
          <w:noProof/>
        </w:rPr>
        <w:t>6.2</w:t>
      </w:r>
      <w:r>
        <w:rPr>
          <w:rFonts w:asciiTheme="minorHAnsi" w:eastAsiaTheme="minorEastAsia" w:hAnsiTheme="minorHAnsi" w:cstheme="minorBidi"/>
          <w:noProof/>
          <w:sz w:val="22"/>
          <w:szCs w:val="22"/>
          <w:lang w:eastAsia="en-AU"/>
        </w:rPr>
        <w:tab/>
      </w:r>
      <w:r>
        <w:rPr>
          <w:noProof/>
        </w:rPr>
        <w:t>Consumer redress</w:t>
      </w:r>
      <w:r>
        <w:rPr>
          <w:noProof/>
        </w:rPr>
        <w:tab/>
      </w:r>
      <w:r w:rsidRPr="00296263">
        <w:rPr>
          <w:noProof/>
          <w:sz w:val="24"/>
          <w:szCs w:val="24"/>
        </w:rPr>
        <w:t>17</w:t>
      </w:r>
      <w:r w:rsidR="004F5920">
        <w:rPr>
          <w:noProof/>
          <w:sz w:val="24"/>
          <w:szCs w:val="24"/>
        </w:rPr>
        <w:t>1</w:t>
      </w:r>
    </w:p>
    <w:p w:rsidR="00050D42" w:rsidRPr="00296263" w:rsidRDefault="00050D42">
      <w:pPr>
        <w:pStyle w:val="TOC2"/>
        <w:tabs>
          <w:tab w:val="left" w:pos="1190"/>
        </w:tabs>
        <w:rPr>
          <w:noProof/>
          <w:sz w:val="24"/>
          <w:szCs w:val="24"/>
        </w:rPr>
      </w:pPr>
      <w:r>
        <w:rPr>
          <w:noProof/>
        </w:rPr>
        <w:t>6.3</w:t>
      </w:r>
      <w:r>
        <w:rPr>
          <w:rFonts w:asciiTheme="minorHAnsi" w:eastAsiaTheme="minorEastAsia" w:hAnsiTheme="minorHAnsi" w:cstheme="minorBidi"/>
          <w:noProof/>
          <w:sz w:val="22"/>
          <w:szCs w:val="22"/>
          <w:lang w:eastAsia="en-AU"/>
        </w:rPr>
        <w:tab/>
      </w:r>
      <w:r>
        <w:rPr>
          <w:noProof/>
        </w:rPr>
        <w:t>Research and advocacy as inputs into policy</w:t>
      </w:r>
      <w:r>
        <w:rPr>
          <w:noProof/>
        </w:rPr>
        <w:tab/>
      </w:r>
      <w:r w:rsidRPr="00296263">
        <w:rPr>
          <w:noProof/>
          <w:sz w:val="24"/>
          <w:szCs w:val="24"/>
        </w:rPr>
        <w:t>18</w:t>
      </w:r>
      <w:r w:rsidR="004F5920">
        <w:rPr>
          <w:noProof/>
          <w:sz w:val="24"/>
          <w:szCs w:val="24"/>
        </w:rPr>
        <w:t>5</w:t>
      </w:r>
    </w:p>
    <w:p w:rsidR="00050D42" w:rsidRPr="00925CFB" w:rsidRDefault="00050D42" w:rsidP="00B53FD5">
      <w:pPr>
        <w:pStyle w:val="TOC1"/>
        <w:spacing w:before="360"/>
        <w:rPr>
          <w:noProof/>
        </w:rPr>
      </w:pPr>
      <w:r w:rsidRPr="00925CFB">
        <w:rPr>
          <w:noProof/>
        </w:rPr>
        <w:t>Appendi</w:t>
      </w:r>
      <w:r w:rsidR="00582140">
        <w:rPr>
          <w:noProof/>
        </w:rPr>
        <w:t>c</w:t>
      </w:r>
      <w:r w:rsidRPr="00925CFB">
        <w:rPr>
          <w:noProof/>
        </w:rPr>
        <w:t>es</w:t>
      </w:r>
      <w:r w:rsidRPr="00925CFB">
        <w:rPr>
          <w:noProof/>
        </w:rPr>
        <w:tab/>
      </w:r>
    </w:p>
    <w:p w:rsidR="00050D42" w:rsidRPr="00791840" w:rsidRDefault="00050D42">
      <w:pPr>
        <w:pStyle w:val="TOC1"/>
        <w:rPr>
          <w:noProof/>
          <w:sz w:val="24"/>
          <w:szCs w:val="24"/>
        </w:rPr>
      </w:pPr>
      <w:r w:rsidRPr="00791840">
        <w:rPr>
          <w:noProof/>
        </w:rPr>
        <w:t>A</w:t>
      </w:r>
      <w:r w:rsidRPr="00791840">
        <w:rPr>
          <w:noProof/>
        </w:rPr>
        <w:tab/>
        <w:t>Terms of reference</w:t>
      </w:r>
      <w:r w:rsidRPr="00791840">
        <w:rPr>
          <w:noProof/>
        </w:rPr>
        <w:tab/>
      </w:r>
      <w:r w:rsidRPr="00781495">
        <w:rPr>
          <w:b w:val="0"/>
          <w:noProof/>
          <w:sz w:val="24"/>
          <w:szCs w:val="24"/>
        </w:rPr>
        <w:t>19</w:t>
      </w:r>
      <w:r w:rsidR="004F5920" w:rsidRPr="00781495">
        <w:rPr>
          <w:b w:val="0"/>
          <w:noProof/>
          <w:sz w:val="24"/>
          <w:szCs w:val="24"/>
        </w:rPr>
        <w:t>3</w:t>
      </w:r>
    </w:p>
    <w:p w:rsidR="00050D42" w:rsidRPr="00791840" w:rsidRDefault="00050D42">
      <w:pPr>
        <w:pStyle w:val="TOC1"/>
        <w:rPr>
          <w:noProof/>
          <w:sz w:val="24"/>
          <w:szCs w:val="24"/>
        </w:rPr>
      </w:pPr>
      <w:r w:rsidRPr="00791840">
        <w:rPr>
          <w:noProof/>
        </w:rPr>
        <w:t>B</w:t>
      </w:r>
      <w:r w:rsidRPr="00791840">
        <w:rPr>
          <w:noProof/>
        </w:rPr>
        <w:tab/>
        <w:t>Consultation</w:t>
      </w:r>
      <w:r w:rsidRPr="00791840">
        <w:rPr>
          <w:noProof/>
        </w:rPr>
        <w:tab/>
      </w:r>
      <w:r w:rsidRPr="00781495">
        <w:rPr>
          <w:b w:val="0"/>
          <w:noProof/>
          <w:sz w:val="24"/>
          <w:szCs w:val="24"/>
        </w:rPr>
        <w:t>19</w:t>
      </w:r>
      <w:r w:rsidR="004F5920" w:rsidRPr="00781495">
        <w:rPr>
          <w:b w:val="0"/>
          <w:noProof/>
          <w:sz w:val="24"/>
          <w:szCs w:val="24"/>
        </w:rPr>
        <w:t>7</w:t>
      </w:r>
    </w:p>
    <w:p w:rsidR="004D3F58" w:rsidRDefault="00050D42" w:rsidP="00B53FD5">
      <w:pPr>
        <w:pStyle w:val="TOC1"/>
        <w:spacing w:before="360"/>
      </w:pPr>
      <w:r>
        <w:rPr>
          <w:noProof/>
        </w:rPr>
        <w:t>Reference</w:t>
      </w:r>
      <w:r w:rsidR="00296263">
        <w:rPr>
          <w:noProof/>
        </w:rPr>
        <w:t>s</w:t>
      </w:r>
      <w:r>
        <w:rPr>
          <w:noProof/>
        </w:rPr>
        <w:tab/>
      </w:r>
      <w:r w:rsidRPr="00296263">
        <w:rPr>
          <w:b w:val="0"/>
          <w:noProof/>
          <w:sz w:val="24"/>
          <w:szCs w:val="24"/>
        </w:rPr>
        <w:t>201</w:t>
      </w:r>
    </w:p>
    <w:p w:rsidR="00B53FD5" w:rsidRPr="00B53FD5" w:rsidRDefault="00B53FD5" w:rsidP="00B53FD5">
      <w:pPr>
        <w:pStyle w:val="TOC2"/>
      </w:pPr>
    </w:p>
    <w:p w:rsidR="00B53FD5" w:rsidRPr="00B53FD5" w:rsidRDefault="00B53FD5" w:rsidP="00B53FD5">
      <w:pPr>
        <w:pStyle w:val="TOC2"/>
        <w:sectPr w:rsidR="00B53FD5" w:rsidRPr="00B53FD5" w:rsidSect="007448F7">
          <w:headerReference w:type="even" r:id="rId30"/>
          <w:headerReference w:type="default" r:id="rId31"/>
          <w:footerReference w:type="default" r:id="rId32"/>
          <w:headerReference w:type="first" r:id="rId33"/>
          <w:type w:val="oddPage"/>
          <w:pgSz w:w="11907" w:h="16840" w:code="9"/>
          <w:pgMar w:top="1985" w:right="1304" w:bottom="1247" w:left="1814" w:header="1701" w:footer="397" w:gutter="0"/>
          <w:pgNumType w:fmt="lowerRoman"/>
          <w:cols w:space="720"/>
        </w:sectPr>
      </w:pPr>
    </w:p>
    <w:p w:rsidR="00761B89" w:rsidRDefault="00761B89">
      <w:pPr>
        <w:pStyle w:val="Heading1"/>
      </w:pPr>
      <w:bookmarkStart w:id="7" w:name="Abbreviations"/>
      <w:bookmarkStart w:id="8" w:name="RDnote"/>
      <w:bookmarkStart w:id="9" w:name="_Toc467499560"/>
      <w:bookmarkStart w:id="10" w:name="_Toc467499705"/>
      <w:bookmarkStart w:id="11" w:name="_Toc468255799"/>
      <w:bookmarkEnd w:id="7"/>
      <w:bookmarkEnd w:id="8"/>
      <w:r>
        <w:lastRenderedPageBreak/>
        <w:t>Acknowledgments</w:t>
      </w:r>
      <w:bookmarkEnd w:id="9"/>
      <w:bookmarkEnd w:id="10"/>
      <w:bookmarkEnd w:id="11"/>
    </w:p>
    <w:p w:rsidR="00CD051E" w:rsidRDefault="00CD051E" w:rsidP="00410A79">
      <w:pPr>
        <w:pStyle w:val="BodyText"/>
      </w:pPr>
      <w:r>
        <w:t>The Commission is grateful to everyone who freely gave their time to discuss the matters canvassed in the terms of reference, especially those who met with the Commission an</w:t>
      </w:r>
      <w:r w:rsidR="00323B99">
        <w:t>d provided written submissions.</w:t>
      </w:r>
    </w:p>
    <w:p w:rsidR="00B77F6F" w:rsidRDefault="00CD051E" w:rsidP="00B77F6F">
      <w:pPr>
        <w:pStyle w:val="BodyText"/>
      </w:pPr>
      <w:r>
        <w:t xml:space="preserve">The Commission would like to express </w:t>
      </w:r>
      <w:r w:rsidR="00640D86">
        <w:t>its</w:t>
      </w:r>
      <w:r>
        <w:t xml:space="preserve"> appreciation to the staff who worked on the </w:t>
      </w:r>
      <w:r w:rsidR="00640D86">
        <w:t>study</w:t>
      </w:r>
      <w:r>
        <w:t xml:space="preserve">. The team was led by </w:t>
      </w:r>
      <w:r w:rsidR="00410A79">
        <w:t>Tom Nankivell</w:t>
      </w:r>
      <w:r>
        <w:t xml:space="preserve"> and </w:t>
      </w:r>
      <w:r w:rsidR="00410A79">
        <w:t>compris</w:t>
      </w:r>
      <w:r>
        <w:t xml:space="preserve">ed </w:t>
      </w:r>
      <w:r w:rsidR="00410A79">
        <w:t>Catie Bradbear, Pragya Giri, Darren </w:t>
      </w:r>
      <w:proofErr w:type="spellStart"/>
      <w:r w:rsidR="00410A79">
        <w:t>Magennis</w:t>
      </w:r>
      <w:proofErr w:type="spellEnd"/>
      <w:r w:rsidR="00410A79">
        <w:t>, Daniel McDonald and Stewart Plain</w:t>
      </w:r>
      <w:r>
        <w:t>.</w:t>
      </w:r>
      <w:r w:rsidR="00B77F6F" w:rsidRPr="00B77F6F">
        <w:t xml:space="preserve"> </w:t>
      </w:r>
    </w:p>
    <w:p w:rsidR="00B77F6F" w:rsidRPr="00913377" w:rsidRDefault="00B77F6F" w:rsidP="00B77F6F">
      <w:pPr>
        <w:pStyle w:val="Heading2"/>
        <w:spacing w:before="1080"/>
      </w:pPr>
      <w:r w:rsidRPr="00913377">
        <w:t>Commissioner</w:t>
      </w:r>
    </w:p>
    <w:p w:rsidR="00791840" w:rsidRDefault="00B77F6F" w:rsidP="00B77F6F">
      <w:pPr>
        <w:pStyle w:val="BodyText"/>
      </w:pPr>
      <w:r w:rsidRPr="007151C7">
        <w:t xml:space="preserve">For the purposes of this </w:t>
      </w:r>
      <w:r>
        <w:t>study</w:t>
      </w:r>
      <w:r w:rsidRPr="007151C7">
        <w:t xml:space="preserve"> the Commission</w:t>
      </w:r>
      <w:r w:rsidR="00B53FD5">
        <w:t>er</w:t>
      </w:r>
      <w:r w:rsidRPr="007151C7">
        <w:t xml:space="preserve"> </w:t>
      </w:r>
      <w:r w:rsidR="00B53FD5">
        <w:t>is</w:t>
      </w:r>
      <w:r w:rsidR="00791840">
        <w:t xml:space="preserve">: </w:t>
      </w:r>
    </w:p>
    <w:p w:rsidR="00B77F6F" w:rsidRDefault="00AA7BC7" w:rsidP="00B77F6F">
      <w:pPr>
        <w:pStyle w:val="BodyText"/>
      </w:pPr>
      <w:r>
        <w:t>Julie Abramson</w:t>
      </w:r>
    </w:p>
    <w:p w:rsidR="00B77F6F" w:rsidRPr="00F76C78" w:rsidRDefault="00B77F6F" w:rsidP="00B77F6F">
      <w:pPr>
        <w:pStyle w:val="Heading3"/>
      </w:pPr>
      <w:bookmarkStart w:id="12" w:name="_Toc383992862"/>
      <w:bookmarkStart w:id="13" w:name="_Toc383993280"/>
      <w:bookmarkStart w:id="14" w:name="_Toc383995301"/>
      <w:bookmarkStart w:id="15" w:name="_Toc383995382"/>
      <w:bookmarkStart w:id="16" w:name="_Toc383996831"/>
      <w:bookmarkStart w:id="17" w:name="_Toc384045143"/>
      <w:bookmarkStart w:id="18" w:name="_Toc384052348"/>
      <w:bookmarkStart w:id="19" w:name="_Toc384103560"/>
      <w:bookmarkStart w:id="20" w:name="_Toc384103814"/>
      <w:r w:rsidRPr="00F76C78">
        <w:t>Disclosure of interests</w:t>
      </w:r>
      <w:bookmarkEnd w:id="12"/>
      <w:bookmarkEnd w:id="13"/>
      <w:bookmarkEnd w:id="14"/>
      <w:bookmarkEnd w:id="15"/>
      <w:bookmarkEnd w:id="16"/>
      <w:bookmarkEnd w:id="17"/>
      <w:bookmarkEnd w:id="18"/>
      <w:bookmarkEnd w:id="19"/>
      <w:bookmarkEnd w:id="20"/>
    </w:p>
    <w:p w:rsidR="00B77F6F" w:rsidRPr="00F76C78" w:rsidRDefault="00B77F6F" w:rsidP="00B77F6F">
      <w:pPr>
        <w:spacing w:before="240" w:line="300" w:lineRule="atLeast"/>
        <w:jc w:val="both"/>
        <w:rPr>
          <w:sz w:val="24"/>
          <w:lang w:eastAsia="en-AU"/>
        </w:rPr>
      </w:pPr>
      <w:r w:rsidRPr="00F76C78">
        <w:rPr>
          <w:sz w:val="24"/>
          <w:lang w:eastAsia="en-AU"/>
        </w:rPr>
        <w:t xml:space="preserve">The </w:t>
      </w:r>
      <w:r w:rsidRPr="00706319">
        <w:rPr>
          <w:i/>
          <w:sz w:val="24"/>
          <w:lang w:eastAsia="en-AU"/>
        </w:rPr>
        <w:t xml:space="preserve">Productivity Commission </w:t>
      </w:r>
      <w:r w:rsidRPr="004C4FFD">
        <w:rPr>
          <w:i/>
          <w:sz w:val="24"/>
          <w:lang w:eastAsia="en-AU"/>
        </w:rPr>
        <w:t>Act 1998</w:t>
      </w:r>
      <w:r>
        <w:rPr>
          <w:sz w:val="24"/>
          <w:lang w:eastAsia="en-AU"/>
        </w:rPr>
        <w:t xml:space="preserve"> </w:t>
      </w:r>
      <w:r w:rsidRPr="00F76C78">
        <w:rPr>
          <w:sz w:val="24"/>
          <w:lang w:eastAsia="en-AU"/>
        </w:rPr>
        <w:t>specifies that where Commissioners have or acquire interests, pecuniary or otherwise, that could conflict with the proper performance of their functions during an inquiry they must disclose the interests.</w:t>
      </w:r>
    </w:p>
    <w:p w:rsidR="00B77F6F" w:rsidRPr="00E406C5" w:rsidRDefault="00B77F6F" w:rsidP="00B77F6F">
      <w:pPr>
        <w:spacing w:before="240" w:line="300" w:lineRule="atLeast"/>
        <w:jc w:val="both"/>
        <w:rPr>
          <w:sz w:val="24"/>
          <w:lang w:eastAsia="en-AU"/>
        </w:rPr>
      </w:pPr>
      <w:r>
        <w:rPr>
          <w:sz w:val="24"/>
          <w:lang w:eastAsia="en-AU"/>
        </w:rPr>
        <w:t xml:space="preserve">Julie Abramson </w:t>
      </w:r>
      <w:r w:rsidRPr="00F76C78">
        <w:rPr>
          <w:sz w:val="24"/>
          <w:lang w:eastAsia="en-AU"/>
        </w:rPr>
        <w:t xml:space="preserve">has advised the Commission that </w:t>
      </w:r>
      <w:r>
        <w:rPr>
          <w:sz w:val="24"/>
          <w:lang w:eastAsia="en-AU"/>
        </w:rPr>
        <w:t>s</w:t>
      </w:r>
      <w:r w:rsidRPr="00F76C78">
        <w:rPr>
          <w:sz w:val="24"/>
          <w:lang w:eastAsia="en-AU"/>
        </w:rPr>
        <w:t xml:space="preserve">he is a </w:t>
      </w:r>
      <w:r>
        <w:rPr>
          <w:sz w:val="24"/>
          <w:lang w:eastAsia="en-AU"/>
        </w:rPr>
        <w:t xml:space="preserve">member of the </w:t>
      </w:r>
      <w:r w:rsidRPr="008414B7">
        <w:rPr>
          <w:sz w:val="24"/>
          <w:lang w:eastAsia="en-AU"/>
        </w:rPr>
        <w:t>independent expert panel</w:t>
      </w:r>
      <w:r>
        <w:rPr>
          <w:sz w:val="24"/>
          <w:lang w:eastAsia="en-AU"/>
        </w:rPr>
        <w:t xml:space="preserve"> </w:t>
      </w:r>
      <w:r w:rsidRPr="00247992">
        <w:rPr>
          <w:sz w:val="24"/>
          <w:lang w:eastAsia="en-AU"/>
        </w:rPr>
        <w:t>— chaired by Professor Ian Ramsay</w:t>
      </w:r>
      <w:r w:rsidRPr="008414B7">
        <w:rPr>
          <w:sz w:val="24"/>
          <w:lang w:eastAsia="en-AU"/>
        </w:rPr>
        <w:t xml:space="preserve"> </w:t>
      </w:r>
      <w:r w:rsidRPr="00247992">
        <w:rPr>
          <w:sz w:val="24"/>
          <w:lang w:eastAsia="en-AU"/>
        </w:rPr>
        <w:t xml:space="preserve">— </w:t>
      </w:r>
      <w:r>
        <w:rPr>
          <w:sz w:val="24"/>
          <w:lang w:eastAsia="en-AU"/>
        </w:rPr>
        <w:t>currently</w:t>
      </w:r>
      <w:r w:rsidRPr="008414B7">
        <w:rPr>
          <w:sz w:val="24"/>
          <w:lang w:eastAsia="en-AU"/>
        </w:rPr>
        <w:t xml:space="preserve"> </w:t>
      </w:r>
      <w:r w:rsidRPr="002F7C7B">
        <w:rPr>
          <w:sz w:val="24"/>
          <w:lang w:eastAsia="en-AU"/>
        </w:rPr>
        <w:t>undertaking a</w:t>
      </w:r>
      <w:r w:rsidRPr="002F7C7B">
        <w:rPr>
          <w:i/>
          <w:sz w:val="24"/>
          <w:lang w:eastAsia="en-AU"/>
        </w:rPr>
        <w:t xml:space="preserve"> Review of the financial system external dispute resolution and complaints framework</w:t>
      </w:r>
      <w:r>
        <w:t>.</w:t>
      </w:r>
    </w:p>
    <w:p w:rsidR="00761B89" w:rsidRPr="00883E8C" w:rsidRDefault="00761B89" w:rsidP="008A08C9">
      <w:pPr>
        <w:pStyle w:val="BodyText"/>
        <w:rPr>
          <w:lang w:eastAsia="en-US"/>
        </w:rPr>
      </w:pPr>
    </w:p>
    <w:p w:rsidR="00761B89" w:rsidRDefault="00761B89">
      <w:pPr>
        <w:pStyle w:val="BodyText"/>
        <w:sectPr w:rsidR="00761B89" w:rsidSect="008A08C9">
          <w:headerReference w:type="even" r:id="rId34"/>
          <w:headerReference w:type="default" r:id="rId35"/>
          <w:footerReference w:type="even" r:id="rId36"/>
          <w:footerReference w:type="default" r:id="rId37"/>
          <w:headerReference w:type="first" r:id="rId38"/>
          <w:pgSz w:w="11906" w:h="16838" w:code="9"/>
          <w:pgMar w:top="1985" w:right="1304" w:bottom="1247" w:left="1814" w:header="1701" w:footer="397" w:gutter="0"/>
          <w:pgNumType w:fmt="lowerRoman"/>
          <w:cols w:space="708"/>
          <w:docGrid w:linePitch="360"/>
        </w:sectPr>
      </w:pPr>
    </w:p>
    <w:p w:rsidR="00735FEA" w:rsidRDefault="00735FEA" w:rsidP="002E01BA">
      <w:pPr>
        <w:pStyle w:val="Heading1"/>
      </w:pPr>
      <w:bookmarkStart w:id="21" w:name="EndContents"/>
      <w:bookmarkStart w:id="22" w:name="_Toc467499561"/>
      <w:bookmarkStart w:id="23" w:name="_Toc467499706"/>
      <w:bookmarkStart w:id="24" w:name="_Toc468255800"/>
      <w:bookmarkEnd w:id="21"/>
      <w:r>
        <w:lastRenderedPageBreak/>
        <w:t>Abbreviations</w:t>
      </w:r>
      <w:bookmarkEnd w:id="22"/>
      <w:bookmarkEnd w:id="23"/>
      <w:bookmarkEnd w:id="24"/>
    </w:p>
    <w:p w:rsidR="006865F9" w:rsidRDefault="006865F9" w:rsidP="004C36A1">
      <w:pPr>
        <w:pStyle w:val="BodyText"/>
        <w:spacing w:before="100"/>
      </w:pPr>
      <w:proofErr w:type="spellStart"/>
      <w:r>
        <w:t>ACCC</w:t>
      </w:r>
      <w:proofErr w:type="spellEnd"/>
      <w:r>
        <w:tab/>
        <w:t>Australian Competition and Consumer Commission</w:t>
      </w:r>
    </w:p>
    <w:p w:rsidR="006D7AD1" w:rsidRDefault="006D7AD1" w:rsidP="004C36A1">
      <w:pPr>
        <w:pStyle w:val="BodyText"/>
        <w:spacing w:before="100"/>
      </w:pPr>
      <w:r>
        <w:t>ACL</w:t>
      </w:r>
      <w:r>
        <w:tab/>
      </w:r>
      <w:r w:rsidR="0028676C">
        <w:tab/>
      </w:r>
      <w:r>
        <w:t>Australian Consumer Law</w:t>
      </w:r>
    </w:p>
    <w:p w:rsidR="00426259" w:rsidRDefault="00426259" w:rsidP="004C36A1">
      <w:pPr>
        <w:pStyle w:val="BodyText"/>
        <w:spacing w:before="100"/>
      </w:pPr>
      <w:proofErr w:type="spellStart"/>
      <w:r w:rsidRPr="00426259">
        <w:t>ACLink</w:t>
      </w:r>
      <w:proofErr w:type="spellEnd"/>
      <w:r>
        <w:tab/>
      </w:r>
      <w:r w:rsidRPr="00426259">
        <w:t>Australian Consumer Law I</w:t>
      </w:r>
      <w:r>
        <w:t>ntelligence Network Knowledge</w:t>
      </w:r>
    </w:p>
    <w:p w:rsidR="005E6D9A" w:rsidRDefault="005E6D9A" w:rsidP="004C36A1">
      <w:pPr>
        <w:pStyle w:val="BodyText"/>
        <w:spacing w:before="100"/>
      </w:pPr>
      <w:proofErr w:type="spellStart"/>
      <w:r w:rsidRPr="005E6D9A">
        <w:t>ADR</w:t>
      </w:r>
      <w:proofErr w:type="spellEnd"/>
      <w:r>
        <w:tab/>
      </w:r>
      <w:r>
        <w:tab/>
        <w:t>alternative dispute resolution</w:t>
      </w:r>
    </w:p>
    <w:p w:rsidR="0028676C" w:rsidRDefault="006865F9" w:rsidP="004C36A1">
      <w:pPr>
        <w:pStyle w:val="BodyText"/>
        <w:spacing w:before="100"/>
      </w:pPr>
      <w:proofErr w:type="spellStart"/>
      <w:r w:rsidRPr="0078324B">
        <w:t>ANAO</w:t>
      </w:r>
      <w:proofErr w:type="spellEnd"/>
      <w:r>
        <w:tab/>
        <w:t>Australian National Audit Office</w:t>
      </w:r>
    </w:p>
    <w:p w:rsidR="000B2403" w:rsidRDefault="000B2403" w:rsidP="004C36A1">
      <w:pPr>
        <w:pStyle w:val="BodyText"/>
        <w:spacing w:before="100"/>
      </w:pPr>
      <w:proofErr w:type="spellStart"/>
      <w:r w:rsidRPr="005537D3">
        <w:t>ASIC</w:t>
      </w:r>
      <w:proofErr w:type="spellEnd"/>
      <w:r>
        <w:tab/>
      </w:r>
      <w:r>
        <w:tab/>
      </w:r>
      <w:r w:rsidRPr="000B2403">
        <w:t>Australian Securi</w:t>
      </w:r>
      <w:r>
        <w:t>ties and Investment</w:t>
      </w:r>
      <w:r w:rsidR="004C36A1">
        <w:t>s</w:t>
      </w:r>
      <w:r>
        <w:t xml:space="preserve"> Commission</w:t>
      </w:r>
    </w:p>
    <w:p w:rsidR="000B2403" w:rsidRDefault="000B2403" w:rsidP="004C36A1">
      <w:pPr>
        <w:pStyle w:val="BodyText"/>
        <w:spacing w:before="100"/>
      </w:pPr>
      <w:proofErr w:type="spellStart"/>
      <w:r w:rsidRPr="000B2403">
        <w:t>CAANZ</w:t>
      </w:r>
      <w:proofErr w:type="spellEnd"/>
      <w:r>
        <w:tab/>
      </w:r>
      <w:r w:rsidRPr="000B2403">
        <w:t xml:space="preserve">Consumer Affairs Australia </w:t>
      </w:r>
      <w:r w:rsidR="00C01D8A">
        <w:t xml:space="preserve">and </w:t>
      </w:r>
      <w:r w:rsidRPr="000B2403">
        <w:t>New Zealand</w:t>
      </w:r>
    </w:p>
    <w:p w:rsidR="00E74DAB" w:rsidRDefault="00E74DAB" w:rsidP="004C36A1">
      <w:pPr>
        <w:pStyle w:val="BodyText"/>
        <w:spacing w:before="100"/>
      </w:pPr>
      <w:proofErr w:type="spellStart"/>
      <w:r w:rsidRPr="005537D3">
        <w:t>CAV</w:t>
      </w:r>
      <w:proofErr w:type="spellEnd"/>
      <w:r>
        <w:tab/>
      </w:r>
      <w:r>
        <w:tab/>
      </w:r>
      <w:r w:rsidRPr="00E74DAB">
        <w:t xml:space="preserve">Consumer Affairs Victoria </w:t>
      </w:r>
    </w:p>
    <w:p w:rsidR="000B2403" w:rsidRDefault="006865F9" w:rsidP="004C36A1">
      <w:pPr>
        <w:pStyle w:val="BodyText"/>
        <w:spacing w:before="100"/>
      </w:pPr>
      <w:proofErr w:type="spellStart"/>
      <w:r w:rsidRPr="006865F9">
        <w:t>CDRAC</w:t>
      </w:r>
      <w:proofErr w:type="spellEnd"/>
      <w:r>
        <w:tab/>
      </w:r>
      <w:r w:rsidRPr="006865F9">
        <w:t>Compliance and Dispute</w:t>
      </w:r>
      <w:r>
        <w:t xml:space="preserve"> Resolution Advisory Committee</w:t>
      </w:r>
    </w:p>
    <w:p w:rsidR="0028676C" w:rsidRDefault="000B2403" w:rsidP="004C36A1">
      <w:pPr>
        <w:pStyle w:val="BodyText"/>
        <w:spacing w:before="100"/>
      </w:pPr>
      <w:r w:rsidRPr="000B2403">
        <w:t>COAG</w:t>
      </w:r>
      <w:r>
        <w:tab/>
      </w:r>
      <w:r w:rsidRPr="000B2403">
        <w:t>Council of Australian Governments</w:t>
      </w:r>
    </w:p>
    <w:p w:rsidR="00F066E7" w:rsidRDefault="00E74DAB" w:rsidP="004C36A1">
      <w:pPr>
        <w:pStyle w:val="BodyText"/>
        <w:spacing w:before="100"/>
      </w:pPr>
      <w:proofErr w:type="spellStart"/>
      <w:r>
        <w:t>DIRD</w:t>
      </w:r>
      <w:proofErr w:type="spellEnd"/>
      <w:r>
        <w:tab/>
        <w:t>Department of Infrastructure and Regional Development</w:t>
      </w:r>
    </w:p>
    <w:p w:rsidR="00F77010" w:rsidRDefault="00F77010" w:rsidP="004C36A1">
      <w:pPr>
        <w:pStyle w:val="BodyText"/>
        <w:spacing w:before="100"/>
      </w:pPr>
      <w:r w:rsidRPr="00F77010">
        <w:t>EDR</w:t>
      </w:r>
      <w:r>
        <w:tab/>
      </w:r>
      <w:r>
        <w:tab/>
        <w:t>external dispute resolution</w:t>
      </w:r>
    </w:p>
    <w:p w:rsidR="0028676C" w:rsidRDefault="00BB17E1" w:rsidP="004C36A1">
      <w:pPr>
        <w:pStyle w:val="BodyText"/>
        <w:spacing w:before="100"/>
      </w:pPr>
      <w:proofErr w:type="spellStart"/>
      <w:r w:rsidRPr="00EB76E1">
        <w:t>EIAC</w:t>
      </w:r>
      <w:proofErr w:type="spellEnd"/>
      <w:r w:rsidRPr="00EB76E1">
        <w:tab/>
      </w:r>
      <w:r w:rsidRPr="00BB17E1">
        <w:tab/>
        <w:t>Education and Information Advisory Committee</w:t>
      </w:r>
    </w:p>
    <w:p w:rsidR="00E74DAB" w:rsidRDefault="00E74DAB" w:rsidP="004C36A1">
      <w:pPr>
        <w:pStyle w:val="BodyText"/>
        <w:spacing w:before="100"/>
      </w:pPr>
      <w:proofErr w:type="spellStart"/>
      <w:r w:rsidRPr="001F1E40">
        <w:t>ERAC</w:t>
      </w:r>
      <w:proofErr w:type="spellEnd"/>
      <w:r>
        <w:tab/>
      </w:r>
      <w:r w:rsidRPr="001F1E40">
        <w:t>Electrical Regulatory Authorities Council</w:t>
      </w:r>
    </w:p>
    <w:p w:rsidR="00972542" w:rsidRDefault="00972542" w:rsidP="004C36A1">
      <w:pPr>
        <w:pStyle w:val="BodyText"/>
        <w:spacing w:before="100"/>
      </w:pPr>
      <w:proofErr w:type="spellStart"/>
      <w:r w:rsidRPr="00972542">
        <w:t>EESS</w:t>
      </w:r>
      <w:proofErr w:type="spellEnd"/>
      <w:r>
        <w:tab/>
      </w:r>
      <w:r>
        <w:tab/>
      </w:r>
      <w:r w:rsidRPr="00972542">
        <w:t>Electrical Equipment Safety System</w:t>
      </w:r>
    </w:p>
    <w:p w:rsidR="00E74DAB" w:rsidRDefault="00E74DAB" w:rsidP="004C36A1">
      <w:pPr>
        <w:pStyle w:val="BodyText"/>
        <w:spacing w:before="100"/>
      </w:pPr>
      <w:proofErr w:type="spellStart"/>
      <w:r w:rsidRPr="00E74DAB">
        <w:t>ESV</w:t>
      </w:r>
      <w:proofErr w:type="spellEnd"/>
      <w:r>
        <w:tab/>
      </w:r>
      <w:r>
        <w:tab/>
      </w:r>
      <w:r w:rsidRPr="00E74DAB">
        <w:t>Energy Safe </w:t>
      </w:r>
      <w:r>
        <w:t>Victoria</w:t>
      </w:r>
    </w:p>
    <w:p w:rsidR="00F77010" w:rsidRDefault="00F77010" w:rsidP="004C36A1">
      <w:pPr>
        <w:pStyle w:val="BodyText"/>
        <w:spacing w:before="100"/>
      </w:pPr>
      <w:r w:rsidRPr="00F77010">
        <w:t>FOS</w:t>
      </w:r>
      <w:r>
        <w:tab/>
      </w:r>
      <w:r>
        <w:tab/>
      </w:r>
      <w:r w:rsidRPr="00F77010">
        <w:t>Financial Ombudsman Se</w:t>
      </w:r>
      <w:r>
        <w:t>rvice</w:t>
      </w:r>
    </w:p>
    <w:p w:rsidR="00C66EE8" w:rsidRDefault="00C66EE8" w:rsidP="004C36A1">
      <w:pPr>
        <w:pStyle w:val="BodyText"/>
        <w:spacing w:before="100"/>
      </w:pPr>
      <w:proofErr w:type="spellStart"/>
      <w:r w:rsidRPr="00EB76E1">
        <w:t>FTOG</w:t>
      </w:r>
      <w:proofErr w:type="spellEnd"/>
      <w:r>
        <w:tab/>
        <w:t>Fair Trading Operations Group</w:t>
      </w:r>
    </w:p>
    <w:p w:rsidR="00E74DAB" w:rsidRDefault="00E74DAB" w:rsidP="004C36A1">
      <w:pPr>
        <w:pStyle w:val="BodyText"/>
        <w:spacing w:before="100"/>
      </w:pPr>
      <w:proofErr w:type="spellStart"/>
      <w:r w:rsidRPr="001F1E40">
        <w:t>GTRC</w:t>
      </w:r>
      <w:proofErr w:type="spellEnd"/>
      <w:r>
        <w:tab/>
      </w:r>
      <w:r w:rsidRPr="001F1E40">
        <w:t xml:space="preserve">Gas </w:t>
      </w:r>
      <w:r>
        <w:t>Technical Regulators Committee</w:t>
      </w:r>
    </w:p>
    <w:p w:rsidR="0028676C" w:rsidRDefault="00BB17E1" w:rsidP="004C36A1">
      <w:pPr>
        <w:pStyle w:val="BodyText"/>
        <w:spacing w:before="100"/>
      </w:pPr>
      <w:r w:rsidRPr="00BB17E1">
        <w:t>IGA</w:t>
      </w:r>
      <w:r>
        <w:tab/>
      </w:r>
      <w:r>
        <w:tab/>
      </w:r>
      <w:r w:rsidRPr="00BB17E1">
        <w:t>intergovernmental agreement</w:t>
      </w:r>
    </w:p>
    <w:p w:rsidR="001667BF" w:rsidRDefault="001667BF" w:rsidP="004C36A1">
      <w:pPr>
        <w:pStyle w:val="BodyText"/>
        <w:spacing w:before="100"/>
      </w:pPr>
      <w:r>
        <w:t>IT</w:t>
      </w:r>
      <w:r>
        <w:tab/>
      </w:r>
      <w:r>
        <w:tab/>
        <w:t>information technology</w:t>
      </w:r>
    </w:p>
    <w:p w:rsidR="0028676C" w:rsidRDefault="005E6D9A" w:rsidP="004C36A1">
      <w:pPr>
        <w:pStyle w:val="BodyText"/>
        <w:spacing w:before="100"/>
      </w:pPr>
      <w:proofErr w:type="spellStart"/>
      <w:r w:rsidRPr="005E6D9A">
        <w:t>MCCA</w:t>
      </w:r>
      <w:proofErr w:type="spellEnd"/>
      <w:r>
        <w:tab/>
      </w:r>
      <w:r w:rsidRPr="005E6D9A">
        <w:t>Ministeri</w:t>
      </w:r>
      <w:r>
        <w:t>al Council on Consumer Affairs</w:t>
      </w:r>
    </w:p>
    <w:p w:rsidR="005E6D9A" w:rsidRDefault="005E6D9A" w:rsidP="004C36A1">
      <w:pPr>
        <w:pStyle w:val="BodyText"/>
        <w:spacing w:before="100"/>
      </w:pPr>
      <w:proofErr w:type="spellStart"/>
      <w:r w:rsidRPr="005E6D9A">
        <w:t>MoU</w:t>
      </w:r>
      <w:proofErr w:type="spellEnd"/>
      <w:r>
        <w:tab/>
      </w:r>
      <w:r>
        <w:tab/>
      </w:r>
      <w:r w:rsidRPr="005E6D9A">
        <w:t>Memorandum of Understanding</w:t>
      </w:r>
    </w:p>
    <w:p w:rsidR="00F77010" w:rsidRDefault="00F77010" w:rsidP="004C36A1">
      <w:pPr>
        <w:pStyle w:val="BodyText"/>
        <w:spacing w:before="100"/>
      </w:pPr>
      <w:proofErr w:type="spellStart"/>
      <w:r w:rsidRPr="00F77010">
        <w:t>NCC</w:t>
      </w:r>
      <w:proofErr w:type="spellEnd"/>
      <w:r>
        <w:tab/>
      </w:r>
      <w:r>
        <w:tab/>
      </w:r>
      <w:r w:rsidRPr="00F77010">
        <w:t>N</w:t>
      </w:r>
      <w:r>
        <w:t>ational Construction Code</w:t>
      </w:r>
    </w:p>
    <w:p w:rsidR="00BB17E1" w:rsidRDefault="00BB17E1" w:rsidP="004C36A1">
      <w:pPr>
        <w:pStyle w:val="BodyText"/>
        <w:spacing w:before="100"/>
      </w:pPr>
      <w:r w:rsidRPr="00BB17E1">
        <w:t>PRAC</w:t>
      </w:r>
      <w:r w:rsidRPr="00BB17E1">
        <w:tab/>
        <w:t>Policy and Research Advisory Committee</w:t>
      </w:r>
    </w:p>
    <w:p w:rsidR="002E01BA" w:rsidRDefault="00C66EE8" w:rsidP="004C36A1">
      <w:pPr>
        <w:pStyle w:val="BodyText"/>
        <w:spacing w:before="100"/>
      </w:pPr>
      <w:proofErr w:type="spellStart"/>
      <w:r w:rsidRPr="00EB76E1">
        <w:t>PSOG</w:t>
      </w:r>
      <w:proofErr w:type="spellEnd"/>
      <w:r>
        <w:tab/>
      </w:r>
      <w:r w:rsidRPr="00C66EE8">
        <w:t>P</w:t>
      </w:r>
      <w:r>
        <w:t>roduct Safety Operations Group</w:t>
      </w:r>
    </w:p>
    <w:sectPr w:rsidR="002E01BA" w:rsidSect="00585B3F">
      <w:headerReference w:type="even" r:id="rId39"/>
      <w:headerReference w:type="default" r:id="rId40"/>
      <w:footerReference w:type="even" r:id="rId41"/>
      <w:footerReference w:type="default" r:id="rId42"/>
      <w:headerReference w:type="first" r:id="rId43"/>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D4B" w:rsidRDefault="008E2D4B">
      <w:r>
        <w:separator/>
      </w:r>
    </w:p>
    <w:p w:rsidR="008E2D4B" w:rsidRDefault="008E2D4B"/>
    <w:p w:rsidR="008E2D4B" w:rsidRDefault="008E2D4B"/>
  </w:endnote>
  <w:endnote w:type="continuationSeparator" w:id="0">
    <w:p w:rsidR="008E2D4B" w:rsidRDefault="008E2D4B">
      <w:r>
        <w:continuationSeparator/>
      </w:r>
    </w:p>
    <w:p w:rsidR="008E2D4B" w:rsidRDefault="008E2D4B"/>
    <w:p w:rsidR="008E2D4B" w:rsidRDefault="008E2D4B"/>
  </w:endnote>
  <w:endnote w:type="continuationNotice" w:id="1">
    <w:p w:rsidR="008E2D4B" w:rsidRDefault="008E2D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17D3" w:rsidTr="008A08C9">
      <w:trPr>
        <w:trHeight w:hRule="exact" w:val="567"/>
      </w:trPr>
      <w:tc>
        <w:tcPr>
          <w:tcW w:w="510" w:type="dxa"/>
        </w:tcPr>
        <w:p w:rsidR="006017D3" w:rsidRPr="00A24443" w:rsidRDefault="006017D3" w:rsidP="008A08C9">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52056">
            <w:rPr>
              <w:rStyle w:val="PageNumber"/>
              <w:caps w:val="0"/>
              <w:noProof/>
            </w:rPr>
            <w:t>vi</w:t>
          </w:r>
          <w:r w:rsidRPr="00A24443">
            <w:rPr>
              <w:rStyle w:val="PageNumber"/>
              <w:caps w:val="0"/>
            </w:rPr>
            <w:fldChar w:fldCharType="end"/>
          </w:r>
        </w:p>
      </w:tc>
      <w:tc>
        <w:tcPr>
          <w:tcW w:w="7767" w:type="dxa"/>
        </w:tcPr>
        <w:p w:rsidR="00AA7BC7" w:rsidRDefault="00AA7BC7" w:rsidP="00AA7BC7">
          <w:pPr>
            <w:pStyle w:val="Footer"/>
            <w:rPr>
              <w:noProof/>
              <w:lang w:val="en-US"/>
            </w:rPr>
          </w:pPr>
          <w:r>
            <w:rPr>
              <w:noProof/>
              <w:lang w:val="en-US"/>
            </w:rPr>
            <w:t>consumer law enforcement and administration</w:t>
          </w:r>
        </w:p>
        <w:p w:rsidR="00AA7BC7" w:rsidRPr="0013739A" w:rsidRDefault="00AA7BC7" w:rsidP="00AA7BC7">
          <w:pPr>
            <w:pStyle w:val="FooterDraftReport"/>
          </w:pPr>
          <w:r w:rsidRPr="00AA7BC7">
            <w:rPr>
              <w:noProof/>
              <w:lang w:val="en-US"/>
            </w:rPr>
            <w:t>draft report</w:t>
          </w:r>
        </w:p>
      </w:tc>
      <w:tc>
        <w:tcPr>
          <w:tcW w:w="510" w:type="dxa"/>
        </w:tcPr>
        <w:p w:rsidR="006017D3" w:rsidRDefault="006017D3" w:rsidP="008A08C9">
          <w:pPr>
            <w:pStyle w:val="Footer"/>
          </w:pPr>
        </w:p>
      </w:tc>
    </w:tr>
  </w:tbl>
  <w:p w:rsidR="006017D3" w:rsidRDefault="006017D3" w:rsidP="008A08C9">
    <w:pPr>
      <w:pStyle w:val="FooterEnd"/>
    </w:pPr>
  </w:p>
  <w:p w:rsidR="006017D3" w:rsidRDefault="006017D3">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17D3" w:rsidTr="008A08C9">
      <w:trPr>
        <w:trHeight w:hRule="exact" w:val="567"/>
      </w:trPr>
      <w:tc>
        <w:tcPr>
          <w:tcW w:w="510" w:type="dxa"/>
        </w:tcPr>
        <w:p w:rsidR="006017D3" w:rsidRDefault="006017D3">
          <w:pPr>
            <w:pStyle w:val="Footer"/>
            <w:ind w:right="360" w:firstLine="360"/>
          </w:pPr>
        </w:p>
      </w:tc>
      <w:tc>
        <w:tcPr>
          <w:tcW w:w="7767" w:type="dxa"/>
        </w:tcPr>
        <w:p w:rsidR="006017D3" w:rsidRDefault="00AA7BC7" w:rsidP="008A08C9">
          <w:pPr>
            <w:pStyle w:val="Footer"/>
            <w:jc w:val="right"/>
            <w:rPr>
              <w:rFonts w:cs="Arial"/>
            </w:rPr>
          </w:pPr>
          <w:r>
            <w:rPr>
              <w:bCs/>
              <w:noProof/>
              <w:lang w:val="en-US"/>
            </w:rPr>
            <w:t>opportunity for comment</w:t>
          </w:r>
        </w:p>
        <w:p w:rsidR="00AA7BC7" w:rsidRDefault="00AA7BC7" w:rsidP="00AA7BC7">
          <w:pPr>
            <w:pStyle w:val="FooterDraftReport"/>
            <w:jc w:val="right"/>
            <w:rPr>
              <w:noProof/>
              <w:lang w:val="en-US"/>
            </w:rPr>
          </w:pPr>
          <w:r>
            <w:rPr>
              <w:noProof/>
              <w:lang w:val="en-US"/>
            </w:rPr>
            <w:t>Draft Report</w:t>
          </w:r>
        </w:p>
        <w:p w:rsidR="00AA7BC7" w:rsidRPr="00BA5B14" w:rsidRDefault="00AA7BC7" w:rsidP="008A08C9">
          <w:pPr>
            <w:pStyle w:val="Footer"/>
            <w:jc w:val="right"/>
            <w:rPr>
              <w:rFonts w:cs="Arial"/>
            </w:rPr>
          </w:pPr>
        </w:p>
      </w:tc>
      <w:tc>
        <w:tcPr>
          <w:tcW w:w="510" w:type="dxa"/>
        </w:tcPr>
        <w:p w:rsidR="006017D3" w:rsidRPr="007448F7" w:rsidRDefault="006017D3">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752056">
            <w:rPr>
              <w:rStyle w:val="PageNumber"/>
              <w:caps w:val="0"/>
              <w:noProof/>
            </w:rPr>
            <w:t>iii</w:t>
          </w:r>
          <w:r w:rsidRPr="007448F7">
            <w:rPr>
              <w:rStyle w:val="PageNumber"/>
              <w:caps w:val="0"/>
            </w:rPr>
            <w:fldChar w:fldCharType="end"/>
          </w:r>
        </w:p>
      </w:tc>
    </w:tr>
  </w:tbl>
  <w:p w:rsidR="006017D3" w:rsidRDefault="006017D3">
    <w:pPr>
      <w:pStyle w:val="FooterEnd"/>
    </w:pPr>
  </w:p>
  <w:p w:rsidR="006017D3" w:rsidRDefault="006017D3">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AA7BC7" w:rsidTr="008A08C9">
      <w:trPr>
        <w:trHeight w:hRule="exact" w:val="567"/>
      </w:trPr>
      <w:tc>
        <w:tcPr>
          <w:tcW w:w="510" w:type="dxa"/>
        </w:tcPr>
        <w:p w:rsidR="00AA7BC7" w:rsidRDefault="00AA7BC7">
          <w:pPr>
            <w:pStyle w:val="Footer"/>
            <w:ind w:right="360" w:firstLine="360"/>
          </w:pPr>
        </w:p>
      </w:tc>
      <w:tc>
        <w:tcPr>
          <w:tcW w:w="7767" w:type="dxa"/>
        </w:tcPr>
        <w:p w:rsidR="00AA7BC7" w:rsidRDefault="00AA7BC7" w:rsidP="008A08C9">
          <w:pPr>
            <w:pStyle w:val="Footer"/>
            <w:jc w:val="right"/>
            <w:rPr>
              <w:rFonts w:cs="Arial"/>
            </w:rPr>
          </w:pPr>
          <w:r>
            <w:rPr>
              <w:bCs/>
              <w:noProof/>
              <w:lang w:val="en-US"/>
            </w:rPr>
            <w:t>contents</w:t>
          </w:r>
          <w:r>
            <w:rPr>
              <w:rFonts w:cs="Arial"/>
            </w:rPr>
            <w:t xml:space="preserve"> </w:t>
          </w:r>
        </w:p>
        <w:p w:rsidR="00AA7BC7" w:rsidRDefault="00AA7BC7" w:rsidP="00AA7BC7">
          <w:pPr>
            <w:pStyle w:val="FooterDraftReport"/>
            <w:jc w:val="right"/>
            <w:rPr>
              <w:noProof/>
              <w:lang w:val="en-US"/>
            </w:rPr>
          </w:pPr>
          <w:r>
            <w:rPr>
              <w:noProof/>
              <w:lang w:val="en-US"/>
            </w:rPr>
            <w:t>Draft Report</w:t>
          </w:r>
        </w:p>
        <w:p w:rsidR="00AA7BC7" w:rsidRPr="00BA5B14" w:rsidRDefault="00AA7BC7" w:rsidP="008A08C9">
          <w:pPr>
            <w:pStyle w:val="Footer"/>
            <w:jc w:val="right"/>
            <w:rPr>
              <w:rFonts w:cs="Arial"/>
            </w:rPr>
          </w:pPr>
        </w:p>
      </w:tc>
      <w:tc>
        <w:tcPr>
          <w:tcW w:w="510" w:type="dxa"/>
        </w:tcPr>
        <w:p w:rsidR="00AA7BC7" w:rsidRPr="007448F7" w:rsidRDefault="00AA7BC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752056">
            <w:rPr>
              <w:rStyle w:val="PageNumber"/>
              <w:caps w:val="0"/>
              <w:noProof/>
            </w:rPr>
            <w:t>v</w:t>
          </w:r>
          <w:r w:rsidRPr="007448F7">
            <w:rPr>
              <w:rStyle w:val="PageNumber"/>
              <w:caps w:val="0"/>
            </w:rPr>
            <w:fldChar w:fldCharType="end"/>
          </w:r>
        </w:p>
      </w:tc>
    </w:tr>
  </w:tbl>
  <w:p w:rsidR="00AA7BC7" w:rsidRDefault="00AA7BC7">
    <w:pPr>
      <w:pStyle w:val="FooterEnd"/>
    </w:pPr>
  </w:p>
  <w:p w:rsidR="00AA7BC7" w:rsidRDefault="00AA7BC7">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17D3" w:rsidTr="008A08C9">
      <w:trPr>
        <w:trHeight w:hRule="exact" w:val="567"/>
      </w:trPr>
      <w:tc>
        <w:tcPr>
          <w:tcW w:w="510" w:type="dxa"/>
        </w:tcPr>
        <w:p w:rsidR="006017D3" w:rsidRPr="00A24443" w:rsidRDefault="006017D3" w:rsidP="008A08C9">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A7BC7">
            <w:rPr>
              <w:rStyle w:val="PageNumber"/>
              <w:caps w:val="0"/>
              <w:noProof/>
            </w:rPr>
            <w:t>vi</w:t>
          </w:r>
          <w:r w:rsidRPr="00A24443">
            <w:rPr>
              <w:rStyle w:val="PageNumber"/>
              <w:caps w:val="0"/>
            </w:rPr>
            <w:fldChar w:fldCharType="end"/>
          </w:r>
        </w:p>
      </w:tc>
      <w:tc>
        <w:tcPr>
          <w:tcW w:w="7767" w:type="dxa"/>
        </w:tcPr>
        <w:p w:rsidR="00AA7BC7" w:rsidRDefault="00AA7BC7" w:rsidP="008A08C9">
          <w:pPr>
            <w:pStyle w:val="Footer"/>
            <w:rPr>
              <w:noProof/>
              <w:lang w:val="en-US"/>
            </w:rPr>
          </w:pPr>
          <w:r>
            <w:rPr>
              <w:noProof/>
              <w:lang w:val="en-US"/>
            </w:rPr>
            <w:t>consumer law enforcement and administration</w:t>
          </w:r>
        </w:p>
        <w:p w:rsidR="00AA7BC7" w:rsidRPr="0013739A" w:rsidRDefault="00AA7BC7" w:rsidP="00AA7BC7">
          <w:pPr>
            <w:pStyle w:val="FooterDraftReport"/>
          </w:pPr>
          <w:r>
            <w:rPr>
              <w:noProof/>
              <w:lang w:val="en-US"/>
            </w:rPr>
            <w:t>draft report</w:t>
          </w:r>
        </w:p>
      </w:tc>
      <w:tc>
        <w:tcPr>
          <w:tcW w:w="510" w:type="dxa"/>
        </w:tcPr>
        <w:p w:rsidR="006017D3" w:rsidRDefault="006017D3" w:rsidP="008A08C9">
          <w:pPr>
            <w:pStyle w:val="Footer"/>
          </w:pPr>
        </w:p>
      </w:tc>
    </w:tr>
  </w:tbl>
  <w:p w:rsidR="006017D3" w:rsidRDefault="006017D3" w:rsidP="008A08C9">
    <w:pPr>
      <w:pStyle w:val="FooterEnd"/>
    </w:pPr>
  </w:p>
  <w:p w:rsidR="006017D3" w:rsidRDefault="006017D3">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17D3" w:rsidTr="008A08C9">
      <w:trPr>
        <w:trHeight w:hRule="exact" w:val="567"/>
      </w:trPr>
      <w:tc>
        <w:tcPr>
          <w:tcW w:w="510" w:type="dxa"/>
        </w:tcPr>
        <w:p w:rsidR="006017D3" w:rsidRDefault="006017D3">
          <w:pPr>
            <w:pStyle w:val="Footer"/>
            <w:ind w:right="360" w:firstLine="360"/>
          </w:pPr>
        </w:p>
      </w:tc>
      <w:tc>
        <w:tcPr>
          <w:tcW w:w="7767" w:type="dxa"/>
        </w:tcPr>
        <w:p w:rsidR="006017D3" w:rsidRDefault="00AA7BC7" w:rsidP="008A08C9">
          <w:pPr>
            <w:pStyle w:val="Footer"/>
            <w:jc w:val="right"/>
            <w:rPr>
              <w:bCs/>
              <w:noProof/>
              <w:lang w:val="en-US"/>
            </w:rPr>
          </w:pPr>
          <w:r w:rsidRPr="00AA7BC7">
            <w:rPr>
              <w:bCs/>
              <w:noProof/>
              <w:lang w:val="en-US"/>
            </w:rPr>
            <w:t>Acknowledgments</w:t>
          </w:r>
        </w:p>
        <w:p w:rsidR="00AA7BC7" w:rsidRPr="00A90DAF" w:rsidRDefault="00AA7BC7" w:rsidP="00AA7BC7">
          <w:pPr>
            <w:pStyle w:val="FooterDraftReport"/>
            <w:jc w:val="right"/>
          </w:pPr>
          <w:r w:rsidRPr="00AA7BC7">
            <w:rPr>
              <w:noProof/>
              <w:lang w:val="en-US"/>
            </w:rPr>
            <w:t>draft Report</w:t>
          </w:r>
        </w:p>
      </w:tc>
      <w:tc>
        <w:tcPr>
          <w:tcW w:w="510" w:type="dxa"/>
        </w:tcPr>
        <w:p w:rsidR="006017D3" w:rsidRPr="00A24443" w:rsidRDefault="006017D3">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752056">
            <w:rPr>
              <w:rStyle w:val="PageNumber"/>
              <w:caps w:val="0"/>
              <w:noProof/>
            </w:rPr>
            <w:t>vii</w:t>
          </w:r>
          <w:r w:rsidRPr="00A24443">
            <w:rPr>
              <w:rStyle w:val="PageNumber"/>
              <w:caps w:val="0"/>
            </w:rPr>
            <w:fldChar w:fldCharType="end"/>
          </w:r>
        </w:p>
      </w:tc>
    </w:tr>
  </w:tbl>
  <w:p w:rsidR="006017D3" w:rsidRDefault="006017D3">
    <w:pPr>
      <w:pStyle w:val="FooterEnd"/>
    </w:pPr>
  </w:p>
  <w:p w:rsidR="006017D3" w:rsidRDefault="006017D3">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17D3" w:rsidTr="008A08C9">
      <w:trPr>
        <w:trHeight w:hRule="exact" w:val="567"/>
      </w:trPr>
      <w:tc>
        <w:tcPr>
          <w:tcW w:w="510" w:type="dxa"/>
        </w:tcPr>
        <w:p w:rsidR="006017D3" w:rsidRPr="007448F7" w:rsidRDefault="006017D3" w:rsidP="008A08C9">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752056">
            <w:rPr>
              <w:rStyle w:val="PageNumber"/>
              <w:caps w:val="0"/>
              <w:noProof/>
            </w:rPr>
            <w:t>viii</w:t>
          </w:r>
          <w:r w:rsidRPr="007448F7">
            <w:rPr>
              <w:rStyle w:val="PageNumber"/>
              <w:caps w:val="0"/>
            </w:rPr>
            <w:fldChar w:fldCharType="end"/>
          </w:r>
        </w:p>
      </w:tc>
      <w:tc>
        <w:tcPr>
          <w:tcW w:w="7767" w:type="dxa"/>
        </w:tcPr>
        <w:p w:rsidR="00AA7BC7" w:rsidRDefault="00AA7BC7" w:rsidP="00AA7BC7">
          <w:pPr>
            <w:pStyle w:val="Footer"/>
            <w:rPr>
              <w:noProof/>
              <w:lang w:val="en-US"/>
            </w:rPr>
          </w:pPr>
          <w:r>
            <w:rPr>
              <w:noProof/>
              <w:lang w:val="en-US"/>
            </w:rPr>
            <w:t>consumer law enforcement and administration</w:t>
          </w:r>
        </w:p>
        <w:p w:rsidR="00AA7BC7" w:rsidRPr="0013739A" w:rsidRDefault="00AA7BC7" w:rsidP="00AA7BC7">
          <w:pPr>
            <w:pStyle w:val="FooterDraftReport"/>
          </w:pPr>
          <w:r w:rsidRPr="00AA7BC7">
            <w:rPr>
              <w:noProof/>
              <w:lang w:val="en-US"/>
            </w:rPr>
            <w:t>Draft Report</w:t>
          </w:r>
        </w:p>
      </w:tc>
      <w:tc>
        <w:tcPr>
          <w:tcW w:w="510" w:type="dxa"/>
        </w:tcPr>
        <w:p w:rsidR="006017D3" w:rsidRDefault="006017D3" w:rsidP="008A08C9">
          <w:pPr>
            <w:pStyle w:val="Footer"/>
          </w:pPr>
        </w:p>
      </w:tc>
    </w:tr>
  </w:tbl>
  <w:p w:rsidR="006017D3" w:rsidRDefault="006017D3" w:rsidP="008A08C9">
    <w:pPr>
      <w:pStyle w:val="FooterEnd"/>
    </w:pPr>
  </w:p>
  <w:p w:rsidR="006017D3" w:rsidRDefault="006017D3">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6017D3" w:rsidTr="008A08C9">
      <w:trPr>
        <w:trHeight w:hRule="exact" w:val="567"/>
      </w:trPr>
      <w:tc>
        <w:tcPr>
          <w:tcW w:w="510" w:type="dxa"/>
        </w:tcPr>
        <w:p w:rsidR="006017D3" w:rsidRDefault="006017D3">
          <w:pPr>
            <w:pStyle w:val="Footer"/>
            <w:ind w:right="360" w:firstLine="360"/>
          </w:pPr>
        </w:p>
      </w:tc>
      <w:tc>
        <w:tcPr>
          <w:tcW w:w="7767" w:type="dxa"/>
        </w:tcPr>
        <w:p w:rsidR="006017D3" w:rsidRDefault="00AA7BC7" w:rsidP="00340511">
          <w:pPr>
            <w:pStyle w:val="Footer"/>
            <w:jc w:val="right"/>
            <w:rPr>
              <w:bCs/>
              <w:noProof/>
              <w:lang w:val="en-US"/>
            </w:rPr>
          </w:pPr>
          <w:r w:rsidRPr="00AA7BC7">
            <w:rPr>
              <w:bCs/>
              <w:noProof/>
              <w:lang w:val="en-US"/>
            </w:rPr>
            <w:t>Abbreviations</w:t>
          </w:r>
        </w:p>
        <w:p w:rsidR="00AA7BC7" w:rsidRPr="00340511" w:rsidRDefault="00AA7BC7" w:rsidP="00AA7BC7">
          <w:pPr>
            <w:pStyle w:val="FooterDraftReport"/>
            <w:jc w:val="right"/>
          </w:pPr>
          <w:r>
            <w:rPr>
              <w:noProof/>
              <w:lang w:val="en-US"/>
            </w:rPr>
            <w:t>draft report</w:t>
          </w:r>
        </w:p>
      </w:tc>
      <w:tc>
        <w:tcPr>
          <w:tcW w:w="510" w:type="dxa"/>
        </w:tcPr>
        <w:p w:rsidR="006017D3" w:rsidRPr="00A24443" w:rsidRDefault="006017D3">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A7BC7">
            <w:rPr>
              <w:rStyle w:val="PageNumber"/>
              <w:caps w:val="0"/>
              <w:noProof/>
            </w:rPr>
            <w:t>vii</w:t>
          </w:r>
          <w:r w:rsidRPr="00A24443">
            <w:rPr>
              <w:rStyle w:val="PageNumber"/>
              <w:caps w:val="0"/>
            </w:rPr>
            <w:fldChar w:fldCharType="end"/>
          </w:r>
        </w:p>
      </w:tc>
    </w:tr>
  </w:tbl>
  <w:p w:rsidR="006017D3" w:rsidRDefault="006017D3">
    <w:pPr>
      <w:pStyle w:val="FooterEnd"/>
    </w:pPr>
  </w:p>
  <w:p w:rsidR="006017D3" w:rsidRDefault="006017D3"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D4B" w:rsidRDefault="008E2D4B">
      <w:r>
        <w:separator/>
      </w:r>
    </w:p>
    <w:p w:rsidR="008E2D4B" w:rsidRDefault="008E2D4B"/>
    <w:p w:rsidR="008E2D4B" w:rsidRDefault="008E2D4B"/>
  </w:footnote>
  <w:footnote w:type="continuationSeparator" w:id="0">
    <w:p w:rsidR="008E2D4B" w:rsidRDefault="008E2D4B">
      <w:r>
        <w:continuationSeparator/>
      </w:r>
    </w:p>
    <w:p w:rsidR="008E2D4B" w:rsidRDefault="008E2D4B"/>
    <w:p w:rsidR="008E2D4B" w:rsidRDefault="008E2D4B"/>
  </w:footnote>
  <w:footnote w:type="continuationNotice" w:id="1">
    <w:p w:rsidR="008E2D4B" w:rsidRDefault="008E2D4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056" w:rsidRDefault="00752056" w:rsidP="00752056">
    <w:pPr>
      <w:pStyle w:val="Header"/>
      <w:jc w:val="cent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74316" o:spid="_x0000_s8194" type="#_x0000_t136" style="position:absolute;left:0;text-align:left;margin-left:0;margin-top:0;width:442.55pt;height:177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r>
      <w:rPr>
        <w:color w:val="C00000" w:themeColor="accent6"/>
        <w:sz w:val="14"/>
        <w:szCs w:val="14"/>
      </w:rPr>
      <w:t>draft report: For final outcomes of this project refer to the inquiry report</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017D3">
      <w:tc>
        <w:tcPr>
          <w:tcW w:w="2155" w:type="dxa"/>
          <w:tcBorders>
            <w:top w:val="single" w:sz="24" w:space="0" w:color="auto"/>
          </w:tcBorders>
        </w:tcPr>
        <w:p w:rsidR="006017D3" w:rsidRDefault="00752056">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74325" o:spid="_x0000_s8203" type="#_x0000_t136" style="position:absolute;margin-left:0;margin-top:0;width:442.55pt;height:177pt;rotation:315;z-index:-251636736;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6017D3" w:rsidRDefault="006017D3">
          <w:pPr>
            <w:pStyle w:val="HeaderEven"/>
          </w:pPr>
        </w:p>
      </w:tc>
    </w:tr>
  </w:tbl>
  <w:p w:rsidR="006017D3" w:rsidRDefault="006017D3">
    <w:pPr>
      <w:pStyle w:val="HeaderEn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017D3">
      <w:tc>
        <w:tcPr>
          <w:tcW w:w="6634" w:type="dxa"/>
          <w:tcBorders>
            <w:top w:val="single" w:sz="6" w:space="0" w:color="auto"/>
          </w:tcBorders>
        </w:tcPr>
        <w:p w:rsidR="006017D3" w:rsidRDefault="00752056">
          <w:pPr>
            <w:pStyle w:val="HeaderOdd"/>
          </w:pPr>
          <w:r>
            <w:rPr>
              <w:color w:val="C00000" w:themeColor="accent6"/>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74326" o:spid="_x0000_s8204" type="#_x0000_t136" style="position:absolute;margin-left:0;margin-top:0;width:442.55pt;height:177pt;rotation:315;z-index:-251634688;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bottom w:val="nil"/>
          </w:tcBorders>
        </w:tcPr>
        <w:p w:rsidR="006017D3" w:rsidRDefault="006017D3">
          <w:pPr>
            <w:pStyle w:val="HeaderOdd"/>
          </w:pPr>
        </w:p>
      </w:tc>
    </w:tr>
  </w:tbl>
  <w:p w:rsidR="006017D3" w:rsidRDefault="006017D3">
    <w:pPr>
      <w:pStyle w:val="HeaderEnd"/>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056" w:rsidRDefault="0075205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74324" o:spid="_x0000_s8202" type="#_x0000_t136" style="position:absolute;margin-left:0;margin-top:0;width:442.55pt;height:177pt;rotation:315;z-index:-251638784;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6017D3" w:rsidTr="005C68FE">
      <w:tc>
        <w:tcPr>
          <w:tcW w:w="2155" w:type="dxa"/>
          <w:tcBorders>
            <w:top w:val="single" w:sz="24" w:space="0" w:color="auto"/>
          </w:tcBorders>
        </w:tcPr>
        <w:p w:rsidR="006017D3" w:rsidRDefault="00752056" w:rsidP="005C68FE">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74328" o:spid="_x0000_s8206" type="#_x0000_t136" style="position:absolute;margin-left:0;margin-top:0;width:442.55pt;height:177pt;rotation:315;z-index:-251630592;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6017D3" w:rsidRDefault="00752056" w:rsidP="005C68FE">
          <w:pPr>
            <w:pStyle w:val="HeaderEven"/>
          </w:pPr>
          <w:r>
            <w:rPr>
              <w:color w:val="C00000" w:themeColor="accent6"/>
              <w:sz w:val="14"/>
              <w:szCs w:val="14"/>
            </w:rPr>
            <w:t>draft report: For final outcomes of this project refer to the inquiry report</w:t>
          </w:r>
        </w:p>
      </w:tc>
    </w:tr>
  </w:tbl>
  <w:p w:rsidR="006017D3" w:rsidRDefault="006017D3" w:rsidP="00D732FE">
    <w:pPr>
      <w:pStyle w:val="HeaderEnd"/>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017D3">
      <w:tc>
        <w:tcPr>
          <w:tcW w:w="6634" w:type="dxa"/>
          <w:tcBorders>
            <w:top w:val="single" w:sz="6" w:space="0" w:color="auto"/>
          </w:tcBorders>
        </w:tcPr>
        <w:p w:rsidR="006017D3" w:rsidRDefault="00752056">
          <w:pPr>
            <w:pStyle w:val="HeaderOd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74329" o:spid="_x0000_s8207" type="#_x0000_t136" style="position:absolute;margin-left:0;margin-top:0;width:442.55pt;height:177pt;rotation:315;z-index:-251628544;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rsidR="006017D3" w:rsidRDefault="006017D3">
          <w:pPr>
            <w:pStyle w:val="HeaderOdd"/>
          </w:pPr>
        </w:p>
      </w:tc>
    </w:tr>
  </w:tbl>
  <w:p w:rsidR="006017D3" w:rsidRDefault="006017D3" w:rsidP="00B95339">
    <w:pPr>
      <w:pStyle w:val="HeaderEnd"/>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056" w:rsidRDefault="0075205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74327" o:spid="_x0000_s8205" type="#_x0000_t136" style="position:absolute;margin-left:0;margin-top:0;width:442.55pt;height:177pt;rotation:315;z-index:-25163264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056" w:rsidRDefault="0075205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74317" o:spid="_x0000_s8195" type="#_x0000_t136" style="position:absolute;margin-left:0;margin-top:0;width:442.55pt;height:177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056" w:rsidRDefault="0075205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74315" o:spid="_x0000_s8193" type="#_x0000_t136" style="position:absolute;margin-left:0;margin-top:0;width:442.55pt;height:177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6017D3">
      <w:tc>
        <w:tcPr>
          <w:tcW w:w="2155" w:type="dxa"/>
          <w:tcBorders>
            <w:top w:val="single" w:sz="24" w:space="0" w:color="auto"/>
          </w:tcBorders>
        </w:tcPr>
        <w:p w:rsidR="006017D3" w:rsidRDefault="0075205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74319" o:spid="_x0000_s8197" type="#_x0000_t136" style="position:absolute;margin-left:0;margin-top:0;width:442.55pt;height:177pt;rotation:315;z-index:-251649024;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4" w:type="dxa"/>
          <w:tcBorders>
            <w:top w:val="single" w:sz="6" w:space="0" w:color="auto"/>
          </w:tcBorders>
        </w:tcPr>
        <w:p w:rsidR="006017D3" w:rsidRDefault="006017D3">
          <w:pPr>
            <w:pStyle w:val="Header"/>
          </w:pPr>
        </w:p>
      </w:tc>
    </w:tr>
  </w:tbl>
  <w:p w:rsidR="006017D3" w:rsidRDefault="006017D3">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6017D3" w:rsidTr="005C68FE">
      <w:tc>
        <w:tcPr>
          <w:tcW w:w="6634" w:type="dxa"/>
          <w:tcBorders>
            <w:top w:val="single" w:sz="6" w:space="0" w:color="auto"/>
          </w:tcBorders>
        </w:tcPr>
        <w:p w:rsidR="006017D3" w:rsidRDefault="00752056" w:rsidP="005C68FE">
          <w:pPr>
            <w:pStyle w:val="HeaderOdd"/>
          </w:pPr>
          <w:r>
            <w:rPr>
              <w:color w:val="C00000" w:themeColor="accent6"/>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74320" o:spid="_x0000_s8198" type="#_x0000_t136" style="position:absolute;margin-left:0;margin-top:0;width:442.55pt;height:177pt;rotation:315;z-index:-251646976;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rsidR="006017D3" w:rsidRDefault="006017D3" w:rsidP="005C68FE">
          <w:pPr>
            <w:pStyle w:val="HeaderOdd"/>
          </w:pPr>
        </w:p>
      </w:tc>
    </w:tr>
  </w:tbl>
  <w:p w:rsidR="006017D3" w:rsidRPr="005C68FE" w:rsidRDefault="006017D3" w:rsidP="005C68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056" w:rsidRDefault="0075205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74318" o:spid="_x0000_s8196" type="#_x0000_t136" style="position:absolute;margin-left:0;margin-top:0;width:442.55pt;height:177pt;rotation:315;z-index:-251651072;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056" w:rsidRDefault="0075205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74322" o:spid="_x0000_s8200" type="#_x0000_t136" style="position:absolute;margin-left:0;margin-top:0;width:442.55pt;height:177pt;rotation:315;z-index:-25164288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AA7BC7" w:rsidTr="005C68FE">
      <w:tc>
        <w:tcPr>
          <w:tcW w:w="6634" w:type="dxa"/>
          <w:tcBorders>
            <w:top w:val="single" w:sz="6" w:space="0" w:color="auto"/>
          </w:tcBorders>
        </w:tcPr>
        <w:p w:rsidR="00AA7BC7" w:rsidRDefault="00752056" w:rsidP="005C68FE">
          <w:pPr>
            <w:pStyle w:val="HeaderOdd"/>
          </w:pPr>
          <w:r>
            <w:rPr>
              <w:color w:val="C00000" w:themeColor="accent6"/>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74323" o:spid="_x0000_s8201" type="#_x0000_t136" style="position:absolute;margin-left:0;margin-top:0;width:442.55pt;height:177pt;rotation:315;z-index:-251640832;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5" w:type="dxa"/>
          <w:tcBorders>
            <w:top w:val="single" w:sz="24" w:space="0" w:color="auto"/>
          </w:tcBorders>
        </w:tcPr>
        <w:p w:rsidR="00AA7BC7" w:rsidRDefault="00AA7BC7" w:rsidP="005C68FE">
          <w:pPr>
            <w:pStyle w:val="HeaderOdd"/>
          </w:pPr>
        </w:p>
      </w:tc>
    </w:tr>
  </w:tbl>
  <w:p w:rsidR="00AA7BC7" w:rsidRPr="005C68FE" w:rsidRDefault="00AA7BC7" w:rsidP="005C68FE">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2056" w:rsidRDefault="0075205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74321" o:spid="_x0000_s8199" type="#_x0000_t136" style="position:absolute;margin-left:0;margin-top:0;width:442.55pt;height:177pt;rotation:315;z-index:-25164492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embedSystemFonts/>
  <w:mirrorMargins/>
  <w:proofState w:spelling="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8208"/>
    <o:shapelayout v:ext="edit">
      <o:idmap v:ext="edit" data="8"/>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B89"/>
    <w:rsid w:val="00017AFC"/>
    <w:rsid w:val="00022BFA"/>
    <w:rsid w:val="00025878"/>
    <w:rsid w:val="00026B38"/>
    <w:rsid w:val="000502D3"/>
    <w:rsid w:val="00050D42"/>
    <w:rsid w:val="00052CB2"/>
    <w:rsid w:val="000623BF"/>
    <w:rsid w:val="00065785"/>
    <w:rsid w:val="000779EB"/>
    <w:rsid w:val="00095EEA"/>
    <w:rsid w:val="00097C15"/>
    <w:rsid w:val="000A0A0E"/>
    <w:rsid w:val="000A5E12"/>
    <w:rsid w:val="000B2403"/>
    <w:rsid w:val="000B416E"/>
    <w:rsid w:val="000C0A00"/>
    <w:rsid w:val="000D03C0"/>
    <w:rsid w:val="000E5DD2"/>
    <w:rsid w:val="000F185F"/>
    <w:rsid w:val="000F2F5F"/>
    <w:rsid w:val="00106041"/>
    <w:rsid w:val="0010611E"/>
    <w:rsid w:val="00122FE9"/>
    <w:rsid w:val="00125961"/>
    <w:rsid w:val="00126DD3"/>
    <w:rsid w:val="00131572"/>
    <w:rsid w:val="00131D4F"/>
    <w:rsid w:val="0013399B"/>
    <w:rsid w:val="001667BF"/>
    <w:rsid w:val="00180515"/>
    <w:rsid w:val="00181F4B"/>
    <w:rsid w:val="00190919"/>
    <w:rsid w:val="00196FB3"/>
    <w:rsid w:val="001A5071"/>
    <w:rsid w:val="001B2BEB"/>
    <w:rsid w:val="001B4E73"/>
    <w:rsid w:val="001B7F1E"/>
    <w:rsid w:val="001C344C"/>
    <w:rsid w:val="001D4B1F"/>
    <w:rsid w:val="001D6629"/>
    <w:rsid w:val="001E3390"/>
    <w:rsid w:val="001F2270"/>
    <w:rsid w:val="00203B40"/>
    <w:rsid w:val="00205A82"/>
    <w:rsid w:val="00211BEE"/>
    <w:rsid w:val="002179C6"/>
    <w:rsid w:val="0024313F"/>
    <w:rsid w:val="00247992"/>
    <w:rsid w:val="00261607"/>
    <w:rsid w:val="00263DD1"/>
    <w:rsid w:val="00264D3B"/>
    <w:rsid w:val="00265685"/>
    <w:rsid w:val="00271297"/>
    <w:rsid w:val="00271B0C"/>
    <w:rsid w:val="00275095"/>
    <w:rsid w:val="00281D5F"/>
    <w:rsid w:val="0028676C"/>
    <w:rsid w:val="00291283"/>
    <w:rsid w:val="002923AD"/>
    <w:rsid w:val="00296263"/>
    <w:rsid w:val="00296592"/>
    <w:rsid w:val="002A0A4B"/>
    <w:rsid w:val="002A499E"/>
    <w:rsid w:val="002B636E"/>
    <w:rsid w:val="002B64D6"/>
    <w:rsid w:val="002C12F5"/>
    <w:rsid w:val="002D6FCE"/>
    <w:rsid w:val="002E01BA"/>
    <w:rsid w:val="002E72D8"/>
    <w:rsid w:val="002F7C7B"/>
    <w:rsid w:val="00323B99"/>
    <w:rsid w:val="00340511"/>
    <w:rsid w:val="00360A6E"/>
    <w:rsid w:val="00367C99"/>
    <w:rsid w:val="0038647D"/>
    <w:rsid w:val="00393A49"/>
    <w:rsid w:val="003B41E0"/>
    <w:rsid w:val="003C3D73"/>
    <w:rsid w:val="003D624D"/>
    <w:rsid w:val="003E7802"/>
    <w:rsid w:val="00410A79"/>
    <w:rsid w:val="00410E52"/>
    <w:rsid w:val="0042007A"/>
    <w:rsid w:val="00426259"/>
    <w:rsid w:val="00433C81"/>
    <w:rsid w:val="00446D6B"/>
    <w:rsid w:val="00457B3F"/>
    <w:rsid w:val="00463022"/>
    <w:rsid w:val="00481CF0"/>
    <w:rsid w:val="004B492A"/>
    <w:rsid w:val="004C0B0C"/>
    <w:rsid w:val="004C36A1"/>
    <w:rsid w:val="004D3F58"/>
    <w:rsid w:val="004E52E2"/>
    <w:rsid w:val="004E6BB4"/>
    <w:rsid w:val="004E7D3C"/>
    <w:rsid w:val="004F5920"/>
    <w:rsid w:val="00515D43"/>
    <w:rsid w:val="0052544D"/>
    <w:rsid w:val="00526B19"/>
    <w:rsid w:val="005433B2"/>
    <w:rsid w:val="00551FB8"/>
    <w:rsid w:val="005537D3"/>
    <w:rsid w:val="005537F6"/>
    <w:rsid w:val="00560F43"/>
    <w:rsid w:val="005654D0"/>
    <w:rsid w:val="005722CE"/>
    <w:rsid w:val="00572865"/>
    <w:rsid w:val="00582140"/>
    <w:rsid w:val="00585B3F"/>
    <w:rsid w:val="005B17AB"/>
    <w:rsid w:val="005B1EF3"/>
    <w:rsid w:val="005C68FE"/>
    <w:rsid w:val="005E6D9A"/>
    <w:rsid w:val="005F7D30"/>
    <w:rsid w:val="006017D3"/>
    <w:rsid w:val="00602523"/>
    <w:rsid w:val="006040CB"/>
    <w:rsid w:val="00604351"/>
    <w:rsid w:val="00607D8A"/>
    <w:rsid w:val="0061590F"/>
    <w:rsid w:val="00636497"/>
    <w:rsid w:val="00640D86"/>
    <w:rsid w:val="00641AE2"/>
    <w:rsid w:val="0064456A"/>
    <w:rsid w:val="00650DDA"/>
    <w:rsid w:val="0065126A"/>
    <w:rsid w:val="00653FA6"/>
    <w:rsid w:val="0067557D"/>
    <w:rsid w:val="006802D4"/>
    <w:rsid w:val="0068118B"/>
    <w:rsid w:val="00683849"/>
    <w:rsid w:val="006865F9"/>
    <w:rsid w:val="00691AB5"/>
    <w:rsid w:val="006B19A0"/>
    <w:rsid w:val="006C4864"/>
    <w:rsid w:val="006D7AD1"/>
    <w:rsid w:val="006E1E6B"/>
    <w:rsid w:val="006F0EAC"/>
    <w:rsid w:val="006F6A85"/>
    <w:rsid w:val="0070328D"/>
    <w:rsid w:val="00731F96"/>
    <w:rsid w:val="00734127"/>
    <w:rsid w:val="00735FEA"/>
    <w:rsid w:val="00743460"/>
    <w:rsid w:val="00743A27"/>
    <w:rsid w:val="007448F7"/>
    <w:rsid w:val="007476DE"/>
    <w:rsid w:val="00752056"/>
    <w:rsid w:val="00752098"/>
    <w:rsid w:val="00753DC6"/>
    <w:rsid w:val="0075578C"/>
    <w:rsid w:val="00761B89"/>
    <w:rsid w:val="00766DFB"/>
    <w:rsid w:val="007734B5"/>
    <w:rsid w:val="007809B8"/>
    <w:rsid w:val="007813A6"/>
    <w:rsid w:val="00781495"/>
    <w:rsid w:val="0078324B"/>
    <w:rsid w:val="0078472A"/>
    <w:rsid w:val="00791840"/>
    <w:rsid w:val="007A2394"/>
    <w:rsid w:val="007A2BB7"/>
    <w:rsid w:val="00803190"/>
    <w:rsid w:val="00805FD7"/>
    <w:rsid w:val="00806E54"/>
    <w:rsid w:val="008165CA"/>
    <w:rsid w:val="00817050"/>
    <w:rsid w:val="008206EE"/>
    <w:rsid w:val="008214B1"/>
    <w:rsid w:val="008273A9"/>
    <w:rsid w:val="00834040"/>
    <w:rsid w:val="00836ED7"/>
    <w:rsid w:val="008414B7"/>
    <w:rsid w:val="0084355E"/>
    <w:rsid w:val="008453AC"/>
    <w:rsid w:val="00860D09"/>
    <w:rsid w:val="00862044"/>
    <w:rsid w:val="0086213E"/>
    <w:rsid w:val="008634E4"/>
    <w:rsid w:val="00880BF7"/>
    <w:rsid w:val="00885C82"/>
    <w:rsid w:val="00887649"/>
    <w:rsid w:val="0089269F"/>
    <w:rsid w:val="008A08C9"/>
    <w:rsid w:val="008A2133"/>
    <w:rsid w:val="008A3857"/>
    <w:rsid w:val="008B2205"/>
    <w:rsid w:val="008C08EF"/>
    <w:rsid w:val="008C305F"/>
    <w:rsid w:val="008C3AD2"/>
    <w:rsid w:val="008C7C3D"/>
    <w:rsid w:val="008D6F66"/>
    <w:rsid w:val="008E1BEA"/>
    <w:rsid w:val="008E242D"/>
    <w:rsid w:val="008E2D4B"/>
    <w:rsid w:val="008E43D2"/>
    <w:rsid w:val="008E5248"/>
    <w:rsid w:val="008F04C9"/>
    <w:rsid w:val="008F4978"/>
    <w:rsid w:val="008F5517"/>
    <w:rsid w:val="008F7C50"/>
    <w:rsid w:val="008F7DB7"/>
    <w:rsid w:val="00903C7E"/>
    <w:rsid w:val="009064D3"/>
    <w:rsid w:val="00913377"/>
    <w:rsid w:val="00915300"/>
    <w:rsid w:val="00920B7D"/>
    <w:rsid w:val="00925CFB"/>
    <w:rsid w:val="00933B0C"/>
    <w:rsid w:val="00935676"/>
    <w:rsid w:val="009527A8"/>
    <w:rsid w:val="009718D7"/>
    <w:rsid w:val="00972542"/>
    <w:rsid w:val="0098401D"/>
    <w:rsid w:val="00993F3A"/>
    <w:rsid w:val="009A789F"/>
    <w:rsid w:val="009B12EF"/>
    <w:rsid w:val="009B48F7"/>
    <w:rsid w:val="009B6185"/>
    <w:rsid w:val="009C142A"/>
    <w:rsid w:val="009C6C6D"/>
    <w:rsid w:val="009E1E78"/>
    <w:rsid w:val="00A1597D"/>
    <w:rsid w:val="00A46989"/>
    <w:rsid w:val="00A469AA"/>
    <w:rsid w:val="00A71CE9"/>
    <w:rsid w:val="00A72A19"/>
    <w:rsid w:val="00A75A30"/>
    <w:rsid w:val="00A93C82"/>
    <w:rsid w:val="00A95A7C"/>
    <w:rsid w:val="00AA7BC7"/>
    <w:rsid w:val="00AB2A48"/>
    <w:rsid w:val="00AC3236"/>
    <w:rsid w:val="00AD4874"/>
    <w:rsid w:val="00AD58EA"/>
    <w:rsid w:val="00AE1C34"/>
    <w:rsid w:val="00AE1F8A"/>
    <w:rsid w:val="00B036B2"/>
    <w:rsid w:val="00B04D19"/>
    <w:rsid w:val="00B137F3"/>
    <w:rsid w:val="00B153C3"/>
    <w:rsid w:val="00B22087"/>
    <w:rsid w:val="00B2647E"/>
    <w:rsid w:val="00B53FD5"/>
    <w:rsid w:val="00B722F2"/>
    <w:rsid w:val="00B77F6F"/>
    <w:rsid w:val="00B80355"/>
    <w:rsid w:val="00B90958"/>
    <w:rsid w:val="00B95339"/>
    <w:rsid w:val="00BA0B81"/>
    <w:rsid w:val="00BA311E"/>
    <w:rsid w:val="00BA5A5A"/>
    <w:rsid w:val="00BB0523"/>
    <w:rsid w:val="00BB17E1"/>
    <w:rsid w:val="00BB334E"/>
    <w:rsid w:val="00BB5DCF"/>
    <w:rsid w:val="00BC2476"/>
    <w:rsid w:val="00BC4B97"/>
    <w:rsid w:val="00BD5A26"/>
    <w:rsid w:val="00BF59EA"/>
    <w:rsid w:val="00BF79CD"/>
    <w:rsid w:val="00C01D8A"/>
    <w:rsid w:val="00C058AB"/>
    <w:rsid w:val="00C0721B"/>
    <w:rsid w:val="00C20E0A"/>
    <w:rsid w:val="00C34C8C"/>
    <w:rsid w:val="00C50792"/>
    <w:rsid w:val="00C51371"/>
    <w:rsid w:val="00C55A45"/>
    <w:rsid w:val="00C65DBA"/>
    <w:rsid w:val="00C663E4"/>
    <w:rsid w:val="00C66EE8"/>
    <w:rsid w:val="00C670DE"/>
    <w:rsid w:val="00C904D9"/>
    <w:rsid w:val="00C94225"/>
    <w:rsid w:val="00C94C06"/>
    <w:rsid w:val="00CA48BF"/>
    <w:rsid w:val="00CB3ACC"/>
    <w:rsid w:val="00CB4745"/>
    <w:rsid w:val="00CD051E"/>
    <w:rsid w:val="00CD2163"/>
    <w:rsid w:val="00CD4FE7"/>
    <w:rsid w:val="00CD5E6B"/>
    <w:rsid w:val="00CE4FBC"/>
    <w:rsid w:val="00CE5D96"/>
    <w:rsid w:val="00CE7344"/>
    <w:rsid w:val="00CF26EE"/>
    <w:rsid w:val="00D310F0"/>
    <w:rsid w:val="00D363F4"/>
    <w:rsid w:val="00D37AC2"/>
    <w:rsid w:val="00D500A9"/>
    <w:rsid w:val="00D61180"/>
    <w:rsid w:val="00D64121"/>
    <w:rsid w:val="00D67119"/>
    <w:rsid w:val="00D732FE"/>
    <w:rsid w:val="00D74E25"/>
    <w:rsid w:val="00D772E9"/>
    <w:rsid w:val="00D82E10"/>
    <w:rsid w:val="00D969AE"/>
    <w:rsid w:val="00DA31AB"/>
    <w:rsid w:val="00DA3281"/>
    <w:rsid w:val="00DA6D3E"/>
    <w:rsid w:val="00DC02E8"/>
    <w:rsid w:val="00DC75C7"/>
    <w:rsid w:val="00DC78D3"/>
    <w:rsid w:val="00DD09A0"/>
    <w:rsid w:val="00DD1077"/>
    <w:rsid w:val="00DD1FA0"/>
    <w:rsid w:val="00DF00FE"/>
    <w:rsid w:val="00DF4592"/>
    <w:rsid w:val="00E15629"/>
    <w:rsid w:val="00E15FDC"/>
    <w:rsid w:val="00E2651B"/>
    <w:rsid w:val="00E30DDB"/>
    <w:rsid w:val="00E406C5"/>
    <w:rsid w:val="00E4737D"/>
    <w:rsid w:val="00E6632E"/>
    <w:rsid w:val="00E74DAB"/>
    <w:rsid w:val="00E75900"/>
    <w:rsid w:val="00E90CF2"/>
    <w:rsid w:val="00EB76E1"/>
    <w:rsid w:val="00EB7B24"/>
    <w:rsid w:val="00EC38C1"/>
    <w:rsid w:val="00EC4133"/>
    <w:rsid w:val="00EC628B"/>
    <w:rsid w:val="00ED0F61"/>
    <w:rsid w:val="00EE3F6D"/>
    <w:rsid w:val="00EE73E1"/>
    <w:rsid w:val="00F066E7"/>
    <w:rsid w:val="00F12107"/>
    <w:rsid w:val="00F13165"/>
    <w:rsid w:val="00F14EBF"/>
    <w:rsid w:val="00F1748E"/>
    <w:rsid w:val="00F4234E"/>
    <w:rsid w:val="00F456C7"/>
    <w:rsid w:val="00F61429"/>
    <w:rsid w:val="00F7477E"/>
    <w:rsid w:val="00F77010"/>
    <w:rsid w:val="00F826A6"/>
    <w:rsid w:val="00F85393"/>
    <w:rsid w:val="00F92DC2"/>
    <w:rsid w:val="00FA4A24"/>
    <w:rsid w:val="00FC41B4"/>
    <w:rsid w:val="00FC5A6B"/>
    <w:rsid w:val="00FD06C0"/>
    <w:rsid w:val="00FD4728"/>
    <w:rsid w:val="00FD741A"/>
    <w:rsid w:val="00FF5832"/>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0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tabs>
        <w:tab w:val="clear" w:pos="794"/>
        <w:tab w:val="num" w:pos="360"/>
      </w:tabs>
      <w:ind w:left="340" w:hanging="34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761B89"/>
    <w:rPr>
      <w:kern w:val="28"/>
      <w:sz w:val="52"/>
      <w:lang w:eastAsia="en-US"/>
    </w:rPr>
  </w:style>
  <w:style w:type="paragraph" w:customStyle="1" w:styleId="Default">
    <w:name w:val="Default"/>
    <w:rsid w:val="00CD051E"/>
    <w:pPr>
      <w:autoSpaceDE w:val="0"/>
      <w:autoSpaceDN w:val="0"/>
      <w:adjustRightInd w:val="0"/>
    </w:pPr>
    <w:rPr>
      <w:color w:val="000000"/>
      <w:sz w:val="24"/>
      <w:szCs w:val="24"/>
    </w:rPr>
  </w:style>
  <w:style w:type="table" w:styleId="TableGrid">
    <w:name w:val="Table Grid"/>
    <w:basedOn w:val="TableNormal"/>
    <w:rsid w:val="008F55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8F5517"/>
    <w:rPr>
      <w:rFonts w:ascii="Arial" w:hAnsi="Arial"/>
      <w:b/>
      <w:sz w:val="26"/>
    </w:rPr>
  </w:style>
  <w:style w:type="paragraph" w:styleId="CommentSubject">
    <w:name w:val="annotation subject"/>
    <w:basedOn w:val="CommentText"/>
    <w:next w:val="CommentText"/>
    <w:link w:val="CommentSubjectChar"/>
    <w:rsid w:val="00275095"/>
    <w:pPr>
      <w:spacing w:before="0" w:line="240" w:lineRule="auto"/>
      <w:ind w:left="0" w:firstLine="0"/>
    </w:pPr>
    <w:rPr>
      <w:b/>
      <w:bCs/>
    </w:rPr>
  </w:style>
  <w:style w:type="character" w:customStyle="1" w:styleId="CommentTextChar">
    <w:name w:val="Comment Text Char"/>
    <w:basedOn w:val="DefaultParagraphFont"/>
    <w:link w:val="CommentText"/>
    <w:semiHidden/>
    <w:rsid w:val="00275095"/>
    <w:rPr>
      <w:lang w:eastAsia="en-US"/>
    </w:rPr>
  </w:style>
  <w:style w:type="character" w:customStyle="1" w:styleId="CommentSubjectChar">
    <w:name w:val="Comment Subject Char"/>
    <w:basedOn w:val="CommentTextChar"/>
    <w:link w:val="CommentSubject"/>
    <w:rsid w:val="00275095"/>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Body Text"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tabs>
        <w:tab w:val="clear" w:pos="794"/>
        <w:tab w:val="num" w:pos="360"/>
      </w:tabs>
      <w:ind w:left="340" w:hanging="34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761B89"/>
    <w:rPr>
      <w:kern w:val="28"/>
      <w:sz w:val="52"/>
      <w:lang w:eastAsia="en-US"/>
    </w:rPr>
  </w:style>
  <w:style w:type="paragraph" w:customStyle="1" w:styleId="Default">
    <w:name w:val="Default"/>
    <w:rsid w:val="00CD051E"/>
    <w:pPr>
      <w:autoSpaceDE w:val="0"/>
      <w:autoSpaceDN w:val="0"/>
      <w:adjustRightInd w:val="0"/>
    </w:pPr>
    <w:rPr>
      <w:color w:val="000000"/>
      <w:sz w:val="24"/>
      <w:szCs w:val="24"/>
    </w:rPr>
  </w:style>
  <w:style w:type="table" w:styleId="TableGrid">
    <w:name w:val="Table Grid"/>
    <w:basedOn w:val="TableNormal"/>
    <w:rsid w:val="008F55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8F5517"/>
    <w:rPr>
      <w:rFonts w:ascii="Arial" w:hAnsi="Arial"/>
      <w:b/>
      <w:sz w:val="26"/>
    </w:rPr>
  </w:style>
  <w:style w:type="paragraph" w:styleId="CommentSubject">
    <w:name w:val="annotation subject"/>
    <w:basedOn w:val="CommentText"/>
    <w:next w:val="CommentText"/>
    <w:link w:val="CommentSubjectChar"/>
    <w:rsid w:val="00275095"/>
    <w:pPr>
      <w:spacing w:before="0" w:line="240" w:lineRule="auto"/>
      <w:ind w:left="0" w:firstLine="0"/>
    </w:pPr>
    <w:rPr>
      <w:b/>
      <w:bCs/>
    </w:rPr>
  </w:style>
  <w:style w:type="character" w:customStyle="1" w:styleId="CommentTextChar">
    <w:name w:val="Comment Text Char"/>
    <w:basedOn w:val="DefaultParagraphFont"/>
    <w:link w:val="CommentText"/>
    <w:semiHidden/>
    <w:rsid w:val="00275095"/>
    <w:rPr>
      <w:lang w:eastAsia="en-US"/>
    </w:rPr>
  </w:style>
  <w:style w:type="character" w:customStyle="1" w:styleId="CommentSubjectChar">
    <w:name w:val="Comment Subject Char"/>
    <w:basedOn w:val="CommentTextChar"/>
    <w:link w:val="CommentSubject"/>
    <w:rsid w:val="00275095"/>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hyperlink" Target="http://creativecommons.org/licenses/by/3.0/au" TargetMode="External"/><Relationship Id="rId26" Type="http://schemas.openxmlformats.org/officeDocument/2006/relationships/header" Target="header5.xml"/><Relationship Id="rId39" Type="http://schemas.openxmlformats.org/officeDocument/2006/relationships/header" Target="header13.xml"/><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header" Target="header10.xml"/><Relationship Id="rId42" Type="http://schemas.openxmlformats.org/officeDocument/2006/relationships/footer" Target="footer7.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creativecommons.org/licenses/by/3.0/au" TargetMode="External"/><Relationship Id="rId25" Type="http://schemas.openxmlformats.org/officeDocument/2006/relationships/header" Target="header4.xml"/><Relationship Id="rId33" Type="http://schemas.openxmlformats.org/officeDocument/2006/relationships/header" Target="header9.xml"/><Relationship Id="rId38"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www.itsanhonour.gov.au" TargetMode="External"/><Relationship Id="rId29" Type="http://schemas.openxmlformats.org/officeDocument/2006/relationships/header" Target="header6.xml"/><Relationship Id="rId41"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www.pc.gov.au/inquiries/current/consumer-law/make-submission" TargetMode="External"/><Relationship Id="rId32" Type="http://schemas.openxmlformats.org/officeDocument/2006/relationships/footer" Target="footer3.xml"/><Relationship Id="rId37" Type="http://schemas.openxmlformats.org/officeDocument/2006/relationships/footer" Target="footer5.xm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1.png"/><Relationship Id="rId23" Type="http://schemas.openxmlformats.org/officeDocument/2006/relationships/header" Target="header3.xml"/><Relationship Id="rId28" Type="http://schemas.openxmlformats.org/officeDocument/2006/relationships/footer" Target="footer2.xml"/><Relationship Id="rId36" Type="http://schemas.openxmlformats.org/officeDocument/2006/relationships/footer" Target="footer4.xml"/><Relationship Id="rId10" Type="http://schemas.microsoft.com/office/2007/relationships/stylesWithEffects" Target="stylesWithEffects.xml"/><Relationship Id="rId19" Type="http://schemas.openxmlformats.org/officeDocument/2006/relationships/hyperlink" Target="http://www.itsanhonour.gov.au/coat-arms/index.cfm" TargetMode="External"/><Relationship Id="rId31" Type="http://schemas.openxmlformats.org/officeDocument/2006/relationships/header" Target="header8.xm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header" Target="header2.xml"/><Relationship Id="rId27" Type="http://schemas.openxmlformats.org/officeDocument/2006/relationships/footer" Target="footer1.xml"/><Relationship Id="rId30" Type="http://schemas.openxmlformats.org/officeDocument/2006/relationships/header" Target="header7.xml"/><Relationship Id="rId35" Type="http://schemas.openxmlformats.org/officeDocument/2006/relationships/header" Target="header11.xml"/><Relationship Id="rId43" Type="http://schemas.openxmlformats.org/officeDocument/2006/relationships/header" Target="header15.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Draft_x0020_Report_x0020_Status xmlns="3f4bcce7-ac1a-4c9d-aa3e-7e77695652db">
      <Value>In initial draft state</Value>
    </Draft_x0020_Report_x0020_Status>
    <TaxKeywordTaxHTField xmlns="3f4bcce7-ac1a-4c9d-aa3e-7e77695652db">
      <Terms xmlns="http://schemas.microsoft.com/office/infopath/2007/PartnerControls"/>
    </TaxKeywordTaxHTField>
    <V3Comments xmlns="http://schemas.microsoft.com/sharepoint/v3" xsi:nil="true"/>
    <p7a0baa8c88445a78b6f55906390ba17 xmlns="3f4bcce7-ac1a-4c9d-aa3e-7e77695652db">
      <Terms xmlns="http://schemas.microsoft.com/office/infopath/2007/PartnerControls">
        <TermInfo xmlns="http://schemas.microsoft.com/office/infopath/2007/PartnerControls">
          <TermName xmlns="http://schemas.microsoft.com/office/infopath/2007/PartnerControls">Draft Report</TermName>
          <TermId xmlns="http://schemas.microsoft.com/office/infopath/2007/PartnerControls">84e4af37-8871-4c42-ad2f-98d46afe06b0</TermId>
        </TermInfo>
      </Terms>
    </p7a0baa8c88445a78b6f55906390ba17>
    <TaxCatchAll xmlns="3f4bcce7-ac1a-4c9d-aa3e-7e77695652db">
      <Value>24</Value>
    </TaxCatchAll>
    <_dlc_DocId xmlns="3f4bcce7-ac1a-4c9d-aa3e-7e77695652db">M5SJCJZUVSWY-547816720-35</_dlc_DocId>
    <_dlc_DocIdUrl xmlns="3f4bcce7-ac1a-4c9d-aa3e-7e77695652db">
      <Url>https://inet.pc.gov.au/pmo/inq/clea/_layouts/15/DocIdRedir.aspx?ID=M5SJCJZUVSWY-547816720-35</Url>
      <Description>M5SJCJZUVSWY-547816720-35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Reports" ma:contentTypeID="0x0101007916246811615643A710C6FEAFF56A8711040071E7C85D4CE442469126ACA41E1025A5" ma:contentTypeVersion="9" ma:contentTypeDescription="" ma:contentTypeScope="" ma:versionID="801864a04b3bf823df4dc996a6bfa2e1">
  <xsd:schema xmlns:xsd="http://www.w3.org/2001/XMLSchema" xmlns:xs="http://www.w3.org/2001/XMLSchema" xmlns:p="http://schemas.microsoft.com/office/2006/metadata/properties" xmlns:ns1="http://schemas.microsoft.com/sharepoint/v3" xmlns:ns2="3f4bcce7-ac1a-4c9d-aa3e-7e77695652db" targetNamespace="http://schemas.microsoft.com/office/2006/metadata/properties" ma:root="true" ma:fieldsID="0ffc3fb9afb91c62aa7a207bd412f67c" ns1:_="" ns2:_="">
    <xsd:import namespace="http://schemas.microsoft.com/sharepoint/v3"/>
    <xsd:import namespace="3f4bcce7-ac1a-4c9d-aa3e-7e77695652db"/>
    <xsd:element name="properties">
      <xsd:complexType>
        <xsd:sequence>
          <xsd:element name="documentManagement">
            <xsd:complexType>
              <xsd:all>
                <xsd:element ref="ns2:TaxCatchAll" minOccurs="0"/>
                <xsd:element ref="ns2:TaxCatchAllLabel" minOccurs="0"/>
                <xsd:element ref="ns2:p7a0baa8c88445a78b6f55906390ba17" minOccurs="0"/>
                <xsd:element ref="ns2:TaxKeywordTaxHTField" minOccurs="0"/>
                <xsd:element ref="ns2:_dlc_DocId" minOccurs="0"/>
                <xsd:element ref="ns2:_dlc_DocIdUrl" minOccurs="0"/>
                <xsd:element ref="ns2:_dlc_DocIdPersistId" minOccurs="0"/>
                <xsd:element ref="ns2:Draft_x0020_Report_x0020_Status" minOccurs="0"/>
                <xsd:element ref="ns1:V3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V3Comments" ma:index="18" nillable="true" ma:displayName="Append-Only Comments" ma:internalName="V3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4bcce7-ac1a-4c9d-aa3e-7e77695652db"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cc469927-f3de-4bce-906c-cafcd61f2a2b}" ma:internalName="TaxCatchAll" ma:showField="CatchAllData"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cc469927-f3de-4bce-906c-cafcd61f2a2b}" ma:internalName="TaxCatchAllLabel" ma:readOnly="true" ma:showField="CatchAllDataLabel"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p7a0baa8c88445a78b6f55906390ba17" ma:index="10" ma:taxonomy="true" ma:internalName="p7a0baa8c88445a78b6f55906390ba17" ma:taxonomyFieldName="Record_x0020_Tag" ma:displayName="Record" ma:default="" ma:fieldId="{97a0baa8-c884-45a7-8b6f-55906390ba17}" ma:sspId="70da5c63-8548-4ac8-9616-83b0f373280e" ma:termSetId="e99b77ca-c000-4e3f-a77f-a64077d5e2f2" ma:anchorId="93a7d1ec-6f99-42f7-89f4-9f4f92f5cb1e" ma:open="false" ma:isKeyword="false">
      <xsd:complexType>
        <xsd:sequence>
          <xsd:element ref="pc:Terms" minOccurs="0" maxOccurs="1"/>
        </xsd:sequence>
      </xsd:complexType>
    </xsd:element>
    <xsd:element name="TaxKeywordTaxHTField" ma:index="12" nillable="true" ma:taxonomy="true" ma:internalName="TaxKeywordTaxHTField" ma:taxonomyFieldName="TaxKeyword" ma:displayName="Enterprise Keywords" ma:fieldId="{23f27201-bee3-471e-b2e7-b64fd8b7ca38}" ma:taxonomyMulti="true" ma:sspId="70da5c63-8548-4ac8-9616-83b0f373280e" ma:termSetId="00000000-0000-0000-0000-000000000000" ma:anchorId="00000000-0000-0000-0000-000000000000" ma:open="true" ma:isKeyword="true">
      <xsd:complexType>
        <xsd:sequence>
          <xsd:element ref="pc:Terms" minOccurs="0" maxOccurs="1"/>
        </xsd:sequence>
      </xsd:complexType>
    </xsd:element>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element name="Draft_x0020_Report_x0020_Status" ma:index="17" nillable="true" ma:displayName="Draft Report Status" ma:default="In initial draft state" ma:internalName="Draft_x0020_Report_x0020_Status" ma:requiredMultiChoice="true">
      <xsd:complexType>
        <xsd:complexContent>
          <xsd:extension base="dms:MultiChoice">
            <xsd:sequence>
              <xsd:element name="Value" maxOccurs="unbounded" minOccurs="0" nillable="true">
                <xsd:simpleType>
                  <xsd:restriction base="dms:Choice">
                    <xsd:enumeration value="In initial draft state"/>
                    <xsd:enumeration value="1st Circ to A/Comm"/>
                    <xsd:enumeration value="1st Circ to Comms"/>
                    <xsd:enumeration value="1st Circ comments back"/>
                    <xsd:enumeration value="2nd Circ to A/Comm"/>
                    <xsd:enumeration value="2nd Circ to Comms"/>
                    <xsd:enumeration value="2nd Circ comments back"/>
                    <xsd:enumeration value="3rd Circ to A/Comm"/>
                    <xsd:enumeration value="3rd Circ to Comms"/>
                    <xsd:enumeration value="3rd Circ comments back"/>
                    <xsd:enumeration value="Ready for final proof"/>
                    <xsd:enumeration value="Out to proof"/>
                    <xsd:enumeration value="1st proof complete"/>
                    <xsd:enumeration value="2nd proof complete"/>
                    <xsd:enumeration value="3rd proof complete"/>
                    <xsd:enumeration value="Style checker run"/>
                    <xsd:enumeration value="Global style OK"/>
                    <xsd:enumeration value="Cross refs OK"/>
                    <xsd:enumeration value="Recs etc OK"/>
                    <xsd:enumeration value="Chart format OK"/>
                    <xsd:enumeration value="Charts tagged"/>
                    <xsd:enumeration value="Direct quotes OK"/>
                    <xsd:enumeration value="Sub nums OK"/>
                    <xsd:enumeration value="Alt text done"/>
                    <xsd:enumeration value="Ready to compile"/>
                    <xsd:enumeration value="Compiled"/>
                    <xsd:enumeration value="Post compile edits in"/>
                    <xsd:enumeration value="As publishe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customXsn xmlns="http://schemas.microsoft.com/office/2006/metadata/customXsn">
  <xsnLocation/>
  <cached>True</cached>
  <openByDefault>False</openByDefault>
  <xsnScope/>
</customXsn>
</file>

<file path=customXml/item6.xml><?xml version="1.0" encoding="utf-8"?>
<?mso-contentType ?>
<SharedContentType xmlns="Microsoft.SharePoint.Taxonomy.ContentTypeSync" SourceId="70da5c63-8548-4ac8-9616-83b0f373280e" ContentTypeId="0x0101007916246811615643A710C6FEAFF56A871104" PreviousValue="false"/>
</file>

<file path=customXml/item7.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3FE5BF84-DC9E-4A33-9D19-359FE292CE4A}">
  <ds:schemaRefs>
    <ds:schemaRef ds:uri="http://purl.org/dc/elements/1.1/"/>
    <ds:schemaRef ds:uri="http://schemas.microsoft.com/office/2006/documentManagement/types"/>
    <ds:schemaRef ds:uri="http://www.w3.org/XML/1998/namespace"/>
    <ds:schemaRef ds:uri="3f4bcce7-ac1a-4c9d-aa3e-7e77695652db"/>
    <ds:schemaRef ds:uri="http://schemas.openxmlformats.org/package/2006/metadata/core-properties"/>
    <ds:schemaRef ds:uri="http://schemas.microsoft.com/office/infopath/2007/PartnerControls"/>
    <ds:schemaRef ds:uri="http://purl.org/dc/dcmitype/"/>
    <ds:schemaRef ds:uri="http://purl.org/dc/terms/"/>
    <ds:schemaRef ds:uri="http://schemas.microsoft.com/sharepoint/v3"/>
    <ds:schemaRef ds:uri="http://schemas.microsoft.com/office/2006/metadata/properties"/>
  </ds:schemaRefs>
</ds:datastoreItem>
</file>

<file path=customXml/itemProps2.xml><?xml version="1.0" encoding="utf-8"?>
<ds:datastoreItem xmlns:ds="http://schemas.openxmlformats.org/officeDocument/2006/customXml" ds:itemID="{B4C74517-8269-4F84-BBB7-81F716F0D0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f4bcce7-ac1a-4c9d-aa3e-7e7769565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8FBB80-6C1C-4BD7-AE12-7AFF57AD92E2}">
  <ds:schemaRefs>
    <ds:schemaRef ds:uri="http://schemas.microsoft.com/sharepoint/v3/contenttype/forms"/>
  </ds:schemaRefs>
</ds:datastoreItem>
</file>

<file path=customXml/itemProps4.xml><?xml version="1.0" encoding="utf-8"?>
<ds:datastoreItem xmlns:ds="http://schemas.openxmlformats.org/officeDocument/2006/customXml" ds:itemID="{15B12359-A5B9-4893-91DE-1602F217C4C3}">
  <ds:schemaRefs>
    <ds:schemaRef ds:uri="http://schemas.microsoft.com/sharepoint/events"/>
  </ds:schemaRefs>
</ds:datastoreItem>
</file>

<file path=customXml/itemProps5.xml><?xml version="1.0" encoding="utf-8"?>
<ds:datastoreItem xmlns:ds="http://schemas.openxmlformats.org/officeDocument/2006/customXml" ds:itemID="{6B94D0E3-4093-4118-A96E-8D998DBC4504}">
  <ds:schemaRefs>
    <ds:schemaRef ds:uri="http://schemas.microsoft.com/office/2006/metadata/customXsn"/>
  </ds:schemaRefs>
</ds:datastoreItem>
</file>

<file path=customXml/itemProps6.xml><?xml version="1.0" encoding="utf-8"?>
<ds:datastoreItem xmlns:ds="http://schemas.openxmlformats.org/officeDocument/2006/customXml" ds:itemID="{17622FB0-2D69-4FAD-8C46-1FB66351D549}">
  <ds:schemaRefs>
    <ds:schemaRef ds:uri="Microsoft.SharePoint.Taxonomy.ContentTypeSync"/>
  </ds:schemaRefs>
</ds:datastoreItem>
</file>

<file path=customXml/itemProps7.xml><?xml version="1.0" encoding="utf-8"?>
<ds:datastoreItem xmlns:ds="http://schemas.openxmlformats.org/officeDocument/2006/customXml" ds:itemID="{B1E99D19-46B5-457C-BE71-066248AC3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1</TotalTime>
  <Pages>8</Pages>
  <Words>929</Words>
  <Characters>6083</Characters>
  <Application>Microsoft Office Word</Application>
  <DocSecurity>0</DocSecurity>
  <Lines>50</Lines>
  <Paragraphs>13</Paragraphs>
  <ScaleCrop>false</ScaleCrop>
  <HeadingPairs>
    <vt:vector size="2" baseType="variant">
      <vt:variant>
        <vt:lpstr>Title</vt:lpstr>
      </vt:variant>
      <vt:variant>
        <vt:i4>1</vt:i4>
      </vt:variant>
    </vt:vector>
  </HeadingPairs>
  <TitlesOfParts>
    <vt:vector size="1" baseType="lpstr">
      <vt:lpstr>Preliminaries - Consumer Law Enforcement and Administration – Draft Report</vt:lpstr>
    </vt:vector>
  </TitlesOfParts>
  <Company>Productivity Commission</Company>
  <LinksUpToDate>false</LinksUpToDate>
  <CharactersWithSpaces>6999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Preliminaries - Consumer Law Enforcement and Administration – Draft Report</dc:title>
  <dc:creator>Productivity Commission</dc:creator>
  <cp:lastModifiedBy>Productivity Commission</cp:lastModifiedBy>
  <cp:revision>3</cp:revision>
  <cp:lastPrinted>2016-11-30T03:08:00Z</cp:lastPrinted>
  <dcterms:created xsi:type="dcterms:W3CDTF">2017-04-27T03:35:00Z</dcterms:created>
  <dcterms:modified xsi:type="dcterms:W3CDTF">2017-04-27T03:37:00Z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0x0101007916246811615643A710C6FEAFF56A8711040071E7C85D4CE442469126ACA41E1025A5</vt:lpwstr>
  </property>
  <property fmtid="{D5CDD505-2E9C-101B-9397-08002B2CF9AE}" pid="3" name="Record Tag">
    <vt:lpwstr>24;#Draft Report|84e4af37-8871-4c42-ad2f-98d46afe06b0</vt:lpwstr>
  </property>
  <property fmtid="{D5CDD505-2E9C-101B-9397-08002B2CF9AE}" pid="4" name="TaxKeyword">
    <vt:lpwstr/>
  </property>
  <property fmtid="{D5CDD505-2E9C-101B-9397-08002B2CF9AE}" pid="5" name="_dlc_DocIdItemGuid">
    <vt:lpwstr>ac5c22bc-685a-4399-84f6-82d661695c6a</vt:lpwstr>
  </property>
</Properties>
</file>