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7E3" w:rsidRPr="004F07E3" w:rsidRDefault="001A2641" w:rsidP="004F07E3">
      <w:pPr>
        <w:pStyle w:val="Heading1"/>
        <w:rPr>
          <w:color w:val="FFFFFF" w:themeColor="background1"/>
          <w:sz w:val="12"/>
          <w:szCs w:val="12"/>
        </w:rPr>
      </w:pPr>
      <w:bookmarkStart w:id="0" w:name="_GoBack"/>
      <w:r>
        <w:rPr>
          <w:noProof/>
        </w:rPr>
        <w:drawing>
          <wp:anchor distT="0" distB="0" distL="114300" distR="114300" simplePos="0" relativeHeight="251658240" behindDoc="0" locked="0" layoutInCell="1" allowOverlap="1" wp14:anchorId="73EF6FCF" wp14:editId="43A1504F">
            <wp:simplePos x="826851" y="826851"/>
            <wp:positionH relativeFrom="page">
              <wp:align>center</wp:align>
            </wp:positionH>
            <wp:positionV relativeFrom="page">
              <wp:align>center</wp:align>
            </wp:positionV>
            <wp:extent cx="7558405" cy="10734675"/>
            <wp:effectExtent l="0" t="0" r="4445" b="9525"/>
            <wp:wrapNone/>
            <wp:docPr id="1" name="Picture 1" descr="Consumer Law Enforcement and Administration&#10;Productivity Commission Research Report, Overview, March 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l-final-cover.png"/>
                    <pic:cNvPicPr/>
                  </pic:nvPicPr>
                  <pic:blipFill>
                    <a:blip r:embed="rId9">
                      <a:extLst>
                        <a:ext uri="{28A0092B-C50C-407E-A947-70E740481C1C}">
                          <a14:useLocalDpi xmlns:a14="http://schemas.microsoft.com/office/drawing/2010/main" val="0"/>
                        </a:ext>
                      </a:extLst>
                    </a:blip>
                    <a:stretch>
                      <a:fillRect/>
                    </a:stretch>
                  </pic:blipFill>
                  <pic:spPr>
                    <a:xfrm>
                      <a:off x="0" y="0"/>
                      <a:ext cx="7558706" cy="10735200"/>
                    </a:xfrm>
                    <a:prstGeom prst="rect">
                      <a:avLst/>
                    </a:prstGeom>
                  </pic:spPr>
                </pic:pic>
              </a:graphicData>
            </a:graphic>
            <wp14:sizeRelH relativeFrom="margin">
              <wp14:pctWidth>0</wp14:pctWidth>
            </wp14:sizeRelH>
            <wp14:sizeRelV relativeFrom="margin">
              <wp14:pctHeight>0</wp14:pctHeight>
            </wp14:sizeRelV>
          </wp:anchor>
        </w:drawing>
      </w:r>
      <w:bookmarkEnd w:id="0"/>
      <w:r w:rsidR="004F07E3" w:rsidRPr="004F07E3">
        <w:rPr>
          <w:color w:val="FFFFFF" w:themeColor="background1"/>
          <w:sz w:val="12"/>
          <w:szCs w:val="12"/>
        </w:rPr>
        <w:t>Consumer Law Enforcement and Administration</w:t>
      </w:r>
    </w:p>
    <w:p w:rsidR="004F07E3" w:rsidRPr="004F07E3" w:rsidRDefault="004F07E3" w:rsidP="004F07E3">
      <w:pPr>
        <w:pStyle w:val="Copyrightbodytext"/>
        <w:rPr>
          <w:color w:val="FFFFFF" w:themeColor="background1"/>
          <w:spacing w:val="-1"/>
          <w:sz w:val="12"/>
          <w:szCs w:val="12"/>
        </w:rPr>
      </w:pPr>
      <w:r w:rsidRPr="004F07E3">
        <w:rPr>
          <w:color w:val="FFFFFF" w:themeColor="background1"/>
          <w:spacing w:val="-1"/>
          <w:sz w:val="12"/>
          <w:szCs w:val="12"/>
        </w:rPr>
        <w:t>Productivity Commission Research Report, March 2017</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E11C15">
        <w:t>7</w:t>
      </w:r>
    </w:p>
    <w:p w:rsidR="00AB4E36" w:rsidRPr="00F7148C" w:rsidRDefault="00AB4E36">
      <w:pPr>
        <w:pStyle w:val="BodyText"/>
        <w:tabs>
          <w:tab w:val="left" w:pos="851"/>
        </w:tabs>
        <w:spacing w:before="200" w:after="120"/>
        <w:jc w:val="left"/>
        <w:rPr>
          <w:rFonts w:asciiTheme="majorHAnsi" w:hAnsiTheme="majorHAnsi" w:cstheme="majorHAnsi"/>
          <w:b/>
          <w:sz w:val="22"/>
          <w:szCs w:val="22"/>
        </w:rPr>
      </w:pPr>
      <w:bookmarkStart w:id="1" w:name="ISSN"/>
      <w:bookmarkEnd w:id="1"/>
      <w:r w:rsidRPr="00F7148C">
        <w:rPr>
          <w:rFonts w:asciiTheme="majorHAnsi" w:hAnsiTheme="majorHAnsi" w:cstheme="majorHAnsi"/>
          <w:b/>
          <w:sz w:val="22"/>
          <w:szCs w:val="22"/>
        </w:rPr>
        <w:t>ISBN</w:t>
      </w:r>
      <w:r w:rsidRPr="00F7148C">
        <w:rPr>
          <w:rFonts w:asciiTheme="majorHAnsi" w:hAnsiTheme="majorHAnsi" w:cstheme="majorHAnsi"/>
          <w:b/>
          <w:sz w:val="22"/>
          <w:szCs w:val="22"/>
        </w:rPr>
        <w:tab/>
      </w:r>
      <w:r w:rsidR="00B2793F" w:rsidRPr="00F7148C">
        <w:rPr>
          <w:rFonts w:asciiTheme="majorHAnsi" w:hAnsiTheme="majorHAnsi" w:cstheme="majorHAnsi"/>
          <w:b/>
          <w:sz w:val="22"/>
          <w:szCs w:val="22"/>
        </w:rPr>
        <w:t xml:space="preserve">978-1-74037-607-5 </w:t>
      </w:r>
      <w:r w:rsidRPr="00F7148C">
        <w:rPr>
          <w:rFonts w:asciiTheme="majorHAnsi" w:hAnsiTheme="majorHAnsi" w:cstheme="majorHAnsi"/>
          <w:b/>
          <w:sz w:val="22"/>
          <w:szCs w:val="22"/>
        </w:rPr>
        <w:t>(PDF)</w:t>
      </w:r>
      <w:r w:rsidRPr="00F7148C">
        <w:rPr>
          <w:rFonts w:asciiTheme="majorHAnsi" w:hAnsiTheme="majorHAnsi" w:cstheme="majorHAnsi"/>
          <w:b/>
          <w:sz w:val="22"/>
          <w:szCs w:val="22"/>
        </w:rPr>
        <w:br/>
        <w:t>ISBN</w:t>
      </w:r>
      <w:r w:rsidRPr="00F7148C">
        <w:rPr>
          <w:rFonts w:asciiTheme="majorHAnsi" w:hAnsiTheme="majorHAnsi" w:cstheme="majorHAnsi"/>
          <w:b/>
          <w:sz w:val="22"/>
          <w:szCs w:val="22"/>
        </w:rPr>
        <w:tab/>
      </w:r>
      <w:r w:rsidR="00B2793F" w:rsidRPr="00F7148C">
        <w:rPr>
          <w:rFonts w:asciiTheme="majorHAnsi" w:hAnsiTheme="majorHAnsi" w:cstheme="majorHAnsi"/>
          <w:b/>
          <w:sz w:val="22"/>
          <w:szCs w:val="22"/>
        </w:rPr>
        <w:t xml:space="preserve">978-1-74037-615-0 </w:t>
      </w:r>
      <w:r w:rsidRPr="00F7148C">
        <w:rPr>
          <w:rFonts w:asciiTheme="majorHAnsi" w:hAnsiTheme="majorHAnsi" w:cstheme="majorHAnsi"/>
          <w:b/>
          <w:sz w:val="22"/>
          <w:szCs w:val="22"/>
        </w:rPr>
        <w:t>(Print)</w:t>
      </w:r>
    </w:p>
    <w:p w:rsidR="008A3857" w:rsidRDefault="008A3857" w:rsidP="008E242D">
      <w:pPr>
        <w:pStyle w:val="BodyText"/>
        <w:spacing w:after="120"/>
      </w:pPr>
      <w:r w:rsidRPr="00862D8F">
        <w:rPr>
          <w:noProof/>
          <w:sz w:val="22"/>
          <w:szCs w:val="22"/>
        </w:rPr>
        <w:drawing>
          <wp:inline distT="0" distB="0" distL="0" distR="0" wp14:anchorId="0CE359F6" wp14:editId="0CE359F7">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4F05F9" w:rsidRPr="004F05F9">
        <w:rPr>
          <w:i/>
        </w:rPr>
        <w:t>Consumer Law Enforcement and Administration</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4F05F9" w:rsidRPr="004F05F9">
        <w:rPr>
          <w:i/>
        </w:rPr>
        <w:t>Consumer Law Enforcement and Administration</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AB4E36" w:rsidRPr="000608E9" w:rsidRDefault="005256AA" w:rsidP="00A37E73">
      <w:pPr>
        <w:pStyle w:val="Copyrightbodytext"/>
        <w:rPr>
          <w:spacing w:val="-1"/>
        </w:rPr>
      </w:pPr>
      <w:bookmarkStart w:id="2" w:name="JEL"/>
      <w:bookmarkEnd w:id="2"/>
      <w:r w:rsidRPr="000608E9">
        <w:rPr>
          <w:spacing w:val="-1"/>
        </w:rPr>
        <w:t>Productivity Commission 2017</w:t>
      </w:r>
      <w:r w:rsidRPr="000608E9">
        <w:rPr>
          <w:i/>
          <w:spacing w:val="-1"/>
        </w:rPr>
        <w:t xml:space="preserve">, Consumer Law Enforcement and Administration, </w:t>
      </w:r>
      <w:r w:rsidR="000608E9" w:rsidRPr="000608E9">
        <w:rPr>
          <w:spacing w:val="-1"/>
        </w:rPr>
        <w:t>Research</w:t>
      </w:r>
      <w:r w:rsidRPr="000608E9">
        <w:rPr>
          <w:spacing w:val="-1"/>
        </w:rPr>
        <w:t xml:space="preserve"> Report, Canberra</w:t>
      </w:r>
      <w:r w:rsidR="003E44D5" w:rsidRPr="000608E9">
        <w:rPr>
          <w:spacing w:val="-1"/>
        </w:rPr>
        <w:t>.</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rsidTr="00C670DE">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2D5890">
            <w:pPr>
              <w:pStyle w:val="BoxTitle"/>
              <w:rPr>
                <w:sz w:val="22"/>
                <w:szCs w:val="22"/>
              </w:rPr>
            </w:pPr>
            <w:r w:rsidRPr="008A3857">
              <w:rPr>
                <w:sz w:val="22"/>
                <w:szCs w:val="22"/>
              </w:rPr>
              <w:t>The Productivity Commission</w:t>
            </w:r>
          </w:p>
        </w:tc>
      </w:tr>
      <w:tr w:rsidR="008A3857" w:rsidTr="00C670DE">
        <w:tc>
          <w:tcPr>
            <w:tcW w:w="8771" w:type="dxa"/>
            <w:tcBorders>
              <w:top w:val="nil"/>
              <w:left w:val="nil"/>
              <w:bottom w:val="nil"/>
              <w:right w:val="nil"/>
            </w:tcBorders>
            <w:shd w:val="clear" w:color="auto" w:fill="F2F2F2" w:themeFill="background1" w:themeFillShade="F2"/>
          </w:tcPr>
          <w:p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proofErr w:type="spellStart"/>
            <w:r w:rsidR="00C65D91">
              <w:fldChar w:fldCharType="begin"/>
            </w:r>
            <w:r w:rsidR="00C65D91">
              <w:instrText xml:space="preserve"> HYPERLINK "http://www.pc.gov.au/" </w:instrText>
            </w:r>
            <w:r w:rsidR="00C65D91">
              <w:fldChar w:fldCharType="separate"/>
            </w:r>
            <w:r w:rsidRPr="00805FD7">
              <w:t>www.pc.gov.au</w:t>
            </w:r>
            <w:proofErr w:type="spellEnd"/>
            <w:r w:rsidR="00C65D91">
              <w:fldChar w:fldCharType="end"/>
            </w:r>
            <w:r w:rsidRPr="00BB5DCF">
              <w:rPr>
                <w:szCs w:val="24"/>
              </w:rPr>
              <w:t>)</w:t>
            </w:r>
            <w:r w:rsidR="00EC38C1">
              <w:rPr>
                <w:szCs w:val="24"/>
              </w:rPr>
              <w:t>.</w:t>
            </w:r>
          </w:p>
        </w:tc>
      </w:tr>
      <w:tr w:rsidR="008A3857" w:rsidTr="00C670DE">
        <w:tc>
          <w:tcPr>
            <w:tcW w:w="8771" w:type="dxa"/>
            <w:tcBorders>
              <w:top w:val="nil"/>
              <w:left w:val="nil"/>
              <w:bottom w:val="single" w:sz="6" w:space="0" w:color="78A22F"/>
              <w:right w:val="nil"/>
            </w:tcBorders>
            <w:shd w:val="clear" w:color="auto" w:fill="F2F2F2" w:themeFill="background1" w:themeFillShade="F2"/>
          </w:tcPr>
          <w:p w:rsidR="008A3857" w:rsidRDefault="008A3857" w:rsidP="002D5890">
            <w:pPr>
              <w:pStyle w:val="Box"/>
              <w:spacing w:before="0" w:line="120" w:lineRule="exact"/>
            </w:pPr>
          </w:p>
        </w:tc>
      </w:tr>
    </w:tbl>
    <w:p w:rsidR="00AB4E36" w:rsidRDefault="00AB4E36" w:rsidP="00AB4E36">
      <w:pPr>
        <w:pStyle w:val="BodyText"/>
      </w:pPr>
      <w:bookmarkStart w:id="3" w:name="cov"/>
      <w:bookmarkEnd w:id="3"/>
      <w:r>
        <w:br w:type="page"/>
      </w:r>
    </w:p>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041E40" w:rsidRDefault="00735FEA" w:rsidP="008206EE">
      <w:pPr>
        <w:pStyle w:val="Heading1NotTOC"/>
        <w:rPr>
          <w:noProof/>
        </w:rPr>
      </w:pPr>
      <w:bookmarkStart w:id="4" w:name="Contents"/>
      <w:bookmarkEnd w:id="4"/>
      <w:r w:rsidRPr="00B153C3">
        <w:lastRenderedPageBreak/>
        <w:t>Contents</w:t>
      </w:r>
      <w:bookmarkStart w:id="5" w:name="InsertContents"/>
      <w:bookmarkEnd w:id="5"/>
    </w:p>
    <w:p w:rsidR="003E44D5" w:rsidRPr="000A5B4B" w:rsidRDefault="00AD13BF" w:rsidP="006C7F0C">
      <w:pPr>
        <w:pStyle w:val="TOC1"/>
        <w:spacing w:before="360"/>
        <w:rPr>
          <w:noProof/>
        </w:rPr>
      </w:pPr>
      <w:r w:rsidRPr="000A5B4B">
        <w:rPr>
          <w:noProof/>
        </w:rPr>
        <w:t>Key p</w:t>
      </w:r>
      <w:r w:rsidR="003E44D5" w:rsidRPr="000A5B4B">
        <w:rPr>
          <w:noProof/>
        </w:rPr>
        <w:t>oints</w:t>
      </w:r>
      <w:r w:rsidR="003E44D5" w:rsidRPr="000A5B4B">
        <w:rPr>
          <w:noProof/>
        </w:rPr>
        <w:tab/>
        <w:t>2</w:t>
      </w:r>
    </w:p>
    <w:p w:rsidR="00A25EAB" w:rsidRPr="000A5B4B" w:rsidRDefault="00A25EAB" w:rsidP="003E44D5">
      <w:pPr>
        <w:pStyle w:val="TOC1"/>
        <w:rPr>
          <w:noProof/>
        </w:rPr>
      </w:pPr>
      <w:r w:rsidRPr="000A5B4B">
        <w:rPr>
          <w:noProof/>
        </w:rPr>
        <w:t>Overview</w:t>
      </w:r>
      <w:r w:rsidRPr="000A5B4B">
        <w:rPr>
          <w:noProof/>
        </w:rPr>
        <w:tab/>
      </w:r>
      <w:r w:rsidR="00145010" w:rsidRPr="000A5B4B">
        <w:rPr>
          <w:noProof/>
        </w:rPr>
        <w:t>3</w:t>
      </w:r>
    </w:p>
    <w:p w:rsidR="000A5B4B" w:rsidRDefault="000A5B4B" w:rsidP="000A5B4B">
      <w:pPr>
        <w:pStyle w:val="TOC2"/>
      </w:pPr>
      <w:r>
        <w:t>The study’s scope</w:t>
      </w:r>
      <w:r>
        <w:tab/>
        <w:t>3</w:t>
      </w:r>
    </w:p>
    <w:p w:rsidR="000A5B4B" w:rsidRDefault="000A5B4B" w:rsidP="000A5B4B">
      <w:pPr>
        <w:pStyle w:val="TOC2"/>
      </w:pPr>
      <w:r>
        <w:t>The Commission’s approach</w:t>
      </w:r>
      <w:r>
        <w:tab/>
        <w:t>5</w:t>
      </w:r>
    </w:p>
    <w:p w:rsidR="000A5B4B" w:rsidRDefault="000A5B4B" w:rsidP="000A5B4B">
      <w:pPr>
        <w:pStyle w:val="TOC2"/>
      </w:pPr>
      <w:r>
        <w:t>The effectiveness of the multiple</w:t>
      </w:r>
      <w:r>
        <w:noBreakHyphen/>
        <w:t>regulator model</w:t>
      </w:r>
      <w:r>
        <w:tab/>
        <w:t>5</w:t>
      </w:r>
    </w:p>
    <w:p w:rsidR="000A5B4B" w:rsidRDefault="000A5B4B" w:rsidP="000A5B4B">
      <w:pPr>
        <w:pStyle w:val="TOC2"/>
      </w:pPr>
      <w:r>
        <w:t>The interface between the ACL regulators and the specialist safety regimes</w:t>
      </w:r>
      <w:r>
        <w:tab/>
        <w:t>8</w:t>
      </w:r>
    </w:p>
    <w:p w:rsidR="000A5B4B" w:rsidRPr="00766970" w:rsidRDefault="000A5B4B" w:rsidP="000A5B4B">
      <w:pPr>
        <w:pStyle w:val="TOC2"/>
      </w:pPr>
      <w:r w:rsidRPr="009E0F93">
        <w:t>Steps to strengthen administration and enforcement</w:t>
      </w:r>
      <w:r>
        <w:t xml:space="preserve"> </w:t>
      </w:r>
      <w:r w:rsidRPr="00766970">
        <w:t>and the national consumer policy framework</w:t>
      </w:r>
      <w:r>
        <w:tab/>
        <w:t>9</w:t>
      </w:r>
    </w:p>
    <w:p w:rsidR="00A25EAB" w:rsidRPr="00940186" w:rsidRDefault="00A25EAB" w:rsidP="00A25EAB">
      <w:pPr>
        <w:pStyle w:val="TOC1"/>
        <w:rPr>
          <w:noProof/>
          <w:sz w:val="22"/>
          <w:szCs w:val="22"/>
        </w:rPr>
      </w:pPr>
      <w:r w:rsidRPr="00940186">
        <w:rPr>
          <w:noProof/>
          <w:sz w:val="23"/>
          <w:szCs w:val="23"/>
        </w:rPr>
        <w:t>Recommendations and findings</w:t>
      </w:r>
      <w:r w:rsidRPr="00940186">
        <w:rPr>
          <w:noProof/>
        </w:rPr>
        <w:tab/>
      </w:r>
      <w:r w:rsidR="00145010" w:rsidRPr="00940186">
        <w:rPr>
          <w:noProof/>
          <w:sz w:val="22"/>
          <w:szCs w:val="22"/>
        </w:rPr>
        <w:t>17</w:t>
      </w:r>
    </w:p>
    <w:sectPr w:rsidR="00A25EAB" w:rsidRPr="00940186" w:rsidSect="000A5B4B">
      <w:headerReference w:type="even" r:id="rId15"/>
      <w:headerReference w:type="default" r:id="rId16"/>
      <w:footerReference w:type="even" r:id="rId17"/>
      <w:footerReference w:type="default" r:id="rId18"/>
      <w:type w:val="oddPage"/>
      <w:pgSz w:w="11907" w:h="16840" w:code="9"/>
      <w:pgMar w:top="1985"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D91" w:rsidRDefault="00C65D91">
      <w:r>
        <w:separator/>
      </w:r>
    </w:p>
    <w:p w:rsidR="00C65D91" w:rsidRDefault="00C65D91"/>
    <w:p w:rsidR="00C65D91" w:rsidRDefault="00C65D91"/>
  </w:endnote>
  <w:endnote w:type="continuationSeparator" w:id="0">
    <w:p w:rsidR="00C65D91" w:rsidRDefault="00C65D91">
      <w:r>
        <w:continuationSeparator/>
      </w:r>
    </w:p>
    <w:p w:rsidR="00C65D91" w:rsidRDefault="00C65D91"/>
    <w:p w:rsidR="00C65D91" w:rsidRDefault="00C65D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rsidTr="005F48ED">
      <w:trPr>
        <w:trHeight w:hRule="exact" w:val="567"/>
      </w:trPr>
      <w:tc>
        <w:tcPr>
          <w:tcW w:w="510" w:type="dxa"/>
        </w:tcPr>
        <w:p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A5B4B">
            <w:rPr>
              <w:rStyle w:val="PageNumber"/>
              <w:caps w:val="0"/>
              <w:noProof/>
            </w:rPr>
            <w:t>vi</w:t>
          </w:r>
          <w:r w:rsidRPr="007448F7">
            <w:rPr>
              <w:rStyle w:val="PageNumber"/>
              <w:caps w:val="0"/>
            </w:rPr>
            <w:fldChar w:fldCharType="end"/>
          </w:r>
        </w:p>
      </w:tc>
      <w:tc>
        <w:tcPr>
          <w:tcW w:w="7767" w:type="dxa"/>
        </w:tcPr>
        <w:p w:rsidR="007448F7" w:rsidRPr="0013739A" w:rsidRDefault="000608E9" w:rsidP="00271B0C">
          <w:pPr>
            <w:pStyle w:val="Footer"/>
            <w:rPr>
              <w:rFonts w:cs="Arial"/>
            </w:rPr>
          </w:pPr>
          <w:r>
            <w:rPr>
              <w:rFonts w:cs="Arial"/>
            </w:rPr>
            <w:t>consumer law enforcement and administration</w:t>
          </w:r>
        </w:p>
      </w:tc>
      <w:tc>
        <w:tcPr>
          <w:tcW w:w="510" w:type="dxa"/>
        </w:tcPr>
        <w:p w:rsidR="007448F7" w:rsidRDefault="007448F7" w:rsidP="0019293B">
          <w:pPr>
            <w:pStyle w:val="Footer"/>
          </w:pPr>
        </w:p>
      </w:tc>
    </w:tr>
  </w:tbl>
  <w:p w:rsidR="007448F7" w:rsidRDefault="007448F7" w:rsidP="0019293B">
    <w:pPr>
      <w:pStyle w:val="FooterEnd"/>
    </w:pPr>
  </w:p>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rsidTr="005F48ED">
      <w:trPr>
        <w:trHeight w:hRule="exact" w:val="567"/>
      </w:trPr>
      <w:tc>
        <w:tcPr>
          <w:tcW w:w="510" w:type="dxa"/>
        </w:tcPr>
        <w:p w:rsidR="00340511" w:rsidRDefault="00340511">
          <w:pPr>
            <w:pStyle w:val="Footer"/>
            <w:ind w:right="360" w:firstLine="360"/>
          </w:pPr>
        </w:p>
      </w:tc>
      <w:tc>
        <w:tcPr>
          <w:tcW w:w="7767" w:type="dxa"/>
        </w:tcPr>
        <w:p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0A5B4B" w:rsidRPr="000A5B4B">
            <w:rPr>
              <w:bCs/>
              <w:noProof/>
              <w:lang w:val="en-US"/>
            </w:rPr>
            <w:t>Consumer</w:t>
          </w:r>
          <w:r w:rsidR="000A5B4B">
            <w:rPr>
              <w:noProof/>
            </w:rPr>
            <w:t xml:space="preserve"> Law Enforcement and Administration</w:t>
          </w:r>
          <w:r w:rsidRPr="00340511">
            <w:rPr>
              <w:noProof/>
            </w:rPr>
            <w:fldChar w:fldCharType="end"/>
          </w:r>
        </w:p>
      </w:tc>
      <w:tc>
        <w:tcPr>
          <w:tcW w:w="510" w:type="dxa"/>
        </w:tcPr>
        <w:p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A5B4B">
            <w:rPr>
              <w:rStyle w:val="PageNumber"/>
              <w:caps w:val="0"/>
              <w:noProof/>
            </w:rPr>
            <w:t>iii</w:t>
          </w:r>
          <w:r w:rsidRPr="00A24443">
            <w:rPr>
              <w:rStyle w:val="PageNumber"/>
              <w:caps w:val="0"/>
            </w:rPr>
            <w:fldChar w:fldCharType="end"/>
          </w:r>
        </w:p>
      </w:tc>
    </w:tr>
  </w:tbl>
  <w:p w:rsidR="00340511" w:rsidRDefault="00340511">
    <w:pPr>
      <w:pStyle w:val="FooterEnd"/>
    </w:pPr>
  </w:p>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D91" w:rsidRDefault="00C65D91">
      <w:r>
        <w:separator/>
      </w:r>
    </w:p>
    <w:p w:rsidR="00C65D91" w:rsidRDefault="00C65D91"/>
    <w:p w:rsidR="00C65D91" w:rsidRDefault="00C65D91"/>
  </w:footnote>
  <w:footnote w:type="continuationSeparator" w:id="0">
    <w:p w:rsidR="00C65D91" w:rsidRDefault="00C65D91">
      <w:r>
        <w:continuationSeparator/>
      </w:r>
    </w:p>
    <w:p w:rsidR="00C65D91" w:rsidRDefault="00C65D91"/>
    <w:p w:rsidR="00C65D91" w:rsidRDefault="00C65D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E36"/>
    <w:rsid w:val="00017AFC"/>
    <w:rsid w:val="00024CC7"/>
    <w:rsid w:val="00025878"/>
    <w:rsid w:val="00026B38"/>
    <w:rsid w:val="00041E40"/>
    <w:rsid w:val="000502D3"/>
    <w:rsid w:val="00052CB2"/>
    <w:rsid w:val="000608E9"/>
    <w:rsid w:val="000623BF"/>
    <w:rsid w:val="000779EB"/>
    <w:rsid w:val="00095EEA"/>
    <w:rsid w:val="00097C15"/>
    <w:rsid w:val="000A0A0E"/>
    <w:rsid w:val="000A5B4B"/>
    <w:rsid w:val="000A5E12"/>
    <w:rsid w:val="000B416E"/>
    <w:rsid w:val="000E1423"/>
    <w:rsid w:val="000F185F"/>
    <w:rsid w:val="000F2F5F"/>
    <w:rsid w:val="0010324E"/>
    <w:rsid w:val="00106041"/>
    <w:rsid w:val="0010611E"/>
    <w:rsid w:val="00122FE9"/>
    <w:rsid w:val="00131572"/>
    <w:rsid w:val="00131D4F"/>
    <w:rsid w:val="0013399B"/>
    <w:rsid w:val="00145010"/>
    <w:rsid w:val="00180515"/>
    <w:rsid w:val="00181F4B"/>
    <w:rsid w:val="00190919"/>
    <w:rsid w:val="00196D2B"/>
    <w:rsid w:val="00196FB3"/>
    <w:rsid w:val="001A2641"/>
    <w:rsid w:val="001A5071"/>
    <w:rsid w:val="001B4E73"/>
    <w:rsid w:val="001B7F1E"/>
    <w:rsid w:val="001D4B1F"/>
    <w:rsid w:val="001D6629"/>
    <w:rsid w:val="001E3390"/>
    <w:rsid w:val="001F2270"/>
    <w:rsid w:val="001F6ACE"/>
    <w:rsid w:val="00203B40"/>
    <w:rsid w:val="00205A82"/>
    <w:rsid w:val="00211BEE"/>
    <w:rsid w:val="00215644"/>
    <w:rsid w:val="002179C6"/>
    <w:rsid w:val="00243B83"/>
    <w:rsid w:val="00261607"/>
    <w:rsid w:val="00263DD1"/>
    <w:rsid w:val="00264D3B"/>
    <w:rsid w:val="00265685"/>
    <w:rsid w:val="00271B0C"/>
    <w:rsid w:val="00281D5F"/>
    <w:rsid w:val="00287290"/>
    <w:rsid w:val="002923AD"/>
    <w:rsid w:val="00296592"/>
    <w:rsid w:val="002A0A4B"/>
    <w:rsid w:val="002A499E"/>
    <w:rsid w:val="002B4274"/>
    <w:rsid w:val="002B636E"/>
    <w:rsid w:val="002B64D6"/>
    <w:rsid w:val="002C12F5"/>
    <w:rsid w:val="002D6FCE"/>
    <w:rsid w:val="002E4998"/>
    <w:rsid w:val="002F4E54"/>
    <w:rsid w:val="0034030B"/>
    <w:rsid w:val="00340511"/>
    <w:rsid w:val="0038647D"/>
    <w:rsid w:val="00393A49"/>
    <w:rsid w:val="003B41E0"/>
    <w:rsid w:val="003C3D73"/>
    <w:rsid w:val="003D624D"/>
    <w:rsid w:val="003E44D5"/>
    <w:rsid w:val="003E7802"/>
    <w:rsid w:val="0042007A"/>
    <w:rsid w:val="00425DEC"/>
    <w:rsid w:val="00433C81"/>
    <w:rsid w:val="00446D6B"/>
    <w:rsid w:val="00447240"/>
    <w:rsid w:val="00457B3F"/>
    <w:rsid w:val="00463022"/>
    <w:rsid w:val="00481CF0"/>
    <w:rsid w:val="004B492A"/>
    <w:rsid w:val="004C0B0C"/>
    <w:rsid w:val="004D3F58"/>
    <w:rsid w:val="004D5517"/>
    <w:rsid w:val="004E52E2"/>
    <w:rsid w:val="004E6BB4"/>
    <w:rsid w:val="004E7D3C"/>
    <w:rsid w:val="004F05F9"/>
    <w:rsid w:val="004F07E3"/>
    <w:rsid w:val="00515D43"/>
    <w:rsid w:val="0052544D"/>
    <w:rsid w:val="005256AA"/>
    <w:rsid w:val="00526B19"/>
    <w:rsid w:val="00551FB8"/>
    <w:rsid w:val="005537F6"/>
    <w:rsid w:val="00560F43"/>
    <w:rsid w:val="005654D0"/>
    <w:rsid w:val="0056670D"/>
    <w:rsid w:val="00585B3F"/>
    <w:rsid w:val="005A6291"/>
    <w:rsid w:val="005B17AB"/>
    <w:rsid w:val="005C68FE"/>
    <w:rsid w:val="005F7D30"/>
    <w:rsid w:val="00602523"/>
    <w:rsid w:val="006040CB"/>
    <w:rsid w:val="00604351"/>
    <w:rsid w:val="00607D8A"/>
    <w:rsid w:val="0061590F"/>
    <w:rsid w:val="00636497"/>
    <w:rsid w:val="00641AE2"/>
    <w:rsid w:val="0064456A"/>
    <w:rsid w:val="00650DDA"/>
    <w:rsid w:val="0065126A"/>
    <w:rsid w:val="00653FA6"/>
    <w:rsid w:val="00666C3D"/>
    <w:rsid w:val="0067557D"/>
    <w:rsid w:val="006802D4"/>
    <w:rsid w:val="00683849"/>
    <w:rsid w:val="00691AB5"/>
    <w:rsid w:val="006A12A1"/>
    <w:rsid w:val="006C7F0C"/>
    <w:rsid w:val="006D7E4B"/>
    <w:rsid w:val="006E1E6B"/>
    <w:rsid w:val="006F0EAC"/>
    <w:rsid w:val="006F6A85"/>
    <w:rsid w:val="0070328D"/>
    <w:rsid w:val="00731F96"/>
    <w:rsid w:val="00734127"/>
    <w:rsid w:val="00735FEA"/>
    <w:rsid w:val="00743460"/>
    <w:rsid w:val="00743A27"/>
    <w:rsid w:val="007448F7"/>
    <w:rsid w:val="00753DC6"/>
    <w:rsid w:val="0075578C"/>
    <w:rsid w:val="007574AC"/>
    <w:rsid w:val="00766DFB"/>
    <w:rsid w:val="007734B5"/>
    <w:rsid w:val="007809B8"/>
    <w:rsid w:val="007813A6"/>
    <w:rsid w:val="00805FD7"/>
    <w:rsid w:val="00806E54"/>
    <w:rsid w:val="008206EE"/>
    <w:rsid w:val="008214B1"/>
    <w:rsid w:val="0082184B"/>
    <w:rsid w:val="008273A9"/>
    <w:rsid w:val="00836ED7"/>
    <w:rsid w:val="0084355E"/>
    <w:rsid w:val="008453AC"/>
    <w:rsid w:val="00860D09"/>
    <w:rsid w:val="00862044"/>
    <w:rsid w:val="00880BF7"/>
    <w:rsid w:val="0089269F"/>
    <w:rsid w:val="008A2133"/>
    <w:rsid w:val="008A3857"/>
    <w:rsid w:val="008B2205"/>
    <w:rsid w:val="008C08EF"/>
    <w:rsid w:val="008C305F"/>
    <w:rsid w:val="008C3AD2"/>
    <w:rsid w:val="008C7C3D"/>
    <w:rsid w:val="008D6F66"/>
    <w:rsid w:val="008E1BEA"/>
    <w:rsid w:val="008E242D"/>
    <w:rsid w:val="008E43D2"/>
    <w:rsid w:val="008E5248"/>
    <w:rsid w:val="008E64ED"/>
    <w:rsid w:val="008F04C9"/>
    <w:rsid w:val="008F7C50"/>
    <w:rsid w:val="008F7DB7"/>
    <w:rsid w:val="009064D3"/>
    <w:rsid w:val="00915300"/>
    <w:rsid w:val="0092396D"/>
    <w:rsid w:val="00933B0C"/>
    <w:rsid w:val="00935676"/>
    <w:rsid w:val="00940186"/>
    <w:rsid w:val="00942C22"/>
    <w:rsid w:val="0098401D"/>
    <w:rsid w:val="009A789F"/>
    <w:rsid w:val="009B12EF"/>
    <w:rsid w:val="009B48F7"/>
    <w:rsid w:val="009B6185"/>
    <w:rsid w:val="009C6C6D"/>
    <w:rsid w:val="009E1E78"/>
    <w:rsid w:val="00A1597D"/>
    <w:rsid w:val="00A25EAB"/>
    <w:rsid w:val="00A46989"/>
    <w:rsid w:val="00A469AA"/>
    <w:rsid w:val="00A6303E"/>
    <w:rsid w:val="00A71CE9"/>
    <w:rsid w:val="00A72A19"/>
    <w:rsid w:val="00A75A30"/>
    <w:rsid w:val="00A93C82"/>
    <w:rsid w:val="00AA4440"/>
    <w:rsid w:val="00AB2A48"/>
    <w:rsid w:val="00AB4E36"/>
    <w:rsid w:val="00AC0E6B"/>
    <w:rsid w:val="00AC3236"/>
    <w:rsid w:val="00AD13BF"/>
    <w:rsid w:val="00AD4874"/>
    <w:rsid w:val="00AE1F8A"/>
    <w:rsid w:val="00AE74BF"/>
    <w:rsid w:val="00AF51CA"/>
    <w:rsid w:val="00B036B2"/>
    <w:rsid w:val="00B04D19"/>
    <w:rsid w:val="00B14F55"/>
    <w:rsid w:val="00B153C3"/>
    <w:rsid w:val="00B205D5"/>
    <w:rsid w:val="00B22087"/>
    <w:rsid w:val="00B2793F"/>
    <w:rsid w:val="00B30480"/>
    <w:rsid w:val="00B722F2"/>
    <w:rsid w:val="00B74213"/>
    <w:rsid w:val="00B76AA1"/>
    <w:rsid w:val="00B80355"/>
    <w:rsid w:val="00B90958"/>
    <w:rsid w:val="00B95339"/>
    <w:rsid w:val="00BA0B81"/>
    <w:rsid w:val="00BA311E"/>
    <w:rsid w:val="00BB334E"/>
    <w:rsid w:val="00BB5DCF"/>
    <w:rsid w:val="00BC2476"/>
    <w:rsid w:val="00BE54B1"/>
    <w:rsid w:val="00BF59EA"/>
    <w:rsid w:val="00BF79CD"/>
    <w:rsid w:val="00C058AB"/>
    <w:rsid w:val="00C0721B"/>
    <w:rsid w:val="00C07D5F"/>
    <w:rsid w:val="00C34C8C"/>
    <w:rsid w:val="00C50792"/>
    <w:rsid w:val="00C51371"/>
    <w:rsid w:val="00C55A45"/>
    <w:rsid w:val="00C65D91"/>
    <w:rsid w:val="00C670DE"/>
    <w:rsid w:val="00C904D9"/>
    <w:rsid w:val="00C94C06"/>
    <w:rsid w:val="00CA48BF"/>
    <w:rsid w:val="00CB2960"/>
    <w:rsid w:val="00CB3ACC"/>
    <w:rsid w:val="00CB4745"/>
    <w:rsid w:val="00CD2163"/>
    <w:rsid w:val="00CD4FE7"/>
    <w:rsid w:val="00CD5E6B"/>
    <w:rsid w:val="00CE4FBC"/>
    <w:rsid w:val="00CE5D96"/>
    <w:rsid w:val="00CE63F8"/>
    <w:rsid w:val="00CE7344"/>
    <w:rsid w:val="00CF26EE"/>
    <w:rsid w:val="00D03B3A"/>
    <w:rsid w:val="00D17689"/>
    <w:rsid w:val="00D310F0"/>
    <w:rsid w:val="00D37AC2"/>
    <w:rsid w:val="00D500A9"/>
    <w:rsid w:val="00D61180"/>
    <w:rsid w:val="00D64121"/>
    <w:rsid w:val="00D67119"/>
    <w:rsid w:val="00D732FE"/>
    <w:rsid w:val="00D74E25"/>
    <w:rsid w:val="00D772E9"/>
    <w:rsid w:val="00D82E10"/>
    <w:rsid w:val="00D835FC"/>
    <w:rsid w:val="00D969AE"/>
    <w:rsid w:val="00DA31AB"/>
    <w:rsid w:val="00DA3281"/>
    <w:rsid w:val="00DA6D3E"/>
    <w:rsid w:val="00DC02E8"/>
    <w:rsid w:val="00DC75C7"/>
    <w:rsid w:val="00DC78D3"/>
    <w:rsid w:val="00DD1077"/>
    <w:rsid w:val="00DF00FE"/>
    <w:rsid w:val="00DF4592"/>
    <w:rsid w:val="00DF4AC2"/>
    <w:rsid w:val="00E11C15"/>
    <w:rsid w:val="00E15FDC"/>
    <w:rsid w:val="00E24804"/>
    <w:rsid w:val="00E2651B"/>
    <w:rsid w:val="00E30DDB"/>
    <w:rsid w:val="00E46456"/>
    <w:rsid w:val="00E6632E"/>
    <w:rsid w:val="00E8178F"/>
    <w:rsid w:val="00E90CF2"/>
    <w:rsid w:val="00EA48AE"/>
    <w:rsid w:val="00EC38C1"/>
    <w:rsid w:val="00EC628B"/>
    <w:rsid w:val="00ED0F61"/>
    <w:rsid w:val="00EE3F6D"/>
    <w:rsid w:val="00EE73E1"/>
    <w:rsid w:val="00EF7BF8"/>
    <w:rsid w:val="00F073F9"/>
    <w:rsid w:val="00F12107"/>
    <w:rsid w:val="00F13165"/>
    <w:rsid w:val="00F4234E"/>
    <w:rsid w:val="00F61429"/>
    <w:rsid w:val="00F70774"/>
    <w:rsid w:val="00F7148C"/>
    <w:rsid w:val="00F7477E"/>
    <w:rsid w:val="00F85393"/>
    <w:rsid w:val="00F9682D"/>
    <w:rsid w:val="00F978D1"/>
    <w:rsid w:val="00FA4A24"/>
    <w:rsid w:val="00FB6283"/>
    <w:rsid w:val="00FB776B"/>
    <w:rsid w:val="00FC41B4"/>
    <w:rsid w:val="00FC5A6B"/>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EA48AE"/>
    <w:pPr>
      <w:spacing w:before="36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B4E36"/>
    <w:rPr>
      <w:kern w:val="28"/>
      <w:sz w:val="52"/>
      <w:lang w:eastAsia="en-US"/>
    </w:rPr>
  </w:style>
  <w:style w:type="character" w:customStyle="1" w:styleId="Heading3Char">
    <w:name w:val="Heading 3 Char"/>
    <w:basedOn w:val="DefaultParagraphFont"/>
    <w:link w:val="Heading3"/>
    <w:rsid w:val="00CB2960"/>
    <w:rPr>
      <w:rFonts w:ascii="Arial" w:hAnsi="Arial"/>
      <w:b/>
      <w:sz w:val="26"/>
    </w:rPr>
  </w:style>
  <w:style w:type="character" w:customStyle="1" w:styleId="Heading2Char">
    <w:name w:val="Heading 2 Char"/>
    <w:basedOn w:val="DefaultParagraphFont"/>
    <w:link w:val="Heading2"/>
    <w:rsid w:val="000A5B4B"/>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qFormat/>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EA48AE"/>
    <w:pPr>
      <w:spacing w:before="36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AB4E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B4E36"/>
    <w:rPr>
      <w:kern w:val="28"/>
      <w:sz w:val="52"/>
      <w:lang w:eastAsia="en-US"/>
    </w:rPr>
  </w:style>
  <w:style w:type="character" w:customStyle="1" w:styleId="Heading3Char">
    <w:name w:val="Heading 3 Char"/>
    <w:basedOn w:val="DefaultParagraphFont"/>
    <w:link w:val="Heading3"/>
    <w:rsid w:val="00CB2960"/>
    <w:rPr>
      <w:rFonts w:ascii="Arial" w:hAnsi="Arial"/>
      <w:b/>
      <w:sz w:val="26"/>
    </w:rPr>
  </w:style>
  <w:style w:type="character" w:customStyle="1" w:styleId="Heading2Char">
    <w:name w:val="Heading 2 Char"/>
    <w:basedOn w:val="DefaultParagraphFont"/>
    <w:link w:val="Heading2"/>
    <w:rsid w:val="000A5B4B"/>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BF8EAB27-B0D1-42C9-82F7-3F2198DF8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374</Words>
  <Characters>2533</Characters>
  <Application>Microsoft Office Word</Application>
  <DocSecurity>0</DocSecurity>
  <Lines>44</Lines>
  <Paragraphs>16</Paragraphs>
  <ScaleCrop>false</ScaleCrop>
  <HeadingPairs>
    <vt:vector size="2" baseType="variant">
      <vt:variant>
        <vt:lpstr>Title</vt:lpstr>
      </vt:variant>
      <vt:variant>
        <vt:i4>1</vt:i4>
      </vt:variant>
    </vt:vector>
  </HeadingPairs>
  <TitlesOfParts>
    <vt:vector size="1" baseType="lpstr">
      <vt:lpstr>Consumer Law Enforcement and Administration - Research Report - Preliminaries</vt:lpstr>
    </vt:vector>
  </TitlesOfParts>
  <Company>Tertiary Education Quality and Standards Agency</Company>
  <LinksUpToDate>false</LinksUpToDate>
  <CharactersWithSpaces>2891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Law Enforcement and Administration - Research Report - Preliminaries</dc:title>
  <dc:creator>Productivity Commission</dc:creator>
  <cp:lastModifiedBy>Michelle Cross</cp:lastModifiedBy>
  <cp:revision>4</cp:revision>
  <dcterms:created xsi:type="dcterms:W3CDTF">2017-04-06T21:25:00Z</dcterms:created>
  <dcterms:modified xsi:type="dcterms:W3CDTF">2017-04-06T21:35:00Z</dcterms:modified>
</cp:coreProperties>
</file>