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D86" w:rsidRPr="00D05D86" w:rsidRDefault="00D05D86" w:rsidP="00D05D86">
      <w:pPr>
        <w:pStyle w:val="Heading1"/>
        <w:shd w:val="clear" w:color="auto" w:fill="FFFFFF" w:themeFill="background1"/>
        <w:rPr>
          <w:color w:val="FFFFFF" w:themeColor="background1"/>
          <w:sz w:val="16"/>
          <w:szCs w:val="16"/>
        </w:rPr>
      </w:pPr>
      <w:r>
        <w:rPr>
          <w:noProof/>
        </w:rPr>
        <w:drawing>
          <wp:anchor distT="0" distB="0" distL="114300" distR="114300" simplePos="0" relativeHeight="251658240" behindDoc="0" locked="0" layoutInCell="1" allowOverlap="1" wp14:anchorId="7A917891" wp14:editId="39CB4F22">
            <wp:simplePos x="0" y="0"/>
            <wp:positionH relativeFrom="column">
              <wp:posOffset>-1172845</wp:posOffset>
            </wp:positionH>
            <wp:positionV relativeFrom="paragraph">
              <wp:posOffset>53975</wp:posOffset>
            </wp:positionV>
            <wp:extent cx="7580630" cy="9813290"/>
            <wp:effectExtent l="0" t="0" r="1270" b="0"/>
            <wp:wrapNone/>
            <wp:docPr id="1" name="Picture 1" descr="Cover image for the Australian Government Productivity Commission Inquiry Report titled Relative Costs of Doing Business in Australia: Dairy Product Manufacturing: 10 Octo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iry-final-cover-WEB.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80630" cy="9813290"/>
                    </a:xfrm>
                    <a:prstGeom prst="rect">
                      <a:avLst/>
                    </a:prstGeom>
                  </pic:spPr>
                </pic:pic>
              </a:graphicData>
            </a:graphic>
            <wp14:sizeRelH relativeFrom="page">
              <wp14:pctWidth>0</wp14:pctWidth>
            </wp14:sizeRelH>
            <wp14:sizeRelV relativeFrom="page">
              <wp14:pctHeight>0</wp14:pctHeight>
            </wp14:sizeRelV>
          </wp:anchor>
        </w:drawing>
      </w:r>
      <w:r w:rsidRPr="00D05D86">
        <w:rPr>
          <w:color w:val="FFFFFF" w:themeColor="background1"/>
          <w:sz w:val="16"/>
          <w:szCs w:val="16"/>
        </w:rPr>
        <w:t xml:space="preserve">Australian Government Productivity Commission Inquiry Report titled </w:t>
      </w:r>
      <w:r w:rsidRPr="00D05D86">
        <w:rPr>
          <w:color w:val="FFFFFF" w:themeColor="background1"/>
          <w:sz w:val="16"/>
          <w:szCs w:val="16"/>
        </w:rPr>
        <w:t>Relative Costs of Doing</w:t>
      </w:r>
      <w:r w:rsidRPr="00D05D86">
        <w:rPr>
          <w:color w:val="FFFFFF" w:themeColor="background1"/>
          <w:sz w:val="16"/>
          <w:szCs w:val="16"/>
        </w:rPr>
        <w:t xml:space="preserve"> </w:t>
      </w:r>
      <w:r w:rsidRPr="00D05D86">
        <w:rPr>
          <w:color w:val="FFFFFF" w:themeColor="background1"/>
          <w:sz w:val="16"/>
          <w:szCs w:val="16"/>
        </w:rPr>
        <w:t>Business in Australia:</w:t>
      </w:r>
      <w:r w:rsidRPr="00D05D86">
        <w:rPr>
          <w:color w:val="FFFFFF" w:themeColor="background1"/>
          <w:sz w:val="16"/>
          <w:szCs w:val="16"/>
        </w:rPr>
        <w:t xml:space="preserve"> </w:t>
      </w:r>
      <w:r w:rsidRPr="00D05D86">
        <w:rPr>
          <w:color w:val="FFFFFF" w:themeColor="background1"/>
          <w:sz w:val="16"/>
          <w:szCs w:val="16"/>
        </w:rPr>
        <w:t>Dairy Product Manufacturing</w:t>
      </w:r>
      <w:r w:rsidRPr="00D05D86">
        <w:rPr>
          <w:color w:val="FFFFFF" w:themeColor="background1"/>
          <w:sz w:val="16"/>
          <w:szCs w:val="16"/>
        </w:rPr>
        <w:t>: 10 October 2014.</w:t>
      </w:r>
    </w:p>
    <w:p w:rsidR="00D05D86" w:rsidRDefault="00D05D86" w:rsidP="00D05D86">
      <w:pPr>
        <w:pStyle w:val="ListBullet"/>
      </w:pP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8C6762" w:rsidRDefault="00D51EFE">
      <w:pPr>
        <w:pStyle w:val="BodyText"/>
        <w:tabs>
          <w:tab w:val="left" w:pos="851"/>
        </w:tabs>
        <w:spacing w:before="200" w:after="120"/>
        <w:jc w:val="left"/>
        <w:rPr>
          <w:b/>
        </w:rPr>
      </w:pPr>
      <w:bookmarkStart w:id="0" w:name="ISSN"/>
      <w:bookmarkEnd w:id="0"/>
      <w:r>
        <w:rPr>
          <w:b/>
        </w:rPr>
        <w:t>ISBN</w:t>
      </w:r>
      <w:r>
        <w:rPr>
          <w:b/>
        </w:rPr>
        <w:tab/>
      </w:r>
      <w:r w:rsidRPr="00D51EFE">
        <w:rPr>
          <w:b/>
        </w:rPr>
        <w:t xml:space="preserve">978-1-74037-497-2 </w:t>
      </w:r>
      <w:r>
        <w:rPr>
          <w:b/>
        </w:rPr>
        <w:t>(PDF)</w:t>
      </w:r>
      <w:r w:rsidR="0083746F">
        <w:rPr>
          <w:b/>
        </w:rPr>
        <w:br/>
      </w:r>
      <w:r w:rsidR="0052150E">
        <w:rPr>
          <w:b/>
        </w:rPr>
        <w:t>ISBN</w:t>
      </w:r>
      <w:r w:rsidR="0052150E">
        <w:rPr>
          <w:b/>
        </w:rPr>
        <w:tab/>
      </w:r>
      <w:r w:rsidRPr="00D51EFE">
        <w:rPr>
          <w:b/>
        </w:rPr>
        <w:t>978-1-74037-496-5</w:t>
      </w:r>
      <w:r>
        <w:rPr>
          <w:b/>
        </w:rPr>
        <w:t xml:space="preserve"> (Print)</w:t>
      </w:r>
    </w:p>
    <w:p w:rsidR="008A3857" w:rsidRDefault="008A3857" w:rsidP="008E242D">
      <w:pPr>
        <w:pStyle w:val="BodyText"/>
        <w:spacing w:after="120"/>
      </w:pPr>
      <w:r w:rsidRPr="00862D8F">
        <w:rPr>
          <w:noProof/>
          <w:sz w:val="22"/>
          <w:szCs w:val="22"/>
        </w:rPr>
        <w:drawing>
          <wp:inline distT="0" distB="0" distL="0" distR="0" wp14:anchorId="4BA40F35" wp14:editId="6FE853E5">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Source: Productivit</w:t>
      </w:r>
      <w:bookmarkStart w:id="1" w:name="_GoBack"/>
      <w:bookmarkEnd w:id="1"/>
      <w:r w:rsidRPr="008E242D">
        <w:rPr>
          <w:i/>
        </w:rPr>
        <w:t xml:space="preserve">y Commission, </w:t>
      </w:r>
      <w:r w:rsidR="000609FF">
        <w:rPr>
          <w:i/>
        </w:rPr>
        <w:t xml:space="preserve">Relative </w:t>
      </w:r>
      <w:r w:rsidR="00A00A0C">
        <w:rPr>
          <w:i/>
        </w:rPr>
        <w:t>Costs of Doing Business in Australia: Dairy Product Manufacturing</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A00A0C">
        <w:rPr>
          <w:i/>
        </w:rPr>
        <w:t xml:space="preserve">, </w:t>
      </w:r>
      <w:r w:rsidR="000609FF">
        <w:rPr>
          <w:i/>
        </w:rPr>
        <w:t xml:space="preserve">Relative </w:t>
      </w:r>
      <w:r w:rsidR="00A00A0C">
        <w:rPr>
          <w:i/>
        </w:rPr>
        <w:t>Costs of Doing Business in Australia: Dairy</w:t>
      </w:r>
      <w:r w:rsidR="003840DC">
        <w:rPr>
          <w:i/>
        </w:rPr>
        <w:t xml:space="preserve"> </w:t>
      </w:r>
      <w:r w:rsidR="00A00A0C">
        <w:rPr>
          <w:i/>
        </w:rPr>
        <w:t>Product Manufacturing</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8A3857" w:rsidRPr="008A3857" w:rsidRDefault="00A00A0C" w:rsidP="008A3857">
      <w:pPr>
        <w:pStyle w:val="Copyrightbodytext"/>
      </w:pPr>
      <w:r w:rsidRPr="00A00A0C">
        <w:t>Productivity Commission</w:t>
      </w:r>
      <w:r>
        <w:t xml:space="preserve"> 2014,</w:t>
      </w:r>
      <w:r>
        <w:rPr>
          <w:i/>
        </w:rPr>
        <w:t xml:space="preserve"> </w:t>
      </w:r>
      <w:r w:rsidR="000609FF">
        <w:rPr>
          <w:i/>
        </w:rPr>
        <w:t xml:space="preserve">Relative </w:t>
      </w:r>
      <w:r>
        <w:rPr>
          <w:i/>
        </w:rPr>
        <w:t>Costs of Doing Business in Australia: Dairy Product Manufacturing</w:t>
      </w:r>
      <w:r w:rsidR="003840DC">
        <w:rPr>
          <w:i/>
        </w:rPr>
        <w:t>,</w:t>
      </w:r>
      <w:r w:rsidR="003840DC" w:rsidRPr="003840DC">
        <w:t xml:space="preserve"> </w:t>
      </w:r>
      <w:r w:rsidR="0083746F">
        <w:t>Research</w:t>
      </w:r>
      <w:r w:rsidR="003840DC" w:rsidRPr="003840DC">
        <w:t xml:space="preserve"> Report, Canberra.</w:t>
      </w:r>
    </w:p>
    <w:p w:rsidR="008A3857" w:rsidRPr="008A3857" w:rsidRDefault="008A3857" w:rsidP="008A3857">
      <w:pPr>
        <w:pStyle w:val="Copyrightsubtitle"/>
      </w:pPr>
      <w:bookmarkStart w:id="2" w:name="JEL"/>
      <w:bookmarkEnd w:id="2"/>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2D5890">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2D5890">
        <w:trPr>
          <w:cantSplit/>
        </w:trPr>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2D5890">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rsidR="008C6762" w:rsidRDefault="008C6762">
      <w:pPr>
        <w:pStyle w:val="Heading1"/>
      </w:pPr>
      <w:r>
        <w:lastRenderedPageBreak/>
        <w:t>Foreword</w:t>
      </w:r>
    </w:p>
    <w:p w:rsidR="005F5D88" w:rsidRDefault="005F5D88" w:rsidP="005F5D88">
      <w:pPr>
        <w:pStyle w:val="BodyText"/>
      </w:pPr>
      <w:r>
        <w:t>The dairy industry is Australia’s third largest agricultural industry and had output with a wholesale value in excess of $13 billion in 2012</w:t>
      </w:r>
      <w:r>
        <w:noBreakHyphen/>
        <w:t>13. A substantial part of the Australian dairy product manufacturing industry is firmly integrated in global markets, with about 40 per cent of output (in milk equivalent terms) exported. International competitiveness is critical for the industry’s prospects in the face of strong global competition.</w:t>
      </w:r>
    </w:p>
    <w:p w:rsidR="005F5D88" w:rsidRDefault="005F5D88" w:rsidP="005F5D88">
      <w:pPr>
        <w:pStyle w:val="BodyText"/>
      </w:pPr>
      <w:r>
        <w:t xml:space="preserve">The Commission was tasked by the Australian Government to undertake a study of the cost structures faced by dairy product manufacturing businesses in Australia, and, where relevant, identify areas of cost advantage or disadvantage relative to international competitors. </w:t>
      </w:r>
    </w:p>
    <w:p w:rsidR="005F5D88" w:rsidRDefault="005F5D88" w:rsidP="005F5D88">
      <w:pPr>
        <w:pStyle w:val="BodyText"/>
      </w:pPr>
      <w:r>
        <w:t>An issue that constantly arose during the study was the model offered by Fonterra in the New Zealand dairy market. The Commission has provided comment on the factors involved in establishing Fonterra and their relevance to Australia.</w:t>
      </w:r>
    </w:p>
    <w:p w:rsidR="005F5D88" w:rsidRDefault="005F5D88" w:rsidP="005F5D88">
      <w:pPr>
        <w:pStyle w:val="BodyText"/>
      </w:pPr>
      <w:r>
        <w:t>The study has found that some cost pressures on the dairy product manufacturing sector may warrant corrective action by government, but most costs are largely driven by market factors and the commercial decisions of businesses, where policy interventions are not warranted. Manufacturers and farmers will need to continue innovating and improving the efficiency of their cost structures.</w:t>
      </w:r>
    </w:p>
    <w:p w:rsidR="005F5D88" w:rsidRDefault="005F5D88" w:rsidP="005F5D88">
      <w:pPr>
        <w:pStyle w:val="BodyText"/>
      </w:pPr>
      <w:r>
        <w:t xml:space="preserve">The Commission is grateful to the stakeholders who participated in this study, especially those who provided written submissions. </w:t>
      </w:r>
    </w:p>
    <w:p w:rsidR="005F5D88" w:rsidRDefault="005F5D88" w:rsidP="005F5D88">
      <w:pPr>
        <w:pStyle w:val="BodyText"/>
      </w:pPr>
      <w:r>
        <w:t>The study was undertaken by a team in the Commission’s Melbourne office, led by Clare Sibly and including Genesis Buchanan, Imogen Curtis, Carole Gardner, Peter Garrick, Brad Griffiths, Greg Thompson and Henry Williams. Valuable advice was provided by Lisa Gropp.</w:t>
      </w:r>
    </w:p>
    <w:p w:rsidR="005F5D88" w:rsidRPr="00AE35EF" w:rsidRDefault="005F5D88" w:rsidP="0083746F">
      <w:pPr>
        <w:pStyle w:val="BodyText"/>
        <w:spacing w:before="480"/>
        <w:rPr>
          <w:b/>
        </w:rPr>
      </w:pPr>
      <w:r w:rsidRPr="00AE35EF">
        <w:rPr>
          <w:b/>
        </w:rPr>
        <w:t>Peter Harris</w:t>
      </w:r>
    </w:p>
    <w:p w:rsidR="005F5D88" w:rsidRDefault="005F5D88" w:rsidP="001A4B81">
      <w:pPr>
        <w:pStyle w:val="BodyText"/>
        <w:spacing w:before="0"/>
      </w:pPr>
      <w:r>
        <w:t>Chairman</w:t>
      </w:r>
    </w:p>
    <w:p w:rsidR="005F5D88" w:rsidRDefault="003F2996" w:rsidP="005F5D88">
      <w:pPr>
        <w:pStyle w:val="BodyText"/>
        <w:rPr>
          <w:rFonts w:ascii="Arial" w:hAnsi="Arial" w:cs="Arial"/>
          <w:i/>
        </w:rPr>
      </w:pPr>
      <w:r>
        <w:t>September</w:t>
      </w:r>
      <w:r w:rsidR="005F5D88">
        <w:t xml:space="preserve"> 2014</w:t>
      </w:r>
      <w:bookmarkStart w:id="4" w:name="Glossary"/>
      <w:bookmarkEnd w:id="4"/>
    </w:p>
    <w:p w:rsidR="008C6762" w:rsidRPr="00634771" w:rsidRDefault="008C6762" w:rsidP="00634771">
      <w:pPr>
        <w:pStyle w:val="BodyText"/>
        <w:rPr>
          <w:lang w:eastAsia="en-US"/>
        </w:rPr>
      </w:pPr>
    </w:p>
    <w:p w:rsidR="008C6762" w:rsidRDefault="008C6762">
      <w:pPr>
        <w:pStyle w:val="BodyText"/>
        <w:sectPr w:rsidR="008C6762" w:rsidSect="00160417">
          <w:headerReference w:type="even" r:id="rId11"/>
          <w:headerReference w:type="default" r:id="rId12"/>
          <w:footerReference w:type="even" r:id="rId13"/>
          <w:footerReference w:type="default" r:id="rId14"/>
          <w:pgSz w:w="11906" w:h="16838" w:code="9"/>
          <w:pgMar w:top="1985" w:right="1304" w:bottom="1247" w:left="1814" w:header="1701" w:footer="397" w:gutter="0"/>
          <w:pgNumType w:fmt="lowerRoman"/>
          <w:cols w:space="708"/>
          <w:docGrid w:linePitch="360"/>
        </w:sectPr>
      </w:pPr>
    </w:p>
    <w:p w:rsidR="008C6762" w:rsidRDefault="008C6762" w:rsidP="00261627">
      <w:pPr>
        <w:pStyle w:val="Heading1"/>
        <w:spacing w:after="1200"/>
      </w:pPr>
      <w:r>
        <w:lastRenderedPageBreak/>
        <w:t>Terms of reference</w:t>
      </w:r>
    </w:p>
    <w:p w:rsidR="00261627" w:rsidRDefault="00261627" w:rsidP="00261627">
      <w:pPr>
        <w:pStyle w:val="BodyText"/>
        <w:spacing w:before="200"/>
      </w:pPr>
      <w:r>
        <w:t xml:space="preserve">I, Joseph Benedict Hockey, Treasurer, pursuant to Parts 2 and 4 of the </w:t>
      </w:r>
      <w:r w:rsidRPr="0050707E">
        <w:rPr>
          <w:i/>
        </w:rPr>
        <w:t>Productivity Commission Act 1998</w:t>
      </w:r>
      <w:r>
        <w:t>, hereby request that the Productivity Commission undertake a study into the cost structures of the dairy product manufacturing industry and the retail trade industry, including costs relative to international competitors, where relevant.</w:t>
      </w:r>
    </w:p>
    <w:p w:rsidR="00261627" w:rsidRPr="00ED5E3C" w:rsidRDefault="00261627" w:rsidP="00261627">
      <w:pPr>
        <w:pStyle w:val="Heading3"/>
        <w:spacing w:before="520"/>
      </w:pPr>
      <w:bookmarkStart w:id="5" w:name="_Toc384807208"/>
      <w:r w:rsidRPr="00ED5E3C">
        <w:t>Background</w:t>
      </w:r>
      <w:bookmarkEnd w:id="5"/>
    </w:p>
    <w:p w:rsidR="00261627" w:rsidRDefault="00261627" w:rsidP="00261627">
      <w:pPr>
        <w:pStyle w:val="BodyText"/>
        <w:spacing w:before="200"/>
      </w:pPr>
      <w:r>
        <w:t>A sound understanding of the cost structures of Australian businesses, including costs relative to any international competitors, can provide valuable insights for considering policies to support living standards and economic growth.</w:t>
      </w:r>
    </w:p>
    <w:p w:rsidR="00261627" w:rsidRDefault="00261627" w:rsidP="00261627">
      <w:pPr>
        <w:pStyle w:val="Heading3"/>
        <w:spacing w:before="520"/>
      </w:pPr>
      <w:bookmarkStart w:id="6" w:name="_Toc384807209"/>
      <w:r>
        <w:t>Scope of the research study</w:t>
      </w:r>
      <w:bookmarkEnd w:id="6"/>
    </w:p>
    <w:p w:rsidR="00261627" w:rsidRDefault="00261627" w:rsidP="00261627">
      <w:pPr>
        <w:pStyle w:val="BodyText"/>
        <w:spacing w:before="200"/>
      </w:pPr>
      <w:r w:rsidRPr="0050707E">
        <w:t>In undertaking the study, the Commission should</w:t>
      </w:r>
      <w:r>
        <w:t>:</w:t>
      </w:r>
    </w:p>
    <w:p w:rsidR="00261627" w:rsidRDefault="00261627" w:rsidP="006D4CAA">
      <w:pPr>
        <w:pStyle w:val="ListNumber"/>
      </w:pPr>
      <w:r>
        <w:t>Undertake a case study of the costs (such as costs relating to capital, labour, intermediate inputs including energy, taxation, superannuation and/or regulatory compliance) facing businesses operating in Australia in the dairy product manufacturing industry and in the retail trade industry.</w:t>
      </w:r>
    </w:p>
    <w:p w:rsidR="00261627" w:rsidRDefault="00261627" w:rsidP="006D4CAA">
      <w:pPr>
        <w:pStyle w:val="ListNumber"/>
      </w:pPr>
      <w:r>
        <w:t>Where relevant, identify areas of cost advantage and disadvantage for these businesses compared to international competitors.</w:t>
      </w:r>
    </w:p>
    <w:p w:rsidR="00261627" w:rsidRDefault="00261627" w:rsidP="00261627">
      <w:pPr>
        <w:pStyle w:val="Heading3"/>
        <w:spacing w:before="520"/>
      </w:pPr>
      <w:bookmarkStart w:id="7" w:name="_Toc384807210"/>
      <w:r>
        <w:t>Process</w:t>
      </w:r>
      <w:bookmarkEnd w:id="7"/>
    </w:p>
    <w:p w:rsidR="00261627" w:rsidRDefault="00261627" w:rsidP="00261627">
      <w:pPr>
        <w:pStyle w:val="BodyText"/>
        <w:spacing w:before="200"/>
      </w:pPr>
      <w:r>
        <w:t>The Commission should consult as appropriate and provide an interim report drawing on submissions and a final report.</w:t>
      </w:r>
    </w:p>
    <w:p w:rsidR="00261627" w:rsidRDefault="00261627" w:rsidP="00261627">
      <w:pPr>
        <w:pStyle w:val="BodyText"/>
        <w:spacing w:before="200"/>
      </w:pPr>
      <w:r>
        <w:t>The interim report should be published within two months of receipt of this terms of reference. The final report should contain findings and be provided to the Government within six months of receipt of this terms of reference.</w:t>
      </w:r>
    </w:p>
    <w:p w:rsidR="00261627" w:rsidRDefault="00261627" w:rsidP="00261627">
      <w:pPr>
        <w:pStyle w:val="BodyText"/>
        <w:keepNext/>
        <w:spacing w:before="200"/>
      </w:pPr>
      <w:r w:rsidRPr="0050707E">
        <w:t>The final report will be published.</w:t>
      </w:r>
    </w:p>
    <w:p w:rsidR="008C6762" w:rsidRDefault="00261627" w:rsidP="00261627">
      <w:pPr>
        <w:pStyle w:val="BodyText"/>
        <w:jc w:val="left"/>
      </w:pPr>
      <w:r w:rsidRPr="001A4B81">
        <w:rPr>
          <w:b/>
        </w:rPr>
        <w:t>J. B. HOCKEY</w:t>
      </w:r>
      <w:r w:rsidRPr="001A4B81">
        <w:rPr>
          <w:b/>
        </w:rPr>
        <w:br/>
      </w:r>
      <w:r w:rsidRPr="00624781">
        <w:t>Treasurer</w:t>
      </w:r>
    </w:p>
    <w:p w:rsidR="008C6762" w:rsidRDefault="00F72206" w:rsidP="00F72206">
      <w:pPr>
        <w:pStyle w:val="BodyText"/>
        <w:spacing w:before="200"/>
      </w:pPr>
      <w:r w:rsidRPr="00F72206">
        <w:t xml:space="preserve">[Received 7 April 2014] </w:t>
      </w:r>
    </w:p>
    <w:p w:rsidR="00F72206" w:rsidRDefault="00F72206" w:rsidP="00F72206">
      <w:pPr>
        <w:pStyle w:val="BodyText"/>
        <w:spacing w:before="200"/>
        <w:sectPr w:rsidR="00F72206" w:rsidSect="00C24C8B">
          <w:headerReference w:type="even" r:id="rId15"/>
          <w:headerReference w:type="default" r:id="rId16"/>
          <w:footerReference w:type="even" r:id="rId17"/>
          <w:footerReference w:type="default" r:id="rId18"/>
          <w:pgSz w:w="11907" w:h="16840" w:code="9"/>
          <w:pgMar w:top="1985" w:right="1304" w:bottom="1247" w:left="1814" w:header="1701" w:footer="397" w:gutter="0"/>
          <w:pgNumType w:fmt="lowerRoman"/>
          <w:cols w:space="720"/>
        </w:sectPr>
      </w:pPr>
    </w:p>
    <w:p w:rsidR="001B7F1E" w:rsidRDefault="00735FEA" w:rsidP="008206EE">
      <w:pPr>
        <w:pStyle w:val="Heading1NotTOC"/>
      </w:pPr>
      <w:bookmarkStart w:id="8" w:name="Contents"/>
      <w:bookmarkEnd w:id="8"/>
      <w:r w:rsidRPr="00B153C3">
        <w:lastRenderedPageBreak/>
        <w:t>Contents</w:t>
      </w:r>
      <w:bookmarkStart w:id="9" w:name="InsertContents"/>
      <w:bookmarkEnd w:id="9"/>
    </w:p>
    <w:sdt>
      <w:sdtPr>
        <w:rPr>
          <w:rFonts w:ascii="Times New Roman" w:hAnsi="Times New Roman"/>
          <w:b w:val="0"/>
          <w:kern w:val="28"/>
          <w:sz w:val="52"/>
          <w:szCs w:val="20"/>
        </w:rPr>
        <w:id w:val="-1655674886"/>
        <w:docPartObj>
          <w:docPartGallery w:val="Table of Contents"/>
          <w:docPartUnique/>
        </w:docPartObj>
      </w:sdtPr>
      <w:sdtEndPr>
        <w:rPr>
          <w:kern w:val="0"/>
          <w:sz w:val="26"/>
        </w:rPr>
      </w:sdtEndPr>
      <w:sdtContent>
        <w:p w:rsidR="0083746F" w:rsidRDefault="0083746F" w:rsidP="0083746F">
          <w:pPr>
            <w:pStyle w:val="TOC1"/>
            <w:rPr>
              <w:rFonts w:asciiTheme="minorHAnsi" w:eastAsiaTheme="minorEastAsia" w:hAnsiTheme="minorHAnsi" w:cstheme="minorBidi"/>
              <w:b w:val="0"/>
              <w:noProof/>
              <w:sz w:val="22"/>
              <w:szCs w:val="22"/>
              <w:lang w:eastAsia="en-AU"/>
            </w:rPr>
          </w:pPr>
          <w:r>
            <w:rPr>
              <w:noProof/>
            </w:rPr>
            <w:t>Foreword</w:t>
          </w:r>
          <w:r>
            <w:rPr>
              <w:noProof/>
            </w:rPr>
            <w:tab/>
            <w:t>iii</w:t>
          </w:r>
        </w:p>
        <w:p w:rsidR="0083746F" w:rsidRDefault="0083746F" w:rsidP="0083746F">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83746F" w:rsidRDefault="0083746F" w:rsidP="0083746F">
          <w:pPr>
            <w:pStyle w:val="TOC1"/>
            <w:rPr>
              <w:noProof/>
            </w:rPr>
          </w:pPr>
          <w:r>
            <w:rPr>
              <w:noProof/>
            </w:rPr>
            <w:t>Abbreviations and explanations</w:t>
          </w:r>
          <w:r>
            <w:rPr>
              <w:noProof/>
            </w:rPr>
            <w:tab/>
            <w:t>vii</w:t>
          </w:r>
        </w:p>
        <w:p w:rsidR="0083746F" w:rsidRPr="0083746F" w:rsidRDefault="0083746F" w:rsidP="0083746F">
          <w:pPr>
            <w:pStyle w:val="TOC1"/>
            <w:rPr>
              <w:noProof/>
            </w:rPr>
          </w:pPr>
          <w:r w:rsidRPr="0083746F">
            <w:rPr>
              <w:noProof/>
            </w:rPr>
            <w:t>Glossary</w:t>
          </w:r>
          <w:r w:rsidRPr="0083746F">
            <w:rPr>
              <w:noProof/>
            </w:rPr>
            <w:tab/>
            <w:t>viii</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Overview</w:t>
          </w:r>
          <w:r>
            <w:rPr>
              <w:noProof/>
            </w:rPr>
            <w:tab/>
            <w:t>1</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Findings</w:t>
          </w:r>
          <w:r>
            <w:rPr>
              <w:noProof/>
            </w:rPr>
            <w:tab/>
            <w:t>2</w:t>
          </w:r>
          <w:r w:rsidR="00C229A2">
            <w:rPr>
              <w:noProof/>
            </w:rPr>
            <w:t>3</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study</w:t>
          </w:r>
          <w:r>
            <w:rPr>
              <w:noProof/>
            </w:rPr>
            <w:tab/>
            <w:t>27</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Commission’s task</w:t>
          </w:r>
          <w:r>
            <w:rPr>
              <w:noProof/>
            </w:rPr>
            <w:tab/>
            <w:t>27</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Commission’s approach</w:t>
          </w:r>
          <w:r>
            <w:rPr>
              <w:noProof/>
            </w:rPr>
            <w:tab/>
            <w:t>27</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Australia’s dairy product manufacturing industry</w:t>
          </w:r>
          <w:r>
            <w:rPr>
              <w:noProof/>
            </w:rPr>
            <w:tab/>
            <w:t>33</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Dairy product manufacturing</w:t>
          </w:r>
          <w:r>
            <w:rPr>
              <w:noProof/>
            </w:rPr>
            <w:tab/>
            <w:t>34</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Raw milk production</w:t>
          </w:r>
          <w:r>
            <w:rPr>
              <w:noProof/>
            </w:rPr>
            <w:tab/>
            <w:t>46</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Domestic and export markets</w:t>
          </w:r>
          <w:r>
            <w:rPr>
              <w:noProof/>
            </w:rPr>
            <w:tab/>
            <w:t>53</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Key dairy producing countries</w:t>
          </w:r>
          <w:r>
            <w:rPr>
              <w:noProof/>
            </w:rPr>
            <w:tab/>
          </w:r>
          <w:r w:rsidR="00C229A2">
            <w:rPr>
              <w:noProof/>
            </w:rPr>
            <w:t>62</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Costs of dairy product manufacturing</w:t>
          </w:r>
          <w:r>
            <w:rPr>
              <w:noProof/>
            </w:rPr>
            <w:tab/>
            <w:t>67</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Cost structure of dairy product manufacturing</w:t>
          </w:r>
          <w:r>
            <w:rPr>
              <w:noProof/>
            </w:rPr>
            <w:tab/>
            <w:t>68</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Factors underlying the cost structure of dairy product manufacturing</w:t>
          </w:r>
          <w:r>
            <w:rPr>
              <w:noProof/>
            </w:rPr>
            <w:tab/>
            <w:t>72</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Raw milk production in Australia: costs, volumes and seasonality</w:t>
          </w:r>
          <w:r>
            <w:rPr>
              <w:noProof/>
            </w:rPr>
            <w:tab/>
            <w:t>85</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Raw milk production costs</w:t>
          </w:r>
          <w:r>
            <w:rPr>
              <w:noProof/>
            </w:rPr>
            <w:tab/>
            <w:t>86</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Raw milk volumes and seasonal variability</w:t>
          </w:r>
          <w:r>
            <w:rPr>
              <w:noProof/>
            </w:rPr>
            <w:tab/>
            <w:t>94</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Opportunities and challenges for the dairy industry</w:t>
          </w:r>
          <w:r>
            <w:rPr>
              <w:noProof/>
            </w:rPr>
            <w:tab/>
            <w:t>109</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Achieving dairy manufacturing efficiencies</w:t>
          </w:r>
          <w:r>
            <w:rPr>
              <w:noProof/>
            </w:rPr>
            <w:tab/>
            <w:t>110</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Achieving ongoing productivity growth</w:t>
          </w:r>
          <w:r>
            <w:rPr>
              <w:noProof/>
            </w:rPr>
            <w:tab/>
            <w:t>124</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Getting more value from raw milk</w:t>
          </w:r>
          <w:r>
            <w:rPr>
              <w:noProof/>
            </w:rPr>
            <w:tab/>
            <w:t>133</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lastRenderedPageBreak/>
            <w:t>6</w:t>
          </w:r>
          <w:r>
            <w:rPr>
              <w:rFonts w:asciiTheme="minorHAnsi" w:eastAsiaTheme="minorEastAsia" w:hAnsiTheme="minorHAnsi" w:cstheme="minorBidi"/>
              <w:b w:val="0"/>
              <w:noProof/>
              <w:sz w:val="22"/>
              <w:szCs w:val="22"/>
              <w:lang w:eastAsia="en-AU"/>
            </w:rPr>
            <w:tab/>
          </w:r>
          <w:r>
            <w:rPr>
              <w:noProof/>
            </w:rPr>
            <w:t>Potential policy refinements</w:t>
          </w:r>
          <w:r>
            <w:rPr>
              <w:noProof/>
            </w:rPr>
            <w:tab/>
            <w:t>137</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Good practice policy making</w:t>
          </w:r>
          <w:r>
            <w:rPr>
              <w:noProof/>
            </w:rPr>
            <w:tab/>
            <w:t>138</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Energy policy</w:t>
          </w:r>
          <w:r>
            <w:rPr>
              <w:noProof/>
            </w:rPr>
            <w:tab/>
            <w:t>141</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Trade access</w:t>
          </w:r>
          <w:r>
            <w:rPr>
              <w:noProof/>
            </w:rPr>
            <w:tab/>
            <w:t>150</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Urban and rural water supply</w:t>
          </w:r>
          <w:r>
            <w:rPr>
              <w:noProof/>
            </w:rPr>
            <w:tab/>
            <w:t>160</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Workforce issues</w:t>
          </w:r>
          <w:r>
            <w:rPr>
              <w:noProof/>
            </w:rPr>
            <w:tab/>
            <w:t>164</w:t>
          </w:r>
        </w:p>
        <w:p w:rsidR="002C4D4C" w:rsidRDefault="002C4D4C" w:rsidP="002C4D4C">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Transport issues</w:t>
          </w:r>
          <w:r>
            <w:rPr>
              <w:noProof/>
            </w:rPr>
            <w:tab/>
            <w:t>170</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study</w:t>
          </w:r>
          <w:r>
            <w:rPr>
              <w:noProof/>
            </w:rPr>
            <w:tab/>
            <w:t>177</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Economics of dairy markets</w:t>
          </w:r>
          <w:r>
            <w:rPr>
              <w:noProof/>
            </w:rPr>
            <w:tab/>
            <w:t>179</w:t>
          </w:r>
        </w:p>
        <w:p w:rsidR="002C4D4C" w:rsidRDefault="002C4D4C" w:rsidP="002C4D4C">
          <w:pPr>
            <w:pStyle w:val="TOC1"/>
            <w:rPr>
              <w:rFonts w:asciiTheme="minorHAnsi" w:eastAsiaTheme="minorEastAsia" w:hAnsiTheme="minorHAnsi" w:cstheme="minorBidi"/>
              <w:b w:val="0"/>
              <w:noProof/>
              <w:sz w:val="22"/>
              <w:szCs w:val="22"/>
              <w:lang w:eastAsia="en-AU"/>
            </w:rPr>
          </w:pPr>
          <w:r>
            <w:rPr>
              <w:noProof/>
            </w:rPr>
            <w:t>References</w:t>
          </w:r>
          <w:r>
            <w:rPr>
              <w:noProof/>
            </w:rPr>
            <w:tab/>
            <w:t>185</w:t>
          </w:r>
        </w:p>
        <w:p w:rsidR="00492193" w:rsidRDefault="00D05D86" w:rsidP="0083746F"/>
      </w:sdtContent>
    </w:sdt>
    <w:p w:rsidR="004D3F58" w:rsidRDefault="004D3F58">
      <w:pPr>
        <w:pStyle w:val="BodyText"/>
        <w:sectPr w:rsidR="004D3F58"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735FEA" w:rsidRDefault="00735FEA" w:rsidP="00F7477E">
      <w:pPr>
        <w:pStyle w:val="Heading1"/>
      </w:pPr>
      <w:bookmarkStart w:id="10" w:name="Abbreviations"/>
      <w:bookmarkStart w:id="11" w:name="EndContents"/>
      <w:bookmarkStart w:id="12" w:name="RDnote"/>
      <w:bookmarkEnd w:id="10"/>
      <w:bookmarkEnd w:id="11"/>
      <w:bookmarkEnd w:id="12"/>
      <w:r>
        <w:lastRenderedPageBreak/>
        <w:t>Abbreviations</w:t>
      </w:r>
    </w:p>
    <w:p w:rsidR="000D6981" w:rsidRDefault="000D6981" w:rsidP="000D6981">
      <w:pPr>
        <w:pStyle w:val="Abbreviation"/>
      </w:pPr>
      <w:proofErr w:type="spellStart"/>
      <w:r>
        <w:t>ABARES</w:t>
      </w:r>
      <w:proofErr w:type="spellEnd"/>
      <w:r>
        <w:t>/</w:t>
      </w:r>
      <w:proofErr w:type="spellStart"/>
      <w:r>
        <w:t>ABARE</w:t>
      </w:r>
      <w:proofErr w:type="spellEnd"/>
      <w:r>
        <w:tab/>
        <w:t>Australian Bureau of Agricultural and Resource Economics and Sciences (previously the Australian Bureau of Agricultural and Resource Economics)</w:t>
      </w:r>
    </w:p>
    <w:p w:rsidR="000D6981" w:rsidRDefault="000D6981" w:rsidP="000D6981">
      <w:pPr>
        <w:pStyle w:val="Abbreviation"/>
      </w:pPr>
      <w:proofErr w:type="spellStart"/>
      <w:r>
        <w:t>ACCC</w:t>
      </w:r>
      <w:proofErr w:type="spellEnd"/>
      <w:r>
        <w:t xml:space="preserve"> </w:t>
      </w:r>
      <w:r>
        <w:tab/>
        <w:t>Australian Competition and Consumer Commission</w:t>
      </w:r>
    </w:p>
    <w:p w:rsidR="000D6981" w:rsidRDefault="000D6981" w:rsidP="000D6981">
      <w:pPr>
        <w:pStyle w:val="Abbreviation"/>
      </w:pPr>
      <w:proofErr w:type="spellStart"/>
      <w:r>
        <w:t>ADIC</w:t>
      </w:r>
      <w:proofErr w:type="spellEnd"/>
      <w:r>
        <w:t xml:space="preserve"> </w:t>
      </w:r>
      <w:r>
        <w:tab/>
        <w:t>Australian Dairy Industry Council</w:t>
      </w:r>
    </w:p>
    <w:p w:rsidR="000D6981" w:rsidRDefault="000D6981" w:rsidP="000D6981">
      <w:pPr>
        <w:pStyle w:val="Abbreviation"/>
      </w:pPr>
      <w:proofErr w:type="spellStart"/>
      <w:r>
        <w:t>AFGC</w:t>
      </w:r>
      <w:proofErr w:type="spellEnd"/>
      <w:r>
        <w:t xml:space="preserve"> </w:t>
      </w:r>
      <w:r>
        <w:tab/>
        <w:t>Australian Food and Grocery Council</w:t>
      </w:r>
    </w:p>
    <w:p w:rsidR="000D6981" w:rsidRDefault="000D6981" w:rsidP="000D6981">
      <w:pPr>
        <w:pStyle w:val="Abbreviation"/>
      </w:pPr>
      <w:proofErr w:type="spellStart"/>
      <w:r>
        <w:t>ASX</w:t>
      </w:r>
      <w:proofErr w:type="spellEnd"/>
      <w:r>
        <w:tab/>
        <w:t xml:space="preserve">Australian Stock Exchange </w:t>
      </w:r>
    </w:p>
    <w:p w:rsidR="000D6981" w:rsidRDefault="000D6981" w:rsidP="000D6981">
      <w:pPr>
        <w:pStyle w:val="Abbreviation"/>
      </w:pPr>
      <w:proofErr w:type="spellStart"/>
      <w:r>
        <w:t>cpl</w:t>
      </w:r>
      <w:proofErr w:type="spellEnd"/>
      <w:r>
        <w:t xml:space="preserve"> </w:t>
      </w:r>
      <w:r>
        <w:tab/>
        <w:t>cents per litre</w:t>
      </w:r>
    </w:p>
    <w:p w:rsidR="000D6981" w:rsidRDefault="000D6981" w:rsidP="000D6981">
      <w:pPr>
        <w:pStyle w:val="Abbreviation"/>
      </w:pPr>
      <w:r>
        <w:t>CSIRO</w:t>
      </w:r>
      <w:r>
        <w:tab/>
      </w:r>
      <w:r w:rsidRPr="00E67F12">
        <w:t>Commonwealth Scientific and Industrial Research Organisation</w:t>
      </w:r>
    </w:p>
    <w:p w:rsidR="000D6981" w:rsidRDefault="000D6981" w:rsidP="000D6981">
      <w:pPr>
        <w:pStyle w:val="Abbreviation"/>
      </w:pPr>
      <w:r>
        <w:t>EU</w:t>
      </w:r>
      <w:r>
        <w:tab/>
        <w:t xml:space="preserve">European Union </w:t>
      </w:r>
    </w:p>
    <w:p w:rsidR="000D6981" w:rsidRDefault="000D6981" w:rsidP="000D6981">
      <w:pPr>
        <w:pStyle w:val="Abbreviation"/>
      </w:pPr>
      <w:proofErr w:type="spellStart"/>
      <w:r>
        <w:t>FIRB</w:t>
      </w:r>
      <w:proofErr w:type="spellEnd"/>
      <w:r>
        <w:tab/>
      </w:r>
      <w:r w:rsidRPr="00C07CB9">
        <w:t>Foreign Investment Review Board</w:t>
      </w:r>
    </w:p>
    <w:p w:rsidR="000D6981" w:rsidRDefault="000D6981" w:rsidP="000D6981">
      <w:pPr>
        <w:pStyle w:val="Abbreviation"/>
      </w:pPr>
      <w:proofErr w:type="spellStart"/>
      <w:r>
        <w:t>FSANZ</w:t>
      </w:r>
      <w:proofErr w:type="spellEnd"/>
      <w:r>
        <w:t xml:space="preserve"> </w:t>
      </w:r>
      <w:r>
        <w:tab/>
      </w:r>
      <w:r w:rsidRPr="00F17B22">
        <w:t>Food Standards Australia New Zealand</w:t>
      </w:r>
    </w:p>
    <w:p w:rsidR="000D6981" w:rsidRDefault="000D6981" w:rsidP="000D6981">
      <w:pPr>
        <w:pStyle w:val="Abbreviation"/>
      </w:pPr>
      <w:proofErr w:type="spellStart"/>
      <w:r>
        <w:t>FTA</w:t>
      </w:r>
      <w:proofErr w:type="spellEnd"/>
      <w:r>
        <w:tab/>
        <w:t xml:space="preserve">free trade agreement </w:t>
      </w:r>
    </w:p>
    <w:p w:rsidR="000D6981" w:rsidRDefault="000D6981" w:rsidP="000D6981">
      <w:pPr>
        <w:pStyle w:val="Abbreviation"/>
      </w:pPr>
      <w:r>
        <w:t xml:space="preserve">GM </w:t>
      </w:r>
      <w:r>
        <w:tab/>
        <w:t>g</w:t>
      </w:r>
      <w:r w:rsidRPr="00C07CB9">
        <w:t>enetically modified</w:t>
      </w:r>
    </w:p>
    <w:p w:rsidR="000D6981" w:rsidRDefault="000D6981" w:rsidP="000D6981">
      <w:pPr>
        <w:pStyle w:val="Abbreviation"/>
      </w:pPr>
      <w:proofErr w:type="spellStart"/>
      <w:r>
        <w:t>kt</w:t>
      </w:r>
      <w:proofErr w:type="spellEnd"/>
      <w:r>
        <w:tab/>
        <w:t>kilotonne</w:t>
      </w:r>
      <w:r>
        <w:tab/>
      </w:r>
    </w:p>
    <w:p w:rsidR="000D6981" w:rsidRDefault="000D6981" w:rsidP="000D6981">
      <w:pPr>
        <w:pStyle w:val="Abbreviation"/>
      </w:pPr>
      <w:r>
        <w:t>LHS</w:t>
      </w:r>
      <w:r>
        <w:tab/>
        <w:t>left hand side</w:t>
      </w:r>
    </w:p>
    <w:p w:rsidR="000D6981" w:rsidRPr="00EE7E22" w:rsidRDefault="000D6981" w:rsidP="000D6981">
      <w:pPr>
        <w:pStyle w:val="Abbreviation"/>
      </w:pPr>
      <w:r>
        <w:t>LNG</w:t>
      </w:r>
      <w:r>
        <w:tab/>
        <w:t>l</w:t>
      </w:r>
      <w:r w:rsidRPr="00EE7E22">
        <w:t>iquefied natural gas</w:t>
      </w:r>
    </w:p>
    <w:p w:rsidR="000D6981" w:rsidRDefault="000D6981" w:rsidP="000D6981">
      <w:pPr>
        <w:pStyle w:val="Abbreviation"/>
      </w:pPr>
      <w:r>
        <w:t>MG</w:t>
      </w:r>
      <w:r>
        <w:tab/>
      </w:r>
      <w:r w:rsidRPr="008C31AB">
        <w:t>Murray Goulburn</w:t>
      </w:r>
    </w:p>
    <w:p w:rsidR="000D6981" w:rsidRDefault="000D6981" w:rsidP="000D6981">
      <w:pPr>
        <w:pStyle w:val="Abbreviation"/>
      </w:pPr>
      <w:proofErr w:type="spellStart"/>
      <w:r>
        <w:t>NFF</w:t>
      </w:r>
      <w:proofErr w:type="spellEnd"/>
      <w:r>
        <w:tab/>
        <w:t>National Farmers’</w:t>
      </w:r>
      <w:r w:rsidRPr="008C31AB">
        <w:t xml:space="preserve"> Federation</w:t>
      </w:r>
    </w:p>
    <w:p w:rsidR="000D6981" w:rsidRDefault="000D6981" w:rsidP="000D6981">
      <w:pPr>
        <w:pStyle w:val="Abbreviation"/>
      </w:pPr>
      <w:r>
        <w:t>R&amp;D</w:t>
      </w:r>
      <w:r>
        <w:tab/>
        <w:t>research &amp; development</w:t>
      </w:r>
    </w:p>
    <w:p w:rsidR="000D6981" w:rsidRDefault="000D6981" w:rsidP="000D6981">
      <w:pPr>
        <w:pStyle w:val="Abbreviation"/>
      </w:pPr>
      <w:r>
        <w:t>RHS</w:t>
      </w:r>
      <w:r>
        <w:tab/>
        <w:t>right hand side</w:t>
      </w:r>
    </w:p>
    <w:p w:rsidR="000D6981" w:rsidRDefault="000D6981" w:rsidP="000D6981">
      <w:pPr>
        <w:pStyle w:val="Abbreviation"/>
      </w:pPr>
      <w:proofErr w:type="spellStart"/>
      <w:r>
        <w:t>SMP</w:t>
      </w:r>
      <w:proofErr w:type="spellEnd"/>
      <w:r>
        <w:tab/>
        <w:t>skim milk powder</w:t>
      </w:r>
    </w:p>
    <w:p w:rsidR="000D6981" w:rsidRDefault="000D6981" w:rsidP="000D6981">
      <w:pPr>
        <w:pStyle w:val="Abbreviation"/>
      </w:pPr>
      <w:r>
        <w:t xml:space="preserve">UHT </w:t>
      </w:r>
      <w:r>
        <w:tab/>
      </w:r>
      <w:proofErr w:type="spellStart"/>
      <w:r>
        <w:t>ultra</w:t>
      </w:r>
      <w:r w:rsidR="00AE35EF">
        <w:t xml:space="preserve"> </w:t>
      </w:r>
      <w:r w:rsidRPr="00337B0D">
        <w:t>h</w:t>
      </w:r>
      <w:r w:rsidR="00C81C16">
        <w:t>eat</w:t>
      </w:r>
      <w:proofErr w:type="spellEnd"/>
      <w:r w:rsidRPr="00337B0D">
        <w:t xml:space="preserve"> treat</w:t>
      </w:r>
      <w:r w:rsidR="00C81C16">
        <w:t xml:space="preserve">ed (to extend shelf life) </w:t>
      </w:r>
    </w:p>
    <w:p w:rsidR="000D6981" w:rsidRDefault="000D6981" w:rsidP="000D6981">
      <w:pPr>
        <w:pStyle w:val="Abbreviation"/>
      </w:pPr>
      <w:proofErr w:type="spellStart"/>
      <w:r>
        <w:t>UDV</w:t>
      </w:r>
      <w:proofErr w:type="spellEnd"/>
      <w:r>
        <w:tab/>
      </w:r>
      <w:r w:rsidRPr="00715576">
        <w:t xml:space="preserve">United </w:t>
      </w:r>
      <w:proofErr w:type="spellStart"/>
      <w:r w:rsidRPr="00715576">
        <w:t>Dairyfarmers</w:t>
      </w:r>
      <w:proofErr w:type="spellEnd"/>
      <w:r w:rsidRPr="00715576">
        <w:t xml:space="preserve"> of Victoria</w:t>
      </w:r>
    </w:p>
    <w:p w:rsidR="000D6981" w:rsidRDefault="000D6981" w:rsidP="000D6981">
      <w:pPr>
        <w:pStyle w:val="Abbreviation"/>
      </w:pPr>
      <w:r>
        <w:t>VET</w:t>
      </w:r>
      <w:r>
        <w:tab/>
        <w:t xml:space="preserve">vocational education and training </w:t>
      </w:r>
    </w:p>
    <w:p w:rsidR="000D6981" w:rsidRDefault="000D6981" w:rsidP="000D6981">
      <w:pPr>
        <w:pStyle w:val="Abbreviation"/>
      </w:pPr>
      <w:proofErr w:type="spellStart"/>
      <w:r>
        <w:t>VFF</w:t>
      </w:r>
      <w:proofErr w:type="spellEnd"/>
      <w:r>
        <w:tab/>
      </w:r>
      <w:r w:rsidRPr="00715576">
        <w:t>Victorian Farmers Federation</w:t>
      </w:r>
    </w:p>
    <w:p w:rsidR="000D6981" w:rsidRDefault="000D6981" w:rsidP="000D6981">
      <w:pPr>
        <w:pStyle w:val="Abbreviation"/>
      </w:pPr>
      <w:proofErr w:type="spellStart"/>
      <w:r>
        <w:t>WCB</w:t>
      </w:r>
      <w:proofErr w:type="spellEnd"/>
      <w:r>
        <w:t xml:space="preserve"> </w:t>
      </w:r>
      <w:r>
        <w:tab/>
      </w:r>
      <w:r>
        <w:rPr>
          <w:szCs w:val="26"/>
        </w:rPr>
        <w:t>Warrnambool Cheese and Butter</w:t>
      </w:r>
    </w:p>
    <w:p w:rsidR="008C6762" w:rsidRDefault="000D6981" w:rsidP="00C81C16">
      <w:pPr>
        <w:pStyle w:val="Abbreviation"/>
      </w:pPr>
      <w:proofErr w:type="spellStart"/>
      <w:r>
        <w:t>WMP</w:t>
      </w:r>
      <w:proofErr w:type="spellEnd"/>
      <w:r>
        <w:tab/>
        <w:t>whole milk powder</w:t>
      </w:r>
      <w:r w:rsidR="008C6762">
        <w:br w:type="page"/>
      </w:r>
    </w:p>
    <w:p w:rsidR="008C6762" w:rsidRDefault="008C6762">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CE60DD" w:rsidTr="006A56E4">
        <w:tc>
          <w:tcPr>
            <w:tcW w:w="2155" w:type="dxa"/>
          </w:tcPr>
          <w:p w:rsidR="00CE60DD" w:rsidRPr="00AE0151" w:rsidRDefault="00CE60DD" w:rsidP="006A56E4">
            <w:pPr>
              <w:pStyle w:val="BodyText"/>
              <w:spacing w:after="120"/>
              <w:jc w:val="left"/>
            </w:pPr>
            <w:r w:rsidRPr="00AE0151">
              <w:t xml:space="preserve">Bargaining group </w:t>
            </w:r>
          </w:p>
        </w:tc>
        <w:tc>
          <w:tcPr>
            <w:tcW w:w="6742" w:type="dxa"/>
          </w:tcPr>
          <w:p w:rsidR="00CE60DD" w:rsidRPr="00AE0151" w:rsidRDefault="00CE60DD" w:rsidP="006A56E4">
            <w:pPr>
              <w:pStyle w:val="BodyText"/>
              <w:spacing w:after="120"/>
              <w:jc w:val="left"/>
            </w:pPr>
            <w:r>
              <w:t>A g</w:t>
            </w:r>
            <w:r w:rsidRPr="00AE0151">
              <w:t xml:space="preserve">roup of farmers who bargain collectively </w:t>
            </w:r>
            <w:r>
              <w:t>(</w:t>
            </w:r>
            <w:r w:rsidRPr="00AE0151">
              <w:t>rather than individually</w:t>
            </w:r>
            <w:r>
              <w:t>)</w:t>
            </w:r>
            <w:r w:rsidRPr="00AE0151">
              <w:t xml:space="preserve"> with </w:t>
            </w:r>
            <w:r>
              <w:t>dairy product manufacturers to negotiate the terms and conditions of raw milk supply</w:t>
            </w:r>
            <w:r w:rsidRPr="00AE0151">
              <w:t xml:space="preserve"> </w:t>
            </w:r>
          </w:p>
        </w:tc>
      </w:tr>
      <w:tr w:rsidR="00CE60DD" w:rsidTr="006A56E4">
        <w:tc>
          <w:tcPr>
            <w:tcW w:w="2155" w:type="dxa"/>
          </w:tcPr>
          <w:p w:rsidR="00CE60DD" w:rsidRPr="00AE0151" w:rsidRDefault="00CE60DD" w:rsidP="006A56E4">
            <w:pPr>
              <w:pStyle w:val="BodyText"/>
              <w:spacing w:before="0" w:after="120"/>
              <w:jc w:val="left"/>
            </w:pPr>
            <w:r w:rsidRPr="00AE0151">
              <w:t xml:space="preserve">Branded milk </w:t>
            </w:r>
          </w:p>
        </w:tc>
        <w:tc>
          <w:tcPr>
            <w:tcW w:w="6742" w:type="dxa"/>
          </w:tcPr>
          <w:p w:rsidR="00CE60DD" w:rsidRPr="00AE0151" w:rsidRDefault="00CE60DD" w:rsidP="006A56E4">
            <w:pPr>
              <w:pStyle w:val="BodyText"/>
              <w:spacing w:before="0" w:after="120"/>
              <w:jc w:val="left"/>
            </w:pPr>
            <w:r w:rsidRPr="00AE0151">
              <w:t xml:space="preserve">Milk sold under the </w:t>
            </w:r>
            <w:r>
              <w:t>manufacturer’</w:t>
            </w:r>
            <w:r w:rsidRPr="00AE0151">
              <w:t xml:space="preserve">s brand name </w:t>
            </w:r>
          </w:p>
        </w:tc>
      </w:tr>
      <w:tr w:rsidR="00CE60DD" w:rsidTr="006A56E4">
        <w:tc>
          <w:tcPr>
            <w:tcW w:w="2155" w:type="dxa"/>
          </w:tcPr>
          <w:p w:rsidR="00CE60DD" w:rsidRPr="00AE0151" w:rsidRDefault="00CE60DD" w:rsidP="006A56E4">
            <w:pPr>
              <w:pStyle w:val="BodyText"/>
              <w:spacing w:before="0" w:after="120"/>
              <w:jc w:val="left"/>
            </w:pPr>
            <w:r>
              <w:t>Collective bargaining</w:t>
            </w:r>
          </w:p>
        </w:tc>
        <w:tc>
          <w:tcPr>
            <w:tcW w:w="6742" w:type="dxa"/>
          </w:tcPr>
          <w:p w:rsidR="00CE60DD" w:rsidRPr="00AE0151" w:rsidRDefault="00CE60DD" w:rsidP="006A56E4">
            <w:pPr>
              <w:pStyle w:val="BodyText"/>
              <w:spacing w:before="0" w:after="120"/>
              <w:jc w:val="left"/>
            </w:pPr>
            <w:r>
              <w:t>When two or more businesses negotiate a deal for the sale or purchase of products or services with a common customer or supplier</w:t>
            </w:r>
          </w:p>
        </w:tc>
      </w:tr>
      <w:tr w:rsidR="00CE60DD" w:rsidTr="006A56E4">
        <w:tc>
          <w:tcPr>
            <w:tcW w:w="2155" w:type="dxa"/>
          </w:tcPr>
          <w:p w:rsidR="00CE60DD" w:rsidRPr="00AE0151" w:rsidRDefault="00CE60DD" w:rsidP="006A56E4">
            <w:pPr>
              <w:pStyle w:val="BodyText"/>
              <w:spacing w:before="0" w:after="120"/>
              <w:jc w:val="left"/>
            </w:pPr>
            <w:r w:rsidRPr="00AE0151">
              <w:t>Co</w:t>
            </w:r>
            <w:r>
              <w:t>-</w:t>
            </w:r>
            <w:r w:rsidRPr="00AE0151">
              <w:t xml:space="preserve">operative </w:t>
            </w:r>
          </w:p>
        </w:tc>
        <w:tc>
          <w:tcPr>
            <w:tcW w:w="6742" w:type="dxa"/>
          </w:tcPr>
          <w:p w:rsidR="00CE60DD" w:rsidRPr="00AE0151" w:rsidRDefault="00CE60DD" w:rsidP="006A56E4">
            <w:pPr>
              <w:pStyle w:val="BodyText"/>
              <w:spacing w:before="0" w:after="120"/>
              <w:jc w:val="left"/>
            </w:pPr>
            <w:r>
              <w:t>Manufacturer jointly owned by a group of farmers</w:t>
            </w:r>
          </w:p>
        </w:tc>
      </w:tr>
      <w:tr w:rsidR="00CE60DD" w:rsidTr="006A56E4">
        <w:tc>
          <w:tcPr>
            <w:tcW w:w="2155" w:type="dxa"/>
          </w:tcPr>
          <w:p w:rsidR="00CE60DD" w:rsidRPr="00AE0151" w:rsidRDefault="00CE60DD" w:rsidP="006A56E4">
            <w:pPr>
              <w:pStyle w:val="BodyText"/>
              <w:spacing w:before="0" w:after="120"/>
              <w:jc w:val="left"/>
            </w:pPr>
            <w:r>
              <w:t>Dairy product manufacturers</w:t>
            </w:r>
          </w:p>
        </w:tc>
        <w:tc>
          <w:tcPr>
            <w:tcW w:w="6742" w:type="dxa"/>
          </w:tcPr>
          <w:p w:rsidR="00CE60DD" w:rsidRPr="00AE0151" w:rsidRDefault="00CE60DD" w:rsidP="006A56E4">
            <w:pPr>
              <w:pStyle w:val="BodyText"/>
              <w:spacing w:before="0" w:after="120"/>
              <w:jc w:val="left"/>
            </w:pPr>
            <w:r>
              <w:t>Entities that manufacture dairy products using raw milk (includes drinking milk processors)</w:t>
            </w:r>
          </w:p>
        </w:tc>
      </w:tr>
      <w:tr w:rsidR="00CE60DD" w:rsidTr="006A56E4">
        <w:tc>
          <w:tcPr>
            <w:tcW w:w="2155" w:type="dxa"/>
          </w:tcPr>
          <w:p w:rsidR="00CE60DD" w:rsidRPr="00AE0151" w:rsidRDefault="00CE60DD" w:rsidP="006A56E4">
            <w:pPr>
              <w:pStyle w:val="BodyText"/>
              <w:spacing w:before="0" w:after="120"/>
              <w:jc w:val="left"/>
            </w:pPr>
            <w:proofErr w:type="spellStart"/>
            <w:r w:rsidRPr="00AE0151">
              <w:t>Farmgate</w:t>
            </w:r>
            <w:proofErr w:type="spellEnd"/>
            <w:r w:rsidRPr="00AE0151">
              <w:t xml:space="preserve"> price </w:t>
            </w:r>
          </w:p>
        </w:tc>
        <w:tc>
          <w:tcPr>
            <w:tcW w:w="6742" w:type="dxa"/>
          </w:tcPr>
          <w:p w:rsidR="00CE60DD" w:rsidRPr="00AE0151" w:rsidRDefault="00CE60DD" w:rsidP="006A56E4">
            <w:pPr>
              <w:pStyle w:val="BodyText"/>
              <w:spacing w:before="0" w:after="120"/>
              <w:jc w:val="left"/>
            </w:pPr>
            <w:r w:rsidRPr="00AE0151">
              <w:t xml:space="preserve">Price paid by </w:t>
            </w:r>
            <w:r>
              <w:t>manufacturer</w:t>
            </w:r>
            <w:r w:rsidRPr="00AE0151">
              <w:t xml:space="preserve">s to </w:t>
            </w:r>
            <w:r>
              <w:t xml:space="preserve">dairy </w:t>
            </w:r>
            <w:r w:rsidRPr="00AE0151">
              <w:t>farmers</w:t>
            </w:r>
            <w:r>
              <w:t xml:space="preserve"> for raw milk</w:t>
            </w:r>
            <w:r w:rsidRPr="00AE0151">
              <w:t xml:space="preserve"> </w:t>
            </w:r>
          </w:p>
        </w:tc>
      </w:tr>
      <w:tr w:rsidR="00CE60DD" w:rsidTr="006A56E4">
        <w:tc>
          <w:tcPr>
            <w:tcW w:w="2155" w:type="dxa"/>
          </w:tcPr>
          <w:p w:rsidR="00CE60DD" w:rsidRDefault="00CE60DD" w:rsidP="006A56E4">
            <w:pPr>
              <w:pStyle w:val="BodyText"/>
              <w:spacing w:before="0" w:after="120"/>
              <w:jc w:val="left"/>
            </w:pPr>
            <w:r>
              <w:t>Manufactured dairy products</w:t>
            </w:r>
          </w:p>
        </w:tc>
        <w:tc>
          <w:tcPr>
            <w:tcW w:w="6742" w:type="dxa"/>
          </w:tcPr>
          <w:p w:rsidR="00CE60DD" w:rsidRPr="00AE0151" w:rsidRDefault="00CE60DD" w:rsidP="006A56E4">
            <w:pPr>
              <w:pStyle w:val="BodyText"/>
              <w:spacing w:before="0" w:after="120"/>
              <w:jc w:val="left"/>
            </w:pPr>
            <w:r>
              <w:t xml:space="preserve">Fresh and long-life drinking milk products and other dairy products such as butter, cheese and milk powder </w:t>
            </w:r>
          </w:p>
        </w:tc>
      </w:tr>
      <w:tr w:rsidR="00CE60DD" w:rsidTr="006A56E4">
        <w:tc>
          <w:tcPr>
            <w:tcW w:w="2155" w:type="dxa"/>
          </w:tcPr>
          <w:p w:rsidR="00CE60DD" w:rsidRPr="00AE0151" w:rsidRDefault="00CE60DD" w:rsidP="006A56E4">
            <w:pPr>
              <w:pStyle w:val="BodyText"/>
              <w:spacing w:before="0" w:after="120"/>
              <w:jc w:val="left"/>
            </w:pPr>
            <w:r>
              <w:t>Private label milk</w:t>
            </w:r>
          </w:p>
        </w:tc>
        <w:tc>
          <w:tcPr>
            <w:tcW w:w="6742" w:type="dxa"/>
          </w:tcPr>
          <w:p w:rsidR="00CE60DD" w:rsidRPr="00AE0151" w:rsidRDefault="00CE60DD" w:rsidP="006A56E4">
            <w:pPr>
              <w:pStyle w:val="BodyText"/>
              <w:spacing w:before="0" w:after="120"/>
              <w:jc w:val="left"/>
            </w:pPr>
            <w:r>
              <w:t>Drinking m</w:t>
            </w:r>
            <w:r w:rsidRPr="00AE0151">
              <w:t xml:space="preserve">ilk </w:t>
            </w:r>
            <w:r>
              <w:t xml:space="preserve">products </w:t>
            </w:r>
            <w:r w:rsidRPr="00AE0151">
              <w:t>sold in sup</w:t>
            </w:r>
            <w:r>
              <w:t>ermarkets under the supermarket’</w:t>
            </w:r>
            <w:r w:rsidRPr="00AE0151">
              <w:t xml:space="preserve">s brand name </w:t>
            </w:r>
            <w:r>
              <w:t>(also called generic or home brand milk)</w:t>
            </w:r>
          </w:p>
        </w:tc>
      </w:tr>
      <w:tr w:rsidR="00CE60DD" w:rsidTr="006A56E4">
        <w:tc>
          <w:tcPr>
            <w:tcW w:w="2155" w:type="dxa"/>
          </w:tcPr>
          <w:p w:rsidR="00CE60DD" w:rsidRPr="00AE0151" w:rsidRDefault="00CE60DD" w:rsidP="006A56E4">
            <w:pPr>
              <w:pStyle w:val="BodyText"/>
              <w:spacing w:before="0" w:after="120"/>
              <w:jc w:val="left"/>
            </w:pPr>
            <w:r>
              <w:t>Raw milk</w:t>
            </w:r>
          </w:p>
        </w:tc>
        <w:tc>
          <w:tcPr>
            <w:tcW w:w="6742" w:type="dxa"/>
          </w:tcPr>
          <w:p w:rsidR="00CE60DD" w:rsidRPr="005743F7" w:rsidRDefault="00CE60DD" w:rsidP="00A70AD2">
            <w:pPr>
              <w:pStyle w:val="BodyText"/>
              <w:spacing w:before="0" w:after="120"/>
              <w:jc w:val="left"/>
            </w:pPr>
            <w:r w:rsidRPr="005743F7">
              <w:t>Milk</w:t>
            </w:r>
            <w:r w:rsidR="00A70AD2">
              <w:t xml:space="preserve"> that has not been pasteurised</w:t>
            </w:r>
          </w:p>
        </w:tc>
      </w:tr>
    </w:tbl>
    <w:p w:rsidR="00B438CF" w:rsidRPr="0083746F" w:rsidRDefault="00B438CF" w:rsidP="0083746F">
      <w:pPr>
        <w:pStyle w:val="BodyText"/>
        <w:rPr>
          <w:rStyle w:val="CommentReference"/>
          <w:b w:val="0"/>
          <w:vanish w:val="0"/>
          <w:color w:val="auto"/>
          <w:sz w:val="24"/>
        </w:rPr>
      </w:pPr>
    </w:p>
    <w:sectPr w:rsidR="00B438CF" w:rsidRPr="0083746F"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6762" w:rsidRDefault="008C6762">
      <w:r>
        <w:separator/>
      </w:r>
    </w:p>
    <w:p w:rsidR="008C6762" w:rsidRDefault="008C6762"/>
    <w:p w:rsidR="008C6762" w:rsidRDefault="008C6762"/>
  </w:endnote>
  <w:endnote w:type="continuationSeparator" w:id="0">
    <w:p w:rsidR="008C6762" w:rsidRDefault="008C6762">
      <w:r>
        <w:continuationSeparator/>
      </w:r>
    </w:p>
    <w:p w:rsidR="008C6762" w:rsidRDefault="008C6762"/>
    <w:p w:rsidR="008C6762" w:rsidRDefault="008C67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6762" w:rsidTr="005F48ED">
      <w:trPr>
        <w:trHeight w:hRule="exact" w:val="567"/>
      </w:trPr>
      <w:tc>
        <w:tcPr>
          <w:tcW w:w="510" w:type="dxa"/>
        </w:tcPr>
        <w:p w:rsidR="008C6762" w:rsidRPr="00A24443" w:rsidRDefault="008C6762"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05D86">
            <w:rPr>
              <w:rStyle w:val="PageNumber"/>
              <w:caps w:val="0"/>
              <w:noProof/>
            </w:rPr>
            <w:t>iv</w:t>
          </w:r>
          <w:r w:rsidRPr="00A24443">
            <w:rPr>
              <w:rStyle w:val="PageNumber"/>
              <w:caps w:val="0"/>
            </w:rPr>
            <w:fldChar w:fldCharType="end"/>
          </w:r>
        </w:p>
      </w:tc>
      <w:tc>
        <w:tcPr>
          <w:tcW w:w="7767" w:type="dxa"/>
        </w:tcPr>
        <w:p w:rsidR="008C6762" w:rsidRPr="0013739A" w:rsidRDefault="008C6762" w:rsidP="00631DA4">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end"/>
          </w:r>
        </w:p>
      </w:tc>
      <w:tc>
        <w:tcPr>
          <w:tcW w:w="510" w:type="dxa"/>
        </w:tcPr>
        <w:p w:rsidR="008C6762" w:rsidRDefault="008C6762" w:rsidP="0019293B">
          <w:pPr>
            <w:pStyle w:val="Footer"/>
          </w:pPr>
        </w:p>
      </w:tc>
    </w:tr>
  </w:tbl>
  <w:p w:rsidR="008C6762" w:rsidRDefault="008C6762"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6762" w:rsidTr="005F48ED">
      <w:trPr>
        <w:trHeight w:hRule="exact" w:val="567"/>
      </w:trPr>
      <w:tc>
        <w:tcPr>
          <w:tcW w:w="510" w:type="dxa"/>
        </w:tcPr>
        <w:p w:rsidR="008C6762" w:rsidRDefault="008C6762">
          <w:pPr>
            <w:pStyle w:val="Footer"/>
            <w:ind w:right="360" w:firstLine="360"/>
          </w:pPr>
        </w:p>
      </w:tc>
      <w:tc>
        <w:tcPr>
          <w:tcW w:w="7767" w:type="dxa"/>
        </w:tcPr>
        <w:p w:rsidR="008C6762" w:rsidRPr="00160417" w:rsidRDefault="008C6762" w:rsidP="00160417">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D05D86" w:rsidRPr="00D05D86">
            <w:rPr>
              <w:bCs/>
              <w:noProof/>
              <w:lang w:val="en-US"/>
            </w:rPr>
            <w:t>Foreword</w:t>
          </w:r>
          <w:r w:rsidRPr="00160417">
            <w:rPr>
              <w:noProof/>
            </w:rPr>
            <w:fldChar w:fldCharType="end"/>
          </w:r>
        </w:p>
      </w:tc>
      <w:tc>
        <w:tcPr>
          <w:tcW w:w="510" w:type="dxa"/>
        </w:tcPr>
        <w:p w:rsidR="008C6762" w:rsidRPr="00634771" w:rsidRDefault="008C6762">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D05D86">
            <w:rPr>
              <w:rStyle w:val="PageNumber"/>
              <w:caps w:val="0"/>
              <w:noProof/>
            </w:rPr>
            <w:t>iii</w:t>
          </w:r>
          <w:r w:rsidRPr="00634771">
            <w:rPr>
              <w:rStyle w:val="PageNumber"/>
              <w:caps w:val="0"/>
            </w:rPr>
            <w:fldChar w:fldCharType="end"/>
          </w:r>
        </w:p>
      </w:tc>
    </w:tr>
  </w:tbl>
  <w:p w:rsidR="008C6762" w:rsidRDefault="008C6762">
    <w:pPr>
      <w:pStyle w:val="FooterEnd"/>
    </w:pPr>
  </w:p>
  <w:p w:rsidR="008C6762" w:rsidRDefault="008C676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6762" w:rsidTr="005F48ED">
      <w:trPr>
        <w:trHeight w:hRule="exact" w:val="567"/>
      </w:trPr>
      <w:tc>
        <w:tcPr>
          <w:tcW w:w="510" w:type="dxa"/>
        </w:tcPr>
        <w:p w:rsidR="008C6762" w:rsidRPr="00752FFF" w:rsidRDefault="008C6762"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D05D86">
            <w:rPr>
              <w:rStyle w:val="PageNumber"/>
              <w:caps w:val="0"/>
              <w:noProof/>
            </w:rPr>
            <w:t>iv</w:t>
          </w:r>
          <w:r w:rsidRPr="00752FFF">
            <w:rPr>
              <w:rStyle w:val="PageNumber"/>
              <w:caps w:val="0"/>
            </w:rPr>
            <w:fldChar w:fldCharType="end"/>
          </w:r>
        </w:p>
      </w:tc>
      <w:tc>
        <w:tcPr>
          <w:tcW w:w="7767" w:type="dxa"/>
        </w:tcPr>
        <w:p w:rsidR="008C6762" w:rsidRPr="0013739A" w:rsidRDefault="00A70AD2" w:rsidP="00A70AD2">
          <w:pPr>
            <w:pStyle w:val="Footer"/>
            <w:rPr>
              <w:rFonts w:cs="Arial"/>
            </w:rPr>
          </w:pPr>
          <w:r>
            <w:t>COSTS OF DOING BUSINESS: DAIRY PRODUCT MANUFACTURING</w:t>
          </w:r>
          <w:r w:rsidRPr="00BA5B14">
            <w:rPr>
              <w:rFonts w:cs="Arial"/>
            </w:rPr>
            <w:t xml:space="preserve"> </w:t>
          </w:r>
          <w:r w:rsidR="008C6762" w:rsidRPr="00BA5B14">
            <w:rPr>
              <w:rFonts w:cs="Arial"/>
            </w:rPr>
            <w:fldChar w:fldCharType="begin"/>
          </w:r>
          <w:r w:rsidR="008C6762">
            <w:rPr>
              <w:rFonts w:cs="Arial"/>
            </w:rPr>
            <w:instrText xml:space="preserve"> TITLE</w:instrText>
          </w:r>
          <w:r w:rsidR="008C6762" w:rsidRPr="00BA5B14">
            <w:rPr>
              <w:rFonts w:cs="Arial"/>
            </w:rPr>
            <w:instrText xml:space="preserve"> </w:instrText>
          </w:r>
          <w:r w:rsidR="008C6762" w:rsidRPr="00BA5B14">
            <w:rPr>
              <w:rFonts w:cs="Arial"/>
            </w:rPr>
            <w:fldChar w:fldCharType="end"/>
          </w:r>
        </w:p>
      </w:tc>
      <w:tc>
        <w:tcPr>
          <w:tcW w:w="510" w:type="dxa"/>
        </w:tcPr>
        <w:p w:rsidR="008C6762" w:rsidRDefault="008C6762" w:rsidP="0019293B">
          <w:pPr>
            <w:pStyle w:val="Footer"/>
          </w:pPr>
        </w:p>
      </w:tc>
    </w:tr>
  </w:tbl>
  <w:p w:rsidR="008C6762" w:rsidRDefault="008C6762" w:rsidP="0019293B">
    <w:pPr>
      <w:pStyle w:val="FooterEnd"/>
    </w:pPr>
  </w:p>
  <w:p w:rsidR="008C6762" w:rsidRDefault="008C676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C6762" w:rsidTr="005F48ED">
      <w:trPr>
        <w:trHeight w:hRule="exact" w:val="567"/>
      </w:trPr>
      <w:tc>
        <w:tcPr>
          <w:tcW w:w="510" w:type="dxa"/>
        </w:tcPr>
        <w:p w:rsidR="008C6762" w:rsidRDefault="008C6762">
          <w:pPr>
            <w:pStyle w:val="Footer"/>
            <w:ind w:right="360" w:firstLine="360"/>
          </w:pPr>
        </w:p>
      </w:tc>
      <w:tc>
        <w:tcPr>
          <w:tcW w:w="7767" w:type="dxa"/>
        </w:tcPr>
        <w:p w:rsidR="008C6762" w:rsidRPr="00752FFF" w:rsidRDefault="008C6762" w:rsidP="00752FFF">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D05D86" w:rsidRPr="00D05D86">
            <w:rPr>
              <w:bCs/>
              <w:noProof/>
              <w:lang w:val="en-US"/>
            </w:rPr>
            <w:t>Terms</w:t>
          </w:r>
          <w:r w:rsidR="00D05D86">
            <w:rPr>
              <w:noProof/>
            </w:rPr>
            <w:t xml:space="preserve"> of reference</w:t>
          </w:r>
          <w:r w:rsidRPr="00752FFF">
            <w:rPr>
              <w:noProof/>
            </w:rPr>
            <w:fldChar w:fldCharType="end"/>
          </w:r>
        </w:p>
      </w:tc>
      <w:tc>
        <w:tcPr>
          <w:tcW w:w="510" w:type="dxa"/>
        </w:tcPr>
        <w:p w:rsidR="008C6762" w:rsidRPr="00A24443" w:rsidRDefault="008C6762">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05D86">
            <w:rPr>
              <w:rStyle w:val="PageNumber"/>
              <w:caps w:val="0"/>
              <w:noProof/>
            </w:rPr>
            <w:t>v</w:t>
          </w:r>
          <w:r w:rsidRPr="00A24443">
            <w:rPr>
              <w:rStyle w:val="PageNumber"/>
              <w:caps w:val="0"/>
            </w:rPr>
            <w:fldChar w:fldCharType="end"/>
          </w:r>
        </w:p>
      </w:tc>
    </w:tr>
  </w:tbl>
  <w:p w:rsidR="008C6762" w:rsidRDefault="008C6762">
    <w:pPr>
      <w:pStyle w:val="FooterEnd"/>
    </w:pPr>
  </w:p>
  <w:p w:rsidR="008C6762" w:rsidRPr="00D01645" w:rsidRDefault="008C6762" w:rsidP="00D01645">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05D86">
            <w:rPr>
              <w:rStyle w:val="PageNumber"/>
              <w:caps w:val="0"/>
              <w:noProof/>
            </w:rPr>
            <w:t>vi</w:t>
          </w:r>
          <w:r w:rsidRPr="00A24443">
            <w:rPr>
              <w:rStyle w:val="PageNumber"/>
              <w:caps w:val="0"/>
            </w:rPr>
            <w:fldChar w:fldCharType="end"/>
          </w:r>
        </w:p>
      </w:tc>
      <w:tc>
        <w:tcPr>
          <w:tcW w:w="7767" w:type="dxa"/>
        </w:tcPr>
        <w:p w:rsidR="004D3F58" w:rsidRPr="0013739A" w:rsidRDefault="00A70AD2" w:rsidP="0013739A">
          <w:pPr>
            <w:pStyle w:val="Footer"/>
            <w:rPr>
              <w:rFonts w:cs="Arial"/>
            </w:rPr>
          </w:pPr>
          <w:r>
            <w:t>COSTS OF DOING BUSINESS: DAIRY PRODUCT MANUFACTURING</w:t>
          </w:r>
          <w:r w:rsidRPr="00BA5B14">
            <w:rPr>
              <w:rFonts w:cs="Arial"/>
            </w:rPr>
            <w:t xml:space="preserve"> </w:t>
          </w:r>
          <w:r w:rsidR="00C058AB" w:rsidRPr="00BA5B14">
            <w:rPr>
              <w:rFonts w:cs="Arial"/>
            </w:rPr>
            <w:fldChar w:fldCharType="begin"/>
          </w:r>
          <w:r w:rsidR="00C058AB">
            <w:rPr>
              <w:rFonts w:cs="Arial"/>
            </w:rPr>
            <w:instrText xml:space="preserve"> TITLE </w:instrText>
          </w:r>
          <w:r w:rsidR="00C058AB"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D05D86" w:rsidRPr="00D05D86">
            <w:rPr>
              <w:bCs/>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D05D86">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D05D86">
            <w:rPr>
              <w:rStyle w:val="PageNumber"/>
              <w:caps w:val="0"/>
              <w:noProof/>
            </w:rPr>
            <w:t>viii</w:t>
          </w:r>
          <w:r w:rsidRPr="007448F7">
            <w:rPr>
              <w:rStyle w:val="PageNumber"/>
              <w:caps w:val="0"/>
            </w:rPr>
            <w:fldChar w:fldCharType="end"/>
          </w:r>
        </w:p>
      </w:tc>
      <w:tc>
        <w:tcPr>
          <w:tcW w:w="7767" w:type="dxa"/>
        </w:tcPr>
        <w:p w:rsidR="007448F7" w:rsidRPr="0013739A" w:rsidRDefault="00A70AD2" w:rsidP="00271B0C">
          <w:pPr>
            <w:pStyle w:val="Footer"/>
            <w:rPr>
              <w:rFonts w:cs="Arial"/>
            </w:rPr>
          </w:pPr>
          <w:r>
            <w:t>COSTS OF DOING BUSINESS: DAIRY PRODUCT MANUFACTURING</w:t>
          </w:r>
          <w:r w:rsidRPr="00BA5B14">
            <w:rPr>
              <w:rFonts w:cs="Arial"/>
            </w:rPr>
            <w:t xml:space="preserve"> </w:t>
          </w:r>
          <w:r w:rsidR="00D61180" w:rsidRPr="00BA5B14">
            <w:rPr>
              <w:rFonts w:cs="Arial"/>
            </w:rPr>
            <w:fldChar w:fldCharType="begin"/>
          </w:r>
          <w:r w:rsidR="00D61180">
            <w:rPr>
              <w:rFonts w:cs="Arial"/>
            </w:rPr>
            <w:instrText xml:space="preserve"> TITLE </w:instrText>
          </w:r>
          <w:r w:rsidR="00D61180" w:rsidRPr="00BA5B14">
            <w:rPr>
              <w:rFonts w:cs="Arial"/>
            </w:rPr>
            <w:fldChar w:fldCharType="end"/>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D05D86" w:rsidRPr="00D05D86">
            <w:rPr>
              <w:bCs/>
              <w:noProof/>
              <w:lang w:val="en-US"/>
            </w:rPr>
            <w:t>Abbreviations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D05D86">
            <w:rPr>
              <w:rStyle w:val="PageNumber"/>
              <w:caps w:val="0"/>
              <w:noProof/>
            </w:rPr>
            <w:t>vii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6762" w:rsidRDefault="008C6762">
      <w:r>
        <w:separator/>
      </w:r>
    </w:p>
    <w:p w:rsidR="008C6762" w:rsidRDefault="008C6762"/>
    <w:p w:rsidR="008C6762" w:rsidRDefault="008C6762"/>
  </w:footnote>
  <w:footnote w:type="continuationSeparator" w:id="0">
    <w:p w:rsidR="008C6762" w:rsidRDefault="008C6762">
      <w:r>
        <w:continuationSeparator/>
      </w:r>
    </w:p>
    <w:p w:rsidR="008C6762" w:rsidRDefault="008C6762"/>
    <w:p w:rsidR="008C6762" w:rsidRDefault="008C676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C6762">
      <w:tc>
        <w:tcPr>
          <w:tcW w:w="2155" w:type="dxa"/>
          <w:tcBorders>
            <w:top w:val="single" w:sz="24" w:space="0" w:color="auto"/>
          </w:tcBorders>
        </w:tcPr>
        <w:p w:rsidR="008C6762" w:rsidRDefault="008C6762">
          <w:pPr>
            <w:pStyle w:val="HeaderEven"/>
          </w:pPr>
        </w:p>
      </w:tc>
      <w:tc>
        <w:tcPr>
          <w:tcW w:w="6634" w:type="dxa"/>
          <w:tcBorders>
            <w:top w:val="single" w:sz="6" w:space="0" w:color="auto"/>
          </w:tcBorders>
        </w:tcPr>
        <w:p w:rsidR="008C6762" w:rsidRDefault="008C6762">
          <w:pPr>
            <w:pStyle w:val="HeaderEven"/>
          </w:pPr>
        </w:p>
      </w:tc>
    </w:tr>
  </w:tbl>
  <w:p w:rsidR="008C6762" w:rsidRDefault="008C676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C6762">
      <w:tc>
        <w:tcPr>
          <w:tcW w:w="6634" w:type="dxa"/>
          <w:tcBorders>
            <w:top w:val="single" w:sz="6" w:space="0" w:color="auto"/>
          </w:tcBorders>
        </w:tcPr>
        <w:p w:rsidR="008C6762" w:rsidRDefault="008C6762">
          <w:pPr>
            <w:pStyle w:val="HeaderOdd"/>
          </w:pPr>
        </w:p>
      </w:tc>
      <w:tc>
        <w:tcPr>
          <w:tcW w:w="2155" w:type="dxa"/>
          <w:tcBorders>
            <w:top w:val="single" w:sz="24" w:space="0" w:color="auto"/>
          </w:tcBorders>
        </w:tcPr>
        <w:p w:rsidR="008C6762" w:rsidRDefault="008C6762">
          <w:pPr>
            <w:pStyle w:val="HeaderOdd"/>
          </w:pPr>
        </w:p>
      </w:tc>
    </w:tr>
  </w:tbl>
  <w:p w:rsidR="008C6762" w:rsidRDefault="008C6762">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8C6762">
      <w:tc>
        <w:tcPr>
          <w:tcW w:w="2155" w:type="dxa"/>
          <w:tcBorders>
            <w:top w:val="single" w:sz="24" w:space="0" w:color="auto"/>
          </w:tcBorders>
        </w:tcPr>
        <w:p w:rsidR="008C6762" w:rsidRDefault="008C6762">
          <w:pPr>
            <w:pStyle w:val="Header"/>
          </w:pPr>
        </w:p>
      </w:tc>
      <w:tc>
        <w:tcPr>
          <w:tcW w:w="6634" w:type="dxa"/>
          <w:tcBorders>
            <w:top w:val="single" w:sz="6" w:space="0" w:color="auto"/>
          </w:tcBorders>
        </w:tcPr>
        <w:p w:rsidR="008C6762" w:rsidRDefault="008C6762">
          <w:pPr>
            <w:pStyle w:val="Header"/>
          </w:pPr>
        </w:p>
      </w:tc>
    </w:tr>
  </w:tbl>
  <w:p w:rsidR="008C6762" w:rsidRDefault="008C676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C6762">
      <w:tc>
        <w:tcPr>
          <w:tcW w:w="6634" w:type="dxa"/>
          <w:tcBorders>
            <w:top w:val="single" w:sz="6" w:space="0" w:color="auto"/>
          </w:tcBorders>
        </w:tcPr>
        <w:p w:rsidR="008C6762" w:rsidRDefault="008C6762" w:rsidP="00E669E2">
          <w:pPr>
            <w:pStyle w:val="HeaderOdd"/>
          </w:pPr>
        </w:p>
      </w:tc>
      <w:tc>
        <w:tcPr>
          <w:tcW w:w="2155" w:type="dxa"/>
          <w:tcBorders>
            <w:top w:val="single" w:sz="24" w:space="0" w:color="auto"/>
          </w:tcBorders>
        </w:tcPr>
        <w:p w:rsidR="008C6762" w:rsidRDefault="008C6762" w:rsidP="00E669E2">
          <w:pPr>
            <w:pStyle w:val="HeaderOdd"/>
          </w:pPr>
        </w:p>
      </w:tc>
    </w:tr>
  </w:tbl>
  <w:p w:rsidR="008C6762" w:rsidRDefault="008C6762" w:rsidP="00E669E2">
    <w:pPr>
      <w:pStyle w:val="HeaderEnd"/>
    </w:pPr>
  </w:p>
  <w:p w:rsidR="008C6762" w:rsidRPr="00D01645" w:rsidRDefault="008C6762" w:rsidP="00D01645">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4417976"/>
    <w:multiLevelType w:val="multilevel"/>
    <w:tmpl w:val="2B6C5450"/>
    <w:name w:val="StandardNumberedList"/>
    <w:lvl w:ilvl="0">
      <w:start w:val="1"/>
      <w:numFmt w:val="decimal"/>
      <w:pStyle w:val="OutlineNumbered1"/>
      <w:lvlText w:val="%1."/>
      <w:lvlJc w:val="left"/>
      <w:pPr>
        <w:tabs>
          <w:tab w:val="num" w:pos="520"/>
        </w:tabs>
        <w:ind w:left="520" w:hanging="520"/>
      </w:pPr>
      <w:rPr>
        <w:rFonts w:cs="Times New Roman"/>
      </w:rPr>
    </w:lvl>
    <w:lvl w:ilvl="1">
      <w:start w:val="1"/>
      <w:numFmt w:val="decimal"/>
      <w:pStyle w:val="OutlineNumbered2"/>
      <w:lvlText w:val="%1.%2."/>
      <w:lvlJc w:val="left"/>
      <w:pPr>
        <w:tabs>
          <w:tab w:val="num" w:pos="1040"/>
        </w:tabs>
        <w:ind w:left="1040" w:hanging="520"/>
      </w:pPr>
      <w:rPr>
        <w:rFonts w:cs="Times New Roman"/>
      </w:rPr>
    </w:lvl>
    <w:lvl w:ilvl="2">
      <w:start w:val="1"/>
      <w:numFmt w:val="decimal"/>
      <w:pStyle w:val="OutlineNumbered3"/>
      <w:lvlText w:val="%1.%2.%3."/>
      <w:lvlJc w:val="left"/>
      <w:pPr>
        <w:tabs>
          <w:tab w:val="num" w:pos="1560"/>
        </w:tabs>
        <w:ind w:left="1560" w:hanging="52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39D186E"/>
    <w:multiLevelType w:val="hybridMultilevel"/>
    <w:tmpl w:val="EFFE75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4"/>
  </w:num>
  <w:num w:numId="3">
    <w:abstractNumId w:val="8"/>
  </w:num>
  <w:num w:numId="4">
    <w:abstractNumId w:val="1"/>
  </w:num>
  <w:num w:numId="5">
    <w:abstractNumId w:val="14"/>
  </w:num>
  <w:num w:numId="6">
    <w:abstractNumId w:val="13"/>
  </w:num>
  <w:num w:numId="7">
    <w:abstractNumId w:val="2"/>
  </w:num>
  <w:num w:numId="8">
    <w:abstractNumId w:val="7"/>
  </w:num>
  <w:num w:numId="9">
    <w:abstractNumId w:val="16"/>
  </w:num>
  <w:num w:numId="10">
    <w:abstractNumId w:val="10"/>
  </w:num>
  <w:num w:numId="11">
    <w:abstractNumId w:val="9"/>
  </w:num>
  <w:num w:numId="12">
    <w:abstractNumId w:val="0"/>
  </w:num>
  <w:num w:numId="13">
    <w:abstractNumId w:val="3"/>
  </w:num>
  <w:num w:numId="14">
    <w:abstractNumId w:val="12"/>
  </w:num>
  <w:num w:numId="15">
    <w:abstractNumId w:val="17"/>
  </w:num>
  <w:num w:numId="16">
    <w:abstractNumId w:val="11"/>
  </w:num>
  <w:num w:numId="17">
    <w:abstractNumId w:val="6"/>
  </w:num>
  <w:num w:numId="1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762"/>
    <w:rsid w:val="00017AFC"/>
    <w:rsid w:val="00025878"/>
    <w:rsid w:val="00026B38"/>
    <w:rsid w:val="000502D3"/>
    <w:rsid w:val="00052CB2"/>
    <w:rsid w:val="000609FF"/>
    <w:rsid w:val="000623BF"/>
    <w:rsid w:val="00095EEA"/>
    <w:rsid w:val="00097C15"/>
    <w:rsid w:val="000A0A0E"/>
    <w:rsid w:val="000A5E12"/>
    <w:rsid w:val="000B416E"/>
    <w:rsid w:val="000B66C8"/>
    <w:rsid w:val="000D6981"/>
    <w:rsid w:val="000F185F"/>
    <w:rsid w:val="000F2F5F"/>
    <w:rsid w:val="00106041"/>
    <w:rsid w:val="0010611E"/>
    <w:rsid w:val="00122FE9"/>
    <w:rsid w:val="00131572"/>
    <w:rsid w:val="00131D4F"/>
    <w:rsid w:val="0013399B"/>
    <w:rsid w:val="00180515"/>
    <w:rsid w:val="00181F4B"/>
    <w:rsid w:val="00190919"/>
    <w:rsid w:val="00196FB3"/>
    <w:rsid w:val="001A4B81"/>
    <w:rsid w:val="001A5071"/>
    <w:rsid w:val="001B4E73"/>
    <w:rsid w:val="001B7F1E"/>
    <w:rsid w:val="001D4B1F"/>
    <w:rsid w:val="001D6629"/>
    <w:rsid w:val="001E09F6"/>
    <w:rsid w:val="001E3390"/>
    <w:rsid w:val="001F2270"/>
    <w:rsid w:val="00203B40"/>
    <w:rsid w:val="00205A82"/>
    <w:rsid w:val="00211BEE"/>
    <w:rsid w:val="002179C6"/>
    <w:rsid w:val="00261607"/>
    <w:rsid w:val="00261627"/>
    <w:rsid w:val="00263DD1"/>
    <w:rsid w:val="00264D3B"/>
    <w:rsid w:val="00265685"/>
    <w:rsid w:val="00271B0C"/>
    <w:rsid w:val="00281D5F"/>
    <w:rsid w:val="002923AD"/>
    <w:rsid w:val="00296592"/>
    <w:rsid w:val="002A0A4B"/>
    <w:rsid w:val="002A499E"/>
    <w:rsid w:val="002B636E"/>
    <w:rsid w:val="002B64D6"/>
    <w:rsid w:val="002C12F5"/>
    <w:rsid w:val="002C4D4C"/>
    <w:rsid w:val="002D6FCE"/>
    <w:rsid w:val="00334366"/>
    <w:rsid w:val="00337ED1"/>
    <w:rsid w:val="00340511"/>
    <w:rsid w:val="00343EAE"/>
    <w:rsid w:val="003840DC"/>
    <w:rsid w:val="0038647D"/>
    <w:rsid w:val="00393A49"/>
    <w:rsid w:val="003B41E0"/>
    <w:rsid w:val="003C3D73"/>
    <w:rsid w:val="003D624D"/>
    <w:rsid w:val="003E0B66"/>
    <w:rsid w:val="003E7802"/>
    <w:rsid w:val="003F2996"/>
    <w:rsid w:val="0042007A"/>
    <w:rsid w:val="00433C81"/>
    <w:rsid w:val="00446D6B"/>
    <w:rsid w:val="00457B3F"/>
    <w:rsid w:val="00463022"/>
    <w:rsid w:val="00481CF0"/>
    <w:rsid w:val="00492193"/>
    <w:rsid w:val="004B492A"/>
    <w:rsid w:val="004C0B0C"/>
    <w:rsid w:val="004D3F58"/>
    <w:rsid w:val="004E52E2"/>
    <w:rsid w:val="004E6BB4"/>
    <w:rsid w:val="004E7D3C"/>
    <w:rsid w:val="00515D43"/>
    <w:rsid w:val="0052150E"/>
    <w:rsid w:val="0052544D"/>
    <w:rsid w:val="00526B19"/>
    <w:rsid w:val="00531ED1"/>
    <w:rsid w:val="00551FB8"/>
    <w:rsid w:val="005537F6"/>
    <w:rsid w:val="00560F43"/>
    <w:rsid w:val="005654D0"/>
    <w:rsid w:val="00585B3F"/>
    <w:rsid w:val="005B17AB"/>
    <w:rsid w:val="005C68FE"/>
    <w:rsid w:val="005F5D88"/>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C2985"/>
    <w:rsid w:val="006D4CAA"/>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3746F"/>
    <w:rsid w:val="0084355E"/>
    <w:rsid w:val="008453AC"/>
    <w:rsid w:val="00855708"/>
    <w:rsid w:val="00860D09"/>
    <w:rsid w:val="00862044"/>
    <w:rsid w:val="00880BF7"/>
    <w:rsid w:val="0089269F"/>
    <w:rsid w:val="008A2133"/>
    <w:rsid w:val="008A3857"/>
    <w:rsid w:val="008B2205"/>
    <w:rsid w:val="008C305F"/>
    <w:rsid w:val="008C3AD2"/>
    <w:rsid w:val="008C6762"/>
    <w:rsid w:val="008C7C3D"/>
    <w:rsid w:val="008D6F66"/>
    <w:rsid w:val="008E1BEA"/>
    <w:rsid w:val="008E242D"/>
    <w:rsid w:val="008E43D2"/>
    <w:rsid w:val="008E5248"/>
    <w:rsid w:val="008F04C9"/>
    <w:rsid w:val="008F7C50"/>
    <w:rsid w:val="008F7DB7"/>
    <w:rsid w:val="009064D3"/>
    <w:rsid w:val="00915300"/>
    <w:rsid w:val="00924368"/>
    <w:rsid w:val="00933B0C"/>
    <w:rsid w:val="00935676"/>
    <w:rsid w:val="00947FD5"/>
    <w:rsid w:val="009636C8"/>
    <w:rsid w:val="0096607F"/>
    <w:rsid w:val="0098401D"/>
    <w:rsid w:val="009A789F"/>
    <w:rsid w:val="009B12EF"/>
    <w:rsid w:val="009B48F7"/>
    <w:rsid w:val="009B6185"/>
    <w:rsid w:val="009C6C6D"/>
    <w:rsid w:val="009E1E78"/>
    <w:rsid w:val="00A00A0C"/>
    <w:rsid w:val="00A1597D"/>
    <w:rsid w:val="00A46989"/>
    <w:rsid w:val="00A469AA"/>
    <w:rsid w:val="00A70AD2"/>
    <w:rsid w:val="00A71CE9"/>
    <w:rsid w:val="00A72A19"/>
    <w:rsid w:val="00A75A30"/>
    <w:rsid w:val="00A93C82"/>
    <w:rsid w:val="00AB2A48"/>
    <w:rsid w:val="00AC3236"/>
    <w:rsid w:val="00AD4874"/>
    <w:rsid w:val="00AE1F8A"/>
    <w:rsid w:val="00AE35EF"/>
    <w:rsid w:val="00B036B2"/>
    <w:rsid w:val="00B04D19"/>
    <w:rsid w:val="00B153C3"/>
    <w:rsid w:val="00B22087"/>
    <w:rsid w:val="00B438CF"/>
    <w:rsid w:val="00B722F2"/>
    <w:rsid w:val="00B80355"/>
    <w:rsid w:val="00B90958"/>
    <w:rsid w:val="00B95339"/>
    <w:rsid w:val="00BA0B81"/>
    <w:rsid w:val="00BB334E"/>
    <w:rsid w:val="00BB5DCF"/>
    <w:rsid w:val="00BC2476"/>
    <w:rsid w:val="00BF59EA"/>
    <w:rsid w:val="00BF79CD"/>
    <w:rsid w:val="00C058AB"/>
    <w:rsid w:val="00C0721B"/>
    <w:rsid w:val="00C229A2"/>
    <w:rsid w:val="00C34C8C"/>
    <w:rsid w:val="00C50792"/>
    <w:rsid w:val="00C51371"/>
    <w:rsid w:val="00C55A45"/>
    <w:rsid w:val="00C81C16"/>
    <w:rsid w:val="00C904D9"/>
    <w:rsid w:val="00C94C06"/>
    <w:rsid w:val="00CA48BF"/>
    <w:rsid w:val="00CB3ACC"/>
    <w:rsid w:val="00CB4745"/>
    <w:rsid w:val="00CD2163"/>
    <w:rsid w:val="00CD4FE7"/>
    <w:rsid w:val="00CD5E6B"/>
    <w:rsid w:val="00CE4FBC"/>
    <w:rsid w:val="00CE5D96"/>
    <w:rsid w:val="00CE60DD"/>
    <w:rsid w:val="00CE7344"/>
    <w:rsid w:val="00CF26EE"/>
    <w:rsid w:val="00D05D86"/>
    <w:rsid w:val="00D310F0"/>
    <w:rsid w:val="00D37AC2"/>
    <w:rsid w:val="00D500A9"/>
    <w:rsid w:val="00D51EFE"/>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38C1"/>
    <w:rsid w:val="00EC628B"/>
    <w:rsid w:val="00ED0F61"/>
    <w:rsid w:val="00EE3F6D"/>
    <w:rsid w:val="00EE73E1"/>
    <w:rsid w:val="00F12107"/>
    <w:rsid w:val="00F13165"/>
    <w:rsid w:val="00F4234E"/>
    <w:rsid w:val="00F61429"/>
    <w:rsid w:val="00F72206"/>
    <w:rsid w:val="00F7477E"/>
    <w:rsid w:val="00F85393"/>
    <w:rsid w:val="00FA4A24"/>
    <w:rsid w:val="00FC41B4"/>
    <w:rsid w:val="00FC5A6B"/>
    <w:rsid w:val="00FD4728"/>
    <w:rsid w:val="00FD741A"/>
    <w:rsid w:val="00FF6589"/>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uiPriority w:val="39"/>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iPriority w:val="99"/>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8C6762"/>
    <w:rPr>
      <w:kern w:val="28"/>
      <w:sz w:val="52"/>
      <w:lang w:eastAsia="en-US"/>
    </w:rPr>
  </w:style>
  <w:style w:type="table" w:styleId="TableGrid">
    <w:name w:val="Table Grid"/>
    <w:basedOn w:val="TableNormal"/>
    <w:rsid w:val="008C6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Numbered1">
    <w:name w:val="Outline Numbered 1"/>
    <w:basedOn w:val="Normal"/>
    <w:link w:val="OutlineNumbered1Char"/>
    <w:rsid w:val="008C6762"/>
    <w:pPr>
      <w:numPr>
        <w:numId w:val="17"/>
      </w:numPr>
      <w:spacing w:after="240"/>
    </w:pPr>
    <w:rPr>
      <w:rFonts w:ascii="Calibri" w:eastAsia="Calibri" w:hAnsi="Calibri"/>
      <w:sz w:val="22"/>
      <w:szCs w:val="22"/>
    </w:rPr>
  </w:style>
  <w:style w:type="character" w:customStyle="1" w:styleId="OutlineNumbered1Char">
    <w:name w:val="Outline Numbered 1 Char"/>
    <w:basedOn w:val="DefaultParagraphFont"/>
    <w:link w:val="OutlineNumbered1"/>
    <w:locked/>
    <w:rsid w:val="008C6762"/>
    <w:rPr>
      <w:rFonts w:ascii="Calibri" w:eastAsia="Calibri" w:hAnsi="Calibri"/>
      <w:sz w:val="22"/>
      <w:szCs w:val="22"/>
      <w:lang w:eastAsia="en-US"/>
    </w:rPr>
  </w:style>
  <w:style w:type="paragraph" w:customStyle="1" w:styleId="OutlineNumbered2">
    <w:name w:val="Outline Numbered 2"/>
    <w:basedOn w:val="Normal"/>
    <w:uiPriority w:val="99"/>
    <w:rsid w:val="008C6762"/>
    <w:pPr>
      <w:numPr>
        <w:ilvl w:val="1"/>
        <w:numId w:val="17"/>
      </w:numPr>
      <w:spacing w:after="240"/>
    </w:pPr>
    <w:rPr>
      <w:rFonts w:ascii="Calibri" w:eastAsia="Calibri" w:hAnsi="Calibri"/>
      <w:sz w:val="22"/>
      <w:szCs w:val="22"/>
    </w:rPr>
  </w:style>
  <w:style w:type="paragraph" w:customStyle="1" w:styleId="OutlineNumbered3">
    <w:name w:val="Outline Numbered 3"/>
    <w:basedOn w:val="Normal"/>
    <w:uiPriority w:val="99"/>
    <w:rsid w:val="008C6762"/>
    <w:pPr>
      <w:numPr>
        <w:ilvl w:val="2"/>
        <w:numId w:val="17"/>
      </w:numPr>
      <w:spacing w:after="240"/>
    </w:pPr>
    <w:rPr>
      <w:rFonts w:ascii="Calibri" w:eastAsia="Calibri" w:hAnsi="Calibri"/>
      <w:sz w:val="22"/>
      <w:szCs w:val="22"/>
    </w:rPr>
  </w:style>
  <w:style w:type="paragraph" w:styleId="NormalWeb">
    <w:name w:val="Normal (Web)"/>
    <w:basedOn w:val="Normal"/>
    <w:uiPriority w:val="99"/>
    <w:rsid w:val="008C6762"/>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8C676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Body Text" w:qFormat="1"/>
    <w:lsdException w:name="Subtitle" w:qFormat="1"/>
    <w:lsdException w:name="Hyperlink" w:uiPriority="99"/>
    <w:lsdException w:name="Strong" w:qFormat="1"/>
    <w:lsdException w:name="Emphasis"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uiPriority w:val="39"/>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iPriority w:val="99"/>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8C6762"/>
    <w:rPr>
      <w:kern w:val="28"/>
      <w:sz w:val="52"/>
      <w:lang w:eastAsia="en-US"/>
    </w:rPr>
  </w:style>
  <w:style w:type="table" w:styleId="TableGrid">
    <w:name w:val="Table Grid"/>
    <w:basedOn w:val="TableNormal"/>
    <w:rsid w:val="008C67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Numbered1">
    <w:name w:val="Outline Numbered 1"/>
    <w:basedOn w:val="Normal"/>
    <w:link w:val="OutlineNumbered1Char"/>
    <w:rsid w:val="008C6762"/>
    <w:pPr>
      <w:numPr>
        <w:numId w:val="17"/>
      </w:numPr>
      <w:spacing w:after="240"/>
    </w:pPr>
    <w:rPr>
      <w:rFonts w:ascii="Calibri" w:eastAsia="Calibri" w:hAnsi="Calibri"/>
      <w:sz w:val="22"/>
      <w:szCs w:val="22"/>
    </w:rPr>
  </w:style>
  <w:style w:type="character" w:customStyle="1" w:styleId="OutlineNumbered1Char">
    <w:name w:val="Outline Numbered 1 Char"/>
    <w:basedOn w:val="DefaultParagraphFont"/>
    <w:link w:val="OutlineNumbered1"/>
    <w:locked/>
    <w:rsid w:val="008C6762"/>
    <w:rPr>
      <w:rFonts w:ascii="Calibri" w:eastAsia="Calibri" w:hAnsi="Calibri"/>
      <w:sz w:val="22"/>
      <w:szCs w:val="22"/>
      <w:lang w:eastAsia="en-US"/>
    </w:rPr>
  </w:style>
  <w:style w:type="paragraph" w:customStyle="1" w:styleId="OutlineNumbered2">
    <w:name w:val="Outline Numbered 2"/>
    <w:basedOn w:val="Normal"/>
    <w:uiPriority w:val="99"/>
    <w:rsid w:val="008C6762"/>
    <w:pPr>
      <w:numPr>
        <w:ilvl w:val="1"/>
        <w:numId w:val="17"/>
      </w:numPr>
      <w:spacing w:after="240"/>
    </w:pPr>
    <w:rPr>
      <w:rFonts w:ascii="Calibri" w:eastAsia="Calibri" w:hAnsi="Calibri"/>
      <w:sz w:val="22"/>
      <w:szCs w:val="22"/>
    </w:rPr>
  </w:style>
  <w:style w:type="paragraph" w:customStyle="1" w:styleId="OutlineNumbered3">
    <w:name w:val="Outline Numbered 3"/>
    <w:basedOn w:val="Normal"/>
    <w:uiPriority w:val="99"/>
    <w:rsid w:val="008C6762"/>
    <w:pPr>
      <w:numPr>
        <w:ilvl w:val="2"/>
        <w:numId w:val="17"/>
      </w:numPr>
      <w:spacing w:after="240"/>
    </w:pPr>
    <w:rPr>
      <w:rFonts w:ascii="Calibri" w:eastAsia="Calibri" w:hAnsi="Calibri"/>
      <w:sz w:val="22"/>
      <w:szCs w:val="22"/>
    </w:rPr>
  </w:style>
  <w:style w:type="paragraph" w:styleId="NormalWeb">
    <w:name w:val="Normal (Web)"/>
    <w:basedOn w:val="Normal"/>
    <w:uiPriority w:val="99"/>
    <w:rsid w:val="008C6762"/>
    <w:pPr>
      <w:spacing w:before="100" w:beforeAutospacing="1" w:after="225"/>
    </w:pPr>
    <w:rPr>
      <w:rFonts w:ascii="Verdana" w:hAnsi="Verdana"/>
      <w:color w:val="000000"/>
      <w:sz w:val="24"/>
      <w:szCs w:val="24"/>
      <w:lang w:eastAsia="en-AU"/>
    </w:rPr>
  </w:style>
  <w:style w:type="character" w:styleId="HTMLCite">
    <w:name w:val="HTML Cite"/>
    <w:basedOn w:val="DefaultParagraphFont"/>
    <w:uiPriority w:val="99"/>
    <w:unhideWhenUsed/>
    <w:rsid w:val="008C67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46291453">
      <w:bodyDiv w:val="1"/>
      <w:marLeft w:val="0"/>
      <w:marRight w:val="0"/>
      <w:marTop w:val="0"/>
      <w:marBottom w:val="0"/>
      <w:divBdr>
        <w:top w:val="none" w:sz="0" w:space="0" w:color="auto"/>
        <w:left w:val="none" w:sz="0" w:space="0" w:color="auto"/>
        <w:bottom w:val="none" w:sz="0" w:space="0" w:color="auto"/>
        <w:right w:val="none" w:sz="0" w:space="0" w:color="auto"/>
      </w:divBdr>
    </w:div>
    <w:div w:id="190726109">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799690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footer" Target="footer8.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3FE772F-AEA4-440B-ADBD-618FD62D2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1330</Words>
  <Characters>7583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2014-09-30T01:02:00Z</dcterms:created>
  <dcterms:modified xsi:type="dcterms:W3CDTF">2014-09-30T01:02:00Z</dcterms:modified>
</cp:coreProperties>
</file>