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86F" w:rsidRDefault="00353231" w:rsidP="00FB0DB1">
      <w:pPr>
        <w:rPr>
          <w:rFonts w:ascii="Arial" w:hAnsi="Arial" w:cs="Arial"/>
          <w:sz w:val="21"/>
          <w:szCs w:val="21"/>
        </w:rPr>
      </w:pPr>
      <w:bookmarkStart w:id="0" w:name="_GoBack"/>
      <w:bookmarkEnd w:id="0"/>
      <w:r>
        <w:rPr>
          <w:rFonts w:ascii="Arial" w:hAnsi="Arial" w:cs="Arial"/>
          <w:sz w:val="21"/>
          <w:szCs w:val="21"/>
        </w:rPr>
        <w:t>Costs of dairy product manufacturing study</w:t>
      </w:r>
    </w:p>
    <w:p w:rsidR="00353231" w:rsidRDefault="00353231" w:rsidP="00FB0DB1">
      <w:pPr>
        <w:rPr>
          <w:rFonts w:ascii="Arial" w:hAnsi="Arial" w:cs="Arial"/>
          <w:sz w:val="21"/>
          <w:szCs w:val="21"/>
        </w:rPr>
      </w:pPr>
      <w:r>
        <w:rPr>
          <w:rFonts w:ascii="Arial" w:hAnsi="Arial" w:cs="Arial"/>
          <w:sz w:val="21"/>
          <w:szCs w:val="21"/>
        </w:rPr>
        <w:t>Productivity Commission</w:t>
      </w:r>
    </w:p>
    <w:p w:rsidR="00353231" w:rsidRDefault="00353231" w:rsidP="00FB0DB1">
      <w:pPr>
        <w:rPr>
          <w:rFonts w:ascii="Arial" w:hAnsi="Arial" w:cs="Arial"/>
          <w:sz w:val="21"/>
          <w:szCs w:val="21"/>
        </w:rPr>
      </w:pPr>
      <w:r>
        <w:rPr>
          <w:rFonts w:ascii="Arial" w:hAnsi="Arial" w:cs="Arial"/>
          <w:sz w:val="21"/>
          <w:szCs w:val="21"/>
        </w:rPr>
        <w:t>Locked Bag 2</w:t>
      </w:r>
    </w:p>
    <w:p w:rsidR="00353231" w:rsidRDefault="00353231" w:rsidP="00FB0DB1">
      <w:pPr>
        <w:rPr>
          <w:rFonts w:ascii="Arial" w:hAnsi="Arial" w:cs="Arial"/>
          <w:sz w:val="21"/>
          <w:szCs w:val="21"/>
        </w:rPr>
      </w:pPr>
      <w:r>
        <w:rPr>
          <w:rFonts w:ascii="Arial" w:hAnsi="Arial" w:cs="Arial"/>
          <w:sz w:val="21"/>
          <w:szCs w:val="21"/>
        </w:rPr>
        <w:t>Collins Street East</w:t>
      </w:r>
    </w:p>
    <w:p w:rsidR="00353231" w:rsidRPr="00604A5B" w:rsidRDefault="00353231" w:rsidP="00FB0DB1">
      <w:pPr>
        <w:rPr>
          <w:rFonts w:ascii="Arial" w:hAnsi="Arial" w:cs="Arial"/>
          <w:sz w:val="21"/>
          <w:szCs w:val="21"/>
        </w:rPr>
      </w:pPr>
      <w:r>
        <w:rPr>
          <w:rFonts w:ascii="Arial" w:hAnsi="Arial" w:cs="Arial"/>
          <w:sz w:val="21"/>
          <w:szCs w:val="21"/>
        </w:rPr>
        <w:t>MELBOURNE  VIC  8003</w:t>
      </w:r>
    </w:p>
    <w:p w:rsidR="00FB0DB1" w:rsidRPr="00604A5B" w:rsidRDefault="00FB0DB1" w:rsidP="00C561FE">
      <w:pPr>
        <w:pStyle w:val="BodyText2"/>
        <w:spacing w:after="0" w:line="240" w:lineRule="auto"/>
        <w:rPr>
          <w:rFonts w:ascii="Arial" w:hAnsi="Arial" w:cs="Arial"/>
          <w:sz w:val="21"/>
          <w:szCs w:val="21"/>
        </w:rPr>
      </w:pPr>
    </w:p>
    <w:p w:rsidR="00FB0DB1" w:rsidRPr="00604A5B" w:rsidRDefault="00EE030A" w:rsidP="00C561FE">
      <w:pPr>
        <w:rPr>
          <w:rFonts w:ascii="Arial" w:hAnsi="Arial" w:cs="Arial"/>
          <w:sz w:val="21"/>
          <w:szCs w:val="21"/>
        </w:rPr>
      </w:pPr>
      <w:r w:rsidRPr="00604A5B">
        <w:rPr>
          <w:rFonts w:ascii="Arial" w:hAnsi="Arial" w:cs="Arial"/>
          <w:sz w:val="21"/>
          <w:szCs w:val="21"/>
        </w:rPr>
        <w:t>Email:</w:t>
      </w:r>
      <w:r w:rsidRPr="00604A5B">
        <w:rPr>
          <w:rFonts w:ascii="Arial" w:hAnsi="Arial" w:cs="Arial"/>
          <w:sz w:val="21"/>
          <w:szCs w:val="21"/>
        </w:rPr>
        <w:tab/>
      </w:r>
      <w:hyperlink r:id="rId8" w:history="1">
        <w:r w:rsidR="00353231" w:rsidRPr="00A61B1E">
          <w:rPr>
            <w:rStyle w:val="Hyperlink"/>
            <w:rFonts w:ascii="Arial" w:hAnsi="Arial" w:cs="Arial"/>
            <w:sz w:val="21"/>
            <w:szCs w:val="21"/>
          </w:rPr>
          <w:t>dairy.manufacturing@pc.gov.au</w:t>
        </w:r>
      </w:hyperlink>
      <w:r w:rsidRPr="00604A5B">
        <w:rPr>
          <w:rFonts w:ascii="Arial" w:hAnsi="Arial" w:cs="Arial"/>
          <w:sz w:val="21"/>
          <w:szCs w:val="21"/>
        </w:rPr>
        <w:t xml:space="preserve"> </w:t>
      </w:r>
    </w:p>
    <w:p w:rsidR="00EE030A" w:rsidRPr="00604A5B" w:rsidRDefault="00EE030A" w:rsidP="00C561FE">
      <w:pPr>
        <w:rPr>
          <w:rFonts w:ascii="Arial" w:hAnsi="Arial" w:cs="Arial"/>
          <w:sz w:val="21"/>
          <w:szCs w:val="21"/>
        </w:rPr>
      </w:pPr>
    </w:p>
    <w:p w:rsidR="00FB0DB1" w:rsidRPr="00604A5B" w:rsidRDefault="00FB0DB1" w:rsidP="00226203">
      <w:pPr>
        <w:rPr>
          <w:rFonts w:ascii="Arial" w:hAnsi="Arial" w:cs="Arial"/>
          <w:sz w:val="21"/>
          <w:szCs w:val="21"/>
        </w:rPr>
      </w:pPr>
      <w:r w:rsidRPr="00604A5B">
        <w:rPr>
          <w:rFonts w:ascii="Arial" w:hAnsi="Arial" w:cs="Arial"/>
          <w:sz w:val="21"/>
          <w:szCs w:val="21"/>
        </w:rPr>
        <w:t xml:space="preserve">Dear </w:t>
      </w:r>
      <w:r w:rsidR="00EE030A" w:rsidRPr="00604A5B">
        <w:rPr>
          <w:rFonts w:ascii="Arial" w:hAnsi="Arial" w:cs="Arial"/>
          <w:sz w:val="21"/>
          <w:szCs w:val="21"/>
        </w:rPr>
        <w:t>Madam/Sir</w:t>
      </w:r>
    </w:p>
    <w:p w:rsidR="00FB0DB1" w:rsidRPr="00604A5B" w:rsidRDefault="00FB0DB1" w:rsidP="00226203">
      <w:pPr>
        <w:rPr>
          <w:rFonts w:ascii="Arial" w:hAnsi="Arial" w:cs="Arial"/>
          <w:sz w:val="21"/>
          <w:szCs w:val="21"/>
        </w:rPr>
      </w:pPr>
    </w:p>
    <w:p w:rsidR="00FB0DB1" w:rsidRPr="00604A5B" w:rsidRDefault="001533C1" w:rsidP="00226203">
      <w:pPr>
        <w:rPr>
          <w:rFonts w:ascii="Arial" w:hAnsi="Arial" w:cs="Arial"/>
          <w:sz w:val="21"/>
          <w:szCs w:val="21"/>
        </w:rPr>
      </w:pPr>
      <w:r w:rsidRPr="00604A5B">
        <w:rPr>
          <w:rFonts w:ascii="Arial" w:hAnsi="Arial" w:cs="Arial"/>
          <w:sz w:val="21"/>
          <w:szCs w:val="21"/>
        </w:rPr>
        <w:t xml:space="preserve">Accord is pleased to provide the following </w:t>
      </w:r>
      <w:r w:rsidR="00F401AB">
        <w:rPr>
          <w:rFonts w:ascii="Arial" w:hAnsi="Arial" w:cs="Arial"/>
          <w:sz w:val="21"/>
          <w:szCs w:val="21"/>
        </w:rPr>
        <w:t>initial comments</w:t>
      </w:r>
      <w:r w:rsidRPr="00604A5B">
        <w:rPr>
          <w:rFonts w:ascii="Arial" w:hAnsi="Arial" w:cs="Arial"/>
          <w:sz w:val="21"/>
          <w:szCs w:val="21"/>
        </w:rPr>
        <w:t xml:space="preserve"> </w:t>
      </w:r>
      <w:r w:rsidR="00353231">
        <w:rPr>
          <w:rFonts w:ascii="Arial" w:hAnsi="Arial" w:cs="Arial"/>
          <w:sz w:val="21"/>
          <w:szCs w:val="21"/>
        </w:rPr>
        <w:t xml:space="preserve">to the Productivity Commission’s (PC) Issues Paper on the </w:t>
      </w:r>
      <w:r w:rsidR="00353231" w:rsidRPr="00353231">
        <w:rPr>
          <w:rFonts w:ascii="Arial" w:hAnsi="Arial" w:cs="Arial"/>
          <w:i/>
          <w:sz w:val="21"/>
          <w:szCs w:val="21"/>
        </w:rPr>
        <w:t>Relative Costs of doing Business in Australia: Dairy Products Manufacturing</w:t>
      </w:r>
      <w:r w:rsidR="009C4C5F" w:rsidRPr="00604A5B">
        <w:rPr>
          <w:rFonts w:ascii="Arial" w:hAnsi="Arial" w:cs="Arial"/>
          <w:sz w:val="21"/>
          <w:szCs w:val="21"/>
        </w:rPr>
        <w:t>.</w:t>
      </w:r>
    </w:p>
    <w:p w:rsidR="00226203" w:rsidRPr="00604A5B" w:rsidRDefault="00226203" w:rsidP="00226203">
      <w:pPr>
        <w:rPr>
          <w:rFonts w:ascii="Arial" w:hAnsi="Arial" w:cs="Arial"/>
          <w:sz w:val="21"/>
          <w:szCs w:val="21"/>
        </w:rPr>
      </w:pPr>
    </w:p>
    <w:p w:rsidR="00FB0DB1" w:rsidRPr="00604A5B" w:rsidRDefault="00FB0DB1" w:rsidP="00226203">
      <w:pPr>
        <w:pStyle w:val="NormalWeb"/>
        <w:spacing w:before="0" w:beforeAutospacing="0" w:after="0" w:afterAutospacing="0"/>
        <w:jc w:val="both"/>
        <w:rPr>
          <w:rFonts w:ascii="Arial" w:hAnsi="Arial" w:cs="Arial"/>
          <w:sz w:val="21"/>
          <w:szCs w:val="21"/>
        </w:rPr>
      </w:pPr>
      <w:r w:rsidRPr="00604A5B">
        <w:rPr>
          <w:rFonts w:ascii="Arial" w:hAnsi="Arial" w:cs="Arial"/>
          <w:sz w:val="21"/>
          <w:szCs w:val="21"/>
        </w:rPr>
        <w:t xml:space="preserve">Accord Australasia, represents the manufacturers and suppliers of formulated products, including: </w:t>
      </w:r>
      <w:r w:rsidR="007363D1" w:rsidRPr="00604A5B">
        <w:rPr>
          <w:rFonts w:ascii="Arial" w:hAnsi="Arial" w:cs="Arial"/>
          <w:sz w:val="21"/>
          <w:szCs w:val="21"/>
        </w:rPr>
        <w:t>hygiene, cosmetics and specialty products</w:t>
      </w:r>
      <w:r w:rsidRPr="00604A5B">
        <w:rPr>
          <w:rFonts w:ascii="Arial" w:hAnsi="Arial" w:cs="Arial"/>
          <w:sz w:val="21"/>
          <w:szCs w:val="21"/>
        </w:rPr>
        <w:t xml:space="preserve">, sunscreens, food </w:t>
      </w:r>
      <w:r w:rsidR="00254DED" w:rsidRPr="00604A5B">
        <w:rPr>
          <w:rFonts w:ascii="Arial" w:hAnsi="Arial" w:cs="Arial"/>
          <w:sz w:val="21"/>
          <w:szCs w:val="21"/>
        </w:rPr>
        <w:t xml:space="preserve">contact </w:t>
      </w:r>
      <w:proofErr w:type="spellStart"/>
      <w:r w:rsidRPr="00604A5B">
        <w:rPr>
          <w:rFonts w:ascii="Arial" w:hAnsi="Arial" w:cs="Arial"/>
          <w:sz w:val="21"/>
          <w:szCs w:val="21"/>
        </w:rPr>
        <w:t>sanitisers</w:t>
      </w:r>
      <w:proofErr w:type="spellEnd"/>
      <w:r w:rsidRPr="00604A5B">
        <w:rPr>
          <w:rFonts w:ascii="Arial" w:hAnsi="Arial" w:cs="Arial"/>
          <w:sz w:val="21"/>
          <w:szCs w:val="21"/>
        </w:rPr>
        <w:t>, house</w:t>
      </w:r>
      <w:r w:rsidR="002A476D" w:rsidRPr="00604A5B">
        <w:rPr>
          <w:rFonts w:ascii="Arial" w:hAnsi="Arial" w:cs="Arial"/>
          <w:sz w:val="21"/>
          <w:szCs w:val="21"/>
        </w:rPr>
        <w:t xml:space="preserve">hold pesticides, disinfectants and </w:t>
      </w:r>
      <w:r w:rsidRPr="00604A5B">
        <w:rPr>
          <w:rFonts w:ascii="Arial" w:hAnsi="Arial" w:cs="Arial"/>
          <w:sz w:val="21"/>
          <w:szCs w:val="21"/>
        </w:rPr>
        <w:t xml:space="preserve">specialty commercial products. </w:t>
      </w:r>
      <w:r w:rsidR="007363D1" w:rsidRPr="00604A5B">
        <w:rPr>
          <w:rFonts w:ascii="Arial" w:hAnsi="Arial" w:cs="Arial"/>
          <w:sz w:val="21"/>
          <w:szCs w:val="21"/>
        </w:rPr>
        <w:t xml:space="preserve"> </w:t>
      </w:r>
      <w:r w:rsidRPr="00604A5B">
        <w:rPr>
          <w:rFonts w:ascii="Arial" w:hAnsi="Arial" w:cs="Arial"/>
          <w:sz w:val="21"/>
          <w:szCs w:val="21"/>
        </w:rPr>
        <w:t xml:space="preserve">These products help safeguard public health and enhance our quality of life. </w:t>
      </w:r>
    </w:p>
    <w:p w:rsidR="00226203" w:rsidRPr="00604A5B" w:rsidRDefault="00226203" w:rsidP="00226203">
      <w:pPr>
        <w:pStyle w:val="NormalWeb"/>
        <w:spacing w:before="0" w:beforeAutospacing="0" w:after="0" w:afterAutospacing="0"/>
        <w:jc w:val="both"/>
        <w:rPr>
          <w:rFonts w:ascii="Arial" w:hAnsi="Arial" w:cs="Arial"/>
          <w:sz w:val="21"/>
          <w:szCs w:val="21"/>
        </w:rPr>
      </w:pPr>
    </w:p>
    <w:p w:rsidR="00624FF3" w:rsidRPr="00604A5B" w:rsidRDefault="00624FF3" w:rsidP="00226203">
      <w:pPr>
        <w:pStyle w:val="NormalWeb"/>
        <w:spacing w:before="0" w:beforeAutospacing="0" w:after="0" w:afterAutospacing="0"/>
        <w:jc w:val="both"/>
        <w:rPr>
          <w:rFonts w:ascii="Arial" w:hAnsi="Arial" w:cs="Arial"/>
          <w:sz w:val="21"/>
          <w:szCs w:val="21"/>
        </w:rPr>
      </w:pPr>
      <w:r w:rsidRPr="00604A5B">
        <w:rPr>
          <w:rFonts w:ascii="Arial" w:hAnsi="Arial" w:cs="Arial"/>
          <w:sz w:val="21"/>
          <w:szCs w:val="21"/>
        </w:rPr>
        <w:t xml:space="preserve">The formulated hygiene, cosmetic and specialty products industry is a significant industry sector contributing to a prosperous Australian economy. Our industry’s products include household and commercial cleaning agents; disinfectants; make-up and beauty products; toiletries and personal care products; hair-care products; skincare products, including sunscreens; oral hygiene; fragrances and perfumes, feminine hygiene products; industrial and agricultural </w:t>
      </w:r>
      <w:proofErr w:type="spellStart"/>
      <w:r w:rsidRPr="00604A5B">
        <w:rPr>
          <w:rFonts w:ascii="Arial" w:hAnsi="Arial" w:cs="Arial"/>
          <w:sz w:val="21"/>
          <w:szCs w:val="21"/>
        </w:rPr>
        <w:t>sanitisers</w:t>
      </w:r>
      <w:proofErr w:type="spellEnd"/>
      <w:r w:rsidRPr="00604A5B">
        <w:rPr>
          <w:rFonts w:ascii="Arial" w:hAnsi="Arial" w:cs="Arial"/>
          <w:sz w:val="21"/>
          <w:szCs w:val="21"/>
        </w:rPr>
        <w:t xml:space="preserve">; household pest control; and adhesives and sealants. </w:t>
      </w:r>
    </w:p>
    <w:p w:rsidR="00226203" w:rsidRPr="00604A5B" w:rsidRDefault="00226203" w:rsidP="00C231E1">
      <w:pPr>
        <w:pStyle w:val="NormalWeb"/>
        <w:spacing w:before="0" w:beforeAutospacing="0" w:after="0" w:afterAutospacing="0"/>
        <w:jc w:val="both"/>
        <w:rPr>
          <w:rFonts w:ascii="Arial" w:hAnsi="Arial" w:cs="Arial"/>
          <w:sz w:val="21"/>
          <w:szCs w:val="21"/>
        </w:rPr>
      </w:pPr>
    </w:p>
    <w:p w:rsidR="00D86410" w:rsidRPr="00604A5B" w:rsidRDefault="00624FF3" w:rsidP="00C231E1">
      <w:pPr>
        <w:pStyle w:val="NormalWeb"/>
        <w:spacing w:before="0" w:beforeAutospacing="0" w:after="0" w:afterAutospacing="0"/>
        <w:jc w:val="both"/>
        <w:rPr>
          <w:rFonts w:ascii="Arial" w:hAnsi="Arial" w:cs="Arial"/>
          <w:sz w:val="21"/>
          <w:szCs w:val="21"/>
        </w:rPr>
      </w:pPr>
      <w:r w:rsidRPr="00604A5B">
        <w:rPr>
          <w:rFonts w:ascii="Arial" w:hAnsi="Arial" w:cs="Arial"/>
          <w:sz w:val="21"/>
          <w:szCs w:val="21"/>
        </w:rPr>
        <w:t>Sector products play a vital role in:</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Safeguarding public health: Maintaining essential standards of hygiene and sanitation in institutions, hospitality, manufacturing and agriculture.</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Promoting personal well-being: Helping people keep clean, healthy and shielded from harmful effects of the environment.</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Maintaining comfortable homes: Enabling people to keep their everyday surroundings clean and inviting.</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Enhancing quality of life: Giving people greater personal freedom through time- and effort-saving technologies.</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Boosting confidence and emotional wellbeing: Providing opportunities for self-expression, individuality and pampering.</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Keeping the wheels of commerce and industry turning: Fulfilling specialised uses in industry, institutions and agriculture.</w:t>
      </w:r>
    </w:p>
    <w:p w:rsidR="00226203" w:rsidRPr="00604A5B" w:rsidRDefault="00226203" w:rsidP="00C231E1">
      <w:pPr>
        <w:pStyle w:val="NormalWeb"/>
        <w:spacing w:before="0" w:beforeAutospacing="0" w:after="0" w:afterAutospacing="0"/>
        <w:ind w:left="720"/>
        <w:jc w:val="both"/>
        <w:rPr>
          <w:rFonts w:ascii="Arial" w:hAnsi="Arial" w:cs="Arial"/>
          <w:sz w:val="21"/>
          <w:szCs w:val="21"/>
        </w:rPr>
      </w:pPr>
    </w:p>
    <w:p w:rsidR="00624FF3" w:rsidRPr="00604A5B" w:rsidRDefault="00624FF3" w:rsidP="00C231E1">
      <w:pPr>
        <w:pStyle w:val="NormalWeb"/>
        <w:spacing w:before="0" w:beforeAutospacing="0" w:after="0" w:afterAutospacing="0"/>
        <w:jc w:val="both"/>
        <w:rPr>
          <w:rFonts w:ascii="Arial" w:hAnsi="Arial" w:cs="Arial"/>
          <w:sz w:val="21"/>
          <w:szCs w:val="21"/>
        </w:rPr>
      </w:pPr>
      <w:r w:rsidRPr="00604A5B">
        <w:rPr>
          <w:rFonts w:ascii="Arial" w:hAnsi="Arial" w:cs="Arial"/>
          <w:sz w:val="21"/>
          <w:szCs w:val="21"/>
        </w:rPr>
        <w:t xml:space="preserve">Accord has around </w:t>
      </w:r>
      <w:r w:rsidR="00360CE3">
        <w:rPr>
          <w:rFonts w:ascii="Arial" w:hAnsi="Arial" w:cs="Arial"/>
          <w:sz w:val="21"/>
          <w:szCs w:val="21"/>
        </w:rPr>
        <w:t>100</w:t>
      </w:r>
      <w:r w:rsidRPr="00604A5B">
        <w:rPr>
          <w:rFonts w:ascii="Arial" w:hAnsi="Arial" w:cs="Arial"/>
          <w:sz w:val="21"/>
          <w:szCs w:val="21"/>
        </w:rPr>
        <w:t xml:space="preserve"> member companies which range from smaller Australian-owned family businesses to the local operations of large consumer brand multinationals (a full membership list is provided at Attachment 1).  </w:t>
      </w:r>
    </w:p>
    <w:p w:rsidR="00226203" w:rsidRPr="00604A5B" w:rsidRDefault="00226203" w:rsidP="00C231E1">
      <w:pPr>
        <w:pStyle w:val="NormalWeb"/>
        <w:spacing w:before="0" w:beforeAutospacing="0" w:after="0" w:afterAutospacing="0"/>
        <w:jc w:val="both"/>
        <w:rPr>
          <w:rFonts w:ascii="Arial" w:hAnsi="Arial" w:cs="Arial"/>
          <w:sz w:val="21"/>
          <w:szCs w:val="21"/>
        </w:rPr>
      </w:pPr>
    </w:p>
    <w:p w:rsidR="00D86410" w:rsidRPr="00604A5B" w:rsidRDefault="00624FF3" w:rsidP="00C231E1">
      <w:pPr>
        <w:pStyle w:val="NormalWeb"/>
        <w:spacing w:before="0" w:beforeAutospacing="0" w:after="0" w:afterAutospacing="0"/>
        <w:jc w:val="both"/>
        <w:rPr>
          <w:rFonts w:ascii="Arial" w:hAnsi="Arial" w:cs="Arial"/>
          <w:sz w:val="21"/>
          <w:szCs w:val="21"/>
        </w:rPr>
      </w:pPr>
      <w:r w:rsidRPr="00604A5B">
        <w:rPr>
          <w:rFonts w:ascii="Arial" w:hAnsi="Arial" w:cs="Arial"/>
          <w:sz w:val="21"/>
          <w:szCs w:val="21"/>
        </w:rPr>
        <w:t>Headline features and statistics for our industry’s economic footprint include:</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Estimated annual retail-level sales of industry products nudging the $10 billion mark.</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Accord member companies directly contribute more than 12,000 full-time equivalent jobs.</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Nationally more than 180 offices and more than 66 manufacturing sites are operated by Accord member companies.</w:t>
      </w:r>
    </w:p>
    <w:p w:rsidR="00226203" w:rsidRPr="00604A5B" w:rsidRDefault="00226203" w:rsidP="00C231E1">
      <w:pPr>
        <w:pStyle w:val="NormalWeb"/>
        <w:spacing w:before="0" w:beforeAutospacing="0" w:after="0" w:afterAutospacing="0"/>
        <w:ind w:left="1440"/>
        <w:jc w:val="both"/>
        <w:rPr>
          <w:rFonts w:ascii="Arial" w:hAnsi="Arial" w:cs="Arial"/>
          <w:sz w:val="21"/>
          <w:szCs w:val="21"/>
        </w:rPr>
      </w:pPr>
    </w:p>
    <w:p w:rsidR="006748CA" w:rsidRDefault="006748CA">
      <w:pPr>
        <w:jc w:val="left"/>
        <w:rPr>
          <w:rFonts w:ascii="Arial" w:hAnsi="Arial" w:cs="Arial"/>
          <w:sz w:val="21"/>
          <w:szCs w:val="21"/>
          <w:lang w:val="en-US"/>
        </w:rPr>
      </w:pPr>
      <w:r>
        <w:rPr>
          <w:rFonts w:ascii="Arial" w:hAnsi="Arial" w:cs="Arial"/>
          <w:sz w:val="21"/>
          <w:szCs w:val="21"/>
        </w:rPr>
        <w:br w:type="page"/>
      </w:r>
    </w:p>
    <w:p w:rsidR="00D86410" w:rsidRPr="00604A5B" w:rsidRDefault="00624FF3" w:rsidP="00C231E1">
      <w:pPr>
        <w:pStyle w:val="NormalWeb"/>
        <w:spacing w:before="0" w:beforeAutospacing="0" w:after="0" w:afterAutospacing="0"/>
        <w:jc w:val="both"/>
        <w:rPr>
          <w:rFonts w:ascii="Arial" w:hAnsi="Arial" w:cs="Arial"/>
          <w:sz w:val="21"/>
          <w:szCs w:val="21"/>
        </w:rPr>
      </w:pPr>
      <w:r w:rsidRPr="00604A5B">
        <w:rPr>
          <w:rFonts w:ascii="Arial" w:hAnsi="Arial" w:cs="Arial"/>
          <w:sz w:val="21"/>
          <w:szCs w:val="21"/>
        </w:rPr>
        <w:lastRenderedPageBreak/>
        <w:t>In essence there are three distinct product segments for our industry, each with distinct supply chains through to the product end user:</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 xml:space="preserve">Industrial and Institutional products (e.g. commercial cleaning products, agricultural </w:t>
      </w:r>
      <w:proofErr w:type="spellStart"/>
      <w:r w:rsidRPr="00604A5B">
        <w:rPr>
          <w:rFonts w:ascii="Arial" w:hAnsi="Arial" w:cs="Arial"/>
          <w:sz w:val="21"/>
          <w:szCs w:val="21"/>
        </w:rPr>
        <w:t>sanitisers</w:t>
      </w:r>
      <w:proofErr w:type="spellEnd"/>
      <w:r w:rsidRPr="00604A5B">
        <w:rPr>
          <w:rFonts w:ascii="Arial" w:hAnsi="Arial" w:cs="Arial"/>
          <w:sz w:val="21"/>
          <w:szCs w:val="21"/>
        </w:rPr>
        <w:t xml:space="preserve">) which are mainly sold on a business-to-business or business-to-government basis or through agricultural product resellers. </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Fast-moving consumer goods (e.g. household cleaners, laundry detergents, toothpaste, shampoo, soap) which are sold to consumers primarily via either: grocery retailers, pharmacies, mass-market retailers, direct selling and hardware chains.</w:t>
      </w:r>
    </w:p>
    <w:p w:rsidR="00624FF3" w:rsidRPr="00604A5B" w:rsidRDefault="00624FF3" w:rsidP="00C231E1">
      <w:pPr>
        <w:pStyle w:val="NormalWeb"/>
        <w:numPr>
          <w:ilvl w:val="0"/>
          <w:numId w:val="10"/>
        </w:numPr>
        <w:spacing w:before="0" w:beforeAutospacing="0" w:after="0" w:afterAutospacing="0"/>
        <w:jc w:val="both"/>
        <w:rPr>
          <w:rFonts w:ascii="Arial" w:hAnsi="Arial" w:cs="Arial"/>
          <w:sz w:val="21"/>
          <w:szCs w:val="21"/>
        </w:rPr>
      </w:pPr>
      <w:r w:rsidRPr="00604A5B">
        <w:rPr>
          <w:rFonts w:ascii="Arial" w:hAnsi="Arial" w:cs="Arial"/>
          <w:sz w:val="21"/>
          <w:szCs w:val="21"/>
        </w:rPr>
        <w:t>Cosmetic and beauty industry products (e.g. make-up, skincare, sunscreens, fragrances, hair dyes) which are sold to consumers primarily via either: department stores, specialty retailers, grocery retailers, pharmacies, mass-market retailers, direct selling, hair salons, beauty salons, spas and on-line.</w:t>
      </w:r>
    </w:p>
    <w:p w:rsidR="00AE1419" w:rsidRPr="00604A5B" w:rsidRDefault="00AE1419" w:rsidP="00AE1419">
      <w:pPr>
        <w:rPr>
          <w:rFonts w:ascii="Arial" w:hAnsi="Arial" w:cs="Arial"/>
          <w:sz w:val="21"/>
          <w:szCs w:val="21"/>
        </w:rPr>
      </w:pPr>
    </w:p>
    <w:p w:rsidR="006966B2" w:rsidRDefault="006966B2" w:rsidP="00AE1419">
      <w:pPr>
        <w:rPr>
          <w:rFonts w:ascii="Arial" w:hAnsi="Arial" w:cs="Arial"/>
          <w:sz w:val="21"/>
          <w:szCs w:val="21"/>
        </w:rPr>
      </w:pPr>
      <w:r>
        <w:rPr>
          <w:rFonts w:ascii="Arial" w:hAnsi="Arial" w:cs="Arial"/>
          <w:sz w:val="21"/>
          <w:szCs w:val="21"/>
        </w:rPr>
        <w:t xml:space="preserve">Accord’s members have a specific and direct interest in </w:t>
      </w:r>
      <w:r w:rsidR="00D617E9">
        <w:rPr>
          <w:rFonts w:ascii="Arial" w:hAnsi="Arial" w:cs="Arial"/>
          <w:sz w:val="21"/>
          <w:szCs w:val="21"/>
        </w:rPr>
        <w:t>dairy products manufacturing</w:t>
      </w:r>
      <w:r>
        <w:rPr>
          <w:rFonts w:ascii="Arial" w:hAnsi="Arial" w:cs="Arial"/>
          <w:sz w:val="21"/>
          <w:szCs w:val="21"/>
        </w:rPr>
        <w:t xml:space="preserve">.  Approximately 40% of Accord members have an interaction with the Australian Pesticides and Veterinary Medicines Authority (APVMA), as the agvet regulator, which also includes responsibility for the regulation of e.g. dairy cleaning products and agricultural sanitisers.  </w:t>
      </w:r>
    </w:p>
    <w:p w:rsidR="006966B2" w:rsidRDefault="006966B2" w:rsidP="00AE1419">
      <w:pPr>
        <w:rPr>
          <w:rFonts w:ascii="Arial" w:hAnsi="Arial" w:cs="Arial"/>
          <w:sz w:val="21"/>
          <w:szCs w:val="21"/>
        </w:rPr>
      </w:pPr>
    </w:p>
    <w:p w:rsidR="00AE1419" w:rsidRPr="00604A5B" w:rsidRDefault="00AE1419" w:rsidP="00AE1419">
      <w:pPr>
        <w:rPr>
          <w:rFonts w:ascii="Arial" w:hAnsi="Arial" w:cs="Arial"/>
          <w:sz w:val="21"/>
          <w:szCs w:val="21"/>
        </w:rPr>
      </w:pPr>
      <w:r w:rsidRPr="00604A5B">
        <w:rPr>
          <w:rFonts w:ascii="Arial" w:hAnsi="Arial" w:cs="Arial"/>
          <w:sz w:val="21"/>
          <w:szCs w:val="21"/>
        </w:rPr>
        <w:t>The majority of Accord members which deal with the APVMA are small to medium enterprises operating in low margin businesses that are susceptible to input cost-pressures.  The majority of products are either fast moving low risk consumer goods or low risk, well characterised products which represent a low regulatory burden on the agvet sector and are not the core focus of the APVMA’s regulatory activities</w:t>
      </w:r>
    </w:p>
    <w:p w:rsidR="00AE1419" w:rsidRPr="00604A5B" w:rsidRDefault="00AE1419" w:rsidP="00AE1419">
      <w:pPr>
        <w:rPr>
          <w:rFonts w:ascii="Arial" w:hAnsi="Arial" w:cs="Arial"/>
          <w:sz w:val="21"/>
          <w:szCs w:val="21"/>
        </w:rPr>
      </w:pPr>
    </w:p>
    <w:p w:rsidR="00FB0DB1" w:rsidRPr="00604A5B" w:rsidRDefault="00FB0DB1" w:rsidP="00AE1419">
      <w:pPr>
        <w:rPr>
          <w:rFonts w:ascii="Arial" w:hAnsi="Arial" w:cs="Arial"/>
          <w:sz w:val="21"/>
          <w:szCs w:val="21"/>
        </w:rPr>
      </w:pPr>
      <w:r w:rsidRPr="00604A5B">
        <w:rPr>
          <w:rFonts w:ascii="Arial" w:hAnsi="Arial" w:cs="Arial"/>
          <w:sz w:val="21"/>
          <w:szCs w:val="21"/>
        </w:rPr>
        <w:t xml:space="preserve">Ours is a heavily regulated industry, as recognised by the </w:t>
      </w:r>
      <w:r w:rsidR="00353231">
        <w:rPr>
          <w:rFonts w:ascii="Arial" w:hAnsi="Arial" w:cs="Arial"/>
          <w:sz w:val="21"/>
          <w:szCs w:val="21"/>
        </w:rPr>
        <w:t>PC</w:t>
      </w:r>
      <w:r w:rsidRPr="00604A5B">
        <w:rPr>
          <w:rFonts w:ascii="Arial" w:hAnsi="Arial" w:cs="Arial"/>
          <w:sz w:val="21"/>
          <w:szCs w:val="21"/>
        </w:rPr>
        <w:t xml:space="preserve"> in its 2008 report into chemicals and plastics regulation. </w:t>
      </w:r>
      <w:r w:rsidR="00CA2298" w:rsidRPr="00604A5B">
        <w:rPr>
          <w:rFonts w:ascii="Arial" w:hAnsi="Arial" w:cs="Arial"/>
          <w:sz w:val="21"/>
          <w:szCs w:val="21"/>
        </w:rPr>
        <w:t xml:space="preserve"> </w:t>
      </w:r>
      <w:r w:rsidRPr="00604A5B">
        <w:rPr>
          <w:rFonts w:ascii="Arial" w:hAnsi="Arial" w:cs="Arial"/>
          <w:sz w:val="21"/>
          <w:szCs w:val="21"/>
        </w:rPr>
        <w:t xml:space="preserve">Accord supports independent, science-based regulation where warranted for legitimate public health and environmental risks but, consistent with the PC report recommendations, believes Australia’s overly complex and fragmented regulatory system for chemicals management </w:t>
      </w:r>
      <w:r w:rsidR="007363D1" w:rsidRPr="00604A5B">
        <w:rPr>
          <w:rFonts w:ascii="Arial" w:hAnsi="Arial" w:cs="Arial"/>
          <w:sz w:val="21"/>
          <w:szCs w:val="21"/>
        </w:rPr>
        <w:t xml:space="preserve">and the costs associated with this regulation </w:t>
      </w:r>
      <w:r w:rsidRPr="00604A5B">
        <w:rPr>
          <w:rFonts w:ascii="Arial" w:hAnsi="Arial" w:cs="Arial"/>
          <w:sz w:val="21"/>
          <w:szCs w:val="21"/>
        </w:rPr>
        <w:t xml:space="preserve">needs urgent and significant overhauling. </w:t>
      </w:r>
      <w:r w:rsidR="007363D1" w:rsidRPr="00604A5B">
        <w:rPr>
          <w:rFonts w:ascii="Arial" w:hAnsi="Arial" w:cs="Arial"/>
          <w:sz w:val="21"/>
          <w:szCs w:val="21"/>
        </w:rPr>
        <w:t xml:space="preserve"> </w:t>
      </w:r>
    </w:p>
    <w:p w:rsidR="00446C96" w:rsidRPr="00604A5B" w:rsidRDefault="00446C96" w:rsidP="00226203">
      <w:pPr>
        <w:rPr>
          <w:rFonts w:ascii="Arial" w:hAnsi="Arial" w:cs="Arial"/>
          <w:sz w:val="21"/>
          <w:szCs w:val="21"/>
        </w:rPr>
      </w:pPr>
    </w:p>
    <w:p w:rsidR="00A8300A" w:rsidRPr="00604A5B" w:rsidRDefault="00A8300A" w:rsidP="00226203">
      <w:pPr>
        <w:rPr>
          <w:rFonts w:ascii="Arial" w:hAnsi="Arial" w:cs="Arial"/>
          <w:sz w:val="21"/>
          <w:szCs w:val="21"/>
        </w:rPr>
      </w:pPr>
      <w:r w:rsidRPr="00604A5B">
        <w:rPr>
          <w:rFonts w:ascii="Arial" w:hAnsi="Arial" w:cs="Arial"/>
          <w:sz w:val="21"/>
          <w:szCs w:val="21"/>
        </w:rPr>
        <w:t xml:space="preserve">Governments have recognised the complexity of the regulatory system and the chemicals and plastics sector has been the focus of reform efforts following the </w:t>
      </w:r>
      <w:r w:rsidR="00AE1419" w:rsidRPr="00604A5B">
        <w:rPr>
          <w:rFonts w:ascii="Arial" w:hAnsi="Arial" w:cs="Arial"/>
          <w:sz w:val="21"/>
          <w:szCs w:val="21"/>
        </w:rPr>
        <w:t>PC</w:t>
      </w:r>
      <w:r w:rsidRPr="00604A5B">
        <w:rPr>
          <w:rFonts w:ascii="Arial" w:hAnsi="Arial" w:cs="Arial"/>
          <w:sz w:val="21"/>
          <w:szCs w:val="21"/>
        </w:rPr>
        <w:t xml:space="preserve"> study.</w:t>
      </w:r>
      <w:r w:rsidR="009D02C1" w:rsidRPr="00604A5B">
        <w:rPr>
          <w:rFonts w:ascii="Arial" w:hAnsi="Arial" w:cs="Arial"/>
          <w:sz w:val="21"/>
          <w:szCs w:val="21"/>
        </w:rPr>
        <w:t xml:space="preserve">  Unfortunately, t</w:t>
      </w:r>
      <w:r w:rsidRPr="00604A5B">
        <w:rPr>
          <w:rFonts w:ascii="Arial" w:hAnsi="Arial" w:cs="Arial"/>
          <w:sz w:val="21"/>
          <w:szCs w:val="21"/>
        </w:rPr>
        <w:t>his has resulted in little by way of real outcomes having been achieved for our sector, but has resulted in increased costs due to the nature of cost recovery and a general tendency towards more unique Australian requirements rather than a move towards harmonisation of regulatory practices with that of our major trading partners</w:t>
      </w:r>
      <w:r w:rsidR="00F401AB">
        <w:rPr>
          <w:rFonts w:ascii="Arial" w:hAnsi="Arial" w:cs="Arial"/>
          <w:sz w:val="21"/>
          <w:szCs w:val="21"/>
        </w:rPr>
        <w:t>.</w:t>
      </w:r>
    </w:p>
    <w:p w:rsidR="00A8300A" w:rsidRPr="00604A5B" w:rsidRDefault="00A8300A" w:rsidP="00226203">
      <w:pPr>
        <w:rPr>
          <w:rFonts w:ascii="Arial" w:hAnsi="Arial" w:cs="Arial"/>
          <w:sz w:val="21"/>
          <w:szCs w:val="21"/>
        </w:rPr>
      </w:pPr>
    </w:p>
    <w:p w:rsidR="00964F29" w:rsidRPr="00604A5B" w:rsidRDefault="00A8300A" w:rsidP="00A8300A">
      <w:pPr>
        <w:rPr>
          <w:rFonts w:ascii="Arial" w:hAnsi="Arial" w:cs="Arial"/>
          <w:sz w:val="21"/>
          <w:szCs w:val="21"/>
        </w:rPr>
      </w:pPr>
      <w:r w:rsidRPr="00604A5B">
        <w:rPr>
          <w:rFonts w:ascii="Arial" w:hAnsi="Arial" w:cs="Arial"/>
          <w:sz w:val="21"/>
          <w:szCs w:val="21"/>
        </w:rPr>
        <w:t xml:space="preserve">At the Commonwealth level, Accord members are primarily regulated by three cost recovered agencies the </w:t>
      </w:r>
      <w:r w:rsidR="00C87D63">
        <w:rPr>
          <w:rFonts w:ascii="Arial" w:hAnsi="Arial" w:cs="Arial"/>
          <w:sz w:val="21"/>
          <w:szCs w:val="21"/>
        </w:rPr>
        <w:t>T</w:t>
      </w:r>
      <w:r w:rsidR="006966B2">
        <w:rPr>
          <w:rFonts w:ascii="Arial" w:hAnsi="Arial" w:cs="Arial"/>
          <w:sz w:val="21"/>
          <w:szCs w:val="21"/>
        </w:rPr>
        <w:t>herapeutic Goods Administration (T</w:t>
      </w:r>
      <w:r w:rsidR="00C87D63">
        <w:rPr>
          <w:rFonts w:ascii="Arial" w:hAnsi="Arial" w:cs="Arial"/>
          <w:sz w:val="21"/>
          <w:szCs w:val="21"/>
        </w:rPr>
        <w:t>GA</w:t>
      </w:r>
      <w:r w:rsidR="006966B2">
        <w:rPr>
          <w:rFonts w:ascii="Arial" w:hAnsi="Arial" w:cs="Arial"/>
          <w:sz w:val="21"/>
          <w:szCs w:val="21"/>
        </w:rPr>
        <w:t>)</w:t>
      </w:r>
      <w:r w:rsidRPr="00604A5B">
        <w:rPr>
          <w:rFonts w:ascii="Arial" w:hAnsi="Arial" w:cs="Arial"/>
          <w:sz w:val="21"/>
          <w:szCs w:val="21"/>
        </w:rPr>
        <w:t xml:space="preserve">, the </w:t>
      </w:r>
      <w:r w:rsidR="00C87D63">
        <w:rPr>
          <w:rFonts w:ascii="Arial" w:hAnsi="Arial" w:cs="Arial"/>
          <w:sz w:val="21"/>
          <w:szCs w:val="21"/>
        </w:rPr>
        <w:t>APVMA</w:t>
      </w:r>
      <w:r w:rsidRPr="00604A5B">
        <w:rPr>
          <w:rFonts w:ascii="Arial" w:hAnsi="Arial" w:cs="Arial"/>
          <w:sz w:val="21"/>
          <w:szCs w:val="21"/>
        </w:rPr>
        <w:t xml:space="preserve"> and </w:t>
      </w:r>
      <w:r w:rsidR="006966B2">
        <w:rPr>
          <w:rFonts w:ascii="Arial" w:hAnsi="Arial" w:cs="Arial"/>
          <w:sz w:val="21"/>
          <w:szCs w:val="21"/>
        </w:rPr>
        <w:t xml:space="preserve">National Industrial </w:t>
      </w:r>
      <w:r w:rsidR="00D617E9">
        <w:rPr>
          <w:rFonts w:ascii="Arial" w:hAnsi="Arial" w:cs="Arial"/>
          <w:sz w:val="21"/>
          <w:szCs w:val="21"/>
        </w:rPr>
        <w:t>Chemicals Notification &amp; Assessment Scheme (</w:t>
      </w:r>
      <w:r w:rsidR="00C87D63">
        <w:rPr>
          <w:rFonts w:ascii="Arial" w:hAnsi="Arial" w:cs="Arial"/>
          <w:sz w:val="21"/>
          <w:szCs w:val="21"/>
        </w:rPr>
        <w:t>NICNAS</w:t>
      </w:r>
      <w:r w:rsidR="00D617E9">
        <w:rPr>
          <w:rFonts w:ascii="Arial" w:hAnsi="Arial" w:cs="Arial"/>
          <w:sz w:val="21"/>
          <w:szCs w:val="21"/>
        </w:rPr>
        <w:t>)</w:t>
      </w:r>
      <w:r w:rsidRPr="00604A5B">
        <w:rPr>
          <w:rFonts w:ascii="Arial" w:hAnsi="Arial" w:cs="Arial"/>
          <w:sz w:val="21"/>
          <w:szCs w:val="21"/>
        </w:rPr>
        <w:t xml:space="preserve">.  In addition, member companies with consumer products are also regulated by the </w:t>
      </w:r>
      <w:r w:rsidR="00D617E9">
        <w:rPr>
          <w:rFonts w:ascii="Arial" w:hAnsi="Arial" w:cs="Arial"/>
          <w:sz w:val="21"/>
          <w:szCs w:val="21"/>
        </w:rPr>
        <w:t>Australian Competition and Consumer Commission (</w:t>
      </w:r>
      <w:r w:rsidRPr="00604A5B">
        <w:rPr>
          <w:rFonts w:ascii="Arial" w:hAnsi="Arial" w:cs="Arial"/>
          <w:sz w:val="21"/>
          <w:szCs w:val="21"/>
        </w:rPr>
        <w:t>ACCC</w:t>
      </w:r>
      <w:r w:rsidR="00D617E9">
        <w:rPr>
          <w:rFonts w:ascii="Arial" w:hAnsi="Arial" w:cs="Arial"/>
          <w:sz w:val="21"/>
          <w:szCs w:val="21"/>
        </w:rPr>
        <w:t>)</w:t>
      </w:r>
      <w:r w:rsidRPr="00604A5B">
        <w:rPr>
          <w:rFonts w:ascii="Arial" w:hAnsi="Arial" w:cs="Arial"/>
          <w:sz w:val="21"/>
          <w:szCs w:val="21"/>
        </w:rPr>
        <w:t xml:space="preserve"> with particular regard to ingredient labelling, product safety, mandatory reporting and misleading and deceptive conduct.  The ACCC is not cost recovered, yet is seen as a far more efficient and effective regulator than the TGA, APVMA or NICNAS. </w:t>
      </w:r>
      <w:r w:rsidR="00964F29" w:rsidRPr="00604A5B">
        <w:rPr>
          <w:rFonts w:ascii="Arial" w:hAnsi="Arial" w:cs="Arial"/>
          <w:sz w:val="21"/>
          <w:szCs w:val="21"/>
        </w:rPr>
        <w:t xml:space="preserve"> </w:t>
      </w:r>
    </w:p>
    <w:p w:rsidR="009D02C1" w:rsidRPr="00604A5B" w:rsidRDefault="009D02C1" w:rsidP="00A8300A">
      <w:pPr>
        <w:rPr>
          <w:rFonts w:ascii="Arial" w:hAnsi="Arial" w:cs="Arial"/>
          <w:sz w:val="21"/>
          <w:szCs w:val="21"/>
        </w:rPr>
      </w:pPr>
    </w:p>
    <w:p w:rsidR="009D02C1" w:rsidRDefault="009D02C1" w:rsidP="00A8300A">
      <w:pPr>
        <w:rPr>
          <w:rFonts w:ascii="Arial" w:hAnsi="Arial" w:cs="Arial"/>
          <w:sz w:val="21"/>
          <w:szCs w:val="21"/>
        </w:rPr>
      </w:pPr>
      <w:r w:rsidRPr="00604A5B">
        <w:rPr>
          <w:rFonts w:ascii="Arial" w:hAnsi="Arial" w:cs="Arial"/>
          <w:sz w:val="21"/>
          <w:szCs w:val="21"/>
        </w:rPr>
        <w:t xml:space="preserve">Accord members have seen costs for </w:t>
      </w:r>
      <w:r w:rsidR="00D617E9">
        <w:rPr>
          <w:rFonts w:ascii="Arial" w:hAnsi="Arial" w:cs="Arial"/>
          <w:sz w:val="21"/>
          <w:szCs w:val="21"/>
        </w:rPr>
        <w:t xml:space="preserve">regulatory </w:t>
      </w:r>
      <w:r w:rsidRPr="00604A5B">
        <w:rPr>
          <w:rFonts w:ascii="Arial" w:hAnsi="Arial" w:cs="Arial"/>
          <w:sz w:val="21"/>
          <w:szCs w:val="21"/>
        </w:rPr>
        <w:t xml:space="preserve">services continually rising with a commensurate decrease in the quality and quantity of services provided.  For Accord members, any proposed cost increases are not seen in isolation, but as an aggregate of the total cost of doing business in Australia which is much higher than elsewhere.  This is not only through compliance with unique Australian requirements, but the additional costs imposed through cost recovered agencies and lost opportunity costs through an inefficient and complex regulatory regime.   The growing impost on industry is not sustainable.  </w:t>
      </w:r>
    </w:p>
    <w:p w:rsidR="00DC50B2" w:rsidRPr="00604A5B" w:rsidRDefault="00DC50B2" w:rsidP="00A8300A">
      <w:pPr>
        <w:rPr>
          <w:rFonts w:ascii="Arial" w:hAnsi="Arial" w:cs="Arial"/>
          <w:sz w:val="21"/>
          <w:szCs w:val="21"/>
        </w:rPr>
      </w:pPr>
    </w:p>
    <w:p w:rsidR="00A8300A" w:rsidRPr="00604A5B" w:rsidRDefault="00A8300A" w:rsidP="00A8300A">
      <w:pPr>
        <w:rPr>
          <w:rFonts w:ascii="Arial" w:hAnsi="Arial" w:cs="Arial"/>
          <w:sz w:val="21"/>
          <w:szCs w:val="21"/>
        </w:rPr>
      </w:pPr>
      <w:r w:rsidRPr="00604A5B">
        <w:rPr>
          <w:rFonts w:ascii="Arial" w:hAnsi="Arial" w:cs="Arial"/>
          <w:sz w:val="21"/>
          <w:szCs w:val="21"/>
        </w:rPr>
        <w:t>Australia is the only advanced economy which operates on a full cost recovery basis for industrial chemicals, therapeutic goods and agricultural and veterinary products.  We believe that full cost recovery is a break on innovation, a barrier to trade and stifles competition.  The introduction of cost recovery has not led to improved efficiency and effectiveness of the three major regulators with which Accord members deal; rather it has led to increased costs and reduced outcomes.</w:t>
      </w:r>
    </w:p>
    <w:p w:rsidR="00964F29" w:rsidRPr="00604A5B" w:rsidRDefault="00964F29" w:rsidP="00A8300A">
      <w:pPr>
        <w:rPr>
          <w:rFonts w:ascii="Arial" w:hAnsi="Arial" w:cs="Arial"/>
          <w:sz w:val="21"/>
          <w:szCs w:val="21"/>
        </w:rPr>
      </w:pPr>
    </w:p>
    <w:p w:rsidR="00D617E9" w:rsidRDefault="00B847AE" w:rsidP="00964F29">
      <w:pPr>
        <w:rPr>
          <w:rFonts w:ascii="Arial" w:hAnsi="Arial" w:cs="Arial"/>
          <w:sz w:val="22"/>
          <w:szCs w:val="22"/>
        </w:rPr>
      </w:pPr>
      <w:r>
        <w:rPr>
          <w:rFonts w:ascii="Arial" w:hAnsi="Arial" w:cs="Arial"/>
          <w:sz w:val="22"/>
          <w:szCs w:val="22"/>
        </w:rPr>
        <w:lastRenderedPageBreak/>
        <w:t xml:space="preserve">Accord is making preliminary comments in response to the Issues Paper for the PC’s consideration.  </w:t>
      </w:r>
    </w:p>
    <w:p w:rsidR="00D617E9" w:rsidRDefault="00D617E9" w:rsidP="00964F29">
      <w:pPr>
        <w:rPr>
          <w:rFonts w:ascii="Arial" w:hAnsi="Arial" w:cs="Arial"/>
          <w:sz w:val="22"/>
          <w:szCs w:val="22"/>
        </w:rPr>
      </w:pPr>
    </w:p>
    <w:p w:rsidR="00B847AE" w:rsidRDefault="00B847AE" w:rsidP="00964F29">
      <w:pPr>
        <w:rPr>
          <w:rFonts w:ascii="Arial" w:hAnsi="Arial" w:cs="Arial"/>
          <w:sz w:val="22"/>
          <w:szCs w:val="22"/>
        </w:rPr>
      </w:pPr>
      <w:r>
        <w:rPr>
          <w:rFonts w:ascii="Arial" w:hAnsi="Arial" w:cs="Arial"/>
          <w:sz w:val="22"/>
          <w:szCs w:val="22"/>
        </w:rPr>
        <w:t xml:space="preserve">We are highlighting an area where we believe a reduction in regulatory compliance costs </w:t>
      </w:r>
      <w:r w:rsidR="00F401AB">
        <w:rPr>
          <w:rFonts w:ascii="Arial" w:hAnsi="Arial" w:cs="Arial"/>
          <w:sz w:val="22"/>
          <w:szCs w:val="22"/>
        </w:rPr>
        <w:t>and</w:t>
      </w:r>
      <w:r>
        <w:rPr>
          <w:rFonts w:ascii="Arial" w:hAnsi="Arial" w:cs="Arial"/>
          <w:sz w:val="22"/>
          <w:szCs w:val="22"/>
        </w:rPr>
        <w:t xml:space="preserve"> policy action and implementation through </w:t>
      </w:r>
      <w:r w:rsidR="00F401AB">
        <w:rPr>
          <w:rFonts w:ascii="Arial" w:hAnsi="Arial" w:cs="Arial"/>
          <w:sz w:val="22"/>
          <w:szCs w:val="22"/>
        </w:rPr>
        <w:t>the adoption of</w:t>
      </w:r>
      <w:r>
        <w:rPr>
          <w:rFonts w:ascii="Arial" w:hAnsi="Arial" w:cs="Arial"/>
          <w:sz w:val="22"/>
          <w:szCs w:val="22"/>
        </w:rPr>
        <w:t xml:space="preserve"> a deregulatory</w:t>
      </w:r>
      <w:r w:rsidR="00F401AB">
        <w:rPr>
          <w:rFonts w:ascii="Arial" w:hAnsi="Arial" w:cs="Arial"/>
          <w:sz w:val="22"/>
          <w:szCs w:val="22"/>
        </w:rPr>
        <w:t xml:space="preserve"> approach to on</w:t>
      </w:r>
      <w:r>
        <w:rPr>
          <w:rFonts w:ascii="Arial" w:hAnsi="Arial" w:cs="Arial"/>
          <w:sz w:val="22"/>
          <w:szCs w:val="22"/>
        </w:rPr>
        <w:t>–farm dairy cleansers and sanitisers will deliver benefits to Accord members operating in this area.</w:t>
      </w:r>
      <w:r w:rsidR="00E33506">
        <w:rPr>
          <w:rFonts w:ascii="Arial" w:hAnsi="Arial" w:cs="Arial"/>
          <w:sz w:val="22"/>
          <w:szCs w:val="22"/>
        </w:rPr>
        <w:t xml:space="preserve">  This action will complement the recommendations of the National Commission of Audit to streamline the activities of regulatory agencies </w:t>
      </w:r>
      <w:r w:rsidR="00F401AB">
        <w:rPr>
          <w:rFonts w:ascii="Arial" w:hAnsi="Arial" w:cs="Arial"/>
          <w:sz w:val="22"/>
          <w:szCs w:val="22"/>
        </w:rPr>
        <w:t>with a</w:t>
      </w:r>
      <w:r w:rsidR="00E33506">
        <w:rPr>
          <w:rFonts w:ascii="Arial" w:hAnsi="Arial" w:cs="Arial"/>
          <w:sz w:val="22"/>
          <w:szCs w:val="22"/>
        </w:rPr>
        <w:t xml:space="preserve"> focus on high risk products </w:t>
      </w:r>
      <w:r w:rsidR="00F401AB">
        <w:rPr>
          <w:rFonts w:ascii="Arial" w:hAnsi="Arial" w:cs="Arial"/>
          <w:sz w:val="22"/>
          <w:szCs w:val="22"/>
        </w:rPr>
        <w:t>and</w:t>
      </w:r>
      <w:r w:rsidR="00E33506">
        <w:rPr>
          <w:rFonts w:ascii="Arial" w:hAnsi="Arial" w:cs="Arial"/>
          <w:sz w:val="22"/>
          <w:szCs w:val="22"/>
        </w:rPr>
        <w:t xml:space="preserve"> removing low risk</w:t>
      </w:r>
      <w:r w:rsidR="00F401AB">
        <w:rPr>
          <w:rFonts w:ascii="Arial" w:hAnsi="Arial" w:cs="Arial"/>
          <w:sz w:val="22"/>
          <w:szCs w:val="22"/>
        </w:rPr>
        <w:t>, well-</w:t>
      </w:r>
      <w:r w:rsidR="00E33506">
        <w:rPr>
          <w:rFonts w:ascii="Arial" w:hAnsi="Arial" w:cs="Arial"/>
          <w:sz w:val="22"/>
          <w:szCs w:val="22"/>
        </w:rPr>
        <w:t>categorised products from the jurisdiction of agvet chemicals regulation.</w:t>
      </w:r>
    </w:p>
    <w:p w:rsidR="00B847AE" w:rsidRDefault="00B847AE" w:rsidP="00964F29">
      <w:pPr>
        <w:rPr>
          <w:rFonts w:ascii="Arial" w:hAnsi="Arial" w:cs="Arial"/>
          <w:sz w:val="22"/>
          <w:szCs w:val="22"/>
        </w:rPr>
      </w:pPr>
    </w:p>
    <w:p w:rsidR="002411AB" w:rsidRDefault="009D6AA6" w:rsidP="00B6511A">
      <w:pPr>
        <w:rPr>
          <w:rFonts w:ascii="Arial" w:hAnsi="Arial" w:cs="Arial"/>
          <w:sz w:val="22"/>
          <w:szCs w:val="22"/>
        </w:rPr>
      </w:pPr>
      <w:r>
        <w:rPr>
          <w:rFonts w:ascii="Arial" w:hAnsi="Arial" w:cs="Arial"/>
          <w:sz w:val="22"/>
          <w:szCs w:val="22"/>
        </w:rPr>
        <w:t>T</w:t>
      </w:r>
      <w:r w:rsidR="00F401AB">
        <w:rPr>
          <w:rFonts w:ascii="Arial" w:hAnsi="Arial" w:cs="Arial"/>
          <w:sz w:val="22"/>
          <w:szCs w:val="22"/>
        </w:rPr>
        <w:t>ime and money are</w:t>
      </w:r>
      <w:r w:rsidR="002411AB">
        <w:rPr>
          <w:rFonts w:ascii="Arial" w:hAnsi="Arial" w:cs="Arial"/>
          <w:sz w:val="22"/>
          <w:szCs w:val="22"/>
        </w:rPr>
        <w:t xml:space="preserve"> the costs associated with registering on-farm dairy cleansers for use </w:t>
      </w:r>
      <w:r w:rsidR="00F401AB">
        <w:rPr>
          <w:rFonts w:ascii="Arial" w:hAnsi="Arial" w:cs="Arial"/>
          <w:sz w:val="22"/>
          <w:szCs w:val="22"/>
        </w:rPr>
        <w:t xml:space="preserve">as hard surface cleansers.  </w:t>
      </w:r>
      <w:r>
        <w:rPr>
          <w:rFonts w:ascii="Arial" w:hAnsi="Arial" w:cs="Arial"/>
          <w:sz w:val="22"/>
          <w:szCs w:val="22"/>
        </w:rPr>
        <w:t xml:space="preserve">For example something as simple as a label change can take up to four months to complete.  </w:t>
      </w:r>
      <w:r w:rsidR="00B6511A">
        <w:rPr>
          <w:rFonts w:ascii="Arial" w:hAnsi="Arial" w:cs="Arial"/>
          <w:sz w:val="22"/>
          <w:szCs w:val="22"/>
        </w:rPr>
        <w:t xml:space="preserve">Registrants are unable to quickly respond to market conditions, for example, </w:t>
      </w:r>
      <w:r w:rsidR="00B6511A" w:rsidRPr="00B6511A">
        <w:rPr>
          <w:rFonts w:ascii="Arial" w:hAnsi="Arial" w:cs="Arial"/>
          <w:sz w:val="22"/>
          <w:szCs w:val="22"/>
        </w:rPr>
        <w:t>there has been a concerted push by the dairy industry to have quaternary ammonium compounds removed from cleaning and sanitising products due to residue issu</w:t>
      </w:r>
      <w:r w:rsidR="00B6511A">
        <w:rPr>
          <w:rFonts w:ascii="Arial" w:hAnsi="Arial" w:cs="Arial"/>
          <w:sz w:val="22"/>
          <w:szCs w:val="22"/>
        </w:rPr>
        <w:t>es in finished dairy products (</w:t>
      </w:r>
      <w:r w:rsidR="00C87D63">
        <w:rPr>
          <w:rFonts w:ascii="Arial" w:hAnsi="Arial" w:cs="Arial"/>
          <w:sz w:val="22"/>
          <w:szCs w:val="22"/>
        </w:rPr>
        <w:t>mainly infant formulae</w:t>
      </w:r>
      <w:r w:rsidR="00B6511A" w:rsidRPr="00B6511A">
        <w:rPr>
          <w:rFonts w:ascii="Arial" w:hAnsi="Arial" w:cs="Arial"/>
          <w:sz w:val="22"/>
          <w:szCs w:val="22"/>
        </w:rPr>
        <w:t>) in some European markets.</w:t>
      </w:r>
      <w:r w:rsidR="00B6511A">
        <w:rPr>
          <w:rFonts w:ascii="Arial" w:hAnsi="Arial" w:cs="Arial"/>
          <w:sz w:val="22"/>
          <w:szCs w:val="22"/>
        </w:rPr>
        <w:t xml:space="preserve">  An Accord member advised that it was unable to meet a customer’s need within a timely manner to repack a product for </w:t>
      </w:r>
      <w:r w:rsidR="00B6511A" w:rsidRPr="00B6511A">
        <w:rPr>
          <w:rFonts w:ascii="Arial" w:hAnsi="Arial" w:cs="Arial"/>
          <w:sz w:val="22"/>
          <w:szCs w:val="22"/>
        </w:rPr>
        <w:t>farmers to use which is “</w:t>
      </w:r>
      <w:proofErr w:type="spellStart"/>
      <w:r w:rsidR="00B6511A" w:rsidRPr="00B6511A">
        <w:rPr>
          <w:rFonts w:ascii="Arial" w:hAnsi="Arial" w:cs="Arial"/>
          <w:sz w:val="22"/>
          <w:szCs w:val="22"/>
        </w:rPr>
        <w:t>qac</w:t>
      </w:r>
      <w:proofErr w:type="spellEnd"/>
      <w:r w:rsidR="00B6511A" w:rsidRPr="00B6511A">
        <w:rPr>
          <w:rFonts w:ascii="Arial" w:hAnsi="Arial" w:cs="Arial"/>
          <w:sz w:val="22"/>
          <w:szCs w:val="22"/>
        </w:rPr>
        <w:t xml:space="preserve"> free“</w:t>
      </w:r>
      <w:r w:rsidR="00B6511A">
        <w:rPr>
          <w:rFonts w:ascii="Arial" w:hAnsi="Arial" w:cs="Arial"/>
          <w:sz w:val="22"/>
          <w:szCs w:val="22"/>
        </w:rPr>
        <w:t xml:space="preserve"> to meet the new demands placed on them not from regulatory agencies, but upstream dairy manufacture</w:t>
      </w:r>
      <w:r w:rsidR="00C87D63">
        <w:rPr>
          <w:rFonts w:ascii="Arial" w:hAnsi="Arial" w:cs="Arial"/>
          <w:sz w:val="22"/>
          <w:szCs w:val="22"/>
        </w:rPr>
        <w:t>r</w:t>
      </w:r>
      <w:r w:rsidR="00B6511A">
        <w:rPr>
          <w:rFonts w:ascii="Arial" w:hAnsi="Arial" w:cs="Arial"/>
          <w:sz w:val="22"/>
          <w:szCs w:val="22"/>
        </w:rPr>
        <w:t xml:space="preserve">s.  </w:t>
      </w:r>
      <w:r w:rsidR="00F401AB">
        <w:rPr>
          <w:rFonts w:ascii="Arial" w:hAnsi="Arial" w:cs="Arial"/>
          <w:sz w:val="22"/>
          <w:szCs w:val="22"/>
        </w:rPr>
        <w:t>Off-</w:t>
      </w:r>
      <w:r w:rsidR="002411AB">
        <w:rPr>
          <w:rFonts w:ascii="Arial" w:hAnsi="Arial" w:cs="Arial"/>
          <w:sz w:val="22"/>
          <w:szCs w:val="22"/>
        </w:rPr>
        <w:t>farm cleansers are not subject</w:t>
      </w:r>
      <w:r w:rsidR="00F401AB">
        <w:rPr>
          <w:rFonts w:ascii="Arial" w:hAnsi="Arial" w:cs="Arial"/>
          <w:sz w:val="22"/>
          <w:szCs w:val="22"/>
        </w:rPr>
        <w:t>ed</w:t>
      </w:r>
      <w:r w:rsidR="002411AB">
        <w:rPr>
          <w:rFonts w:ascii="Arial" w:hAnsi="Arial" w:cs="Arial"/>
          <w:sz w:val="22"/>
          <w:szCs w:val="22"/>
        </w:rPr>
        <w:t xml:space="preserve"> to the same regulatory requirements</w:t>
      </w:r>
      <w:r w:rsidR="00E82052">
        <w:rPr>
          <w:rFonts w:ascii="Arial" w:hAnsi="Arial" w:cs="Arial"/>
          <w:sz w:val="22"/>
          <w:szCs w:val="22"/>
        </w:rPr>
        <w:t xml:space="preserve"> and hence </w:t>
      </w:r>
      <w:r w:rsidR="00C87D63">
        <w:rPr>
          <w:rFonts w:ascii="Arial" w:hAnsi="Arial" w:cs="Arial"/>
          <w:sz w:val="22"/>
          <w:szCs w:val="22"/>
        </w:rPr>
        <w:t xml:space="preserve">manufacturers of these products </w:t>
      </w:r>
      <w:r w:rsidR="00D617E9">
        <w:rPr>
          <w:rFonts w:ascii="Arial" w:hAnsi="Arial" w:cs="Arial"/>
          <w:sz w:val="22"/>
          <w:szCs w:val="22"/>
        </w:rPr>
        <w:t>b</w:t>
      </w:r>
      <w:r w:rsidR="00E82052">
        <w:rPr>
          <w:rFonts w:ascii="Arial" w:hAnsi="Arial" w:cs="Arial"/>
          <w:sz w:val="22"/>
          <w:szCs w:val="22"/>
        </w:rPr>
        <w:t xml:space="preserve">etter placed to meet changing market demands </w:t>
      </w:r>
      <w:r w:rsidR="00C87D63">
        <w:rPr>
          <w:rFonts w:ascii="Arial" w:hAnsi="Arial" w:cs="Arial"/>
          <w:sz w:val="22"/>
          <w:szCs w:val="22"/>
        </w:rPr>
        <w:t>and/</w:t>
      </w:r>
      <w:r w:rsidR="00E82052">
        <w:rPr>
          <w:rFonts w:ascii="Arial" w:hAnsi="Arial" w:cs="Arial"/>
          <w:sz w:val="22"/>
          <w:szCs w:val="22"/>
        </w:rPr>
        <w:t xml:space="preserve">or </w:t>
      </w:r>
      <w:r w:rsidR="00C87D63">
        <w:rPr>
          <w:rFonts w:ascii="Arial" w:hAnsi="Arial" w:cs="Arial"/>
          <w:sz w:val="22"/>
          <w:szCs w:val="22"/>
        </w:rPr>
        <w:t xml:space="preserve">regulatory </w:t>
      </w:r>
      <w:r w:rsidR="00E82052">
        <w:rPr>
          <w:rFonts w:ascii="Arial" w:hAnsi="Arial" w:cs="Arial"/>
          <w:sz w:val="22"/>
          <w:szCs w:val="22"/>
        </w:rPr>
        <w:t>conditions</w:t>
      </w:r>
      <w:r w:rsidR="002411AB">
        <w:rPr>
          <w:rFonts w:ascii="Arial" w:hAnsi="Arial" w:cs="Arial"/>
          <w:sz w:val="22"/>
          <w:szCs w:val="22"/>
        </w:rPr>
        <w:t>.  Accord members supply into the both markets</w:t>
      </w:r>
      <w:r w:rsidR="00E82052">
        <w:rPr>
          <w:rFonts w:ascii="Arial" w:hAnsi="Arial" w:cs="Arial"/>
          <w:sz w:val="22"/>
          <w:szCs w:val="22"/>
        </w:rPr>
        <w:t xml:space="preserve">, i.e. on and off-farm with </w:t>
      </w:r>
      <w:r w:rsidR="002411AB">
        <w:rPr>
          <w:rFonts w:ascii="Arial" w:hAnsi="Arial" w:cs="Arial"/>
          <w:sz w:val="22"/>
          <w:szCs w:val="22"/>
        </w:rPr>
        <w:t xml:space="preserve">similar products </w:t>
      </w:r>
      <w:r w:rsidR="00E82052">
        <w:rPr>
          <w:rFonts w:ascii="Arial" w:hAnsi="Arial" w:cs="Arial"/>
          <w:sz w:val="22"/>
          <w:szCs w:val="22"/>
        </w:rPr>
        <w:t xml:space="preserve">but </w:t>
      </w:r>
      <w:r w:rsidR="00C87D63">
        <w:rPr>
          <w:rFonts w:ascii="Arial" w:hAnsi="Arial" w:cs="Arial"/>
          <w:sz w:val="22"/>
          <w:szCs w:val="22"/>
        </w:rPr>
        <w:t xml:space="preserve">which </w:t>
      </w:r>
      <w:r w:rsidR="00E82052">
        <w:rPr>
          <w:rFonts w:ascii="Arial" w:hAnsi="Arial" w:cs="Arial"/>
          <w:sz w:val="22"/>
          <w:szCs w:val="22"/>
        </w:rPr>
        <w:t xml:space="preserve">have </w:t>
      </w:r>
      <w:r w:rsidR="00D617E9">
        <w:rPr>
          <w:rFonts w:ascii="Arial" w:hAnsi="Arial" w:cs="Arial"/>
          <w:sz w:val="22"/>
          <w:szCs w:val="22"/>
        </w:rPr>
        <w:t xml:space="preserve">very </w:t>
      </w:r>
      <w:r w:rsidR="00E82052">
        <w:rPr>
          <w:rFonts w:ascii="Arial" w:hAnsi="Arial" w:cs="Arial"/>
          <w:sz w:val="22"/>
          <w:szCs w:val="22"/>
        </w:rPr>
        <w:t xml:space="preserve">different regulatory requirements.  </w:t>
      </w:r>
    </w:p>
    <w:p w:rsidR="002411AB" w:rsidRDefault="002411AB" w:rsidP="00964F29">
      <w:pPr>
        <w:rPr>
          <w:rFonts w:ascii="Arial" w:hAnsi="Arial" w:cs="Arial"/>
          <w:sz w:val="22"/>
          <w:szCs w:val="22"/>
        </w:rPr>
      </w:pPr>
    </w:p>
    <w:p w:rsidR="002411AB" w:rsidRPr="002411AB" w:rsidRDefault="002411AB" w:rsidP="00964F29">
      <w:pPr>
        <w:rPr>
          <w:rFonts w:ascii="Arial" w:hAnsi="Arial" w:cs="Arial"/>
          <w:sz w:val="22"/>
          <w:szCs w:val="22"/>
        </w:rPr>
      </w:pPr>
      <w:r w:rsidRPr="002411AB">
        <w:rPr>
          <w:rFonts w:ascii="Arial" w:hAnsi="Arial" w:cs="Arial"/>
          <w:sz w:val="22"/>
          <w:szCs w:val="22"/>
        </w:rPr>
        <w:t xml:space="preserve">The PC is seeking information </w:t>
      </w:r>
      <w:r w:rsidR="00337E85">
        <w:rPr>
          <w:rFonts w:ascii="Arial" w:hAnsi="Arial" w:cs="Arial"/>
          <w:sz w:val="22"/>
          <w:szCs w:val="22"/>
        </w:rPr>
        <w:t xml:space="preserve">as to </w:t>
      </w:r>
      <w:r w:rsidR="0068194C">
        <w:rPr>
          <w:rFonts w:ascii="Arial" w:hAnsi="Arial" w:cs="Arial"/>
          <w:sz w:val="22"/>
          <w:szCs w:val="22"/>
        </w:rPr>
        <w:t xml:space="preserve">what extent these costs are amenable to policy action.  </w:t>
      </w:r>
      <w:r w:rsidR="00F401AB">
        <w:rPr>
          <w:rFonts w:ascii="Arial" w:hAnsi="Arial" w:cs="Arial"/>
          <w:sz w:val="22"/>
          <w:szCs w:val="22"/>
        </w:rPr>
        <w:t xml:space="preserve">A </w:t>
      </w:r>
      <w:r w:rsidR="002E1F5D">
        <w:rPr>
          <w:rFonts w:ascii="Arial" w:hAnsi="Arial" w:cs="Arial"/>
          <w:sz w:val="22"/>
          <w:szCs w:val="22"/>
        </w:rPr>
        <w:t xml:space="preserve">policy decision </w:t>
      </w:r>
      <w:r w:rsidR="00F401AB">
        <w:rPr>
          <w:rFonts w:ascii="Arial" w:hAnsi="Arial" w:cs="Arial"/>
          <w:sz w:val="22"/>
          <w:szCs w:val="22"/>
        </w:rPr>
        <w:t>was</w:t>
      </w:r>
      <w:r w:rsidR="002E1F5D">
        <w:rPr>
          <w:rFonts w:ascii="Arial" w:hAnsi="Arial" w:cs="Arial"/>
          <w:sz w:val="22"/>
          <w:szCs w:val="22"/>
        </w:rPr>
        <w:t xml:space="preserve"> taken </w:t>
      </w:r>
      <w:r w:rsidR="00F401AB">
        <w:rPr>
          <w:rFonts w:ascii="Arial" w:hAnsi="Arial" w:cs="Arial"/>
          <w:sz w:val="22"/>
          <w:szCs w:val="22"/>
        </w:rPr>
        <w:t xml:space="preserve">in 2010 </w:t>
      </w:r>
      <w:r w:rsidR="002E1F5D">
        <w:rPr>
          <w:rFonts w:ascii="Arial" w:hAnsi="Arial" w:cs="Arial"/>
          <w:sz w:val="22"/>
          <w:szCs w:val="22"/>
        </w:rPr>
        <w:t xml:space="preserve">to </w:t>
      </w:r>
      <w:r w:rsidR="00D87975">
        <w:rPr>
          <w:rFonts w:ascii="Arial" w:hAnsi="Arial" w:cs="Arial"/>
          <w:sz w:val="22"/>
          <w:szCs w:val="22"/>
        </w:rPr>
        <w:t>develop a less regulated approach within the APVMA which involved either reduced data or a template approach.  Industry has been working with the APVMA since 2010 to develop an acceptable model with no success</w:t>
      </w:r>
      <w:r w:rsidR="00D617E9">
        <w:rPr>
          <w:rFonts w:ascii="Arial" w:hAnsi="Arial" w:cs="Arial"/>
          <w:sz w:val="22"/>
          <w:szCs w:val="22"/>
        </w:rPr>
        <w:t>,</w:t>
      </w:r>
      <w:r w:rsidR="00D87975">
        <w:rPr>
          <w:rFonts w:ascii="Arial" w:hAnsi="Arial" w:cs="Arial"/>
          <w:sz w:val="22"/>
          <w:szCs w:val="22"/>
        </w:rPr>
        <w:t xml:space="preserve"> </w:t>
      </w:r>
      <w:r w:rsidR="002E1F5D">
        <w:rPr>
          <w:rFonts w:ascii="Arial" w:hAnsi="Arial" w:cs="Arial"/>
          <w:sz w:val="22"/>
          <w:szCs w:val="22"/>
        </w:rPr>
        <w:t xml:space="preserve">due </w:t>
      </w:r>
      <w:r w:rsidR="00D617E9">
        <w:rPr>
          <w:rFonts w:ascii="Arial" w:hAnsi="Arial" w:cs="Arial"/>
          <w:sz w:val="22"/>
          <w:szCs w:val="22"/>
        </w:rPr>
        <w:t xml:space="preserve">primarily </w:t>
      </w:r>
      <w:r w:rsidR="002E1F5D">
        <w:rPr>
          <w:rFonts w:ascii="Arial" w:hAnsi="Arial" w:cs="Arial"/>
          <w:sz w:val="22"/>
          <w:szCs w:val="22"/>
        </w:rPr>
        <w:t xml:space="preserve">to the risk averse nature of the </w:t>
      </w:r>
      <w:r w:rsidR="00112487">
        <w:rPr>
          <w:rFonts w:ascii="Arial" w:hAnsi="Arial" w:cs="Arial"/>
          <w:sz w:val="22"/>
          <w:szCs w:val="22"/>
        </w:rPr>
        <w:t>regulator</w:t>
      </w:r>
      <w:r w:rsidR="002E1F5D">
        <w:rPr>
          <w:rFonts w:ascii="Arial" w:hAnsi="Arial" w:cs="Arial"/>
          <w:sz w:val="22"/>
          <w:szCs w:val="22"/>
        </w:rPr>
        <w:t xml:space="preserve">.  </w:t>
      </w:r>
      <w:r w:rsidR="00112487">
        <w:rPr>
          <w:rFonts w:ascii="Arial" w:hAnsi="Arial" w:cs="Arial"/>
          <w:sz w:val="22"/>
          <w:szCs w:val="22"/>
        </w:rPr>
        <w:t xml:space="preserve">Given the government's focus on a deregulatory agenda we believe that </w:t>
      </w:r>
      <w:r w:rsidR="00C87D63">
        <w:rPr>
          <w:rFonts w:ascii="Arial" w:hAnsi="Arial" w:cs="Arial"/>
          <w:sz w:val="22"/>
          <w:szCs w:val="22"/>
        </w:rPr>
        <w:t>a new</w:t>
      </w:r>
      <w:r w:rsidR="00112487">
        <w:rPr>
          <w:rFonts w:ascii="Arial" w:hAnsi="Arial" w:cs="Arial"/>
          <w:sz w:val="22"/>
          <w:szCs w:val="22"/>
        </w:rPr>
        <w:t xml:space="preserve"> policy decision </w:t>
      </w:r>
      <w:r w:rsidR="00C87D63">
        <w:rPr>
          <w:rFonts w:ascii="Arial" w:hAnsi="Arial" w:cs="Arial"/>
          <w:sz w:val="22"/>
          <w:szCs w:val="22"/>
        </w:rPr>
        <w:t>is required</w:t>
      </w:r>
      <w:r w:rsidR="00D87975">
        <w:rPr>
          <w:rFonts w:ascii="Arial" w:hAnsi="Arial" w:cs="Arial"/>
          <w:sz w:val="22"/>
          <w:szCs w:val="22"/>
        </w:rPr>
        <w:t xml:space="preserve"> </w:t>
      </w:r>
      <w:r w:rsidR="00C87D63">
        <w:rPr>
          <w:rFonts w:ascii="Arial" w:hAnsi="Arial" w:cs="Arial"/>
          <w:sz w:val="22"/>
          <w:szCs w:val="22"/>
        </w:rPr>
        <w:t xml:space="preserve">to </w:t>
      </w:r>
      <w:r w:rsidR="00112487">
        <w:rPr>
          <w:rFonts w:ascii="Arial" w:hAnsi="Arial" w:cs="Arial"/>
          <w:sz w:val="22"/>
          <w:szCs w:val="22"/>
        </w:rPr>
        <w:t xml:space="preserve">exclude these products from the APVMA’s jurisdiction altogether and have the same regulatory treatment as </w:t>
      </w:r>
      <w:r w:rsidR="00E82052">
        <w:rPr>
          <w:rFonts w:ascii="Arial" w:hAnsi="Arial" w:cs="Arial"/>
          <w:sz w:val="22"/>
          <w:szCs w:val="22"/>
        </w:rPr>
        <w:t xml:space="preserve">for </w:t>
      </w:r>
      <w:r w:rsidR="00112487">
        <w:rPr>
          <w:rFonts w:ascii="Arial" w:hAnsi="Arial" w:cs="Arial"/>
          <w:sz w:val="22"/>
          <w:szCs w:val="22"/>
        </w:rPr>
        <w:t>off-farm products.</w:t>
      </w:r>
    </w:p>
    <w:p w:rsidR="002411AB" w:rsidRDefault="002411AB" w:rsidP="00964F29">
      <w:pPr>
        <w:rPr>
          <w:rFonts w:ascii="Arial" w:hAnsi="Arial" w:cs="Arial"/>
          <w:sz w:val="22"/>
          <w:szCs w:val="22"/>
        </w:rPr>
      </w:pPr>
    </w:p>
    <w:p w:rsidR="00DD3B5B" w:rsidRDefault="00DD3B5B" w:rsidP="00964F29">
      <w:pPr>
        <w:rPr>
          <w:rFonts w:ascii="Arial" w:hAnsi="Arial" w:cs="Arial"/>
          <w:sz w:val="22"/>
          <w:szCs w:val="22"/>
        </w:rPr>
      </w:pPr>
      <w:r w:rsidRPr="00DD3B5B">
        <w:rPr>
          <w:rFonts w:ascii="Arial" w:hAnsi="Arial" w:cs="Arial"/>
          <w:sz w:val="22"/>
          <w:szCs w:val="22"/>
        </w:rPr>
        <w:t xml:space="preserve">Attachment 2 provides an outline of the current requirements along with a proposal </w:t>
      </w:r>
      <w:r w:rsidR="00E82052">
        <w:rPr>
          <w:rFonts w:ascii="Arial" w:hAnsi="Arial" w:cs="Arial"/>
          <w:sz w:val="22"/>
          <w:szCs w:val="22"/>
        </w:rPr>
        <w:t xml:space="preserve">which was put to the APVMA </w:t>
      </w:r>
      <w:r w:rsidRPr="00DD3B5B">
        <w:rPr>
          <w:rFonts w:ascii="Arial" w:hAnsi="Arial" w:cs="Arial"/>
          <w:sz w:val="22"/>
          <w:szCs w:val="22"/>
        </w:rPr>
        <w:t>for a lighter regulatory touch</w:t>
      </w:r>
      <w:r w:rsidR="00E82052">
        <w:rPr>
          <w:rFonts w:ascii="Arial" w:hAnsi="Arial" w:cs="Arial"/>
          <w:sz w:val="22"/>
          <w:szCs w:val="22"/>
        </w:rPr>
        <w:t xml:space="preserve">.  The approach </w:t>
      </w:r>
      <w:r w:rsidRPr="00DD3B5B">
        <w:rPr>
          <w:rFonts w:ascii="Arial" w:hAnsi="Arial" w:cs="Arial"/>
          <w:sz w:val="22"/>
          <w:szCs w:val="22"/>
        </w:rPr>
        <w:t xml:space="preserve">is basically a self-assessment </w:t>
      </w:r>
      <w:r w:rsidR="00E82052">
        <w:rPr>
          <w:rFonts w:ascii="Arial" w:hAnsi="Arial" w:cs="Arial"/>
          <w:sz w:val="22"/>
          <w:szCs w:val="22"/>
        </w:rPr>
        <w:t xml:space="preserve">process </w:t>
      </w:r>
      <w:r>
        <w:rPr>
          <w:rFonts w:ascii="Arial" w:hAnsi="Arial" w:cs="Arial"/>
          <w:sz w:val="22"/>
          <w:szCs w:val="22"/>
        </w:rPr>
        <w:t>against agreed-</w:t>
      </w:r>
      <w:r w:rsidRPr="00DD3B5B">
        <w:rPr>
          <w:rFonts w:ascii="Arial" w:hAnsi="Arial" w:cs="Arial"/>
          <w:sz w:val="22"/>
          <w:szCs w:val="22"/>
        </w:rPr>
        <w:t>to standards.</w:t>
      </w:r>
      <w:r>
        <w:rPr>
          <w:rFonts w:ascii="Arial" w:hAnsi="Arial" w:cs="Arial"/>
          <w:sz w:val="22"/>
          <w:szCs w:val="22"/>
        </w:rPr>
        <w:t xml:space="preserve">  This approach </w:t>
      </w:r>
      <w:r w:rsidR="00E82052">
        <w:rPr>
          <w:rFonts w:ascii="Arial" w:hAnsi="Arial" w:cs="Arial"/>
          <w:sz w:val="22"/>
          <w:szCs w:val="22"/>
        </w:rPr>
        <w:t>is based on a s</w:t>
      </w:r>
      <w:r>
        <w:rPr>
          <w:rFonts w:ascii="Arial" w:hAnsi="Arial" w:cs="Arial"/>
          <w:sz w:val="22"/>
          <w:szCs w:val="22"/>
        </w:rPr>
        <w:t xml:space="preserve">uccessful New </w:t>
      </w:r>
      <w:r w:rsidR="0084052B">
        <w:rPr>
          <w:rFonts w:ascii="Arial" w:hAnsi="Arial" w:cs="Arial"/>
          <w:sz w:val="22"/>
          <w:szCs w:val="22"/>
        </w:rPr>
        <w:t>Zealand</w:t>
      </w:r>
      <w:r>
        <w:rPr>
          <w:rFonts w:ascii="Arial" w:hAnsi="Arial" w:cs="Arial"/>
          <w:sz w:val="22"/>
          <w:szCs w:val="22"/>
        </w:rPr>
        <w:t xml:space="preserve"> model for the </w:t>
      </w:r>
      <w:r w:rsidR="0084052B">
        <w:rPr>
          <w:rFonts w:ascii="Arial" w:hAnsi="Arial" w:cs="Arial"/>
          <w:sz w:val="22"/>
          <w:szCs w:val="22"/>
        </w:rPr>
        <w:t>management</w:t>
      </w:r>
      <w:r>
        <w:rPr>
          <w:rFonts w:ascii="Arial" w:hAnsi="Arial" w:cs="Arial"/>
          <w:sz w:val="22"/>
          <w:szCs w:val="22"/>
        </w:rPr>
        <w:t xml:space="preserve"> of products with a </w:t>
      </w:r>
      <w:r w:rsidR="0084052B">
        <w:rPr>
          <w:rFonts w:ascii="Arial" w:hAnsi="Arial" w:cs="Arial"/>
          <w:sz w:val="22"/>
          <w:szCs w:val="22"/>
        </w:rPr>
        <w:t>similar</w:t>
      </w:r>
      <w:r>
        <w:rPr>
          <w:rFonts w:ascii="Arial" w:hAnsi="Arial" w:cs="Arial"/>
          <w:sz w:val="22"/>
          <w:szCs w:val="22"/>
        </w:rPr>
        <w:t xml:space="preserve"> hazard </w:t>
      </w:r>
      <w:r w:rsidR="0084052B">
        <w:rPr>
          <w:rFonts w:ascii="Arial" w:hAnsi="Arial" w:cs="Arial"/>
          <w:sz w:val="22"/>
          <w:szCs w:val="22"/>
        </w:rPr>
        <w:t>profile</w:t>
      </w:r>
      <w:r>
        <w:rPr>
          <w:rFonts w:ascii="Arial" w:hAnsi="Arial" w:cs="Arial"/>
          <w:sz w:val="22"/>
          <w:szCs w:val="22"/>
        </w:rPr>
        <w:t xml:space="preserve"> </w:t>
      </w:r>
      <w:r w:rsidR="00E82052">
        <w:rPr>
          <w:rFonts w:ascii="Arial" w:hAnsi="Arial" w:cs="Arial"/>
          <w:sz w:val="22"/>
          <w:szCs w:val="22"/>
        </w:rPr>
        <w:t xml:space="preserve">but </w:t>
      </w:r>
      <w:r w:rsidR="00D617E9">
        <w:rPr>
          <w:rFonts w:ascii="Arial" w:hAnsi="Arial" w:cs="Arial"/>
          <w:sz w:val="22"/>
          <w:szCs w:val="22"/>
        </w:rPr>
        <w:t xml:space="preserve">this </w:t>
      </w:r>
      <w:r>
        <w:rPr>
          <w:rFonts w:ascii="Arial" w:hAnsi="Arial" w:cs="Arial"/>
          <w:sz w:val="22"/>
          <w:szCs w:val="22"/>
        </w:rPr>
        <w:t xml:space="preserve">has been </w:t>
      </w:r>
      <w:r w:rsidR="0084052B">
        <w:rPr>
          <w:rFonts w:ascii="Arial" w:hAnsi="Arial" w:cs="Arial"/>
          <w:sz w:val="22"/>
          <w:szCs w:val="22"/>
        </w:rPr>
        <w:t>rejected</w:t>
      </w:r>
      <w:r>
        <w:rPr>
          <w:rFonts w:ascii="Arial" w:hAnsi="Arial" w:cs="Arial"/>
          <w:sz w:val="22"/>
          <w:szCs w:val="22"/>
        </w:rPr>
        <w:t xml:space="preserve"> by the APVMA.  We have included this as an example </w:t>
      </w:r>
      <w:r w:rsidR="00E82052">
        <w:rPr>
          <w:rFonts w:ascii="Arial" w:hAnsi="Arial" w:cs="Arial"/>
          <w:sz w:val="22"/>
          <w:szCs w:val="22"/>
        </w:rPr>
        <w:t xml:space="preserve">to demonstrate </w:t>
      </w:r>
      <w:r w:rsidR="0084052B">
        <w:rPr>
          <w:rFonts w:ascii="Arial" w:hAnsi="Arial" w:cs="Arial"/>
          <w:sz w:val="22"/>
          <w:szCs w:val="22"/>
        </w:rPr>
        <w:t>how</w:t>
      </w:r>
      <w:r>
        <w:rPr>
          <w:rFonts w:ascii="Arial" w:hAnsi="Arial" w:cs="Arial"/>
          <w:sz w:val="22"/>
          <w:szCs w:val="22"/>
        </w:rPr>
        <w:t xml:space="preserve"> </w:t>
      </w:r>
      <w:r w:rsidR="0084052B">
        <w:rPr>
          <w:rFonts w:ascii="Arial" w:hAnsi="Arial" w:cs="Arial"/>
          <w:sz w:val="22"/>
          <w:szCs w:val="22"/>
        </w:rPr>
        <w:t>industry</w:t>
      </w:r>
      <w:r>
        <w:rPr>
          <w:rFonts w:ascii="Arial" w:hAnsi="Arial" w:cs="Arial"/>
          <w:sz w:val="22"/>
          <w:szCs w:val="22"/>
        </w:rPr>
        <w:t xml:space="preserve"> was </w:t>
      </w:r>
      <w:r w:rsidR="0084052B">
        <w:rPr>
          <w:rFonts w:ascii="Arial" w:hAnsi="Arial" w:cs="Arial"/>
          <w:sz w:val="22"/>
          <w:szCs w:val="22"/>
        </w:rPr>
        <w:t>prepared</w:t>
      </w:r>
      <w:r>
        <w:rPr>
          <w:rFonts w:ascii="Arial" w:hAnsi="Arial" w:cs="Arial"/>
          <w:sz w:val="22"/>
          <w:szCs w:val="22"/>
        </w:rPr>
        <w:t xml:space="preserve"> to </w:t>
      </w:r>
      <w:r w:rsidR="00D617E9">
        <w:rPr>
          <w:rFonts w:ascii="Arial" w:hAnsi="Arial" w:cs="Arial"/>
          <w:sz w:val="22"/>
          <w:szCs w:val="22"/>
        </w:rPr>
        <w:t xml:space="preserve">constructively </w:t>
      </w:r>
      <w:r w:rsidR="0084052B">
        <w:rPr>
          <w:rFonts w:ascii="Arial" w:hAnsi="Arial" w:cs="Arial"/>
          <w:sz w:val="22"/>
          <w:szCs w:val="22"/>
        </w:rPr>
        <w:t>work</w:t>
      </w:r>
      <w:r>
        <w:rPr>
          <w:rFonts w:ascii="Arial" w:hAnsi="Arial" w:cs="Arial"/>
          <w:sz w:val="22"/>
          <w:szCs w:val="22"/>
        </w:rPr>
        <w:t xml:space="preserve"> with</w:t>
      </w:r>
      <w:r w:rsidR="00E82052">
        <w:rPr>
          <w:rFonts w:ascii="Arial" w:hAnsi="Arial" w:cs="Arial"/>
          <w:sz w:val="22"/>
          <w:szCs w:val="22"/>
        </w:rPr>
        <w:t>in</w:t>
      </w:r>
      <w:r>
        <w:rPr>
          <w:rFonts w:ascii="Arial" w:hAnsi="Arial" w:cs="Arial"/>
          <w:sz w:val="22"/>
          <w:szCs w:val="22"/>
        </w:rPr>
        <w:t xml:space="preserve"> the current </w:t>
      </w:r>
      <w:r w:rsidR="0084052B">
        <w:rPr>
          <w:rFonts w:ascii="Arial" w:hAnsi="Arial" w:cs="Arial"/>
          <w:sz w:val="22"/>
          <w:szCs w:val="22"/>
        </w:rPr>
        <w:t>agvet</w:t>
      </w:r>
      <w:r>
        <w:rPr>
          <w:rFonts w:ascii="Arial" w:hAnsi="Arial" w:cs="Arial"/>
          <w:sz w:val="22"/>
          <w:szCs w:val="22"/>
        </w:rPr>
        <w:t xml:space="preserve"> </w:t>
      </w:r>
      <w:r w:rsidR="0084052B">
        <w:rPr>
          <w:rFonts w:ascii="Arial" w:hAnsi="Arial" w:cs="Arial"/>
          <w:sz w:val="22"/>
          <w:szCs w:val="22"/>
        </w:rPr>
        <w:t>system</w:t>
      </w:r>
      <w:r>
        <w:rPr>
          <w:rFonts w:ascii="Arial" w:hAnsi="Arial" w:cs="Arial"/>
          <w:sz w:val="22"/>
          <w:szCs w:val="22"/>
        </w:rPr>
        <w:t xml:space="preserve"> to </w:t>
      </w:r>
      <w:r w:rsidR="0084052B">
        <w:rPr>
          <w:rFonts w:ascii="Arial" w:hAnsi="Arial" w:cs="Arial"/>
          <w:sz w:val="22"/>
          <w:szCs w:val="22"/>
        </w:rPr>
        <w:t>satisfy</w:t>
      </w:r>
      <w:r>
        <w:rPr>
          <w:rFonts w:ascii="Arial" w:hAnsi="Arial" w:cs="Arial"/>
          <w:sz w:val="22"/>
          <w:szCs w:val="22"/>
        </w:rPr>
        <w:t xml:space="preserve"> the APVMA that its </w:t>
      </w:r>
      <w:r w:rsidR="0084052B">
        <w:rPr>
          <w:rFonts w:ascii="Arial" w:hAnsi="Arial" w:cs="Arial"/>
          <w:sz w:val="22"/>
          <w:szCs w:val="22"/>
        </w:rPr>
        <w:t>regulatory</w:t>
      </w:r>
      <w:r>
        <w:rPr>
          <w:rFonts w:ascii="Arial" w:hAnsi="Arial" w:cs="Arial"/>
          <w:sz w:val="22"/>
          <w:szCs w:val="22"/>
        </w:rPr>
        <w:t xml:space="preserve"> </w:t>
      </w:r>
      <w:r w:rsidR="0084052B">
        <w:rPr>
          <w:rFonts w:ascii="Arial" w:hAnsi="Arial" w:cs="Arial"/>
          <w:sz w:val="22"/>
          <w:szCs w:val="22"/>
        </w:rPr>
        <w:t>requirements</w:t>
      </w:r>
      <w:r>
        <w:rPr>
          <w:rFonts w:ascii="Arial" w:hAnsi="Arial" w:cs="Arial"/>
          <w:sz w:val="22"/>
          <w:szCs w:val="22"/>
        </w:rPr>
        <w:t xml:space="preserve"> could be met through a lighter touch approach.</w:t>
      </w:r>
    </w:p>
    <w:p w:rsidR="00DD3B5B" w:rsidRDefault="00DD3B5B" w:rsidP="00964F29">
      <w:pPr>
        <w:rPr>
          <w:rFonts w:ascii="Arial" w:hAnsi="Arial" w:cs="Arial"/>
          <w:sz w:val="22"/>
          <w:szCs w:val="22"/>
        </w:rPr>
      </w:pPr>
    </w:p>
    <w:p w:rsidR="00E82052" w:rsidRDefault="00E82052" w:rsidP="00E82052">
      <w:pPr>
        <w:rPr>
          <w:rFonts w:ascii="Arial" w:hAnsi="Arial" w:cs="Arial"/>
          <w:sz w:val="22"/>
          <w:szCs w:val="22"/>
        </w:rPr>
      </w:pPr>
      <w:r>
        <w:rPr>
          <w:rFonts w:ascii="Arial" w:hAnsi="Arial" w:cs="Arial"/>
          <w:sz w:val="22"/>
          <w:szCs w:val="22"/>
        </w:rPr>
        <w:t xml:space="preserve">As mentioned, </w:t>
      </w:r>
      <w:r w:rsidRPr="00E82052">
        <w:rPr>
          <w:rFonts w:ascii="Arial" w:hAnsi="Arial" w:cs="Arial"/>
          <w:sz w:val="22"/>
          <w:szCs w:val="22"/>
        </w:rPr>
        <w:t>Accord has been in discussion</w:t>
      </w:r>
      <w:r>
        <w:rPr>
          <w:rFonts w:ascii="Arial" w:hAnsi="Arial" w:cs="Arial"/>
          <w:sz w:val="22"/>
          <w:szCs w:val="22"/>
        </w:rPr>
        <w:t>s</w:t>
      </w:r>
      <w:r w:rsidRPr="00E82052">
        <w:rPr>
          <w:rFonts w:ascii="Arial" w:hAnsi="Arial" w:cs="Arial"/>
          <w:sz w:val="22"/>
          <w:szCs w:val="22"/>
        </w:rPr>
        <w:t xml:space="preserve"> with the APVMA </w:t>
      </w:r>
      <w:r>
        <w:rPr>
          <w:rFonts w:ascii="Arial" w:hAnsi="Arial" w:cs="Arial"/>
          <w:sz w:val="22"/>
          <w:szCs w:val="22"/>
        </w:rPr>
        <w:t xml:space="preserve">since 2010 </w:t>
      </w:r>
      <w:r w:rsidRPr="00E82052">
        <w:rPr>
          <w:rFonts w:ascii="Arial" w:hAnsi="Arial" w:cs="Arial"/>
          <w:sz w:val="22"/>
          <w:szCs w:val="22"/>
        </w:rPr>
        <w:t xml:space="preserve">to accept a regulatory model for low risk dairy cleansers and sanitisers such that their regulatory treatment by the APVMA is comparable to that of their regulatory treatment by FSANZ.  Despite years of work there has been little progress because the APVMA as a risk averse organisation </w:t>
      </w:r>
      <w:r w:rsidR="00D617E9">
        <w:rPr>
          <w:rFonts w:ascii="Arial" w:hAnsi="Arial" w:cs="Arial"/>
          <w:sz w:val="22"/>
          <w:szCs w:val="22"/>
        </w:rPr>
        <w:t xml:space="preserve">has been </w:t>
      </w:r>
      <w:r w:rsidRPr="00E82052">
        <w:rPr>
          <w:rFonts w:ascii="Arial" w:hAnsi="Arial" w:cs="Arial"/>
          <w:sz w:val="22"/>
          <w:szCs w:val="22"/>
        </w:rPr>
        <w:t xml:space="preserve">unable to adequately distinguish between high, medium and low risk and apply the appropriate categorisation and controls.  </w:t>
      </w:r>
    </w:p>
    <w:p w:rsidR="00E82052" w:rsidRDefault="00E82052" w:rsidP="00E82052">
      <w:pPr>
        <w:rPr>
          <w:rFonts w:ascii="Arial" w:hAnsi="Arial" w:cs="Arial"/>
          <w:sz w:val="22"/>
          <w:szCs w:val="22"/>
        </w:rPr>
      </w:pPr>
    </w:p>
    <w:p w:rsidR="00D617E9" w:rsidRDefault="00E82052" w:rsidP="00E82052">
      <w:pPr>
        <w:rPr>
          <w:rFonts w:ascii="Arial" w:hAnsi="Arial" w:cs="Arial"/>
          <w:sz w:val="22"/>
          <w:szCs w:val="22"/>
        </w:rPr>
      </w:pPr>
      <w:r w:rsidRPr="00E82052">
        <w:rPr>
          <w:rFonts w:ascii="Arial" w:hAnsi="Arial" w:cs="Arial"/>
          <w:sz w:val="22"/>
          <w:szCs w:val="22"/>
        </w:rPr>
        <w:t>Accord has presented a model based on a New Zealand system of recognising the control of hazards within a generic framework.  However, we now believe that the time has come for this class of products to be excluded from APVMA registration altogether rather than pursue reform within the APVMA itself.</w:t>
      </w:r>
    </w:p>
    <w:p w:rsidR="00D617E9" w:rsidRDefault="00D617E9" w:rsidP="00E82052">
      <w:pPr>
        <w:rPr>
          <w:rFonts w:ascii="Arial" w:hAnsi="Arial" w:cs="Arial"/>
          <w:sz w:val="22"/>
          <w:szCs w:val="22"/>
        </w:rPr>
      </w:pPr>
    </w:p>
    <w:p w:rsidR="00E82052" w:rsidRPr="00E82052" w:rsidRDefault="00E82052" w:rsidP="00E82052">
      <w:pPr>
        <w:rPr>
          <w:rFonts w:ascii="Arial" w:hAnsi="Arial" w:cs="Arial"/>
          <w:sz w:val="22"/>
          <w:szCs w:val="22"/>
        </w:rPr>
      </w:pPr>
      <w:r w:rsidRPr="00E82052">
        <w:rPr>
          <w:rFonts w:ascii="Arial" w:hAnsi="Arial" w:cs="Arial"/>
          <w:sz w:val="22"/>
          <w:szCs w:val="22"/>
        </w:rPr>
        <w:t xml:space="preserve">We note that in the APVMA Commonwealth Gazette of 25 February 2014, product sales for dairy cleanser for the 2012-13 financial year were approximately $11M and disinfectants and sanitisers were approximately $9M.  Removing these low risk product categories from the APVMA would result in approximate savings of $142,697 in levy fees with a further $79,200 from annual registration </w:t>
      </w:r>
      <w:r w:rsidRPr="00E82052">
        <w:rPr>
          <w:rFonts w:ascii="Arial" w:hAnsi="Arial" w:cs="Arial"/>
          <w:sz w:val="22"/>
          <w:szCs w:val="22"/>
        </w:rPr>
        <w:lastRenderedPageBreak/>
        <w:t>requirements.  Further savings to industry would accrue as no registration applications would be required</w:t>
      </w:r>
      <w:r w:rsidR="00D617E9">
        <w:rPr>
          <w:rFonts w:ascii="Arial" w:hAnsi="Arial" w:cs="Arial"/>
          <w:sz w:val="22"/>
          <w:szCs w:val="22"/>
        </w:rPr>
        <w:t>, no levies imposed, nor delays to market endured</w:t>
      </w:r>
      <w:r w:rsidRPr="00E82052">
        <w:rPr>
          <w:rFonts w:ascii="Arial" w:hAnsi="Arial" w:cs="Arial"/>
          <w:sz w:val="22"/>
          <w:szCs w:val="22"/>
        </w:rPr>
        <w:t>.</w:t>
      </w:r>
    </w:p>
    <w:p w:rsidR="00E82052" w:rsidRDefault="00E82052" w:rsidP="00964F29">
      <w:pPr>
        <w:rPr>
          <w:rFonts w:ascii="Arial" w:hAnsi="Arial" w:cs="Arial"/>
          <w:sz w:val="22"/>
          <w:szCs w:val="22"/>
        </w:rPr>
      </w:pPr>
    </w:p>
    <w:p w:rsidR="00E560D3" w:rsidRPr="00E560D3" w:rsidRDefault="00CE2E2D" w:rsidP="00E560D3">
      <w:pPr>
        <w:rPr>
          <w:rFonts w:ascii="Arial" w:hAnsi="Arial" w:cs="Arial"/>
          <w:sz w:val="22"/>
          <w:szCs w:val="22"/>
        </w:rPr>
      </w:pPr>
      <w:r w:rsidRPr="00CE2E2D">
        <w:rPr>
          <w:rFonts w:ascii="Arial" w:hAnsi="Arial" w:cs="Arial"/>
          <w:sz w:val="22"/>
          <w:szCs w:val="22"/>
        </w:rPr>
        <w:t xml:space="preserve">Of key concern to Accord members is the development of an appropriate risk management framework which recognises products of low regulatory concern and provide the appropriate controls to manage those risks.  </w:t>
      </w:r>
      <w:r w:rsidR="00E560D3" w:rsidRPr="00E560D3">
        <w:rPr>
          <w:rFonts w:ascii="Arial" w:hAnsi="Arial" w:cs="Arial"/>
          <w:sz w:val="22"/>
          <w:szCs w:val="22"/>
        </w:rPr>
        <w:t>Any reform to the agvet regulatory environment must be done within a proper risk management control framework.  However, the risk continuum for regulators differs considerably to that of industry.  It has been Accord’s experience that regulatory agencies have had limited success in implementing reform measures targeting the lower risk spectrum.  This was also identified by the PC report which cited examples of failed reform measures as well as noting that Australian regulatory agencies are inherently conservative.</w:t>
      </w:r>
    </w:p>
    <w:p w:rsidR="00E560D3" w:rsidRPr="00E560D3" w:rsidRDefault="00E560D3" w:rsidP="00E560D3">
      <w:pPr>
        <w:rPr>
          <w:rFonts w:ascii="Arial" w:hAnsi="Arial" w:cs="Arial"/>
          <w:sz w:val="22"/>
          <w:szCs w:val="22"/>
        </w:rPr>
      </w:pPr>
    </w:p>
    <w:p w:rsidR="00EE5E4D" w:rsidRDefault="00E560D3" w:rsidP="00EE5E4D">
      <w:pPr>
        <w:rPr>
          <w:rFonts w:ascii="Arial" w:hAnsi="Arial" w:cs="Arial"/>
          <w:sz w:val="22"/>
          <w:szCs w:val="22"/>
        </w:rPr>
      </w:pPr>
      <w:r w:rsidRPr="00E560D3">
        <w:rPr>
          <w:rFonts w:ascii="Arial" w:hAnsi="Arial" w:cs="Arial"/>
          <w:sz w:val="22"/>
          <w:szCs w:val="22"/>
        </w:rPr>
        <w:t>Clear</w:t>
      </w:r>
      <w:r w:rsidR="00D617E9">
        <w:rPr>
          <w:rFonts w:ascii="Arial" w:hAnsi="Arial" w:cs="Arial"/>
          <w:sz w:val="22"/>
          <w:szCs w:val="22"/>
        </w:rPr>
        <w:t>l</w:t>
      </w:r>
      <w:r w:rsidRPr="00E560D3">
        <w:rPr>
          <w:rFonts w:ascii="Arial" w:hAnsi="Arial" w:cs="Arial"/>
          <w:sz w:val="22"/>
          <w:szCs w:val="22"/>
        </w:rPr>
        <w:t xml:space="preserve">y there is a need to develop a comprehensive regulatory approach to dealing with low risk products so that the APVMA can deal with more pressing issues.  </w:t>
      </w:r>
    </w:p>
    <w:p w:rsidR="00EE5E4D" w:rsidRDefault="00EE5E4D" w:rsidP="00EE5E4D">
      <w:pPr>
        <w:rPr>
          <w:rFonts w:ascii="Arial" w:hAnsi="Arial" w:cs="Arial"/>
          <w:sz w:val="22"/>
          <w:szCs w:val="22"/>
        </w:rPr>
      </w:pPr>
    </w:p>
    <w:p w:rsidR="00C87D63" w:rsidRDefault="00EE5E4D" w:rsidP="00E560D3">
      <w:pPr>
        <w:rPr>
          <w:rFonts w:ascii="Arial" w:hAnsi="Arial" w:cs="Arial"/>
          <w:sz w:val="22"/>
          <w:szCs w:val="22"/>
        </w:rPr>
      </w:pPr>
      <w:r>
        <w:rPr>
          <w:rFonts w:ascii="Arial" w:hAnsi="Arial" w:cs="Arial"/>
          <w:sz w:val="22"/>
          <w:szCs w:val="22"/>
        </w:rPr>
        <w:t>A number of examples of a lighter regulatory approach have been provided to the APVMA and the Department of Agriculture in past submission</w:t>
      </w:r>
      <w:r w:rsidR="00D617E9">
        <w:rPr>
          <w:rFonts w:ascii="Arial" w:hAnsi="Arial" w:cs="Arial"/>
          <w:sz w:val="22"/>
          <w:szCs w:val="22"/>
        </w:rPr>
        <w:t>s</w:t>
      </w:r>
      <w:r>
        <w:rPr>
          <w:rFonts w:ascii="Arial" w:hAnsi="Arial" w:cs="Arial"/>
          <w:sz w:val="22"/>
          <w:szCs w:val="22"/>
        </w:rPr>
        <w:t xml:space="preserve"> on reform priorities.  We provide these to the PC </w:t>
      </w:r>
      <w:r w:rsidR="00C87D63">
        <w:rPr>
          <w:rFonts w:ascii="Arial" w:hAnsi="Arial" w:cs="Arial"/>
          <w:sz w:val="22"/>
          <w:szCs w:val="22"/>
        </w:rPr>
        <w:t xml:space="preserve">in Attachment 3 </w:t>
      </w:r>
      <w:r>
        <w:rPr>
          <w:rFonts w:ascii="Arial" w:hAnsi="Arial" w:cs="Arial"/>
          <w:sz w:val="22"/>
          <w:szCs w:val="22"/>
        </w:rPr>
        <w:t xml:space="preserve">by way of example of the number of options </w:t>
      </w:r>
      <w:r w:rsidR="007D09E9">
        <w:rPr>
          <w:rFonts w:ascii="Arial" w:hAnsi="Arial" w:cs="Arial"/>
          <w:sz w:val="22"/>
          <w:szCs w:val="22"/>
        </w:rPr>
        <w:t xml:space="preserve">adopted internationally </w:t>
      </w:r>
      <w:r>
        <w:rPr>
          <w:rFonts w:ascii="Arial" w:hAnsi="Arial" w:cs="Arial"/>
          <w:sz w:val="22"/>
          <w:szCs w:val="22"/>
        </w:rPr>
        <w:t xml:space="preserve">for reducing the costs on industry which can be adopted in the regulatory management of dairy cleansers and sanitisers should they remain with the APVMA’s jurisdiction.  </w:t>
      </w:r>
    </w:p>
    <w:p w:rsidR="00D617E9" w:rsidRDefault="00D617E9" w:rsidP="00D617E9">
      <w:pPr>
        <w:rPr>
          <w:rFonts w:ascii="Arial" w:hAnsi="Arial" w:cs="Arial"/>
          <w:sz w:val="22"/>
          <w:szCs w:val="22"/>
        </w:rPr>
      </w:pPr>
    </w:p>
    <w:p w:rsidR="00D617E9" w:rsidRDefault="00D617E9" w:rsidP="00D617E9">
      <w:pPr>
        <w:rPr>
          <w:rFonts w:ascii="Arial" w:hAnsi="Arial" w:cs="Arial"/>
          <w:sz w:val="22"/>
          <w:szCs w:val="22"/>
        </w:rPr>
      </w:pPr>
      <w:r>
        <w:rPr>
          <w:rFonts w:ascii="Arial" w:hAnsi="Arial" w:cs="Arial"/>
          <w:sz w:val="22"/>
          <w:szCs w:val="22"/>
        </w:rPr>
        <w:t>Notwithstanding, g</w:t>
      </w:r>
      <w:r w:rsidRPr="00E82052">
        <w:rPr>
          <w:rFonts w:ascii="Arial" w:hAnsi="Arial" w:cs="Arial"/>
          <w:sz w:val="22"/>
          <w:szCs w:val="22"/>
        </w:rPr>
        <w:t xml:space="preserve">iven that our suggested approaches have been </w:t>
      </w:r>
      <w:r>
        <w:rPr>
          <w:rFonts w:ascii="Arial" w:hAnsi="Arial" w:cs="Arial"/>
          <w:sz w:val="22"/>
          <w:szCs w:val="22"/>
        </w:rPr>
        <w:t>ignored</w:t>
      </w:r>
      <w:r w:rsidRPr="00E82052">
        <w:rPr>
          <w:rFonts w:ascii="Arial" w:hAnsi="Arial" w:cs="Arial"/>
          <w:sz w:val="22"/>
          <w:szCs w:val="22"/>
        </w:rPr>
        <w:t xml:space="preserve"> on numerous occasions and the APVMA has shown little inclination to adopt a low regulatory approach we </w:t>
      </w:r>
      <w:r>
        <w:rPr>
          <w:rFonts w:ascii="Arial" w:hAnsi="Arial" w:cs="Arial"/>
          <w:sz w:val="22"/>
          <w:szCs w:val="22"/>
        </w:rPr>
        <w:t>put to the PC study our</w:t>
      </w:r>
      <w:r w:rsidRPr="00E82052">
        <w:rPr>
          <w:rFonts w:ascii="Arial" w:hAnsi="Arial" w:cs="Arial"/>
          <w:sz w:val="22"/>
          <w:szCs w:val="22"/>
        </w:rPr>
        <w:t xml:space="preserve"> suggest</w:t>
      </w:r>
      <w:r>
        <w:rPr>
          <w:rFonts w:ascii="Arial" w:hAnsi="Arial" w:cs="Arial"/>
          <w:sz w:val="22"/>
          <w:szCs w:val="22"/>
        </w:rPr>
        <w:t>ion</w:t>
      </w:r>
      <w:r w:rsidRPr="00E82052">
        <w:rPr>
          <w:rFonts w:ascii="Arial" w:hAnsi="Arial" w:cs="Arial"/>
          <w:sz w:val="22"/>
          <w:szCs w:val="22"/>
        </w:rPr>
        <w:t xml:space="preserve"> that these products be excluded from the scope of the APVMA altogether.</w:t>
      </w:r>
    </w:p>
    <w:p w:rsidR="007D09E9" w:rsidRDefault="007D09E9" w:rsidP="00E560D3">
      <w:pPr>
        <w:rPr>
          <w:rFonts w:ascii="Arial" w:hAnsi="Arial" w:cs="Arial"/>
          <w:sz w:val="22"/>
          <w:szCs w:val="22"/>
        </w:rPr>
      </w:pPr>
    </w:p>
    <w:p w:rsidR="00C87D63" w:rsidRPr="00C87D63" w:rsidRDefault="007D09E9" w:rsidP="00C87D63">
      <w:pPr>
        <w:rPr>
          <w:rFonts w:ascii="Arial" w:hAnsi="Arial" w:cs="Arial"/>
          <w:sz w:val="22"/>
          <w:szCs w:val="22"/>
        </w:rPr>
      </w:pPr>
      <w:r>
        <w:rPr>
          <w:rFonts w:ascii="Arial" w:hAnsi="Arial" w:cs="Arial"/>
          <w:sz w:val="22"/>
          <w:szCs w:val="22"/>
        </w:rPr>
        <w:t xml:space="preserve">Accord looks forward to the next stage of the PC study.  </w:t>
      </w:r>
      <w:r w:rsidR="00C87D63" w:rsidRPr="00C87D63">
        <w:rPr>
          <w:rFonts w:ascii="Arial" w:hAnsi="Arial" w:cs="Arial"/>
          <w:sz w:val="22"/>
          <w:szCs w:val="22"/>
        </w:rPr>
        <w:t xml:space="preserve">Should you have any questions in relation to Accord’s submission please do not hesitate to contact me on 02 9282 2322, 0422569222 or by email at </w:t>
      </w:r>
      <w:hyperlink r:id="rId9" w:history="1">
        <w:r w:rsidRPr="00CC06BA">
          <w:rPr>
            <w:rStyle w:val="Hyperlink"/>
            <w:rFonts w:ascii="Arial" w:hAnsi="Arial" w:cs="Arial"/>
            <w:sz w:val="22"/>
            <w:szCs w:val="22"/>
          </w:rPr>
          <w:t>dsabic@accord.asn.au</w:t>
        </w:r>
      </w:hyperlink>
      <w:r>
        <w:rPr>
          <w:rFonts w:ascii="Arial" w:hAnsi="Arial" w:cs="Arial"/>
          <w:sz w:val="22"/>
          <w:szCs w:val="22"/>
        </w:rPr>
        <w:t xml:space="preserve"> </w:t>
      </w:r>
      <w:r w:rsidR="00C87D63" w:rsidRPr="00C87D63">
        <w:rPr>
          <w:rFonts w:ascii="Arial" w:hAnsi="Arial" w:cs="Arial"/>
          <w:sz w:val="22"/>
          <w:szCs w:val="22"/>
        </w:rPr>
        <w:t>.</w:t>
      </w:r>
    </w:p>
    <w:p w:rsidR="00C87D63" w:rsidRPr="00C87D63" w:rsidRDefault="00C87D63" w:rsidP="00C87D63">
      <w:pPr>
        <w:rPr>
          <w:rFonts w:ascii="Arial" w:hAnsi="Arial" w:cs="Arial"/>
          <w:sz w:val="22"/>
          <w:szCs w:val="22"/>
        </w:rPr>
      </w:pPr>
    </w:p>
    <w:p w:rsidR="00C87D63" w:rsidRPr="00C87D63" w:rsidRDefault="00C87D63" w:rsidP="00C87D63">
      <w:pPr>
        <w:rPr>
          <w:rFonts w:ascii="Arial" w:hAnsi="Arial" w:cs="Arial"/>
          <w:sz w:val="22"/>
          <w:szCs w:val="22"/>
        </w:rPr>
      </w:pPr>
      <w:r w:rsidRPr="00C87D63">
        <w:rPr>
          <w:rFonts w:ascii="Arial" w:hAnsi="Arial" w:cs="Arial"/>
          <w:sz w:val="22"/>
          <w:szCs w:val="22"/>
        </w:rPr>
        <w:t>Yours sincerely</w:t>
      </w:r>
    </w:p>
    <w:p w:rsidR="00C87D63" w:rsidRPr="00C87D63" w:rsidRDefault="00C87D63" w:rsidP="00C87D63">
      <w:pPr>
        <w:rPr>
          <w:rFonts w:ascii="Arial" w:hAnsi="Arial" w:cs="Arial"/>
          <w:sz w:val="22"/>
          <w:szCs w:val="22"/>
        </w:rPr>
      </w:pPr>
    </w:p>
    <w:p w:rsidR="00C87D63" w:rsidRPr="00C87D63" w:rsidRDefault="00C87D63" w:rsidP="00C87D63">
      <w:pPr>
        <w:rPr>
          <w:rFonts w:ascii="Arial" w:hAnsi="Arial" w:cs="Arial"/>
          <w:sz w:val="22"/>
          <w:szCs w:val="22"/>
        </w:rPr>
      </w:pPr>
      <w:r w:rsidRPr="00C87D63">
        <w:rPr>
          <w:rFonts w:ascii="Arial" w:hAnsi="Arial" w:cs="Arial"/>
          <w:sz w:val="22"/>
          <w:szCs w:val="22"/>
        </w:rPr>
        <w:t>Authorised for electronic submission</w:t>
      </w:r>
    </w:p>
    <w:p w:rsidR="00C87D63" w:rsidRPr="00C87D63" w:rsidRDefault="00C87D63" w:rsidP="00C87D63">
      <w:pPr>
        <w:rPr>
          <w:rFonts w:ascii="Arial" w:hAnsi="Arial" w:cs="Arial"/>
          <w:sz w:val="22"/>
          <w:szCs w:val="22"/>
        </w:rPr>
      </w:pPr>
    </w:p>
    <w:p w:rsidR="00C87D63" w:rsidRPr="00C87D63" w:rsidRDefault="00C87D63" w:rsidP="00C87D63">
      <w:pPr>
        <w:rPr>
          <w:rFonts w:ascii="Arial" w:hAnsi="Arial" w:cs="Arial"/>
          <w:sz w:val="22"/>
          <w:szCs w:val="22"/>
        </w:rPr>
      </w:pPr>
    </w:p>
    <w:p w:rsidR="00C87D63" w:rsidRPr="00C87D63" w:rsidRDefault="00C87D63" w:rsidP="00C87D63">
      <w:pPr>
        <w:rPr>
          <w:rFonts w:ascii="Arial" w:hAnsi="Arial" w:cs="Arial"/>
          <w:sz w:val="22"/>
          <w:szCs w:val="22"/>
        </w:rPr>
      </w:pPr>
      <w:r w:rsidRPr="00C87D63">
        <w:rPr>
          <w:rFonts w:ascii="Arial" w:hAnsi="Arial" w:cs="Arial"/>
          <w:sz w:val="22"/>
          <w:szCs w:val="22"/>
        </w:rPr>
        <w:t>Dusanka Sabic</w:t>
      </w:r>
    </w:p>
    <w:p w:rsidR="00C87D63" w:rsidRPr="00C87D63" w:rsidRDefault="00C87D63" w:rsidP="00C87D63">
      <w:pPr>
        <w:rPr>
          <w:rFonts w:ascii="Arial" w:hAnsi="Arial" w:cs="Arial"/>
          <w:b/>
          <w:sz w:val="22"/>
          <w:szCs w:val="22"/>
          <w:u w:val="single"/>
        </w:rPr>
      </w:pPr>
      <w:r w:rsidRPr="00C87D63">
        <w:rPr>
          <w:rFonts w:ascii="Arial" w:hAnsi="Arial" w:cs="Arial"/>
          <w:b/>
          <w:sz w:val="22"/>
          <w:szCs w:val="22"/>
          <w:u w:val="single"/>
        </w:rPr>
        <w:t>Director, Regulatory Reform</w:t>
      </w:r>
    </w:p>
    <w:p w:rsidR="00C87D63" w:rsidRPr="00C87D63" w:rsidRDefault="00C87D63" w:rsidP="00C87D63">
      <w:pPr>
        <w:rPr>
          <w:rFonts w:ascii="Arial" w:hAnsi="Arial" w:cs="Arial"/>
          <w:sz w:val="22"/>
          <w:szCs w:val="22"/>
        </w:rPr>
      </w:pPr>
    </w:p>
    <w:p w:rsidR="00C87D63" w:rsidRDefault="007D09E9" w:rsidP="007D09E9">
      <w:pPr>
        <w:rPr>
          <w:rFonts w:ascii="Arial" w:hAnsi="Arial" w:cs="Arial"/>
          <w:sz w:val="22"/>
          <w:szCs w:val="22"/>
        </w:rPr>
      </w:pPr>
      <w:r>
        <w:rPr>
          <w:rFonts w:ascii="Arial" w:hAnsi="Arial" w:cs="Arial"/>
          <w:sz w:val="22"/>
          <w:szCs w:val="22"/>
        </w:rPr>
        <w:t>5 May 2014</w:t>
      </w:r>
    </w:p>
    <w:p w:rsidR="005C47CE" w:rsidRDefault="005C47CE" w:rsidP="007D09E9">
      <w:pPr>
        <w:rPr>
          <w:rFonts w:ascii="Arial" w:hAnsi="Arial" w:cs="Arial"/>
          <w:sz w:val="22"/>
          <w:szCs w:val="22"/>
        </w:rPr>
      </w:pPr>
    </w:p>
    <w:p w:rsidR="005C47CE" w:rsidRDefault="005C47CE" w:rsidP="007D09E9">
      <w:pPr>
        <w:rPr>
          <w:rFonts w:ascii="Arial" w:hAnsi="Arial" w:cs="Arial"/>
          <w:sz w:val="22"/>
          <w:szCs w:val="22"/>
        </w:rPr>
      </w:pPr>
    </w:p>
    <w:sectPr w:rsidR="005C47CE" w:rsidSect="004346D3">
      <w:headerReference w:type="default" r:id="rId10"/>
      <w:footerReference w:type="default" r:id="rId11"/>
      <w:headerReference w:type="first" r:id="rId12"/>
      <w:footerReference w:type="first" r:id="rId13"/>
      <w:pgSz w:w="11906" w:h="16838" w:code="9"/>
      <w:pgMar w:top="1440" w:right="851" w:bottom="1440" w:left="1021" w:header="720"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D4D" w:rsidRDefault="00525D4D">
      <w:r>
        <w:separator/>
      </w:r>
    </w:p>
  </w:endnote>
  <w:endnote w:type="continuationSeparator" w:id="0">
    <w:p w:rsidR="00525D4D" w:rsidRDefault="00525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AE" w:rsidRDefault="00D50FAE">
    <w:pPr>
      <w:pStyle w:val="Footer"/>
    </w:pPr>
  </w:p>
  <w:p w:rsidR="00D50FAE" w:rsidRPr="00320B66" w:rsidRDefault="00D50FAE" w:rsidP="00320B66">
    <w:pPr>
      <w:pStyle w:val="Footer"/>
      <w:jc w:val="right"/>
      <w:rPr>
        <w:sz w:val="20"/>
      </w:rPr>
    </w:pPr>
    <w:r w:rsidRPr="00320B66">
      <w:rPr>
        <w:rFonts w:ascii="Arial" w:hAnsi="Arial" w:cs="Arial"/>
        <w:bCs/>
        <w:i/>
        <w:iCs/>
        <w:sz w:val="20"/>
      </w:rPr>
      <w:t xml:space="preserve">Page </w:t>
    </w:r>
    <w:r w:rsidR="0016551D" w:rsidRPr="00320B66">
      <w:rPr>
        <w:rStyle w:val="PageNumber"/>
        <w:rFonts w:ascii="Arial" w:hAnsi="Arial" w:cs="Arial"/>
        <w:bCs/>
        <w:i/>
        <w:iCs/>
        <w:sz w:val="20"/>
      </w:rPr>
      <w:fldChar w:fldCharType="begin"/>
    </w:r>
    <w:r w:rsidRPr="00320B66">
      <w:rPr>
        <w:rStyle w:val="PageNumber"/>
        <w:rFonts w:ascii="Arial" w:hAnsi="Arial" w:cs="Arial"/>
        <w:bCs/>
        <w:i/>
        <w:iCs/>
        <w:sz w:val="20"/>
      </w:rPr>
      <w:instrText xml:space="preserve"> PAGE </w:instrText>
    </w:r>
    <w:r w:rsidR="0016551D" w:rsidRPr="00320B66">
      <w:rPr>
        <w:rStyle w:val="PageNumber"/>
        <w:rFonts w:ascii="Arial" w:hAnsi="Arial" w:cs="Arial"/>
        <w:bCs/>
        <w:i/>
        <w:iCs/>
        <w:sz w:val="20"/>
      </w:rPr>
      <w:fldChar w:fldCharType="separate"/>
    </w:r>
    <w:r w:rsidR="00DA40F9">
      <w:rPr>
        <w:rStyle w:val="PageNumber"/>
        <w:rFonts w:ascii="Arial" w:hAnsi="Arial" w:cs="Arial"/>
        <w:bCs/>
        <w:i/>
        <w:iCs/>
        <w:noProof/>
        <w:sz w:val="20"/>
      </w:rPr>
      <w:t>4</w:t>
    </w:r>
    <w:r w:rsidR="0016551D" w:rsidRPr="00320B66">
      <w:rPr>
        <w:rStyle w:val="PageNumber"/>
        <w:rFonts w:ascii="Arial" w:hAnsi="Arial" w:cs="Arial"/>
        <w:bCs/>
        <w:i/>
        <w:iCs/>
        <w:sz w:val="20"/>
      </w:rPr>
      <w:fldChar w:fldCharType="end"/>
    </w:r>
    <w:r w:rsidRPr="00320B66">
      <w:rPr>
        <w:rStyle w:val="PageNumber"/>
        <w:rFonts w:ascii="Arial" w:hAnsi="Arial" w:cs="Arial"/>
        <w:bCs/>
        <w:i/>
        <w:iCs/>
        <w:sz w:val="20"/>
      </w:rPr>
      <w:t xml:space="preserve"> of </w:t>
    </w:r>
    <w:r w:rsidR="0016551D" w:rsidRPr="00320B66">
      <w:rPr>
        <w:rStyle w:val="PageNumber"/>
        <w:rFonts w:ascii="Arial" w:hAnsi="Arial" w:cs="Arial"/>
        <w:bCs/>
        <w:i/>
        <w:iCs/>
        <w:sz w:val="20"/>
      </w:rPr>
      <w:fldChar w:fldCharType="begin"/>
    </w:r>
    <w:r w:rsidRPr="00320B66">
      <w:rPr>
        <w:rStyle w:val="PageNumber"/>
        <w:rFonts w:ascii="Arial" w:hAnsi="Arial" w:cs="Arial"/>
        <w:bCs/>
        <w:i/>
        <w:iCs/>
        <w:sz w:val="20"/>
      </w:rPr>
      <w:instrText xml:space="preserve"> NUMPAGES </w:instrText>
    </w:r>
    <w:r w:rsidR="0016551D" w:rsidRPr="00320B66">
      <w:rPr>
        <w:rStyle w:val="PageNumber"/>
        <w:rFonts w:ascii="Arial" w:hAnsi="Arial" w:cs="Arial"/>
        <w:bCs/>
        <w:i/>
        <w:iCs/>
        <w:sz w:val="20"/>
      </w:rPr>
      <w:fldChar w:fldCharType="separate"/>
    </w:r>
    <w:r w:rsidR="00DA40F9">
      <w:rPr>
        <w:rStyle w:val="PageNumber"/>
        <w:rFonts w:ascii="Arial" w:hAnsi="Arial" w:cs="Arial"/>
        <w:bCs/>
        <w:i/>
        <w:iCs/>
        <w:noProof/>
        <w:sz w:val="20"/>
      </w:rPr>
      <w:t>4</w:t>
    </w:r>
    <w:r w:rsidR="0016551D" w:rsidRPr="00320B66">
      <w:rPr>
        <w:rStyle w:val="PageNumber"/>
        <w:rFonts w:ascii="Arial" w:hAnsi="Arial" w:cs="Arial"/>
        <w:bCs/>
        <w:i/>
        <w:i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AE" w:rsidRPr="005C00AC" w:rsidRDefault="00D50FAE" w:rsidP="00C836E1">
    <w:pPr>
      <w:pStyle w:val="Header"/>
      <w:tabs>
        <w:tab w:val="clear" w:pos="4153"/>
        <w:tab w:val="center" w:pos="567"/>
      </w:tabs>
      <w:jc w:val="center"/>
      <w:rPr>
        <w:rFonts w:ascii="Arial" w:hAnsi="Arial" w:cs="Arial"/>
        <w:color w:val="000000"/>
        <w:sz w:val="18"/>
        <w:szCs w:val="18"/>
      </w:rPr>
    </w:pPr>
    <w:r w:rsidRPr="005C00AC">
      <w:rPr>
        <w:rFonts w:ascii="Arial" w:hAnsi="Arial" w:cs="Arial"/>
        <w:color w:val="000000"/>
        <w:sz w:val="18"/>
        <w:szCs w:val="18"/>
      </w:rPr>
      <w:t>Accord Australasia Limited ACN 117 659 168 ABN 83 205 141 267</w:t>
    </w:r>
  </w:p>
  <w:p w:rsidR="00D50FAE" w:rsidRPr="005C00AC" w:rsidRDefault="00D50FAE" w:rsidP="0042785E">
    <w:pPr>
      <w:jc w:val="center"/>
      <w:rPr>
        <w:rFonts w:ascii="Arial" w:hAnsi="Arial" w:cs="Arial"/>
        <w:b/>
        <w:color w:val="000000"/>
        <w:sz w:val="18"/>
        <w:szCs w:val="18"/>
      </w:rPr>
    </w:pPr>
    <w:smartTag w:uri="urn:schemas-microsoft-com:office:smarttags" w:element="place">
      <w:smartTag w:uri="urn:schemas-microsoft-com:office:smarttags" w:element="PlaceName">
        <w:r w:rsidRPr="005C00AC">
          <w:rPr>
            <w:rFonts w:ascii="Arial" w:hAnsi="Arial" w:cs="Arial"/>
            <w:b/>
            <w:color w:val="000000"/>
            <w:sz w:val="18"/>
            <w:szCs w:val="18"/>
          </w:rPr>
          <w:t>Fusion</w:t>
        </w:r>
      </w:smartTag>
      <w:r w:rsidRPr="005C00AC">
        <w:rPr>
          <w:rFonts w:ascii="Arial" w:hAnsi="Arial" w:cs="Arial"/>
          <w:b/>
          <w:color w:val="000000"/>
          <w:sz w:val="18"/>
          <w:szCs w:val="18"/>
        </w:rPr>
        <w:t xml:space="preserve"> </w:t>
      </w:r>
      <w:smartTag w:uri="urn:schemas-microsoft-com:office:smarttags" w:element="PlaceType">
        <w:r w:rsidRPr="005C00AC">
          <w:rPr>
            <w:rFonts w:ascii="Arial" w:hAnsi="Arial" w:cs="Arial"/>
            <w:b/>
            <w:color w:val="000000"/>
            <w:sz w:val="18"/>
            <w:szCs w:val="18"/>
          </w:rPr>
          <w:t>Building</w:t>
        </w:r>
      </w:smartTag>
    </w:smartTag>
    <w:r w:rsidRPr="005C00AC">
      <w:rPr>
        <w:rFonts w:ascii="Arial" w:hAnsi="Arial" w:cs="Arial"/>
        <w:b/>
        <w:color w:val="000000"/>
        <w:sz w:val="18"/>
        <w:szCs w:val="18"/>
      </w:rPr>
      <w:t xml:space="preserve">, Level 4, Suite C4.02, </w:t>
    </w:r>
    <w:smartTag w:uri="urn:schemas-microsoft-com:office:smarttags" w:element="Street">
      <w:smartTag w:uri="urn:schemas-microsoft-com:office:smarttags" w:element="address">
        <w:r w:rsidRPr="005C00AC">
          <w:rPr>
            <w:rFonts w:ascii="Arial" w:hAnsi="Arial" w:cs="Arial"/>
            <w:b/>
            <w:color w:val="000000"/>
            <w:sz w:val="18"/>
            <w:szCs w:val="18"/>
          </w:rPr>
          <w:t>22 – 36 Mountain Street</w:t>
        </w:r>
      </w:smartTag>
    </w:smartTag>
    <w:r w:rsidRPr="005C00AC">
      <w:rPr>
        <w:rFonts w:ascii="Arial" w:hAnsi="Arial" w:cs="Arial"/>
        <w:b/>
        <w:color w:val="000000"/>
        <w:sz w:val="18"/>
        <w:szCs w:val="18"/>
      </w:rPr>
      <w:t>, Ultimo  NSW  2007</w:t>
    </w:r>
  </w:p>
  <w:p w:rsidR="00D50FAE" w:rsidRPr="005C00AC" w:rsidRDefault="00D50FAE" w:rsidP="000A1633">
    <w:pPr>
      <w:jc w:val="center"/>
      <w:rPr>
        <w:rFonts w:ascii="Arial" w:hAnsi="Arial" w:cs="Arial"/>
        <w:b/>
        <w:color w:val="000000"/>
        <w:sz w:val="18"/>
        <w:szCs w:val="18"/>
      </w:rPr>
    </w:pPr>
    <w:smartTag w:uri="urn:schemas-microsoft-com:office:smarttags" w:element="Street">
      <w:r w:rsidRPr="005C00AC">
        <w:rPr>
          <w:rFonts w:ascii="Arial" w:hAnsi="Arial" w:cs="Arial"/>
          <w:b/>
          <w:color w:val="000000"/>
          <w:sz w:val="18"/>
          <w:szCs w:val="18"/>
        </w:rPr>
        <w:t>PO Box</w:t>
      </w:r>
    </w:smartTag>
    <w:r w:rsidRPr="005C00AC">
      <w:rPr>
        <w:rFonts w:ascii="Arial" w:hAnsi="Arial" w:cs="Arial"/>
        <w:b/>
        <w:color w:val="000000"/>
        <w:sz w:val="18"/>
        <w:szCs w:val="18"/>
      </w:rPr>
      <w:t xml:space="preserve"> 290  BROADWAY  NSW  2007</w:t>
    </w:r>
  </w:p>
  <w:p w:rsidR="00D50FAE" w:rsidRPr="005C00AC" w:rsidRDefault="00D50FAE" w:rsidP="0042785E">
    <w:pPr>
      <w:jc w:val="center"/>
      <w:rPr>
        <w:rFonts w:ascii="Arial" w:hAnsi="Arial" w:cs="Arial"/>
        <w:b/>
        <w:color w:val="000000"/>
        <w:sz w:val="18"/>
        <w:szCs w:val="18"/>
      </w:rPr>
    </w:pPr>
  </w:p>
  <w:p w:rsidR="00D50FAE" w:rsidRPr="005C00AC" w:rsidRDefault="00D50FAE" w:rsidP="0031588A">
    <w:pPr>
      <w:jc w:val="center"/>
      <w:rPr>
        <w:rFonts w:ascii="Arial" w:hAnsi="Arial" w:cs="Arial"/>
        <w:color w:val="000000"/>
        <w:sz w:val="18"/>
        <w:szCs w:val="18"/>
      </w:rPr>
    </w:pPr>
    <w:r w:rsidRPr="005C00AC">
      <w:rPr>
        <w:rFonts w:ascii="Arial" w:hAnsi="Arial" w:cs="Arial"/>
        <w:b/>
        <w:color w:val="000000"/>
        <w:sz w:val="18"/>
        <w:szCs w:val="18"/>
      </w:rPr>
      <w:t xml:space="preserve">Tel:  </w:t>
    </w:r>
    <w:r w:rsidRPr="005C00AC">
      <w:rPr>
        <w:rFonts w:ascii="Arial" w:hAnsi="Arial" w:cs="Arial"/>
        <w:color w:val="000000"/>
        <w:sz w:val="18"/>
        <w:szCs w:val="18"/>
      </w:rPr>
      <w:t xml:space="preserve">61 2 9281 2322   </w:t>
    </w:r>
    <w:r w:rsidRPr="005C00AC">
      <w:rPr>
        <w:rFonts w:ascii="Arial" w:hAnsi="Arial" w:cs="Arial"/>
        <w:b/>
        <w:color w:val="000000"/>
        <w:sz w:val="18"/>
        <w:szCs w:val="18"/>
      </w:rPr>
      <w:t xml:space="preserve">Fax:  </w:t>
    </w:r>
    <w:r w:rsidRPr="005C00AC">
      <w:rPr>
        <w:rFonts w:ascii="Arial" w:hAnsi="Arial" w:cs="Arial"/>
        <w:color w:val="000000"/>
        <w:sz w:val="18"/>
        <w:szCs w:val="18"/>
      </w:rPr>
      <w:t xml:space="preserve">61 2 9281 0366   </w:t>
    </w:r>
    <w:r w:rsidRPr="005C00AC">
      <w:rPr>
        <w:rFonts w:ascii="Arial" w:hAnsi="Arial" w:cs="Arial"/>
        <w:b/>
        <w:color w:val="000000"/>
        <w:sz w:val="18"/>
        <w:szCs w:val="18"/>
      </w:rPr>
      <w:t>Website:</w:t>
    </w:r>
    <w:r w:rsidRPr="005C00AC">
      <w:rPr>
        <w:rFonts w:ascii="Arial" w:hAnsi="Arial" w:cs="Arial"/>
        <w:color w:val="000000"/>
        <w:sz w:val="18"/>
        <w:szCs w:val="18"/>
      </w:rPr>
      <w:t xml:space="preserve">  </w:t>
    </w:r>
    <w:hyperlink r:id="rId1" w:history="1">
      <w:r w:rsidRPr="005C00AC">
        <w:rPr>
          <w:rStyle w:val="Hyperlink"/>
          <w:rFonts w:ascii="Arial" w:hAnsi="Arial" w:cs="Arial"/>
          <w:sz w:val="18"/>
          <w:szCs w:val="18"/>
        </w:rPr>
        <w:t>www.accord.asn.au</w:t>
      </w:r>
    </w:hyperlink>
    <w:r w:rsidRPr="005C00AC">
      <w:rPr>
        <w:rFonts w:ascii="Arial" w:hAnsi="Arial" w:cs="Arial"/>
        <w:color w:val="000000"/>
        <w:sz w:val="18"/>
        <w:szCs w:val="18"/>
      </w:rPr>
      <w:t xml:space="preserve"> </w:t>
    </w:r>
  </w:p>
  <w:p w:rsidR="00D50FAE" w:rsidRPr="005C00AC" w:rsidRDefault="00D50FAE" w:rsidP="00EC10A0">
    <w:pPr>
      <w:pStyle w:val="Footer"/>
      <w:spacing w:before="120"/>
      <w:jc w:val="center"/>
      <w:rPr>
        <w:rFonts w:ascii="Arial" w:hAnsi="Arial" w:cs="Arial"/>
        <w:b/>
        <w:i/>
        <w:color w:val="000000"/>
        <w:sz w:val="20"/>
      </w:rPr>
    </w:pPr>
    <w:r w:rsidRPr="005C00AC">
      <w:rPr>
        <w:rFonts w:ascii="Arial" w:hAnsi="Arial" w:cs="Arial"/>
        <w:b/>
        <w:i/>
        <w:color w:val="000000"/>
        <w:sz w:val="20"/>
      </w:rPr>
      <w:t>Products for healthy living and a quality lifestyle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D4D" w:rsidRDefault="00525D4D">
      <w:r>
        <w:separator/>
      </w:r>
    </w:p>
  </w:footnote>
  <w:footnote w:type="continuationSeparator" w:id="0">
    <w:p w:rsidR="00525D4D" w:rsidRDefault="00525D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AE" w:rsidRDefault="00D50FAE">
    <w:pPr>
      <w:pStyle w:val="Header"/>
      <w:tabs>
        <w:tab w:val="clear" w:pos="4153"/>
      </w:tabs>
      <w:rPr>
        <w:sz w:val="2"/>
      </w:rPr>
    </w:pPr>
  </w:p>
  <w:p w:rsidR="00D50FAE" w:rsidRDefault="000966EF" w:rsidP="0042785E">
    <w:pPr>
      <w:pStyle w:val="Header"/>
      <w:tabs>
        <w:tab w:val="clear" w:pos="4153"/>
        <w:tab w:val="center" w:pos="567"/>
      </w:tabs>
      <w:spacing w:after="600"/>
      <w:jc w:val="right"/>
      <w:rPr>
        <w:rFonts w:ascii="Arial" w:hAnsi="Arial" w:cs="Arial"/>
        <w:bCs/>
        <w:i/>
        <w:iCs/>
      </w:rPr>
    </w:pPr>
    <w:r>
      <w:rPr>
        <w:rFonts w:ascii="Arial" w:hAnsi="Arial" w:cs="Arial"/>
        <w:bCs/>
        <w:i/>
        <w:iCs/>
        <w:noProof/>
        <w:lang w:eastAsia="en-AU"/>
      </w:rPr>
      <w:drawing>
        <wp:inline distT="0" distB="0" distL="0" distR="0" wp14:anchorId="1C569A99" wp14:editId="41759395">
          <wp:extent cx="1171575" cy="304800"/>
          <wp:effectExtent l="0" t="0" r="0" b="0"/>
          <wp:docPr id="7" name="Picture 7" descr="ACCORD_Logo -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ORD_Logo - compress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AE" w:rsidRDefault="000966EF" w:rsidP="001D795C">
    <w:pPr>
      <w:pStyle w:val="Header"/>
      <w:spacing w:after="120"/>
      <w:jc w:val="right"/>
    </w:pPr>
    <w:r>
      <w:rPr>
        <w:noProof/>
        <w:lang w:eastAsia="en-AU"/>
      </w:rPr>
      <w:drawing>
        <wp:inline distT="0" distB="0" distL="0" distR="0" wp14:anchorId="5026D5CA" wp14:editId="7CE49918">
          <wp:extent cx="2247900" cy="962025"/>
          <wp:effectExtent l="0" t="0" r="0" b="0"/>
          <wp:docPr id="8" name="Picture 8" descr="Accord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rd 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436"/>
    <w:multiLevelType w:val="hybridMultilevel"/>
    <w:tmpl w:val="FD5EB79E"/>
    <w:lvl w:ilvl="0" w:tplc="3CA8763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934FD8"/>
    <w:multiLevelType w:val="hybridMultilevel"/>
    <w:tmpl w:val="B4B4F46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2">
    <w:nsid w:val="07CF3AE8"/>
    <w:multiLevelType w:val="hybridMultilevel"/>
    <w:tmpl w:val="33665D08"/>
    <w:lvl w:ilvl="0" w:tplc="3CA8763A">
      <w:numFmt w:val="bullet"/>
      <w:lvlText w:val="•"/>
      <w:lvlJc w:val="left"/>
      <w:pPr>
        <w:ind w:left="1800" w:hanging="72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0815F6C"/>
    <w:multiLevelType w:val="hybridMultilevel"/>
    <w:tmpl w:val="2B78E3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16050B6"/>
    <w:multiLevelType w:val="hybridMultilevel"/>
    <w:tmpl w:val="3F785E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57B44E4"/>
    <w:multiLevelType w:val="hybridMultilevel"/>
    <w:tmpl w:val="63D43192"/>
    <w:lvl w:ilvl="0" w:tplc="3CA8763A">
      <w:numFmt w:val="bullet"/>
      <w:lvlText w:val="•"/>
      <w:lvlJc w:val="left"/>
      <w:pPr>
        <w:ind w:left="144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9D6591"/>
    <w:multiLevelType w:val="hybridMultilevel"/>
    <w:tmpl w:val="E8AA6EDA"/>
    <w:lvl w:ilvl="0" w:tplc="5ACE2B6E">
      <w:numFmt w:val="bullet"/>
      <w:lvlText w:val=""/>
      <w:lvlJc w:val="left"/>
      <w:pPr>
        <w:ind w:left="1080" w:hanging="72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C00ACB"/>
    <w:multiLevelType w:val="hybridMultilevel"/>
    <w:tmpl w:val="8402E952"/>
    <w:lvl w:ilvl="0" w:tplc="3CA8763A">
      <w:numFmt w:val="bullet"/>
      <w:lvlText w:val="•"/>
      <w:lvlJc w:val="left"/>
      <w:pPr>
        <w:ind w:left="1440" w:hanging="72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2B1218CE"/>
    <w:multiLevelType w:val="hybridMultilevel"/>
    <w:tmpl w:val="B6C652DC"/>
    <w:lvl w:ilvl="0" w:tplc="5ACE2B6E">
      <w:numFmt w:val="bullet"/>
      <w:lvlText w:val=""/>
      <w:lvlJc w:val="left"/>
      <w:pPr>
        <w:ind w:left="1080" w:hanging="72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E4F1F10"/>
    <w:multiLevelType w:val="hybridMultilevel"/>
    <w:tmpl w:val="A11095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F35058C"/>
    <w:multiLevelType w:val="hybridMultilevel"/>
    <w:tmpl w:val="ED7A2410"/>
    <w:lvl w:ilvl="0" w:tplc="3CA8763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3833F38"/>
    <w:multiLevelType w:val="hybridMultilevel"/>
    <w:tmpl w:val="0258484C"/>
    <w:lvl w:ilvl="0" w:tplc="0C090001">
      <w:start w:val="1"/>
      <w:numFmt w:val="bullet"/>
      <w:lvlText w:val=""/>
      <w:lvlJc w:val="left"/>
      <w:pPr>
        <w:tabs>
          <w:tab w:val="num" w:pos="717"/>
        </w:tabs>
        <w:ind w:left="717" w:hanging="360"/>
      </w:pPr>
      <w:rPr>
        <w:rFonts w:ascii="Symbol" w:hAnsi="Symbol" w:hint="default"/>
      </w:rPr>
    </w:lvl>
    <w:lvl w:ilvl="1" w:tplc="0C090003" w:tentative="1">
      <w:start w:val="1"/>
      <w:numFmt w:val="bullet"/>
      <w:lvlText w:val="o"/>
      <w:lvlJc w:val="left"/>
      <w:pPr>
        <w:tabs>
          <w:tab w:val="num" w:pos="1437"/>
        </w:tabs>
        <w:ind w:left="1437" w:hanging="360"/>
      </w:pPr>
      <w:rPr>
        <w:rFonts w:ascii="Courier New" w:hAnsi="Courier New" w:cs="Courier New" w:hint="default"/>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cs="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cs="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12">
    <w:nsid w:val="457C6F76"/>
    <w:multiLevelType w:val="hybridMultilevel"/>
    <w:tmpl w:val="80D83EEC"/>
    <w:lvl w:ilvl="0" w:tplc="3CA8763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6405989"/>
    <w:multiLevelType w:val="hybridMultilevel"/>
    <w:tmpl w:val="2B06C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6C53572"/>
    <w:multiLevelType w:val="hybridMultilevel"/>
    <w:tmpl w:val="243EA850"/>
    <w:lvl w:ilvl="0" w:tplc="3CA8763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AD5B8A"/>
    <w:multiLevelType w:val="singleLevel"/>
    <w:tmpl w:val="B1EE85F4"/>
    <w:lvl w:ilvl="0">
      <w:start w:val="1"/>
      <w:numFmt w:val="bullet"/>
      <w:lvlText w:val=""/>
      <w:lvlJc w:val="left"/>
      <w:pPr>
        <w:tabs>
          <w:tab w:val="num" w:pos="360"/>
        </w:tabs>
        <w:ind w:left="340" w:hanging="340"/>
      </w:pPr>
      <w:rPr>
        <w:rFonts w:ascii="Symbol" w:hAnsi="Symbol" w:hint="default"/>
        <w:sz w:val="22"/>
      </w:rPr>
    </w:lvl>
  </w:abstractNum>
  <w:abstractNum w:abstractNumId="16">
    <w:nsid w:val="6D4843E1"/>
    <w:multiLevelType w:val="hybridMultilevel"/>
    <w:tmpl w:val="A6AEEEDC"/>
    <w:lvl w:ilvl="0" w:tplc="3CA8763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FD80EEC"/>
    <w:multiLevelType w:val="hybridMultilevel"/>
    <w:tmpl w:val="5630D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B360DCA"/>
    <w:multiLevelType w:val="hybridMultilevel"/>
    <w:tmpl w:val="843C9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F7C1262"/>
    <w:multiLevelType w:val="hybridMultilevel"/>
    <w:tmpl w:val="C1EAE73C"/>
    <w:lvl w:ilvl="0" w:tplc="0C090001">
      <w:start w:val="1"/>
      <w:numFmt w:val="bullet"/>
      <w:lvlText w:val=""/>
      <w:lvlJc w:val="left"/>
      <w:pPr>
        <w:tabs>
          <w:tab w:val="num" w:pos="2505"/>
        </w:tabs>
        <w:ind w:left="2505" w:hanging="360"/>
      </w:pPr>
      <w:rPr>
        <w:rFonts w:ascii="Symbol" w:hAnsi="Symbol" w:hint="default"/>
      </w:rPr>
    </w:lvl>
    <w:lvl w:ilvl="1" w:tplc="0C090003" w:tentative="1">
      <w:start w:val="1"/>
      <w:numFmt w:val="bullet"/>
      <w:lvlText w:val="o"/>
      <w:lvlJc w:val="left"/>
      <w:pPr>
        <w:tabs>
          <w:tab w:val="num" w:pos="3225"/>
        </w:tabs>
        <w:ind w:left="3225" w:hanging="360"/>
      </w:pPr>
      <w:rPr>
        <w:rFonts w:ascii="Courier New" w:hAnsi="Courier New" w:cs="Courier New" w:hint="default"/>
      </w:rPr>
    </w:lvl>
    <w:lvl w:ilvl="2" w:tplc="0C090005" w:tentative="1">
      <w:start w:val="1"/>
      <w:numFmt w:val="bullet"/>
      <w:lvlText w:val=""/>
      <w:lvlJc w:val="left"/>
      <w:pPr>
        <w:tabs>
          <w:tab w:val="num" w:pos="3945"/>
        </w:tabs>
        <w:ind w:left="3945" w:hanging="360"/>
      </w:pPr>
      <w:rPr>
        <w:rFonts w:ascii="Wingdings" w:hAnsi="Wingdings" w:hint="default"/>
      </w:rPr>
    </w:lvl>
    <w:lvl w:ilvl="3" w:tplc="0C090001" w:tentative="1">
      <w:start w:val="1"/>
      <w:numFmt w:val="bullet"/>
      <w:lvlText w:val=""/>
      <w:lvlJc w:val="left"/>
      <w:pPr>
        <w:tabs>
          <w:tab w:val="num" w:pos="4665"/>
        </w:tabs>
        <w:ind w:left="4665" w:hanging="360"/>
      </w:pPr>
      <w:rPr>
        <w:rFonts w:ascii="Symbol" w:hAnsi="Symbol" w:hint="default"/>
      </w:rPr>
    </w:lvl>
    <w:lvl w:ilvl="4" w:tplc="0C090003" w:tentative="1">
      <w:start w:val="1"/>
      <w:numFmt w:val="bullet"/>
      <w:lvlText w:val="o"/>
      <w:lvlJc w:val="left"/>
      <w:pPr>
        <w:tabs>
          <w:tab w:val="num" w:pos="5385"/>
        </w:tabs>
        <w:ind w:left="5385" w:hanging="360"/>
      </w:pPr>
      <w:rPr>
        <w:rFonts w:ascii="Courier New" w:hAnsi="Courier New" w:cs="Courier New" w:hint="default"/>
      </w:rPr>
    </w:lvl>
    <w:lvl w:ilvl="5" w:tplc="0C090005" w:tentative="1">
      <w:start w:val="1"/>
      <w:numFmt w:val="bullet"/>
      <w:lvlText w:val=""/>
      <w:lvlJc w:val="left"/>
      <w:pPr>
        <w:tabs>
          <w:tab w:val="num" w:pos="6105"/>
        </w:tabs>
        <w:ind w:left="6105" w:hanging="360"/>
      </w:pPr>
      <w:rPr>
        <w:rFonts w:ascii="Wingdings" w:hAnsi="Wingdings" w:hint="default"/>
      </w:rPr>
    </w:lvl>
    <w:lvl w:ilvl="6" w:tplc="0C090001" w:tentative="1">
      <w:start w:val="1"/>
      <w:numFmt w:val="bullet"/>
      <w:lvlText w:val=""/>
      <w:lvlJc w:val="left"/>
      <w:pPr>
        <w:tabs>
          <w:tab w:val="num" w:pos="6825"/>
        </w:tabs>
        <w:ind w:left="6825" w:hanging="360"/>
      </w:pPr>
      <w:rPr>
        <w:rFonts w:ascii="Symbol" w:hAnsi="Symbol" w:hint="default"/>
      </w:rPr>
    </w:lvl>
    <w:lvl w:ilvl="7" w:tplc="0C090003" w:tentative="1">
      <w:start w:val="1"/>
      <w:numFmt w:val="bullet"/>
      <w:lvlText w:val="o"/>
      <w:lvlJc w:val="left"/>
      <w:pPr>
        <w:tabs>
          <w:tab w:val="num" w:pos="7545"/>
        </w:tabs>
        <w:ind w:left="7545" w:hanging="360"/>
      </w:pPr>
      <w:rPr>
        <w:rFonts w:ascii="Courier New" w:hAnsi="Courier New" w:cs="Courier New" w:hint="default"/>
      </w:rPr>
    </w:lvl>
    <w:lvl w:ilvl="8" w:tplc="0C090005" w:tentative="1">
      <w:start w:val="1"/>
      <w:numFmt w:val="bullet"/>
      <w:lvlText w:val=""/>
      <w:lvlJc w:val="left"/>
      <w:pPr>
        <w:tabs>
          <w:tab w:val="num" w:pos="8265"/>
        </w:tabs>
        <w:ind w:left="8265" w:hanging="360"/>
      </w:pPr>
      <w:rPr>
        <w:rFonts w:ascii="Wingdings" w:hAnsi="Wingdings" w:hint="default"/>
      </w:rPr>
    </w:lvl>
  </w:abstractNum>
  <w:num w:numId="1">
    <w:abstractNumId w:val="15"/>
  </w:num>
  <w:num w:numId="2">
    <w:abstractNumId w:val="19"/>
  </w:num>
  <w:num w:numId="3">
    <w:abstractNumId w:val="1"/>
  </w:num>
  <w:num w:numId="4">
    <w:abstractNumId w:val="4"/>
  </w:num>
  <w:num w:numId="5">
    <w:abstractNumId w:val="11"/>
  </w:num>
  <w:num w:numId="6">
    <w:abstractNumId w:val="17"/>
  </w:num>
  <w:num w:numId="7">
    <w:abstractNumId w:val="3"/>
  </w:num>
  <w:num w:numId="8">
    <w:abstractNumId w:val="18"/>
  </w:num>
  <w:num w:numId="9">
    <w:abstractNumId w:val="14"/>
  </w:num>
  <w:num w:numId="10">
    <w:abstractNumId w:val="7"/>
  </w:num>
  <w:num w:numId="11">
    <w:abstractNumId w:val="10"/>
  </w:num>
  <w:num w:numId="12">
    <w:abstractNumId w:val="2"/>
  </w:num>
  <w:num w:numId="13">
    <w:abstractNumId w:val="12"/>
  </w:num>
  <w:num w:numId="14">
    <w:abstractNumId w:val="0"/>
  </w:num>
  <w:num w:numId="15">
    <w:abstractNumId w:val="9"/>
  </w:num>
  <w:num w:numId="16">
    <w:abstractNumId w:val="13"/>
  </w:num>
  <w:num w:numId="17">
    <w:abstractNumId w:val="5"/>
  </w:num>
  <w:num w:numId="18">
    <w:abstractNumId w:val="6"/>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CAC"/>
    <w:rsid w:val="00004188"/>
    <w:rsid w:val="000047AD"/>
    <w:rsid w:val="0001606D"/>
    <w:rsid w:val="00020C05"/>
    <w:rsid w:val="00022D9B"/>
    <w:rsid w:val="00023F97"/>
    <w:rsid w:val="00032294"/>
    <w:rsid w:val="0004508E"/>
    <w:rsid w:val="00046F0E"/>
    <w:rsid w:val="000573DE"/>
    <w:rsid w:val="00064073"/>
    <w:rsid w:val="00064889"/>
    <w:rsid w:val="00065CEC"/>
    <w:rsid w:val="000661E4"/>
    <w:rsid w:val="000663B1"/>
    <w:rsid w:val="0006706A"/>
    <w:rsid w:val="00067ED5"/>
    <w:rsid w:val="0008239E"/>
    <w:rsid w:val="000827AC"/>
    <w:rsid w:val="00093695"/>
    <w:rsid w:val="00095FAB"/>
    <w:rsid w:val="000966EF"/>
    <w:rsid w:val="00097D5B"/>
    <w:rsid w:val="000A1633"/>
    <w:rsid w:val="000A4ADC"/>
    <w:rsid w:val="000A6363"/>
    <w:rsid w:val="000B762A"/>
    <w:rsid w:val="000C420D"/>
    <w:rsid w:val="000E5123"/>
    <w:rsid w:val="001014B0"/>
    <w:rsid w:val="00101512"/>
    <w:rsid w:val="001032DC"/>
    <w:rsid w:val="00111927"/>
    <w:rsid w:val="00112487"/>
    <w:rsid w:val="001160CE"/>
    <w:rsid w:val="00123222"/>
    <w:rsid w:val="001264B8"/>
    <w:rsid w:val="00130247"/>
    <w:rsid w:val="00131D22"/>
    <w:rsid w:val="00133E89"/>
    <w:rsid w:val="00137C7D"/>
    <w:rsid w:val="0014200F"/>
    <w:rsid w:val="00144F41"/>
    <w:rsid w:val="00150486"/>
    <w:rsid w:val="001529E3"/>
    <w:rsid w:val="001533C1"/>
    <w:rsid w:val="00156854"/>
    <w:rsid w:val="0016551D"/>
    <w:rsid w:val="00165B59"/>
    <w:rsid w:val="00181E68"/>
    <w:rsid w:val="00185778"/>
    <w:rsid w:val="00193AC4"/>
    <w:rsid w:val="001963E6"/>
    <w:rsid w:val="001C587D"/>
    <w:rsid w:val="001D11CF"/>
    <w:rsid w:val="001D1A0C"/>
    <w:rsid w:val="001D781E"/>
    <w:rsid w:val="001D795C"/>
    <w:rsid w:val="001E7110"/>
    <w:rsid w:val="001E775C"/>
    <w:rsid w:val="001F74FD"/>
    <w:rsid w:val="00203093"/>
    <w:rsid w:val="00204995"/>
    <w:rsid w:val="00223518"/>
    <w:rsid w:val="00224EF6"/>
    <w:rsid w:val="00226203"/>
    <w:rsid w:val="00236BF3"/>
    <w:rsid w:val="0023754C"/>
    <w:rsid w:val="002411AB"/>
    <w:rsid w:val="00250F5E"/>
    <w:rsid w:val="00254DED"/>
    <w:rsid w:val="002607F7"/>
    <w:rsid w:val="0026746E"/>
    <w:rsid w:val="00276CE8"/>
    <w:rsid w:val="00287E35"/>
    <w:rsid w:val="002A07B6"/>
    <w:rsid w:val="002A476D"/>
    <w:rsid w:val="002A533C"/>
    <w:rsid w:val="002B26E3"/>
    <w:rsid w:val="002B38BD"/>
    <w:rsid w:val="002B5FBA"/>
    <w:rsid w:val="002C0D5A"/>
    <w:rsid w:val="002E1E14"/>
    <w:rsid w:val="002E1F5D"/>
    <w:rsid w:val="00300F81"/>
    <w:rsid w:val="00304129"/>
    <w:rsid w:val="003153FB"/>
    <w:rsid w:val="0031588A"/>
    <w:rsid w:val="00320B66"/>
    <w:rsid w:val="00334854"/>
    <w:rsid w:val="00336766"/>
    <w:rsid w:val="00336F93"/>
    <w:rsid w:val="00337E85"/>
    <w:rsid w:val="00353231"/>
    <w:rsid w:val="00353790"/>
    <w:rsid w:val="00360CE3"/>
    <w:rsid w:val="0036195D"/>
    <w:rsid w:val="0036348F"/>
    <w:rsid w:val="00365B17"/>
    <w:rsid w:val="003678E6"/>
    <w:rsid w:val="003705E8"/>
    <w:rsid w:val="00375998"/>
    <w:rsid w:val="00377FA5"/>
    <w:rsid w:val="003831B9"/>
    <w:rsid w:val="003D73D6"/>
    <w:rsid w:val="003E3445"/>
    <w:rsid w:val="003E47FA"/>
    <w:rsid w:val="003F275F"/>
    <w:rsid w:val="00404219"/>
    <w:rsid w:val="00413370"/>
    <w:rsid w:val="004141AE"/>
    <w:rsid w:val="0042785E"/>
    <w:rsid w:val="004346D3"/>
    <w:rsid w:val="00436417"/>
    <w:rsid w:val="00442584"/>
    <w:rsid w:val="00445F88"/>
    <w:rsid w:val="00446C96"/>
    <w:rsid w:val="004561B5"/>
    <w:rsid w:val="00461014"/>
    <w:rsid w:val="00462581"/>
    <w:rsid w:val="00464739"/>
    <w:rsid w:val="00480E30"/>
    <w:rsid w:val="00480E8B"/>
    <w:rsid w:val="00484BB5"/>
    <w:rsid w:val="004A2369"/>
    <w:rsid w:val="004A4358"/>
    <w:rsid w:val="004B3371"/>
    <w:rsid w:val="004B54A3"/>
    <w:rsid w:val="004B7686"/>
    <w:rsid w:val="004D3784"/>
    <w:rsid w:val="004D528E"/>
    <w:rsid w:val="004E1C21"/>
    <w:rsid w:val="004F6A21"/>
    <w:rsid w:val="004F7572"/>
    <w:rsid w:val="004F7794"/>
    <w:rsid w:val="004F7914"/>
    <w:rsid w:val="0050085B"/>
    <w:rsid w:val="00502085"/>
    <w:rsid w:val="00512053"/>
    <w:rsid w:val="0051553E"/>
    <w:rsid w:val="00517BAD"/>
    <w:rsid w:val="00525D4D"/>
    <w:rsid w:val="00532D91"/>
    <w:rsid w:val="00533770"/>
    <w:rsid w:val="005401D2"/>
    <w:rsid w:val="00544E33"/>
    <w:rsid w:val="00547C74"/>
    <w:rsid w:val="00551D0D"/>
    <w:rsid w:val="00557729"/>
    <w:rsid w:val="005752F0"/>
    <w:rsid w:val="00577084"/>
    <w:rsid w:val="00580C56"/>
    <w:rsid w:val="005835D5"/>
    <w:rsid w:val="00595BC7"/>
    <w:rsid w:val="00597751"/>
    <w:rsid w:val="005A5650"/>
    <w:rsid w:val="005A6AA1"/>
    <w:rsid w:val="005B5689"/>
    <w:rsid w:val="005C00AC"/>
    <w:rsid w:val="005C0666"/>
    <w:rsid w:val="005C47CE"/>
    <w:rsid w:val="005C7C6B"/>
    <w:rsid w:val="005D6213"/>
    <w:rsid w:val="005E19D3"/>
    <w:rsid w:val="005E1CDA"/>
    <w:rsid w:val="005E7309"/>
    <w:rsid w:val="005F664F"/>
    <w:rsid w:val="005F79F0"/>
    <w:rsid w:val="005F7FAD"/>
    <w:rsid w:val="00603680"/>
    <w:rsid w:val="00603E58"/>
    <w:rsid w:val="00604A5B"/>
    <w:rsid w:val="00606938"/>
    <w:rsid w:val="00613BA6"/>
    <w:rsid w:val="006149AD"/>
    <w:rsid w:val="00624FF3"/>
    <w:rsid w:val="006264BF"/>
    <w:rsid w:val="00642B24"/>
    <w:rsid w:val="00666993"/>
    <w:rsid w:val="006748CA"/>
    <w:rsid w:val="0068194C"/>
    <w:rsid w:val="00695DC4"/>
    <w:rsid w:val="00695F46"/>
    <w:rsid w:val="006966B2"/>
    <w:rsid w:val="006A4872"/>
    <w:rsid w:val="006B0662"/>
    <w:rsid w:val="006B3E1E"/>
    <w:rsid w:val="006B79C0"/>
    <w:rsid w:val="006C4B3C"/>
    <w:rsid w:val="006C7B40"/>
    <w:rsid w:val="006D4C62"/>
    <w:rsid w:val="006D55CA"/>
    <w:rsid w:val="006E382B"/>
    <w:rsid w:val="006E522C"/>
    <w:rsid w:val="006F0360"/>
    <w:rsid w:val="0070324D"/>
    <w:rsid w:val="007056CF"/>
    <w:rsid w:val="00705FB5"/>
    <w:rsid w:val="00716250"/>
    <w:rsid w:val="00725DBF"/>
    <w:rsid w:val="00731CA7"/>
    <w:rsid w:val="00735A03"/>
    <w:rsid w:val="00736322"/>
    <w:rsid w:val="007363D1"/>
    <w:rsid w:val="00762161"/>
    <w:rsid w:val="00775960"/>
    <w:rsid w:val="007759A5"/>
    <w:rsid w:val="007825DA"/>
    <w:rsid w:val="007940BD"/>
    <w:rsid w:val="007A0566"/>
    <w:rsid w:val="007A321B"/>
    <w:rsid w:val="007B4DC8"/>
    <w:rsid w:val="007B6E38"/>
    <w:rsid w:val="007D09E9"/>
    <w:rsid w:val="007E0C78"/>
    <w:rsid w:val="007F286F"/>
    <w:rsid w:val="007F6EFA"/>
    <w:rsid w:val="007F7D0F"/>
    <w:rsid w:val="00802D9A"/>
    <w:rsid w:val="0081283D"/>
    <w:rsid w:val="0082261E"/>
    <w:rsid w:val="00831A48"/>
    <w:rsid w:val="00836270"/>
    <w:rsid w:val="00837665"/>
    <w:rsid w:val="0084052B"/>
    <w:rsid w:val="008506C7"/>
    <w:rsid w:val="0086017B"/>
    <w:rsid w:val="00872E46"/>
    <w:rsid w:val="00872FD2"/>
    <w:rsid w:val="00881109"/>
    <w:rsid w:val="00884004"/>
    <w:rsid w:val="00885BEC"/>
    <w:rsid w:val="00890CA5"/>
    <w:rsid w:val="008A7020"/>
    <w:rsid w:val="008B1ADB"/>
    <w:rsid w:val="008B4105"/>
    <w:rsid w:val="008B7DF5"/>
    <w:rsid w:val="008C1A99"/>
    <w:rsid w:val="008C41A9"/>
    <w:rsid w:val="008C4D88"/>
    <w:rsid w:val="008D3124"/>
    <w:rsid w:val="008E2090"/>
    <w:rsid w:val="0091763D"/>
    <w:rsid w:val="00921422"/>
    <w:rsid w:val="00932EAB"/>
    <w:rsid w:val="00934B01"/>
    <w:rsid w:val="00941514"/>
    <w:rsid w:val="0095514F"/>
    <w:rsid w:val="009553C5"/>
    <w:rsid w:val="00960528"/>
    <w:rsid w:val="00963D33"/>
    <w:rsid w:val="00964F29"/>
    <w:rsid w:val="00976F15"/>
    <w:rsid w:val="00983350"/>
    <w:rsid w:val="00986CAC"/>
    <w:rsid w:val="00995813"/>
    <w:rsid w:val="00995DDD"/>
    <w:rsid w:val="0099685F"/>
    <w:rsid w:val="00996B8B"/>
    <w:rsid w:val="009A1220"/>
    <w:rsid w:val="009A1FDB"/>
    <w:rsid w:val="009A4101"/>
    <w:rsid w:val="009C0457"/>
    <w:rsid w:val="009C1A30"/>
    <w:rsid w:val="009C1C78"/>
    <w:rsid w:val="009C33CD"/>
    <w:rsid w:val="009C4C5F"/>
    <w:rsid w:val="009D02C1"/>
    <w:rsid w:val="009D2004"/>
    <w:rsid w:val="009D6AA6"/>
    <w:rsid w:val="009D7C38"/>
    <w:rsid w:val="009E292E"/>
    <w:rsid w:val="00A02F2A"/>
    <w:rsid w:val="00A12616"/>
    <w:rsid w:val="00A27022"/>
    <w:rsid w:val="00A313DB"/>
    <w:rsid w:val="00A34098"/>
    <w:rsid w:val="00A57A3E"/>
    <w:rsid w:val="00A72730"/>
    <w:rsid w:val="00A748D8"/>
    <w:rsid w:val="00A80219"/>
    <w:rsid w:val="00A8300A"/>
    <w:rsid w:val="00A83961"/>
    <w:rsid w:val="00A844C0"/>
    <w:rsid w:val="00A96DAE"/>
    <w:rsid w:val="00A97C4C"/>
    <w:rsid w:val="00AA00F5"/>
    <w:rsid w:val="00AA0790"/>
    <w:rsid w:val="00AA222D"/>
    <w:rsid w:val="00AB0668"/>
    <w:rsid w:val="00AB0987"/>
    <w:rsid w:val="00AC5DA4"/>
    <w:rsid w:val="00AD78E4"/>
    <w:rsid w:val="00AE1419"/>
    <w:rsid w:val="00AE56B0"/>
    <w:rsid w:val="00B1699C"/>
    <w:rsid w:val="00B25C73"/>
    <w:rsid w:val="00B30CA6"/>
    <w:rsid w:val="00B37E65"/>
    <w:rsid w:val="00B42642"/>
    <w:rsid w:val="00B43022"/>
    <w:rsid w:val="00B6511A"/>
    <w:rsid w:val="00B70548"/>
    <w:rsid w:val="00B7141E"/>
    <w:rsid w:val="00B73D81"/>
    <w:rsid w:val="00B74106"/>
    <w:rsid w:val="00B774AA"/>
    <w:rsid w:val="00B847AE"/>
    <w:rsid w:val="00B876D0"/>
    <w:rsid w:val="00B9188D"/>
    <w:rsid w:val="00B92931"/>
    <w:rsid w:val="00B94A4D"/>
    <w:rsid w:val="00B95583"/>
    <w:rsid w:val="00B96902"/>
    <w:rsid w:val="00BA12B9"/>
    <w:rsid w:val="00BA314D"/>
    <w:rsid w:val="00BA58FA"/>
    <w:rsid w:val="00BA645B"/>
    <w:rsid w:val="00BA67AF"/>
    <w:rsid w:val="00BB1E49"/>
    <w:rsid w:val="00BB50EF"/>
    <w:rsid w:val="00BD3495"/>
    <w:rsid w:val="00BD3611"/>
    <w:rsid w:val="00BD7851"/>
    <w:rsid w:val="00BF12FD"/>
    <w:rsid w:val="00C02CC8"/>
    <w:rsid w:val="00C03F2C"/>
    <w:rsid w:val="00C06F84"/>
    <w:rsid w:val="00C231E1"/>
    <w:rsid w:val="00C2769C"/>
    <w:rsid w:val="00C43D11"/>
    <w:rsid w:val="00C561FE"/>
    <w:rsid w:val="00C74333"/>
    <w:rsid w:val="00C836E1"/>
    <w:rsid w:val="00C85DB9"/>
    <w:rsid w:val="00C87D63"/>
    <w:rsid w:val="00C94699"/>
    <w:rsid w:val="00C96810"/>
    <w:rsid w:val="00CA2298"/>
    <w:rsid w:val="00CA44E4"/>
    <w:rsid w:val="00CB0A20"/>
    <w:rsid w:val="00CB277D"/>
    <w:rsid w:val="00CB5A38"/>
    <w:rsid w:val="00CD26C5"/>
    <w:rsid w:val="00CD65DC"/>
    <w:rsid w:val="00CE2E2D"/>
    <w:rsid w:val="00CF45F2"/>
    <w:rsid w:val="00D01270"/>
    <w:rsid w:val="00D03AAC"/>
    <w:rsid w:val="00D110CA"/>
    <w:rsid w:val="00D24FA8"/>
    <w:rsid w:val="00D264AC"/>
    <w:rsid w:val="00D267D7"/>
    <w:rsid w:val="00D43099"/>
    <w:rsid w:val="00D459A7"/>
    <w:rsid w:val="00D50FAE"/>
    <w:rsid w:val="00D52860"/>
    <w:rsid w:val="00D54952"/>
    <w:rsid w:val="00D617E9"/>
    <w:rsid w:val="00D741BF"/>
    <w:rsid w:val="00D843A5"/>
    <w:rsid w:val="00D853D2"/>
    <w:rsid w:val="00D86410"/>
    <w:rsid w:val="00D87975"/>
    <w:rsid w:val="00D96329"/>
    <w:rsid w:val="00DA40F9"/>
    <w:rsid w:val="00DB547F"/>
    <w:rsid w:val="00DB580C"/>
    <w:rsid w:val="00DC50B2"/>
    <w:rsid w:val="00DD35CD"/>
    <w:rsid w:val="00DD3B5B"/>
    <w:rsid w:val="00DE28E0"/>
    <w:rsid w:val="00DF55A4"/>
    <w:rsid w:val="00DF6A1A"/>
    <w:rsid w:val="00DF7A60"/>
    <w:rsid w:val="00E0279F"/>
    <w:rsid w:val="00E1498B"/>
    <w:rsid w:val="00E15E0C"/>
    <w:rsid w:val="00E16DDF"/>
    <w:rsid w:val="00E33506"/>
    <w:rsid w:val="00E40162"/>
    <w:rsid w:val="00E45B76"/>
    <w:rsid w:val="00E500F7"/>
    <w:rsid w:val="00E560D3"/>
    <w:rsid w:val="00E6644C"/>
    <w:rsid w:val="00E82052"/>
    <w:rsid w:val="00E84468"/>
    <w:rsid w:val="00E86B9F"/>
    <w:rsid w:val="00E92205"/>
    <w:rsid w:val="00E95E20"/>
    <w:rsid w:val="00EC10A0"/>
    <w:rsid w:val="00EC3B39"/>
    <w:rsid w:val="00EC4C1A"/>
    <w:rsid w:val="00ED05BD"/>
    <w:rsid w:val="00ED5AD4"/>
    <w:rsid w:val="00EE030A"/>
    <w:rsid w:val="00EE0C6F"/>
    <w:rsid w:val="00EE1AC7"/>
    <w:rsid w:val="00EE342C"/>
    <w:rsid w:val="00EE5E4D"/>
    <w:rsid w:val="00F020BF"/>
    <w:rsid w:val="00F06E22"/>
    <w:rsid w:val="00F14570"/>
    <w:rsid w:val="00F3071A"/>
    <w:rsid w:val="00F357D9"/>
    <w:rsid w:val="00F401AB"/>
    <w:rsid w:val="00F415B8"/>
    <w:rsid w:val="00F50B91"/>
    <w:rsid w:val="00F57E60"/>
    <w:rsid w:val="00F67CCC"/>
    <w:rsid w:val="00F935A1"/>
    <w:rsid w:val="00FA54E9"/>
    <w:rsid w:val="00FB0DB1"/>
    <w:rsid w:val="00FC00FC"/>
    <w:rsid w:val="00FC6C49"/>
    <w:rsid w:val="00FD2583"/>
    <w:rsid w:val="00FD6635"/>
    <w:rsid w:val="00FE2036"/>
    <w:rsid w:val="00FE63F2"/>
    <w:rsid w:val="00FF13E1"/>
    <w:rsid w:val="00FF79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4"/>
      <w:lang w:eastAsia="en-US"/>
    </w:rPr>
  </w:style>
  <w:style w:type="paragraph" w:styleId="Heading1">
    <w:name w:val="heading 1"/>
    <w:basedOn w:val="Normal"/>
    <w:next w:val="Normal"/>
    <w:qFormat/>
    <w:pPr>
      <w:keepNext/>
      <w:jc w:val="left"/>
      <w:outlineLvl w:val="0"/>
    </w:pPr>
    <w:rPr>
      <w:sz w:val="20"/>
      <w:u w:val="single"/>
      <w:lang w:val="en-US"/>
    </w:rPr>
  </w:style>
  <w:style w:type="paragraph" w:styleId="Heading2">
    <w:name w:val="heading 2"/>
    <w:basedOn w:val="Normal"/>
    <w:next w:val="Normal"/>
    <w:qFormat/>
    <w:rsid w:val="009E292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BodyText"/>
    <w:pPr>
      <w:keepLines/>
      <w:framePr w:w="8640" w:h="1440" w:wrap="notBeside" w:vAnchor="page" w:hAnchor="margin" w:xAlign="center" w:y="889" w:anchorLock="1"/>
      <w:spacing w:after="80" w:line="240" w:lineRule="atLeast"/>
      <w:jc w:val="center"/>
    </w:pPr>
    <w:rPr>
      <w:rFonts w:ascii="Garamond" w:hAnsi="Garamond"/>
      <w:caps/>
      <w:spacing w:val="75"/>
      <w:sz w:val="21"/>
    </w:rPr>
  </w:style>
  <w:style w:type="paragraph" w:styleId="BodyText">
    <w:name w:val="Body Text"/>
    <w:basedOn w:val="Normal"/>
    <w:pPr>
      <w:spacing w:after="120"/>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3686" w:hanging="4320"/>
      <w:jc w:val="left"/>
    </w:pPr>
    <w:rPr>
      <w:rFonts w:ascii="Arial" w:hAnsi="Arial"/>
      <w:lang w:val="en-US"/>
    </w:rPr>
  </w:style>
  <w:style w:type="paragraph" w:styleId="BodyTextIndent2">
    <w:name w:val="Body Text Indent 2"/>
    <w:basedOn w:val="Normal"/>
    <w:pPr>
      <w:ind w:left="3119" w:hanging="3119"/>
    </w:pPr>
    <w:rPr>
      <w:rFonts w:ascii="Arial" w:hAnsi="Arial"/>
      <w:lang w:val="en-US"/>
    </w:rPr>
  </w:style>
  <w:style w:type="character" w:styleId="Hyperlink">
    <w:name w:val="Hyperlink"/>
    <w:rPr>
      <w:color w:val="0000FF"/>
      <w:u w:val="single"/>
    </w:rPr>
  </w:style>
  <w:style w:type="character" w:styleId="PageNumber">
    <w:name w:val="page number"/>
    <w:basedOn w:val="DefaultParagraphFont"/>
  </w:style>
  <w:style w:type="paragraph" w:styleId="BodyText2">
    <w:name w:val="Body Text 2"/>
    <w:basedOn w:val="Normal"/>
    <w:rsid w:val="009E292E"/>
    <w:pPr>
      <w:spacing w:after="120" w:line="480" w:lineRule="auto"/>
    </w:pPr>
  </w:style>
  <w:style w:type="paragraph" w:styleId="BalloonText">
    <w:name w:val="Balloon Text"/>
    <w:basedOn w:val="Normal"/>
    <w:semiHidden/>
    <w:rsid w:val="00E84468"/>
    <w:rPr>
      <w:rFonts w:ascii="Tahoma" w:hAnsi="Tahoma" w:cs="Tahoma"/>
      <w:sz w:val="16"/>
      <w:szCs w:val="16"/>
    </w:rPr>
  </w:style>
  <w:style w:type="table" w:styleId="TableGrid">
    <w:name w:val="Table Grid"/>
    <w:basedOn w:val="TableNormal"/>
    <w:rsid w:val="00BB50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B0DB1"/>
    <w:pPr>
      <w:spacing w:before="100" w:beforeAutospacing="1" w:after="100" w:afterAutospacing="1"/>
      <w:jc w:val="left"/>
    </w:pPr>
    <w:rPr>
      <w:rFonts w:ascii="Verdana" w:hAnsi="Verdana"/>
      <w:szCs w:val="24"/>
      <w:lang w:val="en-US"/>
    </w:rPr>
  </w:style>
  <w:style w:type="paragraph" w:styleId="ListParagraph">
    <w:name w:val="List Paragraph"/>
    <w:basedOn w:val="Normal"/>
    <w:uiPriority w:val="34"/>
    <w:qFormat/>
    <w:rsid w:val="00C74333"/>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4"/>
      <w:lang w:eastAsia="en-US"/>
    </w:rPr>
  </w:style>
  <w:style w:type="paragraph" w:styleId="Heading1">
    <w:name w:val="heading 1"/>
    <w:basedOn w:val="Normal"/>
    <w:next w:val="Normal"/>
    <w:qFormat/>
    <w:pPr>
      <w:keepNext/>
      <w:jc w:val="left"/>
      <w:outlineLvl w:val="0"/>
    </w:pPr>
    <w:rPr>
      <w:sz w:val="20"/>
      <w:u w:val="single"/>
      <w:lang w:val="en-US"/>
    </w:rPr>
  </w:style>
  <w:style w:type="paragraph" w:styleId="Heading2">
    <w:name w:val="heading 2"/>
    <w:basedOn w:val="Normal"/>
    <w:next w:val="Normal"/>
    <w:qFormat/>
    <w:rsid w:val="009E292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BodyText"/>
    <w:pPr>
      <w:keepLines/>
      <w:framePr w:w="8640" w:h="1440" w:wrap="notBeside" w:vAnchor="page" w:hAnchor="margin" w:xAlign="center" w:y="889" w:anchorLock="1"/>
      <w:spacing w:after="80" w:line="240" w:lineRule="atLeast"/>
      <w:jc w:val="center"/>
    </w:pPr>
    <w:rPr>
      <w:rFonts w:ascii="Garamond" w:hAnsi="Garamond"/>
      <w:caps/>
      <w:spacing w:val="75"/>
      <w:sz w:val="21"/>
    </w:rPr>
  </w:style>
  <w:style w:type="paragraph" w:styleId="BodyText">
    <w:name w:val="Body Text"/>
    <w:basedOn w:val="Normal"/>
    <w:pPr>
      <w:spacing w:after="120"/>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3686" w:hanging="4320"/>
      <w:jc w:val="left"/>
    </w:pPr>
    <w:rPr>
      <w:rFonts w:ascii="Arial" w:hAnsi="Arial"/>
      <w:lang w:val="en-US"/>
    </w:rPr>
  </w:style>
  <w:style w:type="paragraph" w:styleId="BodyTextIndent2">
    <w:name w:val="Body Text Indent 2"/>
    <w:basedOn w:val="Normal"/>
    <w:pPr>
      <w:ind w:left="3119" w:hanging="3119"/>
    </w:pPr>
    <w:rPr>
      <w:rFonts w:ascii="Arial" w:hAnsi="Arial"/>
      <w:lang w:val="en-US"/>
    </w:rPr>
  </w:style>
  <w:style w:type="character" w:styleId="Hyperlink">
    <w:name w:val="Hyperlink"/>
    <w:rPr>
      <w:color w:val="0000FF"/>
      <w:u w:val="single"/>
    </w:rPr>
  </w:style>
  <w:style w:type="character" w:styleId="PageNumber">
    <w:name w:val="page number"/>
    <w:basedOn w:val="DefaultParagraphFont"/>
  </w:style>
  <w:style w:type="paragraph" w:styleId="BodyText2">
    <w:name w:val="Body Text 2"/>
    <w:basedOn w:val="Normal"/>
    <w:rsid w:val="009E292E"/>
    <w:pPr>
      <w:spacing w:after="120" w:line="480" w:lineRule="auto"/>
    </w:pPr>
  </w:style>
  <w:style w:type="paragraph" w:styleId="BalloonText">
    <w:name w:val="Balloon Text"/>
    <w:basedOn w:val="Normal"/>
    <w:semiHidden/>
    <w:rsid w:val="00E84468"/>
    <w:rPr>
      <w:rFonts w:ascii="Tahoma" w:hAnsi="Tahoma" w:cs="Tahoma"/>
      <w:sz w:val="16"/>
      <w:szCs w:val="16"/>
    </w:rPr>
  </w:style>
  <w:style w:type="table" w:styleId="TableGrid">
    <w:name w:val="Table Grid"/>
    <w:basedOn w:val="TableNormal"/>
    <w:rsid w:val="00BB50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B0DB1"/>
    <w:pPr>
      <w:spacing w:before="100" w:beforeAutospacing="1" w:after="100" w:afterAutospacing="1"/>
      <w:jc w:val="left"/>
    </w:pPr>
    <w:rPr>
      <w:rFonts w:ascii="Verdana" w:hAnsi="Verdana"/>
      <w:szCs w:val="24"/>
      <w:lang w:val="en-US"/>
    </w:rPr>
  </w:style>
  <w:style w:type="paragraph" w:styleId="ListParagraph">
    <w:name w:val="List Paragraph"/>
    <w:basedOn w:val="Normal"/>
    <w:uiPriority w:val="34"/>
    <w:qFormat/>
    <w:rsid w:val="00C7433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iry.manufacturing@pc.gov.au"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sabic@accord.asn.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accord.asn.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CSPA%20Technical\Application%20Data\Microsoft\Templates\Accord%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Accord Letterhead.dot</Template>
  <TotalTime>1</TotalTime>
  <Pages>4</Pages>
  <Words>1936</Words>
  <Characters>11259</Characters>
  <Application>Microsoft Office Word</Application>
  <DocSecurity>0</DocSecurity>
  <Lines>197</Lines>
  <Paragraphs>51</Paragraphs>
  <ScaleCrop>false</ScaleCrop>
  <HeadingPairs>
    <vt:vector size="2" baseType="variant">
      <vt:variant>
        <vt:lpstr>Title</vt:lpstr>
      </vt:variant>
      <vt:variant>
        <vt:i4>1</vt:i4>
      </vt:variant>
    </vt:vector>
  </HeadingPairs>
  <TitlesOfParts>
    <vt:vector size="1" baseType="lpstr">
      <vt:lpstr>Submission 3 - Accord - Costs of Doing Business: Dairy Product Manufacturing - Case study</vt:lpstr>
    </vt:vector>
  </TitlesOfParts>
  <Company>Accord </Company>
  <LinksUpToDate>false</LinksUpToDate>
  <CharactersWithSpaces>13216</CharactersWithSpaces>
  <SharedDoc>false</SharedDoc>
  <HLinks>
    <vt:vector size="18" baseType="variant">
      <vt:variant>
        <vt:i4>4718651</vt:i4>
      </vt:variant>
      <vt:variant>
        <vt:i4>6</vt:i4>
      </vt:variant>
      <vt:variant>
        <vt:i4>0</vt:i4>
      </vt:variant>
      <vt:variant>
        <vt:i4>5</vt:i4>
      </vt:variant>
      <vt:variant>
        <vt:lpwstr>mailto:dsabic@accord.asn.au</vt:lpwstr>
      </vt:variant>
      <vt:variant>
        <vt:lpwstr/>
      </vt:variant>
      <vt:variant>
        <vt:i4>4325431</vt:i4>
      </vt:variant>
      <vt:variant>
        <vt:i4>0</vt:i4>
      </vt:variant>
      <vt:variant>
        <vt:i4>0</vt:i4>
      </vt:variant>
      <vt:variant>
        <vt:i4>5</vt:i4>
      </vt:variant>
      <vt:variant>
        <vt:lpwstr>mailto:FPCostReview@daff.gov.au</vt:lpwstr>
      </vt:variant>
      <vt:variant>
        <vt:lpwstr/>
      </vt:variant>
      <vt:variant>
        <vt:i4>6094934</vt:i4>
      </vt:variant>
      <vt:variant>
        <vt:i4>6</vt:i4>
      </vt:variant>
      <vt:variant>
        <vt:i4>0</vt:i4>
      </vt:variant>
      <vt:variant>
        <vt:i4>5</vt:i4>
      </vt:variant>
      <vt:variant>
        <vt:lpwstr>http://www.accord.asn.au/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3 - Accord - Costs of Doing Business: Dairy Product Manufacturing - Case study</dc:title>
  <dc:creator>Accord </dc:creator>
  <cp:lastModifiedBy>Productivity Commission</cp:lastModifiedBy>
  <cp:revision>3</cp:revision>
  <cp:lastPrinted>2014-05-05T00:59:00Z</cp:lastPrinted>
  <dcterms:created xsi:type="dcterms:W3CDTF">2014-05-06T01:03:00Z</dcterms:created>
  <dcterms:modified xsi:type="dcterms:W3CDTF">2014-05-08T00:50:00Z</dcterms:modified>
</cp:coreProperties>
</file>