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79C0" w:rsidRDefault="00D879C0">
      <w:pPr>
        <w:rPr>
          <w:b/>
          <w:szCs w:val="26"/>
        </w:rPr>
      </w:pPr>
      <w:bookmarkStart w:id="0" w:name="_GoBack"/>
      <w:r>
        <w:rPr>
          <w:b/>
          <w:noProof/>
          <w:szCs w:val="26"/>
          <w:lang w:eastAsia="en-AU"/>
        </w:rPr>
        <w:drawing>
          <wp:anchor distT="0" distB="0" distL="114300" distR="114300" simplePos="0" relativeHeight="251658240" behindDoc="1" locked="0" layoutInCell="1" allowOverlap="1">
            <wp:simplePos x="0" y="0"/>
            <wp:positionH relativeFrom="margin">
              <wp:posOffset>-864870</wp:posOffset>
            </wp:positionH>
            <wp:positionV relativeFrom="margin">
              <wp:posOffset>-1087755</wp:posOffset>
            </wp:positionV>
            <wp:extent cx="7694930" cy="10881995"/>
            <wp:effectExtent l="0" t="0" r="1270" b="0"/>
            <wp:wrapThrough wrapText="bothSides">
              <wp:wrapPolygon edited="0">
                <wp:start x="0" y="0"/>
                <wp:lineTo x="0" y="21553"/>
                <wp:lineTo x="21550" y="21553"/>
                <wp:lineTo x="21550" y="0"/>
                <wp:lineTo x="0" y="0"/>
              </wp:wrapPolygon>
            </wp:wrapThrough>
            <wp:docPr id="2" name="Picture 2" descr="Australian Government Productivity Commission logo and cover of the Default Superannuation Funds in Modern Awards - Inquiry report - Number 60 - 5 October 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fault-super-cov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94930" cy="10881995"/>
                    </a:xfrm>
                    <a:prstGeom prst="rect">
                      <a:avLst/>
                    </a:prstGeom>
                  </pic:spPr>
                </pic:pic>
              </a:graphicData>
            </a:graphic>
            <wp14:sizeRelH relativeFrom="margin">
              <wp14:pctWidth>0</wp14:pctWidth>
            </wp14:sizeRelH>
            <wp14:sizeRelV relativeFrom="margin">
              <wp14:pctHeight>0</wp14:pctHeight>
            </wp14:sizeRelV>
          </wp:anchor>
        </w:drawing>
      </w:r>
      <w:bookmarkEnd w:id="0"/>
      <w:r>
        <w:br w:type="page"/>
      </w:r>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602523">
        <w:t>2012</w:t>
      </w:r>
    </w:p>
    <w:p w:rsidR="00D064C2" w:rsidRPr="00242F05" w:rsidRDefault="00D064C2">
      <w:pPr>
        <w:pStyle w:val="BodyText"/>
        <w:tabs>
          <w:tab w:val="left" w:pos="851"/>
        </w:tabs>
        <w:spacing w:before="200" w:after="120"/>
        <w:jc w:val="left"/>
        <w:rPr>
          <w:b/>
          <w:sz w:val="24"/>
        </w:rPr>
      </w:pPr>
      <w:bookmarkStart w:id="1" w:name="ISSN"/>
      <w:bookmarkEnd w:id="1"/>
      <w:r w:rsidRPr="00242F05">
        <w:rPr>
          <w:b/>
          <w:sz w:val="24"/>
        </w:rPr>
        <w:t>ISSN</w:t>
      </w:r>
      <w:r w:rsidRPr="00242F05">
        <w:rPr>
          <w:b/>
          <w:sz w:val="24"/>
        </w:rPr>
        <w:tab/>
      </w:r>
      <w:r w:rsidR="00E204CC" w:rsidRPr="00242F05">
        <w:rPr>
          <w:b/>
        </w:rPr>
        <w:t>978-1-74037-415-6</w:t>
      </w:r>
      <w:r w:rsidRPr="00242F05">
        <w:rPr>
          <w:b/>
          <w:sz w:val="24"/>
        </w:rPr>
        <w:br/>
        <w:t>ISBN</w:t>
      </w:r>
      <w:r w:rsidRPr="00242F05">
        <w:rPr>
          <w:b/>
          <w:sz w:val="24"/>
        </w:rPr>
        <w:tab/>
      </w:r>
      <w:r w:rsidR="00E204CC" w:rsidRPr="00242F05">
        <w:rPr>
          <w:b/>
        </w:rPr>
        <w:t>1447-1329</w:t>
      </w:r>
    </w:p>
    <w:p w:rsidR="003E7802" w:rsidRPr="00691AB5" w:rsidRDefault="003E7802" w:rsidP="00FA4A24">
      <w:pPr>
        <w:pStyle w:val="BodyText"/>
        <w:rPr>
          <w:snapToGrid w:val="0"/>
        </w:rPr>
      </w:pPr>
      <w:r w:rsidRPr="00691AB5">
        <w:rPr>
          <w:snapToGrid w:val="0"/>
        </w:rPr>
        <w:t xml:space="preserve">This work is copyright. Apart from any use as permitted under the </w:t>
      </w:r>
      <w:r w:rsidR="0050465D">
        <w:rPr>
          <w:i/>
          <w:snapToGrid w:val="0"/>
        </w:rPr>
        <w:t>Copyright Act </w:t>
      </w:r>
      <w:r w:rsidRPr="00097C15">
        <w:rPr>
          <w:i/>
          <w:snapToGrid w:val="0"/>
        </w:rPr>
        <w:t>1968</w:t>
      </w:r>
      <w:r w:rsidRPr="00691AB5">
        <w:rPr>
          <w:snapToGrid w:val="0"/>
        </w:rPr>
        <w:t xml:space="preserve">, the work may be reproduced in whole or in part for study or training purposes, subject to the inclusion of an acknowledgment of the source. Reproduction for commercial use or sale requires prior written permission from the </w:t>
      </w:r>
      <w:r w:rsidR="009B12EF">
        <w:rPr>
          <w:snapToGrid w:val="0"/>
        </w:rPr>
        <w:t>Productivity Commission</w:t>
      </w:r>
      <w:r w:rsidRPr="00691AB5">
        <w:rPr>
          <w:snapToGrid w:val="0"/>
        </w:rPr>
        <w:t xml:space="preserve">. Requests and inquiries concerning reproduction and rights should be addressed to </w:t>
      </w:r>
      <w:r w:rsidR="009B12EF">
        <w:rPr>
          <w:snapToGrid w:val="0"/>
        </w:rPr>
        <w:t>Media and Publications (see below)</w:t>
      </w:r>
      <w:r w:rsidR="00734127">
        <w:rPr>
          <w:snapToGrid w:val="0"/>
        </w:rPr>
        <w:t>.</w:t>
      </w:r>
    </w:p>
    <w:p w:rsidR="003E7802" w:rsidRDefault="003E7802" w:rsidP="003E7802">
      <w:pPr>
        <w:pStyle w:val="BodyText"/>
        <w:spacing w:before="160" w:line="240" w:lineRule="auto"/>
        <w:rPr>
          <w:i/>
          <w:sz w:val="24"/>
        </w:rPr>
      </w:pPr>
      <w:r>
        <w:rPr>
          <w:i/>
          <w:snapToGrid w:val="0"/>
          <w:color w:val="000000"/>
          <w:sz w:val="24"/>
        </w:rPr>
        <w:t>This publication is available from the Productivity Commission website at www.pc.gov.au. If</w:t>
      </w:r>
      <w:r>
        <w:rPr>
          <w:i/>
          <w:snapToGrid w:val="0"/>
          <w:sz w:val="24"/>
        </w:rPr>
        <w:t xml:space="preserve"> you require part or all of this publication in a different format, please contact Me</w:t>
      </w:r>
      <w:r w:rsidR="00734127">
        <w:rPr>
          <w:i/>
          <w:snapToGrid w:val="0"/>
          <w:sz w:val="24"/>
        </w:rPr>
        <w:t>dia and Publications.</w:t>
      </w:r>
    </w:p>
    <w:p w:rsidR="003E7802" w:rsidRDefault="003E7802" w:rsidP="003E7802">
      <w:pPr>
        <w:pStyle w:val="BodyText"/>
        <w:spacing w:before="320"/>
        <w:rPr>
          <w:b/>
          <w:sz w:val="24"/>
        </w:rPr>
      </w:pPr>
      <w:r>
        <w:rPr>
          <w:b/>
          <w:sz w:val="24"/>
        </w:rPr>
        <w:t>Publications Inquiries:</w:t>
      </w:r>
    </w:p>
    <w:p w:rsidR="003E7802" w:rsidRDefault="003E7802" w:rsidP="003E7802">
      <w:pPr>
        <w:pStyle w:val="BodyText"/>
        <w:spacing w:before="0" w:line="240" w:lineRule="auto"/>
        <w:rPr>
          <w:sz w:val="24"/>
        </w:rPr>
      </w:pPr>
      <w:r>
        <w:rPr>
          <w:sz w:val="24"/>
        </w:rPr>
        <w:t xml:space="preserve">Media and </w:t>
      </w:r>
      <w:r w:rsidRPr="00FD4728">
        <w:rPr>
          <w:snapToGrid w:val="0"/>
          <w:sz w:val="24"/>
        </w:rPr>
        <w:t>Publications</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w:t>
      </w:r>
      <w:smartTag w:uri="urn:schemas-microsoft-com:office:smarttags" w:element="Street">
        <w:smartTag w:uri="urn:schemas-microsoft-com:office:smarttags" w:element="address">
          <w:r>
            <w:rPr>
              <w:sz w:val="24"/>
            </w:rPr>
            <w:t xml:space="preserve">2 Collins </w:t>
          </w:r>
          <w:r w:rsidRPr="00FD4728">
            <w:rPr>
              <w:snapToGrid w:val="0"/>
              <w:sz w:val="24"/>
            </w:rPr>
            <w:t>Street</w:t>
          </w:r>
          <w:r>
            <w:rPr>
              <w:sz w:val="24"/>
            </w:rPr>
            <w:t xml:space="preserve"> East</w:t>
          </w:r>
        </w:smartTag>
      </w:smartTag>
    </w:p>
    <w:p w:rsidR="003E7802" w:rsidRDefault="003E7802" w:rsidP="003E7802">
      <w:pPr>
        <w:pStyle w:val="BodyText"/>
        <w:spacing w:before="0" w:after="120" w:line="240" w:lineRule="auto"/>
        <w:rPr>
          <w:sz w:val="24"/>
        </w:rPr>
      </w:pPr>
      <w:smartTag w:uri="urn:schemas-microsoft-com:office:smarttags" w:element="City">
        <w:smartTag w:uri="urn:schemas-microsoft-com:office:smarttags" w:element="place">
          <w:r>
            <w:rPr>
              <w:sz w:val="24"/>
            </w:rPr>
            <w:t>Melbourne</w:t>
          </w:r>
        </w:smartTag>
      </w:smartTag>
      <w:r>
        <w:rPr>
          <w:sz w:val="24"/>
        </w:rPr>
        <w:t xml:space="preserve">    VIC    </w:t>
      </w:r>
      <w:r w:rsidRPr="00FD4728">
        <w:rPr>
          <w:snapToGrid w:val="0"/>
          <w:sz w:val="24"/>
        </w:rPr>
        <w:t>8003</w:t>
      </w:r>
    </w:p>
    <w:p w:rsidR="003E7802" w:rsidRPr="00FD4728" w:rsidRDefault="003E7802" w:rsidP="003E7802">
      <w:pPr>
        <w:pStyle w:val="BodyText"/>
        <w:tabs>
          <w:tab w:val="left" w:pos="1134"/>
        </w:tabs>
        <w:spacing w:before="0" w:line="240" w:lineRule="auto"/>
        <w:rPr>
          <w:sz w:val="24"/>
          <w:szCs w:val="24"/>
        </w:rPr>
      </w:pPr>
      <w:r w:rsidRPr="00FD4728">
        <w:rPr>
          <w:sz w:val="24"/>
          <w:szCs w:val="24"/>
        </w:rPr>
        <w:t>Tel:</w:t>
      </w:r>
      <w:r w:rsidRPr="00FD4728">
        <w:rPr>
          <w:sz w:val="24"/>
          <w:szCs w:val="24"/>
        </w:rPr>
        <w:tab/>
        <w:t>(03) 9653 2244</w:t>
      </w:r>
    </w:p>
    <w:p w:rsidR="003E7802" w:rsidRDefault="003E7802" w:rsidP="003E7802">
      <w:pPr>
        <w:pStyle w:val="BodyText"/>
        <w:tabs>
          <w:tab w:val="left" w:pos="1134"/>
        </w:tabs>
        <w:spacing w:before="0" w:line="240" w:lineRule="auto"/>
        <w:jc w:val="left"/>
      </w:pPr>
      <w:r w:rsidRPr="00FD4728">
        <w:rPr>
          <w:sz w:val="24"/>
          <w:szCs w:val="24"/>
        </w:rPr>
        <w:t>Fax:</w:t>
      </w:r>
      <w:r w:rsidRPr="00FD4728">
        <w:rPr>
          <w:sz w:val="24"/>
          <w:szCs w:val="24"/>
        </w:rPr>
        <w:tab/>
        <w:t>(03) 9653 2303</w:t>
      </w:r>
      <w:r w:rsidRPr="00FD4728">
        <w:rPr>
          <w:sz w:val="24"/>
          <w:szCs w:val="24"/>
        </w:rPr>
        <w:br/>
      </w:r>
      <w:r w:rsidRPr="008F04C9">
        <w:rPr>
          <w:sz w:val="24"/>
          <w:szCs w:val="24"/>
        </w:rPr>
        <w:t>Email:</w:t>
      </w:r>
      <w:r w:rsidRPr="008F04C9">
        <w:rPr>
          <w:sz w:val="24"/>
          <w:szCs w:val="24"/>
        </w:rPr>
        <w:tab/>
        <w:t>maps@pc.gov.au</w:t>
      </w:r>
    </w:p>
    <w:p w:rsidR="003E7802" w:rsidRDefault="003E7802" w:rsidP="003E7802">
      <w:pPr>
        <w:pStyle w:val="BodyText"/>
        <w:spacing w:before="320"/>
        <w:rPr>
          <w:b/>
          <w:sz w:val="24"/>
        </w:rPr>
      </w:pPr>
      <w:r>
        <w:rPr>
          <w:b/>
          <w:sz w:val="24"/>
        </w:rPr>
        <w:t>General Inquiries:</w:t>
      </w:r>
    </w:p>
    <w:p w:rsidR="003E7802" w:rsidRPr="008F04C9" w:rsidRDefault="003E7802" w:rsidP="003E7802">
      <w:pPr>
        <w:pStyle w:val="BodyText"/>
        <w:tabs>
          <w:tab w:val="left" w:pos="1134"/>
        </w:tabs>
        <w:spacing w:before="0" w:line="240" w:lineRule="auto"/>
        <w:rPr>
          <w:sz w:val="24"/>
          <w:szCs w:val="24"/>
        </w:rPr>
      </w:pPr>
      <w:r w:rsidRPr="008F04C9">
        <w:rPr>
          <w:sz w:val="24"/>
          <w:szCs w:val="24"/>
        </w:rPr>
        <w:t>Tel:</w:t>
      </w:r>
      <w:r w:rsidRPr="008F04C9">
        <w:rPr>
          <w:sz w:val="24"/>
          <w:szCs w:val="24"/>
        </w:rPr>
        <w:tab/>
        <w:t>(03) 9653 2100 or (02) 6240 3200</w:t>
      </w:r>
    </w:p>
    <w:p w:rsidR="003E7802" w:rsidRPr="008F04C9" w:rsidRDefault="003E7802" w:rsidP="003E7802">
      <w:pPr>
        <w:pStyle w:val="BodyText"/>
        <w:spacing w:before="360" w:line="240" w:lineRule="auto"/>
        <w:rPr>
          <w:b/>
          <w:sz w:val="24"/>
          <w:szCs w:val="24"/>
        </w:rPr>
      </w:pPr>
      <w:r w:rsidRPr="008F04C9">
        <w:rPr>
          <w:b/>
          <w:sz w:val="24"/>
          <w:szCs w:val="24"/>
        </w:rPr>
        <w:t>An appropriate citation for this paper is:</w:t>
      </w:r>
    </w:p>
    <w:p w:rsidR="003E7802" w:rsidRPr="00551FB8" w:rsidRDefault="00D064C2" w:rsidP="003E7802">
      <w:pPr>
        <w:pStyle w:val="BodyText"/>
        <w:spacing w:before="160" w:after="120" w:line="240" w:lineRule="auto"/>
        <w:rPr>
          <w:sz w:val="24"/>
          <w:szCs w:val="24"/>
        </w:rPr>
      </w:pPr>
      <w:r>
        <w:rPr>
          <w:sz w:val="24"/>
          <w:szCs w:val="24"/>
        </w:rPr>
        <w:t xml:space="preserve">Productivity Commission 2012, </w:t>
      </w:r>
      <w:r w:rsidRPr="00D431AC">
        <w:rPr>
          <w:i/>
          <w:sz w:val="24"/>
          <w:szCs w:val="24"/>
        </w:rPr>
        <w:t xml:space="preserve">Default </w:t>
      </w:r>
      <w:r w:rsidR="001835FF">
        <w:rPr>
          <w:i/>
          <w:sz w:val="24"/>
          <w:szCs w:val="24"/>
        </w:rPr>
        <w:t>S</w:t>
      </w:r>
      <w:r w:rsidR="001835FF" w:rsidRPr="00D431AC">
        <w:rPr>
          <w:i/>
          <w:sz w:val="24"/>
          <w:szCs w:val="24"/>
        </w:rPr>
        <w:t xml:space="preserve">uperannuation </w:t>
      </w:r>
      <w:r w:rsidR="001835FF">
        <w:rPr>
          <w:i/>
          <w:sz w:val="24"/>
          <w:szCs w:val="24"/>
        </w:rPr>
        <w:t>F</w:t>
      </w:r>
      <w:r w:rsidR="001835FF" w:rsidRPr="00D431AC">
        <w:rPr>
          <w:i/>
          <w:sz w:val="24"/>
          <w:szCs w:val="24"/>
        </w:rPr>
        <w:t xml:space="preserve">unds </w:t>
      </w:r>
      <w:r w:rsidRPr="00D431AC">
        <w:rPr>
          <w:i/>
          <w:sz w:val="24"/>
          <w:szCs w:val="24"/>
        </w:rPr>
        <w:t xml:space="preserve">in </w:t>
      </w:r>
      <w:r w:rsidR="001835FF">
        <w:rPr>
          <w:i/>
          <w:sz w:val="24"/>
          <w:szCs w:val="24"/>
        </w:rPr>
        <w:t>M</w:t>
      </w:r>
      <w:r w:rsidR="001835FF" w:rsidRPr="00D431AC">
        <w:rPr>
          <w:i/>
          <w:sz w:val="24"/>
          <w:szCs w:val="24"/>
        </w:rPr>
        <w:t xml:space="preserve">odern </w:t>
      </w:r>
      <w:r w:rsidR="001835FF">
        <w:rPr>
          <w:i/>
          <w:sz w:val="24"/>
          <w:szCs w:val="24"/>
        </w:rPr>
        <w:t>A</w:t>
      </w:r>
      <w:r w:rsidR="001835FF" w:rsidRPr="00D431AC">
        <w:rPr>
          <w:i/>
          <w:sz w:val="24"/>
          <w:szCs w:val="24"/>
        </w:rPr>
        <w:t>wards</w:t>
      </w:r>
      <w:r>
        <w:rPr>
          <w:sz w:val="24"/>
          <w:szCs w:val="24"/>
        </w:rPr>
        <w:t xml:space="preserve">, </w:t>
      </w:r>
      <w:r w:rsidR="001835FF">
        <w:rPr>
          <w:sz w:val="24"/>
          <w:szCs w:val="24"/>
        </w:rPr>
        <w:t xml:space="preserve">Report No. </w:t>
      </w:r>
      <w:r w:rsidR="00E204CC">
        <w:rPr>
          <w:sz w:val="24"/>
          <w:szCs w:val="24"/>
        </w:rPr>
        <w:t>60</w:t>
      </w:r>
      <w:r w:rsidR="001835FF">
        <w:rPr>
          <w:sz w:val="24"/>
          <w:szCs w:val="24"/>
        </w:rPr>
        <w:t xml:space="preserve">, </w:t>
      </w:r>
      <w:r>
        <w:rPr>
          <w:sz w:val="24"/>
          <w:szCs w:val="24"/>
        </w:rPr>
        <w:t>Final Inquiry Report, Canberra.</w:t>
      </w:r>
    </w:p>
    <w:p w:rsidR="00D064C2" w:rsidRPr="00507F3C" w:rsidRDefault="00D064C2">
      <w:pPr>
        <w:pStyle w:val="BodyText"/>
        <w:spacing w:before="160" w:after="120" w:line="240" w:lineRule="auto"/>
        <w:rPr>
          <w:sz w:val="20"/>
        </w:rPr>
      </w:pPr>
      <w:bookmarkStart w:id="2" w:name="JEL"/>
      <w:bookmarkEnd w:id="2"/>
      <w:proofErr w:type="spellStart"/>
      <w:r w:rsidRPr="00507F3C">
        <w:rPr>
          <w:sz w:val="20"/>
        </w:rPr>
        <w:t>JEL</w:t>
      </w:r>
      <w:proofErr w:type="spellEnd"/>
      <w:r w:rsidRPr="00507F3C">
        <w:rPr>
          <w:sz w:val="20"/>
        </w:rPr>
        <w:t xml:space="preserve"> code</w:t>
      </w:r>
      <w:r w:rsidRPr="00D064C2">
        <w:rPr>
          <w:sz w:val="24"/>
          <w:szCs w:val="24"/>
        </w:rPr>
        <w:t xml:space="preserve"> </w:t>
      </w:r>
      <w:r>
        <w:rPr>
          <w:sz w:val="24"/>
          <w:szCs w:val="24"/>
        </w:rPr>
        <w:t>J32, H55</w:t>
      </w:r>
    </w:p>
    <w:p w:rsidR="003E7802" w:rsidRPr="00DC75C7" w:rsidRDefault="003E7802" w:rsidP="003E7802">
      <w:pPr>
        <w:pStyle w:val="BodyText"/>
        <w:pBdr>
          <w:top w:val="single" w:sz="4" w:space="5" w:color="auto"/>
          <w:left w:val="single" w:sz="4" w:space="8" w:color="auto"/>
          <w:bottom w:val="single" w:sz="4" w:space="14" w:color="auto"/>
          <w:right w:val="single" w:sz="4" w:space="8" w:color="auto"/>
        </w:pBdr>
        <w:spacing w:before="120" w:line="240" w:lineRule="auto"/>
        <w:ind w:left="284" w:right="284"/>
        <w:rPr>
          <w:b/>
          <w:i/>
          <w:sz w:val="24"/>
          <w:szCs w:val="24"/>
        </w:rPr>
      </w:pPr>
      <w:r w:rsidRPr="00DC75C7">
        <w:rPr>
          <w:b/>
          <w:i/>
          <w:sz w:val="24"/>
          <w:szCs w:val="24"/>
        </w:rPr>
        <w:t>The Productivity Commission</w:t>
      </w:r>
    </w:p>
    <w:p w:rsidR="003E7802" w:rsidRPr="00BB5DCF"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3E7802" w:rsidRPr="00BB5DCF"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The Commission’s independence is underpinned by an Act of Parliament. Its processes and outputs are open to public scrutiny and are driven by concern for the wellbeing of the community as a whole.</w:t>
      </w:r>
    </w:p>
    <w:p w:rsidR="00735FEA" w:rsidRPr="00BB5DCF"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Further information on the Productivity Commission can be obtained from the Commission’s website (www.pc.gov.au) or by contacting Media and Publications on (03) 9653 2244 or email: maps@pc.gov.au</w:t>
      </w:r>
    </w:p>
    <w:p w:rsidR="00735FEA" w:rsidRDefault="00735FEA">
      <w:pPr>
        <w:pStyle w:val="BodyText"/>
        <w:sectPr w:rsidR="00735FEA" w:rsidSect="001A5071">
          <w:type w:val="evenPage"/>
          <w:pgSz w:w="11907" w:h="16840" w:code="9"/>
          <w:pgMar w:top="1418" w:right="1304" w:bottom="567" w:left="1814" w:header="1701" w:footer="567" w:gutter="0"/>
          <w:pgNumType w:start="2"/>
          <w:cols w:space="720"/>
          <w:titlePg/>
        </w:sectPr>
      </w:pPr>
      <w:bookmarkStart w:id="3" w:name="cov"/>
      <w:bookmarkEnd w:id="3"/>
    </w:p>
    <w:tbl>
      <w:tblPr>
        <w:tblW w:w="8651" w:type="dxa"/>
        <w:tblInd w:w="113" w:type="dxa"/>
        <w:tblLayout w:type="fixed"/>
        <w:tblLook w:val="0000" w:firstRow="0" w:lastRow="0" w:firstColumn="0" w:lastColumn="0" w:noHBand="0" w:noVBand="0"/>
      </w:tblPr>
      <w:tblGrid>
        <w:gridCol w:w="2287"/>
        <w:gridCol w:w="1824"/>
        <w:gridCol w:w="1276"/>
        <w:gridCol w:w="3264"/>
      </w:tblGrid>
      <w:tr w:rsidR="00D064C2">
        <w:trPr>
          <w:cantSplit/>
          <w:trHeight w:hRule="exact" w:val="996"/>
        </w:trPr>
        <w:tc>
          <w:tcPr>
            <w:tcW w:w="2287" w:type="dxa"/>
          </w:tcPr>
          <w:p w:rsidR="00D064C2" w:rsidRDefault="00D064C2">
            <w:pPr>
              <w:pStyle w:val="PCAddress"/>
              <w:ind w:left="709"/>
              <w:rPr>
                <w:b/>
                <w:i/>
              </w:rPr>
            </w:pPr>
          </w:p>
        </w:tc>
        <w:tc>
          <w:tcPr>
            <w:tcW w:w="1824" w:type="dxa"/>
          </w:tcPr>
          <w:p w:rsidR="00D064C2" w:rsidRDefault="00D064C2">
            <w:pPr>
              <w:pStyle w:val="PCAddress"/>
              <w:ind w:left="709"/>
              <w:rPr>
                <w:b/>
                <w:i/>
              </w:rPr>
            </w:pPr>
          </w:p>
        </w:tc>
        <w:tc>
          <w:tcPr>
            <w:tcW w:w="4540" w:type="dxa"/>
            <w:gridSpan w:val="2"/>
          </w:tcPr>
          <w:p w:rsidR="00D064C2" w:rsidRDefault="00D064C2">
            <w:pPr>
              <w:pStyle w:val="PCAddress"/>
              <w:ind w:left="709"/>
              <w:rPr>
                <w:b/>
                <w:i/>
              </w:rPr>
            </w:pPr>
            <w:r>
              <w:rPr>
                <w:noProof/>
                <w:sz w:val="20"/>
              </w:rPr>
              <w:drawing>
                <wp:inline distT="0" distB="0" distL="0" distR="0" wp14:anchorId="2F3B40F8" wp14:editId="0F38450F">
                  <wp:extent cx="2057400" cy="600075"/>
                  <wp:effectExtent l="0" t="0" r="0" b="9525"/>
                  <wp:docPr id="1" name="Picture 1" descr="PC_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_inline"/>
                          <pic:cNvPicPr>
                            <a:picLocks noChangeAspect="1" noChangeArrowheads="1"/>
                          </pic:cNvPicPr>
                        </pic:nvPicPr>
                        <pic:blipFill>
                          <a:blip r:embed="rId9" cstate="print">
                            <a:extLst>
                              <a:ext uri="{28A0092B-C50C-407E-A947-70E740481C1C}">
                                <a14:useLocalDpi xmlns:a14="http://schemas.microsoft.com/office/drawing/2010/main" val="0"/>
                              </a:ext>
                            </a:extLst>
                          </a:blip>
                          <a:srcRect r="2438"/>
                          <a:stretch>
                            <a:fillRect/>
                          </a:stretch>
                        </pic:blipFill>
                        <pic:spPr bwMode="auto">
                          <a:xfrm>
                            <a:off x="0" y="0"/>
                            <a:ext cx="2057400" cy="600075"/>
                          </a:xfrm>
                          <a:prstGeom prst="rect">
                            <a:avLst/>
                          </a:prstGeom>
                          <a:noFill/>
                          <a:ln>
                            <a:noFill/>
                          </a:ln>
                        </pic:spPr>
                      </pic:pic>
                    </a:graphicData>
                  </a:graphic>
                </wp:inline>
              </w:drawing>
            </w:r>
          </w:p>
        </w:tc>
      </w:tr>
      <w:tr w:rsidR="00D064C2">
        <w:trPr>
          <w:cantSplit/>
          <w:trHeight w:hRule="exact" w:val="2793"/>
        </w:trPr>
        <w:tc>
          <w:tcPr>
            <w:tcW w:w="5387" w:type="dxa"/>
            <w:gridSpan w:val="3"/>
            <w:vAlign w:val="bottom"/>
          </w:tcPr>
          <w:p w:rsidR="00D064C2" w:rsidRDefault="00D064C2" w:rsidP="00D064C2">
            <w:pPr>
              <w:pStyle w:val="LetterDate"/>
            </w:pPr>
            <w:bookmarkStart w:id="4" w:name="YourRef"/>
            <w:bookmarkStart w:id="5" w:name="OurRef"/>
            <w:bookmarkStart w:id="6" w:name="graphics" w:colFirst="1" w:colLast="1"/>
            <w:bookmarkEnd w:id="4"/>
            <w:bookmarkEnd w:id="5"/>
            <w:r>
              <w:t>5 October 2012</w:t>
            </w:r>
          </w:p>
        </w:tc>
        <w:tc>
          <w:tcPr>
            <w:tcW w:w="3264" w:type="dxa"/>
            <w:vAlign w:val="center"/>
          </w:tcPr>
          <w:p w:rsidR="00D064C2" w:rsidRDefault="00D064C2">
            <w:pPr>
              <w:pStyle w:val="PCAddress"/>
              <w:ind w:left="709"/>
              <w:rPr>
                <w:b/>
                <w:i/>
              </w:rPr>
            </w:pPr>
            <w:r>
              <w:rPr>
                <w:b/>
                <w:i/>
              </w:rPr>
              <w:t>Melbourne Office</w:t>
            </w:r>
          </w:p>
          <w:p w:rsidR="00D064C2" w:rsidRDefault="00D064C2">
            <w:pPr>
              <w:pStyle w:val="PCAddress"/>
              <w:spacing w:after="0"/>
              <w:ind w:left="709"/>
            </w:pPr>
            <w:r>
              <w:t>Level 12, 530 Collins Street</w:t>
            </w:r>
          </w:p>
          <w:p w:rsidR="00D064C2" w:rsidRDefault="00D064C2">
            <w:pPr>
              <w:pStyle w:val="PCAddress"/>
              <w:ind w:left="709"/>
            </w:pPr>
            <w:r>
              <w:t>Melbourne  VIC  3000</w:t>
            </w:r>
          </w:p>
          <w:p w:rsidR="00D064C2" w:rsidRDefault="00D064C2">
            <w:pPr>
              <w:pStyle w:val="PCAddress"/>
              <w:spacing w:after="0"/>
              <w:ind w:left="709"/>
            </w:pPr>
            <w:r>
              <w:t xml:space="preserve">Locked Bag 2 Collins Street East </w:t>
            </w:r>
          </w:p>
          <w:p w:rsidR="00D064C2" w:rsidRDefault="00D064C2">
            <w:pPr>
              <w:pStyle w:val="PCAddress"/>
              <w:ind w:left="709"/>
            </w:pPr>
            <w:r>
              <w:t>Melbourne  VIC  8003</w:t>
            </w:r>
          </w:p>
          <w:p w:rsidR="00D064C2" w:rsidRDefault="00D064C2">
            <w:pPr>
              <w:pStyle w:val="PCAddress"/>
              <w:spacing w:after="0"/>
              <w:ind w:left="709"/>
            </w:pPr>
            <w:r>
              <w:t>Telephone</w:t>
            </w:r>
            <w:r>
              <w:tab/>
              <w:t>03 9653 2100</w:t>
            </w:r>
          </w:p>
          <w:p w:rsidR="00D064C2" w:rsidRDefault="00D064C2">
            <w:pPr>
              <w:pStyle w:val="PCAddress"/>
              <w:ind w:left="709"/>
            </w:pPr>
            <w:r>
              <w:t>Facsimile</w:t>
            </w:r>
            <w:r>
              <w:tab/>
              <w:t>03 9653 2199</w:t>
            </w:r>
          </w:p>
          <w:p w:rsidR="00D064C2" w:rsidRDefault="00D064C2">
            <w:pPr>
              <w:pStyle w:val="PCAddress"/>
              <w:ind w:left="709"/>
              <w:rPr>
                <w:b/>
                <w:i/>
              </w:rPr>
            </w:pPr>
            <w:r>
              <w:rPr>
                <w:b/>
                <w:i/>
              </w:rPr>
              <w:t>Canberra Office</w:t>
            </w:r>
          </w:p>
          <w:p w:rsidR="00D064C2" w:rsidRDefault="00D064C2">
            <w:pPr>
              <w:pStyle w:val="PCAddress"/>
              <w:ind w:left="709"/>
            </w:pPr>
            <w:r>
              <w:t>Telephone</w:t>
            </w:r>
            <w:r>
              <w:tab/>
              <w:t>02 6240 3200</w:t>
            </w:r>
          </w:p>
          <w:p w:rsidR="00D064C2" w:rsidRDefault="00D064C2">
            <w:pPr>
              <w:pStyle w:val="PCAddress"/>
              <w:ind w:left="709"/>
            </w:pPr>
            <w:r>
              <w:t>www.pc.gov.au</w:t>
            </w:r>
          </w:p>
        </w:tc>
      </w:tr>
      <w:bookmarkEnd w:id="6"/>
    </w:tbl>
    <w:p w:rsidR="00D064C2" w:rsidRPr="00C76C25" w:rsidRDefault="00D064C2">
      <w:pPr>
        <w:ind w:left="709"/>
      </w:pPr>
    </w:p>
    <w:p w:rsidR="00D064C2" w:rsidRPr="00C76C25" w:rsidRDefault="00D064C2">
      <w:pPr>
        <w:pStyle w:val="LetterAddress"/>
      </w:pPr>
      <w:r>
        <w:t>T</w:t>
      </w:r>
      <w:r w:rsidRPr="00C76C25">
        <w:t xml:space="preserve">he Hon </w:t>
      </w:r>
      <w:r>
        <w:t>David Bradbury MP</w:t>
      </w:r>
      <w:r w:rsidRPr="00C76C25">
        <w:br/>
        <w:t>Assistant Treasurer</w:t>
      </w:r>
    </w:p>
    <w:p w:rsidR="00D064C2" w:rsidRPr="00C76C25" w:rsidRDefault="00D064C2">
      <w:pPr>
        <w:pStyle w:val="LetterAddress"/>
      </w:pPr>
      <w:r w:rsidRPr="00C76C25">
        <w:t>Parliament House</w:t>
      </w:r>
    </w:p>
    <w:p w:rsidR="00D064C2" w:rsidRPr="00C76C25" w:rsidRDefault="00D064C2">
      <w:pPr>
        <w:pStyle w:val="LetterAddress"/>
      </w:pPr>
      <w:r w:rsidRPr="00C76C25">
        <w:t>CANBERRA  ACT  2600</w:t>
      </w:r>
    </w:p>
    <w:p w:rsidR="00D064C2" w:rsidRDefault="00D064C2">
      <w:pPr>
        <w:pStyle w:val="Salutation"/>
      </w:pPr>
      <w:bookmarkStart w:id="7" w:name="Salutation"/>
      <w:bookmarkEnd w:id="7"/>
    </w:p>
    <w:p w:rsidR="00D064C2" w:rsidRPr="00C76C25" w:rsidRDefault="00D064C2">
      <w:pPr>
        <w:pStyle w:val="Salutation"/>
      </w:pPr>
      <w:r w:rsidRPr="00C76C25">
        <w:t>Dear Assistant Treasurer</w:t>
      </w:r>
    </w:p>
    <w:p w:rsidR="00D064C2" w:rsidRPr="00C76C25" w:rsidRDefault="00D064C2">
      <w:pPr>
        <w:pStyle w:val="BodyText"/>
        <w:rPr>
          <w:sz w:val="24"/>
          <w:szCs w:val="24"/>
        </w:rPr>
      </w:pPr>
      <w:bookmarkStart w:id="8" w:name="Body"/>
      <w:bookmarkEnd w:id="8"/>
      <w:r w:rsidRPr="00C76C25">
        <w:rPr>
          <w:sz w:val="24"/>
          <w:szCs w:val="24"/>
        </w:rPr>
        <w:t xml:space="preserve">In accordance with Section 11 of the </w:t>
      </w:r>
      <w:r w:rsidRPr="00C76C25">
        <w:rPr>
          <w:i/>
          <w:sz w:val="24"/>
          <w:szCs w:val="24"/>
        </w:rPr>
        <w:t>Productivity Commission Act 1998</w:t>
      </w:r>
      <w:r w:rsidRPr="00C76C25">
        <w:rPr>
          <w:sz w:val="24"/>
          <w:szCs w:val="24"/>
        </w:rPr>
        <w:t xml:space="preserve">, we have pleasure in submitting to you the Commission’s final report into </w:t>
      </w:r>
      <w:r w:rsidR="001835FF">
        <w:rPr>
          <w:sz w:val="24"/>
          <w:szCs w:val="24"/>
        </w:rPr>
        <w:t>D</w:t>
      </w:r>
      <w:r w:rsidR="001101EF">
        <w:rPr>
          <w:sz w:val="24"/>
          <w:szCs w:val="24"/>
        </w:rPr>
        <w:t xml:space="preserve">efault </w:t>
      </w:r>
      <w:r w:rsidR="001835FF">
        <w:rPr>
          <w:sz w:val="24"/>
          <w:szCs w:val="24"/>
        </w:rPr>
        <w:t>S</w:t>
      </w:r>
      <w:r w:rsidR="001101EF">
        <w:rPr>
          <w:sz w:val="24"/>
          <w:szCs w:val="24"/>
        </w:rPr>
        <w:t xml:space="preserve">uperannuation </w:t>
      </w:r>
      <w:r w:rsidR="001835FF">
        <w:rPr>
          <w:sz w:val="24"/>
          <w:szCs w:val="24"/>
        </w:rPr>
        <w:t>F</w:t>
      </w:r>
      <w:r w:rsidR="001101EF">
        <w:rPr>
          <w:sz w:val="24"/>
          <w:szCs w:val="24"/>
        </w:rPr>
        <w:t xml:space="preserve">unds in </w:t>
      </w:r>
      <w:r w:rsidR="001835FF">
        <w:rPr>
          <w:sz w:val="24"/>
          <w:szCs w:val="24"/>
        </w:rPr>
        <w:t>M</w:t>
      </w:r>
      <w:r w:rsidR="001101EF">
        <w:rPr>
          <w:sz w:val="24"/>
          <w:szCs w:val="24"/>
        </w:rPr>
        <w:t xml:space="preserve">odern </w:t>
      </w:r>
      <w:r w:rsidR="001835FF">
        <w:rPr>
          <w:sz w:val="24"/>
          <w:szCs w:val="24"/>
        </w:rPr>
        <w:t>A</w:t>
      </w:r>
      <w:r w:rsidR="001101EF">
        <w:rPr>
          <w:sz w:val="24"/>
          <w:szCs w:val="24"/>
        </w:rPr>
        <w:t>wards</w:t>
      </w:r>
      <w:r w:rsidRPr="00C76C25">
        <w:rPr>
          <w:sz w:val="24"/>
          <w:szCs w:val="24"/>
        </w:rPr>
        <w:t>.</w:t>
      </w:r>
    </w:p>
    <w:p w:rsidR="00D064C2" w:rsidRPr="00C76C25" w:rsidRDefault="00D064C2">
      <w:pPr>
        <w:pStyle w:val="Signoff"/>
        <w:rPr>
          <w:szCs w:val="24"/>
        </w:rPr>
      </w:pPr>
      <w:bookmarkStart w:id="9" w:name="signoff"/>
      <w:bookmarkEnd w:id="9"/>
      <w:r w:rsidRPr="00C76C25">
        <w:rPr>
          <w:szCs w:val="24"/>
        </w:rPr>
        <w:t>Yours sincerely</w:t>
      </w:r>
    </w:p>
    <w:p w:rsidR="00D064C2" w:rsidRPr="00C76C25" w:rsidRDefault="001101EF">
      <w:pPr>
        <w:pStyle w:val="BodyText"/>
        <w:rPr>
          <w:sz w:val="24"/>
          <w:szCs w:val="24"/>
        </w:rPr>
      </w:pPr>
      <w:bookmarkStart w:id="10" w:name="author"/>
      <w:bookmarkEnd w:id="10"/>
      <w:r>
        <w:rPr>
          <w:sz w:val="24"/>
          <w:szCs w:val="24"/>
        </w:rPr>
        <w:t>Mike Woods</w:t>
      </w:r>
      <w:r w:rsidR="001835FF">
        <w:rPr>
          <w:sz w:val="24"/>
          <w:szCs w:val="24"/>
        </w:rPr>
        <w:tab/>
      </w:r>
      <w:r w:rsidR="001835FF">
        <w:rPr>
          <w:sz w:val="24"/>
          <w:szCs w:val="24"/>
        </w:rPr>
        <w:tab/>
      </w:r>
      <w:r w:rsidR="001835FF">
        <w:rPr>
          <w:sz w:val="24"/>
          <w:szCs w:val="24"/>
        </w:rPr>
        <w:tab/>
      </w:r>
      <w:r w:rsidR="001835FF">
        <w:rPr>
          <w:sz w:val="24"/>
          <w:szCs w:val="24"/>
        </w:rPr>
        <w:tab/>
        <w:t>Angela MacRae</w:t>
      </w:r>
      <w:r w:rsidR="001835FF">
        <w:rPr>
          <w:sz w:val="24"/>
          <w:szCs w:val="24"/>
        </w:rPr>
        <w:tab/>
      </w:r>
      <w:r w:rsidR="001835FF">
        <w:rPr>
          <w:sz w:val="24"/>
          <w:szCs w:val="24"/>
        </w:rPr>
        <w:tab/>
      </w:r>
      <w:r w:rsidR="001835FF">
        <w:rPr>
          <w:sz w:val="24"/>
          <w:szCs w:val="24"/>
        </w:rPr>
        <w:tab/>
        <w:t>Paul Costello</w:t>
      </w:r>
    </w:p>
    <w:p w:rsidR="00D064C2" w:rsidRPr="00C76C25" w:rsidRDefault="00D064C2">
      <w:pPr>
        <w:pStyle w:val="LetterAddress"/>
      </w:pPr>
      <w:r w:rsidRPr="00C76C25">
        <w:t>Presiding Commissioner</w:t>
      </w:r>
      <w:r w:rsidR="001835FF">
        <w:tab/>
      </w:r>
      <w:r w:rsidR="001835FF">
        <w:tab/>
      </w:r>
      <w:proofErr w:type="spellStart"/>
      <w:r w:rsidR="001835FF">
        <w:t>Commissioner</w:t>
      </w:r>
      <w:proofErr w:type="spellEnd"/>
      <w:r w:rsidR="001835FF">
        <w:tab/>
      </w:r>
      <w:r w:rsidR="001835FF">
        <w:tab/>
      </w:r>
      <w:r w:rsidR="001835FF">
        <w:tab/>
        <w:t>Associate Commissioner</w:t>
      </w:r>
    </w:p>
    <w:p w:rsidR="00D064C2" w:rsidRDefault="00D064C2">
      <w:pPr>
        <w:pStyle w:val="BodyText"/>
      </w:pPr>
    </w:p>
    <w:p w:rsidR="00D064C2" w:rsidRDefault="00D064C2">
      <w:pPr>
        <w:rPr>
          <w:kern w:val="28"/>
          <w:sz w:val="52"/>
        </w:rPr>
      </w:pPr>
      <w:r>
        <w:br w:type="page"/>
      </w:r>
    </w:p>
    <w:p w:rsidR="00D064C2" w:rsidRDefault="00D064C2" w:rsidP="00E204CC">
      <w:pPr>
        <w:pStyle w:val="Heading1"/>
        <w:spacing w:after="840"/>
      </w:pPr>
      <w:bookmarkStart w:id="11" w:name="_Toc337056111"/>
      <w:bookmarkStart w:id="12" w:name="_Toc337105392"/>
      <w:r>
        <w:lastRenderedPageBreak/>
        <w:t>Terms of reference</w:t>
      </w:r>
      <w:bookmarkEnd w:id="11"/>
      <w:bookmarkEnd w:id="12"/>
    </w:p>
    <w:p w:rsidR="00D064C2" w:rsidRPr="00674AF7" w:rsidRDefault="00D064C2" w:rsidP="00D064C2">
      <w:pPr>
        <w:pStyle w:val="BodyText"/>
        <w:spacing w:before="120"/>
        <w:jc w:val="center"/>
        <w:rPr>
          <w:b/>
          <w:caps/>
          <w:sz w:val="24"/>
          <w:szCs w:val="24"/>
        </w:rPr>
      </w:pPr>
      <w:r w:rsidRPr="00674AF7">
        <w:rPr>
          <w:b/>
          <w:caps/>
          <w:sz w:val="24"/>
          <w:szCs w:val="24"/>
        </w:rPr>
        <w:t>process for the selection and ongoing review of superannuation funds to be included in modern awards as default funds</w:t>
      </w:r>
    </w:p>
    <w:p w:rsidR="00D064C2" w:rsidRPr="007E6A9E" w:rsidRDefault="00D064C2" w:rsidP="007E6A9E">
      <w:pPr>
        <w:pStyle w:val="BodyText"/>
      </w:pPr>
      <w:r w:rsidRPr="007E6A9E">
        <w:t xml:space="preserve">I, Mark </w:t>
      </w:r>
      <w:proofErr w:type="spellStart"/>
      <w:r w:rsidRPr="007E6A9E">
        <w:t>Arbib</w:t>
      </w:r>
      <w:proofErr w:type="spellEnd"/>
      <w:r w:rsidRPr="007E6A9E">
        <w:t xml:space="preserve">, Assistant Treasurer, pursuant to Parts 2 and 3 of the </w:t>
      </w:r>
      <w:r w:rsidR="0050465D" w:rsidRPr="007E6A9E">
        <w:rPr>
          <w:i/>
        </w:rPr>
        <w:t>Productivity Commission Act </w:t>
      </w:r>
      <w:r w:rsidRPr="007E6A9E">
        <w:rPr>
          <w:i/>
        </w:rPr>
        <w:t>1998</w:t>
      </w:r>
      <w:r w:rsidRPr="007E6A9E">
        <w:t xml:space="preserve"> hereby request that the Productivity Commission undertake an inquiry into the process for the selection and ongoing review of superannuation funds to be included in modern awards as default funds.</w:t>
      </w:r>
    </w:p>
    <w:p w:rsidR="00D064C2" w:rsidRPr="007E6A9E" w:rsidRDefault="00D064C2" w:rsidP="007E6A9E">
      <w:pPr>
        <w:pStyle w:val="BodyText"/>
      </w:pPr>
      <w:r w:rsidRPr="007E6A9E">
        <w:t>The Commission will commence its inquiry on receipt of the terms of reference and report to Government within eight months of commencement.</w:t>
      </w:r>
    </w:p>
    <w:p w:rsidR="00D064C2" w:rsidRPr="007E6A9E" w:rsidRDefault="00D064C2" w:rsidP="007E6A9E">
      <w:pPr>
        <w:pStyle w:val="BodyText"/>
        <w:rPr>
          <w:b/>
        </w:rPr>
      </w:pPr>
      <w:r w:rsidRPr="007E6A9E">
        <w:rPr>
          <w:b/>
        </w:rPr>
        <w:t>Background</w:t>
      </w:r>
    </w:p>
    <w:p w:rsidR="00D064C2" w:rsidRPr="007E6A9E" w:rsidRDefault="00D064C2" w:rsidP="007E6A9E">
      <w:pPr>
        <w:pStyle w:val="BodyText"/>
      </w:pPr>
      <w:r w:rsidRPr="007E6A9E">
        <w:t>In May 2009, the Government commissioned a comprehensive and independent review into the governance, efficiency, structure and operation of Australia</w:t>
      </w:r>
      <w:r w:rsidR="00FD1DA2" w:rsidRPr="007E6A9E">
        <w:t>’</w:t>
      </w:r>
      <w:r w:rsidRPr="007E6A9E">
        <w:t>s superannuation system (the Cooper Review).  The Cooper Review provided its final report to Government on 30 June 2010 and made 177 recommendations.</w:t>
      </w:r>
    </w:p>
    <w:p w:rsidR="00D064C2" w:rsidRPr="007E6A9E" w:rsidRDefault="00D064C2" w:rsidP="007E6A9E">
      <w:pPr>
        <w:pStyle w:val="BodyText"/>
      </w:pPr>
      <w:r w:rsidRPr="007E6A9E">
        <w:t>A key finding of the Cooper Review was that many consumers do not have the interest, information or expertise required to make informed choices about their superannuation.  These consumers rely heavily on the default superannuation system to act on their behalf.</w:t>
      </w:r>
    </w:p>
    <w:p w:rsidR="00D064C2" w:rsidRPr="007E6A9E" w:rsidRDefault="00D064C2" w:rsidP="007E6A9E">
      <w:pPr>
        <w:pStyle w:val="BodyText"/>
      </w:pPr>
      <w:r w:rsidRPr="007E6A9E">
        <w:t xml:space="preserve">Superannuation originated in the industrial relations system and awards determined the funds which applied for each industry. Modern awards now list </w:t>
      </w:r>
      <w:r w:rsidR="00FD1DA2" w:rsidRPr="007E6A9E">
        <w:t>‘</w:t>
      </w:r>
      <w:r w:rsidRPr="007E6A9E">
        <w:t>default superannuation funds</w:t>
      </w:r>
      <w:r w:rsidR="00FD1DA2" w:rsidRPr="007E6A9E">
        <w:t>’</w:t>
      </w:r>
      <w:r w:rsidRPr="007E6A9E">
        <w:t xml:space="preserve"> which apply if an individual fails to exercise their right to choose their own fund. Enterprise agreements can also set the default superannuation fund or funds for a particular workplace. Enterprise agreements must be approved by a majority of employees and must be approved by Fair Work Australia who can only do so if satisfied employees are </w:t>
      </w:r>
      <w:r w:rsidR="00FD1DA2" w:rsidRPr="007E6A9E">
        <w:t>‘</w:t>
      </w:r>
      <w:r w:rsidRPr="007E6A9E">
        <w:t>better off overall</w:t>
      </w:r>
      <w:r w:rsidR="00FD1DA2" w:rsidRPr="007E6A9E">
        <w:t>’</w:t>
      </w:r>
      <w:r w:rsidRPr="007E6A9E">
        <w:t xml:space="preserve"> than under the relevant modern award.</w:t>
      </w:r>
    </w:p>
    <w:p w:rsidR="00D064C2" w:rsidRPr="007E6A9E" w:rsidRDefault="00D064C2" w:rsidP="007E6A9E">
      <w:pPr>
        <w:pStyle w:val="BodyText"/>
      </w:pPr>
      <w:r w:rsidRPr="007E6A9E">
        <w:t>The Government believes that default funds should continue to be included in modern awards, but there should also be a transparent set of criteria that such funds can be assessed against. This is in line with the Cooper Review, which recommended that the processes by which default funds are nominated for inclusion in modern awards be reviewed in 2012 to assess whether they are sufficiently open and competitive.</w:t>
      </w:r>
    </w:p>
    <w:p w:rsidR="00D064C2" w:rsidRPr="007E6A9E" w:rsidRDefault="00D064C2" w:rsidP="007E6A9E">
      <w:pPr>
        <w:pStyle w:val="BodyText"/>
      </w:pPr>
      <w:r w:rsidRPr="007E6A9E">
        <w:lastRenderedPageBreak/>
        <w:t>This review delivers on the Government</w:t>
      </w:r>
      <w:r w:rsidR="00FD1DA2" w:rsidRPr="007E6A9E">
        <w:t>’</w:t>
      </w:r>
      <w:r w:rsidRPr="007E6A9E">
        <w:t>s election commitment to ask the Commission to design a process for the selection and ongoing assessment of superannuation funds for nomination as default funds in modern awards. It seeks to develop transparent and objective criteria against which funds wishing to be eligible for default fund status in modern awards can be assessed, on an ongoing basis, to ensure that the best interests of members are met if their superannuation contributions are allocated to a default fund under the modern award.</w:t>
      </w:r>
    </w:p>
    <w:p w:rsidR="00D064C2" w:rsidRPr="007E6A9E" w:rsidRDefault="00D064C2" w:rsidP="007E6A9E">
      <w:pPr>
        <w:pStyle w:val="BodyText"/>
        <w:rPr>
          <w:b/>
        </w:rPr>
      </w:pPr>
      <w:r w:rsidRPr="007E6A9E">
        <w:rPr>
          <w:b/>
        </w:rPr>
        <w:t>Scope of inquiry</w:t>
      </w:r>
    </w:p>
    <w:p w:rsidR="00D064C2" w:rsidRPr="007E6A9E" w:rsidRDefault="00D064C2" w:rsidP="007E6A9E">
      <w:pPr>
        <w:pStyle w:val="BodyText"/>
      </w:pPr>
      <w:r w:rsidRPr="007E6A9E">
        <w:t xml:space="preserve">The Commission is to design criteria for the selection and ongoing assessment of superannuation funds eligible for nomination as default funds in modern awards by  Fair Work Australia </w:t>
      </w:r>
    </w:p>
    <w:p w:rsidR="00D064C2" w:rsidRPr="007E6A9E" w:rsidRDefault="00D064C2" w:rsidP="007E6A9E">
      <w:pPr>
        <w:pStyle w:val="BodyText"/>
      </w:pPr>
      <w:r w:rsidRPr="007E6A9E">
        <w:t xml:space="preserve">The criteria designed by the Commission should be transparent and objective. In considering criteria for determining whether a superannuation fund is appropriate to be nominated as a default fund in a modern award  the Commission could have regard to the following: </w:t>
      </w:r>
    </w:p>
    <w:p w:rsidR="00D064C2" w:rsidRPr="007E6A9E" w:rsidRDefault="00D064C2" w:rsidP="007E6A9E">
      <w:pPr>
        <w:pStyle w:val="ListBullet"/>
      </w:pPr>
      <w:r w:rsidRPr="007E6A9E">
        <w:t xml:space="preserve">The appropriateness of the investment strategy of the default investment option of the fund in terms of risk and expected return </w:t>
      </w:r>
    </w:p>
    <w:p w:rsidR="00D064C2" w:rsidRPr="007E6A9E" w:rsidRDefault="00D064C2" w:rsidP="007E6A9E">
      <w:pPr>
        <w:pStyle w:val="ListBullet"/>
      </w:pPr>
      <w:r w:rsidRPr="007E6A9E">
        <w:t xml:space="preserve">The medium to long term net-of-costs investment performance of the default investment option </w:t>
      </w:r>
    </w:p>
    <w:p w:rsidR="00D064C2" w:rsidRPr="007E6A9E" w:rsidRDefault="00D064C2" w:rsidP="007E6A9E">
      <w:pPr>
        <w:pStyle w:val="ListBullet"/>
      </w:pPr>
      <w:r w:rsidRPr="007E6A9E">
        <w:t xml:space="preserve">The level of fees incurred by members </w:t>
      </w:r>
    </w:p>
    <w:p w:rsidR="00D064C2" w:rsidRPr="007E6A9E" w:rsidRDefault="00D064C2" w:rsidP="007E6A9E">
      <w:pPr>
        <w:pStyle w:val="ListBullet"/>
      </w:pPr>
      <w:r w:rsidRPr="007E6A9E">
        <w:t xml:space="preserve">The scale of the fund and the level of services provided to fund members </w:t>
      </w:r>
    </w:p>
    <w:p w:rsidR="00D064C2" w:rsidRPr="007E6A9E" w:rsidRDefault="00D064C2" w:rsidP="007E6A9E">
      <w:pPr>
        <w:pStyle w:val="ListBullet"/>
      </w:pPr>
      <w:r w:rsidRPr="007E6A9E">
        <w:t xml:space="preserve">The suitability and cost of insurance provided by the fund </w:t>
      </w:r>
    </w:p>
    <w:p w:rsidR="00D064C2" w:rsidRPr="007E6A9E" w:rsidRDefault="00D064C2" w:rsidP="007E6A9E">
      <w:pPr>
        <w:pStyle w:val="ListBullet"/>
      </w:pPr>
      <w:r w:rsidRPr="007E6A9E">
        <w:t xml:space="preserve">The governance of the fund </w:t>
      </w:r>
    </w:p>
    <w:p w:rsidR="00D064C2" w:rsidRPr="007E6A9E" w:rsidRDefault="00D064C2" w:rsidP="007E6A9E">
      <w:pPr>
        <w:pStyle w:val="ListBullet"/>
      </w:pPr>
      <w:r w:rsidRPr="007E6A9E">
        <w:t xml:space="preserve">The fees incurred and other impacts on members if they cease employment with an employer. </w:t>
      </w:r>
    </w:p>
    <w:p w:rsidR="00D064C2" w:rsidRPr="007E6A9E" w:rsidRDefault="00D064C2" w:rsidP="007E6A9E">
      <w:pPr>
        <w:pStyle w:val="BodyText"/>
      </w:pPr>
      <w:r w:rsidRPr="007E6A9E">
        <w:t xml:space="preserve">While the Commission is to focus on factors that optimise outcomes for members, it should also consider the administrative and compliance impact of its recommendations on employers and their representatives, unions, superannuation funds and decisions of Fair Work Australia. </w:t>
      </w:r>
    </w:p>
    <w:p w:rsidR="00D064C2" w:rsidRPr="007E6A9E" w:rsidRDefault="00D064C2" w:rsidP="007E6A9E">
      <w:pPr>
        <w:pStyle w:val="BodyText"/>
      </w:pPr>
      <w:r w:rsidRPr="007E6A9E">
        <w:t xml:space="preserve">In undertaking its inquiry, the Commission should have regard to the following matters: </w:t>
      </w:r>
    </w:p>
    <w:p w:rsidR="00D064C2" w:rsidRPr="007E6A9E" w:rsidRDefault="00D064C2" w:rsidP="007E6A9E">
      <w:pPr>
        <w:pStyle w:val="ListBullet"/>
      </w:pPr>
      <w:r w:rsidRPr="007E6A9E">
        <w:t xml:space="preserve">the interaction with the design and implementation of </w:t>
      </w:r>
      <w:proofErr w:type="spellStart"/>
      <w:r w:rsidRPr="007E6A9E">
        <w:t>MySuper</w:t>
      </w:r>
      <w:proofErr w:type="spellEnd"/>
      <w:r w:rsidRPr="007E6A9E">
        <w:t xml:space="preserve">, including that only funds offering a </w:t>
      </w:r>
      <w:proofErr w:type="spellStart"/>
      <w:r w:rsidRPr="007E6A9E">
        <w:t>MySuper</w:t>
      </w:r>
      <w:proofErr w:type="spellEnd"/>
      <w:r w:rsidRPr="007E6A9E">
        <w:t xml:space="preserve"> product will be eligible to be included in modern awards </w:t>
      </w:r>
    </w:p>
    <w:p w:rsidR="00D064C2" w:rsidRPr="007E6A9E" w:rsidRDefault="00D064C2" w:rsidP="007E6A9E">
      <w:pPr>
        <w:pStyle w:val="ListBullet"/>
      </w:pPr>
      <w:r w:rsidRPr="007E6A9E">
        <w:lastRenderedPageBreak/>
        <w:t xml:space="preserve">modern awards will continue to be made and varied by Fair Work Australia </w:t>
      </w:r>
    </w:p>
    <w:p w:rsidR="00D064C2" w:rsidRPr="007E6A9E" w:rsidRDefault="00D064C2" w:rsidP="007E6A9E">
      <w:pPr>
        <w:pStyle w:val="ListBullet"/>
      </w:pPr>
      <w:r w:rsidRPr="007E6A9E">
        <w:t xml:space="preserve">modern awards will be subject to a comprehensive public review by Fair Work Australia in 2014, following an interim review in 2012. </w:t>
      </w:r>
    </w:p>
    <w:p w:rsidR="00D064C2" w:rsidRPr="005805B6" w:rsidRDefault="00D064C2" w:rsidP="007E6A9E">
      <w:pPr>
        <w:pStyle w:val="BodyText"/>
        <w:rPr>
          <w:b/>
        </w:rPr>
      </w:pPr>
      <w:r w:rsidRPr="005805B6">
        <w:rPr>
          <w:b/>
        </w:rPr>
        <w:t>Process</w:t>
      </w:r>
    </w:p>
    <w:p w:rsidR="00D064C2" w:rsidRPr="007E6A9E" w:rsidRDefault="00D064C2" w:rsidP="007E6A9E">
      <w:pPr>
        <w:pStyle w:val="BodyText"/>
      </w:pPr>
      <w:r w:rsidRPr="007E6A9E">
        <w:t>The Commission is to undertake an appropriate public consultation process including holding hearings, inviting public submissions and releasing a draft report to the public.</w:t>
      </w:r>
    </w:p>
    <w:p w:rsidR="00D064C2" w:rsidRPr="007E6A9E" w:rsidRDefault="00D064C2" w:rsidP="007E6A9E">
      <w:pPr>
        <w:pStyle w:val="BodyText"/>
      </w:pPr>
      <w:r w:rsidRPr="007E6A9E">
        <w:t>The Government will consider the Commission</w:t>
      </w:r>
      <w:r w:rsidR="00FD1DA2" w:rsidRPr="007E6A9E">
        <w:t>’</w:t>
      </w:r>
      <w:r w:rsidRPr="007E6A9E">
        <w:t>s recommendations, and the Government</w:t>
      </w:r>
      <w:r w:rsidR="00FD1DA2" w:rsidRPr="007E6A9E">
        <w:t>’</w:t>
      </w:r>
      <w:r w:rsidRPr="007E6A9E">
        <w:t>s response will be announced as soon as possible after the receipt of the Commission</w:t>
      </w:r>
      <w:r w:rsidR="00FD1DA2" w:rsidRPr="007E6A9E">
        <w:t>’</w:t>
      </w:r>
      <w:r w:rsidRPr="007E6A9E">
        <w:t>s report.</w:t>
      </w:r>
    </w:p>
    <w:p w:rsidR="00D064C2" w:rsidRPr="007E6A9E" w:rsidRDefault="00D064C2" w:rsidP="007E6A9E">
      <w:pPr>
        <w:pStyle w:val="BodyText"/>
      </w:pPr>
      <w:r w:rsidRPr="007E6A9E">
        <w:t>Mark </w:t>
      </w:r>
      <w:proofErr w:type="spellStart"/>
      <w:r w:rsidRPr="007E6A9E">
        <w:t>Arbib</w:t>
      </w:r>
      <w:proofErr w:type="spellEnd"/>
      <w:r w:rsidRPr="007E6A9E">
        <w:br/>
        <w:t>Assistant Treasurer</w:t>
      </w:r>
    </w:p>
    <w:p w:rsidR="00D064C2" w:rsidRPr="007E6A9E" w:rsidRDefault="00D064C2" w:rsidP="007E6A9E">
      <w:pPr>
        <w:pStyle w:val="BodyText"/>
      </w:pPr>
      <w:r w:rsidRPr="007E6A9E">
        <w:t>[Received 6 February 2012]</w:t>
      </w:r>
    </w:p>
    <w:p w:rsidR="00D064C2" w:rsidRDefault="00D064C2">
      <w:pPr>
        <w:pStyle w:val="BodyText"/>
        <w:sectPr w:rsidR="00D064C2" w:rsidSect="00184B1E">
          <w:headerReference w:type="even" r:id="rId10"/>
          <w:headerReference w:type="default" r:id="rId11"/>
          <w:footerReference w:type="even" r:id="rId12"/>
          <w:footerReference w:type="default" r:id="rId13"/>
          <w:pgSz w:w="11906" w:h="16838" w:code="9"/>
          <w:pgMar w:top="1985" w:right="1304" w:bottom="1418" w:left="1814" w:header="1701" w:footer="567" w:gutter="0"/>
          <w:pgNumType w:fmt="lowerRoman" w:start="3"/>
          <w:cols w:space="708"/>
          <w:titlePg/>
          <w:docGrid w:linePitch="360"/>
        </w:sectPr>
      </w:pPr>
    </w:p>
    <w:p w:rsidR="00771E51" w:rsidRDefault="00735FEA" w:rsidP="008206EE">
      <w:pPr>
        <w:pStyle w:val="Heading1NotTOC"/>
        <w:rPr>
          <w:noProof/>
        </w:rPr>
      </w:pPr>
      <w:bookmarkStart w:id="13" w:name="Contents"/>
      <w:bookmarkEnd w:id="13"/>
      <w:r w:rsidRPr="00B153C3">
        <w:lastRenderedPageBreak/>
        <w:t>Contents</w:t>
      </w:r>
      <w:bookmarkStart w:id="14" w:name="InsertContents"/>
      <w:bookmarkEnd w:id="14"/>
    </w:p>
    <w:p w:rsidR="00771E51" w:rsidRDefault="00771E51">
      <w:pPr>
        <w:pStyle w:val="TOC1"/>
        <w:rPr>
          <w:rFonts w:asciiTheme="minorHAnsi" w:eastAsiaTheme="minorEastAsia" w:hAnsiTheme="minorHAnsi" w:cstheme="minorBidi"/>
          <w:b w:val="0"/>
          <w:noProof/>
          <w:sz w:val="22"/>
          <w:szCs w:val="22"/>
          <w:lang w:eastAsia="en-AU"/>
        </w:rPr>
      </w:pPr>
      <w:r>
        <w:rPr>
          <w:noProof/>
        </w:rPr>
        <w:t>Terms of reference</w:t>
      </w:r>
      <w:r>
        <w:rPr>
          <w:noProof/>
        </w:rPr>
        <w:tab/>
      </w:r>
      <w:r w:rsidR="00CF1902">
        <w:rPr>
          <w:noProof/>
        </w:rPr>
        <w:t>iv</w:t>
      </w:r>
    </w:p>
    <w:p w:rsidR="00771E51" w:rsidRDefault="00771E51">
      <w:pPr>
        <w:pStyle w:val="TOC1"/>
        <w:rPr>
          <w:rFonts w:asciiTheme="minorHAnsi" w:eastAsiaTheme="minorEastAsia" w:hAnsiTheme="minorHAnsi" w:cstheme="minorBidi"/>
          <w:b w:val="0"/>
          <w:noProof/>
          <w:sz w:val="22"/>
          <w:szCs w:val="22"/>
          <w:lang w:eastAsia="en-AU"/>
        </w:rPr>
      </w:pPr>
      <w:r>
        <w:rPr>
          <w:noProof/>
        </w:rPr>
        <w:t>Abbreviations</w:t>
      </w:r>
      <w:r>
        <w:rPr>
          <w:noProof/>
        </w:rPr>
        <w:tab/>
      </w:r>
      <w:r w:rsidR="00CF1902">
        <w:rPr>
          <w:noProof/>
        </w:rPr>
        <w:t>x</w:t>
      </w:r>
    </w:p>
    <w:p w:rsidR="00771E51" w:rsidRDefault="00771E51">
      <w:pPr>
        <w:pStyle w:val="TOC1"/>
        <w:rPr>
          <w:rFonts w:asciiTheme="minorHAnsi" w:eastAsiaTheme="minorEastAsia" w:hAnsiTheme="minorHAnsi" w:cstheme="minorBidi"/>
          <w:b w:val="0"/>
          <w:noProof/>
          <w:sz w:val="22"/>
          <w:szCs w:val="22"/>
          <w:lang w:eastAsia="en-AU"/>
        </w:rPr>
      </w:pPr>
      <w:r>
        <w:rPr>
          <w:noProof/>
        </w:rPr>
        <w:t>Overview</w:t>
      </w:r>
      <w:r>
        <w:rPr>
          <w:noProof/>
        </w:rPr>
        <w:tab/>
        <w:t>1</w:t>
      </w:r>
    </w:p>
    <w:p w:rsidR="00771E51" w:rsidRDefault="00771E51">
      <w:pPr>
        <w:pStyle w:val="TOC1"/>
        <w:rPr>
          <w:rFonts w:asciiTheme="minorHAnsi" w:eastAsiaTheme="minorEastAsia" w:hAnsiTheme="minorHAnsi" w:cstheme="minorBidi"/>
          <w:b w:val="0"/>
          <w:noProof/>
          <w:sz w:val="22"/>
          <w:szCs w:val="22"/>
          <w:lang w:eastAsia="en-AU"/>
        </w:rPr>
      </w:pPr>
      <w:r>
        <w:rPr>
          <w:noProof/>
        </w:rPr>
        <w:t>Recommendations and findings</w:t>
      </w:r>
      <w:r>
        <w:rPr>
          <w:noProof/>
        </w:rPr>
        <w:tab/>
        <w:t>21</w:t>
      </w:r>
    </w:p>
    <w:p w:rsidR="00771E51" w:rsidRDefault="00771E51">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About the inquiry</w:t>
      </w:r>
      <w:r>
        <w:rPr>
          <w:noProof/>
        </w:rPr>
        <w:tab/>
        <w:t>29</w:t>
      </w:r>
    </w:p>
    <w:p w:rsidR="00771E51" w:rsidRDefault="00771E51">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Background to the inquiry</w:t>
      </w:r>
      <w:r>
        <w:rPr>
          <w:noProof/>
        </w:rPr>
        <w:tab/>
        <w:t>29</w:t>
      </w:r>
    </w:p>
    <w:p w:rsidR="00771E51" w:rsidRDefault="00771E51">
      <w:pPr>
        <w:pStyle w:val="TOC2"/>
        <w:tabs>
          <w:tab w:val="left" w:pos="1190"/>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What has the Commission been asked to do?</w:t>
      </w:r>
      <w:r>
        <w:rPr>
          <w:noProof/>
        </w:rPr>
        <w:tab/>
        <w:t>30</w:t>
      </w:r>
    </w:p>
    <w:p w:rsidR="00771E51" w:rsidRDefault="00771E51">
      <w:pPr>
        <w:pStyle w:val="TOC2"/>
        <w:tabs>
          <w:tab w:val="left" w:pos="1190"/>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The Commission’s approach to the inquiry</w:t>
      </w:r>
      <w:r>
        <w:rPr>
          <w:noProof/>
        </w:rPr>
        <w:tab/>
        <w:t>31</w:t>
      </w:r>
    </w:p>
    <w:p w:rsidR="00771E51" w:rsidRDefault="00771E51">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Default superannuation funds in modern awards</w:t>
      </w:r>
      <w:r>
        <w:rPr>
          <w:noProof/>
        </w:rPr>
        <w:tab/>
        <w:t>33</w:t>
      </w:r>
    </w:p>
    <w:p w:rsidR="00771E51" w:rsidRDefault="00771E51">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Default superannuation funds as part of Australia’s superannuation system</w:t>
      </w:r>
      <w:r>
        <w:rPr>
          <w:noProof/>
        </w:rPr>
        <w:tab/>
        <w:t>34</w:t>
      </w:r>
    </w:p>
    <w:p w:rsidR="00771E51" w:rsidRDefault="00771E51">
      <w:pPr>
        <w:pStyle w:val="TOC2"/>
        <w:tabs>
          <w:tab w:val="left" w:pos="1190"/>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Australia’s industrial relations system</w:t>
      </w:r>
      <w:r>
        <w:rPr>
          <w:noProof/>
        </w:rPr>
        <w:tab/>
        <w:t>41</w:t>
      </w:r>
    </w:p>
    <w:p w:rsidR="00771E51" w:rsidRDefault="00771E51">
      <w:pPr>
        <w:pStyle w:val="TOC2"/>
        <w:tabs>
          <w:tab w:val="left" w:pos="1190"/>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Superannuation in awards</w:t>
      </w:r>
      <w:r>
        <w:rPr>
          <w:noProof/>
        </w:rPr>
        <w:tab/>
        <w:t>46</w:t>
      </w:r>
    </w:p>
    <w:p w:rsidR="00771E51" w:rsidRDefault="00771E51">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Conceptual framework</w:t>
      </w:r>
      <w:r>
        <w:rPr>
          <w:noProof/>
        </w:rPr>
        <w:tab/>
        <w:t>57</w:t>
      </w:r>
    </w:p>
    <w:p w:rsidR="00771E51" w:rsidRDefault="00771E51">
      <w:pPr>
        <w:pStyle w:val="TOC2"/>
        <w:tabs>
          <w:tab w:val="left" w:pos="1190"/>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Potential impediments to meeting the best interests of members</w:t>
      </w:r>
      <w:r>
        <w:rPr>
          <w:noProof/>
        </w:rPr>
        <w:tab/>
        <w:t>59</w:t>
      </w:r>
    </w:p>
    <w:p w:rsidR="00771E51" w:rsidRDefault="00771E51">
      <w:pPr>
        <w:pStyle w:val="TOC2"/>
        <w:tabs>
          <w:tab w:val="left" w:pos="1190"/>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The Stronger Super reforms</w:t>
      </w:r>
      <w:r>
        <w:rPr>
          <w:noProof/>
        </w:rPr>
        <w:tab/>
        <w:t>63</w:t>
      </w:r>
    </w:p>
    <w:p w:rsidR="00771E51" w:rsidRDefault="00771E51">
      <w:pPr>
        <w:pStyle w:val="TOC2"/>
        <w:tabs>
          <w:tab w:val="left" w:pos="1190"/>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Framework for assessing the case for further reform</w:t>
      </w:r>
      <w:r>
        <w:rPr>
          <w:noProof/>
        </w:rPr>
        <w:tab/>
        <w:t>65</w:t>
      </w:r>
    </w:p>
    <w:p w:rsidR="00771E51" w:rsidRDefault="00771E51">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Investment performance</w:t>
      </w:r>
      <w:r>
        <w:rPr>
          <w:noProof/>
        </w:rPr>
        <w:tab/>
        <w:t>67</w:t>
      </w:r>
    </w:p>
    <w:p w:rsidR="00771E51" w:rsidRDefault="00771E51">
      <w:pPr>
        <w:pStyle w:val="TOC2"/>
        <w:tabs>
          <w:tab w:val="left" w:pos="1190"/>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Investment strategies and objectives</w:t>
      </w:r>
      <w:r>
        <w:rPr>
          <w:noProof/>
        </w:rPr>
        <w:tab/>
        <w:t>68</w:t>
      </w:r>
    </w:p>
    <w:p w:rsidR="00771E51" w:rsidRDefault="00771E51">
      <w:pPr>
        <w:pStyle w:val="TOC2"/>
        <w:tabs>
          <w:tab w:val="left" w:pos="1190"/>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Investment performance</w:t>
      </w:r>
      <w:r>
        <w:rPr>
          <w:noProof/>
        </w:rPr>
        <w:tab/>
        <w:t>72</w:t>
      </w:r>
    </w:p>
    <w:p w:rsidR="00771E51" w:rsidRDefault="00771E51">
      <w:pPr>
        <w:pStyle w:val="TOC2"/>
        <w:tabs>
          <w:tab w:val="left" w:pos="1190"/>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Fees and costs</w:t>
      </w:r>
      <w:r>
        <w:rPr>
          <w:noProof/>
        </w:rPr>
        <w:tab/>
        <w:t>8</w:t>
      </w:r>
      <w:r w:rsidR="00E5440F">
        <w:rPr>
          <w:noProof/>
        </w:rPr>
        <w:t>1</w:t>
      </w:r>
    </w:p>
    <w:p w:rsidR="00771E51" w:rsidRDefault="00771E51">
      <w:pPr>
        <w:pStyle w:val="TOC2"/>
        <w:tabs>
          <w:tab w:val="left" w:pos="1190"/>
        </w:tabs>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Scale</w:t>
      </w:r>
      <w:r>
        <w:rPr>
          <w:noProof/>
        </w:rPr>
        <w:tab/>
        <w:t>8</w:t>
      </w:r>
      <w:r w:rsidR="00E5440F">
        <w:rPr>
          <w:noProof/>
        </w:rPr>
        <w:t>7</w:t>
      </w:r>
    </w:p>
    <w:p w:rsidR="00771E51" w:rsidRDefault="00771E51">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Governance and transparency</w:t>
      </w:r>
      <w:r>
        <w:rPr>
          <w:noProof/>
        </w:rPr>
        <w:tab/>
        <w:t>91</w:t>
      </w:r>
    </w:p>
    <w:p w:rsidR="00771E51" w:rsidRDefault="00771E51">
      <w:pPr>
        <w:pStyle w:val="TOC2"/>
        <w:tabs>
          <w:tab w:val="left" w:pos="1190"/>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The importance of good governance</w:t>
      </w:r>
      <w:r>
        <w:rPr>
          <w:noProof/>
        </w:rPr>
        <w:tab/>
        <w:t>92</w:t>
      </w:r>
    </w:p>
    <w:p w:rsidR="00771E51" w:rsidRDefault="00771E51">
      <w:pPr>
        <w:pStyle w:val="TOC2"/>
        <w:tabs>
          <w:tab w:val="left" w:pos="1190"/>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The Government’s response to the Cooper Review’s governance recommendations</w:t>
      </w:r>
      <w:r>
        <w:rPr>
          <w:noProof/>
        </w:rPr>
        <w:tab/>
        <w:t>93</w:t>
      </w:r>
    </w:p>
    <w:p w:rsidR="00771E51" w:rsidRDefault="00771E51">
      <w:pPr>
        <w:pStyle w:val="TOC2"/>
        <w:tabs>
          <w:tab w:val="left" w:pos="1190"/>
        </w:tabs>
        <w:rPr>
          <w:rFonts w:asciiTheme="minorHAnsi" w:eastAsiaTheme="minorEastAsia" w:hAnsiTheme="minorHAnsi" w:cstheme="minorBidi"/>
          <w:noProof/>
          <w:sz w:val="22"/>
          <w:szCs w:val="22"/>
          <w:lang w:eastAsia="en-AU"/>
        </w:rPr>
      </w:pPr>
      <w:r>
        <w:rPr>
          <w:noProof/>
        </w:rPr>
        <w:lastRenderedPageBreak/>
        <w:t>5.3</w:t>
      </w:r>
      <w:r>
        <w:rPr>
          <w:rFonts w:asciiTheme="minorHAnsi" w:eastAsiaTheme="minorEastAsia" w:hAnsiTheme="minorHAnsi" w:cstheme="minorBidi"/>
          <w:noProof/>
          <w:sz w:val="22"/>
          <w:szCs w:val="22"/>
          <w:lang w:eastAsia="en-AU"/>
        </w:rPr>
        <w:tab/>
      </w:r>
      <w:r>
        <w:rPr>
          <w:noProof/>
        </w:rPr>
        <w:t>Superannuation board governance</w:t>
      </w:r>
      <w:r>
        <w:rPr>
          <w:noProof/>
        </w:rPr>
        <w:tab/>
        <w:t>96</w:t>
      </w:r>
    </w:p>
    <w:p w:rsidR="00771E51" w:rsidRDefault="00771E51">
      <w:pPr>
        <w:pStyle w:val="TOC2"/>
        <w:tabs>
          <w:tab w:val="left" w:pos="1190"/>
        </w:tabs>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r>
      <w:r>
        <w:rPr>
          <w:noProof/>
        </w:rPr>
        <w:t>Board tenure and renewal policy</w:t>
      </w:r>
      <w:r>
        <w:rPr>
          <w:noProof/>
        </w:rPr>
        <w:tab/>
        <w:t>103</w:t>
      </w:r>
    </w:p>
    <w:p w:rsidR="00771E51" w:rsidRDefault="00771E51">
      <w:pPr>
        <w:pStyle w:val="TOC2"/>
        <w:tabs>
          <w:tab w:val="left" w:pos="1190"/>
        </w:tabs>
        <w:rPr>
          <w:rFonts w:asciiTheme="minorHAnsi" w:eastAsiaTheme="minorEastAsia" w:hAnsiTheme="minorHAnsi" w:cstheme="minorBidi"/>
          <w:noProof/>
          <w:sz w:val="22"/>
          <w:szCs w:val="22"/>
          <w:lang w:eastAsia="en-AU"/>
        </w:rPr>
      </w:pPr>
      <w:r>
        <w:rPr>
          <w:noProof/>
        </w:rPr>
        <w:t>5.5</w:t>
      </w:r>
      <w:r>
        <w:rPr>
          <w:rFonts w:asciiTheme="minorHAnsi" w:eastAsiaTheme="minorEastAsia" w:hAnsiTheme="minorHAnsi" w:cstheme="minorBidi"/>
          <w:noProof/>
          <w:sz w:val="22"/>
          <w:szCs w:val="22"/>
          <w:lang w:eastAsia="en-AU"/>
        </w:rPr>
        <w:tab/>
      </w:r>
      <w:r>
        <w:rPr>
          <w:noProof/>
        </w:rPr>
        <w:t>Managing conflicts of interest</w:t>
      </w:r>
      <w:r>
        <w:rPr>
          <w:noProof/>
        </w:rPr>
        <w:tab/>
        <w:t>104</w:t>
      </w:r>
    </w:p>
    <w:p w:rsidR="00771E51" w:rsidRDefault="00771E51">
      <w:pPr>
        <w:pStyle w:val="TOC2"/>
        <w:tabs>
          <w:tab w:val="left" w:pos="1190"/>
        </w:tabs>
        <w:rPr>
          <w:rFonts w:asciiTheme="minorHAnsi" w:eastAsiaTheme="minorEastAsia" w:hAnsiTheme="minorHAnsi" w:cstheme="minorBidi"/>
          <w:noProof/>
          <w:sz w:val="22"/>
          <w:szCs w:val="22"/>
          <w:lang w:eastAsia="en-AU"/>
        </w:rPr>
      </w:pPr>
      <w:r>
        <w:rPr>
          <w:noProof/>
        </w:rPr>
        <w:t>5.6</w:t>
      </w:r>
      <w:r>
        <w:rPr>
          <w:rFonts w:asciiTheme="minorHAnsi" w:eastAsiaTheme="minorEastAsia" w:hAnsiTheme="minorHAnsi" w:cstheme="minorBidi"/>
          <w:noProof/>
          <w:sz w:val="22"/>
          <w:szCs w:val="22"/>
          <w:lang w:eastAsia="en-AU"/>
        </w:rPr>
        <w:tab/>
      </w:r>
      <w:r>
        <w:rPr>
          <w:noProof/>
        </w:rPr>
        <w:t>Flipping of members</w:t>
      </w:r>
      <w:r>
        <w:rPr>
          <w:noProof/>
        </w:rPr>
        <w:tab/>
        <w:t>106</w:t>
      </w:r>
    </w:p>
    <w:p w:rsidR="00771E51" w:rsidRDefault="00771E51">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Other potential criteria</w:t>
      </w:r>
      <w:r>
        <w:rPr>
          <w:noProof/>
        </w:rPr>
        <w:tab/>
        <w:t>111</w:t>
      </w:r>
    </w:p>
    <w:p w:rsidR="00771E51" w:rsidRDefault="00771E51">
      <w:pPr>
        <w:pStyle w:val="TOC2"/>
        <w:tabs>
          <w:tab w:val="left" w:pos="1190"/>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Insurance</w:t>
      </w:r>
      <w:r>
        <w:rPr>
          <w:noProof/>
        </w:rPr>
        <w:tab/>
        <w:t>112</w:t>
      </w:r>
    </w:p>
    <w:p w:rsidR="00771E51" w:rsidRDefault="00771E51">
      <w:pPr>
        <w:pStyle w:val="TOC2"/>
        <w:tabs>
          <w:tab w:val="left" w:pos="1190"/>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Financial advice and member education</w:t>
      </w:r>
      <w:r>
        <w:rPr>
          <w:noProof/>
        </w:rPr>
        <w:tab/>
        <w:t>119</w:t>
      </w:r>
    </w:p>
    <w:p w:rsidR="00771E51" w:rsidRDefault="00771E51">
      <w:pPr>
        <w:pStyle w:val="TOC2"/>
        <w:tabs>
          <w:tab w:val="left" w:pos="1190"/>
        </w:tabs>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Industry connectedness</w:t>
      </w:r>
      <w:r>
        <w:rPr>
          <w:noProof/>
        </w:rPr>
        <w:tab/>
        <w:t>124</w:t>
      </w:r>
    </w:p>
    <w:p w:rsidR="00771E51" w:rsidRDefault="00771E51">
      <w:pPr>
        <w:pStyle w:val="TOC2"/>
        <w:tabs>
          <w:tab w:val="left" w:pos="1190"/>
        </w:tabs>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Pr>
          <w:noProof/>
        </w:rPr>
        <w:t>Administrative efficiency</w:t>
      </w:r>
      <w:r>
        <w:rPr>
          <w:noProof/>
        </w:rPr>
        <w:tab/>
        <w:t>125</w:t>
      </w:r>
    </w:p>
    <w:p w:rsidR="00771E51" w:rsidRDefault="00771E51">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Performance of the default superannuation fund selection system</w:t>
      </w:r>
      <w:r>
        <w:rPr>
          <w:noProof/>
        </w:rPr>
        <w:tab/>
        <w:t>131</w:t>
      </w:r>
    </w:p>
    <w:p w:rsidR="00771E51" w:rsidRDefault="00771E51">
      <w:pPr>
        <w:pStyle w:val="TOC2"/>
        <w:tabs>
          <w:tab w:val="left" w:pos="1190"/>
        </w:tabs>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The current fund selection process</w:t>
      </w:r>
      <w:r>
        <w:rPr>
          <w:noProof/>
        </w:rPr>
        <w:tab/>
        <w:t>136</w:t>
      </w:r>
    </w:p>
    <w:p w:rsidR="00771E51" w:rsidRDefault="00771E51">
      <w:pPr>
        <w:pStyle w:val="TOC2"/>
        <w:tabs>
          <w:tab w:val="left" w:pos="1190"/>
        </w:tabs>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Meeting the (relevant) employees’ best interests</w:t>
      </w:r>
      <w:r>
        <w:rPr>
          <w:noProof/>
        </w:rPr>
        <w:tab/>
        <w:t>145</w:t>
      </w:r>
    </w:p>
    <w:p w:rsidR="00771E51" w:rsidRDefault="00771E51">
      <w:pPr>
        <w:pStyle w:val="TOC2"/>
        <w:tabs>
          <w:tab w:val="left" w:pos="1190"/>
        </w:tabs>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Contestability and competition</w:t>
      </w:r>
      <w:r>
        <w:rPr>
          <w:noProof/>
        </w:rPr>
        <w:tab/>
        <w:t>148</w:t>
      </w:r>
    </w:p>
    <w:p w:rsidR="00771E51" w:rsidRDefault="00771E51">
      <w:pPr>
        <w:pStyle w:val="TOC2"/>
        <w:tabs>
          <w:tab w:val="left" w:pos="1190"/>
        </w:tabs>
        <w:rPr>
          <w:rFonts w:asciiTheme="minorHAnsi" w:eastAsiaTheme="minorEastAsia" w:hAnsiTheme="minorHAnsi" w:cstheme="minorBidi"/>
          <w:noProof/>
          <w:sz w:val="22"/>
          <w:szCs w:val="22"/>
          <w:lang w:eastAsia="en-AU"/>
        </w:rPr>
      </w:pPr>
      <w:r>
        <w:rPr>
          <w:noProof/>
        </w:rPr>
        <w:t>7.4</w:t>
      </w:r>
      <w:r>
        <w:rPr>
          <w:rFonts w:asciiTheme="minorHAnsi" w:eastAsiaTheme="minorEastAsia" w:hAnsiTheme="minorHAnsi" w:cstheme="minorBidi"/>
          <w:noProof/>
          <w:sz w:val="22"/>
          <w:szCs w:val="22"/>
          <w:lang w:eastAsia="en-AU"/>
        </w:rPr>
        <w:tab/>
      </w:r>
      <w:r>
        <w:rPr>
          <w:noProof/>
        </w:rPr>
        <w:t>Transparency</w:t>
      </w:r>
      <w:r>
        <w:rPr>
          <w:noProof/>
        </w:rPr>
        <w:tab/>
        <w:t>153</w:t>
      </w:r>
    </w:p>
    <w:p w:rsidR="00771E51" w:rsidRDefault="00771E51">
      <w:pPr>
        <w:pStyle w:val="TOC2"/>
        <w:tabs>
          <w:tab w:val="left" w:pos="1190"/>
        </w:tabs>
        <w:rPr>
          <w:rFonts w:asciiTheme="minorHAnsi" w:eastAsiaTheme="minorEastAsia" w:hAnsiTheme="minorHAnsi" w:cstheme="minorBidi"/>
          <w:noProof/>
          <w:sz w:val="22"/>
          <w:szCs w:val="22"/>
          <w:lang w:eastAsia="en-AU"/>
        </w:rPr>
      </w:pPr>
      <w:r>
        <w:rPr>
          <w:noProof/>
        </w:rPr>
        <w:t>7.5</w:t>
      </w:r>
      <w:r>
        <w:rPr>
          <w:rFonts w:asciiTheme="minorHAnsi" w:eastAsiaTheme="minorEastAsia" w:hAnsiTheme="minorHAnsi" w:cstheme="minorBidi"/>
          <w:noProof/>
          <w:sz w:val="22"/>
          <w:szCs w:val="22"/>
          <w:lang w:eastAsia="en-AU"/>
        </w:rPr>
        <w:tab/>
      </w:r>
      <w:r>
        <w:rPr>
          <w:noProof/>
        </w:rPr>
        <w:t>Procedural fairness</w:t>
      </w:r>
      <w:r>
        <w:rPr>
          <w:noProof/>
        </w:rPr>
        <w:tab/>
        <w:t>155</w:t>
      </w:r>
    </w:p>
    <w:p w:rsidR="00771E51" w:rsidRDefault="00771E51">
      <w:pPr>
        <w:pStyle w:val="TOC2"/>
        <w:tabs>
          <w:tab w:val="left" w:pos="1190"/>
        </w:tabs>
        <w:rPr>
          <w:rFonts w:asciiTheme="minorHAnsi" w:eastAsiaTheme="minorEastAsia" w:hAnsiTheme="minorHAnsi" w:cstheme="minorBidi"/>
          <w:noProof/>
          <w:sz w:val="22"/>
          <w:szCs w:val="22"/>
          <w:lang w:eastAsia="en-AU"/>
        </w:rPr>
      </w:pPr>
      <w:r>
        <w:rPr>
          <w:noProof/>
        </w:rPr>
        <w:t>7.6</w:t>
      </w:r>
      <w:r>
        <w:rPr>
          <w:rFonts w:asciiTheme="minorHAnsi" w:eastAsiaTheme="minorEastAsia" w:hAnsiTheme="minorHAnsi" w:cstheme="minorBidi"/>
          <w:noProof/>
          <w:sz w:val="22"/>
          <w:szCs w:val="22"/>
          <w:lang w:eastAsia="en-AU"/>
        </w:rPr>
        <w:tab/>
      </w:r>
      <w:r>
        <w:rPr>
          <w:noProof/>
        </w:rPr>
        <w:t>Regular assessment</w:t>
      </w:r>
      <w:r>
        <w:rPr>
          <w:noProof/>
        </w:rPr>
        <w:tab/>
        <w:t>157</w:t>
      </w:r>
    </w:p>
    <w:p w:rsidR="00771E51" w:rsidRDefault="00771E51">
      <w:pPr>
        <w:pStyle w:val="TOC2"/>
        <w:tabs>
          <w:tab w:val="left" w:pos="1190"/>
        </w:tabs>
        <w:rPr>
          <w:rFonts w:asciiTheme="minorHAnsi" w:eastAsiaTheme="minorEastAsia" w:hAnsiTheme="minorHAnsi" w:cstheme="minorBidi"/>
          <w:noProof/>
          <w:sz w:val="22"/>
          <w:szCs w:val="22"/>
          <w:lang w:eastAsia="en-AU"/>
        </w:rPr>
      </w:pPr>
      <w:r>
        <w:rPr>
          <w:noProof/>
        </w:rPr>
        <w:t>7.7</w:t>
      </w:r>
      <w:r>
        <w:rPr>
          <w:rFonts w:asciiTheme="minorHAnsi" w:eastAsiaTheme="minorEastAsia" w:hAnsiTheme="minorHAnsi" w:cstheme="minorBidi"/>
          <w:noProof/>
          <w:sz w:val="22"/>
          <w:szCs w:val="22"/>
          <w:lang w:eastAsia="en-AU"/>
        </w:rPr>
        <w:tab/>
      </w:r>
      <w:r>
        <w:rPr>
          <w:noProof/>
        </w:rPr>
        <w:t>Minimising regulatory burden</w:t>
      </w:r>
      <w:r>
        <w:rPr>
          <w:noProof/>
        </w:rPr>
        <w:tab/>
        <w:t>158</w:t>
      </w:r>
    </w:p>
    <w:p w:rsidR="00771E51" w:rsidRDefault="00771E51">
      <w:pPr>
        <w:pStyle w:val="TOC2"/>
        <w:tabs>
          <w:tab w:val="left" w:pos="1190"/>
        </w:tabs>
        <w:rPr>
          <w:rFonts w:asciiTheme="minorHAnsi" w:eastAsiaTheme="minorEastAsia" w:hAnsiTheme="minorHAnsi" w:cstheme="minorBidi"/>
          <w:noProof/>
          <w:sz w:val="22"/>
          <w:szCs w:val="22"/>
          <w:lang w:eastAsia="en-AU"/>
        </w:rPr>
      </w:pPr>
      <w:r>
        <w:rPr>
          <w:noProof/>
        </w:rPr>
        <w:t>7.8</w:t>
      </w:r>
      <w:r>
        <w:rPr>
          <w:rFonts w:asciiTheme="minorHAnsi" w:eastAsiaTheme="minorEastAsia" w:hAnsiTheme="minorHAnsi" w:cstheme="minorBidi"/>
          <w:noProof/>
          <w:sz w:val="22"/>
          <w:szCs w:val="22"/>
          <w:lang w:eastAsia="en-AU"/>
        </w:rPr>
        <w:tab/>
      </w:r>
      <w:r>
        <w:rPr>
          <w:noProof/>
        </w:rPr>
        <w:t>Market stability</w:t>
      </w:r>
      <w:r>
        <w:rPr>
          <w:noProof/>
        </w:rPr>
        <w:tab/>
        <w:t>161</w:t>
      </w:r>
    </w:p>
    <w:p w:rsidR="00771E51" w:rsidRDefault="00771E51">
      <w:pPr>
        <w:pStyle w:val="TOC2"/>
        <w:tabs>
          <w:tab w:val="left" w:pos="1190"/>
        </w:tabs>
        <w:rPr>
          <w:rFonts w:asciiTheme="minorHAnsi" w:eastAsiaTheme="minorEastAsia" w:hAnsiTheme="minorHAnsi" w:cstheme="minorBidi"/>
          <w:noProof/>
          <w:sz w:val="22"/>
          <w:szCs w:val="22"/>
          <w:lang w:eastAsia="en-AU"/>
        </w:rPr>
      </w:pPr>
      <w:r>
        <w:rPr>
          <w:noProof/>
        </w:rPr>
        <w:t>7.9</w:t>
      </w:r>
      <w:r>
        <w:rPr>
          <w:rFonts w:asciiTheme="minorHAnsi" w:eastAsiaTheme="minorEastAsia" w:hAnsiTheme="minorHAnsi" w:cstheme="minorBidi"/>
          <w:noProof/>
          <w:sz w:val="22"/>
          <w:szCs w:val="22"/>
          <w:lang w:eastAsia="en-AU"/>
        </w:rPr>
        <w:tab/>
      </w:r>
      <w:r>
        <w:rPr>
          <w:noProof/>
        </w:rPr>
        <w:t>Consistency with other policies</w:t>
      </w:r>
      <w:r>
        <w:rPr>
          <w:noProof/>
        </w:rPr>
        <w:tab/>
        <w:t>163</w:t>
      </w:r>
    </w:p>
    <w:p w:rsidR="00771E51" w:rsidRDefault="00771E51">
      <w:pPr>
        <w:pStyle w:val="TOC2"/>
        <w:tabs>
          <w:tab w:val="left" w:pos="1190"/>
        </w:tabs>
        <w:rPr>
          <w:rFonts w:asciiTheme="minorHAnsi" w:eastAsiaTheme="minorEastAsia" w:hAnsiTheme="minorHAnsi" w:cstheme="minorBidi"/>
          <w:noProof/>
          <w:sz w:val="22"/>
          <w:szCs w:val="22"/>
          <w:lang w:eastAsia="en-AU"/>
        </w:rPr>
      </w:pPr>
      <w:r>
        <w:rPr>
          <w:noProof/>
        </w:rPr>
        <w:t>7.10</w:t>
      </w:r>
      <w:r>
        <w:rPr>
          <w:rFonts w:asciiTheme="minorHAnsi" w:eastAsiaTheme="minorEastAsia" w:hAnsiTheme="minorHAnsi" w:cstheme="minorBidi"/>
          <w:noProof/>
          <w:sz w:val="22"/>
          <w:szCs w:val="22"/>
          <w:lang w:eastAsia="en-AU"/>
        </w:rPr>
        <w:tab/>
      </w:r>
      <w:r>
        <w:rPr>
          <w:noProof/>
        </w:rPr>
        <w:t>Overall assessment of the current process</w:t>
      </w:r>
      <w:r>
        <w:rPr>
          <w:noProof/>
        </w:rPr>
        <w:tab/>
        <w:t>164</w:t>
      </w:r>
    </w:p>
    <w:p w:rsidR="00771E51" w:rsidRDefault="00771E51">
      <w:pPr>
        <w:pStyle w:val="TOC1"/>
        <w:rPr>
          <w:rFonts w:asciiTheme="minorHAnsi" w:eastAsiaTheme="minorEastAsia" w:hAnsiTheme="minorHAnsi" w:cstheme="minorBidi"/>
          <w:b w:val="0"/>
          <w:noProof/>
          <w:sz w:val="22"/>
          <w:szCs w:val="22"/>
          <w:lang w:eastAsia="en-AU"/>
        </w:rPr>
      </w:pPr>
      <w:r>
        <w:rPr>
          <w:noProof/>
        </w:rPr>
        <w:t>8</w:t>
      </w:r>
      <w:r>
        <w:rPr>
          <w:rFonts w:asciiTheme="minorHAnsi" w:eastAsiaTheme="minorEastAsia" w:hAnsiTheme="minorHAnsi" w:cstheme="minorBidi"/>
          <w:b w:val="0"/>
          <w:noProof/>
          <w:sz w:val="22"/>
          <w:szCs w:val="22"/>
          <w:lang w:eastAsia="en-AU"/>
        </w:rPr>
        <w:tab/>
      </w:r>
      <w:r>
        <w:rPr>
          <w:noProof/>
        </w:rPr>
        <w:t>Reforming the selection process</w:t>
      </w:r>
      <w:r>
        <w:rPr>
          <w:noProof/>
        </w:rPr>
        <w:tab/>
        <w:t>167</w:t>
      </w:r>
    </w:p>
    <w:p w:rsidR="00771E51" w:rsidRDefault="00771E51">
      <w:pPr>
        <w:pStyle w:val="TOC2"/>
        <w:tabs>
          <w:tab w:val="left" w:pos="1190"/>
        </w:tabs>
        <w:rPr>
          <w:rFonts w:asciiTheme="minorHAnsi" w:eastAsiaTheme="minorEastAsia" w:hAnsiTheme="minorHAnsi" w:cstheme="minorBidi"/>
          <w:noProof/>
          <w:sz w:val="22"/>
          <w:szCs w:val="22"/>
          <w:lang w:eastAsia="en-AU"/>
        </w:rPr>
      </w:pPr>
      <w:r>
        <w:rPr>
          <w:noProof/>
        </w:rPr>
        <w:t>8.1</w:t>
      </w:r>
      <w:r>
        <w:rPr>
          <w:rFonts w:asciiTheme="minorHAnsi" w:eastAsiaTheme="minorEastAsia" w:hAnsiTheme="minorHAnsi" w:cstheme="minorBidi"/>
          <w:noProof/>
          <w:sz w:val="22"/>
          <w:szCs w:val="22"/>
          <w:lang w:eastAsia="en-AU"/>
        </w:rPr>
        <w:tab/>
      </w:r>
      <w:r>
        <w:rPr>
          <w:noProof/>
        </w:rPr>
        <w:t>Participants’ views — Option 1</w:t>
      </w:r>
      <w:r>
        <w:rPr>
          <w:noProof/>
        </w:rPr>
        <w:tab/>
        <w:t>169</w:t>
      </w:r>
    </w:p>
    <w:p w:rsidR="00771E51" w:rsidRDefault="00771E51">
      <w:pPr>
        <w:pStyle w:val="TOC2"/>
        <w:tabs>
          <w:tab w:val="left" w:pos="1190"/>
        </w:tabs>
        <w:rPr>
          <w:rFonts w:asciiTheme="minorHAnsi" w:eastAsiaTheme="minorEastAsia" w:hAnsiTheme="minorHAnsi" w:cstheme="minorBidi"/>
          <w:noProof/>
          <w:sz w:val="22"/>
          <w:szCs w:val="22"/>
          <w:lang w:eastAsia="en-AU"/>
        </w:rPr>
      </w:pPr>
      <w:r>
        <w:rPr>
          <w:noProof/>
        </w:rPr>
        <w:t>8.2</w:t>
      </w:r>
      <w:r>
        <w:rPr>
          <w:rFonts w:asciiTheme="minorHAnsi" w:eastAsiaTheme="minorEastAsia" w:hAnsiTheme="minorHAnsi" w:cstheme="minorBidi"/>
          <w:noProof/>
          <w:sz w:val="22"/>
          <w:szCs w:val="22"/>
          <w:lang w:eastAsia="en-AU"/>
        </w:rPr>
        <w:tab/>
      </w:r>
      <w:r>
        <w:rPr>
          <w:noProof/>
        </w:rPr>
        <w:t>Participants’ views — Options 2, 3 and 4</w:t>
      </w:r>
      <w:r>
        <w:rPr>
          <w:noProof/>
        </w:rPr>
        <w:tab/>
        <w:t>173</w:t>
      </w:r>
    </w:p>
    <w:p w:rsidR="00771E51" w:rsidRDefault="00771E51">
      <w:pPr>
        <w:pStyle w:val="TOC2"/>
        <w:tabs>
          <w:tab w:val="left" w:pos="1190"/>
        </w:tabs>
        <w:rPr>
          <w:rFonts w:asciiTheme="minorHAnsi" w:eastAsiaTheme="minorEastAsia" w:hAnsiTheme="minorHAnsi" w:cstheme="minorBidi"/>
          <w:noProof/>
          <w:sz w:val="22"/>
          <w:szCs w:val="22"/>
          <w:lang w:eastAsia="en-AU"/>
        </w:rPr>
      </w:pPr>
      <w:r>
        <w:rPr>
          <w:noProof/>
        </w:rPr>
        <w:t>8.3</w:t>
      </w:r>
      <w:r>
        <w:rPr>
          <w:rFonts w:asciiTheme="minorHAnsi" w:eastAsiaTheme="minorEastAsia" w:hAnsiTheme="minorHAnsi" w:cstheme="minorBidi"/>
          <w:noProof/>
          <w:sz w:val="22"/>
          <w:szCs w:val="22"/>
          <w:lang w:eastAsia="en-AU"/>
        </w:rPr>
        <w:tab/>
      </w:r>
      <w:r>
        <w:rPr>
          <w:noProof/>
        </w:rPr>
        <w:t>Commission’s view — Option 1</w:t>
      </w:r>
      <w:r>
        <w:rPr>
          <w:noProof/>
        </w:rPr>
        <w:tab/>
        <w:t>186</w:t>
      </w:r>
    </w:p>
    <w:p w:rsidR="00771E51" w:rsidRDefault="00771E51">
      <w:pPr>
        <w:pStyle w:val="TOC2"/>
        <w:tabs>
          <w:tab w:val="left" w:pos="1190"/>
        </w:tabs>
        <w:rPr>
          <w:rFonts w:asciiTheme="minorHAnsi" w:eastAsiaTheme="minorEastAsia" w:hAnsiTheme="minorHAnsi" w:cstheme="minorBidi"/>
          <w:noProof/>
          <w:sz w:val="22"/>
          <w:szCs w:val="22"/>
          <w:lang w:eastAsia="en-AU"/>
        </w:rPr>
      </w:pPr>
      <w:r>
        <w:rPr>
          <w:noProof/>
        </w:rPr>
        <w:t>8.4</w:t>
      </w:r>
      <w:r>
        <w:rPr>
          <w:rFonts w:asciiTheme="minorHAnsi" w:eastAsiaTheme="minorEastAsia" w:hAnsiTheme="minorHAnsi" w:cstheme="minorBidi"/>
          <w:noProof/>
          <w:sz w:val="22"/>
          <w:szCs w:val="22"/>
          <w:lang w:eastAsia="en-AU"/>
        </w:rPr>
        <w:tab/>
      </w:r>
      <w:r>
        <w:rPr>
          <w:noProof/>
        </w:rPr>
        <w:t>Commission’s view — Option 2</w:t>
      </w:r>
      <w:r>
        <w:rPr>
          <w:noProof/>
        </w:rPr>
        <w:tab/>
        <w:t>192</w:t>
      </w:r>
    </w:p>
    <w:p w:rsidR="00771E51" w:rsidRDefault="00771E51">
      <w:pPr>
        <w:pStyle w:val="TOC2"/>
        <w:tabs>
          <w:tab w:val="left" w:pos="1190"/>
        </w:tabs>
        <w:rPr>
          <w:rFonts w:asciiTheme="minorHAnsi" w:eastAsiaTheme="minorEastAsia" w:hAnsiTheme="minorHAnsi" w:cstheme="minorBidi"/>
          <w:noProof/>
          <w:sz w:val="22"/>
          <w:szCs w:val="22"/>
          <w:lang w:eastAsia="en-AU"/>
        </w:rPr>
      </w:pPr>
      <w:r>
        <w:rPr>
          <w:noProof/>
        </w:rPr>
        <w:t>8.5</w:t>
      </w:r>
      <w:r>
        <w:rPr>
          <w:rFonts w:asciiTheme="minorHAnsi" w:eastAsiaTheme="minorEastAsia" w:hAnsiTheme="minorHAnsi" w:cstheme="minorBidi"/>
          <w:noProof/>
          <w:sz w:val="22"/>
          <w:szCs w:val="22"/>
          <w:lang w:eastAsia="en-AU"/>
        </w:rPr>
        <w:tab/>
      </w:r>
      <w:r>
        <w:rPr>
          <w:noProof/>
        </w:rPr>
        <w:t>The Commission’s recommended approach</w:t>
      </w:r>
      <w:r>
        <w:rPr>
          <w:noProof/>
        </w:rPr>
        <w:tab/>
        <w:t>196</w:t>
      </w:r>
    </w:p>
    <w:p w:rsidR="00771E51" w:rsidRDefault="00771E51">
      <w:pPr>
        <w:pStyle w:val="TOC2"/>
        <w:tabs>
          <w:tab w:val="left" w:pos="1190"/>
        </w:tabs>
        <w:rPr>
          <w:rFonts w:asciiTheme="minorHAnsi" w:eastAsiaTheme="minorEastAsia" w:hAnsiTheme="minorHAnsi" w:cstheme="minorBidi"/>
          <w:noProof/>
          <w:sz w:val="22"/>
          <w:szCs w:val="22"/>
          <w:lang w:eastAsia="en-AU"/>
        </w:rPr>
      </w:pPr>
      <w:r>
        <w:rPr>
          <w:noProof/>
        </w:rPr>
        <w:t>8.6</w:t>
      </w:r>
      <w:r>
        <w:rPr>
          <w:rFonts w:asciiTheme="minorHAnsi" w:eastAsiaTheme="minorEastAsia" w:hAnsiTheme="minorHAnsi" w:cstheme="minorBidi"/>
          <w:noProof/>
          <w:sz w:val="22"/>
          <w:szCs w:val="22"/>
          <w:lang w:eastAsia="en-AU"/>
        </w:rPr>
        <w:tab/>
      </w:r>
      <w:r>
        <w:rPr>
          <w:noProof/>
        </w:rPr>
        <w:t>Assessment of the recommended process</w:t>
      </w:r>
      <w:r>
        <w:rPr>
          <w:noProof/>
        </w:rPr>
        <w:tab/>
        <w:t>215</w:t>
      </w:r>
    </w:p>
    <w:p w:rsidR="00771E51" w:rsidRDefault="00771E51">
      <w:pPr>
        <w:pStyle w:val="TOC1"/>
        <w:rPr>
          <w:rFonts w:asciiTheme="minorHAnsi" w:eastAsiaTheme="minorEastAsia" w:hAnsiTheme="minorHAnsi" w:cstheme="minorBidi"/>
          <w:b w:val="0"/>
          <w:noProof/>
          <w:sz w:val="22"/>
          <w:szCs w:val="22"/>
          <w:lang w:eastAsia="en-AU"/>
        </w:rPr>
      </w:pPr>
      <w:r>
        <w:rPr>
          <w:noProof/>
        </w:rPr>
        <w:t>9</w:t>
      </w:r>
      <w:r>
        <w:rPr>
          <w:rFonts w:asciiTheme="minorHAnsi" w:eastAsiaTheme="minorEastAsia" w:hAnsiTheme="minorHAnsi" w:cstheme="minorBidi"/>
          <w:b w:val="0"/>
          <w:noProof/>
          <w:sz w:val="22"/>
          <w:szCs w:val="22"/>
          <w:lang w:eastAsia="en-AU"/>
        </w:rPr>
        <w:tab/>
      </w:r>
      <w:r>
        <w:rPr>
          <w:noProof/>
        </w:rPr>
        <w:t>Maximising the benefits of the proposed reforms</w:t>
      </w:r>
      <w:r>
        <w:rPr>
          <w:noProof/>
        </w:rPr>
        <w:tab/>
        <w:t>219</w:t>
      </w:r>
    </w:p>
    <w:p w:rsidR="00771E51" w:rsidRDefault="00771E51">
      <w:pPr>
        <w:pStyle w:val="TOC2"/>
        <w:tabs>
          <w:tab w:val="left" w:pos="1190"/>
        </w:tabs>
        <w:rPr>
          <w:rFonts w:asciiTheme="minorHAnsi" w:eastAsiaTheme="minorEastAsia" w:hAnsiTheme="minorHAnsi" w:cstheme="minorBidi"/>
          <w:noProof/>
          <w:sz w:val="22"/>
          <w:szCs w:val="22"/>
          <w:lang w:eastAsia="en-AU"/>
        </w:rPr>
      </w:pPr>
      <w:r>
        <w:rPr>
          <w:noProof/>
        </w:rPr>
        <w:t>9.1</w:t>
      </w:r>
      <w:r>
        <w:rPr>
          <w:rFonts w:asciiTheme="minorHAnsi" w:eastAsiaTheme="minorEastAsia" w:hAnsiTheme="minorHAnsi" w:cstheme="minorBidi"/>
          <w:noProof/>
          <w:sz w:val="22"/>
          <w:szCs w:val="22"/>
          <w:lang w:eastAsia="en-AU"/>
        </w:rPr>
        <w:tab/>
      </w:r>
      <w:r>
        <w:rPr>
          <w:noProof/>
        </w:rPr>
        <w:t>Implement the reforms as soon as practicable</w:t>
      </w:r>
      <w:r>
        <w:rPr>
          <w:noProof/>
        </w:rPr>
        <w:tab/>
        <w:t>220</w:t>
      </w:r>
    </w:p>
    <w:p w:rsidR="00771E51" w:rsidRDefault="00771E51">
      <w:pPr>
        <w:pStyle w:val="TOC2"/>
        <w:tabs>
          <w:tab w:val="left" w:pos="1190"/>
        </w:tabs>
        <w:rPr>
          <w:rFonts w:asciiTheme="minorHAnsi" w:eastAsiaTheme="minorEastAsia" w:hAnsiTheme="minorHAnsi" w:cstheme="minorBidi"/>
          <w:noProof/>
          <w:sz w:val="22"/>
          <w:szCs w:val="22"/>
          <w:lang w:eastAsia="en-AU"/>
        </w:rPr>
      </w:pPr>
      <w:r>
        <w:rPr>
          <w:noProof/>
        </w:rPr>
        <w:t>9.2</w:t>
      </w:r>
      <w:r>
        <w:rPr>
          <w:rFonts w:asciiTheme="minorHAnsi" w:eastAsiaTheme="minorEastAsia" w:hAnsiTheme="minorHAnsi" w:cstheme="minorBidi"/>
          <w:noProof/>
          <w:sz w:val="22"/>
          <w:szCs w:val="22"/>
          <w:lang w:eastAsia="en-AU"/>
        </w:rPr>
        <w:tab/>
      </w:r>
      <w:r>
        <w:rPr>
          <w:noProof/>
        </w:rPr>
        <w:t>Promptly inform affected employers</w:t>
      </w:r>
      <w:r>
        <w:rPr>
          <w:noProof/>
        </w:rPr>
        <w:tab/>
        <w:t>223</w:t>
      </w:r>
    </w:p>
    <w:p w:rsidR="00771E51" w:rsidRDefault="00771E51">
      <w:pPr>
        <w:pStyle w:val="TOC2"/>
        <w:tabs>
          <w:tab w:val="left" w:pos="1190"/>
        </w:tabs>
        <w:rPr>
          <w:rFonts w:asciiTheme="minorHAnsi" w:eastAsiaTheme="minorEastAsia" w:hAnsiTheme="minorHAnsi" w:cstheme="minorBidi"/>
          <w:noProof/>
          <w:sz w:val="22"/>
          <w:szCs w:val="22"/>
          <w:lang w:eastAsia="en-AU"/>
        </w:rPr>
      </w:pPr>
      <w:r>
        <w:rPr>
          <w:noProof/>
        </w:rPr>
        <w:lastRenderedPageBreak/>
        <w:t>9.3</w:t>
      </w:r>
      <w:r>
        <w:rPr>
          <w:rFonts w:asciiTheme="minorHAnsi" w:eastAsiaTheme="minorEastAsia" w:hAnsiTheme="minorHAnsi" w:cstheme="minorBidi"/>
          <w:noProof/>
          <w:sz w:val="22"/>
          <w:szCs w:val="22"/>
          <w:lang w:eastAsia="en-AU"/>
        </w:rPr>
        <w:tab/>
      </w:r>
      <w:r>
        <w:rPr>
          <w:noProof/>
        </w:rPr>
        <w:t>Assist affected employees to understand the changes and make informed decisions</w:t>
      </w:r>
      <w:r>
        <w:rPr>
          <w:noProof/>
        </w:rPr>
        <w:tab/>
        <w:t>225</w:t>
      </w:r>
    </w:p>
    <w:p w:rsidR="00771E51" w:rsidRDefault="00771E51">
      <w:pPr>
        <w:pStyle w:val="TOC2"/>
        <w:tabs>
          <w:tab w:val="left" w:pos="1190"/>
        </w:tabs>
        <w:rPr>
          <w:rFonts w:asciiTheme="minorHAnsi" w:eastAsiaTheme="minorEastAsia" w:hAnsiTheme="minorHAnsi" w:cstheme="minorBidi"/>
          <w:noProof/>
          <w:sz w:val="22"/>
          <w:szCs w:val="22"/>
          <w:lang w:eastAsia="en-AU"/>
        </w:rPr>
      </w:pPr>
      <w:r>
        <w:rPr>
          <w:noProof/>
        </w:rPr>
        <w:t>9.4</w:t>
      </w:r>
      <w:r>
        <w:rPr>
          <w:rFonts w:asciiTheme="minorHAnsi" w:eastAsiaTheme="minorEastAsia" w:hAnsiTheme="minorHAnsi" w:cstheme="minorBidi"/>
          <w:noProof/>
          <w:sz w:val="22"/>
          <w:szCs w:val="22"/>
          <w:lang w:eastAsia="en-AU"/>
        </w:rPr>
        <w:tab/>
      </w:r>
      <w:r>
        <w:rPr>
          <w:noProof/>
        </w:rPr>
        <w:t>Allow a reasonable transition period for employers and funds</w:t>
      </w:r>
      <w:r>
        <w:rPr>
          <w:noProof/>
        </w:rPr>
        <w:tab/>
        <w:t>231</w:t>
      </w:r>
    </w:p>
    <w:p w:rsidR="00771E51" w:rsidRDefault="00771E51">
      <w:pPr>
        <w:pStyle w:val="TOC2"/>
        <w:tabs>
          <w:tab w:val="left" w:pos="1190"/>
        </w:tabs>
        <w:rPr>
          <w:rFonts w:asciiTheme="minorHAnsi" w:eastAsiaTheme="minorEastAsia" w:hAnsiTheme="minorHAnsi" w:cstheme="minorBidi"/>
          <w:noProof/>
          <w:sz w:val="22"/>
          <w:szCs w:val="22"/>
          <w:lang w:eastAsia="en-AU"/>
        </w:rPr>
      </w:pPr>
      <w:r>
        <w:rPr>
          <w:noProof/>
        </w:rPr>
        <w:t>9.5</w:t>
      </w:r>
      <w:r>
        <w:rPr>
          <w:rFonts w:asciiTheme="minorHAnsi" w:eastAsiaTheme="minorEastAsia" w:hAnsiTheme="minorHAnsi" w:cstheme="minorBidi"/>
          <w:noProof/>
          <w:sz w:val="22"/>
          <w:szCs w:val="22"/>
          <w:lang w:eastAsia="en-AU"/>
        </w:rPr>
        <w:tab/>
      </w:r>
      <w:r>
        <w:rPr>
          <w:noProof/>
        </w:rPr>
        <w:t>Ensure that the Default Superannuation Panel has appropriate skills, resources and legal status</w:t>
      </w:r>
      <w:r>
        <w:rPr>
          <w:noProof/>
        </w:rPr>
        <w:tab/>
        <w:t>237</w:t>
      </w:r>
    </w:p>
    <w:p w:rsidR="00771E51" w:rsidRDefault="00771E51">
      <w:pPr>
        <w:pStyle w:val="TOC2"/>
        <w:tabs>
          <w:tab w:val="left" w:pos="1190"/>
        </w:tabs>
        <w:rPr>
          <w:rFonts w:asciiTheme="minorHAnsi" w:eastAsiaTheme="minorEastAsia" w:hAnsiTheme="minorHAnsi" w:cstheme="minorBidi"/>
          <w:noProof/>
          <w:sz w:val="22"/>
          <w:szCs w:val="22"/>
          <w:lang w:eastAsia="en-AU"/>
        </w:rPr>
      </w:pPr>
      <w:r>
        <w:rPr>
          <w:noProof/>
        </w:rPr>
        <w:t>9.6</w:t>
      </w:r>
      <w:r>
        <w:rPr>
          <w:rFonts w:asciiTheme="minorHAnsi" w:eastAsiaTheme="minorEastAsia" w:hAnsiTheme="minorHAnsi" w:cstheme="minorBidi"/>
          <w:noProof/>
          <w:sz w:val="22"/>
          <w:szCs w:val="22"/>
          <w:lang w:eastAsia="en-AU"/>
        </w:rPr>
        <w:tab/>
      </w:r>
      <w:r>
        <w:rPr>
          <w:noProof/>
        </w:rPr>
        <w:t>Provide clear information about default products and their selection</w:t>
      </w:r>
      <w:r>
        <w:rPr>
          <w:noProof/>
        </w:rPr>
        <w:tab/>
        <w:t>241</w:t>
      </w:r>
    </w:p>
    <w:p w:rsidR="00771E51" w:rsidRDefault="00771E51">
      <w:pPr>
        <w:pStyle w:val="TOC2"/>
        <w:tabs>
          <w:tab w:val="left" w:pos="1190"/>
        </w:tabs>
        <w:rPr>
          <w:rFonts w:asciiTheme="minorHAnsi" w:eastAsiaTheme="minorEastAsia" w:hAnsiTheme="minorHAnsi" w:cstheme="minorBidi"/>
          <w:noProof/>
          <w:sz w:val="22"/>
          <w:szCs w:val="22"/>
          <w:lang w:eastAsia="en-AU"/>
        </w:rPr>
      </w:pPr>
      <w:r>
        <w:rPr>
          <w:noProof/>
        </w:rPr>
        <w:t>9.7</w:t>
      </w:r>
      <w:r>
        <w:rPr>
          <w:rFonts w:asciiTheme="minorHAnsi" w:eastAsiaTheme="minorEastAsia" w:hAnsiTheme="minorHAnsi" w:cstheme="minorBidi"/>
          <w:noProof/>
          <w:sz w:val="22"/>
          <w:szCs w:val="22"/>
          <w:lang w:eastAsia="en-AU"/>
        </w:rPr>
        <w:tab/>
      </w:r>
      <w:r>
        <w:rPr>
          <w:noProof/>
        </w:rPr>
        <w:t>Review the new process for selecting default products, including the factors for consideration</w:t>
      </w:r>
      <w:r>
        <w:rPr>
          <w:noProof/>
        </w:rPr>
        <w:tab/>
        <w:t>244</w:t>
      </w:r>
    </w:p>
    <w:p w:rsidR="00771E51" w:rsidRDefault="00771E51">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Public consultation</w:t>
      </w:r>
      <w:r>
        <w:rPr>
          <w:noProof/>
        </w:rPr>
        <w:tab/>
        <w:t>247</w:t>
      </w:r>
    </w:p>
    <w:p w:rsidR="00771E51" w:rsidRDefault="00771E51">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Pr>
          <w:noProof/>
        </w:rPr>
        <w:t>International experience — default funds in pension systems</w:t>
      </w:r>
      <w:r>
        <w:rPr>
          <w:noProof/>
        </w:rPr>
        <w:tab/>
        <w:t>253</w:t>
      </w:r>
    </w:p>
    <w:p w:rsidR="00771E51" w:rsidRDefault="00771E51">
      <w:pPr>
        <w:pStyle w:val="TOC1"/>
        <w:rPr>
          <w:rFonts w:asciiTheme="minorHAnsi" w:eastAsiaTheme="minorEastAsia" w:hAnsiTheme="minorHAnsi" w:cstheme="minorBidi"/>
          <w:b w:val="0"/>
          <w:noProof/>
          <w:sz w:val="22"/>
          <w:szCs w:val="22"/>
          <w:lang w:eastAsia="en-AU"/>
        </w:rPr>
      </w:pPr>
      <w:r>
        <w:rPr>
          <w:noProof/>
        </w:rPr>
        <w:t>References</w:t>
      </w:r>
      <w:r>
        <w:rPr>
          <w:noProof/>
        </w:rPr>
        <w:tab/>
        <w:t>265</w:t>
      </w:r>
    </w:p>
    <w:p w:rsidR="00663996" w:rsidRPr="00663996" w:rsidRDefault="00663996" w:rsidP="00771E51">
      <w:pPr>
        <w:pStyle w:val="Heading1NotTOC"/>
      </w:pPr>
    </w:p>
    <w:p w:rsidR="00735FEA" w:rsidRDefault="00735FEA">
      <w:pPr>
        <w:pStyle w:val="BodyText"/>
        <w:sectPr w:rsidR="00735FEA" w:rsidSect="00C55A45">
          <w:headerReference w:type="even" r:id="rId14"/>
          <w:headerReference w:type="default" r:id="rId15"/>
          <w:footerReference w:type="even" r:id="rId16"/>
          <w:footerReference w:type="default" r:id="rId17"/>
          <w:type w:val="oddPage"/>
          <w:pgSz w:w="11907" w:h="16840" w:code="9"/>
          <w:pgMar w:top="1985" w:right="1304" w:bottom="1418" w:left="1814" w:header="1701" w:footer="567" w:gutter="0"/>
          <w:pgNumType w:fmt="lowerRoman"/>
          <w:cols w:space="720"/>
        </w:sectPr>
      </w:pPr>
    </w:p>
    <w:p w:rsidR="00735FEA" w:rsidRDefault="00735FEA" w:rsidP="00F7477E">
      <w:pPr>
        <w:pStyle w:val="Heading1"/>
      </w:pPr>
      <w:bookmarkStart w:id="15" w:name="Abbreviations"/>
      <w:bookmarkStart w:id="16" w:name="EndContents"/>
      <w:bookmarkStart w:id="17" w:name="RDnote"/>
      <w:bookmarkStart w:id="18" w:name="_Toc337056112"/>
      <w:bookmarkStart w:id="19" w:name="_Toc337105393"/>
      <w:bookmarkEnd w:id="15"/>
      <w:bookmarkEnd w:id="16"/>
      <w:bookmarkEnd w:id="17"/>
      <w:r>
        <w:lastRenderedPageBreak/>
        <w:t>Abbreviations</w:t>
      </w:r>
      <w:bookmarkEnd w:id="18"/>
      <w:bookmarkEnd w:id="19"/>
    </w:p>
    <w:p w:rsidR="00D064C2" w:rsidRDefault="00D064C2" w:rsidP="00D064C2">
      <w:pPr>
        <w:pStyle w:val="Abbreviation"/>
      </w:pPr>
      <w:proofErr w:type="spellStart"/>
      <w:r>
        <w:t>ACAC</w:t>
      </w:r>
      <w:proofErr w:type="spellEnd"/>
      <w:r>
        <w:tab/>
        <w:t>Australian Conciliation and Arbitration Commission</w:t>
      </w:r>
    </w:p>
    <w:p w:rsidR="00D064C2" w:rsidRDefault="00D064C2" w:rsidP="00D064C2">
      <w:pPr>
        <w:pStyle w:val="Abbreviation"/>
      </w:pPr>
      <w:r>
        <w:t>ACCI</w:t>
      </w:r>
      <w:r>
        <w:tab/>
        <w:t>Australian Chamber of Commerce and Industry</w:t>
      </w:r>
    </w:p>
    <w:p w:rsidR="00D064C2" w:rsidRDefault="00D064C2" w:rsidP="00D064C2">
      <w:pPr>
        <w:pStyle w:val="Abbreviation"/>
      </w:pPr>
      <w:r>
        <w:t>ACTU</w:t>
      </w:r>
      <w:r>
        <w:tab/>
        <w:t>Australian Council of Trade Unions</w:t>
      </w:r>
    </w:p>
    <w:p w:rsidR="00D064C2" w:rsidRDefault="00D064C2" w:rsidP="00D064C2">
      <w:pPr>
        <w:pStyle w:val="Abbreviation"/>
      </w:pPr>
      <w:proofErr w:type="spellStart"/>
      <w:r w:rsidRPr="000F1E97">
        <w:t>AFP</w:t>
      </w:r>
      <w:proofErr w:type="spellEnd"/>
      <w:r w:rsidRPr="000F1E97">
        <w:tab/>
      </w:r>
      <w:proofErr w:type="spellStart"/>
      <w:r w:rsidRPr="000F1E97">
        <w:rPr>
          <w:i/>
        </w:rPr>
        <w:t>Administradoras</w:t>
      </w:r>
      <w:proofErr w:type="spellEnd"/>
      <w:r w:rsidRPr="000F1E97">
        <w:rPr>
          <w:i/>
        </w:rPr>
        <w:t xml:space="preserve"> de </w:t>
      </w:r>
      <w:proofErr w:type="spellStart"/>
      <w:r w:rsidRPr="000F1E97">
        <w:rPr>
          <w:i/>
        </w:rPr>
        <w:t>Fondos</w:t>
      </w:r>
      <w:proofErr w:type="spellEnd"/>
      <w:r w:rsidRPr="000F1E97">
        <w:rPr>
          <w:i/>
        </w:rPr>
        <w:t xml:space="preserve"> de </w:t>
      </w:r>
      <w:proofErr w:type="spellStart"/>
      <w:r w:rsidRPr="000F1E97">
        <w:rPr>
          <w:i/>
        </w:rPr>
        <w:t>Pensiones</w:t>
      </w:r>
      <w:proofErr w:type="spellEnd"/>
      <w:r w:rsidRPr="000F1E97">
        <w:t xml:space="preserve"> (Chile)</w:t>
      </w:r>
    </w:p>
    <w:p w:rsidR="00D064C2" w:rsidRDefault="00D064C2" w:rsidP="00D064C2">
      <w:pPr>
        <w:pStyle w:val="Abbreviation"/>
      </w:pPr>
      <w:r>
        <w:t>Ai Group</w:t>
      </w:r>
      <w:r>
        <w:tab/>
        <w:t>Australian Industry Group</w:t>
      </w:r>
    </w:p>
    <w:p w:rsidR="00D064C2" w:rsidRDefault="00D064C2" w:rsidP="00D064C2">
      <w:pPr>
        <w:pStyle w:val="Abbreviation"/>
      </w:pPr>
      <w:proofErr w:type="spellStart"/>
      <w:r>
        <w:t>AIRC</w:t>
      </w:r>
      <w:proofErr w:type="spellEnd"/>
      <w:r>
        <w:tab/>
        <w:t>Australian Industrial Relations Commission</w:t>
      </w:r>
    </w:p>
    <w:p w:rsidR="00D064C2" w:rsidRDefault="00D064C2" w:rsidP="00D064C2">
      <w:pPr>
        <w:pStyle w:val="Abbreviation"/>
      </w:pPr>
      <w:r>
        <w:t>AIST</w:t>
      </w:r>
      <w:r>
        <w:tab/>
        <w:t>Australian Institute of Superannuation Trustees</w:t>
      </w:r>
    </w:p>
    <w:p w:rsidR="00D064C2" w:rsidRDefault="00D064C2" w:rsidP="00D064C2">
      <w:pPr>
        <w:pStyle w:val="Abbreviation"/>
      </w:pPr>
      <w:proofErr w:type="spellStart"/>
      <w:r>
        <w:t>AMWU</w:t>
      </w:r>
      <w:proofErr w:type="spellEnd"/>
      <w:r>
        <w:tab/>
        <w:t>Australian Manufacturing Workers’ Union</w:t>
      </w:r>
    </w:p>
    <w:p w:rsidR="003F5BF9" w:rsidRDefault="003F5BF9" w:rsidP="00D064C2">
      <w:pPr>
        <w:pStyle w:val="Abbreviation"/>
      </w:pPr>
      <w:proofErr w:type="spellStart"/>
      <w:r>
        <w:t>ANAO</w:t>
      </w:r>
      <w:proofErr w:type="spellEnd"/>
      <w:r>
        <w:tab/>
        <w:t>Australian National Audit Office</w:t>
      </w:r>
    </w:p>
    <w:p w:rsidR="00D064C2" w:rsidRDefault="00D064C2" w:rsidP="00D064C2">
      <w:pPr>
        <w:pStyle w:val="Abbreviation"/>
      </w:pPr>
      <w:r>
        <w:t>APRA</w:t>
      </w:r>
      <w:r>
        <w:tab/>
        <w:t>the Australian Prudential Regulation Authority</w:t>
      </w:r>
    </w:p>
    <w:p w:rsidR="00D064C2" w:rsidRDefault="00D064C2" w:rsidP="00D064C2">
      <w:pPr>
        <w:pStyle w:val="Abbreviation"/>
      </w:pPr>
      <w:proofErr w:type="spellStart"/>
      <w:r>
        <w:t>ASFA</w:t>
      </w:r>
      <w:proofErr w:type="spellEnd"/>
      <w:r>
        <w:tab/>
        <w:t>Association of Superannuation Funds of Australia</w:t>
      </w:r>
    </w:p>
    <w:p w:rsidR="00D064C2" w:rsidRDefault="00D064C2" w:rsidP="00D064C2">
      <w:pPr>
        <w:pStyle w:val="Abbreviation"/>
      </w:pPr>
      <w:proofErr w:type="spellStart"/>
      <w:r>
        <w:t>ASIC</w:t>
      </w:r>
      <w:proofErr w:type="spellEnd"/>
      <w:r>
        <w:tab/>
        <w:t>the Australian Securities and Investments Commission</w:t>
      </w:r>
    </w:p>
    <w:p w:rsidR="00D064C2" w:rsidRDefault="00D064C2" w:rsidP="00D064C2">
      <w:pPr>
        <w:pStyle w:val="Abbreviation"/>
      </w:pPr>
      <w:proofErr w:type="spellStart"/>
      <w:r>
        <w:t>ATO</w:t>
      </w:r>
      <w:proofErr w:type="spellEnd"/>
      <w:r>
        <w:tab/>
        <w:t>Australian Taxation Office</w:t>
      </w:r>
    </w:p>
    <w:p w:rsidR="00D064C2" w:rsidRDefault="00D064C2" w:rsidP="00D064C2">
      <w:pPr>
        <w:pStyle w:val="Abbreviation"/>
      </w:pPr>
      <w:r>
        <w:t>Cooper Review</w:t>
      </w:r>
      <w:r>
        <w:tab/>
      </w:r>
      <w:proofErr w:type="spellStart"/>
      <w:r>
        <w:t>Review</w:t>
      </w:r>
      <w:proofErr w:type="spellEnd"/>
      <w:r>
        <w:t xml:space="preserve"> into the Governance, Efficiency, Structure and Operation of Australia’s Superannuation System</w:t>
      </w:r>
    </w:p>
    <w:p w:rsidR="00D064C2" w:rsidRPr="00F63B71" w:rsidRDefault="00D064C2" w:rsidP="00D064C2">
      <w:pPr>
        <w:pStyle w:val="Abbreviation"/>
      </w:pPr>
      <w:r>
        <w:t>Corporations Act</w:t>
      </w:r>
      <w:r>
        <w:tab/>
      </w:r>
      <w:r>
        <w:rPr>
          <w:i/>
        </w:rPr>
        <w:t>Corporations Act 2001</w:t>
      </w:r>
      <w:r>
        <w:t xml:space="preserve"> (Cwlth)</w:t>
      </w:r>
    </w:p>
    <w:p w:rsidR="00D064C2" w:rsidRDefault="00D064C2" w:rsidP="00D064C2">
      <w:pPr>
        <w:pStyle w:val="Abbreviation"/>
      </w:pPr>
      <w:r>
        <w:t>COSBOA</w:t>
      </w:r>
      <w:r>
        <w:tab/>
        <w:t>the Council of Small Business Organisations of Australia</w:t>
      </w:r>
    </w:p>
    <w:p w:rsidR="00D064C2" w:rsidRDefault="00D064C2" w:rsidP="00D064C2">
      <w:pPr>
        <w:pStyle w:val="Abbreviation"/>
      </w:pPr>
      <w:r>
        <w:t>CSSA</w:t>
      </w:r>
      <w:r>
        <w:tab/>
        <w:t>Corporate Super Specialist Alliance</w:t>
      </w:r>
    </w:p>
    <w:p w:rsidR="007D691A" w:rsidRDefault="007D691A" w:rsidP="00D064C2">
      <w:pPr>
        <w:pStyle w:val="Abbreviation"/>
      </w:pPr>
      <w:proofErr w:type="spellStart"/>
      <w:r>
        <w:t>DEEWR</w:t>
      </w:r>
      <w:proofErr w:type="spellEnd"/>
      <w:r>
        <w:tab/>
        <w:t>Department of Education, Employment and Workplace Relations</w:t>
      </w:r>
    </w:p>
    <w:p w:rsidR="00D064C2" w:rsidRDefault="00D064C2" w:rsidP="00D064C2">
      <w:pPr>
        <w:pStyle w:val="Abbreviation"/>
      </w:pPr>
      <w:r>
        <w:t>EPSSS</w:t>
      </w:r>
      <w:r>
        <w:tab/>
        <w:t>exempt public sector superannuation scheme</w:t>
      </w:r>
    </w:p>
    <w:p w:rsidR="00D064C2" w:rsidRDefault="00D064C2" w:rsidP="00D064C2">
      <w:pPr>
        <w:pStyle w:val="Abbreviation"/>
      </w:pPr>
      <w:proofErr w:type="spellStart"/>
      <w:r>
        <w:t>ERF</w:t>
      </w:r>
      <w:proofErr w:type="spellEnd"/>
      <w:r>
        <w:tab/>
        <w:t>eligible rollover fund</w:t>
      </w:r>
    </w:p>
    <w:p w:rsidR="00D064C2" w:rsidRDefault="00D064C2" w:rsidP="00D064C2">
      <w:pPr>
        <w:pStyle w:val="Abbreviation"/>
      </w:pPr>
      <w:r>
        <w:t>Fair Work Act</w:t>
      </w:r>
      <w:r>
        <w:tab/>
      </w:r>
      <w:r w:rsidRPr="00660B93">
        <w:rPr>
          <w:i/>
        </w:rPr>
        <w:t>Fair Work Act 2009</w:t>
      </w:r>
      <w:r w:rsidRPr="00660B93">
        <w:t xml:space="preserve"> (Cwlth)</w:t>
      </w:r>
    </w:p>
    <w:p w:rsidR="00D064C2" w:rsidRDefault="00D064C2" w:rsidP="00D064C2">
      <w:pPr>
        <w:pStyle w:val="Abbreviation"/>
      </w:pPr>
      <w:r>
        <w:t>FOFA</w:t>
      </w:r>
      <w:r>
        <w:tab/>
        <w:t>Future of Financial Advice</w:t>
      </w:r>
    </w:p>
    <w:p w:rsidR="002A6DDD" w:rsidRDefault="002A6DDD" w:rsidP="00D064C2">
      <w:pPr>
        <w:pStyle w:val="Abbreviation"/>
      </w:pPr>
      <w:proofErr w:type="spellStart"/>
      <w:r>
        <w:t>FPA</w:t>
      </w:r>
      <w:proofErr w:type="spellEnd"/>
      <w:r>
        <w:tab/>
        <w:t>Financial Planning Association of Australia</w:t>
      </w:r>
    </w:p>
    <w:p w:rsidR="00D064C2" w:rsidRDefault="00D064C2" w:rsidP="00D064C2">
      <w:pPr>
        <w:pStyle w:val="Abbreviation"/>
      </w:pPr>
      <w:r>
        <w:t>FSC</w:t>
      </w:r>
      <w:r>
        <w:tab/>
        <w:t>Financial Services Council</w:t>
      </w:r>
    </w:p>
    <w:p w:rsidR="00D064C2" w:rsidRDefault="00D064C2" w:rsidP="00D064C2">
      <w:pPr>
        <w:pStyle w:val="Abbreviation"/>
      </w:pPr>
      <w:r>
        <w:lastRenderedPageBreak/>
        <w:t>FWA</w:t>
      </w:r>
      <w:r>
        <w:tab/>
        <w:t>Fair Work Australia</w:t>
      </w:r>
    </w:p>
    <w:p w:rsidR="00D064C2" w:rsidRDefault="00D064C2" w:rsidP="00D064C2">
      <w:pPr>
        <w:pStyle w:val="Abbreviation"/>
      </w:pPr>
      <w:r>
        <w:t>IFF</w:t>
      </w:r>
      <w:r>
        <w:tab/>
        <w:t>Industry Funds Forum</w:t>
      </w:r>
    </w:p>
    <w:p w:rsidR="00D064C2" w:rsidRDefault="00D064C2" w:rsidP="00D064C2">
      <w:pPr>
        <w:pStyle w:val="Abbreviation"/>
      </w:pPr>
      <w:r>
        <w:t>ISN</w:t>
      </w:r>
      <w:r>
        <w:tab/>
        <w:t>Industry Super Network</w:t>
      </w:r>
    </w:p>
    <w:p w:rsidR="00D064C2" w:rsidRDefault="00D064C2" w:rsidP="00D064C2">
      <w:pPr>
        <w:pStyle w:val="Abbreviation"/>
      </w:pPr>
      <w:r>
        <w:t>Master Plumbers</w:t>
      </w:r>
      <w:r>
        <w:tab/>
        <w:t>Master Plumbers and Mechanical Services Association of Australia</w:t>
      </w:r>
    </w:p>
    <w:p w:rsidR="00D064C2" w:rsidRDefault="00D064C2" w:rsidP="00D064C2">
      <w:pPr>
        <w:pStyle w:val="Abbreviation"/>
      </w:pPr>
      <w:proofErr w:type="spellStart"/>
      <w:r>
        <w:t>MER</w:t>
      </w:r>
      <w:proofErr w:type="spellEnd"/>
      <w:r>
        <w:tab/>
        <w:t>management expense ratio</w:t>
      </w:r>
    </w:p>
    <w:p w:rsidR="00CD7BAB" w:rsidRDefault="00CD7BAB" w:rsidP="00D064C2">
      <w:pPr>
        <w:pStyle w:val="Abbreviation"/>
      </w:pPr>
      <w:proofErr w:type="spellStart"/>
      <w:r>
        <w:t>MPF</w:t>
      </w:r>
      <w:proofErr w:type="spellEnd"/>
      <w:r>
        <w:tab/>
        <w:t>Mandatory Provident Fund</w:t>
      </w:r>
    </w:p>
    <w:p w:rsidR="002A6DDD" w:rsidRDefault="002A6DDD" w:rsidP="00D064C2">
      <w:pPr>
        <w:pStyle w:val="Abbreviation"/>
      </w:pPr>
      <w:proofErr w:type="spellStart"/>
      <w:r>
        <w:t>NUW</w:t>
      </w:r>
      <w:proofErr w:type="spellEnd"/>
      <w:r>
        <w:tab/>
        <w:t>National Union of Workers</w:t>
      </w:r>
    </w:p>
    <w:p w:rsidR="00D064C2" w:rsidRDefault="00D064C2" w:rsidP="00D064C2">
      <w:pPr>
        <w:pStyle w:val="Abbreviation"/>
      </w:pPr>
      <w:proofErr w:type="spellStart"/>
      <w:r>
        <w:t>PST</w:t>
      </w:r>
      <w:proofErr w:type="spellEnd"/>
      <w:r>
        <w:tab/>
        <w:t>pooled superannuation trust</w:t>
      </w:r>
    </w:p>
    <w:p w:rsidR="00D064C2" w:rsidRDefault="00D064C2" w:rsidP="00D064C2">
      <w:pPr>
        <w:pStyle w:val="Abbreviation"/>
      </w:pPr>
      <w:r>
        <w:t>RSE</w:t>
      </w:r>
      <w:r>
        <w:tab/>
        <w:t>Registrable Superannuation Entity</w:t>
      </w:r>
    </w:p>
    <w:p w:rsidR="00D064C2" w:rsidRDefault="00D064C2" w:rsidP="00D064C2">
      <w:pPr>
        <w:pStyle w:val="Abbreviation"/>
      </w:pPr>
      <w:proofErr w:type="spellStart"/>
      <w:r>
        <w:t>SCT</w:t>
      </w:r>
      <w:proofErr w:type="spellEnd"/>
      <w:r>
        <w:tab/>
        <w:t>Superannuation Complaints Tribunal</w:t>
      </w:r>
    </w:p>
    <w:p w:rsidR="00D064C2" w:rsidRDefault="00D064C2" w:rsidP="00D064C2">
      <w:pPr>
        <w:pStyle w:val="Abbreviation"/>
      </w:pPr>
      <w:r>
        <w:t>SDA</w:t>
      </w:r>
      <w:r>
        <w:tab/>
        <w:t>Shop Distributive and Allied Employees Association</w:t>
      </w:r>
    </w:p>
    <w:p w:rsidR="00D064C2" w:rsidRDefault="00D064C2" w:rsidP="00D064C2">
      <w:pPr>
        <w:pStyle w:val="Abbreviation"/>
      </w:pPr>
      <w:r>
        <w:t>SIS Act</w:t>
      </w:r>
      <w:r>
        <w:tab/>
      </w:r>
      <w:r w:rsidRPr="00C86265">
        <w:rPr>
          <w:i/>
        </w:rPr>
        <w:t>Superannuation Industry (Supervision) Act 1993</w:t>
      </w:r>
      <w:r>
        <w:t xml:space="preserve"> (Cwlth)</w:t>
      </w:r>
    </w:p>
    <w:p w:rsidR="00D064C2" w:rsidRDefault="00FD1DA2" w:rsidP="00D064C2">
      <w:pPr>
        <w:pStyle w:val="Abbreviation"/>
      </w:pPr>
      <w:proofErr w:type="spellStart"/>
      <w:r>
        <w:t>SMSF</w:t>
      </w:r>
      <w:proofErr w:type="spellEnd"/>
      <w:r>
        <w:tab/>
      </w:r>
      <w:proofErr w:type="spellStart"/>
      <w:r>
        <w:t xml:space="preserve">self </w:t>
      </w:r>
      <w:r w:rsidR="00D064C2">
        <w:t>managed</w:t>
      </w:r>
      <w:proofErr w:type="spellEnd"/>
      <w:r w:rsidR="00D064C2">
        <w:t xml:space="preserve"> superannuation fund</w:t>
      </w:r>
    </w:p>
    <w:p w:rsidR="00D064C2" w:rsidRDefault="00D064C2" w:rsidP="00D064C2">
      <w:pPr>
        <w:pStyle w:val="Abbreviation"/>
      </w:pPr>
      <w:r>
        <w:t>SPA</w:t>
      </w:r>
      <w:r>
        <w:tab/>
        <w:t>Swedish Pensions Agency</w:t>
      </w:r>
    </w:p>
    <w:p w:rsidR="00D064C2" w:rsidRDefault="00D064C2" w:rsidP="00D064C2">
      <w:pPr>
        <w:pStyle w:val="Abbreviation"/>
      </w:pPr>
      <w:proofErr w:type="spellStart"/>
      <w:r>
        <w:t>TPD</w:t>
      </w:r>
      <w:proofErr w:type="spellEnd"/>
      <w:r>
        <w:tab/>
        <w:t>total and permanent disability</w:t>
      </w:r>
    </w:p>
    <w:p w:rsidR="00D064C2" w:rsidRDefault="00D064C2" w:rsidP="00D064C2">
      <w:pPr>
        <w:pStyle w:val="Abbreviation"/>
      </w:pPr>
      <w:r>
        <w:t>UTS</w:t>
      </w:r>
      <w:r>
        <w:tab/>
        <w:t>University of Technology Sydney</w:t>
      </w:r>
    </w:p>
    <w:p w:rsidR="00735FEA" w:rsidRDefault="00735FEA" w:rsidP="00743A27">
      <w:pPr>
        <w:pStyle w:val="BodyText"/>
      </w:pPr>
    </w:p>
    <w:sectPr w:rsidR="00735FEA" w:rsidSect="00C55A45">
      <w:headerReference w:type="even" r:id="rId18"/>
      <w:headerReference w:type="default" r:id="rId19"/>
      <w:footerReference w:type="even" r:id="rId20"/>
      <w:footerReference w:type="default" r:id="rId21"/>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1902" w:rsidRDefault="00CF1902">
      <w:r>
        <w:separator/>
      </w:r>
    </w:p>
    <w:p w:rsidR="00CF1902" w:rsidRDefault="00CF1902"/>
    <w:p w:rsidR="00CF1902" w:rsidRDefault="00CF1902"/>
  </w:endnote>
  <w:endnote w:type="continuationSeparator" w:id="0">
    <w:p w:rsidR="00CF1902" w:rsidRDefault="00CF1902">
      <w:r>
        <w:continuationSeparator/>
      </w:r>
    </w:p>
    <w:p w:rsidR="00CF1902" w:rsidRDefault="00CF1902"/>
    <w:p w:rsidR="00CF1902" w:rsidRDefault="00CF19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oudyOlSt BT">
    <w:altName w:val="Georgia"/>
    <w:charset w:val="00"/>
    <w:family w:val="roman"/>
    <w:pitch w:val="variable"/>
    <w:sig w:usb0="00000087" w:usb1="00000000" w:usb2="00000000" w:usb3="00000000" w:csb0="0000001B"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CF1902">
      <w:trPr>
        <w:trHeight w:hRule="exact" w:val="740"/>
      </w:trPr>
      <w:tc>
        <w:tcPr>
          <w:tcW w:w="510" w:type="dxa"/>
          <w:tcBorders>
            <w:top w:val="single" w:sz="6" w:space="0" w:color="auto"/>
          </w:tcBorders>
        </w:tcPr>
        <w:p w:rsidR="00CF1902" w:rsidRPr="00097845" w:rsidRDefault="00CF1902">
          <w:pPr>
            <w:pStyle w:val="Footer"/>
            <w:tabs>
              <w:tab w:val="left" w:pos="0"/>
            </w:tabs>
            <w:ind w:right="0"/>
            <w:rPr>
              <w:rStyle w:val="PageNumber"/>
              <w:b w:val="0"/>
              <w:caps w:val="0"/>
            </w:rPr>
          </w:pPr>
          <w:r w:rsidRPr="00097845">
            <w:rPr>
              <w:rStyle w:val="PageNumber"/>
              <w:b w:val="0"/>
              <w:caps w:val="0"/>
            </w:rPr>
            <w:fldChar w:fldCharType="begin"/>
          </w:r>
          <w:r w:rsidRPr="00097845">
            <w:rPr>
              <w:rStyle w:val="PageNumber"/>
              <w:caps w:val="0"/>
            </w:rPr>
            <w:instrText xml:space="preserve">PAGE  </w:instrText>
          </w:r>
          <w:r w:rsidRPr="00097845">
            <w:rPr>
              <w:rStyle w:val="PageNumber"/>
              <w:b w:val="0"/>
              <w:caps w:val="0"/>
            </w:rPr>
            <w:fldChar w:fldCharType="separate"/>
          </w:r>
          <w:r w:rsidR="00184B1E">
            <w:rPr>
              <w:rStyle w:val="PageNumber"/>
              <w:caps w:val="0"/>
              <w:noProof/>
            </w:rPr>
            <w:t>iv</w:t>
          </w:r>
          <w:r w:rsidRPr="00097845">
            <w:rPr>
              <w:rStyle w:val="PageNumber"/>
              <w:b w:val="0"/>
              <w:caps w:val="0"/>
            </w:rPr>
            <w:fldChar w:fldCharType="end"/>
          </w:r>
        </w:p>
      </w:tc>
      <w:tc>
        <w:tcPr>
          <w:tcW w:w="1644" w:type="dxa"/>
          <w:tcBorders>
            <w:top w:val="single" w:sz="6" w:space="0" w:color="auto"/>
          </w:tcBorders>
        </w:tcPr>
        <w:p w:rsidR="00CF1902" w:rsidRPr="00A55177" w:rsidRDefault="00CF1902">
          <w:pPr>
            <w:pStyle w:val="Footer"/>
          </w:pPr>
          <w:r>
            <w:t>Terms of reference</w:t>
          </w:r>
        </w:p>
      </w:tc>
      <w:tc>
        <w:tcPr>
          <w:tcW w:w="6634" w:type="dxa"/>
        </w:tcPr>
        <w:p w:rsidR="00CF1902" w:rsidRDefault="00CF1902">
          <w:pPr>
            <w:pStyle w:val="Footer"/>
          </w:pPr>
        </w:p>
      </w:tc>
    </w:tr>
  </w:tbl>
  <w:p w:rsidR="00CF1902" w:rsidRDefault="00CF1902">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1644"/>
      <w:gridCol w:w="510"/>
    </w:tblGrid>
    <w:tr w:rsidR="00CF1902" w:rsidTr="001101EF">
      <w:trPr>
        <w:trHeight w:hRule="exact" w:val="740"/>
      </w:trPr>
      <w:tc>
        <w:tcPr>
          <w:tcW w:w="6480" w:type="dxa"/>
        </w:tcPr>
        <w:p w:rsidR="00CF1902" w:rsidRDefault="00CF1902">
          <w:pPr>
            <w:pStyle w:val="Footer"/>
          </w:pPr>
        </w:p>
      </w:tc>
      <w:tc>
        <w:tcPr>
          <w:tcW w:w="1644" w:type="dxa"/>
          <w:tcBorders>
            <w:top w:val="single" w:sz="6" w:space="0" w:color="auto"/>
          </w:tcBorders>
        </w:tcPr>
        <w:p w:rsidR="00CF1902" w:rsidRPr="002D7C67" w:rsidRDefault="00CF1902">
          <w:pPr>
            <w:pStyle w:val="Footer"/>
            <w:rPr>
              <w:rStyle w:val="PageNumber"/>
            </w:rPr>
          </w:pPr>
          <w:r>
            <w:t>Terms of reference</w:t>
          </w:r>
        </w:p>
      </w:tc>
      <w:tc>
        <w:tcPr>
          <w:tcW w:w="510" w:type="dxa"/>
          <w:tcBorders>
            <w:top w:val="single" w:sz="6" w:space="0" w:color="auto"/>
          </w:tcBorders>
        </w:tcPr>
        <w:p w:rsidR="00CF1902" w:rsidRPr="009A6D09" w:rsidRDefault="00CF1902" w:rsidP="001101EF">
          <w:pPr>
            <w:pStyle w:val="PartTitle"/>
            <w:spacing w:before="80" w:after="0" w:line="200" w:lineRule="exact"/>
            <w:ind w:right="6"/>
            <w:rPr>
              <w:rStyle w:val="PageNumber"/>
              <w:smallCaps w:val="0"/>
              <w:noProof/>
            </w:rPr>
          </w:pPr>
          <w:r w:rsidRPr="009A6D09">
            <w:rPr>
              <w:rStyle w:val="PageNumber"/>
              <w:smallCaps w:val="0"/>
              <w:noProof/>
            </w:rPr>
            <w:fldChar w:fldCharType="begin"/>
          </w:r>
          <w:r w:rsidRPr="009A6D09">
            <w:rPr>
              <w:rStyle w:val="PageNumber"/>
              <w:smallCaps w:val="0"/>
              <w:noProof/>
            </w:rPr>
            <w:instrText xml:space="preserve">PAGE  </w:instrText>
          </w:r>
          <w:r w:rsidRPr="009A6D09">
            <w:rPr>
              <w:rStyle w:val="PageNumber"/>
              <w:smallCaps w:val="0"/>
              <w:noProof/>
            </w:rPr>
            <w:fldChar w:fldCharType="separate"/>
          </w:r>
          <w:r w:rsidR="00184B1E">
            <w:rPr>
              <w:rStyle w:val="PageNumber"/>
              <w:smallCaps w:val="0"/>
              <w:noProof/>
            </w:rPr>
            <w:t>v</w:t>
          </w:r>
          <w:r w:rsidRPr="009A6D09">
            <w:rPr>
              <w:rStyle w:val="PageNumber"/>
              <w:smallCaps w:val="0"/>
              <w:noProof/>
            </w:rPr>
            <w:fldChar w:fldCharType="end"/>
          </w:r>
        </w:p>
      </w:tc>
    </w:tr>
  </w:tbl>
  <w:p w:rsidR="00CF1902" w:rsidRDefault="00CF1902">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CF1902">
      <w:trPr>
        <w:trHeight w:hRule="exact" w:val="740"/>
      </w:trPr>
      <w:tc>
        <w:tcPr>
          <w:tcW w:w="510" w:type="dxa"/>
          <w:tcBorders>
            <w:top w:val="single" w:sz="6" w:space="0" w:color="auto"/>
          </w:tcBorders>
        </w:tcPr>
        <w:p w:rsidR="00CF1902" w:rsidRPr="008206EE" w:rsidRDefault="00CF1902">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184B1E">
            <w:rPr>
              <w:rStyle w:val="PageNumber"/>
              <w:caps w:val="0"/>
              <w:noProof/>
            </w:rPr>
            <w:t>viii</w:t>
          </w:r>
          <w:r w:rsidRPr="008206EE">
            <w:rPr>
              <w:rStyle w:val="PageNumber"/>
              <w:caps w:val="0"/>
              <w:noProof/>
            </w:rPr>
            <w:fldChar w:fldCharType="end"/>
          </w:r>
        </w:p>
      </w:tc>
      <w:tc>
        <w:tcPr>
          <w:tcW w:w="1644" w:type="dxa"/>
          <w:tcBorders>
            <w:top w:val="single" w:sz="6" w:space="0" w:color="auto"/>
          </w:tcBorders>
        </w:tcPr>
        <w:p w:rsidR="00CF1902" w:rsidRDefault="00234305">
          <w:pPr>
            <w:pStyle w:val="Footer"/>
          </w:pPr>
          <w:fldSimple w:instr=" STYLEREF &quot;Heading 1 Not TOC&quot; \* MERGEFORMAT ">
            <w:r w:rsidR="00184B1E">
              <w:rPr>
                <w:noProof/>
              </w:rPr>
              <w:t>Contents</w:t>
            </w:r>
          </w:fldSimple>
        </w:p>
      </w:tc>
      <w:tc>
        <w:tcPr>
          <w:tcW w:w="6634" w:type="dxa"/>
        </w:tcPr>
        <w:p w:rsidR="00CF1902" w:rsidRDefault="00CF1902">
          <w:pPr>
            <w:pStyle w:val="Footer"/>
            <w:rPr>
              <w:caps w:val="0"/>
            </w:rPr>
          </w:pPr>
        </w:p>
      </w:tc>
    </w:tr>
  </w:tbl>
  <w:p w:rsidR="00CF1902" w:rsidRDefault="00CF1902">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CF1902" w:rsidTr="008F7DB7">
      <w:trPr>
        <w:trHeight w:hRule="exact" w:val="740"/>
      </w:trPr>
      <w:tc>
        <w:tcPr>
          <w:tcW w:w="6634" w:type="dxa"/>
        </w:tcPr>
        <w:p w:rsidR="00CF1902" w:rsidRDefault="00CF1902">
          <w:pPr>
            <w:pStyle w:val="Footer"/>
          </w:pPr>
        </w:p>
      </w:tc>
      <w:tc>
        <w:tcPr>
          <w:tcW w:w="1644" w:type="dxa"/>
          <w:tcBorders>
            <w:top w:val="single" w:sz="6" w:space="0" w:color="auto"/>
          </w:tcBorders>
        </w:tcPr>
        <w:p w:rsidR="00CF1902" w:rsidRPr="008F7DB7" w:rsidRDefault="00CF1902">
          <w:pPr>
            <w:pStyle w:val="Footer"/>
            <w:rPr>
              <w:rStyle w:val="PageNumber"/>
              <w:noProof/>
            </w:rPr>
          </w:pPr>
          <w:r w:rsidRPr="008F7DB7">
            <w:rPr>
              <w:noProof/>
            </w:rPr>
            <w:fldChar w:fldCharType="begin"/>
          </w:r>
          <w:r w:rsidRPr="008F7DB7">
            <w:rPr>
              <w:noProof/>
            </w:rPr>
            <w:instrText xml:space="preserve"> STYLEREF "Heading 1 Not TOC" \* MERGEFORMAT </w:instrText>
          </w:r>
          <w:r w:rsidRPr="008F7DB7">
            <w:rPr>
              <w:noProof/>
            </w:rPr>
            <w:fldChar w:fldCharType="end"/>
          </w:r>
        </w:p>
      </w:tc>
      <w:tc>
        <w:tcPr>
          <w:tcW w:w="510" w:type="dxa"/>
          <w:tcBorders>
            <w:top w:val="single" w:sz="6" w:space="0" w:color="auto"/>
          </w:tcBorders>
        </w:tcPr>
        <w:p w:rsidR="00CF1902" w:rsidRPr="00C55A45" w:rsidRDefault="00CF1902">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184B1E">
            <w:rPr>
              <w:rStyle w:val="PageNumber"/>
              <w:caps w:val="0"/>
              <w:noProof/>
            </w:rPr>
            <w:t>ix</w:t>
          </w:r>
          <w:r w:rsidRPr="00C55A45">
            <w:rPr>
              <w:rStyle w:val="PageNumber"/>
              <w:caps w:val="0"/>
              <w:noProof/>
            </w:rPr>
            <w:fldChar w:fldCharType="end"/>
          </w:r>
        </w:p>
      </w:tc>
    </w:tr>
  </w:tbl>
  <w:p w:rsidR="00CF1902" w:rsidRDefault="00CF1902">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CF1902" w:rsidTr="008F7DB7">
      <w:trPr>
        <w:trHeight w:hRule="exact" w:val="740"/>
      </w:trPr>
      <w:tc>
        <w:tcPr>
          <w:tcW w:w="510" w:type="dxa"/>
          <w:tcBorders>
            <w:top w:val="single" w:sz="6" w:space="0" w:color="auto"/>
          </w:tcBorders>
        </w:tcPr>
        <w:p w:rsidR="00CF1902" w:rsidRPr="00C55A45" w:rsidRDefault="00CF1902">
          <w:pPr>
            <w:pStyle w:val="Footer"/>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184B1E">
            <w:rPr>
              <w:rStyle w:val="PageNumber"/>
              <w:caps w:val="0"/>
              <w:noProof/>
            </w:rPr>
            <w:t>x</w:t>
          </w:r>
          <w:r w:rsidRPr="00C55A45">
            <w:rPr>
              <w:rStyle w:val="PageNumber"/>
              <w:caps w:val="0"/>
              <w:noProof/>
            </w:rPr>
            <w:fldChar w:fldCharType="end"/>
          </w:r>
        </w:p>
      </w:tc>
      <w:tc>
        <w:tcPr>
          <w:tcW w:w="1758" w:type="dxa"/>
          <w:tcBorders>
            <w:top w:val="single" w:sz="6" w:space="0" w:color="auto"/>
          </w:tcBorders>
        </w:tcPr>
        <w:p w:rsidR="00CF1902" w:rsidRDefault="00CF1902">
          <w:pPr>
            <w:pStyle w:val="Footer"/>
            <w:rPr>
              <w:noProof/>
            </w:rPr>
          </w:pPr>
          <w:r>
            <w:rPr>
              <w:noProof/>
            </w:rPr>
            <w:fldChar w:fldCharType="begin"/>
          </w:r>
          <w:r>
            <w:rPr>
              <w:noProof/>
            </w:rPr>
            <w:instrText xml:space="preserve"> STYLEREF "Heading 1" \* MERGEFORMAT </w:instrText>
          </w:r>
          <w:r>
            <w:rPr>
              <w:noProof/>
            </w:rPr>
            <w:fldChar w:fldCharType="separate"/>
          </w:r>
          <w:r w:rsidR="00184B1E">
            <w:rPr>
              <w:noProof/>
            </w:rPr>
            <w:t>Abbreviations</w:t>
          </w:r>
          <w:r>
            <w:rPr>
              <w:noProof/>
            </w:rPr>
            <w:fldChar w:fldCharType="end"/>
          </w:r>
        </w:p>
      </w:tc>
      <w:tc>
        <w:tcPr>
          <w:tcW w:w="6634" w:type="dxa"/>
        </w:tcPr>
        <w:p w:rsidR="00CF1902" w:rsidRDefault="00CF1902">
          <w:pPr>
            <w:pStyle w:val="Footer"/>
            <w:rPr>
              <w:caps w:val="0"/>
            </w:rPr>
          </w:pPr>
        </w:p>
      </w:tc>
    </w:tr>
  </w:tbl>
  <w:p w:rsidR="00CF1902" w:rsidRDefault="00CF1902">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CF1902">
      <w:trPr>
        <w:trHeight w:hRule="exact" w:val="740"/>
      </w:trPr>
      <w:tc>
        <w:tcPr>
          <w:tcW w:w="6663" w:type="dxa"/>
        </w:tcPr>
        <w:p w:rsidR="00CF1902" w:rsidRDefault="00CF1902">
          <w:pPr>
            <w:pStyle w:val="Footer"/>
          </w:pPr>
        </w:p>
      </w:tc>
      <w:tc>
        <w:tcPr>
          <w:tcW w:w="1615" w:type="dxa"/>
          <w:tcBorders>
            <w:top w:val="single" w:sz="6" w:space="0" w:color="auto"/>
          </w:tcBorders>
        </w:tcPr>
        <w:p w:rsidR="00CF1902" w:rsidRDefault="00234305">
          <w:pPr>
            <w:pStyle w:val="Footer"/>
            <w:rPr>
              <w:rStyle w:val="PageNumber"/>
              <w:b w:val="0"/>
            </w:rPr>
          </w:pPr>
          <w:fldSimple w:instr=" STYLEREF &quot;Heading 1&quot; \* MERGEFORMAT ">
            <w:r w:rsidR="00184B1E">
              <w:rPr>
                <w:noProof/>
              </w:rPr>
              <w:t>Abbreviations</w:t>
            </w:r>
          </w:fldSimple>
        </w:p>
      </w:tc>
      <w:tc>
        <w:tcPr>
          <w:tcW w:w="510" w:type="dxa"/>
          <w:tcBorders>
            <w:top w:val="single" w:sz="6" w:space="0" w:color="auto"/>
          </w:tcBorders>
        </w:tcPr>
        <w:p w:rsidR="00CF1902" w:rsidRPr="00E15FDC" w:rsidRDefault="00CF1902">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184B1E">
            <w:rPr>
              <w:rStyle w:val="PageNumber"/>
              <w:caps w:val="0"/>
              <w:noProof/>
            </w:rPr>
            <w:t>xi</w:t>
          </w:r>
          <w:r w:rsidRPr="00E15FDC">
            <w:rPr>
              <w:rStyle w:val="PageNumber"/>
              <w:caps w:val="0"/>
              <w:noProof/>
            </w:rPr>
            <w:fldChar w:fldCharType="end"/>
          </w:r>
        </w:p>
      </w:tc>
    </w:tr>
  </w:tbl>
  <w:p w:rsidR="00CF1902" w:rsidRDefault="00CF190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1902" w:rsidRDefault="00CF1902">
      <w:r>
        <w:separator/>
      </w:r>
    </w:p>
    <w:p w:rsidR="00CF1902" w:rsidRDefault="00CF1902"/>
    <w:p w:rsidR="00CF1902" w:rsidRDefault="00CF1902"/>
  </w:footnote>
  <w:footnote w:type="continuationSeparator" w:id="0">
    <w:p w:rsidR="00CF1902" w:rsidRDefault="00CF1902">
      <w:r>
        <w:continuationSeparator/>
      </w:r>
    </w:p>
    <w:p w:rsidR="00CF1902" w:rsidRDefault="00CF1902"/>
    <w:p w:rsidR="00CF1902" w:rsidRDefault="00CF190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CF1902">
      <w:tc>
        <w:tcPr>
          <w:tcW w:w="2155" w:type="dxa"/>
          <w:tcBorders>
            <w:top w:val="single" w:sz="24" w:space="0" w:color="auto"/>
          </w:tcBorders>
        </w:tcPr>
        <w:p w:rsidR="00CF1902" w:rsidRDefault="00CF1902">
          <w:pPr>
            <w:pStyle w:val="HeaderEven"/>
          </w:pPr>
        </w:p>
      </w:tc>
      <w:tc>
        <w:tcPr>
          <w:tcW w:w="6634" w:type="dxa"/>
          <w:tcBorders>
            <w:top w:val="single" w:sz="6" w:space="0" w:color="auto"/>
          </w:tcBorders>
        </w:tcPr>
        <w:p w:rsidR="00CF1902" w:rsidRDefault="00CF1902">
          <w:pPr>
            <w:pStyle w:val="HeaderEven"/>
          </w:pPr>
        </w:p>
      </w:tc>
    </w:tr>
  </w:tbl>
  <w:p w:rsidR="00CF1902" w:rsidRDefault="00CF1902">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CF1902">
      <w:tc>
        <w:tcPr>
          <w:tcW w:w="6634" w:type="dxa"/>
          <w:tcBorders>
            <w:top w:val="single" w:sz="6" w:space="0" w:color="auto"/>
          </w:tcBorders>
        </w:tcPr>
        <w:p w:rsidR="00CF1902" w:rsidRDefault="00CF1902">
          <w:pPr>
            <w:pStyle w:val="HeaderOdd"/>
          </w:pPr>
        </w:p>
      </w:tc>
      <w:tc>
        <w:tcPr>
          <w:tcW w:w="2155" w:type="dxa"/>
          <w:tcBorders>
            <w:top w:val="single" w:sz="24" w:space="0" w:color="auto"/>
          </w:tcBorders>
        </w:tcPr>
        <w:p w:rsidR="00CF1902" w:rsidRDefault="00CF1902">
          <w:pPr>
            <w:pStyle w:val="HeaderOdd"/>
          </w:pPr>
        </w:p>
      </w:tc>
    </w:tr>
  </w:tbl>
  <w:p w:rsidR="00CF1902" w:rsidRDefault="00CF190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CF1902">
      <w:tc>
        <w:tcPr>
          <w:tcW w:w="2155" w:type="dxa"/>
          <w:tcBorders>
            <w:top w:val="single" w:sz="24" w:space="0" w:color="auto"/>
          </w:tcBorders>
        </w:tcPr>
        <w:p w:rsidR="00CF1902" w:rsidRDefault="00CF1902">
          <w:pPr>
            <w:pStyle w:val="Header"/>
          </w:pPr>
        </w:p>
      </w:tc>
      <w:tc>
        <w:tcPr>
          <w:tcW w:w="6634" w:type="dxa"/>
          <w:tcBorders>
            <w:top w:val="single" w:sz="6" w:space="0" w:color="auto"/>
          </w:tcBorders>
        </w:tcPr>
        <w:p w:rsidR="00CF1902" w:rsidRDefault="00CF1902">
          <w:pPr>
            <w:pStyle w:val="Header"/>
          </w:pPr>
        </w:p>
      </w:tc>
    </w:tr>
  </w:tbl>
  <w:p w:rsidR="00CF1902" w:rsidRDefault="00CF1902">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CF1902" w:rsidTr="005C68FE">
      <w:tc>
        <w:tcPr>
          <w:tcW w:w="6634" w:type="dxa"/>
          <w:tcBorders>
            <w:top w:val="single" w:sz="6" w:space="0" w:color="auto"/>
          </w:tcBorders>
        </w:tcPr>
        <w:p w:rsidR="00CF1902" w:rsidRDefault="00CF1902" w:rsidP="005C68FE">
          <w:pPr>
            <w:pStyle w:val="HeaderOdd"/>
          </w:pPr>
        </w:p>
      </w:tc>
      <w:tc>
        <w:tcPr>
          <w:tcW w:w="2155" w:type="dxa"/>
          <w:tcBorders>
            <w:top w:val="single" w:sz="24" w:space="0" w:color="auto"/>
          </w:tcBorders>
        </w:tcPr>
        <w:p w:rsidR="00CF1902" w:rsidRDefault="00CF1902" w:rsidP="005C68FE">
          <w:pPr>
            <w:pStyle w:val="HeaderOdd"/>
          </w:pPr>
        </w:p>
      </w:tc>
    </w:tr>
  </w:tbl>
  <w:p w:rsidR="00CF1902" w:rsidRPr="005C68FE" w:rsidRDefault="00CF1902"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CF1902" w:rsidTr="005C68FE">
      <w:tc>
        <w:tcPr>
          <w:tcW w:w="2155" w:type="dxa"/>
          <w:tcBorders>
            <w:top w:val="single" w:sz="24" w:space="0" w:color="auto"/>
          </w:tcBorders>
        </w:tcPr>
        <w:p w:rsidR="00CF1902" w:rsidRDefault="00CF1902" w:rsidP="005C68FE">
          <w:pPr>
            <w:pStyle w:val="HeaderEven"/>
          </w:pPr>
        </w:p>
      </w:tc>
      <w:tc>
        <w:tcPr>
          <w:tcW w:w="6634" w:type="dxa"/>
          <w:tcBorders>
            <w:top w:val="single" w:sz="6" w:space="0" w:color="auto"/>
          </w:tcBorders>
        </w:tcPr>
        <w:p w:rsidR="00CF1902" w:rsidRDefault="00CF1902" w:rsidP="005C68FE">
          <w:pPr>
            <w:pStyle w:val="HeaderEven"/>
          </w:pPr>
        </w:p>
      </w:tc>
    </w:tr>
  </w:tbl>
  <w:p w:rsidR="00CF1902" w:rsidRDefault="00CF1902" w:rsidP="00D732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CF1902">
      <w:tc>
        <w:tcPr>
          <w:tcW w:w="6634" w:type="dxa"/>
          <w:tcBorders>
            <w:top w:val="single" w:sz="6" w:space="0" w:color="auto"/>
          </w:tcBorders>
        </w:tcPr>
        <w:p w:rsidR="00CF1902" w:rsidRDefault="00CF1902">
          <w:pPr>
            <w:pStyle w:val="HeaderOdd"/>
          </w:pPr>
        </w:p>
      </w:tc>
      <w:tc>
        <w:tcPr>
          <w:tcW w:w="2155" w:type="dxa"/>
          <w:tcBorders>
            <w:top w:val="single" w:sz="24" w:space="0" w:color="auto"/>
          </w:tcBorders>
        </w:tcPr>
        <w:p w:rsidR="00CF1902" w:rsidRDefault="00CF1902">
          <w:pPr>
            <w:pStyle w:val="HeaderOdd"/>
          </w:pPr>
        </w:p>
      </w:tc>
    </w:tr>
  </w:tbl>
  <w:p w:rsidR="00CF1902" w:rsidRDefault="00CF190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6">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7">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8">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9">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0">
    <w:nsid w:val="6B740744"/>
    <w:multiLevelType w:val="singleLevel"/>
    <w:tmpl w:val="B4744B66"/>
    <w:lvl w:ilvl="0">
      <w:start w:val="1"/>
      <w:numFmt w:val="decimal"/>
      <w:lvlText w:val="%1."/>
      <w:legacy w:legacy="1" w:legacySpace="0" w:legacyIndent="340"/>
      <w:lvlJc w:val="left"/>
      <w:pPr>
        <w:ind w:left="340" w:hanging="340"/>
      </w:pPr>
    </w:lvl>
  </w:abstractNum>
  <w:abstractNum w:abstractNumId="21">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2">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0"/>
  </w:num>
  <w:num w:numId="13">
    <w:abstractNumId w:val="15"/>
  </w:num>
  <w:num w:numId="14">
    <w:abstractNumId w:val="8"/>
  </w:num>
  <w:num w:numId="15">
    <w:abstractNumId w:val="21"/>
  </w:num>
  <w:num w:numId="16">
    <w:abstractNumId w:val="16"/>
  </w:num>
  <w:num w:numId="17">
    <w:abstractNumId w:val="7"/>
  </w:num>
  <w:num w:numId="18">
    <w:abstractNumId w:val="19"/>
  </w:num>
  <w:num w:numId="19">
    <w:abstractNumId w:val="18"/>
  </w:num>
  <w:num w:numId="20">
    <w:abstractNumId w:val="22"/>
  </w:num>
  <w:num w:numId="21">
    <w:abstractNumId w:val="13"/>
  </w:num>
  <w:num w:numId="22">
    <w:abstractNumId w:val="11"/>
  </w:num>
  <w:num w:numId="23">
    <w:abstractNumId w:val="17"/>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4C2"/>
    <w:rsid w:val="00012116"/>
    <w:rsid w:val="00017AFC"/>
    <w:rsid w:val="00025878"/>
    <w:rsid w:val="00026B38"/>
    <w:rsid w:val="000502D3"/>
    <w:rsid w:val="000623BF"/>
    <w:rsid w:val="000924D0"/>
    <w:rsid w:val="00095EEA"/>
    <w:rsid w:val="00097C15"/>
    <w:rsid w:val="000B416E"/>
    <w:rsid w:val="000F185F"/>
    <w:rsid w:val="000F2F5F"/>
    <w:rsid w:val="00106041"/>
    <w:rsid w:val="001101EF"/>
    <w:rsid w:val="0013399B"/>
    <w:rsid w:val="00177C63"/>
    <w:rsid w:val="00181F4B"/>
    <w:rsid w:val="001835FF"/>
    <w:rsid w:val="00184B1E"/>
    <w:rsid w:val="00196FB3"/>
    <w:rsid w:val="001A5071"/>
    <w:rsid w:val="001B4E73"/>
    <w:rsid w:val="001B5664"/>
    <w:rsid w:val="001B7F1E"/>
    <w:rsid w:val="001D0836"/>
    <w:rsid w:val="001D4B1F"/>
    <w:rsid w:val="001D6629"/>
    <w:rsid w:val="001F2270"/>
    <w:rsid w:val="001F72F5"/>
    <w:rsid w:val="00205A82"/>
    <w:rsid w:val="00211BEE"/>
    <w:rsid w:val="002179C6"/>
    <w:rsid w:val="00234305"/>
    <w:rsid w:val="00242F05"/>
    <w:rsid w:val="00261607"/>
    <w:rsid w:val="00264D3B"/>
    <w:rsid w:val="00265685"/>
    <w:rsid w:val="00281D5F"/>
    <w:rsid w:val="002923AD"/>
    <w:rsid w:val="00296592"/>
    <w:rsid w:val="002A0A4B"/>
    <w:rsid w:val="002A6DDD"/>
    <w:rsid w:val="002B636E"/>
    <w:rsid w:val="002B64D6"/>
    <w:rsid w:val="002C12F5"/>
    <w:rsid w:val="002D6FCE"/>
    <w:rsid w:val="00330D59"/>
    <w:rsid w:val="00345455"/>
    <w:rsid w:val="003B41E0"/>
    <w:rsid w:val="003D624D"/>
    <w:rsid w:val="003E7802"/>
    <w:rsid w:val="003F5BF9"/>
    <w:rsid w:val="00412008"/>
    <w:rsid w:val="00433C81"/>
    <w:rsid w:val="00446D6B"/>
    <w:rsid w:val="00457B3F"/>
    <w:rsid w:val="00463022"/>
    <w:rsid w:val="00481CF0"/>
    <w:rsid w:val="004B492A"/>
    <w:rsid w:val="004C0B0C"/>
    <w:rsid w:val="004E52E2"/>
    <w:rsid w:val="004E6BB4"/>
    <w:rsid w:val="0050465D"/>
    <w:rsid w:val="00515D43"/>
    <w:rsid w:val="0052544D"/>
    <w:rsid w:val="00551FB8"/>
    <w:rsid w:val="00560F43"/>
    <w:rsid w:val="005654D0"/>
    <w:rsid w:val="005805B6"/>
    <w:rsid w:val="005B17AB"/>
    <w:rsid w:val="005C68FE"/>
    <w:rsid w:val="00602523"/>
    <w:rsid w:val="00604351"/>
    <w:rsid w:val="00607D8A"/>
    <w:rsid w:val="0061590F"/>
    <w:rsid w:val="00636497"/>
    <w:rsid w:val="00641AE2"/>
    <w:rsid w:val="0064456A"/>
    <w:rsid w:val="00650DDA"/>
    <w:rsid w:val="0065126A"/>
    <w:rsid w:val="00663996"/>
    <w:rsid w:val="006802D4"/>
    <w:rsid w:val="00683849"/>
    <w:rsid w:val="00691AB5"/>
    <w:rsid w:val="006E1E6B"/>
    <w:rsid w:val="006F0EAC"/>
    <w:rsid w:val="006F6A85"/>
    <w:rsid w:val="0070328D"/>
    <w:rsid w:val="00731F96"/>
    <w:rsid w:val="00734127"/>
    <w:rsid w:val="00735FEA"/>
    <w:rsid w:val="00743460"/>
    <w:rsid w:val="00743A27"/>
    <w:rsid w:val="00753DC6"/>
    <w:rsid w:val="0075578C"/>
    <w:rsid w:val="007579BC"/>
    <w:rsid w:val="00771E51"/>
    <w:rsid w:val="007734B5"/>
    <w:rsid w:val="007809B8"/>
    <w:rsid w:val="007D691A"/>
    <w:rsid w:val="007E6A9E"/>
    <w:rsid w:val="008206EE"/>
    <w:rsid w:val="008214B1"/>
    <w:rsid w:val="00836ED7"/>
    <w:rsid w:val="008453AC"/>
    <w:rsid w:val="00860D09"/>
    <w:rsid w:val="00862044"/>
    <w:rsid w:val="008C305F"/>
    <w:rsid w:val="008C3AD2"/>
    <w:rsid w:val="008C7C3D"/>
    <w:rsid w:val="008D6F66"/>
    <w:rsid w:val="008E1BEA"/>
    <w:rsid w:val="008E43D2"/>
    <w:rsid w:val="008F04C9"/>
    <w:rsid w:val="008F7DB7"/>
    <w:rsid w:val="009064D3"/>
    <w:rsid w:val="00915300"/>
    <w:rsid w:val="00933B0C"/>
    <w:rsid w:val="00935676"/>
    <w:rsid w:val="0098401D"/>
    <w:rsid w:val="009A789F"/>
    <w:rsid w:val="009B12EF"/>
    <w:rsid w:val="009B6185"/>
    <w:rsid w:val="009E1E78"/>
    <w:rsid w:val="00A1597D"/>
    <w:rsid w:val="00A46989"/>
    <w:rsid w:val="00A71CE9"/>
    <w:rsid w:val="00A72A19"/>
    <w:rsid w:val="00A75A30"/>
    <w:rsid w:val="00AB2A48"/>
    <w:rsid w:val="00AC3236"/>
    <w:rsid w:val="00AD4874"/>
    <w:rsid w:val="00AE1F8A"/>
    <w:rsid w:val="00B036B2"/>
    <w:rsid w:val="00B153C3"/>
    <w:rsid w:val="00B22087"/>
    <w:rsid w:val="00B722F2"/>
    <w:rsid w:val="00B95339"/>
    <w:rsid w:val="00BB334E"/>
    <w:rsid w:val="00BB5DCF"/>
    <w:rsid w:val="00BF59EA"/>
    <w:rsid w:val="00BF79CD"/>
    <w:rsid w:val="00C0721B"/>
    <w:rsid w:val="00C34C8C"/>
    <w:rsid w:val="00C50792"/>
    <w:rsid w:val="00C55A45"/>
    <w:rsid w:val="00C904D9"/>
    <w:rsid w:val="00C94C06"/>
    <w:rsid w:val="00CA48BF"/>
    <w:rsid w:val="00CB3ACC"/>
    <w:rsid w:val="00CB4745"/>
    <w:rsid w:val="00CD2163"/>
    <w:rsid w:val="00CD4FE7"/>
    <w:rsid w:val="00CD7BAB"/>
    <w:rsid w:val="00CE5D96"/>
    <w:rsid w:val="00CE7344"/>
    <w:rsid w:val="00CF1902"/>
    <w:rsid w:val="00CF26EE"/>
    <w:rsid w:val="00D064C2"/>
    <w:rsid w:val="00D20FC9"/>
    <w:rsid w:val="00D310F0"/>
    <w:rsid w:val="00D500A9"/>
    <w:rsid w:val="00D64121"/>
    <w:rsid w:val="00D732FE"/>
    <w:rsid w:val="00D772E9"/>
    <w:rsid w:val="00D879C0"/>
    <w:rsid w:val="00DA31AB"/>
    <w:rsid w:val="00DA3281"/>
    <w:rsid w:val="00DA6D3E"/>
    <w:rsid w:val="00DB6233"/>
    <w:rsid w:val="00DC02E8"/>
    <w:rsid w:val="00DC75C7"/>
    <w:rsid w:val="00DC78D3"/>
    <w:rsid w:val="00DF4592"/>
    <w:rsid w:val="00E15FDC"/>
    <w:rsid w:val="00E204CC"/>
    <w:rsid w:val="00E2651B"/>
    <w:rsid w:val="00E5440F"/>
    <w:rsid w:val="00E6632E"/>
    <w:rsid w:val="00E90CF2"/>
    <w:rsid w:val="00ED0F61"/>
    <w:rsid w:val="00EE73E1"/>
    <w:rsid w:val="00F12107"/>
    <w:rsid w:val="00F13165"/>
    <w:rsid w:val="00F6612F"/>
    <w:rsid w:val="00F7477E"/>
    <w:rsid w:val="00F85393"/>
    <w:rsid w:val="00FA4A24"/>
    <w:rsid w:val="00FC41B4"/>
    <w:rsid w:val="00FC5A6B"/>
    <w:rsid w:val="00FD1DA2"/>
    <w:rsid w:val="00FD472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List Bullet"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F13165"/>
    <w:pPr>
      <w:spacing w:before="240" w:line="320" w:lineRule="exac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qFormat/>
    <w:rsid w:val="005654D0"/>
    <w:pPr>
      <w:numPr>
        <w:numId w:val="16"/>
      </w:numPr>
      <w:tabs>
        <w:tab w:val="clear" w:pos="360"/>
        <w:tab w:val="left" w:pos="340"/>
      </w:tabs>
      <w:spacing w:before="120"/>
    </w:pPr>
  </w:style>
  <w:style w:type="paragraph" w:styleId="ListBullet2">
    <w:name w:val="List Bullet 2"/>
    <w:basedOn w:val="BodyText"/>
    <w:rsid w:val="005654D0"/>
    <w:pPr>
      <w:numPr>
        <w:numId w:val="17"/>
      </w:numPr>
      <w:tabs>
        <w:tab w:val="clear" w:pos="644"/>
        <w:tab w:val="left" w:pos="680"/>
      </w:tabs>
      <w:spacing w:before="120"/>
      <w:ind w:left="680" w:hanging="340"/>
    </w:pPr>
  </w:style>
  <w:style w:type="paragraph" w:styleId="ListBullet3">
    <w:name w:val="List Bullet 3"/>
    <w:basedOn w:val="BodyText"/>
    <w:rsid w:val="005654D0"/>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line="320" w:lineRule="atLeast"/>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0F2F5F"/>
    <w:pPr>
      <w:numPr>
        <w:ilvl w:val="2"/>
      </w:numPr>
      <w:tabs>
        <w:tab w:val="clear" w:pos="794"/>
      </w:tabs>
      <w:ind w:left="1248" w:hanging="454"/>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7809B8"/>
    <w:rPr>
      <w:sz w:val="26"/>
      <w:lang w:val="en-AU" w:eastAsia="en-US" w:bidi="ar-SA"/>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character" w:customStyle="1" w:styleId="FooterChar">
    <w:name w:val="Footer Char"/>
    <w:basedOn w:val="DefaultParagraphFont"/>
    <w:link w:val="Footer"/>
    <w:rsid w:val="00D064C2"/>
    <w:rPr>
      <w:caps/>
      <w:spacing w:val="-4"/>
      <w:sz w:val="16"/>
      <w:lang w:eastAsia="en-US"/>
    </w:rPr>
  </w:style>
  <w:style w:type="character" w:customStyle="1" w:styleId="Heading1Char">
    <w:name w:val="Heading 1 Char"/>
    <w:basedOn w:val="DefaultParagraphFont"/>
    <w:link w:val="Heading1"/>
    <w:rsid w:val="00D064C2"/>
    <w:rPr>
      <w:kern w:val="28"/>
      <w:sz w:val="52"/>
      <w:lang w:eastAsia="en-US"/>
    </w:rPr>
  </w:style>
  <w:style w:type="paragraph" w:styleId="CommentSubject">
    <w:name w:val="annotation subject"/>
    <w:basedOn w:val="CommentText"/>
    <w:next w:val="CommentText"/>
    <w:link w:val="CommentSubjectChar"/>
    <w:rsid w:val="001835FF"/>
    <w:pPr>
      <w:spacing w:before="0" w:line="240" w:lineRule="auto"/>
      <w:ind w:left="0" w:firstLine="0"/>
    </w:pPr>
    <w:rPr>
      <w:b/>
      <w:bCs/>
    </w:rPr>
  </w:style>
  <w:style w:type="character" w:customStyle="1" w:styleId="CommentTextChar">
    <w:name w:val="Comment Text Char"/>
    <w:basedOn w:val="DefaultParagraphFont"/>
    <w:link w:val="CommentText"/>
    <w:semiHidden/>
    <w:rsid w:val="001835FF"/>
    <w:rPr>
      <w:lang w:eastAsia="en-US"/>
    </w:rPr>
  </w:style>
  <w:style w:type="character" w:customStyle="1" w:styleId="CommentSubjectChar">
    <w:name w:val="Comment Subject Char"/>
    <w:basedOn w:val="CommentTextChar"/>
    <w:link w:val="CommentSubject"/>
    <w:rsid w:val="001835FF"/>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List Bullet"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F13165"/>
    <w:pPr>
      <w:spacing w:before="240" w:line="320" w:lineRule="exac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qFormat/>
    <w:rsid w:val="005654D0"/>
    <w:pPr>
      <w:numPr>
        <w:numId w:val="16"/>
      </w:numPr>
      <w:tabs>
        <w:tab w:val="clear" w:pos="360"/>
        <w:tab w:val="left" w:pos="340"/>
      </w:tabs>
      <w:spacing w:before="120"/>
    </w:pPr>
  </w:style>
  <w:style w:type="paragraph" w:styleId="ListBullet2">
    <w:name w:val="List Bullet 2"/>
    <w:basedOn w:val="BodyText"/>
    <w:rsid w:val="005654D0"/>
    <w:pPr>
      <w:numPr>
        <w:numId w:val="17"/>
      </w:numPr>
      <w:tabs>
        <w:tab w:val="clear" w:pos="644"/>
        <w:tab w:val="left" w:pos="680"/>
      </w:tabs>
      <w:spacing w:before="120"/>
      <w:ind w:left="680" w:hanging="340"/>
    </w:pPr>
  </w:style>
  <w:style w:type="paragraph" w:styleId="ListBullet3">
    <w:name w:val="List Bullet 3"/>
    <w:basedOn w:val="BodyText"/>
    <w:rsid w:val="005654D0"/>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line="320" w:lineRule="atLeast"/>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0F2F5F"/>
    <w:pPr>
      <w:numPr>
        <w:ilvl w:val="2"/>
      </w:numPr>
      <w:tabs>
        <w:tab w:val="clear" w:pos="794"/>
      </w:tabs>
      <w:ind w:left="1248" w:hanging="454"/>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7809B8"/>
    <w:rPr>
      <w:sz w:val="26"/>
      <w:lang w:val="en-AU" w:eastAsia="en-US" w:bidi="ar-SA"/>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character" w:customStyle="1" w:styleId="FooterChar">
    <w:name w:val="Footer Char"/>
    <w:basedOn w:val="DefaultParagraphFont"/>
    <w:link w:val="Footer"/>
    <w:rsid w:val="00D064C2"/>
    <w:rPr>
      <w:caps/>
      <w:spacing w:val="-4"/>
      <w:sz w:val="16"/>
      <w:lang w:eastAsia="en-US"/>
    </w:rPr>
  </w:style>
  <w:style w:type="character" w:customStyle="1" w:styleId="Heading1Char">
    <w:name w:val="Heading 1 Char"/>
    <w:basedOn w:val="DefaultParagraphFont"/>
    <w:link w:val="Heading1"/>
    <w:rsid w:val="00D064C2"/>
    <w:rPr>
      <w:kern w:val="28"/>
      <w:sz w:val="52"/>
      <w:lang w:eastAsia="en-US"/>
    </w:rPr>
  </w:style>
  <w:style w:type="paragraph" w:styleId="CommentSubject">
    <w:name w:val="annotation subject"/>
    <w:basedOn w:val="CommentText"/>
    <w:next w:val="CommentText"/>
    <w:link w:val="CommentSubjectChar"/>
    <w:rsid w:val="001835FF"/>
    <w:pPr>
      <w:spacing w:before="0" w:line="240" w:lineRule="auto"/>
      <w:ind w:left="0" w:firstLine="0"/>
    </w:pPr>
    <w:rPr>
      <w:b/>
      <w:bCs/>
    </w:rPr>
  </w:style>
  <w:style w:type="character" w:customStyle="1" w:styleId="CommentTextChar">
    <w:name w:val="Comment Text Char"/>
    <w:basedOn w:val="DefaultParagraphFont"/>
    <w:link w:val="CommentText"/>
    <w:semiHidden/>
    <w:rsid w:val="001835FF"/>
    <w:rPr>
      <w:lang w:eastAsia="en-US"/>
    </w:rPr>
  </w:style>
  <w:style w:type="character" w:customStyle="1" w:styleId="CommentSubjectChar">
    <w:name w:val="Comment Subject Char"/>
    <w:basedOn w:val="CommentTextChar"/>
    <w:link w:val="CommentSubject"/>
    <w:rsid w:val="001835FF"/>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18" Type="http://schemas.openxmlformats.org/officeDocument/2006/relationships/header" Target="header5.xml"/><Relationship Id="rId3" Type="http://schemas.microsoft.com/office/2007/relationships/stylesWithEffects" Target="stylesWithEffect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prelims.dotm</Template>
  <TotalTime>2</TotalTime>
  <Pages>12</Pages>
  <Words>1763</Words>
  <Characters>10131</Characters>
  <Application>Microsoft Office Word</Application>
  <DocSecurity>4</DocSecurity>
  <Lines>84</Lines>
  <Paragraphs>23</Paragraphs>
  <ScaleCrop>false</ScaleCrop>
  <HeadingPairs>
    <vt:vector size="2" baseType="variant">
      <vt:variant>
        <vt:lpstr>Title</vt:lpstr>
      </vt:variant>
      <vt:variant>
        <vt:i4>1</vt:i4>
      </vt:variant>
    </vt:vector>
  </HeadingPairs>
  <TitlesOfParts>
    <vt:vector size="1" baseType="lpstr">
      <vt:lpstr>* Commonwealth of Australia 2010</vt:lpstr>
    </vt:vector>
  </TitlesOfParts>
  <Company>Productivity Commission</Company>
  <LinksUpToDate>false</LinksUpToDate>
  <CharactersWithSpaces>11871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Commonwealth of Australia 2010</dc:title>
  <dc:creator>Productivity Commission</dc:creator>
  <cp:lastModifiedBy>Productivity Commission</cp:lastModifiedBy>
  <cp:revision>2</cp:revision>
  <cp:lastPrinted>2012-10-04T02:44:00Z</cp:lastPrinted>
  <dcterms:created xsi:type="dcterms:W3CDTF">2012-10-17T21:57:00Z</dcterms:created>
  <dcterms:modified xsi:type="dcterms:W3CDTF">2012-10-17T21:57:00Z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-1338660053</vt:i4>
  </property>
  <property fmtid="{D5CDD505-2E9C-101B-9397-08002B2CF9AE}" pid="3" name="_NewReviewCycle">
    <vt:lpwstr/>
  </property>
  <property fmtid="{D5CDD505-2E9C-101B-9397-08002B2CF9AE}" pid="4" name="_EmailSubject">
    <vt:lpwstr>web files - default super - final report</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