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231" w:rsidRDefault="00A56D8C" w:rsidP="004A189E">
      <w:pPr>
        <w:pStyle w:val="Chapter"/>
        <w:ind w:left="907" w:hanging="907"/>
      </w:pPr>
      <w:bookmarkStart w:id="0" w:name="ChapterNumber"/>
      <w:r>
        <w:t>2</w:t>
      </w:r>
      <w:bookmarkEnd w:id="0"/>
      <w:r>
        <w:tab/>
      </w:r>
      <w:bookmarkStart w:id="1" w:name="ChapterTitle"/>
      <w:r>
        <w:t>Default superannuation funds in modern awards</w:t>
      </w:r>
      <w:bookmarkStart w:id="2" w:name="begin"/>
      <w:bookmarkEnd w:id="1"/>
      <w:bookmarkEnd w:id="2"/>
    </w:p>
    <w:p w:rsidR="00830217" w:rsidRPr="00830217" w:rsidRDefault="00830217" w:rsidP="00830217">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A00231" w:rsidTr="00E44610">
        <w:tc>
          <w:tcPr>
            <w:tcW w:w="8789" w:type="dxa"/>
            <w:tcBorders>
              <w:bottom w:val="nil"/>
            </w:tcBorders>
          </w:tcPr>
          <w:p w:rsidR="00A00231" w:rsidRDefault="00A00231" w:rsidP="00E44610">
            <w:pPr>
              <w:pStyle w:val="BoxTitle"/>
            </w:pPr>
            <w:r>
              <w:t>Key points</w:t>
            </w:r>
          </w:p>
        </w:tc>
      </w:tr>
      <w:tr w:rsidR="00A00231" w:rsidTr="00E44610">
        <w:tc>
          <w:tcPr>
            <w:tcW w:w="8789" w:type="dxa"/>
            <w:tcBorders>
              <w:top w:val="nil"/>
              <w:left w:val="single" w:sz="4" w:space="0" w:color="auto"/>
              <w:bottom w:val="nil"/>
              <w:right w:val="single" w:sz="4" w:space="0" w:color="auto"/>
            </w:tcBorders>
          </w:tcPr>
          <w:p w:rsidR="00A00231" w:rsidRDefault="00A00231" w:rsidP="00E44610">
            <w:pPr>
              <w:pStyle w:val="BoxListBullet"/>
            </w:pPr>
            <w:r>
              <w:t>Australia’s superannuation system managed $1.</w:t>
            </w:r>
            <w:r w:rsidR="003235D8">
              <w:t>4</w:t>
            </w:r>
            <w:r w:rsidR="0016346E">
              <w:t> </w:t>
            </w:r>
            <w:r>
              <w:t xml:space="preserve">trillion in assets </w:t>
            </w:r>
            <w:r w:rsidR="003235D8">
              <w:t>in June 2012</w:t>
            </w:r>
            <w:r>
              <w:t xml:space="preserve"> </w:t>
            </w:r>
            <w:r w:rsidRPr="00F01586">
              <w:t xml:space="preserve">(which is </w:t>
            </w:r>
            <w:r w:rsidR="00BE4861">
              <w:t>approximately equivalent to</w:t>
            </w:r>
            <w:r w:rsidR="00BE4861" w:rsidRPr="00F01586">
              <w:t xml:space="preserve"> </w:t>
            </w:r>
            <w:r w:rsidRPr="00F01586">
              <w:t>Australia’s GDP</w:t>
            </w:r>
            <w:r w:rsidR="008A2EA5">
              <w:t xml:space="preserve"> in 2011</w:t>
            </w:r>
            <w:r w:rsidR="00727CD3">
              <w:rPr>
                <w:rFonts w:cs="Arial"/>
                <w:szCs w:val="22"/>
              </w:rPr>
              <w:noBreakHyphen/>
            </w:r>
            <w:r w:rsidR="008A2EA5">
              <w:t>12</w:t>
            </w:r>
            <w:r w:rsidRPr="00F01586">
              <w:t>).</w:t>
            </w:r>
            <w:r>
              <w:t xml:space="preserve"> </w:t>
            </w:r>
            <w:r w:rsidR="00BE4861">
              <w:t xml:space="preserve">The total </w:t>
            </w:r>
            <w:r w:rsidR="00727CD3">
              <w:t>pool</w:t>
            </w:r>
            <w:r w:rsidR="00BE4861">
              <w:t xml:space="preserve"> of assets is predicted to grow to</w:t>
            </w:r>
            <w:r w:rsidR="00A61787">
              <w:t xml:space="preserve"> 150</w:t>
            </w:r>
            <w:r w:rsidR="00315EF1">
              <w:t> per </w:t>
            </w:r>
            <w:r w:rsidR="00A61787">
              <w:t xml:space="preserve">cent of Australia’s GDP by </w:t>
            </w:r>
            <w:r w:rsidR="002D2B9E">
              <w:t xml:space="preserve">around </w:t>
            </w:r>
            <w:r w:rsidR="004E2370">
              <w:t>2040</w:t>
            </w:r>
            <w:r w:rsidR="00A61787">
              <w:t>.</w:t>
            </w:r>
          </w:p>
          <w:p w:rsidR="00A00231" w:rsidRDefault="00AF082A" w:rsidP="0039180A">
            <w:pPr>
              <w:pStyle w:val="BoxListBullet"/>
            </w:pPr>
            <w:r>
              <w:t>Between 1996 and 2012</w:t>
            </w:r>
            <w:r w:rsidR="00A00231">
              <w:t xml:space="preserve">, the number of superannuation funds </w:t>
            </w:r>
            <w:r w:rsidR="00627FD1">
              <w:t xml:space="preserve">regulated by the Australian Prudential Regulation Authority (APRA) </w:t>
            </w:r>
            <w:r>
              <w:t>decreased from 4747 to 352</w:t>
            </w:r>
            <w:r w:rsidR="00A00231">
              <w:t xml:space="preserve">. Significant fund consolidation is expected to </w:t>
            </w:r>
            <w:r w:rsidR="004E2370">
              <w:t>continue</w:t>
            </w:r>
            <w:r w:rsidR="00A00231">
              <w:t>, but the rate at which this will take place is uncertain</w:t>
            </w:r>
            <w:r w:rsidR="00553E79">
              <w:t>.</w:t>
            </w:r>
            <w:r w:rsidR="00FA1255">
              <w:t xml:space="preserve"> </w:t>
            </w:r>
            <w:r w:rsidR="00553E79">
              <w:t>Between 2000 and 2009, t</w:t>
            </w:r>
            <w:r w:rsidR="005239A4">
              <w:t xml:space="preserve">he number of </w:t>
            </w:r>
            <w:r w:rsidR="008050F6">
              <w:t>self-</w:t>
            </w:r>
            <w:r w:rsidR="008050F6" w:rsidRPr="00553E79">
              <w:t>managed</w:t>
            </w:r>
            <w:r w:rsidR="004E2370" w:rsidRPr="00553E79">
              <w:t xml:space="preserve"> funds </w:t>
            </w:r>
            <w:r w:rsidR="00A35FB8">
              <w:t>doubled</w:t>
            </w:r>
            <w:r w:rsidR="00B31693">
              <w:t xml:space="preserve"> to over 400 000</w:t>
            </w:r>
            <w:r w:rsidR="00DF3E0E">
              <w:t>,</w:t>
            </w:r>
            <w:r w:rsidR="004E2370" w:rsidRPr="00553E79">
              <w:t xml:space="preserve"> and</w:t>
            </w:r>
            <w:r w:rsidR="00DF3E0E">
              <w:t xml:space="preserve"> the</w:t>
            </w:r>
            <w:r w:rsidR="00B7612C">
              <w:t>se funds</w:t>
            </w:r>
            <w:r w:rsidR="00DF3E0E">
              <w:t xml:space="preserve"> </w:t>
            </w:r>
            <w:r w:rsidR="004E2370" w:rsidRPr="00553E79">
              <w:t xml:space="preserve">now hold </w:t>
            </w:r>
            <w:r w:rsidR="002D2B9E" w:rsidRPr="00F026D1">
              <w:t>a</w:t>
            </w:r>
            <w:r w:rsidR="002D2B9E">
              <w:t>bout</w:t>
            </w:r>
            <w:r w:rsidR="002D2B9E" w:rsidRPr="00F026D1">
              <w:t xml:space="preserve"> </w:t>
            </w:r>
            <w:r w:rsidR="005D6295" w:rsidRPr="00F026D1">
              <w:t>30</w:t>
            </w:r>
            <w:r w:rsidR="00315EF1">
              <w:t> </w:t>
            </w:r>
            <w:r w:rsidR="005D6295" w:rsidRPr="00F026D1">
              <w:t>per</w:t>
            </w:r>
            <w:r w:rsidR="00315EF1">
              <w:t> </w:t>
            </w:r>
            <w:r w:rsidR="005D6295" w:rsidRPr="00F026D1">
              <w:t>cent</w:t>
            </w:r>
            <w:r w:rsidR="004E2370" w:rsidRPr="00553E79">
              <w:t xml:space="preserve"> of </w:t>
            </w:r>
            <w:r w:rsidR="00065612" w:rsidRPr="00553E79">
              <w:t>total superannuation assets.</w:t>
            </w:r>
          </w:p>
          <w:p w:rsidR="00026453" w:rsidRDefault="006919F8" w:rsidP="0048451B">
            <w:pPr>
              <w:pStyle w:val="BoxListBullet"/>
            </w:pPr>
            <w:r>
              <w:t xml:space="preserve">Employers’ obligations to make superannuation contributions evolved as part of the industrial relations system. </w:t>
            </w:r>
            <w:r w:rsidR="00113C4B">
              <w:t>In 1992, e</w:t>
            </w:r>
            <w:r w:rsidR="00296B68">
              <w:t>mployer contributions were</w:t>
            </w:r>
            <w:r w:rsidR="00026453">
              <w:t xml:space="preserve"> extended to almost all </w:t>
            </w:r>
            <w:r w:rsidR="00133827">
              <w:t xml:space="preserve">employees </w:t>
            </w:r>
            <w:r w:rsidR="00CE2A31">
              <w:t xml:space="preserve">by the </w:t>
            </w:r>
            <w:r w:rsidR="00980385">
              <w:t>s</w:t>
            </w:r>
            <w:r w:rsidR="00CE2A31">
              <w:t xml:space="preserve">uperannuation </w:t>
            </w:r>
            <w:r w:rsidR="00980385">
              <w:t>g</w:t>
            </w:r>
            <w:r w:rsidR="00A3799F">
              <w:t>uarantee</w:t>
            </w:r>
            <w:r w:rsidR="00685820">
              <w:t xml:space="preserve"> legislation</w:t>
            </w:r>
            <w:r w:rsidR="00A3799F">
              <w:t xml:space="preserve">. </w:t>
            </w:r>
            <w:r w:rsidR="00CE2A31">
              <w:t>W</w:t>
            </w:r>
            <w:r w:rsidR="00026453">
              <w:t xml:space="preserve">ithin this compulsory superannuation system, </w:t>
            </w:r>
            <w:r w:rsidR="007C5515">
              <w:t xml:space="preserve">since </w:t>
            </w:r>
            <w:r w:rsidR="00B7612C">
              <w:t>1</w:t>
            </w:r>
            <w:r w:rsidR="007C5515">
              <w:t> </w:t>
            </w:r>
            <w:r w:rsidR="00B7612C">
              <w:t xml:space="preserve">July 2005 </w:t>
            </w:r>
            <w:r w:rsidR="00026453">
              <w:t>m</w:t>
            </w:r>
            <w:r w:rsidR="00055055">
              <w:t>ost</w:t>
            </w:r>
            <w:r w:rsidR="00026453">
              <w:t xml:space="preserve"> </w:t>
            </w:r>
            <w:r w:rsidR="00133827">
              <w:t xml:space="preserve">employees </w:t>
            </w:r>
            <w:r w:rsidR="00CE2A31">
              <w:t>have had the right to</w:t>
            </w:r>
            <w:r w:rsidR="00026453">
              <w:t xml:space="preserve"> c</w:t>
            </w:r>
            <w:r w:rsidR="00CE2A31">
              <w:t xml:space="preserve">hoose </w:t>
            </w:r>
            <w:r w:rsidR="00DA1B58">
              <w:t>a</w:t>
            </w:r>
            <w:r w:rsidR="00CE2A31">
              <w:t xml:space="preserve"> superannuation fund.</w:t>
            </w:r>
          </w:p>
          <w:p w:rsidR="00A00231" w:rsidRPr="004A189E" w:rsidRDefault="00990AE1" w:rsidP="0085471F">
            <w:pPr>
              <w:pStyle w:val="BoxListBullet"/>
            </w:pPr>
            <w:r>
              <w:t>Of the 122 modern awards, 109 list one or more funds as d</w:t>
            </w:r>
            <w:r w:rsidR="0048451B" w:rsidRPr="004A189E">
              <w:t>efault superannuation funds</w:t>
            </w:r>
            <w:r>
              <w:t>.</w:t>
            </w:r>
            <w:r w:rsidR="00981B83">
              <w:t xml:space="preserve"> </w:t>
            </w:r>
            <w:r>
              <w:t>O</w:t>
            </w:r>
            <w:r w:rsidR="006919F8" w:rsidRPr="004A189E">
              <w:t xml:space="preserve">ne of the listed funds must be used for employees </w:t>
            </w:r>
            <w:r w:rsidR="00D458FE">
              <w:t xml:space="preserve">who derive their default superannuation fund in accordance with </w:t>
            </w:r>
            <w:r w:rsidR="00F65F52">
              <w:t>a</w:t>
            </w:r>
            <w:r w:rsidR="00D458FE">
              <w:t xml:space="preserve"> modern award </w:t>
            </w:r>
            <w:r w:rsidR="00901E01" w:rsidRPr="00ED7733">
              <w:t xml:space="preserve">(unless </w:t>
            </w:r>
            <w:r w:rsidR="004A189E" w:rsidRPr="004A189E">
              <w:t>‘</w:t>
            </w:r>
            <w:r w:rsidR="00901E01" w:rsidRPr="004A189E">
              <w:t>grandfathering</w:t>
            </w:r>
            <w:r w:rsidR="004A189E" w:rsidRPr="004A189E">
              <w:t>’</w:t>
            </w:r>
            <w:r w:rsidR="00901E01" w:rsidRPr="004A189E">
              <w:t xml:space="preserve"> applies or employee choice has been exercised)</w:t>
            </w:r>
            <w:r w:rsidR="00FD7E91" w:rsidRPr="004A189E">
              <w:t xml:space="preserve">. </w:t>
            </w:r>
            <w:r>
              <w:t>Relevant e</w:t>
            </w:r>
            <w:r w:rsidR="00901E01" w:rsidRPr="004A189E">
              <w:t xml:space="preserve">mployees </w:t>
            </w:r>
            <w:r>
              <w:t>include those who are</w:t>
            </w:r>
            <w:r w:rsidR="00566504">
              <w:t xml:space="preserve"> </w:t>
            </w:r>
            <w:r w:rsidR="007D46B4" w:rsidRPr="004A189E">
              <w:t>award-reliant, above-award</w:t>
            </w:r>
            <w:r w:rsidR="005728AC" w:rsidRPr="004A189E">
              <w:t xml:space="preserve"> employees, and employees covered by enterprise agreements that </w:t>
            </w:r>
            <w:r w:rsidR="00E667BF">
              <w:t>do not specify a default fund but refer to the award for superannuation purposes</w:t>
            </w:r>
            <w:r w:rsidR="005728AC" w:rsidRPr="004A189E">
              <w:t>.</w:t>
            </w:r>
          </w:p>
          <w:p w:rsidR="00A00231" w:rsidRPr="004A189E" w:rsidRDefault="00084F4A" w:rsidP="00993760">
            <w:pPr>
              <w:pStyle w:val="BoxListBullet"/>
            </w:pPr>
            <w:r w:rsidRPr="004A189E">
              <w:t xml:space="preserve">There are </w:t>
            </w:r>
            <w:r w:rsidR="00073ED7" w:rsidRPr="004A189E">
              <w:t>10</w:t>
            </w:r>
            <w:r w:rsidR="008C5F60">
              <w:t>4</w:t>
            </w:r>
            <w:r w:rsidR="00073ED7" w:rsidRPr="004A189E">
              <w:t xml:space="preserve"> </w:t>
            </w:r>
            <w:r w:rsidRPr="004A189E">
              <w:t>default fund</w:t>
            </w:r>
            <w:r w:rsidR="00073ED7">
              <w:t>s</w:t>
            </w:r>
            <w:r w:rsidR="008C5F60">
              <w:t xml:space="preserve"> listed in awards</w:t>
            </w:r>
            <w:r w:rsidR="00073ED7">
              <w:t>, but</w:t>
            </w:r>
            <w:r w:rsidR="006C2A6D">
              <w:t xml:space="preserve"> some have merged, changed their name, or closed since they were first listed. Others are </w:t>
            </w:r>
            <w:r w:rsidR="00C25095">
              <w:t>exempt public sector superannuation scheme</w:t>
            </w:r>
            <w:r w:rsidR="006C2A6D">
              <w:t xml:space="preserve">s or remain unable to be identified. </w:t>
            </w:r>
            <w:r w:rsidRPr="004A189E">
              <w:t xml:space="preserve">Of the </w:t>
            </w:r>
            <w:r w:rsidR="00C25095">
              <w:t xml:space="preserve">66 </w:t>
            </w:r>
            <w:r w:rsidRPr="004A189E">
              <w:t>remainin</w:t>
            </w:r>
            <w:r w:rsidR="009D3AB1" w:rsidRPr="004A189E">
              <w:t xml:space="preserve">g </w:t>
            </w:r>
            <w:r w:rsidR="000E3E79">
              <w:t xml:space="preserve"> </w:t>
            </w:r>
            <w:r w:rsidRPr="004A189E">
              <w:t xml:space="preserve">default funds, </w:t>
            </w:r>
            <w:r w:rsidR="009D3AB1" w:rsidRPr="004A189E">
              <w:t>46</w:t>
            </w:r>
            <w:r w:rsidR="00A00231" w:rsidRPr="004A189E">
              <w:t xml:space="preserve"> </w:t>
            </w:r>
            <w:r w:rsidR="004C14F4" w:rsidRPr="004A189E">
              <w:t>are</w:t>
            </w:r>
            <w:r w:rsidR="00A00231" w:rsidRPr="004A189E">
              <w:t xml:space="preserve"> class</w:t>
            </w:r>
            <w:r w:rsidR="00A61787" w:rsidRPr="004A189E">
              <w:t xml:space="preserve">ified by APRA as industry funds, </w:t>
            </w:r>
            <w:r w:rsidR="009D3AB1" w:rsidRPr="004A189E">
              <w:t>11</w:t>
            </w:r>
            <w:r w:rsidR="001D40DB" w:rsidRPr="004A189E">
              <w:t xml:space="preserve"> </w:t>
            </w:r>
            <w:r w:rsidR="00A00231" w:rsidRPr="004A189E">
              <w:t xml:space="preserve">are classified as retail, </w:t>
            </w:r>
            <w:r w:rsidR="00BE4861">
              <w:t>6</w:t>
            </w:r>
            <w:r w:rsidR="00BE4861" w:rsidRPr="004A189E">
              <w:t xml:space="preserve"> </w:t>
            </w:r>
            <w:r w:rsidR="001D40DB" w:rsidRPr="004A189E">
              <w:t xml:space="preserve">are </w:t>
            </w:r>
            <w:r w:rsidR="00993760" w:rsidRPr="004A189E">
              <w:t xml:space="preserve">public sector </w:t>
            </w:r>
            <w:r w:rsidR="00A00231" w:rsidRPr="004A189E">
              <w:t xml:space="preserve">and </w:t>
            </w:r>
            <w:r w:rsidR="00BE4861">
              <w:t xml:space="preserve">3 </w:t>
            </w:r>
            <w:r w:rsidR="00065612" w:rsidRPr="004A189E">
              <w:t xml:space="preserve">are </w:t>
            </w:r>
            <w:r w:rsidR="00A00231" w:rsidRPr="004A189E">
              <w:t>corporate</w:t>
            </w:r>
            <w:r w:rsidR="00065612" w:rsidRPr="004A189E">
              <w:t xml:space="preserve"> funds</w:t>
            </w:r>
            <w:r w:rsidR="00A00231" w:rsidRPr="004A189E">
              <w:t xml:space="preserve">. </w:t>
            </w:r>
          </w:p>
          <w:p w:rsidR="00E61261" w:rsidRDefault="00917513" w:rsidP="00E61261">
            <w:pPr>
              <w:pStyle w:val="BoxListBullet"/>
            </w:pPr>
            <w:r>
              <w:t>A</w:t>
            </w:r>
            <w:r w:rsidR="006F531F">
              <w:t>round</w:t>
            </w:r>
            <w:r w:rsidR="000066A6">
              <w:t xml:space="preserve"> $</w:t>
            </w:r>
            <w:r w:rsidR="006F531F">
              <w:t>6</w:t>
            </w:r>
            <w:r w:rsidR="00CE013D">
              <w:t xml:space="preserve"> billio</w:t>
            </w:r>
            <w:r w:rsidR="000066A6">
              <w:t>n, and potentially more than $</w:t>
            </w:r>
            <w:r w:rsidR="006F531F">
              <w:t>9</w:t>
            </w:r>
            <w:r w:rsidR="00CE013D">
              <w:t xml:space="preserve"> billion</w:t>
            </w:r>
            <w:r w:rsidR="00EA5D2F">
              <w:t>,</w:t>
            </w:r>
            <w:r w:rsidR="00CE013D">
              <w:t xml:space="preserve"> in</w:t>
            </w:r>
            <w:r w:rsidR="00363E6C">
              <w:t xml:space="preserve"> </w:t>
            </w:r>
            <w:r w:rsidR="00CE013D" w:rsidRPr="00060B1B">
              <w:t xml:space="preserve">superannuation contributions </w:t>
            </w:r>
            <w:r w:rsidR="00E61261" w:rsidRPr="00060B1B">
              <w:t xml:space="preserve">were </w:t>
            </w:r>
            <w:r w:rsidR="00CE013D" w:rsidRPr="00060B1B">
              <w:t xml:space="preserve">made to default funds in awards in 2010 for </w:t>
            </w:r>
            <w:r w:rsidR="006919F8" w:rsidRPr="007D46B4">
              <w:t xml:space="preserve">employees </w:t>
            </w:r>
            <w:r w:rsidR="00F274CF">
              <w:t xml:space="preserve">who derive their superannuation fund in accordance with </w:t>
            </w:r>
            <w:r w:rsidR="00C25095">
              <w:t>a</w:t>
            </w:r>
            <w:r w:rsidR="00F274CF">
              <w:t xml:space="preserve"> modern award</w:t>
            </w:r>
            <w:r w:rsidR="003813EE">
              <w:t>.</w:t>
            </w:r>
          </w:p>
          <w:p w:rsidR="00A00231" w:rsidRDefault="00A00231" w:rsidP="00A41745">
            <w:pPr>
              <w:pStyle w:val="BoxListBullet"/>
            </w:pPr>
            <w:r>
              <w:t xml:space="preserve">Limited data and anecdotal evidence suggest that the superannuation funds </w:t>
            </w:r>
            <w:r w:rsidR="00990AE1">
              <w:t xml:space="preserve">listed </w:t>
            </w:r>
            <w:r>
              <w:t>in awards also influence the fund</w:t>
            </w:r>
            <w:r w:rsidR="00D91526">
              <w:t>s</w:t>
            </w:r>
            <w:r w:rsidR="0067732B">
              <w:t xml:space="preserve"> </w:t>
            </w:r>
            <w:r w:rsidR="00A41745">
              <w:t>chosen</w:t>
            </w:r>
            <w:r>
              <w:t xml:space="preserve"> in</w:t>
            </w:r>
            <w:r w:rsidR="00917513">
              <w:t xml:space="preserve"> </w:t>
            </w:r>
            <w:r w:rsidR="00EC01E8">
              <w:t>enterprise</w:t>
            </w:r>
            <w:r>
              <w:t xml:space="preserve"> agreements.</w:t>
            </w:r>
          </w:p>
        </w:tc>
      </w:tr>
      <w:tr w:rsidR="00A00231" w:rsidTr="00E44610">
        <w:tc>
          <w:tcPr>
            <w:tcW w:w="8789" w:type="dxa"/>
            <w:tcBorders>
              <w:top w:val="nil"/>
              <w:bottom w:val="single" w:sz="4" w:space="0" w:color="auto"/>
            </w:tcBorders>
          </w:tcPr>
          <w:p w:rsidR="00A00231" w:rsidRDefault="00A00231" w:rsidP="00E44610">
            <w:pPr>
              <w:pStyle w:val="Box"/>
              <w:spacing w:before="0" w:line="120" w:lineRule="exact"/>
            </w:pPr>
          </w:p>
        </w:tc>
      </w:tr>
      <w:tr w:rsidR="00A00231" w:rsidTr="00E44610">
        <w:tc>
          <w:tcPr>
            <w:tcW w:w="8789" w:type="dxa"/>
            <w:tcBorders>
              <w:top w:val="nil"/>
              <w:left w:val="nil"/>
              <w:bottom w:val="nil"/>
              <w:right w:val="nil"/>
            </w:tcBorders>
          </w:tcPr>
          <w:p w:rsidR="00A00231" w:rsidRDefault="00A00231" w:rsidP="00E44610">
            <w:pPr>
              <w:pStyle w:val="Box"/>
              <w:keepNext w:val="0"/>
              <w:spacing w:before="60" w:after="60" w:line="80" w:lineRule="exact"/>
            </w:pPr>
          </w:p>
        </w:tc>
      </w:tr>
    </w:tbl>
    <w:p w:rsidR="00A00231" w:rsidRDefault="00D47A33" w:rsidP="00A00231">
      <w:pPr>
        <w:pStyle w:val="Heading2"/>
      </w:pPr>
      <w:r>
        <w:lastRenderedPageBreak/>
        <w:fldChar w:fldCharType="begin"/>
      </w:r>
      <w:r>
        <w:instrText xml:space="preserve"> COMMENTS  \* MERGEFORMAT </w:instrText>
      </w:r>
      <w:r>
        <w:fldChar w:fldCharType="separate"/>
      </w:r>
      <w:r w:rsidR="00A56D8C">
        <w:t>2.</w:t>
      </w:r>
      <w:r>
        <w:fldChar w:fldCharType="end"/>
      </w:r>
      <w:r>
        <w:fldChar w:fldCharType="begin"/>
      </w:r>
      <w:r>
        <w:instrText xml:space="preserve"> SEQ Heading2 </w:instrText>
      </w:r>
      <w:r>
        <w:fldChar w:fldCharType="separate"/>
      </w:r>
      <w:r w:rsidR="00AA5B30">
        <w:rPr>
          <w:noProof/>
        </w:rPr>
        <w:t>1</w:t>
      </w:r>
      <w:r>
        <w:rPr>
          <w:noProof/>
        </w:rPr>
        <w:fldChar w:fldCharType="end"/>
      </w:r>
      <w:r w:rsidR="00A00231">
        <w:tab/>
        <w:t>Default superannuation funds as part of Australia’s superannuation system</w:t>
      </w:r>
    </w:p>
    <w:p w:rsidR="00A00231" w:rsidRDefault="00A00231" w:rsidP="00A00231">
      <w:pPr>
        <w:pStyle w:val="Heading3"/>
        <w:spacing w:before="280"/>
      </w:pPr>
      <w:r>
        <w:t>Default funds are part of a large</w:t>
      </w:r>
      <w:r w:rsidR="00B36E2D">
        <w:t xml:space="preserve"> and growing</w:t>
      </w:r>
      <w:r>
        <w:t xml:space="preserve"> compulsory system</w:t>
      </w:r>
    </w:p>
    <w:p w:rsidR="00A00231" w:rsidRPr="00C951E8" w:rsidRDefault="00A00231" w:rsidP="001D40DB">
      <w:pPr>
        <w:pStyle w:val="BodyText"/>
      </w:pPr>
      <w:r w:rsidRPr="001D40DB">
        <w:t>Australia has a three-pillar retirement income system involving a</w:t>
      </w:r>
      <w:r w:rsidR="001D40DB" w:rsidRPr="001D40DB">
        <w:t xml:space="preserve"> </w:t>
      </w:r>
      <w:r w:rsidRPr="00E3667B">
        <w:t>government</w:t>
      </w:r>
      <w:r w:rsidR="00E667BF">
        <w:noBreakHyphen/>
      </w:r>
      <w:r w:rsidRPr="00E3667B">
        <w:t xml:space="preserve">funded </w:t>
      </w:r>
      <w:r w:rsidR="00B36E2D" w:rsidRPr="00E3667B">
        <w:t xml:space="preserve">and </w:t>
      </w:r>
      <w:r w:rsidRPr="001D40DB">
        <w:t>means-tested age pension, voluntary saving</w:t>
      </w:r>
      <w:r w:rsidR="00065612" w:rsidRPr="001D40DB">
        <w:t>s</w:t>
      </w:r>
      <w:r w:rsidRPr="001D40DB">
        <w:t xml:space="preserve"> </w:t>
      </w:r>
      <w:r w:rsidR="00990AE1">
        <w:t>within the superannuation system</w:t>
      </w:r>
      <w:r w:rsidRPr="00E3667B">
        <w:t>, and compulsory superannuation</w:t>
      </w:r>
      <w:r w:rsidR="00990AE1">
        <w:t xml:space="preserve"> (with tax concessions applying to the latter two)</w:t>
      </w:r>
      <w:r w:rsidRPr="00E3667B">
        <w:t>.</w:t>
      </w:r>
      <w:r w:rsidR="00A3799F" w:rsidRPr="00E3667B">
        <w:t xml:space="preserve"> The focus of this report is the compulsory superannuation pillar, and in particular the </w:t>
      </w:r>
      <w:r w:rsidR="00A3799F" w:rsidRPr="001D40DB">
        <w:t xml:space="preserve">default arrangements that are in place for </w:t>
      </w:r>
      <w:r w:rsidR="00E82F1F">
        <w:t>‘</w:t>
      </w:r>
      <w:r w:rsidR="00D458FE" w:rsidRPr="004A189E">
        <w:t xml:space="preserve">employees </w:t>
      </w:r>
      <w:r w:rsidR="00D458FE">
        <w:t xml:space="preserve">who derive their default superannuation fund in accordance with </w:t>
      </w:r>
      <w:r w:rsidR="00F65F52">
        <w:t>a</w:t>
      </w:r>
      <w:r w:rsidR="00D458FE">
        <w:t xml:space="preserve"> modern award’ </w:t>
      </w:r>
      <w:r w:rsidR="009038D1">
        <w:t xml:space="preserve">and </w:t>
      </w:r>
      <w:r w:rsidR="00A3799F" w:rsidRPr="001D40DB">
        <w:t>who do not choose a fund into which their co</w:t>
      </w:r>
      <w:r w:rsidR="00A3799F" w:rsidRPr="00C951E8">
        <w:t>mpulsory sup</w:t>
      </w:r>
      <w:r w:rsidR="00A3799F" w:rsidRPr="001D40DB">
        <w:t xml:space="preserve">erannuation contributions </w:t>
      </w:r>
      <w:r w:rsidR="00990AE1">
        <w:t>are to</w:t>
      </w:r>
      <w:r w:rsidR="00990AE1" w:rsidRPr="001D40DB">
        <w:t xml:space="preserve"> </w:t>
      </w:r>
      <w:r w:rsidR="00A3799F" w:rsidRPr="001D40DB">
        <w:t>be paid.</w:t>
      </w:r>
    </w:p>
    <w:p w:rsidR="00B36E2D" w:rsidRPr="00C951E8" w:rsidRDefault="00B36E2D" w:rsidP="00C951E8">
      <w:pPr>
        <w:pStyle w:val="BodyText"/>
      </w:pPr>
      <w:r w:rsidRPr="00C951E8">
        <w:t xml:space="preserve">Assets in the superannuation industry have grown rapidly since 1992. </w:t>
      </w:r>
      <w:r w:rsidR="00BF5F3A">
        <w:t>In June 2012</w:t>
      </w:r>
      <w:r w:rsidRPr="00C951E8">
        <w:t>, total superannuation assets reached $1.</w:t>
      </w:r>
      <w:r w:rsidR="00742D35">
        <w:t>4</w:t>
      </w:r>
      <w:r w:rsidR="0075017A">
        <w:t> </w:t>
      </w:r>
      <w:r w:rsidRPr="00C951E8">
        <w:t xml:space="preserve">trillion (APRA </w:t>
      </w:r>
      <w:proofErr w:type="spellStart"/>
      <w:r w:rsidRPr="00C951E8">
        <w:t>2012</w:t>
      </w:r>
      <w:r w:rsidR="006804DD">
        <w:t>f</w:t>
      </w:r>
      <w:proofErr w:type="spellEnd"/>
      <w:r w:rsidRPr="00C951E8">
        <w:t xml:space="preserve">), which was </w:t>
      </w:r>
      <w:r w:rsidR="00175945">
        <w:t xml:space="preserve">approximately </w:t>
      </w:r>
      <w:r w:rsidRPr="00C951E8">
        <w:t>equivalent to Australia’s</w:t>
      </w:r>
      <w:r w:rsidR="00990AE1">
        <w:t xml:space="preserve"> </w:t>
      </w:r>
      <w:r w:rsidRPr="00C951E8">
        <w:t xml:space="preserve">GDP </w:t>
      </w:r>
      <w:r w:rsidR="008A2EA5">
        <w:t>in 2011</w:t>
      </w:r>
      <w:r w:rsidR="00E667BF">
        <w:t>-</w:t>
      </w:r>
      <w:r w:rsidR="008A2EA5">
        <w:t>12</w:t>
      </w:r>
      <w:r w:rsidR="008A2EA5" w:rsidRPr="00C951E8">
        <w:t xml:space="preserve"> </w:t>
      </w:r>
      <w:r w:rsidRPr="00C951E8">
        <w:t xml:space="preserve">(ABS </w:t>
      </w:r>
      <w:proofErr w:type="spellStart"/>
      <w:r w:rsidRPr="00C951E8">
        <w:t>2012</w:t>
      </w:r>
      <w:r w:rsidR="00C56F60">
        <w:t>d</w:t>
      </w:r>
      <w:proofErr w:type="spellEnd"/>
      <w:r w:rsidRPr="00C951E8">
        <w:t>). This</w:t>
      </w:r>
      <w:r w:rsidR="00A3799F" w:rsidRPr="00C951E8">
        <w:t xml:space="preserve"> growth is expected to continue, and it has been estimated </w:t>
      </w:r>
      <w:r w:rsidR="00990AE1">
        <w:t xml:space="preserve">by Treasury </w:t>
      </w:r>
      <w:r w:rsidR="00A3799F" w:rsidRPr="00C951E8">
        <w:t>that</w:t>
      </w:r>
      <w:r w:rsidR="00065612" w:rsidRPr="00C951E8">
        <w:t xml:space="preserve"> </w:t>
      </w:r>
      <w:r w:rsidR="00F12523">
        <w:t xml:space="preserve">superannuation </w:t>
      </w:r>
      <w:r w:rsidR="00065612" w:rsidRPr="00C951E8">
        <w:t>assets will reach 150</w:t>
      </w:r>
      <w:r w:rsidR="00315EF1">
        <w:t> per </w:t>
      </w:r>
      <w:r w:rsidR="00065612" w:rsidRPr="00C951E8">
        <w:t>cent of GDP by around 2040 (figure 2.1).</w:t>
      </w:r>
    </w:p>
    <w:p w:rsidR="00B36E2D" w:rsidRPr="00FA267C" w:rsidRDefault="00B36E2D" w:rsidP="00F6258F">
      <w:pPr>
        <w:pStyle w:val="FigureTitle"/>
      </w:pPr>
      <w:r w:rsidRPr="00F164E2">
        <w:rPr>
          <w:b w:val="0"/>
        </w:rPr>
        <w:t xml:space="preserve">Figure </w:t>
      </w:r>
      <w:r w:rsidRPr="00250405">
        <w:rPr>
          <w:b w:val="0"/>
        </w:rPr>
        <w:fldChar w:fldCharType="begin"/>
      </w:r>
      <w:r w:rsidRPr="00250405">
        <w:rPr>
          <w:b w:val="0"/>
        </w:rPr>
        <w:instrText xml:space="preserve"> COMMENTS  \* MERGEFORMAT </w:instrText>
      </w:r>
      <w:r w:rsidRPr="00250405">
        <w:rPr>
          <w:b w:val="0"/>
        </w:rPr>
        <w:fldChar w:fldCharType="separate"/>
      </w:r>
      <w:r w:rsidR="00A56D8C">
        <w:rPr>
          <w:b w:val="0"/>
        </w:rPr>
        <w:t>2.</w:t>
      </w:r>
      <w:r w:rsidRPr="00250405">
        <w:rPr>
          <w:b w:val="0"/>
        </w:rPr>
        <w:fldChar w:fldCharType="end"/>
      </w:r>
      <w:r w:rsidRPr="00250405">
        <w:rPr>
          <w:b w:val="0"/>
        </w:rPr>
        <w:fldChar w:fldCharType="begin"/>
      </w:r>
      <w:r w:rsidRPr="00250405">
        <w:rPr>
          <w:b w:val="0"/>
        </w:rPr>
        <w:instrText xml:space="preserve"> SEQ Figure \* ARABIC </w:instrText>
      </w:r>
      <w:r w:rsidRPr="00250405">
        <w:rPr>
          <w:b w:val="0"/>
        </w:rPr>
        <w:fldChar w:fldCharType="separate"/>
      </w:r>
      <w:r w:rsidR="00AA5B30">
        <w:rPr>
          <w:b w:val="0"/>
          <w:noProof/>
        </w:rPr>
        <w:t>1</w:t>
      </w:r>
      <w:r w:rsidRPr="00250405">
        <w:rPr>
          <w:b w:val="0"/>
        </w:rPr>
        <w:fldChar w:fldCharType="end"/>
      </w:r>
      <w:r w:rsidRPr="00FA267C">
        <w:tab/>
        <w:t xml:space="preserve">Predicted superannuation assets as a </w:t>
      </w:r>
      <w:r w:rsidR="00B7612C">
        <w:t>percentage</w:t>
      </w:r>
      <w:r w:rsidR="00B7612C" w:rsidRPr="00FA267C">
        <w:t xml:space="preserve"> </w:t>
      </w:r>
      <w:r w:rsidRPr="00FA267C">
        <w:t>of GDP</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Predicted superannuation assets as a percentage of GDP"/>
        <w:tblDescription w:val="This graph shows that superannuation assets were equivalent to Australia's GDP in 2011, and that they are predicted to reach 120 per cent of GDP in 2022, 150 per cent of GDP in 2040, and 160 per cent of GDP in 2046."/>
      </w:tblPr>
      <w:tblGrid>
        <w:gridCol w:w="8777"/>
      </w:tblGrid>
      <w:tr w:rsidR="008D0579" w:rsidRPr="00FA267C" w:rsidTr="00FA267C">
        <w:tc>
          <w:tcPr>
            <w:tcW w:w="8777" w:type="dxa"/>
          </w:tcPr>
          <w:p w:rsidR="008D0579" w:rsidRDefault="008D0579">
            <w:r w:rsidRPr="00D8676A">
              <w:rPr>
                <w:noProof/>
              </w:rPr>
              <w:drawing>
                <wp:inline distT="0" distB="0" distL="0" distR="0" wp14:anchorId="2B763A8C" wp14:editId="71B0CD4C">
                  <wp:extent cx="5400000" cy="2880000"/>
                  <wp:effectExtent l="0" t="0" r="0" b="0"/>
                  <wp:docPr id="4" name="Chart 4" descr="This graph shows that superannuation assets were equivalent to Australia's GDP in 2011, and that they are predicted to reach 120 per cent of GDP in 2022, 150 per cent of GDP in 2040, and 160 per cent of GDP in 204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980385" w:rsidRDefault="007F0DF3" w:rsidP="00B36E2D">
      <w:pPr>
        <w:pStyle w:val="Source"/>
      </w:pPr>
      <w:r>
        <w:rPr>
          <w:i/>
        </w:rPr>
        <w:t>S</w:t>
      </w:r>
      <w:r w:rsidR="00B36E2D" w:rsidRPr="00FA267C">
        <w:rPr>
          <w:i/>
        </w:rPr>
        <w:t>ource</w:t>
      </w:r>
      <w:r w:rsidR="00B36E2D" w:rsidRPr="007F0DF3">
        <w:t>:</w:t>
      </w:r>
      <w:r w:rsidR="00B36E2D" w:rsidRPr="00FA267C">
        <w:t xml:space="preserve"> </w:t>
      </w:r>
      <w:proofErr w:type="spellStart"/>
      <w:r w:rsidR="00B36E2D" w:rsidRPr="00FA267C">
        <w:t>Gruen</w:t>
      </w:r>
      <w:proofErr w:type="spellEnd"/>
      <w:r w:rsidR="00B36E2D" w:rsidRPr="00FA267C">
        <w:t xml:space="preserve"> (2011).</w:t>
      </w:r>
      <w:r w:rsidR="00B36E2D">
        <w:t xml:space="preserve"> </w:t>
      </w:r>
    </w:p>
    <w:p w:rsidR="00980385" w:rsidRDefault="00980385" w:rsidP="00A00231">
      <w:pPr>
        <w:pStyle w:val="BodyText"/>
      </w:pPr>
      <w:r>
        <w:t xml:space="preserve">Superannuation </w:t>
      </w:r>
      <w:r w:rsidR="00766E32">
        <w:t>effectively became</w:t>
      </w:r>
      <w:r>
        <w:t xml:space="preserve"> compulsory in 1992 </w:t>
      </w:r>
      <w:r w:rsidR="00766E32">
        <w:t xml:space="preserve">with the introduction of </w:t>
      </w:r>
      <w:r>
        <w:t>the superannuation guarantee</w:t>
      </w:r>
      <w:r w:rsidR="00E82F1F">
        <w:t xml:space="preserve"> legislation</w:t>
      </w:r>
      <w:r w:rsidR="00BE4861">
        <w:t xml:space="preserve"> (box</w:t>
      </w:r>
      <w:r w:rsidR="0075017A">
        <w:t> </w:t>
      </w:r>
      <w:r w:rsidR="00BE4861">
        <w:t>2.1)</w:t>
      </w:r>
      <w:r>
        <w:t xml:space="preserve">. This </w:t>
      </w:r>
      <w:r w:rsidR="00766E32">
        <w:t>guara</w:t>
      </w:r>
      <w:bookmarkStart w:id="3" w:name="_GoBack"/>
      <w:bookmarkEnd w:id="3"/>
      <w:r w:rsidR="00766E32">
        <w:t xml:space="preserve">ntee </w:t>
      </w:r>
      <w:r w:rsidR="00065612">
        <w:t xml:space="preserve">now </w:t>
      </w:r>
      <w:r>
        <w:t xml:space="preserve">requires </w:t>
      </w:r>
      <w:r w:rsidR="00766E32">
        <w:t xml:space="preserve">employers to make </w:t>
      </w:r>
      <w:r w:rsidR="00A00231">
        <w:t>superannuation contributions for most employees at the rate of 9</w:t>
      </w:r>
      <w:r w:rsidR="00315EF1">
        <w:t> </w:t>
      </w:r>
      <w:r w:rsidR="00A00231">
        <w:t>per</w:t>
      </w:r>
      <w:r w:rsidR="00315EF1">
        <w:t> </w:t>
      </w:r>
      <w:r w:rsidR="00A00231">
        <w:t xml:space="preserve">cent of ordinary time earnings. This rate will progressively increase to </w:t>
      </w:r>
      <w:r w:rsidR="00A00231">
        <w:lastRenderedPageBreak/>
        <w:t>12</w:t>
      </w:r>
      <w:r w:rsidR="00315EF1">
        <w:t> </w:t>
      </w:r>
      <w:r w:rsidR="00A00231">
        <w:t>per</w:t>
      </w:r>
      <w:r w:rsidR="00315EF1">
        <w:t> </w:t>
      </w:r>
      <w:r w:rsidR="00A00231">
        <w:t>cent by 20</w:t>
      </w:r>
      <w:r w:rsidR="00E667BF">
        <w:t>19</w:t>
      </w:r>
      <w:r w:rsidR="00E667BF">
        <w:noBreakHyphen/>
      </w:r>
      <w:r w:rsidR="00A00231">
        <w:t>20 (</w:t>
      </w:r>
      <w:proofErr w:type="spellStart"/>
      <w:r w:rsidR="00A00231">
        <w:t>DEEWR</w:t>
      </w:r>
      <w:proofErr w:type="spellEnd"/>
      <w:r w:rsidR="00A00231">
        <w:t xml:space="preserve"> </w:t>
      </w:r>
      <w:proofErr w:type="spellStart"/>
      <w:r w:rsidR="00A00231">
        <w:t>2012</w:t>
      </w:r>
      <w:r w:rsidR="005C39EA">
        <w:t>b</w:t>
      </w:r>
      <w:proofErr w:type="spellEnd"/>
      <w:r w:rsidR="00A00231">
        <w:t xml:space="preserve">). </w:t>
      </w:r>
      <w:r w:rsidR="000F651E">
        <w:t xml:space="preserve">The </w:t>
      </w:r>
      <w:r w:rsidR="00D16322">
        <w:t xml:space="preserve">superannuation guarantee </w:t>
      </w:r>
      <w:r w:rsidR="00A00231">
        <w:t xml:space="preserve">applies to almost all </w:t>
      </w:r>
      <w:r w:rsidR="00A00231" w:rsidRPr="00252039">
        <w:t xml:space="preserve">employees, except </w:t>
      </w:r>
      <w:r w:rsidR="00990AE1">
        <w:t xml:space="preserve">for </w:t>
      </w:r>
      <w:r w:rsidR="00A00231" w:rsidRPr="00252039">
        <w:t xml:space="preserve">those earning less than $450 </w:t>
      </w:r>
      <w:r w:rsidR="004E3FCA">
        <w:t>per</w:t>
      </w:r>
      <w:r w:rsidR="00A00231" w:rsidRPr="00252039">
        <w:t xml:space="preserve"> month</w:t>
      </w:r>
      <w:r w:rsidR="00E453FD" w:rsidRPr="00252039">
        <w:t xml:space="preserve"> (</w:t>
      </w:r>
      <w:r w:rsidR="00794A61">
        <w:t xml:space="preserve">or less than $350 </w:t>
      </w:r>
      <w:r w:rsidR="004E3FCA">
        <w:t>per</w:t>
      </w:r>
      <w:r w:rsidR="00794A61">
        <w:t xml:space="preserve"> month in some industries</w:t>
      </w:r>
      <w:r w:rsidR="0028500D">
        <w:t>)</w:t>
      </w:r>
      <w:r w:rsidR="00990AE1">
        <w:t>;</w:t>
      </w:r>
      <w:r w:rsidR="00A00231" w:rsidRPr="00252039">
        <w:t xml:space="preserve"> part-time employees under 18 years of age</w:t>
      </w:r>
      <w:r w:rsidR="00990AE1">
        <w:t>;</w:t>
      </w:r>
      <w:r w:rsidR="00A00231" w:rsidRPr="00252039">
        <w:t xml:space="preserve"> and employees over </w:t>
      </w:r>
      <w:r w:rsidR="00363E6C" w:rsidRPr="00AD3AE4">
        <w:t xml:space="preserve">70 </w:t>
      </w:r>
      <w:r w:rsidR="00A00231" w:rsidRPr="00365A56">
        <w:t>years of age</w:t>
      </w:r>
      <w:r w:rsidR="00F4214E" w:rsidRPr="00365A56">
        <w:t xml:space="preserve"> (though this age limit will increase to </w:t>
      </w:r>
      <w:r w:rsidR="005564AC" w:rsidRPr="00365A56">
        <w:t>75</w:t>
      </w:r>
      <w:r w:rsidR="005564AC">
        <w:t xml:space="preserve"> years of age </w:t>
      </w:r>
      <w:r w:rsidR="00F4214E" w:rsidRPr="00365A56">
        <w:t xml:space="preserve">by </w:t>
      </w:r>
      <w:r w:rsidR="00073ED7" w:rsidRPr="00365A56">
        <w:t>1</w:t>
      </w:r>
      <w:r w:rsidR="00073ED7">
        <w:t> </w:t>
      </w:r>
      <w:r w:rsidR="00BF6E85" w:rsidRPr="00365A56">
        <w:t>July</w:t>
      </w:r>
      <w:r w:rsidR="00BE4861">
        <w:t> </w:t>
      </w:r>
      <w:r w:rsidR="00BF6E85" w:rsidRPr="00365A56">
        <w:t>2013</w:t>
      </w:r>
      <w:r w:rsidR="00F4214E" w:rsidRPr="00365A56">
        <w:t>)</w:t>
      </w:r>
      <w:r w:rsidR="00A00231" w:rsidRPr="00365A56">
        <w:t xml:space="preserve"> (</w:t>
      </w:r>
      <w:proofErr w:type="spellStart"/>
      <w:r w:rsidR="00A00231" w:rsidRPr="00365A56">
        <w:t>ATO</w:t>
      </w:r>
      <w:proofErr w:type="spellEnd"/>
      <w:r w:rsidR="00A00231" w:rsidRPr="00365A56">
        <w:t xml:space="preserve"> </w:t>
      </w:r>
      <w:proofErr w:type="spellStart"/>
      <w:r w:rsidR="00BE028A" w:rsidRPr="00365A56">
        <w:t>2012a</w:t>
      </w:r>
      <w:proofErr w:type="spellEnd"/>
      <w:r w:rsidR="00A00231" w:rsidRPr="00365A56">
        <w:t>). A maximum contribution base ($43 820 per quarter in 2012) also applies</w:t>
      </w:r>
      <w:r w:rsidR="00BE028A" w:rsidRPr="00365A56">
        <w:t xml:space="preserve"> (</w:t>
      </w:r>
      <w:proofErr w:type="spellStart"/>
      <w:r w:rsidR="00BE028A" w:rsidRPr="00365A56">
        <w:t>ATO</w:t>
      </w:r>
      <w:proofErr w:type="spellEnd"/>
      <w:r w:rsidR="00BE028A" w:rsidRPr="00365A56">
        <w:t xml:space="preserve"> </w:t>
      </w:r>
      <w:proofErr w:type="spellStart"/>
      <w:r w:rsidR="006804DD" w:rsidRPr="00365A56">
        <w:t>2012</w:t>
      </w:r>
      <w:r w:rsidR="006804DD">
        <w:t>c</w:t>
      </w:r>
      <w:proofErr w:type="spellEnd"/>
      <w:r w:rsidR="007663F7" w:rsidRPr="00365A56">
        <w:t>)</w:t>
      </w:r>
      <w:r w:rsidR="00A00231" w:rsidRPr="00365A56">
        <w:t xml:space="preserve">. </w:t>
      </w:r>
    </w:p>
    <w:p w:rsidR="005564AC" w:rsidRDefault="005564AC" w:rsidP="00A00231">
      <w:pPr>
        <w:pStyle w:val="BodyText"/>
      </w:pPr>
      <w:r>
        <w:t>Within the compulsory superannuation system, since 1 July 2005 most employees have had the right to choose their fund (the main exceptions being those employed under some enterprise agreements, or other specified pre-reform agreements). In the event that an employee does not choose a fund (box</w:t>
      </w:r>
      <w:r w:rsidR="0075017A">
        <w:t> </w:t>
      </w:r>
      <w:r>
        <w:t xml:space="preserve">2.2), an employer must make superannuation contributions for </w:t>
      </w:r>
      <w:r w:rsidRPr="004A189E">
        <w:t xml:space="preserve">employees </w:t>
      </w:r>
      <w:r>
        <w:t xml:space="preserve">who derive their default superannuation fund in accordance with a modern award into one of the default funds listed in the award (unless ‘grandfathering’ applies — see below). </w:t>
      </w:r>
    </w:p>
    <w:p w:rsidR="00BE4861" w:rsidRDefault="00BE4861" w:rsidP="00BE4861">
      <w:pPr>
        <w:pStyle w:val="BoxSpace"/>
        <w:rPr>
          <w:b/>
          <w:vanish/>
          <w:color w:val="FF00FF"/>
          <w:sz w:val="14"/>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E4861" w:rsidTr="00BE4861">
        <w:tc>
          <w:tcPr>
            <w:tcW w:w="8771" w:type="dxa"/>
            <w:tcBorders>
              <w:top w:val="single" w:sz="6" w:space="0" w:color="auto"/>
              <w:bottom w:val="nil"/>
            </w:tcBorders>
          </w:tcPr>
          <w:p w:rsidR="00BE4861" w:rsidRDefault="00BE4861" w:rsidP="00BE4861">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2.</w:t>
            </w:r>
            <w:r>
              <w:rPr>
                <w:b w:val="0"/>
              </w:rPr>
              <w:fldChar w:fldCharType="end"/>
            </w:r>
            <w:r>
              <w:rPr>
                <w:b w:val="0"/>
              </w:rPr>
              <w:fldChar w:fldCharType="begin"/>
            </w:r>
            <w:r>
              <w:rPr>
                <w:b w:val="0"/>
              </w:rPr>
              <w:instrText xml:space="preserve"> SEQ Box \* ARABIC </w:instrText>
            </w:r>
            <w:r>
              <w:rPr>
                <w:b w:val="0"/>
              </w:rPr>
              <w:fldChar w:fldCharType="separate"/>
            </w:r>
            <w:r w:rsidR="00AA5B30">
              <w:rPr>
                <w:b w:val="0"/>
                <w:noProof/>
              </w:rPr>
              <w:t>1</w:t>
            </w:r>
            <w:r>
              <w:rPr>
                <w:b w:val="0"/>
              </w:rPr>
              <w:fldChar w:fldCharType="end"/>
            </w:r>
            <w:r>
              <w:tab/>
              <w:t>Features of the superannuation legislation</w:t>
            </w:r>
          </w:p>
        </w:tc>
      </w:tr>
      <w:tr w:rsidR="00BE4861" w:rsidTr="00BE4861">
        <w:trPr>
          <w:cantSplit/>
        </w:trPr>
        <w:tc>
          <w:tcPr>
            <w:tcW w:w="8771" w:type="dxa"/>
            <w:tcBorders>
              <w:top w:val="nil"/>
              <w:left w:val="single" w:sz="6" w:space="0" w:color="auto"/>
              <w:bottom w:val="nil"/>
              <w:right w:val="single" w:sz="6" w:space="0" w:color="auto"/>
            </w:tcBorders>
          </w:tcPr>
          <w:p w:rsidR="00BE4861" w:rsidRPr="00B5563E" w:rsidRDefault="00BE4861" w:rsidP="00BE4861">
            <w:pPr>
              <w:pStyle w:val="Box"/>
            </w:pPr>
            <w:r>
              <w:t xml:space="preserve">Three pieces of legislation provide the main basis for regulation of the superannuation industry. </w:t>
            </w:r>
          </w:p>
          <w:p w:rsidR="00BE4861" w:rsidRPr="00B5563E" w:rsidRDefault="00BE4861" w:rsidP="00BE4861">
            <w:pPr>
              <w:pStyle w:val="BoxListBullet"/>
            </w:pPr>
            <w:r w:rsidRPr="00EF5954">
              <w:rPr>
                <w:i/>
              </w:rPr>
              <w:t>The Superannuation Guarantee (Administration) Act 1992</w:t>
            </w:r>
            <w:r w:rsidRPr="00B5563E">
              <w:t xml:space="preserve"> (</w:t>
            </w:r>
            <w:proofErr w:type="spellStart"/>
            <w:r w:rsidRPr="00B5563E">
              <w:t>Cwlth</w:t>
            </w:r>
            <w:proofErr w:type="spellEnd"/>
            <w:r w:rsidRPr="00B5563E">
              <w:t>) determines whether or not employees have choice of fund</w:t>
            </w:r>
            <w:r>
              <w:t>. It also</w:t>
            </w:r>
            <w:r w:rsidRPr="00B5563E">
              <w:t xml:space="preserve"> sets out the calculation of the superannuation guarantee shortfall, which accrues when an employer fails to pay superannuation.</w:t>
            </w:r>
          </w:p>
          <w:p w:rsidR="00BE4861" w:rsidRPr="00B5563E" w:rsidRDefault="00BE4861" w:rsidP="00BE4861">
            <w:pPr>
              <w:pStyle w:val="BoxListBullet"/>
              <w:rPr>
                <w:szCs w:val="24"/>
              </w:rPr>
            </w:pPr>
            <w:r w:rsidRPr="00EF5954">
              <w:rPr>
                <w:i/>
              </w:rPr>
              <w:t>The Superannuation Guarantee Charge Act 1992</w:t>
            </w:r>
            <w:r w:rsidRPr="00B5563E">
              <w:t xml:space="preserve"> (</w:t>
            </w:r>
            <w:proofErr w:type="spellStart"/>
            <w:r w:rsidRPr="00B5563E">
              <w:t>Cwlth</w:t>
            </w:r>
            <w:proofErr w:type="spellEnd"/>
            <w:r w:rsidRPr="00B5563E">
              <w:t xml:space="preserve">) imposes a superannuation guarantee charge equal to the amount of the superannuation guarantee shortfall. </w:t>
            </w:r>
          </w:p>
          <w:p w:rsidR="00BE4861" w:rsidRDefault="00BE4861" w:rsidP="00BE4861">
            <w:pPr>
              <w:pStyle w:val="BoxListBullet"/>
              <w:rPr>
                <w:szCs w:val="24"/>
              </w:rPr>
            </w:pPr>
            <w:r w:rsidRPr="00EF5954">
              <w:rPr>
                <w:i/>
              </w:rPr>
              <w:t>The Superannuation Industry (Supervision) Act 1993</w:t>
            </w:r>
            <w:r w:rsidRPr="00B5563E">
              <w:t xml:space="preserve"> (</w:t>
            </w:r>
            <w:proofErr w:type="spellStart"/>
            <w:r w:rsidRPr="00B5563E">
              <w:t>Cwlth</w:t>
            </w:r>
            <w:proofErr w:type="spellEnd"/>
            <w:r w:rsidRPr="00B5563E">
              <w:t>) establishes the registration and licensing processes for superannuation funds and their trustees and contains rules on accounting, audit, reporting, governance, and board structure.</w:t>
            </w:r>
          </w:p>
        </w:tc>
      </w:tr>
      <w:tr w:rsidR="00BE4861" w:rsidTr="00BE4861">
        <w:trPr>
          <w:cantSplit/>
        </w:trPr>
        <w:tc>
          <w:tcPr>
            <w:tcW w:w="8771" w:type="dxa"/>
            <w:tcBorders>
              <w:top w:val="nil"/>
              <w:left w:val="single" w:sz="6" w:space="0" w:color="auto"/>
              <w:bottom w:val="single" w:sz="6" w:space="0" w:color="auto"/>
              <w:right w:val="single" w:sz="6" w:space="0" w:color="auto"/>
            </w:tcBorders>
          </w:tcPr>
          <w:p w:rsidR="00BE4861" w:rsidRDefault="00BE4861" w:rsidP="00BE4861">
            <w:pPr>
              <w:pStyle w:val="Box"/>
              <w:spacing w:before="0" w:line="120" w:lineRule="exact"/>
            </w:pPr>
          </w:p>
        </w:tc>
      </w:tr>
      <w:tr w:rsidR="00BE4861" w:rsidTr="00BE4861">
        <w:tc>
          <w:tcPr>
            <w:tcW w:w="8771" w:type="dxa"/>
            <w:tcBorders>
              <w:top w:val="nil"/>
              <w:left w:val="nil"/>
              <w:bottom w:val="nil"/>
              <w:right w:val="nil"/>
            </w:tcBorders>
          </w:tcPr>
          <w:p w:rsidR="00BE4861" w:rsidRDefault="00BE4861" w:rsidP="00BE4861">
            <w:pPr>
              <w:pStyle w:val="Box"/>
              <w:keepNext w:val="0"/>
              <w:spacing w:before="60" w:after="60" w:line="80" w:lineRule="exact"/>
              <w:rPr>
                <w:b/>
                <w:color w:val="FF00FF"/>
                <w:sz w:val="14"/>
              </w:rPr>
            </w:pPr>
          </w:p>
        </w:tc>
      </w:tr>
    </w:tbl>
    <w:p w:rsidR="005564AC" w:rsidRDefault="005564AC" w:rsidP="005564AC">
      <w:pPr>
        <w:pStyle w:val="BodyText"/>
      </w:pPr>
      <w:r>
        <w:t xml:space="preserve">Where the award does not direct contributions to a particular fund, or funds, employers can make superannuation contributions to any complying fund under the </w:t>
      </w:r>
      <w:r>
        <w:rPr>
          <w:i/>
        </w:rPr>
        <w:t xml:space="preserve">Superannuation Industry (Supervision) Act 1993 </w:t>
      </w:r>
      <w:r>
        <w:t>(</w:t>
      </w:r>
      <w:proofErr w:type="spellStart"/>
      <w:r>
        <w:t>Cwlth</w:t>
      </w:r>
      <w:proofErr w:type="spellEnd"/>
      <w:r>
        <w:t>) (the SIS Act) (</w:t>
      </w:r>
      <w:proofErr w:type="spellStart"/>
      <w:r>
        <w:t>ATO</w:t>
      </w:r>
      <w:proofErr w:type="spellEnd"/>
      <w:r>
        <w:t> </w:t>
      </w:r>
      <w:proofErr w:type="spellStart"/>
      <w:r>
        <w:t>2011a</w:t>
      </w:r>
      <w:proofErr w:type="spellEnd"/>
      <w:r>
        <w:t>).</w:t>
      </w:r>
    </w:p>
    <w:p w:rsidR="005564AC" w:rsidRDefault="005564AC" w:rsidP="00A00231">
      <w:pPr>
        <w:pStyle w:val="BodyText"/>
      </w:pPr>
    </w:p>
    <w:p w:rsidR="007B423D" w:rsidRDefault="007B423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B423D">
        <w:tc>
          <w:tcPr>
            <w:tcW w:w="8771" w:type="dxa"/>
            <w:tcBorders>
              <w:top w:val="single" w:sz="6" w:space="0" w:color="auto"/>
              <w:bottom w:val="nil"/>
            </w:tcBorders>
          </w:tcPr>
          <w:p w:rsidR="007B423D" w:rsidRDefault="007B423D" w:rsidP="007B423D">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2.</w:t>
            </w:r>
            <w:r>
              <w:rPr>
                <w:b w:val="0"/>
              </w:rPr>
              <w:fldChar w:fldCharType="end"/>
            </w:r>
            <w:r>
              <w:rPr>
                <w:b w:val="0"/>
              </w:rPr>
              <w:fldChar w:fldCharType="begin"/>
            </w:r>
            <w:r>
              <w:rPr>
                <w:b w:val="0"/>
              </w:rPr>
              <w:instrText xml:space="preserve"> SEQ Box \* ARABIC </w:instrText>
            </w:r>
            <w:r>
              <w:rPr>
                <w:b w:val="0"/>
              </w:rPr>
              <w:fldChar w:fldCharType="separate"/>
            </w:r>
            <w:r w:rsidR="00AA5B30">
              <w:rPr>
                <w:b w:val="0"/>
                <w:noProof/>
              </w:rPr>
              <w:t>2</w:t>
            </w:r>
            <w:r>
              <w:rPr>
                <w:b w:val="0"/>
              </w:rPr>
              <w:fldChar w:fldCharType="end"/>
            </w:r>
            <w:r>
              <w:tab/>
              <w:t>How many employees exercise choice of fund?</w:t>
            </w:r>
          </w:p>
        </w:tc>
      </w:tr>
      <w:tr w:rsidR="007B423D">
        <w:trPr>
          <w:cantSplit/>
        </w:trPr>
        <w:tc>
          <w:tcPr>
            <w:tcW w:w="8771" w:type="dxa"/>
            <w:tcBorders>
              <w:top w:val="nil"/>
              <w:left w:val="single" w:sz="6" w:space="0" w:color="auto"/>
              <w:bottom w:val="nil"/>
              <w:right w:val="single" w:sz="6" w:space="0" w:color="auto"/>
            </w:tcBorders>
          </w:tcPr>
          <w:p w:rsidR="007B423D" w:rsidRDefault="007B423D" w:rsidP="007B423D">
            <w:pPr>
              <w:pStyle w:val="Box"/>
            </w:pPr>
            <w:r>
              <w:t xml:space="preserve">There are no data on the incidence of choice of fund by employees who derive their superannuation fund in accordance with a modern award. More broadly, there are a variety of estimates of how many employees (employed under a range of different industrial instruments, not just awards) actively choose their superannuation fund in any given year. </w:t>
            </w:r>
          </w:p>
          <w:p w:rsidR="007B423D" w:rsidRDefault="007B423D" w:rsidP="007B423D">
            <w:pPr>
              <w:pStyle w:val="BoxListBullet"/>
            </w:pPr>
            <w:r>
              <w:t>44</w:t>
            </w:r>
            <w:r w:rsidR="00315EF1">
              <w:t> per </w:t>
            </w:r>
            <w:r>
              <w:t>cent of employees do not take any active role in determining the fund to which their contributions are made, and a further 26 per cent select the default fund offered by the employer, which means about 70 per cent of employees are members of the default fund selected by their employer (ABS 2007).</w:t>
            </w:r>
          </w:p>
          <w:p w:rsidR="007B423D" w:rsidRDefault="007B423D" w:rsidP="007B423D">
            <w:pPr>
              <w:pStyle w:val="BoxListBullet"/>
            </w:pPr>
            <w:r>
              <w:t>50 to 70</w:t>
            </w:r>
            <w:r w:rsidR="00315EF1">
              <w:t> per </w:t>
            </w:r>
            <w:r>
              <w:t xml:space="preserve">cent of employees are members of their employer’s default fund (Colmar </w:t>
            </w:r>
            <w:proofErr w:type="spellStart"/>
            <w:r>
              <w:t>Brunton</w:t>
            </w:r>
            <w:proofErr w:type="spellEnd"/>
            <w:r>
              <w:t xml:space="preserve"> </w:t>
            </w:r>
            <w:proofErr w:type="spellStart"/>
            <w:r>
              <w:t>2010a</w:t>
            </w:r>
            <w:proofErr w:type="spellEnd"/>
            <w:r>
              <w:t>).</w:t>
            </w:r>
          </w:p>
          <w:p w:rsidR="007B423D" w:rsidRDefault="007B423D" w:rsidP="007B423D">
            <w:pPr>
              <w:pStyle w:val="BoxListBullet"/>
            </w:pPr>
            <w:r>
              <w:t>Just over 27</w:t>
            </w:r>
            <w:r w:rsidR="00315EF1">
              <w:t> per </w:t>
            </w:r>
            <w:r>
              <w:t xml:space="preserve">cent of the 609 employees who participated in a survey commissioned by </w:t>
            </w:r>
            <w:r w:rsidR="00BE4861">
              <w:t xml:space="preserve">the </w:t>
            </w:r>
            <w:r>
              <w:t>A</w:t>
            </w:r>
            <w:r w:rsidR="005564AC">
              <w:t>ssociation of</w:t>
            </w:r>
            <w:r w:rsidR="00BE4861">
              <w:t xml:space="preserve"> </w:t>
            </w:r>
            <w:r>
              <w:t>S</w:t>
            </w:r>
            <w:r w:rsidR="00BE4861">
              <w:t xml:space="preserve">uperannuation </w:t>
            </w:r>
            <w:r>
              <w:t>F</w:t>
            </w:r>
            <w:r w:rsidR="00BE4861">
              <w:t xml:space="preserve">unds </w:t>
            </w:r>
            <w:r>
              <w:t>A</w:t>
            </w:r>
            <w:r w:rsidR="005564AC">
              <w:t>ustralia</w:t>
            </w:r>
            <w:r>
              <w:t xml:space="preserve"> actively chose their employer’s default fund, 20</w:t>
            </w:r>
            <w:r w:rsidR="00315EF1">
              <w:t> per </w:t>
            </w:r>
            <w:r>
              <w:t xml:space="preserve">cent did not exercise choice and were placed in the </w:t>
            </w:r>
            <w:r w:rsidR="00315EF1">
              <w:t>employer’s default fund, and 23 per </w:t>
            </w:r>
            <w:r>
              <w:t>cent of employees did not have choice of fund, whic</w:t>
            </w:r>
            <w:r w:rsidR="00315EF1">
              <w:t>h means, in total, just over 70 per </w:t>
            </w:r>
            <w:r>
              <w:t>cent of the employees surveyed were members of the default fund selected by their employer (</w:t>
            </w:r>
            <w:proofErr w:type="spellStart"/>
            <w:r>
              <w:t>ASFA</w:t>
            </w:r>
            <w:proofErr w:type="spellEnd"/>
            <w:r>
              <w:t xml:space="preserve">, sub. </w:t>
            </w:r>
            <w:proofErr w:type="spellStart"/>
            <w:r>
              <w:t>DR75</w:t>
            </w:r>
            <w:proofErr w:type="spellEnd"/>
            <w:r>
              <w:t>).</w:t>
            </w:r>
          </w:p>
          <w:p w:rsidR="00BE4861" w:rsidRDefault="00BE4861" w:rsidP="00BE4861">
            <w:pPr>
              <w:pStyle w:val="Box"/>
            </w:pPr>
            <w:r>
              <w:t>Measures of whether or not a member is in the default investment option might also provide some indication of choice of fund, although a member who chooses a fund might also actively choose to be in the fund’s default investment option.</w:t>
            </w:r>
          </w:p>
          <w:p w:rsidR="00BE4861" w:rsidRDefault="00BE4861" w:rsidP="00BE4861">
            <w:pPr>
              <w:pStyle w:val="BoxListBullet"/>
            </w:pPr>
            <w:r>
              <w:t xml:space="preserve">Of those who default into their employer’s default fund, roughly 80 per cent are in the default investment option. Anecdotal evidence suggests that about 20 per cent of these employees actively chose to be there, meaning that about 60 per cent of members do not make active superannuation choices (Australian Government </w:t>
            </w:r>
            <w:proofErr w:type="spellStart"/>
            <w:r>
              <w:t>2010a</w:t>
            </w:r>
            <w:proofErr w:type="spellEnd"/>
            <w:r>
              <w:t xml:space="preserve">). </w:t>
            </w:r>
          </w:p>
          <w:p w:rsidR="00BE4861" w:rsidRDefault="00BE4861" w:rsidP="00BE4861">
            <w:pPr>
              <w:pStyle w:val="BoxListBullet"/>
            </w:pPr>
            <w:r>
              <w:t>18 per cent of employees do not accept the default investment position within their fund (Super Ratings 2006; Gallery, Gallery and McDougall 2010).</w:t>
            </w:r>
          </w:p>
          <w:p w:rsidR="007B423D" w:rsidRDefault="00BE4861" w:rsidP="00BE4861">
            <w:pPr>
              <w:pStyle w:val="BoxListBullet"/>
            </w:pPr>
            <w:r>
              <w:t>Just over 53 per cent of employees chose an investment option other than the default. This includes employees who had chosen a fund, and some of the employees who were in the default fund (</w:t>
            </w:r>
            <w:proofErr w:type="spellStart"/>
            <w:r>
              <w:t>ASFA</w:t>
            </w:r>
            <w:proofErr w:type="spellEnd"/>
            <w:r>
              <w:t xml:space="preserve">, sub. </w:t>
            </w:r>
            <w:proofErr w:type="spellStart"/>
            <w:r>
              <w:t>DR75</w:t>
            </w:r>
            <w:proofErr w:type="spellEnd"/>
            <w:r>
              <w:t>).</w:t>
            </w:r>
          </w:p>
        </w:tc>
      </w:tr>
      <w:tr w:rsidR="007B423D">
        <w:trPr>
          <w:cantSplit/>
        </w:trPr>
        <w:tc>
          <w:tcPr>
            <w:tcW w:w="8771" w:type="dxa"/>
            <w:tcBorders>
              <w:top w:val="nil"/>
              <w:left w:val="single" w:sz="6" w:space="0" w:color="auto"/>
              <w:bottom w:val="single" w:sz="6" w:space="0" w:color="auto"/>
              <w:right w:val="single" w:sz="6" w:space="0" w:color="auto"/>
            </w:tcBorders>
          </w:tcPr>
          <w:p w:rsidR="007B423D" w:rsidRDefault="007B423D">
            <w:pPr>
              <w:pStyle w:val="Box"/>
              <w:spacing w:before="0" w:line="120" w:lineRule="exact"/>
            </w:pPr>
          </w:p>
        </w:tc>
      </w:tr>
      <w:tr w:rsidR="007B423D" w:rsidRPr="000863A5">
        <w:tc>
          <w:tcPr>
            <w:tcW w:w="8771" w:type="dxa"/>
            <w:tcBorders>
              <w:top w:val="nil"/>
              <w:left w:val="nil"/>
              <w:bottom w:val="nil"/>
              <w:right w:val="nil"/>
            </w:tcBorders>
          </w:tcPr>
          <w:p w:rsidR="007B423D" w:rsidRPr="000863A5" w:rsidRDefault="007B423D" w:rsidP="007B423D">
            <w:pPr>
              <w:pStyle w:val="Box"/>
              <w:keepNext w:val="0"/>
              <w:spacing w:before="60" w:after="60" w:line="80" w:lineRule="exact"/>
              <w:rPr>
                <w:b/>
                <w:sz w:val="14"/>
              </w:rPr>
            </w:pPr>
          </w:p>
        </w:tc>
      </w:tr>
    </w:tbl>
    <w:p w:rsidR="0025270B" w:rsidRDefault="0025270B" w:rsidP="0025270B">
      <w:pPr>
        <w:pStyle w:val="BodyText"/>
      </w:pPr>
    </w:p>
    <w:p w:rsidR="0025270B" w:rsidRDefault="0025270B" w:rsidP="0025270B">
      <w:pPr>
        <w:pStyle w:val="BodyText"/>
      </w:pPr>
    </w:p>
    <w:p w:rsidR="005564AC" w:rsidRDefault="005564AC" w:rsidP="0025270B">
      <w:pPr>
        <w:pStyle w:val="BodyText"/>
      </w:pPr>
    </w:p>
    <w:p w:rsidR="005564AC" w:rsidRPr="0025270B" w:rsidRDefault="005564AC" w:rsidP="0025270B">
      <w:pPr>
        <w:pStyle w:val="BodyText"/>
      </w:pPr>
    </w:p>
    <w:p w:rsidR="00636E11" w:rsidRDefault="00636E11" w:rsidP="00636E11">
      <w:pPr>
        <w:pStyle w:val="Heading3"/>
      </w:pPr>
      <w:r>
        <w:lastRenderedPageBreak/>
        <w:t>Regulation of the superannuation industry</w:t>
      </w:r>
    </w:p>
    <w:p w:rsidR="00636E11" w:rsidRDefault="00636E11" w:rsidP="00636E11">
      <w:pPr>
        <w:pStyle w:val="BodyText"/>
      </w:pPr>
      <w:r>
        <w:t>The Australian superannuation industry is highly regulated</w:t>
      </w:r>
      <w:r w:rsidR="0039180A">
        <w:t xml:space="preserve">, with a number of </w:t>
      </w:r>
      <w:r w:rsidR="009D3AB1">
        <w:t>agencie</w:t>
      </w:r>
      <w:r w:rsidR="006C5CD5">
        <w:t>s</w:t>
      </w:r>
      <w:r w:rsidR="0039180A">
        <w:t xml:space="preserve"> having a role (box</w:t>
      </w:r>
      <w:r w:rsidR="0075017A">
        <w:t> </w:t>
      </w:r>
      <w:r w:rsidR="0039180A">
        <w:t>2.</w:t>
      </w:r>
      <w:r w:rsidR="00A56D8C">
        <w:t>3</w:t>
      </w:r>
      <w:r w:rsidR="0039180A">
        <w:t>)</w:t>
      </w:r>
      <w:r w:rsidR="003F7C50">
        <w:t xml:space="preserve">. </w:t>
      </w:r>
      <w:r>
        <w:t>The Australian Prudential Regulation Authority (APRA) has the primary regulatory role, as it regulates industry, retail, corporate and some public sector funds (APRA 2005).</w:t>
      </w:r>
      <w:r w:rsidR="00EF15FB">
        <w:t xml:space="preserve"> The characteristics of each of these </w:t>
      </w:r>
      <w:r w:rsidR="009E2EB1">
        <w:t>types</w:t>
      </w:r>
      <w:r w:rsidR="00EF15FB">
        <w:t xml:space="preserve"> of funds are, briefly:</w:t>
      </w:r>
    </w:p>
    <w:p w:rsidR="00636E11" w:rsidRDefault="00CD18AA" w:rsidP="00636E11">
      <w:pPr>
        <w:pStyle w:val="ListBullet"/>
      </w:pPr>
      <w:r w:rsidRPr="005564AC">
        <w:rPr>
          <w:i/>
        </w:rPr>
        <w:t>i</w:t>
      </w:r>
      <w:r w:rsidR="00636E11" w:rsidRPr="005564AC">
        <w:rPr>
          <w:i/>
        </w:rPr>
        <w:t>ndustry funds</w:t>
      </w:r>
      <w:r w:rsidR="00373A13">
        <w:t xml:space="preserve"> —</w:t>
      </w:r>
      <w:r w:rsidR="00636E11">
        <w:t xml:space="preserve"> </w:t>
      </w:r>
      <w:r w:rsidR="00EF15FB">
        <w:t xml:space="preserve">they </w:t>
      </w:r>
      <w:r w:rsidR="00636E11">
        <w:t xml:space="preserve">have traditionally drawn members from </w:t>
      </w:r>
      <w:r w:rsidR="00373A13">
        <w:t xml:space="preserve">the employees of </w:t>
      </w:r>
      <w:r w:rsidR="00636E11">
        <w:t xml:space="preserve">a range of employers across a single industry, </w:t>
      </w:r>
      <w:r w:rsidR="00373A13">
        <w:t xml:space="preserve">and </w:t>
      </w:r>
      <w:r w:rsidR="00073ED7">
        <w:t xml:space="preserve">were </w:t>
      </w:r>
      <w:r w:rsidR="00636E11">
        <w:t>generally established under an agreement between parties to an industrial award. The boards of these funds have an equal number of employer and employee representatives, and sometimes one or more independent directors.</w:t>
      </w:r>
      <w:r w:rsidR="00901E01" w:rsidRPr="00901E01">
        <w:t xml:space="preserve"> </w:t>
      </w:r>
      <w:r w:rsidR="00901E01">
        <w:t xml:space="preserve">However, </w:t>
      </w:r>
      <w:r w:rsidR="003F7C50">
        <w:t>industry</w:t>
      </w:r>
      <w:r w:rsidR="00901E01">
        <w:t xml:space="preserve"> funds are increasingly public offer </w:t>
      </w:r>
      <w:r w:rsidR="00D22E4E">
        <w:t xml:space="preserve">and can be joined by members of the public by their own choosing </w:t>
      </w:r>
    </w:p>
    <w:p w:rsidR="00636E11" w:rsidRDefault="00CD18AA" w:rsidP="00636E11">
      <w:pPr>
        <w:pStyle w:val="ListBullet"/>
      </w:pPr>
      <w:r w:rsidRPr="005564AC">
        <w:rPr>
          <w:i/>
        </w:rPr>
        <w:t>r</w:t>
      </w:r>
      <w:r w:rsidR="00636E11" w:rsidRPr="005564AC">
        <w:rPr>
          <w:i/>
        </w:rPr>
        <w:t>etail funds</w:t>
      </w:r>
      <w:r w:rsidR="00373A13">
        <w:t xml:space="preserve"> —</w:t>
      </w:r>
      <w:r w:rsidR="00636E11">
        <w:t xml:space="preserve"> </w:t>
      </w:r>
      <w:r w:rsidR="00EF15FB">
        <w:t xml:space="preserve">they </w:t>
      </w:r>
      <w:r w:rsidR="00636E11">
        <w:t>offer superannuation products to the public on a commercial public offer basis</w:t>
      </w:r>
      <w:r w:rsidR="00373A13">
        <w:t xml:space="preserve"> and</w:t>
      </w:r>
      <w:r w:rsidR="00636E11">
        <w:t xml:space="preserve"> are usually run by large financial institutions</w:t>
      </w:r>
    </w:p>
    <w:p w:rsidR="00636E11" w:rsidRDefault="00CD18AA" w:rsidP="00636E11">
      <w:pPr>
        <w:pStyle w:val="ListBullet"/>
      </w:pPr>
      <w:r w:rsidRPr="005564AC">
        <w:rPr>
          <w:i/>
        </w:rPr>
        <w:t>c</w:t>
      </w:r>
      <w:r w:rsidR="00636E11" w:rsidRPr="005564AC">
        <w:rPr>
          <w:i/>
        </w:rPr>
        <w:t>orporate funds</w:t>
      </w:r>
      <w:r w:rsidR="00373A13">
        <w:t xml:space="preserve"> — </w:t>
      </w:r>
      <w:r w:rsidR="00EF15FB">
        <w:t>they</w:t>
      </w:r>
      <w:r w:rsidR="00636E11">
        <w:t xml:space="preserve"> are sponsored by one or more employers </w:t>
      </w:r>
    </w:p>
    <w:p w:rsidR="003F7C50" w:rsidRDefault="00CD18AA" w:rsidP="00C25095">
      <w:pPr>
        <w:pStyle w:val="ListBullet"/>
      </w:pPr>
      <w:r w:rsidRPr="005564AC">
        <w:rPr>
          <w:i/>
        </w:rPr>
        <w:t>p</w:t>
      </w:r>
      <w:r w:rsidR="00636E11" w:rsidRPr="005564AC">
        <w:rPr>
          <w:i/>
        </w:rPr>
        <w:t>ublic sector funds</w:t>
      </w:r>
      <w:r w:rsidR="00636E11">
        <w:t xml:space="preserve"> </w:t>
      </w:r>
      <w:r w:rsidR="00373A13">
        <w:t xml:space="preserve">— </w:t>
      </w:r>
      <w:r w:rsidR="00EF15FB">
        <w:t xml:space="preserve">they </w:t>
      </w:r>
      <w:r w:rsidR="00636E11">
        <w:t>have a government agency or government</w:t>
      </w:r>
      <w:r w:rsidR="0046188C">
        <w:t>-</w:t>
      </w:r>
      <w:r w:rsidR="00636E11">
        <w:t xml:space="preserve">owned corporation as their sponsoring entity. </w:t>
      </w:r>
      <w:r w:rsidR="00A80EDB">
        <w:t xml:space="preserve">Although </w:t>
      </w:r>
      <w:r w:rsidR="00636E11">
        <w:t>some are regulated by APRA, a number are exempt</w:t>
      </w:r>
      <w:r w:rsidR="00867971">
        <w:t xml:space="preserve"> from APRA regulation</w:t>
      </w:r>
      <w:r w:rsidR="00636E11">
        <w:t>. Exempt public sector</w:t>
      </w:r>
      <w:r w:rsidR="009D3AB1">
        <w:t xml:space="preserve"> superannuation</w:t>
      </w:r>
      <w:r w:rsidR="00636E11">
        <w:t xml:space="preserve"> schemes</w:t>
      </w:r>
      <w:r w:rsidR="009D3AB1">
        <w:t xml:space="preserve"> (</w:t>
      </w:r>
      <w:proofErr w:type="spellStart"/>
      <w:r w:rsidR="009D3AB1">
        <w:t>EPSSSs</w:t>
      </w:r>
      <w:proofErr w:type="spellEnd"/>
      <w:r w:rsidR="009D3AB1">
        <w:t>)</w:t>
      </w:r>
      <w:r w:rsidR="00636E11">
        <w:t xml:space="preserve"> are subject to a heads of government agreement between the Commonwealth and State </w:t>
      </w:r>
      <w:r w:rsidR="00252039">
        <w:t>G</w:t>
      </w:r>
      <w:r w:rsidR="00636E11">
        <w:t>overnments under which the schemes are operated (to the extent practicable) in accordance with</w:t>
      </w:r>
      <w:r w:rsidR="003F7C50">
        <w:t xml:space="preserve"> core legislative requirements.</w:t>
      </w:r>
    </w:p>
    <w:p w:rsidR="00C25095" w:rsidRDefault="00C25095" w:rsidP="00C25095">
      <w:pPr>
        <w:pStyle w:val="BodyText"/>
      </w:pPr>
      <w:r>
        <w:t xml:space="preserve">Trustees of APRA-regulated funds must be licensed under the SIS Act. </w:t>
      </w:r>
      <w:r w:rsidRPr="0067070C">
        <w:t>Each licensed trustee must</w:t>
      </w:r>
      <w:r>
        <w:t xml:space="preserve"> comply with a number of ongoing requirements, including proper and prudent performance of their duties, compliance with fit and proper standards, and registration with APRA of each superannuation fund for which the trustee is a licensed trustee (APRA 2004). In addition, </w:t>
      </w:r>
      <w:r w:rsidRPr="002C5A1F">
        <w:t xml:space="preserve">the </w:t>
      </w:r>
      <w:r>
        <w:t>SIS Act</w:t>
      </w:r>
      <w:r w:rsidRPr="009B6185" w:rsidDel="007C1105">
        <w:rPr>
          <w:i/>
        </w:rPr>
        <w:t xml:space="preserve"> </w:t>
      </w:r>
      <w:r>
        <w:t xml:space="preserve">requires </w:t>
      </w:r>
      <w:r w:rsidRPr="009B6185">
        <w:t xml:space="preserve">equal </w:t>
      </w:r>
      <w:r>
        <w:t>numbers of employer and employee representatives on the boards of corporate funds and industry funds that are not public offer. There is also a requirement that default products offered by superannuation funds include a minimum level of life insurance.</w:t>
      </w:r>
    </w:p>
    <w:p w:rsidR="007B423D" w:rsidRDefault="007B423D" w:rsidP="00C25095">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F7C50" w:rsidTr="003F7C50">
        <w:tc>
          <w:tcPr>
            <w:tcW w:w="8771" w:type="dxa"/>
            <w:tcBorders>
              <w:top w:val="single" w:sz="6" w:space="0" w:color="auto"/>
              <w:bottom w:val="nil"/>
            </w:tcBorders>
          </w:tcPr>
          <w:p w:rsidR="003F7C50" w:rsidRDefault="003F7C50" w:rsidP="003F7C50">
            <w:pPr>
              <w:pStyle w:val="BoxTitle"/>
            </w:pPr>
            <w:r>
              <w:rPr>
                <w:b w:val="0"/>
              </w:rPr>
              <w:lastRenderedPageBreak/>
              <w:t xml:space="preserve">Box </w:t>
            </w:r>
            <w:r>
              <w:rPr>
                <w:b w:val="0"/>
              </w:rPr>
              <w:fldChar w:fldCharType="begin"/>
            </w:r>
            <w:r>
              <w:rPr>
                <w:b w:val="0"/>
              </w:rPr>
              <w:instrText xml:space="preserve"> COMMENTS  \* MERGEFORMAT </w:instrText>
            </w:r>
            <w:r>
              <w:rPr>
                <w:b w:val="0"/>
              </w:rPr>
              <w:fldChar w:fldCharType="separate"/>
            </w:r>
            <w:r>
              <w:rPr>
                <w:b w:val="0"/>
              </w:rPr>
              <w:t>2.</w:t>
            </w:r>
            <w:r>
              <w:rPr>
                <w:b w:val="0"/>
              </w:rPr>
              <w:fldChar w:fldCharType="end"/>
            </w:r>
            <w:r>
              <w:rPr>
                <w:b w:val="0"/>
              </w:rPr>
              <w:fldChar w:fldCharType="begin"/>
            </w:r>
            <w:r>
              <w:rPr>
                <w:b w:val="0"/>
              </w:rPr>
              <w:instrText xml:space="preserve"> SEQ Box \* ARABIC </w:instrText>
            </w:r>
            <w:r>
              <w:rPr>
                <w:b w:val="0"/>
              </w:rPr>
              <w:fldChar w:fldCharType="separate"/>
            </w:r>
            <w:r w:rsidR="00AA5B30">
              <w:rPr>
                <w:b w:val="0"/>
                <w:noProof/>
              </w:rPr>
              <w:t>3</w:t>
            </w:r>
            <w:r>
              <w:rPr>
                <w:b w:val="0"/>
              </w:rPr>
              <w:fldChar w:fldCharType="end"/>
            </w:r>
            <w:r>
              <w:tab/>
              <w:t>Regulatory arrangements for superannuation</w:t>
            </w:r>
          </w:p>
        </w:tc>
      </w:tr>
      <w:tr w:rsidR="003F7C50" w:rsidTr="003F7C50">
        <w:trPr>
          <w:cantSplit/>
        </w:trPr>
        <w:tc>
          <w:tcPr>
            <w:tcW w:w="8771" w:type="dxa"/>
            <w:tcBorders>
              <w:top w:val="nil"/>
              <w:left w:val="single" w:sz="6" w:space="0" w:color="auto"/>
              <w:bottom w:val="nil"/>
              <w:right w:val="single" w:sz="6" w:space="0" w:color="auto"/>
            </w:tcBorders>
          </w:tcPr>
          <w:p w:rsidR="003F7C50" w:rsidRDefault="003F7C50" w:rsidP="00DF24A5">
            <w:pPr>
              <w:pStyle w:val="Box"/>
            </w:pPr>
            <w:r>
              <w:t xml:space="preserve">The Australian Prudential Regulation Authority </w:t>
            </w:r>
            <w:r w:rsidR="00EF15FB">
              <w:t xml:space="preserve">administers and </w:t>
            </w:r>
            <w:r>
              <w:t xml:space="preserve">enforces </w:t>
            </w:r>
            <w:r w:rsidR="00EF15FB">
              <w:t xml:space="preserve">a range of </w:t>
            </w:r>
            <w:r>
              <w:t>prudential standards.</w:t>
            </w:r>
            <w:r w:rsidR="00373A13">
              <w:t xml:space="preserve"> T</w:t>
            </w:r>
            <w:r>
              <w:t xml:space="preserve">here are several </w:t>
            </w:r>
            <w:r w:rsidR="00373A13">
              <w:t xml:space="preserve">other </w:t>
            </w:r>
            <w:r>
              <w:t xml:space="preserve">agencies that </w:t>
            </w:r>
            <w:r w:rsidR="00373A13">
              <w:t xml:space="preserve">also </w:t>
            </w:r>
            <w:r>
              <w:t>have responsibilities for superannuation regulation.</w:t>
            </w:r>
          </w:p>
          <w:p w:rsidR="003F7C50" w:rsidRDefault="003F7C50" w:rsidP="00DF24A5">
            <w:pPr>
              <w:pStyle w:val="BoxListBullet"/>
            </w:pPr>
            <w:r>
              <w:t xml:space="preserve">The Superannuation Complaints Tribunal hears complaints relating to the decisions of trustees of superannuation funds. </w:t>
            </w:r>
          </w:p>
          <w:p w:rsidR="003F7C50" w:rsidRDefault="003F7C50" w:rsidP="00DF24A5">
            <w:pPr>
              <w:pStyle w:val="BoxListBullet"/>
            </w:pPr>
            <w:r>
              <w:t xml:space="preserve">Fair Work Australia regulates the industrial relations system and the listing of default funds in awards. </w:t>
            </w:r>
          </w:p>
          <w:p w:rsidR="003F7C50" w:rsidRDefault="003F7C50" w:rsidP="00DF24A5">
            <w:pPr>
              <w:pStyle w:val="BoxListBullet"/>
            </w:pPr>
            <w:r>
              <w:t>Failure to make compulsory superannuation contributions results in the employer being liable for a superannuation guarantee charge. This is enforced by the Australian Taxation Office (</w:t>
            </w:r>
            <w:proofErr w:type="spellStart"/>
            <w:r>
              <w:t>ATO</w:t>
            </w:r>
            <w:proofErr w:type="spellEnd"/>
            <w:r>
              <w:t xml:space="preserve">). The </w:t>
            </w:r>
            <w:proofErr w:type="spellStart"/>
            <w:r>
              <w:t>ATO</w:t>
            </w:r>
            <w:proofErr w:type="spellEnd"/>
            <w:r>
              <w:t xml:space="preserve"> also regulates </w:t>
            </w:r>
            <w:proofErr w:type="spellStart"/>
            <w:r>
              <w:t>self managed</w:t>
            </w:r>
            <w:proofErr w:type="spellEnd"/>
            <w:r>
              <w:t xml:space="preserve"> superannuation funds. </w:t>
            </w:r>
          </w:p>
          <w:p w:rsidR="003F7C50" w:rsidRDefault="003F7C50" w:rsidP="00DF24A5">
            <w:pPr>
              <w:pStyle w:val="BoxListBullet"/>
            </w:pPr>
            <w:r>
              <w:t>Although the Fair Work Ombudsman</w:t>
            </w:r>
            <w:r w:rsidR="00B817DA">
              <w:t xml:space="preserve"> (</w:t>
            </w:r>
            <w:proofErr w:type="spellStart"/>
            <w:r w:rsidR="00B817DA">
              <w:t>FWO</w:t>
            </w:r>
            <w:proofErr w:type="spellEnd"/>
            <w:r w:rsidR="00B817DA">
              <w:t>)</w:t>
            </w:r>
            <w:r>
              <w:t xml:space="preserve"> is responsible for the enforcement of industrial relations laws, it does not enforce</w:t>
            </w:r>
            <w:r w:rsidR="00373A13">
              <w:t xml:space="preserve"> the</w:t>
            </w:r>
            <w:r>
              <w:t xml:space="preserve"> payment of superannuation. Complaints received by the </w:t>
            </w:r>
            <w:proofErr w:type="spellStart"/>
            <w:r w:rsidR="00B817DA">
              <w:t>FWO</w:t>
            </w:r>
            <w:proofErr w:type="spellEnd"/>
            <w:r>
              <w:t xml:space="preserve"> about non-payment of superannuation are referred to the </w:t>
            </w:r>
            <w:proofErr w:type="spellStart"/>
            <w:r>
              <w:t>ATO</w:t>
            </w:r>
            <w:proofErr w:type="spellEnd"/>
            <w:r>
              <w:t xml:space="preserve">. </w:t>
            </w:r>
            <w:r w:rsidRPr="002D0290">
              <w:t>However,</w:t>
            </w:r>
            <w:r w:rsidRPr="005815B5">
              <w:t xml:space="preserve"> an employer’s failure to pay into a default fund listed in a modern award would </w:t>
            </w:r>
            <w:r w:rsidRPr="004A189E">
              <w:t xml:space="preserve">in theory </w:t>
            </w:r>
            <w:r w:rsidRPr="002D0290">
              <w:t xml:space="preserve">be dealt with by the </w:t>
            </w:r>
            <w:proofErr w:type="spellStart"/>
            <w:r w:rsidR="00B817DA">
              <w:t>FWO</w:t>
            </w:r>
            <w:proofErr w:type="spellEnd"/>
            <w:r w:rsidRPr="002D0290">
              <w:t>, although complaints about this are rarely made.</w:t>
            </w:r>
          </w:p>
          <w:p w:rsidR="003F7C50" w:rsidRDefault="003F7C50" w:rsidP="00DF24A5">
            <w:pPr>
              <w:pStyle w:val="BoxListBullet"/>
            </w:pPr>
            <w:r>
              <w:t>The Australian Securities and Investments Commission</w:t>
            </w:r>
            <w:r w:rsidR="00373A13">
              <w:t xml:space="preserve"> </w:t>
            </w:r>
            <w:r>
              <w:t>licenses financial advisers</w:t>
            </w:r>
            <w:r w:rsidR="00373A13">
              <w:t>, regulates corporate disclosure</w:t>
            </w:r>
            <w:r>
              <w:t xml:space="preserve"> and has a general consumer protection role in the financial services industry, including</w:t>
            </w:r>
            <w:r w:rsidR="00373A13">
              <w:t xml:space="preserve"> in relation to</w:t>
            </w:r>
            <w:r>
              <w:t xml:space="preserve"> superannuation and insurance.</w:t>
            </w:r>
            <w:r w:rsidR="00373A13">
              <w:t xml:space="preserve"> For example,</w:t>
            </w:r>
            <w:r w:rsidR="00762519">
              <w:t xml:space="preserve"> </w:t>
            </w:r>
            <w:r w:rsidR="00BD5313">
              <w:t xml:space="preserve">the </w:t>
            </w:r>
            <w:r w:rsidR="00373A13">
              <w:t>A</w:t>
            </w:r>
            <w:r w:rsidR="00BD5313">
              <w:t xml:space="preserve">ustralian </w:t>
            </w:r>
            <w:r w:rsidR="00373A13">
              <w:t>S</w:t>
            </w:r>
            <w:r w:rsidR="00BD5313">
              <w:t xml:space="preserve">ecurities and </w:t>
            </w:r>
            <w:r w:rsidR="00373A13">
              <w:t>I</w:t>
            </w:r>
            <w:r w:rsidR="00B817DA">
              <w:t>n</w:t>
            </w:r>
            <w:r w:rsidR="00BD5313">
              <w:t>vestments</w:t>
            </w:r>
            <w:r w:rsidR="00B817DA">
              <w:t xml:space="preserve"> </w:t>
            </w:r>
            <w:r w:rsidR="00373A13">
              <w:t>C</w:t>
            </w:r>
            <w:r w:rsidR="00B817DA">
              <w:t>ommission</w:t>
            </w:r>
            <w:r w:rsidR="00373A13">
              <w:t xml:space="preserve"> </w:t>
            </w:r>
            <w:r w:rsidR="00762519">
              <w:t xml:space="preserve">is responsible for the regulation of intra-fund advice provided by superannuation funds. </w:t>
            </w:r>
          </w:p>
          <w:p w:rsidR="003F7C50" w:rsidRDefault="003F7C50" w:rsidP="00BE4861">
            <w:pPr>
              <w:pStyle w:val="BoxListBullet"/>
            </w:pPr>
            <w:r>
              <w:t>The Australian Competition and Consumer Commission has a general role in ensuring competition in market</w:t>
            </w:r>
            <w:r w:rsidR="00BE4861">
              <w:t>s</w:t>
            </w:r>
            <w:r>
              <w:t>. It regulates anti-competitive conduct such as price-fixing, cartels, anti-competitive agreements and misuse of market power. It is also responsible for reviewing mergers that could substantially lessen competition.</w:t>
            </w:r>
          </w:p>
        </w:tc>
      </w:tr>
      <w:tr w:rsidR="003F7C50" w:rsidTr="003F7C50">
        <w:trPr>
          <w:cantSplit/>
        </w:trPr>
        <w:tc>
          <w:tcPr>
            <w:tcW w:w="8771" w:type="dxa"/>
            <w:tcBorders>
              <w:top w:val="nil"/>
              <w:left w:val="single" w:sz="6" w:space="0" w:color="auto"/>
              <w:bottom w:val="nil"/>
              <w:right w:val="single" w:sz="6" w:space="0" w:color="auto"/>
            </w:tcBorders>
          </w:tcPr>
          <w:p w:rsidR="003F7C50" w:rsidRDefault="003F7C50" w:rsidP="003F7C50">
            <w:pPr>
              <w:pStyle w:val="BoxSource"/>
            </w:pPr>
            <w:r>
              <w:rPr>
                <w:i/>
              </w:rPr>
              <w:t>Sources</w:t>
            </w:r>
            <w:r w:rsidRPr="00252039">
              <w:t>:</w:t>
            </w:r>
            <w:r w:rsidRPr="00167F06">
              <w:t xml:space="preserve"> </w:t>
            </w:r>
            <w:proofErr w:type="spellStart"/>
            <w:r>
              <w:t>ACCC</w:t>
            </w:r>
            <w:proofErr w:type="spellEnd"/>
            <w:r>
              <w:t xml:space="preserve"> (2008, 2012); </w:t>
            </w:r>
            <w:proofErr w:type="spellStart"/>
            <w:r w:rsidRPr="00E44610">
              <w:t>ASIC</w:t>
            </w:r>
            <w:proofErr w:type="spellEnd"/>
            <w:r w:rsidRPr="00E44610">
              <w:t xml:space="preserve"> </w:t>
            </w:r>
            <w:r>
              <w:t>(</w:t>
            </w:r>
            <w:proofErr w:type="spellStart"/>
            <w:r w:rsidRPr="00E44610">
              <w:t>2012</w:t>
            </w:r>
            <w:r>
              <w:t>a</w:t>
            </w:r>
            <w:proofErr w:type="spellEnd"/>
            <w:r>
              <w:t>);</w:t>
            </w:r>
            <w:r w:rsidRPr="00E44610">
              <w:t xml:space="preserve"> </w:t>
            </w:r>
            <w:proofErr w:type="spellStart"/>
            <w:r w:rsidRPr="00E44610">
              <w:t>ATO</w:t>
            </w:r>
            <w:proofErr w:type="spellEnd"/>
            <w:r w:rsidRPr="00E44610">
              <w:t xml:space="preserve"> (</w:t>
            </w:r>
            <w:proofErr w:type="spellStart"/>
            <w:r w:rsidRPr="00E44610">
              <w:t>2011a</w:t>
            </w:r>
            <w:proofErr w:type="spellEnd"/>
            <w:r>
              <w:t xml:space="preserve">, </w:t>
            </w:r>
            <w:proofErr w:type="spellStart"/>
            <w:r>
              <w:t>2011b</w:t>
            </w:r>
            <w:proofErr w:type="spellEnd"/>
            <w:r w:rsidRPr="00E44610">
              <w:t>)</w:t>
            </w:r>
            <w:r>
              <w:t xml:space="preserve">; </w:t>
            </w:r>
            <w:proofErr w:type="spellStart"/>
            <w:r>
              <w:t>FWO</w:t>
            </w:r>
            <w:proofErr w:type="spellEnd"/>
            <w:r>
              <w:t xml:space="preserve"> (</w:t>
            </w:r>
            <w:proofErr w:type="spellStart"/>
            <w:r>
              <w:t>2011a</w:t>
            </w:r>
            <w:proofErr w:type="spellEnd"/>
            <w:r w:rsidRPr="00E44610">
              <w:t>)</w:t>
            </w:r>
            <w:r>
              <w:t>;</w:t>
            </w:r>
            <w:r w:rsidRPr="00E44610">
              <w:t xml:space="preserve"> </w:t>
            </w:r>
            <w:proofErr w:type="spellStart"/>
            <w:r w:rsidRPr="00E44610">
              <w:t>SCT</w:t>
            </w:r>
            <w:proofErr w:type="spellEnd"/>
            <w:r w:rsidRPr="00E44610">
              <w:t xml:space="preserve"> (2009)</w:t>
            </w:r>
            <w:r>
              <w:t>.</w:t>
            </w:r>
          </w:p>
        </w:tc>
      </w:tr>
      <w:tr w:rsidR="003F7C50" w:rsidTr="003F7C50">
        <w:trPr>
          <w:cantSplit/>
        </w:trPr>
        <w:tc>
          <w:tcPr>
            <w:tcW w:w="8771" w:type="dxa"/>
            <w:tcBorders>
              <w:top w:val="nil"/>
              <w:left w:val="single" w:sz="6" w:space="0" w:color="auto"/>
              <w:bottom w:val="single" w:sz="6" w:space="0" w:color="auto"/>
              <w:right w:val="single" w:sz="6" w:space="0" w:color="auto"/>
            </w:tcBorders>
          </w:tcPr>
          <w:p w:rsidR="003F7C50" w:rsidRDefault="003F7C50" w:rsidP="003F7C50">
            <w:pPr>
              <w:pStyle w:val="Box"/>
              <w:spacing w:before="0" w:line="120" w:lineRule="exact"/>
            </w:pPr>
          </w:p>
        </w:tc>
      </w:tr>
      <w:tr w:rsidR="003F7C50" w:rsidTr="003F7C50">
        <w:tc>
          <w:tcPr>
            <w:tcW w:w="8771" w:type="dxa"/>
            <w:tcBorders>
              <w:top w:val="nil"/>
              <w:left w:val="nil"/>
              <w:bottom w:val="nil"/>
              <w:right w:val="nil"/>
            </w:tcBorders>
          </w:tcPr>
          <w:p w:rsidR="003F7C50" w:rsidRDefault="003F7C50" w:rsidP="003F7C50">
            <w:pPr>
              <w:pStyle w:val="Box"/>
              <w:keepNext w:val="0"/>
              <w:spacing w:before="60" w:after="60" w:line="80" w:lineRule="exact"/>
              <w:rPr>
                <w:b/>
                <w:color w:val="FF00FF"/>
                <w:sz w:val="14"/>
              </w:rPr>
            </w:pPr>
          </w:p>
        </w:tc>
      </w:tr>
    </w:tbl>
    <w:p w:rsidR="00B12893" w:rsidRPr="00F65F52" w:rsidRDefault="003F7C50" w:rsidP="00B31693">
      <w:pPr>
        <w:pStyle w:val="BodyText"/>
        <w:rPr>
          <w:rStyle w:val="NoteLabel"/>
        </w:rPr>
      </w:pPr>
      <w:r w:rsidRPr="001B0963">
        <w:t xml:space="preserve">Other than </w:t>
      </w:r>
      <w:proofErr w:type="spellStart"/>
      <w:r>
        <w:t>EPSSSs</w:t>
      </w:r>
      <w:proofErr w:type="spellEnd"/>
      <w:r>
        <w:t xml:space="preserve">, </w:t>
      </w:r>
      <w:proofErr w:type="spellStart"/>
      <w:r>
        <w:t xml:space="preserve">self </w:t>
      </w:r>
      <w:r w:rsidRPr="001B0963">
        <w:t>managed</w:t>
      </w:r>
      <w:proofErr w:type="spellEnd"/>
      <w:r w:rsidRPr="001B0963">
        <w:t xml:space="preserve"> superannuation funds (</w:t>
      </w:r>
      <w:proofErr w:type="spellStart"/>
      <w:r w:rsidRPr="001B0963">
        <w:t>SMSFs</w:t>
      </w:r>
      <w:proofErr w:type="spellEnd"/>
      <w:r w:rsidRPr="001B0963">
        <w:t xml:space="preserve">) are the main type of superannuation fund not regulated by APRA. </w:t>
      </w:r>
      <w:proofErr w:type="spellStart"/>
      <w:r w:rsidRPr="001B0963">
        <w:t>SMSFs</w:t>
      </w:r>
      <w:proofErr w:type="spellEnd"/>
      <w:r w:rsidRPr="001B0963">
        <w:t xml:space="preserve"> have fewer than five members</w:t>
      </w:r>
      <w:r>
        <w:t xml:space="preserve">, and </w:t>
      </w:r>
      <w:r w:rsidRPr="001B0963">
        <w:t>are the largest and fastest</w:t>
      </w:r>
      <w:r w:rsidR="008543B5">
        <w:t>-</w:t>
      </w:r>
      <w:r w:rsidRPr="001B0963">
        <w:t>growing superannuation sector. From 2000</w:t>
      </w:r>
      <w:r>
        <w:t> </w:t>
      </w:r>
      <w:r w:rsidRPr="001B0963">
        <w:t xml:space="preserve">to 2009, the number of </w:t>
      </w:r>
      <w:proofErr w:type="spellStart"/>
      <w:r w:rsidRPr="001B0963">
        <w:t>SMSFs</w:t>
      </w:r>
      <w:proofErr w:type="spellEnd"/>
      <w:r w:rsidRPr="001B0963">
        <w:t xml:space="preserve"> doubled</w:t>
      </w:r>
      <w:r w:rsidR="00B31693">
        <w:t xml:space="preserve"> to over 400 000 funds</w:t>
      </w:r>
      <w:r w:rsidRPr="001B0963">
        <w:t xml:space="preserve"> </w:t>
      </w:r>
      <w:r>
        <w:t>(about</w:t>
      </w:r>
      <w:r w:rsidRPr="001B0963">
        <w:t xml:space="preserve"> 30 000</w:t>
      </w:r>
      <w:r w:rsidR="00F65F52">
        <w:t> </w:t>
      </w:r>
      <w:r w:rsidRPr="001B0963">
        <w:t xml:space="preserve">new </w:t>
      </w:r>
      <w:proofErr w:type="spellStart"/>
      <w:r w:rsidRPr="001B0963">
        <w:t>SMSFs</w:t>
      </w:r>
      <w:proofErr w:type="spellEnd"/>
      <w:r w:rsidRPr="001B0963">
        <w:t xml:space="preserve"> were established each year between 2007 </w:t>
      </w:r>
      <w:r w:rsidR="00870C64">
        <w:t>and</w:t>
      </w:r>
      <w:r w:rsidR="00870C64" w:rsidRPr="001B0963">
        <w:t xml:space="preserve"> </w:t>
      </w:r>
      <w:r w:rsidRPr="001B0963">
        <w:t xml:space="preserve">2011, and during this period, </w:t>
      </w:r>
      <w:proofErr w:type="spellStart"/>
      <w:r w:rsidRPr="001B0963">
        <w:t>SMSF</w:t>
      </w:r>
      <w:proofErr w:type="spellEnd"/>
      <w:r w:rsidRPr="001B0963">
        <w:t xml:space="preserve"> assets grew at twice the rate of total superannuation assets</w:t>
      </w:r>
      <w:r>
        <w:t>)</w:t>
      </w:r>
      <w:r w:rsidRPr="001B0963">
        <w:t xml:space="preserve">. As at </w:t>
      </w:r>
      <w:r w:rsidR="00867971" w:rsidRPr="001B0963">
        <w:t>September</w:t>
      </w:r>
      <w:r w:rsidR="00867971">
        <w:t> </w:t>
      </w:r>
      <w:r w:rsidRPr="001B0963">
        <w:t>2010,</w:t>
      </w:r>
      <w:r w:rsidR="00867971">
        <w:t xml:space="preserve"> </w:t>
      </w:r>
      <w:r w:rsidRPr="001B0963">
        <w:t>the</w:t>
      </w:r>
      <w:r w:rsidR="00B31693">
        <w:t xml:space="preserve"> sector held </w:t>
      </w:r>
      <w:r w:rsidRPr="001B0963">
        <w:t>over $400 billion in assets, which is a</w:t>
      </w:r>
      <w:r>
        <w:t>bout</w:t>
      </w:r>
      <w:r w:rsidRPr="001B0963">
        <w:t xml:space="preserve"> 30</w:t>
      </w:r>
      <w:r w:rsidR="00CE6EAB">
        <w:t> </w:t>
      </w:r>
      <w:r w:rsidRPr="001B0963">
        <w:t>per</w:t>
      </w:r>
      <w:r w:rsidR="00CE6EAB">
        <w:t> </w:t>
      </w:r>
      <w:r w:rsidRPr="001B0963">
        <w:t>cent of assets in the entire</w:t>
      </w:r>
      <w:r w:rsidR="00867971">
        <w:t xml:space="preserve"> superannuation</w:t>
      </w:r>
      <w:r w:rsidRPr="001B0963">
        <w:t xml:space="preserve"> industry (figure 2.2) (</w:t>
      </w:r>
      <w:proofErr w:type="spellStart"/>
      <w:r w:rsidRPr="001B0963">
        <w:t>ATO</w:t>
      </w:r>
      <w:proofErr w:type="spellEnd"/>
      <w:r w:rsidRPr="001B0963">
        <w:t xml:space="preserve"> </w:t>
      </w:r>
      <w:proofErr w:type="spellStart"/>
      <w:r w:rsidRPr="001B0963">
        <w:t>2011c</w:t>
      </w:r>
      <w:proofErr w:type="spellEnd"/>
      <w:r w:rsidRPr="001B0963">
        <w:t>,</w:t>
      </w:r>
      <w:r>
        <w:t xml:space="preserve"> </w:t>
      </w:r>
      <w:proofErr w:type="spellStart"/>
      <w:r w:rsidR="009A5186">
        <w:t>2012e</w:t>
      </w:r>
      <w:proofErr w:type="spellEnd"/>
      <w:r>
        <w:t>;</w:t>
      </w:r>
      <w:r w:rsidRPr="001B0963">
        <w:t xml:space="preserve"> Australian Government 20</w:t>
      </w:r>
      <w:r>
        <w:t>09</w:t>
      </w:r>
      <w:r w:rsidRPr="001B0963">
        <w:t>).</w:t>
      </w:r>
    </w:p>
    <w:p w:rsidR="00252039" w:rsidRPr="00B4041E" w:rsidRDefault="00252039" w:rsidP="00252039">
      <w:pPr>
        <w:pStyle w:val="FigureTitle"/>
      </w:pPr>
      <w:r w:rsidRPr="00F164E2">
        <w:rPr>
          <w:b w:val="0"/>
        </w:rPr>
        <w:lastRenderedPageBreak/>
        <w:t xml:space="preserve">Figure </w:t>
      </w:r>
      <w:r w:rsidRPr="00B4041E">
        <w:rPr>
          <w:b w:val="0"/>
        </w:rPr>
        <w:fldChar w:fldCharType="begin"/>
      </w:r>
      <w:r w:rsidRPr="00B81B55">
        <w:rPr>
          <w:b w:val="0"/>
        </w:rPr>
        <w:instrText xml:space="preserve"> COMMENTS  \* MERGEFORMAT </w:instrText>
      </w:r>
      <w:r w:rsidRPr="00B4041E">
        <w:rPr>
          <w:b w:val="0"/>
        </w:rPr>
        <w:fldChar w:fldCharType="separate"/>
      </w:r>
      <w:r w:rsidR="00A56D8C">
        <w:rPr>
          <w:b w:val="0"/>
        </w:rPr>
        <w:t>2.</w:t>
      </w:r>
      <w:r w:rsidRPr="00B4041E">
        <w:rPr>
          <w:b w:val="0"/>
        </w:rPr>
        <w:fldChar w:fldCharType="end"/>
      </w:r>
      <w:r w:rsidRPr="00B4041E">
        <w:rPr>
          <w:b w:val="0"/>
        </w:rPr>
        <w:fldChar w:fldCharType="begin"/>
      </w:r>
      <w:r w:rsidRPr="00B81B55">
        <w:rPr>
          <w:b w:val="0"/>
        </w:rPr>
        <w:instrText xml:space="preserve"> SEQ Figure \* ARABIC </w:instrText>
      </w:r>
      <w:r w:rsidRPr="00B4041E">
        <w:rPr>
          <w:b w:val="0"/>
        </w:rPr>
        <w:fldChar w:fldCharType="separate"/>
      </w:r>
      <w:r w:rsidR="00AA5B30">
        <w:rPr>
          <w:b w:val="0"/>
          <w:noProof/>
        </w:rPr>
        <w:t>2</w:t>
      </w:r>
      <w:r w:rsidRPr="00B4041E">
        <w:rPr>
          <w:b w:val="0"/>
        </w:rPr>
        <w:fldChar w:fldCharType="end"/>
      </w:r>
      <w:r w:rsidRPr="00B4041E">
        <w:tab/>
        <w:t>Superannuation industry profile</w:t>
      </w:r>
    </w:p>
    <w:p w:rsidR="00252039" w:rsidRPr="00B4041E" w:rsidRDefault="00252039" w:rsidP="00252039">
      <w:pPr>
        <w:pStyle w:val="Subtitle"/>
      </w:pPr>
      <w:r w:rsidRPr="00B4041E">
        <w:t>(</w:t>
      </w:r>
      <w:r>
        <w:t>N</w:t>
      </w:r>
      <w:r w:rsidRPr="00B4041E">
        <w:t>umber</w:t>
      </w:r>
      <w:r>
        <w:t xml:space="preserve"> of funds, per cent</w:t>
      </w:r>
      <w:r w:rsidRPr="00B4041E">
        <w:t xml:space="preserve"> share of assets)</w:t>
      </w:r>
      <w:r>
        <w:t>,</w:t>
      </w:r>
      <w:r w:rsidRPr="00F164E2">
        <w:t xml:space="preserve"> </w:t>
      </w:r>
      <w:r w:rsidR="00FD6750">
        <w:t>June 2012</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Superannuation industry profile"/>
        <w:tblDescription w:val="This graph profiles the superannuation industry in June 2012. It shows that there were 478 263 self managed superannuation funds with 29 per cent of assets, 135 retail funds with 25 per cent of assets, 56 industry funds with 18 per cent of assets, 39 public sector funds with 15 per cent of assets, 122 corporate funds with 4 per cent of assets, and 3268 other funds with 9 per cent of assets, which includes balance of life office statutory funds, small APRA funds, and pooled superannuation trusts, but excludes retirement savings providers and single-member approved deposit funds. "/>
      </w:tblPr>
      <w:tblGrid>
        <w:gridCol w:w="8777"/>
      </w:tblGrid>
      <w:tr w:rsidR="00FD6750" w:rsidRPr="00B81B55" w:rsidTr="00252039">
        <w:tc>
          <w:tcPr>
            <w:tcW w:w="8777" w:type="dxa"/>
          </w:tcPr>
          <w:p w:rsidR="00FD6750" w:rsidRPr="00F65F52" w:rsidRDefault="00FD6750">
            <w:pPr>
              <w:rPr>
                <w:rStyle w:val="NoteLabel"/>
              </w:rPr>
            </w:pPr>
            <w:r w:rsidRPr="00F65F52">
              <w:rPr>
                <w:rStyle w:val="NoteLabel"/>
                <w:noProof/>
              </w:rPr>
              <w:drawing>
                <wp:inline distT="0" distB="0" distL="0" distR="0" wp14:anchorId="26C0BE8B" wp14:editId="4B5A9D8E">
                  <wp:extent cx="5400000" cy="2880000"/>
                  <wp:effectExtent l="0" t="0" r="0" b="0"/>
                  <wp:docPr id="7" name="Chart 7" descr="Self managed superannuation funds hold 29% of assets, retail funds 25% of assets, industry funds 18% of assets, public sector funds 15%, corporate funds 4%, and other funds 9% of assets." title="Superannuation industry profile, number of funds, percent share of assets, June 20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52039" w:rsidRPr="00F026D1" w:rsidRDefault="00252039" w:rsidP="00252039">
      <w:pPr>
        <w:pStyle w:val="Note"/>
      </w:pPr>
      <w:proofErr w:type="spellStart"/>
      <w:r>
        <w:rPr>
          <w:rStyle w:val="NoteLabel"/>
        </w:rPr>
        <w:t>a</w:t>
      </w:r>
      <w:proofErr w:type="spellEnd"/>
      <w:r>
        <w:sym w:font="Symbol" w:char="F020"/>
      </w:r>
      <w:r>
        <w:t>Other funds, which are not regulated</w:t>
      </w:r>
      <w:r w:rsidR="00867971">
        <w:t xml:space="preserve"> by APRA</w:t>
      </w:r>
      <w:r>
        <w:t xml:space="preserve">, comprise </w:t>
      </w:r>
      <w:r w:rsidR="003B67AB">
        <w:t xml:space="preserve">pooled </w:t>
      </w:r>
      <w:r>
        <w:t>superannuation trusts</w:t>
      </w:r>
      <w:r w:rsidR="00BB1D77">
        <w:t>, small funds,</w:t>
      </w:r>
      <w:r>
        <w:t xml:space="preserve"> and balance of life office statutory funds. Retirement savings providers have not been included in this figure, as they accounted for 0.1 per cent of assets</w:t>
      </w:r>
      <w:r w:rsidR="00BE4861">
        <w:t>, as</w:t>
      </w:r>
      <w:r>
        <w:t xml:space="preserve"> at </w:t>
      </w:r>
      <w:r w:rsidR="00BB1D77">
        <w:t>June 2012</w:t>
      </w:r>
      <w:r>
        <w:t xml:space="preserve">. </w:t>
      </w:r>
      <w:r w:rsidR="00CE6EAB">
        <w:t xml:space="preserve">Single-member </w:t>
      </w:r>
      <w:r w:rsidR="007B1785">
        <w:t>approved deposit funds</w:t>
      </w:r>
      <w:r w:rsidR="00CE6EAB">
        <w:t xml:space="preserve"> have also been excluded.</w:t>
      </w:r>
    </w:p>
    <w:p w:rsidR="00252039" w:rsidRDefault="00252039" w:rsidP="00252039">
      <w:pPr>
        <w:pStyle w:val="Note"/>
      </w:pPr>
      <w:r>
        <w:rPr>
          <w:i/>
        </w:rPr>
        <w:t>S</w:t>
      </w:r>
      <w:r w:rsidRPr="00F164E2">
        <w:rPr>
          <w:i/>
        </w:rPr>
        <w:t>ource</w:t>
      </w:r>
      <w:r w:rsidR="00EE5C9A">
        <w:rPr>
          <w:i/>
        </w:rPr>
        <w:t>s</w:t>
      </w:r>
      <w:r w:rsidRPr="007F0DF3">
        <w:t>:</w:t>
      </w:r>
      <w:r w:rsidRPr="00B4041E">
        <w:t xml:space="preserve"> APRA</w:t>
      </w:r>
      <w:r>
        <w:t xml:space="preserve"> (</w:t>
      </w:r>
      <w:proofErr w:type="spellStart"/>
      <w:r w:rsidR="009A5186">
        <w:t>2012f</w:t>
      </w:r>
      <w:proofErr w:type="spellEnd"/>
      <w:r>
        <w:t>)</w:t>
      </w:r>
      <w:r w:rsidRPr="00B4041E">
        <w:t xml:space="preserve"> </w:t>
      </w:r>
      <w:r>
        <w:t>performance results based on quarterly data for superannuation funds including APRA-reporting exempt public sector superannuation schemes, pooled superannuation trusts, and retirement savings accounts</w:t>
      </w:r>
      <w:r w:rsidRPr="00B4041E">
        <w:t>.</w:t>
      </w:r>
    </w:p>
    <w:p w:rsidR="00B12893" w:rsidRDefault="00BE4861" w:rsidP="00766E32">
      <w:pPr>
        <w:pStyle w:val="BodyText"/>
      </w:pPr>
      <w:r>
        <w:t>In</w:t>
      </w:r>
      <w:r w:rsidRPr="001B0963">
        <w:t xml:space="preserve"> </w:t>
      </w:r>
      <w:r w:rsidR="00591C5B" w:rsidRPr="001B0963">
        <w:t>contrast, b</w:t>
      </w:r>
      <w:r w:rsidR="00766E32" w:rsidRPr="001B0963">
        <w:t>etween 1996 and 201</w:t>
      </w:r>
      <w:r w:rsidR="00D734C5">
        <w:t>2</w:t>
      </w:r>
      <w:r w:rsidR="00766E32" w:rsidRPr="001B0963">
        <w:t>, the number of</w:t>
      </w:r>
      <w:r w:rsidR="000323C0">
        <w:t xml:space="preserve"> </w:t>
      </w:r>
      <w:r w:rsidR="00766E32" w:rsidRPr="001B0963">
        <w:t>APRA</w:t>
      </w:r>
      <w:r w:rsidR="00ED11CB">
        <w:t>-</w:t>
      </w:r>
      <w:r w:rsidR="00766E32" w:rsidRPr="001B0963">
        <w:t>regulated superannuation funds decreased from 4747 to 3</w:t>
      </w:r>
      <w:r w:rsidR="00D734C5">
        <w:t>52</w:t>
      </w:r>
      <w:r w:rsidR="00867971">
        <w:t>. T</w:t>
      </w:r>
      <w:r w:rsidR="00766E32" w:rsidRPr="001B0963">
        <w:t xml:space="preserve">his consolidation is expected to continue in </w:t>
      </w:r>
      <w:r w:rsidR="00A464CC">
        <w:t>coming</w:t>
      </w:r>
      <w:r w:rsidR="00766E32" w:rsidRPr="001B0963">
        <w:t xml:space="preserve"> years</w:t>
      </w:r>
      <w:r w:rsidR="007D46B4">
        <w:t>, although the rate at which this will take place is uncertain</w:t>
      </w:r>
      <w:r w:rsidR="0056357F">
        <w:t xml:space="preserve">. </w:t>
      </w:r>
      <w:r w:rsidR="00C80F69">
        <w:t>Estimates for the Cooper Review indicate that</w:t>
      </w:r>
      <w:r w:rsidR="00CE212A">
        <w:t xml:space="preserve"> </w:t>
      </w:r>
      <w:r w:rsidR="0056357F">
        <w:t xml:space="preserve">there </w:t>
      </w:r>
      <w:r w:rsidR="00870C64">
        <w:t>are</w:t>
      </w:r>
      <w:r w:rsidR="00590A50">
        <w:t xml:space="preserve"> likely to </w:t>
      </w:r>
      <w:r w:rsidR="0056357F">
        <w:t xml:space="preserve">be </w:t>
      </w:r>
      <w:r w:rsidR="00C80F69">
        <w:t xml:space="preserve">around </w:t>
      </w:r>
      <w:r w:rsidR="0056357F">
        <w:t>74</w:t>
      </w:r>
      <w:r w:rsidR="00AF082A">
        <w:t> </w:t>
      </w:r>
      <w:r w:rsidR="0056357F">
        <w:t>APRA</w:t>
      </w:r>
      <w:r w:rsidR="00CC3DFF">
        <w:noBreakHyphen/>
      </w:r>
      <w:r w:rsidR="0056357F">
        <w:t>regulated funds by 2035</w:t>
      </w:r>
      <w:r w:rsidR="00B12893">
        <w:t xml:space="preserve"> (Australian Government </w:t>
      </w:r>
      <w:proofErr w:type="spellStart"/>
      <w:r w:rsidR="00B12893">
        <w:t>2010</w:t>
      </w:r>
      <w:r w:rsidR="00A469C0">
        <w:t>a</w:t>
      </w:r>
      <w:proofErr w:type="spellEnd"/>
      <w:r w:rsidR="00B12893">
        <w:t>).</w:t>
      </w:r>
    </w:p>
    <w:p w:rsidR="00B12893" w:rsidRDefault="00F65F52" w:rsidP="00766E32">
      <w:pPr>
        <w:pStyle w:val="BodyText"/>
      </w:pPr>
      <w:r>
        <w:t>S</w:t>
      </w:r>
      <w:r w:rsidR="00A469C0">
        <w:t>uperannuation fund</w:t>
      </w:r>
      <w:r>
        <w:t xml:space="preserve"> mergers</w:t>
      </w:r>
      <w:r w:rsidR="00A469C0">
        <w:t xml:space="preserve"> </w:t>
      </w:r>
      <w:r w:rsidR="004069A4">
        <w:t xml:space="preserve">can be </w:t>
      </w:r>
      <w:r w:rsidR="00901E01">
        <w:t xml:space="preserve">discouraged </w:t>
      </w:r>
      <w:r w:rsidR="004069A4">
        <w:t xml:space="preserve">by </w:t>
      </w:r>
      <w:r w:rsidR="00901E01">
        <w:t>an un</w:t>
      </w:r>
      <w:r w:rsidR="004069A4">
        <w:t>favourable capital gains tax outcome</w:t>
      </w:r>
      <w:r w:rsidR="007A72C8">
        <w:t xml:space="preserve"> (Towers</w:t>
      </w:r>
      <w:r w:rsidR="00BE4861">
        <w:t xml:space="preserve"> </w:t>
      </w:r>
      <w:r w:rsidR="007A72C8">
        <w:t>Watson 2010)</w:t>
      </w:r>
      <w:r w:rsidR="003402E9">
        <w:t xml:space="preserve"> (although capital gains tax relief for superannuation funds has recently been announced — chapter</w:t>
      </w:r>
      <w:r w:rsidR="0075017A">
        <w:t> </w:t>
      </w:r>
      <w:r w:rsidR="003402E9">
        <w:t>4)</w:t>
      </w:r>
      <w:r w:rsidR="004069A4">
        <w:t xml:space="preserve"> and </w:t>
      </w:r>
      <w:r w:rsidR="007716A4">
        <w:t xml:space="preserve">encouraged by </w:t>
      </w:r>
      <w:r w:rsidR="005848C3">
        <w:t xml:space="preserve">economies of scale in </w:t>
      </w:r>
      <w:r w:rsidR="002B573C">
        <w:t>their</w:t>
      </w:r>
      <w:r w:rsidR="004069A4">
        <w:t xml:space="preserve"> operating and investment costs </w:t>
      </w:r>
      <w:r w:rsidR="00A469C0">
        <w:t>(</w:t>
      </w:r>
      <w:r w:rsidR="004069A4">
        <w:t>Higgs and Worthington</w:t>
      </w:r>
      <w:r w:rsidR="0075017A">
        <w:t> </w:t>
      </w:r>
      <w:r w:rsidR="004069A4">
        <w:t xml:space="preserve">2010; </w:t>
      </w:r>
      <w:proofErr w:type="spellStart"/>
      <w:r w:rsidR="007A72C8">
        <w:t>Sy</w:t>
      </w:r>
      <w:proofErr w:type="spellEnd"/>
      <w:r w:rsidR="007A72C8">
        <w:t xml:space="preserve"> and Liu 2010</w:t>
      </w:r>
      <w:r w:rsidR="00A469C0">
        <w:t>).</w:t>
      </w:r>
      <w:r w:rsidR="005848C3">
        <w:t xml:space="preserve"> </w:t>
      </w:r>
      <w:r w:rsidR="0056357F">
        <w:t>However, t</w:t>
      </w:r>
      <w:r w:rsidR="005848C3">
        <w:t xml:space="preserve">he </w:t>
      </w:r>
      <w:r w:rsidR="002B573C">
        <w:t xml:space="preserve">impact of the </w:t>
      </w:r>
      <w:r w:rsidR="001D59D4">
        <w:t xml:space="preserve">Stronger Super </w:t>
      </w:r>
      <w:r w:rsidR="005848C3">
        <w:t>reforms</w:t>
      </w:r>
      <w:r w:rsidR="001D59D4">
        <w:t xml:space="preserve"> (discussed later)</w:t>
      </w:r>
      <w:r w:rsidR="002B573C">
        <w:t xml:space="preserve"> on </w:t>
      </w:r>
      <w:r w:rsidR="00C80F69">
        <w:t>the</w:t>
      </w:r>
      <w:r w:rsidR="001D59D4">
        <w:t xml:space="preserve"> economies of scale</w:t>
      </w:r>
      <w:r w:rsidR="002B573C">
        <w:t xml:space="preserve"> </w:t>
      </w:r>
      <w:r w:rsidR="00C80F69">
        <w:t xml:space="preserve">of superannuation funds and </w:t>
      </w:r>
      <w:r w:rsidR="00373A13">
        <w:t xml:space="preserve">therefore on </w:t>
      </w:r>
      <w:r w:rsidR="00C80F69">
        <w:t xml:space="preserve">their rates of consolidation </w:t>
      </w:r>
      <w:r w:rsidR="002B573C">
        <w:t xml:space="preserve">is uncertain (Deloitte 2010; Rice Warner 2010). </w:t>
      </w:r>
    </w:p>
    <w:p w:rsidR="00766E32" w:rsidRDefault="00A469C0" w:rsidP="00766E32">
      <w:pPr>
        <w:pStyle w:val="BodyText"/>
      </w:pPr>
      <w:r>
        <w:t xml:space="preserve">Although the </w:t>
      </w:r>
      <w:r w:rsidR="00B12893">
        <w:t>superannuation industry</w:t>
      </w:r>
      <w:r>
        <w:t xml:space="preserve"> has consolidated rapidly</w:t>
      </w:r>
      <w:r w:rsidR="00373A13">
        <w:t xml:space="preserve"> to date</w:t>
      </w:r>
      <w:r w:rsidR="00B12893">
        <w:t>, total a</w:t>
      </w:r>
      <w:r w:rsidR="008806BE">
        <w:t>ssets</w:t>
      </w:r>
      <w:r w:rsidR="00B12893">
        <w:t xml:space="preserve"> have</w:t>
      </w:r>
      <w:r w:rsidR="008806BE">
        <w:t xml:space="preserve"> </w:t>
      </w:r>
      <w:r w:rsidR="00FD3596">
        <w:t xml:space="preserve">generally </w:t>
      </w:r>
      <w:r w:rsidR="008806BE">
        <w:t>continued to grow</w:t>
      </w:r>
      <w:r w:rsidR="00EF3252">
        <w:t>,</w:t>
      </w:r>
      <w:r w:rsidR="00FD3596">
        <w:t xml:space="preserve"> increasing</w:t>
      </w:r>
      <w:r w:rsidR="005449B4">
        <w:t xml:space="preserve"> from </w:t>
      </w:r>
      <w:r w:rsidR="00B528C0">
        <w:t>$245 billion</w:t>
      </w:r>
      <w:r w:rsidR="005449B4">
        <w:t xml:space="preserve"> to </w:t>
      </w:r>
      <w:r w:rsidR="00B528C0">
        <w:t>$1.</w:t>
      </w:r>
      <w:r w:rsidR="00A852DD">
        <w:t>4</w:t>
      </w:r>
      <w:r w:rsidR="00B528C0">
        <w:t xml:space="preserve"> trillion</w:t>
      </w:r>
      <w:r w:rsidR="005449B4">
        <w:t xml:space="preserve"> </w:t>
      </w:r>
      <w:r w:rsidR="00252039">
        <w:t>between 1996 and 201</w:t>
      </w:r>
      <w:r w:rsidR="00A852DD">
        <w:t>2</w:t>
      </w:r>
      <w:r w:rsidR="00252039">
        <w:t xml:space="preserve"> </w:t>
      </w:r>
      <w:r w:rsidR="00B528C0" w:rsidRPr="001B0963">
        <w:t xml:space="preserve">(APRA 2007, </w:t>
      </w:r>
      <w:proofErr w:type="spellStart"/>
      <w:r w:rsidR="009A5186" w:rsidRPr="001B0963">
        <w:t>2012</w:t>
      </w:r>
      <w:r w:rsidR="009A5186">
        <w:t>f</w:t>
      </w:r>
      <w:proofErr w:type="spellEnd"/>
      <w:r w:rsidR="00B528C0" w:rsidRPr="001B0963">
        <w:t>)</w:t>
      </w:r>
      <w:r w:rsidR="005449B4">
        <w:t>.</w:t>
      </w:r>
    </w:p>
    <w:p w:rsidR="00502521" w:rsidRPr="00502521" w:rsidRDefault="00502521" w:rsidP="00502521">
      <w:pPr>
        <w:pStyle w:val="BodyText"/>
      </w:pPr>
      <w:r w:rsidRPr="00502521">
        <w:lastRenderedPageBreak/>
        <w:t xml:space="preserve">Despite the overall size of the industry, </w:t>
      </w:r>
      <w:r w:rsidR="00870C64">
        <w:t>average</w:t>
      </w:r>
      <w:r w:rsidRPr="00502521">
        <w:t xml:space="preserve"> member</w:t>
      </w:r>
      <w:r w:rsidR="00870C64">
        <w:t xml:space="preserve"> balances</w:t>
      </w:r>
      <w:r w:rsidRPr="00502521">
        <w:t xml:space="preserve"> are relatively low, and since most individuals holds multiple accounts, average account balances are even smaller (table</w:t>
      </w:r>
      <w:r w:rsidR="0075017A">
        <w:t> </w:t>
      </w:r>
      <w:r w:rsidRPr="00502521">
        <w:t xml:space="preserve">2.1). Many of these accounts are </w:t>
      </w:r>
      <w:r w:rsidR="00870C64">
        <w:t>a consequence of changes of workplaces and are unintended</w:t>
      </w:r>
      <w:r w:rsidR="00870C64" w:rsidRPr="00502521">
        <w:t xml:space="preserve"> </w:t>
      </w:r>
      <w:r w:rsidRPr="00502521">
        <w:t>— for example, the individual has not actively chosen to hold multiple accounts for the benefit of multiple insurance policies or investment diversification. The Australian Government has announced its intention to automatically consolidate some small and inactive accounts in 2014 (chapter</w:t>
      </w:r>
      <w:r w:rsidR="0075017A">
        <w:t> </w:t>
      </w:r>
      <w:r w:rsidRPr="00502521">
        <w:t>9).</w:t>
      </w:r>
    </w:p>
    <w:p w:rsidR="00A00231" w:rsidRDefault="00A00231" w:rsidP="001B0963">
      <w:pPr>
        <w:pStyle w:val="TableTitle"/>
      </w:pPr>
      <w:r>
        <w:rPr>
          <w:b w:val="0"/>
        </w:rPr>
        <w:t xml:space="preserve">Table </w:t>
      </w:r>
      <w:r>
        <w:fldChar w:fldCharType="begin"/>
      </w:r>
      <w:r>
        <w:rPr>
          <w:b w:val="0"/>
        </w:rPr>
        <w:instrText xml:space="preserve"> COMMENTS  \* MERGEFORMAT </w:instrText>
      </w:r>
      <w:r>
        <w:fldChar w:fldCharType="separate"/>
      </w:r>
      <w:r w:rsidR="00A56D8C">
        <w:rPr>
          <w:b w:val="0"/>
        </w:rPr>
        <w:t>2.</w:t>
      </w:r>
      <w:r>
        <w:fldChar w:fldCharType="end"/>
      </w:r>
      <w:r>
        <w:fldChar w:fldCharType="begin"/>
      </w:r>
      <w:r>
        <w:rPr>
          <w:b w:val="0"/>
        </w:rPr>
        <w:instrText xml:space="preserve"> SEQ Table \* ARABIC </w:instrText>
      </w:r>
      <w:r>
        <w:fldChar w:fldCharType="separate"/>
      </w:r>
      <w:r w:rsidR="00AA5B30">
        <w:rPr>
          <w:b w:val="0"/>
          <w:noProof/>
        </w:rPr>
        <w:t>1</w:t>
      </w:r>
      <w:r>
        <w:fldChar w:fldCharType="end"/>
      </w:r>
      <w:r>
        <w:tab/>
        <w:t xml:space="preserve">Average member superannuation assets </w:t>
      </w:r>
      <w:r w:rsidR="00482E36">
        <w:t>in</w:t>
      </w:r>
      <w:r w:rsidR="00ED2A76">
        <w:t xml:space="preserve"> </w:t>
      </w:r>
      <w:r>
        <w:t>APRA</w:t>
      </w:r>
      <w:r w:rsidR="00ED2A76">
        <w:noBreakHyphen/>
      </w:r>
      <w:r>
        <w:t>regulated funds</w:t>
      </w:r>
    </w:p>
    <w:p w:rsidR="001B0963" w:rsidRPr="001B0963" w:rsidRDefault="003F33AD" w:rsidP="001B0963">
      <w:pPr>
        <w:pStyle w:val="Subtitle"/>
      </w:pPr>
      <w:r>
        <w:t>By fund type, 2009</w:t>
      </w:r>
    </w:p>
    <w:tbl>
      <w:tblPr>
        <w:tblW w:w="5000" w:type="pct"/>
        <w:jc w:val="right"/>
        <w:tblCellMar>
          <w:left w:w="0" w:type="dxa"/>
          <w:right w:w="0" w:type="dxa"/>
        </w:tblCellMar>
        <w:tblLook w:val="0000" w:firstRow="0" w:lastRow="0" w:firstColumn="0" w:lastColumn="0" w:noHBand="0" w:noVBand="0"/>
        <w:tblCaption w:val="Average member superannuation assets in APRA-regulated funds, 2009"/>
        <w:tblDescription w:val="For industry funds, each account had an average of $21 895 in assets, and each member had $32 895 on average. For retail funds, each account had an average of $24 526 in assets, and each member had $46 710 on average. For public sector funds, each account had an average of $62 456 in assets, and each member had $100 302 on average. For corporate funds, each account had an average of $98 493 in assets, and each member had $133 492 on average."/>
      </w:tblPr>
      <w:tblGrid>
        <w:gridCol w:w="2935"/>
        <w:gridCol w:w="2927"/>
        <w:gridCol w:w="2927"/>
      </w:tblGrid>
      <w:tr w:rsidR="00640D86" w:rsidTr="00A57F27">
        <w:trPr>
          <w:jc w:val="right"/>
        </w:trPr>
        <w:tc>
          <w:tcPr>
            <w:tcW w:w="1670" w:type="pct"/>
            <w:tcBorders>
              <w:top w:val="single" w:sz="6" w:space="0" w:color="auto"/>
              <w:bottom w:val="single" w:sz="6" w:space="0" w:color="auto"/>
            </w:tcBorders>
            <w:shd w:val="clear" w:color="auto" w:fill="auto"/>
          </w:tcPr>
          <w:p w:rsidR="00640D86" w:rsidRDefault="00640D86" w:rsidP="00E44610">
            <w:pPr>
              <w:pStyle w:val="TableColumnHeading"/>
              <w:jc w:val="left"/>
            </w:pPr>
            <w:r>
              <w:t>Type of fund</w:t>
            </w:r>
          </w:p>
        </w:tc>
        <w:tc>
          <w:tcPr>
            <w:tcW w:w="1665" w:type="pct"/>
            <w:tcBorders>
              <w:top w:val="single" w:sz="6" w:space="0" w:color="auto"/>
              <w:bottom w:val="single" w:sz="6" w:space="0" w:color="auto"/>
            </w:tcBorders>
            <w:shd w:val="clear" w:color="auto" w:fill="auto"/>
          </w:tcPr>
          <w:p w:rsidR="00640D86" w:rsidRDefault="00640D86" w:rsidP="00E44610">
            <w:pPr>
              <w:pStyle w:val="TableColumnHeading"/>
              <w:ind w:right="28"/>
            </w:pPr>
            <w:r>
              <w:t>Average member balance</w:t>
            </w:r>
          </w:p>
        </w:tc>
        <w:tc>
          <w:tcPr>
            <w:tcW w:w="1665" w:type="pct"/>
            <w:tcBorders>
              <w:top w:val="single" w:sz="6" w:space="0" w:color="auto"/>
              <w:bottom w:val="single" w:sz="6" w:space="0" w:color="auto"/>
            </w:tcBorders>
          </w:tcPr>
          <w:p w:rsidR="00640D86" w:rsidRDefault="00A53588" w:rsidP="00A53588">
            <w:pPr>
              <w:pStyle w:val="TableColumnHeading"/>
              <w:ind w:right="28"/>
            </w:pPr>
            <w:r>
              <w:t>Average account balance</w:t>
            </w:r>
          </w:p>
        </w:tc>
      </w:tr>
      <w:tr w:rsidR="00640D86" w:rsidTr="00A57F27">
        <w:trPr>
          <w:jc w:val="right"/>
        </w:trPr>
        <w:tc>
          <w:tcPr>
            <w:tcW w:w="1670" w:type="pct"/>
            <w:tcBorders>
              <w:top w:val="single" w:sz="6" w:space="0" w:color="auto"/>
            </w:tcBorders>
          </w:tcPr>
          <w:p w:rsidR="00640D86" w:rsidRDefault="00640D86" w:rsidP="00E44610">
            <w:pPr>
              <w:pStyle w:val="TableUnitsRow"/>
              <w:jc w:val="left"/>
            </w:pPr>
          </w:p>
        </w:tc>
        <w:tc>
          <w:tcPr>
            <w:tcW w:w="1665" w:type="pct"/>
            <w:tcBorders>
              <w:top w:val="single" w:sz="6" w:space="0" w:color="auto"/>
            </w:tcBorders>
          </w:tcPr>
          <w:p w:rsidR="00640D86" w:rsidRPr="00F65F52" w:rsidRDefault="00640D86" w:rsidP="00F65F52">
            <w:pPr>
              <w:pStyle w:val="TableUnitsRow"/>
            </w:pPr>
            <w:r w:rsidRPr="00F65F52">
              <w:t>$</w:t>
            </w:r>
          </w:p>
        </w:tc>
        <w:tc>
          <w:tcPr>
            <w:tcW w:w="1665" w:type="pct"/>
            <w:tcBorders>
              <w:top w:val="single" w:sz="6" w:space="0" w:color="auto"/>
            </w:tcBorders>
          </w:tcPr>
          <w:p w:rsidR="00640D86" w:rsidRDefault="00640D86" w:rsidP="00E44610">
            <w:pPr>
              <w:pStyle w:val="TableUnitsRow"/>
              <w:ind w:right="28"/>
            </w:pPr>
            <w:r>
              <w:t>$</w:t>
            </w:r>
          </w:p>
        </w:tc>
      </w:tr>
      <w:tr w:rsidR="00D64462" w:rsidTr="00A57F27">
        <w:trPr>
          <w:jc w:val="right"/>
        </w:trPr>
        <w:tc>
          <w:tcPr>
            <w:tcW w:w="1670" w:type="pct"/>
          </w:tcPr>
          <w:p w:rsidR="00D64462" w:rsidRDefault="00D64462" w:rsidP="008F7694">
            <w:pPr>
              <w:pStyle w:val="TableBodyText"/>
              <w:jc w:val="left"/>
            </w:pPr>
            <w:r>
              <w:t>Corporate</w:t>
            </w:r>
          </w:p>
        </w:tc>
        <w:tc>
          <w:tcPr>
            <w:tcW w:w="1665" w:type="pct"/>
          </w:tcPr>
          <w:p w:rsidR="00D64462" w:rsidRDefault="00D64462" w:rsidP="00D64462">
            <w:pPr>
              <w:pStyle w:val="TableBodyText"/>
            </w:pPr>
            <w:r>
              <w:t>133 492</w:t>
            </w:r>
          </w:p>
        </w:tc>
        <w:tc>
          <w:tcPr>
            <w:tcW w:w="1665" w:type="pct"/>
          </w:tcPr>
          <w:p w:rsidR="00D64462" w:rsidRDefault="00D64462" w:rsidP="008F7694">
            <w:pPr>
              <w:pStyle w:val="TableBodyText"/>
              <w:ind w:right="28"/>
            </w:pPr>
            <w:r>
              <w:t>98 493</w:t>
            </w:r>
          </w:p>
        </w:tc>
      </w:tr>
      <w:tr w:rsidR="00D64462" w:rsidTr="00A57F27">
        <w:trPr>
          <w:jc w:val="right"/>
        </w:trPr>
        <w:tc>
          <w:tcPr>
            <w:tcW w:w="1670" w:type="pct"/>
          </w:tcPr>
          <w:p w:rsidR="00D64462" w:rsidRDefault="00D64462" w:rsidP="00E44610">
            <w:pPr>
              <w:pStyle w:val="TableBodyText"/>
              <w:jc w:val="left"/>
            </w:pPr>
            <w:r>
              <w:t>Industry</w:t>
            </w:r>
          </w:p>
        </w:tc>
        <w:tc>
          <w:tcPr>
            <w:tcW w:w="1665" w:type="pct"/>
          </w:tcPr>
          <w:p w:rsidR="00D64462" w:rsidRDefault="00D64462" w:rsidP="00CE6EAB">
            <w:pPr>
              <w:pStyle w:val="TableBodyText"/>
            </w:pPr>
            <w:r>
              <w:t>32 895</w:t>
            </w:r>
          </w:p>
        </w:tc>
        <w:tc>
          <w:tcPr>
            <w:tcW w:w="1665" w:type="pct"/>
          </w:tcPr>
          <w:p w:rsidR="00D64462" w:rsidRDefault="00D64462" w:rsidP="0063382B">
            <w:pPr>
              <w:pStyle w:val="TableBodyText"/>
              <w:ind w:right="28"/>
            </w:pPr>
            <w:r>
              <w:t>21 895</w:t>
            </w:r>
          </w:p>
        </w:tc>
      </w:tr>
      <w:tr w:rsidR="00D64462" w:rsidTr="00A57F27">
        <w:trPr>
          <w:jc w:val="right"/>
        </w:trPr>
        <w:tc>
          <w:tcPr>
            <w:tcW w:w="1670" w:type="pct"/>
          </w:tcPr>
          <w:p w:rsidR="00D64462" w:rsidRDefault="00D64462" w:rsidP="00E44610">
            <w:pPr>
              <w:pStyle w:val="TableBodyText"/>
              <w:jc w:val="left"/>
            </w:pPr>
            <w:r>
              <w:t>Public sector</w:t>
            </w:r>
          </w:p>
        </w:tc>
        <w:tc>
          <w:tcPr>
            <w:tcW w:w="1665" w:type="pct"/>
          </w:tcPr>
          <w:p w:rsidR="00D64462" w:rsidRDefault="00D64462" w:rsidP="00CE6EAB">
            <w:pPr>
              <w:pStyle w:val="TableBodyText"/>
            </w:pPr>
            <w:r>
              <w:t>100 302</w:t>
            </w:r>
          </w:p>
        </w:tc>
        <w:tc>
          <w:tcPr>
            <w:tcW w:w="1665" w:type="pct"/>
          </w:tcPr>
          <w:p w:rsidR="00D64462" w:rsidRDefault="00D64462" w:rsidP="0063382B">
            <w:pPr>
              <w:pStyle w:val="TableBodyText"/>
              <w:ind w:right="28"/>
            </w:pPr>
            <w:r>
              <w:t>62 456</w:t>
            </w:r>
          </w:p>
        </w:tc>
      </w:tr>
      <w:tr w:rsidR="00D64462" w:rsidTr="00A57F27">
        <w:trPr>
          <w:jc w:val="right"/>
        </w:trPr>
        <w:tc>
          <w:tcPr>
            <w:tcW w:w="1670" w:type="pct"/>
            <w:tcBorders>
              <w:bottom w:val="single" w:sz="6" w:space="0" w:color="auto"/>
            </w:tcBorders>
            <w:shd w:val="clear" w:color="auto" w:fill="auto"/>
          </w:tcPr>
          <w:p w:rsidR="00D64462" w:rsidRDefault="00D64462" w:rsidP="008F7694">
            <w:pPr>
              <w:pStyle w:val="TableBodyText"/>
              <w:jc w:val="left"/>
            </w:pPr>
            <w:r>
              <w:t xml:space="preserve">Retail </w:t>
            </w:r>
          </w:p>
        </w:tc>
        <w:tc>
          <w:tcPr>
            <w:tcW w:w="1665" w:type="pct"/>
            <w:tcBorders>
              <w:bottom w:val="single" w:sz="6" w:space="0" w:color="auto"/>
            </w:tcBorders>
            <w:shd w:val="clear" w:color="auto" w:fill="auto"/>
          </w:tcPr>
          <w:p w:rsidR="00D64462" w:rsidRDefault="00D64462" w:rsidP="00CE6EAB">
            <w:pPr>
              <w:pStyle w:val="TableBodyText"/>
            </w:pPr>
            <w:r>
              <w:t>46 710</w:t>
            </w:r>
          </w:p>
        </w:tc>
        <w:tc>
          <w:tcPr>
            <w:tcW w:w="1665" w:type="pct"/>
            <w:tcBorders>
              <w:bottom w:val="single" w:sz="6" w:space="0" w:color="auto"/>
            </w:tcBorders>
          </w:tcPr>
          <w:p w:rsidR="00D64462" w:rsidRDefault="00D64462" w:rsidP="008F7694">
            <w:pPr>
              <w:pStyle w:val="TableBodyText"/>
              <w:ind w:right="28"/>
            </w:pPr>
            <w:r>
              <w:t>24 526</w:t>
            </w:r>
          </w:p>
        </w:tc>
      </w:tr>
    </w:tbl>
    <w:p w:rsidR="001E40B9" w:rsidRDefault="00A00231" w:rsidP="004A189E">
      <w:pPr>
        <w:pStyle w:val="Source"/>
      </w:pPr>
      <w:r>
        <w:rPr>
          <w:i/>
        </w:rPr>
        <w:t>Source</w:t>
      </w:r>
      <w:r>
        <w:t xml:space="preserve">: </w:t>
      </w:r>
      <w:r w:rsidR="006B5BE4">
        <w:t xml:space="preserve">Estimates for the Cooper Review (Australian Government </w:t>
      </w:r>
      <w:proofErr w:type="spellStart"/>
      <w:r w:rsidR="0063382B">
        <w:t>2010</w:t>
      </w:r>
      <w:r w:rsidR="00881441">
        <w:t>b</w:t>
      </w:r>
      <w:proofErr w:type="spellEnd"/>
      <w:r w:rsidR="0063382B">
        <w:t>).</w:t>
      </w:r>
      <w:r w:rsidR="004E461A" w:rsidRPr="004E461A">
        <w:t xml:space="preserve"> </w:t>
      </w:r>
    </w:p>
    <w:p w:rsidR="00A00231" w:rsidRDefault="00A00231" w:rsidP="00A00231">
      <w:pPr>
        <w:pStyle w:val="Heading3"/>
      </w:pPr>
      <w:r>
        <w:t>Employers’ role in superannuation</w:t>
      </w:r>
    </w:p>
    <w:p w:rsidR="00821A35" w:rsidRDefault="00A00231" w:rsidP="00A00231">
      <w:pPr>
        <w:pStyle w:val="BodyText"/>
      </w:pPr>
      <w:r>
        <w:t xml:space="preserve">In June 2011, there were </w:t>
      </w:r>
      <w:r w:rsidR="00730FE1">
        <w:t>more than 800</w:t>
      </w:r>
      <w:r w:rsidR="00301DDD">
        <w:t> </w:t>
      </w:r>
      <w:r w:rsidR="00730FE1">
        <w:t xml:space="preserve">000 </w:t>
      </w:r>
      <w:r w:rsidR="00F164E2">
        <w:t xml:space="preserve">employers </w:t>
      </w:r>
      <w:r w:rsidR="00497157">
        <w:t>in Australia</w:t>
      </w:r>
      <w:r w:rsidR="00A67B10">
        <w:t xml:space="preserve">, and </w:t>
      </w:r>
      <w:r w:rsidR="00DC2734">
        <w:t>almost</w:t>
      </w:r>
      <w:r w:rsidR="00A67B10">
        <w:t xml:space="preserve"> 90</w:t>
      </w:r>
      <w:r w:rsidR="00CE6EAB">
        <w:t> </w:t>
      </w:r>
      <w:r w:rsidR="00A67B10">
        <w:t>per</w:t>
      </w:r>
      <w:r w:rsidR="00F65F52">
        <w:t> </w:t>
      </w:r>
      <w:r w:rsidR="00A67B10">
        <w:t>cent of these were small</w:t>
      </w:r>
      <w:r w:rsidR="00497157">
        <w:t xml:space="preserve"> businesses</w:t>
      </w:r>
      <w:r w:rsidR="00A67B10">
        <w:t xml:space="preserve"> </w:t>
      </w:r>
      <w:r>
        <w:t xml:space="preserve">(ABS </w:t>
      </w:r>
      <w:proofErr w:type="spellStart"/>
      <w:r>
        <w:t>2012</w:t>
      </w:r>
      <w:r w:rsidR="00D16322">
        <w:t>a</w:t>
      </w:r>
      <w:proofErr w:type="spellEnd"/>
      <w:r>
        <w:t xml:space="preserve">). </w:t>
      </w:r>
      <w:r w:rsidRPr="001F7977">
        <w:t>Excluding working proprietors</w:t>
      </w:r>
      <w:r w:rsidR="00800511">
        <w:t>,</w:t>
      </w:r>
      <w:r w:rsidR="009469F8">
        <w:rPr>
          <w:rStyle w:val="FootnoteReference"/>
        </w:rPr>
        <w:footnoteReference w:id="1"/>
      </w:r>
      <w:r w:rsidRPr="001F7977">
        <w:t xml:space="preserve"> employees of small businesses </w:t>
      </w:r>
      <w:r w:rsidR="00FD3596">
        <w:t>(empl</w:t>
      </w:r>
      <w:r w:rsidR="00233FAD">
        <w:t>o</w:t>
      </w:r>
      <w:r w:rsidR="00FD3596">
        <w:t>ying less tha</w:t>
      </w:r>
      <w:r w:rsidR="00233FAD">
        <w:t>n</w:t>
      </w:r>
      <w:r w:rsidR="00FD3596">
        <w:t xml:space="preserve"> 20 employees) </w:t>
      </w:r>
      <w:r w:rsidRPr="001F7977">
        <w:t>accounted for just under 30</w:t>
      </w:r>
      <w:r w:rsidR="00315EF1">
        <w:t> per </w:t>
      </w:r>
      <w:r w:rsidRPr="001F7977">
        <w:t xml:space="preserve">cent of private sector employment (ABS </w:t>
      </w:r>
      <w:proofErr w:type="spellStart"/>
      <w:r w:rsidRPr="001F7977">
        <w:t>201</w:t>
      </w:r>
      <w:r w:rsidR="000476E4">
        <w:t>1</w:t>
      </w:r>
      <w:r w:rsidR="00F940A2">
        <w:t>a</w:t>
      </w:r>
      <w:proofErr w:type="spellEnd"/>
      <w:r w:rsidRPr="001F7977">
        <w:t xml:space="preserve">, </w:t>
      </w:r>
      <w:proofErr w:type="spellStart"/>
      <w:r w:rsidRPr="001F7977">
        <w:t>201</w:t>
      </w:r>
      <w:r w:rsidR="000476E4">
        <w:t>2</w:t>
      </w:r>
      <w:r w:rsidRPr="001F7977">
        <w:t>a</w:t>
      </w:r>
      <w:proofErr w:type="spellEnd"/>
      <w:r w:rsidRPr="00A67B10">
        <w:t>;</w:t>
      </w:r>
      <w:r w:rsidRPr="001F7977">
        <w:t xml:space="preserve"> </w:t>
      </w:r>
      <w:proofErr w:type="spellStart"/>
      <w:r w:rsidR="009D3AB1">
        <w:t>Farmarkis</w:t>
      </w:r>
      <w:r w:rsidR="008543B5">
        <w:t>-</w:t>
      </w:r>
      <w:r w:rsidR="00925B8F">
        <w:t>Gamboni</w:t>
      </w:r>
      <w:proofErr w:type="spellEnd"/>
      <w:r w:rsidR="00925B8F">
        <w:t xml:space="preserve">, </w:t>
      </w:r>
      <w:proofErr w:type="spellStart"/>
      <w:r w:rsidR="00252039">
        <w:t>Rozenbes</w:t>
      </w:r>
      <w:proofErr w:type="spellEnd"/>
      <w:r w:rsidR="00925B8F">
        <w:t xml:space="preserve"> and Yuen</w:t>
      </w:r>
      <w:r w:rsidRPr="001F7977">
        <w:t xml:space="preserve"> 2012). Small </w:t>
      </w:r>
      <w:r w:rsidR="00F164E2">
        <w:t>employers</w:t>
      </w:r>
      <w:r w:rsidR="00F164E2" w:rsidRPr="001F7977">
        <w:t xml:space="preserve"> </w:t>
      </w:r>
      <w:r w:rsidRPr="001F7977">
        <w:t xml:space="preserve">are more likely to </w:t>
      </w:r>
      <w:r w:rsidR="003A5A2F">
        <w:t>rely on</w:t>
      </w:r>
      <w:r w:rsidR="003A5A2F" w:rsidRPr="001F7977">
        <w:t xml:space="preserve"> </w:t>
      </w:r>
      <w:r w:rsidRPr="001F7977">
        <w:t xml:space="preserve">awards or individual arrangements, while larger </w:t>
      </w:r>
      <w:r w:rsidR="00F164E2">
        <w:t>employer</w:t>
      </w:r>
      <w:r w:rsidR="00F164E2" w:rsidRPr="001F7977">
        <w:t xml:space="preserve">s </w:t>
      </w:r>
      <w:r w:rsidRPr="001F7977">
        <w:t>are more likely to use</w:t>
      </w:r>
      <w:r w:rsidR="00F940A2">
        <w:t xml:space="preserve"> collective agreements (ABS </w:t>
      </w:r>
      <w:proofErr w:type="spellStart"/>
      <w:r w:rsidR="00F940A2">
        <w:t>2011</w:t>
      </w:r>
      <w:r w:rsidR="008A6477">
        <w:t>b</w:t>
      </w:r>
      <w:proofErr w:type="spellEnd"/>
      <w:r w:rsidRPr="001F7977">
        <w:t>).</w:t>
      </w:r>
      <w:r w:rsidR="007716A4">
        <w:t xml:space="preserve"> </w:t>
      </w:r>
      <w:r w:rsidR="00821A35">
        <w:t>Around 45</w:t>
      </w:r>
      <w:r w:rsidR="00315EF1">
        <w:t> per </w:t>
      </w:r>
      <w:r w:rsidR="00821A35">
        <w:t>cent of award</w:t>
      </w:r>
      <w:r w:rsidR="00EF5954">
        <w:noBreakHyphen/>
      </w:r>
      <w:r w:rsidR="00821A35">
        <w:t>reliant employees are employed in small businesses</w:t>
      </w:r>
      <w:r w:rsidR="00867971">
        <w:t>, 35</w:t>
      </w:r>
      <w:r w:rsidR="00315EF1">
        <w:t> per </w:t>
      </w:r>
      <w:r w:rsidR="00867971">
        <w:t>cent are employed in businesses with 20 to 100 employees, and</w:t>
      </w:r>
      <w:r w:rsidR="007716A4">
        <w:t xml:space="preserve"> large businesses</w:t>
      </w:r>
      <w:r w:rsidR="00821A35">
        <w:t xml:space="preserve"> </w:t>
      </w:r>
      <w:r w:rsidR="00867971">
        <w:t xml:space="preserve">with more than 100 employees </w:t>
      </w:r>
      <w:r w:rsidR="00821A35">
        <w:t>employ around 25</w:t>
      </w:r>
      <w:r w:rsidR="00315EF1">
        <w:t> per </w:t>
      </w:r>
      <w:r w:rsidR="00821A35">
        <w:t>cent of award-reliant employees (</w:t>
      </w:r>
      <w:proofErr w:type="spellStart"/>
      <w:r w:rsidR="00821A35">
        <w:t>F</w:t>
      </w:r>
      <w:r w:rsidR="002D0290">
        <w:t>WA</w:t>
      </w:r>
      <w:proofErr w:type="spellEnd"/>
      <w:r w:rsidR="00CC3DFF">
        <w:t> </w:t>
      </w:r>
      <w:proofErr w:type="spellStart"/>
      <w:r w:rsidR="006C2A6D">
        <w:t>2012b</w:t>
      </w:r>
      <w:proofErr w:type="spellEnd"/>
      <w:r w:rsidR="00821A35">
        <w:t>).</w:t>
      </w:r>
    </w:p>
    <w:p w:rsidR="00A00231" w:rsidRDefault="001F20A0" w:rsidP="00C90E88">
      <w:pPr>
        <w:pStyle w:val="BodyText"/>
      </w:pPr>
      <w:r>
        <w:t xml:space="preserve">Employer compliance with the superannuation guarantee is difficult to determine as the </w:t>
      </w:r>
      <w:r w:rsidR="00EF3252">
        <w:t>available data are limited and unreliable</w:t>
      </w:r>
      <w:r>
        <w:t xml:space="preserve">. </w:t>
      </w:r>
      <w:r w:rsidR="00373A13">
        <w:t>The Inspector-General of Taxation has estimated that, i</w:t>
      </w:r>
      <w:r>
        <w:t xml:space="preserve">n 2000, </w:t>
      </w:r>
      <w:r w:rsidR="002D2B9E">
        <w:t xml:space="preserve">about </w:t>
      </w:r>
      <w:r w:rsidR="00F65F52">
        <w:t>five</w:t>
      </w:r>
      <w:r w:rsidR="00C90E88">
        <w:t xml:space="preserve"> </w:t>
      </w:r>
      <w:r>
        <w:t xml:space="preserve">per cent of employees </w:t>
      </w:r>
      <w:r w:rsidR="00C90E88">
        <w:t xml:space="preserve">did not </w:t>
      </w:r>
      <w:r>
        <w:t xml:space="preserve">receive </w:t>
      </w:r>
      <w:r w:rsidR="00C90E88">
        <w:t xml:space="preserve">any </w:t>
      </w:r>
      <w:r w:rsidR="001D5325">
        <w:t>of their superannuation guarantee entitlement</w:t>
      </w:r>
      <w:r w:rsidR="008155C9">
        <w:t xml:space="preserve"> (that is, their employers did not make the </w:t>
      </w:r>
      <w:r w:rsidR="008155C9">
        <w:lastRenderedPageBreak/>
        <w:t xml:space="preserve">superannuation contributions they were required to </w:t>
      </w:r>
      <w:r w:rsidR="00252039">
        <w:t xml:space="preserve">make </w:t>
      </w:r>
      <w:r w:rsidR="008155C9">
        <w:t>by law)</w:t>
      </w:r>
      <w:r w:rsidR="00F12593">
        <w:t>.</w:t>
      </w:r>
      <w:r w:rsidR="00EF3252">
        <w:t xml:space="preserve"> </w:t>
      </w:r>
      <w:r w:rsidR="00A00231" w:rsidRPr="000476E4">
        <w:t>Employees of small businesses, casual employees, and employees aged between 18</w:t>
      </w:r>
      <w:r w:rsidR="00A00231" w:rsidRPr="004F21E8">
        <w:t xml:space="preserve"> and </w:t>
      </w:r>
      <w:r w:rsidR="00A00231" w:rsidRPr="000476E4">
        <w:t>25</w:t>
      </w:r>
      <w:r w:rsidR="00A00231">
        <w:t xml:space="preserve"> years </w:t>
      </w:r>
      <w:r w:rsidR="004F7741">
        <w:t>we</w:t>
      </w:r>
      <w:r w:rsidR="00A00231">
        <w:t xml:space="preserve">re at higher risk of receiving no or insufficient superannuation contributions. This </w:t>
      </w:r>
      <w:r w:rsidR="004F7741">
        <w:t>wa</w:t>
      </w:r>
      <w:r w:rsidR="00A00231">
        <w:t>s particularly the case for employees in certain industries (arts and recreation</w:t>
      </w:r>
      <w:r w:rsidR="000E19CC">
        <w:t>;</w:t>
      </w:r>
      <w:r w:rsidR="00A00231">
        <w:t xml:space="preserve"> accommodation and food</w:t>
      </w:r>
      <w:r w:rsidR="000E19CC">
        <w:t>;</w:t>
      </w:r>
      <w:r w:rsidR="00A00231">
        <w:t xml:space="preserve"> agriculture, forestry, and fishing</w:t>
      </w:r>
      <w:r w:rsidR="000E19CC">
        <w:t>;</w:t>
      </w:r>
      <w:r w:rsidR="00A00231">
        <w:t xml:space="preserve"> and transport, postal and warehousing)</w:t>
      </w:r>
      <w:r w:rsidR="00641A17">
        <w:t xml:space="preserve"> </w:t>
      </w:r>
      <w:r w:rsidR="00B04CDD">
        <w:t>(</w:t>
      </w:r>
      <w:proofErr w:type="spellStart"/>
      <w:r w:rsidR="00B04CDD" w:rsidRPr="00263BB3">
        <w:t>IGT</w:t>
      </w:r>
      <w:proofErr w:type="spellEnd"/>
      <w:r w:rsidR="00301DDD">
        <w:t xml:space="preserve"> </w:t>
      </w:r>
      <w:r w:rsidR="00A00231" w:rsidRPr="00263BB3">
        <w:t>2010).</w:t>
      </w:r>
    </w:p>
    <w:p w:rsidR="00474BC1" w:rsidRDefault="00A00231" w:rsidP="008478EB">
      <w:pPr>
        <w:pStyle w:val="BodyText"/>
      </w:pPr>
      <w:r>
        <w:t>Superannuation compliance</w:t>
      </w:r>
      <w:r w:rsidR="00727CD3">
        <w:t xml:space="preserve"> is of concern to employers due to the</w:t>
      </w:r>
      <w:r>
        <w:t xml:space="preserve"> complexity of the legislation, the costs of</w:t>
      </w:r>
      <w:r w:rsidR="00F31223">
        <w:t xml:space="preserve"> administering</w:t>
      </w:r>
      <w:r>
        <w:t xml:space="preserve"> employee choice of fund, </w:t>
      </w:r>
      <w:r w:rsidR="00727CD3">
        <w:t xml:space="preserve">the challenge of </w:t>
      </w:r>
      <w:r>
        <w:t>tim</w:t>
      </w:r>
      <w:r w:rsidR="00F31223">
        <w:t>ing</w:t>
      </w:r>
      <w:r>
        <w:t xml:space="preserve"> requirements for superannuation payments, and the cost of paying small amounts for casual employees</w:t>
      </w:r>
      <w:r w:rsidR="00133827">
        <w:t xml:space="preserve"> </w:t>
      </w:r>
      <w:r>
        <w:t>(Australian Government 2006</w:t>
      </w:r>
      <w:r w:rsidRPr="00424921">
        <w:t>).</w:t>
      </w:r>
      <w:r>
        <w:t xml:space="preserve"> </w:t>
      </w:r>
      <w:r w:rsidR="008478EB">
        <w:t>The Council of Small Business Organisations of Australia submitted that the Stronger Super reforms ‘</w:t>
      </w:r>
      <w:r w:rsidR="00867971">
        <w:t>will not decrease costs for employers and … will increase costs in time and money for individuals who are also employers a</w:t>
      </w:r>
      <w:r w:rsidR="008478EB">
        <w:t>nd also increase non-compliance’</w:t>
      </w:r>
      <w:r w:rsidR="00867971">
        <w:t xml:space="preserve"> (sub.</w:t>
      </w:r>
      <w:r w:rsidR="00365AC2">
        <w:t> </w:t>
      </w:r>
      <w:r w:rsidR="00867971">
        <w:t>7,</w:t>
      </w:r>
      <w:r w:rsidR="00365AC2">
        <w:t> </w:t>
      </w:r>
      <w:r w:rsidR="00867971">
        <w:t>p.</w:t>
      </w:r>
      <w:r w:rsidR="00AF082A">
        <w:t> </w:t>
      </w:r>
      <w:r w:rsidR="00867971">
        <w:t>4)</w:t>
      </w:r>
      <w:r w:rsidR="008478EB">
        <w:t>.</w:t>
      </w:r>
    </w:p>
    <w:p w:rsidR="00A00231" w:rsidRDefault="004E461A" w:rsidP="00A00231">
      <w:pPr>
        <w:pStyle w:val="BodyText"/>
      </w:pPr>
      <w:r>
        <w:t xml:space="preserve">The availability of clearing houses can help reduce compliance costs </w:t>
      </w:r>
      <w:r w:rsidR="001F20A0">
        <w:t>for</w:t>
      </w:r>
      <w:r>
        <w:t xml:space="preserve"> employers</w:t>
      </w:r>
      <w:r w:rsidR="00F164E2">
        <w:t>.</w:t>
      </w:r>
      <w:r>
        <w:t xml:space="preserve"> </w:t>
      </w:r>
      <w:r w:rsidR="00A00231">
        <w:t xml:space="preserve">The </w:t>
      </w:r>
      <w:r w:rsidR="00EB2FBF">
        <w:t xml:space="preserve">Small Business Superannuation </w:t>
      </w:r>
      <w:r w:rsidR="00A00231">
        <w:t>Clearing House</w:t>
      </w:r>
      <w:r w:rsidR="00EB2FBF">
        <w:t>, administered by Medicare Australia,</w:t>
      </w:r>
      <w:r w:rsidR="00A00231">
        <w:t xml:space="preserve"> was introduced on 1</w:t>
      </w:r>
      <w:r w:rsidR="00301DDD">
        <w:t> </w:t>
      </w:r>
      <w:r w:rsidR="00A00231">
        <w:t>July</w:t>
      </w:r>
      <w:r w:rsidR="0075017A">
        <w:t xml:space="preserve"> </w:t>
      </w:r>
      <w:r w:rsidR="00A00231">
        <w:t>2010 for small businesses with less than 20</w:t>
      </w:r>
      <w:r w:rsidR="00CE6EAB">
        <w:t> </w:t>
      </w:r>
      <w:r w:rsidR="00A00231">
        <w:t xml:space="preserve">employees. It </w:t>
      </w:r>
      <w:r w:rsidR="00156119">
        <w:t>aims</w:t>
      </w:r>
      <w:r w:rsidR="00A00231">
        <w:t xml:space="preserve"> to reduce costs by allowing superannuation contributions to be paid to a single location and then distributed electronically (Treasury 2008). At the end of November 2011,</w:t>
      </w:r>
      <w:r w:rsidR="00A00231" w:rsidRPr="00B94F30">
        <w:t xml:space="preserve"> </w:t>
      </w:r>
      <w:r w:rsidR="00A00231">
        <w:t>over 14 </w:t>
      </w:r>
      <w:r w:rsidR="00A00231" w:rsidRPr="00263BB3">
        <w:t xml:space="preserve">000 </w:t>
      </w:r>
      <w:r w:rsidR="00A00231">
        <w:t xml:space="preserve">small </w:t>
      </w:r>
      <w:r w:rsidR="00133827">
        <w:t xml:space="preserve">employers </w:t>
      </w:r>
      <w:r w:rsidR="00A00231">
        <w:t xml:space="preserve">(less than </w:t>
      </w:r>
      <w:r w:rsidR="00F65F52">
        <w:t>2</w:t>
      </w:r>
      <w:r w:rsidR="00315EF1">
        <w:t> per </w:t>
      </w:r>
      <w:r w:rsidR="00A00231">
        <w:t xml:space="preserve">cent) had signed up to the clearing house, and </w:t>
      </w:r>
      <w:r w:rsidR="00A00231" w:rsidRPr="00263BB3">
        <w:t>over $100 million in contributions</w:t>
      </w:r>
      <w:r w:rsidR="00A00231">
        <w:t xml:space="preserve"> had been made for</w:t>
      </w:r>
      <w:r w:rsidR="00A00231" w:rsidRPr="00263BB3">
        <w:t xml:space="preserve"> </w:t>
      </w:r>
      <w:r w:rsidR="00A00231">
        <w:t xml:space="preserve">just over </w:t>
      </w:r>
      <w:r w:rsidR="00A00231" w:rsidRPr="00263BB3">
        <w:t>79 </w:t>
      </w:r>
      <w:r w:rsidR="00A00231">
        <w:t>000</w:t>
      </w:r>
      <w:r w:rsidR="00A00231" w:rsidRPr="00263BB3">
        <w:t xml:space="preserve"> employees (</w:t>
      </w:r>
      <w:r w:rsidR="00A00231">
        <w:t xml:space="preserve">Department of </w:t>
      </w:r>
      <w:r w:rsidR="00A00231" w:rsidRPr="00263BB3">
        <w:t xml:space="preserve">Human Services </w:t>
      </w:r>
      <w:r w:rsidR="00A00231">
        <w:t>2011). There are also private clearing houses which are used by large employers.</w:t>
      </w:r>
    </w:p>
    <w:p w:rsidR="00A00231" w:rsidRDefault="00A00231" w:rsidP="00A00231">
      <w:pPr>
        <w:pStyle w:val="Quote"/>
      </w:pPr>
      <w:r>
        <w:t xml:space="preserve">Clearing houses themselves are a critical component of efficient superannuation administration across larger employers. With large numbers of employees and many of these entitled to exercise choice of fund, the number of default funds which are required can be significant. Without the use </w:t>
      </w:r>
      <w:r w:rsidR="00156119">
        <w:t>of</w:t>
      </w:r>
      <w:r w:rsidR="001F20A0">
        <w:t xml:space="preserve"> </w:t>
      </w:r>
      <w:r>
        <w:t>clearing houses, larger employers would be overwhelmed. (REST</w:t>
      </w:r>
      <w:r w:rsidR="00B04CDD">
        <w:t xml:space="preserve"> Industry Super</w:t>
      </w:r>
      <w:r>
        <w:t>, sub. 47, p. 10)</w:t>
      </w:r>
    </w:p>
    <w:p w:rsidR="00A00231" w:rsidRDefault="00D47A33" w:rsidP="00A00231">
      <w:pPr>
        <w:pStyle w:val="Heading2"/>
      </w:pPr>
      <w:r>
        <w:fldChar w:fldCharType="begin"/>
      </w:r>
      <w:r>
        <w:instrText xml:space="preserve"> COMMENTS  \* MERGEFORMAT </w:instrText>
      </w:r>
      <w:r>
        <w:fldChar w:fldCharType="separate"/>
      </w:r>
      <w:r w:rsidR="00A56D8C">
        <w:t>2.</w:t>
      </w:r>
      <w:r>
        <w:fldChar w:fldCharType="end"/>
      </w:r>
      <w:r>
        <w:fldChar w:fldCharType="begin"/>
      </w:r>
      <w:r>
        <w:instrText xml:space="preserve"> SEQ Heading2 </w:instrText>
      </w:r>
      <w:r>
        <w:fldChar w:fldCharType="separate"/>
      </w:r>
      <w:r w:rsidR="00AA5B30">
        <w:rPr>
          <w:noProof/>
        </w:rPr>
        <w:t>2</w:t>
      </w:r>
      <w:r>
        <w:rPr>
          <w:noProof/>
        </w:rPr>
        <w:fldChar w:fldCharType="end"/>
      </w:r>
      <w:r w:rsidR="00A00231">
        <w:tab/>
        <w:t>Australia’s industrial relations system</w:t>
      </w:r>
    </w:p>
    <w:p w:rsidR="00A00231" w:rsidRDefault="00A00231" w:rsidP="00A00231">
      <w:pPr>
        <w:pStyle w:val="Heading3"/>
        <w:spacing w:before="280"/>
      </w:pPr>
      <w:r>
        <w:t xml:space="preserve">Awards, agreements and individual arrangements </w:t>
      </w:r>
    </w:p>
    <w:p w:rsidR="001151B8" w:rsidRDefault="00F31223" w:rsidP="001151B8">
      <w:pPr>
        <w:pStyle w:val="BodyText"/>
      </w:pPr>
      <w:r>
        <w:t xml:space="preserve">Currently, </w:t>
      </w:r>
      <w:r w:rsidR="00352551">
        <w:t xml:space="preserve">default superannuation fund arrangements in Australia are part of </w:t>
      </w:r>
      <w:r w:rsidR="00F73909">
        <w:t xml:space="preserve">industrial </w:t>
      </w:r>
      <w:r w:rsidR="00352551">
        <w:t xml:space="preserve">awards and </w:t>
      </w:r>
      <w:r w:rsidR="00F73909">
        <w:t>hence</w:t>
      </w:r>
      <w:r w:rsidR="00352551">
        <w:t xml:space="preserve"> part of Australia’s industrial relations system. Understanding the nature and scope of </w:t>
      </w:r>
      <w:r w:rsidR="00F73909">
        <w:t>industrial awards is therefore critical to understanding the close interaction between superannuation and the industrial relations system.</w:t>
      </w:r>
      <w:r w:rsidR="003E51D9">
        <w:t xml:space="preserve"> </w:t>
      </w:r>
    </w:p>
    <w:p w:rsidR="00A00231" w:rsidRDefault="00A00231" w:rsidP="00A00231">
      <w:pPr>
        <w:pStyle w:val="BodyText"/>
      </w:pPr>
      <w:r>
        <w:lastRenderedPageBreak/>
        <w:t>Australia’s industrial relations system has both a federal and a state jurisdiction</w:t>
      </w:r>
      <w:r w:rsidR="00936BC4">
        <w:t xml:space="preserve">, though it </w:t>
      </w:r>
      <w:r>
        <w:t xml:space="preserve">moved to a predominantly national system when the </w:t>
      </w:r>
      <w:r>
        <w:rPr>
          <w:i/>
        </w:rPr>
        <w:t>Fair</w:t>
      </w:r>
      <w:r w:rsidR="00D54CC0">
        <w:rPr>
          <w:i/>
        </w:rPr>
        <w:t> </w:t>
      </w:r>
      <w:r>
        <w:rPr>
          <w:i/>
        </w:rPr>
        <w:t>Work</w:t>
      </w:r>
      <w:r w:rsidR="00D54CC0">
        <w:rPr>
          <w:i/>
        </w:rPr>
        <w:t> </w:t>
      </w:r>
      <w:r>
        <w:rPr>
          <w:i/>
        </w:rPr>
        <w:t>Act</w:t>
      </w:r>
      <w:r w:rsidR="00D54CC0">
        <w:rPr>
          <w:i/>
        </w:rPr>
        <w:t> </w:t>
      </w:r>
      <w:r>
        <w:rPr>
          <w:i/>
        </w:rPr>
        <w:t>2009</w:t>
      </w:r>
      <w:r w:rsidR="00D54CC0">
        <w:rPr>
          <w:i/>
        </w:rPr>
        <w:t> </w:t>
      </w:r>
      <w:r>
        <w:t>(</w:t>
      </w:r>
      <w:proofErr w:type="spellStart"/>
      <w:r>
        <w:t>Cw</w:t>
      </w:r>
      <w:r w:rsidR="00496A9C">
        <w:t>l</w:t>
      </w:r>
      <w:r>
        <w:t>th</w:t>
      </w:r>
      <w:proofErr w:type="spellEnd"/>
      <w:r>
        <w:t>) reforms were introduced</w:t>
      </w:r>
      <w:r w:rsidR="00DC2734">
        <w:t>.</w:t>
      </w:r>
      <w:r>
        <w:t xml:space="preserve"> In May 2010, 87</w:t>
      </w:r>
      <w:r w:rsidR="00315EF1">
        <w:t> per c</w:t>
      </w:r>
      <w:r>
        <w:t xml:space="preserve">ent of all employees were in the federal system </w:t>
      </w:r>
      <w:r w:rsidR="007716A4">
        <w:t>(7.8</w:t>
      </w:r>
      <w:r w:rsidR="0075017A">
        <w:t> </w:t>
      </w:r>
      <w:r w:rsidR="007716A4">
        <w:t>million</w:t>
      </w:r>
      <w:r w:rsidR="00474BC1" w:rsidRPr="00474BC1">
        <w:t xml:space="preserve"> </w:t>
      </w:r>
      <w:r w:rsidR="00474BC1">
        <w:t>employees</w:t>
      </w:r>
      <w:r w:rsidR="007716A4">
        <w:t xml:space="preserve">) </w:t>
      </w:r>
      <w:r>
        <w:t xml:space="preserve">(ABS </w:t>
      </w:r>
      <w:proofErr w:type="spellStart"/>
      <w:r>
        <w:t>201</w:t>
      </w:r>
      <w:r w:rsidR="008A6477">
        <w:t>2</w:t>
      </w:r>
      <w:r w:rsidR="00641A17">
        <w:t>c</w:t>
      </w:r>
      <w:proofErr w:type="spellEnd"/>
      <w:r>
        <w:t>).</w:t>
      </w:r>
    </w:p>
    <w:p w:rsidR="00A67B10" w:rsidRDefault="00A00231" w:rsidP="00A00231">
      <w:pPr>
        <w:pStyle w:val="BodyText"/>
      </w:pPr>
      <w:r>
        <w:t xml:space="preserve">Coverage of the </w:t>
      </w:r>
      <w:r w:rsidR="00DC2734">
        <w:t>federal</w:t>
      </w:r>
      <w:r>
        <w:t xml:space="preserve"> </w:t>
      </w:r>
      <w:r w:rsidR="00F164E2">
        <w:t xml:space="preserve">industrial relations </w:t>
      </w:r>
      <w:r>
        <w:t xml:space="preserve">system differs between states. </w:t>
      </w:r>
      <w:r w:rsidR="00EF5954">
        <w:t>The Northern Territory</w:t>
      </w:r>
      <w:r w:rsidR="00DA34F9">
        <w:t xml:space="preserve"> and </w:t>
      </w:r>
      <w:r w:rsidR="00EF5954">
        <w:t xml:space="preserve">the </w:t>
      </w:r>
      <w:r w:rsidR="00DA34F9">
        <w:t>ACT have always been part of the federal system</w:t>
      </w:r>
      <w:r w:rsidR="00CE212A">
        <w:t>,</w:t>
      </w:r>
      <w:r w:rsidR="00DA34F9">
        <w:t xml:space="preserve"> and </w:t>
      </w:r>
      <w:r>
        <w:t xml:space="preserve">Victoria referred its </w:t>
      </w:r>
      <w:r w:rsidR="00F164E2">
        <w:t xml:space="preserve">industrial relations </w:t>
      </w:r>
      <w:r>
        <w:t>powers to the Commonwealth in 1996 (Business Victoria 2011). Although businesses</w:t>
      </w:r>
      <w:r w:rsidR="00252039">
        <w:t xml:space="preserve"> in Queensland, New South Wales</w:t>
      </w:r>
      <w:r>
        <w:t xml:space="preserve"> </w:t>
      </w:r>
      <w:r w:rsidR="009038D1">
        <w:t xml:space="preserve">and </w:t>
      </w:r>
      <w:r>
        <w:t xml:space="preserve">South Australia are covered by the federal </w:t>
      </w:r>
      <w:r w:rsidR="00936BC4">
        <w:t>system</w:t>
      </w:r>
      <w:r w:rsidR="00DC2734">
        <w:t>,</w:t>
      </w:r>
      <w:r>
        <w:t xml:space="preserve"> state and </w:t>
      </w:r>
      <w:r w:rsidRPr="006C4C29">
        <w:t>local government sector e</w:t>
      </w:r>
      <w:r w:rsidR="009D3AB1">
        <w:t>mployers</w:t>
      </w:r>
      <w:r w:rsidRPr="006C4C29">
        <w:t xml:space="preserve"> in </w:t>
      </w:r>
      <w:r>
        <w:t xml:space="preserve">these </w:t>
      </w:r>
      <w:r w:rsidRPr="006C4C29">
        <w:t xml:space="preserve">states are covered by state </w:t>
      </w:r>
      <w:r w:rsidR="00F164E2">
        <w:t xml:space="preserve">industrial relations </w:t>
      </w:r>
      <w:r w:rsidRPr="006C4C29">
        <w:t>legislation</w:t>
      </w:r>
      <w:r w:rsidRPr="00E51E71">
        <w:t xml:space="preserve"> (</w:t>
      </w:r>
      <w:proofErr w:type="spellStart"/>
      <w:r w:rsidRPr="00E51E71">
        <w:t>FWO</w:t>
      </w:r>
      <w:proofErr w:type="spellEnd"/>
      <w:r w:rsidRPr="00E51E71">
        <w:t xml:space="preserve"> </w:t>
      </w:r>
      <w:proofErr w:type="spellStart"/>
      <w:r w:rsidRPr="00E51E71">
        <w:t>2011b</w:t>
      </w:r>
      <w:proofErr w:type="spellEnd"/>
      <w:r w:rsidRPr="00E51E71">
        <w:t>).</w:t>
      </w:r>
      <w:r w:rsidRPr="006C4C29">
        <w:t xml:space="preserve"> </w:t>
      </w:r>
      <w:r w:rsidR="009038D1">
        <w:t>In Tasmania, only local government sector employers are covered by the state industrial relation</w:t>
      </w:r>
      <w:r w:rsidR="007968A6">
        <w:t>s</w:t>
      </w:r>
      <w:r w:rsidR="009038D1">
        <w:t xml:space="preserve"> system. </w:t>
      </w:r>
      <w:r w:rsidR="00936BC4">
        <w:t>I</w:t>
      </w:r>
      <w:r w:rsidRPr="006C4C29">
        <w:t xml:space="preserve">n Western Australia, only </w:t>
      </w:r>
      <w:r>
        <w:t xml:space="preserve">employees of </w:t>
      </w:r>
      <w:r w:rsidRPr="006C4C29">
        <w:t>constitutional corporations (</w:t>
      </w:r>
      <w:r w:rsidR="009D3AB1">
        <w:t xml:space="preserve">foreign, </w:t>
      </w:r>
      <w:r w:rsidRPr="006C4C29">
        <w:t xml:space="preserve">trading or financial corporations) are covered by </w:t>
      </w:r>
      <w:r w:rsidRPr="00F4214E">
        <w:t xml:space="preserve">the </w:t>
      </w:r>
      <w:r w:rsidR="00EB2FBF">
        <w:t>federal system</w:t>
      </w:r>
      <w:r w:rsidRPr="00F4214E">
        <w:t>.</w:t>
      </w:r>
      <w:r w:rsidRPr="006C4C29">
        <w:t xml:space="preserve"> </w:t>
      </w:r>
      <w:r w:rsidR="00DC2734">
        <w:t>All o</w:t>
      </w:r>
      <w:r w:rsidRPr="006C4C29">
        <w:t xml:space="preserve">ther </w:t>
      </w:r>
      <w:r>
        <w:t>employees</w:t>
      </w:r>
      <w:r w:rsidRPr="006C4C29">
        <w:t xml:space="preserve"> in Western Australia — including </w:t>
      </w:r>
      <w:r>
        <w:t>state and local government</w:t>
      </w:r>
      <w:r w:rsidR="0092498F">
        <w:t>s</w:t>
      </w:r>
      <w:r>
        <w:t xml:space="preserve">, </w:t>
      </w:r>
      <w:r w:rsidRPr="006C4C29">
        <w:t>sole traders, partnerships and trusts — are covered by the state legislation (Department of Commerce 2012).</w:t>
      </w:r>
      <w:r>
        <w:t xml:space="preserve"> </w:t>
      </w:r>
      <w:r w:rsidR="006150E9">
        <w:t>For employees not covered by the federal system</w:t>
      </w:r>
      <w:r w:rsidR="00985B55">
        <w:t>,</w:t>
      </w:r>
      <w:r w:rsidR="006150E9">
        <w:t xml:space="preserve"> </w:t>
      </w:r>
      <w:r w:rsidR="00783A76">
        <w:t xml:space="preserve">default funds </w:t>
      </w:r>
      <w:r w:rsidR="00A464CC">
        <w:t>could also</w:t>
      </w:r>
      <w:r w:rsidR="00783A76">
        <w:t xml:space="preserve"> be listed in these state industrial instruments.</w:t>
      </w:r>
    </w:p>
    <w:p w:rsidR="00F14AFD" w:rsidRDefault="00A00231" w:rsidP="00A00231">
      <w:pPr>
        <w:pStyle w:val="BodyText"/>
      </w:pPr>
      <w:r>
        <w:t xml:space="preserve">Industrial instruments can be broadly grouped into three categories: awards, individual arrangements and collective agreements. </w:t>
      </w:r>
    </w:p>
    <w:p w:rsidR="00A00231" w:rsidRDefault="00A00231" w:rsidP="00EF3252">
      <w:pPr>
        <w:pStyle w:val="ListBullet"/>
      </w:pPr>
      <w:r>
        <w:t>Awards set minimum pay and conditions for employees in a particular industry</w:t>
      </w:r>
      <w:r w:rsidR="00D57842">
        <w:t xml:space="preserve"> or occupation</w:t>
      </w:r>
      <w:r>
        <w:t xml:space="preserve">. The 122 new federal awards — called ‘modern awards’ — are part of the national industrial relations system and commenced </w:t>
      </w:r>
      <w:r w:rsidR="00F31223">
        <w:t xml:space="preserve">on </w:t>
      </w:r>
      <w:r>
        <w:t>1</w:t>
      </w:r>
      <w:r w:rsidR="00301DDD">
        <w:t> </w:t>
      </w:r>
      <w:r>
        <w:t>January</w:t>
      </w:r>
      <w:r w:rsidR="0075017A">
        <w:t> </w:t>
      </w:r>
      <w:r>
        <w:t xml:space="preserve">2010. Some </w:t>
      </w:r>
      <w:r w:rsidR="00D57842">
        <w:t xml:space="preserve">entitlements from </w:t>
      </w:r>
      <w:r>
        <w:t>state awards are still being transitioned into the national system</w:t>
      </w:r>
      <w:r w:rsidR="00D57842">
        <w:t>, and a number of federal awards made prior to 1</w:t>
      </w:r>
      <w:r w:rsidR="00301DDD">
        <w:t> </w:t>
      </w:r>
      <w:r w:rsidR="00D57842">
        <w:t>January 2010 covering individual enterprises and public sector employees are yet to be modernised</w:t>
      </w:r>
      <w:r>
        <w:t>.</w:t>
      </w:r>
      <w:r w:rsidR="00F14AFD">
        <w:t xml:space="preserve"> </w:t>
      </w:r>
    </w:p>
    <w:p w:rsidR="00A00231" w:rsidRDefault="00A00231" w:rsidP="00EF3252">
      <w:pPr>
        <w:pStyle w:val="ListBullet"/>
        <w:rPr>
          <w:i/>
        </w:rPr>
      </w:pPr>
      <w:r>
        <w:t>The individual arrangements allowed by the new national industrial relations system</w:t>
      </w:r>
      <w:r>
        <w:rPr>
          <w:i/>
        </w:rPr>
        <w:t xml:space="preserve"> </w:t>
      </w:r>
      <w:r>
        <w:t>are common law contracts, above</w:t>
      </w:r>
      <w:r>
        <w:rPr>
          <w:rFonts w:ascii="Arial" w:hAnsi="Arial" w:cs="Arial"/>
          <w:sz w:val="22"/>
          <w:szCs w:val="22"/>
        </w:rPr>
        <w:t>-</w:t>
      </w:r>
      <w:r>
        <w:t>award payments and individual flexibility arrangements.</w:t>
      </w:r>
      <w:r w:rsidR="006150E9">
        <w:t xml:space="preserve"> These </w:t>
      </w:r>
      <w:r w:rsidR="005449B4">
        <w:t xml:space="preserve">arrangements </w:t>
      </w:r>
      <w:r w:rsidR="006150E9">
        <w:t xml:space="preserve">are </w:t>
      </w:r>
      <w:r w:rsidR="00794A61">
        <w:t>not registered with F</w:t>
      </w:r>
      <w:r w:rsidR="00BD5313">
        <w:t>air Work Australia (</w:t>
      </w:r>
      <w:proofErr w:type="spellStart"/>
      <w:r w:rsidR="00BD5313">
        <w:t>F</w:t>
      </w:r>
      <w:r w:rsidR="00794A61">
        <w:t>WA</w:t>
      </w:r>
      <w:proofErr w:type="spellEnd"/>
      <w:r w:rsidR="00BD5313">
        <w:t>)</w:t>
      </w:r>
      <w:r w:rsidR="00D57842">
        <w:t>, but still subject to regulation under the Fair Work Act</w:t>
      </w:r>
      <w:r w:rsidR="006150E9">
        <w:t>.</w:t>
      </w:r>
      <w:r>
        <w:t xml:space="preserve"> Some individual </w:t>
      </w:r>
      <w:r w:rsidR="00636522">
        <w:t xml:space="preserve">agreements </w:t>
      </w:r>
      <w:r>
        <w:t xml:space="preserve">implemented under the previous </w:t>
      </w:r>
      <w:r w:rsidR="00133827">
        <w:t xml:space="preserve">industrial </w:t>
      </w:r>
      <w:r>
        <w:t>relations system (</w:t>
      </w:r>
      <w:r w:rsidR="006647BA">
        <w:t xml:space="preserve">such </w:t>
      </w:r>
      <w:r w:rsidR="001D5325">
        <w:t xml:space="preserve">as </w:t>
      </w:r>
      <w:r>
        <w:t xml:space="preserve">Australian </w:t>
      </w:r>
      <w:r w:rsidR="00A70A21">
        <w:t>w</w:t>
      </w:r>
      <w:r>
        <w:t xml:space="preserve">orkplace </w:t>
      </w:r>
      <w:r w:rsidR="00A70A21">
        <w:t>a</w:t>
      </w:r>
      <w:r>
        <w:t xml:space="preserve">greements) are still in force but </w:t>
      </w:r>
      <w:r w:rsidR="00F31223">
        <w:t xml:space="preserve">are </w:t>
      </w:r>
      <w:r>
        <w:t xml:space="preserve">being gradually phased out. </w:t>
      </w:r>
    </w:p>
    <w:p w:rsidR="00A00231" w:rsidRDefault="006150E9" w:rsidP="00EF3252">
      <w:pPr>
        <w:pStyle w:val="ListBullet"/>
      </w:pPr>
      <w:r>
        <w:t>Collective agreements under the new national industrial relations system are known as enterprise agreements. However, collective agreements from the previous industrial relations system (such as certified agreements) are still in force</w:t>
      </w:r>
      <w:r w:rsidR="00A70A21">
        <w:t xml:space="preserve"> </w:t>
      </w:r>
      <w:r w:rsidR="00D57842">
        <w:t>until they are replaced by a new agreement made under the Fair Work Act</w:t>
      </w:r>
      <w:r>
        <w:t>.</w:t>
      </w:r>
      <w:r w:rsidR="00A00231">
        <w:t xml:space="preserve"> </w:t>
      </w:r>
    </w:p>
    <w:p w:rsidR="00A00231" w:rsidRDefault="00F31223" w:rsidP="00A00231">
      <w:pPr>
        <w:pStyle w:val="BodyText"/>
        <w:rPr>
          <w:i/>
        </w:rPr>
      </w:pPr>
      <w:r>
        <w:lastRenderedPageBreak/>
        <w:t xml:space="preserve">Of all the industrial instruments in force, only </w:t>
      </w:r>
      <w:r w:rsidR="00373A13">
        <w:t>the new agreements introduced by the Fair Work Act (</w:t>
      </w:r>
      <w:r w:rsidR="00A00231">
        <w:t>enterprise agreements and individual flexibility arrangements</w:t>
      </w:r>
      <w:r w:rsidR="00A464CC">
        <w:t>)</w:t>
      </w:r>
      <w:r w:rsidR="00A00231">
        <w:t xml:space="preserve"> are subject to the ‘better off overall’ test</w:t>
      </w:r>
      <w:r>
        <w:t>. This test</w:t>
      </w:r>
      <w:r w:rsidR="00A00231">
        <w:t xml:space="preserve"> requires that each of the employees that were covered by </w:t>
      </w:r>
      <w:r w:rsidR="004A1891">
        <w:t xml:space="preserve">an </w:t>
      </w:r>
      <w:r w:rsidR="00A00231">
        <w:t xml:space="preserve">award are better off overall under the </w:t>
      </w:r>
      <w:r w:rsidR="009D3AB1">
        <w:t xml:space="preserve">new </w:t>
      </w:r>
      <w:r w:rsidR="00A00231">
        <w:t xml:space="preserve">agreement than they </w:t>
      </w:r>
      <w:r w:rsidR="00D57842">
        <w:t xml:space="preserve">would be </w:t>
      </w:r>
      <w:r w:rsidR="00A00231">
        <w:t>under the relevant award</w:t>
      </w:r>
      <w:r w:rsidR="00A00231">
        <w:rPr>
          <w:i/>
        </w:rPr>
        <w:t xml:space="preserve"> </w:t>
      </w:r>
      <w:r w:rsidR="00A00231">
        <w:t>(</w:t>
      </w:r>
      <w:proofErr w:type="spellStart"/>
      <w:r w:rsidR="00A00231">
        <w:t>FWA</w:t>
      </w:r>
      <w:proofErr w:type="spellEnd"/>
      <w:r w:rsidR="00A00231">
        <w:t xml:space="preserve"> </w:t>
      </w:r>
      <w:proofErr w:type="spellStart"/>
      <w:r w:rsidR="00A00231">
        <w:t>2012a</w:t>
      </w:r>
      <w:proofErr w:type="spellEnd"/>
      <w:r w:rsidR="00A00231">
        <w:t>)</w:t>
      </w:r>
      <w:r w:rsidR="00A00231">
        <w:rPr>
          <w:i/>
        </w:rPr>
        <w:t>.</w:t>
      </w:r>
    </w:p>
    <w:p w:rsidR="00656501" w:rsidRDefault="00982452" w:rsidP="00656501">
      <w:pPr>
        <w:pStyle w:val="Heading3"/>
      </w:pPr>
      <w:r>
        <w:t xml:space="preserve">Employees </w:t>
      </w:r>
      <w:r w:rsidR="00D458FE">
        <w:t xml:space="preserve">who derive their superannuation fund in accordance with </w:t>
      </w:r>
      <w:r w:rsidR="00F65F52">
        <w:t>a</w:t>
      </w:r>
      <w:r w:rsidR="00D458FE">
        <w:t xml:space="preserve"> modern award</w:t>
      </w:r>
    </w:p>
    <w:p w:rsidR="00656501" w:rsidRDefault="00D57842" w:rsidP="00656501">
      <w:pPr>
        <w:pStyle w:val="BodyText"/>
      </w:pPr>
      <w:r>
        <w:t>The Fair Work Act</w:t>
      </w:r>
      <w:r w:rsidR="009317B3">
        <w:t xml:space="preserve"> makes a distinction between employees who are covered by an award, and employees who are award reliant. An employee is covered by the award if they are in a group of employees expressed to be within the scope of the award. </w:t>
      </w:r>
      <w:r w:rsidR="00800511">
        <w:t xml:space="preserve">In </w:t>
      </w:r>
      <w:r w:rsidR="009317B3">
        <w:t>contrast, an employee will only be award</w:t>
      </w:r>
      <w:r w:rsidR="009317B3">
        <w:rPr>
          <w:rFonts w:ascii="Arial" w:hAnsi="Arial" w:cs="Arial"/>
          <w:sz w:val="22"/>
          <w:szCs w:val="22"/>
        </w:rPr>
        <w:t xml:space="preserve"> </w:t>
      </w:r>
      <w:r w:rsidR="009317B3">
        <w:t>reliant if their pay and conditions are solely determined by the award, and not some other</w:t>
      </w:r>
      <w:r w:rsidR="00252039">
        <w:t xml:space="preserve"> industrial instrument (Preston</w:t>
      </w:r>
      <w:r w:rsidR="00F65F52">
        <w:t> </w:t>
      </w:r>
      <w:r w:rsidR="00B04CDD">
        <w:t>et </w:t>
      </w:r>
      <w:r w:rsidR="009317B3">
        <w:t>al. 2012).</w:t>
      </w:r>
    </w:p>
    <w:p w:rsidR="00656501" w:rsidRDefault="009317B3" w:rsidP="00656501">
      <w:pPr>
        <w:pStyle w:val="BodyText"/>
      </w:pPr>
      <w:r>
        <w:t>However, i</w:t>
      </w:r>
      <w:r w:rsidR="00656501">
        <w:t>n this inquiry, the Commission is primarily concerned with employees who are subject to the default funds listed in modern award</w:t>
      </w:r>
      <w:r w:rsidR="00F65F52">
        <w:t>s</w:t>
      </w:r>
      <w:r w:rsidR="00656501">
        <w:t>, and</w:t>
      </w:r>
      <w:r w:rsidR="009D3AB1">
        <w:t xml:space="preserve"> refers to them as being ‘</w:t>
      </w:r>
      <w:r w:rsidR="00D458FE" w:rsidRPr="004A189E">
        <w:t xml:space="preserve">employees </w:t>
      </w:r>
      <w:r w:rsidR="00D458FE">
        <w:t xml:space="preserve">who derive their default superannuation fund in accordance with </w:t>
      </w:r>
      <w:r w:rsidR="00F65F52">
        <w:t>a</w:t>
      </w:r>
      <w:r w:rsidR="00D458FE">
        <w:t xml:space="preserve"> modern award’</w:t>
      </w:r>
      <w:r w:rsidR="00656501">
        <w:t xml:space="preserve">. This encompasses </w:t>
      </w:r>
      <w:r w:rsidR="009038D1">
        <w:t xml:space="preserve">three </w:t>
      </w:r>
      <w:r w:rsidR="00656501">
        <w:t>categories of employees.</w:t>
      </w:r>
    </w:p>
    <w:p w:rsidR="00A62DD1" w:rsidRDefault="00656501" w:rsidP="00A62DD1">
      <w:pPr>
        <w:pStyle w:val="ListBullet"/>
      </w:pPr>
      <w:r w:rsidRPr="009317B3">
        <w:t>Award-reliant employees, who have all the terms and conditions of their employment, including their default superannuation fund, determined by the award</w:t>
      </w:r>
      <w:r w:rsidR="009317B3" w:rsidRPr="00EF382A">
        <w:t>.</w:t>
      </w:r>
    </w:p>
    <w:p w:rsidR="001B0963" w:rsidRDefault="00656501" w:rsidP="00A62DD1">
      <w:pPr>
        <w:pStyle w:val="ListBullet"/>
      </w:pPr>
      <w:r w:rsidRPr="00EF382A">
        <w:t xml:space="preserve">Employees who receive some above-award wages or conditions </w:t>
      </w:r>
      <w:r w:rsidR="009317B3" w:rsidRPr="00EF382A">
        <w:t xml:space="preserve">through an individual arrangement, </w:t>
      </w:r>
      <w:r w:rsidRPr="006C5CD5">
        <w:t xml:space="preserve">but have the other terms and conditions of their employment, including </w:t>
      </w:r>
      <w:r w:rsidR="00003529">
        <w:t xml:space="preserve">their default </w:t>
      </w:r>
      <w:r w:rsidRPr="006C5CD5">
        <w:t>superannuation</w:t>
      </w:r>
      <w:r w:rsidR="00003529">
        <w:t xml:space="preserve"> fund</w:t>
      </w:r>
      <w:r w:rsidRPr="006C5CD5">
        <w:t>, determined by the award.</w:t>
      </w:r>
      <w:r w:rsidR="00A62DD1" w:rsidRPr="00A62DD1">
        <w:t xml:space="preserve"> </w:t>
      </w:r>
      <w:r w:rsidR="007F0DF3">
        <w:t>Although</w:t>
      </w:r>
      <w:r w:rsidR="00A62DD1">
        <w:t xml:space="preserve"> around 37</w:t>
      </w:r>
      <w:r w:rsidR="00315EF1">
        <w:t> per </w:t>
      </w:r>
      <w:r w:rsidR="00A62DD1">
        <w:t xml:space="preserve">cent </w:t>
      </w:r>
      <w:r w:rsidR="00003529">
        <w:t xml:space="preserve">of employees </w:t>
      </w:r>
      <w:r w:rsidR="00A62DD1">
        <w:t xml:space="preserve">were </w:t>
      </w:r>
      <w:r w:rsidR="00060B1B">
        <w:t xml:space="preserve">employed under </w:t>
      </w:r>
      <w:r w:rsidR="00566504">
        <w:t xml:space="preserve">different types of </w:t>
      </w:r>
      <w:r w:rsidR="00A62DD1">
        <w:t>individual arrangements</w:t>
      </w:r>
      <w:r w:rsidR="0089684E">
        <w:t xml:space="preserve"> in May 2010</w:t>
      </w:r>
      <w:r w:rsidR="007F0DF3">
        <w:t>,</w:t>
      </w:r>
      <w:r w:rsidR="00A62DD1">
        <w:t xml:space="preserve"> it is uncertain how many of these were above-award arrangements</w:t>
      </w:r>
      <w:r w:rsidR="00373A13">
        <w:t xml:space="preserve"> </w:t>
      </w:r>
      <w:r w:rsidR="008D40A1">
        <w:t xml:space="preserve">(under which </w:t>
      </w:r>
      <w:r w:rsidR="00070B85">
        <w:t>employees</w:t>
      </w:r>
      <w:r w:rsidR="00794A61">
        <w:t xml:space="preserve"> still rely on the award for </w:t>
      </w:r>
      <w:r w:rsidR="002E3093">
        <w:t xml:space="preserve">their </w:t>
      </w:r>
      <w:r w:rsidR="00794A61">
        <w:t>other ter</w:t>
      </w:r>
      <w:r w:rsidR="008D40A1">
        <w:t>ms and conditions of employment</w:t>
      </w:r>
      <w:r w:rsidR="002E3093">
        <w:t>,</w:t>
      </w:r>
      <w:r w:rsidR="00794A61">
        <w:t xml:space="preserve"> such as superannuation</w:t>
      </w:r>
      <w:r w:rsidR="00566504">
        <w:t>)</w:t>
      </w:r>
      <w:r w:rsidR="00906056">
        <w:t xml:space="preserve"> </w:t>
      </w:r>
      <w:r w:rsidR="00A62DD1">
        <w:t>(ABS</w:t>
      </w:r>
      <w:r w:rsidR="009D3AB1">
        <w:t xml:space="preserve"> </w:t>
      </w:r>
      <w:proofErr w:type="spellStart"/>
      <w:r w:rsidR="009D3AB1">
        <w:t>2011b</w:t>
      </w:r>
      <w:proofErr w:type="spellEnd"/>
      <w:r w:rsidR="009D3AB1">
        <w:t>).</w:t>
      </w:r>
    </w:p>
    <w:p w:rsidR="00087B1A" w:rsidRDefault="00060B1B" w:rsidP="00783A76">
      <w:pPr>
        <w:pStyle w:val="ListBullet"/>
      </w:pPr>
      <w:r>
        <w:t>Employees covered by enterprise agreements that</w:t>
      </w:r>
      <w:r w:rsidR="00AC7442">
        <w:t xml:space="preserve"> do not </w:t>
      </w:r>
      <w:r w:rsidR="002A6CB8">
        <w:t xml:space="preserve">specify </w:t>
      </w:r>
      <w:r w:rsidR="00565EB4">
        <w:t>a default fund</w:t>
      </w:r>
      <w:r w:rsidR="00AC7442">
        <w:t xml:space="preserve"> but refer to the terms of the aw</w:t>
      </w:r>
      <w:r w:rsidR="00565EB4">
        <w:t>ard for superannuation purposes</w:t>
      </w:r>
      <w:r>
        <w:t>.</w:t>
      </w:r>
      <w:r w:rsidR="00EF3EC8">
        <w:t xml:space="preserve"> </w:t>
      </w:r>
      <w:r w:rsidR="00566504">
        <w:t>There were an estimated 115 000 collective agreements in force in May 2010, covering about 43 per</w:t>
      </w:r>
      <w:r w:rsidR="00C847AC">
        <w:t> </w:t>
      </w:r>
      <w:r w:rsidR="00566504">
        <w:t xml:space="preserve">cent of employees (ABS </w:t>
      </w:r>
      <w:proofErr w:type="spellStart"/>
      <w:r w:rsidR="00566504">
        <w:t>2011b</w:t>
      </w:r>
      <w:proofErr w:type="spellEnd"/>
      <w:r w:rsidR="00566504">
        <w:t>;</w:t>
      </w:r>
      <w:r w:rsidR="00566504" w:rsidRPr="00A70A21">
        <w:t xml:space="preserve"> </w:t>
      </w:r>
      <w:proofErr w:type="spellStart"/>
      <w:r w:rsidR="00566504">
        <w:t>DEEWR</w:t>
      </w:r>
      <w:proofErr w:type="spellEnd"/>
      <w:r w:rsidR="00566504">
        <w:t xml:space="preserve"> </w:t>
      </w:r>
      <w:proofErr w:type="spellStart"/>
      <w:r w:rsidR="00566504">
        <w:t>2012a</w:t>
      </w:r>
      <w:proofErr w:type="spellEnd"/>
      <w:r w:rsidR="00566504">
        <w:t>), but</w:t>
      </w:r>
      <w:r w:rsidR="00906160">
        <w:t xml:space="preserve"> it is uncertain how many of these</w:t>
      </w:r>
      <w:r w:rsidR="00566504">
        <w:t xml:space="preserve"> </w:t>
      </w:r>
      <w:r w:rsidR="00AC7442">
        <w:t>specified a default fund.</w:t>
      </w:r>
      <w:r w:rsidR="00565EB4">
        <w:t xml:space="preserve"> </w:t>
      </w:r>
      <w:r w:rsidR="00BD5313">
        <w:t>(</w:t>
      </w:r>
      <w:r w:rsidR="00565EB4">
        <w:t xml:space="preserve">Employees covered by enterprise agreements that specify a default fund do not derive their superannuation provisions from </w:t>
      </w:r>
      <w:r w:rsidR="00F65F52">
        <w:t>an</w:t>
      </w:r>
      <w:r w:rsidR="00565EB4">
        <w:t xml:space="preserve"> award.</w:t>
      </w:r>
      <w:r w:rsidR="00BD5313">
        <w:t>)</w:t>
      </w:r>
    </w:p>
    <w:p w:rsidR="00087B1A" w:rsidRPr="00783A76" w:rsidRDefault="00EB2FBF" w:rsidP="00783A76">
      <w:pPr>
        <w:pStyle w:val="ListBullet"/>
      </w:pPr>
      <w:r w:rsidRPr="00783A76">
        <w:lastRenderedPageBreak/>
        <w:t>Some</w:t>
      </w:r>
      <w:r w:rsidR="00087B1A" w:rsidRPr="00783A76">
        <w:t xml:space="preserve"> employees </w:t>
      </w:r>
      <w:r w:rsidRPr="00783A76">
        <w:t xml:space="preserve">in each of these groups may not </w:t>
      </w:r>
      <w:r w:rsidR="00087B1A" w:rsidRPr="00783A76">
        <w:t xml:space="preserve">receive superannuation because they earn less than </w:t>
      </w:r>
      <w:r w:rsidR="00783A76" w:rsidRPr="00783A76">
        <w:t>the required minimum.</w:t>
      </w:r>
    </w:p>
    <w:p w:rsidR="00A62DD1" w:rsidRDefault="00A62DD1" w:rsidP="00A62DD1">
      <w:pPr>
        <w:pStyle w:val="Heading4"/>
      </w:pPr>
      <w:r>
        <w:t>Profiling award-reliant employees</w:t>
      </w:r>
    </w:p>
    <w:p w:rsidR="00641A17" w:rsidRPr="00800511" w:rsidRDefault="00A00231" w:rsidP="00800511">
      <w:pPr>
        <w:pStyle w:val="BodyText"/>
      </w:pPr>
      <w:r w:rsidRPr="00800511">
        <w:t>In May 2010, 15</w:t>
      </w:r>
      <w:r w:rsidR="00A85B34" w:rsidRPr="00800511">
        <w:t> per </w:t>
      </w:r>
      <w:r w:rsidRPr="00800511">
        <w:t>cent of e</w:t>
      </w:r>
      <w:r w:rsidR="000F36F7" w:rsidRPr="00800511">
        <w:t xml:space="preserve">mployees </w:t>
      </w:r>
      <w:r w:rsidR="00D00360" w:rsidRPr="00800511">
        <w:t>had their pay solely determined by an award</w:t>
      </w:r>
      <w:r w:rsidR="00147777" w:rsidRPr="00800511">
        <w:t xml:space="preserve"> (</w:t>
      </w:r>
      <w:r w:rsidR="00EB2FBF" w:rsidRPr="008F1616">
        <w:t>table </w:t>
      </w:r>
      <w:r w:rsidR="00147777" w:rsidRPr="002C4170">
        <w:t>2.2)</w:t>
      </w:r>
      <w:r w:rsidR="00D00360" w:rsidRPr="002C4170">
        <w:t xml:space="preserve">. This </w:t>
      </w:r>
      <w:r w:rsidR="00566504" w:rsidRPr="002C4170">
        <w:t xml:space="preserve">award-only </w:t>
      </w:r>
      <w:r w:rsidR="000323C0" w:rsidRPr="002C4170">
        <w:t xml:space="preserve">category is broader than the </w:t>
      </w:r>
      <w:proofErr w:type="spellStart"/>
      <w:r w:rsidR="00BD5313" w:rsidRPr="002C4170">
        <w:t>FWA</w:t>
      </w:r>
      <w:proofErr w:type="spellEnd"/>
      <w:r w:rsidR="000323C0" w:rsidRPr="002C4170">
        <w:t xml:space="preserve"> definition of award</w:t>
      </w:r>
      <w:r w:rsidR="00F65F52" w:rsidRPr="002C4170">
        <w:noBreakHyphen/>
      </w:r>
      <w:r w:rsidR="000323C0" w:rsidRPr="002C4170">
        <w:t xml:space="preserve">reliant employees, since it includes </w:t>
      </w:r>
      <w:r w:rsidR="00D00360" w:rsidRPr="00B04D75">
        <w:t>instruments other than modern awards, such as award-based transitional instruments</w:t>
      </w:r>
      <w:r w:rsidR="003463B0" w:rsidRPr="00B04D75">
        <w:t xml:space="preserve">. </w:t>
      </w:r>
      <w:r w:rsidR="00281B0B" w:rsidRPr="00B04D75">
        <w:t xml:space="preserve">However, </w:t>
      </w:r>
      <w:r w:rsidR="00EC5B6C" w:rsidRPr="00B04D75">
        <w:t xml:space="preserve">the </w:t>
      </w:r>
      <w:r w:rsidR="000323C0" w:rsidRPr="00800511">
        <w:t>data</w:t>
      </w:r>
      <w:r w:rsidR="00F61485" w:rsidRPr="00800511">
        <w:t xml:space="preserve"> for award-only employees</w:t>
      </w:r>
      <w:r w:rsidR="000323C0" w:rsidRPr="00800511">
        <w:t xml:space="preserve"> </w:t>
      </w:r>
      <w:r w:rsidR="003D34F8" w:rsidRPr="00800511">
        <w:t xml:space="preserve">are </w:t>
      </w:r>
      <w:r w:rsidR="000323C0" w:rsidRPr="00800511">
        <w:t>the</w:t>
      </w:r>
      <w:r w:rsidR="00281B0B" w:rsidRPr="00800511">
        <w:t xml:space="preserve"> best available proxy for award-reliant employees. </w:t>
      </w:r>
      <w:r w:rsidR="000323C0" w:rsidRPr="00800511">
        <w:t>These</w:t>
      </w:r>
      <w:r w:rsidR="00281B0B" w:rsidRPr="00800511">
        <w:t xml:space="preserve"> </w:t>
      </w:r>
      <w:r w:rsidR="005E0D6C" w:rsidRPr="00800511">
        <w:t>employees</w:t>
      </w:r>
      <w:r w:rsidR="003463B0" w:rsidRPr="00800511">
        <w:t xml:space="preserve"> </w:t>
      </w:r>
      <w:r w:rsidR="00147777" w:rsidRPr="00800511">
        <w:t>received, on average, 7.8</w:t>
      </w:r>
      <w:r w:rsidR="00A85B34" w:rsidRPr="00800511">
        <w:t> per </w:t>
      </w:r>
      <w:r w:rsidRPr="00800511">
        <w:t>cent of wages paid in that year (ABS</w:t>
      </w:r>
      <w:r w:rsidR="003402E9">
        <w:t> </w:t>
      </w:r>
      <w:proofErr w:type="spellStart"/>
      <w:r w:rsidRPr="00800511">
        <w:t>201</w:t>
      </w:r>
      <w:r w:rsidR="00F940A2" w:rsidRPr="00800511">
        <w:t>1</w:t>
      </w:r>
      <w:r w:rsidR="008A6477" w:rsidRPr="00800511">
        <w:t>b</w:t>
      </w:r>
      <w:proofErr w:type="spellEnd"/>
      <w:r w:rsidRPr="00800511">
        <w:t>).</w:t>
      </w:r>
      <w:r w:rsidR="000F36F7" w:rsidRPr="00800511">
        <w:t xml:space="preserve"> </w:t>
      </w:r>
    </w:p>
    <w:p w:rsidR="00D032CC" w:rsidRDefault="00D032CC">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A56D8C">
        <w:rPr>
          <w:b w:val="0"/>
        </w:rPr>
        <w:t>2.</w:t>
      </w:r>
      <w:r>
        <w:rPr>
          <w:b w:val="0"/>
        </w:rPr>
        <w:fldChar w:fldCharType="end"/>
      </w:r>
      <w:r>
        <w:rPr>
          <w:b w:val="0"/>
        </w:rPr>
        <w:fldChar w:fldCharType="begin"/>
      </w:r>
      <w:r>
        <w:rPr>
          <w:b w:val="0"/>
        </w:rPr>
        <w:instrText xml:space="preserve"> SEQ Table \* ARABIC </w:instrText>
      </w:r>
      <w:r>
        <w:rPr>
          <w:b w:val="0"/>
        </w:rPr>
        <w:fldChar w:fldCharType="separate"/>
      </w:r>
      <w:r w:rsidR="00AA5B30">
        <w:rPr>
          <w:b w:val="0"/>
          <w:noProof/>
        </w:rPr>
        <w:t>2</w:t>
      </w:r>
      <w:r>
        <w:rPr>
          <w:b w:val="0"/>
        </w:rPr>
        <w:fldChar w:fldCharType="end"/>
      </w:r>
      <w:r>
        <w:tab/>
        <w:t>Methods of setting pay</w:t>
      </w:r>
    </w:p>
    <w:p w:rsidR="00D032CC" w:rsidRDefault="00AB1CDD">
      <w:pPr>
        <w:pStyle w:val="Subtitle"/>
      </w:pPr>
      <w:r>
        <w:t>May 2010</w:t>
      </w:r>
    </w:p>
    <w:tbl>
      <w:tblPr>
        <w:tblW w:w="5000" w:type="pct"/>
        <w:tblCellMar>
          <w:left w:w="0" w:type="dxa"/>
          <w:right w:w="0" w:type="dxa"/>
        </w:tblCellMar>
        <w:tblLook w:val="0000" w:firstRow="0" w:lastRow="0" w:firstColumn="0" w:lastColumn="0" w:noHBand="0" w:noVBand="0"/>
        <w:tblCaption w:val="Methods of setting pay, May 2010"/>
        <w:tblDescription w:val="There were 1 361 000 award-only employees in May 2010, which is 15.2 per cent of employees. 3 892 000 employees were employed under registered and unregistered collective agreements, whcih is 43.4 per cent of employees. 3 346 000 of employees were employed under registered and unregistered individual arrangements, which is 37.3 per cent of employees, and a remaining 368 000 employees were owner-managers of incorporated enterprises, which is 4.1 per cent of employees. In total, there were 8 968 000 employees."/>
      </w:tblPr>
      <w:tblGrid>
        <w:gridCol w:w="3971"/>
        <w:gridCol w:w="2693"/>
        <w:gridCol w:w="2125"/>
      </w:tblGrid>
      <w:tr w:rsidR="00D032CC" w:rsidTr="00D64462">
        <w:tc>
          <w:tcPr>
            <w:tcW w:w="2259" w:type="pct"/>
            <w:tcBorders>
              <w:top w:val="single" w:sz="6" w:space="0" w:color="auto"/>
              <w:bottom w:val="single" w:sz="6" w:space="0" w:color="auto"/>
            </w:tcBorders>
            <w:shd w:val="clear" w:color="auto" w:fill="auto"/>
          </w:tcPr>
          <w:p w:rsidR="00D032CC" w:rsidRDefault="00D032CC" w:rsidP="00D032CC">
            <w:pPr>
              <w:pStyle w:val="TableColumnHeading"/>
              <w:jc w:val="left"/>
            </w:pPr>
          </w:p>
        </w:tc>
        <w:tc>
          <w:tcPr>
            <w:tcW w:w="1532" w:type="pct"/>
            <w:tcBorders>
              <w:top w:val="single" w:sz="6" w:space="0" w:color="auto"/>
              <w:bottom w:val="single" w:sz="6" w:space="0" w:color="auto"/>
            </w:tcBorders>
            <w:shd w:val="clear" w:color="auto" w:fill="auto"/>
          </w:tcPr>
          <w:p w:rsidR="00D032CC" w:rsidRDefault="00D032CC" w:rsidP="00D032CC">
            <w:pPr>
              <w:pStyle w:val="TableColumnHeading"/>
            </w:pPr>
            <w:r>
              <w:t>Number of employees</w:t>
            </w:r>
          </w:p>
        </w:tc>
        <w:tc>
          <w:tcPr>
            <w:tcW w:w="1209" w:type="pct"/>
            <w:tcBorders>
              <w:top w:val="single" w:sz="6" w:space="0" w:color="auto"/>
              <w:bottom w:val="single" w:sz="6" w:space="0" w:color="auto"/>
            </w:tcBorders>
            <w:shd w:val="clear" w:color="auto" w:fill="auto"/>
          </w:tcPr>
          <w:p w:rsidR="00D032CC" w:rsidRDefault="002C4170" w:rsidP="00800511">
            <w:pPr>
              <w:pStyle w:val="TableColumnHeading"/>
              <w:ind w:right="28"/>
            </w:pPr>
            <w:r>
              <w:t>Share of total</w:t>
            </w:r>
          </w:p>
        </w:tc>
      </w:tr>
      <w:tr w:rsidR="00D032CC" w:rsidTr="00D64462">
        <w:tc>
          <w:tcPr>
            <w:tcW w:w="2259" w:type="pct"/>
            <w:tcBorders>
              <w:top w:val="single" w:sz="6" w:space="0" w:color="auto"/>
            </w:tcBorders>
          </w:tcPr>
          <w:p w:rsidR="00D032CC" w:rsidRDefault="00D032CC" w:rsidP="00D032CC">
            <w:pPr>
              <w:pStyle w:val="TableUnitsRow"/>
              <w:jc w:val="left"/>
            </w:pPr>
          </w:p>
        </w:tc>
        <w:tc>
          <w:tcPr>
            <w:tcW w:w="1532" w:type="pct"/>
            <w:tcBorders>
              <w:top w:val="single" w:sz="6" w:space="0" w:color="auto"/>
            </w:tcBorders>
          </w:tcPr>
          <w:p w:rsidR="00D032CC" w:rsidRDefault="006C60DE" w:rsidP="006C60DE">
            <w:pPr>
              <w:pStyle w:val="TableUnitsRow"/>
            </w:pPr>
            <w:r>
              <w:t>’</w:t>
            </w:r>
            <w:r w:rsidR="00D032CC">
              <w:t>000</w:t>
            </w:r>
          </w:p>
        </w:tc>
        <w:tc>
          <w:tcPr>
            <w:tcW w:w="1209" w:type="pct"/>
            <w:tcBorders>
              <w:top w:val="single" w:sz="6" w:space="0" w:color="auto"/>
            </w:tcBorders>
          </w:tcPr>
          <w:p w:rsidR="00D032CC" w:rsidRDefault="00D032CC" w:rsidP="00D032CC">
            <w:pPr>
              <w:pStyle w:val="TableUnitsRow"/>
              <w:ind w:right="28"/>
            </w:pPr>
            <w:r>
              <w:t>%</w:t>
            </w:r>
          </w:p>
        </w:tc>
      </w:tr>
      <w:tr w:rsidR="00D032CC" w:rsidTr="00D64462">
        <w:tc>
          <w:tcPr>
            <w:tcW w:w="2259" w:type="pct"/>
          </w:tcPr>
          <w:p w:rsidR="00D032CC" w:rsidRPr="001F0C44" w:rsidRDefault="00D032CC" w:rsidP="00D032CC">
            <w:pPr>
              <w:pStyle w:val="TableBodyText"/>
              <w:jc w:val="left"/>
            </w:pPr>
            <w:r w:rsidRPr="001F0C44">
              <w:t>Award only</w:t>
            </w:r>
          </w:p>
        </w:tc>
        <w:tc>
          <w:tcPr>
            <w:tcW w:w="1532" w:type="pct"/>
          </w:tcPr>
          <w:p w:rsidR="00D032CC" w:rsidRDefault="00CB3C7D" w:rsidP="00CB3C7D">
            <w:pPr>
              <w:pStyle w:val="TableBodyText"/>
            </w:pPr>
            <w:r>
              <w:t xml:space="preserve">1 </w:t>
            </w:r>
            <w:r w:rsidR="00D032CC">
              <w:t>361</w:t>
            </w:r>
          </w:p>
        </w:tc>
        <w:tc>
          <w:tcPr>
            <w:tcW w:w="1209" w:type="pct"/>
          </w:tcPr>
          <w:p w:rsidR="00D032CC" w:rsidRDefault="00D032CC" w:rsidP="00D032CC">
            <w:pPr>
              <w:pStyle w:val="TableBodyText"/>
              <w:ind w:right="28"/>
            </w:pPr>
            <w:r>
              <w:t>15.2</w:t>
            </w:r>
          </w:p>
        </w:tc>
      </w:tr>
      <w:tr w:rsidR="00D032CC" w:rsidTr="00D64462">
        <w:tc>
          <w:tcPr>
            <w:tcW w:w="2259" w:type="pct"/>
          </w:tcPr>
          <w:p w:rsidR="00D032CC" w:rsidRPr="001F0C44" w:rsidRDefault="00D032CC" w:rsidP="00D032CC">
            <w:pPr>
              <w:pStyle w:val="TableBodyText"/>
              <w:jc w:val="left"/>
              <w:rPr>
                <w:rStyle w:val="NoteLabel"/>
              </w:rPr>
            </w:pPr>
            <w:r>
              <w:t>Collective agreement</w:t>
            </w:r>
            <w:r>
              <w:rPr>
                <w:rStyle w:val="NoteLabel"/>
              </w:rPr>
              <w:t>a</w:t>
            </w:r>
          </w:p>
        </w:tc>
        <w:tc>
          <w:tcPr>
            <w:tcW w:w="1532" w:type="pct"/>
          </w:tcPr>
          <w:p w:rsidR="00D032CC" w:rsidRDefault="00D032CC" w:rsidP="00D032CC">
            <w:pPr>
              <w:pStyle w:val="TableBodyText"/>
            </w:pPr>
            <w:r>
              <w:t>3</w:t>
            </w:r>
            <w:r w:rsidR="00CB3C7D">
              <w:t xml:space="preserve"> </w:t>
            </w:r>
            <w:r>
              <w:t>892</w:t>
            </w:r>
          </w:p>
        </w:tc>
        <w:tc>
          <w:tcPr>
            <w:tcW w:w="1209" w:type="pct"/>
          </w:tcPr>
          <w:p w:rsidR="00D032CC" w:rsidRDefault="00D032CC" w:rsidP="00D032CC">
            <w:pPr>
              <w:pStyle w:val="TableBodyText"/>
              <w:ind w:right="28"/>
            </w:pPr>
            <w:r>
              <w:t>43.4</w:t>
            </w:r>
          </w:p>
        </w:tc>
      </w:tr>
      <w:tr w:rsidR="00D032CC" w:rsidTr="00D64462">
        <w:tc>
          <w:tcPr>
            <w:tcW w:w="2259" w:type="pct"/>
          </w:tcPr>
          <w:p w:rsidR="00D032CC" w:rsidRPr="001F0C44" w:rsidRDefault="00D032CC" w:rsidP="00D032CC">
            <w:pPr>
              <w:pStyle w:val="TableBodyText"/>
              <w:jc w:val="left"/>
            </w:pPr>
            <w:r w:rsidRPr="001F0C44">
              <w:t>Individual arrangement</w:t>
            </w:r>
            <w:r>
              <w:rPr>
                <w:rStyle w:val="NoteLabel"/>
              </w:rPr>
              <w:t>b</w:t>
            </w:r>
          </w:p>
        </w:tc>
        <w:tc>
          <w:tcPr>
            <w:tcW w:w="1532" w:type="pct"/>
          </w:tcPr>
          <w:p w:rsidR="00D032CC" w:rsidRDefault="00D032CC" w:rsidP="00D032CC">
            <w:pPr>
              <w:pStyle w:val="TableBodyText"/>
            </w:pPr>
            <w:r>
              <w:t>3</w:t>
            </w:r>
            <w:r w:rsidR="00CB3C7D">
              <w:t xml:space="preserve"> </w:t>
            </w:r>
            <w:r>
              <w:t>346</w:t>
            </w:r>
          </w:p>
        </w:tc>
        <w:tc>
          <w:tcPr>
            <w:tcW w:w="1209" w:type="pct"/>
          </w:tcPr>
          <w:p w:rsidR="00D032CC" w:rsidRDefault="00D032CC" w:rsidP="00D032CC">
            <w:pPr>
              <w:pStyle w:val="TableBodyText"/>
              <w:ind w:right="28"/>
            </w:pPr>
            <w:r>
              <w:t>37.3</w:t>
            </w:r>
          </w:p>
        </w:tc>
      </w:tr>
      <w:tr w:rsidR="00D032CC" w:rsidTr="00D64462">
        <w:tc>
          <w:tcPr>
            <w:tcW w:w="2259" w:type="pct"/>
          </w:tcPr>
          <w:p w:rsidR="00D032CC" w:rsidRPr="001F0C44" w:rsidRDefault="00D032CC" w:rsidP="00D032CC">
            <w:pPr>
              <w:pStyle w:val="TableBodyText"/>
              <w:jc w:val="left"/>
            </w:pPr>
            <w:r w:rsidRPr="001F0C44">
              <w:t>Owner manager of incorporated enterprise</w:t>
            </w:r>
          </w:p>
        </w:tc>
        <w:tc>
          <w:tcPr>
            <w:tcW w:w="1532" w:type="pct"/>
          </w:tcPr>
          <w:p w:rsidR="00D032CC" w:rsidRDefault="00D032CC" w:rsidP="00D032CC">
            <w:pPr>
              <w:pStyle w:val="TableBodyText"/>
            </w:pPr>
            <w:r>
              <w:t>368</w:t>
            </w:r>
          </w:p>
        </w:tc>
        <w:tc>
          <w:tcPr>
            <w:tcW w:w="1209" w:type="pct"/>
          </w:tcPr>
          <w:p w:rsidR="00D032CC" w:rsidRDefault="00D032CC" w:rsidP="00D032CC">
            <w:pPr>
              <w:pStyle w:val="TableBodyText"/>
              <w:ind w:right="28"/>
            </w:pPr>
            <w:r>
              <w:t>4.1</w:t>
            </w:r>
          </w:p>
        </w:tc>
      </w:tr>
      <w:tr w:rsidR="00D032CC" w:rsidRPr="00D032CC" w:rsidTr="00D64462">
        <w:tc>
          <w:tcPr>
            <w:tcW w:w="2259" w:type="pct"/>
            <w:tcBorders>
              <w:bottom w:val="single" w:sz="6" w:space="0" w:color="auto"/>
            </w:tcBorders>
            <w:shd w:val="clear" w:color="auto" w:fill="auto"/>
          </w:tcPr>
          <w:p w:rsidR="00D032CC" w:rsidRPr="00A37698" w:rsidRDefault="00D032CC" w:rsidP="00D032CC">
            <w:pPr>
              <w:pStyle w:val="TableBodyText"/>
              <w:jc w:val="left"/>
              <w:rPr>
                <w:b/>
              </w:rPr>
            </w:pPr>
            <w:r w:rsidRPr="00A37698">
              <w:rPr>
                <w:b/>
              </w:rPr>
              <w:t>All methods of setting pay</w:t>
            </w:r>
          </w:p>
        </w:tc>
        <w:tc>
          <w:tcPr>
            <w:tcW w:w="1532" w:type="pct"/>
            <w:tcBorders>
              <w:bottom w:val="single" w:sz="6" w:space="0" w:color="auto"/>
            </w:tcBorders>
            <w:shd w:val="clear" w:color="auto" w:fill="auto"/>
          </w:tcPr>
          <w:p w:rsidR="00D032CC" w:rsidRPr="00D032CC" w:rsidRDefault="00D032CC" w:rsidP="00D032CC">
            <w:pPr>
              <w:pStyle w:val="TableBodyText"/>
              <w:rPr>
                <w:b/>
              </w:rPr>
            </w:pPr>
            <w:r w:rsidRPr="00D032CC">
              <w:rPr>
                <w:b/>
              </w:rPr>
              <w:t>8</w:t>
            </w:r>
            <w:r w:rsidR="00CB3C7D">
              <w:rPr>
                <w:b/>
              </w:rPr>
              <w:t xml:space="preserve"> </w:t>
            </w:r>
            <w:r w:rsidRPr="00D032CC">
              <w:rPr>
                <w:b/>
              </w:rPr>
              <w:t>968</w:t>
            </w:r>
          </w:p>
        </w:tc>
        <w:tc>
          <w:tcPr>
            <w:tcW w:w="1209" w:type="pct"/>
            <w:tcBorders>
              <w:bottom w:val="single" w:sz="6" w:space="0" w:color="auto"/>
            </w:tcBorders>
            <w:shd w:val="clear" w:color="auto" w:fill="auto"/>
          </w:tcPr>
          <w:p w:rsidR="00D032CC" w:rsidRPr="00D032CC" w:rsidRDefault="00D032CC" w:rsidP="00D032CC">
            <w:pPr>
              <w:pStyle w:val="TableBodyText"/>
              <w:ind w:right="28"/>
              <w:rPr>
                <w:b/>
              </w:rPr>
            </w:pPr>
            <w:r w:rsidRPr="00D032CC">
              <w:rPr>
                <w:b/>
              </w:rPr>
              <w:t>100</w:t>
            </w:r>
          </w:p>
        </w:tc>
      </w:tr>
    </w:tbl>
    <w:p w:rsidR="00D032CC" w:rsidRPr="001F0C44" w:rsidRDefault="00D032CC" w:rsidP="00D032CC">
      <w:pPr>
        <w:pStyle w:val="Note"/>
      </w:pPr>
      <w:proofErr w:type="spellStart"/>
      <w:r>
        <w:rPr>
          <w:rStyle w:val="NoteLabel"/>
        </w:rPr>
        <w:t>a</w:t>
      </w:r>
      <w:proofErr w:type="spellEnd"/>
      <w:r>
        <w:rPr>
          <w:rStyle w:val="NoteLabel"/>
        </w:rPr>
        <w:t xml:space="preserve"> </w:t>
      </w:r>
      <w:r w:rsidRPr="001F0C44">
        <w:t>Includ</w:t>
      </w:r>
      <w:r>
        <w:t>es registered and unregistered agreements.</w:t>
      </w:r>
      <w:r>
        <w:rPr>
          <w:rStyle w:val="NoteLabel"/>
        </w:rPr>
        <w:t xml:space="preserve"> b </w:t>
      </w:r>
      <w:r w:rsidRPr="001F0C44">
        <w:t>Includ</w:t>
      </w:r>
      <w:r>
        <w:t>es registered and unregistered arrangements.</w:t>
      </w:r>
    </w:p>
    <w:p w:rsidR="00D032CC" w:rsidRDefault="00D032CC" w:rsidP="006D0B48">
      <w:pPr>
        <w:pStyle w:val="Source"/>
      </w:pPr>
      <w:r>
        <w:rPr>
          <w:i/>
        </w:rPr>
        <w:t>Source</w:t>
      </w:r>
      <w:r>
        <w:t xml:space="preserve">: </w:t>
      </w:r>
      <w:r w:rsidRPr="00AE4697">
        <w:t xml:space="preserve">ABS </w:t>
      </w:r>
      <w:r>
        <w:t>(</w:t>
      </w:r>
      <w:proofErr w:type="spellStart"/>
      <w:r>
        <w:t>2011b</w:t>
      </w:r>
      <w:proofErr w:type="spellEnd"/>
      <w:r>
        <w:t>)</w:t>
      </w:r>
      <w:r w:rsidRPr="00AE4697">
        <w:t>.</w:t>
      </w:r>
    </w:p>
    <w:p w:rsidR="00A00231" w:rsidRPr="006503A6" w:rsidRDefault="00A00231" w:rsidP="00A00231">
      <w:pPr>
        <w:pStyle w:val="BodyText"/>
      </w:pPr>
      <w:r>
        <w:t>Award reliance varies by industry, and tends to be lower in more highly</w:t>
      </w:r>
      <w:r w:rsidR="00CA07CD">
        <w:t xml:space="preserve"> </w:t>
      </w:r>
      <w:r>
        <w:t>skilled industries</w:t>
      </w:r>
      <w:r w:rsidRPr="006503A6">
        <w:t xml:space="preserve"> (</w:t>
      </w:r>
      <w:proofErr w:type="spellStart"/>
      <w:r w:rsidRPr="006503A6">
        <w:t>Rozenbes</w:t>
      </w:r>
      <w:proofErr w:type="spellEnd"/>
      <w:r w:rsidRPr="006503A6">
        <w:t xml:space="preserve"> 2010)</w:t>
      </w:r>
      <w:r w:rsidR="00783A76">
        <w:t xml:space="preserve"> (table</w:t>
      </w:r>
      <w:r w:rsidR="0075017A">
        <w:t> </w:t>
      </w:r>
      <w:r w:rsidR="00783A76">
        <w:t>2.3).</w:t>
      </w:r>
    </w:p>
    <w:p w:rsidR="00A00231" w:rsidRDefault="00A00231" w:rsidP="00A00231">
      <w:pPr>
        <w:pStyle w:val="Quote"/>
      </w:pPr>
      <w:r>
        <w:t>… the distribution of award relianc</w:t>
      </w:r>
      <w:r w:rsidR="00CD18AA">
        <w:t>e for setting pay is quite focu</w:t>
      </w:r>
      <w:r>
        <w:t>sed.</w:t>
      </w:r>
      <w:r w:rsidR="00363E6C">
        <w:t xml:space="preserve"> </w:t>
      </w:r>
      <w:r>
        <w:t xml:space="preserve">Over 70% of employees who are award-reliant for pay are employed in five of the 18 </w:t>
      </w:r>
      <w:proofErr w:type="spellStart"/>
      <w:r>
        <w:t>ANZSIC</w:t>
      </w:r>
      <w:proofErr w:type="spellEnd"/>
      <w:r>
        <w:t xml:space="preserve"> industry divisions.</w:t>
      </w:r>
      <w:r w:rsidR="00363E6C">
        <w:t xml:space="preserve"> </w:t>
      </w:r>
      <w:r>
        <w:t>In descending order of importance these are accommodation and food services, retail trade, health care and social assistance, administrative and support services and manufacturing, which in May 2010 employed over 970,000 of the</w:t>
      </w:r>
      <w:r w:rsidR="00363E6C">
        <w:t xml:space="preserve"> </w:t>
      </w:r>
      <w:r>
        <w:t>1.36</w:t>
      </w:r>
      <w:r w:rsidR="00CA07CD">
        <w:t> </w:t>
      </w:r>
      <w:r>
        <w:t>million award-reliant employees identified in the survey. (</w:t>
      </w:r>
      <w:proofErr w:type="spellStart"/>
      <w:r w:rsidR="00B04CDD">
        <w:t>ACCI</w:t>
      </w:r>
      <w:proofErr w:type="spellEnd"/>
      <w:r>
        <w:t>, sub. 37, p. 15)</w:t>
      </w:r>
    </w:p>
    <w:p w:rsidR="00A62DD1" w:rsidRPr="00424921" w:rsidRDefault="00A62DD1" w:rsidP="00A62DD1">
      <w:pPr>
        <w:pStyle w:val="BodyText"/>
      </w:pPr>
      <w:r>
        <w:t>Industries that have a high proportion of award</w:t>
      </w:r>
      <w:r>
        <w:rPr>
          <w:rFonts w:ascii="Arial" w:hAnsi="Arial" w:cs="Arial"/>
          <w:sz w:val="22"/>
          <w:szCs w:val="22"/>
        </w:rPr>
        <w:t>-</w:t>
      </w:r>
      <w:r>
        <w:t xml:space="preserve">reliant employees also tend to have a high proportion of part-time and casual employees. </w:t>
      </w:r>
    </w:p>
    <w:p w:rsidR="00A62DD1" w:rsidRDefault="00A62DD1" w:rsidP="00EF3252">
      <w:pPr>
        <w:pStyle w:val="Quote"/>
      </w:pPr>
      <w:r>
        <w:t>The hospitality industry workforce is characterised by a higher proportion of younger employees and people working on either a casual or part time basis (such as parents with young children, people earning a second income, etc.) (Australian Hotels Association, sub. 10, p. 8)</w:t>
      </w:r>
    </w:p>
    <w:p w:rsidR="00783A76" w:rsidRPr="0007153C" w:rsidRDefault="00783A76" w:rsidP="00783A76">
      <w:pPr>
        <w:pStyle w:val="BodyText"/>
      </w:pPr>
      <w:r>
        <w:lastRenderedPageBreak/>
        <w:t>In 2008, a casual employee was four times as likely to be award reliant compared to a permanent or fixed-term employee (</w:t>
      </w:r>
      <w:proofErr w:type="spellStart"/>
      <w:r>
        <w:t>Rozenbes</w:t>
      </w:r>
      <w:proofErr w:type="spellEnd"/>
      <w:r>
        <w:t xml:space="preserve"> 2010). Casual employees often work simultaneously for several employers and experience high job turnover (this might also pose a constraint to superannuation account consolidation) (Rice </w:t>
      </w:r>
      <w:r w:rsidR="00800511">
        <w:t>Warner </w:t>
      </w:r>
      <w:r>
        <w:t>2007).</w:t>
      </w:r>
      <w:r w:rsidRPr="00B7755A">
        <w:t xml:space="preserve"> </w:t>
      </w:r>
      <w:r>
        <w:t>Further, women are more likely to be award</w:t>
      </w:r>
      <w:r>
        <w:rPr>
          <w:rFonts w:ascii="Arial" w:hAnsi="Arial" w:cs="Arial"/>
          <w:sz w:val="22"/>
          <w:szCs w:val="22"/>
        </w:rPr>
        <w:t xml:space="preserve"> </w:t>
      </w:r>
      <w:r>
        <w:t>reliant than men, and typically have lower superannuation balances (Clare 2008).</w:t>
      </w:r>
    </w:p>
    <w:p w:rsidR="00D032CC" w:rsidRDefault="00D032CC">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A56D8C">
        <w:rPr>
          <w:b w:val="0"/>
        </w:rPr>
        <w:t>2.</w:t>
      </w:r>
      <w:r>
        <w:rPr>
          <w:b w:val="0"/>
        </w:rPr>
        <w:fldChar w:fldCharType="end"/>
      </w:r>
      <w:r>
        <w:rPr>
          <w:b w:val="0"/>
        </w:rPr>
        <w:fldChar w:fldCharType="begin"/>
      </w:r>
      <w:r>
        <w:rPr>
          <w:b w:val="0"/>
        </w:rPr>
        <w:instrText xml:space="preserve"> SEQ Table \* ARABIC </w:instrText>
      </w:r>
      <w:r>
        <w:rPr>
          <w:b w:val="0"/>
        </w:rPr>
        <w:fldChar w:fldCharType="separate"/>
      </w:r>
      <w:r w:rsidR="00AA5B30">
        <w:rPr>
          <w:b w:val="0"/>
          <w:noProof/>
        </w:rPr>
        <w:t>3</w:t>
      </w:r>
      <w:r>
        <w:rPr>
          <w:b w:val="0"/>
        </w:rPr>
        <w:fldChar w:fldCharType="end"/>
      </w:r>
      <w:r>
        <w:tab/>
        <w:t>Percentage of award-only employees, by industry</w:t>
      </w:r>
    </w:p>
    <w:p w:rsidR="00D032CC" w:rsidRDefault="00D032CC">
      <w:pPr>
        <w:pStyle w:val="Subtitle"/>
      </w:pPr>
      <w:r>
        <w:t>May 2010</w:t>
      </w:r>
    </w:p>
    <w:tbl>
      <w:tblPr>
        <w:tblW w:w="5000" w:type="pct"/>
        <w:tblCellMar>
          <w:left w:w="0" w:type="dxa"/>
          <w:right w:w="0" w:type="dxa"/>
        </w:tblCellMar>
        <w:tblLook w:val="0000" w:firstRow="0" w:lastRow="0" w:firstColumn="0" w:lastColumn="0" w:noHBand="0" w:noVBand="0"/>
        <w:tblCaption w:val="Percentage of award-only employees, by industry, May 2010"/>
        <w:tblDescription w:val="In accommodation and food services, there were 291 600 employees (21.4 per cent), in retail trade there were 204 900 employees (15 per cent), in health care and social assistance there were 193 600 employees (14.2 per cent), in administrative and support services there were 161 000 employees (11.8 per cent), in manufacturing there were 120 800 employees (8.9 per cent), in other services there were 88 200 employees (6.5 per cent), in construction there were 53 200 employees (3.9 per cent), in wholesale trade there were 45 900 employees (3.4 per cent), in education and training htere were 43 100 employees (3.2 per cent), in rental hiring and real estate there were 40 300 employees (3 per cent), in transport, postal and warehousing there were 32 900 employees (2.4 per cent), in professional, scientific and technical services there are 26 200 employees (1.9 per cent), in arts and recreation there were 24 100 employees (1.8 per cent), in public administration and safety there were 12 800 employees (0.9 per cent), in information media and telecommunications there were 9 200 employees (0.7 per cent), in financial and insurance services there were 7 900 employees (0.6 per cent), in electricity, gas, water and waste services there were 3 000 employees (0.2 per cent), and in mining there were 2 600 employees (0.2 per cent)."/>
      </w:tblPr>
      <w:tblGrid>
        <w:gridCol w:w="4537"/>
        <w:gridCol w:w="2297"/>
        <w:gridCol w:w="1955"/>
      </w:tblGrid>
      <w:tr w:rsidR="00D032CC" w:rsidTr="0061538B">
        <w:tc>
          <w:tcPr>
            <w:tcW w:w="2580" w:type="pct"/>
            <w:tcBorders>
              <w:top w:val="single" w:sz="6" w:space="0" w:color="auto"/>
              <w:bottom w:val="single" w:sz="6" w:space="0" w:color="auto"/>
            </w:tcBorders>
            <w:shd w:val="clear" w:color="auto" w:fill="auto"/>
          </w:tcPr>
          <w:p w:rsidR="00D032CC" w:rsidRDefault="00D032CC" w:rsidP="00D032CC">
            <w:pPr>
              <w:pStyle w:val="TableColumnHeading"/>
              <w:jc w:val="left"/>
            </w:pPr>
          </w:p>
        </w:tc>
        <w:tc>
          <w:tcPr>
            <w:tcW w:w="1307" w:type="pct"/>
            <w:tcBorders>
              <w:top w:val="single" w:sz="6" w:space="0" w:color="auto"/>
              <w:bottom w:val="single" w:sz="6" w:space="0" w:color="auto"/>
            </w:tcBorders>
            <w:shd w:val="clear" w:color="auto" w:fill="auto"/>
          </w:tcPr>
          <w:p w:rsidR="00D032CC" w:rsidRDefault="00D032CC" w:rsidP="001359DE">
            <w:pPr>
              <w:pStyle w:val="TableColumnHeading"/>
            </w:pPr>
            <w:r>
              <w:t>Number of employees</w:t>
            </w:r>
          </w:p>
        </w:tc>
        <w:tc>
          <w:tcPr>
            <w:tcW w:w="1112" w:type="pct"/>
            <w:tcBorders>
              <w:top w:val="single" w:sz="6" w:space="0" w:color="auto"/>
              <w:bottom w:val="single" w:sz="6" w:space="0" w:color="auto"/>
            </w:tcBorders>
            <w:shd w:val="clear" w:color="auto" w:fill="auto"/>
          </w:tcPr>
          <w:p w:rsidR="00D032CC" w:rsidRDefault="002C4170" w:rsidP="00800511">
            <w:pPr>
              <w:pStyle w:val="TableColumnHeading"/>
              <w:ind w:right="28"/>
            </w:pPr>
            <w:r>
              <w:t>Share of total</w:t>
            </w:r>
          </w:p>
        </w:tc>
      </w:tr>
      <w:tr w:rsidR="001359DE" w:rsidTr="0061538B">
        <w:tc>
          <w:tcPr>
            <w:tcW w:w="2580" w:type="pct"/>
            <w:vAlign w:val="bottom"/>
          </w:tcPr>
          <w:p w:rsidR="001359DE" w:rsidRDefault="001359DE" w:rsidP="001359DE">
            <w:pPr>
              <w:pStyle w:val="TableUnitsRow"/>
            </w:pPr>
          </w:p>
        </w:tc>
        <w:tc>
          <w:tcPr>
            <w:tcW w:w="1307" w:type="pct"/>
          </w:tcPr>
          <w:p w:rsidR="001359DE" w:rsidRDefault="006C60DE" w:rsidP="001359DE">
            <w:pPr>
              <w:pStyle w:val="TableUnitsRow"/>
            </w:pPr>
            <w:r>
              <w:t>’</w:t>
            </w:r>
            <w:r w:rsidR="001359DE">
              <w:t>000</w:t>
            </w:r>
          </w:p>
        </w:tc>
        <w:tc>
          <w:tcPr>
            <w:tcW w:w="1112" w:type="pct"/>
          </w:tcPr>
          <w:p w:rsidR="001359DE" w:rsidRDefault="001359DE" w:rsidP="001359DE">
            <w:pPr>
              <w:pStyle w:val="TableUnitsRow"/>
              <w:ind w:right="28"/>
            </w:pPr>
            <w:r>
              <w:t>%</w:t>
            </w:r>
          </w:p>
        </w:tc>
      </w:tr>
      <w:tr w:rsidR="001359DE" w:rsidTr="0061538B">
        <w:tc>
          <w:tcPr>
            <w:tcW w:w="2580" w:type="pct"/>
            <w:vAlign w:val="bottom"/>
          </w:tcPr>
          <w:p w:rsidR="001359DE" w:rsidRDefault="001359DE" w:rsidP="00D032CC">
            <w:pPr>
              <w:pStyle w:val="TableBodyText"/>
              <w:jc w:val="left"/>
            </w:pPr>
            <w:r>
              <w:t>Accommodation and food services</w:t>
            </w:r>
          </w:p>
        </w:tc>
        <w:tc>
          <w:tcPr>
            <w:tcW w:w="1307" w:type="pct"/>
            <w:vAlign w:val="bottom"/>
          </w:tcPr>
          <w:p w:rsidR="001359DE" w:rsidRDefault="001359DE" w:rsidP="00D032CC">
            <w:pPr>
              <w:pStyle w:val="TableBodyText"/>
            </w:pPr>
            <w:r>
              <w:t>291.6</w:t>
            </w:r>
          </w:p>
        </w:tc>
        <w:tc>
          <w:tcPr>
            <w:tcW w:w="1112" w:type="pct"/>
          </w:tcPr>
          <w:p w:rsidR="001359DE" w:rsidRDefault="001359DE" w:rsidP="00D032CC">
            <w:pPr>
              <w:pStyle w:val="TableBodyText"/>
              <w:ind w:right="28"/>
            </w:pPr>
            <w:r>
              <w:t>21.4</w:t>
            </w:r>
          </w:p>
        </w:tc>
      </w:tr>
      <w:tr w:rsidR="001359DE" w:rsidTr="0061538B">
        <w:tc>
          <w:tcPr>
            <w:tcW w:w="2580" w:type="pct"/>
            <w:vAlign w:val="bottom"/>
          </w:tcPr>
          <w:p w:rsidR="001359DE" w:rsidRDefault="001359DE" w:rsidP="00D032CC">
            <w:pPr>
              <w:pStyle w:val="TableBodyText"/>
              <w:jc w:val="left"/>
            </w:pPr>
            <w:r>
              <w:t>Retail trade</w:t>
            </w:r>
          </w:p>
        </w:tc>
        <w:tc>
          <w:tcPr>
            <w:tcW w:w="1307" w:type="pct"/>
            <w:vAlign w:val="bottom"/>
          </w:tcPr>
          <w:p w:rsidR="001359DE" w:rsidRDefault="001359DE" w:rsidP="00D032CC">
            <w:pPr>
              <w:pStyle w:val="TableBodyText"/>
            </w:pPr>
            <w:r>
              <w:t>204.9</w:t>
            </w:r>
          </w:p>
        </w:tc>
        <w:tc>
          <w:tcPr>
            <w:tcW w:w="1112" w:type="pct"/>
          </w:tcPr>
          <w:p w:rsidR="001359DE" w:rsidRDefault="001359DE" w:rsidP="00D032CC">
            <w:pPr>
              <w:pStyle w:val="TableBodyText"/>
              <w:ind w:right="28"/>
            </w:pPr>
            <w:r>
              <w:t>15.0</w:t>
            </w:r>
          </w:p>
        </w:tc>
      </w:tr>
      <w:tr w:rsidR="001359DE" w:rsidTr="0061538B">
        <w:tc>
          <w:tcPr>
            <w:tcW w:w="2580" w:type="pct"/>
            <w:vAlign w:val="bottom"/>
          </w:tcPr>
          <w:p w:rsidR="001359DE" w:rsidRDefault="001359DE" w:rsidP="00D032CC">
            <w:pPr>
              <w:pStyle w:val="TableBodyText"/>
              <w:jc w:val="left"/>
            </w:pPr>
            <w:r>
              <w:t>Health care and social assistance</w:t>
            </w:r>
          </w:p>
        </w:tc>
        <w:tc>
          <w:tcPr>
            <w:tcW w:w="1307" w:type="pct"/>
            <w:vAlign w:val="bottom"/>
          </w:tcPr>
          <w:p w:rsidR="001359DE" w:rsidRDefault="001359DE" w:rsidP="00D032CC">
            <w:pPr>
              <w:pStyle w:val="TableBodyText"/>
            </w:pPr>
            <w:r>
              <w:t>193.6</w:t>
            </w:r>
          </w:p>
        </w:tc>
        <w:tc>
          <w:tcPr>
            <w:tcW w:w="1112" w:type="pct"/>
          </w:tcPr>
          <w:p w:rsidR="001359DE" w:rsidRDefault="001359DE" w:rsidP="00D032CC">
            <w:pPr>
              <w:pStyle w:val="TableBodyText"/>
              <w:ind w:right="28"/>
            </w:pPr>
            <w:r>
              <w:t>14.2</w:t>
            </w:r>
          </w:p>
        </w:tc>
      </w:tr>
      <w:tr w:rsidR="001359DE" w:rsidTr="0061538B">
        <w:tc>
          <w:tcPr>
            <w:tcW w:w="2580" w:type="pct"/>
            <w:vAlign w:val="bottom"/>
          </w:tcPr>
          <w:p w:rsidR="001359DE" w:rsidRDefault="001359DE" w:rsidP="00D032CC">
            <w:pPr>
              <w:pStyle w:val="TableBodyText"/>
              <w:jc w:val="left"/>
            </w:pPr>
            <w:r>
              <w:t>Administrative and support services</w:t>
            </w:r>
          </w:p>
        </w:tc>
        <w:tc>
          <w:tcPr>
            <w:tcW w:w="1307" w:type="pct"/>
            <w:vAlign w:val="bottom"/>
          </w:tcPr>
          <w:p w:rsidR="001359DE" w:rsidRDefault="001359DE" w:rsidP="00D032CC">
            <w:pPr>
              <w:pStyle w:val="TableBodyText"/>
            </w:pPr>
            <w:r>
              <w:t>161.0</w:t>
            </w:r>
          </w:p>
        </w:tc>
        <w:tc>
          <w:tcPr>
            <w:tcW w:w="1112" w:type="pct"/>
          </w:tcPr>
          <w:p w:rsidR="001359DE" w:rsidRDefault="001359DE" w:rsidP="00D032CC">
            <w:pPr>
              <w:pStyle w:val="TableBodyText"/>
              <w:ind w:right="28"/>
            </w:pPr>
            <w:r>
              <w:t>11.8</w:t>
            </w:r>
          </w:p>
        </w:tc>
      </w:tr>
      <w:tr w:rsidR="001359DE" w:rsidTr="0061538B">
        <w:tc>
          <w:tcPr>
            <w:tcW w:w="2580" w:type="pct"/>
            <w:vAlign w:val="bottom"/>
          </w:tcPr>
          <w:p w:rsidR="001359DE" w:rsidRDefault="001359DE" w:rsidP="00D032CC">
            <w:pPr>
              <w:pStyle w:val="TableBodyText"/>
              <w:jc w:val="left"/>
            </w:pPr>
            <w:r>
              <w:t>Manufacturing</w:t>
            </w:r>
          </w:p>
        </w:tc>
        <w:tc>
          <w:tcPr>
            <w:tcW w:w="1307" w:type="pct"/>
            <w:vAlign w:val="bottom"/>
          </w:tcPr>
          <w:p w:rsidR="001359DE" w:rsidRDefault="001359DE" w:rsidP="00D032CC">
            <w:pPr>
              <w:pStyle w:val="TableBodyText"/>
            </w:pPr>
            <w:r>
              <w:t>120.8</w:t>
            </w:r>
          </w:p>
        </w:tc>
        <w:tc>
          <w:tcPr>
            <w:tcW w:w="1112" w:type="pct"/>
          </w:tcPr>
          <w:p w:rsidR="001359DE" w:rsidRDefault="001359DE" w:rsidP="00D032CC">
            <w:pPr>
              <w:pStyle w:val="TableBodyText"/>
              <w:ind w:right="28"/>
            </w:pPr>
            <w:r>
              <w:t>8.9</w:t>
            </w:r>
          </w:p>
        </w:tc>
      </w:tr>
      <w:tr w:rsidR="001359DE" w:rsidTr="0061538B">
        <w:tc>
          <w:tcPr>
            <w:tcW w:w="2580" w:type="pct"/>
            <w:vAlign w:val="bottom"/>
          </w:tcPr>
          <w:p w:rsidR="001359DE" w:rsidRDefault="001359DE" w:rsidP="00D032CC">
            <w:pPr>
              <w:pStyle w:val="TableBodyText"/>
              <w:jc w:val="left"/>
            </w:pPr>
            <w:r>
              <w:t>Other services</w:t>
            </w:r>
          </w:p>
        </w:tc>
        <w:tc>
          <w:tcPr>
            <w:tcW w:w="1307" w:type="pct"/>
            <w:vAlign w:val="bottom"/>
          </w:tcPr>
          <w:p w:rsidR="001359DE" w:rsidRDefault="001359DE" w:rsidP="00D032CC">
            <w:pPr>
              <w:pStyle w:val="TableBodyText"/>
            </w:pPr>
            <w:r>
              <w:t>88.2</w:t>
            </w:r>
          </w:p>
        </w:tc>
        <w:tc>
          <w:tcPr>
            <w:tcW w:w="1112" w:type="pct"/>
          </w:tcPr>
          <w:p w:rsidR="001359DE" w:rsidRDefault="001359DE" w:rsidP="00D032CC">
            <w:pPr>
              <w:pStyle w:val="TableBodyText"/>
              <w:ind w:right="28"/>
            </w:pPr>
            <w:r>
              <w:t>6.5</w:t>
            </w:r>
          </w:p>
        </w:tc>
      </w:tr>
      <w:tr w:rsidR="001359DE" w:rsidTr="0061538B">
        <w:tc>
          <w:tcPr>
            <w:tcW w:w="2580" w:type="pct"/>
            <w:vAlign w:val="bottom"/>
          </w:tcPr>
          <w:p w:rsidR="001359DE" w:rsidRDefault="001359DE" w:rsidP="00D032CC">
            <w:pPr>
              <w:pStyle w:val="TableBodyText"/>
              <w:jc w:val="left"/>
            </w:pPr>
            <w:r>
              <w:t>Construction</w:t>
            </w:r>
          </w:p>
        </w:tc>
        <w:tc>
          <w:tcPr>
            <w:tcW w:w="1307" w:type="pct"/>
            <w:vAlign w:val="bottom"/>
          </w:tcPr>
          <w:p w:rsidR="001359DE" w:rsidRDefault="001359DE" w:rsidP="00D032CC">
            <w:pPr>
              <w:pStyle w:val="TableBodyText"/>
            </w:pPr>
            <w:r>
              <w:t>53.2</w:t>
            </w:r>
          </w:p>
        </w:tc>
        <w:tc>
          <w:tcPr>
            <w:tcW w:w="1112" w:type="pct"/>
          </w:tcPr>
          <w:p w:rsidR="001359DE" w:rsidRDefault="001359DE" w:rsidP="00D032CC">
            <w:pPr>
              <w:pStyle w:val="TableBodyText"/>
              <w:ind w:right="28"/>
            </w:pPr>
            <w:r>
              <w:t>3.9</w:t>
            </w:r>
          </w:p>
        </w:tc>
      </w:tr>
      <w:tr w:rsidR="001359DE" w:rsidTr="0061538B">
        <w:tc>
          <w:tcPr>
            <w:tcW w:w="2580" w:type="pct"/>
            <w:vAlign w:val="bottom"/>
          </w:tcPr>
          <w:p w:rsidR="001359DE" w:rsidRDefault="001359DE" w:rsidP="00D032CC">
            <w:pPr>
              <w:pStyle w:val="TableBodyText"/>
              <w:jc w:val="left"/>
            </w:pPr>
            <w:r>
              <w:t>Wholesale trade</w:t>
            </w:r>
          </w:p>
        </w:tc>
        <w:tc>
          <w:tcPr>
            <w:tcW w:w="1307" w:type="pct"/>
            <w:vAlign w:val="bottom"/>
          </w:tcPr>
          <w:p w:rsidR="001359DE" w:rsidRDefault="001359DE" w:rsidP="00D032CC">
            <w:pPr>
              <w:pStyle w:val="TableBodyText"/>
            </w:pPr>
            <w:r>
              <w:t>45.9</w:t>
            </w:r>
          </w:p>
        </w:tc>
        <w:tc>
          <w:tcPr>
            <w:tcW w:w="1112" w:type="pct"/>
          </w:tcPr>
          <w:p w:rsidR="001359DE" w:rsidRDefault="001359DE" w:rsidP="00D032CC">
            <w:pPr>
              <w:pStyle w:val="TableBodyText"/>
              <w:ind w:right="28"/>
            </w:pPr>
            <w:r>
              <w:t>3.4</w:t>
            </w:r>
          </w:p>
        </w:tc>
      </w:tr>
      <w:tr w:rsidR="001359DE" w:rsidTr="0061538B">
        <w:tc>
          <w:tcPr>
            <w:tcW w:w="2580" w:type="pct"/>
            <w:vAlign w:val="bottom"/>
          </w:tcPr>
          <w:p w:rsidR="001359DE" w:rsidRDefault="001359DE" w:rsidP="00D032CC">
            <w:pPr>
              <w:pStyle w:val="TableBodyText"/>
              <w:jc w:val="left"/>
            </w:pPr>
            <w:r>
              <w:t>Education and training</w:t>
            </w:r>
          </w:p>
        </w:tc>
        <w:tc>
          <w:tcPr>
            <w:tcW w:w="1307" w:type="pct"/>
            <w:vAlign w:val="bottom"/>
          </w:tcPr>
          <w:p w:rsidR="001359DE" w:rsidRDefault="001359DE" w:rsidP="00D032CC">
            <w:pPr>
              <w:pStyle w:val="TableBodyText"/>
            </w:pPr>
            <w:r>
              <w:t>43.1</w:t>
            </w:r>
          </w:p>
        </w:tc>
        <w:tc>
          <w:tcPr>
            <w:tcW w:w="1112" w:type="pct"/>
          </w:tcPr>
          <w:p w:rsidR="001359DE" w:rsidRDefault="001359DE" w:rsidP="00D032CC">
            <w:pPr>
              <w:pStyle w:val="TableBodyText"/>
              <w:ind w:right="28"/>
            </w:pPr>
            <w:r>
              <w:t>3.2</w:t>
            </w:r>
          </w:p>
        </w:tc>
      </w:tr>
      <w:tr w:rsidR="001359DE" w:rsidTr="0061538B">
        <w:tc>
          <w:tcPr>
            <w:tcW w:w="2580" w:type="pct"/>
            <w:vAlign w:val="bottom"/>
          </w:tcPr>
          <w:p w:rsidR="001359DE" w:rsidRDefault="001359DE" w:rsidP="00D032CC">
            <w:pPr>
              <w:pStyle w:val="TableBodyText"/>
              <w:jc w:val="left"/>
            </w:pPr>
            <w:r>
              <w:t>Rental, hiring and real estate services</w:t>
            </w:r>
          </w:p>
        </w:tc>
        <w:tc>
          <w:tcPr>
            <w:tcW w:w="1307" w:type="pct"/>
            <w:vAlign w:val="bottom"/>
          </w:tcPr>
          <w:p w:rsidR="001359DE" w:rsidRDefault="001359DE" w:rsidP="00D032CC">
            <w:pPr>
              <w:pStyle w:val="TableBodyText"/>
            </w:pPr>
            <w:r>
              <w:t>40.3</w:t>
            </w:r>
          </w:p>
        </w:tc>
        <w:tc>
          <w:tcPr>
            <w:tcW w:w="1112" w:type="pct"/>
          </w:tcPr>
          <w:p w:rsidR="001359DE" w:rsidRDefault="001359DE" w:rsidP="00D032CC">
            <w:pPr>
              <w:pStyle w:val="TableBodyText"/>
              <w:ind w:right="28"/>
            </w:pPr>
            <w:r>
              <w:t>3.0</w:t>
            </w:r>
          </w:p>
        </w:tc>
      </w:tr>
      <w:tr w:rsidR="001359DE" w:rsidTr="0061538B">
        <w:tc>
          <w:tcPr>
            <w:tcW w:w="2580" w:type="pct"/>
            <w:vAlign w:val="bottom"/>
          </w:tcPr>
          <w:p w:rsidR="001359DE" w:rsidRDefault="001359DE" w:rsidP="00D032CC">
            <w:pPr>
              <w:pStyle w:val="TableBodyText"/>
              <w:jc w:val="left"/>
            </w:pPr>
            <w:r>
              <w:t>Transport, postal and warehousing</w:t>
            </w:r>
          </w:p>
        </w:tc>
        <w:tc>
          <w:tcPr>
            <w:tcW w:w="1307" w:type="pct"/>
            <w:vAlign w:val="bottom"/>
          </w:tcPr>
          <w:p w:rsidR="001359DE" w:rsidRDefault="001359DE" w:rsidP="00D032CC">
            <w:pPr>
              <w:pStyle w:val="TableBodyText"/>
            </w:pPr>
            <w:r>
              <w:t>32.9</w:t>
            </w:r>
          </w:p>
        </w:tc>
        <w:tc>
          <w:tcPr>
            <w:tcW w:w="1112" w:type="pct"/>
          </w:tcPr>
          <w:p w:rsidR="001359DE" w:rsidRDefault="001359DE" w:rsidP="00D032CC">
            <w:pPr>
              <w:pStyle w:val="TableBodyText"/>
              <w:ind w:right="28"/>
            </w:pPr>
            <w:r>
              <w:t>2.4</w:t>
            </w:r>
          </w:p>
        </w:tc>
      </w:tr>
      <w:tr w:rsidR="001359DE" w:rsidTr="0061538B">
        <w:tc>
          <w:tcPr>
            <w:tcW w:w="2580" w:type="pct"/>
            <w:vAlign w:val="bottom"/>
          </w:tcPr>
          <w:p w:rsidR="001359DE" w:rsidRDefault="001359DE" w:rsidP="00D032CC">
            <w:pPr>
              <w:pStyle w:val="TableBodyText"/>
              <w:jc w:val="left"/>
            </w:pPr>
            <w:r>
              <w:t>Professional, scientific and technical services</w:t>
            </w:r>
          </w:p>
        </w:tc>
        <w:tc>
          <w:tcPr>
            <w:tcW w:w="1307" w:type="pct"/>
          </w:tcPr>
          <w:p w:rsidR="001359DE" w:rsidRDefault="001359DE" w:rsidP="00CF2269">
            <w:pPr>
              <w:pStyle w:val="TableBodyText"/>
            </w:pPr>
            <w:r>
              <w:t>26.2</w:t>
            </w:r>
          </w:p>
        </w:tc>
        <w:tc>
          <w:tcPr>
            <w:tcW w:w="1112" w:type="pct"/>
          </w:tcPr>
          <w:p w:rsidR="001359DE" w:rsidRDefault="001359DE" w:rsidP="00D032CC">
            <w:pPr>
              <w:pStyle w:val="TableBodyText"/>
              <w:ind w:right="28"/>
            </w:pPr>
            <w:r>
              <w:t>1.9</w:t>
            </w:r>
          </w:p>
        </w:tc>
      </w:tr>
      <w:tr w:rsidR="001359DE" w:rsidTr="0061538B">
        <w:tc>
          <w:tcPr>
            <w:tcW w:w="2580" w:type="pct"/>
            <w:vAlign w:val="bottom"/>
          </w:tcPr>
          <w:p w:rsidR="001359DE" w:rsidRDefault="001359DE" w:rsidP="00D032CC">
            <w:pPr>
              <w:pStyle w:val="TableBodyText"/>
              <w:jc w:val="left"/>
            </w:pPr>
            <w:r>
              <w:t>Arts and recreation services</w:t>
            </w:r>
          </w:p>
        </w:tc>
        <w:tc>
          <w:tcPr>
            <w:tcW w:w="1307" w:type="pct"/>
            <w:vAlign w:val="bottom"/>
          </w:tcPr>
          <w:p w:rsidR="001359DE" w:rsidRDefault="001359DE" w:rsidP="00D032CC">
            <w:pPr>
              <w:pStyle w:val="TableBodyText"/>
            </w:pPr>
            <w:r>
              <w:t>24.1</w:t>
            </w:r>
          </w:p>
        </w:tc>
        <w:tc>
          <w:tcPr>
            <w:tcW w:w="1112" w:type="pct"/>
          </w:tcPr>
          <w:p w:rsidR="001359DE" w:rsidRDefault="001359DE" w:rsidP="00D032CC">
            <w:pPr>
              <w:pStyle w:val="TableBodyText"/>
              <w:ind w:right="28"/>
            </w:pPr>
            <w:r>
              <w:t>1.8</w:t>
            </w:r>
          </w:p>
        </w:tc>
      </w:tr>
      <w:tr w:rsidR="001359DE" w:rsidTr="0061538B">
        <w:tc>
          <w:tcPr>
            <w:tcW w:w="2580" w:type="pct"/>
            <w:vAlign w:val="bottom"/>
          </w:tcPr>
          <w:p w:rsidR="001359DE" w:rsidRDefault="001359DE" w:rsidP="00D032CC">
            <w:pPr>
              <w:pStyle w:val="TableBodyText"/>
              <w:jc w:val="left"/>
            </w:pPr>
            <w:r>
              <w:t>Public administration and safety</w:t>
            </w:r>
          </w:p>
        </w:tc>
        <w:tc>
          <w:tcPr>
            <w:tcW w:w="1307" w:type="pct"/>
            <w:vAlign w:val="bottom"/>
          </w:tcPr>
          <w:p w:rsidR="001359DE" w:rsidRDefault="001359DE" w:rsidP="00D032CC">
            <w:pPr>
              <w:pStyle w:val="TableBodyText"/>
            </w:pPr>
            <w:r>
              <w:t>12.8</w:t>
            </w:r>
          </w:p>
        </w:tc>
        <w:tc>
          <w:tcPr>
            <w:tcW w:w="1112" w:type="pct"/>
          </w:tcPr>
          <w:p w:rsidR="001359DE" w:rsidRDefault="001359DE" w:rsidP="00D032CC">
            <w:pPr>
              <w:pStyle w:val="TableBodyText"/>
              <w:ind w:right="28"/>
            </w:pPr>
            <w:r>
              <w:t>0.9</w:t>
            </w:r>
          </w:p>
        </w:tc>
      </w:tr>
      <w:tr w:rsidR="001359DE" w:rsidTr="0061538B">
        <w:tc>
          <w:tcPr>
            <w:tcW w:w="2580" w:type="pct"/>
            <w:vAlign w:val="bottom"/>
          </w:tcPr>
          <w:p w:rsidR="001359DE" w:rsidRDefault="001359DE" w:rsidP="00D032CC">
            <w:pPr>
              <w:pStyle w:val="TableBodyText"/>
              <w:jc w:val="left"/>
            </w:pPr>
            <w:r>
              <w:t>Information media and telecommunications</w:t>
            </w:r>
          </w:p>
        </w:tc>
        <w:tc>
          <w:tcPr>
            <w:tcW w:w="1307" w:type="pct"/>
            <w:vAlign w:val="bottom"/>
          </w:tcPr>
          <w:p w:rsidR="001359DE" w:rsidRDefault="001359DE" w:rsidP="00D032CC">
            <w:pPr>
              <w:pStyle w:val="TableBodyText"/>
            </w:pPr>
            <w:r>
              <w:t>9.2</w:t>
            </w:r>
          </w:p>
        </w:tc>
        <w:tc>
          <w:tcPr>
            <w:tcW w:w="1112" w:type="pct"/>
          </w:tcPr>
          <w:p w:rsidR="001359DE" w:rsidRDefault="001359DE" w:rsidP="00D032CC">
            <w:pPr>
              <w:pStyle w:val="TableBodyText"/>
              <w:ind w:right="28"/>
            </w:pPr>
            <w:r>
              <w:t>0.7</w:t>
            </w:r>
          </w:p>
        </w:tc>
      </w:tr>
      <w:tr w:rsidR="001359DE" w:rsidTr="0061538B">
        <w:tc>
          <w:tcPr>
            <w:tcW w:w="2580" w:type="pct"/>
            <w:vAlign w:val="bottom"/>
          </w:tcPr>
          <w:p w:rsidR="001359DE" w:rsidRDefault="001359DE" w:rsidP="00D032CC">
            <w:pPr>
              <w:pStyle w:val="TableBodyText"/>
              <w:jc w:val="left"/>
            </w:pPr>
            <w:r>
              <w:t>Financial and insurance services</w:t>
            </w:r>
          </w:p>
        </w:tc>
        <w:tc>
          <w:tcPr>
            <w:tcW w:w="1307" w:type="pct"/>
            <w:vAlign w:val="bottom"/>
          </w:tcPr>
          <w:p w:rsidR="001359DE" w:rsidRDefault="001359DE" w:rsidP="00D032CC">
            <w:pPr>
              <w:pStyle w:val="TableBodyText"/>
            </w:pPr>
            <w:r>
              <w:t>7.9</w:t>
            </w:r>
          </w:p>
        </w:tc>
        <w:tc>
          <w:tcPr>
            <w:tcW w:w="1112" w:type="pct"/>
          </w:tcPr>
          <w:p w:rsidR="001359DE" w:rsidRDefault="001359DE" w:rsidP="00D032CC">
            <w:pPr>
              <w:pStyle w:val="TableBodyText"/>
              <w:ind w:right="28"/>
            </w:pPr>
            <w:r>
              <w:t>0.6</w:t>
            </w:r>
          </w:p>
        </w:tc>
      </w:tr>
      <w:tr w:rsidR="001359DE" w:rsidTr="0061538B">
        <w:tc>
          <w:tcPr>
            <w:tcW w:w="2580" w:type="pct"/>
            <w:vAlign w:val="bottom"/>
          </w:tcPr>
          <w:p w:rsidR="001359DE" w:rsidRDefault="001359DE" w:rsidP="00D032CC">
            <w:pPr>
              <w:pStyle w:val="TableBodyText"/>
              <w:jc w:val="left"/>
            </w:pPr>
            <w:r>
              <w:t>Electricity, gas, water and waste services</w:t>
            </w:r>
          </w:p>
        </w:tc>
        <w:tc>
          <w:tcPr>
            <w:tcW w:w="1307" w:type="pct"/>
            <w:vAlign w:val="bottom"/>
          </w:tcPr>
          <w:p w:rsidR="001359DE" w:rsidRDefault="001359DE" w:rsidP="00D032CC">
            <w:pPr>
              <w:pStyle w:val="TableBodyText"/>
            </w:pPr>
            <w:r>
              <w:t>3.0</w:t>
            </w:r>
          </w:p>
        </w:tc>
        <w:tc>
          <w:tcPr>
            <w:tcW w:w="1112" w:type="pct"/>
          </w:tcPr>
          <w:p w:rsidR="001359DE" w:rsidRDefault="001359DE" w:rsidP="00D032CC">
            <w:pPr>
              <w:pStyle w:val="TableBodyText"/>
              <w:ind w:right="28"/>
            </w:pPr>
            <w:r>
              <w:t>0.2</w:t>
            </w:r>
          </w:p>
        </w:tc>
      </w:tr>
      <w:tr w:rsidR="001359DE" w:rsidTr="0061538B">
        <w:tc>
          <w:tcPr>
            <w:tcW w:w="2580" w:type="pct"/>
            <w:tcBorders>
              <w:bottom w:val="single" w:sz="6" w:space="0" w:color="auto"/>
            </w:tcBorders>
            <w:shd w:val="clear" w:color="auto" w:fill="auto"/>
            <w:vAlign w:val="bottom"/>
          </w:tcPr>
          <w:p w:rsidR="001359DE" w:rsidRDefault="001359DE" w:rsidP="00D032CC">
            <w:pPr>
              <w:pStyle w:val="TableBodyText"/>
              <w:jc w:val="left"/>
            </w:pPr>
            <w:r>
              <w:t>Mining</w:t>
            </w:r>
          </w:p>
        </w:tc>
        <w:tc>
          <w:tcPr>
            <w:tcW w:w="1307" w:type="pct"/>
            <w:tcBorders>
              <w:bottom w:val="single" w:sz="6" w:space="0" w:color="auto"/>
            </w:tcBorders>
            <w:shd w:val="clear" w:color="auto" w:fill="auto"/>
            <w:vAlign w:val="bottom"/>
          </w:tcPr>
          <w:p w:rsidR="001359DE" w:rsidRDefault="001359DE" w:rsidP="00D032CC">
            <w:pPr>
              <w:pStyle w:val="TableBodyText"/>
            </w:pPr>
            <w:r>
              <w:t>2.6</w:t>
            </w:r>
          </w:p>
        </w:tc>
        <w:tc>
          <w:tcPr>
            <w:tcW w:w="1112" w:type="pct"/>
            <w:tcBorders>
              <w:bottom w:val="single" w:sz="6" w:space="0" w:color="auto"/>
            </w:tcBorders>
            <w:shd w:val="clear" w:color="auto" w:fill="auto"/>
          </w:tcPr>
          <w:p w:rsidR="001359DE" w:rsidRDefault="001359DE" w:rsidP="00D032CC">
            <w:pPr>
              <w:pStyle w:val="TableBodyText"/>
              <w:ind w:right="28"/>
            </w:pPr>
            <w:r>
              <w:t>0.2</w:t>
            </w:r>
          </w:p>
        </w:tc>
      </w:tr>
    </w:tbl>
    <w:p w:rsidR="00D032CC" w:rsidRDefault="00D032CC" w:rsidP="006D0B48">
      <w:pPr>
        <w:pStyle w:val="Source"/>
      </w:pPr>
      <w:r>
        <w:rPr>
          <w:i/>
        </w:rPr>
        <w:t>Source</w:t>
      </w:r>
      <w:r>
        <w:t>: ABS (</w:t>
      </w:r>
      <w:proofErr w:type="spellStart"/>
      <w:r>
        <w:t>2011b</w:t>
      </w:r>
      <w:proofErr w:type="spellEnd"/>
      <w:r>
        <w:t>).</w:t>
      </w:r>
    </w:p>
    <w:p w:rsidR="00800511" w:rsidRDefault="00800511" w:rsidP="00800511">
      <w:pPr>
        <w:pStyle w:val="BodyText"/>
      </w:pPr>
      <w:r>
        <w:t>The coverage of modern awards does not correspond to the industry classifications in table 2.3 (since modern awards can cover more than one industry, or cover one or more occupations rather than a single industry). As noted by the Australian Chamber of Commerce and Industry:</w:t>
      </w:r>
    </w:p>
    <w:p w:rsidR="00800511" w:rsidRDefault="00800511" w:rsidP="00800511">
      <w:pPr>
        <w:pStyle w:val="Quote"/>
      </w:pPr>
      <w:r>
        <w:t xml:space="preserve">The demographics of award coverage are not easy to determine and identifying coverage is made more difficult by the cross-cutting effect of occupational awards which reach across industries but do not necessarily uniquely provide award coverage for the occupations they cover … It is clear that modern awards were not made with industry coverage rules in mind, in fact, rather the reverse. (sub. </w:t>
      </w:r>
      <w:proofErr w:type="spellStart"/>
      <w:r>
        <w:t>DR83</w:t>
      </w:r>
      <w:proofErr w:type="spellEnd"/>
      <w:r>
        <w:t>, pp. 5</w:t>
      </w:r>
      <w:r w:rsidRPr="00606315">
        <w:rPr>
          <w:rFonts w:ascii="Arial" w:hAnsi="Arial" w:cs="Arial"/>
          <w:sz w:val="22"/>
          <w:szCs w:val="22"/>
        </w:rPr>
        <w:t>−</w:t>
      </w:r>
      <w:r>
        <w:t>6)</w:t>
      </w:r>
    </w:p>
    <w:p w:rsidR="00800511" w:rsidRPr="002D0290" w:rsidRDefault="00800511" w:rsidP="00800511">
      <w:pPr>
        <w:pStyle w:val="BodyText"/>
      </w:pPr>
      <w:r>
        <w:t xml:space="preserve">Some awards (such as the </w:t>
      </w:r>
      <w:r w:rsidRPr="000204D4">
        <w:t>Social, Community, Home Care and Disability Services Industry Award 2010</w:t>
      </w:r>
      <w:r>
        <w:t xml:space="preserve">) cover a large and diverse range of industries and occupations, while others (such as the Poultry Processing Award 2010) cover a smaller, more </w:t>
      </w:r>
      <w:r>
        <w:lastRenderedPageBreak/>
        <w:t xml:space="preserve">defined group. Accordingly, the data on award-only employees by industry can only provide some indication of the distribution of award-reliant employees by industry. </w:t>
      </w:r>
      <w:proofErr w:type="spellStart"/>
      <w:r>
        <w:t>FWA</w:t>
      </w:r>
      <w:proofErr w:type="spellEnd"/>
      <w:r>
        <w:t xml:space="preserve"> has recently released draft mapping documents comparing modern award coverage with the industry classifications in table 2.3 as part of a long-term research project which will attempt to resolve these problems (</w:t>
      </w:r>
      <w:proofErr w:type="spellStart"/>
      <w:r>
        <w:t>FWA</w:t>
      </w:r>
      <w:proofErr w:type="spellEnd"/>
      <w:r>
        <w:t xml:space="preserve"> </w:t>
      </w:r>
      <w:proofErr w:type="spellStart"/>
      <w:r>
        <w:t>2012c</w:t>
      </w:r>
      <w:proofErr w:type="spellEnd"/>
      <w:r>
        <w:t>).</w:t>
      </w:r>
    </w:p>
    <w:p w:rsidR="00A00231" w:rsidRDefault="00D47A33" w:rsidP="00482E36">
      <w:pPr>
        <w:pStyle w:val="Heading2"/>
      </w:pPr>
      <w:r>
        <w:fldChar w:fldCharType="begin"/>
      </w:r>
      <w:r>
        <w:instrText xml:space="preserve"> COMMENTS  \* MERGEFORMAT </w:instrText>
      </w:r>
      <w:r>
        <w:fldChar w:fldCharType="separate"/>
      </w:r>
      <w:r w:rsidR="00A56D8C">
        <w:t>2.</w:t>
      </w:r>
      <w:r>
        <w:fldChar w:fldCharType="end"/>
      </w:r>
      <w:r>
        <w:fldChar w:fldCharType="begin"/>
      </w:r>
      <w:r>
        <w:instrText xml:space="preserve"> SEQ Heading2 </w:instrText>
      </w:r>
      <w:r>
        <w:fldChar w:fldCharType="separate"/>
      </w:r>
      <w:r w:rsidR="00AA5B30">
        <w:rPr>
          <w:noProof/>
        </w:rPr>
        <w:t>3</w:t>
      </w:r>
      <w:r>
        <w:rPr>
          <w:noProof/>
        </w:rPr>
        <w:fldChar w:fldCharType="end"/>
      </w:r>
      <w:r w:rsidR="00A00231">
        <w:tab/>
      </w:r>
      <w:r w:rsidR="00B01536">
        <w:t>Superannuation in awards</w:t>
      </w:r>
      <w:r w:rsidR="00363E6C">
        <w:t xml:space="preserve"> </w:t>
      </w:r>
    </w:p>
    <w:p w:rsidR="009721AD" w:rsidRPr="009721AD" w:rsidRDefault="00373A13" w:rsidP="001B0963">
      <w:pPr>
        <w:pStyle w:val="Heading3"/>
        <w:spacing w:before="280"/>
      </w:pPr>
      <w:r>
        <w:t>A brief h</w:t>
      </w:r>
      <w:r w:rsidR="009721AD">
        <w:t>istory</w:t>
      </w:r>
    </w:p>
    <w:p w:rsidR="00A00231" w:rsidRDefault="00A00231" w:rsidP="00A00231">
      <w:pPr>
        <w:pStyle w:val="BodyText"/>
      </w:pPr>
      <w:r>
        <w:t>Employer superannuation began in 1862 with the establishment of a defined benefit pension fund for the employees of the Bank of New South Wales. Superannuation followed this model for the next 100 years: defined benefit pension funds were established for a minority of employees, who were generally higher-paid</w:t>
      </w:r>
      <w:r w:rsidR="00363E6C">
        <w:t xml:space="preserve"> </w:t>
      </w:r>
      <w:r w:rsidR="000F36F7">
        <w:t>white</w:t>
      </w:r>
      <w:r w:rsidR="00A464CC">
        <w:noBreakHyphen/>
      </w:r>
      <w:r>
        <w:t>collar employees in the private sector or civil servants in the public sector</w:t>
      </w:r>
      <w:r w:rsidR="00363E6C">
        <w:t xml:space="preserve"> </w:t>
      </w:r>
      <w:r>
        <w:t>(APRA 2007</w:t>
      </w:r>
      <w:r w:rsidR="00552A3F">
        <w:t>;</w:t>
      </w:r>
      <w:r>
        <w:t xml:space="preserve"> </w:t>
      </w:r>
      <w:proofErr w:type="spellStart"/>
      <w:r>
        <w:t>Sy</w:t>
      </w:r>
      <w:proofErr w:type="spellEnd"/>
      <w:r>
        <w:t xml:space="preserve"> 2008).</w:t>
      </w:r>
    </w:p>
    <w:p w:rsidR="00A00231" w:rsidRDefault="00A00231" w:rsidP="00A00231">
      <w:pPr>
        <w:pStyle w:val="BodyText"/>
      </w:pPr>
      <w:r>
        <w:t xml:space="preserve">Although superannuation started to become more widely available from the </w:t>
      </w:r>
      <w:proofErr w:type="spellStart"/>
      <w:r>
        <w:t>1970s</w:t>
      </w:r>
      <w:proofErr w:type="spellEnd"/>
      <w:r w:rsidR="00147777">
        <w:t xml:space="preserve"> </w:t>
      </w:r>
      <w:r>
        <w:t>as a result of claims brought under industrial relations laws, two related developments in the mid-</w:t>
      </w:r>
      <w:proofErr w:type="spellStart"/>
      <w:r>
        <w:t>1980s</w:t>
      </w:r>
      <w:proofErr w:type="spellEnd"/>
      <w:r>
        <w:t xml:space="preserve"> resulted in superannuation clauses being included in awards.</w:t>
      </w:r>
    </w:p>
    <w:p w:rsidR="00A00231" w:rsidRDefault="00147777" w:rsidP="00A00231">
      <w:pPr>
        <w:pStyle w:val="ListBullet"/>
      </w:pPr>
      <w:r>
        <w:t>The f</w:t>
      </w:r>
      <w:r w:rsidR="00A00231">
        <w:t xml:space="preserve">irst was the 1985 </w:t>
      </w:r>
      <w:r w:rsidR="00D57842">
        <w:t xml:space="preserve">Prices and Incomes </w:t>
      </w:r>
      <w:r w:rsidR="00A00231">
        <w:t>Accord, where an agreement was reached between the Australian Government and the Australian Council of Trade Unions (ACTU) that a 3</w:t>
      </w:r>
      <w:r w:rsidR="0075017A">
        <w:t> </w:t>
      </w:r>
      <w:r w:rsidR="00A00231">
        <w:t>per</w:t>
      </w:r>
      <w:r w:rsidR="0075017A">
        <w:t> </w:t>
      </w:r>
      <w:r w:rsidR="00A00231">
        <w:t xml:space="preserve">cent wage increase deemed due on productivity grounds would instead be paid as superannuation. </w:t>
      </w:r>
    </w:p>
    <w:p w:rsidR="00A00231" w:rsidRDefault="00800511" w:rsidP="00A00231">
      <w:pPr>
        <w:pStyle w:val="ListBullet"/>
      </w:pPr>
      <w:r>
        <w:t>The s</w:t>
      </w:r>
      <w:r w:rsidR="00A00231">
        <w:t xml:space="preserve">econd was the </w:t>
      </w:r>
      <w:r w:rsidR="00D57842">
        <w:t xml:space="preserve">June 1986 </w:t>
      </w:r>
      <w:r w:rsidR="00A00231">
        <w:t xml:space="preserve">National Wage Case. </w:t>
      </w:r>
      <w:r w:rsidR="00D57842">
        <w:t>T</w:t>
      </w:r>
      <w:r w:rsidR="00A00231">
        <w:t xml:space="preserve">he ACTU gained approval from the </w:t>
      </w:r>
      <w:r w:rsidR="00D57842">
        <w:t xml:space="preserve">Australian </w:t>
      </w:r>
      <w:r w:rsidR="00A00231">
        <w:t>Conciliation and Arbitration Commission (</w:t>
      </w:r>
      <w:proofErr w:type="spellStart"/>
      <w:r w:rsidR="00D57842">
        <w:t>A</w:t>
      </w:r>
      <w:r w:rsidR="00A00231">
        <w:t>CAC</w:t>
      </w:r>
      <w:proofErr w:type="spellEnd"/>
      <w:r w:rsidR="00A00231">
        <w:t>) (a</w:t>
      </w:r>
      <w:r w:rsidR="00D54CC0">
        <w:t> </w:t>
      </w:r>
      <w:r w:rsidR="00A00231">
        <w:t xml:space="preserve">predecessor of </w:t>
      </w:r>
      <w:proofErr w:type="spellStart"/>
      <w:r w:rsidR="00A00231">
        <w:t>FWA</w:t>
      </w:r>
      <w:proofErr w:type="spellEnd"/>
      <w:r w:rsidR="00A00231">
        <w:t>) for an agreement to contribute wage increases of up to 3</w:t>
      </w:r>
      <w:r w:rsidR="00D54CC0">
        <w:t> </w:t>
      </w:r>
      <w:r w:rsidR="00A85B34">
        <w:t>per </w:t>
      </w:r>
      <w:r w:rsidR="00A00231">
        <w:t xml:space="preserve">cent into superannuation funds. The </w:t>
      </w:r>
      <w:r>
        <w:t xml:space="preserve">jurisdiction </w:t>
      </w:r>
      <w:r w:rsidR="00A00231">
        <w:t xml:space="preserve">of the </w:t>
      </w:r>
      <w:proofErr w:type="spellStart"/>
      <w:r w:rsidR="00D57842">
        <w:t>A</w:t>
      </w:r>
      <w:r w:rsidR="00A00231">
        <w:t>CAC</w:t>
      </w:r>
      <w:proofErr w:type="spellEnd"/>
      <w:r w:rsidR="00A00231">
        <w:t xml:space="preserve"> to make this ruling was challenged </w:t>
      </w:r>
      <w:r w:rsidR="00A00231" w:rsidRPr="00FB230B">
        <w:t>b</w:t>
      </w:r>
      <w:r w:rsidR="00A00231">
        <w:t xml:space="preserve">y the Australian Chamber of Manufactures and the Victorian Employers Federation. However, the High Court </w:t>
      </w:r>
      <w:r w:rsidR="000473F5">
        <w:t>(</w:t>
      </w:r>
      <w:r w:rsidR="00A00231">
        <w:t xml:space="preserve">1986) held that the </w:t>
      </w:r>
      <w:proofErr w:type="spellStart"/>
      <w:r w:rsidR="00D57842">
        <w:t>A</w:t>
      </w:r>
      <w:r w:rsidR="00A00231">
        <w:t>CAC</w:t>
      </w:r>
      <w:proofErr w:type="spellEnd"/>
      <w:r w:rsidR="00A00231">
        <w:t xml:space="preserve"> had jurisdiction to hear this case (and cases relating to superannuation more generally) because superannuation benefits for employees was an ‘industrial matter’ as defined in the </w:t>
      </w:r>
      <w:r w:rsidR="00A00231">
        <w:rPr>
          <w:i/>
        </w:rPr>
        <w:t xml:space="preserve">Conciliation and Arbitration Act 1904 </w:t>
      </w:r>
      <w:r w:rsidR="00A00231">
        <w:t>(</w:t>
      </w:r>
      <w:proofErr w:type="spellStart"/>
      <w:r w:rsidR="00A00231">
        <w:t>Cwlth</w:t>
      </w:r>
      <w:proofErr w:type="spellEnd"/>
      <w:r w:rsidR="00A00231">
        <w:t>).</w:t>
      </w:r>
    </w:p>
    <w:p w:rsidR="00A00231" w:rsidRDefault="00A00231" w:rsidP="00A00231">
      <w:pPr>
        <w:pStyle w:val="BodyText"/>
      </w:pPr>
      <w:r>
        <w:t xml:space="preserve">As a result of these developments, superannuation clauses were gradually incorporated into industrial awards as they were renegotiated. This saw superannuation coverage expand from </w:t>
      </w:r>
      <w:r w:rsidR="002D2B9E">
        <w:t xml:space="preserve">about </w:t>
      </w:r>
      <w:r>
        <w:t>40</w:t>
      </w:r>
      <w:r w:rsidR="00A85B34">
        <w:t> per </w:t>
      </w:r>
      <w:r>
        <w:t xml:space="preserve">cent of employees </w:t>
      </w:r>
      <w:r w:rsidRPr="00FB230B">
        <w:t xml:space="preserve">in </w:t>
      </w:r>
      <w:r>
        <w:t xml:space="preserve">1986 to </w:t>
      </w:r>
      <w:r>
        <w:lastRenderedPageBreak/>
        <w:t>79</w:t>
      </w:r>
      <w:r w:rsidR="00252039">
        <w:t> </w:t>
      </w:r>
      <w:r>
        <w:t>per</w:t>
      </w:r>
      <w:r w:rsidR="00A85B34">
        <w:t> </w:t>
      </w:r>
      <w:r>
        <w:t xml:space="preserve">cent in 1990 (APRA 2007). Under this system, superannuation payments could only be enforced by bringing a case before the </w:t>
      </w:r>
      <w:proofErr w:type="spellStart"/>
      <w:r w:rsidR="00FA042C">
        <w:t>A</w:t>
      </w:r>
      <w:r>
        <w:t>CAC</w:t>
      </w:r>
      <w:proofErr w:type="spellEnd"/>
      <w:r>
        <w:t xml:space="preserve"> (APRA 2007). </w:t>
      </w:r>
    </w:p>
    <w:p w:rsidR="00BB595C" w:rsidRDefault="00DC36C4" w:rsidP="00A00231">
      <w:pPr>
        <w:pStyle w:val="BodyText"/>
      </w:pPr>
      <w:r>
        <w:t xml:space="preserve">A significant body of case law was </w:t>
      </w:r>
      <w:r w:rsidR="007716A4">
        <w:t xml:space="preserve">subsequently </w:t>
      </w:r>
      <w:r>
        <w:t xml:space="preserve">developed around the inclusion of default funds in pre-modern awards. For example, in the </w:t>
      </w:r>
      <w:r w:rsidRPr="00EB2FBF">
        <w:t>1994 Superannuation Test Case</w:t>
      </w:r>
      <w:r>
        <w:rPr>
          <w:i/>
        </w:rPr>
        <w:t xml:space="preserve">, </w:t>
      </w:r>
      <w:r>
        <w:t xml:space="preserve">the Australian </w:t>
      </w:r>
      <w:r w:rsidR="00116C20">
        <w:t>Industrial</w:t>
      </w:r>
      <w:r>
        <w:t xml:space="preserve"> Relations Commission (</w:t>
      </w:r>
      <w:proofErr w:type="spellStart"/>
      <w:r>
        <w:t>AIRC</w:t>
      </w:r>
      <w:proofErr w:type="spellEnd"/>
      <w:r>
        <w:t xml:space="preserve">) </w:t>
      </w:r>
      <w:r w:rsidR="00EB2FBF">
        <w:t xml:space="preserve">(a predecessor of </w:t>
      </w:r>
      <w:proofErr w:type="spellStart"/>
      <w:r w:rsidR="00EB2FBF">
        <w:t>FWA</w:t>
      </w:r>
      <w:proofErr w:type="spellEnd"/>
      <w:r w:rsidR="00EB2FBF">
        <w:t xml:space="preserve">) </w:t>
      </w:r>
      <w:r>
        <w:t xml:space="preserve">held it would have regard to its previous decisions </w:t>
      </w:r>
      <w:r w:rsidR="00055055">
        <w:t>about</w:t>
      </w:r>
      <w:r>
        <w:t xml:space="preserve"> the specification of </w:t>
      </w:r>
      <w:r w:rsidR="00B5563E">
        <w:t xml:space="preserve">default </w:t>
      </w:r>
      <w:r>
        <w:t>funds in awards.</w:t>
      </w:r>
      <w:r>
        <w:rPr>
          <w:i/>
        </w:rPr>
        <w:t xml:space="preserve"> </w:t>
      </w:r>
      <w:r>
        <w:t xml:space="preserve">In the </w:t>
      </w:r>
      <w:r w:rsidRPr="00EB2FBF">
        <w:t>1999 Building and Plumbing Award Simplification</w:t>
      </w:r>
      <w:r>
        <w:rPr>
          <w:i/>
        </w:rPr>
        <w:t xml:space="preserve"> </w:t>
      </w:r>
      <w:r>
        <w:t xml:space="preserve">decision, it was determined that if the </w:t>
      </w:r>
      <w:proofErr w:type="spellStart"/>
      <w:r>
        <w:t>AIRC</w:t>
      </w:r>
      <w:proofErr w:type="spellEnd"/>
      <w:r>
        <w:t xml:space="preserve"> had jurisdiction (which it was later found to have), then the claim would be decided on its merits which may include the history of any superannuation provisions in the award, the circumstances of the industry covered by the award, the decisions of the </w:t>
      </w:r>
      <w:proofErr w:type="spellStart"/>
      <w:r w:rsidR="00765437">
        <w:t>AIRC</w:t>
      </w:r>
      <w:proofErr w:type="spellEnd"/>
      <w:r w:rsidR="00765437">
        <w:t xml:space="preserve"> </w:t>
      </w:r>
      <w:r>
        <w:t>relating to specification of the fund, and many of the matters referred to in the evidence of the witnesse</w:t>
      </w:r>
      <w:r w:rsidR="0021265B">
        <w:t>s</w:t>
      </w:r>
      <w:r w:rsidR="00800511">
        <w:t>. These matters were</w:t>
      </w:r>
      <w:r>
        <w:t xml:space="preserve"> portability</w:t>
      </w:r>
      <w:r w:rsidR="00EB2FBF">
        <w:t xml:space="preserve"> of superannuation balances</w:t>
      </w:r>
      <w:r>
        <w:t>, mobility of the workforce,</w:t>
      </w:r>
      <w:r w:rsidR="00AD5D62">
        <w:t xml:space="preserve"> no entry or </w:t>
      </w:r>
      <w:r w:rsidR="00934D2D">
        <w:t>exit fees, no commissions paid to agents of financial planners, equal representation of employer and employee representatives on the trustee board, low administration costs, member investment choice, and automatic insurance cover</w:t>
      </w:r>
      <w:r w:rsidR="00794A61">
        <w:t xml:space="preserve"> </w:t>
      </w:r>
      <w:r w:rsidR="00985B55">
        <w:t xml:space="preserve">(United Voice, sub. </w:t>
      </w:r>
      <w:proofErr w:type="spellStart"/>
      <w:r w:rsidR="00985B55">
        <w:t>DR88</w:t>
      </w:r>
      <w:proofErr w:type="spellEnd"/>
      <w:r w:rsidR="00985B55">
        <w:t>).</w:t>
      </w:r>
    </w:p>
    <w:p w:rsidR="00A00231" w:rsidRDefault="00C74314" w:rsidP="00A00231">
      <w:pPr>
        <w:pStyle w:val="BodyText"/>
      </w:pPr>
      <w:r>
        <w:rPr>
          <w:rStyle w:val="DraftingNote"/>
          <w:b w:val="0"/>
          <w:color w:val="auto"/>
          <w:sz w:val="26"/>
          <w:u w:val="none"/>
        </w:rPr>
        <w:t>It</w:t>
      </w:r>
      <w:r w:rsidR="00A00231" w:rsidRPr="001F7977">
        <w:rPr>
          <w:rStyle w:val="DraftingNote"/>
          <w:b w:val="0"/>
          <w:color w:val="auto"/>
          <w:sz w:val="26"/>
          <w:u w:val="none"/>
        </w:rPr>
        <w:t xml:space="preserve"> was not until the </w:t>
      </w:r>
      <w:r w:rsidR="00A00231" w:rsidRPr="001F7977">
        <w:rPr>
          <w:rStyle w:val="DraftingNote"/>
          <w:b w:val="0"/>
          <w:i/>
          <w:color w:val="auto"/>
          <w:sz w:val="26"/>
          <w:u w:val="none"/>
        </w:rPr>
        <w:t>Workplace Relations Act 1996</w:t>
      </w:r>
      <w:r w:rsidR="00A00231" w:rsidRPr="001F7977">
        <w:rPr>
          <w:rStyle w:val="DraftingNote"/>
          <w:b w:val="0"/>
          <w:color w:val="auto"/>
          <w:sz w:val="26"/>
          <w:u w:val="none"/>
        </w:rPr>
        <w:t xml:space="preserve"> (</w:t>
      </w:r>
      <w:proofErr w:type="spellStart"/>
      <w:r w:rsidR="00A00231" w:rsidRPr="001F7977">
        <w:rPr>
          <w:rStyle w:val="DraftingNote"/>
          <w:b w:val="0"/>
          <w:color w:val="auto"/>
          <w:sz w:val="26"/>
          <w:u w:val="none"/>
        </w:rPr>
        <w:t>Cw</w:t>
      </w:r>
      <w:r w:rsidR="00A00231">
        <w:rPr>
          <w:rStyle w:val="DraftingNote"/>
          <w:b w:val="0"/>
          <w:color w:val="auto"/>
          <w:sz w:val="26"/>
          <w:u w:val="none"/>
        </w:rPr>
        <w:t>l</w:t>
      </w:r>
      <w:r w:rsidR="00A00231" w:rsidRPr="001F7977">
        <w:rPr>
          <w:rStyle w:val="DraftingNote"/>
          <w:b w:val="0"/>
          <w:color w:val="auto"/>
          <w:sz w:val="26"/>
          <w:u w:val="none"/>
        </w:rPr>
        <w:t>th</w:t>
      </w:r>
      <w:proofErr w:type="spellEnd"/>
      <w:r w:rsidR="00A00231" w:rsidRPr="001F7977">
        <w:rPr>
          <w:rStyle w:val="DraftingNote"/>
          <w:b w:val="0"/>
          <w:color w:val="auto"/>
          <w:sz w:val="26"/>
          <w:u w:val="none"/>
        </w:rPr>
        <w:t xml:space="preserve">) was introduced that </w:t>
      </w:r>
      <w:r w:rsidR="00A00231">
        <w:rPr>
          <w:rStyle w:val="DraftingNote"/>
          <w:b w:val="0"/>
          <w:color w:val="auto"/>
          <w:sz w:val="26"/>
          <w:u w:val="none"/>
        </w:rPr>
        <w:t>legislation</w:t>
      </w:r>
      <w:r w:rsidR="00A00231" w:rsidRPr="001F7977">
        <w:rPr>
          <w:rStyle w:val="DraftingNote"/>
          <w:b w:val="0"/>
          <w:color w:val="auto"/>
          <w:sz w:val="26"/>
          <w:u w:val="none"/>
        </w:rPr>
        <w:t xml:space="preserve"> expressly included </w:t>
      </w:r>
      <w:r w:rsidR="00A00231">
        <w:rPr>
          <w:rStyle w:val="DraftingNote"/>
          <w:b w:val="0"/>
          <w:color w:val="auto"/>
          <w:sz w:val="26"/>
          <w:u w:val="none"/>
        </w:rPr>
        <w:t xml:space="preserve">superannuation </w:t>
      </w:r>
      <w:r w:rsidR="00A00231" w:rsidRPr="001F7977">
        <w:rPr>
          <w:rStyle w:val="DraftingNote"/>
          <w:b w:val="0"/>
          <w:color w:val="auto"/>
          <w:sz w:val="26"/>
          <w:u w:val="none"/>
        </w:rPr>
        <w:t>as an allowable matter in awards</w:t>
      </w:r>
      <w:r w:rsidR="00C3677F">
        <w:rPr>
          <w:rStyle w:val="DraftingNote"/>
          <w:b w:val="0"/>
          <w:color w:val="auto"/>
          <w:sz w:val="26"/>
          <w:u w:val="none"/>
        </w:rPr>
        <w:t>.</w:t>
      </w:r>
      <w:r w:rsidR="00520693">
        <w:rPr>
          <w:rStyle w:val="DraftingNote"/>
          <w:b w:val="0"/>
          <w:color w:val="auto"/>
          <w:sz w:val="26"/>
          <w:u w:val="none"/>
        </w:rPr>
        <w:t xml:space="preserve"> </w:t>
      </w:r>
      <w:r w:rsidR="00373A13">
        <w:t>S</w:t>
      </w:r>
      <w:r w:rsidR="00A00231">
        <w:t xml:space="preserve">uperannuation in awards has been affected by </w:t>
      </w:r>
      <w:r w:rsidR="00373A13">
        <w:t xml:space="preserve">subsequent </w:t>
      </w:r>
      <w:r w:rsidR="00A00231">
        <w:t xml:space="preserve">changes in </w:t>
      </w:r>
      <w:r w:rsidR="00252039">
        <w:t xml:space="preserve">the industrial relations regime, as noted by </w:t>
      </w:r>
      <w:r w:rsidR="00252039" w:rsidRPr="00B04CDD">
        <w:t>MLC Ltd</w:t>
      </w:r>
      <w:r w:rsidR="00252039" w:rsidRPr="00E97E06">
        <w:t>−NAB Wealth</w:t>
      </w:r>
      <w:r w:rsidR="00252039">
        <w:t>:</w:t>
      </w:r>
    </w:p>
    <w:p w:rsidR="00A00231" w:rsidRDefault="00A00231" w:rsidP="00A00231">
      <w:pPr>
        <w:pStyle w:val="Quote"/>
      </w:pPr>
      <w:r>
        <w:t xml:space="preserve">… the Howard Coalition Government committed to the removal of superannuation as an ‘allowable matter’ in industrial award provisions from 2008. This would have enabled employers to choose ‘any complying fund’ with minimum insurance coverage. However, the excision of superannuation as an ‘allowable matter’ was overturned when the Rudd </w:t>
      </w:r>
      <w:proofErr w:type="spellStart"/>
      <w:r>
        <w:t>Labor</w:t>
      </w:r>
      <w:proofErr w:type="spellEnd"/>
      <w:r>
        <w:t xml:space="preserve"> Government came to power in 2007 instituting the Fair Work Act which expressly included superannuation as an ‘allowable matter’. (</w:t>
      </w:r>
      <w:r w:rsidRPr="00B04CDD">
        <w:t xml:space="preserve">sub. 44, p. </w:t>
      </w:r>
      <w:r>
        <w:t>4)</w:t>
      </w:r>
    </w:p>
    <w:p w:rsidR="00A00231" w:rsidRDefault="00A00231" w:rsidP="00A00231">
      <w:pPr>
        <w:pStyle w:val="Heading3"/>
      </w:pPr>
      <w:r>
        <w:t xml:space="preserve">Award modernisation and superannuation </w:t>
      </w:r>
    </w:p>
    <w:p w:rsidR="000204D4" w:rsidRDefault="00A00231" w:rsidP="00A00231">
      <w:pPr>
        <w:pStyle w:val="BodyText"/>
      </w:pPr>
      <w:r>
        <w:t xml:space="preserve">The 122 modern awards were developed by the </w:t>
      </w:r>
      <w:proofErr w:type="spellStart"/>
      <w:r w:rsidR="00DC36C4">
        <w:t>AIRC</w:t>
      </w:r>
      <w:proofErr w:type="spellEnd"/>
      <w:r w:rsidR="007716A4">
        <w:t xml:space="preserve"> </w:t>
      </w:r>
      <w:r>
        <w:t xml:space="preserve">in the course of the most recent industrial relations reforms </w:t>
      </w:r>
      <w:r w:rsidR="0009000C">
        <w:t>which resulted in the</w:t>
      </w:r>
      <w:r w:rsidRPr="00216318">
        <w:rPr>
          <w:i/>
        </w:rPr>
        <w:t xml:space="preserve"> </w:t>
      </w:r>
      <w:r w:rsidRPr="001B0963">
        <w:t>Fair Work Act</w:t>
      </w:r>
      <w:r>
        <w:t xml:space="preserve">. In the course of this </w:t>
      </w:r>
      <w:r w:rsidR="0009000C">
        <w:t xml:space="preserve">reform </w:t>
      </w:r>
      <w:r>
        <w:t xml:space="preserve">process, </w:t>
      </w:r>
      <w:r w:rsidR="00D57842">
        <w:t>more than 1500</w:t>
      </w:r>
      <w:r>
        <w:t xml:space="preserve"> pre-modern </w:t>
      </w:r>
      <w:r w:rsidR="003A5A2F">
        <w:t xml:space="preserve">federal </w:t>
      </w:r>
      <w:r>
        <w:t xml:space="preserve">and state awards were </w:t>
      </w:r>
      <w:r w:rsidR="00360C49">
        <w:t xml:space="preserve">combined and </w:t>
      </w:r>
      <w:r>
        <w:t xml:space="preserve">‘modernised’ to create </w:t>
      </w:r>
      <w:r w:rsidR="00373A13">
        <w:t xml:space="preserve">the </w:t>
      </w:r>
      <w:r>
        <w:t xml:space="preserve">122 modern awards. This award modernisation process involved around six months of consultation for each of the four tranches of pre-modern </w:t>
      </w:r>
      <w:r w:rsidR="003A5A2F">
        <w:t xml:space="preserve">federal </w:t>
      </w:r>
      <w:r>
        <w:t xml:space="preserve">awards in order to develop </w:t>
      </w:r>
      <w:r w:rsidR="00BD5313">
        <w:t>the</w:t>
      </w:r>
      <w:r>
        <w:t xml:space="preserve"> modern awards</w:t>
      </w:r>
      <w:r w:rsidR="0039180A">
        <w:t xml:space="preserve"> (</w:t>
      </w:r>
      <w:proofErr w:type="spellStart"/>
      <w:r w:rsidR="0039180A">
        <w:t>AIRC</w:t>
      </w:r>
      <w:proofErr w:type="spellEnd"/>
      <w:r w:rsidR="0039180A">
        <w:t xml:space="preserve"> </w:t>
      </w:r>
      <w:proofErr w:type="spellStart"/>
      <w:r w:rsidR="0039180A">
        <w:t>2009</w:t>
      </w:r>
      <w:r w:rsidR="00641A17">
        <w:t>c</w:t>
      </w:r>
      <w:proofErr w:type="spellEnd"/>
      <w:r w:rsidR="00A0105E">
        <w:t>)</w:t>
      </w:r>
      <w:r>
        <w:t xml:space="preserve">. </w:t>
      </w:r>
    </w:p>
    <w:p w:rsidR="00D16322" w:rsidRDefault="00360C49" w:rsidP="00A00231">
      <w:pPr>
        <w:pStyle w:val="BodyText"/>
      </w:pPr>
      <w:r>
        <w:t>M</w:t>
      </w:r>
      <w:r w:rsidR="00A00231">
        <w:t xml:space="preserve">odern awards commenced on </w:t>
      </w:r>
      <w:r w:rsidR="00CB3C7D">
        <w:t>1 </w:t>
      </w:r>
      <w:r w:rsidR="00A00231">
        <w:t xml:space="preserve">January 2010. </w:t>
      </w:r>
      <w:r w:rsidR="00A01771">
        <w:t>The</w:t>
      </w:r>
      <w:r w:rsidR="00A00231">
        <w:t xml:space="preserve"> process by which </w:t>
      </w:r>
      <w:r w:rsidR="00D57842">
        <w:t xml:space="preserve">default funds </w:t>
      </w:r>
      <w:r w:rsidR="00A00231">
        <w:t xml:space="preserve">were, and continue to be chosen for </w:t>
      </w:r>
      <w:r w:rsidR="009D3AB1">
        <w:t>listing</w:t>
      </w:r>
      <w:r w:rsidR="00A00231">
        <w:t xml:space="preserve"> in modern awards is discussed in detail </w:t>
      </w:r>
      <w:r w:rsidR="00A00231">
        <w:lastRenderedPageBreak/>
        <w:t>in chapter</w:t>
      </w:r>
      <w:r w:rsidR="0075017A">
        <w:t> </w:t>
      </w:r>
      <w:r w:rsidR="00A00231">
        <w:t>7</w:t>
      </w:r>
      <w:r w:rsidR="00A01771">
        <w:t>. B</w:t>
      </w:r>
      <w:r w:rsidR="00D16322">
        <w:t>riefly, a</w:t>
      </w:r>
      <w:r w:rsidR="009C0915">
        <w:t>n</w:t>
      </w:r>
      <w:r w:rsidR="00D16322">
        <w:t xml:space="preserve"> </w:t>
      </w:r>
      <w:r w:rsidR="009D3AB1">
        <w:t xml:space="preserve">application </w:t>
      </w:r>
      <w:r w:rsidR="009C0915">
        <w:t>to vary a modern award by listing an additional default fund</w:t>
      </w:r>
      <w:r w:rsidR="00AD5D62">
        <w:t xml:space="preserve"> </w:t>
      </w:r>
      <w:r w:rsidR="00783A76">
        <w:t xml:space="preserve">will be </w:t>
      </w:r>
      <w:r w:rsidR="009D3AB1">
        <w:t>granted</w:t>
      </w:r>
      <w:r w:rsidR="00D16322">
        <w:t xml:space="preserve"> if:</w:t>
      </w:r>
    </w:p>
    <w:p w:rsidR="00C3677F" w:rsidRDefault="00FD3596" w:rsidP="00EF3252">
      <w:pPr>
        <w:pStyle w:val="ListBullet"/>
      </w:pPr>
      <w:r>
        <w:t xml:space="preserve">the fund was nominated as a default fund in an award-based transitional instrument relevant to the coverage of the </w:t>
      </w:r>
      <w:r w:rsidR="00C3677F">
        <w:t xml:space="preserve">modern award </w:t>
      </w:r>
    </w:p>
    <w:p w:rsidR="00060B1B" w:rsidRDefault="00FD3596" w:rsidP="00EF3252">
      <w:pPr>
        <w:pStyle w:val="ListBullet"/>
      </w:pPr>
      <w:r>
        <w:t>the representatives of the main parties covered by the award consent to the inclusion of the fund</w:t>
      </w:r>
      <w:r w:rsidR="00060B1B">
        <w:t>, or</w:t>
      </w:r>
    </w:p>
    <w:p w:rsidR="00C3677F" w:rsidRDefault="00060B1B" w:rsidP="00EF3252">
      <w:pPr>
        <w:pStyle w:val="ListBullet"/>
      </w:pPr>
      <w:r>
        <w:t xml:space="preserve">employers were making contributions to the fund before </w:t>
      </w:r>
      <w:r w:rsidR="00CB3C7D">
        <w:t>12</w:t>
      </w:r>
      <w:r w:rsidR="00301DDD">
        <w:t> </w:t>
      </w:r>
      <w:r>
        <w:t>September 2008 on behalf of employees who are now covered by the modern award.</w:t>
      </w:r>
    </w:p>
    <w:p w:rsidR="00A00231" w:rsidRDefault="00B04CDD" w:rsidP="00EF3252">
      <w:pPr>
        <w:pStyle w:val="BodyText"/>
      </w:pPr>
      <w:proofErr w:type="spellStart"/>
      <w:r>
        <w:t>FWA</w:t>
      </w:r>
      <w:proofErr w:type="spellEnd"/>
      <w:r w:rsidR="00A00231">
        <w:t xml:space="preserve"> is conducting a review of modern awards in 2012</w:t>
      </w:r>
      <w:r w:rsidR="00783A76">
        <w:t>, and</w:t>
      </w:r>
      <w:r w:rsidR="00A00231">
        <w:t xml:space="preserve"> </w:t>
      </w:r>
      <w:r w:rsidR="00590A50">
        <w:t>18</w:t>
      </w:r>
      <w:r w:rsidR="0075017A">
        <w:t> </w:t>
      </w:r>
      <w:r w:rsidR="00A00231">
        <w:t xml:space="preserve">submissions to </w:t>
      </w:r>
      <w:r w:rsidR="003463B0">
        <w:t xml:space="preserve">that </w:t>
      </w:r>
      <w:r w:rsidR="00A00231">
        <w:t xml:space="preserve">review have </w:t>
      </w:r>
      <w:r w:rsidR="0009000C">
        <w:t>requested</w:t>
      </w:r>
      <w:r w:rsidR="00783A76">
        <w:t xml:space="preserve"> an additional</w:t>
      </w:r>
      <w:r w:rsidR="0009000C">
        <w:t xml:space="preserve"> </w:t>
      </w:r>
      <w:r w:rsidR="00373A13">
        <w:t xml:space="preserve">superannuation fund be </w:t>
      </w:r>
      <w:r w:rsidR="00783A76">
        <w:t xml:space="preserve">listed </w:t>
      </w:r>
      <w:r w:rsidR="00373A13">
        <w:t>as a default fund in a modern award</w:t>
      </w:r>
      <w:r w:rsidR="005C39EA">
        <w:t xml:space="preserve"> (</w:t>
      </w:r>
      <w:proofErr w:type="spellStart"/>
      <w:r w:rsidR="005C39EA">
        <w:t>FWA</w:t>
      </w:r>
      <w:proofErr w:type="spellEnd"/>
      <w:r w:rsidR="005C39EA">
        <w:t xml:space="preserve"> </w:t>
      </w:r>
      <w:proofErr w:type="spellStart"/>
      <w:r w:rsidR="006C2A6D">
        <w:t>2012f</w:t>
      </w:r>
      <w:proofErr w:type="spellEnd"/>
      <w:r w:rsidR="005C39EA">
        <w:t>)</w:t>
      </w:r>
      <w:r w:rsidR="00425CB7">
        <w:t xml:space="preserve"> (chapter 7)</w:t>
      </w:r>
      <w:r w:rsidR="009317B3">
        <w:t>.</w:t>
      </w:r>
      <w:r w:rsidR="00590A50">
        <w:t xml:space="preserve"> </w:t>
      </w:r>
      <w:proofErr w:type="spellStart"/>
      <w:r w:rsidR="00590A50">
        <w:t>FWA</w:t>
      </w:r>
      <w:proofErr w:type="spellEnd"/>
      <w:r w:rsidR="00590A50">
        <w:t xml:space="preserve"> has indicated that applications in relation to superannuation will be dealt with between April and May 2013 (</w:t>
      </w:r>
      <w:proofErr w:type="spellStart"/>
      <w:r w:rsidR="00590A50">
        <w:t>FWA</w:t>
      </w:r>
      <w:proofErr w:type="spellEnd"/>
      <w:r w:rsidR="00CE6EAB">
        <w:t> </w:t>
      </w:r>
      <w:proofErr w:type="spellStart"/>
      <w:r w:rsidR="00590A50">
        <w:t>2012</w:t>
      </w:r>
      <w:r w:rsidR="006C2A6D">
        <w:t>g</w:t>
      </w:r>
      <w:proofErr w:type="spellEnd"/>
      <w:r w:rsidR="00590A50">
        <w:t>).</w:t>
      </w:r>
    </w:p>
    <w:p w:rsidR="00A00231" w:rsidRDefault="00A00231" w:rsidP="00A00231">
      <w:pPr>
        <w:pStyle w:val="Heading3"/>
      </w:pPr>
      <w:r>
        <w:t>Default funds in modern awards</w:t>
      </w:r>
    </w:p>
    <w:p w:rsidR="0016730D" w:rsidRDefault="00D56373" w:rsidP="00A00231">
      <w:pPr>
        <w:pStyle w:val="BodyText"/>
      </w:pPr>
      <w:r>
        <w:t xml:space="preserve">Of the </w:t>
      </w:r>
      <w:r w:rsidR="00A00231">
        <w:t xml:space="preserve">122 modern awards, 109 </w:t>
      </w:r>
      <w:r>
        <w:t>list</w:t>
      </w:r>
      <w:r w:rsidR="00A00231">
        <w:t xml:space="preserve"> a default superannuation fund or funds</w:t>
      </w:r>
      <w:r w:rsidR="009C0915">
        <w:t xml:space="preserve"> (figure</w:t>
      </w:r>
      <w:r w:rsidR="00CE6EAB">
        <w:t> </w:t>
      </w:r>
      <w:r w:rsidR="009C0915">
        <w:t>2.3)</w:t>
      </w:r>
      <w:r w:rsidR="00A00231">
        <w:t xml:space="preserve">. </w:t>
      </w:r>
      <w:r w:rsidR="0016730D">
        <w:t xml:space="preserve">A list of the funds in each award was prepared by </w:t>
      </w:r>
      <w:proofErr w:type="spellStart"/>
      <w:r w:rsidR="0016730D">
        <w:t>FWA</w:t>
      </w:r>
      <w:proofErr w:type="spellEnd"/>
      <w:r w:rsidR="0016730D">
        <w:t xml:space="preserve"> in February</w:t>
      </w:r>
      <w:r w:rsidR="0075017A">
        <w:t> </w:t>
      </w:r>
      <w:r w:rsidR="0016730D">
        <w:t>2012 (</w:t>
      </w:r>
      <w:r w:rsidR="00AA6C1C">
        <w:t xml:space="preserve">Parliament of Australia </w:t>
      </w:r>
      <w:r w:rsidR="0016730D">
        <w:t>2012).</w:t>
      </w:r>
    </w:p>
    <w:p w:rsidR="00A00231" w:rsidRDefault="00A00231" w:rsidP="00A00231">
      <w:pPr>
        <w:pStyle w:val="BodyText"/>
      </w:pPr>
      <w:r>
        <w:t>The remaining 13</w:t>
      </w:r>
      <w:r w:rsidR="0075017A">
        <w:t> </w:t>
      </w:r>
      <w:r>
        <w:t xml:space="preserve">awards do not </w:t>
      </w:r>
      <w:r w:rsidR="00D56373">
        <w:t>list</w:t>
      </w:r>
      <w:r>
        <w:t xml:space="preserve"> a default superannuation fund — these awards cover a wide range of industries, including fire fighting, shipping, labour market services and mining.</w:t>
      </w:r>
      <w:r w:rsidR="003463B0" w:rsidRPr="003463B0">
        <w:t xml:space="preserve"> </w:t>
      </w:r>
      <w:r w:rsidR="003463B0">
        <w:t>In eight of th</w:t>
      </w:r>
      <w:r w:rsidR="00D53DAD">
        <w:t>e</w:t>
      </w:r>
      <w:r w:rsidR="003463B0">
        <w:t xml:space="preserve"> awards</w:t>
      </w:r>
      <w:r w:rsidR="00D56373">
        <w:t xml:space="preserve"> that do not list a default fund</w:t>
      </w:r>
      <w:r w:rsidR="003463B0">
        <w:t>, there is no reference to superannuation</w:t>
      </w:r>
      <w:r w:rsidR="007C1F63">
        <w:t>, although this may not necessarily mean employers covered by these awards can choose any fund</w:t>
      </w:r>
      <w:r w:rsidR="00761A69">
        <w:t xml:space="preserve"> —</w:t>
      </w:r>
      <w:r w:rsidR="00981B83">
        <w:t xml:space="preserve"> </w:t>
      </w:r>
      <w:r w:rsidR="008F1616">
        <w:t xml:space="preserve">the </w:t>
      </w:r>
      <w:r w:rsidR="00F274CF">
        <w:t>I</w:t>
      </w:r>
      <w:r w:rsidR="008F1616">
        <w:t xml:space="preserve">ndustry </w:t>
      </w:r>
      <w:r w:rsidR="00F274CF">
        <w:t>S</w:t>
      </w:r>
      <w:r w:rsidR="008F1616">
        <w:t xml:space="preserve">uper </w:t>
      </w:r>
      <w:r w:rsidR="00F274CF">
        <w:t>N</w:t>
      </w:r>
      <w:r w:rsidR="008F1616">
        <w:t>etwork</w:t>
      </w:r>
      <w:r w:rsidR="00F274CF">
        <w:t xml:space="preserve"> suggested these industries might be substantially covered by enterprise agreements or other statutory arrangements</w:t>
      </w:r>
      <w:r w:rsidR="006C2A6D">
        <w:t xml:space="preserve"> (sub. </w:t>
      </w:r>
      <w:proofErr w:type="spellStart"/>
      <w:r w:rsidR="006C2A6D">
        <w:t>DR62</w:t>
      </w:r>
      <w:proofErr w:type="spellEnd"/>
      <w:r w:rsidR="006C2A6D">
        <w:t>, p. 25)</w:t>
      </w:r>
      <w:r w:rsidR="00F274CF">
        <w:t>.</w:t>
      </w:r>
      <w:r w:rsidR="00175945">
        <w:t xml:space="preserve"> </w:t>
      </w:r>
    </w:p>
    <w:p w:rsidR="007C1F63" w:rsidRPr="007C1F63" w:rsidRDefault="007C1F63" w:rsidP="007C1F63">
      <w:pPr>
        <w:pStyle w:val="BodyText"/>
      </w:pPr>
      <w:r w:rsidRPr="00A72641">
        <w:t xml:space="preserve">In total, there are </w:t>
      </w:r>
      <w:r w:rsidR="00073ED7" w:rsidRPr="00A72641">
        <w:t>10</w:t>
      </w:r>
      <w:r w:rsidR="00CC1F49">
        <w:t xml:space="preserve">4 </w:t>
      </w:r>
      <w:r w:rsidRPr="00A72641">
        <w:t xml:space="preserve">superannuation funds named as default funds in at least one modern award. Of </w:t>
      </w:r>
      <w:r w:rsidR="008F1616" w:rsidRPr="00A72641">
        <w:t>th</w:t>
      </w:r>
      <w:r w:rsidR="008F1616">
        <w:t>es</w:t>
      </w:r>
      <w:r w:rsidR="008F1616" w:rsidRPr="00A72641">
        <w:t xml:space="preserve">e </w:t>
      </w:r>
      <w:r w:rsidR="0061538B" w:rsidRPr="00A72641">
        <w:t>10</w:t>
      </w:r>
      <w:r w:rsidR="0061538B">
        <w:t>4</w:t>
      </w:r>
      <w:r w:rsidR="0061538B" w:rsidRPr="00A72641">
        <w:t xml:space="preserve"> </w:t>
      </w:r>
      <w:r w:rsidRPr="00A72641">
        <w:t xml:space="preserve">funds, </w:t>
      </w:r>
      <w:r w:rsidR="00073ED7" w:rsidRPr="00A72641">
        <w:t>4</w:t>
      </w:r>
      <w:r w:rsidR="008C5F60">
        <w:t>3</w:t>
      </w:r>
      <w:r w:rsidR="00073ED7" w:rsidRPr="00A72641">
        <w:t xml:space="preserve"> </w:t>
      </w:r>
      <w:r w:rsidRPr="00A72641">
        <w:t xml:space="preserve">are named in only one award, 47 are named in between two and nine awards, and 14 are named in ten or more awards. The fund listed most often is </w:t>
      </w:r>
      <w:proofErr w:type="spellStart"/>
      <w:r w:rsidRPr="00A72641">
        <w:t>AustralianSuper</w:t>
      </w:r>
      <w:proofErr w:type="spellEnd"/>
      <w:r w:rsidRPr="00A72641">
        <w:t xml:space="preserve"> (which appears in 69 awards).</w:t>
      </w:r>
      <w:r>
        <w:t xml:space="preserve"> </w:t>
      </w:r>
    </w:p>
    <w:p w:rsidR="006D0B48" w:rsidRDefault="00553E79" w:rsidP="006D0B48">
      <w:pPr>
        <w:pStyle w:val="FigureTitle"/>
      </w:pPr>
      <w:r>
        <w:rPr>
          <w:b w:val="0"/>
        </w:rPr>
        <w:lastRenderedPageBreak/>
        <w:t xml:space="preserve">Figure </w:t>
      </w:r>
      <w:r>
        <w:rPr>
          <w:b w:val="0"/>
        </w:rPr>
        <w:fldChar w:fldCharType="begin"/>
      </w:r>
      <w:r>
        <w:rPr>
          <w:b w:val="0"/>
        </w:rPr>
        <w:instrText xml:space="preserve"> COMMENTS  \* MERGEFORMAT </w:instrText>
      </w:r>
      <w:r>
        <w:rPr>
          <w:b w:val="0"/>
        </w:rPr>
        <w:fldChar w:fldCharType="separate"/>
      </w:r>
      <w:r w:rsidR="00A56D8C">
        <w:rPr>
          <w:b w:val="0"/>
        </w:rPr>
        <w:t>2.</w:t>
      </w:r>
      <w:r>
        <w:rPr>
          <w:b w:val="0"/>
        </w:rPr>
        <w:fldChar w:fldCharType="end"/>
      </w:r>
      <w:r w:rsidRPr="009D3AB1">
        <w:rPr>
          <w:b w:val="0"/>
        </w:rPr>
        <w:fldChar w:fldCharType="begin"/>
      </w:r>
      <w:r w:rsidRPr="009D3AB1">
        <w:rPr>
          <w:b w:val="0"/>
        </w:rPr>
        <w:instrText xml:space="preserve"> SEQ Figure \* ARABIC </w:instrText>
      </w:r>
      <w:r w:rsidRPr="009D3AB1">
        <w:rPr>
          <w:b w:val="0"/>
        </w:rPr>
        <w:fldChar w:fldCharType="separate"/>
      </w:r>
      <w:r w:rsidR="00AA5B30">
        <w:rPr>
          <w:b w:val="0"/>
          <w:noProof/>
        </w:rPr>
        <w:t>3</w:t>
      </w:r>
      <w:r w:rsidRPr="009D3AB1">
        <w:rPr>
          <w:b w:val="0"/>
        </w:rPr>
        <w:fldChar w:fldCharType="end"/>
      </w:r>
      <w:r>
        <w:tab/>
        <w:t>Number of default superannuation f</w:t>
      </w:r>
      <w:r w:rsidR="006D0B48">
        <w:t xml:space="preserve">unds </w:t>
      </w:r>
      <w:r w:rsidR="008F1616">
        <w:t>listed per</w:t>
      </w:r>
      <w:r w:rsidR="006D0B48">
        <w:t xml:space="preserve"> modern award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Number of default superannuation funds named in each modern award"/>
        <w:tblDescription w:val="There are 12 awards that do not name any default fund. There are 16 awards that name one default fund. There are 66 awards that name between 2 and 6 default funds. There are 27 awards that name 7 or more default funds."/>
      </w:tblPr>
      <w:tblGrid>
        <w:gridCol w:w="8777"/>
      </w:tblGrid>
      <w:tr w:rsidR="005848C3" w:rsidTr="00CC7372">
        <w:tc>
          <w:tcPr>
            <w:tcW w:w="8777" w:type="dxa"/>
          </w:tcPr>
          <w:p w:rsidR="005848C3" w:rsidRDefault="00D47A33" w:rsidP="00B557A3">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Number of default superannuation funds listed per modern award.&#10;&#10;This figure shows that more than 35 modern awards have from 2 to 4 listed default funds, more than 40 awards have from 5 to 10 listed default funds, and a smaller number of modern awards have either none, 1, or 11 or more listed default funds." style="width:425.25pt;height:226.5pt">
                  <v:imagedata r:id="rId11" o:title=""/>
                </v:shape>
              </w:pict>
            </w:r>
          </w:p>
        </w:tc>
      </w:tr>
    </w:tbl>
    <w:p w:rsidR="002236EE" w:rsidRPr="000C2C81" w:rsidRDefault="00D976D6" w:rsidP="002236EE">
      <w:pPr>
        <w:pStyle w:val="Source"/>
      </w:pPr>
      <w:r>
        <w:rPr>
          <w:i/>
        </w:rPr>
        <w:t>Source</w:t>
      </w:r>
      <w:r w:rsidR="002236EE" w:rsidRPr="007F0DF3">
        <w:t>:</w:t>
      </w:r>
      <w:r w:rsidR="002236EE" w:rsidRPr="00167F06">
        <w:t xml:space="preserve"> </w:t>
      </w:r>
      <w:r w:rsidR="006B5BE4">
        <w:t xml:space="preserve">Modern awards published by </w:t>
      </w:r>
      <w:r w:rsidR="002236EE">
        <w:t>FWA (</w:t>
      </w:r>
      <w:r w:rsidR="006C2A6D">
        <w:t>2012e</w:t>
      </w:r>
      <w:r w:rsidR="002236EE">
        <w:t>).</w:t>
      </w:r>
    </w:p>
    <w:p w:rsidR="009F2C47" w:rsidRPr="00F164E2" w:rsidRDefault="00576674" w:rsidP="009F2C47">
      <w:pPr>
        <w:pStyle w:val="BodyText"/>
      </w:pPr>
      <w:r>
        <w:rPr>
          <w:szCs w:val="26"/>
        </w:rPr>
        <w:t>Although there are</w:t>
      </w:r>
      <w:r w:rsidR="00554DD8">
        <w:rPr>
          <w:szCs w:val="26"/>
        </w:rPr>
        <w:t xml:space="preserve"> </w:t>
      </w:r>
      <w:r w:rsidR="00073ED7">
        <w:rPr>
          <w:szCs w:val="26"/>
        </w:rPr>
        <w:t>10</w:t>
      </w:r>
      <w:r w:rsidR="008C5F60">
        <w:rPr>
          <w:szCs w:val="26"/>
        </w:rPr>
        <w:t>4</w:t>
      </w:r>
      <w:r w:rsidR="0075017A">
        <w:rPr>
          <w:szCs w:val="26"/>
        </w:rPr>
        <w:t> </w:t>
      </w:r>
      <w:r w:rsidR="00554DD8">
        <w:rPr>
          <w:szCs w:val="26"/>
        </w:rPr>
        <w:t xml:space="preserve">funds </w:t>
      </w:r>
      <w:r>
        <w:rPr>
          <w:szCs w:val="26"/>
        </w:rPr>
        <w:t>named</w:t>
      </w:r>
      <w:r w:rsidR="00554DD8">
        <w:rPr>
          <w:szCs w:val="26"/>
        </w:rPr>
        <w:t xml:space="preserve"> in awards</w:t>
      </w:r>
      <w:r>
        <w:t xml:space="preserve">, </w:t>
      </w:r>
      <w:r w:rsidR="00783A76">
        <w:t>there are now only 66 distinct funds that can be identified on APRA’s list of current funds, as some have merged, changed their name, or closed since they were first listed. Others are EPSSSs or remain unable to be identified</w:t>
      </w:r>
      <w:r w:rsidR="009F2C47">
        <w:t xml:space="preserve"> </w:t>
      </w:r>
      <w:r w:rsidR="009F2C47" w:rsidRPr="00F164E2">
        <w:t xml:space="preserve">(APRA </w:t>
      </w:r>
      <w:r w:rsidR="00C930D7" w:rsidRPr="00B4041E">
        <w:t>2012</w:t>
      </w:r>
      <w:r w:rsidR="00C930D7">
        <w:t>f</w:t>
      </w:r>
      <w:r w:rsidR="009F2C47" w:rsidRPr="00B4041E">
        <w:t xml:space="preserve">). </w:t>
      </w:r>
      <w:r w:rsidR="009F2C47" w:rsidRPr="00F164E2">
        <w:t>Of the</w:t>
      </w:r>
      <w:r w:rsidR="00783A76">
        <w:t>se</w:t>
      </w:r>
      <w:r w:rsidR="009F2C47" w:rsidRPr="00F164E2">
        <w:t xml:space="preserve"> </w:t>
      </w:r>
      <w:r w:rsidR="009F2C47" w:rsidRPr="00B4041E">
        <w:t>6</w:t>
      </w:r>
      <w:r w:rsidR="003F1A49">
        <w:t>6</w:t>
      </w:r>
      <w:r w:rsidR="0075017A">
        <w:t> </w:t>
      </w:r>
      <w:r w:rsidR="009F2C47" w:rsidRPr="00F164E2">
        <w:t>default funds</w:t>
      </w:r>
      <w:r w:rsidR="008B5A4B" w:rsidRPr="008B5A4B">
        <w:t xml:space="preserve"> </w:t>
      </w:r>
      <w:r w:rsidR="008B5A4B">
        <w:t>(which are about 17</w:t>
      </w:r>
      <w:r w:rsidR="00A85B34">
        <w:t> per </w:t>
      </w:r>
      <w:r w:rsidR="008B5A4B">
        <w:t>cent of the total funds regulated by APRA)</w:t>
      </w:r>
      <w:r w:rsidR="00C92FD4">
        <w:t>, APRA has classified them as follows</w:t>
      </w:r>
      <w:r w:rsidR="009F2C47" w:rsidRPr="00F164E2">
        <w:t>:</w:t>
      </w:r>
    </w:p>
    <w:p w:rsidR="009F2C47" w:rsidRDefault="009F2C47" w:rsidP="009F2C47">
      <w:pPr>
        <w:pStyle w:val="ListBullet"/>
      </w:pPr>
      <w:r>
        <w:t>46</w:t>
      </w:r>
      <w:r w:rsidRPr="00B4041E">
        <w:t xml:space="preserve"> industry funds</w:t>
      </w:r>
      <w:r>
        <w:t xml:space="preserve"> (of which 13 are non-public offer funds)</w:t>
      </w:r>
    </w:p>
    <w:p w:rsidR="009F2C47" w:rsidRPr="00B01536" w:rsidRDefault="009F2C47" w:rsidP="009F2C47">
      <w:pPr>
        <w:pStyle w:val="ListBullet"/>
      </w:pPr>
      <w:r>
        <w:t>1</w:t>
      </w:r>
      <w:r w:rsidR="003F1A49">
        <w:t>1</w:t>
      </w:r>
      <w:r w:rsidRPr="00B01536">
        <w:t xml:space="preserve"> retail funds</w:t>
      </w:r>
      <w:r w:rsidR="003F1A49">
        <w:t xml:space="preserve"> (including one eligible rollover fund)</w:t>
      </w:r>
    </w:p>
    <w:p w:rsidR="009F2C47" w:rsidRPr="00865D89" w:rsidRDefault="003F1A49" w:rsidP="009F2C47">
      <w:pPr>
        <w:pStyle w:val="ListBullet"/>
      </w:pPr>
      <w:r>
        <w:t>6</w:t>
      </w:r>
      <w:r w:rsidR="009F2C47" w:rsidRPr="00865D89">
        <w:t xml:space="preserve"> public sector funds</w:t>
      </w:r>
    </w:p>
    <w:p w:rsidR="009F2C47" w:rsidRDefault="009F2C47" w:rsidP="009F2C47">
      <w:pPr>
        <w:pStyle w:val="ListBullet"/>
      </w:pPr>
      <w:r w:rsidRPr="00B47929">
        <w:t>3 corporate funds.</w:t>
      </w:r>
    </w:p>
    <w:p w:rsidR="00E876DC" w:rsidRDefault="0009000C" w:rsidP="004C14F4">
      <w:pPr>
        <w:pStyle w:val="BodyText"/>
      </w:pPr>
      <w:r>
        <w:t>Most</w:t>
      </w:r>
      <w:r w:rsidR="000F36F7">
        <w:t xml:space="preserve"> of the funds</w:t>
      </w:r>
      <w:r>
        <w:t xml:space="preserve"> listed in awards</w:t>
      </w:r>
      <w:r w:rsidR="000F36F7">
        <w:t xml:space="preserve"> have been classified </w:t>
      </w:r>
      <w:r>
        <w:t xml:space="preserve">by APRA as </w:t>
      </w:r>
      <w:r w:rsidR="000F36F7">
        <w:t>industry fund</w:t>
      </w:r>
      <w:r w:rsidR="00A01771">
        <w:t>s</w:t>
      </w:r>
      <w:r w:rsidR="000F36F7">
        <w:t xml:space="preserve"> (figure</w:t>
      </w:r>
      <w:r w:rsidR="0075017A">
        <w:t> </w:t>
      </w:r>
      <w:r w:rsidR="000F36F7">
        <w:t>2.</w:t>
      </w:r>
      <w:r w:rsidR="008E0806">
        <w:t>4</w:t>
      </w:r>
      <w:r w:rsidR="000F36F7">
        <w:t>)</w:t>
      </w:r>
      <w:r>
        <w:t>. However</w:t>
      </w:r>
      <w:r w:rsidR="000F36F7">
        <w:t xml:space="preserve"> some </w:t>
      </w:r>
      <w:r>
        <w:t xml:space="preserve">funds </w:t>
      </w:r>
      <w:r w:rsidR="002D2B9E">
        <w:t>can</w:t>
      </w:r>
      <w:r w:rsidR="000F36F7">
        <w:t xml:space="preserve"> have characteristics of two </w:t>
      </w:r>
      <w:r>
        <w:t>fund types</w:t>
      </w:r>
      <w:r w:rsidR="000F36F7">
        <w:t xml:space="preserve">, and the emergence of new superannuation products and industry consolidation makes classification of funds into their appropriate </w:t>
      </w:r>
      <w:r>
        <w:t>fund</w:t>
      </w:r>
      <w:r w:rsidR="008E0806">
        <w:t xml:space="preserve"> </w:t>
      </w:r>
      <w:r>
        <w:t xml:space="preserve">types </w:t>
      </w:r>
      <w:r w:rsidR="000F36F7">
        <w:t>more difficult</w:t>
      </w:r>
      <w:r>
        <w:t>.</w:t>
      </w:r>
      <w:r w:rsidR="000F36F7">
        <w:t xml:space="preserve"> </w:t>
      </w:r>
      <w:r w:rsidR="00486253">
        <w:t xml:space="preserve">In these circumstances, APRA classifies the fund into the </w:t>
      </w:r>
      <w:r w:rsidR="00E667BF">
        <w:t>type</w:t>
      </w:r>
      <w:r>
        <w:t xml:space="preserve"> it considers </w:t>
      </w:r>
      <w:r w:rsidR="00486253">
        <w:t xml:space="preserve">most appropriate </w:t>
      </w:r>
      <w:r w:rsidR="000F36F7">
        <w:t>(APRA 2005).</w:t>
      </w:r>
      <w:r w:rsidR="004C14F4" w:rsidRPr="004C14F4">
        <w:t xml:space="preserve"> </w:t>
      </w:r>
    </w:p>
    <w:p w:rsidR="00553E79" w:rsidRPr="00F164E2" w:rsidRDefault="00553E79" w:rsidP="00553E79">
      <w:pPr>
        <w:pStyle w:val="FigureTitle"/>
      </w:pPr>
      <w:r w:rsidRPr="00F164E2">
        <w:rPr>
          <w:b w:val="0"/>
        </w:rPr>
        <w:lastRenderedPageBreak/>
        <w:t xml:space="preserve">Figure </w:t>
      </w:r>
      <w:r w:rsidRPr="00D768EC">
        <w:rPr>
          <w:b w:val="0"/>
        </w:rPr>
        <w:fldChar w:fldCharType="begin"/>
      </w:r>
      <w:r w:rsidRPr="0014018E">
        <w:rPr>
          <w:b w:val="0"/>
        </w:rPr>
        <w:instrText xml:space="preserve"> COMMENTS  \* MERGEFORMAT </w:instrText>
      </w:r>
      <w:r w:rsidRPr="00D768EC">
        <w:rPr>
          <w:b w:val="0"/>
        </w:rPr>
        <w:fldChar w:fldCharType="separate"/>
      </w:r>
      <w:r w:rsidR="00A56D8C">
        <w:rPr>
          <w:b w:val="0"/>
        </w:rPr>
        <w:t>2.</w:t>
      </w:r>
      <w:r w:rsidRPr="00D768EC">
        <w:rPr>
          <w:b w:val="0"/>
        </w:rPr>
        <w:fldChar w:fldCharType="end"/>
      </w:r>
      <w:r w:rsidRPr="00D768EC">
        <w:rPr>
          <w:b w:val="0"/>
        </w:rPr>
        <w:fldChar w:fldCharType="begin"/>
      </w:r>
      <w:r w:rsidRPr="0014018E">
        <w:rPr>
          <w:b w:val="0"/>
        </w:rPr>
        <w:instrText xml:space="preserve"> SEQ Figure \* ARABIC </w:instrText>
      </w:r>
      <w:r w:rsidRPr="00D768EC">
        <w:rPr>
          <w:b w:val="0"/>
        </w:rPr>
        <w:fldChar w:fldCharType="separate"/>
      </w:r>
      <w:r w:rsidR="00AA5B30">
        <w:rPr>
          <w:b w:val="0"/>
          <w:noProof/>
        </w:rPr>
        <w:t>4</w:t>
      </w:r>
      <w:r w:rsidRPr="00D768EC">
        <w:rPr>
          <w:b w:val="0"/>
        </w:rPr>
        <w:fldChar w:fldCharType="end"/>
      </w:r>
      <w:r w:rsidRPr="0014018E">
        <w:tab/>
      </w:r>
      <w:r w:rsidR="00914DA9">
        <w:t>Indicative</w:t>
      </w:r>
      <w:r w:rsidRPr="0014018E">
        <w:t xml:space="preserve"> types of fund</w:t>
      </w:r>
      <w:r w:rsidR="0014018E">
        <w:t>s</w:t>
      </w:r>
      <w:r w:rsidRPr="00F164E2">
        <w:t xml:space="preserve"> listed as default</w:t>
      </w:r>
      <w:r w:rsidR="00D976D6">
        <w:t xml:space="preserve"> fund</w:t>
      </w:r>
      <w:r w:rsidRPr="00F164E2">
        <w:t>s in modern awards</w:t>
      </w:r>
    </w:p>
    <w:p w:rsidR="00553E79" w:rsidRPr="00F164E2" w:rsidRDefault="00D50307" w:rsidP="00553E79">
      <w:pPr>
        <w:pStyle w:val="Subtitle"/>
      </w:pPr>
      <w:r>
        <w:t>6</w:t>
      </w:r>
      <w:r w:rsidR="003F1A49">
        <w:t>6</w:t>
      </w:r>
      <w:r>
        <w:t xml:space="preserve"> </w:t>
      </w:r>
      <w:r w:rsidR="00E876DC">
        <w:t>identifiable</w:t>
      </w:r>
      <w:r w:rsidR="0014018E">
        <w:t xml:space="preserve"> funds</w:t>
      </w:r>
      <w:r w:rsidR="00886F5D" w:rsidRPr="00886F5D">
        <w:rPr>
          <w:rStyle w:val="NoteLabel"/>
        </w:rPr>
        <w:t>a</w:t>
      </w:r>
      <w:r w:rsidR="0014018E">
        <w:t>, b</w:t>
      </w:r>
      <w:r w:rsidR="00553E79" w:rsidRPr="00F164E2">
        <w:t>y APRA classification</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Indicative types of funds listed as default funds in modern awards"/>
        <w:tblDescription w:val="This graph profiles the types of the 66 identifiable default funds, by APRA classification, for which data were available in 2011. There were 33 industry public offer funds (50 per cent), 13 industry non-public offer funds (20 per cent), 11 retail funds (17 per cent), 6 public sector funds (9 per cent), and 3 corporate funds (4 per cent) listed in modern awards as at September 2012."/>
      </w:tblPr>
      <w:tblGrid>
        <w:gridCol w:w="8777"/>
      </w:tblGrid>
      <w:tr w:rsidR="00D50307" w:rsidRPr="0014018E" w:rsidTr="008A48B2">
        <w:tc>
          <w:tcPr>
            <w:tcW w:w="8777" w:type="dxa"/>
          </w:tcPr>
          <w:p w:rsidR="00D50307" w:rsidRDefault="008A48B2">
            <w:r>
              <w:rPr>
                <w:noProof/>
              </w:rPr>
              <w:drawing>
                <wp:inline distT="0" distB="0" distL="0" distR="0" wp14:anchorId="6E5B403A" wp14:editId="3DBBE3A3">
                  <wp:extent cx="5400000" cy="2880000"/>
                  <wp:effectExtent l="0" t="0" r="0" b="0"/>
                  <wp:docPr id="1" name="Chart 1" descr="This figure shows that 50% of funds are industry public offer funds, 20% industry non-public offer funds, 17% retail funds, 9% public sector funds, and 4% corporate funds." title="Indicative types of funds listed as default funds in modern awards, 66 identifiable funds, by APRA classifica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886F5D" w:rsidRPr="00EF3252" w:rsidRDefault="00886F5D" w:rsidP="00886F5D">
      <w:pPr>
        <w:pStyle w:val="Note"/>
        <w:rPr>
          <w:rStyle w:val="NoteLabel"/>
        </w:rPr>
      </w:pPr>
      <w:r>
        <w:rPr>
          <w:rStyle w:val="NoteLabel"/>
        </w:rPr>
        <w:t xml:space="preserve">a </w:t>
      </w:r>
      <w:r>
        <w:t xml:space="preserve">Based on APRA-regulated superannuation funds for which data </w:t>
      </w:r>
      <w:r w:rsidR="007B1785">
        <w:t>are</w:t>
      </w:r>
      <w:r>
        <w:t xml:space="preserve"> available </w:t>
      </w:r>
      <w:r w:rsidR="007B1785">
        <w:t>for</w:t>
      </w:r>
      <w:r>
        <w:t xml:space="preserve"> 2011</w:t>
      </w:r>
      <w:r w:rsidR="005150F2">
        <w:t>.</w:t>
      </w:r>
    </w:p>
    <w:p w:rsidR="00553E79" w:rsidRPr="000C2C81" w:rsidRDefault="00D976D6" w:rsidP="00553E79">
      <w:pPr>
        <w:pStyle w:val="Source"/>
      </w:pPr>
      <w:r>
        <w:rPr>
          <w:i/>
        </w:rPr>
        <w:t>S</w:t>
      </w:r>
      <w:r w:rsidR="00553E79" w:rsidRPr="00F164E2">
        <w:rPr>
          <w:i/>
        </w:rPr>
        <w:t>ource</w:t>
      </w:r>
      <w:r w:rsidR="00EE5C9A">
        <w:rPr>
          <w:i/>
        </w:rPr>
        <w:t>s</w:t>
      </w:r>
      <w:r w:rsidR="00553E79" w:rsidRPr="007F0DF3">
        <w:t>:</w:t>
      </w:r>
      <w:r w:rsidR="00553E79" w:rsidRPr="00F164E2">
        <w:t xml:space="preserve"> Productivity Commission estimates based on APRA </w:t>
      </w:r>
      <w:r w:rsidR="006B5BE4">
        <w:t xml:space="preserve">fund-level profiles and financial performance data </w:t>
      </w:r>
      <w:r w:rsidR="00553E79" w:rsidRPr="00F164E2">
        <w:t>(</w:t>
      </w:r>
      <w:r w:rsidR="00252039">
        <w:t xml:space="preserve">APRA </w:t>
      </w:r>
      <w:r w:rsidR="00C930D7" w:rsidRPr="00F164E2">
        <w:t>201</w:t>
      </w:r>
      <w:r w:rsidR="00C930D7">
        <w:t>2h</w:t>
      </w:r>
      <w:r w:rsidR="00553E79" w:rsidRPr="00F164E2">
        <w:t xml:space="preserve">); </w:t>
      </w:r>
      <w:r w:rsidR="006B5BE4">
        <w:t xml:space="preserve">Modern awards published by </w:t>
      </w:r>
      <w:r w:rsidR="00553E79" w:rsidRPr="00F164E2">
        <w:t>FWA (</w:t>
      </w:r>
      <w:r w:rsidR="00C930D7" w:rsidRPr="00F164E2">
        <w:t>2012</w:t>
      </w:r>
      <w:r w:rsidR="00C930D7">
        <w:t>e</w:t>
      </w:r>
      <w:r w:rsidR="00553E79" w:rsidRPr="00F164E2">
        <w:t>).</w:t>
      </w:r>
    </w:p>
    <w:p w:rsidR="00D976D6" w:rsidRDefault="00D976D6" w:rsidP="00D976D6">
      <w:pPr>
        <w:pStyle w:val="BodyText"/>
      </w:pPr>
      <w:r>
        <w:t>Despite the lesser presence of retail funds in awards, they can still have a significant default business. For instance, AMP noted that it:</w:t>
      </w:r>
    </w:p>
    <w:p w:rsidR="00D976D6" w:rsidRDefault="00252039" w:rsidP="00D976D6">
      <w:pPr>
        <w:pStyle w:val="Quote"/>
      </w:pPr>
      <w:r>
        <w:t xml:space="preserve"> </w:t>
      </w:r>
      <w:r w:rsidR="00D976D6">
        <w:t xml:space="preserve">… </w:t>
      </w:r>
      <w:r w:rsidR="00D976D6" w:rsidRPr="004A0EDD">
        <w:t>is responsible for the management of over $60 billion in retirement and superannuation assets on behalf of nearly 4 million customers. Of these funds, approximately $20 billion in superannuation assets are directly attributable to approximately 500,000 members of a number of employer default superannuation plans. (sub. 5</w:t>
      </w:r>
      <w:r w:rsidR="00377F58">
        <w:t>2</w:t>
      </w:r>
      <w:r w:rsidR="00D976D6" w:rsidRPr="004A0EDD">
        <w:t>, p. 3)</w:t>
      </w:r>
    </w:p>
    <w:p w:rsidR="00D976D6" w:rsidRDefault="00D976D6" w:rsidP="00D976D6">
      <w:pPr>
        <w:pStyle w:val="BodyText"/>
      </w:pPr>
      <w:r>
        <w:t>The greater prevalence of industry funds as default funds in awards could explain why they have a higher proportion of assets in their default investment strategy, since employees who do not actively choose a superannuation fund could be expected to be less likely to actively choose an investment strategy (table</w:t>
      </w:r>
      <w:r w:rsidR="0075017A">
        <w:t> </w:t>
      </w:r>
      <w:r>
        <w:t>2.4).</w:t>
      </w:r>
    </w:p>
    <w:p w:rsidR="000B7815" w:rsidRDefault="000B7815">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sidR="00A56D8C">
        <w:rPr>
          <w:b w:val="0"/>
        </w:rPr>
        <w:t>2.</w:t>
      </w:r>
      <w:r>
        <w:rPr>
          <w:b w:val="0"/>
        </w:rPr>
        <w:fldChar w:fldCharType="end"/>
      </w:r>
      <w:r>
        <w:rPr>
          <w:b w:val="0"/>
        </w:rPr>
        <w:fldChar w:fldCharType="begin"/>
      </w:r>
      <w:r>
        <w:rPr>
          <w:b w:val="0"/>
        </w:rPr>
        <w:instrText xml:space="preserve"> SEQ Table \* ARABIC </w:instrText>
      </w:r>
      <w:r>
        <w:rPr>
          <w:b w:val="0"/>
        </w:rPr>
        <w:fldChar w:fldCharType="separate"/>
      </w:r>
      <w:r w:rsidR="00AA5B30">
        <w:rPr>
          <w:b w:val="0"/>
          <w:noProof/>
        </w:rPr>
        <w:t>4</w:t>
      </w:r>
      <w:r>
        <w:rPr>
          <w:b w:val="0"/>
        </w:rPr>
        <w:fldChar w:fldCharType="end"/>
      </w:r>
      <w:r>
        <w:tab/>
      </w:r>
      <w:r w:rsidR="00914DA9">
        <w:t>Indicative</w:t>
      </w:r>
      <w:r>
        <w:t xml:space="preserve"> profiles of funds listed as default funds in modern awards</w:t>
      </w:r>
    </w:p>
    <w:p w:rsidR="000B7815" w:rsidRPr="00EF3252" w:rsidRDefault="000B7815" w:rsidP="000B7815">
      <w:pPr>
        <w:pStyle w:val="Subtitle"/>
        <w:rPr>
          <w:rStyle w:val="NoteLabel"/>
        </w:rPr>
      </w:pPr>
      <w:r>
        <w:t>6</w:t>
      </w:r>
      <w:r w:rsidR="00A72641">
        <w:t>6</w:t>
      </w:r>
      <w:r w:rsidR="0075017A">
        <w:t> </w:t>
      </w:r>
      <w:r>
        <w:t>identifiable funds</w:t>
      </w:r>
      <w:r w:rsidRPr="00EF3252">
        <w:rPr>
          <w:rStyle w:val="NoteLabel"/>
        </w:rPr>
        <w:t>a</w:t>
      </w:r>
      <w:r>
        <w:t>, by APRA classification</w:t>
      </w:r>
    </w:p>
    <w:tbl>
      <w:tblPr>
        <w:tblW w:w="5000" w:type="pct"/>
        <w:tblCellMar>
          <w:left w:w="0" w:type="dxa"/>
          <w:right w:w="0" w:type="dxa"/>
        </w:tblCellMar>
        <w:tblLook w:val="0000" w:firstRow="0" w:lastRow="0" w:firstColumn="0" w:lastColumn="0" w:noHBand="0" w:noVBand="0"/>
        <w:tblCaption w:val="Indicative profiles of the funds listed as default funds in modern awards"/>
        <w:tblDescription w:val="This table profiles the 66 identifiable default funds that were listed in modern awards in September 2012, by APRA classification. On average, the corporate funds had 13 177 members and 43 per cent of their assets in the default investment strategy (which amounted to $605 million). On average, the industry funds had 244 188 members and 72 per cent of their assets in the default investment strategy ($3586 million). On average, the public sector funds had 282 296 members and 49 per cent of their assets in the default investment strategy ($7779 million). On average, retail funds had 392 977 members, and 47 per cent of their assets in the default investment strategy ($1612 million)."/>
      </w:tblPr>
      <w:tblGrid>
        <w:gridCol w:w="2198"/>
        <w:gridCol w:w="2197"/>
        <w:gridCol w:w="2197"/>
        <w:gridCol w:w="2197"/>
      </w:tblGrid>
      <w:tr w:rsidR="000B7815" w:rsidTr="000B7815">
        <w:tc>
          <w:tcPr>
            <w:tcW w:w="1250" w:type="pct"/>
            <w:tcBorders>
              <w:top w:val="single" w:sz="6" w:space="0" w:color="auto"/>
              <w:bottom w:val="single" w:sz="6" w:space="0" w:color="auto"/>
            </w:tcBorders>
            <w:shd w:val="clear" w:color="auto" w:fill="auto"/>
          </w:tcPr>
          <w:p w:rsidR="000B7815" w:rsidRDefault="000B7815" w:rsidP="000B7815">
            <w:pPr>
              <w:pStyle w:val="TableColumnHeading"/>
              <w:jc w:val="left"/>
            </w:pPr>
          </w:p>
        </w:tc>
        <w:tc>
          <w:tcPr>
            <w:tcW w:w="1250" w:type="pct"/>
            <w:tcBorders>
              <w:top w:val="single" w:sz="6" w:space="0" w:color="auto"/>
              <w:bottom w:val="single" w:sz="6" w:space="0" w:color="auto"/>
            </w:tcBorders>
            <w:shd w:val="clear" w:color="auto" w:fill="auto"/>
          </w:tcPr>
          <w:p w:rsidR="000B7815" w:rsidRDefault="00960690" w:rsidP="000B7815">
            <w:pPr>
              <w:pStyle w:val="TableColumnHeading"/>
            </w:pPr>
            <w:r>
              <w:t>Members</w:t>
            </w:r>
            <w:r w:rsidR="000B7815">
              <w:t xml:space="preserve"> (default and non-default) (average</w:t>
            </w:r>
            <w:r w:rsidR="00147777">
              <w:t>)</w:t>
            </w:r>
          </w:p>
        </w:tc>
        <w:tc>
          <w:tcPr>
            <w:tcW w:w="1250" w:type="pct"/>
            <w:tcBorders>
              <w:top w:val="single" w:sz="6" w:space="0" w:color="auto"/>
              <w:bottom w:val="single" w:sz="6" w:space="0" w:color="auto"/>
            </w:tcBorders>
            <w:shd w:val="clear" w:color="auto" w:fill="auto"/>
          </w:tcPr>
          <w:p w:rsidR="000B7815" w:rsidRDefault="000B7815" w:rsidP="000B7815">
            <w:pPr>
              <w:pStyle w:val="TableColumnHeading"/>
            </w:pPr>
            <w:r>
              <w:t>Proportion of assets in the default investment strategy (average)</w:t>
            </w:r>
          </w:p>
        </w:tc>
        <w:tc>
          <w:tcPr>
            <w:tcW w:w="1250" w:type="pct"/>
            <w:tcBorders>
              <w:top w:val="single" w:sz="6" w:space="0" w:color="auto"/>
              <w:bottom w:val="single" w:sz="6" w:space="0" w:color="auto"/>
            </w:tcBorders>
            <w:shd w:val="clear" w:color="auto" w:fill="auto"/>
          </w:tcPr>
          <w:p w:rsidR="000B7815" w:rsidRDefault="000B7815" w:rsidP="000B7815">
            <w:pPr>
              <w:pStyle w:val="TableColumnHeading"/>
              <w:ind w:right="28"/>
            </w:pPr>
            <w:r>
              <w:t>Assets in the default investment strategy</w:t>
            </w:r>
          </w:p>
        </w:tc>
      </w:tr>
      <w:tr w:rsidR="000B7815" w:rsidTr="000B7815">
        <w:tc>
          <w:tcPr>
            <w:tcW w:w="1250" w:type="pct"/>
            <w:tcBorders>
              <w:top w:val="single" w:sz="6" w:space="0" w:color="auto"/>
            </w:tcBorders>
          </w:tcPr>
          <w:p w:rsidR="000B7815" w:rsidRDefault="000B7815" w:rsidP="000B7815">
            <w:pPr>
              <w:pStyle w:val="TableUnitsRow"/>
              <w:jc w:val="left"/>
            </w:pPr>
          </w:p>
        </w:tc>
        <w:tc>
          <w:tcPr>
            <w:tcW w:w="1250" w:type="pct"/>
            <w:tcBorders>
              <w:top w:val="single" w:sz="6" w:space="0" w:color="auto"/>
            </w:tcBorders>
          </w:tcPr>
          <w:p w:rsidR="000B7815" w:rsidRDefault="00960690" w:rsidP="000B7815">
            <w:pPr>
              <w:pStyle w:val="TableUnitsRow"/>
            </w:pPr>
            <w:r>
              <w:t>no.</w:t>
            </w:r>
          </w:p>
        </w:tc>
        <w:tc>
          <w:tcPr>
            <w:tcW w:w="1250" w:type="pct"/>
            <w:tcBorders>
              <w:top w:val="single" w:sz="6" w:space="0" w:color="auto"/>
            </w:tcBorders>
          </w:tcPr>
          <w:p w:rsidR="000B7815" w:rsidRDefault="00960690" w:rsidP="000B7815">
            <w:pPr>
              <w:pStyle w:val="TableUnitsRow"/>
            </w:pPr>
            <w:r>
              <w:t>%</w:t>
            </w:r>
          </w:p>
        </w:tc>
        <w:tc>
          <w:tcPr>
            <w:tcW w:w="1250" w:type="pct"/>
            <w:tcBorders>
              <w:top w:val="single" w:sz="6" w:space="0" w:color="auto"/>
            </w:tcBorders>
          </w:tcPr>
          <w:p w:rsidR="000B7815" w:rsidRDefault="00960690" w:rsidP="000B7815">
            <w:pPr>
              <w:pStyle w:val="TableUnitsRow"/>
              <w:ind w:right="28"/>
            </w:pPr>
            <w:r>
              <w:t>$m</w:t>
            </w:r>
          </w:p>
        </w:tc>
      </w:tr>
      <w:tr w:rsidR="00960690" w:rsidTr="000B7815">
        <w:tc>
          <w:tcPr>
            <w:tcW w:w="1250" w:type="pct"/>
          </w:tcPr>
          <w:p w:rsidR="00960690" w:rsidRDefault="00960690" w:rsidP="00960690">
            <w:pPr>
              <w:pStyle w:val="TableBodyText"/>
              <w:jc w:val="left"/>
            </w:pPr>
            <w:r>
              <w:t>Corporate</w:t>
            </w:r>
          </w:p>
        </w:tc>
        <w:tc>
          <w:tcPr>
            <w:tcW w:w="1250" w:type="pct"/>
            <w:vAlign w:val="bottom"/>
          </w:tcPr>
          <w:p w:rsidR="00960690" w:rsidRPr="00993760" w:rsidRDefault="00960690" w:rsidP="000B7815">
            <w:pPr>
              <w:pStyle w:val="TableBodyText"/>
              <w:rPr>
                <w:i/>
              </w:rPr>
            </w:pPr>
            <w:r>
              <w:t>13 177</w:t>
            </w:r>
          </w:p>
        </w:tc>
        <w:tc>
          <w:tcPr>
            <w:tcW w:w="1250" w:type="pct"/>
          </w:tcPr>
          <w:p w:rsidR="00960690" w:rsidRDefault="00960690" w:rsidP="000B7815">
            <w:pPr>
              <w:pStyle w:val="TableBodyText"/>
            </w:pPr>
            <w:r>
              <w:t>43</w:t>
            </w:r>
          </w:p>
        </w:tc>
        <w:tc>
          <w:tcPr>
            <w:tcW w:w="1250" w:type="pct"/>
          </w:tcPr>
          <w:p w:rsidR="00960690" w:rsidRDefault="00960690" w:rsidP="000B7815">
            <w:pPr>
              <w:pStyle w:val="TableBodyText"/>
              <w:ind w:right="28"/>
            </w:pPr>
            <w:r>
              <w:t>605</w:t>
            </w:r>
          </w:p>
        </w:tc>
      </w:tr>
      <w:tr w:rsidR="00960690" w:rsidTr="000B7815">
        <w:tc>
          <w:tcPr>
            <w:tcW w:w="1250" w:type="pct"/>
          </w:tcPr>
          <w:p w:rsidR="00960690" w:rsidRDefault="00960690" w:rsidP="00960690">
            <w:pPr>
              <w:pStyle w:val="TableBodyText"/>
              <w:jc w:val="left"/>
            </w:pPr>
            <w:r>
              <w:t>Industry</w:t>
            </w:r>
          </w:p>
        </w:tc>
        <w:tc>
          <w:tcPr>
            <w:tcW w:w="1250" w:type="pct"/>
            <w:vAlign w:val="bottom"/>
          </w:tcPr>
          <w:p w:rsidR="00960690" w:rsidRPr="00993760" w:rsidRDefault="00960690" w:rsidP="000B7815">
            <w:pPr>
              <w:pStyle w:val="TableBodyText"/>
              <w:rPr>
                <w:i/>
              </w:rPr>
            </w:pPr>
            <w:r>
              <w:t>244</w:t>
            </w:r>
            <w:r w:rsidR="00C428E5">
              <w:t> 188</w:t>
            </w:r>
          </w:p>
        </w:tc>
        <w:tc>
          <w:tcPr>
            <w:tcW w:w="1250" w:type="pct"/>
          </w:tcPr>
          <w:p w:rsidR="00960690" w:rsidRDefault="00960690" w:rsidP="000B7815">
            <w:pPr>
              <w:pStyle w:val="TableBodyText"/>
            </w:pPr>
            <w:r>
              <w:t>7</w:t>
            </w:r>
            <w:r w:rsidR="00C428E5">
              <w:t>2</w:t>
            </w:r>
          </w:p>
        </w:tc>
        <w:tc>
          <w:tcPr>
            <w:tcW w:w="1250" w:type="pct"/>
          </w:tcPr>
          <w:p w:rsidR="00960690" w:rsidRDefault="00960690" w:rsidP="000B7815">
            <w:pPr>
              <w:pStyle w:val="TableBodyText"/>
              <w:ind w:right="28"/>
            </w:pPr>
            <w:r>
              <w:t>3 586</w:t>
            </w:r>
          </w:p>
        </w:tc>
      </w:tr>
      <w:tr w:rsidR="00960690" w:rsidTr="000B7815">
        <w:tc>
          <w:tcPr>
            <w:tcW w:w="1250" w:type="pct"/>
          </w:tcPr>
          <w:p w:rsidR="00960690" w:rsidRDefault="00960690" w:rsidP="00960690">
            <w:pPr>
              <w:pStyle w:val="TableBodyText"/>
              <w:jc w:val="left"/>
            </w:pPr>
            <w:r>
              <w:t>Public sector</w:t>
            </w:r>
          </w:p>
        </w:tc>
        <w:tc>
          <w:tcPr>
            <w:tcW w:w="1250" w:type="pct"/>
            <w:vAlign w:val="bottom"/>
          </w:tcPr>
          <w:p w:rsidR="00960690" w:rsidRPr="00993760" w:rsidRDefault="00960690" w:rsidP="004A189E">
            <w:pPr>
              <w:pStyle w:val="TableBodyText"/>
              <w:rPr>
                <w:i/>
              </w:rPr>
            </w:pPr>
            <w:r>
              <w:t>2</w:t>
            </w:r>
            <w:r w:rsidR="00C428E5">
              <w:t>82 296</w:t>
            </w:r>
          </w:p>
        </w:tc>
        <w:tc>
          <w:tcPr>
            <w:tcW w:w="1250" w:type="pct"/>
          </w:tcPr>
          <w:p w:rsidR="00960690" w:rsidRDefault="00C428E5" w:rsidP="000B7815">
            <w:pPr>
              <w:pStyle w:val="TableBodyText"/>
            </w:pPr>
            <w:r>
              <w:t>49</w:t>
            </w:r>
          </w:p>
        </w:tc>
        <w:tc>
          <w:tcPr>
            <w:tcW w:w="1250" w:type="pct"/>
          </w:tcPr>
          <w:p w:rsidR="00960690" w:rsidRDefault="00C428E5" w:rsidP="004A189E">
            <w:pPr>
              <w:pStyle w:val="TableBodyText"/>
              <w:ind w:right="28"/>
              <w:rPr>
                <w:i/>
              </w:rPr>
            </w:pPr>
            <w:r>
              <w:t>7 779</w:t>
            </w:r>
          </w:p>
        </w:tc>
      </w:tr>
      <w:tr w:rsidR="00960690" w:rsidTr="000B7815">
        <w:tc>
          <w:tcPr>
            <w:tcW w:w="1250" w:type="pct"/>
            <w:tcBorders>
              <w:bottom w:val="single" w:sz="6" w:space="0" w:color="auto"/>
            </w:tcBorders>
            <w:shd w:val="clear" w:color="auto" w:fill="auto"/>
          </w:tcPr>
          <w:p w:rsidR="00960690" w:rsidRDefault="00960690" w:rsidP="00960690">
            <w:pPr>
              <w:pStyle w:val="TableBodyText"/>
              <w:jc w:val="left"/>
            </w:pPr>
            <w:r>
              <w:t>Retail</w:t>
            </w:r>
          </w:p>
        </w:tc>
        <w:tc>
          <w:tcPr>
            <w:tcW w:w="1250" w:type="pct"/>
            <w:tcBorders>
              <w:bottom w:val="single" w:sz="6" w:space="0" w:color="auto"/>
            </w:tcBorders>
            <w:shd w:val="clear" w:color="auto" w:fill="auto"/>
            <w:vAlign w:val="bottom"/>
          </w:tcPr>
          <w:p w:rsidR="00960690" w:rsidRPr="00993760" w:rsidRDefault="00960690" w:rsidP="000B7815">
            <w:pPr>
              <w:pStyle w:val="TableBodyText"/>
              <w:rPr>
                <w:i/>
              </w:rPr>
            </w:pPr>
            <w:r>
              <w:t>392 977</w:t>
            </w:r>
          </w:p>
        </w:tc>
        <w:tc>
          <w:tcPr>
            <w:tcW w:w="1250" w:type="pct"/>
            <w:tcBorders>
              <w:bottom w:val="single" w:sz="6" w:space="0" w:color="auto"/>
            </w:tcBorders>
            <w:shd w:val="clear" w:color="auto" w:fill="auto"/>
          </w:tcPr>
          <w:p w:rsidR="00960690" w:rsidRDefault="00960690" w:rsidP="000B7815">
            <w:pPr>
              <w:pStyle w:val="TableBodyText"/>
            </w:pPr>
            <w:r>
              <w:t>47</w:t>
            </w:r>
          </w:p>
        </w:tc>
        <w:tc>
          <w:tcPr>
            <w:tcW w:w="1250" w:type="pct"/>
            <w:tcBorders>
              <w:bottom w:val="single" w:sz="6" w:space="0" w:color="auto"/>
            </w:tcBorders>
            <w:shd w:val="clear" w:color="auto" w:fill="auto"/>
          </w:tcPr>
          <w:p w:rsidR="00960690" w:rsidRDefault="00960690" w:rsidP="000B7815">
            <w:pPr>
              <w:pStyle w:val="TableBodyText"/>
              <w:ind w:right="28"/>
            </w:pPr>
            <w:r>
              <w:t>1 612</w:t>
            </w:r>
          </w:p>
        </w:tc>
      </w:tr>
    </w:tbl>
    <w:p w:rsidR="00960690" w:rsidRPr="00EF3252" w:rsidRDefault="00960690" w:rsidP="00960690">
      <w:pPr>
        <w:pStyle w:val="Note"/>
        <w:rPr>
          <w:rStyle w:val="NoteLabel"/>
        </w:rPr>
      </w:pPr>
      <w:r>
        <w:rPr>
          <w:rStyle w:val="NoteLabel"/>
        </w:rPr>
        <w:t xml:space="preserve">a </w:t>
      </w:r>
      <w:r>
        <w:t xml:space="preserve">Based on APRA-regulated superannuation funds for which data </w:t>
      </w:r>
      <w:r w:rsidR="003D34F8">
        <w:t xml:space="preserve">were </w:t>
      </w:r>
      <w:r>
        <w:t xml:space="preserve">available </w:t>
      </w:r>
      <w:r w:rsidR="007B1785">
        <w:t>for</w:t>
      </w:r>
      <w:r>
        <w:t xml:space="preserve"> 2011. </w:t>
      </w:r>
    </w:p>
    <w:p w:rsidR="00960690" w:rsidRDefault="00960690" w:rsidP="00960690">
      <w:pPr>
        <w:pStyle w:val="Source"/>
      </w:pPr>
      <w:r>
        <w:rPr>
          <w:i/>
        </w:rPr>
        <w:t>Source</w:t>
      </w:r>
      <w:r w:rsidR="00EE5C9A">
        <w:rPr>
          <w:i/>
        </w:rPr>
        <w:t>s</w:t>
      </w:r>
      <w:r>
        <w:t>: Productivity Commission estimates based on APRA</w:t>
      </w:r>
      <w:r w:rsidR="006B5BE4">
        <w:t xml:space="preserve"> fund-level profiles and financial performance data based on annual data for superannuation funds </w:t>
      </w:r>
      <w:r>
        <w:t>(</w:t>
      </w:r>
      <w:r w:rsidR="00147777">
        <w:t xml:space="preserve">APRA </w:t>
      </w:r>
      <w:r>
        <w:t xml:space="preserve">2012a, </w:t>
      </w:r>
      <w:r w:rsidR="00C930D7">
        <w:t>2012h</w:t>
      </w:r>
      <w:r>
        <w:t>);</w:t>
      </w:r>
      <w:r w:rsidR="006B5BE4">
        <w:t xml:space="preserve"> Modern awards published by</w:t>
      </w:r>
      <w:r>
        <w:t xml:space="preserve"> FWA (</w:t>
      </w:r>
      <w:r w:rsidR="00C930D7">
        <w:t>2012e</w:t>
      </w:r>
      <w:r>
        <w:t>).</w:t>
      </w:r>
    </w:p>
    <w:p w:rsidR="00463420" w:rsidRPr="0080297E" w:rsidRDefault="00D768EC" w:rsidP="00A3799F">
      <w:pPr>
        <w:pStyle w:val="BodyText"/>
      </w:pPr>
      <w:r>
        <w:t>However, not all superannuation contributions made under awards are made to default funds</w:t>
      </w:r>
      <w:r w:rsidR="009D3AB1">
        <w:t xml:space="preserve"> listed in awards</w:t>
      </w:r>
      <w:r>
        <w:t xml:space="preserve">, because of the ‘grandfathering’ </w:t>
      </w:r>
      <w:r w:rsidR="008F1616">
        <w:t xml:space="preserve">clauses </w:t>
      </w:r>
      <w:r>
        <w:t xml:space="preserve">in </w:t>
      </w:r>
      <w:r w:rsidR="00D57842">
        <w:t xml:space="preserve">all </w:t>
      </w:r>
      <w:r w:rsidR="00F83C43">
        <w:t xml:space="preserve">modern </w:t>
      </w:r>
      <w:r w:rsidR="00D57842">
        <w:t xml:space="preserve">awards </w:t>
      </w:r>
      <w:r w:rsidR="00A464CC">
        <w:t>which</w:t>
      </w:r>
      <w:r w:rsidR="00D57842">
        <w:t xml:space="preserve"> contain superannuation provisions</w:t>
      </w:r>
      <w:r>
        <w:t xml:space="preserve">. These </w:t>
      </w:r>
      <w:r w:rsidR="00CC3DFF">
        <w:t xml:space="preserve">grandfathering clauses </w:t>
      </w:r>
      <w:r>
        <w:t xml:space="preserve">allow </w:t>
      </w:r>
      <w:r w:rsidR="00783A76">
        <w:t xml:space="preserve">employers to continue to contribute to funds to which they were </w:t>
      </w:r>
      <w:r>
        <w:t>contributi</w:t>
      </w:r>
      <w:r w:rsidR="00783A76">
        <w:t>ng</w:t>
      </w:r>
      <w:r>
        <w:t xml:space="preserve"> before 12</w:t>
      </w:r>
      <w:r w:rsidR="00301DDD">
        <w:t> </w:t>
      </w:r>
      <w:r>
        <w:t>September 2008, even though the fund</w:t>
      </w:r>
      <w:r w:rsidR="006F4D47">
        <w:t>s</w:t>
      </w:r>
      <w:r>
        <w:t xml:space="preserve"> in question </w:t>
      </w:r>
      <w:r w:rsidR="006F4D47">
        <w:t xml:space="preserve">are </w:t>
      </w:r>
      <w:r>
        <w:t>not listed as default</w:t>
      </w:r>
      <w:r w:rsidR="006F4D47">
        <w:t xml:space="preserve"> funds</w:t>
      </w:r>
      <w:r>
        <w:t xml:space="preserve"> in the modern award. </w:t>
      </w:r>
      <w:r w:rsidR="00783A76">
        <w:t>Though s</w:t>
      </w:r>
      <w:r w:rsidR="00DF53E5">
        <w:t xml:space="preserve">ome funds are heavily reliant on grandfathering (Transport Industry Superannuation Fund, sub. DR91), and </w:t>
      </w:r>
      <w:r w:rsidR="00783A76">
        <w:t>some</w:t>
      </w:r>
      <w:r w:rsidR="005B445F">
        <w:t xml:space="preserve"> have been grandfathered since the late 1980s (Ai</w:t>
      </w:r>
      <w:r w:rsidR="00B5563E">
        <w:t> </w:t>
      </w:r>
      <w:r w:rsidR="005B445F">
        <w:t>Group</w:t>
      </w:r>
      <w:r w:rsidR="009C0915">
        <w:t>,</w:t>
      </w:r>
      <w:r w:rsidR="005B445F">
        <w:t xml:space="preserve"> sub. DR79)</w:t>
      </w:r>
      <w:r w:rsidR="00783A76">
        <w:t>,</w:t>
      </w:r>
      <w:r w:rsidR="005B445F">
        <w:t xml:space="preserve"> </w:t>
      </w:r>
      <w:r w:rsidR="00783A76">
        <w:t>t</w:t>
      </w:r>
      <w:r w:rsidRPr="00820056">
        <w:t>he reach and impact of grandfathering is un</w:t>
      </w:r>
      <w:r w:rsidR="00EE29C5">
        <w:t>clear (chapter</w:t>
      </w:r>
      <w:r w:rsidR="0075017A">
        <w:t> </w:t>
      </w:r>
      <w:r w:rsidR="00EE29C5">
        <w:t>7)</w:t>
      </w:r>
      <w:r w:rsidRPr="00820056">
        <w:t xml:space="preserve">. </w:t>
      </w:r>
    </w:p>
    <w:p w:rsidR="00A00231" w:rsidRDefault="00A00231" w:rsidP="00A00231">
      <w:pPr>
        <w:pStyle w:val="Heading3"/>
      </w:pPr>
      <w:r>
        <w:t xml:space="preserve">Effect of default </w:t>
      </w:r>
      <w:r w:rsidR="0014018E">
        <w:t>fund</w:t>
      </w:r>
      <w:r w:rsidR="009317B3">
        <w:t>s</w:t>
      </w:r>
      <w:r w:rsidR="0014018E">
        <w:t xml:space="preserve"> </w:t>
      </w:r>
      <w:r w:rsidR="00E202FD">
        <w:t xml:space="preserve">listed </w:t>
      </w:r>
      <w:r w:rsidR="00F96DD2">
        <w:t xml:space="preserve">in awards </w:t>
      </w:r>
      <w:r>
        <w:t xml:space="preserve">on the flow of </w:t>
      </w:r>
      <w:r w:rsidR="001F2C96">
        <w:t xml:space="preserve">employer </w:t>
      </w:r>
      <w:r>
        <w:t>superannuation</w:t>
      </w:r>
      <w:r w:rsidR="000473F5">
        <w:t xml:space="preserve"> contrib</w:t>
      </w:r>
      <w:r w:rsidR="00F96DD2">
        <w:t>utions</w:t>
      </w:r>
    </w:p>
    <w:p w:rsidR="00A00231" w:rsidRPr="009D3AB1" w:rsidRDefault="00A00231" w:rsidP="009D3AB1">
      <w:pPr>
        <w:pStyle w:val="BodyText"/>
      </w:pPr>
      <w:r w:rsidRPr="009D3AB1">
        <w:t>Default superannuation provisions in modern awards directly affect</w:t>
      </w:r>
      <w:r w:rsidR="00363E6C" w:rsidRPr="009D3AB1">
        <w:t xml:space="preserve"> </w:t>
      </w:r>
      <w:r w:rsidR="00D458FE" w:rsidRPr="004A189E">
        <w:t xml:space="preserve">employees </w:t>
      </w:r>
      <w:r w:rsidR="00D458FE">
        <w:t xml:space="preserve">who derive their default superannuation fund in accordance with </w:t>
      </w:r>
      <w:r w:rsidR="00F65F52">
        <w:t>a</w:t>
      </w:r>
      <w:r w:rsidR="00D458FE">
        <w:t xml:space="preserve"> modern award</w:t>
      </w:r>
      <w:r w:rsidRPr="009D3AB1">
        <w:t xml:space="preserve">. </w:t>
      </w:r>
      <w:r w:rsidR="0092498F" w:rsidRPr="009D3AB1">
        <w:t>As discussed earlier, this includes award-reliant employees,</w:t>
      </w:r>
      <w:r w:rsidR="00060B1B">
        <w:t xml:space="preserve"> those who receive some above-award wages or conditions, and those covered by enterprise agreements that </w:t>
      </w:r>
      <w:r w:rsidR="00565EB4">
        <w:t>do not specify a default fund but refer to the award for superannuation purposes</w:t>
      </w:r>
      <w:r w:rsidR="0092498F" w:rsidRPr="009D3AB1">
        <w:t>.</w:t>
      </w:r>
      <w:r w:rsidRPr="009D3AB1">
        <w:t xml:space="preserve"> It is estimated that at least $</w:t>
      </w:r>
      <w:r w:rsidR="009C0915">
        <w:t>6</w:t>
      </w:r>
      <w:r w:rsidR="0075017A">
        <w:t> </w:t>
      </w:r>
      <w:r w:rsidRPr="009D3AB1">
        <w:t>billion, and potentially more than $</w:t>
      </w:r>
      <w:r w:rsidR="009C0915">
        <w:t>9</w:t>
      </w:r>
      <w:r w:rsidR="0075017A">
        <w:t> </w:t>
      </w:r>
      <w:r w:rsidRPr="009D3AB1">
        <w:t>billion</w:t>
      </w:r>
      <w:r w:rsidR="00820E25">
        <w:t>,</w:t>
      </w:r>
      <w:r w:rsidRPr="009D3AB1">
        <w:t xml:space="preserve"> in superannuation contributions </w:t>
      </w:r>
      <w:r w:rsidR="00554DD8" w:rsidRPr="009D3AB1">
        <w:t>w</w:t>
      </w:r>
      <w:r w:rsidR="00554DD8">
        <w:t>ere</w:t>
      </w:r>
      <w:r w:rsidR="00554DD8" w:rsidRPr="009D3AB1">
        <w:t xml:space="preserve"> </w:t>
      </w:r>
      <w:r w:rsidRPr="009D3AB1">
        <w:t xml:space="preserve">made to </w:t>
      </w:r>
      <w:r w:rsidR="000F36F7" w:rsidRPr="009D3AB1">
        <w:t xml:space="preserve">default funds in </w:t>
      </w:r>
      <w:r w:rsidR="008050F6">
        <w:t xml:space="preserve">modern </w:t>
      </w:r>
      <w:r w:rsidR="000F36F7" w:rsidRPr="009D3AB1">
        <w:t>awards in 2010</w:t>
      </w:r>
      <w:r w:rsidR="0092498F" w:rsidRPr="009D3AB1">
        <w:t xml:space="preserve"> for </w:t>
      </w:r>
      <w:r w:rsidR="00FD7E91">
        <w:t xml:space="preserve">employees </w:t>
      </w:r>
      <w:r w:rsidR="00F274CF">
        <w:t xml:space="preserve">who derive their default superannuation fund in accordance with </w:t>
      </w:r>
      <w:r w:rsidR="00F65F52">
        <w:t>a</w:t>
      </w:r>
      <w:r w:rsidR="00F274CF">
        <w:t xml:space="preserve"> modern award</w:t>
      </w:r>
      <w:r w:rsidR="00822E97">
        <w:t>, as explained below</w:t>
      </w:r>
      <w:r w:rsidR="0092498F" w:rsidRPr="009D3AB1">
        <w:t>.</w:t>
      </w:r>
    </w:p>
    <w:p w:rsidR="00A00231" w:rsidRPr="00F026D1" w:rsidRDefault="001F2C96" w:rsidP="00865D89">
      <w:pPr>
        <w:pStyle w:val="Heading4"/>
        <w:rPr>
          <w:rStyle w:val="BodyTextChar"/>
          <w:sz w:val="24"/>
        </w:rPr>
      </w:pPr>
      <w:r>
        <w:rPr>
          <w:rStyle w:val="BodyTextChar"/>
          <w:sz w:val="24"/>
        </w:rPr>
        <w:lastRenderedPageBreak/>
        <w:t>Contributions</w:t>
      </w:r>
      <w:r w:rsidR="00A00231" w:rsidRPr="00D768EC">
        <w:rPr>
          <w:rStyle w:val="BodyTextChar"/>
          <w:sz w:val="24"/>
        </w:rPr>
        <w:t xml:space="preserve"> for </w:t>
      </w:r>
      <w:r w:rsidR="00D458FE" w:rsidRPr="004A189E">
        <w:t xml:space="preserve">employees </w:t>
      </w:r>
      <w:r w:rsidR="00D458FE">
        <w:t xml:space="preserve">who derive their default superannuation fund in accordance with </w:t>
      </w:r>
      <w:r w:rsidR="00F65F52">
        <w:t>a</w:t>
      </w:r>
      <w:r w:rsidR="00D458FE">
        <w:t xml:space="preserve"> modern award</w:t>
      </w:r>
    </w:p>
    <w:p w:rsidR="00A00231" w:rsidRPr="009D3AB1" w:rsidRDefault="00A00231" w:rsidP="009D3AB1">
      <w:pPr>
        <w:pStyle w:val="BodyText"/>
      </w:pPr>
      <w:r w:rsidRPr="009D3AB1">
        <w:rPr>
          <w:rStyle w:val="BodyTextChar"/>
        </w:rPr>
        <w:t xml:space="preserve">There is no precise measure of the number of </w:t>
      </w:r>
      <w:r w:rsidR="00D458FE" w:rsidRPr="004A189E">
        <w:t xml:space="preserve">employees </w:t>
      </w:r>
      <w:r w:rsidR="00D458FE">
        <w:t xml:space="preserve">who derive their default superannuation fund in accordance with </w:t>
      </w:r>
      <w:r w:rsidR="00F65F52">
        <w:t>a</w:t>
      </w:r>
      <w:r w:rsidR="00D458FE">
        <w:t xml:space="preserve"> modern award</w:t>
      </w:r>
      <w:r w:rsidRPr="009D3AB1">
        <w:rPr>
          <w:rStyle w:val="BodyTextChar"/>
        </w:rPr>
        <w:t xml:space="preserve">. </w:t>
      </w:r>
      <w:r w:rsidR="00980385" w:rsidRPr="009D3AB1">
        <w:rPr>
          <w:rStyle w:val="BodyTextChar"/>
        </w:rPr>
        <w:t xml:space="preserve">The </w:t>
      </w:r>
      <w:r w:rsidRPr="009D3AB1">
        <w:rPr>
          <w:rStyle w:val="BodyTextChar"/>
        </w:rPr>
        <w:t>A</w:t>
      </w:r>
      <w:r w:rsidR="00980385" w:rsidRPr="009D3AB1">
        <w:rPr>
          <w:rStyle w:val="BodyTextChar"/>
        </w:rPr>
        <w:t xml:space="preserve">ustralian </w:t>
      </w:r>
      <w:r w:rsidRPr="009D3AB1">
        <w:rPr>
          <w:rStyle w:val="BodyTextChar"/>
        </w:rPr>
        <w:t>S</w:t>
      </w:r>
      <w:r w:rsidR="00980385" w:rsidRPr="009D3AB1">
        <w:rPr>
          <w:rStyle w:val="BodyTextChar"/>
        </w:rPr>
        <w:t xml:space="preserve">uperannuation </w:t>
      </w:r>
      <w:r w:rsidRPr="009D3AB1">
        <w:rPr>
          <w:rStyle w:val="BodyTextChar"/>
        </w:rPr>
        <w:t>F</w:t>
      </w:r>
      <w:r w:rsidR="00980385" w:rsidRPr="009D3AB1">
        <w:rPr>
          <w:rStyle w:val="BodyTextChar"/>
        </w:rPr>
        <w:t xml:space="preserve">unds </w:t>
      </w:r>
      <w:r w:rsidRPr="009D3AB1">
        <w:rPr>
          <w:rStyle w:val="BodyTextChar"/>
        </w:rPr>
        <w:t>A</w:t>
      </w:r>
      <w:r w:rsidR="00980385" w:rsidRPr="009D3AB1">
        <w:rPr>
          <w:rStyle w:val="BodyTextChar"/>
        </w:rPr>
        <w:t>ssociation</w:t>
      </w:r>
      <w:r w:rsidRPr="009D3AB1">
        <w:rPr>
          <w:rStyle w:val="BodyTextChar"/>
        </w:rPr>
        <w:t xml:space="preserve"> estimated that ‘between 20</w:t>
      </w:r>
      <w:r w:rsidR="00A85B34">
        <w:rPr>
          <w:rStyle w:val="BodyTextChar"/>
        </w:rPr>
        <w:t> per </w:t>
      </w:r>
      <w:r w:rsidRPr="009D3AB1">
        <w:rPr>
          <w:rStyle w:val="BodyTextChar"/>
        </w:rPr>
        <w:t>cent and 30</w:t>
      </w:r>
      <w:r w:rsidR="00D54CC0">
        <w:rPr>
          <w:rStyle w:val="BodyTextChar"/>
        </w:rPr>
        <w:t> </w:t>
      </w:r>
      <w:r w:rsidRPr="009D3AB1">
        <w:rPr>
          <w:rStyle w:val="BodyTextChar"/>
        </w:rPr>
        <w:t>per</w:t>
      </w:r>
      <w:r w:rsidR="00D54CC0">
        <w:rPr>
          <w:rStyle w:val="BodyTextChar"/>
        </w:rPr>
        <w:t> </w:t>
      </w:r>
      <w:r w:rsidRPr="009D3AB1">
        <w:rPr>
          <w:rStyle w:val="BodyTextChar"/>
        </w:rPr>
        <w:t>cent of employees are directly subject to award provisions relating to superannuation’</w:t>
      </w:r>
      <w:r w:rsidR="000F36F7" w:rsidRPr="009D3AB1">
        <w:rPr>
          <w:rStyle w:val="BodyTextChar"/>
        </w:rPr>
        <w:t xml:space="preserve"> </w:t>
      </w:r>
      <w:r w:rsidRPr="009D3AB1">
        <w:rPr>
          <w:rStyle w:val="BodyTextChar"/>
        </w:rPr>
        <w:t>(sub.</w:t>
      </w:r>
      <w:r w:rsidR="00147777">
        <w:rPr>
          <w:rStyle w:val="BodyTextChar"/>
        </w:rPr>
        <w:t> </w:t>
      </w:r>
      <w:r w:rsidRPr="009D3AB1">
        <w:rPr>
          <w:rStyle w:val="BodyTextChar"/>
        </w:rPr>
        <w:t>31, p. 4), although Tasplan placed this figure as high as 65</w:t>
      </w:r>
      <w:r w:rsidR="00D54CC0">
        <w:rPr>
          <w:rStyle w:val="BodyTextChar"/>
        </w:rPr>
        <w:t> </w:t>
      </w:r>
      <w:r w:rsidRPr="009D3AB1">
        <w:rPr>
          <w:rStyle w:val="BodyTextChar"/>
        </w:rPr>
        <w:t>per</w:t>
      </w:r>
      <w:r w:rsidR="00A85B34">
        <w:rPr>
          <w:rStyle w:val="BodyTextChar"/>
        </w:rPr>
        <w:t> </w:t>
      </w:r>
      <w:r w:rsidRPr="009D3AB1">
        <w:rPr>
          <w:rStyle w:val="BodyTextChar"/>
        </w:rPr>
        <w:t>cent</w:t>
      </w:r>
      <w:r w:rsidR="000F36F7" w:rsidRPr="009D3AB1">
        <w:rPr>
          <w:rStyle w:val="BodyTextChar"/>
        </w:rPr>
        <w:t xml:space="preserve"> </w:t>
      </w:r>
      <w:r w:rsidRPr="009D3AB1">
        <w:rPr>
          <w:rStyle w:val="BodyTextChar"/>
        </w:rPr>
        <w:t>(sub. 6). REST</w:t>
      </w:r>
      <w:r w:rsidR="007968A6">
        <w:rPr>
          <w:rStyle w:val="BodyTextChar"/>
        </w:rPr>
        <w:t xml:space="preserve"> Industry Super</w:t>
      </w:r>
      <w:r w:rsidRPr="009D3AB1">
        <w:rPr>
          <w:rStyle w:val="BodyTextChar"/>
        </w:rPr>
        <w:t xml:space="preserve"> commented that </w:t>
      </w:r>
      <w:r w:rsidR="003402E9">
        <w:rPr>
          <w:rStyle w:val="BodyTextChar"/>
        </w:rPr>
        <w:t>‘</w:t>
      </w:r>
      <w:r w:rsidRPr="009D3AB1">
        <w:t>45</w:t>
      </w:r>
      <w:r w:rsidR="00A85B34">
        <w:t> per </w:t>
      </w:r>
      <w:r w:rsidRPr="009D3AB1">
        <w:t xml:space="preserve">cent of </w:t>
      </w:r>
      <w:r w:rsidR="00D53DAD" w:rsidRPr="009D3AB1">
        <w:t xml:space="preserve">REST’s </w:t>
      </w:r>
      <w:r w:rsidRPr="009D3AB1">
        <w:t>membership are party to an industrial award</w:t>
      </w:r>
      <w:r w:rsidR="00D53DAD" w:rsidRPr="009D3AB1">
        <w:t>’</w:t>
      </w:r>
      <w:r w:rsidRPr="009D3AB1">
        <w:t xml:space="preserve"> </w:t>
      </w:r>
      <w:r w:rsidRPr="009D3AB1">
        <w:rPr>
          <w:rStyle w:val="BodyTextChar"/>
        </w:rPr>
        <w:t>(sub. 47, p. 6)</w:t>
      </w:r>
      <w:r w:rsidRPr="009D3AB1">
        <w:t>.</w:t>
      </w:r>
      <w:r w:rsidR="00D53DAD" w:rsidRPr="009D3AB1">
        <w:t xml:space="preserve"> </w:t>
      </w:r>
    </w:p>
    <w:p w:rsidR="00A00231" w:rsidRPr="009D3AB1" w:rsidRDefault="00A00231" w:rsidP="009D3AB1">
      <w:pPr>
        <w:pStyle w:val="BodyText"/>
      </w:pPr>
      <w:r w:rsidRPr="009D3AB1">
        <w:t>APRA (</w:t>
      </w:r>
      <w:r w:rsidR="00C930D7" w:rsidRPr="009D3AB1">
        <w:t>201</w:t>
      </w:r>
      <w:r w:rsidR="00C930D7">
        <w:t>2</w:t>
      </w:r>
      <w:r w:rsidR="00C930D7" w:rsidRPr="009D3AB1">
        <w:t>a</w:t>
      </w:r>
      <w:r w:rsidRPr="009D3AB1">
        <w:t xml:space="preserve">) reported that total superannuation contributions by employers </w:t>
      </w:r>
      <w:r w:rsidR="00783A76">
        <w:t>were</w:t>
      </w:r>
      <w:r w:rsidR="00783A76" w:rsidRPr="009D3AB1">
        <w:t xml:space="preserve"> </w:t>
      </w:r>
      <w:r w:rsidRPr="009D3AB1">
        <w:t>$72</w:t>
      </w:r>
      <w:r w:rsidR="0075017A">
        <w:t> </w:t>
      </w:r>
      <w:r w:rsidRPr="009D3AB1">
        <w:t>billion in 2010, of which an estimated $50</w:t>
      </w:r>
      <w:r w:rsidR="0075017A">
        <w:t> </w:t>
      </w:r>
      <w:r w:rsidRPr="009D3AB1">
        <w:t>billion was attributable to the 9</w:t>
      </w:r>
      <w:r w:rsidR="009502E0">
        <w:t> </w:t>
      </w:r>
      <w:r w:rsidRPr="009D3AB1">
        <w:t>per</w:t>
      </w:r>
      <w:r w:rsidR="009502E0">
        <w:t> </w:t>
      </w:r>
      <w:r w:rsidRPr="009D3AB1">
        <w:t>cent superannuation guarantee (Clare 2010). Since the superannuation guarantee is a constant 9</w:t>
      </w:r>
      <w:r w:rsidR="009502E0">
        <w:t> </w:t>
      </w:r>
      <w:r w:rsidRPr="009D3AB1">
        <w:t>per</w:t>
      </w:r>
      <w:r w:rsidR="009502E0">
        <w:t> </w:t>
      </w:r>
      <w:r w:rsidRPr="009D3AB1">
        <w:t>cent of ordinary time earnings received, and</w:t>
      </w:r>
      <w:r w:rsidR="00363E6C" w:rsidRPr="009D3AB1">
        <w:t xml:space="preserve"> </w:t>
      </w:r>
      <w:r w:rsidRPr="009D3AB1">
        <w:t>award</w:t>
      </w:r>
      <w:r w:rsidR="008F1616">
        <w:noBreakHyphen/>
      </w:r>
      <w:r w:rsidR="00EF3EC8">
        <w:t>only</w:t>
      </w:r>
      <w:r w:rsidR="00EF3EC8" w:rsidRPr="009D3AB1">
        <w:t xml:space="preserve"> </w:t>
      </w:r>
      <w:r w:rsidRPr="009D3AB1">
        <w:t>employees received 7.8</w:t>
      </w:r>
      <w:r w:rsidR="009502E0">
        <w:t> </w:t>
      </w:r>
      <w:r w:rsidRPr="009D3AB1">
        <w:t>per</w:t>
      </w:r>
      <w:r w:rsidR="009502E0">
        <w:t> </w:t>
      </w:r>
      <w:r w:rsidRPr="009D3AB1">
        <w:t>cent of total average wages paid in 2010</w:t>
      </w:r>
      <w:r w:rsidR="006E46CC" w:rsidRPr="009D3AB1">
        <w:t xml:space="preserve"> (</w:t>
      </w:r>
      <w:r w:rsidR="008F1616" w:rsidRPr="009D3AB1">
        <w:t>AB</w:t>
      </w:r>
      <w:r w:rsidR="0075017A">
        <w:t>S</w:t>
      </w:r>
      <w:r w:rsidR="008F1616">
        <w:t> </w:t>
      </w:r>
      <w:r w:rsidR="006E46CC" w:rsidRPr="009D3AB1">
        <w:t>2011b)</w:t>
      </w:r>
      <w:r w:rsidRPr="009D3AB1">
        <w:t xml:space="preserve"> </w:t>
      </w:r>
      <w:r w:rsidR="00147777">
        <w:t xml:space="preserve">then, making assumptions about ordinary time earnings of these employees, </w:t>
      </w:r>
      <w:r w:rsidR="00D53DAD" w:rsidRPr="009D3AB1">
        <w:t>they</w:t>
      </w:r>
      <w:r w:rsidR="009D3AB1" w:rsidRPr="009D3AB1">
        <w:t xml:space="preserve"> received approximately</w:t>
      </w:r>
      <w:r w:rsidRPr="009D3AB1">
        <w:t xml:space="preserve"> $3.9</w:t>
      </w:r>
      <w:r w:rsidR="0075017A">
        <w:t> </w:t>
      </w:r>
      <w:r w:rsidRPr="009D3AB1">
        <w:t>billion</w:t>
      </w:r>
      <w:r w:rsidR="00D53DAD" w:rsidRPr="009D3AB1">
        <w:t xml:space="preserve"> in superannuation guarantee contributions </w:t>
      </w:r>
      <w:r w:rsidR="00CF2269">
        <w:t>in</w:t>
      </w:r>
      <w:r w:rsidR="00CF2269" w:rsidRPr="009D3AB1">
        <w:t xml:space="preserve"> </w:t>
      </w:r>
      <w:r w:rsidR="00D53DAD" w:rsidRPr="009D3AB1">
        <w:t>2010</w:t>
      </w:r>
      <w:r w:rsidR="00EF3EC8">
        <w:t xml:space="preserve"> (if award-only employees </w:t>
      </w:r>
      <w:r w:rsidR="00906056">
        <w:t>are</w:t>
      </w:r>
      <w:r w:rsidR="00EF3EC8">
        <w:t xml:space="preserve"> used as a proxy for award</w:t>
      </w:r>
      <w:r w:rsidR="00CC3DFF">
        <w:noBreakHyphen/>
      </w:r>
      <w:r w:rsidR="00EF3EC8">
        <w:t>reliant employees)</w:t>
      </w:r>
      <w:r w:rsidRPr="009D3AB1">
        <w:t>. Assuming that award-reliant employees are as likely to make choices about their superannuation fund as are other employees</w:t>
      </w:r>
      <w:r w:rsidR="00DA161C" w:rsidRPr="009D3AB1">
        <w:t xml:space="preserve"> (box 2.</w:t>
      </w:r>
      <w:r w:rsidR="009D3AB1" w:rsidRPr="009D3AB1">
        <w:t>1</w:t>
      </w:r>
      <w:r w:rsidR="00DA161C" w:rsidRPr="009D3AB1">
        <w:t>)</w:t>
      </w:r>
      <w:r w:rsidRPr="009D3AB1">
        <w:t xml:space="preserve">, this would imply </w:t>
      </w:r>
      <w:r w:rsidR="009502E0">
        <w:t xml:space="preserve">that </w:t>
      </w:r>
      <w:r w:rsidR="00DB111A">
        <w:t xml:space="preserve">around </w:t>
      </w:r>
      <w:r w:rsidR="004D56D0">
        <w:t>75</w:t>
      </w:r>
      <w:r w:rsidR="00CE6EAB">
        <w:t> </w:t>
      </w:r>
      <w:r w:rsidRPr="009D3AB1">
        <w:t>per</w:t>
      </w:r>
      <w:r w:rsidR="009502E0">
        <w:t> </w:t>
      </w:r>
      <w:r w:rsidRPr="009D3AB1">
        <w:t>cent are in the default fund</w:t>
      </w:r>
      <w:r w:rsidR="001609FB">
        <w:t>,</w:t>
      </w:r>
      <w:r w:rsidRPr="009D3AB1">
        <w:t xml:space="preserve"> </w:t>
      </w:r>
      <w:r w:rsidR="00901E01">
        <w:t>which means</w:t>
      </w:r>
      <w:r w:rsidR="00901E01" w:rsidRPr="009D3AB1">
        <w:t xml:space="preserve"> </w:t>
      </w:r>
      <w:r w:rsidR="006F531F" w:rsidRPr="009D3AB1">
        <w:t>a</w:t>
      </w:r>
      <w:r w:rsidR="006F531F">
        <w:t>round</w:t>
      </w:r>
      <w:r w:rsidR="006F531F" w:rsidRPr="009D3AB1">
        <w:t xml:space="preserve"> </w:t>
      </w:r>
      <w:r w:rsidRPr="009D3AB1">
        <w:t>$</w:t>
      </w:r>
      <w:r w:rsidR="006F531F">
        <w:t>3</w:t>
      </w:r>
      <w:r w:rsidR="00CC3DFF">
        <w:t> </w:t>
      </w:r>
      <w:r w:rsidRPr="009D3AB1">
        <w:t xml:space="preserve">billion </w:t>
      </w:r>
      <w:r w:rsidR="0009000C" w:rsidRPr="009D3AB1">
        <w:t xml:space="preserve">in superannuation </w:t>
      </w:r>
      <w:r w:rsidRPr="009D3AB1">
        <w:t xml:space="preserve">contributions </w:t>
      </w:r>
      <w:r w:rsidR="0009000C" w:rsidRPr="009D3AB1">
        <w:t xml:space="preserve">were </w:t>
      </w:r>
      <w:r w:rsidRPr="009D3AB1">
        <w:t>made to default funds on their behalf</w:t>
      </w:r>
      <w:r w:rsidR="00F45319">
        <w:t xml:space="preserve"> in 2010</w:t>
      </w:r>
      <w:r w:rsidRPr="009D3AB1">
        <w:t xml:space="preserve">. </w:t>
      </w:r>
    </w:p>
    <w:p w:rsidR="00A00231" w:rsidRDefault="00D53DAD" w:rsidP="00A00231">
      <w:pPr>
        <w:pStyle w:val="BodyText"/>
      </w:pPr>
      <w:r>
        <w:t xml:space="preserve">A number of employees receive above-award wages through an unregistered individual arrangement, but rely on the award for the other terms and conditions of their employment. </w:t>
      </w:r>
      <w:r w:rsidR="00A00231">
        <w:t>Existing estimates suggest that roughly</w:t>
      </w:r>
      <w:r w:rsidR="00A00231" w:rsidRPr="00D43FCE">
        <w:t xml:space="preserve"> 15 </w:t>
      </w:r>
      <w:r w:rsidR="00A00231">
        <w:t>to</w:t>
      </w:r>
      <w:r w:rsidR="00A00231" w:rsidRPr="00D43FCE">
        <w:t xml:space="preserve"> 30</w:t>
      </w:r>
      <w:r w:rsidR="009502E0">
        <w:t> </w:t>
      </w:r>
      <w:r w:rsidR="00A00231" w:rsidRPr="00D43FCE">
        <w:t>per</w:t>
      </w:r>
      <w:r w:rsidR="009502E0">
        <w:t> </w:t>
      </w:r>
      <w:r w:rsidR="00A00231" w:rsidRPr="00D43FCE">
        <w:t xml:space="preserve">cent of </w:t>
      </w:r>
      <w:r w:rsidR="00A00231">
        <w:t>employee</w:t>
      </w:r>
      <w:r w:rsidR="00A00231" w:rsidRPr="00D43FCE">
        <w:t>s are employed under above</w:t>
      </w:r>
      <w:r w:rsidR="00A00231">
        <w:t>-</w:t>
      </w:r>
      <w:r w:rsidR="00A00231" w:rsidRPr="00D43FCE">
        <w:t>award arrangements</w:t>
      </w:r>
      <w:r w:rsidR="00711992">
        <w:t xml:space="preserve"> (</w:t>
      </w:r>
      <w:r w:rsidR="00711992" w:rsidRPr="00D43FCE">
        <w:t>Austr</w:t>
      </w:r>
      <w:r w:rsidR="00711992">
        <w:t xml:space="preserve">alian Fair Pay Commission 2006; Buchanan and Considine </w:t>
      </w:r>
      <w:r w:rsidR="00711992" w:rsidRPr="00D43FCE">
        <w:t>2008)</w:t>
      </w:r>
      <w:r w:rsidR="00E768B9">
        <w:t xml:space="preserve">. Though </w:t>
      </w:r>
      <w:r w:rsidR="00A00231" w:rsidRPr="00D43FCE">
        <w:t xml:space="preserve">there </w:t>
      </w:r>
      <w:r w:rsidR="00147777">
        <w:t>are</w:t>
      </w:r>
      <w:r w:rsidR="00A00231" w:rsidRPr="00D43FCE">
        <w:t xml:space="preserve"> insufficient data on wages </w:t>
      </w:r>
      <w:r w:rsidR="00A00231" w:rsidRPr="008F1616">
        <w:t>received by above-award employees to conclude how much superannuation was paid on their behalf</w:t>
      </w:r>
      <w:r w:rsidR="00E768B9" w:rsidRPr="008F1616">
        <w:t>, a</w:t>
      </w:r>
      <w:r w:rsidR="00A00231" w:rsidRPr="008F1616">
        <w:t xml:space="preserve"> lower bound can be estimated by assuming that above-award employees </w:t>
      </w:r>
      <w:r w:rsidR="00783A76" w:rsidRPr="008F1616">
        <w:t>(who are estimated to comprise between 15</w:t>
      </w:r>
      <w:r w:rsidR="00CE6EAB" w:rsidRPr="008F1616">
        <w:t> </w:t>
      </w:r>
      <w:r w:rsidR="00783A76" w:rsidRPr="008F1616">
        <w:t>to 30</w:t>
      </w:r>
      <w:r w:rsidR="009502E0" w:rsidRPr="008F1616">
        <w:t> </w:t>
      </w:r>
      <w:r w:rsidR="00783A76" w:rsidRPr="008F1616">
        <w:t xml:space="preserve">per cent of the workforce) </w:t>
      </w:r>
      <w:r w:rsidR="00A00231" w:rsidRPr="008F1616">
        <w:t xml:space="preserve">received </w:t>
      </w:r>
      <w:r w:rsidR="006E46CC" w:rsidRPr="008F1616">
        <w:t xml:space="preserve">at least </w:t>
      </w:r>
      <w:r w:rsidR="00A00231" w:rsidRPr="008F1616">
        <w:t>award wages</w:t>
      </w:r>
      <w:r w:rsidR="00E768B9" w:rsidRPr="008F1616">
        <w:t xml:space="preserve">. This </w:t>
      </w:r>
      <w:r w:rsidR="00A00231" w:rsidRPr="008F1616">
        <w:t xml:space="preserve">implies </w:t>
      </w:r>
      <w:r w:rsidR="006F531F" w:rsidRPr="008F1616">
        <w:t>around</w:t>
      </w:r>
      <w:r w:rsidR="00A00231" w:rsidRPr="008F1616">
        <w:t xml:space="preserve"> $</w:t>
      </w:r>
      <w:r w:rsidR="006F531F" w:rsidRPr="008F1616">
        <w:t>3</w:t>
      </w:r>
      <w:r w:rsidR="0075017A">
        <w:t> </w:t>
      </w:r>
      <w:r w:rsidR="00A00231" w:rsidRPr="008F1616">
        <w:t>billion, and possibly up to $</w:t>
      </w:r>
      <w:r w:rsidR="006F531F" w:rsidRPr="008F1616">
        <w:t>6</w:t>
      </w:r>
      <w:r w:rsidR="0075017A">
        <w:t> </w:t>
      </w:r>
      <w:r w:rsidR="00A00231" w:rsidRPr="008F1616">
        <w:t>billion</w:t>
      </w:r>
      <w:r w:rsidR="000F36F7" w:rsidRPr="008F1616">
        <w:t>,</w:t>
      </w:r>
      <w:r w:rsidR="00A00231" w:rsidRPr="008F1616">
        <w:t xml:space="preserve"> was paid into default superannuation funds on their behalf.</w:t>
      </w:r>
    </w:p>
    <w:p w:rsidR="009038D1" w:rsidRDefault="001F2C96" w:rsidP="007D46B4">
      <w:pPr>
        <w:pStyle w:val="Heading4"/>
      </w:pPr>
      <w:r w:rsidRPr="00865D89">
        <w:t>Influence of award default funds on enterprise</w:t>
      </w:r>
      <w:r w:rsidR="00F164E2" w:rsidRPr="00865D89">
        <w:t xml:space="preserve"> agreements</w:t>
      </w:r>
    </w:p>
    <w:p w:rsidR="002A6CB8" w:rsidRDefault="00E768B9" w:rsidP="00F164E2">
      <w:pPr>
        <w:pStyle w:val="BodyText"/>
      </w:pPr>
      <w:r>
        <w:t>E</w:t>
      </w:r>
      <w:r w:rsidR="009038D1">
        <w:t>mp</w:t>
      </w:r>
      <w:r w:rsidR="0092498F">
        <w:t xml:space="preserve">loyees covered by enterprise agreements are </w:t>
      </w:r>
      <w:r w:rsidR="009038D1">
        <w:t xml:space="preserve">only </w:t>
      </w:r>
      <w:r w:rsidR="00711992">
        <w:t xml:space="preserve">considered to be </w:t>
      </w:r>
      <w:r w:rsidR="00D458FE" w:rsidRPr="004A189E">
        <w:t xml:space="preserve">employees </w:t>
      </w:r>
      <w:r w:rsidR="00D458FE">
        <w:t xml:space="preserve">who derive their default superannuation fund in accordance with </w:t>
      </w:r>
      <w:r w:rsidR="00F65F52">
        <w:t>a</w:t>
      </w:r>
      <w:r w:rsidR="00D458FE">
        <w:t xml:space="preserve"> modern award </w:t>
      </w:r>
      <w:r w:rsidR="009038D1">
        <w:lastRenderedPageBreak/>
        <w:t xml:space="preserve">where the </w:t>
      </w:r>
      <w:r w:rsidR="002A6CB8">
        <w:t>enterprise agreement does not specify</w:t>
      </w:r>
      <w:r w:rsidR="00565EB4">
        <w:t xml:space="preserve"> a default fund</w:t>
      </w:r>
      <w:r w:rsidR="002A6CB8">
        <w:t xml:space="preserve"> but refers to the award for superannuation purposes.</w:t>
      </w:r>
    </w:p>
    <w:p w:rsidR="00906160" w:rsidRDefault="00906160" w:rsidP="00F164E2">
      <w:pPr>
        <w:pStyle w:val="BodyText"/>
      </w:pPr>
      <w:r>
        <w:t xml:space="preserve">Although the Department of Education, Employment and Workplace Relations maintains a </w:t>
      </w:r>
      <w:r w:rsidR="00A6132C">
        <w:t>database</w:t>
      </w:r>
      <w:r>
        <w:t xml:space="preserve"> on some of the terms of </w:t>
      </w:r>
      <w:r w:rsidR="00A6132C">
        <w:t xml:space="preserve">enterprise </w:t>
      </w:r>
      <w:r>
        <w:t>agreements, data on the superannuation provisions of these agreements are not collected.</w:t>
      </w:r>
    </w:p>
    <w:p w:rsidR="0092498F" w:rsidRDefault="00906160" w:rsidP="00F164E2">
      <w:pPr>
        <w:pStyle w:val="BodyText"/>
      </w:pPr>
      <w:r>
        <w:t xml:space="preserve">Further, although </w:t>
      </w:r>
      <w:r w:rsidR="009038D1">
        <w:t>employees covered by enterprise agreements that specif</w:t>
      </w:r>
      <w:r w:rsidR="00421918">
        <w:t xml:space="preserve">y </w:t>
      </w:r>
      <w:r w:rsidR="009038D1">
        <w:t xml:space="preserve">a default fund are not </w:t>
      </w:r>
      <w:r w:rsidR="00D458FE" w:rsidRPr="004A189E">
        <w:t xml:space="preserve">employees </w:t>
      </w:r>
      <w:r w:rsidR="00D458FE">
        <w:t xml:space="preserve">who derive their default superannuation fund in accordance with </w:t>
      </w:r>
      <w:r w:rsidR="00F65F52">
        <w:t>a</w:t>
      </w:r>
      <w:r w:rsidR="00D458FE">
        <w:t xml:space="preserve"> modern award</w:t>
      </w:r>
      <w:r w:rsidR="009038D1">
        <w:t>,</w:t>
      </w:r>
      <w:r w:rsidR="00E768B9">
        <w:t xml:space="preserve"> </w:t>
      </w:r>
      <w:r w:rsidR="0092498F">
        <w:t xml:space="preserve">funds </w:t>
      </w:r>
      <w:r w:rsidR="00E768B9">
        <w:t xml:space="preserve">listed </w:t>
      </w:r>
      <w:r w:rsidR="0092498F">
        <w:t>in awards m</w:t>
      </w:r>
      <w:r w:rsidR="002D2B9E">
        <w:t>ight</w:t>
      </w:r>
      <w:r w:rsidR="0092498F">
        <w:t xml:space="preserve"> influence the funds </w:t>
      </w:r>
      <w:r w:rsidR="00E768B9">
        <w:t xml:space="preserve">chosen for inclusion </w:t>
      </w:r>
      <w:r w:rsidR="0092498F">
        <w:t>in enterprise agreements.</w:t>
      </w:r>
    </w:p>
    <w:p w:rsidR="00F164E2" w:rsidRDefault="00F164E2" w:rsidP="00F164E2">
      <w:pPr>
        <w:pStyle w:val="BodyText"/>
      </w:pPr>
      <w:r w:rsidRPr="00D43FCE">
        <w:t>There</w:t>
      </w:r>
      <w:r>
        <w:t xml:space="preserve"> </w:t>
      </w:r>
      <w:r w:rsidR="009D3AB1">
        <w:t>are</w:t>
      </w:r>
      <w:r>
        <w:t xml:space="preserve"> no data on how funds </w:t>
      </w:r>
      <w:r w:rsidR="00133827">
        <w:t>liste</w:t>
      </w:r>
      <w:r>
        <w:t xml:space="preserve">d in awards </w:t>
      </w:r>
      <w:r w:rsidR="00147777">
        <w:t>influence</w:t>
      </w:r>
      <w:r>
        <w:t xml:space="preserve"> funds </w:t>
      </w:r>
      <w:r w:rsidR="00133827">
        <w:t>liste</w:t>
      </w:r>
      <w:r>
        <w:t xml:space="preserve">d in </w:t>
      </w:r>
      <w:r w:rsidR="00E768B9">
        <w:t>a</w:t>
      </w:r>
      <w:r>
        <w:t xml:space="preserve">greements, </w:t>
      </w:r>
      <w:r w:rsidR="009D3AB1">
        <w:t xml:space="preserve">but </w:t>
      </w:r>
      <w:r w:rsidR="00E768B9">
        <w:t>several inquiry participants suggested</w:t>
      </w:r>
      <w:r>
        <w:t xml:space="preserve"> that awards </w:t>
      </w:r>
      <w:r w:rsidR="00906160">
        <w:t xml:space="preserve">can be </w:t>
      </w:r>
      <w:r>
        <w:t xml:space="preserve">used as a referential framework for negotiating </w:t>
      </w:r>
      <w:r w:rsidR="00BD5313">
        <w:t>enterprise</w:t>
      </w:r>
      <w:r>
        <w:t xml:space="preserve"> agreements.</w:t>
      </w:r>
    </w:p>
    <w:p w:rsidR="00F164E2" w:rsidRPr="00227408" w:rsidRDefault="00F164E2" w:rsidP="00F164E2">
      <w:pPr>
        <w:pStyle w:val="Quote"/>
      </w:pPr>
      <w:r>
        <w:t>We consider that employers and employees would use their experience of award conditions as a basis when negotiating an enterprise agreement ...</w:t>
      </w:r>
      <w:r w:rsidRPr="003E6E07">
        <w:t xml:space="preserve"> </w:t>
      </w:r>
      <w:r>
        <w:t>Some agreements reproduce provisions from awards, either by including relevant clauses or by</w:t>
      </w:r>
      <w:r w:rsidR="00363E6C">
        <w:t xml:space="preserve"> </w:t>
      </w:r>
      <w:r>
        <w:t>cross</w:t>
      </w:r>
      <w:r w:rsidR="00A464CC">
        <w:noBreakHyphen/>
      </w:r>
      <w:r>
        <w:t>reference to award provisions. Single purpose agreements dealing only with superannuation are no longer allowed, but it is possible to include existing award provisions in agreements. (Asset Super, sub</w:t>
      </w:r>
      <w:r w:rsidR="00147777">
        <w:t>.</w:t>
      </w:r>
      <w:r>
        <w:t xml:space="preserve"> 32, pp. 1</w:t>
      </w:r>
      <w:r w:rsidR="00330F3D" w:rsidRPr="00606315">
        <w:rPr>
          <w:rFonts w:ascii="Arial" w:hAnsi="Arial" w:cs="Arial"/>
          <w:sz w:val="22"/>
          <w:szCs w:val="22"/>
        </w:rPr>
        <w:t>−</w:t>
      </w:r>
      <w:r>
        <w:t>2)</w:t>
      </w:r>
    </w:p>
    <w:p w:rsidR="00F164E2" w:rsidRDefault="00F164E2" w:rsidP="00F164E2">
      <w:pPr>
        <w:pStyle w:val="Quote"/>
      </w:pPr>
      <w:r>
        <w:t>While there are no records available to the AHA, within the hotel industry it is believed the majority of enterprise agreements in the hospitality industry list Hostplus [one of the default funds listed in the relevant award]. (Australian H</w:t>
      </w:r>
      <w:r w:rsidR="00F6407B">
        <w:t>otels Association, sub. 10, p. 6</w:t>
      </w:r>
      <w:r>
        <w:t>)</w:t>
      </w:r>
    </w:p>
    <w:p w:rsidR="00F164E2" w:rsidRPr="00424921" w:rsidRDefault="00F164E2" w:rsidP="00F164E2">
      <w:pPr>
        <w:pStyle w:val="BodyText"/>
      </w:pPr>
      <w:r>
        <w:t xml:space="preserve">The extent to which this occurs is likely to vary across industries. </w:t>
      </w:r>
    </w:p>
    <w:p w:rsidR="00F164E2" w:rsidRPr="00110C9E" w:rsidRDefault="00F164E2" w:rsidP="00F164E2">
      <w:pPr>
        <w:pStyle w:val="Quote"/>
      </w:pPr>
      <w:r w:rsidRPr="00110C9E">
        <w:t>Internal research undertaken by industry super funds indicates that over 43% of enterprise agreements</w:t>
      </w:r>
      <w:r>
        <w:t xml:space="preserve"> </w:t>
      </w:r>
      <w:r w:rsidRPr="00110C9E">
        <w:t>leave the selection of default superannuation fund to the employer. This data was collected across</w:t>
      </w:r>
      <w:r>
        <w:t xml:space="preserve"> </w:t>
      </w:r>
      <w:r w:rsidRPr="00FC5E06">
        <w:t>Austra</w:t>
      </w:r>
      <w:r>
        <w:t xml:space="preserve">lia from a range of industries. </w:t>
      </w:r>
      <w:r w:rsidRPr="00FC5E06">
        <w:t>The treatment of superannuation within industrial agreements is inconsistent across industries</w:t>
      </w:r>
      <w:r>
        <w:t xml:space="preserve"> … </w:t>
      </w:r>
      <w:r w:rsidRPr="00110C9E">
        <w:t>The limited available evidence indicates that where funds are named, at least three quarters are industry</w:t>
      </w:r>
      <w:r>
        <w:t xml:space="preserve"> </w:t>
      </w:r>
      <w:r w:rsidRPr="00FC5E06">
        <w:t>funds and the superannuation clauses found in enterprise agreements, more or less, reflect the</w:t>
      </w:r>
      <w:r>
        <w:t xml:space="preserve"> </w:t>
      </w:r>
      <w:r w:rsidRPr="00FC5E06">
        <w:t>arrangements within the underpinning award or awards.</w:t>
      </w:r>
      <w:r w:rsidRPr="00424921">
        <w:t xml:space="preserve"> (</w:t>
      </w:r>
      <w:r w:rsidR="007968A6">
        <w:t>ISN</w:t>
      </w:r>
      <w:r>
        <w:t>,</w:t>
      </w:r>
      <w:r w:rsidRPr="00424921">
        <w:t xml:space="preserve"> sub</w:t>
      </w:r>
      <w:r w:rsidR="00147777">
        <w:t>.</w:t>
      </w:r>
      <w:r w:rsidRPr="00424921">
        <w:t xml:space="preserve"> 27, p. 37)</w:t>
      </w:r>
    </w:p>
    <w:p w:rsidR="00822E97" w:rsidRDefault="00F164E2" w:rsidP="00F164E2">
      <w:pPr>
        <w:pStyle w:val="BodyText"/>
      </w:pPr>
      <w:r>
        <w:t xml:space="preserve">Given the limited data available, the Commission reviewed enterprise </w:t>
      </w:r>
      <w:r w:rsidR="00C3677F">
        <w:t xml:space="preserve">and collective </w:t>
      </w:r>
      <w:r>
        <w:t xml:space="preserve">agreements in the fast food industry in order to obtain a broad indication of the influence of </w:t>
      </w:r>
      <w:r w:rsidR="009D3AB1">
        <w:t>default funds listed in awards o</w:t>
      </w:r>
      <w:r>
        <w:t xml:space="preserve">n the superannuation provisions </w:t>
      </w:r>
      <w:r w:rsidR="009D3AB1">
        <w:t xml:space="preserve">contained </w:t>
      </w:r>
      <w:r>
        <w:t xml:space="preserve">in </w:t>
      </w:r>
      <w:r w:rsidR="009D3AB1">
        <w:t xml:space="preserve">enterprise </w:t>
      </w:r>
      <w:r>
        <w:t xml:space="preserve">agreements in one sample industry. The fast food industry was chosen because the </w:t>
      </w:r>
      <w:r w:rsidR="009D3AB1">
        <w:t xml:space="preserve">modern </w:t>
      </w:r>
      <w:r>
        <w:t xml:space="preserve">award covers one industry, rather than one occupation across several industries. </w:t>
      </w:r>
    </w:p>
    <w:p w:rsidR="00F164E2" w:rsidRDefault="00F164E2" w:rsidP="00F164E2">
      <w:pPr>
        <w:pStyle w:val="BodyText"/>
      </w:pPr>
      <w:r>
        <w:lastRenderedPageBreak/>
        <w:t>Of the 42</w:t>
      </w:r>
      <w:r w:rsidR="00A85B34">
        <w:t> per </w:t>
      </w:r>
      <w:r>
        <w:t xml:space="preserve">cent of agreements that </w:t>
      </w:r>
      <w:r w:rsidR="00133827">
        <w:t>liste</w:t>
      </w:r>
      <w:r>
        <w:t>d a default fund, more than 60</w:t>
      </w:r>
      <w:r w:rsidR="00761A69">
        <w:t xml:space="preserve"> </w:t>
      </w:r>
      <w:r>
        <w:t xml:space="preserve">per cent </w:t>
      </w:r>
      <w:r w:rsidR="00133827">
        <w:t>liste</w:t>
      </w:r>
      <w:r>
        <w:t xml:space="preserve">d REST </w:t>
      </w:r>
      <w:r w:rsidR="007968A6">
        <w:t xml:space="preserve">Industry Super </w:t>
      </w:r>
      <w:r>
        <w:t>or Sunsuper — the</w:t>
      </w:r>
      <w:r w:rsidR="00DB2200">
        <w:t xml:space="preserve"> only two</w:t>
      </w:r>
      <w:r>
        <w:t xml:space="preserve"> default funds that are </w:t>
      </w:r>
      <w:r w:rsidR="00133827">
        <w:t>liste</w:t>
      </w:r>
      <w:r>
        <w:t>d in the relevant award for the sector. T</w:t>
      </w:r>
      <w:r w:rsidR="00133827">
        <w:t xml:space="preserve">his example suggests that </w:t>
      </w:r>
      <w:r w:rsidR="009D3AB1">
        <w:t xml:space="preserve">default </w:t>
      </w:r>
      <w:r>
        <w:t xml:space="preserve">funds </w:t>
      </w:r>
      <w:r w:rsidR="00133827">
        <w:t xml:space="preserve">listed in awards </w:t>
      </w:r>
      <w:r>
        <w:t xml:space="preserve">are quite influential in the </w:t>
      </w:r>
      <w:r w:rsidR="006F4D47">
        <w:t xml:space="preserve">listing </w:t>
      </w:r>
      <w:r>
        <w:t xml:space="preserve">of funds in enterprise agreements, at least in this sector. However, at least for this sector, </w:t>
      </w:r>
      <w:r w:rsidR="00DB2200">
        <w:t xml:space="preserve">a majority of </w:t>
      </w:r>
      <w:r w:rsidR="009C45F2">
        <w:t xml:space="preserve">agreements do </w:t>
      </w:r>
      <w:r>
        <w:t>not specify any default fund at all (figure</w:t>
      </w:r>
      <w:r w:rsidR="0075017A">
        <w:t> </w:t>
      </w:r>
      <w:r>
        <w:t>2.</w:t>
      </w:r>
      <w:r w:rsidR="008A793F">
        <w:t>5</w:t>
      </w:r>
      <w:r>
        <w:t>).</w:t>
      </w:r>
    </w:p>
    <w:p w:rsidR="001B0963" w:rsidRPr="001B0963" w:rsidRDefault="00F164E2" w:rsidP="006D0B48">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A56D8C">
        <w:rPr>
          <w:b w:val="0"/>
        </w:rPr>
        <w:t>2.</w:t>
      </w:r>
      <w:r>
        <w:rPr>
          <w:b w:val="0"/>
        </w:rPr>
        <w:fldChar w:fldCharType="end"/>
      </w:r>
      <w:r>
        <w:rPr>
          <w:b w:val="0"/>
        </w:rPr>
        <w:fldChar w:fldCharType="begin"/>
      </w:r>
      <w:r>
        <w:rPr>
          <w:b w:val="0"/>
        </w:rPr>
        <w:instrText xml:space="preserve"> SEQ Figure \* ARABIC </w:instrText>
      </w:r>
      <w:r>
        <w:rPr>
          <w:b w:val="0"/>
        </w:rPr>
        <w:fldChar w:fldCharType="separate"/>
      </w:r>
      <w:r w:rsidR="00AA5B30">
        <w:rPr>
          <w:b w:val="0"/>
          <w:noProof/>
        </w:rPr>
        <w:t>5</w:t>
      </w:r>
      <w:r>
        <w:rPr>
          <w:b w:val="0"/>
        </w:rPr>
        <w:fldChar w:fldCharType="end"/>
      </w:r>
      <w:r>
        <w:tab/>
        <w:t>Superannuation fund</w:t>
      </w:r>
      <w:r w:rsidR="00133827">
        <w:t xml:space="preserve">s listed </w:t>
      </w:r>
      <w:r>
        <w:t>in enterprise agree</w:t>
      </w:r>
      <w:r w:rsidR="006D0B48">
        <w:t>ments in the fast food industry</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Superannuation funds listed in enterprise agreements in the fast food industry"/>
        <w:tblDescription w:val="58 per cent of enterprise agreements reviewed did not nominate a default fund, and 42 per cent did. Of the 42 per cent that nominated a default fund, 62 per cent nominated REST or SunSuper, and 38 per cent nominated a different fund."/>
      </w:tblPr>
      <w:tblGrid>
        <w:gridCol w:w="8777"/>
      </w:tblGrid>
      <w:tr w:rsidR="00F164E2" w:rsidTr="00CC7372">
        <w:tc>
          <w:tcPr>
            <w:tcW w:w="8777" w:type="dxa"/>
          </w:tcPr>
          <w:p w:rsidR="00F164E2" w:rsidRDefault="00CC7372" w:rsidP="00F164E2">
            <w:r>
              <w:rPr>
                <w:noProof/>
              </w:rPr>
              <w:drawing>
                <wp:inline distT="0" distB="0" distL="0" distR="0" wp14:anchorId="6C18B3B6" wp14:editId="0AB3429C">
                  <wp:extent cx="5400000" cy="2880000"/>
                  <wp:effectExtent l="0" t="0" r="0" b="0"/>
                  <wp:docPr id="2" name="Chart 2" descr="58% of enterprise agreements did not nominate a fund. Of the remaining enterprise agreements (that did nominate a fund), 62% nominated either REST or Sunsuper superannuation funds, and 38% nominated another fund." title="Superannuation funds listed in enterprise agreements in the fast food industry"/>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F164E2" w:rsidRDefault="007F0DF3" w:rsidP="00F026D1">
      <w:pPr>
        <w:pStyle w:val="Source"/>
      </w:pPr>
      <w:r>
        <w:rPr>
          <w:i/>
        </w:rPr>
        <w:t>S</w:t>
      </w:r>
      <w:r w:rsidR="00F164E2">
        <w:rPr>
          <w:i/>
        </w:rPr>
        <w:t>ource</w:t>
      </w:r>
      <w:r w:rsidR="00F164E2" w:rsidRPr="007F0DF3">
        <w:t>:</w:t>
      </w:r>
      <w:r w:rsidR="00F164E2" w:rsidRPr="00167F06">
        <w:t xml:space="preserve"> </w:t>
      </w:r>
      <w:r w:rsidR="00F164E2">
        <w:t>Productivity Commission analysis based on enterprise agreements published by FWA</w:t>
      </w:r>
      <w:r w:rsidR="00C3677F">
        <w:t xml:space="preserve"> (2012</w:t>
      </w:r>
      <w:r w:rsidR="00EF3252">
        <w:t>b)</w:t>
      </w:r>
      <w:r w:rsidR="00F164E2">
        <w:t>.</w:t>
      </w:r>
    </w:p>
    <w:p w:rsidR="00B36E2D" w:rsidRDefault="00B36E2D" w:rsidP="00B36E2D">
      <w:pPr>
        <w:pStyle w:val="Heading3"/>
      </w:pPr>
      <w:r>
        <w:t xml:space="preserve">The Stronger Super reforms </w:t>
      </w:r>
    </w:p>
    <w:p w:rsidR="003402E9" w:rsidRDefault="00F73909" w:rsidP="003402E9">
      <w:pPr>
        <w:pStyle w:val="BodyText"/>
      </w:pPr>
      <w:r>
        <w:t xml:space="preserve">While the Australian superannuation industry is undergoing a </w:t>
      </w:r>
      <w:r w:rsidR="007E6594">
        <w:t xml:space="preserve">significant </w:t>
      </w:r>
      <w:r>
        <w:t>period of fund mergers and consolidation, which is expected to continue, the</w:t>
      </w:r>
      <w:r w:rsidR="00482E36">
        <w:t xml:space="preserve"> regulatory environment is also</w:t>
      </w:r>
      <w:r>
        <w:t xml:space="preserve"> </w:t>
      </w:r>
      <w:r w:rsidR="00261E97">
        <w:t xml:space="preserve">rapidly </w:t>
      </w:r>
      <w:r>
        <w:t xml:space="preserve">changing. </w:t>
      </w:r>
      <w:r w:rsidR="00036715">
        <w:t xml:space="preserve">This inquiry is </w:t>
      </w:r>
      <w:r w:rsidR="00311059">
        <w:t>occurring</w:t>
      </w:r>
      <w:r w:rsidR="00036715">
        <w:t xml:space="preserve"> in the context of the </w:t>
      </w:r>
      <w:r w:rsidR="00EF3252">
        <w:t xml:space="preserve">staged </w:t>
      </w:r>
      <w:r w:rsidR="00036715">
        <w:t>introduction of a significant number of reforms to the superannuation system. From July 2013</w:t>
      </w:r>
      <w:r w:rsidR="00147777">
        <w:t>,</w:t>
      </w:r>
      <w:r w:rsidR="00036715">
        <w:t xml:space="preserve"> there will be a new default superannuation product, MySuper, together with disclosure, governance and administrative reforms </w:t>
      </w:r>
      <w:r w:rsidR="00311059">
        <w:t>which are intended</w:t>
      </w:r>
      <w:r w:rsidR="00036715">
        <w:t xml:space="preserve"> to make default superannuation more transparent and comparable.</w:t>
      </w:r>
    </w:p>
    <w:p w:rsidR="003402E9" w:rsidRDefault="003402E9" w:rsidP="003402E9">
      <w:pPr>
        <w:pStyle w:val="BodyText"/>
      </w:pPr>
    </w:p>
    <w:p w:rsidR="00B36E2D" w:rsidRDefault="00B36E2D" w:rsidP="00B36E2D">
      <w:pPr>
        <w:pStyle w:val="Heading4"/>
        <w:spacing w:before="240"/>
      </w:pPr>
      <w:r>
        <w:lastRenderedPageBreak/>
        <w:t>MySuper</w:t>
      </w:r>
    </w:p>
    <w:p w:rsidR="00B36E2D" w:rsidRDefault="00B36E2D" w:rsidP="00B36E2D">
      <w:pPr>
        <w:pStyle w:val="BodyText"/>
      </w:pPr>
      <w:r>
        <w:t>Following the Cooper Review</w:t>
      </w:r>
      <w:r w:rsidR="00147777">
        <w:t xml:space="preserve"> (Australian Government 2010b)</w:t>
      </w:r>
      <w:r>
        <w:t>, the Australian Government (</w:t>
      </w:r>
      <w:r w:rsidR="00881441">
        <w:t>201</w:t>
      </w:r>
      <w:r w:rsidR="00B02B83">
        <w:t>1a</w:t>
      </w:r>
      <w:r>
        <w:t xml:space="preserve">) is introducing reforms to the superannuation system </w:t>
      </w:r>
      <w:r w:rsidR="001609FB">
        <w:t xml:space="preserve">that </w:t>
      </w:r>
      <w:r>
        <w:t>will, amongst other things:</w:t>
      </w:r>
    </w:p>
    <w:p w:rsidR="00B36E2D" w:rsidRDefault="00B36E2D" w:rsidP="00B36E2D">
      <w:pPr>
        <w:pStyle w:val="ListBullet"/>
      </w:pPr>
      <w:r>
        <w:t xml:space="preserve">introduce MySuper, a new superannuation product authorised by APRA. Only </w:t>
      </w:r>
      <w:r w:rsidR="00E51526">
        <w:t xml:space="preserve">funds that offer </w:t>
      </w:r>
      <w:r>
        <w:t>MySuper products</w:t>
      </w:r>
      <w:r w:rsidR="00133827">
        <w:t xml:space="preserve"> </w:t>
      </w:r>
      <w:r w:rsidR="00E51526">
        <w:t xml:space="preserve">(or EPSSSs) </w:t>
      </w:r>
      <w:r>
        <w:t xml:space="preserve">will be eligible to be </w:t>
      </w:r>
      <w:r w:rsidR="00133827">
        <w:t xml:space="preserve">listed </w:t>
      </w:r>
      <w:r>
        <w:t>as default</w:t>
      </w:r>
      <w:r w:rsidR="00133827">
        <w:t xml:space="preserve"> funds in modern awards</w:t>
      </w:r>
      <w:r w:rsidR="005815B5">
        <w:t xml:space="preserve"> and enterprise agreements</w:t>
      </w:r>
    </w:p>
    <w:p w:rsidR="00B36E2D" w:rsidRDefault="00B36E2D" w:rsidP="00B36E2D">
      <w:pPr>
        <w:pStyle w:val="ListBullet"/>
      </w:pPr>
      <w:r>
        <w:t>require trustees to</w:t>
      </w:r>
      <w:r w:rsidRPr="00BB66BA">
        <w:rPr>
          <w:rStyle w:val="BodyTextChar"/>
        </w:rPr>
        <w:t xml:space="preserve"> develop </w:t>
      </w:r>
      <w:r>
        <w:t xml:space="preserve">a single diversified investment strategy for their MySuper product </w:t>
      </w:r>
      <w:r w:rsidR="001609FB">
        <w:t xml:space="preserve">that </w:t>
      </w:r>
      <w:r>
        <w:t xml:space="preserve">specifies the investment return target </w:t>
      </w:r>
      <w:r w:rsidR="00EA5D2F">
        <w:t>over a rolling 10</w:t>
      </w:r>
      <w:r w:rsidR="00147777">
        <w:noBreakHyphen/>
      </w:r>
      <w:r w:rsidR="00EA5D2F">
        <w:t xml:space="preserve">year period </w:t>
      </w:r>
      <w:r>
        <w:t xml:space="preserve">and </w:t>
      </w:r>
      <w:r w:rsidR="00EA5D2F">
        <w:t xml:space="preserve">the </w:t>
      </w:r>
      <w:r>
        <w:t>level of risk</w:t>
      </w:r>
      <w:r w:rsidR="00EA5D2F">
        <w:t xml:space="preserve"> deemed appropriate</w:t>
      </w:r>
      <w:r w:rsidR="001C77D4">
        <w:t xml:space="preserve"> (chapter</w:t>
      </w:r>
      <w:r w:rsidR="00CC3DFF">
        <w:t> </w:t>
      </w:r>
      <w:r w:rsidR="001C77D4">
        <w:t>4)</w:t>
      </w:r>
    </w:p>
    <w:p w:rsidR="00B36E2D" w:rsidRDefault="00B36E2D" w:rsidP="00F026D1">
      <w:pPr>
        <w:pStyle w:val="ListBullet"/>
      </w:pPr>
      <w:r>
        <w:t xml:space="preserve">introduce rules governing the fees </w:t>
      </w:r>
      <w:r w:rsidR="001609FB">
        <w:t xml:space="preserve">that </w:t>
      </w:r>
      <w:r>
        <w:t xml:space="preserve">can be charged for MySuper products </w:t>
      </w:r>
      <w:r w:rsidR="001C77D4">
        <w:t>(chapter</w:t>
      </w:r>
      <w:r w:rsidR="0075017A">
        <w:t> </w:t>
      </w:r>
      <w:r w:rsidR="001C77D4">
        <w:t>4)</w:t>
      </w:r>
    </w:p>
    <w:p w:rsidR="00B36E2D" w:rsidRDefault="00B36E2D" w:rsidP="00B36E2D">
      <w:pPr>
        <w:pStyle w:val="ListBullet"/>
      </w:pPr>
      <w:r>
        <w:t>require equal treatment of members by giving all MySuper members</w:t>
      </w:r>
      <w:r w:rsidR="001C1DC9">
        <w:t>:</w:t>
      </w:r>
    </w:p>
    <w:p w:rsidR="00B36E2D" w:rsidRDefault="00B36E2D" w:rsidP="00B36E2D">
      <w:pPr>
        <w:pStyle w:val="ListBullet2"/>
      </w:pPr>
      <w:r>
        <w:t>protection against fee subsidisation (since one employee should not be favoured over another where they have the same employer)</w:t>
      </w:r>
    </w:p>
    <w:p w:rsidR="00B36E2D" w:rsidRPr="00F0031C" w:rsidRDefault="00B36E2D" w:rsidP="00B36E2D">
      <w:pPr>
        <w:pStyle w:val="ListBullet2"/>
      </w:pPr>
      <w:r>
        <w:t>the assurance that, unless they have consented</w:t>
      </w:r>
      <w:r w:rsidR="008156C9">
        <w:t xml:space="preserve"> no more than 30</w:t>
      </w:r>
      <w:r w:rsidR="0075017A">
        <w:t> </w:t>
      </w:r>
      <w:r w:rsidR="008156C9">
        <w:t>days before the transfer occurs</w:t>
      </w:r>
      <w:r>
        <w:t xml:space="preserve">, </w:t>
      </w:r>
      <w:r w:rsidRPr="009B6185">
        <w:t>MySuper members can</w:t>
      </w:r>
      <w:r w:rsidR="008156C9">
        <w:t>not have their interest replaced with another class of interest in the fund</w:t>
      </w:r>
    </w:p>
    <w:p w:rsidR="00906056" w:rsidRDefault="00B36E2D" w:rsidP="00B36E2D">
      <w:pPr>
        <w:pStyle w:val="ListBullet"/>
      </w:pPr>
      <w:r>
        <w:t>require all MySuper produ</w:t>
      </w:r>
      <w:r w:rsidR="00147777">
        <w:t>cts to offer at least a minimum</w:t>
      </w:r>
      <w:r>
        <w:t xml:space="preserve"> default level of life and total and permanent disability insurance </w:t>
      </w:r>
      <w:r w:rsidRPr="009B6185">
        <w:t>on an opt-out basis.</w:t>
      </w:r>
      <w:r w:rsidR="009C45F2">
        <w:t xml:space="preserve"> </w:t>
      </w:r>
      <w:r w:rsidR="009C0915">
        <w:t>S</w:t>
      </w:r>
      <w:r w:rsidR="009C45F2">
        <w:t>uperannuation funds are able to vary insurance terms and conditions between groups of members within the same default product</w:t>
      </w:r>
      <w:r w:rsidR="001C77D4">
        <w:t xml:space="preserve"> (chapter</w:t>
      </w:r>
      <w:r w:rsidR="00CC3DFF">
        <w:t> 6</w:t>
      </w:r>
      <w:r w:rsidR="001C77D4">
        <w:t>)</w:t>
      </w:r>
    </w:p>
    <w:p w:rsidR="00B36E2D" w:rsidRDefault="00906056" w:rsidP="00B36E2D">
      <w:pPr>
        <w:pStyle w:val="ListBullet"/>
      </w:pPr>
      <w:r>
        <w:t xml:space="preserve">allow trustees to offer a ‘tailored’ MySuper product for </w:t>
      </w:r>
      <w:r w:rsidR="00FD6750">
        <w:t>a large employer that has more than 500 employees who will contribute to that product.</w:t>
      </w:r>
    </w:p>
    <w:p w:rsidR="008A793F" w:rsidRDefault="008A793F" w:rsidP="008A793F">
      <w:pPr>
        <w:pStyle w:val="Heading4"/>
      </w:pPr>
      <w:r>
        <w:t>SuperStream</w:t>
      </w:r>
    </w:p>
    <w:p w:rsidR="008A793F" w:rsidRDefault="008A793F" w:rsidP="008A793F">
      <w:pPr>
        <w:pStyle w:val="BodyText"/>
      </w:pPr>
      <w:r>
        <w:t>The</w:t>
      </w:r>
      <w:r w:rsidRPr="00684E79">
        <w:t xml:space="preserve"> Super</w:t>
      </w:r>
      <w:r>
        <w:t>S</w:t>
      </w:r>
      <w:r w:rsidRPr="00684E79">
        <w:t>tream reforms will introduce new data and e-commerce standards for superannuation transactions (Australian Government 2010</w:t>
      </w:r>
      <w:r w:rsidR="00B02B83">
        <w:t>c</w:t>
      </w:r>
      <w:r w:rsidRPr="00684E79">
        <w:t xml:space="preserve">). This will include electronic transmission of linked financial and member data using standardised formats, </w:t>
      </w:r>
      <w:r>
        <w:t>and the use of</w:t>
      </w:r>
      <w:r w:rsidRPr="00684E79">
        <w:t xml:space="preserve"> tax file numbers as the primary member identifier. These reforms will be phased in between July 2011 and July 2015. </w:t>
      </w:r>
      <w:r>
        <w:t xml:space="preserve">The </w:t>
      </w:r>
      <w:r w:rsidRPr="00684E79">
        <w:t>Cooper</w:t>
      </w:r>
      <w:r>
        <w:t xml:space="preserve"> Review</w:t>
      </w:r>
      <w:r w:rsidRPr="00684E79">
        <w:t xml:space="preserve"> estimated that Super</w:t>
      </w:r>
      <w:r>
        <w:t>S</w:t>
      </w:r>
      <w:r w:rsidRPr="00684E79">
        <w:t xml:space="preserve">tream will save the superannuation industry </w:t>
      </w:r>
      <w:r w:rsidR="002D2B9E" w:rsidRPr="00684E79">
        <w:t>a</w:t>
      </w:r>
      <w:r w:rsidR="002D2B9E">
        <w:t>bout</w:t>
      </w:r>
      <w:r w:rsidR="002D2B9E" w:rsidRPr="00684E79">
        <w:t xml:space="preserve"> </w:t>
      </w:r>
      <w:r w:rsidRPr="00684E79">
        <w:t>$1</w:t>
      </w:r>
      <w:r w:rsidR="00D54CC0">
        <w:t> </w:t>
      </w:r>
      <w:r w:rsidRPr="00684E79">
        <w:t>billion</w:t>
      </w:r>
      <w:r w:rsidR="00D54CC0">
        <w:t> </w:t>
      </w:r>
      <w:r w:rsidRPr="00684E79">
        <w:t>annually (Australian Government 2010</w:t>
      </w:r>
      <w:r>
        <w:t>b</w:t>
      </w:r>
      <w:r w:rsidRPr="00684E79">
        <w:t>).</w:t>
      </w:r>
    </w:p>
    <w:p w:rsidR="00B36E2D" w:rsidRDefault="00B36E2D" w:rsidP="00B36E2D">
      <w:pPr>
        <w:pStyle w:val="Heading4"/>
      </w:pPr>
      <w:r>
        <w:lastRenderedPageBreak/>
        <w:t>Governance</w:t>
      </w:r>
    </w:p>
    <w:p w:rsidR="00B36E2D" w:rsidRDefault="00B36E2D" w:rsidP="00B36E2D">
      <w:pPr>
        <w:pStyle w:val="BodyText"/>
      </w:pPr>
      <w:r>
        <w:t xml:space="preserve">A range of governance </w:t>
      </w:r>
      <w:r w:rsidR="006E46CC">
        <w:t xml:space="preserve">reforms </w:t>
      </w:r>
      <w:r>
        <w:t xml:space="preserve">are also being introduced as a result of </w:t>
      </w:r>
      <w:r w:rsidR="00133827">
        <w:t xml:space="preserve">the </w:t>
      </w:r>
      <w:r>
        <w:t>Cooper</w:t>
      </w:r>
      <w:r w:rsidR="00133827">
        <w:t xml:space="preserve"> Review</w:t>
      </w:r>
      <w:r>
        <w:t>’s recommendations. These include</w:t>
      </w:r>
      <w:r w:rsidR="00147777">
        <w:t xml:space="preserve"> requirement</w:t>
      </w:r>
      <w:r w:rsidR="00284140">
        <w:t>s</w:t>
      </w:r>
      <w:r w:rsidR="00147777">
        <w:t xml:space="preserve"> that trustee</w:t>
      </w:r>
      <w:r w:rsidR="007E5B0B">
        <w:t>s</w:t>
      </w:r>
      <w:r w:rsidR="00147777">
        <w:t xml:space="preserve"> of a MySuper product</w:t>
      </w:r>
      <w:r>
        <w:t>:</w:t>
      </w:r>
    </w:p>
    <w:p w:rsidR="00B36E2D" w:rsidRDefault="00B36E2D" w:rsidP="00B36E2D">
      <w:pPr>
        <w:pStyle w:val="ListBullet"/>
      </w:pPr>
      <w:r>
        <w:t xml:space="preserve">promote the financial interests of the fund </w:t>
      </w:r>
      <w:r w:rsidRPr="003E187E">
        <w:t>members</w:t>
      </w:r>
      <w:r w:rsidR="00ED5A5A" w:rsidRPr="003E187E">
        <w:t xml:space="preserve"> </w:t>
      </w:r>
    </w:p>
    <w:p w:rsidR="00B36E2D" w:rsidRDefault="00B36E2D" w:rsidP="00B36E2D">
      <w:pPr>
        <w:pStyle w:val="ListBullet"/>
      </w:pPr>
      <w:r>
        <w:t>determine annually whether or not MySuper members are disadvantaged by the scale of the fund</w:t>
      </w:r>
    </w:p>
    <w:p w:rsidR="007E5B0B" w:rsidRDefault="007E5B0B" w:rsidP="00B36E2D">
      <w:pPr>
        <w:pStyle w:val="ListBullet"/>
      </w:pPr>
      <w:r>
        <w:t xml:space="preserve">discharge their personal duties to act honestly, exercise the care, skill and diligence of a ‘prudent superannuation director’, and </w:t>
      </w:r>
      <w:r w:rsidR="00A41745">
        <w:t>exercise</w:t>
      </w:r>
      <w:r>
        <w:t xml:space="preserve"> their duties and powers in the best interests of beneficiaries.</w:t>
      </w:r>
    </w:p>
    <w:p w:rsidR="00CC3DFF" w:rsidRDefault="00ED5A5A" w:rsidP="00B36E2D">
      <w:pPr>
        <w:pStyle w:val="BodyText"/>
      </w:pPr>
      <w:r>
        <w:t xml:space="preserve">Further, a dashboard </w:t>
      </w:r>
      <w:r w:rsidR="00AB7CD1">
        <w:t xml:space="preserve">(for both MySuper, and other superannuation products) </w:t>
      </w:r>
      <w:r>
        <w:t xml:space="preserve">will be developed to </w:t>
      </w:r>
      <w:r w:rsidRPr="00ED5A5A">
        <w:t xml:space="preserve">disclose </w:t>
      </w:r>
      <w:r w:rsidR="001C77D4">
        <w:t>the investment return target and the number of times the target has been achieved, average fees, and liquidity information</w:t>
      </w:r>
      <w:r w:rsidR="002C4170">
        <w:t>.</w:t>
      </w:r>
    </w:p>
    <w:p w:rsidR="00B36E2D" w:rsidRDefault="00B36E2D" w:rsidP="00B36E2D">
      <w:pPr>
        <w:pStyle w:val="BodyText"/>
      </w:pPr>
      <w:r>
        <w:t>APRA (</w:t>
      </w:r>
      <w:r w:rsidR="00C930D7">
        <w:t>2012g</w:t>
      </w:r>
      <w:r>
        <w:t>) is</w:t>
      </w:r>
      <w:r w:rsidR="00A3799F">
        <w:t xml:space="preserve"> being given the power to draft binding prudential standards for the superannuation industry for the first time. The standards will</w:t>
      </w:r>
      <w:r>
        <w:t xml:space="preserve"> cover governance, fit and proper persons, risk management, business continuity management, outsourcing, auditing, conflicts of interest, investment governance, insurance, solvency and capital requirements. These standards will commence on 1</w:t>
      </w:r>
      <w:r w:rsidR="00301DDD">
        <w:t> </w:t>
      </w:r>
      <w:r>
        <w:t>July 2013 to coincide with the introduction of MySuper.</w:t>
      </w:r>
      <w:r w:rsidR="007E5B0B">
        <w:t xml:space="preserve"> </w:t>
      </w:r>
    </w:p>
    <w:p w:rsidR="00A00231" w:rsidRPr="00EC3D8B" w:rsidRDefault="003271C4">
      <w:pPr>
        <w:pStyle w:val="BodyText"/>
      </w:pPr>
      <w:r>
        <w:t>Additionally, improvements to governance frameworks are being developed by bodies representing various types of superannuation funds (chapter</w:t>
      </w:r>
      <w:r w:rsidR="0075017A">
        <w:t> </w:t>
      </w:r>
      <w:r>
        <w:t>5).</w:t>
      </w:r>
    </w:p>
    <w:sectPr w:rsidR="00A00231" w:rsidRPr="00EC3D8B" w:rsidSect="00902D79">
      <w:headerReference w:type="even" r:id="rId14"/>
      <w:headerReference w:type="default" r:id="rId15"/>
      <w:footerReference w:type="even" r:id="rId16"/>
      <w:footerReference w:type="default" r:id="rId17"/>
      <w:headerReference w:type="first" r:id="rId18"/>
      <w:footerReference w:type="first" r:id="rId19"/>
      <w:pgSz w:w="11907" w:h="16840" w:code="9"/>
      <w:pgMar w:top="1985" w:right="1304" w:bottom="1418" w:left="1814" w:header="1701" w:footer="567" w:gutter="0"/>
      <w:pgNumType w:start="3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01A" w:rsidRDefault="0080201A">
      <w:r>
        <w:separator/>
      </w:r>
    </w:p>
  </w:endnote>
  <w:endnote w:type="continuationSeparator" w:id="0">
    <w:p w:rsidR="0080201A" w:rsidRDefault="00802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0201A">
      <w:trPr>
        <w:trHeight w:hRule="exact" w:val="740"/>
      </w:trPr>
      <w:tc>
        <w:tcPr>
          <w:tcW w:w="510" w:type="dxa"/>
          <w:tcBorders>
            <w:top w:val="single" w:sz="6" w:space="0" w:color="auto"/>
          </w:tcBorders>
        </w:tcPr>
        <w:p w:rsidR="0080201A" w:rsidRDefault="0080201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D47A33">
            <w:rPr>
              <w:rStyle w:val="PageNumber"/>
              <w:noProof/>
            </w:rPr>
            <w:t>34</w:t>
          </w:r>
          <w:r>
            <w:rPr>
              <w:rStyle w:val="PageNumber"/>
            </w:rPr>
            <w:fldChar w:fldCharType="end"/>
          </w:r>
        </w:p>
      </w:tc>
      <w:tc>
        <w:tcPr>
          <w:tcW w:w="1644" w:type="dxa"/>
          <w:tcBorders>
            <w:top w:val="single" w:sz="6" w:space="0" w:color="auto"/>
          </w:tcBorders>
        </w:tcPr>
        <w:p w:rsidR="0080201A" w:rsidRDefault="00D47A33" w:rsidP="0019293B">
          <w:pPr>
            <w:pStyle w:val="Footer"/>
          </w:pPr>
          <w:r>
            <w:fldChar w:fldCharType="begin"/>
          </w:r>
          <w:r>
            <w:instrText xml:space="preserve"> SUBJECT  \* MERGEFORMAT </w:instrText>
          </w:r>
          <w:r>
            <w:fldChar w:fldCharType="separate"/>
          </w:r>
          <w:r w:rsidR="00AA5B30">
            <w:t>Default superannuation in modern awards</w:t>
          </w:r>
          <w:r>
            <w:fldChar w:fldCharType="end"/>
          </w:r>
        </w:p>
      </w:tc>
      <w:tc>
        <w:tcPr>
          <w:tcW w:w="6634" w:type="dxa"/>
        </w:tcPr>
        <w:p w:rsidR="0080201A" w:rsidRDefault="0080201A" w:rsidP="0019293B">
          <w:pPr>
            <w:pStyle w:val="Footer"/>
          </w:pPr>
        </w:p>
      </w:tc>
    </w:tr>
  </w:tbl>
  <w:p w:rsidR="0080201A" w:rsidRDefault="0080201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0201A">
      <w:trPr>
        <w:trHeight w:hRule="exact" w:val="740"/>
      </w:trPr>
      <w:tc>
        <w:tcPr>
          <w:tcW w:w="6634" w:type="dxa"/>
        </w:tcPr>
        <w:p w:rsidR="0080201A" w:rsidRDefault="0080201A">
          <w:pPr>
            <w:pStyle w:val="Footer"/>
            <w:ind w:right="360" w:firstLine="360"/>
          </w:pPr>
        </w:p>
      </w:tc>
      <w:tc>
        <w:tcPr>
          <w:tcW w:w="1644" w:type="dxa"/>
          <w:tcBorders>
            <w:top w:val="single" w:sz="6" w:space="0" w:color="auto"/>
          </w:tcBorders>
        </w:tcPr>
        <w:p w:rsidR="0080201A" w:rsidRDefault="00D47A33">
          <w:pPr>
            <w:pStyle w:val="Footer"/>
          </w:pPr>
          <w:r>
            <w:fldChar w:fldCharType="begin"/>
          </w:r>
          <w:r>
            <w:instrText xml:space="preserve"> TITLE  \* MERGEFORMAT </w:instrText>
          </w:r>
          <w:r>
            <w:fldChar w:fldCharType="separate"/>
          </w:r>
          <w:r w:rsidR="00AA5B30">
            <w:t>Default funds in modern awards</w:t>
          </w:r>
          <w:r>
            <w:fldChar w:fldCharType="end"/>
          </w:r>
        </w:p>
      </w:tc>
      <w:tc>
        <w:tcPr>
          <w:tcW w:w="510" w:type="dxa"/>
          <w:tcBorders>
            <w:top w:val="single" w:sz="6" w:space="0" w:color="auto"/>
          </w:tcBorders>
        </w:tcPr>
        <w:p w:rsidR="0080201A" w:rsidRDefault="0080201A">
          <w:pPr>
            <w:pStyle w:val="Footer"/>
            <w:jc w:val="right"/>
          </w:pPr>
          <w:r>
            <w:rPr>
              <w:rStyle w:val="PageNumber"/>
            </w:rPr>
            <w:fldChar w:fldCharType="begin"/>
          </w:r>
          <w:r>
            <w:rPr>
              <w:rStyle w:val="PageNumber"/>
            </w:rPr>
            <w:instrText xml:space="preserve">PAGE  </w:instrText>
          </w:r>
          <w:r>
            <w:rPr>
              <w:rStyle w:val="PageNumber"/>
            </w:rPr>
            <w:fldChar w:fldCharType="separate"/>
          </w:r>
          <w:r w:rsidR="00D47A33">
            <w:rPr>
              <w:rStyle w:val="PageNumber"/>
              <w:noProof/>
            </w:rPr>
            <w:t>35</w:t>
          </w:r>
          <w:r>
            <w:rPr>
              <w:rStyle w:val="PageNumber"/>
            </w:rPr>
            <w:fldChar w:fldCharType="end"/>
          </w:r>
        </w:p>
      </w:tc>
    </w:tr>
  </w:tbl>
  <w:p w:rsidR="0080201A" w:rsidRDefault="0080201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D79" w:rsidRDefault="00902D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01A" w:rsidRDefault="0080201A">
      <w:r>
        <w:separator/>
      </w:r>
    </w:p>
  </w:footnote>
  <w:footnote w:type="continuationSeparator" w:id="0">
    <w:p w:rsidR="0080201A" w:rsidRDefault="0080201A">
      <w:r>
        <w:continuationSeparator/>
      </w:r>
    </w:p>
  </w:footnote>
  <w:footnote w:id="1">
    <w:p w:rsidR="0080201A" w:rsidRDefault="0080201A" w:rsidP="00252039">
      <w:pPr>
        <w:pStyle w:val="FootnoteText"/>
        <w:spacing w:before="0"/>
        <w:ind w:left="227" w:right="227" w:hanging="227"/>
      </w:pPr>
      <w:r>
        <w:rPr>
          <w:rStyle w:val="FootnoteReference"/>
        </w:rPr>
        <w:footnoteRef/>
      </w:r>
      <w:r>
        <w:t xml:space="preserve"> Employers are required to pay superannuation for most of their employees. This includes directors of a business, and family members employed by a family company or trust. However, </w:t>
      </w:r>
      <w:proofErr w:type="spellStart"/>
      <w:r>
        <w:t>sole</w:t>
      </w:r>
      <w:proofErr w:type="spellEnd"/>
      <w:r>
        <w:t xml:space="preserve"> traders and partners in a partnership do not have to make contributions to a superannuation fund for themselves (</w:t>
      </w:r>
      <w:proofErr w:type="spellStart"/>
      <w:r>
        <w:t>ATO</w:t>
      </w:r>
      <w:proofErr w:type="spellEnd"/>
      <w:r>
        <w:t xml:space="preserve"> </w:t>
      </w:r>
      <w:proofErr w:type="spellStart"/>
      <w:r>
        <w:t>2011a</w:t>
      </w:r>
      <w:proofErr w:type="spellEnd"/>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0201A">
      <w:tc>
        <w:tcPr>
          <w:tcW w:w="2155" w:type="dxa"/>
          <w:tcBorders>
            <w:top w:val="single" w:sz="24" w:space="0" w:color="auto"/>
          </w:tcBorders>
        </w:tcPr>
        <w:p w:rsidR="0080201A" w:rsidRDefault="0080201A" w:rsidP="0019293B">
          <w:pPr>
            <w:pStyle w:val="HeaderEven"/>
          </w:pPr>
        </w:p>
      </w:tc>
      <w:tc>
        <w:tcPr>
          <w:tcW w:w="6634" w:type="dxa"/>
          <w:tcBorders>
            <w:top w:val="single" w:sz="6" w:space="0" w:color="auto"/>
          </w:tcBorders>
        </w:tcPr>
        <w:p w:rsidR="0080201A" w:rsidRDefault="0080201A" w:rsidP="0019293B">
          <w:pPr>
            <w:pStyle w:val="HeaderEven"/>
          </w:pPr>
        </w:p>
      </w:tc>
    </w:tr>
  </w:tbl>
  <w:p w:rsidR="0080201A" w:rsidRDefault="0080201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0201A">
      <w:tc>
        <w:tcPr>
          <w:tcW w:w="6634" w:type="dxa"/>
          <w:tcBorders>
            <w:top w:val="single" w:sz="6" w:space="0" w:color="auto"/>
          </w:tcBorders>
        </w:tcPr>
        <w:p w:rsidR="0080201A" w:rsidRDefault="0080201A" w:rsidP="00E669E2">
          <w:pPr>
            <w:pStyle w:val="HeaderOdd"/>
          </w:pPr>
        </w:p>
      </w:tc>
      <w:tc>
        <w:tcPr>
          <w:tcW w:w="2155" w:type="dxa"/>
          <w:tcBorders>
            <w:top w:val="single" w:sz="24" w:space="0" w:color="auto"/>
          </w:tcBorders>
        </w:tcPr>
        <w:p w:rsidR="0080201A" w:rsidRDefault="0080201A" w:rsidP="00E669E2">
          <w:pPr>
            <w:pStyle w:val="HeaderOdd"/>
          </w:pPr>
        </w:p>
      </w:tc>
    </w:tr>
  </w:tbl>
  <w:p w:rsidR="0080201A" w:rsidRDefault="0080201A"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D79" w:rsidRDefault="00902D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0C1B8C"/>
    <w:multiLevelType w:val="hybridMultilevel"/>
    <w:tmpl w:val="EEE430F6"/>
    <w:lvl w:ilvl="0" w:tplc="02A019E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143B5700"/>
    <w:multiLevelType w:val="hybridMultilevel"/>
    <w:tmpl w:val="F2F2BEC2"/>
    <w:lvl w:ilvl="0" w:tplc="5780301C">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0">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nsid w:val="5A096576"/>
    <w:multiLevelType w:val="singleLevel"/>
    <w:tmpl w:val="ED98921A"/>
    <w:lvl w:ilvl="0">
      <w:start w:val="1"/>
      <w:numFmt w:val="decimal"/>
      <w:lvlText w:val="%1."/>
      <w:legacy w:legacy="1" w:legacySpace="0" w:legacyIndent="340"/>
      <w:lvlJc w:val="left"/>
      <w:pPr>
        <w:ind w:left="340" w:hanging="340"/>
      </w:pPr>
    </w:lvl>
  </w:abstractNum>
  <w:abstractNum w:abstractNumId="34">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60055F7F"/>
    <w:multiLevelType w:val="singleLevel"/>
    <w:tmpl w:val="ED98921A"/>
    <w:lvl w:ilvl="0">
      <w:start w:val="1"/>
      <w:numFmt w:val="decimal"/>
      <w:lvlText w:val="%1."/>
      <w:legacy w:legacy="1" w:legacySpace="0" w:legacyIndent="340"/>
      <w:lvlJc w:val="left"/>
      <w:pPr>
        <w:ind w:left="340" w:hanging="340"/>
      </w:pPr>
    </w:lvl>
  </w:abstractNum>
  <w:abstractNum w:abstractNumId="36">
    <w:nsid w:val="608E741E"/>
    <w:multiLevelType w:val="singleLevel"/>
    <w:tmpl w:val="ED98921A"/>
    <w:lvl w:ilvl="0">
      <w:start w:val="1"/>
      <w:numFmt w:val="decimal"/>
      <w:lvlText w:val="%1."/>
      <w:legacy w:legacy="1" w:legacySpace="0" w:legacyIndent="340"/>
      <w:lvlJc w:val="left"/>
      <w:pPr>
        <w:ind w:left="340" w:hanging="340"/>
      </w:p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6CF011A2"/>
    <w:multiLevelType w:val="hybridMultilevel"/>
    <w:tmpl w:val="52EEDF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10"/>
  </w:num>
  <w:num w:numId="3">
    <w:abstractNumId w:val="45"/>
  </w:num>
  <w:num w:numId="4">
    <w:abstractNumId w:val="7"/>
  </w:num>
  <w:num w:numId="5">
    <w:abstractNumId w:val="5"/>
  </w:num>
  <w:num w:numId="6">
    <w:abstractNumId w:val="27"/>
  </w:num>
  <w:num w:numId="7">
    <w:abstractNumId w:val="3"/>
  </w:num>
  <w:num w:numId="8">
    <w:abstractNumId w:val="9"/>
  </w:num>
  <w:num w:numId="9">
    <w:abstractNumId w:val="2"/>
  </w:num>
  <w:num w:numId="10">
    <w:abstractNumId w:val="39"/>
  </w:num>
  <w:num w:numId="11">
    <w:abstractNumId w:val="4"/>
  </w:num>
  <w:num w:numId="12">
    <w:abstractNumId w:val="1"/>
  </w:num>
  <w:num w:numId="13">
    <w:abstractNumId w:val="0"/>
  </w:num>
  <w:num w:numId="14">
    <w:abstractNumId w:val="30"/>
  </w:num>
  <w:num w:numId="15">
    <w:abstractNumId w:val="46"/>
  </w:num>
  <w:num w:numId="16">
    <w:abstractNumId w:val="19"/>
  </w:num>
  <w:num w:numId="17">
    <w:abstractNumId w:val="17"/>
  </w:num>
  <w:num w:numId="18">
    <w:abstractNumId w:val="28"/>
  </w:num>
  <w:num w:numId="19">
    <w:abstractNumId w:val="12"/>
  </w:num>
  <w:num w:numId="20">
    <w:abstractNumId w:val="36"/>
  </w:num>
  <w:num w:numId="21">
    <w:abstractNumId w:val="38"/>
  </w:num>
  <w:num w:numId="22">
    <w:abstractNumId w:val="26"/>
  </w:num>
  <w:num w:numId="23">
    <w:abstractNumId w:val="29"/>
  </w:num>
  <w:num w:numId="24">
    <w:abstractNumId w:val="31"/>
  </w:num>
  <w:num w:numId="25">
    <w:abstractNumId w:val="44"/>
  </w:num>
  <w:num w:numId="26">
    <w:abstractNumId w:val="35"/>
  </w:num>
  <w:num w:numId="27">
    <w:abstractNumId w:val="40"/>
  </w:num>
  <w:num w:numId="28">
    <w:abstractNumId w:val="42"/>
  </w:num>
  <w:num w:numId="29">
    <w:abstractNumId w:val="33"/>
  </w:num>
  <w:num w:numId="30">
    <w:abstractNumId w:val="23"/>
  </w:num>
  <w:num w:numId="31">
    <w:abstractNumId w:val="47"/>
  </w:num>
  <w:num w:numId="32">
    <w:abstractNumId w:val="16"/>
  </w:num>
  <w:num w:numId="33">
    <w:abstractNumId w:val="8"/>
  </w:num>
  <w:num w:numId="34">
    <w:abstractNumId w:val="20"/>
  </w:num>
  <w:num w:numId="35">
    <w:abstractNumId w:val="43"/>
  </w:num>
  <w:num w:numId="36">
    <w:abstractNumId w:val="34"/>
  </w:num>
  <w:num w:numId="37">
    <w:abstractNumId w:val="13"/>
  </w:num>
  <w:num w:numId="38">
    <w:abstractNumId w:val="37"/>
  </w:num>
  <w:num w:numId="39">
    <w:abstractNumId w:val="15"/>
  </w:num>
  <w:num w:numId="40">
    <w:abstractNumId w:val="19"/>
  </w:num>
  <w:num w:numId="41">
    <w:abstractNumId w:val="9"/>
  </w:num>
  <w:num w:numId="42">
    <w:abstractNumId w:val="25"/>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8"/>
  </w:num>
  <w:num w:numId="46">
    <w:abstractNumId w:val="14"/>
  </w:num>
  <w:num w:numId="47">
    <w:abstractNumId w:val="41"/>
  </w:num>
  <w:num w:numId="48">
    <w:abstractNumId w:val="21"/>
  </w:num>
  <w:num w:numId="49">
    <w:abstractNumId w:val="24"/>
  </w:num>
  <w:num w:numId="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Default funds in modern awards"/>
    <w:docVar w:name="ShortReportTitle" w:val="Default superannuation in modern awards"/>
  </w:docVars>
  <w:rsids>
    <w:rsidRoot w:val="00A00231"/>
    <w:rsid w:val="00003529"/>
    <w:rsid w:val="00004234"/>
    <w:rsid w:val="0000439C"/>
    <w:rsid w:val="000066A6"/>
    <w:rsid w:val="000204D4"/>
    <w:rsid w:val="000245AA"/>
    <w:rsid w:val="00026453"/>
    <w:rsid w:val="00026518"/>
    <w:rsid w:val="000319BF"/>
    <w:rsid w:val="000323C0"/>
    <w:rsid w:val="0003664B"/>
    <w:rsid w:val="00036715"/>
    <w:rsid w:val="0004111F"/>
    <w:rsid w:val="00042B51"/>
    <w:rsid w:val="000473F5"/>
    <w:rsid w:val="000476E4"/>
    <w:rsid w:val="00055055"/>
    <w:rsid w:val="000565B3"/>
    <w:rsid w:val="00060B1B"/>
    <w:rsid w:val="00065612"/>
    <w:rsid w:val="00070B85"/>
    <w:rsid w:val="0007150B"/>
    <w:rsid w:val="00073250"/>
    <w:rsid w:val="00073ED7"/>
    <w:rsid w:val="00084561"/>
    <w:rsid w:val="00084F4A"/>
    <w:rsid w:val="00087331"/>
    <w:rsid w:val="00087B1A"/>
    <w:rsid w:val="0009000C"/>
    <w:rsid w:val="000938F5"/>
    <w:rsid w:val="000A2830"/>
    <w:rsid w:val="000A57E1"/>
    <w:rsid w:val="000B307D"/>
    <w:rsid w:val="000B601B"/>
    <w:rsid w:val="000B7815"/>
    <w:rsid w:val="000C207E"/>
    <w:rsid w:val="000C2C81"/>
    <w:rsid w:val="000D316F"/>
    <w:rsid w:val="000E0878"/>
    <w:rsid w:val="000E19CC"/>
    <w:rsid w:val="000E3E79"/>
    <w:rsid w:val="000F36F7"/>
    <w:rsid w:val="000F39E1"/>
    <w:rsid w:val="000F651E"/>
    <w:rsid w:val="00101026"/>
    <w:rsid w:val="00104D44"/>
    <w:rsid w:val="001071E1"/>
    <w:rsid w:val="00107D80"/>
    <w:rsid w:val="00110116"/>
    <w:rsid w:val="001110F4"/>
    <w:rsid w:val="001124CA"/>
    <w:rsid w:val="00113C4B"/>
    <w:rsid w:val="001151B8"/>
    <w:rsid w:val="00116367"/>
    <w:rsid w:val="00116C20"/>
    <w:rsid w:val="0012064D"/>
    <w:rsid w:val="0012174E"/>
    <w:rsid w:val="00125E5A"/>
    <w:rsid w:val="00126EB8"/>
    <w:rsid w:val="001274D4"/>
    <w:rsid w:val="00130EB1"/>
    <w:rsid w:val="00133827"/>
    <w:rsid w:val="00134646"/>
    <w:rsid w:val="001359DE"/>
    <w:rsid w:val="001363AA"/>
    <w:rsid w:val="001377E2"/>
    <w:rsid w:val="0014018E"/>
    <w:rsid w:val="00147777"/>
    <w:rsid w:val="00156119"/>
    <w:rsid w:val="00156A47"/>
    <w:rsid w:val="00160136"/>
    <w:rsid w:val="001609FB"/>
    <w:rsid w:val="0016346E"/>
    <w:rsid w:val="00165FAE"/>
    <w:rsid w:val="00166B5F"/>
    <w:rsid w:val="0016730D"/>
    <w:rsid w:val="00175945"/>
    <w:rsid w:val="00183E82"/>
    <w:rsid w:val="00190352"/>
    <w:rsid w:val="00191AE0"/>
    <w:rsid w:val="001926E0"/>
    <w:rsid w:val="0019293B"/>
    <w:rsid w:val="0019472C"/>
    <w:rsid w:val="00195DA9"/>
    <w:rsid w:val="001A4B71"/>
    <w:rsid w:val="001A6002"/>
    <w:rsid w:val="001B0963"/>
    <w:rsid w:val="001B0A2D"/>
    <w:rsid w:val="001B7232"/>
    <w:rsid w:val="001C0865"/>
    <w:rsid w:val="001C1DC9"/>
    <w:rsid w:val="001C3ABA"/>
    <w:rsid w:val="001C65DF"/>
    <w:rsid w:val="001C77D4"/>
    <w:rsid w:val="001D05AE"/>
    <w:rsid w:val="001D40DB"/>
    <w:rsid w:val="001D43EE"/>
    <w:rsid w:val="001D5325"/>
    <w:rsid w:val="001D59D4"/>
    <w:rsid w:val="001E2AC6"/>
    <w:rsid w:val="001E40B9"/>
    <w:rsid w:val="001E7BE8"/>
    <w:rsid w:val="001F0248"/>
    <w:rsid w:val="001F20A0"/>
    <w:rsid w:val="001F2C96"/>
    <w:rsid w:val="001F2DA3"/>
    <w:rsid w:val="001F3EB3"/>
    <w:rsid w:val="001F78AC"/>
    <w:rsid w:val="001F7A35"/>
    <w:rsid w:val="00202C2C"/>
    <w:rsid w:val="0021265B"/>
    <w:rsid w:val="002236EE"/>
    <w:rsid w:val="00226881"/>
    <w:rsid w:val="00233FAD"/>
    <w:rsid w:val="002354BB"/>
    <w:rsid w:val="00242279"/>
    <w:rsid w:val="00242BEC"/>
    <w:rsid w:val="00245C82"/>
    <w:rsid w:val="00246400"/>
    <w:rsid w:val="00250405"/>
    <w:rsid w:val="002515D8"/>
    <w:rsid w:val="00252039"/>
    <w:rsid w:val="0025270B"/>
    <w:rsid w:val="002568E7"/>
    <w:rsid w:val="00261E97"/>
    <w:rsid w:val="00263CA1"/>
    <w:rsid w:val="00270548"/>
    <w:rsid w:val="00273A0B"/>
    <w:rsid w:val="00281B0B"/>
    <w:rsid w:val="002839F8"/>
    <w:rsid w:val="00284140"/>
    <w:rsid w:val="0028500D"/>
    <w:rsid w:val="00290953"/>
    <w:rsid w:val="00291B40"/>
    <w:rsid w:val="00296B68"/>
    <w:rsid w:val="00296C34"/>
    <w:rsid w:val="002A6CB8"/>
    <w:rsid w:val="002B4008"/>
    <w:rsid w:val="002B573C"/>
    <w:rsid w:val="002C174A"/>
    <w:rsid w:val="002C4170"/>
    <w:rsid w:val="002D0290"/>
    <w:rsid w:val="002D0E8E"/>
    <w:rsid w:val="002D2B9E"/>
    <w:rsid w:val="002D4CD6"/>
    <w:rsid w:val="002D5B61"/>
    <w:rsid w:val="002E129B"/>
    <w:rsid w:val="002E3093"/>
    <w:rsid w:val="002E519F"/>
    <w:rsid w:val="002F2826"/>
    <w:rsid w:val="002F7B70"/>
    <w:rsid w:val="00301189"/>
    <w:rsid w:val="00301DDD"/>
    <w:rsid w:val="00311059"/>
    <w:rsid w:val="00315EF1"/>
    <w:rsid w:val="00316A21"/>
    <w:rsid w:val="00320944"/>
    <w:rsid w:val="00320AA1"/>
    <w:rsid w:val="003235D8"/>
    <w:rsid w:val="00323E09"/>
    <w:rsid w:val="003271C4"/>
    <w:rsid w:val="0033097E"/>
    <w:rsid w:val="00330F3D"/>
    <w:rsid w:val="00333932"/>
    <w:rsid w:val="003402E9"/>
    <w:rsid w:val="003457D4"/>
    <w:rsid w:val="003463B0"/>
    <w:rsid w:val="003474BE"/>
    <w:rsid w:val="003518AA"/>
    <w:rsid w:val="00351F8F"/>
    <w:rsid w:val="00352165"/>
    <w:rsid w:val="00352551"/>
    <w:rsid w:val="00353182"/>
    <w:rsid w:val="003565D9"/>
    <w:rsid w:val="003602E1"/>
    <w:rsid w:val="00360C49"/>
    <w:rsid w:val="0036127F"/>
    <w:rsid w:val="003637C7"/>
    <w:rsid w:val="00363E6C"/>
    <w:rsid w:val="00365A56"/>
    <w:rsid w:val="00365AC2"/>
    <w:rsid w:val="00365FFB"/>
    <w:rsid w:val="00367CC6"/>
    <w:rsid w:val="0037026F"/>
    <w:rsid w:val="00371240"/>
    <w:rsid w:val="00373A13"/>
    <w:rsid w:val="00374731"/>
    <w:rsid w:val="00375F6D"/>
    <w:rsid w:val="00377F58"/>
    <w:rsid w:val="003806BC"/>
    <w:rsid w:val="003813EE"/>
    <w:rsid w:val="0038150E"/>
    <w:rsid w:val="003839A2"/>
    <w:rsid w:val="0038604F"/>
    <w:rsid w:val="0039180A"/>
    <w:rsid w:val="003919F9"/>
    <w:rsid w:val="00391B0F"/>
    <w:rsid w:val="003A2AA9"/>
    <w:rsid w:val="003A3B14"/>
    <w:rsid w:val="003A432E"/>
    <w:rsid w:val="003A452A"/>
    <w:rsid w:val="003A5A2F"/>
    <w:rsid w:val="003A6200"/>
    <w:rsid w:val="003A7A3A"/>
    <w:rsid w:val="003B67AB"/>
    <w:rsid w:val="003B7800"/>
    <w:rsid w:val="003C38B5"/>
    <w:rsid w:val="003C5D99"/>
    <w:rsid w:val="003D093D"/>
    <w:rsid w:val="003D202A"/>
    <w:rsid w:val="003D2B15"/>
    <w:rsid w:val="003D34F8"/>
    <w:rsid w:val="003D47A7"/>
    <w:rsid w:val="003D5F77"/>
    <w:rsid w:val="003E187E"/>
    <w:rsid w:val="003E2F59"/>
    <w:rsid w:val="003E423C"/>
    <w:rsid w:val="003E4344"/>
    <w:rsid w:val="003E5165"/>
    <w:rsid w:val="003E51D9"/>
    <w:rsid w:val="003F0789"/>
    <w:rsid w:val="003F0A38"/>
    <w:rsid w:val="003F1A49"/>
    <w:rsid w:val="003F33AD"/>
    <w:rsid w:val="003F712F"/>
    <w:rsid w:val="003F7C50"/>
    <w:rsid w:val="00401882"/>
    <w:rsid w:val="0040547C"/>
    <w:rsid w:val="004069A4"/>
    <w:rsid w:val="004100C8"/>
    <w:rsid w:val="00410EDF"/>
    <w:rsid w:val="00411DBD"/>
    <w:rsid w:val="00412ACE"/>
    <w:rsid w:val="00412EA6"/>
    <w:rsid w:val="00421167"/>
    <w:rsid w:val="00421918"/>
    <w:rsid w:val="0042191B"/>
    <w:rsid w:val="00421970"/>
    <w:rsid w:val="00425CB7"/>
    <w:rsid w:val="00431249"/>
    <w:rsid w:val="00434C19"/>
    <w:rsid w:val="00436E15"/>
    <w:rsid w:val="00450678"/>
    <w:rsid w:val="00450810"/>
    <w:rsid w:val="0046188C"/>
    <w:rsid w:val="00463420"/>
    <w:rsid w:val="00464730"/>
    <w:rsid w:val="004658B4"/>
    <w:rsid w:val="00465BB3"/>
    <w:rsid w:val="00467591"/>
    <w:rsid w:val="0047260C"/>
    <w:rsid w:val="00474BC1"/>
    <w:rsid w:val="00477144"/>
    <w:rsid w:val="00482473"/>
    <w:rsid w:val="00482E36"/>
    <w:rsid w:val="00483206"/>
    <w:rsid w:val="0048451B"/>
    <w:rsid w:val="00486253"/>
    <w:rsid w:val="004871B3"/>
    <w:rsid w:val="0049002D"/>
    <w:rsid w:val="00491F06"/>
    <w:rsid w:val="0049459F"/>
    <w:rsid w:val="00496A9C"/>
    <w:rsid w:val="00497157"/>
    <w:rsid w:val="004A1891"/>
    <w:rsid w:val="004A189E"/>
    <w:rsid w:val="004A38DD"/>
    <w:rsid w:val="004A3E3D"/>
    <w:rsid w:val="004B43AE"/>
    <w:rsid w:val="004B73A6"/>
    <w:rsid w:val="004B788D"/>
    <w:rsid w:val="004C0D56"/>
    <w:rsid w:val="004C14F4"/>
    <w:rsid w:val="004C229A"/>
    <w:rsid w:val="004C30ED"/>
    <w:rsid w:val="004D5675"/>
    <w:rsid w:val="004D56D0"/>
    <w:rsid w:val="004D6AC0"/>
    <w:rsid w:val="004D7B3C"/>
    <w:rsid w:val="004E2370"/>
    <w:rsid w:val="004E3FCA"/>
    <w:rsid w:val="004E3FF9"/>
    <w:rsid w:val="004E461A"/>
    <w:rsid w:val="004F0DFA"/>
    <w:rsid w:val="004F21E8"/>
    <w:rsid w:val="004F7741"/>
    <w:rsid w:val="00502521"/>
    <w:rsid w:val="00510321"/>
    <w:rsid w:val="005150F2"/>
    <w:rsid w:val="00520693"/>
    <w:rsid w:val="00523639"/>
    <w:rsid w:val="005239A4"/>
    <w:rsid w:val="0052520A"/>
    <w:rsid w:val="005310E3"/>
    <w:rsid w:val="00535353"/>
    <w:rsid w:val="005373E2"/>
    <w:rsid w:val="005414EA"/>
    <w:rsid w:val="0054479D"/>
    <w:rsid w:val="005448FF"/>
    <w:rsid w:val="005449B4"/>
    <w:rsid w:val="00552A3F"/>
    <w:rsid w:val="00553E79"/>
    <w:rsid w:val="00554768"/>
    <w:rsid w:val="00554DD8"/>
    <w:rsid w:val="00555AC4"/>
    <w:rsid w:val="005564AC"/>
    <w:rsid w:val="0056357F"/>
    <w:rsid w:val="00565EB4"/>
    <w:rsid w:val="00566504"/>
    <w:rsid w:val="00572606"/>
    <w:rsid w:val="005728AC"/>
    <w:rsid w:val="00574219"/>
    <w:rsid w:val="00576674"/>
    <w:rsid w:val="005815B5"/>
    <w:rsid w:val="00582036"/>
    <w:rsid w:val="00583C39"/>
    <w:rsid w:val="005848C3"/>
    <w:rsid w:val="00586538"/>
    <w:rsid w:val="005909CF"/>
    <w:rsid w:val="00590A50"/>
    <w:rsid w:val="00591C5B"/>
    <w:rsid w:val="00591E71"/>
    <w:rsid w:val="005A0D41"/>
    <w:rsid w:val="005A1B6C"/>
    <w:rsid w:val="005A64D8"/>
    <w:rsid w:val="005B0ABE"/>
    <w:rsid w:val="005B445F"/>
    <w:rsid w:val="005C2FC2"/>
    <w:rsid w:val="005C3188"/>
    <w:rsid w:val="005C39EA"/>
    <w:rsid w:val="005C6708"/>
    <w:rsid w:val="005D0033"/>
    <w:rsid w:val="005D6295"/>
    <w:rsid w:val="005E0D6C"/>
    <w:rsid w:val="005E4FD8"/>
    <w:rsid w:val="00600ECA"/>
    <w:rsid w:val="0060679D"/>
    <w:rsid w:val="00607BF1"/>
    <w:rsid w:val="00611BCF"/>
    <w:rsid w:val="00612844"/>
    <w:rsid w:val="006138CC"/>
    <w:rsid w:val="006150E9"/>
    <w:rsid w:val="0061538B"/>
    <w:rsid w:val="0062426C"/>
    <w:rsid w:val="00627FD1"/>
    <w:rsid w:val="00630D4D"/>
    <w:rsid w:val="00631395"/>
    <w:rsid w:val="00632A74"/>
    <w:rsid w:val="0063382B"/>
    <w:rsid w:val="00636522"/>
    <w:rsid w:val="00636E11"/>
    <w:rsid w:val="00640D86"/>
    <w:rsid w:val="00641A17"/>
    <w:rsid w:val="00656501"/>
    <w:rsid w:val="006647BA"/>
    <w:rsid w:val="0067136E"/>
    <w:rsid w:val="0067732B"/>
    <w:rsid w:val="0068019D"/>
    <w:rsid w:val="006804DD"/>
    <w:rsid w:val="00682C96"/>
    <w:rsid w:val="00684E79"/>
    <w:rsid w:val="00685820"/>
    <w:rsid w:val="0068643A"/>
    <w:rsid w:val="00691331"/>
    <w:rsid w:val="006919F8"/>
    <w:rsid w:val="00695179"/>
    <w:rsid w:val="006A4655"/>
    <w:rsid w:val="006A4B01"/>
    <w:rsid w:val="006A4D8A"/>
    <w:rsid w:val="006A6189"/>
    <w:rsid w:val="006A631A"/>
    <w:rsid w:val="006B2B3C"/>
    <w:rsid w:val="006B5BE4"/>
    <w:rsid w:val="006C14E4"/>
    <w:rsid w:val="006C1D81"/>
    <w:rsid w:val="006C2A6D"/>
    <w:rsid w:val="006C5CD5"/>
    <w:rsid w:val="006C60DE"/>
    <w:rsid w:val="006C7038"/>
    <w:rsid w:val="006D0B48"/>
    <w:rsid w:val="006E0083"/>
    <w:rsid w:val="006E46CC"/>
    <w:rsid w:val="006E73EF"/>
    <w:rsid w:val="006E787B"/>
    <w:rsid w:val="006F3208"/>
    <w:rsid w:val="006F359F"/>
    <w:rsid w:val="006F4D47"/>
    <w:rsid w:val="006F531F"/>
    <w:rsid w:val="00702265"/>
    <w:rsid w:val="007041A5"/>
    <w:rsid w:val="00711992"/>
    <w:rsid w:val="00714D4D"/>
    <w:rsid w:val="00717DA0"/>
    <w:rsid w:val="00722A09"/>
    <w:rsid w:val="00727CD3"/>
    <w:rsid w:val="00730FE1"/>
    <w:rsid w:val="00741A43"/>
    <w:rsid w:val="00742177"/>
    <w:rsid w:val="00742D35"/>
    <w:rsid w:val="00746850"/>
    <w:rsid w:val="0075017A"/>
    <w:rsid w:val="00750E78"/>
    <w:rsid w:val="007604BB"/>
    <w:rsid w:val="00761A69"/>
    <w:rsid w:val="00762519"/>
    <w:rsid w:val="00765437"/>
    <w:rsid w:val="00765C10"/>
    <w:rsid w:val="007663F7"/>
    <w:rsid w:val="00766E32"/>
    <w:rsid w:val="0077027C"/>
    <w:rsid w:val="007716A4"/>
    <w:rsid w:val="007717E4"/>
    <w:rsid w:val="00773220"/>
    <w:rsid w:val="00780676"/>
    <w:rsid w:val="00780C9B"/>
    <w:rsid w:val="00780FF7"/>
    <w:rsid w:val="00783A76"/>
    <w:rsid w:val="00785232"/>
    <w:rsid w:val="00794A61"/>
    <w:rsid w:val="007968A6"/>
    <w:rsid w:val="007A21EB"/>
    <w:rsid w:val="007A72C8"/>
    <w:rsid w:val="007B1785"/>
    <w:rsid w:val="007B1A93"/>
    <w:rsid w:val="007B423D"/>
    <w:rsid w:val="007C0573"/>
    <w:rsid w:val="007C1105"/>
    <w:rsid w:val="007C1F63"/>
    <w:rsid w:val="007C36C9"/>
    <w:rsid w:val="007C5515"/>
    <w:rsid w:val="007D46B4"/>
    <w:rsid w:val="007D6401"/>
    <w:rsid w:val="007E01E4"/>
    <w:rsid w:val="007E121C"/>
    <w:rsid w:val="007E1EA6"/>
    <w:rsid w:val="007E5B0B"/>
    <w:rsid w:val="007E5D11"/>
    <w:rsid w:val="007E6471"/>
    <w:rsid w:val="007E6594"/>
    <w:rsid w:val="007E6AA3"/>
    <w:rsid w:val="007E6FB6"/>
    <w:rsid w:val="007F0DF3"/>
    <w:rsid w:val="007F1DC2"/>
    <w:rsid w:val="007F6F1A"/>
    <w:rsid w:val="007F7107"/>
    <w:rsid w:val="00800511"/>
    <w:rsid w:val="0080201A"/>
    <w:rsid w:val="0080297E"/>
    <w:rsid w:val="00802C2C"/>
    <w:rsid w:val="00804585"/>
    <w:rsid w:val="008050F6"/>
    <w:rsid w:val="0081030F"/>
    <w:rsid w:val="008155C9"/>
    <w:rsid w:val="008156C9"/>
    <w:rsid w:val="0082087D"/>
    <w:rsid w:val="00820B26"/>
    <w:rsid w:val="00820E25"/>
    <w:rsid w:val="00821A35"/>
    <w:rsid w:val="00822E97"/>
    <w:rsid w:val="008265B9"/>
    <w:rsid w:val="00830217"/>
    <w:rsid w:val="00842933"/>
    <w:rsid w:val="0084423E"/>
    <w:rsid w:val="008478EB"/>
    <w:rsid w:val="008543B5"/>
    <w:rsid w:val="0085471F"/>
    <w:rsid w:val="008574E6"/>
    <w:rsid w:val="0086082C"/>
    <w:rsid w:val="00864ADC"/>
    <w:rsid w:val="00865D89"/>
    <w:rsid w:val="00867971"/>
    <w:rsid w:val="00870C64"/>
    <w:rsid w:val="008715F7"/>
    <w:rsid w:val="00880153"/>
    <w:rsid w:val="008806BE"/>
    <w:rsid w:val="00880F97"/>
    <w:rsid w:val="0088133A"/>
    <w:rsid w:val="00881441"/>
    <w:rsid w:val="008814A9"/>
    <w:rsid w:val="00886F5D"/>
    <w:rsid w:val="00887AAE"/>
    <w:rsid w:val="0089285E"/>
    <w:rsid w:val="0089436C"/>
    <w:rsid w:val="0089642B"/>
    <w:rsid w:val="0089684E"/>
    <w:rsid w:val="00896C10"/>
    <w:rsid w:val="0089727A"/>
    <w:rsid w:val="008A0141"/>
    <w:rsid w:val="008A1200"/>
    <w:rsid w:val="008A2EA5"/>
    <w:rsid w:val="008A48B2"/>
    <w:rsid w:val="008A6477"/>
    <w:rsid w:val="008A793F"/>
    <w:rsid w:val="008B3460"/>
    <w:rsid w:val="008B5A4B"/>
    <w:rsid w:val="008C5F60"/>
    <w:rsid w:val="008C7481"/>
    <w:rsid w:val="008D0579"/>
    <w:rsid w:val="008D365C"/>
    <w:rsid w:val="008D40A1"/>
    <w:rsid w:val="008E0806"/>
    <w:rsid w:val="008F0293"/>
    <w:rsid w:val="008F1616"/>
    <w:rsid w:val="008F30D3"/>
    <w:rsid w:val="008F7694"/>
    <w:rsid w:val="0090089E"/>
    <w:rsid w:val="00901591"/>
    <w:rsid w:val="00901E01"/>
    <w:rsid w:val="00902D79"/>
    <w:rsid w:val="009030BF"/>
    <w:rsid w:val="009038D1"/>
    <w:rsid w:val="00906056"/>
    <w:rsid w:val="00906160"/>
    <w:rsid w:val="009064B2"/>
    <w:rsid w:val="0091032F"/>
    <w:rsid w:val="0091250F"/>
    <w:rsid w:val="00914368"/>
    <w:rsid w:val="00914DA9"/>
    <w:rsid w:val="00917513"/>
    <w:rsid w:val="00922DC6"/>
    <w:rsid w:val="00923AEC"/>
    <w:rsid w:val="0092498F"/>
    <w:rsid w:val="00924F1D"/>
    <w:rsid w:val="00925B8F"/>
    <w:rsid w:val="00926594"/>
    <w:rsid w:val="00931076"/>
    <w:rsid w:val="009317B3"/>
    <w:rsid w:val="009329E3"/>
    <w:rsid w:val="0093348C"/>
    <w:rsid w:val="009345D9"/>
    <w:rsid w:val="00934B15"/>
    <w:rsid w:val="00934D2D"/>
    <w:rsid w:val="00935251"/>
    <w:rsid w:val="00936BC4"/>
    <w:rsid w:val="00936C24"/>
    <w:rsid w:val="0094001F"/>
    <w:rsid w:val="00941EBA"/>
    <w:rsid w:val="00942B62"/>
    <w:rsid w:val="009469F8"/>
    <w:rsid w:val="009502E0"/>
    <w:rsid w:val="00956A0C"/>
    <w:rsid w:val="00956BD9"/>
    <w:rsid w:val="00960690"/>
    <w:rsid w:val="00962489"/>
    <w:rsid w:val="0097097D"/>
    <w:rsid w:val="00971DEF"/>
    <w:rsid w:val="009721AD"/>
    <w:rsid w:val="0097377E"/>
    <w:rsid w:val="0097685C"/>
    <w:rsid w:val="0097691C"/>
    <w:rsid w:val="00977356"/>
    <w:rsid w:val="00980385"/>
    <w:rsid w:val="0098106B"/>
    <w:rsid w:val="00981B83"/>
    <w:rsid w:val="00982452"/>
    <w:rsid w:val="00985B55"/>
    <w:rsid w:val="00990AE1"/>
    <w:rsid w:val="00990C2C"/>
    <w:rsid w:val="00992585"/>
    <w:rsid w:val="00993760"/>
    <w:rsid w:val="009A2E18"/>
    <w:rsid w:val="009A5186"/>
    <w:rsid w:val="009A54FB"/>
    <w:rsid w:val="009B4B7E"/>
    <w:rsid w:val="009C0915"/>
    <w:rsid w:val="009C4237"/>
    <w:rsid w:val="009C45F2"/>
    <w:rsid w:val="009C65ED"/>
    <w:rsid w:val="009D02BE"/>
    <w:rsid w:val="009D3AB1"/>
    <w:rsid w:val="009E2EB1"/>
    <w:rsid w:val="009F1B25"/>
    <w:rsid w:val="009F2C47"/>
    <w:rsid w:val="009F696D"/>
    <w:rsid w:val="009F6BC6"/>
    <w:rsid w:val="009F7D3B"/>
    <w:rsid w:val="00A000E3"/>
    <w:rsid w:val="00A00231"/>
    <w:rsid w:val="00A0105E"/>
    <w:rsid w:val="00A01771"/>
    <w:rsid w:val="00A0794E"/>
    <w:rsid w:val="00A156C5"/>
    <w:rsid w:val="00A17328"/>
    <w:rsid w:val="00A1733B"/>
    <w:rsid w:val="00A23A20"/>
    <w:rsid w:val="00A268B9"/>
    <w:rsid w:val="00A2703A"/>
    <w:rsid w:val="00A33DFF"/>
    <w:rsid w:val="00A35115"/>
    <w:rsid w:val="00A35FB8"/>
    <w:rsid w:val="00A3799F"/>
    <w:rsid w:val="00A4130F"/>
    <w:rsid w:val="00A41745"/>
    <w:rsid w:val="00A464CC"/>
    <w:rsid w:val="00A469C0"/>
    <w:rsid w:val="00A53588"/>
    <w:rsid w:val="00A54F12"/>
    <w:rsid w:val="00A554AB"/>
    <w:rsid w:val="00A56D8C"/>
    <w:rsid w:val="00A57F27"/>
    <w:rsid w:val="00A6132C"/>
    <w:rsid w:val="00A61787"/>
    <w:rsid w:val="00A62DD1"/>
    <w:rsid w:val="00A64F8B"/>
    <w:rsid w:val="00A6634F"/>
    <w:rsid w:val="00A67B10"/>
    <w:rsid w:val="00A67C41"/>
    <w:rsid w:val="00A70A21"/>
    <w:rsid w:val="00A72641"/>
    <w:rsid w:val="00A80EDB"/>
    <w:rsid w:val="00A852DD"/>
    <w:rsid w:val="00A85B34"/>
    <w:rsid w:val="00A92B53"/>
    <w:rsid w:val="00A934D0"/>
    <w:rsid w:val="00A946DA"/>
    <w:rsid w:val="00A94FA6"/>
    <w:rsid w:val="00AA0ECD"/>
    <w:rsid w:val="00AA2515"/>
    <w:rsid w:val="00AA3C81"/>
    <w:rsid w:val="00AA3FEA"/>
    <w:rsid w:val="00AA49A0"/>
    <w:rsid w:val="00AA5B30"/>
    <w:rsid w:val="00AA6165"/>
    <w:rsid w:val="00AA6710"/>
    <w:rsid w:val="00AA6994"/>
    <w:rsid w:val="00AA6C1C"/>
    <w:rsid w:val="00AB0681"/>
    <w:rsid w:val="00AB1CDD"/>
    <w:rsid w:val="00AB7CD1"/>
    <w:rsid w:val="00AC3F02"/>
    <w:rsid w:val="00AC5DAD"/>
    <w:rsid w:val="00AC7442"/>
    <w:rsid w:val="00AC7C06"/>
    <w:rsid w:val="00AD072E"/>
    <w:rsid w:val="00AD3AE4"/>
    <w:rsid w:val="00AD520B"/>
    <w:rsid w:val="00AD5D62"/>
    <w:rsid w:val="00AE4B76"/>
    <w:rsid w:val="00AE5756"/>
    <w:rsid w:val="00AF082A"/>
    <w:rsid w:val="00AF1472"/>
    <w:rsid w:val="00AF3608"/>
    <w:rsid w:val="00B01536"/>
    <w:rsid w:val="00B02B83"/>
    <w:rsid w:val="00B04CDD"/>
    <w:rsid w:val="00B04D75"/>
    <w:rsid w:val="00B05BFF"/>
    <w:rsid w:val="00B12893"/>
    <w:rsid w:val="00B22A30"/>
    <w:rsid w:val="00B22C0E"/>
    <w:rsid w:val="00B275CD"/>
    <w:rsid w:val="00B30087"/>
    <w:rsid w:val="00B31693"/>
    <w:rsid w:val="00B369C4"/>
    <w:rsid w:val="00B36E2D"/>
    <w:rsid w:val="00B37460"/>
    <w:rsid w:val="00B4014E"/>
    <w:rsid w:val="00B4041E"/>
    <w:rsid w:val="00B4380E"/>
    <w:rsid w:val="00B440AD"/>
    <w:rsid w:val="00B4434A"/>
    <w:rsid w:val="00B47929"/>
    <w:rsid w:val="00B528C0"/>
    <w:rsid w:val="00B53E7E"/>
    <w:rsid w:val="00B5563E"/>
    <w:rsid w:val="00B557A3"/>
    <w:rsid w:val="00B55C65"/>
    <w:rsid w:val="00B564D2"/>
    <w:rsid w:val="00B6342E"/>
    <w:rsid w:val="00B655F8"/>
    <w:rsid w:val="00B676C0"/>
    <w:rsid w:val="00B7113F"/>
    <w:rsid w:val="00B7612C"/>
    <w:rsid w:val="00B77A39"/>
    <w:rsid w:val="00B817DA"/>
    <w:rsid w:val="00B81B55"/>
    <w:rsid w:val="00B82D47"/>
    <w:rsid w:val="00B876E3"/>
    <w:rsid w:val="00B939F2"/>
    <w:rsid w:val="00BA080E"/>
    <w:rsid w:val="00BA23B9"/>
    <w:rsid w:val="00BA73B6"/>
    <w:rsid w:val="00BB1946"/>
    <w:rsid w:val="00BB1D77"/>
    <w:rsid w:val="00BB2603"/>
    <w:rsid w:val="00BB4C74"/>
    <w:rsid w:val="00BB4FCD"/>
    <w:rsid w:val="00BB5802"/>
    <w:rsid w:val="00BB595C"/>
    <w:rsid w:val="00BD13EA"/>
    <w:rsid w:val="00BD44E8"/>
    <w:rsid w:val="00BD5313"/>
    <w:rsid w:val="00BE00E4"/>
    <w:rsid w:val="00BE028A"/>
    <w:rsid w:val="00BE1922"/>
    <w:rsid w:val="00BE3808"/>
    <w:rsid w:val="00BE4861"/>
    <w:rsid w:val="00BE54EB"/>
    <w:rsid w:val="00BF0F6F"/>
    <w:rsid w:val="00BF5D50"/>
    <w:rsid w:val="00BF5F3A"/>
    <w:rsid w:val="00BF6E85"/>
    <w:rsid w:val="00C016A8"/>
    <w:rsid w:val="00C062E9"/>
    <w:rsid w:val="00C07B64"/>
    <w:rsid w:val="00C13721"/>
    <w:rsid w:val="00C20E9B"/>
    <w:rsid w:val="00C21EDF"/>
    <w:rsid w:val="00C25095"/>
    <w:rsid w:val="00C25591"/>
    <w:rsid w:val="00C25EC0"/>
    <w:rsid w:val="00C3066D"/>
    <w:rsid w:val="00C3677F"/>
    <w:rsid w:val="00C428E5"/>
    <w:rsid w:val="00C53FD3"/>
    <w:rsid w:val="00C541B5"/>
    <w:rsid w:val="00C543F4"/>
    <w:rsid w:val="00C550E6"/>
    <w:rsid w:val="00C56976"/>
    <w:rsid w:val="00C56F60"/>
    <w:rsid w:val="00C57BD2"/>
    <w:rsid w:val="00C6291C"/>
    <w:rsid w:val="00C633CB"/>
    <w:rsid w:val="00C74314"/>
    <w:rsid w:val="00C77127"/>
    <w:rsid w:val="00C80F69"/>
    <w:rsid w:val="00C847AC"/>
    <w:rsid w:val="00C860BA"/>
    <w:rsid w:val="00C8762C"/>
    <w:rsid w:val="00C90E50"/>
    <w:rsid w:val="00C90E88"/>
    <w:rsid w:val="00C92FD4"/>
    <w:rsid w:val="00C930D7"/>
    <w:rsid w:val="00C935F2"/>
    <w:rsid w:val="00C951E8"/>
    <w:rsid w:val="00C95ADF"/>
    <w:rsid w:val="00CA00F9"/>
    <w:rsid w:val="00CA07CD"/>
    <w:rsid w:val="00CA2961"/>
    <w:rsid w:val="00CA33BD"/>
    <w:rsid w:val="00CB3C7D"/>
    <w:rsid w:val="00CB50D7"/>
    <w:rsid w:val="00CB7177"/>
    <w:rsid w:val="00CC1998"/>
    <w:rsid w:val="00CC1F49"/>
    <w:rsid w:val="00CC3DFF"/>
    <w:rsid w:val="00CC4946"/>
    <w:rsid w:val="00CC7372"/>
    <w:rsid w:val="00CD18AA"/>
    <w:rsid w:val="00CD42DA"/>
    <w:rsid w:val="00CE013D"/>
    <w:rsid w:val="00CE212A"/>
    <w:rsid w:val="00CE2A31"/>
    <w:rsid w:val="00CE6EAB"/>
    <w:rsid w:val="00CF2269"/>
    <w:rsid w:val="00D00360"/>
    <w:rsid w:val="00D032CC"/>
    <w:rsid w:val="00D03588"/>
    <w:rsid w:val="00D043FF"/>
    <w:rsid w:val="00D1628B"/>
    <w:rsid w:val="00D16322"/>
    <w:rsid w:val="00D20185"/>
    <w:rsid w:val="00D2133D"/>
    <w:rsid w:val="00D22E4E"/>
    <w:rsid w:val="00D270A4"/>
    <w:rsid w:val="00D310E9"/>
    <w:rsid w:val="00D31FE9"/>
    <w:rsid w:val="00D34B62"/>
    <w:rsid w:val="00D34E1B"/>
    <w:rsid w:val="00D376BA"/>
    <w:rsid w:val="00D458FE"/>
    <w:rsid w:val="00D47243"/>
    <w:rsid w:val="00D47A33"/>
    <w:rsid w:val="00D50307"/>
    <w:rsid w:val="00D53905"/>
    <w:rsid w:val="00D53C4F"/>
    <w:rsid w:val="00D53DAD"/>
    <w:rsid w:val="00D54CC0"/>
    <w:rsid w:val="00D5568A"/>
    <w:rsid w:val="00D56373"/>
    <w:rsid w:val="00D57842"/>
    <w:rsid w:val="00D63D73"/>
    <w:rsid w:val="00D64462"/>
    <w:rsid w:val="00D650BB"/>
    <w:rsid w:val="00D66E1E"/>
    <w:rsid w:val="00D734C5"/>
    <w:rsid w:val="00D75722"/>
    <w:rsid w:val="00D768EC"/>
    <w:rsid w:val="00D800A0"/>
    <w:rsid w:val="00D80F20"/>
    <w:rsid w:val="00D86918"/>
    <w:rsid w:val="00D91526"/>
    <w:rsid w:val="00D951C1"/>
    <w:rsid w:val="00D97683"/>
    <w:rsid w:val="00D976D6"/>
    <w:rsid w:val="00DA03D6"/>
    <w:rsid w:val="00DA161C"/>
    <w:rsid w:val="00DA1B58"/>
    <w:rsid w:val="00DA34F9"/>
    <w:rsid w:val="00DA4F4D"/>
    <w:rsid w:val="00DA5BBA"/>
    <w:rsid w:val="00DB111A"/>
    <w:rsid w:val="00DB1B7C"/>
    <w:rsid w:val="00DB2200"/>
    <w:rsid w:val="00DB3D0F"/>
    <w:rsid w:val="00DB5374"/>
    <w:rsid w:val="00DB67C9"/>
    <w:rsid w:val="00DC0C95"/>
    <w:rsid w:val="00DC2541"/>
    <w:rsid w:val="00DC2734"/>
    <w:rsid w:val="00DC36C4"/>
    <w:rsid w:val="00DC45CC"/>
    <w:rsid w:val="00DD6580"/>
    <w:rsid w:val="00DD6FF9"/>
    <w:rsid w:val="00DE7F79"/>
    <w:rsid w:val="00DF0AF5"/>
    <w:rsid w:val="00DF24A5"/>
    <w:rsid w:val="00DF3E0E"/>
    <w:rsid w:val="00DF53E5"/>
    <w:rsid w:val="00DF620C"/>
    <w:rsid w:val="00E01981"/>
    <w:rsid w:val="00E12A2D"/>
    <w:rsid w:val="00E17C72"/>
    <w:rsid w:val="00E202FD"/>
    <w:rsid w:val="00E21FC6"/>
    <w:rsid w:val="00E25C0E"/>
    <w:rsid w:val="00E3667B"/>
    <w:rsid w:val="00E42784"/>
    <w:rsid w:val="00E431A9"/>
    <w:rsid w:val="00E44610"/>
    <w:rsid w:val="00E453FD"/>
    <w:rsid w:val="00E50E74"/>
    <w:rsid w:val="00E51526"/>
    <w:rsid w:val="00E548CE"/>
    <w:rsid w:val="00E57AA1"/>
    <w:rsid w:val="00E60958"/>
    <w:rsid w:val="00E61261"/>
    <w:rsid w:val="00E667BF"/>
    <w:rsid w:val="00E669E2"/>
    <w:rsid w:val="00E76135"/>
    <w:rsid w:val="00E768B9"/>
    <w:rsid w:val="00E82F1F"/>
    <w:rsid w:val="00E876DC"/>
    <w:rsid w:val="00E90D52"/>
    <w:rsid w:val="00E97E06"/>
    <w:rsid w:val="00EA5D2F"/>
    <w:rsid w:val="00EB2FBF"/>
    <w:rsid w:val="00EC01E8"/>
    <w:rsid w:val="00EC2844"/>
    <w:rsid w:val="00EC2C8B"/>
    <w:rsid w:val="00EC5B6C"/>
    <w:rsid w:val="00ED11CB"/>
    <w:rsid w:val="00ED1E0D"/>
    <w:rsid w:val="00ED2A76"/>
    <w:rsid w:val="00ED5A5A"/>
    <w:rsid w:val="00EE29C5"/>
    <w:rsid w:val="00EE5C9A"/>
    <w:rsid w:val="00EF15FB"/>
    <w:rsid w:val="00EF3252"/>
    <w:rsid w:val="00EF382A"/>
    <w:rsid w:val="00EF3EC8"/>
    <w:rsid w:val="00EF5954"/>
    <w:rsid w:val="00EF6C6C"/>
    <w:rsid w:val="00F01586"/>
    <w:rsid w:val="00F026D1"/>
    <w:rsid w:val="00F056FC"/>
    <w:rsid w:val="00F07D9B"/>
    <w:rsid w:val="00F10476"/>
    <w:rsid w:val="00F11518"/>
    <w:rsid w:val="00F12523"/>
    <w:rsid w:val="00F12593"/>
    <w:rsid w:val="00F1332A"/>
    <w:rsid w:val="00F135D8"/>
    <w:rsid w:val="00F140AA"/>
    <w:rsid w:val="00F14A89"/>
    <w:rsid w:val="00F14AFD"/>
    <w:rsid w:val="00F164E2"/>
    <w:rsid w:val="00F17EB4"/>
    <w:rsid w:val="00F206AA"/>
    <w:rsid w:val="00F22FA1"/>
    <w:rsid w:val="00F274CF"/>
    <w:rsid w:val="00F30F51"/>
    <w:rsid w:val="00F31223"/>
    <w:rsid w:val="00F31299"/>
    <w:rsid w:val="00F34E09"/>
    <w:rsid w:val="00F35232"/>
    <w:rsid w:val="00F3534A"/>
    <w:rsid w:val="00F4214E"/>
    <w:rsid w:val="00F45319"/>
    <w:rsid w:val="00F61485"/>
    <w:rsid w:val="00F61BD0"/>
    <w:rsid w:val="00F6258F"/>
    <w:rsid w:val="00F6407B"/>
    <w:rsid w:val="00F659B8"/>
    <w:rsid w:val="00F65F52"/>
    <w:rsid w:val="00F72B86"/>
    <w:rsid w:val="00F73909"/>
    <w:rsid w:val="00F75B81"/>
    <w:rsid w:val="00F83C43"/>
    <w:rsid w:val="00F85325"/>
    <w:rsid w:val="00F87F00"/>
    <w:rsid w:val="00F90646"/>
    <w:rsid w:val="00F92D38"/>
    <w:rsid w:val="00F93880"/>
    <w:rsid w:val="00F940A2"/>
    <w:rsid w:val="00F96DD2"/>
    <w:rsid w:val="00FA042C"/>
    <w:rsid w:val="00FA1255"/>
    <w:rsid w:val="00FA267C"/>
    <w:rsid w:val="00FA3E22"/>
    <w:rsid w:val="00FA4319"/>
    <w:rsid w:val="00FC2779"/>
    <w:rsid w:val="00FC3E93"/>
    <w:rsid w:val="00FD22B1"/>
    <w:rsid w:val="00FD255B"/>
    <w:rsid w:val="00FD3596"/>
    <w:rsid w:val="00FD3AB9"/>
    <w:rsid w:val="00FD4CCD"/>
    <w:rsid w:val="00FD6750"/>
    <w:rsid w:val="00FD7E91"/>
    <w:rsid w:val="00FE36C9"/>
    <w:rsid w:val="00FE4E02"/>
    <w:rsid w:val="00FF25E7"/>
    <w:rsid w:val="00FF7B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List Bullet 2" w:qFormat="1"/>
    <w:lsdException w:name="Default Paragraph Font" w:uiPriority="1"/>
    <w:lsdException w:name="Body Text" w:qFormat="1"/>
    <w:lsdException w:name="Subtitle" w:qFormat="1"/>
    <w:lsdException w:name="Hyperlink" w:uiPriority="99"/>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7A33"/>
    <w:rPr>
      <w:sz w:val="26"/>
      <w:szCs w:val="24"/>
    </w:rPr>
  </w:style>
  <w:style w:type="paragraph" w:styleId="Heading1">
    <w:name w:val="heading 1"/>
    <w:basedOn w:val="BodyText"/>
    <w:next w:val="BodyText"/>
    <w:link w:val="Heading1Char"/>
    <w:rsid w:val="00D47A3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D47A3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47A33"/>
    <w:pPr>
      <w:spacing w:before="560" w:line="320" w:lineRule="exact"/>
      <w:ind w:left="0" w:firstLine="0"/>
      <w:outlineLvl w:val="2"/>
    </w:pPr>
    <w:rPr>
      <w:sz w:val="26"/>
    </w:rPr>
  </w:style>
  <w:style w:type="paragraph" w:styleId="Heading4">
    <w:name w:val="heading 4"/>
    <w:basedOn w:val="Heading3"/>
    <w:next w:val="BodyText"/>
    <w:link w:val="Heading4Char"/>
    <w:qFormat/>
    <w:rsid w:val="00D47A33"/>
    <w:pPr>
      <w:spacing w:before="480"/>
      <w:outlineLvl w:val="3"/>
    </w:pPr>
    <w:rPr>
      <w:b w:val="0"/>
      <w:i/>
      <w:sz w:val="24"/>
    </w:rPr>
  </w:style>
  <w:style w:type="paragraph" w:styleId="Heading5">
    <w:name w:val="heading 5"/>
    <w:basedOn w:val="Heading4"/>
    <w:next w:val="BodyText"/>
    <w:qFormat/>
    <w:rsid w:val="00D47A33"/>
    <w:pPr>
      <w:outlineLvl w:val="4"/>
    </w:pPr>
    <w:rPr>
      <w:rFonts w:ascii="Times New Roman" w:hAnsi="Times New Roman"/>
      <w:sz w:val="26"/>
    </w:rPr>
  </w:style>
  <w:style w:type="paragraph" w:styleId="Heading6">
    <w:name w:val="heading 6"/>
    <w:basedOn w:val="BodyText"/>
    <w:next w:val="BodyText"/>
    <w:rsid w:val="00D47A33"/>
    <w:pPr>
      <w:spacing w:after="60"/>
      <w:jc w:val="left"/>
      <w:outlineLvl w:val="5"/>
    </w:pPr>
    <w:rPr>
      <w:i/>
      <w:sz w:val="22"/>
    </w:rPr>
  </w:style>
  <w:style w:type="paragraph" w:styleId="Heading7">
    <w:name w:val="heading 7"/>
    <w:basedOn w:val="BodyText"/>
    <w:next w:val="BodyText"/>
    <w:rsid w:val="00D47A33"/>
    <w:pPr>
      <w:spacing w:after="60" w:line="240" w:lineRule="auto"/>
      <w:jc w:val="left"/>
      <w:outlineLvl w:val="6"/>
    </w:pPr>
    <w:rPr>
      <w:rFonts w:ascii="Arial" w:hAnsi="Arial"/>
      <w:sz w:val="20"/>
    </w:rPr>
  </w:style>
  <w:style w:type="paragraph" w:styleId="Heading8">
    <w:name w:val="heading 8"/>
    <w:basedOn w:val="BodyText"/>
    <w:next w:val="BodyText"/>
    <w:rsid w:val="00D47A33"/>
    <w:pPr>
      <w:spacing w:after="60" w:line="240" w:lineRule="auto"/>
      <w:jc w:val="left"/>
      <w:outlineLvl w:val="7"/>
    </w:pPr>
    <w:rPr>
      <w:rFonts w:ascii="Arial" w:hAnsi="Arial"/>
      <w:i/>
      <w:sz w:val="20"/>
    </w:rPr>
  </w:style>
  <w:style w:type="paragraph" w:styleId="Heading9">
    <w:name w:val="heading 9"/>
    <w:basedOn w:val="BodyText"/>
    <w:next w:val="BodyText"/>
    <w:rsid w:val="00D47A3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47A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7A33"/>
  </w:style>
  <w:style w:type="paragraph" w:styleId="BodyText">
    <w:name w:val="Body Text"/>
    <w:link w:val="BodyTextChar"/>
    <w:qFormat/>
    <w:rsid w:val="00D47A33"/>
    <w:pPr>
      <w:spacing w:before="240" w:line="320" w:lineRule="atLeast"/>
      <w:jc w:val="both"/>
    </w:pPr>
    <w:rPr>
      <w:sz w:val="26"/>
    </w:rPr>
  </w:style>
  <w:style w:type="paragraph" w:styleId="Footer">
    <w:name w:val="footer"/>
    <w:basedOn w:val="BodyText"/>
    <w:semiHidden/>
    <w:rsid w:val="00D47A33"/>
    <w:pPr>
      <w:spacing w:before="80" w:line="200" w:lineRule="exact"/>
      <w:ind w:right="6"/>
      <w:jc w:val="left"/>
    </w:pPr>
    <w:rPr>
      <w:caps/>
      <w:spacing w:val="-4"/>
      <w:sz w:val="16"/>
    </w:rPr>
  </w:style>
  <w:style w:type="paragraph" w:customStyle="1" w:styleId="FooterEnd">
    <w:name w:val="Footer End"/>
    <w:basedOn w:val="Footer"/>
    <w:rsid w:val="00D47A33"/>
    <w:pPr>
      <w:spacing w:before="0" w:line="20" w:lineRule="exact"/>
    </w:pPr>
  </w:style>
  <w:style w:type="paragraph" w:styleId="Header">
    <w:name w:val="header"/>
    <w:basedOn w:val="BodyText"/>
    <w:rsid w:val="00D47A3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47A33"/>
    <w:pPr>
      <w:spacing w:line="20" w:lineRule="exact"/>
    </w:pPr>
    <w:rPr>
      <w:sz w:val="16"/>
    </w:rPr>
  </w:style>
  <w:style w:type="paragraph" w:customStyle="1" w:styleId="HeaderEven">
    <w:name w:val="Header Even"/>
    <w:basedOn w:val="Header"/>
    <w:semiHidden/>
    <w:rsid w:val="00D47A33"/>
  </w:style>
  <w:style w:type="paragraph" w:customStyle="1" w:styleId="HeaderOdd">
    <w:name w:val="Header Odd"/>
    <w:basedOn w:val="Header"/>
    <w:semiHidden/>
    <w:rsid w:val="00D47A33"/>
  </w:style>
  <w:style w:type="character" w:styleId="PageNumber">
    <w:name w:val="page number"/>
    <w:basedOn w:val="DefaultParagraphFont"/>
    <w:rsid w:val="00D47A33"/>
    <w:rPr>
      <w:rFonts w:ascii="Arial" w:hAnsi="Arial"/>
      <w:b/>
      <w:sz w:val="16"/>
    </w:rPr>
  </w:style>
  <w:style w:type="paragraph" w:customStyle="1" w:styleId="Abbreviation">
    <w:name w:val="Abbreviation"/>
    <w:basedOn w:val="BodyText"/>
    <w:rsid w:val="00D47A33"/>
    <w:pPr>
      <w:spacing w:before="120"/>
      <w:ind w:left="2381" w:hanging="2381"/>
      <w:jc w:val="left"/>
    </w:pPr>
  </w:style>
  <w:style w:type="paragraph" w:customStyle="1" w:styleId="Box">
    <w:name w:val="Box"/>
    <w:basedOn w:val="BodyText"/>
    <w:qFormat/>
    <w:rsid w:val="00D47A33"/>
    <w:pPr>
      <w:keepNext/>
      <w:spacing w:before="120" w:line="280" w:lineRule="atLeast"/>
    </w:pPr>
    <w:rPr>
      <w:rFonts w:ascii="Arial" w:hAnsi="Arial"/>
      <w:sz w:val="22"/>
    </w:rPr>
  </w:style>
  <w:style w:type="paragraph" w:customStyle="1" w:styleId="BoxContinued">
    <w:name w:val="Box Continued"/>
    <w:basedOn w:val="BodyText"/>
    <w:next w:val="BodyText"/>
    <w:semiHidden/>
    <w:rsid w:val="00D47A33"/>
    <w:pPr>
      <w:spacing w:before="180" w:line="220" w:lineRule="exact"/>
      <w:jc w:val="right"/>
    </w:pPr>
    <w:rPr>
      <w:rFonts w:ascii="Arial" w:hAnsi="Arial"/>
      <w:sz w:val="18"/>
    </w:rPr>
  </w:style>
  <w:style w:type="paragraph" w:customStyle="1" w:styleId="BoxHeading1">
    <w:name w:val="Box Heading 1"/>
    <w:basedOn w:val="BodyText"/>
    <w:next w:val="Box"/>
    <w:rsid w:val="00D47A33"/>
    <w:pPr>
      <w:keepNext/>
      <w:spacing w:before="200" w:line="280" w:lineRule="atLeast"/>
    </w:pPr>
    <w:rPr>
      <w:rFonts w:ascii="Arial" w:hAnsi="Arial"/>
      <w:b/>
      <w:sz w:val="22"/>
    </w:rPr>
  </w:style>
  <w:style w:type="paragraph" w:customStyle="1" w:styleId="BoxHeading2">
    <w:name w:val="Box Heading 2"/>
    <w:basedOn w:val="BoxHeading1"/>
    <w:next w:val="Normal"/>
    <w:rsid w:val="00D47A33"/>
    <w:rPr>
      <w:b w:val="0"/>
      <w:i/>
    </w:rPr>
  </w:style>
  <w:style w:type="paragraph" w:customStyle="1" w:styleId="BoxListBullet">
    <w:name w:val="Box List Bullet"/>
    <w:basedOn w:val="BodyText"/>
    <w:rsid w:val="00D47A33"/>
    <w:pPr>
      <w:keepNext/>
      <w:numPr>
        <w:numId w:val="1"/>
      </w:numPr>
      <w:spacing w:before="60" w:line="280" w:lineRule="atLeast"/>
    </w:pPr>
    <w:rPr>
      <w:rFonts w:ascii="Arial" w:hAnsi="Arial"/>
      <w:sz w:val="22"/>
    </w:rPr>
  </w:style>
  <w:style w:type="paragraph" w:customStyle="1" w:styleId="BoxListBullet2">
    <w:name w:val="Box List Bullet 2"/>
    <w:basedOn w:val="BodyText"/>
    <w:rsid w:val="00D47A33"/>
    <w:pPr>
      <w:keepNext/>
      <w:numPr>
        <w:numId w:val="2"/>
      </w:numPr>
      <w:spacing w:before="60" w:line="280" w:lineRule="atLeast"/>
    </w:pPr>
    <w:rPr>
      <w:rFonts w:ascii="Arial" w:hAnsi="Arial"/>
      <w:sz w:val="22"/>
    </w:rPr>
  </w:style>
  <w:style w:type="paragraph" w:customStyle="1" w:styleId="BoxListNumber">
    <w:name w:val="Box List Number"/>
    <w:basedOn w:val="BodyText"/>
    <w:rsid w:val="00D47A33"/>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D47A33"/>
    <w:pPr>
      <w:numPr>
        <w:ilvl w:val="1"/>
      </w:numPr>
    </w:pPr>
  </w:style>
  <w:style w:type="paragraph" w:customStyle="1" w:styleId="BoxQuote">
    <w:name w:val="Box Quote"/>
    <w:basedOn w:val="BodyText"/>
    <w:next w:val="Box"/>
    <w:rsid w:val="00D47A33"/>
    <w:pPr>
      <w:keepNext/>
      <w:spacing w:before="60" w:line="260" w:lineRule="exact"/>
      <w:ind w:left="284"/>
    </w:pPr>
    <w:rPr>
      <w:rFonts w:ascii="Arial" w:hAnsi="Arial"/>
      <w:sz w:val="20"/>
    </w:rPr>
  </w:style>
  <w:style w:type="paragraph" w:customStyle="1" w:styleId="Note">
    <w:name w:val="Note"/>
    <w:basedOn w:val="BodyText"/>
    <w:next w:val="BodyText"/>
    <w:rsid w:val="00D47A33"/>
    <w:pPr>
      <w:keepLines/>
      <w:spacing w:before="80" w:line="220" w:lineRule="exact"/>
    </w:pPr>
    <w:rPr>
      <w:rFonts w:ascii="Arial" w:hAnsi="Arial"/>
      <w:sz w:val="18"/>
    </w:rPr>
  </w:style>
  <w:style w:type="paragraph" w:customStyle="1" w:styleId="Source">
    <w:name w:val="Source"/>
    <w:basedOn w:val="Note"/>
    <w:next w:val="BodyText"/>
    <w:rsid w:val="00D47A33"/>
    <w:pPr>
      <w:spacing w:after="120"/>
    </w:pPr>
  </w:style>
  <w:style w:type="paragraph" w:customStyle="1" w:styleId="BoxSource">
    <w:name w:val="Box Source"/>
    <w:basedOn w:val="Source"/>
    <w:next w:val="BodyText"/>
    <w:rsid w:val="00D47A33"/>
    <w:pPr>
      <w:spacing w:before="180" w:after="0"/>
    </w:pPr>
  </w:style>
  <w:style w:type="paragraph" w:customStyle="1" w:styleId="BoxSpace">
    <w:name w:val="Box Space"/>
    <w:basedOn w:val="BodyText"/>
    <w:rsid w:val="00D47A33"/>
    <w:pPr>
      <w:keepNext/>
      <w:spacing w:before="360" w:line="80" w:lineRule="exact"/>
      <w:jc w:val="left"/>
    </w:pPr>
  </w:style>
  <w:style w:type="paragraph" w:styleId="Caption">
    <w:name w:val="caption"/>
    <w:basedOn w:val="Normal"/>
    <w:next w:val="BodyText"/>
    <w:rsid w:val="00D47A3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47A33"/>
    <w:pPr>
      <w:spacing w:before="120" w:after="0"/>
      <w:ind w:left="1304" w:hanging="1304"/>
    </w:pPr>
    <w:rPr>
      <w:sz w:val="24"/>
    </w:rPr>
  </w:style>
  <w:style w:type="paragraph" w:customStyle="1" w:styleId="BoxSubtitle">
    <w:name w:val="Box Subtitle"/>
    <w:basedOn w:val="BoxTitle"/>
    <w:next w:val="Normal"/>
    <w:rsid w:val="00D47A33"/>
    <w:pPr>
      <w:spacing w:after="80" w:line="200" w:lineRule="exact"/>
      <w:ind w:firstLine="0"/>
    </w:pPr>
    <w:rPr>
      <w:b w:val="0"/>
      <w:sz w:val="20"/>
    </w:rPr>
  </w:style>
  <w:style w:type="paragraph" w:customStyle="1" w:styleId="Chapter">
    <w:name w:val="Chapter"/>
    <w:basedOn w:val="Heading1"/>
    <w:next w:val="BodyText"/>
    <w:semiHidden/>
    <w:rsid w:val="00D47A33"/>
    <w:pPr>
      <w:ind w:left="0" w:firstLine="0"/>
      <w:outlineLvl w:val="9"/>
    </w:pPr>
  </w:style>
  <w:style w:type="paragraph" w:customStyle="1" w:styleId="ChapterSummary">
    <w:name w:val="Chapter Summary"/>
    <w:basedOn w:val="BodyText"/>
    <w:rsid w:val="00D47A33"/>
    <w:pPr>
      <w:ind w:left="907"/>
    </w:pPr>
    <w:rPr>
      <w:rFonts w:ascii="Arial" w:hAnsi="Arial"/>
      <w:b/>
      <w:sz w:val="22"/>
    </w:rPr>
  </w:style>
  <w:style w:type="character" w:styleId="CommentReference">
    <w:name w:val="annotation reference"/>
    <w:basedOn w:val="DefaultParagraphFont"/>
    <w:semiHidden/>
    <w:rsid w:val="00D47A33"/>
    <w:rPr>
      <w:b/>
      <w:vanish/>
      <w:color w:val="FF00FF"/>
      <w:sz w:val="20"/>
    </w:rPr>
  </w:style>
  <w:style w:type="paragraph" w:styleId="CommentText">
    <w:name w:val="annotation text"/>
    <w:basedOn w:val="Normal"/>
    <w:link w:val="CommentTextChar"/>
    <w:semiHidden/>
    <w:rsid w:val="00D47A33"/>
    <w:pPr>
      <w:spacing w:before="120" w:line="240" w:lineRule="atLeast"/>
      <w:ind w:left="567" w:hanging="567"/>
    </w:pPr>
    <w:rPr>
      <w:sz w:val="20"/>
    </w:rPr>
  </w:style>
  <w:style w:type="paragraph" w:customStyle="1" w:styleId="Continued">
    <w:name w:val="Continued"/>
    <w:basedOn w:val="BoxContinued"/>
    <w:next w:val="BodyText"/>
    <w:rsid w:val="00D47A33"/>
  </w:style>
  <w:style w:type="character" w:customStyle="1" w:styleId="DocumentInfo">
    <w:name w:val="Document Info"/>
    <w:basedOn w:val="DefaultParagraphFont"/>
    <w:semiHidden/>
    <w:rsid w:val="00D47A33"/>
    <w:rPr>
      <w:rFonts w:ascii="Arial" w:hAnsi="Arial"/>
      <w:sz w:val="14"/>
    </w:rPr>
  </w:style>
  <w:style w:type="character" w:customStyle="1" w:styleId="DraftingNote">
    <w:name w:val="Drafting Note"/>
    <w:basedOn w:val="DefaultParagraphFont"/>
    <w:rsid w:val="00D47A33"/>
    <w:rPr>
      <w:b/>
      <w:color w:val="FF0000"/>
      <w:sz w:val="24"/>
      <w:u w:val="dotted"/>
    </w:rPr>
  </w:style>
  <w:style w:type="paragraph" w:customStyle="1" w:styleId="Figure">
    <w:name w:val="Figure"/>
    <w:basedOn w:val="BodyText"/>
    <w:rsid w:val="00D47A33"/>
    <w:pPr>
      <w:keepNext/>
      <w:spacing w:before="120" w:after="120" w:line="240" w:lineRule="atLeast"/>
      <w:jc w:val="center"/>
    </w:pPr>
  </w:style>
  <w:style w:type="paragraph" w:customStyle="1" w:styleId="FigureTitle">
    <w:name w:val="Figure Title"/>
    <w:basedOn w:val="Caption"/>
    <w:next w:val="Subtitle"/>
    <w:rsid w:val="00D47A33"/>
    <w:rPr>
      <w:sz w:val="24"/>
    </w:rPr>
  </w:style>
  <w:style w:type="paragraph" w:styleId="Subtitle">
    <w:name w:val="Subtitle"/>
    <w:basedOn w:val="Caption"/>
    <w:link w:val="SubtitleChar"/>
    <w:rsid w:val="00D47A33"/>
    <w:pPr>
      <w:spacing w:before="0" w:line="200" w:lineRule="exact"/>
      <w:ind w:firstLine="0"/>
    </w:pPr>
    <w:rPr>
      <w:b w:val="0"/>
      <w:sz w:val="20"/>
    </w:rPr>
  </w:style>
  <w:style w:type="paragraph" w:customStyle="1" w:styleId="Finding">
    <w:name w:val="Finding"/>
    <w:basedOn w:val="BodyText"/>
    <w:rsid w:val="00D47A33"/>
    <w:pPr>
      <w:keepLines/>
      <w:spacing w:before="180"/>
    </w:pPr>
    <w:rPr>
      <w:i/>
    </w:rPr>
  </w:style>
  <w:style w:type="paragraph" w:customStyle="1" w:styleId="FindingBullet">
    <w:name w:val="Finding Bullet"/>
    <w:basedOn w:val="Finding"/>
    <w:rsid w:val="00D47A33"/>
    <w:pPr>
      <w:numPr>
        <w:numId w:val="3"/>
      </w:numPr>
      <w:spacing w:before="80"/>
    </w:pPr>
  </w:style>
  <w:style w:type="paragraph" w:customStyle="1" w:styleId="FindingNoTitle">
    <w:name w:val="Finding NoTitle"/>
    <w:basedOn w:val="Finding"/>
    <w:rsid w:val="00D47A33"/>
    <w:pPr>
      <w:spacing w:before="240"/>
    </w:pPr>
  </w:style>
  <w:style w:type="paragraph" w:customStyle="1" w:styleId="RecTitle">
    <w:name w:val="Rec Title"/>
    <w:basedOn w:val="BodyText"/>
    <w:next w:val="Normal"/>
    <w:rsid w:val="00D47A33"/>
    <w:pPr>
      <w:keepNext/>
      <w:keepLines/>
    </w:pPr>
    <w:rPr>
      <w:caps/>
      <w:sz w:val="20"/>
    </w:rPr>
  </w:style>
  <w:style w:type="paragraph" w:customStyle="1" w:styleId="FindingTitle">
    <w:name w:val="Finding Title"/>
    <w:basedOn w:val="RecTitle"/>
    <w:next w:val="Finding"/>
    <w:rsid w:val="00D47A33"/>
    <w:pPr>
      <w:framePr w:wrap="notBeside" w:hAnchor="text"/>
    </w:pPr>
  </w:style>
  <w:style w:type="character" w:styleId="FootnoteReference">
    <w:name w:val="footnote reference"/>
    <w:basedOn w:val="DefaultParagraphFont"/>
    <w:semiHidden/>
    <w:rsid w:val="00D47A33"/>
    <w:rPr>
      <w:rFonts w:ascii="Times New Roman" w:hAnsi="Times New Roman"/>
      <w:position w:val="6"/>
      <w:sz w:val="22"/>
      <w:vertAlign w:val="baseline"/>
    </w:rPr>
  </w:style>
  <w:style w:type="paragraph" w:styleId="FootnoteText">
    <w:name w:val="footnote text"/>
    <w:basedOn w:val="BodyText"/>
    <w:link w:val="FootnoteTextChar"/>
    <w:rsid w:val="00D47A33"/>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D47A33"/>
    <w:pPr>
      <w:spacing w:before="360" w:after="120"/>
    </w:pPr>
    <w:rPr>
      <w:rFonts w:ascii="Arial" w:hAnsi="Arial"/>
      <w:sz w:val="24"/>
    </w:rPr>
  </w:style>
  <w:style w:type="paragraph" w:customStyle="1" w:styleId="Jurisdictioncommentsbodytext">
    <w:name w:val="Jurisdiction comments body text"/>
    <w:rsid w:val="00D47A33"/>
    <w:pPr>
      <w:spacing w:after="140"/>
      <w:jc w:val="both"/>
    </w:pPr>
    <w:rPr>
      <w:rFonts w:ascii="Arial" w:hAnsi="Arial"/>
      <w:sz w:val="24"/>
      <w:lang w:eastAsia="en-US"/>
    </w:rPr>
  </w:style>
  <w:style w:type="paragraph" w:customStyle="1" w:styleId="Jurisdictioncommentsheading">
    <w:name w:val="Jurisdiction comments heading"/>
    <w:rsid w:val="00D47A3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47A33"/>
    <w:pPr>
      <w:numPr>
        <w:numId w:val="4"/>
      </w:numPr>
      <w:spacing w:after="140"/>
      <w:jc w:val="both"/>
    </w:pPr>
    <w:rPr>
      <w:rFonts w:ascii="Arial" w:hAnsi="Arial"/>
      <w:sz w:val="24"/>
      <w:lang w:eastAsia="en-US"/>
    </w:rPr>
  </w:style>
  <w:style w:type="paragraph" w:styleId="ListBullet">
    <w:name w:val="List Bullet"/>
    <w:basedOn w:val="BodyText"/>
    <w:rsid w:val="00D47A33"/>
    <w:pPr>
      <w:numPr>
        <w:numId w:val="6"/>
      </w:numPr>
      <w:spacing w:before="120"/>
    </w:pPr>
  </w:style>
  <w:style w:type="paragraph" w:styleId="ListBullet2">
    <w:name w:val="List Bullet 2"/>
    <w:basedOn w:val="BodyText"/>
    <w:rsid w:val="00D47A33"/>
    <w:pPr>
      <w:numPr>
        <w:numId w:val="8"/>
      </w:numPr>
      <w:spacing w:before="120"/>
    </w:pPr>
  </w:style>
  <w:style w:type="paragraph" w:styleId="ListBullet3">
    <w:name w:val="List Bullet 3"/>
    <w:basedOn w:val="BodyText"/>
    <w:rsid w:val="00D47A33"/>
    <w:pPr>
      <w:numPr>
        <w:numId w:val="10"/>
      </w:numPr>
      <w:spacing w:before="120"/>
    </w:pPr>
  </w:style>
  <w:style w:type="paragraph" w:styleId="ListNumber">
    <w:name w:val="List Number"/>
    <w:basedOn w:val="BodyText"/>
    <w:rsid w:val="00D47A33"/>
    <w:pPr>
      <w:numPr>
        <w:numId w:val="32"/>
      </w:numPr>
      <w:spacing w:before="120"/>
    </w:pPr>
  </w:style>
  <w:style w:type="paragraph" w:styleId="ListNumber2">
    <w:name w:val="List Number 2"/>
    <w:basedOn w:val="ListNumber"/>
    <w:rsid w:val="00D47A33"/>
    <w:pPr>
      <w:numPr>
        <w:ilvl w:val="1"/>
      </w:numPr>
    </w:pPr>
  </w:style>
  <w:style w:type="paragraph" w:styleId="ListNumber3">
    <w:name w:val="List Number 3"/>
    <w:basedOn w:val="ListNumber2"/>
    <w:rsid w:val="00D47A33"/>
    <w:pPr>
      <w:numPr>
        <w:ilvl w:val="2"/>
      </w:numPr>
      <w:ind w:left="1248" w:hanging="454"/>
    </w:pPr>
  </w:style>
  <w:style w:type="character" w:customStyle="1" w:styleId="NoteLabel">
    <w:name w:val="Note Label"/>
    <w:basedOn w:val="DefaultParagraphFont"/>
    <w:rsid w:val="00D47A33"/>
    <w:rPr>
      <w:rFonts w:ascii="Arial" w:hAnsi="Arial"/>
      <w:b/>
      <w:position w:val="6"/>
      <w:sz w:val="18"/>
    </w:rPr>
  </w:style>
  <w:style w:type="paragraph" w:customStyle="1" w:styleId="PartDivider">
    <w:name w:val="Part Divider"/>
    <w:basedOn w:val="BodyText"/>
    <w:next w:val="BodyText"/>
    <w:semiHidden/>
    <w:rsid w:val="00D47A33"/>
    <w:pPr>
      <w:spacing w:before="0" w:line="40" w:lineRule="exact"/>
      <w:jc w:val="right"/>
    </w:pPr>
    <w:rPr>
      <w:smallCaps/>
      <w:sz w:val="16"/>
    </w:rPr>
  </w:style>
  <w:style w:type="paragraph" w:customStyle="1" w:styleId="PartNumber">
    <w:name w:val="Part Number"/>
    <w:basedOn w:val="BodyText"/>
    <w:next w:val="BodyText"/>
    <w:semiHidden/>
    <w:rsid w:val="00D47A33"/>
    <w:pPr>
      <w:spacing w:before="4000" w:line="320" w:lineRule="exact"/>
      <w:ind w:left="6634"/>
      <w:jc w:val="right"/>
    </w:pPr>
    <w:rPr>
      <w:smallCaps/>
      <w:spacing w:val="60"/>
      <w:sz w:val="32"/>
    </w:rPr>
  </w:style>
  <w:style w:type="paragraph" w:customStyle="1" w:styleId="PartTitle">
    <w:name w:val="Part Title"/>
    <w:basedOn w:val="BodyText"/>
    <w:semiHidden/>
    <w:rsid w:val="00D47A33"/>
    <w:pPr>
      <w:spacing w:before="160" w:after="1360" w:line="520" w:lineRule="exact"/>
      <w:ind w:right="2381"/>
      <w:jc w:val="right"/>
    </w:pPr>
    <w:rPr>
      <w:smallCaps/>
      <w:sz w:val="52"/>
    </w:rPr>
  </w:style>
  <w:style w:type="paragraph" w:styleId="Quote">
    <w:name w:val="Quote"/>
    <w:basedOn w:val="BodyText"/>
    <w:next w:val="BodyText"/>
    <w:link w:val="QuoteChar"/>
    <w:qFormat/>
    <w:rsid w:val="00D47A33"/>
    <w:pPr>
      <w:spacing w:before="120" w:line="280" w:lineRule="exact"/>
      <w:ind w:left="340"/>
    </w:pPr>
    <w:rPr>
      <w:sz w:val="24"/>
    </w:rPr>
  </w:style>
  <w:style w:type="paragraph" w:customStyle="1" w:styleId="QuoteBullet">
    <w:name w:val="Quote Bullet"/>
    <w:basedOn w:val="Quote"/>
    <w:rsid w:val="00D47A33"/>
    <w:pPr>
      <w:numPr>
        <w:numId w:val="14"/>
      </w:numPr>
    </w:pPr>
  </w:style>
  <w:style w:type="paragraph" w:customStyle="1" w:styleId="Rec">
    <w:name w:val="Rec"/>
    <w:basedOn w:val="BodyText"/>
    <w:rsid w:val="00D47A33"/>
    <w:pPr>
      <w:keepLines/>
      <w:spacing w:before="180"/>
    </w:pPr>
    <w:rPr>
      <w:b/>
      <w:i/>
    </w:rPr>
  </w:style>
  <w:style w:type="paragraph" w:customStyle="1" w:styleId="RecBullet">
    <w:name w:val="Rec Bullet"/>
    <w:basedOn w:val="Rec"/>
    <w:rsid w:val="00D47A33"/>
    <w:pPr>
      <w:numPr>
        <w:numId w:val="15"/>
      </w:numPr>
      <w:spacing w:before="80"/>
    </w:pPr>
  </w:style>
  <w:style w:type="paragraph" w:customStyle="1" w:styleId="RecB">
    <w:name w:val="RecB"/>
    <w:basedOn w:val="Normal"/>
    <w:rsid w:val="00D47A3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47A33"/>
    <w:pPr>
      <w:numPr>
        <w:numId w:val="16"/>
      </w:numPr>
      <w:spacing w:before="80"/>
    </w:pPr>
  </w:style>
  <w:style w:type="paragraph" w:customStyle="1" w:styleId="RecBNoTitle">
    <w:name w:val="RecB NoTitle"/>
    <w:basedOn w:val="RecB"/>
    <w:rsid w:val="00D47A33"/>
    <w:pPr>
      <w:spacing w:before="240"/>
    </w:pPr>
  </w:style>
  <w:style w:type="paragraph" w:customStyle="1" w:styleId="Reference">
    <w:name w:val="Reference"/>
    <w:basedOn w:val="BodyText"/>
    <w:rsid w:val="00D47A33"/>
    <w:pPr>
      <w:spacing w:before="120"/>
      <w:ind w:left="340" w:hanging="340"/>
    </w:pPr>
  </w:style>
  <w:style w:type="paragraph" w:customStyle="1" w:styleId="SequenceInfo">
    <w:name w:val="Sequence Info"/>
    <w:basedOn w:val="BodyText"/>
    <w:semiHidden/>
    <w:rsid w:val="00D47A33"/>
    <w:rPr>
      <w:vanish/>
      <w:sz w:val="16"/>
    </w:rPr>
  </w:style>
  <w:style w:type="paragraph" w:customStyle="1" w:styleId="SideNote">
    <w:name w:val="Side Note"/>
    <w:basedOn w:val="BodyText"/>
    <w:next w:val="BodyText"/>
    <w:semiHidden/>
    <w:rsid w:val="00D47A3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D47A33"/>
    <w:pPr>
      <w:framePr w:wrap="around"/>
      <w:numPr>
        <w:numId w:val="17"/>
      </w:numPr>
      <w:tabs>
        <w:tab w:val="left" w:pos="227"/>
      </w:tabs>
    </w:pPr>
  </w:style>
  <w:style w:type="paragraph" w:customStyle="1" w:styleId="SideNoteGraphic">
    <w:name w:val="Side Note Graphic"/>
    <w:basedOn w:val="SideNote"/>
    <w:next w:val="BodyText"/>
    <w:semiHidden/>
    <w:rsid w:val="00D47A33"/>
    <w:pPr>
      <w:framePr w:wrap="around"/>
    </w:pPr>
  </w:style>
  <w:style w:type="paragraph" w:customStyle="1" w:styleId="TableBodyText">
    <w:name w:val="Table Body Text"/>
    <w:basedOn w:val="BodyText"/>
    <w:rsid w:val="00D47A33"/>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D47A33"/>
    <w:pPr>
      <w:numPr>
        <w:numId w:val="18"/>
      </w:numPr>
      <w:jc w:val="left"/>
    </w:pPr>
  </w:style>
  <w:style w:type="paragraph" w:customStyle="1" w:styleId="TableColumnHeading">
    <w:name w:val="Table Column Heading"/>
    <w:basedOn w:val="TableBodyText"/>
    <w:rsid w:val="00D47A33"/>
    <w:pPr>
      <w:spacing w:before="80" w:after="80"/>
    </w:pPr>
    <w:rPr>
      <w:i/>
    </w:rPr>
  </w:style>
  <w:style w:type="paragraph" w:styleId="TOC2">
    <w:name w:val="toc 2"/>
    <w:basedOn w:val="BodyText"/>
    <w:semiHidden/>
    <w:rsid w:val="00D47A33"/>
    <w:pPr>
      <w:tabs>
        <w:tab w:val="right" w:pos="8789"/>
      </w:tabs>
      <w:ind w:left="510" w:right="851" w:hanging="510"/>
      <w:jc w:val="left"/>
    </w:pPr>
    <w:rPr>
      <w:b/>
    </w:rPr>
  </w:style>
  <w:style w:type="paragraph" w:styleId="TOC3">
    <w:name w:val="toc 3"/>
    <w:basedOn w:val="TOC2"/>
    <w:semiHidden/>
    <w:rsid w:val="00D47A33"/>
    <w:pPr>
      <w:spacing w:before="60"/>
      <w:ind w:left="1190" w:hanging="680"/>
    </w:pPr>
    <w:rPr>
      <w:b w:val="0"/>
    </w:rPr>
  </w:style>
  <w:style w:type="paragraph" w:styleId="TableofFigures">
    <w:name w:val="table of figures"/>
    <w:basedOn w:val="TOC3"/>
    <w:next w:val="BodyText"/>
    <w:semiHidden/>
    <w:rsid w:val="00D47A33"/>
    <w:pPr>
      <w:ind w:left="737" w:hanging="737"/>
    </w:pPr>
  </w:style>
  <w:style w:type="paragraph" w:customStyle="1" w:styleId="TableTitle">
    <w:name w:val="Table Title"/>
    <w:basedOn w:val="Caption"/>
    <w:next w:val="Subtitle"/>
    <w:rsid w:val="00D47A33"/>
    <w:rPr>
      <w:sz w:val="24"/>
    </w:rPr>
  </w:style>
  <w:style w:type="paragraph" w:customStyle="1" w:styleId="TableUnitsRow">
    <w:name w:val="Table Units Row"/>
    <w:basedOn w:val="TableBodyText"/>
    <w:rsid w:val="00D47A33"/>
    <w:pPr>
      <w:spacing w:before="80" w:after="80"/>
    </w:pPr>
  </w:style>
  <w:style w:type="paragraph" w:styleId="TOC1">
    <w:name w:val="toc 1"/>
    <w:basedOn w:val="Normal"/>
    <w:next w:val="TOC2"/>
    <w:semiHidden/>
    <w:rsid w:val="00D47A33"/>
    <w:pPr>
      <w:tabs>
        <w:tab w:val="right" w:pos="8789"/>
      </w:tabs>
      <w:spacing w:before="480" w:after="60" w:line="320" w:lineRule="exact"/>
      <w:ind w:left="1191" w:right="851" w:hanging="1191"/>
    </w:pPr>
    <w:rPr>
      <w:b/>
      <w:caps/>
    </w:rPr>
  </w:style>
  <w:style w:type="paragraph" w:styleId="TOC4">
    <w:name w:val="toc 4"/>
    <w:basedOn w:val="TOC3"/>
    <w:semiHidden/>
    <w:rsid w:val="00D47A33"/>
    <w:pPr>
      <w:ind w:left="1191" w:firstLine="0"/>
    </w:pPr>
  </w:style>
  <w:style w:type="paragraph" w:customStyle="1" w:styleId="RecBBullet2">
    <w:name w:val="RecB Bullet 2"/>
    <w:basedOn w:val="ListBullet2"/>
    <w:rsid w:val="00D47A33"/>
    <w:pPr>
      <w:pBdr>
        <w:left w:val="single" w:sz="24" w:space="29" w:color="C0C0C0"/>
      </w:pBdr>
    </w:pPr>
    <w:rPr>
      <w:b/>
      <w:i/>
    </w:rPr>
  </w:style>
  <w:style w:type="paragraph" w:styleId="BalloonText">
    <w:name w:val="Balloon Text"/>
    <w:basedOn w:val="Normal"/>
    <w:link w:val="BalloonTextChar"/>
    <w:rsid w:val="00D47A33"/>
    <w:rPr>
      <w:rFonts w:ascii="Tahoma" w:hAnsi="Tahoma" w:cs="Tahoma"/>
      <w:sz w:val="16"/>
      <w:szCs w:val="16"/>
    </w:rPr>
  </w:style>
  <w:style w:type="character" w:customStyle="1" w:styleId="BalloonTextChar">
    <w:name w:val="Balloon Text Char"/>
    <w:basedOn w:val="DefaultParagraphFont"/>
    <w:link w:val="BalloonText"/>
    <w:rsid w:val="00D47A33"/>
    <w:rPr>
      <w:rFonts w:ascii="Tahoma" w:hAnsi="Tahoma" w:cs="Tahoma"/>
      <w:sz w:val="16"/>
      <w:szCs w:val="16"/>
    </w:rPr>
  </w:style>
  <w:style w:type="character" w:customStyle="1" w:styleId="SubtitleChar">
    <w:name w:val="Subtitle Char"/>
    <w:basedOn w:val="DefaultParagraphFont"/>
    <w:link w:val="Subtitle"/>
    <w:rsid w:val="00D47A33"/>
    <w:rPr>
      <w:rFonts w:ascii="Arial" w:hAnsi="Arial"/>
      <w:szCs w:val="24"/>
    </w:rPr>
  </w:style>
  <w:style w:type="paragraph" w:customStyle="1" w:styleId="BoxListBullet3">
    <w:name w:val="Box List Bullet 3"/>
    <w:basedOn w:val="ListBullet3"/>
    <w:rsid w:val="00D47A33"/>
    <w:pPr>
      <w:numPr>
        <w:numId w:val="50"/>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47A33"/>
    <w:rPr>
      <w:i/>
      <w:iCs/>
    </w:rPr>
  </w:style>
  <w:style w:type="character" w:customStyle="1" w:styleId="Heading2Char">
    <w:name w:val="Heading 2 Char"/>
    <w:basedOn w:val="DefaultParagraphFont"/>
    <w:link w:val="Heading2"/>
    <w:rsid w:val="00A00231"/>
    <w:rPr>
      <w:rFonts w:ascii="Arial" w:hAnsi="Arial"/>
      <w:b/>
      <w:sz w:val="32"/>
    </w:rPr>
  </w:style>
  <w:style w:type="character" w:customStyle="1" w:styleId="Heading3Char">
    <w:name w:val="Heading 3 Char"/>
    <w:basedOn w:val="DefaultParagraphFont"/>
    <w:link w:val="Heading3"/>
    <w:rsid w:val="00A00231"/>
    <w:rPr>
      <w:rFonts w:ascii="Arial" w:hAnsi="Arial"/>
      <w:b/>
      <w:sz w:val="26"/>
    </w:rPr>
  </w:style>
  <w:style w:type="character" w:customStyle="1" w:styleId="BodyTextChar">
    <w:name w:val="Body Text Char"/>
    <w:basedOn w:val="DefaultParagraphFont"/>
    <w:link w:val="BodyText"/>
    <w:rsid w:val="00A00231"/>
    <w:rPr>
      <w:sz w:val="26"/>
    </w:rPr>
  </w:style>
  <w:style w:type="character" w:customStyle="1" w:styleId="Heading1Char">
    <w:name w:val="Heading 1 Char"/>
    <w:basedOn w:val="DefaultParagraphFont"/>
    <w:link w:val="Heading1"/>
    <w:rsid w:val="00A00231"/>
    <w:rPr>
      <w:sz w:val="52"/>
    </w:rPr>
  </w:style>
  <w:style w:type="character" w:styleId="Hyperlink">
    <w:name w:val="Hyperlink"/>
    <w:basedOn w:val="DefaultParagraphFont"/>
    <w:uiPriority w:val="99"/>
    <w:unhideWhenUsed/>
    <w:rsid w:val="00A00231"/>
    <w:rPr>
      <w:color w:val="006699"/>
      <w:u w:val="single"/>
    </w:rPr>
  </w:style>
  <w:style w:type="character" w:styleId="FollowedHyperlink">
    <w:name w:val="FollowedHyperlink"/>
    <w:basedOn w:val="DefaultParagraphFont"/>
    <w:rsid w:val="00A00231"/>
    <w:rPr>
      <w:color w:val="800080" w:themeColor="followedHyperlink"/>
      <w:u w:val="single"/>
    </w:rPr>
  </w:style>
  <w:style w:type="character" w:customStyle="1" w:styleId="FootnoteTextChar">
    <w:name w:val="Footnote Text Char"/>
    <w:basedOn w:val="DefaultParagraphFont"/>
    <w:link w:val="FootnoteText"/>
    <w:rsid w:val="00A00231"/>
    <w:rPr>
      <w:sz w:val="22"/>
    </w:rPr>
  </w:style>
  <w:style w:type="character" w:customStyle="1" w:styleId="QuoteChar">
    <w:name w:val="Quote Char"/>
    <w:basedOn w:val="DefaultParagraphFont"/>
    <w:link w:val="Quote"/>
    <w:rsid w:val="00A00231"/>
    <w:rPr>
      <w:sz w:val="24"/>
    </w:rPr>
  </w:style>
  <w:style w:type="paragraph" w:styleId="ListParagraph">
    <w:name w:val="List Paragraph"/>
    <w:basedOn w:val="Normal"/>
    <w:uiPriority w:val="34"/>
    <w:rsid w:val="00A00231"/>
    <w:pPr>
      <w:ind w:left="720"/>
      <w:contextualSpacing/>
    </w:pPr>
  </w:style>
  <w:style w:type="paragraph" w:customStyle="1" w:styleId="Default">
    <w:name w:val="Default"/>
    <w:rsid w:val="00A00231"/>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B36E2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36E2D"/>
    <w:rPr>
      <w:szCs w:val="24"/>
    </w:rPr>
  </w:style>
  <w:style w:type="character" w:customStyle="1" w:styleId="CommentSubjectChar">
    <w:name w:val="Comment Subject Char"/>
    <w:basedOn w:val="CommentTextChar"/>
    <w:link w:val="CommentSubject"/>
    <w:rsid w:val="00B36E2D"/>
    <w:rPr>
      <w:b/>
      <w:bCs/>
      <w:szCs w:val="24"/>
    </w:rPr>
  </w:style>
  <w:style w:type="paragraph" w:styleId="NormalWeb">
    <w:name w:val="Normal (Web)"/>
    <w:basedOn w:val="Normal"/>
    <w:uiPriority w:val="99"/>
    <w:unhideWhenUsed/>
    <w:rsid w:val="003637C7"/>
    <w:pPr>
      <w:spacing w:before="100" w:beforeAutospacing="1" w:after="100" w:afterAutospacing="1"/>
    </w:pPr>
    <w:rPr>
      <w:rFonts w:eastAsiaTheme="minorEastAsia"/>
      <w:sz w:val="24"/>
    </w:rPr>
  </w:style>
  <w:style w:type="paragraph" w:styleId="PlainText">
    <w:name w:val="Plain Text"/>
    <w:basedOn w:val="Normal"/>
    <w:link w:val="PlainTextChar"/>
    <w:uiPriority w:val="99"/>
    <w:unhideWhenUsed/>
    <w:rsid w:val="001151B8"/>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51B8"/>
    <w:rPr>
      <w:rFonts w:ascii="Calibri" w:eastAsiaTheme="minorHAnsi" w:hAnsi="Calibri" w:cstheme="minorBidi"/>
      <w:sz w:val="22"/>
      <w:szCs w:val="21"/>
      <w:lang w:eastAsia="en-US"/>
    </w:rPr>
  </w:style>
  <w:style w:type="paragraph" w:customStyle="1" w:styleId="BoxQuoteBullet">
    <w:name w:val="Box Quote Bullet"/>
    <w:basedOn w:val="BoxQuote"/>
    <w:next w:val="Box"/>
    <w:rsid w:val="00D47A33"/>
    <w:pPr>
      <w:numPr>
        <w:numId w:val="48"/>
      </w:numPr>
      <w:ind w:left="568" w:hanging="284"/>
    </w:pPr>
  </w:style>
  <w:style w:type="paragraph" w:customStyle="1" w:styleId="InformationRequestBullet">
    <w:name w:val="Information Request Bullet"/>
    <w:basedOn w:val="ListBullet"/>
    <w:next w:val="BodyText"/>
    <w:rsid w:val="00D47A33"/>
    <w:pPr>
      <w:numPr>
        <w:numId w:val="49"/>
      </w:numPr>
      <w:ind w:left="340" w:hanging="340"/>
    </w:pPr>
    <w:rPr>
      <w:rFonts w:ascii="Arial" w:hAnsi="Arial"/>
      <w:i/>
      <w:sz w:val="24"/>
    </w:rPr>
  </w:style>
  <w:style w:type="paragraph" w:styleId="Revision">
    <w:name w:val="Revision"/>
    <w:hidden/>
    <w:uiPriority w:val="99"/>
    <w:semiHidden/>
    <w:rsid w:val="004A189E"/>
    <w:rPr>
      <w:sz w:val="26"/>
      <w:szCs w:val="24"/>
    </w:rPr>
  </w:style>
  <w:style w:type="character" w:customStyle="1" w:styleId="Heading4Char">
    <w:name w:val="Heading 4 Char"/>
    <w:basedOn w:val="DefaultParagraphFont"/>
    <w:link w:val="Heading4"/>
    <w:rsid w:val="00C25095"/>
    <w:rPr>
      <w:rFonts w:ascii="Arial" w:hAnsi="Arial"/>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List Bullet 2" w:qFormat="1"/>
    <w:lsdException w:name="Default Paragraph Font" w:uiPriority="1"/>
    <w:lsdException w:name="Body Text" w:qFormat="1"/>
    <w:lsdException w:name="Subtitle" w:qFormat="1"/>
    <w:lsdException w:name="Hyperlink" w:uiPriority="99"/>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7A33"/>
    <w:rPr>
      <w:sz w:val="26"/>
      <w:szCs w:val="24"/>
    </w:rPr>
  </w:style>
  <w:style w:type="paragraph" w:styleId="Heading1">
    <w:name w:val="heading 1"/>
    <w:basedOn w:val="BodyText"/>
    <w:next w:val="BodyText"/>
    <w:link w:val="Heading1Char"/>
    <w:rsid w:val="00D47A3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D47A3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47A33"/>
    <w:pPr>
      <w:spacing w:before="560" w:line="320" w:lineRule="exact"/>
      <w:ind w:left="0" w:firstLine="0"/>
      <w:outlineLvl w:val="2"/>
    </w:pPr>
    <w:rPr>
      <w:sz w:val="26"/>
    </w:rPr>
  </w:style>
  <w:style w:type="paragraph" w:styleId="Heading4">
    <w:name w:val="heading 4"/>
    <w:basedOn w:val="Heading3"/>
    <w:next w:val="BodyText"/>
    <w:link w:val="Heading4Char"/>
    <w:qFormat/>
    <w:rsid w:val="00D47A33"/>
    <w:pPr>
      <w:spacing w:before="480"/>
      <w:outlineLvl w:val="3"/>
    </w:pPr>
    <w:rPr>
      <w:b w:val="0"/>
      <w:i/>
      <w:sz w:val="24"/>
    </w:rPr>
  </w:style>
  <w:style w:type="paragraph" w:styleId="Heading5">
    <w:name w:val="heading 5"/>
    <w:basedOn w:val="Heading4"/>
    <w:next w:val="BodyText"/>
    <w:qFormat/>
    <w:rsid w:val="00D47A33"/>
    <w:pPr>
      <w:outlineLvl w:val="4"/>
    </w:pPr>
    <w:rPr>
      <w:rFonts w:ascii="Times New Roman" w:hAnsi="Times New Roman"/>
      <w:sz w:val="26"/>
    </w:rPr>
  </w:style>
  <w:style w:type="paragraph" w:styleId="Heading6">
    <w:name w:val="heading 6"/>
    <w:basedOn w:val="BodyText"/>
    <w:next w:val="BodyText"/>
    <w:rsid w:val="00D47A33"/>
    <w:pPr>
      <w:spacing w:after="60"/>
      <w:jc w:val="left"/>
      <w:outlineLvl w:val="5"/>
    </w:pPr>
    <w:rPr>
      <w:i/>
      <w:sz w:val="22"/>
    </w:rPr>
  </w:style>
  <w:style w:type="paragraph" w:styleId="Heading7">
    <w:name w:val="heading 7"/>
    <w:basedOn w:val="BodyText"/>
    <w:next w:val="BodyText"/>
    <w:rsid w:val="00D47A33"/>
    <w:pPr>
      <w:spacing w:after="60" w:line="240" w:lineRule="auto"/>
      <w:jc w:val="left"/>
      <w:outlineLvl w:val="6"/>
    </w:pPr>
    <w:rPr>
      <w:rFonts w:ascii="Arial" w:hAnsi="Arial"/>
      <w:sz w:val="20"/>
    </w:rPr>
  </w:style>
  <w:style w:type="paragraph" w:styleId="Heading8">
    <w:name w:val="heading 8"/>
    <w:basedOn w:val="BodyText"/>
    <w:next w:val="BodyText"/>
    <w:rsid w:val="00D47A33"/>
    <w:pPr>
      <w:spacing w:after="60" w:line="240" w:lineRule="auto"/>
      <w:jc w:val="left"/>
      <w:outlineLvl w:val="7"/>
    </w:pPr>
    <w:rPr>
      <w:rFonts w:ascii="Arial" w:hAnsi="Arial"/>
      <w:i/>
      <w:sz w:val="20"/>
    </w:rPr>
  </w:style>
  <w:style w:type="paragraph" w:styleId="Heading9">
    <w:name w:val="heading 9"/>
    <w:basedOn w:val="BodyText"/>
    <w:next w:val="BodyText"/>
    <w:rsid w:val="00D47A3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47A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7A33"/>
  </w:style>
  <w:style w:type="paragraph" w:styleId="BodyText">
    <w:name w:val="Body Text"/>
    <w:link w:val="BodyTextChar"/>
    <w:qFormat/>
    <w:rsid w:val="00D47A33"/>
    <w:pPr>
      <w:spacing w:before="240" w:line="320" w:lineRule="atLeast"/>
      <w:jc w:val="both"/>
    </w:pPr>
    <w:rPr>
      <w:sz w:val="26"/>
    </w:rPr>
  </w:style>
  <w:style w:type="paragraph" w:styleId="Footer">
    <w:name w:val="footer"/>
    <w:basedOn w:val="BodyText"/>
    <w:semiHidden/>
    <w:rsid w:val="00D47A33"/>
    <w:pPr>
      <w:spacing w:before="80" w:line="200" w:lineRule="exact"/>
      <w:ind w:right="6"/>
      <w:jc w:val="left"/>
    </w:pPr>
    <w:rPr>
      <w:caps/>
      <w:spacing w:val="-4"/>
      <w:sz w:val="16"/>
    </w:rPr>
  </w:style>
  <w:style w:type="paragraph" w:customStyle="1" w:styleId="FooterEnd">
    <w:name w:val="Footer End"/>
    <w:basedOn w:val="Footer"/>
    <w:rsid w:val="00D47A33"/>
    <w:pPr>
      <w:spacing w:before="0" w:line="20" w:lineRule="exact"/>
    </w:pPr>
  </w:style>
  <w:style w:type="paragraph" w:styleId="Header">
    <w:name w:val="header"/>
    <w:basedOn w:val="BodyText"/>
    <w:rsid w:val="00D47A3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47A33"/>
    <w:pPr>
      <w:spacing w:line="20" w:lineRule="exact"/>
    </w:pPr>
    <w:rPr>
      <w:sz w:val="16"/>
    </w:rPr>
  </w:style>
  <w:style w:type="paragraph" w:customStyle="1" w:styleId="HeaderEven">
    <w:name w:val="Header Even"/>
    <w:basedOn w:val="Header"/>
    <w:semiHidden/>
    <w:rsid w:val="00D47A33"/>
  </w:style>
  <w:style w:type="paragraph" w:customStyle="1" w:styleId="HeaderOdd">
    <w:name w:val="Header Odd"/>
    <w:basedOn w:val="Header"/>
    <w:semiHidden/>
    <w:rsid w:val="00D47A33"/>
  </w:style>
  <w:style w:type="character" w:styleId="PageNumber">
    <w:name w:val="page number"/>
    <w:basedOn w:val="DefaultParagraphFont"/>
    <w:rsid w:val="00D47A33"/>
    <w:rPr>
      <w:rFonts w:ascii="Arial" w:hAnsi="Arial"/>
      <w:b/>
      <w:sz w:val="16"/>
    </w:rPr>
  </w:style>
  <w:style w:type="paragraph" w:customStyle="1" w:styleId="Abbreviation">
    <w:name w:val="Abbreviation"/>
    <w:basedOn w:val="BodyText"/>
    <w:rsid w:val="00D47A33"/>
    <w:pPr>
      <w:spacing w:before="120"/>
      <w:ind w:left="2381" w:hanging="2381"/>
      <w:jc w:val="left"/>
    </w:pPr>
  </w:style>
  <w:style w:type="paragraph" w:customStyle="1" w:styleId="Box">
    <w:name w:val="Box"/>
    <w:basedOn w:val="BodyText"/>
    <w:qFormat/>
    <w:rsid w:val="00D47A33"/>
    <w:pPr>
      <w:keepNext/>
      <w:spacing w:before="120" w:line="280" w:lineRule="atLeast"/>
    </w:pPr>
    <w:rPr>
      <w:rFonts w:ascii="Arial" w:hAnsi="Arial"/>
      <w:sz w:val="22"/>
    </w:rPr>
  </w:style>
  <w:style w:type="paragraph" w:customStyle="1" w:styleId="BoxContinued">
    <w:name w:val="Box Continued"/>
    <w:basedOn w:val="BodyText"/>
    <w:next w:val="BodyText"/>
    <w:semiHidden/>
    <w:rsid w:val="00D47A33"/>
    <w:pPr>
      <w:spacing w:before="180" w:line="220" w:lineRule="exact"/>
      <w:jc w:val="right"/>
    </w:pPr>
    <w:rPr>
      <w:rFonts w:ascii="Arial" w:hAnsi="Arial"/>
      <w:sz w:val="18"/>
    </w:rPr>
  </w:style>
  <w:style w:type="paragraph" w:customStyle="1" w:styleId="BoxHeading1">
    <w:name w:val="Box Heading 1"/>
    <w:basedOn w:val="BodyText"/>
    <w:next w:val="Box"/>
    <w:rsid w:val="00D47A33"/>
    <w:pPr>
      <w:keepNext/>
      <w:spacing w:before="200" w:line="280" w:lineRule="atLeast"/>
    </w:pPr>
    <w:rPr>
      <w:rFonts w:ascii="Arial" w:hAnsi="Arial"/>
      <w:b/>
      <w:sz w:val="22"/>
    </w:rPr>
  </w:style>
  <w:style w:type="paragraph" w:customStyle="1" w:styleId="BoxHeading2">
    <w:name w:val="Box Heading 2"/>
    <w:basedOn w:val="BoxHeading1"/>
    <w:next w:val="Normal"/>
    <w:rsid w:val="00D47A33"/>
    <w:rPr>
      <w:b w:val="0"/>
      <w:i/>
    </w:rPr>
  </w:style>
  <w:style w:type="paragraph" w:customStyle="1" w:styleId="BoxListBullet">
    <w:name w:val="Box List Bullet"/>
    <w:basedOn w:val="BodyText"/>
    <w:rsid w:val="00D47A33"/>
    <w:pPr>
      <w:keepNext/>
      <w:numPr>
        <w:numId w:val="1"/>
      </w:numPr>
      <w:spacing w:before="60" w:line="280" w:lineRule="atLeast"/>
    </w:pPr>
    <w:rPr>
      <w:rFonts w:ascii="Arial" w:hAnsi="Arial"/>
      <w:sz w:val="22"/>
    </w:rPr>
  </w:style>
  <w:style w:type="paragraph" w:customStyle="1" w:styleId="BoxListBullet2">
    <w:name w:val="Box List Bullet 2"/>
    <w:basedOn w:val="BodyText"/>
    <w:rsid w:val="00D47A33"/>
    <w:pPr>
      <w:keepNext/>
      <w:numPr>
        <w:numId w:val="2"/>
      </w:numPr>
      <w:spacing w:before="60" w:line="280" w:lineRule="atLeast"/>
    </w:pPr>
    <w:rPr>
      <w:rFonts w:ascii="Arial" w:hAnsi="Arial"/>
      <w:sz w:val="22"/>
    </w:rPr>
  </w:style>
  <w:style w:type="paragraph" w:customStyle="1" w:styleId="BoxListNumber">
    <w:name w:val="Box List Number"/>
    <w:basedOn w:val="BodyText"/>
    <w:rsid w:val="00D47A33"/>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D47A33"/>
    <w:pPr>
      <w:numPr>
        <w:ilvl w:val="1"/>
      </w:numPr>
    </w:pPr>
  </w:style>
  <w:style w:type="paragraph" w:customStyle="1" w:styleId="BoxQuote">
    <w:name w:val="Box Quote"/>
    <w:basedOn w:val="BodyText"/>
    <w:next w:val="Box"/>
    <w:rsid w:val="00D47A33"/>
    <w:pPr>
      <w:keepNext/>
      <w:spacing w:before="60" w:line="260" w:lineRule="exact"/>
      <w:ind w:left="284"/>
    </w:pPr>
    <w:rPr>
      <w:rFonts w:ascii="Arial" w:hAnsi="Arial"/>
      <w:sz w:val="20"/>
    </w:rPr>
  </w:style>
  <w:style w:type="paragraph" w:customStyle="1" w:styleId="Note">
    <w:name w:val="Note"/>
    <w:basedOn w:val="BodyText"/>
    <w:next w:val="BodyText"/>
    <w:rsid w:val="00D47A33"/>
    <w:pPr>
      <w:keepLines/>
      <w:spacing w:before="80" w:line="220" w:lineRule="exact"/>
    </w:pPr>
    <w:rPr>
      <w:rFonts w:ascii="Arial" w:hAnsi="Arial"/>
      <w:sz w:val="18"/>
    </w:rPr>
  </w:style>
  <w:style w:type="paragraph" w:customStyle="1" w:styleId="Source">
    <w:name w:val="Source"/>
    <w:basedOn w:val="Note"/>
    <w:next w:val="BodyText"/>
    <w:rsid w:val="00D47A33"/>
    <w:pPr>
      <w:spacing w:after="120"/>
    </w:pPr>
  </w:style>
  <w:style w:type="paragraph" w:customStyle="1" w:styleId="BoxSource">
    <w:name w:val="Box Source"/>
    <w:basedOn w:val="Source"/>
    <w:next w:val="BodyText"/>
    <w:rsid w:val="00D47A33"/>
    <w:pPr>
      <w:spacing w:before="180" w:after="0"/>
    </w:pPr>
  </w:style>
  <w:style w:type="paragraph" w:customStyle="1" w:styleId="BoxSpace">
    <w:name w:val="Box Space"/>
    <w:basedOn w:val="BodyText"/>
    <w:rsid w:val="00D47A33"/>
    <w:pPr>
      <w:keepNext/>
      <w:spacing w:before="360" w:line="80" w:lineRule="exact"/>
      <w:jc w:val="left"/>
    </w:pPr>
  </w:style>
  <w:style w:type="paragraph" w:styleId="Caption">
    <w:name w:val="caption"/>
    <w:basedOn w:val="Normal"/>
    <w:next w:val="BodyText"/>
    <w:rsid w:val="00D47A3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47A33"/>
    <w:pPr>
      <w:spacing w:before="120" w:after="0"/>
      <w:ind w:left="1304" w:hanging="1304"/>
    </w:pPr>
    <w:rPr>
      <w:sz w:val="24"/>
    </w:rPr>
  </w:style>
  <w:style w:type="paragraph" w:customStyle="1" w:styleId="BoxSubtitle">
    <w:name w:val="Box Subtitle"/>
    <w:basedOn w:val="BoxTitle"/>
    <w:next w:val="Normal"/>
    <w:rsid w:val="00D47A33"/>
    <w:pPr>
      <w:spacing w:after="80" w:line="200" w:lineRule="exact"/>
      <w:ind w:firstLine="0"/>
    </w:pPr>
    <w:rPr>
      <w:b w:val="0"/>
      <w:sz w:val="20"/>
    </w:rPr>
  </w:style>
  <w:style w:type="paragraph" w:customStyle="1" w:styleId="Chapter">
    <w:name w:val="Chapter"/>
    <w:basedOn w:val="Heading1"/>
    <w:next w:val="BodyText"/>
    <w:semiHidden/>
    <w:rsid w:val="00D47A33"/>
    <w:pPr>
      <w:ind w:left="0" w:firstLine="0"/>
      <w:outlineLvl w:val="9"/>
    </w:pPr>
  </w:style>
  <w:style w:type="paragraph" w:customStyle="1" w:styleId="ChapterSummary">
    <w:name w:val="Chapter Summary"/>
    <w:basedOn w:val="BodyText"/>
    <w:rsid w:val="00D47A33"/>
    <w:pPr>
      <w:ind w:left="907"/>
    </w:pPr>
    <w:rPr>
      <w:rFonts w:ascii="Arial" w:hAnsi="Arial"/>
      <w:b/>
      <w:sz w:val="22"/>
    </w:rPr>
  </w:style>
  <w:style w:type="character" w:styleId="CommentReference">
    <w:name w:val="annotation reference"/>
    <w:basedOn w:val="DefaultParagraphFont"/>
    <w:semiHidden/>
    <w:rsid w:val="00D47A33"/>
    <w:rPr>
      <w:b/>
      <w:vanish/>
      <w:color w:val="FF00FF"/>
      <w:sz w:val="20"/>
    </w:rPr>
  </w:style>
  <w:style w:type="paragraph" w:styleId="CommentText">
    <w:name w:val="annotation text"/>
    <w:basedOn w:val="Normal"/>
    <w:link w:val="CommentTextChar"/>
    <w:semiHidden/>
    <w:rsid w:val="00D47A33"/>
    <w:pPr>
      <w:spacing w:before="120" w:line="240" w:lineRule="atLeast"/>
      <w:ind w:left="567" w:hanging="567"/>
    </w:pPr>
    <w:rPr>
      <w:sz w:val="20"/>
    </w:rPr>
  </w:style>
  <w:style w:type="paragraph" w:customStyle="1" w:styleId="Continued">
    <w:name w:val="Continued"/>
    <w:basedOn w:val="BoxContinued"/>
    <w:next w:val="BodyText"/>
    <w:rsid w:val="00D47A33"/>
  </w:style>
  <w:style w:type="character" w:customStyle="1" w:styleId="DocumentInfo">
    <w:name w:val="Document Info"/>
    <w:basedOn w:val="DefaultParagraphFont"/>
    <w:semiHidden/>
    <w:rsid w:val="00D47A33"/>
    <w:rPr>
      <w:rFonts w:ascii="Arial" w:hAnsi="Arial"/>
      <w:sz w:val="14"/>
    </w:rPr>
  </w:style>
  <w:style w:type="character" w:customStyle="1" w:styleId="DraftingNote">
    <w:name w:val="Drafting Note"/>
    <w:basedOn w:val="DefaultParagraphFont"/>
    <w:rsid w:val="00D47A33"/>
    <w:rPr>
      <w:b/>
      <w:color w:val="FF0000"/>
      <w:sz w:val="24"/>
      <w:u w:val="dotted"/>
    </w:rPr>
  </w:style>
  <w:style w:type="paragraph" w:customStyle="1" w:styleId="Figure">
    <w:name w:val="Figure"/>
    <w:basedOn w:val="BodyText"/>
    <w:rsid w:val="00D47A33"/>
    <w:pPr>
      <w:keepNext/>
      <w:spacing w:before="120" w:after="120" w:line="240" w:lineRule="atLeast"/>
      <w:jc w:val="center"/>
    </w:pPr>
  </w:style>
  <w:style w:type="paragraph" w:customStyle="1" w:styleId="FigureTitle">
    <w:name w:val="Figure Title"/>
    <w:basedOn w:val="Caption"/>
    <w:next w:val="Subtitle"/>
    <w:rsid w:val="00D47A33"/>
    <w:rPr>
      <w:sz w:val="24"/>
    </w:rPr>
  </w:style>
  <w:style w:type="paragraph" w:styleId="Subtitle">
    <w:name w:val="Subtitle"/>
    <w:basedOn w:val="Caption"/>
    <w:link w:val="SubtitleChar"/>
    <w:rsid w:val="00D47A33"/>
    <w:pPr>
      <w:spacing w:before="0" w:line="200" w:lineRule="exact"/>
      <w:ind w:firstLine="0"/>
    </w:pPr>
    <w:rPr>
      <w:b w:val="0"/>
      <w:sz w:val="20"/>
    </w:rPr>
  </w:style>
  <w:style w:type="paragraph" w:customStyle="1" w:styleId="Finding">
    <w:name w:val="Finding"/>
    <w:basedOn w:val="BodyText"/>
    <w:rsid w:val="00D47A33"/>
    <w:pPr>
      <w:keepLines/>
      <w:spacing w:before="180"/>
    </w:pPr>
    <w:rPr>
      <w:i/>
    </w:rPr>
  </w:style>
  <w:style w:type="paragraph" w:customStyle="1" w:styleId="FindingBullet">
    <w:name w:val="Finding Bullet"/>
    <w:basedOn w:val="Finding"/>
    <w:rsid w:val="00D47A33"/>
    <w:pPr>
      <w:numPr>
        <w:numId w:val="3"/>
      </w:numPr>
      <w:spacing w:before="80"/>
    </w:pPr>
  </w:style>
  <w:style w:type="paragraph" w:customStyle="1" w:styleId="FindingNoTitle">
    <w:name w:val="Finding NoTitle"/>
    <w:basedOn w:val="Finding"/>
    <w:rsid w:val="00D47A33"/>
    <w:pPr>
      <w:spacing w:before="240"/>
    </w:pPr>
  </w:style>
  <w:style w:type="paragraph" w:customStyle="1" w:styleId="RecTitle">
    <w:name w:val="Rec Title"/>
    <w:basedOn w:val="BodyText"/>
    <w:next w:val="Normal"/>
    <w:rsid w:val="00D47A33"/>
    <w:pPr>
      <w:keepNext/>
      <w:keepLines/>
    </w:pPr>
    <w:rPr>
      <w:caps/>
      <w:sz w:val="20"/>
    </w:rPr>
  </w:style>
  <w:style w:type="paragraph" w:customStyle="1" w:styleId="FindingTitle">
    <w:name w:val="Finding Title"/>
    <w:basedOn w:val="RecTitle"/>
    <w:next w:val="Finding"/>
    <w:rsid w:val="00D47A33"/>
    <w:pPr>
      <w:framePr w:wrap="notBeside" w:hAnchor="text"/>
    </w:pPr>
  </w:style>
  <w:style w:type="character" w:styleId="FootnoteReference">
    <w:name w:val="footnote reference"/>
    <w:basedOn w:val="DefaultParagraphFont"/>
    <w:semiHidden/>
    <w:rsid w:val="00D47A33"/>
    <w:rPr>
      <w:rFonts w:ascii="Times New Roman" w:hAnsi="Times New Roman"/>
      <w:position w:val="6"/>
      <w:sz w:val="22"/>
      <w:vertAlign w:val="baseline"/>
    </w:rPr>
  </w:style>
  <w:style w:type="paragraph" w:styleId="FootnoteText">
    <w:name w:val="footnote text"/>
    <w:basedOn w:val="BodyText"/>
    <w:link w:val="FootnoteTextChar"/>
    <w:rsid w:val="00D47A33"/>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D47A33"/>
    <w:pPr>
      <w:spacing w:before="360" w:after="120"/>
    </w:pPr>
    <w:rPr>
      <w:rFonts w:ascii="Arial" w:hAnsi="Arial"/>
      <w:sz w:val="24"/>
    </w:rPr>
  </w:style>
  <w:style w:type="paragraph" w:customStyle="1" w:styleId="Jurisdictioncommentsbodytext">
    <w:name w:val="Jurisdiction comments body text"/>
    <w:rsid w:val="00D47A33"/>
    <w:pPr>
      <w:spacing w:after="140"/>
      <w:jc w:val="both"/>
    </w:pPr>
    <w:rPr>
      <w:rFonts w:ascii="Arial" w:hAnsi="Arial"/>
      <w:sz w:val="24"/>
      <w:lang w:eastAsia="en-US"/>
    </w:rPr>
  </w:style>
  <w:style w:type="paragraph" w:customStyle="1" w:styleId="Jurisdictioncommentsheading">
    <w:name w:val="Jurisdiction comments heading"/>
    <w:rsid w:val="00D47A3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47A33"/>
    <w:pPr>
      <w:numPr>
        <w:numId w:val="4"/>
      </w:numPr>
      <w:spacing w:after="140"/>
      <w:jc w:val="both"/>
    </w:pPr>
    <w:rPr>
      <w:rFonts w:ascii="Arial" w:hAnsi="Arial"/>
      <w:sz w:val="24"/>
      <w:lang w:eastAsia="en-US"/>
    </w:rPr>
  </w:style>
  <w:style w:type="paragraph" w:styleId="ListBullet">
    <w:name w:val="List Bullet"/>
    <w:basedOn w:val="BodyText"/>
    <w:rsid w:val="00D47A33"/>
    <w:pPr>
      <w:numPr>
        <w:numId w:val="6"/>
      </w:numPr>
      <w:spacing w:before="120"/>
    </w:pPr>
  </w:style>
  <w:style w:type="paragraph" w:styleId="ListBullet2">
    <w:name w:val="List Bullet 2"/>
    <w:basedOn w:val="BodyText"/>
    <w:rsid w:val="00D47A33"/>
    <w:pPr>
      <w:numPr>
        <w:numId w:val="8"/>
      </w:numPr>
      <w:spacing w:before="120"/>
    </w:pPr>
  </w:style>
  <w:style w:type="paragraph" w:styleId="ListBullet3">
    <w:name w:val="List Bullet 3"/>
    <w:basedOn w:val="BodyText"/>
    <w:rsid w:val="00D47A33"/>
    <w:pPr>
      <w:numPr>
        <w:numId w:val="10"/>
      </w:numPr>
      <w:spacing w:before="120"/>
    </w:pPr>
  </w:style>
  <w:style w:type="paragraph" w:styleId="ListNumber">
    <w:name w:val="List Number"/>
    <w:basedOn w:val="BodyText"/>
    <w:rsid w:val="00D47A33"/>
    <w:pPr>
      <w:numPr>
        <w:numId w:val="32"/>
      </w:numPr>
      <w:spacing w:before="120"/>
    </w:pPr>
  </w:style>
  <w:style w:type="paragraph" w:styleId="ListNumber2">
    <w:name w:val="List Number 2"/>
    <w:basedOn w:val="ListNumber"/>
    <w:rsid w:val="00D47A33"/>
    <w:pPr>
      <w:numPr>
        <w:ilvl w:val="1"/>
      </w:numPr>
    </w:pPr>
  </w:style>
  <w:style w:type="paragraph" w:styleId="ListNumber3">
    <w:name w:val="List Number 3"/>
    <w:basedOn w:val="ListNumber2"/>
    <w:rsid w:val="00D47A33"/>
    <w:pPr>
      <w:numPr>
        <w:ilvl w:val="2"/>
      </w:numPr>
      <w:ind w:left="1248" w:hanging="454"/>
    </w:pPr>
  </w:style>
  <w:style w:type="character" w:customStyle="1" w:styleId="NoteLabel">
    <w:name w:val="Note Label"/>
    <w:basedOn w:val="DefaultParagraphFont"/>
    <w:rsid w:val="00D47A33"/>
    <w:rPr>
      <w:rFonts w:ascii="Arial" w:hAnsi="Arial"/>
      <w:b/>
      <w:position w:val="6"/>
      <w:sz w:val="18"/>
    </w:rPr>
  </w:style>
  <w:style w:type="paragraph" w:customStyle="1" w:styleId="PartDivider">
    <w:name w:val="Part Divider"/>
    <w:basedOn w:val="BodyText"/>
    <w:next w:val="BodyText"/>
    <w:semiHidden/>
    <w:rsid w:val="00D47A33"/>
    <w:pPr>
      <w:spacing w:before="0" w:line="40" w:lineRule="exact"/>
      <w:jc w:val="right"/>
    </w:pPr>
    <w:rPr>
      <w:smallCaps/>
      <w:sz w:val="16"/>
    </w:rPr>
  </w:style>
  <w:style w:type="paragraph" w:customStyle="1" w:styleId="PartNumber">
    <w:name w:val="Part Number"/>
    <w:basedOn w:val="BodyText"/>
    <w:next w:val="BodyText"/>
    <w:semiHidden/>
    <w:rsid w:val="00D47A33"/>
    <w:pPr>
      <w:spacing w:before="4000" w:line="320" w:lineRule="exact"/>
      <w:ind w:left="6634"/>
      <w:jc w:val="right"/>
    </w:pPr>
    <w:rPr>
      <w:smallCaps/>
      <w:spacing w:val="60"/>
      <w:sz w:val="32"/>
    </w:rPr>
  </w:style>
  <w:style w:type="paragraph" w:customStyle="1" w:styleId="PartTitle">
    <w:name w:val="Part Title"/>
    <w:basedOn w:val="BodyText"/>
    <w:semiHidden/>
    <w:rsid w:val="00D47A33"/>
    <w:pPr>
      <w:spacing w:before="160" w:after="1360" w:line="520" w:lineRule="exact"/>
      <w:ind w:right="2381"/>
      <w:jc w:val="right"/>
    </w:pPr>
    <w:rPr>
      <w:smallCaps/>
      <w:sz w:val="52"/>
    </w:rPr>
  </w:style>
  <w:style w:type="paragraph" w:styleId="Quote">
    <w:name w:val="Quote"/>
    <w:basedOn w:val="BodyText"/>
    <w:next w:val="BodyText"/>
    <w:link w:val="QuoteChar"/>
    <w:qFormat/>
    <w:rsid w:val="00D47A33"/>
    <w:pPr>
      <w:spacing w:before="120" w:line="280" w:lineRule="exact"/>
      <w:ind w:left="340"/>
    </w:pPr>
    <w:rPr>
      <w:sz w:val="24"/>
    </w:rPr>
  </w:style>
  <w:style w:type="paragraph" w:customStyle="1" w:styleId="QuoteBullet">
    <w:name w:val="Quote Bullet"/>
    <w:basedOn w:val="Quote"/>
    <w:rsid w:val="00D47A33"/>
    <w:pPr>
      <w:numPr>
        <w:numId w:val="14"/>
      </w:numPr>
    </w:pPr>
  </w:style>
  <w:style w:type="paragraph" w:customStyle="1" w:styleId="Rec">
    <w:name w:val="Rec"/>
    <w:basedOn w:val="BodyText"/>
    <w:rsid w:val="00D47A33"/>
    <w:pPr>
      <w:keepLines/>
      <w:spacing w:before="180"/>
    </w:pPr>
    <w:rPr>
      <w:b/>
      <w:i/>
    </w:rPr>
  </w:style>
  <w:style w:type="paragraph" w:customStyle="1" w:styleId="RecBullet">
    <w:name w:val="Rec Bullet"/>
    <w:basedOn w:val="Rec"/>
    <w:rsid w:val="00D47A33"/>
    <w:pPr>
      <w:numPr>
        <w:numId w:val="15"/>
      </w:numPr>
      <w:spacing w:before="80"/>
    </w:pPr>
  </w:style>
  <w:style w:type="paragraph" w:customStyle="1" w:styleId="RecB">
    <w:name w:val="RecB"/>
    <w:basedOn w:val="Normal"/>
    <w:rsid w:val="00D47A3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47A33"/>
    <w:pPr>
      <w:numPr>
        <w:numId w:val="16"/>
      </w:numPr>
      <w:spacing w:before="80"/>
    </w:pPr>
  </w:style>
  <w:style w:type="paragraph" w:customStyle="1" w:styleId="RecBNoTitle">
    <w:name w:val="RecB NoTitle"/>
    <w:basedOn w:val="RecB"/>
    <w:rsid w:val="00D47A33"/>
    <w:pPr>
      <w:spacing w:before="240"/>
    </w:pPr>
  </w:style>
  <w:style w:type="paragraph" w:customStyle="1" w:styleId="Reference">
    <w:name w:val="Reference"/>
    <w:basedOn w:val="BodyText"/>
    <w:rsid w:val="00D47A33"/>
    <w:pPr>
      <w:spacing w:before="120"/>
      <w:ind w:left="340" w:hanging="340"/>
    </w:pPr>
  </w:style>
  <w:style w:type="paragraph" w:customStyle="1" w:styleId="SequenceInfo">
    <w:name w:val="Sequence Info"/>
    <w:basedOn w:val="BodyText"/>
    <w:semiHidden/>
    <w:rsid w:val="00D47A33"/>
    <w:rPr>
      <w:vanish/>
      <w:sz w:val="16"/>
    </w:rPr>
  </w:style>
  <w:style w:type="paragraph" w:customStyle="1" w:styleId="SideNote">
    <w:name w:val="Side Note"/>
    <w:basedOn w:val="BodyText"/>
    <w:next w:val="BodyText"/>
    <w:semiHidden/>
    <w:rsid w:val="00D47A3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D47A33"/>
    <w:pPr>
      <w:framePr w:wrap="around"/>
      <w:numPr>
        <w:numId w:val="17"/>
      </w:numPr>
      <w:tabs>
        <w:tab w:val="left" w:pos="227"/>
      </w:tabs>
    </w:pPr>
  </w:style>
  <w:style w:type="paragraph" w:customStyle="1" w:styleId="SideNoteGraphic">
    <w:name w:val="Side Note Graphic"/>
    <w:basedOn w:val="SideNote"/>
    <w:next w:val="BodyText"/>
    <w:semiHidden/>
    <w:rsid w:val="00D47A33"/>
    <w:pPr>
      <w:framePr w:wrap="around"/>
    </w:pPr>
  </w:style>
  <w:style w:type="paragraph" w:customStyle="1" w:styleId="TableBodyText">
    <w:name w:val="Table Body Text"/>
    <w:basedOn w:val="BodyText"/>
    <w:rsid w:val="00D47A33"/>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D47A33"/>
    <w:pPr>
      <w:numPr>
        <w:numId w:val="18"/>
      </w:numPr>
      <w:jc w:val="left"/>
    </w:pPr>
  </w:style>
  <w:style w:type="paragraph" w:customStyle="1" w:styleId="TableColumnHeading">
    <w:name w:val="Table Column Heading"/>
    <w:basedOn w:val="TableBodyText"/>
    <w:rsid w:val="00D47A33"/>
    <w:pPr>
      <w:spacing w:before="80" w:after="80"/>
    </w:pPr>
    <w:rPr>
      <w:i/>
    </w:rPr>
  </w:style>
  <w:style w:type="paragraph" w:styleId="TOC2">
    <w:name w:val="toc 2"/>
    <w:basedOn w:val="BodyText"/>
    <w:semiHidden/>
    <w:rsid w:val="00D47A33"/>
    <w:pPr>
      <w:tabs>
        <w:tab w:val="right" w:pos="8789"/>
      </w:tabs>
      <w:ind w:left="510" w:right="851" w:hanging="510"/>
      <w:jc w:val="left"/>
    </w:pPr>
    <w:rPr>
      <w:b/>
    </w:rPr>
  </w:style>
  <w:style w:type="paragraph" w:styleId="TOC3">
    <w:name w:val="toc 3"/>
    <w:basedOn w:val="TOC2"/>
    <w:semiHidden/>
    <w:rsid w:val="00D47A33"/>
    <w:pPr>
      <w:spacing w:before="60"/>
      <w:ind w:left="1190" w:hanging="680"/>
    </w:pPr>
    <w:rPr>
      <w:b w:val="0"/>
    </w:rPr>
  </w:style>
  <w:style w:type="paragraph" w:styleId="TableofFigures">
    <w:name w:val="table of figures"/>
    <w:basedOn w:val="TOC3"/>
    <w:next w:val="BodyText"/>
    <w:semiHidden/>
    <w:rsid w:val="00D47A33"/>
    <w:pPr>
      <w:ind w:left="737" w:hanging="737"/>
    </w:pPr>
  </w:style>
  <w:style w:type="paragraph" w:customStyle="1" w:styleId="TableTitle">
    <w:name w:val="Table Title"/>
    <w:basedOn w:val="Caption"/>
    <w:next w:val="Subtitle"/>
    <w:rsid w:val="00D47A33"/>
    <w:rPr>
      <w:sz w:val="24"/>
    </w:rPr>
  </w:style>
  <w:style w:type="paragraph" w:customStyle="1" w:styleId="TableUnitsRow">
    <w:name w:val="Table Units Row"/>
    <w:basedOn w:val="TableBodyText"/>
    <w:rsid w:val="00D47A33"/>
    <w:pPr>
      <w:spacing w:before="80" w:after="80"/>
    </w:pPr>
  </w:style>
  <w:style w:type="paragraph" w:styleId="TOC1">
    <w:name w:val="toc 1"/>
    <w:basedOn w:val="Normal"/>
    <w:next w:val="TOC2"/>
    <w:semiHidden/>
    <w:rsid w:val="00D47A33"/>
    <w:pPr>
      <w:tabs>
        <w:tab w:val="right" w:pos="8789"/>
      </w:tabs>
      <w:spacing w:before="480" w:after="60" w:line="320" w:lineRule="exact"/>
      <w:ind w:left="1191" w:right="851" w:hanging="1191"/>
    </w:pPr>
    <w:rPr>
      <w:b/>
      <w:caps/>
    </w:rPr>
  </w:style>
  <w:style w:type="paragraph" w:styleId="TOC4">
    <w:name w:val="toc 4"/>
    <w:basedOn w:val="TOC3"/>
    <w:semiHidden/>
    <w:rsid w:val="00D47A33"/>
    <w:pPr>
      <w:ind w:left="1191" w:firstLine="0"/>
    </w:pPr>
  </w:style>
  <w:style w:type="paragraph" w:customStyle="1" w:styleId="RecBBullet2">
    <w:name w:val="RecB Bullet 2"/>
    <w:basedOn w:val="ListBullet2"/>
    <w:rsid w:val="00D47A33"/>
    <w:pPr>
      <w:pBdr>
        <w:left w:val="single" w:sz="24" w:space="29" w:color="C0C0C0"/>
      </w:pBdr>
    </w:pPr>
    <w:rPr>
      <w:b/>
      <w:i/>
    </w:rPr>
  </w:style>
  <w:style w:type="paragraph" w:styleId="BalloonText">
    <w:name w:val="Balloon Text"/>
    <w:basedOn w:val="Normal"/>
    <w:link w:val="BalloonTextChar"/>
    <w:rsid w:val="00D47A33"/>
    <w:rPr>
      <w:rFonts w:ascii="Tahoma" w:hAnsi="Tahoma" w:cs="Tahoma"/>
      <w:sz w:val="16"/>
      <w:szCs w:val="16"/>
    </w:rPr>
  </w:style>
  <w:style w:type="character" w:customStyle="1" w:styleId="BalloonTextChar">
    <w:name w:val="Balloon Text Char"/>
    <w:basedOn w:val="DefaultParagraphFont"/>
    <w:link w:val="BalloonText"/>
    <w:rsid w:val="00D47A33"/>
    <w:rPr>
      <w:rFonts w:ascii="Tahoma" w:hAnsi="Tahoma" w:cs="Tahoma"/>
      <w:sz w:val="16"/>
      <w:szCs w:val="16"/>
    </w:rPr>
  </w:style>
  <w:style w:type="character" w:customStyle="1" w:styleId="SubtitleChar">
    <w:name w:val="Subtitle Char"/>
    <w:basedOn w:val="DefaultParagraphFont"/>
    <w:link w:val="Subtitle"/>
    <w:rsid w:val="00D47A33"/>
    <w:rPr>
      <w:rFonts w:ascii="Arial" w:hAnsi="Arial"/>
      <w:szCs w:val="24"/>
    </w:rPr>
  </w:style>
  <w:style w:type="paragraph" w:customStyle="1" w:styleId="BoxListBullet3">
    <w:name w:val="Box List Bullet 3"/>
    <w:basedOn w:val="ListBullet3"/>
    <w:rsid w:val="00D47A33"/>
    <w:pPr>
      <w:numPr>
        <w:numId w:val="50"/>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47A33"/>
    <w:rPr>
      <w:i/>
      <w:iCs/>
    </w:rPr>
  </w:style>
  <w:style w:type="character" w:customStyle="1" w:styleId="Heading2Char">
    <w:name w:val="Heading 2 Char"/>
    <w:basedOn w:val="DefaultParagraphFont"/>
    <w:link w:val="Heading2"/>
    <w:rsid w:val="00A00231"/>
    <w:rPr>
      <w:rFonts w:ascii="Arial" w:hAnsi="Arial"/>
      <w:b/>
      <w:sz w:val="32"/>
    </w:rPr>
  </w:style>
  <w:style w:type="character" w:customStyle="1" w:styleId="Heading3Char">
    <w:name w:val="Heading 3 Char"/>
    <w:basedOn w:val="DefaultParagraphFont"/>
    <w:link w:val="Heading3"/>
    <w:rsid w:val="00A00231"/>
    <w:rPr>
      <w:rFonts w:ascii="Arial" w:hAnsi="Arial"/>
      <w:b/>
      <w:sz w:val="26"/>
    </w:rPr>
  </w:style>
  <w:style w:type="character" w:customStyle="1" w:styleId="BodyTextChar">
    <w:name w:val="Body Text Char"/>
    <w:basedOn w:val="DefaultParagraphFont"/>
    <w:link w:val="BodyText"/>
    <w:rsid w:val="00A00231"/>
    <w:rPr>
      <w:sz w:val="26"/>
    </w:rPr>
  </w:style>
  <w:style w:type="character" w:customStyle="1" w:styleId="Heading1Char">
    <w:name w:val="Heading 1 Char"/>
    <w:basedOn w:val="DefaultParagraphFont"/>
    <w:link w:val="Heading1"/>
    <w:rsid w:val="00A00231"/>
    <w:rPr>
      <w:sz w:val="52"/>
    </w:rPr>
  </w:style>
  <w:style w:type="character" w:styleId="Hyperlink">
    <w:name w:val="Hyperlink"/>
    <w:basedOn w:val="DefaultParagraphFont"/>
    <w:uiPriority w:val="99"/>
    <w:unhideWhenUsed/>
    <w:rsid w:val="00A00231"/>
    <w:rPr>
      <w:color w:val="006699"/>
      <w:u w:val="single"/>
    </w:rPr>
  </w:style>
  <w:style w:type="character" w:styleId="FollowedHyperlink">
    <w:name w:val="FollowedHyperlink"/>
    <w:basedOn w:val="DefaultParagraphFont"/>
    <w:rsid w:val="00A00231"/>
    <w:rPr>
      <w:color w:val="800080" w:themeColor="followedHyperlink"/>
      <w:u w:val="single"/>
    </w:rPr>
  </w:style>
  <w:style w:type="character" w:customStyle="1" w:styleId="FootnoteTextChar">
    <w:name w:val="Footnote Text Char"/>
    <w:basedOn w:val="DefaultParagraphFont"/>
    <w:link w:val="FootnoteText"/>
    <w:rsid w:val="00A00231"/>
    <w:rPr>
      <w:sz w:val="22"/>
    </w:rPr>
  </w:style>
  <w:style w:type="character" w:customStyle="1" w:styleId="QuoteChar">
    <w:name w:val="Quote Char"/>
    <w:basedOn w:val="DefaultParagraphFont"/>
    <w:link w:val="Quote"/>
    <w:rsid w:val="00A00231"/>
    <w:rPr>
      <w:sz w:val="24"/>
    </w:rPr>
  </w:style>
  <w:style w:type="paragraph" w:styleId="ListParagraph">
    <w:name w:val="List Paragraph"/>
    <w:basedOn w:val="Normal"/>
    <w:uiPriority w:val="34"/>
    <w:rsid w:val="00A00231"/>
    <w:pPr>
      <w:ind w:left="720"/>
      <w:contextualSpacing/>
    </w:pPr>
  </w:style>
  <w:style w:type="paragraph" w:customStyle="1" w:styleId="Default">
    <w:name w:val="Default"/>
    <w:rsid w:val="00A00231"/>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B36E2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36E2D"/>
    <w:rPr>
      <w:szCs w:val="24"/>
    </w:rPr>
  </w:style>
  <w:style w:type="character" w:customStyle="1" w:styleId="CommentSubjectChar">
    <w:name w:val="Comment Subject Char"/>
    <w:basedOn w:val="CommentTextChar"/>
    <w:link w:val="CommentSubject"/>
    <w:rsid w:val="00B36E2D"/>
    <w:rPr>
      <w:b/>
      <w:bCs/>
      <w:szCs w:val="24"/>
    </w:rPr>
  </w:style>
  <w:style w:type="paragraph" w:styleId="NormalWeb">
    <w:name w:val="Normal (Web)"/>
    <w:basedOn w:val="Normal"/>
    <w:uiPriority w:val="99"/>
    <w:unhideWhenUsed/>
    <w:rsid w:val="003637C7"/>
    <w:pPr>
      <w:spacing w:before="100" w:beforeAutospacing="1" w:after="100" w:afterAutospacing="1"/>
    </w:pPr>
    <w:rPr>
      <w:rFonts w:eastAsiaTheme="minorEastAsia"/>
      <w:sz w:val="24"/>
    </w:rPr>
  </w:style>
  <w:style w:type="paragraph" w:styleId="PlainText">
    <w:name w:val="Plain Text"/>
    <w:basedOn w:val="Normal"/>
    <w:link w:val="PlainTextChar"/>
    <w:uiPriority w:val="99"/>
    <w:unhideWhenUsed/>
    <w:rsid w:val="001151B8"/>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51B8"/>
    <w:rPr>
      <w:rFonts w:ascii="Calibri" w:eastAsiaTheme="minorHAnsi" w:hAnsi="Calibri" w:cstheme="minorBidi"/>
      <w:sz w:val="22"/>
      <w:szCs w:val="21"/>
      <w:lang w:eastAsia="en-US"/>
    </w:rPr>
  </w:style>
  <w:style w:type="paragraph" w:customStyle="1" w:styleId="BoxQuoteBullet">
    <w:name w:val="Box Quote Bullet"/>
    <w:basedOn w:val="BoxQuote"/>
    <w:next w:val="Box"/>
    <w:rsid w:val="00D47A33"/>
    <w:pPr>
      <w:numPr>
        <w:numId w:val="48"/>
      </w:numPr>
      <w:ind w:left="568" w:hanging="284"/>
    </w:pPr>
  </w:style>
  <w:style w:type="paragraph" w:customStyle="1" w:styleId="InformationRequestBullet">
    <w:name w:val="Information Request Bullet"/>
    <w:basedOn w:val="ListBullet"/>
    <w:next w:val="BodyText"/>
    <w:rsid w:val="00D47A33"/>
    <w:pPr>
      <w:numPr>
        <w:numId w:val="49"/>
      </w:numPr>
      <w:ind w:left="340" w:hanging="340"/>
    </w:pPr>
    <w:rPr>
      <w:rFonts w:ascii="Arial" w:hAnsi="Arial"/>
      <w:i/>
      <w:sz w:val="24"/>
    </w:rPr>
  </w:style>
  <w:style w:type="paragraph" w:styleId="Revision">
    <w:name w:val="Revision"/>
    <w:hidden/>
    <w:uiPriority w:val="99"/>
    <w:semiHidden/>
    <w:rsid w:val="004A189E"/>
    <w:rPr>
      <w:sz w:val="26"/>
      <w:szCs w:val="24"/>
    </w:rPr>
  </w:style>
  <w:style w:type="character" w:customStyle="1" w:styleId="Heading4Char">
    <w:name w:val="Heading 4 Char"/>
    <w:basedOn w:val="DefaultParagraphFont"/>
    <w:link w:val="Heading4"/>
    <w:rsid w:val="00C25095"/>
    <w:rPr>
      <w:rFonts w:ascii="Arial" w:hAnsi="Arial"/>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4584">
      <w:bodyDiv w:val="1"/>
      <w:marLeft w:val="0"/>
      <w:marRight w:val="0"/>
      <w:marTop w:val="0"/>
      <w:marBottom w:val="0"/>
      <w:divBdr>
        <w:top w:val="none" w:sz="0" w:space="0" w:color="auto"/>
        <w:left w:val="none" w:sz="0" w:space="0" w:color="auto"/>
        <w:bottom w:val="none" w:sz="0" w:space="0" w:color="auto"/>
        <w:right w:val="none" w:sz="0" w:space="0" w:color="auto"/>
      </w:divBdr>
    </w:div>
    <w:div w:id="121928740">
      <w:bodyDiv w:val="1"/>
      <w:marLeft w:val="0"/>
      <w:marRight w:val="0"/>
      <w:marTop w:val="0"/>
      <w:marBottom w:val="0"/>
      <w:divBdr>
        <w:top w:val="none" w:sz="0" w:space="0" w:color="auto"/>
        <w:left w:val="none" w:sz="0" w:space="0" w:color="auto"/>
        <w:bottom w:val="none" w:sz="0" w:space="0" w:color="auto"/>
        <w:right w:val="none" w:sz="0" w:space="0" w:color="auto"/>
      </w:divBdr>
    </w:div>
    <w:div w:id="295069752">
      <w:bodyDiv w:val="1"/>
      <w:marLeft w:val="0"/>
      <w:marRight w:val="0"/>
      <w:marTop w:val="0"/>
      <w:marBottom w:val="0"/>
      <w:divBdr>
        <w:top w:val="none" w:sz="0" w:space="0" w:color="auto"/>
        <w:left w:val="none" w:sz="0" w:space="0" w:color="auto"/>
        <w:bottom w:val="none" w:sz="0" w:space="0" w:color="auto"/>
        <w:right w:val="none" w:sz="0" w:space="0" w:color="auto"/>
      </w:divBdr>
    </w:div>
    <w:div w:id="326398536">
      <w:bodyDiv w:val="1"/>
      <w:marLeft w:val="0"/>
      <w:marRight w:val="0"/>
      <w:marTop w:val="0"/>
      <w:marBottom w:val="0"/>
      <w:divBdr>
        <w:top w:val="none" w:sz="0" w:space="0" w:color="auto"/>
        <w:left w:val="none" w:sz="0" w:space="0" w:color="auto"/>
        <w:bottom w:val="none" w:sz="0" w:space="0" w:color="auto"/>
        <w:right w:val="none" w:sz="0" w:space="0" w:color="auto"/>
      </w:divBdr>
    </w:div>
    <w:div w:id="340015940">
      <w:bodyDiv w:val="1"/>
      <w:marLeft w:val="0"/>
      <w:marRight w:val="0"/>
      <w:marTop w:val="0"/>
      <w:marBottom w:val="0"/>
      <w:divBdr>
        <w:top w:val="none" w:sz="0" w:space="0" w:color="auto"/>
        <w:left w:val="none" w:sz="0" w:space="0" w:color="auto"/>
        <w:bottom w:val="none" w:sz="0" w:space="0" w:color="auto"/>
        <w:right w:val="none" w:sz="0" w:space="0" w:color="auto"/>
      </w:divBdr>
    </w:div>
    <w:div w:id="412967862">
      <w:bodyDiv w:val="1"/>
      <w:marLeft w:val="0"/>
      <w:marRight w:val="0"/>
      <w:marTop w:val="0"/>
      <w:marBottom w:val="0"/>
      <w:divBdr>
        <w:top w:val="none" w:sz="0" w:space="0" w:color="auto"/>
        <w:left w:val="none" w:sz="0" w:space="0" w:color="auto"/>
        <w:bottom w:val="none" w:sz="0" w:space="0" w:color="auto"/>
        <w:right w:val="none" w:sz="0" w:space="0" w:color="auto"/>
      </w:divBdr>
    </w:div>
    <w:div w:id="537863997">
      <w:bodyDiv w:val="1"/>
      <w:marLeft w:val="0"/>
      <w:marRight w:val="0"/>
      <w:marTop w:val="0"/>
      <w:marBottom w:val="0"/>
      <w:divBdr>
        <w:top w:val="none" w:sz="0" w:space="0" w:color="auto"/>
        <w:left w:val="none" w:sz="0" w:space="0" w:color="auto"/>
        <w:bottom w:val="none" w:sz="0" w:space="0" w:color="auto"/>
        <w:right w:val="none" w:sz="0" w:space="0" w:color="auto"/>
      </w:divBdr>
    </w:div>
    <w:div w:id="663705608">
      <w:bodyDiv w:val="1"/>
      <w:marLeft w:val="0"/>
      <w:marRight w:val="0"/>
      <w:marTop w:val="0"/>
      <w:marBottom w:val="0"/>
      <w:divBdr>
        <w:top w:val="none" w:sz="0" w:space="0" w:color="auto"/>
        <w:left w:val="none" w:sz="0" w:space="0" w:color="auto"/>
        <w:bottom w:val="none" w:sz="0" w:space="0" w:color="auto"/>
        <w:right w:val="none" w:sz="0" w:space="0" w:color="auto"/>
      </w:divBdr>
    </w:div>
    <w:div w:id="707989383">
      <w:bodyDiv w:val="1"/>
      <w:marLeft w:val="0"/>
      <w:marRight w:val="0"/>
      <w:marTop w:val="0"/>
      <w:marBottom w:val="0"/>
      <w:divBdr>
        <w:top w:val="none" w:sz="0" w:space="0" w:color="auto"/>
        <w:left w:val="none" w:sz="0" w:space="0" w:color="auto"/>
        <w:bottom w:val="none" w:sz="0" w:space="0" w:color="auto"/>
        <w:right w:val="none" w:sz="0" w:space="0" w:color="auto"/>
      </w:divBdr>
    </w:div>
    <w:div w:id="721293127">
      <w:bodyDiv w:val="1"/>
      <w:marLeft w:val="0"/>
      <w:marRight w:val="0"/>
      <w:marTop w:val="0"/>
      <w:marBottom w:val="0"/>
      <w:divBdr>
        <w:top w:val="none" w:sz="0" w:space="0" w:color="auto"/>
        <w:left w:val="none" w:sz="0" w:space="0" w:color="auto"/>
        <w:bottom w:val="none" w:sz="0" w:space="0" w:color="auto"/>
        <w:right w:val="none" w:sz="0" w:space="0" w:color="auto"/>
      </w:divBdr>
    </w:div>
    <w:div w:id="849829237">
      <w:bodyDiv w:val="1"/>
      <w:marLeft w:val="0"/>
      <w:marRight w:val="0"/>
      <w:marTop w:val="0"/>
      <w:marBottom w:val="0"/>
      <w:divBdr>
        <w:top w:val="none" w:sz="0" w:space="0" w:color="auto"/>
        <w:left w:val="none" w:sz="0" w:space="0" w:color="auto"/>
        <w:bottom w:val="none" w:sz="0" w:space="0" w:color="auto"/>
        <w:right w:val="none" w:sz="0" w:space="0" w:color="auto"/>
      </w:divBdr>
    </w:div>
    <w:div w:id="871574216">
      <w:bodyDiv w:val="1"/>
      <w:marLeft w:val="0"/>
      <w:marRight w:val="0"/>
      <w:marTop w:val="0"/>
      <w:marBottom w:val="0"/>
      <w:divBdr>
        <w:top w:val="none" w:sz="0" w:space="0" w:color="auto"/>
        <w:left w:val="none" w:sz="0" w:space="0" w:color="auto"/>
        <w:bottom w:val="none" w:sz="0" w:space="0" w:color="auto"/>
        <w:right w:val="none" w:sz="0" w:space="0" w:color="auto"/>
      </w:divBdr>
    </w:div>
    <w:div w:id="874539077">
      <w:bodyDiv w:val="1"/>
      <w:marLeft w:val="0"/>
      <w:marRight w:val="0"/>
      <w:marTop w:val="0"/>
      <w:marBottom w:val="0"/>
      <w:divBdr>
        <w:top w:val="none" w:sz="0" w:space="0" w:color="auto"/>
        <w:left w:val="none" w:sz="0" w:space="0" w:color="auto"/>
        <w:bottom w:val="none" w:sz="0" w:space="0" w:color="auto"/>
        <w:right w:val="none" w:sz="0" w:space="0" w:color="auto"/>
      </w:divBdr>
    </w:div>
    <w:div w:id="913441492">
      <w:bodyDiv w:val="1"/>
      <w:marLeft w:val="0"/>
      <w:marRight w:val="0"/>
      <w:marTop w:val="0"/>
      <w:marBottom w:val="0"/>
      <w:divBdr>
        <w:top w:val="none" w:sz="0" w:space="0" w:color="auto"/>
        <w:left w:val="none" w:sz="0" w:space="0" w:color="auto"/>
        <w:bottom w:val="none" w:sz="0" w:space="0" w:color="auto"/>
        <w:right w:val="none" w:sz="0" w:space="0" w:color="auto"/>
      </w:divBdr>
    </w:div>
    <w:div w:id="972171197">
      <w:bodyDiv w:val="1"/>
      <w:marLeft w:val="0"/>
      <w:marRight w:val="0"/>
      <w:marTop w:val="0"/>
      <w:marBottom w:val="0"/>
      <w:divBdr>
        <w:top w:val="none" w:sz="0" w:space="0" w:color="auto"/>
        <w:left w:val="none" w:sz="0" w:space="0" w:color="auto"/>
        <w:bottom w:val="none" w:sz="0" w:space="0" w:color="auto"/>
        <w:right w:val="none" w:sz="0" w:space="0" w:color="auto"/>
      </w:divBdr>
    </w:div>
    <w:div w:id="1051809011">
      <w:bodyDiv w:val="1"/>
      <w:marLeft w:val="0"/>
      <w:marRight w:val="0"/>
      <w:marTop w:val="0"/>
      <w:marBottom w:val="0"/>
      <w:divBdr>
        <w:top w:val="none" w:sz="0" w:space="0" w:color="auto"/>
        <w:left w:val="none" w:sz="0" w:space="0" w:color="auto"/>
        <w:bottom w:val="none" w:sz="0" w:space="0" w:color="auto"/>
        <w:right w:val="none" w:sz="0" w:space="0" w:color="auto"/>
      </w:divBdr>
    </w:div>
    <w:div w:id="1077216227">
      <w:bodyDiv w:val="1"/>
      <w:marLeft w:val="0"/>
      <w:marRight w:val="0"/>
      <w:marTop w:val="0"/>
      <w:marBottom w:val="0"/>
      <w:divBdr>
        <w:top w:val="none" w:sz="0" w:space="0" w:color="auto"/>
        <w:left w:val="none" w:sz="0" w:space="0" w:color="auto"/>
        <w:bottom w:val="none" w:sz="0" w:space="0" w:color="auto"/>
        <w:right w:val="none" w:sz="0" w:space="0" w:color="auto"/>
      </w:divBdr>
    </w:div>
    <w:div w:id="1080371031">
      <w:bodyDiv w:val="1"/>
      <w:marLeft w:val="0"/>
      <w:marRight w:val="0"/>
      <w:marTop w:val="0"/>
      <w:marBottom w:val="0"/>
      <w:divBdr>
        <w:top w:val="none" w:sz="0" w:space="0" w:color="auto"/>
        <w:left w:val="none" w:sz="0" w:space="0" w:color="auto"/>
        <w:bottom w:val="none" w:sz="0" w:space="0" w:color="auto"/>
        <w:right w:val="none" w:sz="0" w:space="0" w:color="auto"/>
      </w:divBdr>
    </w:div>
    <w:div w:id="1225214216">
      <w:bodyDiv w:val="1"/>
      <w:marLeft w:val="0"/>
      <w:marRight w:val="0"/>
      <w:marTop w:val="0"/>
      <w:marBottom w:val="0"/>
      <w:divBdr>
        <w:top w:val="none" w:sz="0" w:space="0" w:color="auto"/>
        <w:left w:val="none" w:sz="0" w:space="0" w:color="auto"/>
        <w:bottom w:val="none" w:sz="0" w:space="0" w:color="auto"/>
        <w:right w:val="none" w:sz="0" w:space="0" w:color="auto"/>
      </w:divBdr>
    </w:div>
    <w:div w:id="1226185957">
      <w:bodyDiv w:val="1"/>
      <w:marLeft w:val="0"/>
      <w:marRight w:val="0"/>
      <w:marTop w:val="0"/>
      <w:marBottom w:val="0"/>
      <w:divBdr>
        <w:top w:val="none" w:sz="0" w:space="0" w:color="auto"/>
        <w:left w:val="none" w:sz="0" w:space="0" w:color="auto"/>
        <w:bottom w:val="none" w:sz="0" w:space="0" w:color="auto"/>
        <w:right w:val="none" w:sz="0" w:space="0" w:color="auto"/>
      </w:divBdr>
    </w:div>
    <w:div w:id="1421289840">
      <w:bodyDiv w:val="1"/>
      <w:marLeft w:val="0"/>
      <w:marRight w:val="0"/>
      <w:marTop w:val="0"/>
      <w:marBottom w:val="0"/>
      <w:divBdr>
        <w:top w:val="none" w:sz="0" w:space="0" w:color="auto"/>
        <w:left w:val="none" w:sz="0" w:space="0" w:color="auto"/>
        <w:bottom w:val="none" w:sz="0" w:space="0" w:color="auto"/>
        <w:right w:val="none" w:sz="0" w:space="0" w:color="auto"/>
      </w:divBdr>
    </w:div>
    <w:div w:id="1481264262">
      <w:bodyDiv w:val="1"/>
      <w:marLeft w:val="0"/>
      <w:marRight w:val="0"/>
      <w:marTop w:val="0"/>
      <w:marBottom w:val="0"/>
      <w:divBdr>
        <w:top w:val="none" w:sz="0" w:space="0" w:color="auto"/>
        <w:left w:val="none" w:sz="0" w:space="0" w:color="auto"/>
        <w:bottom w:val="none" w:sz="0" w:space="0" w:color="auto"/>
        <w:right w:val="none" w:sz="0" w:space="0" w:color="auto"/>
      </w:divBdr>
    </w:div>
    <w:div w:id="1510486786">
      <w:bodyDiv w:val="1"/>
      <w:marLeft w:val="0"/>
      <w:marRight w:val="0"/>
      <w:marTop w:val="0"/>
      <w:marBottom w:val="0"/>
      <w:divBdr>
        <w:top w:val="none" w:sz="0" w:space="0" w:color="auto"/>
        <w:left w:val="none" w:sz="0" w:space="0" w:color="auto"/>
        <w:bottom w:val="none" w:sz="0" w:space="0" w:color="auto"/>
        <w:right w:val="none" w:sz="0" w:space="0" w:color="auto"/>
      </w:divBdr>
    </w:div>
    <w:div w:id="1524124142">
      <w:bodyDiv w:val="1"/>
      <w:marLeft w:val="0"/>
      <w:marRight w:val="0"/>
      <w:marTop w:val="0"/>
      <w:marBottom w:val="0"/>
      <w:divBdr>
        <w:top w:val="none" w:sz="0" w:space="0" w:color="auto"/>
        <w:left w:val="none" w:sz="0" w:space="0" w:color="auto"/>
        <w:bottom w:val="none" w:sz="0" w:space="0" w:color="auto"/>
        <w:right w:val="none" w:sz="0" w:space="0" w:color="auto"/>
      </w:divBdr>
    </w:div>
    <w:div w:id="1556114654">
      <w:bodyDiv w:val="1"/>
      <w:marLeft w:val="0"/>
      <w:marRight w:val="0"/>
      <w:marTop w:val="0"/>
      <w:marBottom w:val="0"/>
      <w:divBdr>
        <w:top w:val="none" w:sz="0" w:space="0" w:color="auto"/>
        <w:left w:val="none" w:sz="0" w:space="0" w:color="auto"/>
        <w:bottom w:val="none" w:sz="0" w:space="0" w:color="auto"/>
        <w:right w:val="none" w:sz="0" w:space="0" w:color="auto"/>
      </w:divBdr>
    </w:div>
    <w:div w:id="1620452936">
      <w:bodyDiv w:val="1"/>
      <w:marLeft w:val="0"/>
      <w:marRight w:val="0"/>
      <w:marTop w:val="0"/>
      <w:marBottom w:val="0"/>
      <w:divBdr>
        <w:top w:val="none" w:sz="0" w:space="0" w:color="auto"/>
        <w:left w:val="none" w:sz="0" w:space="0" w:color="auto"/>
        <w:bottom w:val="none" w:sz="0" w:space="0" w:color="auto"/>
        <w:right w:val="none" w:sz="0" w:space="0" w:color="auto"/>
      </w:divBdr>
    </w:div>
    <w:div w:id="1621836182">
      <w:bodyDiv w:val="1"/>
      <w:marLeft w:val="0"/>
      <w:marRight w:val="0"/>
      <w:marTop w:val="0"/>
      <w:marBottom w:val="0"/>
      <w:divBdr>
        <w:top w:val="none" w:sz="0" w:space="0" w:color="auto"/>
        <w:left w:val="none" w:sz="0" w:space="0" w:color="auto"/>
        <w:bottom w:val="none" w:sz="0" w:space="0" w:color="auto"/>
        <w:right w:val="none" w:sz="0" w:space="0" w:color="auto"/>
      </w:divBdr>
    </w:div>
    <w:div w:id="1703048815">
      <w:bodyDiv w:val="1"/>
      <w:marLeft w:val="0"/>
      <w:marRight w:val="0"/>
      <w:marTop w:val="0"/>
      <w:marBottom w:val="0"/>
      <w:divBdr>
        <w:top w:val="none" w:sz="0" w:space="0" w:color="auto"/>
        <w:left w:val="none" w:sz="0" w:space="0" w:color="auto"/>
        <w:bottom w:val="none" w:sz="0" w:space="0" w:color="auto"/>
        <w:right w:val="none" w:sz="0" w:space="0" w:color="auto"/>
      </w:divBdr>
    </w:div>
    <w:div w:id="1704206971">
      <w:bodyDiv w:val="1"/>
      <w:marLeft w:val="0"/>
      <w:marRight w:val="0"/>
      <w:marTop w:val="0"/>
      <w:marBottom w:val="0"/>
      <w:divBdr>
        <w:top w:val="none" w:sz="0" w:space="0" w:color="auto"/>
        <w:left w:val="none" w:sz="0" w:space="0" w:color="auto"/>
        <w:bottom w:val="none" w:sz="0" w:space="0" w:color="auto"/>
        <w:right w:val="none" w:sz="0" w:space="0" w:color="auto"/>
      </w:divBdr>
    </w:div>
    <w:div w:id="1730884986">
      <w:bodyDiv w:val="1"/>
      <w:marLeft w:val="0"/>
      <w:marRight w:val="0"/>
      <w:marTop w:val="0"/>
      <w:marBottom w:val="0"/>
      <w:divBdr>
        <w:top w:val="none" w:sz="0" w:space="0" w:color="auto"/>
        <w:left w:val="none" w:sz="0" w:space="0" w:color="auto"/>
        <w:bottom w:val="none" w:sz="0" w:space="0" w:color="auto"/>
        <w:right w:val="none" w:sz="0" w:space="0" w:color="auto"/>
      </w:divBdr>
    </w:div>
    <w:div w:id="1870533684">
      <w:bodyDiv w:val="1"/>
      <w:marLeft w:val="0"/>
      <w:marRight w:val="0"/>
      <w:marTop w:val="0"/>
      <w:marBottom w:val="0"/>
      <w:divBdr>
        <w:top w:val="none" w:sz="0" w:space="0" w:color="auto"/>
        <w:left w:val="none" w:sz="0" w:space="0" w:color="auto"/>
        <w:bottom w:val="none" w:sz="0" w:space="0" w:color="auto"/>
        <w:right w:val="none" w:sz="0" w:space="0" w:color="auto"/>
      </w:divBdr>
    </w:div>
    <w:div w:id="189203325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35168994">
      <w:bodyDiv w:val="1"/>
      <w:marLeft w:val="0"/>
      <w:marRight w:val="0"/>
      <w:marTop w:val="0"/>
      <w:marBottom w:val="0"/>
      <w:divBdr>
        <w:top w:val="none" w:sz="0" w:space="0" w:color="auto"/>
        <w:left w:val="none" w:sz="0" w:space="0" w:color="auto"/>
        <w:bottom w:val="none" w:sz="0" w:space="0" w:color="auto"/>
        <w:right w:val="none" w:sz="0" w:space="0" w:color="auto"/>
      </w:divBdr>
    </w:div>
    <w:div w:id="1936551195">
      <w:bodyDiv w:val="1"/>
      <w:marLeft w:val="0"/>
      <w:marRight w:val="0"/>
      <w:marTop w:val="0"/>
      <w:marBottom w:val="0"/>
      <w:divBdr>
        <w:top w:val="none" w:sz="0" w:space="0" w:color="auto"/>
        <w:left w:val="none" w:sz="0" w:space="0" w:color="auto"/>
        <w:bottom w:val="none" w:sz="0" w:space="0" w:color="auto"/>
        <w:right w:val="none" w:sz="0" w:space="0" w:color="auto"/>
      </w:divBdr>
    </w:div>
    <w:div w:id="2002272758">
      <w:bodyDiv w:val="1"/>
      <w:marLeft w:val="0"/>
      <w:marRight w:val="0"/>
      <w:marTop w:val="0"/>
      <w:marBottom w:val="0"/>
      <w:divBdr>
        <w:top w:val="none" w:sz="0" w:space="0" w:color="auto"/>
        <w:left w:val="none" w:sz="0" w:space="0" w:color="auto"/>
        <w:bottom w:val="none" w:sz="0" w:space="0" w:color="auto"/>
        <w:right w:val="none" w:sz="0" w:space="0" w:color="auto"/>
      </w:divBdr>
    </w:div>
    <w:div w:id="214276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chart" Target="charts/chart2.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'Data and charts for Figure 1'!$D$1:$D$2</c:f>
              <c:strCache>
                <c:ptCount val="1"/>
                <c:pt idx="0">
                  <c:v>Per cent of GDP %</c:v>
                </c:pt>
              </c:strCache>
            </c:strRef>
          </c:tx>
          <c:spPr>
            <a:ln>
              <a:solidFill>
                <a:schemeClr val="tx1"/>
              </a:solidFill>
            </a:ln>
          </c:spPr>
          <c:marker>
            <c:symbol val="none"/>
          </c:marker>
          <c:cat>
            <c:numRef>
              <c:f>'Data and charts for Figure 1'!$A$3:$A$134</c:f>
              <c:numCache>
                <c:formatCode>yyyy</c:formatCode>
                <c:ptCount val="132"/>
                <c:pt idx="0">
                  <c:v>32295</c:v>
                </c:pt>
                <c:pt idx="1">
                  <c:v>32387</c:v>
                </c:pt>
                <c:pt idx="2">
                  <c:v>32478</c:v>
                </c:pt>
                <c:pt idx="3">
                  <c:v>32568</c:v>
                </c:pt>
                <c:pt idx="4">
                  <c:v>32660</c:v>
                </c:pt>
                <c:pt idx="5">
                  <c:v>32752</c:v>
                </c:pt>
                <c:pt idx="6">
                  <c:v>32843</c:v>
                </c:pt>
                <c:pt idx="7">
                  <c:v>32933</c:v>
                </c:pt>
                <c:pt idx="8">
                  <c:v>33025</c:v>
                </c:pt>
                <c:pt idx="9">
                  <c:v>33117</c:v>
                </c:pt>
                <c:pt idx="10">
                  <c:v>33208</c:v>
                </c:pt>
                <c:pt idx="11">
                  <c:v>33298</c:v>
                </c:pt>
                <c:pt idx="12">
                  <c:v>33390</c:v>
                </c:pt>
                <c:pt idx="13">
                  <c:v>33482</c:v>
                </c:pt>
                <c:pt idx="14">
                  <c:v>33573</c:v>
                </c:pt>
                <c:pt idx="15">
                  <c:v>33664</c:v>
                </c:pt>
                <c:pt idx="16">
                  <c:v>33756</c:v>
                </c:pt>
                <c:pt idx="17">
                  <c:v>33848</c:v>
                </c:pt>
                <c:pt idx="18">
                  <c:v>33939</c:v>
                </c:pt>
                <c:pt idx="19">
                  <c:v>34029</c:v>
                </c:pt>
                <c:pt idx="20">
                  <c:v>34121</c:v>
                </c:pt>
                <c:pt idx="21">
                  <c:v>34213</c:v>
                </c:pt>
                <c:pt idx="22">
                  <c:v>34304</c:v>
                </c:pt>
                <c:pt idx="23">
                  <c:v>34394</c:v>
                </c:pt>
                <c:pt idx="24">
                  <c:v>34486</c:v>
                </c:pt>
                <c:pt idx="25">
                  <c:v>34578</c:v>
                </c:pt>
                <c:pt idx="26">
                  <c:v>34669</c:v>
                </c:pt>
                <c:pt idx="27">
                  <c:v>34759</c:v>
                </c:pt>
                <c:pt idx="28">
                  <c:v>34851</c:v>
                </c:pt>
                <c:pt idx="29">
                  <c:v>34943</c:v>
                </c:pt>
                <c:pt idx="30">
                  <c:v>35034</c:v>
                </c:pt>
                <c:pt idx="31">
                  <c:v>35125</c:v>
                </c:pt>
                <c:pt idx="32">
                  <c:v>35217</c:v>
                </c:pt>
                <c:pt idx="33">
                  <c:v>35309</c:v>
                </c:pt>
                <c:pt idx="34">
                  <c:v>35400</c:v>
                </c:pt>
                <c:pt idx="35">
                  <c:v>35490</c:v>
                </c:pt>
                <c:pt idx="36">
                  <c:v>35582</c:v>
                </c:pt>
                <c:pt idx="37">
                  <c:v>35674</c:v>
                </c:pt>
                <c:pt idx="38">
                  <c:v>35765</c:v>
                </c:pt>
                <c:pt idx="39">
                  <c:v>35855</c:v>
                </c:pt>
                <c:pt idx="40">
                  <c:v>35947</c:v>
                </c:pt>
                <c:pt idx="41">
                  <c:v>36039</c:v>
                </c:pt>
                <c:pt idx="42">
                  <c:v>36130</c:v>
                </c:pt>
                <c:pt idx="43">
                  <c:v>36220</c:v>
                </c:pt>
                <c:pt idx="44">
                  <c:v>36312</c:v>
                </c:pt>
                <c:pt idx="45">
                  <c:v>36404</c:v>
                </c:pt>
                <c:pt idx="46">
                  <c:v>36495</c:v>
                </c:pt>
                <c:pt idx="47">
                  <c:v>36586</c:v>
                </c:pt>
                <c:pt idx="48">
                  <c:v>36678</c:v>
                </c:pt>
                <c:pt idx="49">
                  <c:v>36770</c:v>
                </c:pt>
                <c:pt idx="50">
                  <c:v>36861</c:v>
                </c:pt>
                <c:pt idx="51">
                  <c:v>36951</c:v>
                </c:pt>
                <c:pt idx="52">
                  <c:v>37043</c:v>
                </c:pt>
                <c:pt idx="53">
                  <c:v>37135</c:v>
                </c:pt>
                <c:pt idx="54">
                  <c:v>37226</c:v>
                </c:pt>
                <c:pt idx="55">
                  <c:v>37316</c:v>
                </c:pt>
                <c:pt idx="56">
                  <c:v>37408</c:v>
                </c:pt>
                <c:pt idx="57">
                  <c:v>37500</c:v>
                </c:pt>
                <c:pt idx="58">
                  <c:v>37591</c:v>
                </c:pt>
                <c:pt idx="59">
                  <c:v>37681</c:v>
                </c:pt>
                <c:pt idx="60">
                  <c:v>37773</c:v>
                </c:pt>
                <c:pt idx="61">
                  <c:v>37865</c:v>
                </c:pt>
                <c:pt idx="62">
                  <c:v>37956</c:v>
                </c:pt>
                <c:pt idx="63">
                  <c:v>38047</c:v>
                </c:pt>
                <c:pt idx="64">
                  <c:v>38139</c:v>
                </c:pt>
                <c:pt idx="65">
                  <c:v>38231</c:v>
                </c:pt>
                <c:pt idx="66">
                  <c:v>38322</c:v>
                </c:pt>
                <c:pt idx="67">
                  <c:v>38412</c:v>
                </c:pt>
                <c:pt idx="68">
                  <c:v>38504</c:v>
                </c:pt>
                <c:pt idx="69">
                  <c:v>38596</c:v>
                </c:pt>
                <c:pt idx="70">
                  <c:v>38687</c:v>
                </c:pt>
                <c:pt idx="71">
                  <c:v>38777</c:v>
                </c:pt>
                <c:pt idx="72">
                  <c:v>38869</c:v>
                </c:pt>
                <c:pt idx="73">
                  <c:v>38961</c:v>
                </c:pt>
                <c:pt idx="74">
                  <c:v>39052</c:v>
                </c:pt>
                <c:pt idx="75">
                  <c:v>39142</c:v>
                </c:pt>
                <c:pt idx="76">
                  <c:v>39234</c:v>
                </c:pt>
                <c:pt idx="77">
                  <c:v>39326</c:v>
                </c:pt>
                <c:pt idx="78">
                  <c:v>39417</c:v>
                </c:pt>
                <c:pt idx="79">
                  <c:v>39508</c:v>
                </c:pt>
                <c:pt idx="80">
                  <c:v>39600</c:v>
                </c:pt>
                <c:pt idx="81">
                  <c:v>39692</c:v>
                </c:pt>
                <c:pt idx="82">
                  <c:v>39783</c:v>
                </c:pt>
                <c:pt idx="83">
                  <c:v>39873</c:v>
                </c:pt>
                <c:pt idx="84">
                  <c:v>39965</c:v>
                </c:pt>
                <c:pt idx="85">
                  <c:v>40057</c:v>
                </c:pt>
                <c:pt idx="86">
                  <c:v>40148</c:v>
                </c:pt>
                <c:pt idx="87">
                  <c:v>40238</c:v>
                </c:pt>
                <c:pt idx="88">
                  <c:v>40330</c:v>
                </c:pt>
                <c:pt idx="89">
                  <c:v>40422</c:v>
                </c:pt>
                <c:pt idx="90">
                  <c:v>40513</c:v>
                </c:pt>
                <c:pt idx="91">
                  <c:v>40603</c:v>
                </c:pt>
                <c:pt idx="92">
                  <c:v>40724</c:v>
                </c:pt>
                <c:pt idx="93">
                  <c:v>41090</c:v>
                </c:pt>
                <c:pt idx="94">
                  <c:v>41455</c:v>
                </c:pt>
                <c:pt idx="95">
                  <c:v>41820</c:v>
                </c:pt>
                <c:pt idx="96">
                  <c:v>42185</c:v>
                </c:pt>
                <c:pt idx="97">
                  <c:v>42551</c:v>
                </c:pt>
                <c:pt idx="98">
                  <c:v>42916</c:v>
                </c:pt>
                <c:pt idx="99">
                  <c:v>43281</c:v>
                </c:pt>
                <c:pt idx="100">
                  <c:v>43646</c:v>
                </c:pt>
                <c:pt idx="101">
                  <c:v>44012</c:v>
                </c:pt>
                <c:pt idx="102">
                  <c:v>44377</c:v>
                </c:pt>
                <c:pt idx="103">
                  <c:v>44742</c:v>
                </c:pt>
                <c:pt idx="104">
                  <c:v>45107</c:v>
                </c:pt>
                <c:pt idx="105">
                  <c:v>45473</c:v>
                </c:pt>
                <c:pt idx="106">
                  <c:v>45838</c:v>
                </c:pt>
                <c:pt idx="107">
                  <c:v>46203</c:v>
                </c:pt>
                <c:pt idx="108">
                  <c:v>46568</c:v>
                </c:pt>
                <c:pt idx="109">
                  <c:v>46934</c:v>
                </c:pt>
                <c:pt idx="110">
                  <c:v>47299</c:v>
                </c:pt>
                <c:pt idx="111">
                  <c:v>47664</c:v>
                </c:pt>
                <c:pt idx="112">
                  <c:v>48029</c:v>
                </c:pt>
                <c:pt idx="113">
                  <c:v>48395</c:v>
                </c:pt>
                <c:pt idx="114">
                  <c:v>48760</c:v>
                </c:pt>
                <c:pt idx="115">
                  <c:v>49125</c:v>
                </c:pt>
                <c:pt idx="116">
                  <c:v>49490</c:v>
                </c:pt>
                <c:pt idx="117">
                  <c:v>49856</c:v>
                </c:pt>
                <c:pt idx="118">
                  <c:v>50221</c:v>
                </c:pt>
                <c:pt idx="119">
                  <c:v>50586</c:v>
                </c:pt>
                <c:pt idx="120">
                  <c:v>50951</c:v>
                </c:pt>
                <c:pt idx="121">
                  <c:v>51317</c:v>
                </c:pt>
                <c:pt idx="122">
                  <c:v>51682</c:v>
                </c:pt>
                <c:pt idx="123">
                  <c:v>52047</c:v>
                </c:pt>
                <c:pt idx="124">
                  <c:v>52412</c:v>
                </c:pt>
                <c:pt idx="125">
                  <c:v>52778</c:v>
                </c:pt>
                <c:pt idx="126">
                  <c:v>53143</c:v>
                </c:pt>
                <c:pt idx="127">
                  <c:v>53508</c:v>
                </c:pt>
                <c:pt idx="128">
                  <c:v>53873</c:v>
                </c:pt>
                <c:pt idx="129">
                  <c:v>54239</c:v>
                </c:pt>
                <c:pt idx="130">
                  <c:v>54604</c:v>
                </c:pt>
                <c:pt idx="131">
                  <c:v>54969</c:v>
                </c:pt>
              </c:numCache>
            </c:numRef>
          </c:cat>
          <c:val>
            <c:numRef>
              <c:f>'Data and charts for Figure 1'!$D$3:$D$134</c:f>
              <c:numCache>
                <c:formatCode>0</c:formatCode>
                <c:ptCount val="132"/>
                <c:pt idx="0">
                  <c:v>29.66634375814461</c:v>
                </c:pt>
                <c:pt idx="1">
                  <c:v>29.852167674022994</c:v>
                </c:pt>
                <c:pt idx="2">
                  <c:v>30.737537093539956</c:v>
                </c:pt>
                <c:pt idx="3">
                  <c:v>30.577598444070492</c:v>
                </c:pt>
                <c:pt idx="4">
                  <c:v>31.337409815334379</c:v>
                </c:pt>
                <c:pt idx="5">
                  <c:v>32.139060884297152</c:v>
                </c:pt>
                <c:pt idx="6">
                  <c:v>32.126369330515637</c:v>
                </c:pt>
                <c:pt idx="7">
                  <c:v>31.67546731916369</c:v>
                </c:pt>
                <c:pt idx="8">
                  <c:v>31.750556502844375</c:v>
                </c:pt>
                <c:pt idx="9">
                  <c:v>32.915288529417381</c:v>
                </c:pt>
                <c:pt idx="10">
                  <c:v>32.543637251813365</c:v>
                </c:pt>
                <c:pt idx="11">
                  <c:v>33.619648055018182</c:v>
                </c:pt>
                <c:pt idx="12">
                  <c:v>34.910622473425597</c:v>
                </c:pt>
                <c:pt idx="13">
                  <c:v>36.040434475318975</c:v>
                </c:pt>
                <c:pt idx="14">
                  <c:v>37.465301849290448</c:v>
                </c:pt>
                <c:pt idx="15">
                  <c:v>36.847268621079337</c:v>
                </c:pt>
                <c:pt idx="16">
                  <c:v>38.295792184424592</c:v>
                </c:pt>
                <c:pt idx="17">
                  <c:v>37.450060361846703</c:v>
                </c:pt>
                <c:pt idx="18">
                  <c:v>37.748503557187625</c:v>
                </c:pt>
                <c:pt idx="19">
                  <c:v>38.651961932116777</c:v>
                </c:pt>
                <c:pt idx="20">
                  <c:v>39.536048227088024</c:v>
                </c:pt>
                <c:pt idx="21">
                  <c:v>41.743225514254782</c:v>
                </c:pt>
                <c:pt idx="22">
                  <c:v>43.112011672021481</c:v>
                </c:pt>
                <c:pt idx="23">
                  <c:v>42.22543566926214</c:v>
                </c:pt>
                <c:pt idx="24">
                  <c:v>41.669814560271966</c:v>
                </c:pt>
                <c:pt idx="25">
                  <c:v>41.520572569083811</c:v>
                </c:pt>
                <c:pt idx="26">
                  <c:v>40.641464813176789</c:v>
                </c:pt>
                <c:pt idx="27">
                  <c:v>40.642254762748188</c:v>
                </c:pt>
                <c:pt idx="28">
                  <c:v>42.882453629092801</c:v>
                </c:pt>
                <c:pt idx="29">
                  <c:v>43.941769263974287</c:v>
                </c:pt>
                <c:pt idx="30">
                  <c:v>45.038309346383762</c:v>
                </c:pt>
                <c:pt idx="31">
                  <c:v>45.386913864821118</c:v>
                </c:pt>
                <c:pt idx="32">
                  <c:v>46.111622835874208</c:v>
                </c:pt>
                <c:pt idx="33">
                  <c:v>48.754835658719344</c:v>
                </c:pt>
                <c:pt idx="34">
                  <c:v>50.895492454140822</c:v>
                </c:pt>
                <c:pt idx="35">
                  <c:v>52.897999262460281</c:v>
                </c:pt>
                <c:pt idx="36">
                  <c:v>57.402817566335116</c:v>
                </c:pt>
                <c:pt idx="37">
                  <c:v>59.062097277686121</c:v>
                </c:pt>
                <c:pt idx="38">
                  <c:v>58.812507144039884</c:v>
                </c:pt>
                <c:pt idx="39">
                  <c:v>59.353139251758527</c:v>
                </c:pt>
                <c:pt idx="40">
                  <c:v>60.911800456796236</c:v>
                </c:pt>
                <c:pt idx="41">
                  <c:v>60.819662425640828</c:v>
                </c:pt>
                <c:pt idx="42">
                  <c:v>62.371992506438055</c:v>
                </c:pt>
                <c:pt idx="43">
                  <c:v>63.452240121315107</c:v>
                </c:pt>
                <c:pt idx="44">
                  <c:v>66.049519479310163</c:v>
                </c:pt>
                <c:pt idx="45">
                  <c:v>66.143379788563919</c:v>
                </c:pt>
                <c:pt idx="46">
                  <c:v>70.558803177416166</c:v>
                </c:pt>
                <c:pt idx="47">
                  <c:v>70.536884039412982</c:v>
                </c:pt>
                <c:pt idx="48">
                  <c:v>72.942558864735389</c:v>
                </c:pt>
                <c:pt idx="49">
                  <c:v>72.890301184855758</c:v>
                </c:pt>
                <c:pt idx="50">
                  <c:v>72.304692768531837</c:v>
                </c:pt>
                <c:pt idx="51">
                  <c:v>71.150431944584682</c:v>
                </c:pt>
                <c:pt idx="52">
                  <c:v>73.210159708174999</c:v>
                </c:pt>
                <c:pt idx="53">
                  <c:v>69.758723026417016</c:v>
                </c:pt>
                <c:pt idx="54">
                  <c:v>70.891659139656355</c:v>
                </c:pt>
                <c:pt idx="55">
                  <c:v>70.423931474884043</c:v>
                </c:pt>
                <c:pt idx="56">
                  <c:v>68.258261542049127</c:v>
                </c:pt>
                <c:pt idx="57">
                  <c:v>66.190096574004826</c:v>
                </c:pt>
                <c:pt idx="58">
                  <c:v>67.669321687742595</c:v>
                </c:pt>
                <c:pt idx="59">
                  <c:v>66.699875016245599</c:v>
                </c:pt>
                <c:pt idx="60">
                  <c:v>67.987879556512127</c:v>
                </c:pt>
                <c:pt idx="61">
                  <c:v>69.854466292787933</c:v>
                </c:pt>
                <c:pt idx="62">
                  <c:v>72.263593404708431</c:v>
                </c:pt>
                <c:pt idx="63">
                  <c:v>73.390409705247833</c:v>
                </c:pt>
                <c:pt idx="64">
                  <c:v>74.312064442312803</c:v>
                </c:pt>
                <c:pt idx="65">
                  <c:v>74.610140553740081</c:v>
                </c:pt>
                <c:pt idx="66">
                  <c:v>79.856410482566091</c:v>
                </c:pt>
                <c:pt idx="67">
                  <c:v>80.657540561553759</c:v>
                </c:pt>
                <c:pt idx="68">
                  <c:v>82.346858481920719</c:v>
                </c:pt>
                <c:pt idx="69">
                  <c:v>85.864454084555092</c:v>
                </c:pt>
                <c:pt idx="70">
                  <c:v>87.651888839267514</c:v>
                </c:pt>
                <c:pt idx="71">
                  <c:v>91.683215881465358</c:v>
                </c:pt>
                <c:pt idx="72">
                  <c:v>91.068860840389831</c:v>
                </c:pt>
                <c:pt idx="73">
                  <c:v>92.663774142990789</c:v>
                </c:pt>
                <c:pt idx="74">
                  <c:v>97.050646769054211</c:v>
                </c:pt>
                <c:pt idx="75">
                  <c:v>99.639548230411407</c:v>
                </c:pt>
                <c:pt idx="76">
                  <c:v>109.31142333480877</c:v>
                </c:pt>
                <c:pt idx="77">
                  <c:v>110.98729220741311</c:v>
                </c:pt>
                <c:pt idx="78">
                  <c:v>109.60049211218048</c:v>
                </c:pt>
                <c:pt idx="79">
                  <c:v>98.853673483771615</c:v>
                </c:pt>
                <c:pt idx="80">
                  <c:v>97.195729978633466</c:v>
                </c:pt>
                <c:pt idx="81">
                  <c:v>90.021593011841318</c:v>
                </c:pt>
                <c:pt idx="82">
                  <c:v>80.705039996304933</c:v>
                </c:pt>
                <c:pt idx="83">
                  <c:v>79.200026789088554</c:v>
                </c:pt>
                <c:pt idx="84">
                  <c:v>84.772953151216768</c:v>
                </c:pt>
                <c:pt idx="85">
                  <c:v>94.826653241548726</c:v>
                </c:pt>
                <c:pt idx="86">
                  <c:v>98.11419442876641</c:v>
                </c:pt>
                <c:pt idx="87">
                  <c:v>99.412055292735374</c:v>
                </c:pt>
                <c:pt idx="88">
                  <c:v>94.853310876336565</c:v>
                </c:pt>
                <c:pt idx="89">
                  <c:v>97.013148355105244</c:v>
                </c:pt>
                <c:pt idx="90">
                  <c:v>97.765082623880033</c:v>
                </c:pt>
                <c:pt idx="91">
                  <c:v>99.300078208048035</c:v>
                </c:pt>
                <c:pt idx="92">
                  <c:v>97.820794736742997</c:v>
                </c:pt>
                <c:pt idx="93">
                  <c:v>97.80506249037974</c:v>
                </c:pt>
                <c:pt idx="94">
                  <c:v>98.734270966060222</c:v>
                </c:pt>
                <c:pt idx="95">
                  <c:v>100.23897581629797</c:v>
                </c:pt>
                <c:pt idx="96">
                  <c:v>101.74913347857466</c:v>
                </c:pt>
                <c:pt idx="97">
                  <c:v>103.52803794061853</c:v>
                </c:pt>
                <c:pt idx="98">
                  <c:v>105.39252764093912</c:v>
                </c:pt>
                <c:pt idx="99">
                  <c:v>108.06677853808426</c:v>
                </c:pt>
                <c:pt idx="100">
                  <c:v>110.20032764293464</c:v>
                </c:pt>
                <c:pt idx="101">
                  <c:v>112.90528242860731</c:v>
                </c:pt>
                <c:pt idx="102">
                  <c:v>115.15711611249522</c:v>
                </c:pt>
                <c:pt idx="103">
                  <c:v>118.20765135892188</c:v>
                </c:pt>
                <c:pt idx="104">
                  <c:v>120.55531393122267</c:v>
                </c:pt>
                <c:pt idx="105">
                  <c:v>122.90195408834941</c:v>
                </c:pt>
                <c:pt idx="106">
                  <c:v>125.19012593522076</c:v>
                </c:pt>
                <c:pt idx="107">
                  <c:v>127.44161137813231</c:v>
                </c:pt>
                <c:pt idx="108">
                  <c:v>129.65221287642672</c:v>
                </c:pt>
                <c:pt idx="109">
                  <c:v>131.78717932163161</c:v>
                </c:pt>
                <c:pt idx="110">
                  <c:v>133.49309171654832</c:v>
                </c:pt>
                <c:pt idx="111">
                  <c:v>135.16602095479624</c:v>
                </c:pt>
                <c:pt idx="112">
                  <c:v>136.83675914735616</c:v>
                </c:pt>
                <c:pt idx="113">
                  <c:v>138.48188365052999</c:v>
                </c:pt>
                <c:pt idx="114">
                  <c:v>140.09382971477245</c:v>
                </c:pt>
                <c:pt idx="115">
                  <c:v>141.63934698528908</c:v>
                </c:pt>
                <c:pt idx="116">
                  <c:v>143.16234293785757</c:v>
                </c:pt>
                <c:pt idx="117">
                  <c:v>144.66401221513013</c:v>
                </c:pt>
                <c:pt idx="118">
                  <c:v>146.13460613039189</c:v>
                </c:pt>
                <c:pt idx="119">
                  <c:v>147.56449425597836</c:v>
                </c:pt>
                <c:pt idx="120">
                  <c:v>148.97922705294255</c:v>
                </c:pt>
                <c:pt idx="121">
                  <c:v>150.39140506328934</c:v>
                </c:pt>
                <c:pt idx="122">
                  <c:v>151.82895846903685</c:v>
                </c:pt>
                <c:pt idx="123">
                  <c:v>153.24774694897195</c:v>
                </c:pt>
                <c:pt idx="124">
                  <c:v>154.60487960818895</c:v>
                </c:pt>
                <c:pt idx="125">
                  <c:v>155.90954431109665</c:v>
                </c:pt>
                <c:pt idx="126">
                  <c:v>157.18015000812917</c:v>
                </c:pt>
                <c:pt idx="127">
                  <c:v>158.40100028446557</c:v>
                </c:pt>
                <c:pt idx="128">
                  <c:v>159.55841971355454</c:v>
                </c:pt>
                <c:pt idx="129">
                  <c:v>160.66208268636285</c:v>
                </c:pt>
                <c:pt idx="130">
                  <c:v>161.73020779532393</c:v>
                </c:pt>
                <c:pt idx="131">
                  <c:v>162.39647449934773</c:v>
                </c:pt>
              </c:numCache>
            </c:numRef>
          </c:val>
          <c:smooth val="0"/>
        </c:ser>
        <c:ser>
          <c:idx val="1"/>
          <c:order val="1"/>
          <c:tx>
            <c:strRef>
              <c:f>'Data and charts for Figure 1'!$E$3</c:f>
              <c:strCache>
                <c:ptCount val="1"/>
                <c:pt idx="0">
                  <c:v>-1000</c:v>
                </c:pt>
              </c:strCache>
            </c:strRef>
          </c:tx>
          <c:dPt>
            <c:idx val="91"/>
            <c:bubble3D val="0"/>
            <c:spPr>
              <a:ln w="12700">
                <a:solidFill>
                  <a:sysClr val="windowText" lastClr="000000"/>
                </a:solidFill>
                <a:prstDash val="dash"/>
              </a:ln>
            </c:spPr>
          </c:dPt>
          <c:cat>
            <c:numRef>
              <c:f>'Data and charts for Figure 1'!$A$4:$A$134</c:f>
              <c:numCache>
                <c:formatCode>yyyy</c:formatCode>
                <c:ptCount val="131"/>
                <c:pt idx="0">
                  <c:v>32387</c:v>
                </c:pt>
                <c:pt idx="1">
                  <c:v>32478</c:v>
                </c:pt>
                <c:pt idx="2">
                  <c:v>32568</c:v>
                </c:pt>
                <c:pt idx="3">
                  <c:v>32660</c:v>
                </c:pt>
                <c:pt idx="4">
                  <c:v>32752</c:v>
                </c:pt>
                <c:pt idx="5">
                  <c:v>32843</c:v>
                </c:pt>
                <c:pt idx="6">
                  <c:v>32933</c:v>
                </c:pt>
                <c:pt idx="7">
                  <c:v>33025</c:v>
                </c:pt>
                <c:pt idx="8">
                  <c:v>33117</c:v>
                </c:pt>
                <c:pt idx="9">
                  <c:v>33208</c:v>
                </c:pt>
                <c:pt idx="10">
                  <c:v>33298</c:v>
                </c:pt>
                <c:pt idx="11">
                  <c:v>33390</c:v>
                </c:pt>
                <c:pt idx="12">
                  <c:v>33482</c:v>
                </c:pt>
                <c:pt idx="13">
                  <c:v>33573</c:v>
                </c:pt>
                <c:pt idx="14">
                  <c:v>33664</c:v>
                </c:pt>
                <c:pt idx="15">
                  <c:v>33756</c:v>
                </c:pt>
                <c:pt idx="16">
                  <c:v>33848</c:v>
                </c:pt>
                <c:pt idx="17">
                  <c:v>33939</c:v>
                </c:pt>
                <c:pt idx="18">
                  <c:v>34029</c:v>
                </c:pt>
                <c:pt idx="19">
                  <c:v>34121</c:v>
                </c:pt>
                <c:pt idx="20">
                  <c:v>34213</c:v>
                </c:pt>
                <c:pt idx="21">
                  <c:v>34304</c:v>
                </c:pt>
                <c:pt idx="22">
                  <c:v>34394</c:v>
                </c:pt>
                <c:pt idx="23">
                  <c:v>34486</c:v>
                </c:pt>
                <c:pt idx="24">
                  <c:v>34578</c:v>
                </c:pt>
                <c:pt idx="25">
                  <c:v>34669</c:v>
                </c:pt>
                <c:pt idx="26">
                  <c:v>34759</c:v>
                </c:pt>
                <c:pt idx="27">
                  <c:v>34851</c:v>
                </c:pt>
                <c:pt idx="28">
                  <c:v>34943</c:v>
                </c:pt>
                <c:pt idx="29">
                  <c:v>35034</c:v>
                </c:pt>
                <c:pt idx="30">
                  <c:v>35125</c:v>
                </c:pt>
                <c:pt idx="31">
                  <c:v>35217</c:v>
                </c:pt>
                <c:pt idx="32">
                  <c:v>35309</c:v>
                </c:pt>
                <c:pt idx="33">
                  <c:v>35400</c:v>
                </c:pt>
                <c:pt idx="34">
                  <c:v>35490</c:v>
                </c:pt>
                <c:pt idx="35">
                  <c:v>35582</c:v>
                </c:pt>
                <c:pt idx="36">
                  <c:v>35674</c:v>
                </c:pt>
                <c:pt idx="37">
                  <c:v>35765</c:v>
                </c:pt>
                <c:pt idx="38">
                  <c:v>35855</c:v>
                </c:pt>
                <c:pt idx="39">
                  <c:v>35947</c:v>
                </c:pt>
                <c:pt idx="40">
                  <c:v>36039</c:v>
                </c:pt>
                <c:pt idx="41">
                  <c:v>36130</c:v>
                </c:pt>
                <c:pt idx="42">
                  <c:v>36220</c:v>
                </c:pt>
                <c:pt idx="43">
                  <c:v>36312</c:v>
                </c:pt>
                <c:pt idx="44">
                  <c:v>36404</c:v>
                </c:pt>
                <c:pt idx="45">
                  <c:v>36495</c:v>
                </c:pt>
                <c:pt idx="46">
                  <c:v>36586</c:v>
                </c:pt>
                <c:pt idx="47">
                  <c:v>36678</c:v>
                </c:pt>
                <c:pt idx="48">
                  <c:v>36770</c:v>
                </c:pt>
                <c:pt idx="49">
                  <c:v>36861</c:v>
                </c:pt>
                <c:pt idx="50">
                  <c:v>36951</c:v>
                </c:pt>
                <c:pt idx="51">
                  <c:v>37043</c:v>
                </c:pt>
                <c:pt idx="52">
                  <c:v>37135</c:v>
                </c:pt>
                <c:pt idx="53">
                  <c:v>37226</c:v>
                </c:pt>
                <c:pt idx="54">
                  <c:v>37316</c:v>
                </c:pt>
                <c:pt idx="55">
                  <c:v>37408</c:v>
                </c:pt>
                <c:pt idx="56">
                  <c:v>37500</c:v>
                </c:pt>
                <c:pt idx="57">
                  <c:v>37591</c:v>
                </c:pt>
                <c:pt idx="58">
                  <c:v>37681</c:v>
                </c:pt>
                <c:pt idx="59">
                  <c:v>37773</c:v>
                </c:pt>
                <c:pt idx="60">
                  <c:v>37865</c:v>
                </c:pt>
                <c:pt idx="61">
                  <c:v>37956</c:v>
                </c:pt>
                <c:pt idx="62">
                  <c:v>38047</c:v>
                </c:pt>
                <c:pt idx="63">
                  <c:v>38139</c:v>
                </c:pt>
                <c:pt idx="64">
                  <c:v>38231</c:v>
                </c:pt>
                <c:pt idx="65">
                  <c:v>38322</c:v>
                </c:pt>
                <c:pt idx="66">
                  <c:v>38412</c:v>
                </c:pt>
                <c:pt idx="67">
                  <c:v>38504</c:v>
                </c:pt>
                <c:pt idx="68">
                  <c:v>38596</c:v>
                </c:pt>
                <c:pt idx="69">
                  <c:v>38687</c:v>
                </c:pt>
                <c:pt idx="70">
                  <c:v>38777</c:v>
                </c:pt>
                <c:pt idx="71">
                  <c:v>38869</c:v>
                </c:pt>
                <c:pt idx="72">
                  <c:v>38961</c:v>
                </c:pt>
                <c:pt idx="73">
                  <c:v>39052</c:v>
                </c:pt>
                <c:pt idx="74">
                  <c:v>39142</c:v>
                </c:pt>
                <c:pt idx="75">
                  <c:v>39234</c:v>
                </c:pt>
                <c:pt idx="76">
                  <c:v>39326</c:v>
                </c:pt>
                <c:pt idx="77">
                  <c:v>39417</c:v>
                </c:pt>
                <c:pt idx="78">
                  <c:v>39508</c:v>
                </c:pt>
                <c:pt idx="79">
                  <c:v>39600</c:v>
                </c:pt>
                <c:pt idx="80">
                  <c:v>39692</c:v>
                </c:pt>
                <c:pt idx="81">
                  <c:v>39783</c:v>
                </c:pt>
                <c:pt idx="82">
                  <c:v>39873</c:v>
                </c:pt>
                <c:pt idx="83">
                  <c:v>39965</c:v>
                </c:pt>
                <c:pt idx="84">
                  <c:v>40057</c:v>
                </c:pt>
                <c:pt idx="85">
                  <c:v>40148</c:v>
                </c:pt>
                <c:pt idx="86">
                  <c:v>40238</c:v>
                </c:pt>
                <c:pt idx="87">
                  <c:v>40330</c:v>
                </c:pt>
                <c:pt idx="88">
                  <c:v>40422</c:v>
                </c:pt>
                <c:pt idx="89">
                  <c:v>40513</c:v>
                </c:pt>
                <c:pt idx="90">
                  <c:v>40603</c:v>
                </c:pt>
                <c:pt idx="91">
                  <c:v>40724</c:v>
                </c:pt>
                <c:pt idx="92">
                  <c:v>41090</c:v>
                </c:pt>
                <c:pt idx="93">
                  <c:v>41455</c:v>
                </c:pt>
                <c:pt idx="94">
                  <c:v>41820</c:v>
                </c:pt>
                <c:pt idx="95">
                  <c:v>42185</c:v>
                </c:pt>
                <c:pt idx="96">
                  <c:v>42551</c:v>
                </c:pt>
                <c:pt idx="97">
                  <c:v>42916</c:v>
                </c:pt>
                <c:pt idx="98">
                  <c:v>43281</c:v>
                </c:pt>
                <c:pt idx="99">
                  <c:v>43646</c:v>
                </c:pt>
                <c:pt idx="100">
                  <c:v>44012</c:v>
                </c:pt>
                <c:pt idx="101">
                  <c:v>44377</c:v>
                </c:pt>
                <c:pt idx="102">
                  <c:v>44742</c:v>
                </c:pt>
                <c:pt idx="103">
                  <c:v>45107</c:v>
                </c:pt>
                <c:pt idx="104">
                  <c:v>45473</c:v>
                </c:pt>
                <c:pt idx="105">
                  <c:v>45838</c:v>
                </c:pt>
                <c:pt idx="106">
                  <c:v>46203</c:v>
                </c:pt>
                <c:pt idx="107">
                  <c:v>46568</c:v>
                </c:pt>
                <c:pt idx="108">
                  <c:v>46934</c:v>
                </c:pt>
                <c:pt idx="109">
                  <c:v>47299</c:v>
                </c:pt>
                <c:pt idx="110">
                  <c:v>47664</c:v>
                </c:pt>
                <c:pt idx="111">
                  <c:v>48029</c:v>
                </c:pt>
                <c:pt idx="112">
                  <c:v>48395</c:v>
                </c:pt>
                <c:pt idx="113">
                  <c:v>48760</c:v>
                </c:pt>
                <c:pt idx="114">
                  <c:v>49125</c:v>
                </c:pt>
                <c:pt idx="115">
                  <c:v>49490</c:v>
                </c:pt>
                <c:pt idx="116">
                  <c:v>49856</c:v>
                </c:pt>
                <c:pt idx="117">
                  <c:v>50221</c:v>
                </c:pt>
                <c:pt idx="118">
                  <c:v>50586</c:v>
                </c:pt>
                <c:pt idx="119">
                  <c:v>50951</c:v>
                </c:pt>
                <c:pt idx="120">
                  <c:v>51317</c:v>
                </c:pt>
                <c:pt idx="121">
                  <c:v>51682</c:v>
                </c:pt>
                <c:pt idx="122">
                  <c:v>52047</c:v>
                </c:pt>
                <c:pt idx="123">
                  <c:v>52412</c:v>
                </c:pt>
                <c:pt idx="124">
                  <c:v>52778</c:v>
                </c:pt>
                <c:pt idx="125">
                  <c:v>53143</c:v>
                </c:pt>
                <c:pt idx="126">
                  <c:v>53508</c:v>
                </c:pt>
                <c:pt idx="127">
                  <c:v>53873</c:v>
                </c:pt>
                <c:pt idx="128">
                  <c:v>54239</c:v>
                </c:pt>
                <c:pt idx="129">
                  <c:v>54604</c:v>
                </c:pt>
                <c:pt idx="130">
                  <c:v>54969</c:v>
                </c:pt>
              </c:numCache>
            </c:numRef>
          </c:cat>
          <c:val>
            <c:numRef>
              <c:f>'Data and charts for Figure 1'!$E$4:$E$134</c:f>
              <c:numCache>
                <c:formatCode>General</c:formatCode>
                <c:ptCount val="131"/>
                <c:pt idx="0">
                  <c:v>-1000</c:v>
                </c:pt>
                <c:pt idx="1">
                  <c:v>-1000</c:v>
                </c:pt>
                <c:pt idx="2">
                  <c:v>-1000</c:v>
                </c:pt>
                <c:pt idx="3">
                  <c:v>-1000</c:v>
                </c:pt>
                <c:pt idx="4">
                  <c:v>-1000</c:v>
                </c:pt>
                <c:pt idx="5">
                  <c:v>-1000</c:v>
                </c:pt>
                <c:pt idx="6">
                  <c:v>-1000</c:v>
                </c:pt>
                <c:pt idx="7">
                  <c:v>-1000</c:v>
                </c:pt>
                <c:pt idx="8">
                  <c:v>-1000</c:v>
                </c:pt>
                <c:pt idx="9">
                  <c:v>-1000</c:v>
                </c:pt>
                <c:pt idx="10">
                  <c:v>-1000</c:v>
                </c:pt>
                <c:pt idx="11">
                  <c:v>-1000</c:v>
                </c:pt>
                <c:pt idx="12">
                  <c:v>-1000</c:v>
                </c:pt>
                <c:pt idx="13">
                  <c:v>-1000</c:v>
                </c:pt>
                <c:pt idx="14">
                  <c:v>-1000</c:v>
                </c:pt>
                <c:pt idx="15">
                  <c:v>-1000</c:v>
                </c:pt>
                <c:pt idx="16">
                  <c:v>-1000</c:v>
                </c:pt>
                <c:pt idx="17">
                  <c:v>-1000</c:v>
                </c:pt>
                <c:pt idx="18">
                  <c:v>-1000</c:v>
                </c:pt>
                <c:pt idx="19">
                  <c:v>-1000</c:v>
                </c:pt>
                <c:pt idx="20">
                  <c:v>-1000</c:v>
                </c:pt>
                <c:pt idx="21">
                  <c:v>-1000</c:v>
                </c:pt>
                <c:pt idx="22">
                  <c:v>-1000</c:v>
                </c:pt>
                <c:pt idx="23">
                  <c:v>-1000</c:v>
                </c:pt>
                <c:pt idx="24">
                  <c:v>-1000</c:v>
                </c:pt>
                <c:pt idx="25">
                  <c:v>-1000</c:v>
                </c:pt>
                <c:pt idx="26">
                  <c:v>-1000</c:v>
                </c:pt>
                <c:pt idx="27">
                  <c:v>-1000</c:v>
                </c:pt>
                <c:pt idx="28">
                  <c:v>-1000</c:v>
                </c:pt>
                <c:pt idx="29">
                  <c:v>-1000</c:v>
                </c:pt>
                <c:pt idx="30">
                  <c:v>-1000</c:v>
                </c:pt>
                <c:pt idx="31">
                  <c:v>-1000</c:v>
                </c:pt>
                <c:pt idx="32">
                  <c:v>-1000</c:v>
                </c:pt>
                <c:pt idx="33">
                  <c:v>-1000</c:v>
                </c:pt>
                <c:pt idx="34">
                  <c:v>-1000</c:v>
                </c:pt>
                <c:pt idx="35">
                  <c:v>-1000</c:v>
                </c:pt>
                <c:pt idx="36">
                  <c:v>-1000</c:v>
                </c:pt>
                <c:pt idx="37">
                  <c:v>-1000</c:v>
                </c:pt>
                <c:pt idx="38">
                  <c:v>-1000</c:v>
                </c:pt>
                <c:pt idx="39">
                  <c:v>-1000</c:v>
                </c:pt>
                <c:pt idx="40">
                  <c:v>-1000</c:v>
                </c:pt>
                <c:pt idx="41">
                  <c:v>-1000</c:v>
                </c:pt>
                <c:pt idx="42">
                  <c:v>-1000</c:v>
                </c:pt>
                <c:pt idx="43">
                  <c:v>-1000</c:v>
                </c:pt>
                <c:pt idx="44">
                  <c:v>-1000</c:v>
                </c:pt>
                <c:pt idx="45">
                  <c:v>-1000</c:v>
                </c:pt>
                <c:pt idx="46">
                  <c:v>-1000</c:v>
                </c:pt>
                <c:pt idx="47">
                  <c:v>-1000</c:v>
                </c:pt>
                <c:pt idx="48">
                  <c:v>-1000</c:v>
                </c:pt>
                <c:pt idx="49">
                  <c:v>-1000</c:v>
                </c:pt>
                <c:pt idx="50">
                  <c:v>-1000</c:v>
                </c:pt>
                <c:pt idx="51">
                  <c:v>-1000</c:v>
                </c:pt>
                <c:pt idx="52">
                  <c:v>-1000</c:v>
                </c:pt>
                <c:pt idx="53">
                  <c:v>-1000</c:v>
                </c:pt>
                <c:pt idx="54">
                  <c:v>-1000</c:v>
                </c:pt>
                <c:pt idx="55">
                  <c:v>-1000</c:v>
                </c:pt>
                <c:pt idx="56">
                  <c:v>-1000</c:v>
                </c:pt>
                <c:pt idx="57">
                  <c:v>-1000</c:v>
                </c:pt>
                <c:pt idx="58">
                  <c:v>-1000</c:v>
                </c:pt>
                <c:pt idx="59">
                  <c:v>-1000</c:v>
                </c:pt>
                <c:pt idx="60">
                  <c:v>-1000</c:v>
                </c:pt>
                <c:pt idx="61">
                  <c:v>-1000</c:v>
                </c:pt>
                <c:pt idx="62">
                  <c:v>-1000</c:v>
                </c:pt>
                <c:pt idx="63">
                  <c:v>-1000</c:v>
                </c:pt>
                <c:pt idx="64">
                  <c:v>-1000</c:v>
                </c:pt>
                <c:pt idx="65">
                  <c:v>-1000</c:v>
                </c:pt>
                <c:pt idx="66">
                  <c:v>-1000</c:v>
                </c:pt>
                <c:pt idx="67">
                  <c:v>-1000</c:v>
                </c:pt>
                <c:pt idx="68">
                  <c:v>-1000</c:v>
                </c:pt>
                <c:pt idx="69">
                  <c:v>-1000</c:v>
                </c:pt>
                <c:pt idx="70">
                  <c:v>-1000</c:v>
                </c:pt>
                <c:pt idx="71">
                  <c:v>-1000</c:v>
                </c:pt>
                <c:pt idx="72">
                  <c:v>-1000</c:v>
                </c:pt>
                <c:pt idx="73">
                  <c:v>-1000</c:v>
                </c:pt>
                <c:pt idx="74">
                  <c:v>-1000</c:v>
                </c:pt>
                <c:pt idx="75">
                  <c:v>-1000</c:v>
                </c:pt>
                <c:pt idx="76">
                  <c:v>-1000</c:v>
                </c:pt>
                <c:pt idx="77">
                  <c:v>-1000</c:v>
                </c:pt>
                <c:pt idx="78">
                  <c:v>-1000</c:v>
                </c:pt>
                <c:pt idx="79">
                  <c:v>-1000</c:v>
                </c:pt>
                <c:pt idx="80">
                  <c:v>-1000</c:v>
                </c:pt>
                <c:pt idx="81">
                  <c:v>-1000</c:v>
                </c:pt>
                <c:pt idx="82">
                  <c:v>-1000</c:v>
                </c:pt>
                <c:pt idx="83">
                  <c:v>-1000</c:v>
                </c:pt>
                <c:pt idx="84">
                  <c:v>-1000</c:v>
                </c:pt>
                <c:pt idx="85">
                  <c:v>-1000</c:v>
                </c:pt>
                <c:pt idx="86">
                  <c:v>-1000</c:v>
                </c:pt>
                <c:pt idx="87">
                  <c:v>-1000</c:v>
                </c:pt>
                <c:pt idx="88">
                  <c:v>-1000</c:v>
                </c:pt>
                <c:pt idx="89">
                  <c:v>-1000</c:v>
                </c:pt>
                <c:pt idx="90">
                  <c:v>-1000</c:v>
                </c:pt>
                <c:pt idx="91">
                  <c:v>1000</c:v>
                </c:pt>
                <c:pt idx="92">
                  <c:v>1000</c:v>
                </c:pt>
                <c:pt idx="93">
                  <c:v>1000</c:v>
                </c:pt>
                <c:pt idx="94">
                  <c:v>1000</c:v>
                </c:pt>
                <c:pt idx="95">
                  <c:v>1000</c:v>
                </c:pt>
                <c:pt idx="96">
                  <c:v>1000</c:v>
                </c:pt>
                <c:pt idx="97">
                  <c:v>1000</c:v>
                </c:pt>
                <c:pt idx="98">
                  <c:v>1000</c:v>
                </c:pt>
                <c:pt idx="99">
                  <c:v>1000</c:v>
                </c:pt>
                <c:pt idx="100">
                  <c:v>1000</c:v>
                </c:pt>
                <c:pt idx="101">
                  <c:v>1000</c:v>
                </c:pt>
                <c:pt idx="102">
                  <c:v>1000</c:v>
                </c:pt>
                <c:pt idx="103">
                  <c:v>1000</c:v>
                </c:pt>
                <c:pt idx="104">
                  <c:v>1000</c:v>
                </c:pt>
                <c:pt idx="105">
                  <c:v>1000</c:v>
                </c:pt>
                <c:pt idx="106">
                  <c:v>1000</c:v>
                </c:pt>
                <c:pt idx="107">
                  <c:v>1000</c:v>
                </c:pt>
                <c:pt idx="108">
                  <c:v>1000</c:v>
                </c:pt>
                <c:pt idx="109">
                  <c:v>1000</c:v>
                </c:pt>
                <c:pt idx="110">
                  <c:v>1000</c:v>
                </c:pt>
                <c:pt idx="111">
                  <c:v>1000</c:v>
                </c:pt>
                <c:pt idx="112">
                  <c:v>1000</c:v>
                </c:pt>
                <c:pt idx="113">
                  <c:v>1000</c:v>
                </c:pt>
                <c:pt idx="114">
                  <c:v>1000</c:v>
                </c:pt>
                <c:pt idx="115">
                  <c:v>1000</c:v>
                </c:pt>
                <c:pt idx="116">
                  <c:v>1000</c:v>
                </c:pt>
                <c:pt idx="117">
                  <c:v>1000</c:v>
                </c:pt>
                <c:pt idx="118">
                  <c:v>1000</c:v>
                </c:pt>
                <c:pt idx="119">
                  <c:v>1000</c:v>
                </c:pt>
                <c:pt idx="120">
                  <c:v>1000</c:v>
                </c:pt>
                <c:pt idx="121">
                  <c:v>1000</c:v>
                </c:pt>
                <c:pt idx="122">
                  <c:v>1000</c:v>
                </c:pt>
                <c:pt idx="123">
                  <c:v>1000</c:v>
                </c:pt>
                <c:pt idx="124">
                  <c:v>1000</c:v>
                </c:pt>
                <c:pt idx="125">
                  <c:v>1000</c:v>
                </c:pt>
                <c:pt idx="126">
                  <c:v>1000</c:v>
                </c:pt>
                <c:pt idx="127">
                  <c:v>1000</c:v>
                </c:pt>
                <c:pt idx="128">
                  <c:v>1000</c:v>
                </c:pt>
                <c:pt idx="129">
                  <c:v>1000</c:v>
                </c:pt>
                <c:pt idx="130">
                  <c:v>1000</c:v>
                </c:pt>
              </c:numCache>
            </c:numRef>
          </c:val>
          <c:smooth val="0"/>
        </c:ser>
        <c:dLbls>
          <c:showLegendKey val="0"/>
          <c:showVal val="0"/>
          <c:showCatName val="0"/>
          <c:showSerName val="0"/>
          <c:showPercent val="0"/>
          <c:showBubbleSize val="0"/>
        </c:dLbls>
        <c:marker val="1"/>
        <c:smooth val="0"/>
        <c:axId val="182282112"/>
        <c:axId val="182283648"/>
      </c:lineChart>
      <c:dateAx>
        <c:axId val="182282112"/>
        <c:scaling>
          <c:orientation val="minMax"/>
        </c:scaling>
        <c:delete val="0"/>
        <c:axPos val="b"/>
        <c:numFmt formatCode="yyyy" sourceLinked="1"/>
        <c:majorTickMark val="out"/>
        <c:minorTickMark val="none"/>
        <c:tickLblPos val="nextTo"/>
        <c:spPr>
          <a:ln>
            <a:solidFill>
              <a:sysClr val="windowText" lastClr="000000"/>
            </a:solidFill>
          </a:ln>
        </c:spPr>
        <c:crossAx val="182283648"/>
        <c:crosses val="autoZero"/>
        <c:auto val="1"/>
        <c:lblOffset val="100"/>
        <c:baseTimeUnit val="months"/>
        <c:majorUnit val="58"/>
        <c:majorTimeUnit val="months"/>
      </c:dateAx>
      <c:valAx>
        <c:axId val="182283648"/>
        <c:scaling>
          <c:orientation val="minMax"/>
          <c:max val="175"/>
          <c:min val="0"/>
        </c:scaling>
        <c:delete val="0"/>
        <c:axPos val="l"/>
        <c:majorGridlines/>
        <c:title>
          <c:tx>
            <c:rich>
              <a:bodyPr rot="-5400000" vert="horz"/>
              <a:lstStyle/>
              <a:p>
                <a:pPr>
                  <a:defRPr/>
                </a:pPr>
                <a:r>
                  <a:rPr lang="en-AU"/>
                  <a:t>Per cent GDP</a:t>
                </a:r>
              </a:p>
            </c:rich>
          </c:tx>
          <c:layout/>
          <c:overlay val="0"/>
        </c:title>
        <c:numFmt formatCode="0" sourceLinked="1"/>
        <c:majorTickMark val="out"/>
        <c:minorTickMark val="none"/>
        <c:tickLblPos val="nextTo"/>
        <c:spPr>
          <a:ln>
            <a:solidFill>
              <a:schemeClr val="tx1"/>
            </a:solidFill>
          </a:ln>
        </c:spPr>
        <c:crossAx val="182282112"/>
        <c:crosses val="autoZero"/>
        <c:crossBetween val="between"/>
      </c:valAx>
      <c:spPr>
        <a:noFill/>
        <a:ln>
          <a:solidFill>
            <a:sysClr val="windowText" lastClr="000000"/>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spPr>
            <a:ln>
              <a:solidFill>
                <a:schemeClr val="tx1"/>
              </a:solidFill>
            </a:ln>
          </c:spPr>
          <c:dPt>
            <c:idx val="0"/>
            <c:bubble3D val="0"/>
            <c:spPr>
              <a:solidFill>
                <a:sysClr val="window" lastClr="FFFFFF">
                  <a:lumMod val="65000"/>
                </a:sysClr>
              </a:solidFill>
              <a:ln>
                <a:solidFill>
                  <a:schemeClr val="tx1"/>
                </a:solidFill>
              </a:ln>
            </c:spPr>
          </c:dPt>
          <c:dPt>
            <c:idx val="1"/>
            <c:bubble3D val="0"/>
            <c:spPr>
              <a:pattFill prst="wdDnDiag">
                <a:fgClr>
                  <a:sysClr val="windowText" lastClr="000000"/>
                </a:fgClr>
                <a:bgClr>
                  <a:sysClr val="window" lastClr="FFFFFF"/>
                </a:bgClr>
              </a:pattFill>
              <a:ln>
                <a:solidFill>
                  <a:schemeClr val="tx1"/>
                </a:solidFill>
              </a:ln>
            </c:spPr>
          </c:dPt>
          <c:dPt>
            <c:idx val="2"/>
            <c:bubble3D val="0"/>
            <c:spPr>
              <a:solidFill>
                <a:sysClr val="windowText" lastClr="000000"/>
              </a:solidFill>
              <a:ln>
                <a:solidFill>
                  <a:schemeClr val="tx1"/>
                </a:solidFill>
              </a:ln>
            </c:spPr>
          </c:dPt>
          <c:dPt>
            <c:idx val="3"/>
            <c:bubble3D val="0"/>
            <c:spPr>
              <a:pattFill prst="openDmnd">
                <a:fgClr>
                  <a:schemeClr val="tx1"/>
                </a:fgClr>
                <a:bgClr>
                  <a:schemeClr val="bg1"/>
                </a:bgClr>
              </a:pattFill>
              <a:ln>
                <a:solidFill>
                  <a:schemeClr val="tx1"/>
                </a:solidFill>
              </a:ln>
            </c:spPr>
          </c:dPt>
          <c:dPt>
            <c:idx val="4"/>
            <c:bubble3D val="0"/>
            <c:spPr>
              <a:pattFill prst="ltUpDiag">
                <a:fgClr>
                  <a:sysClr val="windowText" lastClr="000000"/>
                </a:fgClr>
                <a:bgClr>
                  <a:sysClr val="window" lastClr="FFFFFF"/>
                </a:bgClr>
              </a:pattFill>
              <a:ln>
                <a:solidFill>
                  <a:schemeClr val="tx1"/>
                </a:solidFill>
              </a:ln>
            </c:spPr>
          </c:dPt>
          <c:dPt>
            <c:idx val="5"/>
            <c:bubble3D val="0"/>
            <c:spPr>
              <a:solidFill>
                <a:sysClr val="window" lastClr="FFFFFF"/>
              </a:solidFill>
              <a:ln>
                <a:solidFill>
                  <a:schemeClr val="tx1"/>
                </a:solidFill>
              </a:ln>
            </c:spPr>
          </c:dPt>
          <c:dLbls>
            <c:dLbl>
              <c:idx val="0"/>
              <c:layout>
                <c:manualLayout>
                  <c:x val="-3.0581266842168421E-2"/>
                  <c:y val="2.6360131548576703E-2"/>
                </c:manualLayout>
              </c:layout>
              <c:tx>
                <c:rich>
                  <a:bodyPr/>
                  <a:lstStyle/>
                  <a:p>
                    <a:r>
                      <a:rPr lang="en-US"/>
                      <a:t>Self</a:t>
                    </a:r>
                    <a:r>
                      <a:rPr lang="en-US" baseline="0"/>
                      <a:t> </a:t>
                    </a:r>
                    <a:r>
                      <a:rPr lang="en-US"/>
                      <a:t>managed (478 263 funds)  29%</a:t>
                    </a:r>
                  </a:p>
                </c:rich>
              </c:tx>
              <c:dLblPos val="bestFit"/>
              <c:showLegendKey val="0"/>
              <c:showVal val="0"/>
              <c:showCatName val="1"/>
              <c:showSerName val="0"/>
              <c:showPercent val="1"/>
              <c:showBubbleSize val="0"/>
              <c:separator> </c:separator>
            </c:dLbl>
            <c:dLbl>
              <c:idx val="1"/>
              <c:layout>
                <c:manualLayout>
                  <c:x val="0"/>
                  <c:y val="-2.6473288903140768E-2"/>
                </c:manualLayout>
              </c:layout>
              <c:tx>
                <c:rich>
                  <a:bodyPr/>
                  <a:lstStyle/>
                  <a:p>
                    <a:r>
                      <a:rPr lang="en-US"/>
                      <a:t>Retail (135 funds) 25%</a:t>
                    </a:r>
                  </a:p>
                </c:rich>
              </c:tx>
              <c:dLblPos val="bestFit"/>
              <c:showLegendKey val="0"/>
              <c:showVal val="0"/>
              <c:showCatName val="1"/>
              <c:showSerName val="0"/>
              <c:showPercent val="1"/>
              <c:showBubbleSize val="0"/>
              <c:separator> </c:separator>
            </c:dLbl>
            <c:dLbl>
              <c:idx val="2"/>
              <c:layout>
                <c:manualLayout>
                  <c:x val="1.1761578903987546E-2"/>
                  <c:y val="-1.3236644451570384E-2"/>
                </c:manualLayout>
              </c:layout>
              <c:tx>
                <c:rich>
                  <a:bodyPr/>
                  <a:lstStyle/>
                  <a:p>
                    <a:r>
                      <a:rPr lang="en-US"/>
                      <a:t>Industry (56 funds) 18%</a:t>
                    </a:r>
                  </a:p>
                </c:rich>
              </c:tx>
              <c:dLblPos val="bestFit"/>
              <c:showLegendKey val="0"/>
              <c:showVal val="0"/>
              <c:showCatName val="1"/>
              <c:showSerName val="0"/>
              <c:showPercent val="1"/>
              <c:showBubbleSize val="0"/>
              <c:separator> </c:separator>
            </c:dLbl>
            <c:dLbl>
              <c:idx val="3"/>
              <c:layout>
                <c:manualLayout>
                  <c:x val="7.0667640932887688E-3"/>
                  <c:y val="8.375981848078759E-2"/>
                </c:manualLayout>
              </c:layout>
              <c:tx>
                <c:rich>
                  <a:bodyPr/>
                  <a:lstStyle/>
                  <a:p>
                    <a:r>
                      <a:rPr lang="en-US"/>
                      <a:t>Public sector (39 funds) 15%</a:t>
                    </a:r>
                  </a:p>
                </c:rich>
              </c:tx>
              <c:dLblPos val="bestFit"/>
              <c:showLegendKey val="0"/>
              <c:showVal val="0"/>
              <c:showCatName val="1"/>
              <c:showSerName val="0"/>
              <c:showPercent val="1"/>
              <c:showBubbleSize val="0"/>
              <c:separator> </c:separator>
            </c:dLbl>
            <c:dLbl>
              <c:idx val="4"/>
              <c:layout>
                <c:manualLayout>
                  <c:x val="1.6488992736530445E-2"/>
                  <c:y val="3.5237962557319709E-2"/>
                </c:manualLayout>
              </c:layout>
              <c:tx>
                <c:rich>
                  <a:bodyPr/>
                  <a:lstStyle/>
                  <a:p>
                    <a:r>
                      <a:rPr lang="en-US"/>
                      <a:t>Corporate (122 funds) 4%</a:t>
                    </a:r>
                  </a:p>
                </c:rich>
              </c:tx>
              <c:dLblPos val="bestFit"/>
              <c:showLegendKey val="0"/>
              <c:showVal val="0"/>
              <c:showCatName val="1"/>
              <c:showSerName val="0"/>
              <c:showPercent val="1"/>
              <c:showBubbleSize val="0"/>
              <c:separator> </c:separator>
            </c:dLbl>
            <c:dLbl>
              <c:idx val="5"/>
              <c:layout>
                <c:manualLayout>
                  <c:x val="4.9398631396747647E-2"/>
                  <c:y val="0"/>
                </c:manualLayout>
              </c:layout>
              <c:tx>
                <c:rich>
                  <a:bodyPr/>
                  <a:lstStyle/>
                  <a:p>
                    <a:r>
                      <a:rPr lang="en-US"/>
                      <a:t>Other</a:t>
                    </a:r>
                    <a:r>
                      <a:rPr lang="en-AU" sz="1000" b="1" i="0" u="none" strike="noStrike" baseline="30000">
                        <a:effectLst/>
                      </a:rPr>
                      <a:t>a</a:t>
                    </a:r>
                    <a:r>
                      <a:rPr lang="en-US"/>
                      <a:t>  (3268 funds) 9%</a:t>
                    </a:r>
                  </a:p>
                </c:rich>
              </c:tx>
              <c:dLblPos val="bestFit"/>
              <c:showLegendKey val="0"/>
              <c:showVal val="0"/>
              <c:showCatName val="1"/>
              <c:showSerName val="0"/>
              <c:showPercent val="1"/>
              <c:showBubbleSize val="0"/>
              <c:separator> </c:separator>
            </c:dLbl>
            <c:dLblPos val="outEnd"/>
            <c:showLegendKey val="0"/>
            <c:showVal val="0"/>
            <c:showCatName val="1"/>
            <c:showSerName val="0"/>
            <c:showPercent val="1"/>
            <c:showBubbleSize val="0"/>
            <c:separator> </c:separator>
            <c:showLeaderLines val="0"/>
          </c:dLbls>
          <c:cat>
            <c:strRef>
              <c:f>Sheet1!$A$3:$A$8</c:f>
              <c:strCache>
                <c:ptCount val="6"/>
                <c:pt idx="0">
                  <c:v>Self-managed (478 263 entities) </c:v>
                </c:pt>
                <c:pt idx="1">
                  <c:v>Retail (135 entities)</c:v>
                </c:pt>
                <c:pt idx="2">
                  <c:v>Industry (56 entities)</c:v>
                </c:pt>
                <c:pt idx="3">
                  <c:v>Public sector (39 entities)</c:v>
                </c:pt>
                <c:pt idx="4">
                  <c:v>Corporate (122 entities)</c:v>
                </c:pt>
                <c:pt idx="5">
                  <c:v>Other  (3268 entities)</c:v>
                </c:pt>
              </c:strCache>
            </c:strRef>
          </c:cat>
          <c:val>
            <c:numRef>
              <c:f>Sheet1!$B$3:$B$8</c:f>
              <c:numCache>
                <c:formatCode>General</c:formatCode>
                <c:ptCount val="6"/>
                <c:pt idx="0">
                  <c:v>439</c:v>
                </c:pt>
                <c:pt idx="1">
                  <c:v>372.1</c:v>
                </c:pt>
                <c:pt idx="2">
                  <c:v>266.10000000000002</c:v>
                </c:pt>
                <c:pt idx="3">
                  <c:v>222.2</c:v>
                </c:pt>
                <c:pt idx="4">
                  <c:v>55.8</c:v>
                </c:pt>
                <c:pt idx="5">
                  <c:v>145</c:v>
                </c:pt>
              </c:numCache>
            </c:numRef>
          </c:val>
        </c:ser>
        <c:dLbls>
          <c:showLegendKey val="0"/>
          <c:showVal val="0"/>
          <c:showCatName val="0"/>
          <c:showSerName val="0"/>
          <c:showPercent val="0"/>
          <c:showBubbleSize val="0"/>
          <c:showLeaderLines val="0"/>
        </c:dLbls>
        <c:firstSliceAng val="0"/>
      </c:pieChart>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spPr>
            <a:ln>
              <a:solidFill>
                <a:schemeClr val="tx1"/>
              </a:solidFill>
            </a:ln>
          </c:spPr>
          <c:dPt>
            <c:idx val="0"/>
            <c:bubble3D val="0"/>
            <c:spPr>
              <a:solidFill>
                <a:srgbClr val="333333"/>
              </a:solidFill>
              <a:ln>
                <a:solidFill>
                  <a:schemeClr val="tx1"/>
                </a:solidFill>
              </a:ln>
            </c:spPr>
          </c:dPt>
          <c:dPt>
            <c:idx val="1"/>
            <c:bubble3D val="0"/>
            <c:spPr>
              <a:pattFill prst="wdUpDiag">
                <a:fgClr>
                  <a:schemeClr val="tx1"/>
                </a:fgClr>
                <a:bgClr>
                  <a:schemeClr val="bg1"/>
                </a:bgClr>
              </a:pattFill>
              <a:ln>
                <a:solidFill>
                  <a:schemeClr val="tx1"/>
                </a:solidFill>
              </a:ln>
            </c:spPr>
          </c:dPt>
          <c:dPt>
            <c:idx val="2"/>
            <c:bubble3D val="0"/>
            <c:spPr>
              <a:solidFill>
                <a:schemeClr val="bg1">
                  <a:lumMod val="65000"/>
                </a:schemeClr>
              </a:solidFill>
              <a:ln>
                <a:solidFill>
                  <a:schemeClr val="tx1"/>
                </a:solidFill>
              </a:ln>
            </c:spPr>
          </c:dPt>
          <c:dPt>
            <c:idx val="3"/>
            <c:bubble3D val="0"/>
            <c:spPr>
              <a:pattFill prst="openDmnd">
                <a:fgClr>
                  <a:schemeClr val="tx1"/>
                </a:fgClr>
                <a:bgClr>
                  <a:schemeClr val="bg1"/>
                </a:bgClr>
              </a:pattFill>
              <a:ln>
                <a:solidFill>
                  <a:schemeClr val="tx1"/>
                </a:solidFill>
              </a:ln>
            </c:spPr>
          </c:dPt>
          <c:dPt>
            <c:idx val="4"/>
            <c:bubble3D val="0"/>
            <c:spPr>
              <a:noFill/>
              <a:ln>
                <a:solidFill>
                  <a:schemeClr val="tx1"/>
                </a:solidFill>
              </a:ln>
            </c:spPr>
          </c:dPt>
          <c:dLbls>
            <c:dLbl>
              <c:idx val="0"/>
              <c:layout>
                <c:manualLayout>
                  <c:x val="2.3443051061310814E-3"/>
                  <c:y val="-1.7640322165064802E-2"/>
                </c:manualLayout>
              </c:layout>
              <c:tx>
                <c:rich>
                  <a:bodyPr/>
                  <a:lstStyle/>
                  <a:p>
                    <a:r>
                      <a:rPr lang="en-AU"/>
                      <a:t>33 industry public offer funds (50%)</a:t>
                    </a:r>
                  </a:p>
                </c:rich>
              </c:tx>
              <c:dLblPos val="bestFit"/>
              <c:showLegendKey val="0"/>
              <c:showVal val="0"/>
              <c:showCatName val="1"/>
              <c:showSerName val="0"/>
              <c:showPercent val="1"/>
              <c:showBubbleSize val="0"/>
              <c:separator> </c:separator>
            </c:dLbl>
            <c:dLbl>
              <c:idx val="1"/>
              <c:layout>
                <c:manualLayout>
                  <c:x val="-3.294144239703483E-2"/>
                  <c:y val="-5.2961594796243863E-2"/>
                </c:manualLayout>
              </c:layout>
              <c:tx>
                <c:rich>
                  <a:bodyPr/>
                  <a:lstStyle/>
                  <a:p>
                    <a:r>
                      <a:rPr lang="en-US"/>
                      <a:t>13 industry non-public offer funds (20%)</a:t>
                    </a:r>
                  </a:p>
                </c:rich>
              </c:tx>
              <c:dLblPos val="bestFit"/>
              <c:showLegendKey val="0"/>
              <c:showVal val="0"/>
              <c:showCatName val="1"/>
              <c:showSerName val="0"/>
              <c:showPercent val="1"/>
              <c:showBubbleSize val="0"/>
              <c:separator> </c:separator>
            </c:dLbl>
            <c:dLbl>
              <c:idx val="2"/>
              <c:layout>
                <c:manualLayout>
                  <c:x val="1.4113894684785055E-2"/>
                  <c:y val="-8.8244327001513363E-3"/>
                </c:manualLayout>
              </c:layout>
              <c:tx>
                <c:rich>
                  <a:bodyPr/>
                  <a:lstStyle/>
                  <a:p>
                    <a:r>
                      <a:rPr lang="en-US"/>
                      <a:t>11 retail funds (17%)</a:t>
                    </a:r>
                  </a:p>
                </c:rich>
              </c:tx>
              <c:dLblPos val="bestFit"/>
              <c:showLegendKey val="0"/>
              <c:showVal val="0"/>
              <c:showCatName val="1"/>
              <c:showSerName val="0"/>
              <c:showPercent val="1"/>
              <c:showBubbleSize val="0"/>
              <c:separator> </c:separator>
            </c:dLbl>
            <c:dLbl>
              <c:idx val="3"/>
              <c:layout>
                <c:manualLayout>
                  <c:x val="1.1772877428603975E-2"/>
                  <c:y val="3.531996559166084E-2"/>
                </c:manualLayout>
              </c:layout>
              <c:tx>
                <c:rich>
                  <a:bodyPr/>
                  <a:lstStyle/>
                  <a:p>
                    <a:r>
                      <a:rPr lang="en-US"/>
                      <a:t>6 public sector funds (9%)</a:t>
                    </a:r>
                  </a:p>
                </c:rich>
              </c:tx>
              <c:dLblPos val="bestFit"/>
              <c:showLegendKey val="0"/>
              <c:showVal val="0"/>
              <c:showCatName val="1"/>
              <c:showSerName val="0"/>
              <c:showPercent val="1"/>
              <c:showBubbleSize val="0"/>
              <c:separator> </c:separator>
            </c:dLbl>
            <c:dLbl>
              <c:idx val="4"/>
              <c:layout>
                <c:manualLayout>
                  <c:x val="4.7046315615950185E-2"/>
                  <c:y val="0"/>
                </c:manualLayout>
              </c:layout>
              <c:tx>
                <c:rich>
                  <a:bodyPr/>
                  <a:lstStyle/>
                  <a:p>
                    <a:r>
                      <a:rPr lang="en-US"/>
                      <a:t>3 corporate funds (4%)</a:t>
                    </a:r>
                  </a:p>
                </c:rich>
              </c:tx>
              <c:dLblPos val="bestFit"/>
              <c:showLegendKey val="0"/>
              <c:showVal val="0"/>
              <c:showCatName val="1"/>
              <c:showSerName val="0"/>
              <c:showPercent val="1"/>
              <c:showBubbleSize val="0"/>
              <c:separator> </c:separator>
            </c:dLbl>
            <c:dLblPos val="outEnd"/>
            <c:showLegendKey val="0"/>
            <c:showVal val="0"/>
            <c:showCatName val="1"/>
            <c:showSerName val="0"/>
            <c:showPercent val="1"/>
            <c:showBubbleSize val="0"/>
            <c:separator> </c:separator>
            <c:showLeaderLines val="0"/>
          </c:dLbls>
          <c:cat>
            <c:strRef>
              <c:f>Sheet1!$A$1:$A$5</c:f>
              <c:strCache>
                <c:ptCount val="5"/>
                <c:pt idx="0">
                  <c:v>Industry public offer</c:v>
                </c:pt>
                <c:pt idx="1">
                  <c:v>Industry non-public offer</c:v>
                </c:pt>
                <c:pt idx="2">
                  <c:v>Retail funds</c:v>
                </c:pt>
                <c:pt idx="3">
                  <c:v>Public sector</c:v>
                </c:pt>
                <c:pt idx="4">
                  <c:v>Corporate</c:v>
                </c:pt>
              </c:strCache>
            </c:strRef>
          </c:cat>
          <c:val>
            <c:numRef>
              <c:f>Sheet1!$B$1:$B$5</c:f>
              <c:numCache>
                <c:formatCode>General</c:formatCode>
                <c:ptCount val="5"/>
                <c:pt idx="0">
                  <c:v>33</c:v>
                </c:pt>
                <c:pt idx="1">
                  <c:v>13</c:v>
                </c:pt>
                <c:pt idx="2">
                  <c:v>11</c:v>
                </c:pt>
                <c:pt idx="3">
                  <c:v>6</c:v>
                </c:pt>
                <c:pt idx="4">
                  <c:v>3</c:v>
                </c:pt>
              </c:numCache>
            </c:numRef>
          </c:val>
        </c:ser>
        <c:dLbls>
          <c:showLegendKey val="0"/>
          <c:showVal val="0"/>
          <c:showCatName val="0"/>
          <c:showSerName val="0"/>
          <c:showPercent val="0"/>
          <c:showBubbleSize val="0"/>
          <c:showLeaderLines val="0"/>
        </c:dLbls>
        <c:firstSliceAng val="0"/>
      </c:pieChart>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ofPieChart>
        <c:ofPieType val="pie"/>
        <c:varyColors val="1"/>
        <c:ser>
          <c:idx val="0"/>
          <c:order val="0"/>
          <c:spPr>
            <a:ln>
              <a:solidFill>
                <a:schemeClr val="tx1"/>
              </a:solidFill>
            </a:ln>
          </c:spPr>
          <c:dPt>
            <c:idx val="0"/>
            <c:bubble3D val="0"/>
            <c:spPr>
              <a:solidFill>
                <a:schemeClr val="tx1"/>
              </a:solidFill>
              <a:ln>
                <a:solidFill>
                  <a:schemeClr val="tx1"/>
                </a:solidFill>
              </a:ln>
            </c:spPr>
          </c:dPt>
          <c:dPt>
            <c:idx val="1"/>
            <c:bubble3D val="0"/>
            <c:spPr>
              <a:pattFill prst="wdUpDiag">
                <a:fgClr>
                  <a:schemeClr val="tx1"/>
                </a:fgClr>
                <a:bgClr>
                  <a:schemeClr val="bg1"/>
                </a:bgClr>
              </a:pattFill>
              <a:ln>
                <a:solidFill>
                  <a:schemeClr val="tx1"/>
                </a:solidFill>
              </a:ln>
            </c:spPr>
          </c:dPt>
          <c:dPt>
            <c:idx val="2"/>
            <c:bubble3D val="0"/>
            <c:spPr>
              <a:solidFill>
                <a:schemeClr val="bg1">
                  <a:lumMod val="65000"/>
                </a:schemeClr>
              </a:solidFill>
              <a:ln>
                <a:solidFill>
                  <a:schemeClr val="tx1"/>
                </a:solidFill>
              </a:ln>
            </c:spPr>
          </c:dPt>
          <c:dPt>
            <c:idx val="3"/>
            <c:bubble3D val="0"/>
            <c:spPr>
              <a:pattFill prst="openDmnd">
                <a:fgClr>
                  <a:schemeClr val="tx1"/>
                </a:fgClr>
                <a:bgClr>
                  <a:schemeClr val="bg1"/>
                </a:bgClr>
              </a:pattFill>
              <a:ln>
                <a:solidFill>
                  <a:schemeClr val="tx1"/>
                </a:solidFill>
              </a:ln>
            </c:spPr>
          </c:dPt>
          <c:dPt>
            <c:idx val="4"/>
            <c:bubble3D val="0"/>
            <c:spPr>
              <a:noFill/>
              <a:ln>
                <a:solidFill>
                  <a:schemeClr val="tx1"/>
                </a:solidFill>
              </a:ln>
            </c:spPr>
          </c:dPt>
          <c:dLbls>
            <c:dLbl>
              <c:idx val="0"/>
              <c:layout>
                <c:manualLayout>
                  <c:x val="0"/>
                  <c:y val="-0.30424350987294208"/>
                </c:manualLayout>
              </c:layout>
              <c:dLblPos val="bestFit"/>
              <c:showLegendKey val="0"/>
              <c:showVal val="0"/>
              <c:showCatName val="1"/>
              <c:showSerName val="0"/>
              <c:showPercent val="1"/>
              <c:showBubbleSize val="0"/>
              <c:separator> </c:separator>
            </c:dLbl>
            <c:dLbl>
              <c:idx val="1"/>
              <c:layout>
                <c:manualLayout>
                  <c:x val="3.9981481481481479E-2"/>
                  <c:y val="-0.18520868055555556"/>
                </c:manualLayout>
              </c:layout>
              <c:tx>
                <c:rich>
                  <a:bodyPr/>
                  <a:lstStyle/>
                  <a:p>
                    <a:r>
                      <a:rPr lang="en-US"/>
                      <a:t>Nominated REST or Sunsuper 62%</a:t>
                    </a:r>
                  </a:p>
                </c:rich>
              </c:tx>
              <c:dLblPos val="bestFit"/>
              <c:showLegendKey val="0"/>
              <c:showVal val="0"/>
              <c:showCatName val="1"/>
              <c:showSerName val="0"/>
              <c:showPercent val="1"/>
              <c:showBubbleSize val="0"/>
              <c:separator> </c:separator>
            </c:dLbl>
            <c:dLbl>
              <c:idx val="2"/>
              <c:layout>
                <c:manualLayout>
                  <c:x val="-4.7037037037037039E-3"/>
                  <c:y val="0.33513888888888888"/>
                </c:manualLayout>
              </c:layout>
              <c:tx>
                <c:rich>
                  <a:bodyPr/>
                  <a:lstStyle/>
                  <a:p>
                    <a:r>
                      <a:rPr lang="en-US"/>
                      <a:t>Nominated another fund 38%</a:t>
                    </a:r>
                  </a:p>
                </c:rich>
              </c:tx>
              <c:dLblPos val="bestFit"/>
              <c:showLegendKey val="0"/>
              <c:showVal val="0"/>
              <c:showCatName val="1"/>
              <c:showSerName val="0"/>
              <c:showPercent val="1"/>
              <c:showBubbleSize val="0"/>
              <c:separator> </c:separator>
            </c:dLbl>
            <c:dLbl>
              <c:idx val="3"/>
              <c:layout>
                <c:manualLayout>
                  <c:x val="-9.4074074074074077E-3"/>
                  <c:y val="0.2204861111111111"/>
                </c:manualLayout>
              </c:layout>
              <c:tx>
                <c:rich>
                  <a:bodyPr/>
                  <a:lstStyle/>
                  <a:p>
                    <a:r>
                      <a:rPr lang="en-US"/>
                      <a:t>Nominated</a:t>
                    </a:r>
                    <a:r>
                      <a:rPr lang="en-US" baseline="0"/>
                      <a:t> a fund</a:t>
                    </a:r>
                  </a:p>
                  <a:p>
                    <a:r>
                      <a:rPr lang="en-US"/>
                      <a:t> 42%</a:t>
                    </a:r>
                  </a:p>
                </c:rich>
              </c:tx>
              <c:dLblPos val="bestFit"/>
              <c:showLegendKey val="0"/>
              <c:showVal val="0"/>
              <c:showCatName val="1"/>
              <c:showSerName val="0"/>
              <c:showPercent val="1"/>
              <c:showBubbleSize val="0"/>
              <c:separator> </c:separator>
            </c:dLbl>
            <c:dLblPos val="outEnd"/>
            <c:showLegendKey val="0"/>
            <c:showVal val="0"/>
            <c:showCatName val="1"/>
            <c:showSerName val="0"/>
            <c:showPercent val="1"/>
            <c:showBubbleSize val="0"/>
            <c:separator> </c:separator>
            <c:showLeaderLines val="1"/>
          </c:dLbls>
          <c:cat>
            <c:strRef>
              <c:f>'H:\Default Superannuation\Personal folders\Elise\Data - award reliance\[Enterprise agreements - GOOD recounts 7.05.12.xlsx]Sheet1'!$A$1:$A$3</c:f>
              <c:strCache>
                <c:ptCount val="3"/>
                <c:pt idx="0">
                  <c:v>Did not nominate a fund</c:v>
                </c:pt>
                <c:pt idx="1">
                  <c:v>Nominated REST or Sunsuper</c:v>
                </c:pt>
                <c:pt idx="2">
                  <c:v>Nominated another fund</c:v>
                </c:pt>
              </c:strCache>
            </c:strRef>
          </c:cat>
          <c:val>
            <c:numRef>
              <c:f>'H:\Default Superannuation\Personal folders\Elise\Data - award reliance\[Enterprise agreements - GOOD recounts 7.05.12.xlsx]Sheet1'!$B$1:$B$3</c:f>
              <c:numCache>
                <c:formatCode>General</c:formatCode>
                <c:ptCount val="3"/>
                <c:pt idx="0">
                  <c:v>278</c:v>
                </c:pt>
                <c:pt idx="1">
                  <c:v>126</c:v>
                </c:pt>
                <c:pt idx="2">
                  <c:v>78</c:v>
                </c:pt>
              </c:numCache>
            </c:numRef>
          </c:val>
        </c:ser>
        <c:dLbls>
          <c:showLegendKey val="0"/>
          <c:showVal val="0"/>
          <c:showCatName val="0"/>
          <c:showSerName val="0"/>
          <c:showPercent val="0"/>
          <c:showBubbleSize val="0"/>
          <c:showLeaderLines val="1"/>
        </c:dLbls>
        <c:gapWidth val="100"/>
        <c:splitType val="pos"/>
        <c:splitPos val="2"/>
        <c:secondPieSize val="75"/>
        <c:serLines/>
      </c:ofPieChart>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0.46129</cdr:x>
      <cdr:y>0.12559</cdr:y>
    </cdr:from>
    <cdr:to>
      <cdr:x>0.63949</cdr:x>
      <cdr:y>0.20142</cdr:y>
    </cdr:to>
    <cdr:sp macro="" textlink="">
      <cdr:nvSpPr>
        <cdr:cNvPr id="2" name="Text Box 1"/>
        <cdr:cNvSpPr txBox="1"/>
      </cdr:nvSpPr>
      <cdr:spPr>
        <a:xfrm xmlns:a="http://schemas.openxmlformats.org/drawingml/2006/main">
          <a:off x="2490716" y="361665"/>
          <a:ext cx="962167" cy="21836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100">
              <a:latin typeface="Arial" pitchFamily="34" charset="0"/>
              <a:cs typeface="Arial" pitchFamily="34" charset="0"/>
            </a:rPr>
            <a:t>Predicted</a:t>
          </a:r>
        </a:p>
      </cdr:txBody>
    </cdr:sp>
  </cdr:relSizeAnchor>
  <cdr:relSizeAnchor xmlns:cdr="http://schemas.openxmlformats.org/drawingml/2006/chartDrawing">
    <cdr:from>
      <cdr:x>0.20686</cdr:x>
      <cdr:y>0.12747</cdr:y>
    </cdr:from>
    <cdr:to>
      <cdr:x>0.38506</cdr:x>
      <cdr:y>0.2033</cdr:y>
    </cdr:to>
    <cdr:sp macro="" textlink="">
      <cdr:nvSpPr>
        <cdr:cNvPr id="3" name="Text Box 2"/>
        <cdr:cNvSpPr txBox="1"/>
      </cdr:nvSpPr>
      <cdr:spPr>
        <a:xfrm xmlns:a="http://schemas.openxmlformats.org/drawingml/2006/main">
          <a:off x="1116930" y="367069"/>
          <a:ext cx="962174" cy="2183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100">
              <a:latin typeface="Arial" pitchFamily="34" charset="0"/>
              <a:cs typeface="Arial" pitchFamily="34" charset="0"/>
            </a:rPr>
            <a:t>Actual</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FD2D7-7B25-4C92-ABA7-555F1725A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24</Pages>
  <Words>7601</Words>
  <Characters>43209</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Default funds in modern awards</vt:lpstr>
    </vt:vector>
  </TitlesOfParts>
  <Company>Productivity Commission</Company>
  <LinksUpToDate>false</LinksUpToDate>
  <CharactersWithSpaces>50709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Default funds in modern awards</dc:title>
  <dc:subject>Default superannuation in modern awards</dc:subject>
  <dc:creator>Productivity Commission</dc:creator>
  <dc:description>2.</dc:description>
  <cp:lastModifiedBy>Productivity Commission</cp:lastModifiedBy>
  <cp:revision>3</cp:revision>
  <cp:lastPrinted>2012-10-04T02:17:00Z</cp:lastPrinted>
  <dcterms:created xsi:type="dcterms:W3CDTF">2012-10-08T02:45:00Z</dcterms:created>
  <dcterms:modified xsi:type="dcterms:W3CDTF">2012-10-08T04:58:00Z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-1023913132</vt:i4>
  </property>
  <property fmtid="{D5CDD505-2E9C-101B-9397-08002B2CF9AE}" pid="3" name="_NewReviewCycle">
    <vt:lpwstr/>
  </property>
  <property fmtid="{D5CDD505-2E9C-101B-9397-08002B2CF9AE}" pid="4" name="_EmailSubject">
    <vt:lpwstr>web files - default super -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