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53236F" w:rsidP="0053236F">
      <w:pPr>
        <w:pStyle w:val="Chapter"/>
        <w:ind w:left="907" w:hanging="907"/>
      </w:pPr>
      <w:bookmarkStart w:id="0" w:name="ChapterNumber"/>
      <w:r>
        <w:t>4</w:t>
      </w:r>
      <w:bookmarkEnd w:id="0"/>
      <w:r>
        <w:tab/>
      </w:r>
      <w:bookmarkStart w:id="1" w:name="ChapterTitle"/>
      <w:r>
        <w:t>Investment performance</w:t>
      </w:r>
      <w:bookmarkEnd w:id="1"/>
    </w:p>
    <w:p w:rsidR="00AF7EE4" w:rsidRDefault="00AF7EE4" w:rsidP="00AF7EE4">
      <w:pPr>
        <w:pStyle w:val="BoxSpac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F7EE4" w:rsidTr="00AF7EE4">
        <w:tc>
          <w:tcPr>
            <w:tcW w:w="8771" w:type="dxa"/>
            <w:tcBorders>
              <w:top w:val="single" w:sz="6" w:space="0" w:color="auto"/>
              <w:bottom w:val="nil"/>
            </w:tcBorders>
          </w:tcPr>
          <w:p w:rsidR="00AF7EE4" w:rsidRDefault="00AF7EE4" w:rsidP="00AF7EE4">
            <w:pPr>
              <w:pStyle w:val="BoxTitle"/>
            </w:pPr>
            <w:r>
              <w:t>Key points</w:t>
            </w:r>
          </w:p>
        </w:tc>
      </w:tr>
      <w:tr w:rsidR="00AF7EE4" w:rsidTr="00AF7EE4">
        <w:trPr>
          <w:cantSplit/>
        </w:trPr>
        <w:tc>
          <w:tcPr>
            <w:tcW w:w="8771" w:type="dxa"/>
            <w:tcBorders>
              <w:top w:val="nil"/>
              <w:left w:val="single" w:sz="6" w:space="0" w:color="auto"/>
              <w:bottom w:val="nil"/>
              <w:right w:val="single" w:sz="6" w:space="0" w:color="auto"/>
            </w:tcBorders>
          </w:tcPr>
          <w:p w:rsidR="000B299B" w:rsidRDefault="000B299B" w:rsidP="00016246">
            <w:pPr>
              <w:pStyle w:val="BoxListBullet"/>
            </w:pPr>
            <w:r>
              <w:t xml:space="preserve">Retirement outcomes for superannuation fund members depend </w:t>
            </w:r>
            <w:r w:rsidR="006C0757">
              <w:t xml:space="preserve">in large part </w:t>
            </w:r>
            <w:r>
              <w:t>on the long</w:t>
            </w:r>
            <w:r>
              <w:noBreakHyphen/>
              <w:t xml:space="preserve">term investment performance of superannuation funds. Small improvements </w:t>
            </w:r>
            <w:r w:rsidR="006C0757">
              <w:t xml:space="preserve">in </w:t>
            </w:r>
            <w:r>
              <w:t xml:space="preserve">annual </w:t>
            </w:r>
            <w:r w:rsidR="00E62430">
              <w:t xml:space="preserve">net returns </w:t>
            </w:r>
            <w:r w:rsidR="00016246">
              <w:t xml:space="preserve">(returns after the deduction of fees, costs and taxes) </w:t>
            </w:r>
            <w:r>
              <w:t xml:space="preserve">can lead to significant increases in </w:t>
            </w:r>
            <w:r w:rsidR="00890558">
              <w:t xml:space="preserve">accumulated </w:t>
            </w:r>
            <w:r>
              <w:t xml:space="preserve">returns upon retirement. </w:t>
            </w:r>
          </w:p>
          <w:p w:rsidR="000B299B" w:rsidRDefault="000B299B" w:rsidP="00F64459">
            <w:pPr>
              <w:pStyle w:val="BoxListBullet"/>
            </w:pPr>
            <w:r>
              <w:t xml:space="preserve">The Stronger Super reforms prescribe new disclosure requirements for </w:t>
            </w:r>
            <w:r w:rsidR="00935293">
              <w:t xml:space="preserve">investment strategy, risk, </w:t>
            </w:r>
            <w:r>
              <w:t>performance</w:t>
            </w:r>
            <w:r w:rsidR="00935293">
              <w:t>,</w:t>
            </w:r>
            <w:r>
              <w:t xml:space="preserve"> fees </w:t>
            </w:r>
            <w:r w:rsidR="007541C3">
              <w:t xml:space="preserve">and costs, </w:t>
            </w:r>
            <w:r>
              <w:t xml:space="preserve">and scale for all </w:t>
            </w:r>
            <w:proofErr w:type="spellStart"/>
            <w:r>
              <w:t>MySuper</w:t>
            </w:r>
            <w:proofErr w:type="spellEnd"/>
            <w:r>
              <w:t xml:space="preserve"> products. </w:t>
            </w:r>
            <w:r w:rsidR="00B33FE5">
              <w:t xml:space="preserve">These </w:t>
            </w:r>
            <w:r w:rsidR="000B15B0">
              <w:t xml:space="preserve">disclosures </w:t>
            </w:r>
            <w:r w:rsidR="00B33FE5">
              <w:t xml:space="preserve">will enhance comparability between products and </w:t>
            </w:r>
            <w:r w:rsidR="000B15B0">
              <w:t xml:space="preserve">are </w:t>
            </w:r>
            <w:r w:rsidR="00B33FE5">
              <w:t>expected to improve the consumer demand response</w:t>
            </w:r>
            <w:r w:rsidR="000B15B0">
              <w:t xml:space="preserve"> to superannuation product offerings</w:t>
            </w:r>
            <w:r w:rsidR="00B33FE5">
              <w:t>.</w:t>
            </w:r>
          </w:p>
          <w:p w:rsidR="000B299B" w:rsidRDefault="003C48CD" w:rsidP="00B407FE">
            <w:pPr>
              <w:pStyle w:val="BoxListBullet2"/>
            </w:pPr>
            <w:r>
              <w:t>E</w:t>
            </w:r>
            <w:r w:rsidR="00C562FE">
              <w:t xml:space="preserve">ach </w:t>
            </w:r>
            <w:proofErr w:type="spellStart"/>
            <w:r w:rsidR="00C562FE">
              <w:t>MySuper</w:t>
            </w:r>
            <w:proofErr w:type="spellEnd"/>
            <w:r w:rsidR="00C562FE">
              <w:t xml:space="preserve"> product will be required to have a single, diversified investment strategy (which may be a lifecycle approach)</w:t>
            </w:r>
            <w:r w:rsidR="00B33FE5">
              <w:t xml:space="preserve">, including </w:t>
            </w:r>
            <w:r w:rsidR="008A60A8">
              <w:t xml:space="preserve">a </w:t>
            </w:r>
            <w:r w:rsidR="000B299B">
              <w:t>clearly articulate</w:t>
            </w:r>
            <w:r w:rsidR="008A60A8">
              <w:t>d</w:t>
            </w:r>
            <w:r w:rsidR="000B299B">
              <w:t xml:space="preserve"> </w:t>
            </w:r>
            <w:r w:rsidR="004152AF">
              <w:t>investment</w:t>
            </w:r>
            <w:r w:rsidR="000B299B">
              <w:t xml:space="preserve"> return</w:t>
            </w:r>
            <w:r w:rsidR="004152AF">
              <w:t xml:space="preserve"> target</w:t>
            </w:r>
            <w:r w:rsidR="000B299B">
              <w:t xml:space="preserve"> and level of risk</w:t>
            </w:r>
            <w:r w:rsidR="00C562FE">
              <w:t xml:space="preserve">. </w:t>
            </w:r>
          </w:p>
          <w:p w:rsidR="00F33295" w:rsidRDefault="00F33295" w:rsidP="00B407FE">
            <w:pPr>
              <w:pStyle w:val="BoxListBullet2"/>
            </w:pPr>
            <w:r>
              <w:t xml:space="preserve">No minimum investment performance criteria will be required for </w:t>
            </w:r>
            <w:proofErr w:type="spellStart"/>
            <w:r>
              <w:t>MySuper</w:t>
            </w:r>
            <w:proofErr w:type="spellEnd"/>
            <w:r>
              <w:t xml:space="preserve"> products.</w:t>
            </w:r>
          </w:p>
          <w:p w:rsidR="00F33295" w:rsidRPr="00F33295" w:rsidRDefault="000B15B0" w:rsidP="00B407FE">
            <w:pPr>
              <w:pStyle w:val="BoxListBullet2"/>
            </w:pPr>
            <w:r>
              <w:t xml:space="preserve">Only particular types </w:t>
            </w:r>
            <w:r w:rsidR="00F33295" w:rsidRPr="00F33295">
              <w:t xml:space="preserve">of fees will be </w:t>
            </w:r>
            <w:r>
              <w:t>allowable</w:t>
            </w:r>
            <w:r w:rsidRPr="00F33295">
              <w:t xml:space="preserve"> </w:t>
            </w:r>
            <w:r w:rsidR="00F33295" w:rsidRPr="00F33295">
              <w:t xml:space="preserve">for </w:t>
            </w:r>
            <w:proofErr w:type="spellStart"/>
            <w:r w:rsidR="00F33295" w:rsidRPr="00F33295">
              <w:t>MySuper</w:t>
            </w:r>
            <w:proofErr w:type="spellEnd"/>
            <w:r w:rsidR="00F33295" w:rsidRPr="00F33295">
              <w:t xml:space="preserve"> products. Some categories of fees will be limited to cost recovery, though investment and administration fees will not be capped. </w:t>
            </w:r>
          </w:p>
          <w:p w:rsidR="00F33295" w:rsidRPr="000B15B0" w:rsidRDefault="00F33295" w:rsidP="00B407FE">
            <w:pPr>
              <w:pStyle w:val="BoxListBullet2"/>
              <w:rPr>
                <w:szCs w:val="24"/>
              </w:rPr>
            </w:pPr>
            <w:r>
              <w:t xml:space="preserve">Trustees of funds that offer a </w:t>
            </w:r>
            <w:proofErr w:type="spellStart"/>
            <w:r>
              <w:t>MySuper</w:t>
            </w:r>
            <w:proofErr w:type="spellEnd"/>
            <w:r>
              <w:t xml:space="preserve"> product will be required to consider whether the scale of the fund negatively affects their ability to promote the best interests of </w:t>
            </w:r>
            <w:r w:rsidR="000B15B0">
              <w:t xml:space="preserve">their </w:t>
            </w:r>
            <w:r>
              <w:t xml:space="preserve">members. </w:t>
            </w:r>
          </w:p>
          <w:p w:rsidR="000B15B0" w:rsidRDefault="000B15B0" w:rsidP="000B15B0">
            <w:pPr>
              <w:pStyle w:val="BoxListBullet"/>
            </w:pPr>
            <w:r>
              <w:t xml:space="preserve">When </w:t>
            </w:r>
            <w:r w:rsidR="00CC1C5D">
              <w:t>determining</w:t>
            </w:r>
            <w:r>
              <w:t xml:space="preserve"> if a </w:t>
            </w:r>
            <w:proofErr w:type="spellStart"/>
            <w:r>
              <w:t>MySuper</w:t>
            </w:r>
            <w:proofErr w:type="spellEnd"/>
            <w:r>
              <w:t xml:space="preserve"> product should be listed in an award:</w:t>
            </w:r>
          </w:p>
          <w:p w:rsidR="000B299B" w:rsidRPr="008C0BB9" w:rsidRDefault="003643FB" w:rsidP="008C0BB9">
            <w:pPr>
              <w:pStyle w:val="BoxListBullet2"/>
            </w:pPr>
            <w:r>
              <w:t>T</w:t>
            </w:r>
            <w:r w:rsidR="000B299B">
              <w:t xml:space="preserve">he appropriateness of the </w:t>
            </w:r>
            <w:proofErr w:type="spellStart"/>
            <w:r w:rsidR="00144096">
              <w:t>MySuper</w:t>
            </w:r>
            <w:proofErr w:type="spellEnd"/>
            <w:r w:rsidR="00144096">
              <w:t xml:space="preserve"> product</w:t>
            </w:r>
            <w:r w:rsidR="00800F00">
              <w:t>’</w:t>
            </w:r>
            <w:r w:rsidR="00144096">
              <w:t xml:space="preserve">s </w:t>
            </w:r>
            <w:r w:rsidR="00CE47AA">
              <w:t>long</w:t>
            </w:r>
            <w:r w:rsidR="00CE47AA">
              <w:noBreakHyphen/>
              <w:t xml:space="preserve">term </w:t>
            </w:r>
            <w:r w:rsidR="00144096">
              <w:t xml:space="preserve">investment </w:t>
            </w:r>
            <w:r w:rsidR="00CE47AA">
              <w:t xml:space="preserve">return target and risk profile </w:t>
            </w:r>
            <w:r w:rsidR="003C48CD">
              <w:t>(</w:t>
            </w:r>
            <w:r w:rsidR="000B299B">
              <w:t xml:space="preserve">for </w:t>
            </w:r>
            <w:r w:rsidR="00126297">
              <w:t xml:space="preserve">employees </w:t>
            </w:r>
            <w:r w:rsidR="005219E4">
              <w:t xml:space="preserve">who </w:t>
            </w:r>
            <w:r w:rsidR="00244326">
              <w:t>derive their default superannuation product in accordance with a given</w:t>
            </w:r>
            <w:r w:rsidR="005219E4">
              <w:t xml:space="preserve"> mode</w:t>
            </w:r>
            <w:r w:rsidR="00244326">
              <w:t>rn award</w:t>
            </w:r>
            <w:r w:rsidR="003C48CD">
              <w:t>)</w:t>
            </w:r>
            <w:r w:rsidR="004137D6">
              <w:t xml:space="preserve"> </w:t>
            </w:r>
            <w:r w:rsidR="00AD4FCA">
              <w:t xml:space="preserve">should be </w:t>
            </w:r>
            <w:r w:rsidR="00A838C0">
              <w:t xml:space="preserve">a </w:t>
            </w:r>
            <w:r w:rsidR="00AD4FCA">
              <w:t>consider</w:t>
            </w:r>
            <w:r w:rsidR="000B15B0">
              <w:t>ation</w:t>
            </w:r>
            <w:r w:rsidR="00FF70A2">
              <w:t>,</w:t>
            </w:r>
            <w:r w:rsidR="00DC62A2">
              <w:t xml:space="preserve"> as a primary factor</w:t>
            </w:r>
            <w:r w:rsidR="000B299B">
              <w:t>.</w:t>
            </w:r>
            <w:r w:rsidR="008C0BB9">
              <w:t xml:space="preserve"> </w:t>
            </w:r>
          </w:p>
          <w:p w:rsidR="00220541" w:rsidRDefault="003643FB" w:rsidP="000B15B0">
            <w:pPr>
              <w:pStyle w:val="BoxListBullet2"/>
            </w:pPr>
            <w:r>
              <w:t xml:space="preserve">The expected ability to deliver on </w:t>
            </w:r>
            <w:r w:rsidR="008C235F">
              <w:t>its</w:t>
            </w:r>
            <w:r>
              <w:t xml:space="preserve"> </w:t>
            </w:r>
            <w:proofErr w:type="spellStart"/>
            <w:r>
              <w:t>MySuper</w:t>
            </w:r>
            <w:proofErr w:type="spellEnd"/>
            <w:r>
              <w:t xml:space="preserve"> </w:t>
            </w:r>
            <w:r w:rsidR="00CE47AA">
              <w:t>long</w:t>
            </w:r>
            <w:r w:rsidR="00CE47AA">
              <w:noBreakHyphen/>
              <w:t>term investment return target</w:t>
            </w:r>
            <w:r w:rsidR="00A91735">
              <w:t>, given its</w:t>
            </w:r>
            <w:r w:rsidR="00CE47AA">
              <w:t xml:space="preserve"> risk profile</w:t>
            </w:r>
            <w:r w:rsidR="00A91735">
              <w:t>,</w:t>
            </w:r>
            <w:r w:rsidR="00CE47AA" w:rsidDel="00CE47AA">
              <w:t xml:space="preserve"> </w:t>
            </w:r>
            <w:r>
              <w:t xml:space="preserve">should be </w:t>
            </w:r>
            <w:r w:rsidR="000B15B0">
              <w:t xml:space="preserve">a </w:t>
            </w:r>
            <w:r>
              <w:t>consider</w:t>
            </w:r>
            <w:r w:rsidR="000B15B0">
              <w:t>ation</w:t>
            </w:r>
            <w:r>
              <w:t>, as a primary factor</w:t>
            </w:r>
            <w:r w:rsidR="00220541">
              <w:t>.</w:t>
            </w:r>
            <w:r w:rsidR="002D695C">
              <w:t xml:space="preserve"> The appropriateness of the investment strategy and previous success against its objectives are relevant. No threshold investment return target or risk profile should be set.</w:t>
            </w:r>
          </w:p>
          <w:p w:rsidR="000B299B" w:rsidRDefault="008A60A8" w:rsidP="000B15B0">
            <w:pPr>
              <w:pStyle w:val="BoxListBullet2"/>
            </w:pPr>
            <w:r>
              <w:t xml:space="preserve">The appropriateness of the </w:t>
            </w:r>
            <w:proofErr w:type="spellStart"/>
            <w:r>
              <w:t>MySuper</w:t>
            </w:r>
            <w:proofErr w:type="spellEnd"/>
            <w:r>
              <w:t xml:space="preserve"> product’s fees and costs should be </w:t>
            </w:r>
            <w:r w:rsidR="000B15B0">
              <w:t xml:space="preserve">a </w:t>
            </w:r>
            <w:r>
              <w:t>consider</w:t>
            </w:r>
            <w:r w:rsidR="000B15B0">
              <w:t>ation</w:t>
            </w:r>
            <w:r w:rsidR="00B25543">
              <w:t xml:space="preserve">, </w:t>
            </w:r>
            <w:r w:rsidR="000B15B0">
              <w:t>in terms of</w:t>
            </w:r>
            <w:r w:rsidR="000B299B" w:rsidRPr="00B12C08">
              <w:t xml:space="preserve"> the</w:t>
            </w:r>
            <w:r w:rsidR="001B1F92">
              <w:t xml:space="preserve"> </w:t>
            </w:r>
            <w:r>
              <w:t xml:space="preserve">product’s </w:t>
            </w:r>
            <w:r w:rsidR="003D4804">
              <w:t>long</w:t>
            </w:r>
            <w:r w:rsidR="003D4804">
              <w:noBreakHyphen/>
              <w:t>term investment return target and risk profile,</w:t>
            </w:r>
            <w:r>
              <w:t xml:space="preserve"> and the services provided</w:t>
            </w:r>
            <w:r w:rsidR="000B299B">
              <w:t>.</w:t>
            </w:r>
          </w:p>
          <w:p w:rsidR="00845436" w:rsidRPr="006C0757" w:rsidRDefault="00F33295" w:rsidP="00103D55">
            <w:pPr>
              <w:pStyle w:val="BoxListBullet"/>
              <w:rPr>
                <w:szCs w:val="24"/>
              </w:rPr>
            </w:pPr>
            <w:r>
              <w:t xml:space="preserve">The </w:t>
            </w:r>
            <w:proofErr w:type="spellStart"/>
            <w:r>
              <w:t>MySuper</w:t>
            </w:r>
            <w:proofErr w:type="spellEnd"/>
            <w:r>
              <w:t xml:space="preserve"> scale</w:t>
            </w:r>
            <w:r w:rsidR="006C0757">
              <w:t xml:space="preserve"> requirement </w:t>
            </w:r>
            <w:r w:rsidR="000B299B">
              <w:t xml:space="preserve">is appropriate, and no </w:t>
            </w:r>
            <w:r w:rsidR="00C562FE">
              <w:t>greater</w:t>
            </w:r>
            <w:r w:rsidR="000B299B">
              <w:t xml:space="preserve"> prescripti</w:t>
            </w:r>
            <w:r w:rsidR="00C562FE">
              <w:t>on with regard to</w:t>
            </w:r>
            <w:r w:rsidR="000B299B">
              <w:t xml:space="preserve"> scale is required</w:t>
            </w:r>
            <w:r w:rsidR="003643FB">
              <w:t xml:space="preserve"> </w:t>
            </w:r>
            <w:r w:rsidR="00FC0A5F">
              <w:t>to list default</w:t>
            </w:r>
            <w:r w:rsidR="003643FB">
              <w:t xml:space="preserve"> products in modern awards</w:t>
            </w:r>
            <w:r w:rsidR="000B299B">
              <w:t xml:space="preserve">. </w:t>
            </w:r>
          </w:p>
        </w:tc>
      </w:tr>
      <w:tr w:rsidR="00AF7EE4" w:rsidTr="00AF7EE4">
        <w:trPr>
          <w:cantSplit/>
        </w:trPr>
        <w:tc>
          <w:tcPr>
            <w:tcW w:w="8771" w:type="dxa"/>
            <w:tcBorders>
              <w:top w:val="nil"/>
              <w:left w:val="single" w:sz="6" w:space="0" w:color="auto"/>
              <w:bottom w:val="single" w:sz="6" w:space="0" w:color="auto"/>
              <w:right w:val="single" w:sz="6" w:space="0" w:color="auto"/>
            </w:tcBorders>
          </w:tcPr>
          <w:p w:rsidR="00AF7EE4" w:rsidRDefault="00AF7EE4" w:rsidP="00AF7EE4">
            <w:pPr>
              <w:pStyle w:val="Box"/>
              <w:spacing w:before="0" w:line="120" w:lineRule="exact"/>
            </w:pPr>
          </w:p>
        </w:tc>
      </w:tr>
      <w:tr w:rsidR="00AF7EE4" w:rsidTr="00AF7EE4">
        <w:tc>
          <w:tcPr>
            <w:tcW w:w="8771" w:type="dxa"/>
            <w:tcBorders>
              <w:top w:val="nil"/>
              <w:left w:val="nil"/>
              <w:bottom w:val="nil"/>
              <w:right w:val="nil"/>
            </w:tcBorders>
          </w:tcPr>
          <w:p w:rsidR="00AF7EE4" w:rsidRDefault="00AF7EE4" w:rsidP="00AF7EE4">
            <w:pPr>
              <w:pStyle w:val="Box"/>
              <w:keepNext w:val="0"/>
              <w:spacing w:before="60" w:after="60" w:line="80" w:lineRule="exact"/>
              <w:rPr>
                <w:b/>
                <w:color w:val="FF00FF"/>
                <w:sz w:val="14"/>
              </w:rPr>
            </w:pPr>
          </w:p>
        </w:tc>
      </w:tr>
    </w:tbl>
    <w:p w:rsidR="00923F69" w:rsidRDefault="0092107F" w:rsidP="009E4D88">
      <w:pPr>
        <w:pStyle w:val="BodyText"/>
      </w:pPr>
      <w:r>
        <w:lastRenderedPageBreak/>
        <w:t xml:space="preserve">This chapter </w:t>
      </w:r>
      <w:r w:rsidR="00E927EF">
        <w:t xml:space="preserve">includes analysis on </w:t>
      </w:r>
      <w:r w:rsidR="009D44C6">
        <w:t xml:space="preserve">the scope for </w:t>
      </w:r>
      <w:r w:rsidR="0034113B">
        <w:t xml:space="preserve">additional </w:t>
      </w:r>
      <w:r w:rsidR="00FC7195">
        <w:t xml:space="preserve">prescriptive criteria </w:t>
      </w:r>
      <w:r w:rsidR="009D44C6">
        <w:t>relat</w:t>
      </w:r>
      <w:r w:rsidR="0085663D">
        <w:t>ing</w:t>
      </w:r>
      <w:r w:rsidR="009D44C6">
        <w:t xml:space="preserve"> to </w:t>
      </w:r>
      <w:r w:rsidR="008F740A">
        <w:t>investment performance</w:t>
      </w:r>
      <w:r w:rsidR="00923F69">
        <w:t xml:space="preserve"> (that is</w:t>
      </w:r>
      <w:r w:rsidR="008F740A">
        <w:t xml:space="preserve">, </w:t>
      </w:r>
      <w:r w:rsidR="00FC5302">
        <w:t>net returns to members</w:t>
      </w:r>
      <w:r w:rsidR="00923F69">
        <w:t>)</w:t>
      </w:r>
      <w:r w:rsidR="009D44C6">
        <w:t xml:space="preserve"> </w:t>
      </w:r>
      <w:r w:rsidR="0034113B">
        <w:t xml:space="preserve">to be considered in the selection and ongoing assessment of superannuation </w:t>
      </w:r>
      <w:r w:rsidR="001136FC">
        <w:t>products</w:t>
      </w:r>
      <w:r w:rsidR="0034113B">
        <w:t xml:space="preserve"> for listing in modern awards</w:t>
      </w:r>
      <w:r w:rsidR="009D44C6">
        <w:t xml:space="preserve">. </w:t>
      </w:r>
      <w:r w:rsidR="008F740A">
        <w:t xml:space="preserve">The chapter </w:t>
      </w:r>
      <w:r w:rsidR="00506CDE">
        <w:t xml:space="preserve">considers </w:t>
      </w:r>
      <w:r w:rsidR="008F740A">
        <w:t xml:space="preserve">these in the context of the Stronger Super reforms. </w:t>
      </w:r>
    </w:p>
    <w:p w:rsidR="00E927EF" w:rsidRDefault="004922E2" w:rsidP="009E4D88">
      <w:pPr>
        <w:pStyle w:val="BodyText"/>
      </w:pPr>
      <w:r>
        <w:t>T</w:t>
      </w:r>
      <w:r w:rsidR="00553550">
        <w:t xml:space="preserve">he chapter </w:t>
      </w:r>
      <w:r w:rsidR="00E927EF">
        <w:t xml:space="preserve">covers the case for </w:t>
      </w:r>
      <w:r w:rsidR="00923F69">
        <w:t xml:space="preserve">an </w:t>
      </w:r>
      <w:r w:rsidR="00E927EF">
        <w:t xml:space="preserve">additional </w:t>
      </w:r>
      <w:r w:rsidR="00FC7195">
        <w:t xml:space="preserve">criterion </w:t>
      </w:r>
      <w:r w:rsidR="00923F69">
        <w:t>relating directly to investment performance,</w:t>
      </w:r>
      <w:r w:rsidR="00E927EF">
        <w:t xml:space="preserve"> </w:t>
      </w:r>
      <w:r w:rsidR="00923F69">
        <w:t xml:space="preserve">and in particular, the ability to deliver on investment objectives. It also includes consideration of </w:t>
      </w:r>
      <w:r w:rsidR="00FC7195">
        <w:t xml:space="preserve">criteria </w:t>
      </w:r>
      <w:r w:rsidR="00923F69">
        <w:t xml:space="preserve">that </w:t>
      </w:r>
      <w:r w:rsidR="00E927EF">
        <w:t>relat</w:t>
      </w:r>
      <w:r w:rsidR="00923F69">
        <w:t>e indirectly to investment performance, namely</w:t>
      </w:r>
      <w:r w:rsidR="00322AF5">
        <w:t>:</w:t>
      </w:r>
      <w:r w:rsidR="0092107F">
        <w:t xml:space="preserve"> </w:t>
      </w:r>
      <w:r w:rsidR="00645D03">
        <w:t>investment strategies</w:t>
      </w:r>
      <w:r w:rsidR="00431DA4">
        <w:t xml:space="preserve"> and objectives</w:t>
      </w:r>
      <w:r w:rsidR="00645D03">
        <w:t xml:space="preserve">; </w:t>
      </w:r>
      <w:r w:rsidR="0092107F">
        <w:t>fees</w:t>
      </w:r>
      <w:r w:rsidR="00F171AF">
        <w:t xml:space="preserve"> and costs;</w:t>
      </w:r>
      <w:r w:rsidR="0092107F">
        <w:t xml:space="preserve"> and </w:t>
      </w:r>
      <w:r w:rsidR="009D44C6">
        <w:t xml:space="preserve">economies of </w:t>
      </w:r>
      <w:r w:rsidR="0092107F">
        <w:t xml:space="preserve">scale. </w:t>
      </w:r>
      <w:r w:rsidR="008F740A">
        <w:t xml:space="preserve">Investment </w:t>
      </w:r>
      <w:r w:rsidR="00C050E2">
        <w:t xml:space="preserve">strategies and </w:t>
      </w:r>
      <w:r w:rsidR="00431DA4">
        <w:t>objectives</w:t>
      </w:r>
      <w:r w:rsidR="00C050E2">
        <w:t xml:space="preserve"> </w:t>
      </w:r>
      <w:r w:rsidR="00BD2191">
        <w:t xml:space="preserve">largely </w:t>
      </w:r>
      <w:r w:rsidR="00C050E2">
        <w:t xml:space="preserve">determine the path to </w:t>
      </w:r>
      <w:r w:rsidR="00FF7C85">
        <w:t>investment performance</w:t>
      </w:r>
      <w:r w:rsidR="00C050E2">
        <w:t>. Fees and costs influence net returns to members, though the</w:t>
      </w:r>
      <w:r w:rsidR="0089444F">
        <w:t xml:space="preserve">ir actual effect </w:t>
      </w:r>
      <w:r w:rsidR="00C050E2">
        <w:t>will depend on the value for money the</w:t>
      </w:r>
      <w:r w:rsidR="0089444F">
        <w:t>y</w:t>
      </w:r>
      <w:r w:rsidR="00C050E2">
        <w:t xml:space="preserve"> provide</w:t>
      </w:r>
      <w:r w:rsidR="00923F69">
        <w:t>, and e</w:t>
      </w:r>
      <w:r w:rsidR="00C050E2">
        <w:t xml:space="preserve">conomies of scale </w:t>
      </w:r>
      <w:r w:rsidR="0089444F">
        <w:t>can</w:t>
      </w:r>
      <w:r w:rsidR="00C050E2">
        <w:t xml:space="preserve"> </w:t>
      </w:r>
      <w:r w:rsidR="0089444F">
        <w:t>lead to</w:t>
      </w:r>
      <w:r w:rsidR="00C050E2">
        <w:t xml:space="preserve"> higher net returns</w:t>
      </w:r>
      <w:r w:rsidR="00C050E2" w:rsidRPr="00C050E2">
        <w:t xml:space="preserve"> </w:t>
      </w:r>
      <w:r w:rsidR="00C050E2">
        <w:t>to members.</w:t>
      </w:r>
    </w:p>
    <w:p w:rsidR="004D5E16" w:rsidRDefault="0055510D" w:rsidP="004D5E16">
      <w:pPr>
        <w:pStyle w:val="Heading2"/>
      </w:pPr>
      <w:fldSimple w:instr=" COMMENTS  \* MERGEFORMAT ">
        <w:r w:rsidR="0053236F">
          <w:t>4.</w:t>
        </w:r>
      </w:fldSimple>
      <w:r>
        <w:fldChar w:fldCharType="begin"/>
      </w:r>
      <w:r>
        <w:instrText xml:space="preserve"> SEQ Heading2 </w:instrText>
      </w:r>
      <w:r>
        <w:fldChar w:fldCharType="separate"/>
      </w:r>
      <w:r w:rsidR="00132F9A">
        <w:rPr>
          <w:noProof/>
        </w:rPr>
        <w:t>1</w:t>
      </w:r>
      <w:r>
        <w:rPr>
          <w:noProof/>
        </w:rPr>
        <w:fldChar w:fldCharType="end"/>
      </w:r>
      <w:r w:rsidR="004D5E16">
        <w:tab/>
        <w:t>Investment strateg</w:t>
      </w:r>
      <w:r w:rsidR="00431DA4">
        <w:t>ies and objectives</w:t>
      </w:r>
    </w:p>
    <w:p w:rsidR="004D5E16" w:rsidRDefault="004D5E16" w:rsidP="004D5E16">
      <w:pPr>
        <w:pStyle w:val="BodyText"/>
      </w:pPr>
      <w:r>
        <w:t xml:space="preserve">An investment strategy guides the allocation of assets among various investment options </w:t>
      </w:r>
      <w:r w:rsidR="0010745B">
        <w:t xml:space="preserve">to meet </w:t>
      </w:r>
      <w:r w:rsidR="00935293">
        <w:t xml:space="preserve">the </w:t>
      </w:r>
      <w:r w:rsidR="004B3551">
        <w:t xml:space="preserve">investment </w:t>
      </w:r>
      <w:r>
        <w:t>objective (such as the investment return target), or objectives</w:t>
      </w:r>
      <w:r w:rsidR="00935293">
        <w:t xml:space="preserve"> of the fund</w:t>
      </w:r>
      <w:r>
        <w:t xml:space="preserve">, </w:t>
      </w:r>
      <w:r w:rsidR="0010745B">
        <w:t xml:space="preserve">taking into account </w:t>
      </w:r>
      <w:r w:rsidR="00FD1904">
        <w:t xml:space="preserve">the fund’s </w:t>
      </w:r>
      <w:r>
        <w:t xml:space="preserve">risk tolerance. A defensive investment strategy allocates assets to minimise the risk of losing value, </w:t>
      </w:r>
      <w:r w:rsidR="00296E3E">
        <w:t>and in contrast,</w:t>
      </w:r>
      <w:r>
        <w:t xml:space="preserve"> an aggressive investment strategy allocates assets to achieve maximum return, usually taking on additional risk.</w:t>
      </w:r>
      <w:r w:rsidRPr="00B953B4">
        <w:t xml:space="preserve"> </w:t>
      </w:r>
      <w:r>
        <w:t>A balanced investment strategy portfolio falls between these two extremes.</w:t>
      </w:r>
    </w:p>
    <w:p w:rsidR="004D5E16" w:rsidRDefault="004D5E16" w:rsidP="004D5E16">
      <w:pPr>
        <w:pStyle w:val="BodyText"/>
      </w:pPr>
      <w:r>
        <w:t>W</w:t>
      </w:r>
      <w:r w:rsidRPr="001F5303">
        <w:t>hen formulating, documenting and giving effect to an investment strategy</w:t>
      </w:r>
      <w:r>
        <w:t>,</w:t>
      </w:r>
      <w:r w:rsidRPr="001F5303">
        <w:t xml:space="preserve"> </w:t>
      </w:r>
      <w:r>
        <w:t xml:space="preserve">trustees are required to </w:t>
      </w:r>
      <w:r w:rsidRPr="001F5303">
        <w:t>consider</w:t>
      </w:r>
      <w:r>
        <w:t xml:space="preserve"> the likely return and risk, diversification, and liquidity of investments. Trustees must consider the risk tolerance of members when setting </w:t>
      </w:r>
      <w:r w:rsidR="00935293">
        <w:t>the</w:t>
      </w:r>
      <w:r>
        <w:t xml:space="preserve"> risk profile for the fund (Jones 2011).</w:t>
      </w:r>
    </w:p>
    <w:p w:rsidR="004D5E16" w:rsidRDefault="004D5E16" w:rsidP="004D5E16">
      <w:pPr>
        <w:pStyle w:val="Heading3"/>
      </w:pPr>
      <w:r>
        <w:t>Stronger Super reforms</w:t>
      </w:r>
    </w:p>
    <w:p w:rsidR="004D5E16" w:rsidRDefault="004D5E16" w:rsidP="004D5E16">
      <w:pPr>
        <w:pStyle w:val="BodyText"/>
      </w:pPr>
      <w:r>
        <w:t xml:space="preserve">Though </w:t>
      </w:r>
      <w:proofErr w:type="spellStart"/>
      <w:r>
        <w:t>MySuper</w:t>
      </w:r>
      <w:proofErr w:type="spellEnd"/>
      <w:r>
        <w:t xml:space="preserve"> trustees will be required to formulate</w:t>
      </w:r>
      <w:r w:rsidR="00FD1904">
        <w:t>,</w:t>
      </w:r>
      <w:r>
        <w:t xml:space="preserve"> give effect to</w:t>
      </w:r>
      <w:r w:rsidR="00FD1904">
        <w:t>, and publish</w:t>
      </w:r>
      <w:r>
        <w:t xml:space="preserve"> a </w:t>
      </w:r>
      <w:r w:rsidRPr="00506CDE">
        <w:t>single</w:t>
      </w:r>
      <w:r>
        <w:t xml:space="preserve">, diversified investment strategy, </w:t>
      </w:r>
      <w:proofErr w:type="spellStart"/>
      <w:r>
        <w:t>MySuper</w:t>
      </w:r>
      <w:proofErr w:type="spellEnd"/>
      <w:r>
        <w:t xml:space="preserve"> products</w:t>
      </w:r>
      <w:r w:rsidRPr="00CA3B7C">
        <w:t xml:space="preserve"> </w:t>
      </w:r>
      <w:r>
        <w:t>will not be required to employ</w:t>
      </w:r>
      <w:r w:rsidRPr="00CA3B7C">
        <w:t xml:space="preserve"> a</w:t>
      </w:r>
      <w:r>
        <w:t>ny</w:t>
      </w:r>
      <w:r w:rsidRPr="00CA3B7C">
        <w:t xml:space="preserve"> particular investment strategy</w:t>
      </w:r>
      <w:r>
        <w:t>,</w:t>
      </w:r>
      <w:r w:rsidRPr="00CA3B7C">
        <w:t xml:space="preserve"> </w:t>
      </w:r>
      <w:r>
        <w:t xml:space="preserve">pursue any particular investment </w:t>
      </w:r>
      <w:r w:rsidR="00B13F48">
        <w:t>return target</w:t>
      </w:r>
      <w:r>
        <w:t xml:space="preserve">, </w:t>
      </w:r>
      <w:r w:rsidR="001D798D">
        <w:t xml:space="preserve">adopt any particular risk </w:t>
      </w:r>
      <w:r w:rsidR="00120D0A">
        <w:t>profile</w:t>
      </w:r>
      <w:r w:rsidR="001D798D">
        <w:t xml:space="preserve">, </w:t>
      </w:r>
      <w:r w:rsidRPr="00CA3B7C">
        <w:t xml:space="preserve">or </w:t>
      </w:r>
      <w:r>
        <w:t xml:space="preserve">include </w:t>
      </w:r>
      <w:r w:rsidRPr="00CA3B7C">
        <w:t>any particular asset class</w:t>
      </w:r>
      <w:r>
        <w:t xml:space="preserve">. This </w:t>
      </w:r>
      <w:r w:rsidRPr="00CA3B7C">
        <w:t>reflect</w:t>
      </w:r>
      <w:r>
        <w:t>s</w:t>
      </w:r>
      <w:r w:rsidRPr="00CA3B7C">
        <w:t xml:space="preserve"> the view that trustees are best placed to make these decisions</w:t>
      </w:r>
      <w:r>
        <w:t>, and that if trustees were required to make particular investments</w:t>
      </w:r>
      <w:r w:rsidR="00506CDE">
        <w:t>,</w:t>
      </w:r>
      <w:r>
        <w:t xml:space="preserve"> this would limit their capacity to pursue investment opportunities </w:t>
      </w:r>
      <w:r w:rsidR="00E627D0">
        <w:t>in</w:t>
      </w:r>
      <w:r>
        <w:t xml:space="preserve"> the best interests of members (Treasury</w:t>
      </w:r>
      <w:r w:rsidR="00EC7F29">
        <w:t> </w:t>
      </w:r>
      <w:proofErr w:type="spellStart"/>
      <w:r>
        <w:t>nda</w:t>
      </w:r>
      <w:proofErr w:type="spellEnd"/>
      <w:r>
        <w:t>).</w:t>
      </w:r>
    </w:p>
    <w:p w:rsidR="004D5E16" w:rsidRDefault="004D5E16" w:rsidP="004D5E16">
      <w:pPr>
        <w:pStyle w:val="BodyText"/>
      </w:pPr>
      <w:r>
        <w:lastRenderedPageBreak/>
        <w:t xml:space="preserve">As a result, investment strategies are likely to vary among </w:t>
      </w:r>
      <w:proofErr w:type="spellStart"/>
      <w:r>
        <w:t>MySuper</w:t>
      </w:r>
      <w:proofErr w:type="spellEnd"/>
      <w:r>
        <w:t xml:space="preserve"> products, though this will be tempered by the </w:t>
      </w:r>
      <w:r w:rsidR="00FD1904">
        <w:t xml:space="preserve">overarching focus </w:t>
      </w:r>
      <w:r>
        <w:t xml:space="preserve">of </w:t>
      </w:r>
      <w:proofErr w:type="spellStart"/>
      <w:r w:rsidRPr="003B2BF1">
        <w:t>MySuper</w:t>
      </w:r>
      <w:proofErr w:type="spellEnd"/>
      <w:r w:rsidRPr="003B2BF1">
        <w:t xml:space="preserve"> products</w:t>
      </w:r>
      <w:r>
        <w:t xml:space="preserve"> — </w:t>
      </w:r>
      <w:r w:rsidRPr="003B2BF1">
        <w:t>‘low cost and simple</w:t>
      </w:r>
      <w:r>
        <w:t xml:space="preserve">’ (Australian Government </w:t>
      </w:r>
      <w:proofErr w:type="spellStart"/>
      <w:r>
        <w:t>2010d</w:t>
      </w:r>
      <w:proofErr w:type="spellEnd"/>
      <w:r>
        <w:t xml:space="preserve">). </w:t>
      </w:r>
    </w:p>
    <w:p w:rsidR="004D5E16" w:rsidRPr="001D5490" w:rsidRDefault="00AD7FD2" w:rsidP="004D5E16">
      <w:pPr>
        <w:pStyle w:val="BodyText"/>
      </w:pPr>
      <w:r>
        <w:t>T</w:t>
      </w:r>
      <w:r w:rsidR="004D5E16">
        <w:t xml:space="preserve">rustees will be required to </w:t>
      </w:r>
      <w:r w:rsidR="00C71055">
        <w:t>clearly articulate the investment return target (over a rolling 10 year period) and the level of risk</w:t>
      </w:r>
      <w:r w:rsidR="003B768E" w:rsidRPr="003B768E">
        <w:t xml:space="preserve"> </w:t>
      </w:r>
      <w:r w:rsidR="003B768E">
        <w:t xml:space="preserve">being taken to achieve this return, and justify why these are appropriate for the membership of their </w:t>
      </w:r>
      <w:proofErr w:type="spellStart"/>
      <w:r w:rsidR="003B768E">
        <w:t>MySuper</w:t>
      </w:r>
      <w:proofErr w:type="spellEnd"/>
      <w:r w:rsidR="003B768E">
        <w:t xml:space="preserve"> product</w:t>
      </w:r>
      <w:r w:rsidR="00C71055">
        <w:t xml:space="preserve">. </w:t>
      </w:r>
      <w:r w:rsidR="00506CDE">
        <w:t xml:space="preserve">They </w:t>
      </w:r>
      <w:r w:rsidR="00C71055">
        <w:t xml:space="preserve">will also be required to </w:t>
      </w:r>
      <w:r w:rsidR="003B768E">
        <w:t xml:space="preserve">outline the investment strategy they have adopted to deliver on these objectives and to </w:t>
      </w:r>
      <w:r w:rsidR="004D5E16">
        <w:t>r</w:t>
      </w:r>
      <w:r w:rsidR="004D5E16" w:rsidRPr="00697125">
        <w:t>egularly</w:t>
      </w:r>
      <w:r w:rsidR="003B768E">
        <w:t xml:space="preserve"> review</w:t>
      </w:r>
      <w:r w:rsidR="004D5E16" w:rsidRPr="00697125">
        <w:t xml:space="preserve"> </w:t>
      </w:r>
      <w:r w:rsidR="003B768E">
        <w:t>the investment strategy</w:t>
      </w:r>
      <w:r w:rsidR="004D5E16" w:rsidRPr="00697125">
        <w:t xml:space="preserve">. </w:t>
      </w:r>
      <w:r w:rsidR="004D5E16">
        <w:t>T</w:t>
      </w:r>
      <w:r w:rsidR="004D5E16" w:rsidRPr="00697125">
        <w:t xml:space="preserve">rustees will also be required to have regard </w:t>
      </w:r>
      <w:r w:rsidR="004D5E16">
        <w:t>to</w:t>
      </w:r>
      <w:r w:rsidR="004D5E16" w:rsidRPr="00697125">
        <w:t xml:space="preserve"> additional factors</w:t>
      </w:r>
      <w:r w:rsidR="004D5E16">
        <w:t xml:space="preserve"> when </w:t>
      </w:r>
      <w:r w:rsidR="004D5E16" w:rsidRPr="00AF4EE5">
        <w:t xml:space="preserve">developing an investment </w:t>
      </w:r>
      <w:r w:rsidR="004D5E16" w:rsidRPr="0006701B">
        <w:t>strategy</w:t>
      </w:r>
      <w:r w:rsidR="00506CDE">
        <w:t>,</w:t>
      </w:r>
      <w:r w:rsidR="004D5E16" w:rsidRPr="0006701B">
        <w:t xml:space="preserve"> including</w:t>
      </w:r>
      <w:r w:rsidR="004D5E16">
        <w:t xml:space="preserve">: </w:t>
      </w:r>
      <w:r w:rsidR="004D5E16" w:rsidRPr="00AF4EE5">
        <w:t>the availability of valuation information;</w:t>
      </w:r>
      <w:r w:rsidR="004D5E16" w:rsidRPr="0006701B">
        <w:t xml:space="preserve"> the expected </w:t>
      </w:r>
      <w:r w:rsidR="004D5E16" w:rsidRPr="00AF4EE5">
        <w:t>taxation consequences;</w:t>
      </w:r>
      <w:r w:rsidR="004D5E16">
        <w:t xml:space="preserve"> </w:t>
      </w:r>
      <w:r w:rsidR="004D5E16" w:rsidRPr="0006701B">
        <w:t>the expected costs of the strategy (such as brokerage)</w:t>
      </w:r>
      <w:r w:rsidR="00EC7F29">
        <w:t>;</w:t>
      </w:r>
      <w:r w:rsidR="004D5E16" w:rsidRPr="0006701B">
        <w:t xml:space="preserve"> and </w:t>
      </w:r>
      <w:r w:rsidR="00FD1904">
        <w:t xml:space="preserve">the </w:t>
      </w:r>
      <w:r w:rsidR="004D5E16" w:rsidRPr="001D5490">
        <w:t>appropriate due diligence in the selection and monitoring of investment options made available to members</w:t>
      </w:r>
      <w:r w:rsidR="005973BD">
        <w:t xml:space="preserve"> (Shorten </w:t>
      </w:r>
      <w:proofErr w:type="spellStart"/>
      <w:r w:rsidR="005973BD">
        <w:t>2012</w:t>
      </w:r>
      <w:r w:rsidR="000A5B71">
        <w:t>d</w:t>
      </w:r>
      <w:proofErr w:type="spellEnd"/>
      <w:r w:rsidR="004D5E16">
        <w:t>).</w:t>
      </w:r>
      <w:r w:rsidR="004D5E16" w:rsidRPr="001D5490">
        <w:t xml:space="preserve"> </w:t>
      </w:r>
    </w:p>
    <w:p w:rsidR="004D5E16" w:rsidRDefault="004D5E16" w:rsidP="00AD2C07">
      <w:pPr>
        <w:pStyle w:val="Heading4"/>
      </w:pPr>
      <w:r w:rsidRPr="004F5D4D">
        <w:t>Lifecycle investment approach</w:t>
      </w:r>
    </w:p>
    <w:p w:rsidR="004D5E16" w:rsidRDefault="00C118F4" w:rsidP="004D5E16">
      <w:pPr>
        <w:pStyle w:val="BodyText"/>
      </w:pPr>
      <w:r>
        <w:t>T</w:t>
      </w:r>
      <w:r w:rsidR="004D5E16">
        <w:t xml:space="preserve">rustees will be able to choose a lifecycle investment strategy as the single investment strategy for the </w:t>
      </w:r>
      <w:proofErr w:type="spellStart"/>
      <w:r w:rsidR="004D5E16">
        <w:t>MySuper</w:t>
      </w:r>
      <w:proofErr w:type="spellEnd"/>
      <w:r w:rsidR="004D5E16">
        <w:t xml:space="preserve"> product (Australian Government </w:t>
      </w:r>
      <w:proofErr w:type="spellStart"/>
      <w:r w:rsidR="004D5E16">
        <w:t>2011a</w:t>
      </w:r>
      <w:proofErr w:type="spellEnd"/>
      <w:r w:rsidR="004D5E16">
        <w:t>). A lifecycle investment strategy is a tool designed to reduce risk as members get closer to retirement age. Where a lifecycle investment strategy is adopted, trustees would automatically move members into a different investment mix</w:t>
      </w:r>
      <w:r w:rsidR="00EC7F29">
        <w:t>,</w:t>
      </w:r>
      <w:r w:rsidR="004D5E16">
        <w:t xml:space="preserve"> based on their age. </w:t>
      </w:r>
    </w:p>
    <w:p w:rsidR="004D5E16" w:rsidRDefault="004D5E16" w:rsidP="004D5E16">
      <w:pPr>
        <w:pStyle w:val="Heading3"/>
      </w:pPr>
      <w:r>
        <w:t xml:space="preserve">Scope </w:t>
      </w:r>
      <w:r w:rsidR="00E627D0">
        <w:t xml:space="preserve">for </w:t>
      </w:r>
      <w:r w:rsidR="007309BE">
        <w:t xml:space="preserve">additional criteria relating to </w:t>
      </w:r>
      <w:r>
        <w:t>investment strateg</w:t>
      </w:r>
      <w:r w:rsidR="00F171AF">
        <w:t>y</w:t>
      </w:r>
      <w:r>
        <w:t xml:space="preserve"> </w:t>
      </w:r>
      <w:r w:rsidR="007309BE">
        <w:t xml:space="preserve">and </w:t>
      </w:r>
      <w:r w:rsidR="00E51258">
        <w:t>objectives</w:t>
      </w:r>
    </w:p>
    <w:p w:rsidR="004D5E16" w:rsidRDefault="004D5E16" w:rsidP="002B2A06">
      <w:pPr>
        <w:pStyle w:val="Heading4"/>
        <w:spacing w:before="240"/>
      </w:pPr>
      <w:r>
        <w:t>Participants</w:t>
      </w:r>
      <w:r w:rsidR="00F66675">
        <w:t>’</w:t>
      </w:r>
      <w:r>
        <w:t xml:space="preserve"> views</w:t>
      </w:r>
    </w:p>
    <w:p w:rsidR="00F1464B" w:rsidRDefault="001B3EE5" w:rsidP="004D5E16">
      <w:pPr>
        <w:pStyle w:val="BodyText"/>
      </w:pPr>
      <w:r>
        <w:t>I</w:t>
      </w:r>
      <w:r w:rsidR="00B407FE" w:rsidRPr="009A1635">
        <w:t xml:space="preserve">nquiry participants </w:t>
      </w:r>
      <w:r>
        <w:t xml:space="preserve">did not </w:t>
      </w:r>
      <w:r w:rsidR="00B407FE" w:rsidRPr="009A1635">
        <w:t xml:space="preserve">support prescribing a </w:t>
      </w:r>
      <w:r w:rsidR="00597F0C">
        <w:t xml:space="preserve">single </w:t>
      </w:r>
      <w:r w:rsidR="00B407FE" w:rsidRPr="009A1635">
        <w:t xml:space="preserve">specific </w:t>
      </w:r>
      <w:r w:rsidR="000157F5">
        <w:t xml:space="preserve">type of </w:t>
      </w:r>
      <w:r w:rsidR="00B407FE" w:rsidRPr="009A1635">
        <w:t>investment strategy</w:t>
      </w:r>
      <w:r w:rsidR="00597F0C">
        <w:t xml:space="preserve">, </w:t>
      </w:r>
      <w:r w:rsidR="00476A7C">
        <w:t xml:space="preserve">or </w:t>
      </w:r>
      <w:r w:rsidR="00597F0C">
        <w:t xml:space="preserve">investment return target </w:t>
      </w:r>
      <w:r w:rsidR="00476A7C">
        <w:t>and</w:t>
      </w:r>
      <w:r w:rsidR="00597F0C">
        <w:t xml:space="preserve"> level of risk</w:t>
      </w:r>
      <w:r w:rsidR="00B407FE" w:rsidRPr="009A1635">
        <w:t xml:space="preserve"> </w:t>
      </w:r>
      <w:r w:rsidR="009F403E" w:rsidRPr="009A1635">
        <w:t xml:space="preserve">as a </w:t>
      </w:r>
      <w:r w:rsidR="007924E1">
        <w:t>criterion</w:t>
      </w:r>
      <w:r w:rsidR="007924E1" w:rsidRPr="009A1635">
        <w:t xml:space="preserve"> </w:t>
      </w:r>
      <w:r>
        <w:t xml:space="preserve">for </w:t>
      </w:r>
      <w:r w:rsidR="009F403E" w:rsidRPr="009A1635">
        <w:t>list</w:t>
      </w:r>
      <w:r w:rsidR="009F403E">
        <w:t>ing</w:t>
      </w:r>
      <w:r w:rsidR="009F403E" w:rsidRPr="009A1635">
        <w:t xml:space="preserve"> default superannuation products in modern</w:t>
      </w:r>
      <w:r w:rsidR="009F403E">
        <w:t xml:space="preserve"> awards</w:t>
      </w:r>
      <w:r w:rsidR="00BC4718">
        <w:t>. However, o</w:t>
      </w:r>
      <w:r w:rsidR="001A0C50">
        <w:t xml:space="preserve">ne inquiry participant contended that </w:t>
      </w:r>
      <w:r w:rsidR="00BC4718">
        <w:t xml:space="preserve">all listed superannuation products should have </w:t>
      </w:r>
      <w:r w:rsidR="001A0C50">
        <w:t xml:space="preserve">a risk profile </w:t>
      </w:r>
      <w:r w:rsidR="001A0C50" w:rsidRPr="00A34D0F">
        <w:rPr>
          <w:i/>
        </w:rPr>
        <w:t>no greater</w:t>
      </w:r>
      <w:r w:rsidR="001A0C50">
        <w:t xml:space="preserve"> than that found in a balanced investment strategy (Unions NSW, sub. 13).</w:t>
      </w:r>
      <w:r w:rsidR="00B407FE">
        <w:t xml:space="preserve"> </w:t>
      </w:r>
      <w:r w:rsidR="00225ACB">
        <w:t xml:space="preserve">In contrast, </w:t>
      </w:r>
      <w:r w:rsidR="00B64CD7">
        <w:t>Mercer</w:t>
      </w:r>
      <w:r w:rsidR="00B64CD7" w:rsidDel="00B64CD7">
        <w:t xml:space="preserve"> </w:t>
      </w:r>
      <w:r w:rsidR="00225ACB">
        <w:t xml:space="preserve">contended that superannuation products </w:t>
      </w:r>
      <w:r w:rsidR="002233AB">
        <w:t xml:space="preserve">listed </w:t>
      </w:r>
      <w:r w:rsidR="00225ACB">
        <w:t xml:space="preserve">in modern awards should </w:t>
      </w:r>
      <w:r w:rsidR="002233AB">
        <w:t xml:space="preserve">not all be similar in terms of their </w:t>
      </w:r>
      <w:r w:rsidR="00D85B77">
        <w:t>investment strategies and services</w:t>
      </w:r>
      <w:r w:rsidR="002233AB">
        <w:t xml:space="preserve">, </w:t>
      </w:r>
      <w:r w:rsidR="00BB15EA">
        <w:t>preferring</w:t>
      </w:r>
      <w:r w:rsidR="002233AB">
        <w:t xml:space="preserve"> a </w:t>
      </w:r>
      <w:r w:rsidR="00BB15EA">
        <w:t>diverse</w:t>
      </w:r>
      <w:r w:rsidR="002233AB">
        <w:t xml:space="preserve"> range </w:t>
      </w:r>
      <w:r w:rsidR="00225ACB">
        <w:t>(sub.</w:t>
      </w:r>
      <w:r>
        <w:t> </w:t>
      </w:r>
      <w:proofErr w:type="spellStart"/>
      <w:r w:rsidR="00225ACB">
        <w:t>DR68</w:t>
      </w:r>
      <w:proofErr w:type="spellEnd"/>
      <w:r w:rsidR="00225ACB">
        <w:t>).</w:t>
      </w:r>
      <w:r w:rsidR="00E93A0A">
        <w:t xml:space="preserve"> </w:t>
      </w:r>
      <w:r w:rsidR="00E1096E">
        <w:t xml:space="preserve">The </w:t>
      </w:r>
      <w:r w:rsidR="00B64CD7">
        <w:t>C</w:t>
      </w:r>
      <w:r w:rsidR="00E1096E">
        <w:t xml:space="preserve">orporate </w:t>
      </w:r>
      <w:r w:rsidR="00B64CD7">
        <w:t>S</w:t>
      </w:r>
      <w:r w:rsidR="00E1096E">
        <w:t xml:space="preserve">uper </w:t>
      </w:r>
      <w:r w:rsidR="00B64CD7">
        <w:t>S</w:t>
      </w:r>
      <w:r w:rsidR="00E1096E">
        <w:t xml:space="preserve">pecialist </w:t>
      </w:r>
      <w:r w:rsidR="00B64CD7">
        <w:t>A</w:t>
      </w:r>
      <w:r w:rsidR="00E1096E">
        <w:t>lliance (</w:t>
      </w:r>
      <w:proofErr w:type="spellStart"/>
      <w:r w:rsidR="00E1096E">
        <w:t>CSSA</w:t>
      </w:r>
      <w:proofErr w:type="spellEnd"/>
      <w:r w:rsidR="00E1096E">
        <w:t>)</w:t>
      </w:r>
      <w:r w:rsidR="00E93A0A">
        <w:t xml:space="preserve"> </w:t>
      </w:r>
      <w:r w:rsidR="00F1464B">
        <w:t>commented</w:t>
      </w:r>
      <w:r w:rsidR="00E93A0A">
        <w:t xml:space="preserve"> that </w:t>
      </w:r>
      <w:r w:rsidR="00F1464B">
        <w:t xml:space="preserve">it was ‘difficult to conceive’ </w:t>
      </w:r>
      <w:r w:rsidR="00677448">
        <w:t>(sub. </w:t>
      </w:r>
      <w:proofErr w:type="spellStart"/>
      <w:r w:rsidR="00677448">
        <w:t>DR56</w:t>
      </w:r>
      <w:proofErr w:type="spellEnd"/>
      <w:r w:rsidR="00677448">
        <w:t xml:space="preserve">, p. 3) </w:t>
      </w:r>
      <w:r w:rsidR="00F1464B">
        <w:t xml:space="preserve">that the same </w:t>
      </w:r>
      <w:r w:rsidR="003E14B8">
        <w:t xml:space="preserve">investment strategy </w:t>
      </w:r>
      <w:r w:rsidR="003F3932">
        <w:t>would suit every person employed under an award</w:t>
      </w:r>
      <w:r w:rsidR="00F1464B">
        <w:t>.</w:t>
      </w:r>
    </w:p>
    <w:p w:rsidR="004D5E16" w:rsidRDefault="001A0C50" w:rsidP="004D5E16">
      <w:pPr>
        <w:pStyle w:val="BodyText"/>
      </w:pPr>
      <w:r>
        <w:t>A</w:t>
      </w:r>
      <w:r w:rsidR="004D5E16">
        <w:t xml:space="preserve"> </w:t>
      </w:r>
      <w:r w:rsidR="004D5E16" w:rsidRPr="00CC0E6B">
        <w:t xml:space="preserve">small number of participants </w:t>
      </w:r>
      <w:r w:rsidR="00270860">
        <w:t>argued</w:t>
      </w:r>
      <w:r w:rsidR="00270860" w:rsidRPr="00CC0E6B">
        <w:t xml:space="preserve"> </w:t>
      </w:r>
      <w:r w:rsidR="004D5E16" w:rsidRPr="00CC0E6B">
        <w:t xml:space="preserve">that the </w:t>
      </w:r>
      <w:r w:rsidR="004D5E16" w:rsidRPr="00CC0E6B">
        <w:rPr>
          <w:i/>
        </w:rPr>
        <w:t>appropriateness</w:t>
      </w:r>
      <w:r w:rsidR="004D5E16" w:rsidRPr="00CC0E6B">
        <w:t xml:space="preserve"> of </w:t>
      </w:r>
      <w:r w:rsidR="00690ADB">
        <w:t>the</w:t>
      </w:r>
      <w:r w:rsidR="00103D55" w:rsidRPr="00CC0E6B">
        <w:t xml:space="preserve"> </w:t>
      </w:r>
      <w:r w:rsidR="004D5E16" w:rsidRPr="00CC0E6B">
        <w:t>investment</w:t>
      </w:r>
      <w:r w:rsidR="004D5E16">
        <w:t xml:space="preserve"> </w:t>
      </w:r>
      <w:r w:rsidR="004D5E16" w:rsidRPr="00CC0E6B">
        <w:t>strategy</w:t>
      </w:r>
      <w:r w:rsidR="00476A7C">
        <w:t xml:space="preserve">, or </w:t>
      </w:r>
      <w:r w:rsidR="00F31A1A">
        <w:t xml:space="preserve">the </w:t>
      </w:r>
      <w:r w:rsidR="00476A7C">
        <w:t xml:space="preserve">investment return </w:t>
      </w:r>
      <w:r w:rsidR="00390012">
        <w:t>target</w:t>
      </w:r>
      <w:r w:rsidR="00476A7C">
        <w:t xml:space="preserve"> and level of risk</w:t>
      </w:r>
      <w:r w:rsidR="00F31A1A">
        <w:t>,</w:t>
      </w:r>
      <w:r w:rsidR="004D5E16" w:rsidRPr="00CC0E6B">
        <w:t xml:space="preserve"> should be consider</w:t>
      </w:r>
      <w:r w:rsidR="009F403E">
        <w:t>ed</w:t>
      </w:r>
      <w:r w:rsidR="004D5E16" w:rsidRPr="00CC0E6B">
        <w:t xml:space="preserve"> </w:t>
      </w:r>
      <w:r w:rsidR="009F403E">
        <w:lastRenderedPageBreak/>
        <w:t>when</w:t>
      </w:r>
      <w:r w:rsidR="009F403E" w:rsidRPr="00BA205B">
        <w:t xml:space="preserve"> list</w:t>
      </w:r>
      <w:r w:rsidR="009F403E">
        <w:t>ing</w:t>
      </w:r>
      <w:r w:rsidR="009F403E" w:rsidRPr="00BA205B">
        <w:t xml:space="preserve"> default superannuation products in modern</w:t>
      </w:r>
      <w:r w:rsidR="009F403E">
        <w:t xml:space="preserve"> awards</w:t>
      </w:r>
      <w:r w:rsidR="00722D8E">
        <w:t>.</w:t>
      </w:r>
      <w:r w:rsidR="009F403E" w:rsidDel="009F403E">
        <w:t xml:space="preserve"> </w:t>
      </w:r>
      <w:r w:rsidR="00690ADB">
        <w:t xml:space="preserve">The Australian Hotels Association contended that </w:t>
      </w:r>
      <w:r w:rsidR="004D5E16">
        <w:t xml:space="preserve">decision makers should consider the </w:t>
      </w:r>
      <w:r w:rsidR="00690ADB">
        <w:t xml:space="preserve">appropriateness of the investment strategy </w:t>
      </w:r>
      <w:r w:rsidR="00AD0032">
        <w:t>for</w:t>
      </w:r>
      <w:r w:rsidR="00690ADB">
        <w:t xml:space="preserve"> the industry </w:t>
      </w:r>
      <w:r w:rsidR="00AD0032">
        <w:t>workforce</w:t>
      </w:r>
      <w:r w:rsidR="00690ADB">
        <w:t xml:space="preserve"> (sub. 10). CPA Australia </w:t>
      </w:r>
      <w:r w:rsidR="00A00A61">
        <w:t>considered</w:t>
      </w:r>
      <w:r w:rsidR="00690ADB">
        <w:t xml:space="preserve"> that the appropriateness of the investment strategy </w:t>
      </w:r>
      <w:r w:rsidR="00A00A61">
        <w:t>for</w:t>
      </w:r>
      <w:r w:rsidR="00690ADB">
        <w:t xml:space="preserve"> the employees covered by the award </w:t>
      </w:r>
      <w:r w:rsidR="00A00A61">
        <w:t xml:space="preserve">should be taken into account </w:t>
      </w:r>
      <w:r w:rsidR="00690ADB">
        <w:t>(</w:t>
      </w:r>
      <w:r w:rsidR="00961524">
        <w:t>sub. </w:t>
      </w:r>
      <w:r w:rsidR="00996FAA">
        <w:t>39</w:t>
      </w:r>
      <w:r w:rsidR="00103D55">
        <w:t xml:space="preserve">). </w:t>
      </w:r>
      <w:r w:rsidR="00D21A7A">
        <w:t xml:space="preserve">The </w:t>
      </w:r>
      <w:proofErr w:type="spellStart"/>
      <w:r w:rsidR="00D21A7A">
        <w:t>CSSA</w:t>
      </w:r>
      <w:proofErr w:type="spellEnd"/>
      <w:r w:rsidR="00D21A7A">
        <w:t xml:space="preserve"> </w:t>
      </w:r>
      <w:r w:rsidR="00E51258">
        <w:t xml:space="preserve">indicated </w:t>
      </w:r>
      <w:r w:rsidR="00D21A7A">
        <w:t xml:space="preserve">that </w:t>
      </w:r>
      <w:r w:rsidR="00476A7C">
        <w:t xml:space="preserve">the </w:t>
      </w:r>
      <w:r w:rsidR="007317D2">
        <w:t xml:space="preserve">appropriateness of the </w:t>
      </w:r>
      <w:proofErr w:type="spellStart"/>
      <w:r w:rsidR="00476A7C">
        <w:t>MySuper</w:t>
      </w:r>
      <w:proofErr w:type="spellEnd"/>
      <w:r w:rsidR="00476A7C">
        <w:t xml:space="preserve"> product’s </w:t>
      </w:r>
      <w:r w:rsidR="007317D2">
        <w:t>investment</w:t>
      </w:r>
      <w:r w:rsidR="00476A7C">
        <w:t xml:space="preserve"> return </w:t>
      </w:r>
      <w:r w:rsidR="00390012">
        <w:t>target</w:t>
      </w:r>
      <w:r w:rsidR="00476A7C">
        <w:t xml:space="preserve"> and risk profile for </w:t>
      </w:r>
      <w:r w:rsidR="00F31A1A">
        <w:t xml:space="preserve">employees </w:t>
      </w:r>
      <w:r w:rsidR="005219E4">
        <w:t xml:space="preserve">who </w:t>
      </w:r>
      <w:r w:rsidR="00D12460">
        <w:t>derive their superannuation product in accordance with a modern award</w:t>
      </w:r>
      <w:r w:rsidR="00476A7C">
        <w:t>, should be a primary factor</w:t>
      </w:r>
      <w:r w:rsidR="00D77672">
        <w:t xml:space="preserve"> </w:t>
      </w:r>
      <w:r w:rsidR="008B271C">
        <w:t>when listing default superannuation products (</w:t>
      </w:r>
      <w:r w:rsidR="00D77672">
        <w:t>sub. </w:t>
      </w:r>
      <w:proofErr w:type="spellStart"/>
      <w:r w:rsidR="00476A7C">
        <w:t>DR56</w:t>
      </w:r>
      <w:proofErr w:type="spellEnd"/>
      <w:r w:rsidR="007317D2">
        <w:t>).</w:t>
      </w:r>
    </w:p>
    <w:p w:rsidR="00365849" w:rsidRDefault="00365849" w:rsidP="00365849">
      <w:pPr>
        <w:pStyle w:val="BodyText"/>
      </w:pPr>
      <w:r>
        <w:t>Another participant pointed out that, regardless, decision makers need investment strategy information that is clear and complete to allow them to make informed decisions (Centre for the Study of Choice</w:t>
      </w:r>
      <w:r w:rsidR="00BD245C">
        <w:t>,</w:t>
      </w:r>
      <w:r>
        <w:t xml:space="preserve"> UTS, sub. 22).</w:t>
      </w:r>
    </w:p>
    <w:p w:rsidR="003E14B8" w:rsidRDefault="004D5E16" w:rsidP="004D5E16">
      <w:pPr>
        <w:pStyle w:val="BodyText"/>
      </w:pPr>
      <w:r w:rsidRPr="00D77547">
        <w:t xml:space="preserve">On the other hand, </w:t>
      </w:r>
      <w:r w:rsidR="00234724" w:rsidRPr="00D77547">
        <w:t xml:space="preserve">some </w:t>
      </w:r>
      <w:r w:rsidRPr="00D77547">
        <w:t xml:space="preserve">inquiry participants did not support </w:t>
      </w:r>
      <w:r w:rsidR="00503779">
        <w:t>‘</w:t>
      </w:r>
      <w:r w:rsidRPr="00D77547">
        <w:t>investment strategy</w:t>
      </w:r>
      <w:r w:rsidR="00503779">
        <w:t>’</w:t>
      </w:r>
      <w:r w:rsidRPr="00D77547">
        <w:t xml:space="preserve"> as a </w:t>
      </w:r>
      <w:r w:rsidR="00CE264F" w:rsidRPr="00067D52">
        <w:t>consideration</w:t>
      </w:r>
      <w:r w:rsidR="003E14B8" w:rsidRPr="003E14B8">
        <w:t xml:space="preserve"> </w:t>
      </w:r>
      <w:r w:rsidR="003E14B8">
        <w:t>when listing default superannuation products</w:t>
      </w:r>
      <w:r w:rsidR="00365849">
        <w:t xml:space="preserve">, often on the grounds that </w:t>
      </w:r>
      <w:proofErr w:type="spellStart"/>
      <w:r w:rsidR="00365849">
        <w:t>MySuper</w:t>
      </w:r>
      <w:proofErr w:type="spellEnd"/>
      <w:r w:rsidR="00AB4854">
        <w:t xml:space="preserve"> was adequate in this area</w:t>
      </w:r>
      <w:r w:rsidR="00503779">
        <w:t>. F</w:t>
      </w:r>
      <w:r w:rsidR="00FA5F72">
        <w:t xml:space="preserve">or example, </w:t>
      </w:r>
      <w:proofErr w:type="spellStart"/>
      <w:r w:rsidR="00FA5F72">
        <w:t>Tasplan</w:t>
      </w:r>
      <w:proofErr w:type="spellEnd"/>
      <w:r w:rsidR="00223046" w:rsidRPr="00D77547">
        <w:t xml:space="preserve"> </w:t>
      </w:r>
      <w:r w:rsidR="00503779">
        <w:t xml:space="preserve">contended that </w:t>
      </w:r>
      <w:r w:rsidR="00A82661">
        <w:t>due to the</w:t>
      </w:r>
      <w:r w:rsidR="00503779">
        <w:t xml:space="preserve"> </w:t>
      </w:r>
      <w:proofErr w:type="spellStart"/>
      <w:r w:rsidR="00503779">
        <w:t>MySuper</w:t>
      </w:r>
      <w:proofErr w:type="spellEnd"/>
      <w:r w:rsidR="00503779">
        <w:t xml:space="preserve"> authorisation process, investment strategy, </w:t>
      </w:r>
      <w:r w:rsidR="00243C7A">
        <w:t xml:space="preserve">or </w:t>
      </w:r>
      <w:r w:rsidR="00503779">
        <w:t xml:space="preserve">investment return target </w:t>
      </w:r>
      <w:r w:rsidR="00243C7A">
        <w:t>and</w:t>
      </w:r>
      <w:r w:rsidR="00503779">
        <w:t xml:space="preserve"> level of risk </w:t>
      </w:r>
      <w:r w:rsidR="00597F0C">
        <w:t>factors</w:t>
      </w:r>
      <w:r w:rsidR="00270860">
        <w:t>,</w:t>
      </w:r>
      <w:r w:rsidR="00597F0C">
        <w:t xml:space="preserve"> </w:t>
      </w:r>
      <w:r w:rsidR="00443D7B">
        <w:t>should</w:t>
      </w:r>
      <w:r w:rsidR="00A82661">
        <w:t xml:space="preserve"> </w:t>
      </w:r>
      <w:r w:rsidR="007924E1">
        <w:t xml:space="preserve">not </w:t>
      </w:r>
      <w:r w:rsidR="00A82661">
        <w:t>be</w:t>
      </w:r>
      <w:r w:rsidR="00597F0C">
        <w:t xml:space="preserve"> </w:t>
      </w:r>
      <w:r w:rsidR="007924E1">
        <w:t>considered in the</w:t>
      </w:r>
      <w:r w:rsidR="00A82661">
        <w:t xml:space="preserve"> listing </w:t>
      </w:r>
      <w:r w:rsidR="007924E1">
        <w:t xml:space="preserve">of </w:t>
      </w:r>
      <w:r w:rsidR="003E14B8">
        <w:t xml:space="preserve">superannuation products </w:t>
      </w:r>
      <w:r w:rsidR="00503779">
        <w:t>(</w:t>
      </w:r>
      <w:r w:rsidR="009A4AB9" w:rsidRPr="008C36BC">
        <w:t>sub. 6</w:t>
      </w:r>
      <w:r w:rsidR="00223046" w:rsidRPr="00D77547">
        <w:t xml:space="preserve">). </w:t>
      </w:r>
      <w:r w:rsidR="00AB4854">
        <w:t xml:space="preserve">Other participants considered </w:t>
      </w:r>
      <w:r w:rsidR="00CE14A8">
        <w:t xml:space="preserve">that </w:t>
      </w:r>
      <w:r w:rsidR="00A722FF">
        <w:t>the focus should instead be on long</w:t>
      </w:r>
      <w:r w:rsidR="00443D7B">
        <w:noBreakHyphen/>
      </w:r>
      <w:r w:rsidR="00A722FF">
        <w:t xml:space="preserve">term returns </w:t>
      </w:r>
      <w:r w:rsidR="00AB4854">
        <w:t xml:space="preserve">(for example, </w:t>
      </w:r>
      <w:r w:rsidR="00270860">
        <w:t>the Australian Institute of Superannuation Trustees</w:t>
      </w:r>
      <w:r w:rsidR="00AB4854">
        <w:t>, sub. 20)</w:t>
      </w:r>
      <w:r w:rsidR="00AB4854" w:rsidRPr="004363E8">
        <w:t>.</w:t>
      </w:r>
      <w:r w:rsidR="004A3EC9">
        <w:t xml:space="preserve"> The diversity of views on this matter is illustrated in box</w:t>
      </w:r>
      <w:r w:rsidR="003E14B8">
        <w:t> </w:t>
      </w:r>
      <w:r w:rsidR="004A3EC9">
        <w:t>4.1.</w:t>
      </w:r>
    </w:p>
    <w:p w:rsidR="007D3DBB" w:rsidRDefault="00153025" w:rsidP="004D5E16">
      <w:pPr>
        <w:pStyle w:val="BodyText"/>
      </w:pPr>
      <w:r>
        <w:t>Views were expressed about</w:t>
      </w:r>
      <w:r w:rsidR="007D3DBB">
        <w:t xml:space="preserve"> the appropriateness of offering a lifecycle investment option in default products. For example, </w:t>
      </w:r>
      <w:r w:rsidR="00E1096E">
        <w:t xml:space="preserve">the </w:t>
      </w:r>
      <w:r w:rsidR="007D3DBB">
        <w:t>A</w:t>
      </w:r>
      <w:r w:rsidR="00E1096E">
        <w:t xml:space="preserve">ustralian </w:t>
      </w:r>
      <w:r w:rsidR="007D3DBB">
        <w:t>I</w:t>
      </w:r>
      <w:r w:rsidR="00E1096E">
        <w:t xml:space="preserve">nstitute of </w:t>
      </w:r>
      <w:r w:rsidR="007D3DBB">
        <w:t>S</w:t>
      </w:r>
      <w:r w:rsidR="00E1096E">
        <w:t xml:space="preserve">uperannuation </w:t>
      </w:r>
      <w:r w:rsidR="007D3DBB">
        <w:t>T</w:t>
      </w:r>
      <w:r w:rsidR="00E1096E">
        <w:t xml:space="preserve">rustees </w:t>
      </w:r>
      <w:r w:rsidR="007D3DBB">
        <w:t>(sub.</w:t>
      </w:r>
      <w:r>
        <w:t> </w:t>
      </w:r>
      <w:r w:rsidR="007D3DBB">
        <w:t xml:space="preserve">20) considered that the presence or not of a lifecycle option should have no bearing on default listing. </w:t>
      </w:r>
      <w:proofErr w:type="spellStart"/>
      <w:r w:rsidR="007D3DBB">
        <w:t>DFA</w:t>
      </w:r>
      <w:proofErr w:type="spellEnd"/>
      <w:r w:rsidR="007D3DBB">
        <w:t xml:space="preserve"> Australia (sub. 21) considered that a lifecycle strategy can limit investor outcomes, </w:t>
      </w:r>
      <w:r w:rsidR="008E6F9E">
        <w:t>unless it takes into account factors other than age, such as personal retirement income objectives</w:t>
      </w:r>
      <w:r w:rsidR="007D3DBB">
        <w:t>.</w:t>
      </w:r>
    </w:p>
    <w:p w:rsidR="00C166BD" w:rsidRDefault="00C166B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166BD">
        <w:tc>
          <w:tcPr>
            <w:tcW w:w="8771" w:type="dxa"/>
            <w:tcBorders>
              <w:top w:val="single" w:sz="6" w:space="0" w:color="auto"/>
              <w:bottom w:val="nil"/>
            </w:tcBorders>
          </w:tcPr>
          <w:p w:rsidR="00C166BD" w:rsidRDefault="00C166BD" w:rsidP="002075F0">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53236F">
              <w:rPr>
                <w:b w:val="0"/>
              </w:rPr>
              <w:t>4.</w:t>
            </w:r>
            <w:r>
              <w:rPr>
                <w:b w:val="0"/>
              </w:rPr>
              <w:fldChar w:fldCharType="end"/>
            </w:r>
            <w:r w:rsidR="002075F0">
              <w:rPr>
                <w:b w:val="0"/>
              </w:rPr>
              <w:t>1</w:t>
            </w:r>
            <w:r>
              <w:tab/>
            </w:r>
            <w:r w:rsidR="00962C8E">
              <w:t>Investment strategy and objectives as criteria for selecting default products — some perspectives</w:t>
            </w:r>
          </w:p>
        </w:tc>
      </w:tr>
      <w:tr w:rsidR="00C166BD">
        <w:trPr>
          <w:cantSplit/>
        </w:trPr>
        <w:tc>
          <w:tcPr>
            <w:tcW w:w="8771" w:type="dxa"/>
            <w:tcBorders>
              <w:top w:val="nil"/>
              <w:left w:val="single" w:sz="6" w:space="0" w:color="auto"/>
              <w:bottom w:val="nil"/>
              <w:right w:val="single" w:sz="6" w:space="0" w:color="auto"/>
            </w:tcBorders>
          </w:tcPr>
          <w:p w:rsidR="00962C8E" w:rsidRDefault="00962C8E" w:rsidP="00962C8E">
            <w:pPr>
              <w:pStyle w:val="BoxHeading1"/>
            </w:pPr>
            <w:r>
              <w:t xml:space="preserve">Should be considered </w:t>
            </w:r>
          </w:p>
          <w:p w:rsidR="00962C8E" w:rsidRDefault="00962C8E" w:rsidP="00E23691">
            <w:pPr>
              <w:pStyle w:val="BoxQuote"/>
            </w:pPr>
            <w:r>
              <w:t>On a broad scale, Fair Work Australia should assess the appropriateness of the default investment option of the fund in terms of risk and expected return. This would include an analysis of medium and long term asset allocation, the manager selection and review process, the overall investment philosophy … (</w:t>
            </w:r>
            <w:proofErr w:type="spellStart"/>
            <w:r>
              <w:t>NGS</w:t>
            </w:r>
            <w:proofErr w:type="spellEnd"/>
            <w:r>
              <w:t xml:space="preserve"> Super, sub. 18, p. 2)</w:t>
            </w:r>
          </w:p>
          <w:p w:rsidR="00E23691" w:rsidRDefault="00E23691" w:rsidP="00E23691">
            <w:pPr>
              <w:pStyle w:val="BoxQuote"/>
            </w:pPr>
            <w:proofErr w:type="spellStart"/>
            <w:r>
              <w:t>ISN</w:t>
            </w:r>
            <w:proofErr w:type="spellEnd"/>
            <w:r>
              <w:t xml:space="preserve"> proposes a process for the selection of default funds within awards that will require Fair Work Australia to consider the relevance of … fund strategies and services to each award … with reference to the demographic within the jurisdiction of the award. (</w:t>
            </w:r>
            <w:proofErr w:type="spellStart"/>
            <w:r>
              <w:t>ISN</w:t>
            </w:r>
            <w:proofErr w:type="spellEnd"/>
            <w:r>
              <w:t>, sub. 27, p. 43)</w:t>
            </w:r>
            <w:r w:rsidDel="006205AA">
              <w:t xml:space="preserve"> </w:t>
            </w:r>
          </w:p>
          <w:p w:rsidR="00A053AA" w:rsidRDefault="00A053AA" w:rsidP="00A053AA">
            <w:pPr>
              <w:pStyle w:val="BoxHeading1"/>
            </w:pPr>
            <w:r>
              <w:t>Should not be considered</w:t>
            </w:r>
            <w:r w:rsidR="00660C22">
              <w:t xml:space="preserve"> beyond </w:t>
            </w:r>
            <w:proofErr w:type="spellStart"/>
            <w:r w:rsidR="00660C22">
              <w:t>MySuper</w:t>
            </w:r>
            <w:proofErr w:type="spellEnd"/>
            <w:r w:rsidR="00660C22">
              <w:t xml:space="preserve"> requirements</w:t>
            </w:r>
          </w:p>
          <w:p w:rsidR="00A053AA" w:rsidRDefault="00A053AA" w:rsidP="00A053AA">
            <w:pPr>
              <w:pStyle w:val="Box"/>
            </w:pPr>
            <w:r>
              <w:t xml:space="preserve">Some participants regarded that the </w:t>
            </w:r>
            <w:proofErr w:type="spellStart"/>
            <w:r>
              <w:t>MySuper</w:t>
            </w:r>
            <w:proofErr w:type="spellEnd"/>
            <w:r>
              <w:t xml:space="preserve"> requirements alone were sufficient, so that a separate investment strategy, or investment return target and level of risk</w:t>
            </w:r>
            <w:r w:rsidR="00287C17">
              <w:t>,</w:t>
            </w:r>
            <w:r>
              <w:t xml:space="preserve"> </w:t>
            </w:r>
            <w:r w:rsidR="007924E1">
              <w:t xml:space="preserve">criterion </w:t>
            </w:r>
            <w:r>
              <w:t xml:space="preserve">was unnecessary. For example: </w:t>
            </w:r>
          </w:p>
          <w:p w:rsidR="00A053AA" w:rsidRDefault="00A053AA" w:rsidP="00A053AA">
            <w:pPr>
              <w:pStyle w:val="BoxQuote"/>
            </w:pPr>
            <w:r>
              <w:t xml:space="preserve">… these factors will be covered in the fund’s successful completion of the </w:t>
            </w:r>
            <w:proofErr w:type="spellStart"/>
            <w:r>
              <w:t>MySuper</w:t>
            </w:r>
            <w:proofErr w:type="spellEnd"/>
            <w:r>
              <w:t xml:space="preserve"> licensing process with APRA. (REI Super, sub. 26, p. 3) </w:t>
            </w:r>
          </w:p>
          <w:p w:rsidR="00A053AA" w:rsidRDefault="00A053AA" w:rsidP="00A053AA">
            <w:pPr>
              <w:pStyle w:val="Box"/>
            </w:pPr>
            <w:r>
              <w:t>Some participants regarded that the focus should be on long</w:t>
            </w:r>
            <w:r>
              <w:noBreakHyphen/>
              <w:t>term returns. For example:</w:t>
            </w:r>
          </w:p>
          <w:p w:rsidR="00C166BD" w:rsidRDefault="00A053AA" w:rsidP="00BB2410">
            <w:pPr>
              <w:pStyle w:val="BoxQuote"/>
            </w:pPr>
            <w:r>
              <w:t>… investment strategy is important but it is the long term outcome that matters most</w:t>
            </w:r>
            <w:r w:rsidR="00F66675">
              <w:t> </w:t>
            </w:r>
            <w:r>
              <w:t>…</w:t>
            </w:r>
            <w:r w:rsidR="00F66675">
              <w:t> </w:t>
            </w:r>
            <w:r>
              <w:t xml:space="preserve">There is sufficient new regulation of investment strategy requirements for superannuation funds generally and for </w:t>
            </w:r>
            <w:proofErr w:type="spellStart"/>
            <w:r>
              <w:t>MySuper</w:t>
            </w:r>
            <w:proofErr w:type="spellEnd"/>
            <w:r>
              <w:t xml:space="preserve"> </w:t>
            </w:r>
            <w:r w:rsidR="00BB2410">
              <w:t>offerings</w:t>
            </w:r>
            <w:r>
              <w:t xml:space="preserve"> … </w:t>
            </w:r>
            <w:r w:rsidR="00BB2410">
              <w:t>including new investment strategy covenants applying to trustees</w:t>
            </w:r>
            <w:r>
              <w:t>. (</w:t>
            </w:r>
            <w:proofErr w:type="spellStart"/>
            <w:r>
              <w:t>AustralianSuper</w:t>
            </w:r>
            <w:proofErr w:type="spellEnd"/>
            <w:r>
              <w:t>, sub. 36, p. 9)</w:t>
            </w:r>
          </w:p>
        </w:tc>
      </w:tr>
      <w:tr w:rsidR="00C166BD">
        <w:trPr>
          <w:cantSplit/>
        </w:trPr>
        <w:tc>
          <w:tcPr>
            <w:tcW w:w="8771" w:type="dxa"/>
            <w:tcBorders>
              <w:top w:val="nil"/>
              <w:left w:val="single" w:sz="6" w:space="0" w:color="auto"/>
              <w:bottom w:val="single" w:sz="6" w:space="0" w:color="auto"/>
              <w:right w:val="single" w:sz="6" w:space="0" w:color="auto"/>
            </w:tcBorders>
          </w:tcPr>
          <w:p w:rsidR="00C166BD" w:rsidRDefault="00C166BD">
            <w:pPr>
              <w:pStyle w:val="Box"/>
              <w:spacing w:before="0" w:line="120" w:lineRule="exact"/>
            </w:pPr>
          </w:p>
        </w:tc>
      </w:tr>
      <w:tr w:rsidR="00C166BD" w:rsidRPr="000863A5">
        <w:tc>
          <w:tcPr>
            <w:tcW w:w="8771" w:type="dxa"/>
            <w:tcBorders>
              <w:top w:val="nil"/>
              <w:left w:val="nil"/>
              <w:bottom w:val="nil"/>
              <w:right w:val="nil"/>
            </w:tcBorders>
          </w:tcPr>
          <w:p w:rsidR="00C166BD" w:rsidRPr="000863A5" w:rsidRDefault="00C166BD" w:rsidP="00722D8E">
            <w:pPr>
              <w:pStyle w:val="Box"/>
              <w:keepNext w:val="0"/>
              <w:spacing w:before="60" w:after="60" w:line="80" w:lineRule="exact"/>
              <w:rPr>
                <w:b/>
                <w:sz w:val="14"/>
              </w:rPr>
            </w:pPr>
          </w:p>
        </w:tc>
      </w:tr>
    </w:tbl>
    <w:p w:rsidR="00561585" w:rsidRPr="002B2FAC" w:rsidRDefault="00561585" w:rsidP="00561585">
      <w:pPr>
        <w:pStyle w:val="Heading4"/>
      </w:pPr>
      <w:r>
        <w:t>The Commission’s view</w:t>
      </w:r>
    </w:p>
    <w:p w:rsidR="004C5F51" w:rsidRPr="004300DD" w:rsidRDefault="00561585" w:rsidP="00561585">
      <w:pPr>
        <w:pStyle w:val="BodyText"/>
      </w:pPr>
      <w:r w:rsidRPr="000F4DB6">
        <w:t xml:space="preserve">The Commission does not believe that </w:t>
      </w:r>
      <w:r>
        <w:t xml:space="preserve">a </w:t>
      </w:r>
      <w:r w:rsidRPr="00CC0E6B">
        <w:t>specific</w:t>
      </w:r>
      <w:r w:rsidRPr="00FC52BF">
        <w:t xml:space="preserve"> </w:t>
      </w:r>
      <w:r w:rsidR="00E51258">
        <w:t xml:space="preserve">type of investment strategy, or specific </w:t>
      </w:r>
      <w:r w:rsidR="003543D7">
        <w:t>investment return target and level of risk,</w:t>
      </w:r>
      <w:r w:rsidR="003543D7" w:rsidRPr="009A1635">
        <w:t xml:space="preserve"> </w:t>
      </w:r>
      <w:r w:rsidRPr="000F4DB6">
        <w:t xml:space="preserve">should be prescribed for the selection and ongoing assessment of superannuation </w:t>
      </w:r>
      <w:r w:rsidR="0075349B">
        <w:t xml:space="preserve">products </w:t>
      </w:r>
      <w:r w:rsidR="00EC3F7C">
        <w:t xml:space="preserve">for listing </w:t>
      </w:r>
      <w:r w:rsidRPr="000F4DB6">
        <w:t xml:space="preserve">in modern awards. </w:t>
      </w:r>
      <w:r w:rsidR="001779B1">
        <w:t>Indeed</w:t>
      </w:r>
      <w:r>
        <w:t xml:space="preserve">, the Commission considers that the likely variability of </w:t>
      </w:r>
      <w:proofErr w:type="spellStart"/>
      <w:r>
        <w:t>MySuper</w:t>
      </w:r>
      <w:proofErr w:type="spellEnd"/>
      <w:r>
        <w:t xml:space="preserve"> investment strategies</w:t>
      </w:r>
      <w:r w:rsidR="003543D7" w:rsidRPr="003543D7">
        <w:t xml:space="preserve"> </w:t>
      </w:r>
      <w:r>
        <w:t>is desirable</w:t>
      </w:r>
      <w:r w:rsidR="009C6DFD">
        <w:t xml:space="preserve"> as it</w:t>
      </w:r>
      <w:r w:rsidR="00CA7BC9">
        <w:t xml:space="preserve"> </w:t>
      </w:r>
      <w:r>
        <w:t xml:space="preserve">will </w:t>
      </w:r>
      <w:r w:rsidR="00612454">
        <w:t xml:space="preserve">result in </w:t>
      </w:r>
      <w:r>
        <w:t xml:space="preserve">a </w:t>
      </w:r>
      <w:r w:rsidR="00612454">
        <w:t>range</w:t>
      </w:r>
      <w:r>
        <w:t xml:space="preserve"> of products that can meet the </w:t>
      </w:r>
      <w:r w:rsidR="00CA7BC9">
        <w:t>potentially diverse needs of superannuation members</w:t>
      </w:r>
      <w:r w:rsidR="003543D7">
        <w:t xml:space="preserve">. </w:t>
      </w:r>
      <w:r w:rsidR="009C6DFD">
        <w:t>It follows that</w:t>
      </w:r>
      <w:r w:rsidR="00A9115B">
        <w:t xml:space="preserve"> </w:t>
      </w:r>
      <w:r w:rsidR="00330ACF">
        <w:t>listing a range</w:t>
      </w:r>
      <w:r w:rsidR="009C6DFD">
        <w:t xml:space="preserve"> </w:t>
      </w:r>
      <w:r w:rsidR="00785E4B">
        <w:t>of default products in modern award</w:t>
      </w:r>
      <w:r w:rsidR="00F962A1">
        <w:t>s</w:t>
      </w:r>
      <w:r w:rsidR="00785E4B">
        <w:t xml:space="preserve"> </w:t>
      </w:r>
      <w:r w:rsidR="009C6DFD">
        <w:t xml:space="preserve">is desirable as it </w:t>
      </w:r>
      <w:r w:rsidR="00785E4B">
        <w:t xml:space="preserve">will facilitate employers </w:t>
      </w:r>
      <w:r w:rsidR="004A6C05">
        <w:t>selecting</w:t>
      </w:r>
      <w:r w:rsidR="00785E4B">
        <w:t xml:space="preserve"> </w:t>
      </w:r>
      <w:r w:rsidR="00F962A1">
        <w:t>product</w:t>
      </w:r>
      <w:r w:rsidR="009C6DFD">
        <w:t>s</w:t>
      </w:r>
      <w:r w:rsidR="00785E4B">
        <w:t xml:space="preserve"> that meet</w:t>
      </w:r>
      <w:r w:rsidR="00785E4B" w:rsidRPr="00D91AD8">
        <w:t xml:space="preserve"> </w:t>
      </w:r>
      <w:r w:rsidR="00785E4B">
        <w:t xml:space="preserve">the needs of their </w:t>
      </w:r>
      <w:r w:rsidR="00785E4B" w:rsidRPr="00D91AD8">
        <w:t>employee</w:t>
      </w:r>
      <w:r w:rsidR="00785E4B">
        <w:t>s</w:t>
      </w:r>
      <w:r w:rsidR="00E929A6">
        <w:t xml:space="preserve"> </w:t>
      </w:r>
      <w:r w:rsidR="009A1635" w:rsidRPr="00D91AD8">
        <w:t>(chapter 8</w:t>
      </w:r>
      <w:r w:rsidR="00FA662F" w:rsidRPr="00D91AD8">
        <w:t>)</w:t>
      </w:r>
      <w:r w:rsidR="001A0C50" w:rsidRPr="00C166BD">
        <w:t>.</w:t>
      </w:r>
      <w:r w:rsidR="00A34D0F">
        <w:t xml:space="preserve"> </w:t>
      </w:r>
    </w:p>
    <w:p w:rsidR="005F4786" w:rsidRDefault="006E3482" w:rsidP="00561585">
      <w:pPr>
        <w:pStyle w:val="BodyText"/>
      </w:pPr>
      <w:r>
        <w:t>Though t</w:t>
      </w:r>
      <w:r w:rsidRPr="00C166BD">
        <w:t>he Commission</w:t>
      </w:r>
      <w:r>
        <w:t xml:space="preserve"> sees no case for additional prescriptive criteria to be applied in this area,</w:t>
      </w:r>
      <w:r w:rsidR="00A053AA">
        <w:t xml:space="preserve"> t</w:t>
      </w:r>
      <w:r w:rsidR="00C444AD" w:rsidRPr="00C166BD">
        <w:t>he Commission</w:t>
      </w:r>
      <w:r w:rsidR="00C444AD">
        <w:t xml:space="preserve"> </w:t>
      </w:r>
      <w:r w:rsidR="004A6C05">
        <w:t>regards the</w:t>
      </w:r>
      <w:r w:rsidR="00153FCF">
        <w:t xml:space="preserve"> </w:t>
      </w:r>
      <w:r w:rsidR="00612454">
        <w:t>investment return target and level</w:t>
      </w:r>
      <w:r w:rsidR="00BC0E3C">
        <w:t xml:space="preserve"> </w:t>
      </w:r>
      <w:r w:rsidR="00612454">
        <w:t>of risk</w:t>
      </w:r>
      <w:r w:rsidR="00215518">
        <w:t>, and the investment strategy employed to deliver on these objectives,</w:t>
      </w:r>
      <w:r w:rsidR="00612454">
        <w:t xml:space="preserve"> </w:t>
      </w:r>
      <w:r w:rsidR="004C041D">
        <w:t>as</w:t>
      </w:r>
      <w:r w:rsidR="004A6C05">
        <w:t xml:space="preserve"> important </w:t>
      </w:r>
      <w:r>
        <w:t xml:space="preserve">factors for </w:t>
      </w:r>
      <w:r w:rsidR="00A91735">
        <w:t>consideration</w:t>
      </w:r>
      <w:r w:rsidR="004C041D">
        <w:t xml:space="preserve"> </w:t>
      </w:r>
      <w:r w:rsidR="004A6C05">
        <w:t xml:space="preserve">because they </w:t>
      </w:r>
      <w:r w:rsidR="006C5CEB">
        <w:t xml:space="preserve">largely </w:t>
      </w:r>
      <w:r w:rsidR="00F962A1">
        <w:t xml:space="preserve">determine </w:t>
      </w:r>
      <w:r w:rsidR="004A6C05">
        <w:t xml:space="preserve">the </w:t>
      </w:r>
      <w:r w:rsidR="00F962A1">
        <w:t>path to</w:t>
      </w:r>
      <w:r w:rsidR="00A40518">
        <w:t xml:space="preserve"> delivering</w:t>
      </w:r>
      <w:r w:rsidR="00153FCF">
        <w:t xml:space="preserve"> </w:t>
      </w:r>
      <w:r w:rsidR="004A6C05">
        <w:t>long</w:t>
      </w:r>
      <w:r w:rsidR="004A6C05">
        <w:noBreakHyphen/>
      </w:r>
      <w:r w:rsidR="00A40518">
        <w:t xml:space="preserve">term </w:t>
      </w:r>
      <w:r w:rsidR="00A053AA">
        <w:t xml:space="preserve">investment </w:t>
      </w:r>
      <w:r w:rsidR="00A91735">
        <w:t>performance (section </w:t>
      </w:r>
      <w:r w:rsidR="00A053AA">
        <w:t>4.2)</w:t>
      </w:r>
      <w:r w:rsidR="00153FCF">
        <w:t>.</w:t>
      </w:r>
      <w:r w:rsidR="005F4786">
        <w:t xml:space="preserve"> </w:t>
      </w:r>
    </w:p>
    <w:p w:rsidR="00561585" w:rsidRDefault="004C5F51">
      <w:pPr>
        <w:pStyle w:val="BodyText"/>
      </w:pPr>
      <w:r w:rsidRPr="00A43585">
        <w:lastRenderedPageBreak/>
        <w:t xml:space="preserve">The Commission recognises that the Stronger Super reforms </w:t>
      </w:r>
      <w:r w:rsidR="00A053AA">
        <w:t xml:space="preserve">already </w:t>
      </w:r>
      <w:r w:rsidRPr="00A43585">
        <w:t xml:space="preserve">require </w:t>
      </w:r>
      <w:proofErr w:type="spellStart"/>
      <w:r w:rsidRPr="00A43585">
        <w:t>MySuper</w:t>
      </w:r>
      <w:proofErr w:type="spellEnd"/>
      <w:r w:rsidRPr="00A43585">
        <w:t xml:space="preserve"> trustees to </w:t>
      </w:r>
      <w:r w:rsidR="00215518">
        <w:t xml:space="preserve">set an </w:t>
      </w:r>
      <w:r w:rsidR="00641AC4">
        <w:t xml:space="preserve">investment </w:t>
      </w:r>
      <w:r w:rsidR="00215518">
        <w:t>return target and level of risk</w:t>
      </w:r>
      <w:r w:rsidR="00641AC4">
        <w:t xml:space="preserve"> </w:t>
      </w:r>
      <w:r w:rsidR="00215518">
        <w:t xml:space="preserve">(and the </w:t>
      </w:r>
      <w:r w:rsidR="00215518" w:rsidRPr="00846845">
        <w:t xml:space="preserve">investment strategy </w:t>
      </w:r>
      <w:r w:rsidR="00215518">
        <w:t xml:space="preserve">to deliver these) </w:t>
      </w:r>
      <w:r w:rsidR="00215518" w:rsidRPr="00846845">
        <w:t xml:space="preserve">that is </w:t>
      </w:r>
      <w:r w:rsidR="00215518" w:rsidRPr="00A43585">
        <w:t>appropriate for the entire product’s demographic</w:t>
      </w:r>
      <w:r w:rsidRPr="00A43585">
        <w:t xml:space="preserve">. </w:t>
      </w:r>
      <w:r w:rsidR="003B768E">
        <w:t>T</w:t>
      </w:r>
      <w:r w:rsidR="00EE5994" w:rsidRPr="00A43585">
        <w:t>he Commission considers that the selection and ongoing assessment of superannuation products for listing in modern awards</w:t>
      </w:r>
      <w:r w:rsidR="00B64CD7">
        <w:t xml:space="preserve"> should go </w:t>
      </w:r>
      <w:r w:rsidR="00EE5994" w:rsidRPr="00A43585">
        <w:t>one step further</w:t>
      </w:r>
      <w:r w:rsidR="009B6295">
        <w:t>,</w:t>
      </w:r>
      <w:r w:rsidR="003B768E">
        <w:t xml:space="preserve"> </w:t>
      </w:r>
      <w:r w:rsidR="009B6295">
        <w:t>and</w:t>
      </w:r>
      <w:r w:rsidR="003B768E">
        <w:t xml:space="preserve"> </w:t>
      </w:r>
      <w:r w:rsidR="00D40137">
        <w:t xml:space="preserve">consider if </w:t>
      </w:r>
      <w:r w:rsidR="003B768E">
        <w:t xml:space="preserve">the investment return </w:t>
      </w:r>
      <w:r w:rsidR="009B6295">
        <w:t>target</w:t>
      </w:r>
      <w:r w:rsidR="003B768E">
        <w:t xml:space="preserve"> and risk </w:t>
      </w:r>
      <w:r w:rsidR="009B6295">
        <w:t>profile</w:t>
      </w:r>
      <w:r w:rsidR="003B768E">
        <w:t xml:space="preserve"> are appropriate for the</w:t>
      </w:r>
      <w:r w:rsidR="00EE5994" w:rsidRPr="00A43585">
        <w:t xml:space="preserve"> </w:t>
      </w:r>
      <w:r w:rsidR="00875DFE" w:rsidRPr="00A43585">
        <w:t xml:space="preserve">employees </w:t>
      </w:r>
      <w:r w:rsidR="00D12460">
        <w:t xml:space="preserve">who </w:t>
      </w:r>
      <w:r w:rsidR="00D12460" w:rsidRPr="00A83480">
        <w:t xml:space="preserve">derive their default superannuation </w:t>
      </w:r>
      <w:r w:rsidR="00D12460">
        <w:t>product</w:t>
      </w:r>
      <w:r w:rsidR="00D12460" w:rsidRPr="00A83480">
        <w:t xml:space="preserve"> in accordance with a modern award</w:t>
      </w:r>
      <w:r w:rsidR="004756DF">
        <w:t xml:space="preserve">. The Commission recognises that there will be challenges in gathering </w:t>
      </w:r>
      <w:r w:rsidR="00E60FB0">
        <w:t xml:space="preserve">adequate data to understand </w:t>
      </w:r>
      <w:r w:rsidR="00E60FB0" w:rsidRPr="00E60FB0">
        <w:t>the</w:t>
      </w:r>
      <w:r w:rsidR="00E60FB0">
        <w:t xml:space="preserve"> characteristics</w:t>
      </w:r>
      <w:r w:rsidR="00F2612F">
        <w:t xml:space="preserve"> of the</w:t>
      </w:r>
      <w:r w:rsidR="00E60FB0">
        <w:t>se employees (chapter 9)</w:t>
      </w:r>
      <w:r w:rsidR="004756DF">
        <w:t xml:space="preserve">, but, notwithstanding this, an assessment of the broad </w:t>
      </w:r>
      <w:r w:rsidR="00561585" w:rsidRPr="00C35246">
        <w:t>appropriateness</w:t>
      </w:r>
      <w:r w:rsidR="00561585">
        <w:t xml:space="preserve"> of a </w:t>
      </w:r>
      <w:proofErr w:type="spellStart"/>
      <w:r w:rsidR="00561585">
        <w:t>MySuper</w:t>
      </w:r>
      <w:proofErr w:type="spellEnd"/>
      <w:r w:rsidR="00561585">
        <w:t xml:space="preserve"> product’s </w:t>
      </w:r>
      <w:r w:rsidR="00DD4E58">
        <w:t>long</w:t>
      </w:r>
      <w:r w:rsidR="00DD4E58">
        <w:noBreakHyphen/>
        <w:t xml:space="preserve">term </w:t>
      </w:r>
      <w:r w:rsidR="00561585">
        <w:t xml:space="preserve">investment return </w:t>
      </w:r>
      <w:r w:rsidR="00641AC4">
        <w:t xml:space="preserve">target </w:t>
      </w:r>
      <w:r w:rsidR="00561585">
        <w:t>and risk profile should be given primary consideration among a range of factors.</w:t>
      </w:r>
    </w:p>
    <w:p w:rsidR="00561585" w:rsidRPr="00561585" w:rsidRDefault="00561585" w:rsidP="00C87EB6">
      <w:pPr>
        <w:pStyle w:val="BodyText"/>
      </w:pPr>
      <w:r>
        <w:t xml:space="preserve">The Commission notes that the Stronger Super reforms give </w:t>
      </w:r>
      <w:r w:rsidR="001136FC">
        <w:t>trustees</w:t>
      </w:r>
      <w:r>
        <w:t xml:space="preserve"> the option of offering a </w:t>
      </w:r>
      <w:proofErr w:type="spellStart"/>
      <w:r w:rsidR="001136FC">
        <w:t>MySuper</w:t>
      </w:r>
      <w:proofErr w:type="spellEnd"/>
      <w:r w:rsidR="001136FC">
        <w:t xml:space="preserve"> product that employs a </w:t>
      </w:r>
      <w:r>
        <w:t>lifecycle investment</w:t>
      </w:r>
      <w:r w:rsidR="001136FC">
        <w:t xml:space="preserve"> strategy</w:t>
      </w:r>
      <w:r>
        <w:t>. T</w:t>
      </w:r>
      <w:r w:rsidRPr="000F4DB6">
        <w:t>he Commission believe</w:t>
      </w:r>
      <w:r w:rsidR="00826584">
        <w:t>s that</w:t>
      </w:r>
      <w:r>
        <w:t xml:space="preserve"> </w:t>
      </w:r>
      <w:r w:rsidR="0013316B">
        <w:t>where</w:t>
      </w:r>
      <w:r w:rsidR="00826584">
        <w:t xml:space="preserve"> </w:t>
      </w:r>
      <w:r w:rsidR="00C35246">
        <w:t>a lifecycle strategy i</w:t>
      </w:r>
      <w:r w:rsidR="00826584">
        <w:t>s</w:t>
      </w:r>
      <w:r w:rsidR="00C35246">
        <w:t xml:space="preserve"> offered </w:t>
      </w:r>
      <w:r w:rsidR="0013316B">
        <w:t>that product</w:t>
      </w:r>
      <w:r w:rsidR="00826584">
        <w:t xml:space="preserve"> </w:t>
      </w:r>
      <w:r>
        <w:t>should be evaluat</w:t>
      </w:r>
      <w:r w:rsidR="0013316B">
        <w:t xml:space="preserve">ed </w:t>
      </w:r>
      <w:r w:rsidR="00132C91">
        <w:t>on the same basis as other products, that is ― </w:t>
      </w:r>
      <w:r w:rsidR="0013316B">
        <w:t>according to</w:t>
      </w:r>
      <w:r>
        <w:t xml:space="preserve"> the appropriateness of </w:t>
      </w:r>
      <w:r w:rsidR="0013316B">
        <w:t xml:space="preserve">its </w:t>
      </w:r>
      <w:r w:rsidR="00DD4E58">
        <w:t>long</w:t>
      </w:r>
      <w:r w:rsidR="00DD4E58">
        <w:noBreakHyphen/>
        <w:t xml:space="preserve">term </w:t>
      </w:r>
      <w:r>
        <w:t xml:space="preserve">investment return </w:t>
      </w:r>
      <w:r w:rsidR="00641AC4">
        <w:t xml:space="preserve">target </w:t>
      </w:r>
      <w:r>
        <w:t>and risk profile.</w:t>
      </w:r>
    </w:p>
    <w:p w:rsidR="00A226E7" w:rsidRDefault="00A226E7" w:rsidP="00A226E7">
      <w:pPr>
        <w:pStyle w:val="RecTitle"/>
      </w:pPr>
      <w:r>
        <w:t xml:space="preserve">Recommendation </w:t>
      </w:r>
      <w:fldSimple w:instr=" COMMENTS  \* MERGEFORMAT ">
        <w:r w:rsidR="0053236F">
          <w:t>4.</w:t>
        </w:r>
      </w:fldSimple>
      <w:r w:rsidR="0055510D">
        <w:fldChar w:fldCharType="begin"/>
      </w:r>
      <w:r w:rsidR="0055510D">
        <w:instrText xml:space="preserve"> SEQ Recommendation \* ARABIC </w:instrText>
      </w:r>
      <w:r w:rsidR="0055510D">
        <w:fldChar w:fldCharType="separate"/>
      </w:r>
      <w:r w:rsidR="00132F9A">
        <w:rPr>
          <w:noProof/>
        </w:rPr>
        <w:t>1</w:t>
      </w:r>
      <w:r w:rsidR="0055510D">
        <w:rPr>
          <w:noProof/>
        </w:rPr>
        <w:fldChar w:fldCharType="end"/>
      </w:r>
    </w:p>
    <w:p w:rsidR="00A226E7" w:rsidRDefault="00A226E7" w:rsidP="00A226E7">
      <w:pPr>
        <w:pStyle w:val="Rec"/>
      </w:pPr>
      <w:r>
        <w:t xml:space="preserve">The selection and ongoing assessment of </w:t>
      </w:r>
      <w:r w:rsidR="0014071D">
        <w:t xml:space="preserve">default </w:t>
      </w:r>
      <w:r w:rsidR="008A6DA2">
        <w:t xml:space="preserve">superannuation </w:t>
      </w:r>
      <w:r w:rsidR="001136FC">
        <w:t xml:space="preserve">products </w:t>
      </w:r>
      <w:r w:rsidR="008A6DA2">
        <w:t>for listing</w:t>
      </w:r>
      <w:r>
        <w:t xml:space="preserve"> in modern awards should include consideration of the appropriateness of the </w:t>
      </w:r>
      <w:proofErr w:type="spellStart"/>
      <w:r>
        <w:t>MySuper</w:t>
      </w:r>
      <w:proofErr w:type="spellEnd"/>
      <w:r>
        <w:t xml:space="preserve"> product’s </w:t>
      </w:r>
      <w:r w:rsidR="00DD4E58">
        <w:t>long</w:t>
      </w:r>
      <w:r w:rsidR="00DD4E58">
        <w:noBreakHyphen/>
        <w:t xml:space="preserve">term </w:t>
      </w:r>
      <w:r>
        <w:t xml:space="preserve">investment return </w:t>
      </w:r>
      <w:r w:rsidR="00641AC4">
        <w:t xml:space="preserve">target </w:t>
      </w:r>
      <w:r>
        <w:t xml:space="preserve">and risk profile for employees </w:t>
      </w:r>
      <w:r w:rsidR="000D3879">
        <w:t xml:space="preserve">who </w:t>
      </w:r>
      <w:r w:rsidR="00D107B4" w:rsidRPr="00A83480">
        <w:t xml:space="preserve">derive their default superannuation </w:t>
      </w:r>
      <w:r w:rsidR="00D107B4">
        <w:t>product</w:t>
      </w:r>
      <w:r w:rsidR="00D107B4" w:rsidRPr="00A83480">
        <w:t xml:space="preserve"> in accordance with a given modern award</w:t>
      </w:r>
      <w:r>
        <w:t xml:space="preserve"> </w:t>
      </w:r>
      <w:r w:rsidR="004E2052">
        <w:t>(</w:t>
      </w:r>
      <w:r>
        <w:t>as a primary</w:t>
      </w:r>
      <w:r w:rsidRPr="00E25679">
        <w:t xml:space="preserve"> </w:t>
      </w:r>
      <w:r>
        <w:t>factor</w:t>
      </w:r>
      <w:r w:rsidR="004E2052">
        <w:t>)</w:t>
      </w:r>
      <w:r>
        <w:t xml:space="preserve">. </w:t>
      </w:r>
    </w:p>
    <w:p w:rsidR="006F611B" w:rsidRDefault="0055510D" w:rsidP="006F611B">
      <w:pPr>
        <w:pStyle w:val="Heading2"/>
      </w:pPr>
      <w:fldSimple w:instr=" COMMENTS  \* MERGEFORMAT ">
        <w:r w:rsidR="0053236F">
          <w:t>4.</w:t>
        </w:r>
      </w:fldSimple>
      <w:r>
        <w:fldChar w:fldCharType="begin"/>
      </w:r>
      <w:r>
        <w:instrText xml:space="preserve"> SEQ Heading2 </w:instrText>
      </w:r>
      <w:r>
        <w:fldChar w:fldCharType="separate"/>
      </w:r>
      <w:r w:rsidR="00132F9A">
        <w:rPr>
          <w:noProof/>
        </w:rPr>
        <w:t>2</w:t>
      </w:r>
      <w:r>
        <w:rPr>
          <w:noProof/>
        </w:rPr>
        <w:fldChar w:fldCharType="end"/>
      </w:r>
      <w:r w:rsidR="006F611B">
        <w:tab/>
      </w:r>
      <w:r w:rsidR="00E62430">
        <w:t>I</w:t>
      </w:r>
      <w:r w:rsidR="00A74146">
        <w:t xml:space="preserve">nvestment </w:t>
      </w:r>
      <w:r w:rsidR="006F611B">
        <w:t>performance</w:t>
      </w:r>
    </w:p>
    <w:p w:rsidR="00BB326E" w:rsidRDefault="00BB326E" w:rsidP="00A669F5">
      <w:pPr>
        <w:pStyle w:val="Heading3"/>
        <w:spacing w:before="280"/>
      </w:pPr>
      <w:r>
        <w:t>The importance of investment performance</w:t>
      </w:r>
    </w:p>
    <w:p w:rsidR="00E402DF" w:rsidRPr="001D5490" w:rsidRDefault="00FC24CF" w:rsidP="00E402DF">
      <w:pPr>
        <w:pStyle w:val="BodyText"/>
      </w:pPr>
      <w:r>
        <w:t xml:space="preserve">The success of </w:t>
      </w:r>
      <w:r w:rsidR="00F52ED9">
        <w:t xml:space="preserve">a </w:t>
      </w:r>
      <w:r>
        <w:t>superannuation fund</w:t>
      </w:r>
      <w:r w:rsidR="00F52ED9">
        <w:t>’</w:t>
      </w:r>
      <w:r>
        <w:t>s investment strateg</w:t>
      </w:r>
      <w:r w:rsidR="00F52ED9">
        <w:t>y</w:t>
      </w:r>
      <w:r>
        <w:t xml:space="preserve"> is determined by </w:t>
      </w:r>
      <w:r w:rsidR="00F52ED9">
        <w:t>its</w:t>
      </w:r>
      <w:r>
        <w:t xml:space="preserve"> </w:t>
      </w:r>
      <w:r w:rsidR="00306483">
        <w:t>long</w:t>
      </w:r>
      <w:r w:rsidR="00306483">
        <w:noBreakHyphen/>
        <w:t xml:space="preserve">term </w:t>
      </w:r>
      <w:r>
        <w:t xml:space="preserve">investment performance. </w:t>
      </w:r>
      <w:r w:rsidR="00016246">
        <w:t>N</w:t>
      </w:r>
      <w:r w:rsidR="00406DA6">
        <w:t xml:space="preserve">et </w:t>
      </w:r>
      <w:r w:rsidR="00E62430">
        <w:t>return</w:t>
      </w:r>
      <w:r w:rsidR="00016246">
        <w:t xml:space="preserve">s — that is, returns after the deduction of fees, costs and taxes — </w:t>
      </w:r>
      <w:r w:rsidR="00E402DF">
        <w:t xml:space="preserve">can be highly uncertain and variable over time, and </w:t>
      </w:r>
      <w:r w:rsidR="00016246">
        <w:t xml:space="preserve">are </w:t>
      </w:r>
      <w:r w:rsidR="00E402DF">
        <w:t xml:space="preserve">influenced by factors such as </w:t>
      </w:r>
      <w:r w:rsidR="00BB410E">
        <w:t>asset allocation</w:t>
      </w:r>
      <w:r w:rsidR="00E402DF">
        <w:t xml:space="preserve"> and the level of </w:t>
      </w:r>
      <w:r w:rsidR="00306483">
        <w:t>expenses</w:t>
      </w:r>
      <w:r w:rsidR="00E402DF">
        <w:t xml:space="preserve">. Small improvements in the annual </w:t>
      </w:r>
      <w:r w:rsidR="00E62430">
        <w:t>net return</w:t>
      </w:r>
      <w:r w:rsidR="00E62430" w:rsidDel="00E62430">
        <w:t xml:space="preserve"> </w:t>
      </w:r>
      <w:r w:rsidR="00E402DF">
        <w:t xml:space="preserve">of </w:t>
      </w:r>
      <w:r w:rsidR="00C36000">
        <w:t xml:space="preserve">a </w:t>
      </w:r>
      <w:r w:rsidR="00E402DF">
        <w:t xml:space="preserve">superannuation fund </w:t>
      </w:r>
      <w:r w:rsidR="00016246">
        <w:t xml:space="preserve">or product </w:t>
      </w:r>
      <w:r w:rsidR="00E402DF">
        <w:t xml:space="preserve">can lead to </w:t>
      </w:r>
      <w:r w:rsidR="00C36000">
        <w:t xml:space="preserve">a </w:t>
      </w:r>
      <w:r w:rsidR="00E402DF">
        <w:t xml:space="preserve">significant increase in </w:t>
      </w:r>
      <w:r w:rsidR="0028030C">
        <w:t xml:space="preserve">accumulated </w:t>
      </w:r>
      <w:r w:rsidR="00E402DF">
        <w:t xml:space="preserve">returns for members, given the long time frames over which superannuation assets are typically accumulated. </w:t>
      </w:r>
    </w:p>
    <w:p w:rsidR="00E402DF" w:rsidRPr="001A5865" w:rsidRDefault="00734BCC" w:rsidP="00E402DF">
      <w:pPr>
        <w:pStyle w:val="BodyText"/>
      </w:pPr>
      <w:r>
        <w:t>Though</w:t>
      </w:r>
      <w:r w:rsidR="00E402DF">
        <w:t xml:space="preserve"> the industry itself often focus</w:t>
      </w:r>
      <w:r w:rsidR="0045337D">
        <w:t>es</w:t>
      </w:r>
      <w:r w:rsidR="00E402DF">
        <w:t xml:space="preserve"> on the relative </w:t>
      </w:r>
      <w:r w:rsidR="008136CF">
        <w:t>net return</w:t>
      </w:r>
      <w:r w:rsidR="008136CF" w:rsidDel="008136CF">
        <w:t xml:space="preserve"> </w:t>
      </w:r>
      <w:r w:rsidR="00E402DF">
        <w:t>of different types of fund</w:t>
      </w:r>
      <w:r w:rsidR="006714D5">
        <w:t>s</w:t>
      </w:r>
      <w:r w:rsidR="00E402DF">
        <w:t xml:space="preserve">, for the purposes of this inquiry, it is useful to look at the relative </w:t>
      </w:r>
      <w:r w:rsidR="008136CF">
        <w:t>net return</w:t>
      </w:r>
      <w:r w:rsidR="008136CF" w:rsidDel="008136CF">
        <w:t xml:space="preserve"> </w:t>
      </w:r>
      <w:r w:rsidR="00E402DF">
        <w:lastRenderedPageBreak/>
        <w:t xml:space="preserve">of </w:t>
      </w:r>
      <w:r w:rsidR="0045337D">
        <w:t xml:space="preserve">current </w:t>
      </w:r>
      <w:r w:rsidR="00E402DF">
        <w:t xml:space="preserve">default </w:t>
      </w:r>
      <w:r w:rsidR="00306483">
        <w:t xml:space="preserve">funds (that is, those listed in modern awards) </w:t>
      </w:r>
      <w:r w:rsidR="00E402DF">
        <w:t>and non-default funds</w:t>
      </w:r>
      <w:r w:rsidR="00DF3620">
        <w:t xml:space="preserve"> (that is, those not listed in modern awards)</w:t>
      </w:r>
      <w:r w:rsidR="00E402DF">
        <w:t>.</w:t>
      </w:r>
      <w:r w:rsidR="00E402DF" w:rsidRPr="002D1622">
        <w:rPr>
          <w:rStyle w:val="FootnoteReference"/>
        </w:rPr>
        <w:t xml:space="preserve"> </w:t>
      </w:r>
    </w:p>
    <w:p w:rsidR="00086D99" w:rsidRDefault="006C5CEB" w:rsidP="00086D99">
      <w:pPr>
        <w:pStyle w:val="BodyText"/>
      </w:pPr>
      <w:r w:rsidRPr="00484D47">
        <w:t xml:space="preserve">The investment performance </w:t>
      </w:r>
      <w:r w:rsidR="0094503F" w:rsidRPr="00484D47">
        <w:t>of d</w:t>
      </w:r>
      <w:r w:rsidR="005F462A" w:rsidRPr="00484D47">
        <w:t>efault f</w:t>
      </w:r>
      <w:r w:rsidR="00E402DF" w:rsidRPr="00484D47">
        <w:t>u</w:t>
      </w:r>
      <w:r w:rsidR="005F462A" w:rsidRPr="00484D47">
        <w:t>nds listed in modern awards</w:t>
      </w:r>
      <w:r w:rsidR="00E402DF" w:rsidRPr="00484D47">
        <w:t xml:space="preserve"> ha</w:t>
      </w:r>
      <w:r w:rsidRPr="00484D47">
        <w:t>s</w:t>
      </w:r>
      <w:r w:rsidR="00E402DF" w:rsidRPr="00484D47">
        <w:t xml:space="preserve"> </w:t>
      </w:r>
      <w:r w:rsidR="0094503F" w:rsidRPr="00484D47">
        <w:t xml:space="preserve">been relatively strong when compared to </w:t>
      </w:r>
      <w:r w:rsidR="00E402DF" w:rsidRPr="00484D47">
        <w:t>n</w:t>
      </w:r>
      <w:bookmarkStart w:id="3" w:name="_GoBack"/>
      <w:bookmarkEnd w:id="3"/>
      <w:r w:rsidR="00E402DF" w:rsidRPr="00484D47">
        <w:t xml:space="preserve">on-default funds. Over the eight years to </w:t>
      </w:r>
      <w:r w:rsidR="00E07099" w:rsidRPr="00484D47">
        <w:t>30 June </w:t>
      </w:r>
      <w:r w:rsidR="00E402DF" w:rsidRPr="00484D47">
        <w:t xml:space="preserve">2011, default funds averaged an annual </w:t>
      </w:r>
      <w:r w:rsidR="00297821" w:rsidRPr="00484D47">
        <w:t xml:space="preserve">(after tax) </w:t>
      </w:r>
      <w:r w:rsidR="00E402DF" w:rsidRPr="00484D47">
        <w:t>rate of return of 6.4 per cent, compared with 5.</w:t>
      </w:r>
      <w:r w:rsidR="00A424D9" w:rsidRPr="00484D47">
        <w:t>5</w:t>
      </w:r>
      <w:r w:rsidR="00E402DF" w:rsidRPr="00484D47">
        <w:t xml:space="preserve"> per cent for </w:t>
      </w:r>
      <w:r w:rsidR="00C52D3F" w:rsidRPr="00484D47">
        <w:t>non</w:t>
      </w:r>
      <w:r w:rsidR="00C52D3F" w:rsidRPr="00484D47">
        <w:noBreakHyphen/>
        <w:t>default</w:t>
      </w:r>
      <w:r w:rsidRPr="00484D47">
        <w:t xml:space="preserve"> funds</w:t>
      </w:r>
      <w:r w:rsidR="00E402DF" w:rsidRPr="00484D47">
        <w:t xml:space="preserve">, and default funds </w:t>
      </w:r>
      <w:r w:rsidR="00BC5619" w:rsidRPr="00484D47">
        <w:t xml:space="preserve">collectively </w:t>
      </w:r>
      <w:r w:rsidR="00E402DF" w:rsidRPr="00484D47">
        <w:t xml:space="preserve">outperformed </w:t>
      </w:r>
      <w:r w:rsidR="00A424D9" w:rsidRPr="00484D47">
        <w:t>non-default funds</w:t>
      </w:r>
      <w:r w:rsidR="00A424D9" w:rsidRPr="00484D47" w:rsidDel="00A424D9">
        <w:t xml:space="preserve"> </w:t>
      </w:r>
      <w:r w:rsidR="00E402DF" w:rsidRPr="00484D47">
        <w:t>in each year except 2009 (figure</w:t>
      </w:r>
      <w:r w:rsidR="008F2623" w:rsidRPr="00484D47">
        <w:t> </w:t>
      </w:r>
      <w:r w:rsidR="00E402DF" w:rsidRPr="00484D47">
        <w:t>4.1</w:t>
      </w:r>
      <w:r w:rsidR="00E402DF">
        <w:t>).</w:t>
      </w:r>
      <w:r w:rsidR="00086D99">
        <w:rPr>
          <w:rStyle w:val="FootnoteReference"/>
        </w:rPr>
        <w:footnoteReference w:id="2"/>
      </w:r>
      <w:r w:rsidR="00086D99">
        <w:t xml:space="preserve">  </w:t>
      </w:r>
    </w:p>
    <w:p w:rsidR="00E402DF" w:rsidRDefault="00E402DF" w:rsidP="00E402DF">
      <w:pPr>
        <w:pStyle w:val="FigureTitle"/>
        <w:rPr>
          <w:rStyle w:val="NoteLabel"/>
          <w:b/>
        </w:rPr>
      </w:pPr>
      <w:r>
        <w:rPr>
          <w:b w:val="0"/>
        </w:rPr>
        <w:t xml:space="preserve">Figure </w:t>
      </w:r>
      <w:r>
        <w:rPr>
          <w:b w:val="0"/>
        </w:rPr>
        <w:fldChar w:fldCharType="begin"/>
      </w:r>
      <w:r>
        <w:rPr>
          <w:b w:val="0"/>
        </w:rPr>
        <w:instrText xml:space="preserve"> COMMENTS  \* MERGEFORMAT </w:instrText>
      </w:r>
      <w:r>
        <w:rPr>
          <w:b w:val="0"/>
        </w:rPr>
        <w:fldChar w:fldCharType="separate"/>
      </w:r>
      <w:r w:rsidR="0053236F">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132F9A">
        <w:rPr>
          <w:b w:val="0"/>
          <w:noProof/>
        </w:rPr>
        <w:t>1</w:t>
      </w:r>
      <w:r>
        <w:rPr>
          <w:b w:val="0"/>
        </w:rPr>
        <w:fldChar w:fldCharType="end"/>
      </w:r>
      <w:r>
        <w:tab/>
        <w:t>Superannuation fund performance</w:t>
      </w:r>
      <w:r w:rsidRPr="00BF414C">
        <w:rPr>
          <w:rStyle w:val="NoteLabel"/>
          <w:b/>
        </w:rPr>
        <w:t>a</w:t>
      </w:r>
      <w:r w:rsidR="00EF1B48">
        <w:rPr>
          <w:rStyle w:val="NoteLabel"/>
          <w:b/>
        </w:rPr>
        <w:t xml:space="preserve">, </w:t>
      </w:r>
      <w:r>
        <w:rPr>
          <w:rStyle w:val="NoteLabel"/>
          <w:b/>
        </w:rPr>
        <w:t>b</w:t>
      </w:r>
      <w:r w:rsidR="00EF1B48">
        <w:rPr>
          <w:rStyle w:val="NoteLabel"/>
          <w:b/>
        </w:rPr>
        <w:t xml:space="preserve">, </w:t>
      </w:r>
      <w:r w:rsidR="00D429C0">
        <w:rPr>
          <w:rStyle w:val="NoteLabel"/>
          <w:b/>
        </w:rPr>
        <w:t>c</w:t>
      </w:r>
      <w:r w:rsidR="00A0418E">
        <w:rPr>
          <w:rStyle w:val="NoteLabel"/>
          <w:b/>
        </w:rPr>
        <w:t>, d</w:t>
      </w:r>
    </w:p>
    <w:p w:rsidR="00E402DF" w:rsidRPr="006B043B" w:rsidRDefault="00E402DF" w:rsidP="00E402DF">
      <w:pPr>
        <w:pStyle w:val="Subtitle"/>
      </w:pPr>
      <w:r>
        <w:t xml:space="preserve">Default </w:t>
      </w:r>
      <w:r w:rsidR="005F462A">
        <w:t xml:space="preserve">funds </w:t>
      </w:r>
      <w:r>
        <w:t xml:space="preserve">versus </w:t>
      </w:r>
      <w:r w:rsidR="006B76FC">
        <w:t>non</w:t>
      </w:r>
      <w:r w:rsidR="006B76FC">
        <w:softHyphen/>
      </w:r>
      <w:r w:rsidR="006B76FC">
        <w:noBreakHyphen/>
        <w:t xml:space="preserve">default </w:t>
      </w:r>
      <w:r>
        <w:t>funds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402DF" w:rsidTr="00E402DF">
        <w:tc>
          <w:tcPr>
            <w:tcW w:w="8777" w:type="dxa"/>
          </w:tcPr>
          <w:p w:rsidR="00E402DF" w:rsidRDefault="00676A60">
            <w:pPr>
              <w:pStyle w:val="Figure"/>
              <w:rPr>
                <w:szCs w:val="24"/>
              </w:rPr>
            </w:pPr>
            <w:r>
              <w:rPr>
                <w:noProof/>
                <w:szCs w:val="24"/>
              </w:rPr>
              <w:drawing>
                <wp:inline distT="0" distB="0" distL="0" distR="0">
                  <wp:extent cx="5391785" cy="2869565"/>
                  <wp:effectExtent l="0" t="0" r="0" b="698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Figure 4.1. Average rate of return (per cent) of default funds and non-default funds, from 2004 to 2011.This figure shows returns of default funds exceeding those of non-default funds for all years except 2009. Returns were positive for default funds and non-default funds except in 2008 and 20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785" cy="2869565"/>
                          </a:xfrm>
                          <a:prstGeom prst="rect">
                            <a:avLst/>
                          </a:prstGeom>
                          <a:noFill/>
                          <a:ln>
                            <a:noFill/>
                          </a:ln>
                        </pic:spPr>
                      </pic:pic>
                    </a:graphicData>
                  </a:graphic>
                </wp:inline>
              </w:drawing>
            </w:r>
          </w:p>
        </w:tc>
      </w:tr>
    </w:tbl>
    <w:p w:rsidR="00E402DF" w:rsidRDefault="00E402DF" w:rsidP="00E402DF">
      <w:pPr>
        <w:pStyle w:val="Note"/>
      </w:pPr>
      <w:r>
        <w:rPr>
          <w:rStyle w:val="NoteLabel"/>
        </w:rPr>
        <w:t>a</w:t>
      </w:r>
      <w:r w:rsidRPr="00523F27">
        <w:t xml:space="preserve"> </w:t>
      </w:r>
      <w:r>
        <w:t xml:space="preserve">Based on APRA-regulated superannuation funds for which return data </w:t>
      </w:r>
      <w:r w:rsidR="006714D5">
        <w:t xml:space="preserve">are </w:t>
      </w:r>
      <w:r>
        <w:t xml:space="preserve">available </w:t>
      </w:r>
      <w:r w:rsidR="00826383">
        <w:t>for</w:t>
      </w:r>
      <w:r>
        <w:t xml:space="preserve"> all years 2004–2011. </w:t>
      </w:r>
      <w:r w:rsidR="00D429C0">
        <w:rPr>
          <w:rStyle w:val="NoteLabel"/>
        </w:rPr>
        <w:t>b </w:t>
      </w:r>
      <w:r>
        <w:t>Excludes</w:t>
      </w:r>
      <w:r w:rsidRPr="00487CFF">
        <w:t xml:space="preserve"> </w:t>
      </w:r>
      <w:r>
        <w:t>pooled superannuation trusts, exempt public sector superannuation schemes, small APRA</w:t>
      </w:r>
      <w:r w:rsidR="00BE3391">
        <w:noBreakHyphen/>
        <w:t>regulated</w:t>
      </w:r>
      <w:r>
        <w:t xml:space="preserve"> funds and single</w:t>
      </w:r>
      <w:r>
        <w:noBreakHyphen/>
        <w:t xml:space="preserve">member approved deposit funds. </w:t>
      </w:r>
      <w:proofErr w:type="spellStart"/>
      <w:r>
        <w:t>Self</w:t>
      </w:r>
      <w:r w:rsidR="00742312">
        <w:t xml:space="preserve"> </w:t>
      </w:r>
      <w:r>
        <w:t>managed</w:t>
      </w:r>
      <w:proofErr w:type="spellEnd"/>
      <w:r>
        <w:t xml:space="preserve"> superannuation funds regulated by the Australian Taxation Office are</w:t>
      </w:r>
      <w:r w:rsidR="003B66B4">
        <w:t xml:space="preserve"> </w:t>
      </w:r>
      <w:r>
        <w:t xml:space="preserve">excluded. </w:t>
      </w:r>
      <w:r w:rsidR="00D429C0">
        <w:rPr>
          <w:rStyle w:val="NoteLabel"/>
        </w:rPr>
        <w:t>c</w:t>
      </w:r>
      <w:r>
        <w:sym w:font="Symbol" w:char="F020"/>
      </w:r>
      <w:r w:rsidR="00A0418E">
        <w:t xml:space="preserve">Includes Eligible Rollover Funds. </w:t>
      </w:r>
      <w:r w:rsidR="00A0418E">
        <w:rPr>
          <w:rStyle w:val="NoteLabel"/>
        </w:rPr>
        <w:t>d</w:t>
      </w:r>
      <w:r w:rsidR="00A0418E">
        <w:sym w:font="Symbol" w:char="F020"/>
      </w:r>
      <w:r>
        <w:t>Default fund data based on superannuation funds listed in modern awards</w:t>
      </w:r>
      <w:r w:rsidR="007B49BE">
        <w:t xml:space="preserve"> (as at September 2012)</w:t>
      </w:r>
      <w:r>
        <w:t xml:space="preserve">, for which return data </w:t>
      </w:r>
      <w:r w:rsidR="006714D5">
        <w:t xml:space="preserve">are </w:t>
      </w:r>
      <w:r>
        <w:t xml:space="preserve">available </w:t>
      </w:r>
      <w:r w:rsidR="00826383">
        <w:t>for</w:t>
      </w:r>
      <w:r>
        <w:t xml:space="preserve"> all years 2004–2011.</w:t>
      </w:r>
    </w:p>
    <w:p w:rsidR="00E402DF" w:rsidRDefault="004D0A02" w:rsidP="00E402DF">
      <w:pPr>
        <w:pStyle w:val="Source"/>
      </w:pPr>
      <w:r>
        <w:rPr>
          <w:i/>
        </w:rPr>
        <w:t>S</w:t>
      </w:r>
      <w:r w:rsidR="00E402DF">
        <w:rPr>
          <w:i/>
        </w:rPr>
        <w:t>ource</w:t>
      </w:r>
      <w:r w:rsidR="00742312">
        <w:rPr>
          <w:i/>
        </w:rPr>
        <w:t>s</w:t>
      </w:r>
      <w:r w:rsidR="00E402DF" w:rsidRPr="00167F06">
        <w:t xml:space="preserve">: </w:t>
      </w:r>
      <w:r w:rsidR="00E402DF">
        <w:t>Productivity Commission estimates based on APRA fund</w:t>
      </w:r>
      <w:r w:rsidR="00E402DF">
        <w:noBreakHyphen/>
        <w:t xml:space="preserve">level profiles and financial performance data 2011 (APRA </w:t>
      </w:r>
      <w:proofErr w:type="spellStart"/>
      <w:r w:rsidR="00E402DF">
        <w:t>2012</w:t>
      </w:r>
      <w:r w:rsidR="00B442D4">
        <w:t>j</w:t>
      </w:r>
      <w:proofErr w:type="spellEnd"/>
      <w:r w:rsidR="00E402DF">
        <w:t xml:space="preserve">); </w:t>
      </w:r>
      <w:proofErr w:type="spellStart"/>
      <w:r w:rsidR="00E402DF" w:rsidRPr="00A62438">
        <w:t>FWA</w:t>
      </w:r>
      <w:proofErr w:type="spellEnd"/>
      <w:r w:rsidR="00E402DF" w:rsidRPr="00A62438">
        <w:t xml:space="preserve"> (</w:t>
      </w:r>
      <w:proofErr w:type="spellStart"/>
      <w:r w:rsidR="00E402DF" w:rsidRPr="00A62438">
        <w:t>2012</w:t>
      </w:r>
      <w:r w:rsidR="000A5B71">
        <w:t>e</w:t>
      </w:r>
      <w:proofErr w:type="spellEnd"/>
      <w:r w:rsidR="00E402DF" w:rsidRPr="00A62438">
        <w:t>)</w:t>
      </w:r>
      <w:r w:rsidR="00E402DF">
        <w:t>.</w:t>
      </w:r>
    </w:p>
    <w:p w:rsidR="007B6F8A" w:rsidRDefault="007B6F8A" w:rsidP="007B6F8A">
      <w:pPr>
        <w:pStyle w:val="Heading3"/>
      </w:pPr>
      <w:r>
        <w:lastRenderedPageBreak/>
        <w:t>Stronger Super reforms</w:t>
      </w:r>
    </w:p>
    <w:p w:rsidR="00D93D2C" w:rsidRDefault="007B6F8A" w:rsidP="00D93D2C">
      <w:pPr>
        <w:pStyle w:val="BodyText"/>
      </w:pPr>
      <w:r w:rsidRPr="00054B8F">
        <w:t xml:space="preserve">Current regulatory arrangements </w:t>
      </w:r>
      <w:r>
        <w:t>d</w:t>
      </w:r>
      <w:r w:rsidRPr="00054B8F">
        <w:t xml:space="preserve">o not </w:t>
      </w:r>
      <w:r>
        <w:t>prescribe</w:t>
      </w:r>
      <w:r w:rsidRPr="00054B8F">
        <w:t xml:space="preserve"> </w:t>
      </w:r>
      <w:r w:rsidR="000E7A17">
        <w:t>return</w:t>
      </w:r>
      <w:r w:rsidR="000E7A17" w:rsidRPr="00054B8F">
        <w:t xml:space="preserve"> </w:t>
      </w:r>
      <w:r>
        <w:t xml:space="preserve">targets for superannuation funds. </w:t>
      </w:r>
      <w:r w:rsidR="00D93D2C">
        <w:t xml:space="preserve">However, </w:t>
      </w:r>
      <w:proofErr w:type="spellStart"/>
      <w:r w:rsidR="00D93D2C">
        <w:t>MySuper</w:t>
      </w:r>
      <w:proofErr w:type="spellEnd"/>
      <w:r w:rsidR="00D93D2C">
        <w:t xml:space="preserve"> trustees will be required to promote the financial interests of members, and deliver value for money </w:t>
      </w:r>
      <w:r w:rsidR="005B46EC">
        <w:t>over</w:t>
      </w:r>
      <w:r w:rsidR="00D93D2C">
        <w:t xml:space="preserve"> </w:t>
      </w:r>
      <w:r w:rsidR="005B46EC">
        <w:t xml:space="preserve">the </w:t>
      </w:r>
      <w:r w:rsidR="00D93D2C">
        <w:t>long</w:t>
      </w:r>
      <w:r w:rsidR="005B46EC">
        <w:t xml:space="preserve"> </w:t>
      </w:r>
      <w:r w:rsidR="00D93D2C">
        <w:t xml:space="preserve">term. This focus reflects that most members would be expected to remain in superannuation for a considerable period, and </w:t>
      </w:r>
      <w:r w:rsidR="00306483">
        <w:t>therefore</w:t>
      </w:r>
      <w:r w:rsidR="00D93D2C">
        <w:t xml:space="preserve"> it will be generally appropriate to manage returns over the long term (</w:t>
      </w:r>
      <w:r w:rsidR="00D93D2C" w:rsidRPr="009E6557">
        <w:t xml:space="preserve">Shorten </w:t>
      </w:r>
      <w:proofErr w:type="spellStart"/>
      <w:r w:rsidR="00D93D2C" w:rsidRPr="009E6557">
        <w:t>2012</w:t>
      </w:r>
      <w:r w:rsidR="00B442D4">
        <w:t>d</w:t>
      </w:r>
      <w:proofErr w:type="spellEnd"/>
      <w:r w:rsidR="00D93D2C">
        <w:t xml:space="preserve">). </w:t>
      </w:r>
    </w:p>
    <w:p w:rsidR="00D93D2C" w:rsidRDefault="00D93D2C" w:rsidP="007B6F8A">
      <w:pPr>
        <w:pStyle w:val="BodyText"/>
      </w:pPr>
      <w:r>
        <w:t xml:space="preserve">In promoting the financial interests of members of a </w:t>
      </w:r>
      <w:proofErr w:type="spellStart"/>
      <w:r>
        <w:t>MySuper</w:t>
      </w:r>
      <w:proofErr w:type="spellEnd"/>
      <w:r>
        <w:t xml:space="preserve"> product, trustees will be required to focus on </w:t>
      </w:r>
      <w:r w:rsidR="005B46EC">
        <w:t xml:space="preserve">net </w:t>
      </w:r>
      <w:r>
        <w:t xml:space="preserve">returns to members. Returns to members are described as ‘those amounts placed into member accounts through an increase in their unit price or credited to their account, which are a result of investing the member’s balance’ (Shorten </w:t>
      </w:r>
      <w:proofErr w:type="spellStart"/>
      <w:r>
        <w:t>2012</w:t>
      </w:r>
      <w:r w:rsidR="00B442D4">
        <w:t>d</w:t>
      </w:r>
      <w:proofErr w:type="spellEnd"/>
      <w:r>
        <w:t xml:space="preserve">, p. 13). </w:t>
      </w:r>
    </w:p>
    <w:p w:rsidR="00A82784" w:rsidRPr="00215518" w:rsidRDefault="00D93D2C" w:rsidP="007B6F8A">
      <w:pPr>
        <w:pStyle w:val="BodyText"/>
        <w:rPr>
          <w:rStyle w:val="DraftingNote"/>
        </w:rPr>
      </w:pPr>
      <w:r>
        <w:t>T</w:t>
      </w:r>
      <w:r w:rsidR="007B6F8A">
        <w:t>he Stronger Super reforms will</w:t>
      </w:r>
      <w:r w:rsidR="007B6F8A" w:rsidRPr="00D97457">
        <w:t xml:space="preserve"> </w:t>
      </w:r>
      <w:r w:rsidR="007B6F8A">
        <w:t xml:space="preserve">enhance comparability between </w:t>
      </w:r>
      <w:proofErr w:type="spellStart"/>
      <w:r w:rsidR="007B6F8A">
        <w:t>MySuper</w:t>
      </w:r>
      <w:proofErr w:type="spellEnd"/>
      <w:r w:rsidR="007B6F8A">
        <w:t xml:space="preserve"> products (and choice investment options), and </w:t>
      </w:r>
      <w:r w:rsidR="007B6F8A" w:rsidRPr="00D97457">
        <w:t>make performance more transparent</w:t>
      </w:r>
      <w:r w:rsidR="007B6F8A">
        <w:t>.</w:t>
      </w:r>
      <w:r>
        <w:t xml:space="preserve"> </w:t>
      </w:r>
      <w:r w:rsidR="006F7E1D">
        <w:t>Funds regulated by the Australian Prudential Regulation Authority (</w:t>
      </w:r>
      <w:r w:rsidR="007B6F8A">
        <w:t>APRA</w:t>
      </w:r>
      <w:r w:rsidR="006F7E1D">
        <w:t>)</w:t>
      </w:r>
      <w:r w:rsidR="007B6F8A">
        <w:t xml:space="preserve"> will be required to calculate (gross and net) returns in a standardised way for </w:t>
      </w:r>
      <w:proofErr w:type="spellStart"/>
      <w:r w:rsidR="007B6F8A">
        <w:t>MySuper</w:t>
      </w:r>
      <w:proofErr w:type="spellEnd"/>
      <w:r w:rsidR="007B6F8A">
        <w:t xml:space="preserve"> products and choice investment options</w:t>
      </w:r>
      <w:r w:rsidR="007B6F8A" w:rsidRPr="00E35DB7">
        <w:t>.</w:t>
      </w:r>
      <w:r w:rsidR="007B6F8A">
        <w:t xml:space="preserve"> Under legislation currently before Parliament, APRA w</w:t>
      </w:r>
      <w:r w:rsidR="007B6F8A" w:rsidRPr="003B410B">
        <w:t xml:space="preserve">ill be </w:t>
      </w:r>
      <w:r w:rsidR="007B6F8A" w:rsidRPr="009E6557">
        <w:t xml:space="preserve">required to publish </w:t>
      </w:r>
      <w:r w:rsidR="00E62430">
        <w:t>quarterly</w:t>
      </w:r>
      <w:r w:rsidR="00E62430" w:rsidRPr="009E6557">
        <w:t xml:space="preserve"> </w:t>
      </w:r>
      <w:r w:rsidR="007B6F8A" w:rsidRPr="009E6557">
        <w:t xml:space="preserve">information </w:t>
      </w:r>
      <w:r w:rsidR="007E0741">
        <w:t xml:space="preserve">on net returns </w:t>
      </w:r>
      <w:r w:rsidR="007B6F8A" w:rsidRPr="009E6557">
        <w:t xml:space="preserve">for </w:t>
      </w:r>
      <w:proofErr w:type="spellStart"/>
      <w:r w:rsidR="007B6F8A" w:rsidRPr="009E6557">
        <w:t>MySuper</w:t>
      </w:r>
      <w:proofErr w:type="spellEnd"/>
      <w:r w:rsidR="007B6F8A" w:rsidRPr="009E6557">
        <w:t xml:space="preserve"> products </w:t>
      </w:r>
      <w:r w:rsidR="007B6F8A">
        <w:t>(Shorten </w:t>
      </w:r>
      <w:proofErr w:type="spellStart"/>
      <w:r w:rsidR="007B6F8A" w:rsidRPr="009E6557">
        <w:t>2012</w:t>
      </w:r>
      <w:r w:rsidR="007B6F8A">
        <w:t>a</w:t>
      </w:r>
      <w:proofErr w:type="spellEnd"/>
      <w:r w:rsidR="007B6F8A" w:rsidRPr="009E6557">
        <w:t>)</w:t>
      </w:r>
      <w:r w:rsidR="007B6F8A">
        <w:t xml:space="preserve">, </w:t>
      </w:r>
      <w:r w:rsidR="007B6F8A" w:rsidRPr="009E6557">
        <w:t xml:space="preserve">and trustees will </w:t>
      </w:r>
      <w:r w:rsidR="007B6F8A" w:rsidRPr="003B410B">
        <w:t xml:space="preserve">be </w:t>
      </w:r>
      <w:r w:rsidR="007B6F8A" w:rsidRPr="009E6557">
        <w:t xml:space="preserve">required to disclose </w:t>
      </w:r>
      <w:r w:rsidR="007B6F8A">
        <w:t xml:space="preserve">the </w:t>
      </w:r>
      <w:r w:rsidR="007B6F8A" w:rsidRPr="009E6557">
        <w:t xml:space="preserve">information regarding choice products (Australian Government </w:t>
      </w:r>
      <w:proofErr w:type="spellStart"/>
      <w:r w:rsidR="007B6F8A" w:rsidRPr="009E6557">
        <w:t>2010</w:t>
      </w:r>
      <w:r w:rsidR="007B6F8A">
        <w:t>d</w:t>
      </w:r>
      <w:proofErr w:type="spellEnd"/>
      <w:r w:rsidR="007B6F8A" w:rsidRPr="00F75D76">
        <w:t xml:space="preserve">). APRA </w:t>
      </w:r>
      <w:r w:rsidR="00A82784">
        <w:t xml:space="preserve">is currently in consultation on the new </w:t>
      </w:r>
      <w:r w:rsidR="00084186">
        <w:t>reporting s</w:t>
      </w:r>
      <w:r w:rsidR="00A82784">
        <w:t>tandards</w:t>
      </w:r>
      <w:r w:rsidR="004C6414">
        <w:t xml:space="preserve"> for superannuation</w:t>
      </w:r>
      <w:r w:rsidR="00A82784">
        <w:t>, which are due for release in the first half of 2013</w:t>
      </w:r>
      <w:r w:rsidR="0033300D">
        <w:t xml:space="preserve"> (APRA </w:t>
      </w:r>
      <w:proofErr w:type="spellStart"/>
      <w:r w:rsidR="0033300D">
        <w:t>2012g</w:t>
      </w:r>
      <w:proofErr w:type="spellEnd"/>
      <w:r w:rsidR="0033300D">
        <w:t>).</w:t>
      </w:r>
    </w:p>
    <w:p w:rsidR="005B46EC" w:rsidRPr="005B46EC" w:rsidRDefault="007B6F8A" w:rsidP="005B46EC">
      <w:pPr>
        <w:pStyle w:val="BodyText"/>
      </w:pPr>
      <w:r w:rsidRPr="005B46EC">
        <w:t>Further, all APRA</w:t>
      </w:r>
      <w:r w:rsidRPr="005B46EC">
        <w:noBreakHyphen/>
        <w:t xml:space="preserve">regulated funds will be required to disclose the investment return target </w:t>
      </w:r>
      <w:r w:rsidR="005D3336" w:rsidRPr="005B46EC">
        <w:t xml:space="preserve">(over a rolling 10 year period), </w:t>
      </w:r>
      <w:r w:rsidRPr="005B46EC">
        <w:t xml:space="preserve">and the number of times the target has been achieved, together with other information — </w:t>
      </w:r>
      <w:r w:rsidR="003C33D8">
        <w:t>including</w:t>
      </w:r>
      <w:r w:rsidRPr="005B46EC">
        <w:t xml:space="preserve"> the average fees charged in relation to the product on a per member basis </w:t>
      </w:r>
      <w:r w:rsidR="003C33D8">
        <w:t xml:space="preserve">and liquidity information </w:t>
      </w:r>
      <w:r w:rsidRPr="005B46EC">
        <w:t xml:space="preserve">— for their </w:t>
      </w:r>
      <w:proofErr w:type="spellStart"/>
      <w:r w:rsidRPr="005B46EC">
        <w:t>MySuper</w:t>
      </w:r>
      <w:proofErr w:type="spellEnd"/>
      <w:r w:rsidRPr="005B46EC">
        <w:t xml:space="preserve"> and choice investment options, on a product ‘dashboard’ (Shorten </w:t>
      </w:r>
      <w:proofErr w:type="spellStart"/>
      <w:r w:rsidRPr="005B46EC">
        <w:t>2012a</w:t>
      </w:r>
      <w:proofErr w:type="spellEnd"/>
      <w:r w:rsidRPr="005B46EC">
        <w:t xml:space="preserve">). </w:t>
      </w:r>
    </w:p>
    <w:p w:rsidR="00BC62C9" w:rsidRDefault="00BC62C9" w:rsidP="00BC62C9">
      <w:pPr>
        <w:pStyle w:val="Heading3"/>
      </w:pPr>
      <w:r>
        <w:t xml:space="preserve">Scope </w:t>
      </w:r>
      <w:r w:rsidR="00B93436">
        <w:t xml:space="preserve">for </w:t>
      </w:r>
      <w:r w:rsidR="007309BE">
        <w:t xml:space="preserve">additional criteria relating to </w:t>
      </w:r>
      <w:r>
        <w:t>past performance</w:t>
      </w:r>
      <w:r w:rsidR="00A51072">
        <w:t xml:space="preserve"> </w:t>
      </w:r>
    </w:p>
    <w:p w:rsidR="002C05D3" w:rsidRDefault="002C05D3" w:rsidP="009735DE">
      <w:pPr>
        <w:pStyle w:val="BodyText"/>
      </w:pPr>
      <w:r>
        <w:t xml:space="preserve">One key question is </w:t>
      </w:r>
      <w:r w:rsidR="00E07099">
        <w:t xml:space="preserve">the extent to which </w:t>
      </w:r>
      <w:r>
        <w:t xml:space="preserve">past investment performance </w:t>
      </w:r>
      <w:r w:rsidR="009F7CD2">
        <w:t xml:space="preserve">(net returns) </w:t>
      </w:r>
      <w:r>
        <w:t xml:space="preserve">should be taken into account when selecting default </w:t>
      </w:r>
      <w:r w:rsidR="00053AD7">
        <w:t xml:space="preserve">products </w:t>
      </w:r>
      <w:r>
        <w:t xml:space="preserve">for </w:t>
      </w:r>
      <w:r w:rsidR="007E0741">
        <w:t xml:space="preserve">listing </w:t>
      </w:r>
      <w:r>
        <w:t>in modern awards, including whether a particular</w:t>
      </w:r>
      <w:r w:rsidR="00E07099">
        <w:t xml:space="preserve"> absolute or relative</w:t>
      </w:r>
      <w:r>
        <w:t xml:space="preserve"> level of </w:t>
      </w:r>
      <w:r w:rsidR="00E07099">
        <w:t xml:space="preserve">past </w:t>
      </w:r>
      <w:r>
        <w:t xml:space="preserve">performance should be </w:t>
      </w:r>
      <w:r w:rsidR="00306483">
        <w:t>m</w:t>
      </w:r>
      <w:r>
        <w:t xml:space="preserve">et before a </w:t>
      </w:r>
      <w:proofErr w:type="spellStart"/>
      <w:r w:rsidR="00053AD7">
        <w:t>MySuper</w:t>
      </w:r>
      <w:proofErr w:type="spellEnd"/>
      <w:r w:rsidR="00053AD7">
        <w:t xml:space="preserve"> product </w:t>
      </w:r>
      <w:r>
        <w:t>could be considered for inclusion.</w:t>
      </w:r>
    </w:p>
    <w:p w:rsidR="00326F72" w:rsidRDefault="00326F72" w:rsidP="00326F72">
      <w:pPr>
        <w:pStyle w:val="Heading4"/>
        <w:spacing w:before="240"/>
      </w:pPr>
      <w:r>
        <w:lastRenderedPageBreak/>
        <w:t>Participants’ views</w:t>
      </w:r>
    </w:p>
    <w:p w:rsidR="0019425A" w:rsidRDefault="0019425A" w:rsidP="00BC62C9">
      <w:pPr>
        <w:pStyle w:val="BodyText"/>
      </w:pPr>
      <w:r w:rsidRPr="0082769E">
        <w:t>S</w:t>
      </w:r>
      <w:r w:rsidR="00BC62C9" w:rsidRPr="0082769E">
        <w:t>ome inquiry participants suggest</w:t>
      </w:r>
      <w:r w:rsidR="006714D5">
        <w:t>ed</w:t>
      </w:r>
      <w:r w:rsidR="00BC62C9" w:rsidRPr="0082769E">
        <w:t xml:space="preserve"> that overall past </w:t>
      </w:r>
      <w:r w:rsidR="004D2033">
        <w:t>investment</w:t>
      </w:r>
      <w:r w:rsidR="00251A67">
        <w:t xml:space="preserve"> </w:t>
      </w:r>
      <w:r w:rsidR="00BC62C9" w:rsidRPr="0082769E">
        <w:t xml:space="preserve">performance </w:t>
      </w:r>
      <w:r w:rsidR="007E0741">
        <w:t xml:space="preserve">is an important </w:t>
      </w:r>
      <w:r w:rsidR="007924E1">
        <w:t xml:space="preserve">criterion </w:t>
      </w:r>
      <w:r w:rsidR="007E0741">
        <w:t xml:space="preserve">for </w:t>
      </w:r>
      <w:r w:rsidR="00BC62C9" w:rsidRPr="0082769E">
        <w:t>list</w:t>
      </w:r>
      <w:r w:rsidR="007E0741">
        <w:t>ing</w:t>
      </w:r>
      <w:r w:rsidR="00BC62C9" w:rsidRPr="0082769E">
        <w:t xml:space="preserve"> </w:t>
      </w:r>
      <w:proofErr w:type="spellStart"/>
      <w:r w:rsidR="007E0741">
        <w:t>MySuper</w:t>
      </w:r>
      <w:proofErr w:type="spellEnd"/>
      <w:r w:rsidR="007E0741">
        <w:t xml:space="preserve"> products</w:t>
      </w:r>
      <w:r w:rsidR="00BC62C9" w:rsidRPr="0082769E">
        <w:t xml:space="preserve"> in </w:t>
      </w:r>
      <w:r w:rsidR="007E0741">
        <w:t xml:space="preserve">modern </w:t>
      </w:r>
      <w:r w:rsidR="00BC62C9" w:rsidRPr="0082769E">
        <w:t>awards</w:t>
      </w:r>
      <w:r w:rsidR="007E0741">
        <w:t xml:space="preserve"> — either as the prime </w:t>
      </w:r>
      <w:r w:rsidR="007924E1">
        <w:t xml:space="preserve">consideration </w:t>
      </w:r>
      <w:r w:rsidR="007E0741">
        <w:t>or in conjunction with others</w:t>
      </w:r>
      <w:r w:rsidR="00BC62C9" w:rsidRPr="0082769E">
        <w:t xml:space="preserve">. </w:t>
      </w:r>
      <w:r w:rsidR="007E0741">
        <w:t>For example</w:t>
      </w:r>
      <w:r w:rsidR="00BC62C9" w:rsidRPr="0082769E">
        <w:t xml:space="preserve">, </w:t>
      </w:r>
      <w:r w:rsidR="006F7E1D">
        <w:t>the Industry Super Network (</w:t>
      </w:r>
      <w:proofErr w:type="spellStart"/>
      <w:r w:rsidR="007E0741">
        <w:t>ISN</w:t>
      </w:r>
      <w:proofErr w:type="spellEnd"/>
      <w:r w:rsidR="006F7E1D">
        <w:t>)</w:t>
      </w:r>
      <w:r w:rsidR="007E0741" w:rsidRPr="0082769E">
        <w:t xml:space="preserve"> </w:t>
      </w:r>
      <w:r w:rsidR="00BC62C9" w:rsidRPr="0082769E">
        <w:t>propose</w:t>
      </w:r>
      <w:r w:rsidR="006714D5">
        <w:t>d</w:t>
      </w:r>
      <w:r w:rsidR="00BC62C9" w:rsidRPr="0082769E">
        <w:t xml:space="preserve"> that past performance should be the </w:t>
      </w:r>
      <w:r w:rsidRPr="0082769E">
        <w:t xml:space="preserve">prime </w:t>
      </w:r>
      <w:r w:rsidR="007924E1">
        <w:t>criterion</w:t>
      </w:r>
      <w:r w:rsidRPr="0082769E">
        <w:t>:</w:t>
      </w:r>
    </w:p>
    <w:p w:rsidR="007E0741" w:rsidRDefault="0019425A" w:rsidP="00646AB7">
      <w:pPr>
        <w:pStyle w:val="Quote"/>
      </w:pPr>
      <w:r w:rsidRPr="00B473C2">
        <w:t>Recognising that the principal objective of superannuation is improvement in retirement outcomes, long term net returns must, therefore, be the prime criteria on which the suitability of superannuation funds to be named as defaults is judged</w:t>
      </w:r>
      <w:r w:rsidR="005875C0">
        <w:t>.</w:t>
      </w:r>
      <w:r>
        <w:t xml:space="preserve"> (</w:t>
      </w:r>
      <w:r w:rsidR="004E1723">
        <w:t>sub.</w:t>
      </w:r>
      <w:r w:rsidR="00103D9D">
        <w:t> </w:t>
      </w:r>
      <w:r w:rsidR="004E1723">
        <w:t xml:space="preserve">27, </w:t>
      </w:r>
      <w:r>
        <w:t>p.</w:t>
      </w:r>
      <w:r w:rsidR="005875C0">
        <w:t xml:space="preserve"> </w:t>
      </w:r>
      <w:r>
        <w:t>vi)</w:t>
      </w:r>
      <w:r w:rsidR="008C2442">
        <w:t xml:space="preserve"> </w:t>
      </w:r>
    </w:p>
    <w:p w:rsidR="00F21A6B" w:rsidRDefault="005902D9">
      <w:pPr>
        <w:pStyle w:val="BodyText"/>
      </w:pPr>
      <w:proofErr w:type="spellStart"/>
      <w:r>
        <w:t>C</w:t>
      </w:r>
      <w:r w:rsidR="004415B8">
        <w:t>b</w:t>
      </w:r>
      <w:r w:rsidR="00076F25">
        <w:t>us</w:t>
      </w:r>
      <w:proofErr w:type="spellEnd"/>
      <w:r w:rsidR="00076F25">
        <w:t xml:space="preserve"> </w:t>
      </w:r>
      <w:r w:rsidR="009F6F39">
        <w:t>considered</w:t>
      </w:r>
      <w:r w:rsidR="00076F25">
        <w:t xml:space="preserve"> that funds with default status should</w:t>
      </w:r>
      <w:r>
        <w:t xml:space="preserve"> have </w:t>
      </w:r>
      <w:r w:rsidR="00076F25">
        <w:t>‘</w:t>
      </w:r>
      <w:r>
        <w:t>a history of strong investment returns in its default product</w:t>
      </w:r>
      <w:r w:rsidR="00076F25">
        <w:t>’</w:t>
      </w:r>
      <w:r w:rsidR="006714D5">
        <w:t xml:space="preserve"> </w:t>
      </w:r>
      <w:r w:rsidR="00076F25">
        <w:t>(sub. 15, p. 4)</w:t>
      </w:r>
      <w:r w:rsidR="009F6F39">
        <w:t xml:space="preserve">, and </w:t>
      </w:r>
      <w:proofErr w:type="spellStart"/>
      <w:r w:rsidR="00AE1F15">
        <w:t>AustralianSuper</w:t>
      </w:r>
      <w:proofErr w:type="spellEnd"/>
      <w:r w:rsidR="00AE1F15">
        <w:t xml:space="preserve"> </w:t>
      </w:r>
      <w:r w:rsidR="00E07099">
        <w:t xml:space="preserve">considered </w:t>
      </w:r>
      <w:r w:rsidR="0032474E">
        <w:t>that</w:t>
      </w:r>
      <w:r w:rsidR="00F21A6B">
        <w:t>:</w:t>
      </w:r>
    </w:p>
    <w:p w:rsidR="00AE1F15" w:rsidRDefault="00AE1F15" w:rsidP="00646AB7">
      <w:pPr>
        <w:pStyle w:val="Quote"/>
      </w:pPr>
      <w:r>
        <w:t>… the medium to long term net</w:t>
      </w:r>
      <w:r>
        <w:noBreakHyphen/>
        <w:t>of</w:t>
      </w:r>
      <w:r>
        <w:noBreakHyphen/>
        <w:t xml:space="preserve">costs investment performance of the default investment option </w:t>
      </w:r>
      <w:r w:rsidR="00E07099">
        <w:t>[is]</w:t>
      </w:r>
      <w:r>
        <w:t xml:space="preserve"> the single most important criterion to include. This more than any other aspect has the largest impact on a member’s retirement outcome. (sub. 36, p. 5)</w:t>
      </w:r>
    </w:p>
    <w:p w:rsidR="005902D9" w:rsidRDefault="00AE1F15" w:rsidP="00BC62C9">
      <w:pPr>
        <w:pStyle w:val="BodyText"/>
      </w:pPr>
      <w:r>
        <w:t>T</w:t>
      </w:r>
      <w:r w:rsidR="005902D9">
        <w:t xml:space="preserve">he Actuaries Institute argued that past </w:t>
      </w:r>
      <w:r w:rsidR="004D2033">
        <w:t xml:space="preserve">investment </w:t>
      </w:r>
      <w:r w:rsidR="005902D9">
        <w:t xml:space="preserve">performance should be </w:t>
      </w:r>
      <w:r w:rsidR="00A50EA9">
        <w:t>one of a number of considerations</w:t>
      </w:r>
      <w:r w:rsidR="005902D9">
        <w:t>:</w:t>
      </w:r>
    </w:p>
    <w:p w:rsidR="005902D9" w:rsidRDefault="005902D9" w:rsidP="001D5490">
      <w:pPr>
        <w:pStyle w:val="Quote"/>
      </w:pPr>
      <w:r>
        <w:t>Past</w:t>
      </w:r>
      <w:r w:rsidR="00C55214">
        <w:t xml:space="preserve"> investment</w:t>
      </w:r>
      <w:r>
        <w:t xml:space="preserve"> performance (net of investment fees, costs and investment taxes) is one of</w:t>
      </w:r>
      <w:r w:rsidR="00076F25">
        <w:t xml:space="preserve"> the</w:t>
      </w:r>
      <w:r>
        <w:t xml:space="preserve"> many factors that should be considered when assessing the investment capabilities of a fund. (sub. 45, p. 3)</w:t>
      </w:r>
    </w:p>
    <w:p w:rsidR="00BC62C9" w:rsidRDefault="00BC62C9" w:rsidP="00BC62C9">
      <w:pPr>
        <w:pStyle w:val="BodyText"/>
      </w:pPr>
      <w:r>
        <w:t xml:space="preserve">Some participants </w:t>
      </w:r>
      <w:r w:rsidR="004B4CB5">
        <w:t xml:space="preserve">stated </w:t>
      </w:r>
      <w:r w:rsidR="0082769E">
        <w:t xml:space="preserve">that default funds should be selected from a list of the </w:t>
      </w:r>
      <w:r>
        <w:t xml:space="preserve">highest </w:t>
      </w:r>
      <w:r w:rsidR="00E07099">
        <w:t xml:space="preserve">relative </w:t>
      </w:r>
      <w:r>
        <w:t>performing funds</w:t>
      </w:r>
      <w:r w:rsidR="0082769E">
        <w:t>, with selection</w:t>
      </w:r>
      <w:r w:rsidR="006714D5">
        <w:t>,</w:t>
      </w:r>
      <w:r w:rsidR="0082769E">
        <w:t xml:space="preserve"> therefore</w:t>
      </w:r>
      <w:r w:rsidR="006714D5">
        <w:t>,</w:t>
      </w:r>
      <w:r w:rsidR="0082769E">
        <w:t xml:space="preserve"> based on </w:t>
      </w:r>
      <w:r w:rsidR="004D2033">
        <w:t xml:space="preserve">investment </w:t>
      </w:r>
      <w:r w:rsidR="0082769E">
        <w:t>performance relative to industry peers</w:t>
      </w:r>
      <w:r>
        <w:t xml:space="preserve">. For example, </w:t>
      </w:r>
      <w:r w:rsidR="00143161">
        <w:t xml:space="preserve">the </w:t>
      </w:r>
      <w:r w:rsidR="006F7E1D">
        <w:t>Australian Council of Trade Unions (</w:t>
      </w:r>
      <w:r>
        <w:t>ACTU</w:t>
      </w:r>
      <w:r w:rsidR="006F7E1D">
        <w:t>)</w:t>
      </w:r>
      <w:r>
        <w:t xml:space="preserve"> recommend</w:t>
      </w:r>
      <w:r w:rsidR="00857508">
        <w:t>ed</w:t>
      </w:r>
      <w:r>
        <w:t xml:space="preserve"> that:</w:t>
      </w:r>
    </w:p>
    <w:p w:rsidR="00BC62C9" w:rsidRDefault="00BC62C9" w:rsidP="00BC62C9">
      <w:pPr>
        <w:pStyle w:val="Quote"/>
      </w:pPr>
      <w:r w:rsidRPr="006004A8">
        <w:t xml:space="preserve">… only those </w:t>
      </w:r>
      <w:proofErr w:type="spellStart"/>
      <w:r w:rsidRPr="006004A8">
        <w:t>MySuper</w:t>
      </w:r>
      <w:proofErr w:type="spellEnd"/>
      <w:r w:rsidRPr="006004A8">
        <w:t xml:space="preserve"> compliant products that APRA report as being among the top 100 best performing in terms of net returns to members </w:t>
      </w:r>
      <w:r w:rsidR="00076F25">
        <w:t>over an extended period (such as 10 years)</w:t>
      </w:r>
      <w:r w:rsidRPr="006004A8">
        <w:t xml:space="preserve"> can be eligible for inclusion as a default in an award. (sub. 29, p. 11) </w:t>
      </w:r>
    </w:p>
    <w:p w:rsidR="0082769E" w:rsidRPr="002D694C" w:rsidRDefault="00E22714" w:rsidP="001D5490">
      <w:pPr>
        <w:pStyle w:val="BodyText"/>
      </w:pPr>
      <w:r>
        <w:t xml:space="preserve">Along similar lines, </w:t>
      </w:r>
      <w:proofErr w:type="spellStart"/>
      <w:r>
        <w:t>ISN</w:t>
      </w:r>
      <w:proofErr w:type="spellEnd"/>
      <w:r>
        <w:t xml:space="preserve"> </w:t>
      </w:r>
      <w:r w:rsidR="004B4CB5">
        <w:t xml:space="preserve">recommended </w:t>
      </w:r>
      <w:r>
        <w:t xml:space="preserve">that </w:t>
      </w:r>
      <w:r w:rsidR="0029692F">
        <w:t xml:space="preserve">persistently low </w:t>
      </w:r>
      <w:r w:rsidR="00E07099">
        <w:t xml:space="preserve">relative </w:t>
      </w:r>
      <w:r>
        <w:t>net return</w:t>
      </w:r>
      <w:r w:rsidR="0029692F">
        <w:t>s</w:t>
      </w:r>
      <w:r>
        <w:t xml:space="preserve"> </w:t>
      </w:r>
      <w:r w:rsidR="0029692F">
        <w:t>be used to exclude</w:t>
      </w:r>
      <w:r>
        <w:t xml:space="preserve"> </w:t>
      </w:r>
      <w:r w:rsidR="0029692F">
        <w:t>products</w:t>
      </w:r>
      <w:r>
        <w:t xml:space="preserve"> (albeit as </w:t>
      </w:r>
      <w:r w:rsidR="00095FC9">
        <w:t>their</w:t>
      </w:r>
      <w:r>
        <w:t xml:space="preserve"> second preference to </w:t>
      </w:r>
      <w:r w:rsidR="003C1949">
        <w:t>setting a performance benchmark</w:t>
      </w:r>
      <w:r w:rsidR="00466A64">
        <w:t xml:space="preserve"> for including </w:t>
      </w:r>
      <w:r w:rsidR="0029692F">
        <w:t>products</w:t>
      </w:r>
      <w:r w:rsidR="003C1949">
        <w:t>)</w:t>
      </w:r>
      <w:r w:rsidR="00466A64">
        <w:t xml:space="preserve"> (sub. </w:t>
      </w:r>
      <w:proofErr w:type="spellStart"/>
      <w:r w:rsidR="00466A64">
        <w:t>DR62</w:t>
      </w:r>
      <w:proofErr w:type="spellEnd"/>
      <w:r w:rsidR="00466A64">
        <w:t>)</w:t>
      </w:r>
      <w:r w:rsidR="003C1949">
        <w:t>.</w:t>
      </w:r>
      <w:r>
        <w:t xml:space="preserve"> </w:t>
      </w:r>
      <w:r w:rsidR="002A4964">
        <w:t>O</w:t>
      </w:r>
      <w:r w:rsidR="0082769E">
        <w:t xml:space="preserve">ther participants </w:t>
      </w:r>
      <w:r w:rsidR="00AE1F15">
        <w:t xml:space="preserve">expressed </w:t>
      </w:r>
      <w:r w:rsidR="0082769E">
        <w:t xml:space="preserve">concern with such an approach. The Law Council of Australia noted that the resulting list may require frequent updating as a ‘position in a “league table” in terms of </w:t>
      </w:r>
      <w:r w:rsidR="00EB3671">
        <w:t>[</w:t>
      </w:r>
      <w:r w:rsidR="0082769E">
        <w:t>performance</w:t>
      </w:r>
      <w:r w:rsidR="00EB3671">
        <w:t>]</w:t>
      </w:r>
      <w:r w:rsidR="0082769E">
        <w:t xml:space="preserve"> may vary widely over even </w:t>
      </w:r>
      <w:r w:rsidR="00E936A0">
        <w:t>relatively short periods’ (sub. </w:t>
      </w:r>
      <w:r w:rsidR="0082769E">
        <w:t>23, p. 3</w:t>
      </w:r>
      <w:r w:rsidR="0082769E" w:rsidRPr="002D694C">
        <w:t>).</w:t>
      </w:r>
      <w:r w:rsidR="00556B79" w:rsidRPr="002D694C">
        <w:t xml:space="preserve"> </w:t>
      </w:r>
      <w:r w:rsidR="002A4964">
        <w:t>However,</w:t>
      </w:r>
      <w:r w:rsidR="00556B79" w:rsidRPr="002D694C">
        <w:t xml:space="preserve"> </w:t>
      </w:r>
      <w:proofErr w:type="spellStart"/>
      <w:r w:rsidR="00556B79" w:rsidRPr="002D694C">
        <w:t>ISN</w:t>
      </w:r>
      <w:proofErr w:type="spellEnd"/>
      <w:r w:rsidR="00556B79" w:rsidRPr="002D694C">
        <w:t xml:space="preserve"> </w:t>
      </w:r>
      <w:r w:rsidR="00770E47">
        <w:t>argued</w:t>
      </w:r>
      <w:r w:rsidR="00556B79" w:rsidRPr="002D694C">
        <w:t xml:space="preserve"> that updating should not be required</w:t>
      </w:r>
      <w:r w:rsidR="009B1146">
        <w:t xml:space="preserve"> more than annually </w:t>
      </w:r>
      <w:r w:rsidR="00556B79" w:rsidRPr="002D694C">
        <w:t>(</w:t>
      </w:r>
      <w:r w:rsidR="009B1146">
        <w:t>sub. DR 62)</w:t>
      </w:r>
      <w:r w:rsidR="00556B79" w:rsidRPr="002D694C">
        <w:t>.</w:t>
      </w:r>
    </w:p>
    <w:p w:rsidR="004F33A7" w:rsidRPr="00926220" w:rsidRDefault="0082769E" w:rsidP="009835A5">
      <w:pPr>
        <w:pStyle w:val="BodyText"/>
      </w:pPr>
      <w:r w:rsidRPr="009835A5">
        <w:lastRenderedPageBreak/>
        <w:t xml:space="preserve">Another approach is to use a minimum </w:t>
      </w:r>
      <w:r w:rsidRPr="001B3E77">
        <w:t xml:space="preserve">return </w:t>
      </w:r>
      <w:r w:rsidR="0065439F">
        <w:t>threshold</w:t>
      </w:r>
      <w:r w:rsidRPr="001B3E77">
        <w:t xml:space="preserve">. </w:t>
      </w:r>
      <w:proofErr w:type="spellStart"/>
      <w:r w:rsidRPr="001B3E77">
        <w:t>ISN</w:t>
      </w:r>
      <w:proofErr w:type="spellEnd"/>
      <w:r w:rsidRPr="001B3E77">
        <w:t xml:space="preserve"> contend</w:t>
      </w:r>
      <w:r w:rsidR="004F33A7" w:rsidRPr="00926220">
        <w:t>ed</w:t>
      </w:r>
      <w:r w:rsidRPr="00926220">
        <w:t xml:space="preserve"> that an appropriate minimum performance benchmark should be set to ensure</w:t>
      </w:r>
      <w:r w:rsidR="004F33A7" w:rsidRPr="00926220">
        <w:t>:</w:t>
      </w:r>
    </w:p>
    <w:p w:rsidR="0082769E" w:rsidRDefault="004F33A7" w:rsidP="004F33A7">
      <w:pPr>
        <w:pStyle w:val="Quote"/>
      </w:pPr>
      <w:r>
        <w:t xml:space="preserve">… </w:t>
      </w:r>
      <w:r w:rsidR="0082769E">
        <w:t>that only those funds which have demonstrated a capacity to deliver superior returns to members over the long</w:t>
      </w:r>
      <w:r w:rsidR="0082769E">
        <w:noBreakHyphen/>
        <w:t xml:space="preserve">term should be considered for inclusion as default funds </w:t>
      </w:r>
      <w:r>
        <w:t>with</w:t>
      </w:r>
      <w:r w:rsidR="0082769E">
        <w:t>in modern awards</w:t>
      </w:r>
      <w:r>
        <w:t>.</w:t>
      </w:r>
      <w:r w:rsidR="0082769E">
        <w:t xml:space="preserve"> (sub. 27, p. 6)</w:t>
      </w:r>
    </w:p>
    <w:p w:rsidR="00D15179" w:rsidRDefault="00D15179" w:rsidP="00D15179">
      <w:pPr>
        <w:pStyle w:val="BodyText"/>
      </w:pPr>
      <w:r>
        <w:t>Similarly, Eldercare was of the view that:</w:t>
      </w:r>
    </w:p>
    <w:p w:rsidR="00D15179" w:rsidRDefault="00D15179" w:rsidP="00D15179">
      <w:pPr>
        <w:pStyle w:val="Quote"/>
      </w:pPr>
      <w:r>
        <w:t xml:space="preserve">Only those funds that meet a minimum performance threshold should be able to apply to be named as default funds in awards … (sub. </w:t>
      </w:r>
      <w:proofErr w:type="spellStart"/>
      <w:r>
        <w:t>DR57</w:t>
      </w:r>
      <w:proofErr w:type="spellEnd"/>
      <w:r>
        <w:t>, p. 1)</w:t>
      </w:r>
    </w:p>
    <w:p w:rsidR="00BA3D79" w:rsidRDefault="00BA3D79" w:rsidP="00BA3D79">
      <w:pPr>
        <w:pStyle w:val="BodyText"/>
      </w:pPr>
      <w:r>
        <w:t xml:space="preserve">One participant pointed out that an understanding of the drivers of </w:t>
      </w:r>
      <w:r w:rsidR="00660C22">
        <w:t xml:space="preserve">past </w:t>
      </w:r>
      <w:r>
        <w:t xml:space="preserve">performance is necessary </w:t>
      </w:r>
      <w:r w:rsidR="00AE1F15">
        <w:t>if</w:t>
      </w:r>
      <w:r>
        <w:t xml:space="preserve"> past investment performance </w:t>
      </w:r>
      <w:r w:rsidR="00AE1F15">
        <w:t xml:space="preserve">is to guide </w:t>
      </w:r>
      <w:r>
        <w:t>fund selection. The Association of Financial Advisors stated that:</w:t>
      </w:r>
    </w:p>
    <w:p w:rsidR="00BA3D79" w:rsidRDefault="00BA3D79" w:rsidP="00780ECE">
      <w:pPr>
        <w:pStyle w:val="Quote"/>
      </w:pPr>
      <w:r>
        <w:t>What is essential is an understanding of the reasons for historical out-performance and whether this is genuine and whether it is sustai</w:t>
      </w:r>
      <w:r w:rsidR="00131C10">
        <w:t>nable and risk effective. (sub. </w:t>
      </w:r>
      <w:proofErr w:type="spellStart"/>
      <w:r>
        <w:t>DR73</w:t>
      </w:r>
      <w:proofErr w:type="spellEnd"/>
      <w:r>
        <w:t>,</w:t>
      </w:r>
      <w:r w:rsidR="00131C10">
        <w:t> </w:t>
      </w:r>
      <w:r>
        <w:t>p.</w:t>
      </w:r>
      <w:r w:rsidR="00131C10">
        <w:t> </w:t>
      </w:r>
      <w:r>
        <w:t>3)</w:t>
      </w:r>
    </w:p>
    <w:p w:rsidR="00DD3755" w:rsidRDefault="009310AD" w:rsidP="00030A14">
      <w:pPr>
        <w:pStyle w:val="BodyText"/>
      </w:pPr>
      <w:r>
        <w:t xml:space="preserve">A number of </w:t>
      </w:r>
      <w:r w:rsidR="0093752A">
        <w:t>participants</w:t>
      </w:r>
      <w:r w:rsidR="00F400E0">
        <w:t xml:space="preserve"> </w:t>
      </w:r>
      <w:r w:rsidR="00AE1F15">
        <w:t xml:space="preserve">considered that </w:t>
      </w:r>
      <w:r w:rsidR="00F400E0">
        <w:t xml:space="preserve">past performance </w:t>
      </w:r>
      <w:r w:rsidR="00AE1F15">
        <w:t xml:space="preserve">is </w:t>
      </w:r>
      <w:r w:rsidR="00F400E0">
        <w:t>no indicator o</w:t>
      </w:r>
      <w:r w:rsidR="00AE1F15">
        <w:t>f</w:t>
      </w:r>
      <w:r w:rsidR="00F400E0">
        <w:t xml:space="preserve"> future performance, and</w:t>
      </w:r>
      <w:r w:rsidR="0093752A">
        <w:t xml:space="preserve"> did not support </w:t>
      </w:r>
      <w:r w:rsidR="00AE1F15">
        <w:t xml:space="preserve">its </w:t>
      </w:r>
      <w:r w:rsidR="0093752A">
        <w:t xml:space="preserve">use as a </w:t>
      </w:r>
      <w:r w:rsidR="00A50EA9">
        <w:t xml:space="preserve">criterion </w:t>
      </w:r>
      <w:r w:rsidR="00F400E0">
        <w:t xml:space="preserve">for </w:t>
      </w:r>
      <w:r w:rsidR="00A50EA9">
        <w:t xml:space="preserve">listing in modern awards </w:t>
      </w:r>
      <w:r w:rsidR="0093752A">
        <w:t>(</w:t>
      </w:r>
      <w:r w:rsidR="009A4CC8">
        <w:t>A</w:t>
      </w:r>
      <w:r w:rsidR="002A0785">
        <w:t xml:space="preserve">ssociation of </w:t>
      </w:r>
      <w:r w:rsidR="009A4CC8">
        <w:t>F</w:t>
      </w:r>
      <w:r w:rsidR="002A0785">
        <w:t xml:space="preserve">inancial </w:t>
      </w:r>
      <w:r w:rsidR="009A4CC8">
        <w:t>A</w:t>
      </w:r>
      <w:r w:rsidR="002A0785">
        <w:t>dvisors</w:t>
      </w:r>
      <w:r w:rsidR="009A4CC8">
        <w:t xml:space="preserve">, </w:t>
      </w:r>
      <w:r w:rsidR="00C278CB">
        <w:t xml:space="preserve">sub. </w:t>
      </w:r>
      <w:proofErr w:type="spellStart"/>
      <w:r w:rsidR="00C278CB">
        <w:t>DR73</w:t>
      </w:r>
      <w:proofErr w:type="spellEnd"/>
      <w:r w:rsidR="009A4CC8">
        <w:t xml:space="preserve">; </w:t>
      </w:r>
      <w:proofErr w:type="spellStart"/>
      <w:r w:rsidR="0093752A">
        <w:t>CSSA</w:t>
      </w:r>
      <w:proofErr w:type="spellEnd"/>
      <w:r w:rsidR="0093752A">
        <w:t xml:space="preserve">, sub. 35; </w:t>
      </w:r>
      <w:proofErr w:type="spellStart"/>
      <w:r w:rsidR="00380914">
        <w:t>FSC</w:t>
      </w:r>
      <w:proofErr w:type="spellEnd"/>
      <w:r w:rsidR="00380914">
        <w:t xml:space="preserve">, sub. 30; </w:t>
      </w:r>
      <w:proofErr w:type="spellStart"/>
      <w:r w:rsidR="0093752A">
        <w:t>Tasplan</w:t>
      </w:r>
      <w:proofErr w:type="spellEnd"/>
      <w:r w:rsidR="0093752A">
        <w:t xml:space="preserve">, sub. 6). For example, </w:t>
      </w:r>
      <w:proofErr w:type="spellStart"/>
      <w:r w:rsidR="0093752A">
        <w:t>CSSA</w:t>
      </w:r>
      <w:proofErr w:type="spellEnd"/>
      <w:r w:rsidR="0093752A">
        <w:t xml:space="preserve"> stated that</w:t>
      </w:r>
      <w:r w:rsidR="00030A14">
        <w:t xml:space="preserve"> past performance is ‘</w:t>
      </w:r>
      <w:r w:rsidR="00DD3755">
        <w:t>a very dangerous thing to base any sort of recommendation on</w:t>
      </w:r>
      <w:r w:rsidR="00030A14">
        <w:t xml:space="preserve">’ </w:t>
      </w:r>
      <w:r w:rsidR="00DD3755">
        <w:t>(trans.</w:t>
      </w:r>
      <w:r w:rsidR="00BF2AEF">
        <w:t>, p. 141)</w:t>
      </w:r>
      <w:r w:rsidR="00030A14">
        <w:t>, and that:</w:t>
      </w:r>
    </w:p>
    <w:p w:rsidR="0093752A" w:rsidRDefault="00BF2AEF" w:rsidP="00BA3D79">
      <w:pPr>
        <w:pStyle w:val="Quote"/>
      </w:pPr>
      <w:r>
        <w:t>…</w:t>
      </w:r>
      <w:r w:rsidR="0093752A">
        <w:t xml:space="preserve"> history shows us that a fund which outperforms in one year may not do so in the next … (sub.</w:t>
      </w:r>
      <w:r w:rsidR="00CC701A">
        <w:t> </w:t>
      </w:r>
      <w:r w:rsidR="0093752A">
        <w:t>35, appendix C, p. 5)</w:t>
      </w:r>
    </w:p>
    <w:p w:rsidR="00770E47" w:rsidRPr="00441E9E" w:rsidRDefault="00770E47" w:rsidP="00770E47">
      <w:pPr>
        <w:pStyle w:val="BodyText"/>
      </w:pPr>
      <w:r w:rsidRPr="00441E9E">
        <w:t xml:space="preserve">One participant considered that published return data may be unreliable, resulting in erroneous and unfair ranking of funds. Rural </w:t>
      </w:r>
      <w:r w:rsidR="008A1644">
        <w:t>and</w:t>
      </w:r>
      <w:r w:rsidRPr="00441E9E">
        <w:t xml:space="preserve"> Regional Promotions stated that:</w:t>
      </w:r>
    </w:p>
    <w:p w:rsidR="00770E47" w:rsidRDefault="00770E47" w:rsidP="006A19B4">
      <w:pPr>
        <w:pStyle w:val="Quote"/>
      </w:pPr>
      <w:r>
        <w:t xml:space="preserve">Whilst </w:t>
      </w:r>
      <w:proofErr w:type="spellStart"/>
      <w:r>
        <w:t>ASIC</w:t>
      </w:r>
      <w:proofErr w:type="spellEnd"/>
      <w:r>
        <w:t xml:space="preserve"> for example publish reports of fund performance these reports are usually provided to </w:t>
      </w:r>
      <w:proofErr w:type="spellStart"/>
      <w:r>
        <w:t>ASIC</w:t>
      </w:r>
      <w:proofErr w:type="spellEnd"/>
      <w:r>
        <w:t xml:space="preserve"> by the individual funds, also it does not appear to address the issue of published returns versus crediting rates. (</w:t>
      </w:r>
      <w:proofErr w:type="spellStart"/>
      <w:r>
        <w:t>DR86</w:t>
      </w:r>
      <w:proofErr w:type="spellEnd"/>
      <w:r>
        <w:t>, p. 1)</w:t>
      </w:r>
    </w:p>
    <w:p w:rsidR="007A3298" w:rsidRDefault="0022792B" w:rsidP="007A3298">
      <w:pPr>
        <w:pStyle w:val="BodyText"/>
      </w:pPr>
      <w:r>
        <w:t xml:space="preserve">If a past performance threshold was implemented, trustees might adapt their investment </w:t>
      </w:r>
      <w:r w:rsidR="0024076C">
        <w:t>return target</w:t>
      </w:r>
      <w:r>
        <w:t xml:space="preserve"> </w:t>
      </w:r>
      <w:r w:rsidR="0024076C">
        <w:t xml:space="preserve">to maximise the chance of their </w:t>
      </w:r>
      <w:proofErr w:type="spellStart"/>
      <w:r w:rsidR="0024076C">
        <w:t>MySuper</w:t>
      </w:r>
      <w:proofErr w:type="spellEnd"/>
      <w:r w:rsidR="0024076C">
        <w:t xml:space="preserve"> product being listed</w:t>
      </w:r>
      <w:r>
        <w:t>. This</w:t>
      </w:r>
      <w:r w:rsidR="007A3298">
        <w:t xml:space="preserve"> may have unintended consequences. The Actuaries Institute noted:</w:t>
      </w:r>
    </w:p>
    <w:p w:rsidR="007A3298" w:rsidRPr="007A3298" w:rsidRDefault="007A3298">
      <w:pPr>
        <w:pStyle w:val="Quote"/>
      </w:pPr>
      <w:r>
        <w:t xml:space="preserve">… </w:t>
      </w:r>
      <w:r w:rsidR="004361AC">
        <w:t xml:space="preserve">the imposition of </w:t>
      </w:r>
      <w:r>
        <w:t>a target level of investment performance would likely constrain the level of risk that a fund would then be prepared to accept, which would potentially lead to lower investment returns over the long term. (sub. 45, p. 3)</w:t>
      </w:r>
    </w:p>
    <w:p w:rsidR="0093752A" w:rsidRDefault="0093752A" w:rsidP="0093752A">
      <w:pPr>
        <w:pStyle w:val="Heading5"/>
      </w:pPr>
      <w:r>
        <w:t xml:space="preserve">Past performance in </w:t>
      </w:r>
      <w:r w:rsidR="00590E0F">
        <w:t xml:space="preserve">the </w:t>
      </w:r>
      <w:r>
        <w:t>context</w:t>
      </w:r>
      <w:r w:rsidR="00770E47">
        <w:t xml:space="preserve"> of </w:t>
      </w:r>
      <w:r w:rsidR="00590E0F">
        <w:t xml:space="preserve">meeting </w:t>
      </w:r>
      <w:r w:rsidR="00770E47">
        <w:t xml:space="preserve">investment </w:t>
      </w:r>
      <w:r w:rsidR="00590E0F">
        <w:t>objectives</w:t>
      </w:r>
    </w:p>
    <w:p w:rsidR="00F4145B" w:rsidRPr="00F6388B" w:rsidRDefault="00F4145B" w:rsidP="00F6388B">
      <w:pPr>
        <w:pStyle w:val="BodyText"/>
      </w:pPr>
      <w:r w:rsidRPr="00F6388B">
        <w:t xml:space="preserve">Some participants took the view that past performance should be taken into account, but in the context of a fund’s stated investment objectives, so that an assessment of </w:t>
      </w:r>
      <w:r w:rsidRPr="00F6388B">
        <w:lastRenderedPageBreak/>
        <w:t>the ability of fund trustees to meet their objectives, albeit in the past, could be made.</w:t>
      </w:r>
      <w:r w:rsidR="00F6388B">
        <w:t xml:space="preserve"> </w:t>
      </w:r>
      <w:r w:rsidR="001977AF">
        <w:t>The Australian Institute of Superannuation Trustees</w:t>
      </w:r>
      <w:r w:rsidR="001977AF" w:rsidRPr="00F6388B">
        <w:t xml:space="preserve"> </w:t>
      </w:r>
      <w:r w:rsidRPr="00F6388B">
        <w:t>considered that</w:t>
      </w:r>
      <w:r w:rsidR="00590E0F" w:rsidRPr="00590E0F">
        <w:t xml:space="preserve"> </w:t>
      </w:r>
      <w:r w:rsidR="00590E0F">
        <w:t>products with default status should be selected on the basis of</w:t>
      </w:r>
      <w:r w:rsidRPr="00F6388B">
        <w:t>:</w:t>
      </w:r>
    </w:p>
    <w:p w:rsidR="007E786D" w:rsidRDefault="00590E0F" w:rsidP="001D5490">
      <w:pPr>
        <w:pStyle w:val="Quote"/>
      </w:pPr>
      <w:r>
        <w:t>…</w:t>
      </w:r>
      <w:r w:rsidR="007E786D">
        <w:t xml:space="preserve"> past performance </w:t>
      </w:r>
      <w:r w:rsidR="005E6388">
        <w:t xml:space="preserve">based </w:t>
      </w:r>
      <w:r w:rsidR="007E786D">
        <w:t xml:space="preserve">on 10 year rolling net returns, assessed against each fund’s investment objectives and target returns. (sub. 20, p. </w:t>
      </w:r>
      <w:r w:rsidR="005E6388">
        <w:t>4</w:t>
      </w:r>
      <w:r w:rsidR="007E786D">
        <w:t>)</w:t>
      </w:r>
    </w:p>
    <w:p w:rsidR="00F4145B" w:rsidRDefault="00BB03B5" w:rsidP="00F4145B">
      <w:pPr>
        <w:pStyle w:val="BodyText"/>
      </w:pPr>
      <w:r>
        <w:t>Similar views were put by REST</w:t>
      </w:r>
      <w:r w:rsidR="004415B8">
        <w:t xml:space="preserve"> Industry Super</w:t>
      </w:r>
      <w:r>
        <w:t xml:space="preserve">, </w:t>
      </w:r>
      <w:r w:rsidR="006714D5">
        <w:t xml:space="preserve">which </w:t>
      </w:r>
      <w:r w:rsidR="0087167A">
        <w:t xml:space="preserve">stated </w:t>
      </w:r>
      <w:r>
        <w:t>that:</w:t>
      </w:r>
    </w:p>
    <w:p w:rsidR="00B71B7A" w:rsidRDefault="002A1CE7" w:rsidP="00C10517">
      <w:pPr>
        <w:pStyle w:val="Quote"/>
      </w:pPr>
      <w:r>
        <w:t>T</w:t>
      </w:r>
      <w:r w:rsidR="00BB03B5">
        <w:t>he primary focus should be on the long</w:t>
      </w:r>
      <w:r w:rsidR="00BB03B5">
        <w:noBreakHyphen/>
        <w:t>term performance of funds against their stated investment objectives. Relative performance can also be a useful tool for assessing historical performance but should only be a secondary consideration. (sub. 47, p. 36)</w:t>
      </w:r>
    </w:p>
    <w:p w:rsidR="00770E47" w:rsidRDefault="00770E47">
      <w:pPr>
        <w:pStyle w:val="Heading5"/>
      </w:pPr>
      <w:r>
        <w:t>A long term view of performance</w:t>
      </w:r>
    </w:p>
    <w:p w:rsidR="0093752A" w:rsidRDefault="00590E0F" w:rsidP="00D91AD8">
      <w:pPr>
        <w:pStyle w:val="BodyText"/>
      </w:pPr>
      <w:r>
        <w:t>P</w:t>
      </w:r>
      <w:r w:rsidR="0093752A">
        <w:t>articipants regarded the period over which past performance is measured to be important. The Actuaries Institute argued that the past performance measure adopted should be ‘aimed at reducing scope for trends in relative performance to be distorted by … performance in recent years’ (sub. 45, p. 3). In the cont</w:t>
      </w:r>
      <w:r w:rsidR="008A1644">
        <w:t>ext of past performance, Rural and</w:t>
      </w:r>
      <w:r w:rsidR="0093752A">
        <w:t xml:space="preserve"> Regional Promotions stated that:</w:t>
      </w:r>
    </w:p>
    <w:p w:rsidR="0093752A" w:rsidRDefault="0093752A" w:rsidP="00D91AD8">
      <w:pPr>
        <w:pStyle w:val="Quote"/>
      </w:pPr>
      <w:r>
        <w:t>[s]</w:t>
      </w:r>
      <w:proofErr w:type="spellStart"/>
      <w:r>
        <w:t>uperannuation</w:t>
      </w:r>
      <w:proofErr w:type="spellEnd"/>
      <w:r>
        <w:t xml:space="preserve"> is a long term investment and quarterly performance reports can lead to short term speculative investing by fund managers … (sub. </w:t>
      </w:r>
      <w:proofErr w:type="spellStart"/>
      <w:r>
        <w:t>DR86</w:t>
      </w:r>
      <w:proofErr w:type="spellEnd"/>
      <w:r>
        <w:t>, p. 3)</w:t>
      </w:r>
    </w:p>
    <w:p w:rsidR="005E049D" w:rsidRDefault="0093752A" w:rsidP="005E049D">
      <w:pPr>
        <w:pStyle w:val="BodyText"/>
      </w:pPr>
      <w:r>
        <w:t>I</w:t>
      </w:r>
      <w:r w:rsidR="005E049D">
        <w:t xml:space="preserve">n this vein, </w:t>
      </w:r>
      <w:proofErr w:type="spellStart"/>
      <w:r w:rsidR="005E049D">
        <w:t>ISN</w:t>
      </w:r>
      <w:proofErr w:type="spellEnd"/>
      <w:r w:rsidR="005E049D">
        <w:t xml:space="preserve"> contended that</w:t>
      </w:r>
      <w:r w:rsidR="00BE0774">
        <w:t xml:space="preserve"> they support</w:t>
      </w:r>
      <w:r>
        <w:t xml:space="preserve"> </w:t>
      </w:r>
      <w:r w:rsidR="005E049D" w:rsidRPr="002D694C">
        <w:t>‘</w:t>
      </w:r>
      <w:r w:rsidR="00FC5E48">
        <w:t xml:space="preserve">the inclusion in awards of funds that can demonstrate high net returns over the </w:t>
      </w:r>
      <w:r w:rsidR="00FC5E48" w:rsidRPr="00244237">
        <w:rPr>
          <w:i/>
        </w:rPr>
        <w:t>long</w:t>
      </w:r>
      <w:r w:rsidR="00FC5E48" w:rsidRPr="00244237">
        <w:rPr>
          <w:i/>
        </w:rPr>
        <w:noBreakHyphen/>
        <w:t>term</w:t>
      </w:r>
      <w:r w:rsidR="005E049D" w:rsidRPr="002D694C">
        <w:t>’ (</w:t>
      </w:r>
      <w:r w:rsidR="005E049D">
        <w:t xml:space="preserve">sub. </w:t>
      </w:r>
      <w:proofErr w:type="spellStart"/>
      <w:r w:rsidR="005E049D" w:rsidRPr="002D694C">
        <w:t>DR62</w:t>
      </w:r>
      <w:proofErr w:type="spellEnd"/>
      <w:r w:rsidR="005E049D" w:rsidRPr="002D694C">
        <w:t>, p. 1</w:t>
      </w:r>
      <w:r w:rsidR="00FC5E48">
        <w:t>7</w:t>
      </w:r>
      <w:r w:rsidR="000B53A4">
        <w:t>, emphasis added</w:t>
      </w:r>
      <w:r w:rsidR="005E049D" w:rsidRPr="002D694C">
        <w:t>).</w:t>
      </w:r>
      <w:r w:rsidR="005E049D">
        <w:t xml:space="preserve"> </w:t>
      </w:r>
      <w:proofErr w:type="spellStart"/>
      <w:r w:rsidR="00EB3671">
        <w:t>l</w:t>
      </w:r>
      <w:r w:rsidR="005E049D">
        <w:t>egalsuper</w:t>
      </w:r>
      <w:proofErr w:type="spellEnd"/>
      <w:r w:rsidR="005E049D">
        <w:t xml:space="preserve"> contended that:</w:t>
      </w:r>
    </w:p>
    <w:p w:rsidR="005E049D" w:rsidRDefault="005E049D" w:rsidP="00D91AD8">
      <w:pPr>
        <w:pStyle w:val="Quote"/>
      </w:pPr>
      <w:r>
        <w:t>… long-term investment performance should be considered over 10 years. (sub. 19, p.</w:t>
      </w:r>
      <w:r w:rsidR="00032E62">
        <w:t> </w:t>
      </w:r>
      <w:r>
        <w:t>4)</w:t>
      </w:r>
    </w:p>
    <w:p w:rsidR="00E53FD5" w:rsidRDefault="00E53FD5" w:rsidP="00E53FD5">
      <w:pPr>
        <w:pStyle w:val="Heading5"/>
      </w:pPr>
      <w:r>
        <w:t>The past performance</w:t>
      </w:r>
      <w:r w:rsidR="005E049D">
        <w:t xml:space="preserve"> evidence base</w:t>
      </w:r>
      <w:r w:rsidR="00336650">
        <w:t>: the question of persistence</w:t>
      </w:r>
    </w:p>
    <w:p w:rsidR="00E53FD5" w:rsidRPr="001C4981" w:rsidRDefault="001C4981" w:rsidP="002F2A6D">
      <w:pPr>
        <w:pStyle w:val="BodyText"/>
      </w:pPr>
      <w:r w:rsidRPr="001C4981">
        <w:t xml:space="preserve">Several participants </w:t>
      </w:r>
      <w:r w:rsidR="00CA681F">
        <w:t>argued that research supports the use of past performance as an indicator of future returns.</w:t>
      </w:r>
      <w:r w:rsidR="00E53FD5" w:rsidRPr="001C4981">
        <w:t xml:space="preserve"> </w:t>
      </w:r>
      <w:r w:rsidR="00103014">
        <w:t>The ACTU contended that there is ‘… a statistically significant level of persistence in fund returns’ (though they noted that past performance does not guarantee similar future performance) (sub. </w:t>
      </w:r>
      <w:proofErr w:type="spellStart"/>
      <w:r w:rsidR="00103014">
        <w:t>DR77</w:t>
      </w:r>
      <w:proofErr w:type="spellEnd"/>
      <w:r w:rsidR="00103014">
        <w:t>, p. 5).</w:t>
      </w:r>
      <w:r w:rsidR="00D554C1">
        <w:t xml:space="preserve"> </w:t>
      </w:r>
      <w:proofErr w:type="spellStart"/>
      <w:r w:rsidR="00E53FD5" w:rsidRPr="001C4981">
        <w:t>ISN</w:t>
      </w:r>
      <w:proofErr w:type="spellEnd"/>
      <w:r w:rsidR="00E53FD5" w:rsidRPr="001C4981">
        <w:t xml:space="preserve"> stated that</w:t>
      </w:r>
      <w:r w:rsidR="00CA681F">
        <w:t xml:space="preserve"> a range of research (including work commissioned by them) found that</w:t>
      </w:r>
      <w:r w:rsidR="00E53FD5" w:rsidRPr="001C4981">
        <w:t>:</w:t>
      </w:r>
    </w:p>
    <w:p w:rsidR="00E53FD5" w:rsidRDefault="00E53FD5" w:rsidP="00E53FD5">
      <w:pPr>
        <w:pStyle w:val="Quote"/>
      </w:pPr>
      <w:r>
        <w:t>… persistence in relative returns has been a feature of the Australian superannuation market. Most relatively strong performers in one period are relatively strong performers in subsequent periods. (</w:t>
      </w:r>
      <w:r w:rsidR="00EB3671">
        <w:t xml:space="preserve">sub. </w:t>
      </w:r>
      <w:proofErr w:type="spellStart"/>
      <w:r>
        <w:t>DR62</w:t>
      </w:r>
      <w:proofErr w:type="spellEnd"/>
      <w:r>
        <w:t>, p. 11)</w:t>
      </w:r>
    </w:p>
    <w:p w:rsidR="00D51BBA" w:rsidRDefault="00E53FD5" w:rsidP="00D51BBA">
      <w:pPr>
        <w:pStyle w:val="BodyText"/>
      </w:pPr>
      <w:proofErr w:type="spellStart"/>
      <w:r>
        <w:t>Cbus</w:t>
      </w:r>
      <w:proofErr w:type="spellEnd"/>
      <w:r>
        <w:t xml:space="preserve"> </w:t>
      </w:r>
      <w:r w:rsidR="00CA681F">
        <w:t xml:space="preserve">argued </w:t>
      </w:r>
      <w:r>
        <w:t>that the performance persistence evidence provides an</w:t>
      </w:r>
      <w:r w:rsidRPr="00142331">
        <w:t xml:space="preserve"> </w:t>
      </w:r>
      <w:r>
        <w:t>adequate basis for</w:t>
      </w:r>
      <w:r w:rsidR="00CA681F">
        <w:t xml:space="preserve"> using</w:t>
      </w:r>
      <w:r>
        <w:t xml:space="preserve"> past performance as a stand</w:t>
      </w:r>
      <w:r>
        <w:noBreakHyphen/>
        <w:t>alone factor in selecting default funds (</w:t>
      </w:r>
      <w:r w:rsidR="00EB3671">
        <w:t>sub. </w:t>
      </w:r>
      <w:proofErr w:type="spellStart"/>
      <w:r>
        <w:t>DR81</w:t>
      </w:r>
      <w:proofErr w:type="spellEnd"/>
      <w:r>
        <w:t xml:space="preserve">). </w:t>
      </w:r>
    </w:p>
    <w:p w:rsidR="004B5696" w:rsidRDefault="004B5696" w:rsidP="004B5696">
      <w:pPr>
        <w:pStyle w:val="Heading4"/>
      </w:pPr>
      <w:r>
        <w:lastRenderedPageBreak/>
        <w:t>The Commission’s view</w:t>
      </w:r>
    </w:p>
    <w:p w:rsidR="004B5696" w:rsidRPr="004B5696" w:rsidRDefault="004B5696" w:rsidP="004B5696">
      <w:pPr>
        <w:pStyle w:val="BodyText"/>
      </w:pPr>
      <w:r w:rsidRPr="00B8349D">
        <w:t xml:space="preserve">The Commission recognises that </w:t>
      </w:r>
      <w:r w:rsidR="00D06329">
        <w:t xml:space="preserve">using </w:t>
      </w:r>
      <w:r w:rsidRPr="00B8349D">
        <w:t xml:space="preserve">past </w:t>
      </w:r>
      <w:r w:rsidR="004D2033">
        <w:t xml:space="preserve">investment </w:t>
      </w:r>
      <w:r w:rsidRPr="00B8349D">
        <w:t>performance</w:t>
      </w:r>
      <w:r w:rsidR="0066111D">
        <w:t xml:space="preserve"> </w:t>
      </w:r>
      <w:r w:rsidR="00D06329">
        <w:t xml:space="preserve">as </w:t>
      </w:r>
      <w:r w:rsidR="0066111D">
        <w:t xml:space="preserve">a </w:t>
      </w:r>
      <w:r w:rsidR="00D06329">
        <w:t>prescriptive criterion</w:t>
      </w:r>
      <w:r w:rsidR="0066111D" w:rsidRPr="00B8349D">
        <w:t xml:space="preserve"> </w:t>
      </w:r>
      <w:r w:rsidR="008817DE">
        <w:t xml:space="preserve">when </w:t>
      </w:r>
      <w:r w:rsidRPr="00B8349D">
        <w:t>list</w:t>
      </w:r>
      <w:r w:rsidR="008817DE">
        <w:t>ing</w:t>
      </w:r>
      <w:r w:rsidRPr="00B8349D">
        <w:t xml:space="preserve"> default </w:t>
      </w:r>
      <w:r w:rsidR="00053AD7">
        <w:t>products</w:t>
      </w:r>
      <w:r w:rsidR="00053AD7" w:rsidRPr="00B8349D">
        <w:t xml:space="preserve"> </w:t>
      </w:r>
      <w:r w:rsidRPr="00B8349D">
        <w:t xml:space="preserve">in awards is intuitively appealing, but </w:t>
      </w:r>
      <w:r>
        <w:t xml:space="preserve">has concerns about </w:t>
      </w:r>
      <w:r w:rsidRPr="00B8349D">
        <w:t xml:space="preserve">using past performance </w:t>
      </w:r>
      <w:r>
        <w:t>as a</w:t>
      </w:r>
      <w:r w:rsidR="00EE5F8D">
        <w:t xml:space="preserve"> stand-alone</w:t>
      </w:r>
      <w:r>
        <w:t xml:space="preserve"> basis for selection</w:t>
      </w:r>
      <w:r w:rsidRPr="00B8349D">
        <w:t>.</w:t>
      </w:r>
    </w:p>
    <w:p w:rsidR="00DF67DC" w:rsidRDefault="00EE5F8D" w:rsidP="00E05561">
      <w:pPr>
        <w:pStyle w:val="BodyText"/>
      </w:pPr>
      <w:r>
        <w:t xml:space="preserve">Regulators globally have recognised the risks to investors of using </w:t>
      </w:r>
      <w:r w:rsidR="00DF67DC">
        <w:t>past performance as a predictor of future performance</w:t>
      </w:r>
      <w:r>
        <w:t>. This</w:t>
      </w:r>
      <w:r w:rsidR="00DF67DC">
        <w:t xml:space="preserve"> is reflected in the </w:t>
      </w:r>
      <w:proofErr w:type="spellStart"/>
      <w:r w:rsidR="00DF67DC">
        <w:t>ASIC</w:t>
      </w:r>
      <w:proofErr w:type="spellEnd"/>
      <w:r w:rsidR="00DF67DC">
        <w:t xml:space="preserve"> requirement that a declaration to this effect is included in promotional material for financial products and services (</w:t>
      </w:r>
      <w:proofErr w:type="spellStart"/>
      <w:r w:rsidR="00DF67DC">
        <w:t>ASIC</w:t>
      </w:r>
      <w:proofErr w:type="spellEnd"/>
      <w:r w:rsidR="00DF67DC">
        <w:t xml:space="preserve"> 2003). </w:t>
      </w:r>
      <w:r w:rsidR="0092680D">
        <w:t xml:space="preserve">The nature of past </w:t>
      </w:r>
      <w:r w:rsidR="0092680D" w:rsidRPr="00B07BA7">
        <w:t>performance as an ‘unreliable predictor’ was reflected in practice by the Australian I</w:t>
      </w:r>
      <w:r w:rsidR="00BD046C" w:rsidRPr="00B07BA7">
        <w:t>ndustrial Relations Commission</w:t>
      </w:r>
      <w:r w:rsidR="0092680D" w:rsidRPr="00B07BA7">
        <w:t xml:space="preserve"> in deciding which default funds to list in modern awards</w:t>
      </w:r>
      <w:r w:rsidR="00A56DAF" w:rsidRPr="00B07BA7">
        <w:t xml:space="preserve"> (chapter 7)</w:t>
      </w:r>
      <w:r w:rsidR="0092680D" w:rsidRPr="00B07BA7">
        <w:t>.</w:t>
      </w:r>
      <w:r w:rsidR="00A56DAF" w:rsidRPr="00B07BA7">
        <w:t xml:space="preserve"> </w:t>
      </w:r>
      <w:r w:rsidR="00DF67DC" w:rsidRPr="00B07BA7">
        <w:t>This conclusion is supported by an extensive body of research literature revealing a lack of consensus on performance persistence</w:t>
      </w:r>
      <w:r w:rsidRPr="00B07BA7">
        <w:t xml:space="preserve"> among both highly and poorly </w:t>
      </w:r>
      <w:r w:rsidR="000E06FF" w:rsidRPr="00B07BA7">
        <w:t>performing funds</w:t>
      </w:r>
      <w:r w:rsidRPr="00B07BA7">
        <w:t xml:space="preserve">. </w:t>
      </w:r>
      <w:r w:rsidR="009A76C9" w:rsidRPr="00B07BA7">
        <w:t>Alt</w:t>
      </w:r>
      <w:r w:rsidR="00733D85" w:rsidRPr="00B07BA7">
        <w:t>hough some studies d</w:t>
      </w:r>
      <w:r w:rsidR="00867CB4" w:rsidRPr="00B07BA7">
        <w:t xml:space="preserve">o find persistence among </w:t>
      </w:r>
      <w:r w:rsidRPr="00B07BA7">
        <w:t xml:space="preserve">some </w:t>
      </w:r>
      <w:r w:rsidR="00867CB4" w:rsidRPr="00B07BA7">
        <w:t>fund</w:t>
      </w:r>
      <w:r w:rsidRPr="00B07BA7">
        <w:t xml:space="preserve"> categorie</w:t>
      </w:r>
      <w:r w:rsidR="00867CB4" w:rsidRPr="00B07BA7">
        <w:t>s</w:t>
      </w:r>
      <w:r w:rsidR="000877C0" w:rsidRPr="00B07BA7">
        <w:t xml:space="preserve"> (for example, Delaney, Watson and </w:t>
      </w:r>
      <w:proofErr w:type="spellStart"/>
      <w:r w:rsidR="000877C0" w:rsidRPr="00B07BA7">
        <w:t>Wickramanayake</w:t>
      </w:r>
      <w:proofErr w:type="spellEnd"/>
      <w:r w:rsidR="000877C0" w:rsidRPr="00B07BA7">
        <w:t xml:space="preserve"> 2011)</w:t>
      </w:r>
      <w:r w:rsidR="00733D85" w:rsidRPr="00B07BA7">
        <w:t>, many studies do not</w:t>
      </w:r>
      <w:r w:rsidR="00867CB4" w:rsidRPr="00B07BA7">
        <w:t xml:space="preserve"> </w:t>
      </w:r>
      <w:r w:rsidR="00733D85" w:rsidRPr="00B07BA7">
        <w:t>(box 4.2).</w:t>
      </w:r>
    </w:p>
    <w:p w:rsidR="00EF1C9D" w:rsidRDefault="00EF1C9D" w:rsidP="00E05561">
      <w:pPr>
        <w:pStyle w:val="BodyText"/>
      </w:pPr>
      <w:r w:rsidRPr="003031C5">
        <w:rPr>
          <w:rStyle w:val="DraftingNote"/>
          <w:b w:val="0"/>
          <w:color w:val="auto"/>
          <w:sz w:val="26"/>
          <w:u w:val="none"/>
        </w:rPr>
        <w:t xml:space="preserve">The different results between and within studies may be explained by different approaches to the research question. Specifically, results vary according to methodology, performance measurement metrics, and time periods used for analysis (for example, Delaney, Watson and </w:t>
      </w:r>
      <w:proofErr w:type="spellStart"/>
      <w:r w:rsidRPr="003031C5">
        <w:t>Wickramanayake</w:t>
      </w:r>
      <w:proofErr w:type="spellEnd"/>
      <w:r w:rsidRPr="003031C5">
        <w:t xml:space="preserve"> 2011)</w:t>
      </w:r>
      <w:r w:rsidRPr="003031C5">
        <w:rPr>
          <w:rStyle w:val="DraftingNote"/>
          <w:b w:val="0"/>
          <w:color w:val="auto"/>
          <w:sz w:val="26"/>
          <w:u w:val="none"/>
        </w:rPr>
        <w:t xml:space="preserve">. </w:t>
      </w:r>
      <w:r w:rsidRPr="003031C5">
        <w:t>In many studies, results differ depending on whether raw or risk</w:t>
      </w:r>
      <w:r w:rsidRPr="003031C5">
        <w:noBreakHyphen/>
        <w:t xml:space="preserve">adjusted returns are used (for example, </w:t>
      </w:r>
      <w:proofErr w:type="spellStart"/>
      <w:r w:rsidRPr="003031C5">
        <w:t>Hallahan</w:t>
      </w:r>
      <w:proofErr w:type="spellEnd"/>
      <w:r w:rsidRPr="003031C5">
        <w:t xml:space="preserve"> 1999)</w:t>
      </w:r>
      <w:r>
        <w:t xml:space="preserve">. </w:t>
      </w:r>
      <w:proofErr w:type="spellStart"/>
      <w:r>
        <w:t>ASIC</w:t>
      </w:r>
      <w:proofErr w:type="spellEnd"/>
      <w:r>
        <w:t xml:space="preserve"> consider that</w:t>
      </w:r>
      <w:r w:rsidRPr="003031C5">
        <w:t xml:space="preserve"> investment return metrics are </w:t>
      </w:r>
      <w:r>
        <w:t>more</w:t>
      </w:r>
      <w:r w:rsidRPr="003031C5">
        <w:t xml:space="preserve"> meaningful if adjusted for risk (</w:t>
      </w:r>
      <w:proofErr w:type="spellStart"/>
      <w:r w:rsidRPr="003031C5">
        <w:t>ASIC</w:t>
      </w:r>
      <w:proofErr w:type="spellEnd"/>
      <w:r w:rsidRPr="003031C5">
        <w:t> 2002</w:t>
      </w:r>
      <w:r>
        <w:t>, and confirmed pers. comm., 28 September 2012</w:t>
      </w:r>
      <w:r w:rsidRPr="003031C5">
        <w:t>).</w:t>
      </w:r>
    </w:p>
    <w:p w:rsidR="00F225D0" w:rsidRDefault="00F225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25D0">
        <w:tc>
          <w:tcPr>
            <w:tcW w:w="8771" w:type="dxa"/>
            <w:tcBorders>
              <w:top w:val="single" w:sz="6" w:space="0" w:color="auto"/>
              <w:bottom w:val="nil"/>
            </w:tcBorders>
          </w:tcPr>
          <w:p w:rsidR="00F225D0" w:rsidRDefault="00F225D0" w:rsidP="00E05561">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53236F">
              <w:rPr>
                <w:b w:val="0"/>
              </w:rPr>
              <w:t>4.</w:t>
            </w:r>
            <w:r>
              <w:rPr>
                <w:b w:val="0"/>
              </w:rPr>
              <w:fldChar w:fldCharType="end"/>
            </w:r>
            <w:r>
              <w:rPr>
                <w:b w:val="0"/>
              </w:rPr>
              <w:t>2</w:t>
            </w:r>
            <w:r>
              <w:tab/>
            </w:r>
            <w:r w:rsidR="00E05561">
              <w:t>Performance persistence in superannuation funds</w:t>
            </w:r>
            <w:r w:rsidR="00E05561" w:rsidRPr="00E83CC3">
              <w:rPr>
                <w:b w:val="0"/>
                <w:sz w:val="18"/>
                <w:szCs w:val="20"/>
              </w:rPr>
              <w:t xml:space="preserve"> </w:t>
            </w:r>
          </w:p>
        </w:tc>
      </w:tr>
      <w:tr w:rsidR="00F225D0">
        <w:trPr>
          <w:cantSplit/>
        </w:trPr>
        <w:tc>
          <w:tcPr>
            <w:tcW w:w="8771" w:type="dxa"/>
            <w:tcBorders>
              <w:top w:val="nil"/>
              <w:left w:val="single" w:sz="6" w:space="0" w:color="auto"/>
              <w:bottom w:val="nil"/>
              <w:right w:val="single" w:sz="6" w:space="0" w:color="auto"/>
            </w:tcBorders>
          </w:tcPr>
          <w:p w:rsidR="00E05561" w:rsidRDefault="00E05561" w:rsidP="00E05561">
            <w:pPr>
              <w:pStyle w:val="Box"/>
            </w:pPr>
            <w:r>
              <w:t xml:space="preserve">An extensive body of research reveals a lack of consensus on performance persistence. Where evidence of persistence is found, it is often identified </w:t>
            </w:r>
            <w:r w:rsidR="00B70B67">
              <w:t>in</w:t>
            </w:r>
            <w:r>
              <w:t xml:space="preserve"> a </w:t>
            </w:r>
            <w:r w:rsidR="00B70B67">
              <w:t>category</w:t>
            </w:r>
            <w:r>
              <w:t xml:space="preserve"> with particular characteristics, rather than in support of persistence for all </w:t>
            </w:r>
            <w:r w:rsidR="00B70B67">
              <w:t>categories</w:t>
            </w:r>
            <w:r>
              <w:t xml:space="preserve"> of funds. This limits the extent to which past performance can be relied upon.</w:t>
            </w:r>
          </w:p>
          <w:p w:rsidR="00E05561" w:rsidRPr="002F47CE" w:rsidRDefault="00E05561" w:rsidP="00E05561">
            <w:pPr>
              <w:pStyle w:val="BoxHeading1"/>
              <w:rPr>
                <w:szCs w:val="24"/>
              </w:rPr>
            </w:pPr>
            <w:r w:rsidRPr="002F47CE">
              <w:t xml:space="preserve">Recent Australian research </w:t>
            </w:r>
          </w:p>
          <w:p w:rsidR="00E05561" w:rsidRDefault="00E05561" w:rsidP="00E05561">
            <w:pPr>
              <w:pStyle w:val="BoxListBullet"/>
            </w:pPr>
            <w:r>
              <w:t>In one recent study, some p</w:t>
            </w:r>
            <w:r w:rsidRPr="00695C81">
              <w:t>erformance persistence</w:t>
            </w:r>
            <w:r>
              <w:t xml:space="preserve"> was evident</w:t>
            </w:r>
            <w:r w:rsidRPr="00695C81">
              <w:t>. Of formerly top−ranked funds, 43</w:t>
            </w:r>
            <w:r w:rsidR="0039343F">
              <w:t> per cent</w:t>
            </w:r>
            <w:r w:rsidRPr="00695C81">
              <w:t xml:space="preserve"> were subsequently top−ranked, 37</w:t>
            </w:r>
            <w:r w:rsidR="0039343F">
              <w:t> per cent</w:t>
            </w:r>
            <w:r>
              <w:t> </w:t>
            </w:r>
            <w:r w:rsidRPr="00695C81">
              <w:t>mid−ranked, and 20</w:t>
            </w:r>
            <w:r w:rsidR="0039343F">
              <w:t> per cent</w:t>
            </w:r>
            <w:r w:rsidRPr="00695C81">
              <w:t xml:space="preserve"> in the lowest rank.</w:t>
            </w:r>
            <w:r>
              <w:t xml:space="preserve"> The results were similar for funds formerly in the bottom rank. Persistence was more pronounced for large funds (with more than $1 billion in assets), though this may be limited to large not</w:t>
            </w:r>
            <w:r>
              <w:noBreakHyphen/>
              <w:t>for</w:t>
            </w:r>
            <w:r>
              <w:noBreakHyphen/>
              <w:t>profit</w:t>
            </w:r>
            <w:r w:rsidR="00AA6AEE">
              <w:t xml:space="preserve"> fund</w:t>
            </w:r>
            <w:r>
              <w:t>s. The performance measure was not risk-adjusted (</w:t>
            </w:r>
            <w:r w:rsidRPr="00C24E32">
              <w:t>Deloitte Access Economics 2012)</w:t>
            </w:r>
            <w:r>
              <w:t>.</w:t>
            </w:r>
          </w:p>
          <w:p w:rsidR="00E83CC3" w:rsidRDefault="005D642E" w:rsidP="00E83CC3">
            <w:pPr>
              <w:pStyle w:val="BoxListBullet"/>
            </w:pPr>
            <w:r>
              <w:t>Another recent study found n</w:t>
            </w:r>
            <w:r w:rsidR="00E83CC3">
              <w:t xml:space="preserve">o </w:t>
            </w:r>
            <w:r w:rsidR="00E83CC3" w:rsidRPr="00EE5F8D">
              <w:rPr>
                <w:i/>
              </w:rPr>
              <w:t>general</w:t>
            </w:r>
            <w:r w:rsidR="00E83CC3">
              <w:t xml:space="preserve"> support </w:t>
            </w:r>
            <w:r>
              <w:t xml:space="preserve">for </w:t>
            </w:r>
            <w:r w:rsidR="00E83CC3">
              <w:t>ratings predict</w:t>
            </w:r>
            <w:r>
              <w:t>ing</w:t>
            </w:r>
            <w:r w:rsidR="00E83CC3">
              <w:t xml:space="preserve"> future performance</w:t>
            </w:r>
            <w:r w:rsidR="00C00299">
              <w:t>, though some persistence was found among certain categories</w:t>
            </w:r>
            <w:r w:rsidR="00E83CC3">
              <w:t xml:space="preserve">. </w:t>
            </w:r>
            <w:r w:rsidR="00C00299">
              <w:t>Some</w:t>
            </w:r>
            <w:r w:rsidR="00E83CC3">
              <w:t xml:space="preserve"> fund types among higher</w:t>
            </w:r>
            <w:r w:rsidR="00AA6AEE">
              <w:noBreakHyphen/>
            </w:r>
            <w:r w:rsidR="00E83CC3">
              <w:t>rated funds significantly outperformed in subsequent periods. F</w:t>
            </w:r>
            <w:r w:rsidR="00E83CC3" w:rsidRPr="009C61DD">
              <w:t xml:space="preserve">unds </w:t>
            </w:r>
            <w:r w:rsidR="00E83CC3">
              <w:t xml:space="preserve">with </w:t>
            </w:r>
            <w:r w:rsidR="00E83CC3" w:rsidRPr="00695C81">
              <w:t>the lowest ra</w:t>
            </w:r>
            <w:r w:rsidR="00E83CC3">
              <w:t>ting</w:t>
            </w:r>
            <w:r w:rsidR="00E83CC3" w:rsidRPr="009C61DD">
              <w:t xml:space="preserve"> severely underperform</w:t>
            </w:r>
            <w:r w:rsidR="00C00299">
              <w:t>ed</w:t>
            </w:r>
            <w:r w:rsidR="00E83CC3" w:rsidRPr="009C61DD">
              <w:t xml:space="preserve"> in subsequent periods</w:t>
            </w:r>
            <w:r w:rsidR="00E83CC3">
              <w:t>. The study used risk-adjusted fund ratings</w:t>
            </w:r>
            <w:r w:rsidR="00E83CC3" w:rsidRPr="009C61DD">
              <w:t xml:space="preserve"> (Delaney, Watson and </w:t>
            </w:r>
            <w:proofErr w:type="spellStart"/>
            <w:r w:rsidR="00E83CC3" w:rsidRPr="009C61DD">
              <w:t>Wickramanayake</w:t>
            </w:r>
            <w:proofErr w:type="spellEnd"/>
            <w:r w:rsidR="00E83CC3" w:rsidRPr="009C61DD">
              <w:t xml:space="preserve"> 2011).</w:t>
            </w:r>
          </w:p>
          <w:p w:rsidR="00EF1C9D" w:rsidRDefault="00C00299" w:rsidP="00EF1C9D">
            <w:pPr>
              <w:pStyle w:val="BoxListBullet"/>
            </w:pPr>
            <w:r>
              <w:t>In another study, s</w:t>
            </w:r>
            <w:r w:rsidR="00E83CC3" w:rsidRPr="000877C0">
              <w:t xml:space="preserve">ome performance persistence was evident. Of formerly top performing firms </w:t>
            </w:r>
            <w:r w:rsidR="00E83CC3" w:rsidRPr="007C64E3">
              <w:t xml:space="preserve">(that is, where the aggregate of all their investment options perform in the </w:t>
            </w:r>
            <w:r w:rsidR="00E83CC3">
              <w:t>top</w:t>
            </w:r>
            <w:r w:rsidR="00E83CC3" w:rsidRPr="007C64E3">
              <w:t xml:space="preserve"> rank)</w:t>
            </w:r>
            <w:r w:rsidR="00E83CC3" w:rsidRPr="000877C0">
              <w:t>, 50</w:t>
            </w:r>
            <w:r w:rsidR="00AA6AEE">
              <w:t> per cent</w:t>
            </w:r>
            <w:r w:rsidR="00E83CC3" w:rsidRPr="000877C0">
              <w:t xml:space="preserve"> had</w:t>
            </w:r>
            <w:r w:rsidR="00E83CC3">
              <w:t xml:space="preserve"> a probability</w:t>
            </w:r>
            <w:r w:rsidR="00E83CC3" w:rsidRPr="00E07C54">
              <w:t xml:space="preserve"> </w:t>
            </w:r>
            <w:r w:rsidR="00E83CC3">
              <w:t>of being top</w:t>
            </w:r>
            <w:r w:rsidR="00E83CC3">
              <w:noBreakHyphen/>
            </w:r>
            <w:r w:rsidR="00E83CC3" w:rsidRPr="00E07C54">
              <w:t>ranked</w:t>
            </w:r>
            <w:r w:rsidR="00E83CC3">
              <w:t xml:space="preserve"> from one period to the next</w:t>
            </w:r>
            <w:r w:rsidR="00E83CC3" w:rsidRPr="00E07C54">
              <w:t xml:space="preserve">, </w:t>
            </w:r>
            <w:r w:rsidR="00081D49">
              <w:t>and of f</w:t>
            </w:r>
            <w:r w:rsidR="00E83CC3">
              <w:t>irms</w:t>
            </w:r>
            <w:r w:rsidR="00081D49" w:rsidRPr="000877C0">
              <w:t xml:space="preserve"> formerly</w:t>
            </w:r>
            <w:r w:rsidR="00E83CC3">
              <w:t xml:space="preserve"> in the lowest rank</w:t>
            </w:r>
            <w:r w:rsidR="00081D49">
              <w:t>,</w:t>
            </w:r>
            <w:r w:rsidR="00E83CC3">
              <w:t xml:space="preserve"> </w:t>
            </w:r>
            <w:r w:rsidR="00081D49">
              <w:t>57</w:t>
            </w:r>
            <w:r w:rsidR="00AA6AEE">
              <w:t> per cent</w:t>
            </w:r>
            <w:r w:rsidR="00081D49">
              <w:t xml:space="preserve"> had a probability of being bottom</w:t>
            </w:r>
            <w:r w:rsidR="00081D49">
              <w:noBreakHyphen/>
            </w:r>
            <w:r w:rsidR="00081D49" w:rsidRPr="00E07C54">
              <w:t>ranked</w:t>
            </w:r>
            <w:r w:rsidR="00081D49">
              <w:t xml:space="preserve"> from one period to the next</w:t>
            </w:r>
            <w:r w:rsidR="00E83CC3">
              <w:t xml:space="preserve">. </w:t>
            </w:r>
            <w:r w:rsidR="00E83CC3" w:rsidRPr="00E07C54">
              <w:t xml:space="preserve">The results show a decline in rank persistence </w:t>
            </w:r>
            <w:r w:rsidR="00E83CC3">
              <w:t xml:space="preserve">among Australian superannuation firms </w:t>
            </w:r>
            <w:r w:rsidR="00E83CC3" w:rsidRPr="00E07C54">
              <w:t>over tim</w:t>
            </w:r>
            <w:r w:rsidR="00E83CC3">
              <w:t>e. The performance measure was risk</w:t>
            </w:r>
            <w:r w:rsidR="00E83CC3">
              <w:noBreakHyphen/>
              <w:t xml:space="preserve">adjusted </w:t>
            </w:r>
            <w:r w:rsidR="00E83CC3" w:rsidRPr="00C24E32">
              <w:t>(</w:t>
            </w:r>
            <w:proofErr w:type="spellStart"/>
            <w:r w:rsidR="00E83CC3" w:rsidRPr="00C24E32">
              <w:t>Sy</w:t>
            </w:r>
            <w:proofErr w:type="spellEnd"/>
            <w:r w:rsidR="00E83CC3" w:rsidRPr="00C24E32">
              <w:t xml:space="preserve"> and Liu 200</w:t>
            </w:r>
            <w:r w:rsidR="00E83CC3" w:rsidRPr="000E4F65">
              <w:t>9).</w:t>
            </w:r>
          </w:p>
          <w:p w:rsidR="00EF1C9D" w:rsidRPr="00D760F1" w:rsidRDefault="00EF1C9D" w:rsidP="00EF1C9D">
            <w:pPr>
              <w:pStyle w:val="BoxHeading1"/>
              <w:rPr>
                <w:szCs w:val="24"/>
              </w:rPr>
            </w:pPr>
            <w:r>
              <w:t xml:space="preserve">Other </w:t>
            </w:r>
            <w:r w:rsidRPr="00D760F1">
              <w:t xml:space="preserve">Australian research </w:t>
            </w:r>
          </w:p>
          <w:p w:rsidR="00EF1C9D" w:rsidRDefault="00EF1C9D" w:rsidP="00EF1C9D">
            <w:pPr>
              <w:pStyle w:val="Box"/>
            </w:pPr>
            <w:r>
              <w:t>Various studies found:</w:t>
            </w:r>
          </w:p>
          <w:p w:rsidR="00EF1C9D" w:rsidRPr="00252B99" w:rsidRDefault="00EF1C9D" w:rsidP="00EF1C9D">
            <w:pPr>
              <w:pStyle w:val="BoxListBullet"/>
            </w:pPr>
            <w:r>
              <w:t>n</w:t>
            </w:r>
            <w:r w:rsidRPr="00252B99">
              <w:t>o suppo</w:t>
            </w:r>
            <w:r>
              <w:t xml:space="preserve">rt for the predictive power of (risk-adjusted) fund </w:t>
            </w:r>
            <w:r w:rsidRPr="00252B99">
              <w:t>ratings</w:t>
            </w:r>
            <w:r>
              <w:t xml:space="preserve"> (</w:t>
            </w:r>
            <w:proofErr w:type="spellStart"/>
            <w:r>
              <w:t>Gerrans</w:t>
            </w:r>
            <w:proofErr w:type="spellEnd"/>
            <w:r>
              <w:t xml:space="preserve"> 2006)</w:t>
            </w:r>
          </w:p>
          <w:p w:rsidR="00EF1C9D" w:rsidRPr="000E4F65" w:rsidRDefault="00EF1C9D" w:rsidP="00EF1C9D">
            <w:pPr>
              <w:pStyle w:val="BoxListBullet"/>
            </w:pPr>
            <w:r>
              <w:t xml:space="preserve">no </w:t>
            </w:r>
            <w:r w:rsidRPr="00252B99">
              <w:t>suppo</w:t>
            </w:r>
            <w:r>
              <w:t>rt for performance persistence, once adjustment for risk was applied (</w:t>
            </w:r>
            <w:proofErr w:type="spellStart"/>
            <w:r w:rsidRPr="00C24E32">
              <w:t>Bilson</w:t>
            </w:r>
            <w:proofErr w:type="spellEnd"/>
            <w:r w:rsidRPr="00C24E32">
              <w:t xml:space="preserve">, </w:t>
            </w:r>
            <w:proofErr w:type="spellStart"/>
            <w:r w:rsidRPr="00C24E32">
              <w:t>Frino</w:t>
            </w:r>
            <w:proofErr w:type="spellEnd"/>
            <w:r w:rsidRPr="00C24E32">
              <w:t xml:space="preserve"> and Heaney 2005)</w:t>
            </w:r>
          </w:p>
          <w:p w:rsidR="00EF1C9D" w:rsidRPr="00E83CC3" w:rsidRDefault="00EF1C9D" w:rsidP="00EF1C9D">
            <w:pPr>
              <w:pStyle w:val="BoxListBullet"/>
            </w:pPr>
            <w:r>
              <w:t>n</w:t>
            </w:r>
            <w:r w:rsidRPr="000E4F65">
              <w:t xml:space="preserve">o </w:t>
            </w:r>
            <w:r w:rsidRPr="00252B99">
              <w:t>suppo</w:t>
            </w:r>
            <w:r>
              <w:t xml:space="preserve">rt for </w:t>
            </w:r>
            <w:r w:rsidRPr="000E4F65">
              <w:t>persistence</w:t>
            </w:r>
            <w:r>
              <w:t xml:space="preserve"> using a risk-adjusted</w:t>
            </w:r>
            <w:r w:rsidRPr="000E4F65">
              <w:t xml:space="preserve"> performance measure (Drew, S</w:t>
            </w:r>
            <w:r>
              <w:t xml:space="preserve">tanford and </w:t>
            </w:r>
            <w:proofErr w:type="spellStart"/>
            <w:r>
              <w:t>Veeraraghavan</w:t>
            </w:r>
            <w:proofErr w:type="spellEnd"/>
            <w:r>
              <w:t xml:space="preserve"> 2002)</w:t>
            </w:r>
          </w:p>
          <w:p w:rsidR="00E05561" w:rsidRDefault="00EF1C9D" w:rsidP="00EF1C9D">
            <w:pPr>
              <w:pStyle w:val="Box"/>
            </w:pPr>
            <w:r>
              <w:t>p</w:t>
            </w:r>
            <w:r w:rsidRPr="00E83CC3">
              <w:t>ast performance is an unreliable guide to future performance. The study employs several methodologies. Some short term (risk</w:t>
            </w:r>
            <w:r w:rsidRPr="00E83CC3">
              <w:noBreakHyphen/>
              <w:t xml:space="preserve">adjusted) performance persistence was </w:t>
            </w:r>
            <w:r>
              <w:t>evident for fixed interest eligible rollover funds, and there were ambiguous results for multi</w:t>
            </w:r>
            <w:r>
              <w:noBreakHyphen/>
              <w:t>sector funds. Ranking persistence (risk</w:t>
            </w:r>
            <w:r>
              <w:noBreakHyphen/>
              <w:t>adjusted) was evident for fixed interest eligible rollover funds among top performing funds (</w:t>
            </w:r>
            <w:proofErr w:type="spellStart"/>
            <w:r>
              <w:t>Hallahan</w:t>
            </w:r>
            <w:proofErr w:type="spellEnd"/>
            <w:r>
              <w:t xml:space="preserve"> 1999).</w:t>
            </w:r>
          </w:p>
        </w:tc>
      </w:tr>
      <w:tr w:rsidR="00F225D0">
        <w:trPr>
          <w:cantSplit/>
        </w:trPr>
        <w:tc>
          <w:tcPr>
            <w:tcW w:w="8771" w:type="dxa"/>
            <w:tcBorders>
              <w:top w:val="nil"/>
              <w:left w:val="single" w:sz="6" w:space="0" w:color="auto"/>
              <w:bottom w:val="single" w:sz="6" w:space="0" w:color="auto"/>
              <w:right w:val="single" w:sz="6" w:space="0" w:color="auto"/>
            </w:tcBorders>
          </w:tcPr>
          <w:p w:rsidR="00F225D0" w:rsidRDefault="00F225D0">
            <w:pPr>
              <w:pStyle w:val="Box"/>
              <w:spacing w:before="0" w:line="120" w:lineRule="exact"/>
            </w:pPr>
          </w:p>
        </w:tc>
      </w:tr>
      <w:tr w:rsidR="00F225D0" w:rsidRPr="000863A5">
        <w:tc>
          <w:tcPr>
            <w:tcW w:w="8771" w:type="dxa"/>
            <w:tcBorders>
              <w:top w:val="nil"/>
              <w:left w:val="nil"/>
              <w:bottom w:val="nil"/>
              <w:right w:val="nil"/>
            </w:tcBorders>
          </w:tcPr>
          <w:p w:rsidR="00F225D0" w:rsidRPr="000863A5" w:rsidRDefault="00F225D0" w:rsidP="00F225D0">
            <w:pPr>
              <w:pStyle w:val="Box"/>
              <w:keepNext w:val="0"/>
              <w:spacing w:before="60" w:after="60" w:line="80" w:lineRule="exact"/>
              <w:rPr>
                <w:b/>
                <w:sz w:val="14"/>
              </w:rPr>
            </w:pPr>
          </w:p>
        </w:tc>
      </w:tr>
    </w:tbl>
    <w:p w:rsidR="002A2CAC" w:rsidRDefault="002A2CAC" w:rsidP="00A731BE">
      <w:pPr>
        <w:pStyle w:val="BodyText"/>
      </w:pPr>
    </w:p>
    <w:p w:rsidR="0092252C" w:rsidRDefault="00F80BCD" w:rsidP="00A731BE">
      <w:pPr>
        <w:pStyle w:val="BodyText"/>
      </w:pPr>
      <w:r>
        <w:lastRenderedPageBreak/>
        <w:t>S</w:t>
      </w:r>
      <w:r w:rsidR="008E3257">
        <w:t>everal</w:t>
      </w:r>
      <w:r w:rsidR="00A731BE">
        <w:t xml:space="preserve"> factors </w:t>
      </w:r>
      <w:r w:rsidR="008E3257">
        <w:t xml:space="preserve">would </w:t>
      </w:r>
      <w:r>
        <w:t xml:space="preserve">make </w:t>
      </w:r>
      <w:r w:rsidR="0092252C">
        <w:t xml:space="preserve">the </w:t>
      </w:r>
      <w:r w:rsidR="00A731BE">
        <w:t xml:space="preserve">practical </w:t>
      </w:r>
      <w:r w:rsidR="0092252C">
        <w:t xml:space="preserve">application of a </w:t>
      </w:r>
      <w:r w:rsidR="00B8385C">
        <w:t xml:space="preserve">relative </w:t>
      </w:r>
      <w:r w:rsidR="0092252C">
        <w:t>performance measure</w:t>
      </w:r>
      <w:r>
        <w:t xml:space="preserve"> challenging, and some </w:t>
      </w:r>
      <w:r w:rsidR="00B8385C">
        <w:t xml:space="preserve">of these </w:t>
      </w:r>
      <w:r>
        <w:t>may lead to undesirable outcomes</w:t>
      </w:r>
      <w:r w:rsidR="007E66B7">
        <w:t>:</w:t>
      </w:r>
      <w:r w:rsidR="00A731BE">
        <w:t xml:space="preserve"> </w:t>
      </w:r>
    </w:p>
    <w:p w:rsidR="009B6E84" w:rsidRDefault="00B8385C" w:rsidP="009B6E84">
      <w:pPr>
        <w:pStyle w:val="ListBullet"/>
      </w:pPr>
      <w:r>
        <w:t xml:space="preserve">Conscious of the risk of producing an outcome that </w:t>
      </w:r>
      <w:r w:rsidR="004A46DC">
        <w:t>is</w:t>
      </w:r>
      <w:r>
        <w:t xml:space="preserve"> relatively </w:t>
      </w:r>
      <w:r w:rsidR="00C23F10">
        <w:t xml:space="preserve">poor compared to other funds or products, </w:t>
      </w:r>
      <w:r w:rsidR="009B6E84">
        <w:t xml:space="preserve">funds may be less responsive to changing market conditions. This could be detrimental to </w:t>
      </w:r>
      <w:r w:rsidR="00484AA5">
        <w:t>market</w:t>
      </w:r>
      <w:r w:rsidR="009B6E84">
        <w:t>-wide performance.</w:t>
      </w:r>
    </w:p>
    <w:p w:rsidR="00F80BCD" w:rsidRDefault="00F80BCD" w:rsidP="00434135">
      <w:pPr>
        <w:pStyle w:val="ListBullet"/>
      </w:pPr>
      <w:r>
        <w:t>At the practical level, t</w:t>
      </w:r>
      <w:r w:rsidR="00805FEB">
        <w:t xml:space="preserve">here are numerous ways to measure performance and apply performance criteria. </w:t>
      </w:r>
      <w:r w:rsidR="009B6E84">
        <w:t xml:space="preserve">It would be difficult to find a measure that would be seen by all as accurate, consistent and that allowed for full comparability between funds. </w:t>
      </w:r>
    </w:p>
    <w:p w:rsidR="00CE20EF" w:rsidRDefault="00CE20EF" w:rsidP="00CE20EF">
      <w:pPr>
        <w:pStyle w:val="ListBullet"/>
      </w:pPr>
      <w:r>
        <w:t>Minimum return targets or ‘league table’ approaches would require updating, which could be disruptive to funds (and their members) that are around the cut</w:t>
      </w:r>
      <w:r>
        <w:noBreakHyphen/>
        <w:t>off point</w:t>
      </w:r>
      <w:r w:rsidR="002E534C">
        <w:t xml:space="preserve"> (chapter 8).</w:t>
      </w:r>
    </w:p>
    <w:p w:rsidR="00F80BCD" w:rsidRDefault="00F80BCD" w:rsidP="00434135">
      <w:pPr>
        <w:pStyle w:val="ListBullet"/>
      </w:pPr>
      <w:r>
        <w:t>Other issues include:</w:t>
      </w:r>
    </w:p>
    <w:p w:rsidR="00F80BCD" w:rsidRDefault="00566A16" w:rsidP="004B703A">
      <w:pPr>
        <w:pStyle w:val="ListBullet2"/>
      </w:pPr>
      <w:r>
        <w:t>h</w:t>
      </w:r>
      <w:r w:rsidR="009B6E84">
        <w:t xml:space="preserve">ow to value, and how often to value, </w:t>
      </w:r>
      <w:r w:rsidR="009B6E84" w:rsidRPr="00F50C49">
        <w:t>unlisted assets that are not traded on an open exchange</w:t>
      </w:r>
    </w:p>
    <w:p w:rsidR="00F80BCD" w:rsidRDefault="00F80BCD" w:rsidP="004B703A">
      <w:pPr>
        <w:pStyle w:val="ListBullet2"/>
      </w:pPr>
      <w:r>
        <w:t>how to account for new funds or products with no performance history.</w:t>
      </w:r>
    </w:p>
    <w:p w:rsidR="00284BFF" w:rsidRDefault="00C9448B" w:rsidP="00FB03F3">
      <w:pPr>
        <w:pStyle w:val="BodyText"/>
      </w:pPr>
      <w:r>
        <w:t>Due to</w:t>
      </w:r>
      <w:r w:rsidR="00606F39" w:rsidRPr="00606F39">
        <w:t xml:space="preserve"> the </w:t>
      </w:r>
      <w:r>
        <w:t xml:space="preserve">lack of consensus in the </w:t>
      </w:r>
      <w:r w:rsidR="00852FD9">
        <w:t xml:space="preserve">performance persistence </w:t>
      </w:r>
      <w:r w:rsidR="00606F39" w:rsidRPr="00606F39">
        <w:t>literature</w:t>
      </w:r>
      <w:r w:rsidR="00CF4B03">
        <w:t>, the regulatory guidance</w:t>
      </w:r>
      <w:r w:rsidR="00606F39" w:rsidRPr="00606F39">
        <w:t xml:space="preserve"> </w:t>
      </w:r>
      <w:r>
        <w:t xml:space="preserve">and </w:t>
      </w:r>
      <w:r w:rsidR="00606F39" w:rsidRPr="00606F39">
        <w:t>the practical difficulties of apply</w:t>
      </w:r>
      <w:r w:rsidR="009D27E3">
        <w:t>ing a performance measure</w:t>
      </w:r>
      <w:r w:rsidR="00606F39" w:rsidRPr="00606F39">
        <w:t>, the Commission is not attracted to using</w:t>
      </w:r>
      <w:r w:rsidR="00606F39" w:rsidRPr="00C9448B">
        <w:t xml:space="preserve"> </w:t>
      </w:r>
      <w:r w:rsidR="00CF4B03">
        <w:t xml:space="preserve">relative </w:t>
      </w:r>
      <w:r w:rsidR="00852FD9">
        <w:t>investment performance as</w:t>
      </w:r>
      <w:r w:rsidR="00606F39" w:rsidRPr="00C9448B">
        <w:t xml:space="preserve"> a </w:t>
      </w:r>
      <w:r w:rsidR="002806F7">
        <w:t>prescriptive criterion</w:t>
      </w:r>
      <w:r w:rsidR="002806F7" w:rsidRPr="00C9448B">
        <w:t xml:space="preserve"> </w:t>
      </w:r>
      <w:r w:rsidR="00606F39" w:rsidRPr="00C9448B">
        <w:t xml:space="preserve">per se. </w:t>
      </w:r>
    </w:p>
    <w:p w:rsidR="00CF4B03" w:rsidRDefault="00D06329" w:rsidP="00FB03F3">
      <w:pPr>
        <w:pStyle w:val="BodyText"/>
      </w:pPr>
      <w:r>
        <w:t xml:space="preserve">Though the Commission sees no case for </w:t>
      </w:r>
      <w:r w:rsidR="002806F7">
        <w:t xml:space="preserve">an </w:t>
      </w:r>
      <w:r>
        <w:t>additional prescriptive criteri</w:t>
      </w:r>
      <w:r w:rsidR="002806F7">
        <w:t>on</w:t>
      </w:r>
      <w:r>
        <w:t xml:space="preserve"> to be applied to past performance in default superannuation products</w:t>
      </w:r>
      <w:r w:rsidR="00CF4B03">
        <w:t xml:space="preserve">, the Commission accepts that in assessing a fund’s ability to deliver on its </w:t>
      </w:r>
      <w:proofErr w:type="spellStart"/>
      <w:r w:rsidR="00CF4B03">
        <w:t>MySuper</w:t>
      </w:r>
      <w:proofErr w:type="spellEnd"/>
      <w:r w:rsidR="00CF4B03">
        <w:t xml:space="preserve"> investment objectives, </w:t>
      </w:r>
      <w:r w:rsidR="00DC2DBC">
        <w:t xml:space="preserve">both the appropriateness of the investment strategy and </w:t>
      </w:r>
      <w:r w:rsidR="00CF4B03">
        <w:t xml:space="preserve">the track record of </w:t>
      </w:r>
      <w:r w:rsidR="00DC2DBC">
        <w:t>the</w:t>
      </w:r>
      <w:r w:rsidR="00CF4B03">
        <w:t xml:space="preserve"> product </w:t>
      </w:r>
      <w:r w:rsidR="00284BFF">
        <w:t>should be</w:t>
      </w:r>
      <w:r w:rsidR="00CF4B03">
        <w:t xml:space="preserve"> </w:t>
      </w:r>
      <w:r w:rsidR="002806F7">
        <w:t>factors in</w:t>
      </w:r>
      <w:r w:rsidR="00CF4B03">
        <w:t xml:space="preserve"> the evaluation mechanism.</w:t>
      </w:r>
      <w:r w:rsidR="00EF50BD" w:rsidRPr="00EF50BD">
        <w:t xml:space="preserve"> </w:t>
      </w:r>
      <w:r w:rsidR="00DC2DBC">
        <w:t>Th</w:t>
      </w:r>
      <w:r w:rsidR="00EC4A5F">
        <w:t>e</w:t>
      </w:r>
      <w:r w:rsidR="00284BFF">
        <w:t xml:space="preserve"> </w:t>
      </w:r>
      <w:r w:rsidR="00EC4A5F">
        <w:t>‘</w:t>
      </w:r>
      <w:r w:rsidR="00284BFF">
        <w:t xml:space="preserve">track record </w:t>
      </w:r>
      <w:r w:rsidR="00DC2DBC">
        <w:t>appraisal</w:t>
      </w:r>
      <w:r w:rsidR="00EC4A5F">
        <w:t>’</w:t>
      </w:r>
      <w:r w:rsidR="00DC2DBC">
        <w:t xml:space="preserve"> should include an assessment of the past performance of the product against its objectives</w:t>
      </w:r>
      <w:r w:rsidR="00831CDC">
        <w:t>,</w:t>
      </w:r>
      <w:r w:rsidR="00DC2DBC">
        <w:t xml:space="preserve"> and against the market more broadly</w:t>
      </w:r>
      <w:r w:rsidR="004A46DC">
        <w:t xml:space="preserve">. </w:t>
      </w:r>
      <w:r w:rsidR="00EF50BD">
        <w:t xml:space="preserve">The Commission recognises that, as a consequence, decision makers will need to assess close substitutes to understand ‘past’ investment performance of new products. </w:t>
      </w:r>
    </w:p>
    <w:p w:rsidR="00C9448B" w:rsidRDefault="00BA2C88" w:rsidP="00D57CEC">
      <w:pPr>
        <w:pStyle w:val="BodyText"/>
      </w:pPr>
      <w:r>
        <w:t xml:space="preserve">Further, </w:t>
      </w:r>
      <w:r w:rsidR="00D57CEC">
        <w:t xml:space="preserve">the Commission </w:t>
      </w:r>
      <w:r w:rsidR="00D93725">
        <w:t xml:space="preserve">considers </w:t>
      </w:r>
      <w:r w:rsidR="00D57CEC">
        <w:t>that where performance is taken into account</w:t>
      </w:r>
      <w:r w:rsidR="002E534C">
        <w:t xml:space="preserve"> in making that judgement</w:t>
      </w:r>
      <w:r w:rsidR="00D57CEC">
        <w:t>, decisions should be weighted heavily in favour of long</w:t>
      </w:r>
      <w:r w:rsidR="00D57CEC">
        <w:noBreakHyphen/>
        <w:t>term performance. That said, short</w:t>
      </w:r>
      <w:r w:rsidR="00D57CEC">
        <w:noBreakHyphen/>
        <w:t>term information may ‘flag’ a pending change in long</w:t>
      </w:r>
      <w:r w:rsidR="00D57CEC">
        <w:noBreakHyphen/>
        <w:t xml:space="preserve">term performance and should not be ignored, </w:t>
      </w:r>
      <w:r w:rsidR="00F17149">
        <w:t xml:space="preserve">but </w:t>
      </w:r>
      <w:r w:rsidR="00D57CEC">
        <w:t>instead form part of the overall monitoring of fund performance.</w:t>
      </w:r>
      <w:r w:rsidR="00C9448B">
        <w:t xml:space="preserve"> </w:t>
      </w:r>
    </w:p>
    <w:p w:rsidR="003E0DD6" w:rsidRDefault="008A0782" w:rsidP="00FB03F3">
      <w:pPr>
        <w:pStyle w:val="BodyText"/>
      </w:pPr>
      <w:r>
        <w:t>In t</w:t>
      </w:r>
      <w:r w:rsidR="00FB03F3" w:rsidRPr="00B8349D">
        <w:t>he Commission</w:t>
      </w:r>
      <w:r w:rsidR="00FB03F3">
        <w:t>’s view, therefore,</w:t>
      </w:r>
      <w:r w:rsidR="00FB03F3" w:rsidRPr="00B8349D">
        <w:t xml:space="preserve"> </w:t>
      </w:r>
      <w:r w:rsidR="00FB03F3">
        <w:t>a fund’s</w:t>
      </w:r>
      <w:r w:rsidR="00FB03F3" w:rsidRPr="00B8349D">
        <w:t xml:space="preserve"> past </w:t>
      </w:r>
      <w:r w:rsidR="005404F5">
        <w:t>long</w:t>
      </w:r>
      <w:r w:rsidR="005404F5">
        <w:noBreakHyphen/>
        <w:t xml:space="preserve">term </w:t>
      </w:r>
      <w:r w:rsidR="00E21F8E">
        <w:t xml:space="preserve">investment </w:t>
      </w:r>
      <w:r w:rsidR="00FB03F3" w:rsidRPr="00B8349D">
        <w:t xml:space="preserve">performance should not be used in the selection and ongoing assessment of </w:t>
      </w:r>
      <w:r w:rsidR="006C560D">
        <w:lastRenderedPageBreak/>
        <w:t>superannuation</w:t>
      </w:r>
      <w:r w:rsidR="006C560D" w:rsidRPr="00B8349D">
        <w:t xml:space="preserve"> </w:t>
      </w:r>
      <w:r w:rsidR="00032E62">
        <w:t xml:space="preserve">products </w:t>
      </w:r>
      <w:r w:rsidR="006C560D">
        <w:t xml:space="preserve">for listing </w:t>
      </w:r>
      <w:r w:rsidR="00FB03F3" w:rsidRPr="00B8349D">
        <w:t>in modern awards</w:t>
      </w:r>
      <w:r w:rsidR="009E3EB8">
        <w:t xml:space="preserve"> per se</w:t>
      </w:r>
      <w:r w:rsidR="00FB03F3" w:rsidRPr="00B8349D">
        <w:t>.</w:t>
      </w:r>
      <w:r w:rsidR="00FB03F3">
        <w:t xml:space="preserve"> Instead, </w:t>
      </w:r>
      <w:r>
        <w:t xml:space="preserve">it should be used to provide some guidance on </w:t>
      </w:r>
      <w:r w:rsidR="00FB03F3">
        <w:t xml:space="preserve">a fund’s expected ability to deliver on </w:t>
      </w:r>
      <w:r w:rsidR="008C235F">
        <w:t>its</w:t>
      </w:r>
      <w:r w:rsidR="00F341ED">
        <w:t xml:space="preserve"> </w:t>
      </w:r>
      <w:proofErr w:type="spellStart"/>
      <w:r w:rsidR="00032E62">
        <w:t>MySuper</w:t>
      </w:r>
      <w:proofErr w:type="spellEnd"/>
      <w:r w:rsidR="00032E62">
        <w:t xml:space="preserve"> </w:t>
      </w:r>
      <w:r w:rsidR="009A76C9">
        <w:t>product’s long</w:t>
      </w:r>
      <w:r w:rsidR="009A76C9">
        <w:noBreakHyphen/>
        <w:t>term investment return target, given its risk profile</w:t>
      </w:r>
      <w:r>
        <w:t>. The latter</w:t>
      </w:r>
      <w:r w:rsidR="00FB03F3">
        <w:t xml:space="preserve"> is a valid factor to consider, </w:t>
      </w:r>
      <w:r w:rsidR="00441108">
        <w:t>and should be given primary consideration among</w:t>
      </w:r>
      <w:r w:rsidR="00FB03F3">
        <w:t xml:space="preserve"> a range of factors.</w:t>
      </w:r>
    </w:p>
    <w:p w:rsidR="00FB03F3" w:rsidRDefault="00FB03F3" w:rsidP="004A50F7">
      <w:pPr>
        <w:pStyle w:val="RecTitle"/>
      </w:pPr>
      <w:r>
        <w:t xml:space="preserve">Recommendation </w:t>
      </w:r>
      <w:fldSimple w:instr=" COMMENTS  \* MERGEFORMAT ">
        <w:r w:rsidR="0053236F">
          <w:t>4.</w:t>
        </w:r>
      </w:fldSimple>
      <w:r w:rsidR="0055510D">
        <w:fldChar w:fldCharType="begin"/>
      </w:r>
      <w:r w:rsidR="0055510D">
        <w:instrText xml:space="preserve"> SEQ Recommendation \* ARABIC </w:instrText>
      </w:r>
      <w:r w:rsidR="0055510D">
        <w:fldChar w:fldCharType="separate"/>
      </w:r>
      <w:r w:rsidR="00132F9A">
        <w:rPr>
          <w:noProof/>
        </w:rPr>
        <w:t>2</w:t>
      </w:r>
      <w:r w:rsidR="0055510D">
        <w:rPr>
          <w:noProof/>
        </w:rPr>
        <w:fldChar w:fldCharType="end"/>
      </w:r>
    </w:p>
    <w:p w:rsidR="00FB03F3" w:rsidRDefault="00FB03F3" w:rsidP="00FB03F3">
      <w:pPr>
        <w:pStyle w:val="Rec"/>
      </w:pPr>
      <w:r>
        <w:t xml:space="preserve">The selection and ongoing assessment of </w:t>
      </w:r>
      <w:r w:rsidR="00C25291">
        <w:t xml:space="preserve">default </w:t>
      </w:r>
      <w:r w:rsidR="006C560D">
        <w:t xml:space="preserve">superannuation </w:t>
      </w:r>
      <w:r w:rsidR="00032E62">
        <w:t xml:space="preserve">products </w:t>
      </w:r>
      <w:r w:rsidR="006C560D">
        <w:t xml:space="preserve">for listing </w:t>
      </w:r>
      <w:r>
        <w:t xml:space="preserve">in modern awards should include </w:t>
      </w:r>
      <w:r w:rsidR="00E92846">
        <w:t xml:space="preserve">consideration of </w:t>
      </w:r>
      <w:r w:rsidR="000C24A2">
        <w:t>the</w:t>
      </w:r>
      <w:r>
        <w:t xml:space="preserve"> fund’s expected ability to deliver on </w:t>
      </w:r>
      <w:r w:rsidR="003E2F7F">
        <w:t xml:space="preserve">the </w:t>
      </w:r>
      <w:proofErr w:type="spellStart"/>
      <w:r>
        <w:t>MySuper</w:t>
      </w:r>
      <w:proofErr w:type="spellEnd"/>
      <w:r w:rsidR="003E2F7F">
        <w:t xml:space="preserve"> product’s</w:t>
      </w:r>
      <w:r>
        <w:t xml:space="preserve"> </w:t>
      </w:r>
      <w:r w:rsidR="001A1B87">
        <w:t>long</w:t>
      </w:r>
      <w:r w:rsidR="001A1B87">
        <w:noBreakHyphen/>
        <w:t xml:space="preserve">term investment return </w:t>
      </w:r>
      <w:r w:rsidR="00390012">
        <w:t>target</w:t>
      </w:r>
      <w:r w:rsidR="00A91735">
        <w:t>, given its</w:t>
      </w:r>
      <w:r w:rsidR="001A1B87">
        <w:t xml:space="preserve"> risk profile </w:t>
      </w:r>
      <w:r w:rsidR="004E2052">
        <w:t>(</w:t>
      </w:r>
      <w:r w:rsidR="00734E7D">
        <w:t xml:space="preserve">as a primary </w:t>
      </w:r>
      <w:r w:rsidR="00320959">
        <w:t>factor</w:t>
      </w:r>
      <w:r w:rsidR="004E2052">
        <w:t>)</w:t>
      </w:r>
      <w:r>
        <w:t xml:space="preserve">. </w:t>
      </w:r>
    </w:p>
    <w:p w:rsidR="000C2DC1" w:rsidRDefault="0055510D" w:rsidP="000C2DC1">
      <w:pPr>
        <w:pStyle w:val="Heading2"/>
      </w:pPr>
      <w:fldSimple w:instr=" COMMENTS  \* MERGEFORMAT ">
        <w:r w:rsidR="0053236F">
          <w:t>4.</w:t>
        </w:r>
      </w:fldSimple>
      <w:r>
        <w:fldChar w:fldCharType="begin"/>
      </w:r>
      <w:r>
        <w:instrText xml:space="preserve"> SEQ Heading2 </w:instrText>
      </w:r>
      <w:r>
        <w:fldChar w:fldCharType="separate"/>
      </w:r>
      <w:r w:rsidR="00132F9A">
        <w:rPr>
          <w:noProof/>
        </w:rPr>
        <w:t>3</w:t>
      </w:r>
      <w:r>
        <w:rPr>
          <w:noProof/>
        </w:rPr>
        <w:fldChar w:fldCharType="end"/>
      </w:r>
      <w:r w:rsidR="000C2DC1">
        <w:tab/>
        <w:t>Fees</w:t>
      </w:r>
      <w:r w:rsidR="007541C3">
        <w:t xml:space="preserve"> and costs</w:t>
      </w:r>
    </w:p>
    <w:p w:rsidR="002F654A" w:rsidRDefault="007860F3" w:rsidP="00D91AD8">
      <w:pPr>
        <w:pStyle w:val="BodyText"/>
      </w:pPr>
      <w:r>
        <w:t xml:space="preserve">Superannuation funds </w:t>
      </w:r>
      <w:r w:rsidR="007541C3">
        <w:t xml:space="preserve">incur </w:t>
      </w:r>
      <w:r w:rsidR="006A19B4">
        <w:t xml:space="preserve">investment and </w:t>
      </w:r>
      <w:r>
        <w:t xml:space="preserve">operating </w:t>
      </w:r>
      <w:r w:rsidR="00656AD7">
        <w:t>costs</w:t>
      </w:r>
      <w:r>
        <w:t xml:space="preserve">. Investment </w:t>
      </w:r>
      <w:r w:rsidR="00656AD7">
        <w:t>costs</w:t>
      </w:r>
      <w:r w:rsidR="00A82784">
        <w:t xml:space="preserve"> </w:t>
      </w:r>
      <w:r w:rsidR="00455576">
        <w:t xml:space="preserve">are </w:t>
      </w:r>
      <w:r>
        <w:t>relate</w:t>
      </w:r>
      <w:r w:rsidR="00455576">
        <w:t>d</w:t>
      </w:r>
      <w:r>
        <w:t xml:space="preserve"> to the asset allocation and approach to risk taken by the fund, </w:t>
      </w:r>
      <w:r w:rsidR="00E95270">
        <w:t xml:space="preserve">and </w:t>
      </w:r>
      <w:r>
        <w:t>whether the assets are managed actively or passively.</w:t>
      </w:r>
      <w:r w:rsidR="0075426E" w:rsidRPr="0075426E">
        <w:t xml:space="preserve"> </w:t>
      </w:r>
      <w:r w:rsidR="0075426E">
        <w:t xml:space="preserve">Operating </w:t>
      </w:r>
      <w:r w:rsidR="00656AD7">
        <w:t>costs</w:t>
      </w:r>
      <w:r w:rsidR="00A82784">
        <w:t xml:space="preserve"> </w:t>
      </w:r>
      <w:r w:rsidR="00455576">
        <w:t xml:space="preserve">are those </w:t>
      </w:r>
      <w:r w:rsidR="00A82784">
        <w:t>that</w:t>
      </w:r>
      <w:r w:rsidR="00455576">
        <w:t xml:space="preserve"> are</w:t>
      </w:r>
      <w:r w:rsidR="00A75DEF">
        <w:t xml:space="preserve"> </w:t>
      </w:r>
      <w:r w:rsidR="0075426E">
        <w:t xml:space="preserve">not directly linked to the investment portfolio, such as administration and </w:t>
      </w:r>
      <w:r w:rsidR="00656AD7">
        <w:t xml:space="preserve">compliance </w:t>
      </w:r>
      <w:r w:rsidR="0075426E">
        <w:t>costs.</w:t>
      </w:r>
      <w:r w:rsidR="00A2091C">
        <w:t xml:space="preserve"> </w:t>
      </w:r>
      <w:r w:rsidR="000D3384">
        <w:t xml:space="preserve">The level of </w:t>
      </w:r>
      <w:r w:rsidR="00455576">
        <w:t xml:space="preserve">overall </w:t>
      </w:r>
      <w:r w:rsidR="00656AD7">
        <w:t xml:space="preserve">costs </w:t>
      </w:r>
      <w:r w:rsidR="000D3384">
        <w:t xml:space="preserve">can make a significant difference to the ultimate retirement benefit received by fund members. </w:t>
      </w:r>
    </w:p>
    <w:p w:rsidR="000D3384" w:rsidRDefault="000D3384" w:rsidP="000D3384">
      <w:pPr>
        <w:pStyle w:val="Heading3"/>
      </w:pPr>
      <w:r>
        <w:t>Understanding fees and costs</w:t>
      </w:r>
    </w:p>
    <w:p w:rsidR="000D3384" w:rsidRDefault="000D3384" w:rsidP="000D3384">
      <w:pPr>
        <w:pStyle w:val="BodyText"/>
      </w:pPr>
      <w:r>
        <w:t xml:space="preserve">The investment and operating </w:t>
      </w:r>
      <w:r w:rsidR="00656AD7">
        <w:t xml:space="preserve">costs </w:t>
      </w:r>
      <w:r>
        <w:t xml:space="preserve">of a superannuation fund </w:t>
      </w:r>
      <w:r w:rsidR="002F654A">
        <w:t>can</w:t>
      </w:r>
      <w:r>
        <w:t xml:space="preserve"> be passed on to members directly </w:t>
      </w:r>
      <w:r w:rsidR="00656AD7">
        <w:t>in the form of fees</w:t>
      </w:r>
      <w:r>
        <w:t xml:space="preserve">. </w:t>
      </w:r>
      <w:r w:rsidR="00656AD7">
        <w:t xml:space="preserve">In contrast, </w:t>
      </w:r>
      <w:r w:rsidR="00F94B6B">
        <w:t xml:space="preserve">some </w:t>
      </w:r>
      <w:r w:rsidR="00656AD7">
        <w:t xml:space="preserve">costs </w:t>
      </w:r>
      <w:r w:rsidR="00F94B6B">
        <w:t>are not charged as fees</w:t>
      </w:r>
      <w:r w:rsidR="00D579A0">
        <w:t xml:space="preserve"> to members</w:t>
      </w:r>
      <w:r w:rsidR="00F94B6B">
        <w:t xml:space="preserve"> </w:t>
      </w:r>
      <w:r w:rsidR="00D579A0">
        <w:t>and are not always disclosed</w:t>
      </w:r>
      <w:r w:rsidR="004C4731">
        <w:t xml:space="preserve"> </w:t>
      </w:r>
      <w:r w:rsidR="00F94B6B">
        <w:t>to members. For example,</w:t>
      </w:r>
      <w:r w:rsidR="00656AD7">
        <w:t xml:space="preserve"> </w:t>
      </w:r>
      <w:r w:rsidR="00F94B6B">
        <w:t xml:space="preserve">some costs are </w:t>
      </w:r>
      <w:r w:rsidR="00656AD7">
        <w:t>allocated against all the assets of the fund (or product)</w:t>
      </w:r>
      <w:r w:rsidR="00F94B6B">
        <w:t>, paid out of reserves,</w:t>
      </w:r>
      <w:r w:rsidR="00656AD7">
        <w:t xml:space="preserve"> or deducted from investment returns.</w:t>
      </w:r>
      <w:r w:rsidR="00C0771C">
        <w:t xml:space="preserve"> </w:t>
      </w:r>
      <w:r w:rsidR="00F94B6B">
        <w:t xml:space="preserve">In particular, </w:t>
      </w:r>
      <w:r w:rsidR="007A2A78">
        <w:t xml:space="preserve">payments to third parties are </w:t>
      </w:r>
      <w:r w:rsidR="004C4731">
        <w:t xml:space="preserve">not always </w:t>
      </w:r>
      <w:r w:rsidR="007A2A78">
        <w:t xml:space="preserve">disclosed to members. </w:t>
      </w:r>
    </w:p>
    <w:p w:rsidR="000D3384" w:rsidRPr="0088039C" w:rsidRDefault="00B30C97">
      <w:pPr>
        <w:pStyle w:val="BodyText"/>
      </w:pPr>
      <w:r w:rsidRPr="00120B90">
        <w:t xml:space="preserve">Typically, investment </w:t>
      </w:r>
      <w:r w:rsidR="003F1BD8">
        <w:t>costs</w:t>
      </w:r>
      <w:r w:rsidR="003F1BD8" w:rsidRPr="00120B90">
        <w:t xml:space="preserve"> </w:t>
      </w:r>
      <w:r w:rsidRPr="00120B90">
        <w:t xml:space="preserve">are distinguished from operating </w:t>
      </w:r>
      <w:r w:rsidR="003F1BD8">
        <w:t>costs</w:t>
      </w:r>
      <w:r w:rsidRPr="00120B90">
        <w:t xml:space="preserve">. </w:t>
      </w:r>
      <w:r w:rsidR="003F1BD8">
        <w:t>This</w:t>
      </w:r>
      <w:r w:rsidR="008249A8">
        <w:t xml:space="preserve"> </w:t>
      </w:r>
      <w:r w:rsidR="00D86301" w:rsidRPr="00120B90">
        <w:t xml:space="preserve">assists comparability between funds or products. It also </w:t>
      </w:r>
      <w:r w:rsidRPr="00120B90">
        <w:t>assist</w:t>
      </w:r>
      <w:r w:rsidR="00D86301" w:rsidRPr="00120B90">
        <w:t xml:space="preserve">s </w:t>
      </w:r>
      <w:r w:rsidR="007E10C7">
        <w:t xml:space="preserve">members </w:t>
      </w:r>
      <w:r w:rsidR="00404374" w:rsidRPr="00120B90">
        <w:t xml:space="preserve">in </w:t>
      </w:r>
      <w:r w:rsidRPr="00120B90">
        <w:t xml:space="preserve">understanding </w:t>
      </w:r>
      <w:r w:rsidR="007E10C7">
        <w:t xml:space="preserve">whether they are obtaining </w:t>
      </w:r>
      <w:r w:rsidR="0000748A" w:rsidRPr="00120B90">
        <w:t>value for money</w:t>
      </w:r>
      <w:r w:rsidR="00E8116D">
        <w:t xml:space="preserve">, such as whether </w:t>
      </w:r>
      <w:r w:rsidR="00404374" w:rsidRPr="007C7B03">
        <w:t xml:space="preserve">the operating costs reflect the quality and timeliness of </w:t>
      </w:r>
      <w:r w:rsidR="00E8116D">
        <w:t xml:space="preserve">the </w:t>
      </w:r>
      <w:r w:rsidR="00404374" w:rsidRPr="007C7B03">
        <w:t xml:space="preserve">services </w:t>
      </w:r>
      <w:r w:rsidR="007E10C7">
        <w:t>they receive</w:t>
      </w:r>
      <w:r w:rsidR="00404374" w:rsidRPr="007C7B03">
        <w:t>.</w:t>
      </w:r>
      <w:r w:rsidR="00D86301">
        <w:t xml:space="preserve"> </w:t>
      </w:r>
    </w:p>
    <w:p w:rsidR="00DA6387" w:rsidRDefault="00DD782C" w:rsidP="00C10517">
      <w:pPr>
        <w:pStyle w:val="Heading3"/>
      </w:pPr>
      <w:r w:rsidRPr="00103D55">
        <w:lastRenderedPageBreak/>
        <w:t>Stronger Super reforms</w:t>
      </w:r>
    </w:p>
    <w:p w:rsidR="007B6F8A" w:rsidRDefault="00213FEF" w:rsidP="00904B40">
      <w:pPr>
        <w:pStyle w:val="BodyText"/>
        <w:rPr>
          <w:b/>
        </w:rPr>
      </w:pPr>
      <w:r>
        <w:t xml:space="preserve">Stronger Super reforms seek </w:t>
      </w:r>
      <w:r w:rsidR="007B6F8A">
        <w:t xml:space="preserve">to ensure that </w:t>
      </w:r>
      <w:proofErr w:type="spellStart"/>
      <w:r w:rsidR="007B6F8A">
        <w:t>MySuper</w:t>
      </w:r>
      <w:proofErr w:type="spellEnd"/>
      <w:r w:rsidR="007B6F8A">
        <w:t xml:space="preserve"> members are </w:t>
      </w:r>
      <w:r>
        <w:t xml:space="preserve">charged for </w:t>
      </w:r>
      <w:r w:rsidR="003F1BD8">
        <w:t xml:space="preserve">costs </w:t>
      </w:r>
      <w:r>
        <w:t xml:space="preserve">that are </w:t>
      </w:r>
      <w:r w:rsidR="007B6F8A">
        <w:t xml:space="preserve">representative of </w:t>
      </w:r>
      <w:r w:rsidR="002F654A">
        <w:t xml:space="preserve">those </w:t>
      </w:r>
      <w:r w:rsidR="007B6F8A">
        <w:t xml:space="preserve">associated with their account, as well as to aid comparison between </w:t>
      </w:r>
      <w:proofErr w:type="spellStart"/>
      <w:r w:rsidR="007B6F8A">
        <w:t>MySuper</w:t>
      </w:r>
      <w:proofErr w:type="spellEnd"/>
      <w:r w:rsidR="007B6F8A">
        <w:t xml:space="preserve"> products. </w:t>
      </w:r>
    </w:p>
    <w:p w:rsidR="005029A2" w:rsidRDefault="005029A2" w:rsidP="005029A2">
      <w:pPr>
        <w:pStyle w:val="BodyText"/>
      </w:pPr>
      <w:r>
        <w:t>Under the</w:t>
      </w:r>
      <w:r w:rsidRPr="005029A2">
        <w:t xml:space="preserve"> </w:t>
      </w:r>
      <w:r>
        <w:t xml:space="preserve">Stronger Super reforms, trustees of </w:t>
      </w:r>
      <w:proofErr w:type="spellStart"/>
      <w:r>
        <w:t>MySuper</w:t>
      </w:r>
      <w:proofErr w:type="spellEnd"/>
      <w:r>
        <w:t xml:space="preserve"> products must disclose all fees to members and may only charge the following fees:</w:t>
      </w:r>
    </w:p>
    <w:p w:rsidR="005029A2" w:rsidRDefault="005450A5" w:rsidP="005029A2">
      <w:pPr>
        <w:pStyle w:val="ListBullet"/>
      </w:pPr>
      <w:r>
        <w:t>Ad</w:t>
      </w:r>
      <w:r w:rsidR="005029A2">
        <w:t xml:space="preserve">ministration fee — relating to </w:t>
      </w:r>
      <w:r w:rsidR="005029A2" w:rsidRPr="00C76437">
        <w:t xml:space="preserve">the administration or operation of the fund </w:t>
      </w:r>
      <w:r w:rsidR="005029A2">
        <w:t>(including intra</w:t>
      </w:r>
      <w:r w:rsidR="005029A2">
        <w:noBreakHyphen/>
        <w:t>fund advice)</w:t>
      </w:r>
      <w:r>
        <w:t>.</w:t>
      </w:r>
    </w:p>
    <w:p w:rsidR="005029A2" w:rsidRDefault="005450A5" w:rsidP="005029A2">
      <w:pPr>
        <w:pStyle w:val="ListBullet"/>
      </w:pPr>
      <w:r>
        <w:t>I</w:t>
      </w:r>
      <w:r w:rsidR="005029A2">
        <w:t>nvestment fee (including performance-base</w:t>
      </w:r>
      <w:r>
        <w:t>d fees, subject to limitations).</w:t>
      </w:r>
    </w:p>
    <w:p w:rsidR="005029A2" w:rsidRDefault="005450A5" w:rsidP="005029A2">
      <w:pPr>
        <w:pStyle w:val="ListBullet"/>
      </w:pPr>
      <w:r>
        <w:t>A</w:t>
      </w:r>
      <w:r w:rsidR="005029A2">
        <w:t xml:space="preserve"> buy–sell spread (limited to cost recovery) — relating to </w:t>
      </w:r>
      <w:r w:rsidR="005029A2" w:rsidRPr="003F346F">
        <w:t>transaction costs incurred in relation to the sale and purchase of assets</w:t>
      </w:r>
      <w:r>
        <w:t>.</w:t>
      </w:r>
    </w:p>
    <w:p w:rsidR="005029A2" w:rsidRDefault="005450A5" w:rsidP="005029A2">
      <w:pPr>
        <w:pStyle w:val="ListBullet"/>
      </w:pPr>
      <w:r>
        <w:t>A</w:t>
      </w:r>
      <w:r w:rsidR="005029A2">
        <w:t xml:space="preserve"> switching fee (limited to cost recovery) — relating to </w:t>
      </w:r>
      <w:r w:rsidR="005029A2" w:rsidRPr="003F346F">
        <w:t xml:space="preserve">costs of switching in and out of </w:t>
      </w:r>
      <w:r w:rsidR="00877F43">
        <w:t xml:space="preserve">a </w:t>
      </w:r>
      <w:proofErr w:type="spellStart"/>
      <w:r w:rsidR="005029A2" w:rsidRPr="003F346F">
        <w:t>MySuper</w:t>
      </w:r>
      <w:proofErr w:type="spellEnd"/>
      <w:r w:rsidR="005029A2" w:rsidRPr="003F346F">
        <w:t xml:space="preserve"> </w:t>
      </w:r>
      <w:r w:rsidR="00877F43">
        <w:t xml:space="preserve">product </w:t>
      </w:r>
      <w:r w:rsidR="005029A2" w:rsidRPr="003F346F">
        <w:t>and from one choice product to another choice product.</w:t>
      </w:r>
    </w:p>
    <w:p w:rsidR="005029A2" w:rsidRDefault="005450A5" w:rsidP="005029A2">
      <w:pPr>
        <w:pStyle w:val="ListBullet"/>
      </w:pPr>
      <w:r>
        <w:t>A</w:t>
      </w:r>
      <w:r w:rsidR="005029A2">
        <w:t>n exit</w:t>
      </w:r>
      <w:r>
        <w:t xml:space="preserve"> fee (limited to cost recovery).</w:t>
      </w:r>
    </w:p>
    <w:p w:rsidR="005029A2" w:rsidRDefault="005450A5" w:rsidP="005029A2">
      <w:pPr>
        <w:pStyle w:val="ListBullet"/>
      </w:pPr>
      <w:r>
        <w:t>A</w:t>
      </w:r>
      <w:r w:rsidR="005029A2">
        <w:t>n activity fee (fees for member</w:t>
      </w:r>
      <w:r w:rsidR="00596A4A">
        <w:noBreakHyphen/>
      </w:r>
      <w:r w:rsidR="005029A2">
        <w:t>specific costs</w:t>
      </w:r>
      <w:r w:rsidR="00953E76">
        <w:t>,</w:t>
      </w:r>
      <w:r w:rsidR="00953E76" w:rsidRPr="00953E76">
        <w:t xml:space="preserve"> </w:t>
      </w:r>
      <w:r w:rsidR="00953E76">
        <w:t>limited to cost recovery</w:t>
      </w:r>
      <w:r w:rsidR="005029A2">
        <w:t>).</w:t>
      </w:r>
    </w:p>
    <w:p w:rsidR="005029A2" w:rsidRDefault="00591FF5" w:rsidP="000401C0">
      <w:pPr>
        <w:pStyle w:val="BodyText"/>
        <w:keepNext/>
      </w:pPr>
      <w:r>
        <w:t xml:space="preserve">Trustees will also be able to charge </w:t>
      </w:r>
      <w:r w:rsidR="00FD5FA2">
        <w:t>an</w:t>
      </w:r>
      <w:r w:rsidR="006B61E0">
        <w:t xml:space="preserve"> advice </w:t>
      </w:r>
      <w:r w:rsidR="00FD5FA2">
        <w:t>fee</w:t>
      </w:r>
      <w:r w:rsidR="00233301" w:rsidDel="00233301">
        <w:t xml:space="preserve"> </w:t>
      </w:r>
      <w:r w:rsidR="00233301">
        <w:t xml:space="preserve">for </w:t>
      </w:r>
      <w:r w:rsidR="00FD5FA2">
        <w:t>some additional forms of financial advice</w:t>
      </w:r>
      <w:r w:rsidR="00233301">
        <w:t>,</w:t>
      </w:r>
      <w:r w:rsidR="006B61E0">
        <w:t xml:space="preserve"> and </w:t>
      </w:r>
      <w:r w:rsidR="00FD5FA2">
        <w:t xml:space="preserve">an </w:t>
      </w:r>
      <w:r>
        <w:t xml:space="preserve">insurance </w:t>
      </w:r>
      <w:r w:rsidR="009C737A">
        <w:t>fee</w:t>
      </w:r>
      <w:r>
        <w:t xml:space="preserve"> (chapter 6)</w:t>
      </w:r>
      <w:r w:rsidRPr="001E1B5F">
        <w:t>.</w:t>
      </w:r>
      <w:r>
        <w:t xml:space="preserve"> </w:t>
      </w:r>
      <w:r w:rsidR="00837E69">
        <w:t>C</w:t>
      </w:r>
      <w:r w:rsidR="005029A2">
        <w:t xml:space="preserve">harging </w:t>
      </w:r>
      <w:r w:rsidR="00FD5FA2">
        <w:t xml:space="preserve">an </w:t>
      </w:r>
      <w:r w:rsidR="005029A2">
        <w:t>e</w:t>
      </w:r>
      <w:r w:rsidR="005029A2" w:rsidRPr="00B15E2F">
        <w:t xml:space="preserve">ntry fee for </w:t>
      </w:r>
      <w:proofErr w:type="spellStart"/>
      <w:r w:rsidR="005029A2" w:rsidRPr="00B15E2F">
        <w:t>MySuper</w:t>
      </w:r>
      <w:proofErr w:type="spellEnd"/>
      <w:r w:rsidR="005029A2" w:rsidRPr="00B15E2F">
        <w:t xml:space="preserve"> products </w:t>
      </w:r>
      <w:r w:rsidR="005029A2">
        <w:t>is</w:t>
      </w:r>
      <w:r w:rsidR="005029A2" w:rsidRPr="00B15E2F">
        <w:t xml:space="preserve"> </w:t>
      </w:r>
      <w:r w:rsidR="005029A2">
        <w:t>prohibited</w:t>
      </w:r>
      <w:r w:rsidR="00700026">
        <w:t xml:space="preserve">. Trustees will also be prohibited from deducting any amount from a </w:t>
      </w:r>
      <w:proofErr w:type="spellStart"/>
      <w:r w:rsidR="00700026">
        <w:t>MySuper</w:t>
      </w:r>
      <w:proofErr w:type="spellEnd"/>
      <w:r w:rsidR="00700026">
        <w:t xml:space="preserve"> product that relates to making a commission payment to a financial advisor (Shorten </w:t>
      </w:r>
      <w:proofErr w:type="spellStart"/>
      <w:r w:rsidR="00700026">
        <w:t>2012</w:t>
      </w:r>
      <w:r w:rsidR="001E4A50">
        <w:t>a</w:t>
      </w:r>
      <w:proofErr w:type="spellEnd"/>
      <w:r w:rsidR="00700026">
        <w:t>).</w:t>
      </w:r>
      <w:r w:rsidR="005029A2" w:rsidRPr="00B15E2F">
        <w:t xml:space="preserve"> </w:t>
      </w:r>
    </w:p>
    <w:p w:rsidR="005029A2" w:rsidRPr="00A3397F" w:rsidRDefault="00213FEF" w:rsidP="005029A2">
      <w:pPr>
        <w:pStyle w:val="BodyText"/>
      </w:pPr>
      <w:r>
        <w:t>There</w:t>
      </w:r>
      <w:r w:rsidR="005029A2" w:rsidRPr="00A3397F">
        <w:t xml:space="preserve"> must be equal treatment of members by giving all members of a </w:t>
      </w:r>
      <w:proofErr w:type="spellStart"/>
      <w:r w:rsidR="005029A2" w:rsidRPr="00A3397F">
        <w:t>MySuper</w:t>
      </w:r>
      <w:proofErr w:type="spellEnd"/>
      <w:r w:rsidR="005029A2" w:rsidRPr="00A3397F">
        <w:t xml:space="preserve"> product:</w:t>
      </w:r>
    </w:p>
    <w:p w:rsidR="005029A2" w:rsidRPr="00A3397F" w:rsidRDefault="005029A2" w:rsidP="005029A2">
      <w:pPr>
        <w:pStyle w:val="ListBullet"/>
      </w:pPr>
      <w:r w:rsidRPr="00A3397F">
        <w:t>the same fees (except</w:t>
      </w:r>
      <w:r w:rsidR="00693E9E">
        <w:t>:</w:t>
      </w:r>
      <w:r w:rsidRPr="00A3397F">
        <w:t xml:space="preserve"> </w:t>
      </w:r>
      <w:r w:rsidR="00693E9E" w:rsidRPr="00A3397F">
        <w:t xml:space="preserve">where </w:t>
      </w:r>
      <w:r w:rsidRPr="00A3397F">
        <w:t>a discounted administration fee is offered to employees of particular employers</w:t>
      </w:r>
      <w:r w:rsidR="00693E9E">
        <w:t>;</w:t>
      </w:r>
      <w:r w:rsidR="005D689B">
        <w:t xml:space="preserve"> </w:t>
      </w:r>
      <w:r w:rsidR="00DA6387">
        <w:t>for</w:t>
      </w:r>
      <w:r w:rsidR="005D689B">
        <w:t xml:space="preserve"> lifecycle investment strategies where investment fees can be charged according to age cohort</w:t>
      </w:r>
      <w:r w:rsidR="00693E9E">
        <w:t>;</w:t>
      </w:r>
      <w:r w:rsidR="006B61E0">
        <w:t xml:space="preserve"> </w:t>
      </w:r>
      <w:r w:rsidR="00F36173">
        <w:t xml:space="preserve">or </w:t>
      </w:r>
      <w:r w:rsidR="00693E9E">
        <w:t xml:space="preserve">for </w:t>
      </w:r>
      <w:r w:rsidR="006B61E0">
        <w:t>financial advice</w:t>
      </w:r>
      <w:r w:rsidR="00BC15F4">
        <w:t xml:space="preserve"> and insurance</w:t>
      </w:r>
      <w:r w:rsidR="006B61E0">
        <w:t xml:space="preserve"> fees</w:t>
      </w:r>
      <w:r w:rsidRPr="00A3397F">
        <w:t xml:space="preserve">) </w:t>
      </w:r>
    </w:p>
    <w:p w:rsidR="000C5253" w:rsidRPr="00A3397F" w:rsidRDefault="005029A2" w:rsidP="002E0336">
      <w:pPr>
        <w:pStyle w:val="ListBullet"/>
      </w:pPr>
      <w:r w:rsidRPr="00A3397F">
        <w:t>protection against fee subsidisation (since one employee should not be favoured over another where they have the same employer).</w:t>
      </w:r>
    </w:p>
    <w:p w:rsidR="00213FEF" w:rsidRPr="00213FEF" w:rsidRDefault="00213FEF" w:rsidP="002E0336">
      <w:pPr>
        <w:pStyle w:val="BodyText"/>
      </w:pPr>
      <w:r w:rsidRPr="00213FEF">
        <w:t xml:space="preserve">In addition, trustees must attribute costs fairly and reasonably across all </w:t>
      </w:r>
      <w:proofErr w:type="spellStart"/>
      <w:r w:rsidRPr="00213FEF">
        <w:t>MySuper</w:t>
      </w:r>
      <w:proofErr w:type="spellEnd"/>
      <w:r w:rsidRPr="00213FEF">
        <w:t xml:space="preserve"> products and choice products offered by the fund</w:t>
      </w:r>
      <w:r w:rsidR="006604C6">
        <w:t xml:space="preserve">. This is intended to prevent </w:t>
      </w:r>
      <w:proofErr w:type="spellStart"/>
      <w:r w:rsidR="006604C6">
        <w:t>MySuper</w:t>
      </w:r>
      <w:proofErr w:type="spellEnd"/>
      <w:r w:rsidR="006604C6">
        <w:t xml:space="preserve"> members from cross-subsidising other members</w:t>
      </w:r>
      <w:r w:rsidRPr="00213FEF">
        <w:t xml:space="preserve"> (Shorten </w:t>
      </w:r>
      <w:proofErr w:type="spellStart"/>
      <w:r w:rsidRPr="00213FEF">
        <w:t>2012a</w:t>
      </w:r>
      <w:proofErr w:type="spellEnd"/>
      <w:r w:rsidR="002A4813">
        <w:t>,</w:t>
      </w:r>
      <w:r w:rsidR="00B32065">
        <w:t xml:space="preserve"> </w:t>
      </w:r>
      <w:proofErr w:type="spellStart"/>
      <w:r w:rsidR="00B32065">
        <w:t>2012</w:t>
      </w:r>
      <w:r w:rsidR="00B80586">
        <w:t>b</w:t>
      </w:r>
      <w:proofErr w:type="spellEnd"/>
      <w:r w:rsidRPr="00213FEF">
        <w:t>).</w:t>
      </w:r>
    </w:p>
    <w:p w:rsidR="00213FEF" w:rsidRDefault="00213FEF" w:rsidP="00213FEF">
      <w:pPr>
        <w:pStyle w:val="BodyText"/>
      </w:pPr>
      <w:r>
        <w:t>A</w:t>
      </w:r>
      <w:r w:rsidR="00D2058D" w:rsidRPr="00D2058D">
        <w:t xml:space="preserve"> range of </w:t>
      </w:r>
      <w:r w:rsidR="00D2058D">
        <w:t xml:space="preserve">Stronger Super </w:t>
      </w:r>
      <w:r w:rsidR="00E96DBE">
        <w:t xml:space="preserve">reforms </w:t>
      </w:r>
      <w:r w:rsidR="00D2058D">
        <w:t>are expected to reduce</w:t>
      </w:r>
      <w:r w:rsidR="00D2058D" w:rsidRPr="00D2058D">
        <w:t xml:space="preserve"> </w:t>
      </w:r>
      <w:r w:rsidR="006604C6">
        <w:t>costs</w:t>
      </w:r>
      <w:r>
        <w:t>, ultimately benefiting</w:t>
      </w:r>
      <w:r w:rsidR="00D2058D" w:rsidRPr="00D2058D">
        <w:t xml:space="preserve"> members</w:t>
      </w:r>
      <w:r w:rsidR="00D2058D">
        <w:t xml:space="preserve">. For example, </w:t>
      </w:r>
      <w:r w:rsidR="00EF50BD">
        <w:t xml:space="preserve">over the longer term, </w:t>
      </w:r>
      <w:proofErr w:type="spellStart"/>
      <w:r w:rsidR="00D2058D">
        <w:t>SuperStream</w:t>
      </w:r>
      <w:proofErr w:type="spellEnd"/>
      <w:r w:rsidR="00D2058D">
        <w:t xml:space="preserve"> is intended to </w:t>
      </w:r>
      <w:r w:rsidR="00D2058D">
        <w:lastRenderedPageBreak/>
        <w:t>reduce administration costs for funds</w:t>
      </w:r>
      <w:r w:rsidR="00D2058D" w:rsidRPr="003277D4">
        <w:t xml:space="preserve">. </w:t>
      </w:r>
      <w:r w:rsidR="002636C4" w:rsidRPr="003277D4">
        <w:t xml:space="preserve">Further, </w:t>
      </w:r>
      <w:r w:rsidR="002636C4">
        <w:t>t</w:t>
      </w:r>
      <w:r w:rsidR="002636C4" w:rsidRPr="00BE0F37">
        <w:t xml:space="preserve">rustee duties </w:t>
      </w:r>
      <w:r w:rsidR="00D51411">
        <w:t xml:space="preserve">will include </w:t>
      </w:r>
      <w:r w:rsidR="00606A8A">
        <w:t>promot</w:t>
      </w:r>
      <w:r w:rsidR="00557A5A">
        <w:t>ing</w:t>
      </w:r>
      <w:r w:rsidR="00606A8A">
        <w:t xml:space="preserve"> the financial interests of </w:t>
      </w:r>
      <w:proofErr w:type="spellStart"/>
      <w:r w:rsidR="00606A8A">
        <w:t>MySuper</w:t>
      </w:r>
      <w:proofErr w:type="spellEnd"/>
      <w:r w:rsidR="00606A8A">
        <w:t xml:space="preserve"> beneficiaries, </w:t>
      </w:r>
      <w:r w:rsidR="00D35EFA">
        <w:t>with a</w:t>
      </w:r>
      <w:r w:rsidR="00606A8A">
        <w:t xml:space="preserve"> particular </w:t>
      </w:r>
      <w:r w:rsidR="00D35EFA">
        <w:t xml:space="preserve">focus on </w:t>
      </w:r>
      <w:r w:rsidR="00606A8A">
        <w:t>returns after the deduction of fees, costs and taxes</w:t>
      </w:r>
      <w:r w:rsidR="002636C4">
        <w:t xml:space="preserve"> (</w:t>
      </w:r>
      <w:r w:rsidR="00606A8A">
        <w:t xml:space="preserve">Shorten </w:t>
      </w:r>
      <w:proofErr w:type="spellStart"/>
      <w:r w:rsidR="00606A8A">
        <w:t>2012</w:t>
      </w:r>
      <w:r w:rsidR="00B80586">
        <w:t>d</w:t>
      </w:r>
      <w:proofErr w:type="spellEnd"/>
      <w:r w:rsidR="002636C4">
        <w:t>)</w:t>
      </w:r>
      <w:r w:rsidR="00D51411">
        <w:t>.</w:t>
      </w:r>
      <w:r w:rsidR="002636C4">
        <w:t xml:space="preserve"> </w:t>
      </w:r>
    </w:p>
    <w:p w:rsidR="00E20BA6" w:rsidRPr="004175E8" w:rsidRDefault="00E20BA6" w:rsidP="00E20BA6">
      <w:pPr>
        <w:pStyle w:val="Heading4"/>
      </w:pPr>
      <w:r>
        <w:t>Improving transparency</w:t>
      </w:r>
    </w:p>
    <w:p w:rsidR="002636C4" w:rsidRDefault="00603DB7" w:rsidP="00D2058D">
      <w:pPr>
        <w:pStyle w:val="BodyText"/>
      </w:pPr>
      <w:r w:rsidRPr="001D5490">
        <w:rPr>
          <w:color w:val="000000" w:themeColor="text1"/>
        </w:rPr>
        <w:t xml:space="preserve">Comprehensive data on </w:t>
      </w:r>
      <w:r w:rsidR="007D43BD">
        <w:rPr>
          <w:color w:val="000000" w:themeColor="text1"/>
        </w:rPr>
        <w:t>costs, including</w:t>
      </w:r>
      <w:r w:rsidR="007D43BD" w:rsidRPr="001D5490">
        <w:rPr>
          <w:color w:val="000000" w:themeColor="text1"/>
        </w:rPr>
        <w:t xml:space="preserve"> </w:t>
      </w:r>
      <w:r w:rsidRPr="001D5490">
        <w:rPr>
          <w:color w:val="000000" w:themeColor="text1"/>
        </w:rPr>
        <w:t>fees</w:t>
      </w:r>
      <w:r w:rsidR="007D43BD">
        <w:rPr>
          <w:color w:val="000000" w:themeColor="text1"/>
        </w:rPr>
        <w:t>,</w:t>
      </w:r>
      <w:r w:rsidRPr="001D5490">
        <w:rPr>
          <w:color w:val="000000" w:themeColor="text1"/>
        </w:rPr>
        <w:t xml:space="preserve"> are not currently available, though this will change under Stronger Super.</w:t>
      </w:r>
      <w:r>
        <w:rPr>
          <w:color w:val="000000" w:themeColor="text1"/>
        </w:rPr>
        <w:t xml:space="preserve"> </w:t>
      </w:r>
      <w:r w:rsidR="00213FEF">
        <w:t>A</w:t>
      </w:r>
      <w:r w:rsidR="00213FEF" w:rsidRPr="003C057A">
        <w:t>ll APRA</w:t>
      </w:r>
      <w:r w:rsidR="00213FEF" w:rsidRPr="003C057A">
        <w:noBreakHyphen/>
        <w:t xml:space="preserve">regulated funds will be required to calculate fees in a standardised way. APRA will be required to publish </w:t>
      </w:r>
      <w:r w:rsidR="00802E8F">
        <w:t xml:space="preserve">quarterly </w:t>
      </w:r>
      <w:r w:rsidR="00213FEF" w:rsidRPr="003C057A">
        <w:t xml:space="preserve">information </w:t>
      </w:r>
      <w:r w:rsidR="00213FEF">
        <w:t>on fees and costs</w:t>
      </w:r>
      <w:r w:rsidR="00802E8F">
        <w:t xml:space="preserve"> (and net returns)</w:t>
      </w:r>
      <w:r w:rsidR="00213FEF">
        <w:t xml:space="preserve"> </w:t>
      </w:r>
      <w:r w:rsidR="00802E8F">
        <w:t xml:space="preserve">for </w:t>
      </w:r>
      <w:proofErr w:type="spellStart"/>
      <w:r w:rsidR="00213FEF" w:rsidRPr="003C057A">
        <w:t>MySuper</w:t>
      </w:r>
      <w:proofErr w:type="spellEnd"/>
      <w:r w:rsidR="00213FEF" w:rsidRPr="003C057A">
        <w:t xml:space="preserve"> products</w:t>
      </w:r>
      <w:r w:rsidR="00802E8F">
        <w:t>,</w:t>
      </w:r>
      <w:r w:rsidR="00213FEF">
        <w:t xml:space="preserve"> </w:t>
      </w:r>
      <w:r w:rsidR="00213FEF" w:rsidRPr="003C057A">
        <w:t xml:space="preserve">and trustees will </w:t>
      </w:r>
      <w:r w:rsidR="00802E8F">
        <w:t xml:space="preserve">be required to </w:t>
      </w:r>
      <w:r w:rsidR="00213FEF" w:rsidRPr="003C057A">
        <w:t xml:space="preserve">disclose </w:t>
      </w:r>
      <w:r w:rsidR="00802E8F">
        <w:t xml:space="preserve">the </w:t>
      </w:r>
      <w:r w:rsidR="00213FEF" w:rsidRPr="003C057A">
        <w:t>information regarding choice products. APRA will have additional powers to collect information on a ‘look-through’ basis</w:t>
      </w:r>
      <w:r w:rsidR="00213FEF">
        <w:t>. </w:t>
      </w:r>
      <w:r w:rsidR="00213FEF" w:rsidRPr="003C057A">
        <w:t>This will enable APRA to obtain more complete and comparable data</w:t>
      </w:r>
      <w:r w:rsidR="00F36173">
        <w:t xml:space="preserve"> —</w:t>
      </w:r>
      <w:r w:rsidR="00213FEF" w:rsidRPr="003C057A">
        <w:t xml:space="preserve"> </w:t>
      </w:r>
      <w:r w:rsidR="00F36173">
        <w:t>p</w:t>
      </w:r>
      <w:r w:rsidR="00213FEF" w:rsidRPr="003C057A">
        <w:t>articular</w:t>
      </w:r>
      <w:r w:rsidR="00F36173">
        <w:t>ly</w:t>
      </w:r>
      <w:r w:rsidR="00213FEF" w:rsidRPr="003C057A">
        <w:t xml:space="preserve"> in relation to </w:t>
      </w:r>
      <w:r w:rsidR="00A82784">
        <w:t>costs</w:t>
      </w:r>
      <w:r w:rsidR="00F36173">
        <w:t xml:space="preserve"> —</w:t>
      </w:r>
      <w:r w:rsidR="00213FEF">
        <w:t xml:space="preserve"> </w:t>
      </w:r>
      <w:r w:rsidR="002F654A">
        <w:t xml:space="preserve">including </w:t>
      </w:r>
      <w:r w:rsidR="00176EED">
        <w:t xml:space="preserve">payments </w:t>
      </w:r>
      <w:r w:rsidR="005E679B">
        <w:t xml:space="preserve">to third parties </w:t>
      </w:r>
      <w:r w:rsidR="00802E8F">
        <w:t>that are</w:t>
      </w:r>
      <w:r w:rsidR="005E679B">
        <w:t xml:space="preserve"> </w:t>
      </w:r>
      <w:r w:rsidR="000142D5">
        <w:t>otherwise</w:t>
      </w:r>
      <w:r w:rsidR="002F654A">
        <w:t xml:space="preserve"> undisclosed to members </w:t>
      </w:r>
      <w:r w:rsidR="00213FEF" w:rsidRPr="003C057A">
        <w:t xml:space="preserve">(Australian Government </w:t>
      </w:r>
      <w:proofErr w:type="spellStart"/>
      <w:r w:rsidR="00213FEF" w:rsidRPr="003C057A">
        <w:t>2010</w:t>
      </w:r>
      <w:r w:rsidR="00213FEF">
        <w:t>d</w:t>
      </w:r>
      <w:proofErr w:type="spellEnd"/>
      <w:r w:rsidR="00213FEF">
        <w:t xml:space="preserve">; </w:t>
      </w:r>
      <w:r w:rsidR="00213FEF" w:rsidRPr="00210A35">
        <w:t xml:space="preserve">Shorten </w:t>
      </w:r>
      <w:proofErr w:type="spellStart"/>
      <w:r w:rsidR="00213FEF" w:rsidRPr="00210A35">
        <w:t>2012</w:t>
      </w:r>
      <w:r w:rsidR="00213FEF">
        <w:t>a</w:t>
      </w:r>
      <w:proofErr w:type="spellEnd"/>
      <w:r w:rsidR="00213FEF" w:rsidRPr="003C057A">
        <w:t xml:space="preserve">). </w:t>
      </w:r>
    </w:p>
    <w:p w:rsidR="002B28B6" w:rsidRPr="001A4446" w:rsidRDefault="002B28B6" w:rsidP="00D2058D">
      <w:pPr>
        <w:pStyle w:val="BodyText"/>
        <w:rPr>
          <w:rStyle w:val="DraftingNote"/>
        </w:rPr>
      </w:pPr>
      <w:r>
        <w:t xml:space="preserve">The new </w:t>
      </w:r>
      <w:r w:rsidR="00176EED">
        <w:t>r</w:t>
      </w:r>
      <w:r>
        <w:t xml:space="preserve">eporting </w:t>
      </w:r>
      <w:r w:rsidR="00176EED">
        <w:t>s</w:t>
      </w:r>
      <w:r>
        <w:t xml:space="preserve">tandards </w:t>
      </w:r>
      <w:r w:rsidR="006D5A28">
        <w:t>(section 4.2)</w:t>
      </w:r>
      <w:r w:rsidR="00BE6107">
        <w:t>, yet to be released,</w:t>
      </w:r>
      <w:r w:rsidR="006D5A28">
        <w:t xml:space="preserve"> will </w:t>
      </w:r>
      <w:r w:rsidR="005371CF">
        <w:t xml:space="preserve">provide the </w:t>
      </w:r>
      <w:r w:rsidR="006D5A28">
        <w:t xml:space="preserve">exact </w:t>
      </w:r>
      <w:r w:rsidR="005371CF">
        <w:t xml:space="preserve">details of APRA </w:t>
      </w:r>
      <w:r w:rsidR="00BE6107">
        <w:t>reporting requirements for superannuation entities</w:t>
      </w:r>
      <w:r w:rsidR="00895392">
        <w:t>, including</w:t>
      </w:r>
      <w:r w:rsidR="00BE6107">
        <w:t xml:space="preserve"> </w:t>
      </w:r>
      <w:r w:rsidR="001B6348">
        <w:t>those related</w:t>
      </w:r>
      <w:r w:rsidR="00BE6107">
        <w:t xml:space="preserve"> to fees and costs. </w:t>
      </w:r>
      <w:r w:rsidR="005371CF">
        <w:t>The APRA</w:t>
      </w:r>
      <w:r w:rsidR="00B01855">
        <w:t xml:space="preserve"> discussion paper on the </w:t>
      </w:r>
      <w:r w:rsidR="00176EED">
        <w:t>r</w:t>
      </w:r>
      <w:r w:rsidR="00B01855">
        <w:t xml:space="preserve">eporting </w:t>
      </w:r>
      <w:r w:rsidR="00ED4A3D">
        <w:t>s</w:t>
      </w:r>
      <w:r w:rsidR="00B01855">
        <w:t>tandards</w:t>
      </w:r>
      <w:r w:rsidR="00ED4A3D">
        <w:t xml:space="preserve"> for superannuation</w:t>
      </w:r>
      <w:r w:rsidR="00B01855">
        <w:t xml:space="preserve"> indicate</w:t>
      </w:r>
      <w:r w:rsidR="00E50BE4">
        <w:t>s</w:t>
      </w:r>
      <w:r w:rsidR="00B01855">
        <w:t xml:space="preserve"> </w:t>
      </w:r>
      <w:r w:rsidR="0029412E">
        <w:t xml:space="preserve">what is currently preferred. </w:t>
      </w:r>
      <w:r w:rsidR="00176EED">
        <w:t xml:space="preserve">It </w:t>
      </w:r>
      <w:r w:rsidR="0029412E">
        <w:t>include</w:t>
      </w:r>
      <w:r w:rsidR="00176EED">
        <w:t>s</w:t>
      </w:r>
      <w:r w:rsidR="00B01855">
        <w:t xml:space="preserve"> </w:t>
      </w:r>
      <w:r w:rsidR="00BE6107">
        <w:t>the separate reporting of investment and operating cost</w:t>
      </w:r>
      <w:r w:rsidR="0029412E">
        <w:t xml:space="preserve"> categories</w:t>
      </w:r>
      <w:r w:rsidR="00BE6107">
        <w:t xml:space="preserve">, </w:t>
      </w:r>
      <w:r w:rsidR="0029412E">
        <w:t>and</w:t>
      </w:r>
      <w:r w:rsidR="00BE6107">
        <w:t xml:space="preserve"> a number of sub</w:t>
      </w:r>
      <w:r w:rsidR="00BE6107">
        <w:noBreakHyphen/>
        <w:t>categories</w:t>
      </w:r>
      <w:r w:rsidR="00176EED">
        <w:t xml:space="preserve"> within them</w:t>
      </w:r>
      <w:r w:rsidR="00ED4A3D">
        <w:t xml:space="preserve">. </w:t>
      </w:r>
      <w:r w:rsidR="0029412E">
        <w:t xml:space="preserve">It also includes </w:t>
      </w:r>
      <w:r w:rsidR="00176EED">
        <w:t>payments to third parties</w:t>
      </w:r>
      <w:r w:rsidR="00895392">
        <w:t>,</w:t>
      </w:r>
      <w:r w:rsidR="00BE6107">
        <w:t xml:space="preserve"> so that </w:t>
      </w:r>
      <w:r w:rsidR="00B01855">
        <w:t xml:space="preserve">investment costs </w:t>
      </w:r>
      <w:r w:rsidR="00BE6107">
        <w:t>are captured whether or not they are charged explicitly</w:t>
      </w:r>
      <w:r w:rsidR="00F8507C">
        <w:t xml:space="preserve"> (APRA </w:t>
      </w:r>
      <w:proofErr w:type="spellStart"/>
      <w:r w:rsidR="00F8507C">
        <w:t>2012g</w:t>
      </w:r>
      <w:proofErr w:type="spellEnd"/>
      <w:r w:rsidR="00F8507C">
        <w:t>).</w:t>
      </w:r>
    </w:p>
    <w:p w:rsidR="00AC3B28" w:rsidRPr="00A23AF4" w:rsidRDefault="00AC3B28" w:rsidP="00D2058D">
      <w:pPr>
        <w:pStyle w:val="BodyText"/>
      </w:pPr>
      <w:r>
        <w:t xml:space="preserve">The </w:t>
      </w:r>
      <w:r w:rsidR="00CC1B72">
        <w:t>exact</w:t>
      </w:r>
      <w:r>
        <w:t xml:space="preserve"> data that will be published by APRA</w:t>
      </w:r>
      <w:r w:rsidR="00CC1B72">
        <w:t xml:space="preserve"> — </w:t>
      </w:r>
      <w:r w:rsidR="00251E59">
        <w:t>from</w:t>
      </w:r>
      <w:r w:rsidR="00CC1B72">
        <w:t xml:space="preserve"> </w:t>
      </w:r>
      <w:r w:rsidR="00251E59">
        <w:t>the data that</w:t>
      </w:r>
      <w:r w:rsidR="00CC1B72">
        <w:t xml:space="preserve"> </w:t>
      </w:r>
      <w:r w:rsidR="00251E59">
        <w:t>will be</w:t>
      </w:r>
      <w:r w:rsidR="00CC1B72">
        <w:t xml:space="preserve"> ultimately collected under the new reporting standards —</w:t>
      </w:r>
      <w:r>
        <w:t xml:space="preserve"> </w:t>
      </w:r>
      <w:r w:rsidR="00F36173">
        <w:t>are</w:t>
      </w:r>
      <w:r>
        <w:t xml:space="preserve"> not yet clear</w:t>
      </w:r>
      <w:r w:rsidR="008C6338">
        <w:t xml:space="preserve">, and </w:t>
      </w:r>
      <w:r w:rsidR="001B6348">
        <w:t xml:space="preserve">have not </w:t>
      </w:r>
      <w:r w:rsidR="008C6338">
        <w:t>as yet been the subject of consultation</w:t>
      </w:r>
      <w:r>
        <w:t>.</w:t>
      </w:r>
      <w:r w:rsidR="008C6338">
        <w:t xml:space="preserve"> </w:t>
      </w:r>
    </w:p>
    <w:p w:rsidR="00F15BA0" w:rsidRDefault="00E857F5" w:rsidP="00F15BA0">
      <w:pPr>
        <w:pStyle w:val="Heading3"/>
      </w:pPr>
      <w:r>
        <w:t xml:space="preserve">Scope for </w:t>
      </w:r>
      <w:r w:rsidR="007309BE">
        <w:t xml:space="preserve">additional criteria relating to </w:t>
      </w:r>
      <w:r w:rsidR="00F15BA0" w:rsidRPr="00135E69">
        <w:t xml:space="preserve">fees </w:t>
      </w:r>
      <w:r w:rsidR="00E20BA6">
        <w:t>and costs</w:t>
      </w:r>
      <w:r w:rsidR="002D7277" w:rsidRPr="002D7277">
        <w:t xml:space="preserve"> </w:t>
      </w:r>
    </w:p>
    <w:p w:rsidR="00525EB3" w:rsidRDefault="00B03716" w:rsidP="003104A8">
      <w:pPr>
        <w:pStyle w:val="BodyText"/>
      </w:pPr>
      <w:r>
        <w:t>T</w:t>
      </w:r>
      <w:r w:rsidR="003104A8">
        <w:t xml:space="preserve">he Stronger Super reforms will limit some fee categories to cost recovery </w:t>
      </w:r>
      <w:r w:rsidR="00022ED5">
        <w:t xml:space="preserve">(that is, to the underlying </w:t>
      </w:r>
      <w:r w:rsidR="006604C6">
        <w:t xml:space="preserve">costs </w:t>
      </w:r>
      <w:r w:rsidR="00022ED5">
        <w:t xml:space="preserve">that relate to the fee) </w:t>
      </w:r>
      <w:r w:rsidR="003104A8">
        <w:t>and</w:t>
      </w:r>
      <w:r w:rsidR="00CC4490">
        <w:t>,</w:t>
      </w:r>
      <w:r w:rsidR="003104A8">
        <w:t xml:space="preserve"> therefore</w:t>
      </w:r>
      <w:r w:rsidR="00CC4490">
        <w:t>,</w:t>
      </w:r>
      <w:r w:rsidR="003104A8">
        <w:t xml:space="preserve"> protect the interests of </w:t>
      </w:r>
      <w:proofErr w:type="spellStart"/>
      <w:r w:rsidR="003104A8">
        <w:t>MySuper</w:t>
      </w:r>
      <w:proofErr w:type="spellEnd"/>
      <w:r w:rsidR="003104A8">
        <w:t xml:space="preserve"> members by restricting</w:t>
      </w:r>
      <w:r w:rsidR="00557A5A">
        <w:t xml:space="preserve"> the size of the fee imposed</w:t>
      </w:r>
      <w:r>
        <w:t xml:space="preserve">. </w:t>
      </w:r>
      <w:r w:rsidR="00E20BA6">
        <w:t>However, t</w:t>
      </w:r>
      <w:r>
        <w:t>he Stronger Super reforms</w:t>
      </w:r>
      <w:r w:rsidR="003104A8">
        <w:t xml:space="preserve"> will not place limits on investment and administration fees</w:t>
      </w:r>
      <w:r w:rsidR="00E20BA6">
        <w:t>, providing trustees with some flexibility</w:t>
      </w:r>
      <w:r w:rsidR="003104A8">
        <w:t>.</w:t>
      </w:r>
      <w:r w:rsidR="00525EB3" w:rsidRPr="00525EB3">
        <w:t xml:space="preserve"> </w:t>
      </w:r>
    </w:p>
    <w:p w:rsidR="003104A8" w:rsidRDefault="003D5765" w:rsidP="003104A8">
      <w:pPr>
        <w:pStyle w:val="BodyText"/>
      </w:pPr>
      <w:r>
        <w:t>T</w:t>
      </w:r>
      <w:r w:rsidR="00525EB3">
        <w:t xml:space="preserve">he requirement </w:t>
      </w:r>
      <w:r>
        <w:t>that</w:t>
      </w:r>
      <w:r w:rsidR="00525EB3">
        <w:t xml:space="preserve"> trustees allocate costs fairly between </w:t>
      </w:r>
      <w:proofErr w:type="spellStart"/>
      <w:r w:rsidR="00525EB3">
        <w:t>MySuper</w:t>
      </w:r>
      <w:proofErr w:type="spellEnd"/>
      <w:r w:rsidR="00525EB3">
        <w:t xml:space="preserve"> and choice products, and the Stronger Super transparency measures</w:t>
      </w:r>
      <w:r w:rsidR="0029412E">
        <w:t xml:space="preserve">, </w:t>
      </w:r>
      <w:r>
        <w:t xml:space="preserve">including </w:t>
      </w:r>
      <w:r w:rsidR="0029412E">
        <w:t>the ‘look</w:t>
      </w:r>
      <w:r w:rsidR="00AC3B28">
        <w:noBreakHyphen/>
      </w:r>
      <w:r w:rsidR="0029412E">
        <w:t xml:space="preserve">through’ reporting of investment </w:t>
      </w:r>
      <w:r w:rsidR="00176EED">
        <w:t xml:space="preserve">payments to third parties </w:t>
      </w:r>
      <w:r w:rsidR="004C6940">
        <w:t>(above)</w:t>
      </w:r>
      <w:r>
        <w:t>, will support the fee</w:t>
      </w:r>
      <w:r w:rsidR="001B6348">
        <w:noBreakHyphen/>
      </w:r>
      <w:r>
        <w:t xml:space="preserve">related reforms. </w:t>
      </w:r>
      <w:r w:rsidR="00525EB3">
        <w:t xml:space="preserve">However, the exact details </w:t>
      </w:r>
      <w:r w:rsidR="00567433">
        <w:t xml:space="preserve">of </w:t>
      </w:r>
      <w:r w:rsidR="004C6940">
        <w:t>these</w:t>
      </w:r>
      <w:r w:rsidR="00567433">
        <w:t xml:space="preserve"> </w:t>
      </w:r>
      <w:r w:rsidR="00176EED">
        <w:t xml:space="preserve">requirements </w:t>
      </w:r>
      <w:r w:rsidR="00525EB3">
        <w:lastRenderedPageBreak/>
        <w:t>will remain unclear until early 2013, and</w:t>
      </w:r>
      <w:r w:rsidR="00567433">
        <w:t xml:space="preserve"> </w:t>
      </w:r>
      <w:r w:rsidR="004C6940">
        <w:t xml:space="preserve">the resulting </w:t>
      </w:r>
      <w:r w:rsidR="00567433">
        <w:t xml:space="preserve">data </w:t>
      </w:r>
      <w:r>
        <w:t>‘</w:t>
      </w:r>
      <w:r w:rsidR="00567433">
        <w:t>completeness</w:t>
      </w:r>
      <w:r>
        <w:t>’</w:t>
      </w:r>
      <w:r w:rsidR="00525EB3">
        <w:t xml:space="preserve"> </w:t>
      </w:r>
      <w:r w:rsidR="00567433">
        <w:t xml:space="preserve">and </w:t>
      </w:r>
      <w:r w:rsidR="00176EED">
        <w:t xml:space="preserve">product </w:t>
      </w:r>
      <w:r w:rsidR="00567433">
        <w:t xml:space="preserve">comparability is likely to </w:t>
      </w:r>
      <w:r w:rsidR="004C6940">
        <w:t>remain</w:t>
      </w:r>
      <w:r w:rsidR="00567433">
        <w:t xml:space="preserve"> </w:t>
      </w:r>
      <w:r w:rsidR="00525EB3">
        <w:t xml:space="preserve">uncertain for some time beyond their implementation in July 2013. </w:t>
      </w:r>
    </w:p>
    <w:p w:rsidR="00AD3425" w:rsidRDefault="00AD3425" w:rsidP="00AD3425">
      <w:pPr>
        <w:pStyle w:val="Heading4"/>
      </w:pPr>
      <w:r>
        <w:t>Participants’ views</w:t>
      </w:r>
    </w:p>
    <w:p w:rsidR="00E20BA6" w:rsidRDefault="00E20BA6" w:rsidP="00E20BA6">
      <w:pPr>
        <w:pStyle w:val="BodyText"/>
      </w:pPr>
      <w:r>
        <w:t xml:space="preserve">Many participants recognised the centrality of fees and costs to the ultimate net returns to members. For example, </w:t>
      </w:r>
      <w:r w:rsidR="00BD0145">
        <w:t>the Department of Education, Employment and Workplace Relations and the Treasury</w:t>
      </w:r>
      <w:r>
        <w:t xml:space="preserve"> </w:t>
      </w:r>
      <w:r w:rsidR="00654033">
        <w:t xml:space="preserve">jointly </w:t>
      </w:r>
      <w:r>
        <w:t>commented, in the context of the appropriateness of fees and costs charged to members, that:</w:t>
      </w:r>
    </w:p>
    <w:p w:rsidR="00E20BA6" w:rsidRDefault="00E20BA6" w:rsidP="00E20BA6">
      <w:pPr>
        <w:pStyle w:val="Quote"/>
      </w:pPr>
      <w:r>
        <w:rPr>
          <w:sz w:val="23"/>
          <w:szCs w:val="23"/>
        </w:rPr>
        <w:t>Net returns (that is, returns after the deduction of fees, costs and taxes) … must be the core criteria used to assess fund performance. (</w:t>
      </w:r>
      <w:r>
        <w:t xml:space="preserve">sub. </w:t>
      </w:r>
      <w:proofErr w:type="spellStart"/>
      <w:r>
        <w:t>DR89</w:t>
      </w:r>
      <w:proofErr w:type="spellEnd"/>
      <w:r>
        <w:t>, p. 6)</w:t>
      </w:r>
    </w:p>
    <w:p w:rsidR="008903F5" w:rsidRDefault="000A60A4" w:rsidP="008903F5">
      <w:pPr>
        <w:pStyle w:val="BodyText"/>
      </w:pPr>
      <w:r>
        <w:t>O</w:t>
      </w:r>
      <w:r w:rsidR="00DC3680">
        <w:t>nly a small number</w:t>
      </w:r>
      <w:r w:rsidR="003104A8" w:rsidRPr="005904E0">
        <w:t xml:space="preserve"> </w:t>
      </w:r>
      <w:r w:rsidR="00CF22F5">
        <w:t xml:space="preserve">of </w:t>
      </w:r>
      <w:r w:rsidR="003104A8">
        <w:t xml:space="preserve">inquiry </w:t>
      </w:r>
      <w:r w:rsidR="003104A8" w:rsidRPr="005904E0">
        <w:t xml:space="preserve">participants </w:t>
      </w:r>
      <w:r w:rsidR="003104A8">
        <w:t>argue</w:t>
      </w:r>
      <w:r w:rsidR="002636C4">
        <w:t>d</w:t>
      </w:r>
      <w:r w:rsidR="003104A8" w:rsidRPr="005904E0">
        <w:t xml:space="preserve"> that </w:t>
      </w:r>
      <w:r w:rsidR="0079054E">
        <w:t xml:space="preserve">a fee limit should apply for </w:t>
      </w:r>
      <w:r w:rsidR="00F341ED">
        <w:t xml:space="preserve">products </w:t>
      </w:r>
      <w:r w:rsidR="0079054E">
        <w:t xml:space="preserve">to be listed as default </w:t>
      </w:r>
      <w:r w:rsidR="00F341ED">
        <w:t xml:space="preserve">products </w:t>
      </w:r>
      <w:r w:rsidR="0079054E">
        <w:t>in modern awards</w:t>
      </w:r>
      <w:r w:rsidR="00176D2B">
        <w:t>, though the benefits of low</w:t>
      </w:r>
      <w:r w:rsidR="001B6348">
        <w:noBreakHyphen/>
      </w:r>
      <w:r w:rsidR="00176D2B">
        <w:t xml:space="preserve">cost options are recognised (for example, </w:t>
      </w:r>
      <w:r w:rsidR="00176D2B">
        <w:rPr>
          <w:color w:val="000000"/>
        </w:rPr>
        <w:t>Employment Law Committee of the Law Society of NSW, sub. 11)</w:t>
      </w:r>
      <w:r w:rsidR="00DC3680">
        <w:t xml:space="preserve">. </w:t>
      </w:r>
      <w:r w:rsidR="008903F5">
        <w:t>In contrast, REI Super stated that imposing an investment fee limit ignores that ‘… there may be a case … for higher investment fees if active investment management produces higher net performance to members’ (sub. 26, p. 3). In addition,</w:t>
      </w:r>
      <w:r w:rsidR="008903F5" w:rsidRPr="00850187">
        <w:t xml:space="preserve"> </w:t>
      </w:r>
      <w:r w:rsidR="008903F5">
        <w:t>imposing a fee cap may have the unintended consequence of ‘… </w:t>
      </w:r>
      <w:r w:rsidR="008903F5" w:rsidRPr="00F344AE">
        <w:t>providers pricing their p</w:t>
      </w:r>
      <w:r w:rsidR="008903F5">
        <w:t xml:space="preserve">roducts at the maximum amount’ </w:t>
      </w:r>
      <w:r w:rsidR="008903F5" w:rsidRPr="00F344AE">
        <w:t>(</w:t>
      </w:r>
      <w:proofErr w:type="spellStart"/>
      <w:r w:rsidR="008903F5" w:rsidRPr="00F344AE">
        <w:t>FSC</w:t>
      </w:r>
      <w:proofErr w:type="spellEnd"/>
      <w:r w:rsidR="008903F5" w:rsidRPr="00F344AE">
        <w:t>, sub. 30, p.</w:t>
      </w:r>
      <w:r w:rsidR="008903F5">
        <w:t> </w:t>
      </w:r>
      <w:r w:rsidR="008903F5" w:rsidRPr="00F344AE">
        <w:t>21)</w:t>
      </w:r>
      <w:r w:rsidR="008903F5">
        <w:t>.</w:t>
      </w:r>
      <w:r w:rsidR="008903F5" w:rsidRPr="00E20BA6">
        <w:t xml:space="preserve"> </w:t>
      </w:r>
    </w:p>
    <w:p w:rsidR="00D76188" w:rsidRDefault="00CB5C3E" w:rsidP="003104A8">
      <w:pPr>
        <w:pStyle w:val="BodyText"/>
      </w:pPr>
      <w:r>
        <w:t>O</w:t>
      </w:r>
      <w:r w:rsidR="00D76188" w:rsidRPr="005904E0">
        <w:t xml:space="preserve">ther participants </w:t>
      </w:r>
      <w:r w:rsidR="00D76188">
        <w:t xml:space="preserve">believe that the fee rules prescribed for </w:t>
      </w:r>
      <w:proofErr w:type="spellStart"/>
      <w:r w:rsidR="00D76188">
        <w:t>MySuper</w:t>
      </w:r>
      <w:proofErr w:type="spellEnd"/>
      <w:r w:rsidR="00D76188">
        <w:t xml:space="preserve"> products are sufficient</w:t>
      </w:r>
      <w:r w:rsidR="00D76188" w:rsidRPr="008C453E">
        <w:t>.</w:t>
      </w:r>
      <w:r w:rsidR="00E20BA6" w:rsidRPr="009352F7">
        <w:t xml:space="preserve"> </w:t>
      </w:r>
      <w:r w:rsidR="00FC109D">
        <w:t>The Financial Services Council</w:t>
      </w:r>
      <w:r w:rsidR="00E20BA6">
        <w:t xml:space="preserve"> pointed out that pro-market competition reform has benefited consumers, suggesting that if competition were increased among default </w:t>
      </w:r>
      <w:r w:rsidR="00F341ED">
        <w:t xml:space="preserve">products </w:t>
      </w:r>
      <w:r w:rsidR="00E20BA6">
        <w:t>in modern awards, no fee limit would be required</w:t>
      </w:r>
      <w:r w:rsidR="00863E4F">
        <w:t xml:space="preserve"> (</w:t>
      </w:r>
      <w:r w:rsidR="00FC109D">
        <w:t>sub. </w:t>
      </w:r>
      <w:proofErr w:type="spellStart"/>
      <w:r w:rsidR="00863E4F">
        <w:t>DR80</w:t>
      </w:r>
      <w:proofErr w:type="spellEnd"/>
      <w:r w:rsidR="00863E4F">
        <w:t>)</w:t>
      </w:r>
      <w:r w:rsidR="00E20BA6">
        <w:t>.</w:t>
      </w:r>
    </w:p>
    <w:p w:rsidR="008903F5" w:rsidRDefault="008903F5" w:rsidP="008903F5">
      <w:pPr>
        <w:pStyle w:val="BodyText"/>
      </w:pPr>
      <w:r>
        <w:t>Other</w:t>
      </w:r>
      <w:r w:rsidR="00CA3691">
        <w:t xml:space="preserve"> </w:t>
      </w:r>
      <w:r w:rsidR="00CA3691" w:rsidRPr="005904E0">
        <w:t xml:space="preserve">participants </w:t>
      </w:r>
      <w:r>
        <w:t xml:space="preserve">recognised that </w:t>
      </w:r>
      <w:r w:rsidR="00EC42AA">
        <w:t>fees</w:t>
      </w:r>
      <w:r>
        <w:t xml:space="preserve"> should be one consideration in the selection and ongoing assessment of default </w:t>
      </w:r>
      <w:r w:rsidR="00F341ED">
        <w:t>products</w:t>
      </w:r>
      <w:r>
        <w:t xml:space="preserve">, but fell short of suggesting a limit should be imposed (for example, </w:t>
      </w:r>
      <w:r w:rsidR="00727BB8">
        <w:t>CPA</w:t>
      </w:r>
      <w:r w:rsidR="00727934">
        <w:t xml:space="preserve"> Australia</w:t>
      </w:r>
      <w:r>
        <w:t>, sub. </w:t>
      </w:r>
      <w:r w:rsidR="00727BB8">
        <w:t>39</w:t>
      </w:r>
      <w:r>
        <w:t>).</w:t>
      </w:r>
    </w:p>
    <w:p w:rsidR="0067030D" w:rsidRDefault="00CB5C3E" w:rsidP="0067030D">
      <w:pPr>
        <w:pStyle w:val="BodyText"/>
      </w:pPr>
      <w:r>
        <w:t>The Actuaries Institute</w:t>
      </w:r>
      <w:r w:rsidDel="00CB5C3E">
        <w:t xml:space="preserve"> </w:t>
      </w:r>
      <w:r w:rsidR="0067030D">
        <w:t xml:space="preserve">pointed out that when considering this issue, it is ‘vital’ that </w:t>
      </w:r>
      <w:r w:rsidR="00DC7997">
        <w:t xml:space="preserve">all costs, and not just </w:t>
      </w:r>
      <w:r w:rsidR="00176EED">
        <w:t>fees</w:t>
      </w:r>
      <w:r w:rsidR="00DC7997">
        <w:t>,</w:t>
      </w:r>
      <w:r w:rsidR="00176EED">
        <w:t xml:space="preserve"> </w:t>
      </w:r>
      <w:r w:rsidR="00DF1E9A">
        <w:t xml:space="preserve">are taken into account so that those </w:t>
      </w:r>
      <w:r w:rsidR="0067030D">
        <w:t xml:space="preserve">that are </w:t>
      </w:r>
      <w:r w:rsidR="00D2459C">
        <w:t>paid</w:t>
      </w:r>
      <w:r w:rsidR="0067030D">
        <w:t xml:space="preserve"> </w:t>
      </w:r>
      <w:r w:rsidR="00DF1E9A">
        <w:t>indirectly by members</w:t>
      </w:r>
      <w:r w:rsidR="00D2459C">
        <w:t>,</w:t>
      </w:r>
      <w:r w:rsidR="0067030D">
        <w:t xml:space="preserve"> as well as those that are </w:t>
      </w:r>
      <w:r w:rsidR="00DF1E9A">
        <w:t>paid directly</w:t>
      </w:r>
      <w:r w:rsidR="00D2459C">
        <w:t>,</w:t>
      </w:r>
      <w:r w:rsidR="0067030D">
        <w:t xml:space="preserve"> are taken into account (sub. 45).</w:t>
      </w:r>
      <w:r w:rsidR="00F817AD">
        <w:t xml:space="preserve"> Another participant voiced concerns about costs that are paid indirectly by members as a result of third</w:t>
      </w:r>
      <w:r w:rsidR="001B6348">
        <w:noBreakHyphen/>
      </w:r>
      <w:r w:rsidR="00F817AD">
        <w:t>party transactions:</w:t>
      </w:r>
    </w:p>
    <w:p w:rsidR="00F817AD" w:rsidRDefault="00F817AD" w:rsidP="006B4803">
      <w:pPr>
        <w:pStyle w:val="Quote"/>
      </w:pPr>
      <w:r>
        <w:t xml:space="preserve">… investment structures can allow </w:t>
      </w:r>
      <w:r w:rsidR="00E156D2">
        <w:t>[costs]</w:t>
      </w:r>
      <w:r>
        <w:t xml:space="preserve"> and profits to be moved down a chain of entities, rather than being reflected in headline fees. Accordingly if fee comparisons are to be made they should, if possible, adjust for these variations. (</w:t>
      </w:r>
      <w:proofErr w:type="spellStart"/>
      <w:r>
        <w:t>DEEWR</w:t>
      </w:r>
      <w:proofErr w:type="spellEnd"/>
      <w:r w:rsidR="00806D9C">
        <w:rPr>
          <w:sz w:val="23"/>
          <w:szCs w:val="23"/>
        </w:rPr>
        <w:t>/Treasury</w:t>
      </w:r>
      <w:r w:rsidR="00806D9C">
        <w:t>, sub. </w:t>
      </w:r>
      <w:proofErr w:type="spellStart"/>
      <w:r>
        <w:t>DR89</w:t>
      </w:r>
      <w:proofErr w:type="spellEnd"/>
      <w:r>
        <w:t>, p. 7)</w:t>
      </w:r>
    </w:p>
    <w:p w:rsidR="00681F35" w:rsidRDefault="00681F35" w:rsidP="00681F35">
      <w:pPr>
        <w:pStyle w:val="BodyText"/>
      </w:pPr>
      <w:r>
        <w:lastRenderedPageBreak/>
        <w:t>In supporting fees and costs as a consideration</w:t>
      </w:r>
      <w:r w:rsidR="00D82896">
        <w:t xml:space="preserve"> in listing default products in modern awards</w:t>
      </w:r>
      <w:r>
        <w:t xml:space="preserve">, </w:t>
      </w:r>
      <w:r w:rsidR="0067030D">
        <w:t xml:space="preserve">the Actuaries Institute also </w:t>
      </w:r>
      <w:r>
        <w:t>contended that fees and costs associated with investments should be considered separately from those associated with the fund’s operation</w:t>
      </w:r>
      <w:r w:rsidR="004C6940">
        <w:t xml:space="preserve">. </w:t>
      </w:r>
      <w:r w:rsidR="008903F5">
        <w:t xml:space="preserve">Some participants </w:t>
      </w:r>
      <w:r w:rsidR="00066295">
        <w:t xml:space="preserve">also </w:t>
      </w:r>
      <w:r w:rsidR="008903F5">
        <w:t>emphasised the importance of understanding value for money. In this vein,</w:t>
      </w:r>
      <w:r w:rsidR="00D2459C">
        <w:t xml:space="preserve"> the</w:t>
      </w:r>
      <w:r w:rsidR="004C6940">
        <w:t xml:space="preserve"> Actuaries Institute contended that the appropriateness of the </w:t>
      </w:r>
      <w:r w:rsidR="009652CD">
        <w:t xml:space="preserve">fees and costs associated with investments should be considered in terms of the investment return target and risk profile, and that </w:t>
      </w:r>
      <w:r w:rsidR="004C6940">
        <w:t xml:space="preserve">operating fees and costs should be considered in terms of the services provided </w:t>
      </w:r>
      <w:r>
        <w:t>(sub. </w:t>
      </w:r>
      <w:proofErr w:type="spellStart"/>
      <w:r>
        <w:t>DR60</w:t>
      </w:r>
      <w:proofErr w:type="spellEnd"/>
      <w:r>
        <w:t>)</w:t>
      </w:r>
      <w:r w:rsidR="00034895">
        <w:t xml:space="preserve"> (box</w:t>
      </w:r>
      <w:r w:rsidR="004C6940">
        <w:t> </w:t>
      </w:r>
      <w:r w:rsidR="00034895">
        <w:t>4.3)</w:t>
      </w:r>
      <w:r>
        <w:t xml:space="preserve">. </w:t>
      </w:r>
    </w:p>
    <w:p w:rsidR="00227715" w:rsidRDefault="00227715" w:rsidP="00096DBE">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27715">
        <w:tc>
          <w:tcPr>
            <w:tcW w:w="8771" w:type="dxa"/>
            <w:tcBorders>
              <w:top w:val="single" w:sz="6" w:space="0" w:color="auto"/>
              <w:bottom w:val="nil"/>
            </w:tcBorders>
          </w:tcPr>
          <w:p w:rsidR="00227715" w:rsidRDefault="00227715">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53236F">
              <w:rPr>
                <w:b w:val="0"/>
              </w:rPr>
              <w:t>4.</w:t>
            </w:r>
            <w:r>
              <w:rPr>
                <w:b w:val="0"/>
              </w:rPr>
              <w:fldChar w:fldCharType="end"/>
            </w:r>
            <w:r w:rsidR="00EF653E">
              <w:rPr>
                <w:b w:val="0"/>
              </w:rPr>
              <w:t>3</w:t>
            </w:r>
            <w:r>
              <w:tab/>
              <w:t xml:space="preserve">Fees and costs as a </w:t>
            </w:r>
            <w:r w:rsidR="00D82896">
              <w:t xml:space="preserve">criterion </w:t>
            </w:r>
            <w:r>
              <w:t xml:space="preserve">for selecting default </w:t>
            </w:r>
            <w:r w:rsidR="0021207A">
              <w:t>products</w:t>
            </w:r>
            <w:r w:rsidR="00414C77">
              <w:t> </w:t>
            </w:r>
            <w:r w:rsidR="00414C77">
              <w:rPr>
                <w:rFonts w:cs="Arial"/>
              </w:rPr>
              <w:t>―</w:t>
            </w:r>
            <w:r w:rsidR="00414C77">
              <w:t> </w:t>
            </w:r>
            <w:r>
              <w:t>some perspectives</w:t>
            </w:r>
          </w:p>
        </w:tc>
      </w:tr>
      <w:tr w:rsidR="00227715">
        <w:trPr>
          <w:cantSplit/>
        </w:trPr>
        <w:tc>
          <w:tcPr>
            <w:tcW w:w="8771" w:type="dxa"/>
            <w:tcBorders>
              <w:top w:val="nil"/>
              <w:left w:val="single" w:sz="6" w:space="0" w:color="auto"/>
              <w:bottom w:val="nil"/>
              <w:right w:val="single" w:sz="6" w:space="0" w:color="auto"/>
            </w:tcBorders>
          </w:tcPr>
          <w:p w:rsidR="00227715" w:rsidRDefault="00227715" w:rsidP="00CB5C3E">
            <w:pPr>
              <w:pStyle w:val="BoxHeading1"/>
            </w:pPr>
            <w:r>
              <w:t>Should be considered</w:t>
            </w:r>
          </w:p>
          <w:p w:rsidR="00227715" w:rsidRPr="00C75FA3" w:rsidRDefault="00227715" w:rsidP="00227715">
            <w:pPr>
              <w:pStyle w:val="BoxQuote"/>
            </w:pPr>
            <w:r w:rsidRPr="00947755">
              <w:t>Fees should only be a consideration when a fund is demonstrably charging an unreasonably high fee for administration, or where investment fees are unreasonably high on a like-for-like basis.</w:t>
            </w:r>
            <w:r>
              <w:t xml:space="preserve"> (</w:t>
            </w:r>
            <w:proofErr w:type="spellStart"/>
            <w:r>
              <w:t>AIST</w:t>
            </w:r>
            <w:proofErr w:type="spellEnd"/>
            <w:r>
              <w:t xml:space="preserve">, sub. 20, </w:t>
            </w:r>
            <w:proofErr w:type="spellStart"/>
            <w:r>
              <w:t>p.12</w:t>
            </w:r>
            <w:proofErr w:type="spellEnd"/>
            <w:r>
              <w:t xml:space="preserve">) </w:t>
            </w:r>
          </w:p>
          <w:p w:rsidR="00227715" w:rsidRDefault="00227715" w:rsidP="00227715">
            <w:pPr>
              <w:pStyle w:val="BoxQuote"/>
            </w:pPr>
            <w:r>
              <w:t xml:space="preserve">CPA Australia believes [the] level of fees … should be considered when determining the suitability of a default fund … </w:t>
            </w:r>
            <w:r w:rsidR="00DD0F98">
              <w:t xml:space="preserve">All criteria should have equal weighting. </w:t>
            </w:r>
            <w:r>
              <w:t>Importantly, the focus should be on the overall value or benefit provided to members</w:t>
            </w:r>
            <w:r w:rsidR="00DD0F98">
              <w:t xml:space="preserve">. </w:t>
            </w:r>
            <w:r>
              <w:t>(CPA Australia, sub. 39, p. 2)</w:t>
            </w:r>
          </w:p>
          <w:p w:rsidR="008903F5" w:rsidRPr="008903F5" w:rsidRDefault="008903F5" w:rsidP="008903F5">
            <w:pPr>
              <w:pStyle w:val="BoxQuote"/>
            </w:pPr>
            <w:r>
              <w:t>Fees and costs need to be one of the factors considered when choosing a default fund in an Award or agreement. (Actuaries Institute, sub. 45, p. 4)</w:t>
            </w:r>
          </w:p>
          <w:p w:rsidR="00227715" w:rsidRDefault="00227715" w:rsidP="00CB5C3E">
            <w:pPr>
              <w:pStyle w:val="BoxHeading1"/>
            </w:pPr>
            <w:r>
              <w:t>Should not be considered</w:t>
            </w:r>
            <w:r w:rsidR="00CB5C3E">
              <w:t xml:space="preserve"> beyond </w:t>
            </w:r>
            <w:proofErr w:type="spellStart"/>
            <w:r w:rsidR="00CB5C3E">
              <w:t>MySuper</w:t>
            </w:r>
            <w:proofErr w:type="spellEnd"/>
            <w:r w:rsidR="00CB5C3E">
              <w:t xml:space="preserve"> requirements</w:t>
            </w:r>
          </w:p>
          <w:p w:rsidR="00227715" w:rsidRDefault="00A07164" w:rsidP="00227715">
            <w:pPr>
              <w:pStyle w:val="BoxQuote"/>
            </w:pPr>
            <w:r>
              <w:t>…</w:t>
            </w:r>
            <w:r w:rsidR="00227715">
              <w:t xml:space="preserve"> the process for authorisation of a </w:t>
            </w:r>
            <w:proofErr w:type="spellStart"/>
            <w:r w:rsidR="00227715">
              <w:t>MySuper</w:t>
            </w:r>
            <w:proofErr w:type="spellEnd"/>
            <w:r w:rsidR="00227715">
              <w:t xml:space="preserve"> product factors in fees. (</w:t>
            </w:r>
            <w:proofErr w:type="spellStart"/>
            <w:r w:rsidR="00227715">
              <w:t>Tasplan</w:t>
            </w:r>
            <w:proofErr w:type="spellEnd"/>
            <w:r w:rsidR="00227715">
              <w:t xml:space="preserve">, sub. 6, p. 4) </w:t>
            </w:r>
          </w:p>
          <w:p w:rsidR="00227715" w:rsidRDefault="00227715" w:rsidP="00227715">
            <w:pPr>
              <w:pStyle w:val="BoxQuote"/>
            </w:pPr>
            <w:r>
              <w:t xml:space="preserve">Fees should not be a factor beyond the standards set by </w:t>
            </w:r>
            <w:proofErr w:type="spellStart"/>
            <w:r>
              <w:t>MySuper</w:t>
            </w:r>
            <w:proofErr w:type="spellEnd"/>
            <w:r>
              <w:t>. It is the net return to members and services provided which are important. (Unions NSW, sub. 13, p. 5)</w:t>
            </w:r>
            <w:r w:rsidRPr="001D5490">
              <w:t xml:space="preserve"> </w:t>
            </w:r>
          </w:p>
          <w:p w:rsidR="00513C97" w:rsidRPr="00EB7C10" w:rsidRDefault="00513C97" w:rsidP="00CB5C3E">
            <w:pPr>
              <w:pStyle w:val="BoxHeading1"/>
            </w:pPr>
            <w:r w:rsidRPr="00EB7C10">
              <w:t>Other comments</w:t>
            </w:r>
          </w:p>
          <w:p w:rsidR="00513C97" w:rsidRPr="00CC701A" w:rsidRDefault="00513C97" w:rsidP="00513C97">
            <w:pPr>
              <w:pStyle w:val="BoxQuote"/>
            </w:pPr>
            <w:r w:rsidRPr="00CC701A">
              <w:t>Low or no cost options should be considered in any review for younger workers. (Employment Law Committee of the Law Society of NSW, sub. 11, p. 1)</w:t>
            </w:r>
          </w:p>
          <w:p w:rsidR="00513C97" w:rsidRDefault="00513C97" w:rsidP="000C144A">
            <w:pPr>
              <w:pStyle w:val="BoxQuote"/>
            </w:pPr>
            <w:r w:rsidRPr="00CC701A">
              <w:t xml:space="preserve">In looking at products, it is not possible to look at fees alone. (Association of Financial Advisors, sub. </w:t>
            </w:r>
            <w:proofErr w:type="spellStart"/>
            <w:r w:rsidRPr="00CC701A">
              <w:t>DR73</w:t>
            </w:r>
            <w:proofErr w:type="spellEnd"/>
            <w:r w:rsidRPr="00CC701A">
              <w:t>, p. 3)</w:t>
            </w:r>
          </w:p>
          <w:p w:rsidR="009A76C9" w:rsidRPr="009A76C9" w:rsidRDefault="009A76C9">
            <w:pPr>
              <w:pStyle w:val="BoxQuote"/>
            </w:pPr>
            <w:r w:rsidRPr="004B5DAD">
              <w:t>A maximum fee limit should apply to all superannuation products listed in awards. The decision about whether the member would benefit from a higher-fee fund should be made by each individual member, not by anyone else on his/her behalf.</w:t>
            </w:r>
            <w:r>
              <w:rPr>
                <w:sz w:val="22"/>
                <w:szCs w:val="22"/>
              </w:rPr>
              <w:t xml:space="preserve"> </w:t>
            </w:r>
            <w:r>
              <w:t>(Australian Hotels Association, sub. 10. p. 8)</w:t>
            </w:r>
            <w:r w:rsidRPr="00C75FA3">
              <w:t xml:space="preserve"> </w:t>
            </w:r>
          </w:p>
        </w:tc>
      </w:tr>
      <w:tr w:rsidR="00227715">
        <w:trPr>
          <w:cantSplit/>
        </w:trPr>
        <w:tc>
          <w:tcPr>
            <w:tcW w:w="8771" w:type="dxa"/>
            <w:tcBorders>
              <w:top w:val="nil"/>
              <w:left w:val="single" w:sz="6" w:space="0" w:color="auto"/>
              <w:bottom w:val="single" w:sz="6" w:space="0" w:color="auto"/>
              <w:right w:val="single" w:sz="6" w:space="0" w:color="auto"/>
            </w:tcBorders>
          </w:tcPr>
          <w:p w:rsidR="00227715" w:rsidRDefault="00227715">
            <w:pPr>
              <w:pStyle w:val="Box"/>
              <w:spacing w:before="0" w:line="120" w:lineRule="exact"/>
            </w:pPr>
          </w:p>
        </w:tc>
      </w:tr>
      <w:tr w:rsidR="00227715" w:rsidRPr="000863A5">
        <w:tc>
          <w:tcPr>
            <w:tcW w:w="8771" w:type="dxa"/>
            <w:tcBorders>
              <w:top w:val="nil"/>
              <w:left w:val="nil"/>
              <w:bottom w:val="nil"/>
              <w:right w:val="nil"/>
            </w:tcBorders>
          </w:tcPr>
          <w:p w:rsidR="00227715" w:rsidRPr="000863A5" w:rsidRDefault="00227715" w:rsidP="00722D8E">
            <w:pPr>
              <w:pStyle w:val="Box"/>
              <w:keepNext w:val="0"/>
              <w:spacing w:before="60" w:after="60" w:line="80" w:lineRule="exact"/>
              <w:rPr>
                <w:b/>
                <w:sz w:val="14"/>
              </w:rPr>
            </w:pPr>
          </w:p>
        </w:tc>
      </w:tr>
    </w:tbl>
    <w:p w:rsidR="00EF1C9D" w:rsidRDefault="00EF1C9D" w:rsidP="00EF1C9D">
      <w:pPr>
        <w:pStyle w:val="Heading4"/>
      </w:pPr>
      <w:r>
        <w:t>The Commission’s view</w:t>
      </w:r>
    </w:p>
    <w:p w:rsidR="00EF1C9D" w:rsidRDefault="00EF1C9D" w:rsidP="00EF1C9D">
      <w:pPr>
        <w:pStyle w:val="BodyText"/>
      </w:pPr>
      <w:r w:rsidRPr="00096DBE">
        <w:t xml:space="preserve">The Commission </w:t>
      </w:r>
      <w:r>
        <w:t>sees no case for</w:t>
      </w:r>
      <w:r w:rsidRPr="00096DBE">
        <w:t xml:space="preserve"> </w:t>
      </w:r>
      <w:r>
        <w:t xml:space="preserve">additional prescriptive criteria in relation to fees and costs. In relation to fees, </w:t>
      </w:r>
      <w:r w:rsidRPr="00096DBE">
        <w:t xml:space="preserve">a blanket cap on fees could impede optimal investment performance outcomes. In terms of investment fees, </w:t>
      </w:r>
      <w:r>
        <w:t xml:space="preserve">setting </w:t>
      </w:r>
      <w:r w:rsidRPr="00096DBE">
        <w:t xml:space="preserve">a fee cap risks decision </w:t>
      </w:r>
      <w:r w:rsidRPr="00096DBE">
        <w:lastRenderedPageBreak/>
        <w:t xml:space="preserve">makers and trustees focussing on costs to the detriment of investment performance. The imposition of such a cap could prevent funds offering a </w:t>
      </w:r>
      <w:proofErr w:type="spellStart"/>
      <w:r w:rsidRPr="00096DBE">
        <w:t>MySuper</w:t>
      </w:r>
      <w:proofErr w:type="spellEnd"/>
      <w:r w:rsidRPr="00096DBE">
        <w:t xml:space="preserve"> product that delivers better outcomes for members, such as one with a highly diversified investment strategy and a higher return target, with the same (or lower) risk profile. As trustees become reluctant to increase their</w:t>
      </w:r>
      <w:r>
        <w:t xml:space="preserve"> expenses</w:t>
      </w:r>
      <w:r w:rsidRPr="00502AB5">
        <w:t xml:space="preserve">, including </w:t>
      </w:r>
      <w:r>
        <w:t xml:space="preserve">investment </w:t>
      </w:r>
      <w:r w:rsidRPr="00502AB5">
        <w:t>management expenses, this could lead to a ‘</w:t>
      </w:r>
      <w:r>
        <w:t>race</w:t>
      </w:r>
      <w:r w:rsidRPr="00502AB5">
        <w:t xml:space="preserve"> to</w:t>
      </w:r>
      <w:r w:rsidRPr="00DA19C3">
        <w:t xml:space="preserve"> </w:t>
      </w:r>
      <w:r w:rsidRPr="00502AB5">
        <w:t xml:space="preserve">the bottom’ in terms of performance. </w:t>
      </w:r>
    </w:p>
    <w:p w:rsidR="00EF50BD" w:rsidRPr="008664C3" w:rsidRDefault="00AB30C9" w:rsidP="00EF50BD">
      <w:pPr>
        <w:pStyle w:val="BodyText"/>
      </w:pPr>
      <w:r>
        <w:t>Though</w:t>
      </w:r>
      <w:r w:rsidR="00B07F0E">
        <w:t xml:space="preserve"> t</w:t>
      </w:r>
      <w:r w:rsidR="00DB5A43">
        <w:t>he Commission</w:t>
      </w:r>
      <w:r w:rsidR="00B07F0E">
        <w:t xml:space="preserve"> does not support a blanket cap on fees</w:t>
      </w:r>
      <w:r w:rsidR="00DB5A43">
        <w:t xml:space="preserve">, </w:t>
      </w:r>
      <w:r w:rsidR="00B07F0E">
        <w:t xml:space="preserve">it </w:t>
      </w:r>
      <w:r w:rsidR="00DB5A43">
        <w:t>support</w:t>
      </w:r>
      <w:r w:rsidR="00B07F0E">
        <w:t>s</w:t>
      </w:r>
      <w:r w:rsidR="00DB5A43">
        <w:t xml:space="preserve"> the cost recovery limits </w:t>
      </w:r>
      <w:r w:rsidR="003E7CCC">
        <w:t>prescribed for</w:t>
      </w:r>
      <w:r w:rsidR="00DB5A43">
        <w:t xml:space="preserve"> </w:t>
      </w:r>
      <w:proofErr w:type="spellStart"/>
      <w:r w:rsidR="00DB5A43">
        <w:t>MySuper</w:t>
      </w:r>
      <w:proofErr w:type="spellEnd"/>
      <w:r w:rsidR="00DB5A43">
        <w:t xml:space="preserve"> </w:t>
      </w:r>
      <w:r w:rsidR="003E7CCC">
        <w:t>products that apply to</w:t>
      </w:r>
      <w:r w:rsidR="00DB5A43">
        <w:t xml:space="preserve"> some fee types (such as for switching and exit</w:t>
      </w:r>
      <w:r w:rsidR="00D544D6">
        <w:t xml:space="preserve"> fees</w:t>
      </w:r>
      <w:r w:rsidR="00DB5A43">
        <w:t>). This is because</w:t>
      </w:r>
      <w:r w:rsidR="00EF50BD">
        <w:t xml:space="preserve"> a cap on </w:t>
      </w:r>
      <w:r w:rsidR="00DB5A43">
        <w:t xml:space="preserve">these </w:t>
      </w:r>
      <w:r w:rsidR="00EF50BD">
        <w:t>fee types</w:t>
      </w:r>
      <w:r w:rsidR="008866A1">
        <w:t xml:space="preserve"> </w:t>
      </w:r>
      <w:r w:rsidR="00597055">
        <w:t xml:space="preserve">will lower overall costs </w:t>
      </w:r>
      <w:r w:rsidR="00190C47">
        <w:t>to</w:t>
      </w:r>
      <w:r w:rsidR="00597055">
        <w:t xml:space="preserve"> members</w:t>
      </w:r>
      <w:r w:rsidR="00C816B0">
        <w:t>,</w:t>
      </w:r>
      <w:r w:rsidR="00597055">
        <w:t xml:space="preserve"> </w:t>
      </w:r>
      <w:r w:rsidR="008866A1">
        <w:t>emulat</w:t>
      </w:r>
      <w:r w:rsidR="00C816B0">
        <w:t>ing</w:t>
      </w:r>
      <w:r w:rsidR="008866A1">
        <w:t xml:space="preserve"> the outcomes of competitive market forces</w:t>
      </w:r>
      <w:r w:rsidR="00DB5A43">
        <w:t xml:space="preserve">. </w:t>
      </w:r>
    </w:p>
    <w:p w:rsidR="006A5C60" w:rsidRPr="00FE5DD0" w:rsidRDefault="00DB075C" w:rsidP="00011F52">
      <w:pPr>
        <w:pStyle w:val="BodyText"/>
      </w:pPr>
      <w:r>
        <w:t>Though the Commission does not support additional prescriptive criteria in relation to fees and costs</w:t>
      </w:r>
      <w:r w:rsidR="008337DD">
        <w:t xml:space="preserve">, it regards them as valid factors for consideration in the assessment of products to be listed in modern awards. </w:t>
      </w:r>
      <w:r w:rsidR="007165BD">
        <w:t>Firstly, t</w:t>
      </w:r>
      <w:r w:rsidR="00455A98" w:rsidRPr="00FE5DD0">
        <w:t>he Co</w:t>
      </w:r>
      <w:r w:rsidR="00FA5767" w:rsidRPr="00FE5DD0">
        <w:t xml:space="preserve">mmission </w:t>
      </w:r>
      <w:r w:rsidR="009B0131" w:rsidRPr="00244326">
        <w:t>recognises</w:t>
      </w:r>
      <w:r w:rsidR="00EF6F22" w:rsidRPr="00244326">
        <w:t xml:space="preserve"> </w:t>
      </w:r>
      <w:r w:rsidR="00FA5767" w:rsidRPr="002D695C">
        <w:t>the benefit</w:t>
      </w:r>
      <w:r w:rsidR="00455A98" w:rsidRPr="002D695C">
        <w:t xml:space="preserve"> of taking into account </w:t>
      </w:r>
      <w:r w:rsidR="0058350C" w:rsidRPr="00700B7F">
        <w:t xml:space="preserve">all </w:t>
      </w:r>
      <w:r w:rsidR="004414D6" w:rsidRPr="00FC5302">
        <w:t xml:space="preserve">the costs, as well as </w:t>
      </w:r>
      <w:r w:rsidR="00B07F0E" w:rsidRPr="00FC5302">
        <w:t xml:space="preserve">the </w:t>
      </w:r>
      <w:r w:rsidR="004414D6" w:rsidRPr="0013316B">
        <w:t xml:space="preserve">fees, </w:t>
      </w:r>
      <w:r w:rsidR="00455A98" w:rsidRPr="006F130E">
        <w:t xml:space="preserve">associated with a </w:t>
      </w:r>
      <w:proofErr w:type="spellStart"/>
      <w:r w:rsidR="00455A98" w:rsidRPr="006F130E">
        <w:t>MySuper</w:t>
      </w:r>
      <w:proofErr w:type="spellEnd"/>
      <w:r w:rsidR="00455A98" w:rsidRPr="006F130E">
        <w:t xml:space="preserve"> product</w:t>
      </w:r>
      <w:r w:rsidR="0073781F">
        <w:t>, as a</w:t>
      </w:r>
      <w:r w:rsidR="00455A98" w:rsidRPr="00DE2F83">
        <w:t xml:space="preserve"> focus on fees alone </w:t>
      </w:r>
      <w:r w:rsidR="00D541AF" w:rsidRPr="00DE2F83">
        <w:t>may</w:t>
      </w:r>
      <w:r w:rsidR="00455A98" w:rsidRPr="00DE2F83">
        <w:t xml:space="preserve"> ignore costs</w:t>
      </w:r>
      <w:r w:rsidR="00D541AF" w:rsidRPr="00DE2F83">
        <w:t xml:space="preserve"> that are indirectly attributed to members </w:t>
      </w:r>
      <w:r w:rsidR="000142D5" w:rsidRPr="00DE2F83">
        <w:t>and</w:t>
      </w:r>
      <w:r w:rsidR="00455A98" w:rsidRPr="00DE2F83">
        <w:t xml:space="preserve"> </w:t>
      </w:r>
      <w:r w:rsidR="00455B12">
        <w:t xml:space="preserve">ultimately </w:t>
      </w:r>
      <w:r w:rsidR="00455A98" w:rsidRPr="00FE5DD0">
        <w:t>reduce net returns</w:t>
      </w:r>
      <w:r w:rsidR="002D3127" w:rsidRPr="00244326">
        <w:t xml:space="preserve"> to members</w:t>
      </w:r>
      <w:r w:rsidR="00455A98" w:rsidRPr="00244326">
        <w:t xml:space="preserve">. </w:t>
      </w:r>
      <w:r w:rsidR="007165BD">
        <w:t>All the costs and fees should be taken into account, t</w:t>
      </w:r>
      <w:r w:rsidR="00EF6F22" w:rsidRPr="002D695C">
        <w:t>o the extent that this information is available.</w:t>
      </w:r>
      <w:r w:rsidR="00EA12E4" w:rsidRPr="00C6069C">
        <w:t xml:space="preserve"> </w:t>
      </w:r>
      <w:r w:rsidR="007165BD">
        <w:t>Secondly, i</w:t>
      </w:r>
      <w:r w:rsidR="0058350C" w:rsidRPr="00C6069C">
        <w:t xml:space="preserve">n </w:t>
      </w:r>
      <w:r w:rsidR="00FB40F5">
        <w:t>doing this</w:t>
      </w:r>
      <w:r w:rsidR="0058350C" w:rsidRPr="00C6069C">
        <w:t xml:space="preserve">, </w:t>
      </w:r>
      <w:r w:rsidR="00DE2F83" w:rsidRPr="00C6069C">
        <w:t xml:space="preserve">consideration should be given to the value for money </w:t>
      </w:r>
      <w:r w:rsidR="00FB40F5">
        <w:t xml:space="preserve">to members, given the </w:t>
      </w:r>
      <w:proofErr w:type="spellStart"/>
      <w:r w:rsidR="00FB40F5">
        <w:t>MySuper</w:t>
      </w:r>
      <w:proofErr w:type="spellEnd"/>
      <w:r w:rsidR="00FB40F5">
        <w:t xml:space="preserve"> product’s </w:t>
      </w:r>
      <w:r w:rsidR="005C1F44">
        <w:t>long</w:t>
      </w:r>
      <w:r w:rsidR="005C1F44">
        <w:noBreakHyphen/>
        <w:t xml:space="preserve">term </w:t>
      </w:r>
      <w:r w:rsidR="00FB40F5">
        <w:t xml:space="preserve">investment </w:t>
      </w:r>
      <w:r w:rsidR="005C1F44">
        <w:t>return target and risk profile,</w:t>
      </w:r>
      <w:r w:rsidR="00FB40F5">
        <w:t xml:space="preserve"> and the services provided to those members.</w:t>
      </w:r>
    </w:p>
    <w:p w:rsidR="00F67A57" w:rsidRPr="00227715" w:rsidRDefault="00B07F0E" w:rsidP="00107D4B">
      <w:pPr>
        <w:pStyle w:val="BodyText"/>
      </w:pPr>
      <w:r>
        <w:t>T</w:t>
      </w:r>
      <w:r w:rsidR="00F4771A">
        <w:t xml:space="preserve">he Commission acknowledges the benefit of distinguishing between investment and operating costs in understanding delivery of value for money to members, and </w:t>
      </w:r>
      <w:r w:rsidR="006A5C60">
        <w:t xml:space="preserve">of taking into account </w:t>
      </w:r>
      <w:r w:rsidR="00852482">
        <w:t>payments to third part</w:t>
      </w:r>
      <w:r w:rsidR="00EF6F22">
        <w:t>ies</w:t>
      </w:r>
      <w:r w:rsidR="00852482">
        <w:t>.</w:t>
      </w:r>
      <w:r w:rsidR="006A5C60">
        <w:t xml:space="preserve"> </w:t>
      </w:r>
      <w:r w:rsidR="00455A98">
        <w:t xml:space="preserve">However, </w:t>
      </w:r>
      <w:r w:rsidR="006A5C60">
        <w:t>until the new reporting s</w:t>
      </w:r>
      <w:r w:rsidR="00D541AF">
        <w:t xml:space="preserve">tandards are bedded down, </w:t>
      </w:r>
      <w:r w:rsidR="00EF6F22">
        <w:t>and the public availability of the data collected under these arrangements</w:t>
      </w:r>
      <w:r w:rsidR="00190C47" w:rsidRPr="00190C47">
        <w:t xml:space="preserve"> </w:t>
      </w:r>
      <w:r w:rsidR="00190C47">
        <w:t>is clear</w:t>
      </w:r>
      <w:r w:rsidR="00EF6F22">
        <w:t xml:space="preserve">, </w:t>
      </w:r>
      <w:r w:rsidR="009B0131">
        <w:t xml:space="preserve">the extent to which this will be possible </w:t>
      </w:r>
      <w:r w:rsidR="00D541AF">
        <w:t>remain</w:t>
      </w:r>
      <w:r w:rsidR="00BB1943">
        <w:t>s</w:t>
      </w:r>
      <w:r w:rsidR="00D541AF">
        <w:t xml:space="preserve"> uncertain.</w:t>
      </w:r>
      <w:r w:rsidR="00EA12E4" w:rsidRPr="007E1055">
        <w:t xml:space="preserve"> </w:t>
      </w:r>
      <w:r w:rsidR="003104A8" w:rsidRPr="004955EA">
        <w:t xml:space="preserve"> </w:t>
      </w:r>
    </w:p>
    <w:p w:rsidR="00BF3663" w:rsidRDefault="00BF3663" w:rsidP="00973E16">
      <w:pPr>
        <w:pStyle w:val="RecTitle"/>
      </w:pPr>
      <w:r>
        <w:t xml:space="preserve">Recommendation </w:t>
      </w:r>
      <w:fldSimple w:instr=" COMMENTS  \* MERGEFORMAT ">
        <w:r w:rsidR="0053236F">
          <w:t>4.</w:t>
        </w:r>
      </w:fldSimple>
      <w:r w:rsidR="0055510D">
        <w:fldChar w:fldCharType="begin"/>
      </w:r>
      <w:r w:rsidR="0055510D">
        <w:instrText xml:space="preserve"> SEQ Recommendation \* ARABIC </w:instrText>
      </w:r>
      <w:r w:rsidR="0055510D">
        <w:fldChar w:fldCharType="separate"/>
      </w:r>
      <w:r w:rsidR="00132F9A">
        <w:rPr>
          <w:noProof/>
        </w:rPr>
        <w:t>3</w:t>
      </w:r>
      <w:r w:rsidR="0055510D">
        <w:rPr>
          <w:noProof/>
        </w:rPr>
        <w:fldChar w:fldCharType="end"/>
      </w:r>
    </w:p>
    <w:p w:rsidR="004E6289" w:rsidRDefault="000412F2" w:rsidP="001D5490">
      <w:pPr>
        <w:pStyle w:val="Rec"/>
      </w:pPr>
      <w:r>
        <w:t xml:space="preserve">The selection and ongoing assessment of </w:t>
      </w:r>
      <w:r w:rsidR="00C25291">
        <w:t xml:space="preserve">default </w:t>
      </w:r>
      <w:r w:rsidR="00EF711A">
        <w:t xml:space="preserve">superannuation </w:t>
      </w:r>
      <w:r w:rsidR="0021207A">
        <w:t xml:space="preserve">products </w:t>
      </w:r>
      <w:r w:rsidR="00EF711A">
        <w:t xml:space="preserve">for listing </w:t>
      </w:r>
      <w:r>
        <w:t>in modern awards should include consideration of the appropriateness of the</w:t>
      </w:r>
      <w:r w:rsidR="00DA41EB">
        <w:t xml:space="preserve"> fees and costs </w:t>
      </w:r>
      <w:r w:rsidR="00E71830">
        <w:t>associated with</w:t>
      </w:r>
      <w:r w:rsidR="00DA41EB">
        <w:t xml:space="preserve"> the </w:t>
      </w:r>
      <w:proofErr w:type="spellStart"/>
      <w:r w:rsidR="00DA41EB">
        <w:t>MySuper</w:t>
      </w:r>
      <w:proofErr w:type="spellEnd"/>
      <w:r w:rsidR="00DA41EB">
        <w:t xml:space="preserve"> product, given</w:t>
      </w:r>
      <w:r w:rsidR="004E6289">
        <w:t>:</w:t>
      </w:r>
    </w:p>
    <w:p w:rsidR="004E6289" w:rsidRDefault="000412F2" w:rsidP="0020500E">
      <w:pPr>
        <w:pStyle w:val="RecBullet"/>
      </w:pPr>
      <w:r>
        <w:t xml:space="preserve">its stated </w:t>
      </w:r>
      <w:r w:rsidR="004A1551">
        <w:t>long</w:t>
      </w:r>
      <w:r w:rsidR="004A1551">
        <w:noBreakHyphen/>
        <w:t xml:space="preserve">term </w:t>
      </w:r>
      <w:r w:rsidR="0054404D">
        <w:t xml:space="preserve">investment return </w:t>
      </w:r>
      <w:r w:rsidR="00390012">
        <w:t xml:space="preserve">target </w:t>
      </w:r>
      <w:r w:rsidR="0054404D">
        <w:t xml:space="preserve">and risk </w:t>
      </w:r>
      <w:r>
        <w:t>profile</w:t>
      </w:r>
    </w:p>
    <w:p w:rsidR="00BF3663" w:rsidRDefault="006D47A3" w:rsidP="0020500E">
      <w:pPr>
        <w:pStyle w:val="RecBullet"/>
      </w:pPr>
      <w:r>
        <w:t>the quality and timeliness of services provided</w:t>
      </w:r>
      <w:r w:rsidR="000412F2">
        <w:t>.</w:t>
      </w:r>
    </w:p>
    <w:p w:rsidR="00594AA4" w:rsidRDefault="0055510D" w:rsidP="00594AA4">
      <w:pPr>
        <w:pStyle w:val="Heading2"/>
      </w:pPr>
      <w:fldSimple w:instr=" COMMENTS  \* MERGEFORMAT ">
        <w:r w:rsidR="0053236F">
          <w:t>4.</w:t>
        </w:r>
      </w:fldSimple>
      <w:r>
        <w:fldChar w:fldCharType="begin"/>
      </w:r>
      <w:r>
        <w:instrText xml:space="preserve"> SEQ Heading2 </w:instrText>
      </w:r>
      <w:r>
        <w:fldChar w:fldCharType="separate"/>
      </w:r>
      <w:r w:rsidR="00132F9A">
        <w:rPr>
          <w:noProof/>
        </w:rPr>
        <w:t>4</w:t>
      </w:r>
      <w:r>
        <w:rPr>
          <w:noProof/>
        </w:rPr>
        <w:fldChar w:fldCharType="end"/>
      </w:r>
      <w:r w:rsidR="00594AA4">
        <w:tab/>
        <w:t>Scale</w:t>
      </w:r>
    </w:p>
    <w:p w:rsidR="00DA55F6" w:rsidRDefault="000600AF" w:rsidP="007F7B5D">
      <w:pPr>
        <w:pStyle w:val="BodyText"/>
      </w:pPr>
      <w:r>
        <w:t xml:space="preserve">Scale refers to both the number of members and </w:t>
      </w:r>
      <w:r w:rsidR="00876F3B">
        <w:t>value</w:t>
      </w:r>
      <w:r w:rsidR="007B2F12">
        <w:t xml:space="preserve"> </w:t>
      </w:r>
      <w:r>
        <w:t>of assets in a superannuation fund</w:t>
      </w:r>
      <w:r w:rsidR="002D523C">
        <w:t xml:space="preserve">. </w:t>
      </w:r>
      <w:r w:rsidR="00F003C7">
        <w:t>Economies of scale</w:t>
      </w:r>
      <w:r w:rsidR="007E27D9">
        <w:t xml:space="preserve"> </w:t>
      </w:r>
      <w:r w:rsidR="00F003C7">
        <w:t xml:space="preserve">will result if there are fixed costs that are distributed across </w:t>
      </w:r>
      <w:r w:rsidR="00B024F9">
        <w:t xml:space="preserve">a greater </w:t>
      </w:r>
      <w:r w:rsidR="003D4E81">
        <w:t>number of members/</w:t>
      </w:r>
      <w:r w:rsidR="00B024F9">
        <w:t xml:space="preserve">value of </w:t>
      </w:r>
      <w:r w:rsidR="00F003C7">
        <w:t>assets</w:t>
      </w:r>
      <w:r w:rsidR="000142D5">
        <w:t>,</w:t>
      </w:r>
      <w:r w:rsidR="00F003C7">
        <w:t xml:space="preserve"> </w:t>
      </w:r>
      <w:r w:rsidR="005F45D3">
        <w:t xml:space="preserve">and these reduced </w:t>
      </w:r>
      <w:r w:rsidR="00E80A77">
        <w:t xml:space="preserve">costs </w:t>
      </w:r>
      <w:r w:rsidR="004F3D59">
        <w:t xml:space="preserve">(per </w:t>
      </w:r>
      <w:r w:rsidR="004C165F">
        <w:t xml:space="preserve">member or </w:t>
      </w:r>
      <w:r w:rsidR="004F3D59">
        <w:t xml:space="preserve">dollar of assets) </w:t>
      </w:r>
      <w:r w:rsidR="005F45D3">
        <w:t xml:space="preserve">may </w:t>
      </w:r>
      <w:r w:rsidR="000142D5">
        <w:t>benefit</w:t>
      </w:r>
      <w:r w:rsidR="005F45D3">
        <w:t xml:space="preserve"> members in the form of lower fees </w:t>
      </w:r>
      <w:r w:rsidR="000142D5">
        <w:t xml:space="preserve">and costs </w:t>
      </w:r>
      <w:r w:rsidR="005F45D3">
        <w:t xml:space="preserve">and improved </w:t>
      </w:r>
      <w:r w:rsidR="000142D5">
        <w:t xml:space="preserve">net </w:t>
      </w:r>
      <w:r w:rsidR="005F45D3">
        <w:t xml:space="preserve">performance. </w:t>
      </w:r>
      <w:r w:rsidR="0083265C">
        <w:t>In the case of s</w:t>
      </w:r>
      <w:r w:rsidR="00594AA4">
        <w:t>uperannuation funds</w:t>
      </w:r>
      <w:r w:rsidR="0083265C">
        <w:t xml:space="preserve">, </w:t>
      </w:r>
      <w:r w:rsidR="003D4E81">
        <w:t>e</w:t>
      </w:r>
      <w:r w:rsidR="0083265C">
        <w:t>conomies</w:t>
      </w:r>
      <w:r w:rsidR="00594AA4">
        <w:t xml:space="preserve"> </w:t>
      </w:r>
      <w:r w:rsidR="00B024F9">
        <w:t xml:space="preserve">relating to </w:t>
      </w:r>
      <w:r w:rsidR="00964795">
        <w:t>size of</w:t>
      </w:r>
      <w:r w:rsidR="004B59D9">
        <w:t xml:space="preserve"> </w:t>
      </w:r>
      <w:r w:rsidR="00B024F9">
        <w:t>members</w:t>
      </w:r>
      <w:r w:rsidR="00964795">
        <w:t>hip</w:t>
      </w:r>
      <w:r w:rsidR="004B59D9">
        <w:t xml:space="preserve"> </w:t>
      </w:r>
      <w:r w:rsidR="002D523C">
        <w:t>can</w:t>
      </w:r>
      <w:r w:rsidR="0083265C">
        <w:t xml:space="preserve"> be</w:t>
      </w:r>
      <w:r w:rsidR="002D523C">
        <w:t xml:space="preserve"> achieve</w:t>
      </w:r>
      <w:r w:rsidR="0083265C">
        <w:t>d</w:t>
      </w:r>
      <w:r w:rsidR="00594AA4">
        <w:t xml:space="preserve"> in </w:t>
      </w:r>
      <w:r w:rsidR="0083265C">
        <w:t>such a</w:t>
      </w:r>
      <w:r w:rsidR="00594AA4">
        <w:t>rea</w:t>
      </w:r>
      <w:r w:rsidR="002D523C">
        <w:t>s</w:t>
      </w:r>
      <w:r w:rsidR="00594AA4">
        <w:t xml:space="preserve"> </w:t>
      </w:r>
      <w:r w:rsidR="002D523C">
        <w:t xml:space="preserve">as the </w:t>
      </w:r>
      <w:r w:rsidR="00594AA4">
        <w:t>collection of contributions, record keeping and marketing (</w:t>
      </w:r>
      <w:proofErr w:type="spellStart"/>
      <w:r w:rsidR="00594AA4">
        <w:t>Impavido</w:t>
      </w:r>
      <w:proofErr w:type="spellEnd"/>
      <w:r w:rsidR="00594AA4">
        <w:t xml:space="preserve">, </w:t>
      </w:r>
      <w:proofErr w:type="spellStart"/>
      <w:r w:rsidR="00594AA4">
        <w:t>Lasagabaster</w:t>
      </w:r>
      <w:proofErr w:type="spellEnd"/>
      <w:r w:rsidR="00594AA4">
        <w:t xml:space="preserve">, and </w:t>
      </w:r>
      <w:proofErr w:type="spellStart"/>
      <w:r w:rsidR="00594AA4">
        <w:t>Garc</w:t>
      </w:r>
      <w:r w:rsidR="00F970EA">
        <w:t>í</w:t>
      </w:r>
      <w:r w:rsidR="00594AA4">
        <w:t>a</w:t>
      </w:r>
      <w:r w:rsidR="00594AA4">
        <w:noBreakHyphen/>
        <w:t>Huitr</w:t>
      </w:r>
      <w:r w:rsidR="00F970EA">
        <w:t>ó</w:t>
      </w:r>
      <w:r w:rsidR="00594AA4">
        <w:t>n</w:t>
      </w:r>
      <w:proofErr w:type="spellEnd"/>
      <w:r w:rsidR="00594AA4">
        <w:t xml:space="preserve"> 2010). </w:t>
      </w:r>
      <w:r w:rsidR="003D4E81">
        <w:t>Economies relating to the size of the assets can be achieved through lower investment</w:t>
      </w:r>
      <w:r w:rsidR="007B2F12">
        <w:noBreakHyphen/>
      </w:r>
      <w:r w:rsidR="003D4E81">
        <w:t xml:space="preserve">related transaction costs. </w:t>
      </w:r>
      <w:r w:rsidR="00F06E24">
        <w:t xml:space="preserve">Economies associated with </w:t>
      </w:r>
      <w:r w:rsidR="00964795">
        <w:t xml:space="preserve">size of membership </w:t>
      </w:r>
      <w:r w:rsidR="001D034E">
        <w:t xml:space="preserve">and assets are interrelated to the extent that </w:t>
      </w:r>
      <w:r w:rsidR="004F3D59">
        <w:t>additional members will add to the asset base.</w:t>
      </w:r>
    </w:p>
    <w:p w:rsidR="002954E7" w:rsidRPr="006728A0" w:rsidRDefault="002954E7" w:rsidP="002954E7">
      <w:pPr>
        <w:pStyle w:val="Heading3"/>
        <w:rPr>
          <w:rStyle w:val="DraftingNote"/>
          <w:b/>
          <w:color w:val="auto"/>
          <w:sz w:val="26"/>
          <w:u w:val="none"/>
        </w:rPr>
      </w:pPr>
      <w:r>
        <w:t>The scale of superannuation funds</w:t>
      </w:r>
    </w:p>
    <w:p w:rsidR="00A16E52" w:rsidRDefault="00F003C7" w:rsidP="00582488">
      <w:pPr>
        <w:pStyle w:val="BodyText"/>
      </w:pPr>
      <w:r>
        <w:t xml:space="preserve">The scale of superannuation funds </w:t>
      </w:r>
      <w:r w:rsidR="009936B9">
        <w:t xml:space="preserve">by asset size </w:t>
      </w:r>
      <w:r>
        <w:t xml:space="preserve">increased over </w:t>
      </w:r>
      <w:r w:rsidR="009936B9">
        <w:t xml:space="preserve">the period 2004 to 2007 </w:t>
      </w:r>
      <w:r w:rsidR="00037B6D">
        <w:t>for all fund types</w:t>
      </w:r>
      <w:r w:rsidR="00821221">
        <w:t xml:space="preserve">, </w:t>
      </w:r>
      <w:r w:rsidR="009936B9">
        <w:t>before the effects of the global f</w:t>
      </w:r>
      <w:r w:rsidR="0085663D">
        <w:t>inancial crisis took their toll</w:t>
      </w:r>
      <w:r w:rsidR="005915F3">
        <w:t xml:space="preserve">. Assets </w:t>
      </w:r>
      <w:r w:rsidR="0085663D">
        <w:t xml:space="preserve">increased again between 2010 and 2011 </w:t>
      </w:r>
      <w:r w:rsidR="00037B6D">
        <w:t>(</w:t>
      </w:r>
      <w:r w:rsidR="000E3F8B">
        <w:t>figure 4.</w:t>
      </w:r>
      <w:r w:rsidR="000B0011">
        <w:t>2</w:t>
      </w:r>
      <w:r w:rsidR="00037B6D">
        <w:t>).</w:t>
      </w:r>
      <w:r w:rsidR="00694F82">
        <w:t xml:space="preserve"> </w:t>
      </w:r>
      <w:r w:rsidR="00EF67B0">
        <w:t>T</w:t>
      </w:r>
      <w:r w:rsidR="005E0C49">
        <w:t>he scale of superannuation funds</w:t>
      </w:r>
      <w:r w:rsidR="005E0C49" w:rsidRPr="00D01D09">
        <w:t xml:space="preserve"> </w:t>
      </w:r>
      <w:r w:rsidR="005E0C49">
        <w:t xml:space="preserve">has increased over the same period </w:t>
      </w:r>
      <w:r w:rsidR="009936B9">
        <w:t xml:space="preserve">that expenses have </w:t>
      </w:r>
      <w:r w:rsidR="005E0C49" w:rsidRPr="00A76079">
        <w:t>trend</w:t>
      </w:r>
      <w:r w:rsidR="009936B9">
        <w:t>ed downward</w:t>
      </w:r>
      <w:r w:rsidR="00EF67B0">
        <w:t>,</w:t>
      </w:r>
      <w:r w:rsidR="005E0C49">
        <w:t xml:space="preserve"> </w:t>
      </w:r>
      <w:r w:rsidR="00EF67B0">
        <w:t>suggesting</w:t>
      </w:r>
      <w:r w:rsidR="005E0C49">
        <w:t xml:space="preserve"> that falling expenses may be </w:t>
      </w:r>
      <w:r w:rsidR="00387831">
        <w:t>a result of increased</w:t>
      </w:r>
      <w:r w:rsidR="005E0C49">
        <w:t xml:space="preserve"> scale economies</w:t>
      </w:r>
      <w:r w:rsidR="00C75FA3">
        <w:t xml:space="preserve"> (for example, Deloitte 2010).</w:t>
      </w:r>
      <w:r w:rsidR="00B57F2B" w:rsidRPr="002A2CAC">
        <w:t xml:space="preserve"> </w:t>
      </w:r>
    </w:p>
    <w:p w:rsidR="009D5544" w:rsidRDefault="009D5544" w:rsidP="009D5544">
      <w:pPr>
        <w:pStyle w:val="Heading3"/>
      </w:pPr>
      <w:r>
        <w:t>Stronger Super reforms</w:t>
      </w:r>
    </w:p>
    <w:p w:rsidR="009D5544" w:rsidRDefault="009D5544" w:rsidP="009D5544">
      <w:pPr>
        <w:pStyle w:val="BodyText"/>
      </w:pPr>
      <w:r>
        <w:t xml:space="preserve">Current regulatory arrangements do not include a scale test for superannuation funds. Though Stronger Super reforms will not prescribe scale requirements for funds that offer </w:t>
      </w:r>
      <w:proofErr w:type="spellStart"/>
      <w:r>
        <w:t>MySuper</w:t>
      </w:r>
      <w:proofErr w:type="spellEnd"/>
      <w:r>
        <w:t xml:space="preserve"> products, trustees</w:t>
      </w:r>
      <w:r w:rsidDel="000600AF">
        <w:t xml:space="preserve"> </w:t>
      </w:r>
      <w:r>
        <w:t xml:space="preserve">will be required to consider scale. </w:t>
      </w:r>
    </w:p>
    <w:p w:rsidR="009D5544" w:rsidRPr="00CA6420" w:rsidRDefault="009D5544" w:rsidP="009D5544">
      <w:pPr>
        <w:pStyle w:val="BodyText"/>
      </w:pPr>
      <w:r>
        <w:t>I</w:t>
      </w:r>
      <w:r w:rsidRPr="00947755">
        <w:t xml:space="preserve">n the process of seeking </w:t>
      </w:r>
      <w:proofErr w:type="spellStart"/>
      <w:r w:rsidRPr="00947755">
        <w:t>MySuper</w:t>
      </w:r>
      <w:proofErr w:type="spellEnd"/>
      <w:r w:rsidRPr="00947755">
        <w:t xml:space="preserve"> authorisation, a trustee will have to demonstrate to APRA that the product ha</w:t>
      </w:r>
      <w:r>
        <w:t>s</w:t>
      </w:r>
      <w:r w:rsidRPr="00947755">
        <w:t xml:space="preserve"> </w:t>
      </w:r>
      <w:r>
        <w:t>access to ‘</w:t>
      </w:r>
      <w:r w:rsidRPr="00947755">
        <w:t>sufficient scale</w:t>
      </w:r>
      <w:r>
        <w:t>’</w:t>
      </w:r>
      <w:r w:rsidRPr="00947755">
        <w:t xml:space="preserve"> </w:t>
      </w:r>
      <w:r>
        <w:t xml:space="preserve">to provide net returns that are in the best interests of members </w:t>
      </w:r>
      <w:r w:rsidRPr="00947755">
        <w:t>(or, for a new entrant, that they have a credible path to achieving sufficient scale).</w:t>
      </w:r>
      <w:r>
        <w:t xml:space="preserve"> </w:t>
      </w:r>
      <w:proofErr w:type="spellStart"/>
      <w:r w:rsidRPr="00947755">
        <w:t>MySuper</w:t>
      </w:r>
      <w:proofErr w:type="spellEnd"/>
      <w:r w:rsidRPr="00947755">
        <w:t xml:space="preserve"> </w:t>
      </w:r>
      <w:r>
        <w:t>t</w:t>
      </w:r>
      <w:r w:rsidRPr="00947755">
        <w:t>rustees must implement the ‘scale test’ on an annual basis. Where trustees determine that assets or members are insufficient</w:t>
      </w:r>
      <w:r>
        <w:t xml:space="preserve"> to meet the scale test</w:t>
      </w:r>
      <w:r w:rsidRPr="00947755">
        <w:t>, they must take appropriate action to meet their obligation</w:t>
      </w:r>
      <w:r>
        <w:t>s</w:t>
      </w:r>
      <w:r w:rsidRPr="00947755">
        <w:t>. APRA will provide prudential guidance on relevant consideration</w:t>
      </w:r>
      <w:r>
        <w:t>s</w:t>
      </w:r>
      <w:r w:rsidRPr="00947755">
        <w:t xml:space="preserve"> for trustees in rectifying insufficient scale (Shorten</w:t>
      </w:r>
      <w:r w:rsidRPr="00F50C49" w:rsidDel="005C6ADA">
        <w:t xml:space="preserve"> </w:t>
      </w:r>
      <w:proofErr w:type="spellStart"/>
      <w:r>
        <w:t>2011b</w:t>
      </w:r>
      <w:proofErr w:type="spellEnd"/>
      <w:r>
        <w:t xml:space="preserve">, </w:t>
      </w:r>
      <w:proofErr w:type="spellStart"/>
      <w:r w:rsidRPr="00F50C49">
        <w:t>2012</w:t>
      </w:r>
      <w:r>
        <w:t>d</w:t>
      </w:r>
      <w:proofErr w:type="spellEnd"/>
      <w:r w:rsidRPr="00F50C49">
        <w:t>)</w:t>
      </w:r>
      <w:r w:rsidRPr="00947755">
        <w:t xml:space="preserve">. </w:t>
      </w:r>
      <w:r>
        <w:t>APRA have indicated that in this regard, their concern will be long</w:t>
      </w:r>
      <w:r>
        <w:noBreakHyphen/>
        <w:t xml:space="preserve">term performance, and there would be ‘no concerns with a small fund that was performing well’ (APRA </w:t>
      </w:r>
      <w:proofErr w:type="spellStart"/>
      <w:r>
        <w:t>2012d</w:t>
      </w:r>
      <w:proofErr w:type="spellEnd"/>
      <w:r>
        <w:t>, p. 3).</w:t>
      </w:r>
    </w:p>
    <w:p w:rsidR="00DA6EA4" w:rsidRDefault="00DA6EA4" w:rsidP="00582488">
      <w:pPr>
        <w:pStyle w:val="BodyText"/>
      </w:pPr>
    </w:p>
    <w:p w:rsidR="00037B6D" w:rsidRDefault="00037B6D" w:rsidP="00DC7683">
      <w:pPr>
        <w:pStyle w:val="FigureTitle"/>
        <w:rPr>
          <w:rStyle w:val="NoteLabel"/>
          <w:b/>
        </w:rPr>
      </w:pPr>
      <w:r>
        <w:rPr>
          <w:b w:val="0"/>
        </w:rPr>
        <w:lastRenderedPageBreak/>
        <w:t xml:space="preserve">Figure </w:t>
      </w:r>
      <w:r>
        <w:rPr>
          <w:b w:val="0"/>
        </w:rPr>
        <w:fldChar w:fldCharType="begin"/>
      </w:r>
      <w:r>
        <w:rPr>
          <w:b w:val="0"/>
        </w:rPr>
        <w:instrText xml:space="preserve"> COMMENTS  \* MERGEFORMAT </w:instrText>
      </w:r>
      <w:r>
        <w:rPr>
          <w:b w:val="0"/>
        </w:rPr>
        <w:fldChar w:fldCharType="separate"/>
      </w:r>
      <w:r w:rsidR="0053236F">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132F9A">
        <w:rPr>
          <w:b w:val="0"/>
          <w:noProof/>
        </w:rPr>
        <w:t>2</w:t>
      </w:r>
      <w:r>
        <w:rPr>
          <w:b w:val="0"/>
        </w:rPr>
        <w:fldChar w:fldCharType="end"/>
      </w:r>
      <w:r>
        <w:tab/>
        <w:t>Scale of superannuation funds</w:t>
      </w:r>
      <w:r w:rsidR="00524285">
        <w:t xml:space="preserve"> by asset</w:t>
      </w:r>
      <w:r w:rsidR="00C41425">
        <w:t xml:space="preserve"> </w:t>
      </w:r>
      <w:r w:rsidR="006222F6">
        <w:t>s</w:t>
      </w:r>
      <w:r w:rsidR="00C41425">
        <w:t>ize</w:t>
      </w:r>
      <w:r w:rsidRPr="00037B6D">
        <w:rPr>
          <w:rStyle w:val="NoteLabel"/>
          <w:b/>
        </w:rPr>
        <w:t>a</w:t>
      </w:r>
      <w:r w:rsidR="00266A68">
        <w:rPr>
          <w:rStyle w:val="NoteLabel"/>
          <w:b/>
        </w:rPr>
        <w:t xml:space="preserve">, </w:t>
      </w:r>
      <w:r>
        <w:rPr>
          <w:rStyle w:val="NoteLabel"/>
          <w:b/>
        </w:rPr>
        <w:t>b</w:t>
      </w:r>
      <w:r w:rsidR="00266A68">
        <w:rPr>
          <w:rStyle w:val="NoteLabel"/>
          <w:b/>
        </w:rPr>
        <w:t xml:space="preserve">, </w:t>
      </w:r>
      <w:r w:rsidR="004D41B3">
        <w:rPr>
          <w:rStyle w:val="NoteLabel"/>
          <w:b/>
        </w:rPr>
        <w:t>c</w:t>
      </w:r>
      <w:r w:rsidR="00266A68">
        <w:rPr>
          <w:rStyle w:val="NoteLabel"/>
          <w:b/>
        </w:rPr>
        <w:t xml:space="preserve">, </w:t>
      </w:r>
      <w:r w:rsidR="000313A2">
        <w:rPr>
          <w:rStyle w:val="NoteLabel"/>
          <w:b/>
        </w:rPr>
        <w:t>d</w:t>
      </w:r>
      <w:r w:rsidR="00FC2477">
        <w:rPr>
          <w:rStyle w:val="NoteLabel"/>
          <w:b/>
        </w:rPr>
        <w:t>, e</w:t>
      </w:r>
    </w:p>
    <w:p w:rsidR="002636C4" w:rsidRPr="002636C4" w:rsidRDefault="0071250B" w:rsidP="002636C4">
      <w:pPr>
        <w:pStyle w:val="Subtitle"/>
      </w:pPr>
      <w:r>
        <w:t xml:space="preserve">Default funds versus non-default </w:t>
      </w:r>
      <w:r w:rsidR="00AA696C">
        <w:t>fund</w:t>
      </w:r>
      <w:r>
        <w:t>s</w:t>
      </w:r>
      <w:r w:rsidR="00973426">
        <w:t>, indexed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Scale of superannuation funds by asset size"/>
        <w:tblDescription w:val="Figure 4.2. Scale of default and non-default funds by asset size (cash flow adjusted net assets), from 2004 to 2011. This figure shows steady growth from 2004 to 2008 (for all funds). The scale of default funds flattened out between 2008 and 2010. In contrast, the scale of non-default funds dipped between 2008 and 2010. Scale increased again between 2010 and 2011 for both fund types. Over the whole period, the scale of non-default funds grew at a lower rate than default funds."/>
      </w:tblPr>
      <w:tblGrid>
        <w:gridCol w:w="8777"/>
      </w:tblGrid>
      <w:tr w:rsidR="00037B6D" w:rsidTr="00037B6D">
        <w:tc>
          <w:tcPr>
            <w:tcW w:w="8777" w:type="dxa"/>
          </w:tcPr>
          <w:p w:rsidR="00037B6D" w:rsidRDefault="00676A60">
            <w:pPr>
              <w:pStyle w:val="Figur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4.5pt;height:225.75pt">
                  <v:imagedata r:id="rId11" o:title=""/>
                </v:shape>
              </w:pict>
            </w:r>
          </w:p>
        </w:tc>
      </w:tr>
    </w:tbl>
    <w:p w:rsidR="00037B6D" w:rsidRDefault="00037B6D">
      <w:pPr>
        <w:pStyle w:val="Note"/>
      </w:pPr>
      <w:r>
        <w:rPr>
          <w:rStyle w:val="NoteLabel"/>
        </w:rPr>
        <w:t>a</w:t>
      </w:r>
      <w:r>
        <w:sym w:font="Symbol" w:char="F020"/>
      </w:r>
      <w:r w:rsidR="00D52511">
        <w:t xml:space="preserve">Based on APRA-regulated superannuation funds for which return data </w:t>
      </w:r>
      <w:r w:rsidR="007B2F12">
        <w:t xml:space="preserve">are </w:t>
      </w:r>
      <w:r w:rsidR="00D52511">
        <w:t xml:space="preserve">available </w:t>
      </w:r>
      <w:r w:rsidR="00826383">
        <w:t>for</w:t>
      </w:r>
      <w:r w:rsidR="00D52511">
        <w:t xml:space="preserve"> all years 2004–2011. </w:t>
      </w:r>
      <w:r w:rsidR="000313A2">
        <w:rPr>
          <w:rStyle w:val="NoteLabel"/>
        </w:rPr>
        <w:t>b </w:t>
      </w:r>
      <w:r w:rsidR="00D52511">
        <w:t>Excludes</w:t>
      </w:r>
      <w:r w:rsidR="00D52511" w:rsidRPr="00487CFF">
        <w:t xml:space="preserve"> </w:t>
      </w:r>
      <w:r w:rsidR="00D52511">
        <w:t>pooled superannuation trusts, exempt public sector superannuation schemes, small APRA</w:t>
      </w:r>
      <w:r w:rsidR="004E3813">
        <w:noBreakHyphen/>
        <w:t>regulated</w:t>
      </w:r>
      <w:r w:rsidR="00D52511">
        <w:t xml:space="preserve"> funds and single</w:t>
      </w:r>
      <w:r w:rsidR="00D52511">
        <w:noBreakHyphen/>
        <w:t xml:space="preserve">member approved deposit funds. </w:t>
      </w:r>
      <w:proofErr w:type="spellStart"/>
      <w:r w:rsidR="00D52511">
        <w:t>Self</w:t>
      </w:r>
      <w:r w:rsidR="00F91D81">
        <w:t xml:space="preserve"> </w:t>
      </w:r>
      <w:r w:rsidR="00D52511">
        <w:t>managed</w:t>
      </w:r>
      <w:proofErr w:type="spellEnd"/>
      <w:r w:rsidR="00D52511">
        <w:t xml:space="preserve"> super</w:t>
      </w:r>
      <w:r w:rsidR="00E24955">
        <w:t xml:space="preserve">annuation </w:t>
      </w:r>
      <w:r w:rsidR="00D52511">
        <w:t>funds regulated by the</w:t>
      </w:r>
      <w:r w:rsidR="00FF48EA">
        <w:t xml:space="preserve"> Australian Taxation Office</w:t>
      </w:r>
      <w:r w:rsidR="00D52511">
        <w:t xml:space="preserve"> are</w:t>
      </w:r>
      <w:r w:rsidR="00594E82">
        <w:t xml:space="preserve"> excluded.</w:t>
      </w:r>
      <w:r w:rsidR="007B2F12">
        <w:t xml:space="preserve"> </w:t>
      </w:r>
      <w:r w:rsidR="000313A2">
        <w:rPr>
          <w:rStyle w:val="NoteLabel"/>
        </w:rPr>
        <w:t>c</w:t>
      </w:r>
      <w:r>
        <w:t xml:space="preserve"> </w:t>
      </w:r>
      <w:r w:rsidR="00DE0053">
        <w:t>I</w:t>
      </w:r>
      <w:r>
        <w:t>nclude</w:t>
      </w:r>
      <w:r w:rsidR="00DE0053">
        <w:t>s</w:t>
      </w:r>
      <w:r>
        <w:t xml:space="preserve"> Eligible Rollover Funds.</w:t>
      </w:r>
      <w:r w:rsidR="007B2F12">
        <w:t xml:space="preserve"> </w:t>
      </w:r>
      <w:r w:rsidR="00806FCC">
        <w:rPr>
          <w:rStyle w:val="NoteLabel"/>
        </w:rPr>
        <w:t>d</w:t>
      </w:r>
      <w:r w:rsidR="00806FCC">
        <w:t xml:space="preserve"> Default fund data based on superannuation funds listed in modern awards</w:t>
      </w:r>
      <w:r w:rsidR="007B49BE">
        <w:t xml:space="preserve"> (as at September 2012)</w:t>
      </w:r>
      <w:r w:rsidR="00806FCC">
        <w:t xml:space="preserve">, for which return data are available </w:t>
      </w:r>
      <w:r w:rsidR="00826383">
        <w:t>for</w:t>
      </w:r>
      <w:r w:rsidR="00806FCC">
        <w:t xml:space="preserve"> all years 2004–2011.</w:t>
      </w:r>
      <w:r w:rsidR="00806FCC">
        <w:rPr>
          <w:rStyle w:val="NoteLabel"/>
        </w:rPr>
        <w:t>e</w:t>
      </w:r>
      <w:r w:rsidR="00FD4262">
        <w:t> </w:t>
      </w:r>
      <w:r w:rsidR="004D41B3">
        <w:t>Based on cash</w:t>
      </w:r>
      <w:r w:rsidR="00DE0053">
        <w:t> </w:t>
      </w:r>
      <w:r w:rsidR="004D41B3">
        <w:t>flow adjusted net assets.</w:t>
      </w:r>
    </w:p>
    <w:p w:rsidR="00F003C7" w:rsidRDefault="004D0A02" w:rsidP="00F50C49">
      <w:pPr>
        <w:pStyle w:val="Source"/>
      </w:pPr>
      <w:r>
        <w:rPr>
          <w:i/>
        </w:rPr>
        <w:t>S</w:t>
      </w:r>
      <w:r w:rsidR="00037B6D">
        <w:rPr>
          <w:i/>
        </w:rPr>
        <w:t>ource</w:t>
      </w:r>
      <w:r w:rsidR="00BE3391">
        <w:rPr>
          <w:i/>
        </w:rPr>
        <w:t>s</w:t>
      </w:r>
      <w:r w:rsidR="00037B6D" w:rsidRPr="00167F06">
        <w:t xml:space="preserve">: </w:t>
      </w:r>
      <w:r w:rsidR="00694F82">
        <w:t>Productivity Commission estimates based on APRA fund</w:t>
      </w:r>
      <w:r w:rsidR="00694F82">
        <w:noBreakHyphen/>
        <w:t xml:space="preserve">level profiles and financial performance data 2011 (APRA </w:t>
      </w:r>
      <w:proofErr w:type="spellStart"/>
      <w:r w:rsidR="00694F82">
        <w:t>2012</w:t>
      </w:r>
      <w:r w:rsidR="00516089">
        <w:t>j</w:t>
      </w:r>
      <w:proofErr w:type="spellEnd"/>
      <w:r w:rsidR="00694F82">
        <w:t>)</w:t>
      </w:r>
      <w:r w:rsidR="007B49BE">
        <w:t xml:space="preserve">; </w:t>
      </w:r>
      <w:proofErr w:type="spellStart"/>
      <w:r w:rsidR="007B49BE" w:rsidRPr="00A62438">
        <w:t>FWA</w:t>
      </w:r>
      <w:proofErr w:type="spellEnd"/>
      <w:r w:rsidR="007B49BE" w:rsidRPr="00A62438">
        <w:t xml:space="preserve"> (</w:t>
      </w:r>
      <w:proofErr w:type="spellStart"/>
      <w:r w:rsidR="007B49BE" w:rsidRPr="00A62438">
        <w:t>2012</w:t>
      </w:r>
      <w:r w:rsidR="007B49BE">
        <w:t>e</w:t>
      </w:r>
      <w:proofErr w:type="spellEnd"/>
      <w:r w:rsidR="007B49BE" w:rsidRPr="00A62438">
        <w:t>)</w:t>
      </w:r>
      <w:r w:rsidR="00694F82">
        <w:t>.</w:t>
      </w:r>
    </w:p>
    <w:p w:rsidR="00161C37" w:rsidRDefault="000600AF" w:rsidP="00161C37">
      <w:pPr>
        <w:pStyle w:val="BodyText"/>
      </w:pPr>
      <w:r w:rsidRPr="00161C37">
        <w:t xml:space="preserve">Further, other Stronger Super </w:t>
      </w:r>
      <w:r w:rsidR="00947755" w:rsidRPr="00161C37">
        <w:t xml:space="preserve">reforms </w:t>
      </w:r>
      <w:r w:rsidRPr="00161C37">
        <w:t xml:space="preserve">are expected to increase the scale of superannuation funds. </w:t>
      </w:r>
      <w:r w:rsidR="00D51E4B" w:rsidRPr="00161C37">
        <w:t>New</w:t>
      </w:r>
      <w:r w:rsidR="00F15BA0" w:rsidRPr="00161C37">
        <w:t xml:space="preserve"> operational risk financial requirements will require APRA</w:t>
      </w:r>
      <w:r w:rsidR="00947755" w:rsidRPr="00161C37">
        <w:noBreakHyphen/>
        <w:t>regulated</w:t>
      </w:r>
      <w:r w:rsidR="00F15BA0" w:rsidRPr="00161C37">
        <w:t xml:space="preserve"> funds to hold a minimum level of operational risk reserve</w:t>
      </w:r>
      <w:r w:rsidR="005915F3">
        <w:t>s</w:t>
      </w:r>
      <w:r w:rsidR="00D51E4B" w:rsidRPr="00161C37">
        <w:t xml:space="preserve"> (APRA</w:t>
      </w:r>
      <w:r w:rsidR="00A8141C">
        <w:t> </w:t>
      </w:r>
      <w:proofErr w:type="spellStart"/>
      <w:r w:rsidR="00D51E4B" w:rsidRPr="00161C37">
        <w:t>2012</w:t>
      </w:r>
      <w:r w:rsidR="005E5A29">
        <w:t>b</w:t>
      </w:r>
      <w:proofErr w:type="spellEnd"/>
      <w:r w:rsidR="00D51E4B" w:rsidRPr="00161C37">
        <w:t>)</w:t>
      </w:r>
      <w:r w:rsidR="00F15BA0" w:rsidRPr="00161C37">
        <w:t>. These higher capital standards may accelerate merger activity.</w:t>
      </w:r>
      <w:r w:rsidR="000A60A4" w:rsidRPr="00161C37">
        <w:t xml:space="preserve"> </w:t>
      </w:r>
      <w:r w:rsidR="009D5FD9" w:rsidRPr="00161C37">
        <w:t>This will complement the ongoing restructure of the superannuat</w:t>
      </w:r>
      <w:r w:rsidR="00CE59A6" w:rsidRPr="00161C37">
        <w:t>ion industry</w:t>
      </w:r>
      <w:r w:rsidR="00D63EFC" w:rsidRPr="00161C37">
        <w:t xml:space="preserve"> that has</w:t>
      </w:r>
      <w:r w:rsidR="0061756F" w:rsidRPr="00161C37">
        <w:t xml:space="preserve"> already</w:t>
      </w:r>
      <w:r w:rsidR="00D63EFC" w:rsidRPr="00161C37">
        <w:t xml:space="preserve"> seen a significant number of fund consolidations in recent years (AMP, sub.</w:t>
      </w:r>
      <w:r w:rsidR="00C37574">
        <w:t> </w:t>
      </w:r>
      <w:r w:rsidR="00D63EFC" w:rsidRPr="00161C37">
        <w:t>52)</w:t>
      </w:r>
      <w:r w:rsidR="002149BC">
        <w:t xml:space="preserve"> (chapter</w:t>
      </w:r>
      <w:r w:rsidR="00EF67B0">
        <w:t> </w:t>
      </w:r>
      <w:r w:rsidR="002149BC">
        <w:t>2)</w:t>
      </w:r>
      <w:r w:rsidR="009D5FD9" w:rsidRPr="00161C37">
        <w:t xml:space="preserve">. </w:t>
      </w:r>
      <w:r w:rsidR="0061756F" w:rsidRPr="00161C37">
        <w:t>Ongoing consolidation</w:t>
      </w:r>
      <w:r w:rsidR="009D5FD9" w:rsidRPr="00161C37">
        <w:t xml:space="preserve"> will be supported by the recently </w:t>
      </w:r>
      <w:r w:rsidR="00D63EFC" w:rsidRPr="00161C37">
        <w:t>announced capital gains tax</w:t>
      </w:r>
      <w:r w:rsidR="009D5FD9" w:rsidRPr="00161C37">
        <w:t xml:space="preserve"> relief provisions for superannuation funds (Shorten </w:t>
      </w:r>
      <w:proofErr w:type="spellStart"/>
      <w:r w:rsidR="009D5FD9" w:rsidRPr="00161C37">
        <w:t>2012</w:t>
      </w:r>
      <w:r w:rsidR="00A32726">
        <w:t>h</w:t>
      </w:r>
      <w:proofErr w:type="spellEnd"/>
      <w:r w:rsidR="009D5FD9" w:rsidRPr="00161C37">
        <w:t xml:space="preserve">), regarded </w:t>
      </w:r>
      <w:r w:rsidR="008C0182">
        <w:t xml:space="preserve">by some </w:t>
      </w:r>
      <w:r w:rsidR="009D5FD9" w:rsidRPr="00161C37">
        <w:t>as a prerequisite</w:t>
      </w:r>
      <w:r w:rsidR="003B4DA3">
        <w:t xml:space="preserve"> for ongoing merger activity (Asset</w:t>
      </w:r>
      <w:r w:rsidR="00C93D48">
        <w:t xml:space="preserve"> Super, sub. </w:t>
      </w:r>
      <w:r w:rsidR="009D5FD9" w:rsidRPr="00161C37">
        <w:t>32).</w:t>
      </w:r>
      <w:r w:rsidR="009D5FD9">
        <w:t xml:space="preserve"> </w:t>
      </w:r>
      <w:r w:rsidR="00C7599F">
        <w:t xml:space="preserve"> </w:t>
      </w:r>
    </w:p>
    <w:p w:rsidR="000600AF" w:rsidRDefault="008122AA" w:rsidP="000600AF">
      <w:pPr>
        <w:pStyle w:val="Heading3"/>
      </w:pPr>
      <w:r>
        <w:t xml:space="preserve">Scope for </w:t>
      </w:r>
      <w:r w:rsidR="007309BE">
        <w:t xml:space="preserve">additional criteria relating to </w:t>
      </w:r>
      <w:r w:rsidR="000600AF">
        <w:t xml:space="preserve">scale </w:t>
      </w:r>
    </w:p>
    <w:p w:rsidR="002149BC" w:rsidRDefault="002149BC" w:rsidP="002149BC">
      <w:pPr>
        <w:pStyle w:val="Heading4"/>
        <w:spacing w:before="240"/>
      </w:pPr>
      <w:r>
        <w:t>Participants’ views</w:t>
      </w:r>
    </w:p>
    <w:p w:rsidR="005B4C90" w:rsidRDefault="009D5010" w:rsidP="004777B9">
      <w:pPr>
        <w:pStyle w:val="BodyText"/>
      </w:pPr>
      <w:r>
        <w:t>Few</w:t>
      </w:r>
      <w:r w:rsidRPr="00B858BC">
        <w:t xml:space="preserve"> </w:t>
      </w:r>
      <w:r w:rsidR="00E70664" w:rsidRPr="00B858BC">
        <w:t xml:space="preserve">inquiry participants believe that scale should be </w:t>
      </w:r>
      <w:r w:rsidR="009D1D35">
        <w:t>considered when listing</w:t>
      </w:r>
      <w:r w:rsidR="00E70664" w:rsidRPr="00B858BC">
        <w:t xml:space="preserve"> superannuation </w:t>
      </w:r>
      <w:r w:rsidR="0021207A">
        <w:t>products</w:t>
      </w:r>
      <w:r w:rsidR="0021207A" w:rsidRPr="00B858BC">
        <w:t xml:space="preserve"> </w:t>
      </w:r>
      <w:r w:rsidR="00E70664" w:rsidRPr="00B858BC">
        <w:t xml:space="preserve">in </w:t>
      </w:r>
      <w:r w:rsidR="009D1D35">
        <w:t xml:space="preserve">modern </w:t>
      </w:r>
      <w:r w:rsidR="00E70664" w:rsidRPr="00B858BC">
        <w:t>awards</w:t>
      </w:r>
      <w:r w:rsidR="004777B9">
        <w:t>, but</w:t>
      </w:r>
      <w:r w:rsidR="00A1186E">
        <w:t xml:space="preserve"> some recognise</w:t>
      </w:r>
      <w:r w:rsidR="003B4DA3">
        <w:t>d</w:t>
      </w:r>
      <w:r w:rsidR="00A1186E">
        <w:t xml:space="preserve"> scale benefits. For </w:t>
      </w:r>
      <w:r w:rsidR="00A1186E">
        <w:lastRenderedPageBreak/>
        <w:t xml:space="preserve">example, </w:t>
      </w:r>
      <w:r w:rsidR="0017375E">
        <w:t>REST</w:t>
      </w:r>
      <w:r w:rsidR="0070108D">
        <w:t xml:space="preserve"> Industry Super</w:t>
      </w:r>
      <w:r w:rsidR="0017375E">
        <w:t xml:space="preserve"> contend</w:t>
      </w:r>
      <w:r w:rsidR="003B4DA3">
        <w:t>ed</w:t>
      </w:r>
      <w:r w:rsidR="0017375E">
        <w:t xml:space="preserve"> that </w:t>
      </w:r>
      <w:r w:rsidR="00712CD7">
        <w:t>s</w:t>
      </w:r>
      <w:r w:rsidR="00712CD7" w:rsidRPr="00070A23">
        <w:t xml:space="preserve">cale </w:t>
      </w:r>
      <w:r w:rsidR="00D74086">
        <w:t xml:space="preserve">facilitates the development of business capabilities, and </w:t>
      </w:r>
      <w:r w:rsidR="00712CD7" w:rsidRPr="00070A23">
        <w:t>m</w:t>
      </w:r>
      <w:r w:rsidR="00712CD7" w:rsidRPr="00F64459">
        <w:t>ay result in a broader range of investments</w:t>
      </w:r>
      <w:r w:rsidR="0017375E">
        <w:t xml:space="preserve"> and improve</w:t>
      </w:r>
      <w:r w:rsidR="000A60A4">
        <w:t>d</w:t>
      </w:r>
      <w:r w:rsidR="0017375E">
        <w:t xml:space="preserve"> overall rate</w:t>
      </w:r>
      <w:r w:rsidR="000A60A4">
        <w:t>s</w:t>
      </w:r>
      <w:r w:rsidR="0017375E">
        <w:t xml:space="preserve"> of return</w:t>
      </w:r>
      <w:r w:rsidR="00712CD7" w:rsidRPr="00F64459">
        <w:t xml:space="preserve"> (sub. 47). </w:t>
      </w:r>
      <w:r w:rsidR="00712CD7">
        <w:t xml:space="preserve">Further, </w:t>
      </w:r>
      <w:r w:rsidR="00A1186E">
        <w:t>wh</w:t>
      </w:r>
      <w:r w:rsidR="005B4C90">
        <w:t xml:space="preserve">ere scale exists, it may </w:t>
      </w:r>
      <w:r w:rsidR="00E0085F">
        <w:t>be used to reduce costs</w:t>
      </w:r>
      <w:r w:rsidR="005B4C90">
        <w:t xml:space="preserve">. </w:t>
      </w:r>
    </w:p>
    <w:p w:rsidR="005B4C90" w:rsidRDefault="005B4C90" w:rsidP="005B4C90">
      <w:pPr>
        <w:pStyle w:val="Quote"/>
      </w:pPr>
      <w:r>
        <w:t>Scale allows a trustee to negotiate better rates with service providers such as investment managers, administrators and custodians</w:t>
      </w:r>
      <w:r w:rsidRPr="00F64459">
        <w:t xml:space="preserve">. </w:t>
      </w:r>
      <w:r>
        <w:t>(AMP, sub. 52, p. 6)</w:t>
      </w:r>
    </w:p>
    <w:p w:rsidR="00410443" w:rsidRDefault="007910A6" w:rsidP="00410443">
      <w:pPr>
        <w:pStyle w:val="BodyText"/>
      </w:pPr>
      <w:r>
        <w:t>Most</w:t>
      </w:r>
      <w:r w:rsidR="004777B9" w:rsidRPr="00B858BC">
        <w:t xml:space="preserve"> participants believe that </w:t>
      </w:r>
      <w:r>
        <w:t xml:space="preserve">the </w:t>
      </w:r>
      <w:proofErr w:type="spellStart"/>
      <w:r>
        <w:t>MySuper</w:t>
      </w:r>
      <w:proofErr w:type="spellEnd"/>
      <w:r>
        <w:t xml:space="preserve"> scale requirements are sufficient, and</w:t>
      </w:r>
      <w:r w:rsidRPr="00B858BC">
        <w:t xml:space="preserve"> </w:t>
      </w:r>
      <w:r>
        <w:t xml:space="preserve">that </w:t>
      </w:r>
      <w:r w:rsidR="004777B9" w:rsidRPr="00B858BC">
        <w:t>no additional scale requirements should apply</w:t>
      </w:r>
      <w:r w:rsidR="002345C7" w:rsidRPr="002345C7">
        <w:t xml:space="preserve"> </w:t>
      </w:r>
      <w:r w:rsidR="002345C7" w:rsidRPr="00B858BC">
        <w:t>(</w:t>
      </w:r>
      <w:r w:rsidR="002345C7">
        <w:t>box 4.4</w:t>
      </w:r>
      <w:r w:rsidR="002345C7" w:rsidRPr="00B858BC">
        <w:t>)</w:t>
      </w:r>
      <w:r w:rsidR="002345C7">
        <w:t xml:space="preserve">. One participant indicated that scale economies could be accessed, even by small funds. </w:t>
      </w:r>
    </w:p>
    <w:p w:rsidR="00A56351" w:rsidRDefault="00A5635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56351">
        <w:tc>
          <w:tcPr>
            <w:tcW w:w="8771" w:type="dxa"/>
            <w:tcBorders>
              <w:top w:val="single" w:sz="6" w:space="0" w:color="auto"/>
              <w:bottom w:val="nil"/>
            </w:tcBorders>
          </w:tcPr>
          <w:p w:rsidR="00A56351" w:rsidRDefault="00A56351" w:rsidP="00D82896">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53236F">
              <w:rPr>
                <w:b w:val="0"/>
              </w:rPr>
              <w:t>4.</w:t>
            </w:r>
            <w:r>
              <w:rPr>
                <w:b w:val="0"/>
              </w:rPr>
              <w:fldChar w:fldCharType="end"/>
            </w:r>
            <w:r w:rsidR="00EF653E">
              <w:rPr>
                <w:b w:val="0"/>
              </w:rPr>
              <w:t>4</w:t>
            </w:r>
            <w:r>
              <w:tab/>
              <w:t xml:space="preserve">Scale as a </w:t>
            </w:r>
            <w:r w:rsidR="00D82896">
              <w:t xml:space="preserve">criterion </w:t>
            </w:r>
            <w:r>
              <w:t xml:space="preserve">for </w:t>
            </w:r>
            <w:r w:rsidR="00E022CF">
              <w:t xml:space="preserve">selecting </w:t>
            </w:r>
            <w:r>
              <w:t xml:space="preserve">default </w:t>
            </w:r>
            <w:r w:rsidR="0021207A">
              <w:t xml:space="preserve">products </w:t>
            </w:r>
            <w:r>
              <w:t>— some perspectives</w:t>
            </w:r>
          </w:p>
        </w:tc>
      </w:tr>
      <w:tr w:rsidR="00A56351">
        <w:trPr>
          <w:cantSplit/>
        </w:trPr>
        <w:tc>
          <w:tcPr>
            <w:tcW w:w="8771" w:type="dxa"/>
            <w:tcBorders>
              <w:top w:val="nil"/>
              <w:left w:val="single" w:sz="6" w:space="0" w:color="auto"/>
              <w:bottom w:val="nil"/>
              <w:right w:val="single" w:sz="6" w:space="0" w:color="auto"/>
            </w:tcBorders>
          </w:tcPr>
          <w:p w:rsidR="00431555" w:rsidRDefault="009A4C0E" w:rsidP="006B4803">
            <w:pPr>
              <w:pStyle w:val="BoxHeading1"/>
            </w:pPr>
            <w:r>
              <w:t>S</w:t>
            </w:r>
            <w:r w:rsidR="00431555">
              <w:t xml:space="preserve">hould be </w:t>
            </w:r>
            <w:r>
              <w:t>considered</w:t>
            </w:r>
          </w:p>
          <w:p w:rsidR="00001F4C" w:rsidRPr="00001F4C" w:rsidRDefault="00001F4C" w:rsidP="00F50C49">
            <w:pPr>
              <w:pStyle w:val="BoxQuote"/>
            </w:pPr>
            <w:r w:rsidRPr="00001F4C">
              <w:t xml:space="preserve">Entry to awards after 2013 </w:t>
            </w:r>
            <w:r w:rsidR="008B4335">
              <w:t>[should]</w:t>
            </w:r>
            <w:r w:rsidRPr="00001F4C">
              <w:t xml:space="preserve"> be conditional on funds being able to prove to APRA that they have op</w:t>
            </w:r>
            <w:r>
              <w:t xml:space="preserve">erated </w:t>
            </w:r>
            <w:r w:rsidR="00D75CE7">
              <w:t xml:space="preserve">[on] </w:t>
            </w:r>
            <w:r>
              <w:t>an equivalent of a scale … that would make it appropriate for award inclusion. (</w:t>
            </w:r>
            <w:r w:rsidR="00BA53D6">
              <w:t xml:space="preserve">ACTU, sub. 29, </w:t>
            </w:r>
            <w:r>
              <w:t>p</w:t>
            </w:r>
            <w:r w:rsidR="00F31F6E">
              <w:t>p</w:t>
            </w:r>
            <w:r>
              <w:t>. 11</w:t>
            </w:r>
            <w:r w:rsidR="00CB3E88">
              <w:t>–12</w:t>
            </w:r>
            <w:r>
              <w:t>)</w:t>
            </w:r>
          </w:p>
          <w:p w:rsidR="00431555" w:rsidRDefault="009A4C0E" w:rsidP="006B4803">
            <w:pPr>
              <w:pStyle w:val="BoxHeading1"/>
            </w:pPr>
            <w:r>
              <w:t>S</w:t>
            </w:r>
            <w:r w:rsidR="00431555">
              <w:t xml:space="preserve">hould not be </w:t>
            </w:r>
            <w:r>
              <w:t>considered</w:t>
            </w:r>
            <w:r w:rsidR="000142D5">
              <w:t xml:space="preserve"> beyond </w:t>
            </w:r>
            <w:proofErr w:type="spellStart"/>
            <w:r w:rsidR="000142D5">
              <w:t>MySuper</w:t>
            </w:r>
            <w:proofErr w:type="spellEnd"/>
            <w:r w:rsidR="000142D5">
              <w:t xml:space="preserve"> requirements</w:t>
            </w:r>
          </w:p>
          <w:p w:rsidR="00EF67B0" w:rsidRDefault="00EF67B0" w:rsidP="00EF67B0">
            <w:pPr>
              <w:pStyle w:val="BoxQuote"/>
            </w:pPr>
            <w:r>
              <w:t xml:space="preserve">Funds will be required to make their own assessment of scale to ensure that they are able to offer a </w:t>
            </w:r>
            <w:proofErr w:type="spellStart"/>
            <w:r>
              <w:t>MySuper</w:t>
            </w:r>
            <w:proofErr w:type="spellEnd"/>
            <w:r>
              <w:t xml:space="preserve"> product that is in their members’ best financial interest</w:t>
            </w:r>
            <w:r w:rsidR="00AE078C">
              <w:t>s</w:t>
            </w:r>
            <w:r>
              <w:t xml:space="preserve">. As this process is a threshold </w:t>
            </w:r>
            <w:proofErr w:type="spellStart"/>
            <w:r>
              <w:t>MySuper</w:t>
            </w:r>
            <w:proofErr w:type="spellEnd"/>
            <w:r>
              <w:t xml:space="preserve"> criteria, it should not be a criteria that is duplicated in the selection of funds in awards. (</w:t>
            </w:r>
            <w:proofErr w:type="spellStart"/>
            <w:r>
              <w:t>AIST</w:t>
            </w:r>
            <w:proofErr w:type="spellEnd"/>
            <w:r>
              <w:t>, sub. 20, p. 1</w:t>
            </w:r>
            <w:r w:rsidR="00AE078C">
              <w:t>6</w:t>
            </w:r>
            <w:r>
              <w:t xml:space="preserve">) </w:t>
            </w:r>
          </w:p>
          <w:p w:rsidR="006F0165" w:rsidRDefault="006F0165" w:rsidP="006F0165">
            <w:pPr>
              <w:pStyle w:val="BoxQuote"/>
            </w:pPr>
            <w:r w:rsidRPr="006F0165">
              <w:t xml:space="preserve">We believe </w:t>
            </w:r>
            <w:r>
              <w:t xml:space="preserve">[scale] is adequately addressed in the </w:t>
            </w:r>
            <w:proofErr w:type="spellStart"/>
            <w:r>
              <w:t>MySuper</w:t>
            </w:r>
            <w:proofErr w:type="spellEnd"/>
            <w:r>
              <w:t xml:space="preserve"> licensing process and ongoing ‘scale test’. (REI Super, sub. 26, p. 5)</w:t>
            </w:r>
          </w:p>
          <w:p w:rsidR="00A906B7" w:rsidRPr="00A906B7" w:rsidRDefault="00A906B7" w:rsidP="00A906B7">
            <w:pPr>
              <w:pStyle w:val="BoxQuote"/>
            </w:pPr>
            <w:r>
              <w:t xml:space="preserve">There is no ideal fund size in assessing member value. Regardless, the </w:t>
            </w:r>
            <w:proofErr w:type="spellStart"/>
            <w:r>
              <w:t>MySuper</w:t>
            </w:r>
            <w:proofErr w:type="spellEnd"/>
            <w:r>
              <w:t xml:space="preserve"> framework contains a requirement that a </w:t>
            </w:r>
            <w:proofErr w:type="spellStart"/>
            <w:r>
              <w:t>MySuper</w:t>
            </w:r>
            <w:proofErr w:type="spellEnd"/>
            <w:r>
              <w:t xml:space="preserve"> trustee annually makes an assessment of scale. (</w:t>
            </w:r>
            <w:proofErr w:type="spellStart"/>
            <w:r>
              <w:t>FSC</w:t>
            </w:r>
            <w:proofErr w:type="spellEnd"/>
            <w:r>
              <w:t xml:space="preserve">, sub. </w:t>
            </w:r>
            <w:r w:rsidR="002C7175">
              <w:t>30</w:t>
            </w:r>
            <w:r>
              <w:t>, p. 24)</w:t>
            </w:r>
          </w:p>
          <w:p w:rsidR="009554F8" w:rsidRDefault="003C4268" w:rsidP="00F50C49">
            <w:pPr>
              <w:pStyle w:val="BoxQuote"/>
            </w:pPr>
            <w:r>
              <w:t>We do not believe that scale should be a deciding factor as smaller or specialised funds may provide the necessary value to employees in a particular industry or achieve scale through pooling administration or investment resources. (</w:t>
            </w:r>
            <w:r w:rsidR="009554F8">
              <w:t>CPA</w:t>
            </w:r>
            <w:r w:rsidR="0070108D">
              <w:t xml:space="preserve"> Australia</w:t>
            </w:r>
            <w:r w:rsidR="009554F8">
              <w:t xml:space="preserve">, sub. 39, p. </w:t>
            </w:r>
            <w:r>
              <w:t>2)</w:t>
            </w:r>
          </w:p>
          <w:p w:rsidR="00EF67B0" w:rsidRDefault="00EF67B0" w:rsidP="008D2E0E">
            <w:pPr>
              <w:pStyle w:val="BoxQuote"/>
            </w:pPr>
            <w:r>
              <w:t xml:space="preserve">… it is not the case that … returns [always] increase in sync with fund size </w:t>
            </w:r>
            <w:r w:rsidR="00F66675">
              <w:t>increase.</w:t>
            </w:r>
            <w:r>
              <w:t xml:space="preserve"> (</w:t>
            </w:r>
            <w:proofErr w:type="spellStart"/>
            <w:r>
              <w:t>Tasplan</w:t>
            </w:r>
            <w:proofErr w:type="spellEnd"/>
            <w:r>
              <w:t>, sub. 6, p. 5).</w:t>
            </w:r>
          </w:p>
          <w:p w:rsidR="00B2788C" w:rsidRPr="00B2788C" w:rsidRDefault="00B2788C" w:rsidP="008D2E0E">
            <w:pPr>
              <w:pStyle w:val="BoxQuote"/>
            </w:pPr>
            <w:r w:rsidRPr="00B2788C">
              <w:t xml:space="preserve">Lower costs are irrelevant if the benefits are not passed on as lower fees and better returns for members. Large retail funds benefit from scale, but the data show their cost savings go to profit for shareholders and not to benefit for members. </w:t>
            </w:r>
            <w:r>
              <w:t xml:space="preserve">(Wilson </w:t>
            </w:r>
            <w:proofErr w:type="spellStart"/>
            <w:r>
              <w:t>Sy</w:t>
            </w:r>
            <w:proofErr w:type="spellEnd"/>
            <w:r>
              <w:t xml:space="preserve">, sub. </w:t>
            </w:r>
            <w:proofErr w:type="spellStart"/>
            <w:r>
              <w:t>DR58</w:t>
            </w:r>
            <w:proofErr w:type="spellEnd"/>
            <w:r>
              <w:t>, p. 1)</w:t>
            </w:r>
          </w:p>
        </w:tc>
      </w:tr>
      <w:tr w:rsidR="00A56351">
        <w:trPr>
          <w:cantSplit/>
        </w:trPr>
        <w:tc>
          <w:tcPr>
            <w:tcW w:w="8771" w:type="dxa"/>
            <w:tcBorders>
              <w:top w:val="nil"/>
              <w:left w:val="single" w:sz="6" w:space="0" w:color="auto"/>
              <w:bottom w:val="single" w:sz="6" w:space="0" w:color="auto"/>
              <w:right w:val="single" w:sz="6" w:space="0" w:color="auto"/>
            </w:tcBorders>
          </w:tcPr>
          <w:p w:rsidR="00A56351" w:rsidRDefault="00A56351">
            <w:pPr>
              <w:pStyle w:val="Box"/>
              <w:spacing w:before="0" w:line="120" w:lineRule="exact"/>
            </w:pPr>
          </w:p>
        </w:tc>
      </w:tr>
      <w:tr w:rsidR="00A56351">
        <w:tc>
          <w:tcPr>
            <w:tcW w:w="8771" w:type="dxa"/>
            <w:tcBorders>
              <w:top w:val="nil"/>
              <w:left w:val="nil"/>
              <w:bottom w:val="nil"/>
              <w:right w:val="nil"/>
            </w:tcBorders>
          </w:tcPr>
          <w:p w:rsidR="00A56351" w:rsidRDefault="00A56351">
            <w:pPr>
              <w:pStyle w:val="Box"/>
              <w:keepNext w:val="0"/>
              <w:spacing w:before="60" w:after="60" w:line="80" w:lineRule="exact"/>
              <w:rPr>
                <w:b/>
                <w:color w:val="FF00FF"/>
                <w:sz w:val="14"/>
              </w:rPr>
            </w:pPr>
          </w:p>
        </w:tc>
      </w:tr>
    </w:tbl>
    <w:p w:rsidR="009D5544" w:rsidRDefault="009D5544" w:rsidP="009D5544">
      <w:pPr>
        <w:pStyle w:val="BodyText"/>
      </w:pPr>
      <w:r>
        <w:t>The Transport Industry Superannuation Fund pointed out that:</w:t>
      </w:r>
    </w:p>
    <w:p w:rsidR="009D5544" w:rsidRDefault="009D5544" w:rsidP="009D5544">
      <w:pPr>
        <w:pStyle w:val="Quote"/>
      </w:pPr>
      <w:r w:rsidRPr="002345C7">
        <w:t xml:space="preserve">The way the fund works due to its small size is to outsource for expertise and to achieve scale and efficiencies and they do that in the areas of corporate governance, investment and </w:t>
      </w:r>
      <w:r>
        <w:t>[</w:t>
      </w:r>
      <w:r w:rsidRPr="002345C7">
        <w:t>administrati</w:t>
      </w:r>
      <w:r>
        <w:t>on]</w:t>
      </w:r>
      <w:r w:rsidRPr="002345C7">
        <w:t xml:space="preserve"> and promotion. </w:t>
      </w:r>
      <w:r>
        <w:t>(trans., p. 147–8)</w:t>
      </w:r>
    </w:p>
    <w:p w:rsidR="009D5544" w:rsidRPr="005F4786" w:rsidRDefault="009D5544" w:rsidP="009D5544">
      <w:pPr>
        <w:pStyle w:val="BodyText"/>
      </w:pPr>
      <w:r w:rsidRPr="0079612B">
        <w:lastRenderedPageBreak/>
        <w:t xml:space="preserve">One participant spoke out more strongly against using scale as a </w:t>
      </w:r>
      <w:r>
        <w:t>criterion</w:t>
      </w:r>
      <w:r w:rsidRPr="00C0333E">
        <w:t>, contending that there is ‘no generally valid relationship between scale and the cost of running superannuati</w:t>
      </w:r>
      <w:r w:rsidRPr="00C444AD">
        <w:t xml:space="preserve">on funds’ </w:t>
      </w:r>
      <w:r w:rsidRPr="005F4786">
        <w:t xml:space="preserve">(Wilson </w:t>
      </w:r>
      <w:proofErr w:type="spellStart"/>
      <w:r w:rsidRPr="005F4786">
        <w:t>Sy</w:t>
      </w:r>
      <w:proofErr w:type="spellEnd"/>
      <w:r w:rsidRPr="005F4786">
        <w:t xml:space="preserve">, sub. </w:t>
      </w:r>
      <w:proofErr w:type="spellStart"/>
      <w:r w:rsidRPr="005F4786">
        <w:t>DR58</w:t>
      </w:r>
      <w:proofErr w:type="spellEnd"/>
      <w:r w:rsidRPr="005F4786">
        <w:t>, p. 1).</w:t>
      </w:r>
    </w:p>
    <w:p w:rsidR="007B6F8A" w:rsidRDefault="007B6F8A" w:rsidP="007B6F8A">
      <w:pPr>
        <w:pStyle w:val="Heading4"/>
      </w:pPr>
      <w:r>
        <w:t>The Commission’s view</w:t>
      </w:r>
    </w:p>
    <w:p w:rsidR="007B6F8A" w:rsidRDefault="007B6F8A" w:rsidP="007B6F8A">
      <w:pPr>
        <w:pStyle w:val="BodyText"/>
      </w:pPr>
      <w:r>
        <w:t xml:space="preserve">Imposing a </w:t>
      </w:r>
      <w:r w:rsidR="00CB0A4F">
        <w:t xml:space="preserve">prescriptive </w:t>
      </w:r>
      <w:r>
        <w:t xml:space="preserve">scale </w:t>
      </w:r>
      <w:r w:rsidR="00CB0A4F">
        <w:t xml:space="preserve">criterion </w:t>
      </w:r>
      <w:r>
        <w:t xml:space="preserve">that </w:t>
      </w:r>
      <w:r w:rsidR="00CB0A4F">
        <w:t xml:space="preserve">requires </w:t>
      </w:r>
      <w:r>
        <w:t>a minimum fund size</w:t>
      </w:r>
      <w:r w:rsidR="00135878">
        <w:t xml:space="preserve"> would</w:t>
      </w:r>
      <w:r>
        <w:t xml:space="preserve"> ignore the </w:t>
      </w:r>
      <w:r w:rsidR="00135878">
        <w:t xml:space="preserve">possibility </w:t>
      </w:r>
      <w:r>
        <w:t xml:space="preserve">that superannuation funds can access ‘scale advantages’ in a number of ways other than through </w:t>
      </w:r>
      <w:r w:rsidR="00D75CE7">
        <w:t xml:space="preserve">internal growth or </w:t>
      </w:r>
      <w:r>
        <w:t xml:space="preserve">merger activity. </w:t>
      </w:r>
      <w:r w:rsidR="00D75CE7">
        <w:t xml:space="preserve">The </w:t>
      </w:r>
      <w:r>
        <w:t xml:space="preserve">outsourcing </w:t>
      </w:r>
      <w:r w:rsidR="003C34CB">
        <w:t xml:space="preserve">of </w:t>
      </w:r>
      <w:r>
        <w:t xml:space="preserve">administrative or </w:t>
      </w:r>
      <w:r w:rsidRPr="00F50C49">
        <w:t xml:space="preserve">investment </w:t>
      </w:r>
      <w:r>
        <w:t xml:space="preserve">components </w:t>
      </w:r>
      <w:r w:rsidR="00D75CE7">
        <w:t xml:space="preserve">can realise similar benefits </w:t>
      </w:r>
      <w:r>
        <w:t>(such as by using organisations that offer a ‘one</w:t>
      </w:r>
      <w:r>
        <w:noBreakHyphen/>
        <w:t>stop</w:t>
      </w:r>
      <w:r>
        <w:noBreakHyphen/>
        <w:t>shop’ investment capability) (Deloitte 2010)</w:t>
      </w:r>
      <w:r w:rsidRPr="00C01940">
        <w:t xml:space="preserve">. </w:t>
      </w:r>
    </w:p>
    <w:p w:rsidR="007B6F8A" w:rsidRDefault="00D75CE7" w:rsidP="007B6F8A">
      <w:pPr>
        <w:pStyle w:val="BodyText"/>
      </w:pPr>
      <w:r>
        <w:t>The</w:t>
      </w:r>
      <w:r w:rsidR="007B6F8A">
        <w:t xml:space="preserve"> imposi</w:t>
      </w:r>
      <w:r>
        <w:t>tion of</w:t>
      </w:r>
      <w:r w:rsidR="007B6F8A">
        <w:t xml:space="preserve"> a </w:t>
      </w:r>
      <w:r w:rsidR="00CB0A4F">
        <w:t xml:space="preserve">prescriptive scale criterion that requires a minimum fund size </w:t>
      </w:r>
      <w:r w:rsidR="007B6F8A">
        <w:t xml:space="preserve">could </w:t>
      </w:r>
      <w:r>
        <w:t xml:space="preserve">also </w:t>
      </w:r>
      <w:r w:rsidR="007B6F8A">
        <w:t>penalise small well</w:t>
      </w:r>
      <w:r w:rsidR="007B6F8A">
        <w:noBreakHyphen/>
        <w:t>performing funds</w:t>
      </w:r>
      <w:r w:rsidR="00CC791E">
        <w:t>, and</w:t>
      </w:r>
      <w:r w:rsidR="007B6F8A">
        <w:t xml:space="preserve"> might </w:t>
      </w:r>
      <w:r w:rsidR="007B6F8A" w:rsidRPr="00054B8F">
        <w:t xml:space="preserve">have the </w:t>
      </w:r>
      <w:r w:rsidR="007B6F8A">
        <w:t xml:space="preserve">unintended consequence of </w:t>
      </w:r>
      <w:r w:rsidR="007B6F8A" w:rsidRPr="00054B8F">
        <w:t>shutting out new and smaller players</w:t>
      </w:r>
      <w:r w:rsidR="007B6F8A">
        <w:t>, p</w:t>
      </w:r>
      <w:r w:rsidR="007B6F8A" w:rsidRPr="00054B8F">
        <w:t>revent</w:t>
      </w:r>
      <w:r w:rsidR="007B6F8A">
        <w:t>ing</w:t>
      </w:r>
      <w:r w:rsidR="007B6F8A" w:rsidRPr="00054B8F">
        <w:t xml:space="preserve"> competition.</w:t>
      </w:r>
    </w:p>
    <w:p w:rsidR="003F2C79" w:rsidRDefault="003F2C79" w:rsidP="003F2C79">
      <w:pPr>
        <w:pStyle w:val="BodyText"/>
      </w:pPr>
      <w:r>
        <w:t xml:space="preserve">Further, a prescriptive scale requirement would ignore that scale is just </w:t>
      </w:r>
      <w:r w:rsidRPr="007863A0">
        <w:rPr>
          <w:i/>
        </w:rPr>
        <w:t>one</w:t>
      </w:r>
      <w:r>
        <w:t xml:space="preserve"> factor among many that influence fund </w:t>
      </w:r>
      <w:r w:rsidR="00E21F8E">
        <w:t xml:space="preserve">investment </w:t>
      </w:r>
      <w:r>
        <w:t xml:space="preserve">performance. Such a requirement </w:t>
      </w:r>
      <w:r w:rsidR="00F72B9B">
        <w:t xml:space="preserve">would </w:t>
      </w:r>
      <w:r>
        <w:t xml:space="preserve">risk introducing ‘false security’ for </w:t>
      </w:r>
      <w:r w:rsidR="00CB34B9">
        <w:t>decision makers,</w:t>
      </w:r>
      <w:r>
        <w:t xml:space="preserve"> and </w:t>
      </w:r>
      <w:r w:rsidR="00F72B9B">
        <w:t xml:space="preserve">may </w:t>
      </w:r>
      <w:r>
        <w:t xml:space="preserve">divert focus from </w:t>
      </w:r>
      <w:r w:rsidR="00527FC2">
        <w:t xml:space="preserve">other important </w:t>
      </w:r>
      <w:r w:rsidR="00D82896">
        <w:t>considerations</w:t>
      </w:r>
      <w:r>
        <w:t>.</w:t>
      </w:r>
      <w:r w:rsidRPr="00A72DCA">
        <w:t xml:space="preserve"> </w:t>
      </w:r>
    </w:p>
    <w:p w:rsidR="00D74086" w:rsidRDefault="00D74086" w:rsidP="00D74086">
      <w:pPr>
        <w:pStyle w:val="BodyText"/>
      </w:pPr>
      <w:r>
        <w:t xml:space="preserve">The </w:t>
      </w:r>
      <w:proofErr w:type="spellStart"/>
      <w:r w:rsidR="003F2C79">
        <w:t>MySuper</w:t>
      </w:r>
      <w:proofErr w:type="spellEnd"/>
      <w:r>
        <w:t xml:space="preserve"> ‘scale test’ is a flexible approach without the disadvantages outlined above</w:t>
      </w:r>
      <w:r w:rsidR="00470511">
        <w:t>, t</w:t>
      </w:r>
      <w:r>
        <w:t xml:space="preserve">hough its success will depend on the thoroughness </w:t>
      </w:r>
      <w:r w:rsidR="003F2C79">
        <w:t xml:space="preserve">with which APRA reviews each </w:t>
      </w:r>
      <w:proofErr w:type="spellStart"/>
      <w:r w:rsidR="003F2C79">
        <w:t>MySuper</w:t>
      </w:r>
      <w:proofErr w:type="spellEnd"/>
      <w:r w:rsidR="003F2C79">
        <w:t xml:space="preserve"> application, and the extent to which it </w:t>
      </w:r>
      <w:r w:rsidR="00961C6D">
        <w:t>monitors</w:t>
      </w:r>
      <w:r w:rsidR="003F2C79">
        <w:t xml:space="preserve"> the annual ‘scale test’ review</w:t>
      </w:r>
      <w:r w:rsidR="003F2C79" w:rsidRPr="00CA6420">
        <w:t xml:space="preserve">. </w:t>
      </w:r>
      <w:r w:rsidRPr="00CA6420">
        <w:t xml:space="preserve"> </w:t>
      </w:r>
    </w:p>
    <w:p w:rsidR="003F2C79" w:rsidRPr="003F2C79" w:rsidRDefault="00D74086" w:rsidP="003F2C79">
      <w:pPr>
        <w:pStyle w:val="BodyText"/>
      </w:pPr>
      <w:r>
        <w:t xml:space="preserve">The Commission considers that the </w:t>
      </w:r>
      <w:proofErr w:type="spellStart"/>
      <w:r w:rsidR="000C2A21">
        <w:t>MySuper</w:t>
      </w:r>
      <w:proofErr w:type="spellEnd"/>
      <w:r w:rsidR="000C2A21">
        <w:t xml:space="preserve"> </w:t>
      </w:r>
      <w:r>
        <w:t xml:space="preserve">requirement </w:t>
      </w:r>
      <w:r w:rsidR="00B26F9C">
        <w:t>for</w:t>
      </w:r>
      <w:r>
        <w:t xml:space="preserve"> trustees </w:t>
      </w:r>
      <w:r w:rsidR="00B26F9C">
        <w:t xml:space="preserve">to </w:t>
      </w:r>
      <w:r>
        <w:t>consider scale is appropriate, and that no greater prescription of scale is required.</w:t>
      </w:r>
    </w:p>
    <w:p w:rsidR="00516AB4" w:rsidRDefault="00516AB4" w:rsidP="00766F99">
      <w:pPr>
        <w:pStyle w:val="RecTitle"/>
      </w:pPr>
      <w:r>
        <w:t>Recommendation</w:t>
      </w:r>
      <w:r w:rsidR="00EC3C40">
        <w:t xml:space="preserve"> </w:t>
      </w:r>
      <w:fldSimple w:instr=" COMMENTS  \* MERGEFORMAT ">
        <w:r w:rsidR="0053236F">
          <w:t>4.</w:t>
        </w:r>
      </w:fldSimple>
      <w:r w:rsidR="0055510D">
        <w:fldChar w:fldCharType="begin"/>
      </w:r>
      <w:r w:rsidR="0055510D">
        <w:instrText xml:space="preserve"> SEQ Recommendation \* ARABIC </w:instrText>
      </w:r>
      <w:r w:rsidR="0055510D">
        <w:fldChar w:fldCharType="separate"/>
      </w:r>
      <w:r w:rsidR="00132F9A">
        <w:rPr>
          <w:noProof/>
        </w:rPr>
        <w:t>4</w:t>
      </w:r>
      <w:r w:rsidR="0055510D">
        <w:rPr>
          <w:noProof/>
        </w:rPr>
        <w:fldChar w:fldCharType="end"/>
      </w:r>
      <w:bookmarkStart w:id="4" w:name="RecommendationTitle"/>
      <w:bookmarkEnd w:id="4"/>
    </w:p>
    <w:p w:rsidR="00C51CEE" w:rsidRDefault="00CA6854" w:rsidP="00C0560C">
      <w:pPr>
        <w:pStyle w:val="Rec"/>
      </w:pPr>
      <w:r>
        <w:t xml:space="preserve">The selection and ongoing assessment of </w:t>
      </w:r>
      <w:r w:rsidR="00C25291">
        <w:t xml:space="preserve">default </w:t>
      </w:r>
      <w:r w:rsidR="0055594A">
        <w:t xml:space="preserve">superannuation </w:t>
      </w:r>
      <w:r w:rsidR="0021207A">
        <w:t xml:space="preserve">products </w:t>
      </w:r>
      <w:r w:rsidR="0055594A">
        <w:t xml:space="preserve">for listing </w:t>
      </w:r>
      <w:r>
        <w:t xml:space="preserve">in modern awards should not include scale as a specific </w:t>
      </w:r>
      <w:r w:rsidR="00E21452">
        <w:t xml:space="preserve">factor for consideration </w:t>
      </w:r>
      <w:r w:rsidR="001E7324">
        <w:t xml:space="preserve">over and above the </w:t>
      </w:r>
      <w:proofErr w:type="spellStart"/>
      <w:r w:rsidR="001E7324">
        <w:t>MySuper</w:t>
      </w:r>
      <w:proofErr w:type="spellEnd"/>
      <w:r w:rsidR="001E7324">
        <w:t xml:space="preserve"> ‘scale test’</w:t>
      </w:r>
      <w:r>
        <w:t>.</w:t>
      </w:r>
    </w:p>
    <w:sectPr w:rsidR="00C51CEE" w:rsidSect="00075610">
      <w:headerReference w:type="even" r:id="rId12"/>
      <w:headerReference w:type="default" r:id="rId13"/>
      <w:footerReference w:type="even" r:id="rId14"/>
      <w:footerReference w:type="default" r:id="rId15"/>
      <w:headerReference w:type="first" r:id="rId16"/>
      <w:footerReference w:type="first" r:id="rId17"/>
      <w:pgSz w:w="11907" w:h="16840" w:code="9"/>
      <w:pgMar w:top="1985" w:right="1304" w:bottom="1418" w:left="1814" w:header="1701" w:footer="567" w:gutter="0"/>
      <w:pgNumType w:start="6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C9D" w:rsidRDefault="00EF1C9D">
      <w:r>
        <w:separator/>
      </w:r>
    </w:p>
  </w:endnote>
  <w:endnote w:type="continuationSeparator" w:id="0">
    <w:p w:rsidR="00EF1C9D" w:rsidRDefault="00EF1C9D">
      <w:r>
        <w:continuationSeparator/>
      </w:r>
    </w:p>
  </w:endnote>
  <w:endnote w:type="continuationNotice" w:id="1">
    <w:p w:rsidR="00EF1C9D" w:rsidRDefault="00EF1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F1C9D">
      <w:trPr>
        <w:trHeight w:hRule="exact" w:val="740"/>
      </w:trPr>
      <w:tc>
        <w:tcPr>
          <w:tcW w:w="510" w:type="dxa"/>
          <w:tcBorders>
            <w:top w:val="single" w:sz="6" w:space="0" w:color="auto"/>
          </w:tcBorders>
        </w:tcPr>
        <w:p w:rsidR="00EF1C9D" w:rsidRDefault="00EF1C9D"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76A60">
            <w:rPr>
              <w:rStyle w:val="PageNumber"/>
              <w:noProof/>
            </w:rPr>
            <w:t>72</w:t>
          </w:r>
          <w:r>
            <w:rPr>
              <w:rStyle w:val="PageNumber"/>
            </w:rPr>
            <w:fldChar w:fldCharType="end"/>
          </w:r>
        </w:p>
      </w:tc>
      <w:tc>
        <w:tcPr>
          <w:tcW w:w="1644" w:type="dxa"/>
          <w:tcBorders>
            <w:top w:val="single" w:sz="6" w:space="0" w:color="auto"/>
          </w:tcBorders>
        </w:tcPr>
        <w:p w:rsidR="00EF1C9D" w:rsidRDefault="0055510D" w:rsidP="0019293B">
          <w:pPr>
            <w:pStyle w:val="Footer"/>
          </w:pPr>
          <w:fldSimple w:instr=" SUBJECT  \* MERGEFORMAT ">
            <w:r w:rsidR="00132F9A">
              <w:t>Default Superannuation in Modern Awards</w:t>
            </w:r>
          </w:fldSimple>
        </w:p>
      </w:tc>
      <w:tc>
        <w:tcPr>
          <w:tcW w:w="6634" w:type="dxa"/>
        </w:tcPr>
        <w:p w:rsidR="00EF1C9D" w:rsidRDefault="00EF1C9D" w:rsidP="0019293B">
          <w:pPr>
            <w:pStyle w:val="Footer"/>
          </w:pPr>
        </w:p>
      </w:tc>
    </w:tr>
  </w:tbl>
  <w:p w:rsidR="00EF1C9D" w:rsidRDefault="00EF1C9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F1C9D">
      <w:trPr>
        <w:trHeight w:hRule="exact" w:val="740"/>
      </w:trPr>
      <w:tc>
        <w:tcPr>
          <w:tcW w:w="6634" w:type="dxa"/>
        </w:tcPr>
        <w:p w:rsidR="00EF1C9D" w:rsidRDefault="00EF1C9D">
          <w:pPr>
            <w:pStyle w:val="Footer"/>
            <w:ind w:right="360" w:firstLine="360"/>
          </w:pPr>
        </w:p>
      </w:tc>
      <w:tc>
        <w:tcPr>
          <w:tcW w:w="1644" w:type="dxa"/>
          <w:tcBorders>
            <w:top w:val="single" w:sz="6" w:space="0" w:color="auto"/>
          </w:tcBorders>
        </w:tcPr>
        <w:p w:rsidR="00EF1C9D" w:rsidRDefault="0055510D">
          <w:pPr>
            <w:pStyle w:val="Footer"/>
          </w:pPr>
          <w:fldSimple w:instr=" TITLE  \* MERGEFORMAT ">
            <w:r w:rsidR="00132F9A">
              <w:t>Investment performance</w:t>
            </w:r>
          </w:fldSimple>
        </w:p>
      </w:tc>
      <w:tc>
        <w:tcPr>
          <w:tcW w:w="510" w:type="dxa"/>
          <w:tcBorders>
            <w:top w:val="single" w:sz="6" w:space="0" w:color="auto"/>
          </w:tcBorders>
        </w:tcPr>
        <w:p w:rsidR="00EF1C9D" w:rsidRDefault="00EF1C9D">
          <w:pPr>
            <w:pStyle w:val="Footer"/>
            <w:jc w:val="right"/>
          </w:pPr>
          <w:r>
            <w:rPr>
              <w:rStyle w:val="PageNumber"/>
            </w:rPr>
            <w:fldChar w:fldCharType="begin"/>
          </w:r>
          <w:r>
            <w:rPr>
              <w:rStyle w:val="PageNumber"/>
            </w:rPr>
            <w:instrText xml:space="preserve">PAGE  </w:instrText>
          </w:r>
          <w:r>
            <w:rPr>
              <w:rStyle w:val="PageNumber"/>
            </w:rPr>
            <w:fldChar w:fldCharType="separate"/>
          </w:r>
          <w:r w:rsidR="00676A60">
            <w:rPr>
              <w:rStyle w:val="PageNumber"/>
              <w:noProof/>
            </w:rPr>
            <w:t>73</w:t>
          </w:r>
          <w:r>
            <w:rPr>
              <w:rStyle w:val="PageNumber"/>
            </w:rPr>
            <w:fldChar w:fldCharType="end"/>
          </w:r>
        </w:p>
      </w:tc>
    </w:tr>
  </w:tbl>
  <w:p w:rsidR="00EF1C9D" w:rsidRDefault="00EF1C9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F9A" w:rsidRDefault="00132F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C9D" w:rsidRDefault="00EF1C9D">
      <w:r>
        <w:separator/>
      </w:r>
    </w:p>
  </w:footnote>
  <w:footnote w:type="continuationSeparator" w:id="0">
    <w:p w:rsidR="00EF1C9D" w:rsidRDefault="00EF1C9D">
      <w:r>
        <w:continuationSeparator/>
      </w:r>
    </w:p>
  </w:footnote>
  <w:footnote w:type="continuationNotice" w:id="1">
    <w:p w:rsidR="00EF1C9D" w:rsidRDefault="00EF1C9D"/>
  </w:footnote>
  <w:footnote w:id="2">
    <w:p w:rsidR="00EF1C9D" w:rsidRDefault="00EF1C9D">
      <w:pPr>
        <w:pStyle w:val="FootnoteText"/>
      </w:pPr>
      <w:r>
        <w:rPr>
          <w:rStyle w:val="FootnoteReference"/>
        </w:rPr>
        <w:footnoteRef/>
      </w:r>
      <w:r>
        <w:tab/>
        <w:t>The rate of return is the ratio of money gained or lost on an investment, to the amount of money invested. This analysis compares the performance of current default funds to non</w:t>
      </w:r>
      <w:r>
        <w:noBreakHyphen/>
        <w:t xml:space="preserve">default funds. It is based on average performance of groups of funds and gives no indication of dispersion around the average.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F1C9D">
      <w:tc>
        <w:tcPr>
          <w:tcW w:w="2155" w:type="dxa"/>
          <w:tcBorders>
            <w:top w:val="single" w:sz="24" w:space="0" w:color="auto"/>
          </w:tcBorders>
        </w:tcPr>
        <w:p w:rsidR="00EF1C9D" w:rsidRDefault="00EF1C9D" w:rsidP="0019293B">
          <w:pPr>
            <w:pStyle w:val="HeaderEven"/>
          </w:pPr>
        </w:p>
      </w:tc>
      <w:tc>
        <w:tcPr>
          <w:tcW w:w="6634" w:type="dxa"/>
          <w:tcBorders>
            <w:top w:val="single" w:sz="6" w:space="0" w:color="auto"/>
          </w:tcBorders>
        </w:tcPr>
        <w:p w:rsidR="00EF1C9D" w:rsidRDefault="00EF1C9D" w:rsidP="0019293B">
          <w:pPr>
            <w:pStyle w:val="HeaderEven"/>
          </w:pPr>
        </w:p>
      </w:tc>
    </w:tr>
  </w:tbl>
  <w:p w:rsidR="00EF1C9D" w:rsidRDefault="00EF1C9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F1C9D">
      <w:tc>
        <w:tcPr>
          <w:tcW w:w="6634" w:type="dxa"/>
          <w:tcBorders>
            <w:top w:val="single" w:sz="6" w:space="0" w:color="auto"/>
          </w:tcBorders>
        </w:tcPr>
        <w:p w:rsidR="00EF1C9D" w:rsidRDefault="00EF1C9D" w:rsidP="0072530C">
          <w:pPr>
            <w:pStyle w:val="HeaderOdd"/>
            <w:jc w:val="center"/>
          </w:pPr>
        </w:p>
      </w:tc>
      <w:tc>
        <w:tcPr>
          <w:tcW w:w="2155" w:type="dxa"/>
          <w:tcBorders>
            <w:top w:val="single" w:sz="24" w:space="0" w:color="auto"/>
          </w:tcBorders>
        </w:tcPr>
        <w:p w:rsidR="00EF1C9D" w:rsidRDefault="00EF1C9D" w:rsidP="00E669E2">
          <w:pPr>
            <w:pStyle w:val="HeaderOdd"/>
          </w:pPr>
        </w:p>
      </w:tc>
    </w:tr>
  </w:tbl>
  <w:p w:rsidR="00EF1C9D" w:rsidRDefault="00EF1C9D"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F9A" w:rsidRDefault="00132F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6FCD6106"/>
    <w:multiLevelType w:val="hybridMultilevel"/>
    <w:tmpl w:val="18189874"/>
    <w:lvl w:ilvl="0" w:tplc="32566EC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4"/>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2"/>
  </w:num>
  <w:num w:numId="26">
    <w:abstractNumId w:val="33"/>
  </w:num>
  <w:num w:numId="27">
    <w:abstractNumId w:val="38"/>
  </w:num>
  <w:num w:numId="28">
    <w:abstractNumId w:val="40"/>
  </w:num>
  <w:num w:numId="29">
    <w:abstractNumId w:val="31"/>
  </w:num>
  <w:num w:numId="30">
    <w:abstractNumId w:val="21"/>
  </w:num>
  <w:num w:numId="31">
    <w:abstractNumId w:val="45"/>
  </w:num>
  <w:num w:numId="32">
    <w:abstractNumId w:val="15"/>
  </w:num>
  <w:num w:numId="33">
    <w:abstractNumId w:val="8"/>
  </w:num>
  <w:num w:numId="34">
    <w:abstractNumId w:val="18"/>
  </w:num>
  <w:num w:numId="35">
    <w:abstractNumId w:val="41"/>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5"/>
  </w:num>
  <w:num w:numId="46">
    <w:abstractNumId w:val="39"/>
  </w:num>
  <w:num w:numId="47">
    <w:abstractNumId w:val="20"/>
  </w:num>
  <w:num w:numId="48">
    <w:abstractNumId w:val="19"/>
  </w:num>
  <w:num w:numId="49">
    <w:abstractNumId w:val="22"/>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35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vestment performance"/>
    <w:docVar w:name="ShortReportTitle" w:val="Default Superannuation in Modern Awards"/>
  </w:docVars>
  <w:rsids>
    <w:rsidRoot w:val="003736D0"/>
    <w:rsid w:val="00000171"/>
    <w:rsid w:val="000019AF"/>
    <w:rsid w:val="00001F4C"/>
    <w:rsid w:val="00002129"/>
    <w:rsid w:val="00002275"/>
    <w:rsid w:val="00002672"/>
    <w:rsid w:val="00004F9A"/>
    <w:rsid w:val="00005E46"/>
    <w:rsid w:val="00006273"/>
    <w:rsid w:val="000065F9"/>
    <w:rsid w:val="00006D6B"/>
    <w:rsid w:val="0000748A"/>
    <w:rsid w:val="00007A1E"/>
    <w:rsid w:val="0001057A"/>
    <w:rsid w:val="00011775"/>
    <w:rsid w:val="000117F2"/>
    <w:rsid w:val="00011F52"/>
    <w:rsid w:val="00011F67"/>
    <w:rsid w:val="0001217E"/>
    <w:rsid w:val="000134F8"/>
    <w:rsid w:val="00013F75"/>
    <w:rsid w:val="00013FDE"/>
    <w:rsid w:val="00014074"/>
    <w:rsid w:val="000142D5"/>
    <w:rsid w:val="0001438D"/>
    <w:rsid w:val="00014466"/>
    <w:rsid w:val="000157F5"/>
    <w:rsid w:val="00015CBA"/>
    <w:rsid w:val="00016246"/>
    <w:rsid w:val="00016C75"/>
    <w:rsid w:val="0001763B"/>
    <w:rsid w:val="000177CF"/>
    <w:rsid w:val="00020C04"/>
    <w:rsid w:val="00021340"/>
    <w:rsid w:val="00022403"/>
    <w:rsid w:val="00022ED5"/>
    <w:rsid w:val="000235C0"/>
    <w:rsid w:val="000241C4"/>
    <w:rsid w:val="000245AA"/>
    <w:rsid w:val="00025178"/>
    <w:rsid w:val="000255DB"/>
    <w:rsid w:val="00025D34"/>
    <w:rsid w:val="0002672E"/>
    <w:rsid w:val="00026CE7"/>
    <w:rsid w:val="000306AE"/>
    <w:rsid w:val="00030A14"/>
    <w:rsid w:val="0003103E"/>
    <w:rsid w:val="000313A2"/>
    <w:rsid w:val="000315A0"/>
    <w:rsid w:val="00032569"/>
    <w:rsid w:val="0003270D"/>
    <w:rsid w:val="00032E62"/>
    <w:rsid w:val="000331B9"/>
    <w:rsid w:val="000338E9"/>
    <w:rsid w:val="00033C5F"/>
    <w:rsid w:val="00034895"/>
    <w:rsid w:val="0003664B"/>
    <w:rsid w:val="0003680A"/>
    <w:rsid w:val="00036868"/>
    <w:rsid w:val="00037B6D"/>
    <w:rsid w:val="000401C0"/>
    <w:rsid w:val="0004035B"/>
    <w:rsid w:val="00040442"/>
    <w:rsid w:val="000405EC"/>
    <w:rsid w:val="0004063C"/>
    <w:rsid w:val="00040A30"/>
    <w:rsid w:val="0004111F"/>
    <w:rsid w:val="000412F2"/>
    <w:rsid w:val="000415CB"/>
    <w:rsid w:val="000428D3"/>
    <w:rsid w:val="00042FA5"/>
    <w:rsid w:val="000436C5"/>
    <w:rsid w:val="000438BB"/>
    <w:rsid w:val="0004578E"/>
    <w:rsid w:val="00045D8D"/>
    <w:rsid w:val="00045E22"/>
    <w:rsid w:val="000466F1"/>
    <w:rsid w:val="00047166"/>
    <w:rsid w:val="000478E5"/>
    <w:rsid w:val="00047F27"/>
    <w:rsid w:val="00051D73"/>
    <w:rsid w:val="00052353"/>
    <w:rsid w:val="00052AFC"/>
    <w:rsid w:val="00053AD7"/>
    <w:rsid w:val="00054FA9"/>
    <w:rsid w:val="00055650"/>
    <w:rsid w:val="00055EB8"/>
    <w:rsid w:val="00056589"/>
    <w:rsid w:val="000565B3"/>
    <w:rsid w:val="000569E6"/>
    <w:rsid w:val="00057D73"/>
    <w:rsid w:val="000600AF"/>
    <w:rsid w:val="00061EE8"/>
    <w:rsid w:val="00063672"/>
    <w:rsid w:val="00064C8B"/>
    <w:rsid w:val="000658B3"/>
    <w:rsid w:val="00065B55"/>
    <w:rsid w:val="00065DDB"/>
    <w:rsid w:val="00066295"/>
    <w:rsid w:val="0006701B"/>
    <w:rsid w:val="000678BB"/>
    <w:rsid w:val="00067A2A"/>
    <w:rsid w:val="00067D52"/>
    <w:rsid w:val="00070A23"/>
    <w:rsid w:val="00071157"/>
    <w:rsid w:val="0007150B"/>
    <w:rsid w:val="00072412"/>
    <w:rsid w:val="00073443"/>
    <w:rsid w:val="00073C3C"/>
    <w:rsid w:val="00074BD3"/>
    <w:rsid w:val="00074DB6"/>
    <w:rsid w:val="00075610"/>
    <w:rsid w:val="00076135"/>
    <w:rsid w:val="000762BB"/>
    <w:rsid w:val="00076F25"/>
    <w:rsid w:val="00077BB6"/>
    <w:rsid w:val="00077E0C"/>
    <w:rsid w:val="00077E8A"/>
    <w:rsid w:val="00080E58"/>
    <w:rsid w:val="0008108E"/>
    <w:rsid w:val="000813DC"/>
    <w:rsid w:val="00081AEB"/>
    <w:rsid w:val="00081D49"/>
    <w:rsid w:val="00081F03"/>
    <w:rsid w:val="00083900"/>
    <w:rsid w:val="00083CE5"/>
    <w:rsid w:val="00083F91"/>
    <w:rsid w:val="00084186"/>
    <w:rsid w:val="00084A70"/>
    <w:rsid w:val="00085600"/>
    <w:rsid w:val="000863B7"/>
    <w:rsid w:val="00086D99"/>
    <w:rsid w:val="000871BB"/>
    <w:rsid w:val="00087703"/>
    <w:rsid w:val="000877C0"/>
    <w:rsid w:val="00090268"/>
    <w:rsid w:val="0009087B"/>
    <w:rsid w:val="00091470"/>
    <w:rsid w:val="00091C67"/>
    <w:rsid w:val="00092842"/>
    <w:rsid w:val="0009292F"/>
    <w:rsid w:val="000938F5"/>
    <w:rsid w:val="00093E57"/>
    <w:rsid w:val="00095BE5"/>
    <w:rsid w:val="00095F68"/>
    <w:rsid w:val="00095FC9"/>
    <w:rsid w:val="000965EB"/>
    <w:rsid w:val="00096DBE"/>
    <w:rsid w:val="00097348"/>
    <w:rsid w:val="00097F6C"/>
    <w:rsid w:val="000A008B"/>
    <w:rsid w:val="000A0ED9"/>
    <w:rsid w:val="000A17A9"/>
    <w:rsid w:val="000A1CA4"/>
    <w:rsid w:val="000A235F"/>
    <w:rsid w:val="000A31F0"/>
    <w:rsid w:val="000A3F17"/>
    <w:rsid w:val="000A47CB"/>
    <w:rsid w:val="000A4E07"/>
    <w:rsid w:val="000A50E6"/>
    <w:rsid w:val="000A544F"/>
    <w:rsid w:val="000A5473"/>
    <w:rsid w:val="000A5B71"/>
    <w:rsid w:val="000A60A4"/>
    <w:rsid w:val="000B0011"/>
    <w:rsid w:val="000B12B9"/>
    <w:rsid w:val="000B15B0"/>
    <w:rsid w:val="000B281A"/>
    <w:rsid w:val="000B299B"/>
    <w:rsid w:val="000B38A9"/>
    <w:rsid w:val="000B4EDB"/>
    <w:rsid w:val="000B525C"/>
    <w:rsid w:val="000B53A4"/>
    <w:rsid w:val="000B53B1"/>
    <w:rsid w:val="000B601B"/>
    <w:rsid w:val="000B607F"/>
    <w:rsid w:val="000B6B60"/>
    <w:rsid w:val="000B70DA"/>
    <w:rsid w:val="000B7630"/>
    <w:rsid w:val="000B777E"/>
    <w:rsid w:val="000B7F68"/>
    <w:rsid w:val="000C0B9C"/>
    <w:rsid w:val="000C144A"/>
    <w:rsid w:val="000C1604"/>
    <w:rsid w:val="000C207E"/>
    <w:rsid w:val="000C24A2"/>
    <w:rsid w:val="000C253A"/>
    <w:rsid w:val="000C2741"/>
    <w:rsid w:val="000C2A21"/>
    <w:rsid w:val="000C2DC1"/>
    <w:rsid w:val="000C2EA5"/>
    <w:rsid w:val="000C3EA8"/>
    <w:rsid w:val="000C5253"/>
    <w:rsid w:val="000C6A1A"/>
    <w:rsid w:val="000C6E4F"/>
    <w:rsid w:val="000C747A"/>
    <w:rsid w:val="000C7D11"/>
    <w:rsid w:val="000D1367"/>
    <w:rsid w:val="000D1958"/>
    <w:rsid w:val="000D1AFF"/>
    <w:rsid w:val="000D1D5B"/>
    <w:rsid w:val="000D26B5"/>
    <w:rsid w:val="000D296A"/>
    <w:rsid w:val="000D3384"/>
    <w:rsid w:val="000D3879"/>
    <w:rsid w:val="000D3DB7"/>
    <w:rsid w:val="000D46B3"/>
    <w:rsid w:val="000D4744"/>
    <w:rsid w:val="000D6880"/>
    <w:rsid w:val="000D6C79"/>
    <w:rsid w:val="000D6E99"/>
    <w:rsid w:val="000D795B"/>
    <w:rsid w:val="000E06FF"/>
    <w:rsid w:val="000E0A38"/>
    <w:rsid w:val="000E1367"/>
    <w:rsid w:val="000E1507"/>
    <w:rsid w:val="000E1617"/>
    <w:rsid w:val="000E21F3"/>
    <w:rsid w:val="000E2255"/>
    <w:rsid w:val="000E260C"/>
    <w:rsid w:val="000E2F33"/>
    <w:rsid w:val="000E3F8B"/>
    <w:rsid w:val="000E4FF9"/>
    <w:rsid w:val="000E71E3"/>
    <w:rsid w:val="000E7A17"/>
    <w:rsid w:val="000F068B"/>
    <w:rsid w:val="000F0A9C"/>
    <w:rsid w:val="000F0CE5"/>
    <w:rsid w:val="000F1279"/>
    <w:rsid w:val="000F1A00"/>
    <w:rsid w:val="000F1FB7"/>
    <w:rsid w:val="000F2327"/>
    <w:rsid w:val="000F36FD"/>
    <w:rsid w:val="000F414D"/>
    <w:rsid w:val="000F4DB6"/>
    <w:rsid w:val="000F4DBB"/>
    <w:rsid w:val="000F521D"/>
    <w:rsid w:val="000F6A63"/>
    <w:rsid w:val="00100099"/>
    <w:rsid w:val="00100E0A"/>
    <w:rsid w:val="00100FE6"/>
    <w:rsid w:val="00101551"/>
    <w:rsid w:val="00103014"/>
    <w:rsid w:val="001031C1"/>
    <w:rsid w:val="00103374"/>
    <w:rsid w:val="00103D55"/>
    <w:rsid w:val="00103D9D"/>
    <w:rsid w:val="00104868"/>
    <w:rsid w:val="00104CAE"/>
    <w:rsid w:val="00104D58"/>
    <w:rsid w:val="001050CE"/>
    <w:rsid w:val="00105120"/>
    <w:rsid w:val="00105B26"/>
    <w:rsid w:val="00106A62"/>
    <w:rsid w:val="00107087"/>
    <w:rsid w:val="0010745B"/>
    <w:rsid w:val="00107D4B"/>
    <w:rsid w:val="00110116"/>
    <w:rsid w:val="00111159"/>
    <w:rsid w:val="00111549"/>
    <w:rsid w:val="00111716"/>
    <w:rsid w:val="00112CCD"/>
    <w:rsid w:val="00112F4A"/>
    <w:rsid w:val="001136FC"/>
    <w:rsid w:val="00114788"/>
    <w:rsid w:val="00115887"/>
    <w:rsid w:val="00115C55"/>
    <w:rsid w:val="001162DE"/>
    <w:rsid w:val="00116AFE"/>
    <w:rsid w:val="00117BB4"/>
    <w:rsid w:val="00117FA2"/>
    <w:rsid w:val="00120764"/>
    <w:rsid w:val="00120B90"/>
    <w:rsid w:val="00120D0A"/>
    <w:rsid w:val="00122BAE"/>
    <w:rsid w:val="00123EE8"/>
    <w:rsid w:val="00125406"/>
    <w:rsid w:val="00125A06"/>
    <w:rsid w:val="00126297"/>
    <w:rsid w:val="00126B52"/>
    <w:rsid w:val="00126E9F"/>
    <w:rsid w:val="00126EB8"/>
    <w:rsid w:val="001274D4"/>
    <w:rsid w:val="00127806"/>
    <w:rsid w:val="00130189"/>
    <w:rsid w:val="00130806"/>
    <w:rsid w:val="001315AE"/>
    <w:rsid w:val="001318CB"/>
    <w:rsid w:val="00131B9F"/>
    <w:rsid w:val="00131C10"/>
    <w:rsid w:val="00132AC1"/>
    <w:rsid w:val="00132AD6"/>
    <w:rsid w:val="00132C91"/>
    <w:rsid w:val="00132F9A"/>
    <w:rsid w:val="0013316B"/>
    <w:rsid w:val="001334C2"/>
    <w:rsid w:val="001336F1"/>
    <w:rsid w:val="00134410"/>
    <w:rsid w:val="00135810"/>
    <w:rsid w:val="00135878"/>
    <w:rsid w:val="00135E69"/>
    <w:rsid w:val="001363AA"/>
    <w:rsid w:val="00140345"/>
    <w:rsid w:val="001405A4"/>
    <w:rsid w:val="0014071D"/>
    <w:rsid w:val="00141FF6"/>
    <w:rsid w:val="00142331"/>
    <w:rsid w:val="00143161"/>
    <w:rsid w:val="00143656"/>
    <w:rsid w:val="00144096"/>
    <w:rsid w:val="00145CD1"/>
    <w:rsid w:val="00145E0A"/>
    <w:rsid w:val="001462B1"/>
    <w:rsid w:val="00146A25"/>
    <w:rsid w:val="0014790C"/>
    <w:rsid w:val="00147A42"/>
    <w:rsid w:val="001501C3"/>
    <w:rsid w:val="0015097F"/>
    <w:rsid w:val="00153025"/>
    <w:rsid w:val="00153FCF"/>
    <w:rsid w:val="001547F2"/>
    <w:rsid w:val="00154BEA"/>
    <w:rsid w:val="00155787"/>
    <w:rsid w:val="00155F64"/>
    <w:rsid w:val="00157877"/>
    <w:rsid w:val="00161C37"/>
    <w:rsid w:val="00161D6B"/>
    <w:rsid w:val="0016219C"/>
    <w:rsid w:val="00164A0E"/>
    <w:rsid w:val="001658FB"/>
    <w:rsid w:val="0016739B"/>
    <w:rsid w:val="00167D02"/>
    <w:rsid w:val="001704DD"/>
    <w:rsid w:val="00171E1B"/>
    <w:rsid w:val="001723D2"/>
    <w:rsid w:val="00172774"/>
    <w:rsid w:val="0017375E"/>
    <w:rsid w:val="0017379D"/>
    <w:rsid w:val="00173CE9"/>
    <w:rsid w:val="00174498"/>
    <w:rsid w:val="00174EF9"/>
    <w:rsid w:val="0017560A"/>
    <w:rsid w:val="001758C6"/>
    <w:rsid w:val="00176D01"/>
    <w:rsid w:val="00176D16"/>
    <w:rsid w:val="00176D2B"/>
    <w:rsid w:val="00176D47"/>
    <w:rsid w:val="00176EED"/>
    <w:rsid w:val="00176F1F"/>
    <w:rsid w:val="001773DB"/>
    <w:rsid w:val="001779B1"/>
    <w:rsid w:val="00180608"/>
    <w:rsid w:val="00180AC1"/>
    <w:rsid w:val="00181558"/>
    <w:rsid w:val="0018182B"/>
    <w:rsid w:val="001825B6"/>
    <w:rsid w:val="00183226"/>
    <w:rsid w:val="001832A1"/>
    <w:rsid w:val="00183E82"/>
    <w:rsid w:val="00184328"/>
    <w:rsid w:val="00184C80"/>
    <w:rsid w:val="001854FA"/>
    <w:rsid w:val="00186460"/>
    <w:rsid w:val="00186E06"/>
    <w:rsid w:val="00187116"/>
    <w:rsid w:val="00187AB9"/>
    <w:rsid w:val="00190C47"/>
    <w:rsid w:val="00191AE0"/>
    <w:rsid w:val="00191C5C"/>
    <w:rsid w:val="00191CA7"/>
    <w:rsid w:val="0019293B"/>
    <w:rsid w:val="00193893"/>
    <w:rsid w:val="00193D85"/>
    <w:rsid w:val="0019425A"/>
    <w:rsid w:val="00194538"/>
    <w:rsid w:val="00194C6A"/>
    <w:rsid w:val="00196126"/>
    <w:rsid w:val="0019712F"/>
    <w:rsid w:val="001977AF"/>
    <w:rsid w:val="001A025F"/>
    <w:rsid w:val="001A03E4"/>
    <w:rsid w:val="001A0C50"/>
    <w:rsid w:val="001A1B87"/>
    <w:rsid w:val="001A2877"/>
    <w:rsid w:val="001A33C3"/>
    <w:rsid w:val="001A432B"/>
    <w:rsid w:val="001A4446"/>
    <w:rsid w:val="001A4DB9"/>
    <w:rsid w:val="001A5865"/>
    <w:rsid w:val="001A609C"/>
    <w:rsid w:val="001A6AAC"/>
    <w:rsid w:val="001A7A2E"/>
    <w:rsid w:val="001B0A90"/>
    <w:rsid w:val="001B15FC"/>
    <w:rsid w:val="001B18FF"/>
    <w:rsid w:val="001B1F92"/>
    <w:rsid w:val="001B39ED"/>
    <w:rsid w:val="001B3AB8"/>
    <w:rsid w:val="001B3E77"/>
    <w:rsid w:val="001B3EE5"/>
    <w:rsid w:val="001B496D"/>
    <w:rsid w:val="001B55ED"/>
    <w:rsid w:val="001B5C1C"/>
    <w:rsid w:val="001B5CBB"/>
    <w:rsid w:val="001B5EA3"/>
    <w:rsid w:val="001B6348"/>
    <w:rsid w:val="001B7D7F"/>
    <w:rsid w:val="001C05CE"/>
    <w:rsid w:val="001C07AB"/>
    <w:rsid w:val="001C0865"/>
    <w:rsid w:val="001C28E3"/>
    <w:rsid w:val="001C2933"/>
    <w:rsid w:val="001C32BA"/>
    <w:rsid w:val="001C3862"/>
    <w:rsid w:val="001C3ABA"/>
    <w:rsid w:val="001C3D1F"/>
    <w:rsid w:val="001C4981"/>
    <w:rsid w:val="001C5014"/>
    <w:rsid w:val="001C52BA"/>
    <w:rsid w:val="001C7B6E"/>
    <w:rsid w:val="001C7D7E"/>
    <w:rsid w:val="001D034E"/>
    <w:rsid w:val="001D0449"/>
    <w:rsid w:val="001D1E43"/>
    <w:rsid w:val="001D1EDC"/>
    <w:rsid w:val="001D3BF4"/>
    <w:rsid w:val="001D4D29"/>
    <w:rsid w:val="001D4FAC"/>
    <w:rsid w:val="001D5490"/>
    <w:rsid w:val="001D798D"/>
    <w:rsid w:val="001D7F74"/>
    <w:rsid w:val="001E0180"/>
    <w:rsid w:val="001E1B5F"/>
    <w:rsid w:val="001E2020"/>
    <w:rsid w:val="001E22A1"/>
    <w:rsid w:val="001E2771"/>
    <w:rsid w:val="001E39D0"/>
    <w:rsid w:val="001E4214"/>
    <w:rsid w:val="001E4A50"/>
    <w:rsid w:val="001E7324"/>
    <w:rsid w:val="001E7BE8"/>
    <w:rsid w:val="001F0248"/>
    <w:rsid w:val="001F0E25"/>
    <w:rsid w:val="001F1E1B"/>
    <w:rsid w:val="001F2269"/>
    <w:rsid w:val="001F366C"/>
    <w:rsid w:val="001F3EB3"/>
    <w:rsid w:val="001F4092"/>
    <w:rsid w:val="001F5190"/>
    <w:rsid w:val="001F5232"/>
    <w:rsid w:val="001F5303"/>
    <w:rsid w:val="001F7AAA"/>
    <w:rsid w:val="001F7D57"/>
    <w:rsid w:val="0020108A"/>
    <w:rsid w:val="002014F7"/>
    <w:rsid w:val="00202266"/>
    <w:rsid w:val="00202C2C"/>
    <w:rsid w:val="00202FAF"/>
    <w:rsid w:val="002031DD"/>
    <w:rsid w:val="002033B4"/>
    <w:rsid w:val="00203A3B"/>
    <w:rsid w:val="0020500E"/>
    <w:rsid w:val="0020565F"/>
    <w:rsid w:val="00205B3E"/>
    <w:rsid w:val="00205DAE"/>
    <w:rsid w:val="00206206"/>
    <w:rsid w:val="00207341"/>
    <w:rsid w:val="002075F0"/>
    <w:rsid w:val="00207849"/>
    <w:rsid w:val="00207994"/>
    <w:rsid w:val="00207B4E"/>
    <w:rsid w:val="0021072D"/>
    <w:rsid w:val="0021207A"/>
    <w:rsid w:val="00212EFF"/>
    <w:rsid w:val="00213325"/>
    <w:rsid w:val="00213E90"/>
    <w:rsid w:val="00213E96"/>
    <w:rsid w:val="00213FEF"/>
    <w:rsid w:val="002149BC"/>
    <w:rsid w:val="00214B51"/>
    <w:rsid w:val="00214D07"/>
    <w:rsid w:val="00215314"/>
    <w:rsid w:val="00215518"/>
    <w:rsid w:val="002176C0"/>
    <w:rsid w:val="00220062"/>
    <w:rsid w:val="00220541"/>
    <w:rsid w:val="00220B88"/>
    <w:rsid w:val="002214DE"/>
    <w:rsid w:val="00223046"/>
    <w:rsid w:val="002233AB"/>
    <w:rsid w:val="0022559C"/>
    <w:rsid w:val="00225ACB"/>
    <w:rsid w:val="00227715"/>
    <w:rsid w:val="0022792B"/>
    <w:rsid w:val="00230B4B"/>
    <w:rsid w:val="00232782"/>
    <w:rsid w:val="00233301"/>
    <w:rsid w:val="00233E8A"/>
    <w:rsid w:val="002345C7"/>
    <w:rsid w:val="00234724"/>
    <w:rsid w:val="00234B82"/>
    <w:rsid w:val="0023602F"/>
    <w:rsid w:val="0024076C"/>
    <w:rsid w:val="0024095A"/>
    <w:rsid w:val="00241106"/>
    <w:rsid w:val="002413E0"/>
    <w:rsid w:val="00241DC3"/>
    <w:rsid w:val="00242279"/>
    <w:rsid w:val="00242642"/>
    <w:rsid w:val="0024315C"/>
    <w:rsid w:val="00243B91"/>
    <w:rsid w:val="00243C7A"/>
    <w:rsid w:val="00244237"/>
    <w:rsid w:val="00244326"/>
    <w:rsid w:val="00244519"/>
    <w:rsid w:val="0024482E"/>
    <w:rsid w:val="00244A4A"/>
    <w:rsid w:val="00244F55"/>
    <w:rsid w:val="00245108"/>
    <w:rsid w:val="00245C82"/>
    <w:rsid w:val="0024738E"/>
    <w:rsid w:val="00247645"/>
    <w:rsid w:val="00247945"/>
    <w:rsid w:val="002500EB"/>
    <w:rsid w:val="00250BB6"/>
    <w:rsid w:val="00251A67"/>
    <w:rsid w:val="00251E08"/>
    <w:rsid w:val="00251E59"/>
    <w:rsid w:val="00252151"/>
    <w:rsid w:val="0025285A"/>
    <w:rsid w:val="00252912"/>
    <w:rsid w:val="00253F88"/>
    <w:rsid w:val="00256983"/>
    <w:rsid w:val="00256B41"/>
    <w:rsid w:val="00256F7B"/>
    <w:rsid w:val="00260609"/>
    <w:rsid w:val="00262745"/>
    <w:rsid w:val="002630DF"/>
    <w:rsid w:val="002636C4"/>
    <w:rsid w:val="0026476B"/>
    <w:rsid w:val="002649A8"/>
    <w:rsid w:val="00264A86"/>
    <w:rsid w:val="00265477"/>
    <w:rsid w:val="0026638D"/>
    <w:rsid w:val="00266A68"/>
    <w:rsid w:val="00266EFE"/>
    <w:rsid w:val="002701D8"/>
    <w:rsid w:val="002705EC"/>
    <w:rsid w:val="00270860"/>
    <w:rsid w:val="002708AA"/>
    <w:rsid w:val="0027128F"/>
    <w:rsid w:val="00271511"/>
    <w:rsid w:val="00272FEE"/>
    <w:rsid w:val="00273051"/>
    <w:rsid w:val="00273520"/>
    <w:rsid w:val="00273AF0"/>
    <w:rsid w:val="00274462"/>
    <w:rsid w:val="00274B04"/>
    <w:rsid w:val="00274F89"/>
    <w:rsid w:val="00275AC9"/>
    <w:rsid w:val="0027605D"/>
    <w:rsid w:val="0028030C"/>
    <w:rsid w:val="00280371"/>
    <w:rsid w:val="002806F7"/>
    <w:rsid w:val="00280735"/>
    <w:rsid w:val="00281190"/>
    <w:rsid w:val="00281391"/>
    <w:rsid w:val="0028206F"/>
    <w:rsid w:val="00284269"/>
    <w:rsid w:val="00284BFF"/>
    <w:rsid w:val="00285C68"/>
    <w:rsid w:val="00287C17"/>
    <w:rsid w:val="00287C1F"/>
    <w:rsid w:val="0029092F"/>
    <w:rsid w:val="00290B40"/>
    <w:rsid w:val="00291B40"/>
    <w:rsid w:val="0029229F"/>
    <w:rsid w:val="00292915"/>
    <w:rsid w:val="0029412E"/>
    <w:rsid w:val="00294728"/>
    <w:rsid w:val="002954E7"/>
    <w:rsid w:val="00295D97"/>
    <w:rsid w:val="00296535"/>
    <w:rsid w:val="0029692F"/>
    <w:rsid w:val="00296E3E"/>
    <w:rsid w:val="00297821"/>
    <w:rsid w:val="00297822"/>
    <w:rsid w:val="002A0206"/>
    <w:rsid w:val="002A0785"/>
    <w:rsid w:val="002A1CE7"/>
    <w:rsid w:val="002A217B"/>
    <w:rsid w:val="002A2348"/>
    <w:rsid w:val="002A2CAC"/>
    <w:rsid w:val="002A323F"/>
    <w:rsid w:val="002A3E59"/>
    <w:rsid w:val="002A412D"/>
    <w:rsid w:val="002A4813"/>
    <w:rsid w:val="002A4964"/>
    <w:rsid w:val="002A63B5"/>
    <w:rsid w:val="002A7830"/>
    <w:rsid w:val="002B0EB5"/>
    <w:rsid w:val="002B217D"/>
    <w:rsid w:val="002B28B6"/>
    <w:rsid w:val="002B2A06"/>
    <w:rsid w:val="002B2AE6"/>
    <w:rsid w:val="002B2FAC"/>
    <w:rsid w:val="002B4008"/>
    <w:rsid w:val="002B41E2"/>
    <w:rsid w:val="002B51E9"/>
    <w:rsid w:val="002B7571"/>
    <w:rsid w:val="002B767A"/>
    <w:rsid w:val="002C05D3"/>
    <w:rsid w:val="002C0703"/>
    <w:rsid w:val="002C09EE"/>
    <w:rsid w:val="002C0A74"/>
    <w:rsid w:val="002C30A7"/>
    <w:rsid w:val="002C4607"/>
    <w:rsid w:val="002C4B6F"/>
    <w:rsid w:val="002C5624"/>
    <w:rsid w:val="002C583A"/>
    <w:rsid w:val="002C5A1A"/>
    <w:rsid w:val="002C7175"/>
    <w:rsid w:val="002D027C"/>
    <w:rsid w:val="002D0CA1"/>
    <w:rsid w:val="002D0E8E"/>
    <w:rsid w:val="002D16FE"/>
    <w:rsid w:val="002D3127"/>
    <w:rsid w:val="002D5076"/>
    <w:rsid w:val="002D523C"/>
    <w:rsid w:val="002D5888"/>
    <w:rsid w:val="002D5963"/>
    <w:rsid w:val="002D6146"/>
    <w:rsid w:val="002D694C"/>
    <w:rsid w:val="002D695C"/>
    <w:rsid w:val="002D718E"/>
    <w:rsid w:val="002D7277"/>
    <w:rsid w:val="002D752E"/>
    <w:rsid w:val="002E0336"/>
    <w:rsid w:val="002E1C43"/>
    <w:rsid w:val="002E4F9F"/>
    <w:rsid w:val="002E522C"/>
    <w:rsid w:val="002E534C"/>
    <w:rsid w:val="002E6516"/>
    <w:rsid w:val="002E668F"/>
    <w:rsid w:val="002E6D71"/>
    <w:rsid w:val="002E76FA"/>
    <w:rsid w:val="002F05BC"/>
    <w:rsid w:val="002F0DA8"/>
    <w:rsid w:val="002F1031"/>
    <w:rsid w:val="002F129E"/>
    <w:rsid w:val="002F2A6D"/>
    <w:rsid w:val="002F3065"/>
    <w:rsid w:val="002F379B"/>
    <w:rsid w:val="002F4549"/>
    <w:rsid w:val="002F47BE"/>
    <w:rsid w:val="002F4C0C"/>
    <w:rsid w:val="002F52A4"/>
    <w:rsid w:val="002F56DA"/>
    <w:rsid w:val="002F58DA"/>
    <w:rsid w:val="002F654A"/>
    <w:rsid w:val="002F6809"/>
    <w:rsid w:val="00301167"/>
    <w:rsid w:val="00301189"/>
    <w:rsid w:val="00301337"/>
    <w:rsid w:val="0030137E"/>
    <w:rsid w:val="003031C5"/>
    <w:rsid w:val="00303394"/>
    <w:rsid w:val="00303C6B"/>
    <w:rsid w:val="00306483"/>
    <w:rsid w:val="003104A8"/>
    <w:rsid w:val="00310CE5"/>
    <w:rsid w:val="00311087"/>
    <w:rsid w:val="003115AD"/>
    <w:rsid w:val="0031211B"/>
    <w:rsid w:val="003147B2"/>
    <w:rsid w:val="00314FC2"/>
    <w:rsid w:val="00315C69"/>
    <w:rsid w:val="00316078"/>
    <w:rsid w:val="00317501"/>
    <w:rsid w:val="00317F71"/>
    <w:rsid w:val="00320530"/>
    <w:rsid w:val="00320959"/>
    <w:rsid w:val="003216CD"/>
    <w:rsid w:val="00321E03"/>
    <w:rsid w:val="00322AF5"/>
    <w:rsid w:val="00323E09"/>
    <w:rsid w:val="0032474E"/>
    <w:rsid w:val="00325AE6"/>
    <w:rsid w:val="0032624D"/>
    <w:rsid w:val="00326B5D"/>
    <w:rsid w:val="00326F72"/>
    <w:rsid w:val="003277D4"/>
    <w:rsid w:val="00327D44"/>
    <w:rsid w:val="003302E6"/>
    <w:rsid w:val="0033035A"/>
    <w:rsid w:val="00330811"/>
    <w:rsid w:val="00330ACF"/>
    <w:rsid w:val="003318E3"/>
    <w:rsid w:val="00331D1F"/>
    <w:rsid w:val="003320F8"/>
    <w:rsid w:val="0033300D"/>
    <w:rsid w:val="00333932"/>
    <w:rsid w:val="00333D35"/>
    <w:rsid w:val="00334377"/>
    <w:rsid w:val="00336650"/>
    <w:rsid w:val="003368B2"/>
    <w:rsid w:val="00337DC1"/>
    <w:rsid w:val="003401E3"/>
    <w:rsid w:val="0034066A"/>
    <w:rsid w:val="0034113B"/>
    <w:rsid w:val="00341681"/>
    <w:rsid w:val="003421A9"/>
    <w:rsid w:val="00343CEB"/>
    <w:rsid w:val="00344962"/>
    <w:rsid w:val="00344CDC"/>
    <w:rsid w:val="00345409"/>
    <w:rsid w:val="0034775F"/>
    <w:rsid w:val="00347814"/>
    <w:rsid w:val="00350DDE"/>
    <w:rsid w:val="003511F2"/>
    <w:rsid w:val="0035124B"/>
    <w:rsid w:val="003518AA"/>
    <w:rsid w:val="00352165"/>
    <w:rsid w:val="0035265F"/>
    <w:rsid w:val="00353182"/>
    <w:rsid w:val="00353DA5"/>
    <w:rsid w:val="0035430D"/>
    <w:rsid w:val="003543D7"/>
    <w:rsid w:val="00355383"/>
    <w:rsid w:val="003558A9"/>
    <w:rsid w:val="00355C7E"/>
    <w:rsid w:val="003561D0"/>
    <w:rsid w:val="003565D9"/>
    <w:rsid w:val="00357151"/>
    <w:rsid w:val="0035754E"/>
    <w:rsid w:val="00357604"/>
    <w:rsid w:val="003576CA"/>
    <w:rsid w:val="003579C9"/>
    <w:rsid w:val="00357BFB"/>
    <w:rsid w:val="003602E1"/>
    <w:rsid w:val="00361D0E"/>
    <w:rsid w:val="00362B37"/>
    <w:rsid w:val="003643FB"/>
    <w:rsid w:val="00364CF4"/>
    <w:rsid w:val="00365849"/>
    <w:rsid w:val="00367EC6"/>
    <w:rsid w:val="0037026F"/>
    <w:rsid w:val="0037073E"/>
    <w:rsid w:val="00370B7B"/>
    <w:rsid w:val="00371240"/>
    <w:rsid w:val="00371A14"/>
    <w:rsid w:val="00371F64"/>
    <w:rsid w:val="00372065"/>
    <w:rsid w:val="00372643"/>
    <w:rsid w:val="00372F0A"/>
    <w:rsid w:val="00373610"/>
    <w:rsid w:val="003736BD"/>
    <w:rsid w:val="003736D0"/>
    <w:rsid w:val="00374731"/>
    <w:rsid w:val="003749D0"/>
    <w:rsid w:val="003753C5"/>
    <w:rsid w:val="00375412"/>
    <w:rsid w:val="0037547C"/>
    <w:rsid w:val="00375A46"/>
    <w:rsid w:val="003760E2"/>
    <w:rsid w:val="00376444"/>
    <w:rsid w:val="00376F51"/>
    <w:rsid w:val="00380914"/>
    <w:rsid w:val="003823A9"/>
    <w:rsid w:val="00384999"/>
    <w:rsid w:val="00384D1F"/>
    <w:rsid w:val="00386628"/>
    <w:rsid w:val="00386DA0"/>
    <w:rsid w:val="00387201"/>
    <w:rsid w:val="00387831"/>
    <w:rsid w:val="00390012"/>
    <w:rsid w:val="00390A6F"/>
    <w:rsid w:val="003919F9"/>
    <w:rsid w:val="0039343F"/>
    <w:rsid w:val="00393EC4"/>
    <w:rsid w:val="003942E7"/>
    <w:rsid w:val="0039449C"/>
    <w:rsid w:val="003945B5"/>
    <w:rsid w:val="0039490C"/>
    <w:rsid w:val="00394A21"/>
    <w:rsid w:val="003957BF"/>
    <w:rsid w:val="00397A4E"/>
    <w:rsid w:val="003A1053"/>
    <w:rsid w:val="003A2A9C"/>
    <w:rsid w:val="003A2B49"/>
    <w:rsid w:val="003A337D"/>
    <w:rsid w:val="003A46E4"/>
    <w:rsid w:val="003A49CE"/>
    <w:rsid w:val="003A57DA"/>
    <w:rsid w:val="003A6549"/>
    <w:rsid w:val="003A65C1"/>
    <w:rsid w:val="003A77E9"/>
    <w:rsid w:val="003B0AA0"/>
    <w:rsid w:val="003B269B"/>
    <w:rsid w:val="003B2BF1"/>
    <w:rsid w:val="003B30ED"/>
    <w:rsid w:val="003B3F82"/>
    <w:rsid w:val="003B410B"/>
    <w:rsid w:val="003B4B5F"/>
    <w:rsid w:val="003B4DA3"/>
    <w:rsid w:val="003B5CB2"/>
    <w:rsid w:val="003B66B4"/>
    <w:rsid w:val="003B768E"/>
    <w:rsid w:val="003B7AA6"/>
    <w:rsid w:val="003B7C59"/>
    <w:rsid w:val="003C04B1"/>
    <w:rsid w:val="003C057A"/>
    <w:rsid w:val="003C0D81"/>
    <w:rsid w:val="003C1949"/>
    <w:rsid w:val="003C1E05"/>
    <w:rsid w:val="003C2642"/>
    <w:rsid w:val="003C33D8"/>
    <w:rsid w:val="003C34CB"/>
    <w:rsid w:val="003C3667"/>
    <w:rsid w:val="003C38B5"/>
    <w:rsid w:val="003C3FAB"/>
    <w:rsid w:val="003C4268"/>
    <w:rsid w:val="003C48CD"/>
    <w:rsid w:val="003C4E93"/>
    <w:rsid w:val="003C566B"/>
    <w:rsid w:val="003C5D99"/>
    <w:rsid w:val="003C6832"/>
    <w:rsid w:val="003C6C21"/>
    <w:rsid w:val="003C7532"/>
    <w:rsid w:val="003D04F6"/>
    <w:rsid w:val="003D1AEC"/>
    <w:rsid w:val="003D296D"/>
    <w:rsid w:val="003D31A6"/>
    <w:rsid w:val="003D324E"/>
    <w:rsid w:val="003D3432"/>
    <w:rsid w:val="003D4195"/>
    <w:rsid w:val="003D4804"/>
    <w:rsid w:val="003D4E81"/>
    <w:rsid w:val="003D5765"/>
    <w:rsid w:val="003D587F"/>
    <w:rsid w:val="003D5F03"/>
    <w:rsid w:val="003D75B4"/>
    <w:rsid w:val="003D768A"/>
    <w:rsid w:val="003D7AAF"/>
    <w:rsid w:val="003E0DD6"/>
    <w:rsid w:val="003E138A"/>
    <w:rsid w:val="003E14B8"/>
    <w:rsid w:val="003E1C86"/>
    <w:rsid w:val="003E285E"/>
    <w:rsid w:val="003E2F59"/>
    <w:rsid w:val="003E2F7F"/>
    <w:rsid w:val="003E53B5"/>
    <w:rsid w:val="003E563F"/>
    <w:rsid w:val="003E788E"/>
    <w:rsid w:val="003E7CCC"/>
    <w:rsid w:val="003F0789"/>
    <w:rsid w:val="003F0B0A"/>
    <w:rsid w:val="003F1239"/>
    <w:rsid w:val="003F1BD8"/>
    <w:rsid w:val="003F2C79"/>
    <w:rsid w:val="003F30A6"/>
    <w:rsid w:val="003F3168"/>
    <w:rsid w:val="003F346F"/>
    <w:rsid w:val="003F3932"/>
    <w:rsid w:val="003F3E44"/>
    <w:rsid w:val="003F4285"/>
    <w:rsid w:val="003F59B3"/>
    <w:rsid w:val="003F672C"/>
    <w:rsid w:val="003F6D89"/>
    <w:rsid w:val="00400120"/>
    <w:rsid w:val="00400D29"/>
    <w:rsid w:val="00401882"/>
    <w:rsid w:val="00401C69"/>
    <w:rsid w:val="00401EF5"/>
    <w:rsid w:val="00402286"/>
    <w:rsid w:val="00402389"/>
    <w:rsid w:val="00404374"/>
    <w:rsid w:val="00405734"/>
    <w:rsid w:val="00405A74"/>
    <w:rsid w:val="004062B2"/>
    <w:rsid w:val="00406DA6"/>
    <w:rsid w:val="00407CBD"/>
    <w:rsid w:val="004100C8"/>
    <w:rsid w:val="00410443"/>
    <w:rsid w:val="00411747"/>
    <w:rsid w:val="00411824"/>
    <w:rsid w:val="00411DBD"/>
    <w:rsid w:val="00411FA5"/>
    <w:rsid w:val="004127C6"/>
    <w:rsid w:val="00412805"/>
    <w:rsid w:val="00412A98"/>
    <w:rsid w:val="00412ACE"/>
    <w:rsid w:val="004136DD"/>
    <w:rsid w:val="004137D6"/>
    <w:rsid w:val="0041399A"/>
    <w:rsid w:val="00413E96"/>
    <w:rsid w:val="00414C77"/>
    <w:rsid w:val="004152AF"/>
    <w:rsid w:val="00415329"/>
    <w:rsid w:val="004161AE"/>
    <w:rsid w:val="00416F06"/>
    <w:rsid w:val="004173AD"/>
    <w:rsid w:val="00417515"/>
    <w:rsid w:val="00417C74"/>
    <w:rsid w:val="004201E5"/>
    <w:rsid w:val="004212A4"/>
    <w:rsid w:val="00421869"/>
    <w:rsid w:val="00421C72"/>
    <w:rsid w:val="00423F8D"/>
    <w:rsid w:val="004241DA"/>
    <w:rsid w:val="004250D8"/>
    <w:rsid w:val="004255A5"/>
    <w:rsid w:val="0042652F"/>
    <w:rsid w:val="0042664C"/>
    <w:rsid w:val="004274FC"/>
    <w:rsid w:val="00427D7E"/>
    <w:rsid w:val="004300DD"/>
    <w:rsid w:val="00431067"/>
    <w:rsid w:val="00431249"/>
    <w:rsid w:val="00431555"/>
    <w:rsid w:val="0043165A"/>
    <w:rsid w:val="0043191B"/>
    <w:rsid w:val="00431DA4"/>
    <w:rsid w:val="00434135"/>
    <w:rsid w:val="004342AC"/>
    <w:rsid w:val="00434C19"/>
    <w:rsid w:val="004354D7"/>
    <w:rsid w:val="00435E7A"/>
    <w:rsid w:val="004361AC"/>
    <w:rsid w:val="004374D3"/>
    <w:rsid w:val="004403EF"/>
    <w:rsid w:val="00441108"/>
    <w:rsid w:val="004414D6"/>
    <w:rsid w:val="00441590"/>
    <w:rsid w:val="004415B8"/>
    <w:rsid w:val="0044181D"/>
    <w:rsid w:val="00441C01"/>
    <w:rsid w:val="004423BB"/>
    <w:rsid w:val="004433FD"/>
    <w:rsid w:val="00443D7B"/>
    <w:rsid w:val="0044465B"/>
    <w:rsid w:val="00444B44"/>
    <w:rsid w:val="004467EF"/>
    <w:rsid w:val="00450810"/>
    <w:rsid w:val="00450A9A"/>
    <w:rsid w:val="00450EA3"/>
    <w:rsid w:val="00450F0B"/>
    <w:rsid w:val="004511D0"/>
    <w:rsid w:val="004527D6"/>
    <w:rsid w:val="0045337D"/>
    <w:rsid w:val="00453C07"/>
    <w:rsid w:val="00455576"/>
    <w:rsid w:val="00455A98"/>
    <w:rsid w:val="00455AFE"/>
    <w:rsid w:val="00455B12"/>
    <w:rsid w:val="0045692B"/>
    <w:rsid w:val="004569B4"/>
    <w:rsid w:val="00456C79"/>
    <w:rsid w:val="00460CAA"/>
    <w:rsid w:val="0046431F"/>
    <w:rsid w:val="00464BB3"/>
    <w:rsid w:val="004650A7"/>
    <w:rsid w:val="00465456"/>
    <w:rsid w:val="004659A2"/>
    <w:rsid w:val="00465AC6"/>
    <w:rsid w:val="0046674C"/>
    <w:rsid w:val="00466A64"/>
    <w:rsid w:val="00466D0E"/>
    <w:rsid w:val="00467722"/>
    <w:rsid w:val="00470511"/>
    <w:rsid w:val="0047512E"/>
    <w:rsid w:val="004756DF"/>
    <w:rsid w:val="00475A83"/>
    <w:rsid w:val="00476197"/>
    <w:rsid w:val="00476A26"/>
    <w:rsid w:val="00476A7C"/>
    <w:rsid w:val="00477144"/>
    <w:rsid w:val="004777B9"/>
    <w:rsid w:val="00477FA1"/>
    <w:rsid w:val="0048276B"/>
    <w:rsid w:val="00483544"/>
    <w:rsid w:val="00483A3C"/>
    <w:rsid w:val="00484AA5"/>
    <w:rsid w:val="00484D47"/>
    <w:rsid w:val="004858AE"/>
    <w:rsid w:val="0048590E"/>
    <w:rsid w:val="0048645F"/>
    <w:rsid w:val="004868D9"/>
    <w:rsid w:val="00486FF3"/>
    <w:rsid w:val="00487787"/>
    <w:rsid w:val="00487CFF"/>
    <w:rsid w:val="00487F1A"/>
    <w:rsid w:val="00490CE1"/>
    <w:rsid w:val="00491627"/>
    <w:rsid w:val="00491A15"/>
    <w:rsid w:val="00491D12"/>
    <w:rsid w:val="004922E2"/>
    <w:rsid w:val="00492C43"/>
    <w:rsid w:val="00493681"/>
    <w:rsid w:val="0049459F"/>
    <w:rsid w:val="004949F1"/>
    <w:rsid w:val="004955EA"/>
    <w:rsid w:val="00496166"/>
    <w:rsid w:val="00496850"/>
    <w:rsid w:val="004968AF"/>
    <w:rsid w:val="004977D0"/>
    <w:rsid w:val="004A007A"/>
    <w:rsid w:val="004A0880"/>
    <w:rsid w:val="004A0F7E"/>
    <w:rsid w:val="004A1551"/>
    <w:rsid w:val="004A1F7B"/>
    <w:rsid w:val="004A276A"/>
    <w:rsid w:val="004A38DD"/>
    <w:rsid w:val="004A3DC4"/>
    <w:rsid w:val="004A3EC9"/>
    <w:rsid w:val="004A46DC"/>
    <w:rsid w:val="004A50F7"/>
    <w:rsid w:val="004A51C7"/>
    <w:rsid w:val="004A6C05"/>
    <w:rsid w:val="004A743A"/>
    <w:rsid w:val="004B24D8"/>
    <w:rsid w:val="004B2A4A"/>
    <w:rsid w:val="004B3551"/>
    <w:rsid w:val="004B3AF0"/>
    <w:rsid w:val="004B3C6C"/>
    <w:rsid w:val="004B3D68"/>
    <w:rsid w:val="004B43AE"/>
    <w:rsid w:val="004B4CB5"/>
    <w:rsid w:val="004B5696"/>
    <w:rsid w:val="004B59D9"/>
    <w:rsid w:val="004B5DAD"/>
    <w:rsid w:val="004B6862"/>
    <w:rsid w:val="004B703A"/>
    <w:rsid w:val="004B70ED"/>
    <w:rsid w:val="004C041D"/>
    <w:rsid w:val="004C04BE"/>
    <w:rsid w:val="004C0AF3"/>
    <w:rsid w:val="004C165F"/>
    <w:rsid w:val="004C24B7"/>
    <w:rsid w:val="004C253B"/>
    <w:rsid w:val="004C30ED"/>
    <w:rsid w:val="004C3845"/>
    <w:rsid w:val="004C4731"/>
    <w:rsid w:val="004C5F51"/>
    <w:rsid w:val="004C6414"/>
    <w:rsid w:val="004C6940"/>
    <w:rsid w:val="004C70F7"/>
    <w:rsid w:val="004C76E5"/>
    <w:rsid w:val="004C7793"/>
    <w:rsid w:val="004C7AC8"/>
    <w:rsid w:val="004C7CDD"/>
    <w:rsid w:val="004D0A02"/>
    <w:rsid w:val="004D1011"/>
    <w:rsid w:val="004D1F71"/>
    <w:rsid w:val="004D2033"/>
    <w:rsid w:val="004D28DD"/>
    <w:rsid w:val="004D2FA1"/>
    <w:rsid w:val="004D41B3"/>
    <w:rsid w:val="004D4F55"/>
    <w:rsid w:val="004D5675"/>
    <w:rsid w:val="004D5679"/>
    <w:rsid w:val="004D5E16"/>
    <w:rsid w:val="004D6684"/>
    <w:rsid w:val="004D6710"/>
    <w:rsid w:val="004D6788"/>
    <w:rsid w:val="004E017A"/>
    <w:rsid w:val="004E0245"/>
    <w:rsid w:val="004E0B91"/>
    <w:rsid w:val="004E1723"/>
    <w:rsid w:val="004E2052"/>
    <w:rsid w:val="004E34DD"/>
    <w:rsid w:val="004E3813"/>
    <w:rsid w:val="004E4C2A"/>
    <w:rsid w:val="004E4F30"/>
    <w:rsid w:val="004E5D93"/>
    <w:rsid w:val="004E6289"/>
    <w:rsid w:val="004E69B7"/>
    <w:rsid w:val="004E7633"/>
    <w:rsid w:val="004F017B"/>
    <w:rsid w:val="004F19BA"/>
    <w:rsid w:val="004F1B21"/>
    <w:rsid w:val="004F27E0"/>
    <w:rsid w:val="004F2ACB"/>
    <w:rsid w:val="004F2BF3"/>
    <w:rsid w:val="004F33A7"/>
    <w:rsid w:val="004F3822"/>
    <w:rsid w:val="004F3D59"/>
    <w:rsid w:val="004F596F"/>
    <w:rsid w:val="004F5D4D"/>
    <w:rsid w:val="004F5D68"/>
    <w:rsid w:val="004F60A5"/>
    <w:rsid w:val="004F6893"/>
    <w:rsid w:val="004F6E6B"/>
    <w:rsid w:val="004F7180"/>
    <w:rsid w:val="005001C8"/>
    <w:rsid w:val="0050097D"/>
    <w:rsid w:val="0050250E"/>
    <w:rsid w:val="005029A2"/>
    <w:rsid w:val="00502AB5"/>
    <w:rsid w:val="00503779"/>
    <w:rsid w:val="00503D78"/>
    <w:rsid w:val="005048E0"/>
    <w:rsid w:val="005068E0"/>
    <w:rsid w:val="00506CDE"/>
    <w:rsid w:val="00507920"/>
    <w:rsid w:val="00507EB1"/>
    <w:rsid w:val="0051018F"/>
    <w:rsid w:val="00511839"/>
    <w:rsid w:val="00511CA5"/>
    <w:rsid w:val="005120E4"/>
    <w:rsid w:val="0051233D"/>
    <w:rsid w:val="00512F92"/>
    <w:rsid w:val="00513C97"/>
    <w:rsid w:val="00515788"/>
    <w:rsid w:val="0051585A"/>
    <w:rsid w:val="00516089"/>
    <w:rsid w:val="005168B9"/>
    <w:rsid w:val="00516AB4"/>
    <w:rsid w:val="005177CB"/>
    <w:rsid w:val="005204E3"/>
    <w:rsid w:val="005219E4"/>
    <w:rsid w:val="00522ED5"/>
    <w:rsid w:val="00523334"/>
    <w:rsid w:val="00523639"/>
    <w:rsid w:val="00523944"/>
    <w:rsid w:val="00523AB1"/>
    <w:rsid w:val="00523F27"/>
    <w:rsid w:val="00524285"/>
    <w:rsid w:val="005252AE"/>
    <w:rsid w:val="005259F0"/>
    <w:rsid w:val="00525EB3"/>
    <w:rsid w:val="00527FC2"/>
    <w:rsid w:val="005304CD"/>
    <w:rsid w:val="005318B3"/>
    <w:rsid w:val="00531BB8"/>
    <w:rsid w:val="0053202B"/>
    <w:rsid w:val="0053236F"/>
    <w:rsid w:val="00532622"/>
    <w:rsid w:val="00532BEB"/>
    <w:rsid w:val="00533785"/>
    <w:rsid w:val="005338BE"/>
    <w:rsid w:val="00534726"/>
    <w:rsid w:val="0053481B"/>
    <w:rsid w:val="005356B2"/>
    <w:rsid w:val="00536BDB"/>
    <w:rsid w:val="005371CF"/>
    <w:rsid w:val="005404F5"/>
    <w:rsid w:val="0054404D"/>
    <w:rsid w:val="00544990"/>
    <w:rsid w:val="00544B88"/>
    <w:rsid w:val="005450A5"/>
    <w:rsid w:val="0054600D"/>
    <w:rsid w:val="0054619D"/>
    <w:rsid w:val="0055133F"/>
    <w:rsid w:val="0055134D"/>
    <w:rsid w:val="00551E3E"/>
    <w:rsid w:val="0055304A"/>
    <w:rsid w:val="00553550"/>
    <w:rsid w:val="00553908"/>
    <w:rsid w:val="0055440F"/>
    <w:rsid w:val="0055510D"/>
    <w:rsid w:val="0055594A"/>
    <w:rsid w:val="00555CB5"/>
    <w:rsid w:val="00555FEC"/>
    <w:rsid w:val="00556B79"/>
    <w:rsid w:val="00556E6F"/>
    <w:rsid w:val="005579F2"/>
    <w:rsid w:val="00557A5A"/>
    <w:rsid w:val="00557D53"/>
    <w:rsid w:val="0056008E"/>
    <w:rsid w:val="0056063F"/>
    <w:rsid w:val="00561585"/>
    <w:rsid w:val="00561CA6"/>
    <w:rsid w:val="00562365"/>
    <w:rsid w:val="00562C46"/>
    <w:rsid w:val="00563C3A"/>
    <w:rsid w:val="00565A0D"/>
    <w:rsid w:val="00566A16"/>
    <w:rsid w:val="00567433"/>
    <w:rsid w:val="005706F0"/>
    <w:rsid w:val="0057081A"/>
    <w:rsid w:val="00572DA0"/>
    <w:rsid w:val="00574E3F"/>
    <w:rsid w:val="00575453"/>
    <w:rsid w:val="00580DB8"/>
    <w:rsid w:val="00581342"/>
    <w:rsid w:val="00581E94"/>
    <w:rsid w:val="00582488"/>
    <w:rsid w:val="0058298C"/>
    <w:rsid w:val="00582AB2"/>
    <w:rsid w:val="0058350C"/>
    <w:rsid w:val="0058380D"/>
    <w:rsid w:val="00583C39"/>
    <w:rsid w:val="00584C03"/>
    <w:rsid w:val="00585215"/>
    <w:rsid w:val="005867A5"/>
    <w:rsid w:val="00586E22"/>
    <w:rsid w:val="005875C0"/>
    <w:rsid w:val="005902D9"/>
    <w:rsid w:val="005904E0"/>
    <w:rsid w:val="005909CF"/>
    <w:rsid w:val="00590E0F"/>
    <w:rsid w:val="005915F3"/>
    <w:rsid w:val="00591E71"/>
    <w:rsid w:val="00591FF5"/>
    <w:rsid w:val="00592BE4"/>
    <w:rsid w:val="00593A8E"/>
    <w:rsid w:val="00593CD7"/>
    <w:rsid w:val="00594747"/>
    <w:rsid w:val="00594AA4"/>
    <w:rsid w:val="00594E82"/>
    <w:rsid w:val="00595724"/>
    <w:rsid w:val="00595ECE"/>
    <w:rsid w:val="005960C6"/>
    <w:rsid w:val="005963BA"/>
    <w:rsid w:val="00596A4A"/>
    <w:rsid w:val="00597055"/>
    <w:rsid w:val="005973BD"/>
    <w:rsid w:val="00597F0C"/>
    <w:rsid w:val="005A0D41"/>
    <w:rsid w:val="005A14B6"/>
    <w:rsid w:val="005A19FA"/>
    <w:rsid w:val="005A2433"/>
    <w:rsid w:val="005A2689"/>
    <w:rsid w:val="005A2760"/>
    <w:rsid w:val="005A3D86"/>
    <w:rsid w:val="005A4D79"/>
    <w:rsid w:val="005A4DB2"/>
    <w:rsid w:val="005A4FAA"/>
    <w:rsid w:val="005A5385"/>
    <w:rsid w:val="005A5BE8"/>
    <w:rsid w:val="005A6812"/>
    <w:rsid w:val="005A782F"/>
    <w:rsid w:val="005A7FB3"/>
    <w:rsid w:val="005B097B"/>
    <w:rsid w:val="005B0CAB"/>
    <w:rsid w:val="005B11E8"/>
    <w:rsid w:val="005B25BF"/>
    <w:rsid w:val="005B31EB"/>
    <w:rsid w:val="005B3789"/>
    <w:rsid w:val="005B3E84"/>
    <w:rsid w:val="005B411D"/>
    <w:rsid w:val="005B46EC"/>
    <w:rsid w:val="005B4C90"/>
    <w:rsid w:val="005B5967"/>
    <w:rsid w:val="005B6275"/>
    <w:rsid w:val="005B6906"/>
    <w:rsid w:val="005B6D49"/>
    <w:rsid w:val="005B73B4"/>
    <w:rsid w:val="005B74D8"/>
    <w:rsid w:val="005C0C2D"/>
    <w:rsid w:val="005C0FD3"/>
    <w:rsid w:val="005C11A8"/>
    <w:rsid w:val="005C16A2"/>
    <w:rsid w:val="005C1F44"/>
    <w:rsid w:val="005C2E3E"/>
    <w:rsid w:val="005C316C"/>
    <w:rsid w:val="005C42D9"/>
    <w:rsid w:val="005C4871"/>
    <w:rsid w:val="005C57EC"/>
    <w:rsid w:val="005C5D7A"/>
    <w:rsid w:val="005C6ADA"/>
    <w:rsid w:val="005C6C7E"/>
    <w:rsid w:val="005C7317"/>
    <w:rsid w:val="005D000C"/>
    <w:rsid w:val="005D0694"/>
    <w:rsid w:val="005D0ACE"/>
    <w:rsid w:val="005D0AD3"/>
    <w:rsid w:val="005D1EE2"/>
    <w:rsid w:val="005D2245"/>
    <w:rsid w:val="005D2ECB"/>
    <w:rsid w:val="005D3336"/>
    <w:rsid w:val="005D339B"/>
    <w:rsid w:val="005D3440"/>
    <w:rsid w:val="005D34BA"/>
    <w:rsid w:val="005D3D55"/>
    <w:rsid w:val="005D543E"/>
    <w:rsid w:val="005D642E"/>
    <w:rsid w:val="005D689B"/>
    <w:rsid w:val="005D72D5"/>
    <w:rsid w:val="005D73C9"/>
    <w:rsid w:val="005E049D"/>
    <w:rsid w:val="005E08D4"/>
    <w:rsid w:val="005E0C49"/>
    <w:rsid w:val="005E12F0"/>
    <w:rsid w:val="005E2102"/>
    <w:rsid w:val="005E24AF"/>
    <w:rsid w:val="005E4039"/>
    <w:rsid w:val="005E4117"/>
    <w:rsid w:val="005E457C"/>
    <w:rsid w:val="005E4A1F"/>
    <w:rsid w:val="005E5A29"/>
    <w:rsid w:val="005E6388"/>
    <w:rsid w:val="005E679B"/>
    <w:rsid w:val="005E7C5D"/>
    <w:rsid w:val="005F16BC"/>
    <w:rsid w:val="005F1F4D"/>
    <w:rsid w:val="005F2DE4"/>
    <w:rsid w:val="005F2F84"/>
    <w:rsid w:val="005F359C"/>
    <w:rsid w:val="005F3647"/>
    <w:rsid w:val="005F45D3"/>
    <w:rsid w:val="005F462A"/>
    <w:rsid w:val="005F4786"/>
    <w:rsid w:val="005F47EA"/>
    <w:rsid w:val="005F4AE5"/>
    <w:rsid w:val="005F4F5C"/>
    <w:rsid w:val="005F6EB6"/>
    <w:rsid w:val="005F7EED"/>
    <w:rsid w:val="0060030A"/>
    <w:rsid w:val="006004A8"/>
    <w:rsid w:val="00601B7B"/>
    <w:rsid w:val="0060350A"/>
    <w:rsid w:val="00603DB7"/>
    <w:rsid w:val="00604A74"/>
    <w:rsid w:val="0060608C"/>
    <w:rsid w:val="00606133"/>
    <w:rsid w:val="00606A8A"/>
    <w:rsid w:val="00606F39"/>
    <w:rsid w:val="00607BA1"/>
    <w:rsid w:val="00607BF1"/>
    <w:rsid w:val="00611B8D"/>
    <w:rsid w:val="00612454"/>
    <w:rsid w:val="00612BCD"/>
    <w:rsid w:val="0061563B"/>
    <w:rsid w:val="00615FDA"/>
    <w:rsid w:val="0061756F"/>
    <w:rsid w:val="0062013E"/>
    <w:rsid w:val="006205AA"/>
    <w:rsid w:val="00621A81"/>
    <w:rsid w:val="006222F6"/>
    <w:rsid w:val="00622E60"/>
    <w:rsid w:val="00624915"/>
    <w:rsid w:val="006254C9"/>
    <w:rsid w:val="00625885"/>
    <w:rsid w:val="00630B56"/>
    <w:rsid w:val="00630D4D"/>
    <w:rsid w:val="00631958"/>
    <w:rsid w:val="00631A5A"/>
    <w:rsid w:val="00632943"/>
    <w:rsid w:val="00632A74"/>
    <w:rsid w:val="006330FC"/>
    <w:rsid w:val="006332FB"/>
    <w:rsid w:val="00633E7B"/>
    <w:rsid w:val="00634A2E"/>
    <w:rsid w:val="00635AA0"/>
    <w:rsid w:val="00635F5C"/>
    <w:rsid w:val="006363E6"/>
    <w:rsid w:val="00636D0A"/>
    <w:rsid w:val="006405B0"/>
    <w:rsid w:val="0064064B"/>
    <w:rsid w:val="00640CD6"/>
    <w:rsid w:val="006413CB"/>
    <w:rsid w:val="00641AC4"/>
    <w:rsid w:val="0064246C"/>
    <w:rsid w:val="00643831"/>
    <w:rsid w:val="00643C4D"/>
    <w:rsid w:val="00643FCD"/>
    <w:rsid w:val="00644D7B"/>
    <w:rsid w:val="00645D03"/>
    <w:rsid w:val="006460A2"/>
    <w:rsid w:val="00646AB7"/>
    <w:rsid w:val="00651237"/>
    <w:rsid w:val="00651D67"/>
    <w:rsid w:val="00653758"/>
    <w:rsid w:val="00653D06"/>
    <w:rsid w:val="00654033"/>
    <w:rsid w:val="0065439F"/>
    <w:rsid w:val="006561DB"/>
    <w:rsid w:val="0065636D"/>
    <w:rsid w:val="00656AD7"/>
    <w:rsid w:val="006604C6"/>
    <w:rsid w:val="00660C22"/>
    <w:rsid w:val="0066108D"/>
    <w:rsid w:val="0066111D"/>
    <w:rsid w:val="00663387"/>
    <w:rsid w:val="0066376B"/>
    <w:rsid w:val="00663988"/>
    <w:rsid w:val="00664F04"/>
    <w:rsid w:val="006653CA"/>
    <w:rsid w:val="00665906"/>
    <w:rsid w:val="0066677E"/>
    <w:rsid w:val="00667CF0"/>
    <w:rsid w:val="0067030D"/>
    <w:rsid w:val="00670E05"/>
    <w:rsid w:val="00670E4B"/>
    <w:rsid w:val="006714D5"/>
    <w:rsid w:val="006716EA"/>
    <w:rsid w:val="00671EB2"/>
    <w:rsid w:val="006728A0"/>
    <w:rsid w:val="00672A8B"/>
    <w:rsid w:val="0067383F"/>
    <w:rsid w:val="006738C1"/>
    <w:rsid w:val="0067641B"/>
    <w:rsid w:val="00676A60"/>
    <w:rsid w:val="006770CB"/>
    <w:rsid w:val="00677448"/>
    <w:rsid w:val="00677F44"/>
    <w:rsid w:val="006802C8"/>
    <w:rsid w:val="0068095B"/>
    <w:rsid w:val="0068162A"/>
    <w:rsid w:val="00681F35"/>
    <w:rsid w:val="0068225B"/>
    <w:rsid w:val="006828C1"/>
    <w:rsid w:val="00683667"/>
    <w:rsid w:val="00684AA0"/>
    <w:rsid w:val="00684B68"/>
    <w:rsid w:val="00684FE5"/>
    <w:rsid w:val="00685DB5"/>
    <w:rsid w:val="00690ADB"/>
    <w:rsid w:val="00690F94"/>
    <w:rsid w:val="006918EA"/>
    <w:rsid w:val="006919BC"/>
    <w:rsid w:val="006936A3"/>
    <w:rsid w:val="00693E9E"/>
    <w:rsid w:val="00693FE9"/>
    <w:rsid w:val="006943C6"/>
    <w:rsid w:val="00694F82"/>
    <w:rsid w:val="006970A2"/>
    <w:rsid w:val="00697125"/>
    <w:rsid w:val="006A0166"/>
    <w:rsid w:val="006A0380"/>
    <w:rsid w:val="006A06A4"/>
    <w:rsid w:val="006A1082"/>
    <w:rsid w:val="006A19B4"/>
    <w:rsid w:val="006A248E"/>
    <w:rsid w:val="006A2C74"/>
    <w:rsid w:val="006A39CD"/>
    <w:rsid w:val="006A4655"/>
    <w:rsid w:val="006A5268"/>
    <w:rsid w:val="006A5C60"/>
    <w:rsid w:val="006A5E13"/>
    <w:rsid w:val="006A6B2E"/>
    <w:rsid w:val="006A779F"/>
    <w:rsid w:val="006B043B"/>
    <w:rsid w:val="006B045A"/>
    <w:rsid w:val="006B1527"/>
    <w:rsid w:val="006B1EF8"/>
    <w:rsid w:val="006B1F0C"/>
    <w:rsid w:val="006B257B"/>
    <w:rsid w:val="006B2B3C"/>
    <w:rsid w:val="006B32FB"/>
    <w:rsid w:val="006B450E"/>
    <w:rsid w:val="006B4803"/>
    <w:rsid w:val="006B4932"/>
    <w:rsid w:val="006B61E0"/>
    <w:rsid w:val="006B6E71"/>
    <w:rsid w:val="006B76FC"/>
    <w:rsid w:val="006C0757"/>
    <w:rsid w:val="006C1183"/>
    <w:rsid w:val="006C12FB"/>
    <w:rsid w:val="006C1D81"/>
    <w:rsid w:val="006C2040"/>
    <w:rsid w:val="006C2906"/>
    <w:rsid w:val="006C2C5D"/>
    <w:rsid w:val="006C560D"/>
    <w:rsid w:val="006C5CEB"/>
    <w:rsid w:val="006C6341"/>
    <w:rsid w:val="006C69F8"/>
    <w:rsid w:val="006C7038"/>
    <w:rsid w:val="006C77C6"/>
    <w:rsid w:val="006C7872"/>
    <w:rsid w:val="006D0D0F"/>
    <w:rsid w:val="006D0F4C"/>
    <w:rsid w:val="006D2A41"/>
    <w:rsid w:val="006D2D83"/>
    <w:rsid w:val="006D47A3"/>
    <w:rsid w:val="006D4965"/>
    <w:rsid w:val="006D4C16"/>
    <w:rsid w:val="006D4EF8"/>
    <w:rsid w:val="006D5652"/>
    <w:rsid w:val="006D5A28"/>
    <w:rsid w:val="006D6DCD"/>
    <w:rsid w:val="006D6F4C"/>
    <w:rsid w:val="006D7050"/>
    <w:rsid w:val="006E0005"/>
    <w:rsid w:val="006E0344"/>
    <w:rsid w:val="006E13CD"/>
    <w:rsid w:val="006E1AE5"/>
    <w:rsid w:val="006E279B"/>
    <w:rsid w:val="006E2B53"/>
    <w:rsid w:val="006E305D"/>
    <w:rsid w:val="006E3482"/>
    <w:rsid w:val="006E3A86"/>
    <w:rsid w:val="006E73EF"/>
    <w:rsid w:val="006E7481"/>
    <w:rsid w:val="006F0165"/>
    <w:rsid w:val="006F0496"/>
    <w:rsid w:val="006F130E"/>
    <w:rsid w:val="006F19DB"/>
    <w:rsid w:val="006F21EF"/>
    <w:rsid w:val="006F2498"/>
    <w:rsid w:val="006F611B"/>
    <w:rsid w:val="006F6523"/>
    <w:rsid w:val="006F70D2"/>
    <w:rsid w:val="006F7287"/>
    <w:rsid w:val="006F732D"/>
    <w:rsid w:val="006F7E1D"/>
    <w:rsid w:val="00700026"/>
    <w:rsid w:val="0070055E"/>
    <w:rsid w:val="00700B7F"/>
    <w:rsid w:val="0070108D"/>
    <w:rsid w:val="007015D9"/>
    <w:rsid w:val="007018E2"/>
    <w:rsid w:val="00702440"/>
    <w:rsid w:val="0071061A"/>
    <w:rsid w:val="00711BE8"/>
    <w:rsid w:val="0071250B"/>
    <w:rsid w:val="00712CD7"/>
    <w:rsid w:val="007136F8"/>
    <w:rsid w:val="00713F2B"/>
    <w:rsid w:val="00713F7F"/>
    <w:rsid w:val="007147BA"/>
    <w:rsid w:val="00714D4D"/>
    <w:rsid w:val="00715AA8"/>
    <w:rsid w:val="00716315"/>
    <w:rsid w:val="007165BD"/>
    <w:rsid w:val="00716BC3"/>
    <w:rsid w:val="00716CF5"/>
    <w:rsid w:val="00716EFD"/>
    <w:rsid w:val="0071782D"/>
    <w:rsid w:val="00722AC1"/>
    <w:rsid w:val="00722D8E"/>
    <w:rsid w:val="0072530C"/>
    <w:rsid w:val="00726B05"/>
    <w:rsid w:val="0072716B"/>
    <w:rsid w:val="00727934"/>
    <w:rsid w:val="00727BB8"/>
    <w:rsid w:val="00727C91"/>
    <w:rsid w:val="007309BE"/>
    <w:rsid w:val="007317D2"/>
    <w:rsid w:val="00731BE2"/>
    <w:rsid w:val="007324E6"/>
    <w:rsid w:val="00733D85"/>
    <w:rsid w:val="00734BCC"/>
    <w:rsid w:val="00734E7D"/>
    <w:rsid w:val="00735B58"/>
    <w:rsid w:val="00735EB5"/>
    <w:rsid w:val="0073621B"/>
    <w:rsid w:val="00736D46"/>
    <w:rsid w:val="00736DB6"/>
    <w:rsid w:val="0073781F"/>
    <w:rsid w:val="0074033D"/>
    <w:rsid w:val="00740386"/>
    <w:rsid w:val="00740539"/>
    <w:rsid w:val="00741AFB"/>
    <w:rsid w:val="00742312"/>
    <w:rsid w:val="00744DD5"/>
    <w:rsid w:val="007468E5"/>
    <w:rsid w:val="00746B53"/>
    <w:rsid w:val="0074768F"/>
    <w:rsid w:val="00747F93"/>
    <w:rsid w:val="0075349B"/>
    <w:rsid w:val="00753823"/>
    <w:rsid w:val="007541C3"/>
    <w:rsid w:val="0075426E"/>
    <w:rsid w:val="00754577"/>
    <w:rsid w:val="007604BB"/>
    <w:rsid w:val="00760A05"/>
    <w:rsid w:val="00760C84"/>
    <w:rsid w:val="0076105C"/>
    <w:rsid w:val="007611F4"/>
    <w:rsid w:val="007618F6"/>
    <w:rsid w:val="00761D28"/>
    <w:rsid w:val="007631B0"/>
    <w:rsid w:val="00763216"/>
    <w:rsid w:val="0076359C"/>
    <w:rsid w:val="00765E18"/>
    <w:rsid w:val="00766492"/>
    <w:rsid w:val="0076670E"/>
    <w:rsid w:val="00766935"/>
    <w:rsid w:val="00766F99"/>
    <w:rsid w:val="0076703A"/>
    <w:rsid w:val="00767756"/>
    <w:rsid w:val="00770E47"/>
    <w:rsid w:val="00771E7A"/>
    <w:rsid w:val="007728E0"/>
    <w:rsid w:val="00773E4E"/>
    <w:rsid w:val="00773F27"/>
    <w:rsid w:val="00773FF8"/>
    <w:rsid w:val="007759C0"/>
    <w:rsid w:val="007775C5"/>
    <w:rsid w:val="00777860"/>
    <w:rsid w:val="00780C2D"/>
    <w:rsid w:val="00780ECE"/>
    <w:rsid w:val="0078144F"/>
    <w:rsid w:val="00781E06"/>
    <w:rsid w:val="007832C0"/>
    <w:rsid w:val="0078362B"/>
    <w:rsid w:val="007837FD"/>
    <w:rsid w:val="00784771"/>
    <w:rsid w:val="00785232"/>
    <w:rsid w:val="00785E4B"/>
    <w:rsid w:val="007860F3"/>
    <w:rsid w:val="007863A0"/>
    <w:rsid w:val="0078675E"/>
    <w:rsid w:val="0078696A"/>
    <w:rsid w:val="0079054E"/>
    <w:rsid w:val="00790D30"/>
    <w:rsid w:val="0079102C"/>
    <w:rsid w:val="007910A6"/>
    <w:rsid w:val="00791EF6"/>
    <w:rsid w:val="007924E1"/>
    <w:rsid w:val="00792A8F"/>
    <w:rsid w:val="00793E99"/>
    <w:rsid w:val="00794067"/>
    <w:rsid w:val="0079483A"/>
    <w:rsid w:val="007948CB"/>
    <w:rsid w:val="0079522A"/>
    <w:rsid w:val="00795B37"/>
    <w:rsid w:val="00795E30"/>
    <w:rsid w:val="0079612B"/>
    <w:rsid w:val="007975F4"/>
    <w:rsid w:val="007A0D40"/>
    <w:rsid w:val="007A21EB"/>
    <w:rsid w:val="007A2A78"/>
    <w:rsid w:val="007A326B"/>
    <w:rsid w:val="007A3298"/>
    <w:rsid w:val="007A417B"/>
    <w:rsid w:val="007A4372"/>
    <w:rsid w:val="007A4CF0"/>
    <w:rsid w:val="007A5703"/>
    <w:rsid w:val="007A617C"/>
    <w:rsid w:val="007A7E26"/>
    <w:rsid w:val="007B028F"/>
    <w:rsid w:val="007B0731"/>
    <w:rsid w:val="007B0FFA"/>
    <w:rsid w:val="007B12E8"/>
    <w:rsid w:val="007B135C"/>
    <w:rsid w:val="007B2F12"/>
    <w:rsid w:val="007B368D"/>
    <w:rsid w:val="007B36C0"/>
    <w:rsid w:val="007B3E90"/>
    <w:rsid w:val="007B49BE"/>
    <w:rsid w:val="007B4A5C"/>
    <w:rsid w:val="007B4E51"/>
    <w:rsid w:val="007B509F"/>
    <w:rsid w:val="007B561B"/>
    <w:rsid w:val="007B5885"/>
    <w:rsid w:val="007B6CF8"/>
    <w:rsid w:val="007B6F8A"/>
    <w:rsid w:val="007B7EC2"/>
    <w:rsid w:val="007B7ED2"/>
    <w:rsid w:val="007C0693"/>
    <w:rsid w:val="007C1F75"/>
    <w:rsid w:val="007C2106"/>
    <w:rsid w:val="007C36C9"/>
    <w:rsid w:val="007C48FD"/>
    <w:rsid w:val="007C4932"/>
    <w:rsid w:val="007C4C0F"/>
    <w:rsid w:val="007C5156"/>
    <w:rsid w:val="007C64E3"/>
    <w:rsid w:val="007C66E9"/>
    <w:rsid w:val="007C6F0D"/>
    <w:rsid w:val="007C7248"/>
    <w:rsid w:val="007C74A4"/>
    <w:rsid w:val="007C7B03"/>
    <w:rsid w:val="007C7C3F"/>
    <w:rsid w:val="007D0DF6"/>
    <w:rsid w:val="007D2674"/>
    <w:rsid w:val="007D2851"/>
    <w:rsid w:val="007D353F"/>
    <w:rsid w:val="007D3985"/>
    <w:rsid w:val="007D3DBB"/>
    <w:rsid w:val="007D43BD"/>
    <w:rsid w:val="007D4948"/>
    <w:rsid w:val="007D503D"/>
    <w:rsid w:val="007D51D7"/>
    <w:rsid w:val="007D5B3D"/>
    <w:rsid w:val="007D6008"/>
    <w:rsid w:val="007D60AF"/>
    <w:rsid w:val="007D6401"/>
    <w:rsid w:val="007D69C3"/>
    <w:rsid w:val="007D6F67"/>
    <w:rsid w:val="007D75C1"/>
    <w:rsid w:val="007E01E4"/>
    <w:rsid w:val="007E0741"/>
    <w:rsid w:val="007E0AAF"/>
    <w:rsid w:val="007E0E69"/>
    <w:rsid w:val="007E1055"/>
    <w:rsid w:val="007E10C7"/>
    <w:rsid w:val="007E157C"/>
    <w:rsid w:val="007E22FD"/>
    <w:rsid w:val="007E27D9"/>
    <w:rsid w:val="007E3D55"/>
    <w:rsid w:val="007E4A61"/>
    <w:rsid w:val="007E4AD5"/>
    <w:rsid w:val="007E4E5D"/>
    <w:rsid w:val="007E5D1B"/>
    <w:rsid w:val="007E5EAD"/>
    <w:rsid w:val="007E5FCD"/>
    <w:rsid w:val="007E66B7"/>
    <w:rsid w:val="007E6958"/>
    <w:rsid w:val="007E705C"/>
    <w:rsid w:val="007E749C"/>
    <w:rsid w:val="007E786D"/>
    <w:rsid w:val="007E7A36"/>
    <w:rsid w:val="007E7B1B"/>
    <w:rsid w:val="007F07C6"/>
    <w:rsid w:val="007F091F"/>
    <w:rsid w:val="007F0E77"/>
    <w:rsid w:val="007F2D2B"/>
    <w:rsid w:val="007F3C19"/>
    <w:rsid w:val="007F42C6"/>
    <w:rsid w:val="007F4520"/>
    <w:rsid w:val="007F46D5"/>
    <w:rsid w:val="007F5A75"/>
    <w:rsid w:val="007F7107"/>
    <w:rsid w:val="007F73CB"/>
    <w:rsid w:val="007F766C"/>
    <w:rsid w:val="007F7B5D"/>
    <w:rsid w:val="0080058B"/>
    <w:rsid w:val="00800F00"/>
    <w:rsid w:val="00802E8F"/>
    <w:rsid w:val="00803274"/>
    <w:rsid w:val="008039F1"/>
    <w:rsid w:val="00805FEB"/>
    <w:rsid w:val="008060C6"/>
    <w:rsid w:val="00806D9C"/>
    <w:rsid w:val="00806FCC"/>
    <w:rsid w:val="00806FDF"/>
    <w:rsid w:val="00807BBF"/>
    <w:rsid w:val="00807C63"/>
    <w:rsid w:val="0081030F"/>
    <w:rsid w:val="008104DF"/>
    <w:rsid w:val="00811532"/>
    <w:rsid w:val="00811B8B"/>
    <w:rsid w:val="008122AA"/>
    <w:rsid w:val="0081257D"/>
    <w:rsid w:val="008136CF"/>
    <w:rsid w:val="008137B8"/>
    <w:rsid w:val="0081544E"/>
    <w:rsid w:val="0081627C"/>
    <w:rsid w:val="00817116"/>
    <w:rsid w:val="0081731E"/>
    <w:rsid w:val="00817ADE"/>
    <w:rsid w:val="00817EEB"/>
    <w:rsid w:val="0082087D"/>
    <w:rsid w:val="00820EEB"/>
    <w:rsid w:val="00820FFD"/>
    <w:rsid w:val="00821221"/>
    <w:rsid w:val="00821B46"/>
    <w:rsid w:val="00822747"/>
    <w:rsid w:val="00822E9D"/>
    <w:rsid w:val="00823976"/>
    <w:rsid w:val="00823D85"/>
    <w:rsid w:val="00823E3C"/>
    <w:rsid w:val="008249A8"/>
    <w:rsid w:val="008255AF"/>
    <w:rsid w:val="00825B50"/>
    <w:rsid w:val="00826332"/>
    <w:rsid w:val="00826383"/>
    <w:rsid w:val="00826584"/>
    <w:rsid w:val="008275FE"/>
    <w:rsid w:val="0082769E"/>
    <w:rsid w:val="00827D81"/>
    <w:rsid w:val="008304F1"/>
    <w:rsid w:val="00830888"/>
    <w:rsid w:val="0083141C"/>
    <w:rsid w:val="00831CDC"/>
    <w:rsid w:val="0083265C"/>
    <w:rsid w:val="008337DD"/>
    <w:rsid w:val="00833B66"/>
    <w:rsid w:val="00834678"/>
    <w:rsid w:val="00834BDB"/>
    <w:rsid w:val="008359B4"/>
    <w:rsid w:val="008373FF"/>
    <w:rsid w:val="00837E69"/>
    <w:rsid w:val="00840295"/>
    <w:rsid w:val="00840DFE"/>
    <w:rsid w:val="00841A8C"/>
    <w:rsid w:val="00841B7A"/>
    <w:rsid w:val="00842933"/>
    <w:rsid w:val="00844759"/>
    <w:rsid w:val="00844A86"/>
    <w:rsid w:val="00844CE5"/>
    <w:rsid w:val="008453CA"/>
    <w:rsid w:val="00845436"/>
    <w:rsid w:val="00846401"/>
    <w:rsid w:val="00846845"/>
    <w:rsid w:val="0084712E"/>
    <w:rsid w:val="00850187"/>
    <w:rsid w:val="00850779"/>
    <w:rsid w:val="00850D33"/>
    <w:rsid w:val="0085139C"/>
    <w:rsid w:val="00852482"/>
    <w:rsid w:val="00852FD9"/>
    <w:rsid w:val="0085546C"/>
    <w:rsid w:val="0085663D"/>
    <w:rsid w:val="00857454"/>
    <w:rsid w:val="00857508"/>
    <w:rsid w:val="008576EB"/>
    <w:rsid w:val="008603E8"/>
    <w:rsid w:val="0086082C"/>
    <w:rsid w:val="008609F4"/>
    <w:rsid w:val="00860BE7"/>
    <w:rsid w:val="00861C49"/>
    <w:rsid w:val="008626C2"/>
    <w:rsid w:val="008627A6"/>
    <w:rsid w:val="00862C07"/>
    <w:rsid w:val="00862F4F"/>
    <w:rsid w:val="008632EB"/>
    <w:rsid w:val="00863E4F"/>
    <w:rsid w:val="00864ADC"/>
    <w:rsid w:val="00865297"/>
    <w:rsid w:val="008658C4"/>
    <w:rsid w:val="008664C3"/>
    <w:rsid w:val="00866C13"/>
    <w:rsid w:val="00867CB4"/>
    <w:rsid w:val="00870861"/>
    <w:rsid w:val="00871547"/>
    <w:rsid w:val="00871652"/>
    <w:rsid w:val="0087167A"/>
    <w:rsid w:val="008717A3"/>
    <w:rsid w:val="008719CC"/>
    <w:rsid w:val="00872A68"/>
    <w:rsid w:val="00873339"/>
    <w:rsid w:val="00873BF9"/>
    <w:rsid w:val="00874F91"/>
    <w:rsid w:val="008752F4"/>
    <w:rsid w:val="00875529"/>
    <w:rsid w:val="00875DFE"/>
    <w:rsid w:val="00876F3B"/>
    <w:rsid w:val="00877F43"/>
    <w:rsid w:val="00880153"/>
    <w:rsid w:val="0088039C"/>
    <w:rsid w:val="00880F97"/>
    <w:rsid w:val="0088133A"/>
    <w:rsid w:val="008813E8"/>
    <w:rsid w:val="008817DE"/>
    <w:rsid w:val="008820C7"/>
    <w:rsid w:val="0088293B"/>
    <w:rsid w:val="00883013"/>
    <w:rsid w:val="008842AC"/>
    <w:rsid w:val="008854D9"/>
    <w:rsid w:val="008866A1"/>
    <w:rsid w:val="008878CC"/>
    <w:rsid w:val="008903F5"/>
    <w:rsid w:val="0089041F"/>
    <w:rsid w:val="00890558"/>
    <w:rsid w:val="0089148D"/>
    <w:rsid w:val="00891E02"/>
    <w:rsid w:val="0089285E"/>
    <w:rsid w:val="0089366A"/>
    <w:rsid w:val="00893B4A"/>
    <w:rsid w:val="0089436C"/>
    <w:rsid w:val="0089444F"/>
    <w:rsid w:val="0089466E"/>
    <w:rsid w:val="00894675"/>
    <w:rsid w:val="00895392"/>
    <w:rsid w:val="00896AAD"/>
    <w:rsid w:val="00896C88"/>
    <w:rsid w:val="00897202"/>
    <w:rsid w:val="00897586"/>
    <w:rsid w:val="008A0782"/>
    <w:rsid w:val="008A0949"/>
    <w:rsid w:val="008A14DA"/>
    <w:rsid w:val="008A1644"/>
    <w:rsid w:val="008A1B7C"/>
    <w:rsid w:val="008A3497"/>
    <w:rsid w:val="008A36D1"/>
    <w:rsid w:val="008A3E48"/>
    <w:rsid w:val="008A60A8"/>
    <w:rsid w:val="008A636E"/>
    <w:rsid w:val="008A6DA2"/>
    <w:rsid w:val="008A7783"/>
    <w:rsid w:val="008B03AF"/>
    <w:rsid w:val="008B0DAB"/>
    <w:rsid w:val="008B271C"/>
    <w:rsid w:val="008B31E9"/>
    <w:rsid w:val="008B40F2"/>
    <w:rsid w:val="008B4335"/>
    <w:rsid w:val="008B4CA8"/>
    <w:rsid w:val="008B5C15"/>
    <w:rsid w:val="008B6827"/>
    <w:rsid w:val="008B6CD0"/>
    <w:rsid w:val="008C0182"/>
    <w:rsid w:val="008C094B"/>
    <w:rsid w:val="008C0BB9"/>
    <w:rsid w:val="008C0D24"/>
    <w:rsid w:val="008C113F"/>
    <w:rsid w:val="008C1684"/>
    <w:rsid w:val="008C235F"/>
    <w:rsid w:val="008C2442"/>
    <w:rsid w:val="008C3182"/>
    <w:rsid w:val="008C31AB"/>
    <w:rsid w:val="008C36BC"/>
    <w:rsid w:val="008C3ED0"/>
    <w:rsid w:val="008C3F85"/>
    <w:rsid w:val="008C453E"/>
    <w:rsid w:val="008C47EB"/>
    <w:rsid w:val="008C48AA"/>
    <w:rsid w:val="008C49A6"/>
    <w:rsid w:val="008C6338"/>
    <w:rsid w:val="008C6469"/>
    <w:rsid w:val="008C6986"/>
    <w:rsid w:val="008C7460"/>
    <w:rsid w:val="008D118B"/>
    <w:rsid w:val="008D181F"/>
    <w:rsid w:val="008D19CF"/>
    <w:rsid w:val="008D1F53"/>
    <w:rsid w:val="008D2E0E"/>
    <w:rsid w:val="008D32CA"/>
    <w:rsid w:val="008D365C"/>
    <w:rsid w:val="008D3B34"/>
    <w:rsid w:val="008D5C67"/>
    <w:rsid w:val="008D6573"/>
    <w:rsid w:val="008D66A4"/>
    <w:rsid w:val="008D781C"/>
    <w:rsid w:val="008E118A"/>
    <w:rsid w:val="008E1EFD"/>
    <w:rsid w:val="008E2A73"/>
    <w:rsid w:val="008E3257"/>
    <w:rsid w:val="008E3311"/>
    <w:rsid w:val="008E3893"/>
    <w:rsid w:val="008E3B5D"/>
    <w:rsid w:val="008E3C23"/>
    <w:rsid w:val="008E45BC"/>
    <w:rsid w:val="008E5042"/>
    <w:rsid w:val="008E68FE"/>
    <w:rsid w:val="008E6BC3"/>
    <w:rsid w:val="008E6F9E"/>
    <w:rsid w:val="008E7365"/>
    <w:rsid w:val="008F00EE"/>
    <w:rsid w:val="008F015E"/>
    <w:rsid w:val="008F130F"/>
    <w:rsid w:val="008F2623"/>
    <w:rsid w:val="008F3650"/>
    <w:rsid w:val="008F3A08"/>
    <w:rsid w:val="008F40DB"/>
    <w:rsid w:val="008F4403"/>
    <w:rsid w:val="008F5A53"/>
    <w:rsid w:val="008F678D"/>
    <w:rsid w:val="008F6E1F"/>
    <w:rsid w:val="008F740A"/>
    <w:rsid w:val="008F7926"/>
    <w:rsid w:val="008F7E83"/>
    <w:rsid w:val="0090021A"/>
    <w:rsid w:val="00900B68"/>
    <w:rsid w:val="00900D2C"/>
    <w:rsid w:val="00900E94"/>
    <w:rsid w:val="00900EEE"/>
    <w:rsid w:val="00901245"/>
    <w:rsid w:val="009019AD"/>
    <w:rsid w:val="00901EB4"/>
    <w:rsid w:val="0090286A"/>
    <w:rsid w:val="00902BF3"/>
    <w:rsid w:val="00903041"/>
    <w:rsid w:val="009030BF"/>
    <w:rsid w:val="0090355A"/>
    <w:rsid w:val="009040F0"/>
    <w:rsid w:val="00904B40"/>
    <w:rsid w:val="009050DE"/>
    <w:rsid w:val="00905718"/>
    <w:rsid w:val="0090629B"/>
    <w:rsid w:val="00906F5E"/>
    <w:rsid w:val="0091083C"/>
    <w:rsid w:val="00910DDC"/>
    <w:rsid w:val="009121CC"/>
    <w:rsid w:val="009124AF"/>
    <w:rsid w:val="00913CC0"/>
    <w:rsid w:val="00913EAB"/>
    <w:rsid w:val="00914368"/>
    <w:rsid w:val="00915480"/>
    <w:rsid w:val="00915EE9"/>
    <w:rsid w:val="00917A00"/>
    <w:rsid w:val="009203A5"/>
    <w:rsid w:val="009208DF"/>
    <w:rsid w:val="00920BF5"/>
    <w:rsid w:val="0092107F"/>
    <w:rsid w:val="009212CC"/>
    <w:rsid w:val="0092252C"/>
    <w:rsid w:val="00922C69"/>
    <w:rsid w:val="00923AE2"/>
    <w:rsid w:val="00923BC9"/>
    <w:rsid w:val="00923CB8"/>
    <w:rsid w:val="00923F69"/>
    <w:rsid w:val="00924119"/>
    <w:rsid w:val="009242ED"/>
    <w:rsid w:val="00924BA5"/>
    <w:rsid w:val="00925D00"/>
    <w:rsid w:val="00926220"/>
    <w:rsid w:val="0092680D"/>
    <w:rsid w:val="00926B9C"/>
    <w:rsid w:val="00926D9D"/>
    <w:rsid w:val="00930037"/>
    <w:rsid w:val="00931034"/>
    <w:rsid w:val="00931076"/>
    <w:rsid w:val="009310AD"/>
    <w:rsid w:val="00932FA9"/>
    <w:rsid w:val="009345D9"/>
    <w:rsid w:val="00934B15"/>
    <w:rsid w:val="00934CC7"/>
    <w:rsid w:val="00935293"/>
    <w:rsid w:val="00936326"/>
    <w:rsid w:val="009365EC"/>
    <w:rsid w:val="0093752A"/>
    <w:rsid w:val="00940C96"/>
    <w:rsid w:val="0094122E"/>
    <w:rsid w:val="009420BC"/>
    <w:rsid w:val="00942B62"/>
    <w:rsid w:val="0094377E"/>
    <w:rsid w:val="009437E7"/>
    <w:rsid w:val="0094389E"/>
    <w:rsid w:val="009449E0"/>
    <w:rsid w:val="00944C9B"/>
    <w:rsid w:val="00944D67"/>
    <w:rsid w:val="0094503F"/>
    <w:rsid w:val="0094513E"/>
    <w:rsid w:val="00945867"/>
    <w:rsid w:val="009464ED"/>
    <w:rsid w:val="0094666E"/>
    <w:rsid w:val="00946DC7"/>
    <w:rsid w:val="00946E56"/>
    <w:rsid w:val="00947755"/>
    <w:rsid w:val="00947E61"/>
    <w:rsid w:val="00950DA8"/>
    <w:rsid w:val="00951DAB"/>
    <w:rsid w:val="00952862"/>
    <w:rsid w:val="00953E76"/>
    <w:rsid w:val="00954910"/>
    <w:rsid w:val="009549D6"/>
    <w:rsid w:val="009554F8"/>
    <w:rsid w:val="00955C25"/>
    <w:rsid w:val="009568FD"/>
    <w:rsid w:val="00956A0C"/>
    <w:rsid w:val="00956BD9"/>
    <w:rsid w:val="00957983"/>
    <w:rsid w:val="00957E13"/>
    <w:rsid w:val="00960233"/>
    <w:rsid w:val="00960F66"/>
    <w:rsid w:val="00961524"/>
    <w:rsid w:val="00961C6D"/>
    <w:rsid w:val="00962489"/>
    <w:rsid w:val="00962C8E"/>
    <w:rsid w:val="00962E71"/>
    <w:rsid w:val="009642EB"/>
    <w:rsid w:val="00964795"/>
    <w:rsid w:val="009652CD"/>
    <w:rsid w:val="00965936"/>
    <w:rsid w:val="00966FA9"/>
    <w:rsid w:val="009670AB"/>
    <w:rsid w:val="009679C6"/>
    <w:rsid w:val="00970CBA"/>
    <w:rsid w:val="009715C6"/>
    <w:rsid w:val="0097180A"/>
    <w:rsid w:val="00971E99"/>
    <w:rsid w:val="00973139"/>
    <w:rsid w:val="00973426"/>
    <w:rsid w:val="009735DE"/>
    <w:rsid w:val="00973E16"/>
    <w:rsid w:val="00973FE3"/>
    <w:rsid w:val="0097407C"/>
    <w:rsid w:val="009742BF"/>
    <w:rsid w:val="00974712"/>
    <w:rsid w:val="009764FB"/>
    <w:rsid w:val="00977495"/>
    <w:rsid w:val="00977DC3"/>
    <w:rsid w:val="009810B5"/>
    <w:rsid w:val="00982F61"/>
    <w:rsid w:val="009835A5"/>
    <w:rsid w:val="009841EC"/>
    <w:rsid w:val="00986300"/>
    <w:rsid w:val="00987288"/>
    <w:rsid w:val="0098765E"/>
    <w:rsid w:val="00987DF5"/>
    <w:rsid w:val="00990A27"/>
    <w:rsid w:val="00990C2C"/>
    <w:rsid w:val="00990C48"/>
    <w:rsid w:val="00990E84"/>
    <w:rsid w:val="009914A8"/>
    <w:rsid w:val="00992856"/>
    <w:rsid w:val="009936B9"/>
    <w:rsid w:val="00994822"/>
    <w:rsid w:val="009950DB"/>
    <w:rsid w:val="009952CE"/>
    <w:rsid w:val="00995745"/>
    <w:rsid w:val="009961C4"/>
    <w:rsid w:val="0099698F"/>
    <w:rsid w:val="00996FAA"/>
    <w:rsid w:val="0099781B"/>
    <w:rsid w:val="009A0A5F"/>
    <w:rsid w:val="009A0ADE"/>
    <w:rsid w:val="009A1635"/>
    <w:rsid w:val="009A1B94"/>
    <w:rsid w:val="009A1BE8"/>
    <w:rsid w:val="009A2657"/>
    <w:rsid w:val="009A26B5"/>
    <w:rsid w:val="009A2A70"/>
    <w:rsid w:val="009A310E"/>
    <w:rsid w:val="009A4AB9"/>
    <w:rsid w:val="009A4C0E"/>
    <w:rsid w:val="009A4CC8"/>
    <w:rsid w:val="009A53AF"/>
    <w:rsid w:val="009A5AAE"/>
    <w:rsid w:val="009A5C96"/>
    <w:rsid w:val="009A6A5A"/>
    <w:rsid w:val="009A72A0"/>
    <w:rsid w:val="009A746C"/>
    <w:rsid w:val="009A76C9"/>
    <w:rsid w:val="009B0131"/>
    <w:rsid w:val="009B09C0"/>
    <w:rsid w:val="009B0E2E"/>
    <w:rsid w:val="009B1146"/>
    <w:rsid w:val="009B137C"/>
    <w:rsid w:val="009B29E8"/>
    <w:rsid w:val="009B2DDA"/>
    <w:rsid w:val="009B2E29"/>
    <w:rsid w:val="009B39B9"/>
    <w:rsid w:val="009B3BA3"/>
    <w:rsid w:val="009B3FA2"/>
    <w:rsid w:val="009B559E"/>
    <w:rsid w:val="009B6295"/>
    <w:rsid w:val="009B686E"/>
    <w:rsid w:val="009B6A65"/>
    <w:rsid w:val="009B6E84"/>
    <w:rsid w:val="009B6FAA"/>
    <w:rsid w:val="009C2831"/>
    <w:rsid w:val="009C3AF2"/>
    <w:rsid w:val="009C4468"/>
    <w:rsid w:val="009C465F"/>
    <w:rsid w:val="009C4E1C"/>
    <w:rsid w:val="009C56EA"/>
    <w:rsid w:val="009C6DFD"/>
    <w:rsid w:val="009C7211"/>
    <w:rsid w:val="009C737A"/>
    <w:rsid w:val="009D0D58"/>
    <w:rsid w:val="009D0E65"/>
    <w:rsid w:val="009D1D35"/>
    <w:rsid w:val="009D1EC9"/>
    <w:rsid w:val="009D27E3"/>
    <w:rsid w:val="009D2865"/>
    <w:rsid w:val="009D290A"/>
    <w:rsid w:val="009D3092"/>
    <w:rsid w:val="009D39BE"/>
    <w:rsid w:val="009D3A4B"/>
    <w:rsid w:val="009D3E56"/>
    <w:rsid w:val="009D406E"/>
    <w:rsid w:val="009D44C6"/>
    <w:rsid w:val="009D49CA"/>
    <w:rsid w:val="009D4C62"/>
    <w:rsid w:val="009D4DE3"/>
    <w:rsid w:val="009D5010"/>
    <w:rsid w:val="009D5544"/>
    <w:rsid w:val="009D5FD9"/>
    <w:rsid w:val="009D6329"/>
    <w:rsid w:val="009E06AE"/>
    <w:rsid w:val="009E090E"/>
    <w:rsid w:val="009E0F54"/>
    <w:rsid w:val="009E1144"/>
    <w:rsid w:val="009E12F9"/>
    <w:rsid w:val="009E2D2F"/>
    <w:rsid w:val="009E3EB8"/>
    <w:rsid w:val="009E4813"/>
    <w:rsid w:val="009E4D88"/>
    <w:rsid w:val="009E4E92"/>
    <w:rsid w:val="009E4F5D"/>
    <w:rsid w:val="009E574A"/>
    <w:rsid w:val="009E6557"/>
    <w:rsid w:val="009F0252"/>
    <w:rsid w:val="009F15EC"/>
    <w:rsid w:val="009F1771"/>
    <w:rsid w:val="009F19C4"/>
    <w:rsid w:val="009F22FD"/>
    <w:rsid w:val="009F2499"/>
    <w:rsid w:val="009F3055"/>
    <w:rsid w:val="009F403E"/>
    <w:rsid w:val="009F4C80"/>
    <w:rsid w:val="009F5840"/>
    <w:rsid w:val="009F6156"/>
    <w:rsid w:val="009F688A"/>
    <w:rsid w:val="009F696D"/>
    <w:rsid w:val="009F6BC6"/>
    <w:rsid w:val="009F6F39"/>
    <w:rsid w:val="009F7107"/>
    <w:rsid w:val="009F7652"/>
    <w:rsid w:val="009F7CD2"/>
    <w:rsid w:val="00A00A61"/>
    <w:rsid w:val="00A027DD"/>
    <w:rsid w:val="00A034C0"/>
    <w:rsid w:val="00A0418E"/>
    <w:rsid w:val="00A04473"/>
    <w:rsid w:val="00A053AA"/>
    <w:rsid w:val="00A056EF"/>
    <w:rsid w:val="00A05760"/>
    <w:rsid w:val="00A05864"/>
    <w:rsid w:val="00A07164"/>
    <w:rsid w:val="00A07E99"/>
    <w:rsid w:val="00A1186E"/>
    <w:rsid w:val="00A11BA7"/>
    <w:rsid w:val="00A11E5B"/>
    <w:rsid w:val="00A12004"/>
    <w:rsid w:val="00A123CD"/>
    <w:rsid w:val="00A143B2"/>
    <w:rsid w:val="00A159E6"/>
    <w:rsid w:val="00A1622B"/>
    <w:rsid w:val="00A16B80"/>
    <w:rsid w:val="00A16D1B"/>
    <w:rsid w:val="00A16E52"/>
    <w:rsid w:val="00A17328"/>
    <w:rsid w:val="00A17A1F"/>
    <w:rsid w:val="00A17BED"/>
    <w:rsid w:val="00A20059"/>
    <w:rsid w:val="00A201F3"/>
    <w:rsid w:val="00A2091C"/>
    <w:rsid w:val="00A216A8"/>
    <w:rsid w:val="00A21A22"/>
    <w:rsid w:val="00A22553"/>
    <w:rsid w:val="00A225BF"/>
    <w:rsid w:val="00A226E7"/>
    <w:rsid w:val="00A23A20"/>
    <w:rsid w:val="00A23AF4"/>
    <w:rsid w:val="00A2428F"/>
    <w:rsid w:val="00A2597E"/>
    <w:rsid w:val="00A2688D"/>
    <w:rsid w:val="00A268B9"/>
    <w:rsid w:val="00A2703A"/>
    <w:rsid w:val="00A300AC"/>
    <w:rsid w:val="00A30174"/>
    <w:rsid w:val="00A30412"/>
    <w:rsid w:val="00A31F8E"/>
    <w:rsid w:val="00A32726"/>
    <w:rsid w:val="00A32B66"/>
    <w:rsid w:val="00A3397F"/>
    <w:rsid w:val="00A33DFF"/>
    <w:rsid w:val="00A34D0F"/>
    <w:rsid w:val="00A35115"/>
    <w:rsid w:val="00A356DF"/>
    <w:rsid w:val="00A358CF"/>
    <w:rsid w:val="00A35A76"/>
    <w:rsid w:val="00A35B16"/>
    <w:rsid w:val="00A36C98"/>
    <w:rsid w:val="00A370C9"/>
    <w:rsid w:val="00A371CD"/>
    <w:rsid w:val="00A37351"/>
    <w:rsid w:val="00A373E4"/>
    <w:rsid w:val="00A37872"/>
    <w:rsid w:val="00A379FF"/>
    <w:rsid w:val="00A37FC0"/>
    <w:rsid w:val="00A40444"/>
    <w:rsid w:val="00A40518"/>
    <w:rsid w:val="00A40EF7"/>
    <w:rsid w:val="00A41B6F"/>
    <w:rsid w:val="00A41CA8"/>
    <w:rsid w:val="00A424D9"/>
    <w:rsid w:val="00A42CAE"/>
    <w:rsid w:val="00A42FC8"/>
    <w:rsid w:val="00A4337A"/>
    <w:rsid w:val="00A43585"/>
    <w:rsid w:val="00A459AA"/>
    <w:rsid w:val="00A461CC"/>
    <w:rsid w:val="00A46281"/>
    <w:rsid w:val="00A4724F"/>
    <w:rsid w:val="00A47B97"/>
    <w:rsid w:val="00A50535"/>
    <w:rsid w:val="00A50B12"/>
    <w:rsid w:val="00A50EA9"/>
    <w:rsid w:val="00A51072"/>
    <w:rsid w:val="00A51EAF"/>
    <w:rsid w:val="00A554AB"/>
    <w:rsid w:val="00A55719"/>
    <w:rsid w:val="00A5621C"/>
    <w:rsid w:val="00A56351"/>
    <w:rsid w:val="00A56DAF"/>
    <w:rsid w:val="00A573F7"/>
    <w:rsid w:val="00A6001A"/>
    <w:rsid w:val="00A60ABC"/>
    <w:rsid w:val="00A61A83"/>
    <w:rsid w:val="00A62438"/>
    <w:rsid w:val="00A63548"/>
    <w:rsid w:val="00A635A0"/>
    <w:rsid w:val="00A6386E"/>
    <w:rsid w:val="00A64AAA"/>
    <w:rsid w:val="00A65479"/>
    <w:rsid w:val="00A65B23"/>
    <w:rsid w:val="00A66354"/>
    <w:rsid w:val="00A665E1"/>
    <w:rsid w:val="00A667D0"/>
    <w:rsid w:val="00A669F5"/>
    <w:rsid w:val="00A66FC4"/>
    <w:rsid w:val="00A6707F"/>
    <w:rsid w:val="00A67E3C"/>
    <w:rsid w:val="00A722FF"/>
    <w:rsid w:val="00A72DCA"/>
    <w:rsid w:val="00A731BE"/>
    <w:rsid w:val="00A73346"/>
    <w:rsid w:val="00A74146"/>
    <w:rsid w:val="00A74352"/>
    <w:rsid w:val="00A74B4F"/>
    <w:rsid w:val="00A74DEC"/>
    <w:rsid w:val="00A755FC"/>
    <w:rsid w:val="00A75DEF"/>
    <w:rsid w:val="00A76079"/>
    <w:rsid w:val="00A76FAB"/>
    <w:rsid w:val="00A802AD"/>
    <w:rsid w:val="00A8141C"/>
    <w:rsid w:val="00A8208C"/>
    <w:rsid w:val="00A82534"/>
    <w:rsid w:val="00A82661"/>
    <w:rsid w:val="00A82784"/>
    <w:rsid w:val="00A834A3"/>
    <w:rsid w:val="00A834EB"/>
    <w:rsid w:val="00A8375D"/>
    <w:rsid w:val="00A838C0"/>
    <w:rsid w:val="00A8581A"/>
    <w:rsid w:val="00A85DCE"/>
    <w:rsid w:val="00A87B61"/>
    <w:rsid w:val="00A906B7"/>
    <w:rsid w:val="00A90AC8"/>
    <w:rsid w:val="00A90D03"/>
    <w:rsid w:val="00A9115B"/>
    <w:rsid w:val="00A913D3"/>
    <w:rsid w:val="00A91735"/>
    <w:rsid w:val="00A92042"/>
    <w:rsid w:val="00A922AC"/>
    <w:rsid w:val="00A92B53"/>
    <w:rsid w:val="00A938D1"/>
    <w:rsid w:val="00A942F8"/>
    <w:rsid w:val="00A9449C"/>
    <w:rsid w:val="00A94FA6"/>
    <w:rsid w:val="00A962C1"/>
    <w:rsid w:val="00A96945"/>
    <w:rsid w:val="00A969BD"/>
    <w:rsid w:val="00A96D83"/>
    <w:rsid w:val="00A97C38"/>
    <w:rsid w:val="00AA017E"/>
    <w:rsid w:val="00AA14A3"/>
    <w:rsid w:val="00AA18A8"/>
    <w:rsid w:val="00AA1B47"/>
    <w:rsid w:val="00AA1DAA"/>
    <w:rsid w:val="00AA478F"/>
    <w:rsid w:val="00AA49A0"/>
    <w:rsid w:val="00AA5A54"/>
    <w:rsid w:val="00AA5FA0"/>
    <w:rsid w:val="00AA6710"/>
    <w:rsid w:val="00AA696C"/>
    <w:rsid w:val="00AA6AEE"/>
    <w:rsid w:val="00AA74C3"/>
    <w:rsid w:val="00AA77FA"/>
    <w:rsid w:val="00AB0681"/>
    <w:rsid w:val="00AB0FA9"/>
    <w:rsid w:val="00AB16AE"/>
    <w:rsid w:val="00AB1EA6"/>
    <w:rsid w:val="00AB30C9"/>
    <w:rsid w:val="00AB35AA"/>
    <w:rsid w:val="00AB44FD"/>
    <w:rsid w:val="00AB4854"/>
    <w:rsid w:val="00AB57B5"/>
    <w:rsid w:val="00AB672D"/>
    <w:rsid w:val="00AC0560"/>
    <w:rsid w:val="00AC1362"/>
    <w:rsid w:val="00AC28FF"/>
    <w:rsid w:val="00AC3583"/>
    <w:rsid w:val="00AC3B28"/>
    <w:rsid w:val="00AC3C00"/>
    <w:rsid w:val="00AC41AD"/>
    <w:rsid w:val="00AC4440"/>
    <w:rsid w:val="00AC4D1A"/>
    <w:rsid w:val="00AC52A3"/>
    <w:rsid w:val="00AC6666"/>
    <w:rsid w:val="00AC6FD2"/>
    <w:rsid w:val="00AC7493"/>
    <w:rsid w:val="00AC78A2"/>
    <w:rsid w:val="00AD0032"/>
    <w:rsid w:val="00AD1ECB"/>
    <w:rsid w:val="00AD2254"/>
    <w:rsid w:val="00AD296D"/>
    <w:rsid w:val="00AD2C07"/>
    <w:rsid w:val="00AD3425"/>
    <w:rsid w:val="00AD414B"/>
    <w:rsid w:val="00AD4BAC"/>
    <w:rsid w:val="00AD4C12"/>
    <w:rsid w:val="00AD4FCA"/>
    <w:rsid w:val="00AD520B"/>
    <w:rsid w:val="00AD5893"/>
    <w:rsid w:val="00AD64BC"/>
    <w:rsid w:val="00AD659D"/>
    <w:rsid w:val="00AD659E"/>
    <w:rsid w:val="00AD6C13"/>
    <w:rsid w:val="00AD6E08"/>
    <w:rsid w:val="00AD6F1B"/>
    <w:rsid w:val="00AD7484"/>
    <w:rsid w:val="00AD7FD2"/>
    <w:rsid w:val="00AE078C"/>
    <w:rsid w:val="00AE14CB"/>
    <w:rsid w:val="00AE1F15"/>
    <w:rsid w:val="00AE292A"/>
    <w:rsid w:val="00AE3236"/>
    <w:rsid w:val="00AE3F33"/>
    <w:rsid w:val="00AE4943"/>
    <w:rsid w:val="00AE51FB"/>
    <w:rsid w:val="00AE77D6"/>
    <w:rsid w:val="00AF0A18"/>
    <w:rsid w:val="00AF18BA"/>
    <w:rsid w:val="00AF2508"/>
    <w:rsid w:val="00AF3070"/>
    <w:rsid w:val="00AF3767"/>
    <w:rsid w:val="00AF46A2"/>
    <w:rsid w:val="00AF471C"/>
    <w:rsid w:val="00AF6874"/>
    <w:rsid w:val="00AF7EE4"/>
    <w:rsid w:val="00B00BE7"/>
    <w:rsid w:val="00B0146A"/>
    <w:rsid w:val="00B01855"/>
    <w:rsid w:val="00B024F9"/>
    <w:rsid w:val="00B02A72"/>
    <w:rsid w:val="00B03716"/>
    <w:rsid w:val="00B04011"/>
    <w:rsid w:val="00B054F2"/>
    <w:rsid w:val="00B05B83"/>
    <w:rsid w:val="00B06072"/>
    <w:rsid w:val="00B0607E"/>
    <w:rsid w:val="00B060A1"/>
    <w:rsid w:val="00B06610"/>
    <w:rsid w:val="00B076EF"/>
    <w:rsid w:val="00B07BA7"/>
    <w:rsid w:val="00B07F0E"/>
    <w:rsid w:val="00B1087A"/>
    <w:rsid w:val="00B11BB9"/>
    <w:rsid w:val="00B12BDE"/>
    <w:rsid w:val="00B12C08"/>
    <w:rsid w:val="00B13F48"/>
    <w:rsid w:val="00B15404"/>
    <w:rsid w:val="00B15E2F"/>
    <w:rsid w:val="00B16055"/>
    <w:rsid w:val="00B164E0"/>
    <w:rsid w:val="00B224D6"/>
    <w:rsid w:val="00B24101"/>
    <w:rsid w:val="00B25543"/>
    <w:rsid w:val="00B25991"/>
    <w:rsid w:val="00B262E1"/>
    <w:rsid w:val="00B26F9C"/>
    <w:rsid w:val="00B271FE"/>
    <w:rsid w:val="00B2788C"/>
    <w:rsid w:val="00B27E21"/>
    <w:rsid w:val="00B30003"/>
    <w:rsid w:val="00B30C97"/>
    <w:rsid w:val="00B31F2D"/>
    <w:rsid w:val="00B32065"/>
    <w:rsid w:val="00B32424"/>
    <w:rsid w:val="00B33827"/>
    <w:rsid w:val="00B33FE5"/>
    <w:rsid w:val="00B340F6"/>
    <w:rsid w:val="00B3416A"/>
    <w:rsid w:val="00B3435F"/>
    <w:rsid w:val="00B34844"/>
    <w:rsid w:val="00B34FED"/>
    <w:rsid w:val="00B35738"/>
    <w:rsid w:val="00B35CA6"/>
    <w:rsid w:val="00B365A3"/>
    <w:rsid w:val="00B36A57"/>
    <w:rsid w:val="00B370A3"/>
    <w:rsid w:val="00B407FE"/>
    <w:rsid w:val="00B40A2F"/>
    <w:rsid w:val="00B40FB7"/>
    <w:rsid w:val="00B41194"/>
    <w:rsid w:val="00B41605"/>
    <w:rsid w:val="00B425A5"/>
    <w:rsid w:val="00B429DE"/>
    <w:rsid w:val="00B44045"/>
    <w:rsid w:val="00B440AD"/>
    <w:rsid w:val="00B442D4"/>
    <w:rsid w:val="00B44432"/>
    <w:rsid w:val="00B44676"/>
    <w:rsid w:val="00B453BB"/>
    <w:rsid w:val="00B456AD"/>
    <w:rsid w:val="00B4614E"/>
    <w:rsid w:val="00B46579"/>
    <w:rsid w:val="00B46803"/>
    <w:rsid w:val="00B46BCE"/>
    <w:rsid w:val="00B46C23"/>
    <w:rsid w:val="00B47107"/>
    <w:rsid w:val="00B47882"/>
    <w:rsid w:val="00B47B00"/>
    <w:rsid w:val="00B5303C"/>
    <w:rsid w:val="00B5339A"/>
    <w:rsid w:val="00B53E7E"/>
    <w:rsid w:val="00B541A3"/>
    <w:rsid w:val="00B54EBE"/>
    <w:rsid w:val="00B5526D"/>
    <w:rsid w:val="00B55A1F"/>
    <w:rsid w:val="00B55C45"/>
    <w:rsid w:val="00B57E80"/>
    <w:rsid w:val="00B57F2B"/>
    <w:rsid w:val="00B602C1"/>
    <w:rsid w:val="00B6260D"/>
    <w:rsid w:val="00B6342E"/>
    <w:rsid w:val="00B6465D"/>
    <w:rsid w:val="00B64CD7"/>
    <w:rsid w:val="00B64D38"/>
    <w:rsid w:val="00B65971"/>
    <w:rsid w:val="00B65E6B"/>
    <w:rsid w:val="00B664DA"/>
    <w:rsid w:val="00B66F35"/>
    <w:rsid w:val="00B67F0B"/>
    <w:rsid w:val="00B704C4"/>
    <w:rsid w:val="00B7062F"/>
    <w:rsid w:val="00B70A18"/>
    <w:rsid w:val="00B70B67"/>
    <w:rsid w:val="00B7113F"/>
    <w:rsid w:val="00B71B7A"/>
    <w:rsid w:val="00B72C6A"/>
    <w:rsid w:val="00B72DB9"/>
    <w:rsid w:val="00B73B69"/>
    <w:rsid w:val="00B73B76"/>
    <w:rsid w:val="00B73BA5"/>
    <w:rsid w:val="00B73E63"/>
    <w:rsid w:val="00B744E2"/>
    <w:rsid w:val="00B753F3"/>
    <w:rsid w:val="00B75433"/>
    <w:rsid w:val="00B7612B"/>
    <w:rsid w:val="00B765A6"/>
    <w:rsid w:val="00B80586"/>
    <w:rsid w:val="00B80976"/>
    <w:rsid w:val="00B81B35"/>
    <w:rsid w:val="00B81C2A"/>
    <w:rsid w:val="00B81C2B"/>
    <w:rsid w:val="00B81CB4"/>
    <w:rsid w:val="00B8349D"/>
    <w:rsid w:val="00B8385C"/>
    <w:rsid w:val="00B83BF0"/>
    <w:rsid w:val="00B84E1D"/>
    <w:rsid w:val="00B85288"/>
    <w:rsid w:val="00B858A7"/>
    <w:rsid w:val="00B858BC"/>
    <w:rsid w:val="00B85AF2"/>
    <w:rsid w:val="00B8640C"/>
    <w:rsid w:val="00B90142"/>
    <w:rsid w:val="00B906C0"/>
    <w:rsid w:val="00B93436"/>
    <w:rsid w:val="00B93FC9"/>
    <w:rsid w:val="00B9405A"/>
    <w:rsid w:val="00B9422E"/>
    <w:rsid w:val="00B9432C"/>
    <w:rsid w:val="00B953B4"/>
    <w:rsid w:val="00B956FC"/>
    <w:rsid w:val="00B95986"/>
    <w:rsid w:val="00B95CDB"/>
    <w:rsid w:val="00B97732"/>
    <w:rsid w:val="00B977C1"/>
    <w:rsid w:val="00BA0261"/>
    <w:rsid w:val="00BA1C78"/>
    <w:rsid w:val="00BA2C88"/>
    <w:rsid w:val="00BA382D"/>
    <w:rsid w:val="00BA3D79"/>
    <w:rsid w:val="00BA4742"/>
    <w:rsid w:val="00BA53D6"/>
    <w:rsid w:val="00BA5AC1"/>
    <w:rsid w:val="00BA5DEC"/>
    <w:rsid w:val="00BA6485"/>
    <w:rsid w:val="00BA6622"/>
    <w:rsid w:val="00BA6D5E"/>
    <w:rsid w:val="00BA73B6"/>
    <w:rsid w:val="00BA7CB6"/>
    <w:rsid w:val="00BB03B5"/>
    <w:rsid w:val="00BB0676"/>
    <w:rsid w:val="00BB0B2E"/>
    <w:rsid w:val="00BB1318"/>
    <w:rsid w:val="00BB15EA"/>
    <w:rsid w:val="00BB1943"/>
    <w:rsid w:val="00BB2410"/>
    <w:rsid w:val="00BB2420"/>
    <w:rsid w:val="00BB2603"/>
    <w:rsid w:val="00BB26BF"/>
    <w:rsid w:val="00BB3046"/>
    <w:rsid w:val="00BB306A"/>
    <w:rsid w:val="00BB326E"/>
    <w:rsid w:val="00BB3FF3"/>
    <w:rsid w:val="00BB410E"/>
    <w:rsid w:val="00BB4AD6"/>
    <w:rsid w:val="00BB4BCD"/>
    <w:rsid w:val="00BB4FCD"/>
    <w:rsid w:val="00BB542C"/>
    <w:rsid w:val="00BB5461"/>
    <w:rsid w:val="00BB59AC"/>
    <w:rsid w:val="00BB5EA2"/>
    <w:rsid w:val="00BB66D8"/>
    <w:rsid w:val="00BB7737"/>
    <w:rsid w:val="00BB7E04"/>
    <w:rsid w:val="00BC0A11"/>
    <w:rsid w:val="00BC0E3C"/>
    <w:rsid w:val="00BC15F4"/>
    <w:rsid w:val="00BC2035"/>
    <w:rsid w:val="00BC29D8"/>
    <w:rsid w:val="00BC40D4"/>
    <w:rsid w:val="00BC4718"/>
    <w:rsid w:val="00BC5619"/>
    <w:rsid w:val="00BC5AB2"/>
    <w:rsid w:val="00BC62C9"/>
    <w:rsid w:val="00BC676F"/>
    <w:rsid w:val="00BC6A29"/>
    <w:rsid w:val="00BC745A"/>
    <w:rsid w:val="00BD0145"/>
    <w:rsid w:val="00BD046C"/>
    <w:rsid w:val="00BD13EA"/>
    <w:rsid w:val="00BD1B19"/>
    <w:rsid w:val="00BD2191"/>
    <w:rsid w:val="00BD245C"/>
    <w:rsid w:val="00BD3D7A"/>
    <w:rsid w:val="00BD48F6"/>
    <w:rsid w:val="00BD5154"/>
    <w:rsid w:val="00BD7118"/>
    <w:rsid w:val="00BD7CCC"/>
    <w:rsid w:val="00BE0198"/>
    <w:rsid w:val="00BE06FC"/>
    <w:rsid w:val="00BE0774"/>
    <w:rsid w:val="00BE0F37"/>
    <w:rsid w:val="00BE317E"/>
    <w:rsid w:val="00BE3391"/>
    <w:rsid w:val="00BE3808"/>
    <w:rsid w:val="00BE3866"/>
    <w:rsid w:val="00BE3DC0"/>
    <w:rsid w:val="00BE43EA"/>
    <w:rsid w:val="00BE6107"/>
    <w:rsid w:val="00BE649D"/>
    <w:rsid w:val="00BE665E"/>
    <w:rsid w:val="00BF06B8"/>
    <w:rsid w:val="00BF094A"/>
    <w:rsid w:val="00BF0DEC"/>
    <w:rsid w:val="00BF2A37"/>
    <w:rsid w:val="00BF2A5E"/>
    <w:rsid w:val="00BF2AEF"/>
    <w:rsid w:val="00BF3663"/>
    <w:rsid w:val="00BF3A1E"/>
    <w:rsid w:val="00BF3FA7"/>
    <w:rsid w:val="00BF414C"/>
    <w:rsid w:val="00BF46F6"/>
    <w:rsid w:val="00BF48AA"/>
    <w:rsid w:val="00BF4B60"/>
    <w:rsid w:val="00BF5060"/>
    <w:rsid w:val="00BF618D"/>
    <w:rsid w:val="00C00299"/>
    <w:rsid w:val="00C00D4C"/>
    <w:rsid w:val="00C01940"/>
    <w:rsid w:val="00C01D84"/>
    <w:rsid w:val="00C024A7"/>
    <w:rsid w:val="00C0333E"/>
    <w:rsid w:val="00C03B62"/>
    <w:rsid w:val="00C050E2"/>
    <w:rsid w:val="00C054C4"/>
    <w:rsid w:val="00C0560C"/>
    <w:rsid w:val="00C05819"/>
    <w:rsid w:val="00C05D1B"/>
    <w:rsid w:val="00C062E9"/>
    <w:rsid w:val="00C074F0"/>
    <w:rsid w:val="00C0771C"/>
    <w:rsid w:val="00C07B64"/>
    <w:rsid w:val="00C10485"/>
    <w:rsid w:val="00C10517"/>
    <w:rsid w:val="00C118F4"/>
    <w:rsid w:val="00C13721"/>
    <w:rsid w:val="00C13A9F"/>
    <w:rsid w:val="00C14771"/>
    <w:rsid w:val="00C14B0F"/>
    <w:rsid w:val="00C14EDB"/>
    <w:rsid w:val="00C15172"/>
    <w:rsid w:val="00C152FB"/>
    <w:rsid w:val="00C1558D"/>
    <w:rsid w:val="00C15E8C"/>
    <w:rsid w:val="00C164E7"/>
    <w:rsid w:val="00C166BD"/>
    <w:rsid w:val="00C16EEE"/>
    <w:rsid w:val="00C17E0B"/>
    <w:rsid w:val="00C21607"/>
    <w:rsid w:val="00C22A15"/>
    <w:rsid w:val="00C23E31"/>
    <w:rsid w:val="00C23F10"/>
    <w:rsid w:val="00C24B11"/>
    <w:rsid w:val="00C25291"/>
    <w:rsid w:val="00C25C24"/>
    <w:rsid w:val="00C26181"/>
    <w:rsid w:val="00C269D2"/>
    <w:rsid w:val="00C278CB"/>
    <w:rsid w:val="00C27B63"/>
    <w:rsid w:val="00C3063D"/>
    <w:rsid w:val="00C3066D"/>
    <w:rsid w:val="00C3111B"/>
    <w:rsid w:val="00C31E8E"/>
    <w:rsid w:val="00C326A0"/>
    <w:rsid w:val="00C33106"/>
    <w:rsid w:val="00C33724"/>
    <w:rsid w:val="00C339A9"/>
    <w:rsid w:val="00C3416E"/>
    <w:rsid w:val="00C351D9"/>
    <w:rsid w:val="00C35246"/>
    <w:rsid w:val="00C359FA"/>
    <w:rsid w:val="00C36000"/>
    <w:rsid w:val="00C36BCD"/>
    <w:rsid w:val="00C36ECD"/>
    <w:rsid w:val="00C3702C"/>
    <w:rsid w:val="00C3735C"/>
    <w:rsid w:val="00C37574"/>
    <w:rsid w:val="00C40603"/>
    <w:rsid w:val="00C407A6"/>
    <w:rsid w:val="00C41425"/>
    <w:rsid w:val="00C4292C"/>
    <w:rsid w:val="00C43815"/>
    <w:rsid w:val="00C444AD"/>
    <w:rsid w:val="00C46F15"/>
    <w:rsid w:val="00C47591"/>
    <w:rsid w:val="00C50C30"/>
    <w:rsid w:val="00C50D89"/>
    <w:rsid w:val="00C516D6"/>
    <w:rsid w:val="00C51852"/>
    <w:rsid w:val="00C51CEE"/>
    <w:rsid w:val="00C52287"/>
    <w:rsid w:val="00C5266F"/>
    <w:rsid w:val="00C52718"/>
    <w:rsid w:val="00C52D21"/>
    <w:rsid w:val="00C52D3F"/>
    <w:rsid w:val="00C5347D"/>
    <w:rsid w:val="00C543CD"/>
    <w:rsid w:val="00C543F4"/>
    <w:rsid w:val="00C55214"/>
    <w:rsid w:val="00C55D88"/>
    <w:rsid w:val="00C562FE"/>
    <w:rsid w:val="00C566C8"/>
    <w:rsid w:val="00C56909"/>
    <w:rsid w:val="00C577CD"/>
    <w:rsid w:val="00C57DAA"/>
    <w:rsid w:val="00C6069C"/>
    <w:rsid w:val="00C6291C"/>
    <w:rsid w:val="00C630A5"/>
    <w:rsid w:val="00C633CB"/>
    <w:rsid w:val="00C643C8"/>
    <w:rsid w:val="00C65D5C"/>
    <w:rsid w:val="00C66ADA"/>
    <w:rsid w:val="00C67197"/>
    <w:rsid w:val="00C71055"/>
    <w:rsid w:val="00C719DD"/>
    <w:rsid w:val="00C71AEF"/>
    <w:rsid w:val="00C72FE2"/>
    <w:rsid w:val="00C737E3"/>
    <w:rsid w:val="00C73802"/>
    <w:rsid w:val="00C7599F"/>
    <w:rsid w:val="00C75FA3"/>
    <w:rsid w:val="00C76021"/>
    <w:rsid w:val="00C76437"/>
    <w:rsid w:val="00C766D8"/>
    <w:rsid w:val="00C771A3"/>
    <w:rsid w:val="00C7758C"/>
    <w:rsid w:val="00C77691"/>
    <w:rsid w:val="00C77871"/>
    <w:rsid w:val="00C80088"/>
    <w:rsid w:val="00C801A6"/>
    <w:rsid w:val="00C816B0"/>
    <w:rsid w:val="00C819A5"/>
    <w:rsid w:val="00C848E9"/>
    <w:rsid w:val="00C85177"/>
    <w:rsid w:val="00C85388"/>
    <w:rsid w:val="00C8762C"/>
    <w:rsid w:val="00C87EB6"/>
    <w:rsid w:val="00C90319"/>
    <w:rsid w:val="00C90498"/>
    <w:rsid w:val="00C9197F"/>
    <w:rsid w:val="00C9206C"/>
    <w:rsid w:val="00C923CE"/>
    <w:rsid w:val="00C924B8"/>
    <w:rsid w:val="00C92ACE"/>
    <w:rsid w:val="00C92C70"/>
    <w:rsid w:val="00C92F29"/>
    <w:rsid w:val="00C93271"/>
    <w:rsid w:val="00C93B3B"/>
    <w:rsid w:val="00C93D48"/>
    <w:rsid w:val="00C9448B"/>
    <w:rsid w:val="00C945DB"/>
    <w:rsid w:val="00C946BF"/>
    <w:rsid w:val="00C95359"/>
    <w:rsid w:val="00C9582D"/>
    <w:rsid w:val="00C95BA2"/>
    <w:rsid w:val="00C96104"/>
    <w:rsid w:val="00C9628D"/>
    <w:rsid w:val="00C96E2C"/>
    <w:rsid w:val="00C973C6"/>
    <w:rsid w:val="00CA00F9"/>
    <w:rsid w:val="00CA208E"/>
    <w:rsid w:val="00CA2703"/>
    <w:rsid w:val="00CA273D"/>
    <w:rsid w:val="00CA2941"/>
    <w:rsid w:val="00CA2961"/>
    <w:rsid w:val="00CA3691"/>
    <w:rsid w:val="00CA3B7C"/>
    <w:rsid w:val="00CA6420"/>
    <w:rsid w:val="00CA681F"/>
    <w:rsid w:val="00CA6854"/>
    <w:rsid w:val="00CA7BC9"/>
    <w:rsid w:val="00CB021F"/>
    <w:rsid w:val="00CB0A4F"/>
    <w:rsid w:val="00CB10F9"/>
    <w:rsid w:val="00CB1201"/>
    <w:rsid w:val="00CB2197"/>
    <w:rsid w:val="00CB34B9"/>
    <w:rsid w:val="00CB3E88"/>
    <w:rsid w:val="00CB4218"/>
    <w:rsid w:val="00CB48D9"/>
    <w:rsid w:val="00CB50D7"/>
    <w:rsid w:val="00CB58BB"/>
    <w:rsid w:val="00CB5BF8"/>
    <w:rsid w:val="00CB5C3E"/>
    <w:rsid w:val="00CB7177"/>
    <w:rsid w:val="00CB728B"/>
    <w:rsid w:val="00CB7B7C"/>
    <w:rsid w:val="00CC0274"/>
    <w:rsid w:val="00CC0E6B"/>
    <w:rsid w:val="00CC1377"/>
    <w:rsid w:val="00CC1998"/>
    <w:rsid w:val="00CC1B72"/>
    <w:rsid w:val="00CC1C5D"/>
    <w:rsid w:val="00CC1CD2"/>
    <w:rsid w:val="00CC2AC9"/>
    <w:rsid w:val="00CC3918"/>
    <w:rsid w:val="00CC40B1"/>
    <w:rsid w:val="00CC4490"/>
    <w:rsid w:val="00CC4946"/>
    <w:rsid w:val="00CC4C53"/>
    <w:rsid w:val="00CC5EAC"/>
    <w:rsid w:val="00CC701A"/>
    <w:rsid w:val="00CC7253"/>
    <w:rsid w:val="00CC76BF"/>
    <w:rsid w:val="00CC76E2"/>
    <w:rsid w:val="00CC791E"/>
    <w:rsid w:val="00CD105C"/>
    <w:rsid w:val="00CD1227"/>
    <w:rsid w:val="00CD124C"/>
    <w:rsid w:val="00CD255A"/>
    <w:rsid w:val="00CD2904"/>
    <w:rsid w:val="00CD2D86"/>
    <w:rsid w:val="00CD43F3"/>
    <w:rsid w:val="00CD4902"/>
    <w:rsid w:val="00CD52F1"/>
    <w:rsid w:val="00CD541D"/>
    <w:rsid w:val="00CD5448"/>
    <w:rsid w:val="00CD5451"/>
    <w:rsid w:val="00CD63C2"/>
    <w:rsid w:val="00CD70E2"/>
    <w:rsid w:val="00CD7163"/>
    <w:rsid w:val="00CD7D54"/>
    <w:rsid w:val="00CE0261"/>
    <w:rsid w:val="00CE0C35"/>
    <w:rsid w:val="00CE14A8"/>
    <w:rsid w:val="00CE20EF"/>
    <w:rsid w:val="00CE264F"/>
    <w:rsid w:val="00CE3A24"/>
    <w:rsid w:val="00CE47AA"/>
    <w:rsid w:val="00CE4F0F"/>
    <w:rsid w:val="00CE59A6"/>
    <w:rsid w:val="00CE5D18"/>
    <w:rsid w:val="00CE642C"/>
    <w:rsid w:val="00CE760A"/>
    <w:rsid w:val="00CE7A9F"/>
    <w:rsid w:val="00CE7C72"/>
    <w:rsid w:val="00CE7EA1"/>
    <w:rsid w:val="00CF064F"/>
    <w:rsid w:val="00CF16E7"/>
    <w:rsid w:val="00CF22F5"/>
    <w:rsid w:val="00CF2B35"/>
    <w:rsid w:val="00CF2D45"/>
    <w:rsid w:val="00CF308D"/>
    <w:rsid w:val="00CF3513"/>
    <w:rsid w:val="00CF4531"/>
    <w:rsid w:val="00CF4B03"/>
    <w:rsid w:val="00CF566E"/>
    <w:rsid w:val="00CF5796"/>
    <w:rsid w:val="00CF62B7"/>
    <w:rsid w:val="00D0048B"/>
    <w:rsid w:val="00D00CB7"/>
    <w:rsid w:val="00D0166C"/>
    <w:rsid w:val="00D02619"/>
    <w:rsid w:val="00D03CA1"/>
    <w:rsid w:val="00D0487E"/>
    <w:rsid w:val="00D06329"/>
    <w:rsid w:val="00D070D4"/>
    <w:rsid w:val="00D079EC"/>
    <w:rsid w:val="00D103F0"/>
    <w:rsid w:val="00D107B4"/>
    <w:rsid w:val="00D11916"/>
    <w:rsid w:val="00D12026"/>
    <w:rsid w:val="00D1227B"/>
    <w:rsid w:val="00D12460"/>
    <w:rsid w:val="00D12EE9"/>
    <w:rsid w:val="00D13802"/>
    <w:rsid w:val="00D14141"/>
    <w:rsid w:val="00D150B3"/>
    <w:rsid w:val="00D15179"/>
    <w:rsid w:val="00D154CA"/>
    <w:rsid w:val="00D171A8"/>
    <w:rsid w:val="00D177EF"/>
    <w:rsid w:val="00D2058D"/>
    <w:rsid w:val="00D21A7A"/>
    <w:rsid w:val="00D24125"/>
    <w:rsid w:val="00D2459C"/>
    <w:rsid w:val="00D25555"/>
    <w:rsid w:val="00D2599E"/>
    <w:rsid w:val="00D25A10"/>
    <w:rsid w:val="00D2644D"/>
    <w:rsid w:val="00D2647C"/>
    <w:rsid w:val="00D26A0A"/>
    <w:rsid w:val="00D26B87"/>
    <w:rsid w:val="00D270A4"/>
    <w:rsid w:val="00D27F3F"/>
    <w:rsid w:val="00D307C3"/>
    <w:rsid w:val="00D30CD5"/>
    <w:rsid w:val="00D3134C"/>
    <w:rsid w:val="00D3135B"/>
    <w:rsid w:val="00D31FE9"/>
    <w:rsid w:val="00D32142"/>
    <w:rsid w:val="00D325B7"/>
    <w:rsid w:val="00D329F9"/>
    <w:rsid w:val="00D32B6D"/>
    <w:rsid w:val="00D32E84"/>
    <w:rsid w:val="00D3313A"/>
    <w:rsid w:val="00D33333"/>
    <w:rsid w:val="00D34051"/>
    <w:rsid w:val="00D3450B"/>
    <w:rsid w:val="00D34C9F"/>
    <w:rsid w:val="00D34E1B"/>
    <w:rsid w:val="00D35218"/>
    <w:rsid w:val="00D35EFA"/>
    <w:rsid w:val="00D36471"/>
    <w:rsid w:val="00D36EBD"/>
    <w:rsid w:val="00D376BA"/>
    <w:rsid w:val="00D40137"/>
    <w:rsid w:val="00D40458"/>
    <w:rsid w:val="00D40A9A"/>
    <w:rsid w:val="00D415FC"/>
    <w:rsid w:val="00D41D81"/>
    <w:rsid w:val="00D422B2"/>
    <w:rsid w:val="00D429C0"/>
    <w:rsid w:val="00D42C9B"/>
    <w:rsid w:val="00D433C5"/>
    <w:rsid w:val="00D439A6"/>
    <w:rsid w:val="00D4450C"/>
    <w:rsid w:val="00D4471B"/>
    <w:rsid w:val="00D45379"/>
    <w:rsid w:val="00D453FC"/>
    <w:rsid w:val="00D45909"/>
    <w:rsid w:val="00D45C9B"/>
    <w:rsid w:val="00D465D8"/>
    <w:rsid w:val="00D47524"/>
    <w:rsid w:val="00D47537"/>
    <w:rsid w:val="00D47A51"/>
    <w:rsid w:val="00D50B5E"/>
    <w:rsid w:val="00D50BDA"/>
    <w:rsid w:val="00D50ED9"/>
    <w:rsid w:val="00D51411"/>
    <w:rsid w:val="00D517A9"/>
    <w:rsid w:val="00D51BBA"/>
    <w:rsid w:val="00D51E4B"/>
    <w:rsid w:val="00D51F28"/>
    <w:rsid w:val="00D5203F"/>
    <w:rsid w:val="00D52511"/>
    <w:rsid w:val="00D534BF"/>
    <w:rsid w:val="00D536A6"/>
    <w:rsid w:val="00D53A35"/>
    <w:rsid w:val="00D541AF"/>
    <w:rsid w:val="00D544D6"/>
    <w:rsid w:val="00D55020"/>
    <w:rsid w:val="00D551FA"/>
    <w:rsid w:val="00D55279"/>
    <w:rsid w:val="00D554C1"/>
    <w:rsid w:val="00D5568A"/>
    <w:rsid w:val="00D564A4"/>
    <w:rsid w:val="00D579A0"/>
    <w:rsid w:val="00D57CEC"/>
    <w:rsid w:val="00D60168"/>
    <w:rsid w:val="00D60D04"/>
    <w:rsid w:val="00D62B8A"/>
    <w:rsid w:val="00D63891"/>
    <w:rsid w:val="00D6396D"/>
    <w:rsid w:val="00D63D73"/>
    <w:rsid w:val="00D63E27"/>
    <w:rsid w:val="00D63EFC"/>
    <w:rsid w:val="00D63F02"/>
    <w:rsid w:val="00D66142"/>
    <w:rsid w:val="00D66970"/>
    <w:rsid w:val="00D66E1E"/>
    <w:rsid w:val="00D6723E"/>
    <w:rsid w:val="00D67DA1"/>
    <w:rsid w:val="00D67FD1"/>
    <w:rsid w:val="00D71AA2"/>
    <w:rsid w:val="00D736D7"/>
    <w:rsid w:val="00D73CB0"/>
    <w:rsid w:val="00D74086"/>
    <w:rsid w:val="00D75722"/>
    <w:rsid w:val="00D75CE7"/>
    <w:rsid w:val="00D76188"/>
    <w:rsid w:val="00D76556"/>
    <w:rsid w:val="00D766CD"/>
    <w:rsid w:val="00D76CEF"/>
    <w:rsid w:val="00D770DB"/>
    <w:rsid w:val="00D77547"/>
    <w:rsid w:val="00D77672"/>
    <w:rsid w:val="00D81899"/>
    <w:rsid w:val="00D81F9F"/>
    <w:rsid w:val="00D82896"/>
    <w:rsid w:val="00D849C9"/>
    <w:rsid w:val="00D84A77"/>
    <w:rsid w:val="00D85B77"/>
    <w:rsid w:val="00D85D45"/>
    <w:rsid w:val="00D86301"/>
    <w:rsid w:val="00D86FCC"/>
    <w:rsid w:val="00D90131"/>
    <w:rsid w:val="00D90132"/>
    <w:rsid w:val="00D903FB"/>
    <w:rsid w:val="00D91AD8"/>
    <w:rsid w:val="00D92616"/>
    <w:rsid w:val="00D927FC"/>
    <w:rsid w:val="00D92CE1"/>
    <w:rsid w:val="00D9328C"/>
    <w:rsid w:val="00D93725"/>
    <w:rsid w:val="00D93C75"/>
    <w:rsid w:val="00D93D2C"/>
    <w:rsid w:val="00D941BA"/>
    <w:rsid w:val="00D94976"/>
    <w:rsid w:val="00D94FA4"/>
    <w:rsid w:val="00D9586F"/>
    <w:rsid w:val="00D95B1E"/>
    <w:rsid w:val="00D95BF0"/>
    <w:rsid w:val="00D97457"/>
    <w:rsid w:val="00DA037F"/>
    <w:rsid w:val="00DA0653"/>
    <w:rsid w:val="00DA11BD"/>
    <w:rsid w:val="00DA12FE"/>
    <w:rsid w:val="00DA19C3"/>
    <w:rsid w:val="00DA3912"/>
    <w:rsid w:val="00DA3E4E"/>
    <w:rsid w:val="00DA41EB"/>
    <w:rsid w:val="00DA430B"/>
    <w:rsid w:val="00DA4488"/>
    <w:rsid w:val="00DA4793"/>
    <w:rsid w:val="00DA4EC1"/>
    <w:rsid w:val="00DA5511"/>
    <w:rsid w:val="00DA55F6"/>
    <w:rsid w:val="00DA5BBA"/>
    <w:rsid w:val="00DA5F73"/>
    <w:rsid w:val="00DA6387"/>
    <w:rsid w:val="00DA6AD1"/>
    <w:rsid w:val="00DA6EA4"/>
    <w:rsid w:val="00DB075C"/>
    <w:rsid w:val="00DB0E2A"/>
    <w:rsid w:val="00DB1C05"/>
    <w:rsid w:val="00DB1D32"/>
    <w:rsid w:val="00DB39C4"/>
    <w:rsid w:val="00DB4525"/>
    <w:rsid w:val="00DB528A"/>
    <w:rsid w:val="00DB58C1"/>
    <w:rsid w:val="00DB5A43"/>
    <w:rsid w:val="00DB5E88"/>
    <w:rsid w:val="00DB67C9"/>
    <w:rsid w:val="00DB6E92"/>
    <w:rsid w:val="00DB7392"/>
    <w:rsid w:val="00DB7F26"/>
    <w:rsid w:val="00DC0C95"/>
    <w:rsid w:val="00DC1DA3"/>
    <w:rsid w:val="00DC2487"/>
    <w:rsid w:val="00DC29E7"/>
    <w:rsid w:val="00DC2DBC"/>
    <w:rsid w:val="00DC3680"/>
    <w:rsid w:val="00DC62A2"/>
    <w:rsid w:val="00DC6C79"/>
    <w:rsid w:val="00DC701E"/>
    <w:rsid w:val="00DC7683"/>
    <w:rsid w:val="00DC7997"/>
    <w:rsid w:val="00DC7DAF"/>
    <w:rsid w:val="00DD008C"/>
    <w:rsid w:val="00DD0F98"/>
    <w:rsid w:val="00DD1725"/>
    <w:rsid w:val="00DD18D4"/>
    <w:rsid w:val="00DD2607"/>
    <w:rsid w:val="00DD32C8"/>
    <w:rsid w:val="00DD3755"/>
    <w:rsid w:val="00DD3891"/>
    <w:rsid w:val="00DD3B47"/>
    <w:rsid w:val="00DD3D81"/>
    <w:rsid w:val="00DD4448"/>
    <w:rsid w:val="00DD4E58"/>
    <w:rsid w:val="00DD558D"/>
    <w:rsid w:val="00DD5AEF"/>
    <w:rsid w:val="00DD5E0E"/>
    <w:rsid w:val="00DD616A"/>
    <w:rsid w:val="00DD6580"/>
    <w:rsid w:val="00DD6B34"/>
    <w:rsid w:val="00DD715B"/>
    <w:rsid w:val="00DD782C"/>
    <w:rsid w:val="00DD7D90"/>
    <w:rsid w:val="00DE0053"/>
    <w:rsid w:val="00DE0B51"/>
    <w:rsid w:val="00DE2F83"/>
    <w:rsid w:val="00DE37FA"/>
    <w:rsid w:val="00DE38BF"/>
    <w:rsid w:val="00DE39C9"/>
    <w:rsid w:val="00DE4823"/>
    <w:rsid w:val="00DE5504"/>
    <w:rsid w:val="00DE68D0"/>
    <w:rsid w:val="00DE7179"/>
    <w:rsid w:val="00DE7D23"/>
    <w:rsid w:val="00DF04E2"/>
    <w:rsid w:val="00DF0629"/>
    <w:rsid w:val="00DF12CC"/>
    <w:rsid w:val="00DF13A4"/>
    <w:rsid w:val="00DF15A5"/>
    <w:rsid w:val="00DF1E9A"/>
    <w:rsid w:val="00DF3620"/>
    <w:rsid w:val="00DF597F"/>
    <w:rsid w:val="00DF5B96"/>
    <w:rsid w:val="00DF5E7C"/>
    <w:rsid w:val="00DF6011"/>
    <w:rsid w:val="00DF67DC"/>
    <w:rsid w:val="00DF6A78"/>
    <w:rsid w:val="00DF6FBD"/>
    <w:rsid w:val="00DF7015"/>
    <w:rsid w:val="00E0085F"/>
    <w:rsid w:val="00E011B3"/>
    <w:rsid w:val="00E022CF"/>
    <w:rsid w:val="00E02BCF"/>
    <w:rsid w:val="00E02D20"/>
    <w:rsid w:val="00E02F80"/>
    <w:rsid w:val="00E03047"/>
    <w:rsid w:val="00E03AED"/>
    <w:rsid w:val="00E05561"/>
    <w:rsid w:val="00E056C7"/>
    <w:rsid w:val="00E057CE"/>
    <w:rsid w:val="00E07099"/>
    <w:rsid w:val="00E07C56"/>
    <w:rsid w:val="00E1096E"/>
    <w:rsid w:val="00E12AD1"/>
    <w:rsid w:val="00E12D2A"/>
    <w:rsid w:val="00E13543"/>
    <w:rsid w:val="00E143FB"/>
    <w:rsid w:val="00E14B7D"/>
    <w:rsid w:val="00E156D2"/>
    <w:rsid w:val="00E15BD7"/>
    <w:rsid w:val="00E16208"/>
    <w:rsid w:val="00E17553"/>
    <w:rsid w:val="00E17633"/>
    <w:rsid w:val="00E17C72"/>
    <w:rsid w:val="00E17D80"/>
    <w:rsid w:val="00E204F9"/>
    <w:rsid w:val="00E20BA6"/>
    <w:rsid w:val="00E21452"/>
    <w:rsid w:val="00E21A7C"/>
    <w:rsid w:val="00E21D98"/>
    <w:rsid w:val="00E21F8E"/>
    <w:rsid w:val="00E21FC6"/>
    <w:rsid w:val="00E2202E"/>
    <w:rsid w:val="00E22714"/>
    <w:rsid w:val="00E23691"/>
    <w:rsid w:val="00E243A1"/>
    <w:rsid w:val="00E24955"/>
    <w:rsid w:val="00E25679"/>
    <w:rsid w:val="00E25832"/>
    <w:rsid w:val="00E26452"/>
    <w:rsid w:val="00E272DE"/>
    <w:rsid w:val="00E27391"/>
    <w:rsid w:val="00E27C4F"/>
    <w:rsid w:val="00E313A0"/>
    <w:rsid w:val="00E31936"/>
    <w:rsid w:val="00E31A8B"/>
    <w:rsid w:val="00E31BEB"/>
    <w:rsid w:val="00E31EE1"/>
    <w:rsid w:val="00E32437"/>
    <w:rsid w:val="00E3290B"/>
    <w:rsid w:val="00E33DAC"/>
    <w:rsid w:val="00E33DC6"/>
    <w:rsid w:val="00E34A81"/>
    <w:rsid w:val="00E34AC8"/>
    <w:rsid w:val="00E34C74"/>
    <w:rsid w:val="00E35DB7"/>
    <w:rsid w:val="00E3656A"/>
    <w:rsid w:val="00E36CEF"/>
    <w:rsid w:val="00E3725C"/>
    <w:rsid w:val="00E372F4"/>
    <w:rsid w:val="00E37855"/>
    <w:rsid w:val="00E37A1D"/>
    <w:rsid w:val="00E402DF"/>
    <w:rsid w:val="00E40B9D"/>
    <w:rsid w:val="00E431A9"/>
    <w:rsid w:val="00E45DA6"/>
    <w:rsid w:val="00E4710B"/>
    <w:rsid w:val="00E50BE4"/>
    <w:rsid w:val="00E51258"/>
    <w:rsid w:val="00E51356"/>
    <w:rsid w:val="00E526BB"/>
    <w:rsid w:val="00E527C5"/>
    <w:rsid w:val="00E53C7F"/>
    <w:rsid w:val="00E53FD5"/>
    <w:rsid w:val="00E540D3"/>
    <w:rsid w:val="00E55ABC"/>
    <w:rsid w:val="00E5640D"/>
    <w:rsid w:val="00E56AE3"/>
    <w:rsid w:val="00E56EF0"/>
    <w:rsid w:val="00E5730F"/>
    <w:rsid w:val="00E60634"/>
    <w:rsid w:val="00E60FB0"/>
    <w:rsid w:val="00E6203A"/>
    <w:rsid w:val="00E6215A"/>
    <w:rsid w:val="00E62430"/>
    <w:rsid w:val="00E62558"/>
    <w:rsid w:val="00E627D0"/>
    <w:rsid w:val="00E628C4"/>
    <w:rsid w:val="00E63513"/>
    <w:rsid w:val="00E642FB"/>
    <w:rsid w:val="00E65512"/>
    <w:rsid w:val="00E669E2"/>
    <w:rsid w:val="00E67B6A"/>
    <w:rsid w:val="00E67C65"/>
    <w:rsid w:val="00E67EAE"/>
    <w:rsid w:val="00E70664"/>
    <w:rsid w:val="00E706AD"/>
    <w:rsid w:val="00E71830"/>
    <w:rsid w:val="00E71F93"/>
    <w:rsid w:val="00E7292E"/>
    <w:rsid w:val="00E73407"/>
    <w:rsid w:val="00E74034"/>
    <w:rsid w:val="00E74CA9"/>
    <w:rsid w:val="00E751B4"/>
    <w:rsid w:val="00E7600B"/>
    <w:rsid w:val="00E76135"/>
    <w:rsid w:val="00E80A77"/>
    <w:rsid w:val="00E80C16"/>
    <w:rsid w:val="00E8116D"/>
    <w:rsid w:val="00E8186F"/>
    <w:rsid w:val="00E8190A"/>
    <w:rsid w:val="00E81BA3"/>
    <w:rsid w:val="00E828CB"/>
    <w:rsid w:val="00E83482"/>
    <w:rsid w:val="00E83CC3"/>
    <w:rsid w:val="00E83E72"/>
    <w:rsid w:val="00E84E83"/>
    <w:rsid w:val="00E84ED7"/>
    <w:rsid w:val="00E85298"/>
    <w:rsid w:val="00E857F5"/>
    <w:rsid w:val="00E85D5A"/>
    <w:rsid w:val="00E86377"/>
    <w:rsid w:val="00E86A0F"/>
    <w:rsid w:val="00E86C56"/>
    <w:rsid w:val="00E86DC1"/>
    <w:rsid w:val="00E90E0C"/>
    <w:rsid w:val="00E9157D"/>
    <w:rsid w:val="00E927EF"/>
    <w:rsid w:val="00E92846"/>
    <w:rsid w:val="00E929A6"/>
    <w:rsid w:val="00E936A0"/>
    <w:rsid w:val="00E93A0A"/>
    <w:rsid w:val="00E942FD"/>
    <w:rsid w:val="00E943FC"/>
    <w:rsid w:val="00E9475D"/>
    <w:rsid w:val="00E95270"/>
    <w:rsid w:val="00E95D90"/>
    <w:rsid w:val="00E9604A"/>
    <w:rsid w:val="00E96DBE"/>
    <w:rsid w:val="00E9793D"/>
    <w:rsid w:val="00E97F9A"/>
    <w:rsid w:val="00EA12E4"/>
    <w:rsid w:val="00EA13DD"/>
    <w:rsid w:val="00EA17A2"/>
    <w:rsid w:val="00EA1A2D"/>
    <w:rsid w:val="00EA2E85"/>
    <w:rsid w:val="00EA4D58"/>
    <w:rsid w:val="00EA4DB9"/>
    <w:rsid w:val="00EA560D"/>
    <w:rsid w:val="00EA616D"/>
    <w:rsid w:val="00EA73CD"/>
    <w:rsid w:val="00EB0841"/>
    <w:rsid w:val="00EB0DDB"/>
    <w:rsid w:val="00EB1176"/>
    <w:rsid w:val="00EB12C5"/>
    <w:rsid w:val="00EB192D"/>
    <w:rsid w:val="00EB246E"/>
    <w:rsid w:val="00EB26E5"/>
    <w:rsid w:val="00EB2CEE"/>
    <w:rsid w:val="00EB3671"/>
    <w:rsid w:val="00EB4CE4"/>
    <w:rsid w:val="00EB5992"/>
    <w:rsid w:val="00EB72DE"/>
    <w:rsid w:val="00EB7D49"/>
    <w:rsid w:val="00EC0D36"/>
    <w:rsid w:val="00EC148D"/>
    <w:rsid w:val="00EC1605"/>
    <w:rsid w:val="00EC168D"/>
    <w:rsid w:val="00EC238B"/>
    <w:rsid w:val="00EC2844"/>
    <w:rsid w:val="00EC29BB"/>
    <w:rsid w:val="00EC3C40"/>
    <w:rsid w:val="00EC3F7C"/>
    <w:rsid w:val="00EC42AA"/>
    <w:rsid w:val="00EC471F"/>
    <w:rsid w:val="00EC4A5F"/>
    <w:rsid w:val="00EC4F8A"/>
    <w:rsid w:val="00EC538E"/>
    <w:rsid w:val="00EC54DF"/>
    <w:rsid w:val="00EC65A1"/>
    <w:rsid w:val="00EC6EA1"/>
    <w:rsid w:val="00EC7056"/>
    <w:rsid w:val="00EC7122"/>
    <w:rsid w:val="00EC73EB"/>
    <w:rsid w:val="00EC7F29"/>
    <w:rsid w:val="00ED003F"/>
    <w:rsid w:val="00ED0085"/>
    <w:rsid w:val="00ED1417"/>
    <w:rsid w:val="00ED1DBE"/>
    <w:rsid w:val="00ED2238"/>
    <w:rsid w:val="00ED2786"/>
    <w:rsid w:val="00ED3D87"/>
    <w:rsid w:val="00ED4A3D"/>
    <w:rsid w:val="00ED55F7"/>
    <w:rsid w:val="00ED69F8"/>
    <w:rsid w:val="00EE0522"/>
    <w:rsid w:val="00EE057A"/>
    <w:rsid w:val="00EE0B59"/>
    <w:rsid w:val="00EE1E7E"/>
    <w:rsid w:val="00EE21CE"/>
    <w:rsid w:val="00EE3181"/>
    <w:rsid w:val="00EE3DF1"/>
    <w:rsid w:val="00EE53CB"/>
    <w:rsid w:val="00EE5987"/>
    <w:rsid w:val="00EE5994"/>
    <w:rsid w:val="00EE5F8D"/>
    <w:rsid w:val="00EE605C"/>
    <w:rsid w:val="00EE62CC"/>
    <w:rsid w:val="00EE64D4"/>
    <w:rsid w:val="00EE7497"/>
    <w:rsid w:val="00EE75A9"/>
    <w:rsid w:val="00EF10AB"/>
    <w:rsid w:val="00EF12F2"/>
    <w:rsid w:val="00EF140C"/>
    <w:rsid w:val="00EF16C7"/>
    <w:rsid w:val="00EF1B48"/>
    <w:rsid w:val="00EF1C9D"/>
    <w:rsid w:val="00EF2437"/>
    <w:rsid w:val="00EF294A"/>
    <w:rsid w:val="00EF39FF"/>
    <w:rsid w:val="00EF50BD"/>
    <w:rsid w:val="00EF653E"/>
    <w:rsid w:val="00EF67B0"/>
    <w:rsid w:val="00EF6C6C"/>
    <w:rsid w:val="00EF6F22"/>
    <w:rsid w:val="00EF711A"/>
    <w:rsid w:val="00F003C7"/>
    <w:rsid w:val="00F003F7"/>
    <w:rsid w:val="00F00F40"/>
    <w:rsid w:val="00F00F54"/>
    <w:rsid w:val="00F01173"/>
    <w:rsid w:val="00F0121A"/>
    <w:rsid w:val="00F0121B"/>
    <w:rsid w:val="00F022CB"/>
    <w:rsid w:val="00F02C3B"/>
    <w:rsid w:val="00F03D56"/>
    <w:rsid w:val="00F03FF8"/>
    <w:rsid w:val="00F056FC"/>
    <w:rsid w:val="00F06E24"/>
    <w:rsid w:val="00F10476"/>
    <w:rsid w:val="00F10C83"/>
    <w:rsid w:val="00F11FCD"/>
    <w:rsid w:val="00F12B5A"/>
    <w:rsid w:val="00F135D8"/>
    <w:rsid w:val="00F1464B"/>
    <w:rsid w:val="00F15BA0"/>
    <w:rsid w:val="00F15ED2"/>
    <w:rsid w:val="00F1711B"/>
    <w:rsid w:val="00F17149"/>
    <w:rsid w:val="00F17159"/>
    <w:rsid w:val="00F171AF"/>
    <w:rsid w:val="00F17F73"/>
    <w:rsid w:val="00F2097C"/>
    <w:rsid w:val="00F21A6B"/>
    <w:rsid w:val="00F220BD"/>
    <w:rsid w:val="00F225D0"/>
    <w:rsid w:val="00F23FCE"/>
    <w:rsid w:val="00F2612F"/>
    <w:rsid w:val="00F26853"/>
    <w:rsid w:val="00F276C8"/>
    <w:rsid w:val="00F31299"/>
    <w:rsid w:val="00F31413"/>
    <w:rsid w:val="00F31639"/>
    <w:rsid w:val="00F31843"/>
    <w:rsid w:val="00F31A1A"/>
    <w:rsid w:val="00F31F6E"/>
    <w:rsid w:val="00F320B7"/>
    <w:rsid w:val="00F33295"/>
    <w:rsid w:val="00F33792"/>
    <w:rsid w:val="00F341ED"/>
    <w:rsid w:val="00F34F06"/>
    <w:rsid w:val="00F3534A"/>
    <w:rsid w:val="00F35DC2"/>
    <w:rsid w:val="00F36173"/>
    <w:rsid w:val="00F365F2"/>
    <w:rsid w:val="00F372FF"/>
    <w:rsid w:val="00F400E0"/>
    <w:rsid w:val="00F4020B"/>
    <w:rsid w:val="00F406AD"/>
    <w:rsid w:val="00F40CD9"/>
    <w:rsid w:val="00F411AA"/>
    <w:rsid w:val="00F4145B"/>
    <w:rsid w:val="00F421FA"/>
    <w:rsid w:val="00F42EC2"/>
    <w:rsid w:val="00F43B52"/>
    <w:rsid w:val="00F43F3E"/>
    <w:rsid w:val="00F44353"/>
    <w:rsid w:val="00F45E17"/>
    <w:rsid w:val="00F46ABD"/>
    <w:rsid w:val="00F46C0F"/>
    <w:rsid w:val="00F4771A"/>
    <w:rsid w:val="00F47988"/>
    <w:rsid w:val="00F50944"/>
    <w:rsid w:val="00F50C49"/>
    <w:rsid w:val="00F51740"/>
    <w:rsid w:val="00F518AC"/>
    <w:rsid w:val="00F51B1E"/>
    <w:rsid w:val="00F51E66"/>
    <w:rsid w:val="00F51F9E"/>
    <w:rsid w:val="00F51FA1"/>
    <w:rsid w:val="00F52023"/>
    <w:rsid w:val="00F528E2"/>
    <w:rsid w:val="00F52ED9"/>
    <w:rsid w:val="00F54500"/>
    <w:rsid w:val="00F54BD8"/>
    <w:rsid w:val="00F5524C"/>
    <w:rsid w:val="00F552AF"/>
    <w:rsid w:val="00F62009"/>
    <w:rsid w:val="00F627D2"/>
    <w:rsid w:val="00F6293B"/>
    <w:rsid w:val="00F629CC"/>
    <w:rsid w:val="00F6388B"/>
    <w:rsid w:val="00F64459"/>
    <w:rsid w:val="00F65F2A"/>
    <w:rsid w:val="00F66675"/>
    <w:rsid w:val="00F67A57"/>
    <w:rsid w:val="00F707BF"/>
    <w:rsid w:val="00F717A7"/>
    <w:rsid w:val="00F72B9B"/>
    <w:rsid w:val="00F738D3"/>
    <w:rsid w:val="00F73A88"/>
    <w:rsid w:val="00F73BA2"/>
    <w:rsid w:val="00F74129"/>
    <w:rsid w:val="00F74AFD"/>
    <w:rsid w:val="00F7576E"/>
    <w:rsid w:val="00F75C65"/>
    <w:rsid w:val="00F75D76"/>
    <w:rsid w:val="00F76286"/>
    <w:rsid w:val="00F771CA"/>
    <w:rsid w:val="00F77307"/>
    <w:rsid w:val="00F775AB"/>
    <w:rsid w:val="00F77C99"/>
    <w:rsid w:val="00F80473"/>
    <w:rsid w:val="00F808FC"/>
    <w:rsid w:val="00F80BCD"/>
    <w:rsid w:val="00F8147C"/>
    <w:rsid w:val="00F817AD"/>
    <w:rsid w:val="00F8446F"/>
    <w:rsid w:val="00F84A0A"/>
    <w:rsid w:val="00F8507C"/>
    <w:rsid w:val="00F85325"/>
    <w:rsid w:val="00F86D3F"/>
    <w:rsid w:val="00F901E6"/>
    <w:rsid w:val="00F90256"/>
    <w:rsid w:val="00F90544"/>
    <w:rsid w:val="00F90B25"/>
    <w:rsid w:val="00F91D81"/>
    <w:rsid w:val="00F91E8F"/>
    <w:rsid w:val="00F92995"/>
    <w:rsid w:val="00F929B3"/>
    <w:rsid w:val="00F92BE4"/>
    <w:rsid w:val="00F94583"/>
    <w:rsid w:val="00F94B6B"/>
    <w:rsid w:val="00F94EC8"/>
    <w:rsid w:val="00F958C3"/>
    <w:rsid w:val="00F962A1"/>
    <w:rsid w:val="00F965E8"/>
    <w:rsid w:val="00F970EA"/>
    <w:rsid w:val="00F97A04"/>
    <w:rsid w:val="00FA0CB8"/>
    <w:rsid w:val="00FA1814"/>
    <w:rsid w:val="00FA2AC5"/>
    <w:rsid w:val="00FA2E3E"/>
    <w:rsid w:val="00FA3882"/>
    <w:rsid w:val="00FA55F5"/>
    <w:rsid w:val="00FA5767"/>
    <w:rsid w:val="00FA5E2A"/>
    <w:rsid w:val="00FA5F72"/>
    <w:rsid w:val="00FA61AE"/>
    <w:rsid w:val="00FA662F"/>
    <w:rsid w:val="00FA6779"/>
    <w:rsid w:val="00FA747B"/>
    <w:rsid w:val="00FA7668"/>
    <w:rsid w:val="00FA7B18"/>
    <w:rsid w:val="00FA7C4E"/>
    <w:rsid w:val="00FB03F3"/>
    <w:rsid w:val="00FB11B5"/>
    <w:rsid w:val="00FB254E"/>
    <w:rsid w:val="00FB2FB2"/>
    <w:rsid w:val="00FB310A"/>
    <w:rsid w:val="00FB33DA"/>
    <w:rsid w:val="00FB34CD"/>
    <w:rsid w:val="00FB3730"/>
    <w:rsid w:val="00FB40F5"/>
    <w:rsid w:val="00FB41B5"/>
    <w:rsid w:val="00FB4369"/>
    <w:rsid w:val="00FB61D3"/>
    <w:rsid w:val="00FB6B4B"/>
    <w:rsid w:val="00FC0A5F"/>
    <w:rsid w:val="00FC1022"/>
    <w:rsid w:val="00FC109D"/>
    <w:rsid w:val="00FC1F8B"/>
    <w:rsid w:val="00FC2477"/>
    <w:rsid w:val="00FC24CF"/>
    <w:rsid w:val="00FC2D54"/>
    <w:rsid w:val="00FC2D59"/>
    <w:rsid w:val="00FC3D12"/>
    <w:rsid w:val="00FC3DA2"/>
    <w:rsid w:val="00FC4280"/>
    <w:rsid w:val="00FC46AE"/>
    <w:rsid w:val="00FC4A01"/>
    <w:rsid w:val="00FC52BF"/>
    <w:rsid w:val="00FC5302"/>
    <w:rsid w:val="00FC5844"/>
    <w:rsid w:val="00FC5E48"/>
    <w:rsid w:val="00FC62F0"/>
    <w:rsid w:val="00FC64C8"/>
    <w:rsid w:val="00FC7195"/>
    <w:rsid w:val="00FD07FD"/>
    <w:rsid w:val="00FD110E"/>
    <w:rsid w:val="00FD16FF"/>
    <w:rsid w:val="00FD172B"/>
    <w:rsid w:val="00FD1904"/>
    <w:rsid w:val="00FD22B1"/>
    <w:rsid w:val="00FD4023"/>
    <w:rsid w:val="00FD4262"/>
    <w:rsid w:val="00FD42B5"/>
    <w:rsid w:val="00FD43F5"/>
    <w:rsid w:val="00FD4EFC"/>
    <w:rsid w:val="00FD530F"/>
    <w:rsid w:val="00FD5FA2"/>
    <w:rsid w:val="00FD6621"/>
    <w:rsid w:val="00FD6A87"/>
    <w:rsid w:val="00FD6CC1"/>
    <w:rsid w:val="00FD6E3A"/>
    <w:rsid w:val="00FD7362"/>
    <w:rsid w:val="00FE25FE"/>
    <w:rsid w:val="00FE371F"/>
    <w:rsid w:val="00FE48E4"/>
    <w:rsid w:val="00FE4E13"/>
    <w:rsid w:val="00FE560A"/>
    <w:rsid w:val="00FE5BF9"/>
    <w:rsid w:val="00FE5DD0"/>
    <w:rsid w:val="00FE6695"/>
    <w:rsid w:val="00FE6CA0"/>
    <w:rsid w:val="00FE73B4"/>
    <w:rsid w:val="00FF1A3B"/>
    <w:rsid w:val="00FF1F5D"/>
    <w:rsid w:val="00FF2386"/>
    <w:rsid w:val="00FF42DB"/>
    <w:rsid w:val="00FF48EA"/>
    <w:rsid w:val="00FF51C2"/>
    <w:rsid w:val="00FF53EF"/>
    <w:rsid w:val="00FF6C35"/>
    <w:rsid w:val="00FF6FE5"/>
    <w:rsid w:val="00FF70A2"/>
    <w:rsid w:val="00FF775B"/>
    <w:rsid w:val="00FF7952"/>
    <w:rsid w:val="00FF7C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5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76A60"/>
    <w:rPr>
      <w:sz w:val="26"/>
      <w:szCs w:val="24"/>
    </w:rPr>
  </w:style>
  <w:style w:type="paragraph" w:styleId="Heading1">
    <w:name w:val="heading 1"/>
    <w:basedOn w:val="BodyText"/>
    <w:next w:val="BodyText"/>
    <w:rsid w:val="00676A60"/>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76A6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76A60"/>
    <w:pPr>
      <w:spacing w:before="560" w:line="320" w:lineRule="exact"/>
      <w:ind w:left="0" w:firstLine="0"/>
      <w:outlineLvl w:val="2"/>
    </w:pPr>
    <w:rPr>
      <w:sz w:val="26"/>
    </w:rPr>
  </w:style>
  <w:style w:type="paragraph" w:styleId="Heading4">
    <w:name w:val="heading 4"/>
    <w:basedOn w:val="Heading3"/>
    <w:next w:val="BodyText"/>
    <w:link w:val="Heading4Char"/>
    <w:qFormat/>
    <w:rsid w:val="00676A60"/>
    <w:pPr>
      <w:spacing w:before="480"/>
      <w:outlineLvl w:val="3"/>
    </w:pPr>
    <w:rPr>
      <w:b w:val="0"/>
      <w:i/>
      <w:sz w:val="24"/>
    </w:rPr>
  </w:style>
  <w:style w:type="paragraph" w:styleId="Heading5">
    <w:name w:val="heading 5"/>
    <w:basedOn w:val="Heading4"/>
    <w:next w:val="BodyText"/>
    <w:link w:val="Heading5Char"/>
    <w:qFormat/>
    <w:rsid w:val="00676A60"/>
    <w:pPr>
      <w:outlineLvl w:val="4"/>
    </w:pPr>
    <w:rPr>
      <w:rFonts w:ascii="Times New Roman" w:hAnsi="Times New Roman"/>
      <w:sz w:val="26"/>
    </w:rPr>
  </w:style>
  <w:style w:type="paragraph" w:styleId="Heading6">
    <w:name w:val="heading 6"/>
    <w:basedOn w:val="BodyText"/>
    <w:next w:val="BodyText"/>
    <w:rsid w:val="00676A60"/>
    <w:pPr>
      <w:spacing w:after="60"/>
      <w:jc w:val="left"/>
      <w:outlineLvl w:val="5"/>
    </w:pPr>
    <w:rPr>
      <w:i/>
      <w:sz w:val="22"/>
    </w:rPr>
  </w:style>
  <w:style w:type="paragraph" w:styleId="Heading7">
    <w:name w:val="heading 7"/>
    <w:basedOn w:val="BodyText"/>
    <w:next w:val="BodyText"/>
    <w:rsid w:val="00676A60"/>
    <w:pPr>
      <w:spacing w:after="60" w:line="240" w:lineRule="auto"/>
      <w:jc w:val="left"/>
      <w:outlineLvl w:val="6"/>
    </w:pPr>
    <w:rPr>
      <w:rFonts w:ascii="Arial" w:hAnsi="Arial"/>
      <w:sz w:val="20"/>
    </w:rPr>
  </w:style>
  <w:style w:type="paragraph" w:styleId="Heading8">
    <w:name w:val="heading 8"/>
    <w:basedOn w:val="BodyText"/>
    <w:next w:val="BodyText"/>
    <w:rsid w:val="00676A60"/>
    <w:pPr>
      <w:spacing w:after="60" w:line="240" w:lineRule="auto"/>
      <w:jc w:val="left"/>
      <w:outlineLvl w:val="7"/>
    </w:pPr>
    <w:rPr>
      <w:rFonts w:ascii="Arial" w:hAnsi="Arial"/>
      <w:i/>
      <w:sz w:val="20"/>
    </w:rPr>
  </w:style>
  <w:style w:type="paragraph" w:styleId="Heading9">
    <w:name w:val="heading 9"/>
    <w:basedOn w:val="BodyText"/>
    <w:next w:val="BodyText"/>
    <w:rsid w:val="00676A6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76A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6A60"/>
  </w:style>
  <w:style w:type="paragraph" w:styleId="BodyText">
    <w:name w:val="Body Text"/>
    <w:link w:val="BodyTextChar"/>
    <w:qFormat/>
    <w:rsid w:val="00676A60"/>
    <w:pPr>
      <w:spacing w:before="240" w:line="320" w:lineRule="atLeast"/>
      <w:jc w:val="both"/>
    </w:pPr>
    <w:rPr>
      <w:sz w:val="26"/>
    </w:rPr>
  </w:style>
  <w:style w:type="paragraph" w:styleId="Footer">
    <w:name w:val="footer"/>
    <w:basedOn w:val="BodyText"/>
    <w:semiHidden/>
    <w:rsid w:val="00676A60"/>
    <w:pPr>
      <w:spacing w:before="80" w:line="200" w:lineRule="exact"/>
      <w:ind w:right="6"/>
      <w:jc w:val="left"/>
    </w:pPr>
    <w:rPr>
      <w:caps/>
      <w:spacing w:val="-4"/>
      <w:sz w:val="16"/>
    </w:rPr>
  </w:style>
  <w:style w:type="paragraph" w:customStyle="1" w:styleId="FooterEnd">
    <w:name w:val="Footer End"/>
    <w:basedOn w:val="Footer"/>
    <w:rsid w:val="00676A60"/>
    <w:pPr>
      <w:spacing w:before="0" w:line="20" w:lineRule="exact"/>
    </w:pPr>
  </w:style>
  <w:style w:type="paragraph" w:styleId="Header">
    <w:name w:val="header"/>
    <w:basedOn w:val="BodyText"/>
    <w:rsid w:val="00676A6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76A60"/>
    <w:pPr>
      <w:spacing w:line="20" w:lineRule="exact"/>
    </w:pPr>
    <w:rPr>
      <w:sz w:val="16"/>
    </w:rPr>
  </w:style>
  <w:style w:type="paragraph" w:customStyle="1" w:styleId="HeaderEven">
    <w:name w:val="Header Even"/>
    <w:basedOn w:val="Header"/>
    <w:semiHidden/>
    <w:rsid w:val="00676A60"/>
  </w:style>
  <w:style w:type="paragraph" w:customStyle="1" w:styleId="HeaderOdd">
    <w:name w:val="Header Odd"/>
    <w:basedOn w:val="Header"/>
    <w:semiHidden/>
    <w:rsid w:val="00676A60"/>
  </w:style>
  <w:style w:type="character" w:styleId="PageNumber">
    <w:name w:val="page number"/>
    <w:basedOn w:val="DefaultParagraphFont"/>
    <w:rsid w:val="00676A60"/>
    <w:rPr>
      <w:rFonts w:ascii="Arial" w:hAnsi="Arial"/>
      <w:b/>
      <w:sz w:val="16"/>
    </w:rPr>
  </w:style>
  <w:style w:type="paragraph" w:customStyle="1" w:styleId="Abbreviation">
    <w:name w:val="Abbreviation"/>
    <w:basedOn w:val="BodyText"/>
    <w:rsid w:val="00676A60"/>
    <w:pPr>
      <w:spacing w:before="120"/>
      <w:ind w:left="2381" w:hanging="2381"/>
      <w:jc w:val="left"/>
    </w:pPr>
  </w:style>
  <w:style w:type="paragraph" w:customStyle="1" w:styleId="Box">
    <w:name w:val="Box"/>
    <w:basedOn w:val="BodyText"/>
    <w:qFormat/>
    <w:rsid w:val="00676A60"/>
    <w:pPr>
      <w:keepNext/>
      <w:spacing w:before="120" w:line="280" w:lineRule="atLeast"/>
    </w:pPr>
    <w:rPr>
      <w:rFonts w:ascii="Arial" w:hAnsi="Arial"/>
      <w:sz w:val="22"/>
    </w:rPr>
  </w:style>
  <w:style w:type="paragraph" w:customStyle="1" w:styleId="BoxContinued">
    <w:name w:val="Box Continued"/>
    <w:basedOn w:val="BodyText"/>
    <w:next w:val="BodyText"/>
    <w:semiHidden/>
    <w:rsid w:val="00676A60"/>
    <w:pPr>
      <w:spacing w:before="180" w:line="220" w:lineRule="exact"/>
      <w:jc w:val="right"/>
    </w:pPr>
    <w:rPr>
      <w:rFonts w:ascii="Arial" w:hAnsi="Arial"/>
      <w:sz w:val="18"/>
    </w:rPr>
  </w:style>
  <w:style w:type="paragraph" w:customStyle="1" w:styleId="BoxHeading1">
    <w:name w:val="Box Heading 1"/>
    <w:basedOn w:val="BodyText"/>
    <w:next w:val="Box"/>
    <w:rsid w:val="00676A60"/>
    <w:pPr>
      <w:keepNext/>
      <w:spacing w:before="200" w:line="280" w:lineRule="atLeast"/>
    </w:pPr>
    <w:rPr>
      <w:rFonts w:ascii="Arial" w:hAnsi="Arial"/>
      <w:b/>
      <w:sz w:val="22"/>
    </w:rPr>
  </w:style>
  <w:style w:type="paragraph" w:customStyle="1" w:styleId="BoxHeading2">
    <w:name w:val="Box Heading 2"/>
    <w:basedOn w:val="BoxHeading1"/>
    <w:next w:val="Normal"/>
    <w:rsid w:val="00676A60"/>
    <w:rPr>
      <w:b w:val="0"/>
      <w:i/>
    </w:rPr>
  </w:style>
  <w:style w:type="paragraph" w:customStyle="1" w:styleId="BoxListBullet">
    <w:name w:val="Box List Bullet"/>
    <w:basedOn w:val="BodyText"/>
    <w:rsid w:val="00676A60"/>
    <w:pPr>
      <w:keepNext/>
      <w:numPr>
        <w:numId w:val="1"/>
      </w:numPr>
      <w:spacing w:before="60" w:line="280" w:lineRule="atLeast"/>
    </w:pPr>
    <w:rPr>
      <w:rFonts w:ascii="Arial" w:hAnsi="Arial"/>
      <w:sz w:val="22"/>
    </w:rPr>
  </w:style>
  <w:style w:type="paragraph" w:customStyle="1" w:styleId="BoxListBullet2">
    <w:name w:val="Box List Bullet 2"/>
    <w:basedOn w:val="BodyText"/>
    <w:rsid w:val="00676A60"/>
    <w:pPr>
      <w:keepNext/>
      <w:numPr>
        <w:numId w:val="2"/>
      </w:numPr>
      <w:spacing w:before="60" w:line="280" w:lineRule="atLeast"/>
    </w:pPr>
    <w:rPr>
      <w:rFonts w:ascii="Arial" w:hAnsi="Arial"/>
      <w:sz w:val="22"/>
    </w:rPr>
  </w:style>
  <w:style w:type="paragraph" w:customStyle="1" w:styleId="BoxListNumber">
    <w:name w:val="Box List Number"/>
    <w:basedOn w:val="BodyText"/>
    <w:rsid w:val="00676A60"/>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676A60"/>
    <w:pPr>
      <w:numPr>
        <w:ilvl w:val="1"/>
      </w:numPr>
    </w:pPr>
  </w:style>
  <w:style w:type="paragraph" w:customStyle="1" w:styleId="BoxQuote">
    <w:name w:val="Box Quote"/>
    <w:basedOn w:val="BodyText"/>
    <w:next w:val="Box"/>
    <w:rsid w:val="00676A60"/>
    <w:pPr>
      <w:keepNext/>
      <w:spacing w:before="60" w:line="260" w:lineRule="exact"/>
      <w:ind w:left="284"/>
    </w:pPr>
    <w:rPr>
      <w:rFonts w:ascii="Arial" w:hAnsi="Arial"/>
      <w:sz w:val="20"/>
    </w:rPr>
  </w:style>
  <w:style w:type="paragraph" w:customStyle="1" w:styleId="Note">
    <w:name w:val="Note"/>
    <w:basedOn w:val="BodyText"/>
    <w:next w:val="BodyText"/>
    <w:rsid w:val="00676A60"/>
    <w:pPr>
      <w:keepLines/>
      <w:spacing w:before="80" w:line="220" w:lineRule="exact"/>
    </w:pPr>
    <w:rPr>
      <w:rFonts w:ascii="Arial" w:hAnsi="Arial"/>
      <w:sz w:val="18"/>
    </w:rPr>
  </w:style>
  <w:style w:type="paragraph" w:customStyle="1" w:styleId="Source">
    <w:name w:val="Source"/>
    <w:basedOn w:val="Note"/>
    <w:next w:val="BodyText"/>
    <w:rsid w:val="00676A60"/>
    <w:pPr>
      <w:spacing w:after="120"/>
    </w:pPr>
  </w:style>
  <w:style w:type="paragraph" w:customStyle="1" w:styleId="BoxSource">
    <w:name w:val="Box Source"/>
    <w:basedOn w:val="Source"/>
    <w:next w:val="BodyText"/>
    <w:rsid w:val="00676A60"/>
    <w:pPr>
      <w:spacing w:before="180" w:after="0"/>
    </w:pPr>
  </w:style>
  <w:style w:type="paragraph" w:customStyle="1" w:styleId="BoxSpace">
    <w:name w:val="Box Space"/>
    <w:basedOn w:val="BodyText"/>
    <w:rsid w:val="00676A60"/>
    <w:pPr>
      <w:keepNext/>
      <w:spacing w:before="360" w:line="80" w:lineRule="exact"/>
      <w:jc w:val="left"/>
    </w:pPr>
  </w:style>
  <w:style w:type="paragraph" w:styleId="Caption">
    <w:name w:val="caption"/>
    <w:basedOn w:val="Normal"/>
    <w:next w:val="BodyText"/>
    <w:rsid w:val="00676A6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76A60"/>
    <w:pPr>
      <w:spacing w:before="120" w:after="0"/>
      <w:ind w:left="1304" w:hanging="1304"/>
    </w:pPr>
    <w:rPr>
      <w:sz w:val="24"/>
    </w:rPr>
  </w:style>
  <w:style w:type="paragraph" w:customStyle="1" w:styleId="BoxSubtitle">
    <w:name w:val="Box Subtitle"/>
    <w:basedOn w:val="BoxTitle"/>
    <w:next w:val="Normal"/>
    <w:rsid w:val="00676A60"/>
    <w:pPr>
      <w:spacing w:after="80" w:line="200" w:lineRule="exact"/>
      <w:ind w:firstLine="0"/>
    </w:pPr>
    <w:rPr>
      <w:b w:val="0"/>
      <w:sz w:val="20"/>
    </w:rPr>
  </w:style>
  <w:style w:type="paragraph" w:customStyle="1" w:styleId="Chapter">
    <w:name w:val="Chapter"/>
    <w:basedOn w:val="Heading1"/>
    <w:next w:val="BodyText"/>
    <w:semiHidden/>
    <w:rsid w:val="00676A60"/>
    <w:pPr>
      <w:ind w:left="0" w:firstLine="0"/>
      <w:outlineLvl w:val="9"/>
    </w:pPr>
  </w:style>
  <w:style w:type="paragraph" w:customStyle="1" w:styleId="ChapterSummary">
    <w:name w:val="Chapter Summary"/>
    <w:basedOn w:val="BodyText"/>
    <w:rsid w:val="00676A60"/>
    <w:pPr>
      <w:ind w:left="907"/>
    </w:pPr>
    <w:rPr>
      <w:rFonts w:ascii="Arial" w:hAnsi="Arial"/>
      <w:b/>
      <w:sz w:val="22"/>
    </w:rPr>
  </w:style>
  <w:style w:type="character" w:styleId="CommentReference">
    <w:name w:val="annotation reference"/>
    <w:basedOn w:val="DefaultParagraphFont"/>
    <w:semiHidden/>
    <w:rsid w:val="00676A60"/>
    <w:rPr>
      <w:b/>
      <w:vanish/>
      <w:color w:val="FF00FF"/>
      <w:sz w:val="20"/>
    </w:rPr>
  </w:style>
  <w:style w:type="paragraph" w:styleId="CommentText">
    <w:name w:val="annotation text"/>
    <w:basedOn w:val="Normal"/>
    <w:link w:val="CommentTextChar"/>
    <w:semiHidden/>
    <w:rsid w:val="00676A60"/>
    <w:pPr>
      <w:spacing w:before="120" w:line="240" w:lineRule="atLeast"/>
      <w:ind w:left="567" w:hanging="567"/>
    </w:pPr>
    <w:rPr>
      <w:sz w:val="20"/>
    </w:rPr>
  </w:style>
  <w:style w:type="paragraph" w:customStyle="1" w:styleId="Continued">
    <w:name w:val="Continued"/>
    <w:basedOn w:val="BoxContinued"/>
    <w:next w:val="BodyText"/>
    <w:rsid w:val="00676A60"/>
  </w:style>
  <w:style w:type="character" w:customStyle="1" w:styleId="DocumentInfo">
    <w:name w:val="Document Info"/>
    <w:basedOn w:val="DefaultParagraphFont"/>
    <w:semiHidden/>
    <w:rsid w:val="00676A60"/>
    <w:rPr>
      <w:rFonts w:ascii="Arial" w:hAnsi="Arial"/>
      <w:sz w:val="14"/>
    </w:rPr>
  </w:style>
  <w:style w:type="character" w:customStyle="1" w:styleId="DraftingNote">
    <w:name w:val="Drafting Note"/>
    <w:basedOn w:val="DefaultParagraphFont"/>
    <w:rsid w:val="00676A60"/>
    <w:rPr>
      <w:b/>
      <w:color w:val="FF0000"/>
      <w:sz w:val="24"/>
      <w:u w:val="dotted"/>
    </w:rPr>
  </w:style>
  <w:style w:type="paragraph" w:customStyle="1" w:styleId="Figure">
    <w:name w:val="Figure"/>
    <w:basedOn w:val="BodyText"/>
    <w:rsid w:val="00676A60"/>
    <w:pPr>
      <w:keepNext/>
      <w:spacing w:before="120" w:after="120" w:line="240" w:lineRule="atLeast"/>
      <w:jc w:val="center"/>
    </w:pPr>
  </w:style>
  <w:style w:type="paragraph" w:customStyle="1" w:styleId="FigureTitle">
    <w:name w:val="Figure Title"/>
    <w:basedOn w:val="Caption"/>
    <w:next w:val="Subtitle"/>
    <w:rsid w:val="00676A60"/>
    <w:rPr>
      <w:sz w:val="24"/>
    </w:rPr>
  </w:style>
  <w:style w:type="paragraph" w:styleId="Subtitle">
    <w:name w:val="Subtitle"/>
    <w:basedOn w:val="Caption"/>
    <w:link w:val="SubtitleChar"/>
    <w:rsid w:val="00676A60"/>
    <w:pPr>
      <w:spacing w:before="0" w:line="200" w:lineRule="exact"/>
      <w:ind w:firstLine="0"/>
    </w:pPr>
    <w:rPr>
      <w:b w:val="0"/>
      <w:sz w:val="20"/>
    </w:rPr>
  </w:style>
  <w:style w:type="paragraph" w:customStyle="1" w:styleId="Finding">
    <w:name w:val="Finding"/>
    <w:basedOn w:val="BodyText"/>
    <w:rsid w:val="00676A60"/>
    <w:pPr>
      <w:keepLines/>
      <w:spacing w:before="180"/>
    </w:pPr>
    <w:rPr>
      <w:i/>
    </w:rPr>
  </w:style>
  <w:style w:type="paragraph" w:customStyle="1" w:styleId="FindingBullet">
    <w:name w:val="Finding Bullet"/>
    <w:basedOn w:val="Finding"/>
    <w:rsid w:val="00676A60"/>
    <w:pPr>
      <w:numPr>
        <w:numId w:val="3"/>
      </w:numPr>
      <w:spacing w:before="80"/>
    </w:pPr>
  </w:style>
  <w:style w:type="paragraph" w:customStyle="1" w:styleId="FindingNoTitle">
    <w:name w:val="Finding NoTitle"/>
    <w:basedOn w:val="Finding"/>
    <w:rsid w:val="00676A60"/>
    <w:pPr>
      <w:spacing w:before="240"/>
    </w:pPr>
  </w:style>
  <w:style w:type="paragraph" w:customStyle="1" w:styleId="RecTitle">
    <w:name w:val="Rec Title"/>
    <w:basedOn w:val="BodyText"/>
    <w:next w:val="Normal"/>
    <w:rsid w:val="00676A60"/>
    <w:pPr>
      <w:keepNext/>
      <w:keepLines/>
    </w:pPr>
    <w:rPr>
      <w:caps/>
      <w:sz w:val="20"/>
    </w:rPr>
  </w:style>
  <w:style w:type="paragraph" w:customStyle="1" w:styleId="FindingTitle">
    <w:name w:val="Finding Title"/>
    <w:basedOn w:val="RecTitle"/>
    <w:next w:val="Finding"/>
    <w:rsid w:val="00676A60"/>
    <w:pPr>
      <w:framePr w:wrap="notBeside" w:hAnchor="text"/>
    </w:pPr>
  </w:style>
  <w:style w:type="character" w:styleId="FootnoteReference">
    <w:name w:val="footnote reference"/>
    <w:basedOn w:val="DefaultParagraphFont"/>
    <w:semiHidden/>
    <w:rsid w:val="00676A60"/>
    <w:rPr>
      <w:rFonts w:ascii="Times New Roman" w:hAnsi="Times New Roman"/>
      <w:position w:val="6"/>
      <w:sz w:val="22"/>
      <w:vertAlign w:val="baseline"/>
    </w:rPr>
  </w:style>
  <w:style w:type="paragraph" w:styleId="FootnoteText">
    <w:name w:val="footnote text"/>
    <w:basedOn w:val="BodyText"/>
    <w:link w:val="FootnoteTextChar"/>
    <w:rsid w:val="00676A60"/>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676A60"/>
    <w:pPr>
      <w:spacing w:before="360" w:after="120"/>
    </w:pPr>
    <w:rPr>
      <w:rFonts w:ascii="Arial" w:hAnsi="Arial"/>
      <w:sz w:val="24"/>
    </w:rPr>
  </w:style>
  <w:style w:type="paragraph" w:customStyle="1" w:styleId="Jurisdictioncommentsbodytext">
    <w:name w:val="Jurisdiction comments body text"/>
    <w:rsid w:val="00676A60"/>
    <w:pPr>
      <w:spacing w:after="140"/>
      <w:jc w:val="both"/>
    </w:pPr>
    <w:rPr>
      <w:rFonts w:ascii="Arial" w:hAnsi="Arial"/>
      <w:sz w:val="24"/>
      <w:lang w:eastAsia="en-US"/>
    </w:rPr>
  </w:style>
  <w:style w:type="paragraph" w:customStyle="1" w:styleId="Jurisdictioncommentsheading">
    <w:name w:val="Jurisdiction comments heading"/>
    <w:rsid w:val="00676A6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76A60"/>
    <w:pPr>
      <w:numPr>
        <w:numId w:val="4"/>
      </w:numPr>
      <w:spacing w:after="140"/>
      <w:jc w:val="both"/>
    </w:pPr>
    <w:rPr>
      <w:rFonts w:ascii="Arial" w:hAnsi="Arial"/>
      <w:sz w:val="24"/>
      <w:lang w:eastAsia="en-US"/>
    </w:rPr>
  </w:style>
  <w:style w:type="paragraph" w:styleId="ListBullet">
    <w:name w:val="List Bullet"/>
    <w:basedOn w:val="BodyText"/>
    <w:rsid w:val="00676A60"/>
    <w:pPr>
      <w:numPr>
        <w:numId w:val="6"/>
      </w:numPr>
      <w:spacing w:before="120"/>
    </w:pPr>
  </w:style>
  <w:style w:type="paragraph" w:styleId="ListBullet2">
    <w:name w:val="List Bullet 2"/>
    <w:basedOn w:val="BodyText"/>
    <w:rsid w:val="00676A60"/>
    <w:pPr>
      <w:numPr>
        <w:numId w:val="8"/>
      </w:numPr>
      <w:spacing w:before="120"/>
    </w:pPr>
  </w:style>
  <w:style w:type="paragraph" w:styleId="ListBullet3">
    <w:name w:val="List Bullet 3"/>
    <w:basedOn w:val="BodyText"/>
    <w:rsid w:val="00676A60"/>
    <w:pPr>
      <w:numPr>
        <w:numId w:val="10"/>
      </w:numPr>
      <w:spacing w:before="120"/>
    </w:pPr>
  </w:style>
  <w:style w:type="paragraph" w:styleId="ListNumber">
    <w:name w:val="List Number"/>
    <w:basedOn w:val="BodyText"/>
    <w:rsid w:val="00676A60"/>
    <w:pPr>
      <w:numPr>
        <w:numId w:val="32"/>
      </w:numPr>
      <w:spacing w:before="120"/>
    </w:pPr>
  </w:style>
  <w:style w:type="paragraph" w:styleId="ListNumber2">
    <w:name w:val="List Number 2"/>
    <w:basedOn w:val="ListNumber"/>
    <w:rsid w:val="00676A60"/>
    <w:pPr>
      <w:numPr>
        <w:ilvl w:val="1"/>
      </w:numPr>
    </w:pPr>
  </w:style>
  <w:style w:type="paragraph" w:styleId="ListNumber3">
    <w:name w:val="List Number 3"/>
    <w:basedOn w:val="ListNumber2"/>
    <w:rsid w:val="00676A60"/>
    <w:pPr>
      <w:numPr>
        <w:ilvl w:val="2"/>
      </w:numPr>
      <w:ind w:left="1248" w:hanging="454"/>
    </w:pPr>
  </w:style>
  <w:style w:type="character" w:customStyle="1" w:styleId="NoteLabel">
    <w:name w:val="Note Label"/>
    <w:basedOn w:val="DefaultParagraphFont"/>
    <w:rsid w:val="00676A60"/>
    <w:rPr>
      <w:rFonts w:ascii="Arial" w:hAnsi="Arial"/>
      <w:b/>
      <w:position w:val="6"/>
      <w:sz w:val="18"/>
    </w:rPr>
  </w:style>
  <w:style w:type="paragraph" w:customStyle="1" w:styleId="PartDivider">
    <w:name w:val="Part Divider"/>
    <w:basedOn w:val="BodyText"/>
    <w:next w:val="BodyText"/>
    <w:semiHidden/>
    <w:rsid w:val="00676A60"/>
    <w:pPr>
      <w:spacing w:before="0" w:line="40" w:lineRule="exact"/>
      <w:jc w:val="right"/>
    </w:pPr>
    <w:rPr>
      <w:smallCaps/>
      <w:sz w:val="16"/>
    </w:rPr>
  </w:style>
  <w:style w:type="paragraph" w:customStyle="1" w:styleId="PartNumber">
    <w:name w:val="Part Number"/>
    <w:basedOn w:val="BodyText"/>
    <w:next w:val="BodyText"/>
    <w:semiHidden/>
    <w:rsid w:val="00676A60"/>
    <w:pPr>
      <w:spacing w:before="4000" w:line="320" w:lineRule="exact"/>
      <w:ind w:left="6634"/>
      <w:jc w:val="right"/>
    </w:pPr>
    <w:rPr>
      <w:smallCaps/>
      <w:spacing w:val="60"/>
      <w:sz w:val="32"/>
    </w:rPr>
  </w:style>
  <w:style w:type="paragraph" w:customStyle="1" w:styleId="PartTitle">
    <w:name w:val="Part Title"/>
    <w:basedOn w:val="BodyText"/>
    <w:semiHidden/>
    <w:rsid w:val="00676A60"/>
    <w:pPr>
      <w:spacing w:before="160" w:after="1360" w:line="520" w:lineRule="exact"/>
      <w:ind w:right="2381"/>
      <w:jc w:val="right"/>
    </w:pPr>
    <w:rPr>
      <w:smallCaps/>
      <w:sz w:val="52"/>
    </w:rPr>
  </w:style>
  <w:style w:type="paragraph" w:styleId="Quote">
    <w:name w:val="Quote"/>
    <w:basedOn w:val="BodyText"/>
    <w:next w:val="BodyText"/>
    <w:link w:val="QuoteChar"/>
    <w:qFormat/>
    <w:rsid w:val="00676A60"/>
    <w:pPr>
      <w:spacing w:before="120" w:line="280" w:lineRule="exact"/>
      <w:ind w:left="340"/>
    </w:pPr>
    <w:rPr>
      <w:sz w:val="24"/>
    </w:rPr>
  </w:style>
  <w:style w:type="paragraph" w:customStyle="1" w:styleId="QuoteBullet">
    <w:name w:val="Quote Bullet"/>
    <w:basedOn w:val="Quote"/>
    <w:rsid w:val="00676A60"/>
    <w:pPr>
      <w:numPr>
        <w:numId w:val="14"/>
      </w:numPr>
    </w:pPr>
  </w:style>
  <w:style w:type="paragraph" w:customStyle="1" w:styleId="Rec">
    <w:name w:val="Rec"/>
    <w:basedOn w:val="BodyText"/>
    <w:rsid w:val="00676A60"/>
    <w:pPr>
      <w:keepLines/>
      <w:spacing w:before="180"/>
    </w:pPr>
    <w:rPr>
      <w:b/>
      <w:i/>
    </w:rPr>
  </w:style>
  <w:style w:type="paragraph" w:customStyle="1" w:styleId="RecBullet">
    <w:name w:val="Rec Bullet"/>
    <w:basedOn w:val="Rec"/>
    <w:rsid w:val="00676A60"/>
    <w:pPr>
      <w:numPr>
        <w:numId w:val="15"/>
      </w:numPr>
      <w:spacing w:before="80"/>
    </w:pPr>
  </w:style>
  <w:style w:type="paragraph" w:customStyle="1" w:styleId="RecB">
    <w:name w:val="RecB"/>
    <w:basedOn w:val="Normal"/>
    <w:rsid w:val="00676A6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76A60"/>
    <w:pPr>
      <w:numPr>
        <w:numId w:val="16"/>
      </w:numPr>
      <w:spacing w:before="80"/>
    </w:pPr>
  </w:style>
  <w:style w:type="paragraph" w:customStyle="1" w:styleId="RecBNoTitle">
    <w:name w:val="RecB NoTitle"/>
    <w:basedOn w:val="RecB"/>
    <w:rsid w:val="00676A60"/>
    <w:pPr>
      <w:spacing w:before="240"/>
    </w:pPr>
  </w:style>
  <w:style w:type="paragraph" w:customStyle="1" w:styleId="Reference">
    <w:name w:val="Reference"/>
    <w:basedOn w:val="BodyText"/>
    <w:rsid w:val="00676A60"/>
    <w:pPr>
      <w:spacing w:before="120"/>
      <w:ind w:left="340" w:hanging="340"/>
    </w:pPr>
  </w:style>
  <w:style w:type="paragraph" w:customStyle="1" w:styleId="SequenceInfo">
    <w:name w:val="Sequence Info"/>
    <w:basedOn w:val="BodyText"/>
    <w:semiHidden/>
    <w:rsid w:val="00676A60"/>
    <w:rPr>
      <w:vanish/>
      <w:sz w:val="16"/>
    </w:rPr>
  </w:style>
  <w:style w:type="paragraph" w:customStyle="1" w:styleId="SideNote">
    <w:name w:val="Side Note"/>
    <w:basedOn w:val="BodyText"/>
    <w:next w:val="BodyText"/>
    <w:semiHidden/>
    <w:rsid w:val="00676A60"/>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76A60"/>
    <w:pPr>
      <w:framePr w:wrap="around"/>
      <w:numPr>
        <w:numId w:val="17"/>
      </w:numPr>
      <w:tabs>
        <w:tab w:val="left" w:pos="227"/>
      </w:tabs>
    </w:pPr>
  </w:style>
  <w:style w:type="paragraph" w:customStyle="1" w:styleId="SideNoteGraphic">
    <w:name w:val="Side Note Graphic"/>
    <w:basedOn w:val="SideNote"/>
    <w:next w:val="BodyText"/>
    <w:semiHidden/>
    <w:rsid w:val="00676A60"/>
    <w:pPr>
      <w:framePr w:wrap="around"/>
    </w:pPr>
  </w:style>
  <w:style w:type="paragraph" w:customStyle="1" w:styleId="TableBodyText">
    <w:name w:val="Table Body Text"/>
    <w:basedOn w:val="BodyText"/>
    <w:rsid w:val="00676A60"/>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676A60"/>
    <w:pPr>
      <w:numPr>
        <w:numId w:val="18"/>
      </w:numPr>
      <w:jc w:val="left"/>
    </w:pPr>
  </w:style>
  <w:style w:type="paragraph" w:customStyle="1" w:styleId="TableColumnHeading">
    <w:name w:val="Table Column Heading"/>
    <w:basedOn w:val="TableBodyText"/>
    <w:rsid w:val="00676A60"/>
    <w:pPr>
      <w:spacing w:before="80" w:after="80"/>
    </w:pPr>
    <w:rPr>
      <w:i/>
    </w:rPr>
  </w:style>
  <w:style w:type="paragraph" w:styleId="TOC2">
    <w:name w:val="toc 2"/>
    <w:basedOn w:val="BodyText"/>
    <w:semiHidden/>
    <w:rsid w:val="00676A60"/>
    <w:pPr>
      <w:tabs>
        <w:tab w:val="right" w:pos="8789"/>
      </w:tabs>
      <w:ind w:left="510" w:right="851" w:hanging="510"/>
      <w:jc w:val="left"/>
    </w:pPr>
    <w:rPr>
      <w:b/>
    </w:rPr>
  </w:style>
  <w:style w:type="paragraph" w:styleId="TOC3">
    <w:name w:val="toc 3"/>
    <w:basedOn w:val="TOC2"/>
    <w:semiHidden/>
    <w:rsid w:val="00676A60"/>
    <w:pPr>
      <w:spacing w:before="60"/>
      <w:ind w:left="1190" w:hanging="680"/>
    </w:pPr>
    <w:rPr>
      <w:b w:val="0"/>
    </w:rPr>
  </w:style>
  <w:style w:type="paragraph" w:styleId="TableofFigures">
    <w:name w:val="table of figures"/>
    <w:basedOn w:val="TOC3"/>
    <w:next w:val="BodyText"/>
    <w:semiHidden/>
    <w:rsid w:val="00676A60"/>
    <w:pPr>
      <w:ind w:left="737" w:hanging="737"/>
    </w:pPr>
  </w:style>
  <w:style w:type="paragraph" w:customStyle="1" w:styleId="TableTitle">
    <w:name w:val="Table Title"/>
    <w:basedOn w:val="Caption"/>
    <w:next w:val="Subtitle"/>
    <w:rsid w:val="00676A60"/>
    <w:rPr>
      <w:sz w:val="24"/>
    </w:rPr>
  </w:style>
  <w:style w:type="paragraph" w:customStyle="1" w:styleId="TableUnitsRow">
    <w:name w:val="Table Units Row"/>
    <w:basedOn w:val="TableBodyText"/>
    <w:rsid w:val="00676A60"/>
    <w:pPr>
      <w:spacing w:before="80" w:after="80"/>
    </w:pPr>
  </w:style>
  <w:style w:type="paragraph" w:styleId="TOC1">
    <w:name w:val="toc 1"/>
    <w:basedOn w:val="Normal"/>
    <w:next w:val="TOC2"/>
    <w:semiHidden/>
    <w:rsid w:val="00676A60"/>
    <w:pPr>
      <w:tabs>
        <w:tab w:val="right" w:pos="8789"/>
      </w:tabs>
      <w:spacing w:before="480" w:after="60" w:line="320" w:lineRule="exact"/>
      <w:ind w:left="1191" w:right="851" w:hanging="1191"/>
    </w:pPr>
    <w:rPr>
      <w:b/>
      <w:caps/>
    </w:rPr>
  </w:style>
  <w:style w:type="paragraph" w:styleId="TOC4">
    <w:name w:val="toc 4"/>
    <w:basedOn w:val="TOC3"/>
    <w:semiHidden/>
    <w:rsid w:val="00676A60"/>
    <w:pPr>
      <w:ind w:left="1191" w:firstLine="0"/>
    </w:pPr>
  </w:style>
  <w:style w:type="paragraph" w:customStyle="1" w:styleId="RecBBullet2">
    <w:name w:val="RecB Bullet 2"/>
    <w:basedOn w:val="ListBullet2"/>
    <w:rsid w:val="00676A60"/>
    <w:pPr>
      <w:pBdr>
        <w:left w:val="single" w:sz="24" w:space="29" w:color="C0C0C0"/>
      </w:pBdr>
    </w:pPr>
    <w:rPr>
      <w:b/>
      <w:i/>
    </w:rPr>
  </w:style>
  <w:style w:type="paragraph" w:styleId="BalloonText">
    <w:name w:val="Balloon Text"/>
    <w:basedOn w:val="Normal"/>
    <w:link w:val="BalloonTextChar"/>
    <w:rsid w:val="00676A60"/>
    <w:rPr>
      <w:rFonts w:ascii="Tahoma" w:hAnsi="Tahoma" w:cs="Tahoma"/>
      <w:sz w:val="16"/>
      <w:szCs w:val="16"/>
    </w:rPr>
  </w:style>
  <w:style w:type="character" w:customStyle="1" w:styleId="BalloonTextChar">
    <w:name w:val="Balloon Text Char"/>
    <w:basedOn w:val="DefaultParagraphFont"/>
    <w:link w:val="BalloonText"/>
    <w:rsid w:val="00676A60"/>
    <w:rPr>
      <w:rFonts w:ascii="Tahoma" w:hAnsi="Tahoma" w:cs="Tahoma"/>
      <w:sz w:val="16"/>
      <w:szCs w:val="16"/>
    </w:rPr>
  </w:style>
  <w:style w:type="character" w:customStyle="1" w:styleId="SubtitleChar">
    <w:name w:val="Subtitle Char"/>
    <w:basedOn w:val="DefaultParagraphFont"/>
    <w:link w:val="Subtitle"/>
    <w:rsid w:val="00676A60"/>
    <w:rPr>
      <w:rFonts w:ascii="Arial" w:hAnsi="Arial"/>
      <w:szCs w:val="24"/>
    </w:rPr>
  </w:style>
  <w:style w:type="paragraph" w:customStyle="1" w:styleId="BoxListBullet3">
    <w:name w:val="Box List Bullet 3"/>
    <w:basedOn w:val="ListBullet3"/>
    <w:rsid w:val="00676A60"/>
    <w:pPr>
      <w:numPr>
        <w:numId w:val="50"/>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676A60"/>
    <w:rPr>
      <w:i/>
      <w:iCs/>
    </w:rPr>
  </w:style>
  <w:style w:type="character" w:styleId="Hyperlink">
    <w:name w:val="Hyperlink"/>
    <w:basedOn w:val="DefaultParagraphFont"/>
    <w:rsid w:val="0097407C"/>
    <w:rPr>
      <w:color w:val="0000FF" w:themeColor="hyperlink"/>
      <w:u w:val="single"/>
    </w:rPr>
  </w:style>
  <w:style w:type="paragraph" w:styleId="NormalWeb">
    <w:name w:val="Normal (Web)"/>
    <w:basedOn w:val="Normal"/>
    <w:uiPriority w:val="99"/>
    <w:unhideWhenUsed/>
    <w:rsid w:val="00AC41AD"/>
    <w:pPr>
      <w:spacing w:after="240" w:line="360" w:lineRule="atLeast"/>
    </w:pPr>
    <w:rPr>
      <w:color w:val="000000"/>
      <w:szCs w:val="26"/>
    </w:rPr>
  </w:style>
  <w:style w:type="paragraph" w:styleId="CommentSubject">
    <w:name w:val="annotation subject"/>
    <w:basedOn w:val="CommentText"/>
    <w:next w:val="CommentText"/>
    <w:link w:val="CommentSubjectChar"/>
    <w:rsid w:val="00E12D2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12D2A"/>
    <w:rPr>
      <w:szCs w:val="24"/>
    </w:rPr>
  </w:style>
  <w:style w:type="character" w:customStyle="1" w:styleId="CommentSubjectChar">
    <w:name w:val="Comment Subject Char"/>
    <w:basedOn w:val="CommentTextChar"/>
    <w:link w:val="CommentSubject"/>
    <w:rsid w:val="00E12D2A"/>
    <w:rPr>
      <w:b/>
      <w:bCs/>
      <w:szCs w:val="24"/>
    </w:rPr>
  </w:style>
  <w:style w:type="paragraph" w:styleId="EndnoteText">
    <w:name w:val="endnote text"/>
    <w:basedOn w:val="Normal"/>
    <w:link w:val="EndnoteTextChar"/>
    <w:rsid w:val="00361D0E"/>
    <w:rPr>
      <w:sz w:val="20"/>
      <w:szCs w:val="20"/>
    </w:rPr>
  </w:style>
  <w:style w:type="character" w:customStyle="1" w:styleId="EndnoteTextChar">
    <w:name w:val="Endnote Text Char"/>
    <w:basedOn w:val="DefaultParagraphFont"/>
    <w:link w:val="EndnoteText"/>
    <w:rsid w:val="00361D0E"/>
  </w:style>
  <w:style w:type="character" w:styleId="EndnoteReference">
    <w:name w:val="endnote reference"/>
    <w:basedOn w:val="DefaultParagraphFont"/>
    <w:rsid w:val="00361D0E"/>
    <w:rPr>
      <w:vertAlign w:val="superscript"/>
    </w:rPr>
  </w:style>
  <w:style w:type="character" w:customStyle="1" w:styleId="BodyTextChar">
    <w:name w:val="Body Text Char"/>
    <w:basedOn w:val="DefaultParagraphFont"/>
    <w:link w:val="BodyText"/>
    <w:rsid w:val="00D536A6"/>
    <w:rPr>
      <w:sz w:val="26"/>
    </w:rPr>
  </w:style>
  <w:style w:type="character" w:customStyle="1" w:styleId="FootnoteTextChar">
    <w:name w:val="Footnote Text Char"/>
    <w:basedOn w:val="DefaultParagraphFont"/>
    <w:link w:val="FootnoteText"/>
    <w:rsid w:val="00D536A6"/>
    <w:rPr>
      <w:sz w:val="22"/>
    </w:rPr>
  </w:style>
  <w:style w:type="character" w:customStyle="1" w:styleId="Heading4Char">
    <w:name w:val="Heading 4 Char"/>
    <w:basedOn w:val="DefaultParagraphFont"/>
    <w:link w:val="Heading4"/>
    <w:rsid w:val="00897202"/>
    <w:rPr>
      <w:rFonts w:ascii="Arial" w:hAnsi="Arial"/>
      <w:i/>
      <w:sz w:val="24"/>
    </w:rPr>
  </w:style>
  <w:style w:type="character" w:customStyle="1" w:styleId="Heading5Char">
    <w:name w:val="Heading 5 Char"/>
    <w:basedOn w:val="DefaultParagraphFont"/>
    <w:link w:val="Heading5"/>
    <w:rsid w:val="00E86377"/>
    <w:rPr>
      <w:i/>
      <w:sz w:val="26"/>
    </w:rPr>
  </w:style>
  <w:style w:type="paragraph" w:customStyle="1" w:styleId="Default">
    <w:name w:val="Default"/>
    <w:rsid w:val="001F2269"/>
    <w:pPr>
      <w:autoSpaceDE w:val="0"/>
      <w:autoSpaceDN w:val="0"/>
      <w:adjustRightInd w:val="0"/>
    </w:pPr>
    <w:rPr>
      <w:rFonts w:ascii="Franklin Gothic Book" w:hAnsi="Franklin Gothic Book" w:cs="Franklin Gothic Book"/>
      <w:color w:val="000000"/>
      <w:sz w:val="24"/>
      <w:szCs w:val="24"/>
    </w:rPr>
  </w:style>
  <w:style w:type="paragraph" w:styleId="Revision">
    <w:name w:val="Revision"/>
    <w:hidden/>
    <w:uiPriority w:val="99"/>
    <w:semiHidden/>
    <w:rsid w:val="001F5190"/>
    <w:rPr>
      <w:sz w:val="24"/>
      <w:szCs w:val="24"/>
    </w:rPr>
  </w:style>
  <w:style w:type="character" w:customStyle="1" w:styleId="Heading3Char">
    <w:name w:val="Heading 3 Char"/>
    <w:basedOn w:val="DefaultParagraphFont"/>
    <w:link w:val="Heading3"/>
    <w:rsid w:val="0024482E"/>
    <w:rPr>
      <w:rFonts w:ascii="Arial" w:hAnsi="Arial"/>
      <w:b/>
      <w:sz w:val="26"/>
    </w:rPr>
  </w:style>
  <w:style w:type="character" w:customStyle="1" w:styleId="QuoteChar">
    <w:name w:val="Quote Char"/>
    <w:basedOn w:val="DefaultParagraphFont"/>
    <w:link w:val="Quote"/>
    <w:rsid w:val="00DF0629"/>
    <w:rPr>
      <w:sz w:val="24"/>
    </w:rPr>
  </w:style>
  <w:style w:type="character" w:styleId="FollowedHyperlink">
    <w:name w:val="FollowedHyperlink"/>
    <w:basedOn w:val="DefaultParagraphFont"/>
    <w:rsid w:val="00C3111B"/>
    <w:rPr>
      <w:color w:val="800080" w:themeColor="followedHyperlink"/>
      <w:u w:val="single"/>
    </w:rPr>
  </w:style>
  <w:style w:type="character" w:customStyle="1" w:styleId="CommentTextChar1">
    <w:name w:val="Comment Text Char1"/>
    <w:basedOn w:val="DefaultParagraphFont"/>
    <w:semiHidden/>
    <w:rsid w:val="0092680D"/>
    <w:rPr>
      <w:szCs w:val="24"/>
    </w:rPr>
  </w:style>
  <w:style w:type="paragraph" w:customStyle="1" w:styleId="BoxQuoteBullet">
    <w:name w:val="Box Quote Bullet"/>
    <w:basedOn w:val="BoxQuote"/>
    <w:next w:val="Box"/>
    <w:rsid w:val="00676A60"/>
    <w:pPr>
      <w:numPr>
        <w:numId w:val="48"/>
      </w:numPr>
      <w:ind w:left="568" w:hanging="284"/>
    </w:pPr>
  </w:style>
  <w:style w:type="paragraph" w:customStyle="1" w:styleId="InformationRequestBullet">
    <w:name w:val="Information Request Bullet"/>
    <w:basedOn w:val="ListBullet"/>
    <w:next w:val="BodyText"/>
    <w:rsid w:val="00676A60"/>
    <w:pPr>
      <w:numPr>
        <w:numId w:val="49"/>
      </w:numPr>
      <w:ind w:left="340" w:hanging="340"/>
    </w:pPr>
    <w:rPr>
      <w:rFonts w:ascii="Arial" w:hAnsi="Arial"/>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76A60"/>
    <w:rPr>
      <w:sz w:val="26"/>
      <w:szCs w:val="24"/>
    </w:rPr>
  </w:style>
  <w:style w:type="paragraph" w:styleId="Heading1">
    <w:name w:val="heading 1"/>
    <w:basedOn w:val="BodyText"/>
    <w:next w:val="BodyText"/>
    <w:rsid w:val="00676A60"/>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76A6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76A60"/>
    <w:pPr>
      <w:spacing w:before="560" w:line="320" w:lineRule="exact"/>
      <w:ind w:left="0" w:firstLine="0"/>
      <w:outlineLvl w:val="2"/>
    </w:pPr>
    <w:rPr>
      <w:sz w:val="26"/>
    </w:rPr>
  </w:style>
  <w:style w:type="paragraph" w:styleId="Heading4">
    <w:name w:val="heading 4"/>
    <w:basedOn w:val="Heading3"/>
    <w:next w:val="BodyText"/>
    <w:link w:val="Heading4Char"/>
    <w:qFormat/>
    <w:rsid w:val="00676A60"/>
    <w:pPr>
      <w:spacing w:before="480"/>
      <w:outlineLvl w:val="3"/>
    </w:pPr>
    <w:rPr>
      <w:b w:val="0"/>
      <w:i/>
      <w:sz w:val="24"/>
    </w:rPr>
  </w:style>
  <w:style w:type="paragraph" w:styleId="Heading5">
    <w:name w:val="heading 5"/>
    <w:basedOn w:val="Heading4"/>
    <w:next w:val="BodyText"/>
    <w:link w:val="Heading5Char"/>
    <w:qFormat/>
    <w:rsid w:val="00676A60"/>
    <w:pPr>
      <w:outlineLvl w:val="4"/>
    </w:pPr>
    <w:rPr>
      <w:rFonts w:ascii="Times New Roman" w:hAnsi="Times New Roman"/>
      <w:sz w:val="26"/>
    </w:rPr>
  </w:style>
  <w:style w:type="paragraph" w:styleId="Heading6">
    <w:name w:val="heading 6"/>
    <w:basedOn w:val="BodyText"/>
    <w:next w:val="BodyText"/>
    <w:rsid w:val="00676A60"/>
    <w:pPr>
      <w:spacing w:after="60"/>
      <w:jc w:val="left"/>
      <w:outlineLvl w:val="5"/>
    </w:pPr>
    <w:rPr>
      <w:i/>
      <w:sz w:val="22"/>
    </w:rPr>
  </w:style>
  <w:style w:type="paragraph" w:styleId="Heading7">
    <w:name w:val="heading 7"/>
    <w:basedOn w:val="BodyText"/>
    <w:next w:val="BodyText"/>
    <w:rsid w:val="00676A60"/>
    <w:pPr>
      <w:spacing w:after="60" w:line="240" w:lineRule="auto"/>
      <w:jc w:val="left"/>
      <w:outlineLvl w:val="6"/>
    </w:pPr>
    <w:rPr>
      <w:rFonts w:ascii="Arial" w:hAnsi="Arial"/>
      <w:sz w:val="20"/>
    </w:rPr>
  </w:style>
  <w:style w:type="paragraph" w:styleId="Heading8">
    <w:name w:val="heading 8"/>
    <w:basedOn w:val="BodyText"/>
    <w:next w:val="BodyText"/>
    <w:rsid w:val="00676A60"/>
    <w:pPr>
      <w:spacing w:after="60" w:line="240" w:lineRule="auto"/>
      <w:jc w:val="left"/>
      <w:outlineLvl w:val="7"/>
    </w:pPr>
    <w:rPr>
      <w:rFonts w:ascii="Arial" w:hAnsi="Arial"/>
      <w:i/>
      <w:sz w:val="20"/>
    </w:rPr>
  </w:style>
  <w:style w:type="paragraph" w:styleId="Heading9">
    <w:name w:val="heading 9"/>
    <w:basedOn w:val="BodyText"/>
    <w:next w:val="BodyText"/>
    <w:rsid w:val="00676A6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76A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6A60"/>
  </w:style>
  <w:style w:type="paragraph" w:styleId="BodyText">
    <w:name w:val="Body Text"/>
    <w:link w:val="BodyTextChar"/>
    <w:qFormat/>
    <w:rsid w:val="00676A60"/>
    <w:pPr>
      <w:spacing w:before="240" w:line="320" w:lineRule="atLeast"/>
      <w:jc w:val="both"/>
    </w:pPr>
    <w:rPr>
      <w:sz w:val="26"/>
    </w:rPr>
  </w:style>
  <w:style w:type="paragraph" w:styleId="Footer">
    <w:name w:val="footer"/>
    <w:basedOn w:val="BodyText"/>
    <w:semiHidden/>
    <w:rsid w:val="00676A60"/>
    <w:pPr>
      <w:spacing w:before="80" w:line="200" w:lineRule="exact"/>
      <w:ind w:right="6"/>
      <w:jc w:val="left"/>
    </w:pPr>
    <w:rPr>
      <w:caps/>
      <w:spacing w:val="-4"/>
      <w:sz w:val="16"/>
    </w:rPr>
  </w:style>
  <w:style w:type="paragraph" w:customStyle="1" w:styleId="FooterEnd">
    <w:name w:val="Footer End"/>
    <w:basedOn w:val="Footer"/>
    <w:rsid w:val="00676A60"/>
    <w:pPr>
      <w:spacing w:before="0" w:line="20" w:lineRule="exact"/>
    </w:pPr>
  </w:style>
  <w:style w:type="paragraph" w:styleId="Header">
    <w:name w:val="header"/>
    <w:basedOn w:val="BodyText"/>
    <w:rsid w:val="00676A6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76A60"/>
    <w:pPr>
      <w:spacing w:line="20" w:lineRule="exact"/>
    </w:pPr>
    <w:rPr>
      <w:sz w:val="16"/>
    </w:rPr>
  </w:style>
  <w:style w:type="paragraph" w:customStyle="1" w:styleId="HeaderEven">
    <w:name w:val="Header Even"/>
    <w:basedOn w:val="Header"/>
    <w:semiHidden/>
    <w:rsid w:val="00676A60"/>
  </w:style>
  <w:style w:type="paragraph" w:customStyle="1" w:styleId="HeaderOdd">
    <w:name w:val="Header Odd"/>
    <w:basedOn w:val="Header"/>
    <w:semiHidden/>
    <w:rsid w:val="00676A60"/>
  </w:style>
  <w:style w:type="character" w:styleId="PageNumber">
    <w:name w:val="page number"/>
    <w:basedOn w:val="DefaultParagraphFont"/>
    <w:rsid w:val="00676A60"/>
    <w:rPr>
      <w:rFonts w:ascii="Arial" w:hAnsi="Arial"/>
      <w:b/>
      <w:sz w:val="16"/>
    </w:rPr>
  </w:style>
  <w:style w:type="paragraph" w:customStyle="1" w:styleId="Abbreviation">
    <w:name w:val="Abbreviation"/>
    <w:basedOn w:val="BodyText"/>
    <w:rsid w:val="00676A60"/>
    <w:pPr>
      <w:spacing w:before="120"/>
      <w:ind w:left="2381" w:hanging="2381"/>
      <w:jc w:val="left"/>
    </w:pPr>
  </w:style>
  <w:style w:type="paragraph" w:customStyle="1" w:styleId="Box">
    <w:name w:val="Box"/>
    <w:basedOn w:val="BodyText"/>
    <w:qFormat/>
    <w:rsid w:val="00676A60"/>
    <w:pPr>
      <w:keepNext/>
      <w:spacing w:before="120" w:line="280" w:lineRule="atLeast"/>
    </w:pPr>
    <w:rPr>
      <w:rFonts w:ascii="Arial" w:hAnsi="Arial"/>
      <w:sz w:val="22"/>
    </w:rPr>
  </w:style>
  <w:style w:type="paragraph" w:customStyle="1" w:styleId="BoxContinued">
    <w:name w:val="Box Continued"/>
    <w:basedOn w:val="BodyText"/>
    <w:next w:val="BodyText"/>
    <w:semiHidden/>
    <w:rsid w:val="00676A60"/>
    <w:pPr>
      <w:spacing w:before="180" w:line="220" w:lineRule="exact"/>
      <w:jc w:val="right"/>
    </w:pPr>
    <w:rPr>
      <w:rFonts w:ascii="Arial" w:hAnsi="Arial"/>
      <w:sz w:val="18"/>
    </w:rPr>
  </w:style>
  <w:style w:type="paragraph" w:customStyle="1" w:styleId="BoxHeading1">
    <w:name w:val="Box Heading 1"/>
    <w:basedOn w:val="BodyText"/>
    <w:next w:val="Box"/>
    <w:rsid w:val="00676A60"/>
    <w:pPr>
      <w:keepNext/>
      <w:spacing w:before="200" w:line="280" w:lineRule="atLeast"/>
    </w:pPr>
    <w:rPr>
      <w:rFonts w:ascii="Arial" w:hAnsi="Arial"/>
      <w:b/>
      <w:sz w:val="22"/>
    </w:rPr>
  </w:style>
  <w:style w:type="paragraph" w:customStyle="1" w:styleId="BoxHeading2">
    <w:name w:val="Box Heading 2"/>
    <w:basedOn w:val="BoxHeading1"/>
    <w:next w:val="Normal"/>
    <w:rsid w:val="00676A60"/>
    <w:rPr>
      <w:b w:val="0"/>
      <w:i/>
    </w:rPr>
  </w:style>
  <w:style w:type="paragraph" w:customStyle="1" w:styleId="BoxListBullet">
    <w:name w:val="Box List Bullet"/>
    <w:basedOn w:val="BodyText"/>
    <w:rsid w:val="00676A60"/>
    <w:pPr>
      <w:keepNext/>
      <w:numPr>
        <w:numId w:val="1"/>
      </w:numPr>
      <w:spacing w:before="60" w:line="280" w:lineRule="atLeast"/>
    </w:pPr>
    <w:rPr>
      <w:rFonts w:ascii="Arial" w:hAnsi="Arial"/>
      <w:sz w:val="22"/>
    </w:rPr>
  </w:style>
  <w:style w:type="paragraph" w:customStyle="1" w:styleId="BoxListBullet2">
    <w:name w:val="Box List Bullet 2"/>
    <w:basedOn w:val="BodyText"/>
    <w:rsid w:val="00676A60"/>
    <w:pPr>
      <w:keepNext/>
      <w:numPr>
        <w:numId w:val="2"/>
      </w:numPr>
      <w:spacing w:before="60" w:line="280" w:lineRule="atLeast"/>
    </w:pPr>
    <w:rPr>
      <w:rFonts w:ascii="Arial" w:hAnsi="Arial"/>
      <w:sz w:val="22"/>
    </w:rPr>
  </w:style>
  <w:style w:type="paragraph" w:customStyle="1" w:styleId="BoxListNumber">
    <w:name w:val="Box List Number"/>
    <w:basedOn w:val="BodyText"/>
    <w:rsid w:val="00676A60"/>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676A60"/>
    <w:pPr>
      <w:numPr>
        <w:ilvl w:val="1"/>
      </w:numPr>
    </w:pPr>
  </w:style>
  <w:style w:type="paragraph" w:customStyle="1" w:styleId="BoxQuote">
    <w:name w:val="Box Quote"/>
    <w:basedOn w:val="BodyText"/>
    <w:next w:val="Box"/>
    <w:rsid w:val="00676A60"/>
    <w:pPr>
      <w:keepNext/>
      <w:spacing w:before="60" w:line="260" w:lineRule="exact"/>
      <w:ind w:left="284"/>
    </w:pPr>
    <w:rPr>
      <w:rFonts w:ascii="Arial" w:hAnsi="Arial"/>
      <w:sz w:val="20"/>
    </w:rPr>
  </w:style>
  <w:style w:type="paragraph" w:customStyle="1" w:styleId="Note">
    <w:name w:val="Note"/>
    <w:basedOn w:val="BodyText"/>
    <w:next w:val="BodyText"/>
    <w:rsid w:val="00676A60"/>
    <w:pPr>
      <w:keepLines/>
      <w:spacing w:before="80" w:line="220" w:lineRule="exact"/>
    </w:pPr>
    <w:rPr>
      <w:rFonts w:ascii="Arial" w:hAnsi="Arial"/>
      <w:sz w:val="18"/>
    </w:rPr>
  </w:style>
  <w:style w:type="paragraph" w:customStyle="1" w:styleId="Source">
    <w:name w:val="Source"/>
    <w:basedOn w:val="Note"/>
    <w:next w:val="BodyText"/>
    <w:rsid w:val="00676A60"/>
    <w:pPr>
      <w:spacing w:after="120"/>
    </w:pPr>
  </w:style>
  <w:style w:type="paragraph" w:customStyle="1" w:styleId="BoxSource">
    <w:name w:val="Box Source"/>
    <w:basedOn w:val="Source"/>
    <w:next w:val="BodyText"/>
    <w:rsid w:val="00676A60"/>
    <w:pPr>
      <w:spacing w:before="180" w:after="0"/>
    </w:pPr>
  </w:style>
  <w:style w:type="paragraph" w:customStyle="1" w:styleId="BoxSpace">
    <w:name w:val="Box Space"/>
    <w:basedOn w:val="BodyText"/>
    <w:rsid w:val="00676A60"/>
    <w:pPr>
      <w:keepNext/>
      <w:spacing w:before="360" w:line="80" w:lineRule="exact"/>
      <w:jc w:val="left"/>
    </w:pPr>
  </w:style>
  <w:style w:type="paragraph" w:styleId="Caption">
    <w:name w:val="caption"/>
    <w:basedOn w:val="Normal"/>
    <w:next w:val="BodyText"/>
    <w:rsid w:val="00676A6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76A60"/>
    <w:pPr>
      <w:spacing w:before="120" w:after="0"/>
      <w:ind w:left="1304" w:hanging="1304"/>
    </w:pPr>
    <w:rPr>
      <w:sz w:val="24"/>
    </w:rPr>
  </w:style>
  <w:style w:type="paragraph" w:customStyle="1" w:styleId="BoxSubtitle">
    <w:name w:val="Box Subtitle"/>
    <w:basedOn w:val="BoxTitle"/>
    <w:next w:val="Normal"/>
    <w:rsid w:val="00676A60"/>
    <w:pPr>
      <w:spacing w:after="80" w:line="200" w:lineRule="exact"/>
      <w:ind w:firstLine="0"/>
    </w:pPr>
    <w:rPr>
      <w:b w:val="0"/>
      <w:sz w:val="20"/>
    </w:rPr>
  </w:style>
  <w:style w:type="paragraph" w:customStyle="1" w:styleId="Chapter">
    <w:name w:val="Chapter"/>
    <w:basedOn w:val="Heading1"/>
    <w:next w:val="BodyText"/>
    <w:semiHidden/>
    <w:rsid w:val="00676A60"/>
    <w:pPr>
      <w:ind w:left="0" w:firstLine="0"/>
      <w:outlineLvl w:val="9"/>
    </w:pPr>
  </w:style>
  <w:style w:type="paragraph" w:customStyle="1" w:styleId="ChapterSummary">
    <w:name w:val="Chapter Summary"/>
    <w:basedOn w:val="BodyText"/>
    <w:rsid w:val="00676A60"/>
    <w:pPr>
      <w:ind w:left="907"/>
    </w:pPr>
    <w:rPr>
      <w:rFonts w:ascii="Arial" w:hAnsi="Arial"/>
      <w:b/>
      <w:sz w:val="22"/>
    </w:rPr>
  </w:style>
  <w:style w:type="character" w:styleId="CommentReference">
    <w:name w:val="annotation reference"/>
    <w:basedOn w:val="DefaultParagraphFont"/>
    <w:semiHidden/>
    <w:rsid w:val="00676A60"/>
    <w:rPr>
      <w:b/>
      <w:vanish/>
      <w:color w:val="FF00FF"/>
      <w:sz w:val="20"/>
    </w:rPr>
  </w:style>
  <w:style w:type="paragraph" w:styleId="CommentText">
    <w:name w:val="annotation text"/>
    <w:basedOn w:val="Normal"/>
    <w:link w:val="CommentTextChar"/>
    <w:semiHidden/>
    <w:rsid w:val="00676A60"/>
    <w:pPr>
      <w:spacing w:before="120" w:line="240" w:lineRule="atLeast"/>
      <w:ind w:left="567" w:hanging="567"/>
    </w:pPr>
    <w:rPr>
      <w:sz w:val="20"/>
    </w:rPr>
  </w:style>
  <w:style w:type="paragraph" w:customStyle="1" w:styleId="Continued">
    <w:name w:val="Continued"/>
    <w:basedOn w:val="BoxContinued"/>
    <w:next w:val="BodyText"/>
    <w:rsid w:val="00676A60"/>
  </w:style>
  <w:style w:type="character" w:customStyle="1" w:styleId="DocumentInfo">
    <w:name w:val="Document Info"/>
    <w:basedOn w:val="DefaultParagraphFont"/>
    <w:semiHidden/>
    <w:rsid w:val="00676A60"/>
    <w:rPr>
      <w:rFonts w:ascii="Arial" w:hAnsi="Arial"/>
      <w:sz w:val="14"/>
    </w:rPr>
  </w:style>
  <w:style w:type="character" w:customStyle="1" w:styleId="DraftingNote">
    <w:name w:val="Drafting Note"/>
    <w:basedOn w:val="DefaultParagraphFont"/>
    <w:rsid w:val="00676A60"/>
    <w:rPr>
      <w:b/>
      <w:color w:val="FF0000"/>
      <w:sz w:val="24"/>
      <w:u w:val="dotted"/>
    </w:rPr>
  </w:style>
  <w:style w:type="paragraph" w:customStyle="1" w:styleId="Figure">
    <w:name w:val="Figure"/>
    <w:basedOn w:val="BodyText"/>
    <w:rsid w:val="00676A60"/>
    <w:pPr>
      <w:keepNext/>
      <w:spacing w:before="120" w:after="120" w:line="240" w:lineRule="atLeast"/>
      <w:jc w:val="center"/>
    </w:pPr>
  </w:style>
  <w:style w:type="paragraph" w:customStyle="1" w:styleId="FigureTitle">
    <w:name w:val="Figure Title"/>
    <w:basedOn w:val="Caption"/>
    <w:next w:val="Subtitle"/>
    <w:rsid w:val="00676A60"/>
    <w:rPr>
      <w:sz w:val="24"/>
    </w:rPr>
  </w:style>
  <w:style w:type="paragraph" w:styleId="Subtitle">
    <w:name w:val="Subtitle"/>
    <w:basedOn w:val="Caption"/>
    <w:link w:val="SubtitleChar"/>
    <w:rsid w:val="00676A60"/>
    <w:pPr>
      <w:spacing w:before="0" w:line="200" w:lineRule="exact"/>
      <w:ind w:firstLine="0"/>
    </w:pPr>
    <w:rPr>
      <w:b w:val="0"/>
      <w:sz w:val="20"/>
    </w:rPr>
  </w:style>
  <w:style w:type="paragraph" w:customStyle="1" w:styleId="Finding">
    <w:name w:val="Finding"/>
    <w:basedOn w:val="BodyText"/>
    <w:rsid w:val="00676A60"/>
    <w:pPr>
      <w:keepLines/>
      <w:spacing w:before="180"/>
    </w:pPr>
    <w:rPr>
      <w:i/>
    </w:rPr>
  </w:style>
  <w:style w:type="paragraph" w:customStyle="1" w:styleId="FindingBullet">
    <w:name w:val="Finding Bullet"/>
    <w:basedOn w:val="Finding"/>
    <w:rsid w:val="00676A60"/>
    <w:pPr>
      <w:numPr>
        <w:numId w:val="3"/>
      </w:numPr>
      <w:spacing w:before="80"/>
    </w:pPr>
  </w:style>
  <w:style w:type="paragraph" w:customStyle="1" w:styleId="FindingNoTitle">
    <w:name w:val="Finding NoTitle"/>
    <w:basedOn w:val="Finding"/>
    <w:rsid w:val="00676A60"/>
    <w:pPr>
      <w:spacing w:before="240"/>
    </w:pPr>
  </w:style>
  <w:style w:type="paragraph" w:customStyle="1" w:styleId="RecTitle">
    <w:name w:val="Rec Title"/>
    <w:basedOn w:val="BodyText"/>
    <w:next w:val="Normal"/>
    <w:rsid w:val="00676A60"/>
    <w:pPr>
      <w:keepNext/>
      <w:keepLines/>
    </w:pPr>
    <w:rPr>
      <w:caps/>
      <w:sz w:val="20"/>
    </w:rPr>
  </w:style>
  <w:style w:type="paragraph" w:customStyle="1" w:styleId="FindingTitle">
    <w:name w:val="Finding Title"/>
    <w:basedOn w:val="RecTitle"/>
    <w:next w:val="Finding"/>
    <w:rsid w:val="00676A60"/>
    <w:pPr>
      <w:framePr w:wrap="notBeside" w:hAnchor="text"/>
    </w:pPr>
  </w:style>
  <w:style w:type="character" w:styleId="FootnoteReference">
    <w:name w:val="footnote reference"/>
    <w:basedOn w:val="DefaultParagraphFont"/>
    <w:semiHidden/>
    <w:rsid w:val="00676A60"/>
    <w:rPr>
      <w:rFonts w:ascii="Times New Roman" w:hAnsi="Times New Roman"/>
      <w:position w:val="6"/>
      <w:sz w:val="22"/>
      <w:vertAlign w:val="baseline"/>
    </w:rPr>
  </w:style>
  <w:style w:type="paragraph" w:styleId="FootnoteText">
    <w:name w:val="footnote text"/>
    <w:basedOn w:val="BodyText"/>
    <w:link w:val="FootnoteTextChar"/>
    <w:rsid w:val="00676A60"/>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676A60"/>
    <w:pPr>
      <w:spacing w:before="360" w:after="120"/>
    </w:pPr>
    <w:rPr>
      <w:rFonts w:ascii="Arial" w:hAnsi="Arial"/>
      <w:sz w:val="24"/>
    </w:rPr>
  </w:style>
  <w:style w:type="paragraph" w:customStyle="1" w:styleId="Jurisdictioncommentsbodytext">
    <w:name w:val="Jurisdiction comments body text"/>
    <w:rsid w:val="00676A60"/>
    <w:pPr>
      <w:spacing w:after="140"/>
      <w:jc w:val="both"/>
    </w:pPr>
    <w:rPr>
      <w:rFonts w:ascii="Arial" w:hAnsi="Arial"/>
      <w:sz w:val="24"/>
      <w:lang w:eastAsia="en-US"/>
    </w:rPr>
  </w:style>
  <w:style w:type="paragraph" w:customStyle="1" w:styleId="Jurisdictioncommentsheading">
    <w:name w:val="Jurisdiction comments heading"/>
    <w:rsid w:val="00676A6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76A60"/>
    <w:pPr>
      <w:numPr>
        <w:numId w:val="4"/>
      </w:numPr>
      <w:spacing w:after="140"/>
      <w:jc w:val="both"/>
    </w:pPr>
    <w:rPr>
      <w:rFonts w:ascii="Arial" w:hAnsi="Arial"/>
      <w:sz w:val="24"/>
      <w:lang w:eastAsia="en-US"/>
    </w:rPr>
  </w:style>
  <w:style w:type="paragraph" w:styleId="ListBullet">
    <w:name w:val="List Bullet"/>
    <w:basedOn w:val="BodyText"/>
    <w:rsid w:val="00676A60"/>
    <w:pPr>
      <w:numPr>
        <w:numId w:val="6"/>
      </w:numPr>
      <w:spacing w:before="120"/>
    </w:pPr>
  </w:style>
  <w:style w:type="paragraph" w:styleId="ListBullet2">
    <w:name w:val="List Bullet 2"/>
    <w:basedOn w:val="BodyText"/>
    <w:rsid w:val="00676A60"/>
    <w:pPr>
      <w:numPr>
        <w:numId w:val="8"/>
      </w:numPr>
      <w:spacing w:before="120"/>
    </w:pPr>
  </w:style>
  <w:style w:type="paragraph" w:styleId="ListBullet3">
    <w:name w:val="List Bullet 3"/>
    <w:basedOn w:val="BodyText"/>
    <w:rsid w:val="00676A60"/>
    <w:pPr>
      <w:numPr>
        <w:numId w:val="10"/>
      </w:numPr>
      <w:spacing w:before="120"/>
    </w:pPr>
  </w:style>
  <w:style w:type="paragraph" w:styleId="ListNumber">
    <w:name w:val="List Number"/>
    <w:basedOn w:val="BodyText"/>
    <w:rsid w:val="00676A60"/>
    <w:pPr>
      <w:numPr>
        <w:numId w:val="32"/>
      </w:numPr>
      <w:spacing w:before="120"/>
    </w:pPr>
  </w:style>
  <w:style w:type="paragraph" w:styleId="ListNumber2">
    <w:name w:val="List Number 2"/>
    <w:basedOn w:val="ListNumber"/>
    <w:rsid w:val="00676A60"/>
    <w:pPr>
      <w:numPr>
        <w:ilvl w:val="1"/>
      </w:numPr>
    </w:pPr>
  </w:style>
  <w:style w:type="paragraph" w:styleId="ListNumber3">
    <w:name w:val="List Number 3"/>
    <w:basedOn w:val="ListNumber2"/>
    <w:rsid w:val="00676A60"/>
    <w:pPr>
      <w:numPr>
        <w:ilvl w:val="2"/>
      </w:numPr>
      <w:ind w:left="1248" w:hanging="454"/>
    </w:pPr>
  </w:style>
  <w:style w:type="character" w:customStyle="1" w:styleId="NoteLabel">
    <w:name w:val="Note Label"/>
    <w:basedOn w:val="DefaultParagraphFont"/>
    <w:rsid w:val="00676A60"/>
    <w:rPr>
      <w:rFonts w:ascii="Arial" w:hAnsi="Arial"/>
      <w:b/>
      <w:position w:val="6"/>
      <w:sz w:val="18"/>
    </w:rPr>
  </w:style>
  <w:style w:type="paragraph" w:customStyle="1" w:styleId="PartDivider">
    <w:name w:val="Part Divider"/>
    <w:basedOn w:val="BodyText"/>
    <w:next w:val="BodyText"/>
    <w:semiHidden/>
    <w:rsid w:val="00676A60"/>
    <w:pPr>
      <w:spacing w:before="0" w:line="40" w:lineRule="exact"/>
      <w:jc w:val="right"/>
    </w:pPr>
    <w:rPr>
      <w:smallCaps/>
      <w:sz w:val="16"/>
    </w:rPr>
  </w:style>
  <w:style w:type="paragraph" w:customStyle="1" w:styleId="PartNumber">
    <w:name w:val="Part Number"/>
    <w:basedOn w:val="BodyText"/>
    <w:next w:val="BodyText"/>
    <w:semiHidden/>
    <w:rsid w:val="00676A60"/>
    <w:pPr>
      <w:spacing w:before="4000" w:line="320" w:lineRule="exact"/>
      <w:ind w:left="6634"/>
      <w:jc w:val="right"/>
    </w:pPr>
    <w:rPr>
      <w:smallCaps/>
      <w:spacing w:val="60"/>
      <w:sz w:val="32"/>
    </w:rPr>
  </w:style>
  <w:style w:type="paragraph" w:customStyle="1" w:styleId="PartTitle">
    <w:name w:val="Part Title"/>
    <w:basedOn w:val="BodyText"/>
    <w:semiHidden/>
    <w:rsid w:val="00676A60"/>
    <w:pPr>
      <w:spacing w:before="160" w:after="1360" w:line="520" w:lineRule="exact"/>
      <w:ind w:right="2381"/>
      <w:jc w:val="right"/>
    </w:pPr>
    <w:rPr>
      <w:smallCaps/>
      <w:sz w:val="52"/>
    </w:rPr>
  </w:style>
  <w:style w:type="paragraph" w:styleId="Quote">
    <w:name w:val="Quote"/>
    <w:basedOn w:val="BodyText"/>
    <w:next w:val="BodyText"/>
    <w:link w:val="QuoteChar"/>
    <w:qFormat/>
    <w:rsid w:val="00676A60"/>
    <w:pPr>
      <w:spacing w:before="120" w:line="280" w:lineRule="exact"/>
      <w:ind w:left="340"/>
    </w:pPr>
    <w:rPr>
      <w:sz w:val="24"/>
    </w:rPr>
  </w:style>
  <w:style w:type="paragraph" w:customStyle="1" w:styleId="QuoteBullet">
    <w:name w:val="Quote Bullet"/>
    <w:basedOn w:val="Quote"/>
    <w:rsid w:val="00676A60"/>
    <w:pPr>
      <w:numPr>
        <w:numId w:val="14"/>
      </w:numPr>
    </w:pPr>
  </w:style>
  <w:style w:type="paragraph" w:customStyle="1" w:styleId="Rec">
    <w:name w:val="Rec"/>
    <w:basedOn w:val="BodyText"/>
    <w:rsid w:val="00676A60"/>
    <w:pPr>
      <w:keepLines/>
      <w:spacing w:before="180"/>
    </w:pPr>
    <w:rPr>
      <w:b/>
      <w:i/>
    </w:rPr>
  </w:style>
  <w:style w:type="paragraph" w:customStyle="1" w:styleId="RecBullet">
    <w:name w:val="Rec Bullet"/>
    <w:basedOn w:val="Rec"/>
    <w:rsid w:val="00676A60"/>
    <w:pPr>
      <w:numPr>
        <w:numId w:val="15"/>
      </w:numPr>
      <w:spacing w:before="80"/>
    </w:pPr>
  </w:style>
  <w:style w:type="paragraph" w:customStyle="1" w:styleId="RecB">
    <w:name w:val="RecB"/>
    <w:basedOn w:val="Normal"/>
    <w:rsid w:val="00676A6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76A60"/>
    <w:pPr>
      <w:numPr>
        <w:numId w:val="16"/>
      </w:numPr>
      <w:spacing w:before="80"/>
    </w:pPr>
  </w:style>
  <w:style w:type="paragraph" w:customStyle="1" w:styleId="RecBNoTitle">
    <w:name w:val="RecB NoTitle"/>
    <w:basedOn w:val="RecB"/>
    <w:rsid w:val="00676A60"/>
    <w:pPr>
      <w:spacing w:before="240"/>
    </w:pPr>
  </w:style>
  <w:style w:type="paragraph" w:customStyle="1" w:styleId="Reference">
    <w:name w:val="Reference"/>
    <w:basedOn w:val="BodyText"/>
    <w:rsid w:val="00676A60"/>
    <w:pPr>
      <w:spacing w:before="120"/>
      <w:ind w:left="340" w:hanging="340"/>
    </w:pPr>
  </w:style>
  <w:style w:type="paragraph" w:customStyle="1" w:styleId="SequenceInfo">
    <w:name w:val="Sequence Info"/>
    <w:basedOn w:val="BodyText"/>
    <w:semiHidden/>
    <w:rsid w:val="00676A60"/>
    <w:rPr>
      <w:vanish/>
      <w:sz w:val="16"/>
    </w:rPr>
  </w:style>
  <w:style w:type="paragraph" w:customStyle="1" w:styleId="SideNote">
    <w:name w:val="Side Note"/>
    <w:basedOn w:val="BodyText"/>
    <w:next w:val="BodyText"/>
    <w:semiHidden/>
    <w:rsid w:val="00676A60"/>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76A60"/>
    <w:pPr>
      <w:framePr w:wrap="around"/>
      <w:numPr>
        <w:numId w:val="17"/>
      </w:numPr>
      <w:tabs>
        <w:tab w:val="left" w:pos="227"/>
      </w:tabs>
    </w:pPr>
  </w:style>
  <w:style w:type="paragraph" w:customStyle="1" w:styleId="SideNoteGraphic">
    <w:name w:val="Side Note Graphic"/>
    <w:basedOn w:val="SideNote"/>
    <w:next w:val="BodyText"/>
    <w:semiHidden/>
    <w:rsid w:val="00676A60"/>
    <w:pPr>
      <w:framePr w:wrap="around"/>
    </w:pPr>
  </w:style>
  <w:style w:type="paragraph" w:customStyle="1" w:styleId="TableBodyText">
    <w:name w:val="Table Body Text"/>
    <w:basedOn w:val="BodyText"/>
    <w:rsid w:val="00676A60"/>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676A60"/>
    <w:pPr>
      <w:numPr>
        <w:numId w:val="18"/>
      </w:numPr>
      <w:jc w:val="left"/>
    </w:pPr>
  </w:style>
  <w:style w:type="paragraph" w:customStyle="1" w:styleId="TableColumnHeading">
    <w:name w:val="Table Column Heading"/>
    <w:basedOn w:val="TableBodyText"/>
    <w:rsid w:val="00676A60"/>
    <w:pPr>
      <w:spacing w:before="80" w:after="80"/>
    </w:pPr>
    <w:rPr>
      <w:i/>
    </w:rPr>
  </w:style>
  <w:style w:type="paragraph" w:styleId="TOC2">
    <w:name w:val="toc 2"/>
    <w:basedOn w:val="BodyText"/>
    <w:semiHidden/>
    <w:rsid w:val="00676A60"/>
    <w:pPr>
      <w:tabs>
        <w:tab w:val="right" w:pos="8789"/>
      </w:tabs>
      <w:ind w:left="510" w:right="851" w:hanging="510"/>
      <w:jc w:val="left"/>
    </w:pPr>
    <w:rPr>
      <w:b/>
    </w:rPr>
  </w:style>
  <w:style w:type="paragraph" w:styleId="TOC3">
    <w:name w:val="toc 3"/>
    <w:basedOn w:val="TOC2"/>
    <w:semiHidden/>
    <w:rsid w:val="00676A60"/>
    <w:pPr>
      <w:spacing w:before="60"/>
      <w:ind w:left="1190" w:hanging="680"/>
    </w:pPr>
    <w:rPr>
      <w:b w:val="0"/>
    </w:rPr>
  </w:style>
  <w:style w:type="paragraph" w:styleId="TableofFigures">
    <w:name w:val="table of figures"/>
    <w:basedOn w:val="TOC3"/>
    <w:next w:val="BodyText"/>
    <w:semiHidden/>
    <w:rsid w:val="00676A60"/>
    <w:pPr>
      <w:ind w:left="737" w:hanging="737"/>
    </w:pPr>
  </w:style>
  <w:style w:type="paragraph" w:customStyle="1" w:styleId="TableTitle">
    <w:name w:val="Table Title"/>
    <w:basedOn w:val="Caption"/>
    <w:next w:val="Subtitle"/>
    <w:rsid w:val="00676A60"/>
    <w:rPr>
      <w:sz w:val="24"/>
    </w:rPr>
  </w:style>
  <w:style w:type="paragraph" w:customStyle="1" w:styleId="TableUnitsRow">
    <w:name w:val="Table Units Row"/>
    <w:basedOn w:val="TableBodyText"/>
    <w:rsid w:val="00676A60"/>
    <w:pPr>
      <w:spacing w:before="80" w:after="80"/>
    </w:pPr>
  </w:style>
  <w:style w:type="paragraph" w:styleId="TOC1">
    <w:name w:val="toc 1"/>
    <w:basedOn w:val="Normal"/>
    <w:next w:val="TOC2"/>
    <w:semiHidden/>
    <w:rsid w:val="00676A60"/>
    <w:pPr>
      <w:tabs>
        <w:tab w:val="right" w:pos="8789"/>
      </w:tabs>
      <w:spacing w:before="480" w:after="60" w:line="320" w:lineRule="exact"/>
      <w:ind w:left="1191" w:right="851" w:hanging="1191"/>
    </w:pPr>
    <w:rPr>
      <w:b/>
      <w:caps/>
    </w:rPr>
  </w:style>
  <w:style w:type="paragraph" w:styleId="TOC4">
    <w:name w:val="toc 4"/>
    <w:basedOn w:val="TOC3"/>
    <w:semiHidden/>
    <w:rsid w:val="00676A60"/>
    <w:pPr>
      <w:ind w:left="1191" w:firstLine="0"/>
    </w:pPr>
  </w:style>
  <w:style w:type="paragraph" w:customStyle="1" w:styleId="RecBBullet2">
    <w:name w:val="RecB Bullet 2"/>
    <w:basedOn w:val="ListBullet2"/>
    <w:rsid w:val="00676A60"/>
    <w:pPr>
      <w:pBdr>
        <w:left w:val="single" w:sz="24" w:space="29" w:color="C0C0C0"/>
      </w:pBdr>
    </w:pPr>
    <w:rPr>
      <w:b/>
      <w:i/>
    </w:rPr>
  </w:style>
  <w:style w:type="paragraph" w:styleId="BalloonText">
    <w:name w:val="Balloon Text"/>
    <w:basedOn w:val="Normal"/>
    <w:link w:val="BalloonTextChar"/>
    <w:rsid w:val="00676A60"/>
    <w:rPr>
      <w:rFonts w:ascii="Tahoma" w:hAnsi="Tahoma" w:cs="Tahoma"/>
      <w:sz w:val="16"/>
      <w:szCs w:val="16"/>
    </w:rPr>
  </w:style>
  <w:style w:type="character" w:customStyle="1" w:styleId="BalloonTextChar">
    <w:name w:val="Balloon Text Char"/>
    <w:basedOn w:val="DefaultParagraphFont"/>
    <w:link w:val="BalloonText"/>
    <w:rsid w:val="00676A60"/>
    <w:rPr>
      <w:rFonts w:ascii="Tahoma" w:hAnsi="Tahoma" w:cs="Tahoma"/>
      <w:sz w:val="16"/>
      <w:szCs w:val="16"/>
    </w:rPr>
  </w:style>
  <w:style w:type="character" w:customStyle="1" w:styleId="SubtitleChar">
    <w:name w:val="Subtitle Char"/>
    <w:basedOn w:val="DefaultParagraphFont"/>
    <w:link w:val="Subtitle"/>
    <w:rsid w:val="00676A60"/>
    <w:rPr>
      <w:rFonts w:ascii="Arial" w:hAnsi="Arial"/>
      <w:szCs w:val="24"/>
    </w:rPr>
  </w:style>
  <w:style w:type="paragraph" w:customStyle="1" w:styleId="BoxListBullet3">
    <w:name w:val="Box List Bullet 3"/>
    <w:basedOn w:val="ListBullet3"/>
    <w:rsid w:val="00676A60"/>
    <w:pPr>
      <w:numPr>
        <w:numId w:val="50"/>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676A60"/>
    <w:rPr>
      <w:i/>
      <w:iCs/>
    </w:rPr>
  </w:style>
  <w:style w:type="character" w:styleId="Hyperlink">
    <w:name w:val="Hyperlink"/>
    <w:basedOn w:val="DefaultParagraphFont"/>
    <w:rsid w:val="0097407C"/>
    <w:rPr>
      <w:color w:val="0000FF" w:themeColor="hyperlink"/>
      <w:u w:val="single"/>
    </w:rPr>
  </w:style>
  <w:style w:type="paragraph" w:styleId="NormalWeb">
    <w:name w:val="Normal (Web)"/>
    <w:basedOn w:val="Normal"/>
    <w:uiPriority w:val="99"/>
    <w:unhideWhenUsed/>
    <w:rsid w:val="00AC41AD"/>
    <w:pPr>
      <w:spacing w:after="240" w:line="360" w:lineRule="atLeast"/>
    </w:pPr>
    <w:rPr>
      <w:color w:val="000000"/>
      <w:szCs w:val="26"/>
    </w:rPr>
  </w:style>
  <w:style w:type="paragraph" w:styleId="CommentSubject">
    <w:name w:val="annotation subject"/>
    <w:basedOn w:val="CommentText"/>
    <w:next w:val="CommentText"/>
    <w:link w:val="CommentSubjectChar"/>
    <w:rsid w:val="00E12D2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12D2A"/>
    <w:rPr>
      <w:szCs w:val="24"/>
    </w:rPr>
  </w:style>
  <w:style w:type="character" w:customStyle="1" w:styleId="CommentSubjectChar">
    <w:name w:val="Comment Subject Char"/>
    <w:basedOn w:val="CommentTextChar"/>
    <w:link w:val="CommentSubject"/>
    <w:rsid w:val="00E12D2A"/>
    <w:rPr>
      <w:b/>
      <w:bCs/>
      <w:szCs w:val="24"/>
    </w:rPr>
  </w:style>
  <w:style w:type="paragraph" w:styleId="EndnoteText">
    <w:name w:val="endnote text"/>
    <w:basedOn w:val="Normal"/>
    <w:link w:val="EndnoteTextChar"/>
    <w:rsid w:val="00361D0E"/>
    <w:rPr>
      <w:sz w:val="20"/>
      <w:szCs w:val="20"/>
    </w:rPr>
  </w:style>
  <w:style w:type="character" w:customStyle="1" w:styleId="EndnoteTextChar">
    <w:name w:val="Endnote Text Char"/>
    <w:basedOn w:val="DefaultParagraphFont"/>
    <w:link w:val="EndnoteText"/>
    <w:rsid w:val="00361D0E"/>
  </w:style>
  <w:style w:type="character" w:styleId="EndnoteReference">
    <w:name w:val="endnote reference"/>
    <w:basedOn w:val="DefaultParagraphFont"/>
    <w:rsid w:val="00361D0E"/>
    <w:rPr>
      <w:vertAlign w:val="superscript"/>
    </w:rPr>
  </w:style>
  <w:style w:type="character" w:customStyle="1" w:styleId="BodyTextChar">
    <w:name w:val="Body Text Char"/>
    <w:basedOn w:val="DefaultParagraphFont"/>
    <w:link w:val="BodyText"/>
    <w:rsid w:val="00D536A6"/>
    <w:rPr>
      <w:sz w:val="26"/>
    </w:rPr>
  </w:style>
  <w:style w:type="character" w:customStyle="1" w:styleId="FootnoteTextChar">
    <w:name w:val="Footnote Text Char"/>
    <w:basedOn w:val="DefaultParagraphFont"/>
    <w:link w:val="FootnoteText"/>
    <w:rsid w:val="00D536A6"/>
    <w:rPr>
      <w:sz w:val="22"/>
    </w:rPr>
  </w:style>
  <w:style w:type="character" w:customStyle="1" w:styleId="Heading4Char">
    <w:name w:val="Heading 4 Char"/>
    <w:basedOn w:val="DefaultParagraphFont"/>
    <w:link w:val="Heading4"/>
    <w:rsid w:val="00897202"/>
    <w:rPr>
      <w:rFonts w:ascii="Arial" w:hAnsi="Arial"/>
      <w:i/>
      <w:sz w:val="24"/>
    </w:rPr>
  </w:style>
  <w:style w:type="character" w:customStyle="1" w:styleId="Heading5Char">
    <w:name w:val="Heading 5 Char"/>
    <w:basedOn w:val="DefaultParagraphFont"/>
    <w:link w:val="Heading5"/>
    <w:rsid w:val="00E86377"/>
    <w:rPr>
      <w:i/>
      <w:sz w:val="26"/>
    </w:rPr>
  </w:style>
  <w:style w:type="paragraph" w:customStyle="1" w:styleId="Default">
    <w:name w:val="Default"/>
    <w:rsid w:val="001F2269"/>
    <w:pPr>
      <w:autoSpaceDE w:val="0"/>
      <w:autoSpaceDN w:val="0"/>
      <w:adjustRightInd w:val="0"/>
    </w:pPr>
    <w:rPr>
      <w:rFonts w:ascii="Franklin Gothic Book" w:hAnsi="Franklin Gothic Book" w:cs="Franklin Gothic Book"/>
      <w:color w:val="000000"/>
      <w:sz w:val="24"/>
      <w:szCs w:val="24"/>
    </w:rPr>
  </w:style>
  <w:style w:type="paragraph" w:styleId="Revision">
    <w:name w:val="Revision"/>
    <w:hidden/>
    <w:uiPriority w:val="99"/>
    <w:semiHidden/>
    <w:rsid w:val="001F5190"/>
    <w:rPr>
      <w:sz w:val="24"/>
      <w:szCs w:val="24"/>
    </w:rPr>
  </w:style>
  <w:style w:type="character" w:customStyle="1" w:styleId="Heading3Char">
    <w:name w:val="Heading 3 Char"/>
    <w:basedOn w:val="DefaultParagraphFont"/>
    <w:link w:val="Heading3"/>
    <w:rsid w:val="0024482E"/>
    <w:rPr>
      <w:rFonts w:ascii="Arial" w:hAnsi="Arial"/>
      <w:b/>
      <w:sz w:val="26"/>
    </w:rPr>
  </w:style>
  <w:style w:type="character" w:customStyle="1" w:styleId="QuoteChar">
    <w:name w:val="Quote Char"/>
    <w:basedOn w:val="DefaultParagraphFont"/>
    <w:link w:val="Quote"/>
    <w:rsid w:val="00DF0629"/>
    <w:rPr>
      <w:sz w:val="24"/>
    </w:rPr>
  </w:style>
  <w:style w:type="character" w:styleId="FollowedHyperlink">
    <w:name w:val="FollowedHyperlink"/>
    <w:basedOn w:val="DefaultParagraphFont"/>
    <w:rsid w:val="00C3111B"/>
    <w:rPr>
      <w:color w:val="800080" w:themeColor="followedHyperlink"/>
      <w:u w:val="single"/>
    </w:rPr>
  </w:style>
  <w:style w:type="character" w:customStyle="1" w:styleId="CommentTextChar1">
    <w:name w:val="Comment Text Char1"/>
    <w:basedOn w:val="DefaultParagraphFont"/>
    <w:semiHidden/>
    <w:rsid w:val="0092680D"/>
    <w:rPr>
      <w:szCs w:val="24"/>
    </w:rPr>
  </w:style>
  <w:style w:type="paragraph" w:customStyle="1" w:styleId="BoxQuoteBullet">
    <w:name w:val="Box Quote Bullet"/>
    <w:basedOn w:val="BoxQuote"/>
    <w:next w:val="Box"/>
    <w:rsid w:val="00676A60"/>
    <w:pPr>
      <w:numPr>
        <w:numId w:val="48"/>
      </w:numPr>
      <w:ind w:left="568" w:hanging="284"/>
    </w:pPr>
  </w:style>
  <w:style w:type="paragraph" w:customStyle="1" w:styleId="InformationRequestBullet">
    <w:name w:val="Information Request Bullet"/>
    <w:basedOn w:val="ListBullet"/>
    <w:next w:val="BodyText"/>
    <w:rsid w:val="00676A60"/>
    <w:pPr>
      <w:numPr>
        <w:numId w:val="49"/>
      </w:numPr>
      <w:ind w:left="340" w:hanging="340"/>
    </w:pPr>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791403">
      <w:bodyDiv w:val="1"/>
      <w:marLeft w:val="0"/>
      <w:marRight w:val="0"/>
      <w:marTop w:val="0"/>
      <w:marBottom w:val="0"/>
      <w:divBdr>
        <w:top w:val="none" w:sz="0" w:space="0" w:color="auto"/>
        <w:left w:val="none" w:sz="0" w:space="0" w:color="auto"/>
        <w:bottom w:val="none" w:sz="0" w:space="0" w:color="auto"/>
        <w:right w:val="none" w:sz="0" w:space="0" w:color="auto"/>
      </w:divBdr>
    </w:div>
    <w:div w:id="555363715">
      <w:bodyDiv w:val="1"/>
      <w:marLeft w:val="0"/>
      <w:marRight w:val="0"/>
      <w:marTop w:val="0"/>
      <w:marBottom w:val="0"/>
      <w:divBdr>
        <w:top w:val="none" w:sz="0" w:space="0" w:color="auto"/>
        <w:left w:val="none" w:sz="0" w:space="0" w:color="auto"/>
        <w:bottom w:val="none" w:sz="0" w:space="0" w:color="auto"/>
        <w:right w:val="none" w:sz="0" w:space="0" w:color="auto"/>
      </w:divBdr>
    </w:div>
    <w:div w:id="652880719">
      <w:bodyDiv w:val="1"/>
      <w:marLeft w:val="0"/>
      <w:marRight w:val="0"/>
      <w:marTop w:val="0"/>
      <w:marBottom w:val="0"/>
      <w:divBdr>
        <w:top w:val="none" w:sz="0" w:space="0" w:color="auto"/>
        <w:left w:val="none" w:sz="0" w:space="0" w:color="auto"/>
        <w:bottom w:val="none" w:sz="0" w:space="0" w:color="auto"/>
        <w:right w:val="none" w:sz="0" w:space="0" w:color="auto"/>
      </w:divBdr>
    </w:div>
    <w:div w:id="668564418">
      <w:bodyDiv w:val="1"/>
      <w:marLeft w:val="0"/>
      <w:marRight w:val="0"/>
      <w:marTop w:val="0"/>
      <w:marBottom w:val="0"/>
      <w:divBdr>
        <w:top w:val="none" w:sz="0" w:space="0" w:color="auto"/>
        <w:left w:val="none" w:sz="0" w:space="0" w:color="auto"/>
        <w:bottom w:val="none" w:sz="0" w:space="0" w:color="auto"/>
        <w:right w:val="none" w:sz="0" w:space="0" w:color="auto"/>
      </w:divBdr>
    </w:div>
    <w:div w:id="732239708">
      <w:bodyDiv w:val="1"/>
      <w:marLeft w:val="0"/>
      <w:marRight w:val="0"/>
      <w:marTop w:val="0"/>
      <w:marBottom w:val="0"/>
      <w:divBdr>
        <w:top w:val="none" w:sz="0" w:space="0" w:color="auto"/>
        <w:left w:val="none" w:sz="0" w:space="0" w:color="auto"/>
        <w:bottom w:val="none" w:sz="0" w:space="0" w:color="auto"/>
        <w:right w:val="none" w:sz="0" w:space="0" w:color="auto"/>
      </w:divBdr>
    </w:div>
    <w:div w:id="750662856">
      <w:bodyDiv w:val="1"/>
      <w:marLeft w:val="0"/>
      <w:marRight w:val="0"/>
      <w:marTop w:val="0"/>
      <w:marBottom w:val="0"/>
      <w:divBdr>
        <w:top w:val="none" w:sz="0" w:space="0" w:color="auto"/>
        <w:left w:val="none" w:sz="0" w:space="0" w:color="auto"/>
        <w:bottom w:val="none" w:sz="0" w:space="0" w:color="auto"/>
        <w:right w:val="none" w:sz="0" w:space="0" w:color="auto"/>
      </w:divBdr>
      <w:divsChild>
        <w:div w:id="1244334432">
          <w:marLeft w:val="0"/>
          <w:marRight w:val="0"/>
          <w:marTop w:val="0"/>
          <w:marBottom w:val="0"/>
          <w:divBdr>
            <w:top w:val="none" w:sz="0" w:space="0" w:color="auto"/>
            <w:left w:val="none" w:sz="0" w:space="0" w:color="auto"/>
            <w:bottom w:val="none" w:sz="0" w:space="0" w:color="auto"/>
            <w:right w:val="none" w:sz="0" w:space="0" w:color="auto"/>
          </w:divBdr>
          <w:divsChild>
            <w:div w:id="1705598244">
              <w:marLeft w:val="0"/>
              <w:marRight w:val="0"/>
              <w:marTop w:val="0"/>
              <w:marBottom w:val="0"/>
              <w:divBdr>
                <w:top w:val="none" w:sz="0" w:space="0" w:color="auto"/>
                <w:left w:val="none" w:sz="0" w:space="0" w:color="auto"/>
                <w:bottom w:val="none" w:sz="0" w:space="0" w:color="auto"/>
                <w:right w:val="none" w:sz="0" w:space="0" w:color="auto"/>
              </w:divBdr>
              <w:divsChild>
                <w:div w:id="907615437">
                  <w:marLeft w:val="2970"/>
                  <w:marRight w:val="0"/>
                  <w:marTop w:val="0"/>
                  <w:marBottom w:val="0"/>
                  <w:divBdr>
                    <w:top w:val="none" w:sz="0" w:space="0" w:color="auto"/>
                    <w:left w:val="none" w:sz="0" w:space="0" w:color="auto"/>
                    <w:bottom w:val="none" w:sz="0" w:space="0" w:color="auto"/>
                    <w:right w:val="none" w:sz="0" w:space="0" w:color="auto"/>
                  </w:divBdr>
                  <w:divsChild>
                    <w:div w:id="94792883">
                      <w:marLeft w:val="15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30961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8D0BE-9F8D-4C9B-ABF8-F649B27FF9B5}">
  <ds:schemaRefs>
    <ds:schemaRef ds:uri="http://schemas.openxmlformats.org/officeDocument/2006/bibliography"/>
  </ds:schemaRefs>
</ds:datastoreItem>
</file>

<file path=customXml/itemProps2.xml><?xml version="1.0" encoding="utf-8"?>
<ds:datastoreItem xmlns:ds="http://schemas.openxmlformats.org/officeDocument/2006/customXml" ds:itemID="{9CD6A31F-1D98-4ECE-835A-F2F7EEC43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24</Pages>
  <Words>8383</Words>
  <Characters>47366</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Investment performance</vt:lpstr>
    </vt:vector>
  </TitlesOfParts>
  <Company>Productivity Commission</Company>
  <LinksUpToDate>false</LinksUpToDate>
  <CharactersWithSpaces>55638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performance</dc:title>
  <dc:subject>Default Superannuation in Modern Awards</dc:subject>
  <dc:creator>Productivity Commission</dc:creator>
  <dc:description>4.</dc:description>
  <cp:lastModifiedBy>Productivity Commission</cp:lastModifiedBy>
  <cp:revision>3</cp:revision>
  <cp:lastPrinted>2012-10-04T02:19:00Z</cp:lastPrinted>
  <dcterms:created xsi:type="dcterms:W3CDTF">2012-10-08T02:48:00Z</dcterms:created>
  <dcterms:modified xsi:type="dcterms:W3CDTF">2012-10-16T03:43:00Z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1587723151</vt:i4>
  </property>
  <property fmtid="{D5CDD505-2E9C-101B-9397-08002B2CF9AE}" pid="4" name="_EmailSubject">
    <vt:lpwstr>web files - default super -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